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7043B" w14:textId="77777777" w:rsidR="006D0E59" w:rsidRPr="001C3675" w:rsidRDefault="006D0E59" w:rsidP="006D0E59">
      <w:pPr>
        <w:spacing w:after="0" w:line="276" w:lineRule="auto"/>
        <w:ind w:left="1318" w:right="1249"/>
        <w:jc w:val="center"/>
        <w:rPr>
          <w:rFonts w:ascii="Century Gothic" w:hAnsi="Century Gothic"/>
          <w:b/>
          <w:sz w:val="24"/>
          <w:szCs w:val="24"/>
        </w:rPr>
      </w:pPr>
      <w:bookmarkStart w:id="0" w:name="_Hlk196748270"/>
      <w:bookmarkStart w:id="1" w:name="_Hlk196219381"/>
      <w:bookmarkStart w:id="2" w:name="_Hlk195454331"/>
      <w:bookmarkEnd w:id="0"/>
      <w:r w:rsidRPr="001C3675">
        <w:rPr>
          <w:rFonts w:ascii="Century Gothic" w:hAnsi="Century Gothic"/>
          <w:b/>
          <w:w w:val="85"/>
          <w:sz w:val="24"/>
          <w:szCs w:val="24"/>
        </w:rPr>
        <w:t>REPUBLIQUE ISLAMIQUE DE MAURITANIE</w:t>
      </w:r>
    </w:p>
    <w:p w14:paraId="2FAA23C6" w14:textId="77777777" w:rsidR="006D0E59" w:rsidRPr="001C3675" w:rsidRDefault="006D0E59" w:rsidP="006D0E59">
      <w:pPr>
        <w:spacing w:after="0" w:line="276" w:lineRule="auto"/>
        <w:ind w:left="1318" w:right="1350"/>
        <w:jc w:val="center"/>
        <w:rPr>
          <w:rFonts w:ascii="Century Gothic" w:hAnsi="Century Gothic"/>
          <w:b/>
          <w:sz w:val="20"/>
          <w:szCs w:val="20"/>
        </w:rPr>
      </w:pPr>
      <w:r w:rsidRPr="001C3675">
        <w:rPr>
          <w:rFonts w:ascii="Century Gothic" w:hAnsi="Century Gothic"/>
          <w:b/>
          <w:sz w:val="20"/>
          <w:szCs w:val="20"/>
        </w:rPr>
        <w:t>Honneur-Fraternité-Justice</w:t>
      </w:r>
    </w:p>
    <w:p w14:paraId="2D2B42B1" w14:textId="77777777" w:rsidR="006D0E59" w:rsidRPr="0016726F" w:rsidRDefault="006D0E59" w:rsidP="006D0E59">
      <w:pPr>
        <w:spacing w:after="0" w:line="276" w:lineRule="auto"/>
        <w:ind w:left="1318" w:right="1350"/>
        <w:jc w:val="center"/>
        <w:rPr>
          <w:rFonts w:ascii="Century Gothic" w:hAnsi="Century Gothic"/>
          <w:b/>
          <w:sz w:val="24"/>
          <w:szCs w:val="24"/>
        </w:rPr>
      </w:pPr>
      <w:r w:rsidRPr="0016726F">
        <w:rPr>
          <w:rFonts w:ascii="Century Gothic" w:hAnsi="Century Gothic"/>
          <w:noProof/>
          <w:sz w:val="24"/>
          <w:szCs w:val="24"/>
          <w:lang w:eastAsia="fr-FR"/>
        </w:rPr>
        <w:drawing>
          <wp:inline distT="0" distB="0" distL="0" distR="0" wp14:anchorId="38FDBD11" wp14:editId="452DEEE4">
            <wp:extent cx="766119" cy="633730"/>
            <wp:effectExtent l="0" t="0" r="0" b="0"/>
            <wp:docPr id="267409695" name="image1.jpeg" descr="C:\Users\PC-A\Desktop\logo_rim.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eg" descr="C:\Users\PC-A\Desktop\logo_rim.jp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6831" cy="642591"/>
                    </a:xfrm>
                    <a:prstGeom prst="rect">
                      <a:avLst/>
                    </a:prstGeom>
                    <a:noFill/>
                    <a:ln>
                      <a:noFill/>
                    </a:ln>
                  </pic:spPr>
                </pic:pic>
              </a:graphicData>
            </a:graphic>
          </wp:inline>
        </w:drawing>
      </w:r>
    </w:p>
    <w:p w14:paraId="6FAA3905" w14:textId="77777777" w:rsidR="006D0E59" w:rsidRPr="001C3675" w:rsidRDefault="006D0E59" w:rsidP="006D0E59">
      <w:pPr>
        <w:pStyle w:val="Corpsdetexte"/>
        <w:spacing w:before="0" w:line="276" w:lineRule="auto"/>
        <w:jc w:val="left"/>
        <w:rPr>
          <w:rFonts w:ascii="Century Gothic" w:hAnsi="Century Gothic" w:cs="Arial"/>
          <w:b/>
          <w:sz w:val="2"/>
          <w:szCs w:val="2"/>
        </w:rPr>
      </w:pPr>
    </w:p>
    <w:p w14:paraId="705A61E9" w14:textId="77777777" w:rsidR="006D0E59" w:rsidRPr="00D953B5" w:rsidRDefault="006D0E59" w:rsidP="006D0E59">
      <w:pPr>
        <w:spacing w:after="0" w:line="276" w:lineRule="auto"/>
        <w:ind w:left="1318" w:right="1334"/>
        <w:jc w:val="center"/>
        <w:rPr>
          <w:rFonts w:ascii="Century Gothic" w:hAnsi="Century Gothic"/>
          <w:b/>
          <w:sz w:val="24"/>
          <w:szCs w:val="24"/>
        </w:rPr>
      </w:pPr>
      <w:r w:rsidRPr="00D953B5">
        <w:rPr>
          <w:rFonts w:ascii="Century Gothic" w:hAnsi="Century Gothic"/>
          <w:b/>
          <w:spacing w:val="-1"/>
          <w:w w:val="80"/>
          <w:sz w:val="24"/>
          <w:szCs w:val="24"/>
        </w:rPr>
        <w:t xml:space="preserve">Ministère de l’Environnement et du Développement Durable  </w:t>
      </w:r>
    </w:p>
    <w:p w14:paraId="566B1377" w14:textId="77777777" w:rsidR="006D0E59" w:rsidRPr="00D953B5" w:rsidRDefault="006D0E59" w:rsidP="006D0E59">
      <w:pPr>
        <w:spacing w:after="0" w:line="276" w:lineRule="auto"/>
        <w:ind w:right="19"/>
        <w:jc w:val="center"/>
        <w:rPr>
          <w:rFonts w:ascii="Century Gothic" w:hAnsi="Century Gothic"/>
          <w:b/>
          <w:sz w:val="24"/>
          <w:szCs w:val="24"/>
        </w:rPr>
      </w:pPr>
      <w:r w:rsidRPr="00D953B5">
        <w:rPr>
          <w:rFonts w:ascii="Century Gothic" w:hAnsi="Century Gothic"/>
          <w:b/>
          <w:w w:val="85"/>
          <w:sz w:val="24"/>
          <w:szCs w:val="24"/>
        </w:rPr>
        <w:t xml:space="preserve">Direction du Climat et de l’Economie Verte </w:t>
      </w:r>
    </w:p>
    <w:p w14:paraId="64D6A4C1" w14:textId="6DBA2ADE" w:rsidR="006D0E59" w:rsidRPr="00A83A75" w:rsidRDefault="006D0E59" w:rsidP="006D0E59">
      <w:pPr>
        <w:pStyle w:val="Corpsdetexte"/>
        <w:spacing w:before="0" w:line="276" w:lineRule="auto"/>
        <w:jc w:val="center"/>
        <w:rPr>
          <w:rFonts w:ascii="Century Gothic" w:hAnsi="Century Gothic" w:cs="Arial"/>
          <w:b/>
          <w:color w:val="990000"/>
          <w:w w:val="95"/>
        </w:rPr>
      </w:pPr>
      <w:r w:rsidRPr="00A83A75">
        <w:rPr>
          <w:rFonts w:ascii="Century Gothic" w:hAnsi="Century Gothic" w:cs="Arial"/>
          <w:b/>
          <w:color w:val="990000"/>
          <w:w w:val="95"/>
        </w:rPr>
        <w:t>UNITE DE GESTION DE L’ACTIVITE HABILITANTE</w:t>
      </w:r>
      <w:r w:rsidR="0055238A">
        <w:rPr>
          <w:rFonts w:ascii="Century Gothic" w:hAnsi="Century Gothic" w:cs="Arial"/>
          <w:b/>
          <w:color w:val="990000"/>
          <w:w w:val="95"/>
        </w:rPr>
        <w:t> ;</w:t>
      </w:r>
      <w:r w:rsidRPr="00A83A75">
        <w:rPr>
          <w:rFonts w:ascii="Century Gothic" w:hAnsi="Century Gothic" w:cs="Arial"/>
          <w:b/>
          <w:color w:val="990000"/>
          <w:w w:val="95"/>
        </w:rPr>
        <w:t xml:space="preserve"> </w:t>
      </w:r>
    </w:p>
    <w:p w14:paraId="197B68DE" w14:textId="77777777" w:rsidR="006D0E59" w:rsidRDefault="006D0E59" w:rsidP="006D0E59">
      <w:pPr>
        <w:pStyle w:val="Corpsdetexte"/>
        <w:spacing w:before="0" w:line="276" w:lineRule="auto"/>
        <w:jc w:val="center"/>
        <w:rPr>
          <w:rFonts w:ascii="Century Gothic" w:hAnsi="Century Gothic" w:cs="Arial"/>
          <w:b/>
          <w:w w:val="95"/>
        </w:rPr>
      </w:pPr>
      <w:r w:rsidRPr="00D953B5">
        <w:rPr>
          <w:rFonts w:ascii="Century Gothic" w:hAnsi="Century Gothic" w:cs="Arial"/>
          <w:b/>
          <w:w w:val="95"/>
        </w:rPr>
        <w:t>5</w:t>
      </w:r>
      <w:r w:rsidRPr="00D953B5">
        <w:rPr>
          <w:rFonts w:ascii="Century Gothic" w:hAnsi="Century Gothic" w:cs="Arial"/>
          <w:b/>
          <w:w w:val="95"/>
          <w:vertAlign w:val="superscript"/>
        </w:rPr>
        <w:t>ème</w:t>
      </w:r>
      <w:r w:rsidRPr="00D953B5">
        <w:rPr>
          <w:rFonts w:ascii="Century Gothic" w:hAnsi="Century Gothic" w:cs="Arial"/>
          <w:b/>
          <w:w w:val="95"/>
        </w:rPr>
        <w:t xml:space="preserve"> Communication nationale sur les CC</w:t>
      </w:r>
    </w:p>
    <w:p w14:paraId="02DFA1B3" w14:textId="4844AC95" w:rsidR="006D0E59" w:rsidRPr="00A83A75" w:rsidRDefault="006D0E59" w:rsidP="002E60E7">
      <w:pPr>
        <w:pStyle w:val="Corpsdetexte"/>
        <w:spacing w:before="240"/>
        <w:jc w:val="center"/>
        <w:rPr>
          <w:rFonts w:ascii="Century Gothic" w:hAnsi="Century Gothic" w:cs="Arial"/>
          <w:b/>
          <w:bCs/>
          <w:color w:val="009900"/>
          <w:w w:val="95"/>
          <w:sz w:val="28"/>
          <w:szCs w:val="28"/>
        </w:rPr>
      </w:pPr>
      <w:r w:rsidRPr="00A83A75">
        <w:rPr>
          <w:rFonts w:ascii="Century Gothic" w:hAnsi="Century Gothic" w:cs="Arial"/>
          <w:b/>
          <w:bCs/>
          <w:color w:val="009900"/>
          <w:sz w:val="28"/>
          <w:szCs w:val="28"/>
        </w:rPr>
        <w:t>C</w:t>
      </w:r>
      <w:r w:rsidR="00231AF9">
        <w:rPr>
          <w:rFonts w:ascii="Century Gothic" w:hAnsi="Century Gothic" w:cs="Arial"/>
          <w:b/>
          <w:bCs/>
          <w:color w:val="009900"/>
          <w:sz w:val="28"/>
          <w:szCs w:val="28"/>
        </w:rPr>
        <w:t>hapitre</w:t>
      </w:r>
      <w:r w:rsidRPr="00A83A75">
        <w:rPr>
          <w:rFonts w:ascii="Century Gothic" w:hAnsi="Century Gothic" w:cs="Arial"/>
          <w:b/>
          <w:bCs/>
          <w:color w:val="009900"/>
          <w:sz w:val="28"/>
          <w:szCs w:val="28"/>
        </w:rPr>
        <w:t xml:space="preserve"> 3 : </w:t>
      </w:r>
      <w:r w:rsidRPr="00A83A75">
        <w:rPr>
          <w:rFonts w:ascii="Century Gothic" w:hAnsi="Century Gothic" w:cs="Arial"/>
          <w:b/>
          <w:bCs/>
          <w:color w:val="009900"/>
          <w:w w:val="95"/>
          <w:sz w:val="28"/>
          <w:szCs w:val="28"/>
        </w:rPr>
        <w:t>Evaluation de la Vulnérabilité et Adaptation aux changements climatiques des secteurs et écosystèmes du pays</w:t>
      </w:r>
    </w:p>
    <w:tbl>
      <w:tblPr>
        <w:tblStyle w:val="Grilledutableau"/>
        <w:tblW w:w="9949" w:type="dxa"/>
        <w:tblLook w:val="04A0" w:firstRow="1" w:lastRow="0" w:firstColumn="1" w:lastColumn="0" w:noHBand="0" w:noVBand="1"/>
      </w:tblPr>
      <w:tblGrid>
        <w:gridCol w:w="1148"/>
        <w:gridCol w:w="5368"/>
        <w:gridCol w:w="2410"/>
        <w:gridCol w:w="1023"/>
      </w:tblGrid>
      <w:tr w:rsidR="00A75EF5" w:rsidRPr="00A83A75" w14:paraId="2771428E" w14:textId="77777777" w:rsidTr="009D5FE3">
        <w:tc>
          <w:tcPr>
            <w:tcW w:w="1148" w:type="dxa"/>
          </w:tcPr>
          <w:p w14:paraId="584AF5B7" w14:textId="77777777" w:rsidR="006D0E59" w:rsidRPr="00C94C9C" w:rsidRDefault="006D0E59" w:rsidP="002D1362">
            <w:pPr>
              <w:pStyle w:val="Corpsdetexte"/>
              <w:spacing w:before="0" w:line="276" w:lineRule="auto"/>
              <w:jc w:val="center"/>
              <w:rPr>
                <w:rFonts w:ascii="Century Gothic" w:hAnsi="Century Gothic" w:cs="Arial"/>
                <w:b/>
                <w:bCs/>
              </w:rPr>
            </w:pPr>
            <w:r w:rsidRPr="00C94C9C">
              <w:rPr>
                <w:rFonts w:ascii="Century Gothic" w:hAnsi="Century Gothic" w:cs="Arial"/>
                <w:b/>
                <w:bCs/>
              </w:rPr>
              <w:t>Numéro d’ordre</w:t>
            </w:r>
          </w:p>
        </w:tc>
        <w:tc>
          <w:tcPr>
            <w:tcW w:w="5368" w:type="dxa"/>
          </w:tcPr>
          <w:p w14:paraId="4EC15555" w14:textId="7C53DCBE" w:rsidR="006D0E59" w:rsidRPr="00C94C9C" w:rsidRDefault="006D0E59" w:rsidP="005E40A4">
            <w:pPr>
              <w:pStyle w:val="Corpsdetexte"/>
              <w:spacing w:before="0" w:line="276" w:lineRule="auto"/>
              <w:rPr>
                <w:rFonts w:ascii="Century Gothic" w:hAnsi="Century Gothic" w:cs="Arial"/>
                <w:b/>
                <w:bCs/>
              </w:rPr>
            </w:pPr>
            <w:r w:rsidRPr="00C94C9C">
              <w:rPr>
                <w:rFonts w:ascii="Century Gothic" w:hAnsi="Century Gothic" w:cs="Arial"/>
                <w:b/>
                <w:bCs/>
              </w:rPr>
              <w:t xml:space="preserve">Ordre des </w:t>
            </w:r>
            <w:r w:rsidR="005E40A4">
              <w:rPr>
                <w:rFonts w:ascii="Century Gothic" w:hAnsi="Century Gothic" w:cs="Arial"/>
                <w:b/>
                <w:bCs/>
              </w:rPr>
              <w:t xml:space="preserve">grands </w:t>
            </w:r>
            <w:r w:rsidR="0055238A">
              <w:rPr>
                <w:rFonts w:ascii="Century Gothic" w:hAnsi="Century Gothic" w:cs="Arial"/>
                <w:b/>
                <w:bCs/>
              </w:rPr>
              <w:t>Ecosystèmes, </w:t>
            </w:r>
            <w:r w:rsidRPr="00C94C9C">
              <w:rPr>
                <w:rFonts w:ascii="Century Gothic" w:hAnsi="Century Gothic" w:cs="Arial"/>
                <w:b/>
                <w:bCs/>
              </w:rPr>
              <w:t>Secteurs et Livrables de référence</w:t>
            </w:r>
          </w:p>
        </w:tc>
        <w:tc>
          <w:tcPr>
            <w:tcW w:w="2410" w:type="dxa"/>
            <w:vAlign w:val="center"/>
          </w:tcPr>
          <w:p w14:paraId="69F38547" w14:textId="77777777" w:rsidR="006D0E59" w:rsidRPr="00C94C9C" w:rsidRDefault="006D0E59" w:rsidP="0055238A">
            <w:pPr>
              <w:pStyle w:val="Corpsdetexte"/>
              <w:spacing w:before="0" w:line="276" w:lineRule="auto"/>
              <w:jc w:val="center"/>
              <w:rPr>
                <w:rFonts w:ascii="Century Gothic" w:hAnsi="Century Gothic" w:cs="Arial"/>
                <w:b/>
                <w:bCs/>
              </w:rPr>
            </w:pPr>
            <w:r w:rsidRPr="00C94C9C">
              <w:rPr>
                <w:rFonts w:ascii="Century Gothic" w:hAnsi="Century Gothic" w:cs="Arial"/>
                <w:b/>
                <w:bCs/>
              </w:rPr>
              <w:t>Auteurs</w:t>
            </w:r>
          </w:p>
        </w:tc>
        <w:tc>
          <w:tcPr>
            <w:tcW w:w="1023" w:type="dxa"/>
            <w:vAlign w:val="center"/>
          </w:tcPr>
          <w:p w14:paraId="3E4CE81C" w14:textId="77777777" w:rsidR="006D0E59" w:rsidRPr="00C94C9C" w:rsidRDefault="006D0E59" w:rsidP="0055238A">
            <w:pPr>
              <w:pStyle w:val="Corpsdetexte"/>
              <w:spacing w:before="0" w:line="276" w:lineRule="auto"/>
              <w:jc w:val="center"/>
              <w:rPr>
                <w:rFonts w:ascii="Century Gothic" w:hAnsi="Century Gothic" w:cs="Arial"/>
                <w:b/>
                <w:bCs/>
              </w:rPr>
            </w:pPr>
            <w:r w:rsidRPr="00C94C9C">
              <w:rPr>
                <w:rFonts w:ascii="Century Gothic" w:hAnsi="Century Gothic" w:cs="Arial"/>
                <w:b/>
                <w:bCs/>
              </w:rPr>
              <w:t>Pages</w:t>
            </w:r>
          </w:p>
        </w:tc>
      </w:tr>
      <w:tr w:rsidR="00A75EF5" w:rsidRPr="00A83A75" w14:paraId="12F00A96" w14:textId="77777777" w:rsidTr="009D5FE3">
        <w:tc>
          <w:tcPr>
            <w:tcW w:w="1148" w:type="dxa"/>
            <w:vAlign w:val="center"/>
          </w:tcPr>
          <w:p w14:paraId="3F1306E5" w14:textId="77777777" w:rsidR="006D0E59" w:rsidRPr="000277BA" w:rsidRDefault="006D0E59" w:rsidP="002D1362">
            <w:pPr>
              <w:pStyle w:val="Corpsdetexte"/>
              <w:spacing w:before="0" w:line="276" w:lineRule="auto"/>
              <w:jc w:val="center"/>
              <w:rPr>
                <w:rFonts w:ascii="Century Gothic" w:hAnsi="Century Gothic" w:cs="Arial"/>
                <w:b/>
                <w:bCs/>
              </w:rPr>
            </w:pPr>
            <w:r w:rsidRPr="000277BA">
              <w:rPr>
                <w:rFonts w:ascii="Century Gothic" w:hAnsi="Century Gothic" w:cs="Arial"/>
                <w:b/>
                <w:bCs/>
              </w:rPr>
              <w:t>01</w:t>
            </w:r>
          </w:p>
        </w:tc>
        <w:tc>
          <w:tcPr>
            <w:tcW w:w="5368" w:type="dxa"/>
          </w:tcPr>
          <w:p w14:paraId="57FC59B4" w14:textId="4BB7478B" w:rsidR="006D0E59" w:rsidRPr="000277BA" w:rsidRDefault="00A75EF5" w:rsidP="004A2F2E">
            <w:pPr>
              <w:pStyle w:val="Corpsdetexte"/>
              <w:spacing w:before="0" w:line="276" w:lineRule="auto"/>
              <w:rPr>
                <w:rFonts w:asciiTheme="minorHAnsi" w:hAnsiTheme="minorHAnsi" w:cstheme="minorHAnsi"/>
              </w:rPr>
            </w:pPr>
            <w:r w:rsidRPr="00A75EF5">
              <w:rPr>
                <w:rFonts w:asciiTheme="minorHAnsi" w:hAnsiTheme="minorHAnsi" w:cstheme="minorHAnsi"/>
              </w:rPr>
              <w:t>Écosystèmes arides et forestiers y compris les zones humides continentales et désertification</w:t>
            </w:r>
          </w:p>
        </w:tc>
        <w:tc>
          <w:tcPr>
            <w:tcW w:w="2410" w:type="dxa"/>
            <w:vAlign w:val="center"/>
          </w:tcPr>
          <w:p w14:paraId="070A386B" w14:textId="77777777" w:rsidR="006D0E59" w:rsidRPr="001228B5" w:rsidRDefault="006D0E59" w:rsidP="002D1362">
            <w:pPr>
              <w:pStyle w:val="Corpsdetexte"/>
              <w:spacing w:before="0" w:line="276" w:lineRule="auto"/>
              <w:ind w:right="-112"/>
              <w:jc w:val="left"/>
              <w:rPr>
                <w:rFonts w:ascii="Century Gothic" w:hAnsi="Century Gothic" w:cs="Arial"/>
                <w:b/>
                <w:bCs/>
                <w:sz w:val="22"/>
                <w:szCs w:val="22"/>
              </w:rPr>
            </w:pPr>
            <w:r w:rsidRPr="001228B5">
              <w:rPr>
                <w:rFonts w:ascii="Century Gothic" w:hAnsi="Century Gothic" w:cs="Arial"/>
                <w:b/>
                <w:bCs/>
                <w:sz w:val="22"/>
                <w:szCs w:val="22"/>
              </w:rPr>
              <w:t>Mohamed Abdallahi Selmé</w:t>
            </w:r>
          </w:p>
        </w:tc>
        <w:tc>
          <w:tcPr>
            <w:tcW w:w="1023" w:type="dxa"/>
            <w:vAlign w:val="center"/>
          </w:tcPr>
          <w:p w14:paraId="2E23152C" w14:textId="77777777" w:rsidR="006D0E59" w:rsidRPr="00C94C9C" w:rsidRDefault="006D0E59" w:rsidP="002D1362">
            <w:pPr>
              <w:pStyle w:val="Corpsdetexte"/>
              <w:spacing w:before="0" w:line="276" w:lineRule="auto"/>
              <w:jc w:val="center"/>
              <w:rPr>
                <w:rFonts w:ascii="Century Gothic" w:hAnsi="Century Gothic" w:cs="Arial"/>
                <w:b/>
                <w:bCs/>
              </w:rPr>
            </w:pPr>
            <w:r w:rsidRPr="00C94C9C">
              <w:rPr>
                <w:rFonts w:ascii="Century Gothic" w:hAnsi="Century Gothic" w:cs="Arial"/>
                <w:b/>
                <w:bCs/>
              </w:rPr>
              <w:t>01</w:t>
            </w:r>
          </w:p>
        </w:tc>
      </w:tr>
      <w:tr w:rsidR="00A75EF5" w:rsidRPr="00A83A75" w14:paraId="75E996A2" w14:textId="77777777" w:rsidTr="009D5FE3">
        <w:tc>
          <w:tcPr>
            <w:tcW w:w="1148" w:type="dxa"/>
            <w:vAlign w:val="center"/>
          </w:tcPr>
          <w:p w14:paraId="1DD2C88D" w14:textId="77777777" w:rsidR="006D0E59" w:rsidRPr="00C94C9C" w:rsidRDefault="006D0E59" w:rsidP="002D1362">
            <w:pPr>
              <w:pStyle w:val="Corpsdetexte"/>
              <w:spacing w:before="0" w:line="276" w:lineRule="auto"/>
              <w:jc w:val="center"/>
              <w:rPr>
                <w:rFonts w:ascii="Century Gothic" w:hAnsi="Century Gothic" w:cs="Arial"/>
                <w:b/>
                <w:bCs/>
              </w:rPr>
            </w:pPr>
            <w:r w:rsidRPr="00C94C9C">
              <w:rPr>
                <w:rFonts w:ascii="Century Gothic" w:hAnsi="Century Gothic" w:cs="Arial"/>
                <w:b/>
                <w:bCs/>
              </w:rPr>
              <w:t>02</w:t>
            </w:r>
          </w:p>
        </w:tc>
        <w:tc>
          <w:tcPr>
            <w:tcW w:w="5368" w:type="dxa"/>
          </w:tcPr>
          <w:p w14:paraId="3A649B92" w14:textId="10555130" w:rsidR="006D0E59" w:rsidRPr="000277BA" w:rsidRDefault="00A75EF5" w:rsidP="004A2F2E">
            <w:pPr>
              <w:jc w:val="both"/>
            </w:pPr>
            <w:r w:rsidRPr="00A75EF5">
              <w:rPr>
                <w:rFonts w:eastAsia="Verdana" w:cstheme="minorHAnsi"/>
                <w:sz w:val="24"/>
                <w:szCs w:val="24"/>
              </w:rPr>
              <w:t>Composante 3 :« évaluation de la vulnérabilité et adaptation aux changements climatiques des “</w:t>
            </w:r>
            <w:r w:rsidR="000277BA" w:rsidRPr="00A75EF5">
              <w:rPr>
                <w:rFonts w:eastAsia="Verdana" w:cstheme="minorHAnsi"/>
                <w:sz w:val="24"/>
                <w:szCs w:val="24"/>
              </w:rPr>
              <w:t>écosystèmes</w:t>
            </w:r>
            <w:r w:rsidRPr="00A75EF5">
              <w:rPr>
                <w:rFonts w:eastAsia="Verdana" w:cstheme="minorHAnsi"/>
                <w:sz w:val="24"/>
                <w:szCs w:val="24"/>
              </w:rPr>
              <w:t xml:space="preserve"> marins ; littoral, aires protégées” </w:t>
            </w:r>
          </w:p>
        </w:tc>
        <w:tc>
          <w:tcPr>
            <w:tcW w:w="2410" w:type="dxa"/>
            <w:vAlign w:val="center"/>
          </w:tcPr>
          <w:p w14:paraId="40B0FB6B" w14:textId="2D6CC335" w:rsidR="006D0E59" w:rsidRPr="001228B5" w:rsidRDefault="0055238A" w:rsidP="000277BA">
            <w:pPr>
              <w:jc w:val="both"/>
              <w:rPr>
                <w:rFonts w:ascii="Century Gothic" w:eastAsia="Verdana" w:hAnsi="Century Gothic" w:cs="Arial"/>
                <w:b/>
                <w:bCs/>
              </w:rPr>
            </w:pPr>
            <w:r>
              <w:rPr>
                <w:rFonts w:ascii="Century Gothic" w:eastAsia="Verdana" w:hAnsi="Century Gothic" w:cs="Arial"/>
                <w:b/>
                <w:bCs/>
              </w:rPr>
              <w:t xml:space="preserve">Dr. </w:t>
            </w:r>
            <w:r w:rsidR="00410A50" w:rsidRPr="001228B5">
              <w:rPr>
                <w:rFonts w:ascii="Century Gothic" w:eastAsia="Verdana" w:hAnsi="Century Gothic" w:cs="Arial"/>
                <w:b/>
                <w:bCs/>
              </w:rPr>
              <w:t>Djibril Ly</w:t>
            </w:r>
          </w:p>
        </w:tc>
        <w:tc>
          <w:tcPr>
            <w:tcW w:w="1023" w:type="dxa"/>
            <w:vAlign w:val="center"/>
          </w:tcPr>
          <w:p w14:paraId="60AA075E" w14:textId="152F9E22" w:rsidR="006D0E59" w:rsidRPr="00C94C9C" w:rsidRDefault="006D0E59" w:rsidP="002D1362">
            <w:pPr>
              <w:pStyle w:val="Corpsdetexte"/>
              <w:spacing w:before="0" w:line="276" w:lineRule="auto"/>
              <w:jc w:val="center"/>
              <w:rPr>
                <w:rFonts w:ascii="Century Gothic" w:hAnsi="Century Gothic" w:cs="Arial"/>
                <w:b/>
                <w:bCs/>
              </w:rPr>
            </w:pPr>
            <w:r>
              <w:rPr>
                <w:rFonts w:ascii="Century Gothic" w:hAnsi="Century Gothic" w:cs="Arial"/>
                <w:b/>
                <w:bCs/>
              </w:rPr>
              <w:t>166</w:t>
            </w:r>
          </w:p>
        </w:tc>
      </w:tr>
      <w:tr w:rsidR="00A75EF5" w:rsidRPr="00A83A75" w14:paraId="30831DA6" w14:textId="77777777" w:rsidTr="009D5FE3">
        <w:tc>
          <w:tcPr>
            <w:tcW w:w="1148" w:type="dxa"/>
            <w:vAlign w:val="center"/>
          </w:tcPr>
          <w:p w14:paraId="1D44BDDD" w14:textId="3C4CD3DF" w:rsidR="006D0E59" w:rsidRPr="00C94C9C" w:rsidRDefault="006D0E59" w:rsidP="002D1362">
            <w:pPr>
              <w:pStyle w:val="Corpsdetexte"/>
              <w:spacing w:before="0" w:line="276" w:lineRule="auto"/>
              <w:jc w:val="center"/>
              <w:rPr>
                <w:rFonts w:ascii="Century Gothic" w:hAnsi="Century Gothic" w:cs="Arial"/>
                <w:b/>
                <w:bCs/>
              </w:rPr>
            </w:pPr>
            <w:r>
              <w:rPr>
                <w:rFonts w:ascii="Century Gothic" w:hAnsi="Century Gothic" w:cs="Arial"/>
                <w:b/>
                <w:bCs/>
              </w:rPr>
              <w:t>03</w:t>
            </w:r>
          </w:p>
        </w:tc>
        <w:tc>
          <w:tcPr>
            <w:tcW w:w="5368" w:type="dxa"/>
          </w:tcPr>
          <w:p w14:paraId="7134883F" w14:textId="5EC8CAC4" w:rsidR="006D0E59" w:rsidRPr="000277BA" w:rsidRDefault="000277BA" w:rsidP="004A2F2E">
            <w:pPr>
              <w:jc w:val="both"/>
            </w:pPr>
            <w:r w:rsidRPr="00A75EF5">
              <w:rPr>
                <w:rFonts w:eastAsia="Verdana" w:cstheme="minorHAnsi"/>
                <w:sz w:val="24"/>
                <w:szCs w:val="24"/>
              </w:rPr>
              <w:t>Évaluation</w:t>
            </w:r>
            <w:r w:rsidR="00A75EF5" w:rsidRPr="00A75EF5">
              <w:rPr>
                <w:rFonts w:eastAsia="Verdana" w:cstheme="minorHAnsi"/>
                <w:sz w:val="24"/>
                <w:szCs w:val="24"/>
              </w:rPr>
              <w:t xml:space="preserve"> de la vulnérabilité et adaptation aux changements climatiques des secteurs (eaux de surface, barrages et lacs) </w:t>
            </w:r>
          </w:p>
        </w:tc>
        <w:tc>
          <w:tcPr>
            <w:tcW w:w="2410" w:type="dxa"/>
            <w:vAlign w:val="center"/>
          </w:tcPr>
          <w:p w14:paraId="075BC53D" w14:textId="04691A07" w:rsidR="006D0E59" w:rsidRPr="001228B5" w:rsidRDefault="00410A50" w:rsidP="000277BA">
            <w:pPr>
              <w:jc w:val="center"/>
              <w:rPr>
                <w:rFonts w:ascii="Century Gothic" w:eastAsia="Verdana" w:hAnsi="Century Gothic" w:cs="Arial"/>
                <w:b/>
                <w:bCs/>
              </w:rPr>
            </w:pPr>
            <w:r w:rsidRPr="001228B5">
              <w:rPr>
                <w:rFonts w:ascii="Century Gothic" w:eastAsia="Verdana" w:hAnsi="Century Gothic" w:cs="Arial"/>
                <w:b/>
                <w:bCs/>
              </w:rPr>
              <w:t>Djibril Sarr</w:t>
            </w:r>
          </w:p>
        </w:tc>
        <w:tc>
          <w:tcPr>
            <w:tcW w:w="1023" w:type="dxa"/>
            <w:vAlign w:val="center"/>
          </w:tcPr>
          <w:p w14:paraId="66AA5B72" w14:textId="7008A2E8" w:rsidR="006D0E59" w:rsidRPr="00C94C9C" w:rsidRDefault="006D0E59" w:rsidP="002D1362">
            <w:pPr>
              <w:pStyle w:val="Corpsdetexte"/>
              <w:spacing w:before="0" w:line="276" w:lineRule="auto"/>
              <w:jc w:val="center"/>
              <w:rPr>
                <w:rFonts w:ascii="Century Gothic" w:hAnsi="Century Gothic" w:cs="Arial"/>
                <w:b/>
                <w:bCs/>
              </w:rPr>
            </w:pPr>
            <w:r>
              <w:rPr>
                <w:rFonts w:ascii="Century Gothic" w:hAnsi="Century Gothic" w:cs="Arial"/>
                <w:b/>
                <w:bCs/>
              </w:rPr>
              <w:t>205</w:t>
            </w:r>
          </w:p>
        </w:tc>
      </w:tr>
      <w:tr w:rsidR="00A75EF5" w:rsidRPr="00A83A75" w14:paraId="49E694FB" w14:textId="77777777" w:rsidTr="009D5FE3">
        <w:tc>
          <w:tcPr>
            <w:tcW w:w="1148" w:type="dxa"/>
            <w:vAlign w:val="center"/>
          </w:tcPr>
          <w:p w14:paraId="31153F19" w14:textId="0DFEF367" w:rsidR="006D0E59" w:rsidRPr="00C94C9C" w:rsidRDefault="006D0E59" w:rsidP="002D1362">
            <w:pPr>
              <w:pStyle w:val="Corpsdetexte"/>
              <w:spacing w:before="0" w:line="276" w:lineRule="auto"/>
              <w:jc w:val="center"/>
              <w:rPr>
                <w:rFonts w:ascii="Century Gothic" w:hAnsi="Century Gothic" w:cs="Arial"/>
                <w:b/>
                <w:bCs/>
              </w:rPr>
            </w:pPr>
            <w:r>
              <w:rPr>
                <w:rFonts w:ascii="Century Gothic" w:hAnsi="Century Gothic" w:cs="Arial"/>
                <w:b/>
                <w:bCs/>
              </w:rPr>
              <w:t>04</w:t>
            </w:r>
          </w:p>
        </w:tc>
        <w:tc>
          <w:tcPr>
            <w:tcW w:w="5368" w:type="dxa"/>
          </w:tcPr>
          <w:p w14:paraId="17227B1A" w14:textId="3A7DE296" w:rsidR="006D0E59" w:rsidRPr="000277BA" w:rsidRDefault="00A75EF5" w:rsidP="004A2F2E">
            <w:pPr>
              <w:pStyle w:val="Titre2"/>
              <w:jc w:val="both"/>
            </w:pPr>
            <w:r w:rsidRPr="00A75EF5">
              <w:rPr>
                <w:rFonts w:asciiTheme="minorHAnsi" w:eastAsia="Verdana" w:hAnsiTheme="minorHAnsi" w:cstheme="minorHAnsi"/>
                <w:color w:val="auto"/>
                <w:kern w:val="0"/>
                <w:sz w:val="24"/>
                <w:szCs w:val="24"/>
                <w14:ligatures w14:val="none"/>
              </w:rPr>
              <w:t xml:space="preserve">Composante 3 : </w:t>
            </w:r>
            <w:r w:rsidR="000277BA" w:rsidRPr="00A75EF5">
              <w:rPr>
                <w:rFonts w:asciiTheme="minorHAnsi" w:eastAsia="Verdana" w:hAnsiTheme="minorHAnsi" w:cstheme="minorHAnsi"/>
                <w:color w:val="auto"/>
                <w:kern w:val="0"/>
                <w:sz w:val="24"/>
                <w:szCs w:val="24"/>
                <w14:ligatures w14:val="none"/>
              </w:rPr>
              <w:t>évaluation</w:t>
            </w:r>
            <w:r w:rsidRPr="00A75EF5">
              <w:rPr>
                <w:rFonts w:asciiTheme="minorHAnsi" w:eastAsia="Verdana" w:hAnsiTheme="minorHAnsi" w:cstheme="minorHAnsi"/>
                <w:color w:val="auto"/>
                <w:kern w:val="0"/>
                <w:sz w:val="24"/>
                <w:szCs w:val="24"/>
                <w14:ligatures w14:val="none"/>
              </w:rPr>
              <w:t xml:space="preserve"> de la </w:t>
            </w:r>
            <w:r w:rsidR="000277BA" w:rsidRPr="00A75EF5">
              <w:rPr>
                <w:rFonts w:asciiTheme="minorHAnsi" w:eastAsia="Verdana" w:hAnsiTheme="minorHAnsi" w:cstheme="minorHAnsi"/>
                <w:color w:val="auto"/>
                <w:kern w:val="0"/>
                <w:sz w:val="24"/>
                <w:szCs w:val="24"/>
                <w14:ligatures w14:val="none"/>
              </w:rPr>
              <w:t>vulnérabilité</w:t>
            </w:r>
            <w:r w:rsidRPr="00A75EF5">
              <w:rPr>
                <w:rFonts w:asciiTheme="minorHAnsi" w:eastAsia="Verdana" w:hAnsiTheme="minorHAnsi" w:cstheme="minorHAnsi"/>
                <w:color w:val="auto"/>
                <w:kern w:val="0"/>
                <w:sz w:val="24"/>
                <w:szCs w:val="24"/>
                <w14:ligatures w14:val="none"/>
              </w:rPr>
              <w:t xml:space="preserve"> et adaptation aux changements </w:t>
            </w:r>
            <w:r w:rsidR="004A2F2E" w:rsidRPr="00A75EF5">
              <w:rPr>
                <w:rFonts w:asciiTheme="minorHAnsi" w:eastAsia="Verdana" w:hAnsiTheme="minorHAnsi" w:cstheme="minorHAnsi"/>
                <w:color w:val="auto"/>
                <w:kern w:val="0"/>
                <w:sz w:val="24"/>
                <w:szCs w:val="24"/>
                <w14:ligatures w14:val="none"/>
              </w:rPr>
              <w:t>climatiques du</w:t>
            </w:r>
            <w:r w:rsidRPr="00A75EF5">
              <w:rPr>
                <w:rFonts w:asciiTheme="minorHAnsi" w:eastAsia="Verdana" w:hAnsiTheme="minorHAnsi" w:cstheme="minorHAnsi"/>
                <w:color w:val="auto"/>
                <w:kern w:val="0"/>
                <w:sz w:val="24"/>
                <w:szCs w:val="24"/>
                <w14:ligatures w14:val="none"/>
              </w:rPr>
              <w:t xml:space="preserve"> secteur des </w:t>
            </w:r>
            <w:r w:rsidR="001228B5">
              <w:rPr>
                <w:rFonts w:asciiTheme="minorHAnsi" w:eastAsia="Verdana" w:hAnsiTheme="minorHAnsi" w:cstheme="minorHAnsi"/>
                <w:color w:val="auto"/>
                <w:kern w:val="0"/>
                <w:sz w:val="24"/>
                <w:szCs w:val="24"/>
                <w14:ligatures w14:val="none"/>
              </w:rPr>
              <w:t>P</w:t>
            </w:r>
            <w:r w:rsidR="004A2F2E" w:rsidRPr="00A75EF5">
              <w:rPr>
                <w:rFonts w:asciiTheme="minorHAnsi" w:eastAsia="Verdana" w:hAnsiTheme="minorHAnsi" w:cstheme="minorHAnsi"/>
                <w:color w:val="auto"/>
                <w:kern w:val="0"/>
                <w:sz w:val="24"/>
                <w:szCs w:val="24"/>
                <w14:ligatures w14:val="none"/>
              </w:rPr>
              <w:t>êches maritimes</w:t>
            </w:r>
            <w:r w:rsidR="004A2F2E">
              <w:rPr>
                <w:rFonts w:asciiTheme="minorHAnsi" w:eastAsia="Verdana" w:hAnsiTheme="minorHAnsi" w:cstheme="minorHAnsi"/>
                <w:color w:val="auto"/>
                <w:kern w:val="0"/>
                <w:sz w:val="24"/>
                <w:szCs w:val="24"/>
                <w14:ligatures w14:val="none"/>
              </w:rPr>
              <w:t xml:space="preserve"> </w:t>
            </w:r>
          </w:p>
        </w:tc>
        <w:tc>
          <w:tcPr>
            <w:tcW w:w="2410" w:type="dxa"/>
            <w:vAlign w:val="center"/>
          </w:tcPr>
          <w:p w14:paraId="20D93FD5" w14:textId="4A200CCA" w:rsidR="006D0E59" w:rsidRPr="001228B5" w:rsidRDefault="0055238A" w:rsidP="002D1362">
            <w:pPr>
              <w:pStyle w:val="Corpsdetexte"/>
              <w:spacing w:before="0" w:line="276" w:lineRule="auto"/>
              <w:jc w:val="left"/>
              <w:rPr>
                <w:rFonts w:ascii="Century Gothic" w:hAnsi="Century Gothic" w:cs="Arial"/>
                <w:b/>
                <w:bCs/>
                <w:sz w:val="22"/>
                <w:szCs w:val="22"/>
              </w:rPr>
            </w:pPr>
            <w:r>
              <w:rPr>
                <w:rFonts w:ascii="Century Gothic" w:hAnsi="Century Gothic" w:cs="Arial"/>
                <w:b/>
                <w:bCs/>
                <w:sz w:val="22"/>
                <w:szCs w:val="22"/>
              </w:rPr>
              <w:t xml:space="preserve">Dr. </w:t>
            </w:r>
            <w:r w:rsidR="00CB712E" w:rsidRPr="001228B5">
              <w:rPr>
                <w:rFonts w:ascii="Century Gothic" w:hAnsi="Century Gothic" w:cs="Arial"/>
                <w:b/>
                <w:bCs/>
                <w:sz w:val="22"/>
                <w:szCs w:val="22"/>
              </w:rPr>
              <w:t xml:space="preserve">SIDI </w:t>
            </w:r>
            <w:r>
              <w:rPr>
                <w:rFonts w:ascii="Century Gothic" w:hAnsi="Century Gothic" w:cs="Arial"/>
                <w:b/>
                <w:bCs/>
                <w:sz w:val="22"/>
                <w:szCs w:val="22"/>
              </w:rPr>
              <w:t xml:space="preserve">El </w:t>
            </w:r>
            <w:r w:rsidR="00410A50" w:rsidRPr="001228B5">
              <w:rPr>
                <w:rFonts w:ascii="Century Gothic" w:hAnsi="Century Gothic" w:cs="Arial"/>
                <w:b/>
                <w:bCs/>
                <w:sz w:val="22"/>
                <w:szCs w:val="22"/>
              </w:rPr>
              <w:t xml:space="preserve">Moktar Taleb Hamme </w:t>
            </w:r>
          </w:p>
        </w:tc>
        <w:tc>
          <w:tcPr>
            <w:tcW w:w="1023" w:type="dxa"/>
            <w:vAlign w:val="center"/>
          </w:tcPr>
          <w:p w14:paraId="49728860" w14:textId="7CD487BF" w:rsidR="006D0E59" w:rsidRPr="00C94C9C" w:rsidRDefault="00CB712E" w:rsidP="002D1362">
            <w:pPr>
              <w:pStyle w:val="Corpsdetexte"/>
              <w:spacing w:before="0" w:line="276" w:lineRule="auto"/>
              <w:jc w:val="center"/>
              <w:rPr>
                <w:rFonts w:ascii="Century Gothic" w:hAnsi="Century Gothic" w:cs="Arial"/>
                <w:b/>
                <w:bCs/>
              </w:rPr>
            </w:pPr>
            <w:r>
              <w:rPr>
                <w:rFonts w:ascii="Century Gothic" w:hAnsi="Century Gothic" w:cs="Arial"/>
                <w:b/>
                <w:bCs/>
              </w:rPr>
              <w:t>285</w:t>
            </w:r>
          </w:p>
        </w:tc>
      </w:tr>
      <w:tr w:rsidR="00A75EF5" w:rsidRPr="00A83A75" w14:paraId="3057F412" w14:textId="77777777" w:rsidTr="009D5FE3">
        <w:tc>
          <w:tcPr>
            <w:tcW w:w="1148" w:type="dxa"/>
            <w:vAlign w:val="center"/>
          </w:tcPr>
          <w:p w14:paraId="2DEE2D50" w14:textId="75A5F550" w:rsidR="006D0E59" w:rsidRPr="00C94C9C" w:rsidRDefault="0063325C" w:rsidP="002D1362">
            <w:pPr>
              <w:pStyle w:val="Corpsdetexte"/>
              <w:spacing w:before="0" w:line="276" w:lineRule="auto"/>
              <w:jc w:val="center"/>
              <w:rPr>
                <w:rFonts w:ascii="Century Gothic" w:hAnsi="Century Gothic" w:cs="Arial"/>
                <w:b/>
                <w:bCs/>
              </w:rPr>
            </w:pPr>
            <w:r>
              <w:rPr>
                <w:rFonts w:ascii="Century Gothic" w:hAnsi="Century Gothic" w:cs="Arial"/>
                <w:b/>
                <w:bCs/>
              </w:rPr>
              <w:t>05</w:t>
            </w:r>
          </w:p>
        </w:tc>
        <w:tc>
          <w:tcPr>
            <w:tcW w:w="5368" w:type="dxa"/>
          </w:tcPr>
          <w:p w14:paraId="254D1E85" w14:textId="1E319416" w:rsidR="006D0E59" w:rsidRPr="000277BA" w:rsidRDefault="000277BA" w:rsidP="004A2F2E">
            <w:pPr>
              <w:pStyle w:val="Titre2"/>
              <w:jc w:val="both"/>
              <w:rPr>
                <w:rFonts w:asciiTheme="minorHAnsi" w:eastAsia="Verdana" w:hAnsiTheme="minorHAnsi" w:cstheme="minorHAnsi"/>
                <w:color w:val="auto"/>
                <w:kern w:val="0"/>
                <w:sz w:val="24"/>
                <w:szCs w:val="24"/>
                <w14:ligatures w14:val="none"/>
              </w:rPr>
            </w:pPr>
            <w:r w:rsidRPr="00A75EF5">
              <w:rPr>
                <w:rFonts w:asciiTheme="minorHAnsi" w:eastAsia="Verdana" w:hAnsiTheme="minorHAnsi" w:cstheme="minorHAnsi"/>
                <w:color w:val="auto"/>
                <w:kern w:val="0"/>
                <w:sz w:val="24"/>
                <w:szCs w:val="24"/>
                <w14:ligatures w14:val="none"/>
              </w:rPr>
              <w:t>Évaluation</w:t>
            </w:r>
            <w:r w:rsidR="00A75EF5" w:rsidRPr="00A75EF5">
              <w:rPr>
                <w:rFonts w:asciiTheme="minorHAnsi" w:eastAsia="Verdana" w:hAnsiTheme="minorHAnsi" w:cstheme="minorHAnsi"/>
                <w:color w:val="auto"/>
                <w:kern w:val="0"/>
                <w:sz w:val="24"/>
                <w:szCs w:val="24"/>
                <w14:ligatures w14:val="none"/>
              </w:rPr>
              <w:t xml:space="preserve"> de la vulnérabilité et l’adaptation aux </w:t>
            </w:r>
            <w:r w:rsidR="005E40A4">
              <w:rPr>
                <w:rFonts w:asciiTheme="minorHAnsi" w:eastAsia="Verdana" w:hAnsiTheme="minorHAnsi" w:cstheme="minorHAnsi"/>
                <w:color w:val="auto"/>
                <w:kern w:val="0"/>
                <w:sz w:val="24"/>
                <w:szCs w:val="24"/>
                <w14:ligatures w14:val="none"/>
              </w:rPr>
              <w:t>CC</w:t>
            </w:r>
            <w:r w:rsidR="00A75EF5" w:rsidRPr="00A75EF5">
              <w:rPr>
                <w:rFonts w:asciiTheme="minorHAnsi" w:eastAsia="Verdana" w:hAnsiTheme="minorHAnsi" w:cstheme="minorHAnsi"/>
                <w:color w:val="auto"/>
                <w:kern w:val="0"/>
                <w:sz w:val="24"/>
                <w:szCs w:val="24"/>
                <w14:ligatures w14:val="none"/>
              </w:rPr>
              <w:t xml:space="preserve"> du secteur des </w:t>
            </w:r>
            <w:r w:rsidR="001228B5">
              <w:rPr>
                <w:rFonts w:asciiTheme="minorHAnsi" w:eastAsia="Verdana" w:hAnsiTheme="minorHAnsi" w:cstheme="minorHAnsi"/>
                <w:color w:val="auto"/>
                <w:kern w:val="0"/>
                <w:sz w:val="24"/>
                <w:szCs w:val="24"/>
                <w14:ligatures w14:val="none"/>
              </w:rPr>
              <w:t>P</w:t>
            </w:r>
            <w:r w:rsidR="00A75EF5" w:rsidRPr="00A75EF5">
              <w:rPr>
                <w:rFonts w:asciiTheme="minorHAnsi" w:eastAsia="Verdana" w:hAnsiTheme="minorHAnsi" w:cstheme="minorHAnsi"/>
                <w:color w:val="auto"/>
                <w:kern w:val="0"/>
                <w:sz w:val="24"/>
                <w:szCs w:val="24"/>
                <w14:ligatures w14:val="none"/>
              </w:rPr>
              <w:t>êche</w:t>
            </w:r>
            <w:r w:rsidR="001228B5">
              <w:rPr>
                <w:rFonts w:asciiTheme="minorHAnsi" w:eastAsia="Verdana" w:hAnsiTheme="minorHAnsi" w:cstheme="minorHAnsi"/>
                <w:color w:val="auto"/>
                <w:kern w:val="0"/>
                <w:sz w:val="24"/>
                <w:szCs w:val="24"/>
                <w14:ligatures w14:val="none"/>
              </w:rPr>
              <w:t>s</w:t>
            </w:r>
            <w:r w:rsidR="00A75EF5" w:rsidRPr="00A75EF5">
              <w:rPr>
                <w:rFonts w:asciiTheme="minorHAnsi" w:eastAsia="Verdana" w:hAnsiTheme="minorHAnsi" w:cstheme="minorHAnsi"/>
                <w:color w:val="auto"/>
                <w:kern w:val="0"/>
                <w:sz w:val="24"/>
                <w:szCs w:val="24"/>
                <w14:ligatures w14:val="none"/>
              </w:rPr>
              <w:t xml:space="preserve"> continentale</w:t>
            </w:r>
            <w:r w:rsidR="001228B5">
              <w:rPr>
                <w:rFonts w:asciiTheme="minorHAnsi" w:eastAsia="Verdana" w:hAnsiTheme="minorHAnsi" w:cstheme="minorHAnsi"/>
                <w:color w:val="auto"/>
                <w:kern w:val="0"/>
                <w:sz w:val="24"/>
                <w:szCs w:val="24"/>
                <w14:ligatures w14:val="none"/>
              </w:rPr>
              <w:t>s</w:t>
            </w:r>
            <w:r w:rsidR="00A75EF5" w:rsidRPr="00A75EF5">
              <w:rPr>
                <w:rFonts w:asciiTheme="minorHAnsi" w:eastAsia="Verdana" w:hAnsiTheme="minorHAnsi" w:cstheme="minorHAnsi"/>
                <w:color w:val="auto"/>
                <w:kern w:val="0"/>
                <w:sz w:val="24"/>
                <w:szCs w:val="24"/>
                <w14:ligatures w14:val="none"/>
              </w:rPr>
              <w:t xml:space="preserve"> </w:t>
            </w:r>
          </w:p>
        </w:tc>
        <w:tc>
          <w:tcPr>
            <w:tcW w:w="2410" w:type="dxa"/>
            <w:vAlign w:val="center"/>
          </w:tcPr>
          <w:p w14:paraId="1A98A099" w14:textId="254A0F54" w:rsidR="006D0E59" w:rsidRPr="001228B5" w:rsidRDefault="0063325C" w:rsidP="002D1362">
            <w:pPr>
              <w:pStyle w:val="Corpsdetexte"/>
              <w:spacing w:before="0" w:line="276" w:lineRule="auto"/>
              <w:jc w:val="left"/>
              <w:rPr>
                <w:rFonts w:ascii="Century Gothic" w:hAnsi="Century Gothic" w:cs="Arial"/>
                <w:b/>
                <w:bCs/>
                <w:sz w:val="22"/>
                <w:szCs w:val="22"/>
              </w:rPr>
            </w:pPr>
            <w:r w:rsidRPr="001228B5">
              <w:rPr>
                <w:rFonts w:ascii="Century Gothic" w:hAnsi="Century Gothic" w:cs="Arial"/>
                <w:b/>
                <w:bCs/>
                <w:sz w:val="22"/>
                <w:szCs w:val="22"/>
              </w:rPr>
              <w:t xml:space="preserve">SY </w:t>
            </w:r>
            <w:r w:rsidR="00410A50" w:rsidRPr="001228B5">
              <w:rPr>
                <w:rFonts w:ascii="Century Gothic" w:hAnsi="Century Gothic" w:cs="Arial"/>
                <w:b/>
                <w:bCs/>
                <w:sz w:val="22"/>
                <w:szCs w:val="22"/>
              </w:rPr>
              <w:t>Moussa Harouna</w:t>
            </w:r>
          </w:p>
        </w:tc>
        <w:tc>
          <w:tcPr>
            <w:tcW w:w="1023" w:type="dxa"/>
            <w:vAlign w:val="center"/>
          </w:tcPr>
          <w:p w14:paraId="6C55BD9C" w14:textId="01C4CF86" w:rsidR="006D0E59" w:rsidRPr="00C94C9C" w:rsidRDefault="0063325C" w:rsidP="002D1362">
            <w:pPr>
              <w:pStyle w:val="Corpsdetexte"/>
              <w:spacing w:before="0" w:line="276" w:lineRule="auto"/>
              <w:jc w:val="center"/>
              <w:rPr>
                <w:rFonts w:ascii="Century Gothic" w:hAnsi="Century Gothic" w:cs="Arial"/>
                <w:b/>
                <w:bCs/>
              </w:rPr>
            </w:pPr>
            <w:r>
              <w:rPr>
                <w:rFonts w:ascii="Century Gothic" w:hAnsi="Century Gothic" w:cs="Arial"/>
                <w:b/>
                <w:bCs/>
              </w:rPr>
              <w:t>322</w:t>
            </w:r>
          </w:p>
        </w:tc>
      </w:tr>
      <w:tr w:rsidR="00A75EF5" w:rsidRPr="00A83A75" w14:paraId="101F8B9C" w14:textId="77777777" w:rsidTr="009D5FE3">
        <w:tc>
          <w:tcPr>
            <w:tcW w:w="1148" w:type="dxa"/>
            <w:vAlign w:val="center"/>
          </w:tcPr>
          <w:p w14:paraId="393B2DAE" w14:textId="7CA62F59" w:rsidR="006D0E59" w:rsidRPr="00C94C9C" w:rsidRDefault="00B93463" w:rsidP="002D1362">
            <w:pPr>
              <w:pStyle w:val="Corpsdetexte"/>
              <w:spacing w:before="0" w:line="276" w:lineRule="auto"/>
              <w:jc w:val="center"/>
              <w:rPr>
                <w:rFonts w:ascii="Century Gothic" w:hAnsi="Century Gothic" w:cs="Arial"/>
                <w:b/>
                <w:bCs/>
              </w:rPr>
            </w:pPr>
            <w:r>
              <w:rPr>
                <w:rFonts w:ascii="Century Gothic" w:hAnsi="Century Gothic" w:cs="Arial"/>
                <w:b/>
                <w:bCs/>
              </w:rPr>
              <w:t>06</w:t>
            </w:r>
          </w:p>
        </w:tc>
        <w:tc>
          <w:tcPr>
            <w:tcW w:w="5368" w:type="dxa"/>
          </w:tcPr>
          <w:p w14:paraId="2E544F91" w14:textId="56113CDC" w:rsidR="006D0E59" w:rsidRPr="000277BA" w:rsidRDefault="000277BA" w:rsidP="004A2F2E">
            <w:pPr>
              <w:pStyle w:val="Titre2"/>
              <w:jc w:val="both"/>
              <w:rPr>
                <w:rFonts w:asciiTheme="minorHAnsi" w:eastAsia="Verdana" w:hAnsiTheme="minorHAnsi" w:cstheme="minorHAnsi"/>
                <w:color w:val="auto"/>
                <w:kern w:val="0"/>
                <w:sz w:val="24"/>
                <w:szCs w:val="24"/>
                <w14:ligatures w14:val="none"/>
              </w:rPr>
            </w:pPr>
            <w:r w:rsidRPr="00A75EF5">
              <w:rPr>
                <w:rFonts w:asciiTheme="minorHAnsi" w:eastAsia="Verdana" w:hAnsiTheme="minorHAnsi" w:cstheme="minorHAnsi"/>
                <w:color w:val="auto"/>
                <w:kern w:val="0"/>
                <w:sz w:val="24"/>
                <w:szCs w:val="24"/>
                <w14:ligatures w14:val="none"/>
              </w:rPr>
              <w:t>Evaluation</w:t>
            </w:r>
            <w:r w:rsidR="00A75EF5" w:rsidRPr="00A75EF5">
              <w:rPr>
                <w:rFonts w:asciiTheme="minorHAnsi" w:eastAsia="Verdana" w:hAnsiTheme="minorHAnsi" w:cstheme="minorHAnsi"/>
                <w:color w:val="auto"/>
                <w:kern w:val="0"/>
                <w:sz w:val="24"/>
                <w:szCs w:val="24"/>
                <w14:ligatures w14:val="none"/>
              </w:rPr>
              <w:t xml:space="preserve"> de la </w:t>
            </w:r>
            <w:r w:rsidRPr="00A75EF5">
              <w:rPr>
                <w:rFonts w:asciiTheme="minorHAnsi" w:eastAsia="Verdana" w:hAnsiTheme="minorHAnsi" w:cstheme="minorHAnsi"/>
                <w:color w:val="auto"/>
                <w:kern w:val="0"/>
                <w:sz w:val="24"/>
                <w:szCs w:val="24"/>
                <w14:ligatures w14:val="none"/>
              </w:rPr>
              <w:t>vulnérabilité</w:t>
            </w:r>
            <w:r w:rsidR="00A75EF5" w:rsidRPr="00A75EF5">
              <w:rPr>
                <w:rFonts w:asciiTheme="minorHAnsi" w:eastAsia="Verdana" w:hAnsiTheme="minorHAnsi" w:cstheme="minorHAnsi"/>
                <w:color w:val="auto"/>
                <w:kern w:val="0"/>
                <w:sz w:val="24"/>
                <w:szCs w:val="24"/>
                <w14:ligatures w14:val="none"/>
              </w:rPr>
              <w:t xml:space="preserve"> et adaptation aux changements climatiques du secteur de l’</w:t>
            </w:r>
            <w:r w:rsidRPr="00A75EF5">
              <w:rPr>
                <w:rFonts w:asciiTheme="minorHAnsi" w:eastAsia="Verdana" w:hAnsiTheme="minorHAnsi" w:cstheme="minorHAnsi"/>
                <w:color w:val="auto"/>
                <w:kern w:val="0"/>
                <w:sz w:val="24"/>
                <w:szCs w:val="24"/>
                <w14:ligatures w14:val="none"/>
              </w:rPr>
              <w:t>élevage</w:t>
            </w:r>
            <w:r w:rsidR="00A75EF5" w:rsidRPr="00A75EF5">
              <w:rPr>
                <w:rFonts w:asciiTheme="minorHAnsi" w:eastAsia="Verdana" w:hAnsiTheme="minorHAnsi" w:cstheme="minorHAnsi"/>
                <w:color w:val="auto"/>
                <w:kern w:val="0"/>
                <w:sz w:val="24"/>
                <w:szCs w:val="24"/>
                <w14:ligatures w14:val="none"/>
              </w:rPr>
              <w:t xml:space="preserve"> et des ressources animales </w:t>
            </w:r>
          </w:p>
        </w:tc>
        <w:tc>
          <w:tcPr>
            <w:tcW w:w="2410" w:type="dxa"/>
            <w:vAlign w:val="center"/>
          </w:tcPr>
          <w:p w14:paraId="737D41F8" w14:textId="62AE9F71" w:rsidR="006D0E59" w:rsidRPr="001228B5" w:rsidRDefault="00B93463" w:rsidP="002D1362">
            <w:pPr>
              <w:pStyle w:val="Corpsdetexte"/>
              <w:spacing w:before="0" w:line="276" w:lineRule="auto"/>
              <w:jc w:val="left"/>
              <w:rPr>
                <w:rFonts w:ascii="Century Gothic" w:hAnsi="Century Gothic" w:cs="Arial"/>
                <w:b/>
                <w:bCs/>
                <w:sz w:val="22"/>
                <w:szCs w:val="22"/>
              </w:rPr>
            </w:pPr>
            <w:r w:rsidRPr="001228B5">
              <w:rPr>
                <w:rFonts w:ascii="Century Gothic" w:hAnsi="Century Gothic" w:cs="Arial"/>
                <w:b/>
                <w:bCs/>
                <w:sz w:val="22"/>
                <w:szCs w:val="22"/>
              </w:rPr>
              <w:t>Sow Aboubecrine</w:t>
            </w:r>
          </w:p>
        </w:tc>
        <w:tc>
          <w:tcPr>
            <w:tcW w:w="1023" w:type="dxa"/>
            <w:vAlign w:val="center"/>
          </w:tcPr>
          <w:p w14:paraId="2758AE32" w14:textId="26DA2085" w:rsidR="006D0E59" w:rsidRPr="00C94C9C" w:rsidRDefault="00B93463" w:rsidP="002D1362">
            <w:pPr>
              <w:pStyle w:val="Corpsdetexte"/>
              <w:spacing w:before="0" w:line="276" w:lineRule="auto"/>
              <w:jc w:val="center"/>
              <w:rPr>
                <w:rFonts w:ascii="Century Gothic" w:hAnsi="Century Gothic" w:cs="Arial"/>
                <w:b/>
                <w:bCs/>
              </w:rPr>
            </w:pPr>
            <w:r>
              <w:rPr>
                <w:rFonts w:ascii="Century Gothic" w:hAnsi="Century Gothic" w:cs="Arial"/>
                <w:b/>
                <w:bCs/>
              </w:rPr>
              <w:t>354</w:t>
            </w:r>
          </w:p>
        </w:tc>
      </w:tr>
      <w:tr w:rsidR="00A75EF5" w:rsidRPr="00A83A75" w14:paraId="2FC0CB00" w14:textId="77777777" w:rsidTr="009D5FE3">
        <w:tc>
          <w:tcPr>
            <w:tcW w:w="1148" w:type="dxa"/>
            <w:vAlign w:val="center"/>
          </w:tcPr>
          <w:p w14:paraId="253B922D" w14:textId="3DB6C4B8" w:rsidR="006D0E59" w:rsidRPr="00C94C9C" w:rsidRDefault="00B93463" w:rsidP="002D1362">
            <w:pPr>
              <w:pStyle w:val="Corpsdetexte"/>
              <w:spacing w:before="0" w:line="276" w:lineRule="auto"/>
              <w:jc w:val="center"/>
              <w:rPr>
                <w:rFonts w:ascii="Century Gothic" w:hAnsi="Century Gothic" w:cs="Arial"/>
                <w:b/>
                <w:bCs/>
              </w:rPr>
            </w:pPr>
            <w:r>
              <w:rPr>
                <w:rFonts w:ascii="Century Gothic" w:hAnsi="Century Gothic" w:cs="Arial"/>
                <w:b/>
                <w:bCs/>
              </w:rPr>
              <w:t>07</w:t>
            </w:r>
          </w:p>
        </w:tc>
        <w:tc>
          <w:tcPr>
            <w:tcW w:w="5368" w:type="dxa"/>
          </w:tcPr>
          <w:p w14:paraId="79638C28" w14:textId="6E58A4F4" w:rsidR="006D0E59" w:rsidRPr="000277BA" w:rsidRDefault="00015A65" w:rsidP="001228B5">
            <w:pPr>
              <w:jc w:val="both"/>
              <w:rPr>
                <w:rFonts w:cstheme="minorHAnsi"/>
              </w:rPr>
            </w:pPr>
            <w:r w:rsidRPr="00A75EF5">
              <w:rPr>
                <w:rFonts w:eastAsia="Verdana" w:cstheme="minorHAnsi"/>
                <w:sz w:val="24"/>
                <w:szCs w:val="24"/>
              </w:rPr>
              <w:t xml:space="preserve">Evaluation </w:t>
            </w:r>
            <w:r w:rsidR="00A75EF5" w:rsidRPr="00A75EF5">
              <w:rPr>
                <w:rFonts w:eastAsia="Verdana" w:cstheme="minorHAnsi"/>
                <w:sz w:val="24"/>
                <w:szCs w:val="24"/>
              </w:rPr>
              <w:t>de la vulnérabilité et adaptation au changement climatique du</w:t>
            </w:r>
            <w:r w:rsidR="001228B5">
              <w:rPr>
                <w:rFonts w:eastAsia="Verdana" w:cstheme="minorHAnsi"/>
                <w:sz w:val="24"/>
                <w:szCs w:val="24"/>
              </w:rPr>
              <w:t xml:space="preserve"> </w:t>
            </w:r>
            <w:r w:rsidR="000277BA" w:rsidRPr="004A2F2E">
              <w:rPr>
                <w:rFonts w:eastAsia="Verdana" w:cstheme="minorHAnsi"/>
                <w:sz w:val="24"/>
                <w:szCs w:val="24"/>
              </w:rPr>
              <w:t>Secteur</w:t>
            </w:r>
            <w:r w:rsidR="00A75EF5" w:rsidRPr="004A2F2E">
              <w:rPr>
                <w:rFonts w:eastAsia="Verdana" w:cstheme="minorHAnsi"/>
                <w:sz w:val="24"/>
                <w:szCs w:val="24"/>
              </w:rPr>
              <w:t xml:space="preserve"> de l’agriculture</w:t>
            </w:r>
          </w:p>
        </w:tc>
        <w:tc>
          <w:tcPr>
            <w:tcW w:w="2410" w:type="dxa"/>
            <w:vAlign w:val="center"/>
          </w:tcPr>
          <w:p w14:paraId="7B04C321" w14:textId="14AB430C" w:rsidR="006D0E59" w:rsidRPr="001228B5" w:rsidRDefault="00410A50" w:rsidP="002D1362">
            <w:pPr>
              <w:pStyle w:val="Corpsdetexte"/>
              <w:spacing w:before="0" w:line="276" w:lineRule="auto"/>
              <w:jc w:val="left"/>
              <w:rPr>
                <w:rFonts w:ascii="Century Gothic" w:hAnsi="Century Gothic" w:cs="Arial"/>
                <w:b/>
                <w:bCs/>
                <w:sz w:val="22"/>
                <w:szCs w:val="22"/>
                <w:lang w:val="en-US"/>
              </w:rPr>
            </w:pPr>
            <w:r w:rsidRPr="001228B5">
              <w:rPr>
                <w:rFonts w:ascii="Century Gothic" w:hAnsi="Century Gothic" w:cs="Arial"/>
                <w:b/>
                <w:bCs/>
                <w:sz w:val="22"/>
                <w:szCs w:val="22"/>
                <w:lang w:val="en-US"/>
              </w:rPr>
              <w:t>Mohamed Sidi Bolla El Wavi</w:t>
            </w:r>
          </w:p>
        </w:tc>
        <w:tc>
          <w:tcPr>
            <w:tcW w:w="1023" w:type="dxa"/>
            <w:vAlign w:val="center"/>
          </w:tcPr>
          <w:p w14:paraId="00BEB8B6" w14:textId="00A06DB4" w:rsidR="006D0E59" w:rsidRPr="00C94C9C" w:rsidRDefault="00B93463" w:rsidP="002D1362">
            <w:pPr>
              <w:pStyle w:val="Corpsdetexte"/>
              <w:spacing w:before="0" w:line="276" w:lineRule="auto"/>
              <w:jc w:val="center"/>
              <w:rPr>
                <w:rFonts w:ascii="Century Gothic" w:hAnsi="Century Gothic" w:cs="Arial"/>
                <w:b/>
                <w:bCs/>
              </w:rPr>
            </w:pPr>
            <w:r>
              <w:rPr>
                <w:rFonts w:ascii="Century Gothic" w:hAnsi="Century Gothic" w:cs="Arial"/>
                <w:b/>
                <w:bCs/>
              </w:rPr>
              <w:t>359</w:t>
            </w:r>
          </w:p>
        </w:tc>
      </w:tr>
      <w:tr w:rsidR="000277BA" w:rsidRPr="00A83A75" w14:paraId="1134B616" w14:textId="77777777" w:rsidTr="009D5FE3">
        <w:tc>
          <w:tcPr>
            <w:tcW w:w="1148" w:type="dxa"/>
            <w:vAlign w:val="center"/>
          </w:tcPr>
          <w:p w14:paraId="12389147" w14:textId="63373EA1" w:rsidR="00BC6C8B" w:rsidRPr="00C94C9C" w:rsidRDefault="00BC6C8B" w:rsidP="00BC6C8B">
            <w:pPr>
              <w:pStyle w:val="Corpsdetexte"/>
              <w:spacing w:before="0" w:line="276" w:lineRule="auto"/>
              <w:jc w:val="center"/>
              <w:rPr>
                <w:rFonts w:ascii="Century Gothic" w:hAnsi="Century Gothic" w:cs="Arial"/>
                <w:b/>
                <w:bCs/>
              </w:rPr>
            </w:pPr>
            <w:r>
              <w:rPr>
                <w:rFonts w:ascii="Century Gothic" w:hAnsi="Century Gothic" w:cs="Arial"/>
                <w:b/>
                <w:bCs/>
              </w:rPr>
              <w:t>08</w:t>
            </w:r>
          </w:p>
        </w:tc>
        <w:tc>
          <w:tcPr>
            <w:tcW w:w="5368" w:type="dxa"/>
          </w:tcPr>
          <w:p w14:paraId="1F29FA58" w14:textId="35A912C6" w:rsidR="00BC6C8B" w:rsidRPr="004A2F2E" w:rsidRDefault="00015A65" w:rsidP="004A2F2E">
            <w:pPr>
              <w:pStyle w:val="CoverHeading1"/>
              <w:spacing w:before="120"/>
              <w:jc w:val="both"/>
              <w:rPr>
                <w:rFonts w:asciiTheme="minorHAnsi" w:hAnsiTheme="minorHAnsi" w:cstheme="minorHAnsi"/>
                <w:b w:val="0"/>
                <w:lang w:val="fr-FR"/>
              </w:rPr>
            </w:pPr>
            <w:r w:rsidRPr="00A75EF5">
              <w:rPr>
                <w:rFonts w:asciiTheme="minorHAnsi" w:eastAsia="Verdana" w:hAnsiTheme="minorHAnsi" w:cstheme="minorHAnsi"/>
                <w:b w:val="0"/>
                <w:sz w:val="24"/>
                <w:szCs w:val="24"/>
                <w:lang w:val="fr-FR" w:eastAsia="en-US"/>
              </w:rPr>
              <w:t xml:space="preserve">Evaluation </w:t>
            </w:r>
            <w:r w:rsidR="00A75EF5" w:rsidRPr="00A75EF5">
              <w:rPr>
                <w:rFonts w:asciiTheme="minorHAnsi" w:eastAsia="Verdana" w:hAnsiTheme="minorHAnsi" w:cstheme="minorHAnsi"/>
                <w:b w:val="0"/>
                <w:sz w:val="24"/>
                <w:szCs w:val="24"/>
                <w:lang w:val="fr-FR" w:eastAsia="en-US"/>
              </w:rPr>
              <w:t xml:space="preserve">de la vulnérabilité aux changements climatiques et adaptation du secteur de la santé </w:t>
            </w:r>
          </w:p>
        </w:tc>
        <w:tc>
          <w:tcPr>
            <w:tcW w:w="2410" w:type="dxa"/>
            <w:vAlign w:val="center"/>
          </w:tcPr>
          <w:p w14:paraId="2875BDE0" w14:textId="14420ECE" w:rsidR="00BC6C8B" w:rsidRPr="001228B5" w:rsidRDefault="00BC6C8B" w:rsidP="005E40A4">
            <w:pPr>
              <w:pStyle w:val="Corpsdetexte"/>
              <w:spacing w:before="0" w:line="276" w:lineRule="auto"/>
              <w:jc w:val="center"/>
              <w:rPr>
                <w:rFonts w:ascii="Century Gothic" w:hAnsi="Century Gothic" w:cs="Arial"/>
                <w:b/>
                <w:bCs/>
                <w:sz w:val="22"/>
                <w:szCs w:val="22"/>
              </w:rPr>
            </w:pPr>
            <w:r w:rsidRPr="001228B5">
              <w:rPr>
                <w:rFonts w:ascii="Century Gothic" w:hAnsi="Century Gothic" w:cs="Arial"/>
                <w:b/>
                <w:bCs/>
                <w:sz w:val="22"/>
                <w:szCs w:val="22"/>
              </w:rPr>
              <w:t xml:space="preserve">Dr Aminetou </w:t>
            </w:r>
            <w:r w:rsidR="001228B5" w:rsidRPr="001228B5">
              <w:rPr>
                <w:rFonts w:ascii="Century Gothic" w:hAnsi="Century Gothic" w:cs="Arial"/>
                <w:b/>
                <w:bCs/>
                <w:sz w:val="22"/>
                <w:szCs w:val="22"/>
              </w:rPr>
              <w:t>Ahmed Louly</w:t>
            </w:r>
          </w:p>
        </w:tc>
        <w:tc>
          <w:tcPr>
            <w:tcW w:w="1023" w:type="dxa"/>
            <w:vAlign w:val="center"/>
          </w:tcPr>
          <w:p w14:paraId="48020989" w14:textId="6E103BED" w:rsidR="00BC6C8B" w:rsidRPr="00C94C9C" w:rsidRDefault="00BC6C8B" w:rsidP="00BC6C8B">
            <w:pPr>
              <w:pStyle w:val="Corpsdetexte"/>
              <w:spacing w:before="0" w:line="276" w:lineRule="auto"/>
              <w:jc w:val="center"/>
              <w:rPr>
                <w:rFonts w:ascii="Century Gothic" w:hAnsi="Century Gothic" w:cs="Arial"/>
                <w:b/>
                <w:bCs/>
              </w:rPr>
            </w:pPr>
            <w:r>
              <w:rPr>
                <w:rFonts w:ascii="Century Gothic" w:hAnsi="Century Gothic" w:cs="Arial"/>
                <w:b/>
                <w:bCs/>
              </w:rPr>
              <w:t>3</w:t>
            </w:r>
            <w:r w:rsidR="0032081D">
              <w:rPr>
                <w:rFonts w:ascii="Century Gothic" w:hAnsi="Century Gothic" w:cs="Arial"/>
                <w:b/>
                <w:bCs/>
              </w:rPr>
              <w:t>66</w:t>
            </w:r>
          </w:p>
        </w:tc>
      </w:tr>
      <w:tr w:rsidR="00A75EF5" w:rsidRPr="00A83A75" w14:paraId="32A94FEC" w14:textId="77777777" w:rsidTr="009D5FE3">
        <w:trPr>
          <w:trHeight w:val="1000"/>
        </w:trPr>
        <w:tc>
          <w:tcPr>
            <w:tcW w:w="1148" w:type="dxa"/>
            <w:vAlign w:val="center"/>
          </w:tcPr>
          <w:p w14:paraId="2E3A159A" w14:textId="2468C53A" w:rsidR="00BC6C8B" w:rsidRPr="00C94C9C" w:rsidRDefault="00BC6C8B" w:rsidP="00BC6C8B">
            <w:pPr>
              <w:pStyle w:val="Corpsdetexte"/>
              <w:spacing w:before="0" w:line="276" w:lineRule="auto"/>
              <w:jc w:val="center"/>
              <w:rPr>
                <w:rFonts w:ascii="Century Gothic" w:hAnsi="Century Gothic" w:cs="Arial"/>
                <w:b/>
                <w:bCs/>
              </w:rPr>
            </w:pPr>
            <w:r>
              <w:rPr>
                <w:rFonts w:ascii="Century Gothic" w:hAnsi="Century Gothic" w:cs="Arial"/>
                <w:b/>
                <w:bCs/>
              </w:rPr>
              <w:t>09</w:t>
            </w:r>
          </w:p>
        </w:tc>
        <w:tc>
          <w:tcPr>
            <w:tcW w:w="5368" w:type="dxa"/>
          </w:tcPr>
          <w:p w14:paraId="055B83D9" w14:textId="6F0ADEAA" w:rsidR="00BC6C8B" w:rsidRPr="00090C68" w:rsidRDefault="001228B5" w:rsidP="005E40A4">
            <w:pPr>
              <w:pStyle w:val="CoverHeading1"/>
              <w:jc w:val="both"/>
              <w:rPr>
                <w:lang w:val="fr-FR"/>
              </w:rPr>
            </w:pPr>
            <w:r>
              <w:rPr>
                <w:rFonts w:asciiTheme="minorHAnsi" w:eastAsia="Verdana" w:hAnsiTheme="minorHAnsi" w:cstheme="minorHAnsi"/>
                <w:b w:val="0"/>
                <w:sz w:val="24"/>
                <w:szCs w:val="24"/>
                <w:lang w:val="fr-FR" w:eastAsia="en-US"/>
              </w:rPr>
              <w:t>E</w:t>
            </w:r>
            <w:r w:rsidR="00A75EF5" w:rsidRPr="00A75EF5">
              <w:rPr>
                <w:rFonts w:asciiTheme="minorHAnsi" w:eastAsia="Verdana" w:hAnsiTheme="minorHAnsi" w:cstheme="minorHAnsi"/>
                <w:b w:val="0"/>
                <w:sz w:val="24"/>
                <w:szCs w:val="24"/>
                <w:lang w:val="fr-FR" w:eastAsia="en-US"/>
              </w:rPr>
              <w:t>valuation de la vulnérabilité et adaptation au changement climatique du secteur de l’habitat, de l’urbanisme et aménagement du territoire -</w:t>
            </w:r>
            <w:r w:rsidR="00015A65" w:rsidRPr="00A75EF5">
              <w:rPr>
                <w:rFonts w:asciiTheme="minorHAnsi" w:eastAsia="Verdana" w:hAnsiTheme="minorHAnsi" w:cstheme="minorHAnsi"/>
                <w:b w:val="0"/>
                <w:sz w:val="24"/>
                <w:szCs w:val="24"/>
                <w:lang w:val="fr-FR" w:eastAsia="en-US"/>
              </w:rPr>
              <w:t>HUAT</w:t>
            </w:r>
          </w:p>
        </w:tc>
        <w:tc>
          <w:tcPr>
            <w:tcW w:w="2410" w:type="dxa"/>
            <w:vAlign w:val="center"/>
          </w:tcPr>
          <w:p w14:paraId="22DDD993" w14:textId="4A3AD912" w:rsidR="00BC6C8B" w:rsidRPr="004E687C" w:rsidRDefault="00BC6C8B" w:rsidP="005E40A4">
            <w:pPr>
              <w:pStyle w:val="Corpsdetexte"/>
              <w:spacing w:before="0" w:line="276" w:lineRule="auto"/>
              <w:ind w:right="-112"/>
              <w:jc w:val="left"/>
              <w:rPr>
                <w:rFonts w:ascii="Century Gothic" w:hAnsi="Century Gothic" w:cs="Arial"/>
                <w:b/>
                <w:bCs/>
                <w:lang w:val="en-US"/>
              </w:rPr>
            </w:pPr>
            <w:r w:rsidRPr="001228B5">
              <w:rPr>
                <w:rFonts w:ascii="Century Gothic" w:hAnsi="Century Gothic" w:cs="Arial"/>
                <w:b/>
                <w:bCs/>
                <w:sz w:val="22"/>
                <w:szCs w:val="22"/>
                <w:lang w:val="en-US"/>
              </w:rPr>
              <w:t xml:space="preserve">Mohamed Seyidi &amp; </w:t>
            </w:r>
            <w:r w:rsidRPr="009D5FE3">
              <w:rPr>
                <w:rFonts w:ascii="Century Gothic" w:hAnsi="Century Gothic" w:cs="Arial"/>
                <w:b/>
                <w:bCs/>
                <w:sz w:val="18"/>
                <w:szCs w:val="18"/>
                <w:lang w:val="en-US"/>
              </w:rPr>
              <w:t>Elhassene</w:t>
            </w:r>
            <w:r w:rsidRPr="001228B5">
              <w:rPr>
                <w:rFonts w:ascii="Century Gothic" w:hAnsi="Century Gothic" w:cs="Arial"/>
                <w:b/>
                <w:bCs/>
                <w:sz w:val="22"/>
                <w:szCs w:val="22"/>
                <w:lang w:val="en-US"/>
              </w:rPr>
              <w:t xml:space="preserve"> </w:t>
            </w:r>
            <w:r w:rsidRPr="005E40A4">
              <w:rPr>
                <w:rFonts w:ascii="Century Gothic" w:hAnsi="Century Gothic" w:cs="Arial"/>
                <w:b/>
                <w:bCs/>
                <w:sz w:val="20"/>
                <w:szCs w:val="20"/>
                <w:lang w:val="en-US"/>
              </w:rPr>
              <w:t>Ahmed</w:t>
            </w:r>
            <w:r w:rsidRPr="001228B5">
              <w:rPr>
                <w:rFonts w:ascii="Century Gothic" w:hAnsi="Century Gothic" w:cs="Arial"/>
                <w:b/>
                <w:bCs/>
                <w:sz w:val="22"/>
                <w:szCs w:val="22"/>
                <w:lang w:val="en-US"/>
              </w:rPr>
              <w:t xml:space="preserve"> </w:t>
            </w:r>
            <w:r w:rsidRPr="009D5FE3">
              <w:rPr>
                <w:rFonts w:ascii="Century Gothic" w:hAnsi="Century Gothic" w:cs="Arial"/>
                <w:b/>
                <w:bCs/>
                <w:sz w:val="18"/>
                <w:szCs w:val="18"/>
                <w:lang w:val="en-US"/>
              </w:rPr>
              <w:t>Ewbek</w:t>
            </w:r>
          </w:p>
        </w:tc>
        <w:tc>
          <w:tcPr>
            <w:tcW w:w="1023" w:type="dxa"/>
            <w:vAlign w:val="center"/>
          </w:tcPr>
          <w:p w14:paraId="33F0A9A8" w14:textId="24B7CAA2" w:rsidR="00BC6C8B" w:rsidRPr="00C94C9C" w:rsidRDefault="00E44B56" w:rsidP="00BC6C8B">
            <w:pPr>
              <w:pStyle w:val="Corpsdetexte"/>
              <w:spacing w:before="0" w:line="276" w:lineRule="auto"/>
              <w:jc w:val="center"/>
              <w:rPr>
                <w:rFonts w:ascii="Century Gothic" w:hAnsi="Century Gothic" w:cs="Arial"/>
                <w:b/>
                <w:bCs/>
              </w:rPr>
            </w:pPr>
            <w:r>
              <w:rPr>
                <w:rFonts w:ascii="Century Gothic" w:hAnsi="Century Gothic" w:cs="Arial"/>
                <w:b/>
                <w:bCs/>
              </w:rPr>
              <w:t>383</w:t>
            </w:r>
          </w:p>
        </w:tc>
      </w:tr>
      <w:tr w:rsidR="005E40A4" w:rsidRPr="00A83A75" w14:paraId="22FF1A5B" w14:textId="77777777" w:rsidTr="009D5FE3">
        <w:trPr>
          <w:trHeight w:val="841"/>
        </w:trPr>
        <w:tc>
          <w:tcPr>
            <w:tcW w:w="1148" w:type="dxa"/>
            <w:vAlign w:val="center"/>
          </w:tcPr>
          <w:p w14:paraId="246BEBED" w14:textId="3DCABDE0" w:rsidR="00BC6C8B" w:rsidRPr="00C94C9C" w:rsidRDefault="00BC6C8B" w:rsidP="00BC6C8B">
            <w:pPr>
              <w:pStyle w:val="Corpsdetexte"/>
              <w:spacing w:before="0" w:line="276" w:lineRule="auto"/>
              <w:jc w:val="center"/>
              <w:rPr>
                <w:rFonts w:ascii="Century Gothic" w:hAnsi="Century Gothic" w:cs="Arial"/>
                <w:b/>
                <w:bCs/>
              </w:rPr>
            </w:pPr>
            <w:r>
              <w:rPr>
                <w:rFonts w:ascii="Century Gothic" w:hAnsi="Century Gothic" w:cs="Arial"/>
                <w:b/>
                <w:bCs/>
              </w:rPr>
              <w:t>10</w:t>
            </w:r>
          </w:p>
        </w:tc>
        <w:tc>
          <w:tcPr>
            <w:tcW w:w="5368" w:type="dxa"/>
          </w:tcPr>
          <w:p w14:paraId="5B4698BF" w14:textId="601138C3" w:rsidR="00BC6C8B" w:rsidRPr="000277BA" w:rsidRDefault="00E44224" w:rsidP="00090C68">
            <w:pPr>
              <w:spacing w:line="259" w:lineRule="auto"/>
              <w:ind w:right="-271"/>
              <w:rPr>
                <w:rFonts w:cstheme="minorHAnsi"/>
              </w:rPr>
            </w:pPr>
            <w:r w:rsidRPr="00A75EF5">
              <w:rPr>
                <w:rFonts w:eastAsia="Verdana" w:cstheme="minorHAnsi"/>
                <w:sz w:val="24"/>
                <w:szCs w:val="24"/>
              </w:rPr>
              <w:t>Vision</w:t>
            </w:r>
            <w:r w:rsidR="00A75EF5" w:rsidRPr="00A75EF5">
              <w:rPr>
                <w:rFonts w:eastAsia="Verdana" w:cstheme="minorHAnsi"/>
                <w:sz w:val="24"/>
                <w:szCs w:val="24"/>
              </w:rPr>
              <w:t xml:space="preserve"> </w:t>
            </w:r>
            <w:r w:rsidR="00090C68">
              <w:rPr>
                <w:rFonts w:eastAsia="Verdana" w:cstheme="minorHAnsi"/>
                <w:sz w:val="24"/>
                <w:szCs w:val="24"/>
              </w:rPr>
              <w:t xml:space="preserve">islamique et </w:t>
            </w:r>
            <w:r w:rsidR="00A75EF5" w:rsidRPr="00A75EF5">
              <w:rPr>
                <w:rFonts w:eastAsia="Verdana" w:cstheme="minorHAnsi"/>
                <w:sz w:val="24"/>
                <w:szCs w:val="24"/>
              </w:rPr>
              <w:t xml:space="preserve">sociologique </w:t>
            </w:r>
            <w:r w:rsidR="00D175BF" w:rsidRPr="00A75EF5">
              <w:rPr>
                <w:rFonts w:eastAsia="Verdana" w:cstheme="minorHAnsi"/>
                <w:sz w:val="24"/>
                <w:szCs w:val="24"/>
              </w:rPr>
              <w:t>du</w:t>
            </w:r>
            <w:r w:rsidR="00D175BF">
              <w:rPr>
                <w:rFonts w:eastAsia="Verdana" w:cstheme="minorHAnsi"/>
                <w:sz w:val="24"/>
                <w:szCs w:val="24"/>
              </w:rPr>
              <w:t xml:space="preserve"> changement</w:t>
            </w:r>
            <w:r w:rsidR="00D175BF" w:rsidRPr="00A75EF5">
              <w:rPr>
                <w:rFonts w:eastAsia="Verdana" w:cstheme="minorHAnsi"/>
                <w:sz w:val="24"/>
                <w:szCs w:val="24"/>
              </w:rPr>
              <w:t xml:space="preserve"> </w:t>
            </w:r>
            <w:r w:rsidR="00D175BF">
              <w:rPr>
                <w:rFonts w:eastAsia="Verdana" w:cstheme="minorHAnsi"/>
                <w:sz w:val="24"/>
                <w:szCs w:val="24"/>
              </w:rPr>
              <w:t>climatique</w:t>
            </w:r>
            <w:r w:rsidR="00A75EF5" w:rsidRPr="00A75EF5">
              <w:rPr>
                <w:rFonts w:eastAsia="Verdana" w:cstheme="minorHAnsi"/>
                <w:sz w:val="24"/>
                <w:szCs w:val="24"/>
              </w:rPr>
              <w:t> ; et</w:t>
            </w:r>
            <w:r w:rsidR="0055238A">
              <w:rPr>
                <w:rFonts w:eastAsia="Verdana" w:cstheme="minorHAnsi"/>
                <w:sz w:val="24"/>
                <w:szCs w:val="24"/>
              </w:rPr>
              <w:t xml:space="preserve"> </w:t>
            </w:r>
            <w:r w:rsidRPr="00A75EF5">
              <w:rPr>
                <w:rFonts w:cstheme="minorHAnsi"/>
              </w:rPr>
              <w:t>Migration</w:t>
            </w:r>
            <w:r w:rsidR="00A75EF5" w:rsidRPr="00A75EF5">
              <w:rPr>
                <w:rFonts w:cstheme="minorHAnsi"/>
              </w:rPr>
              <w:t xml:space="preserve"> en lien avec les dynamiques sociologiques, patriarcales </w:t>
            </w:r>
            <w:r w:rsidR="00090C68">
              <w:rPr>
                <w:rFonts w:cstheme="minorHAnsi"/>
              </w:rPr>
              <w:t xml:space="preserve">   </w:t>
            </w:r>
            <w:r w:rsidR="00A75EF5" w:rsidRPr="00A75EF5">
              <w:rPr>
                <w:rFonts w:cstheme="minorHAnsi"/>
              </w:rPr>
              <w:t xml:space="preserve">et les traditions </w:t>
            </w:r>
            <w:r w:rsidR="00D175BF">
              <w:rPr>
                <w:rFonts w:cstheme="minorHAnsi"/>
              </w:rPr>
              <w:t>culturelles</w:t>
            </w:r>
            <w:r w:rsidR="00A75EF5" w:rsidRPr="00A75EF5">
              <w:rPr>
                <w:rFonts w:cstheme="minorHAnsi"/>
              </w:rPr>
              <w:t>.</w:t>
            </w:r>
          </w:p>
        </w:tc>
        <w:tc>
          <w:tcPr>
            <w:tcW w:w="2410" w:type="dxa"/>
            <w:vAlign w:val="center"/>
          </w:tcPr>
          <w:p w14:paraId="3E5EB353" w14:textId="22734C3C" w:rsidR="005E40A4" w:rsidRPr="001228B5" w:rsidRDefault="00BC6C8B" w:rsidP="005E40A4">
            <w:pPr>
              <w:pStyle w:val="Corpsdetexte"/>
              <w:spacing w:before="0" w:line="276" w:lineRule="auto"/>
              <w:jc w:val="center"/>
              <w:rPr>
                <w:rFonts w:ascii="Century Gothic" w:hAnsi="Century Gothic" w:cs="Arial"/>
                <w:b/>
                <w:bCs/>
                <w:sz w:val="22"/>
                <w:szCs w:val="22"/>
              </w:rPr>
            </w:pPr>
            <w:r w:rsidRPr="001228B5">
              <w:rPr>
                <w:rFonts w:ascii="Century Gothic" w:hAnsi="Century Gothic" w:cs="Arial"/>
                <w:b/>
                <w:bCs/>
                <w:sz w:val="22"/>
                <w:szCs w:val="22"/>
              </w:rPr>
              <w:t>CIRE</w:t>
            </w:r>
            <w:r w:rsidR="001228B5">
              <w:rPr>
                <w:rFonts w:ascii="Century Gothic" w:hAnsi="Century Gothic" w:cs="Arial"/>
                <w:b/>
                <w:bCs/>
                <w:sz w:val="22"/>
                <w:szCs w:val="22"/>
              </w:rPr>
              <w:t xml:space="preserve"> Hamidou</w:t>
            </w:r>
            <w:r w:rsidRPr="001228B5">
              <w:rPr>
                <w:rFonts w:ascii="Century Gothic" w:hAnsi="Century Gothic" w:cs="Arial"/>
                <w:b/>
                <w:bCs/>
                <w:sz w:val="22"/>
                <w:szCs w:val="22"/>
              </w:rPr>
              <w:t xml:space="preserve"> KANE</w:t>
            </w:r>
          </w:p>
        </w:tc>
        <w:tc>
          <w:tcPr>
            <w:tcW w:w="1023" w:type="dxa"/>
            <w:vAlign w:val="center"/>
          </w:tcPr>
          <w:p w14:paraId="52124C1F" w14:textId="6E418E18" w:rsidR="00BC6C8B" w:rsidRPr="00C94C9C" w:rsidRDefault="00BC6C8B" w:rsidP="009D5FE3">
            <w:pPr>
              <w:pStyle w:val="Corpsdetexte"/>
              <w:spacing w:before="0" w:line="276" w:lineRule="auto"/>
              <w:ind w:hanging="18"/>
              <w:jc w:val="center"/>
              <w:rPr>
                <w:rFonts w:ascii="Century Gothic" w:hAnsi="Century Gothic" w:cs="Arial"/>
                <w:b/>
                <w:bCs/>
              </w:rPr>
            </w:pPr>
            <w:r>
              <w:rPr>
                <w:rFonts w:ascii="Century Gothic" w:hAnsi="Century Gothic" w:cs="Arial"/>
                <w:b/>
                <w:bCs/>
              </w:rPr>
              <w:t>4</w:t>
            </w:r>
            <w:r w:rsidR="00063047">
              <w:rPr>
                <w:rFonts w:ascii="Century Gothic" w:hAnsi="Century Gothic" w:cs="Arial"/>
                <w:b/>
                <w:bCs/>
              </w:rPr>
              <w:t>20</w:t>
            </w:r>
          </w:p>
        </w:tc>
      </w:tr>
      <w:tr w:rsidR="005E40A4" w:rsidRPr="00A83A75" w14:paraId="4D1C8703" w14:textId="77777777" w:rsidTr="009D5FE3">
        <w:tc>
          <w:tcPr>
            <w:tcW w:w="1148" w:type="dxa"/>
            <w:vAlign w:val="center"/>
          </w:tcPr>
          <w:p w14:paraId="2FA2C769" w14:textId="6897F65F" w:rsidR="00BC6C8B" w:rsidRPr="00C94C9C" w:rsidRDefault="004E687C" w:rsidP="00BC6C8B">
            <w:pPr>
              <w:pStyle w:val="Corpsdetexte"/>
              <w:spacing w:before="0" w:line="276" w:lineRule="auto"/>
              <w:jc w:val="center"/>
              <w:rPr>
                <w:rFonts w:ascii="Century Gothic" w:hAnsi="Century Gothic" w:cs="Arial"/>
                <w:b/>
                <w:bCs/>
              </w:rPr>
            </w:pPr>
            <w:r>
              <w:rPr>
                <w:rFonts w:ascii="Century Gothic" w:hAnsi="Century Gothic" w:cs="Arial"/>
                <w:b/>
                <w:bCs/>
              </w:rPr>
              <w:t>11</w:t>
            </w:r>
          </w:p>
        </w:tc>
        <w:tc>
          <w:tcPr>
            <w:tcW w:w="5368" w:type="dxa"/>
          </w:tcPr>
          <w:p w14:paraId="4FD63162" w14:textId="77777777" w:rsidR="004E687C" w:rsidRPr="005E40A4" w:rsidRDefault="004E687C" w:rsidP="004E687C">
            <w:pPr>
              <w:pBdr>
                <w:top w:val="single" w:sz="4" w:space="1" w:color="auto"/>
                <w:left w:val="single" w:sz="4" w:space="4" w:color="auto"/>
                <w:bottom w:val="single" w:sz="4" w:space="1" w:color="auto"/>
                <w:right w:val="single" w:sz="4" w:space="31" w:color="auto"/>
              </w:pBdr>
              <w:jc w:val="center"/>
              <w:rPr>
                <w:rFonts w:eastAsia="Verdana" w:cstheme="minorHAnsi"/>
                <w:sz w:val="2"/>
                <w:szCs w:val="2"/>
              </w:rPr>
            </w:pPr>
          </w:p>
          <w:p w14:paraId="12C8E362" w14:textId="12BB1013" w:rsidR="00BC6C8B" w:rsidRPr="000277BA" w:rsidRDefault="004E687C" w:rsidP="00D175BF">
            <w:pPr>
              <w:pBdr>
                <w:top w:val="single" w:sz="4" w:space="1" w:color="auto"/>
                <w:left w:val="single" w:sz="4" w:space="4" w:color="auto"/>
                <w:bottom w:val="single" w:sz="4" w:space="1" w:color="auto"/>
                <w:right w:val="single" w:sz="4" w:space="31" w:color="auto"/>
              </w:pBdr>
            </w:pPr>
            <w:r w:rsidRPr="00412F22">
              <w:rPr>
                <w:rFonts w:eastAsia="Verdana" w:cstheme="minorHAnsi"/>
                <w:sz w:val="24"/>
                <w:szCs w:val="24"/>
              </w:rPr>
              <w:t>Rapport Scénarios Climatiques</w:t>
            </w:r>
            <w:r w:rsidR="00D175BF">
              <w:rPr>
                <w:rFonts w:eastAsia="Verdana" w:cstheme="minorHAnsi"/>
                <w:sz w:val="24"/>
                <w:szCs w:val="24"/>
              </w:rPr>
              <w:t xml:space="preserve"> </w:t>
            </w:r>
            <w:r w:rsidR="002E60E7" w:rsidRPr="00412F22">
              <w:rPr>
                <w:rFonts w:eastAsia="Verdana" w:cstheme="minorHAnsi"/>
                <w:sz w:val="24"/>
                <w:szCs w:val="24"/>
              </w:rPr>
              <w:t>de référence</w:t>
            </w:r>
            <w:r w:rsidR="002E60E7">
              <w:rPr>
                <w:rFonts w:eastAsia="Verdana" w:cstheme="minorHAnsi"/>
                <w:sz w:val="24"/>
                <w:szCs w:val="24"/>
              </w:rPr>
              <w:t xml:space="preserve"> </w:t>
            </w:r>
            <w:r w:rsidR="00D175BF">
              <w:rPr>
                <w:rFonts w:eastAsia="Verdana" w:cstheme="minorHAnsi"/>
                <w:sz w:val="24"/>
                <w:szCs w:val="24"/>
              </w:rPr>
              <w:t xml:space="preserve">aux </w:t>
            </w:r>
            <w:r w:rsidRPr="00412F22">
              <w:rPr>
                <w:rFonts w:eastAsia="Verdana" w:cstheme="minorHAnsi"/>
                <w:sz w:val="24"/>
                <w:szCs w:val="24"/>
              </w:rPr>
              <w:t>Horizon</w:t>
            </w:r>
            <w:r w:rsidR="00D175BF">
              <w:rPr>
                <w:rFonts w:eastAsia="Verdana" w:cstheme="minorHAnsi"/>
                <w:sz w:val="24"/>
                <w:szCs w:val="24"/>
              </w:rPr>
              <w:t>s</w:t>
            </w:r>
            <w:r w:rsidRPr="00412F22">
              <w:rPr>
                <w:rFonts w:eastAsia="Verdana" w:cstheme="minorHAnsi"/>
                <w:sz w:val="24"/>
                <w:szCs w:val="24"/>
              </w:rPr>
              <w:t xml:space="preserve"> 2050 et 2100</w:t>
            </w:r>
          </w:p>
        </w:tc>
        <w:tc>
          <w:tcPr>
            <w:tcW w:w="2410" w:type="dxa"/>
            <w:vAlign w:val="center"/>
          </w:tcPr>
          <w:p w14:paraId="3FC7F115" w14:textId="572046A5" w:rsidR="00BC6C8B" w:rsidRPr="001228B5" w:rsidRDefault="00412F22" w:rsidP="005E40A4">
            <w:pPr>
              <w:pStyle w:val="Corpsdetexte"/>
              <w:spacing w:before="0" w:line="276" w:lineRule="auto"/>
              <w:ind w:right="-254" w:hanging="107"/>
              <w:jc w:val="center"/>
              <w:rPr>
                <w:rFonts w:ascii="Century Gothic" w:hAnsi="Century Gothic" w:cs="Arial"/>
                <w:b/>
                <w:bCs/>
                <w:sz w:val="22"/>
                <w:szCs w:val="22"/>
              </w:rPr>
            </w:pPr>
            <w:r w:rsidRPr="001228B5">
              <w:rPr>
                <w:rFonts w:ascii="Century Gothic" w:hAnsi="Century Gothic" w:cs="Arial"/>
                <w:b/>
                <w:bCs/>
                <w:sz w:val="22"/>
                <w:szCs w:val="22"/>
              </w:rPr>
              <w:t xml:space="preserve">Dr </w:t>
            </w:r>
            <w:r w:rsidR="004E687C" w:rsidRPr="001228B5">
              <w:rPr>
                <w:rFonts w:ascii="Century Gothic" w:hAnsi="Century Gothic" w:cs="Arial"/>
                <w:b/>
                <w:bCs/>
                <w:sz w:val="22"/>
                <w:szCs w:val="22"/>
              </w:rPr>
              <w:t>SIDATY O/ DAH</w:t>
            </w:r>
          </w:p>
        </w:tc>
        <w:tc>
          <w:tcPr>
            <w:tcW w:w="1023" w:type="dxa"/>
            <w:vAlign w:val="center"/>
          </w:tcPr>
          <w:p w14:paraId="74787B3B" w14:textId="0094A460" w:rsidR="00BC6C8B" w:rsidRPr="00C94C9C" w:rsidRDefault="00412F22" w:rsidP="00BC6C8B">
            <w:pPr>
              <w:pStyle w:val="Corpsdetexte"/>
              <w:spacing w:before="0" w:line="276" w:lineRule="auto"/>
              <w:jc w:val="center"/>
              <w:rPr>
                <w:rFonts w:ascii="Century Gothic" w:hAnsi="Century Gothic" w:cs="Arial"/>
                <w:b/>
                <w:bCs/>
              </w:rPr>
            </w:pPr>
            <w:r>
              <w:rPr>
                <w:rFonts w:ascii="Century Gothic" w:hAnsi="Century Gothic" w:cs="Arial"/>
                <w:b/>
                <w:bCs/>
              </w:rPr>
              <w:t>478</w:t>
            </w:r>
          </w:p>
        </w:tc>
      </w:tr>
      <w:tr w:rsidR="00A75EF5" w:rsidRPr="00A83A75" w14:paraId="036D9C71" w14:textId="77777777" w:rsidTr="009D5FE3">
        <w:tc>
          <w:tcPr>
            <w:tcW w:w="1148" w:type="dxa"/>
            <w:vAlign w:val="center"/>
          </w:tcPr>
          <w:p w14:paraId="5A744C3D" w14:textId="73AAED87" w:rsidR="00BC6C8B" w:rsidRPr="00C94C9C" w:rsidRDefault="00412F22" w:rsidP="00BC6C8B">
            <w:pPr>
              <w:pStyle w:val="Corpsdetexte"/>
              <w:spacing w:before="0" w:line="276" w:lineRule="auto"/>
              <w:jc w:val="center"/>
              <w:rPr>
                <w:rFonts w:ascii="Century Gothic" w:hAnsi="Century Gothic" w:cs="Arial"/>
                <w:b/>
                <w:bCs/>
              </w:rPr>
            </w:pPr>
            <w:r>
              <w:rPr>
                <w:rFonts w:ascii="Century Gothic" w:hAnsi="Century Gothic" w:cs="Arial"/>
                <w:b/>
                <w:bCs/>
              </w:rPr>
              <w:t>12</w:t>
            </w:r>
          </w:p>
        </w:tc>
        <w:tc>
          <w:tcPr>
            <w:tcW w:w="5368" w:type="dxa"/>
            <w:vAlign w:val="center"/>
          </w:tcPr>
          <w:p w14:paraId="3A9DAB4F" w14:textId="1C4803B0" w:rsidR="00BC6C8B" w:rsidRPr="000277BA" w:rsidRDefault="00412F22" w:rsidP="00E44224">
            <w:pPr>
              <w:rPr>
                <w:rFonts w:cstheme="minorHAnsi"/>
              </w:rPr>
            </w:pPr>
            <w:r w:rsidRPr="00412F22">
              <w:rPr>
                <w:rFonts w:eastAsia="Verdana" w:cstheme="minorHAnsi"/>
                <w:sz w:val="24"/>
                <w:szCs w:val="24"/>
              </w:rPr>
              <w:t>Scénarios socioéconomiques de référence</w:t>
            </w:r>
          </w:p>
        </w:tc>
        <w:tc>
          <w:tcPr>
            <w:tcW w:w="2410" w:type="dxa"/>
            <w:vAlign w:val="center"/>
          </w:tcPr>
          <w:p w14:paraId="4DC1C5CC" w14:textId="040C214D" w:rsidR="00BC6C8B" w:rsidRPr="001228B5" w:rsidRDefault="00412F22" w:rsidP="005E40A4">
            <w:pPr>
              <w:pStyle w:val="Corpsdetexte"/>
              <w:spacing w:before="0" w:line="276" w:lineRule="auto"/>
              <w:ind w:right="-112" w:hanging="107"/>
              <w:jc w:val="center"/>
              <w:rPr>
                <w:rFonts w:ascii="Century Gothic" w:hAnsi="Century Gothic" w:cs="Arial"/>
                <w:b/>
                <w:bCs/>
                <w:sz w:val="22"/>
                <w:szCs w:val="22"/>
              </w:rPr>
            </w:pPr>
            <w:r w:rsidRPr="001228B5">
              <w:rPr>
                <w:rFonts w:ascii="Century Gothic" w:hAnsi="Century Gothic" w:cs="Arial"/>
                <w:b/>
                <w:bCs/>
                <w:sz w:val="22"/>
                <w:szCs w:val="22"/>
              </w:rPr>
              <w:t xml:space="preserve">Dr </w:t>
            </w:r>
            <w:r w:rsidR="005E40A4" w:rsidRPr="001228B5">
              <w:rPr>
                <w:rFonts w:ascii="Century Gothic" w:hAnsi="Century Gothic" w:cs="Arial"/>
                <w:b/>
                <w:bCs/>
                <w:sz w:val="22"/>
                <w:szCs w:val="22"/>
              </w:rPr>
              <w:t xml:space="preserve">Assane </w:t>
            </w:r>
            <w:r w:rsidRPr="005E40A4">
              <w:rPr>
                <w:rFonts w:ascii="Century Gothic" w:hAnsi="Century Gothic" w:cs="Arial"/>
                <w:b/>
                <w:bCs/>
                <w:sz w:val="18"/>
                <w:szCs w:val="18"/>
              </w:rPr>
              <w:t>SOUMARE</w:t>
            </w:r>
          </w:p>
        </w:tc>
        <w:tc>
          <w:tcPr>
            <w:tcW w:w="1023" w:type="dxa"/>
            <w:vAlign w:val="center"/>
          </w:tcPr>
          <w:p w14:paraId="1DCE039F" w14:textId="3D2946D7" w:rsidR="00BC6C8B" w:rsidRPr="00C94C9C" w:rsidRDefault="00412F22" w:rsidP="00BC6C8B">
            <w:pPr>
              <w:pStyle w:val="Corpsdetexte"/>
              <w:spacing w:before="0" w:line="276" w:lineRule="auto"/>
              <w:jc w:val="center"/>
              <w:rPr>
                <w:rFonts w:ascii="Century Gothic" w:hAnsi="Century Gothic" w:cs="Arial"/>
                <w:b/>
                <w:bCs/>
              </w:rPr>
            </w:pPr>
            <w:r>
              <w:rPr>
                <w:rFonts w:ascii="Century Gothic" w:hAnsi="Century Gothic" w:cs="Arial"/>
                <w:b/>
                <w:bCs/>
              </w:rPr>
              <w:t>514</w:t>
            </w:r>
          </w:p>
        </w:tc>
      </w:tr>
    </w:tbl>
    <w:bookmarkEnd w:id="1"/>
    <w:p w14:paraId="1428F1C2" w14:textId="2CEDDA05" w:rsidR="005625B5" w:rsidRPr="001C3675" w:rsidRDefault="005625B5" w:rsidP="005625B5">
      <w:pPr>
        <w:spacing w:after="0" w:line="276" w:lineRule="auto"/>
        <w:ind w:left="1318" w:right="1249"/>
        <w:jc w:val="center"/>
        <w:rPr>
          <w:rFonts w:ascii="Century Gothic" w:hAnsi="Century Gothic"/>
          <w:b/>
          <w:sz w:val="24"/>
          <w:szCs w:val="24"/>
        </w:rPr>
      </w:pPr>
      <w:r w:rsidRPr="001C3675">
        <w:rPr>
          <w:rFonts w:ascii="Century Gothic" w:hAnsi="Century Gothic"/>
          <w:b/>
          <w:w w:val="85"/>
          <w:sz w:val="24"/>
          <w:szCs w:val="24"/>
        </w:rPr>
        <w:lastRenderedPageBreak/>
        <w:t>REPUBLIQUE ISLAMIQUE DE MAURITANIE</w:t>
      </w:r>
    </w:p>
    <w:p w14:paraId="01CF57E7" w14:textId="77777777" w:rsidR="005625B5" w:rsidRPr="001C3675" w:rsidRDefault="005625B5" w:rsidP="005625B5">
      <w:pPr>
        <w:spacing w:after="0" w:line="276" w:lineRule="auto"/>
        <w:ind w:left="1318" w:right="1350"/>
        <w:jc w:val="center"/>
        <w:rPr>
          <w:rFonts w:ascii="Century Gothic" w:hAnsi="Century Gothic"/>
          <w:b/>
          <w:sz w:val="20"/>
          <w:szCs w:val="20"/>
        </w:rPr>
      </w:pPr>
      <w:r w:rsidRPr="001C3675">
        <w:rPr>
          <w:rFonts w:ascii="Century Gothic" w:hAnsi="Century Gothic"/>
          <w:b/>
          <w:sz w:val="20"/>
          <w:szCs w:val="20"/>
        </w:rPr>
        <w:t>Honneur-Fraternité-Justice</w:t>
      </w:r>
    </w:p>
    <w:p w14:paraId="0A6BE3C8" w14:textId="77777777" w:rsidR="005625B5" w:rsidRPr="0016726F" w:rsidRDefault="005625B5" w:rsidP="005625B5">
      <w:pPr>
        <w:spacing w:after="0" w:line="276" w:lineRule="auto"/>
        <w:ind w:left="1318" w:right="1350"/>
        <w:jc w:val="center"/>
        <w:rPr>
          <w:rFonts w:ascii="Century Gothic" w:hAnsi="Century Gothic"/>
          <w:b/>
          <w:sz w:val="24"/>
          <w:szCs w:val="24"/>
        </w:rPr>
      </w:pPr>
      <w:r w:rsidRPr="0016726F">
        <w:rPr>
          <w:rFonts w:ascii="Century Gothic" w:hAnsi="Century Gothic"/>
          <w:noProof/>
          <w:sz w:val="24"/>
          <w:szCs w:val="24"/>
          <w:lang w:eastAsia="fr-FR"/>
        </w:rPr>
        <w:drawing>
          <wp:inline distT="0" distB="0" distL="0" distR="0" wp14:anchorId="21CD140E" wp14:editId="2F937E42">
            <wp:extent cx="866692" cy="786765"/>
            <wp:effectExtent l="0" t="0" r="0" b="0"/>
            <wp:docPr id="1558548008" name="image1.jpeg" descr="C:\Users\PC-A\Desktop\logo_rim.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eg" descr="C:\Users\PC-A\Desktop\logo_rim.jpg"/>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1377" cy="791018"/>
                    </a:xfrm>
                    <a:prstGeom prst="rect">
                      <a:avLst/>
                    </a:prstGeom>
                    <a:noFill/>
                    <a:ln>
                      <a:noFill/>
                    </a:ln>
                  </pic:spPr>
                </pic:pic>
              </a:graphicData>
            </a:graphic>
          </wp:inline>
        </w:drawing>
      </w:r>
    </w:p>
    <w:p w14:paraId="680E1F3C" w14:textId="77777777" w:rsidR="005625B5" w:rsidRPr="001C3675" w:rsidRDefault="005625B5" w:rsidP="005625B5">
      <w:pPr>
        <w:pStyle w:val="Corpsdetexte"/>
        <w:spacing w:line="276" w:lineRule="auto"/>
        <w:rPr>
          <w:rFonts w:ascii="Century Gothic" w:hAnsi="Century Gothic" w:cs="Arial"/>
          <w:b/>
          <w:sz w:val="2"/>
          <w:szCs w:val="2"/>
        </w:rPr>
      </w:pPr>
    </w:p>
    <w:p w14:paraId="00D13EBF" w14:textId="77777777" w:rsidR="005625B5" w:rsidRPr="00D953B5" w:rsidRDefault="005625B5" w:rsidP="005625B5">
      <w:pPr>
        <w:spacing w:after="0" w:line="276" w:lineRule="auto"/>
        <w:ind w:left="1318" w:right="1334"/>
        <w:jc w:val="center"/>
        <w:rPr>
          <w:rFonts w:ascii="Century Gothic" w:hAnsi="Century Gothic"/>
          <w:b/>
          <w:sz w:val="24"/>
          <w:szCs w:val="24"/>
        </w:rPr>
      </w:pPr>
      <w:r w:rsidRPr="00D953B5">
        <w:rPr>
          <w:rFonts w:ascii="Century Gothic" w:hAnsi="Century Gothic"/>
          <w:b/>
          <w:spacing w:val="-1"/>
          <w:w w:val="80"/>
          <w:sz w:val="24"/>
          <w:szCs w:val="24"/>
        </w:rPr>
        <w:t xml:space="preserve">Ministère de l’Environnement et du Développement Durable  </w:t>
      </w:r>
    </w:p>
    <w:p w14:paraId="7660D689" w14:textId="77777777" w:rsidR="005625B5" w:rsidRPr="00D953B5" w:rsidRDefault="005625B5" w:rsidP="005625B5">
      <w:pPr>
        <w:spacing w:after="0" w:line="276" w:lineRule="auto"/>
        <w:ind w:right="19"/>
        <w:jc w:val="center"/>
        <w:rPr>
          <w:rFonts w:ascii="Century Gothic" w:hAnsi="Century Gothic"/>
          <w:b/>
          <w:sz w:val="24"/>
          <w:szCs w:val="24"/>
        </w:rPr>
      </w:pPr>
      <w:r w:rsidRPr="00D953B5">
        <w:rPr>
          <w:rFonts w:ascii="Century Gothic" w:hAnsi="Century Gothic"/>
          <w:b/>
          <w:w w:val="85"/>
          <w:sz w:val="24"/>
          <w:szCs w:val="24"/>
        </w:rPr>
        <w:t xml:space="preserve">Direction du Climat et de l’Economie Verte </w:t>
      </w:r>
    </w:p>
    <w:p w14:paraId="7C134BF7" w14:textId="77777777" w:rsidR="005625B5" w:rsidRDefault="005625B5" w:rsidP="005625B5">
      <w:pPr>
        <w:pStyle w:val="Corpsdetexte"/>
        <w:spacing w:line="276" w:lineRule="auto"/>
        <w:jc w:val="center"/>
        <w:rPr>
          <w:rFonts w:ascii="Century Gothic" w:hAnsi="Century Gothic" w:cs="Arial"/>
          <w:b/>
          <w:w w:val="95"/>
        </w:rPr>
      </w:pPr>
      <w:r>
        <w:rPr>
          <w:rFonts w:ascii="Century Gothic" w:hAnsi="Century Gothic" w:cs="Arial"/>
          <w:b/>
          <w:w w:val="95"/>
        </w:rPr>
        <w:t xml:space="preserve">UNITE DE GESTION DE L’ACTIVITE HABILITANTE </w:t>
      </w:r>
    </w:p>
    <w:p w14:paraId="0B563466" w14:textId="77777777" w:rsidR="005625B5" w:rsidRPr="00D953B5" w:rsidRDefault="005625B5" w:rsidP="005625B5">
      <w:pPr>
        <w:pStyle w:val="Corpsdetexte"/>
        <w:spacing w:line="276" w:lineRule="auto"/>
        <w:jc w:val="center"/>
        <w:rPr>
          <w:rFonts w:ascii="Century Gothic" w:hAnsi="Century Gothic" w:cs="Arial"/>
          <w:b/>
        </w:rPr>
      </w:pPr>
      <w:r w:rsidRPr="00D953B5">
        <w:rPr>
          <w:rFonts w:ascii="Century Gothic" w:hAnsi="Century Gothic" w:cs="Arial"/>
          <w:b/>
          <w:w w:val="95"/>
        </w:rPr>
        <w:t>5</w:t>
      </w:r>
      <w:r w:rsidRPr="00D953B5">
        <w:rPr>
          <w:rFonts w:ascii="Century Gothic" w:hAnsi="Century Gothic" w:cs="Arial"/>
          <w:b/>
          <w:w w:val="95"/>
          <w:vertAlign w:val="superscript"/>
        </w:rPr>
        <w:t>ème</w:t>
      </w:r>
      <w:r w:rsidRPr="00D953B5">
        <w:rPr>
          <w:rFonts w:ascii="Century Gothic" w:hAnsi="Century Gothic" w:cs="Arial"/>
          <w:b/>
          <w:w w:val="95"/>
        </w:rPr>
        <w:t xml:space="preserve"> Communication nationale sur les CC</w:t>
      </w:r>
    </w:p>
    <w:p w14:paraId="0524F5AA" w14:textId="500A1687" w:rsidR="005625B5" w:rsidRPr="0016726F" w:rsidRDefault="005625B5" w:rsidP="005625B5">
      <w:pPr>
        <w:pStyle w:val="Titre"/>
        <w:pBdr>
          <w:top w:val="single" w:sz="4" w:space="1" w:color="auto"/>
          <w:left w:val="single" w:sz="4" w:space="4" w:color="auto"/>
          <w:bottom w:val="single" w:sz="4" w:space="1" w:color="auto"/>
          <w:right w:val="single" w:sz="4" w:space="4" w:color="auto"/>
        </w:pBdr>
        <w:spacing w:line="276" w:lineRule="auto"/>
        <w:ind w:right="79"/>
        <w:rPr>
          <w:rFonts w:ascii="Century Gothic" w:hAnsi="Century Gothic" w:cs="Arial"/>
          <w:b w:val="0"/>
          <w:sz w:val="32"/>
          <w:szCs w:val="32"/>
        </w:rPr>
      </w:pPr>
      <w:r>
        <w:rPr>
          <w:rFonts w:ascii="Century Gothic" w:eastAsia="Verdana" w:hAnsi="Century Gothic" w:cs="Arial"/>
          <w:bCs w:val="0"/>
          <w:sz w:val="28"/>
          <w:szCs w:val="28"/>
        </w:rPr>
        <w:t>C</w:t>
      </w:r>
      <w:r w:rsidR="00BF55F1">
        <w:rPr>
          <w:rFonts w:ascii="Century Gothic" w:eastAsia="Verdana" w:hAnsi="Century Gothic" w:cs="Arial"/>
          <w:bCs w:val="0"/>
          <w:sz w:val="28"/>
          <w:szCs w:val="28"/>
        </w:rPr>
        <w:t>hapitre</w:t>
      </w:r>
      <w:r>
        <w:rPr>
          <w:rFonts w:ascii="Century Gothic" w:eastAsia="Verdana" w:hAnsi="Century Gothic" w:cs="Arial"/>
          <w:bCs w:val="0"/>
          <w:sz w:val="28"/>
          <w:szCs w:val="28"/>
        </w:rPr>
        <w:t xml:space="preserve"> 3 : </w:t>
      </w:r>
      <w:r w:rsidRPr="001C3675">
        <w:rPr>
          <w:rFonts w:ascii="Century Gothic" w:hAnsi="Century Gothic" w:cs="Arial"/>
          <w:w w:val="95"/>
          <w:sz w:val="28"/>
          <w:szCs w:val="28"/>
        </w:rPr>
        <w:t xml:space="preserve">Evaluation de la Vulnérabilité et Adaptation aux changements climatiques des </w:t>
      </w:r>
      <w:r w:rsidRPr="00A826F3">
        <w:rPr>
          <w:rFonts w:ascii="Century Gothic" w:hAnsi="Century Gothic" w:cs="Arial"/>
          <w:color w:val="833C0B" w:themeColor="accent2" w:themeShade="80"/>
          <w:w w:val="95"/>
          <w:sz w:val="28"/>
          <w:szCs w:val="28"/>
          <w:highlight w:val="yellow"/>
        </w:rPr>
        <w:t>écosystèmes arides</w:t>
      </w:r>
      <w:r w:rsidR="00275D3E" w:rsidRPr="00A826F3">
        <w:rPr>
          <w:rFonts w:ascii="Century Gothic" w:hAnsi="Century Gothic" w:cs="Arial"/>
          <w:color w:val="833C0B" w:themeColor="accent2" w:themeShade="80"/>
          <w:w w:val="95"/>
          <w:sz w:val="28"/>
          <w:szCs w:val="28"/>
          <w:highlight w:val="yellow"/>
        </w:rPr>
        <w:t xml:space="preserve"> </w:t>
      </w:r>
      <w:r w:rsidR="00275D3E" w:rsidRPr="00A826F3">
        <w:rPr>
          <w:rFonts w:ascii="Century Gothic" w:hAnsi="Century Gothic" w:cs="Arial"/>
          <w:color w:val="833C0B" w:themeColor="accent2" w:themeShade="80"/>
          <w:w w:val="95"/>
          <w:sz w:val="28"/>
          <w:szCs w:val="28"/>
          <w:highlight w:val="yellow"/>
        </w:rPr>
        <w:t>et la</w:t>
      </w:r>
      <w:r w:rsidR="00275D3E" w:rsidRPr="00A826F3">
        <w:rPr>
          <w:rFonts w:ascii="Century Gothic" w:hAnsi="Century Gothic" w:cs="Arial"/>
          <w:color w:val="833C0B" w:themeColor="accent2" w:themeShade="80"/>
          <w:w w:val="95"/>
          <w:sz w:val="28"/>
          <w:szCs w:val="28"/>
        </w:rPr>
        <w:t xml:space="preserve"> </w:t>
      </w:r>
      <w:r w:rsidR="00275D3E" w:rsidRPr="00A826F3">
        <w:rPr>
          <w:rFonts w:ascii="Century Gothic" w:hAnsi="Century Gothic" w:cs="Arial"/>
          <w:color w:val="833C0B" w:themeColor="accent2" w:themeShade="80"/>
          <w:w w:val="95"/>
          <w:sz w:val="28"/>
          <w:szCs w:val="28"/>
          <w:highlight w:val="yellow"/>
        </w:rPr>
        <w:t>désertification</w:t>
      </w:r>
      <w:r w:rsidR="00275D3E">
        <w:rPr>
          <w:rFonts w:ascii="Century Gothic" w:hAnsi="Century Gothic" w:cs="Arial"/>
          <w:w w:val="95"/>
          <w:sz w:val="28"/>
          <w:szCs w:val="28"/>
        </w:rPr>
        <w:t> ;</w:t>
      </w:r>
      <w:r w:rsidRPr="001C3675">
        <w:rPr>
          <w:rFonts w:ascii="Century Gothic" w:hAnsi="Century Gothic" w:cs="Arial"/>
          <w:w w:val="95"/>
          <w:sz w:val="28"/>
          <w:szCs w:val="28"/>
        </w:rPr>
        <w:t xml:space="preserve"> </w:t>
      </w:r>
      <w:r w:rsidR="00275D3E" w:rsidRPr="00A826F3">
        <w:rPr>
          <w:rFonts w:ascii="Century Gothic" w:hAnsi="Century Gothic" w:cs="Arial"/>
          <w:color w:val="00B050"/>
          <w:w w:val="95"/>
          <w:sz w:val="28"/>
          <w:szCs w:val="28"/>
        </w:rPr>
        <w:t xml:space="preserve">Les </w:t>
      </w:r>
      <w:r w:rsidR="00122A5D" w:rsidRPr="00A826F3">
        <w:rPr>
          <w:rFonts w:ascii="Century Gothic" w:hAnsi="Century Gothic" w:cs="Arial"/>
          <w:color w:val="00B050"/>
          <w:w w:val="95"/>
          <w:sz w:val="28"/>
          <w:szCs w:val="28"/>
        </w:rPr>
        <w:t xml:space="preserve">Domaines </w:t>
      </w:r>
      <w:r w:rsidRPr="00A826F3">
        <w:rPr>
          <w:rFonts w:ascii="Century Gothic" w:hAnsi="Century Gothic" w:cs="Arial"/>
          <w:color w:val="00B050"/>
          <w:w w:val="95"/>
          <w:sz w:val="28"/>
          <w:szCs w:val="28"/>
        </w:rPr>
        <w:t>forestiers</w:t>
      </w:r>
      <w:r w:rsidR="00275D3E" w:rsidRPr="00A826F3">
        <w:rPr>
          <w:rFonts w:ascii="Century Gothic" w:hAnsi="Century Gothic" w:cs="Arial"/>
          <w:color w:val="00B050"/>
          <w:w w:val="95"/>
          <w:sz w:val="28"/>
          <w:szCs w:val="28"/>
          <w:highlight w:val="yellow"/>
        </w:rPr>
        <w:t> </w:t>
      </w:r>
      <w:r w:rsidR="00275D3E">
        <w:rPr>
          <w:rFonts w:ascii="Century Gothic" w:hAnsi="Century Gothic" w:cs="Arial"/>
          <w:color w:val="70AD47" w:themeColor="accent6"/>
          <w:w w:val="95"/>
          <w:sz w:val="28"/>
          <w:szCs w:val="28"/>
        </w:rPr>
        <w:t>;</w:t>
      </w:r>
      <w:r w:rsidRPr="001C3675">
        <w:rPr>
          <w:rFonts w:ascii="Century Gothic" w:hAnsi="Century Gothic" w:cs="Arial"/>
          <w:color w:val="70AD47" w:themeColor="accent6"/>
          <w:w w:val="95"/>
          <w:sz w:val="28"/>
          <w:szCs w:val="28"/>
        </w:rPr>
        <w:t xml:space="preserve"> </w:t>
      </w:r>
      <w:r w:rsidRPr="001C3675">
        <w:rPr>
          <w:rFonts w:ascii="Century Gothic" w:hAnsi="Century Gothic" w:cs="Arial"/>
          <w:color w:val="004F88"/>
          <w:w w:val="95"/>
          <w:sz w:val="28"/>
          <w:szCs w:val="28"/>
        </w:rPr>
        <w:t xml:space="preserve">les zones humides </w:t>
      </w:r>
      <w:r w:rsidR="00275D3E">
        <w:rPr>
          <w:rFonts w:ascii="Century Gothic" w:hAnsi="Century Gothic" w:cs="Arial"/>
          <w:color w:val="004F88"/>
          <w:w w:val="95"/>
          <w:sz w:val="28"/>
          <w:szCs w:val="28"/>
        </w:rPr>
        <w:t xml:space="preserve">vitales à la biodiversité </w:t>
      </w:r>
    </w:p>
    <w:p w14:paraId="75F12E9B" w14:textId="0AE63239" w:rsidR="005625B5" w:rsidRPr="00D953B5" w:rsidRDefault="00004A57" w:rsidP="005625B5">
      <w:pPr>
        <w:pStyle w:val="Corpsdetexte"/>
        <w:spacing w:before="120" w:line="276" w:lineRule="auto"/>
        <w:jc w:val="center"/>
        <w:rPr>
          <w:rFonts w:ascii="Century Gothic" w:hAnsi="Century Gothic" w:cs="Arial"/>
          <w:b/>
        </w:rPr>
      </w:pPr>
      <w:r w:rsidRPr="00D953B5">
        <w:rPr>
          <w:rFonts w:ascii="Century Gothic" w:hAnsi="Century Gothic" w:cs="Arial"/>
          <w:b/>
        </w:rPr>
        <w:t>Consultant</w:t>
      </w:r>
      <w:r>
        <w:rPr>
          <w:rFonts w:ascii="Century Gothic" w:hAnsi="Century Gothic" w:cs="Arial"/>
          <w:b/>
        </w:rPr>
        <w:t xml:space="preserve"> Sénior</w:t>
      </w:r>
      <w:r>
        <w:rPr>
          <w:rFonts w:ascii="Century Gothic" w:hAnsi="Century Gothic" w:cs="Arial"/>
          <w:w w:val="95"/>
          <w:sz w:val="28"/>
          <w:szCs w:val="28"/>
        </w:rPr>
        <w:t> </w:t>
      </w:r>
      <w:r>
        <w:rPr>
          <w:rFonts w:ascii="Century Gothic" w:hAnsi="Century Gothic" w:cs="Arial"/>
          <w:b/>
        </w:rPr>
        <w:t>:</w:t>
      </w:r>
      <w:r w:rsidR="005625B5" w:rsidRPr="00D953B5">
        <w:rPr>
          <w:rFonts w:ascii="Century Gothic" w:hAnsi="Century Gothic" w:cs="Arial"/>
          <w:b/>
        </w:rPr>
        <w:t xml:space="preserve"> Mohamed Abdellahi SELME, </w:t>
      </w:r>
    </w:p>
    <w:p w14:paraId="4095E4D3" w14:textId="77777777" w:rsidR="005625B5" w:rsidRDefault="005625B5" w:rsidP="005625B5">
      <w:pPr>
        <w:pStyle w:val="Corpsdetexte"/>
        <w:spacing w:line="276" w:lineRule="auto"/>
        <w:jc w:val="center"/>
        <w:rPr>
          <w:rFonts w:ascii="Century Gothic" w:hAnsi="Century Gothic" w:cs="Arial"/>
          <w:b/>
          <w:bCs/>
          <w:w w:val="85"/>
        </w:rPr>
      </w:pPr>
      <w:r w:rsidRPr="00D953B5">
        <w:rPr>
          <w:rFonts w:ascii="Century Gothic" w:hAnsi="Century Gothic" w:cs="Arial"/>
          <w:b/>
          <w:bCs/>
          <w:w w:val="95"/>
        </w:rPr>
        <w:t>Décembre</w:t>
      </w:r>
      <w:r w:rsidRPr="00D953B5">
        <w:rPr>
          <w:rFonts w:ascii="Century Gothic" w:hAnsi="Century Gothic" w:cs="Arial"/>
          <w:b/>
          <w:bCs/>
          <w:w w:val="85"/>
        </w:rPr>
        <w:t>, 2024</w:t>
      </w:r>
    </w:p>
    <w:p w14:paraId="51783783" w14:textId="77777777" w:rsidR="005625B5" w:rsidRPr="001C3675" w:rsidRDefault="005625B5" w:rsidP="005625B5">
      <w:pPr>
        <w:pStyle w:val="Corpsdetexte"/>
        <w:spacing w:before="0" w:line="276" w:lineRule="auto"/>
        <w:jc w:val="left"/>
        <w:rPr>
          <w:rFonts w:ascii="Century Gothic" w:hAnsi="Century Gothic" w:cs="Arial"/>
          <w:b/>
          <w:sz w:val="6"/>
          <w:szCs w:val="6"/>
        </w:rPr>
      </w:pPr>
    </w:p>
    <w:p w14:paraId="0BF673A9" w14:textId="77777777" w:rsidR="005625B5" w:rsidRPr="001C3675" w:rsidRDefault="005625B5" w:rsidP="005625B5">
      <w:pPr>
        <w:rPr>
          <w:b/>
          <w:bCs/>
          <w:w w:val="95"/>
          <w:sz w:val="24"/>
          <w:szCs w:val="24"/>
        </w:rPr>
      </w:pPr>
      <w:r w:rsidRPr="001C3675">
        <w:rPr>
          <w:b/>
          <w:bCs/>
          <w:w w:val="95"/>
          <w:sz w:val="24"/>
          <w:szCs w:val="24"/>
        </w:rPr>
        <w:t xml:space="preserve">TABLE DES MATIERES : </w:t>
      </w:r>
    </w:p>
    <w:p w14:paraId="08BFD06C" w14:textId="1D976A7A" w:rsidR="005625B5" w:rsidRPr="001C3675" w:rsidRDefault="005625B5" w:rsidP="005625B5">
      <w:pPr>
        <w:pStyle w:val="Titre11"/>
        <w:tabs>
          <w:tab w:val="left" w:pos="821"/>
        </w:tabs>
        <w:spacing w:line="276" w:lineRule="auto"/>
        <w:ind w:left="0" w:firstLine="0"/>
        <w:rPr>
          <w:rFonts w:ascii="Century Gothic" w:hAnsi="Century Gothic" w:cs="Arial"/>
          <w:b w:val="0"/>
          <w:bCs w:val="0"/>
          <w:w w:val="95"/>
          <w:sz w:val="22"/>
          <w:szCs w:val="22"/>
        </w:rPr>
      </w:pPr>
      <w:r w:rsidRPr="001C3675">
        <w:rPr>
          <w:rFonts w:ascii="Century Gothic" w:hAnsi="Century Gothic" w:cs="Arial"/>
          <w:b w:val="0"/>
          <w:bCs w:val="0"/>
          <w:w w:val="95"/>
          <w:sz w:val="22"/>
          <w:szCs w:val="22"/>
        </w:rPr>
        <w:t xml:space="preserve">Acronymes et abréviations </w:t>
      </w:r>
      <w:r w:rsidRPr="001C3675">
        <w:rPr>
          <w:rFonts w:ascii="Century Gothic" w:hAnsi="Century Gothic" w:cs="Arial"/>
          <w:b w:val="0"/>
          <w:bCs w:val="0"/>
          <w:w w:val="95"/>
          <w:sz w:val="22"/>
          <w:szCs w:val="22"/>
        </w:rPr>
        <w:tab/>
      </w:r>
      <w:r w:rsidR="00770F27">
        <w:rPr>
          <w:rFonts w:ascii="Century Gothic" w:hAnsi="Century Gothic" w:cs="Arial"/>
          <w:b w:val="0"/>
          <w:bCs w:val="0"/>
          <w:w w:val="95"/>
          <w:sz w:val="22"/>
          <w:szCs w:val="22"/>
        </w:rPr>
        <w:t>…………………………………………………………….</w:t>
      </w:r>
      <w:r w:rsidRPr="001C3675">
        <w:rPr>
          <w:rFonts w:ascii="Century Gothic" w:hAnsi="Century Gothic" w:cs="Arial"/>
          <w:b w:val="0"/>
          <w:bCs w:val="0"/>
          <w:w w:val="95"/>
          <w:sz w:val="22"/>
          <w:szCs w:val="22"/>
        </w:rPr>
        <w:tab/>
        <w:t>p.3</w:t>
      </w:r>
    </w:p>
    <w:p w14:paraId="41AB7149" w14:textId="54DC8D75" w:rsidR="005625B5" w:rsidRPr="001C3675" w:rsidRDefault="005625B5" w:rsidP="005625B5">
      <w:pPr>
        <w:pStyle w:val="Titre11"/>
        <w:tabs>
          <w:tab w:val="left" w:pos="821"/>
        </w:tabs>
        <w:spacing w:line="276" w:lineRule="auto"/>
        <w:ind w:left="0" w:firstLine="0"/>
        <w:rPr>
          <w:rFonts w:ascii="Century Gothic" w:hAnsi="Century Gothic" w:cs="Arial"/>
          <w:b w:val="0"/>
          <w:bCs w:val="0"/>
          <w:w w:val="95"/>
          <w:sz w:val="22"/>
          <w:szCs w:val="22"/>
        </w:rPr>
      </w:pPr>
      <w:r w:rsidRPr="001C3675">
        <w:rPr>
          <w:rFonts w:ascii="Century Gothic" w:hAnsi="Century Gothic" w:cs="Arial"/>
          <w:b w:val="0"/>
          <w:bCs w:val="0"/>
          <w:w w:val="95"/>
          <w:sz w:val="22"/>
          <w:szCs w:val="22"/>
        </w:rPr>
        <w:t>INTRODUCTION :</w:t>
      </w:r>
      <w:r w:rsidR="00770F27">
        <w:rPr>
          <w:rFonts w:ascii="Century Gothic" w:hAnsi="Century Gothic" w:cs="Arial"/>
          <w:b w:val="0"/>
          <w:bCs w:val="0"/>
          <w:w w:val="95"/>
          <w:sz w:val="22"/>
          <w:szCs w:val="22"/>
        </w:rPr>
        <w:t xml:space="preserve"> ……………………………………………………………………………</w:t>
      </w:r>
      <w:r w:rsidRPr="001C3675">
        <w:rPr>
          <w:rFonts w:ascii="Century Gothic" w:hAnsi="Century Gothic" w:cs="Arial"/>
          <w:b w:val="0"/>
          <w:bCs w:val="0"/>
          <w:w w:val="95"/>
          <w:sz w:val="22"/>
          <w:szCs w:val="22"/>
        </w:rPr>
        <w:t>p.4</w:t>
      </w:r>
    </w:p>
    <w:p w14:paraId="6925E43E" w14:textId="2C2B91C1" w:rsidR="005625B5" w:rsidRPr="001C3675" w:rsidRDefault="005625B5" w:rsidP="005625B5">
      <w:pPr>
        <w:pStyle w:val="Titre11"/>
        <w:tabs>
          <w:tab w:val="left" w:pos="821"/>
        </w:tabs>
        <w:spacing w:line="276" w:lineRule="auto"/>
        <w:ind w:left="0" w:firstLine="0"/>
        <w:rPr>
          <w:rFonts w:ascii="Century Gothic" w:hAnsi="Century Gothic" w:cs="Arial"/>
          <w:b w:val="0"/>
          <w:bCs w:val="0"/>
          <w:w w:val="95"/>
          <w:sz w:val="22"/>
          <w:szCs w:val="22"/>
        </w:rPr>
      </w:pPr>
      <w:r w:rsidRPr="001C3675">
        <w:rPr>
          <w:rFonts w:ascii="Century Gothic" w:hAnsi="Century Gothic" w:cs="Arial"/>
          <w:b w:val="0"/>
          <w:bCs w:val="0"/>
          <w:w w:val="95"/>
          <w:sz w:val="22"/>
          <w:szCs w:val="22"/>
        </w:rPr>
        <w:tab/>
        <w:t xml:space="preserve">Contexte et justification de l’étude </w:t>
      </w:r>
      <w:r w:rsidR="00770F27">
        <w:rPr>
          <w:rFonts w:ascii="Century Gothic" w:hAnsi="Century Gothic" w:cs="Arial"/>
          <w:b w:val="0"/>
          <w:bCs w:val="0"/>
          <w:w w:val="95"/>
          <w:sz w:val="22"/>
          <w:szCs w:val="22"/>
        </w:rPr>
        <w:t>…………………………………………</w:t>
      </w:r>
      <w:r w:rsidRPr="001C3675">
        <w:rPr>
          <w:rFonts w:ascii="Century Gothic" w:hAnsi="Century Gothic" w:cs="Arial"/>
          <w:b w:val="0"/>
          <w:bCs w:val="0"/>
          <w:w w:val="95"/>
          <w:sz w:val="22"/>
          <w:szCs w:val="22"/>
        </w:rPr>
        <w:t>p.4</w:t>
      </w:r>
    </w:p>
    <w:p w14:paraId="6DB21FD9" w14:textId="1E836132" w:rsidR="005625B5" w:rsidRPr="001C3675" w:rsidRDefault="005625B5" w:rsidP="005625B5">
      <w:pPr>
        <w:pStyle w:val="Titre11"/>
        <w:tabs>
          <w:tab w:val="left" w:pos="821"/>
        </w:tabs>
        <w:spacing w:line="276" w:lineRule="auto"/>
        <w:ind w:left="0" w:firstLine="0"/>
        <w:rPr>
          <w:rFonts w:ascii="Century Gothic" w:hAnsi="Century Gothic" w:cs="Arial"/>
          <w:b w:val="0"/>
          <w:bCs w:val="0"/>
          <w:w w:val="95"/>
          <w:sz w:val="22"/>
          <w:szCs w:val="22"/>
        </w:rPr>
      </w:pPr>
      <w:r w:rsidRPr="001C3675">
        <w:rPr>
          <w:rFonts w:ascii="Century Gothic" w:hAnsi="Century Gothic" w:cs="Arial"/>
          <w:b w:val="0"/>
          <w:bCs w:val="0"/>
          <w:w w:val="95"/>
          <w:sz w:val="22"/>
          <w:szCs w:val="22"/>
        </w:rPr>
        <w:tab/>
        <w:t xml:space="preserve">Objectifs de l’étude </w:t>
      </w:r>
      <w:r w:rsidR="00770F27">
        <w:rPr>
          <w:rFonts w:ascii="Century Gothic" w:hAnsi="Century Gothic" w:cs="Arial"/>
          <w:b w:val="0"/>
          <w:bCs w:val="0"/>
          <w:w w:val="95"/>
          <w:sz w:val="22"/>
          <w:szCs w:val="22"/>
        </w:rPr>
        <w:t>……………………………………………………………</w:t>
      </w:r>
      <w:r w:rsidRPr="001C3675">
        <w:rPr>
          <w:rFonts w:ascii="Century Gothic" w:hAnsi="Century Gothic" w:cs="Arial"/>
          <w:b w:val="0"/>
          <w:bCs w:val="0"/>
          <w:w w:val="95"/>
          <w:sz w:val="22"/>
          <w:szCs w:val="22"/>
        </w:rPr>
        <w:t>p.5</w:t>
      </w:r>
    </w:p>
    <w:p w14:paraId="657CB54D" w14:textId="31348AF7" w:rsidR="005625B5" w:rsidRPr="001C3675" w:rsidRDefault="005625B5" w:rsidP="005625B5">
      <w:pPr>
        <w:pStyle w:val="Titre11"/>
        <w:tabs>
          <w:tab w:val="left" w:pos="821"/>
        </w:tabs>
        <w:spacing w:line="276" w:lineRule="auto"/>
        <w:ind w:left="0" w:firstLine="0"/>
        <w:rPr>
          <w:rFonts w:ascii="Century Gothic" w:hAnsi="Century Gothic" w:cs="Arial"/>
          <w:b w:val="0"/>
          <w:bCs w:val="0"/>
          <w:w w:val="95"/>
          <w:sz w:val="22"/>
          <w:szCs w:val="22"/>
        </w:rPr>
      </w:pPr>
      <w:r w:rsidRPr="001C3675">
        <w:rPr>
          <w:rFonts w:ascii="Century Gothic" w:hAnsi="Century Gothic" w:cs="Arial"/>
          <w:b w:val="0"/>
          <w:bCs w:val="0"/>
          <w:w w:val="95"/>
          <w:sz w:val="22"/>
          <w:szCs w:val="22"/>
        </w:rPr>
        <w:tab/>
        <w:t xml:space="preserve">Méthodologie </w:t>
      </w:r>
      <w:r w:rsidR="00770F27">
        <w:rPr>
          <w:rFonts w:ascii="Century Gothic" w:hAnsi="Century Gothic" w:cs="Arial"/>
          <w:b w:val="0"/>
          <w:bCs w:val="0"/>
          <w:w w:val="95"/>
          <w:sz w:val="22"/>
          <w:szCs w:val="22"/>
        </w:rPr>
        <w:t>……………………………………………………………………</w:t>
      </w:r>
      <w:r w:rsidRPr="001C3675">
        <w:rPr>
          <w:rFonts w:ascii="Century Gothic" w:hAnsi="Century Gothic" w:cs="Arial"/>
          <w:b w:val="0"/>
          <w:bCs w:val="0"/>
          <w:w w:val="95"/>
          <w:sz w:val="22"/>
          <w:szCs w:val="22"/>
        </w:rPr>
        <w:t>p.6</w:t>
      </w:r>
    </w:p>
    <w:p w14:paraId="7C443358" w14:textId="47C3EA5D" w:rsidR="005625B5" w:rsidRPr="001C3675" w:rsidRDefault="005625B5" w:rsidP="005625B5">
      <w:pPr>
        <w:pStyle w:val="Titre11"/>
        <w:tabs>
          <w:tab w:val="left" w:pos="821"/>
        </w:tabs>
        <w:spacing w:line="276" w:lineRule="auto"/>
        <w:ind w:left="0" w:firstLine="0"/>
        <w:rPr>
          <w:rFonts w:ascii="Century Gothic" w:hAnsi="Century Gothic" w:cs="Arial"/>
          <w:b w:val="0"/>
          <w:bCs w:val="0"/>
          <w:w w:val="95"/>
          <w:sz w:val="22"/>
          <w:szCs w:val="22"/>
        </w:rPr>
      </w:pPr>
      <w:r w:rsidRPr="001C3675">
        <w:rPr>
          <w:rFonts w:ascii="Century Gothic" w:hAnsi="Century Gothic" w:cs="Arial"/>
          <w:b w:val="0"/>
          <w:bCs w:val="0"/>
          <w:w w:val="95"/>
          <w:sz w:val="22"/>
          <w:szCs w:val="22"/>
        </w:rPr>
        <w:tab/>
        <w:t xml:space="preserve">Concepts de la Vulnérabilité et de l’Adaptation </w:t>
      </w:r>
      <w:r w:rsidR="00770F27">
        <w:rPr>
          <w:rFonts w:ascii="Century Gothic" w:hAnsi="Century Gothic" w:cs="Arial"/>
          <w:b w:val="0"/>
          <w:bCs w:val="0"/>
          <w:w w:val="95"/>
          <w:sz w:val="22"/>
          <w:szCs w:val="22"/>
        </w:rPr>
        <w:t>…………………</w:t>
      </w:r>
      <w:proofErr w:type="gramStart"/>
      <w:r w:rsidR="00770F27">
        <w:rPr>
          <w:rFonts w:ascii="Century Gothic" w:hAnsi="Century Gothic" w:cs="Arial"/>
          <w:b w:val="0"/>
          <w:bCs w:val="0"/>
          <w:w w:val="95"/>
          <w:sz w:val="22"/>
          <w:szCs w:val="22"/>
        </w:rPr>
        <w:t>…….</w:t>
      </w:r>
      <w:proofErr w:type="gramEnd"/>
      <w:r w:rsidR="00770F27">
        <w:rPr>
          <w:rFonts w:ascii="Century Gothic" w:hAnsi="Century Gothic" w:cs="Arial"/>
          <w:b w:val="0"/>
          <w:bCs w:val="0"/>
          <w:w w:val="95"/>
          <w:sz w:val="22"/>
          <w:szCs w:val="22"/>
        </w:rPr>
        <w:t>.</w:t>
      </w:r>
      <w:r w:rsidRPr="001C3675">
        <w:rPr>
          <w:rFonts w:ascii="Century Gothic" w:hAnsi="Century Gothic" w:cs="Arial"/>
          <w:b w:val="0"/>
          <w:bCs w:val="0"/>
          <w:w w:val="95"/>
          <w:sz w:val="22"/>
          <w:szCs w:val="22"/>
        </w:rPr>
        <w:t>p.9</w:t>
      </w:r>
    </w:p>
    <w:p w14:paraId="5F72B825" w14:textId="027DF174" w:rsidR="005625B5" w:rsidRPr="001C3675" w:rsidRDefault="005625B5" w:rsidP="005625B5">
      <w:pPr>
        <w:pStyle w:val="Titre11"/>
        <w:tabs>
          <w:tab w:val="left" w:pos="821"/>
        </w:tabs>
        <w:spacing w:line="276" w:lineRule="auto"/>
        <w:ind w:left="0" w:firstLine="0"/>
        <w:rPr>
          <w:rFonts w:ascii="Century Gothic" w:hAnsi="Century Gothic" w:cs="Arial"/>
          <w:b w:val="0"/>
          <w:bCs w:val="0"/>
          <w:caps/>
          <w:w w:val="95"/>
          <w:sz w:val="22"/>
          <w:szCs w:val="22"/>
        </w:rPr>
      </w:pPr>
      <w:r w:rsidRPr="001C3675">
        <w:rPr>
          <w:rFonts w:ascii="Century Gothic" w:hAnsi="Century Gothic" w:cs="Arial"/>
          <w:b w:val="0"/>
          <w:bCs w:val="0"/>
          <w:caps/>
          <w:w w:val="95"/>
          <w:sz w:val="22"/>
          <w:szCs w:val="22"/>
        </w:rPr>
        <w:t xml:space="preserve">Vision et Stratégie Environnement </w:t>
      </w:r>
      <w:r w:rsidR="00770F27">
        <w:rPr>
          <w:rFonts w:ascii="Century Gothic" w:hAnsi="Century Gothic" w:cs="Arial"/>
          <w:b w:val="0"/>
          <w:bCs w:val="0"/>
          <w:caps/>
          <w:w w:val="95"/>
          <w:sz w:val="22"/>
          <w:szCs w:val="22"/>
        </w:rPr>
        <w:t>………………………………………………</w:t>
      </w:r>
      <w:r w:rsidRPr="001C3675">
        <w:rPr>
          <w:rFonts w:ascii="Century Gothic" w:hAnsi="Century Gothic" w:cs="Arial"/>
          <w:b w:val="0"/>
          <w:bCs w:val="0"/>
          <w:caps/>
          <w:w w:val="95"/>
          <w:sz w:val="22"/>
          <w:szCs w:val="22"/>
        </w:rPr>
        <w:t>p12</w:t>
      </w:r>
    </w:p>
    <w:p w14:paraId="4F0F42F9" w14:textId="2A9D9D79" w:rsidR="005625B5" w:rsidRPr="001C3675" w:rsidRDefault="005625B5" w:rsidP="005625B5">
      <w:pPr>
        <w:pStyle w:val="Titre11"/>
        <w:tabs>
          <w:tab w:val="left" w:pos="821"/>
        </w:tabs>
        <w:spacing w:line="276" w:lineRule="auto"/>
        <w:ind w:left="0" w:firstLine="0"/>
        <w:rPr>
          <w:rFonts w:ascii="Century Gothic" w:hAnsi="Century Gothic" w:cs="Arial"/>
          <w:b w:val="0"/>
          <w:bCs w:val="0"/>
          <w:caps/>
          <w:w w:val="95"/>
          <w:sz w:val="22"/>
          <w:szCs w:val="22"/>
        </w:rPr>
      </w:pPr>
      <w:r w:rsidRPr="001C3675">
        <w:rPr>
          <w:rFonts w:ascii="Century Gothic" w:hAnsi="Century Gothic" w:cs="Arial"/>
          <w:b w:val="0"/>
          <w:bCs w:val="0"/>
          <w:caps/>
          <w:w w:val="95"/>
          <w:sz w:val="22"/>
          <w:szCs w:val="22"/>
        </w:rPr>
        <w:t>Vulnérabilité au changement climatique</w:t>
      </w:r>
      <w:r w:rsidR="00770F27">
        <w:rPr>
          <w:rFonts w:ascii="Century Gothic" w:hAnsi="Century Gothic" w:cs="Arial"/>
          <w:b w:val="0"/>
          <w:bCs w:val="0"/>
          <w:caps/>
          <w:w w:val="95"/>
          <w:sz w:val="22"/>
          <w:szCs w:val="22"/>
        </w:rPr>
        <w:t> ………………………………</w:t>
      </w:r>
      <w:proofErr w:type="gramStart"/>
      <w:r w:rsidR="00770F27">
        <w:rPr>
          <w:rFonts w:ascii="Century Gothic" w:hAnsi="Century Gothic" w:cs="Arial"/>
          <w:b w:val="0"/>
          <w:bCs w:val="0"/>
          <w:caps/>
          <w:w w:val="95"/>
          <w:sz w:val="22"/>
          <w:szCs w:val="22"/>
        </w:rPr>
        <w:t>…….</w:t>
      </w:r>
      <w:proofErr w:type="gramEnd"/>
      <w:r w:rsidRPr="001C3675">
        <w:rPr>
          <w:rFonts w:ascii="Century Gothic" w:hAnsi="Century Gothic" w:cs="Arial"/>
          <w:b w:val="0"/>
          <w:bCs w:val="0"/>
          <w:caps/>
          <w:w w:val="95"/>
          <w:sz w:val="22"/>
          <w:szCs w:val="22"/>
        </w:rPr>
        <w:t>p.14</w:t>
      </w:r>
    </w:p>
    <w:p w14:paraId="17893B01" w14:textId="7BAEE7A5" w:rsidR="005625B5" w:rsidRPr="001C3675" w:rsidRDefault="005625B5" w:rsidP="005625B5">
      <w:pPr>
        <w:pStyle w:val="Titre11"/>
        <w:tabs>
          <w:tab w:val="left" w:pos="821"/>
        </w:tabs>
        <w:spacing w:line="276" w:lineRule="auto"/>
        <w:ind w:left="0" w:firstLine="0"/>
        <w:rPr>
          <w:rFonts w:ascii="Century Gothic" w:hAnsi="Century Gothic" w:cs="Arial"/>
          <w:b w:val="0"/>
          <w:bCs w:val="0"/>
          <w:caps/>
          <w:w w:val="95"/>
          <w:sz w:val="22"/>
          <w:szCs w:val="22"/>
        </w:rPr>
      </w:pPr>
      <w:r w:rsidRPr="001C3675">
        <w:rPr>
          <w:rFonts w:ascii="Century Gothic" w:hAnsi="Century Gothic" w:cs="Arial"/>
          <w:b w:val="0"/>
          <w:bCs w:val="0"/>
          <w:caps/>
          <w:w w:val="95"/>
          <w:sz w:val="22"/>
          <w:szCs w:val="22"/>
        </w:rPr>
        <w:t>Adaptation au changement climatique :</w:t>
      </w:r>
      <w:r w:rsidR="00770F27">
        <w:rPr>
          <w:rFonts w:ascii="Century Gothic" w:hAnsi="Century Gothic" w:cs="Arial"/>
          <w:b w:val="0"/>
          <w:bCs w:val="0"/>
          <w:caps/>
          <w:w w:val="95"/>
          <w:sz w:val="22"/>
          <w:szCs w:val="22"/>
        </w:rPr>
        <w:t xml:space="preserve"> ………………………………</w:t>
      </w:r>
      <w:proofErr w:type="gramStart"/>
      <w:r w:rsidR="00770F27">
        <w:rPr>
          <w:rFonts w:ascii="Century Gothic" w:hAnsi="Century Gothic" w:cs="Arial"/>
          <w:b w:val="0"/>
          <w:bCs w:val="0"/>
          <w:caps/>
          <w:w w:val="95"/>
          <w:sz w:val="22"/>
          <w:szCs w:val="22"/>
        </w:rPr>
        <w:t>…….</w:t>
      </w:r>
      <w:proofErr w:type="gramEnd"/>
      <w:r w:rsidRPr="001C3675">
        <w:rPr>
          <w:rFonts w:ascii="Century Gothic" w:hAnsi="Century Gothic" w:cs="Arial"/>
          <w:b w:val="0"/>
          <w:bCs w:val="0"/>
          <w:caps/>
          <w:w w:val="95"/>
          <w:sz w:val="22"/>
          <w:szCs w:val="22"/>
        </w:rPr>
        <w:t>p.19</w:t>
      </w:r>
    </w:p>
    <w:p w14:paraId="06A94219" w14:textId="7FF9AA16" w:rsidR="005625B5" w:rsidRPr="001C3675" w:rsidRDefault="005625B5" w:rsidP="005625B5">
      <w:pPr>
        <w:pStyle w:val="Titre11"/>
        <w:tabs>
          <w:tab w:val="left" w:pos="821"/>
        </w:tabs>
        <w:spacing w:line="276" w:lineRule="auto"/>
        <w:ind w:left="0" w:firstLine="0"/>
        <w:rPr>
          <w:rFonts w:ascii="Century Gothic" w:hAnsi="Century Gothic" w:cs="Arial"/>
          <w:b w:val="0"/>
          <w:bCs w:val="0"/>
          <w:w w:val="95"/>
          <w:sz w:val="22"/>
          <w:szCs w:val="22"/>
        </w:rPr>
      </w:pPr>
      <w:r w:rsidRPr="001C3675">
        <w:rPr>
          <w:rFonts w:ascii="Century Gothic" w:hAnsi="Century Gothic" w:cs="Arial"/>
          <w:b w:val="0"/>
          <w:bCs w:val="0"/>
          <w:w w:val="95"/>
          <w:sz w:val="22"/>
          <w:szCs w:val="22"/>
        </w:rPr>
        <w:tab/>
        <w:t xml:space="preserve">Lutte contre l’ensablement </w:t>
      </w:r>
      <w:r w:rsidR="00770F27">
        <w:rPr>
          <w:rFonts w:ascii="Century Gothic" w:hAnsi="Century Gothic" w:cs="Arial"/>
          <w:b w:val="0"/>
          <w:bCs w:val="0"/>
          <w:w w:val="95"/>
          <w:sz w:val="22"/>
          <w:szCs w:val="22"/>
        </w:rPr>
        <w:t>…………………………………………………</w:t>
      </w:r>
      <w:r w:rsidRPr="001C3675">
        <w:rPr>
          <w:rFonts w:ascii="Century Gothic" w:hAnsi="Century Gothic" w:cs="Arial"/>
          <w:b w:val="0"/>
          <w:bCs w:val="0"/>
          <w:w w:val="95"/>
          <w:sz w:val="22"/>
          <w:szCs w:val="22"/>
        </w:rPr>
        <w:t>p.19</w:t>
      </w:r>
    </w:p>
    <w:p w14:paraId="26597D6B" w14:textId="27FF05A8" w:rsidR="005625B5" w:rsidRPr="001C3675" w:rsidRDefault="005625B5" w:rsidP="005625B5">
      <w:pPr>
        <w:pStyle w:val="Titre11"/>
        <w:tabs>
          <w:tab w:val="left" w:pos="821"/>
        </w:tabs>
        <w:spacing w:line="276" w:lineRule="auto"/>
        <w:ind w:left="0" w:firstLine="0"/>
        <w:rPr>
          <w:rFonts w:ascii="Century Gothic" w:hAnsi="Century Gothic" w:cs="Arial"/>
          <w:b w:val="0"/>
          <w:bCs w:val="0"/>
          <w:w w:val="95"/>
          <w:sz w:val="22"/>
          <w:szCs w:val="22"/>
        </w:rPr>
      </w:pPr>
      <w:r w:rsidRPr="001C3675">
        <w:rPr>
          <w:rFonts w:ascii="Century Gothic" w:hAnsi="Century Gothic" w:cs="Arial"/>
          <w:b w:val="0"/>
          <w:bCs w:val="0"/>
          <w:w w:val="95"/>
          <w:sz w:val="22"/>
          <w:szCs w:val="22"/>
        </w:rPr>
        <w:tab/>
        <w:t xml:space="preserve">Valorisation des terres incultes </w:t>
      </w:r>
      <w:r w:rsidR="00770F27">
        <w:rPr>
          <w:rFonts w:ascii="Century Gothic" w:hAnsi="Century Gothic" w:cs="Arial"/>
          <w:b w:val="0"/>
          <w:bCs w:val="0"/>
          <w:w w:val="95"/>
          <w:sz w:val="22"/>
          <w:szCs w:val="22"/>
        </w:rPr>
        <w:t>………………………………………………</w:t>
      </w:r>
      <w:r w:rsidRPr="001C3675">
        <w:rPr>
          <w:rFonts w:ascii="Century Gothic" w:hAnsi="Century Gothic" w:cs="Arial"/>
          <w:b w:val="0"/>
          <w:bCs w:val="0"/>
          <w:w w:val="95"/>
          <w:sz w:val="22"/>
          <w:szCs w:val="22"/>
        </w:rPr>
        <w:t>p.21</w:t>
      </w:r>
    </w:p>
    <w:p w14:paraId="522D3E86" w14:textId="7D88B4A7" w:rsidR="005625B5" w:rsidRPr="001C3675" w:rsidRDefault="005625B5" w:rsidP="005625B5">
      <w:pPr>
        <w:pStyle w:val="Titre11"/>
        <w:tabs>
          <w:tab w:val="left" w:pos="821"/>
        </w:tabs>
        <w:spacing w:line="276" w:lineRule="auto"/>
        <w:ind w:left="0" w:firstLine="0"/>
        <w:rPr>
          <w:rFonts w:ascii="Century Gothic" w:hAnsi="Century Gothic" w:cs="Arial"/>
          <w:b w:val="0"/>
          <w:bCs w:val="0"/>
          <w:w w:val="95"/>
          <w:sz w:val="22"/>
          <w:szCs w:val="22"/>
        </w:rPr>
      </w:pPr>
      <w:r w:rsidRPr="001C3675">
        <w:rPr>
          <w:rFonts w:ascii="Century Gothic" w:hAnsi="Century Gothic" w:cs="Arial"/>
          <w:b w:val="0"/>
          <w:bCs w:val="0"/>
          <w:w w:val="95"/>
          <w:sz w:val="22"/>
          <w:szCs w:val="22"/>
        </w:rPr>
        <w:tab/>
        <w:t xml:space="preserve">Restauration des zones humides continentales </w:t>
      </w:r>
      <w:r w:rsidR="00770F27">
        <w:rPr>
          <w:rFonts w:ascii="Century Gothic" w:hAnsi="Century Gothic" w:cs="Arial"/>
          <w:b w:val="0"/>
          <w:bCs w:val="0"/>
          <w:w w:val="95"/>
          <w:sz w:val="22"/>
          <w:szCs w:val="22"/>
        </w:rPr>
        <w:t>…………………………</w:t>
      </w:r>
      <w:r w:rsidRPr="001C3675">
        <w:rPr>
          <w:rFonts w:ascii="Century Gothic" w:hAnsi="Century Gothic" w:cs="Arial"/>
          <w:b w:val="0"/>
          <w:bCs w:val="0"/>
          <w:w w:val="95"/>
          <w:sz w:val="22"/>
          <w:szCs w:val="22"/>
        </w:rPr>
        <w:t>p.24</w:t>
      </w:r>
    </w:p>
    <w:p w14:paraId="2CC46D8D" w14:textId="00875479" w:rsidR="005625B5" w:rsidRPr="001C3675" w:rsidRDefault="005625B5" w:rsidP="005625B5">
      <w:pPr>
        <w:pStyle w:val="Titre11"/>
        <w:tabs>
          <w:tab w:val="left" w:pos="821"/>
        </w:tabs>
        <w:spacing w:line="276" w:lineRule="auto"/>
        <w:ind w:left="0" w:firstLine="0"/>
        <w:rPr>
          <w:rFonts w:ascii="Century Gothic" w:hAnsi="Century Gothic" w:cs="Arial"/>
          <w:b w:val="0"/>
          <w:bCs w:val="0"/>
          <w:w w:val="95"/>
          <w:sz w:val="22"/>
          <w:szCs w:val="22"/>
        </w:rPr>
      </w:pPr>
      <w:r w:rsidRPr="001C3675">
        <w:rPr>
          <w:rFonts w:ascii="Century Gothic" w:hAnsi="Century Gothic" w:cs="Arial"/>
          <w:b w:val="0"/>
          <w:bCs w:val="0"/>
          <w:w w:val="95"/>
          <w:sz w:val="22"/>
          <w:szCs w:val="22"/>
        </w:rPr>
        <w:t xml:space="preserve"> </w:t>
      </w:r>
      <w:r w:rsidRPr="001C3675">
        <w:rPr>
          <w:rFonts w:ascii="Century Gothic" w:hAnsi="Century Gothic" w:cs="Arial"/>
          <w:b w:val="0"/>
          <w:bCs w:val="0"/>
          <w:w w:val="95"/>
          <w:sz w:val="22"/>
          <w:szCs w:val="22"/>
        </w:rPr>
        <w:tab/>
        <w:t xml:space="preserve">Aménagement des écosystèmes forestiers </w:t>
      </w:r>
      <w:r w:rsidR="00770F27">
        <w:rPr>
          <w:rFonts w:ascii="Century Gothic" w:hAnsi="Century Gothic" w:cs="Arial"/>
          <w:b w:val="0"/>
          <w:bCs w:val="0"/>
          <w:w w:val="95"/>
          <w:sz w:val="22"/>
          <w:szCs w:val="22"/>
        </w:rPr>
        <w:t>………………………………</w:t>
      </w:r>
      <w:r w:rsidRPr="001C3675">
        <w:rPr>
          <w:rFonts w:ascii="Century Gothic" w:hAnsi="Century Gothic" w:cs="Arial"/>
          <w:b w:val="0"/>
          <w:bCs w:val="0"/>
          <w:w w:val="95"/>
          <w:sz w:val="22"/>
          <w:szCs w:val="22"/>
        </w:rPr>
        <w:t>p.27</w:t>
      </w:r>
    </w:p>
    <w:p w14:paraId="06AB9005" w14:textId="62C0455A" w:rsidR="005625B5" w:rsidRPr="001C3675" w:rsidRDefault="005625B5" w:rsidP="005625B5">
      <w:pPr>
        <w:pStyle w:val="Titre11"/>
        <w:tabs>
          <w:tab w:val="left" w:pos="821"/>
        </w:tabs>
        <w:spacing w:line="276" w:lineRule="auto"/>
        <w:ind w:left="0" w:firstLine="0"/>
        <w:rPr>
          <w:rFonts w:ascii="Century Gothic" w:hAnsi="Century Gothic" w:cs="Arial"/>
          <w:b w:val="0"/>
          <w:bCs w:val="0"/>
          <w:caps/>
          <w:w w:val="95"/>
          <w:sz w:val="22"/>
          <w:szCs w:val="22"/>
        </w:rPr>
      </w:pPr>
      <w:r w:rsidRPr="001C3675">
        <w:rPr>
          <w:rFonts w:ascii="Century Gothic" w:hAnsi="Century Gothic" w:cs="Arial"/>
          <w:b w:val="0"/>
          <w:bCs w:val="0"/>
          <w:caps/>
          <w:w w:val="95"/>
          <w:sz w:val="22"/>
          <w:szCs w:val="22"/>
        </w:rPr>
        <w:t>Conclusion et recommandations </w:t>
      </w:r>
      <w:r w:rsidR="00770F27">
        <w:rPr>
          <w:rFonts w:ascii="Century Gothic" w:hAnsi="Century Gothic" w:cs="Arial"/>
          <w:b w:val="0"/>
          <w:bCs w:val="0"/>
          <w:caps/>
          <w:w w:val="95"/>
          <w:sz w:val="22"/>
          <w:szCs w:val="22"/>
        </w:rPr>
        <w:t>………………………………………………</w:t>
      </w:r>
      <w:r w:rsidRPr="001C3675">
        <w:rPr>
          <w:rFonts w:ascii="Century Gothic" w:hAnsi="Century Gothic" w:cs="Arial"/>
          <w:b w:val="0"/>
          <w:bCs w:val="0"/>
          <w:caps/>
          <w:w w:val="95"/>
          <w:sz w:val="22"/>
          <w:szCs w:val="22"/>
        </w:rPr>
        <w:t>p.35</w:t>
      </w:r>
    </w:p>
    <w:p w14:paraId="7EC0C277" w14:textId="53FBE8CB" w:rsidR="005625B5" w:rsidRPr="001C3675" w:rsidRDefault="005625B5" w:rsidP="005625B5">
      <w:pPr>
        <w:pStyle w:val="Titre11"/>
        <w:tabs>
          <w:tab w:val="left" w:pos="821"/>
        </w:tabs>
        <w:spacing w:line="276" w:lineRule="auto"/>
        <w:ind w:left="0" w:firstLine="0"/>
        <w:rPr>
          <w:rFonts w:ascii="Century Gothic" w:hAnsi="Century Gothic" w:cs="Arial"/>
          <w:b w:val="0"/>
          <w:bCs w:val="0"/>
          <w:caps/>
          <w:w w:val="95"/>
          <w:sz w:val="22"/>
          <w:szCs w:val="22"/>
        </w:rPr>
      </w:pPr>
      <w:r w:rsidRPr="001C3675">
        <w:rPr>
          <w:rFonts w:ascii="Century Gothic" w:hAnsi="Century Gothic" w:cs="Arial"/>
          <w:b w:val="0"/>
          <w:bCs w:val="0"/>
          <w:caps/>
          <w:w w:val="95"/>
          <w:sz w:val="22"/>
          <w:szCs w:val="22"/>
        </w:rPr>
        <w:t>REFERENCES BIBLIOGRAPHIQUES</w:t>
      </w:r>
      <w:r w:rsidR="00770F27">
        <w:rPr>
          <w:rFonts w:ascii="Century Gothic" w:hAnsi="Century Gothic" w:cs="Arial"/>
          <w:b w:val="0"/>
          <w:bCs w:val="0"/>
          <w:caps/>
          <w:w w:val="95"/>
          <w:sz w:val="22"/>
          <w:szCs w:val="22"/>
        </w:rPr>
        <w:t> ...........................................................................</w:t>
      </w:r>
      <w:r w:rsidRPr="001C3675">
        <w:rPr>
          <w:rFonts w:ascii="Century Gothic" w:hAnsi="Century Gothic" w:cs="Arial"/>
          <w:b w:val="0"/>
          <w:bCs w:val="0"/>
          <w:caps/>
          <w:w w:val="95"/>
          <w:sz w:val="22"/>
          <w:szCs w:val="22"/>
        </w:rPr>
        <w:t>P.38</w:t>
      </w:r>
    </w:p>
    <w:p w14:paraId="43F14757" w14:textId="021E88A5" w:rsidR="005625B5" w:rsidRPr="001C3675" w:rsidRDefault="005625B5" w:rsidP="005625B5">
      <w:pPr>
        <w:pStyle w:val="Titre11"/>
        <w:tabs>
          <w:tab w:val="left" w:pos="821"/>
        </w:tabs>
        <w:spacing w:line="276" w:lineRule="auto"/>
        <w:ind w:left="0" w:firstLine="0"/>
        <w:rPr>
          <w:rFonts w:ascii="Century Gothic" w:hAnsi="Century Gothic" w:cs="Arial"/>
          <w:b w:val="0"/>
          <w:bCs w:val="0"/>
          <w:caps/>
          <w:w w:val="95"/>
          <w:sz w:val="22"/>
          <w:szCs w:val="22"/>
        </w:rPr>
      </w:pPr>
      <w:r w:rsidRPr="001C3675">
        <w:rPr>
          <w:rFonts w:ascii="Century Gothic" w:hAnsi="Century Gothic" w:cs="Arial"/>
          <w:caps/>
          <w:w w:val="95"/>
          <w:sz w:val="22"/>
          <w:szCs w:val="22"/>
        </w:rPr>
        <w:t>ANNEXES</w:t>
      </w:r>
      <w:r w:rsidRPr="001C3675">
        <w:rPr>
          <w:rFonts w:ascii="Century Gothic" w:hAnsi="Century Gothic" w:cs="Arial"/>
          <w:b w:val="0"/>
          <w:bCs w:val="0"/>
          <w:caps/>
          <w:w w:val="95"/>
          <w:sz w:val="22"/>
          <w:szCs w:val="22"/>
        </w:rPr>
        <w:t xml:space="preserve"> : </w:t>
      </w:r>
      <w:r w:rsidR="00770F27">
        <w:rPr>
          <w:rFonts w:ascii="Century Gothic" w:hAnsi="Century Gothic" w:cs="Arial"/>
          <w:b w:val="0"/>
          <w:bCs w:val="0"/>
          <w:caps/>
          <w:w w:val="95"/>
          <w:sz w:val="22"/>
          <w:szCs w:val="22"/>
        </w:rPr>
        <w:t>……………………………………………………………………………</w:t>
      </w:r>
      <w:proofErr w:type="gramStart"/>
      <w:r w:rsidR="00770F27">
        <w:rPr>
          <w:rFonts w:ascii="Century Gothic" w:hAnsi="Century Gothic" w:cs="Arial"/>
          <w:b w:val="0"/>
          <w:bCs w:val="0"/>
          <w:caps/>
          <w:w w:val="95"/>
          <w:sz w:val="22"/>
          <w:szCs w:val="22"/>
        </w:rPr>
        <w:t>…….</w:t>
      </w:r>
      <w:proofErr w:type="gramEnd"/>
      <w:r w:rsidRPr="001C3675">
        <w:rPr>
          <w:rFonts w:ascii="Century Gothic" w:hAnsi="Century Gothic" w:cs="Arial"/>
          <w:b w:val="0"/>
          <w:bCs w:val="0"/>
          <w:caps/>
          <w:w w:val="95"/>
          <w:sz w:val="22"/>
          <w:szCs w:val="22"/>
        </w:rPr>
        <w:t>p.40</w:t>
      </w:r>
    </w:p>
    <w:p w14:paraId="1A4AB50A" w14:textId="1EDB1386" w:rsidR="005625B5" w:rsidRPr="001C3675" w:rsidRDefault="005625B5" w:rsidP="005625B5">
      <w:pPr>
        <w:pStyle w:val="Titre11"/>
        <w:tabs>
          <w:tab w:val="left" w:pos="0"/>
        </w:tabs>
        <w:spacing w:line="276" w:lineRule="auto"/>
        <w:ind w:left="1134" w:hanging="1134"/>
        <w:rPr>
          <w:rFonts w:ascii="Century Gothic" w:hAnsi="Century Gothic" w:cs="Arial"/>
          <w:b w:val="0"/>
          <w:bCs w:val="0"/>
          <w:w w:val="95"/>
          <w:sz w:val="22"/>
          <w:szCs w:val="22"/>
        </w:rPr>
      </w:pPr>
      <w:r w:rsidRPr="001C3675">
        <w:rPr>
          <w:rFonts w:ascii="Century Gothic" w:hAnsi="Century Gothic" w:cs="Arial"/>
          <w:b w:val="0"/>
          <w:bCs w:val="0"/>
          <w:w w:val="95"/>
          <w:sz w:val="22"/>
          <w:szCs w:val="22"/>
        </w:rPr>
        <w:t xml:space="preserve">Annexe 1 : </w:t>
      </w:r>
      <w:r w:rsidRPr="001C3675">
        <w:rPr>
          <w:rFonts w:ascii="Century Gothic" w:hAnsi="Century Gothic" w:cs="Arial"/>
          <w:b w:val="0"/>
          <w:bCs w:val="0"/>
          <w:w w:val="95"/>
          <w:sz w:val="22"/>
          <w:szCs w:val="22"/>
        </w:rPr>
        <w:tab/>
      </w:r>
      <w:r w:rsidR="00714EB4">
        <w:rPr>
          <w:rFonts w:ascii="Century Gothic" w:hAnsi="Century Gothic" w:cs="Arial"/>
          <w:b w:val="0"/>
          <w:bCs w:val="0"/>
          <w:w w:val="95"/>
          <w:sz w:val="22"/>
          <w:szCs w:val="22"/>
        </w:rPr>
        <w:t xml:space="preserve">    </w:t>
      </w:r>
      <w:r w:rsidRPr="001C3675">
        <w:rPr>
          <w:rFonts w:ascii="Century Gothic" w:hAnsi="Century Gothic" w:cs="Arial"/>
          <w:b w:val="0"/>
          <w:bCs w:val="0"/>
          <w:w w:val="95"/>
          <w:sz w:val="22"/>
          <w:szCs w:val="22"/>
        </w:rPr>
        <w:t xml:space="preserve">Termes de référence de l’étude </w:t>
      </w:r>
    </w:p>
    <w:p w14:paraId="3F1011B5" w14:textId="686CCDB3" w:rsidR="005625B5" w:rsidRPr="001C3675" w:rsidRDefault="005625B5" w:rsidP="005625B5">
      <w:pPr>
        <w:pStyle w:val="Titre11"/>
        <w:tabs>
          <w:tab w:val="left" w:pos="0"/>
        </w:tabs>
        <w:spacing w:line="276" w:lineRule="auto"/>
        <w:ind w:left="1418" w:hanging="1418"/>
        <w:rPr>
          <w:rFonts w:ascii="Century Gothic" w:eastAsia="Times New Roman" w:hAnsi="Century Gothic" w:cs="Times New Roman"/>
          <w:b w:val="0"/>
          <w:bCs w:val="0"/>
          <w:sz w:val="22"/>
          <w:szCs w:val="22"/>
          <w:lang w:eastAsia="wo-SN"/>
        </w:rPr>
      </w:pPr>
      <w:r w:rsidRPr="001C3675">
        <w:rPr>
          <w:rFonts w:ascii="Century Gothic" w:hAnsi="Century Gothic" w:cs="Arial"/>
          <w:b w:val="0"/>
          <w:bCs w:val="0"/>
          <w:w w:val="95"/>
          <w:sz w:val="22"/>
          <w:szCs w:val="22"/>
        </w:rPr>
        <w:t xml:space="preserve">Annexe 2 : </w:t>
      </w:r>
      <w:r w:rsidR="00714EB4">
        <w:rPr>
          <w:rFonts w:ascii="Century Gothic" w:hAnsi="Century Gothic" w:cs="Arial"/>
          <w:b w:val="0"/>
          <w:bCs w:val="0"/>
          <w:w w:val="95"/>
          <w:sz w:val="22"/>
          <w:szCs w:val="22"/>
        </w:rPr>
        <w:t xml:space="preserve">   </w:t>
      </w:r>
      <w:r w:rsidRPr="001C3675">
        <w:rPr>
          <w:rFonts w:ascii="Century Gothic" w:hAnsi="Century Gothic" w:cs="Arial"/>
          <w:b w:val="0"/>
          <w:bCs w:val="0"/>
          <w:w w:val="95"/>
          <w:sz w:val="22"/>
          <w:szCs w:val="22"/>
        </w:rPr>
        <w:t>Sites de p</w:t>
      </w:r>
      <w:r w:rsidRPr="001C3675">
        <w:rPr>
          <w:rFonts w:ascii="Century Gothic" w:eastAsia="Times New Roman" w:hAnsi="Century Gothic" w:cs="Times New Roman"/>
          <w:b w:val="0"/>
          <w:bCs w:val="0"/>
          <w:sz w:val="22"/>
          <w:szCs w:val="22"/>
          <w:lang w:eastAsia="wo-SN"/>
        </w:rPr>
        <w:t xml:space="preserve">rotection des infrastructures socioéconomiques </w:t>
      </w:r>
    </w:p>
    <w:p w14:paraId="668414C2" w14:textId="77777777" w:rsidR="005625B5" w:rsidRPr="001C3675" w:rsidRDefault="005625B5" w:rsidP="005625B5">
      <w:pPr>
        <w:pStyle w:val="Titre11"/>
        <w:tabs>
          <w:tab w:val="left" w:pos="0"/>
        </w:tabs>
        <w:spacing w:line="276" w:lineRule="auto"/>
        <w:ind w:left="1418" w:hanging="1418"/>
        <w:rPr>
          <w:rFonts w:ascii="Century Gothic" w:hAnsi="Century Gothic" w:cs="Arial"/>
          <w:b w:val="0"/>
          <w:bCs w:val="0"/>
          <w:w w:val="95"/>
          <w:sz w:val="22"/>
          <w:szCs w:val="22"/>
        </w:rPr>
      </w:pPr>
      <w:r w:rsidRPr="001C3675">
        <w:rPr>
          <w:rFonts w:ascii="Century Gothic" w:eastAsia="Times New Roman" w:hAnsi="Century Gothic" w:cs="Times New Roman"/>
          <w:b w:val="0"/>
          <w:bCs w:val="0"/>
          <w:sz w:val="22"/>
          <w:szCs w:val="22"/>
          <w:lang w:eastAsia="wo-SN"/>
        </w:rPr>
        <w:t xml:space="preserve">                     </w:t>
      </w:r>
      <w:proofErr w:type="gramStart"/>
      <w:r w:rsidRPr="001C3675">
        <w:rPr>
          <w:rFonts w:ascii="Century Gothic" w:eastAsia="Times New Roman" w:hAnsi="Century Gothic" w:cs="Times New Roman"/>
          <w:b w:val="0"/>
          <w:bCs w:val="0"/>
          <w:sz w:val="22"/>
          <w:szCs w:val="22"/>
          <w:lang w:eastAsia="wo-SN"/>
        </w:rPr>
        <w:t>de</w:t>
      </w:r>
      <w:proofErr w:type="gramEnd"/>
      <w:r w:rsidRPr="001C3675">
        <w:rPr>
          <w:rFonts w:ascii="Century Gothic" w:eastAsia="Times New Roman" w:hAnsi="Century Gothic" w:cs="Times New Roman"/>
          <w:b w:val="0"/>
          <w:bCs w:val="0"/>
          <w:sz w:val="22"/>
          <w:szCs w:val="22"/>
          <w:lang w:eastAsia="wo-SN"/>
        </w:rPr>
        <w:t xml:space="preserve"> la zone nord su pays contre l’ensablement</w:t>
      </w:r>
    </w:p>
    <w:p w14:paraId="741D45AB" w14:textId="77777777" w:rsidR="005625B5" w:rsidRPr="001C3675" w:rsidRDefault="005625B5" w:rsidP="005625B5">
      <w:pPr>
        <w:pStyle w:val="Titre11"/>
        <w:tabs>
          <w:tab w:val="left" w:pos="0"/>
        </w:tabs>
        <w:spacing w:line="276" w:lineRule="auto"/>
        <w:ind w:left="1418" w:hanging="1418"/>
        <w:rPr>
          <w:rFonts w:ascii="Century Gothic" w:hAnsi="Century Gothic" w:cs="Arial"/>
          <w:b w:val="0"/>
          <w:bCs w:val="0"/>
          <w:w w:val="95"/>
          <w:sz w:val="22"/>
          <w:szCs w:val="22"/>
        </w:rPr>
      </w:pPr>
      <w:r w:rsidRPr="001C3675">
        <w:rPr>
          <w:rFonts w:ascii="Century Gothic" w:hAnsi="Century Gothic" w:cs="Arial"/>
          <w:b w:val="0"/>
          <w:bCs w:val="0"/>
          <w:w w:val="95"/>
          <w:sz w:val="22"/>
          <w:szCs w:val="22"/>
        </w:rPr>
        <w:t xml:space="preserve">Annexe 3 :    Sites des zones humides continentales à restaurer dans les </w:t>
      </w:r>
    </w:p>
    <w:p w14:paraId="2206A03E" w14:textId="77777777" w:rsidR="005625B5" w:rsidRPr="001C3675" w:rsidRDefault="005625B5" w:rsidP="005625B5">
      <w:pPr>
        <w:pStyle w:val="Titre11"/>
        <w:tabs>
          <w:tab w:val="left" w:pos="0"/>
        </w:tabs>
        <w:spacing w:line="276" w:lineRule="auto"/>
        <w:ind w:left="1418" w:hanging="1418"/>
        <w:rPr>
          <w:rFonts w:ascii="Century Gothic" w:hAnsi="Century Gothic" w:cs="Arial"/>
          <w:b w:val="0"/>
          <w:bCs w:val="0"/>
          <w:w w:val="95"/>
          <w:sz w:val="22"/>
          <w:szCs w:val="22"/>
        </w:rPr>
      </w:pPr>
      <w:r w:rsidRPr="001C3675">
        <w:rPr>
          <w:rFonts w:ascii="Century Gothic" w:hAnsi="Century Gothic" w:cs="Arial"/>
          <w:b w:val="0"/>
          <w:bCs w:val="0"/>
          <w:w w:val="95"/>
          <w:sz w:val="22"/>
          <w:szCs w:val="22"/>
        </w:rPr>
        <w:t xml:space="preserve">                      Huit wilayas agrosylvopastorales </w:t>
      </w:r>
    </w:p>
    <w:p w14:paraId="33399ED8" w14:textId="63B5FB81" w:rsidR="005625B5" w:rsidRPr="001C3675" w:rsidRDefault="005625B5" w:rsidP="00B15E7F">
      <w:pPr>
        <w:pStyle w:val="Titre11"/>
        <w:tabs>
          <w:tab w:val="left" w:pos="0"/>
        </w:tabs>
        <w:spacing w:line="276" w:lineRule="auto"/>
        <w:ind w:left="1418" w:right="-1134" w:hanging="1418"/>
        <w:rPr>
          <w:rFonts w:ascii="Century Gothic" w:eastAsia="Times New Roman" w:hAnsi="Century Gothic" w:cs="Times New Roman"/>
          <w:b w:val="0"/>
          <w:bCs w:val="0"/>
          <w:sz w:val="20"/>
          <w:szCs w:val="20"/>
          <w:lang w:val="fr-BE" w:eastAsia="wo-SN"/>
        </w:rPr>
      </w:pPr>
      <w:r w:rsidRPr="001C3675">
        <w:rPr>
          <w:rFonts w:ascii="Century Gothic" w:hAnsi="Century Gothic" w:cs="Arial"/>
          <w:b w:val="0"/>
          <w:bCs w:val="0"/>
          <w:w w:val="95"/>
          <w:sz w:val="20"/>
          <w:szCs w:val="20"/>
        </w:rPr>
        <w:t xml:space="preserve">Annexe 4 : </w:t>
      </w:r>
      <w:r w:rsidRPr="001C3675">
        <w:rPr>
          <w:rFonts w:ascii="Century Gothic" w:eastAsia="Times New Roman" w:hAnsi="Century Gothic" w:cs="Times New Roman"/>
          <w:b w:val="0"/>
          <w:bCs w:val="0"/>
          <w:sz w:val="20"/>
          <w:szCs w:val="20"/>
          <w:lang w:val="fr-BE" w:eastAsia="wo-SN"/>
        </w:rPr>
        <w:t>Etat des lieux et cartographie de dix forêts classées dans Les wilayas Gorgol,</w:t>
      </w:r>
      <w:r w:rsidR="00004A57">
        <w:rPr>
          <w:rFonts w:ascii="Century Gothic" w:eastAsia="Times New Roman" w:hAnsi="Century Gothic" w:cs="Times New Roman"/>
          <w:b w:val="0"/>
          <w:bCs w:val="0"/>
          <w:sz w:val="20"/>
          <w:szCs w:val="20"/>
          <w:lang w:val="fr-BE" w:eastAsia="wo-SN"/>
        </w:rPr>
        <w:t xml:space="preserve"> </w:t>
      </w:r>
      <w:r w:rsidRPr="001C3675">
        <w:rPr>
          <w:rFonts w:ascii="Century Gothic" w:eastAsia="Times New Roman" w:hAnsi="Century Gothic" w:cs="Times New Roman"/>
          <w:b w:val="0"/>
          <w:bCs w:val="0"/>
          <w:sz w:val="20"/>
          <w:szCs w:val="20"/>
          <w:lang w:val="fr-BE" w:eastAsia="wo-SN"/>
        </w:rPr>
        <w:t xml:space="preserve">Brakna et Trarza </w:t>
      </w:r>
    </w:p>
    <w:p w14:paraId="448F8608" w14:textId="2778A192" w:rsidR="005625B5" w:rsidRDefault="005625B5" w:rsidP="005625B5">
      <w:pPr>
        <w:pStyle w:val="Titre11"/>
        <w:tabs>
          <w:tab w:val="left" w:pos="0"/>
          <w:tab w:val="left" w:pos="9072"/>
        </w:tabs>
        <w:spacing w:line="276" w:lineRule="auto"/>
        <w:ind w:left="1134" w:hanging="1134"/>
        <w:rPr>
          <w:rFonts w:ascii="Century Gothic" w:hAnsi="Century Gothic"/>
          <w:b w:val="0"/>
          <w:bCs w:val="0"/>
          <w:sz w:val="20"/>
          <w:szCs w:val="20"/>
        </w:rPr>
      </w:pPr>
      <w:r w:rsidRPr="001C3675">
        <w:rPr>
          <w:rFonts w:ascii="Century Gothic" w:hAnsi="Century Gothic" w:cs="Arial"/>
          <w:b w:val="0"/>
          <w:bCs w:val="0"/>
          <w:w w:val="95"/>
          <w:sz w:val="20"/>
          <w:szCs w:val="20"/>
        </w:rPr>
        <w:t xml:space="preserve">Annexe 5 : </w:t>
      </w:r>
      <w:r w:rsidR="00714EB4">
        <w:rPr>
          <w:rFonts w:ascii="Century Gothic" w:hAnsi="Century Gothic" w:cs="Arial"/>
          <w:b w:val="0"/>
          <w:bCs w:val="0"/>
          <w:w w:val="95"/>
          <w:sz w:val="20"/>
          <w:szCs w:val="20"/>
        </w:rPr>
        <w:t xml:space="preserve"> </w:t>
      </w:r>
      <w:r w:rsidRPr="001C3675">
        <w:rPr>
          <w:rFonts w:ascii="Century Gothic" w:hAnsi="Century Gothic"/>
          <w:b w:val="0"/>
          <w:bCs w:val="0"/>
          <w:sz w:val="20"/>
          <w:szCs w:val="20"/>
        </w:rPr>
        <w:t>Données de l’inventaire écologique/relevé ICV de la forêt</w:t>
      </w:r>
      <w:r>
        <w:rPr>
          <w:rFonts w:ascii="Century Gothic" w:hAnsi="Century Gothic"/>
          <w:b w:val="0"/>
          <w:bCs w:val="0"/>
          <w:sz w:val="20"/>
          <w:szCs w:val="20"/>
        </w:rPr>
        <w:t xml:space="preserve"> </w:t>
      </w:r>
      <w:r w:rsidRPr="001C3675">
        <w:rPr>
          <w:rFonts w:ascii="Century Gothic" w:hAnsi="Century Gothic"/>
          <w:b w:val="0"/>
          <w:bCs w:val="0"/>
          <w:sz w:val="20"/>
          <w:szCs w:val="20"/>
        </w:rPr>
        <w:t>de Boully Beldi</w:t>
      </w:r>
    </w:p>
    <w:p w14:paraId="0108C1AF" w14:textId="77777777" w:rsidR="00004A57" w:rsidRPr="001C3675" w:rsidRDefault="00004A57" w:rsidP="005625B5">
      <w:pPr>
        <w:pStyle w:val="Titre11"/>
        <w:tabs>
          <w:tab w:val="left" w:pos="0"/>
          <w:tab w:val="left" w:pos="9072"/>
        </w:tabs>
        <w:spacing w:line="276" w:lineRule="auto"/>
        <w:ind w:left="1134" w:hanging="1134"/>
        <w:rPr>
          <w:rFonts w:ascii="Century Gothic" w:hAnsi="Century Gothic"/>
          <w:b w:val="0"/>
          <w:bCs w:val="0"/>
          <w:sz w:val="20"/>
          <w:szCs w:val="20"/>
        </w:rPr>
      </w:pPr>
    </w:p>
    <w:p w14:paraId="494B2753" w14:textId="73A22B32" w:rsidR="005625B5" w:rsidRDefault="005625B5" w:rsidP="00B35B59">
      <w:pPr>
        <w:pStyle w:val="Titre11"/>
        <w:tabs>
          <w:tab w:val="left" w:pos="0"/>
        </w:tabs>
        <w:spacing w:line="276" w:lineRule="auto"/>
        <w:ind w:left="1418" w:hanging="1418"/>
        <w:rPr>
          <w:rFonts w:ascii="Century Gothic" w:hAnsi="Century Gothic" w:cs="Arial"/>
          <w:w w:val="95"/>
        </w:rPr>
      </w:pPr>
      <w:r w:rsidRPr="001C3675">
        <w:rPr>
          <w:rFonts w:ascii="Century Gothic" w:hAnsi="Century Gothic"/>
          <w:b w:val="0"/>
          <w:bCs w:val="0"/>
          <w:sz w:val="22"/>
          <w:szCs w:val="22"/>
        </w:rPr>
        <w:t xml:space="preserve"> </w:t>
      </w:r>
      <w:r>
        <w:rPr>
          <w:rFonts w:ascii="Century Gothic" w:hAnsi="Century Gothic" w:cs="Arial"/>
          <w:w w:val="95"/>
        </w:rPr>
        <w:t xml:space="preserve">ACRONYMES ET </w:t>
      </w:r>
      <w:r w:rsidRPr="00E75C48">
        <w:rPr>
          <w:rFonts w:ascii="Century Gothic" w:hAnsi="Century Gothic" w:cs="Arial"/>
          <w:w w:val="95"/>
        </w:rPr>
        <w:t>A</w:t>
      </w:r>
      <w:r>
        <w:rPr>
          <w:rFonts w:ascii="Century Gothic" w:hAnsi="Century Gothic" w:cs="Arial"/>
          <w:w w:val="95"/>
        </w:rPr>
        <w:t>BREVIATIONS</w:t>
      </w:r>
      <w:r w:rsidRPr="00E75C48">
        <w:rPr>
          <w:rFonts w:ascii="Century Gothic" w:hAnsi="Century Gothic" w:cs="Arial"/>
          <w:w w:val="95"/>
        </w:rPr>
        <w:t xml:space="preserve"> : </w:t>
      </w:r>
    </w:p>
    <w:p w14:paraId="63308972" w14:textId="77777777" w:rsidR="005625B5" w:rsidRPr="00E75C48" w:rsidRDefault="005625B5" w:rsidP="005625B5">
      <w:pPr>
        <w:pStyle w:val="Titre11"/>
        <w:tabs>
          <w:tab w:val="left" w:pos="821"/>
        </w:tabs>
        <w:spacing w:line="276" w:lineRule="auto"/>
        <w:ind w:left="0" w:firstLine="0"/>
        <w:rPr>
          <w:rFonts w:ascii="Century Gothic" w:hAnsi="Century Gothic"/>
          <w:b w:val="0"/>
          <w:bCs w:val="0"/>
        </w:rPr>
      </w:pPr>
      <w:r w:rsidRPr="00E75C48">
        <w:rPr>
          <w:rFonts w:ascii="Century Gothic" w:hAnsi="Century Gothic" w:cs="Arial"/>
          <w:b w:val="0"/>
          <w:bCs w:val="0"/>
          <w:w w:val="95"/>
        </w:rPr>
        <w:t>CC</w:t>
      </w:r>
      <w:r>
        <w:rPr>
          <w:rFonts w:ascii="Century Gothic" w:hAnsi="Century Gothic" w:cs="Arial"/>
          <w:b w:val="0"/>
          <w:bCs w:val="0"/>
          <w:w w:val="95"/>
        </w:rPr>
        <w:t>NUCC</w:t>
      </w:r>
      <w:r w:rsidRPr="00E75C48">
        <w:rPr>
          <w:rFonts w:ascii="Century Gothic" w:hAnsi="Century Gothic" w:cs="Arial"/>
          <w:b w:val="0"/>
          <w:bCs w:val="0"/>
          <w:w w:val="95"/>
        </w:rPr>
        <w:t xml:space="preserve"> : </w:t>
      </w:r>
      <w:r>
        <w:rPr>
          <w:rFonts w:ascii="Century Gothic" w:hAnsi="Century Gothic" w:cs="Arial"/>
          <w:b w:val="0"/>
          <w:bCs w:val="0"/>
          <w:w w:val="95"/>
        </w:rPr>
        <w:t xml:space="preserve">Convention Cadre des Nations Unies sur les </w:t>
      </w:r>
      <w:r w:rsidRPr="0060417E">
        <w:rPr>
          <w:rFonts w:ascii="Century Gothic" w:hAnsi="Century Gothic"/>
          <w:b w:val="0"/>
          <w:bCs w:val="0"/>
          <w:sz w:val="22"/>
          <w:szCs w:val="22"/>
        </w:rPr>
        <w:t>Changements Climatiques</w:t>
      </w:r>
    </w:p>
    <w:p w14:paraId="5815C2A3" w14:textId="77777777" w:rsidR="005625B5" w:rsidRPr="00E75C48" w:rsidRDefault="005625B5" w:rsidP="005625B5">
      <w:pPr>
        <w:pStyle w:val="Titre11"/>
        <w:tabs>
          <w:tab w:val="left" w:pos="821"/>
        </w:tabs>
        <w:spacing w:line="276" w:lineRule="auto"/>
        <w:ind w:left="0" w:firstLine="0"/>
        <w:rPr>
          <w:rFonts w:ascii="Century Gothic" w:hAnsi="Century Gothic"/>
          <w:b w:val="0"/>
          <w:bCs w:val="0"/>
          <w:color w:val="454545"/>
          <w:spacing w:val="-5"/>
          <w:shd w:val="clear" w:color="auto" w:fill="FFFFFF"/>
        </w:rPr>
      </w:pPr>
      <w:r w:rsidRPr="00E75C48">
        <w:rPr>
          <w:rFonts w:ascii="Century Gothic" w:hAnsi="Century Gothic"/>
          <w:b w:val="0"/>
          <w:bCs w:val="0"/>
        </w:rPr>
        <w:t xml:space="preserve">CDN : </w:t>
      </w:r>
      <w:r w:rsidRPr="00E75C48">
        <w:rPr>
          <w:rFonts w:ascii="Century Gothic" w:hAnsi="Century Gothic"/>
          <w:b w:val="0"/>
          <w:bCs w:val="0"/>
          <w:color w:val="454545"/>
          <w:spacing w:val="-5"/>
          <w:shd w:val="clear" w:color="auto" w:fill="FFFFFF"/>
        </w:rPr>
        <w:t>Contribution Déterminée au niveau National</w:t>
      </w:r>
    </w:p>
    <w:p w14:paraId="55D8DA74" w14:textId="77777777" w:rsidR="005625B5" w:rsidRPr="00E75C48" w:rsidRDefault="005625B5" w:rsidP="005625B5">
      <w:pPr>
        <w:pStyle w:val="Titre11"/>
        <w:tabs>
          <w:tab w:val="left" w:pos="821"/>
        </w:tabs>
        <w:spacing w:line="276" w:lineRule="auto"/>
        <w:ind w:left="0" w:firstLine="0"/>
        <w:rPr>
          <w:rFonts w:ascii="Century Gothic" w:hAnsi="Century Gothic"/>
          <w:b w:val="0"/>
          <w:bCs w:val="0"/>
        </w:rPr>
      </w:pPr>
      <w:r w:rsidRPr="00E75C48">
        <w:rPr>
          <w:rFonts w:ascii="Century Gothic" w:hAnsi="Century Gothic"/>
          <w:b w:val="0"/>
          <w:bCs w:val="0"/>
          <w:color w:val="454545"/>
          <w:spacing w:val="-5"/>
          <w:shd w:val="clear" w:color="auto" w:fill="FFFFFF"/>
        </w:rPr>
        <w:t xml:space="preserve">GIEC : </w:t>
      </w:r>
      <w:r w:rsidRPr="00E75C48">
        <w:rPr>
          <w:rFonts w:ascii="Century Gothic" w:hAnsi="Century Gothic"/>
          <w:b w:val="0"/>
          <w:bCs w:val="0"/>
        </w:rPr>
        <w:t>Groupe d'experts Intergouvernemental sur l’Evolution du Climat</w:t>
      </w:r>
    </w:p>
    <w:p w14:paraId="7B417BEA" w14:textId="77777777" w:rsidR="005625B5" w:rsidRPr="00E75C48" w:rsidRDefault="005625B5" w:rsidP="005625B5">
      <w:pPr>
        <w:pStyle w:val="Titre11"/>
        <w:tabs>
          <w:tab w:val="left" w:pos="821"/>
        </w:tabs>
        <w:spacing w:line="276" w:lineRule="auto"/>
        <w:ind w:left="0" w:firstLine="0"/>
        <w:rPr>
          <w:rFonts w:ascii="Century Gothic" w:hAnsi="Century Gothic"/>
          <w:b w:val="0"/>
          <w:bCs w:val="0"/>
        </w:rPr>
      </w:pPr>
      <w:r w:rsidRPr="00E75C48">
        <w:rPr>
          <w:rFonts w:ascii="Century Gothic" w:hAnsi="Century Gothic"/>
          <w:b w:val="0"/>
          <w:bCs w:val="0"/>
        </w:rPr>
        <w:t xml:space="preserve">FAO : Food and Agriculture Organisation </w:t>
      </w:r>
    </w:p>
    <w:p w14:paraId="1A3BAFCE" w14:textId="77777777" w:rsidR="005625B5" w:rsidRPr="00E75C48" w:rsidRDefault="005625B5" w:rsidP="005625B5">
      <w:pPr>
        <w:pStyle w:val="Titre11"/>
        <w:tabs>
          <w:tab w:val="left" w:pos="821"/>
        </w:tabs>
        <w:spacing w:line="276" w:lineRule="auto"/>
        <w:ind w:left="0" w:firstLine="0"/>
        <w:rPr>
          <w:rFonts w:ascii="Century Gothic" w:hAnsi="Century Gothic"/>
          <w:b w:val="0"/>
          <w:bCs w:val="0"/>
        </w:rPr>
      </w:pPr>
      <w:r w:rsidRPr="00E75C48">
        <w:rPr>
          <w:rFonts w:ascii="Century Gothic" w:hAnsi="Century Gothic"/>
          <w:b w:val="0"/>
          <w:bCs w:val="0"/>
        </w:rPr>
        <w:t>PANA : Plan d’Action National d’Adaptation au changement climatique</w:t>
      </w:r>
    </w:p>
    <w:p w14:paraId="7ED4259C" w14:textId="77777777" w:rsidR="005625B5" w:rsidRDefault="005625B5" w:rsidP="005625B5">
      <w:pPr>
        <w:pStyle w:val="Titre11"/>
        <w:tabs>
          <w:tab w:val="left" w:pos="821"/>
        </w:tabs>
        <w:spacing w:line="276" w:lineRule="auto"/>
        <w:ind w:left="0" w:firstLine="0"/>
        <w:rPr>
          <w:rFonts w:ascii="Century Gothic" w:hAnsi="Century Gothic"/>
          <w:b w:val="0"/>
          <w:bCs w:val="0"/>
        </w:rPr>
      </w:pPr>
      <w:r w:rsidRPr="00E75C48">
        <w:rPr>
          <w:rFonts w:ascii="Century Gothic" w:hAnsi="Century Gothic"/>
          <w:b w:val="0"/>
          <w:bCs w:val="0"/>
        </w:rPr>
        <w:t>PNUD : Programme des Nations Unies pour le Développement</w:t>
      </w:r>
    </w:p>
    <w:p w14:paraId="2BB3BF38" w14:textId="77777777" w:rsidR="005625B5" w:rsidRDefault="005625B5" w:rsidP="005625B5">
      <w:pPr>
        <w:pStyle w:val="Titre11"/>
        <w:tabs>
          <w:tab w:val="left" w:pos="821"/>
        </w:tabs>
        <w:spacing w:line="276" w:lineRule="auto"/>
        <w:ind w:left="0" w:firstLine="0"/>
        <w:rPr>
          <w:rFonts w:ascii="Century Gothic" w:hAnsi="Century Gothic"/>
          <w:b w:val="0"/>
          <w:bCs w:val="0"/>
        </w:rPr>
      </w:pPr>
      <w:r>
        <w:rPr>
          <w:rFonts w:ascii="Century Gothic" w:hAnsi="Century Gothic"/>
          <w:b w:val="0"/>
          <w:bCs w:val="0"/>
        </w:rPr>
        <w:t xml:space="preserve">MEDD : </w:t>
      </w:r>
      <w:r w:rsidRPr="00E75C48">
        <w:rPr>
          <w:rFonts w:ascii="Century Gothic" w:hAnsi="Century Gothic"/>
          <w:b w:val="0"/>
          <w:bCs w:val="0"/>
        </w:rPr>
        <w:t>Ministère de l’Environnement et du Développement Durable</w:t>
      </w:r>
    </w:p>
    <w:p w14:paraId="29BB9067" w14:textId="77777777" w:rsidR="005625B5" w:rsidRPr="00310D6A" w:rsidRDefault="005625B5" w:rsidP="005625B5">
      <w:pPr>
        <w:spacing w:after="0" w:line="276" w:lineRule="auto"/>
        <w:rPr>
          <w:rFonts w:ascii="Century Gothic" w:hAnsi="Century Gothic" w:cs="Times New Roman"/>
          <w:sz w:val="24"/>
          <w:szCs w:val="24"/>
          <w:lang w:val="fr-LU"/>
        </w:rPr>
      </w:pPr>
      <w:r w:rsidRPr="00310D6A">
        <w:rPr>
          <w:rFonts w:ascii="Century Gothic" w:hAnsi="Century Gothic" w:cs="Times New Roman"/>
          <w:sz w:val="24"/>
          <w:szCs w:val="24"/>
          <w:lang w:val="fr-LU"/>
        </w:rPr>
        <w:t xml:space="preserve">GIZ : Coopération technique allemande  </w:t>
      </w:r>
    </w:p>
    <w:p w14:paraId="1B9F76B8" w14:textId="77777777" w:rsidR="005625B5" w:rsidRDefault="005625B5" w:rsidP="005625B5">
      <w:pPr>
        <w:spacing w:after="0" w:line="276" w:lineRule="auto"/>
        <w:rPr>
          <w:rFonts w:ascii="Century Gothic" w:hAnsi="Century Gothic" w:cs="Times New Roman"/>
          <w:sz w:val="24"/>
          <w:szCs w:val="24"/>
          <w:lang w:val="fr-LU"/>
        </w:rPr>
      </w:pPr>
      <w:r w:rsidRPr="00310D6A">
        <w:rPr>
          <w:rFonts w:ascii="Century Gothic" w:hAnsi="Century Gothic" w:cs="Times New Roman"/>
          <w:sz w:val="24"/>
          <w:szCs w:val="24"/>
          <w:lang w:val="fr-LU"/>
        </w:rPr>
        <w:t xml:space="preserve">ProGRN : Programme de Gestion des Ressources Naturelles </w:t>
      </w:r>
    </w:p>
    <w:p w14:paraId="4F9A2644" w14:textId="77777777" w:rsidR="005625B5" w:rsidRDefault="005625B5" w:rsidP="005625B5">
      <w:pPr>
        <w:spacing w:after="0" w:line="276" w:lineRule="auto"/>
        <w:rPr>
          <w:rFonts w:ascii="Century Gothic" w:hAnsi="Century Gothic" w:cs="Times New Roman"/>
          <w:sz w:val="24"/>
          <w:szCs w:val="24"/>
          <w:lang w:val="fr-LU"/>
        </w:rPr>
      </w:pPr>
      <w:r>
        <w:rPr>
          <w:rFonts w:ascii="Century Gothic" w:hAnsi="Century Gothic" w:cs="Times New Roman"/>
          <w:sz w:val="24"/>
          <w:szCs w:val="24"/>
          <w:lang w:val="fr-LU"/>
        </w:rPr>
        <w:t xml:space="preserve">PFNL : Produit forestier non ligneux </w:t>
      </w:r>
    </w:p>
    <w:p w14:paraId="67BAEC19" w14:textId="77777777" w:rsidR="005625B5" w:rsidRDefault="005625B5" w:rsidP="005625B5">
      <w:pPr>
        <w:spacing w:after="0" w:line="276" w:lineRule="auto"/>
        <w:rPr>
          <w:rFonts w:ascii="Century Gothic" w:hAnsi="Century Gothic" w:cs="Times New Roman"/>
          <w:sz w:val="24"/>
          <w:szCs w:val="24"/>
          <w:lang w:val="fr-LU"/>
        </w:rPr>
      </w:pPr>
      <w:r>
        <w:rPr>
          <w:rFonts w:ascii="Century Gothic" w:hAnsi="Century Gothic" w:cs="Times New Roman"/>
          <w:sz w:val="24"/>
          <w:szCs w:val="24"/>
          <w:lang w:val="fr-LU"/>
        </w:rPr>
        <w:t xml:space="preserve">GES : Gaz à effet de serres </w:t>
      </w:r>
    </w:p>
    <w:p w14:paraId="09005C6B" w14:textId="77777777" w:rsidR="005625B5" w:rsidRDefault="005625B5" w:rsidP="005625B5">
      <w:pPr>
        <w:spacing w:after="0" w:line="276" w:lineRule="auto"/>
        <w:rPr>
          <w:rFonts w:ascii="Century Gothic" w:hAnsi="Century Gothic" w:cs="Times New Roman"/>
          <w:sz w:val="24"/>
          <w:szCs w:val="24"/>
          <w:lang w:val="fr-LU"/>
        </w:rPr>
      </w:pPr>
      <w:r>
        <w:rPr>
          <w:rFonts w:ascii="Century Gothic" w:hAnsi="Century Gothic" w:cs="Times New Roman"/>
          <w:sz w:val="24"/>
          <w:szCs w:val="24"/>
          <w:lang w:val="fr-LU"/>
        </w:rPr>
        <w:t xml:space="preserve">PANA : Plan d’Action National d’Adaptation </w:t>
      </w:r>
    </w:p>
    <w:p w14:paraId="6DE62679" w14:textId="77777777" w:rsidR="005625B5" w:rsidRDefault="005625B5" w:rsidP="005625B5">
      <w:pPr>
        <w:spacing w:after="0" w:line="276" w:lineRule="auto"/>
        <w:rPr>
          <w:rFonts w:ascii="Century Gothic" w:hAnsi="Century Gothic" w:cs="Times New Roman"/>
          <w:sz w:val="24"/>
          <w:szCs w:val="24"/>
          <w:lang w:val="fr-LU"/>
        </w:rPr>
      </w:pPr>
      <w:r>
        <w:rPr>
          <w:rFonts w:ascii="Century Gothic" w:hAnsi="Century Gothic" w:cs="Times New Roman"/>
          <w:sz w:val="24"/>
          <w:szCs w:val="24"/>
          <w:lang w:val="fr-LU"/>
        </w:rPr>
        <w:t xml:space="preserve">SNEDD : Stratégie Nationale Environnement et Développement Durable  </w:t>
      </w:r>
    </w:p>
    <w:p w14:paraId="315ED33D" w14:textId="77777777" w:rsidR="005625B5" w:rsidRPr="00310D6A" w:rsidRDefault="005625B5" w:rsidP="005625B5">
      <w:pPr>
        <w:spacing w:after="0" w:line="276" w:lineRule="auto"/>
        <w:rPr>
          <w:rFonts w:ascii="Century Gothic" w:hAnsi="Century Gothic" w:cs="Times New Roman"/>
          <w:sz w:val="24"/>
          <w:szCs w:val="24"/>
          <w:lang w:val="fr-LU"/>
        </w:rPr>
      </w:pPr>
      <w:r>
        <w:rPr>
          <w:rFonts w:ascii="Century Gothic" w:hAnsi="Century Gothic" w:cs="Times New Roman"/>
          <w:sz w:val="24"/>
          <w:szCs w:val="24"/>
          <w:lang w:val="fr-LU"/>
        </w:rPr>
        <w:t xml:space="preserve">SCAPP : Stratégie de Croissance Accélérée et de Prospérité Partagée </w:t>
      </w:r>
    </w:p>
    <w:p w14:paraId="1DDA9890" w14:textId="77777777" w:rsidR="005625B5" w:rsidRPr="0060417E" w:rsidRDefault="005625B5" w:rsidP="005625B5">
      <w:pPr>
        <w:pStyle w:val="Titre11"/>
        <w:tabs>
          <w:tab w:val="left" w:pos="821"/>
        </w:tabs>
        <w:spacing w:line="276" w:lineRule="auto"/>
        <w:ind w:left="0" w:firstLine="0"/>
        <w:rPr>
          <w:rFonts w:ascii="Century Gothic" w:hAnsi="Century Gothic"/>
          <w:b w:val="0"/>
          <w:bCs w:val="0"/>
          <w:sz w:val="6"/>
          <w:szCs w:val="6"/>
        </w:rPr>
      </w:pPr>
    </w:p>
    <w:p w14:paraId="661B9823" w14:textId="77777777" w:rsidR="005625B5" w:rsidRPr="009B093B" w:rsidRDefault="005625B5" w:rsidP="005625B5">
      <w:pPr>
        <w:pStyle w:val="Titre11"/>
        <w:tabs>
          <w:tab w:val="left" w:pos="821"/>
        </w:tabs>
        <w:spacing w:line="276" w:lineRule="auto"/>
        <w:ind w:left="0" w:firstLine="0"/>
        <w:rPr>
          <w:rFonts w:ascii="Century Gothic" w:hAnsi="Century Gothic"/>
          <w:b w:val="0"/>
          <w:bCs w:val="0"/>
          <w:sz w:val="10"/>
          <w:szCs w:val="10"/>
        </w:rPr>
      </w:pPr>
    </w:p>
    <w:p w14:paraId="4BA87006" w14:textId="77777777" w:rsidR="005625B5" w:rsidRPr="00116A94" w:rsidRDefault="005625B5" w:rsidP="005625B5">
      <w:pPr>
        <w:pStyle w:val="Titre11"/>
        <w:numPr>
          <w:ilvl w:val="0"/>
          <w:numId w:val="54"/>
        </w:numPr>
        <w:tabs>
          <w:tab w:val="left" w:pos="821"/>
        </w:tabs>
        <w:spacing w:line="276" w:lineRule="auto"/>
        <w:ind w:left="426" w:hanging="426"/>
        <w:rPr>
          <w:rFonts w:ascii="Century Gothic" w:hAnsi="Century Gothic" w:cs="Arial"/>
        </w:rPr>
      </w:pPr>
      <w:r>
        <w:rPr>
          <w:rFonts w:ascii="Century Gothic" w:hAnsi="Century Gothic" w:cs="Arial"/>
          <w:w w:val="95"/>
        </w:rPr>
        <w:t xml:space="preserve">INTRODUCTION </w:t>
      </w:r>
    </w:p>
    <w:p w14:paraId="17DE72F2" w14:textId="77777777" w:rsidR="005625B5" w:rsidRPr="0060417E" w:rsidRDefault="005625B5" w:rsidP="005625B5">
      <w:pPr>
        <w:pStyle w:val="Titre11"/>
        <w:tabs>
          <w:tab w:val="left" w:pos="821"/>
        </w:tabs>
        <w:spacing w:line="276" w:lineRule="auto"/>
        <w:ind w:left="0" w:firstLine="0"/>
        <w:rPr>
          <w:rFonts w:ascii="Century Gothic" w:hAnsi="Century Gothic" w:cs="Arial"/>
          <w:sz w:val="14"/>
          <w:szCs w:val="14"/>
        </w:rPr>
      </w:pPr>
    </w:p>
    <w:p w14:paraId="4BEC5C72" w14:textId="77777777" w:rsidR="005625B5" w:rsidRPr="00116A94" w:rsidRDefault="005625B5" w:rsidP="005625B5">
      <w:pPr>
        <w:pStyle w:val="Titre11"/>
        <w:tabs>
          <w:tab w:val="left" w:pos="821"/>
        </w:tabs>
        <w:spacing w:line="276" w:lineRule="auto"/>
        <w:ind w:left="0" w:firstLine="0"/>
        <w:rPr>
          <w:rFonts w:ascii="Century Gothic" w:hAnsi="Century Gothic" w:cs="Arial"/>
        </w:rPr>
      </w:pPr>
      <w:r>
        <w:rPr>
          <w:rFonts w:ascii="Century Gothic" w:hAnsi="Century Gothic" w:cs="Arial"/>
        </w:rPr>
        <w:t xml:space="preserve">I.1. </w:t>
      </w:r>
      <w:r w:rsidRPr="00116A94">
        <w:rPr>
          <w:rFonts w:ascii="Century Gothic" w:hAnsi="Century Gothic" w:cs="Arial"/>
          <w:w w:val="95"/>
        </w:rPr>
        <w:t xml:space="preserve">Contexte et justification de l’étude  </w:t>
      </w:r>
    </w:p>
    <w:p w14:paraId="45A35389" w14:textId="77777777" w:rsidR="005625B5" w:rsidRPr="0060417E" w:rsidRDefault="005625B5" w:rsidP="005625B5">
      <w:pPr>
        <w:pStyle w:val="NormalWeb"/>
        <w:spacing w:before="0" w:beforeAutospacing="0" w:after="0" w:afterAutospacing="0" w:line="276" w:lineRule="auto"/>
        <w:jc w:val="both"/>
        <w:rPr>
          <w:rFonts w:ascii="Century Gothic" w:hAnsi="Century Gothic"/>
          <w:sz w:val="12"/>
          <w:szCs w:val="12"/>
        </w:rPr>
      </w:pPr>
    </w:p>
    <w:p w14:paraId="25C88B9C" w14:textId="77777777" w:rsidR="005625B5" w:rsidRDefault="005625B5" w:rsidP="005625B5">
      <w:pPr>
        <w:pStyle w:val="NormalWeb"/>
        <w:spacing w:before="0" w:beforeAutospacing="0" w:after="0" w:afterAutospacing="0" w:line="276" w:lineRule="auto"/>
        <w:jc w:val="both"/>
        <w:rPr>
          <w:rFonts w:ascii="Century Gothic" w:hAnsi="Century Gothic"/>
        </w:rPr>
      </w:pPr>
      <w:r w:rsidRPr="00AA180E">
        <w:rPr>
          <w:rFonts w:ascii="Century Gothic" w:hAnsi="Century Gothic"/>
        </w:rPr>
        <w:t xml:space="preserve">Dans le cadre de son engagement envers la </w:t>
      </w:r>
      <w:r>
        <w:rPr>
          <w:rFonts w:ascii="Century Gothic" w:hAnsi="Century Gothic"/>
          <w:lang w:val="fr-FR"/>
        </w:rPr>
        <w:t>C</w:t>
      </w:r>
      <w:r w:rsidRPr="007A3962">
        <w:rPr>
          <w:rFonts w:ascii="Century Gothic" w:hAnsi="Century Gothic"/>
          <w:lang w:val="fr-FR"/>
        </w:rPr>
        <w:t>onvention-</w:t>
      </w:r>
      <w:r>
        <w:rPr>
          <w:rFonts w:ascii="Century Gothic" w:hAnsi="Century Gothic"/>
          <w:lang w:val="fr-FR"/>
        </w:rPr>
        <w:t>C</w:t>
      </w:r>
      <w:r w:rsidRPr="007A3962">
        <w:rPr>
          <w:rFonts w:ascii="Century Gothic" w:hAnsi="Century Gothic"/>
          <w:lang w:val="fr-FR"/>
        </w:rPr>
        <w:t xml:space="preserve">adre des Nations </w:t>
      </w:r>
      <w:r>
        <w:rPr>
          <w:rFonts w:ascii="Century Gothic" w:hAnsi="Century Gothic"/>
          <w:lang w:val="fr-FR"/>
        </w:rPr>
        <w:t>U</w:t>
      </w:r>
      <w:r w:rsidRPr="007A3962">
        <w:rPr>
          <w:rFonts w:ascii="Century Gothic" w:hAnsi="Century Gothic"/>
          <w:lang w:val="fr-FR"/>
        </w:rPr>
        <w:t>nies sur le</w:t>
      </w:r>
      <w:r>
        <w:rPr>
          <w:rFonts w:ascii="Century Gothic" w:hAnsi="Century Gothic"/>
          <w:lang w:val="fr-FR"/>
        </w:rPr>
        <w:t>s</w:t>
      </w:r>
      <w:r w:rsidRPr="007A3962">
        <w:rPr>
          <w:rFonts w:ascii="Century Gothic" w:hAnsi="Century Gothic"/>
          <w:lang w:val="fr-FR"/>
        </w:rPr>
        <w:t xml:space="preserve"> </w:t>
      </w:r>
      <w:r>
        <w:rPr>
          <w:rFonts w:ascii="Century Gothic" w:hAnsi="Century Gothic"/>
          <w:lang w:val="fr-FR"/>
        </w:rPr>
        <w:t>C</w:t>
      </w:r>
      <w:r w:rsidRPr="007A3962">
        <w:rPr>
          <w:rFonts w:ascii="Century Gothic" w:hAnsi="Century Gothic"/>
          <w:lang w:val="fr-FR"/>
        </w:rPr>
        <w:t>hangement</w:t>
      </w:r>
      <w:r>
        <w:rPr>
          <w:rFonts w:ascii="Century Gothic" w:hAnsi="Century Gothic"/>
          <w:lang w:val="fr-FR"/>
        </w:rPr>
        <w:t>s</w:t>
      </w:r>
      <w:r w:rsidRPr="007A3962">
        <w:rPr>
          <w:rFonts w:ascii="Century Gothic" w:hAnsi="Century Gothic"/>
          <w:lang w:val="fr-FR"/>
        </w:rPr>
        <w:t xml:space="preserve"> </w:t>
      </w:r>
      <w:r>
        <w:rPr>
          <w:rFonts w:ascii="Century Gothic" w:hAnsi="Century Gothic"/>
          <w:lang w:val="fr-FR"/>
        </w:rPr>
        <w:t>C</w:t>
      </w:r>
      <w:r w:rsidRPr="007A3962">
        <w:rPr>
          <w:rFonts w:ascii="Century Gothic" w:hAnsi="Century Gothic"/>
          <w:lang w:val="fr-FR"/>
        </w:rPr>
        <w:t>limatique</w:t>
      </w:r>
      <w:r>
        <w:rPr>
          <w:rFonts w:ascii="Century Gothic" w:hAnsi="Century Gothic"/>
          <w:lang w:val="fr-FR"/>
        </w:rPr>
        <w:t>s</w:t>
      </w:r>
      <w:r w:rsidRPr="007A3962">
        <w:rPr>
          <w:rFonts w:ascii="Century Gothic" w:hAnsi="Century Gothic"/>
          <w:lang w:val="fr-FR"/>
        </w:rPr>
        <w:t xml:space="preserve"> (CCNUCC)</w:t>
      </w:r>
      <w:r w:rsidRPr="00AA180E">
        <w:rPr>
          <w:rFonts w:ascii="Century Gothic" w:hAnsi="Century Gothic"/>
        </w:rPr>
        <w:t xml:space="preserve">, la Mauritanie poursuit activement ses efforts pour répondre aux défis posés par les changements climatiques. En ratifiant cette </w:t>
      </w:r>
      <w:r>
        <w:rPr>
          <w:rFonts w:ascii="Century Gothic" w:hAnsi="Century Gothic"/>
        </w:rPr>
        <w:t>C</w:t>
      </w:r>
      <w:r w:rsidRPr="00AA180E">
        <w:rPr>
          <w:rFonts w:ascii="Century Gothic" w:hAnsi="Century Gothic"/>
        </w:rPr>
        <w:t xml:space="preserve">onvention, la Mauritanie s'est engagée à réduire ses émissions de gaz à effet de serre (GES) et à contribuer à l'effort mondial pour limiter le réchauffement climatique. </w:t>
      </w:r>
    </w:p>
    <w:p w14:paraId="19A0952C" w14:textId="77777777" w:rsidR="005625B5" w:rsidRPr="0060417E" w:rsidRDefault="005625B5" w:rsidP="005625B5">
      <w:pPr>
        <w:pStyle w:val="NormalWeb"/>
        <w:spacing w:before="0" w:beforeAutospacing="0" w:after="0" w:afterAutospacing="0" w:line="276" w:lineRule="auto"/>
        <w:jc w:val="both"/>
        <w:rPr>
          <w:rFonts w:ascii="Century Gothic" w:hAnsi="Century Gothic"/>
          <w:sz w:val="10"/>
          <w:szCs w:val="10"/>
        </w:rPr>
      </w:pPr>
    </w:p>
    <w:p w14:paraId="408786FC" w14:textId="77777777" w:rsidR="005625B5" w:rsidRDefault="005625B5" w:rsidP="005625B5">
      <w:pPr>
        <w:pStyle w:val="NormalWeb"/>
        <w:spacing w:before="0" w:beforeAutospacing="0" w:after="0" w:afterAutospacing="0" w:line="276" w:lineRule="auto"/>
        <w:jc w:val="both"/>
        <w:rPr>
          <w:rFonts w:ascii="Century Gothic" w:hAnsi="Century Gothic"/>
          <w:lang w:val="fr-FR"/>
        </w:rPr>
      </w:pPr>
      <w:r w:rsidRPr="007A3962">
        <w:rPr>
          <w:rFonts w:ascii="Century Gothic" w:hAnsi="Century Gothic"/>
          <w:lang w:val="fr-FR"/>
        </w:rPr>
        <w:t xml:space="preserve">La Mauritanie a ratifié la CCNUCC et </w:t>
      </w:r>
      <w:r>
        <w:rPr>
          <w:rFonts w:ascii="Century Gothic" w:hAnsi="Century Gothic"/>
          <w:lang w:val="fr-FR"/>
        </w:rPr>
        <w:t xml:space="preserve">à ce titre, elle </w:t>
      </w:r>
      <w:r w:rsidRPr="007A3962">
        <w:rPr>
          <w:rFonts w:ascii="Century Gothic" w:hAnsi="Century Gothic"/>
          <w:lang w:val="fr-FR"/>
        </w:rPr>
        <w:t>s’est engagée à communiquer à la Conférence des Parties</w:t>
      </w:r>
      <w:r>
        <w:rPr>
          <w:rFonts w:ascii="Century Gothic" w:hAnsi="Century Gothic"/>
          <w:lang w:val="fr-FR"/>
        </w:rPr>
        <w:t>,</w:t>
      </w:r>
      <w:r w:rsidRPr="007A3962">
        <w:rPr>
          <w:rFonts w:ascii="Century Gothic" w:hAnsi="Century Gothic"/>
          <w:lang w:val="fr-FR"/>
        </w:rPr>
        <w:t xml:space="preserve"> </w:t>
      </w:r>
      <w:r>
        <w:rPr>
          <w:rFonts w:ascii="Century Gothic" w:hAnsi="Century Gothic"/>
          <w:lang w:val="fr-FR"/>
        </w:rPr>
        <w:t>l</w:t>
      </w:r>
      <w:r w:rsidRPr="007A3962">
        <w:rPr>
          <w:rFonts w:ascii="Century Gothic" w:hAnsi="Century Gothic"/>
          <w:lang w:val="fr-FR"/>
        </w:rPr>
        <w:t xml:space="preserve">es informations relatives à </w:t>
      </w:r>
      <w:r>
        <w:rPr>
          <w:rFonts w:ascii="Century Gothic" w:hAnsi="Century Gothic"/>
          <w:lang w:val="fr-FR"/>
        </w:rPr>
        <w:t>s</w:t>
      </w:r>
      <w:r w:rsidRPr="007A3962">
        <w:rPr>
          <w:rFonts w:ascii="Century Gothic" w:hAnsi="Century Gothic"/>
          <w:lang w:val="fr-FR"/>
        </w:rPr>
        <w:t>a mise en œuvre aux niveaux national, sous régional, régional et global</w:t>
      </w:r>
      <w:r>
        <w:rPr>
          <w:rFonts w:ascii="Century Gothic" w:hAnsi="Century Gothic"/>
          <w:lang w:val="fr-FR"/>
        </w:rPr>
        <w:t>,</w:t>
      </w:r>
      <w:r w:rsidRPr="007A3962">
        <w:rPr>
          <w:rFonts w:ascii="Century Gothic" w:hAnsi="Century Gothic"/>
          <w:lang w:val="fr-FR"/>
        </w:rPr>
        <w:t xml:space="preserve"> </w:t>
      </w:r>
      <w:r>
        <w:rPr>
          <w:rFonts w:ascii="Century Gothic" w:hAnsi="Century Gothic"/>
          <w:lang w:val="fr-FR"/>
        </w:rPr>
        <w:t>c</w:t>
      </w:r>
      <w:r w:rsidRPr="007A3962">
        <w:rPr>
          <w:rFonts w:ascii="Century Gothic" w:hAnsi="Century Gothic"/>
          <w:lang w:val="fr-FR"/>
        </w:rPr>
        <w:t>onformément aux dispositions de</w:t>
      </w:r>
      <w:r>
        <w:rPr>
          <w:rFonts w:ascii="Century Gothic" w:hAnsi="Century Gothic"/>
          <w:lang w:val="fr-FR"/>
        </w:rPr>
        <w:t>s</w:t>
      </w:r>
      <w:r w:rsidRPr="007A3962">
        <w:rPr>
          <w:rFonts w:ascii="Century Gothic" w:hAnsi="Century Gothic"/>
          <w:lang w:val="fr-FR"/>
        </w:rPr>
        <w:t xml:space="preserve"> articles 4 et 12 </w:t>
      </w:r>
      <w:r>
        <w:rPr>
          <w:rFonts w:ascii="Century Gothic" w:hAnsi="Century Gothic"/>
          <w:lang w:val="fr-FR"/>
        </w:rPr>
        <w:t xml:space="preserve">de ladite Convention </w:t>
      </w:r>
      <w:r w:rsidRPr="007A3962">
        <w:rPr>
          <w:rFonts w:ascii="Century Gothic" w:hAnsi="Century Gothic"/>
          <w:lang w:val="fr-FR"/>
        </w:rPr>
        <w:t>et aux directives de la décision 17/CP.8</w:t>
      </w:r>
      <w:r>
        <w:rPr>
          <w:rFonts w:ascii="Century Gothic" w:hAnsi="Century Gothic"/>
          <w:lang w:val="fr-FR"/>
        </w:rPr>
        <w:t>.</w:t>
      </w:r>
      <w:r w:rsidRPr="007A3962">
        <w:rPr>
          <w:rFonts w:ascii="Century Gothic" w:hAnsi="Century Gothic"/>
          <w:lang w:val="fr-FR"/>
        </w:rPr>
        <w:t xml:space="preserve"> </w:t>
      </w:r>
    </w:p>
    <w:p w14:paraId="2A524EC2" w14:textId="77777777" w:rsidR="005625B5" w:rsidRPr="0060417E" w:rsidRDefault="005625B5" w:rsidP="005625B5">
      <w:pPr>
        <w:pStyle w:val="NormalWeb"/>
        <w:spacing w:before="0" w:beforeAutospacing="0" w:after="0" w:afterAutospacing="0" w:line="276" w:lineRule="auto"/>
        <w:jc w:val="both"/>
        <w:rPr>
          <w:rFonts w:ascii="Century Gothic" w:hAnsi="Century Gothic"/>
          <w:sz w:val="12"/>
          <w:szCs w:val="12"/>
          <w:lang w:val="fr-FR"/>
        </w:rPr>
      </w:pPr>
    </w:p>
    <w:p w14:paraId="32A440D1" w14:textId="77777777" w:rsidR="005625B5" w:rsidRPr="007A3962" w:rsidRDefault="005625B5" w:rsidP="005625B5">
      <w:pPr>
        <w:pStyle w:val="NormalWeb"/>
        <w:spacing w:before="0" w:beforeAutospacing="0" w:after="0" w:afterAutospacing="0" w:line="276" w:lineRule="auto"/>
        <w:jc w:val="both"/>
        <w:rPr>
          <w:rFonts w:ascii="Century Gothic" w:hAnsi="Century Gothic"/>
          <w:lang w:val="fr-FR"/>
        </w:rPr>
      </w:pPr>
      <w:r w:rsidRPr="007A3962">
        <w:rPr>
          <w:rFonts w:ascii="Century Gothic" w:hAnsi="Century Gothic"/>
          <w:lang w:val="fr-FR"/>
        </w:rPr>
        <w:t xml:space="preserve">La réalisation de l’objectif ultime de la CCNUCC exige l’innovation technologique et une mise en œuvre rapide et large du mécanisme de transfert des technologies comprenant le savoir et le savoir-faire pour, d’une part, l’atténuation des émissions des </w:t>
      </w:r>
      <w:r>
        <w:rPr>
          <w:rFonts w:ascii="Century Gothic" w:hAnsi="Century Gothic"/>
          <w:lang w:val="fr-FR"/>
        </w:rPr>
        <w:t>Gaz à effet de serre (</w:t>
      </w:r>
      <w:r w:rsidRPr="007A3962">
        <w:rPr>
          <w:rFonts w:ascii="Century Gothic" w:hAnsi="Century Gothic"/>
          <w:lang w:val="fr-FR"/>
        </w:rPr>
        <w:t>GES</w:t>
      </w:r>
      <w:r>
        <w:rPr>
          <w:rFonts w:ascii="Century Gothic" w:hAnsi="Century Gothic"/>
          <w:lang w:val="fr-FR"/>
        </w:rPr>
        <w:t>)</w:t>
      </w:r>
      <w:r w:rsidRPr="007A3962">
        <w:rPr>
          <w:rFonts w:ascii="Century Gothic" w:hAnsi="Century Gothic"/>
          <w:lang w:val="fr-FR"/>
        </w:rPr>
        <w:t>, la réduction de la vulnérabilité et assurer l’adaptation aux changements climatiques, d’autre part.</w:t>
      </w:r>
    </w:p>
    <w:p w14:paraId="625771AF" w14:textId="77777777" w:rsidR="005625B5" w:rsidRPr="007A3962" w:rsidRDefault="005625B5" w:rsidP="005625B5">
      <w:pPr>
        <w:pStyle w:val="NormalWeb"/>
        <w:spacing w:before="0" w:beforeAutospacing="0" w:after="0" w:afterAutospacing="0" w:line="276" w:lineRule="auto"/>
        <w:jc w:val="both"/>
        <w:rPr>
          <w:rFonts w:ascii="Century Gothic" w:hAnsi="Century Gothic"/>
          <w:lang w:val="fr-FR"/>
        </w:rPr>
      </w:pPr>
    </w:p>
    <w:p w14:paraId="4FB125A8" w14:textId="77777777" w:rsidR="005625B5" w:rsidRDefault="005625B5" w:rsidP="005625B5">
      <w:pPr>
        <w:pStyle w:val="NormalWeb"/>
        <w:spacing w:before="0" w:beforeAutospacing="0" w:after="0" w:afterAutospacing="0" w:line="276" w:lineRule="auto"/>
        <w:jc w:val="both"/>
        <w:rPr>
          <w:rFonts w:ascii="Century Gothic" w:hAnsi="Century Gothic"/>
        </w:rPr>
      </w:pPr>
      <w:r w:rsidRPr="00AA180E">
        <w:rPr>
          <w:rFonts w:ascii="Century Gothic" w:hAnsi="Century Gothic"/>
        </w:rPr>
        <w:t>L'élaboration de la cinquième communication nationale</w:t>
      </w:r>
      <w:r>
        <w:rPr>
          <w:rFonts w:ascii="Century Gothic" w:hAnsi="Century Gothic"/>
        </w:rPr>
        <w:t xml:space="preserve"> (5ème CN)</w:t>
      </w:r>
      <w:r w:rsidRPr="00AA180E">
        <w:rPr>
          <w:rFonts w:ascii="Century Gothic" w:hAnsi="Century Gothic"/>
        </w:rPr>
        <w:t xml:space="preserve"> de la Mauritanie est une étape cruciale dans ce processus, fournissant des informations détaillées sur les conditions propres au pays, ainsi que sur ses priorités et objectifs de développement en lien avec la Stratégie de Croissance Accélérée et de Prospérité Partagée (SCAPP) et les stratégies sectorielles.</w:t>
      </w:r>
    </w:p>
    <w:p w14:paraId="59FE8B20" w14:textId="77777777" w:rsidR="005625B5" w:rsidRPr="0060417E" w:rsidRDefault="005625B5" w:rsidP="005625B5">
      <w:pPr>
        <w:pStyle w:val="NormalWeb"/>
        <w:spacing w:before="0" w:beforeAutospacing="0" w:after="0" w:afterAutospacing="0" w:line="276" w:lineRule="auto"/>
        <w:jc w:val="both"/>
        <w:rPr>
          <w:rFonts w:ascii="Century Gothic" w:hAnsi="Century Gothic"/>
          <w:sz w:val="12"/>
          <w:szCs w:val="12"/>
        </w:rPr>
      </w:pPr>
    </w:p>
    <w:p w14:paraId="152C3673" w14:textId="77777777" w:rsidR="005625B5" w:rsidRDefault="005625B5" w:rsidP="005625B5">
      <w:pPr>
        <w:pStyle w:val="NormalWeb"/>
        <w:spacing w:before="0" w:beforeAutospacing="0" w:after="0" w:afterAutospacing="0" w:line="276" w:lineRule="auto"/>
        <w:jc w:val="both"/>
        <w:rPr>
          <w:rFonts w:ascii="Century Gothic" w:hAnsi="Century Gothic"/>
        </w:rPr>
      </w:pPr>
      <w:r w:rsidRPr="00AA180E">
        <w:rPr>
          <w:rFonts w:ascii="Century Gothic" w:hAnsi="Century Gothic"/>
        </w:rPr>
        <w:t>Les changements climatiques constituent un défi majeur pour le pays, se manifestant par la récurrence de catastrophes naturelles telles que les inondations et les sécheresses. Face à ce défi, des modèles numériques ont été développés au niveau international pour simuler l'évolution future du climat, prenant en compte l'impact des énergies fossiles sur le réchauffement climatique.</w:t>
      </w:r>
    </w:p>
    <w:p w14:paraId="5C319BDD" w14:textId="77777777" w:rsidR="005625B5" w:rsidRPr="0060417E" w:rsidRDefault="005625B5" w:rsidP="005625B5">
      <w:pPr>
        <w:pStyle w:val="NormalWeb"/>
        <w:spacing w:before="0" w:beforeAutospacing="0" w:after="0" w:afterAutospacing="0" w:line="276" w:lineRule="auto"/>
        <w:jc w:val="both"/>
        <w:rPr>
          <w:rFonts w:ascii="Century Gothic" w:hAnsi="Century Gothic"/>
          <w:sz w:val="12"/>
          <w:szCs w:val="12"/>
        </w:rPr>
      </w:pPr>
    </w:p>
    <w:p w14:paraId="76271A96" w14:textId="59DB2991" w:rsidR="005625B5" w:rsidRPr="0060417E" w:rsidRDefault="005625B5" w:rsidP="005625B5">
      <w:pPr>
        <w:pStyle w:val="NormalWeb"/>
        <w:spacing w:before="0" w:beforeAutospacing="0" w:after="0" w:afterAutospacing="0" w:line="276" w:lineRule="auto"/>
        <w:jc w:val="both"/>
        <w:rPr>
          <w:rFonts w:ascii="Century Gothic" w:hAnsi="Century Gothic"/>
          <w:sz w:val="12"/>
          <w:szCs w:val="12"/>
        </w:rPr>
      </w:pPr>
      <w:r w:rsidRPr="00AA180E">
        <w:rPr>
          <w:rFonts w:ascii="Century Gothic" w:hAnsi="Century Gothic"/>
        </w:rPr>
        <w:t xml:space="preserve">La communication nationale est un outil stratégique pour la Mauritanie, fournissant des informations sur les conditions spécifiques du pays en lien avec les changements climatiques. Elle constitue également une référence pour l'élaboration des politiques nationales et pour renforcer la contribution du pays dans le cadre de la </w:t>
      </w:r>
      <w:r>
        <w:rPr>
          <w:rFonts w:ascii="Century Gothic" w:hAnsi="Century Gothic"/>
        </w:rPr>
        <w:t>CCNUCC</w:t>
      </w:r>
      <w:r w:rsidRPr="00AA180E">
        <w:rPr>
          <w:rFonts w:ascii="Century Gothic" w:hAnsi="Century Gothic"/>
        </w:rPr>
        <w:t>.</w:t>
      </w:r>
    </w:p>
    <w:p w14:paraId="5533DD68" w14:textId="77777777" w:rsidR="005625B5" w:rsidRDefault="005625B5" w:rsidP="005625B5">
      <w:pPr>
        <w:pStyle w:val="NormalWeb"/>
        <w:spacing w:before="0" w:beforeAutospacing="0" w:after="0" w:afterAutospacing="0" w:line="276" w:lineRule="auto"/>
        <w:jc w:val="both"/>
        <w:rPr>
          <w:rFonts w:ascii="Century Gothic" w:hAnsi="Century Gothic"/>
        </w:rPr>
      </w:pPr>
      <w:r w:rsidRPr="00AA180E">
        <w:rPr>
          <w:rFonts w:ascii="Century Gothic" w:hAnsi="Century Gothic"/>
        </w:rPr>
        <w:t xml:space="preserve">L'approfondissement de cette démarche s'inscrit dans la volonté du pays de faire progresser sa part d'énergies renouvelables et d'atteindre, avec un soutien financier adéquat, </w:t>
      </w:r>
      <w:r w:rsidRPr="00D953B5">
        <w:rPr>
          <w:rFonts w:ascii="Century Gothic" w:hAnsi="Century Gothic"/>
          <w:highlight w:val="green"/>
        </w:rPr>
        <w:t>la neutralité carbone d'ici 2030</w:t>
      </w:r>
      <w:r w:rsidRPr="00AA180E">
        <w:rPr>
          <w:rFonts w:ascii="Century Gothic" w:hAnsi="Century Gothic"/>
        </w:rPr>
        <w:t>. Le processus d'élaboration de cette communication implique une concertation entre tous les secteurs concernés, afin de produire un document exhaustif reflétant fidèlement la situation du pays et orientant les politiques futures en matière de climat.</w:t>
      </w:r>
    </w:p>
    <w:p w14:paraId="440D4CCF" w14:textId="77777777" w:rsidR="005625B5" w:rsidRDefault="005625B5" w:rsidP="005625B5">
      <w:pPr>
        <w:pStyle w:val="NormalWeb"/>
        <w:spacing w:before="0" w:beforeAutospacing="0" w:after="0" w:afterAutospacing="0" w:line="276" w:lineRule="auto"/>
        <w:jc w:val="both"/>
        <w:rPr>
          <w:rFonts w:ascii="Century Gothic" w:hAnsi="Century Gothic"/>
        </w:rPr>
      </w:pPr>
      <w:r w:rsidRPr="00AA180E">
        <w:rPr>
          <w:rFonts w:ascii="Century Gothic" w:hAnsi="Century Gothic"/>
        </w:rPr>
        <w:t xml:space="preserve">Les </w:t>
      </w:r>
      <w:r>
        <w:rPr>
          <w:rFonts w:ascii="Century Gothic" w:hAnsi="Century Gothic"/>
        </w:rPr>
        <w:t xml:space="preserve">écosystèmes arides et forestiers </w:t>
      </w:r>
      <w:r w:rsidRPr="00AA180E">
        <w:rPr>
          <w:rFonts w:ascii="Century Gothic" w:hAnsi="Century Gothic"/>
        </w:rPr>
        <w:t xml:space="preserve">de </w:t>
      </w:r>
      <w:r>
        <w:rPr>
          <w:rFonts w:ascii="Century Gothic" w:hAnsi="Century Gothic"/>
        </w:rPr>
        <w:t xml:space="preserve">la </w:t>
      </w:r>
      <w:r w:rsidRPr="00AA180E">
        <w:rPr>
          <w:rFonts w:ascii="Century Gothic" w:hAnsi="Century Gothic"/>
        </w:rPr>
        <w:t xml:space="preserve">Mauritanie, qui incluent des </w:t>
      </w:r>
      <w:r>
        <w:rPr>
          <w:rFonts w:ascii="Century Gothic" w:hAnsi="Century Gothic"/>
        </w:rPr>
        <w:t xml:space="preserve">zones humides continentales </w:t>
      </w:r>
      <w:r w:rsidRPr="00AA180E">
        <w:rPr>
          <w:rFonts w:ascii="Century Gothic" w:hAnsi="Century Gothic"/>
        </w:rPr>
        <w:t>jouent un rôle crucial dans la régulation des cycles hydrologiques, la conservation de la biodiversité, et le soutien aux moyens de subsistance des communautés locales. Ce</w:t>
      </w:r>
      <w:r>
        <w:rPr>
          <w:rFonts w:ascii="Century Gothic" w:hAnsi="Century Gothic"/>
        </w:rPr>
        <w:t xml:space="preserve">s </w:t>
      </w:r>
      <w:r w:rsidRPr="00AA180E">
        <w:rPr>
          <w:rFonts w:ascii="Century Gothic" w:hAnsi="Century Gothic"/>
        </w:rPr>
        <w:t>écosystèmes sont particulièrement vulnérables aux effets d</w:t>
      </w:r>
      <w:r>
        <w:rPr>
          <w:rFonts w:ascii="Century Gothic" w:hAnsi="Century Gothic"/>
        </w:rPr>
        <w:t>es</w:t>
      </w:r>
      <w:r w:rsidRPr="00AA180E">
        <w:rPr>
          <w:rFonts w:ascii="Century Gothic" w:hAnsi="Century Gothic"/>
        </w:rPr>
        <w:t xml:space="preserve"> changement</w:t>
      </w:r>
      <w:r>
        <w:rPr>
          <w:rFonts w:ascii="Century Gothic" w:hAnsi="Century Gothic"/>
        </w:rPr>
        <w:t>s</w:t>
      </w:r>
      <w:r w:rsidRPr="00AA180E">
        <w:rPr>
          <w:rFonts w:ascii="Century Gothic" w:hAnsi="Century Gothic"/>
        </w:rPr>
        <w:t xml:space="preserve"> climatique</w:t>
      </w:r>
      <w:r>
        <w:rPr>
          <w:rFonts w:ascii="Century Gothic" w:hAnsi="Century Gothic"/>
        </w:rPr>
        <w:t>s</w:t>
      </w:r>
      <w:r w:rsidRPr="00AA180E">
        <w:rPr>
          <w:rFonts w:ascii="Century Gothic" w:hAnsi="Century Gothic"/>
        </w:rPr>
        <w:t>, notamment les variations des précipitations</w:t>
      </w:r>
      <w:r>
        <w:rPr>
          <w:rFonts w:ascii="Century Gothic" w:hAnsi="Century Gothic"/>
        </w:rPr>
        <w:t xml:space="preserve"> et</w:t>
      </w:r>
      <w:r w:rsidRPr="00AA180E">
        <w:rPr>
          <w:rFonts w:ascii="Century Gothic" w:hAnsi="Century Gothic"/>
        </w:rPr>
        <w:t xml:space="preserve"> l'augmentation des températures. </w:t>
      </w:r>
    </w:p>
    <w:p w14:paraId="4D486B9A" w14:textId="77777777" w:rsidR="005625B5" w:rsidRPr="00B15E7F" w:rsidRDefault="005625B5" w:rsidP="005625B5">
      <w:pPr>
        <w:pStyle w:val="NormalWeb"/>
        <w:spacing w:before="0" w:beforeAutospacing="0" w:after="0" w:afterAutospacing="0" w:line="276" w:lineRule="auto"/>
        <w:jc w:val="both"/>
        <w:rPr>
          <w:rFonts w:ascii="Century Gothic" w:hAnsi="Century Gothic"/>
          <w:sz w:val="4"/>
          <w:szCs w:val="4"/>
        </w:rPr>
      </w:pPr>
    </w:p>
    <w:p w14:paraId="6E54DAF1" w14:textId="77777777" w:rsidR="005625B5" w:rsidRPr="007D5A91" w:rsidRDefault="005625B5" w:rsidP="005625B5">
      <w:pPr>
        <w:pStyle w:val="NormalWeb"/>
        <w:spacing w:before="0" w:beforeAutospacing="0" w:after="0" w:afterAutospacing="0" w:line="276" w:lineRule="auto"/>
        <w:jc w:val="both"/>
        <w:rPr>
          <w:rFonts w:ascii="Century Gothic" w:hAnsi="Century Gothic"/>
        </w:rPr>
      </w:pPr>
      <w:r>
        <w:rPr>
          <w:rFonts w:ascii="Century Gothic" w:hAnsi="Century Gothic"/>
        </w:rPr>
        <w:t>C’est d</w:t>
      </w:r>
      <w:r w:rsidRPr="00AA180E">
        <w:rPr>
          <w:rFonts w:ascii="Century Gothic" w:hAnsi="Century Gothic"/>
        </w:rPr>
        <w:t>ans le cadre</w:t>
      </w:r>
      <w:r>
        <w:rPr>
          <w:rFonts w:ascii="Century Gothic" w:hAnsi="Century Gothic"/>
        </w:rPr>
        <w:t xml:space="preserve"> de la </w:t>
      </w:r>
      <w:r w:rsidRPr="00AA180E">
        <w:rPr>
          <w:rFonts w:ascii="Century Gothic" w:hAnsi="Century Gothic"/>
        </w:rPr>
        <w:t xml:space="preserve"> </w:t>
      </w:r>
      <w:r>
        <w:rPr>
          <w:rFonts w:ascii="Century Gothic" w:hAnsi="Century Gothic"/>
        </w:rPr>
        <w:t xml:space="preserve">5ème CN que s’inscrit la présente étude relative à “la ‘évaluation de la vulnérabilité au changement climatique et à l’adaptation des écosystèmes arides et forrestiers y compris les zones humides continentales face à la désertification” en vue de </w:t>
      </w:r>
      <w:r w:rsidRPr="00AA180E">
        <w:rPr>
          <w:rFonts w:ascii="Century Gothic" w:hAnsi="Century Gothic"/>
        </w:rPr>
        <w:t>proposer des stratégies d'adaptation pour préserver leur intégrité écologique et les services qu'</w:t>
      </w:r>
      <w:r>
        <w:rPr>
          <w:rFonts w:ascii="Century Gothic" w:hAnsi="Century Gothic"/>
        </w:rPr>
        <w:t>il</w:t>
      </w:r>
      <w:r w:rsidRPr="00AA180E">
        <w:rPr>
          <w:rFonts w:ascii="Century Gothic" w:hAnsi="Century Gothic"/>
        </w:rPr>
        <w:t>s fournissent.</w:t>
      </w:r>
    </w:p>
    <w:p w14:paraId="48605440" w14:textId="77777777" w:rsidR="005625B5" w:rsidRPr="00B15E7F" w:rsidRDefault="005625B5" w:rsidP="005625B5">
      <w:pPr>
        <w:spacing w:after="0" w:line="276" w:lineRule="auto"/>
        <w:jc w:val="both"/>
        <w:rPr>
          <w:rFonts w:ascii="Century Gothic" w:hAnsi="Century Gothic"/>
          <w:w w:val="95"/>
          <w:sz w:val="10"/>
          <w:szCs w:val="10"/>
        </w:rPr>
      </w:pPr>
      <w:r>
        <w:rPr>
          <w:rFonts w:ascii="Century Gothic" w:hAnsi="Century Gothic"/>
          <w:w w:val="95"/>
          <w:sz w:val="24"/>
          <w:szCs w:val="24"/>
        </w:rPr>
        <w:t xml:space="preserve"> </w:t>
      </w:r>
      <w:r w:rsidRPr="006F326A">
        <w:rPr>
          <w:rFonts w:ascii="Century Gothic" w:hAnsi="Century Gothic"/>
          <w:w w:val="95"/>
          <w:sz w:val="24"/>
          <w:szCs w:val="24"/>
        </w:rPr>
        <w:t xml:space="preserve"> </w:t>
      </w:r>
    </w:p>
    <w:p w14:paraId="328CE91A" w14:textId="77777777" w:rsidR="005625B5" w:rsidRPr="00A82C03" w:rsidRDefault="005625B5" w:rsidP="005625B5">
      <w:pPr>
        <w:pStyle w:val="Titre11"/>
        <w:tabs>
          <w:tab w:val="left" w:pos="821"/>
        </w:tabs>
        <w:spacing w:line="276" w:lineRule="auto"/>
        <w:ind w:left="0" w:firstLine="0"/>
        <w:rPr>
          <w:rFonts w:ascii="Century Gothic" w:hAnsi="Century Gothic" w:cs="Arial"/>
          <w:w w:val="95"/>
        </w:rPr>
      </w:pPr>
      <w:r>
        <w:rPr>
          <w:rFonts w:ascii="Century Gothic" w:hAnsi="Century Gothic" w:cs="Arial"/>
          <w:w w:val="95"/>
        </w:rPr>
        <w:t xml:space="preserve">I.2. </w:t>
      </w:r>
      <w:r w:rsidRPr="009E7960">
        <w:rPr>
          <w:rFonts w:ascii="Century Gothic" w:hAnsi="Century Gothic" w:cs="Arial"/>
          <w:w w:val="95"/>
        </w:rPr>
        <w:t xml:space="preserve">Objectifs de l’étude  </w:t>
      </w:r>
    </w:p>
    <w:p w14:paraId="62D759B8" w14:textId="77777777" w:rsidR="005625B5" w:rsidRPr="00B15E7F" w:rsidRDefault="005625B5" w:rsidP="005625B5">
      <w:pPr>
        <w:pStyle w:val="NormalWeb"/>
        <w:spacing w:before="0" w:beforeAutospacing="0" w:after="0" w:afterAutospacing="0" w:line="276" w:lineRule="auto"/>
        <w:jc w:val="both"/>
        <w:rPr>
          <w:rFonts w:ascii="Century Gothic" w:hAnsi="Century Gothic"/>
          <w:sz w:val="2"/>
          <w:szCs w:val="2"/>
        </w:rPr>
      </w:pPr>
    </w:p>
    <w:p w14:paraId="78AADC9B" w14:textId="47D67D1C" w:rsidR="005625B5" w:rsidRPr="005A2023" w:rsidRDefault="005625B5" w:rsidP="005625B5">
      <w:pPr>
        <w:tabs>
          <w:tab w:val="left" w:pos="426"/>
        </w:tabs>
        <w:spacing w:after="0" w:line="276" w:lineRule="auto"/>
        <w:jc w:val="both"/>
        <w:rPr>
          <w:rFonts w:ascii="Century Gothic" w:eastAsia="Times New Roman" w:hAnsi="Century Gothic" w:cs="Times New Roman"/>
          <w:sz w:val="10"/>
          <w:szCs w:val="10"/>
          <w:lang w:eastAsia="wo-SN"/>
        </w:rPr>
      </w:pPr>
      <w:r>
        <w:rPr>
          <w:rFonts w:ascii="Century Gothic" w:eastAsia="Times New Roman" w:hAnsi="Century Gothic" w:cs="Times New Roman"/>
          <w:sz w:val="24"/>
          <w:szCs w:val="24"/>
          <w:lang w:eastAsia="wo-SN"/>
        </w:rPr>
        <w:t>La présente étude se focalise sur les d</w:t>
      </w:r>
      <w:r w:rsidRPr="00D75CFD">
        <w:rPr>
          <w:rFonts w:ascii="Century Gothic" w:eastAsia="Times New Roman" w:hAnsi="Century Gothic" w:cs="Times New Roman"/>
          <w:sz w:val="24"/>
          <w:szCs w:val="24"/>
          <w:lang w:eastAsia="wo-SN"/>
        </w:rPr>
        <w:t>eux grandes régions biogéographiques</w:t>
      </w:r>
      <w:r>
        <w:rPr>
          <w:rFonts w:ascii="Century Gothic" w:eastAsia="Times New Roman" w:hAnsi="Century Gothic" w:cs="Times New Roman"/>
          <w:sz w:val="24"/>
          <w:szCs w:val="24"/>
          <w:lang w:eastAsia="wo-SN"/>
        </w:rPr>
        <w:t xml:space="preserve"> du pays</w:t>
      </w:r>
      <w:r w:rsidRPr="00D75CFD">
        <w:rPr>
          <w:rFonts w:ascii="Century Gothic" w:eastAsia="Times New Roman" w:hAnsi="Century Gothic" w:cs="Times New Roman"/>
          <w:sz w:val="24"/>
          <w:szCs w:val="24"/>
          <w:lang w:eastAsia="wo-SN"/>
        </w:rPr>
        <w:t xml:space="preserve"> : </w:t>
      </w:r>
      <w:r w:rsidRPr="00D953B5">
        <w:rPr>
          <w:rFonts w:ascii="Century Gothic" w:eastAsia="Times New Roman" w:hAnsi="Century Gothic" w:cs="Times New Roman"/>
          <w:sz w:val="24"/>
          <w:szCs w:val="24"/>
          <w:highlight w:val="green"/>
          <w:lang w:eastAsia="wo-SN"/>
        </w:rPr>
        <w:t>Sahel et Sahara</w:t>
      </w:r>
      <w:r>
        <w:rPr>
          <w:rFonts w:ascii="Century Gothic" w:eastAsia="Times New Roman" w:hAnsi="Century Gothic" w:cs="Times New Roman"/>
          <w:sz w:val="24"/>
          <w:szCs w:val="24"/>
          <w:lang w:eastAsia="wo-SN"/>
        </w:rPr>
        <w:t xml:space="preserve">. Elle se focalisera surtout sur la partie terrestre (continentale) du pays. </w:t>
      </w:r>
    </w:p>
    <w:p w14:paraId="4DDE0C6F" w14:textId="77777777" w:rsidR="005625B5" w:rsidRDefault="005625B5" w:rsidP="00505279">
      <w:pPr>
        <w:numPr>
          <w:ilvl w:val="0"/>
          <w:numId w:val="32"/>
        </w:numPr>
        <w:tabs>
          <w:tab w:val="left" w:pos="426"/>
        </w:tabs>
        <w:spacing w:after="0" w:line="276" w:lineRule="auto"/>
        <w:ind w:left="426" w:hanging="426"/>
        <w:jc w:val="both"/>
        <w:rPr>
          <w:rFonts w:ascii="Century Gothic" w:eastAsia="Times New Roman" w:hAnsi="Century Gothic" w:cs="Times New Roman"/>
          <w:sz w:val="24"/>
          <w:szCs w:val="24"/>
          <w:lang w:eastAsia="wo-SN"/>
        </w:rPr>
      </w:pPr>
      <w:r w:rsidRPr="00D75CFD">
        <w:rPr>
          <w:rFonts w:ascii="Century Gothic" w:eastAsia="Times New Roman" w:hAnsi="Century Gothic" w:cs="Times New Roman"/>
          <w:sz w:val="24"/>
          <w:szCs w:val="24"/>
          <w:lang w:eastAsia="wo-SN"/>
        </w:rPr>
        <w:t xml:space="preserve">La région saharienne concerne les wilayas de l’Inchiri, de l’Adrar, de Tiris Zemmour et de Dakhlet Nouadhibou. </w:t>
      </w:r>
    </w:p>
    <w:p w14:paraId="5EB76EA6" w14:textId="77777777" w:rsidR="005625B5" w:rsidRDefault="005625B5" w:rsidP="00B15E7F">
      <w:pPr>
        <w:numPr>
          <w:ilvl w:val="0"/>
          <w:numId w:val="32"/>
        </w:numPr>
        <w:tabs>
          <w:tab w:val="left" w:pos="426"/>
        </w:tabs>
        <w:spacing w:after="0" w:line="276" w:lineRule="auto"/>
        <w:ind w:left="426" w:hanging="426"/>
        <w:jc w:val="both"/>
        <w:rPr>
          <w:rFonts w:ascii="Century Gothic" w:eastAsia="Times New Roman" w:hAnsi="Century Gothic" w:cs="Times New Roman"/>
          <w:sz w:val="24"/>
          <w:szCs w:val="24"/>
          <w:lang w:eastAsia="wo-SN"/>
        </w:rPr>
      </w:pPr>
      <w:r w:rsidRPr="00D75CFD">
        <w:rPr>
          <w:rFonts w:ascii="Century Gothic" w:eastAsia="Times New Roman" w:hAnsi="Century Gothic" w:cs="Times New Roman"/>
          <w:sz w:val="24"/>
          <w:szCs w:val="24"/>
          <w:lang w:eastAsia="wo-SN"/>
        </w:rPr>
        <w:t xml:space="preserve">L’action </w:t>
      </w:r>
      <w:r>
        <w:rPr>
          <w:rFonts w:ascii="Century Gothic" w:eastAsia="Times New Roman" w:hAnsi="Century Gothic" w:cs="Times New Roman"/>
          <w:sz w:val="24"/>
          <w:szCs w:val="24"/>
          <w:lang w:eastAsia="wo-SN"/>
        </w:rPr>
        <w:t xml:space="preserve">dans cette région sera </w:t>
      </w:r>
      <w:r w:rsidRPr="00D75CFD">
        <w:rPr>
          <w:rFonts w:ascii="Century Gothic" w:eastAsia="Times New Roman" w:hAnsi="Century Gothic" w:cs="Times New Roman"/>
          <w:sz w:val="24"/>
          <w:szCs w:val="24"/>
          <w:lang w:eastAsia="wo-SN"/>
        </w:rPr>
        <w:t>focalisée sur la protection des infrastructures socioéconomiques</w:t>
      </w:r>
      <w:r>
        <w:rPr>
          <w:rFonts w:ascii="Century Gothic" w:eastAsia="Times New Roman" w:hAnsi="Century Gothic" w:cs="Times New Roman"/>
          <w:sz w:val="24"/>
          <w:szCs w:val="24"/>
          <w:lang w:eastAsia="wo-SN"/>
        </w:rPr>
        <w:t xml:space="preserve"> contre l’ensablement et la valorisation du potentiel en énergies renouvelables (énergie éolienne et solaire et hydrogène vert) pour récupérer et valoriser les terres incultes du nord du pays.  </w:t>
      </w:r>
    </w:p>
    <w:p w14:paraId="6EB80070" w14:textId="77777777" w:rsidR="005625B5" w:rsidRDefault="005625B5" w:rsidP="00B15E7F">
      <w:pPr>
        <w:numPr>
          <w:ilvl w:val="0"/>
          <w:numId w:val="32"/>
        </w:numPr>
        <w:tabs>
          <w:tab w:val="left" w:pos="426"/>
        </w:tabs>
        <w:spacing w:after="0" w:line="276" w:lineRule="auto"/>
        <w:ind w:left="426" w:hanging="426"/>
        <w:jc w:val="both"/>
        <w:rPr>
          <w:rFonts w:ascii="Century Gothic" w:eastAsia="Times New Roman" w:hAnsi="Century Gothic" w:cs="Times New Roman"/>
          <w:sz w:val="24"/>
          <w:szCs w:val="24"/>
          <w:lang w:eastAsia="wo-SN"/>
        </w:rPr>
      </w:pPr>
      <w:r w:rsidRPr="00D75CFD">
        <w:rPr>
          <w:rFonts w:ascii="Century Gothic" w:eastAsia="Times New Roman" w:hAnsi="Century Gothic" w:cs="Times New Roman"/>
          <w:sz w:val="24"/>
          <w:szCs w:val="24"/>
          <w:lang w:eastAsia="wo-SN"/>
        </w:rPr>
        <w:t xml:space="preserve">La région sahélienne </w:t>
      </w:r>
      <w:r>
        <w:rPr>
          <w:rFonts w:ascii="Century Gothic" w:eastAsia="Times New Roman" w:hAnsi="Century Gothic" w:cs="Times New Roman"/>
          <w:sz w:val="24"/>
          <w:szCs w:val="24"/>
          <w:lang w:eastAsia="wo-SN"/>
        </w:rPr>
        <w:t>porte sur les quatre wilayas de la vallée du fleuve Sénégal (</w:t>
      </w:r>
      <w:r w:rsidRPr="00D75CFD">
        <w:rPr>
          <w:rFonts w:ascii="Century Gothic" w:eastAsia="Times New Roman" w:hAnsi="Century Gothic" w:cs="Times New Roman"/>
          <w:sz w:val="24"/>
          <w:szCs w:val="24"/>
          <w:lang w:eastAsia="wo-SN"/>
        </w:rPr>
        <w:t>Trarza, Brakna, Gorgol, Guidimakha</w:t>
      </w:r>
      <w:r>
        <w:rPr>
          <w:rFonts w:ascii="Century Gothic" w:eastAsia="Times New Roman" w:hAnsi="Century Gothic" w:cs="Times New Roman"/>
          <w:sz w:val="24"/>
          <w:szCs w:val="24"/>
          <w:lang w:eastAsia="wo-SN"/>
        </w:rPr>
        <w:t>)</w:t>
      </w:r>
      <w:r w:rsidRPr="00D75CFD">
        <w:rPr>
          <w:rFonts w:ascii="Century Gothic" w:eastAsia="Times New Roman" w:hAnsi="Century Gothic" w:cs="Times New Roman"/>
          <w:sz w:val="24"/>
          <w:szCs w:val="24"/>
          <w:lang w:eastAsia="wo-SN"/>
        </w:rPr>
        <w:t>,</w:t>
      </w:r>
      <w:r>
        <w:rPr>
          <w:rFonts w:ascii="Century Gothic" w:eastAsia="Times New Roman" w:hAnsi="Century Gothic" w:cs="Times New Roman"/>
          <w:sz w:val="24"/>
          <w:szCs w:val="24"/>
          <w:lang w:eastAsia="wo-SN"/>
        </w:rPr>
        <w:t xml:space="preserve"> les deux </w:t>
      </w:r>
      <w:r w:rsidRPr="00D75CFD">
        <w:rPr>
          <w:rFonts w:ascii="Century Gothic" w:eastAsia="Times New Roman" w:hAnsi="Century Gothic" w:cs="Times New Roman"/>
          <w:sz w:val="24"/>
          <w:szCs w:val="24"/>
          <w:lang w:eastAsia="wo-SN"/>
        </w:rPr>
        <w:t>Hodh</w:t>
      </w:r>
      <w:r>
        <w:rPr>
          <w:rFonts w:ascii="Century Gothic" w:eastAsia="Times New Roman" w:hAnsi="Century Gothic" w:cs="Times New Roman"/>
          <w:sz w:val="24"/>
          <w:szCs w:val="24"/>
          <w:lang w:eastAsia="wo-SN"/>
        </w:rPr>
        <w:t>s (El</w:t>
      </w:r>
      <w:r w:rsidRPr="00D75CFD">
        <w:rPr>
          <w:rFonts w:ascii="Century Gothic" w:eastAsia="Times New Roman" w:hAnsi="Century Gothic" w:cs="Times New Roman"/>
          <w:sz w:val="24"/>
          <w:szCs w:val="24"/>
          <w:lang w:eastAsia="wo-SN"/>
        </w:rPr>
        <w:t xml:space="preserve"> Gharbi</w:t>
      </w:r>
      <w:r>
        <w:rPr>
          <w:rFonts w:ascii="Century Gothic" w:eastAsia="Times New Roman" w:hAnsi="Century Gothic" w:cs="Times New Roman"/>
          <w:sz w:val="24"/>
          <w:szCs w:val="24"/>
          <w:lang w:eastAsia="wo-SN"/>
        </w:rPr>
        <w:t xml:space="preserve"> et Ec</w:t>
      </w:r>
      <w:r w:rsidRPr="00D75CFD">
        <w:rPr>
          <w:rFonts w:ascii="Century Gothic" w:eastAsia="Times New Roman" w:hAnsi="Century Gothic" w:cs="Times New Roman"/>
          <w:sz w:val="24"/>
          <w:szCs w:val="24"/>
          <w:lang w:eastAsia="wo-SN"/>
        </w:rPr>
        <w:t>harghi</w:t>
      </w:r>
      <w:r>
        <w:rPr>
          <w:rFonts w:ascii="Century Gothic" w:eastAsia="Times New Roman" w:hAnsi="Century Gothic" w:cs="Times New Roman"/>
          <w:sz w:val="24"/>
          <w:szCs w:val="24"/>
          <w:lang w:eastAsia="wo-SN"/>
        </w:rPr>
        <w:t>)</w:t>
      </w:r>
      <w:r w:rsidRPr="00D75CFD">
        <w:rPr>
          <w:rFonts w:ascii="Century Gothic" w:eastAsia="Times New Roman" w:hAnsi="Century Gothic" w:cs="Times New Roman"/>
          <w:sz w:val="24"/>
          <w:szCs w:val="24"/>
          <w:lang w:eastAsia="wo-SN"/>
        </w:rPr>
        <w:t>, l’Assaba et Tagant</w:t>
      </w:r>
      <w:r>
        <w:rPr>
          <w:rFonts w:ascii="Century Gothic" w:eastAsia="Times New Roman" w:hAnsi="Century Gothic" w:cs="Times New Roman"/>
          <w:sz w:val="24"/>
          <w:szCs w:val="24"/>
          <w:lang w:eastAsia="wo-SN"/>
        </w:rPr>
        <w:t xml:space="preserve">. </w:t>
      </w:r>
    </w:p>
    <w:p w14:paraId="240F4845" w14:textId="77777777" w:rsidR="005625B5" w:rsidRPr="00905F1F"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L’action dans cette région sera focalisée sur la p</w:t>
      </w:r>
      <w:r w:rsidRPr="00905F1F">
        <w:rPr>
          <w:rFonts w:ascii="Century Gothic" w:eastAsia="Times New Roman" w:hAnsi="Century Gothic" w:cs="Times New Roman"/>
          <w:sz w:val="24"/>
          <w:szCs w:val="24"/>
          <w:lang w:eastAsia="wo-SN"/>
        </w:rPr>
        <w:t>réservation de l’exist</w:t>
      </w:r>
      <w:r>
        <w:rPr>
          <w:rFonts w:ascii="Century Gothic" w:eastAsia="Times New Roman" w:hAnsi="Century Gothic" w:cs="Times New Roman"/>
          <w:sz w:val="24"/>
          <w:szCs w:val="24"/>
          <w:lang w:eastAsia="wo-SN"/>
        </w:rPr>
        <w:t>a</w:t>
      </w:r>
      <w:r w:rsidRPr="00905F1F">
        <w:rPr>
          <w:rFonts w:ascii="Century Gothic" w:eastAsia="Times New Roman" w:hAnsi="Century Gothic" w:cs="Times New Roman"/>
          <w:sz w:val="24"/>
          <w:szCs w:val="24"/>
          <w:lang w:eastAsia="wo-SN"/>
        </w:rPr>
        <w:t xml:space="preserve">nt et </w:t>
      </w:r>
      <w:r>
        <w:rPr>
          <w:rFonts w:ascii="Century Gothic" w:eastAsia="Times New Roman" w:hAnsi="Century Gothic" w:cs="Times New Roman"/>
          <w:sz w:val="24"/>
          <w:szCs w:val="24"/>
          <w:lang w:eastAsia="wo-SN"/>
        </w:rPr>
        <w:t xml:space="preserve">la </w:t>
      </w:r>
      <w:r w:rsidRPr="00905F1F">
        <w:rPr>
          <w:rFonts w:ascii="Century Gothic" w:eastAsia="Times New Roman" w:hAnsi="Century Gothic" w:cs="Times New Roman"/>
          <w:sz w:val="24"/>
          <w:szCs w:val="24"/>
          <w:lang w:eastAsia="wo-SN"/>
        </w:rPr>
        <w:t>restauration des écosystèmes</w:t>
      </w:r>
      <w:r>
        <w:rPr>
          <w:rFonts w:ascii="Century Gothic" w:eastAsia="Times New Roman" w:hAnsi="Century Gothic" w:cs="Times New Roman"/>
          <w:sz w:val="24"/>
          <w:szCs w:val="24"/>
          <w:lang w:eastAsia="wo-SN"/>
        </w:rPr>
        <w:t xml:space="preserve"> dégradés</w:t>
      </w:r>
      <w:r w:rsidRPr="00905F1F">
        <w:rPr>
          <w:rFonts w:ascii="Century Gothic" w:eastAsia="Times New Roman" w:hAnsi="Century Gothic" w:cs="Times New Roman"/>
          <w:sz w:val="24"/>
          <w:szCs w:val="24"/>
          <w:lang w:eastAsia="wo-SN"/>
        </w:rPr>
        <w:t xml:space="preserve"> (zones humides, formations forestières, autres terres dégradées)</w:t>
      </w:r>
      <w:r>
        <w:rPr>
          <w:rFonts w:ascii="Century Gothic" w:eastAsia="Times New Roman" w:hAnsi="Century Gothic" w:cs="Times New Roman"/>
          <w:sz w:val="24"/>
          <w:szCs w:val="24"/>
          <w:lang w:eastAsia="wo-SN"/>
        </w:rPr>
        <w:t xml:space="preserve">. </w:t>
      </w:r>
    </w:p>
    <w:p w14:paraId="2C352B46" w14:textId="0A8A886C" w:rsidR="005625B5" w:rsidRPr="007D5A91" w:rsidRDefault="005625B5" w:rsidP="005625B5">
      <w:pPr>
        <w:pStyle w:val="NormalWeb"/>
        <w:spacing w:before="0" w:beforeAutospacing="0" w:after="0" w:afterAutospacing="0" w:line="276" w:lineRule="auto"/>
        <w:jc w:val="both"/>
        <w:rPr>
          <w:rFonts w:ascii="Century Gothic" w:hAnsi="Century Gothic"/>
        </w:rPr>
      </w:pPr>
      <w:r w:rsidRPr="007D5A91">
        <w:rPr>
          <w:rFonts w:ascii="Century Gothic" w:hAnsi="Century Gothic"/>
        </w:rPr>
        <w:t>L'objectif principal de cette étude est d'évaluer la vulnérabilité de</w:t>
      </w:r>
      <w:r>
        <w:rPr>
          <w:rFonts w:ascii="Century Gothic" w:hAnsi="Century Gothic"/>
        </w:rPr>
        <w:t xml:space="preserve">s écosystèmes arides et forestiers en Mauritanie exposés à la désertification et </w:t>
      </w:r>
      <w:r w:rsidRPr="007D5A91">
        <w:rPr>
          <w:rFonts w:ascii="Century Gothic" w:hAnsi="Century Gothic"/>
        </w:rPr>
        <w:t xml:space="preserve">aux changements climatiques et de proposer des stratégies d'adaptation efficaces et durables. </w:t>
      </w:r>
    </w:p>
    <w:p w14:paraId="0EC9F526" w14:textId="77777777" w:rsidR="005625B5" w:rsidRDefault="005625B5" w:rsidP="005625B5">
      <w:pPr>
        <w:pStyle w:val="NormalWeb"/>
        <w:spacing w:before="0" w:beforeAutospacing="0" w:after="0" w:afterAutospacing="0" w:line="276" w:lineRule="auto"/>
        <w:jc w:val="both"/>
        <w:rPr>
          <w:rFonts w:ascii="Century Gothic" w:hAnsi="Century Gothic"/>
        </w:rPr>
      </w:pPr>
      <w:r w:rsidRPr="00B15E7F">
        <w:rPr>
          <w:rFonts w:ascii="Century Gothic" w:hAnsi="Century Gothic"/>
          <w:b/>
          <w:bCs/>
        </w:rPr>
        <w:t>Les tâches spécifiques</w:t>
      </w:r>
      <w:r w:rsidRPr="007D5A91">
        <w:rPr>
          <w:rFonts w:ascii="Century Gothic" w:hAnsi="Century Gothic"/>
        </w:rPr>
        <w:t xml:space="preserve"> sont : </w:t>
      </w:r>
    </w:p>
    <w:p w14:paraId="74CE68AD" w14:textId="77777777" w:rsidR="005625B5" w:rsidRPr="00B35B59" w:rsidRDefault="005625B5" w:rsidP="005625B5">
      <w:pPr>
        <w:pStyle w:val="NormalWeb"/>
        <w:spacing w:before="0" w:beforeAutospacing="0" w:after="0" w:afterAutospacing="0" w:line="276" w:lineRule="auto"/>
        <w:jc w:val="both"/>
        <w:rPr>
          <w:rFonts w:ascii="Century Gothic" w:hAnsi="Century Gothic"/>
          <w:sz w:val="12"/>
          <w:szCs w:val="12"/>
        </w:rPr>
      </w:pPr>
    </w:p>
    <w:p w14:paraId="2D92A5B1" w14:textId="77777777" w:rsidR="005625B5" w:rsidRPr="007D5A91" w:rsidRDefault="005625B5" w:rsidP="005625B5">
      <w:pPr>
        <w:numPr>
          <w:ilvl w:val="0"/>
          <w:numId w:val="1"/>
        </w:numPr>
        <w:spacing w:after="0" w:line="276" w:lineRule="auto"/>
        <w:ind w:left="714" w:hanging="357"/>
        <w:jc w:val="both"/>
        <w:rPr>
          <w:rFonts w:ascii="Century Gothic" w:eastAsia="Times New Roman" w:hAnsi="Century Gothic" w:cs="Times New Roman"/>
          <w:sz w:val="24"/>
          <w:szCs w:val="24"/>
          <w:lang w:val="wo-SN" w:eastAsia="wo-SN"/>
        </w:rPr>
      </w:pPr>
      <w:r w:rsidRPr="007D5A91">
        <w:rPr>
          <w:rFonts w:ascii="Century Gothic" w:eastAsia="Times New Roman" w:hAnsi="Century Gothic" w:cs="Times New Roman"/>
          <w:sz w:val="24"/>
          <w:szCs w:val="24"/>
          <w:lang w:val="wo-SN" w:eastAsia="wo-SN"/>
        </w:rPr>
        <w:t xml:space="preserve">Présenter le cadre politique et stratégique en matière de protection de la biodiversité </w:t>
      </w:r>
      <w:r>
        <w:rPr>
          <w:rFonts w:ascii="Century Gothic" w:eastAsia="Times New Roman" w:hAnsi="Century Gothic" w:cs="Times New Roman"/>
          <w:sz w:val="24"/>
          <w:szCs w:val="24"/>
          <w:lang w:val="wo-SN" w:eastAsia="wo-SN"/>
        </w:rPr>
        <w:t xml:space="preserve">terrestre </w:t>
      </w:r>
      <w:r w:rsidRPr="007D5A91">
        <w:rPr>
          <w:rFonts w:ascii="Century Gothic" w:eastAsia="Times New Roman" w:hAnsi="Century Gothic" w:cs="Times New Roman"/>
          <w:sz w:val="24"/>
          <w:szCs w:val="24"/>
          <w:lang w:val="wo-SN" w:eastAsia="wo-SN"/>
        </w:rPr>
        <w:t xml:space="preserve">tout en mettant en lien avec </w:t>
      </w:r>
      <w:r>
        <w:rPr>
          <w:rFonts w:ascii="Century Gothic" w:eastAsia="Times New Roman" w:hAnsi="Century Gothic" w:cs="Times New Roman"/>
          <w:sz w:val="24"/>
          <w:szCs w:val="24"/>
          <w:lang w:val="wo-SN" w:eastAsia="wo-SN"/>
        </w:rPr>
        <w:t xml:space="preserve">la désertification et </w:t>
      </w:r>
      <w:r w:rsidRPr="007D5A91">
        <w:rPr>
          <w:rFonts w:ascii="Century Gothic" w:eastAsia="Times New Roman" w:hAnsi="Century Gothic" w:cs="Times New Roman"/>
          <w:sz w:val="24"/>
          <w:szCs w:val="24"/>
          <w:lang w:val="wo-SN" w:eastAsia="wo-SN"/>
        </w:rPr>
        <w:t>les changements climatiques</w:t>
      </w:r>
      <w:r>
        <w:rPr>
          <w:rFonts w:ascii="Century Gothic" w:eastAsia="Times New Roman" w:hAnsi="Century Gothic" w:cs="Times New Roman"/>
          <w:sz w:val="24"/>
          <w:szCs w:val="24"/>
          <w:lang w:val="wo-SN" w:eastAsia="wo-SN"/>
        </w:rPr>
        <w:t xml:space="preserve"> </w:t>
      </w:r>
      <w:r w:rsidRPr="007D5A91">
        <w:rPr>
          <w:rFonts w:ascii="Century Gothic" w:eastAsia="Times New Roman" w:hAnsi="Century Gothic" w:cs="Times New Roman"/>
          <w:sz w:val="24"/>
          <w:szCs w:val="24"/>
          <w:lang w:val="wo-SN" w:eastAsia="wo-SN"/>
        </w:rPr>
        <w:t xml:space="preserve">; </w:t>
      </w:r>
    </w:p>
    <w:p w14:paraId="6DEB400E" w14:textId="77777777" w:rsidR="005625B5" w:rsidRPr="007D5A91" w:rsidRDefault="005625B5" w:rsidP="005625B5">
      <w:pPr>
        <w:numPr>
          <w:ilvl w:val="0"/>
          <w:numId w:val="1"/>
        </w:numPr>
        <w:spacing w:after="0" w:line="276" w:lineRule="auto"/>
        <w:ind w:left="714" w:hanging="357"/>
        <w:jc w:val="both"/>
        <w:rPr>
          <w:rFonts w:ascii="Century Gothic" w:eastAsia="Times New Roman" w:hAnsi="Century Gothic" w:cs="Times New Roman"/>
          <w:sz w:val="24"/>
          <w:szCs w:val="24"/>
          <w:lang w:val="wo-SN" w:eastAsia="wo-SN"/>
        </w:rPr>
      </w:pPr>
      <w:r w:rsidRPr="007D5A91">
        <w:rPr>
          <w:rFonts w:ascii="Century Gothic" w:eastAsia="Times New Roman" w:hAnsi="Century Gothic" w:cs="Times New Roman"/>
          <w:sz w:val="24"/>
          <w:szCs w:val="24"/>
          <w:lang w:val="wo-SN" w:eastAsia="wo-SN"/>
        </w:rPr>
        <w:t>Présenter les facteurs climatiques</w:t>
      </w:r>
      <w:r>
        <w:rPr>
          <w:rFonts w:ascii="Century Gothic" w:eastAsia="Times New Roman" w:hAnsi="Century Gothic" w:cs="Times New Roman"/>
          <w:sz w:val="24"/>
          <w:szCs w:val="24"/>
          <w:lang w:val="wo-SN" w:eastAsia="wo-SN"/>
        </w:rPr>
        <w:t>,</w:t>
      </w:r>
      <w:r w:rsidRPr="007D5A91">
        <w:rPr>
          <w:rFonts w:ascii="Century Gothic" w:eastAsia="Times New Roman" w:hAnsi="Century Gothic" w:cs="Times New Roman"/>
          <w:sz w:val="24"/>
          <w:szCs w:val="24"/>
          <w:lang w:val="wo-SN" w:eastAsia="wo-SN"/>
        </w:rPr>
        <w:t xml:space="preserve"> biophysiques et édaphiques relatifs à ces zones de biodiversité puis analyser leurs fluctuations au cours des cinq dernières années, c’est à dire depuis la publication de la quatrième communication nationale sur les changements climatiques (en 2019).</w:t>
      </w:r>
    </w:p>
    <w:p w14:paraId="7505413C" w14:textId="77777777" w:rsidR="005625B5" w:rsidRPr="007D5A91" w:rsidRDefault="005625B5" w:rsidP="005625B5">
      <w:pPr>
        <w:numPr>
          <w:ilvl w:val="0"/>
          <w:numId w:val="1"/>
        </w:numPr>
        <w:spacing w:after="0" w:line="276" w:lineRule="auto"/>
        <w:ind w:left="714" w:hanging="357"/>
        <w:jc w:val="both"/>
        <w:rPr>
          <w:rFonts w:ascii="Century Gothic" w:eastAsia="Times New Roman" w:hAnsi="Century Gothic" w:cs="Times New Roman"/>
          <w:sz w:val="24"/>
          <w:szCs w:val="24"/>
          <w:lang w:val="wo-SN" w:eastAsia="wo-SN"/>
        </w:rPr>
      </w:pPr>
      <w:r w:rsidRPr="007D5A91">
        <w:rPr>
          <w:rFonts w:ascii="Century Gothic" w:eastAsia="Times New Roman" w:hAnsi="Century Gothic" w:cs="Times New Roman"/>
          <w:sz w:val="24"/>
          <w:szCs w:val="24"/>
          <w:lang w:val="wo-SN" w:eastAsia="wo-SN"/>
        </w:rPr>
        <w:t xml:space="preserve">Evaluer la vulnérabilité </w:t>
      </w:r>
      <w:r>
        <w:rPr>
          <w:rFonts w:ascii="Century Gothic" w:eastAsia="Times New Roman" w:hAnsi="Century Gothic" w:cs="Times New Roman"/>
          <w:sz w:val="24"/>
          <w:szCs w:val="24"/>
          <w:lang w:val="wo-SN" w:eastAsia="wo-SN"/>
        </w:rPr>
        <w:t xml:space="preserve">à la désertificvation et </w:t>
      </w:r>
      <w:r w:rsidRPr="007D5A91">
        <w:rPr>
          <w:rFonts w:ascii="Century Gothic" w:eastAsia="Times New Roman" w:hAnsi="Century Gothic" w:cs="Times New Roman"/>
          <w:sz w:val="24"/>
          <w:szCs w:val="24"/>
          <w:lang w:val="wo-SN" w:eastAsia="wo-SN"/>
        </w:rPr>
        <w:t>au</w:t>
      </w:r>
      <w:r>
        <w:rPr>
          <w:rFonts w:ascii="Century Gothic" w:eastAsia="Times New Roman" w:hAnsi="Century Gothic" w:cs="Times New Roman"/>
          <w:sz w:val="24"/>
          <w:szCs w:val="24"/>
          <w:lang w:val="wo-SN" w:eastAsia="wo-SN"/>
        </w:rPr>
        <w:t>x</w:t>
      </w:r>
      <w:r w:rsidRPr="007D5A91">
        <w:rPr>
          <w:rFonts w:ascii="Century Gothic" w:eastAsia="Times New Roman" w:hAnsi="Century Gothic" w:cs="Times New Roman"/>
          <w:sz w:val="24"/>
          <w:szCs w:val="24"/>
          <w:lang w:val="wo-SN" w:eastAsia="wo-SN"/>
        </w:rPr>
        <w:t xml:space="preserve"> changement</w:t>
      </w:r>
      <w:r>
        <w:rPr>
          <w:rFonts w:ascii="Century Gothic" w:eastAsia="Times New Roman" w:hAnsi="Century Gothic" w:cs="Times New Roman"/>
          <w:sz w:val="24"/>
          <w:szCs w:val="24"/>
          <w:lang w:val="wo-SN" w:eastAsia="wo-SN"/>
        </w:rPr>
        <w:t>s cl</w:t>
      </w:r>
      <w:r w:rsidRPr="007D5A91">
        <w:rPr>
          <w:rFonts w:ascii="Century Gothic" w:eastAsia="Times New Roman" w:hAnsi="Century Gothic" w:cs="Times New Roman"/>
          <w:sz w:val="24"/>
          <w:szCs w:val="24"/>
          <w:lang w:val="wo-SN" w:eastAsia="wo-SN"/>
        </w:rPr>
        <w:t>imatique</w:t>
      </w:r>
      <w:r>
        <w:rPr>
          <w:rFonts w:ascii="Century Gothic" w:eastAsia="Times New Roman" w:hAnsi="Century Gothic" w:cs="Times New Roman"/>
          <w:sz w:val="24"/>
          <w:szCs w:val="24"/>
          <w:lang w:val="wo-SN" w:eastAsia="wo-SN"/>
        </w:rPr>
        <w:t>s</w:t>
      </w:r>
      <w:r w:rsidRPr="007D5A91">
        <w:rPr>
          <w:rFonts w:ascii="Century Gothic" w:eastAsia="Times New Roman" w:hAnsi="Century Gothic" w:cs="Times New Roman"/>
          <w:sz w:val="24"/>
          <w:szCs w:val="24"/>
          <w:lang w:val="wo-SN" w:eastAsia="wo-SN"/>
        </w:rPr>
        <w:t xml:space="preserve"> de chaque </w:t>
      </w:r>
      <w:r>
        <w:rPr>
          <w:rFonts w:ascii="Century Gothic" w:eastAsia="Times New Roman" w:hAnsi="Century Gothic" w:cs="Times New Roman"/>
          <w:sz w:val="24"/>
          <w:szCs w:val="24"/>
          <w:lang w:val="wo-SN" w:eastAsia="wo-SN"/>
        </w:rPr>
        <w:t xml:space="preserve">type d’écosystèmes (la zone nord hyper-aride, la zone sud à vocation agrosylvopastorale y compris la vallée du fleuve Sénégal) </w:t>
      </w:r>
      <w:r w:rsidRPr="007D5A91">
        <w:rPr>
          <w:rFonts w:ascii="Century Gothic" w:eastAsia="Times New Roman" w:hAnsi="Century Gothic" w:cs="Times New Roman"/>
          <w:sz w:val="24"/>
          <w:szCs w:val="24"/>
          <w:lang w:val="wo-SN" w:eastAsia="wo-SN"/>
        </w:rPr>
        <w:t>puis estimer les pertes et préjudices subi</w:t>
      </w:r>
      <w:r>
        <w:rPr>
          <w:rFonts w:ascii="Century Gothic" w:eastAsia="Times New Roman" w:hAnsi="Century Gothic" w:cs="Times New Roman"/>
          <w:sz w:val="24"/>
          <w:szCs w:val="24"/>
          <w:lang w:val="wo-SN" w:eastAsia="wo-SN"/>
        </w:rPr>
        <w:t>s</w:t>
      </w:r>
      <w:r w:rsidRPr="007D5A91">
        <w:rPr>
          <w:rFonts w:ascii="Century Gothic" w:eastAsia="Times New Roman" w:hAnsi="Century Gothic" w:cs="Times New Roman"/>
          <w:sz w:val="24"/>
          <w:szCs w:val="24"/>
          <w:lang w:val="wo-SN" w:eastAsia="wo-SN"/>
        </w:rPr>
        <w:t xml:space="preserve"> par ces zones </w:t>
      </w:r>
      <w:r>
        <w:rPr>
          <w:rFonts w:ascii="Century Gothic" w:eastAsia="Times New Roman" w:hAnsi="Century Gothic" w:cs="Times New Roman"/>
          <w:sz w:val="24"/>
          <w:szCs w:val="24"/>
          <w:lang w:val="wo-SN" w:eastAsia="wo-SN"/>
        </w:rPr>
        <w:t xml:space="preserve">en termes </w:t>
      </w:r>
      <w:r w:rsidRPr="007D5A91">
        <w:rPr>
          <w:rFonts w:ascii="Century Gothic" w:eastAsia="Times New Roman" w:hAnsi="Century Gothic" w:cs="Times New Roman"/>
          <w:sz w:val="24"/>
          <w:szCs w:val="24"/>
          <w:lang w:val="wo-SN" w:eastAsia="wo-SN"/>
        </w:rPr>
        <w:t>de biodiversité et les conséquences sur les communautés utilisatrices de</w:t>
      </w:r>
      <w:r>
        <w:rPr>
          <w:rFonts w:ascii="Century Gothic" w:eastAsia="Times New Roman" w:hAnsi="Century Gothic" w:cs="Times New Roman"/>
          <w:sz w:val="24"/>
          <w:szCs w:val="24"/>
          <w:lang w:val="wo-SN" w:eastAsia="wo-SN"/>
        </w:rPr>
        <w:t xml:space="preserve"> leurs</w:t>
      </w:r>
      <w:r w:rsidRPr="007D5A91">
        <w:rPr>
          <w:rFonts w:ascii="Century Gothic" w:eastAsia="Times New Roman" w:hAnsi="Century Gothic" w:cs="Times New Roman"/>
          <w:sz w:val="24"/>
          <w:szCs w:val="24"/>
          <w:lang w:val="wo-SN" w:eastAsia="wo-SN"/>
        </w:rPr>
        <w:t xml:space="preserve"> ressources</w:t>
      </w:r>
      <w:r>
        <w:rPr>
          <w:rFonts w:ascii="Century Gothic" w:eastAsia="Times New Roman" w:hAnsi="Century Gothic" w:cs="Times New Roman"/>
          <w:sz w:val="24"/>
          <w:szCs w:val="24"/>
          <w:lang w:val="wo-SN" w:eastAsia="wo-SN"/>
        </w:rPr>
        <w:t xml:space="preserve"> naturelles</w:t>
      </w:r>
      <w:r w:rsidRPr="007D5A91">
        <w:rPr>
          <w:rFonts w:ascii="Century Gothic" w:eastAsia="Times New Roman" w:hAnsi="Century Gothic" w:cs="Times New Roman"/>
          <w:sz w:val="24"/>
          <w:szCs w:val="24"/>
          <w:lang w:val="wo-SN" w:eastAsia="wo-SN"/>
        </w:rPr>
        <w:t xml:space="preserve">. </w:t>
      </w:r>
    </w:p>
    <w:p w14:paraId="73E442E3" w14:textId="7FA04443" w:rsidR="005625B5" w:rsidRPr="00B15E7F" w:rsidRDefault="005625B5" w:rsidP="00B15E7F">
      <w:pPr>
        <w:numPr>
          <w:ilvl w:val="0"/>
          <w:numId w:val="1"/>
        </w:numPr>
        <w:spacing w:after="0" w:line="276" w:lineRule="auto"/>
        <w:ind w:left="714" w:hanging="357"/>
        <w:jc w:val="both"/>
        <w:rPr>
          <w:rFonts w:ascii="Century Gothic" w:eastAsia="Times New Roman" w:hAnsi="Century Gothic" w:cs="Times New Roman"/>
          <w:sz w:val="16"/>
          <w:szCs w:val="16"/>
          <w:lang w:eastAsia="wo-SN"/>
        </w:rPr>
      </w:pPr>
      <w:r w:rsidRPr="003F22F6">
        <w:rPr>
          <w:rFonts w:ascii="Century Gothic" w:hAnsi="Century Gothic" w:cs="Times New Roman"/>
          <w:bCs/>
          <w:sz w:val="24"/>
          <w:szCs w:val="24"/>
        </w:rPr>
        <w:t xml:space="preserve">Envisager des scénarios d’avenir et proposer des réponses pragmatiques qui sont de nature à réduire les vulnérabilités et </w:t>
      </w:r>
      <w:r w:rsidRPr="003F22F6">
        <w:rPr>
          <w:rFonts w:ascii="Century Gothic" w:hAnsi="Century Gothic" w:cs="Times New Roman"/>
          <w:bCs/>
          <w:i/>
          <w:iCs/>
          <w:sz w:val="24"/>
          <w:szCs w:val="24"/>
        </w:rPr>
        <w:t>in fine</w:t>
      </w:r>
      <w:r w:rsidRPr="003F22F6">
        <w:rPr>
          <w:rFonts w:ascii="Century Gothic" w:hAnsi="Century Gothic" w:cs="Times New Roman"/>
          <w:bCs/>
          <w:sz w:val="24"/>
          <w:szCs w:val="24"/>
        </w:rPr>
        <w:t xml:space="preserve"> à accroître leur potentialité de productivité des ressources naturelles. </w:t>
      </w:r>
    </w:p>
    <w:p w14:paraId="16E6EC9D" w14:textId="77777777" w:rsidR="005625B5" w:rsidRPr="009E7960" w:rsidRDefault="005625B5" w:rsidP="00B15E7F">
      <w:pPr>
        <w:pStyle w:val="Titre2"/>
        <w:spacing w:before="0" w:after="120" w:line="276" w:lineRule="auto"/>
        <w:rPr>
          <w:rFonts w:ascii="Century Gothic" w:eastAsia="Verdana" w:hAnsi="Century Gothic"/>
          <w:b/>
          <w:bCs/>
          <w:color w:val="auto"/>
          <w:w w:val="95"/>
          <w:sz w:val="24"/>
          <w:szCs w:val="24"/>
        </w:rPr>
      </w:pPr>
      <w:r>
        <w:rPr>
          <w:rFonts w:ascii="Century Gothic" w:eastAsia="Verdana" w:hAnsi="Century Gothic"/>
          <w:b/>
          <w:bCs/>
          <w:color w:val="auto"/>
          <w:w w:val="95"/>
          <w:sz w:val="24"/>
          <w:szCs w:val="24"/>
        </w:rPr>
        <w:t xml:space="preserve">I.3. Méthodologie </w:t>
      </w:r>
      <w:r w:rsidRPr="009E7960">
        <w:rPr>
          <w:rFonts w:ascii="Century Gothic" w:eastAsia="Verdana" w:hAnsi="Century Gothic"/>
          <w:b/>
          <w:bCs/>
          <w:color w:val="auto"/>
          <w:w w:val="95"/>
          <w:sz w:val="24"/>
          <w:szCs w:val="24"/>
        </w:rPr>
        <w:t xml:space="preserve"> </w:t>
      </w:r>
    </w:p>
    <w:p w14:paraId="340FF71D" w14:textId="77777777" w:rsidR="005625B5" w:rsidRDefault="005625B5" w:rsidP="005625B5">
      <w:pPr>
        <w:spacing w:after="0" w:line="276" w:lineRule="auto"/>
        <w:jc w:val="both"/>
        <w:rPr>
          <w:rFonts w:ascii="Century Gothic" w:eastAsia="Times New Roman" w:hAnsi="Century Gothic" w:cs="Times New Roman"/>
          <w:sz w:val="24"/>
          <w:szCs w:val="24"/>
          <w:lang w:val="wo-SN" w:eastAsia="wo-SN"/>
        </w:rPr>
      </w:pPr>
      <w:r w:rsidRPr="00B73067">
        <w:rPr>
          <w:rFonts w:ascii="Century Gothic" w:eastAsia="Times New Roman" w:hAnsi="Century Gothic" w:cs="Times New Roman"/>
          <w:sz w:val="24"/>
          <w:szCs w:val="24"/>
          <w:lang w:val="wo-SN" w:eastAsia="wo-SN"/>
        </w:rPr>
        <w:t>La méthodologie de cette étude se divisera en trois sections principales :</w:t>
      </w:r>
    </w:p>
    <w:p w14:paraId="6C4C1FDA"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wo-SN" w:eastAsia="wo-SN"/>
        </w:rPr>
      </w:pPr>
      <w:r w:rsidRPr="00CE00E9">
        <w:rPr>
          <w:rFonts w:ascii="Century Gothic" w:eastAsia="Times New Roman" w:hAnsi="Century Gothic" w:cs="Times New Roman"/>
          <w:b/>
          <w:bCs/>
          <w:sz w:val="24"/>
          <w:szCs w:val="24"/>
          <w:lang w:val="wo-SN" w:eastAsia="wo-SN"/>
        </w:rPr>
        <w:t>Section 1</w:t>
      </w:r>
      <w:r w:rsidRPr="00CE00E9">
        <w:rPr>
          <w:rFonts w:ascii="Century Gothic" w:eastAsia="Times New Roman" w:hAnsi="Century Gothic" w:cs="Times New Roman"/>
          <w:sz w:val="24"/>
          <w:szCs w:val="24"/>
          <w:lang w:val="wo-SN" w:eastAsia="wo-SN"/>
        </w:rPr>
        <w:t xml:space="preserve"> : </w:t>
      </w:r>
      <w:r>
        <w:rPr>
          <w:rFonts w:ascii="Century Gothic" w:eastAsia="Times New Roman" w:hAnsi="Century Gothic" w:cs="Times New Roman"/>
          <w:sz w:val="24"/>
          <w:szCs w:val="24"/>
          <w:lang w:val="wo-SN" w:eastAsia="wo-SN"/>
        </w:rPr>
        <w:t>Cette section porte sur les c</w:t>
      </w:r>
      <w:r w:rsidRPr="00CE00E9">
        <w:rPr>
          <w:rFonts w:ascii="Century Gothic" w:eastAsia="Times New Roman" w:hAnsi="Century Gothic" w:cs="Times New Roman"/>
          <w:sz w:val="24"/>
          <w:szCs w:val="24"/>
          <w:lang w:val="wo-SN" w:eastAsia="wo-SN"/>
        </w:rPr>
        <w:t xml:space="preserve">onsidérations de </w:t>
      </w:r>
      <w:r>
        <w:rPr>
          <w:rFonts w:ascii="Century Gothic" w:eastAsia="Times New Roman" w:hAnsi="Century Gothic" w:cs="Times New Roman"/>
          <w:sz w:val="24"/>
          <w:szCs w:val="24"/>
          <w:lang w:val="wo-SN" w:eastAsia="wo-SN"/>
        </w:rPr>
        <w:t>p</w:t>
      </w:r>
      <w:r w:rsidRPr="00CE00E9">
        <w:rPr>
          <w:rFonts w:ascii="Century Gothic" w:eastAsia="Times New Roman" w:hAnsi="Century Gothic" w:cs="Times New Roman"/>
          <w:sz w:val="24"/>
          <w:szCs w:val="24"/>
          <w:lang w:val="wo-SN" w:eastAsia="wo-SN"/>
        </w:rPr>
        <w:t xml:space="preserve">lanification et de </w:t>
      </w:r>
      <w:r>
        <w:rPr>
          <w:rFonts w:ascii="Century Gothic" w:eastAsia="Times New Roman" w:hAnsi="Century Gothic" w:cs="Times New Roman"/>
          <w:sz w:val="24"/>
          <w:szCs w:val="24"/>
          <w:lang w:val="wo-SN" w:eastAsia="wo-SN"/>
        </w:rPr>
        <w:t>g</w:t>
      </w:r>
      <w:r w:rsidRPr="00CE00E9">
        <w:rPr>
          <w:rFonts w:ascii="Century Gothic" w:eastAsia="Times New Roman" w:hAnsi="Century Gothic" w:cs="Times New Roman"/>
          <w:sz w:val="24"/>
          <w:szCs w:val="24"/>
          <w:lang w:val="wo-SN" w:eastAsia="wo-SN"/>
        </w:rPr>
        <w:t>estion</w:t>
      </w:r>
      <w:r>
        <w:rPr>
          <w:rFonts w:ascii="Century Gothic" w:eastAsia="Times New Roman" w:hAnsi="Century Gothic" w:cs="Times New Roman"/>
          <w:sz w:val="24"/>
          <w:szCs w:val="24"/>
          <w:lang w:val="wo-SN" w:eastAsia="wo-SN"/>
        </w:rPr>
        <w:t>. Il s’agit d’intégrer l</w:t>
      </w:r>
      <w:r w:rsidRPr="00B73067">
        <w:rPr>
          <w:rFonts w:ascii="Century Gothic" w:eastAsia="Times New Roman" w:hAnsi="Century Gothic" w:cs="Times New Roman"/>
          <w:sz w:val="24"/>
          <w:szCs w:val="24"/>
          <w:lang w:val="wo-SN" w:eastAsia="wo-SN"/>
        </w:rPr>
        <w:t xml:space="preserve">es considérations spécifiques </w:t>
      </w:r>
      <w:r>
        <w:rPr>
          <w:rFonts w:ascii="Century Gothic" w:eastAsia="Times New Roman" w:hAnsi="Century Gothic" w:cs="Times New Roman"/>
          <w:sz w:val="24"/>
          <w:szCs w:val="24"/>
          <w:lang w:val="wo-SN" w:eastAsia="wo-SN"/>
        </w:rPr>
        <w:t>de la vulnérabilité et de l’adaptation des écosysèmes sahariens du nord du pasy et celles des écosysèmes forestiers et des zones humides de la zone sahélienne au sud du pays. L</w:t>
      </w:r>
      <w:r w:rsidRPr="00B73067">
        <w:rPr>
          <w:rFonts w:ascii="Century Gothic" w:eastAsia="Times New Roman" w:hAnsi="Century Gothic" w:cs="Times New Roman"/>
          <w:sz w:val="24"/>
          <w:szCs w:val="24"/>
          <w:lang w:val="wo-SN" w:eastAsia="wo-SN"/>
        </w:rPr>
        <w:t>es aspects généraux de gestion de projets</w:t>
      </w:r>
      <w:r>
        <w:rPr>
          <w:rFonts w:ascii="Century Gothic" w:eastAsia="Times New Roman" w:hAnsi="Century Gothic" w:cs="Times New Roman"/>
          <w:sz w:val="24"/>
          <w:szCs w:val="24"/>
          <w:lang w:val="wo-SN" w:eastAsia="wo-SN"/>
        </w:rPr>
        <w:t xml:space="preserve"> et d’a</w:t>
      </w:r>
      <w:r w:rsidRPr="000B6968">
        <w:rPr>
          <w:rFonts w:ascii="Century Gothic" w:eastAsia="Times New Roman" w:hAnsi="Century Gothic" w:cs="Times New Roman"/>
          <w:sz w:val="24"/>
          <w:szCs w:val="24"/>
          <w:lang w:val="wo-SN" w:eastAsia="wo-SN"/>
        </w:rPr>
        <w:t>ppliquer les leçons apprises des projets antérieurs pour optimiser la planification et la mise en œuvre des stratégies d'adaptation</w:t>
      </w:r>
      <w:r>
        <w:rPr>
          <w:rFonts w:ascii="Century Gothic" w:eastAsia="Times New Roman" w:hAnsi="Century Gothic" w:cs="Times New Roman"/>
          <w:sz w:val="24"/>
          <w:szCs w:val="24"/>
          <w:lang w:val="wo-SN" w:eastAsia="wo-SN"/>
        </w:rPr>
        <w:t>seront pris en considération</w:t>
      </w:r>
      <w:r w:rsidRPr="000B6968">
        <w:rPr>
          <w:rFonts w:ascii="Century Gothic" w:eastAsia="Times New Roman" w:hAnsi="Century Gothic" w:cs="Times New Roman"/>
          <w:sz w:val="24"/>
          <w:szCs w:val="24"/>
          <w:lang w:val="wo-SN" w:eastAsia="wo-SN"/>
        </w:rPr>
        <w:t>.</w:t>
      </w:r>
    </w:p>
    <w:p w14:paraId="3F6EE5C8"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val="wo-SN" w:eastAsia="wo-SN"/>
        </w:rPr>
      </w:pPr>
    </w:p>
    <w:p w14:paraId="5C677788" w14:textId="2F600B29" w:rsidR="005625B5" w:rsidRPr="00B73067" w:rsidRDefault="005625B5" w:rsidP="005625B5">
      <w:pPr>
        <w:tabs>
          <w:tab w:val="left" w:pos="426"/>
        </w:tabs>
        <w:spacing w:after="0" w:line="276" w:lineRule="auto"/>
        <w:jc w:val="both"/>
        <w:rPr>
          <w:rFonts w:ascii="Century Gothic" w:eastAsia="Times New Roman" w:hAnsi="Century Gothic" w:cs="Times New Roman"/>
          <w:sz w:val="24"/>
          <w:szCs w:val="24"/>
          <w:lang w:val="wo-SN" w:eastAsia="wo-SN"/>
        </w:rPr>
      </w:pPr>
      <w:r w:rsidRPr="00CE00E9">
        <w:rPr>
          <w:rFonts w:ascii="Century Gothic" w:eastAsia="Times New Roman" w:hAnsi="Century Gothic" w:cs="Times New Roman"/>
          <w:b/>
          <w:bCs/>
          <w:sz w:val="24"/>
          <w:szCs w:val="24"/>
          <w:lang w:val="wo-SN" w:eastAsia="wo-SN"/>
        </w:rPr>
        <w:t>La section 2</w:t>
      </w:r>
      <w:r>
        <w:rPr>
          <w:rFonts w:ascii="Century Gothic" w:eastAsia="Times New Roman" w:hAnsi="Century Gothic" w:cs="Times New Roman"/>
          <w:sz w:val="24"/>
          <w:szCs w:val="24"/>
          <w:lang w:val="wo-SN" w:eastAsia="wo-SN"/>
        </w:rPr>
        <w:t xml:space="preserve"> : Cette section porte sur la p</w:t>
      </w:r>
      <w:r w:rsidRPr="00CE00E9">
        <w:rPr>
          <w:rFonts w:ascii="Century Gothic" w:eastAsia="Times New Roman" w:hAnsi="Century Gothic" w:cs="Times New Roman"/>
          <w:sz w:val="24"/>
          <w:szCs w:val="24"/>
          <w:lang w:val="wo-SN" w:eastAsia="wo-SN"/>
        </w:rPr>
        <w:t>lanification de l'évaluation de la Vulnérabilité et de l'Adaptation</w:t>
      </w:r>
      <w:r>
        <w:rPr>
          <w:rFonts w:ascii="Century Gothic" w:eastAsia="Times New Roman" w:hAnsi="Century Gothic" w:cs="Times New Roman"/>
          <w:sz w:val="24"/>
          <w:szCs w:val="24"/>
          <w:lang w:val="wo-SN" w:eastAsia="wo-SN"/>
        </w:rPr>
        <w:t xml:space="preserve"> des écosystèmes de la zone saharienne et de la zone sahélienne, en particulier les écosystèmes forestiers et des zones humides.   </w:t>
      </w:r>
      <w:r w:rsidRPr="00CE00E9">
        <w:rPr>
          <w:rFonts w:ascii="Century Gothic" w:eastAsia="Times New Roman" w:hAnsi="Century Gothic" w:cs="Times New Roman"/>
          <w:sz w:val="24"/>
          <w:szCs w:val="24"/>
          <w:lang w:val="wo-SN" w:eastAsia="wo-SN"/>
        </w:rPr>
        <w:t xml:space="preserve"> </w:t>
      </w:r>
    </w:p>
    <w:p w14:paraId="214F3A8A" w14:textId="1298F040" w:rsidR="005625B5" w:rsidRPr="00B73067" w:rsidRDefault="005625B5" w:rsidP="005625B5">
      <w:pPr>
        <w:spacing w:after="0" w:line="276" w:lineRule="auto"/>
        <w:jc w:val="both"/>
        <w:rPr>
          <w:rFonts w:ascii="Century Gothic" w:eastAsia="Times New Roman" w:hAnsi="Century Gothic" w:cs="Times New Roman"/>
          <w:sz w:val="24"/>
          <w:szCs w:val="24"/>
          <w:lang w:val="wo-SN" w:eastAsia="wo-SN"/>
        </w:rPr>
      </w:pPr>
      <w:r>
        <w:rPr>
          <w:rFonts w:ascii="Century Gothic" w:eastAsia="Times New Roman" w:hAnsi="Century Gothic" w:cs="Times New Roman"/>
          <w:sz w:val="24"/>
          <w:szCs w:val="24"/>
          <w:lang w:val="wo-SN" w:eastAsia="wo-SN"/>
        </w:rPr>
        <w:t>Les é</w:t>
      </w:r>
      <w:r w:rsidRPr="000B6968">
        <w:rPr>
          <w:rFonts w:ascii="Century Gothic" w:eastAsia="Times New Roman" w:hAnsi="Century Gothic" w:cs="Times New Roman"/>
          <w:sz w:val="24"/>
          <w:szCs w:val="24"/>
          <w:lang w:val="wo-SN" w:eastAsia="wo-SN"/>
        </w:rPr>
        <w:t>tapes Clés</w:t>
      </w:r>
      <w:r>
        <w:rPr>
          <w:rFonts w:ascii="Century Gothic" w:eastAsia="Times New Roman" w:hAnsi="Century Gothic" w:cs="Times New Roman"/>
          <w:sz w:val="24"/>
          <w:szCs w:val="24"/>
          <w:lang w:val="wo-SN" w:eastAsia="wo-SN"/>
        </w:rPr>
        <w:t xml:space="preserve"> de cette section sont comme suit</w:t>
      </w:r>
      <w:r w:rsidRPr="000B6968">
        <w:rPr>
          <w:rFonts w:ascii="Century Gothic" w:eastAsia="Times New Roman" w:hAnsi="Century Gothic" w:cs="Times New Roman"/>
          <w:sz w:val="24"/>
          <w:szCs w:val="24"/>
          <w:lang w:val="wo-SN" w:eastAsia="wo-SN"/>
        </w:rPr>
        <w:t xml:space="preserve"> :</w:t>
      </w:r>
    </w:p>
    <w:p w14:paraId="77858331" w14:textId="77777777" w:rsidR="005625B5" w:rsidRDefault="005625B5" w:rsidP="00B15E7F">
      <w:pPr>
        <w:numPr>
          <w:ilvl w:val="2"/>
          <w:numId w:val="2"/>
        </w:numPr>
        <w:tabs>
          <w:tab w:val="left" w:pos="284"/>
        </w:tabs>
        <w:spacing w:after="0" w:line="276" w:lineRule="auto"/>
        <w:ind w:left="284" w:hanging="284"/>
        <w:jc w:val="both"/>
        <w:rPr>
          <w:rFonts w:ascii="Century Gothic" w:eastAsia="Times New Roman" w:hAnsi="Century Gothic" w:cs="Times New Roman"/>
          <w:sz w:val="24"/>
          <w:szCs w:val="24"/>
          <w:lang w:val="wo-SN" w:eastAsia="wo-SN"/>
        </w:rPr>
      </w:pPr>
      <w:r w:rsidRPr="00085FF4">
        <w:rPr>
          <w:rFonts w:ascii="Century Gothic" w:eastAsia="Times New Roman" w:hAnsi="Century Gothic" w:cs="Times New Roman"/>
          <w:sz w:val="24"/>
          <w:szCs w:val="24"/>
          <w:lang w:val="wo-SN" w:eastAsia="wo-SN"/>
        </w:rPr>
        <w:t>Examen des évaluations antérieures</w:t>
      </w:r>
      <w:r w:rsidRPr="00B73067">
        <w:rPr>
          <w:rFonts w:ascii="Century Gothic" w:eastAsia="Times New Roman" w:hAnsi="Century Gothic" w:cs="Times New Roman"/>
          <w:b/>
          <w:bCs/>
          <w:sz w:val="24"/>
          <w:szCs w:val="24"/>
          <w:lang w:val="wo-SN" w:eastAsia="wo-SN"/>
        </w:rPr>
        <w:t xml:space="preserve"> :</w:t>
      </w:r>
      <w:r w:rsidRPr="00B73067">
        <w:rPr>
          <w:rFonts w:ascii="Century Gothic" w:eastAsia="Times New Roman" w:hAnsi="Century Gothic" w:cs="Times New Roman"/>
          <w:sz w:val="24"/>
          <w:szCs w:val="24"/>
          <w:lang w:val="wo-SN" w:eastAsia="wo-SN"/>
        </w:rPr>
        <w:t xml:space="preserve"> Analyse des études précédentes concernant la vulnérabilité des </w:t>
      </w:r>
      <w:r>
        <w:rPr>
          <w:rFonts w:ascii="Century Gothic" w:eastAsia="Times New Roman" w:hAnsi="Century Gothic" w:cs="Times New Roman"/>
          <w:sz w:val="24"/>
          <w:szCs w:val="24"/>
          <w:lang w:val="wo-SN" w:eastAsia="wo-SN"/>
        </w:rPr>
        <w:t xml:space="preserve">écosystèmes arides et forestiers y compris les </w:t>
      </w:r>
      <w:r w:rsidRPr="00B73067">
        <w:rPr>
          <w:rFonts w:ascii="Century Gothic" w:eastAsia="Times New Roman" w:hAnsi="Century Gothic" w:cs="Times New Roman"/>
          <w:sz w:val="24"/>
          <w:szCs w:val="24"/>
          <w:lang w:val="wo-SN" w:eastAsia="wo-SN"/>
        </w:rPr>
        <w:t xml:space="preserve">zones humides continentales </w:t>
      </w:r>
      <w:r>
        <w:rPr>
          <w:rFonts w:ascii="Century Gothic" w:eastAsia="Times New Roman" w:hAnsi="Century Gothic" w:cs="Times New Roman"/>
          <w:sz w:val="24"/>
          <w:szCs w:val="24"/>
          <w:lang w:val="wo-SN" w:eastAsia="wo-SN"/>
        </w:rPr>
        <w:t>en Mauritanie</w:t>
      </w:r>
      <w:r w:rsidRPr="00B73067">
        <w:rPr>
          <w:rFonts w:ascii="Century Gothic" w:eastAsia="Times New Roman" w:hAnsi="Century Gothic" w:cs="Times New Roman"/>
          <w:sz w:val="24"/>
          <w:szCs w:val="24"/>
          <w:lang w:val="wo-SN" w:eastAsia="wo-SN"/>
        </w:rPr>
        <w:t>.</w:t>
      </w:r>
    </w:p>
    <w:p w14:paraId="5806DE71" w14:textId="77777777" w:rsidR="005625B5" w:rsidRDefault="005625B5" w:rsidP="00B15E7F">
      <w:pPr>
        <w:numPr>
          <w:ilvl w:val="2"/>
          <w:numId w:val="2"/>
        </w:numPr>
        <w:tabs>
          <w:tab w:val="left" w:pos="284"/>
        </w:tabs>
        <w:spacing w:after="0" w:line="276" w:lineRule="auto"/>
        <w:ind w:left="284" w:hanging="284"/>
        <w:jc w:val="both"/>
        <w:rPr>
          <w:rFonts w:ascii="Century Gothic" w:eastAsia="Times New Roman" w:hAnsi="Century Gothic" w:cs="Times New Roman"/>
          <w:sz w:val="24"/>
          <w:szCs w:val="24"/>
          <w:lang w:val="wo-SN" w:eastAsia="wo-SN"/>
        </w:rPr>
      </w:pPr>
      <w:r w:rsidRPr="00085FF4">
        <w:rPr>
          <w:rFonts w:ascii="Century Gothic" w:eastAsia="Times New Roman" w:hAnsi="Century Gothic" w:cs="Times New Roman"/>
          <w:sz w:val="24"/>
          <w:szCs w:val="24"/>
          <w:lang w:val="wo-SN" w:eastAsia="wo-SN"/>
        </w:rPr>
        <w:t>Analyse de l'évaluation</w:t>
      </w:r>
      <w:r w:rsidRPr="000B6968">
        <w:rPr>
          <w:rFonts w:ascii="Century Gothic" w:eastAsia="Times New Roman" w:hAnsi="Century Gothic" w:cs="Times New Roman"/>
          <w:b/>
          <w:bCs/>
          <w:sz w:val="24"/>
          <w:szCs w:val="24"/>
          <w:lang w:val="wo-SN" w:eastAsia="wo-SN"/>
        </w:rPr>
        <w:t xml:space="preserve"> :</w:t>
      </w:r>
      <w:r w:rsidRPr="000B6968">
        <w:rPr>
          <w:rFonts w:ascii="Century Gothic" w:eastAsia="Times New Roman" w:hAnsi="Century Gothic" w:cs="Times New Roman"/>
          <w:sz w:val="24"/>
          <w:szCs w:val="24"/>
          <w:lang w:val="wo-SN" w:eastAsia="wo-SN"/>
        </w:rPr>
        <w:t xml:space="preserve"> Synthèse des résultats des évaluations passées pour identifier les tendances, les lacunes, et les opportunités d'amélioration.</w:t>
      </w:r>
    </w:p>
    <w:p w14:paraId="1A9087C5" w14:textId="77777777" w:rsidR="005625B5" w:rsidRDefault="005625B5" w:rsidP="00B15E7F">
      <w:pPr>
        <w:numPr>
          <w:ilvl w:val="2"/>
          <w:numId w:val="2"/>
        </w:numPr>
        <w:tabs>
          <w:tab w:val="left" w:pos="284"/>
        </w:tabs>
        <w:spacing w:after="0" w:line="276" w:lineRule="auto"/>
        <w:ind w:left="284" w:hanging="284"/>
        <w:jc w:val="both"/>
        <w:rPr>
          <w:rFonts w:ascii="Century Gothic" w:eastAsia="Times New Roman" w:hAnsi="Century Gothic" w:cs="Times New Roman"/>
          <w:sz w:val="24"/>
          <w:szCs w:val="24"/>
          <w:lang w:val="wo-SN" w:eastAsia="wo-SN"/>
        </w:rPr>
      </w:pPr>
      <w:r w:rsidRPr="00085FF4">
        <w:rPr>
          <w:rFonts w:ascii="Century Gothic" w:eastAsia="Times New Roman" w:hAnsi="Century Gothic" w:cs="Times New Roman"/>
          <w:sz w:val="24"/>
          <w:szCs w:val="24"/>
          <w:lang w:val="wo-SN" w:eastAsia="wo-SN"/>
        </w:rPr>
        <w:t>Evaluation des capacités et des contraintes</w:t>
      </w:r>
      <w:r w:rsidRPr="000B6968">
        <w:rPr>
          <w:rFonts w:ascii="Century Gothic" w:eastAsia="Times New Roman" w:hAnsi="Century Gothic" w:cs="Times New Roman"/>
          <w:b/>
          <w:bCs/>
          <w:sz w:val="24"/>
          <w:szCs w:val="24"/>
          <w:lang w:val="wo-SN" w:eastAsia="wo-SN"/>
        </w:rPr>
        <w:t xml:space="preserve"> :</w:t>
      </w:r>
      <w:r w:rsidRPr="000B6968">
        <w:rPr>
          <w:rFonts w:ascii="Century Gothic" w:eastAsia="Times New Roman" w:hAnsi="Century Gothic" w:cs="Times New Roman"/>
          <w:sz w:val="24"/>
          <w:szCs w:val="24"/>
          <w:lang w:val="wo-SN" w:eastAsia="wo-SN"/>
        </w:rPr>
        <w:t xml:space="preserve"> Identification des ressources disponibles (financières, humaines, techniques) et des contraintes (budget, données).</w:t>
      </w:r>
    </w:p>
    <w:p w14:paraId="35B54791" w14:textId="77777777" w:rsidR="005625B5" w:rsidRDefault="005625B5" w:rsidP="00B15E7F">
      <w:pPr>
        <w:numPr>
          <w:ilvl w:val="2"/>
          <w:numId w:val="2"/>
        </w:numPr>
        <w:tabs>
          <w:tab w:val="left" w:pos="284"/>
        </w:tabs>
        <w:spacing w:after="0" w:line="276" w:lineRule="auto"/>
        <w:ind w:left="284" w:hanging="284"/>
        <w:jc w:val="both"/>
        <w:rPr>
          <w:rFonts w:ascii="Century Gothic" w:eastAsia="Times New Roman" w:hAnsi="Century Gothic" w:cs="Times New Roman"/>
          <w:sz w:val="24"/>
          <w:szCs w:val="24"/>
          <w:lang w:val="wo-SN" w:eastAsia="wo-SN"/>
        </w:rPr>
      </w:pPr>
      <w:r w:rsidRPr="00085FF4">
        <w:rPr>
          <w:rFonts w:ascii="Century Gothic" w:eastAsia="Times New Roman" w:hAnsi="Century Gothic" w:cs="Times New Roman"/>
          <w:sz w:val="24"/>
          <w:szCs w:val="24"/>
          <w:lang w:val="wo-SN" w:eastAsia="wo-SN"/>
        </w:rPr>
        <w:t>Optimisation de la mise en œuvre</w:t>
      </w:r>
      <w:r w:rsidRPr="000B6968">
        <w:rPr>
          <w:rFonts w:ascii="Century Gothic" w:eastAsia="Times New Roman" w:hAnsi="Century Gothic" w:cs="Times New Roman"/>
          <w:b/>
          <w:bCs/>
          <w:sz w:val="24"/>
          <w:szCs w:val="24"/>
          <w:lang w:val="wo-SN" w:eastAsia="wo-SN"/>
        </w:rPr>
        <w:t xml:space="preserve"> :</w:t>
      </w:r>
      <w:r w:rsidRPr="000B6968">
        <w:rPr>
          <w:rFonts w:ascii="Century Gothic" w:eastAsia="Times New Roman" w:hAnsi="Century Gothic" w:cs="Times New Roman"/>
          <w:sz w:val="24"/>
          <w:szCs w:val="24"/>
          <w:lang w:val="wo-SN" w:eastAsia="wo-SN"/>
        </w:rPr>
        <w:t xml:space="preserve"> Développement de stratégies méthodologiques pour maximiser l'efficacité de l'évaluation </w:t>
      </w:r>
      <w:r>
        <w:rPr>
          <w:rFonts w:ascii="Century Gothic" w:eastAsia="Times New Roman" w:hAnsi="Century Gothic" w:cs="Times New Roman"/>
          <w:sz w:val="24"/>
          <w:szCs w:val="24"/>
          <w:lang w:val="wo-SN" w:eastAsia="wo-SN"/>
        </w:rPr>
        <w:t xml:space="preserve">de la Vulnérabilité </w:t>
      </w:r>
      <w:r w:rsidRPr="000B6968">
        <w:rPr>
          <w:rFonts w:ascii="Century Gothic" w:eastAsia="Times New Roman" w:hAnsi="Century Gothic" w:cs="Times New Roman"/>
          <w:sz w:val="24"/>
          <w:szCs w:val="24"/>
          <w:lang w:val="wo-SN" w:eastAsia="wo-SN"/>
        </w:rPr>
        <w:t>&amp;</w:t>
      </w:r>
      <w:r>
        <w:rPr>
          <w:rFonts w:ascii="Century Gothic" w:eastAsia="Times New Roman" w:hAnsi="Century Gothic" w:cs="Times New Roman"/>
          <w:sz w:val="24"/>
          <w:szCs w:val="24"/>
          <w:lang w:val="wo-SN" w:eastAsia="wo-SN"/>
        </w:rPr>
        <w:t xml:space="preserve"> </w:t>
      </w:r>
      <w:r w:rsidRPr="000B6968">
        <w:rPr>
          <w:rFonts w:ascii="Century Gothic" w:eastAsia="Times New Roman" w:hAnsi="Century Gothic" w:cs="Times New Roman"/>
          <w:sz w:val="24"/>
          <w:szCs w:val="24"/>
          <w:lang w:val="wo-SN" w:eastAsia="wo-SN"/>
        </w:rPr>
        <w:t>A</w:t>
      </w:r>
      <w:r>
        <w:rPr>
          <w:rFonts w:ascii="Century Gothic" w:eastAsia="Times New Roman" w:hAnsi="Century Gothic" w:cs="Times New Roman"/>
          <w:sz w:val="24"/>
          <w:szCs w:val="24"/>
          <w:lang w:val="wo-SN" w:eastAsia="wo-SN"/>
        </w:rPr>
        <w:t>daptation</w:t>
      </w:r>
      <w:r w:rsidRPr="000B6968">
        <w:rPr>
          <w:rFonts w:ascii="Century Gothic" w:eastAsia="Times New Roman" w:hAnsi="Century Gothic" w:cs="Times New Roman"/>
          <w:sz w:val="24"/>
          <w:szCs w:val="24"/>
          <w:lang w:val="wo-SN" w:eastAsia="wo-SN"/>
        </w:rPr>
        <w:t>.</w:t>
      </w:r>
    </w:p>
    <w:p w14:paraId="06874598" w14:textId="77777777" w:rsidR="005625B5" w:rsidRDefault="005625B5" w:rsidP="00B15E7F">
      <w:pPr>
        <w:numPr>
          <w:ilvl w:val="2"/>
          <w:numId w:val="2"/>
        </w:numPr>
        <w:tabs>
          <w:tab w:val="left" w:pos="284"/>
        </w:tabs>
        <w:spacing w:after="0" w:line="276" w:lineRule="auto"/>
        <w:ind w:left="284" w:hanging="284"/>
        <w:jc w:val="both"/>
        <w:rPr>
          <w:rFonts w:ascii="Century Gothic" w:eastAsia="Times New Roman" w:hAnsi="Century Gothic" w:cs="Times New Roman"/>
          <w:sz w:val="24"/>
          <w:szCs w:val="24"/>
          <w:lang w:val="wo-SN" w:eastAsia="wo-SN"/>
        </w:rPr>
      </w:pPr>
      <w:r w:rsidRPr="00085FF4">
        <w:rPr>
          <w:rFonts w:ascii="Century Gothic" w:eastAsia="Times New Roman" w:hAnsi="Century Gothic" w:cs="Times New Roman"/>
          <w:sz w:val="24"/>
          <w:szCs w:val="24"/>
          <w:lang w:val="wo-SN" w:eastAsia="wo-SN"/>
        </w:rPr>
        <w:t>Elaboration d'un plan de mise en œuvre</w:t>
      </w:r>
      <w:r w:rsidRPr="000B6968">
        <w:rPr>
          <w:rFonts w:ascii="Century Gothic" w:eastAsia="Times New Roman" w:hAnsi="Century Gothic" w:cs="Times New Roman"/>
          <w:b/>
          <w:bCs/>
          <w:sz w:val="24"/>
          <w:szCs w:val="24"/>
          <w:lang w:val="wo-SN" w:eastAsia="wo-SN"/>
        </w:rPr>
        <w:t xml:space="preserve"> :</w:t>
      </w:r>
      <w:r w:rsidRPr="000B6968">
        <w:rPr>
          <w:rFonts w:ascii="Century Gothic" w:eastAsia="Times New Roman" w:hAnsi="Century Gothic" w:cs="Times New Roman"/>
          <w:sz w:val="24"/>
          <w:szCs w:val="24"/>
          <w:lang w:val="wo-SN" w:eastAsia="wo-SN"/>
        </w:rPr>
        <w:t xml:space="preserve"> Développement d’un plan détaillé comprenant un calendrier, les étapes clés, les rôles et responsabilités, ainsi que les ressources nécessaires.</w:t>
      </w:r>
    </w:p>
    <w:p w14:paraId="0E858960" w14:textId="77777777" w:rsidR="005625B5" w:rsidRPr="00B35B59" w:rsidRDefault="005625B5" w:rsidP="005625B5">
      <w:pPr>
        <w:spacing w:after="0" w:line="276" w:lineRule="auto"/>
        <w:jc w:val="both"/>
        <w:rPr>
          <w:rFonts w:ascii="Century Gothic" w:eastAsia="Times New Roman" w:hAnsi="Century Gothic" w:cs="Times New Roman"/>
          <w:sz w:val="8"/>
          <w:szCs w:val="8"/>
          <w:lang w:val="wo-SN" w:eastAsia="wo-SN"/>
        </w:rPr>
      </w:pPr>
    </w:p>
    <w:p w14:paraId="09644FCB" w14:textId="69BAAAC3" w:rsidR="005625B5" w:rsidRPr="00085FF4" w:rsidRDefault="005625B5" w:rsidP="00B15E7F">
      <w:pPr>
        <w:tabs>
          <w:tab w:val="left" w:pos="426"/>
        </w:tabs>
        <w:spacing w:after="0" w:line="276" w:lineRule="auto"/>
        <w:jc w:val="both"/>
        <w:rPr>
          <w:rFonts w:ascii="Century Gothic" w:eastAsia="Times New Roman" w:hAnsi="Century Gothic" w:cs="Times New Roman"/>
          <w:sz w:val="24"/>
          <w:szCs w:val="24"/>
          <w:lang w:val="wo-SN" w:eastAsia="wo-SN"/>
        </w:rPr>
      </w:pPr>
      <w:r w:rsidRPr="00085FF4">
        <w:rPr>
          <w:rFonts w:ascii="Century Gothic" w:eastAsia="Times New Roman" w:hAnsi="Century Gothic" w:cs="Times New Roman"/>
          <w:b/>
          <w:bCs/>
          <w:sz w:val="24"/>
          <w:szCs w:val="24"/>
          <w:lang w:val="wo-SN" w:eastAsia="wo-SN"/>
        </w:rPr>
        <w:t>La section 3</w:t>
      </w:r>
      <w:r>
        <w:rPr>
          <w:rFonts w:ascii="Century Gothic" w:eastAsia="Times New Roman" w:hAnsi="Century Gothic" w:cs="Times New Roman"/>
          <w:sz w:val="24"/>
          <w:szCs w:val="24"/>
          <w:lang w:val="wo-SN" w:eastAsia="wo-SN"/>
        </w:rPr>
        <w:t xml:space="preserve"> : Cette section porte sur la s</w:t>
      </w:r>
      <w:r w:rsidRPr="00085FF4">
        <w:rPr>
          <w:rFonts w:ascii="Century Gothic" w:eastAsia="Times New Roman" w:hAnsi="Century Gothic" w:cs="Times New Roman"/>
          <w:sz w:val="24"/>
          <w:szCs w:val="24"/>
          <w:lang w:val="wo-SN" w:eastAsia="wo-SN"/>
        </w:rPr>
        <w:t xml:space="preserve">élection des </w:t>
      </w:r>
      <w:r>
        <w:rPr>
          <w:rFonts w:ascii="Century Gothic" w:eastAsia="Times New Roman" w:hAnsi="Century Gothic" w:cs="Times New Roman"/>
          <w:sz w:val="24"/>
          <w:szCs w:val="24"/>
          <w:lang w:val="wo-SN" w:eastAsia="wo-SN"/>
        </w:rPr>
        <w:t>c</w:t>
      </w:r>
      <w:r w:rsidRPr="00085FF4">
        <w:rPr>
          <w:rFonts w:ascii="Century Gothic" w:eastAsia="Times New Roman" w:hAnsi="Century Gothic" w:cs="Times New Roman"/>
          <w:sz w:val="24"/>
          <w:szCs w:val="24"/>
          <w:lang w:val="wo-SN" w:eastAsia="wo-SN"/>
        </w:rPr>
        <w:t>adres de Vulnérabilité et d'Adaptation</w:t>
      </w:r>
      <w:r>
        <w:rPr>
          <w:rFonts w:ascii="Century Gothic" w:eastAsia="Times New Roman" w:hAnsi="Century Gothic" w:cs="Times New Roman"/>
          <w:sz w:val="24"/>
          <w:szCs w:val="24"/>
          <w:lang w:val="wo-SN" w:eastAsia="wo-SN"/>
        </w:rPr>
        <w:t xml:space="preserve">.Il s’agit e </w:t>
      </w:r>
      <w:r w:rsidRPr="00085FF4">
        <w:rPr>
          <w:rFonts w:ascii="Century Gothic" w:eastAsia="Times New Roman" w:hAnsi="Century Gothic" w:cs="Times New Roman"/>
          <w:sz w:val="24"/>
          <w:szCs w:val="24"/>
          <w:lang w:val="wo-SN" w:eastAsia="wo-SN"/>
        </w:rPr>
        <w:t>:</w:t>
      </w:r>
    </w:p>
    <w:p w14:paraId="6855E494" w14:textId="77777777" w:rsidR="005625B5" w:rsidRPr="00B35B59" w:rsidRDefault="005625B5" w:rsidP="005625B5">
      <w:pPr>
        <w:spacing w:after="0" w:line="276" w:lineRule="auto"/>
        <w:jc w:val="both"/>
        <w:rPr>
          <w:rFonts w:ascii="Century Gothic" w:eastAsia="Times New Roman" w:hAnsi="Century Gothic" w:cs="Times New Roman"/>
          <w:b/>
          <w:bCs/>
          <w:sz w:val="8"/>
          <w:szCs w:val="8"/>
          <w:lang w:val="wo-SN" w:eastAsia="wo-SN"/>
        </w:rPr>
      </w:pPr>
    </w:p>
    <w:p w14:paraId="422EE6B2" w14:textId="77777777" w:rsidR="005625B5" w:rsidRDefault="005625B5" w:rsidP="005625B5">
      <w:pPr>
        <w:numPr>
          <w:ilvl w:val="0"/>
          <w:numId w:val="29"/>
        </w:numPr>
        <w:spacing w:after="0" w:line="276" w:lineRule="auto"/>
        <w:jc w:val="both"/>
        <w:rPr>
          <w:rFonts w:ascii="Century Gothic" w:eastAsia="Times New Roman" w:hAnsi="Century Gothic" w:cs="Times New Roman"/>
          <w:sz w:val="24"/>
          <w:szCs w:val="24"/>
          <w:lang w:val="wo-SN" w:eastAsia="wo-SN"/>
        </w:rPr>
      </w:pPr>
      <w:r w:rsidRPr="00085FF4">
        <w:rPr>
          <w:rFonts w:ascii="Century Gothic" w:eastAsia="Times New Roman" w:hAnsi="Century Gothic" w:cs="Times New Roman"/>
          <w:sz w:val="24"/>
          <w:szCs w:val="24"/>
          <w:lang w:val="wo-SN" w:eastAsia="wo-SN"/>
        </w:rPr>
        <w:t>Cadres d'Impact</w:t>
      </w:r>
      <w:r w:rsidRPr="00B73067">
        <w:rPr>
          <w:rFonts w:ascii="Century Gothic" w:eastAsia="Times New Roman" w:hAnsi="Century Gothic" w:cs="Times New Roman"/>
          <w:b/>
          <w:bCs/>
          <w:sz w:val="24"/>
          <w:szCs w:val="24"/>
          <w:lang w:val="wo-SN" w:eastAsia="wo-SN"/>
        </w:rPr>
        <w:t xml:space="preserve"> :</w:t>
      </w:r>
      <w:r w:rsidRPr="00B73067">
        <w:rPr>
          <w:rFonts w:ascii="Century Gothic" w:eastAsia="Times New Roman" w:hAnsi="Century Gothic" w:cs="Times New Roman"/>
          <w:sz w:val="24"/>
          <w:szCs w:val="24"/>
          <w:lang w:val="wo-SN" w:eastAsia="wo-SN"/>
        </w:rPr>
        <w:t xml:space="preserve"> </w:t>
      </w:r>
      <w:r>
        <w:rPr>
          <w:rFonts w:ascii="Century Gothic" w:eastAsia="Times New Roman" w:hAnsi="Century Gothic" w:cs="Times New Roman"/>
          <w:sz w:val="24"/>
          <w:szCs w:val="24"/>
          <w:lang w:val="wo-SN" w:eastAsia="wo-SN"/>
        </w:rPr>
        <w:t>E</w:t>
      </w:r>
      <w:r w:rsidRPr="00B73067">
        <w:rPr>
          <w:rFonts w:ascii="Century Gothic" w:eastAsia="Times New Roman" w:hAnsi="Century Gothic" w:cs="Times New Roman"/>
          <w:sz w:val="24"/>
          <w:szCs w:val="24"/>
          <w:lang w:val="wo-SN" w:eastAsia="wo-SN"/>
        </w:rPr>
        <w:t xml:space="preserve">valuation des impacts climatiques directs sur les </w:t>
      </w:r>
      <w:r>
        <w:rPr>
          <w:rFonts w:ascii="Century Gothic" w:eastAsia="Times New Roman" w:hAnsi="Century Gothic" w:cs="Times New Roman"/>
          <w:sz w:val="24"/>
          <w:szCs w:val="24"/>
          <w:lang w:val="wo-SN" w:eastAsia="wo-SN"/>
        </w:rPr>
        <w:t xml:space="preserve">écosystèmes arides et forestiers y compris les zones humides continentales </w:t>
      </w:r>
      <w:r w:rsidRPr="00B73067">
        <w:rPr>
          <w:rFonts w:ascii="Century Gothic" w:eastAsia="Times New Roman" w:hAnsi="Century Gothic" w:cs="Times New Roman"/>
          <w:sz w:val="24"/>
          <w:szCs w:val="24"/>
          <w:lang w:val="wo-SN" w:eastAsia="wo-SN"/>
        </w:rPr>
        <w:t>du pays.</w:t>
      </w:r>
    </w:p>
    <w:p w14:paraId="1C5507D8" w14:textId="77777777" w:rsidR="005625B5" w:rsidRDefault="005625B5" w:rsidP="005625B5">
      <w:pPr>
        <w:numPr>
          <w:ilvl w:val="0"/>
          <w:numId w:val="29"/>
        </w:numPr>
        <w:spacing w:after="0" w:line="276" w:lineRule="auto"/>
        <w:jc w:val="both"/>
        <w:rPr>
          <w:rFonts w:ascii="Century Gothic" w:eastAsia="Times New Roman" w:hAnsi="Century Gothic" w:cs="Times New Roman"/>
          <w:sz w:val="24"/>
          <w:szCs w:val="24"/>
          <w:lang w:val="wo-SN" w:eastAsia="wo-SN"/>
        </w:rPr>
      </w:pPr>
      <w:r w:rsidRPr="00085FF4">
        <w:rPr>
          <w:rFonts w:ascii="Century Gothic" w:eastAsia="Times New Roman" w:hAnsi="Century Gothic" w:cs="Times New Roman"/>
          <w:sz w:val="24"/>
          <w:szCs w:val="24"/>
          <w:lang w:val="wo-SN" w:eastAsia="wo-SN"/>
        </w:rPr>
        <w:t>Cadres d'Adaptation</w:t>
      </w:r>
      <w:r w:rsidRPr="008F6C74">
        <w:rPr>
          <w:rFonts w:ascii="Century Gothic" w:eastAsia="Times New Roman" w:hAnsi="Century Gothic" w:cs="Times New Roman"/>
          <w:b/>
          <w:bCs/>
          <w:sz w:val="24"/>
          <w:szCs w:val="24"/>
          <w:lang w:val="wo-SN" w:eastAsia="wo-SN"/>
        </w:rPr>
        <w:t xml:space="preserve"> :</w:t>
      </w:r>
      <w:r w:rsidRPr="008F6C74">
        <w:rPr>
          <w:rFonts w:ascii="Century Gothic" w:eastAsia="Times New Roman" w:hAnsi="Century Gothic" w:cs="Times New Roman"/>
          <w:sz w:val="24"/>
          <w:szCs w:val="24"/>
          <w:lang w:val="wo-SN" w:eastAsia="wo-SN"/>
        </w:rPr>
        <w:t xml:space="preserve"> Intégration des stratégies d'adaptation dans la gestion des </w:t>
      </w:r>
      <w:r>
        <w:rPr>
          <w:rFonts w:ascii="Century Gothic" w:eastAsia="Times New Roman" w:hAnsi="Century Gothic" w:cs="Times New Roman"/>
          <w:sz w:val="24"/>
          <w:szCs w:val="24"/>
          <w:lang w:val="wo-SN" w:eastAsia="wo-SN"/>
        </w:rPr>
        <w:t xml:space="preserve">écosystèmes arides et forestiers y compris les zones humides continentales </w:t>
      </w:r>
      <w:r w:rsidRPr="00B73067">
        <w:rPr>
          <w:rFonts w:ascii="Century Gothic" w:eastAsia="Times New Roman" w:hAnsi="Century Gothic" w:cs="Times New Roman"/>
          <w:sz w:val="24"/>
          <w:szCs w:val="24"/>
          <w:lang w:val="wo-SN" w:eastAsia="wo-SN"/>
        </w:rPr>
        <w:t>du pays</w:t>
      </w:r>
      <w:r w:rsidRPr="008F6C74">
        <w:rPr>
          <w:rFonts w:ascii="Century Gothic" w:eastAsia="Times New Roman" w:hAnsi="Century Gothic" w:cs="Times New Roman"/>
          <w:sz w:val="24"/>
          <w:szCs w:val="24"/>
          <w:lang w:val="wo-SN" w:eastAsia="wo-SN"/>
        </w:rPr>
        <w:t>.</w:t>
      </w:r>
    </w:p>
    <w:p w14:paraId="051AA065" w14:textId="77777777" w:rsidR="005625B5" w:rsidRDefault="005625B5" w:rsidP="005625B5">
      <w:pPr>
        <w:numPr>
          <w:ilvl w:val="0"/>
          <w:numId w:val="29"/>
        </w:numPr>
        <w:spacing w:after="0" w:line="276" w:lineRule="auto"/>
        <w:jc w:val="both"/>
        <w:rPr>
          <w:rFonts w:ascii="Century Gothic" w:eastAsia="Times New Roman" w:hAnsi="Century Gothic" w:cs="Times New Roman"/>
          <w:sz w:val="24"/>
          <w:szCs w:val="24"/>
          <w:lang w:val="wo-SN" w:eastAsia="wo-SN"/>
        </w:rPr>
      </w:pPr>
      <w:r w:rsidRPr="00085FF4">
        <w:rPr>
          <w:rFonts w:ascii="Century Gothic" w:eastAsia="Times New Roman" w:hAnsi="Century Gothic" w:cs="Times New Roman"/>
          <w:sz w:val="24"/>
          <w:szCs w:val="24"/>
          <w:lang w:val="wo-SN" w:eastAsia="wo-SN"/>
        </w:rPr>
        <w:t>Cadres Basés sur les Risques</w:t>
      </w:r>
      <w:r w:rsidRPr="008F6C74">
        <w:rPr>
          <w:rFonts w:ascii="Century Gothic" w:eastAsia="Times New Roman" w:hAnsi="Century Gothic" w:cs="Times New Roman"/>
          <w:b/>
          <w:bCs/>
          <w:sz w:val="24"/>
          <w:szCs w:val="24"/>
          <w:lang w:val="wo-SN" w:eastAsia="wo-SN"/>
        </w:rPr>
        <w:t xml:space="preserve"> :</w:t>
      </w:r>
      <w:r w:rsidRPr="008F6C74">
        <w:rPr>
          <w:rFonts w:ascii="Century Gothic" w:eastAsia="Times New Roman" w:hAnsi="Century Gothic" w:cs="Times New Roman"/>
          <w:sz w:val="24"/>
          <w:szCs w:val="24"/>
          <w:lang w:val="wo-SN" w:eastAsia="wo-SN"/>
        </w:rPr>
        <w:t xml:space="preserve"> Analyse des risques climatiques spécifiques </w:t>
      </w:r>
      <w:r>
        <w:rPr>
          <w:rFonts w:ascii="Century Gothic" w:eastAsia="Times New Roman" w:hAnsi="Century Gothic" w:cs="Times New Roman"/>
          <w:sz w:val="24"/>
          <w:szCs w:val="24"/>
          <w:lang w:val="wo-SN" w:eastAsia="wo-SN"/>
        </w:rPr>
        <w:t xml:space="preserve">associés aux écosystèmes arides et forestiers y compris les zones humides continentales </w:t>
      </w:r>
      <w:r w:rsidRPr="00B73067">
        <w:rPr>
          <w:rFonts w:ascii="Century Gothic" w:eastAsia="Times New Roman" w:hAnsi="Century Gothic" w:cs="Times New Roman"/>
          <w:sz w:val="24"/>
          <w:szCs w:val="24"/>
          <w:lang w:val="wo-SN" w:eastAsia="wo-SN"/>
        </w:rPr>
        <w:t>du pays</w:t>
      </w:r>
      <w:r w:rsidRPr="008F6C74">
        <w:rPr>
          <w:rFonts w:ascii="Century Gothic" w:eastAsia="Times New Roman" w:hAnsi="Century Gothic" w:cs="Times New Roman"/>
          <w:sz w:val="24"/>
          <w:szCs w:val="24"/>
          <w:lang w:val="wo-SN" w:eastAsia="wo-SN"/>
        </w:rPr>
        <w:t>.</w:t>
      </w:r>
    </w:p>
    <w:p w14:paraId="6987FBA2" w14:textId="77777777" w:rsidR="005625B5" w:rsidRDefault="005625B5" w:rsidP="005625B5">
      <w:pPr>
        <w:numPr>
          <w:ilvl w:val="0"/>
          <w:numId w:val="29"/>
        </w:numPr>
        <w:spacing w:after="0" w:line="276" w:lineRule="auto"/>
        <w:jc w:val="both"/>
        <w:rPr>
          <w:rFonts w:ascii="Century Gothic" w:eastAsia="Times New Roman" w:hAnsi="Century Gothic" w:cs="Times New Roman"/>
          <w:sz w:val="24"/>
          <w:szCs w:val="24"/>
          <w:lang w:val="wo-SN" w:eastAsia="wo-SN"/>
        </w:rPr>
      </w:pPr>
      <w:r w:rsidRPr="00085FF4">
        <w:rPr>
          <w:rFonts w:ascii="Century Gothic" w:eastAsia="Times New Roman" w:hAnsi="Century Gothic" w:cs="Times New Roman"/>
          <w:sz w:val="24"/>
          <w:szCs w:val="24"/>
          <w:lang w:val="wo-SN" w:eastAsia="wo-SN"/>
        </w:rPr>
        <w:t>Cadres Locaux et Communautaires</w:t>
      </w:r>
      <w:r w:rsidRPr="008F6C74">
        <w:rPr>
          <w:rFonts w:ascii="Century Gothic" w:eastAsia="Times New Roman" w:hAnsi="Century Gothic" w:cs="Times New Roman"/>
          <w:b/>
          <w:bCs/>
          <w:sz w:val="24"/>
          <w:szCs w:val="24"/>
          <w:lang w:val="wo-SN" w:eastAsia="wo-SN"/>
        </w:rPr>
        <w:t xml:space="preserve"> :</w:t>
      </w:r>
      <w:r w:rsidRPr="008F6C74">
        <w:rPr>
          <w:rFonts w:ascii="Century Gothic" w:eastAsia="Times New Roman" w:hAnsi="Century Gothic" w:cs="Times New Roman"/>
          <w:sz w:val="24"/>
          <w:szCs w:val="24"/>
          <w:lang w:val="wo-SN" w:eastAsia="wo-SN"/>
        </w:rPr>
        <w:t xml:space="preserve"> Participation des communautés locales à l’évaluation et à l’adaptation.</w:t>
      </w:r>
    </w:p>
    <w:p w14:paraId="057BC5A8" w14:textId="77777777" w:rsidR="005625B5" w:rsidRPr="008B7A0E" w:rsidRDefault="005625B5" w:rsidP="005625B5">
      <w:pPr>
        <w:pStyle w:val="Titre11"/>
        <w:tabs>
          <w:tab w:val="left" w:pos="821"/>
        </w:tabs>
        <w:spacing w:line="276" w:lineRule="auto"/>
        <w:ind w:left="0" w:firstLine="0"/>
        <w:jc w:val="both"/>
        <w:rPr>
          <w:rFonts w:ascii="Century Gothic" w:hAnsi="Century Gothic"/>
          <w:b w:val="0"/>
          <w:bCs w:val="0"/>
        </w:rPr>
      </w:pPr>
      <w:r>
        <w:rPr>
          <w:rFonts w:ascii="Century Gothic" w:hAnsi="Century Gothic"/>
          <w:b w:val="0"/>
          <w:bCs w:val="0"/>
        </w:rPr>
        <w:t>Dans ce qui suit, il sera procédé à la d</w:t>
      </w:r>
      <w:r w:rsidRPr="008B7A0E">
        <w:rPr>
          <w:rFonts w:ascii="Century Gothic" w:hAnsi="Century Gothic"/>
          <w:b w:val="0"/>
          <w:bCs w:val="0"/>
        </w:rPr>
        <w:t xml:space="preserve">éfinition des termes clés de l’évaluation de la vulnérabilité et adaptation au changement climatique </w:t>
      </w:r>
      <w:r>
        <w:rPr>
          <w:rFonts w:ascii="Century Gothic" w:hAnsi="Century Gothic"/>
          <w:b w:val="0"/>
          <w:bCs w:val="0"/>
        </w:rPr>
        <w:t xml:space="preserve">qui seront utilisés dans cette étude. </w:t>
      </w:r>
    </w:p>
    <w:p w14:paraId="431CFEBD" w14:textId="77777777" w:rsidR="005625B5" w:rsidRDefault="005625B5" w:rsidP="005625B5">
      <w:pPr>
        <w:numPr>
          <w:ilvl w:val="0"/>
          <w:numId w:val="31"/>
        </w:numPr>
        <w:spacing w:after="0" w:line="276" w:lineRule="auto"/>
        <w:jc w:val="both"/>
        <w:rPr>
          <w:rFonts w:ascii="Century Gothic" w:hAnsi="Century Gothic" w:cs="Times New Roman"/>
          <w:sz w:val="24"/>
          <w:szCs w:val="24"/>
        </w:rPr>
      </w:pPr>
      <w:r w:rsidRPr="006518A0">
        <w:rPr>
          <w:rFonts w:ascii="Century Gothic" w:hAnsi="Century Gothic" w:cs="Times New Roman"/>
          <w:b/>
          <w:bCs/>
          <w:sz w:val="24"/>
          <w:szCs w:val="24"/>
        </w:rPr>
        <w:t>Des adaptations réactives</w:t>
      </w:r>
      <w:r w:rsidRPr="006518A0">
        <w:rPr>
          <w:rFonts w:ascii="Century Gothic" w:hAnsi="Century Gothic" w:cs="Times New Roman"/>
          <w:sz w:val="24"/>
          <w:szCs w:val="24"/>
        </w:rPr>
        <w:t xml:space="preserve"> sont effectuées en réponse aux conditions climatiques changeantes ; </w:t>
      </w:r>
    </w:p>
    <w:p w14:paraId="4A6582FC" w14:textId="77777777" w:rsidR="005625B5" w:rsidRDefault="005625B5" w:rsidP="005625B5">
      <w:pPr>
        <w:numPr>
          <w:ilvl w:val="0"/>
          <w:numId w:val="31"/>
        </w:numPr>
        <w:spacing w:after="0" w:line="276" w:lineRule="auto"/>
        <w:jc w:val="both"/>
        <w:rPr>
          <w:rFonts w:ascii="Century Gothic" w:hAnsi="Century Gothic" w:cs="Times New Roman"/>
          <w:sz w:val="24"/>
          <w:szCs w:val="24"/>
        </w:rPr>
      </w:pPr>
      <w:r w:rsidRPr="00C303A9">
        <w:rPr>
          <w:rFonts w:ascii="Century Gothic" w:hAnsi="Century Gothic" w:cs="Times New Roman"/>
          <w:b/>
          <w:bCs/>
          <w:sz w:val="24"/>
          <w:szCs w:val="24"/>
        </w:rPr>
        <w:t>Les adaptations sans regret</w:t>
      </w:r>
      <w:r w:rsidRPr="00C303A9">
        <w:rPr>
          <w:rFonts w:ascii="Century Gothic" w:hAnsi="Century Gothic" w:cs="Times New Roman"/>
          <w:sz w:val="24"/>
          <w:szCs w:val="24"/>
        </w:rPr>
        <w:t xml:space="preserve"> sont des adaptations qui peuvent être justifiées sur la base des conditions observées, mais peut également être justifié en considérant le climat futur changement ; </w:t>
      </w:r>
    </w:p>
    <w:p w14:paraId="335ECDB9" w14:textId="77777777" w:rsidR="005625B5" w:rsidRDefault="005625B5" w:rsidP="005625B5">
      <w:pPr>
        <w:numPr>
          <w:ilvl w:val="0"/>
          <w:numId w:val="31"/>
        </w:numPr>
        <w:spacing w:after="0" w:line="276" w:lineRule="auto"/>
        <w:jc w:val="both"/>
        <w:rPr>
          <w:rFonts w:ascii="Century Gothic" w:hAnsi="Century Gothic" w:cs="Times New Roman"/>
          <w:sz w:val="24"/>
          <w:szCs w:val="24"/>
        </w:rPr>
      </w:pPr>
      <w:r w:rsidRPr="00C303A9">
        <w:rPr>
          <w:rFonts w:ascii="Century Gothic" w:hAnsi="Century Gothic" w:cs="Times New Roman"/>
          <w:b/>
          <w:bCs/>
          <w:sz w:val="24"/>
          <w:szCs w:val="24"/>
        </w:rPr>
        <w:t>Les adaptations incrémentielles</w:t>
      </w:r>
      <w:r w:rsidRPr="00C303A9">
        <w:rPr>
          <w:rFonts w:ascii="Century Gothic" w:hAnsi="Century Gothic" w:cs="Times New Roman"/>
          <w:sz w:val="24"/>
          <w:szCs w:val="24"/>
        </w:rPr>
        <w:t xml:space="preserve"> sont des ajustements apportés pour anticiper le changement climatique mais qui souvent ne changent pas les fonctions d'un système ; </w:t>
      </w:r>
    </w:p>
    <w:p w14:paraId="5706F352" w14:textId="77777777" w:rsidR="005625B5" w:rsidRDefault="005625B5" w:rsidP="005625B5">
      <w:pPr>
        <w:numPr>
          <w:ilvl w:val="0"/>
          <w:numId w:val="31"/>
        </w:numPr>
        <w:spacing w:after="0" w:line="276" w:lineRule="auto"/>
        <w:jc w:val="both"/>
        <w:rPr>
          <w:rFonts w:ascii="Century Gothic" w:hAnsi="Century Gothic" w:cs="Times New Roman"/>
          <w:sz w:val="24"/>
          <w:szCs w:val="24"/>
        </w:rPr>
      </w:pPr>
      <w:r w:rsidRPr="00C303A9">
        <w:rPr>
          <w:rFonts w:ascii="Century Gothic" w:hAnsi="Century Gothic" w:cs="Times New Roman"/>
          <w:b/>
          <w:bCs/>
          <w:sz w:val="24"/>
          <w:szCs w:val="24"/>
        </w:rPr>
        <w:t>Les adaptations transformationnelles</w:t>
      </w:r>
      <w:r w:rsidRPr="00C303A9">
        <w:rPr>
          <w:rFonts w:ascii="Century Gothic" w:hAnsi="Century Gothic" w:cs="Times New Roman"/>
          <w:sz w:val="24"/>
          <w:szCs w:val="24"/>
        </w:rPr>
        <w:t xml:space="preserve"> sont des changements dans la forme ou la fonction d'un système tel comme un changement de lieu, d'utilisation ou de moyens de subsistance ; </w:t>
      </w:r>
    </w:p>
    <w:p w14:paraId="40B164B6" w14:textId="77777777" w:rsidR="005625B5" w:rsidRDefault="005625B5" w:rsidP="005625B5">
      <w:pPr>
        <w:numPr>
          <w:ilvl w:val="0"/>
          <w:numId w:val="31"/>
        </w:numPr>
        <w:spacing w:after="0" w:line="276" w:lineRule="auto"/>
        <w:jc w:val="both"/>
        <w:rPr>
          <w:rFonts w:ascii="Century Gothic" w:hAnsi="Century Gothic" w:cs="Times New Roman"/>
          <w:sz w:val="24"/>
          <w:szCs w:val="24"/>
        </w:rPr>
      </w:pPr>
      <w:r w:rsidRPr="00C303A9">
        <w:rPr>
          <w:rFonts w:ascii="Century Gothic" w:hAnsi="Century Gothic" w:cs="Times New Roman"/>
          <w:b/>
          <w:bCs/>
          <w:sz w:val="24"/>
          <w:szCs w:val="24"/>
        </w:rPr>
        <w:t xml:space="preserve">Capacité d'adaptation : </w:t>
      </w:r>
      <w:r w:rsidRPr="00C303A9">
        <w:rPr>
          <w:rFonts w:ascii="Century Gothic" w:hAnsi="Century Gothic" w:cs="Times New Roman"/>
          <w:sz w:val="24"/>
          <w:szCs w:val="24"/>
        </w:rPr>
        <w:t>La capacité des systèmes, des institutions, des humains et autres organismes à s'adapter aux dommages potentiels, à profiter des opportunités ou à réagir aux conséquences</w:t>
      </w:r>
      <w:r>
        <w:rPr>
          <w:rFonts w:ascii="Century Gothic" w:hAnsi="Century Gothic" w:cs="Times New Roman"/>
          <w:sz w:val="24"/>
          <w:szCs w:val="24"/>
        </w:rPr>
        <w:t xml:space="preserve"> des changements climatiques</w:t>
      </w:r>
      <w:r w:rsidRPr="00C303A9">
        <w:rPr>
          <w:rFonts w:ascii="Century Gothic" w:hAnsi="Century Gothic" w:cs="Times New Roman"/>
          <w:sz w:val="24"/>
          <w:szCs w:val="24"/>
        </w:rPr>
        <w:t>.</w:t>
      </w:r>
    </w:p>
    <w:p w14:paraId="70715E60" w14:textId="77777777" w:rsidR="005625B5" w:rsidRDefault="005625B5" w:rsidP="005625B5">
      <w:pPr>
        <w:numPr>
          <w:ilvl w:val="0"/>
          <w:numId w:val="31"/>
        </w:numPr>
        <w:spacing w:after="0" w:line="276" w:lineRule="auto"/>
        <w:jc w:val="both"/>
        <w:rPr>
          <w:rFonts w:ascii="Century Gothic" w:hAnsi="Century Gothic" w:cs="Times New Roman"/>
          <w:sz w:val="24"/>
          <w:szCs w:val="24"/>
        </w:rPr>
      </w:pPr>
      <w:r w:rsidRPr="00C303A9">
        <w:rPr>
          <w:rFonts w:ascii="Century Gothic" w:hAnsi="Century Gothic" w:cs="Times New Roman"/>
          <w:b/>
          <w:bCs/>
          <w:sz w:val="24"/>
          <w:szCs w:val="24"/>
        </w:rPr>
        <w:t>Impacts d</w:t>
      </w:r>
      <w:r>
        <w:rPr>
          <w:rFonts w:ascii="Century Gothic" w:hAnsi="Century Gothic" w:cs="Times New Roman"/>
          <w:b/>
          <w:bCs/>
          <w:sz w:val="24"/>
          <w:szCs w:val="24"/>
        </w:rPr>
        <w:t>es</w:t>
      </w:r>
      <w:r w:rsidRPr="00C303A9">
        <w:rPr>
          <w:rFonts w:ascii="Century Gothic" w:hAnsi="Century Gothic" w:cs="Times New Roman"/>
          <w:b/>
          <w:bCs/>
          <w:sz w:val="24"/>
          <w:szCs w:val="24"/>
        </w:rPr>
        <w:t xml:space="preserve"> changement</w:t>
      </w:r>
      <w:r>
        <w:rPr>
          <w:rFonts w:ascii="Century Gothic" w:hAnsi="Century Gothic" w:cs="Times New Roman"/>
          <w:b/>
          <w:bCs/>
          <w:sz w:val="24"/>
          <w:szCs w:val="24"/>
        </w:rPr>
        <w:t>s</w:t>
      </w:r>
      <w:r w:rsidRPr="00C303A9">
        <w:rPr>
          <w:rFonts w:ascii="Century Gothic" w:hAnsi="Century Gothic" w:cs="Times New Roman"/>
          <w:b/>
          <w:bCs/>
          <w:sz w:val="24"/>
          <w:szCs w:val="24"/>
        </w:rPr>
        <w:t xml:space="preserve"> climatique</w:t>
      </w:r>
      <w:r>
        <w:rPr>
          <w:rFonts w:ascii="Century Gothic" w:hAnsi="Century Gothic" w:cs="Times New Roman"/>
          <w:b/>
          <w:bCs/>
          <w:sz w:val="24"/>
          <w:szCs w:val="24"/>
        </w:rPr>
        <w:t>s</w:t>
      </w:r>
      <w:r w:rsidRPr="00C303A9">
        <w:rPr>
          <w:rFonts w:ascii="Century Gothic" w:hAnsi="Century Gothic" w:cs="Times New Roman"/>
          <w:b/>
          <w:bCs/>
          <w:sz w:val="24"/>
          <w:szCs w:val="24"/>
        </w:rPr>
        <w:t xml:space="preserve"> : </w:t>
      </w:r>
      <w:r>
        <w:rPr>
          <w:rFonts w:ascii="Century Gothic" w:hAnsi="Century Gothic" w:cs="Times New Roman"/>
          <w:sz w:val="24"/>
          <w:szCs w:val="24"/>
        </w:rPr>
        <w:t>E</w:t>
      </w:r>
      <w:r w:rsidRPr="00C303A9">
        <w:rPr>
          <w:rFonts w:ascii="Century Gothic" w:hAnsi="Century Gothic" w:cs="Times New Roman"/>
          <w:sz w:val="24"/>
          <w:szCs w:val="24"/>
        </w:rPr>
        <w:t>ffets sur les systèmes naturels et humains</w:t>
      </w:r>
      <w:r>
        <w:rPr>
          <w:rFonts w:ascii="Century Gothic" w:hAnsi="Century Gothic" w:cs="Times New Roman"/>
          <w:sz w:val="24"/>
          <w:szCs w:val="24"/>
        </w:rPr>
        <w:t xml:space="preserve"> comme l</w:t>
      </w:r>
      <w:r w:rsidRPr="00C303A9">
        <w:rPr>
          <w:rFonts w:ascii="Century Gothic" w:hAnsi="Century Gothic" w:cs="Times New Roman"/>
          <w:sz w:val="24"/>
          <w:szCs w:val="24"/>
        </w:rPr>
        <w:t>es événements météorologiques et climatiques extrêmes. Les impacts font généralement référence aux effets sur les vies, les moyens de subsistance, santé, écosystèmes, économies, sociétés, cultures, services et infrastructures. Les impacts sont également appelés conséquences et résultats.</w:t>
      </w:r>
      <w:r w:rsidRPr="00C303A9">
        <w:rPr>
          <w:rFonts w:ascii="Century Gothic" w:hAnsi="Century Gothic" w:cs="Times New Roman"/>
          <w:b/>
          <w:bCs/>
          <w:sz w:val="24"/>
          <w:szCs w:val="24"/>
        </w:rPr>
        <w:t xml:space="preserve"> </w:t>
      </w:r>
    </w:p>
    <w:p w14:paraId="483E74EC" w14:textId="77777777" w:rsidR="005625B5" w:rsidRDefault="005625B5" w:rsidP="005625B5">
      <w:pPr>
        <w:numPr>
          <w:ilvl w:val="0"/>
          <w:numId w:val="31"/>
        </w:numPr>
        <w:spacing w:after="0" w:line="276" w:lineRule="auto"/>
        <w:jc w:val="both"/>
        <w:rPr>
          <w:rFonts w:ascii="Century Gothic" w:hAnsi="Century Gothic" w:cs="Times New Roman"/>
          <w:sz w:val="24"/>
          <w:szCs w:val="24"/>
        </w:rPr>
      </w:pPr>
      <w:r w:rsidRPr="00C303A9">
        <w:rPr>
          <w:rFonts w:ascii="Century Gothic" w:hAnsi="Century Gothic" w:cs="Times New Roman"/>
          <w:b/>
          <w:bCs/>
          <w:sz w:val="24"/>
          <w:szCs w:val="24"/>
        </w:rPr>
        <w:t xml:space="preserve">Impacts potentiels : </w:t>
      </w:r>
      <w:r>
        <w:rPr>
          <w:rFonts w:ascii="Century Gothic" w:hAnsi="Century Gothic" w:cs="Times New Roman"/>
          <w:sz w:val="24"/>
          <w:szCs w:val="24"/>
        </w:rPr>
        <w:t>T</w:t>
      </w:r>
      <w:r w:rsidRPr="00C303A9">
        <w:rPr>
          <w:rFonts w:ascii="Century Gothic" w:hAnsi="Century Gothic" w:cs="Times New Roman"/>
          <w:sz w:val="24"/>
          <w:szCs w:val="24"/>
        </w:rPr>
        <w:t xml:space="preserve">ous les impacts qui peuvent survenir compte tenu d'un changement climatique projeté, sans considérer l’adaptation ; </w:t>
      </w:r>
    </w:p>
    <w:p w14:paraId="1F1858E1" w14:textId="77777777" w:rsidR="005625B5" w:rsidRDefault="005625B5" w:rsidP="005625B5">
      <w:pPr>
        <w:numPr>
          <w:ilvl w:val="0"/>
          <w:numId w:val="31"/>
        </w:numPr>
        <w:spacing w:after="0" w:line="276" w:lineRule="auto"/>
        <w:jc w:val="both"/>
        <w:rPr>
          <w:rFonts w:ascii="Century Gothic" w:hAnsi="Century Gothic" w:cs="Times New Roman"/>
          <w:sz w:val="24"/>
          <w:szCs w:val="24"/>
        </w:rPr>
      </w:pPr>
      <w:r w:rsidRPr="00C303A9">
        <w:rPr>
          <w:rFonts w:ascii="Century Gothic" w:hAnsi="Century Gothic" w:cs="Times New Roman"/>
          <w:b/>
          <w:bCs/>
          <w:sz w:val="24"/>
          <w:szCs w:val="24"/>
        </w:rPr>
        <w:t xml:space="preserve">Impacts résiduels : </w:t>
      </w:r>
      <w:r w:rsidRPr="00C303A9">
        <w:rPr>
          <w:rFonts w:ascii="Century Gothic" w:hAnsi="Century Gothic" w:cs="Times New Roman"/>
          <w:sz w:val="24"/>
          <w:szCs w:val="24"/>
        </w:rPr>
        <w:t xml:space="preserve">Les impacts du changement climatique qui se produiraient après adaptation ; </w:t>
      </w:r>
    </w:p>
    <w:p w14:paraId="04166CBC" w14:textId="77777777" w:rsidR="005625B5" w:rsidRDefault="005625B5" w:rsidP="005625B5">
      <w:pPr>
        <w:numPr>
          <w:ilvl w:val="0"/>
          <w:numId w:val="31"/>
        </w:numPr>
        <w:spacing w:after="0" w:line="276" w:lineRule="auto"/>
        <w:jc w:val="both"/>
        <w:rPr>
          <w:rFonts w:ascii="Century Gothic" w:hAnsi="Century Gothic" w:cs="Times New Roman"/>
          <w:sz w:val="24"/>
          <w:szCs w:val="24"/>
        </w:rPr>
      </w:pPr>
      <w:r w:rsidRPr="00C303A9">
        <w:rPr>
          <w:rFonts w:ascii="Century Gothic" w:hAnsi="Century Gothic" w:cs="Times New Roman"/>
          <w:b/>
          <w:bCs/>
          <w:sz w:val="24"/>
          <w:szCs w:val="24"/>
        </w:rPr>
        <w:t>Sensibilité</w:t>
      </w:r>
      <w:r w:rsidRPr="00C303A9">
        <w:rPr>
          <w:rFonts w:ascii="Century Gothic" w:hAnsi="Century Gothic" w:cs="Times New Roman"/>
          <w:sz w:val="24"/>
          <w:szCs w:val="24"/>
        </w:rPr>
        <w:t xml:space="preserve"> : </w:t>
      </w:r>
      <w:r>
        <w:rPr>
          <w:rFonts w:ascii="Century Gothic" w:hAnsi="Century Gothic" w:cs="Times New Roman"/>
          <w:sz w:val="24"/>
          <w:szCs w:val="24"/>
        </w:rPr>
        <w:t>D</w:t>
      </w:r>
      <w:r w:rsidRPr="00C303A9">
        <w:rPr>
          <w:rFonts w:ascii="Century Gothic" w:hAnsi="Century Gothic" w:cs="Times New Roman"/>
          <w:sz w:val="24"/>
          <w:szCs w:val="24"/>
        </w:rPr>
        <w:t>egré auquel un système est affecté, soit négativement, soit bénéfiquement, par la variabilité climatique ou le changement climatique. L'effet peut être direct (par ex. un changement dans le rendement des cultures en réponse à un changement dans la moyenne) ou indirects (par exemple dommages causés par une augmentation de la fréquence des inondations côtières dues à l'élévation du niveau de la mer)</w:t>
      </w:r>
      <w:r>
        <w:rPr>
          <w:rFonts w:ascii="Century Gothic" w:hAnsi="Century Gothic" w:cs="Times New Roman"/>
          <w:sz w:val="24"/>
          <w:szCs w:val="24"/>
        </w:rPr>
        <w:t>.</w:t>
      </w:r>
    </w:p>
    <w:p w14:paraId="6B56163A" w14:textId="77777777" w:rsidR="005625B5" w:rsidRPr="006904C2" w:rsidRDefault="005625B5" w:rsidP="005625B5">
      <w:pPr>
        <w:numPr>
          <w:ilvl w:val="0"/>
          <w:numId w:val="31"/>
        </w:numPr>
        <w:spacing w:after="0" w:line="276" w:lineRule="auto"/>
        <w:jc w:val="both"/>
        <w:rPr>
          <w:rFonts w:ascii="Century Gothic" w:hAnsi="Century Gothic" w:cs="Times New Roman"/>
          <w:sz w:val="24"/>
          <w:szCs w:val="24"/>
        </w:rPr>
      </w:pPr>
      <w:r w:rsidRPr="006904C2">
        <w:rPr>
          <w:rFonts w:ascii="Century Gothic" w:hAnsi="Century Gothic" w:cs="Times New Roman"/>
          <w:b/>
          <w:bCs/>
          <w:sz w:val="24"/>
          <w:szCs w:val="24"/>
        </w:rPr>
        <w:t>Vulnérabilité</w:t>
      </w:r>
      <w:r w:rsidRPr="006904C2">
        <w:rPr>
          <w:rFonts w:ascii="Century Gothic" w:hAnsi="Century Gothic" w:cs="Times New Roman"/>
          <w:sz w:val="24"/>
          <w:szCs w:val="24"/>
        </w:rPr>
        <w:t> : </w:t>
      </w:r>
      <w:r>
        <w:rPr>
          <w:rFonts w:ascii="Century Gothic" w:hAnsi="Century Gothic" w:cs="Times New Roman"/>
          <w:sz w:val="24"/>
          <w:szCs w:val="24"/>
        </w:rPr>
        <w:t>P</w:t>
      </w:r>
      <w:r w:rsidRPr="006904C2">
        <w:rPr>
          <w:rFonts w:ascii="Century Gothic" w:hAnsi="Century Gothic" w:cs="Times New Roman"/>
          <w:sz w:val="24"/>
          <w:szCs w:val="24"/>
        </w:rPr>
        <w:t>ropension ou prédisposition à être affecté négativement par la variabilité ou le changement climatique. La vulnérabilité englobe une variété de concepts et éléments tels que la sensibilité ou la susceptibilité aux dommages, l’exposition à la variabilité ou au changement climatique et le manque de capacité à faire face et à s’adapter.</w:t>
      </w:r>
    </w:p>
    <w:p w14:paraId="609F962C" w14:textId="77777777" w:rsidR="005625B5" w:rsidRDefault="005625B5" w:rsidP="005625B5">
      <w:pPr>
        <w:pStyle w:val="Titre1"/>
        <w:spacing w:before="0" w:line="276" w:lineRule="auto"/>
        <w:jc w:val="both"/>
        <w:rPr>
          <w:rFonts w:ascii="Century Gothic" w:hAnsi="Century Gothic"/>
          <w:sz w:val="24"/>
          <w:szCs w:val="24"/>
        </w:rPr>
      </w:pPr>
      <w:bookmarkStart w:id="3" w:name="_Toc177215674"/>
    </w:p>
    <w:p w14:paraId="6550ED6C" w14:textId="77777777" w:rsidR="005625B5" w:rsidRPr="00505279" w:rsidRDefault="005625B5" w:rsidP="00B15E7F">
      <w:pPr>
        <w:pStyle w:val="Titre1"/>
        <w:spacing w:before="0" w:line="276" w:lineRule="auto"/>
        <w:ind w:left="284"/>
        <w:jc w:val="both"/>
        <w:rPr>
          <w:rFonts w:ascii="Century Gothic" w:hAnsi="Century Gothic"/>
          <w:b/>
          <w:bCs/>
          <w:sz w:val="24"/>
          <w:szCs w:val="24"/>
        </w:rPr>
      </w:pPr>
      <w:r w:rsidRPr="00B15E7F">
        <w:rPr>
          <w:rFonts w:ascii="Century Gothic" w:hAnsi="Century Gothic"/>
          <w:b/>
          <w:bCs/>
          <w:sz w:val="24"/>
          <w:szCs w:val="24"/>
        </w:rPr>
        <w:t>Clarification de certains concepts en lien avec les changements climatiques</w:t>
      </w:r>
      <w:bookmarkEnd w:id="3"/>
      <w:r w:rsidRPr="00B15E7F">
        <w:rPr>
          <w:rFonts w:ascii="Century Gothic" w:hAnsi="Century Gothic"/>
          <w:b/>
          <w:bCs/>
          <w:sz w:val="24"/>
          <w:szCs w:val="24"/>
        </w:rPr>
        <w:t> :</w:t>
      </w:r>
    </w:p>
    <w:p w14:paraId="6CB14776" w14:textId="77777777" w:rsidR="005625B5" w:rsidRPr="00D82D66" w:rsidRDefault="005625B5" w:rsidP="005625B5">
      <w:pPr>
        <w:spacing w:after="0"/>
      </w:pPr>
    </w:p>
    <w:p w14:paraId="680F640A" w14:textId="77777777" w:rsidR="005625B5" w:rsidRDefault="005625B5" w:rsidP="005625B5">
      <w:pPr>
        <w:pStyle w:val="Paragraphedeliste"/>
        <w:numPr>
          <w:ilvl w:val="0"/>
          <w:numId w:val="30"/>
        </w:numPr>
        <w:spacing w:after="0" w:line="276" w:lineRule="auto"/>
        <w:jc w:val="both"/>
        <w:rPr>
          <w:rFonts w:ascii="Century Gothic" w:hAnsi="Century Gothic" w:cs="Times New Roman"/>
          <w:b/>
          <w:sz w:val="24"/>
          <w:szCs w:val="24"/>
        </w:rPr>
      </w:pPr>
      <w:r w:rsidRPr="006518A0">
        <w:rPr>
          <w:rFonts w:ascii="Century Gothic" w:hAnsi="Century Gothic" w:cs="Times New Roman"/>
          <w:b/>
          <w:bCs/>
          <w:sz w:val="24"/>
          <w:szCs w:val="24"/>
        </w:rPr>
        <w:t>Les pertes et préjudices</w:t>
      </w:r>
      <w:r w:rsidRPr="006518A0">
        <w:rPr>
          <w:rFonts w:ascii="Century Gothic" w:hAnsi="Century Gothic" w:cs="Times New Roman"/>
          <w:sz w:val="24"/>
          <w:szCs w:val="24"/>
        </w:rPr>
        <w:t xml:space="preserve"> représentent la manifestation réelle et/ou potentielle des impacts climatiques qui influent négativement sur les systèmes humains et naturels.</w:t>
      </w:r>
    </w:p>
    <w:p w14:paraId="317DBC4F" w14:textId="77777777" w:rsidR="005625B5" w:rsidRDefault="005625B5" w:rsidP="005625B5">
      <w:pPr>
        <w:pStyle w:val="Paragraphedeliste"/>
        <w:numPr>
          <w:ilvl w:val="0"/>
          <w:numId w:val="30"/>
        </w:numPr>
        <w:spacing w:after="0" w:line="276" w:lineRule="auto"/>
        <w:jc w:val="both"/>
        <w:rPr>
          <w:rFonts w:ascii="Century Gothic" w:hAnsi="Century Gothic" w:cs="Times New Roman"/>
          <w:b/>
          <w:sz w:val="24"/>
          <w:szCs w:val="24"/>
        </w:rPr>
      </w:pPr>
      <w:r w:rsidRPr="00C303A9">
        <w:rPr>
          <w:rFonts w:ascii="Century Gothic" w:hAnsi="Century Gothic" w:cs="Times New Roman"/>
          <w:b/>
          <w:bCs/>
          <w:sz w:val="24"/>
          <w:szCs w:val="24"/>
        </w:rPr>
        <w:t>Les « préjudices »</w:t>
      </w:r>
      <w:r w:rsidRPr="00C303A9">
        <w:rPr>
          <w:rFonts w:ascii="Century Gothic" w:hAnsi="Century Gothic" w:cs="Times New Roman"/>
          <w:sz w:val="24"/>
          <w:szCs w:val="24"/>
        </w:rPr>
        <w:t xml:space="preserve"> peuvent être considérés comme des impacts négatifs qui peuvent être réparés ou restaurés (tels que les dommages au toit d'un bâtiment dus à une tempête ou les dommages dus à un ouragan subis par une mangrove côtière et affectant des villages). </w:t>
      </w:r>
    </w:p>
    <w:p w14:paraId="3FADF306" w14:textId="77777777" w:rsidR="005625B5" w:rsidRPr="00C303A9" w:rsidRDefault="005625B5" w:rsidP="005625B5">
      <w:pPr>
        <w:pStyle w:val="Paragraphedeliste"/>
        <w:numPr>
          <w:ilvl w:val="0"/>
          <w:numId w:val="30"/>
        </w:numPr>
        <w:spacing w:after="0" w:line="276" w:lineRule="auto"/>
        <w:jc w:val="both"/>
        <w:rPr>
          <w:rFonts w:ascii="Century Gothic" w:hAnsi="Century Gothic" w:cs="Times New Roman"/>
          <w:b/>
          <w:sz w:val="24"/>
          <w:szCs w:val="24"/>
        </w:rPr>
      </w:pPr>
      <w:r w:rsidRPr="001C3DC7">
        <w:rPr>
          <w:rFonts w:ascii="Century Gothic" w:hAnsi="Century Gothic" w:cs="Times New Roman"/>
          <w:b/>
          <w:bCs/>
          <w:sz w:val="24"/>
          <w:szCs w:val="24"/>
        </w:rPr>
        <w:t>Les « pertes »</w:t>
      </w:r>
      <w:r w:rsidRPr="00C303A9">
        <w:rPr>
          <w:rFonts w:ascii="Century Gothic" w:hAnsi="Century Gothic" w:cs="Times New Roman"/>
          <w:sz w:val="24"/>
          <w:szCs w:val="24"/>
        </w:rPr>
        <w:t xml:space="preserve"> peuvent être caractérisées comme des impacts négatifs qui ne peuvent pas être réparés ou restaurés (comme la perte de sources d'eau douce géologique liée à la fonte des glaciers ou à la désertification, ou la perte d’éléments culturels ou du patrimoine associée au déplacement d’une population en dehors de zones devenues inhospitalières au fil du temps avec les changements climatiques).</w:t>
      </w:r>
    </w:p>
    <w:p w14:paraId="30E92F1D" w14:textId="77777777" w:rsidR="005625B5" w:rsidRDefault="005625B5" w:rsidP="005625B5">
      <w:pPr>
        <w:spacing w:after="0" w:line="276" w:lineRule="auto"/>
        <w:jc w:val="both"/>
        <w:rPr>
          <w:rFonts w:ascii="Century Gothic" w:eastAsia="Times New Roman" w:hAnsi="Century Gothic" w:cs="Times New Roman"/>
          <w:b/>
          <w:bCs/>
          <w:sz w:val="24"/>
          <w:szCs w:val="24"/>
          <w:lang w:val="wo-SN" w:eastAsia="wo-SN"/>
        </w:rPr>
      </w:pPr>
      <w:r>
        <w:rPr>
          <w:rFonts w:ascii="Century Gothic" w:eastAsia="Times New Roman" w:hAnsi="Century Gothic" w:cs="Times New Roman"/>
          <w:b/>
          <w:bCs/>
          <w:sz w:val="24"/>
          <w:szCs w:val="24"/>
          <w:lang w:val="wo-SN" w:eastAsia="wo-SN"/>
        </w:rPr>
        <w:t xml:space="preserve">I.4. Concepts de la Vulnérabilité et de l’Adaptation </w:t>
      </w:r>
    </w:p>
    <w:p w14:paraId="1A702981" w14:textId="77777777" w:rsidR="005625B5" w:rsidRPr="00A35386" w:rsidRDefault="005625B5" w:rsidP="005625B5">
      <w:pPr>
        <w:spacing w:after="0" w:line="276" w:lineRule="auto"/>
        <w:jc w:val="both"/>
        <w:rPr>
          <w:rFonts w:ascii="Century Gothic" w:hAnsi="Century Gothic" w:cs="Times New Roman"/>
          <w:sz w:val="24"/>
          <w:szCs w:val="24"/>
          <w:lang w:val="fr-BE"/>
        </w:rPr>
      </w:pPr>
      <w:r w:rsidRPr="00A35386">
        <w:rPr>
          <w:rFonts w:ascii="Century Gothic" w:hAnsi="Century Gothic" w:cs="Times New Roman"/>
          <w:sz w:val="24"/>
          <w:szCs w:val="24"/>
          <w:lang w:val="fr-BE"/>
        </w:rPr>
        <w:t xml:space="preserve">La présente étude porte principalement sur la partie continentale du pays qui peut être subdivisée en deux parties plus ou moins homogènes : la zone saharienne, au nord </w:t>
      </w:r>
      <w:r>
        <w:rPr>
          <w:rFonts w:ascii="Century Gothic" w:hAnsi="Century Gothic" w:cs="Times New Roman"/>
          <w:sz w:val="24"/>
          <w:szCs w:val="24"/>
          <w:lang w:val="fr-BE"/>
        </w:rPr>
        <w:t>d</w:t>
      </w:r>
      <w:r w:rsidRPr="00A35386">
        <w:rPr>
          <w:rFonts w:ascii="Century Gothic" w:hAnsi="Century Gothic" w:cs="Times New Roman"/>
          <w:sz w:val="24"/>
          <w:szCs w:val="24"/>
          <w:lang w:val="fr-BE"/>
        </w:rPr>
        <w:t xml:space="preserve">u pays et la zone sahélienne au sud du pays.  </w:t>
      </w:r>
    </w:p>
    <w:p w14:paraId="5BF4E7A5" w14:textId="77777777" w:rsidR="005625B5" w:rsidRPr="00B15E7F" w:rsidRDefault="005625B5" w:rsidP="005625B5">
      <w:pPr>
        <w:spacing w:after="0" w:line="276" w:lineRule="auto"/>
        <w:jc w:val="both"/>
        <w:rPr>
          <w:rFonts w:ascii="Century Gothic" w:hAnsi="Century Gothic" w:cs="Times New Roman"/>
          <w:sz w:val="12"/>
          <w:szCs w:val="12"/>
          <w:lang w:val="fr-BE"/>
        </w:rPr>
      </w:pPr>
    </w:p>
    <w:p w14:paraId="5D677E1B" w14:textId="77777777" w:rsidR="005625B5" w:rsidRDefault="005625B5" w:rsidP="005625B5">
      <w:pPr>
        <w:spacing w:after="0" w:line="276" w:lineRule="auto"/>
        <w:jc w:val="both"/>
        <w:rPr>
          <w:rFonts w:ascii="Century Gothic" w:hAnsi="Century Gothic" w:cs="Times New Roman"/>
          <w:sz w:val="24"/>
          <w:szCs w:val="24"/>
        </w:rPr>
      </w:pPr>
      <w:r w:rsidRPr="006518A0">
        <w:rPr>
          <w:rFonts w:ascii="Century Gothic" w:hAnsi="Century Gothic" w:cs="Times New Roman"/>
          <w:sz w:val="24"/>
          <w:szCs w:val="24"/>
        </w:rPr>
        <w:t xml:space="preserve">Avant de débuter l’évaluation, il est important de comprendre le concept de vulnérabilité </w:t>
      </w:r>
      <w:r>
        <w:rPr>
          <w:rFonts w:ascii="Century Gothic" w:hAnsi="Century Gothic" w:cs="Times New Roman"/>
          <w:sz w:val="24"/>
          <w:szCs w:val="24"/>
        </w:rPr>
        <w:t xml:space="preserve">et d’adaptation </w:t>
      </w:r>
      <w:r w:rsidRPr="006518A0">
        <w:rPr>
          <w:rFonts w:ascii="Century Gothic" w:hAnsi="Century Gothic" w:cs="Times New Roman"/>
          <w:sz w:val="24"/>
          <w:szCs w:val="24"/>
        </w:rPr>
        <w:t xml:space="preserve">aux changements climatiques et d’être cohérent dans l’utilisation de </w:t>
      </w:r>
      <w:r>
        <w:rPr>
          <w:rFonts w:ascii="Century Gothic" w:hAnsi="Century Gothic" w:cs="Times New Roman"/>
          <w:sz w:val="24"/>
          <w:szCs w:val="24"/>
        </w:rPr>
        <w:t xml:space="preserve">ces </w:t>
      </w:r>
      <w:r w:rsidRPr="006518A0">
        <w:rPr>
          <w:rFonts w:ascii="Century Gothic" w:hAnsi="Century Gothic" w:cs="Times New Roman"/>
          <w:sz w:val="24"/>
          <w:szCs w:val="24"/>
        </w:rPr>
        <w:t xml:space="preserve">termes spécifiques. La terminologie utilisée </w:t>
      </w:r>
      <w:r>
        <w:rPr>
          <w:rFonts w:ascii="Century Gothic" w:hAnsi="Century Gothic" w:cs="Times New Roman"/>
          <w:sz w:val="24"/>
          <w:szCs w:val="24"/>
        </w:rPr>
        <w:t xml:space="preserve">se réfère au </w:t>
      </w:r>
      <w:r w:rsidRPr="006518A0">
        <w:rPr>
          <w:rFonts w:ascii="Century Gothic" w:hAnsi="Century Gothic" w:cs="Times New Roman"/>
          <w:sz w:val="24"/>
          <w:szCs w:val="24"/>
        </w:rPr>
        <w:t>glossaire des termes utilisés dans le GIEC.</w:t>
      </w:r>
      <w:r>
        <w:rPr>
          <w:rFonts w:ascii="Century Gothic" w:hAnsi="Century Gothic" w:cs="Times New Roman"/>
          <w:sz w:val="24"/>
          <w:szCs w:val="24"/>
        </w:rPr>
        <w:t xml:space="preserve"> </w:t>
      </w:r>
      <w:r w:rsidRPr="006518A0">
        <w:rPr>
          <w:rFonts w:ascii="Century Gothic" w:hAnsi="Century Gothic" w:cs="Times New Roman"/>
          <w:sz w:val="24"/>
          <w:szCs w:val="24"/>
        </w:rPr>
        <w:t>AR5, disponible en ligne (GIEC, 2014).</w:t>
      </w:r>
    </w:p>
    <w:p w14:paraId="665DB17D" w14:textId="77777777" w:rsidR="005625B5" w:rsidRPr="00B15E7F" w:rsidRDefault="005625B5" w:rsidP="005625B5">
      <w:pPr>
        <w:spacing w:after="0" w:line="276" w:lineRule="auto"/>
        <w:jc w:val="both"/>
        <w:rPr>
          <w:rFonts w:ascii="Century Gothic" w:hAnsi="Century Gothic" w:cs="Times New Roman"/>
          <w:sz w:val="14"/>
          <w:szCs w:val="14"/>
        </w:rPr>
      </w:pPr>
    </w:p>
    <w:p w14:paraId="336F06E4" w14:textId="77777777" w:rsidR="005625B5" w:rsidRDefault="005625B5" w:rsidP="005625B5">
      <w:pPr>
        <w:pStyle w:val="Paragraphedeliste"/>
        <w:spacing w:after="0" w:line="276" w:lineRule="auto"/>
        <w:ind w:left="0"/>
        <w:jc w:val="both"/>
        <w:rPr>
          <w:rFonts w:ascii="Century Gothic" w:hAnsi="Century Gothic" w:cs="Times New Roman"/>
          <w:b/>
          <w:sz w:val="24"/>
          <w:szCs w:val="24"/>
        </w:rPr>
      </w:pPr>
      <w:r w:rsidRPr="006518A0">
        <w:rPr>
          <w:rFonts w:ascii="Century Gothic" w:hAnsi="Century Gothic" w:cs="Times New Roman"/>
          <w:b/>
          <w:sz w:val="24"/>
          <w:szCs w:val="24"/>
        </w:rPr>
        <w:t xml:space="preserve">La </w:t>
      </w:r>
      <w:r>
        <w:rPr>
          <w:rFonts w:ascii="Century Gothic" w:hAnsi="Century Gothic" w:cs="Times New Roman"/>
          <w:b/>
          <w:sz w:val="24"/>
          <w:szCs w:val="24"/>
        </w:rPr>
        <w:t>V</w:t>
      </w:r>
      <w:r w:rsidRPr="006518A0">
        <w:rPr>
          <w:rFonts w:ascii="Century Gothic" w:hAnsi="Century Gothic" w:cs="Times New Roman"/>
          <w:b/>
          <w:sz w:val="24"/>
          <w:szCs w:val="24"/>
        </w:rPr>
        <w:t>ulnérabilité :</w:t>
      </w:r>
      <w:r>
        <w:rPr>
          <w:rFonts w:ascii="Century Gothic" w:hAnsi="Century Gothic" w:cs="Times New Roman"/>
          <w:b/>
          <w:sz w:val="24"/>
          <w:szCs w:val="24"/>
        </w:rPr>
        <w:t xml:space="preserve"> </w:t>
      </w:r>
      <w:r w:rsidRPr="006518A0">
        <w:rPr>
          <w:rFonts w:ascii="Century Gothic" w:hAnsi="Century Gothic" w:cs="Times New Roman"/>
          <w:bCs/>
          <w:sz w:val="24"/>
          <w:szCs w:val="24"/>
        </w:rPr>
        <w:t xml:space="preserve">« </w:t>
      </w:r>
      <w:r w:rsidRPr="00C303A9">
        <w:rPr>
          <w:rFonts w:ascii="Century Gothic" w:hAnsi="Century Gothic" w:cs="Times New Roman"/>
          <w:bCs/>
          <w:sz w:val="24"/>
          <w:szCs w:val="24"/>
        </w:rPr>
        <w:t>Mesure dans laquelle un système est sensible</w:t>
      </w:r>
      <w:r w:rsidRPr="006518A0">
        <w:rPr>
          <w:rFonts w:ascii="Century Gothic" w:hAnsi="Century Gothic" w:cs="Times New Roman"/>
          <w:bCs/>
          <w:sz w:val="24"/>
          <w:szCs w:val="24"/>
        </w:rPr>
        <w:t xml:space="preserve"> – ou incapable de faire face – aux effets défavorables des changements climatiques, y compris la variabilité du climat et les phénomènes extrêmes. La vulnérabilité est fonction de la nature, de l’ampleur et du rythme de l’évolution et de la variation du climat à laquelle le système considéré est exposé, de la sensibilité de ce système et de sa capacité d’adaptation » (Définition du GIEC, 2008).</w:t>
      </w:r>
      <w:r w:rsidRPr="006518A0">
        <w:rPr>
          <w:rFonts w:ascii="Century Gothic" w:hAnsi="Century Gothic" w:cs="Times New Roman"/>
          <w:b/>
          <w:sz w:val="24"/>
          <w:szCs w:val="24"/>
        </w:rPr>
        <w:t xml:space="preserve"> </w:t>
      </w:r>
    </w:p>
    <w:p w14:paraId="456823AE" w14:textId="77777777" w:rsidR="005625B5" w:rsidRPr="00B15E7F" w:rsidRDefault="005625B5" w:rsidP="005625B5">
      <w:pPr>
        <w:pStyle w:val="Paragraphedeliste"/>
        <w:spacing w:after="0" w:line="276" w:lineRule="auto"/>
        <w:ind w:left="0"/>
        <w:jc w:val="both"/>
        <w:rPr>
          <w:rFonts w:ascii="Century Gothic" w:hAnsi="Century Gothic" w:cs="Times New Roman"/>
          <w:b/>
          <w:sz w:val="8"/>
          <w:szCs w:val="8"/>
        </w:rPr>
      </w:pPr>
    </w:p>
    <w:p w14:paraId="472DB5A8" w14:textId="77777777" w:rsidR="005625B5" w:rsidRDefault="005625B5" w:rsidP="005625B5">
      <w:pPr>
        <w:spacing w:after="0" w:line="276" w:lineRule="auto"/>
        <w:jc w:val="both"/>
        <w:rPr>
          <w:rFonts w:ascii="Century Gothic" w:hAnsi="Century Gothic" w:cs="Times New Roman"/>
          <w:bCs/>
          <w:sz w:val="24"/>
          <w:szCs w:val="24"/>
        </w:rPr>
      </w:pPr>
      <w:r w:rsidRPr="00BE297E">
        <w:rPr>
          <w:rFonts w:ascii="Century Gothic" w:hAnsi="Century Gothic" w:cs="Times New Roman"/>
          <w:bCs/>
          <w:sz w:val="24"/>
          <w:szCs w:val="24"/>
        </w:rPr>
        <w:t>La vulnérabilité</w:t>
      </w:r>
      <w:r w:rsidRPr="006518A0">
        <w:rPr>
          <w:rFonts w:ascii="Century Gothic" w:hAnsi="Century Gothic" w:cs="Times New Roman"/>
          <w:bCs/>
          <w:sz w:val="24"/>
          <w:szCs w:val="24"/>
        </w:rPr>
        <w:t xml:space="preserve"> présente donc à la fois une dimension externe (l’exposition au climat) et caractéristiques internes au système étudié (la sensibilité et la capacité d’adaptation)</w:t>
      </w:r>
      <w:r>
        <w:rPr>
          <w:rFonts w:ascii="Century Gothic" w:hAnsi="Century Gothic" w:cs="Times New Roman"/>
          <w:bCs/>
          <w:sz w:val="24"/>
          <w:szCs w:val="24"/>
        </w:rPr>
        <w:t xml:space="preserve">. </w:t>
      </w:r>
      <w:r w:rsidRPr="006518A0">
        <w:rPr>
          <w:rFonts w:ascii="Century Gothic" w:hAnsi="Century Gothic" w:cs="Times New Roman"/>
          <w:bCs/>
          <w:sz w:val="24"/>
          <w:szCs w:val="24"/>
        </w:rPr>
        <w:t xml:space="preserve">Ce qui différencie la sensibilité de la vulnérabilité </w:t>
      </w:r>
      <w:r>
        <w:rPr>
          <w:rFonts w:ascii="Century Gothic" w:hAnsi="Century Gothic" w:cs="Times New Roman"/>
          <w:bCs/>
          <w:sz w:val="24"/>
          <w:szCs w:val="24"/>
        </w:rPr>
        <w:t>est que</w:t>
      </w:r>
      <w:r w:rsidRPr="006518A0">
        <w:rPr>
          <w:rFonts w:ascii="Century Gothic" w:hAnsi="Century Gothic" w:cs="Times New Roman"/>
          <w:bCs/>
          <w:sz w:val="24"/>
          <w:szCs w:val="24"/>
        </w:rPr>
        <w:t xml:space="preserve"> la sensibilité ne tient pas compte de l’effet modérateur de l’adaptation, alors que la vulnérabilité peut être vue comme les impacts subis une fois l’adaptation mise en œuvre.</w:t>
      </w:r>
    </w:p>
    <w:p w14:paraId="2FA51E45" w14:textId="427E4C6F" w:rsidR="00B15E7F" w:rsidRDefault="00B15E7F" w:rsidP="005625B5">
      <w:pPr>
        <w:spacing w:after="0" w:line="276" w:lineRule="auto"/>
        <w:jc w:val="both"/>
        <w:rPr>
          <w:rFonts w:ascii="Century Gothic" w:hAnsi="Century Gothic" w:cs="Times New Roman"/>
          <w:bCs/>
          <w:sz w:val="24"/>
          <w:szCs w:val="24"/>
        </w:rPr>
      </w:pPr>
      <w:r w:rsidRPr="006518A0">
        <w:rPr>
          <w:rFonts w:ascii="Century Gothic" w:hAnsi="Century Gothic" w:cs="Times New Roman"/>
          <w:noProof/>
          <w:sz w:val="24"/>
          <w:szCs w:val="24"/>
          <w:lang w:eastAsia="fr-FR"/>
        </w:rPr>
        <w:drawing>
          <wp:inline distT="0" distB="0" distL="0" distR="0" wp14:anchorId="024708E2" wp14:editId="7A2C6F4F">
            <wp:extent cx="5657156" cy="1844702"/>
            <wp:effectExtent l="0" t="0" r="1270" b="3175"/>
            <wp:docPr id="1308645116" name="Image 199690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99690114"/>
                    <pic:cNvPicPr>
                      <a:picLocks/>
                    </pic:cNvPicPr>
                  </pic:nvPicPr>
                  <pic:blipFill>
                    <a:blip r:embed="rId10">
                      <a:extLst>
                        <a:ext uri="{28A0092B-C50C-407E-A947-70E740481C1C}">
                          <a14:useLocalDpi xmlns:a14="http://schemas.microsoft.com/office/drawing/2010/main" val="0"/>
                        </a:ext>
                      </a:extLst>
                    </a:blip>
                    <a:srcRect l="13196" t="24207" r="12988" b="7579"/>
                    <a:stretch>
                      <a:fillRect/>
                    </a:stretch>
                  </pic:blipFill>
                  <pic:spPr bwMode="auto">
                    <a:xfrm>
                      <a:off x="0" y="0"/>
                      <a:ext cx="5748620" cy="1874527"/>
                    </a:xfrm>
                    <a:prstGeom prst="rect">
                      <a:avLst/>
                    </a:prstGeom>
                    <a:noFill/>
                    <a:ln>
                      <a:noFill/>
                    </a:ln>
                  </pic:spPr>
                </pic:pic>
              </a:graphicData>
            </a:graphic>
          </wp:inline>
        </w:drawing>
      </w:r>
    </w:p>
    <w:p w14:paraId="4C1E2863" w14:textId="565D698C" w:rsidR="005625B5" w:rsidRPr="00C63431" w:rsidRDefault="00B15E7F" w:rsidP="005625B5">
      <w:pPr>
        <w:pStyle w:val="Lgende"/>
        <w:spacing w:after="0" w:line="276" w:lineRule="auto"/>
        <w:jc w:val="center"/>
        <w:rPr>
          <w:rFonts w:ascii="Century Gothic" w:hAnsi="Century Gothic" w:cs="Times New Roman"/>
          <w:b/>
          <w:bCs/>
          <w:i w:val="0"/>
          <w:iCs w:val="0"/>
          <w:color w:val="auto"/>
          <w:sz w:val="20"/>
          <w:szCs w:val="20"/>
        </w:rPr>
      </w:pPr>
      <w:r w:rsidRPr="00C63431">
        <w:rPr>
          <w:rFonts w:ascii="Century Gothic" w:hAnsi="Century Gothic" w:cs="Times New Roman"/>
          <w:b/>
          <w:bCs/>
          <w:i w:val="0"/>
          <w:iCs w:val="0"/>
          <w:color w:val="auto"/>
          <w:sz w:val="20"/>
          <w:szCs w:val="20"/>
        </w:rPr>
        <w:t>LES DETERMINANTS DE LA VULNERABILITE</w:t>
      </w:r>
    </w:p>
    <w:p w14:paraId="6F5E2C06" w14:textId="77777777" w:rsidR="005625B5" w:rsidRDefault="005625B5" w:rsidP="005625B5">
      <w:pPr>
        <w:pStyle w:val="Paragraphedeliste"/>
        <w:spacing w:after="0" w:line="276" w:lineRule="auto"/>
        <w:ind w:left="0"/>
        <w:jc w:val="both"/>
        <w:rPr>
          <w:rFonts w:ascii="Century Gothic" w:hAnsi="Century Gothic" w:cs="Times New Roman"/>
          <w:bCs/>
          <w:sz w:val="24"/>
          <w:szCs w:val="24"/>
        </w:rPr>
      </w:pPr>
      <w:r w:rsidRPr="006518A0">
        <w:rPr>
          <w:rFonts w:ascii="Century Gothic" w:hAnsi="Century Gothic" w:cs="Times New Roman"/>
          <w:sz w:val="24"/>
          <w:szCs w:val="24"/>
        </w:rPr>
        <w:t>L’essence même de l’analyse de la vulnérabilité d’un système est de comprendre </w:t>
      </w:r>
      <w:r w:rsidRPr="006518A0">
        <w:rPr>
          <w:rFonts w:ascii="Century Gothic" w:hAnsi="Century Gothic" w:cs="Times New Roman"/>
          <w:bCs/>
          <w:sz w:val="24"/>
          <w:szCs w:val="24"/>
        </w:rPr>
        <w:t>comment ce dernier fonctionne (quels risques ? Quels enjeux ? Quelles régulations sont nécessaires ?), pour ensuite envisager des scénarios d’avenir et proposer des réponses pragmatiques. En retour, la mise en œuvre de stratégies d’adaptation a pour but de réduire la vulnérabilité du territoire aux risques naturels sur le long terme.</w:t>
      </w:r>
    </w:p>
    <w:p w14:paraId="0ACBCC0F" w14:textId="77777777" w:rsidR="005625B5" w:rsidRPr="009C4B49" w:rsidRDefault="005625B5" w:rsidP="005625B5">
      <w:pPr>
        <w:pStyle w:val="Paragraphedeliste"/>
        <w:spacing w:after="0" w:line="276" w:lineRule="auto"/>
        <w:ind w:left="0"/>
        <w:jc w:val="both"/>
        <w:rPr>
          <w:rFonts w:ascii="Century Gothic" w:hAnsi="Century Gothic" w:cs="Times New Roman"/>
          <w:bCs/>
          <w:sz w:val="16"/>
          <w:szCs w:val="16"/>
        </w:rPr>
      </w:pPr>
    </w:p>
    <w:p w14:paraId="476001E3" w14:textId="77777777" w:rsidR="005625B5" w:rsidRDefault="005625B5" w:rsidP="005625B5">
      <w:pPr>
        <w:spacing w:after="0" w:line="276" w:lineRule="auto"/>
        <w:jc w:val="both"/>
        <w:rPr>
          <w:rFonts w:ascii="Century Gothic" w:hAnsi="Century Gothic" w:cs="Times New Roman"/>
          <w:sz w:val="24"/>
          <w:szCs w:val="24"/>
        </w:rPr>
      </w:pPr>
      <w:r>
        <w:rPr>
          <w:rFonts w:ascii="Century Gothic" w:hAnsi="Century Gothic" w:cs="Times New Roman"/>
          <w:b/>
          <w:bCs/>
          <w:sz w:val="24"/>
          <w:szCs w:val="24"/>
        </w:rPr>
        <w:t>L’</w:t>
      </w:r>
      <w:r w:rsidRPr="006518A0">
        <w:rPr>
          <w:rFonts w:ascii="Century Gothic" w:hAnsi="Century Gothic" w:cs="Times New Roman"/>
          <w:b/>
          <w:bCs/>
          <w:sz w:val="24"/>
          <w:szCs w:val="24"/>
        </w:rPr>
        <w:t>Adaptation</w:t>
      </w:r>
      <w:r w:rsidRPr="006518A0">
        <w:rPr>
          <w:rFonts w:ascii="Century Gothic" w:hAnsi="Century Gothic" w:cs="Times New Roman"/>
          <w:sz w:val="24"/>
          <w:szCs w:val="24"/>
        </w:rPr>
        <w:t> : </w:t>
      </w:r>
      <w:r>
        <w:rPr>
          <w:rFonts w:ascii="Century Gothic" w:hAnsi="Century Gothic" w:cs="Times New Roman"/>
          <w:sz w:val="24"/>
          <w:szCs w:val="24"/>
        </w:rPr>
        <w:t>L</w:t>
      </w:r>
      <w:r w:rsidRPr="006518A0">
        <w:rPr>
          <w:rFonts w:ascii="Century Gothic" w:hAnsi="Century Gothic" w:cs="Times New Roman"/>
          <w:sz w:val="24"/>
          <w:szCs w:val="24"/>
        </w:rPr>
        <w:t xml:space="preserve">e processus d'ajustement au climat réel ou prévu et à ses effets. Dans les systèmes humains, l’adaptation cherche à modérer ou à éviter les dommages ou à profiter d’opportunités avantageuses. Dans certains systèmes naturels, l’intervention </w:t>
      </w:r>
      <w:r>
        <w:rPr>
          <w:rFonts w:ascii="Century Gothic" w:hAnsi="Century Gothic" w:cs="Times New Roman"/>
          <w:sz w:val="24"/>
          <w:szCs w:val="24"/>
        </w:rPr>
        <w:t xml:space="preserve">de l’homme </w:t>
      </w:r>
      <w:r w:rsidRPr="006518A0">
        <w:rPr>
          <w:rFonts w:ascii="Century Gothic" w:hAnsi="Century Gothic" w:cs="Times New Roman"/>
          <w:sz w:val="24"/>
          <w:szCs w:val="24"/>
        </w:rPr>
        <w:t xml:space="preserve">peut faciliter l’ajustement au climat attendu et à ses effets. </w:t>
      </w:r>
    </w:p>
    <w:p w14:paraId="49354246" w14:textId="77777777" w:rsidR="005625B5" w:rsidRPr="009C4B49" w:rsidRDefault="005625B5" w:rsidP="005625B5">
      <w:pPr>
        <w:spacing w:after="0" w:line="276" w:lineRule="auto"/>
        <w:jc w:val="both"/>
        <w:rPr>
          <w:rFonts w:ascii="Century Gothic" w:hAnsi="Century Gothic" w:cs="Times New Roman"/>
          <w:sz w:val="14"/>
          <w:szCs w:val="14"/>
        </w:rPr>
      </w:pPr>
    </w:p>
    <w:p w14:paraId="1B3C44FC" w14:textId="77777777" w:rsidR="005625B5" w:rsidRDefault="005625B5" w:rsidP="005625B5">
      <w:pPr>
        <w:pStyle w:val="Paragraphedeliste"/>
        <w:spacing w:after="0" w:line="276" w:lineRule="auto"/>
        <w:ind w:left="0"/>
        <w:jc w:val="both"/>
        <w:rPr>
          <w:rFonts w:ascii="Century Gothic" w:hAnsi="Century Gothic" w:cs="Times New Roman"/>
          <w:bCs/>
          <w:sz w:val="24"/>
          <w:szCs w:val="24"/>
        </w:rPr>
      </w:pPr>
      <w:r w:rsidRPr="00BE297E">
        <w:rPr>
          <w:rFonts w:ascii="Century Gothic" w:hAnsi="Century Gothic" w:cs="Times New Roman"/>
          <w:b/>
          <w:bCs/>
          <w:sz w:val="24"/>
          <w:szCs w:val="24"/>
        </w:rPr>
        <w:t>La capacité d’adaptation</w:t>
      </w:r>
      <w:r>
        <w:rPr>
          <w:rFonts w:ascii="Century Gothic" w:hAnsi="Century Gothic" w:cs="Times New Roman"/>
          <w:sz w:val="24"/>
          <w:szCs w:val="24"/>
        </w:rPr>
        <w:t xml:space="preserve"> : </w:t>
      </w:r>
      <w:r w:rsidRPr="006518A0">
        <w:rPr>
          <w:rFonts w:ascii="Century Gothic" w:hAnsi="Century Gothic" w:cs="Times New Roman"/>
          <w:bCs/>
          <w:sz w:val="24"/>
          <w:szCs w:val="24"/>
        </w:rPr>
        <w:t xml:space="preserve">« Ensemble des </w:t>
      </w:r>
      <w:r w:rsidRPr="00BE297E">
        <w:rPr>
          <w:rFonts w:ascii="Century Gothic" w:hAnsi="Century Gothic" w:cs="Times New Roman"/>
          <w:sz w:val="24"/>
          <w:szCs w:val="24"/>
        </w:rPr>
        <w:t>capacités</w:t>
      </w:r>
      <w:r w:rsidRPr="006518A0">
        <w:rPr>
          <w:rFonts w:ascii="Century Gothic" w:hAnsi="Century Gothic" w:cs="Times New Roman"/>
          <w:bCs/>
          <w:sz w:val="24"/>
          <w:szCs w:val="24"/>
        </w:rPr>
        <w:t xml:space="preserve">, des ressources et des institutions d’un pays ou d’une région lui permettant de mettre en œuvre des mesures d’adaptation efficaces » (GIEC, 2008). Les compétences, connaissances et ressources nécessaires pour s’acquitter d’une fonction. </w:t>
      </w:r>
    </w:p>
    <w:p w14:paraId="722F2AF2" w14:textId="77777777" w:rsidR="005625B5" w:rsidRPr="009C4B49" w:rsidRDefault="005625B5" w:rsidP="005625B5">
      <w:pPr>
        <w:pStyle w:val="Paragraphedeliste"/>
        <w:spacing w:after="0" w:line="276" w:lineRule="auto"/>
        <w:ind w:left="0"/>
        <w:jc w:val="both"/>
        <w:rPr>
          <w:rFonts w:ascii="Century Gothic" w:hAnsi="Century Gothic" w:cs="Times New Roman"/>
          <w:bCs/>
          <w:sz w:val="12"/>
          <w:szCs w:val="12"/>
        </w:rPr>
      </w:pPr>
    </w:p>
    <w:p w14:paraId="168F76FC" w14:textId="77777777" w:rsidR="005625B5" w:rsidRPr="006518A0" w:rsidRDefault="005625B5" w:rsidP="005625B5">
      <w:pPr>
        <w:pStyle w:val="Paragraphedeliste"/>
        <w:spacing w:after="0" w:line="276" w:lineRule="auto"/>
        <w:ind w:left="0"/>
        <w:jc w:val="both"/>
        <w:rPr>
          <w:rFonts w:ascii="Century Gothic" w:hAnsi="Century Gothic" w:cs="Times New Roman"/>
          <w:bCs/>
          <w:sz w:val="24"/>
          <w:szCs w:val="24"/>
        </w:rPr>
      </w:pPr>
      <w:r w:rsidRPr="006518A0">
        <w:rPr>
          <w:rFonts w:ascii="Century Gothic" w:hAnsi="Century Gothic" w:cs="Times New Roman"/>
          <w:b/>
          <w:sz w:val="24"/>
          <w:szCs w:val="24"/>
        </w:rPr>
        <w:t>Accroître la capacité d'adaptation</w:t>
      </w:r>
      <w:r>
        <w:rPr>
          <w:rFonts w:ascii="Century Gothic" w:hAnsi="Century Gothic" w:cs="Times New Roman"/>
          <w:bCs/>
          <w:sz w:val="24"/>
          <w:szCs w:val="24"/>
        </w:rPr>
        <w:t> : U</w:t>
      </w:r>
      <w:r w:rsidRPr="006518A0">
        <w:rPr>
          <w:rFonts w:ascii="Century Gothic" w:hAnsi="Century Gothic" w:cs="Times New Roman"/>
          <w:bCs/>
          <w:sz w:val="24"/>
          <w:szCs w:val="24"/>
        </w:rPr>
        <w:t>n système avec de nombreuses options d'adaptation a généralement une plus grande capacité de s'adapter qu'un système n'en ayant que peu ou pas. Certains pensent que la capacité d'adaptation peut être vue comme un potentiel d'adaptation et, lorsque la capacité d'adaptation est utilisée à cette fin, la vulnérabilité s'en trouve réduite.</w:t>
      </w:r>
    </w:p>
    <w:p w14:paraId="18D458C6" w14:textId="77777777" w:rsidR="005625B5" w:rsidRPr="009C4B49" w:rsidRDefault="005625B5" w:rsidP="005625B5">
      <w:pPr>
        <w:spacing w:after="0" w:line="276" w:lineRule="auto"/>
        <w:jc w:val="both"/>
        <w:rPr>
          <w:rFonts w:ascii="Century Gothic" w:hAnsi="Century Gothic" w:cs="Times New Roman"/>
          <w:sz w:val="10"/>
          <w:szCs w:val="10"/>
        </w:rPr>
      </w:pPr>
    </w:p>
    <w:p w14:paraId="255E5263" w14:textId="77777777" w:rsidR="005625B5" w:rsidRPr="006518A0" w:rsidRDefault="005625B5" w:rsidP="005625B5">
      <w:pPr>
        <w:pStyle w:val="Paragraphedeliste"/>
        <w:spacing w:after="0" w:line="276" w:lineRule="auto"/>
        <w:ind w:left="0"/>
        <w:contextualSpacing w:val="0"/>
        <w:jc w:val="both"/>
        <w:rPr>
          <w:rFonts w:ascii="Century Gothic" w:hAnsi="Century Gothic" w:cs="Times New Roman"/>
          <w:sz w:val="24"/>
          <w:szCs w:val="24"/>
        </w:rPr>
      </w:pPr>
      <w:r w:rsidRPr="006518A0">
        <w:rPr>
          <w:rFonts w:ascii="Century Gothic" w:hAnsi="Century Gothic" w:cs="Times New Roman"/>
          <w:sz w:val="24"/>
          <w:szCs w:val="24"/>
        </w:rPr>
        <w:t xml:space="preserve">Des relations dynamiques entre Vulnérabilité et Adaptation : </w:t>
      </w:r>
    </w:p>
    <w:p w14:paraId="2E8B6B1F" w14:textId="77777777" w:rsidR="005625B5" w:rsidRDefault="005625B5" w:rsidP="005625B5">
      <w:pPr>
        <w:pStyle w:val="Paragraphedeliste"/>
        <w:spacing w:after="0" w:line="276" w:lineRule="auto"/>
        <w:ind w:left="0"/>
        <w:contextualSpacing w:val="0"/>
        <w:rPr>
          <w:rFonts w:ascii="Century Gothic" w:hAnsi="Century Gothic"/>
          <w:b/>
          <w:bCs/>
          <w:sz w:val="24"/>
          <w:szCs w:val="24"/>
        </w:rPr>
      </w:pPr>
    </w:p>
    <w:p w14:paraId="35993EDB" w14:textId="77777777" w:rsidR="005625B5" w:rsidRPr="006518A0" w:rsidRDefault="005625B5" w:rsidP="005625B5">
      <w:pPr>
        <w:pStyle w:val="Paragraphedeliste"/>
        <w:spacing w:after="0" w:line="276" w:lineRule="auto"/>
        <w:ind w:left="0"/>
        <w:contextualSpacing w:val="0"/>
        <w:jc w:val="center"/>
        <w:rPr>
          <w:rFonts w:ascii="Century Gothic" w:hAnsi="Century Gothic" w:cs="Calibri"/>
          <w:b/>
          <w:sz w:val="24"/>
          <w:szCs w:val="24"/>
        </w:rPr>
      </w:pPr>
      <w:r w:rsidRPr="009C4B49">
        <w:rPr>
          <w:rFonts w:ascii="Century Gothic" w:hAnsi="Century Gothic" w:cs="Calibri"/>
          <w:noProof/>
          <w:sz w:val="24"/>
          <w:szCs w:val="24"/>
          <w:bdr w:val="single" w:sz="4" w:space="0" w:color="FFC000"/>
          <w:lang w:eastAsia="fr-FR"/>
        </w:rPr>
        <w:drawing>
          <wp:inline distT="0" distB="0" distL="0" distR="0" wp14:anchorId="0194DF7D" wp14:editId="79E29229">
            <wp:extent cx="4969510" cy="3084597"/>
            <wp:effectExtent l="0" t="0" r="2540" b="1905"/>
            <wp:docPr id="760373394" name="Image 1798649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798649238"/>
                    <pic:cNvPicPr>
                      <a:picLocks/>
                    </pic:cNvPicPr>
                  </pic:nvPicPr>
                  <pic:blipFill>
                    <a:blip r:embed="rId11">
                      <a:extLst>
                        <a:ext uri="{28A0092B-C50C-407E-A947-70E740481C1C}">
                          <a14:useLocalDpi xmlns:a14="http://schemas.microsoft.com/office/drawing/2010/main" val="0"/>
                        </a:ext>
                      </a:extLst>
                    </a:blip>
                    <a:srcRect l="6186" t="29443" r="40617" b="7579"/>
                    <a:stretch>
                      <a:fillRect/>
                    </a:stretch>
                  </pic:blipFill>
                  <pic:spPr bwMode="auto">
                    <a:xfrm>
                      <a:off x="0" y="0"/>
                      <a:ext cx="4996004" cy="3101042"/>
                    </a:xfrm>
                    <a:prstGeom prst="rect">
                      <a:avLst/>
                    </a:prstGeom>
                    <a:noFill/>
                    <a:ln>
                      <a:noFill/>
                    </a:ln>
                  </pic:spPr>
                </pic:pic>
              </a:graphicData>
            </a:graphic>
          </wp:inline>
        </w:drawing>
      </w:r>
    </w:p>
    <w:p w14:paraId="530D330C" w14:textId="77777777" w:rsidR="005625B5" w:rsidRPr="009C4B49" w:rsidRDefault="005625B5" w:rsidP="005625B5">
      <w:pPr>
        <w:tabs>
          <w:tab w:val="left" w:pos="567"/>
        </w:tabs>
        <w:spacing w:after="0" w:line="276" w:lineRule="auto"/>
        <w:ind w:firstLine="1"/>
        <w:jc w:val="center"/>
        <w:rPr>
          <w:rFonts w:ascii="Century Gothic" w:hAnsi="Century Gothic" w:cs="Calibri"/>
          <w:b/>
          <w:bCs/>
          <w:iCs/>
        </w:rPr>
      </w:pPr>
      <w:r w:rsidRPr="009C4B49">
        <w:rPr>
          <w:rFonts w:ascii="Century Gothic" w:hAnsi="Century Gothic"/>
          <w:b/>
          <w:bCs/>
          <w:iCs/>
        </w:rPr>
        <w:t>Bases conceptuelles de l'atténuation et de l'adaptation au CC</w:t>
      </w:r>
    </w:p>
    <w:p w14:paraId="3E8C2F17" w14:textId="77777777" w:rsidR="005625B5" w:rsidRPr="00CF1077" w:rsidRDefault="005625B5" w:rsidP="009C4B49">
      <w:pPr>
        <w:numPr>
          <w:ilvl w:val="0"/>
          <w:numId w:val="54"/>
        </w:numPr>
        <w:spacing w:after="0" w:line="276" w:lineRule="auto"/>
        <w:ind w:left="709" w:hanging="709"/>
        <w:jc w:val="both"/>
        <w:rPr>
          <w:rFonts w:ascii="Century Gothic" w:eastAsia="Times New Roman" w:hAnsi="Century Gothic" w:cs="Times New Roman"/>
          <w:b/>
          <w:bCs/>
          <w:sz w:val="24"/>
          <w:szCs w:val="24"/>
          <w:lang w:val="wo-SN" w:eastAsia="wo-SN"/>
        </w:rPr>
      </w:pPr>
      <w:r w:rsidRPr="00CF1077">
        <w:rPr>
          <w:rFonts w:ascii="Century Gothic" w:eastAsia="Times New Roman" w:hAnsi="Century Gothic" w:cs="Times New Roman"/>
          <w:b/>
          <w:bCs/>
          <w:sz w:val="24"/>
          <w:szCs w:val="24"/>
          <w:lang w:val="wo-SN" w:eastAsia="wo-SN"/>
        </w:rPr>
        <w:t>VISION ET STRATEGIE ENVIRONNEMENTALE</w:t>
      </w:r>
    </w:p>
    <w:p w14:paraId="22F75861" w14:textId="77777777" w:rsidR="005625B5" w:rsidRPr="009C4B49" w:rsidRDefault="005625B5" w:rsidP="005625B5">
      <w:pPr>
        <w:pStyle w:val="Corpsdetexte"/>
        <w:spacing w:before="0" w:line="276" w:lineRule="auto"/>
        <w:rPr>
          <w:rFonts w:ascii="Century Gothic" w:hAnsi="Century Gothic"/>
          <w:sz w:val="6"/>
          <w:szCs w:val="6"/>
        </w:rPr>
      </w:pPr>
    </w:p>
    <w:p w14:paraId="06063E9C" w14:textId="77777777" w:rsidR="005625B5" w:rsidRDefault="005625B5" w:rsidP="005625B5">
      <w:pPr>
        <w:pStyle w:val="Corpsdetexte"/>
        <w:spacing w:before="0" w:line="276" w:lineRule="auto"/>
        <w:rPr>
          <w:rFonts w:ascii="Century Gothic" w:hAnsi="Century Gothic"/>
        </w:rPr>
      </w:pPr>
      <w:r w:rsidRPr="00CF1077">
        <w:rPr>
          <w:rFonts w:ascii="Century Gothic" w:hAnsi="Century Gothic"/>
        </w:rPr>
        <w:t>La vision nationale de l’Environnement à l’horizon 2030, selon la S</w:t>
      </w:r>
      <w:r>
        <w:rPr>
          <w:rFonts w:ascii="Century Gothic" w:hAnsi="Century Gothic"/>
        </w:rPr>
        <w:t>tratégie de Croissance Accélérée et Prospérité Partagée (S</w:t>
      </w:r>
      <w:r w:rsidRPr="00CF1077">
        <w:rPr>
          <w:rFonts w:ascii="Century Gothic" w:hAnsi="Century Gothic"/>
        </w:rPr>
        <w:t>CAPP</w:t>
      </w:r>
      <w:r>
        <w:rPr>
          <w:rFonts w:ascii="Century Gothic" w:hAnsi="Century Gothic"/>
        </w:rPr>
        <w:t>)</w:t>
      </w:r>
      <w:r w:rsidRPr="00CF1077">
        <w:rPr>
          <w:rFonts w:ascii="Century Gothic" w:hAnsi="Century Gothic"/>
        </w:rPr>
        <w:t>, est : « Un environnement préservé au service d’un développement durable ». Le volet « Environnement et développement durable de la SCAPP » est assuré par la S</w:t>
      </w:r>
      <w:r>
        <w:rPr>
          <w:rFonts w:ascii="Century Gothic" w:hAnsi="Century Gothic"/>
        </w:rPr>
        <w:t xml:space="preserve">tratégie </w:t>
      </w:r>
      <w:r w:rsidRPr="00CF1077">
        <w:rPr>
          <w:rFonts w:ascii="Century Gothic" w:hAnsi="Century Gothic"/>
        </w:rPr>
        <w:t>N</w:t>
      </w:r>
      <w:r>
        <w:rPr>
          <w:rFonts w:ascii="Century Gothic" w:hAnsi="Century Gothic"/>
        </w:rPr>
        <w:t>ationale de l’</w:t>
      </w:r>
      <w:r w:rsidRPr="00CF1077">
        <w:rPr>
          <w:rFonts w:ascii="Century Gothic" w:hAnsi="Century Gothic"/>
        </w:rPr>
        <w:t>E</w:t>
      </w:r>
      <w:r>
        <w:rPr>
          <w:rFonts w:ascii="Century Gothic" w:hAnsi="Century Gothic"/>
        </w:rPr>
        <w:t xml:space="preserve">nvironnement et </w:t>
      </w:r>
      <w:r w:rsidRPr="00CF1077">
        <w:rPr>
          <w:rFonts w:ascii="Century Gothic" w:hAnsi="Century Gothic"/>
        </w:rPr>
        <w:t>D</w:t>
      </w:r>
      <w:r>
        <w:rPr>
          <w:rFonts w:ascii="Century Gothic" w:hAnsi="Century Gothic"/>
        </w:rPr>
        <w:t xml:space="preserve">éveloppement </w:t>
      </w:r>
      <w:r w:rsidRPr="00CF1077">
        <w:rPr>
          <w:rFonts w:ascii="Century Gothic" w:hAnsi="Century Gothic"/>
        </w:rPr>
        <w:t>D</w:t>
      </w:r>
      <w:r>
        <w:rPr>
          <w:rFonts w:ascii="Century Gothic" w:hAnsi="Century Gothic"/>
        </w:rPr>
        <w:t>urable (SNEDD)</w:t>
      </w:r>
      <w:r w:rsidRPr="00CF1077">
        <w:rPr>
          <w:rFonts w:ascii="Century Gothic" w:hAnsi="Century Gothic"/>
        </w:rPr>
        <w:t xml:space="preserve">. </w:t>
      </w:r>
    </w:p>
    <w:p w14:paraId="389C9115" w14:textId="77777777" w:rsidR="005625B5" w:rsidRPr="009C4B49" w:rsidRDefault="005625B5" w:rsidP="005625B5">
      <w:pPr>
        <w:pStyle w:val="Corpsdetexte"/>
        <w:spacing w:before="0" w:line="276" w:lineRule="auto"/>
        <w:rPr>
          <w:rFonts w:ascii="Century Gothic" w:hAnsi="Century Gothic"/>
          <w:sz w:val="8"/>
          <w:szCs w:val="8"/>
        </w:rPr>
      </w:pPr>
    </w:p>
    <w:p w14:paraId="6976A51F" w14:textId="77777777" w:rsidR="005625B5" w:rsidRDefault="005625B5" w:rsidP="005625B5">
      <w:pPr>
        <w:pStyle w:val="Corpsdetexte"/>
        <w:spacing w:before="0" w:line="276" w:lineRule="auto"/>
        <w:rPr>
          <w:rFonts w:ascii="Century Gothic" w:hAnsi="Century Gothic"/>
        </w:rPr>
      </w:pPr>
      <w:r w:rsidRPr="00CF1077">
        <w:rPr>
          <w:rFonts w:ascii="Century Gothic" w:hAnsi="Century Gothic"/>
        </w:rPr>
        <w:t xml:space="preserve">La vision de la SNEDD est : « Le renforcement structurel de manière durable de la résilience des systèmes naturels et des moyens de substance des populations tout en soutenant une politique d’investissement, des activités à faible émission en carbone et porteuse de croissance économique tout en préservant les cadres et milieux de vie au moyen d’une gouvernance efficace ». </w:t>
      </w:r>
    </w:p>
    <w:p w14:paraId="07A995F1" w14:textId="77777777" w:rsidR="005625B5" w:rsidRPr="009C4B49" w:rsidRDefault="005625B5" w:rsidP="005625B5">
      <w:pPr>
        <w:pStyle w:val="Corpsdetexte"/>
        <w:spacing w:before="0" w:line="276" w:lineRule="auto"/>
        <w:rPr>
          <w:rFonts w:ascii="Century Gothic" w:hAnsi="Century Gothic"/>
          <w:sz w:val="10"/>
          <w:szCs w:val="10"/>
        </w:rPr>
      </w:pPr>
    </w:p>
    <w:p w14:paraId="0FEA05D0" w14:textId="77777777" w:rsidR="005625B5" w:rsidRDefault="005625B5" w:rsidP="005625B5">
      <w:pPr>
        <w:pStyle w:val="Corpsdetexte"/>
        <w:spacing w:before="0" w:line="276" w:lineRule="auto"/>
        <w:rPr>
          <w:rFonts w:ascii="Century Gothic" w:hAnsi="Century Gothic"/>
        </w:rPr>
      </w:pPr>
      <w:r w:rsidRPr="00CF1077">
        <w:rPr>
          <w:rFonts w:ascii="Century Gothic" w:hAnsi="Century Gothic"/>
        </w:rPr>
        <w:t>Cette vision se base sur les principes de transversalité, la gestion participative et la subsidiarité. Elle se base également sur la valorisation durable du capital naturel, résiliente au changement climatique, une planification et une mise en œuvre sur une meilleure connaissance des opportunités réelles, le respect par la Mauritanie de ses engagements internationaux en matière d’environnement et du développement durable.</w:t>
      </w:r>
    </w:p>
    <w:p w14:paraId="1FEDA613" w14:textId="77777777" w:rsidR="005625B5" w:rsidRPr="009C4B49" w:rsidRDefault="005625B5" w:rsidP="005625B5">
      <w:pPr>
        <w:pStyle w:val="Corpsdetexte"/>
        <w:spacing w:before="0" w:line="276" w:lineRule="auto"/>
        <w:rPr>
          <w:rFonts w:ascii="Century Gothic" w:hAnsi="Century Gothic"/>
          <w:sz w:val="10"/>
          <w:szCs w:val="10"/>
        </w:rPr>
      </w:pPr>
    </w:p>
    <w:p w14:paraId="7B08F280" w14:textId="77777777" w:rsidR="005625B5" w:rsidRDefault="005625B5" w:rsidP="005625B5">
      <w:pPr>
        <w:pStyle w:val="Corpsdetexte"/>
        <w:spacing w:before="0" w:line="276" w:lineRule="auto"/>
        <w:rPr>
          <w:rFonts w:ascii="Century Gothic" w:hAnsi="Century Gothic"/>
        </w:rPr>
      </w:pPr>
      <w:r w:rsidRPr="00CF1077">
        <w:rPr>
          <w:rFonts w:ascii="Century Gothic" w:hAnsi="Century Gothic"/>
        </w:rPr>
        <w:t>L’objectif global de la SNEDD à l’horizon 2030 est de ralentir la dégradation de l’Environnement et d’inverser les tendances de dégradation pour que la valorisation des ressources naturelles contribue efficacement à assurer une croissance vertes inclusive.</w:t>
      </w:r>
    </w:p>
    <w:p w14:paraId="214C2345" w14:textId="77777777" w:rsidR="005625B5" w:rsidRPr="009C4B49" w:rsidRDefault="005625B5" w:rsidP="005625B5">
      <w:pPr>
        <w:pStyle w:val="Corpsdetexte"/>
        <w:spacing w:before="0" w:line="276" w:lineRule="auto"/>
        <w:rPr>
          <w:rFonts w:ascii="Century Gothic" w:hAnsi="Century Gothic"/>
          <w:sz w:val="10"/>
          <w:szCs w:val="10"/>
        </w:rPr>
      </w:pPr>
      <w:r w:rsidRPr="00CF1077">
        <w:rPr>
          <w:rFonts w:ascii="Century Gothic" w:hAnsi="Century Gothic"/>
        </w:rPr>
        <w:t xml:space="preserve"> </w:t>
      </w:r>
    </w:p>
    <w:p w14:paraId="57E528C9" w14:textId="55EC86FF" w:rsidR="005625B5" w:rsidRPr="00CF1077" w:rsidRDefault="005625B5" w:rsidP="005625B5">
      <w:pPr>
        <w:pStyle w:val="Corpsdetexte"/>
        <w:spacing w:before="0" w:line="276" w:lineRule="auto"/>
        <w:rPr>
          <w:rFonts w:ascii="Century Gothic" w:hAnsi="Century Gothic"/>
        </w:rPr>
      </w:pPr>
      <w:r w:rsidRPr="00CF1077">
        <w:rPr>
          <w:rFonts w:ascii="Century Gothic" w:hAnsi="Century Gothic"/>
        </w:rPr>
        <w:t xml:space="preserve">Les objectifs spécifiques sont : </w:t>
      </w:r>
    </w:p>
    <w:p w14:paraId="0D5A83B6" w14:textId="77777777" w:rsidR="005625B5" w:rsidRPr="00CF1077" w:rsidRDefault="005625B5" w:rsidP="005625B5">
      <w:pPr>
        <w:pStyle w:val="Corpsdetexte"/>
        <w:numPr>
          <w:ilvl w:val="0"/>
          <w:numId w:val="77"/>
        </w:numPr>
        <w:spacing w:before="0" w:line="276" w:lineRule="auto"/>
        <w:rPr>
          <w:rFonts w:ascii="Century Gothic" w:hAnsi="Century Gothic"/>
        </w:rPr>
      </w:pPr>
      <w:r w:rsidRPr="00CF1077">
        <w:rPr>
          <w:rFonts w:ascii="Century Gothic" w:hAnsi="Century Gothic"/>
        </w:rPr>
        <w:t xml:space="preserve">Une politique intégrée de conservation, de gestion et d’exploitation durable des écosystèmes est mise en place ; </w:t>
      </w:r>
    </w:p>
    <w:p w14:paraId="647B9024" w14:textId="77777777" w:rsidR="005625B5" w:rsidRPr="00CF1077" w:rsidRDefault="005625B5" w:rsidP="005625B5">
      <w:pPr>
        <w:pStyle w:val="Corpsdetexte"/>
        <w:numPr>
          <w:ilvl w:val="0"/>
          <w:numId w:val="77"/>
        </w:numPr>
        <w:spacing w:before="0" w:line="276" w:lineRule="auto"/>
        <w:rPr>
          <w:rFonts w:ascii="Century Gothic" w:hAnsi="Century Gothic"/>
        </w:rPr>
      </w:pPr>
      <w:r w:rsidRPr="00CF1077">
        <w:rPr>
          <w:rFonts w:ascii="Century Gothic" w:hAnsi="Century Gothic"/>
        </w:rPr>
        <w:t xml:space="preserve">Les ressources naturelles et culturelles sont préservées et valorisées ; </w:t>
      </w:r>
    </w:p>
    <w:p w14:paraId="7355A9AA" w14:textId="77777777" w:rsidR="005625B5" w:rsidRPr="00CF1077" w:rsidRDefault="005625B5" w:rsidP="005625B5">
      <w:pPr>
        <w:pStyle w:val="Corpsdetexte"/>
        <w:numPr>
          <w:ilvl w:val="0"/>
          <w:numId w:val="77"/>
        </w:numPr>
        <w:spacing w:before="0" w:line="276" w:lineRule="auto"/>
        <w:rPr>
          <w:rFonts w:ascii="Century Gothic" w:hAnsi="Century Gothic"/>
        </w:rPr>
      </w:pPr>
      <w:r w:rsidRPr="00CF1077">
        <w:rPr>
          <w:rFonts w:ascii="Century Gothic" w:hAnsi="Century Gothic"/>
        </w:rPr>
        <w:t xml:space="preserve">Des mesures concrètes de protection du littoral et d’adaptation des villes côtières au changement climatiques ; </w:t>
      </w:r>
    </w:p>
    <w:p w14:paraId="385AD0E0" w14:textId="77777777" w:rsidR="005625B5" w:rsidRPr="00CF1077" w:rsidRDefault="005625B5" w:rsidP="005625B5">
      <w:pPr>
        <w:pStyle w:val="Corpsdetexte"/>
        <w:numPr>
          <w:ilvl w:val="0"/>
          <w:numId w:val="77"/>
        </w:numPr>
        <w:spacing w:before="0" w:line="276" w:lineRule="auto"/>
        <w:rPr>
          <w:rFonts w:ascii="Century Gothic" w:hAnsi="Century Gothic"/>
        </w:rPr>
      </w:pPr>
      <w:r w:rsidRPr="00CF1077">
        <w:rPr>
          <w:rFonts w:ascii="Century Gothic" w:hAnsi="Century Gothic"/>
        </w:rPr>
        <w:t xml:space="preserve">Des mesures concrètes d’atténuation et de suivi des pollutions urbaines et industrielles sont mises œuvre, réduisant à long terme les risques de catastrophes. </w:t>
      </w:r>
    </w:p>
    <w:p w14:paraId="57A05672" w14:textId="77777777" w:rsidR="005625B5" w:rsidRDefault="005625B5" w:rsidP="005625B5">
      <w:pPr>
        <w:pStyle w:val="Corpsdetexte"/>
        <w:spacing w:before="0" w:line="276" w:lineRule="auto"/>
        <w:rPr>
          <w:rFonts w:ascii="Century Gothic" w:hAnsi="Century Gothic"/>
        </w:rPr>
      </w:pPr>
      <w:r w:rsidRPr="009C4B49">
        <w:rPr>
          <w:rFonts w:ascii="Century Gothic" w:hAnsi="Century Gothic"/>
          <w:b/>
          <w:bCs/>
        </w:rPr>
        <w:t>Les axes stratégiques/thématiques de SNEDD</w:t>
      </w:r>
      <w:r w:rsidRPr="00CF1077">
        <w:rPr>
          <w:rFonts w:ascii="Century Gothic" w:hAnsi="Century Gothic"/>
        </w:rPr>
        <w:t xml:space="preserve"> sont : </w:t>
      </w:r>
    </w:p>
    <w:p w14:paraId="3D214A2D" w14:textId="77777777" w:rsidR="005625B5" w:rsidRPr="009C4B49" w:rsidRDefault="005625B5" w:rsidP="005625B5">
      <w:pPr>
        <w:pStyle w:val="Corpsdetexte"/>
        <w:spacing w:before="0" w:line="276" w:lineRule="auto"/>
        <w:rPr>
          <w:rFonts w:ascii="Century Gothic" w:hAnsi="Century Gothic"/>
          <w:sz w:val="12"/>
          <w:szCs w:val="12"/>
        </w:rPr>
      </w:pPr>
    </w:p>
    <w:p w14:paraId="4127765E" w14:textId="6E03D51A" w:rsidR="005625B5" w:rsidRDefault="005625B5" w:rsidP="009C4B49">
      <w:pPr>
        <w:pStyle w:val="Corpsdetexte"/>
        <w:spacing w:before="0" w:line="276" w:lineRule="auto"/>
        <w:ind w:left="284"/>
        <w:rPr>
          <w:rFonts w:ascii="Century Gothic" w:hAnsi="Century Gothic"/>
        </w:rPr>
      </w:pPr>
      <w:r w:rsidRPr="00CF1077">
        <w:rPr>
          <w:rFonts w:ascii="Century Gothic" w:hAnsi="Century Gothic"/>
          <w:b/>
          <w:bCs/>
        </w:rPr>
        <w:t>Axe</w:t>
      </w:r>
      <w:r w:rsidR="009C4B49">
        <w:rPr>
          <w:rFonts w:ascii="Century Gothic" w:hAnsi="Century Gothic"/>
          <w:b/>
          <w:bCs/>
        </w:rPr>
        <w:t xml:space="preserve"> </w:t>
      </w:r>
      <w:r w:rsidRPr="00CF1077">
        <w:rPr>
          <w:rFonts w:ascii="Century Gothic" w:hAnsi="Century Gothic"/>
          <w:b/>
          <w:bCs/>
        </w:rPr>
        <w:t xml:space="preserve">1 : Gouvernance environnementale : </w:t>
      </w:r>
      <w:r w:rsidRPr="00CF1077">
        <w:rPr>
          <w:rFonts w:ascii="Century Gothic" w:hAnsi="Century Gothic"/>
        </w:rPr>
        <w:t xml:space="preserve">Une Gouvernance environnementale intégrée et adaptée aux défis environnementaux. Cet axe se recoupe avec les ODD 16, 8, 12 et 5. </w:t>
      </w:r>
    </w:p>
    <w:p w14:paraId="21F4BBB5" w14:textId="77777777" w:rsidR="005625B5" w:rsidRPr="009C4B49" w:rsidRDefault="005625B5" w:rsidP="005625B5">
      <w:pPr>
        <w:pStyle w:val="Corpsdetexte"/>
        <w:spacing w:before="0" w:line="276" w:lineRule="auto"/>
        <w:rPr>
          <w:rFonts w:ascii="Century Gothic" w:hAnsi="Century Gothic"/>
          <w:b/>
          <w:bCs/>
          <w:sz w:val="10"/>
          <w:szCs w:val="10"/>
        </w:rPr>
      </w:pPr>
    </w:p>
    <w:p w14:paraId="44D1D423" w14:textId="77777777" w:rsidR="005625B5" w:rsidRDefault="005625B5" w:rsidP="005625B5">
      <w:pPr>
        <w:pStyle w:val="Corpsdetexte"/>
        <w:numPr>
          <w:ilvl w:val="0"/>
          <w:numId w:val="78"/>
        </w:numPr>
        <w:spacing w:before="0" w:line="276" w:lineRule="auto"/>
        <w:rPr>
          <w:rFonts w:ascii="Century Gothic" w:hAnsi="Century Gothic"/>
        </w:rPr>
      </w:pPr>
      <w:r w:rsidRPr="00CF1077">
        <w:rPr>
          <w:rFonts w:ascii="Century Gothic" w:hAnsi="Century Gothic"/>
          <w:b/>
          <w:bCs/>
        </w:rPr>
        <w:t>Axe thématique 1.1</w:t>
      </w:r>
      <w:r w:rsidRPr="00CF1077">
        <w:rPr>
          <w:rFonts w:ascii="Century Gothic" w:hAnsi="Century Gothic"/>
        </w:rPr>
        <w:t xml:space="preserve"> : Coordination/synergie institutionnelle et partenariat pour la mise en œuvre efficace de la politique de l’Environnement et du Développement Durable </w:t>
      </w:r>
    </w:p>
    <w:p w14:paraId="40C42432" w14:textId="03A3E139" w:rsidR="005625B5" w:rsidRPr="00CF1077" w:rsidRDefault="005625B5" w:rsidP="009C4B49">
      <w:pPr>
        <w:pStyle w:val="Corpsdetexte"/>
        <w:numPr>
          <w:ilvl w:val="0"/>
          <w:numId w:val="78"/>
        </w:numPr>
        <w:spacing w:before="0" w:line="276" w:lineRule="auto"/>
        <w:ind w:right="-426"/>
        <w:jc w:val="left"/>
        <w:rPr>
          <w:rFonts w:ascii="Century Gothic" w:hAnsi="Century Gothic"/>
        </w:rPr>
      </w:pPr>
      <w:r w:rsidRPr="00CF1077">
        <w:rPr>
          <w:rFonts w:ascii="Century Gothic" w:hAnsi="Century Gothic"/>
          <w:b/>
          <w:bCs/>
        </w:rPr>
        <w:t>Axe</w:t>
      </w:r>
      <w:r w:rsidR="009C4B49">
        <w:rPr>
          <w:rFonts w:ascii="Century Gothic" w:hAnsi="Century Gothic"/>
          <w:b/>
          <w:bCs/>
        </w:rPr>
        <w:t xml:space="preserve"> </w:t>
      </w:r>
      <w:r w:rsidRPr="00CF1077">
        <w:rPr>
          <w:rFonts w:ascii="Century Gothic" w:hAnsi="Century Gothic"/>
          <w:b/>
          <w:bCs/>
        </w:rPr>
        <w:t>thématique</w:t>
      </w:r>
      <w:r w:rsidR="009C4B49">
        <w:rPr>
          <w:rFonts w:ascii="Century Gothic" w:hAnsi="Century Gothic"/>
          <w:b/>
          <w:bCs/>
        </w:rPr>
        <w:t xml:space="preserve"> </w:t>
      </w:r>
      <w:r w:rsidRPr="00CF1077">
        <w:rPr>
          <w:rFonts w:ascii="Century Gothic" w:hAnsi="Century Gothic"/>
          <w:b/>
          <w:bCs/>
        </w:rPr>
        <w:t>1.2</w:t>
      </w:r>
      <w:r w:rsidRPr="00CF1077">
        <w:rPr>
          <w:rFonts w:ascii="Century Gothic" w:hAnsi="Century Gothic"/>
        </w:rPr>
        <w:t> : Financement durable de l’actio</w:t>
      </w:r>
      <w:r w:rsidR="009C4B49">
        <w:rPr>
          <w:rFonts w:ascii="Century Gothic" w:hAnsi="Century Gothic"/>
        </w:rPr>
        <w:t xml:space="preserve">n </w:t>
      </w:r>
      <w:r w:rsidRPr="00CF1077">
        <w:rPr>
          <w:rFonts w:ascii="Century Gothic" w:hAnsi="Century Gothic"/>
        </w:rPr>
        <w:t xml:space="preserve">environnementale </w:t>
      </w:r>
    </w:p>
    <w:p w14:paraId="3FAD7811" w14:textId="77777777" w:rsidR="005625B5" w:rsidRPr="00CF1077" w:rsidRDefault="005625B5" w:rsidP="005625B5">
      <w:pPr>
        <w:pStyle w:val="Corpsdetexte"/>
        <w:numPr>
          <w:ilvl w:val="0"/>
          <w:numId w:val="78"/>
        </w:numPr>
        <w:spacing w:before="0" w:line="276" w:lineRule="auto"/>
        <w:rPr>
          <w:rFonts w:ascii="Century Gothic" w:hAnsi="Century Gothic"/>
        </w:rPr>
      </w:pPr>
      <w:r w:rsidRPr="00CF1077">
        <w:rPr>
          <w:rFonts w:ascii="Century Gothic" w:hAnsi="Century Gothic"/>
          <w:b/>
          <w:bCs/>
        </w:rPr>
        <w:t>Axe thématique 1.3</w:t>
      </w:r>
      <w:r w:rsidRPr="00CF1077">
        <w:rPr>
          <w:rFonts w:ascii="Century Gothic" w:hAnsi="Century Gothic"/>
        </w:rPr>
        <w:t> : Information, Education et Communication (IEC) environnementales et renforcement des capacités</w:t>
      </w:r>
    </w:p>
    <w:p w14:paraId="7CE3FF36" w14:textId="77777777" w:rsidR="005625B5" w:rsidRPr="00CF1077" w:rsidRDefault="005625B5" w:rsidP="005625B5">
      <w:pPr>
        <w:pStyle w:val="Corpsdetexte"/>
        <w:numPr>
          <w:ilvl w:val="0"/>
          <w:numId w:val="78"/>
        </w:numPr>
        <w:spacing w:before="0" w:line="276" w:lineRule="auto"/>
        <w:rPr>
          <w:rFonts w:ascii="Century Gothic" w:hAnsi="Century Gothic"/>
        </w:rPr>
      </w:pPr>
      <w:r w:rsidRPr="00CF1077">
        <w:rPr>
          <w:rFonts w:ascii="Century Gothic" w:hAnsi="Century Gothic"/>
          <w:b/>
          <w:bCs/>
        </w:rPr>
        <w:t>Axe thématique 1.4</w:t>
      </w:r>
      <w:r w:rsidRPr="00CF1077">
        <w:rPr>
          <w:rFonts w:ascii="Century Gothic" w:hAnsi="Century Gothic"/>
        </w:rPr>
        <w:t xml:space="preserve"> : Organisation/Reforme institutionnelle  </w:t>
      </w:r>
    </w:p>
    <w:p w14:paraId="51C2AF0E" w14:textId="77777777" w:rsidR="005625B5" w:rsidRPr="009C4B49" w:rsidRDefault="005625B5" w:rsidP="005625B5">
      <w:pPr>
        <w:pStyle w:val="Corpsdetexte"/>
        <w:numPr>
          <w:ilvl w:val="0"/>
          <w:numId w:val="78"/>
        </w:numPr>
        <w:spacing w:before="0" w:line="276" w:lineRule="auto"/>
        <w:rPr>
          <w:rFonts w:ascii="Century Gothic" w:hAnsi="Century Gothic"/>
          <w:sz w:val="22"/>
          <w:szCs w:val="22"/>
        </w:rPr>
      </w:pPr>
      <w:r w:rsidRPr="00CF1077">
        <w:rPr>
          <w:rFonts w:ascii="Century Gothic" w:hAnsi="Century Gothic"/>
          <w:b/>
          <w:bCs/>
        </w:rPr>
        <w:t>Axe thématique 1. 5</w:t>
      </w:r>
      <w:r w:rsidRPr="00CF1077">
        <w:rPr>
          <w:rFonts w:ascii="Century Gothic" w:hAnsi="Century Gothic"/>
        </w:rPr>
        <w:t xml:space="preserve"> : Gestion des connaissance (Recherche, Système d’information environnementale et Suivi) </w:t>
      </w:r>
      <w:r w:rsidRPr="009C4B49">
        <w:rPr>
          <w:rFonts w:ascii="Century Gothic" w:hAnsi="Century Gothic"/>
          <w:sz w:val="22"/>
          <w:szCs w:val="22"/>
        </w:rPr>
        <w:t xml:space="preserve">pour une bonne prise de décision  </w:t>
      </w:r>
    </w:p>
    <w:p w14:paraId="34C2906A" w14:textId="77777777" w:rsidR="005625B5" w:rsidRPr="00CF1077" w:rsidRDefault="005625B5" w:rsidP="005625B5">
      <w:pPr>
        <w:pStyle w:val="Corpsdetexte"/>
        <w:numPr>
          <w:ilvl w:val="0"/>
          <w:numId w:val="78"/>
        </w:numPr>
        <w:spacing w:before="0" w:line="276" w:lineRule="auto"/>
        <w:rPr>
          <w:rFonts w:ascii="Century Gothic" w:hAnsi="Century Gothic"/>
        </w:rPr>
      </w:pPr>
      <w:r w:rsidRPr="00CF1077">
        <w:rPr>
          <w:rFonts w:ascii="Century Gothic" w:hAnsi="Century Gothic"/>
          <w:b/>
          <w:bCs/>
        </w:rPr>
        <w:t>Axe thématique 1.6</w:t>
      </w:r>
      <w:r w:rsidRPr="00CF1077">
        <w:rPr>
          <w:rFonts w:ascii="Century Gothic" w:hAnsi="Century Gothic"/>
        </w:rPr>
        <w:t xml:space="preserve"> : Cadre législatif, réglementaire et contrôle </w:t>
      </w:r>
    </w:p>
    <w:p w14:paraId="272B14AA" w14:textId="77777777" w:rsidR="005625B5" w:rsidRPr="009C4B49" w:rsidRDefault="005625B5" w:rsidP="005625B5">
      <w:pPr>
        <w:pStyle w:val="Corpsdetexte"/>
        <w:spacing w:before="0" w:line="276" w:lineRule="auto"/>
        <w:rPr>
          <w:rFonts w:ascii="Century Gothic" w:hAnsi="Century Gothic"/>
          <w:sz w:val="14"/>
          <w:szCs w:val="14"/>
        </w:rPr>
      </w:pPr>
    </w:p>
    <w:p w14:paraId="3AC495A6" w14:textId="77777777" w:rsidR="005625B5" w:rsidRDefault="005625B5" w:rsidP="005625B5">
      <w:pPr>
        <w:pStyle w:val="Corpsdetexte"/>
        <w:spacing w:before="0" w:line="276" w:lineRule="auto"/>
        <w:rPr>
          <w:rFonts w:ascii="Century Gothic" w:hAnsi="Century Gothic"/>
        </w:rPr>
      </w:pPr>
      <w:r w:rsidRPr="00CF1077">
        <w:rPr>
          <w:rFonts w:ascii="Century Gothic" w:hAnsi="Century Gothic"/>
        </w:rPr>
        <w:t xml:space="preserve"> </w:t>
      </w:r>
      <w:r w:rsidRPr="00CF1077">
        <w:rPr>
          <w:rFonts w:ascii="Century Gothic" w:hAnsi="Century Gothic"/>
          <w:b/>
          <w:bCs/>
        </w:rPr>
        <w:t xml:space="preserve">Axe 2 : Environnement « VERT » : </w:t>
      </w:r>
      <w:r w:rsidRPr="00CF1077">
        <w:rPr>
          <w:rFonts w:ascii="Century Gothic" w:hAnsi="Century Gothic"/>
        </w:rPr>
        <w:t>Gestion intégrée et durable des ressources naturelles et la biodiversité terrestre. Cet axe se recoupe avec les ODD 2, 5, 6, 13, 15, 16</w:t>
      </w:r>
    </w:p>
    <w:p w14:paraId="22ADDD9E" w14:textId="77777777" w:rsidR="005625B5" w:rsidRPr="009C4B49" w:rsidRDefault="005625B5" w:rsidP="005625B5">
      <w:pPr>
        <w:pStyle w:val="Corpsdetexte"/>
        <w:spacing w:before="0" w:line="276" w:lineRule="auto"/>
        <w:rPr>
          <w:rFonts w:ascii="Century Gothic" w:hAnsi="Century Gothic"/>
          <w:sz w:val="10"/>
          <w:szCs w:val="10"/>
        </w:rPr>
      </w:pPr>
    </w:p>
    <w:p w14:paraId="031BC7D9" w14:textId="77777777" w:rsidR="005625B5" w:rsidRPr="00CF1077" w:rsidRDefault="005625B5" w:rsidP="005625B5">
      <w:pPr>
        <w:pStyle w:val="Corpsdetexte"/>
        <w:numPr>
          <w:ilvl w:val="0"/>
          <w:numId w:val="79"/>
        </w:numPr>
        <w:spacing w:before="0" w:line="276" w:lineRule="auto"/>
        <w:rPr>
          <w:rFonts w:ascii="Century Gothic" w:hAnsi="Century Gothic"/>
        </w:rPr>
      </w:pPr>
      <w:r w:rsidRPr="00CF1077">
        <w:rPr>
          <w:rFonts w:ascii="Century Gothic" w:hAnsi="Century Gothic"/>
          <w:b/>
          <w:bCs/>
        </w:rPr>
        <w:t>Axe thématique 2.1</w:t>
      </w:r>
      <w:r w:rsidRPr="00CF1077">
        <w:rPr>
          <w:rFonts w:ascii="Century Gothic" w:hAnsi="Century Gothic"/>
        </w:rPr>
        <w:t xml:space="preserve"> : Gestion et valorisation durable des ressources naturelles terrestres intégrant les changements climatiques  </w:t>
      </w:r>
    </w:p>
    <w:p w14:paraId="5BCE9451" w14:textId="77777777" w:rsidR="005625B5" w:rsidRPr="00CF1077" w:rsidRDefault="005625B5" w:rsidP="005625B5">
      <w:pPr>
        <w:pStyle w:val="Corpsdetexte"/>
        <w:numPr>
          <w:ilvl w:val="0"/>
          <w:numId w:val="79"/>
        </w:numPr>
        <w:spacing w:before="0" w:line="276" w:lineRule="auto"/>
        <w:rPr>
          <w:rFonts w:ascii="Century Gothic" w:hAnsi="Century Gothic"/>
        </w:rPr>
      </w:pPr>
      <w:r w:rsidRPr="00CF1077">
        <w:rPr>
          <w:rFonts w:ascii="Century Gothic" w:hAnsi="Century Gothic"/>
          <w:b/>
          <w:bCs/>
        </w:rPr>
        <w:t>Axe thématique 2.2</w:t>
      </w:r>
      <w:r w:rsidRPr="00CF1077">
        <w:rPr>
          <w:rFonts w:ascii="Century Gothic" w:hAnsi="Century Gothic"/>
        </w:rPr>
        <w:t xml:space="preserve"> : Gestion locale, décentralisée et concertée des ressources naturelles  </w:t>
      </w:r>
    </w:p>
    <w:p w14:paraId="1F1CC205" w14:textId="77777777" w:rsidR="005625B5" w:rsidRPr="00CF1077" w:rsidRDefault="005625B5" w:rsidP="005625B5">
      <w:pPr>
        <w:pStyle w:val="Corpsdetexte"/>
        <w:numPr>
          <w:ilvl w:val="0"/>
          <w:numId w:val="79"/>
        </w:numPr>
        <w:spacing w:before="0" w:line="276" w:lineRule="auto"/>
        <w:rPr>
          <w:rFonts w:ascii="Century Gothic" w:hAnsi="Century Gothic"/>
        </w:rPr>
      </w:pPr>
      <w:r w:rsidRPr="00CF1077">
        <w:rPr>
          <w:rFonts w:ascii="Century Gothic" w:hAnsi="Century Gothic"/>
          <w:b/>
          <w:bCs/>
        </w:rPr>
        <w:t>Axe thématique 2.3</w:t>
      </w:r>
      <w:r w:rsidRPr="00CF1077">
        <w:rPr>
          <w:rFonts w:ascii="Century Gothic" w:hAnsi="Century Gothic"/>
        </w:rPr>
        <w:t> : Protection et aménagement de la biodiversité animale et végétale</w:t>
      </w:r>
    </w:p>
    <w:p w14:paraId="2D4BF516" w14:textId="77777777" w:rsidR="005625B5" w:rsidRPr="009C4B49" w:rsidRDefault="005625B5" w:rsidP="005625B5">
      <w:pPr>
        <w:pStyle w:val="Corpsdetexte"/>
        <w:spacing w:before="0" w:line="276" w:lineRule="auto"/>
        <w:rPr>
          <w:rFonts w:ascii="Century Gothic" w:hAnsi="Century Gothic"/>
          <w:b/>
          <w:bCs/>
          <w:sz w:val="8"/>
          <w:szCs w:val="8"/>
        </w:rPr>
      </w:pPr>
    </w:p>
    <w:p w14:paraId="56061A78" w14:textId="77777777" w:rsidR="005625B5" w:rsidRDefault="005625B5" w:rsidP="009C4B49">
      <w:pPr>
        <w:pStyle w:val="Corpsdetexte"/>
        <w:spacing w:before="0" w:line="276" w:lineRule="auto"/>
        <w:ind w:left="284"/>
        <w:rPr>
          <w:rFonts w:ascii="Century Gothic" w:hAnsi="Century Gothic"/>
        </w:rPr>
      </w:pPr>
      <w:r w:rsidRPr="00CF1077">
        <w:rPr>
          <w:rFonts w:ascii="Century Gothic" w:hAnsi="Century Gothic"/>
          <w:b/>
          <w:bCs/>
        </w:rPr>
        <w:t xml:space="preserve">Axe 3 : Environnement « BLEU » : </w:t>
      </w:r>
      <w:r w:rsidRPr="00CF1077">
        <w:rPr>
          <w:rFonts w:ascii="Century Gothic" w:hAnsi="Century Gothic"/>
        </w:rPr>
        <w:t xml:space="preserve">Gestion durable de l’Environnement marin et côtier. Cet axe se recoupe avec les ODD 1, 6, 11, 12, 13 et 14 </w:t>
      </w:r>
    </w:p>
    <w:p w14:paraId="43324064" w14:textId="77777777" w:rsidR="005625B5" w:rsidRPr="009C4B49" w:rsidRDefault="005625B5" w:rsidP="005625B5">
      <w:pPr>
        <w:pStyle w:val="Corpsdetexte"/>
        <w:spacing w:before="0" w:line="276" w:lineRule="auto"/>
        <w:rPr>
          <w:rFonts w:ascii="Century Gothic" w:hAnsi="Century Gothic"/>
          <w:sz w:val="6"/>
          <w:szCs w:val="6"/>
        </w:rPr>
      </w:pPr>
    </w:p>
    <w:p w14:paraId="79DD0B26" w14:textId="77777777" w:rsidR="005625B5" w:rsidRPr="00CF1077" w:rsidRDefault="005625B5" w:rsidP="005625B5">
      <w:pPr>
        <w:pStyle w:val="Corpsdetexte"/>
        <w:numPr>
          <w:ilvl w:val="0"/>
          <w:numId w:val="80"/>
        </w:numPr>
        <w:spacing w:before="0" w:line="276" w:lineRule="auto"/>
        <w:rPr>
          <w:rFonts w:ascii="Century Gothic" w:hAnsi="Century Gothic"/>
        </w:rPr>
      </w:pPr>
      <w:r w:rsidRPr="00CF1077">
        <w:rPr>
          <w:rFonts w:ascii="Century Gothic" w:hAnsi="Century Gothic"/>
          <w:b/>
          <w:bCs/>
        </w:rPr>
        <w:t>Axe thématique 3.1</w:t>
      </w:r>
      <w:r w:rsidRPr="00CF1077">
        <w:rPr>
          <w:rFonts w:ascii="Century Gothic" w:hAnsi="Century Gothic"/>
        </w:rPr>
        <w:t xml:space="preserve"> : Régularisation des usages et valorisation durable du littoral et des espaces marins prenant en compte les changements climatiques </w:t>
      </w:r>
    </w:p>
    <w:p w14:paraId="3001B44E" w14:textId="77777777" w:rsidR="005625B5" w:rsidRPr="00CF1077" w:rsidRDefault="005625B5" w:rsidP="005625B5">
      <w:pPr>
        <w:pStyle w:val="Corpsdetexte"/>
        <w:numPr>
          <w:ilvl w:val="0"/>
          <w:numId w:val="80"/>
        </w:numPr>
        <w:spacing w:before="0" w:line="276" w:lineRule="auto"/>
        <w:rPr>
          <w:rFonts w:ascii="Century Gothic" w:hAnsi="Century Gothic"/>
        </w:rPr>
      </w:pPr>
      <w:r w:rsidRPr="00CF1077">
        <w:rPr>
          <w:rFonts w:ascii="Century Gothic" w:hAnsi="Century Gothic"/>
          <w:b/>
          <w:bCs/>
        </w:rPr>
        <w:t>Axe thématique 3.2</w:t>
      </w:r>
      <w:r w:rsidRPr="00CF1077">
        <w:rPr>
          <w:rFonts w:ascii="Century Gothic" w:hAnsi="Century Gothic"/>
        </w:rPr>
        <w:t xml:space="preserve"> : Gestion concertée et coordination efficace entre tous les acteurs </w:t>
      </w:r>
    </w:p>
    <w:p w14:paraId="4C6EE5C8" w14:textId="77777777" w:rsidR="005625B5" w:rsidRPr="00CF1077" w:rsidRDefault="005625B5" w:rsidP="005625B5">
      <w:pPr>
        <w:pStyle w:val="Corpsdetexte"/>
        <w:numPr>
          <w:ilvl w:val="0"/>
          <w:numId w:val="80"/>
        </w:numPr>
        <w:spacing w:before="0" w:line="276" w:lineRule="auto"/>
        <w:rPr>
          <w:rFonts w:ascii="Century Gothic" w:hAnsi="Century Gothic"/>
        </w:rPr>
      </w:pPr>
      <w:r w:rsidRPr="00CF1077">
        <w:rPr>
          <w:rFonts w:ascii="Century Gothic" w:hAnsi="Century Gothic"/>
          <w:b/>
          <w:bCs/>
        </w:rPr>
        <w:t>Axe thématique 3.3</w:t>
      </w:r>
      <w:r w:rsidRPr="00CF1077">
        <w:rPr>
          <w:rFonts w:ascii="Century Gothic" w:hAnsi="Century Gothic"/>
        </w:rPr>
        <w:t xml:space="preserve"> : Restauration d’écosystèmes offrant une protection contre l’érosion du littoral </w:t>
      </w:r>
    </w:p>
    <w:p w14:paraId="55721481" w14:textId="77777777" w:rsidR="005625B5" w:rsidRPr="00CF1077" w:rsidRDefault="005625B5" w:rsidP="005625B5">
      <w:pPr>
        <w:pStyle w:val="Corpsdetexte"/>
        <w:numPr>
          <w:ilvl w:val="0"/>
          <w:numId w:val="80"/>
        </w:numPr>
        <w:spacing w:before="0" w:line="276" w:lineRule="auto"/>
        <w:rPr>
          <w:rFonts w:ascii="Century Gothic" w:hAnsi="Century Gothic"/>
        </w:rPr>
      </w:pPr>
      <w:r w:rsidRPr="00CF1077">
        <w:rPr>
          <w:rFonts w:ascii="Century Gothic" w:hAnsi="Century Gothic"/>
          <w:b/>
          <w:bCs/>
        </w:rPr>
        <w:t>Axe thématique 3.4</w:t>
      </w:r>
      <w:r w:rsidRPr="00CF1077">
        <w:rPr>
          <w:rFonts w:ascii="Century Gothic" w:hAnsi="Century Gothic"/>
        </w:rPr>
        <w:t xml:space="preserve"> : Protection du littoral contre les effets des changements climatiques </w:t>
      </w:r>
    </w:p>
    <w:p w14:paraId="14897374" w14:textId="77777777" w:rsidR="005625B5" w:rsidRPr="009C4B49" w:rsidRDefault="005625B5" w:rsidP="005625B5">
      <w:pPr>
        <w:pStyle w:val="Corpsdetexte"/>
        <w:spacing w:before="0" w:line="276" w:lineRule="auto"/>
        <w:rPr>
          <w:rFonts w:ascii="Century Gothic" w:hAnsi="Century Gothic"/>
          <w:b/>
          <w:bCs/>
          <w:sz w:val="6"/>
          <w:szCs w:val="6"/>
        </w:rPr>
      </w:pPr>
    </w:p>
    <w:p w14:paraId="781EF3C4" w14:textId="77777777" w:rsidR="005625B5" w:rsidRDefault="005625B5" w:rsidP="009C4B49">
      <w:pPr>
        <w:pStyle w:val="Corpsdetexte"/>
        <w:spacing w:before="0" w:line="276" w:lineRule="auto"/>
        <w:ind w:left="284"/>
        <w:rPr>
          <w:rFonts w:ascii="Century Gothic" w:hAnsi="Century Gothic"/>
        </w:rPr>
      </w:pPr>
      <w:r w:rsidRPr="00CF1077">
        <w:rPr>
          <w:rFonts w:ascii="Century Gothic" w:hAnsi="Century Gothic"/>
          <w:b/>
          <w:bCs/>
        </w:rPr>
        <w:t xml:space="preserve">Axe 4 ; Environnement « GRIS » : </w:t>
      </w:r>
      <w:r w:rsidRPr="00CF1077">
        <w:rPr>
          <w:rFonts w:ascii="Century Gothic" w:hAnsi="Century Gothic"/>
        </w:rPr>
        <w:t xml:space="preserve">Renforcement de la préservation, de la gestion des pollutions et menaces anthropiques </w:t>
      </w:r>
    </w:p>
    <w:p w14:paraId="567AA31C" w14:textId="77777777" w:rsidR="005625B5" w:rsidRPr="009C4B49" w:rsidRDefault="005625B5" w:rsidP="005625B5">
      <w:pPr>
        <w:pStyle w:val="Corpsdetexte"/>
        <w:spacing w:before="0" w:line="276" w:lineRule="auto"/>
        <w:rPr>
          <w:rFonts w:ascii="Century Gothic" w:hAnsi="Century Gothic"/>
          <w:sz w:val="6"/>
          <w:szCs w:val="6"/>
        </w:rPr>
      </w:pPr>
    </w:p>
    <w:p w14:paraId="39D03B38" w14:textId="77777777" w:rsidR="005625B5" w:rsidRPr="00CF1077" w:rsidRDefault="005625B5" w:rsidP="005625B5">
      <w:pPr>
        <w:pStyle w:val="Corpsdetexte"/>
        <w:numPr>
          <w:ilvl w:val="0"/>
          <w:numId w:val="81"/>
        </w:numPr>
        <w:spacing w:before="0" w:line="276" w:lineRule="auto"/>
        <w:rPr>
          <w:rFonts w:ascii="Century Gothic" w:hAnsi="Century Gothic"/>
        </w:rPr>
      </w:pPr>
      <w:r w:rsidRPr="00CF1077">
        <w:rPr>
          <w:rFonts w:ascii="Century Gothic" w:hAnsi="Century Gothic"/>
          <w:b/>
          <w:bCs/>
        </w:rPr>
        <w:t>Axe thématique 4.1</w:t>
      </w:r>
      <w:r w:rsidRPr="00CF1077">
        <w:rPr>
          <w:rFonts w:ascii="Century Gothic" w:hAnsi="Century Gothic"/>
        </w:rPr>
        <w:t xml:space="preserve"> : Gestion des déchets et pollution </w:t>
      </w:r>
    </w:p>
    <w:p w14:paraId="047CA937" w14:textId="77777777" w:rsidR="005625B5" w:rsidRPr="00CF1077" w:rsidRDefault="005625B5" w:rsidP="005625B5">
      <w:pPr>
        <w:pStyle w:val="Corpsdetexte"/>
        <w:numPr>
          <w:ilvl w:val="0"/>
          <w:numId w:val="81"/>
        </w:numPr>
        <w:spacing w:before="0" w:line="276" w:lineRule="auto"/>
        <w:rPr>
          <w:rFonts w:ascii="Century Gothic" w:hAnsi="Century Gothic"/>
        </w:rPr>
      </w:pPr>
      <w:r w:rsidRPr="00CF1077">
        <w:rPr>
          <w:rFonts w:ascii="Century Gothic" w:hAnsi="Century Gothic"/>
          <w:b/>
          <w:bCs/>
        </w:rPr>
        <w:t>Axe thématique 4.2</w:t>
      </w:r>
      <w:r w:rsidRPr="00CF1077">
        <w:rPr>
          <w:rFonts w:ascii="Century Gothic" w:hAnsi="Century Gothic"/>
        </w:rPr>
        <w:t xml:space="preserve"> : Réduction des émissions et pollutions diverses   </w:t>
      </w:r>
    </w:p>
    <w:p w14:paraId="3D745C9A" w14:textId="77777777" w:rsidR="005625B5" w:rsidRPr="00CF1077" w:rsidRDefault="005625B5" w:rsidP="005625B5">
      <w:pPr>
        <w:pStyle w:val="Corpsdetexte"/>
        <w:numPr>
          <w:ilvl w:val="0"/>
          <w:numId w:val="81"/>
        </w:numPr>
        <w:spacing w:before="0" w:line="276" w:lineRule="auto"/>
        <w:rPr>
          <w:rFonts w:ascii="Century Gothic" w:hAnsi="Century Gothic"/>
        </w:rPr>
      </w:pPr>
      <w:r w:rsidRPr="00CF1077">
        <w:rPr>
          <w:rFonts w:ascii="Century Gothic" w:hAnsi="Century Gothic"/>
          <w:b/>
          <w:bCs/>
        </w:rPr>
        <w:t>Axe thématique 4.3</w:t>
      </w:r>
      <w:r w:rsidRPr="00CF1077">
        <w:rPr>
          <w:rFonts w:ascii="Century Gothic" w:hAnsi="Century Gothic"/>
        </w:rPr>
        <w:t xml:space="preserve"> : Réduction des risques de catastrophes </w:t>
      </w:r>
    </w:p>
    <w:p w14:paraId="34114D92" w14:textId="77777777" w:rsidR="005625B5" w:rsidRPr="009C4B49" w:rsidRDefault="005625B5" w:rsidP="005625B5">
      <w:pPr>
        <w:spacing w:after="0" w:line="276" w:lineRule="auto"/>
        <w:jc w:val="both"/>
        <w:rPr>
          <w:rFonts w:ascii="Century Gothic" w:eastAsia="Times New Roman" w:hAnsi="Century Gothic" w:cs="Times New Roman"/>
          <w:b/>
          <w:bCs/>
          <w:sz w:val="14"/>
          <w:szCs w:val="14"/>
          <w:lang w:val="wo-SN" w:eastAsia="wo-SN"/>
        </w:rPr>
      </w:pPr>
    </w:p>
    <w:p w14:paraId="16D9BAC6" w14:textId="77777777" w:rsidR="005625B5" w:rsidRPr="00B73067" w:rsidRDefault="005625B5" w:rsidP="009C4B49">
      <w:pPr>
        <w:numPr>
          <w:ilvl w:val="0"/>
          <w:numId w:val="54"/>
        </w:numPr>
        <w:spacing w:after="0" w:line="276" w:lineRule="auto"/>
        <w:ind w:left="851" w:hanging="491"/>
        <w:jc w:val="both"/>
        <w:rPr>
          <w:rFonts w:ascii="Century Gothic" w:eastAsia="Times New Roman" w:hAnsi="Century Gothic" w:cs="Times New Roman"/>
          <w:b/>
          <w:bCs/>
          <w:sz w:val="24"/>
          <w:szCs w:val="24"/>
          <w:lang w:val="wo-SN" w:eastAsia="wo-SN"/>
        </w:rPr>
      </w:pPr>
      <w:r>
        <w:rPr>
          <w:rFonts w:ascii="Century Gothic" w:eastAsia="Times New Roman" w:hAnsi="Century Gothic" w:cs="Times New Roman"/>
          <w:b/>
          <w:bCs/>
          <w:sz w:val="24"/>
          <w:szCs w:val="24"/>
          <w:lang w:val="wo-SN" w:eastAsia="wo-SN"/>
        </w:rPr>
        <w:t xml:space="preserve">VULNERABILITE AU CHANGEMENT CLIMATIQUE  </w:t>
      </w:r>
    </w:p>
    <w:p w14:paraId="39DF0483" w14:textId="77777777" w:rsidR="005625B5" w:rsidRPr="009C4B49" w:rsidRDefault="005625B5" w:rsidP="005625B5">
      <w:pPr>
        <w:spacing w:after="0" w:line="276" w:lineRule="auto"/>
        <w:jc w:val="both"/>
        <w:rPr>
          <w:rFonts w:ascii="Century Gothic" w:eastAsia="Times New Roman" w:hAnsi="Century Gothic" w:cs="Times New Roman"/>
          <w:sz w:val="14"/>
          <w:szCs w:val="14"/>
          <w:lang w:val="wo-SN" w:eastAsia="wo-SN"/>
        </w:rPr>
      </w:pPr>
    </w:p>
    <w:p w14:paraId="3BBCF37A" w14:textId="77777777" w:rsidR="005625B5" w:rsidRDefault="005625B5" w:rsidP="009C4B49">
      <w:pPr>
        <w:autoSpaceDE w:val="0"/>
        <w:autoSpaceDN w:val="0"/>
        <w:adjustRightInd w:val="0"/>
        <w:spacing w:after="0" w:line="276" w:lineRule="auto"/>
        <w:ind w:left="426"/>
        <w:jc w:val="both"/>
        <w:rPr>
          <w:rFonts w:ascii="Century Gothic" w:hAnsi="Century Gothic" w:cs="Times New Roman"/>
          <w:bCs/>
          <w:iCs/>
          <w:sz w:val="24"/>
          <w:szCs w:val="24"/>
        </w:rPr>
      </w:pPr>
      <w:r w:rsidRPr="00E609A5">
        <w:rPr>
          <w:rFonts w:ascii="Century Gothic" w:hAnsi="Century Gothic" w:cs="Times New Roman"/>
          <w:bCs/>
          <w:iCs/>
          <w:sz w:val="24"/>
          <w:szCs w:val="24"/>
        </w:rPr>
        <w:t>En Mauritanie, selon les études sur l’évaluation de la vulnérabilité des ressources naturelles au C</w:t>
      </w:r>
      <w:r>
        <w:rPr>
          <w:rFonts w:ascii="Century Gothic" w:hAnsi="Century Gothic" w:cs="Times New Roman"/>
          <w:bCs/>
          <w:iCs/>
          <w:sz w:val="24"/>
          <w:szCs w:val="24"/>
        </w:rPr>
        <w:t xml:space="preserve">hangement </w:t>
      </w:r>
      <w:r w:rsidRPr="00E609A5">
        <w:rPr>
          <w:rFonts w:ascii="Century Gothic" w:hAnsi="Century Gothic" w:cs="Times New Roman"/>
          <w:bCs/>
          <w:iCs/>
          <w:sz w:val="24"/>
          <w:szCs w:val="24"/>
        </w:rPr>
        <w:t>C</w:t>
      </w:r>
      <w:r>
        <w:rPr>
          <w:rFonts w:ascii="Century Gothic" w:hAnsi="Century Gothic" w:cs="Times New Roman"/>
          <w:bCs/>
          <w:iCs/>
          <w:sz w:val="24"/>
          <w:szCs w:val="24"/>
        </w:rPr>
        <w:t>limatique</w:t>
      </w:r>
      <w:r w:rsidRPr="00E609A5">
        <w:rPr>
          <w:rFonts w:ascii="Century Gothic" w:hAnsi="Century Gothic" w:cs="Times New Roman"/>
          <w:bCs/>
          <w:iCs/>
          <w:sz w:val="24"/>
          <w:szCs w:val="24"/>
        </w:rPr>
        <w:t>, effectuées dans le cadre du PANA, de la CDN et de la 4</w:t>
      </w:r>
      <w:r w:rsidRPr="00E609A5">
        <w:rPr>
          <w:rFonts w:ascii="Century Gothic" w:hAnsi="Century Gothic" w:cs="Times New Roman"/>
          <w:bCs/>
          <w:iCs/>
          <w:sz w:val="24"/>
          <w:szCs w:val="24"/>
          <w:vertAlign w:val="superscript"/>
        </w:rPr>
        <w:t>ème</w:t>
      </w:r>
      <w:r w:rsidRPr="00E609A5">
        <w:rPr>
          <w:rFonts w:ascii="Century Gothic" w:hAnsi="Century Gothic" w:cs="Times New Roman"/>
          <w:bCs/>
          <w:iCs/>
          <w:sz w:val="24"/>
          <w:szCs w:val="24"/>
        </w:rPr>
        <w:t xml:space="preserve"> Communication Nationale sur le Changement Climatique, les principaux phénomènes climatiques extrêmes sont les sécheresses dues aux déficits pluviométriques, les inondations, les tempêtes de sable et/ou de poussière, les températures extrêmes, les vents violents et d’autres phénomènes non moins importants connexes tels que les feux de brousse. </w:t>
      </w:r>
    </w:p>
    <w:p w14:paraId="45DD1656" w14:textId="77777777" w:rsidR="005625B5" w:rsidRDefault="005625B5" w:rsidP="005625B5">
      <w:pPr>
        <w:spacing w:after="0" w:line="276" w:lineRule="auto"/>
        <w:jc w:val="both"/>
        <w:rPr>
          <w:rFonts w:ascii="Century Gothic" w:hAnsi="Century Gothic" w:cs="Times New Roman"/>
          <w:sz w:val="24"/>
          <w:szCs w:val="24"/>
        </w:rPr>
      </w:pPr>
      <w:r w:rsidRPr="009C4B49">
        <w:rPr>
          <w:rFonts w:ascii="Century Gothic" w:hAnsi="Century Gothic" w:cs="Times New Roman"/>
          <w:bCs/>
          <w:iCs/>
          <w:sz w:val="24"/>
          <w:szCs w:val="24"/>
        </w:rPr>
        <w:t xml:space="preserve">Selon les différentes prédictions, la Mauritanie devrait connaitre </w:t>
      </w:r>
      <w:r w:rsidRPr="00C63431">
        <w:rPr>
          <w:rFonts w:ascii="Century Gothic" w:hAnsi="Century Gothic" w:cs="Times New Roman"/>
          <w:sz w:val="24"/>
          <w:szCs w:val="24"/>
        </w:rPr>
        <w:t xml:space="preserve">une forte exposition socio-économique et écologique au climat. Celle-ci serait à l’origine d’impacts considérables et préjudiciables qui demeurent encore faiblement documentés, notamment pour appréhender les coûts socioéconomiques qui en résulteraient. </w:t>
      </w:r>
    </w:p>
    <w:p w14:paraId="4DAEC3B3" w14:textId="77777777" w:rsidR="005625B5" w:rsidRPr="00C63431" w:rsidRDefault="005625B5" w:rsidP="005625B5">
      <w:pPr>
        <w:spacing w:after="0" w:line="276" w:lineRule="auto"/>
        <w:jc w:val="both"/>
        <w:rPr>
          <w:rFonts w:ascii="Century Gothic" w:hAnsi="Century Gothic" w:cs="Times New Roman"/>
          <w:sz w:val="24"/>
          <w:szCs w:val="24"/>
        </w:rPr>
      </w:pPr>
    </w:p>
    <w:p w14:paraId="4496776E" w14:textId="77777777" w:rsidR="005625B5" w:rsidRDefault="005625B5" w:rsidP="005625B5">
      <w:pPr>
        <w:spacing w:after="0" w:line="276" w:lineRule="auto"/>
        <w:jc w:val="both"/>
        <w:rPr>
          <w:rFonts w:ascii="Century Gothic" w:hAnsi="Century Gothic" w:cs="Times New Roman"/>
          <w:sz w:val="24"/>
          <w:szCs w:val="24"/>
        </w:rPr>
      </w:pPr>
      <w:r w:rsidRPr="00C63431">
        <w:rPr>
          <w:rFonts w:ascii="Century Gothic" w:hAnsi="Century Gothic" w:cs="Times New Roman"/>
          <w:sz w:val="24"/>
          <w:szCs w:val="24"/>
        </w:rPr>
        <w:t xml:space="preserve">En effet, la population Mauritanienne </w:t>
      </w:r>
      <w:r>
        <w:rPr>
          <w:rFonts w:ascii="Century Gothic" w:hAnsi="Century Gothic" w:cs="Times New Roman"/>
          <w:sz w:val="24"/>
          <w:szCs w:val="24"/>
        </w:rPr>
        <w:t xml:space="preserve">toute entière </w:t>
      </w:r>
      <w:r w:rsidRPr="00C63431">
        <w:rPr>
          <w:rFonts w:ascii="Century Gothic" w:hAnsi="Century Gothic" w:cs="Times New Roman"/>
          <w:sz w:val="24"/>
          <w:szCs w:val="24"/>
        </w:rPr>
        <w:t xml:space="preserve">concernée est </w:t>
      </w:r>
      <w:r>
        <w:rPr>
          <w:rFonts w:ascii="Century Gothic" w:hAnsi="Century Gothic" w:cs="Times New Roman"/>
          <w:sz w:val="24"/>
          <w:szCs w:val="24"/>
        </w:rPr>
        <w:t xml:space="preserve">par les effets néfastes </w:t>
      </w:r>
      <w:r w:rsidRPr="00C63431">
        <w:rPr>
          <w:rFonts w:ascii="Century Gothic" w:hAnsi="Century Gothic" w:cs="Times New Roman"/>
          <w:sz w:val="24"/>
          <w:szCs w:val="24"/>
        </w:rPr>
        <w:t xml:space="preserve">par le changement climatique dans la mesure où celui-ci conditionne les ressources alimentaires, hydriques, forestières et financières avec des retombées directes au niveau local et national. En </w:t>
      </w:r>
      <w:r>
        <w:rPr>
          <w:rFonts w:ascii="Century Gothic" w:hAnsi="Century Gothic" w:cs="Times New Roman"/>
          <w:sz w:val="24"/>
          <w:szCs w:val="24"/>
        </w:rPr>
        <w:t xml:space="preserve">effet, </w:t>
      </w:r>
      <w:r w:rsidRPr="00C63431">
        <w:rPr>
          <w:rFonts w:ascii="Century Gothic" w:hAnsi="Century Gothic" w:cs="Times New Roman"/>
          <w:sz w:val="24"/>
          <w:szCs w:val="24"/>
        </w:rPr>
        <w:t xml:space="preserve">les systèmes de production en milieu rurale (agriculture, élevage et exploitation des produits forestiers ligneux et non ligneux) sont étroitement tributaires du climat notamment de la pluviométrie.  </w:t>
      </w:r>
    </w:p>
    <w:p w14:paraId="5B7082C9" w14:textId="77777777" w:rsidR="005625B5" w:rsidRPr="00C63431" w:rsidRDefault="005625B5" w:rsidP="005625B5">
      <w:pPr>
        <w:spacing w:after="0" w:line="276" w:lineRule="auto"/>
        <w:jc w:val="both"/>
        <w:rPr>
          <w:rFonts w:ascii="Century Gothic" w:hAnsi="Century Gothic" w:cs="Times New Roman"/>
          <w:sz w:val="24"/>
          <w:szCs w:val="24"/>
        </w:rPr>
      </w:pPr>
    </w:p>
    <w:p w14:paraId="06565255" w14:textId="77777777" w:rsidR="005625B5" w:rsidRDefault="005625B5" w:rsidP="005625B5">
      <w:pPr>
        <w:spacing w:after="0" w:line="276" w:lineRule="auto"/>
        <w:jc w:val="both"/>
        <w:rPr>
          <w:rFonts w:ascii="Century Gothic" w:hAnsi="Century Gothic" w:cs="Times New Roman"/>
          <w:sz w:val="24"/>
          <w:szCs w:val="24"/>
        </w:rPr>
      </w:pPr>
      <w:r w:rsidRPr="00C63431">
        <w:rPr>
          <w:rFonts w:ascii="Century Gothic" w:hAnsi="Century Gothic" w:cs="Times New Roman"/>
          <w:sz w:val="24"/>
          <w:szCs w:val="24"/>
        </w:rPr>
        <w:t xml:space="preserve">Aussi, le pays a connu une longue série de décennies de sécheresse  qui a eu comme conséquence une forte   dégradation des ressources naturelles et la désertification qui en a résulté a été  d’autant plus forte que l’action du climat, conjuguée à celle de l’homme, a entraîné des conséquences directes sur un milieu naturel déjà très fragile, à savoir la dégradation des conditions socio-économiques  générales du pays et de l’environnement physique, ainsi que l’appauvrissement progressif de la population rurale. </w:t>
      </w:r>
    </w:p>
    <w:p w14:paraId="38A13D47" w14:textId="77777777" w:rsidR="005625B5" w:rsidRDefault="005625B5" w:rsidP="005625B5">
      <w:pPr>
        <w:spacing w:after="0" w:line="276" w:lineRule="auto"/>
        <w:jc w:val="both"/>
        <w:rPr>
          <w:rFonts w:ascii="Century Gothic" w:hAnsi="Century Gothic" w:cs="Times New Roman"/>
          <w:sz w:val="24"/>
          <w:szCs w:val="24"/>
        </w:rPr>
      </w:pPr>
    </w:p>
    <w:p w14:paraId="1CB8A1B0" w14:textId="77777777" w:rsidR="005625B5" w:rsidRDefault="005625B5" w:rsidP="005625B5">
      <w:pPr>
        <w:spacing w:after="0" w:line="276" w:lineRule="auto"/>
        <w:jc w:val="both"/>
        <w:rPr>
          <w:rFonts w:ascii="Century Gothic" w:hAnsi="Century Gothic" w:cs="Times New Roman"/>
          <w:iCs/>
          <w:sz w:val="24"/>
          <w:szCs w:val="24"/>
        </w:rPr>
      </w:pPr>
      <w:r w:rsidRPr="00C63431">
        <w:rPr>
          <w:rFonts w:ascii="Century Gothic" w:hAnsi="Century Gothic" w:cs="Times New Roman"/>
          <w:sz w:val="24"/>
          <w:szCs w:val="24"/>
        </w:rPr>
        <w:t xml:space="preserve">En plus des risques liés à la vulnérabilité de l’économie nationale aux chocs exogènes, les impacts des changements climatiques affectent en particulier des secteurs vitaux de l’économie nationale comme les ressources en eau, les productions agricoles et l’élevage, l’économie du littoral et les écosystèmes naturels. In fine, la pression sur les ressources naturelles sera plus soutenue pour subvenir aux besoins de base des populations rurales qui tirent l’essentiel de leurs revenus de l’exploitation des ressources naturelles </w:t>
      </w:r>
      <w:r w:rsidRPr="00C63431">
        <w:rPr>
          <w:rFonts w:ascii="Century Gothic" w:hAnsi="Century Gothic" w:cs="Times New Roman"/>
          <w:iCs/>
          <w:sz w:val="24"/>
          <w:szCs w:val="24"/>
        </w:rPr>
        <w:t>(</w:t>
      </w:r>
      <w:r>
        <w:rPr>
          <w:rFonts w:ascii="Century Gothic" w:hAnsi="Century Gothic" w:cs="Times New Roman"/>
          <w:iCs/>
          <w:sz w:val="24"/>
          <w:szCs w:val="24"/>
        </w:rPr>
        <w:t>3</w:t>
      </w:r>
      <w:r w:rsidRPr="003A30F3">
        <w:rPr>
          <w:rFonts w:ascii="Century Gothic" w:hAnsi="Century Gothic" w:cs="Times New Roman"/>
          <w:iCs/>
          <w:sz w:val="24"/>
          <w:szCs w:val="24"/>
          <w:vertAlign w:val="superscript"/>
        </w:rPr>
        <w:t>ème</w:t>
      </w:r>
      <w:r>
        <w:rPr>
          <w:rFonts w:ascii="Century Gothic" w:hAnsi="Century Gothic" w:cs="Times New Roman"/>
          <w:iCs/>
          <w:sz w:val="24"/>
          <w:szCs w:val="24"/>
        </w:rPr>
        <w:t xml:space="preserve"> </w:t>
      </w:r>
      <w:r w:rsidRPr="00C63431">
        <w:rPr>
          <w:rFonts w:ascii="Century Gothic" w:hAnsi="Century Gothic" w:cs="Times New Roman"/>
          <w:iCs/>
          <w:sz w:val="24"/>
          <w:szCs w:val="24"/>
        </w:rPr>
        <w:t>CN, 2014).</w:t>
      </w:r>
    </w:p>
    <w:p w14:paraId="721FAF0E" w14:textId="77777777" w:rsidR="005625B5" w:rsidRPr="00B35B59" w:rsidRDefault="005625B5" w:rsidP="005625B5">
      <w:pPr>
        <w:spacing w:after="0" w:line="276" w:lineRule="auto"/>
        <w:jc w:val="both"/>
        <w:rPr>
          <w:rFonts w:ascii="Century Gothic" w:hAnsi="Century Gothic" w:cs="Times New Roman"/>
          <w:iCs/>
          <w:sz w:val="10"/>
          <w:szCs w:val="10"/>
        </w:rPr>
      </w:pPr>
    </w:p>
    <w:p w14:paraId="448BAF49" w14:textId="77777777" w:rsidR="005625B5" w:rsidRDefault="005625B5" w:rsidP="005625B5">
      <w:pPr>
        <w:spacing w:after="0" w:line="276" w:lineRule="auto"/>
        <w:jc w:val="both"/>
        <w:rPr>
          <w:rFonts w:ascii="Century Gothic" w:hAnsi="Century Gothic" w:cs="Times New Roman"/>
          <w:sz w:val="24"/>
          <w:szCs w:val="24"/>
        </w:rPr>
      </w:pPr>
      <w:r>
        <w:rPr>
          <w:rFonts w:ascii="Century Gothic" w:hAnsi="Century Gothic" w:cs="Times New Roman"/>
          <w:sz w:val="24"/>
          <w:szCs w:val="24"/>
        </w:rPr>
        <w:t>S</w:t>
      </w:r>
      <w:r w:rsidRPr="00321D7D">
        <w:rPr>
          <w:rFonts w:ascii="Century Gothic" w:hAnsi="Century Gothic" w:cs="Times New Roman"/>
          <w:sz w:val="24"/>
          <w:szCs w:val="24"/>
        </w:rPr>
        <w:t>elon les études sur l’évaluation de la vulnérabilité des ressources naturelles au</w:t>
      </w:r>
      <w:r>
        <w:rPr>
          <w:rFonts w:ascii="Century Gothic" w:hAnsi="Century Gothic" w:cs="Times New Roman"/>
          <w:sz w:val="24"/>
          <w:szCs w:val="24"/>
        </w:rPr>
        <w:t>x</w:t>
      </w:r>
      <w:r w:rsidRPr="00321D7D">
        <w:rPr>
          <w:rFonts w:ascii="Century Gothic" w:hAnsi="Century Gothic" w:cs="Times New Roman"/>
          <w:sz w:val="24"/>
          <w:szCs w:val="24"/>
        </w:rPr>
        <w:t xml:space="preserve"> </w:t>
      </w:r>
      <w:r>
        <w:rPr>
          <w:rFonts w:ascii="Century Gothic" w:hAnsi="Century Gothic" w:cs="Times New Roman"/>
          <w:sz w:val="24"/>
          <w:szCs w:val="24"/>
        </w:rPr>
        <w:t>changements climatiques</w:t>
      </w:r>
      <w:r w:rsidRPr="00321D7D">
        <w:rPr>
          <w:rFonts w:ascii="Century Gothic" w:hAnsi="Century Gothic" w:cs="Times New Roman"/>
          <w:sz w:val="24"/>
          <w:szCs w:val="24"/>
        </w:rPr>
        <w:t>, effectuées dans le cadre du PANA, de la CDN et de la 4</w:t>
      </w:r>
      <w:r w:rsidRPr="00321D7D">
        <w:rPr>
          <w:rFonts w:ascii="Century Gothic" w:hAnsi="Century Gothic" w:cs="Times New Roman"/>
          <w:sz w:val="24"/>
          <w:szCs w:val="24"/>
          <w:vertAlign w:val="superscript"/>
        </w:rPr>
        <w:t>ème</w:t>
      </w:r>
      <w:r w:rsidRPr="00321D7D">
        <w:rPr>
          <w:rFonts w:ascii="Century Gothic" w:hAnsi="Century Gothic" w:cs="Times New Roman"/>
          <w:sz w:val="24"/>
          <w:szCs w:val="24"/>
        </w:rPr>
        <w:t xml:space="preserve"> Communication Nationale sur le Changement Climatique</w:t>
      </w:r>
      <w:r>
        <w:rPr>
          <w:rFonts w:ascii="Century Gothic" w:hAnsi="Century Gothic" w:cs="Times New Roman"/>
          <w:sz w:val="24"/>
          <w:szCs w:val="24"/>
        </w:rPr>
        <w:t xml:space="preserve"> (2019)</w:t>
      </w:r>
      <w:r w:rsidRPr="00321D7D">
        <w:rPr>
          <w:rFonts w:ascii="Century Gothic" w:hAnsi="Century Gothic" w:cs="Times New Roman"/>
          <w:sz w:val="24"/>
          <w:szCs w:val="24"/>
        </w:rPr>
        <w:t xml:space="preserve">, les principaux phénomènes climatiques extrêmes sont les sécheresses dues aux déficits pluviométriques, les inondations, les tempêtes de sable et/ou de poussière, les températures extrêmes, les vents violents et d’autres phénomènes non moins importants connexes tels que les feux de brousse. </w:t>
      </w:r>
    </w:p>
    <w:p w14:paraId="3DD05F75" w14:textId="77777777" w:rsidR="005625B5" w:rsidRPr="004D6911" w:rsidRDefault="005625B5" w:rsidP="005625B5">
      <w:pPr>
        <w:spacing w:before="120" w:after="120" w:line="276" w:lineRule="auto"/>
        <w:jc w:val="both"/>
        <w:rPr>
          <w:rFonts w:ascii="Century Gothic" w:hAnsi="Century Gothic" w:cs="Times New Roman"/>
          <w:b/>
          <w:bCs/>
          <w:sz w:val="24"/>
          <w:szCs w:val="24"/>
        </w:rPr>
      </w:pPr>
      <w:r w:rsidRPr="004D6911">
        <w:rPr>
          <w:rFonts w:ascii="Century Gothic" w:hAnsi="Century Gothic" w:cs="Times New Roman"/>
          <w:b/>
          <w:bCs/>
          <w:sz w:val="24"/>
          <w:szCs w:val="24"/>
        </w:rPr>
        <w:t>Matrice de sensibilité des unités d’exposition aux risques climatiques :</w:t>
      </w:r>
    </w:p>
    <w:tbl>
      <w:tblPr>
        <w:tblW w:w="1040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1559"/>
        <w:gridCol w:w="1276"/>
        <w:gridCol w:w="1560"/>
        <w:gridCol w:w="992"/>
        <w:gridCol w:w="1417"/>
        <w:gridCol w:w="1418"/>
        <w:gridCol w:w="711"/>
        <w:gridCol w:w="22"/>
      </w:tblGrid>
      <w:tr w:rsidR="005625B5" w14:paraId="735BB426" w14:textId="77777777" w:rsidTr="00FB354B">
        <w:tc>
          <w:tcPr>
            <w:tcW w:w="1447" w:type="dxa"/>
            <w:vMerge w:val="restart"/>
            <w:shd w:val="clear" w:color="auto" w:fill="auto"/>
          </w:tcPr>
          <w:p w14:paraId="7DEAE078"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Unités d’exposition</w:t>
            </w:r>
          </w:p>
        </w:tc>
        <w:tc>
          <w:tcPr>
            <w:tcW w:w="8955" w:type="dxa"/>
            <w:gridSpan w:val="8"/>
            <w:shd w:val="clear" w:color="auto" w:fill="auto"/>
          </w:tcPr>
          <w:p w14:paraId="36B25B0C"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Aléas climatiques</w:t>
            </w:r>
          </w:p>
        </w:tc>
      </w:tr>
      <w:tr w:rsidR="005625B5" w14:paraId="09EDA7AB" w14:textId="77777777" w:rsidTr="00FB354B">
        <w:trPr>
          <w:gridAfter w:val="1"/>
          <w:wAfter w:w="22" w:type="dxa"/>
        </w:trPr>
        <w:tc>
          <w:tcPr>
            <w:tcW w:w="1447" w:type="dxa"/>
            <w:vMerge/>
            <w:shd w:val="clear" w:color="auto" w:fill="auto"/>
          </w:tcPr>
          <w:p w14:paraId="201AF903" w14:textId="77777777" w:rsidR="005625B5" w:rsidRDefault="005625B5" w:rsidP="00FB354B">
            <w:pPr>
              <w:spacing w:after="0" w:line="276" w:lineRule="auto"/>
              <w:jc w:val="both"/>
              <w:rPr>
                <w:rFonts w:ascii="Century Gothic" w:hAnsi="Century Gothic" w:cs="Times New Roman"/>
                <w:b/>
                <w:bCs/>
                <w:sz w:val="20"/>
                <w:szCs w:val="20"/>
              </w:rPr>
            </w:pPr>
          </w:p>
        </w:tc>
        <w:tc>
          <w:tcPr>
            <w:tcW w:w="1559" w:type="dxa"/>
            <w:shd w:val="clear" w:color="auto" w:fill="auto"/>
          </w:tcPr>
          <w:p w14:paraId="45CFAE73" w14:textId="77777777" w:rsidR="005625B5" w:rsidRDefault="005625B5" w:rsidP="00FB354B">
            <w:pPr>
              <w:spacing w:after="0" w:line="276" w:lineRule="auto"/>
              <w:ind w:right="-105"/>
              <w:jc w:val="center"/>
              <w:rPr>
                <w:rFonts w:ascii="Century Gothic" w:hAnsi="Century Gothic" w:cs="Times New Roman"/>
                <w:b/>
                <w:bCs/>
                <w:sz w:val="20"/>
                <w:szCs w:val="20"/>
              </w:rPr>
            </w:pPr>
            <w:r>
              <w:rPr>
                <w:rFonts w:ascii="Century Gothic" w:hAnsi="Century Gothic" w:cs="Times New Roman"/>
                <w:b/>
                <w:bCs/>
                <w:sz w:val="20"/>
                <w:szCs w:val="20"/>
              </w:rPr>
              <w:t>Augmentation Température</w:t>
            </w:r>
          </w:p>
        </w:tc>
        <w:tc>
          <w:tcPr>
            <w:tcW w:w="1276" w:type="dxa"/>
            <w:shd w:val="clear" w:color="auto" w:fill="auto"/>
          </w:tcPr>
          <w:p w14:paraId="4B643AC2" w14:textId="77777777" w:rsidR="005625B5" w:rsidRDefault="005625B5" w:rsidP="00FB354B">
            <w:pPr>
              <w:spacing w:after="0" w:line="276" w:lineRule="auto"/>
              <w:ind w:left="-105"/>
              <w:jc w:val="center"/>
              <w:rPr>
                <w:rFonts w:ascii="Century Gothic" w:hAnsi="Century Gothic" w:cs="Times New Roman"/>
                <w:b/>
                <w:bCs/>
                <w:sz w:val="20"/>
                <w:szCs w:val="20"/>
              </w:rPr>
            </w:pPr>
            <w:r>
              <w:rPr>
                <w:rFonts w:ascii="Century Gothic" w:hAnsi="Century Gothic" w:cs="Times New Roman"/>
                <w:b/>
                <w:bCs/>
                <w:sz w:val="20"/>
                <w:szCs w:val="20"/>
              </w:rPr>
              <w:t>Evolution niveau mer</w:t>
            </w:r>
          </w:p>
        </w:tc>
        <w:tc>
          <w:tcPr>
            <w:tcW w:w="1560" w:type="dxa"/>
            <w:shd w:val="clear" w:color="auto" w:fill="auto"/>
          </w:tcPr>
          <w:p w14:paraId="5F2EFB2B" w14:textId="77777777" w:rsidR="005625B5" w:rsidRDefault="005625B5" w:rsidP="00FB354B">
            <w:pPr>
              <w:spacing w:after="0" w:line="276" w:lineRule="auto"/>
              <w:ind w:left="-111"/>
              <w:jc w:val="center"/>
              <w:rPr>
                <w:rFonts w:ascii="Century Gothic" w:hAnsi="Century Gothic" w:cs="Times New Roman"/>
                <w:b/>
                <w:bCs/>
                <w:sz w:val="20"/>
                <w:szCs w:val="20"/>
              </w:rPr>
            </w:pPr>
            <w:r>
              <w:rPr>
                <w:rFonts w:ascii="Century Gothic" w:hAnsi="Century Gothic" w:cs="Times New Roman"/>
                <w:b/>
                <w:bCs/>
                <w:sz w:val="20"/>
                <w:szCs w:val="20"/>
              </w:rPr>
              <w:t>Augmentation fréquence et période saison sèche</w:t>
            </w:r>
          </w:p>
        </w:tc>
        <w:tc>
          <w:tcPr>
            <w:tcW w:w="992" w:type="dxa"/>
            <w:shd w:val="clear" w:color="auto" w:fill="auto"/>
          </w:tcPr>
          <w:p w14:paraId="28668088"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Modification régime vents</w:t>
            </w:r>
          </w:p>
        </w:tc>
        <w:tc>
          <w:tcPr>
            <w:tcW w:w="1417" w:type="dxa"/>
            <w:shd w:val="clear" w:color="auto" w:fill="auto"/>
          </w:tcPr>
          <w:p w14:paraId="7F5DA80F" w14:textId="77777777" w:rsidR="005625B5" w:rsidRDefault="005625B5" w:rsidP="00FB354B">
            <w:pPr>
              <w:spacing w:after="0" w:line="276" w:lineRule="auto"/>
              <w:ind w:left="-109"/>
              <w:jc w:val="center"/>
              <w:rPr>
                <w:rFonts w:ascii="Century Gothic" w:hAnsi="Century Gothic" w:cs="Times New Roman"/>
                <w:b/>
                <w:bCs/>
                <w:sz w:val="20"/>
                <w:szCs w:val="20"/>
              </w:rPr>
            </w:pPr>
            <w:r>
              <w:rPr>
                <w:rFonts w:ascii="Century Gothic" w:hAnsi="Century Gothic" w:cs="Times New Roman"/>
                <w:b/>
                <w:bCs/>
                <w:sz w:val="20"/>
                <w:szCs w:val="20"/>
              </w:rPr>
              <w:t xml:space="preserve">Forte variabilité </w:t>
            </w:r>
            <w:proofErr w:type="gramStart"/>
            <w:r>
              <w:rPr>
                <w:rFonts w:ascii="Century Gothic" w:hAnsi="Century Gothic" w:cs="Times New Roman"/>
                <w:b/>
                <w:bCs/>
                <w:sz w:val="20"/>
                <w:szCs w:val="20"/>
              </w:rPr>
              <w:t>de  la</w:t>
            </w:r>
            <w:proofErr w:type="gramEnd"/>
            <w:r>
              <w:rPr>
                <w:rFonts w:ascii="Century Gothic" w:hAnsi="Century Gothic" w:cs="Times New Roman"/>
                <w:b/>
                <w:bCs/>
                <w:sz w:val="20"/>
                <w:szCs w:val="20"/>
              </w:rPr>
              <w:t xml:space="preserve"> pluviométrie</w:t>
            </w:r>
          </w:p>
        </w:tc>
        <w:tc>
          <w:tcPr>
            <w:tcW w:w="1418" w:type="dxa"/>
            <w:shd w:val="clear" w:color="auto" w:fill="auto"/>
          </w:tcPr>
          <w:p w14:paraId="470552AA"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Indice d’exposition</w:t>
            </w:r>
          </w:p>
        </w:tc>
        <w:tc>
          <w:tcPr>
            <w:tcW w:w="711" w:type="dxa"/>
            <w:shd w:val="clear" w:color="auto" w:fill="auto"/>
          </w:tcPr>
          <w:p w14:paraId="3241307B" w14:textId="77777777" w:rsidR="005625B5" w:rsidRDefault="005625B5" w:rsidP="00FB354B">
            <w:pPr>
              <w:spacing w:after="0" w:line="276" w:lineRule="auto"/>
              <w:ind w:right="-108"/>
              <w:jc w:val="center"/>
              <w:rPr>
                <w:rFonts w:ascii="Century Gothic" w:hAnsi="Century Gothic" w:cs="Times New Roman"/>
                <w:b/>
                <w:bCs/>
                <w:sz w:val="20"/>
                <w:szCs w:val="20"/>
              </w:rPr>
            </w:pPr>
            <w:r>
              <w:rPr>
                <w:rFonts w:ascii="Century Gothic" w:hAnsi="Century Gothic" w:cs="Times New Roman"/>
                <w:b/>
                <w:bCs/>
                <w:sz w:val="20"/>
                <w:szCs w:val="20"/>
              </w:rPr>
              <w:t>Rang</w:t>
            </w:r>
          </w:p>
        </w:tc>
      </w:tr>
      <w:tr w:rsidR="005625B5" w14:paraId="3BD408E4" w14:textId="77777777" w:rsidTr="00FB354B">
        <w:trPr>
          <w:gridAfter w:val="1"/>
          <w:wAfter w:w="22" w:type="dxa"/>
        </w:trPr>
        <w:tc>
          <w:tcPr>
            <w:tcW w:w="1447" w:type="dxa"/>
            <w:shd w:val="clear" w:color="auto" w:fill="auto"/>
          </w:tcPr>
          <w:p w14:paraId="7D45FB72" w14:textId="77777777" w:rsidR="005625B5" w:rsidRDefault="005625B5" w:rsidP="00FB354B">
            <w:pPr>
              <w:spacing w:after="0" w:line="276" w:lineRule="auto"/>
              <w:ind w:right="-134"/>
              <w:rPr>
                <w:rFonts w:ascii="Century Gothic" w:hAnsi="Century Gothic" w:cs="Times New Roman"/>
                <w:b/>
                <w:bCs/>
                <w:sz w:val="20"/>
                <w:szCs w:val="20"/>
              </w:rPr>
            </w:pPr>
            <w:r>
              <w:rPr>
                <w:rFonts w:ascii="Century Gothic" w:hAnsi="Century Gothic" w:cs="Times New Roman"/>
                <w:b/>
                <w:bCs/>
                <w:sz w:val="20"/>
                <w:szCs w:val="20"/>
              </w:rPr>
              <w:t xml:space="preserve">Zone Sud-est </w:t>
            </w:r>
          </w:p>
        </w:tc>
        <w:tc>
          <w:tcPr>
            <w:tcW w:w="1559" w:type="dxa"/>
            <w:shd w:val="clear" w:color="auto" w:fill="auto"/>
          </w:tcPr>
          <w:p w14:paraId="00CC4AB1"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w:t>
            </w:r>
          </w:p>
        </w:tc>
        <w:tc>
          <w:tcPr>
            <w:tcW w:w="1276" w:type="dxa"/>
            <w:shd w:val="clear" w:color="auto" w:fill="auto"/>
          </w:tcPr>
          <w:p w14:paraId="385A0898"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w:t>
            </w:r>
          </w:p>
        </w:tc>
        <w:tc>
          <w:tcPr>
            <w:tcW w:w="1560" w:type="dxa"/>
            <w:shd w:val="clear" w:color="auto" w:fill="auto"/>
          </w:tcPr>
          <w:p w14:paraId="71089412"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w:t>
            </w:r>
          </w:p>
        </w:tc>
        <w:tc>
          <w:tcPr>
            <w:tcW w:w="992" w:type="dxa"/>
            <w:shd w:val="clear" w:color="auto" w:fill="auto"/>
          </w:tcPr>
          <w:p w14:paraId="71256E92"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3</w:t>
            </w:r>
          </w:p>
        </w:tc>
        <w:tc>
          <w:tcPr>
            <w:tcW w:w="1417" w:type="dxa"/>
            <w:shd w:val="clear" w:color="auto" w:fill="auto"/>
          </w:tcPr>
          <w:p w14:paraId="440FD6F1"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w:t>
            </w:r>
          </w:p>
        </w:tc>
        <w:tc>
          <w:tcPr>
            <w:tcW w:w="1418" w:type="dxa"/>
            <w:shd w:val="clear" w:color="auto" w:fill="auto"/>
          </w:tcPr>
          <w:p w14:paraId="2EB5B7CA"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18</w:t>
            </w:r>
          </w:p>
        </w:tc>
        <w:tc>
          <w:tcPr>
            <w:tcW w:w="711" w:type="dxa"/>
            <w:shd w:val="clear" w:color="auto" w:fill="auto"/>
          </w:tcPr>
          <w:p w14:paraId="0C588ADD"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w:t>
            </w:r>
            <w:r>
              <w:rPr>
                <w:rFonts w:ascii="Century Gothic" w:hAnsi="Century Gothic" w:cs="Times New Roman"/>
                <w:sz w:val="20"/>
                <w:szCs w:val="20"/>
                <w:vertAlign w:val="superscript"/>
              </w:rPr>
              <w:t>er</w:t>
            </w:r>
            <w:r>
              <w:rPr>
                <w:rFonts w:ascii="Century Gothic" w:hAnsi="Century Gothic" w:cs="Times New Roman"/>
                <w:sz w:val="20"/>
                <w:szCs w:val="20"/>
              </w:rPr>
              <w:t xml:space="preserve"> </w:t>
            </w:r>
          </w:p>
        </w:tc>
      </w:tr>
      <w:tr w:rsidR="005625B5" w14:paraId="04E4E6D9" w14:textId="77777777" w:rsidTr="00FB354B">
        <w:trPr>
          <w:gridAfter w:val="1"/>
          <w:wAfter w:w="22" w:type="dxa"/>
        </w:trPr>
        <w:tc>
          <w:tcPr>
            <w:tcW w:w="1447" w:type="dxa"/>
            <w:shd w:val="clear" w:color="auto" w:fill="auto"/>
          </w:tcPr>
          <w:p w14:paraId="5065ED0B" w14:textId="77777777" w:rsidR="005625B5" w:rsidRDefault="005625B5" w:rsidP="00FB354B">
            <w:pPr>
              <w:spacing w:after="0" w:line="276" w:lineRule="auto"/>
              <w:ind w:left="-74"/>
              <w:rPr>
                <w:rFonts w:ascii="Century Gothic" w:hAnsi="Century Gothic" w:cs="Times New Roman"/>
                <w:b/>
                <w:bCs/>
                <w:sz w:val="20"/>
                <w:szCs w:val="20"/>
              </w:rPr>
            </w:pPr>
            <w:r>
              <w:rPr>
                <w:rFonts w:ascii="Century Gothic" w:hAnsi="Century Gothic" w:cs="Times New Roman"/>
                <w:b/>
                <w:bCs/>
                <w:sz w:val="20"/>
                <w:szCs w:val="20"/>
              </w:rPr>
              <w:t xml:space="preserve">Vallée du fleuve </w:t>
            </w:r>
          </w:p>
        </w:tc>
        <w:tc>
          <w:tcPr>
            <w:tcW w:w="1559" w:type="dxa"/>
            <w:shd w:val="clear" w:color="auto" w:fill="auto"/>
          </w:tcPr>
          <w:p w14:paraId="71438D25"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w:t>
            </w:r>
          </w:p>
        </w:tc>
        <w:tc>
          <w:tcPr>
            <w:tcW w:w="1276" w:type="dxa"/>
            <w:shd w:val="clear" w:color="auto" w:fill="auto"/>
          </w:tcPr>
          <w:p w14:paraId="478AAF97"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2</w:t>
            </w:r>
          </w:p>
        </w:tc>
        <w:tc>
          <w:tcPr>
            <w:tcW w:w="1560" w:type="dxa"/>
            <w:shd w:val="clear" w:color="auto" w:fill="auto"/>
          </w:tcPr>
          <w:p w14:paraId="2E7F041B"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w:t>
            </w:r>
          </w:p>
        </w:tc>
        <w:tc>
          <w:tcPr>
            <w:tcW w:w="992" w:type="dxa"/>
            <w:shd w:val="clear" w:color="auto" w:fill="auto"/>
          </w:tcPr>
          <w:p w14:paraId="59CD47E3"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3</w:t>
            </w:r>
          </w:p>
        </w:tc>
        <w:tc>
          <w:tcPr>
            <w:tcW w:w="1417" w:type="dxa"/>
            <w:shd w:val="clear" w:color="auto" w:fill="auto"/>
          </w:tcPr>
          <w:p w14:paraId="334BC5A1"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w:t>
            </w:r>
          </w:p>
        </w:tc>
        <w:tc>
          <w:tcPr>
            <w:tcW w:w="1418" w:type="dxa"/>
            <w:shd w:val="clear" w:color="auto" w:fill="auto"/>
          </w:tcPr>
          <w:p w14:paraId="7CE9761F"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18</w:t>
            </w:r>
          </w:p>
        </w:tc>
        <w:tc>
          <w:tcPr>
            <w:tcW w:w="711" w:type="dxa"/>
            <w:shd w:val="clear" w:color="auto" w:fill="auto"/>
          </w:tcPr>
          <w:p w14:paraId="23656BCA"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2</w:t>
            </w:r>
            <w:r>
              <w:rPr>
                <w:rFonts w:ascii="Century Gothic" w:hAnsi="Century Gothic" w:cs="Times New Roman"/>
                <w:sz w:val="20"/>
                <w:szCs w:val="20"/>
                <w:vertAlign w:val="superscript"/>
              </w:rPr>
              <w:t>ème</w:t>
            </w:r>
            <w:r>
              <w:rPr>
                <w:rFonts w:ascii="Century Gothic" w:hAnsi="Century Gothic" w:cs="Times New Roman"/>
                <w:sz w:val="20"/>
                <w:szCs w:val="20"/>
              </w:rPr>
              <w:t xml:space="preserve"> </w:t>
            </w:r>
          </w:p>
        </w:tc>
      </w:tr>
      <w:tr w:rsidR="005625B5" w14:paraId="1D321A2F" w14:textId="77777777" w:rsidTr="00FB354B">
        <w:trPr>
          <w:gridAfter w:val="1"/>
          <w:wAfter w:w="22" w:type="dxa"/>
        </w:trPr>
        <w:tc>
          <w:tcPr>
            <w:tcW w:w="1447" w:type="dxa"/>
            <w:shd w:val="clear" w:color="auto" w:fill="auto"/>
          </w:tcPr>
          <w:p w14:paraId="5C78CABA" w14:textId="77777777" w:rsidR="005625B5" w:rsidRDefault="005625B5" w:rsidP="00FB354B">
            <w:pPr>
              <w:spacing w:after="0" w:line="276" w:lineRule="auto"/>
              <w:rPr>
                <w:rFonts w:ascii="Century Gothic" w:hAnsi="Century Gothic" w:cs="Times New Roman"/>
                <w:b/>
                <w:bCs/>
                <w:sz w:val="20"/>
                <w:szCs w:val="20"/>
              </w:rPr>
            </w:pPr>
            <w:r>
              <w:rPr>
                <w:rFonts w:ascii="Century Gothic" w:hAnsi="Century Gothic" w:cs="Times New Roman"/>
                <w:b/>
                <w:bCs/>
                <w:sz w:val="20"/>
                <w:szCs w:val="20"/>
              </w:rPr>
              <w:t xml:space="preserve">Zone saharienne </w:t>
            </w:r>
          </w:p>
        </w:tc>
        <w:tc>
          <w:tcPr>
            <w:tcW w:w="1559" w:type="dxa"/>
            <w:shd w:val="clear" w:color="auto" w:fill="auto"/>
          </w:tcPr>
          <w:p w14:paraId="21062EBE"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w:t>
            </w:r>
          </w:p>
        </w:tc>
        <w:tc>
          <w:tcPr>
            <w:tcW w:w="1276" w:type="dxa"/>
            <w:shd w:val="clear" w:color="auto" w:fill="auto"/>
          </w:tcPr>
          <w:p w14:paraId="053BFB74"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w:t>
            </w:r>
          </w:p>
        </w:tc>
        <w:tc>
          <w:tcPr>
            <w:tcW w:w="1560" w:type="dxa"/>
            <w:shd w:val="clear" w:color="auto" w:fill="auto"/>
          </w:tcPr>
          <w:p w14:paraId="692A4F1B"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w:t>
            </w:r>
          </w:p>
        </w:tc>
        <w:tc>
          <w:tcPr>
            <w:tcW w:w="992" w:type="dxa"/>
            <w:shd w:val="clear" w:color="auto" w:fill="auto"/>
          </w:tcPr>
          <w:p w14:paraId="1729A0F8"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3</w:t>
            </w:r>
          </w:p>
        </w:tc>
        <w:tc>
          <w:tcPr>
            <w:tcW w:w="1417" w:type="dxa"/>
            <w:shd w:val="clear" w:color="auto" w:fill="auto"/>
          </w:tcPr>
          <w:p w14:paraId="3310FB9F"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w:t>
            </w:r>
          </w:p>
        </w:tc>
        <w:tc>
          <w:tcPr>
            <w:tcW w:w="1418" w:type="dxa"/>
            <w:shd w:val="clear" w:color="auto" w:fill="auto"/>
          </w:tcPr>
          <w:p w14:paraId="2D91DF13"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17</w:t>
            </w:r>
          </w:p>
        </w:tc>
        <w:tc>
          <w:tcPr>
            <w:tcW w:w="711" w:type="dxa"/>
            <w:shd w:val="clear" w:color="auto" w:fill="auto"/>
          </w:tcPr>
          <w:p w14:paraId="5027AD59"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3</w:t>
            </w:r>
            <w:r>
              <w:rPr>
                <w:rFonts w:ascii="Century Gothic" w:hAnsi="Century Gothic" w:cs="Times New Roman"/>
                <w:sz w:val="20"/>
                <w:szCs w:val="20"/>
                <w:vertAlign w:val="superscript"/>
              </w:rPr>
              <w:t>ème</w:t>
            </w:r>
            <w:r>
              <w:rPr>
                <w:rFonts w:ascii="Century Gothic" w:hAnsi="Century Gothic" w:cs="Times New Roman"/>
                <w:sz w:val="20"/>
                <w:szCs w:val="20"/>
              </w:rPr>
              <w:t xml:space="preserve"> </w:t>
            </w:r>
          </w:p>
        </w:tc>
      </w:tr>
      <w:tr w:rsidR="005625B5" w14:paraId="02C93F15" w14:textId="77777777" w:rsidTr="00FB354B">
        <w:trPr>
          <w:gridAfter w:val="1"/>
          <w:wAfter w:w="22" w:type="dxa"/>
        </w:trPr>
        <w:tc>
          <w:tcPr>
            <w:tcW w:w="1447" w:type="dxa"/>
            <w:shd w:val="clear" w:color="auto" w:fill="auto"/>
          </w:tcPr>
          <w:p w14:paraId="2623314D" w14:textId="77777777" w:rsidR="005625B5" w:rsidRDefault="005625B5" w:rsidP="00FB354B">
            <w:pPr>
              <w:spacing w:after="0" w:line="276" w:lineRule="auto"/>
              <w:rPr>
                <w:rFonts w:ascii="Century Gothic" w:hAnsi="Century Gothic" w:cs="Times New Roman"/>
                <w:b/>
                <w:bCs/>
                <w:sz w:val="20"/>
                <w:szCs w:val="20"/>
              </w:rPr>
            </w:pPr>
            <w:r>
              <w:rPr>
                <w:rFonts w:ascii="Century Gothic" w:hAnsi="Century Gothic" w:cs="Times New Roman"/>
                <w:b/>
                <w:bCs/>
                <w:sz w:val="20"/>
                <w:szCs w:val="20"/>
              </w:rPr>
              <w:t xml:space="preserve">Cordon dunaire </w:t>
            </w:r>
          </w:p>
        </w:tc>
        <w:tc>
          <w:tcPr>
            <w:tcW w:w="1559" w:type="dxa"/>
            <w:shd w:val="clear" w:color="auto" w:fill="auto"/>
          </w:tcPr>
          <w:p w14:paraId="2F27219A"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3</w:t>
            </w:r>
          </w:p>
        </w:tc>
        <w:tc>
          <w:tcPr>
            <w:tcW w:w="1276" w:type="dxa"/>
            <w:shd w:val="clear" w:color="auto" w:fill="auto"/>
          </w:tcPr>
          <w:p w14:paraId="0B40E77E"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w:t>
            </w:r>
          </w:p>
        </w:tc>
        <w:tc>
          <w:tcPr>
            <w:tcW w:w="1560" w:type="dxa"/>
            <w:shd w:val="clear" w:color="auto" w:fill="auto"/>
          </w:tcPr>
          <w:p w14:paraId="53FD7861"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2</w:t>
            </w:r>
          </w:p>
        </w:tc>
        <w:tc>
          <w:tcPr>
            <w:tcW w:w="992" w:type="dxa"/>
            <w:shd w:val="clear" w:color="auto" w:fill="auto"/>
          </w:tcPr>
          <w:p w14:paraId="3E001680"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3</w:t>
            </w:r>
          </w:p>
        </w:tc>
        <w:tc>
          <w:tcPr>
            <w:tcW w:w="1417" w:type="dxa"/>
            <w:shd w:val="clear" w:color="auto" w:fill="auto"/>
          </w:tcPr>
          <w:p w14:paraId="246C109B"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w:t>
            </w:r>
          </w:p>
        </w:tc>
        <w:tc>
          <w:tcPr>
            <w:tcW w:w="1418" w:type="dxa"/>
            <w:shd w:val="clear" w:color="auto" w:fill="auto"/>
          </w:tcPr>
          <w:p w14:paraId="60C5D78F"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16</w:t>
            </w:r>
          </w:p>
        </w:tc>
        <w:tc>
          <w:tcPr>
            <w:tcW w:w="711" w:type="dxa"/>
            <w:shd w:val="clear" w:color="auto" w:fill="auto"/>
          </w:tcPr>
          <w:p w14:paraId="20EB6D35"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w:t>
            </w:r>
            <w:r>
              <w:rPr>
                <w:rFonts w:ascii="Century Gothic" w:hAnsi="Century Gothic" w:cs="Times New Roman"/>
                <w:sz w:val="20"/>
                <w:szCs w:val="20"/>
                <w:vertAlign w:val="superscript"/>
              </w:rPr>
              <w:t>ème</w:t>
            </w:r>
            <w:r>
              <w:rPr>
                <w:rFonts w:ascii="Century Gothic" w:hAnsi="Century Gothic" w:cs="Times New Roman"/>
                <w:sz w:val="20"/>
                <w:szCs w:val="20"/>
              </w:rPr>
              <w:t xml:space="preserve"> </w:t>
            </w:r>
          </w:p>
        </w:tc>
      </w:tr>
      <w:tr w:rsidR="005625B5" w14:paraId="41ADDD59" w14:textId="77777777" w:rsidTr="00FB354B">
        <w:trPr>
          <w:gridAfter w:val="1"/>
          <w:wAfter w:w="22" w:type="dxa"/>
        </w:trPr>
        <w:tc>
          <w:tcPr>
            <w:tcW w:w="1447" w:type="dxa"/>
            <w:shd w:val="clear" w:color="auto" w:fill="auto"/>
          </w:tcPr>
          <w:p w14:paraId="7D85BE46" w14:textId="77777777" w:rsidR="005625B5" w:rsidRDefault="005625B5" w:rsidP="00FB354B">
            <w:pPr>
              <w:spacing w:after="0" w:line="276" w:lineRule="auto"/>
              <w:rPr>
                <w:rFonts w:ascii="Century Gothic" w:hAnsi="Century Gothic" w:cs="Times New Roman"/>
                <w:b/>
                <w:bCs/>
                <w:sz w:val="20"/>
                <w:szCs w:val="20"/>
              </w:rPr>
            </w:pPr>
            <w:r>
              <w:rPr>
                <w:rFonts w:ascii="Century Gothic" w:hAnsi="Century Gothic" w:cs="Times New Roman"/>
                <w:b/>
                <w:bCs/>
                <w:sz w:val="20"/>
                <w:szCs w:val="20"/>
              </w:rPr>
              <w:t>Mangroves</w:t>
            </w:r>
          </w:p>
        </w:tc>
        <w:tc>
          <w:tcPr>
            <w:tcW w:w="1559" w:type="dxa"/>
            <w:shd w:val="clear" w:color="auto" w:fill="auto"/>
          </w:tcPr>
          <w:p w14:paraId="0EE185BC"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3</w:t>
            </w:r>
          </w:p>
        </w:tc>
        <w:tc>
          <w:tcPr>
            <w:tcW w:w="1276" w:type="dxa"/>
            <w:shd w:val="clear" w:color="auto" w:fill="auto"/>
          </w:tcPr>
          <w:p w14:paraId="7CD442E7"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w:t>
            </w:r>
          </w:p>
        </w:tc>
        <w:tc>
          <w:tcPr>
            <w:tcW w:w="1560" w:type="dxa"/>
            <w:shd w:val="clear" w:color="auto" w:fill="auto"/>
          </w:tcPr>
          <w:p w14:paraId="76178E4D"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3</w:t>
            </w:r>
          </w:p>
        </w:tc>
        <w:tc>
          <w:tcPr>
            <w:tcW w:w="992" w:type="dxa"/>
            <w:shd w:val="clear" w:color="auto" w:fill="auto"/>
          </w:tcPr>
          <w:p w14:paraId="00BB1FE1"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2</w:t>
            </w:r>
          </w:p>
        </w:tc>
        <w:tc>
          <w:tcPr>
            <w:tcW w:w="1417" w:type="dxa"/>
            <w:shd w:val="clear" w:color="auto" w:fill="auto"/>
          </w:tcPr>
          <w:p w14:paraId="25C2B09D"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3</w:t>
            </w:r>
          </w:p>
        </w:tc>
        <w:tc>
          <w:tcPr>
            <w:tcW w:w="1418" w:type="dxa"/>
            <w:shd w:val="clear" w:color="auto" w:fill="auto"/>
          </w:tcPr>
          <w:p w14:paraId="38FE4184"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16</w:t>
            </w:r>
          </w:p>
        </w:tc>
        <w:tc>
          <w:tcPr>
            <w:tcW w:w="711" w:type="dxa"/>
            <w:shd w:val="clear" w:color="auto" w:fill="auto"/>
          </w:tcPr>
          <w:p w14:paraId="0D243910"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w:t>
            </w:r>
            <w:r>
              <w:rPr>
                <w:rFonts w:ascii="Century Gothic" w:hAnsi="Century Gothic" w:cs="Times New Roman"/>
                <w:sz w:val="20"/>
                <w:szCs w:val="20"/>
                <w:vertAlign w:val="superscript"/>
              </w:rPr>
              <w:t>ème</w:t>
            </w:r>
            <w:r>
              <w:rPr>
                <w:rFonts w:ascii="Century Gothic" w:hAnsi="Century Gothic" w:cs="Times New Roman"/>
                <w:sz w:val="20"/>
                <w:szCs w:val="20"/>
              </w:rPr>
              <w:t xml:space="preserve"> </w:t>
            </w:r>
          </w:p>
        </w:tc>
      </w:tr>
      <w:tr w:rsidR="005625B5" w14:paraId="28B98A5E" w14:textId="77777777" w:rsidTr="00FB354B">
        <w:trPr>
          <w:gridAfter w:val="1"/>
          <w:wAfter w:w="22" w:type="dxa"/>
        </w:trPr>
        <w:tc>
          <w:tcPr>
            <w:tcW w:w="1447" w:type="dxa"/>
            <w:shd w:val="clear" w:color="auto" w:fill="auto"/>
          </w:tcPr>
          <w:p w14:paraId="4611848F" w14:textId="77777777" w:rsidR="005625B5" w:rsidRDefault="005625B5" w:rsidP="00FB354B">
            <w:pPr>
              <w:spacing w:after="0" w:line="276" w:lineRule="auto"/>
              <w:rPr>
                <w:rFonts w:ascii="Century Gothic" w:hAnsi="Century Gothic" w:cs="Times New Roman"/>
                <w:b/>
                <w:bCs/>
                <w:sz w:val="20"/>
                <w:szCs w:val="20"/>
              </w:rPr>
            </w:pPr>
            <w:r>
              <w:rPr>
                <w:rFonts w:ascii="Century Gothic" w:hAnsi="Century Gothic" w:cs="Times New Roman"/>
                <w:b/>
                <w:bCs/>
                <w:sz w:val="20"/>
                <w:szCs w:val="20"/>
              </w:rPr>
              <w:t>Sebkha</w:t>
            </w:r>
          </w:p>
        </w:tc>
        <w:tc>
          <w:tcPr>
            <w:tcW w:w="1559" w:type="dxa"/>
            <w:shd w:val="clear" w:color="auto" w:fill="auto"/>
          </w:tcPr>
          <w:p w14:paraId="29174B00"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2</w:t>
            </w:r>
          </w:p>
        </w:tc>
        <w:tc>
          <w:tcPr>
            <w:tcW w:w="1276" w:type="dxa"/>
            <w:shd w:val="clear" w:color="auto" w:fill="auto"/>
          </w:tcPr>
          <w:p w14:paraId="7DA50BCC"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w:t>
            </w:r>
          </w:p>
        </w:tc>
        <w:tc>
          <w:tcPr>
            <w:tcW w:w="1560" w:type="dxa"/>
            <w:shd w:val="clear" w:color="auto" w:fill="auto"/>
          </w:tcPr>
          <w:p w14:paraId="3FC29848"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2</w:t>
            </w:r>
          </w:p>
        </w:tc>
        <w:tc>
          <w:tcPr>
            <w:tcW w:w="992" w:type="dxa"/>
            <w:shd w:val="clear" w:color="auto" w:fill="auto"/>
          </w:tcPr>
          <w:p w14:paraId="2758CFB5"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3</w:t>
            </w:r>
          </w:p>
        </w:tc>
        <w:tc>
          <w:tcPr>
            <w:tcW w:w="1417" w:type="dxa"/>
            <w:shd w:val="clear" w:color="auto" w:fill="auto"/>
          </w:tcPr>
          <w:p w14:paraId="15252C85"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w:t>
            </w:r>
          </w:p>
        </w:tc>
        <w:tc>
          <w:tcPr>
            <w:tcW w:w="1418" w:type="dxa"/>
            <w:shd w:val="clear" w:color="auto" w:fill="auto"/>
          </w:tcPr>
          <w:p w14:paraId="4E29B505"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15</w:t>
            </w:r>
          </w:p>
        </w:tc>
        <w:tc>
          <w:tcPr>
            <w:tcW w:w="711" w:type="dxa"/>
            <w:shd w:val="clear" w:color="auto" w:fill="auto"/>
          </w:tcPr>
          <w:p w14:paraId="31125E54"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6</w:t>
            </w:r>
            <w:r>
              <w:rPr>
                <w:rFonts w:ascii="Century Gothic" w:hAnsi="Century Gothic" w:cs="Times New Roman"/>
                <w:sz w:val="20"/>
                <w:szCs w:val="20"/>
                <w:vertAlign w:val="superscript"/>
              </w:rPr>
              <w:t>ème</w:t>
            </w:r>
            <w:r>
              <w:rPr>
                <w:rFonts w:ascii="Century Gothic" w:hAnsi="Century Gothic" w:cs="Times New Roman"/>
                <w:sz w:val="20"/>
                <w:szCs w:val="20"/>
              </w:rPr>
              <w:t xml:space="preserve"> </w:t>
            </w:r>
          </w:p>
        </w:tc>
      </w:tr>
      <w:tr w:rsidR="005625B5" w14:paraId="50E0BB33" w14:textId="77777777" w:rsidTr="00FB354B">
        <w:trPr>
          <w:gridAfter w:val="1"/>
          <w:wAfter w:w="22" w:type="dxa"/>
        </w:trPr>
        <w:tc>
          <w:tcPr>
            <w:tcW w:w="1447" w:type="dxa"/>
            <w:shd w:val="clear" w:color="auto" w:fill="auto"/>
          </w:tcPr>
          <w:p w14:paraId="70FE076B" w14:textId="77777777" w:rsidR="005625B5" w:rsidRDefault="005625B5" w:rsidP="00FB354B">
            <w:pPr>
              <w:spacing w:after="0" w:line="276" w:lineRule="auto"/>
              <w:rPr>
                <w:rFonts w:ascii="Century Gothic" w:hAnsi="Century Gothic" w:cs="Times New Roman"/>
                <w:b/>
                <w:bCs/>
                <w:sz w:val="20"/>
                <w:szCs w:val="20"/>
              </w:rPr>
            </w:pPr>
            <w:r>
              <w:rPr>
                <w:rFonts w:ascii="Century Gothic" w:hAnsi="Century Gothic" w:cs="Times New Roman"/>
                <w:b/>
                <w:bCs/>
                <w:sz w:val="20"/>
                <w:szCs w:val="20"/>
              </w:rPr>
              <w:t xml:space="preserve">Estran </w:t>
            </w:r>
          </w:p>
        </w:tc>
        <w:tc>
          <w:tcPr>
            <w:tcW w:w="1559" w:type="dxa"/>
            <w:shd w:val="clear" w:color="auto" w:fill="auto"/>
          </w:tcPr>
          <w:p w14:paraId="5C6F9AD1"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w:t>
            </w:r>
          </w:p>
        </w:tc>
        <w:tc>
          <w:tcPr>
            <w:tcW w:w="1276" w:type="dxa"/>
            <w:shd w:val="clear" w:color="auto" w:fill="auto"/>
          </w:tcPr>
          <w:p w14:paraId="40932303"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2</w:t>
            </w:r>
          </w:p>
        </w:tc>
        <w:tc>
          <w:tcPr>
            <w:tcW w:w="1560" w:type="dxa"/>
            <w:shd w:val="clear" w:color="auto" w:fill="auto"/>
          </w:tcPr>
          <w:p w14:paraId="67B2F0D2"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w:t>
            </w:r>
          </w:p>
        </w:tc>
        <w:tc>
          <w:tcPr>
            <w:tcW w:w="992" w:type="dxa"/>
            <w:shd w:val="clear" w:color="auto" w:fill="auto"/>
          </w:tcPr>
          <w:p w14:paraId="56CD941C"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w:t>
            </w:r>
          </w:p>
        </w:tc>
        <w:tc>
          <w:tcPr>
            <w:tcW w:w="1417" w:type="dxa"/>
            <w:shd w:val="clear" w:color="auto" w:fill="auto"/>
          </w:tcPr>
          <w:p w14:paraId="27B7DEA0"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w:t>
            </w:r>
          </w:p>
        </w:tc>
        <w:tc>
          <w:tcPr>
            <w:tcW w:w="1418" w:type="dxa"/>
            <w:shd w:val="clear" w:color="auto" w:fill="auto"/>
          </w:tcPr>
          <w:p w14:paraId="53E45B8B"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6</w:t>
            </w:r>
          </w:p>
        </w:tc>
        <w:tc>
          <w:tcPr>
            <w:tcW w:w="711" w:type="dxa"/>
            <w:shd w:val="clear" w:color="auto" w:fill="auto"/>
          </w:tcPr>
          <w:p w14:paraId="7A98BEE8" w14:textId="77777777" w:rsidR="005625B5"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7</w:t>
            </w:r>
            <w:r>
              <w:rPr>
                <w:rFonts w:ascii="Century Gothic" w:hAnsi="Century Gothic" w:cs="Times New Roman"/>
                <w:sz w:val="20"/>
                <w:szCs w:val="20"/>
                <w:vertAlign w:val="superscript"/>
              </w:rPr>
              <w:t>ème</w:t>
            </w:r>
            <w:r>
              <w:rPr>
                <w:rFonts w:ascii="Century Gothic" w:hAnsi="Century Gothic" w:cs="Times New Roman"/>
                <w:sz w:val="20"/>
                <w:szCs w:val="20"/>
              </w:rPr>
              <w:t xml:space="preserve"> </w:t>
            </w:r>
          </w:p>
        </w:tc>
      </w:tr>
      <w:tr w:rsidR="005625B5" w14:paraId="1415C479" w14:textId="77777777" w:rsidTr="00FB354B">
        <w:trPr>
          <w:gridAfter w:val="1"/>
          <w:wAfter w:w="22" w:type="dxa"/>
        </w:trPr>
        <w:tc>
          <w:tcPr>
            <w:tcW w:w="1447" w:type="dxa"/>
            <w:shd w:val="clear" w:color="auto" w:fill="auto"/>
          </w:tcPr>
          <w:p w14:paraId="587A632D" w14:textId="77777777" w:rsidR="005625B5" w:rsidRDefault="005625B5" w:rsidP="00FB354B">
            <w:pPr>
              <w:spacing w:after="0" w:line="276" w:lineRule="auto"/>
              <w:rPr>
                <w:rFonts w:ascii="Century Gothic" w:hAnsi="Century Gothic" w:cs="Times New Roman"/>
                <w:b/>
                <w:bCs/>
                <w:sz w:val="20"/>
                <w:szCs w:val="20"/>
              </w:rPr>
            </w:pPr>
            <w:r>
              <w:rPr>
                <w:rFonts w:ascii="Century Gothic" w:hAnsi="Century Gothic" w:cs="Times New Roman"/>
                <w:b/>
                <w:bCs/>
                <w:sz w:val="20"/>
                <w:szCs w:val="20"/>
              </w:rPr>
              <w:t xml:space="preserve">Indice d’impact </w:t>
            </w:r>
          </w:p>
        </w:tc>
        <w:tc>
          <w:tcPr>
            <w:tcW w:w="1559" w:type="dxa"/>
            <w:shd w:val="clear" w:color="auto" w:fill="auto"/>
            <w:vAlign w:val="center"/>
          </w:tcPr>
          <w:p w14:paraId="6A3B9268"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23</w:t>
            </w:r>
          </w:p>
        </w:tc>
        <w:tc>
          <w:tcPr>
            <w:tcW w:w="1276" w:type="dxa"/>
            <w:shd w:val="clear" w:color="auto" w:fill="auto"/>
            <w:vAlign w:val="center"/>
          </w:tcPr>
          <w:p w14:paraId="0A6C908D"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19</w:t>
            </w:r>
          </w:p>
        </w:tc>
        <w:tc>
          <w:tcPr>
            <w:tcW w:w="1560" w:type="dxa"/>
            <w:shd w:val="clear" w:color="auto" w:fill="auto"/>
            <w:vAlign w:val="center"/>
          </w:tcPr>
          <w:p w14:paraId="01F232DD"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22</w:t>
            </w:r>
          </w:p>
        </w:tc>
        <w:tc>
          <w:tcPr>
            <w:tcW w:w="992" w:type="dxa"/>
            <w:shd w:val="clear" w:color="auto" w:fill="auto"/>
            <w:vAlign w:val="center"/>
          </w:tcPr>
          <w:p w14:paraId="43960042"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18</w:t>
            </w:r>
          </w:p>
        </w:tc>
        <w:tc>
          <w:tcPr>
            <w:tcW w:w="1417" w:type="dxa"/>
            <w:shd w:val="clear" w:color="auto" w:fill="auto"/>
            <w:vAlign w:val="center"/>
          </w:tcPr>
          <w:p w14:paraId="6C94B1C1"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24</w:t>
            </w:r>
          </w:p>
        </w:tc>
        <w:tc>
          <w:tcPr>
            <w:tcW w:w="1418" w:type="dxa"/>
            <w:shd w:val="clear" w:color="auto" w:fill="auto"/>
            <w:vAlign w:val="center"/>
          </w:tcPr>
          <w:p w14:paraId="1F74186D" w14:textId="77777777" w:rsidR="005625B5" w:rsidRDefault="005625B5" w:rsidP="00FB354B">
            <w:pPr>
              <w:spacing w:after="0" w:line="276" w:lineRule="auto"/>
              <w:jc w:val="center"/>
              <w:rPr>
                <w:rFonts w:ascii="Century Gothic" w:hAnsi="Century Gothic" w:cs="Times New Roman"/>
                <w:b/>
                <w:bCs/>
                <w:sz w:val="20"/>
                <w:szCs w:val="20"/>
              </w:rPr>
            </w:pPr>
          </w:p>
        </w:tc>
        <w:tc>
          <w:tcPr>
            <w:tcW w:w="711" w:type="dxa"/>
            <w:shd w:val="clear" w:color="auto" w:fill="auto"/>
          </w:tcPr>
          <w:p w14:paraId="43D9C2DF" w14:textId="77777777" w:rsidR="005625B5" w:rsidRDefault="005625B5" w:rsidP="00FB354B">
            <w:pPr>
              <w:spacing w:after="0" w:line="276" w:lineRule="auto"/>
              <w:jc w:val="center"/>
              <w:rPr>
                <w:rFonts w:ascii="Century Gothic" w:hAnsi="Century Gothic" w:cs="Times New Roman"/>
                <w:b/>
                <w:bCs/>
                <w:sz w:val="20"/>
                <w:szCs w:val="20"/>
              </w:rPr>
            </w:pPr>
          </w:p>
        </w:tc>
      </w:tr>
    </w:tbl>
    <w:p w14:paraId="221F192B" w14:textId="77777777" w:rsidR="005625B5" w:rsidRDefault="005625B5" w:rsidP="005625B5">
      <w:pPr>
        <w:spacing w:before="120" w:after="120" w:line="276" w:lineRule="auto"/>
        <w:ind w:left="740"/>
        <w:jc w:val="right"/>
        <w:rPr>
          <w:rFonts w:ascii="Century Gothic" w:hAnsi="Century Gothic" w:cs="Times New Roman"/>
          <w:sz w:val="20"/>
          <w:szCs w:val="20"/>
        </w:rPr>
      </w:pPr>
      <w:r w:rsidRPr="004D6911">
        <w:rPr>
          <w:rFonts w:ascii="Century Gothic" w:hAnsi="Century Gothic" w:cs="Times New Roman"/>
          <w:b/>
          <w:bCs/>
          <w:sz w:val="20"/>
          <w:szCs w:val="20"/>
        </w:rPr>
        <w:t>Source </w:t>
      </w:r>
      <w:r w:rsidRPr="004D6911">
        <w:rPr>
          <w:rFonts w:ascii="Century Gothic" w:hAnsi="Century Gothic" w:cs="Times New Roman"/>
          <w:sz w:val="20"/>
          <w:szCs w:val="20"/>
        </w:rPr>
        <w:t xml:space="preserve">: Plan d’action de la mise en œuvre de la CDN, secteur </w:t>
      </w:r>
      <w:r>
        <w:rPr>
          <w:rFonts w:ascii="Century Gothic" w:hAnsi="Century Gothic" w:cs="Times New Roman"/>
          <w:sz w:val="20"/>
          <w:szCs w:val="20"/>
        </w:rPr>
        <w:t>R</w:t>
      </w:r>
      <w:r w:rsidRPr="004D6911">
        <w:rPr>
          <w:rFonts w:ascii="Century Gothic" w:hAnsi="Century Gothic" w:cs="Times New Roman"/>
          <w:sz w:val="20"/>
          <w:szCs w:val="20"/>
        </w:rPr>
        <w:t>essources naturelles, 2023</w:t>
      </w:r>
    </w:p>
    <w:p w14:paraId="34BDC511" w14:textId="77777777" w:rsidR="005625B5" w:rsidRPr="00CC798D" w:rsidRDefault="005625B5" w:rsidP="005625B5">
      <w:pPr>
        <w:numPr>
          <w:ilvl w:val="0"/>
          <w:numId w:val="33"/>
        </w:numPr>
        <w:spacing w:before="120" w:after="120" w:line="276" w:lineRule="auto"/>
        <w:jc w:val="both"/>
        <w:rPr>
          <w:rFonts w:ascii="Century Gothic" w:hAnsi="Century Gothic" w:cs="Times New Roman"/>
          <w:sz w:val="24"/>
          <w:szCs w:val="24"/>
        </w:rPr>
      </w:pPr>
      <w:r w:rsidRPr="00297E99">
        <w:rPr>
          <w:rFonts w:ascii="Century Gothic" w:hAnsi="Century Gothic" w:cs="Times New Roman"/>
          <w:b/>
          <w:bCs/>
          <w:sz w:val="24"/>
          <w:szCs w:val="24"/>
        </w:rPr>
        <w:t>I</w:t>
      </w:r>
      <w:r w:rsidRPr="00CC798D">
        <w:rPr>
          <w:rFonts w:ascii="Century Gothic" w:hAnsi="Century Gothic" w:cs="Times New Roman"/>
          <w:b/>
          <w:bCs/>
          <w:sz w:val="24"/>
          <w:szCs w:val="24"/>
        </w:rPr>
        <w:t>ndice d’impact</w:t>
      </w:r>
      <w:r w:rsidRPr="00CC798D">
        <w:rPr>
          <w:rFonts w:ascii="Century Gothic" w:hAnsi="Century Gothic" w:cs="Times New Roman"/>
          <w:sz w:val="24"/>
          <w:szCs w:val="24"/>
        </w:rPr>
        <w:t xml:space="preserve"> : </w:t>
      </w:r>
      <w:r>
        <w:rPr>
          <w:rFonts w:ascii="Century Gothic" w:hAnsi="Century Gothic" w:cs="Times New Roman"/>
          <w:sz w:val="24"/>
          <w:szCs w:val="24"/>
        </w:rPr>
        <w:t>S</w:t>
      </w:r>
      <w:r w:rsidRPr="00CC798D">
        <w:rPr>
          <w:rFonts w:ascii="Century Gothic" w:hAnsi="Century Gothic" w:cs="Times New Roman"/>
          <w:sz w:val="24"/>
          <w:szCs w:val="24"/>
        </w:rPr>
        <w:t>omme des impacts d’un risque climatique sur les unités d’exposition (permet de hiérarchiser les risques climatiques),</w:t>
      </w:r>
    </w:p>
    <w:p w14:paraId="6F3DED59" w14:textId="77777777" w:rsidR="005625B5" w:rsidRPr="00CC798D" w:rsidRDefault="005625B5" w:rsidP="005625B5">
      <w:pPr>
        <w:numPr>
          <w:ilvl w:val="0"/>
          <w:numId w:val="33"/>
        </w:numPr>
        <w:spacing w:before="120" w:after="120" w:line="276" w:lineRule="auto"/>
        <w:jc w:val="both"/>
        <w:rPr>
          <w:rFonts w:ascii="Century Gothic" w:hAnsi="Century Gothic" w:cs="Times New Roman"/>
          <w:sz w:val="24"/>
          <w:szCs w:val="24"/>
        </w:rPr>
      </w:pPr>
      <w:r w:rsidRPr="00297E99">
        <w:rPr>
          <w:rFonts w:ascii="Century Gothic" w:hAnsi="Century Gothic" w:cs="Times New Roman"/>
          <w:b/>
          <w:bCs/>
          <w:sz w:val="24"/>
          <w:szCs w:val="24"/>
        </w:rPr>
        <w:t>I</w:t>
      </w:r>
      <w:r w:rsidRPr="00CC798D">
        <w:rPr>
          <w:rFonts w:ascii="Century Gothic" w:hAnsi="Century Gothic" w:cs="Times New Roman"/>
          <w:b/>
          <w:bCs/>
          <w:sz w:val="24"/>
          <w:szCs w:val="24"/>
        </w:rPr>
        <w:t>ndice d’exposition</w:t>
      </w:r>
      <w:r w:rsidRPr="00CC798D">
        <w:rPr>
          <w:rFonts w:ascii="Century Gothic" w:hAnsi="Century Gothic" w:cs="Times New Roman"/>
          <w:sz w:val="24"/>
          <w:szCs w:val="24"/>
        </w:rPr>
        <w:t xml:space="preserve"> : </w:t>
      </w:r>
      <w:r>
        <w:rPr>
          <w:rFonts w:ascii="Century Gothic" w:hAnsi="Century Gothic" w:cs="Times New Roman"/>
          <w:sz w:val="24"/>
          <w:szCs w:val="24"/>
        </w:rPr>
        <w:t>S</w:t>
      </w:r>
      <w:r w:rsidRPr="00CC798D">
        <w:rPr>
          <w:rFonts w:ascii="Century Gothic" w:hAnsi="Century Gothic" w:cs="Times New Roman"/>
          <w:sz w:val="24"/>
          <w:szCs w:val="24"/>
        </w:rPr>
        <w:t>omme des impacts des risques climatiques sur une unité d’exposition (permet de déterminer l’unité la plus exposé aux risques climatiques),</w:t>
      </w:r>
    </w:p>
    <w:p w14:paraId="35C756CF" w14:textId="77777777" w:rsidR="005625B5" w:rsidRPr="00CC798D" w:rsidRDefault="005625B5" w:rsidP="005625B5">
      <w:pPr>
        <w:numPr>
          <w:ilvl w:val="0"/>
          <w:numId w:val="33"/>
        </w:numPr>
        <w:spacing w:before="120" w:after="120" w:line="276" w:lineRule="auto"/>
        <w:jc w:val="both"/>
        <w:rPr>
          <w:rFonts w:ascii="Century Gothic" w:hAnsi="Century Gothic" w:cs="Times New Roman"/>
          <w:sz w:val="24"/>
          <w:szCs w:val="24"/>
        </w:rPr>
      </w:pPr>
      <w:r w:rsidRPr="00CC798D">
        <w:rPr>
          <w:rFonts w:ascii="Century Gothic" w:hAnsi="Century Gothic" w:cs="Times New Roman"/>
          <w:b/>
          <w:bCs/>
          <w:sz w:val="24"/>
          <w:szCs w:val="24"/>
        </w:rPr>
        <w:t>Rang</w:t>
      </w:r>
      <w:r w:rsidRPr="00CC798D">
        <w:rPr>
          <w:rFonts w:ascii="Century Gothic" w:hAnsi="Century Gothic" w:cs="Times New Roman"/>
          <w:sz w:val="24"/>
          <w:szCs w:val="24"/>
        </w:rPr>
        <w:t xml:space="preserve"> : </w:t>
      </w:r>
      <w:r>
        <w:rPr>
          <w:rFonts w:ascii="Century Gothic" w:hAnsi="Century Gothic" w:cs="Times New Roman"/>
          <w:sz w:val="24"/>
          <w:szCs w:val="24"/>
        </w:rPr>
        <w:t>P</w:t>
      </w:r>
      <w:r w:rsidRPr="00CC798D">
        <w:rPr>
          <w:rFonts w:ascii="Century Gothic" w:hAnsi="Century Gothic" w:cs="Times New Roman"/>
          <w:sz w:val="24"/>
          <w:szCs w:val="24"/>
        </w:rPr>
        <w:t>ermet de classer les variables impactées</w:t>
      </w:r>
    </w:p>
    <w:p w14:paraId="3B5A1732" w14:textId="77777777" w:rsidR="005625B5" w:rsidRPr="007D1D49" w:rsidRDefault="005625B5" w:rsidP="005625B5">
      <w:pPr>
        <w:numPr>
          <w:ilvl w:val="0"/>
          <w:numId w:val="33"/>
        </w:numPr>
        <w:spacing w:before="120" w:after="120" w:line="276" w:lineRule="auto"/>
        <w:jc w:val="both"/>
        <w:rPr>
          <w:rFonts w:ascii="Century Gothic" w:hAnsi="Century Gothic" w:cs="Times New Roman"/>
          <w:sz w:val="24"/>
          <w:szCs w:val="24"/>
        </w:rPr>
      </w:pPr>
      <w:r w:rsidRPr="00297E99">
        <w:rPr>
          <w:rFonts w:ascii="Century Gothic" w:hAnsi="Century Gothic" w:cs="Times New Roman"/>
          <w:b/>
          <w:bCs/>
          <w:sz w:val="24"/>
          <w:szCs w:val="24"/>
        </w:rPr>
        <w:t>B</w:t>
      </w:r>
      <w:r w:rsidRPr="00CC798D">
        <w:rPr>
          <w:rFonts w:ascii="Century Gothic" w:hAnsi="Century Gothic" w:cs="Times New Roman"/>
          <w:b/>
          <w:bCs/>
          <w:sz w:val="24"/>
          <w:szCs w:val="24"/>
        </w:rPr>
        <w:t>arème de notation de la sensibilité au risque climatique</w:t>
      </w:r>
      <w:r w:rsidRPr="00CC798D">
        <w:rPr>
          <w:rFonts w:ascii="Century Gothic" w:hAnsi="Century Gothic" w:cs="Times New Roman"/>
          <w:sz w:val="24"/>
          <w:szCs w:val="24"/>
        </w:rPr>
        <w:t xml:space="preserve"> :  0</w:t>
      </w:r>
      <w:r>
        <w:rPr>
          <w:rFonts w:ascii="Century Gothic" w:hAnsi="Century Gothic" w:cs="Times New Roman"/>
          <w:sz w:val="24"/>
          <w:szCs w:val="24"/>
        </w:rPr>
        <w:t xml:space="preserve"> </w:t>
      </w:r>
      <w:r w:rsidRPr="00CC798D">
        <w:rPr>
          <w:rFonts w:ascii="Century Gothic" w:hAnsi="Century Gothic" w:cs="Times New Roman"/>
          <w:sz w:val="24"/>
          <w:szCs w:val="24"/>
        </w:rPr>
        <w:t>: le risque n’a pas d’influence sur l’unité d’exposition (ressource) 1 : le risque a une influence faible sur l’unité d’exposition (ou la ressource) ; 2 : Assez faible ; 3 : Moyenne ; 4 : Assez forte ; 5 : Forte.</w:t>
      </w:r>
    </w:p>
    <w:p w14:paraId="0A38A465" w14:textId="77777777" w:rsidR="005625B5" w:rsidRPr="00C63431" w:rsidRDefault="005625B5" w:rsidP="005625B5">
      <w:pPr>
        <w:spacing w:after="0" w:line="276" w:lineRule="auto"/>
        <w:jc w:val="both"/>
        <w:rPr>
          <w:rFonts w:ascii="Century Gothic" w:eastAsia="Times New Roman" w:hAnsi="Century Gothic" w:cs="Times New Roman"/>
          <w:sz w:val="24"/>
          <w:szCs w:val="24"/>
          <w:lang w:eastAsia="wo-SN"/>
        </w:rPr>
      </w:pPr>
    </w:p>
    <w:p w14:paraId="3A077841" w14:textId="77777777" w:rsidR="005625B5" w:rsidRPr="00FD3D1D" w:rsidRDefault="005625B5" w:rsidP="005625B5">
      <w:pPr>
        <w:pStyle w:val="Paragraphedeliste"/>
        <w:spacing w:after="0" w:line="276" w:lineRule="auto"/>
        <w:ind w:left="0"/>
        <w:jc w:val="both"/>
        <w:rPr>
          <w:rFonts w:ascii="Century Gothic" w:hAnsi="Century Gothic" w:cs="Times New Roman"/>
          <w:sz w:val="24"/>
          <w:szCs w:val="24"/>
        </w:rPr>
      </w:pPr>
      <w:r>
        <w:rPr>
          <w:rFonts w:ascii="Century Gothic" w:hAnsi="Century Gothic" w:cs="Times New Roman"/>
          <w:sz w:val="24"/>
          <w:szCs w:val="24"/>
        </w:rPr>
        <w:t xml:space="preserve">La zone saharienne </w:t>
      </w:r>
      <w:r w:rsidRPr="00FD3D1D">
        <w:rPr>
          <w:rFonts w:ascii="Century Gothic" w:hAnsi="Century Gothic" w:cs="Times New Roman"/>
          <w:sz w:val="24"/>
          <w:szCs w:val="24"/>
        </w:rPr>
        <w:t xml:space="preserve">se caractérise par un climat désertique où une zone donnée peut rester plusieurs années sans recevoir de pluies. C’est la zone la plus sèche et qui couvre la plus grande partie du pays. Les ressources biologiques y sont moins abondantes que dans les autres zones. Elle est confrontée aux problèmes de l’érosion éolienne et au déplacement des sables et quelque fois à des inondations dues à des torrents qui ont lieu au niveau des lits des oueds fossiles lors de pluies anormalement fortes. Cette situation a eu lieu plus d’une fois et à plusieurs endroits différents ces dernières années : l’inondation de l’ancienne ville de Tintane en 2007 et celle de la ville d’Atar </w:t>
      </w:r>
      <w:r>
        <w:rPr>
          <w:rFonts w:ascii="Century Gothic" w:hAnsi="Century Gothic" w:cs="Times New Roman"/>
          <w:sz w:val="24"/>
          <w:szCs w:val="24"/>
        </w:rPr>
        <w:t xml:space="preserve">en </w:t>
      </w:r>
      <w:r w:rsidRPr="00FD3D1D">
        <w:rPr>
          <w:rFonts w:ascii="Century Gothic" w:hAnsi="Century Gothic" w:cs="Times New Roman"/>
          <w:sz w:val="24"/>
          <w:szCs w:val="24"/>
        </w:rPr>
        <w:t xml:space="preserve">2016 pour ne citer que ces deux exemples spectaculaires et dévastateurs.      </w:t>
      </w:r>
    </w:p>
    <w:p w14:paraId="4B9D2CFB" w14:textId="77777777" w:rsidR="005625B5" w:rsidRDefault="005625B5" w:rsidP="005625B5">
      <w:pPr>
        <w:pStyle w:val="Paragraphedeliste"/>
        <w:spacing w:after="0" w:line="276" w:lineRule="auto"/>
        <w:ind w:left="0"/>
        <w:jc w:val="both"/>
        <w:rPr>
          <w:rFonts w:ascii="Century Gothic" w:hAnsi="Century Gothic" w:cs="Times New Roman"/>
          <w:sz w:val="24"/>
          <w:szCs w:val="24"/>
        </w:rPr>
      </w:pPr>
    </w:p>
    <w:p w14:paraId="67D36B14" w14:textId="77777777" w:rsidR="005625B5" w:rsidRDefault="005625B5" w:rsidP="005625B5">
      <w:pPr>
        <w:pStyle w:val="Paragraphedeliste"/>
        <w:spacing w:after="0" w:line="276" w:lineRule="auto"/>
        <w:ind w:left="0"/>
        <w:jc w:val="both"/>
        <w:rPr>
          <w:rFonts w:ascii="Century Gothic" w:hAnsi="Century Gothic" w:cs="Times New Roman"/>
          <w:sz w:val="24"/>
          <w:szCs w:val="24"/>
        </w:rPr>
      </w:pPr>
      <w:r w:rsidRPr="009256BD">
        <w:rPr>
          <w:rFonts w:ascii="Century Gothic" w:hAnsi="Century Gothic" w:cs="Times New Roman"/>
          <w:sz w:val="24"/>
          <w:szCs w:val="24"/>
        </w:rPr>
        <w:t>La zone sahélienne se caractérise par une saison des pluies qui dure trois mois en moyenne (entre juin et octobre). C’est une zone de transition entre la zone aride et la zone du fleuve Sénégal. Cette zone est plus riche en ressources biologiques que la zone aride</w:t>
      </w:r>
      <w:r w:rsidRPr="00FD3D1D">
        <w:rPr>
          <w:rFonts w:ascii="Century Gothic" w:hAnsi="Century Gothic" w:cs="Times New Roman"/>
          <w:sz w:val="24"/>
          <w:szCs w:val="24"/>
        </w:rPr>
        <w:t xml:space="preserve">. </w:t>
      </w:r>
    </w:p>
    <w:p w14:paraId="34BFCC90" w14:textId="77777777" w:rsidR="005625B5" w:rsidRDefault="005625B5" w:rsidP="005625B5">
      <w:pPr>
        <w:pStyle w:val="Paragraphedeliste"/>
        <w:spacing w:after="0" w:line="276" w:lineRule="auto"/>
        <w:ind w:left="0"/>
        <w:jc w:val="both"/>
        <w:rPr>
          <w:rFonts w:ascii="Century Gothic" w:hAnsi="Century Gothic" w:cs="Times New Roman"/>
          <w:sz w:val="24"/>
          <w:szCs w:val="24"/>
        </w:rPr>
      </w:pPr>
    </w:p>
    <w:p w14:paraId="3D17722D" w14:textId="77777777" w:rsidR="005625B5" w:rsidRDefault="005625B5" w:rsidP="005625B5">
      <w:pPr>
        <w:pStyle w:val="Paragraphedeliste"/>
        <w:spacing w:after="0" w:line="276" w:lineRule="auto"/>
        <w:ind w:left="0"/>
        <w:jc w:val="both"/>
        <w:rPr>
          <w:rFonts w:ascii="Century Gothic" w:hAnsi="Century Gothic" w:cs="Times New Roman"/>
          <w:sz w:val="24"/>
          <w:szCs w:val="24"/>
        </w:rPr>
      </w:pPr>
      <w:r w:rsidRPr="00FD3D1D">
        <w:rPr>
          <w:rFonts w:ascii="Century Gothic" w:hAnsi="Century Gothic" w:cs="Times New Roman"/>
          <w:sz w:val="24"/>
          <w:szCs w:val="24"/>
        </w:rPr>
        <w:t>Les principaux défis à relever dans cette zone sont</w:t>
      </w:r>
      <w:r>
        <w:rPr>
          <w:rFonts w:ascii="Century Gothic" w:hAnsi="Century Gothic" w:cs="Times New Roman"/>
          <w:sz w:val="24"/>
          <w:szCs w:val="24"/>
        </w:rPr>
        <w:t xml:space="preserve"> : </w:t>
      </w:r>
    </w:p>
    <w:p w14:paraId="4783F539" w14:textId="77777777" w:rsidR="005625B5" w:rsidRDefault="005625B5" w:rsidP="005625B5">
      <w:pPr>
        <w:pStyle w:val="Paragraphedeliste"/>
        <w:spacing w:after="0" w:line="276" w:lineRule="auto"/>
        <w:ind w:left="0"/>
        <w:jc w:val="both"/>
        <w:rPr>
          <w:rFonts w:ascii="Century Gothic" w:hAnsi="Century Gothic" w:cs="Times New Roman"/>
          <w:sz w:val="24"/>
          <w:szCs w:val="24"/>
        </w:rPr>
      </w:pPr>
    </w:p>
    <w:p w14:paraId="2C63737C" w14:textId="77777777" w:rsidR="005625B5" w:rsidRDefault="005625B5" w:rsidP="005625B5">
      <w:pPr>
        <w:pStyle w:val="Paragraphedeliste"/>
        <w:numPr>
          <w:ilvl w:val="0"/>
          <w:numId w:val="56"/>
        </w:numPr>
        <w:spacing w:after="0" w:line="276" w:lineRule="auto"/>
        <w:jc w:val="both"/>
        <w:rPr>
          <w:rFonts w:ascii="Century Gothic" w:hAnsi="Century Gothic" w:cs="Times New Roman"/>
          <w:sz w:val="24"/>
          <w:szCs w:val="24"/>
        </w:rPr>
      </w:pPr>
      <w:r w:rsidRPr="00FD3D1D">
        <w:rPr>
          <w:rFonts w:ascii="Century Gothic" w:hAnsi="Century Gothic" w:cs="Times New Roman"/>
          <w:sz w:val="24"/>
          <w:szCs w:val="24"/>
        </w:rPr>
        <w:t>La protection des pâturages contre les incendies</w:t>
      </w:r>
      <w:r>
        <w:rPr>
          <w:rFonts w:ascii="Century Gothic" w:hAnsi="Century Gothic" w:cs="Times New Roman"/>
          <w:sz w:val="24"/>
          <w:szCs w:val="24"/>
        </w:rPr>
        <w:t> ;</w:t>
      </w:r>
    </w:p>
    <w:p w14:paraId="7E522579" w14:textId="77777777" w:rsidR="005625B5" w:rsidRDefault="005625B5" w:rsidP="005625B5">
      <w:pPr>
        <w:pStyle w:val="Paragraphedeliste"/>
        <w:numPr>
          <w:ilvl w:val="0"/>
          <w:numId w:val="56"/>
        </w:numPr>
        <w:spacing w:after="0" w:line="276" w:lineRule="auto"/>
        <w:jc w:val="both"/>
        <w:rPr>
          <w:rFonts w:ascii="Century Gothic" w:hAnsi="Century Gothic" w:cs="Times New Roman"/>
          <w:sz w:val="24"/>
          <w:szCs w:val="24"/>
        </w:rPr>
      </w:pPr>
      <w:r w:rsidRPr="00FD3D1D">
        <w:rPr>
          <w:rFonts w:ascii="Century Gothic" w:hAnsi="Century Gothic" w:cs="Times New Roman"/>
          <w:sz w:val="24"/>
          <w:szCs w:val="24"/>
        </w:rPr>
        <w:t>Le développement agricole qui tient compte de la protection des sols</w:t>
      </w:r>
      <w:r>
        <w:rPr>
          <w:rFonts w:ascii="Century Gothic" w:hAnsi="Century Gothic" w:cs="Times New Roman"/>
          <w:sz w:val="24"/>
          <w:szCs w:val="24"/>
        </w:rPr>
        <w:t> ;</w:t>
      </w:r>
    </w:p>
    <w:p w14:paraId="30749376" w14:textId="77777777" w:rsidR="005625B5" w:rsidRDefault="005625B5" w:rsidP="005625B5">
      <w:pPr>
        <w:pStyle w:val="Paragraphedeliste"/>
        <w:numPr>
          <w:ilvl w:val="0"/>
          <w:numId w:val="56"/>
        </w:numPr>
        <w:spacing w:after="0" w:line="276" w:lineRule="auto"/>
        <w:jc w:val="both"/>
        <w:rPr>
          <w:rFonts w:ascii="Century Gothic" w:hAnsi="Century Gothic" w:cs="Times New Roman"/>
          <w:sz w:val="24"/>
          <w:szCs w:val="24"/>
        </w:rPr>
      </w:pPr>
      <w:r w:rsidRPr="00FD3D1D">
        <w:rPr>
          <w:rFonts w:ascii="Century Gothic" w:hAnsi="Century Gothic" w:cs="Times New Roman"/>
          <w:sz w:val="24"/>
          <w:szCs w:val="24"/>
        </w:rPr>
        <w:t>La protection des infrastructures socioéconomiques contre l’ensablement</w:t>
      </w:r>
      <w:r>
        <w:rPr>
          <w:rFonts w:ascii="Century Gothic" w:hAnsi="Century Gothic" w:cs="Times New Roman"/>
          <w:sz w:val="24"/>
          <w:szCs w:val="24"/>
        </w:rPr>
        <w:t> ;</w:t>
      </w:r>
    </w:p>
    <w:p w14:paraId="0349DD21" w14:textId="77777777" w:rsidR="005625B5" w:rsidRPr="004F6703" w:rsidRDefault="005625B5" w:rsidP="005625B5">
      <w:pPr>
        <w:pStyle w:val="Paragraphedeliste"/>
        <w:numPr>
          <w:ilvl w:val="0"/>
          <w:numId w:val="56"/>
        </w:numPr>
        <w:spacing w:after="0" w:line="276" w:lineRule="auto"/>
        <w:ind w:left="709" w:hanging="349"/>
        <w:jc w:val="both"/>
        <w:rPr>
          <w:rFonts w:ascii="Century Gothic" w:hAnsi="Century Gothic" w:cs="Times New Roman"/>
          <w:sz w:val="24"/>
          <w:szCs w:val="24"/>
        </w:rPr>
      </w:pPr>
      <w:r w:rsidRPr="004F6703">
        <w:rPr>
          <w:rFonts w:ascii="Century Gothic" w:hAnsi="Century Gothic" w:cs="Times New Roman"/>
          <w:sz w:val="24"/>
          <w:szCs w:val="24"/>
        </w:rPr>
        <w:t xml:space="preserve">Les mesures contre le déboisement pour le bois de chauffe et le charbon de bois ; et </w:t>
      </w:r>
    </w:p>
    <w:p w14:paraId="43B4E480" w14:textId="77777777" w:rsidR="005625B5" w:rsidRPr="00FD3D1D" w:rsidRDefault="005625B5" w:rsidP="005625B5">
      <w:pPr>
        <w:pStyle w:val="Paragraphedeliste"/>
        <w:numPr>
          <w:ilvl w:val="0"/>
          <w:numId w:val="56"/>
        </w:numPr>
        <w:spacing w:after="0" w:line="276" w:lineRule="auto"/>
        <w:jc w:val="both"/>
        <w:rPr>
          <w:rFonts w:ascii="Century Gothic" w:hAnsi="Century Gothic" w:cs="Times New Roman"/>
          <w:sz w:val="24"/>
          <w:szCs w:val="24"/>
        </w:rPr>
      </w:pPr>
      <w:r w:rsidRPr="00FD3D1D">
        <w:rPr>
          <w:rFonts w:ascii="Century Gothic" w:hAnsi="Century Gothic" w:cs="Times New Roman"/>
          <w:sz w:val="24"/>
          <w:szCs w:val="24"/>
        </w:rPr>
        <w:t xml:space="preserve">La protection de la faune contre la chasse illégale et le braconnage.     </w:t>
      </w:r>
    </w:p>
    <w:p w14:paraId="0DAECE1C" w14:textId="77777777" w:rsidR="005625B5" w:rsidRDefault="005625B5" w:rsidP="005625B5">
      <w:pPr>
        <w:pStyle w:val="Paragraphedeliste"/>
        <w:spacing w:after="0" w:line="276" w:lineRule="auto"/>
        <w:ind w:left="0"/>
        <w:jc w:val="both"/>
        <w:rPr>
          <w:rFonts w:ascii="Century Gothic" w:hAnsi="Century Gothic" w:cs="Times New Roman"/>
          <w:sz w:val="24"/>
          <w:szCs w:val="24"/>
        </w:rPr>
      </w:pPr>
    </w:p>
    <w:p w14:paraId="0625B6DB" w14:textId="77777777" w:rsidR="005625B5" w:rsidRDefault="005625B5" w:rsidP="005625B5">
      <w:pPr>
        <w:pStyle w:val="Paragraphedeliste"/>
        <w:spacing w:after="0" w:line="276" w:lineRule="auto"/>
        <w:ind w:left="0"/>
        <w:jc w:val="both"/>
        <w:rPr>
          <w:rFonts w:ascii="Century Gothic" w:hAnsi="Century Gothic" w:cs="Times New Roman"/>
          <w:sz w:val="24"/>
          <w:szCs w:val="24"/>
        </w:rPr>
      </w:pPr>
      <w:r w:rsidRPr="00FD3D1D">
        <w:rPr>
          <w:rFonts w:ascii="Century Gothic" w:hAnsi="Century Gothic" w:cs="Times New Roman"/>
          <w:sz w:val="24"/>
          <w:szCs w:val="24"/>
        </w:rPr>
        <w:t xml:space="preserve">La vallée du fleuve Sénégal présente un climat sahélien avec la particularité d’abriter le seul cours d’eau permanent du pays : le fleuve Sénégal et ses affluents. Elle présente des ressources biologiques abondantes grâce à la disponibilité de l’eau et les sols fertiles de Chemama. </w:t>
      </w:r>
    </w:p>
    <w:p w14:paraId="6FE4A940" w14:textId="77777777" w:rsidR="005625B5" w:rsidRDefault="005625B5" w:rsidP="005625B5">
      <w:pPr>
        <w:pStyle w:val="Paragraphedeliste"/>
        <w:spacing w:after="0" w:line="276" w:lineRule="auto"/>
        <w:ind w:left="0"/>
        <w:jc w:val="both"/>
        <w:rPr>
          <w:rFonts w:ascii="Century Gothic" w:hAnsi="Century Gothic" w:cs="Times New Roman"/>
          <w:sz w:val="24"/>
          <w:szCs w:val="24"/>
        </w:rPr>
      </w:pPr>
    </w:p>
    <w:p w14:paraId="323DF735" w14:textId="77777777" w:rsidR="005625B5" w:rsidRDefault="005625B5" w:rsidP="005625B5">
      <w:pPr>
        <w:pStyle w:val="Paragraphedeliste"/>
        <w:spacing w:after="0" w:line="276" w:lineRule="auto"/>
        <w:ind w:left="0"/>
        <w:jc w:val="both"/>
        <w:rPr>
          <w:rFonts w:ascii="Century Gothic" w:hAnsi="Century Gothic" w:cs="Times New Roman"/>
          <w:sz w:val="24"/>
          <w:szCs w:val="24"/>
        </w:rPr>
      </w:pPr>
      <w:r w:rsidRPr="00FD3D1D">
        <w:rPr>
          <w:rFonts w:ascii="Century Gothic" w:hAnsi="Century Gothic" w:cs="Times New Roman"/>
          <w:sz w:val="24"/>
          <w:szCs w:val="24"/>
        </w:rPr>
        <w:t xml:space="preserve">Les principaux défis sont : </w:t>
      </w:r>
    </w:p>
    <w:p w14:paraId="0E4188F2" w14:textId="77777777" w:rsidR="005625B5" w:rsidRDefault="005625B5" w:rsidP="005625B5">
      <w:pPr>
        <w:pStyle w:val="Paragraphedeliste"/>
        <w:spacing w:after="0" w:line="276" w:lineRule="auto"/>
        <w:ind w:left="0"/>
        <w:jc w:val="both"/>
        <w:rPr>
          <w:rFonts w:ascii="Century Gothic" w:hAnsi="Century Gothic" w:cs="Times New Roman"/>
          <w:sz w:val="24"/>
          <w:szCs w:val="24"/>
        </w:rPr>
      </w:pPr>
    </w:p>
    <w:p w14:paraId="032F537B" w14:textId="77777777" w:rsidR="005625B5" w:rsidRDefault="005625B5" w:rsidP="005625B5">
      <w:pPr>
        <w:pStyle w:val="Paragraphedeliste"/>
        <w:numPr>
          <w:ilvl w:val="0"/>
          <w:numId w:val="55"/>
        </w:numPr>
        <w:spacing w:after="0" w:line="276" w:lineRule="auto"/>
        <w:jc w:val="both"/>
        <w:rPr>
          <w:rFonts w:ascii="Century Gothic" w:hAnsi="Century Gothic" w:cs="Times New Roman"/>
          <w:sz w:val="24"/>
          <w:szCs w:val="24"/>
        </w:rPr>
      </w:pPr>
      <w:r w:rsidRPr="00FD3D1D">
        <w:rPr>
          <w:rFonts w:ascii="Century Gothic" w:hAnsi="Century Gothic" w:cs="Times New Roman"/>
          <w:sz w:val="24"/>
          <w:szCs w:val="24"/>
        </w:rPr>
        <w:t>La protection et la régénération des forêts</w:t>
      </w:r>
      <w:r>
        <w:rPr>
          <w:rFonts w:ascii="Century Gothic" w:hAnsi="Century Gothic" w:cs="Times New Roman"/>
          <w:sz w:val="24"/>
          <w:szCs w:val="24"/>
        </w:rPr>
        <w:t> ;</w:t>
      </w:r>
      <w:r w:rsidRPr="00FD3D1D">
        <w:rPr>
          <w:rFonts w:ascii="Century Gothic" w:hAnsi="Century Gothic" w:cs="Times New Roman"/>
          <w:sz w:val="24"/>
          <w:szCs w:val="24"/>
        </w:rPr>
        <w:t xml:space="preserve"> </w:t>
      </w:r>
    </w:p>
    <w:p w14:paraId="49A24590" w14:textId="77777777" w:rsidR="005625B5" w:rsidRPr="00FD3D1D" w:rsidRDefault="005625B5" w:rsidP="005625B5">
      <w:pPr>
        <w:pStyle w:val="Paragraphedeliste"/>
        <w:numPr>
          <w:ilvl w:val="0"/>
          <w:numId w:val="55"/>
        </w:numPr>
        <w:spacing w:after="0" w:line="276" w:lineRule="auto"/>
        <w:ind w:left="709" w:hanging="349"/>
        <w:jc w:val="both"/>
        <w:rPr>
          <w:rFonts w:ascii="Century Gothic" w:hAnsi="Century Gothic" w:cs="Times New Roman"/>
          <w:sz w:val="24"/>
          <w:szCs w:val="24"/>
        </w:rPr>
      </w:pPr>
      <w:r w:rsidRPr="00FD3D1D">
        <w:rPr>
          <w:rFonts w:ascii="Century Gothic" w:hAnsi="Century Gothic" w:cs="Times New Roman"/>
          <w:sz w:val="24"/>
          <w:szCs w:val="24"/>
        </w:rPr>
        <w:t>La protection de l’agriculture dans les plaines d’inondation contre l’érosion</w:t>
      </w:r>
      <w:r>
        <w:rPr>
          <w:rFonts w:ascii="Century Gothic" w:hAnsi="Century Gothic" w:cs="Times New Roman"/>
          <w:sz w:val="24"/>
          <w:szCs w:val="24"/>
        </w:rPr>
        <w:t xml:space="preserve"> </w:t>
      </w:r>
      <w:r w:rsidRPr="00FD3D1D">
        <w:rPr>
          <w:rFonts w:ascii="Century Gothic" w:hAnsi="Century Gothic" w:cs="Times New Roman"/>
          <w:sz w:val="24"/>
          <w:szCs w:val="24"/>
        </w:rPr>
        <w:t>et la divagation du bétail</w:t>
      </w:r>
      <w:r>
        <w:rPr>
          <w:rFonts w:ascii="Century Gothic" w:hAnsi="Century Gothic" w:cs="Times New Roman"/>
          <w:sz w:val="24"/>
          <w:szCs w:val="24"/>
        </w:rPr>
        <w:t>.</w:t>
      </w:r>
    </w:p>
    <w:p w14:paraId="715381C6" w14:textId="77777777" w:rsidR="005625B5" w:rsidRDefault="005625B5" w:rsidP="005625B5">
      <w:pPr>
        <w:autoSpaceDE w:val="0"/>
        <w:autoSpaceDN w:val="0"/>
        <w:adjustRightInd w:val="0"/>
        <w:spacing w:before="120" w:after="120" w:line="276" w:lineRule="auto"/>
        <w:jc w:val="both"/>
        <w:rPr>
          <w:rFonts w:ascii="Century Gothic" w:hAnsi="Century Gothic" w:cs="Times New Roman"/>
          <w:iCs/>
          <w:sz w:val="24"/>
          <w:szCs w:val="24"/>
        </w:rPr>
      </w:pPr>
      <w:r w:rsidRPr="006F1409">
        <w:rPr>
          <w:rFonts w:ascii="Century Gothic" w:hAnsi="Century Gothic" w:cs="Times New Roman"/>
          <w:bCs/>
          <w:iCs/>
          <w:sz w:val="24"/>
          <w:szCs w:val="24"/>
        </w:rPr>
        <w:t>Les impacts des changement</w:t>
      </w:r>
      <w:r>
        <w:rPr>
          <w:rFonts w:ascii="Century Gothic" w:hAnsi="Century Gothic" w:cs="Times New Roman"/>
          <w:bCs/>
          <w:iCs/>
          <w:sz w:val="24"/>
          <w:szCs w:val="24"/>
        </w:rPr>
        <w:t>s</w:t>
      </w:r>
      <w:r w:rsidRPr="006F1409">
        <w:rPr>
          <w:rFonts w:ascii="Century Gothic" w:hAnsi="Century Gothic" w:cs="Times New Roman"/>
          <w:bCs/>
          <w:iCs/>
          <w:sz w:val="24"/>
          <w:szCs w:val="24"/>
        </w:rPr>
        <w:t xml:space="preserve"> climatique</w:t>
      </w:r>
      <w:r>
        <w:rPr>
          <w:rFonts w:ascii="Century Gothic" w:hAnsi="Century Gothic" w:cs="Times New Roman"/>
          <w:bCs/>
          <w:iCs/>
          <w:sz w:val="24"/>
          <w:szCs w:val="24"/>
        </w:rPr>
        <w:t>s</w:t>
      </w:r>
      <w:r w:rsidRPr="006F1409">
        <w:rPr>
          <w:rFonts w:ascii="Century Gothic" w:hAnsi="Century Gothic" w:cs="Times New Roman"/>
          <w:bCs/>
          <w:iCs/>
          <w:sz w:val="24"/>
          <w:szCs w:val="24"/>
        </w:rPr>
        <w:t xml:space="preserve"> sur</w:t>
      </w:r>
      <w:r>
        <w:rPr>
          <w:rFonts w:ascii="Century Gothic" w:hAnsi="Century Gothic" w:cs="Times New Roman"/>
          <w:bCs/>
          <w:iCs/>
          <w:sz w:val="24"/>
          <w:szCs w:val="24"/>
        </w:rPr>
        <w:t xml:space="preserve"> la zone sahélienne du pays </w:t>
      </w:r>
      <w:r w:rsidRPr="006F1409">
        <w:rPr>
          <w:rFonts w:ascii="Century Gothic" w:hAnsi="Century Gothic" w:cs="Times New Roman"/>
          <w:bCs/>
          <w:iCs/>
          <w:sz w:val="24"/>
          <w:szCs w:val="24"/>
        </w:rPr>
        <w:t>se</w:t>
      </w:r>
      <w:r w:rsidRPr="00C63431">
        <w:rPr>
          <w:rFonts w:ascii="Century Gothic" w:hAnsi="Century Gothic" w:cs="Times New Roman"/>
          <w:iCs/>
          <w:sz w:val="24"/>
          <w:szCs w:val="24"/>
        </w:rPr>
        <w:t xml:space="preserve"> tradui</w:t>
      </w:r>
      <w:r>
        <w:rPr>
          <w:rFonts w:ascii="Century Gothic" w:hAnsi="Century Gothic" w:cs="Times New Roman"/>
          <w:iCs/>
          <w:sz w:val="24"/>
          <w:szCs w:val="24"/>
        </w:rPr>
        <w:t xml:space="preserve">sent </w:t>
      </w:r>
      <w:r w:rsidRPr="00C63431">
        <w:rPr>
          <w:rFonts w:ascii="Century Gothic" w:hAnsi="Century Gothic" w:cs="Times New Roman"/>
          <w:iCs/>
          <w:sz w:val="24"/>
          <w:szCs w:val="24"/>
        </w:rPr>
        <w:t xml:space="preserve">par une importante dégradation des terres et de l’érosion ainsi qu’une extension de la zone aride vers le sud du pays. </w:t>
      </w:r>
    </w:p>
    <w:p w14:paraId="2BA67F51" w14:textId="77777777" w:rsidR="005625B5" w:rsidRPr="009256BD" w:rsidRDefault="005625B5" w:rsidP="005625B5">
      <w:pPr>
        <w:autoSpaceDE w:val="0"/>
        <w:autoSpaceDN w:val="0"/>
        <w:adjustRightInd w:val="0"/>
        <w:spacing w:after="0" w:line="276" w:lineRule="auto"/>
        <w:jc w:val="both"/>
        <w:rPr>
          <w:rFonts w:ascii="Century Gothic" w:hAnsi="Century Gothic" w:cs="Courier"/>
          <w:sz w:val="24"/>
          <w:szCs w:val="24"/>
          <w:lang w:val="fr-BE"/>
        </w:rPr>
      </w:pPr>
      <w:r>
        <w:rPr>
          <w:rFonts w:ascii="Century Gothic" w:hAnsi="Century Gothic" w:cs="Courier"/>
          <w:sz w:val="24"/>
          <w:szCs w:val="24"/>
          <w:lang w:val="fr-BE"/>
        </w:rPr>
        <w:t>L</w:t>
      </w:r>
      <w:r w:rsidRPr="009256BD">
        <w:rPr>
          <w:rFonts w:ascii="Century Gothic" w:hAnsi="Century Gothic" w:cs="Courier"/>
          <w:sz w:val="24"/>
          <w:szCs w:val="24"/>
          <w:lang w:val="fr-BE"/>
        </w:rPr>
        <w:t xml:space="preserve">es zones humides continentales sont caractérisées par des particularités éco-floristiques, hydrologiques et anthropiques qui en font des milieux fragiles et sensibles. Elles constituent un patrimoine naturel de grande valeur de par leurs multiples fonctions biologiques, écologiques et économiques.  </w:t>
      </w:r>
    </w:p>
    <w:p w14:paraId="2D6F1FF7" w14:textId="77777777" w:rsidR="005625B5" w:rsidRPr="009256BD" w:rsidRDefault="005625B5" w:rsidP="005625B5">
      <w:pPr>
        <w:autoSpaceDE w:val="0"/>
        <w:autoSpaceDN w:val="0"/>
        <w:adjustRightInd w:val="0"/>
        <w:spacing w:after="0" w:line="276" w:lineRule="auto"/>
        <w:rPr>
          <w:rFonts w:ascii="Century Gothic" w:hAnsi="Century Gothic" w:cs="Courier"/>
          <w:sz w:val="24"/>
          <w:szCs w:val="24"/>
          <w:lang w:val="fr-BE"/>
        </w:rPr>
      </w:pPr>
    </w:p>
    <w:p w14:paraId="1B2A22E5" w14:textId="77777777" w:rsidR="005625B5" w:rsidRPr="009256BD" w:rsidRDefault="005625B5" w:rsidP="005625B5">
      <w:pPr>
        <w:spacing w:after="0" w:line="276" w:lineRule="auto"/>
        <w:jc w:val="both"/>
        <w:rPr>
          <w:rFonts w:ascii="Century Gothic" w:hAnsi="Century Gothic" w:cs="Times New Roman"/>
          <w:sz w:val="24"/>
          <w:szCs w:val="24"/>
          <w:lang w:val="fr-BE"/>
        </w:rPr>
      </w:pPr>
      <w:r w:rsidRPr="009256BD">
        <w:rPr>
          <w:rFonts w:ascii="Century Gothic" w:hAnsi="Century Gothic" w:cs="Times New Roman"/>
          <w:sz w:val="24"/>
          <w:szCs w:val="24"/>
          <w:lang w:val="fr-BE"/>
        </w:rPr>
        <w:t xml:space="preserve">Les facteurs climatiques sont les principaux responsables de la nature variable et temporaire des zones humides du sud-est mauritanien. L’aridité du climat, caractérisée par de faibles précipitations, des températures élevées et une importante évaporation est à l’origine de la formation des zones humides temporaires plutôt que permanentes.    </w:t>
      </w:r>
    </w:p>
    <w:p w14:paraId="3A896EB4" w14:textId="77777777" w:rsidR="005625B5" w:rsidRPr="009256BD" w:rsidRDefault="005625B5" w:rsidP="005625B5">
      <w:pPr>
        <w:spacing w:after="0" w:line="276" w:lineRule="auto"/>
        <w:jc w:val="both"/>
        <w:rPr>
          <w:rFonts w:ascii="Century Gothic" w:hAnsi="Century Gothic" w:cs="Times New Roman"/>
          <w:sz w:val="24"/>
          <w:szCs w:val="24"/>
          <w:lang w:val="fr-BE"/>
        </w:rPr>
      </w:pPr>
    </w:p>
    <w:p w14:paraId="4568BC1E" w14:textId="77777777" w:rsidR="005625B5" w:rsidRPr="009256BD" w:rsidRDefault="005625B5" w:rsidP="005625B5">
      <w:pPr>
        <w:spacing w:after="0" w:line="276" w:lineRule="auto"/>
        <w:jc w:val="both"/>
        <w:rPr>
          <w:rFonts w:ascii="Century Gothic" w:hAnsi="Century Gothic" w:cs="Times New Roman"/>
          <w:sz w:val="24"/>
          <w:szCs w:val="24"/>
          <w:lang w:val="fr-BE"/>
        </w:rPr>
      </w:pPr>
      <w:r w:rsidRPr="009256BD">
        <w:rPr>
          <w:rFonts w:ascii="Century Gothic" w:hAnsi="Century Gothic" w:cs="Times New Roman"/>
          <w:sz w:val="24"/>
          <w:szCs w:val="24"/>
          <w:lang w:val="fr-BE"/>
        </w:rPr>
        <w:t xml:space="preserve">Au cours d’une année, les pluies sont variables dans le temps et dans l’espace et la sécheresse est une part du cycle normal des zones humides en milieu aride. Cette variabilité intra-annuelle se remarque par la présence d’un maximum de zones humides en fin de saison des pluies (juillet à octobre) et l’existence de nombreuses dépressions asséchées durant la saison sèche (mai, juin). Les variations interannuelles contrôlent la taille des zones humides d’années en années et la durée de présence de l’eau.  </w:t>
      </w:r>
    </w:p>
    <w:p w14:paraId="5E05A4BC" w14:textId="77777777" w:rsidR="005625B5" w:rsidRPr="009256BD" w:rsidRDefault="005625B5" w:rsidP="005625B5">
      <w:pPr>
        <w:spacing w:after="0" w:line="276" w:lineRule="auto"/>
        <w:jc w:val="both"/>
        <w:rPr>
          <w:rFonts w:ascii="Century Gothic" w:hAnsi="Century Gothic" w:cs="Times New Roman"/>
          <w:sz w:val="24"/>
          <w:szCs w:val="24"/>
          <w:lang w:val="fr-BE"/>
        </w:rPr>
      </w:pPr>
    </w:p>
    <w:p w14:paraId="198DB856" w14:textId="77777777" w:rsidR="005625B5" w:rsidRPr="009256BD" w:rsidRDefault="005625B5" w:rsidP="005625B5">
      <w:pPr>
        <w:spacing w:after="0" w:line="276" w:lineRule="auto"/>
        <w:jc w:val="both"/>
        <w:rPr>
          <w:rFonts w:ascii="Century Gothic" w:hAnsi="Century Gothic" w:cs="Times New Roman"/>
          <w:sz w:val="24"/>
          <w:szCs w:val="24"/>
          <w:lang w:val="fr-BE"/>
        </w:rPr>
      </w:pPr>
      <w:r w:rsidRPr="009256BD">
        <w:rPr>
          <w:rFonts w:ascii="Century Gothic" w:hAnsi="Century Gothic" w:cs="Times New Roman"/>
          <w:sz w:val="24"/>
          <w:szCs w:val="24"/>
          <w:lang w:val="fr-BE"/>
        </w:rPr>
        <w:t>La majorité des zones humides du sud-est mauritanien correspond à des systèmes hydrographiques fermés endoréiques. Autrement dit, ces zones humides constituent le point final de l’écoulement et du ruissellement de l’eau de surface : l’eau</w:t>
      </w:r>
      <w:r>
        <w:rPr>
          <w:rFonts w:ascii="Century Gothic" w:hAnsi="Century Gothic" w:cs="Times New Roman"/>
          <w:sz w:val="24"/>
          <w:szCs w:val="24"/>
          <w:lang w:val="fr-BE"/>
        </w:rPr>
        <w:t xml:space="preserve"> qui</w:t>
      </w:r>
      <w:r w:rsidRPr="009256BD">
        <w:rPr>
          <w:rFonts w:ascii="Century Gothic" w:hAnsi="Century Gothic" w:cs="Times New Roman"/>
          <w:sz w:val="24"/>
          <w:szCs w:val="24"/>
          <w:lang w:val="fr-BE"/>
        </w:rPr>
        <w:t xml:space="preserve"> s’écoule dans les oueds situés dans le bassin versant de la zone humide, est ensuite bloquée par un cordon dunaire pour finalement aboutir dans des mares ou des lacs fermés. La différence entre les apports et les pertes d’eau détermine la taille, la profondeur et la permanence de la zone humides. </w:t>
      </w:r>
    </w:p>
    <w:p w14:paraId="6CE56E44" w14:textId="77777777" w:rsidR="005625B5" w:rsidRPr="009256BD" w:rsidRDefault="005625B5" w:rsidP="005625B5">
      <w:pPr>
        <w:spacing w:after="0" w:line="276" w:lineRule="auto"/>
        <w:jc w:val="both"/>
        <w:rPr>
          <w:rFonts w:ascii="Century Gothic" w:hAnsi="Century Gothic" w:cs="Times New Roman"/>
          <w:sz w:val="24"/>
          <w:szCs w:val="24"/>
          <w:lang w:val="fr-BE"/>
        </w:rPr>
      </w:pPr>
    </w:p>
    <w:p w14:paraId="38C41B4B" w14:textId="77777777" w:rsidR="005625B5" w:rsidRPr="009256BD" w:rsidRDefault="005625B5" w:rsidP="005625B5">
      <w:pPr>
        <w:spacing w:after="0" w:line="276" w:lineRule="auto"/>
        <w:jc w:val="both"/>
        <w:rPr>
          <w:rFonts w:ascii="Century Gothic" w:hAnsi="Century Gothic" w:cs="Times New Roman"/>
          <w:sz w:val="24"/>
          <w:szCs w:val="24"/>
          <w:lang w:val="fr-BE"/>
        </w:rPr>
      </w:pPr>
      <w:r w:rsidRPr="009256BD">
        <w:rPr>
          <w:rFonts w:ascii="Century Gothic" w:hAnsi="Century Gothic" w:cs="Times New Roman"/>
          <w:sz w:val="24"/>
          <w:szCs w:val="24"/>
          <w:lang w:val="fr-BE"/>
        </w:rPr>
        <w:t xml:space="preserve">L’alimentation en eau des zones humides se fait par les précipitations, les flux de surfaces et les flux souterrains. L’intensité des pluies et la capacité d’infiltration du sol déterminent l’équilibre entre ces deux flux. Les pentes douces, les sols perméables et le couvert végétal augmentent l’infiltration et réduisent donc le ruissellement et les flux de surface. Les sorties d’eau se font par évapotranspiration, évaporation, infiltration et consommation. </w:t>
      </w:r>
    </w:p>
    <w:p w14:paraId="5657D7FF" w14:textId="77777777" w:rsidR="005625B5" w:rsidRPr="009256BD" w:rsidRDefault="005625B5" w:rsidP="005625B5">
      <w:pPr>
        <w:spacing w:after="0" w:line="276" w:lineRule="auto"/>
        <w:jc w:val="both"/>
        <w:rPr>
          <w:rFonts w:ascii="Century Gothic" w:hAnsi="Century Gothic" w:cs="Times New Roman"/>
          <w:sz w:val="24"/>
          <w:szCs w:val="24"/>
          <w:lang w:val="fr-BE"/>
        </w:rPr>
      </w:pPr>
    </w:p>
    <w:p w14:paraId="030643FB" w14:textId="77777777" w:rsidR="005625B5" w:rsidRPr="009256BD" w:rsidRDefault="005625B5" w:rsidP="005625B5">
      <w:pPr>
        <w:spacing w:after="0" w:line="276" w:lineRule="auto"/>
        <w:jc w:val="both"/>
        <w:rPr>
          <w:rFonts w:ascii="Century Gothic" w:hAnsi="Century Gothic" w:cs="Times New Roman"/>
          <w:sz w:val="24"/>
          <w:szCs w:val="24"/>
          <w:lang w:val="fr-BE"/>
        </w:rPr>
      </w:pPr>
      <w:r w:rsidRPr="009256BD">
        <w:rPr>
          <w:rFonts w:ascii="Century Gothic" w:hAnsi="Century Gothic" w:cs="Times New Roman"/>
          <w:sz w:val="24"/>
          <w:szCs w:val="24"/>
          <w:lang w:val="fr-BE"/>
        </w:rPr>
        <w:t>Les zones humides ouvertes telles que les oueds perdent aussi leurs eaux par écoulement au profit de zones en système fermé. En climat aride, l’évaporation est la principale perte d’eau : elle est colossale en saison sèche, en particulier sous l’effet du vent. Elle varie saisonnièrement selon la couverture végétale. La consommation par les animaux, pour l’usage domestique et pour l’irrigation</w:t>
      </w:r>
      <w:r>
        <w:rPr>
          <w:rFonts w:ascii="Century Gothic" w:hAnsi="Century Gothic" w:cs="Times New Roman"/>
          <w:sz w:val="24"/>
          <w:szCs w:val="24"/>
          <w:lang w:val="fr-BE"/>
        </w:rPr>
        <w:t xml:space="preserve"> qui</w:t>
      </w:r>
      <w:r w:rsidRPr="009256BD">
        <w:rPr>
          <w:rFonts w:ascii="Century Gothic" w:hAnsi="Century Gothic" w:cs="Times New Roman"/>
          <w:sz w:val="24"/>
          <w:szCs w:val="24"/>
          <w:lang w:val="fr-BE"/>
        </w:rPr>
        <w:t xml:space="preserve"> est négligeable comparée aux apports d’eau. </w:t>
      </w:r>
    </w:p>
    <w:p w14:paraId="226AAEB4" w14:textId="77777777" w:rsidR="005625B5" w:rsidRPr="009256BD" w:rsidRDefault="005625B5" w:rsidP="005625B5">
      <w:pPr>
        <w:spacing w:after="0" w:line="276" w:lineRule="auto"/>
        <w:jc w:val="both"/>
        <w:rPr>
          <w:rFonts w:ascii="Century Gothic" w:hAnsi="Century Gothic" w:cs="Times New Roman"/>
          <w:sz w:val="24"/>
          <w:szCs w:val="24"/>
          <w:lang w:val="fr-BE"/>
        </w:rPr>
      </w:pPr>
    </w:p>
    <w:p w14:paraId="71BD03E9" w14:textId="77777777" w:rsidR="005625B5" w:rsidRPr="009256BD" w:rsidRDefault="005625B5" w:rsidP="005625B5">
      <w:pPr>
        <w:spacing w:after="0" w:line="276" w:lineRule="auto"/>
        <w:jc w:val="both"/>
        <w:rPr>
          <w:rFonts w:ascii="Century Gothic" w:hAnsi="Century Gothic" w:cs="Times New Roman"/>
          <w:sz w:val="24"/>
          <w:szCs w:val="24"/>
          <w:lang w:val="fr-BE"/>
        </w:rPr>
      </w:pPr>
      <w:r w:rsidRPr="009256BD">
        <w:rPr>
          <w:rFonts w:ascii="Century Gothic" w:hAnsi="Century Gothic" w:cs="Times New Roman"/>
          <w:sz w:val="24"/>
          <w:szCs w:val="24"/>
          <w:lang w:val="fr-BE"/>
        </w:rPr>
        <w:t>Les sols des zones humides sont des sols hydromorphes, appelés vertisols, présentant un fort contraste avec leurs environs. Ils contiennent une importante proportion d’argile réduisant leur perméabilité et permettant ainsi une meilleure rétention de l’eau. Ces sols argileux, mal drainés, présentent une texture très lourde. Des lentilles de sable</w:t>
      </w:r>
      <w:r>
        <w:rPr>
          <w:rFonts w:ascii="Century Gothic" w:hAnsi="Century Gothic" w:cs="Times New Roman"/>
          <w:sz w:val="24"/>
          <w:szCs w:val="24"/>
          <w:lang w:val="fr-BE"/>
        </w:rPr>
        <w:t>,</w:t>
      </w:r>
      <w:r w:rsidRPr="009256BD">
        <w:rPr>
          <w:rFonts w:ascii="Century Gothic" w:hAnsi="Century Gothic" w:cs="Times New Roman"/>
          <w:sz w:val="24"/>
          <w:szCs w:val="24"/>
          <w:lang w:val="fr-BE"/>
        </w:rPr>
        <w:t xml:space="preserve"> correspondant aux périodes de dépôts hydrauliques et éoliens</w:t>
      </w:r>
      <w:r>
        <w:rPr>
          <w:rFonts w:ascii="Century Gothic" w:hAnsi="Century Gothic" w:cs="Times New Roman"/>
          <w:sz w:val="24"/>
          <w:szCs w:val="24"/>
          <w:lang w:val="fr-BE"/>
        </w:rPr>
        <w:t>,</w:t>
      </w:r>
      <w:r w:rsidRPr="009256BD">
        <w:rPr>
          <w:rFonts w:ascii="Century Gothic" w:hAnsi="Century Gothic" w:cs="Times New Roman"/>
          <w:sz w:val="24"/>
          <w:szCs w:val="24"/>
          <w:lang w:val="fr-BE"/>
        </w:rPr>
        <w:t xml:space="preserve"> peuvent également y être observées. Des tâches couleurs rouille, présentes dans plusieurs horizons, indiquent une stagnation temporaire de l’eau dans ces sols. Des fissures larges et profondes s’ouvrent et se ferment périodiquement suivant le degré de sécheresse du sol.                 </w:t>
      </w:r>
    </w:p>
    <w:p w14:paraId="7B4BEE4A" w14:textId="77777777" w:rsidR="005625B5" w:rsidRPr="009256BD" w:rsidRDefault="005625B5" w:rsidP="005625B5">
      <w:pPr>
        <w:spacing w:after="0" w:line="276" w:lineRule="auto"/>
        <w:jc w:val="both"/>
        <w:rPr>
          <w:rFonts w:ascii="Century Gothic" w:hAnsi="Century Gothic" w:cs="Times New Roman"/>
          <w:sz w:val="24"/>
          <w:szCs w:val="24"/>
          <w:lang w:val="fr-BE"/>
        </w:rPr>
      </w:pPr>
    </w:p>
    <w:p w14:paraId="2B017569" w14:textId="77777777" w:rsidR="005625B5" w:rsidRPr="009256BD" w:rsidRDefault="005625B5" w:rsidP="005625B5">
      <w:pPr>
        <w:spacing w:after="0" w:line="276" w:lineRule="auto"/>
        <w:jc w:val="both"/>
        <w:rPr>
          <w:rFonts w:ascii="Century Gothic" w:hAnsi="Century Gothic" w:cs="Times New Roman"/>
          <w:sz w:val="24"/>
          <w:szCs w:val="24"/>
          <w:lang w:val="fr-BE"/>
        </w:rPr>
      </w:pPr>
      <w:r w:rsidRPr="009256BD">
        <w:rPr>
          <w:rFonts w:ascii="Century Gothic" w:hAnsi="Century Gothic" w:cs="Times New Roman"/>
          <w:sz w:val="24"/>
          <w:szCs w:val="24"/>
          <w:lang w:val="fr-BE"/>
        </w:rPr>
        <w:t xml:space="preserve">Les zones humides, qui sont constituées presque entièrement de ressources communes, ont une tenure foncière ne permettant pas l’appropriation privée sauf là où l’agriculture est pratiquée ; la défriche octroyant un droit exclusif. L’exploitation de ces zones humides s’opère au travers des droits prioritaires des premiers occupants, tout en reconnaissant un droit d’accès temporaire aux tiers pour la mise en valeur provisoire par campagne agricole. </w:t>
      </w:r>
    </w:p>
    <w:p w14:paraId="7201FF9A" w14:textId="77777777" w:rsidR="005625B5" w:rsidRPr="009256BD" w:rsidRDefault="005625B5" w:rsidP="005625B5">
      <w:pPr>
        <w:spacing w:after="0" w:line="276" w:lineRule="auto"/>
        <w:jc w:val="both"/>
        <w:rPr>
          <w:rFonts w:ascii="Century Gothic" w:hAnsi="Century Gothic" w:cs="Times New Roman"/>
          <w:sz w:val="24"/>
          <w:szCs w:val="24"/>
          <w:lang w:val="fr-BE"/>
        </w:rPr>
      </w:pPr>
    </w:p>
    <w:p w14:paraId="51B7BB91" w14:textId="77777777" w:rsidR="005625B5" w:rsidRDefault="005625B5" w:rsidP="005625B5">
      <w:pPr>
        <w:spacing w:after="0" w:line="276" w:lineRule="auto"/>
        <w:jc w:val="both"/>
        <w:rPr>
          <w:rFonts w:ascii="Century Gothic" w:hAnsi="Century Gothic" w:cs="Times New Roman"/>
          <w:sz w:val="24"/>
          <w:szCs w:val="24"/>
          <w:lang w:val="fr-BE"/>
        </w:rPr>
      </w:pPr>
      <w:r w:rsidRPr="009256BD">
        <w:rPr>
          <w:rFonts w:ascii="Century Gothic" w:hAnsi="Century Gothic" w:cs="Times New Roman"/>
          <w:sz w:val="24"/>
          <w:szCs w:val="24"/>
          <w:lang w:val="fr-BE"/>
        </w:rPr>
        <w:t xml:space="preserve">Ainsi l’eau, le pâturage et le bois de chauffe sont des ressources inclusives comme définies par la Charia, le Code pastoral et le Code de l’eau. Des règles de gestion traditionnelles à propos de la priorisation de l’accès à l’eau sont ainsi définies en ce qui concerne les puits : l’eau domestique du prioritaire, l’eau domestique d’autrui selon l’ordre d’arrivée, puis l’abreuvage du bovin, du petit ruminant et enfin du camelin. Pour les zones humides, le principe de l’interdiction de la mise en défens ou de la mise en valeur agricole de l’espace d’accès des animaux à l’eau est formellement prohibé par les usagers de la zone humides.   </w:t>
      </w:r>
    </w:p>
    <w:p w14:paraId="10A39700" w14:textId="77777777" w:rsidR="005625B5" w:rsidRPr="00B865C1" w:rsidRDefault="005625B5" w:rsidP="005625B5">
      <w:pPr>
        <w:spacing w:after="0" w:line="276" w:lineRule="auto"/>
        <w:jc w:val="both"/>
        <w:rPr>
          <w:rFonts w:ascii="Century Gothic" w:hAnsi="Century Gothic" w:cs="Times New Roman"/>
          <w:sz w:val="24"/>
          <w:szCs w:val="24"/>
          <w:lang w:val="fr-BE"/>
        </w:rPr>
      </w:pPr>
    </w:p>
    <w:p w14:paraId="6EE48EFF" w14:textId="77777777" w:rsidR="005625B5" w:rsidRDefault="005625B5" w:rsidP="005625B5">
      <w:pPr>
        <w:spacing w:after="0" w:line="276" w:lineRule="auto"/>
        <w:jc w:val="both"/>
        <w:rPr>
          <w:rFonts w:ascii="Century Gothic" w:hAnsi="Century Gothic" w:cs="Times New Roman"/>
          <w:sz w:val="24"/>
          <w:szCs w:val="24"/>
        </w:rPr>
      </w:pPr>
      <w:r w:rsidRPr="006F1409">
        <w:rPr>
          <w:rFonts w:ascii="Century Gothic" w:hAnsi="Century Gothic" w:cs="Times New Roman"/>
          <w:bCs/>
          <w:sz w:val="24"/>
          <w:szCs w:val="24"/>
        </w:rPr>
        <w:t>Le</w:t>
      </w:r>
      <w:r>
        <w:rPr>
          <w:rFonts w:ascii="Century Gothic" w:hAnsi="Century Gothic" w:cs="Times New Roman"/>
          <w:bCs/>
          <w:sz w:val="24"/>
          <w:szCs w:val="24"/>
        </w:rPr>
        <w:t>s</w:t>
      </w:r>
      <w:r w:rsidRPr="006F1409">
        <w:rPr>
          <w:rFonts w:ascii="Century Gothic" w:hAnsi="Century Gothic" w:cs="Times New Roman"/>
          <w:bCs/>
          <w:sz w:val="24"/>
          <w:szCs w:val="24"/>
        </w:rPr>
        <w:t xml:space="preserve"> </w:t>
      </w:r>
      <w:r>
        <w:rPr>
          <w:rFonts w:ascii="Century Gothic" w:hAnsi="Century Gothic" w:cs="Times New Roman"/>
          <w:bCs/>
          <w:sz w:val="24"/>
          <w:szCs w:val="24"/>
        </w:rPr>
        <w:t>formations f</w:t>
      </w:r>
      <w:r w:rsidRPr="006F1409">
        <w:rPr>
          <w:rFonts w:ascii="Century Gothic" w:hAnsi="Century Gothic" w:cs="Times New Roman"/>
          <w:bCs/>
          <w:sz w:val="24"/>
          <w:szCs w:val="24"/>
        </w:rPr>
        <w:t>or</w:t>
      </w:r>
      <w:r>
        <w:rPr>
          <w:rFonts w:ascii="Century Gothic" w:hAnsi="Century Gothic" w:cs="Times New Roman"/>
          <w:bCs/>
          <w:sz w:val="24"/>
          <w:szCs w:val="24"/>
        </w:rPr>
        <w:t xml:space="preserve">estières sont particulièrement </w:t>
      </w:r>
      <w:r w:rsidRPr="00C63431">
        <w:rPr>
          <w:rFonts w:ascii="Century Gothic" w:hAnsi="Century Gothic" w:cs="Times New Roman"/>
          <w:sz w:val="24"/>
          <w:szCs w:val="24"/>
        </w:rPr>
        <w:t>vulnérable</w:t>
      </w:r>
      <w:r>
        <w:rPr>
          <w:rFonts w:ascii="Century Gothic" w:hAnsi="Century Gothic" w:cs="Times New Roman"/>
          <w:sz w:val="24"/>
          <w:szCs w:val="24"/>
        </w:rPr>
        <w:t>s</w:t>
      </w:r>
      <w:r w:rsidRPr="00C63431">
        <w:rPr>
          <w:rFonts w:ascii="Century Gothic" w:hAnsi="Century Gothic" w:cs="Times New Roman"/>
          <w:sz w:val="24"/>
          <w:szCs w:val="24"/>
        </w:rPr>
        <w:t xml:space="preserve"> aux effets du changement climatique </w:t>
      </w:r>
      <w:r>
        <w:rPr>
          <w:rFonts w:ascii="Century Gothic" w:hAnsi="Century Gothic" w:cs="Times New Roman"/>
          <w:sz w:val="24"/>
          <w:szCs w:val="24"/>
        </w:rPr>
        <w:t xml:space="preserve">du fait de leur </w:t>
      </w:r>
      <w:r w:rsidRPr="00C63431">
        <w:rPr>
          <w:rFonts w:ascii="Century Gothic" w:hAnsi="Century Gothic" w:cs="Times New Roman"/>
          <w:sz w:val="24"/>
          <w:szCs w:val="24"/>
        </w:rPr>
        <w:t xml:space="preserve">dépendance </w:t>
      </w:r>
      <w:r>
        <w:rPr>
          <w:rFonts w:ascii="Century Gothic" w:hAnsi="Century Gothic" w:cs="Times New Roman"/>
          <w:sz w:val="24"/>
          <w:szCs w:val="24"/>
        </w:rPr>
        <w:t xml:space="preserve">de </w:t>
      </w:r>
      <w:r w:rsidRPr="00C63431">
        <w:rPr>
          <w:rFonts w:ascii="Century Gothic" w:hAnsi="Century Gothic" w:cs="Times New Roman"/>
          <w:sz w:val="24"/>
          <w:szCs w:val="24"/>
        </w:rPr>
        <w:t>la pluviométrie pour leur développement et à la forte pression anthropique</w:t>
      </w:r>
      <w:r>
        <w:rPr>
          <w:rFonts w:ascii="Century Gothic" w:hAnsi="Century Gothic" w:cs="Times New Roman"/>
          <w:sz w:val="24"/>
          <w:szCs w:val="24"/>
        </w:rPr>
        <w:t xml:space="preserve"> dont elles font l’objet par les coupes abusives de bois et le surpâturage</w:t>
      </w:r>
      <w:r w:rsidRPr="00C63431">
        <w:rPr>
          <w:rFonts w:ascii="Century Gothic" w:hAnsi="Century Gothic" w:cs="Times New Roman"/>
          <w:sz w:val="24"/>
          <w:szCs w:val="24"/>
        </w:rPr>
        <w:t xml:space="preserve">. </w:t>
      </w:r>
    </w:p>
    <w:p w14:paraId="514ECF16" w14:textId="77777777" w:rsidR="005625B5" w:rsidRDefault="005625B5" w:rsidP="005625B5">
      <w:pPr>
        <w:spacing w:after="0" w:line="276" w:lineRule="auto"/>
        <w:jc w:val="both"/>
        <w:rPr>
          <w:rFonts w:ascii="Century Gothic" w:hAnsi="Century Gothic" w:cs="Times New Roman"/>
          <w:sz w:val="24"/>
          <w:szCs w:val="24"/>
        </w:rPr>
      </w:pPr>
    </w:p>
    <w:p w14:paraId="576B61F9" w14:textId="77777777" w:rsidR="005625B5" w:rsidRDefault="005625B5" w:rsidP="005625B5">
      <w:pPr>
        <w:spacing w:after="0" w:line="276" w:lineRule="auto"/>
        <w:jc w:val="both"/>
        <w:rPr>
          <w:rFonts w:ascii="Century Gothic" w:hAnsi="Century Gothic" w:cs="Times New Roman"/>
          <w:sz w:val="24"/>
          <w:szCs w:val="24"/>
        </w:rPr>
      </w:pPr>
      <w:r>
        <w:rPr>
          <w:rFonts w:ascii="Century Gothic" w:hAnsi="Century Gothic" w:cs="Times New Roman"/>
          <w:sz w:val="24"/>
          <w:szCs w:val="24"/>
        </w:rPr>
        <w:t>En effet, la</w:t>
      </w:r>
      <w:r w:rsidRPr="00C63431">
        <w:rPr>
          <w:rFonts w:ascii="Century Gothic" w:hAnsi="Century Gothic" w:cs="Times New Roman"/>
          <w:sz w:val="24"/>
          <w:szCs w:val="24"/>
        </w:rPr>
        <w:t xml:space="preserve"> régression du couvert végétal (ligneux et herbacé), sous l’effet des sécheresses chroniques</w:t>
      </w:r>
      <w:r>
        <w:rPr>
          <w:rFonts w:ascii="Century Gothic" w:hAnsi="Century Gothic" w:cs="Times New Roman"/>
          <w:sz w:val="24"/>
          <w:szCs w:val="24"/>
        </w:rPr>
        <w:t xml:space="preserve">, </w:t>
      </w:r>
      <w:r w:rsidRPr="00C63431">
        <w:rPr>
          <w:rFonts w:ascii="Century Gothic" w:hAnsi="Century Gothic" w:cs="Times New Roman"/>
          <w:sz w:val="24"/>
          <w:szCs w:val="24"/>
        </w:rPr>
        <w:t>a accentué la désertification</w:t>
      </w:r>
      <w:r>
        <w:rPr>
          <w:rFonts w:ascii="Century Gothic" w:hAnsi="Century Gothic" w:cs="Times New Roman"/>
          <w:sz w:val="24"/>
          <w:szCs w:val="24"/>
        </w:rPr>
        <w:t xml:space="preserve">, </w:t>
      </w:r>
      <w:r w:rsidRPr="00C63431">
        <w:rPr>
          <w:rFonts w:ascii="Century Gothic" w:hAnsi="Century Gothic" w:cs="Times New Roman"/>
          <w:sz w:val="24"/>
          <w:szCs w:val="24"/>
        </w:rPr>
        <w:t xml:space="preserve">cause principale de la disparition d’espèces forestières et de la réduction du potentiel pastoral provoquant ainsi un exode rural massif vers les grands centres urbains. </w:t>
      </w:r>
    </w:p>
    <w:p w14:paraId="4D9A6546" w14:textId="77777777" w:rsidR="005625B5" w:rsidRDefault="005625B5" w:rsidP="005625B5">
      <w:pPr>
        <w:spacing w:after="0" w:line="276" w:lineRule="auto"/>
        <w:jc w:val="both"/>
        <w:rPr>
          <w:rFonts w:ascii="Century Gothic" w:hAnsi="Century Gothic" w:cs="Times New Roman"/>
          <w:sz w:val="24"/>
          <w:szCs w:val="24"/>
        </w:rPr>
      </w:pPr>
    </w:p>
    <w:p w14:paraId="372C03C6" w14:textId="77777777" w:rsidR="005625B5" w:rsidRDefault="005625B5" w:rsidP="005625B5">
      <w:pPr>
        <w:spacing w:after="0" w:line="276" w:lineRule="auto"/>
        <w:jc w:val="both"/>
        <w:rPr>
          <w:rFonts w:ascii="Century Gothic" w:hAnsi="Century Gothic" w:cs="Times New Roman"/>
          <w:sz w:val="24"/>
          <w:szCs w:val="24"/>
        </w:rPr>
      </w:pPr>
      <w:r>
        <w:rPr>
          <w:rFonts w:ascii="Century Gothic" w:hAnsi="Century Gothic" w:cs="Times New Roman"/>
          <w:sz w:val="24"/>
          <w:szCs w:val="24"/>
        </w:rPr>
        <w:t xml:space="preserve">Il faut ajouter à cela, </w:t>
      </w:r>
      <w:r w:rsidRPr="00C63431">
        <w:rPr>
          <w:rFonts w:ascii="Century Gothic" w:hAnsi="Century Gothic" w:cs="Times New Roman"/>
          <w:sz w:val="24"/>
          <w:szCs w:val="24"/>
        </w:rPr>
        <w:t>l’exploitation irrationnelle des ressources forestières par les populations pour satisfaire leurs besoins en énergie domestique (bois de chauffe et charbon de bois) et en produits forestiers non ligneux (pâturages aériens, pharmacopée, produits de cueillette et cosmétique)</w:t>
      </w:r>
      <w:r>
        <w:rPr>
          <w:rFonts w:ascii="Century Gothic" w:hAnsi="Century Gothic" w:cs="Times New Roman"/>
          <w:sz w:val="24"/>
          <w:szCs w:val="24"/>
        </w:rPr>
        <w:t xml:space="preserve">. </w:t>
      </w:r>
    </w:p>
    <w:p w14:paraId="2E999880" w14:textId="77777777" w:rsidR="005625B5" w:rsidRDefault="005625B5" w:rsidP="005625B5">
      <w:pPr>
        <w:spacing w:after="0" w:line="276" w:lineRule="auto"/>
        <w:jc w:val="both"/>
        <w:rPr>
          <w:rFonts w:ascii="Century Gothic" w:hAnsi="Century Gothic" w:cs="Times New Roman"/>
          <w:sz w:val="24"/>
          <w:szCs w:val="24"/>
        </w:rPr>
      </w:pPr>
    </w:p>
    <w:p w14:paraId="557C2A9C" w14:textId="77777777" w:rsidR="005625B5" w:rsidRDefault="005625B5" w:rsidP="005625B5">
      <w:pPr>
        <w:spacing w:after="0" w:line="276" w:lineRule="auto"/>
        <w:jc w:val="both"/>
        <w:rPr>
          <w:rFonts w:ascii="Century Gothic" w:hAnsi="Century Gothic" w:cs="Times New Roman"/>
          <w:sz w:val="24"/>
          <w:szCs w:val="24"/>
        </w:rPr>
      </w:pPr>
      <w:r>
        <w:rPr>
          <w:rFonts w:ascii="Century Gothic" w:hAnsi="Century Gothic" w:cs="Times New Roman"/>
          <w:sz w:val="24"/>
          <w:szCs w:val="24"/>
        </w:rPr>
        <w:t>L</w:t>
      </w:r>
      <w:r w:rsidRPr="00C63431">
        <w:rPr>
          <w:rFonts w:ascii="Century Gothic" w:hAnsi="Century Gothic" w:cs="Times New Roman"/>
          <w:sz w:val="24"/>
          <w:szCs w:val="24"/>
        </w:rPr>
        <w:t>es mécanismes d’adaptation développé</w:t>
      </w:r>
      <w:r>
        <w:rPr>
          <w:rFonts w:ascii="Century Gothic" w:hAnsi="Century Gothic" w:cs="Times New Roman"/>
          <w:sz w:val="24"/>
          <w:szCs w:val="24"/>
        </w:rPr>
        <w:t>s par les</w:t>
      </w:r>
      <w:r w:rsidRPr="00C63431">
        <w:rPr>
          <w:rFonts w:ascii="Century Gothic" w:hAnsi="Century Gothic" w:cs="Times New Roman"/>
          <w:sz w:val="24"/>
          <w:szCs w:val="24"/>
        </w:rPr>
        <w:t xml:space="preserve"> écosystèmes forestiers sont aujourd’hui déstabilisés par le</w:t>
      </w:r>
      <w:r>
        <w:rPr>
          <w:rFonts w:ascii="Century Gothic" w:hAnsi="Century Gothic" w:cs="Times New Roman"/>
          <w:sz w:val="24"/>
          <w:szCs w:val="24"/>
        </w:rPr>
        <w:t>s</w:t>
      </w:r>
      <w:r w:rsidRPr="00C63431">
        <w:rPr>
          <w:rFonts w:ascii="Century Gothic" w:hAnsi="Century Gothic" w:cs="Times New Roman"/>
          <w:sz w:val="24"/>
          <w:szCs w:val="24"/>
        </w:rPr>
        <w:t xml:space="preserve"> changement</w:t>
      </w:r>
      <w:r>
        <w:rPr>
          <w:rFonts w:ascii="Century Gothic" w:hAnsi="Century Gothic" w:cs="Times New Roman"/>
          <w:sz w:val="24"/>
          <w:szCs w:val="24"/>
        </w:rPr>
        <w:t>s</w:t>
      </w:r>
      <w:r w:rsidRPr="00C63431">
        <w:rPr>
          <w:rFonts w:ascii="Century Gothic" w:hAnsi="Century Gothic" w:cs="Times New Roman"/>
          <w:sz w:val="24"/>
          <w:szCs w:val="24"/>
        </w:rPr>
        <w:t xml:space="preserve"> climatique</w:t>
      </w:r>
      <w:r>
        <w:rPr>
          <w:rFonts w:ascii="Century Gothic" w:hAnsi="Century Gothic" w:cs="Times New Roman"/>
          <w:sz w:val="24"/>
          <w:szCs w:val="24"/>
        </w:rPr>
        <w:t>s</w:t>
      </w:r>
      <w:r w:rsidRPr="00C63431">
        <w:rPr>
          <w:rFonts w:ascii="Century Gothic" w:hAnsi="Century Gothic" w:cs="Times New Roman"/>
          <w:sz w:val="24"/>
          <w:szCs w:val="24"/>
        </w:rPr>
        <w:t xml:space="preserve">. </w:t>
      </w:r>
      <w:r>
        <w:rPr>
          <w:rFonts w:ascii="Century Gothic" w:hAnsi="Century Gothic" w:cs="Times New Roman"/>
          <w:sz w:val="24"/>
          <w:szCs w:val="24"/>
        </w:rPr>
        <w:t xml:space="preserve">Cette déstabilisation se manifeste par </w:t>
      </w:r>
      <w:r w:rsidRPr="00C63431">
        <w:rPr>
          <w:rFonts w:ascii="Century Gothic" w:hAnsi="Century Gothic" w:cs="Times New Roman"/>
          <w:sz w:val="24"/>
          <w:szCs w:val="24"/>
        </w:rPr>
        <w:t>la désertification et ses corollaires</w:t>
      </w:r>
      <w:r>
        <w:rPr>
          <w:rFonts w:ascii="Century Gothic" w:hAnsi="Century Gothic" w:cs="Times New Roman"/>
          <w:sz w:val="24"/>
          <w:szCs w:val="24"/>
        </w:rPr>
        <w:t xml:space="preserve"> qui représentent la</w:t>
      </w:r>
      <w:r w:rsidRPr="00C63431">
        <w:rPr>
          <w:rFonts w:ascii="Century Gothic" w:hAnsi="Century Gothic" w:cs="Times New Roman"/>
          <w:sz w:val="24"/>
          <w:szCs w:val="24"/>
        </w:rPr>
        <w:t xml:space="preserve"> forme la plus visible de</w:t>
      </w:r>
      <w:r>
        <w:rPr>
          <w:rFonts w:ascii="Century Gothic" w:hAnsi="Century Gothic" w:cs="Times New Roman"/>
          <w:sz w:val="24"/>
          <w:szCs w:val="24"/>
        </w:rPr>
        <w:t xml:space="preserve">s </w:t>
      </w:r>
      <w:r w:rsidRPr="00C63431">
        <w:rPr>
          <w:rFonts w:ascii="Century Gothic" w:hAnsi="Century Gothic" w:cs="Times New Roman"/>
          <w:sz w:val="24"/>
          <w:szCs w:val="24"/>
        </w:rPr>
        <w:t xml:space="preserve">manifestations </w:t>
      </w:r>
      <w:r>
        <w:rPr>
          <w:rFonts w:ascii="Century Gothic" w:hAnsi="Century Gothic" w:cs="Times New Roman"/>
          <w:sz w:val="24"/>
          <w:szCs w:val="24"/>
        </w:rPr>
        <w:t xml:space="preserve">des changements climatiques </w:t>
      </w:r>
      <w:r w:rsidRPr="00C63431">
        <w:rPr>
          <w:rFonts w:ascii="Century Gothic" w:hAnsi="Century Gothic" w:cs="Times New Roman"/>
          <w:sz w:val="24"/>
          <w:szCs w:val="24"/>
        </w:rPr>
        <w:t xml:space="preserve">en Mauritanie </w:t>
      </w:r>
      <w:r w:rsidRPr="00C63431">
        <w:rPr>
          <w:rFonts w:ascii="Century Gothic" w:hAnsi="Century Gothic" w:cs="Times New Roman"/>
          <w:iCs/>
          <w:sz w:val="24"/>
          <w:szCs w:val="24"/>
        </w:rPr>
        <w:t>(</w:t>
      </w:r>
      <w:r>
        <w:rPr>
          <w:rFonts w:ascii="Century Gothic" w:hAnsi="Century Gothic" w:cs="Times New Roman"/>
          <w:iCs/>
          <w:sz w:val="24"/>
          <w:szCs w:val="24"/>
        </w:rPr>
        <w:t>3</w:t>
      </w:r>
      <w:r w:rsidRPr="008F5E45">
        <w:rPr>
          <w:rFonts w:ascii="Century Gothic" w:hAnsi="Century Gothic" w:cs="Times New Roman"/>
          <w:iCs/>
          <w:sz w:val="24"/>
          <w:szCs w:val="24"/>
          <w:vertAlign w:val="superscript"/>
        </w:rPr>
        <w:t>ème</w:t>
      </w:r>
      <w:r>
        <w:rPr>
          <w:rFonts w:ascii="Century Gothic" w:hAnsi="Century Gothic" w:cs="Times New Roman"/>
          <w:iCs/>
          <w:sz w:val="24"/>
          <w:szCs w:val="24"/>
        </w:rPr>
        <w:t xml:space="preserve"> </w:t>
      </w:r>
      <w:r w:rsidRPr="00C63431">
        <w:rPr>
          <w:rFonts w:ascii="Century Gothic" w:hAnsi="Century Gothic" w:cs="Times New Roman"/>
          <w:iCs/>
          <w:sz w:val="24"/>
          <w:szCs w:val="24"/>
        </w:rPr>
        <w:t>CN, 2014)</w:t>
      </w:r>
      <w:r w:rsidRPr="00C63431">
        <w:rPr>
          <w:rFonts w:ascii="Century Gothic" w:hAnsi="Century Gothic" w:cs="Times New Roman"/>
          <w:sz w:val="24"/>
          <w:szCs w:val="24"/>
        </w:rPr>
        <w:t>.</w:t>
      </w:r>
    </w:p>
    <w:p w14:paraId="177B80C9" w14:textId="77777777" w:rsidR="005625B5" w:rsidRDefault="005625B5" w:rsidP="005625B5">
      <w:pPr>
        <w:spacing w:after="0" w:line="276" w:lineRule="auto"/>
        <w:jc w:val="both"/>
        <w:rPr>
          <w:rFonts w:ascii="Century Gothic" w:hAnsi="Century Gothic" w:cs="Times New Roman"/>
          <w:sz w:val="24"/>
          <w:szCs w:val="24"/>
        </w:rPr>
      </w:pPr>
    </w:p>
    <w:p w14:paraId="780857E3" w14:textId="77777777" w:rsidR="005625B5" w:rsidRDefault="005625B5" w:rsidP="005625B5">
      <w:pPr>
        <w:numPr>
          <w:ilvl w:val="0"/>
          <w:numId w:val="54"/>
        </w:numPr>
        <w:tabs>
          <w:tab w:val="left" w:pos="426"/>
        </w:tabs>
        <w:spacing w:after="0" w:line="276" w:lineRule="auto"/>
        <w:jc w:val="both"/>
        <w:rPr>
          <w:rFonts w:ascii="Century Gothic" w:eastAsia="Times New Roman" w:hAnsi="Century Gothic" w:cs="Times New Roman"/>
          <w:b/>
          <w:bCs/>
          <w:sz w:val="24"/>
          <w:szCs w:val="24"/>
          <w:lang w:val="wo-SN" w:eastAsia="wo-SN"/>
        </w:rPr>
      </w:pPr>
      <w:r>
        <w:rPr>
          <w:rFonts w:ascii="Century Gothic" w:eastAsia="Times New Roman" w:hAnsi="Century Gothic" w:cs="Times New Roman"/>
          <w:b/>
          <w:bCs/>
          <w:sz w:val="24"/>
          <w:szCs w:val="24"/>
          <w:lang w:val="wo-SN" w:eastAsia="wo-SN"/>
        </w:rPr>
        <w:t xml:space="preserve">ADAPTATION AU CHANGMENT CLIMATIQUE  </w:t>
      </w:r>
    </w:p>
    <w:p w14:paraId="73209A7F"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val="wo-SN" w:eastAsia="wo-SN"/>
        </w:rPr>
      </w:pPr>
    </w:p>
    <w:p w14:paraId="44D3DDDE" w14:textId="77777777" w:rsidR="005625B5" w:rsidRPr="004C38E8" w:rsidRDefault="005625B5" w:rsidP="005625B5">
      <w:pPr>
        <w:tabs>
          <w:tab w:val="left" w:pos="426"/>
        </w:tabs>
        <w:spacing w:after="0" w:line="276" w:lineRule="auto"/>
        <w:jc w:val="both"/>
        <w:rPr>
          <w:rFonts w:ascii="Century Gothic" w:eastAsia="Times New Roman" w:hAnsi="Century Gothic" w:cs="Times New Roman"/>
          <w:sz w:val="24"/>
          <w:szCs w:val="24"/>
          <w:lang w:val="wo-SN" w:eastAsia="wo-SN"/>
        </w:rPr>
      </w:pPr>
      <w:r>
        <w:rPr>
          <w:rFonts w:ascii="Century Gothic" w:eastAsia="Times New Roman" w:hAnsi="Century Gothic" w:cs="Times New Roman"/>
          <w:sz w:val="24"/>
          <w:szCs w:val="24"/>
          <w:lang w:val="wo-SN" w:eastAsia="wo-SN"/>
        </w:rPr>
        <w:t xml:space="preserve">Dans cette partie de l’étude, quatre aspects prioritaires d’adaptation seront analysés et etayés par des mesures concretes annéxées à ce rapport. Il s’agit de la problématique de l’ensablement, de la valorisation des terres incultes de la zone saharienne, des zones humides contienentales de la zone sahélienne et des écosystèmes forestiers .   </w:t>
      </w:r>
    </w:p>
    <w:p w14:paraId="0EF35E80"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val="wo-SN" w:eastAsia="wo-SN"/>
        </w:rPr>
      </w:pPr>
    </w:p>
    <w:p w14:paraId="297D079A" w14:textId="77777777" w:rsidR="005625B5" w:rsidRPr="00BC2511"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sidRPr="00BC2511">
        <w:rPr>
          <w:rFonts w:ascii="Century Gothic" w:eastAsia="Times New Roman" w:hAnsi="Century Gothic" w:cs="Times New Roman"/>
          <w:b/>
          <w:bCs/>
          <w:sz w:val="24"/>
          <w:szCs w:val="24"/>
          <w:lang w:eastAsia="wo-SN"/>
        </w:rPr>
        <w:t>I</w:t>
      </w:r>
      <w:r>
        <w:rPr>
          <w:rFonts w:ascii="Century Gothic" w:eastAsia="Times New Roman" w:hAnsi="Century Gothic" w:cs="Times New Roman"/>
          <w:b/>
          <w:bCs/>
          <w:sz w:val="24"/>
          <w:szCs w:val="24"/>
          <w:lang w:eastAsia="wo-SN"/>
        </w:rPr>
        <w:t>V</w:t>
      </w:r>
      <w:r w:rsidRPr="00BC2511">
        <w:rPr>
          <w:rFonts w:ascii="Century Gothic" w:eastAsia="Times New Roman" w:hAnsi="Century Gothic" w:cs="Times New Roman"/>
          <w:b/>
          <w:bCs/>
          <w:sz w:val="24"/>
          <w:szCs w:val="24"/>
          <w:lang w:eastAsia="wo-SN"/>
        </w:rPr>
        <w:t xml:space="preserve">.1. Lutte contre l’ensablement </w:t>
      </w:r>
    </w:p>
    <w:p w14:paraId="3C997424"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660950B5"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La zone saharienne qui couvre plus des 2/3 du pays se caractérise par l’</w:t>
      </w:r>
      <w:r w:rsidRPr="00D75CFD">
        <w:rPr>
          <w:rFonts w:ascii="Century Gothic" w:eastAsia="Times New Roman" w:hAnsi="Century Gothic" w:cs="Times New Roman"/>
          <w:sz w:val="24"/>
          <w:szCs w:val="24"/>
          <w:lang w:eastAsia="wo-SN"/>
        </w:rPr>
        <w:t>absence d</w:t>
      </w:r>
      <w:r>
        <w:rPr>
          <w:rFonts w:ascii="Century Gothic" w:eastAsia="Times New Roman" w:hAnsi="Century Gothic" w:cs="Times New Roman"/>
          <w:sz w:val="24"/>
          <w:szCs w:val="24"/>
          <w:lang w:eastAsia="wo-SN"/>
        </w:rPr>
        <w:t>’un</w:t>
      </w:r>
      <w:r w:rsidRPr="00D75CFD">
        <w:rPr>
          <w:rFonts w:ascii="Century Gothic" w:eastAsia="Times New Roman" w:hAnsi="Century Gothic" w:cs="Times New Roman"/>
          <w:sz w:val="24"/>
          <w:szCs w:val="24"/>
          <w:lang w:eastAsia="wo-SN"/>
        </w:rPr>
        <w:t xml:space="preserve"> potentiel de régénération naturelle</w:t>
      </w:r>
      <w:r>
        <w:rPr>
          <w:rFonts w:ascii="Century Gothic" w:eastAsia="Times New Roman" w:hAnsi="Century Gothic" w:cs="Times New Roman"/>
          <w:sz w:val="24"/>
          <w:szCs w:val="24"/>
          <w:lang w:eastAsia="wo-SN"/>
        </w:rPr>
        <w:t xml:space="preserve"> dû principalement à la faible pluviométrie et à des températures extrêmes. La zone sahélienne est aussi concernée par l’ensablement même s’il se manifeste avec une moindre acuité. Toutefois, vu la forte densité dans cette zone du pays en termes d’habitants et d’infrastructures socioéconomiques, il serait judicieux d’accorder à la lutte contre l’ensablement une grande importance aussi.  </w:t>
      </w:r>
    </w:p>
    <w:p w14:paraId="0E6A2279"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18B932F5"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 xml:space="preserve">Cette situation génère des dunes mobiles à grande échelle qui menacent les infrastructures socioéconomiques. Il est donc plus judicieux de mobiliser les moyens humains, financiers et logistiques pour la protection de routes, des oasis, des villes et villages, … contre les dunes mobiles qui les envahissent et les ensevelissent. </w:t>
      </w:r>
    </w:p>
    <w:p w14:paraId="13E4A0EC"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44FE2EE3"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 xml:space="preserve">C’est dans ce cadre que le Ministère de l’Environnement et du Développement Durable (MEDD) conformément à l’Axe « Environnement Vert » de la Stratégie Nationale Environnement et Développement Durable (SNEDD) a développé une approche pour protéger les infrastructures socioéconomiques de la zone Nord du pays contre l’ensablement.    </w:t>
      </w:r>
    </w:p>
    <w:p w14:paraId="16813BAA"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 xml:space="preserve">Cette approche a développé des plans de protection de 17 sites contre l’ensablement dans les quatre wilayas su Nord : Adrar, Inchiri, Tiris Zemmour et Dakhlet Nouadhibou. Pour chaque site, il a été procédé à un diagnostic de terrain de manière concertée, une description du site, la problématique, la stratégie de protection et les objectifs poursuivis. </w:t>
      </w:r>
    </w:p>
    <w:p w14:paraId="3DED2158" w14:textId="77777777" w:rsidR="005625B5" w:rsidRPr="00106967" w:rsidRDefault="005625B5" w:rsidP="005625B5">
      <w:pPr>
        <w:spacing w:after="0" w:line="276" w:lineRule="auto"/>
        <w:jc w:val="both"/>
        <w:rPr>
          <w:rFonts w:ascii="Century Gothic" w:hAnsi="Century Gothic" w:cs="Times New Roman"/>
          <w:sz w:val="24"/>
          <w:szCs w:val="24"/>
          <w:lang w:val="fr-BE"/>
        </w:rPr>
      </w:pPr>
      <w:r w:rsidRPr="00106967">
        <w:rPr>
          <w:rFonts w:ascii="Century Gothic" w:hAnsi="Century Gothic" w:cs="Times New Roman"/>
          <w:sz w:val="24"/>
          <w:szCs w:val="24"/>
          <w:lang w:val="fr-BE"/>
        </w:rPr>
        <w:t xml:space="preserve">Le principal problème identifié est l’ensablement. Il s’agit d’un ensablement de type Barkhanes jointives et isolées avec des nebkas. Les infrastructures socioéconomiques ensablées concernent des écoles, des mosquées, des habitations, des palmeraies, les routes goudronnées et les pistes, …    </w:t>
      </w:r>
    </w:p>
    <w:p w14:paraId="222C71BC" w14:textId="77777777" w:rsidR="005625B5" w:rsidRPr="00106967" w:rsidRDefault="005625B5" w:rsidP="005625B5">
      <w:pPr>
        <w:spacing w:after="0" w:line="276" w:lineRule="auto"/>
        <w:jc w:val="both"/>
        <w:rPr>
          <w:rFonts w:ascii="Century Gothic" w:hAnsi="Century Gothic" w:cs="Times New Roman"/>
          <w:sz w:val="24"/>
          <w:szCs w:val="24"/>
          <w:lang w:val="fr-BE"/>
        </w:rPr>
      </w:pPr>
      <w:r w:rsidRPr="00106967">
        <w:rPr>
          <w:rFonts w:ascii="Century Gothic" w:hAnsi="Century Gothic" w:cs="Times New Roman"/>
          <w:sz w:val="24"/>
          <w:szCs w:val="24"/>
          <w:lang w:val="fr-BE"/>
        </w:rPr>
        <w:t>Les objectifs des plans de protection des infrastructures socioéconomiques sont :</w:t>
      </w:r>
      <w:r>
        <w:rPr>
          <w:rFonts w:ascii="Century Gothic" w:hAnsi="Century Gothic" w:cs="Times New Roman"/>
          <w:sz w:val="24"/>
          <w:szCs w:val="24"/>
          <w:lang w:val="fr-BE"/>
        </w:rPr>
        <w:t xml:space="preserve"> (i) </w:t>
      </w:r>
      <w:r w:rsidRPr="00106967">
        <w:rPr>
          <w:rFonts w:ascii="Century Gothic" w:hAnsi="Century Gothic" w:cs="Times New Roman"/>
          <w:sz w:val="24"/>
          <w:szCs w:val="24"/>
          <w:lang w:val="fr-BE"/>
        </w:rPr>
        <w:t>Stabiliser les dunes mobiles qui menaces les infrastructures socioéconomiques,</w:t>
      </w:r>
      <w:r>
        <w:rPr>
          <w:rFonts w:ascii="Century Gothic" w:hAnsi="Century Gothic" w:cs="Times New Roman"/>
          <w:sz w:val="24"/>
          <w:szCs w:val="24"/>
          <w:lang w:val="fr-BE"/>
        </w:rPr>
        <w:t xml:space="preserve"> dans un premier temps et (ii) </w:t>
      </w:r>
      <w:r w:rsidRPr="00106967">
        <w:rPr>
          <w:rFonts w:ascii="Century Gothic" w:hAnsi="Century Gothic" w:cs="Times New Roman"/>
          <w:sz w:val="24"/>
          <w:szCs w:val="24"/>
          <w:lang w:val="fr-BE"/>
        </w:rPr>
        <w:t>Assurer le suivi et l’entretien des travaux de protection des infrastructures socioéconomiques</w:t>
      </w:r>
      <w:r>
        <w:rPr>
          <w:rFonts w:ascii="Century Gothic" w:hAnsi="Century Gothic" w:cs="Times New Roman"/>
          <w:sz w:val="24"/>
          <w:szCs w:val="24"/>
          <w:lang w:val="fr-BE"/>
        </w:rPr>
        <w:t xml:space="preserve">, dans un deuxième temps. </w:t>
      </w:r>
      <w:r w:rsidRPr="00106967">
        <w:rPr>
          <w:rFonts w:ascii="Century Gothic" w:hAnsi="Century Gothic" w:cs="Times New Roman"/>
          <w:sz w:val="24"/>
          <w:szCs w:val="24"/>
          <w:lang w:val="fr-BE"/>
        </w:rPr>
        <w:t xml:space="preserve">  </w:t>
      </w:r>
    </w:p>
    <w:p w14:paraId="7DF373A6"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 xml:space="preserve">Les plans d’action comportent donc deux volets : un volet « Stabilisation » dans un premier temps et un volet « Suivi et entretien » pour assurer la durabilité de la protection de l’infrastructure en question.  </w:t>
      </w:r>
    </w:p>
    <w:p w14:paraId="0473F4E0" w14:textId="77777777" w:rsidR="005625B5" w:rsidRPr="00C60FF6"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sidRPr="00C60FF6">
        <w:rPr>
          <w:rFonts w:ascii="Century Gothic" w:eastAsia="Times New Roman" w:hAnsi="Century Gothic" w:cs="Times New Roman"/>
          <w:b/>
          <w:bCs/>
          <w:sz w:val="24"/>
          <w:szCs w:val="24"/>
          <w:lang w:eastAsia="wo-SN"/>
        </w:rPr>
        <w:t>Evaluation financière des plans de protection des infrastructures socioéconomiques contre l’ensablement (</w:t>
      </w:r>
      <w:r>
        <w:rPr>
          <w:rFonts w:ascii="Century Gothic" w:eastAsia="Times New Roman" w:hAnsi="Century Gothic" w:cs="Times New Roman"/>
          <w:b/>
          <w:bCs/>
          <w:sz w:val="24"/>
          <w:szCs w:val="24"/>
          <w:lang w:eastAsia="wo-SN"/>
        </w:rPr>
        <w:t xml:space="preserve">voir annexe 2) </w:t>
      </w:r>
      <w:r w:rsidRPr="00C60FF6">
        <w:rPr>
          <w:rFonts w:ascii="Century Gothic" w:eastAsia="Times New Roman" w:hAnsi="Century Gothic" w:cs="Times New Roman"/>
          <w:b/>
          <w:bCs/>
          <w:sz w:val="24"/>
          <w:szCs w:val="24"/>
          <w:lang w:eastAsia="wo-S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54"/>
        <w:gridCol w:w="1793"/>
        <w:gridCol w:w="1747"/>
        <w:gridCol w:w="1825"/>
      </w:tblGrid>
      <w:tr w:rsidR="005625B5" w14:paraId="48DF9CAF" w14:textId="77777777" w:rsidTr="00FB354B">
        <w:tc>
          <w:tcPr>
            <w:tcW w:w="1944" w:type="dxa"/>
            <w:shd w:val="clear" w:color="auto" w:fill="auto"/>
          </w:tcPr>
          <w:p w14:paraId="6F85D943" w14:textId="77777777" w:rsidR="005625B5" w:rsidRDefault="005625B5" w:rsidP="00FB354B">
            <w:pPr>
              <w:tabs>
                <w:tab w:val="left" w:pos="426"/>
              </w:tabs>
              <w:spacing w:after="0" w:line="276" w:lineRule="auto"/>
              <w:jc w:val="both"/>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 xml:space="preserve">Wilayas </w:t>
            </w:r>
          </w:p>
        </w:tc>
        <w:tc>
          <w:tcPr>
            <w:tcW w:w="1944" w:type="dxa"/>
            <w:shd w:val="clear" w:color="auto" w:fill="auto"/>
          </w:tcPr>
          <w:p w14:paraId="7CECDFC3"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Sites de protection</w:t>
            </w:r>
          </w:p>
        </w:tc>
        <w:tc>
          <w:tcPr>
            <w:tcW w:w="1944" w:type="dxa"/>
            <w:shd w:val="clear" w:color="auto" w:fill="auto"/>
          </w:tcPr>
          <w:p w14:paraId="265148EF"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Superficie</w:t>
            </w:r>
          </w:p>
          <w:p w14:paraId="1767AD80"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w:t>
            </w:r>
            <w:proofErr w:type="gramStart"/>
            <w:r>
              <w:rPr>
                <w:rFonts w:ascii="Century Gothic" w:eastAsia="Times New Roman" w:hAnsi="Century Gothic" w:cs="Times New Roman"/>
                <w:b/>
                <w:bCs/>
                <w:sz w:val="20"/>
                <w:szCs w:val="20"/>
                <w:lang w:eastAsia="wo-SN"/>
              </w:rPr>
              <w:t>ha</w:t>
            </w:r>
            <w:proofErr w:type="gramEnd"/>
            <w:r>
              <w:rPr>
                <w:rFonts w:ascii="Century Gothic" w:eastAsia="Times New Roman" w:hAnsi="Century Gothic" w:cs="Times New Roman"/>
                <w:b/>
                <w:bCs/>
                <w:sz w:val="20"/>
                <w:szCs w:val="20"/>
                <w:lang w:eastAsia="wo-SN"/>
              </w:rPr>
              <w:t xml:space="preserve">) </w:t>
            </w:r>
          </w:p>
        </w:tc>
        <w:tc>
          <w:tcPr>
            <w:tcW w:w="1944" w:type="dxa"/>
            <w:shd w:val="clear" w:color="auto" w:fill="auto"/>
          </w:tcPr>
          <w:p w14:paraId="7F77D592"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 xml:space="preserve">Coût unitaire </w:t>
            </w:r>
          </w:p>
          <w:p w14:paraId="33494C95"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(MRU)</w:t>
            </w:r>
          </w:p>
        </w:tc>
        <w:tc>
          <w:tcPr>
            <w:tcW w:w="1944" w:type="dxa"/>
            <w:shd w:val="clear" w:color="auto" w:fill="auto"/>
          </w:tcPr>
          <w:p w14:paraId="1E0BC46D"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 xml:space="preserve">Coût total </w:t>
            </w:r>
          </w:p>
          <w:p w14:paraId="447B4A56"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(MRU)</w:t>
            </w:r>
          </w:p>
        </w:tc>
      </w:tr>
      <w:tr w:rsidR="005625B5" w14:paraId="4F3A347A" w14:textId="77777777" w:rsidTr="00FB354B">
        <w:tc>
          <w:tcPr>
            <w:tcW w:w="1944" w:type="dxa"/>
            <w:shd w:val="clear" w:color="auto" w:fill="auto"/>
          </w:tcPr>
          <w:p w14:paraId="458ABE70" w14:textId="77777777" w:rsidR="005625B5" w:rsidRDefault="005625B5" w:rsidP="00FB354B">
            <w:pPr>
              <w:tabs>
                <w:tab w:val="left" w:pos="426"/>
              </w:tabs>
              <w:spacing w:after="0" w:line="276" w:lineRule="auto"/>
              <w:jc w:val="both"/>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 xml:space="preserve">Tiris Zemmour </w:t>
            </w:r>
          </w:p>
        </w:tc>
        <w:tc>
          <w:tcPr>
            <w:tcW w:w="1944" w:type="dxa"/>
            <w:shd w:val="clear" w:color="auto" w:fill="auto"/>
          </w:tcPr>
          <w:p w14:paraId="76B8B8DC" w14:textId="77777777" w:rsidR="005625B5" w:rsidRDefault="005625B5" w:rsidP="00FB354B">
            <w:pPr>
              <w:tabs>
                <w:tab w:val="left" w:pos="426"/>
              </w:tabs>
              <w:spacing w:after="0" w:line="276" w:lineRule="auto"/>
              <w:jc w:val="both"/>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 xml:space="preserve">Zouerate, Twajil, Oum Dhveyratt </w:t>
            </w:r>
          </w:p>
        </w:tc>
        <w:tc>
          <w:tcPr>
            <w:tcW w:w="1944" w:type="dxa"/>
            <w:shd w:val="clear" w:color="auto" w:fill="auto"/>
          </w:tcPr>
          <w:p w14:paraId="2798B886"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p>
          <w:p w14:paraId="28EBB609"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315</w:t>
            </w:r>
          </w:p>
        </w:tc>
        <w:tc>
          <w:tcPr>
            <w:tcW w:w="1944" w:type="dxa"/>
            <w:shd w:val="clear" w:color="auto" w:fill="auto"/>
          </w:tcPr>
          <w:p w14:paraId="75B34A70"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p>
          <w:p w14:paraId="7A3B9C5A"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150.000</w:t>
            </w:r>
          </w:p>
        </w:tc>
        <w:tc>
          <w:tcPr>
            <w:tcW w:w="1944" w:type="dxa"/>
            <w:shd w:val="clear" w:color="auto" w:fill="auto"/>
          </w:tcPr>
          <w:p w14:paraId="5BEA17AA"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p>
          <w:p w14:paraId="3E9AAF0C"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47.250.000</w:t>
            </w:r>
          </w:p>
        </w:tc>
      </w:tr>
      <w:tr w:rsidR="005625B5" w14:paraId="2F690C69" w14:textId="77777777" w:rsidTr="00FB354B">
        <w:tc>
          <w:tcPr>
            <w:tcW w:w="1944" w:type="dxa"/>
            <w:shd w:val="clear" w:color="auto" w:fill="auto"/>
          </w:tcPr>
          <w:p w14:paraId="06FC135A" w14:textId="77777777" w:rsidR="005625B5" w:rsidRDefault="005625B5" w:rsidP="00FB354B">
            <w:pPr>
              <w:tabs>
                <w:tab w:val="left" w:pos="426"/>
              </w:tabs>
              <w:spacing w:after="0" w:line="276" w:lineRule="auto"/>
              <w:jc w:val="both"/>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 xml:space="preserve">Adrar </w:t>
            </w:r>
          </w:p>
        </w:tc>
        <w:tc>
          <w:tcPr>
            <w:tcW w:w="1944" w:type="dxa"/>
            <w:shd w:val="clear" w:color="auto" w:fill="auto"/>
          </w:tcPr>
          <w:p w14:paraId="0F7F0DCF" w14:textId="77777777" w:rsidR="005625B5" w:rsidRPr="00613CF8" w:rsidRDefault="005625B5" w:rsidP="00FB354B">
            <w:pPr>
              <w:tabs>
                <w:tab w:val="left" w:pos="426"/>
              </w:tabs>
              <w:spacing w:after="0" w:line="276" w:lineRule="auto"/>
              <w:jc w:val="both"/>
              <w:rPr>
                <w:rFonts w:ascii="Century Gothic" w:eastAsia="Times New Roman" w:hAnsi="Century Gothic" w:cs="Times New Roman"/>
                <w:sz w:val="20"/>
                <w:szCs w:val="20"/>
                <w:lang w:val="en-US" w:eastAsia="wo-SN"/>
              </w:rPr>
            </w:pPr>
            <w:r w:rsidRPr="00613CF8">
              <w:rPr>
                <w:rFonts w:ascii="Century Gothic" w:eastAsia="Times New Roman" w:hAnsi="Century Gothic" w:cs="Times New Roman"/>
                <w:sz w:val="20"/>
                <w:szCs w:val="20"/>
                <w:lang w:val="en-US" w:eastAsia="wo-SN"/>
              </w:rPr>
              <w:t xml:space="preserve">Chinguitty, Tenwemend, Ain Safra, Elmedah, Tenewchart, Aoujeft </w:t>
            </w:r>
          </w:p>
        </w:tc>
        <w:tc>
          <w:tcPr>
            <w:tcW w:w="1944" w:type="dxa"/>
            <w:shd w:val="clear" w:color="auto" w:fill="auto"/>
          </w:tcPr>
          <w:p w14:paraId="184174D3" w14:textId="77777777" w:rsidR="005625B5" w:rsidRPr="00613CF8" w:rsidRDefault="005625B5" w:rsidP="00FB354B">
            <w:pPr>
              <w:tabs>
                <w:tab w:val="left" w:pos="426"/>
              </w:tabs>
              <w:spacing w:after="0" w:line="276" w:lineRule="auto"/>
              <w:jc w:val="center"/>
              <w:rPr>
                <w:rFonts w:ascii="Century Gothic" w:eastAsia="Times New Roman" w:hAnsi="Century Gothic" w:cs="Times New Roman"/>
                <w:sz w:val="20"/>
                <w:szCs w:val="20"/>
                <w:lang w:val="en-US" w:eastAsia="wo-SN"/>
              </w:rPr>
            </w:pPr>
          </w:p>
          <w:p w14:paraId="222B8617"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305</w:t>
            </w:r>
          </w:p>
        </w:tc>
        <w:tc>
          <w:tcPr>
            <w:tcW w:w="1944" w:type="dxa"/>
            <w:shd w:val="clear" w:color="auto" w:fill="auto"/>
          </w:tcPr>
          <w:p w14:paraId="7AC3E61C"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p>
          <w:p w14:paraId="485FC47F"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150.000</w:t>
            </w:r>
          </w:p>
        </w:tc>
        <w:tc>
          <w:tcPr>
            <w:tcW w:w="1944" w:type="dxa"/>
            <w:shd w:val="clear" w:color="auto" w:fill="auto"/>
          </w:tcPr>
          <w:p w14:paraId="1D020D96"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p>
          <w:p w14:paraId="72CFF7F9"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45.750.000</w:t>
            </w:r>
          </w:p>
        </w:tc>
      </w:tr>
      <w:tr w:rsidR="005625B5" w14:paraId="649EAB39" w14:textId="77777777" w:rsidTr="00FB354B">
        <w:tc>
          <w:tcPr>
            <w:tcW w:w="1944" w:type="dxa"/>
            <w:shd w:val="clear" w:color="auto" w:fill="auto"/>
          </w:tcPr>
          <w:p w14:paraId="6C0DE2D8" w14:textId="77777777" w:rsidR="005625B5" w:rsidRDefault="005625B5" w:rsidP="00FB354B">
            <w:pPr>
              <w:tabs>
                <w:tab w:val="left" w:pos="426"/>
              </w:tabs>
              <w:spacing w:after="0" w:line="276" w:lineRule="auto"/>
              <w:jc w:val="both"/>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Dakhlet Nouadhibou</w:t>
            </w:r>
          </w:p>
        </w:tc>
        <w:tc>
          <w:tcPr>
            <w:tcW w:w="1944" w:type="dxa"/>
            <w:shd w:val="clear" w:color="auto" w:fill="auto"/>
          </w:tcPr>
          <w:p w14:paraId="6BC47C57" w14:textId="77777777" w:rsidR="005625B5" w:rsidRDefault="005625B5" w:rsidP="00FB354B">
            <w:pPr>
              <w:tabs>
                <w:tab w:val="left" w:pos="426"/>
              </w:tabs>
              <w:spacing w:after="0" w:line="276" w:lineRule="auto"/>
              <w:jc w:val="both"/>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 xml:space="preserve">Boulenoir, Chami, Bouamatou, Tmeymichatt </w:t>
            </w:r>
          </w:p>
        </w:tc>
        <w:tc>
          <w:tcPr>
            <w:tcW w:w="1944" w:type="dxa"/>
            <w:shd w:val="clear" w:color="auto" w:fill="auto"/>
          </w:tcPr>
          <w:p w14:paraId="6BE309D1"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p>
          <w:p w14:paraId="7FFC8CA2"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173</w:t>
            </w:r>
          </w:p>
        </w:tc>
        <w:tc>
          <w:tcPr>
            <w:tcW w:w="1944" w:type="dxa"/>
            <w:shd w:val="clear" w:color="auto" w:fill="auto"/>
          </w:tcPr>
          <w:p w14:paraId="16AC30D8"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p>
          <w:p w14:paraId="66DA8A09"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150.000</w:t>
            </w:r>
          </w:p>
        </w:tc>
        <w:tc>
          <w:tcPr>
            <w:tcW w:w="1944" w:type="dxa"/>
            <w:shd w:val="clear" w:color="auto" w:fill="auto"/>
          </w:tcPr>
          <w:p w14:paraId="68EE649E"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p>
          <w:p w14:paraId="1C96EA13"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25.950.000</w:t>
            </w:r>
          </w:p>
        </w:tc>
      </w:tr>
      <w:tr w:rsidR="005625B5" w14:paraId="61D85F6A" w14:textId="77777777" w:rsidTr="00FB354B">
        <w:tc>
          <w:tcPr>
            <w:tcW w:w="1944" w:type="dxa"/>
            <w:shd w:val="clear" w:color="auto" w:fill="auto"/>
          </w:tcPr>
          <w:p w14:paraId="361B9F1F" w14:textId="77777777" w:rsidR="005625B5" w:rsidRDefault="005625B5" w:rsidP="00FB354B">
            <w:pPr>
              <w:tabs>
                <w:tab w:val="left" w:pos="426"/>
              </w:tabs>
              <w:spacing w:after="0" w:line="276" w:lineRule="auto"/>
              <w:jc w:val="both"/>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 xml:space="preserve">Inchiri </w:t>
            </w:r>
          </w:p>
        </w:tc>
        <w:tc>
          <w:tcPr>
            <w:tcW w:w="1944" w:type="dxa"/>
            <w:shd w:val="clear" w:color="auto" w:fill="auto"/>
          </w:tcPr>
          <w:p w14:paraId="5CB433F0" w14:textId="77777777" w:rsidR="005625B5" w:rsidRDefault="005625B5" w:rsidP="00FB354B">
            <w:pPr>
              <w:tabs>
                <w:tab w:val="left" w:pos="426"/>
              </w:tabs>
              <w:spacing w:after="0" w:line="276" w:lineRule="auto"/>
              <w:jc w:val="both"/>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 xml:space="preserve">Ville de Bennichab, Route de Chami, Mhayjratt, Port de Tanit </w:t>
            </w:r>
          </w:p>
        </w:tc>
        <w:tc>
          <w:tcPr>
            <w:tcW w:w="1944" w:type="dxa"/>
            <w:shd w:val="clear" w:color="auto" w:fill="auto"/>
          </w:tcPr>
          <w:p w14:paraId="08396990"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p>
          <w:p w14:paraId="1D9377F4"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p>
          <w:p w14:paraId="3D6D9FC9"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450</w:t>
            </w:r>
          </w:p>
        </w:tc>
        <w:tc>
          <w:tcPr>
            <w:tcW w:w="1944" w:type="dxa"/>
            <w:shd w:val="clear" w:color="auto" w:fill="auto"/>
          </w:tcPr>
          <w:p w14:paraId="3197BB2F"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p>
          <w:p w14:paraId="24F4D9C2"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p>
          <w:p w14:paraId="6052BF97" w14:textId="77777777" w:rsidR="005625B5" w:rsidRDefault="005625B5" w:rsidP="00FB354B">
            <w:pPr>
              <w:tabs>
                <w:tab w:val="left" w:pos="426"/>
              </w:tabs>
              <w:spacing w:after="0" w:line="276" w:lineRule="auto"/>
              <w:jc w:val="center"/>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150.000</w:t>
            </w:r>
          </w:p>
        </w:tc>
        <w:tc>
          <w:tcPr>
            <w:tcW w:w="1944" w:type="dxa"/>
            <w:shd w:val="clear" w:color="auto" w:fill="auto"/>
          </w:tcPr>
          <w:p w14:paraId="618CF512"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p>
          <w:p w14:paraId="77A29EFC"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p>
          <w:p w14:paraId="34BA1585"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67.500.000</w:t>
            </w:r>
          </w:p>
        </w:tc>
      </w:tr>
      <w:tr w:rsidR="005625B5" w14:paraId="10A43913" w14:textId="77777777" w:rsidTr="00FB354B">
        <w:tc>
          <w:tcPr>
            <w:tcW w:w="1944" w:type="dxa"/>
            <w:shd w:val="clear" w:color="auto" w:fill="auto"/>
          </w:tcPr>
          <w:p w14:paraId="44D14604" w14:textId="77777777" w:rsidR="005625B5" w:rsidRDefault="005625B5" w:rsidP="00FB354B">
            <w:pPr>
              <w:tabs>
                <w:tab w:val="left" w:pos="426"/>
              </w:tabs>
              <w:spacing w:after="0" w:line="276" w:lineRule="auto"/>
              <w:jc w:val="both"/>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 xml:space="preserve">Total </w:t>
            </w:r>
          </w:p>
        </w:tc>
        <w:tc>
          <w:tcPr>
            <w:tcW w:w="1944" w:type="dxa"/>
            <w:shd w:val="clear" w:color="auto" w:fill="auto"/>
          </w:tcPr>
          <w:p w14:paraId="2B77DF7F" w14:textId="77777777" w:rsidR="005625B5" w:rsidRDefault="005625B5" w:rsidP="00FB354B">
            <w:pPr>
              <w:tabs>
                <w:tab w:val="left" w:pos="426"/>
              </w:tabs>
              <w:spacing w:after="0" w:line="276" w:lineRule="auto"/>
              <w:jc w:val="both"/>
              <w:rPr>
                <w:rFonts w:ascii="Century Gothic" w:eastAsia="Times New Roman" w:hAnsi="Century Gothic" w:cs="Times New Roman"/>
                <w:b/>
                <w:bCs/>
                <w:sz w:val="20"/>
                <w:szCs w:val="20"/>
                <w:lang w:eastAsia="wo-SN"/>
              </w:rPr>
            </w:pPr>
          </w:p>
        </w:tc>
        <w:tc>
          <w:tcPr>
            <w:tcW w:w="1944" w:type="dxa"/>
            <w:shd w:val="clear" w:color="auto" w:fill="auto"/>
          </w:tcPr>
          <w:p w14:paraId="30C5CF06"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1243</w:t>
            </w:r>
          </w:p>
        </w:tc>
        <w:tc>
          <w:tcPr>
            <w:tcW w:w="1944" w:type="dxa"/>
            <w:shd w:val="clear" w:color="auto" w:fill="auto"/>
          </w:tcPr>
          <w:p w14:paraId="2FA3E263" w14:textId="77777777" w:rsidR="005625B5" w:rsidRDefault="005625B5" w:rsidP="00FB354B">
            <w:pPr>
              <w:tabs>
                <w:tab w:val="left" w:pos="426"/>
              </w:tabs>
              <w:spacing w:after="0" w:line="276" w:lineRule="auto"/>
              <w:jc w:val="right"/>
              <w:rPr>
                <w:rFonts w:ascii="Century Gothic" w:eastAsia="Times New Roman" w:hAnsi="Century Gothic" w:cs="Times New Roman"/>
                <w:b/>
                <w:bCs/>
                <w:sz w:val="20"/>
                <w:szCs w:val="20"/>
                <w:lang w:eastAsia="wo-SN"/>
              </w:rPr>
            </w:pPr>
          </w:p>
        </w:tc>
        <w:tc>
          <w:tcPr>
            <w:tcW w:w="1944" w:type="dxa"/>
            <w:shd w:val="clear" w:color="auto" w:fill="auto"/>
          </w:tcPr>
          <w:p w14:paraId="3D30B533" w14:textId="77777777" w:rsidR="005625B5" w:rsidRDefault="005625B5" w:rsidP="00FB354B">
            <w:pPr>
              <w:tabs>
                <w:tab w:val="left" w:pos="426"/>
              </w:tabs>
              <w:spacing w:after="0" w:line="276" w:lineRule="auto"/>
              <w:jc w:val="right"/>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186.450.000</w:t>
            </w:r>
          </w:p>
        </w:tc>
      </w:tr>
    </w:tbl>
    <w:p w14:paraId="072E55B0" w14:textId="77777777" w:rsidR="005625B5" w:rsidRPr="00636E3A" w:rsidRDefault="005625B5" w:rsidP="005625B5">
      <w:pPr>
        <w:tabs>
          <w:tab w:val="left" w:pos="426"/>
        </w:tabs>
        <w:spacing w:after="0" w:line="276" w:lineRule="auto"/>
        <w:jc w:val="right"/>
        <w:rPr>
          <w:rFonts w:ascii="Century Gothic" w:eastAsia="Times New Roman" w:hAnsi="Century Gothic" w:cs="Times New Roman"/>
          <w:b/>
          <w:bCs/>
          <w:sz w:val="20"/>
          <w:szCs w:val="20"/>
          <w:lang w:eastAsia="wo-SN"/>
        </w:rPr>
      </w:pPr>
      <w:r w:rsidRPr="00636E3A">
        <w:rPr>
          <w:rFonts w:ascii="Century Gothic" w:eastAsia="Times New Roman" w:hAnsi="Century Gothic" w:cs="Times New Roman"/>
          <w:b/>
          <w:bCs/>
          <w:sz w:val="20"/>
          <w:szCs w:val="20"/>
          <w:lang w:eastAsia="wo-SN"/>
        </w:rPr>
        <w:t>Source : MEDD, 2023</w:t>
      </w:r>
    </w:p>
    <w:p w14:paraId="1799F4DE"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08539768" w14:textId="77777777" w:rsidR="005625B5" w:rsidRPr="00C50B9B"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sidRPr="00C50B9B">
        <w:rPr>
          <w:rFonts w:ascii="Century Gothic" w:eastAsia="Times New Roman" w:hAnsi="Century Gothic" w:cs="Times New Roman"/>
          <w:b/>
          <w:bCs/>
          <w:sz w:val="24"/>
          <w:szCs w:val="24"/>
          <w:lang w:eastAsia="wo-SN"/>
        </w:rPr>
        <w:t>I</w:t>
      </w:r>
      <w:r>
        <w:rPr>
          <w:rFonts w:ascii="Century Gothic" w:eastAsia="Times New Roman" w:hAnsi="Century Gothic" w:cs="Times New Roman"/>
          <w:b/>
          <w:bCs/>
          <w:sz w:val="24"/>
          <w:szCs w:val="24"/>
          <w:lang w:eastAsia="wo-SN"/>
        </w:rPr>
        <w:t>V</w:t>
      </w:r>
      <w:r w:rsidRPr="00C50B9B">
        <w:rPr>
          <w:rFonts w:ascii="Century Gothic" w:eastAsia="Times New Roman" w:hAnsi="Century Gothic" w:cs="Times New Roman"/>
          <w:b/>
          <w:bCs/>
          <w:sz w:val="24"/>
          <w:szCs w:val="24"/>
          <w:lang w:eastAsia="wo-SN"/>
        </w:rPr>
        <w:t xml:space="preserve">.2. </w:t>
      </w:r>
      <w:r>
        <w:rPr>
          <w:rFonts w:ascii="Century Gothic" w:eastAsia="Times New Roman" w:hAnsi="Century Gothic" w:cs="Times New Roman"/>
          <w:b/>
          <w:bCs/>
          <w:sz w:val="24"/>
          <w:szCs w:val="24"/>
          <w:lang w:eastAsia="wo-SN"/>
        </w:rPr>
        <w:t xml:space="preserve">Valorisation </w:t>
      </w:r>
      <w:r w:rsidRPr="00C50B9B">
        <w:rPr>
          <w:rFonts w:ascii="Century Gothic" w:eastAsia="Times New Roman" w:hAnsi="Century Gothic" w:cs="Times New Roman"/>
          <w:b/>
          <w:bCs/>
          <w:sz w:val="24"/>
          <w:szCs w:val="24"/>
          <w:lang w:eastAsia="wo-SN"/>
        </w:rPr>
        <w:t xml:space="preserve">des terres </w:t>
      </w:r>
      <w:r>
        <w:rPr>
          <w:rFonts w:ascii="Century Gothic" w:eastAsia="Times New Roman" w:hAnsi="Century Gothic" w:cs="Times New Roman"/>
          <w:b/>
          <w:bCs/>
          <w:sz w:val="24"/>
          <w:szCs w:val="24"/>
          <w:lang w:eastAsia="wo-SN"/>
        </w:rPr>
        <w:t xml:space="preserve">incultes </w:t>
      </w:r>
      <w:r w:rsidRPr="00C50B9B">
        <w:rPr>
          <w:rFonts w:ascii="Century Gothic" w:eastAsia="Times New Roman" w:hAnsi="Century Gothic" w:cs="Times New Roman"/>
          <w:b/>
          <w:bCs/>
          <w:sz w:val="24"/>
          <w:szCs w:val="24"/>
          <w:lang w:eastAsia="wo-SN"/>
        </w:rPr>
        <w:t xml:space="preserve"> </w:t>
      </w:r>
    </w:p>
    <w:p w14:paraId="09E43173"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1249B2E4"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sidRPr="00E05C47">
        <w:rPr>
          <w:rFonts w:ascii="Century Gothic" w:eastAsia="Times New Roman" w:hAnsi="Century Gothic" w:cs="Times New Roman"/>
          <w:sz w:val="24"/>
          <w:szCs w:val="24"/>
          <w:lang w:val="fr-BE" w:eastAsia="wo-SN"/>
        </w:rPr>
        <w:t>Les déserts se caractérisent par l</w:t>
      </w:r>
      <w:r>
        <w:rPr>
          <w:rFonts w:ascii="Century Gothic" w:eastAsia="Times New Roman" w:hAnsi="Century Gothic" w:cs="Times New Roman"/>
          <w:sz w:val="24"/>
          <w:szCs w:val="24"/>
          <w:lang w:val="fr-BE" w:eastAsia="wo-SN"/>
        </w:rPr>
        <w:t xml:space="preserve">a rareté </w:t>
      </w:r>
      <w:r w:rsidRPr="00E05C47">
        <w:rPr>
          <w:rFonts w:ascii="Century Gothic" w:eastAsia="Times New Roman" w:hAnsi="Century Gothic" w:cs="Times New Roman"/>
          <w:sz w:val="24"/>
          <w:szCs w:val="24"/>
          <w:lang w:val="fr-BE" w:eastAsia="wo-SN"/>
        </w:rPr>
        <w:t>de</w:t>
      </w:r>
      <w:r>
        <w:rPr>
          <w:rFonts w:ascii="Century Gothic" w:eastAsia="Times New Roman" w:hAnsi="Century Gothic" w:cs="Times New Roman"/>
          <w:sz w:val="24"/>
          <w:szCs w:val="24"/>
          <w:lang w:val="fr-BE" w:eastAsia="wo-SN"/>
        </w:rPr>
        <w:t xml:space="preserve"> la</w:t>
      </w:r>
      <w:r w:rsidRPr="00E05C47">
        <w:rPr>
          <w:rFonts w:ascii="Century Gothic" w:eastAsia="Times New Roman" w:hAnsi="Century Gothic" w:cs="Times New Roman"/>
          <w:sz w:val="24"/>
          <w:szCs w:val="24"/>
          <w:lang w:val="fr-BE" w:eastAsia="wo-SN"/>
        </w:rPr>
        <w:t xml:space="preserve"> végétation</w:t>
      </w:r>
      <w:r>
        <w:rPr>
          <w:rFonts w:ascii="Century Gothic" w:eastAsia="Times New Roman" w:hAnsi="Century Gothic" w:cs="Times New Roman"/>
          <w:sz w:val="24"/>
          <w:szCs w:val="24"/>
          <w:lang w:val="fr-BE" w:eastAsia="wo-SN"/>
        </w:rPr>
        <w:t>, de la faune et une faible biodiversité</w:t>
      </w:r>
      <w:r w:rsidRPr="00E05C47">
        <w:rPr>
          <w:rFonts w:ascii="Century Gothic" w:eastAsia="Times New Roman" w:hAnsi="Century Gothic" w:cs="Times New Roman"/>
          <w:sz w:val="24"/>
          <w:szCs w:val="24"/>
          <w:lang w:val="fr-BE" w:eastAsia="wo-SN"/>
        </w:rPr>
        <w:t xml:space="preserve">. Si l'on y trouve des plantes, elles sont </w:t>
      </w:r>
      <w:r>
        <w:rPr>
          <w:rFonts w:ascii="Century Gothic" w:eastAsia="Times New Roman" w:hAnsi="Century Gothic" w:cs="Times New Roman"/>
          <w:sz w:val="24"/>
          <w:szCs w:val="24"/>
          <w:lang w:val="fr-BE" w:eastAsia="wo-SN"/>
        </w:rPr>
        <w:t>éparses</w:t>
      </w:r>
      <w:r w:rsidRPr="00E05C47">
        <w:rPr>
          <w:rFonts w:ascii="Century Gothic" w:eastAsia="Times New Roman" w:hAnsi="Century Gothic" w:cs="Times New Roman"/>
          <w:sz w:val="24"/>
          <w:szCs w:val="24"/>
          <w:lang w:val="fr-BE" w:eastAsia="wo-SN"/>
        </w:rPr>
        <w:t xml:space="preserve">, extrêmement résistantes (résilientes), souvent discrètes ou hautement spécialisées pour survivre à des conditions difficiles, sèches et chaudes. </w:t>
      </w:r>
    </w:p>
    <w:p w14:paraId="30608B74"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02D2A495" w14:textId="77777777" w:rsidR="005625B5" w:rsidRPr="00E05C47"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eastAsia="wo-SN"/>
        </w:rPr>
        <w:t>La zone saharienne mauritanienne est caractérisée par l’absence d’eau, facteur limitant pour tout type de développement. Pour restaurer les terres incultes dans cette zone, il est donc nécessaire de produire suffisamment d’eau pour faire « revivre » ces terres dites mortes</w:t>
      </w:r>
      <w:r w:rsidRPr="00936519">
        <w:rPr>
          <w:rFonts w:ascii="Century Gothic" w:eastAsia="Times New Roman" w:hAnsi="Century Gothic" w:cs="Times New Roman"/>
          <w:sz w:val="24"/>
          <w:szCs w:val="24"/>
          <w:lang w:eastAsia="wo-SN"/>
        </w:rPr>
        <w:t xml:space="preserve"> </w:t>
      </w:r>
      <w:r>
        <w:rPr>
          <w:rFonts w:ascii="Century Gothic" w:eastAsia="Times New Roman" w:hAnsi="Century Gothic" w:cs="Times New Roman"/>
          <w:sz w:val="24"/>
          <w:szCs w:val="24"/>
          <w:lang w:eastAsia="wo-SN"/>
        </w:rPr>
        <w:t>(non favorables à la production végétale).</w:t>
      </w:r>
    </w:p>
    <w:p w14:paraId="66008786"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3D5BFDA5"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 xml:space="preserve">En fait, la récupération de ces terres incultes et leur transformation en terres productives est devenue possible du fait de plusieurs facteurs : la présence d’eau de mer à l’ouest du pays (l’océan Atlantique) et le potentiel important en termes d’énergies éolienne et solaire. </w:t>
      </w:r>
    </w:p>
    <w:p w14:paraId="0D1E64E2"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6210DF95"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eastAsia="wo-SN"/>
        </w:rPr>
        <w:t xml:space="preserve">L’idée est donc de procéder à la désalinisation de l’eau de mer grâce à l’énergie éolienne et solaire. Une fois l’eau dessalée, procéder au développement de l’agroforesterie. </w:t>
      </w:r>
      <w:r w:rsidRPr="0040300E">
        <w:rPr>
          <w:rFonts w:ascii="Century Gothic" w:eastAsia="Times New Roman" w:hAnsi="Century Gothic" w:cs="Times New Roman"/>
          <w:sz w:val="24"/>
          <w:szCs w:val="24"/>
          <w:lang w:val="fr-BE" w:eastAsia="wo-SN"/>
        </w:rPr>
        <w:t>Les températures constamment chaudes permettent une activité photosynthétique continue tout au long de l'année, ce qui entraîne des taux de croissance élevés pour les plantes.</w:t>
      </w:r>
    </w:p>
    <w:p w14:paraId="3C5E3AC9"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0601FAD4"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 xml:space="preserve">L’approche comporte un deuxième volet : la production de l’hydrogène vert à partir de l’eau dessalée. Cette énergie peut servir pour la valorisation d’autres ressources naturelles, telles que les ressources minières dont recèle le nord du pays : fer, cuivre, or, …  </w:t>
      </w:r>
    </w:p>
    <w:p w14:paraId="15004746"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46BAFB02"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sidRPr="0040300E">
        <w:rPr>
          <w:rFonts w:ascii="Century Gothic" w:eastAsia="Times New Roman" w:hAnsi="Century Gothic" w:cs="Times New Roman"/>
          <w:sz w:val="24"/>
          <w:szCs w:val="24"/>
          <w:lang w:val="fr-BE" w:eastAsia="wo-SN"/>
        </w:rPr>
        <w:t>Selon les données fournies par la Banque mondiale, entre 1991 et 2020, les températures moyennes</w:t>
      </w:r>
      <w:r>
        <w:rPr>
          <w:rFonts w:ascii="Century Gothic" w:eastAsia="Times New Roman" w:hAnsi="Century Gothic" w:cs="Times New Roman"/>
          <w:sz w:val="24"/>
          <w:szCs w:val="24"/>
          <w:lang w:val="fr-BE" w:eastAsia="wo-SN"/>
        </w:rPr>
        <w:t xml:space="preserve"> de la zone côtière saharienne du pays</w:t>
      </w:r>
      <w:r w:rsidRPr="0040300E">
        <w:rPr>
          <w:rFonts w:ascii="Century Gothic" w:eastAsia="Times New Roman" w:hAnsi="Century Gothic" w:cs="Times New Roman"/>
          <w:sz w:val="24"/>
          <w:szCs w:val="24"/>
          <w:lang w:val="fr-BE" w:eastAsia="wo-SN"/>
        </w:rPr>
        <w:t xml:space="preserve"> ont varié d</w:t>
      </w:r>
      <w:r>
        <w:rPr>
          <w:rFonts w:ascii="Century Gothic" w:eastAsia="Times New Roman" w:hAnsi="Century Gothic" w:cs="Times New Roman"/>
          <w:sz w:val="24"/>
          <w:szCs w:val="24"/>
          <w:lang w:val="fr-BE" w:eastAsia="wo-SN"/>
        </w:rPr>
        <w:t xml:space="preserve">e </w:t>
      </w:r>
      <w:r w:rsidRPr="0040300E">
        <w:rPr>
          <w:rFonts w:ascii="Century Gothic" w:eastAsia="Times New Roman" w:hAnsi="Century Gothic" w:cs="Times New Roman"/>
          <w:sz w:val="24"/>
          <w:szCs w:val="24"/>
          <w:lang w:val="fr-BE" w:eastAsia="wo-SN"/>
        </w:rPr>
        <w:t>20°C en décembre et janvier à 34°C en juin et juillet</w:t>
      </w:r>
      <w:r>
        <w:rPr>
          <w:rFonts w:ascii="Century Gothic" w:eastAsia="Times New Roman" w:hAnsi="Century Gothic" w:cs="Times New Roman"/>
          <w:sz w:val="24"/>
          <w:szCs w:val="24"/>
          <w:lang w:val="fr-BE" w:eastAsia="wo-SN"/>
        </w:rPr>
        <w:t xml:space="preserve"> et la </w:t>
      </w:r>
      <w:r w:rsidRPr="0040300E">
        <w:rPr>
          <w:rFonts w:ascii="Century Gothic" w:eastAsia="Times New Roman" w:hAnsi="Century Gothic" w:cs="Times New Roman"/>
          <w:sz w:val="24"/>
          <w:szCs w:val="24"/>
          <w:lang w:val="fr-BE" w:eastAsia="wo-SN"/>
        </w:rPr>
        <w:t xml:space="preserve">moyenne maximale des précipitations a été atteinte en août 42 mm (World Bank, 2020). </w:t>
      </w:r>
    </w:p>
    <w:p w14:paraId="0E3C4682"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3969A758" w14:textId="77777777" w:rsidR="005625B5" w:rsidRPr="00412B42" w:rsidRDefault="005625B5" w:rsidP="005625B5">
      <w:pPr>
        <w:tabs>
          <w:tab w:val="left" w:pos="426"/>
        </w:tabs>
        <w:spacing w:after="0" w:line="276" w:lineRule="auto"/>
        <w:jc w:val="both"/>
        <w:rPr>
          <w:rFonts w:ascii="Century Gothic" w:eastAsia="Times New Roman" w:hAnsi="Century Gothic" w:cs="Times New Roman"/>
          <w:b/>
          <w:bCs/>
          <w:sz w:val="24"/>
          <w:szCs w:val="24"/>
          <w:lang w:val="fr-BE" w:eastAsia="wo-SN"/>
        </w:rPr>
      </w:pPr>
      <w:r w:rsidRPr="00412B42">
        <w:rPr>
          <w:rFonts w:ascii="Century Gothic" w:eastAsia="Times New Roman" w:hAnsi="Century Gothic" w:cs="Times New Roman"/>
          <w:b/>
          <w:bCs/>
          <w:sz w:val="24"/>
          <w:szCs w:val="24"/>
          <w:lang w:val="fr-BE" w:eastAsia="wo-SN"/>
        </w:rPr>
        <w:t xml:space="preserve">Températures et précipitations moyennes dans la zone saharienne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3035"/>
        <w:gridCol w:w="3032"/>
      </w:tblGrid>
      <w:tr w:rsidR="005625B5" w14:paraId="1208FFB1" w14:textId="77777777" w:rsidTr="00FB354B">
        <w:tc>
          <w:tcPr>
            <w:tcW w:w="3240" w:type="dxa"/>
            <w:shd w:val="clear" w:color="auto" w:fill="auto"/>
          </w:tcPr>
          <w:p w14:paraId="2545A4B3"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4"/>
                <w:szCs w:val="24"/>
                <w:lang w:val="fr-BE" w:eastAsia="wo-SN"/>
              </w:rPr>
            </w:pPr>
          </w:p>
        </w:tc>
        <w:tc>
          <w:tcPr>
            <w:tcW w:w="3240" w:type="dxa"/>
            <w:shd w:val="clear" w:color="auto" w:fill="auto"/>
          </w:tcPr>
          <w:p w14:paraId="7BCC36AC"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4"/>
                <w:szCs w:val="24"/>
                <w:lang w:val="fr-BE" w:eastAsia="wo-SN"/>
              </w:rPr>
            </w:pPr>
            <w:r>
              <w:rPr>
                <w:rFonts w:ascii="Century Gothic" w:eastAsia="Times New Roman" w:hAnsi="Century Gothic" w:cs="Times New Roman"/>
                <w:b/>
                <w:bCs/>
                <w:sz w:val="24"/>
                <w:szCs w:val="24"/>
                <w:lang w:val="fr-BE" w:eastAsia="wo-SN"/>
              </w:rPr>
              <w:t>Températures</w:t>
            </w:r>
          </w:p>
          <w:p w14:paraId="645A67E8"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4"/>
                <w:szCs w:val="24"/>
                <w:lang w:val="fr-BE" w:eastAsia="wo-SN"/>
              </w:rPr>
            </w:pPr>
            <w:r>
              <w:rPr>
                <w:rFonts w:ascii="Century Gothic" w:eastAsia="Times New Roman" w:hAnsi="Century Gothic" w:cs="Times New Roman"/>
                <w:b/>
                <w:bCs/>
                <w:sz w:val="24"/>
                <w:szCs w:val="24"/>
                <w:lang w:val="fr-BE" w:eastAsia="wo-SN"/>
              </w:rPr>
              <w:t>(°C)</w:t>
            </w:r>
          </w:p>
        </w:tc>
        <w:tc>
          <w:tcPr>
            <w:tcW w:w="3240" w:type="dxa"/>
            <w:shd w:val="clear" w:color="auto" w:fill="auto"/>
          </w:tcPr>
          <w:p w14:paraId="7B512032"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4"/>
                <w:szCs w:val="24"/>
                <w:lang w:val="fr-BE" w:eastAsia="wo-SN"/>
              </w:rPr>
            </w:pPr>
            <w:r>
              <w:rPr>
                <w:rFonts w:ascii="Century Gothic" w:eastAsia="Times New Roman" w:hAnsi="Century Gothic" w:cs="Times New Roman"/>
                <w:b/>
                <w:bCs/>
                <w:sz w:val="24"/>
                <w:szCs w:val="24"/>
                <w:lang w:val="fr-BE" w:eastAsia="wo-SN"/>
              </w:rPr>
              <w:t>Précipitations</w:t>
            </w:r>
          </w:p>
          <w:p w14:paraId="724D1419"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4"/>
                <w:szCs w:val="24"/>
                <w:lang w:val="fr-BE" w:eastAsia="wo-SN"/>
              </w:rPr>
            </w:pPr>
            <w:r>
              <w:rPr>
                <w:rFonts w:ascii="Century Gothic" w:eastAsia="Times New Roman" w:hAnsi="Century Gothic" w:cs="Times New Roman"/>
                <w:b/>
                <w:bCs/>
                <w:sz w:val="24"/>
                <w:szCs w:val="24"/>
                <w:lang w:val="fr-BE" w:eastAsia="wo-SN"/>
              </w:rPr>
              <w:t>(</w:t>
            </w:r>
            <w:proofErr w:type="gramStart"/>
            <w:r>
              <w:rPr>
                <w:rFonts w:ascii="Century Gothic" w:eastAsia="Times New Roman" w:hAnsi="Century Gothic" w:cs="Times New Roman"/>
                <w:b/>
                <w:bCs/>
                <w:sz w:val="24"/>
                <w:szCs w:val="24"/>
                <w:lang w:val="fr-BE" w:eastAsia="wo-SN"/>
              </w:rPr>
              <w:t>mm</w:t>
            </w:r>
            <w:proofErr w:type="gramEnd"/>
            <w:r>
              <w:rPr>
                <w:rFonts w:ascii="Century Gothic" w:eastAsia="Times New Roman" w:hAnsi="Century Gothic" w:cs="Times New Roman"/>
                <w:b/>
                <w:bCs/>
                <w:sz w:val="24"/>
                <w:szCs w:val="24"/>
                <w:lang w:val="fr-BE" w:eastAsia="wo-SN"/>
              </w:rPr>
              <w:t>)</w:t>
            </w:r>
          </w:p>
        </w:tc>
      </w:tr>
      <w:tr w:rsidR="005625B5" w14:paraId="24CC0A88" w14:textId="77777777" w:rsidTr="00FB354B">
        <w:tc>
          <w:tcPr>
            <w:tcW w:w="3240" w:type="dxa"/>
            <w:shd w:val="clear" w:color="auto" w:fill="auto"/>
          </w:tcPr>
          <w:p w14:paraId="7E45DF78" w14:textId="77777777" w:rsidR="005625B5" w:rsidRDefault="005625B5" w:rsidP="00FB354B">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Janvier </w:t>
            </w:r>
          </w:p>
        </w:tc>
        <w:tc>
          <w:tcPr>
            <w:tcW w:w="3240" w:type="dxa"/>
            <w:shd w:val="clear" w:color="auto" w:fill="auto"/>
          </w:tcPr>
          <w:p w14:paraId="599B0B4F"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20,7</w:t>
            </w:r>
          </w:p>
        </w:tc>
        <w:tc>
          <w:tcPr>
            <w:tcW w:w="3240" w:type="dxa"/>
            <w:shd w:val="clear" w:color="auto" w:fill="auto"/>
          </w:tcPr>
          <w:p w14:paraId="2C0DB456"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0,96</w:t>
            </w:r>
          </w:p>
        </w:tc>
      </w:tr>
      <w:tr w:rsidR="005625B5" w14:paraId="264D89C7" w14:textId="77777777" w:rsidTr="00FB354B">
        <w:tc>
          <w:tcPr>
            <w:tcW w:w="3240" w:type="dxa"/>
            <w:shd w:val="clear" w:color="auto" w:fill="auto"/>
          </w:tcPr>
          <w:p w14:paraId="42BCBB3A" w14:textId="77777777" w:rsidR="005625B5" w:rsidRDefault="005625B5" w:rsidP="00FB354B">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Février </w:t>
            </w:r>
          </w:p>
        </w:tc>
        <w:tc>
          <w:tcPr>
            <w:tcW w:w="3240" w:type="dxa"/>
            <w:shd w:val="clear" w:color="auto" w:fill="auto"/>
          </w:tcPr>
          <w:p w14:paraId="5D678645"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23,2</w:t>
            </w:r>
          </w:p>
        </w:tc>
        <w:tc>
          <w:tcPr>
            <w:tcW w:w="3240" w:type="dxa"/>
            <w:shd w:val="clear" w:color="auto" w:fill="auto"/>
          </w:tcPr>
          <w:p w14:paraId="6796FBFA"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0,88</w:t>
            </w:r>
          </w:p>
        </w:tc>
      </w:tr>
      <w:tr w:rsidR="005625B5" w14:paraId="3468197C" w14:textId="77777777" w:rsidTr="00FB354B">
        <w:tc>
          <w:tcPr>
            <w:tcW w:w="3240" w:type="dxa"/>
            <w:shd w:val="clear" w:color="auto" w:fill="auto"/>
          </w:tcPr>
          <w:p w14:paraId="07AB569C" w14:textId="77777777" w:rsidR="005625B5" w:rsidRDefault="005625B5" w:rsidP="00FB354B">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Mars </w:t>
            </w:r>
          </w:p>
        </w:tc>
        <w:tc>
          <w:tcPr>
            <w:tcW w:w="3240" w:type="dxa"/>
            <w:shd w:val="clear" w:color="auto" w:fill="auto"/>
          </w:tcPr>
          <w:p w14:paraId="532664CE"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26,6</w:t>
            </w:r>
          </w:p>
        </w:tc>
        <w:tc>
          <w:tcPr>
            <w:tcW w:w="3240" w:type="dxa"/>
            <w:shd w:val="clear" w:color="auto" w:fill="auto"/>
          </w:tcPr>
          <w:p w14:paraId="02F60D47"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0,39</w:t>
            </w:r>
          </w:p>
        </w:tc>
      </w:tr>
      <w:tr w:rsidR="005625B5" w14:paraId="58ADD0D9" w14:textId="77777777" w:rsidTr="00FB354B">
        <w:tc>
          <w:tcPr>
            <w:tcW w:w="3240" w:type="dxa"/>
            <w:shd w:val="clear" w:color="auto" w:fill="auto"/>
          </w:tcPr>
          <w:p w14:paraId="18A688D6" w14:textId="77777777" w:rsidR="005625B5" w:rsidRDefault="005625B5" w:rsidP="00FB354B">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Avril </w:t>
            </w:r>
          </w:p>
        </w:tc>
        <w:tc>
          <w:tcPr>
            <w:tcW w:w="3240" w:type="dxa"/>
            <w:shd w:val="clear" w:color="auto" w:fill="auto"/>
          </w:tcPr>
          <w:p w14:paraId="47DC3B9B"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29,6</w:t>
            </w:r>
          </w:p>
        </w:tc>
        <w:tc>
          <w:tcPr>
            <w:tcW w:w="3240" w:type="dxa"/>
            <w:shd w:val="clear" w:color="auto" w:fill="auto"/>
          </w:tcPr>
          <w:p w14:paraId="66E7762F"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0,47</w:t>
            </w:r>
          </w:p>
        </w:tc>
      </w:tr>
      <w:tr w:rsidR="005625B5" w14:paraId="02B91060" w14:textId="77777777" w:rsidTr="00FB354B">
        <w:tc>
          <w:tcPr>
            <w:tcW w:w="3240" w:type="dxa"/>
            <w:shd w:val="clear" w:color="auto" w:fill="auto"/>
          </w:tcPr>
          <w:p w14:paraId="1F3204A1" w14:textId="77777777" w:rsidR="005625B5" w:rsidRDefault="005625B5" w:rsidP="00FB354B">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Mai </w:t>
            </w:r>
          </w:p>
        </w:tc>
        <w:tc>
          <w:tcPr>
            <w:tcW w:w="3240" w:type="dxa"/>
            <w:shd w:val="clear" w:color="auto" w:fill="auto"/>
          </w:tcPr>
          <w:p w14:paraId="5CE84843"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32,4</w:t>
            </w:r>
          </w:p>
        </w:tc>
        <w:tc>
          <w:tcPr>
            <w:tcW w:w="3240" w:type="dxa"/>
            <w:shd w:val="clear" w:color="auto" w:fill="auto"/>
          </w:tcPr>
          <w:p w14:paraId="56291FE2"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2,04</w:t>
            </w:r>
          </w:p>
        </w:tc>
      </w:tr>
      <w:tr w:rsidR="005625B5" w14:paraId="20133849" w14:textId="77777777" w:rsidTr="00FB354B">
        <w:tc>
          <w:tcPr>
            <w:tcW w:w="3240" w:type="dxa"/>
            <w:shd w:val="clear" w:color="auto" w:fill="auto"/>
          </w:tcPr>
          <w:p w14:paraId="10B5DC3D" w14:textId="77777777" w:rsidR="005625B5" w:rsidRDefault="005625B5" w:rsidP="00FB354B">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Juin </w:t>
            </w:r>
          </w:p>
        </w:tc>
        <w:tc>
          <w:tcPr>
            <w:tcW w:w="3240" w:type="dxa"/>
            <w:shd w:val="clear" w:color="auto" w:fill="auto"/>
          </w:tcPr>
          <w:p w14:paraId="2BCECDD4"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34,6</w:t>
            </w:r>
          </w:p>
        </w:tc>
        <w:tc>
          <w:tcPr>
            <w:tcW w:w="3240" w:type="dxa"/>
            <w:shd w:val="clear" w:color="auto" w:fill="auto"/>
          </w:tcPr>
          <w:p w14:paraId="37BB1B4D"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6,33</w:t>
            </w:r>
          </w:p>
        </w:tc>
      </w:tr>
      <w:tr w:rsidR="005625B5" w14:paraId="2F4FE473" w14:textId="77777777" w:rsidTr="00FB354B">
        <w:tc>
          <w:tcPr>
            <w:tcW w:w="3240" w:type="dxa"/>
            <w:shd w:val="clear" w:color="auto" w:fill="auto"/>
          </w:tcPr>
          <w:p w14:paraId="1C62FDCC" w14:textId="77777777" w:rsidR="005625B5" w:rsidRDefault="005625B5" w:rsidP="00FB354B">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Juillet </w:t>
            </w:r>
          </w:p>
        </w:tc>
        <w:tc>
          <w:tcPr>
            <w:tcW w:w="3240" w:type="dxa"/>
            <w:shd w:val="clear" w:color="auto" w:fill="auto"/>
          </w:tcPr>
          <w:p w14:paraId="1CAF3435"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34,3</w:t>
            </w:r>
          </w:p>
        </w:tc>
        <w:tc>
          <w:tcPr>
            <w:tcW w:w="3240" w:type="dxa"/>
            <w:shd w:val="clear" w:color="auto" w:fill="auto"/>
          </w:tcPr>
          <w:p w14:paraId="08729878"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19,1</w:t>
            </w:r>
          </w:p>
        </w:tc>
      </w:tr>
      <w:tr w:rsidR="005625B5" w14:paraId="19CAC07B" w14:textId="77777777" w:rsidTr="00FB354B">
        <w:tc>
          <w:tcPr>
            <w:tcW w:w="3240" w:type="dxa"/>
            <w:shd w:val="clear" w:color="auto" w:fill="auto"/>
          </w:tcPr>
          <w:p w14:paraId="26FBD3BD" w14:textId="77777777" w:rsidR="005625B5" w:rsidRDefault="005625B5" w:rsidP="00FB354B">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Août </w:t>
            </w:r>
          </w:p>
        </w:tc>
        <w:tc>
          <w:tcPr>
            <w:tcW w:w="3240" w:type="dxa"/>
            <w:shd w:val="clear" w:color="auto" w:fill="auto"/>
          </w:tcPr>
          <w:p w14:paraId="25F6C9D6"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33,2</w:t>
            </w:r>
          </w:p>
        </w:tc>
        <w:tc>
          <w:tcPr>
            <w:tcW w:w="3240" w:type="dxa"/>
            <w:shd w:val="clear" w:color="auto" w:fill="auto"/>
          </w:tcPr>
          <w:p w14:paraId="07A9D7DC"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42,53</w:t>
            </w:r>
          </w:p>
        </w:tc>
      </w:tr>
      <w:tr w:rsidR="005625B5" w14:paraId="48D0DBD2" w14:textId="77777777" w:rsidTr="00FB354B">
        <w:tc>
          <w:tcPr>
            <w:tcW w:w="3240" w:type="dxa"/>
            <w:shd w:val="clear" w:color="auto" w:fill="auto"/>
          </w:tcPr>
          <w:p w14:paraId="1246F2F2" w14:textId="77777777" w:rsidR="005625B5" w:rsidRDefault="005625B5" w:rsidP="00FB354B">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Septembre </w:t>
            </w:r>
          </w:p>
        </w:tc>
        <w:tc>
          <w:tcPr>
            <w:tcW w:w="3240" w:type="dxa"/>
            <w:shd w:val="clear" w:color="auto" w:fill="auto"/>
          </w:tcPr>
          <w:p w14:paraId="46E2F399"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32,7</w:t>
            </w:r>
          </w:p>
        </w:tc>
        <w:tc>
          <w:tcPr>
            <w:tcW w:w="3240" w:type="dxa"/>
            <w:shd w:val="clear" w:color="auto" w:fill="auto"/>
          </w:tcPr>
          <w:p w14:paraId="0BA80B94"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28,27</w:t>
            </w:r>
          </w:p>
        </w:tc>
      </w:tr>
      <w:tr w:rsidR="005625B5" w14:paraId="0CC2B08C" w14:textId="77777777" w:rsidTr="00FB354B">
        <w:tc>
          <w:tcPr>
            <w:tcW w:w="3240" w:type="dxa"/>
            <w:shd w:val="clear" w:color="auto" w:fill="auto"/>
          </w:tcPr>
          <w:p w14:paraId="0F8DE3D4" w14:textId="77777777" w:rsidR="005625B5" w:rsidRDefault="005625B5" w:rsidP="00FB354B">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Octobre </w:t>
            </w:r>
          </w:p>
        </w:tc>
        <w:tc>
          <w:tcPr>
            <w:tcW w:w="3240" w:type="dxa"/>
            <w:shd w:val="clear" w:color="auto" w:fill="auto"/>
          </w:tcPr>
          <w:p w14:paraId="5169FC01"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30,6</w:t>
            </w:r>
          </w:p>
        </w:tc>
        <w:tc>
          <w:tcPr>
            <w:tcW w:w="3240" w:type="dxa"/>
            <w:shd w:val="clear" w:color="auto" w:fill="auto"/>
          </w:tcPr>
          <w:p w14:paraId="69F590D8"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8,27</w:t>
            </w:r>
          </w:p>
        </w:tc>
      </w:tr>
      <w:tr w:rsidR="005625B5" w14:paraId="50C12558" w14:textId="77777777" w:rsidTr="00FB354B">
        <w:tc>
          <w:tcPr>
            <w:tcW w:w="3240" w:type="dxa"/>
            <w:shd w:val="clear" w:color="auto" w:fill="auto"/>
          </w:tcPr>
          <w:p w14:paraId="23FBAAED" w14:textId="77777777" w:rsidR="005625B5" w:rsidRDefault="005625B5" w:rsidP="00FB354B">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Novembre </w:t>
            </w:r>
          </w:p>
        </w:tc>
        <w:tc>
          <w:tcPr>
            <w:tcW w:w="3240" w:type="dxa"/>
            <w:shd w:val="clear" w:color="auto" w:fill="auto"/>
          </w:tcPr>
          <w:p w14:paraId="08D90531"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26,1</w:t>
            </w:r>
          </w:p>
        </w:tc>
        <w:tc>
          <w:tcPr>
            <w:tcW w:w="3240" w:type="dxa"/>
            <w:shd w:val="clear" w:color="auto" w:fill="auto"/>
          </w:tcPr>
          <w:p w14:paraId="08A8DA08"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1,31</w:t>
            </w:r>
          </w:p>
        </w:tc>
      </w:tr>
      <w:tr w:rsidR="005625B5" w14:paraId="26BA2F9E" w14:textId="77777777" w:rsidTr="00FB354B">
        <w:tc>
          <w:tcPr>
            <w:tcW w:w="3240" w:type="dxa"/>
            <w:shd w:val="clear" w:color="auto" w:fill="auto"/>
          </w:tcPr>
          <w:p w14:paraId="1CC282E7" w14:textId="77777777" w:rsidR="005625B5" w:rsidRDefault="005625B5" w:rsidP="00FB354B">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Décembre </w:t>
            </w:r>
          </w:p>
        </w:tc>
        <w:tc>
          <w:tcPr>
            <w:tcW w:w="3240" w:type="dxa"/>
            <w:shd w:val="clear" w:color="auto" w:fill="auto"/>
          </w:tcPr>
          <w:p w14:paraId="6D249AE7"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21,6</w:t>
            </w:r>
          </w:p>
        </w:tc>
        <w:tc>
          <w:tcPr>
            <w:tcW w:w="3240" w:type="dxa"/>
            <w:shd w:val="clear" w:color="auto" w:fill="auto"/>
          </w:tcPr>
          <w:p w14:paraId="30577898" w14:textId="77777777" w:rsidR="005625B5" w:rsidRDefault="005625B5" w:rsidP="00FB354B">
            <w:pPr>
              <w:tabs>
                <w:tab w:val="left" w:pos="426"/>
              </w:tabs>
              <w:spacing w:after="0" w:line="276" w:lineRule="auto"/>
              <w:jc w:val="center"/>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1,40</w:t>
            </w:r>
          </w:p>
        </w:tc>
      </w:tr>
      <w:tr w:rsidR="005625B5" w14:paraId="7987EC73" w14:textId="77777777" w:rsidTr="00FB354B">
        <w:tc>
          <w:tcPr>
            <w:tcW w:w="3240" w:type="dxa"/>
            <w:shd w:val="clear" w:color="auto" w:fill="auto"/>
          </w:tcPr>
          <w:p w14:paraId="4FC1966A" w14:textId="77777777" w:rsidR="005625B5" w:rsidRDefault="005625B5" w:rsidP="00FB354B">
            <w:pPr>
              <w:tabs>
                <w:tab w:val="left" w:pos="426"/>
              </w:tabs>
              <w:spacing w:after="0" w:line="276" w:lineRule="auto"/>
              <w:jc w:val="both"/>
              <w:rPr>
                <w:rFonts w:ascii="Century Gothic" w:eastAsia="Times New Roman" w:hAnsi="Century Gothic" w:cs="Times New Roman"/>
                <w:b/>
                <w:bCs/>
                <w:sz w:val="24"/>
                <w:szCs w:val="24"/>
                <w:lang w:val="fr-BE" w:eastAsia="wo-SN"/>
              </w:rPr>
            </w:pPr>
            <w:r>
              <w:rPr>
                <w:rFonts w:ascii="Century Gothic" w:eastAsia="Times New Roman" w:hAnsi="Century Gothic" w:cs="Times New Roman"/>
                <w:b/>
                <w:bCs/>
                <w:sz w:val="24"/>
                <w:szCs w:val="24"/>
                <w:lang w:val="fr-BE" w:eastAsia="wo-SN"/>
              </w:rPr>
              <w:t xml:space="preserve">Moyenne </w:t>
            </w:r>
          </w:p>
        </w:tc>
        <w:tc>
          <w:tcPr>
            <w:tcW w:w="3240" w:type="dxa"/>
            <w:shd w:val="clear" w:color="auto" w:fill="auto"/>
          </w:tcPr>
          <w:p w14:paraId="50B44E6D"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4"/>
                <w:szCs w:val="24"/>
                <w:lang w:val="fr-BE" w:eastAsia="wo-SN"/>
              </w:rPr>
            </w:pPr>
            <w:r>
              <w:rPr>
                <w:rFonts w:ascii="Century Gothic" w:eastAsia="Times New Roman" w:hAnsi="Century Gothic" w:cs="Times New Roman"/>
                <w:b/>
                <w:bCs/>
                <w:sz w:val="24"/>
                <w:szCs w:val="24"/>
                <w:lang w:val="fr-BE" w:eastAsia="wo-SN"/>
              </w:rPr>
              <w:t>28,8</w:t>
            </w:r>
          </w:p>
        </w:tc>
        <w:tc>
          <w:tcPr>
            <w:tcW w:w="3240" w:type="dxa"/>
            <w:shd w:val="clear" w:color="auto" w:fill="auto"/>
          </w:tcPr>
          <w:p w14:paraId="30319759"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4"/>
                <w:szCs w:val="24"/>
                <w:lang w:val="fr-BE" w:eastAsia="wo-SN"/>
              </w:rPr>
            </w:pPr>
            <w:r>
              <w:rPr>
                <w:rFonts w:ascii="Century Gothic" w:eastAsia="Times New Roman" w:hAnsi="Century Gothic" w:cs="Times New Roman"/>
                <w:b/>
                <w:bCs/>
                <w:sz w:val="24"/>
                <w:szCs w:val="24"/>
                <w:lang w:val="fr-BE" w:eastAsia="wo-SN"/>
              </w:rPr>
              <w:t>8,64</w:t>
            </w:r>
          </w:p>
        </w:tc>
      </w:tr>
    </w:tbl>
    <w:p w14:paraId="6E86DDAD" w14:textId="77777777" w:rsidR="005625B5" w:rsidRPr="002D1C3D" w:rsidRDefault="005625B5" w:rsidP="005625B5">
      <w:pPr>
        <w:tabs>
          <w:tab w:val="left" w:pos="426"/>
        </w:tabs>
        <w:spacing w:after="0" w:line="276" w:lineRule="auto"/>
        <w:jc w:val="right"/>
        <w:rPr>
          <w:rFonts w:ascii="Century Gothic" w:eastAsia="Times New Roman" w:hAnsi="Century Gothic" w:cs="Times New Roman"/>
          <w:b/>
          <w:bCs/>
          <w:sz w:val="20"/>
          <w:szCs w:val="20"/>
          <w:lang w:val="fr-BE" w:eastAsia="wo-SN"/>
        </w:rPr>
      </w:pPr>
      <w:r w:rsidRPr="002D1C3D">
        <w:rPr>
          <w:rFonts w:ascii="Century Gothic" w:eastAsia="Times New Roman" w:hAnsi="Century Gothic" w:cs="Times New Roman"/>
          <w:b/>
          <w:bCs/>
          <w:sz w:val="20"/>
          <w:szCs w:val="20"/>
          <w:lang w:val="fr-BE" w:eastAsia="wo-SN"/>
        </w:rPr>
        <w:t>Source : Banque Mondiale, 2020</w:t>
      </w:r>
    </w:p>
    <w:p w14:paraId="46F33740"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7B9B6066" w14:textId="77777777" w:rsidR="005625B5" w:rsidRPr="00C20759"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sidRPr="00C20759">
        <w:rPr>
          <w:rFonts w:ascii="Century Gothic" w:eastAsia="Times New Roman" w:hAnsi="Century Gothic" w:cs="Times New Roman"/>
          <w:b/>
          <w:bCs/>
          <w:sz w:val="24"/>
          <w:szCs w:val="24"/>
          <w:lang w:eastAsia="wo-SN"/>
        </w:rPr>
        <w:t xml:space="preserve">Données éolienne &amp; solaire : </w:t>
      </w:r>
    </w:p>
    <w:p w14:paraId="12CE1435" w14:textId="77777777" w:rsidR="005625B5" w:rsidRPr="00C20759"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sidRPr="00C20759">
        <w:rPr>
          <w:rFonts w:ascii="Century Gothic" w:eastAsia="Times New Roman" w:hAnsi="Century Gothic" w:cs="Times New Roman"/>
          <w:sz w:val="24"/>
          <w:szCs w:val="24"/>
          <w:lang w:eastAsia="wo-SN"/>
        </w:rPr>
        <w:t xml:space="preserve">Selon ln Global Windatlas (GWA), on obtient les fourchettes suivantes de vitesses de vent dans la zone </w:t>
      </w:r>
      <w:r>
        <w:rPr>
          <w:rFonts w:ascii="Century Gothic" w:eastAsia="Times New Roman" w:hAnsi="Century Gothic" w:cs="Times New Roman"/>
          <w:sz w:val="24"/>
          <w:szCs w:val="24"/>
          <w:lang w:eastAsia="wo-SN"/>
        </w:rPr>
        <w:t>saharienne (zone côtière)</w:t>
      </w:r>
      <w:r w:rsidRPr="00C20759">
        <w:rPr>
          <w:rFonts w:ascii="Century Gothic" w:eastAsia="Times New Roman" w:hAnsi="Century Gothic" w:cs="Times New Roman"/>
          <w:sz w:val="24"/>
          <w:szCs w:val="24"/>
          <w:lang w:eastAsia="wo-SN"/>
        </w:rPr>
        <w:t xml:space="preserve">, en fonction de la hauteur de mesure ou de la hauteur du moyeu : </w:t>
      </w:r>
    </w:p>
    <w:p w14:paraId="06E9DF25" w14:textId="77777777" w:rsidR="005625B5" w:rsidRPr="00C20759" w:rsidRDefault="005625B5" w:rsidP="005625B5">
      <w:pPr>
        <w:numPr>
          <w:ilvl w:val="0"/>
          <w:numId w:val="32"/>
        </w:numPr>
        <w:tabs>
          <w:tab w:val="left" w:pos="426"/>
        </w:tabs>
        <w:spacing w:after="0" w:line="276" w:lineRule="auto"/>
        <w:jc w:val="both"/>
        <w:rPr>
          <w:rFonts w:ascii="Century Gothic" w:eastAsia="Times New Roman" w:hAnsi="Century Gothic" w:cs="Times New Roman"/>
          <w:sz w:val="24"/>
          <w:szCs w:val="24"/>
          <w:lang w:eastAsia="wo-SN"/>
        </w:rPr>
      </w:pPr>
      <w:r w:rsidRPr="00C20759">
        <w:rPr>
          <w:rFonts w:ascii="Century Gothic" w:eastAsia="Times New Roman" w:hAnsi="Century Gothic" w:cs="Times New Roman"/>
          <w:sz w:val="24"/>
          <w:szCs w:val="24"/>
          <w:lang w:eastAsia="wo-SN"/>
        </w:rPr>
        <w:t>GWA @ 10</w:t>
      </w:r>
      <w:r>
        <w:rPr>
          <w:rFonts w:ascii="Century Gothic" w:eastAsia="Times New Roman" w:hAnsi="Century Gothic" w:cs="Times New Roman"/>
          <w:sz w:val="24"/>
          <w:szCs w:val="24"/>
          <w:lang w:eastAsia="wo-SN"/>
        </w:rPr>
        <w:t xml:space="preserve"> </w:t>
      </w:r>
      <w:r w:rsidRPr="00C20759">
        <w:rPr>
          <w:rFonts w:ascii="Century Gothic" w:eastAsia="Times New Roman" w:hAnsi="Century Gothic" w:cs="Times New Roman"/>
          <w:sz w:val="24"/>
          <w:szCs w:val="24"/>
          <w:lang w:eastAsia="wo-SN"/>
        </w:rPr>
        <w:t xml:space="preserve">m 6,1 m/s </w:t>
      </w:r>
      <w:r w:rsidRPr="00C20759">
        <w:rPr>
          <w:rFonts w:ascii="Century Gothic" w:eastAsia="Times New Roman" w:hAnsi="Century Gothic" w:cs="Century Gothic"/>
          <w:sz w:val="24"/>
          <w:szCs w:val="24"/>
          <w:lang w:eastAsia="wo-SN"/>
        </w:rPr>
        <w:t>…</w:t>
      </w:r>
      <w:r w:rsidRPr="00C20759">
        <w:rPr>
          <w:rFonts w:ascii="Century Gothic" w:eastAsia="Times New Roman" w:hAnsi="Century Gothic" w:cs="Times New Roman"/>
          <w:sz w:val="24"/>
          <w:szCs w:val="24"/>
          <w:lang w:eastAsia="wo-SN"/>
        </w:rPr>
        <w:t xml:space="preserve"> 7,0 m/s </w:t>
      </w:r>
    </w:p>
    <w:p w14:paraId="55223028" w14:textId="77777777" w:rsidR="005625B5" w:rsidRPr="00C20759" w:rsidRDefault="005625B5" w:rsidP="005625B5">
      <w:pPr>
        <w:numPr>
          <w:ilvl w:val="0"/>
          <w:numId w:val="32"/>
        </w:numPr>
        <w:tabs>
          <w:tab w:val="left" w:pos="426"/>
        </w:tabs>
        <w:spacing w:after="0" w:line="276" w:lineRule="auto"/>
        <w:jc w:val="both"/>
        <w:rPr>
          <w:rFonts w:ascii="Century Gothic" w:eastAsia="Times New Roman" w:hAnsi="Century Gothic" w:cs="Times New Roman"/>
          <w:sz w:val="24"/>
          <w:szCs w:val="24"/>
          <w:lang w:eastAsia="wo-SN"/>
        </w:rPr>
      </w:pPr>
      <w:r w:rsidRPr="00C20759">
        <w:rPr>
          <w:rFonts w:ascii="Century Gothic" w:eastAsia="Times New Roman" w:hAnsi="Century Gothic" w:cs="Times New Roman"/>
          <w:sz w:val="24"/>
          <w:szCs w:val="24"/>
          <w:lang w:eastAsia="wo-SN"/>
        </w:rPr>
        <w:t>GWA @ 50</w:t>
      </w:r>
      <w:r>
        <w:rPr>
          <w:rFonts w:ascii="Century Gothic" w:eastAsia="Times New Roman" w:hAnsi="Century Gothic" w:cs="Times New Roman"/>
          <w:sz w:val="24"/>
          <w:szCs w:val="24"/>
          <w:lang w:eastAsia="wo-SN"/>
        </w:rPr>
        <w:t xml:space="preserve"> </w:t>
      </w:r>
      <w:r w:rsidRPr="00C20759">
        <w:rPr>
          <w:rFonts w:ascii="Century Gothic" w:eastAsia="Times New Roman" w:hAnsi="Century Gothic" w:cs="Times New Roman"/>
          <w:sz w:val="24"/>
          <w:szCs w:val="24"/>
          <w:lang w:eastAsia="wo-SN"/>
        </w:rPr>
        <w:t xml:space="preserve">m 8,4 m/s </w:t>
      </w:r>
      <w:r w:rsidRPr="00C20759">
        <w:rPr>
          <w:rFonts w:ascii="Century Gothic" w:eastAsia="Times New Roman" w:hAnsi="Century Gothic" w:cs="Century Gothic"/>
          <w:sz w:val="24"/>
          <w:szCs w:val="24"/>
          <w:lang w:eastAsia="wo-SN"/>
        </w:rPr>
        <w:t>…</w:t>
      </w:r>
      <w:r w:rsidRPr="00C20759">
        <w:rPr>
          <w:rFonts w:ascii="Century Gothic" w:eastAsia="Times New Roman" w:hAnsi="Century Gothic" w:cs="Times New Roman"/>
          <w:sz w:val="24"/>
          <w:szCs w:val="24"/>
          <w:lang w:eastAsia="wo-SN"/>
        </w:rPr>
        <w:t xml:space="preserve"> 8,6 m/s </w:t>
      </w:r>
    </w:p>
    <w:p w14:paraId="1B9E64B2" w14:textId="77777777" w:rsidR="005625B5" w:rsidRPr="00C20759" w:rsidRDefault="005625B5" w:rsidP="005625B5">
      <w:pPr>
        <w:numPr>
          <w:ilvl w:val="0"/>
          <w:numId w:val="32"/>
        </w:numPr>
        <w:tabs>
          <w:tab w:val="left" w:pos="426"/>
        </w:tabs>
        <w:spacing w:after="0" w:line="276" w:lineRule="auto"/>
        <w:jc w:val="both"/>
        <w:rPr>
          <w:rFonts w:ascii="Century Gothic" w:eastAsia="Times New Roman" w:hAnsi="Century Gothic" w:cs="Times New Roman"/>
          <w:sz w:val="24"/>
          <w:szCs w:val="24"/>
          <w:lang w:eastAsia="wo-SN"/>
        </w:rPr>
      </w:pPr>
      <w:r w:rsidRPr="00C20759">
        <w:rPr>
          <w:rFonts w:ascii="Century Gothic" w:eastAsia="Times New Roman" w:hAnsi="Century Gothic" w:cs="Times New Roman"/>
          <w:sz w:val="24"/>
          <w:szCs w:val="24"/>
          <w:lang w:eastAsia="wo-SN"/>
        </w:rPr>
        <w:t>GWA @ 100</w:t>
      </w:r>
      <w:r>
        <w:rPr>
          <w:rFonts w:ascii="Century Gothic" w:eastAsia="Times New Roman" w:hAnsi="Century Gothic" w:cs="Times New Roman"/>
          <w:sz w:val="24"/>
          <w:szCs w:val="24"/>
          <w:lang w:eastAsia="wo-SN"/>
        </w:rPr>
        <w:t xml:space="preserve"> </w:t>
      </w:r>
      <w:r w:rsidRPr="00C20759">
        <w:rPr>
          <w:rFonts w:ascii="Century Gothic" w:eastAsia="Times New Roman" w:hAnsi="Century Gothic" w:cs="Times New Roman"/>
          <w:sz w:val="24"/>
          <w:szCs w:val="24"/>
          <w:lang w:eastAsia="wo-SN"/>
        </w:rPr>
        <w:t xml:space="preserve">m 9,7 m/s </w:t>
      </w:r>
      <w:r w:rsidRPr="00C20759">
        <w:rPr>
          <w:rFonts w:ascii="Century Gothic" w:eastAsia="Times New Roman" w:hAnsi="Century Gothic" w:cs="Century Gothic"/>
          <w:sz w:val="24"/>
          <w:szCs w:val="24"/>
          <w:lang w:eastAsia="wo-SN"/>
        </w:rPr>
        <w:t>…</w:t>
      </w:r>
      <w:r w:rsidRPr="00C20759">
        <w:rPr>
          <w:rFonts w:ascii="Century Gothic" w:eastAsia="Times New Roman" w:hAnsi="Century Gothic" w:cs="Times New Roman"/>
          <w:sz w:val="24"/>
          <w:szCs w:val="24"/>
          <w:lang w:eastAsia="wo-SN"/>
        </w:rPr>
        <w:t xml:space="preserve"> 10,0 m/s </w:t>
      </w:r>
    </w:p>
    <w:p w14:paraId="2689C54D" w14:textId="77777777" w:rsidR="005625B5" w:rsidRPr="00C20759" w:rsidRDefault="005625B5" w:rsidP="005625B5">
      <w:pPr>
        <w:numPr>
          <w:ilvl w:val="0"/>
          <w:numId w:val="32"/>
        </w:numPr>
        <w:tabs>
          <w:tab w:val="left" w:pos="426"/>
        </w:tabs>
        <w:spacing w:after="0" w:line="276" w:lineRule="auto"/>
        <w:jc w:val="both"/>
        <w:rPr>
          <w:rFonts w:ascii="Century Gothic" w:eastAsia="Times New Roman" w:hAnsi="Century Gothic" w:cs="Times New Roman"/>
          <w:sz w:val="24"/>
          <w:szCs w:val="24"/>
          <w:lang w:eastAsia="wo-SN"/>
        </w:rPr>
      </w:pPr>
      <w:r w:rsidRPr="00C20759">
        <w:rPr>
          <w:rFonts w:ascii="Century Gothic" w:eastAsia="Times New Roman" w:hAnsi="Century Gothic" w:cs="Times New Roman"/>
          <w:sz w:val="24"/>
          <w:szCs w:val="24"/>
          <w:lang w:eastAsia="wo-SN"/>
        </w:rPr>
        <w:t>GWA @ 150</w:t>
      </w:r>
      <w:r>
        <w:rPr>
          <w:rFonts w:ascii="Century Gothic" w:eastAsia="Times New Roman" w:hAnsi="Century Gothic" w:cs="Times New Roman"/>
          <w:sz w:val="24"/>
          <w:szCs w:val="24"/>
          <w:lang w:eastAsia="wo-SN"/>
        </w:rPr>
        <w:t xml:space="preserve"> </w:t>
      </w:r>
      <w:r w:rsidRPr="00C20759">
        <w:rPr>
          <w:rFonts w:ascii="Century Gothic" w:eastAsia="Times New Roman" w:hAnsi="Century Gothic" w:cs="Times New Roman"/>
          <w:sz w:val="24"/>
          <w:szCs w:val="24"/>
          <w:lang w:eastAsia="wo-SN"/>
        </w:rPr>
        <w:t xml:space="preserve">m &gt; 10,0 m/s </w:t>
      </w:r>
    </w:p>
    <w:p w14:paraId="0E62DD23" w14:textId="77777777" w:rsidR="005625B5" w:rsidRPr="00C20759" w:rsidRDefault="005625B5" w:rsidP="005625B5">
      <w:pPr>
        <w:numPr>
          <w:ilvl w:val="0"/>
          <w:numId w:val="32"/>
        </w:numPr>
        <w:tabs>
          <w:tab w:val="left" w:pos="426"/>
        </w:tabs>
        <w:spacing w:after="0" w:line="276" w:lineRule="auto"/>
        <w:jc w:val="both"/>
        <w:rPr>
          <w:rFonts w:ascii="Century Gothic" w:eastAsia="Times New Roman" w:hAnsi="Century Gothic" w:cs="Times New Roman"/>
          <w:sz w:val="24"/>
          <w:szCs w:val="24"/>
          <w:lang w:eastAsia="wo-SN"/>
        </w:rPr>
      </w:pPr>
      <w:r w:rsidRPr="00C20759">
        <w:rPr>
          <w:rFonts w:ascii="Century Gothic" w:eastAsia="Times New Roman" w:hAnsi="Century Gothic" w:cs="Times New Roman"/>
          <w:sz w:val="24"/>
          <w:szCs w:val="24"/>
          <w:lang w:eastAsia="wo-SN"/>
        </w:rPr>
        <w:t>GWA @ 200</w:t>
      </w:r>
      <w:r>
        <w:rPr>
          <w:rFonts w:ascii="Century Gothic" w:eastAsia="Times New Roman" w:hAnsi="Century Gothic" w:cs="Times New Roman"/>
          <w:sz w:val="24"/>
          <w:szCs w:val="24"/>
          <w:lang w:eastAsia="wo-SN"/>
        </w:rPr>
        <w:t xml:space="preserve"> </w:t>
      </w:r>
      <w:r w:rsidRPr="00C20759">
        <w:rPr>
          <w:rFonts w:ascii="Century Gothic" w:eastAsia="Times New Roman" w:hAnsi="Century Gothic" w:cs="Times New Roman"/>
          <w:sz w:val="24"/>
          <w:szCs w:val="24"/>
          <w:lang w:eastAsia="wo-SN"/>
        </w:rPr>
        <w:t xml:space="preserve">m &gt; 10,0 m/s </w:t>
      </w:r>
    </w:p>
    <w:p w14:paraId="01CA4A1B" w14:textId="77777777" w:rsidR="005625B5" w:rsidRDefault="005625B5" w:rsidP="005625B5">
      <w:pPr>
        <w:numPr>
          <w:ilvl w:val="0"/>
          <w:numId w:val="32"/>
        </w:numPr>
        <w:tabs>
          <w:tab w:val="left" w:pos="426"/>
        </w:tabs>
        <w:spacing w:after="0" w:line="276" w:lineRule="auto"/>
        <w:jc w:val="both"/>
        <w:rPr>
          <w:rFonts w:ascii="Century Gothic" w:eastAsia="Times New Roman" w:hAnsi="Century Gothic" w:cs="Times New Roman"/>
          <w:sz w:val="24"/>
          <w:szCs w:val="24"/>
          <w:lang w:eastAsia="wo-SN"/>
        </w:rPr>
      </w:pPr>
      <w:r w:rsidRPr="00C20759">
        <w:rPr>
          <w:rFonts w:ascii="Century Gothic" w:eastAsia="Times New Roman" w:hAnsi="Century Gothic" w:cs="Times New Roman"/>
          <w:sz w:val="24"/>
          <w:szCs w:val="24"/>
          <w:lang w:eastAsia="wo-SN"/>
        </w:rPr>
        <w:t>Longueur de rugosit</w:t>
      </w:r>
      <w:r w:rsidRPr="00C20759">
        <w:rPr>
          <w:rFonts w:ascii="Century Gothic" w:eastAsia="Times New Roman" w:hAnsi="Century Gothic" w:cs="Century Gothic"/>
          <w:sz w:val="24"/>
          <w:szCs w:val="24"/>
          <w:lang w:eastAsia="wo-SN"/>
        </w:rPr>
        <w:t>é</w:t>
      </w:r>
      <w:r w:rsidRPr="00C20759">
        <w:rPr>
          <w:rFonts w:ascii="Century Gothic" w:eastAsia="Times New Roman" w:hAnsi="Century Gothic" w:cs="Times New Roman"/>
          <w:sz w:val="24"/>
          <w:szCs w:val="24"/>
          <w:lang w:eastAsia="wo-SN"/>
        </w:rPr>
        <w:t xml:space="preserve"> selon GWA : 0,005 m (sans v</w:t>
      </w:r>
      <w:r w:rsidRPr="00C20759">
        <w:rPr>
          <w:rFonts w:ascii="Century Gothic" w:eastAsia="Times New Roman" w:hAnsi="Century Gothic" w:cs="Century Gothic"/>
          <w:sz w:val="24"/>
          <w:szCs w:val="24"/>
          <w:lang w:eastAsia="wo-SN"/>
        </w:rPr>
        <w:t>é</w:t>
      </w:r>
      <w:r w:rsidRPr="00C20759">
        <w:rPr>
          <w:rFonts w:ascii="Century Gothic" w:eastAsia="Times New Roman" w:hAnsi="Century Gothic" w:cs="Times New Roman"/>
          <w:sz w:val="24"/>
          <w:szCs w:val="24"/>
          <w:lang w:eastAsia="wo-SN"/>
        </w:rPr>
        <w:t>g</w:t>
      </w:r>
      <w:r w:rsidRPr="00C20759">
        <w:rPr>
          <w:rFonts w:ascii="Century Gothic" w:eastAsia="Times New Roman" w:hAnsi="Century Gothic" w:cs="Century Gothic"/>
          <w:sz w:val="24"/>
          <w:szCs w:val="24"/>
          <w:lang w:eastAsia="wo-SN"/>
        </w:rPr>
        <w:t>é</w:t>
      </w:r>
      <w:r w:rsidRPr="00C20759">
        <w:rPr>
          <w:rFonts w:ascii="Century Gothic" w:eastAsia="Times New Roman" w:hAnsi="Century Gothic" w:cs="Times New Roman"/>
          <w:sz w:val="24"/>
          <w:szCs w:val="24"/>
          <w:lang w:eastAsia="wo-SN"/>
        </w:rPr>
        <w:t xml:space="preserve">tation).    </w:t>
      </w:r>
    </w:p>
    <w:p w14:paraId="48899EBD"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629B8397"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Le concept est de mettre en synergie le potentiel en énergie renouvelable de la région côtière nord, la présence d’eau de mer pour développer l’agroforesterie et l’industrie. L’énergie d’origine renouvelable (éolienne et solaire) est utilisée pour produire de l’eau douce à partir de l’eau de mer par osmose inverse. La saumure générée peut être utilisée pour l’extraction de minéraux et l’eau est utilisée pour irriguer un système agroforestier avec une grande variété de produits et pour approvisionner en eau potable les villes de la zone et les miniers.  </w:t>
      </w:r>
    </w:p>
    <w:p w14:paraId="03141AEA"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35593B6E"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Etant donné que les coûts de l’électricité sont l’un des principaux déterminants de la faisabilité économique des usines de dessalement par osmose inverse, une production d’eau douce à grande échelle à des prix compétitifs peut être assurée. Ainsi, on pourra récupérer des millions d’hectares dans la zone saharienne grâce à cette approche associant le dessalement d’eau de mer par l’Energie éolienne et solaire et le développement de l’agroforesterie. En effet, Un système agroforestier d’une superficie de 2 millions d’hectares, nécessitera 22 milliards de m</w:t>
      </w:r>
      <w:r w:rsidRPr="005D110A">
        <w:rPr>
          <w:rFonts w:ascii="Century Gothic" w:eastAsia="Times New Roman" w:hAnsi="Century Gothic" w:cs="Times New Roman"/>
          <w:sz w:val="24"/>
          <w:szCs w:val="24"/>
          <w:vertAlign w:val="superscript"/>
          <w:lang w:val="fr-BE" w:eastAsia="wo-SN"/>
        </w:rPr>
        <w:t>3</w:t>
      </w:r>
      <w:r>
        <w:rPr>
          <w:rFonts w:ascii="Century Gothic" w:eastAsia="Times New Roman" w:hAnsi="Century Gothic" w:cs="Times New Roman"/>
          <w:sz w:val="24"/>
          <w:szCs w:val="24"/>
          <w:lang w:val="fr-BE" w:eastAsia="wo-SN"/>
        </w:rPr>
        <w:t xml:space="preserve">, selon les estimations. </w:t>
      </w:r>
    </w:p>
    <w:p w14:paraId="3B49BC30"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16C54406"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Ce type d’initiative permet de développer des projets d’atténuation et d’adaptation au changement climatique. En effet, ils permettent la séquestration du carbone à grande échelle, la production de biomasse à l’échelle de l’industrie et l’hydrogène pour l’utilisation locale et l’exportation.   </w:t>
      </w:r>
    </w:p>
    <w:p w14:paraId="28CF51B4"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347E30B8"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Sur le plan socioéconomique, ce type de projet permet également le développement de ces régions sahariennes, pauvres et peu peuplées, l’amélioration de la sécurité alimentaire, hydrique et énergétique, la création d’emplois et donc la diminution de la migration à l’extérieur.    </w:t>
      </w:r>
    </w:p>
    <w:p w14:paraId="681FE3E0"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2A75EAD5"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Par ailleurs, les défis mondiaux liés au changement climatique NetZero nécessitent des mesures efficaces à court terme et en urgence pour réduire les émissions de CO</w:t>
      </w:r>
      <w:r w:rsidRPr="00E102C7">
        <w:rPr>
          <w:rFonts w:ascii="Century Gothic" w:eastAsia="Times New Roman" w:hAnsi="Century Gothic" w:cs="Times New Roman"/>
          <w:sz w:val="24"/>
          <w:szCs w:val="24"/>
          <w:vertAlign w:val="subscript"/>
          <w:lang w:eastAsia="wo-SN"/>
        </w:rPr>
        <w:t>2</w:t>
      </w:r>
      <w:r>
        <w:rPr>
          <w:rFonts w:ascii="Century Gothic" w:eastAsia="Times New Roman" w:hAnsi="Century Gothic" w:cs="Times New Roman"/>
          <w:sz w:val="24"/>
          <w:szCs w:val="24"/>
          <w:lang w:eastAsia="wo-SN"/>
        </w:rPr>
        <w:t xml:space="preserve"> et autres gaz à effet de serre. L’objectif NetZero pour 2050 définit la voie ambitieuse à suivre pour poursuivre et intensifier ces mesures.  </w:t>
      </w:r>
    </w:p>
    <w:p w14:paraId="08BEBAC9"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1810567D"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 xml:space="preserve">Le remplacement des combustibles fossiles par l’utilisation systématique d’énergies renouvelables pour la production d’électricité et la transition vers des carburants alternatifs tels que l’hydrogène vert et les biocarburants constituent une contribution essentielle à la réduction ciblée des émissions. </w:t>
      </w:r>
    </w:p>
    <w:p w14:paraId="45D2A5FE"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3D36DE09"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 xml:space="preserve">Cela nécessitera la fourniture de combustibles verts à grandes échelles, en temps opportun et de manière fiable. Des initiatives comme celle proposées pour la région côtière du nord du pays, mettant en synergie le potentiel en énergies renouvelables, le dessalement d’eau de mer pour le développement de système agroforestier et la production d’hydrogène vert, doivent être encouragées pour mettre en place des puits de séquestration de carbone tout en maintenant des émissions de GES nulles ou aussi bas que possible.      </w:t>
      </w:r>
    </w:p>
    <w:p w14:paraId="7CF0D429"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noProof/>
        </w:rPr>
        <w:drawing>
          <wp:anchor distT="0" distB="0" distL="0" distR="0" simplePos="0" relativeHeight="251707392" behindDoc="1" locked="0" layoutInCell="1" allowOverlap="1" wp14:anchorId="278D65FE" wp14:editId="768E865B">
            <wp:simplePos x="0" y="0"/>
            <wp:positionH relativeFrom="page">
              <wp:posOffset>930275</wp:posOffset>
            </wp:positionH>
            <wp:positionV relativeFrom="paragraph">
              <wp:posOffset>381000</wp:posOffset>
            </wp:positionV>
            <wp:extent cx="5904865" cy="4170680"/>
            <wp:effectExtent l="19050" t="19050" r="635" b="1270"/>
            <wp:wrapTopAndBottom/>
            <wp:docPr id="237102508" name="Image 55" descr="Ein Bild, das Text, Screenshot, Schrift, Diagramm enthält.  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5" descr="Ein Bild, das Text, Screenshot, Schrift, Diagramm enthält.  Automatisch generierte Beschreibung"/>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4865" cy="417068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E082161" w14:textId="77777777" w:rsidR="005625B5" w:rsidRPr="00B2320A" w:rsidRDefault="005625B5" w:rsidP="005625B5">
      <w:pPr>
        <w:pStyle w:val="Corpsdetexte"/>
        <w:jc w:val="right"/>
        <w:rPr>
          <w:b/>
          <w:bCs/>
          <w:iCs/>
          <w:sz w:val="20"/>
        </w:rPr>
      </w:pPr>
      <w:r w:rsidRPr="00B2320A">
        <w:rPr>
          <w:b/>
          <w:bCs/>
          <w:iCs/>
          <w:sz w:val="20"/>
        </w:rPr>
        <w:t>Source : SAREP, 2024</w:t>
      </w:r>
    </w:p>
    <w:p w14:paraId="58F56313" w14:textId="77777777" w:rsidR="005625B5" w:rsidRPr="00EB2D8E" w:rsidRDefault="005625B5" w:rsidP="005625B5">
      <w:pPr>
        <w:pStyle w:val="Corpsdetexte"/>
        <w:rPr>
          <w:i/>
          <w:sz w:val="2"/>
          <w:szCs w:val="2"/>
        </w:rPr>
      </w:pPr>
    </w:p>
    <w:p w14:paraId="58E6ABC3"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bookmarkStart w:id="4" w:name="_bookmark8"/>
      <w:bookmarkEnd w:id="4"/>
    </w:p>
    <w:p w14:paraId="24584C35" w14:textId="77777777" w:rsidR="005625B5" w:rsidRPr="00202DF5"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sidRPr="00202DF5">
        <w:rPr>
          <w:rFonts w:ascii="Century Gothic" w:eastAsia="Times New Roman" w:hAnsi="Century Gothic" w:cs="Times New Roman"/>
          <w:b/>
          <w:bCs/>
          <w:sz w:val="24"/>
          <w:szCs w:val="24"/>
          <w:lang w:eastAsia="wo-SN"/>
        </w:rPr>
        <w:t>I</w:t>
      </w:r>
      <w:r>
        <w:rPr>
          <w:rFonts w:ascii="Century Gothic" w:eastAsia="Times New Roman" w:hAnsi="Century Gothic" w:cs="Times New Roman"/>
          <w:b/>
          <w:bCs/>
          <w:sz w:val="24"/>
          <w:szCs w:val="24"/>
          <w:lang w:eastAsia="wo-SN"/>
        </w:rPr>
        <w:t>V</w:t>
      </w:r>
      <w:r w:rsidRPr="00202DF5">
        <w:rPr>
          <w:rFonts w:ascii="Century Gothic" w:eastAsia="Times New Roman" w:hAnsi="Century Gothic" w:cs="Times New Roman"/>
          <w:b/>
          <w:bCs/>
          <w:sz w:val="24"/>
          <w:szCs w:val="24"/>
          <w:lang w:eastAsia="wo-SN"/>
        </w:rPr>
        <w:t>.</w:t>
      </w:r>
      <w:r>
        <w:rPr>
          <w:rFonts w:ascii="Century Gothic" w:eastAsia="Times New Roman" w:hAnsi="Century Gothic" w:cs="Times New Roman"/>
          <w:b/>
          <w:bCs/>
          <w:sz w:val="24"/>
          <w:szCs w:val="24"/>
          <w:lang w:eastAsia="wo-SN"/>
        </w:rPr>
        <w:t>3</w:t>
      </w:r>
      <w:r w:rsidRPr="00202DF5">
        <w:rPr>
          <w:rFonts w:ascii="Century Gothic" w:eastAsia="Times New Roman" w:hAnsi="Century Gothic" w:cs="Times New Roman"/>
          <w:b/>
          <w:bCs/>
          <w:sz w:val="24"/>
          <w:szCs w:val="24"/>
          <w:lang w:eastAsia="wo-SN"/>
        </w:rPr>
        <w:t xml:space="preserve">. </w:t>
      </w:r>
      <w:r>
        <w:rPr>
          <w:rFonts w:ascii="Century Gothic" w:eastAsia="Times New Roman" w:hAnsi="Century Gothic" w:cs="Times New Roman"/>
          <w:b/>
          <w:bCs/>
          <w:sz w:val="24"/>
          <w:szCs w:val="24"/>
          <w:lang w:eastAsia="wo-SN"/>
        </w:rPr>
        <w:t xml:space="preserve">Restauration </w:t>
      </w:r>
      <w:r w:rsidRPr="00202DF5">
        <w:rPr>
          <w:rFonts w:ascii="Century Gothic" w:eastAsia="Times New Roman" w:hAnsi="Century Gothic" w:cs="Times New Roman"/>
          <w:b/>
          <w:bCs/>
          <w:sz w:val="24"/>
          <w:szCs w:val="24"/>
          <w:lang w:eastAsia="wo-SN"/>
        </w:rPr>
        <w:t xml:space="preserve">des zones humides continentales </w:t>
      </w:r>
    </w:p>
    <w:p w14:paraId="6A704419"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6FF171C8"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 xml:space="preserve">Les zones humides continentales subissent une pression climatique et anthropique de plus en plus importante et prend différentes formes : péjoration de la pluviométrie, augmentation de la température, déboisement, chasse abusive, destruction des habitats naturels, surpêche et surpâturage, ensablement et obstruction du réseau hydrographique, …. </w:t>
      </w:r>
    </w:p>
    <w:p w14:paraId="1CA70BC8"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4F7BB087"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 xml:space="preserve">Cette situation provoque un déséquilibre des écosystèmes des zones humides continentales et ainsi déclenche le processus de dégradation au sein de ces milieux qui jouent un rôle crucial dans l’économie et l’écologie des wilayas agrosylvopastorales du sud du pays.  </w:t>
      </w:r>
    </w:p>
    <w:p w14:paraId="572FFFB6"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6771CCB2"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 xml:space="preserve">Il s’avère donc nécessaire et judicieux de se focaliser sur ses écosystèmes qui renferment l’essentiel du potentiel en eau et en biodiversité par la mobilisation des moyens humains, financiers et logistiques pour la restauration des zones humides continentales. </w:t>
      </w:r>
    </w:p>
    <w:p w14:paraId="13C6B1DE"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48A24606"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 xml:space="preserve">C’est dans ce cadre que le Ministère de l’Environnement et du Développement Durable (MEDD) conformément à l’Axe « Environnement Vert » de la Stratégie Nationale Environnement et Développement Durable (SNEDD) a développé une approche pour restaurer les zones humides continentales.    </w:t>
      </w:r>
    </w:p>
    <w:p w14:paraId="14652CBF"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087269B1"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 xml:space="preserve">Cette approche a développé des plans de restauration de 33 zones humides continentales dans les huit wilayas agrosylvopastorales : Les deux Hodhs, Assaba, Gorgol, Brakna, guidimagha, Trarza et Tagant.  </w:t>
      </w:r>
    </w:p>
    <w:p w14:paraId="284D57A9"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3A28B640" w14:textId="77777777" w:rsidR="005625B5" w:rsidRDefault="005625B5" w:rsidP="005625B5">
      <w:pPr>
        <w:tabs>
          <w:tab w:val="left" w:pos="426"/>
        </w:tabs>
        <w:spacing w:after="0" w:line="276" w:lineRule="auto"/>
        <w:jc w:val="center"/>
        <w:rPr>
          <w:rFonts w:ascii="Century Gothic" w:eastAsia="Times New Roman" w:hAnsi="Century Gothic" w:cs="Times New Roman"/>
          <w:sz w:val="24"/>
          <w:szCs w:val="24"/>
          <w:lang w:eastAsia="wo-SN"/>
        </w:rPr>
      </w:pPr>
      <w:r w:rsidRPr="00917FEB">
        <w:rPr>
          <w:rFonts w:ascii="Century Gothic" w:eastAsia="Times New Roman" w:hAnsi="Century Gothic" w:cs="Times New Roman"/>
          <w:noProof/>
          <w:sz w:val="24"/>
          <w:szCs w:val="24"/>
          <w:lang w:eastAsia="wo-SN"/>
        </w:rPr>
        <w:drawing>
          <wp:inline distT="0" distB="0" distL="0" distR="0" wp14:anchorId="54C53D08" wp14:editId="2DC32C02">
            <wp:extent cx="6083935" cy="4301490"/>
            <wp:effectExtent l="0" t="0" r="0" b="0"/>
            <wp:docPr id="337931362" name="Picture 1" descr="E:\Desktop\Expressions de besoins novembre 2023\ZH\Carte générale ZH.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E:\Desktop\Expressions de besoins novembre 2023\ZH\Carte générale ZH.jpeg"/>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3935" cy="4301490"/>
                    </a:xfrm>
                    <a:prstGeom prst="rect">
                      <a:avLst/>
                    </a:prstGeom>
                    <a:noFill/>
                    <a:ln>
                      <a:noFill/>
                    </a:ln>
                  </pic:spPr>
                </pic:pic>
              </a:graphicData>
            </a:graphic>
          </wp:inline>
        </w:drawing>
      </w:r>
    </w:p>
    <w:p w14:paraId="46E49682" w14:textId="77777777" w:rsidR="005625B5" w:rsidRPr="00917FEB" w:rsidRDefault="005625B5" w:rsidP="005625B5">
      <w:pPr>
        <w:tabs>
          <w:tab w:val="left" w:pos="426"/>
        </w:tabs>
        <w:spacing w:after="0" w:line="276" w:lineRule="auto"/>
        <w:jc w:val="center"/>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Carte de s</w:t>
      </w:r>
      <w:r w:rsidRPr="00917FEB">
        <w:rPr>
          <w:rFonts w:ascii="Century Gothic" w:eastAsia="Times New Roman" w:hAnsi="Century Gothic" w:cs="Times New Roman"/>
          <w:b/>
          <w:bCs/>
          <w:sz w:val="20"/>
          <w:szCs w:val="20"/>
          <w:lang w:eastAsia="wo-SN"/>
        </w:rPr>
        <w:t xml:space="preserve">ituation </w:t>
      </w:r>
      <w:r>
        <w:rPr>
          <w:rFonts w:ascii="Century Gothic" w:eastAsia="Times New Roman" w:hAnsi="Century Gothic" w:cs="Times New Roman"/>
          <w:b/>
          <w:bCs/>
          <w:sz w:val="20"/>
          <w:szCs w:val="20"/>
          <w:lang w:eastAsia="wo-SN"/>
        </w:rPr>
        <w:t xml:space="preserve">géographique </w:t>
      </w:r>
      <w:r w:rsidRPr="00917FEB">
        <w:rPr>
          <w:rFonts w:ascii="Century Gothic" w:eastAsia="Times New Roman" w:hAnsi="Century Gothic" w:cs="Times New Roman"/>
          <w:b/>
          <w:bCs/>
          <w:sz w:val="20"/>
          <w:szCs w:val="20"/>
          <w:lang w:eastAsia="wo-SN"/>
        </w:rPr>
        <w:t>des 33 zones humides continentales étudiées</w:t>
      </w:r>
      <w:r>
        <w:rPr>
          <w:rFonts w:ascii="Century Gothic" w:eastAsia="Times New Roman" w:hAnsi="Century Gothic" w:cs="Times New Roman"/>
          <w:b/>
          <w:bCs/>
          <w:sz w:val="20"/>
          <w:szCs w:val="20"/>
          <w:lang w:eastAsia="wo-SN"/>
        </w:rPr>
        <w:t xml:space="preserve"> (Source, MEDD, 2023)</w:t>
      </w:r>
    </w:p>
    <w:p w14:paraId="1750D41C" w14:textId="77777777" w:rsidR="005625B5" w:rsidRPr="00EB2D8E" w:rsidRDefault="005625B5" w:rsidP="005625B5">
      <w:pPr>
        <w:tabs>
          <w:tab w:val="left" w:pos="426"/>
        </w:tabs>
        <w:spacing w:after="0" w:line="276" w:lineRule="auto"/>
        <w:jc w:val="both"/>
        <w:rPr>
          <w:rFonts w:ascii="Century Gothic" w:eastAsia="Times New Roman" w:hAnsi="Century Gothic" w:cs="Times New Roman"/>
          <w:lang w:eastAsia="wo-SN"/>
        </w:rPr>
      </w:pPr>
      <w:r w:rsidRPr="00EB2D8E">
        <w:rPr>
          <w:rFonts w:ascii="Century Gothic" w:eastAsia="Times New Roman" w:hAnsi="Century Gothic" w:cs="Times New Roman"/>
          <w:lang w:eastAsia="wo-SN"/>
        </w:rPr>
        <w:t xml:space="preserve">Pour chaque zone humide étudiée, il a été procédé à un diagnostic de terrain de manière concertée. Ce diagnostic comprend une enquête socioéconomique et un inventaire forestier. </w:t>
      </w:r>
    </w:p>
    <w:p w14:paraId="1D12AB02" w14:textId="70844DC8" w:rsidR="005625B5" w:rsidRPr="00A87A27"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sidRPr="00EB2D8E">
        <w:rPr>
          <w:rFonts w:ascii="Century Gothic" w:hAnsi="Century Gothic" w:cs="Times New Roman"/>
          <w:b/>
          <w:bCs/>
          <w:sz w:val="24"/>
          <w:szCs w:val="24"/>
          <w:lang w:val="fr-BE"/>
        </w:rPr>
        <w:t>Les principaux problèmes identifiés sont</w:t>
      </w:r>
      <w:r w:rsidR="00913BBE">
        <w:rPr>
          <w:rFonts w:ascii="Century Gothic" w:hAnsi="Century Gothic" w:cs="Times New Roman"/>
          <w:b/>
          <w:bCs/>
          <w:sz w:val="24"/>
          <w:szCs w:val="24"/>
          <w:lang w:val="fr-BE"/>
        </w:rPr>
        <w:t> :</w:t>
      </w:r>
      <w:r w:rsidRPr="008078AE">
        <w:rPr>
          <w:rFonts w:ascii="Century Gothic" w:hAnsi="Century Gothic" w:cs="Times New Roman"/>
          <w:sz w:val="24"/>
          <w:szCs w:val="24"/>
          <w:lang w:val="fr-BE"/>
        </w:rPr>
        <w:t xml:space="preserve"> </w:t>
      </w:r>
      <w:r w:rsidRPr="00EB2D8E">
        <w:rPr>
          <w:rFonts w:ascii="Century Gothic" w:hAnsi="Century Gothic" w:cs="Times New Roman"/>
          <w:color w:val="FF0000"/>
          <w:sz w:val="24"/>
          <w:szCs w:val="24"/>
          <w:lang w:val="fr-BE"/>
        </w:rPr>
        <w:t>le déboisement</w:t>
      </w:r>
      <w:r w:rsidRPr="008078AE">
        <w:rPr>
          <w:rFonts w:ascii="Century Gothic" w:hAnsi="Century Gothic" w:cs="Times New Roman"/>
          <w:sz w:val="24"/>
          <w:szCs w:val="24"/>
          <w:lang w:val="fr-BE"/>
        </w:rPr>
        <w:t xml:space="preserve">, </w:t>
      </w:r>
      <w:r w:rsidRPr="00EB2D8E">
        <w:rPr>
          <w:rFonts w:ascii="Century Gothic" w:hAnsi="Century Gothic" w:cs="Times New Roman"/>
          <w:color w:val="833C0B" w:themeColor="accent2" w:themeShade="80"/>
          <w:sz w:val="24"/>
          <w:szCs w:val="24"/>
          <w:lang w:val="fr-BE"/>
        </w:rPr>
        <w:t xml:space="preserve">l’ensablement </w:t>
      </w:r>
      <w:r w:rsidRPr="00EB2D8E">
        <w:rPr>
          <w:rFonts w:ascii="Century Gothic" w:hAnsi="Century Gothic" w:cs="Times New Roman"/>
          <w:b/>
          <w:bCs/>
          <w:sz w:val="24"/>
          <w:szCs w:val="24"/>
          <w:lang w:val="fr-BE"/>
        </w:rPr>
        <w:t>(obstruction des mares</w:t>
      </w:r>
      <w:r w:rsidRPr="008078AE">
        <w:rPr>
          <w:rFonts w:ascii="Century Gothic" w:hAnsi="Century Gothic" w:cs="Times New Roman"/>
          <w:sz w:val="24"/>
          <w:szCs w:val="24"/>
          <w:lang w:val="fr-BE"/>
        </w:rPr>
        <w:t xml:space="preserve"> </w:t>
      </w:r>
      <w:r w:rsidRPr="00EB2D8E">
        <w:rPr>
          <w:rFonts w:ascii="Century Gothic" w:hAnsi="Century Gothic" w:cs="Times New Roman"/>
          <w:b/>
          <w:bCs/>
          <w:sz w:val="24"/>
          <w:szCs w:val="24"/>
          <w:lang w:val="fr-BE"/>
        </w:rPr>
        <w:t>et des réseaux hydrographiques</w:t>
      </w:r>
      <w:r w:rsidRPr="008078AE">
        <w:rPr>
          <w:rFonts w:ascii="Century Gothic" w:hAnsi="Century Gothic" w:cs="Times New Roman"/>
          <w:sz w:val="24"/>
          <w:szCs w:val="24"/>
          <w:lang w:val="fr-BE"/>
        </w:rPr>
        <w:t xml:space="preserve">), </w:t>
      </w:r>
      <w:r w:rsidRPr="00EB2D8E">
        <w:rPr>
          <w:rFonts w:ascii="Century Gothic" w:hAnsi="Century Gothic" w:cs="Times New Roman"/>
          <w:color w:val="CC6600"/>
          <w:sz w:val="24"/>
          <w:szCs w:val="24"/>
          <w:lang w:val="fr-BE"/>
        </w:rPr>
        <w:t>la surpêche</w:t>
      </w:r>
      <w:r w:rsidRPr="008078AE">
        <w:rPr>
          <w:rFonts w:ascii="Century Gothic" w:hAnsi="Century Gothic" w:cs="Times New Roman"/>
          <w:sz w:val="24"/>
          <w:szCs w:val="24"/>
          <w:lang w:val="fr-BE"/>
        </w:rPr>
        <w:t xml:space="preserve"> et le </w:t>
      </w:r>
      <w:r w:rsidRPr="00EB2D8E">
        <w:rPr>
          <w:rFonts w:ascii="Century Gothic" w:hAnsi="Century Gothic" w:cs="Times New Roman"/>
          <w:b/>
          <w:bCs/>
          <w:color w:val="99CC00"/>
          <w:sz w:val="24"/>
          <w:szCs w:val="24"/>
          <w:lang w:val="fr-BE"/>
        </w:rPr>
        <w:t>surpâturage</w:t>
      </w:r>
      <w:r>
        <w:rPr>
          <w:rFonts w:ascii="Century Gothic" w:hAnsi="Century Gothic" w:cs="Times New Roman"/>
          <w:sz w:val="24"/>
          <w:szCs w:val="24"/>
          <w:lang w:val="fr-BE"/>
        </w:rPr>
        <w:t>. L</w:t>
      </w:r>
      <w:r w:rsidRPr="008078AE">
        <w:rPr>
          <w:rFonts w:ascii="Century Gothic" w:hAnsi="Century Gothic" w:cs="Times New Roman"/>
          <w:sz w:val="24"/>
          <w:szCs w:val="24"/>
          <w:lang w:val="fr-BE"/>
        </w:rPr>
        <w:t>’agriculture</w:t>
      </w:r>
      <w:r>
        <w:rPr>
          <w:rFonts w:ascii="Century Gothic" w:hAnsi="Century Gothic" w:cs="Times New Roman"/>
          <w:sz w:val="24"/>
          <w:szCs w:val="24"/>
          <w:lang w:val="fr-BE"/>
        </w:rPr>
        <w:t xml:space="preserve"> qui y est pratiquée utilise des moyens archaïques en plus de </w:t>
      </w:r>
      <w:r w:rsidRPr="00EB2D8E">
        <w:rPr>
          <w:rFonts w:ascii="Century Gothic" w:hAnsi="Century Gothic" w:cs="Times New Roman"/>
          <w:b/>
          <w:bCs/>
          <w:color w:val="833C0B" w:themeColor="accent2" w:themeShade="80"/>
          <w:sz w:val="24"/>
          <w:szCs w:val="24"/>
          <w:lang w:val="fr-BE"/>
        </w:rPr>
        <w:t>prélèvement de produits forestiers non ligneux</w:t>
      </w:r>
      <w:r w:rsidRPr="00EB2D8E">
        <w:rPr>
          <w:rFonts w:ascii="Century Gothic" w:hAnsi="Century Gothic" w:cs="Times New Roman"/>
          <w:color w:val="833C0B" w:themeColor="accent2" w:themeShade="80"/>
          <w:sz w:val="24"/>
          <w:szCs w:val="24"/>
          <w:lang w:val="fr-BE"/>
        </w:rPr>
        <w:t xml:space="preserve"> </w:t>
      </w:r>
      <w:r>
        <w:rPr>
          <w:rFonts w:ascii="Century Gothic" w:hAnsi="Century Gothic" w:cs="Times New Roman"/>
          <w:sz w:val="24"/>
          <w:szCs w:val="24"/>
          <w:lang w:val="fr-BE"/>
        </w:rPr>
        <w:t xml:space="preserve">(PFNL).  </w:t>
      </w:r>
      <w:r w:rsidRPr="008078AE">
        <w:rPr>
          <w:rFonts w:ascii="Century Gothic" w:hAnsi="Century Gothic" w:cs="Times New Roman"/>
          <w:sz w:val="24"/>
          <w:szCs w:val="24"/>
          <w:lang w:val="fr-BE"/>
        </w:rPr>
        <w:t xml:space="preserve"> </w:t>
      </w:r>
    </w:p>
    <w:p w14:paraId="70373108" w14:textId="77777777" w:rsidR="005625B5" w:rsidRPr="008078AE" w:rsidRDefault="005625B5" w:rsidP="005625B5">
      <w:pPr>
        <w:spacing w:after="0" w:line="276" w:lineRule="auto"/>
        <w:jc w:val="both"/>
        <w:rPr>
          <w:rFonts w:ascii="Century Gothic" w:hAnsi="Century Gothic" w:cs="Times New Roman"/>
          <w:sz w:val="24"/>
          <w:szCs w:val="24"/>
          <w:lang w:val="fr-BE"/>
        </w:rPr>
      </w:pPr>
    </w:p>
    <w:p w14:paraId="106100C9" w14:textId="77777777" w:rsidR="005625B5" w:rsidRDefault="005625B5" w:rsidP="005625B5">
      <w:pPr>
        <w:spacing w:line="276" w:lineRule="auto"/>
        <w:jc w:val="both"/>
        <w:rPr>
          <w:rFonts w:ascii="Century Gothic" w:hAnsi="Century Gothic" w:cs="Times New Roman"/>
          <w:sz w:val="24"/>
          <w:szCs w:val="24"/>
        </w:rPr>
      </w:pPr>
      <w:r>
        <w:rPr>
          <w:rFonts w:ascii="Century Gothic" w:hAnsi="Century Gothic" w:cs="Times New Roman"/>
          <w:sz w:val="24"/>
          <w:szCs w:val="24"/>
        </w:rPr>
        <w:t xml:space="preserve">Sur la base des enquêtes socioéconomiques et des inventaires forestiers, des plans de restauration ont été élaborés pour chacune des 33 zones humides. </w:t>
      </w:r>
    </w:p>
    <w:p w14:paraId="7467E2AD" w14:textId="77777777" w:rsidR="005625B5" w:rsidRPr="00EB2D8E" w:rsidRDefault="005625B5" w:rsidP="005625B5">
      <w:pPr>
        <w:spacing w:line="276" w:lineRule="auto"/>
        <w:jc w:val="both"/>
        <w:rPr>
          <w:rFonts w:ascii="Century Gothic" w:hAnsi="Century Gothic" w:cs="Times New Roman"/>
          <w:sz w:val="24"/>
          <w:szCs w:val="24"/>
          <w:highlight w:val="yellow"/>
        </w:rPr>
      </w:pPr>
      <w:r w:rsidRPr="00EB2D8E">
        <w:rPr>
          <w:rFonts w:ascii="Century Gothic" w:hAnsi="Century Gothic" w:cs="Times New Roman"/>
          <w:sz w:val="24"/>
          <w:szCs w:val="24"/>
          <w:highlight w:val="yellow"/>
        </w:rPr>
        <w:t xml:space="preserve">Ces plans de restauration se composent de deux parties principales :  </w:t>
      </w:r>
    </w:p>
    <w:p w14:paraId="507007E0" w14:textId="77777777" w:rsidR="005625B5" w:rsidRPr="00EB2D8E" w:rsidRDefault="005625B5" w:rsidP="005625B5">
      <w:pPr>
        <w:pStyle w:val="Paragraphedeliste"/>
        <w:numPr>
          <w:ilvl w:val="0"/>
          <w:numId w:val="36"/>
        </w:numPr>
        <w:spacing w:after="200" w:line="276" w:lineRule="auto"/>
        <w:jc w:val="both"/>
        <w:rPr>
          <w:rFonts w:ascii="Century Gothic" w:hAnsi="Century Gothic" w:cs="Times New Roman"/>
          <w:sz w:val="24"/>
          <w:szCs w:val="24"/>
          <w:highlight w:val="yellow"/>
        </w:rPr>
      </w:pPr>
      <w:r w:rsidRPr="00EB2D8E">
        <w:rPr>
          <w:rFonts w:ascii="Century Gothic" w:hAnsi="Century Gothic" w:cs="Times New Roman"/>
          <w:sz w:val="24"/>
          <w:szCs w:val="24"/>
          <w:highlight w:val="yellow"/>
        </w:rPr>
        <w:t xml:space="preserve">Une description de la zone humide en question et les principales sources de dégradation ainsi que la stratégie et les objectifs poursuivis ; </w:t>
      </w:r>
    </w:p>
    <w:p w14:paraId="74EAEE1E" w14:textId="77777777" w:rsidR="005625B5" w:rsidRPr="00F41C23" w:rsidRDefault="005625B5" w:rsidP="005625B5">
      <w:pPr>
        <w:pStyle w:val="Paragraphedeliste"/>
        <w:numPr>
          <w:ilvl w:val="0"/>
          <w:numId w:val="36"/>
        </w:numPr>
        <w:spacing w:after="200" w:line="276" w:lineRule="auto"/>
        <w:jc w:val="both"/>
        <w:rPr>
          <w:rFonts w:ascii="Century Gothic" w:hAnsi="Century Gothic" w:cs="Times New Roman"/>
          <w:sz w:val="24"/>
          <w:szCs w:val="24"/>
        </w:rPr>
      </w:pPr>
      <w:r w:rsidRPr="00EB2D8E">
        <w:rPr>
          <w:rFonts w:ascii="Century Gothic" w:hAnsi="Century Gothic" w:cs="Times New Roman"/>
          <w:sz w:val="24"/>
          <w:szCs w:val="24"/>
          <w:highlight w:val="yellow"/>
        </w:rPr>
        <w:t>Un plan d’action pour traduire cette stratégie en activités/actions en vue d’atteindre les objectifs souhaités</w:t>
      </w:r>
      <w:r w:rsidRPr="008078AE">
        <w:rPr>
          <w:rFonts w:ascii="Century Gothic" w:hAnsi="Century Gothic" w:cs="Times New Roman"/>
          <w:sz w:val="24"/>
          <w:szCs w:val="24"/>
        </w:rPr>
        <w:t xml:space="preserve">.   </w:t>
      </w:r>
    </w:p>
    <w:p w14:paraId="73BDFB9E" w14:textId="77777777" w:rsidR="005625B5" w:rsidRDefault="005625B5" w:rsidP="005625B5">
      <w:pPr>
        <w:spacing w:line="276" w:lineRule="auto"/>
        <w:jc w:val="both"/>
        <w:rPr>
          <w:rFonts w:ascii="Century Gothic" w:hAnsi="Century Gothic" w:cs="Times New Roman"/>
          <w:sz w:val="24"/>
          <w:szCs w:val="24"/>
        </w:rPr>
      </w:pPr>
      <w:r w:rsidRPr="00733027">
        <w:rPr>
          <w:rFonts w:ascii="Century Gothic" w:hAnsi="Century Gothic" w:cs="Times New Roman"/>
          <w:sz w:val="24"/>
          <w:szCs w:val="24"/>
        </w:rPr>
        <w:t xml:space="preserve">Les résultats attendus sont : </w:t>
      </w:r>
    </w:p>
    <w:p w14:paraId="5A6ACD04" w14:textId="77777777" w:rsidR="005625B5" w:rsidRDefault="005625B5" w:rsidP="005625B5">
      <w:pPr>
        <w:numPr>
          <w:ilvl w:val="0"/>
          <w:numId w:val="45"/>
        </w:numPr>
        <w:spacing w:line="276" w:lineRule="auto"/>
        <w:jc w:val="both"/>
        <w:rPr>
          <w:rFonts w:ascii="Century Gothic" w:hAnsi="Century Gothic" w:cs="Times New Roman"/>
          <w:sz w:val="24"/>
          <w:szCs w:val="24"/>
        </w:rPr>
      </w:pPr>
      <w:r>
        <w:rPr>
          <w:rFonts w:ascii="Century Gothic" w:hAnsi="Century Gothic" w:cs="Times New Roman"/>
          <w:sz w:val="24"/>
          <w:szCs w:val="24"/>
        </w:rPr>
        <w:t xml:space="preserve">   </w:t>
      </w:r>
      <w:r>
        <w:rPr>
          <w:rFonts w:ascii="Century Gothic" w:hAnsi="Century Gothic" w:cs="Times New Roman"/>
          <w:sz w:val="24"/>
          <w:szCs w:val="24"/>
        </w:rPr>
        <w:tab/>
        <w:t>La</w:t>
      </w:r>
      <w:r w:rsidRPr="00733027">
        <w:rPr>
          <w:rFonts w:ascii="Century Gothic" w:hAnsi="Century Gothic" w:cs="Times New Roman"/>
          <w:sz w:val="24"/>
          <w:szCs w:val="24"/>
        </w:rPr>
        <w:t xml:space="preserve"> population locale est organisée sous forme de comité villageois de</w:t>
      </w:r>
      <w:r>
        <w:rPr>
          <w:rFonts w:ascii="Century Gothic" w:hAnsi="Century Gothic" w:cs="Times New Roman"/>
          <w:sz w:val="24"/>
          <w:szCs w:val="24"/>
        </w:rPr>
        <w:t xml:space="preserve"> </w:t>
      </w:r>
      <w:r w:rsidRPr="00733027">
        <w:rPr>
          <w:rFonts w:ascii="Century Gothic" w:hAnsi="Century Gothic" w:cs="Times New Roman"/>
          <w:sz w:val="24"/>
          <w:szCs w:val="24"/>
        </w:rPr>
        <w:t xml:space="preserve">protection et de gestion durable de la zone humide ; </w:t>
      </w:r>
    </w:p>
    <w:p w14:paraId="4E47EC97" w14:textId="77777777" w:rsidR="005625B5" w:rsidRPr="00534569" w:rsidRDefault="005625B5" w:rsidP="005625B5">
      <w:pPr>
        <w:numPr>
          <w:ilvl w:val="0"/>
          <w:numId w:val="45"/>
        </w:numPr>
        <w:spacing w:line="276" w:lineRule="auto"/>
        <w:jc w:val="both"/>
        <w:rPr>
          <w:rFonts w:ascii="Century Gothic" w:hAnsi="Century Gothic" w:cs="Times New Roman"/>
          <w:sz w:val="24"/>
          <w:szCs w:val="24"/>
        </w:rPr>
      </w:pPr>
      <w:r>
        <w:rPr>
          <w:rFonts w:ascii="Century Gothic" w:hAnsi="Century Gothic" w:cs="Times New Roman"/>
          <w:sz w:val="24"/>
          <w:szCs w:val="24"/>
        </w:rPr>
        <w:t xml:space="preserve">     </w:t>
      </w:r>
      <w:r w:rsidRPr="00534569">
        <w:rPr>
          <w:rFonts w:ascii="Century Gothic" w:hAnsi="Century Gothic" w:cs="Times New Roman"/>
          <w:sz w:val="24"/>
          <w:szCs w:val="24"/>
        </w:rPr>
        <w:t>La capacité de rétention de la zone humide est approfondie par un curage approprié et retient désormais de manière permanente ;</w:t>
      </w:r>
      <w:r w:rsidRPr="00534569">
        <w:rPr>
          <w:rFonts w:ascii="Times New Roman" w:hAnsi="Times New Roman" w:cs="Times New Roman"/>
          <w:sz w:val="24"/>
          <w:szCs w:val="24"/>
        </w:rPr>
        <w:t xml:space="preserve">  </w:t>
      </w:r>
    </w:p>
    <w:p w14:paraId="384C4A67" w14:textId="77777777" w:rsidR="005625B5" w:rsidRDefault="005625B5" w:rsidP="005625B5">
      <w:pPr>
        <w:numPr>
          <w:ilvl w:val="0"/>
          <w:numId w:val="45"/>
        </w:numPr>
        <w:spacing w:line="276" w:lineRule="auto"/>
        <w:jc w:val="both"/>
        <w:rPr>
          <w:rFonts w:ascii="Century Gothic" w:hAnsi="Century Gothic" w:cs="Times New Roman"/>
          <w:sz w:val="24"/>
          <w:szCs w:val="24"/>
        </w:rPr>
      </w:pPr>
      <w:r>
        <w:rPr>
          <w:rFonts w:ascii="Century Gothic" w:hAnsi="Century Gothic" w:cs="Times New Roman"/>
          <w:sz w:val="24"/>
          <w:szCs w:val="24"/>
        </w:rPr>
        <w:t xml:space="preserve">     </w:t>
      </w:r>
      <w:r w:rsidRPr="00534569">
        <w:rPr>
          <w:rFonts w:ascii="Century Gothic" w:hAnsi="Century Gothic" w:cs="Times New Roman"/>
          <w:sz w:val="24"/>
          <w:szCs w:val="24"/>
        </w:rPr>
        <w:t xml:space="preserve">L’écosystème de la zone humide est protégé et restauré par des activités de fixation des dunes, de mise en défens et de reboisement à base d’espèces locales ; </w:t>
      </w:r>
    </w:p>
    <w:p w14:paraId="61CF1A52" w14:textId="77777777" w:rsidR="005625B5" w:rsidRDefault="005625B5" w:rsidP="005625B5">
      <w:pPr>
        <w:numPr>
          <w:ilvl w:val="0"/>
          <w:numId w:val="45"/>
        </w:numPr>
        <w:spacing w:line="276" w:lineRule="auto"/>
        <w:jc w:val="both"/>
        <w:rPr>
          <w:rFonts w:ascii="Century Gothic" w:hAnsi="Century Gothic" w:cs="Times New Roman"/>
          <w:sz w:val="24"/>
          <w:szCs w:val="24"/>
        </w:rPr>
      </w:pPr>
      <w:r>
        <w:rPr>
          <w:rFonts w:ascii="Century Gothic" w:hAnsi="Century Gothic" w:cs="Times New Roman"/>
          <w:sz w:val="24"/>
          <w:szCs w:val="24"/>
        </w:rPr>
        <w:t xml:space="preserve">     </w:t>
      </w:r>
      <w:r w:rsidRPr="00534569">
        <w:rPr>
          <w:rFonts w:ascii="Century Gothic" w:hAnsi="Century Gothic" w:cs="Times New Roman"/>
          <w:sz w:val="24"/>
          <w:szCs w:val="24"/>
        </w:rPr>
        <w:t xml:space="preserve">Les ressources naturelles (pêche, élevage, agriculture, PFNL) de la zone humide sont valorisées. </w:t>
      </w:r>
    </w:p>
    <w:p w14:paraId="6131B1E0" w14:textId="77777777" w:rsidR="005625B5" w:rsidRDefault="005625B5" w:rsidP="005625B5">
      <w:pPr>
        <w:spacing w:after="0" w:line="276" w:lineRule="auto"/>
        <w:jc w:val="both"/>
        <w:rPr>
          <w:rFonts w:ascii="Century Gothic" w:hAnsi="Century Gothic" w:cs="Times New Roman"/>
          <w:b/>
          <w:bCs/>
          <w:sz w:val="24"/>
          <w:szCs w:val="24"/>
        </w:rPr>
      </w:pPr>
    </w:p>
    <w:p w14:paraId="4A81C267" w14:textId="77777777" w:rsidR="005625B5" w:rsidRPr="000E00BC" w:rsidRDefault="005625B5" w:rsidP="005625B5">
      <w:pPr>
        <w:spacing w:after="0" w:line="276" w:lineRule="auto"/>
        <w:jc w:val="both"/>
        <w:rPr>
          <w:rFonts w:ascii="Century Gothic" w:hAnsi="Century Gothic" w:cs="Times New Roman"/>
          <w:b/>
          <w:bCs/>
          <w:sz w:val="24"/>
          <w:szCs w:val="24"/>
        </w:rPr>
      </w:pPr>
      <w:r w:rsidRPr="000E00BC">
        <w:rPr>
          <w:rFonts w:ascii="Century Gothic" w:hAnsi="Century Gothic" w:cs="Times New Roman"/>
          <w:b/>
          <w:bCs/>
          <w:sz w:val="24"/>
          <w:szCs w:val="24"/>
        </w:rPr>
        <w:t>Réparti</w:t>
      </w:r>
      <w:r>
        <w:rPr>
          <w:rFonts w:ascii="Century Gothic" w:hAnsi="Century Gothic" w:cs="Times New Roman"/>
          <w:b/>
          <w:bCs/>
          <w:sz w:val="24"/>
          <w:szCs w:val="24"/>
        </w:rPr>
        <w:t xml:space="preserve">tion des zones humides étudiées nécessitant un curage ou pas par wilayas (Voir Annexe 3)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3160"/>
        <w:gridCol w:w="4137"/>
      </w:tblGrid>
      <w:tr w:rsidR="005625B5" w:rsidRPr="00D953B5" w14:paraId="752F1EA7" w14:textId="77777777" w:rsidTr="00FB354B">
        <w:tc>
          <w:tcPr>
            <w:tcW w:w="1809" w:type="dxa"/>
            <w:shd w:val="clear" w:color="auto" w:fill="auto"/>
          </w:tcPr>
          <w:p w14:paraId="6F0BD610" w14:textId="77777777" w:rsidR="005625B5" w:rsidRDefault="005625B5" w:rsidP="00FB354B">
            <w:pPr>
              <w:spacing w:after="0" w:line="276" w:lineRule="auto"/>
              <w:jc w:val="both"/>
              <w:rPr>
                <w:rFonts w:ascii="Century Gothic" w:hAnsi="Century Gothic" w:cs="Times New Roman"/>
                <w:b/>
                <w:bCs/>
                <w:sz w:val="20"/>
                <w:szCs w:val="20"/>
              </w:rPr>
            </w:pPr>
            <w:r>
              <w:rPr>
                <w:rFonts w:ascii="Century Gothic" w:hAnsi="Century Gothic" w:cs="Times New Roman"/>
                <w:b/>
                <w:bCs/>
                <w:sz w:val="20"/>
                <w:szCs w:val="20"/>
              </w:rPr>
              <w:t xml:space="preserve">Wilaya </w:t>
            </w:r>
          </w:p>
        </w:tc>
        <w:tc>
          <w:tcPr>
            <w:tcW w:w="3402" w:type="dxa"/>
            <w:shd w:val="clear" w:color="auto" w:fill="auto"/>
          </w:tcPr>
          <w:p w14:paraId="34200C30"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Zones humides nécessitant un curage (11)</w:t>
            </w:r>
          </w:p>
        </w:tc>
        <w:tc>
          <w:tcPr>
            <w:tcW w:w="4509" w:type="dxa"/>
            <w:shd w:val="clear" w:color="auto" w:fill="auto"/>
          </w:tcPr>
          <w:p w14:paraId="4C806853" w14:textId="77777777" w:rsidR="005625B5" w:rsidRDefault="005625B5" w:rsidP="00FB354B">
            <w:pPr>
              <w:spacing w:after="0" w:line="276" w:lineRule="auto"/>
              <w:jc w:val="center"/>
              <w:rPr>
                <w:rFonts w:ascii="Century Gothic" w:hAnsi="Century Gothic" w:cs="Times New Roman"/>
                <w:b/>
                <w:bCs/>
                <w:sz w:val="20"/>
                <w:szCs w:val="20"/>
              </w:rPr>
            </w:pPr>
            <w:r>
              <w:rPr>
                <w:rFonts w:ascii="Century Gothic" w:hAnsi="Century Gothic" w:cs="Times New Roman"/>
                <w:b/>
                <w:bCs/>
                <w:sz w:val="20"/>
                <w:szCs w:val="20"/>
              </w:rPr>
              <w:t>Zones humides ne nécessitant pas un curage (22)</w:t>
            </w:r>
          </w:p>
        </w:tc>
      </w:tr>
      <w:tr w:rsidR="005625B5" w14:paraId="1933C852" w14:textId="77777777" w:rsidTr="00FB354B">
        <w:tc>
          <w:tcPr>
            <w:tcW w:w="1809" w:type="dxa"/>
            <w:shd w:val="clear" w:color="auto" w:fill="auto"/>
          </w:tcPr>
          <w:p w14:paraId="2BB7D917" w14:textId="77777777" w:rsidR="005625B5" w:rsidRDefault="005625B5" w:rsidP="00FB354B">
            <w:pPr>
              <w:spacing w:after="0" w:line="276" w:lineRule="auto"/>
              <w:jc w:val="both"/>
              <w:rPr>
                <w:rFonts w:ascii="Century Gothic" w:hAnsi="Century Gothic" w:cs="Times New Roman"/>
                <w:b/>
                <w:bCs/>
                <w:sz w:val="20"/>
                <w:szCs w:val="20"/>
              </w:rPr>
            </w:pPr>
            <w:r>
              <w:rPr>
                <w:rFonts w:ascii="Century Gothic" w:hAnsi="Century Gothic" w:cs="Times New Roman"/>
                <w:b/>
                <w:bCs/>
                <w:sz w:val="20"/>
                <w:szCs w:val="20"/>
              </w:rPr>
              <w:t>Assaba</w:t>
            </w:r>
          </w:p>
        </w:tc>
        <w:tc>
          <w:tcPr>
            <w:tcW w:w="3402" w:type="dxa"/>
            <w:shd w:val="clear" w:color="auto" w:fill="auto"/>
          </w:tcPr>
          <w:p w14:paraId="47101AE7" w14:textId="77777777" w:rsidR="005625B5" w:rsidRDefault="005625B5" w:rsidP="00FB354B">
            <w:pPr>
              <w:spacing w:after="0" w:line="276" w:lineRule="auto"/>
              <w:jc w:val="both"/>
              <w:rPr>
                <w:rFonts w:ascii="Century Gothic" w:hAnsi="Century Gothic" w:cs="Times New Roman"/>
                <w:sz w:val="20"/>
                <w:szCs w:val="20"/>
              </w:rPr>
            </w:pPr>
            <w:r>
              <w:rPr>
                <w:rFonts w:ascii="Century Gothic" w:hAnsi="Century Gothic" w:cs="Times New Roman"/>
                <w:sz w:val="20"/>
                <w:szCs w:val="20"/>
              </w:rPr>
              <w:t xml:space="preserve">Lebheir, Guembe, Soultania  </w:t>
            </w:r>
          </w:p>
        </w:tc>
        <w:tc>
          <w:tcPr>
            <w:tcW w:w="4509" w:type="dxa"/>
            <w:shd w:val="clear" w:color="auto" w:fill="auto"/>
          </w:tcPr>
          <w:p w14:paraId="4FE4D7B3" w14:textId="77777777" w:rsidR="005625B5" w:rsidRDefault="005625B5" w:rsidP="00FB354B">
            <w:pPr>
              <w:spacing w:after="0" w:line="276" w:lineRule="auto"/>
              <w:jc w:val="both"/>
              <w:rPr>
                <w:rFonts w:ascii="Century Gothic" w:hAnsi="Century Gothic" w:cs="Times New Roman"/>
                <w:sz w:val="20"/>
                <w:szCs w:val="20"/>
              </w:rPr>
            </w:pPr>
            <w:r>
              <w:rPr>
                <w:rFonts w:ascii="Century Gothic" w:hAnsi="Century Gothic" w:cs="Times New Roman"/>
                <w:sz w:val="20"/>
                <w:szCs w:val="20"/>
              </w:rPr>
              <w:t xml:space="preserve">Ajaar, Gourmel </w:t>
            </w:r>
          </w:p>
        </w:tc>
      </w:tr>
      <w:tr w:rsidR="005625B5" w14:paraId="6B8CB906" w14:textId="77777777" w:rsidTr="00FB354B">
        <w:tc>
          <w:tcPr>
            <w:tcW w:w="1809" w:type="dxa"/>
            <w:shd w:val="clear" w:color="auto" w:fill="auto"/>
          </w:tcPr>
          <w:p w14:paraId="7298A08B" w14:textId="77777777" w:rsidR="005625B5" w:rsidRDefault="005625B5" w:rsidP="00FB354B">
            <w:pPr>
              <w:spacing w:after="0" w:line="276" w:lineRule="auto"/>
              <w:jc w:val="both"/>
              <w:rPr>
                <w:rFonts w:ascii="Century Gothic" w:hAnsi="Century Gothic" w:cs="Times New Roman"/>
                <w:b/>
                <w:bCs/>
                <w:sz w:val="20"/>
                <w:szCs w:val="20"/>
              </w:rPr>
            </w:pPr>
            <w:r>
              <w:rPr>
                <w:rFonts w:ascii="Century Gothic" w:hAnsi="Century Gothic" w:cs="Times New Roman"/>
                <w:b/>
                <w:bCs/>
                <w:sz w:val="20"/>
                <w:szCs w:val="20"/>
              </w:rPr>
              <w:t xml:space="preserve">Hodh Chargui </w:t>
            </w:r>
          </w:p>
        </w:tc>
        <w:tc>
          <w:tcPr>
            <w:tcW w:w="3402" w:type="dxa"/>
            <w:shd w:val="clear" w:color="auto" w:fill="auto"/>
          </w:tcPr>
          <w:p w14:paraId="6453DB85" w14:textId="77777777" w:rsidR="005625B5" w:rsidRDefault="005625B5" w:rsidP="00FB354B">
            <w:pPr>
              <w:spacing w:after="0" w:line="276" w:lineRule="auto"/>
              <w:jc w:val="both"/>
              <w:rPr>
                <w:rFonts w:ascii="Century Gothic" w:hAnsi="Century Gothic" w:cs="Times New Roman"/>
                <w:sz w:val="20"/>
                <w:szCs w:val="20"/>
              </w:rPr>
            </w:pPr>
            <w:r>
              <w:rPr>
                <w:rFonts w:ascii="Century Gothic" w:hAnsi="Century Gothic" w:cs="Times New Roman"/>
                <w:sz w:val="20"/>
                <w:szCs w:val="20"/>
              </w:rPr>
              <w:t>Vough</w:t>
            </w:r>
          </w:p>
        </w:tc>
        <w:tc>
          <w:tcPr>
            <w:tcW w:w="4509" w:type="dxa"/>
            <w:shd w:val="clear" w:color="auto" w:fill="auto"/>
          </w:tcPr>
          <w:p w14:paraId="0019743B" w14:textId="77777777" w:rsidR="005625B5" w:rsidRDefault="005625B5" w:rsidP="00FB354B">
            <w:pPr>
              <w:spacing w:after="0" w:line="276" w:lineRule="auto"/>
              <w:jc w:val="both"/>
              <w:rPr>
                <w:rFonts w:ascii="Century Gothic" w:hAnsi="Century Gothic" w:cs="Times New Roman"/>
                <w:sz w:val="20"/>
                <w:szCs w:val="20"/>
              </w:rPr>
            </w:pPr>
            <w:r>
              <w:rPr>
                <w:rFonts w:ascii="Century Gothic" w:hAnsi="Century Gothic" w:cs="Times New Roman"/>
                <w:sz w:val="20"/>
                <w:szCs w:val="20"/>
              </w:rPr>
              <w:t>Keybi, El Vedre, Tough</w:t>
            </w:r>
          </w:p>
        </w:tc>
      </w:tr>
      <w:tr w:rsidR="005625B5" w14:paraId="05561EBB" w14:textId="77777777" w:rsidTr="00FB354B">
        <w:tc>
          <w:tcPr>
            <w:tcW w:w="1809" w:type="dxa"/>
            <w:shd w:val="clear" w:color="auto" w:fill="auto"/>
          </w:tcPr>
          <w:p w14:paraId="10A300DD" w14:textId="77777777" w:rsidR="005625B5" w:rsidRDefault="005625B5" w:rsidP="00FB354B">
            <w:pPr>
              <w:spacing w:after="0" w:line="276" w:lineRule="auto"/>
              <w:jc w:val="both"/>
              <w:rPr>
                <w:rFonts w:ascii="Century Gothic" w:hAnsi="Century Gothic" w:cs="Times New Roman"/>
                <w:b/>
                <w:bCs/>
                <w:sz w:val="20"/>
                <w:szCs w:val="20"/>
              </w:rPr>
            </w:pPr>
            <w:r>
              <w:rPr>
                <w:rFonts w:ascii="Century Gothic" w:hAnsi="Century Gothic" w:cs="Times New Roman"/>
                <w:b/>
                <w:bCs/>
                <w:sz w:val="20"/>
                <w:szCs w:val="20"/>
              </w:rPr>
              <w:t>Hodh Gharbi</w:t>
            </w:r>
          </w:p>
        </w:tc>
        <w:tc>
          <w:tcPr>
            <w:tcW w:w="3402" w:type="dxa"/>
            <w:shd w:val="clear" w:color="auto" w:fill="auto"/>
          </w:tcPr>
          <w:p w14:paraId="5864CBC4" w14:textId="77777777" w:rsidR="005625B5" w:rsidRDefault="005625B5" w:rsidP="00FB354B">
            <w:pPr>
              <w:spacing w:after="0" w:line="276" w:lineRule="auto"/>
              <w:jc w:val="both"/>
              <w:rPr>
                <w:rFonts w:ascii="Century Gothic" w:hAnsi="Century Gothic" w:cs="Times New Roman"/>
                <w:sz w:val="20"/>
                <w:szCs w:val="20"/>
              </w:rPr>
            </w:pPr>
            <w:r>
              <w:rPr>
                <w:rFonts w:ascii="Century Gothic" w:hAnsi="Century Gothic" w:cs="Times New Roman"/>
                <w:sz w:val="20"/>
                <w:szCs w:val="20"/>
              </w:rPr>
              <w:t>Agharghar, Chlem, Gounguel</w:t>
            </w:r>
          </w:p>
        </w:tc>
        <w:tc>
          <w:tcPr>
            <w:tcW w:w="4509" w:type="dxa"/>
            <w:shd w:val="clear" w:color="auto" w:fill="auto"/>
          </w:tcPr>
          <w:p w14:paraId="2DEA01DC" w14:textId="77777777" w:rsidR="005625B5" w:rsidRDefault="005625B5" w:rsidP="00FB354B">
            <w:pPr>
              <w:spacing w:after="0" w:line="276" w:lineRule="auto"/>
              <w:jc w:val="both"/>
              <w:rPr>
                <w:rFonts w:ascii="Century Gothic" w:hAnsi="Century Gothic" w:cs="Times New Roman"/>
                <w:sz w:val="20"/>
                <w:szCs w:val="20"/>
              </w:rPr>
            </w:pPr>
            <w:r>
              <w:rPr>
                <w:rFonts w:ascii="Century Gothic" w:hAnsi="Century Gothic" w:cs="Times New Roman"/>
                <w:sz w:val="20"/>
                <w:szCs w:val="20"/>
              </w:rPr>
              <w:t xml:space="preserve">Demberi, Tally Lekhdar </w:t>
            </w:r>
          </w:p>
        </w:tc>
      </w:tr>
      <w:tr w:rsidR="005625B5" w:rsidRPr="00D953B5" w14:paraId="1FECE7EF" w14:textId="77777777" w:rsidTr="00FB354B">
        <w:tc>
          <w:tcPr>
            <w:tcW w:w="1809" w:type="dxa"/>
            <w:shd w:val="clear" w:color="auto" w:fill="auto"/>
          </w:tcPr>
          <w:p w14:paraId="53E59C30" w14:textId="77777777" w:rsidR="005625B5" w:rsidRDefault="005625B5" w:rsidP="00FB354B">
            <w:pPr>
              <w:spacing w:after="0" w:line="276" w:lineRule="auto"/>
              <w:jc w:val="both"/>
              <w:rPr>
                <w:rFonts w:ascii="Century Gothic" w:hAnsi="Century Gothic" w:cs="Times New Roman"/>
                <w:b/>
                <w:bCs/>
                <w:sz w:val="20"/>
                <w:szCs w:val="20"/>
              </w:rPr>
            </w:pPr>
            <w:r>
              <w:rPr>
                <w:rFonts w:ascii="Century Gothic" w:hAnsi="Century Gothic" w:cs="Times New Roman"/>
                <w:b/>
                <w:bCs/>
                <w:sz w:val="20"/>
                <w:szCs w:val="20"/>
              </w:rPr>
              <w:t>Guidimagha</w:t>
            </w:r>
          </w:p>
        </w:tc>
        <w:tc>
          <w:tcPr>
            <w:tcW w:w="3402" w:type="dxa"/>
            <w:shd w:val="clear" w:color="auto" w:fill="auto"/>
          </w:tcPr>
          <w:p w14:paraId="2AA5B661" w14:textId="77777777" w:rsidR="005625B5" w:rsidRDefault="005625B5" w:rsidP="00FB354B">
            <w:pPr>
              <w:spacing w:after="0" w:line="276" w:lineRule="auto"/>
              <w:jc w:val="both"/>
              <w:rPr>
                <w:rFonts w:ascii="Century Gothic" w:hAnsi="Century Gothic" w:cs="Times New Roman"/>
                <w:sz w:val="20"/>
                <w:szCs w:val="20"/>
              </w:rPr>
            </w:pPr>
            <w:r>
              <w:rPr>
                <w:rFonts w:ascii="Century Gothic" w:hAnsi="Century Gothic" w:cs="Times New Roman"/>
                <w:sz w:val="20"/>
                <w:szCs w:val="20"/>
              </w:rPr>
              <w:t>Wofou Kharé, Khathre</w:t>
            </w:r>
          </w:p>
        </w:tc>
        <w:tc>
          <w:tcPr>
            <w:tcW w:w="4509" w:type="dxa"/>
            <w:shd w:val="clear" w:color="auto" w:fill="auto"/>
          </w:tcPr>
          <w:p w14:paraId="32527205" w14:textId="77777777" w:rsidR="005625B5" w:rsidRDefault="005625B5" w:rsidP="00FB354B">
            <w:pPr>
              <w:spacing w:after="0" w:line="276" w:lineRule="auto"/>
              <w:jc w:val="both"/>
              <w:rPr>
                <w:rFonts w:ascii="Century Gothic" w:hAnsi="Century Gothic" w:cs="Times New Roman"/>
                <w:sz w:val="20"/>
                <w:szCs w:val="20"/>
              </w:rPr>
            </w:pPr>
            <w:r>
              <w:rPr>
                <w:rFonts w:ascii="Century Gothic" w:hAnsi="Century Gothic" w:cs="Times New Roman"/>
                <w:sz w:val="20"/>
                <w:szCs w:val="20"/>
              </w:rPr>
              <w:t xml:space="preserve">Golmi Kharé, Iriji Tek Tak, Wompou Kharé </w:t>
            </w:r>
          </w:p>
        </w:tc>
      </w:tr>
      <w:tr w:rsidR="005625B5" w14:paraId="01D59C55" w14:textId="77777777" w:rsidTr="00FB354B">
        <w:tc>
          <w:tcPr>
            <w:tcW w:w="1809" w:type="dxa"/>
            <w:shd w:val="clear" w:color="auto" w:fill="auto"/>
          </w:tcPr>
          <w:p w14:paraId="5E8A858D" w14:textId="77777777" w:rsidR="005625B5" w:rsidRDefault="005625B5" w:rsidP="00FB354B">
            <w:pPr>
              <w:spacing w:after="0" w:line="276" w:lineRule="auto"/>
              <w:jc w:val="both"/>
              <w:rPr>
                <w:rFonts w:ascii="Century Gothic" w:hAnsi="Century Gothic" w:cs="Times New Roman"/>
                <w:b/>
                <w:bCs/>
                <w:sz w:val="20"/>
                <w:szCs w:val="20"/>
              </w:rPr>
            </w:pPr>
            <w:r>
              <w:rPr>
                <w:rFonts w:ascii="Century Gothic" w:hAnsi="Century Gothic" w:cs="Times New Roman"/>
                <w:b/>
                <w:bCs/>
                <w:sz w:val="20"/>
                <w:szCs w:val="20"/>
              </w:rPr>
              <w:t xml:space="preserve">Gorgol </w:t>
            </w:r>
          </w:p>
        </w:tc>
        <w:tc>
          <w:tcPr>
            <w:tcW w:w="3402" w:type="dxa"/>
            <w:shd w:val="clear" w:color="auto" w:fill="auto"/>
          </w:tcPr>
          <w:p w14:paraId="0332683D" w14:textId="77777777" w:rsidR="005625B5" w:rsidRDefault="005625B5" w:rsidP="00FB354B">
            <w:pPr>
              <w:spacing w:after="0" w:line="276" w:lineRule="auto"/>
              <w:jc w:val="both"/>
              <w:rPr>
                <w:rFonts w:ascii="Century Gothic" w:hAnsi="Century Gothic" w:cs="Times New Roman"/>
                <w:sz w:val="20"/>
                <w:szCs w:val="20"/>
              </w:rPr>
            </w:pPr>
            <w:r>
              <w:rPr>
                <w:rFonts w:ascii="Century Gothic" w:hAnsi="Century Gothic" w:cs="Times New Roman"/>
                <w:sz w:val="20"/>
                <w:szCs w:val="20"/>
              </w:rPr>
              <w:t>Delame</w:t>
            </w:r>
          </w:p>
        </w:tc>
        <w:tc>
          <w:tcPr>
            <w:tcW w:w="4509" w:type="dxa"/>
            <w:shd w:val="clear" w:color="auto" w:fill="auto"/>
          </w:tcPr>
          <w:p w14:paraId="3FD5A2DC" w14:textId="77777777" w:rsidR="005625B5" w:rsidRDefault="005625B5" w:rsidP="00FB354B">
            <w:pPr>
              <w:spacing w:after="0" w:line="276" w:lineRule="auto"/>
              <w:jc w:val="both"/>
              <w:rPr>
                <w:rFonts w:ascii="Century Gothic" w:hAnsi="Century Gothic" w:cs="Times New Roman"/>
                <w:sz w:val="20"/>
                <w:szCs w:val="20"/>
              </w:rPr>
            </w:pPr>
            <w:r>
              <w:rPr>
                <w:rFonts w:ascii="Century Gothic" w:hAnsi="Century Gothic" w:cs="Times New Roman"/>
                <w:sz w:val="20"/>
                <w:szCs w:val="20"/>
              </w:rPr>
              <w:t>Bona indai, Gawradji, Lougal, Warle, Widou Meye, Windou Youbama</w:t>
            </w:r>
          </w:p>
        </w:tc>
      </w:tr>
      <w:tr w:rsidR="005625B5" w:rsidRPr="00D953B5" w14:paraId="5C4D364D" w14:textId="77777777" w:rsidTr="00FB354B">
        <w:tc>
          <w:tcPr>
            <w:tcW w:w="1809" w:type="dxa"/>
            <w:shd w:val="clear" w:color="auto" w:fill="auto"/>
          </w:tcPr>
          <w:p w14:paraId="7ADB1B27" w14:textId="77777777" w:rsidR="005625B5" w:rsidRDefault="005625B5" w:rsidP="00FB354B">
            <w:pPr>
              <w:spacing w:after="0" w:line="276" w:lineRule="auto"/>
              <w:jc w:val="both"/>
              <w:rPr>
                <w:rFonts w:ascii="Century Gothic" w:hAnsi="Century Gothic" w:cs="Times New Roman"/>
                <w:b/>
                <w:bCs/>
                <w:sz w:val="20"/>
                <w:szCs w:val="20"/>
              </w:rPr>
            </w:pPr>
            <w:r>
              <w:rPr>
                <w:rFonts w:ascii="Century Gothic" w:hAnsi="Century Gothic" w:cs="Times New Roman"/>
                <w:b/>
                <w:bCs/>
                <w:sz w:val="20"/>
                <w:szCs w:val="20"/>
              </w:rPr>
              <w:t>Brakna</w:t>
            </w:r>
          </w:p>
        </w:tc>
        <w:tc>
          <w:tcPr>
            <w:tcW w:w="3402" w:type="dxa"/>
            <w:shd w:val="clear" w:color="auto" w:fill="auto"/>
          </w:tcPr>
          <w:p w14:paraId="42ADA2CD" w14:textId="77777777" w:rsidR="005625B5" w:rsidRDefault="005625B5" w:rsidP="00FB354B">
            <w:pPr>
              <w:spacing w:after="0" w:line="276" w:lineRule="auto"/>
              <w:jc w:val="both"/>
              <w:rPr>
                <w:rFonts w:ascii="Century Gothic" w:hAnsi="Century Gothic" w:cs="Times New Roman"/>
                <w:sz w:val="20"/>
                <w:szCs w:val="20"/>
              </w:rPr>
            </w:pPr>
          </w:p>
        </w:tc>
        <w:tc>
          <w:tcPr>
            <w:tcW w:w="4509" w:type="dxa"/>
            <w:shd w:val="clear" w:color="auto" w:fill="auto"/>
          </w:tcPr>
          <w:p w14:paraId="1A4B7827" w14:textId="77777777" w:rsidR="005625B5" w:rsidRDefault="005625B5" w:rsidP="00FB354B">
            <w:pPr>
              <w:spacing w:after="0" w:line="276" w:lineRule="auto"/>
              <w:jc w:val="both"/>
              <w:rPr>
                <w:rFonts w:ascii="Century Gothic" w:hAnsi="Century Gothic" w:cs="Times New Roman"/>
                <w:sz w:val="20"/>
                <w:szCs w:val="20"/>
              </w:rPr>
            </w:pPr>
            <w:r>
              <w:rPr>
                <w:rFonts w:ascii="Century Gothic" w:hAnsi="Century Gothic" w:cs="Times New Roman"/>
                <w:sz w:val="20"/>
                <w:szCs w:val="20"/>
              </w:rPr>
              <w:t>Djellouar, lac Aleg et lac Maal</w:t>
            </w:r>
          </w:p>
        </w:tc>
      </w:tr>
      <w:tr w:rsidR="005625B5" w14:paraId="36374649" w14:textId="77777777" w:rsidTr="00FB354B">
        <w:tc>
          <w:tcPr>
            <w:tcW w:w="1809" w:type="dxa"/>
            <w:shd w:val="clear" w:color="auto" w:fill="auto"/>
          </w:tcPr>
          <w:p w14:paraId="1929026A" w14:textId="77777777" w:rsidR="005625B5" w:rsidRDefault="005625B5" w:rsidP="00FB354B">
            <w:pPr>
              <w:spacing w:after="0" w:line="276" w:lineRule="auto"/>
              <w:jc w:val="both"/>
              <w:rPr>
                <w:rFonts w:ascii="Century Gothic" w:hAnsi="Century Gothic" w:cs="Times New Roman"/>
                <w:b/>
                <w:bCs/>
                <w:sz w:val="20"/>
                <w:szCs w:val="20"/>
              </w:rPr>
            </w:pPr>
            <w:r>
              <w:rPr>
                <w:rFonts w:ascii="Century Gothic" w:hAnsi="Century Gothic" w:cs="Times New Roman"/>
                <w:b/>
                <w:bCs/>
                <w:sz w:val="20"/>
                <w:szCs w:val="20"/>
              </w:rPr>
              <w:t xml:space="preserve">Trarza </w:t>
            </w:r>
          </w:p>
        </w:tc>
        <w:tc>
          <w:tcPr>
            <w:tcW w:w="3402" w:type="dxa"/>
            <w:shd w:val="clear" w:color="auto" w:fill="auto"/>
          </w:tcPr>
          <w:p w14:paraId="554E5933" w14:textId="77777777" w:rsidR="005625B5" w:rsidRDefault="005625B5" w:rsidP="00FB354B">
            <w:pPr>
              <w:spacing w:after="0" w:line="276" w:lineRule="auto"/>
              <w:jc w:val="both"/>
              <w:rPr>
                <w:rFonts w:ascii="Century Gothic" w:hAnsi="Century Gothic" w:cs="Times New Roman"/>
                <w:sz w:val="20"/>
                <w:szCs w:val="20"/>
              </w:rPr>
            </w:pPr>
            <w:r>
              <w:rPr>
                <w:rFonts w:ascii="Century Gothic" w:hAnsi="Century Gothic" w:cs="Times New Roman"/>
                <w:sz w:val="20"/>
                <w:szCs w:val="20"/>
              </w:rPr>
              <w:t xml:space="preserve">Tambass </w:t>
            </w:r>
          </w:p>
        </w:tc>
        <w:tc>
          <w:tcPr>
            <w:tcW w:w="4509" w:type="dxa"/>
            <w:shd w:val="clear" w:color="auto" w:fill="auto"/>
          </w:tcPr>
          <w:p w14:paraId="39C0D850" w14:textId="77777777" w:rsidR="005625B5" w:rsidRDefault="005625B5" w:rsidP="00FB354B">
            <w:pPr>
              <w:spacing w:after="0" w:line="276" w:lineRule="auto"/>
              <w:jc w:val="both"/>
              <w:rPr>
                <w:rFonts w:ascii="Century Gothic" w:hAnsi="Century Gothic" w:cs="Times New Roman"/>
                <w:sz w:val="20"/>
                <w:szCs w:val="20"/>
              </w:rPr>
            </w:pPr>
            <w:r>
              <w:rPr>
                <w:rFonts w:ascii="Century Gothic" w:hAnsi="Century Gothic" w:cs="Times New Roman"/>
                <w:sz w:val="20"/>
                <w:szCs w:val="20"/>
              </w:rPr>
              <w:t xml:space="preserve">Goueylitt, Laweija </w:t>
            </w:r>
          </w:p>
        </w:tc>
      </w:tr>
      <w:tr w:rsidR="005625B5" w14:paraId="2259F65B" w14:textId="77777777" w:rsidTr="00FB354B">
        <w:tc>
          <w:tcPr>
            <w:tcW w:w="1809" w:type="dxa"/>
            <w:shd w:val="clear" w:color="auto" w:fill="auto"/>
          </w:tcPr>
          <w:p w14:paraId="01903477" w14:textId="77777777" w:rsidR="005625B5" w:rsidRDefault="005625B5" w:rsidP="00FB354B">
            <w:pPr>
              <w:spacing w:after="0" w:line="276" w:lineRule="auto"/>
              <w:jc w:val="both"/>
              <w:rPr>
                <w:rFonts w:ascii="Century Gothic" w:hAnsi="Century Gothic" w:cs="Times New Roman"/>
                <w:b/>
                <w:bCs/>
                <w:sz w:val="20"/>
                <w:szCs w:val="20"/>
              </w:rPr>
            </w:pPr>
            <w:r>
              <w:rPr>
                <w:rFonts w:ascii="Century Gothic" w:hAnsi="Century Gothic" w:cs="Times New Roman"/>
                <w:b/>
                <w:bCs/>
                <w:sz w:val="20"/>
                <w:szCs w:val="20"/>
              </w:rPr>
              <w:t xml:space="preserve">Tagant </w:t>
            </w:r>
          </w:p>
        </w:tc>
        <w:tc>
          <w:tcPr>
            <w:tcW w:w="3402" w:type="dxa"/>
            <w:shd w:val="clear" w:color="auto" w:fill="auto"/>
          </w:tcPr>
          <w:p w14:paraId="143979D2" w14:textId="77777777" w:rsidR="005625B5" w:rsidRDefault="005625B5" w:rsidP="00FB354B">
            <w:pPr>
              <w:spacing w:after="0" w:line="276" w:lineRule="auto"/>
              <w:jc w:val="both"/>
              <w:rPr>
                <w:rFonts w:ascii="Century Gothic" w:hAnsi="Century Gothic" w:cs="Times New Roman"/>
                <w:sz w:val="20"/>
                <w:szCs w:val="20"/>
              </w:rPr>
            </w:pPr>
          </w:p>
        </w:tc>
        <w:tc>
          <w:tcPr>
            <w:tcW w:w="4509" w:type="dxa"/>
            <w:shd w:val="clear" w:color="auto" w:fill="auto"/>
          </w:tcPr>
          <w:p w14:paraId="7C0336CB" w14:textId="77777777" w:rsidR="005625B5" w:rsidRDefault="005625B5" w:rsidP="00FB354B">
            <w:pPr>
              <w:spacing w:after="0" w:line="276" w:lineRule="auto"/>
              <w:jc w:val="both"/>
              <w:rPr>
                <w:rFonts w:ascii="Century Gothic" w:hAnsi="Century Gothic" w:cs="Times New Roman"/>
                <w:sz w:val="20"/>
                <w:szCs w:val="20"/>
              </w:rPr>
            </w:pPr>
            <w:r>
              <w:rPr>
                <w:rFonts w:ascii="Century Gothic" w:hAnsi="Century Gothic" w:cs="Times New Roman"/>
                <w:sz w:val="20"/>
                <w:szCs w:val="20"/>
              </w:rPr>
              <w:t xml:space="preserve">Guebou </w:t>
            </w:r>
          </w:p>
        </w:tc>
      </w:tr>
    </w:tbl>
    <w:p w14:paraId="704CD2CE" w14:textId="77777777" w:rsidR="005625B5" w:rsidRPr="00636E3A" w:rsidRDefault="005625B5" w:rsidP="005625B5">
      <w:pPr>
        <w:tabs>
          <w:tab w:val="left" w:pos="426"/>
        </w:tabs>
        <w:spacing w:after="0" w:line="276" w:lineRule="auto"/>
        <w:jc w:val="right"/>
        <w:rPr>
          <w:rFonts w:ascii="Century Gothic" w:eastAsia="Times New Roman" w:hAnsi="Century Gothic" w:cs="Times New Roman"/>
          <w:b/>
          <w:bCs/>
          <w:sz w:val="20"/>
          <w:szCs w:val="20"/>
          <w:lang w:eastAsia="wo-SN"/>
        </w:rPr>
      </w:pPr>
      <w:r w:rsidRPr="00636E3A">
        <w:rPr>
          <w:rFonts w:ascii="Century Gothic" w:eastAsia="Times New Roman" w:hAnsi="Century Gothic" w:cs="Times New Roman"/>
          <w:b/>
          <w:bCs/>
          <w:sz w:val="20"/>
          <w:szCs w:val="20"/>
          <w:lang w:eastAsia="wo-SN"/>
        </w:rPr>
        <w:t>Source : MEDD, 2023</w:t>
      </w:r>
    </w:p>
    <w:p w14:paraId="09AD8D6C"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Pr>
          <w:rFonts w:ascii="Century Gothic" w:eastAsia="Times New Roman" w:hAnsi="Century Gothic" w:cs="Times New Roman"/>
          <w:b/>
          <w:bCs/>
          <w:sz w:val="24"/>
          <w:szCs w:val="24"/>
          <w:lang w:eastAsia="wo-SN"/>
        </w:rPr>
        <w:t xml:space="preserve">Evaluation financière des plans de restauration des zones humides continentales (Voir Annexe 3)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1476"/>
        <w:gridCol w:w="1873"/>
        <w:gridCol w:w="1533"/>
        <w:gridCol w:w="1385"/>
        <w:gridCol w:w="1372"/>
      </w:tblGrid>
      <w:tr w:rsidR="005625B5" w14:paraId="6CE3B40C" w14:textId="77777777" w:rsidTr="00FB354B">
        <w:tc>
          <w:tcPr>
            <w:tcW w:w="1582" w:type="dxa"/>
            <w:shd w:val="clear" w:color="auto" w:fill="auto"/>
          </w:tcPr>
          <w:p w14:paraId="62171BEF" w14:textId="77777777" w:rsidR="005625B5" w:rsidRDefault="005625B5" w:rsidP="00FB354B">
            <w:pPr>
              <w:tabs>
                <w:tab w:val="left" w:pos="426"/>
              </w:tabs>
              <w:spacing w:after="0" w:line="276" w:lineRule="auto"/>
              <w:jc w:val="both"/>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 xml:space="preserve">Zones humides </w:t>
            </w:r>
          </w:p>
        </w:tc>
        <w:tc>
          <w:tcPr>
            <w:tcW w:w="1592" w:type="dxa"/>
            <w:shd w:val="clear" w:color="auto" w:fill="auto"/>
          </w:tcPr>
          <w:p w14:paraId="2B978667"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 xml:space="preserve">Organisation de la population locale </w:t>
            </w:r>
          </w:p>
        </w:tc>
        <w:tc>
          <w:tcPr>
            <w:tcW w:w="1873" w:type="dxa"/>
            <w:shd w:val="clear" w:color="auto" w:fill="auto"/>
          </w:tcPr>
          <w:p w14:paraId="6F0BEA71"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 xml:space="preserve">Curage des réseaux hydrographiques </w:t>
            </w:r>
          </w:p>
        </w:tc>
        <w:tc>
          <w:tcPr>
            <w:tcW w:w="1603" w:type="dxa"/>
            <w:shd w:val="clear" w:color="auto" w:fill="auto"/>
          </w:tcPr>
          <w:p w14:paraId="372DE6C4"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 xml:space="preserve">Régénération des zones dégradées </w:t>
            </w:r>
          </w:p>
        </w:tc>
        <w:tc>
          <w:tcPr>
            <w:tcW w:w="1574" w:type="dxa"/>
            <w:shd w:val="clear" w:color="auto" w:fill="auto"/>
          </w:tcPr>
          <w:p w14:paraId="76FAAE76"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 xml:space="preserve">Valorisation des ressources naturelles </w:t>
            </w:r>
          </w:p>
        </w:tc>
        <w:tc>
          <w:tcPr>
            <w:tcW w:w="1572" w:type="dxa"/>
            <w:shd w:val="clear" w:color="auto" w:fill="auto"/>
          </w:tcPr>
          <w:p w14:paraId="0A03ED17"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 xml:space="preserve">Total </w:t>
            </w:r>
          </w:p>
          <w:p w14:paraId="53AB4786"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(MRU)</w:t>
            </w:r>
          </w:p>
        </w:tc>
      </w:tr>
      <w:tr w:rsidR="005625B5" w14:paraId="05ED3B35" w14:textId="77777777" w:rsidTr="00FB354B">
        <w:tc>
          <w:tcPr>
            <w:tcW w:w="1582" w:type="dxa"/>
            <w:shd w:val="clear" w:color="auto" w:fill="auto"/>
          </w:tcPr>
          <w:p w14:paraId="767F1E6D" w14:textId="77777777" w:rsidR="005625B5" w:rsidRDefault="005625B5" w:rsidP="00FB354B">
            <w:pPr>
              <w:tabs>
                <w:tab w:val="left" w:pos="426"/>
              </w:tabs>
              <w:spacing w:after="0" w:line="276" w:lineRule="auto"/>
              <w:jc w:val="both"/>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 xml:space="preserve">Zones humides nécessitants un curage : </w:t>
            </w:r>
          </w:p>
        </w:tc>
        <w:tc>
          <w:tcPr>
            <w:tcW w:w="1592" w:type="dxa"/>
            <w:shd w:val="clear" w:color="auto" w:fill="auto"/>
          </w:tcPr>
          <w:p w14:paraId="05BF355C"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11.000.000</w:t>
            </w:r>
          </w:p>
        </w:tc>
        <w:tc>
          <w:tcPr>
            <w:tcW w:w="1873" w:type="dxa"/>
            <w:shd w:val="clear" w:color="auto" w:fill="auto"/>
          </w:tcPr>
          <w:p w14:paraId="136EC458"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44.000.000</w:t>
            </w:r>
          </w:p>
        </w:tc>
        <w:tc>
          <w:tcPr>
            <w:tcW w:w="1603" w:type="dxa"/>
            <w:shd w:val="clear" w:color="auto" w:fill="auto"/>
          </w:tcPr>
          <w:p w14:paraId="1B6F271B"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95.700.000</w:t>
            </w:r>
          </w:p>
        </w:tc>
        <w:tc>
          <w:tcPr>
            <w:tcW w:w="1574" w:type="dxa"/>
            <w:shd w:val="clear" w:color="auto" w:fill="auto"/>
          </w:tcPr>
          <w:p w14:paraId="123C070F"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33.000.000</w:t>
            </w:r>
          </w:p>
        </w:tc>
        <w:tc>
          <w:tcPr>
            <w:tcW w:w="1572" w:type="dxa"/>
            <w:shd w:val="clear" w:color="auto" w:fill="auto"/>
          </w:tcPr>
          <w:p w14:paraId="23E79288"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183.700.000</w:t>
            </w:r>
          </w:p>
        </w:tc>
      </w:tr>
      <w:tr w:rsidR="005625B5" w14:paraId="01B1A040" w14:textId="77777777" w:rsidTr="00FB354B">
        <w:tc>
          <w:tcPr>
            <w:tcW w:w="1582" w:type="dxa"/>
            <w:shd w:val="clear" w:color="auto" w:fill="auto"/>
          </w:tcPr>
          <w:p w14:paraId="790524E3" w14:textId="77777777" w:rsidR="005625B5" w:rsidRDefault="005625B5" w:rsidP="00FB354B">
            <w:pPr>
              <w:tabs>
                <w:tab w:val="left" w:pos="426"/>
              </w:tabs>
              <w:spacing w:after="0" w:line="276" w:lineRule="auto"/>
              <w:jc w:val="both"/>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 xml:space="preserve">Zones humides ne nécessitant pas de curage </w:t>
            </w:r>
          </w:p>
        </w:tc>
        <w:tc>
          <w:tcPr>
            <w:tcW w:w="1592" w:type="dxa"/>
            <w:shd w:val="clear" w:color="auto" w:fill="auto"/>
          </w:tcPr>
          <w:p w14:paraId="556500FD"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22.000.000</w:t>
            </w:r>
          </w:p>
        </w:tc>
        <w:tc>
          <w:tcPr>
            <w:tcW w:w="1873" w:type="dxa"/>
            <w:shd w:val="clear" w:color="auto" w:fill="auto"/>
          </w:tcPr>
          <w:p w14:paraId="1EE3D2BD"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0</w:t>
            </w:r>
          </w:p>
        </w:tc>
        <w:tc>
          <w:tcPr>
            <w:tcW w:w="1603" w:type="dxa"/>
            <w:shd w:val="clear" w:color="auto" w:fill="auto"/>
          </w:tcPr>
          <w:p w14:paraId="2518548F"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191.400.000</w:t>
            </w:r>
          </w:p>
        </w:tc>
        <w:tc>
          <w:tcPr>
            <w:tcW w:w="1574" w:type="dxa"/>
            <w:shd w:val="clear" w:color="auto" w:fill="auto"/>
          </w:tcPr>
          <w:p w14:paraId="3170B8C2"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66.000.000</w:t>
            </w:r>
          </w:p>
        </w:tc>
        <w:tc>
          <w:tcPr>
            <w:tcW w:w="1572" w:type="dxa"/>
            <w:shd w:val="clear" w:color="auto" w:fill="auto"/>
          </w:tcPr>
          <w:p w14:paraId="4C6CB6E7"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eastAsia="wo-SN"/>
              </w:rPr>
            </w:pPr>
            <w:r>
              <w:rPr>
                <w:rFonts w:ascii="Century Gothic" w:eastAsia="Times New Roman" w:hAnsi="Century Gothic" w:cs="Times New Roman"/>
                <w:sz w:val="20"/>
                <w:szCs w:val="20"/>
                <w:lang w:eastAsia="wo-SN"/>
              </w:rPr>
              <w:t>297.400.000</w:t>
            </w:r>
          </w:p>
        </w:tc>
      </w:tr>
      <w:tr w:rsidR="005625B5" w14:paraId="19B9FF9F" w14:textId="77777777" w:rsidTr="00FB354B">
        <w:tc>
          <w:tcPr>
            <w:tcW w:w="1582" w:type="dxa"/>
            <w:shd w:val="clear" w:color="auto" w:fill="auto"/>
          </w:tcPr>
          <w:p w14:paraId="165D730C" w14:textId="77777777" w:rsidR="005625B5" w:rsidRDefault="005625B5" w:rsidP="00FB354B">
            <w:pPr>
              <w:tabs>
                <w:tab w:val="left" w:pos="426"/>
              </w:tabs>
              <w:spacing w:after="0" w:line="276" w:lineRule="auto"/>
              <w:jc w:val="both"/>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 xml:space="preserve">Total </w:t>
            </w:r>
          </w:p>
        </w:tc>
        <w:tc>
          <w:tcPr>
            <w:tcW w:w="1592" w:type="dxa"/>
            <w:shd w:val="clear" w:color="auto" w:fill="auto"/>
          </w:tcPr>
          <w:p w14:paraId="1A1344E4" w14:textId="77777777" w:rsidR="005625B5" w:rsidRDefault="005625B5" w:rsidP="00FB354B">
            <w:pPr>
              <w:tabs>
                <w:tab w:val="left" w:pos="426"/>
              </w:tabs>
              <w:spacing w:after="0" w:line="276" w:lineRule="auto"/>
              <w:jc w:val="right"/>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33.000.000</w:t>
            </w:r>
          </w:p>
        </w:tc>
        <w:tc>
          <w:tcPr>
            <w:tcW w:w="1873" w:type="dxa"/>
            <w:shd w:val="clear" w:color="auto" w:fill="auto"/>
          </w:tcPr>
          <w:p w14:paraId="7046ABC7" w14:textId="77777777" w:rsidR="005625B5" w:rsidRDefault="005625B5" w:rsidP="00FB354B">
            <w:pPr>
              <w:tabs>
                <w:tab w:val="left" w:pos="426"/>
              </w:tabs>
              <w:spacing w:after="0" w:line="276" w:lineRule="auto"/>
              <w:jc w:val="right"/>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44.000.000</w:t>
            </w:r>
          </w:p>
        </w:tc>
        <w:tc>
          <w:tcPr>
            <w:tcW w:w="1603" w:type="dxa"/>
            <w:shd w:val="clear" w:color="auto" w:fill="auto"/>
          </w:tcPr>
          <w:p w14:paraId="6238E009" w14:textId="77777777" w:rsidR="005625B5" w:rsidRDefault="005625B5" w:rsidP="00FB354B">
            <w:pPr>
              <w:tabs>
                <w:tab w:val="left" w:pos="426"/>
              </w:tabs>
              <w:spacing w:after="0" w:line="276" w:lineRule="auto"/>
              <w:jc w:val="right"/>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287.100.000</w:t>
            </w:r>
          </w:p>
        </w:tc>
        <w:tc>
          <w:tcPr>
            <w:tcW w:w="1574" w:type="dxa"/>
            <w:shd w:val="clear" w:color="auto" w:fill="auto"/>
          </w:tcPr>
          <w:p w14:paraId="3AF7A518" w14:textId="77777777" w:rsidR="005625B5" w:rsidRDefault="005625B5" w:rsidP="00FB354B">
            <w:pPr>
              <w:tabs>
                <w:tab w:val="left" w:pos="426"/>
              </w:tabs>
              <w:spacing w:after="0" w:line="276" w:lineRule="auto"/>
              <w:jc w:val="right"/>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99.000.000</w:t>
            </w:r>
          </w:p>
        </w:tc>
        <w:tc>
          <w:tcPr>
            <w:tcW w:w="1572" w:type="dxa"/>
            <w:shd w:val="clear" w:color="auto" w:fill="auto"/>
          </w:tcPr>
          <w:p w14:paraId="49854BCE" w14:textId="77777777" w:rsidR="005625B5" w:rsidRDefault="005625B5" w:rsidP="00FB354B">
            <w:pPr>
              <w:tabs>
                <w:tab w:val="left" w:pos="426"/>
              </w:tabs>
              <w:spacing w:after="0" w:line="276" w:lineRule="auto"/>
              <w:jc w:val="right"/>
              <w:rPr>
                <w:rFonts w:ascii="Century Gothic" w:eastAsia="Times New Roman" w:hAnsi="Century Gothic" w:cs="Times New Roman"/>
                <w:b/>
                <w:bCs/>
                <w:sz w:val="20"/>
                <w:szCs w:val="20"/>
                <w:lang w:eastAsia="wo-SN"/>
              </w:rPr>
            </w:pPr>
            <w:r>
              <w:rPr>
                <w:rFonts w:ascii="Century Gothic" w:eastAsia="Times New Roman" w:hAnsi="Century Gothic" w:cs="Times New Roman"/>
                <w:b/>
                <w:bCs/>
                <w:sz w:val="20"/>
                <w:szCs w:val="20"/>
                <w:lang w:eastAsia="wo-SN"/>
              </w:rPr>
              <w:t>463.100.000</w:t>
            </w:r>
          </w:p>
        </w:tc>
      </w:tr>
    </w:tbl>
    <w:p w14:paraId="0F902BD0" w14:textId="77777777" w:rsidR="005625B5" w:rsidRPr="00636E3A" w:rsidRDefault="005625B5" w:rsidP="005625B5">
      <w:pPr>
        <w:tabs>
          <w:tab w:val="left" w:pos="426"/>
        </w:tabs>
        <w:spacing w:after="0" w:line="276" w:lineRule="auto"/>
        <w:jc w:val="right"/>
        <w:rPr>
          <w:rFonts w:ascii="Century Gothic" w:eastAsia="Times New Roman" w:hAnsi="Century Gothic" w:cs="Times New Roman"/>
          <w:b/>
          <w:bCs/>
          <w:sz w:val="20"/>
          <w:szCs w:val="20"/>
          <w:lang w:eastAsia="wo-SN"/>
        </w:rPr>
      </w:pPr>
      <w:r w:rsidRPr="00636E3A">
        <w:rPr>
          <w:rFonts w:ascii="Century Gothic" w:eastAsia="Times New Roman" w:hAnsi="Century Gothic" w:cs="Times New Roman"/>
          <w:b/>
          <w:bCs/>
          <w:sz w:val="20"/>
          <w:szCs w:val="20"/>
          <w:lang w:eastAsia="wo-SN"/>
        </w:rPr>
        <w:t>Source : MEDD, 2023</w:t>
      </w:r>
    </w:p>
    <w:p w14:paraId="28ED951E" w14:textId="77777777" w:rsidR="005625B5" w:rsidRPr="00202DF5"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p>
    <w:p w14:paraId="3D7E6F79" w14:textId="77777777" w:rsidR="005625B5" w:rsidRPr="00202DF5"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sidRPr="00202DF5">
        <w:rPr>
          <w:rFonts w:ascii="Century Gothic" w:eastAsia="Times New Roman" w:hAnsi="Century Gothic" w:cs="Times New Roman"/>
          <w:b/>
          <w:bCs/>
          <w:sz w:val="24"/>
          <w:szCs w:val="24"/>
          <w:lang w:eastAsia="wo-SN"/>
        </w:rPr>
        <w:t>I</w:t>
      </w:r>
      <w:r>
        <w:rPr>
          <w:rFonts w:ascii="Century Gothic" w:eastAsia="Times New Roman" w:hAnsi="Century Gothic" w:cs="Times New Roman"/>
          <w:b/>
          <w:bCs/>
          <w:sz w:val="24"/>
          <w:szCs w:val="24"/>
          <w:lang w:eastAsia="wo-SN"/>
        </w:rPr>
        <w:t>V</w:t>
      </w:r>
      <w:r w:rsidRPr="00202DF5">
        <w:rPr>
          <w:rFonts w:ascii="Century Gothic" w:eastAsia="Times New Roman" w:hAnsi="Century Gothic" w:cs="Times New Roman"/>
          <w:b/>
          <w:bCs/>
          <w:sz w:val="24"/>
          <w:szCs w:val="24"/>
          <w:lang w:eastAsia="wo-SN"/>
        </w:rPr>
        <w:t>.</w:t>
      </w:r>
      <w:r>
        <w:rPr>
          <w:rFonts w:ascii="Century Gothic" w:eastAsia="Times New Roman" w:hAnsi="Century Gothic" w:cs="Times New Roman"/>
          <w:b/>
          <w:bCs/>
          <w:sz w:val="24"/>
          <w:szCs w:val="24"/>
          <w:lang w:eastAsia="wo-SN"/>
        </w:rPr>
        <w:t>4</w:t>
      </w:r>
      <w:r w:rsidRPr="00202DF5">
        <w:rPr>
          <w:rFonts w:ascii="Century Gothic" w:eastAsia="Times New Roman" w:hAnsi="Century Gothic" w:cs="Times New Roman"/>
          <w:b/>
          <w:bCs/>
          <w:sz w:val="24"/>
          <w:szCs w:val="24"/>
          <w:lang w:eastAsia="wo-SN"/>
        </w:rPr>
        <w:t>. A</w:t>
      </w:r>
      <w:r>
        <w:rPr>
          <w:rFonts w:ascii="Century Gothic" w:eastAsia="Times New Roman" w:hAnsi="Century Gothic" w:cs="Times New Roman"/>
          <w:b/>
          <w:bCs/>
          <w:sz w:val="24"/>
          <w:szCs w:val="24"/>
          <w:lang w:eastAsia="wo-SN"/>
        </w:rPr>
        <w:t xml:space="preserve">ménagement des écosystèmes </w:t>
      </w:r>
      <w:r w:rsidRPr="00202DF5">
        <w:rPr>
          <w:rFonts w:ascii="Century Gothic" w:eastAsia="Times New Roman" w:hAnsi="Century Gothic" w:cs="Times New Roman"/>
          <w:b/>
          <w:bCs/>
          <w:sz w:val="24"/>
          <w:szCs w:val="24"/>
          <w:lang w:eastAsia="wo-SN"/>
        </w:rPr>
        <w:t>foresti</w:t>
      </w:r>
      <w:r>
        <w:rPr>
          <w:rFonts w:ascii="Century Gothic" w:eastAsia="Times New Roman" w:hAnsi="Century Gothic" w:cs="Times New Roman"/>
          <w:b/>
          <w:bCs/>
          <w:sz w:val="24"/>
          <w:szCs w:val="24"/>
          <w:lang w:eastAsia="wo-SN"/>
        </w:rPr>
        <w:t xml:space="preserve">ers </w:t>
      </w:r>
      <w:r w:rsidRPr="00202DF5">
        <w:rPr>
          <w:rFonts w:ascii="Century Gothic" w:eastAsia="Times New Roman" w:hAnsi="Century Gothic" w:cs="Times New Roman"/>
          <w:b/>
          <w:bCs/>
          <w:sz w:val="24"/>
          <w:szCs w:val="24"/>
          <w:lang w:eastAsia="wo-SN"/>
        </w:rPr>
        <w:t xml:space="preserve"> </w:t>
      </w:r>
    </w:p>
    <w:p w14:paraId="36874B0D"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val="wo-SN" w:eastAsia="wo-SN"/>
        </w:rPr>
      </w:pPr>
    </w:p>
    <w:p w14:paraId="7F57003E"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wo-SN" w:eastAsia="wo-SN"/>
        </w:rPr>
      </w:pPr>
      <w:r>
        <w:rPr>
          <w:rFonts w:ascii="Century Gothic" w:eastAsia="Times New Roman" w:hAnsi="Century Gothic" w:cs="Times New Roman"/>
          <w:sz w:val="24"/>
          <w:szCs w:val="24"/>
          <w:lang w:val="wo-SN" w:eastAsia="wo-SN"/>
        </w:rPr>
        <w:t xml:space="preserve">La Mauritanie recèle d’importante formations forestières réparties dans les régions agrosylvopastorales en dépit de la faiblèsse des préciputations. L’Evaluation des Ressources Naturels (FRA) de la FAO classe les formations forestières de la Mauritanie dans catégorie des forêts tropicales sèches (Saharo-sahéliennes et sahéliennes). L’importance de ces formations forestières, en particuliers les forêts reliques de Gonakiers (Acacia nilotica), provient des multiples produits et services qu’elles fournissent aux populations particulièrement dans le domaine de l’énergie (combustibles ligneux) et de l’élevage (pastoralisme).     </w:t>
      </w:r>
    </w:p>
    <w:p w14:paraId="47B15883"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wo-SN" w:eastAsia="wo-SN"/>
        </w:rPr>
      </w:pPr>
    </w:p>
    <w:p w14:paraId="799D7B85"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wo-SN" w:eastAsia="wo-SN"/>
        </w:rPr>
      </w:pPr>
      <w:r>
        <w:rPr>
          <w:rFonts w:ascii="Century Gothic" w:eastAsia="Times New Roman" w:hAnsi="Century Gothic" w:cs="Times New Roman"/>
          <w:sz w:val="24"/>
          <w:szCs w:val="24"/>
          <w:lang w:val="wo-SN" w:eastAsia="wo-SN"/>
        </w:rPr>
        <w:t xml:space="preserve">En l’absence d’inventaitre forestier national, le FRA, 2025 a été réalisé sur la base de l’extrapolation des données des deux inventaire des années 1981 et 2019. Le MEDD s’est basé sur l’expérience de “Africa Open Deal”, utilisant les techniques de télédection pour la collecte et l’analyse de données en accès libre à travers “Collect Earth” pour réaliser des évaluations biophysiques à l’échelle nationale et locale. </w:t>
      </w:r>
    </w:p>
    <w:p w14:paraId="299886AB"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wo-SN" w:eastAsia="wo-SN"/>
        </w:rPr>
      </w:pPr>
    </w:p>
    <w:p w14:paraId="5B731095"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val="wo-SN" w:eastAsia="wo-SN"/>
        </w:rPr>
      </w:pPr>
      <w:r>
        <w:rPr>
          <w:rFonts w:ascii="Century Gothic" w:eastAsia="Times New Roman" w:hAnsi="Century Gothic" w:cs="Times New Roman"/>
          <w:b/>
          <w:bCs/>
          <w:sz w:val="24"/>
          <w:szCs w:val="24"/>
          <w:lang w:val="wo-SN" w:eastAsia="wo-SN"/>
        </w:rPr>
        <w:t xml:space="preserve">Evaluation des ressources forestière (FRA, 2025) : </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992"/>
        <w:gridCol w:w="1134"/>
        <w:gridCol w:w="1134"/>
        <w:gridCol w:w="1134"/>
        <w:gridCol w:w="1134"/>
        <w:gridCol w:w="1134"/>
        <w:gridCol w:w="1134"/>
        <w:gridCol w:w="1134"/>
      </w:tblGrid>
      <w:tr w:rsidR="005625B5" w14:paraId="14256D69" w14:textId="77777777" w:rsidTr="00FB354B">
        <w:tc>
          <w:tcPr>
            <w:tcW w:w="1419" w:type="dxa"/>
            <w:vMerge w:val="restart"/>
            <w:shd w:val="clear" w:color="auto" w:fill="auto"/>
          </w:tcPr>
          <w:p w14:paraId="68500263" w14:textId="77777777" w:rsidR="005625B5" w:rsidRDefault="005625B5" w:rsidP="00FB354B">
            <w:pPr>
              <w:tabs>
                <w:tab w:val="left" w:pos="426"/>
              </w:tabs>
              <w:spacing w:after="0" w:line="276" w:lineRule="auto"/>
              <w:jc w:val="both"/>
              <w:rPr>
                <w:rFonts w:ascii="Century Gothic" w:eastAsia="Times New Roman" w:hAnsi="Century Gothic" w:cs="Times New Roman"/>
                <w:b/>
                <w:bCs/>
                <w:sz w:val="20"/>
                <w:szCs w:val="20"/>
                <w:lang w:val="wo-SN" w:eastAsia="wo-SN"/>
              </w:rPr>
            </w:pPr>
            <w:r>
              <w:rPr>
                <w:rFonts w:ascii="Century Gothic" w:eastAsia="Times New Roman" w:hAnsi="Century Gothic" w:cs="Times New Roman"/>
                <w:b/>
                <w:bCs/>
                <w:sz w:val="20"/>
                <w:szCs w:val="20"/>
                <w:lang w:val="wo-SN" w:eastAsia="wo-SN"/>
              </w:rPr>
              <w:t>Catégorie de FRA</w:t>
            </w:r>
          </w:p>
        </w:tc>
        <w:tc>
          <w:tcPr>
            <w:tcW w:w="7796" w:type="dxa"/>
            <w:gridSpan w:val="7"/>
            <w:shd w:val="clear" w:color="auto" w:fill="auto"/>
          </w:tcPr>
          <w:p w14:paraId="60787D22"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Pr>
                <w:rFonts w:ascii="Century Gothic" w:eastAsia="Times New Roman" w:hAnsi="Century Gothic" w:cs="Times New Roman"/>
                <w:b/>
                <w:bCs/>
                <w:sz w:val="20"/>
                <w:szCs w:val="20"/>
                <w:lang w:val="wo-SN" w:eastAsia="wo-SN"/>
              </w:rPr>
              <w:t>Sperficie (1000 ha)</w:t>
            </w:r>
          </w:p>
        </w:tc>
        <w:tc>
          <w:tcPr>
            <w:tcW w:w="1134" w:type="dxa"/>
            <w:shd w:val="clear" w:color="auto" w:fill="auto"/>
          </w:tcPr>
          <w:p w14:paraId="09657425"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r>
      <w:tr w:rsidR="005625B5" w14:paraId="682BDBF1" w14:textId="77777777" w:rsidTr="00FB354B">
        <w:tc>
          <w:tcPr>
            <w:tcW w:w="1419" w:type="dxa"/>
            <w:vMerge/>
            <w:shd w:val="clear" w:color="auto" w:fill="auto"/>
          </w:tcPr>
          <w:p w14:paraId="7AE310EF" w14:textId="77777777" w:rsidR="005625B5" w:rsidRDefault="005625B5" w:rsidP="00FB354B">
            <w:pPr>
              <w:tabs>
                <w:tab w:val="left" w:pos="426"/>
              </w:tabs>
              <w:spacing w:after="0" w:line="276" w:lineRule="auto"/>
              <w:jc w:val="both"/>
              <w:rPr>
                <w:rFonts w:ascii="Century Gothic" w:eastAsia="Times New Roman" w:hAnsi="Century Gothic" w:cs="Times New Roman"/>
                <w:b/>
                <w:bCs/>
                <w:sz w:val="20"/>
                <w:szCs w:val="20"/>
                <w:lang w:val="wo-SN" w:eastAsia="wo-SN"/>
              </w:rPr>
            </w:pPr>
          </w:p>
        </w:tc>
        <w:tc>
          <w:tcPr>
            <w:tcW w:w="992" w:type="dxa"/>
            <w:shd w:val="clear" w:color="auto" w:fill="auto"/>
          </w:tcPr>
          <w:p w14:paraId="740D9F13"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Pr>
                <w:rFonts w:ascii="Century Gothic" w:eastAsia="Times New Roman" w:hAnsi="Century Gothic" w:cs="Times New Roman"/>
                <w:b/>
                <w:bCs/>
                <w:sz w:val="20"/>
                <w:szCs w:val="20"/>
                <w:lang w:val="wo-SN" w:eastAsia="wo-SN"/>
              </w:rPr>
              <w:t>1981</w:t>
            </w:r>
          </w:p>
        </w:tc>
        <w:tc>
          <w:tcPr>
            <w:tcW w:w="1134" w:type="dxa"/>
            <w:shd w:val="clear" w:color="auto" w:fill="auto"/>
          </w:tcPr>
          <w:p w14:paraId="499C9EA7"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Pr>
                <w:rFonts w:ascii="Century Gothic" w:eastAsia="Times New Roman" w:hAnsi="Century Gothic" w:cs="Times New Roman"/>
                <w:b/>
                <w:bCs/>
                <w:sz w:val="20"/>
                <w:szCs w:val="20"/>
                <w:lang w:val="wo-SN" w:eastAsia="wo-SN"/>
              </w:rPr>
              <w:t>1990</w:t>
            </w:r>
          </w:p>
        </w:tc>
        <w:tc>
          <w:tcPr>
            <w:tcW w:w="1134" w:type="dxa"/>
            <w:shd w:val="clear" w:color="auto" w:fill="auto"/>
          </w:tcPr>
          <w:p w14:paraId="187F4529"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Pr>
                <w:rFonts w:ascii="Century Gothic" w:eastAsia="Times New Roman" w:hAnsi="Century Gothic" w:cs="Times New Roman"/>
                <w:b/>
                <w:bCs/>
                <w:sz w:val="20"/>
                <w:szCs w:val="20"/>
                <w:lang w:val="wo-SN" w:eastAsia="wo-SN"/>
              </w:rPr>
              <w:t>2000</w:t>
            </w:r>
          </w:p>
        </w:tc>
        <w:tc>
          <w:tcPr>
            <w:tcW w:w="1134" w:type="dxa"/>
            <w:shd w:val="clear" w:color="auto" w:fill="auto"/>
          </w:tcPr>
          <w:p w14:paraId="658CFD39"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Pr>
                <w:rFonts w:ascii="Century Gothic" w:eastAsia="Times New Roman" w:hAnsi="Century Gothic" w:cs="Times New Roman"/>
                <w:b/>
                <w:bCs/>
                <w:sz w:val="20"/>
                <w:szCs w:val="20"/>
                <w:lang w:val="wo-SN" w:eastAsia="wo-SN"/>
              </w:rPr>
              <w:t>2010</w:t>
            </w:r>
          </w:p>
        </w:tc>
        <w:tc>
          <w:tcPr>
            <w:tcW w:w="1134" w:type="dxa"/>
            <w:shd w:val="clear" w:color="auto" w:fill="auto"/>
          </w:tcPr>
          <w:p w14:paraId="6CDB70E9"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Pr>
                <w:rFonts w:ascii="Century Gothic" w:eastAsia="Times New Roman" w:hAnsi="Century Gothic" w:cs="Times New Roman"/>
                <w:b/>
                <w:bCs/>
                <w:sz w:val="20"/>
                <w:szCs w:val="20"/>
                <w:lang w:val="wo-SN" w:eastAsia="wo-SN"/>
              </w:rPr>
              <w:t>2015</w:t>
            </w:r>
          </w:p>
        </w:tc>
        <w:tc>
          <w:tcPr>
            <w:tcW w:w="1134" w:type="dxa"/>
            <w:shd w:val="clear" w:color="auto" w:fill="auto"/>
          </w:tcPr>
          <w:p w14:paraId="3987887D"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Pr>
                <w:rFonts w:ascii="Century Gothic" w:eastAsia="Times New Roman" w:hAnsi="Century Gothic" w:cs="Times New Roman"/>
                <w:b/>
                <w:bCs/>
                <w:sz w:val="20"/>
                <w:szCs w:val="20"/>
                <w:lang w:val="wo-SN" w:eastAsia="wo-SN"/>
              </w:rPr>
              <w:t>2019</w:t>
            </w:r>
          </w:p>
        </w:tc>
        <w:tc>
          <w:tcPr>
            <w:tcW w:w="1134" w:type="dxa"/>
            <w:shd w:val="clear" w:color="auto" w:fill="auto"/>
          </w:tcPr>
          <w:p w14:paraId="1F8C0857"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Pr>
                <w:rFonts w:ascii="Century Gothic" w:eastAsia="Times New Roman" w:hAnsi="Century Gothic" w:cs="Times New Roman"/>
                <w:b/>
                <w:bCs/>
                <w:sz w:val="20"/>
                <w:szCs w:val="20"/>
                <w:lang w:val="wo-SN" w:eastAsia="wo-SN"/>
              </w:rPr>
              <w:t>2020</w:t>
            </w:r>
          </w:p>
        </w:tc>
        <w:tc>
          <w:tcPr>
            <w:tcW w:w="1134" w:type="dxa"/>
            <w:shd w:val="clear" w:color="auto" w:fill="auto"/>
          </w:tcPr>
          <w:p w14:paraId="5A28BEC8" w14:textId="77777777" w:rsidR="005625B5"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Pr>
                <w:rFonts w:ascii="Century Gothic" w:eastAsia="Times New Roman" w:hAnsi="Century Gothic" w:cs="Times New Roman"/>
                <w:b/>
                <w:bCs/>
                <w:sz w:val="20"/>
                <w:szCs w:val="20"/>
                <w:lang w:val="wo-SN" w:eastAsia="wo-SN"/>
              </w:rPr>
              <w:t>2025</w:t>
            </w:r>
          </w:p>
        </w:tc>
      </w:tr>
      <w:tr w:rsidR="005625B5" w14:paraId="5FD14F21" w14:textId="77777777" w:rsidTr="00FB354B">
        <w:tc>
          <w:tcPr>
            <w:tcW w:w="1419" w:type="dxa"/>
            <w:shd w:val="clear" w:color="auto" w:fill="auto"/>
          </w:tcPr>
          <w:p w14:paraId="75A18BDB" w14:textId="77777777" w:rsidR="005625B5" w:rsidRDefault="005625B5" w:rsidP="00FB354B">
            <w:pPr>
              <w:tabs>
                <w:tab w:val="left" w:pos="426"/>
              </w:tabs>
              <w:spacing w:after="0" w:line="276" w:lineRule="auto"/>
              <w:jc w:val="both"/>
              <w:rPr>
                <w:rFonts w:ascii="Century Gothic" w:eastAsia="Times New Roman" w:hAnsi="Century Gothic" w:cs="Times New Roman"/>
                <w:b/>
                <w:bCs/>
                <w:sz w:val="20"/>
                <w:szCs w:val="20"/>
                <w:lang w:val="wo-SN" w:eastAsia="wo-SN"/>
              </w:rPr>
            </w:pPr>
            <w:r>
              <w:rPr>
                <w:rFonts w:ascii="Century Gothic" w:eastAsia="Times New Roman" w:hAnsi="Century Gothic" w:cs="Times New Roman"/>
                <w:b/>
                <w:bCs/>
                <w:sz w:val="20"/>
                <w:szCs w:val="20"/>
                <w:lang w:val="wo-SN" w:eastAsia="wo-SN"/>
              </w:rPr>
              <w:t>Forêt (a)</w:t>
            </w:r>
          </w:p>
        </w:tc>
        <w:tc>
          <w:tcPr>
            <w:tcW w:w="992" w:type="dxa"/>
            <w:shd w:val="clear" w:color="auto" w:fill="auto"/>
          </w:tcPr>
          <w:p w14:paraId="517F528F"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903,50</w:t>
            </w:r>
          </w:p>
        </w:tc>
        <w:tc>
          <w:tcPr>
            <w:tcW w:w="1134" w:type="dxa"/>
            <w:shd w:val="clear" w:color="auto" w:fill="auto"/>
          </w:tcPr>
          <w:p w14:paraId="1C8F177C"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927,15</w:t>
            </w:r>
          </w:p>
        </w:tc>
        <w:tc>
          <w:tcPr>
            <w:tcW w:w="1134" w:type="dxa"/>
            <w:shd w:val="clear" w:color="auto" w:fill="auto"/>
          </w:tcPr>
          <w:p w14:paraId="3884BA3A"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953,43</w:t>
            </w:r>
          </w:p>
        </w:tc>
        <w:tc>
          <w:tcPr>
            <w:tcW w:w="1134" w:type="dxa"/>
            <w:shd w:val="clear" w:color="auto" w:fill="auto"/>
          </w:tcPr>
          <w:p w14:paraId="56E9162A"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979,70</w:t>
            </w:r>
          </w:p>
        </w:tc>
        <w:tc>
          <w:tcPr>
            <w:tcW w:w="1134" w:type="dxa"/>
            <w:shd w:val="clear" w:color="auto" w:fill="auto"/>
          </w:tcPr>
          <w:p w14:paraId="470433F5"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992,84</w:t>
            </w:r>
          </w:p>
        </w:tc>
        <w:tc>
          <w:tcPr>
            <w:tcW w:w="1134" w:type="dxa"/>
            <w:shd w:val="clear" w:color="auto" w:fill="auto"/>
          </w:tcPr>
          <w:p w14:paraId="074A0AA9"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1003,35</w:t>
            </w:r>
          </w:p>
        </w:tc>
        <w:tc>
          <w:tcPr>
            <w:tcW w:w="1134" w:type="dxa"/>
            <w:shd w:val="clear" w:color="auto" w:fill="auto"/>
          </w:tcPr>
          <w:p w14:paraId="3E87A1E7"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1005,98</w:t>
            </w:r>
          </w:p>
        </w:tc>
        <w:tc>
          <w:tcPr>
            <w:tcW w:w="1134" w:type="dxa"/>
            <w:shd w:val="clear" w:color="auto" w:fill="auto"/>
          </w:tcPr>
          <w:p w14:paraId="745AF0B5"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1019,13</w:t>
            </w:r>
          </w:p>
        </w:tc>
      </w:tr>
      <w:tr w:rsidR="005625B5" w14:paraId="6C91B1EA" w14:textId="77777777" w:rsidTr="00FB354B">
        <w:tc>
          <w:tcPr>
            <w:tcW w:w="1419" w:type="dxa"/>
            <w:shd w:val="clear" w:color="auto" w:fill="auto"/>
          </w:tcPr>
          <w:p w14:paraId="7BD59D18" w14:textId="77777777" w:rsidR="005625B5" w:rsidRDefault="005625B5" w:rsidP="00FB354B">
            <w:pPr>
              <w:tabs>
                <w:tab w:val="left" w:pos="426"/>
              </w:tabs>
              <w:spacing w:after="0" w:line="276" w:lineRule="auto"/>
              <w:jc w:val="both"/>
              <w:rPr>
                <w:rFonts w:ascii="Century Gothic" w:eastAsia="Times New Roman" w:hAnsi="Century Gothic" w:cs="Times New Roman"/>
                <w:b/>
                <w:bCs/>
                <w:sz w:val="20"/>
                <w:szCs w:val="20"/>
                <w:lang w:val="wo-SN" w:eastAsia="wo-SN"/>
              </w:rPr>
            </w:pPr>
            <w:r>
              <w:rPr>
                <w:rFonts w:ascii="Century Gothic" w:eastAsia="Times New Roman" w:hAnsi="Century Gothic" w:cs="Times New Roman"/>
                <w:b/>
                <w:bCs/>
                <w:sz w:val="20"/>
                <w:szCs w:val="20"/>
                <w:lang w:val="wo-SN" w:eastAsia="wo-SN"/>
              </w:rPr>
              <w:t>Autres terres boisées (b)</w:t>
            </w:r>
          </w:p>
        </w:tc>
        <w:tc>
          <w:tcPr>
            <w:tcW w:w="992" w:type="dxa"/>
            <w:shd w:val="clear" w:color="auto" w:fill="auto"/>
          </w:tcPr>
          <w:p w14:paraId="4CF8A870"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3406,50</w:t>
            </w:r>
          </w:p>
        </w:tc>
        <w:tc>
          <w:tcPr>
            <w:tcW w:w="1134" w:type="dxa"/>
            <w:shd w:val="clear" w:color="auto" w:fill="auto"/>
          </w:tcPr>
          <w:p w14:paraId="7A62C14D"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3685,08</w:t>
            </w:r>
          </w:p>
        </w:tc>
        <w:tc>
          <w:tcPr>
            <w:tcW w:w="1134" w:type="dxa"/>
            <w:shd w:val="clear" w:color="auto" w:fill="auto"/>
          </w:tcPr>
          <w:p w14:paraId="399EA767"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3994,62</w:t>
            </w:r>
          </w:p>
        </w:tc>
        <w:tc>
          <w:tcPr>
            <w:tcW w:w="1134" w:type="dxa"/>
            <w:shd w:val="clear" w:color="auto" w:fill="auto"/>
          </w:tcPr>
          <w:p w14:paraId="1688DAC9"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4304,15</w:t>
            </w:r>
          </w:p>
        </w:tc>
        <w:tc>
          <w:tcPr>
            <w:tcW w:w="1134" w:type="dxa"/>
            <w:shd w:val="clear" w:color="auto" w:fill="auto"/>
          </w:tcPr>
          <w:p w14:paraId="1B3E059F"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4458,92</w:t>
            </w:r>
          </w:p>
        </w:tc>
        <w:tc>
          <w:tcPr>
            <w:tcW w:w="1134" w:type="dxa"/>
            <w:shd w:val="clear" w:color="auto" w:fill="auto"/>
          </w:tcPr>
          <w:p w14:paraId="356A6BDF"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4582,73</w:t>
            </w:r>
          </w:p>
        </w:tc>
        <w:tc>
          <w:tcPr>
            <w:tcW w:w="1134" w:type="dxa"/>
            <w:shd w:val="clear" w:color="auto" w:fill="auto"/>
          </w:tcPr>
          <w:p w14:paraId="4EB90BF3"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4613,68</w:t>
            </w:r>
          </w:p>
        </w:tc>
        <w:tc>
          <w:tcPr>
            <w:tcW w:w="1134" w:type="dxa"/>
            <w:shd w:val="clear" w:color="auto" w:fill="auto"/>
          </w:tcPr>
          <w:p w14:paraId="2C0C3D20"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4768,42</w:t>
            </w:r>
          </w:p>
        </w:tc>
      </w:tr>
      <w:tr w:rsidR="005625B5" w14:paraId="34055D1B" w14:textId="77777777" w:rsidTr="00FB354B">
        <w:tc>
          <w:tcPr>
            <w:tcW w:w="1419" w:type="dxa"/>
            <w:shd w:val="clear" w:color="auto" w:fill="auto"/>
          </w:tcPr>
          <w:p w14:paraId="2C634E2D" w14:textId="77777777" w:rsidR="005625B5" w:rsidRDefault="005625B5" w:rsidP="00FB354B">
            <w:pPr>
              <w:tabs>
                <w:tab w:val="left" w:pos="426"/>
              </w:tabs>
              <w:spacing w:after="0" w:line="276" w:lineRule="auto"/>
              <w:jc w:val="both"/>
              <w:rPr>
                <w:rFonts w:ascii="Century Gothic" w:eastAsia="Times New Roman" w:hAnsi="Century Gothic" w:cs="Times New Roman"/>
                <w:b/>
                <w:bCs/>
                <w:sz w:val="20"/>
                <w:szCs w:val="20"/>
                <w:lang w:val="wo-SN" w:eastAsia="wo-SN"/>
              </w:rPr>
            </w:pPr>
            <w:r>
              <w:rPr>
                <w:rFonts w:ascii="Century Gothic" w:eastAsia="Times New Roman" w:hAnsi="Century Gothic" w:cs="Times New Roman"/>
                <w:b/>
                <w:bCs/>
                <w:sz w:val="20"/>
                <w:szCs w:val="20"/>
                <w:lang w:val="wo-SN" w:eastAsia="wo-SN"/>
              </w:rPr>
              <w:t>Terres restantes (c-a-b)</w:t>
            </w:r>
          </w:p>
        </w:tc>
        <w:tc>
          <w:tcPr>
            <w:tcW w:w="992" w:type="dxa"/>
            <w:shd w:val="clear" w:color="auto" w:fill="auto"/>
          </w:tcPr>
          <w:p w14:paraId="78BAEB09"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9876,00</w:t>
            </w:r>
          </w:p>
        </w:tc>
        <w:tc>
          <w:tcPr>
            <w:tcW w:w="1134" w:type="dxa"/>
            <w:shd w:val="clear" w:color="auto" w:fill="auto"/>
          </w:tcPr>
          <w:p w14:paraId="35D7BE8B"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98457,77</w:t>
            </w:r>
          </w:p>
        </w:tc>
        <w:tc>
          <w:tcPr>
            <w:tcW w:w="1134" w:type="dxa"/>
            <w:shd w:val="clear" w:color="auto" w:fill="auto"/>
          </w:tcPr>
          <w:p w14:paraId="30B5A128"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98121,95</w:t>
            </w:r>
          </w:p>
        </w:tc>
        <w:tc>
          <w:tcPr>
            <w:tcW w:w="1134" w:type="dxa"/>
            <w:shd w:val="clear" w:color="auto" w:fill="auto"/>
          </w:tcPr>
          <w:p w14:paraId="42F43A06"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97786,15</w:t>
            </w:r>
          </w:p>
        </w:tc>
        <w:tc>
          <w:tcPr>
            <w:tcW w:w="1134" w:type="dxa"/>
            <w:shd w:val="clear" w:color="auto" w:fill="auto"/>
          </w:tcPr>
          <w:p w14:paraId="2E62BE64"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97618,24</w:t>
            </w:r>
          </w:p>
        </w:tc>
        <w:tc>
          <w:tcPr>
            <w:tcW w:w="1134" w:type="dxa"/>
            <w:shd w:val="clear" w:color="auto" w:fill="auto"/>
          </w:tcPr>
          <w:p w14:paraId="1D2EBD60"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97483,92</w:t>
            </w:r>
          </w:p>
        </w:tc>
        <w:tc>
          <w:tcPr>
            <w:tcW w:w="1134" w:type="dxa"/>
            <w:shd w:val="clear" w:color="auto" w:fill="auto"/>
          </w:tcPr>
          <w:p w14:paraId="2523C473"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97450,34</w:t>
            </w:r>
          </w:p>
        </w:tc>
        <w:tc>
          <w:tcPr>
            <w:tcW w:w="1134" w:type="dxa"/>
            <w:shd w:val="clear" w:color="auto" w:fill="auto"/>
          </w:tcPr>
          <w:p w14:paraId="68342892"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97282,45</w:t>
            </w:r>
          </w:p>
        </w:tc>
      </w:tr>
      <w:tr w:rsidR="005625B5" w14:paraId="595F4C79" w14:textId="77777777" w:rsidTr="00FB354B">
        <w:tc>
          <w:tcPr>
            <w:tcW w:w="1419" w:type="dxa"/>
            <w:shd w:val="clear" w:color="auto" w:fill="auto"/>
          </w:tcPr>
          <w:p w14:paraId="4CD19625" w14:textId="77777777" w:rsidR="005625B5" w:rsidRDefault="005625B5" w:rsidP="00FB354B">
            <w:pPr>
              <w:tabs>
                <w:tab w:val="left" w:pos="426"/>
              </w:tabs>
              <w:spacing w:after="0" w:line="276" w:lineRule="auto"/>
              <w:jc w:val="both"/>
              <w:rPr>
                <w:rFonts w:ascii="Century Gothic" w:eastAsia="Times New Roman" w:hAnsi="Century Gothic" w:cs="Times New Roman"/>
                <w:b/>
                <w:bCs/>
                <w:sz w:val="20"/>
                <w:szCs w:val="20"/>
                <w:lang w:val="wo-SN" w:eastAsia="wo-SN"/>
              </w:rPr>
            </w:pPr>
            <w:r>
              <w:rPr>
                <w:rFonts w:ascii="Century Gothic" w:eastAsia="Times New Roman" w:hAnsi="Century Gothic" w:cs="Times New Roman"/>
                <w:b/>
                <w:bCs/>
                <w:sz w:val="20"/>
                <w:szCs w:val="20"/>
                <w:lang w:val="wo-SN" w:eastAsia="wo-SN"/>
              </w:rPr>
              <w:t>Total des terres émergées (c)</w:t>
            </w:r>
          </w:p>
        </w:tc>
        <w:tc>
          <w:tcPr>
            <w:tcW w:w="992" w:type="dxa"/>
            <w:shd w:val="clear" w:color="auto" w:fill="auto"/>
          </w:tcPr>
          <w:p w14:paraId="1F79F245"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103070</w:t>
            </w:r>
          </w:p>
        </w:tc>
        <w:tc>
          <w:tcPr>
            <w:tcW w:w="1134" w:type="dxa"/>
            <w:shd w:val="clear" w:color="auto" w:fill="auto"/>
          </w:tcPr>
          <w:p w14:paraId="244FF8F7"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103070</w:t>
            </w:r>
          </w:p>
        </w:tc>
        <w:tc>
          <w:tcPr>
            <w:tcW w:w="1134" w:type="dxa"/>
            <w:shd w:val="clear" w:color="auto" w:fill="auto"/>
          </w:tcPr>
          <w:p w14:paraId="2B0EE28A"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103070</w:t>
            </w:r>
          </w:p>
        </w:tc>
        <w:tc>
          <w:tcPr>
            <w:tcW w:w="1134" w:type="dxa"/>
            <w:shd w:val="clear" w:color="auto" w:fill="auto"/>
          </w:tcPr>
          <w:p w14:paraId="7515948F"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103070</w:t>
            </w:r>
          </w:p>
        </w:tc>
        <w:tc>
          <w:tcPr>
            <w:tcW w:w="1134" w:type="dxa"/>
            <w:shd w:val="clear" w:color="auto" w:fill="auto"/>
          </w:tcPr>
          <w:p w14:paraId="57F11647"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103070</w:t>
            </w:r>
          </w:p>
        </w:tc>
        <w:tc>
          <w:tcPr>
            <w:tcW w:w="1134" w:type="dxa"/>
            <w:shd w:val="clear" w:color="auto" w:fill="auto"/>
          </w:tcPr>
          <w:p w14:paraId="56F08406"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103070</w:t>
            </w:r>
          </w:p>
        </w:tc>
        <w:tc>
          <w:tcPr>
            <w:tcW w:w="1134" w:type="dxa"/>
            <w:shd w:val="clear" w:color="auto" w:fill="auto"/>
          </w:tcPr>
          <w:p w14:paraId="6405B909"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103070</w:t>
            </w:r>
          </w:p>
        </w:tc>
        <w:tc>
          <w:tcPr>
            <w:tcW w:w="1134" w:type="dxa"/>
            <w:shd w:val="clear" w:color="auto" w:fill="auto"/>
          </w:tcPr>
          <w:p w14:paraId="4A988CD3" w14:textId="77777777" w:rsidR="005625B5" w:rsidRDefault="005625B5" w:rsidP="00FB354B">
            <w:pPr>
              <w:tabs>
                <w:tab w:val="left" w:pos="426"/>
              </w:tabs>
              <w:spacing w:after="0" w:line="276" w:lineRule="auto"/>
              <w:jc w:val="right"/>
              <w:rPr>
                <w:rFonts w:ascii="Century Gothic" w:eastAsia="Times New Roman" w:hAnsi="Century Gothic" w:cs="Times New Roman"/>
                <w:sz w:val="20"/>
                <w:szCs w:val="20"/>
                <w:lang w:val="wo-SN" w:eastAsia="wo-SN"/>
              </w:rPr>
            </w:pPr>
            <w:r>
              <w:rPr>
                <w:rFonts w:ascii="Century Gothic" w:eastAsia="Times New Roman" w:hAnsi="Century Gothic" w:cs="Times New Roman"/>
                <w:sz w:val="20"/>
                <w:szCs w:val="20"/>
                <w:lang w:val="wo-SN" w:eastAsia="wo-SN"/>
              </w:rPr>
              <w:t>103070</w:t>
            </w:r>
          </w:p>
        </w:tc>
      </w:tr>
    </w:tbl>
    <w:p w14:paraId="3805A549" w14:textId="77777777" w:rsidR="005625B5" w:rsidRPr="00F336B2" w:rsidRDefault="005625B5" w:rsidP="005625B5">
      <w:pPr>
        <w:tabs>
          <w:tab w:val="left" w:pos="426"/>
        </w:tabs>
        <w:spacing w:after="0" w:line="276" w:lineRule="auto"/>
        <w:jc w:val="right"/>
        <w:rPr>
          <w:rFonts w:ascii="Century Gothic" w:eastAsia="Times New Roman" w:hAnsi="Century Gothic" w:cs="Times New Roman"/>
          <w:b/>
          <w:bCs/>
          <w:sz w:val="20"/>
          <w:szCs w:val="20"/>
          <w:lang w:val="wo-SN" w:eastAsia="wo-SN"/>
        </w:rPr>
      </w:pPr>
      <w:r w:rsidRPr="00F336B2">
        <w:rPr>
          <w:rFonts w:ascii="Century Gothic" w:eastAsia="Times New Roman" w:hAnsi="Century Gothic" w:cs="Times New Roman"/>
          <w:b/>
          <w:bCs/>
          <w:sz w:val="20"/>
          <w:szCs w:val="20"/>
          <w:lang w:val="wo-SN" w:eastAsia="wo-SN"/>
        </w:rPr>
        <w:t>Source :</w:t>
      </w:r>
      <w:r>
        <w:rPr>
          <w:rFonts w:ascii="Century Gothic" w:eastAsia="Times New Roman" w:hAnsi="Century Gothic" w:cs="Times New Roman"/>
          <w:b/>
          <w:bCs/>
          <w:sz w:val="20"/>
          <w:szCs w:val="20"/>
          <w:lang w:val="wo-SN" w:eastAsia="wo-SN"/>
        </w:rPr>
        <w:t xml:space="preserve"> FRA Ptafom/Global Forest Ressources Data/FAO</w:t>
      </w:r>
    </w:p>
    <w:p w14:paraId="4BA2A781"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val="wo-SN" w:eastAsia="wo-SN"/>
        </w:rPr>
      </w:pPr>
    </w:p>
    <w:p w14:paraId="3A00CC5E"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wo-SN" w:eastAsia="wo-SN"/>
        </w:rPr>
      </w:pPr>
      <w:r>
        <w:rPr>
          <w:rFonts w:ascii="Century Gothic" w:eastAsia="Times New Roman" w:hAnsi="Century Gothic" w:cs="Times New Roman"/>
          <w:b/>
          <w:bCs/>
          <w:sz w:val="24"/>
          <w:szCs w:val="24"/>
          <w:lang w:val="wo-SN" w:eastAsia="wo-SN"/>
        </w:rPr>
        <w:t xml:space="preserve">Forêt : </w:t>
      </w:r>
      <w:r>
        <w:rPr>
          <w:rFonts w:ascii="Century Gothic" w:eastAsia="Times New Roman" w:hAnsi="Century Gothic" w:cs="Times New Roman"/>
          <w:sz w:val="24"/>
          <w:szCs w:val="24"/>
          <w:lang w:val="wo-SN" w:eastAsia="wo-SN"/>
        </w:rPr>
        <w:t xml:space="preserve">Terres occupant une superficie de plus de 0,5 ha des arbres atteignat une hauteur supérieure à 5 m et un couvert arboré de plus de 10 %, ou avec des arbres capables d’atteindre ces seuils in situ. Sont exclues, les terres à vocation agricole ou urbaine prédominante. </w:t>
      </w:r>
    </w:p>
    <w:p w14:paraId="4BACF715"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wo-SN" w:eastAsia="wo-SN"/>
        </w:rPr>
      </w:pPr>
      <w:r w:rsidRPr="00B81578">
        <w:rPr>
          <w:rFonts w:ascii="Century Gothic" w:eastAsia="Times New Roman" w:hAnsi="Century Gothic" w:cs="Times New Roman"/>
          <w:b/>
          <w:bCs/>
          <w:sz w:val="24"/>
          <w:szCs w:val="24"/>
          <w:lang w:val="wo-SN" w:eastAsia="wo-SN"/>
        </w:rPr>
        <w:t>Autres terres boisées</w:t>
      </w:r>
      <w:r>
        <w:rPr>
          <w:rFonts w:ascii="Century Gothic" w:eastAsia="Times New Roman" w:hAnsi="Century Gothic" w:cs="Times New Roman"/>
          <w:sz w:val="24"/>
          <w:szCs w:val="24"/>
          <w:lang w:val="wo-SN" w:eastAsia="wo-SN"/>
        </w:rPr>
        <w:t xml:space="preserve"> : Terres non définies comme “forêt”, couvrant une superficie de 0,5 ha avec des arbres atteignat une hauteur supérieure à 5 m et un couvert arboré de 5-10 %, ou des arbres capables d’atteindre ces seuils in situ ; ou un couvert mixte d’arbres, arbrisseaux et arbres supérieurs à 10 %. Sont exclues; les terres à vocation agricole ou rubaine prédominante.    </w:t>
      </w:r>
    </w:p>
    <w:p w14:paraId="458FBEAA" w14:textId="77777777" w:rsidR="005625B5" w:rsidRPr="007A6CC5" w:rsidRDefault="005625B5" w:rsidP="005625B5">
      <w:pPr>
        <w:tabs>
          <w:tab w:val="left" w:pos="426"/>
        </w:tabs>
        <w:spacing w:after="0" w:line="276" w:lineRule="auto"/>
        <w:jc w:val="both"/>
        <w:rPr>
          <w:rFonts w:ascii="Century Gothic" w:eastAsia="Times New Roman" w:hAnsi="Century Gothic" w:cs="Times New Roman"/>
          <w:sz w:val="24"/>
          <w:szCs w:val="24"/>
          <w:lang w:val="wo-SN" w:eastAsia="wo-SN"/>
        </w:rPr>
      </w:pPr>
      <w:r w:rsidRPr="00F336B2">
        <w:rPr>
          <w:rFonts w:ascii="Century Gothic" w:eastAsia="Times New Roman" w:hAnsi="Century Gothic" w:cs="Times New Roman"/>
          <w:b/>
          <w:bCs/>
          <w:sz w:val="24"/>
          <w:szCs w:val="24"/>
          <w:lang w:val="wo-SN" w:eastAsia="wo-SN"/>
        </w:rPr>
        <w:t>Terres restantes</w:t>
      </w:r>
      <w:r>
        <w:rPr>
          <w:rFonts w:ascii="Century Gothic" w:eastAsia="Times New Roman" w:hAnsi="Century Gothic" w:cs="Times New Roman"/>
          <w:sz w:val="24"/>
          <w:szCs w:val="24"/>
          <w:lang w:val="wo-SN" w:eastAsia="wo-SN"/>
        </w:rPr>
        <w:t xml:space="preserve"> : Toute terre n’entrant pas dans la catégorie “Forêt” ou “autres terres boisées”. </w:t>
      </w:r>
    </w:p>
    <w:p w14:paraId="2747B6F9" w14:textId="77777777" w:rsidR="005625B5" w:rsidRPr="00C650EB"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sidRPr="00C650EB">
        <w:rPr>
          <w:rFonts w:ascii="Century Gothic" w:eastAsia="Times New Roman" w:hAnsi="Century Gothic" w:cs="Times New Roman"/>
          <w:sz w:val="24"/>
          <w:szCs w:val="24"/>
          <w:lang w:val="fr-BE" w:eastAsia="wo-SN"/>
        </w:rPr>
        <w:t xml:space="preserve">L’aménagement forestier se définit au sens du Code forestier comme un ensemble de techniques de conduite et de traitement des formations forestières aux fins de pérenniser et d’en tirer le maximum de profit. Il consiste en une programmation des actions dans le temps et dans l’espace. Ces actions comportent des actions de régénération, d’amélioration sylvicole, d’inventaire, de protection de traitement et d’exploitation. </w:t>
      </w:r>
    </w:p>
    <w:p w14:paraId="7CE0EF54" w14:textId="77777777" w:rsidR="005625B5" w:rsidRPr="00C650EB"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sidRPr="00C650EB">
        <w:rPr>
          <w:rFonts w:ascii="Century Gothic" w:eastAsia="Times New Roman" w:hAnsi="Century Gothic" w:cs="Times New Roman"/>
          <w:sz w:val="24"/>
          <w:szCs w:val="24"/>
          <w:lang w:val="fr-BE" w:eastAsia="wo-SN"/>
        </w:rPr>
        <w:t xml:space="preserve">L’aménagement forestier doit tenir compte des conditions du sol, du climat, de la végétation et des aspects socioculturelles et économiques. Il est complété par un cahier de charge qui précise les obligations de chaque partie prenante dans la gestion de la forêt, les sanctions et les modalités de suivi-évaluation. </w:t>
      </w:r>
    </w:p>
    <w:p w14:paraId="2B3FC6C4"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sidRPr="00C650EB">
        <w:rPr>
          <w:rFonts w:ascii="Century Gothic" w:eastAsia="Times New Roman" w:hAnsi="Century Gothic" w:cs="Times New Roman"/>
          <w:sz w:val="24"/>
          <w:szCs w:val="24"/>
          <w:lang w:val="fr-BE" w:eastAsia="wo-SN"/>
        </w:rPr>
        <w:t xml:space="preserve">Le mode d’exploitation </w:t>
      </w:r>
      <w:r>
        <w:rPr>
          <w:rFonts w:ascii="Century Gothic" w:eastAsia="Times New Roman" w:hAnsi="Century Gothic" w:cs="Times New Roman"/>
          <w:sz w:val="24"/>
          <w:szCs w:val="24"/>
          <w:lang w:val="fr-BE" w:eastAsia="wo-SN"/>
        </w:rPr>
        <w:t xml:space="preserve">actuel </w:t>
      </w:r>
      <w:r w:rsidRPr="00C650EB">
        <w:rPr>
          <w:rFonts w:ascii="Century Gothic" w:eastAsia="Times New Roman" w:hAnsi="Century Gothic" w:cs="Times New Roman"/>
          <w:sz w:val="24"/>
          <w:szCs w:val="24"/>
          <w:lang w:val="fr-BE" w:eastAsia="wo-SN"/>
        </w:rPr>
        <w:t>des ressources ligneuses</w:t>
      </w:r>
      <w:r>
        <w:rPr>
          <w:rFonts w:ascii="Century Gothic" w:eastAsia="Times New Roman" w:hAnsi="Century Gothic" w:cs="Times New Roman"/>
          <w:sz w:val="24"/>
          <w:szCs w:val="24"/>
          <w:lang w:val="fr-BE" w:eastAsia="wo-SN"/>
        </w:rPr>
        <w:t xml:space="preserve"> du pays</w:t>
      </w:r>
      <w:r w:rsidRPr="00C650EB">
        <w:rPr>
          <w:rFonts w:ascii="Century Gothic" w:eastAsia="Times New Roman" w:hAnsi="Century Gothic" w:cs="Times New Roman"/>
          <w:sz w:val="24"/>
          <w:szCs w:val="24"/>
          <w:lang w:val="fr-BE" w:eastAsia="wo-SN"/>
        </w:rPr>
        <w:t xml:space="preserve"> repose principalement sur la satisfaction des besoins énergétiques des ménages par l’utilisation du bois et du char</w:t>
      </w:r>
      <w:r>
        <w:rPr>
          <w:rFonts w:ascii="Century Gothic" w:eastAsia="Times New Roman" w:hAnsi="Century Gothic" w:cs="Times New Roman"/>
          <w:sz w:val="24"/>
          <w:szCs w:val="24"/>
          <w:lang w:val="fr-BE" w:eastAsia="wo-SN"/>
        </w:rPr>
        <w:t xml:space="preserve">bon de bois. Ce mode d’exploitation se traduit souvent par une agriculture extensive et une riziculture irriguée sur les défriches des forêts de la vallée du fleuve Sénégal et des zones humides de la zone sahélienne. Il faut ajouter à cela le mode d’élevage mobile (nomade et transhumant) qui ne respecte pas la capacité de charge des formations forestières et des pâturages. </w:t>
      </w:r>
    </w:p>
    <w:p w14:paraId="48B914AF"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7F5B6259" w14:textId="77777777" w:rsidR="005625B5" w:rsidRPr="0072700F" w:rsidRDefault="005625B5" w:rsidP="005625B5">
      <w:pPr>
        <w:tabs>
          <w:tab w:val="left" w:pos="426"/>
        </w:tabs>
        <w:spacing w:after="0" w:line="276" w:lineRule="auto"/>
        <w:jc w:val="both"/>
        <w:rPr>
          <w:rFonts w:ascii="Century Gothic" w:eastAsia="Times New Roman" w:hAnsi="Century Gothic" w:cs="Times New Roman"/>
          <w:b/>
          <w:bCs/>
          <w:sz w:val="24"/>
          <w:szCs w:val="24"/>
          <w:lang w:val="fr-BE" w:eastAsia="wo-SN"/>
        </w:rPr>
      </w:pPr>
      <w:r w:rsidRPr="0072700F">
        <w:rPr>
          <w:rFonts w:ascii="Century Gothic" w:eastAsia="Times New Roman" w:hAnsi="Century Gothic" w:cs="Times New Roman"/>
          <w:b/>
          <w:bCs/>
          <w:sz w:val="24"/>
          <w:szCs w:val="24"/>
          <w:lang w:val="fr-BE" w:eastAsia="wo-SN"/>
        </w:rPr>
        <w:t xml:space="preserve">Les forêts classées en Mauritanie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842"/>
        <w:gridCol w:w="2127"/>
      </w:tblGrid>
      <w:tr w:rsidR="005625B5" w14:paraId="65C52C3D" w14:textId="77777777" w:rsidTr="00EB2D8E">
        <w:tc>
          <w:tcPr>
            <w:tcW w:w="2122" w:type="dxa"/>
            <w:shd w:val="clear" w:color="auto" w:fill="auto"/>
          </w:tcPr>
          <w:p w14:paraId="6FD8FC4C" w14:textId="77777777" w:rsidR="005625B5" w:rsidRPr="00C75361" w:rsidRDefault="005625B5" w:rsidP="00FB354B">
            <w:pPr>
              <w:tabs>
                <w:tab w:val="left" w:pos="426"/>
              </w:tabs>
              <w:spacing w:after="0" w:line="276" w:lineRule="auto"/>
              <w:jc w:val="center"/>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Wilayas</w:t>
            </w:r>
          </w:p>
        </w:tc>
        <w:tc>
          <w:tcPr>
            <w:tcW w:w="1842" w:type="dxa"/>
            <w:shd w:val="clear" w:color="auto" w:fill="auto"/>
          </w:tcPr>
          <w:p w14:paraId="7253D522" w14:textId="77777777" w:rsidR="005625B5" w:rsidRPr="00C75361" w:rsidRDefault="005625B5" w:rsidP="00FB354B">
            <w:pPr>
              <w:tabs>
                <w:tab w:val="left" w:pos="426"/>
              </w:tabs>
              <w:spacing w:after="0" w:line="276" w:lineRule="auto"/>
              <w:jc w:val="center"/>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Forêts classées</w:t>
            </w:r>
          </w:p>
        </w:tc>
        <w:tc>
          <w:tcPr>
            <w:tcW w:w="2127" w:type="dxa"/>
            <w:shd w:val="clear" w:color="auto" w:fill="auto"/>
          </w:tcPr>
          <w:p w14:paraId="15247E5A" w14:textId="77777777" w:rsidR="005625B5" w:rsidRPr="00C75361" w:rsidRDefault="005625B5" w:rsidP="00FB354B">
            <w:pPr>
              <w:tabs>
                <w:tab w:val="left" w:pos="426"/>
              </w:tabs>
              <w:spacing w:after="0" w:line="276" w:lineRule="auto"/>
              <w:jc w:val="center"/>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 xml:space="preserve">Superficies </w:t>
            </w:r>
          </w:p>
          <w:p w14:paraId="3410060F" w14:textId="77777777" w:rsidR="005625B5" w:rsidRPr="00C75361" w:rsidRDefault="005625B5" w:rsidP="00FB354B">
            <w:pPr>
              <w:tabs>
                <w:tab w:val="left" w:pos="426"/>
              </w:tabs>
              <w:spacing w:after="0" w:line="276" w:lineRule="auto"/>
              <w:jc w:val="center"/>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w:t>
            </w:r>
            <w:proofErr w:type="gramStart"/>
            <w:r w:rsidRPr="00C75361">
              <w:rPr>
                <w:rFonts w:ascii="Century Gothic" w:eastAsia="Times New Roman" w:hAnsi="Century Gothic" w:cs="Times New Roman"/>
                <w:b/>
                <w:bCs/>
                <w:sz w:val="20"/>
                <w:szCs w:val="20"/>
                <w:lang w:val="fr-BE" w:eastAsia="wo-SN"/>
              </w:rPr>
              <w:t>ha</w:t>
            </w:r>
            <w:proofErr w:type="gramEnd"/>
            <w:r w:rsidRPr="00C75361">
              <w:rPr>
                <w:rFonts w:ascii="Century Gothic" w:eastAsia="Times New Roman" w:hAnsi="Century Gothic" w:cs="Times New Roman"/>
                <w:b/>
                <w:bCs/>
                <w:sz w:val="20"/>
                <w:szCs w:val="20"/>
                <w:lang w:val="fr-BE" w:eastAsia="wo-SN"/>
              </w:rPr>
              <w:t>)</w:t>
            </w:r>
          </w:p>
        </w:tc>
      </w:tr>
      <w:tr w:rsidR="005625B5" w14:paraId="3B8293E8" w14:textId="77777777" w:rsidTr="00EB2D8E">
        <w:tc>
          <w:tcPr>
            <w:tcW w:w="2122" w:type="dxa"/>
            <w:shd w:val="clear" w:color="auto" w:fill="auto"/>
          </w:tcPr>
          <w:p w14:paraId="583F023D"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Trarza</w:t>
            </w:r>
          </w:p>
        </w:tc>
        <w:tc>
          <w:tcPr>
            <w:tcW w:w="1842" w:type="dxa"/>
            <w:shd w:val="clear" w:color="auto" w:fill="auto"/>
          </w:tcPr>
          <w:p w14:paraId="0445D573"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Bouhaira</w:t>
            </w:r>
          </w:p>
        </w:tc>
        <w:tc>
          <w:tcPr>
            <w:tcW w:w="2127" w:type="dxa"/>
            <w:shd w:val="clear" w:color="auto" w:fill="auto"/>
          </w:tcPr>
          <w:p w14:paraId="061A56DA"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320</w:t>
            </w:r>
          </w:p>
        </w:tc>
      </w:tr>
      <w:tr w:rsidR="005625B5" w14:paraId="46FCFCF2" w14:textId="77777777" w:rsidTr="00EB2D8E">
        <w:tc>
          <w:tcPr>
            <w:tcW w:w="2122" w:type="dxa"/>
            <w:shd w:val="clear" w:color="auto" w:fill="auto"/>
          </w:tcPr>
          <w:p w14:paraId="1B70F34A"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573226B6"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Keur Mour </w:t>
            </w:r>
          </w:p>
        </w:tc>
        <w:tc>
          <w:tcPr>
            <w:tcW w:w="2127" w:type="dxa"/>
            <w:shd w:val="clear" w:color="auto" w:fill="auto"/>
          </w:tcPr>
          <w:p w14:paraId="3A04033D"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450</w:t>
            </w:r>
          </w:p>
        </w:tc>
      </w:tr>
      <w:tr w:rsidR="005625B5" w14:paraId="38B76640" w14:textId="77777777" w:rsidTr="00EB2D8E">
        <w:tc>
          <w:tcPr>
            <w:tcW w:w="2122" w:type="dxa"/>
            <w:shd w:val="clear" w:color="auto" w:fill="auto"/>
          </w:tcPr>
          <w:p w14:paraId="7280BC2F"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4FC042F8"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Mbarwadji</w:t>
            </w:r>
          </w:p>
        </w:tc>
        <w:tc>
          <w:tcPr>
            <w:tcW w:w="2127" w:type="dxa"/>
            <w:shd w:val="clear" w:color="auto" w:fill="auto"/>
          </w:tcPr>
          <w:p w14:paraId="1DD61384"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486</w:t>
            </w:r>
          </w:p>
        </w:tc>
      </w:tr>
      <w:tr w:rsidR="005625B5" w14:paraId="5D70D452" w14:textId="77777777" w:rsidTr="00EB2D8E">
        <w:tc>
          <w:tcPr>
            <w:tcW w:w="2122" w:type="dxa"/>
            <w:shd w:val="clear" w:color="auto" w:fill="auto"/>
          </w:tcPr>
          <w:p w14:paraId="6EDA8109"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4F9523AA"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Djoli </w:t>
            </w:r>
          </w:p>
        </w:tc>
        <w:tc>
          <w:tcPr>
            <w:tcW w:w="2127" w:type="dxa"/>
            <w:shd w:val="clear" w:color="auto" w:fill="auto"/>
          </w:tcPr>
          <w:p w14:paraId="27861217"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627</w:t>
            </w:r>
          </w:p>
        </w:tc>
      </w:tr>
      <w:tr w:rsidR="005625B5" w14:paraId="392C434B" w14:textId="77777777" w:rsidTr="00EB2D8E">
        <w:tc>
          <w:tcPr>
            <w:tcW w:w="2122" w:type="dxa"/>
            <w:shd w:val="clear" w:color="auto" w:fill="auto"/>
          </w:tcPr>
          <w:p w14:paraId="4C8E3112"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05FD4CDE"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Gani</w:t>
            </w:r>
          </w:p>
        </w:tc>
        <w:tc>
          <w:tcPr>
            <w:tcW w:w="2127" w:type="dxa"/>
            <w:shd w:val="clear" w:color="auto" w:fill="auto"/>
          </w:tcPr>
          <w:p w14:paraId="617AA581"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4470</w:t>
            </w:r>
          </w:p>
        </w:tc>
      </w:tr>
      <w:tr w:rsidR="005625B5" w14:paraId="0B0B38ED" w14:textId="77777777" w:rsidTr="00EB2D8E">
        <w:tc>
          <w:tcPr>
            <w:tcW w:w="2122" w:type="dxa"/>
            <w:shd w:val="clear" w:color="auto" w:fill="auto"/>
          </w:tcPr>
          <w:p w14:paraId="721E70A1"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 xml:space="preserve">Total </w:t>
            </w:r>
          </w:p>
        </w:tc>
        <w:tc>
          <w:tcPr>
            <w:tcW w:w="1842" w:type="dxa"/>
            <w:shd w:val="clear" w:color="auto" w:fill="auto"/>
          </w:tcPr>
          <w:p w14:paraId="14D3CF45"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b/>
                <w:bCs/>
                <w:sz w:val="20"/>
                <w:szCs w:val="20"/>
                <w:lang w:val="fr-BE" w:eastAsia="wo-SN"/>
              </w:rPr>
            </w:pPr>
          </w:p>
        </w:tc>
        <w:tc>
          <w:tcPr>
            <w:tcW w:w="2127" w:type="dxa"/>
            <w:shd w:val="clear" w:color="auto" w:fill="auto"/>
          </w:tcPr>
          <w:p w14:paraId="1CC34A6F"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8547</w:t>
            </w:r>
          </w:p>
        </w:tc>
      </w:tr>
      <w:tr w:rsidR="005625B5" w14:paraId="237CF699" w14:textId="77777777" w:rsidTr="00EB2D8E">
        <w:tc>
          <w:tcPr>
            <w:tcW w:w="2122" w:type="dxa"/>
            <w:shd w:val="clear" w:color="auto" w:fill="auto"/>
          </w:tcPr>
          <w:p w14:paraId="4893A334"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Brakna </w:t>
            </w:r>
          </w:p>
        </w:tc>
        <w:tc>
          <w:tcPr>
            <w:tcW w:w="1842" w:type="dxa"/>
            <w:shd w:val="clear" w:color="auto" w:fill="auto"/>
          </w:tcPr>
          <w:p w14:paraId="62E8EA30"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Tessem</w:t>
            </w:r>
          </w:p>
        </w:tc>
        <w:tc>
          <w:tcPr>
            <w:tcW w:w="2127" w:type="dxa"/>
            <w:shd w:val="clear" w:color="auto" w:fill="auto"/>
          </w:tcPr>
          <w:p w14:paraId="1C6D2DA6"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453</w:t>
            </w:r>
          </w:p>
        </w:tc>
      </w:tr>
      <w:tr w:rsidR="005625B5" w14:paraId="7DE44B64" w14:textId="77777777" w:rsidTr="00EB2D8E">
        <w:tc>
          <w:tcPr>
            <w:tcW w:w="2122" w:type="dxa"/>
            <w:shd w:val="clear" w:color="auto" w:fill="auto"/>
          </w:tcPr>
          <w:p w14:paraId="0C0D1564"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6CFA4D94"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Mboya</w:t>
            </w:r>
          </w:p>
        </w:tc>
        <w:tc>
          <w:tcPr>
            <w:tcW w:w="2127" w:type="dxa"/>
            <w:shd w:val="clear" w:color="auto" w:fill="auto"/>
          </w:tcPr>
          <w:p w14:paraId="597F2611"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2940</w:t>
            </w:r>
          </w:p>
        </w:tc>
      </w:tr>
      <w:tr w:rsidR="005625B5" w14:paraId="0BA3B106" w14:textId="77777777" w:rsidTr="00EB2D8E">
        <w:tc>
          <w:tcPr>
            <w:tcW w:w="2122" w:type="dxa"/>
            <w:shd w:val="clear" w:color="auto" w:fill="auto"/>
          </w:tcPr>
          <w:p w14:paraId="3A2D26C7"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7135660C"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Dar el Barka </w:t>
            </w:r>
          </w:p>
        </w:tc>
        <w:tc>
          <w:tcPr>
            <w:tcW w:w="2127" w:type="dxa"/>
            <w:shd w:val="clear" w:color="auto" w:fill="auto"/>
          </w:tcPr>
          <w:p w14:paraId="2898DEAF"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328</w:t>
            </w:r>
          </w:p>
        </w:tc>
      </w:tr>
      <w:tr w:rsidR="005625B5" w14:paraId="6C7A1AE9" w14:textId="77777777" w:rsidTr="00EB2D8E">
        <w:tc>
          <w:tcPr>
            <w:tcW w:w="2122" w:type="dxa"/>
            <w:shd w:val="clear" w:color="auto" w:fill="auto"/>
          </w:tcPr>
          <w:p w14:paraId="21CAF7AB"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028C0F5A"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Olo Ologo</w:t>
            </w:r>
          </w:p>
        </w:tc>
        <w:tc>
          <w:tcPr>
            <w:tcW w:w="2127" w:type="dxa"/>
            <w:shd w:val="clear" w:color="auto" w:fill="auto"/>
          </w:tcPr>
          <w:p w14:paraId="523593F6"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217</w:t>
            </w:r>
          </w:p>
        </w:tc>
      </w:tr>
      <w:tr w:rsidR="005625B5" w14:paraId="6A73DEDF" w14:textId="77777777" w:rsidTr="00EB2D8E">
        <w:tc>
          <w:tcPr>
            <w:tcW w:w="2122" w:type="dxa"/>
            <w:shd w:val="clear" w:color="auto" w:fill="auto"/>
          </w:tcPr>
          <w:p w14:paraId="2367459F"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4BE6AAAB"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Silbé </w:t>
            </w:r>
          </w:p>
        </w:tc>
        <w:tc>
          <w:tcPr>
            <w:tcW w:w="2127" w:type="dxa"/>
            <w:shd w:val="clear" w:color="auto" w:fill="auto"/>
          </w:tcPr>
          <w:p w14:paraId="6B2E4E04"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2736</w:t>
            </w:r>
          </w:p>
        </w:tc>
      </w:tr>
      <w:tr w:rsidR="005625B5" w14:paraId="6DFD2C24" w14:textId="77777777" w:rsidTr="00EB2D8E">
        <w:tc>
          <w:tcPr>
            <w:tcW w:w="2122" w:type="dxa"/>
            <w:shd w:val="clear" w:color="auto" w:fill="auto"/>
          </w:tcPr>
          <w:p w14:paraId="7A39EEBE"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1B88F825"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roofErr w:type="spellStart"/>
            <w:r w:rsidRPr="00C75361">
              <w:rPr>
                <w:rFonts w:ascii="Century Gothic" w:eastAsia="Times New Roman" w:hAnsi="Century Gothic" w:cs="Times New Roman"/>
                <w:sz w:val="20"/>
                <w:szCs w:val="20"/>
                <w:lang w:val="fr-BE" w:eastAsia="wo-SN"/>
              </w:rPr>
              <w:t>Afnia</w:t>
            </w:r>
            <w:proofErr w:type="spellEnd"/>
            <w:r w:rsidRPr="00C75361">
              <w:rPr>
                <w:rFonts w:ascii="Century Gothic" w:eastAsia="Times New Roman" w:hAnsi="Century Gothic" w:cs="Times New Roman"/>
                <w:sz w:val="20"/>
                <w:szCs w:val="20"/>
                <w:lang w:val="fr-BE" w:eastAsia="wo-SN"/>
              </w:rPr>
              <w:t xml:space="preserve"> </w:t>
            </w:r>
          </w:p>
        </w:tc>
        <w:tc>
          <w:tcPr>
            <w:tcW w:w="2127" w:type="dxa"/>
            <w:shd w:val="clear" w:color="auto" w:fill="auto"/>
          </w:tcPr>
          <w:p w14:paraId="70A46680"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507</w:t>
            </w:r>
          </w:p>
        </w:tc>
      </w:tr>
      <w:tr w:rsidR="005625B5" w14:paraId="5C046766" w14:textId="77777777" w:rsidTr="00EB2D8E">
        <w:tc>
          <w:tcPr>
            <w:tcW w:w="2122" w:type="dxa"/>
            <w:shd w:val="clear" w:color="auto" w:fill="auto"/>
          </w:tcPr>
          <w:p w14:paraId="249353CC"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4302702F"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Lopel </w:t>
            </w:r>
          </w:p>
        </w:tc>
        <w:tc>
          <w:tcPr>
            <w:tcW w:w="2127" w:type="dxa"/>
            <w:shd w:val="clear" w:color="auto" w:fill="auto"/>
          </w:tcPr>
          <w:p w14:paraId="4F9681F5"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582</w:t>
            </w:r>
          </w:p>
        </w:tc>
      </w:tr>
      <w:tr w:rsidR="005625B5" w14:paraId="351B8A75" w14:textId="77777777" w:rsidTr="00EB2D8E">
        <w:tc>
          <w:tcPr>
            <w:tcW w:w="2122" w:type="dxa"/>
            <w:shd w:val="clear" w:color="auto" w:fill="auto"/>
          </w:tcPr>
          <w:p w14:paraId="2FFF9444"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7AE7B0DE"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Ganki </w:t>
            </w:r>
          </w:p>
        </w:tc>
        <w:tc>
          <w:tcPr>
            <w:tcW w:w="2127" w:type="dxa"/>
            <w:shd w:val="clear" w:color="auto" w:fill="auto"/>
          </w:tcPr>
          <w:p w14:paraId="25792F62"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600</w:t>
            </w:r>
          </w:p>
        </w:tc>
      </w:tr>
      <w:tr w:rsidR="005625B5" w14:paraId="3FA97557" w14:textId="77777777" w:rsidTr="00EB2D8E">
        <w:tc>
          <w:tcPr>
            <w:tcW w:w="2122" w:type="dxa"/>
            <w:shd w:val="clear" w:color="auto" w:fill="auto"/>
          </w:tcPr>
          <w:p w14:paraId="7C9B8BC2"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 xml:space="preserve">Total </w:t>
            </w:r>
          </w:p>
        </w:tc>
        <w:tc>
          <w:tcPr>
            <w:tcW w:w="1842" w:type="dxa"/>
            <w:shd w:val="clear" w:color="auto" w:fill="auto"/>
          </w:tcPr>
          <w:p w14:paraId="764D88D6"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b/>
                <w:bCs/>
                <w:sz w:val="20"/>
                <w:szCs w:val="20"/>
                <w:lang w:val="fr-BE" w:eastAsia="wo-SN"/>
              </w:rPr>
            </w:pPr>
          </w:p>
        </w:tc>
        <w:tc>
          <w:tcPr>
            <w:tcW w:w="2127" w:type="dxa"/>
            <w:shd w:val="clear" w:color="auto" w:fill="auto"/>
          </w:tcPr>
          <w:p w14:paraId="17876139"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8363</w:t>
            </w:r>
          </w:p>
        </w:tc>
      </w:tr>
      <w:tr w:rsidR="005625B5" w14:paraId="2AA02A4A" w14:textId="77777777" w:rsidTr="00EB2D8E">
        <w:tc>
          <w:tcPr>
            <w:tcW w:w="2122" w:type="dxa"/>
            <w:shd w:val="clear" w:color="auto" w:fill="auto"/>
          </w:tcPr>
          <w:p w14:paraId="630755D5"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Gorgol </w:t>
            </w:r>
          </w:p>
        </w:tc>
        <w:tc>
          <w:tcPr>
            <w:tcW w:w="1842" w:type="dxa"/>
            <w:shd w:val="clear" w:color="auto" w:fill="auto"/>
          </w:tcPr>
          <w:p w14:paraId="2B74B44E"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Néré Walo/Diorbivol</w:t>
            </w:r>
          </w:p>
        </w:tc>
        <w:tc>
          <w:tcPr>
            <w:tcW w:w="2127" w:type="dxa"/>
            <w:shd w:val="clear" w:color="auto" w:fill="auto"/>
          </w:tcPr>
          <w:p w14:paraId="3735EBB4"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754</w:t>
            </w:r>
          </w:p>
        </w:tc>
      </w:tr>
      <w:tr w:rsidR="005625B5" w14:paraId="0F99E0C1" w14:textId="77777777" w:rsidTr="00EB2D8E">
        <w:tc>
          <w:tcPr>
            <w:tcW w:w="2122" w:type="dxa"/>
            <w:shd w:val="clear" w:color="auto" w:fill="auto"/>
          </w:tcPr>
          <w:p w14:paraId="5D8320D0"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0A8EB3CB"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Dindi</w:t>
            </w:r>
          </w:p>
        </w:tc>
        <w:tc>
          <w:tcPr>
            <w:tcW w:w="2127" w:type="dxa"/>
            <w:shd w:val="clear" w:color="auto" w:fill="auto"/>
          </w:tcPr>
          <w:p w14:paraId="1F941943"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395</w:t>
            </w:r>
          </w:p>
        </w:tc>
      </w:tr>
      <w:tr w:rsidR="005625B5" w14:paraId="6C37FCF5" w14:textId="77777777" w:rsidTr="00EB2D8E">
        <w:tc>
          <w:tcPr>
            <w:tcW w:w="2122" w:type="dxa"/>
            <w:shd w:val="clear" w:color="auto" w:fill="auto"/>
          </w:tcPr>
          <w:p w14:paraId="1D50158C"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24574FA3"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Dao </w:t>
            </w:r>
          </w:p>
        </w:tc>
        <w:tc>
          <w:tcPr>
            <w:tcW w:w="2127" w:type="dxa"/>
            <w:shd w:val="clear" w:color="auto" w:fill="auto"/>
          </w:tcPr>
          <w:p w14:paraId="4496E766"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958</w:t>
            </w:r>
          </w:p>
        </w:tc>
      </w:tr>
      <w:tr w:rsidR="005625B5" w14:paraId="54D0A843" w14:textId="77777777" w:rsidTr="00EB2D8E">
        <w:tc>
          <w:tcPr>
            <w:tcW w:w="2122" w:type="dxa"/>
            <w:shd w:val="clear" w:color="auto" w:fill="auto"/>
          </w:tcPr>
          <w:p w14:paraId="3AF03917"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2CCB0B63"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Yame Ndiaye </w:t>
            </w:r>
          </w:p>
        </w:tc>
        <w:tc>
          <w:tcPr>
            <w:tcW w:w="2127" w:type="dxa"/>
            <w:shd w:val="clear" w:color="auto" w:fill="auto"/>
          </w:tcPr>
          <w:p w14:paraId="04809B40"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530</w:t>
            </w:r>
          </w:p>
        </w:tc>
      </w:tr>
      <w:tr w:rsidR="005625B5" w14:paraId="569EDB22" w14:textId="77777777" w:rsidTr="00EB2D8E">
        <w:tc>
          <w:tcPr>
            <w:tcW w:w="2122" w:type="dxa"/>
            <w:shd w:val="clear" w:color="auto" w:fill="auto"/>
          </w:tcPr>
          <w:p w14:paraId="63D3ED27"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543DD0B3"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Ngouye </w:t>
            </w:r>
          </w:p>
        </w:tc>
        <w:tc>
          <w:tcPr>
            <w:tcW w:w="2127" w:type="dxa"/>
            <w:shd w:val="clear" w:color="auto" w:fill="auto"/>
          </w:tcPr>
          <w:p w14:paraId="627C5391"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1825</w:t>
            </w:r>
          </w:p>
        </w:tc>
      </w:tr>
      <w:tr w:rsidR="005625B5" w:rsidRPr="0082724A" w14:paraId="3500872E" w14:textId="77777777" w:rsidTr="00EB2D8E">
        <w:tc>
          <w:tcPr>
            <w:tcW w:w="2122" w:type="dxa"/>
            <w:shd w:val="clear" w:color="auto" w:fill="auto"/>
          </w:tcPr>
          <w:p w14:paraId="2749920D"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 xml:space="preserve">Total </w:t>
            </w:r>
          </w:p>
        </w:tc>
        <w:tc>
          <w:tcPr>
            <w:tcW w:w="1842" w:type="dxa"/>
            <w:shd w:val="clear" w:color="auto" w:fill="auto"/>
          </w:tcPr>
          <w:p w14:paraId="4C74C960"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b/>
                <w:bCs/>
                <w:sz w:val="20"/>
                <w:szCs w:val="20"/>
                <w:lang w:val="fr-BE" w:eastAsia="wo-SN"/>
              </w:rPr>
            </w:pPr>
          </w:p>
        </w:tc>
        <w:tc>
          <w:tcPr>
            <w:tcW w:w="2127" w:type="dxa"/>
            <w:shd w:val="clear" w:color="auto" w:fill="auto"/>
          </w:tcPr>
          <w:p w14:paraId="375E3ABF"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4462</w:t>
            </w:r>
          </w:p>
        </w:tc>
      </w:tr>
      <w:tr w:rsidR="005625B5" w14:paraId="2C1FC0FF" w14:textId="77777777" w:rsidTr="00EB2D8E">
        <w:tc>
          <w:tcPr>
            <w:tcW w:w="2122" w:type="dxa"/>
            <w:shd w:val="clear" w:color="auto" w:fill="auto"/>
          </w:tcPr>
          <w:p w14:paraId="704EC8B9"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Guidimagha </w:t>
            </w:r>
          </w:p>
        </w:tc>
        <w:tc>
          <w:tcPr>
            <w:tcW w:w="1842" w:type="dxa"/>
            <w:shd w:val="clear" w:color="auto" w:fill="auto"/>
          </w:tcPr>
          <w:p w14:paraId="19775952"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Melgue</w:t>
            </w:r>
          </w:p>
        </w:tc>
        <w:tc>
          <w:tcPr>
            <w:tcW w:w="2127" w:type="dxa"/>
            <w:shd w:val="clear" w:color="auto" w:fill="auto"/>
          </w:tcPr>
          <w:p w14:paraId="12AA58DD"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606</w:t>
            </w:r>
          </w:p>
        </w:tc>
      </w:tr>
      <w:tr w:rsidR="005625B5" w14:paraId="4AD30DB9" w14:textId="77777777" w:rsidTr="00EB2D8E">
        <w:tc>
          <w:tcPr>
            <w:tcW w:w="2122" w:type="dxa"/>
            <w:shd w:val="clear" w:color="auto" w:fill="auto"/>
          </w:tcPr>
          <w:p w14:paraId="593BBEA4"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640D88C5"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Seydou</w:t>
            </w:r>
          </w:p>
        </w:tc>
        <w:tc>
          <w:tcPr>
            <w:tcW w:w="2127" w:type="dxa"/>
            <w:shd w:val="clear" w:color="auto" w:fill="auto"/>
          </w:tcPr>
          <w:p w14:paraId="7644DCAF"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320</w:t>
            </w:r>
          </w:p>
        </w:tc>
      </w:tr>
      <w:tr w:rsidR="005625B5" w14:paraId="2633CA1F" w14:textId="77777777" w:rsidTr="00EB2D8E">
        <w:tc>
          <w:tcPr>
            <w:tcW w:w="2122" w:type="dxa"/>
            <w:shd w:val="clear" w:color="auto" w:fill="auto"/>
          </w:tcPr>
          <w:p w14:paraId="1DC25EA1"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44B519F5"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Bouli</w:t>
            </w:r>
          </w:p>
        </w:tc>
        <w:tc>
          <w:tcPr>
            <w:tcW w:w="2127" w:type="dxa"/>
            <w:shd w:val="clear" w:color="auto" w:fill="auto"/>
          </w:tcPr>
          <w:p w14:paraId="72B1B32D"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600</w:t>
            </w:r>
          </w:p>
        </w:tc>
      </w:tr>
      <w:tr w:rsidR="005625B5" w14:paraId="6987A364" w14:textId="77777777" w:rsidTr="00EB2D8E">
        <w:tc>
          <w:tcPr>
            <w:tcW w:w="2122" w:type="dxa"/>
            <w:shd w:val="clear" w:color="auto" w:fill="auto"/>
          </w:tcPr>
          <w:p w14:paraId="2BDDDC02"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794DFCE8"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Kalinioro</w:t>
            </w:r>
          </w:p>
        </w:tc>
        <w:tc>
          <w:tcPr>
            <w:tcW w:w="2127" w:type="dxa"/>
            <w:shd w:val="clear" w:color="auto" w:fill="auto"/>
          </w:tcPr>
          <w:p w14:paraId="3FEC5BB9"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610</w:t>
            </w:r>
          </w:p>
        </w:tc>
      </w:tr>
      <w:tr w:rsidR="005625B5" w14:paraId="39119323" w14:textId="77777777" w:rsidTr="00EB2D8E">
        <w:tc>
          <w:tcPr>
            <w:tcW w:w="2122" w:type="dxa"/>
            <w:shd w:val="clear" w:color="auto" w:fill="auto"/>
          </w:tcPr>
          <w:p w14:paraId="139435B5"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37DD1654"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Ould Jrid </w:t>
            </w:r>
          </w:p>
        </w:tc>
        <w:tc>
          <w:tcPr>
            <w:tcW w:w="2127" w:type="dxa"/>
            <w:shd w:val="clear" w:color="auto" w:fill="auto"/>
          </w:tcPr>
          <w:p w14:paraId="37AE697C"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115</w:t>
            </w:r>
          </w:p>
        </w:tc>
      </w:tr>
      <w:tr w:rsidR="005625B5" w:rsidRPr="0082724A" w14:paraId="3DC8D634" w14:textId="77777777" w:rsidTr="00EB2D8E">
        <w:tc>
          <w:tcPr>
            <w:tcW w:w="2122" w:type="dxa"/>
            <w:shd w:val="clear" w:color="auto" w:fill="auto"/>
          </w:tcPr>
          <w:p w14:paraId="72467E6D"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 xml:space="preserve">Total </w:t>
            </w:r>
          </w:p>
        </w:tc>
        <w:tc>
          <w:tcPr>
            <w:tcW w:w="1842" w:type="dxa"/>
            <w:shd w:val="clear" w:color="auto" w:fill="auto"/>
          </w:tcPr>
          <w:p w14:paraId="156D1E33"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b/>
                <w:bCs/>
                <w:sz w:val="20"/>
                <w:szCs w:val="20"/>
                <w:lang w:val="fr-BE" w:eastAsia="wo-SN"/>
              </w:rPr>
            </w:pPr>
          </w:p>
        </w:tc>
        <w:tc>
          <w:tcPr>
            <w:tcW w:w="2127" w:type="dxa"/>
            <w:shd w:val="clear" w:color="auto" w:fill="auto"/>
          </w:tcPr>
          <w:p w14:paraId="162C5515"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2291</w:t>
            </w:r>
          </w:p>
        </w:tc>
      </w:tr>
      <w:tr w:rsidR="005625B5" w14:paraId="62909730" w14:textId="77777777" w:rsidTr="00EB2D8E">
        <w:tc>
          <w:tcPr>
            <w:tcW w:w="2122" w:type="dxa"/>
            <w:shd w:val="clear" w:color="auto" w:fill="auto"/>
          </w:tcPr>
          <w:p w14:paraId="5CCE5EFB"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Assaba </w:t>
            </w:r>
          </w:p>
        </w:tc>
        <w:tc>
          <w:tcPr>
            <w:tcW w:w="1842" w:type="dxa"/>
            <w:shd w:val="clear" w:color="auto" w:fill="auto"/>
          </w:tcPr>
          <w:p w14:paraId="741EB812"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Nehame</w:t>
            </w:r>
          </w:p>
        </w:tc>
        <w:tc>
          <w:tcPr>
            <w:tcW w:w="2127" w:type="dxa"/>
            <w:shd w:val="clear" w:color="auto" w:fill="auto"/>
          </w:tcPr>
          <w:p w14:paraId="5988722A"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13040</w:t>
            </w:r>
          </w:p>
        </w:tc>
      </w:tr>
      <w:tr w:rsidR="005625B5" w14:paraId="55670CF5" w14:textId="77777777" w:rsidTr="00EB2D8E">
        <w:tc>
          <w:tcPr>
            <w:tcW w:w="2122" w:type="dxa"/>
            <w:shd w:val="clear" w:color="auto" w:fill="auto"/>
          </w:tcPr>
          <w:p w14:paraId="6004F5C9"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395608B2"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Mray Sder</w:t>
            </w:r>
          </w:p>
        </w:tc>
        <w:tc>
          <w:tcPr>
            <w:tcW w:w="2127" w:type="dxa"/>
            <w:shd w:val="clear" w:color="auto" w:fill="auto"/>
          </w:tcPr>
          <w:p w14:paraId="349864FD"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3065</w:t>
            </w:r>
          </w:p>
        </w:tc>
      </w:tr>
      <w:tr w:rsidR="005625B5" w:rsidRPr="0082724A" w14:paraId="7196AD41" w14:textId="77777777" w:rsidTr="00EB2D8E">
        <w:tc>
          <w:tcPr>
            <w:tcW w:w="2122" w:type="dxa"/>
            <w:shd w:val="clear" w:color="auto" w:fill="auto"/>
          </w:tcPr>
          <w:p w14:paraId="6D69050B"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Total</w:t>
            </w:r>
          </w:p>
        </w:tc>
        <w:tc>
          <w:tcPr>
            <w:tcW w:w="1842" w:type="dxa"/>
            <w:shd w:val="clear" w:color="auto" w:fill="auto"/>
          </w:tcPr>
          <w:p w14:paraId="70F3625E"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b/>
                <w:bCs/>
                <w:sz w:val="20"/>
                <w:szCs w:val="20"/>
                <w:lang w:val="fr-BE" w:eastAsia="wo-SN"/>
              </w:rPr>
            </w:pPr>
          </w:p>
        </w:tc>
        <w:tc>
          <w:tcPr>
            <w:tcW w:w="2127" w:type="dxa"/>
            <w:shd w:val="clear" w:color="auto" w:fill="auto"/>
          </w:tcPr>
          <w:p w14:paraId="4411953A"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16105</w:t>
            </w:r>
          </w:p>
        </w:tc>
      </w:tr>
      <w:tr w:rsidR="005625B5" w14:paraId="3C708B90" w14:textId="77777777" w:rsidTr="00EB2D8E">
        <w:tc>
          <w:tcPr>
            <w:tcW w:w="2122" w:type="dxa"/>
            <w:shd w:val="clear" w:color="auto" w:fill="auto"/>
          </w:tcPr>
          <w:p w14:paraId="3C8198FD"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Tagant </w:t>
            </w:r>
          </w:p>
        </w:tc>
        <w:tc>
          <w:tcPr>
            <w:tcW w:w="1842" w:type="dxa"/>
            <w:shd w:val="clear" w:color="auto" w:fill="auto"/>
          </w:tcPr>
          <w:p w14:paraId="52D6FDD9"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El Mechra</w:t>
            </w:r>
          </w:p>
        </w:tc>
        <w:tc>
          <w:tcPr>
            <w:tcW w:w="2127" w:type="dxa"/>
            <w:shd w:val="clear" w:color="auto" w:fill="auto"/>
          </w:tcPr>
          <w:p w14:paraId="1CD542CE"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450</w:t>
            </w:r>
          </w:p>
        </w:tc>
      </w:tr>
      <w:tr w:rsidR="005625B5" w14:paraId="3062A252" w14:textId="77777777" w:rsidTr="00EB2D8E">
        <w:tc>
          <w:tcPr>
            <w:tcW w:w="2122" w:type="dxa"/>
            <w:shd w:val="clear" w:color="auto" w:fill="auto"/>
          </w:tcPr>
          <w:p w14:paraId="44A6EC07"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52B9A4C7"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Legdeim </w:t>
            </w:r>
          </w:p>
        </w:tc>
        <w:tc>
          <w:tcPr>
            <w:tcW w:w="2127" w:type="dxa"/>
            <w:shd w:val="clear" w:color="auto" w:fill="auto"/>
          </w:tcPr>
          <w:p w14:paraId="36F35723"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550</w:t>
            </w:r>
          </w:p>
        </w:tc>
      </w:tr>
      <w:tr w:rsidR="005625B5" w14:paraId="6B6588C2" w14:textId="77777777" w:rsidTr="00EB2D8E">
        <w:tc>
          <w:tcPr>
            <w:tcW w:w="2122" w:type="dxa"/>
            <w:shd w:val="clear" w:color="auto" w:fill="auto"/>
          </w:tcPr>
          <w:p w14:paraId="52F9FE00"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p>
        </w:tc>
        <w:tc>
          <w:tcPr>
            <w:tcW w:w="1842" w:type="dxa"/>
            <w:shd w:val="clear" w:color="auto" w:fill="auto"/>
          </w:tcPr>
          <w:p w14:paraId="5B923A83"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Tintane </w:t>
            </w:r>
          </w:p>
        </w:tc>
        <w:tc>
          <w:tcPr>
            <w:tcW w:w="2127" w:type="dxa"/>
            <w:shd w:val="clear" w:color="auto" w:fill="auto"/>
          </w:tcPr>
          <w:p w14:paraId="13DB9EBE"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4995</w:t>
            </w:r>
          </w:p>
        </w:tc>
      </w:tr>
      <w:tr w:rsidR="005625B5" w:rsidRPr="0082724A" w14:paraId="5E850B60" w14:textId="77777777" w:rsidTr="00EB2D8E">
        <w:tc>
          <w:tcPr>
            <w:tcW w:w="2122" w:type="dxa"/>
            <w:shd w:val="clear" w:color="auto" w:fill="auto"/>
          </w:tcPr>
          <w:p w14:paraId="313C5AFC"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 xml:space="preserve">Total </w:t>
            </w:r>
          </w:p>
        </w:tc>
        <w:tc>
          <w:tcPr>
            <w:tcW w:w="1842" w:type="dxa"/>
            <w:shd w:val="clear" w:color="auto" w:fill="auto"/>
          </w:tcPr>
          <w:p w14:paraId="737B4D96"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b/>
                <w:bCs/>
                <w:sz w:val="20"/>
                <w:szCs w:val="20"/>
                <w:lang w:val="fr-BE" w:eastAsia="wo-SN"/>
              </w:rPr>
            </w:pPr>
          </w:p>
        </w:tc>
        <w:tc>
          <w:tcPr>
            <w:tcW w:w="2127" w:type="dxa"/>
            <w:shd w:val="clear" w:color="auto" w:fill="auto"/>
          </w:tcPr>
          <w:p w14:paraId="5C5C5DBD"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5995</w:t>
            </w:r>
          </w:p>
        </w:tc>
      </w:tr>
      <w:tr w:rsidR="005625B5" w14:paraId="491CE3F2" w14:textId="77777777" w:rsidTr="00EB2D8E">
        <w:tc>
          <w:tcPr>
            <w:tcW w:w="2122" w:type="dxa"/>
            <w:shd w:val="clear" w:color="auto" w:fill="auto"/>
          </w:tcPr>
          <w:p w14:paraId="31125B69"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 xml:space="preserve">Hodh Gharbi </w:t>
            </w:r>
          </w:p>
        </w:tc>
        <w:tc>
          <w:tcPr>
            <w:tcW w:w="1842" w:type="dxa"/>
            <w:shd w:val="clear" w:color="auto" w:fill="auto"/>
          </w:tcPr>
          <w:p w14:paraId="28499673"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Tamourt Tamchekett</w:t>
            </w:r>
          </w:p>
        </w:tc>
        <w:tc>
          <w:tcPr>
            <w:tcW w:w="2127" w:type="dxa"/>
            <w:shd w:val="clear" w:color="auto" w:fill="auto"/>
          </w:tcPr>
          <w:p w14:paraId="2A1D824F"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sz w:val="20"/>
                <w:szCs w:val="20"/>
                <w:lang w:val="fr-BE" w:eastAsia="wo-SN"/>
              </w:rPr>
            </w:pPr>
            <w:r w:rsidRPr="00C75361">
              <w:rPr>
                <w:rFonts w:ascii="Century Gothic" w:eastAsia="Times New Roman" w:hAnsi="Century Gothic" w:cs="Times New Roman"/>
                <w:sz w:val="20"/>
                <w:szCs w:val="20"/>
                <w:lang w:val="fr-BE" w:eastAsia="wo-SN"/>
              </w:rPr>
              <w:t>1650</w:t>
            </w:r>
          </w:p>
        </w:tc>
      </w:tr>
      <w:tr w:rsidR="005625B5" w:rsidRPr="0082724A" w14:paraId="324626C3" w14:textId="77777777" w:rsidTr="00EB2D8E">
        <w:tc>
          <w:tcPr>
            <w:tcW w:w="2122" w:type="dxa"/>
            <w:shd w:val="clear" w:color="auto" w:fill="auto"/>
          </w:tcPr>
          <w:p w14:paraId="74618D2F"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 xml:space="preserve">Total </w:t>
            </w:r>
          </w:p>
        </w:tc>
        <w:tc>
          <w:tcPr>
            <w:tcW w:w="1842" w:type="dxa"/>
            <w:shd w:val="clear" w:color="auto" w:fill="auto"/>
          </w:tcPr>
          <w:p w14:paraId="5D722ED8"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b/>
                <w:bCs/>
                <w:sz w:val="20"/>
                <w:szCs w:val="20"/>
                <w:lang w:val="fr-BE" w:eastAsia="wo-SN"/>
              </w:rPr>
            </w:pPr>
          </w:p>
        </w:tc>
        <w:tc>
          <w:tcPr>
            <w:tcW w:w="2127" w:type="dxa"/>
            <w:shd w:val="clear" w:color="auto" w:fill="auto"/>
          </w:tcPr>
          <w:p w14:paraId="007C0E88"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1650</w:t>
            </w:r>
          </w:p>
        </w:tc>
      </w:tr>
      <w:tr w:rsidR="005625B5" w:rsidRPr="0082724A" w14:paraId="16C70832" w14:textId="77777777" w:rsidTr="00EB2D8E">
        <w:tc>
          <w:tcPr>
            <w:tcW w:w="2122" w:type="dxa"/>
            <w:shd w:val="clear" w:color="auto" w:fill="auto"/>
          </w:tcPr>
          <w:p w14:paraId="4849D8E3"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 xml:space="preserve">Total général </w:t>
            </w:r>
          </w:p>
        </w:tc>
        <w:tc>
          <w:tcPr>
            <w:tcW w:w="1842" w:type="dxa"/>
            <w:shd w:val="clear" w:color="auto" w:fill="auto"/>
          </w:tcPr>
          <w:p w14:paraId="54125DD5" w14:textId="77777777" w:rsidR="005625B5" w:rsidRPr="00C75361" w:rsidRDefault="005625B5" w:rsidP="00FB354B">
            <w:pPr>
              <w:tabs>
                <w:tab w:val="left" w:pos="426"/>
              </w:tabs>
              <w:spacing w:after="0" w:line="276" w:lineRule="auto"/>
              <w:jc w:val="both"/>
              <w:rPr>
                <w:rFonts w:ascii="Century Gothic" w:eastAsia="Times New Roman" w:hAnsi="Century Gothic" w:cs="Times New Roman"/>
                <w:b/>
                <w:bCs/>
                <w:sz w:val="20"/>
                <w:szCs w:val="20"/>
                <w:lang w:val="fr-BE" w:eastAsia="wo-SN"/>
              </w:rPr>
            </w:pPr>
          </w:p>
        </w:tc>
        <w:tc>
          <w:tcPr>
            <w:tcW w:w="2127" w:type="dxa"/>
            <w:shd w:val="clear" w:color="auto" w:fill="auto"/>
          </w:tcPr>
          <w:p w14:paraId="5FA6A2F9" w14:textId="77777777" w:rsidR="005625B5" w:rsidRPr="00C75361" w:rsidRDefault="005625B5" w:rsidP="00FB354B">
            <w:pPr>
              <w:tabs>
                <w:tab w:val="left" w:pos="426"/>
              </w:tabs>
              <w:spacing w:after="0" w:line="276" w:lineRule="auto"/>
              <w:jc w:val="right"/>
              <w:rPr>
                <w:rFonts w:ascii="Century Gothic" w:eastAsia="Times New Roman" w:hAnsi="Century Gothic" w:cs="Times New Roman"/>
                <w:b/>
                <w:bCs/>
                <w:sz w:val="20"/>
                <w:szCs w:val="20"/>
                <w:lang w:val="fr-BE" w:eastAsia="wo-SN"/>
              </w:rPr>
            </w:pPr>
            <w:r w:rsidRPr="00C75361">
              <w:rPr>
                <w:rFonts w:ascii="Century Gothic" w:eastAsia="Times New Roman" w:hAnsi="Century Gothic" w:cs="Times New Roman"/>
                <w:b/>
                <w:bCs/>
                <w:sz w:val="20"/>
                <w:szCs w:val="20"/>
                <w:lang w:val="fr-BE" w:eastAsia="wo-SN"/>
              </w:rPr>
              <w:t>47441</w:t>
            </w:r>
          </w:p>
        </w:tc>
      </w:tr>
    </w:tbl>
    <w:p w14:paraId="6C92228E" w14:textId="77777777" w:rsidR="005625B5" w:rsidRPr="006124B8" w:rsidRDefault="005625B5" w:rsidP="005625B5">
      <w:pPr>
        <w:tabs>
          <w:tab w:val="left" w:pos="426"/>
        </w:tabs>
        <w:spacing w:after="0" w:line="276" w:lineRule="auto"/>
        <w:jc w:val="right"/>
        <w:rPr>
          <w:rFonts w:ascii="Century Gothic" w:eastAsia="Times New Roman" w:hAnsi="Century Gothic" w:cs="Times New Roman"/>
          <w:b/>
          <w:bCs/>
          <w:sz w:val="24"/>
          <w:szCs w:val="24"/>
          <w:lang w:val="fr-BE" w:eastAsia="wo-SN"/>
        </w:rPr>
      </w:pPr>
    </w:p>
    <w:p w14:paraId="3D448ADC"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Une étude, menée en 2004, a porté sur 10 forêts classées dans trois wilayas de la vallée du fleuve Sénégal. Elle a fait leur état des lieux et les a cartographiées. Il s’agit de Gani, Keur mour et Dioli au Trarza, Lopel, Silbé, Olologo et Ganki au Brakna et Dao, Dindi et Djorbivol au Gorgol. </w:t>
      </w:r>
    </w:p>
    <w:p w14:paraId="098FFBB5"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noProof/>
        </w:rPr>
        <mc:AlternateContent>
          <mc:Choice Requires="wps">
            <w:drawing>
              <wp:anchor distT="0" distB="0" distL="114300" distR="114300" simplePos="0" relativeHeight="251706368" behindDoc="0" locked="0" layoutInCell="1" allowOverlap="1" wp14:anchorId="337C02DF" wp14:editId="3786FD0E">
                <wp:simplePos x="0" y="0"/>
                <wp:positionH relativeFrom="column">
                  <wp:posOffset>4114800</wp:posOffset>
                </wp:positionH>
                <wp:positionV relativeFrom="paragraph">
                  <wp:posOffset>5097780</wp:posOffset>
                </wp:positionV>
                <wp:extent cx="1371600" cy="906780"/>
                <wp:effectExtent l="0" t="0" r="0" b="7620"/>
                <wp:wrapNone/>
                <wp:docPr id="6274258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906780"/>
                        </a:xfrm>
                        <a:prstGeom prst="rect">
                          <a:avLst/>
                        </a:prstGeom>
                        <a:solidFill>
                          <a:srgbClr val="FF9933"/>
                        </a:solidFill>
                        <a:ln w="9525">
                          <a:solidFill>
                            <a:srgbClr val="000000"/>
                          </a:solidFill>
                          <a:miter lim="800000"/>
                          <a:headEnd/>
                          <a:tailEnd/>
                        </a:ln>
                      </wps:spPr>
                      <wps:txbx>
                        <w:txbxContent>
                          <w:p w14:paraId="4AE8D7F9" w14:textId="77777777" w:rsidR="005625B5" w:rsidRDefault="005625B5" w:rsidP="005625B5">
                            <w:pPr>
                              <w:jc w:val="center"/>
                              <w:textAlignment w:val="baseline"/>
                              <w:rPr>
                                <w:rFonts w:eastAsia="+mn-ea" w:cs="+mn-cs"/>
                                <w:b/>
                                <w:bCs/>
                                <w:color w:val="000000"/>
                                <w:kern w:val="24"/>
                                <w:sz w:val="20"/>
                                <w:szCs w:val="20"/>
                              </w:rPr>
                            </w:pPr>
                            <w:r>
                              <w:rPr>
                                <w:rFonts w:eastAsia="+mn-ea" w:cs="+mn-cs"/>
                                <w:b/>
                                <w:bCs/>
                                <w:color w:val="000000"/>
                                <w:kern w:val="24"/>
                                <w:sz w:val="20"/>
                                <w:szCs w:val="20"/>
                                <w:u w:val="single"/>
                              </w:rPr>
                              <w:t>Wilaya du Gorgol :</w:t>
                            </w:r>
                          </w:p>
                          <w:p w14:paraId="61B25AB9" w14:textId="77777777" w:rsidR="005625B5" w:rsidRDefault="005625B5" w:rsidP="005625B5">
                            <w:pPr>
                              <w:pStyle w:val="Paragraphedeliste"/>
                              <w:numPr>
                                <w:ilvl w:val="0"/>
                                <w:numId w:val="60"/>
                              </w:numPr>
                              <w:spacing w:after="0" w:line="240" w:lineRule="auto"/>
                              <w:textAlignment w:val="baseline"/>
                              <w:rPr>
                                <w:rFonts w:eastAsia="+mn-ea" w:cs="+mn-cs"/>
                                <w:color w:val="000000"/>
                                <w:kern w:val="24"/>
                                <w:sz w:val="20"/>
                                <w:szCs w:val="20"/>
                              </w:rPr>
                            </w:pPr>
                            <w:r>
                              <w:rPr>
                                <w:rFonts w:eastAsia="+mn-ea" w:cs="+mn-cs"/>
                                <w:color w:val="000000"/>
                                <w:kern w:val="24"/>
                                <w:sz w:val="20"/>
                                <w:szCs w:val="20"/>
                              </w:rPr>
                              <w:t>Dao</w:t>
                            </w:r>
                          </w:p>
                          <w:p w14:paraId="124F614C" w14:textId="77777777" w:rsidR="005625B5" w:rsidRDefault="005625B5" w:rsidP="005625B5">
                            <w:pPr>
                              <w:pStyle w:val="Paragraphedeliste"/>
                              <w:numPr>
                                <w:ilvl w:val="0"/>
                                <w:numId w:val="60"/>
                              </w:numPr>
                              <w:spacing w:after="0" w:line="240" w:lineRule="auto"/>
                              <w:textAlignment w:val="baseline"/>
                              <w:rPr>
                                <w:rFonts w:eastAsia="+mn-ea" w:cs="+mn-cs"/>
                                <w:color w:val="000000"/>
                                <w:kern w:val="24"/>
                                <w:sz w:val="20"/>
                                <w:szCs w:val="20"/>
                              </w:rPr>
                            </w:pPr>
                            <w:r w:rsidRPr="001277D6">
                              <w:rPr>
                                <w:rFonts w:eastAsia="+mn-ea" w:cs="+mn-cs"/>
                                <w:color w:val="000000"/>
                                <w:kern w:val="24"/>
                                <w:sz w:val="20"/>
                                <w:szCs w:val="20"/>
                              </w:rPr>
                              <w:t>Dindi</w:t>
                            </w:r>
                          </w:p>
                          <w:p w14:paraId="0A545E47" w14:textId="77777777" w:rsidR="005625B5" w:rsidRPr="001277D6" w:rsidRDefault="005625B5" w:rsidP="005625B5">
                            <w:pPr>
                              <w:pStyle w:val="Paragraphedeliste"/>
                              <w:numPr>
                                <w:ilvl w:val="0"/>
                                <w:numId w:val="60"/>
                              </w:numPr>
                              <w:spacing w:after="0" w:line="240" w:lineRule="auto"/>
                              <w:textAlignment w:val="baseline"/>
                              <w:rPr>
                                <w:rFonts w:eastAsia="+mn-ea" w:cs="+mn-cs"/>
                                <w:color w:val="000000"/>
                                <w:kern w:val="24"/>
                                <w:sz w:val="20"/>
                                <w:szCs w:val="20"/>
                              </w:rPr>
                            </w:pPr>
                            <w:r w:rsidRPr="001277D6">
                              <w:rPr>
                                <w:rFonts w:eastAsia="+mn-ea" w:cs="+mn-cs"/>
                                <w:color w:val="000000"/>
                                <w:kern w:val="24"/>
                                <w:sz w:val="20"/>
                                <w:szCs w:val="20"/>
                              </w:rPr>
                              <w:t xml:space="preserve">Diorbivol </w:t>
                            </w:r>
                          </w:p>
                        </w:txbxContent>
                      </wps:txbx>
                      <wps:bodyPr/>
                    </wps:wsp>
                  </a:graphicData>
                </a:graphic>
                <wp14:sizeRelH relativeFrom="page">
                  <wp14:pctWidth>0</wp14:pctWidth>
                </wp14:sizeRelH>
                <wp14:sizeRelV relativeFrom="page">
                  <wp14:pctHeight>0</wp14:pctHeight>
                </wp14:sizeRelV>
              </wp:anchor>
            </w:drawing>
          </mc:Choice>
          <mc:Fallback>
            <w:pict>
              <v:rect w14:anchorId="337C02DF" id="Rectangle 4" o:spid="_x0000_s1026" style="position:absolute;left:0;text-align:left;margin-left:324pt;margin-top:401.4pt;width:108pt;height:71.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" fillcolor="#f93">
                <v:path arrowok="t"/>
                <v:textbox>
                  <w:txbxContent>
                    <w:p w14:paraId="4AE8D7F9" w14:textId="77777777" w:rsidR="005625B5" w:rsidRDefault="005625B5" w:rsidP="005625B5">
                      <w:pPr>
                        <w:jc w:val="center"/>
                        <w:textAlignment w:val="baseline"/>
                        <w:rPr>
                          <w:rFonts w:eastAsia="+mn-ea" w:cs="+mn-cs"/>
                          <w:b/>
                          <w:bCs/>
                          <w:color w:val="000000"/>
                          <w:kern w:val="24"/>
                          <w:sz w:val="20"/>
                          <w:szCs w:val="20"/>
                        </w:rPr>
                      </w:pPr>
                      <w:r>
                        <w:rPr>
                          <w:rFonts w:eastAsia="+mn-ea" w:cs="+mn-cs"/>
                          <w:b/>
                          <w:bCs/>
                          <w:color w:val="000000"/>
                          <w:kern w:val="24"/>
                          <w:sz w:val="20"/>
                          <w:szCs w:val="20"/>
                          <w:u w:val="single"/>
                        </w:rPr>
                        <w:t>Wilaya du Gorgol :</w:t>
                      </w:r>
                    </w:p>
                    <w:p w14:paraId="61B25AB9" w14:textId="77777777" w:rsidR="005625B5" w:rsidRDefault="005625B5" w:rsidP="005625B5">
                      <w:pPr>
                        <w:pStyle w:val="Paragraphedeliste"/>
                        <w:numPr>
                          <w:ilvl w:val="0"/>
                          <w:numId w:val="60"/>
                        </w:numPr>
                        <w:spacing w:after="0" w:line="240" w:lineRule="auto"/>
                        <w:textAlignment w:val="baseline"/>
                        <w:rPr>
                          <w:rFonts w:eastAsia="+mn-ea" w:cs="+mn-cs"/>
                          <w:color w:val="000000"/>
                          <w:kern w:val="24"/>
                          <w:sz w:val="20"/>
                          <w:szCs w:val="20"/>
                        </w:rPr>
                      </w:pPr>
                      <w:r>
                        <w:rPr>
                          <w:rFonts w:eastAsia="+mn-ea" w:cs="+mn-cs"/>
                          <w:color w:val="000000"/>
                          <w:kern w:val="24"/>
                          <w:sz w:val="20"/>
                          <w:szCs w:val="20"/>
                        </w:rPr>
                        <w:t>Dao</w:t>
                      </w:r>
                    </w:p>
                    <w:p w14:paraId="124F614C" w14:textId="77777777" w:rsidR="005625B5" w:rsidRDefault="005625B5" w:rsidP="005625B5">
                      <w:pPr>
                        <w:pStyle w:val="Paragraphedeliste"/>
                        <w:numPr>
                          <w:ilvl w:val="0"/>
                          <w:numId w:val="60"/>
                        </w:numPr>
                        <w:spacing w:after="0" w:line="240" w:lineRule="auto"/>
                        <w:textAlignment w:val="baseline"/>
                        <w:rPr>
                          <w:rFonts w:eastAsia="+mn-ea" w:cs="+mn-cs"/>
                          <w:color w:val="000000"/>
                          <w:kern w:val="24"/>
                          <w:sz w:val="20"/>
                          <w:szCs w:val="20"/>
                        </w:rPr>
                      </w:pPr>
                      <w:r w:rsidRPr="001277D6">
                        <w:rPr>
                          <w:rFonts w:eastAsia="+mn-ea" w:cs="+mn-cs"/>
                          <w:color w:val="000000"/>
                          <w:kern w:val="24"/>
                          <w:sz w:val="20"/>
                          <w:szCs w:val="20"/>
                        </w:rPr>
                        <w:t>Dindi</w:t>
                      </w:r>
                    </w:p>
                    <w:p w14:paraId="0A545E47" w14:textId="77777777" w:rsidR="005625B5" w:rsidRPr="001277D6" w:rsidRDefault="005625B5" w:rsidP="005625B5">
                      <w:pPr>
                        <w:pStyle w:val="Paragraphedeliste"/>
                        <w:numPr>
                          <w:ilvl w:val="0"/>
                          <w:numId w:val="60"/>
                        </w:numPr>
                        <w:spacing w:after="0" w:line="240" w:lineRule="auto"/>
                        <w:textAlignment w:val="baseline"/>
                        <w:rPr>
                          <w:rFonts w:eastAsia="+mn-ea" w:cs="+mn-cs"/>
                          <w:color w:val="000000"/>
                          <w:kern w:val="24"/>
                          <w:sz w:val="20"/>
                          <w:szCs w:val="20"/>
                        </w:rPr>
                      </w:pPr>
                      <w:r w:rsidRPr="001277D6">
                        <w:rPr>
                          <w:rFonts w:eastAsia="+mn-ea" w:cs="+mn-cs"/>
                          <w:color w:val="000000"/>
                          <w:kern w:val="24"/>
                          <w:sz w:val="20"/>
                          <w:szCs w:val="20"/>
                        </w:rPr>
                        <w:t xml:space="preserve">Diorbivol </w:t>
                      </w:r>
                    </w:p>
                  </w:txbxContent>
                </v:textbox>
              </v:rect>
            </w:pict>
          </mc:Fallback>
        </mc:AlternateContent>
      </w:r>
      <w:r>
        <w:rPr>
          <w:noProof/>
        </w:rPr>
        <mc:AlternateContent>
          <mc:Choice Requires="wps">
            <w:drawing>
              <wp:anchor distT="0" distB="0" distL="114300" distR="114300" simplePos="0" relativeHeight="251705344" behindDoc="0" locked="0" layoutInCell="1" allowOverlap="1" wp14:anchorId="50A6C5F8" wp14:editId="2905AAAA">
                <wp:simplePos x="0" y="0"/>
                <wp:positionH relativeFrom="column">
                  <wp:posOffset>2537460</wp:posOffset>
                </wp:positionH>
                <wp:positionV relativeFrom="paragraph">
                  <wp:posOffset>5004435</wp:posOffset>
                </wp:positionV>
                <wp:extent cx="1371600" cy="1085215"/>
                <wp:effectExtent l="0" t="0" r="0" b="635"/>
                <wp:wrapNone/>
                <wp:docPr id="31130268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085215"/>
                        </a:xfrm>
                        <a:prstGeom prst="rect">
                          <a:avLst/>
                        </a:prstGeom>
                        <a:solidFill>
                          <a:srgbClr val="009900"/>
                        </a:solidFill>
                        <a:ln w="9525">
                          <a:solidFill>
                            <a:srgbClr val="000000"/>
                          </a:solidFill>
                          <a:miter lim="800000"/>
                          <a:headEnd/>
                          <a:tailEnd/>
                        </a:ln>
                      </wps:spPr>
                      <wps:txbx>
                        <w:txbxContent>
                          <w:p w14:paraId="73F11146" w14:textId="77777777" w:rsidR="005625B5" w:rsidRDefault="005625B5" w:rsidP="005625B5">
                            <w:pPr>
                              <w:jc w:val="center"/>
                              <w:textAlignment w:val="baseline"/>
                              <w:rPr>
                                <w:rFonts w:cs="Times New Roman"/>
                                <w:b/>
                                <w:bCs/>
                                <w:color w:val="000000"/>
                                <w:kern w:val="24"/>
                                <w:sz w:val="20"/>
                                <w:szCs w:val="20"/>
                              </w:rPr>
                            </w:pPr>
                            <w:r>
                              <w:rPr>
                                <w:rFonts w:cs="Times New Roman"/>
                                <w:b/>
                                <w:bCs/>
                                <w:color w:val="000000"/>
                                <w:kern w:val="24"/>
                                <w:sz w:val="20"/>
                                <w:szCs w:val="20"/>
                                <w:u w:val="single"/>
                              </w:rPr>
                              <w:t>Wilaya du Brakna :</w:t>
                            </w:r>
                          </w:p>
                          <w:p w14:paraId="0230AB9C" w14:textId="77777777" w:rsidR="005625B5" w:rsidRDefault="005625B5" w:rsidP="005625B5">
                            <w:pPr>
                              <w:pStyle w:val="Paragraphedeliste"/>
                              <w:numPr>
                                <w:ilvl w:val="0"/>
                                <w:numId w:val="59"/>
                              </w:numPr>
                              <w:spacing w:after="0" w:line="240" w:lineRule="auto"/>
                              <w:textAlignment w:val="baseline"/>
                              <w:rPr>
                                <w:rFonts w:cs="Times New Roman"/>
                                <w:color w:val="000000"/>
                                <w:kern w:val="24"/>
                                <w:sz w:val="20"/>
                                <w:szCs w:val="20"/>
                              </w:rPr>
                            </w:pPr>
                            <w:r>
                              <w:rPr>
                                <w:rFonts w:cs="Times New Roman"/>
                                <w:color w:val="000000"/>
                                <w:kern w:val="24"/>
                                <w:sz w:val="20"/>
                                <w:szCs w:val="20"/>
                              </w:rPr>
                              <w:t>Lopel</w:t>
                            </w:r>
                          </w:p>
                          <w:p w14:paraId="203438D8" w14:textId="77777777" w:rsidR="005625B5" w:rsidRDefault="005625B5" w:rsidP="005625B5">
                            <w:pPr>
                              <w:pStyle w:val="Paragraphedeliste"/>
                              <w:numPr>
                                <w:ilvl w:val="0"/>
                                <w:numId w:val="59"/>
                              </w:numPr>
                              <w:spacing w:after="0" w:line="240" w:lineRule="auto"/>
                              <w:textAlignment w:val="baseline"/>
                              <w:rPr>
                                <w:rFonts w:cs="Times New Roman"/>
                                <w:color w:val="000000"/>
                                <w:kern w:val="24"/>
                                <w:sz w:val="20"/>
                                <w:szCs w:val="20"/>
                              </w:rPr>
                            </w:pPr>
                            <w:r>
                              <w:rPr>
                                <w:rFonts w:cs="Times New Roman"/>
                                <w:color w:val="000000"/>
                                <w:kern w:val="24"/>
                                <w:sz w:val="20"/>
                                <w:szCs w:val="20"/>
                              </w:rPr>
                              <w:t>Silbé</w:t>
                            </w:r>
                          </w:p>
                          <w:p w14:paraId="0E7580A7" w14:textId="77777777" w:rsidR="005625B5" w:rsidRDefault="005625B5" w:rsidP="005625B5">
                            <w:pPr>
                              <w:pStyle w:val="Paragraphedeliste"/>
                              <w:numPr>
                                <w:ilvl w:val="0"/>
                                <w:numId w:val="59"/>
                              </w:numPr>
                              <w:spacing w:after="0" w:line="240" w:lineRule="auto"/>
                              <w:textAlignment w:val="baseline"/>
                              <w:rPr>
                                <w:rFonts w:cs="Times New Roman"/>
                                <w:color w:val="000000"/>
                                <w:kern w:val="24"/>
                                <w:sz w:val="20"/>
                                <w:szCs w:val="20"/>
                              </w:rPr>
                            </w:pPr>
                            <w:r>
                              <w:rPr>
                                <w:rFonts w:cs="Times New Roman"/>
                                <w:color w:val="000000"/>
                                <w:kern w:val="24"/>
                                <w:sz w:val="20"/>
                                <w:szCs w:val="20"/>
                              </w:rPr>
                              <w:t>Ganki</w:t>
                            </w:r>
                          </w:p>
                          <w:p w14:paraId="4CD54A67" w14:textId="77777777" w:rsidR="005625B5" w:rsidRDefault="005625B5" w:rsidP="005625B5">
                            <w:pPr>
                              <w:pStyle w:val="Paragraphedeliste"/>
                              <w:numPr>
                                <w:ilvl w:val="0"/>
                                <w:numId w:val="59"/>
                              </w:numPr>
                              <w:spacing w:after="0" w:line="240" w:lineRule="auto"/>
                              <w:textAlignment w:val="baseline"/>
                              <w:rPr>
                                <w:rFonts w:cs="Times New Roman"/>
                                <w:color w:val="000000"/>
                                <w:kern w:val="24"/>
                                <w:sz w:val="20"/>
                                <w:szCs w:val="20"/>
                              </w:rPr>
                            </w:pPr>
                            <w:r>
                              <w:rPr>
                                <w:rFonts w:cs="Times New Roman"/>
                                <w:color w:val="000000"/>
                                <w:kern w:val="24"/>
                                <w:sz w:val="20"/>
                                <w:szCs w:val="20"/>
                              </w:rPr>
                              <w:t>Olologo</w:t>
                            </w:r>
                          </w:p>
                        </w:txbxContent>
                      </wps:txbx>
                      <wps:bodyPr/>
                    </wps:wsp>
                  </a:graphicData>
                </a:graphic>
                <wp14:sizeRelH relativeFrom="page">
                  <wp14:pctWidth>0</wp14:pctWidth>
                </wp14:sizeRelH>
                <wp14:sizeRelV relativeFrom="page">
                  <wp14:pctHeight>0</wp14:pctHeight>
                </wp14:sizeRelV>
              </wp:anchor>
            </w:drawing>
          </mc:Choice>
          <mc:Fallback>
            <w:pict>
              <v:rect w14:anchorId="50A6C5F8" id="Rectangle 3" o:spid="_x0000_s1027" style="position:absolute;left:0;text-align:left;margin-left:199.8pt;margin-top:394.05pt;width:108pt;height:85.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" fillcolor="#090">
                <v:path arrowok="t"/>
                <v:textbox>
                  <w:txbxContent>
                    <w:p w14:paraId="73F11146" w14:textId="77777777" w:rsidR="005625B5" w:rsidRDefault="005625B5" w:rsidP="005625B5">
                      <w:pPr>
                        <w:jc w:val="center"/>
                        <w:textAlignment w:val="baseline"/>
                        <w:rPr>
                          <w:rFonts w:cs="Times New Roman"/>
                          <w:b/>
                          <w:bCs/>
                          <w:color w:val="000000"/>
                          <w:kern w:val="24"/>
                          <w:sz w:val="20"/>
                          <w:szCs w:val="20"/>
                        </w:rPr>
                      </w:pPr>
                      <w:r>
                        <w:rPr>
                          <w:rFonts w:cs="Times New Roman"/>
                          <w:b/>
                          <w:bCs/>
                          <w:color w:val="000000"/>
                          <w:kern w:val="24"/>
                          <w:sz w:val="20"/>
                          <w:szCs w:val="20"/>
                          <w:u w:val="single"/>
                        </w:rPr>
                        <w:t>Wilaya du Brakna :</w:t>
                      </w:r>
                    </w:p>
                    <w:p w14:paraId="0230AB9C" w14:textId="77777777" w:rsidR="005625B5" w:rsidRDefault="005625B5" w:rsidP="005625B5">
                      <w:pPr>
                        <w:pStyle w:val="Paragraphedeliste"/>
                        <w:numPr>
                          <w:ilvl w:val="0"/>
                          <w:numId w:val="59"/>
                        </w:numPr>
                        <w:spacing w:after="0" w:line="240" w:lineRule="auto"/>
                        <w:textAlignment w:val="baseline"/>
                        <w:rPr>
                          <w:rFonts w:cs="Times New Roman"/>
                          <w:color w:val="000000"/>
                          <w:kern w:val="24"/>
                          <w:sz w:val="20"/>
                          <w:szCs w:val="20"/>
                        </w:rPr>
                      </w:pPr>
                      <w:r>
                        <w:rPr>
                          <w:rFonts w:cs="Times New Roman"/>
                          <w:color w:val="000000"/>
                          <w:kern w:val="24"/>
                          <w:sz w:val="20"/>
                          <w:szCs w:val="20"/>
                        </w:rPr>
                        <w:t>Lopel</w:t>
                      </w:r>
                    </w:p>
                    <w:p w14:paraId="203438D8" w14:textId="77777777" w:rsidR="005625B5" w:rsidRDefault="005625B5" w:rsidP="005625B5">
                      <w:pPr>
                        <w:pStyle w:val="Paragraphedeliste"/>
                        <w:numPr>
                          <w:ilvl w:val="0"/>
                          <w:numId w:val="59"/>
                        </w:numPr>
                        <w:spacing w:after="0" w:line="240" w:lineRule="auto"/>
                        <w:textAlignment w:val="baseline"/>
                        <w:rPr>
                          <w:rFonts w:cs="Times New Roman"/>
                          <w:color w:val="000000"/>
                          <w:kern w:val="24"/>
                          <w:sz w:val="20"/>
                          <w:szCs w:val="20"/>
                        </w:rPr>
                      </w:pPr>
                      <w:r>
                        <w:rPr>
                          <w:rFonts w:cs="Times New Roman"/>
                          <w:color w:val="000000"/>
                          <w:kern w:val="24"/>
                          <w:sz w:val="20"/>
                          <w:szCs w:val="20"/>
                        </w:rPr>
                        <w:t>Silbé</w:t>
                      </w:r>
                    </w:p>
                    <w:p w14:paraId="0E7580A7" w14:textId="77777777" w:rsidR="005625B5" w:rsidRDefault="005625B5" w:rsidP="005625B5">
                      <w:pPr>
                        <w:pStyle w:val="Paragraphedeliste"/>
                        <w:numPr>
                          <w:ilvl w:val="0"/>
                          <w:numId w:val="59"/>
                        </w:numPr>
                        <w:spacing w:after="0" w:line="240" w:lineRule="auto"/>
                        <w:textAlignment w:val="baseline"/>
                        <w:rPr>
                          <w:rFonts w:cs="Times New Roman"/>
                          <w:color w:val="000000"/>
                          <w:kern w:val="24"/>
                          <w:sz w:val="20"/>
                          <w:szCs w:val="20"/>
                        </w:rPr>
                      </w:pPr>
                      <w:r>
                        <w:rPr>
                          <w:rFonts w:cs="Times New Roman"/>
                          <w:color w:val="000000"/>
                          <w:kern w:val="24"/>
                          <w:sz w:val="20"/>
                          <w:szCs w:val="20"/>
                        </w:rPr>
                        <w:t>Ganki</w:t>
                      </w:r>
                    </w:p>
                    <w:p w14:paraId="4CD54A67" w14:textId="77777777" w:rsidR="005625B5" w:rsidRDefault="005625B5" w:rsidP="005625B5">
                      <w:pPr>
                        <w:pStyle w:val="Paragraphedeliste"/>
                        <w:numPr>
                          <w:ilvl w:val="0"/>
                          <w:numId w:val="59"/>
                        </w:numPr>
                        <w:spacing w:after="0" w:line="240" w:lineRule="auto"/>
                        <w:textAlignment w:val="baseline"/>
                        <w:rPr>
                          <w:rFonts w:cs="Times New Roman"/>
                          <w:color w:val="000000"/>
                          <w:kern w:val="24"/>
                          <w:sz w:val="20"/>
                          <w:szCs w:val="20"/>
                        </w:rPr>
                      </w:pPr>
                      <w:r>
                        <w:rPr>
                          <w:rFonts w:cs="Times New Roman"/>
                          <w:color w:val="000000"/>
                          <w:kern w:val="24"/>
                          <w:sz w:val="20"/>
                          <w:szCs w:val="20"/>
                        </w:rPr>
                        <w:t>Olologo</w:t>
                      </w:r>
                    </w:p>
                  </w:txbxContent>
                </v:textbox>
              </v:rect>
            </w:pict>
          </mc:Fallback>
        </mc:AlternateContent>
      </w:r>
      <w:r>
        <w:rPr>
          <w:noProof/>
        </w:rPr>
        <mc:AlternateContent>
          <mc:Choice Requires="wps">
            <w:drawing>
              <wp:anchor distT="0" distB="0" distL="114300" distR="114300" simplePos="0" relativeHeight="251704320" behindDoc="0" locked="0" layoutInCell="1" allowOverlap="1" wp14:anchorId="597100FE" wp14:editId="5F3FE3D1">
                <wp:simplePos x="0" y="0"/>
                <wp:positionH relativeFrom="column">
                  <wp:posOffset>739140</wp:posOffset>
                </wp:positionH>
                <wp:positionV relativeFrom="paragraph">
                  <wp:posOffset>5067300</wp:posOffset>
                </wp:positionV>
                <wp:extent cx="1531620" cy="955675"/>
                <wp:effectExtent l="0" t="0" r="0" b="0"/>
                <wp:wrapNone/>
                <wp:docPr id="189278963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1620" cy="955675"/>
                        </a:xfrm>
                        <a:prstGeom prst="rect">
                          <a:avLst/>
                        </a:prstGeom>
                        <a:solidFill>
                          <a:srgbClr val="33CCFF"/>
                        </a:solidFill>
                        <a:ln w="9525">
                          <a:solidFill>
                            <a:srgbClr val="000000"/>
                          </a:solidFill>
                          <a:miter lim="800000"/>
                          <a:headEnd/>
                          <a:tailEnd/>
                        </a:ln>
                      </wps:spPr>
                      <wps:txbx>
                        <w:txbxContent>
                          <w:p w14:paraId="29774733" w14:textId="77777777" w:rsidR="005625B5" w:rsidRDefault="005625B5" w:rsidP="005625B5">
                            <w:pPr>
                              <w:jc w:val="center"/>
                              <w:textAlignment w:val="baseline"/>
                              <w:rPr>
                                <w:rFonts w:cs="Times New Roman"/>
                                <w:b/>
                                <w:bCs/>
                                <w:color w:val="000000"/>
                                <w:kern w:val="24"/>
                                <w:sz w:val="20"/>
                                <w:szCs w:val="20"/>
                              </w:rPr>
                            </w:pPr>
                            <w:r>
                              <w:rPr>
                                <w:rFonts w:cs="Times New Roman"/>
                                <w:b/>
                                <w:bCs/>
                                <w:color w:val="000000"/>
                                <w:kern w:val="24"/>
                                <w:sz w:val="20"/>
                                <w:szCs w:val="20"/>
                                <w:u w:val="single"/>
                              </w:rPr>
                              <w:t>Wilaya de Trarza :</w:t>
                            </w:r>
                          </w:p>
                          <w:p w14:paraId="5FF34252" w14:textId="77777777" w:rsidR="005625B5" w:rsidRDefault="005625B5" w:rsidP="005625B5">
                            <w:pPr>
                              <w:pStyle w:val="Paragraphedeliste"/>
                              <w:numPr>
                                <w:ilvl w:val="0"/>
                                <w:numId w:val="58"/>
                              </w:numPr>
                              <w:spacing w:after="0" w:line="240" w:lineRule="auto"/>
                              <w:textAlignment w:val="baseline"/>
                              <w:rPr>
                                <w:rFonts w:cs="Times New Roman"/>
                                <w:color w:val="000000"/>
                                <w:kern w:val="24"/>
                                <w:sz w:val="20"/>
                                <w:szCs w:val="20"/>
                              </w:rPr>
                            </w:pPr>
                            <w:r>
                              <w:rPr>
                                <w:rFonts w:cs="Times New Roman"/>
                                <w:color w:val="000000"/>
                                <w:kern w:val="24"/>
                                <w:sz w:val="20"/>
                                <w:szCs w:val="20"/>
                              </w:rPr>
                              <w:t>Gani</w:t>
                            </w:r>
                          </w:p>
                          <w:p w14:paraId="124438FB" w14:textId="77777777" w:rsidR="005625B5" w:rsidRDefault="005625B5" w:rsidP="005625B5">
                            <w:pPr>
                              <w:pStyle w:val="Paragraphedeliste"/>
                              <w:numPr>
                                <w:ilvl w:val="0"/>
                                <w:numId w:val="58"/>
                              </w:numPr>
                              <w:spacing w:after="0" w:line="240" w:lineRule="auto"/>
                              <w:textAlignment w:val="baseline"/>
                              <w:rPr>
                                <w:rFonts w:cs="Times New Roman"/>
                                <w:color w:val="000000"/>
                                <w:kern w:val="24"/>
                                <w:sz w:val="20"/>
                                <w:szCs w:val="20"/>
                              </w:rPr>
                            </w:pPr>
                            <w:r>
                              <w:rPr>
                                <w:rFonts w:cs="Times New Roman"/>
                                <w:color w:val="000000"/>
                                <w:kern w:val="24"/>
                                <w:sz w:val="20"/>
                                <w:szCs w:val="20"/>
                              </w:rPr>
                              <w:t xml:space="preserve">Keur Mour </w:t>
                            </w:r>
                          </w:p>
                          <w:p w14:paraId="5E4AABF4" w14:textId="77777777" w:rsidR="005625B5" w:rsidRDefault="005625B5" w:rsidP="005625B5">
                            <w:pPr>
                              <w:pStyle w:val="Paragraphedeliste"/>
                              <w:numPr>
                                <w:ilvl w:val="0"/>
                                <w:numId w:val="57"/>
                              </w:numPr>
                              <w:spacing w:after="0" w:line="240" w:lineRule="auto"/>
                              <w:textAlignment w:val="baseline"/>
                              <w:rPr>
                                <w:rFonts w:cs="Times New Roman"/>
                                <w:color w:val="000000"/>
                                <w:kern w:val="24"/>
                                <w:sz w:val="20"/>
                                <w:szCs w:val="20"/>
                              </w:rPr>
                            </w:pPr>
                            <w:r>
                              <w:rPr>
                                <w:rFonts w:cs="Times New Roman"/>
                                <w:color w:val="000000"/>
                                <w:kern w:val="24"/>
                                <w:sz w:val="20"/>
                                <w:szCs w:val="20"/>
                              </w:rPr>
                              <w:t>Djoli</w:t>
                            </w:r>
                          </w:p>
                        </w:txbxContent>
                      </wps:txbx>
                      <wps:bodyPr/>
                    </wps:wsp>
                  </a:graphicData>
                </a:graphic>
                <wp14:sizeRelH relativeFrom="page">
                  <wp14:pctWidth>0</wp14:pctWidth>
                </wp14:sizeRelH>
                <wp14:sizeRelV relativeFrom="page">
                  <wp14:pctHeight>0</wp14:pctHeight>
                </wp14:sizeRelV>
              </wp:anchor>
            </w:drawing>
          </mc:Choice>
          <mc:Fallback>
            <w:pict>
              <v:rect w14:anchorId="597100FE" id="Rectangle 2" o:spid="_x0000_s1028" style="position:absolute;left:0;text-align:left;margin-left:58.2pt;margin-top:399pt;width:120.6pt;height:7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" fillcolor="#3cf">
                <v:path arrowok="t"/>
                <v:textbox>
                  <w:txbxContent>
                    <w:p w14:paraId="29774733" w14:textId="77777777" w:rsidR="005625B5" w:rsidRDefault="005625B5" w:rsidP="005625B5">
                      <w:pPr>
                        <w:jc w:val="center"/>
                        <w:textAlignment w:val="baseline"/>
                        <w:rPr>
                          <w:rFonts w:cs="Times New Roman"/>
                          <w:b/>
                          <w:bCs/>
                          <w:color w:val="000000"/>
                          <w:kern w:val="24"/>
                          <w:sz w:val="20"/>
                          <w:szCs w:val="20"/>
                        </w:rPr>
                      </w:pPr>
                      <w:r>
                        <w:rPr>
                          <w:rFonts w:cs="Times New Roman"/>
                          <w:b/>
                          <w:bCs/>
                          <w:color w:val="000000"/>
                          <w:kern w:val="24"/>
                          <w:sz w:val="20"/>
                          <w:szCs w:val="20"/>
                          <w:u w:val="single"/>
                        </w:rPr>
                        <w:t>Wilaya de Trarza :</w:t>
                      </w:r>
                    </w:p>
                    <w:p w14:paraId="5FF34252" w14:textId="77777777" w:rsidR="005625B5" w:rsidRDefault="005625B5" w:rsidP="005625B5">
                      <w:pPr>
                        <w:pStyle w:val="Paragraphedeliste"/>
                        <w:numPr>
                          <w:ilvl w:val="0"/>
                          <w:numId w:val="58"/>
                        </w:numPr>
                        <w:spacing w:after="0" w:line="240" w:lineRule="auto"/>
                        <w:textAlignment w:val="baseline"/>
                        <w:rPr>
                          <w:rFonts w:cs="Times New Roman"/>
                          <w:color w:val="000000"/>
                          <w:kern w:val="24"/>
                          <w:sz w:val="20"/>
                          <w:szCs w:val="20"/>
                        </w:rPr>
                      </w:pPr>
                      <w:r>
                        <w:rPr>
                          <w:rFonts w:cs="Times New Roman"/>
                          <w:color w:val="000000"/>
                          <w:kern w:val="24"/>
                          <w:sz w:val="20"/>
                          <w:szCs w:val="20"/>
                        </w:rPr>
                        <w:t>Gani</w:t>
                      </w:r>
                    </w:p>
                    <w:p w14:paraId="124438FB" w14:textId="77777777" w:rsidR="005625B5" w:rsidRDefault="005625B5" w:rsidP="005625B5">
                      <w:pPr>
                        <w:pStyle w:val="Paragraphedeliste"/>
                        <w:numPr>
                          <w:ilvl w:val="0"/>
                          <w:numId w:val="58"/>
                        </w:numPr>
                        <w:spacing w:after="0" w:line="240" w:lineRule="auto"/>
                        <w:textAlignment w:val="baseline"/>
                        <w:rPr>
                          <w:rFonts w:cs="Times New Roman"/>
                          <w:color w:val="000000"/>
                          <w:kern w:val="24"/>
                          <w:sz w:val="20"/>
                          <w:szCs w:val="20"/>
                        </w:rPr>
                      </w:pPr>
                      <w:r>
                        <w:rPr>
                          <w:rFonts w:cs="Times New Roman"/>
                          <w:color w:val="000000"/>
                          <w:kern w:val="24"/>
                          <w:sz w:val="20"/>
                          <w:szCs w:val="20"/>
                        </w:rPr>
                        <w:t xml:space="preserve">Keur Mour </w:t>
                      </w:r>
                    </w:p>
                    <w:p w14:paraId="5E4AABF4" w14:textId="77777777" w:rsidR="005625B5" w:rsidRDefault="005625B5" w:rsidP="005625B5">
                      <w:pPr>
                        <w:pStyle w:val="Paragraphedeliste"/>
                        <w:numPr>
                          <w:ilvl w:val="0"/>
                          <w:numId w:val="57"/>
                        </w:numPr>
                        <w:spacing w:after="0" w:line="240" w:lineRule="auto"/>
                        <w:textAlignment w:val="baseline"/>
                        <w:rPr>
                          <w:rFonts w:cs="Times New Roman"/>
                          <w:color w:val="000000"/>
                          <w:kern w:val="24"/>
                          <w:sz w:val="20"/>
                          <w:szCs w:val="20"/>
                        </w:rPr>
                      </w:pPr>
                      <w:r>
                        <w:rPr>
                          <w:rFonts w:cs="Times New Roman"/>
                          <w:color w:val="000000"/>
                          <w:kern w:val="24"/>
                          <w:sz w:val="20"/>
                          <w:szCs w:val="20"/>
                        </w:rPr>
                        <w:t>Djoli</w:t>
                      </w:r>
                    </w:p>
                  </w:txbxContent>
                </v:textbox>
              </v:rect>
            </w:pict>
          </mc:Fallback>
        </mc:AlternateContent>
      </w:r>
      <w:r w:rsidRPr="00C07990">
        <w:rPr>
          <w:rFonts w:ascii="Century Gothic" w:eastAsia="Times New Roman" w:hAnsi="Century Gothic" w:cs="Times New Roman"/>
          <w:noProof/>
          <w:sz w:val="24"/>
          <w:szCs w:val="24"/>
          <w:lang w:eastAsia="wo-SN"/>
        </w:rPr>
        <w:drawing>
          <wp:inline distT="0" distB="0" distL="0" distR="0" wp14:anchorId="3113B712" wp14:editId="5C6307D4">
            <wp:extent cx="5628640" cy="6153150"/>
            <wp:effectExtent l="0" t="0" r="0" b="0"/>
            <wp:docPr id="23994543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8640" cy="6153150"/>
                    </a:xfrm>
                    <a:prstGeom prst="rect">
                      <a:avLst/>
                    </a:prstGeom>
                    <a:noFill/>
                    <a:ln>
                      <a:noFill/>
                    </a:ln>
                  </pic:spPr>
                </pic:pic>
              </a:graphicData>
            </a:graphic>
          </wp:inline>
        </w:drawing>
      </w:r>
      <w:r>
        <w:rPr>
          <w:rFonts w:ascii="Century Gothic" w:eastAsia="Times New Roman" w:hAnsi="Century Gothic" w:cs="Times New Roman"/>
          <w:sz w:val="24"/>
          <w:szCs w:val="24"/>
          <w:lang w:val="fr-BE" w:eastAsia="wo-SN"/>
        </w:rPr>
        <w:t xml:space="preserve">  </w:t>
      </w:r>
    </w:p>
    <w:p w14:paraId="73B803CD"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L’état des forêts classées de la wilaya du Trarza est plus préoccupant que celui des deux autres wilayas. En effet, deux forêts classées (Koundi et Mbarwadji) ont été défrichées complétement et une menace sérieuse pèse sur les forêts classées restantes de la wilaya. Les formations forestières des deux autres wilayas (Brakna et Gorgol) sont dans un état de dégradation moins avancé que celui de la wilaya du Trarza. </w:t>
      </w:r>
    </w:p>
    <w:p w14:paraId="7576C063"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67BF8BFA"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Cette situation est due principalement au développement de la riziculture : les promoteurs agricoles, pour accéder aux financements et aux subventions du carburant, prennent des superficies de plus en plus grandes, coupent le bois et brûlent le sous-bois et après deux ou trois campagnes abandonnent les périmètres cultivés à cause de la baisse des rendements. </w:t>
      </w:r>
    </w:p>
    <w:p w14:paraId="3A69D2F5"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08CED261"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Par ailleurs, la destruction des écosystèmes forestiers dans le Diéri et le Walo augmente la pression sur les forêts classées pour satisfaire les besoins en bois-énergie et fourrage. En effet, les délits sont variés et de différentes gravités mais continus. Ils vont des prélèvements de bois pour les besoins locaux aux chargements des camions par les petits charbonniers, travaillant pour le compte des grands charbonniers, propriétaires des camions avec des complicités locales.    </w:t>
      </w:r>
    </w:p>
    <w:p w14:paraId="016990C2"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49E31AD3"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Toutefois, l’agriculture irriguée (la riziculture en particulier) est la cause principale de destruction des écosystèmes forestiers naturels dans la vallée du fleuve Sénégal et leur transformation par des espèces exotiques plus compétitives, voire envahissantes (Prosopis juliflora, notamment). </w:t>
      </w:r>
    </w:p>
    <w:p w14:paraId="2888DAE9"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2542DBD0"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Les principales conclusions de l’étude sont résumées dans ce qui suit : </w:t>
      </w:r>
    </w:p>
    <w:p w14:paraId="10F772C3"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7FFA5F27" w14:textId="77777777" w:rsidR="005625B5" w:rsidRDefault="005625B5" w:rsidP="005625B5">
      <w:pPr>
        <w:numPr>
          <w:ilvl w:val="0"/>
          <w:numId w:val="61"/>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Le rôle prépondérant des combustibles forestiers (bois de chauffe et charbon de bois) pour la satisfaction des besoins énergétiques des ménages et les modes d’exploitation agricoles (agriculture extensive, riziculture irriguée sur défriches des forêts de la vallée du fleuve Sénégal) continuent d’évoluer au dépend des ressources et superficies forestières. </w:t>
      </w:r>
    </w:p>
    <w:p w14:paraId="432163D6" w14:textId="77777777" w:rsidR="005625B5" w:rsidRDefault="005625B5" w:rsidP="005625B5">
      <w:pPr>
        <w:numPr>
          <w:ilvl w:val="0"/>
          <w:numId w:val="61"/>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Les potentialités en ressources forestières sont largement entamées par endroits (vallée du fleuve Sénégal, zones humides continentales) du fait des activités humaines et des changements climatiques (péjoration de la pluviométrie). </w:t>
      </w:r>
    </w:p>
    <w:p w14:paraId="72FFEE91" w14:textId="77777777" w:rsidR="005625B5" w:rsidRDefault="005625B5" w:rsidP="005625B5">
      <w:pPr>
        <w:numPr>
          <w:ilvl w:val="0"/>
          <w:numId w:val="61"/>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L’exploitation irrationnelle des formations forestières et leur transformation ont un impact écologique et socioéconomique majeur. Les investissements pour la restauration des écosystèmes forestiers dégradés sont sans aucune mesure comparables aux revenus tirés de ce mode d’exploitation non durable. </w:t>
      </w:r>
    </w:p>
    <w:p w14:paraId="5F702B1B"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6D32A384"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Par ailleurs, la gestion décentralisée des ressources naturelles commune en Mauritanie est une option de la phase d’orientation du Programme de 2001–2011, fruit de la coopération mauritano-allemande. En effet, face aux constats de dégradation des ressources naturelles fragiles du pays, la politique nationale s’orientait vers une plus grande implication et responsabilisation des populations dans la gestion de leur environnement pour mieux contribuer au développement durable. </w:t>
      </w:r>
    </w:p>
    <w:p w14:paraId="4AB7F0B2"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0D99AC51"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 démarche expérimentale entre 2001 et 2011 a combiné un travail de deux échelles complémentaires. Elle est attelée d’une part, à accompagner le ministère en charge de l’Environnement dans l’amélioration du cadre juridique national afin que le Code forestier permette et encadre le transfert de responsabilité de la gestion des ressources communes aux collectivités et aux associations locales et d’autre part, à appuyer les acteurs pour faciliter l’émergence des associations délégataires et acquisition par ces dernières des capacités de gestion indispensables à leur viabilité. </w:t>
      </w:r>
    </w:p>
    <w:p w14:paraId="5B74561F"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1918D408" w14:textId="77777777" w:rsidR="005625B5" w:rsidRPr="00DA7376"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 démarche ainsi mise au point a été développée dans deux wilayas du pays, le Guidimagha et le Hodh Gharbi. Le transfert de gestion a permis la reconnaissance d’une quarantaine d’associations qui gèrent les ressources sylvopastorales dans leurs communes et mènent des actions d’aménagement et de protection. L’analyse rétrospective de cette expérience sur ces dix années de gestion décentralisée des ressources naturelles a confirmé l’option de décentralisation.        </w:t>
      </w:r>
    </w:p>
    <w:p w14:paraId="688AF88B"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366DCAD5"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Les écosystèmes de ces régions sahéliennes sont marqués par des sécheresses récurrentes où la fragilité des milieux s’exprime particulièrement lorsque se développent des pressions continues sur les ressources naturelles renouvelables. Cette situation a lieu quand l’homme et son troupeau s’installent dans et autour des zones les plus favorables (zones humides et massifs forestiers) pour les exploiter en vue de satisfaire leurs besoins. </w:t>
      </w:r>
    </w:p>
    <w:p w14:paraId="2D0B1B28"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1E1D95D7"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Ces modes d’exploitations altèrent considérablement le patrimoine naturel sur lequel repose l’essentiel de l’économie locale et affectent donc grandement la sécurité alimentaire des communautés locales. Ces dernières finissent par affluer vers les grands centres urbains (phénomène d’exode rural) pour s’installer dans les périphéries, agrandissant ainsi les bidonvilles, la précarité et l’insécurité. </w:t>
      </w:r>
    </w:p>
    <w:p w14:paraId="700A1771"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4E324F0C"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Pour s’adapter à cette nouvelle réalité, une gestion s’appliquant sur le savoir-faire local et la responsabilisation des bénéficiaires directs s’est imposée en vue de contrer les pratiques non équitables et non durable de l’exploitation des ressources. En effet, la gestion centralisée, favorisant l’accès libre aux ressources naturelles communes, a montré ces limites face à la dégradation continue des écosystèmes de cette région du pays. </w:t>
      </w:r>
    </w:p>
    <w:p w14:paraId="7B0F6914"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193F2FC9"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Cette démarche basée sur la gestion décentralisée des ressources naturelles communes, s’est appuyée au départ sur une ouverture offerte par le Décret d’application du Code pastoral. En effet, le Code pastoral reconnaissait, dès 2004, la possibilité pour les communautés et les usagers de l’espace et des ressources sylvopastorales d’élaborer des conventions locales. </w:t>
      </w:r>
    </w:p>
    <w:p w14:paraId="2818EDE4"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5F6AFC53"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En 2007, la promulgation du nouveau Code forestier a autorisé et défini pleinement le transfert de la gestion des espaces aux collectivités locales. Ces dernières peuvent désormais déléguer cette fonction à des entités de gestion inter-villageoises sous réserve d’élaboration d’une convention locale qui assure la gestion durable de l’espace. </w:t>
      </w:r>
    </w:p>
    <w:p w14:paraId="265ED458"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1F0505CB"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 En effet, le Décret d’application de 2009 stipule dans son article 8 que : « Les collectivités locales peuvent déléguer la gestion des droits d’exploitation à des particuliers, notamment les associations impliquées dans la gestion des forêts et des terres à vocation forestières. » Ces associations doivent présenter des garanties de bonne gestion et doivent s’engager à respecter le cahier des charges. </w:t>
      </w:r>
    </w:p>
    <w:p w14:paraId="1EBBFDB6" w14:textId="77777777" w:rsidR="005625B5" w:rsidRPr="00F0005C" w:rsidRDefault="005625B5" w:rsidP="005625B5">
      <w:pPr>
        <w:tabs>
          <w:tab w:val="left" w:pos="426"/>
        </w:tabs>
        <w:spacing w:after="0" w:line="276" w:lineRule="auto"/>
        <w:jc w:val="both"/>
        <w:rPr>
          <w:rFonts w:ascii="Century Gothic" w:eastAsia="Times New Roman" w:hAnsi="Century Gothic" w:cs="Times New Roman"/>
          <w:sz w:val="10"/>
          <w:szCs w:val="10"/>
          <w:lang w:val="fr-BE" w:eastAsia="wo-SN"/>
        </w:rPr>
      </w:pPr>
    </w:p>
    <w:p w14:paraId="2D00F51A"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Pour la préservation et la régénération des ressources naturelles, deux outils de suivi d’impact environnemental du transfert de la responsabilité de gestion des ressources naturelles aux associations locales ont été développés dans le cadre du Programme 2001-2011 relatif à la gestion des ressources naturelles dans les deux wilayas du Guidimagha et du Hodh Gharbi, développé avec la coopération avec la coopération allemande. </w:t>
      </w:r>
    </w:p>
    <w:p w14:paraId="18C7B2F3" w14:textId="77777777" w:rsidR="005625B5" w:rsidRPr="00F0005C" w:rsidRDefault="005625B5" w:rsidP="005625B5">
      <w:pPr>
        <w:tabs>
          <w:tab w:val="left" w:pos="426"/>
        </w:tabs>
        <w:spacing w:after="0" w:line="276" w:lineRule="auto"/>
        <w:jc w:val="both"/>
        <w:rPr>
          <w:rFonts w:ascii="Century Gothic" w:eastAsia="Times New Roman" w:hAnsi="Century Gothic" w:cs="Times New Roman"/>
          <w:sz w:val="8"/>
          <w:szCs w:val="8"/>
          <w:lang w:val="fr-BE" w:eastAsia="wo-SN"/>
        </w:rPr>
      </w:pPr>
    </w:p>
    <w:p w14:paraId="4028D936"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Il s’agit de l’Indice du Couvert Végétal (ICV) et la comparaison des images satellites à dix ans d’intervalles à l’échelle des deux régions d’intervention. Ces deux dispositifs de suivi ont mis en évidence une amélioration du couvert végétal des espaces gérés par les associations. En effet, pour celles ayant bénéficié du transfert de gestion depuis 2004, six d’entre-elles ont obtenu des améliorations significatives du couvert végétal par rapport à la zone témoin et deux autres ont vu leurs ICV stagner alors que celui de la zone témoin a diminué entre 2004 et 2010. </w:t>
      </w:r>
    </w:p>
    <w:p w14:paraId="7A21CAA6" w14:textId="77777777" w:rsidR="005625B5" w:rsidRPr="00F0005C" w:rsidRDefault="005625B5" w:rsidP="005625B5">
      <w:pPr>
        <w:tabs>
          <w:tab w:val="left" w:pos="426"/>
        </w:tabs>
        <w:spacing w:after="0" w:line="276" w:lineRule="auto"/>
        <w:jc w:val="both"/>
        <w:rPr>
          <w:rFonts w:ascii="Century Gothic" w:eastAsia="Times New Roman" w:hAnsi="Century Gothic" w:cs="Times New Roman"/>
          <w:sz w:val="12"/>
          <w:szCs w:val="12"/>
          <w:lang w:val="fr-BE" w:eastAsia="wo-SN"/>
        </w:rPr>
      </w:pPr>
    </w:p>
    <w:p w14:paraId="7D6840EE"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Le processus de transfert de responsabilité de gestion des ressources naturelles communes aux organisations locales consiste en une succession de concertations locales, de négociations avec les communes, les services techniques et l’administration, de travaux de planification et d’organisation de démarches de reconnaissance administrative et juridique. Ce processus aboutit à la création d’Association de gestion locale collective (AGLC) qui deviennent officiellement responsables de la gestion d’un espace sylvopastoral bien connu. </w:t>
      </w:r>
    </w:p>
    <w:p w14:paraId="238FE9C4" w14:textId="77777777" w:rsidR="005625B5" w:rsidRPr="00F0005C" w:rsidRDefault="005625B5" w:rsidP="005625B5">
      <w:pPr>
        <w:tabs>
          <w:tab w:val="left" w:pos="426"/>
        </w:tabs>
        <w:spacing w:after="0" w:line="276" w:lineRule="auto"/>
        <w:jc w:val="both"/>
        <w:rPr>
          <w:rFonts w:ascii="Century Gothic" w:eastAsia="Times New Roman" w:hAnsi="Century Gothic" w:cs="Times New Roman"/>
          <w:sz w:val="12"/>
          <w:szCs w:val="12"/>
          <w:lang w:val="fr-BE" w:eastAsia="wo-SN"/>
        </w:rPr>
      </w:pPr>
    </w:p>
    <w:p w14:paraId="6307CF0E"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Les actions de gestion et d’aménagement des ressources naturelles communes concernent : </w:t>
      </w:r>
    </w:p>
    <w:p w14:paraId="20224861" w14:textId="77777777" w:rsidR="005625B5" w:rsidRDefault="005625B5" w:rsidP="005625B5">
      <w:pPr>
        <w:numPr>
          <w:ilvl w:val="0"/>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Le dispositif de surveillance de la mise en œuvre de la Convention locale ; </w:t>
      </w:r>
    </w:p>
    <w:p w14:paraId="5E3F8143" w14:textId="77777777" w:rsidR="005625B5" w:rsidRDefault="005625B5" w:rsidP="005625B5">
      <w:pPr>
        <w:numPr>
          <w:ilvl w:val="0"/>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Le relevé de données pour l’ICV avec le dendromètre de type « kramer » ;</w:t>
      </w:r>
    </w:p>
    <w:p w14:paraId="454EC0E1" w14:textId="77777777" w:rsidR="005625B5" w:rsidRDefault="005625B5" w:rsidP="005625B5">
      <w:pPr>
        <w:numPr>
          <w:ilvl w:val="0"/>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Le plan d’aménagement simplifié (PAS) qui comporte les règles spécifiques et les schémas d’aménagement comme complément à la convention locale ; </w:t>
      </w:r>
    </w:p>
    <w:p w14:paraId="794A53E6" w14:textId="77777777" w:rsidR="005625B5" w:rsidRDefault="005625B5" w:rsidP="005625B5">
      <w:pPr>
        <w:numPr>
          <w:ilvl w:val="0"/>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L’aménagement de des pare-feux pour la protection du capital fourrager ; </w:t>
      </w:r>
    </w:p>
    <w:p w14:paraId="3381886E" w14:textId="77777777" w:rsidR="005625B5" w:rsidRDefault="005625B5" w:rsidP="005625B5">
      <w:pPr>
        <w:numPr>
          <w:ilvl w:val="0"/>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 conservation des eaux et des sols par la mise en place de cordons pierreux sur terrains dégradés ; </w:t>
      </w:r>
    </w:p>
    <w:p w14:paraId="0B5BB0C4" w14:textId="77777777" w:rsidR="005625B5" w:rsidRDefault="005625B5" w:rsidP="005625B5">
      <w:pPr>
        <w:numPr>
          <w:ilvl w:val="0"/>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 valorisation des produits des ressources naturelles par le conditionnement de la gomme arabique, notamment. </w:t>
      </w:r>
    </w:p>
    <w:p w14:paraId="2513F2DC" w14:textId="62EB5B13" w:rsidR="005625B5" w:rsidRDefault="005625B5" w:rsidP="00360403">
      <w:pPr>
        <w:numPr>
          <w:ilvl w:val="0"/>
          <w:numId w:val="54"/>
        </w:numPr>
        <w:tabs>
          <w:tab w:val="left" w:pos="426"/>
        </w:tabs>
        <w:spacing w:before="160" w:after="0" w:line="276" w:lineRule="auto"/>
        <w:ind w:left="1077"/>
        <w:jc w:val="both"/>
        <w:rPr>
          <w:rFonts w:ascii="Century Gothic" w:eastAsia="Times New Roman" w:hAnsi="Century Gothic" w:cs="Times New Roman"/>
          <w:b/>
          <w:bCs/>
          <w:sz w:val="24"/>
          <w:szCs w:val="24"/>
          <w:lang w:val="wo-SN" w:eastAsia="wo-SN"/>
        </w:rPr>
      </w:pPr>
      <w:r w:rsidRPr="0077562E">
        <w:rPr>
          <w:rFonts w:ascii="Century Gothic" w:eastAsia="Times New Roman" w:hAnsi="Century Gothic" w:cs="Times New Roman"/>
          <w:b/>
          <w:bCs/>
          <w:sz w:val="24"/>
          <w:szCs w:val="24"/>
          <w:lang w:val="wo-SN" w:eastAsia="wo-SN"/>
        </w:rPr>
        <w:t>CO</w:t>
      </w:r>
      <w:r>
        <w:rPr>
          <w:rFonts w:ascii="Century Gothic" w:eastAsia="Times New Roman" w:hAnsi="Century Gothic" w:cs="Times New Roman"/>
          <w:b/>
          <w:bCs/>
          <w:sz w:val="24"/>
          <w:szCs w:val="24"/>
          <w:lang w:val="wo-SN" w:eastAsia="wo-SN"/>
        </w:rPr>
        <w:t xml:space="preserve">NCLUSION ET RECOMMANDATIONS </w:t>
      </w:r>
    </w:p>
    <w:p w14:paraId="09589554" w14:textId="77777777" w:rsidR="005625B5" w:rsidRPr="00EB2D8E" w:rsidRDefault="005625B5" w:rsidP="005625B5">
      <w:pPr>
        <w:tabs>
          <w:tab w:val="left" w:pos="426"/>
        </w:tabs>
        <w:spacing w:after="0" w:line="276" w:lineRule="auto"/>
        <w:jc w:val="both"/>
        <w:rPr>
          <w:rFonts w:ascii="Century Gothic" w:eastAsia="Times New Roman" w:hAnsi="Century Gothic" w:cs="Times New Roman"/>
          <w:b/>
          <w:bCs/>
          <w:sz w:val="6"/>
          <w:szCs w:val="6"/>
          <w:lang w:val="wo-SN" w:eastAsia="wo-SN"/>
        </w:rPr>
      </w:pPr>
    </w:p>
    <w:p w14:paraId="26655BDC" w14:textId="77777777" w:rsidR="005625B5" w:rsidRDefault="005625B5" w:rsidP="00EB2D8E">
      <w:pPr>
        <w:tabs>
          <w:tab w:val="left" w:pos="426"/>
        </w:tabs>
        <w:spacing w:after="0" w:line="276" w:lineRule="auto"/>
        <w:ind w:left="426"/>
        <w:jc w:val="both"/>
        <w:rPr>
          <w:rFonts w:ascii="Century Gothic" w:eastAsia="Times New Roman" w:hAnsi="Century Gothic" w:cs="Times New Roman"/>
          <w:sz w:val="24"/>
          <w:szCs w:val="24"/>
          <w:lang w:val="fr-BE" w:eastAsia="wo-SN"/>
        </w:rPr>
      </w:pPr>
      <w:r w:rsidRPr="00381A64">
        <w:rPr>
          <w:rFonts w:ascii="Century Gothic" w:eastAsia="Times New Roman" w:hAnsi="Century Gothic" w:cs="Times New Roman"/>
          <w:sz w:val="24"/>
          <w:szCs w:val="24"/>
          <w:lang w:val="fr-BE" w:eastAsia="wo-SN"/>
        </w:rPr>
        <w:t>La partie continentale du pays est fortement vulnérable au</w:t>
      </w:r>
      <w:r>
        <w:rPr>
          <w:rFonts w:ascii="Century Gothic" w:eastAsia="Times New Roman" w:hAnsi="Century Gothic" w:cs="Times New Roman"/>
          <w:sz w:val="24"/>
          <w:szCs w:val="24"/>
          <w:lang w:val="fr-BE" w:eastAsia="wo-SN"/>
        </w:rPr>
        <w:t>x</w:t>
      </w:r>
      <w:r w:rsidRPr="00381A64">
        <w:rPr>
          <w:rFonts w:ascii="Century Gothic" w:eastAsia="Times New Roman" w:hAnsi="Century Gothic" w:cs="Times New Roman"/>
          <w:sz w:val="24"/>
          <w:szCs w:val="24"/>
          <w:lang w:val="fr-BE" w:eastAsia="wo-SN"/>
        </w:rPr>
        <w:t xml:space="preserve"> changement</w:t>
      </w:r>
      <w:r>
        <w:rPr>
          <w:rFonts w:ascii="Century Gothic" w:eastAsia="Times New Roman" w:hAnsi="Century Gothic" w:cs="Times New Roman"/>
          <w:sz w:val="24"/>
          <w:szCs w:val="24"/>
          <w:lang w:val="fr-BE" w:eastAsia="wo-SN"/>
        </w:rPr>
        <w:t>s</w:t>
      </w:r>
      <w:r w:rsidRPr="00381A64">
        <w:rPr>
          <w:rFonts w:ascii="Century Gothic" w:eastAsia="Times New Roman" w:hAnsi="Century Gothic" w:cs="Times New Roman"/>
          <w:sz w:val="24"/>
          <w:szCs w:val="24"/>
          <w:lang w:val="fr-BE" w:eastAsia="wo-SN"/>
        </w:rPr>
        <w:t xml:space="preserve"> climatique</w:t>
      </w:r>
      <w:r>
        <w:rPr>
          <w:rFonts w:ascii="Century Gothic" w:eastAsia="Times New Roman" w:hAnsi="Century Gothic" w:cs="Times New Roman"/>
          <w:sz w:val="24"/>
          <w:szCs w:val="24"/>
          <w:lang w:val="fr-BE" w:eastAsia="wo-SN"/>
        </w:rPr>
        <w:t>s</w:t>
      </w:r>
      <w:r w:rsidRPr="00381A64">
        <w:rPr>
          <w:rFonts w:ascii="Century Gothic" w:eastAsia="Times New Roman" w:hAnsi="Century Gothic" w:cs="Times New Roman"/>
          <w:sz w:val="24"/>
          <w:szCs w:val="24"/>
          <w:lang w:val="fr-BE" w:eastAsia="wo-SN"/>
        </w:rPr>
        <w:t>.</w:t>
      </w:r>
      <w:r>
        <w:rPr>
          <w:rFonts w:ascii="Century Gothic" w:eastAsia="Times New Roman" w:hAnsi="Century Gothic" w:cs="Times New Roman"/>
          <w:sz w:val="24"/>
          <w:szCs w:val="24"/>
          <w:lang w:val="fr-BE" w:eastAsia="wo-SN"/>
        </w:rPr>
        <w:t xml:space="preserve"> En effet, elle est entièrement située dans le climat aride et le super-aride. L’absence et la rareté de la végétation, de plus en plus importante à cause des changements climatiques, accentue le phénomène de la désertification et ses corolaires socioéconomiques : déséquilibre du mode de gestion traditionnel des ressources naturelles, sédentarisation et exode rural vers les grands centres urbains. </w:t>
      </w:r>
    </w:p>
    <w:p w14:paraId="1981BE12"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21658664" w14:textId="77777777" w:rsidR="005625B5" w:rsidRPr="00381A64" w:rsidRDefault="005625B5" w:rsidP="00EB2D8E">
      <w:pPr>
        <w:tabs>
          <w:tab w:val="left" w:pos="426"/>
        </w:tabs>
        <w:spacing w:after="0" w:line="276" w:lineRule="auto"/>
        <w:ind w:left="426"/>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De manière plus spécifique, il s’agit de :   </w:t>
      </w:r>
      <w:r w:rsidRPr="00381A64">
        <w:rPr>
          <w:rFonts w:ascii="Century Gothic" w:eastAsia="Times New Roman" w:hAnsi="Century Gothic" w:cs="Times New Roman"/>
          <w:sz w:val="24"/>
          <w:szCs w:val="24"/>
          <w:lang w:val="fr-BE" w:eastAsia="wo-SN"/>
        </w:rPr>
        <w:t xml:space="preserve"> </w:t>
      </w:r>
    </w:p>
    <w:p w14:paraId="4EE1799A" w14:textId="77777777" w:rsidR="005625B5" w:rsidRPr="00EB2D8E" w:rsidRDefault="005625B5" w:rsidP="005625B5">
      <w:pPr>
        <w:tabs>
          <w:tab w:val="left" w:pos="426"/>
        </w:tabs>
        <w:spacing w:after="0" w:line="276" w:lineRule="auto"/>
        <w:jc w:val="both"/>
        <w:rPr>
          <w:rFonts w:ascii="Century Gothic" w:eastAsia="Times New Roman" w:hAnsi="Century Gothic" w:cs="Times New Roman"/>
          <w:sz w:val="6"/>
          <w:szCs w:val="6"/>
          <w:lang w:val="fr-BE" w:eastAsia="wo-SN"/>
        </w:rPr>
      </w:pPr>
    </w:p>
    <w:p w14:paraId="3B02E987" w14:textId="77777777" w:rsidR="005625B5" w:rsidRPr="00381A64" w:rsidRDefault="005625B5" w:rsidP="005625B5">
      <w:pPr>
        <w:numPr>
          <w:ilvl w:val="0"/>
          <w:numId w:val="82"/>
        </w:numPr>
        <w:tabs>
          <w:tab w:val="left" w:pos="426"/>
        </w:tabs>
        <w:spacing w:after="0" w:line="276" w:lineRule="auto"/>
        <w:jc w:val="both"/>
        <w:rPr>
          <w:rFonts w:ascii="Century Gothic" w:eastAsia="Times New Roman" w:hAnsi="Century Gothic" w:cs="Times New Roman"/>
          <w:sz w:val="24"/>
          <w:szCs w:val="24"/>
          <w:lang w:val="fr-BE" w:eastAsia="wo-SN"/>
        </w:rPr>
      </w:pPr>
      <w:r w:rsidRPr="00FD6E8B">
        <w:rPr>
          <w:rFonts w:ascii="Century Gothic" w:eastAsia="Times New Roman" w:hAnsi="Century Gothic" w:cs="Times New Roman"/>
          <w:b/>
          <w:bCs/>
          <w:sz w:val="24"/>
          <w:szCs w:val="24"/>
          <w:lang w:val="fr-BE" w:eastAsia="wo-SN"/>
        </w:rPr>
        <w:t>La zone saharienne</w:t>
      </w:r>
      <w:r>
        <w:rPr>
          <w:rFonts w:ascii="Century Gothic" w:eastAsia="Times New Roman" w:hAnsi="Century Gothic" w:cs="Times New Roman"/>
          <w:sz w:val="24"/>
          <w:szCs w:val="24"/>
          <w:lang w:val="fr-BE" w:eastAsia="wo-SN"/>
        </w:rPr>
        <w:t>,</w:t>
      </w:r>
      <w:r w:rsidRPr="00381A64">
        <w:rPr>
          <w:rFonts w:ascii="Century Gothic" w:eastAsia="Times New Roman" w:hAnsi="Century Gothic" w:cs="Times New Roman"/>
          <w:sz w:val="24"/>
          <w:szCs w:val="24"/>
          <w:lang w:val="fr-BE" w:eastAsia="wo-SN"/>
        </w:rPr>
        <w:t xml:space="preserve"> au nord du pays</w:t>
      </w:r>
      <w:r>
        <w:rPr>
          <w:rFonts w:ascii="Century Gothic" w:eastAsia="Times New Roman" w:hAnsi="Century Gothic" w:cs="Times New Roman"/>
          <w:sz w:val="24"/>
          <w:szCs w:val="24"/>
          <w:lang w:val="fr-BE" w:eastAsia="wo-SN"/>
        </w:rPr>
        <w:t xml:space="preserve">, qui </w:t>
      </w:r>
      <w:r w:rsidRPr="00381A64">
        <w:rPr>
          <w:rFonts w:ascii="Century Gothic" w:eastAsia="Times New Roman" w:hAnsi="Century Gothic" w:cs="Times New Roman"/>
          <w:sz w:val="24"/>
          <w:szCs w:val="24"/>
          <w:lang w:val="fr-BE" w:eastAsia="wo-SN"/>
        </w:rPr>
        <w:t>couvre la plus grande superficie</w:t>
      </w:r>
      <w:r>
        <w:rPr>
          <w:rFonts w:ascii="Century Gothic" w:eastAsia="Times New Roman" w:hAnsi="Century Gothic" w:cs="Times New Roman"/>
          <w:sz w:val="24"/>
          <w:szCs w:val="24"/>
          <w:lang w:val="fr-BE" w:eastAsia="wo-SN"/>
        </w:rPr>
        <w:t>,</w:t>
      </w:r>
      <w:r w:rsidRPr="00381A64">
        <w:rPr>
          <w:rFonts w:ascii="Century Gothic" w:eastAsia="Times New Roman" w:hAnsi="Century Gothic" w:cs="Times New Roman"/>
          <w:sz w:val="24"/>
          <w:szCs w:val="24"/>
          <w:lang w:val="fr-BE" w:eastAsia="wo-SN"/>
        </w:rPr>
        <w:t xml:space="preserve"> co</w:t>
      </w:r>
      <w:r>
        <w:rPr>
          <w:rFonts w:ascii="Century Gothic" w:eastAsia="Times New Roman" w:hAnsi="Century Gothic" w:cs="Times New Roman"/>
          <w:sz w:val="24"/>
          <w:szCs w:val="24"/>
          <w:lang w:val="fr-BE" w:eastAsia="wo-SN"/>
        </w:rPr>
        <w:t xml:space="preserve">mporte </w:t>
      </w:r>
      <w:r w:rsidRPr="00381A64">
        <w:rPr>
          <w:rFonts w:ascii="Century Gothic" w:eastAsia="Times New Roman" w:hAnsi="Century Gothic" w:cs="Times New Roman"/>
          <w:sz w:val="24"/>
          <w:szCs w:val="24"/>
          <w:lang w:val="fr-BE" w:eastAsia="wo-SN"/>
        </w:rPr>
        <w:t>quatre grandes wilayas (Adrar, Tiris Zemmour, Inchiri et Dakhlet Nouadhibou)</w:t>
      </w:r>
      <w:r>
        <w:rPr>
          <w:rFonts w:ascii="Century Gothic" w:eastAsia="Times New Roman" w:hAnsi="Century Gothic" w:cs="Times New Roman"/>
          <w:sz w:val="24"/>
          <w:szCs w:val="24"/>
          <w:lang w:val="fr-BE" w:eastAsia="wo-SN"/>
        </w:rPr>
        <w:t xml:space="preserve">. Elle </w:t>
      </w:r>
      <w:r w:rsidRPr="00381A64">
        <w:rPr>
          <w:rFonts w:ascii="Century Gothic" w:eastAsia="Times New Roman" w:hAnsi="Century Gothic" w:cs="Times New Roman"/>
          <w:sz w:val="24"/>
          <w:szCs w:val="24"/>
          <w:lang w:val="fr-BE" w:eastAsia="wo-SN"/>
        </w:rPr>
        <w:t>connait un ensablement de plus en plus important de</w:t>
      </w:r>
      <w:r>
        <w:rPr>
          <w:rFonts w:ascii="Century Gothic" w:eastAsia="Times New Roman" w:hAnsi="Century Gothic" w:cs="Times New Roman"/>
          <w:sz w:val="24"/>
          <w:szCs w:val="24"/>
          <w:lang w:val="fr-BE" w:eastAsia="wo-SN"/>
        </w:rPr>
        <w:t xml:space="preserve"> </w:t>
      </w:r>
      <w:r w:rsidRPr="00381A64">
        <w:rPr>
          <w:rFonts w:ascii="Century Gothic" w:eastAsia="Times New Roman" w:hAnsi="Century Gothic" w:cs="Times New Roman"/>
          <w:sz w:val="24"/>
          <w:szCs w:val="24"/>
          <w:lang w:val="fr-BE" w:eastAsia="wo-SN"/>
        </w:rPr>
        <w:t>s</w:t>
      </w:r>
      <w:r>
        <w:rPr>
          <w:rFonts w:ascii="Century Gothic" w:eastAsia="Times New Roman" w:hAnsi="Century Gothic" w:cs="Times New Roman"/>
          <w:sz w:val="24"/>
          <w:szCs w:val="24"/>
          <w:lang w:val="fr-BE" w:eastAsia="wo-SN"/>
        </w:rPr>
        <w:t>es</w:t>
      </w:r>
      <w:r w:rsidRPr="00381A64">
        <w:rPr>
          <w:rFonts w:ascii="Century Gothic" w:eastAsia="Times New Roman" w:hAnsi="Century Gothic" w:cs="Times New Roman"/>
          <w:sz w:val="24"/>
          <w:szCs w:val="24"/>
          <w:lang w:val="fr-BE" w:eastAsia="wo-SN"/>
        </w:rPr>
        <w:t xml:space="preserve"> infrastructures socioéconomiques telles que, les routes, les habitations, les oasis, ... </w:t>
      </w:r>
      <w:r>
        <w:rPr>
          <w:rFonts w:ascii="Century Gothic" w:eastAsia="Times New Roman" w:hAnsi="Century Gothic" w:cs="Times New Roman"/>
          <w:sz w:val="24"/>
          <w:szCs w:val="24"/>
          <w:lang w:val="fr-BE" w:eastAsia="wo-SN"/>
        </w:rPr>
        <w:t xml:space="preserve">Les changements climatiques ont d’autres impacts négatifs sur les écosystèmes de cette zone comme la hausse des températures et les tempêtes de sables. </w:t>
      </w:r>
    </w:p>
    <w:p w14:paraId="79C5BF0D" w14:textId="77777777" w:rsidR="005625B5" w:rsidRPr="00E6625D" w:rsidRDefault="005625B5" w:rsidP="005625B5">
      <w:pPr>
        <w:numPr>
          <w:ilvl w:val="0"/>
          <w:numId w:val="82"/>
        </w:numPr>
        <w:tabs>
          <w:tab w:val="left" w:pos="426"/>
        </w:tabs>
        <w:spacing w:after="0" w:line="276" w:lineRule="auto"/>
        <w:jc w:val="both"/>
        <w:rPr>
          <w:rFonts w:ascii="Century Gothic" w:eastAsia="Times New Roman" w:hAnsi="Century Gothic" w:cs="Times New Roman"/>
          <w:sz w:val="24"/>
          <w:szCs w:val="24"/>
          <w:lang w:val="fr-BE" w:eastAsia="wo-SN"/>
        </w:rPr>
      </w:pPr>
      <w:r w:rsidRPr="00FD6E8B">
        <w:rPr>
          <w:rFonts w:ascii="Century Gothic" w:eastAsia="Times New Roman" w:hAnsi="Century Gothic" w:cs="Times New Roman"/>
          <w:b/>
          <w:bCs/>
          <w:sz w:val="24"/>
          <w:szCs w:val="24"/>
          <w:lang w:val="fr-BE" w:eastAsia="wo-SN"/>
        </w:rPr>
        <w:t>La zone sahélienne</w:t>
      </w:r>
      <w:r>
        <w:rPr>
          <w:rFonts w:ascii="Century Gothic" w:eastAsia="Times New Roman" w:hAnsi="Century Gothic" w:cs="Times New Roman"/>
          <w:sz w:val="24"/>
          <w:szCs w:val="24"/>
          <w:lang w:val="fr-BE" w:eastAsia="wo-SN"/>
        </w:rPr>
        <w:t>,</w:t>
      </w:r>
      <w:r w:rsidRPr="00381A64">
        <w:rPr>
          <w:rFonts w:ascii="Century Gothic" w:eastAsia="Times New Roman" w:hAnsi="Century Gothic" w:cs="Times New Roman"/>
          <w:sz w:val="24"/>
          <w:szCs w:val="24"/>
          <w:lang w:val="fr-BE" w:eastAsia="wo-SN"/>
        </w:rPr>
        <w:t xml:space="preserve"> au sud du pays</w:t>
      </w:r>
      <w:r>
        <w:rPr>
          <w:rFonts w:ascii="Century Gothic" w:eastAsia="Times New Roman" w:hAnsi="Century Gothic" w:cs="Times New Roman"/>
          <w:sz w:val="24"/>
          <w:szCs w:val="24"/>
          <w:lang w:val="fr-BE" w:eastAsia="wo-SN"/>
        </w:rPr>
        <w:t>,</w:t>
      </w:r>
      <w:r w:rsidRPr="00381A64">
        <w:rPr>
          <w:rFonts w:ascii="Century Gothic" w:eastAsia="Times New Roman" w:hAnsi="Century Gothic" w:cs="Times New Roman"/>
          <w:sz w:val="24"/>
          <w:szCs w:val="24"/>
          <w:lang w:val="fr-BE" w:eastAsia="wo-SN"/>
        </w:rPr>
        <w:t xml:space="preserve"> qui couvre les huit wilayas agrosylvopastorales</w:t>
      </w:r>
      <w:r>
        <w:rPr>
          <w:rFonts w:ascii="Century Gothic" w:eastAsia="Times New Roman" w:hAnsi="Century Gothic" w:cs="Times New Roman"/>
          <w:sz w:val="24"/>
          <w:szCs w:val="24"/>
          <w:lang w:val="fr-BE" w:eastAsia="wo-SN"/>
        </w:rPr>
        <w:t xml:space="preserve"> (les deux Hodhs, l’Assaba, le Tagant, le Guidimagha, le Brakna, le Gorgol et le Trarza), </w:t>
      </w:r>
      <w:r w:rsidRPr="00381A64">
        <w:rPr>
          <w:rFonts w:ascii="Century Gothic" w:eastAsia="Times New Roman" w:hAnsi="Century Gothic" w:cs="Times New Roman"/>
          <w:sz w:val="24"/>
          <w:szCs w:val="24"/>
          <w:lang w:val="fr-BE" w:eastAsia="wo-SN"/>
        </w:rPr>
        <w:t>recèle le plus de ressources naturelles renouvelables (faune, flore et végétation)</w:t>
      </w:r>
      <w:r>
        <w:rPr>
          <w:rFonts w:ascii="Century Gothic" w:eastAsia="Times New Roman" w:hAnsi="Century Gothic" w:cs="Times New Roman"/>
          <w:sz w:val="24"/>
          <w:szCs w:val="24"/>
          <w:lang w:val="fr-BE" w:eastAsia="wo-SN"/>
        </w:rPr>
        <w:t xml:space="preserve">. Elle </w:t>
      </w:r>
      <w:r w:rsidRPr="00381A64">
        <w:rPr>
          <w:rFonts w:ascii="Century Gothic" w:eastAsia="Times New Roman" w:hAnsi="Century Gothic" w:cs="Times New Roman"/>
          <w:sz w:val="24"/>
          <w:szCs w:val="24"/>
          <w:lang w:val="fr-BE" w:eastAsia="wo-SN"/>
        </w:rPr>
        <w:t>est impactée significativement</w:t>
      </w:r>
      <w:r>
        <w:rPr>
          <w:rFonts w:ascii="Century Gothic" w:eastAsia="Times New Roman" w:hAnsi="Century Gothic" w:cs="Times New Roman"/>
          <w:sz w:val="24"/>
          <w:szCs w:val="24"/>
          <w:lang w:val="fr-BE" w:eastAsia="wo-SN"/>
        </w:rPr>
        <w:t xml:space="preserve"> par les changements climatiques du fait principalement de la péjoration de la pluviométrie et de son caractère devenu aléatoire</w:t>
      </w:r>
      <w:r w:rsidRPr="00381A64">
        <w:rPr>
          <w:rFonts w:ascii="Century Gothic" w:eastAsia="Times New Roman" w:hAnsi="Century Gothic" w:cs="Times New Roman"/>
          <w:sz w:val="24"/>
          <w:szCs w:val="24"/>
          <w:lang w:val="fr-BE" w:eastAsia="wo-SN"/>
        </w:rPr>
        <w:t xml:space="preserve">. </w:t>
      </w:r>
      <w:r>
        <w:rPr>
          <w:rFonts w:ascii="Century Gothic" w:eastAsia="Times New Roman" w:hAnsi="Century Gothic" w:cs="Times New Roman"/>
          <w:sz w:val="24"/>
          <w:szCs w:val="24"/>
          <w:lang w:val="fr-BE" w:eastAsia="wo-SN"/>
        </w:rPr>
        <w:t xml:space="preserve">Il faut ajouter à cela, la coupe abusive du bois, la chasse illicite et les autres pratiques non durables d’exploitation des ressources naturelles.  </w:t>
      </w:r>
      <w:r w:rsidRPr="00381A64">
        <w:rPr>
          <w:rFonts w:ascii="Century Gothic" w:eastAsia="Times New Roman" w:hAnsi="Century Gothic" w:cs="Times New Roman"/>
          <w:sz w:val="24"/>
          <w:szCs w:val="24"/>
          <w:lang w:val="fr-BE" w:eastAsia="wo-SN"/>
        </w:rPr>
        <w:t xml:space="preserve"> </w:t>
      </w:r>
    </w:p>
    <w:p w14:paraId="323F3BDA" w14:textId="77777777" w:rsidR="005625B5" w:rsidRPr="00EB2D8E" w:rsidRDefault="005625B5" w:rsidP="005625B5">
      <w:pPr>
        <w:tabs>
          <w:tab w:val="left" w:pos="426"/>
        </w:tabs>
        <w:spacing w:after="0" w:line="276" w:lineRule="auto"/>
        <w:jc w:val="both"/>
        <w:rPr>
          <w:rFonts w:ascii="Century Gothic" w:eastAsia="Times New Roman" w:hAnsi="Century Gothic" w:cs="Times New Roman"/>
          <w:sz w:val="12"/>
          <w:szCs w:val="12"/>
          <w:lang w:val="fr-BE" w:eastAsia="wo-SN"/>
        </w:rPr>
      </w:pPr>
    </w:p>
    <w:p w14:paraId="3EE7E3DA" w14:textId="77777777" w:rsidR="005625B5" w:rsidRDefault="005625B5" w:rsidP="00EB2D8E">
      <w:pPr>
        <w:tabs>
          <w:tab w:val="left" w:pos="426"/>
        </w:tabs>
        <w:spacing w:after="0" w:line="276" w:lineRule="auto"/>
        <w:ind w:left="709"/>
        <w:jc w:val="both"/>
        <w:rPr>
          <w:rFonts w:ascii="Century Gothic" w:eastAsia="Times New Roman" w:hAnsi="Century Gothic" w:cs="Times New Roman"/>
          <w:sz w:val="24"/>
          <w:szCs w:val="24"/>
          <w:lang w:val="fr-BE" w:eastAsia="wo-SN"/>
        </w:rPr>
      </w:pPr>
      <w:r w:rsidRPr="00381A64">
        <w:rPr>
          <w:rFonts w:ascii="Century Gothic" w:eastAsia="Times New Roman" w:hAnsi="Century Gothic" w:cs="Times New Roman"/>
          <w:sz w:val="24"/>
          <w:szCs w:val="24"/>
          <w:lang w:val="fr-BE" w:eastAsia="wo-SN"/>
        </w:rPr>
        <w:t>Cette situation a des conséquences négatives significatives sur le cadre de vie et le bien-être de la population. En effet,</w:t>
      </w:r>
      <w:r>
        <w:rPr>
          <w:rFonts w:ascii="Century Gothic" w:eastAsia="Times New Roman" w:hAnsi="Century Gothic" w:cs="Times New Roman"/>
          <w:sz w:val="24"/>
          <w:szCs w:val="24"/>
          <w:lang w:val="fr-BE" w:eastAsia="wo-SN"/>
        </w:rPr>
        <w:t xml:space="preserve"> la dégradation des ressources naturelles, moyens de subsistance de la population, entraine celle-ci dans une spirale qui accentue leur surexploitation et finit par les pousser vers les grandes villes provoquant d’autres problèmes liés à la planification urbaine (bidonvilles ou gazras). </w:t>
      </w:r>
    </w:p>
    <w:p w14:paraId="611CEAE0"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2D6B748F" w14:textId="77777777" w:rsidR="005625B5" w:rsidRDefault="005625B5" w:rsidP="00EB2D8E">
      <w:pPr>
        <w:tabs>
          <w:tab w:val="left" w:pos="426"/>
        </w:tabs>
        <w:spacing w:after="0" w:line="276" w:lineRule="auto"/>
        <w:ind w:left="709"/>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Les écosystèmes de la partie terrestre du pays (zones saharienne et sahélienne et de transition) nécessitent donc des mesures d’adaptation aux nouvelles conditions naturelles dictées par les réalités des changements climatiques. En effet, les mesures d’adaptation nécessitent des préalables dont une partie est déjà réalisée (voir Annexes). </w:t>
      </w:r>
    </w:p>
    <w:p w14:paraId="0E635BFB"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14CC7158" w14:textId="77777777" w:rsidR="005625B5" w:rsidRDefault="005625B5" w:rsidP="00EB2D8E">
      <w:pPr>
        <w:tabs>
          <w:tab w:val="left" w:pos="426"/>
        </w:tabs>
        <w:spacing w:after="0" w:line="276" w:lineRule="auto"/>
        <w:ind w:left="709"/>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Il s’agit notamment d’identifier les écosystèmes vulnérables et menacés par les changements climatiques, y mener les études nécessaires pour élaborer des mesures appropriées, les mettre en œuvre et assurer leur suivi-évaluation. </w:t>
      </w:r>
    </w:p>
    <w:p w14:paraId="0225098D"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61EC0BC3" w14:textId="77777777" w:rsidR="005625B5" w:rsidRDefault="005625B5" w:rsidP="00EB2D8E">
      <w:pPr>
        <w:numPr>
          <w:ilvl w:val="0"/>
          <w:numId w:val="83"/>
        </w:numPr>
        <w:tabs>
          <w:tab w:val="left" w:pos="426"/>
        </w:tabs>
        <w:spacing w:after="0" w:line="276" w:lineRule="auto"/>
        <w:ind w:left="1134"/>
        <w:jc w:val="both"/>
        <w:rPr>
          <w:rFonts w:ascii="Century Gothic" w:eastAsia="Times New Roman" w:hAnsi="Century Gothic" w:cs="Times New Roman"/>
          <w:sz w:val="24"/>
          <w:szCs w:val="24"/>
          <w:lang w:val="fr-BE" w:eastAsia="wo-SN"/>
        </w:rPr>
      </w:pPr>
      <w:r w:rsidRPr="00D953B5">
        <w:rPr>
          <w:rFonts w:ascii="Century Gothic" w:eastAsia="Times New Roman" w:hAnsi="Century Gothic" w:cs="Times New Roman"/>
          <w:sz w:val="24"/>
          <w:szCs w:val="24"/>
          <w:highlight w:val="yellow"/>
          <w:lang w:val="fr-BE" w:eastAsia="wo-SN"/>
        </w:rPr>
        <w:t>17 sites socioéconomiques, menacées d’ensablement</w:t>
      </w:r>
      <w:r>
        <w:rPr>
          <w:rFonts w:ascii="Century Gothic" w:eastAsia="Times New Roman" w:hAnsi="Century Gothic" w:cs="Times New Roman"/>
          <w:sz w:val="24"/>
          <w:szCs w:val="24"/>
          <w:lang w:val="fr-BE" w:eastAsia="wo-SN"/>
        </w:rPr>
        <w:t xml:space="preserve">, sont déjà répertoriés dans la zone saharienne, cartographiés et des plans de protection sont élaborés et budgétisé (voir annexe 2). Il est recommandé de les mettre en œuvre, assurer leur suivi et dupliquer l’expérience vers d’autres sites menacés par l’ensablement. Il faut signaler que la zone sahélienne est aussi concernée par l’ensablement.     </w:t>
      </w:r>
    </w:p>
    <w:p w14:paraId="378C11C2" w14:textId="77777777" w:rsidR="005625B5" w:rsidRDefault="005625B5" w:rsidP="00EB2D8E">
      <w:pPr>
        <w:numPr>
          <w:ilvl w:val="0"/>
          <w:numId w:val="83"/>
        </w:numPr>
        <w:tabs>
          <w:tab w:val="left" w:pos="426"/>
        </w:tabs>
        <w:spacing w:after="0" w:line="276" w:lineRule="auto"/>
        <w:ind w:left="1134"/>
        <w:jc w:val="both"/>
        <w:rPr>
          <w:rFonts w:ascii="Century Gothic" w:eastAsia="Times New Roman" w:hAnsi="Century Gothic" w:cs="Times New Roman"/>
          <w:sz w:val="24"/>
          <w:szCs w:val="24"/>
          <w:lang w:val="fr-BE" w:eastAsia="wo-SN"/>
        </w:rPr>
      </w:pPr>
      <w:r w:rsidRPr="00D953B5">
        <w:rPr>
          <w:rFonts w:ascii="Century Gothic" w:eastAsia="Times New Roman" w:hAnsi="Century Gothic" w:cs="Times New Roman"/>
          <w:sz w:val="24"/>
          <w:szCs w:val="24"/>
          <w:highlight w:val="yellow"/>
          <w:lang w:val="fr-BE" w:eastAsia="wo-SN"/>
        </w:rPr>
        <w:t>33 zones humides continentales ont fait l’objet d’une étude écologique et socioéconomique</w:t>
      </w:r>
      <w:r>
        <w:rPr>
          <w:rFonts w:ascii="Century Gothic" w:eastAsia="Times New Roman" w:hAnsi="Century Gothic" w:cs="Times New Roman"/>
          <w:sz w:val="24"/>
          <w:szCs w:val="24"/>
          <w:lang w:val="fr-BE" w:eastAsia="wo-SN"/>
        </w:rPr>
        <w:t xml:space="preserve"> (voir annexe 3). Sur la base de cette étude, une cartographie et des plans de restauration de ces zones humides ont été élaborés. Il est fortement recommandé de les mettre en œuvre et de dupliquer cette expérience aux autres zones humides du pays. </w:t>
      </w:r>
    </w:p>
    <w:p w14:paraId="139208C2" w14:textId="77777777" w:rsidR="005625B5" w:rsidRDefault="005625B5" w:rsidP="00EB2D8E">
      <w:pPr>
        <w:numPr>
          <w:ilvl w:val="0"/>
          <w:numId w:val="83"/>
        </w:numPr>
        <w:tabs>
          <w:tab w:val="left" w:pos="426"/>
        </w:tabs>
        <w:spacing w:after="0" w:line="276" w:lineRule="auto"/>
        <w:ind w:left="1134"/>
        <w:jc w:val="both"/>
        <w:rPr>
          <w:rFonts w:ascii="Century Gothic" w:eastAsia="Times New Roman" w:hAnsi="Century Gothic" w:cs="Times New Roman"/>
          <w:sz w:val="24"/>
          <w:szCs w:val="24"/>
          <w:lang w:val="fr-BE" w:eastAsia="wo-SN"/>
        </w:rPr>
      </w:pPr>
      <w:r w:rsidRPr="00D953B5">
        <w:rPr>
          <w:rFonts w:ascii="Century Gothic" w:eastAsia="Times New Roman" w:hAnsi="Century Gothic" w:cs="Times New Roman"/>
          <w:sz w:val="24"/>
          <w:szCs w:val="24"/>
          <w:highlight w:val="yellow"/>
          <w:lang w:val="fr-BE" w:eastAsia="wo-SN"/>
        </w:rPr>
        <w:t>10 forêts classées dans trois wilayas de la vallée du fleuve Sénégal ont fait l’objet d’une étude qui a permis de les cartographier et d’identifier les principaux problèmes qu’elles rencontrent</w:t>
      </w:r>
      <w:r>
        <w:rPr>
          <w:rFonts w:ascii="Century Gothic" w:eastAsia="Times New Roman" w:hAnsi="Century Gothic" w:cs="Times New Roman"/>
          <w:sz w:val="24"/>
          <w:szCs w:val="24"/>
          <w:lang w:val="fr-BE" w:eastAsia="wo-SN"/>
        </w:rPr>
        <w:t xml:space="preserve"> (voir Annexe 4). Il est fortement recommandé de compléter cette étude et d’élaborer des plans d’aménagement de ces forêts, les mettre en œuvre, assurer leur suivi et dupliquer l’expérience aux autres forêts classées ou non classées du pays.         </w:t>
      </w:r>
    </w:p>
    <w:p w14:paraId="6466C6AD" w14:textId="77777777" w:rsidR="005625B5" w:rsidRDefault="005625B5" w:rsidP="00EB2D8E">
      <w:pPr>
        <w:numPr>
          <w:ilvl w:val="0"/>
          <w:numId w:val="83"/>
        </w:numPr>
        <w:tabs>
          <w:tab w:val="left" w:pos="426"/>
        </w:tabs>
        <w:spacing w:after="0" w:line="276" w:lineRule="auto"/>
        <w:ind w:left="1134"/>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 gestion décentralisée des ressources naturelles commune en Mauritanie est une option de la politique nationale s’orientant vers une plus grande implication et responsabilisation des populations dans la gestion de leur environnement pour mieux contribuer au développement durable. </w:t>
      </w:r>
    </w:p>
    <w:p w14:paraId="55E0D0A2" w14:textId="77777777" w:rsidR="005625B5" w:rsidRPr="00D953B5" w:rsidRDefault="005625B5" w:rsidP="00EB2D8E">
      <w:pPr>
        <w:numPr>
          <w:ilvl w:val="0"/>
          <w:numId w:val="83"/>
        </w:numPr>
        <w:tabs>
          <w:tab w:val="left" w:pos="426"/>
        </w:tabs>
        <w:spacing w:after="0" w:line="276" w:lineRule="auto"/>
        <w:ind w:left="1134"/>
        <w:jc w:val="both"/>
        <w:rPr>
          <w:rFonts w:ascii="Century Gothic" w:eastAsia="Times New Roman" w:hAnsi="Century Gothic" w:cs="Times New Roman"/>
          <w:sz w:val="24"/>
          <w:szCs w:val="24"/>
          <w:highlight w:val="yellow"/>
          <w:lang w:val="fr-BE" w:eastAsia="wo-SN"/>
        </w:rPr>
      </w:pPr>
      <w:r w:rsidRPr="00D953B5">
        <w:rPr>
          <w:rFonts w:ascii="Century Gothic" w:eastAsia="Times New Roman" w:hAnsi="Century Gothic" w:cs="Times New Roman"/>
          <w:sz w:val="24"/>
          <w:szCs w:val="24"/>
          <w:highlight w:val="yellow"/>
          <w:lang w:val="fr-BE" w:eastAsia="wo-SN"/>
        </w:rPr>
        <w:t xml:space="preserve">La forêt de Boully Beldi, dans la commune de Gouraye (Wilaya du Guidimagha) a fait l’objet d’un plan d’aménagement simplifié (PAS) dans la cadre de la décentralisation de la gestion des ressources naturelles (voir annexe 5). Le PAS de la forêt de Boully Beldi a été créé en 2002 pour une durée expérimentale de 10 ans. Il est recommandé de généraliser cette expérience dans toutes wilayas agrosylvopastorales. </w:t>
      </w:r>
    </w:p>
    <w:p w14:paraId="2CB0C55F"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1490A448" w14:textId="77777777" w:rsidR="005625B5" w:rsidRDefault="005625B5" w:rsidP="00EB2D8E">
      <w:pPr>
        <w:tabs>
          <w:tab w:val="left" w:pos="426"/>
        </w:tabs>
        <w:spacing w:after="0" w:line="276" w:lineRule="auto"/>
        <w:ind w:left="709"/>
        <w:jc w:val="both"/>
        <w:rPr>
          <w:rFonts w:ascii="Century Gothic" w:eastAsia="Times New Roman" w:hAnsi="Century Gothic" w:cs="Times New Roman"/>
          <w:sz w:val="24"/>
          <w:szCs w:val="24"/>
          <w:lang w:val="fr-BE" w:eastAsia="wo-SN"/>
        </w:rPr>
      </w:pPr>
      <w:r w:rsidRPr="00D953B5">
        <w:rPr>
          <w:rFonts w:ascii="Century Gothic" w:eastAsia="Times New Roman" w:hAnsi="Century Gothic" w:cs="Times New Roman"/>
          <w:sz w:val="24"/>
          <w:szCs w:val="24"/>
          <w:highlight w:val="lightGray"/>
          <w:lang w:val="fr-BE" w:eastAsia="wo-SN"/>
        </w:rPr>
        <w:t>Par ailleurs, la zone côtière nord du pays présente un potentiel considérable en énergie renouvelables (éolienne et solaire). Grâce à cette énergie propre, l’eau de mer peut être dessalée pour permettre l’irrigation des vastes zones désertiques, les rendant vertes et productives. De cette eau, peut-être développée de l’hydrogène vert, permettant la valorisation des ressources naturelle non renouvelables comme les mines de fer et d’or</w:t>
      </w:r>
      <w:r>
        <w:rPr>
          <w:rFonts w:ascii="Century Gothic" w:eastAsia="Times New Roman" w:hAnsi="Century Gothic" w:cs="Times New Roman"/>
          <w:sz w:val="24"/>
          <w:szCs w:val="24"/>
          <w:lang w:val="fr-BE" w:eastAsia="wo-SN"/>
        </w:rPr>
        <w:t xml:space="preserve">. </w:t>
      </w:r>
    </w:p>
    <w:p w14:paraId="0BFB1EAC"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3BD46F05" w14:textId="77777777" w:rsidR="005625B5" w:rsidRDefault="005625B5" w:rsidP="00EB2D8E">
      <w:pPr>
        <w:tabs>
          <w:tab w:val="left" w:pos="426"/>
        </w:tabs>
        <w:spacing w:after="0" w:line="276" w:lineRule="auto"/>
        <w:ind w:left="709"/>
        <w:jc w:val="both"/>
        <w:rPr>
          <w:rFonts w:ascii="Century Gothic" w:eastAsia="Times New Roman" w:hAnsi="Century Gothic" w:cs="Times New Roman"/>
          <w:sz w:val="24"/>
          <w:szCs w:val="24"/>
          <w:lang w:val="fr-BE" w:eastAsia="wo-SN"/>
        </w:rPr>
      </w:pPr>
      <w:r w:rsidRPr="00D953B5">
        <w:rPr>
          <w:rFonts w:ascii="Century Gothic" w:eastAsia="Times New Roman" w:hAnsi="Century Gothic" w:cs="Times New Roman"/>
          <w:sz w:val="24"/>
          <w:szCs w:val="24"/>
          <w:highlight w:val="green"/>
          <w:lang w:val="fr-BE" w:eastAsia="wo-SN"/>
        </w:rPr>
        <w:t>Cette opportunité est en train d’être saisie grâce à la politique nationale dans ce domaine : promulgation du Code de l’hydrogène vert et la signature de protocoles d’accord et de conventions avec différentes institutions internationales pour l’exploitation de ce potentiel dans des projets « gagnant – gagnant ».</w:t>
      </w:r>
      <w:r>
        <w:rPr>
          <w:rFonts w:ascii="Century Gothic" w:eastAsia="Times New Roman" w:hAnsi="Century Gothic" w:cs="Times New Roman"/>
          <w:sz w:val="24"/>
          <w:szCs w:val="24"/>
          <w:lang w:val="fr-BE" w:eastAsia="wo-SN"/>
        </w:rPr>
        <w:t xml:space="preserve">      </w:t>
      </w:r>
    </w:p>
    <w:p w14:paraId="4EF750AF" w14:textId="77777777" w:rsidR="00360403" w:rsidRDefault="00360403" w:rsidP="005625B5">
      <w:pPr>
        <w:pStyle w:val="Titre11"/>
        <w:tabs>
          <w:tab w:val="left" w:pos="821"/>
        </w:tabs>
        <w:spacing w:line="276" w:lineRule="auto"/>
        <w:ind w:left="0" w:firstLine="0"/>
        <w:jc w:val="both"/>
        <w:rPr>
          <w:rFonts w:ascii="Century Gothic" w:hAnsi="Century Gothic"/>
        </w:rPr>
      </w:pPr>
    </w:p>
    <w:p w14:paraId="5FB3F80B" w14:textId="5DC58BA5" w:rsidR="005625B5" w:rsidRDefault="005625B5" w:rsidP="00EB2D8E">
      <w:pPr>
        <w:pStyle w:val="Titre11"/>
        <w:tabs>
          <w:tab w:val="left" w:pos="5209"/>
        </w:tabs>
        <w:spacing w:line="276" w:lineRule="auto"/>
        <w:ind w:left="708" w:firstLine="0"/>
        <w:jc w:val="both"/>
        <w:rPr>
          <w:rFonts w:ascii="Century Gothic" w:hAnsi="Century Gothic"/>
        </w:rPr>
      </w:pPr>
      <w:r>
        <w:rPr>
          <w:rFonts w:ascii="Century Gothic" w:hAnsi="Century Gothic"/>
        </w:rPr>
        <w:t xml:space="preserve">REGERENCES BIBLIOGRAPHIQUES : </w:t>
      </w:r>
    </w:p>
    <w:p w14:paraId="163FA70C" w14:textId="77777777" w:rsidR="005625B5" w:rsidRPr="00EB2D8E" w:rsidRDefault="005625B5" w:rsidP="005625B5">
      <w:pPr>
        <w:pStyle w:val="Titre11"/>
        <w:tabs>
          <w:tab w:val="left" w:pos="821"/>
        </w:tabs>
        <w:spacing w:line="276" w:lineRule="auto"/>
        <w:ind w:left="0" w:firstLine="0"/>
        <w:jc w:val="both"/>
        <w:rPr>
          <w:rFonts w:ascii="Century Gothic" w:hAnsi="Century Gothic"/>
          <w:sz w:val="6"/>
          <w:szCs w:val="6"/>
        </w:rPr>
      </w:pPr>
    </w:p>
    <w:p w14:paraId="22F8442A" w14:textId="77777777" w:rsidR="005625B5" w:rsidRDefault="005625B5" w:rsidP="00EB2D8E">
      <w:pPr>
        <w:pStyle w:val="Titre11"/>
        <w:tabs>
          <w:tab w:val="left" w:pos="821"/>
        </w:tabs>
        <w:spacing w:line="276" w:lineRule="auto"/>
        <w:ind w:left="708" w:firstLine="0"/>
        <w:jc w:val="both"/>
        <w:rPr>
          <w:rFonts w:ascii="Century Gothic" w:hAnsi="Century Gothic"/>
          <w:b w:val="0"/>
          <w:bCs w:val="0"/>
        </w:rPr>
      </w:pPr>
      <w:r w:rsidRPr="002C5FC4">
        <w:rPr>
          <w:rFonts w:ascii="Century Gothic" w:hAnsi="Century Gothic"/>
        </w:rPr>
        <w:t>Communications nationales</w:t>
      </w:r>
      <w:r w:rsidRPr="00085FF4">
        <w:rPr>
          <w:rFonts w:ascii="Century Gothic" w:hAnsi="Century Gothic"/>
          <w:b w:val="0"/>
          <w:bCs w:val="0"/>
        </w:rPr>
        <w:t> </w:t>
      </w:r>
      <w:r w:rsidRPr="008F4B04">
        <w:rPr>
          <w:rFonts w:ascii="Century Gothic" w:hAnsi="Century Gothic"/>
        </w:rPr>
        <w:t>au changement climatique</w:t>
      </w:r>
      <w:r>
        <w:rPr>
          <w:rFonts w:ascii="Century Gothic" w:hAnsi="Century Gothic"/>
          <w:b w:val="0"/>
          <w:bCs w:val="0"/>
        </w:rPr>
        <w:t xml:space="preserve"> </w:t>
      </w:r>
      <w:r w:rsidRPr="00085FF4">
        <w:rPr>
          <w:rFonts w:ascii="Century Gothic" w:hAnsi="Century Gothic"/>
          <w:b w:val="0"/>
          <w:bCs w:val="0"/>
        </w:rPr>
        <w:t>: CNI,</w:t>
      </w:r>
      <w:r>
        <w:rPr>
          <w:rFonts w:ascii="Century Gothic" w:hAnsi="Century Gothic"/>
          <w:b w:val="0"/>
          <w:bCs w:val="0"/>
        </w:rPr>
        <w:t> 2001 ;</w:t>
      </w:r>
      <w:r w:rsidRPr="00085FF4">
        <w:rPr>
          <w:rFonts w:ascii="Century Gothic" w:hAnsi="Century Gothic"/>
          <w:b w:val="0"/>
          <w:bCs w:val="0"/>
        </w:rPr>
        <w:t xml:space="preserve"> 2</w:t>
      </w:r>
      <w:r w:rsidRPr="00085FF4">
        <w:rPr>
          <w:rFonts w:ascii="Century Gothic" w:hAnsi="Century Gothic"/>
          <w:b w:val="0"/>
          <w:bCs w:val="0"/>
          <w:vertAlign w:val="superscript"/>
        </w:rPr>
        <w:t>ème</w:t>
      </w:r>
      <w:r w:rsidRPr="00085FF4">
        <w:rPr>
          <w:rFonts w:ascii="Century Gothic" w:hAnsi="Century Gothic"/>
          <w:b w:val="0"/>
          <w:bCs w:val="0"/>
        </w:rPr>
        <w:t xml:space="preserve"> </w:t>
      </w:r>
      <w:r>
        <w:rPr>
          <w:rFonts w:ascii="Century Gothic" w:hAnsi="Century Gothic"/>
          <w:b w:val="0"/>
          <w:bCs w:val="0"/>
        </w:rPr>
        <w:t>CN</w:t>
      </w:r>
      <w:r w:rsidRPr="00085FF4">
        <w:rPr>
          <w:rFonts w:ascii="Century Gothic" w:hAnsi="Century Gothic"/>
          <w:b w:val="0"/>
          <w:bCs w:val="0"/>
        </w:rPr>
        <w:t>,</w:t>
      </w:r>
      <w:r>
        <w:rPr>
          <w:rFonts w:ascii="Century Gothic" w:hAnsi="Century Gothic"/>
          <w:b w:val="0"/>
          <w:bCs w:val="0"/>
        </w:rPr>
        <w:t xml:space="preserve"> 2008 ;</w:t>
      </w:r>
      <w:r w:rsidRPr="00085FF4">
        <w:rPr>
          <w:rFonts w:ascii="Century Gothic" w:hAnsi="Century Gothic"/>
          <w:b w:val="0"/>
          <w:bCs w:val="0"/>
        </w:rPr>
        <w:t xml:space="preserve"> 3</w:t>
      </w:r>
      <w:r w:rsidRPr="00085FF4">
        <w:rPr>
          <w:rFonts w:ascii="Century Gothic" w:hAnsi="Century Gothic"/>
          <w:b w:val="0"/>
          <w:bCs w:val="0"/>
          <w:vertAlign w:val="superscript"/>
        </w:rPr>
        <w:t>ème</w:t>
      </w:r>
      <w:r w:rsidRPr="00085FF4">
        <w:rPr>
          <w:rFonts w:ascii="Century Gothic" w:hAnsi="Century Gothic"/>
          <w:b w:val="0"/>
          <w:bCs w:val="0"/>
        </w:rPr>
        <w:t xml:space="preserve"> </w:t>
      </w:r>
      <w:r>
        <w:rPr>
          <w:rFonts w:ascii="Century Gothic" w:hAnsi="Century Gothic"/>
          <w:b w:val="0"/>
          <w:bCs w:val="0"/>
        </w:rPr>
        <w:t xml:space="preserve">CN, 2014 ; </w:t>
      </w:r>
      <w:r w:rsidRPr="00085FF4">
        <w:rPr>
          <w:rFonts w:ascii="Century Gothic" w:hAnsi="Century Gothic"/>
          <w:b w:val="0"/>
          <w:bCs w:val="0"/>
        </w:rPr>
        <w:t>4</w:t>
      </w:r>
      <w:r w:rsidRPr="00085FF4">
        <w:rPr>
          <w:rFonts w:ascii="Century Gothic" w:hAnsi="Century Gothic"/>
          <w:b w:val="0"/>
          <w:bCs w:val="0"/>
          <w:vertAlign w:val="superscript"/>
        </w:rPr>
        <w:t>ème</w:t>
      </w:r>
      <w:r w:rsidRPr="00085FF4">
        <w:rPr>
          <w:rFonts w:ascii="Century Gothic" w:hAnsi="Century Gothic"/>
          <w:b w:val="0"/>
          <w:bCs w:val="0"/>
        </w:rPr>
        <w:t xml:space="preserve"> CN</w:t>
      </w:r>
      <w:r>
        <w:rPr>
          <w:rFonts w:ascii="Century Gothic" w:hAnsi="Century Gothic"/>
          <w:b w:val="0"/>
          <w:bCs w:val="0"/>
        </w:rPr>
        <w:t xml:space="preserve">, </w:t>
      </w:r>
      <w:r w:rsidRPr="00085FF4">
        <w:rPr>
          <w:rFonts w:ascii="Century Gothic" w:hAnsi="Century Gothic"/>
          <w:b w:val="0"/>
          <w:bCs w:val="0"/>
        </w:rPr>
        <w:t>2019</w:t>
      </w:r>
      <w:r>
        <w:rPr>
          <w:rFonts w:ascii="Century Gothic" w:hAnsi="Century Gothic"/>
          <w:b w:val="0"/>
          <w:bCs w:val="0"/>
        </w:rPr>
        <w:t xml:space="preserve">.   </w:t>
      </w:r>
    </w:p>
    <w:p w14:paraId="295BB9B4" w14:textId="77777777" w:rsidR="005625B5" w:rsidRPr="00EB2D8E" w:rsidRDefault="005625B5" w:rsidP="005625B5">
      <w:pPr>
        <w:pStyle w:val="Titre11"/>
        <w:tabs>
          <w:tab w:val="left" w:pos="821"/>
        </w:tabs>
        <w:spacing w:line="276" w:lineRule="auto"/>
        <w:ind w:left="0" w:firstLine="0"/>
        <w:jc w:val="both"/>
        <w:rPr>
          <w:rFonts w:ascii="Century Gothic" w:hAnsi="Century Gothic"/>
          <w:b w:val="0"/>
          <w:bCs w:val="0"/>
          <w:sz w:val="8"/>
          <w:szCs w:val="8"/>
        </w:rPr>
      </w:pPr>
    </w:p>
    <w:p w14:paraId="3EEFFBF1" w14:textId="77777777" w:rsidR="005625B5" w:rsidRDefault="005625B5" w:rsidP="00EB2D8E">
      <w:pPr>
        <w:pStyle w:val="Titre11"/>
        <w:tabs>
          <w:tab w:val="left" w:pos="821"/>
        </w:tabs>
        <w:spacing w:line="276" w:lineRule="auto"/>
        <w:ind w:left="708" w:firstLine="0"/>
        <w:jc w:val="both"/>
        <w:rPr>
          <w:rFonts w:ascii="Century Gothic" w:hAnsi="Century Gothic"/>
          <w:b w:val="0"/>
          <w:bCs w:val="0"/>
        </w:rPr>
      </w:pPr>
      <w:r w:rsidRPr="00330113">
        <w:rPr>
          <w:rFonts w:ascii="Century Gothic" w:hAnsi="Century Gothic"/>
        </w:rPr>
        <w:t>Plan d’action de la mise en œuvre de la CDN (actualisation)</w:t>
      </w:r>
      <w:r>
        <w:rPr>
          <w:rFonts w:ascii="Century Gothic" w:hAnsi="Century Gothic"/>
          <w:b w:val="0"/>
          <w:bCs w:val="0"/>
        </w:rPr>
        <w:t xml:space="preserve"> : </w:t>
      </w:r>
    </w:p>
    <w:p w14:paraId="17A12651" w14:textId="77777777" w:rsidR="005625B5" w:rsidRDefault="005625B5" w:rsidP="005625B5">
      <w:pPr>
        <w:pStyle w:val="Titre11"/>
        <w:numPr>
          <w:ilvl w:val="0"/>
          <w:numId w:val="34"/>
        </w:numPr>
        <w:tabs>
          <w:tab w:val="left" w:pos="821"/>
        </w:tabs>
        <w:spacing w:line="276" w:lineRule="auto"/>
        <w:jc w:val="both"/>
        <w:rPr>
          <w:rFonts w:ascii="Century Gothic" w:hAnsi="Century Gothic"/>
          <w:b w:val="0"/>
          <w:bCs w:val="0"/>
        </w:rPr>
      </w:pPr>
      <w:r>
        <w:rPr>
          <w:rFonts w:ascii="Century Gothic" w:hAnsi="Century Gothic"/>
          <w:b w:val="0"/>
          <w:bCs w:val="0"/>
        </w:rPr>
        <w:t>Secteur de l’Habitat, de l’Urbanisme et de l’Aménagement, Août 2023 ;</w:t>
      </w:r>
    </w:p>
    <w:p w14:paraId="1C47BC22" w14:textId="77777777" w:rsidR="005625B5" w:rsidRDefault="005625B5" w:rsidP="005625B5">
      <w:pPr>
        <w:pStyle w:val="Titre11"/>
        <w:numPr>
          <w:ilvl w:val="0"/>
          <w:numId w:val="34"/>
        </w:numPr>
        <w:tabs>
          <w:tab w:val="left" w:pos="821"/>
        </w:tabs>
        <w:spacing w:line="276" w:lineRule="auto"/>
        <w:jc w:val="both"/>
        <w:rPr>
          <w:rFonts w:ascii="Century Gothic" w:hAnsi="Century Gothic"/>
          <w:b w:val="0"/>
          <w:bCs w:val="0"/>
        </w:rPr>
      </w:pPr>
      <w:r>
        <w:rPr>
          <w:rFonts w:ascii="Century Gothic" w:hAnsi="Century Gothic"/>
          <w:b w:val="0"/>
          <w:bCs w:val="0"/>
        </w:rPr>
        <w:t>Secteur de l’Hydraulique et de l’Assainissement, Février 2023 ;</w:t>
      </w:r>
    </w:p>
    <w:p w14:paraId="07091B81" w14:textId="77777777" w:rsidR="005625B5" w:rsidRDefault="005625B5" w:rsidP="005625B5">
      <w:pPr>
        <w:pStyle w:val="Titre11"/>
        <w:numPr>
          <w:ilvl w:val="0"/>
          <w:numId w:val="34"/>
        </w:numPr>
        <w:tabs>
          <w:tab w:val="left" w:pos="821"/>
        </w:tabs>
        <w:spacing w:line="276" w:lineRule="auto"/>
        <w:jc w:val="both"/>
        <w:rPr>
          <w:rFonts w:ascii="Century Gothic" w:hAnsi="Century Gothic"/>
          <w:b w:val="0"/>
          <w:bCs w:val="0"/>
        </w:rPr>
      </w:pPr>
      <w:r>
        <w:rPr>
          <w:rFonts w:ascii="Century Gothic" w:hAnsi="Century Gothic"/>
          <w:b w:val="0"/>
          <w:bCs w:val="0"/>
        </w:rPr>
        <w:t>Secteur de la santé, Avril 2023 ;</w:t>
      </w:r>
    </w:p>
    <w:p w14:paraId="0370CB5B" w14:textId="77777777" w:rsidR="005625B5" w:rsidRDefault="005625B5" w:rsidP="005625B5">
      <w:pPr>
        <w:pStyle w:val="Titre11"/>
        <w:numPr>
          <w:ilvl w:val="0"/>
          <w:numId w:val="34"/>
        </w:numPr>
        <w:tabs>
          <w:tab w:val="left" w:pos="821"/>
        </w:tabs>
        <w:spacing w:line="276" w:lineRule="auto"/>
        <w:jc w:val="both"/>
        <w:rPr>
          <w:rFonts w:ascii="Century Gothic" w:hAnsi="Century Gothic"/>
          <w:b w:val="0"/>
          <w:bCs w:val="0"/>
        </w:rPr>
      </w:pPr>
      <w:r>
        <w:rPr>
          <w:rFonts w:ascii="Century Gothic" w:hAnsi="Century Gothic"/>
          <w:b w:val="0"/>
          <w:bCs w:val="0"/>
        </w:rPr>
        <w:t>Secteur de l’Agriculture, Mars 2023 ;</w:t>
      </w:r>
    </w:p>
    <w:p w14:paraId="19360AF9" w14:textId="77777777" w:rsidR="005625B5" w:rsidRDefault="005625B5" w:rsidP="005625B5">
      <w:pPr>
        <w:pStyle w:val="Titre11"/>
        <w:numPr>
          <w:ilvl w:val="0"/>
          <w:numId w:val="34"/>
        </w:numPr>
        <w:tabs>
          <w:tab w:val="left" w:pos="821"/>
        </w:tabs>
        <w:spacing w:line="276" w:lineRule="auto"/>
        <w:jc w:val="both"/>
        <w:rPr>
          <w:rFonts w:ascii="Century Gothic" w:hAnsi="Century Gothic"/>
          <w:b w:val="0"/>
          <w:bCs w:val="0"/>
        </w:rPr>
      </w:pPr>
      <w:r>
        <w:rPr>
          <w:rFonts w:ascii="Century Gothic" w:hAnsi="Century Gothic"/>
          <w:b w:val="0"/>
          <w:bCs w:val="0"/>
        </w:rPr>
        <w:t xml:space="preserve">Secteur des Ressources naturelles, Mai 2023 ; </w:t>
      </w:r>
    </w:p>
    <w:p w14:paraId="494FACAD" w14:textId="77777777" w:rsidR="005625B5" w:rsidRDefault="005625B5" w:rsidP="005625B5">
      <w:pPr>
        <w:pStyle w:val="Titre11"/>
        <w:numPr>
          <w:ilvl w:val="0"/>
          <w:numId w:val="34"/>
        </w:numPr>
        <w:tabs>
          <w:tab w:val="left" w:pos="821"/>
        </w:tabs>
        <w:spacing w:line="276" w:lineRule="auto"/>
        <w:jc w:val="both"/>
        <w:rPr>
          <w:rFonts w:ascii="Century Gothic" w:hAnsi="Century Gothic"/>
          <w:b w:val="0"/>
          <w:bCs w:val="0"/>
        </w:rPr>
      </w:pPr>
      <w:r>
        <w:rPr>
          <w:rFonts w:ascii="Century Gothic" w:hAnsi="Century Gothic"/>
          <w:b w:val="0"/>
          <w:bCs w:val="0"/>
        </w:rPr>
        <w:t>Secteur de l’Education, Août 2023 ;</w:t>
      </w:r>
    </w:p>
    <w:p w14:paraId="10A047DC" w14:textId="77777777" w:rsidR="005625B5" w:rsidRDefault="005625B5" w:rsidP="005625B5">
      <w:pPr>
        <w:pStyle w:val="Titre11"/>
        <w:numPr>
          <w:ilvl w:val="0"/>
          <w:numId w:val="34"/>
        </w:numPr>
        <w:tabs>
          <w:tab w:val="left" w:pos="821"/>
        </w:tabs>
        <w:spacing w:line="276" w:lineRule="auto"/>
        <w:jc w:val="both"/>
        <w:rPr>
          <w:rFonts w:ascii="Century Gothic" w:hAnsi="Century Gothic"/>
          <w:b w:val="0"/>
          <w:bCs w:val="0"/>
        </w:rPr>
      </w:pPr>
      <w:r>
        <w:rPr>
          <w:rFonts w:ascii="Century Gothic" w:hAnsi="Century Gothic"/>
          <w:b w:val="0"/>
          <w:bCs w:val="0"/>
        </w:rPr>
        <w:t>Secteur Elevage, Mars, 2023 ;</w:t>
      </w:r>
    </w:p>
    <w:p w14:paraId="6FF182AF" w14:textId="77777777" w:rsidR="005625B5" w:rsidRDefault="005625B5" w:rsidP="005625B5">
      <w:pPr>
        <w:pStyle w:val="Titre11"/>
        <w:numPr>
          <w:ilvl w:val="0"/>
          <w:numId w:val="34"/>
        </w:numPr>
        <w:tabs>
          <w:tab w:val="left" w:pos="821"/>
        </w:tabs>
        <w:spacing w:line="276" w:lineRule="auto"/>
        <w:jc w:val="both"/>
        <w:rPr>
          <w:rFonts w:ascii="Century Gothic" w:hAnsi="Century Gothic"/>
          <w:b w:val="0"/>
          <w:bCs w:val="0"/>
        </w:rPr>
      </w:pPr>
      <w:r>
        <w:rPr>
          <w:rFonts w:ascii="Century Gothic" w:hAnsi="Century Gothic"/>
          <w:b w:val="0"/>
          <w:bCs w:val="0"/>
        </w:rPr>
        <w:t>Secteur Pétrole, Energie et Mines, Août 2023 ;</w:t>
      </w:r>
    </w:p>
    <w:p w14:paraId="1F2F6385" w14:textId="77777777" w:rsidR="005625B5" w:rsidRPr="00085FF4" w:rsidRDefault="005625B5" w:rsidP="005625B5">
      <w:pPr>
        <w:pStyle w:val="Titre11"/>
        <w:numPr>
          <w:ilvl w:val="0"/>
          <w:numId w:val="34"/>
        </w:numPr>
        <w:tabs>
          <w:tab w:val="left" w:pos="821"/>
        </w:tabs>
        <w:spacing w:line="276" w:lineRule="auto"/>
        <w:jc w:val="both"/>
        <w:rPr>
          <w:rFonts w:ascii="Century Gothic" w:hAnsi="Century Gothic"/>
          <w:b w:val="0"/>
          <w:bCs w:val="0"/>
        </w:rPr>
      </w:pPr>
      <w:r>
        <w:rPr>
          <w:rFonts w:ascii="Century Gothic" w:hAnsi="Century Gothic"/>
          <w:b w:val="0"/>
          <w:bCs w:val="0"/>
        </w:rPr>
        <w:t xml:space="preserve">Secteur Pêches, et Economie maritime, juillet 2023.    </w:t>
      </w:r>
    </w:p>
    <w:p w14:paraId="7809A72D" w14:textId="77777777" w:rsidR="005625B5" w:rsidRPr="00EB2D8E" w:rsidRDefault="005625B5" w:rsidP="005625B5">
      <w:pPr>
        <w:pStyle w:val="Titre11"/>
        <w:tabs>
          <w:tab w:val="left" w:pos="821"/>
        </w:tabs>
        <w:spacing w:line="276" w:lineRule="auto"/>
        <w:ind w:left="0" w:firstLine="0"/>
        <w:jc w:val="both"/>
        <w:rPr>
          <w:rFonts w:ascii="Century Gothic" w:hAnsi="Century Gothic"/>
          <w:b w:val="0"/>
          <w:bCs w:val="0"/>
          <w:sz w:val="12"/>
          <w:szCs w:val="12"/>
        </w:rPr>
      </w:pPr>
    </w:p>
    <w:p w14:paraId="255F5C97" w14:textId="77777777" w:rsidR="005625B5" w:rsidRDefault="005625B5" w:rsidP="00EB2D8E">
      <w:pPr>
        <w:pStyle w:val="Titre11"/>
        <w:tabs>
          <w:tab w:val="left" w:pos="821"/>
        </w:tabs>
        <w:spacing w:line="276" w:lineRule="auto"/>
        <w:ind w:left="708" w:firstLine="0"/>
        <w:jc w:val="both"/>
        <w:rPr>
          <w:rFonts w:ascii="Century Gothic" w:hAnsi="Century Gothic"/>
          <w:b w:val="0"/>
          <w:bCs w:val="0"/>
        </w:rPr>
      </w:pPr>
      <w:r w:rsidRPr="005434B2">
        <w:rPr>
          <w:rFonts w:ascii="Century Gothic" w:hAnsi="Century Gothic"/>
        </w:rPr>
        <w:t>MEDD, 202</w:t>
      </w:r>
      <w:r>
        <w:rPr>
          <w:rFonts w:ascii="Century Gothic" w:hAnsi="Century Gothic"/>
        </w:rPr>
        <w:t>4</w:t>
      </w:r>
      <w:r w:rsidRPr="005434B2">
        <w:rPr>
          <w:rFonts w:ascii="Century Gothic" w:hAnsi="Century Gothic"/>
          <w:b w:val="0"/>
          <w:bCs w:val="0"/>
        </w:rPr>
        <w:t xml:space="preserve">. Contribution Déterminée Nationale </w:t>
      </w:r>
      <w:r>
        <w:rPr>
          <w:rFonts w:ascii="Century Gothic" w:hAnsi="Century Gothic"/>
          <w:b w:val="0"/>
          <w:bCs w:val="0"/>
        </w:rPr>
        <w:t>– Plan d’action global de mise en œuvre (2021-2030)</w:t>
      </w:r>
      <w:r w:rsidRPr="005434B2">
        <w:rPr>
          <w:rFonts w:ascii="Century Gothic" w:hAnsi="Century Gothic"/>
          <w:b w:val="0"/>
          <w:bCs w:val="0"/>
        </w:rPr>
        <w:t>. MEDD et PNU</w:t>
      </w:r>
      <w:r>
        <w:rPr>
          <w:rFonts w:ascii="Century Gothic" w:hAnsi="Century Gothic"/>
          <w:b w:val="0"/>
          <w:bCs w:val="0"/>
        </w:rPr>
        <w:t>D.</w:t>
      </w:r>
      <w:r w:rsidRPr="005434B2">
        <w:rPr>
          <w:rFonts w:ascii="Century Gothic" w:hAnsi="Century Gothic"/>
          <w:b w:val="0"/>
          <w:bCs w:val="0"/>
        </w:rPr>
        <w:t xml:space="preserve"> </w:t>
      </w:r>
    </w:p>
    <w:p w14:paraId="566FCE6B" w14:textId="77777777" w:rsidR="005625B5" w:rsidRPr="00EB2D8E" w:rsidRDefault="005625B5" w:rsidP="005625B5">
      <w:pPr>
        <w:pStyle w:val="Titre11"/>
        <w:tabs>
          <w:tab w:val="left" w:pos="821"/>
        </w:tabs>
        <w:spacing w:line="276" w:lineRule="auto"/>
        <w:ind w:left="0" w:firstLine="0"/>
        <w:rPr>
          <w:rFonts w:ascii="Century Gothic" w:hAnsi="Century Gothic"/>
          <w:b w:val="0"/>
          <w:bCs w:val="0"/>
          <w:sz w:val="8"/>
          <w:szCs w:val="8"/>
        </w:rPr>
      </w:pPr>
    </w:p>
    <w:p w14:paraId="1A4EB63D" w14:textId="77777777" w:rsidR="005625B5" w:rsidRDefault="005625B5" w:rsidP="00EB2D8E">
      <w:pPr>
        <w:pStyle w:val="Titre11"/>
        <w:tabs>
          <w:tab w:val="left" w:pos="821"/>
        </w:tabs>
        <w:spacing w:line="276" w:lineRule="auto"/>
        <w:ind w:left="708" w:firstLine="0"/>
        <w:jc w:val="both"/>
        <w:rPr>
          <w:rFonts w:ascii="Century Gothic" w:hAnsi="Century Gothic"/>
          <w:b w:val="0"/>
          <w:bCs w:val="0"/>
        </w:rPr>
      </w:pPr>
      <w:r w:rsidRPr="005434B2">
        <w:rPr>
          <w:rFonts w:ascii="Century Gothic" w:hAnsi="Century Gothic"/>
        </w:rPr>
        <w:t>MAED, 2019</w:t>
      </w:r>
      <w:r w:rsidRPr="005434B2">
        <w:rPr>
          <w:rFonts w:ascii="Century Gothic" w:hAnsi="Century Gothic"/>
          <w:b w:val="0"/>
          <w:bCs w:val="0"/>
        </w:rPr>
        <w:t>. Enquête Permanente sur les Conditions de Vie des ménages : Tendances de la pauvreté monétaire et des inégalités en Mauritanie</w:t>
      </w:r>
      <w:bookmarkStart w:id="5" w:name="_Hlk81657003"/>
      <w:r w:rsidRPr="005434B2">
        <w:rPr>
          <w:rFonts w:ascii="Century Gothic" w:hAnsi="Century Gothic"/>
          <w:b w:val="0"/>
          <w:bCs w:val="0"/>
        </w:rPr>
        <w:t>, 48 p</w:t>
      </w:r>
      <w:bookmarkEnd w:id="5"/>
      <w:r>
        <w:rPr>
          <w:rFonts w:ascii="Century Gothic" w:hAnsi="Century Gothic"/>
          <w:b w:val="0"/>
          <w:bCs w:val="0"/>
        </w:rPr>
        <w:t>.</w:t>
      </w:r>
    </w:p>
    <w:p w14:paraId="58B2140E" w14:textId="77777777" w:rsidR="005625B5" w:rsidRDefault="005625B5" w:rsidP="005625B5">
      <w:pPr>
        <w:pStyle w:val="Titre11"/>
        <w:tabs>
          <w:tab w:val="left" w:pos="821"/>
        </w:tabs>
        <w:spacing w:line="276" w:lineRule="auto"/>
        <w:ind w:left="0" w:firstLine="0"/>
        <w:rPr>
          <w:rFonts w:ascii="Century Gothic" w:hAnsi="Century Gothic"/>
          <w:b w:val="0"/>
          <w:bCs w:val="0"/>
        </w:rPr>
      </w:pPr>
    </w:p>
    <w:p w14:paraId="42B84B61" w14:textId="77777777" w:rsidR="005625B5" w:rsidRDefault="005625B5" w:rsidP="00E47B64">
      <w:pPr>
        <w:pStyle w:val="Titre11"/>
        <w:tabs>
          <w:tab w:val="left" w:pos="821"/>
        </w:tabs>
        <w:spacing w:line="276" w:lineRule="auto"/>
        <w:ind w:left="708" w:firstLine="0"/>
        <w:jc w:val="both"/>
        <w:rPr>
          <w:rFonts w:ascii="Century Gothic" w:hAnsi="Century Gothic"/>
          <w:b w:val="0"/>
          <w:bCs w:val="0"/>
        </w:rPr>
      </w:pPr>
      <w:r w:rsidRPr="005434B2">
        <w:rPr>
          <w:rFonts w:ascii="Century Gothic" w:hAnsi="Century Gothic"/>
        </w:rPr>
        <w:t>MAED, 2016</w:t>
      </w:r>
      <w:r w:rsidRPr="005434B2">
        <w:rPr>
          <w:rFonts w:ascii="Century Gothic" w:hAnsi="Century Gothic"/>
          <w:b w:val="0"/>
          <w:bCs w:val="0"/>
        </w:rPr>
        <w:t>. Stratégie Nationale de Croissance Accélérée et de Prospérité Partagée (SCAPP) 2016-2030, 183 p.</w:t>
      </w:r>
    </w:p>
    <w:p w14:paraId="3330B077" w14:textId="77777777" w:rsidR="005625B5" w:rsidRDefault="005625B5" w:rsidP="005625B5">
      <w:pPr>
        <w:pStyle w:val="Titre11"/>
        <w:tabs>
          <w:tab w:val="left" w:pos="821"/>
        </w:tabs>
        <w:spacing w:line="276" w:lineRule="auto"/>
        <w:ind w:left="0" w:firstLine="0"/>
        <w:rPr>
          <w:rFonts w:ascii="Century Gothic" w:hAnsi="Century Gothic"/>
          <w:b w:val="0"/>
          <w:bCs w:val="0"/>
        </w:rPr>
      </w:pPr>
    </w:p>
    <w:p w14:paraId="6DEE921B" w14:textId="77777777" w:rsidR="005625B5" w:rsidRDefault="005625B5" w:rsidP="00E47B64">
      <w:pPr>
        <w:pStyle w:val="Titre11"/>
        <w:tabs>
          <w:tab w:val="left" w:pos="821"/>
        </w:tabs>
        <w:spacing w:line="276" w:lineRule="auto"/>
        <w:ind w:left="708" w:firstLine="0"/>
        <w:jc w:val="both"/>
        <w:rPr>
          <w:rFonts w:ascii="Century Gothic" w:hAnsi="Century Gothic"/>
          <w:b w:val="0"/>
          <w:bCs w:val="0"/>
        </w:rPr>
      </w:pPr>
      <w:r w:rsidRPr="005434B2">
        <w:rPr>
          <w:rFonts w:ascii="Century Gothic" w:hAnsi="Century Gothic"/>
        </w:rPr>
        <w:t>MEDD, 2021</w:t>
      </w:r>
      <w:r w:rsidRPr="005434B2">
        <w:rPr>
          <w:rFonts w:ascii="Century Gothic" w:hAnsi="Century Gothic"/>
          <w:b w:val="0"/>
          <w:bCs w:val="0"/>
        </w:rPr>
        <w:t>. Contribution Déterminée Nationale actualisée. MEDD et PNUD</w:t>
      </w:r>
      <w:r>
        <w:rPr>
          <w:rFonts w:ascii="Century Gothic" w:hAnsi="Century Gothic"/>
          <w:b w:val="0"/>
          <w:bCs w:val="0"/>
        </w:rPr>
        <w:t>.</w:t>
      </w:r>
      <w:r w:rsidRPr="005434B2">
        <w:rPr>
          <w:rFonts w:ascii="Century Gothic" w:hAnsi="Century Gothic"/>
          <w:b w:val="0"/>
          <w:bCs w:val="0"/>
        </w:rPr>
        <w:t xml:space="preserve"> </w:t>
      </w:r>
    </w:p>
    <w:p w14:paraId="7467FD95" w14:textId="77777777" w:rsidR="005625B5" w:rsidRDefault="005625B5" w:rsidP="005625B5">
      <w:pPr>
        <w:pStyle w:val="Titre11"/>
        <w:tabs>
          <w:tab w:val="left" w:pos="821"/>
        </w:tabs>
        <w:spacing w:line="276" w:lineRule="auto"/>
        <w:ind w:left="0" w:firstLine="0"/>
        <w:rPr>
          <w:rFonts w:ascii="Century Gothic" w:hAnsi="Century Gothic"/>
          <w:b w:val="0"/>
          <w:bCs w:val="0"/>
        </w:rPr>
      </w:pPr>
    </w:p>
    <w:p w14:paraId="54782CFF" w14:textId="77777777" w:rsidR="005625B5" w:rsidRDefault="005625B5" w:rsidP="00E47B64">
      <w:pPr>
        <w:pStyle w:val="Titre11"/>
        <w:tabs>
          <w:tab w:val="left" w:pos="821"/>
        </w:tabs>
        <w:spacing w:line="276" w:lineRule="auto"/>
        <w:ind w:left="708" w:firstLine="0"/>
        <w:jc w:val="both"/>
        <w:rPr>
          <w:rFonts w:ascii="Century Gothic" w:hAnsi="Century Gothic"/>
          <w:b w:val="0"/>
          <w:bCs w:val="0"/>
        </w:rPr>
      </w:pPr>
      <w:r w:rsidRPr="002C5FC4">
        <w:rPr>
          <w:rFonts w:ascii="Century Gothic" w:hAnsi="Century Gothic"/>
        </w:rPr>
        <w:t>MEDD, 2023</w:t>
      </w:r>
      <w:r>
        <w:rPr>
          <w:rFonts w:ascii="Century Gothic" w:hAnsi="Century Gothic"/>
          <w:b w:val="0"/>
          <w:bCs w:val="0"/>
        </w:rPr>
        <w:t xml:space="preserve">. Plan d’action de la mise en œuvre de la CDN, secteur des ressources naturelles ; </w:t>
      </w:r>
    </w:p>
    <w:p w14:paraId="216313D2" w14:textId="77777777" w:rsidR="005625B5" w:rsidRDefault="005625B5" w:rsidP="005625B5">
      <w:pPr>
        <w:pStyle w:val="Titre11"/>
        <w:tabs>
          <w:tab w:val="left" w:pos="821"/>
        </w:tabs>
        <w:spacing w:line="276" w:lineRule="auto"/>
        <w:ind w:left="0" w:firstLine="0"/>
        <w:rPr>
          <w:rFonts w:ascii="Century Gothic" w:hAnsi="Century Gothic"/>
          <w:b w:val="0"/>
          <w:bCs w:val="0"/>
        </w:rPr>
      </w:pPr>
      <w:r>
        <w:rPr>
          <w:rFonts w:ascii="Century Gothic" w:hAnsi="Century Gothic"/>
          <w:b w:val="0"/>
          <w:bCs w:val="0"/>
        </w:rPr>
        <w:t xml:space="preserve"> </w:t>
      </w:r>
    </w:p>
    <w:p w14:paraId="70FC2951" w14:textId="77777777" w:rsidR="005625B5" w:rsidRDefault="005625B5" w:rsidP="00E47B64">
      <w:pPr>
        <w:pStyle w:val="Titre11"/>
        <w:tabs>
          <w:tab w:val="left" w:pos="821"/>
        </w:tabs>
        <w:spacing w:line="276" w:lineRule="auto"/>
        <w:ind w:left="708" w:firstLine="0"/>
        <w:jc w:val="both"/>
        <w:rPr>
          <w:rFonts w:ascii="Century Gothic" w:hAnsi="Century Gothic"/>
          <w:b w:val="0"/>
          <w:bCs w:val="0"/>
        </w:rPr>
      </w:pPr>
      <w:r w:rsidRPr="005434B2">
        <w:rPr>
          <w:rFonts w:ascii="Century Gothic" w:hAnsi="Century Gothic"/>
        </w:rPr>
        <w:t>MEDD, 2017</w:t>
      </w:r>
      <w:r w:rsidRPr="005434B2">
        <w:rPr>
          <w:rFonts w:ascii="Century Gothic" w:hAnsi="Century Gothic"/>
          <w:b w:val="0"/>
          <w:bCs w:val="0"/>
        </w:rPr>
        <w:t>. Plan d’investissement multisectoriel du littoral mauritanien 2018-2022, 78 p.</w:t>
      </w:r>
    </w:p>
    <w:p w14:paraId="14C9F3F3" w14:textId="77777777" w:rsidR="005625B5" w:rsidRDefault="005625B5" w:rsidP="005625B5">
      <w:pPr>
        <w:pStyle w:val="Titre11"/>
        <w:tabs>
          <w:tab w:val="left" w:pos="821"/>
        </w:tabs>
        <w:spacing w:line="276" w:lineRule="auto"/>
        <w:ind w:left="0" w:firstLine="0"/>
        <w:rPr>
          <w:rFonts w:ascii="Century Gothic" w:hAnsi="Century Gothic"/>
          <w:b w:val="0"/>
          <w:bCs w:val="0"/>
        </w:rPr>
      </w:pPr>
    </w:p>
    <w:p w14:paraId="22A07DEE" w14:textId="77777777" w:rsidR="005625B5" w:rsidRDefault="005625B5" w:rsidP="00E47B64">
      <w:pPr>
        <w:pStyle w:val="Titre11"/>
        <w:tabs>
          <w:tab w:val="left" w:pos="821"/>
        </w:tabs>
        <w:spacing w:line="276" w:lineRule="auto"/>
        <w:ind w:left="708" w:firstLine="0"/>
        <w:jc w:val="both"/>
        <w:rPr>
          <w:rFonts w:ascii="Century Gothic" w:hAnsi="Century Gothic"/>
          <w:b w:val="0"/>
          <w:bCs w:val="0"/>
        </w:rPr>
      </w:pPr>
      <w:r w:rsidRPr="005434B2">
        <w:rPr>
          <w:rFonts w:ascii="Century Gothic" w:hAnsi="Century Gothic"/>
        </w:rPr>
        <w:t>MEDD, 2017</w:t>
      </w:r>
      <w:r>
        <w:rPr>
          <w:rFonts w:ascii="Century Gothic" w:hAnsi="Century Gothic"/>
          <w:b w:val="0"/>
          <w:bCs w:val="0"/>
        </w:rPr>
        <w:t>.</w:t>
      </w:r>
      <w:r w:rsidRPr="005434B2">
        <w:rPr>
          <w:rFonts w:ascii="Century Gothic" w:hAnsi="Century Gothic"/>
          <w:b w:val="0"/>
          <w:bCs w:val="0"/>
        </w:rPr>
        <w:t xml:space="preserve"> Plan Directeur d’Aménagement du littoral actualisé, 2017, 78 p.</w:t>
      </w:r>
    </w:p>
    <w:p w14:paraId="020BE656" w14:textId="77777777" w:rsidR="005625B5" w:rsidRDefault="005625B5" w:rsidP="005625B5">
      <w:pPr>
        <w:pStyle w:val="Titre11"/>
        <w:tabs>
          <w:tab w:val="left" w:pos="821"/>
        </w:tabs>
        <w:spacing w:line="276" w:lineRule="auto"/>
        <w:ind w:left="0" w:firstLine="0"/>
        <w:rPr>
          <w:rFonts w:ascii="Century Gothic" w:hAnsi="Century Gothic"/>
          <w:b w:val="0"/>
          <w:bCs w:val="0"/>
        </w:rPr>
      </w:pPr>
    </w:p>
    <w:p w14:paraId="1D9020AD" w14:textId="77777777" w:rsidR="005625B5" w:rsidRPr="005434B2" w:rsidRDefault="005625B5" w:rsidP="00E47B64">
      <w:pPr>
        <w:pStyle w:val="Titre11"/>
        <w:tabs>
          <w:tab w:val="left" w:pos="821"/>
        </w:tabs>
        <w:spacing w:line="276" w:lineRule="auto"/>
        <w:ind w:left="708" w:firstLine="0"/>
        <w:jc w:val="both"/>
        <w:rPr>
          <w:rFonts w:ascii="Century Gothic" w:hAnsi="Century Gothic"/>
          <w:b w:val="0"/>
          <w:bCs w:val="0"/>
        </w:rPr>
      </w:pPr>
      <w:r w:rsidRPr="005434B2">
        <w:rPr>
          <w:rFonts w:ascii="Century Gothic" w:hAnsi="Century Gothic"/>
        </w:rPr>
        <w:t>MEDD, 2017</w:t>
      </w:r>
      <w:r w:rsidRPr="005434B2">
        <w:rPr>
          <w:rFonts w:ascii="Century Gothic" w:hAnsi="Century Gothic"/>
          <w:b w:val="0"/>
          <w:bCs w:val="0"/>
        </w:rPr>
        <w:t>.  Stratégie Nationale de l’Environnement et du Développement Durable et son Plan D'Action, 2017-2021, 112 p.</w:t>
      </w:r>
    </w:p>
    <w:p w14:paraId="3D423F81" w14:textId="77777777" w:rsidR="005625B5" w:rsidRPr="005434B2" w:rsidRDefault="005625B5" w:rsidP="005625B5">
      <w:pPr>
        <w:pStyle w:val="Titre11"/>
        <w:tabs>
          <w:tab w:val="left" w:pos="821"/>
        </w:tabs>
        <w:spacing w:line="276" w:lineRule="auto"/>
        <w:ind w:left="0" w:firstLine="0"/>
        <w:jc w:val="both"/>
        <w:rPr>
          <w:rFonts w:ascii="Century Gothic" w:hAnsi="Century Gothic"/>
          <w:b w:val="0"/>
          <w:bCs w:val="0"/>
        </w:rPr>
      </w:pPr>
    </w:p>
    <w:p w14:paraId="318AFA40" w14:textId="77777777" w:rsidR="005625B5" w:rsidRDefault="005625B5" w:rsidP="00E47B64">
      <w:pPr>
        <w:pStyle w:val="Titre11"/>
        <w:tabs>
          <w:tab w:val="left" w:pos="821"/>
        </w:tabs>
        <w:spacing w:line="276" w:lineRule="auto"/>
        <w:ind w:left="708" w:firstLine="0"/>
        <w:jc w:val="both"/>
        <w:rPr>
          <w:rFonts w:ascii="Century Gothic" w:hAnsi="Century Gothic"/>
          <w:b w:val="0"/>
          <w:bCs w:val="0"/>
        </w:rPr>
      </w:pPr>
      <w:r w:rsidRPr="005434B2">
        <w:rPr>
          <w:rFonts w:ascii="Century Gothic" w:hAnsi="Century Gothic"/>
        </w:rPr>
        <w:t>Banque Mondiale</w:t>
      </w:r>
      <w:r w:rsidRPr="005434B2">
        <w:rPr>
          <w:rFonts w:ascii="Century Gothic" w:hAnsi="Century Gothic"/>
          <w:b w:val="0"/>
          <w:bCs w:val="0"/>
        </w:rPr>
        <w:t>, 2022. Rapport national sur le climat et le développement des pays du G5 (Burkina Faso, le Tchad, le Mali, la Mauritanie et le Niger). Groupe de la Banque Mondiale, 119 p.</w:t>
      </w:r>
    </w:p>
    <w:p w14:paraId="3BAF408B" w14:textId="77777777" w:rsidR="005625B5" w:rsidRPr="005434B2" w:rsidRDefault="005625B5" w:rsidP="005625B5">
      <w:pPr>
        <w:pStyle w:val="Titre11"/>
        <w:tabs>
          <w:tab w:val="left" w:pos="821"/>
        </w:tabs>
        <w:spacing w:line="276" w:lineRule="auto"/>
        <w:ind w:left="0" w:firstLine="0"/>
        <w:rPr>
          <w:rFonts w:ascii="Century Gothic" w:hAnsi="Century Gothic"/>
          <w:b w:val="0"/>
          <w:bCs w:val="0"/>
        </w:rPr>
      </w:pPr>
    </w:p>
    <w:p w14:paraId="4D4BDF6D" w14:textId="77777777" w:rsidR="005625B5" w:rsidRDefault="005625B5" w:rsidP="00E47B64">
      <w:pPr>
        <w:pStyle w:val="Titre11"/>
        <w:tabs>
          <w:tab w:val="left" w:pos="821"/>
        </w:tabs>
        <w:spacing w:line="276" w:lineRule="auto"/>
        <w:ind w:left="708" w:firstLine="0"/>
        <w:jc w:val="both"/>
        <w:rPr>
          <w:rFonts w:ascii="Century Gothic" w:hAnsi="Century Gothic"/>
          <w:b w:val="0"/>
          <w:bCs w:val="0"/>
        </w:rPr>
      </w:pPr>
      <w:r w:rsidRPr="005434B2">
        <w:rPr>
          <w:rFonts w:ascii="Century Gothic" w:hAnsi="Century Gothic"/>
        </w:rPr>
        <w:t>DPREM, 2023</w:t>
      </w:r>
      <w:r w:rsidRPr="005434B2">
        <w:rPr>
          <w:rFonts w:ascii="Century Gothic" w:hAnsi="Century Gothic"/>
          <w:b w:val="0"/>
          <w:bCs w:val="0"/>
        </w:rPr>
        <w:t>. Vision et stratégie pour la protection et la restauration des terres dégradées sur le plan national, Powerpoint, 17 slides</w:t>
      </w:r>
      <w:r>
        <w:rPr>
          <w:rFonts w:ascii="Century Gothic" w:hAnsi="Century Gothic"/>
          <w:b w:val="0"/>
          <w:bCs w:val="0"/>
        </w:rPr>
        <w:t>.</w:t>
      </w:r>
      <w:r w:rsidRPr="005434B2">
        <w:rPr>
          <w:rFonts w:ascii="Century Gothic" w:hAnsi="Century Gothic"/>
          <w:b w:val="0"/>
          <w:bCs w:val="0"/>
        </w:rPr>
        <w:t xml:space="preserve"> </w:t>
      </w:r>
    </w:p>
    <w:p w14:paraId="72C724A6" w14:textId="77777777" w:rsidR="005625B5" w:rsidRDefault="005625B5" w:rsidP="005625B5">
      <w:pPr>
        <w:pStyle w:val="Titre11"/>
        <w:tabs>
          <w:tab w:val="left" w:pos="821"/>
        </w:tabs>
        <w:spacing w:line="276" w:lineRule="auto"/>
        <w:ind w:left="0" w:firstLine="0"/>
        <w:jc w:val="both"/>
        <w:rPr>
          <w:rFonts w:ascii="Century Gothic" w:hAnsi="Century Gothic"/>
          <w:b w:val="0"/>
          <w:bCs w:val="0"/>
        </w:rPr>
      </w:pPr>
    </w:p>
    <w:p w14:paraId="5CD5DC27" w14:textId="77777777" w:rsidR="005625B5" w:rsidRPr="001839C6" w:rsidRDefault="005625B5" w:rsidP="00E47B64">
      <w:pPr>
        <w:pStyle w:val="Titre11"/>
        <w:tabs>
          <w:tab w:val="left" w:pos="821"/>
        </w:tabs>
        <w:spacing w:line="276" w:lineRule="auto"/>
        <w:ind w:left="708" w:firstLine="0"/>
        <w:jc w:val="both"/>
        <w:rPr>
          <w:rFonts w:ascii="Century Gothic" w:hAnsi="Century Gothic" w:cs="Times New Roman"/>
        </w:rPr>
      </w:pPr>
      <w:r w:rsidRPr="00EB2D8E">
        <w:rPr>
          <w:rFonts w:ascii="Century Gothic" w:hAnsi="Century Gothic"/>
        </w:rPr>
        <w:t>ProGRN</w:t>
      </w:r>
      <w:r w:rsidRPr="001839C6">
        <w:rPr>
          <w:rFonts w:ascii="Century Gothic" w:hAnsi="Century Gothic" w:cs="Times New Roman"/>
        </w:rPr>
        <w:t xml:space="preserve">, 2007. Conservation et utilisation des zones humides dans le Hodh Gharbi. SEPME/GIZ. 114 p.  </w:t>
      </w:r>
    </w:p>
    <w:p w14:paraId="136BBB15" w14:textId="77777777" w:rsidR="005625B5" w:rsidRPr="001839C6" w:rsidRDefault="005625B5" w:rsidP="005625B5">
      <w:pPr>
        <w:spacing w:after="0" w:line="276" w:lineRule="auto"/>
        <w:rPr>
          <w:rFonts w:ascii="Century Gothic" w:hAnsi="Century Gothic" w:cs="Times New Roman"/>
          <w:sz w:val="24"/>
          <w:szCs w:val="24"/>
        </w:rPr>
      </w:pPr>
    </w:p>
    <w:p w14:paraId="26F4D239" w14:textId="77777777" w:rsidR="005625B5" w:rsidRPr="001839C6" w:rsidRDefault="005625B5" w:rsidP="00E47B64">
      <w:pPr>
        <w:pStyle w:val="Titre11"/>
        <w:tabs>
          <w:tab w:val="left" w:pos="821"/>
        </w:tabs>
        <w:spacing w:line="276" w:lineRule="auto"/>
        <w:ind w:left="708" w:firstLine="0"/>
        <w:jc w:val="both"/>
        <w:rPr>
          <w:rFonts w:ascii="Century Gothic" w:hAnsi="Century Gothic" w:cs="Times New Roman"/>
        </w:rPr>
      </w:pPr>
      <w:r w:rsidRPr="001839C6">
        <w:rPr>
          <w:rFonts w:ascii="Century Gothic" w:hAnsi="Century Gothic" w:cs="Times New Roman"/>
        </w:rPr>
        <w:t>ProGRN, 2009 : Plan d'aménagement simplifié (PAS) de la forêt de « Bouli Beldi » de l’espace GLC de Moudji Sud. Rapport de mission,18 p.    </w:t>
      </w:r>
    </w:p>
    <w:p w14:paraId="19319406" w14:textId="77777777" w:rsidR="005625B5" w:rsidRPr="001839C6" w:rsidRDefault="005625B5" w:rsidP="005625B5">
      <w:pPr>
        <w:spacing w:after="0" w:line="276" w:lineRule="auto"/>
        <w:rPr>
          <w:rFonts w:ascii="Century Gothic" w:hAnsi="Century Gothic" w:cs="Times New Roman"/>
          <w:sz w:val="24"/>
          <w:szCs w:val="24"/>
        </w:rPr>
      </w:pPr>
    </w:p>
    <w:p w14:paraId="1E087051" w14:textId="036BFF3D" w:rsidR="005625B5" w:rsidRDefault="005625B5" w:rsidP="00E47B64">
      <w:pPr>
        <w:pStyle w:val="Titre11"/>
        <w:tabs>
          <w:tab w:val="left" w:pos="821"/>
        </w:tabs>
        <w:spacing w:line="276" w:lineRule="auto"/>
        <w:ind w:left="708" w:firstLine="0"/>
        <w:jc w:val="both"/>
        <w:rPr>
          <w:rFonts w:ascii="Century Gothic" w:hAnsi="Century Gothic" w:cs="Times New Roman"/>
        </w:rPr>
      </w:pPr>
      <w:r w:rsidRPr="001839C6">
        <w:rPr>
          <w:rFonts w:ascii="Century Gothic" w:hAnsi="Century Gothic" w:cs="Times New Roman"/>
        </w:rPr>
        <w:t xml:space="preserve">SAREP, 2024 : Sahara renaissance Project : </w:t>
      </w:r>
      <w:r w:rsidR="00360403" w:rsidRPr="001839C6">
        <w:rPr>
          <w:rFonts w:ascii="Century Gothic" w:hAnsi="Century Gothic" w:cs="Times New Roman"/>
        </w:rPr>
        <w:t>Préconcept</w:t>
      </w:r>
      <w:r w:rsidRPr="001839C6">
        <w:rPr>
          <w:rFonts w:ascii="Century Gothic" w:hAnsi="Century Gothic" w:cs="Times New Roman"/>
        </w:rPr>
        <w:t>, 134 p.</w:t>
      </w:r>
    </w:p>
    <w:p w14:paraId="7F050584" w14:textId="77777777" w:rsidR="00360403" w:rsidRDefault="00360403" w:rsidP="005625B5">
      <w:pPr>
        <w:spacing w:after="0" w:line="276" w:lineRule="auto"/>
        <w:rPr>
          <w:rFonts w:ascii="Century Gothic" w:hAnsi="Century Gothic" w:cs="Times New Roman"/>
          <w:sz w:val="24"/>
          <w:szCs w:val="24"/>
        </w:rPr>
      </w:pPr>
    </w:p>
    <w:p w14:paraId="3C34525F" w14:textId="613F04F0" w:rsidR="005625B5" w:rsidRDefault="005625B5" w:rsidP="00E47B64">
      <w:pPr>
        <w:pStyle w:val="Titre11"/>
        <w:tabs>
          <w:tab w:val="left" w:pos="821"/>
        </w:tabs>
        <w:spacing w:line="276" w:lineRule="auto"/>
        <w:ind w:left="708" w:firstLine="0"/>
        <w:jc w:val="both"/>
        <w:rPr>
          <w:rFonts w:ascii="Century Gothic" w:hAnsi="Century Gothic"/>
        </w:rPr>
      </w:pPr>
      <w:r>
        <w:rPr>
          <w:rFonts w:ascii="Century Gothic" w:hAnsi="Century Gothic"/>
        </w:rPr>
        <w:t xml:space="preserve">ANNEXES : </w:t>
      </w:r>
    </w:p>
    <w:p w14:paraId="3E48D7BD" w14:textId="77777777" w:rsidR="005625B5" w:rsidRPr="00C30385" w:rsidRDefault="005625B5" w:rsidP="005625B5">
      <w:pPr>
        <w:pStyle w:val="Titre11"/>
        <w:tabs>
          <w:tab w:val="left" w:pos="821"/>
        </w:tabs>
        <w:spacing w:line="276" w:lineRule="auto"/>
        <w:ind w:left="0" w:firstLine="0"/>
        <w:jc w:val="both"/>
        <w:rPr>
          <w:rFonts w:ascii="Century Gothic" w:hAnsi="Century Gothic"/>
          <w:sz w:val="16"/>
          <w:szCs w:val="16"/>
        </w:rPr>
      </w:pPr>
    </w:p>
    <w:p w14:paraId="0B89343F" w14:textId="77777777" w:rsidR="005625B5" w:rsidRPr="00975383" w:rsidRDefault="005625B5" w:rsidP="00E47B64">
      <w:pPr>
        <w:pStyle w:val="Titre11"/>
        <w:tabs>
          <w:tab w:val="left" w:pos="821"/>
        </w:tabs>
        <w:spacing w:line="276" w:lineRule="auto"/>
        <w:ind w:left="708" w:firstLine="0"/>
        <w:jc w:val="both"/>
        <w:rPr>
          <w:rFonts w:ascii="Century Gothic" w:hAnsi="Century Gothic" w:cs="Arial"/>
          <w:w w:val="95"/>
        </w:rPr>
      </w:pPr>
      <w:r w:rsidRPr="006518A0">
        <w:rPr>
          <w:rFonts w:ascii="Century Gothic" w:hAnsi="Century Gothic"/>
        </w:rPr>
        <w:t>A</w:t>
      </w:r>
      <w:r>
        <w:rPr>
          <w:rFonts w:ascii="Century Gothic" w:hAnsi="Century Gothic"/>
        </w:rPr>
        <w:t xml:space="preserve">nnexe 1 </w:t>
      </w:r>
      <w:r w:rsidRPr="006518A0">
        <w:rPr>
          <w:rFonts w:ascii="Century Gothic" w:hAnsi="Century Gothic"/>
        </w:rPr>
        <w:t>:</w:t>
      </w:r>
      <w:bookmarkStart w:id="6" w:name="_Hlk184040829"/>
      <w:r>
        <w:rPr>
          <w:rFonts w:ascii="Century Gothic" w:hAnsi="Century Gothic"/>
        </w:rPr>
        <w:t xml:space="preserve"> </w:t>
      </w:r>
      <w:r w:rsidRPr="00FD184A">
        <w:rPr>
          <w:rFonts w:ascii="Century Gothic" w:hAnsi="Century Gothic"/>
          <w:b w:val="0"/>
          <w:bCs w:val="0"/>
        </w:rPr>
        <w:t>Termes de référence de l’étude</w:t>
      </w:r>
      <w:r>
        <w:rPr>
          <w:rFonts w:ascii="Century Gothic" w:hAnsi="Century Gothic"/>
        </w:rPr>
        <w:t xml:space="preserve"> </w:t>
      </w:r>
    </w:p>
    <w:p w14:paraId="29A60C69" w14:textId="77777777" w:rsidR="005625B5" w:rsidRPr="00C30385" w:rsidRDefault="005625B5" w:rsidP="00E47B64">
      <w:pPr>
        <w:pStyle w:val="Titre11"/>
        <w:tabs>
          <w:tab w:val="left" w:pos="821"/>
        </w:tabs>
        <w:spacing w:line="276" w:lineRule="auto"/>
        <w:ind w:left="426" w:firstLine="0"/>
        <w:jc w:val="center"/>
        <w:rPr>
          <w:rFonts w:ascii="Century Gothic" w:hAnsi="Century Gothic" w:cs="Arial"/>
          <w:sz w:val="10"/>
          <w:szCs w:val="10"/>
        </w:rPr>
      </w:pPr>
    </w:p>
    <w:p w14:paraId="6236E279" w14:textId="77777777" w:rsidR="005625B5" w:rsidRPr="009E7960" w:rsidRDefault="005625B5" w:rsidP="00E47B64">
      <w:pPr>
        <w:pStyle w:val="Titre11"/>
        <w:numPr>
          <w:ilvl w:val="0"/>
          <w:numId w:val="76"/>
        </w:numPr>
        <w:spacing w:line="276" w:lineRule="auto"/>
        <w:ind w:left="851" w:hanging="426"/>
        <w:rPr>
          <w:rFonts w:ascii="Century Gothic" w:hAnsi="Century Gothic" w:cs="Arial"/>
        </w:rPr>
      </w:pPr>
      <w:r w:rsidRPr="009E7960">
        <w:rPr>
          <w:rFonts w:ascii="Century Gothic" w:hAnsi="Century Gothic" w:cs="Arial"/>
          <w:w w:val="95"/>
        </w:rPr>
        <w:t xml:space="preserve">Contexte </w:t>
      </w:r>
      <w:r>
        <w:rPr>
          <w:rFonts w:ascii="Century Gothic" w:hAnsi="Century Gothic" w:cs="Arial"/>
          <w:w w:val="95"/>
        </w:rPr>
        <w:t xml:space="preserve">et justification </w:t>
      </w:r>
      <w:r w:rsidRPr="009E7960">
        <w:rPr>
          <w:rFonts w:ascii="Century Gothic" w:hAnsi="Century Gothic" w:cs="Arial"/>
          <w:w w:val="95"/>
        </w:rPr>
        <w:t xml:space="preserve">de l’étude  </w:t>
      </w:r>
    </w:p>
    <w:p w14:paraId="6E9B1CFD" w14:textId="77777777" w:rsidR="005625B5" w:rsidRPr="00C30385" w:rsidRDefault="005625B5" w:rsidP="005625B5">
      <w:pPr>
        <w:pStyle w:val="NormalWeb"/>
        <w:spacing w:before="0" w:beforeAutospacing="0" w:after="0" w:afterAutospacing="0" w:line="276" w:lineRule="auto"/>
        <w:jc w:val="both"/>
        <w:rPr>
          <w:rFonts w:ascii="Century Gothic" w:hAnsi="Century Gothic"/>
          <w:sz w:val="4"/>
          <w:szCs w:val="4"/>
        </w:rPr>
      </w:pPr>
    </w:p>
    <w:p w14:paraId="4FB3F85E" w14:textId="77777777" w:rsidR="005625B5" w:rsidRDefault="005625B5" w:rsidP="00E47B64">
      <w:pPr>
        <w:pStyle w:val="NormalWeb"/>
        <w:spacing w:before="0" w:beforeAutospacing="0" w:after="0" w:afterAutospacing="0" w:line="276" w:lineRule="auto"/>
        <w:ind w:left="426"/>
        <w:jc w:val="both"/>
        <w:rPr>
          <w:rFonts w:ascii="Century Gothic" w:hAnsi="Century Gothic"/>
        </w:rPr>
      </w:pPr>
      <w:r w:rsidRPr="00AA180E">
        <w:rPr>
          <w:rFonts w:ascii="Century Gothic" w:hAnsi="Century Gothic"/>
        </w:rPr>
        <w:t xml:space="preserve">Dans le cadre de son engagement envers la Convention des Nations Unies sur le changement climatique, la Mauritanie poursuit activement ses efforts pour répondre aux défis posés par les changements climatiques. En ratifiant cette convention, la Mauritanie s'est engagée à réduire ses émissions de gaz à effet de serre (GES) et à contribuer à l'effort mondial pour limiter le réchauffement climatique. </w:t>
      </w:r>
    </w:p>
    <w:p w14:paraId="464BFBB3" w14:textId="77777777" w:rsidR="005625B5" w:rsidRPr="00C30385" w:rsidRDefault="005625B5" w:rsidP="005625B5">
      <w:pPr>
        <w:pStyle w:val="NormalWeb"/>
        <w:spacing w:before="0" w:beforeAutospacing="0" w:after="0" w:afterAutospacing="0" w:line="276" w:lineRule="auto"/>
        <w:jc w:val="both"/>
        <w:rPr>
          <w:rFonts w:ascii="Century Gothic" w:hAnsi="Century Gothic"/>
          <w:sz w:val="12"/>
          <w:szCs w:val="12"/>
        </w:rPr>
      </w:pPr>
    </w:p>
    <w:p w14:paraId="6C03DBCA" w14:textId="77777777" w:rsidR="005625B5" w:rsidRDefault="005625B5" w:rsidP="00E47B64">
      <w:pPr>
        <w:pStyle w:val="NormalWeb"/>
        <w:spacing w:before="0" w:beforeAutospacing="0" w:after="0" w:afterAutospacing="0" w:line="276" w:lineRule="auto"/>
        <w:ind w:left="426"/>
        <w:jc w:val="both"/>
        <w:rPr>
          <w:rFonts w:ascii="Century Gothic" w:hAnsi="Century Gothic"/>
        </w:rPr>
      </w:pPr>
      <w:r w:rsidRPr="00AA180E">
        <w:rPr>
          <w:rFonts w:ascii="Century Gothic" w:hAnsi="Century Gothic"/>
        </w:rPr>
        <w:t>L'élaboration de la cinquième communication nationale</w:t>
      </w:r>
      <w:r>
        <w:rPr>
          <w:rFonts w:ascii="Century Gothic" w:hAnsi="Century Gothic"/>
        </w:rPr>
        <w:t xml:space="preserve"> (5ème CN)</w:t>
      </w:r>
      <w:r w:rsidRPr="00AA180E">
        <w:rPr>
          <w:rFonts w:ascii="Century Gothic" w:hAnsi="Century Gothic"/>
        </w:rPr>
        <w:t xml:space="preserve"> de la Mauritanie est une étape cruciale dans ce processus, fournissant des informations détaillées sur les conditions propres au pays, ainsi que sur ses priorités et objectifs de développement en lien avec la Stratégie de Croissance Accélérée et de Prospérité Partagée (SCAPP) et les stratégies sectorielles.</w:t>
      </w:r>
    </w:p>
    <w:p w14:paraId="6B13C573" w14:textId="77777777" w:rsidR="005625B5" w:rsidRPr="00C30385" w:rsidRDefault="005625B5" w:rsidP="005625B5">
      <w:pPr>
        <w:pStyle w:val="NormalWeb"/>
        <w:spacing w:before="0" w:beforeAutospacing="0" w:after="0" w:afterAutospacing="0" w:line="276" w:lineRule="auto"/>
        <w:jc w:val="both"/>
        <w:rPr>
          <w:rFonts w:ascii="Century Gothic" w:hAnsi="Century Gothic"/>
          <w:sz w:val="8"/>
          <w:szCs w:val="8"/>
        </w:rPr>
      </w:pPr>
    </w:p>
    <w:p w14:paraId="708AAA5C" w14:textId="77777777" w:rsidR="005625B5" w:rsidRDefault="005625B5" w:rsidP="00E47B64">
      <w:pPr>
        <w:pStyle w:val="NormalWeb"/>
        <w:spacing w:before="0" w:beforeAutospacing="0" w:after="0" w:afterAutospacing="0" w:line="276" w:lineRule="auto"/>
        <w:ind w:left="426"/>
        <w:jc w:val="both"/>
        <w:rPr>
          <w:rFonts w:ascii="Century Gothic" w:hAnsi="Century Gothic"/>
        </w:rPr>
      </w:pPr>
      <w:r w:rsidRPr="00AA180E">
        <w:rPr>
          <w:rFonts w:ascii="Century Gothic" w:hAnsi="Century Gothic"/>
        </w:rPr>
        <w:t>Les changements climatiques constituent un défi majeur pour le pays, se manifestant par la récurrence de catastrophes naturelles telles que l'augmentation des températures, les inondations et les sécheresses. Face à ce défi, des modèles numériques ont été développés au niveau international pour simuler l'évolution future du climat, prenant en compte l'impact des énergies fossiles sur le réchauffement climatique.</w:t>
      </w:r>
    </w:p>
    <w:p w14:paraId="12B686AF" w14:textId="77777777" w:rsidR="005625B5" w:rsidRPr="00C30385" w:rsidRDefault="005625B5" w:rsidP="005625B5">
      <w:pPr>
        <w:pStyle w:val="NormalWeb"/>
        <w:spacing w:before="0" w:beforeAutospacing="0" w:after="0" w:afterAutospacing="0" w:line="276" w:lineRule="auto"/>
        <w:jc w:val="both"/>
        <w:rPr>
          <w:rFonts w:ascii="Century Gothic" w:hAnsi="Century Gothic"/>
          <w:sz w:val="12"/>
          <w:szCs w:val="12"/>
        </w:rPr>
      </w:pPr>
    </w:p>
    <w:p w14:paraId="7F599367" w14:textId="77777777" w:rsidR="005625B5" w:rsidRDefault="005625B5" w:rsidP="00E47B64">
      <w:pPr>
        <w:pStyle w:val="NormalWeb"/>
        <w:spacing w:before="0" w:beforeAutospacing="0" w:after="0" w:afterAutospacing="0" w:line="276" w:lineRule="auto"/>
        <w:ind w:left="426"/>
        <w:jc w:val="both"/>
        <w:rPr>
          <w:rFonts w:ascii="Century Gothic" w:hAnsi="Century Gothic"/>
        </w:rPr>
      </w:pPr>
      <w:r w:rsidRPr="00AA180E">
        <w:rPr>
          <w:rFonts w:ascii="Century Gothic" w:hAnsi="Century Gothic"/>
        </w:rPr>
        <w:t>La communication nationale est un outil stratégique pour la Mauritanie, fournissant des informations sur les conditions spécifiques du pays en lien avec les changements climatiques. Elle constitue également une référence pour l'élaboration des politiques nationales et pour renforcer la contribution du pays dans le cadre de la convention internationale sur le climat.</w:t>
      </w:r>
    </w:p>
    <w:p w14:paraId="2A78E096" w14:textId="77777777" w:rsidR="005625B5" w:rsidRPr="00C30385" w:rsidRDefault="005625B5" w:rsidP="005625B5">
      <w:pPr>
        <w:pStyle w:val="NormalWeb"/>
        <w:spacing w:before="0" w:beforeAutospacing="0" w:after="0" w:afterAutospacing="0" w:line="276" w:lineRule="auto"/>
        <w:jc w:val="both"/>
        <w:rPr>
          <w:rFonts w:ascii="Century Gothic" w:hAnsi="Century Gothic"/>
          <w:sz w:val="12"/>
          <w:szCs w:val="12"/>
        </w:rPr>
      </w:pPr>
    </w:p>
    <w:p w14:paraId="7A4CB23B" w14:textId="77777777" w:rsidR="005625B5" w:rsidRDefault="005625B5" w:rsidP="00E47B64">
      <w:pPr>
        <w:pStyle w:val="NormalWeb"/>
        <w:spacing w:before="0" w:beforeAutospacing="0" w:after="0" w:afterAutospacing="0" w:line="276" w:lineRule="auto"/>
        <w:ind w:left="426"/>
        <w:jc w:val="both"/>
        <w:rPr>
          <w:rFonts w:ascii="Century Gothic" w:hAnsi="Century Gothic"/>
        </w:rPr>
      </w:pPr>
      <w:r w:rsidRPr="00AA180E">
        <w:rPr>
          <w:rFonts w:ascii="Century Gothic" w:hAnsi="Century Gothic"/>
        </w:rPr>
        <w:t>L'approfondissement de cette démarche s'inscrit dans la volonté du pays de faire progresser sa part d'énergies renouvelables et d'atteindre, avec un soutien financier adéquat, la neutralité carbone d'ici 2030. Le processus d'élaboration de cette communication implique une concertation entre tous les secteurs concernés, afin de produire un document exhaustif reflétant fidèlement la situation du pays et orientant les politiques futures en matière de climat.</w:t>
      </w:r>
    </w:p>
    <w:p w14:paraId="6B5E762B" w14:textId="77777777" w:rsidR="005625B5" w:rsidRPr="00C30385" w:rsidRDefault="005625B5" w:rsidP="005625B5">
      <w:pPr>
        <w:pStyle w:val="NormalWeb"/>
        <w:spacing w:before="0" w:beforeAutospacing="0" w:after="0" w:afterAutospacing="0" w:line="276" w:lineRule="auto"/>
        <w:jc w:val="both"/>
        <w:rPr>
          <w:rFonts w:ascii="Century Gothic" w:hAnsi="Century Gothic"/>
          <w:sz w:val="8"/>
          <w:szCs w:val="8"/>
        </w:rPr>
      </w:pPr>
    </w:p>
    <w:p w14:paraId="21E84FD3" w14:textId="77777777" w:rsidR="005625B5" w:rsidRDefault="005625B5" w:rsidP="00E47B64">
      <w:pPr>
        <w:pStyle w:val="NormalWeb"/>
        <w:spacing w:before="0" w:beforeAutospacing="0" w:after="0" w:afterAutospacing="0" w:line="276" w:lineRule="auto"/>
        <w:ind w:left="426"/>
        <w:jc w:val="both"/>
        <w:rPr>
          <w:rFonts w:ascii="Century Gothic" w:hAnsi="Century Gothic"/>
        </w:rPr>
      </w:pPr>
      <w:r w:rsidRPr="00AA180E">
        <w:rPr>
          <w:rFonts w:ascii="Century Gothic" w:hAnsi="Century Gothic"/>
        </w:rPr>
        <w:t xml:space="preserve">Les </w:t>
      </w:r>
      <w:r>
        <w:rPr>
          <w:rFonts w:ascii="Century Gothic" w:hAnsi="Century Gothic"/>
        </w:rPr>
        <w:t xml:space="preserve">écosystèmes arides et forestiers </w:t>
      </w:r>
      <w:r w:rsidRPr="00AA180E">
        <w:rPr>
          <w:rFonts w:ascii="Century Gothic" w:hAnsi="Century Gothic"/>
        </w:rPr>
        <w:t xml:space="preserve">de </w:t>
      </w:r>
      <w:r>
        <w:rPr>
          <w:rFonts w:ascii="Century Gothic" w:hAnsi="Century Gothic"/>
        </w:rPr>
        <w:t xml:space="preserve">la </w:t>
      </w:r>
      <w:r w:rsidRPr="00AA180E">
        <w:rPr>
          <w:rFonts w:ascii="Century Gothic" w:hAnsi="Century Gothic"/>
        </w:rPr>
        <w:t xml:space="preserve">Mauritanie, qui incluent des </w:t>
      </w:r>
      <w:r>
        <w:rPr>
          <w:rFonts w:ascii="Century Gothic" w:hAnsi="Century Gothic"/>
        </w:rPr>
        <w:t xml:space="preserve">zones humides continentales </w:t>
      </w:r>
      <w:r w:rsidRPr="00AA180E">
        <w:rPr>
          <w:rFonts w:ascii="Century Gothic" w:hAnsi="Century Gothic"/>
        </w:rPr>
        <w:t>jouent un rôle crucial dans la régulation des cycles hydrologiques, la conservation de la biodiversité, et le soutien aux moyens de subsistance des communautés locales. Ce</w:t>
      </w:r>
      <w:r>
        <w:rPr>
          <w:rFonts w:ascii="Century Gothic" w:hAnsi="Century Gothic"/>
        </w:rPr>
        <w:t xml:space="preserve">s </w:t>
      </w:r>
      <w:r w:rsidRPr="00AA180E">
        <w:rPr>
          <w:rFonts w:ascii="Century Gothic" w:hAnsi="Century Gothic"/>
        </w:rPr>
        <w:t>écosystèmes sont particulièrement vulnérables aux effets d</w:t>
      </w:r>
      <w:r>
        <w:rPr>
          <w:rFonts w:ascii="Century Gothic" w:hAnsi="Century Gothic"/>
        </w:rPr>
        <w:t>es</w:t>
      </w:r>
      <w:r w:rsidRPr="00AA180E">
        <w:rPr>
          <w:rFonts w:ascii="Century Gothic" w:hAnsi="Century Gothic"/>
        </w:rPr>
        <w:t xml:space="preserve"> changement</w:t>
      </w:r>
      <w:r>
        <w:rPr>
          <w:rFonts w:ascii="Century Gothic" w:hAnsi="Century Gothic"/>
        </w:rPr>
        <w:t>s</w:t>
      </w:r>
      <w:r w:rsidRPr="00AA180E">
        <w:rPr>
          <w:rFonts w:ascii="Century Gothic" w:hAnsi="Century Gothic"/>
        </w:rPr>
        <w:t xml:space="preserve"> climatique</w:t>
      </w:r>
      <w:r>
        <w:rPr>
          <w:rFonts w:ascii="Century Gothic" w:hAnsi="Century Gothic"/>
        </w:rPr>
        <w:t>s</w:t>
      </w:r>
      <w:r w:rsidRPr="00AA180E">
        <w:rPr>
          <w:rFonts w:ascii="Century Gothic" w:hAnsi="Century Gothic"/>
        </w:rPr>
        <w:t>, notamment les variations des précipitations</w:t>
      </w:r>
      <w:r>
        <w:rPr>
          <w:rFonts w:ascii="Century Gothic" w:hAnsi="Century Gothic"/>
        </w:rPr>
        <w:t xml:space="preserve"> et</w:t>
      </w:r>
      <w:r w:rsidRPr="00AA180E">
        <w:rPr>
          <w:rFonts w:ascii="Century Gothic" w:hAnsi="Century Gothic"/>
        </w:rPr>
        <w:t xml:space="preserve"> l'augmentation des températures. </w:t>
      </w:r>
    </w:p>
    <w:p w14:paraId="684B2366" w14:textId="77777777" w:rsidR="005625B5" w:rsidRPr="00C30385" w:rsidRDefault="005625B5" w:rsidP="005625B5">
      <w:pPr>
        <w:pStyle w:val="NormalWeb"/>
        <w:spacing w:before="0" w:beforeAutospacing="0" w:after="0" w:afterAutospacing="0" w:line="276" w:lineRule="auto"/>
        <w:jc w:val="both"/>
        <w:rPr>
          <w:rFonts w:ascii="Century Gothic" w:hAnsi="Century Gothic"/>
          <w:sz w:val="10"/>
          <w:szCs w:val="10"/>
        </w:rPr>
      </w:pPr>
    </w:p>
    <w:p w14:paraId="5873A83E" w14:textId="257FE10A" w:rsidR="007902A1" w:rsidRPr="007D5A91" w:rsidRDefault="005625B5" w:rsidP="00E47B64">
      <w:pPr>
        <w:pStyle w:val="NormalWeb"/>
        <w:spacing w:before="0" w:beforeAutospacing="0" w:after="0" w:afterAutospacing="0" w:line="276" w:lineRule="auto"/>
        <w:ind w:left="426"/>
        <w:jc w:val="both"/>
        <w:rPr>
          <w:rFonts w:ascii="Century Gothic" w:hAnsi="Century Gothic"/>
        </w:rPr>
      </w:pPr>
      <w:r>
        <w:rPr>
          <w:rFonts w:ascii="Century Gothic" w:hAnsi="Century Gothic"/>
        </w:rPr>
        <w:t>C’est d</w:t>
      </w:r>
      <w:r w:rsidRPr="00AA180E">
        <w:rPr>
          <w:rFonts w:ascii="Century Gothic" w:hAnsi="Century Gothic"/>
        </w:rPr>
        <w:t xml:space="preserve">ans le cadre </w:t>
      </w:r>
      <w:r>
        <w:rPr>
          <w:rFonts w:ascii="Century Gothic" w:hAnsi="Century Gothic"/>
        </w:rPr>
        <w:t xml:space="preserve">que la 5ème CN a prévu de </w:t>
      </w:r>
      <w:r w:rsidRPr="00AA180E">
        <w:rPr>
          <w:rFonts w:ascii="Century Gothic" w:hAnsi="Century Gothic"/>
        </w:rPr>
        <w:t xml:space="preserve">recruter un consultant </w:t>
      </w:r>
      <w:r>
        <w:rPr>
          <w:rFonts w:ascii="Century Gothic" w:hAnsi="Century Gothic"/>
        </w:rPr>
        <w:t xml:space="preserve">national </w:t>
      </w:r>
      <w:r w:rsidRPr="00AA180E">
        <w:rPr>
          <w:rFonts w:ascii="Century Gothic" w:hAnsi="Century Gothic"/>
        </w:rPr>
        <w:t xml:space="preserve">pour la réalisation de ladite etude </w:t>
      </w:r>
      <w:r>
        <w:rPr>
          <w:rFonts w:ascii="Century Gothic" w:hAnsi="Century Gothic"/>
        </w:rPr>
        <w:t xml:space="preserve">pour </w:t>
      </w:r>
      <w:r w:rsidRPr="00AA180E">
        <w:rPr>
          <w:rFonts w:ascii="Century Gothic" w:hAnsi="Century Gothic"/>
        </w:rPr>
        <w:t>évaluer la vulnérabilité</w:t>
      </w:r>
      <w:r>
        <w:rPr>
          <w:rFonts w:ascii="Century Gothic" w:hAnsi="Century Gothic"/>
        </w:rPr>
        <w:t xml:space="preserve"> des écosystèmes arides et forestiers face à la désertification </w:t>
      </w:r>
      <w:r w:rsidRPr="00AA180E">
        <w:rPr>
          <w:rFonts w:ascii="Century Gothic" w:hAnsi="Century Gothic"/>
        </w:rPr>
        <w:t>et de proposer des stratégies d'adaptation pour préserver leur intégrité écologique et les services qu'</w:t>
      </w:r>
      <w:r>
        <w:rPr>
          <w:rFonts w:ascii="Century Gothic" w:hAnsi="Century Gothic"/>
        </w:rPr>
        <w:t>il</w:t>
      </w:r>
      <w:r w:rsidRPr="00AA180E">
        <w:rPr>
          <w:rFonts w:ascii="Century Gothic" w:hAnsi="Century Gothic"/>
        </w:rPr>
        <w:t>s fournissent.</w:t>
      </w:r>
    </w:p>
    <w:p w14:paraId="1B430C9D" w14:textId="77777777" w:rsidR="005625B5" w:rsidRPr="006F326A" w:rsidRDefault="005625B5" w:rsidP="005625B5">
      <w:pPr>
        <w:spacing w:after="0" w:line="276" w:lineRule="auto"/>
        <w:jc w:val="both"/>
        <w:rPr>
          <w:rFonts w:ascii="Century Gothic" w:hAnsi="Century Gothic"/>
          <w:w w:val="95"/>
          <w:sz w:val="24"/>
          <w:szCs w:val="24"/>
        </w:rPr>
      </w:pPr>
      <w:r>
        <w:rPr>
          <w:rFonts w:ascii="Century Gothic" w:hAnsi="Century Gothic"/>
          <w:w w:val="95"/>
          <w:sz w:val="24"/>
          <w:szCs w:val="24"/>
        </w:rPr>
        <w:t xml:space="preserve"> </w:t>
      </w:r>
      <w:r w:rsidRPr="006F326A">
        <w:rPr>
          <w:rFonts w:ascii="Century Gothic" w:hAnsi="Century Gothic"/>
          <w:w w:val="95"/>
          <w:sz w:val="24"/>
          <w:szCs w:val="24"/>
        </w:rPr>
        <w:t xml:space="preserve"> </w:t>
      </w:r>
    </w:p>
    <w:p w14:paraId="7647AF29" w14:textId="77777777" w:rsidR="005625B5" w:rsidRPr="00A82C03" w:rsidRDefault="005625B5" w:rsidP="00E47B64">
      <w:pPr>
        <w:pStyle w:val="Titre11"/>
        <w:numPr>
          <w:ilvl w:val="0"/>
          <w:numId w:val="76"/>
        </w:numPr>
        <w:tabs>
          <w:tab w:val="left" w:pos="821"/>
        </w:tabs>
        <w:spacing w:line="276" w:lineRule="auto"/>
        <w:ind w:left="1276" w:hanging="567"/>
        <w:rPr>
          <w:rFonts w:ascii="Century Gothic" w:hAnsi="Century Gothic" w:cs="Arial"/>
          <w:w w:val="95"/>
        </w:rPr>
      </w:pPr>
      <w:r w:rsidRPr="009E7960">
        <w:rPr>
          <w:rFonts w:ascii="Century Gothic" w:hAnsi="Century Gothic" w:cs="Arial"/>
          <w:w w:val="95"/>
        </w:rPr>
        <w:t xml:space="preserve">Objectifs de l’étude  </w:t>
      </w:r>
    </w:p>
    <w:p w14:paraId="3717A6B7" w14:textId="77777777" w:rsidR="005625B5" w:rsidRPr="00E47B64" w:rsidRDefault="005625B5" w:rsidP="005625B5">
      <w:pPr>
        <w:pStyle w:val="NormalWeb"/>
        <w:spacing w:before="0" w:beforeAutospacing="0" w:after="0" w:afterAutospacing="0" w:line="276" w:lineRule="auto"/>
        <w:jc w:val="both"/>
        <w:rPr>
          <w:rFonts w:ascii="Century Gothic" w:hAnsi="Century Gothic"/>
          <w:sz w:val="8"/>
          <w:szCs w:val="8"/>
        </w:rPr>
      </w:pPr>
    </w:p>
    <w:p w14:paraId="216386D6" w14:textId="77777777" w:rsidR="005625B5" w:rsidRDefault="005625B5" w:rsidP="00C30385">
      <w:pPr>
        <w:pStyle w:val="NormalWeb"/>
        <w:spacing w:before="0" w:beforeAutospacing="0" w:after="0" w:afterAutospacing="0" w:line="276" w:lineRule="auto"/>
        <w:ind w:left="709"/>
        <w:jc w:val="both"/>
        <w:rPr>
          <w:rFonts w:ascii="Century Gothic" w:hAnsi="Century Gothic"/>
        </w:rPr>
      </w:pPr>
      <w:r w:rsidRPr="007D5A91">
        <w:rPr>
          <w:rFonts w:ascii="Century Gothic" w:hAnsi="Century Gothic"/>
        </w:rPr>
        <w:t>L'objectif principal de cette étude est d'évaluer la vulnérabilité de</w:t>
      </w:r>
      <w:r>
        <w:rPr>
          <w:rFonts w:ascii="Century Gothic" w:hAnsi="Century Gothic"/>
        </w:rPr>
        <w:t xml:space="preserve"> écosystèmes arides et forestiers en Mauritanie </w:t>
      </w:r>
      <w:r w:rsidRPr="007D5A91">
        <w:rPr>
          <w:rFonts w:ascii="Century Gothic" w:hAnsi="Century Gothic"/>
        </w:rPr>
        <w:t xml:space="preserve">face </w:t>
      </w:r>
      <w:r>
        <w:rPr>
          <w:rFonts w:ascii="Century Gothic" w:hAnsi="Century Gothic"/>
        </w:rPr>
        <w:t xml:space="preserve">à la désertification et </w:t>
      </w:r>
      <w:r w:rsidRPr="007D5A91">
        <w:rPr>
          <w:rFonts w:ascii="Century Gothic" w:hAnsi="Century Gothic"/>
        </w:rPr>
        <w:t xml:space="preserve">aux changements climatiques et de proposer des stratégies d'adaptation efficaces et durables. </w:t>
      </w:r>
    </w:p>
    <w:p w14:paraId="023876BE" w14:textId="77777777" w:rsidR="005625B5" w:rsidRPr="00C30385" w:rsidRDefault="005625B5" w:rsidP="005625B5">
      <w:pPr>
        <w:pStyle w:val="NormalWeb"/>
        <w:spacing w:before="0" w:beforeAutospacing="0" w:after="0" w:afterAutospacing="0" w:line="276" w:lineRule="auto"/>
        <w:jc w:val="both"/>
        <w:rPr>
          <w:rFonts w:ascii="Century Gothic" w:hAnsi="Century Gothic"/>
          <w:sz w:val="10"/>
          <w:szCs w:val="10"/>
        </w:rPr>
      </w:pPr>
    </w:p>
    <w:p w14:paraId="4B3016F0" w14:textId="77777777" w:rsidR="005625B5" w:rsidRDefault="005625B5" w:rsidP="00C30385">
      <w:pPr>
        <w:pStyle w:val="NormalWeb"/>
        <w:spacing w:before="0" w:beforeAutospacing="0" w:after="0" w:afterAutospacing="0" w:line="276" w:lineRule="auto"/>
        <w:ind w:left="709"/>
        <w:jc w:val="both"/>
        <w:rPr>
          <w:rFonts w:ascii="Century Gothic" w:hAnsi="Century Gothic"/>
        </w:rPr>
      </w:pPr>
      <w:r w:rsidRPr="007D5A91">
        <w:rPr>
          <w:rFonts w:ascii="Century Gothic" w:hAnsi="Century Gothic"/>
        </w:rPr>
        <w:t xml:space="preserve">Les </w:t>
      </w:r>
      <w:r>
        <w:rPr>
          <w:rFonts w:ascii="Century Gothic" w:hAnsi="Century Gothic"/>
        </w:rPr>
        <w:t>t</w:t>
      </w:r>
      <w:r w:rsidRPr="007D5A91">
        <w:rPr>
          <w:rFonts w:ascii="Century Gothic" w:hAnsi="Century Gothic"/>
        </w:rPr>
        <w:t xml:space="preserve">âches spécifiques sont : </w:t>
      </w:r>
    </w:p>
    <w:p w14:paraId="0EECCCB6" w14:textId="77777777" w:rsidR="005625B5" w:rsidRPr="00C30385" w:rsidRDefault="005625B5" w:rsidP="005625B5">
      <w:pPr>
        <w:pStyle w:val="NormalWeb"/>
        <w:spacing w:before="0" w:beforeAutospacing="0" w:after="0" w:afterAutospacing="0" w:line="276" w:lineRule="auto"/>
        <w:jc w:val="both"/>
        <w:rPr>
          <w:rFonts w:ascii="Century Gothic" w:hAnsi="Century Gothic"/>
          <w:sz w:val="10"/>
          <w:szCs w:val="10"/>
        </w:rPr>
      </w:pPr>
    </w:p>
    <w:p w14:paraId="2D760C3A" w14:textId="77777777" w:rsidR="005625B5" w:rsidRPr="007D5A91" w:rsidRDefault="005625B5" w:rsidP="00E47B64">
      <w:pPr>
        <w:numPr>
          <w:ilvl w:val="0"/>
          <w:numId w:val="518"/>
        </w:numPr>
        <w:tabs>
          <w:tab w:val="clear" w:pos="720"/>
          <w:tab w:val="num" w:pos="1134"/>
        </w:tabs>
        <w:spacing w:after="0" w:line="276" w:lineRule="auto"/>
        <w:ind w:left="851" w:hanging="142"/>
        <w:jc w:val="both"/>
        <w:rPr>
          <w:rFonts w:ascii="Century Gothic" w:eastAsia="Times New Roman" w:hAnsi="Century Gothic" w:cs="Times New Roman"/>
          <w:sz w:val="24"/>
          <w:szCs w:val="24"/>
          <w:lang w:val="wo-SN" w:eastAsia="wo-SN"/>
        </w:rPr>
      </w:pPr>
      <w:r w:rsidRPr="007D5A91">
        <w:rPr>
          <w:rFonts w:ascii="Century Gothic" w:eastAsia="Times New Roman" w:hAnsi="Century Gothic" w:cs="Times New Roman"/>
          <w:sz w:val="24"/>
          <w:szCs w:val="24"/>
          <w:lang w:val="wo-SN" w:eastAsia="wo-SN"/>
        </w:rPr>
        <w:t xml:space="preserve">Présenter le cadre politique et stratégique en matière de protection de la biodiversité </w:t>
      </w:r>
      <w:r>
        <w:rPr>
          <w:rFonts w:ascii="Century Gothic" w:eastAsia="Times New Roman" w:hAnsi="Century Gothic" w:cs="Times New Roman"/>
          <w:sz w:val="24"/>
          <w:szCs w:val="24"/>
          <w:lang w:val="wo-SN" w:eastAsia="wo-SN"/>
        </w:rPr>
        <w:t xml:space="preserve">terrestre </w:t>
      </w:r>
      <w:r w:rsidRPr="007D5A91">
        <w:rPr>
          <w:rFonts w:ascii="Century Gothic" w:eastAsia="Times New Roman" w:hAnsi="Century Gothic" w:cs="Times New Roman"/>
          <w:sz w:val="24"/>
          <w:szCs w:val="24"/>
          <w:lang w:val="wo-SN" w:eastAsia="wo-SN"/>
        </w:rPr>
        <w:t xml:space="preserve">tout en mettant en lien avec </w:t>
      </w:r>
      <w:r>
        <w:rPr>
          <w:rFonts w:ascii="Century Gothic" w:eastAsia="Times New Roman" w:hAnsi="Century Gothic" w:cs="Times New Roman"/>
          <w:sz w:val="24"/>
          <w:szCs w:val="24"/>
          <w:lang w:val="wo-SN" w:eastAsia="wo-SN"/>
        </w:rPr>
        <w:t xml:space="preserve">la désertification et </w:t>
      </w:r>
      <w:r w:rsidRPr="007D5A91">
        <w:rPr>
          <w:rFonts w:ascii="Century Gothic" w:eastAsia="Times New Roman" w:hAnsi="Century Gothic" w:cs="Times New Roman"/>
          <w:sz w:val="24"/>
          <w:szCs w:val="24"/>
          <w:lang w:val="wo-SN" w:eastAsia="wo-SN"/>
        </w:rPr>
        <w:t>les changements climatiques</w:t>
      </w:r>
      <w:r>
        <w:rPr>
          <w:rFonts w:ascii="Century Gothic" w:eastAsia="Times New Roman" w:hAnsi="Century Gothic" w:cs="Times New Roman"/>
          <w:sz w:val="24"/>
          <w:szCs w:val="24"/>
          <w:lang w:val="wo-SN" w:eastAsia="wo-SN"/>
        </w:rPr>
        <w:t xml:space="preserve"> </w:t>
      </w:r>
      <w:r w:rsidRPr="007D5A91">
        <w:rPr>
          <w:rFonts w:ascii="Century Gothic" w:eastAsia="Times New Roman" w:hAnsi="Century Gothic" w:cs="Times New Roman"/>
          <w:sz w:val="24"/>
          <w:szCs w:val="24"/>
          <w:lang w:val="wo-SN" w:eastAsia="wo-SN"/>
        </w:rPr>
        <w:t xml:space="preserve">; </w:t>
      </w:r>
    </w:p>
    <w:p w14:paraId="24BFEA0F" w14:textId="77777777" w:rsidR="005625B5" w:rsidRPr="007D5A91" w:rsidRDefault="005625B5" w:rsidP="00E47B64">
      <w:pPr>
        <w:numPr>
          <w:ilvl w:val="0"/>
          <w:numId w:val="518"/>
        </w:numPr>
        <w:tabs>
          <w:tab w:val="clear" w:pos="720"/>
          <w:tab w:val="num" w:pos="1134"/>
        </w:tabs>
        <w:spacing w:after="0" w:line="276" w:lineRule="auto"/>
        <w:ind w:left="851" w:hanging="142"/>
        <w:jc w:val="both"/>
        <w:rPr>
          <w:rFonts w:ascii="Century Gothic" w:eastAsia="Times New Roman" w:hAnsi="Century Gothic" w:cs="Times New Roman"/>
          <w:sz w:val="24"/>
          <w:szCs w:val="24"/>
          <w:lang w:val="wo-SN" w:eastAsia="wo-SN"/>
        </w:rPr>
      </w:pPr>
      <w:r w:rsidRPr="007D5A91">
        <w:rPr>
          <w:rFonts w:ascii="Century Gothic" w:eastAsia="Times New Roman" w:hAnsi="Century Gothic" w:cs="Times New Roman"/>
          <w:sz w:val="24"/>
          <w:szCs w:val="24"/>
          <w:lang w:val="wo-SN" w:eastAsia="wo-SN"/>
        </w:rPr>
        <w:t>Présenter les facteurs climatiques</w:t>
      </w:r>
      <w:r>
        <w:rPr>
          <w:rFonts w:ascii="Century Gothic" w:eastAsia="Times New Roman" w:hAnsi="Century Gothic" w:cs="Times New Roman"/>
          <w:sz w:val="24"/>
          <w:szCs w:val="24"/>
          <w:lang w:val="wo-SN" w:eastAsia="wo-SN"/>
        </w:rPr>
        <w:t>,</w:t>
      </w:r>
      <w:r w:rsidRPr="007D5A91">
        <w:rPr>
          <w:rFonts w:ascii="Century Gothic" w:eastAsia="Times New Roman" w:hAnsi="Century Gothic" w:cs="Times New Roman"/>
          <w:sz w:val="24"/>
          <w:szCs w:val="24"/>
          <w:lang w:val="wo-SN" w:eastAsia="wo-SN"/>
        </w:rPr>
        <w:t xml:space="preserve"> biophysiques et édaphiques relatifs à ces zones de biodiversité puis analyser leurs fluctuations au cours des cinq dernières années, c’est à dire depuis la publication de la quatrième communication nationale sur les changements climatiques (en 2019).</w:t>
      </w:r>
    </w:p>
    <w:p w14:paraId="718304E2" w14:textId="77777777" w:rsidR="005625B5" w:rsidRPr="007D5A91" w:rsidRDefault="005625B5" w:rsidP="00E47B64">
      <w:pPr>
        <w:numPr>
          <w:ilvl w:val="0"/>
          <w:numId w:val="518"/>
        </w:numPr>
        <w:tabs>
          <w:tab w:val="clear" w:pos="720"/>
          <w:tab w:val="num" w:pos="1134"/>
        </w:tabs>
        <w:spacing w:after="0" w:line="276" w:lineRule="auto"/>
        <w:ind w:left="851" w:hanging="142"/>
        <w:jc w:val="both"/>
        <w:rPr>
          <w:rFonts w:ascii="Century Gothic" w:eastAsia="Times New Roman" w:hAnsi="Century Gothic" w:cs="Times New Roman"/>
          <w:sz w:val="24"/>
          <w:szCs w:val="24"/>
          <w:lang w:val="wo-SN" w:eastAsia="wo-SN"/>
        </w:rPr>
      </w:pPr>
      <w:r w:rsidRPr="007D5A91">
        <w:rPr>
          <w:rFonts w:ascii="Century Gothic" w:eastAsia="Times New Roman" w:hAnsi="Century Gothic" w:cs="Times New Roman"/>
          <w:sz w:val="24"/>
          <w:szCs w:val="24"/>
          <w:lang w:val="wo-SN" w:eastAsia="wo-SN"/>
        </w:rPr>
        <w:t xml:space="preserve">Evaluer la vulnérabilité </w:t>
      </w:r>
      <w:r>
        <w:rPr>
          <w:rFonts w:ascii="Century Gothic" w:eastAsia="Times New Roman" w:hAnsi="Century Gothic" w:cs="Times New Roman"/>
          <w:sz w:val="24"/>
          <w:szCs w:val="24"/>
          <w:lang w:val="wo-SN" w:eastAsia="wo-SN"/>
        </w:rPr>
        <w:t xml:space="preserve">à la désertificvation et </w:t>
      </w:r>
      <w:r w:rsidRPr="007D5A91">
        <w:rPr>
          <w:rFonts w:ascii="Century Gothic" w:eastAsia="Times New Roman" w:hAnsi="Century Gothic" w:cs="Times New Roman"/>
          <w:sz w:val="24"/>
          <w:szCs w:val="24"/>
          <w:lang w:val="wo-SN" w:eastAsia="wo-SN"/>
        </w:rPr>
        <w:t>au</w:t>
      </w:r>
      <w:r>
        <w:rPr>
          <w:rFonts w:ascii="Century Gothic" w:eastAsia="Times New Roman" w:hAnsi="Century Gothic" w:cs="Times New Roman"/>
          <w:sz w:val="24"/>
          <w:szCs w:val="24"/>
          <w:lang w:val="wo-SN" w:eastAsia="wo-SN"/>
        </w:rPr>
        <w:t>x</w:t>
      </w:r>
      <w:r w:rsidRPr="007D5A91">
        <w:rPr>
          <w:rFonts w:ascii="Century Gothic" w:eastAsia="Times New Roman" w:hAnsi="Century Gothic" w:cs="Times New Roman"/>
          <w:sz w:val="24"/>
          <w:szCs w:val="24"/>
          <w:lang w:val="wo-SN" w:eastAsia="wo-SN"/>
        </w:rPr>
        <w:t xml:space="preserve"> changement</w:t>
      </w:r>
      <w:r>
        <w:rPr>
          <w:rFonts w:ascii="Century Gothic" w:eastAsia="Times New Roman" w:hAnsi="Century Gothic" w:cs="Times New Roman"/>
          <w:sz w:val="24"/>
          <w:szCs w:val="24"/>
          <w:lang w:val="wo-SN" w:eastAsia="wo-SN"/>
        </w:rPr>
        <w:t>s cl</w:t>
      </w:r>
      <w:r w:rsidRPr="007D5A91">
        <w:rPr>
          <w:rFonts w:ascii="Century Gothic" w:eastAsia="Times New Roman" w:hAnsi="Century Gothic" w:cs="Times New Roman"/>
          <w:sz w:val="24"/>
          <w:szCs w:val="24"/>
          <w:lang w:val="wo-SN" w:eastAsia="wo-SN"/>
        </w:rPr>
        <w:t>imatique</w:t>
      </w:r>
      <w:r>
        <w:rPr>
          <w:rFonts w:ascii="Century Gothic" w:eastAsia="Times New Roman" w:hAnsi="Century Gothic" w:cs="Times New Roman"/>
          <w:sz w:val="24"/>
          <w:szCs w:val="24"/>
          <w:lang w:val="wo-SN" w:eastAsia="wo-SN"/>
        </w:rPr>
        <w:t>s</w:t>
      </w:r>
      <w:r w:rsidRPr="007D5A91">
        <w:rPr>
          <w:rFonts w:ascii="Century Gothic" w:eastAsia="Times New Roman" w:hAnsi="Century Gothic" w:cs="Times New Roman"/>
          <w:sz w:val="24"/>
          <w:szCs w:val="24"/>
          <w:lang w:val="wo-SN" w:eastAsia="wo-SN"/>
        </w:rPr>
        <w:t xml:space="preserve"> de chaque </w:t>
      </w:r>
      <w:r>
        <w:rPr>
          <w:rFonts w:ascii="Century Gothic" w:eastAsia="Times New Roman" w:hAnsi="Century Gothic" w:cs="Times New Roman"/>
          <w:sz w:val="24"/>
          <w:szCs w:val="24"/>
          <w:lang w:val="wo-SN" w:eastAsia="wo-SN"/>
        </w:rPr>
        <w:t xml:space="preserve">type d’écosystèmes (la zone nord hyper-aride, la zone sud à vocation agrosylvopastorale y compris la vallée du fleuve Sénégal) </w:t>
      </w:r>
      <w:r w:rsidRPr="007D5A91">
        <w:rPr>
          <w:rFonts w:ascii="Century Gothic" w:eastAsia="Times New Roman" w:hAnsi="Century Gothic" w:cs="Times New Roman"/>
          <w:sz w:val="24"/>
          <w:szCs w:val="24"/>
          <w:lang w:val="wo-SN" w:eastAsia="wo-SN"/>
        </w:rPr>
        <w:t>puis estimer les pertes et préjudices subi</w:t>
      </w:r>
      <w:r>
        <w:rPr>
          <w:rFonts w:ascii="Century Gothic" w:eastAsia="Times New Roman" w:hAnsi="Century Gothic" w:cs="Times New Roman"/>
          <w:sz w:val="24"/>
          <w:szCs w:val="24"/>
          <w:lang w:val="wo-SN" w:eastAsia="wo-SN"/>
        </w:rPr>
        <w:t>s</w:t>
      </w:r>
      <w:r w:rsidRPr="007D5A91">
        <w:rPr>
          <w:rFonts w:ascii="Century Gothic" w:eastAsia="Times New Roman" w:hAnsi="Century Gothic" w:cs="Times New Roman"/>
          <w:sz w:val="24"/>
          <w:szCs w:val="24"/>
          <w:lang w:val="wo-SN" w:eastAsia="wo-SN"/>
        </w:rPr>
        <w:t xml:space="preserve"> par ces zones </w:t>
      </w:r>
      <w:r>
        <w:rPr>
          <w:rFonts w:ascii="Century Gothic" w:eastAsia="Times New Roman" w:hAnsi="Century Gothic" w:cs="Times New Roman"/>
          <w:sz w:val="24"/>
          <w:szCs w:val="24"/>
          <w:lang w:val="wo-SN" w:eastAsia="wo-SN"/>
        </w:rPr>
        <w:t xml:space="preserve">en termes </w:t>
      </w:r>
      <w:r w:rsidRPr="007D5A91">
        <w:rPr>
          <w:rFonts w:ascii="Century Gothic" w:eastAsia="Times New Roman" w:hAnsi="Century Gothic" w:cs="Times New Roman"/>
          <w:sz w:val="24"/>
          <w:szCs w:val="24"/>
          <w:lang w:val="wo-SN" w:eastAsia="wo-SN"/>
        </w:rPr>
        <w:t>de biodiversité et les conséquences sur les communautés utilisatrices de</w:t>
      </w:r>
      <w:r>
        <w:rPr>
          <w:rFonts w:ascii="Century Gothic" w:eastAsia="Times New Roman" w:hAnsi="Century Gothic" w:cs="Times New Roman"/>
          <w:sz w:val="24"/>
          <w:szCs w:val="24"/>
          <w:lang w:val="wo-SN" w:eastAsia="wo-SN"/>
        </w:rPr>
        <w:t xml:space="preserve"> leurs</w:t>
      </w:r>
      <w:r w:rsidRPr="007D5A91">
        <w:rPr>
          <w:rFonts w:ascii="Century Gothic" w:eastAsia="Times New Roman" w:hAnsi="Century Gothic" w:cs="Times New Roman"/>
          <w:sz w:val="24"/>
          <w:szCs w:val="24"/>
          <w:lang w:val="wo-SN" w:eastAsia="wo-SN"/>
        </w:rPr>
        <w:t xml:space="preserve"> ressources</w:t>
      </w:r>
      <w:r>
        <w:rPr>
          <w:rFonts w:ascii="Century Gothic" w:eastAsia="Times New Roman" w:hAnsi="Century Gothic" w:cs="Times New Roman"/>
          <w:sz w:val="24"/>
          <w:szCs w:val="24"/>
          <w:lang w:val="wo-SN" w:eastAsia="wo-SN"/>
        </w:rPr>
        <w:t xml:space="preserve"> nturelles</w:t>
      </w:r>
      <w:r w:rsidRPr="007D5A91">
        <w:rPr>
          <w:rFonts w:ascii="Century Gothic" w:eastAsia="Times New Roman" w:hAnsi="Century Gothic" w:cs="Times New Roman"/>
          <w:sz w:val="24"/>
          <w:szCs w:val="24"/>
          <w:lang w:val="wo-SN" w:eastAsia="wo-SN"/>
        </w:rPr>
        <w:t xml:space="preserve">. </w:t>
      </w:r>
    </w:p>
    <w:p w14:paraId="4A5F3E39" w14:textId="77777777" w:rsidR="005625B5" w:rsidRPr="00B73067" w:rsidRDefault="005625B5" w:rsidP="00E47B64">
      <w:pPr>
        <w:numPr>
          <w:ilvl w:val="0"/>
          <w:numId w:val="518"/>
        </w:numPr>
        <w:tabs>
          <w:tab w:val="clear" w:pos="720"/>
          <w:tab w:val="num" w:pos="1134"/>
        </w:tabs>
        <w:spacing w:after="0" w:line="276" w:lineRule="auto"/>
        <w:ind w:left="851" w:hanging="142"/>
        <w:jc w:val="both"/>
        <w:rPr>
          <w:rFonts w:ascii="Century Gothic" w:eastAsia="Times New Roman" w:hAnsi="Century Gothic" w:cs="Times New Roman"/>
          <w:sz w:val="24"/>
          <w:szCs w:val="24"/>
          <w:lang w:eastAsia="wo-SN"/>
        </w:rPr>
      </w:pPr>
      <w:r w:rsidRPr="003F22F6">
        <w:rPr>
          <w:rFonts w:ascii="Century Gothic" w:hAnsi="Century Gothic" w:cs="Times New Roman"/>
          <w:bCs/>
          <w:sz w:val="24"/>
          <w:szCs w:val="24"/>
        </w:rPr>
        <w:t xml:space="preserve">Envisager des scénarios d’avenir et proposer des réponses pragmatiques qui sont de nature à réduire les vulnérabilités et </w:t>
      </w:r>
      <w:r w:rsidRPr="003F22F6">
        <w:rPr>
          <w:rFonts w:ascii="Century Gothic" w:hAnsi="Century Gothic" w:cs="Times New Roman"/>
          <w:bCs/>
          <w:i/>
          <w:iCs/>
          <w:sz w:val="24"/>
          <w:szCs w:val="24"/>
        </w:rPr>
        <w:t>in fine</w:t>
      </w:r>
      <w:r w:rsidRPr="003F22F6">
        <w:rPr>
          <w:rFonts w:ascii="Century Gothic" w:hAnsi="Century Gothic" w:cs="Times New Roman"/>
          <w:bCs/>
          <w:sz w:val="24"/>
          <w:szCs w:val="24"/>
        </w:rPr>
        <w:t xml:space="preserve"> à accroître leur potentialité de productivité des ressources naturelles. </w:t>
      </w:r>
    </w:p>
    <w:p w14:paraId="42E2EEBE" w14:textId="77777777" w:rsidR="005625B5" w:rsidRPr="00B73067" w:rsidRDefault="005625B5" w:rsidP="005625B5">
      <w:pPr>
        <w:spacing w:after="0" w:line="276" w:lineRule="auto"/>
        <w:ind w:left="714"/>
        <w:jc w:val="both"/>
        <w:rPr>
          <w:rFonts w:ascii="Century Gothic" w:eastAsia="Times New Roman" w:hAnsi="Century Gothic" w:cs="Times New Roman"/>
          <w:sz w:val="24"/>
          <w:szCs w:val="24"/>
          <w:lang w:eastAsia="wo-SN"/>
        </w:rPr>
      </w:pPr>
    </w:p>
    <w:p w14:paraId="16EDC74B" w14:textId="77777777" w:rsidR="005625B5" w:rsidRPr="009E7960" w:rsidRDefault="005625B5" w:rsidP="00E47B64">
      <w:pPr>
        <w:pStyle w:val="Titre11"/>
        <w:numPr>
          <w:ilvl w:val="0"/>
          <w:numId w:val="76"/>
        </w:numPr>
        <w:tabs>
          <w:tab w:val="left" w:pos="821"/>
        </w:tabs>
        <w:spacing w:line="276" w:lineRule="auto"/>
        <w:ind w:left="1276" w:hanging="567"/>
        <w:rPr>
          <w:rFonts w:ascii="Century Gothic" w:eastAsia="Verdana" w:hAnsi="Century Gothic"/>
          <w:b w:val="0"/>
          <w:bCs w:val="0"/>
          <w:w w:val="95"/>
        </w:rPr>
      </w:pPr>
      <w:r>
        <w:rPr>
          <w:rFonts w:ascii="Century Gothic" w:eastAsia="Verdana" w:hAnsi="Century Gothic"/>
          <w:w w:val="95"/>
        </w:rPr>
        <w:t xml:space="preserve">Méthodologie </w:t>
      </w:r>
      <w:r w:rsidRPr="009E7960">
        <w:rPr>
          <w:rFonts w:ascii="Century Gothic" w:eastAsia="Verdana" w:hAnsi="Century Gothic"/>
          <w:w w:val="95"/>
        </w:rPr>
        <w:t xml:space="preserve"> </w:t>
      </w:r>
    </w:p>
    <w:p w14:paraId="3B033AAC" w14:textId="77777777" w:rsidR="005625B5" w:rsidRDefault="005625B5" w:rsidP="00E47B64">
      <w:pPr>
        <w:spacing w:after="0" w:line="276" w:lineRule="auto"/>
        <w:ind w:left="708" w:right="-142"/>
        <w:jc w:val="both"/>
        <w:rPr>
          <w:rFonts w:ascii="Century Gothic" w:eastAsia="Times New Roman" w:hAnsi="Century Gothic" w:cs="Times New Roman"/>
          <w:sz w:val="24"/>
          <w:szCs w:val="24"/>
          <w:lang w:val="wo-SN" w:eastAsia="wo-SN"/>
        </w:rPr>
      </w:pPr>
      <w:r w:rsidRPr="00B73067">
        <w:rPr>
          <w:rFonts w:ascii="Century Gothic" w:eastAsia="Times New Roman" w:hAnsi="Century Gothic" w:cs="Times New Roman"/>
          <w:sz w:val="24"/>
          <w:szCs w:val="24"/>
          <w:lang w:val="wo-SN" w:eastAsia="wo-SN"/>
        </w:rPr>
        <w:t>La méthodologie de cette étude se divisera en trois sections principales :</w:t>
      </w:r>
    </w:p>
    <w:p w14:paraId="05EEBBB1" w14:textId="77777777" w:rsidR="005625B5" w:rsidRPr="00E47B64" w:rsidRDefault="005625B5" w:rsidP="005625B5">
      <w:pPr>
        <w:spacing w:after="0" w:line="276" w:lineRule="auto"/>
        <w:jc w:val="both"/>
        <w:rPr>
          <w:rFonts w:ascii="Century Gothic" w:eastAsia="Times New Roman" w:hAnsi="Century Gothic" w:cs="Times New Roman"/>
          <w:sz w:val="8"/>
          <w:szCs w:val="8"/>
          <w:lang w:val="wo-SN" w:eastAsia="wo-SN"/>
        </w:rPr>
      </w:pPr>
    </w:p>
    <w:p w14:paraId="32A33BA9" w14:textId="77777777" w:rsidR="005625B5" w:rsidRDefault="005625B5" w:rsidP="00E47B64">
      <w:pPr>
        <w:numPr>
          <w:ilvl w:val="0"/>
          <w:numId w:val="1"/>
        </w:numPr>
        <w:tabs>
          <w:tab w:val="clear" w:pos="720"/>
          <w:tab w:val="num" w:pos="1134"/>
        </w:tabs>
        <w:spacing w:after="0" w:line="276" w:lineRule="auto"/>
        <w:ind w:left="1134" w:hanging="357"/>
        <w:jc w:val="both"/>
        <w:rPr>
          <w:rFonts w:ascii="Century Gothic" w:eastAsia="Times New Roman" w:hAnsi="Century Gothic" w:cs="Times New Roman"/>
          <w:b/>
          <w:bCs/>
          <w:sz w:val="24"/>
          <w:szCs w:val="24"/>
          <w:lang w:val="wo-SN" w:eastAsia="wo-SN"/>
        </w:rPr>
      </w:pPr>
      <w:r w:rsidRPr="00B73067">
        <w:rPr>
          <w:rFonts w:ascii="Century Gothic" w:eastAsia="Times New Roman" w:hAnsi="Century Gothic" w:cs="Times New Roman"/>
          <w:b/>
          <w:bCs/>
          <w:sz w:val="24"/>
          <w:szCs w:val="24"/>
          <w:lang w:val="wo-SN" w:eastAsia="wo-SN"/>
        </w:rPr>
        <w:t xml:space="preserve">Considérations de Planification et de Gestion </w:t>
      </w:r>
    </w:p>
    <w:p w14:paraId="3B348B60" w14:textId="77777777" w:rsidR="005625B5" w:rsidRPr="00E47B64" w:rsidRDefault="005625B5" w:rsidP="005625B5">
      <w:pPr>
        <w:tabs>
          <w:tab w:val="left" w:pos="426"/>
        </w:tabs>
        <w:spacing w:after="0" w:line="276" w:lineRule="auto"/>
        <w:jc w:val="both"/>
        <w:rPr>
          <w:rFonts w:ascii="Century Gothic" w:eastAsia="Times New Roman" w:hAnsi="Century Gothic" w:cs="Times New Roman"/>
          <w:sz w:val="8"/>
          <w:szCs w:val="8"/>
          <w:lang w:val="wo-SN" w:eastAsia="wo-SN"/>
        </w:rPr>
      </w:pPr>
    </w:p>
    <w:p w14:paraId="69D3B891" w14:textId="77777777" w:rsidR="005625B5" w:rsidRDefault="005625B5" w:rsidP="00E47B64">
      <w:pPr>
        <w:numPr>
          <w:ilvl w:val="0"/>
          <w:numId w:val="1"/>
        </w:numPr>
        <w:tabs>
          <w:tab w:val="clear" w:pos="720"/>
          <w:tab w:val="num" w:pos="1134"/>
        </w:tabs>
        <w:spacing w:after="0" w:line="276" w:lineRule="auto"/>
        <w:ind w:left="1134" w:hanging="357"/>
        <w:jc w:val="both"/>
        <w:rPr>
          <w:rFonts w:ascii="Century Gothic" w:eastAsia="Times New Roman" w:hAnsi="Century Gothic" w:cs="Times New Roman"/>
          <w:sz w:val="24"/>
          <w:szCs w:val="24"/>
          <w:lang w:val="wo-SN" w:eastAsia="wo-SN"/>
        </w:rPr>
      </w:pPr>
      <w:r w:rsidRPr="00B73067">
        <w:rPr>
          <w:rFonts w:ascii="Century Gothic" w:eastAsia="Times New Roman" w:hAnsi="Century Gothic" w:cs="Times New Roman"/>
          <w:sz w:val="24"/>
          <w:szCs w:val="24"/>
          <w:lang w:val="wo-SN" w:eastAsia="wo-SN"/>
        </w:rPr>
        <w:t>Intégrer des considérations spécifiques à la composante V&amp;A, ainsi que des aspects généraux de gestion de projets.</w:t>
      </w:r>
    </w:p>
    <w:p w14:paraId="7A5C7295" w14:textId="77777777" w:rsidR="005625B5" w:rsidRDefault="005625B5" w:rsidP="00E47B64">
      <w:pPr>
        <w:numPr>
          <w:ilvl w:val="0"/>
          <w:numId w:val="1"/>
        </w:numPr>
        <w:tabs>
          <w:tab w:val="clear" w:pos="720"/>
          <w:tab w:val="num" w:pos="1134"/>
        </w:tabs>
        <w:spacing w:after="0" w:line="276" w:lineRule="auto"/>
        <w:ind w:left="1134" w:hanging="357"/>
        <w:jc w:val="both"/>
        <w:rPr>
          <w:rFonts w:ascii="Century Gothic" w:eastAsia="Times New Roman" w:hAnsi="Century Gothic" w:cs="Times New Roman"/>
          <w:sz w:val="24"/>
          <w:szCs w:val="24"/>
          <w:lang w:val="wo-SN" w:eastAsia="wo-SN"/>
        </w:rPr>
      </w:pPr>
      <w:r w:rsidRPr="000B6968">
        <w:rPr>
          <w:rFonts w:ascii="Century Gothic" w:eastAsia="Times New Roman" w:hAnsi="Century Gothic" w:cs="Times New Roman"/>
          <w:sz w:val="24"/>
          <w:szCs w:val="24"/>
          <w:lang w:val="wo-SN" w:eastAsia="wo-SN"/>
        </w:rPr>
        <w:t>Appliquer les leçons apprises des projets antérieurs pour optimiser la planification et la mise en œuvre des stratégies d'adaptation.</w:t>
      </w:r>
    </w:p>
    <w:p w14:paraId="47A4AB26" w14:textId="77777777" w:rsidR="005625B5" w:rsidRPr="00E47B64" w:rsidRDefault="005625B5" w:rsidP="005625B5">
      <w:pPr>
        <w:spacing w:after="0" w:line="276" w:lineRule="auto"/>
        <w:ind w:left="720"/>
        <w:jc w:val="both"/>
        <w:rPr>
          <w:rFonts w:ascii="Century Gothic" w:eastAsia="Times New Roman" w:hAnsi="Century Gothic" w:cs="Times New Roman"/>
          <w:sz w:val="12"/>
          <w:szCs w:val="12"/>
          <w:lang w:val="wo-SN" w:eastAsia="wo-SN"/>
        </w:rPr>
      </w:pPr>
    </w:p>
    <w:p w14:paraId="1346B5BC" w14:textId="77777777" w:rsidR="005625B5" w:rsidRDefault="005625B5" w:rsidP="00E47B64">
      <w:pPr>
        <w:numPr>
          <w:ilvl w:val="0"/>
          <w:numId w:val="1"/>
        </w:numPr>
        <w:tabs>
          <w:tab w:val="clear" w:pos="720"/>
          <w:tab w:val="num" w:pos="1134"/>
        </w:tabs>
        <w:spacing w:after="0" w:line="276" w:lineRule="auto"/>
        <w:ind w:left="1134" w:hanging="357"/>
        <w:jc w:val="both"/>
        <w:rPr>
          <w:rFonts w:ascii="Century Gothic" w:eastAsia="Times New Roman" w:hAnsi="Century Gothic" w:cs="Times New Roman"/>
          <w:b/>
          <w:bCs/>
          <w:sz w:val="24"/>
          <w:szCs w:val="24"/>
          <w:lang w:val="wo-SN" w:eastAsia="wo-SN"/>
        </w:rPr>
      </w:pPr>
      <w:r w:rsidRPr="00B73067">
        <w:rPr>
          <w:rFonts w:ascii="Century Gothic" w:eastAsia="Times New Roman" w:hAnsi="Century Gothic" w:cs="Times New Roman"/>
          <w:b/>
          <w:bCs/>
          <w:sz w:val="24"/>
          <w:szCs w:val="24"/>
          <w:lang w:val="wo-SN" w:eastAsia="wo-SN"/>
        </w:rPr>
        <w:t>Planification de l'</w:t>
      </w:r>
      <w:r>
        <w:rPr>
          <w:rFonts w:ascii="Century Gothic" w:eastAsia="Times New Roman" w:hAnsi="Century Gothic" w:cs="Times New Roman"/>
          <w:b/>
          <w:bCs/>
          <w:sz w:val="24"/>
          <w:szCs w:val="24"/>
          <w:lang w:val="wo-SN" w:eastAsia="wo-SN"/>
        </w:rPr>
        <w:t>é</w:t>
      </w:r>
      <w:r w:rsidRPr="00B73067">
        <w:rPr>
          <w:rFonts w:ascii="Century Gothic" w:eastAsia="Times New Roman" w:hAnsi="Century Gothic" w:cs="Times New Roman"/>
          <w:b/>
          <w:bCs/>
          <w:sz w:val="24"/>
          <w:szCs w:val="24"/>
          <w:lang w:val="wo-SN" w:eastAsia="wo-SN"/>
        </w:rPr>
        <w:t xml:space="preserve">valuation de la Vulnérabilité et de l'Adaptation </w:t>
      </w:r>
    </w:p>
    <w:p w14:paraId="1AB6BA7A" w14:textId="77777777" w:rsidR="005625B5" w:rsidRPr="00C30385" w:rsidRDefault="005625B5" w:rsidP="005625B5">
      <w:pPr>
        <w:tabs>
          <w:tab w:val="left" w:pos="426"/>
        </w:tabs>
        <w:spacing w:after="0" w:line="276" w:lineRule="auto"/>
        <w:jc w:val="both"/>
        <w:rPr>
          <w:rFonts w:ascii="Century Gothic" w:eastAsia="Times New Roman" w:hAnsi="Century Gothic" w:cs="Times New Roman"/>
          <w:sz w:val="10"/>
          <w:szCs w:val="10"/>
          <w:lang w:val="wo-SN" w:eastAsia="wo-SN"/>
        </w:rPr>
      </w:pPr>
    </w:p>
    <w:p w14:paraId="6F1C913D" w14:textId="77777777" w:rsidR="005625B5" w:rsidRDefault="005625B5" w:rsidP="0052344F">
      <w:pPr>
        <w:spacing w:after="0" w:line="276" w:lineRule="auto"/>
        <w:ind w:left="708"/>
        <w:jc w:val="both"/>
        <w:rPr>
          <w:rFonts w:ascii="Century Gothic" w:eastAsia="Times New Roman" w:hAnsi="Century Gothic" w:cs="Times New Roman"/>
          <w:sz w:val="24"/>
          <w:szCs w:val="24"/>
          <w:lang w:val="wo-SN" w:eastAsia="wo-SN"/>
        </w:rPr>
      </w:pPr>
      <w:r w:rsidRPr="000B6968">
        <w:rPr>
          <w:rFonts w:ascii="Century Gothic" w:eastAsia="Times New Roman" w:hAnsi="Century Gothic" w:cs="Times New Roman"/>
          <w:sz w:val="24"/>
          <w:szCs w:val="24"/>
          <w:lang w:val="wo-SN" w:eastAsia="wo-SN"/>
        </w:rPr>
        <w:t>Etapes Clés :</w:t>
      </w:r>
    </w:p>
    <w:p w14:paraId="4BA2971B" w14:textId="77777777" w:rsidR="0052344F" w:rsidRPr="000B6968" w:rsidRDefault="0052344F" w:rsidP="00E47B64">
      <w:pPr>
        <w:spacing w:after="0" w:line="276" w:lineRule="auto"/>
        <w:ind w:left="708"/>
        <w:jc w:val="both"/>
        <w:rPr>
          <w:rFonts w:ascii="Century Gothic" w:eastAsia="Times New Roman" w:hAnsi="Century Gothic" w:cs="Times New Roman"/>
          <w:sz w:val="24"/>
          <w:szCs w:val="24"/>
          <w:lang w:val="wo-SN" w:eastAsia="wo-SN"/>
        </w:rPr>
      </w:pPr>
    </w:p>
    <w:p w14:paraId="3FCA8504" w14:textId="3F204DD6" w:rsidR="005625B5" w:rsidRPr="00C90DD4" w:rsidRDefault="005625B5" w:rsidP="00E47B64">
      <w:pPr>
        <w:numPr>
          <w:ilvl w:val="0"/>
          <w:numId w:val="517"/>
        </w:numPr>
        <w:tabs>
          <w:tab w:val="clear" w:pos="720"/>
          <w:tab w:val="num" w:pos="993"/>
        </w:tabs>
        <w:spacing w:after="0" w:line="276" w:lineRule="auto"/>
        <w:ind w:left="1276" w:hanging="283"/>
        <w:jc w:val="both"/>
        <w:rPr>
          <w:rFonts w:ascii="Century Gothic" w:eastAsia="Times New Roman" w:hAnsi="Century Gothic" w:cs="Times New Roman"/>
          <w:b/>
          <w:bCs/>
          <w:sz w:val="24"/>
          <w:szCs w:val="24"/>
          <w:lang w:val="wo-SN" w:eastAsia="wo-SN"/>
        </w:rPr>
      </w:pPr>
      <w:r w:rsidRPr="00B73067">
        <w:rPr>
          <w:rFonts w:ascii="Century Gothic" w:eastAsia="Times New Roman" w:hAnsi="Century Gothic" w:cs="Times New Roman"/>
          <w:b/>
          <w:bCs/>
          <w:sz w:val="24"/>
          <w:szCs w:val="24"/>
          <w:lang w:val="wo-SN" w:eastAsia="wo-SN"/>
        </w:rPr>
        <w:t>Examen des évaluations antérieures :</w:t>
      </w:r>
      <w:r w:rsidRPr="00C90DD4">
        <w:rPr>
          <w:rFonts w:ascii="Century Gothic" w:eastAsia="Times New Roman" w:hAnsi="Century Gothic" w:cs="Times New Roman"/>
          <w:b/>
          <w:bCs/>
          <w:sz w:val="24"/>
          <w:szCs w:val="24"/>
          <w:lang w:val="wo-SN" w:eastAsia="wo-SN"/>
        </w:rPr>
        <w:t xml:space="preserve"> Analyse des études précédentes concernant la vulnérabilité des écosystèmes arides et forestiers y compris les zones humides continentales en Mauritanie.</w:t>
      </w:r>
    </w:p>
    <w:p w14:paraId="575DC9E9" w14:textId="77777777" w:rsidR="005625B5" w:rsidRPr="00C90DD4" w:rsidRDefault="005625B5" w:rsidP="00E47B64">
      <w:pPr>
        <w:numPr>
          <w:ilvl w:val="0"/>
          <w:numId w:val="517"/>
        </w:numPr>
        <w:tabs>
          <w:tab w:val="clear" w:pos="720"/>
          <w:tab w:val="num" w:pos="993"/>
        </w:tabs>
        <w:spacing w:after="0" w:line="276" w:lineRule="auto"/>
        <w:ind w:left="1276" w:hanging="283"/>
        <w:jc w:val="both"/>
        <w:rPr>
          <w:rFonts w:ascii="Century Gothic" w:eastAsia="Times New Roman" w:hAnsi="Century Gothic" w:cs="Times New Roman"/>
          <w:b/>
          <w:bCs/>
          <w:sz w:val="24"/>
          <w:szCs w:val="24"/>
          <w:lang w:val="wo-SN" w:eastAsia="wo-SN"/>
        </w:rPr>
      </w:pPr>
      <w:r w:rsidRPr="000B6968">
        <w:rPr>
          <w:rFonts w:ascii="Century Gothic" w:eastAsia="Times New Roman" w:hAnsi="Century Gothic" w:cs="Times New Roman"/>
          <w:b/>
          <w:bCs/>
          <w:sz w:val="24"/>
          <w:szCs w:val="24"/>
          <w:lang w:val="wo-SN" w:eastAsia="wo-SN"/>
        </w:rPr>
        <w:t>Analyse de l'évaluation (facultative</w:t>
      </w:r>
      <w:r>
        <w:rPr>
          <w:rFonts w:ascii="Century Gothic" w:eastAsia="Times New Roman" w:hAnsi="Century Gothic" w:cs="Times New Roman"/>
          <w:b/>
          <w:bCs/>
          <w:sz w:val="24"/>
          <w:szCs w:val="24"/>
          <w:lang w:val="wo-SN" w:eastAsia="wo-SN"/>
        </w:rPr>
        <w:t>)</w:t>
      </w:r>
      <w:r w:rsidRPr="000B6968">
        <w:rPr>
          <w:rFonts w:ascii="Century Gothic" w:eastAsia="Times New Roman" w:hAnsi="Century Gothic" w:cs="Times New Roman"/>
          <w:b/>
          <w:bCs/>
          <w:sz w:val="24"/>
          <w:szCs w:val="24"/>
          <w:lang w:val="wo-SN" w:eastAsia="wo-SN"/>
        </w:rPr>
        <w:t xml:space="preserve"> :</w:t>
      </w:r>
      <w:r w:rsidRPr="00C90DD4">
        <w:rPr>
          <w:rFonts w:ascii="Century Gothic" w:eastAsia="Times New Roman" w:hAnsi="Century Gothic" w:cs="Times New Roman"/>
          <w:b/>
          <w:bCs/>
          <w:sz w:val="24"/>
          <w:szCs w:val="24"/>
          <w:lang w:val="wo-SN" w:eastAsia="wo-SN"/>
        </w:rPr>
        <w:t xml:space="preserve"> Synthèse des résultats des évaluations passées pour identifier les tendances, les lacunes, et les opportunités d'amélioration.</w:t>
      </w:r>
    </w:p>
    <w:p w14:paraId="4417D938" w14:textId="77777777" w:rsidR="005625B5" w:rsidRPr="00C90DD4" w:rsidRDefault="005625B5" w:rsidP="00E47B64">
      <w:pPr>
        <w:numPr>
          <w:ilvl w:val="0"/>
          <w:numId w:val="517"/>
        </w:numPr>
        <w:tabs>
          <w:tab w:val="clear" w:pos="720"/>
          <w:tab w:val="num" w:pos="993"/>
        </w:tabs>
        <w:spacing w:after="0" w:line="276" w:lineRule="auto"/>
        <w:ind w:left="1276" w:hanging="283"/>
        <w:jc w:val="both"/>
        <w:rPr>
          <w:rFonts w:ascii="Century Gothic" w:eastAsia="Times New Roman" w:hAnsi="Century Gothic" w:cs="Times New Roman"/>
          <w:b/>
          <w:bCs/>
          <w:sz w:val="24"/>
          <w:szCs w:val="24"/>
          <w:lang w:val="wo-SN" w:eastAsia="wo-SN"/>
        </w:rPr>
      </w:pPr>
      <w:r>
        <w:rPr>
          <w:rFonts w:ascii="Century Gothic" w:eastAsia="Times New Roman" w:hAnsi="Century Gothic" w:cs="Times New Roman"/>
          <w:b/>
          <w:bCs/>
          <w:sz w:val="24"/>
          <w:szCs w:val="24"/>
          <w:lang w:val="wo-SN" w:eastAsia="wo-SN"/>
        </w:rPr>
        <w:t>E</w:t>
      </w:r>
      <w:r w:rsidRPr="000B6968">
        <w:rPr>
          <w:rFonts w:ascii="Century Gothic" w:eastAsia="Times New Roman" w:hAnsi="Century Gothic" w:cs="Times New Roman"/>
          <w:b/>
          <w:bCs/>
          <w:sz w:val="24"/>
          <w:szCs w:val="24"/>
          <w:lang w:val="wo-SN" w:eastAsia="wo-SN"/>
        </w:rPr>
        <w:t>valuation des capacités et des contraintes :</w:t>
      </w:r>
      <w:r w:rsidRPr="00C90DD4">
        <w:rPr>
          <w:rFonts w:ascii="Century Gothic" w:eastAsia="Times New Roman" w:hAnsi="Century Gothic" w:cs="Times New Roman"/>
          <w:b/>
          <w:bCs/>
          <w:sz w:val="24"/>
          <w:szCs w:val="24"/>
          <w:lang w:val="wo-SN" w:eastAsia="wo-SN"/>
        </w:rPr>
        <w:t xml:space="preserve"> Identification des ressources disponibles (financières, humaines, techniques) et des contraintes (budget, données).</w:t>
      </w:r>
    </w:p>
    <w:p w14:paraId="61F5108F" w14:textId="77777777" w:rsidR="005625B5" w:rsidRPr="00C90DD4" w:rsidRDefault="005625B5" w:rsidP="00E47B64">
      <w:pPr>
        <w:numPr>
          <w:ilvl w:val="0"/>
          <w:numId w:val="517"/>
        </w:numPr>
        <w:tabs>
          <w:tab w:val="clear" w:pos="720"/>
          <w:tab w:val="num" w:pos="993"/>
        </w:tabs>
        <w:spacing w:after="0" w:line="276" w:lineRule="auto"/>
        <w:ind w:left="1276" w:hanging="283"/>
        <w:jc w:val="both"/>
        <w:rPr>
          <w:rFonts w:ascii="Century Gothic" w:eastAsia="Times New Roman" w:hAnsi="Century Gothic" w:cs="Times New Roman"/>
          <w:b/>
          <w:bCs/>
          <w:sz w:val="24"/>
          <w:szCs w:val="24"/>
          <w:lang w:val="wo-SN" w:eastAsia="wo-SN"/>
        </w:rPr>
      </w:pPr>
      <w:r w:rsidRPr="000B6968">
        <w:rPr>
          <w:rFonts w:ascii="Century Gothic" w:eastAsia="Times New Roman" w:hAnsi="Century Gothic" w:cs="Times New Roman"/>
          <w:b/>
          <w:bCs/>
          <w:sz w:val="24"/>
          <w:szCs w:val="24"/>
          <w:lang w:val="wo-SN" w:eastAsia="wo-SN"/>
        </w:rPr>
        <w:t>Optimisation de la mise en œuvre :</w:t>
      </w:r>
      <w:r w:rsidRPr="00C90DD4">
        <w:rPr>
          <w:rFonts w:ascii="Century Gothic" w:eastAsia="Times New Roman" w:hAnsi="Century Gothic" w:cs="Times New Roman"/>
          <w:b/>
          <w:bCs/>
          <w:sz w:val="24"/>
          <w:szCs w:val="24"/>
          <w:lang w:val="wo-SN" w:eastAsia="wo-SN"/>
        </w:rPr>
        <w:t xml:space="preserve"> Développement de stratégies méthodologiques pour maximiser l'efficacité de l'évaluation V&amp;A.</w:t>
      </w:r>
    </w:p>
    <w:p w14:paraId="11892847" w14:textId="77777777" w:rsidR="005625B5" w:rsidRDefault="005625B5" w:rsidP="00E47B64">
      <w:pPr>
        <w:numPr>
          <w:ilvl w:val="0"/>
          <w:numId w:val="517"/>
        </w:numPr>
        <w:tabs>
          <w:tab w:val="clear" w:pos="720"/>
          <w:tab w:val="num" w:pos="993"/>
        </w:tabs>
        <w:spacing w:after="0" w:line="276" w:lineRule="auto"/>
        <w:ind w:left="1276" w:hanging="283"/>
        <w:jc w:val="both"/>
        <w:rPr>
          <w:rFonts w:ascii="Century Gothic" w:eastAsia="Times New Roman" w:hAnsi="Century Gothic" w:cs="Times New Roman"/>
          <w:sz w:val="24"/>
          <w:szCs w:val="24"/>
          <w:lang w:val="wo-SN" w:eastAsia="wo-SN"/>
        </w:rPr>
      </w:pPr>
      <w:r>
        <w:rPr>
          <w:rFonts w:ascii="Century Gothic" w:eastAsia="Times New Roman" w:hAnsi="Century Gothic" w:cs="Times New Roman"/>
          <w:b/>
          <w:bCs/>
          <w:sz w:val="24"/>
          <w:szCs w:val="24"/>
          <w:lang w:val="wo-SN" w:eastAsia="wo-SN"/>
        </w:rPr>
        <w:t>E</w:t>
      </w:r>
      <w:r w:rsidRPr="000B6968">
        <w:rPr>
          <w:rFonts w:ascii="Century Gothic" w:eastAsia="Times New Roman" w:hAnsi="Century Gothic" w:cs="Times New Roman"/>
          <w:b/>
          <w:bCs/>
          <w:sz w:val="24"/>
          <w:szCs w:val="24"/>
          <w:lang w:val="wo-SN" w:eastAsia="wo-SN"/>
        </w:rPr>
        <w:t>laboration d'un plan de mise en œuvre :</w:t>
      </w:r>
      <w:r w:rsidRPr="00C90DD4">
        <w:rPr>
          <w:rFonts w:ascii="Century Gothic" w:eastAsia="Times New Roman" w:hAnsi="Century Gothic" w:cs="Times New Roman"/>
          <w:b/>
          <w:bCs/>
          <w:sz w:val="24"/>
          <w:szCs w:val="24"/>
          <w:lang w:val="wo-SN" w:eastAsia="wo-SN"/>
        </w:rPr>
        <w:t xml:space="preserve"> Développement d’un plan détaillé comprenant un calendrier, les étapes clés, les rôles et responsabilités, ainsi que les ressources</w:t>
      </w:r>
      <w:r w:rsidRPr="000B6968">
        <w:rPr>
          <w:rFonts w:ascii="Century Gothic" w:eastAsia="Times New Roman" w:hAnsi="Century Gothic" w:cs="Times New Roman"/>
          <w:sz w:val="24"/>
          <w:szCs w:val="24"/>
          <w:lang w:val="wo-SN" w:eastAsia="wo-SN"/>
        </w:rPr>
        <w:t xml:space="preserve"> nécessaires.</w:t>
      </w:r>
    </w:p>
    <w:p w14:paraId="55DAD59A" w14:textId="77777777" w:rsidR="005625B5" w:rsidRDefault="005625B5" w:rsidP="005625B5">
      <w:pPr>
        <w:spacing w:after="0" w:line="276" w:lineRule="auto"/>
        <w:jc w:val="both"/>
        <w:rPr>
          <w:rFonts w:ascii="Century Gothic" w:eastAsia="Times New Roman" w:hAnsi="Century Gothic" w:cs="Times New Roman"/>
          <w:sz w:val="24"/>
          <w:szCs w:val="24"/>
          <w:lang w:val="wo-SN" w:eastAsia="wo-SN"/>
        </w:rPr>
      </w:pPr>
    </w:p>
    <w:p w14:paraId="47415C6C" w14:textId="77777777" w:rsidR="005625B5" w:rsidRPr="008F6C74" w:rsidRDefault="005625B5" w:rsidP="00E47B64">
      <w:pPr>
        <w:numPr>
          <w:ilvl w:val="2"/>
          <w:numId w:val="1"/>
        </w:numPr>
        <w:tabs>
          <w:tab w:val="clear" w:pos="2160"/>
        </w:tabs>
        <w:spacing w:after="0" w:line="276" w:lineRule="auto"/>
        <w:ind w:left="1276" w:hanging="283"/>
        <w:jc w:val="both"/>
        <w:rPr>
          <w:rFonts w:ascii="Century Gothic" w:eastAsia="Times New Roman" w:hAnsi="Century Gothic" w:cs="Times New Roman"/>
          <w:b/>
          <w:bCs/>
          <w:sz w:val="24"/>
          <w:szCs w:val="24"/>
          <w:lang w:val="wo-SN" w:eastAsia="wo-SN"/>
        </w:rPr>
      </w:pPr>
      <w:r w:rsidRPr="008F6C74">
        <w:rPr>
          <w:rFonts w:ascii="Century Gothic" w:eastAsia="Times New Roman" w:hAnsi="Century Gothic" w:cs="Times New Roman"/>
          <w:b/>
          <w:bCs/>
          <w:sz w:val="24"/>
          <w:szCs w:val="24"/>
          <w:lang w:val="wo-SN" w:eastAsia="wo-SN"/>
        </w:rPr>
        <w:t xml:space="preserve">Sélection des Cadres de Vulnérabilité et d'Adaptation (V&amp;A) </w:t>
      </w:r>
    </w:p>
    <w:p w14:paraId="31836F28" w14:textId="77777777" w:rsidR="005625B5" w:rsidRDefault="005625B5" w:rsidP="00E47B64">
      <w:pPr>
        <w:spacing w:after="0" w:line="276" w:lineRule="auto"/>
        <w:ind w:left="1276" w:hanging="283"/>
        <w:jc w:val="both"/>
        <w:rPr>
          <w:rFonts w:ascii="Century Gothic" w:eastAsia="Times New Roman" w:hAnsi="Century Gothic" w:cs="Times New Roman"/>
          <w:b/>
          <w:bCs/>
          <w:sz w:val="24"/>
          <w:szCs w:val="24"/>
          <w:lang w:val="wo-SN" w:eastAsia="wo-SN"/>
        </w:rPr>
      </w:pPr>
    </w:p>
    <w:p w14:paraId="1A4C15CB" w14:textId="77777777" w:rsidR="005625B5" w:rsidRPr="00C90DD4" w:rsidRDefault="005625B5" w:rsidP="00E47B64">
      <w:pPr>
        <w:numPr>
          <w:ilvl w:val="2"/>
          <w:numId w:val="1"/>
        </w:numPr>
        <w:tabs>
          <w:tab w:val="clear" w:pos="2160"/>
        </w:tabs>
        <w:spacing w:after="0" w:line="276" w:lineRule="auto"/>
        <w:ind w:left="1276" w:hanging="283"/>
        <w:jc w:val="both"/>
        <w:rPr>
          <w:rFonts w:ascii="Century Gothic" w:eastAsia="Times New Roman" w:hAnsi="Century Gothic" w:cs="Times New Roman"/>
          <w:b/>
          <w:bCs/>
          <w:sz w:val="24"/>
          <w:szCs w:val="24"/>
          <w:lang w:val="wo-SN" w:eastAsia="wo-SN"/>
        </w:rPr>
      </w:pPr>
      <w:r w:rsidRPr="00B73067">
        <w:rPr>
          <w:rFonts w:ascii="Century Gothic" w:eastAsia="Times New Roman" w:hAnsi="Century Gothic" w:cs="Times New Roman"/>
          <w:b/>
          <w:bCs/>
          <w:sz w:val="24"/>
          <w:szCs w:val="24"/>
          <w:lang w:val="wo-SN" w:eastAsia="wo-SN"/>
        </w:rPr>
        <w:t>Cadres d'Impact :</w:t>
      </w:r>
      <w:r w:rsidRPr="00C90DD4">
        <w:rPr>
          <w:rFonts w:ascii="Century Gothic" w:eastAsia="Times New Roman" w:hAnsi="Century Gothic" w:cs="Times New Roman"/>
          <w:b/>
          <w:bCs/>
          <w:sz w:val="24"/>
          <w:szCs w:val="24"/>
          <w:lang w:val="wo-SN" w:eastAsia="wo-SN"/>
        </w:rPr>
        <w:t xml:space="preserve"> Evaluation des impacts climatiques directs sur les écosystèmes arides et forestiers y compris les zones humides continentales du pays.</w:t>
      </w:r>
    </w:p>
    <w:p w14:paraId="73ECD26D" w14:textId="77777777" w:rsidR="005625B5" w:rsidRPr="00C90DD4" w:rsidRDefault="005625B5" w:rsidP="00E47B64">
      <w:pPr>
        <w:numPr>
          <w:ilvl w:val="2"/>
          <w:numId w:val="1"/>
        </w:numPr>
        <w:tabs>
          <w:tab w:val="clear" w:pos="2160"/>
          <w:tab w:val="left" w:pos="1418"/>
        </w:tabs>
        <w:spacing w:after="0" w:line="276" w:lineRule="auto"/>
        <w:ind w:left="1276" w:hanging="283"/>
        <w:jc w:val="both"/>
        <w:rPr>
          <w:rFonts w:ascii="Century Gothic" w:eastAsia="Times New Roman" w:hAnsi="Century Gothic" w:cs="Times New Roman"/>
          <w:b/>
          <w:bCs/>
          <w:sz w:val="24"/>
          <w:szCs w:val="24"/>
          <w:lang w:val="wo-SN" w:eastAsia="wo-SN"/>
        </w:rPr>
      </w:pPr>
      <w:r w:rsidRPr="008F6C74">
        <w:rPr>
          <w:rFonts w:ascii="Century Gothic" w:eastAsia="Times New Roman" w:hAnsi="Century Gothic" w:cs="Times New Roman"/>
          <w:b/>
          <w:bCs/>
          <w:sz w:val="24"/>
          <w:szCs w:val="24"/>
          <w:lang w:val="wo-SN" w:eastAsia="wo-SN"/>
        </w:rPr>
        <w:t>Cadres d'Adaptation :</w:t>
      </w:r>
      <w:r w:rsidRPr="00C90DD4">
        <w:rPr>
          <w:rFonts w:ascii="Century Gothic" w:eastAsia="Times New Roman" w:hAnsi="Century Gothic" w:cs="Times New Roman"/>
          <w:b/>
          <w:bCs/>
          <w:sz w:val="24"/>
          <w:szCs w:val="24"/>
          <w:lang w:val="wo-SN" w:eastAsia="wo-SN"/>
        </w:rPr>
        <w:t xml:space="preserve"> Intégration des stratégies d'adaptation dans la gestion des écosystèmes arides et forestiers y compris les zones humides continentales du pays.</w:t>
      </w:r>
    </w:p>
    <w:p w14:paraId="5F519CF3" w14:textId="77777777" w:rsidR="005625B5" w:rsidRPr="00C90DD4" w:rsidRDefault="005625B5" w:rsidP="00E47B64">
      <w:pPr>
        <w:numPr>
          <w:ilvl w:val="2"/>
          <w:numId w:val="1"/>
        </w:numPr>
        <w:tabs>
          <w:tab w:val="clear" w:pos="2160"/>
        </w:tabs>
        <w:spacing w:after="0" w:line="276" w:lineRule="auto"/>
        <w:ind w:left="1276" w:hanging="283"/>
        <w:jc w:val="both"/>
        <w:rPr>
          <w:rFonts w:ascii="Century Gothic" w:eastAsia="Times New Roman" w:hAnsi="Century Gothic" w:cs="Times New Roman"/>
          <w:b/>
          <w:bCs/>
          <w:sz w:val="24"/>
          <w:szCs w:val="24"/>
          <w:lang w:val="wo-SN" w:eastAsia="wo-SN"/>
        </w:rPr>
      </w:pPr>
      <w:r w:rsidRPr="008F6C74">
        <w:rPr>
          <w:rFonts w:ascii="Century Gothic" w:eastAsia="Times New Roman" w:hAnsi="Century Gothic" w:cs="Times New Roman"/>
          <w:b/>
          <w:bCs/>
          <w:sz w:val="24"/>
          <w:szCs w:val="24"/>
          <w:lang w:val="wo-SN" w:eastAsia="wo-SN"/>
        </w:rPr>
        <w:t>Cadres Basés sur les Risques :</w:t>
      </w:r>
      <w:r w:rsidRPr="00C90DD4">
        <w:rPr>
          <w:rFonts w:ascii="Century Gothic" w:eastAsia="Times New Roman" w:hAnsi="Century Gothic" w:cs="Times New Roman"/>
          <w:b/>
          <w:bCs/>
          <w:sz w:val="24"/>
          <w:szCs w:val="24"/>
          <w:lang w:val="wo-SN" w:eastAsia="wo-SN"/>
        </w:rPr>
        <w:t xml:space="preserve"> Analyse des risques climatiques spécifiques écosystèmes arides et forestiers y compris les zones humides continentales du pays.</w:t>
      </w:r>
    </w:p>
    <w:p w14:paraId="58FF1222" w14:textId="77777777" w:rsidR="005625B5" w:rsidRPr="008F6C74" w:rsidRDefault="005625B5" w:rsidP="00E47B64">
      <w:pPr>
        <w:numPr>
          <w:ilvl w:val="2"/>
          <w:numId w:val="1"/>
        </w:numPr>
        <w:tabs>
          <w:tab w:val="clear" w:pos="2160"/>
        </w:tabs>
        <w:spacing w:after="0" w:line="276" w:lineRule="auto"/>
        <w:ind w:left="1276" w:hanging="283"/>
        <w:jc w:val="both"/>
        <w:rPr>
          <w:rFonts w:ascii="Century Gothic" w:eastAsia="Times New Roman" w:hAnsi="Century Gothic" w:cs="Times New Roman"/>
          <w:sz w:val="24"/>
          <w:szCs w:val="24"/>
          <w:lang w:val="wo-SN" w:eastAsia="wo-SN"/>
        </w:rPr>
      </w:pPr>
      <w:r w:rsidRPr="008F6C74">
        <w:rPr>
          <w:rFonts w:ascii="Century Gothic" w:eastAsia="Times New Roman" w:hAnsi="Century Gothic" w:cs="Times New Roman"/>
          <w:b/>
          <w:bCs/>
          <w:sz w:val="24"/>
          <w:szCs w:val="24"/>
          <w:lang w:val="wo-SN" w:eastAsia="wo-SN"/>
        </w:rPr>
        <w:t>Cadres Locaux et Communautaires :</w:t>
      </w:r>
      <w:r w:rsidRPr="00C90DD4">
        <w:rPr>
          <w:rFonts w:ascii="Century Gothic" w:eastAsia="Times New Roman" w:hAnsi="Century Gothic" w:cs="Times New Roman"/>
          <w:b/>
          <w:bCs/>
          <w:sz w:val="24"/>
          <w:szCs w:val="24"/>
          <w:lang w:val="wo-SN" w:eastAsia="wo-SN"/>
        </w:rPr>
        <w:t xml:space="preserve"> Participation des communautés locales à l’évaluation</w:t>
      </w:r>
      <w:r w:rsidRPr="008F6C74">
        <w:rPr>
          <w:rFonts w:ascii="Century Gothic" w:eastAsia="Times New Roman" w:hAnsi="Century Gothic" w:cs="Times New Roman"/>
          <w:sz w:val="24"/>
          <w:szCs w:val="24"/>
          <w:lang w:val="wo-SN" w:eastAsia="wo-SN"/>
        </w:rPr>
        <w:t xml:space="preserve"> et à l’adaptation.</w:t>
      </w:r>
    </w:p>
    <w:p w14:paraId="4C6785DB" w14:textId="77777777" w:rsidR="005625B5" w:rsidRDefault="005625B5" w:rsidP="005625B5">
      <w:pPr>
        <w:spacing w:after="0" w:line="276" w:lineRule="auto"/>
        <w:jc w:val="both"/>
        <w:rPr>
          <w:rFonts w:ascii="Century Gothic" w:eastAsia="Times New Roman" w:hAnsi="Century Gothic" w:cs="Times New Roman"/>
          <w:b/>
          <w:bCs/>
          <w:sz w:val="24"/>
          <w:szCs w:val="24"/>
          <w:lang w:val="wo-SN" w:eastAsia="wo-SN"/>
        </w:rPr>
      </w:pPr>
    </w:p>
    <w:p w14:paraId="3A8704CA" w14:textId="77777777" w:rsidR="005625B5" w:rsidRDefault="005625B5" w:rsidP="00E47B64">
      <w:pPr>
        <w:spacing w:after="0" w:line="276" w:lineRule="auto"/>
        <w:ind w:left="993"/>
        <w:jc w:val="both"/>
        <w:rPr>
          <w:rFonts w:ascii="Century Gothic" w:eastAsia="Times New Roman" w:hAnsi="Century Gothic" w:cs="Times New Roman"/>
          <w:b/>
          <w:bCs/>
          <w:sz w:val="24"/>
          <w:szCs w:val="24"/>
          <w:lang w:val="wo-SN" w:eastAsia="wo-SN"/>
        </w:rPr>
      </w:pPr>
      <w:r w:rsidRPr="00B73067">
        <w:rPr>
          <w:rFonts w:ascii="Century Gothic" w:eastAsia="Times New Roman" w:hAnsi="Century Gothic" w:cs="Times New Roman"/>
          <w:b/>
          <w:bCs/>
          <w:sz w:val="24"/>
          <w:szCs w:val="24"/>
          <w:lang w:val="wo-SN" w:eastAsia="wo-SN"/>
        </w:rPr>
        <w:t xml:space="preserve">Cadres </w:t>
      </w:r>
      <w:r>
        <w:rPr>
          <w:rFonts w:ascii="Century Gothic" w:eastAsia="Times New Roman" w:hAnsi="Century Gothic" w:cs="Times New Roman"/>
          <w:b/>
          <w:bCs/>
          <w:sz w:val="24"/>
          <w:szCs w:val="24"/>
          <w:lang w:val="wo-SN" w:eastAsia="wo-SN"/>
        </w:rPr>
        <w:t>d</w:t>
      </w:r>
      <w:r w:rsidRPr="00B73067">
        <w:rPr>
          <w:rFonts w:ascii="Century Gothic" w:eastAsia="Times New Roman" w:hAnsi="Century Gothic" w:cs="Times New Roman"/>
          <w:b/>
          <w:bCs/>
          <w:sz w:val="24"/>
          <w:szCs w:val="24"/>
          <w:lang w:val="wo-SN" w:eastAsia="wo-SN"/>
        </w:rPr>
        <w:t>isponibles :</w:t>
      </w:r>
    </w:p>
    <w:p w14:paraId="68CF983D" w14:textId="77777777" w:rsidR="005625B5" w:rsidRPr="00B73067" w:rsidRDefault="005625B5" w:rsidP="005625B5">
      <w:pPr>
        <w:spacing w:after="0" w:line="276" w:lineRule="auto"/>
        <w:jc w:val="both"/>
        <w:rPr>
          <w:rFonts w:ascii="Century Gothic" w:eastAsia="Times New Roman" w:hAnsi="Century Gothic" w:cs="Times New Roman"/>
          <w:sz w:val="24"/>
          <w:szCs w:val="24"/>
          <w:lang w:val="wo-SN" w:eastAsia="wo-SN"/>
        </w:rPr>
      </w:pPr>
    </w:p>
    <w:p w14:paraId="7F105AB6" w14:textId="77777777" w:rsidR="005625B5" w:rsidRDefault="005625B5" w:rsidP="00E47B64">
      <w:pPr>
        <w:numPr>
          <w:ilvl w:val="0"/>
          <w:numId w:val="64"/>
        </w:numPr>
        <w:spacing w:after="0" w:line="276" w:lineRule="auto"/>
        <w:ind w:left="1418"/>
        <w:jc w:val="both"/>
        <w:rPr>
          <w:rFonts w:ascii="Century Gothic" w:eastAsia="Times New Roman" w:hAnsi="Century Gothic" w:cs="Times New Roman"/>
          <w:sz w:val="24"/>
          <w:szCs w:val="24"/>
          <w:lang w:val="wo-SN" w:eastAsia="wo-SN"/>
        </w:rPr>
      </w:pPr>
      <w:r w:rsidRPr="00B73067">
        <w:rPr>
          <w:rFonts w:ascii="Century Gothic" w:eastAsia="Times New Roman" w:hAnsi="Century Gothic" w:cs="Times New Roman"/>
          <w:b/>
          <w:bCs/>
          <w:sz w:val="24"/>
          <w:szCs w:val="24"/>
          <w:lang w:val="wo-SN" w:eastAsia="wo-SN"/>
        </w:rPr>
        <w:t>UNDP Adaptation Policy Frameworks for Climate Change (APF) :</w:t>
      </w:r>
      <w:r w:rsidRPr="00B73067">
        <w:rPr>
          <w:rFonts w:ascii="Century Gothic" w:eastAsia="Times New Roman" w:hAnsi="Century Gothic" w:cs="Times New Roman"/>
          <w:sz w:val="24"/>
          <w:szCs w:val="24"/>
          <w:lang w:val="wo-SN" w:eastAsia="wo-SN"/>
        </w:rPr>
        <w:t xml:space="preserve"> Faciliter l'évaluation et la gestion des risques climatiques avec une attention particulière à la vulnérabilité.</w:t>
      </w:r>
    </w:p>
    <w:p w14:paraId="3174F04E" w14:textId="77777777" w:rsidR="005625B5" w:rsidRDefault="005625B5" w:rsidP="00E47B64">
      <w:pPr>
        <w:numPr>
          <w:ilvl w:val="0"/>
          <w:numId w:val="64"/>
        </w:numPr>
        <w:spacing w:after="0" w:line="276" w:lineRule="auto"/>
        <w:ind w:left="1418"/>
        <w:jc w:val="both"/>
        <w:rPr>
          <w:rFonts w:ascii="Century Gothic" w:eastAsia="Times New Roman" w:hAnsi="Century Gothic" w:cs="Times New Roman"/>
          <w:sz w:val="24"/>
          <w:szCs w:val="24"/>
          <w:lang w:val="wo-SN" w:eastAsia="wo-SN"/>
        </w:rPr>
      </w:pPr>
      <w:r w:rsidRPr="008F6C74">
        <w:rPr>
          <w:rFonts w:ascii="Century Gothic" w:eastAsia="Times New Roman" w:hAnsi="Century Gothic" w:cs="Times New Roman"/>
          <w:b/>
          <w:bCs/>
          <w:sz w:val="24"/>
          <w:szCs w:val="24"/>
          <w:lang w:val="wo-SN" w:eastAsia="wo-SN"/>
        </w:rPr>
        <w:t>UNEP Handbook on Methods for Climate Change Impact Assessment and Adaptation Strategies :</w:t>
      </w:r>
      <w:r w:rsidRPr="008F6C74">
        <w:rPr>
          <w:rFonts w:ascii="Century Gothic" w:eastAsia="Times New Roman" w:hAnsi="Century Gothic" w:cs="Times New Roman"/>
          <w:sz w:val="24"/>
          <w:szCs w:val="24"/>
          <w:lang w:val="wo-SN" w:eastAsia="wo-SN"/>
        </w:rPr>
        <w:t xml:space="preserve"> Fournit une base méthodologique pour l'évaluation des impacts climatiques par secteur.</w:t>
      </w:r>
    </w:p>
    <w:p w14:paraId="6E33A14C" w14:textId="77777777" w:rsidR="005625B5" w:rsidRDefault="005625B5" w:rsidP="00E47B64">
      <w:pPr>
        <w:numPr>
          <w:ilvl w:val="0"/>
          <w:numId w:val="64"/>
        </w:numPr>
        <w:spacing w:after="0" w:line="276" w:lineRule="auto"/>
        <w:ind w:left="1418"/>
        <w:jc w:val="both"/>
        <w:rPr>
          <w:rFonts w:ascii="Century Gothic" w:eastAsia="Times New Roman" w:hAnsi="Century Gothic" w:cs="Times New Roman"/>
          <w:sz w:val="24"/>
          <w:szCs w:val="24"/>
          <w:lang w:val="wo-SN" w:eastAsia="wo-SN"/>
        </w:rPr>
      </w:pPr>
      <w:r w:rsidRPr="008F6C74">
        <w:rPr>
          <w:rFonts w:ascii="Century Gothic" w:eastAsia="Times New Roman" w:hAnsi="Century Gothic" w:cs="Times New Roman"/>
          <w:b/>
          <w:bCs/>
          <w:sz w:val="24"/>
          <w:szCs w:val="24"/>
          <w:lang w:val="wo-SN" w:eastAsia="wo-SN"/>
        </w:rPr>
        <w:t>USAID Adapting to Climate Variability and Change :</w:t>
      </w:r>
      <w:r w:rsidRPr="008F6C74">
        <w:rPr>
          <w:rFonts w:ascii="Century Gothic" w:eastAsia="Times New Roman" w:hAnsi="Century Gothic" w:cs="Times New Roman"/>
          <w:sz w:val="24"/>
          <w:szCs w:val="24"/>
          <w:lang w:val="wo-SN" w:eastAsia="wo-SN"/>
        </w:rPr>
        <w:t xml:space="preserve"> Donne des directives sur l'intégration de l'adaptation dans les projets de développement, y compris ceux axés sur les zones humides.</w:t>
      </w:r>
    </w:p>
    <w:p w14:paraId="4DBFCCF5" w14:textId="77777777" w:rsidR="005625B5" w:rsidRDefault="005625B5" w:rsidP="005625B5">
      <w:pPr>
        <w:spacing w:after="0" w:line="276" w:lineRule="auto"/>
        <w:jc w:val="both"/>
        <w:rPr>
          <w:rFonts w:ascii="Century Gothic" w:eastAsia="Times New Roman" w:hAnsi="Century Gothic" w:cs="Times New Roman"/>
          <w:b/>
          <w:bCs/>
          <w:sz w:val="24"/>
          <w:szCs w:val="24"/>
          <w:lang w:val="wo-SN" w:eastAsia="wo-SN"/>
        </w:rPr>
      </w:pPr>
    </w:p>
    <w:p w14:paraId="52269FA8" w14:textId="77777777" w:rsidR="005625B5" w:rsidRPr="00B73067" w:rsidRDefault="005625B5" w:rsidP="00E47B64">
      <w:pPr>
        <w:spacing w:after="0" w:line="276" w:lineRule="auto"/>
        <w:ind w:left="993"/>
        <w:jc w:val="both"/>
        <w:rPr>
          <w:rFonts w:ascii="Century Gothic" w:eastAsia="Times New Roman" w:hAnsi="Century Gothic" w:cs="Times New Roman"/>
          <w:b/>
          <w:bCs/>
          <w:sz w:val="24"/>
          <w:szCs w:val="24"/>
          <w:lang w:val="wo-SN" w:eastAsia="wo-SN"/>
        </w:rPr>
      </w:pPr>
      <w:r w:rsidRPr="00B73067">
        <w:rPr>
          <w:rFonts w:ascii="Century Gothic" w:eastAsia="Times New Roman" w:hAnsi="Century Gothic" w:cs="Times New Roman"/>
          <w:b/>
          <w:bCs/>
          <w:sz w:val="24"/>
          <w:szCs w:val="24"/>
          <w:lang w:val="wo-SN" w:eastAsia="wo-SN"/>
        </w:rPr>
        <w:t>Résultats Attendus</w:t>
      </w:r>
    </w:p>
    <w:p w14:paraId="2EC7C2E7" w14:textId="77777777" w:rsidR="005625B5" w:rsidRDefault="005625B5" w:rsidP="005625B5">
      <w:pPr>
        <w:spacing w:after="0" w:line="276" w:lineRule="auto"/>
        <w:jc w:val="both"/>
        <w:rPr>
          <w:rFonts w:ascii="Century Gothic" w:eastAsia="Times New Roman" w:hAnsi="Century Gothic" w:cs="Times New Roman"/>
          <w:sz w:val="24"/>
          <w:szCs w:val="24"/>
          <w:lang w:val="wo-SN" w:eastAsia="wo-SN"/>
        </w:rPr>
      </w:pPr>
    </w:p>
    <w:p w14:paraId="408CEDB6" w14:textId="77777777" w:rsidR="005625B5" w:rsidRPr="00B73067" w:rsidRDefault="005625B5" w:rsidP="00E47B64">
      <w:pPr>
        <w:spacing w:after="0" w:line="276" w:lineRule="auto"/>
        <w:ind w:left="1276" w:hanging="283"/>
        <w:jc w:val="both"/>
        <w:rPr>
          <w:rFonts w:ascii="Century Gothic" w:eastAsia="Times New Roman" w:hAnsi="Century Gothic" w:cs="Times New Roman"/>
          <w:sz w:val="24"/>
          <w:szCs w:val="24"/>
          <w:lang w:val="wo-SN" w:eastAsia="wo-SN"/>
        </w:rPr>
      </w:pPr>
      <w:r w:rsidRPr="00B73067">
        <w:rPr>
          <w:rFonts w:ascii="Century Gothic" w:eastAsia="Times New Roman" w:hAnsi="Century Gothic" w:cs="Times New Roman"/>
          <w:sz w:val="24"/>
          <w:szCs w:val="24"/>
          <w:lang w:val="wo-SN" w:eastAsia="wo-SN"/>
        </w:rPr>
        <w:t>Les résultats attendus de l'étude incluent les livrables qui suivent :</w:t>
      </w:r>
    </w:p>
    <w:p w14:paraId="79883821" w14:textId="77777777" w:rsidR="005625B5" w:rsidRDefault="005625B5" w:rsidP="005625B5">
      <w:pPr>
        <w:spacing w:after="0" w:line="276" w:lineRule="auto"/>
        <w:jc w:val="both"/>
        <w:rPr>
          <w:rFonts w:ascii="Century Gothic" w:eastAsia="Times New Roman" w:hAnsi="Century Gothic" w:cs="Times New Roman"/>
          <w:sz w:val="24"/>
          <w:szCs w:val="24"/>
          <w:lang w:val="wo-SN" w:eastAsia="wo-SN"/>
        </w:rPr>
      </w:pPr>
    </w:p>
    <w:p w14:paraId="79DE4218" w14:textId="77777777" w:rsidR="005625B5" w:rsidRDefault="005625B5" w:rsidP="00E47B64">
      <w:pPr>
        <w:numPr>
          <w:ilvl w:val="0"/>
          <w:numId w:val="65"/>
        </w:numPr>
        <w:spacing w:after="0" w:line="276" w:lineRule="auto"/>
        <w:ind w:left="1418"/>
        <w:jc w:val="both"/>
        <w:rPr>
          <w:rFonts w:ascii="Century Gothic" w:eastAsia="Times New Roman" w:hAnsi="Century Gothic" w:cs="Times New Roman"/>
          <w:sz w:val="24"/>
          <w:szCs w:val="24"/>
          <w:lang w:val="wo-SN" w:eastAsia="wo-SN"/>
        </w:rPr>
      </w:pPr>
      <w:r w:rsidRPr="00DA6C4D">
        <w:rPr>
          <w:rFonts w:ascii="Century Gothic" w:eastAsia="Times New Roman" w:hAnsi="Century Gothic" w:cs="Times New Roman"/>
          <w:b/>
          <w:bCs/>
          <w:sz w:val="24"/>
          <w:szCs w:val="24"/>
          <w:lang w:val="wo-SN" w:eastAsia="wo-SN"/>
        </w:rPr>
        <w:t>Livrable 1</w:t>
      </w:r>
      <w:r>
        <w:rPr>
          <w:rFonts w:ascii="Century Gothic" w:eastAsia="Times New Roman" w:hAnsi="Century Gothic" w:cs="Times New Roman"/>
          <w:sz w:val="24"/>
          <w:szCs w:val="24"/>
          <w:lang w:val="wo-SN" w:eastAsia="wo-SN"/>
        </w:rPr>
        <w:t xml:space="preserve"> </w:t>
      </w:r>
      <w:r w:rsidRPr="00B73067">
        <w:rPr>
          <w:rFonts w:ascii="Century Gothic" w:eastAsia="Times New Roman" w:hAnsi="Century Gothic" w:cs="Times New Roman"/>
          <w:sz w:val="24"/>
          <w:szCs w:val="24"/>
          <w:lang w:val="wo-SN" w:eastAsia="wo-SN"/>
        </w:rPr>
        <w:t xml:space="preserve">: Un rapport détaillé sur la vulnérabilité des </w:t>
      </w:r>
      <w:r>
        <w:rPr>
          <w:rFonts w:ascii="Century Gothic" w:eastAsia="Times New Roman" w:hAnsi="Century Gothic" w:cs="Times New Roman"/>
          <w:sz w:val="24"/>
          <w:szCs w:val="24"/>
          <w:lang w:val="wo-SN" w:eastAsia="wo-SN"/>
        </w:rPr>
        <w:t xml:space="preserve">écosystèmes arides et forestiers y compris les zones humides continentales </w:t>
      </w:r>
      <w:r w:rsidRPr="00B73067">
        <w:rPr>
          <w:rFonts w:ascii="Century Gothic" w:eastAsia="Times New Roman" w:hAnsi="Century Gothic" w:cs="Times New Roman"/>
          <w:sz w:val="24"/>
          <w:szCs w:val="24"/>
          <w:lang w:val="wo-SN" w:eastAsia="wo-SN"/>
        </w:rPr>
        <w:t>d</w:t>
      </w:r>
      <w:r>
        <w:rPr>
          <w:rFonts w:ascii="Century Gothic" w:eastAsia="Times New Roman" w:hAnsi="Century Gothic" w:cs="Times New Roman"/>
          <w:sz w:val="24"/>
          <w:szCs w:val="24"/>
          <w:lang w:val="wo-SN" w:eastAsia="wo-SN"/>
        </w:rPr>
        <w:t>e la Mauritanie</w:t>
      </w:r>
      <w:r w:rsidRPr="00B73067">
        <w:rPr>
          <w:rFonts w:ascii="Century Gothic" w:eastAsia="Times New Roman" w:hAnsi="Century Gothic" w:cs="Times New Roman"/>
          <w:sz w:val="24"/>
          <w:szCs w:val="24"/>
          <w:lang w:val="wo-SN" w:eastAsia="wo-SN"/>
        </w:rPr>
        <w:t xml:space="preserve"> face au changement climatique.</w:t>
      </w:r>
    </w:p>
    <w:p w14:paraId="5E9A9983" w14:textId="77777777" w:rsidR="005625B5" w:rsidRDefault="005625B5" w:rsidP="00E47B64">
      <w:pPr>
        <w:numPr>
          <w:ilvl w:val="0"/>
          <w:numId w:val="65"/>
        </w:numPr>
        <w:spacing w:after="0" w:line="276" w:lineRule="auto"/>
        <w:ind w:left="1418"/>
        <w:jc w:val="both"/>
        <w:rPr>
          <w:rFonts w:ascii="Century Gothic" w:eastAsia="Times New Roman" w:hAnsi="Century Gothic" w:cs="Times New Roman"/>
          <w:sz w:val="24"/>
          <w:szCs w:val="24"/>
          <w:lang w:val="wo-SN" w:eastAsia="wo-SN"/>
        </w:rPr>
      </w:pPr>
      <w:r w:rsidRPr="00DA6C4D">
        <w:rPr>
          <w:rFonts w:ascii="Century Gothic" w:eastAsia="Times New Roman" w:hAnsi="Century Gothic" w:cs="Times New Roman"/>
          <w:b/>
          <w:bCs/>
          <w:sz w:val="24"/>
          <w:szCs w:val="24"/>
          <w:lang w:val="wo-SN" w:eastAsia="wo-SN"/>
        </w:rPr>
        <w:t>Livrable 2</w:t>
      </w:r>
      <w:r>
        <w:rPr>
          <w:rFonts w:ascii="Century Gothic" w:eastAsia="Times New Roman" w:hAnsi="Century Gothic" w:cs="Times New Roman"/>
          <w:sz w:val="24"/>
          <w:szCs w:val="24"/>
          <w:lang w:val="wo-SN" w:eastAsia="wo-SN"/>
        </w:rPr>
        <w:t xml:space="preserve"> </w:t>
      </w:r>
      <w:r w:rsidRPr="008F6C74">
        <w:rPr>
          <w:rFonts w:ascii="Century Gothic" w:eastAsia="Times New Roman" w:hAnsi="Century Gothic" w:cs="Times New Roman"/>
          <w:sz w:val="24"/>
          <w:szCs w:val="24"/>
          <w:lang w:val="wo-SN" w:eastAsia="wo-SN"/>
        </w:rPr>
        <w:t xml:space="preserve">: Un rapport proposant des </w:t>
      </w:r>
      <w:r w:rsidRPr="001839C6">
        <w:rPr>
          <w:rFonts w:ascii="Century Gothic" w:hAnsi="Century Gothic" w:cs="Times New Roman"/>
          <w:bCs/>
          <w:sz w:val="24"/>
          <w:szCs w:val="24"/>
        </w:rPr>
        <w:t xml:space="preserve">scénarios d’adaptation </w:t>
      </w:r>
      <w:r w:rsidRPr="008F6C74">
        <w:rPr>
          <w:rFonts w:ascii="Century Gothic" w:eastAsia="Times New Roman" w:hAnsi="Century Gothic" w:cs="Times New Roman"/>
          <w:sz w:val="24"/>
          <w:szCs w:val="24"/>
          <w:lang w:val="wo-SN" w:eastAsia="wo-SN"/>
        </w:rPr>
        <w:t xml:space="preserve">appuyé par des recommandations spécifiques pour renforcer la résilience </w:t>
      </w:r>
      <w:r>
        <w:rPr>
          <w:rFonts w:ascii="Century Gothic" w:eastAsia="Times New Roman" w:hAnsi="Century Gothic" w:cs="Times New Roman"/>
          <w:sz w:val="24"/>
          <w:szCs w:val="24"/>
          <w:lang w:val="wo-SN" w:eastAsia="wo-SN"/>
        </w:rPr>
        <w:t xml:space="preserve">écosystèmes arides et forestiers y compris les zones humides continentales </w:t>
      </w:r>
      <w:r w:rsidRPr="00B73067">
        <w:rPr>
          <w:rFonts w:ascii="Century Gothic" w:eastAsia="Times New Roman" w:hAnsi="Century Gothic" w:cs="Times New Roman"/>
          <w:sz w:val="24"/>
          <w:szCs w:val="24"/>
          <w:lang w:val="wo-SN" w:eastAsia="wo-SN"/>
        </w:rPr>
        <w:t>du pays</w:t>
      </w:r>
      <w:r w:rsidRPr="008F6C74">
        <w:rPr>
          <w:rFonts w:ascii="Century Gothic" w:eastAsia="Times New Roman" w:hAnsi="Century Gothic" w:cs="Times New Roman"/>
          <w:sz w:val="24"/>
          <w:szCs w:val="24"/>
          <w:lang w:val="wo-SN" w:eastAsia="wo-SN"/>
        </w:rPr>
        <w:t xml:space="preserve"> et des communautés locales.</w:t>
      </w:r>
    </w:p>
    <w:p w14:paraId="6C002E19" w14:textId="77777777" w:rsidR="005625B5" w:rsidRPr="008F6C74" w:rsidRDefault="005625B5" w:rsidP="00E47B64">
      <w:pPr>
        <w:numPr>
          <w:ilvl w:val="0"/>
          <w:numId w:val="65"/>
        </w:numPr>
        <w:spacing w:after="0" w:line="276" w:lineRule="auto"/>
        <w:ind w:left="1418"/>
        <w:jc w:val="both"/>
        <w:rPr>
          <w:rFonts w:ascii="Century Gothic" w:eastAsia="Times New Roman" w:hAnsi="Century Gothic" w:cs="Times New Roman"/>
          <w:sz w:val="24"/>
          <w:szCs w:val="24"/>
          <w:lang w:val="wo-SN" w:eastAsia="wo-SN"/>
        </w:rPr>
      </w:pPr>
      <w:r w:rsidRPr="00DA6C4D">
        <w:rPr>
          <w:rFonts w:ascii="Century Gothic" w:eastAsia="Times New Roman" w:hAnsi="Century Gothic" w:cs="Times New Roman"/>
          <w:b/>
          <w:bCs/>
          <w:sz w:val="24"/>
          <w:szCs w:val="24"/>
          <w:lang w:val="wo-SN" w:eastAsia="wo-SN"/>
        </w:rPr>
        <w:t>Livrable 3</w:t>
      </w:r>
      <w:r>
        <w:rPr>
          <w:rFonts w:ascii="Century Gothic" w:eastAsia="Times New Roman" w:hAnsi="Century Gothic" w:cs="Times New Roman"/>
          <w:sz w:val="24"/>
          <w:szCs w:val="24"/>
          <w:lang w:val="wo-SN" w:eastAsia="wo-SN"/>
        </w:rPr>
        <w:t xml:space="preserve"> </w:t>
      </w:r>
      <w:r w:rsidRPr="008F6C74">
        <w:rPr>
          <w:rFonts w:ascii="Century Gothic" w:eastAsia="Times New Roman" w:hAnsi="Century Gothic" w:cs="Times New Roman"/>
          <w:sz w:val="24"/>
          <w:szCs w:val="24"/>
          <w:lang w:val="wo-SN" w:eastAsia="wo-SN"/>
        </w:rPr>
        <w:t xml:space="preserve">: Un plan d'action pour l'intégration des mesures d'adaptation dans les politiques de gestion des </w:t>
      </w:r>
      <w:r>
        <w:rPr>
          <w:rFonts w:ascii="Century Gothic" w:eastAsia="Times New Roman" w:hAnsi="Century Gothic" w:cs="Times New Roman"/>
          <w:sz w:val="24"/>
          <w:szCs w:val="24"/>
          <w:lang w:val="wo-SN" w:eastAsia="wo-SN"/>
        </w:rPr>
        <w:t xml:space="preserve">écosystèmes arides et forestiers y compris les zones humides continentales </w:t>
      </w:r>
      <w:r w:rsidRPr="00B73067">
        <w:rPr>
          <w:rFonts w:ascii="Century Gothic" w:eastAsia="Times New Roman" w:hAnsi="Century Gothic" w:cs="Times New Roman"/>
          <w:sz w:val="24"/>
          <w:szCs w:val="24"/>
          <w:lang w:val="wo-SN" w:eastAsia="wo-SN"/>
        </w:rPr>
        <w:t>du pays</w:t>
      </w:r>
      <w:r w:rsidRPr="008F6C74">
        <w:rPr>
          <w:rFonts w:ascii="Century Gothic" w:eastAsia="Times New Roman" w:hAnsi="Century Gothic" w:cs="Times New Roman"/>
          <w:sz w:val="24"/>
          <w:szCs w:val="24"/>
          <w:lang w:val="wo-SN" w:eastAsia="wo-SN"/>
        </w:rPr>
        <w:t>.</w:t>
      </w:r>
    </w:p>
    <w:p w14:paraId="5DF56A6B" w14:textId="77777777" w:rsidR="005625B5" w:rsidRPr="00E47B64" w:rsidRDefault="005625B5" w:rsidP="005625B5">
      <w:pPr>
        <w:spacing w:after="0" w:line="276" w:lineRule="auto"/>
        <w:ind w:left="2160"/>
        <w:jc w:val="both"/>
        <w:rPr>
          <w:rFonts w:ascii="Century Gothic" w:eastAsia="Times New Roman" w:hAnsi="Century Gothic" w:cs="Times New Roman"/>
          <w:sz w:val="16"/>
          <w:szCs w:val="16"/>
          <w:lang w:val="wo-SN" w:eastAsia="wo-SN"/>
        </w:rPr>
      </w:pPr>
    </w:p>
    <w:p w14:paraId="2B007618" w14:textId="77777777" w:rsidR="005625B5" w:rsidRDefault="005625B5" w:rsidP="00E47B64">
      <w:pPr>
        <w:numPr>
          <w:ilvl w:val="0"/>
          <w:numId w:val="76"/>
        </w:numPr>
        <w:tabs>
          <w:tab w:val="left" w:pos="426"/>
        </w:tabs>
        <w:spacing w:after="0" w:line="276" w:lineRule="auto"/>
        <w:ind w:left="1418"/>
        <w:jc w:val="both"/>
        <w:rPr>
          <w:rFonts w:ascii="Century Gothic" w:eastAsia="Times New Roman" w:hAnsi="Century Gothic" w:cs="Times New Roman"/>
          <w:b/>
          <w:bCs/>
          <w:sz w:val="24"/>
          <w:szCs w:val="24"/>
          <w:lang w:val="wo-SN" w:eastAsia="wo-SN"/>
        </w:rPr>
      </w:pPr>
      <w:r w:rsidRPr="00B73067">
        <w:rPr>
          <w:rFonts w:ascii="Century Gothic" w:eastAsia="Times New Roman" w:hAnsi="Century Gothic" w:cs="Times New Roman"/>
          <w:b/>
          <w:bCs/>
          <w:sz w:val="24"/>
          <w:szCs w:val="24"/>
          <w:lang w:val="wo-SN" w:eastAsia="wo-SN"/>
        </w:rPr>
        <w:t>Qualifications Requises</w:t>
      </w:r>
    </w:p>
    <w:p w14:paraId="4BBF4DC9" w14:textId="77777777" w:rsidR="005625B5" w:rsidRPr="00B73067" w:rsidRDefault="005625B5" w:rsidP="005625B5">
      <w:pPr>
        <w:tabs>
          <w:tab w:val="left" w:pos="426"/>
        </w:tabs>
        <w:spacing w:after="0" w:line="276" w:lineRule="auto"/>
        <w:ind w:left="1560"/>
        <w:jc w:val="both"/>
        <w:rPr>
          <w:rFonts w:ascii="Century Gothic" w:eastAsia="Times New Roman" w:hAnsi="Century Gothic" w:cs="Times New Roman"/>
          <w:b/>
          <w:bCs/>
          <w:sz w:val="24"/>
          <w:szCs w:val="24"/>
          <w:lang w:val="wo-SN" w:eastAsia="wo-SN"/>
        </w:rPr>
      </w:pPr>
    </w:p>
    <w:p w14:paraId="0517F469" w14:textId="77777777" w:rsidR="005625B5" w:rsidRDefault="005625B5" w:rsidP="00E47B64">
      <w:pPr>
        <w:spacing w:after="0" w:line="276" w:lineRule="auto"/>
        <w:ind w:left="1058"/>
        <w:jc w:val="both"/>
        <w:rPr>
          <w:rFonts w:ascii="Century Gothic" w:eastAsia="Times New Roman" w:hAnsi="Century Gothic" w:cs="Times New Roman"/>
          <w:sz w:val="24"/>
          <w:szCs w:val="24"/>
          <w:lang w:val="wo-SN" w:eastAsia="wo-SN"/>
        </w:rPr>
      </w:pPr>
      <w:r w:rsidRPr="00B73067">
        <w:rPr>
          <w:rFonts w:ascii="Century Gothic" w:eastAsia="Times New Roman" w:hAnsi="Century Gothic" w:cs="Times New Roman"/>
          <w:sz w:val="24"/>
          <w:szCs w:val="24"/>
          <w:lang w:val="wo-SN" w:eastAsia="wo-SN"/>
        </w:rPr>
        <w:t>Les consultants ou l’équipe de recherche devront posséder les qualifications suivantes :</w:t>
      </w:r>
    </w:p>
    <w:p w14:paraId="03081233" w14:textId="77777777" w:rsidR="005625B5" w:rsidRPr="00B73067" w:rsidRDefault="005625B5" w:rsidP="005625B5">
      <w:pPr>
        <w:spacing w:after="0" w:line="276" w:lineRule="auto"/>
        <w:jc w:val="both"/>
        <w:rPr>
          <w:rFonts w:ascii="Century Gothic" w:eastAsia="Times New Roman" w:hAnsi="Century Gothic" w:cs="Times New Roman"/>
          <w:sz w:val="24"/>
          <w:szCs w:val="24"/>
          <w:lang w:val="wo-SN" w:eastAsia="wo-SN"/>
        </w:rPr>
      </w:pPr>
    </w:p>
    <w:p w14:paraId="67AEEEE3" w14:textId="77777777" w:rsidR="005625B5" w:rsidRDefault="005625B5" w:rsidP="00E47B64">
      <w:pPr>
        <w:numPr>
          <w:ilvl w:val="0"/>
          <w:numId w:val="66"/>
        </w:numPr>
        <w:spacing w:after="0" w:line="276" w:lineRule="auto"/>
        <w:ind w:left="1560" w:hanging="567"/>
        <w:jc w:val="both"/>
        <w:rPr>
          <w:rFonts w:ascii="Century Gothic" w:eastAsia="Times New Roman" w:hAnsi="Century Gothic" w:cs="Times New Roman"/>
          <w:sz w:val="24"/>
          <w:szCs w:val="24"/>
          <w:lang w:val="wo-SN" w:eastAsia="wo-SN"/>
        </w:rPr>
      </w:pPr>
      <w:r w:rsidRPr="00B73067">
        <w:rPr>
          <w:rFonts w:ascii="Century Gothic" w:eastAsia="Times New Roman" w:hAnsi="Century Gothic" w:cs="Times New Roman"/>
          <w:sz w:val="24"/>
          <w:szCs w:val="24"/>
          <w:lang w:val="wo-SN" w:eastAsia="wo-SN"/>
        </w:rPr>
        <w:t>Diplôme de BAC+5 (au moins) en Foresterie, Gestion des Ressources Naturelles, Biodiversité, Environnement ou économie des Ressources Naturelles, ou discipline afférente ;</w:t>
      </w:r>
    </w:p>
    <w:p w14:paraId="3D0F7BCB" w14:textId="77777777" w:rsidR="005625B5" w:rsidRDefault="005625B5" w:rsidP="00E47B64">
      <w:pPr>
        <w:numPr>
          <w:ilvl w:val="0"/>
          <w:numId w:val="66"/>
        </w:numPr>
        <w:spacing w:after="0" w:line="276" w:lineRule="auto"/>
        <w:ind w:left="1560" w:hanging="567"/>
        <w:jc w:val="both"/>
        <w:rPr>
          <w:rFonts w:ascii="Century Gothic" w:eastAsia="Times New Roman" w:hAnsi="Century Gothic" w:cs="Times New Roman"/>
          <w:sz w:val="24"/>
          <w:szCs w:val="24"/>
          <w:lang w:val="wo-SN" w:eastAsia="wo-SN"/>
        </w:rPr>
      </w:pPr>
      <w:r w:rsidRPr="008F6C74">
        <w:rPr>
          <w:rFonts w:ascii="Century Gothic" w:eastAsia="Times New Roman" w:hAnsi="Century Gothic" w:cs="Times New Roman"/>
          <w:sz w:val="24"/>
          <w:szCs w:val="24"/>
          <w:lang w:val="wo-SN" w:eastAsia="wo-SN"/>
        </w:rPr>
        <w:t>Au moins 5 ans d'expérience professionnelle dans le domaine ;</w:t>
      </w:r>
    </w:p>
    <w:p w14:paraId="160CF8DC" w14:textId="77777777" w:rsidR="005625B5" w:rsidRDefault="005625B5" w:rsidP="00E47B64">
      <w:pPr>
        <w:numPr>
          <w:ilvl w:val="0"/>
          <w:numId w:val="66"/>
        </w:numPr>
        <w:spacing w:after="0" w:line="276" w:lineRule="auto"/>
        <w:ind w:left="1560" w:hanging="567"/>
        <w:jc w:val="both"/>
        <w:rPr>
          <w:rFonts w:ascii="Century Gothic" w:eastAsia="Times New Roman" w:hAnsi="Century Gothic" w:cs="Times New Roman"/>
          <w:sz w:val="24"/>
          <w:szCs w:val="24"/>
          <w:lang w:val="wo-SN" w:eastAsia="wo-SN"/>
        </w:rPr>
      </w:pPr>
      <w:r w:rsidRPr="008F6C74">
        <w:rPr>
          <w:rFonts w:ascii="Century Gothic" w:eastAsia="Times New Roman" w:hAnsi="Century Gothic" w:cs="Times New Roman"/>
          <w:sz w:val="24"/>
          <w:szCs w:val="24"/>
          <w:lang w:val="wo-SN" w:eastAsia="wo-SN"/>
        </w:rPr>
        <w:t xml:space="preserve">Expérience et connaissance approfondie en </w:t>
      </w:r>
      <w:r>
        <w:rPr>
          <w:rFonts w:ascii="Century Gothic" w:eastAsia="Times New Roman" w:hAnsi="Century Gothic" w:cs="Times New Roman"/>
          <w:sz w:val="24"/>
          <w:szCs w:val="24"/>
          <w:lang w:val="wo-SN" w:eastAsia="wo-SN"/>
        </w:rPr>
        <w:t>g</w:t>
      </w:r>
      <w:r w:rsidRPr="008F6C74">
        <w:rPr>
          <w:rFonts w:ascii="Century Gothic" w:eastAsia="Times New Roman" w:hAnsi="Century Gothic" w:cs="Times New Roman"/>
          <w:sz w:val="24"/>
          <w:szCs w:val="24"/>
          <w:lang w:val="wo-SN" w:eastAsia="wo-SN"/>
        </w:rPr>
        <w:t>estion de projet en rapport avec le Changement Climatique ;</w:t>
      </w:r>
    </w:p>
    <w:p w14:paraId="0AB3C8CC" w14:textId="77777777" w:rsidR="005625B5" w:rsidRDefault="005625B5" w:rsidP="00E47B64">
      <w:pPr>
        <w:numPr>
          <w:ilvl w:val="0"/>
          <w:numId w:val="66"/>
        </w:numPr>
        <w:spacing w:after="0" w:line="276" w:lineRule="auto"/>
        <w:ind w:left="1560" w:hanging="567"/>
        <w:jc w:val="both"/>
        <w:rPr>
          <w:rFonts w:ascii="Century Gothic" w:eastAsia="Times New Roman" w:hAnsi="Century Gothic" w:cs="Times New Roman"/>
          <w:sz w:val="24"/>
          <w:szCs w:val="24"/>
          <w:lang w:val="wo-SN" w:eastAsia="wo-SN"/>
        </w:rPr>
      </w:pPr>
      <w:r w:rsidRPr="008F6C74">
        <w:rPr>
          <w:rFonts w:ascii="Century Gothic" w:eastAsia="Times New Roman" w:hAnsi="Century Gothic" w:cs="Times New Roman"/>
          <w:sz w:val="24"/>
          <w:szCs w:val="24"/>
          <w:lang w:val="wo-SN" w:eastAsia="wo-SN"/>
        </w:rPr>
        <w:t>Bonne connaissance en écologie des zones humides, climatologie, ou disciplines connexes ;</w:t>
      </w:r>
    </w:p>
    <w:p w14:paraId="2E2AE86B" w14:textId="77777777" w:rsidR="005625B5" w:rsidRDefault="005625B5" w:rsidP="00E47B64">
      <w:pPr>
        <w:numPr>
          <w:ilvl w:val="0"/>
          <w:numId w:val="66"/>
        </w:numPr>
        <w:spacing w:after="0" w:line="276" w:lineRule="auto"/>
        <w:ind w:left="1560" w:hanging="567"/>
        <w:jc w:val="both"/>
        <w:rPr>
          <w:rFonts w:ascii="Century Gothic" w:eastAsia="Times New Roman" w:hAnsi="Century Gothic" w:cs="Times New Roman"/>
          <w:sz w:val="24"/>
          <w:szCs w:val="24"/>
          <w:lang w:val="wo-SN" w:eastAsia="wo-SN"/>
        </w:rPr>
      </w:pPr>
      <w:r w:rsidRPr="008F6C74">
        <w:rPr>
          <w:rFonts w:ascii="Century Gothic" w:eastAsia="Times New Roman" w:hAnsi="Century Gothic" w:cs="Times New Roman"/>
          <w:sz w:val="24"/>
          <w:szCs w:val="24"/>
          <w:lang w:val="wo-SN" w:eastAsia="wo-SN"/>
        </w:rPr>
        <w:t>Expérience dans l'évaluation de la vulnérabilité et de l'adaptation au changement climatique ;</w:t>
      </w:r>
    </w:p>
    <w:p w14:paraId="3F230E16" w14:textId="77777777" w:rsidR="005625B5" w:rsidRDefault="005625B5" w:rsidP="00E47B64">
      <w:pPr>
        <w:numPr>
          <w:ilvl w:val="0"/>
          <w:numId w:val="66"/>
        </w:numPr>
        <w:spacing w:after="0" w:line="276" w:lineRule="auto"/>
        <w:ind w:left="1560" w:hanging="567"/>
        <w:jc w:val="both"/>
        <w:rPr>
          <w:rFonts w:ascii="Century Gothic" w:eastAsia="Times New Roman" w:hAnsi="Century Gothic" w:cs="Times New Roman"/>
          <w:sz w:val="24"/>
          <w:szCs w:val="24"/>
          <w:lang w:val="wo-SN" w:eastAsia="wo-SN"/>
        </w:rPr>
      </w:pPr>
      <w:r w:rsidRPr="008F6C74">
        <w:rPr>
          <w:rFonts w:ascii="Century Gothic" w:eastAsia="Times New Roman" w:hAnsi="Century Gothic" w:cs="Times New Roman"/>
          <w:sz w:val="24"/>
          <w:szCs w:val="24"/>
          <w:lang w:val="wo-SN" w:eastAsia="wo-SN"/>
        </w:rPr>
        <w:t>Connaissance approfondie du contexte environnemental et socio-économique de la Mauritanie ;</w:t>
      </w:r>
    </w:p>
    <w:p w14:paraId="3EE04B31" w14:textId="77777777" w:rsidR="005625B5" w:rsidRDefault="005625B5" w:rsidP="00E47B64">
      <w:pPr>
        <w:numPr>
          <w:ilvl w:val="0"/>
          <w:numId w:val="66"/>
        </w:numPr>
        <w:spacing w:after="0" w:line="276" w:lineRule="auto"/>
        <w:ind w:left="1560" w:hanging="567"/>
        <w:jc w:val="both"/>
        <w:rPr>
          <w:rFonts w:ascii="Century Gothic" w:eastAsia="Times New Roman" w:hAnsi="Century Gothic" w:cs="Times New Roman"/>
          <w:sz w:val="24"/>
          <w:szCs w:val="24"/>
          <w:lang w:val="wo-SN" w:eastAsia="wo-SN"/>
        </w:rPr>
      </w:pPr>
      <w:r w:rsidRPr="008F6C74">
        <w:rPr>
          <w:rFonts w:ascii="Century Gothic" w:eastAsia="Times New Roman" w:hAnsi="Century Gothic" w:cs="Times New Roman"/>
          <w:sz w:val="24"/>
          <w:szCs w:val="24"/>
          <w:lang w:val="wo-SN" w:eastAsia="wo-SN"/>
        </w:rPr>
        <w:t>Maîtrise du français (lecture et écriture), la connaissance de l’arabe est un atout ;</w:t>
      </w:r>
    </w:p>
    <w:p w14:paraId="3DB1718A" w14:textId="77777777" w:rsidR="005625B5" w:rsidRPr="008F6C74" w:rsidRDefault="005625B5" w:rsidP="00E47B64">
      <w:pPr>
        <w:numPr>
          <w:ilvl w:val="0"/>
          <w:numId w:val="66"/>
        </w:numPr>
        <w:spacing w:after="0" w:line="276" w:lineRule="auto"/>
        <w:ind w:left="1560" w:hanging="567"/>
        <w:jc w:val="both"/>
        <w:rPr>
          <w:rFonts w:ascii="Century Gothic" w:eastAsia="Times New Roman" w:hAnsi="Century Gothic" w:cs="Times New Roman"/>
          <w:sz w:val="24"/>
          <w:szCs w:val="24"/>
          <w:lang w:val="wo-SN" w:eastAsia="wo-SN"/>
        </w:rPr>
      </w:pPr>
      <w:r w:rsidRPr="008F6C74">
        <w:rPr>
          <w:rFonts w:ascii="Century Gothic" w:eastAsia="Times New Roman" w:hAnsi="Century Gothic" w:cs="Times New Roman"/>
          <w:sz w:val="24"/>
          <w:szCs w:val="24"/>
          <w:lang w:val="wo-SN" w:eastAsia="wo-SN"/>
        </w:rPr>
        <w:t>Compétences en analyse et rédaction de rapports techniques.</w:t>
      </w:r>
    </w:p>
    <w:p w14:paraId="5B5D93B2" w14:textId="77777777" w:rsidR="005625B5" w:rsidRPr="003346CC" w:rsidRDefault="005625B5" w:rsidP="00E47B64">
      <w:pPr>
        <w:spacing w:after="0" w:line="276" w:lineRule="auto"/>
        <w:ind w:left="1560" w:hanging="567"/>
        <w:jc w:val="both"/>
        <w:rPr>
          <w:rFonts w:ascii="Century Gothic" w:eastAsia="Times New Roman" w:hAnsi="Century Gothic" w:cs="Times New Roman"/>
          <w:sz w:val="14"/>
          <w:szCs w:val="14"/>
          <w:lang w:val="wo-SN" w:eastAsia="wo-SN"/>
        </w:rPr>
      </w:pPr>
    </w:p>
    <w:p w14:paraId="2FF80854" w14:textId="77777777" w:rsidR="005625B5" w:rsidRDefault="005625B5" w:rsidP="00E47B64">
      <w:pPr>
        <w:numPr>
          <w:ilvl w:val="0"/>
          <w:numId w:val="76"/>
        </w:numPr>
        <w:tabs>
          <w:tab w:val="left" w:pos="426"/>
        </w:tabs>
        <w:spacing w:after="0" w:line="276" w:lineRule="auto"/>
        <w:ind w:left="1418"/>
        <w:jc w:val="both"/>
        <w:rPr>
          <w:rFonts w:ascii="Century Gothic" w:eastAsia="Times New Roman" w:hAnsi="Century Gothic" w:cs="Times New Roman"/>
          <w:b/>
          <w:bCs/>
          <w:sz w:val="24"/>
          <w:szCs w:val="24"/>
          <w:lang w:val="wo-SN" w:eastAsia="wo-SN"/>
        </w:rPr>
      </w:pPr>
      <w:r w:rsidRPr="00B73067">
        <w:rPr>
          <w:rFonts w:ascii="Century Gothic" w:eastAsia="Times New Roman" w:hAnsi="Century Gothic" w:cs="Times New Roman"/>
          <w:b/>
          <w:bCs/>
          <w:sz w:val="24"/>
          <w:szCs w:val="24"/>
          <w:lang w:val="wo-SN" w:eastAsia="wo-SN"/>
        </w:rPr>
        <w:t>Durée et Calendrier</w:t>
      </w:r>
    </w:p>
    <w:p w14:paraId="5964513C" w14:textId="35E9162C" w:rsidR="005625B5" w:rsidRPr="003346CC" w:rsidRDefault="003E6955" w:rsidP="00E47B64">
      <w:pPr>
        <w:tabs>
          <w:tab w:val="left" w:pos="426"/>
        </w:tabs>
        <w:spacing w:after="0" w:line="276" w:lineRule="auto"/>
        <w:jc w:val="both"/>
        <w:rPr>
          <w:rFonts w:ascii="Century Gothic" w:eastAsia="Times New Roman" w:hAnsi="Century Gothic" w:cs="Times New Roman"/>
          <w:sz w:val="10"/>
          <w:szCs w:val="10"/>
          <w:lang w:val="wo-SN" w:eastAsia="wo-SN"/>
        </w:rPr>
      </w:pPr>
      <w:r>
        <w:rPr>
          <w:rFonts w:ascii="Century Gothic" w:eastAsia="Times New Roman" w:hAnsi="Century Gothic" w:cs="Times New Roman"/>
          <w:b/>
          <w:bCs/>
          <w:sz w:val="24"/>
          <w:szCs w:val="24"/>
          <w:lang w:val="wo-SN" w:eastAsia="wo-SN"/>
        </w:rPr>
        <w:t xml:space="preserve">                        </w:t>
      </w:r>
    </w:p>
    <w:p w14:paraId="788D5903" w14:textId="77777777" w:rsidR="005625B5" w:rsidRDefault="005625B5" w:rsidP="00E47B64">
      <w:pPr>
        <w:numPr>
          <w:ilvl w:val="0"/>
          <w:numId w:val="66"/>
        </w:numPr>
        <w:spacing w:after="0" w:line="276" w:lineRule="auto"/>
        <w:ind w:left="1560" w:hanging="567"/>
        <w:jc w:val="both"/>
        <w:rPr>
          <w:rFonts w:ascii="Century Gothic" w:eastAsia="Times New Roman" w:hAnsi="Century Gothic" w:cs="Times New Roman"/>
          <w:sz w:val="24"/>
          <w:szCs w:val="24"/>
          <w:lang w:val="wo-SN" w:eastAsia="wo-SN"/>
        </w:rPr>
      </w:pPr>
      <w:r w:rsidRPr="00B73067">
        <w:rPr>
          <w:rFonts w:ascii="Century Gothic" w:eastAsia="Times New Roman" w:hAnsi="Century Gothic" w:cs="Times New Roman"/>
          <w:sz w:val="24"/>
          <w:szCs w:val="24"/>
          <w:lang w:val="wo-SN" w:eastAsia="wo-SN"/>
        </w:rPr>
        <w:t xml:space="preserve">L’étude devra être réalisée sur une période de </w:t>
      </w:r>
      <w:r>
        <w:rPr>
          <w:rFonts w:ascii="Century Gothic" w:eastAsia="Times New Roman" w:hAnsi="Century Gothic" w:cs="Times New Roman"/>
          <w:sz w:val="24"/>
          <w:szCs w:val="24"/>
          <w:lang w:val="wo-SN" w:eastAsia="wo-SN"/>
        </w:rPr>
        <w:t xml:space="preserve">30 jours ouvrables étalés 45 jours </w:t>
      </w:r>
      <w:r w:rsidRPr="00B73067">
        <w:rPr>
          <w:rFonts w:ascii="Century Gothic" w:eastAsia="Times New Roman" w:hAnsi="Century Gothic" w:cs="Times New Roman"/>
          <w:sz w:val="24"/>
          <w:szCs w:val="24"/>
          <w:lang w:val="wo-SN" w:eastAsia="wo-SN"/>
        </w:rPr>
        <w:t>à compter de la date de démarrage. Un calendrier détaillé sera établi en concertation avec les parties prenantes.</w:t>
      </w:r>
    </w:p>
    <w:p w14:paraId="619CCFB5" w14:textId="77777777" w:rsidR="005625B5" w:rsidRPr="003346CC" w:rsidRDefault="005625B5" w:rsidP="005625B5">
      <w:pPr>
        <w:spacing w:after="0" w:line="276" w:lineRule="auto"/>
        <w:ind w:left="1440"/>
        <w:jc w:val="both"/>
        <w:rPr>
          <w:rFonts w:ascii="Century Gothic" w:eastAsia="Times New Roman" w:hAnsi="Century Gothic" w:cs="Times New Roman"/>
          <w:sz w:val="14"/>
          <w:szCs w:val="14"/>
          <w:lang w:val="wo-SN" w:eastAsia="wo-SN"/>
        </w:rPr>
      </w:pPr>
    </w:p>
    <w:p w14:paraId="779894EB" w14:textId="279BDF51" w:rsidR="005625B5" w:rsidRPr="003E6955" w:rsidRDefault="005625B5" w:rsidP="00E47B64">
      <w:pPr>
        <w:numPr>
          <w:ilvl w:val="0"/>
          <w:numId w:val="66"/>
        </w:numPr>
        <w:tabs>
          <w:tab w:val="left" w:pos="426"/>
        </w:tabs>
        <w:spacing w:after="0" w:line="276" w:lineRule="auto"/>
        <w:ind w:left="1560" w:hanging="426"/>
        <w:jc w:val="both"/>
        <w:rPr>
          <w:rFonts w:ascii="Century Gothic" w:eastAsia="Times New Roman" w:hAnsi="Century Gothic" w:cs="Times New Roman"/>
          <w:sz w:val="24"/>
          <w:szCs w:val="24"/>
          <w:lang w:val="wo-SN" w:eastAsia="wo-SN"/>
        </w:rPr>
      </w:pPr>
      <w:r w:rsidRPr="003E6955">
        <w:rPr>
          <w:rFonts w:ascii="Century Gothic" w:eastAsia="Times New Roman" w:hAnsi="Century Gothic" w:cs="Times New Roman"/>
          <w:b/>
          <w:bCs/>
          <w:sz w:val="24"/>
          <w:szCs w:val="24"/>
          <w:lang w:val="wo-SN" w:eastAsia="wo-SN"/>
        </w:rPr>
        <w:t>Supervision et Coordination</w:t>
      </w:r>
      <w:r w:rsidR="003346CC" w:rsidRPr="003E6955">
        <w:rPr>
          <w:rFonts w:ascii="Century Gothic" w:eastAsia="Times New Roman" w:hAnsi="Century Gothic" w:cs="Times New Roman"/>
          <w:sz w:val="16"/>
          <w:szCs w:val="16"/>
          <w:lang w:val="wo-SN" w:eastAsia="wo-SN"/>
        </w:rPr>
        <w:t xml:space="preserve"> </w:t>
      </w:r>
      <w:r w:rsidRPr="003E6955">
        <w:rPr>
          <w:rFonts w:ascii="Century Gothic" w:eastAsia="Times New Roman" w:hAnsi="Century Gothic" w:cs="Times New Roman"/>
          <w:sz w:val="24"/>
          <w:szCs w:val="24"/>
          <w:lang w:val="wo-SN" w:eastAsia="wo-SN"/>
        </w:rPr>
        <w:t>L’étude sera supervisée par un consulant sénior, en collaboration avec les parties prenantes nationales, locales et l’Assistant Tehnique de la NC5. Une coordination régulière sera assurée pour garantir la cohérence et l’efficacité.</w:t>
      </w:r>
    </w:p>
    <w:p w14:paraId="3395EADE" w14:textId="77777777" w:rsidR="005625B5" w:rsidRPr="003346CC" w:rsidRDefault="005625B5" w:rsidP="005625B5">
      <w:pPr>
        <w:spacing w:after="0" w:line="276" w:lineRule="auto"/>
        <w:ind w:left="1440"/>
        <w:jc w:val="both"/>
        <w:rPr>
          <w:rFonts w:ascii="Century Gothic" w:eastAsia="Times New Roman" w:hAnsi="Century Gothic" w:cs="Times New Roman"/>
          <w:sz w:val="20"/>
          <w:szCs w:val="20"/>
          <w:lang w:val="wo-SN" w:eastAsia="wo-SN"/>
        </w:rPr>
      </w:pPr>
    </w:p>
    <w:p w14:paraId="196004EB" w14:textId="77777777" w:rsidR="005625B5" w:rsidRPr="00B73067" w:rsidRDefault="005625B5" w:rsidP="00E47B64">
      <w:pPr>
        <w:numPr>
          <w:ilvl w:val="0"/>
          <w:numId w:val="76"/>
        </w:numPr>
        <w:tabs>
          <w:tab w:val="left" w:pos="426"/>
        </w:tabs>
        <w:spacing w:after="0" w:line="276" w:lineRule="auto"/>
        <w:ind w:left="1418"/>
        <w:jc w:val="both"/>
        <w:rPr>
          <w:rFonts w:ascii="Century Gothic" w:eastAsia="Times New Roman" w:hAnsi="Century Gothic" w:cs="Times New Roman"/>
          <w:b/>
          <w:bCs/>
          <w:sz w:val="24"/>
          <w:szCs w:val="24"/>
          <w:lang w:val="wo-SN" w:eastAsia="wo-SN"/>
        </w:rPr>
      </w:pPr>
      <w:r w:rsidRPr="00B73067">
        <w:rPr>
          <w:rFonts w:ascii="Century Gothic" w:eastAsia="Times New Roman" w:hAnsi="Century Gothic" w:cs="Times New Roman"/>
          <w:b/>
          <w:bCs/>
          <w:sz w:val="24"/>
          <w:szCs w:val="24"/>
          <w:lang w:val="wo-SN" w:eastAsia="wo-SN"/>
        </w:rPr>
        <w:t>Budget</w:t>
      </w:r>
    </w:p>
    <w:p w14:paraId="63552041" w14:textId="77777777" w:rsidR="005625B5" w:rsidRDefault="005625B5" w:rsidP="00E47B64">
      <w:pPr>
        <w:tabs>
          <w:tab w:val="left" w:pos="426"/>
        </w:tabs>
        <w:spacing w:after="0" w:line="276" w:lineRule="auto"/>
        <w:ind w:left="1560"/>
        <w:jc w:val="both"/>
        <w:rPr>
          <w:rFonts w:ascii="Century Gothic" w:eastAsia="Times New Roman" w:hAnsi="Century Gothic" w:cs="Times New Roman"/>
          <w:sz w:val="24"/>
          <w:szCs w:val="24"/>
          <w:lang w:val="wo-SN" w:eastAsia="wo-SN"/>
        </w:rPr>
      </w:pPr>
      <w:r w:rsidRPr="00B73067">
        <w:rPr>
          <w:rFonts w:ascii="Century Gothic" w:eastAsia="Times New Roman" w:hAnsi="Century Gothic" w:cs="Times New Roman"/>
          <w:sz w:val="24"/>
          <w:szCs w:val="24"/>
          <w:lang w:val="wo-SN" w:eastAsia="wo-SN"/>
        </w:rPr>
        <w:t>Le budget prévu sera discuté avec la Coordination et pourra couvrir les coûts liés aux consultations, aux déplacements, à la collecte de données, à l'analyse, et à la rédaction du rapport final.</w:t>
      </w:r>
    </w:p>
    <w:p w14:paraId="53C33B6C" w14:textId="77777777" w:rsidR="005625B5" w:rsidRPr="00B73067" w:rsidRDefault="005625B5" w:rsidP="00E47B64">
      <w:pPr>
        <w:spacing w:after="0" w:line="276" w:lineRule="auto"/>
        <w:ind w:left="1416"/>
        <w:jc w:val="both"/>
        <w:rPr>
          <w:rFonts w:ascii="Century Gothic" w:eastAsia="Times New Roman" w:hAnsi="Century Gothic" w:cs="Times New Roman"/>
          <w:sz w:val="24"/>
          <w:szCs w:val="24"/>
          <w:lang w:val="wo-SN" w:eastAsia="wo-SN"/>
        </w:rPr>
      </w:pPr>
    </w:p>
    <w:p w14:paraId="03CB87F6" w14:textId="77777777" w:rsidR="005625B5" w:rsidRPr="006014B9" w:rsidRDefault="005625B5" w:rsidP="00E47B64">
      <w:pPr>
        <w:numPr>
          <w:ilvl w:val="0"/>
          <w:numId w:val="76"/>
        </w:numPr>
        <w:tabs>
          <w:tab w:val="left" w:pos="426"/>
        </w:tabs>
        <w:spacing w:after="0" w:line="276" w:lineRule="auto"/>
        <w:ind w:left="1418"/>
        <w:jc w:val="both"/>
        <w:rPr>
          <w:rFonts w:ascii="Century Gothic" w:hAnsi="Century Gothic"/>
          <w:b/>
          <w:bCs/>
          <w:lang w:val="wo-SN"/>
        </w:rPr>
      </w:pPr>
      <w:r w:rsidRPr="006014B9">
        <w:rPr>
          <w:rFonts w:ascii="Century Gothic" w:eastAsia="Times New Roman" w:hAnsi="Century Gothic" w:cs="Times New Roman"/>
          <w:b/>
          <w:bCs/>
          <w:sz w:val="24"/>
          <w:szCs w:val="24"/>
          <w:lang w:val="wo-SN" w:eastAsia="wo-SN"/>
        </w:rPr>
        <w:t xml:space="preserve">Validation </w:t>
      </w:r>
    </w:p>
    <w:p w14:paraId="322BA729" w14:textId="77777777" w:rsidR="005625B5" w:rsidRPr="006014B9" w:rsidRDefault="005625B5" w:rsidP="005625B5">
      <w:pPr>
        <w:tabs>
          <w:tab w:val="left" w:pos="426"/>
        </w:tabs>
        <w:spacing w:after="0" w:line="276" w:lineRule="auto"/>
        <w:ind w:left="1080"/>
        <w:jc w:val="both"/>
        <w:rPr>
          <w:rFonts w:ascii="Century Gothic" w:hAnsi="Century Gothic"/>
          <w:b/>
          <w:bCs/>
          <w:lang w:val="wo-SN"/>
        </w:rPr>
      </w:pPr>
    </w:p>
    <w:p w14:paraId="4FB88B9D" w14:textId="77777777" w:rsidR="005625B5" w:rsidRPr="00B73067" w:rsidRDefault="005625B5" w:rsidP="00E47B64">
      <w:pPr>
        <w:tabs>
          <w:tab w:val="left" w:pos="426"/>
        </w:tabs>
        <w:spacing w:after="0" w:line="276" w:lineRule="auto"/>
        <w:ind w:left="1560"/>
        <w:jc w:val="both"/>
        <w:rPr>
          <w:rFonts w:ascii="Century Gothic" w:hAnsi="Century Gothic"/>
          <w:lang w:val="wo-SN"/>
        </w:rPr>
      </w:pPr>
      <w:r w:rsidRPr="00B73067">
        <w:rPr>
          <w:rFonts w:ascii="Century Gothic" w:eastAsia="Times New Roman" w:hAnsi="Century Gothic" w:cs="Times New Roman"/>
          <w:sz w:val="24"/>
          <w:szCs w:val="24"/>
          <w:lang w:val="wo-SN" w:eastAsia="wo-SN"/>
        </w:rPr>
        <w:t>La validation du rapport sera supervisée par le Point focal sectoriel.</w:t>
      </w:r>
    </w:p>
    <w:p w14:paraId="75D0D6F4" w14:textId="77777777" w:rsidR="005625B5" w:rsidRPr="003346CC" w:rsidRDefault="005625B5" w:rsidP="005625B5">
      <w:pPr>
        <w:pStyle w:val="Titre11"/>
        <w:tabs>
          <w:tab w:val="left" w:pos="821"/>
        </w:tabs>
        <w:spacing w:line="276" w:lineRule="auto"/>
        <w:ind w:left="0" w:firstLine="0"/>
        <w:jc w:val="both"/>
        <w:rPr>
          <w:rFonts w:ascii="Century Gothic" w:hAnsi="Century Gothic"/>
          <w:b w:val="0"/>
          <w:bCs w:val="0"/>
          <w:sz w:val="2"/>
          <w:szCs w:val="2"/>
        </w:rPr>
      </w:pPr>
    </w:p>
    <w:bookmarkEnd w:id="6"/>
    <w:p w14:paraId="31817AD6" w14:textId="77777777" w:rsidR="005625B5" w:rsidRDefault="005625B5" w:rsidP="005625B5">
      <w:pPr>
        <w:tabs>
          <w:tab w:val="left" w:pos="426"/>
        </w:tabs>
        <w:spacing w:after="0" w:line="276" w:lineRule="auto"/>
        <w:ind w:left="1416" w:hanging="1416"/>
        <w:jc w:val="both"/>
        <w:rPr>
          <w:rFonts w:ascii="Century Gothic" w:eastAsia="Times New Roman" w:hAnsi="Century Gothic" w:cs="Times New Roman"/>
          <w:sz w:val="24"/>
          <w:szCs w:val="24"/>
          <w:lang w:eastAsia="wo-SN"/>
        </w:rPr>
      </w:pPr>
      <w:r w:rsidRPr="00E86518">
        <w:rPr>
          <w:rFonts w:ascii="Century Gothic" w:eastAsia="Times New Roman" w:hAnsi="Century Gothic" w:cs="Times New Roman"/>
          <w:b/>
          <w:bCs/>
          <w:sz w:val="24"/>
          <w:szCs w:val="24"/>
          <w:lang w:eastAsia="wo-SN"/>
        </w:rPr>
        <w:t xml:space="preserve">Annexe </w:t>
      </w:r>
      <w:r>
        <w:rPr>
          <w:rFonts w:ascii="Century Gothic" w:eastAsia="Times New Roman" w:hAnsi="Century Gothic" w:cs="Times New Roman"/>
          <w:b/>
          <w:bCs/>
          <w:sz w:val="24"/>
          <w:szCs w:val="24"/>
          <w:lang w:eastAsia="wo-SN"/>
        </w:rPr>
        <w:t>2</w:t>
      </w:r>
      <w:r>
        <w:rPr>
          <w:rFonts w:ascii="Century Gothic" w:eastAsia="Times New Roman" w:hAnsi="Century Gothic" w:cs="Times New Roman"/>
          <w:sz w:val="24"/>
          <w:szCs w:val="24"/>
          <w:lang w:eastAsia="wo-SN"/>
        </w:rPr>
        <w:t xml:space="preserve"> : </w:t>
      </w:r>
      <w:r>
        <w:rPr>
          <w:rFonts w:ascii="Century Gothic" w:eastAsia="Times New Roman" w:hAnsi="Century Gothic" w:cs="Times New Roman"/>
          <w:sz w:val="24"/>
          <w:szCs w:val="24"/>
          <w:lang w:eastAsia="wo-SN"/>
        </w:rPr>
        <w:tab/>
        <w:t xml:space="preserve">Protection des infrastructures socioéconomiques de la zone saharienne contre l’ensablement  </w:t>
      </w:r>
    </w:p>
    <w:p w14:paraId="4F5232B7" w14:textId="77777777" w:rsidR="005625B5" w:rsidRDefault="005625B5" w:rsidP="005625B5">
      <w:pPr>
        <w:tabs>
          <w:tab w:val="left" w:pos="426"/>
        </w:tabs>
        <w:spacing w:after="0" w:line="276" w:lineRule="auto"/>
        <w:ind w:left="1416" w:hanging="1416"/>
        <w:jc w:val="both"/>
        <w:rPr>
          <w:rFonts w:ascii="Century Gothic" w:eastAsia="Times New Roman" w:hAnsi="Century Gothic" w:cs="Times New Roman"/>
          <w:sz w:val="24"/>
          <w:szCs w:val="24"/>
          <w:lang w:eastAsia="wo-SN"/>
        </w:rPr>
      </w:pPr>
    </w:p>
    <w:p w14:paraId="1F70818E" w14:textId="77777777" w:rsidR="005625B5" w:rsidRPr="00FC1E65" w:rsidRDefault="005625B5" w:rsidP="00E47B64">
      <w:pPr>
        <w:numPr>
          <w:ilvl w:val="0"/>
          <w:numId w:val="35"/>
        </w:numPr>
        <w:tabs>
          <w:tab w:val="left" w:pos="426"/>
        </w:tabs>
        <w:spacing w:after="0" w:line="276" w:lineRule="auto"/>
        <w:ind w:left="1418"/>
        <w:jc w:val="both"/>
        <w:rPr>
          <w:rFonts w:ascii="Century Gothic" w:eastAsia="Times New Roman" w:hAnsi="Century Gothic" w:cs="Times New Roman"/>
          <w:b/>
          <w:bCs/>
          <w:sz w:val="24"/>
          <w:szCs w:val="24"/>
          <w:lang w:eastAsia="wo-SN"/>
        </w:rPr>
      </w:pPr>
      <w:r w:rsidRPr="00FC1E65">
        <w:rPr>
          <w:rFonts w:ascii="Century Gothic" w:eastAsia="Times New Roman" w:hAnsi="Century Gothic" w:cs="Times New Roman"/>
          <w:b/>
          <w:bCs/>
          <w:sz w:val="24"/>
          <w:szCs w:val="24"/>
          <w:lang w:eastAsia="wo-SN"/>
        </w:rPr>
        <w:t>Wilaya de l’Adrar </w:t>
      </w:r>
    </w:p>
    <w:p w14:paraId="3A26EDB7"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027A6A1D" w14:textId="77777777" w:rsidR="005625B5" w:rsidRPr="00241B57" w:rsidRDefault="005625B5" w:rsidP="00E47B64">
      <w:pPr>
        <w:tabs>
          <w:tab w:val="left" w:pos="426"/>
        </w:tabs>
        <w:spacing w:after="0" w:line="276" w:lineRule="auto"/>
        <w:ind w:left="1416"/>
        <w:jc w:val="both"/>
        <w:rPr>
          <w:rFonts w:ascii="Century Gothic" w:eastAsia="Times New Roman" w:hAnsi="Century Gothic" w:cs="Times New Roman"/>
          <w:b/>
          <w:bCs/>
          <w:sz w:val="24"/>
          <w:szCs w:val="24"/>
          <w:lang w:eastAsia="wo-SN"/>
        </w:rPr>
      </w:pPr>
      <w:r w:rsidRPr="00241B57">
        <w:rPr>
          <w:rFonts w:ascii="Century Gothic" w:eastAsia="Times New Roman" w:hAnsi="Century Gothic" w:cs="Times New Roman"/>
          <w:b/>
          <w:bCs/>
          <w:sz w:val="24"/>
          <w:szCs w:val="24"/>
          <w:lang w:eastAsia="wo-SN"/>
        </w:rPr>
        <w:t xml:space="preserve">Site de AIN SAFRA : </w:t>
      </w:r>
    </w:p>
    <w:p w14:paraId="2D458BD7" w14:textId="77777777" w:rsidR="005625B5" w:rsidRPr="00EC7396" w:rsidRDefault="005625B5" w:rsidP="005625B5">
      <w:pPr>
        <w:tabs>
          <w:tab w:val="left" w:pos="426"/>
        </w:tabs>
        <w:spacing w:after="0" w:line="276" w:lineRule="auto"/>
        <w:jc w:val="both"/>
        <w:rPr>
          <w:rFonts w:ascii="Century Gothic" w:eastAsia="Times New Roman" w:hAnsi="Century Gothic" w:cs="Times New Roman"/>
          <w:sz w:val="4"/>
          <w:szCs w:val="4"/>
          <w:lang w:eastAsia="wo-SN"/>
        </w:rPr>
      </w:pPr>
    </w:p>
    <w:p w14:paraId="60127E83" w14:textId="2C23A915" w:rsidR="005625B5" w:rsidRPr="00E611EA" w:rsidRDefault="00E47B64" w:rsidP="00FC4ECC">
      <w:pPr>
        <w:spacing w:line="276" w:lineRule="auto"/>
        <w:ind w:left="851"/>
        <w:jc w:val="both"/>
        <w:rPr>
          <w:rFonts w:ascii="Century Gothic" w:hAnsi="Century Gothic" w:cs="Times New Roman"/>
          <w:sz w:val="24"/>
          <w:szCs w:val="24"/>
        </w:rPr>
      </w:pPr>
      <w:r w:rsidRPr="00FD184A">
        <w:rPr>
          <w:rFonts w:ascii="Times New Roman" w:hAnsi="Times New Roman" w:cs="Times New Roman"/>
          <w:noProof/>
          <w:sz w:val="24"/>
          <w:szCs w:val="24"/>
          <w:lang w:eastAsia="fr-FR"/>
        </w:rPr>
        <w:drawing>
          <wp:inline distT="0" distB="0" distL="0" distR="0" wp14:anchorId="6F1A5867" wp14:editId="0905D7DC">
            <wp:extent cx="2645410" cy="4372610"/>
            <wp:effectExtent l="0" t="0" r="0" b="0"/>
            <wp:docPr id="1988033741" name="Image 33" descr="E:\Desktop\Restauration des terres\Ensablement Infrastructures\Adrar\Ain Safra\Ain safra\ain safra.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3" descr="E:\Desktop\Restauration des terres\Ensablement Infrastructures\Adrar\Ain Safra\Ain safra\ain safra.jpeg"/>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5410" cy="4372610"/>
                    </a:xfrm>
                    <a:prstGeom prst="rect">
                      <a:avLst/>
                    </a:prstGeom>
                    <a:noFill/>
                    <a:ln>
                      <a:noFill/>
                    </a:ln>
                  </pic:spPr>
                </pic:pic>
              </a:graphicData>
            </a:graphic>
          </wp:inline>
        </w:drawing>
      </w:r>
      <w:r w:rsidR="005625B5" w:rsidRPr="00E611EA">
        <w:rPr>
          <w:rFonts w:ascii="Century Gothic" w:hAnsi="Century Gothic" w:cs="Times New Roman"/>
          <w:sz w:val="24"/>
          <w:szCs w:val="24"/>
          <w:u w:val="single"/>
        </w:rPr>
        <w:t>Commune</w:t>
      </w:r>
      <w:r w:rsidR="005625B5" w:rsidRPr="00E611EA">
        <w:rPr>
          <w:rFonts w:ascii="Century Gothic" w:hAnsi="Century Gothic" w:cs="Times New Roman"/>
          <w:sz w:val="24"/>
          <w:szCs w:val="24"/>
        </w:rPr>
        <w:t xml:space="preserve"> : Ain </w:t>
      </w:r>
      <w:proofErr w:type="gramStart"/>
      <w:r w:rsidR="005625B5" w:rsidRPr="00E611EA">
        <w:rPr>
          <w:rFonts w:ascii="Century Gothic" w:hAnsi="Century Gothic" w:cs="Times New Roman"/>
          <w:sz w:val="24"/>
          <w:szCs w:val="24"/>
        </w:rPr>
        <w:t xml:space="preserve">Safra  </w:t>
      </w:r>
      <w:r w:rsidR="005625B5" w:rsidRPr="00E611EA">
        <w:rPr>
          <w:rFonts w:ascii="Century Gothic" w:hAnsi="Century Gothic" w:cs="Times New Roman"/>
          <w:sz w:val="24"/>
          <w:szCs w:val="24"/>
        </w:rPr>
        <w:tab/>
      </w:r>
      <w:proofErr w:type="gramEnd"/>
      <w:r w:rsidR="005625B5" w:rsidRPr="00E611EA">
        <w:rPr>
          <w:rFonts w:ascii="Century Gothic" w:hAnsi="Century Gothic" w:cs="Times New Roman"/>
          <w:sz w:val="24"/>
          <w:szCs w:val="24"/>
          <w:u w:val="single"/>
        </w:rPr>
        <w:t>Moughataa</w:t>
      </w:r>
      <w:r w:rsidR="005625B5" w:rsidRPr="00E611EA">
        <w:rPr>
          <w:rFonts w:ascii="Century Gothic" w:hAnsi="Century Gothic" w:cs="Times New Roman"/>
          <w:sz w:val="24"/>
          <w:szCs w:val="24"/>
        </w:rPr>
        <w:t xml:space="preserve"> : Chinguitty   </w:t>
      </w:r>
      <w:r w:rsidR="005625B5" w:rsidRPr="00E611EA">
        <w:rPr>
          <w:rFonts w:ascii="Century Gothic" w:hAnsi="Century Gothic" w:cs="Times New Roman"/>
          <w:sz w:val="24"/>
          <w:szCs w:val="24"/>
          <w:u w:val="single"/>
        </w:rPr>
        <w:t>Wilaya</w:t>
      </w:r>
      <w:r w:rsidR="005625B5" w:rsidRPr="00E611EA">
        <w:rPr>
          <w:rFonts w:ascii="Century Gothic" w:hAnsi="Century Gothic" w:cs="Times New Roman"/>
          <w:sz w:val="24"/>
          <w:szCs w:val="24"/>
        </w:rPr>
        <w:t xml:space="preserve"> : Adrar </w:t>
      </w:r>
      <w:r w:rsidRPr="00FD184A">
        <w:rPr>
          <w:rFonts w:ascii="Century Gothic" w:hAnsi="Century Gothic" w:cs="Times New Roman"/>
          <w:noProof/>
          <w:sz w:val="24"/>
          <w:szCs w:val="24"/>
          <w:lang w:eastAsia="fr-FR"/>
        </w:rPr>
        <w:drawing>
          <wp:inline distT="0" distB="0" distL="0" distR="0" wp14:anchorId="6A7C2E8C" wp14:editId="3912A034">
            <wp:extent cx="2985135" cy="4458335"/>
            <wp:effectExtent l="0" t="0" r="0" b="0"/>
            <wp:docPr id="806197343"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2"/>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5135" cy="4458335"/>
                    </a:xfrm>
                    <a:prstGeom prst="rect">
                      <a:avLst/>
                    </a:prstGeom>
                    <a:noFill/>
                    <a:ln>
                      <a:noFill/>
                    </a:ln>
                  </pic:spPr>
                </pic:pic>
              </a:graphicData>
            </a:graphic>
          </wp:inline>
        </w:drawing>
      </w:r>
    </w:p>
    <w:p w14:paraId="408C5C67" w14:textId="2EAB5662" w:rsidR="005625B5" w:rsidRPr="00E611EA" w:rsidRDefault="005625B5" w:rsidP="005625B5">
      <w:pPr>
        <w:spacing w:line="276" w:lineRule="auto"/>
        <w:jc w:val="center"/>
        <w:rPr>
          <w:rFonts w:ascii="Century Gothic" w:hAnsi="Century Gothic" w:cs="Times New Roman"/>
          <w:sz w:val="24"/>
          <w:szCs w:val="24"/>
        </w:rPr>
      </w:pPr>
    </w:p>
    <w:p w14:paraId="63C1BC13"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 xml:space="preserve"> Sites de Ain Savra (40 ha) </w:t>
      </w:r>
    </w:p>
    <w:p w14:paraId="1A590AE2" w14:textId="77777777" w:rsidR="005625B5" w:rsidRPr="001839C6" w:rsidRDefault="005625B5" w:rsidP="005625B5">
      <w:pPr>
        <w:spacing w:after="0"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Coordonnées GPS</w:t>
      </w:r>
      <w:r w:rsidRPr="001839C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026"/>
        <w:gridCol w:w="3029"/>
      </w:tblGrid>
      <w:tr w:rsidR="005625B5" w:rsidRPr="005F17FF" w14:paraId="2A030398" w14:textId="77777777" w:rsidTr="00FB354B">
        <w:tc>
          <w:tcPr>
            <w:tcW w:w="3070" w:type="dxa"/>
            <w:shd w:val="clear" w:color="auto" w:fill="auto"/>
          </w:tcPr>
          <w:p w14:paraId="65033BBE" w14:textId="77777777" w:rsidR="005625B5" w:rsidRPr="001839C6"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4817D857"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55D3662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13CAB52B" w14:textId="77777777" w:rsidTr="00FB354B">
        <w:tc>
          <w:tcPr>
            <w:tcW w:w="3070" w:type="dxa"/>
            <w:shd w:val="clear" w:color="auto" w:fill="auto"/>
          </w:tcPr>
          <w:p w14:paraId="50ADA9BF"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3155E1D3"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804042.48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46C5228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2163973.02 mN</w:t>
            </w:r>
          </w:p>
        </w:tc>
      </w:tr>
      <w:tr w:rsidR="005625B5" w:rsidRPr="005F17FF" w14:paraId="01CAE354" w14:textId="77777777" w:rsidTr="00FB354B">
        <w:tc>
          <w:tcPr>
            <w:tcW w:w="3070" w:type="dxa"/>
            <w:shd w:val="clear" w:color="auto" w:fill="auto"/>
          </w:tcPr>
          <w:p w14:paraId="6294EC77"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064073C4"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804249.26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71A5D43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2164205.59 mN</w:t>
            </w:r>
          </w:p>
        </w:tc>
      </w:tr>
      <w:tr w:rsidR="005625B5" w:rsidRPr="005F17FF" w14:paraId="639BF76B" w14:textId="77777777" w:rsidTr="00FB354B">
        <w:tc>
          <w:tcPr>
            <w:tcW w:w="3070" w:type="dxa"/>
            <w:shd w:val="clear" w:color="auto" w:fill="auto"/>
          </w:tcPr>
          <w:p w14:paraId="5F7FBA8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42246D1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803234.42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0A791EB7"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2164879.39 mN</w:t>
            </w:r>
          </w:p>
        </w:tc>
      </w:tr>
      <w:tr w:rsidR="005625B5" w:rsidRPr="005F17FF" w14:paraId="645A6900" w14:textId="77777777" w:rsidTr="00FB354B">
        <w:tc>
          <w:tcPr>
            <w:tcW w:w="3070" w:type="dxa"/>
            <w:shd w:val="clear" w:color="auto" w:fill="auto"/>
          </w:tcPr>
          <w:p w14:paraId="716FB2C3"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6529DC7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802469.42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11FAFA2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2164936.77 mN</w:t>
            </w:r>
          </w:p>
        </w:tc>
      </w:tr>
      <w:tr w:rsidR="005625B5" w:rsidRPr="005F17FF" w14:paraId="475E59A2" w14:textId="77777777" w:rsidTr="00FB354B">
        <w:tc>
          <w:tcPr>
            <w:tcW w:w="3070" w:type="dxa"/>
            <w:shd w:val="clear" w:color="auto" w:fill="auto"/>
          </w:tcPr>
          <w:p w14:paraId="7B7B1AD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E</w:t>
            </w:r>
          </w:p>
        </w:tc>
        <w:tc>
          <w:tcPr>
            <w:tcW w:w="3071" w:type="dxa"/>
            <w:shd w:val="clear" w:color="auto" w:fill="auto"/>
          </w:tcPr>
          <w:p w14:paraId="3CC25F6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802461.73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07D311C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2164676.55 mN</w:t>
            </w:r>
          </w:p>
        </w:tc>
      </w:tr>
      <w:tr w:rsidR="005625B5" w:rsidRPr="005F17FF" w14:paraId="73120F48" w14:textId="77777777" w:rsidTr="00FB354B">
        <w:tc>
          <w:tcPr>
            <w:tcW w:w="3070" w:type="dxa"/>
            <w:shd w:val="clear" w:color="auto" w:fill="auto"/>
          </w:tcPr>
          <w:p w14:paraId="09A1813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F</w:t>
            </w:r>
          </w:p>
        </w:tc>
        <w:tc>
          <w:tcPr>
            <w:tcW w:w="3071" w:type="dxa"/>
            <w:shd w:val="clear" w:color="auto" w:fill="auto"/>
          </w:tcPr>
          <w:p w14:paraId="13E7850F"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803145.94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33E8550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2164637.13 mN</w:t>
            </w:r>
          </w:p>
        </w:tc>
      </w:tr>
    </w:tbl>
    <w:p w14:paraId="16E12A08"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p>
    <w:p w14:paraId="57162589" w14:textId="77777777" w:rsidR="005625B5" w:rsidRPr="00E611EA"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sidRPr="00E611EA">
        <w:rPr>
          <w:rFonts w:ascii="Century Gothic" w:eastAsia="Times New Roman" w:hAnsi="Century Gothic" w:cs="Times New Roman"/>
          <w:b/>
          <w:bCs/>
          <w:sz w:val="24"/>
          <w:szCs w:val="24"/>
          <w:lang w:eastAsia="wo-SN"/>
        </w:rPr>
        <w:t xml:space="preserve">Site de Aoujeft : </w:t>
      </w:r>
    </w:p>
    <w:p w14:paraId="07AACE31" w14:textId="77777777" w:rsidR="005625B5" w:rsidRPr="00E611EA"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3EB4E3F9"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Aoujeft   </w:t>
      </w:r>
      <w:r w:rsidRPr="001839C6">
        <w:rPr>
          <w:rFonts w:ascii="Century Gothic" w:hAnsi="Century Gothic" w:cs="Times New Roman"/>
          <w:sz w:val="24"/>
          <w:szCs w:val="24"/>
        </w:rPr>
        <w:tab/>
      </w:r>
      <w:r w:rsidRPr="001839C6">
        <w:rPr>
          <w:rFonts w:ascii="Century Gothic" w:hAnsi="Century Gothic" w:cs="Times New Roman"/>
          <w:sz w:val="24"/>
          <w:szCs w:val="24"/>
        </w:rPr>
        <w:tab/>
      </w:r>
      <w:r w:rsidRPr="001839C6">
        <w:rPr>
          <w:rFonts w:ascii="Century Gothic" w:hAnsi="Century Gothic" w:cs="Times New Roman"/>
          <w:sz w:val="24"/>
          <w:szCs w:val="24"/>
          <w:u w:val="single"/>
        </w:rPr>
        <w:t>Moughataa</w:t>
      </w:r>
      <w:r w:rsidRPr="001839C6">
        <w:rPr>
          <w:rFonts w:ascii="Century Gothic" w:hAnsi="Century Gothic" w:cs="Times New Roman"/>
          <w:sz w:val="24"/>
          <w:szCs w:val="24"/>
        </w:rPr>
        <w:t xml:space="preserve"> : Aoujeft   </w:t>
      </w:r>
      <w:r w:rsidRPr="001839C6">
        <w:rPr>
          <w:rFonts w:ascii="Century Gothic" w:hAnsi="Century Gothic" w:cs="Times New Roman"/>
          <w:sz w:val="24"/>
          <w:szCs w:val="24"/>
        </w:rPr>
        <w:tab/>
      </w:r>
      <w:r w:rsidRPr="001839C6">
        <w:rPr>
          <w:rFonts w:ascii="Century Gothic" w:hAnsi="Century Gothic" w:cs="Times New Roman"/>
          <w:sz w:val="24"/>
          <w:szCs w:val="24"/>
        </w:rPr>
        <w:tab/>
      </w:r>
      <w:r w:rsidRPr="001839C6">
        <w:rPr>
          <w:rFonts w:ascii="Century Gothic" w:hAnsi="Century Gothic" w:cs="Times New Roman"/>
          <w:sz w:val="24"/>
          <w:szCs w:val="24"/>
          <w:u w:val="single"/>
        </w:rPr>
        <w:t>Wilaya</w:t>
      </w:r>
      <w:r w:rsidRPr="001839C6">
        <w:rPr>
          <w:rFonts w:ascii="Century Gothic" w:hAnsi="Century Gothic" w:cs="Times New Roman"/>
          <w:sz w:val="24"/>
          <w:szCs w:val="24"/>
        </w:rPr>
        <w:t xml:space="preserve"> : Adrar  </w:t>
      </w:r>
    </w:p>
    <w:p w14:paraId="3C9AADCF" w14:textId="77777777" w:rsidR="005625B5" w:rsidRPr="00E611EA" w:rsidRDefault="005625B5" w:rsidP="005625B5">
      <w:pPr>
        <w:spacing w:line="276" w:lineRule="auto"/>
        <w:jc w:val="center"/>
        <w:rPr>
          <w:rFonts w:ascii="Century Gothic" w:hAnsi="Century Gothic" w:cs="Times New Roman"/>
          <w:sz w:val="24"/>
          <w:szCs w:val="24"/>
        </w:rPr>
      </w:pPr>
      <w:r w:rsidRPr="00FD184A">
        <w:rPr>
          <w:rFonts w:ascii="Century Gothic" w:hAnsi="Century Gothic" w:cs="Times New Roman"/>
          <w:noProof/>
          <w:sz w:val="24"/>
          <w:szCs w:val="24"/>
          <w:lang w:eastAsia="fr-FR"/>
        </w:rPr>
        <w:drawing>
          <wp:inline distT="0" distB="0" distL="0" distR="0" wp14:anchorId="75CE56FC" wp14:editId="0B3EF70D">
            <wp:extent cx="5762625" cy="3824577"/>
            <wp:effectExtent l="0" t="0" r="0" b="5080"/>
            <wp:docPr id="159388448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2012" cy="3837444"/>
                    </a:xfrm>
                    <a:prstGeom prst="rect">
                      <a:avLst/>
                    </a:prstGeom>
                    <a:noFill/>
                    <a:ln>
                      <a:noFill/>
                    </a:ln>
                  </pic:spPr>
                </pic:pic>
              </a:graphicData>
            </a:graphic>
          </wp:inline>
        </w:drawing>
      </w:r>
    </w:p>
    <w:p w14:paraId="150ABCB0"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Sites de protection de Aoujeft (40 ha)</w:t>
      </w:r>
    </w:p>
    <w:p w14:paraId="57F56149" w14:textId="77777777" w:rsidR="005625B5" w:rsidRPr="00E611EA" w:rsidRDefault="005625B5" w:rsidP="005625B5">
      <w:pPr>
        <w:spacing w:line="276" w:lineRule="auto"/>
        <w:jc w:val="both"/>
        <w:rPr>
          <w:rFonts w:ascii="Century Gothic" w:hAnsi="Century Gothic" w:cs="Times New Roman"/>
          <w:b/>
          <w:bCs/>
          <w:sz w:val="20"/>
          <w:szCs w:val="20"/>
        </w:rPr>
      </w:pPr>
      <w:r w:rsidRPr="00E611EA">
        <w:rPr>
          <w:rFonts w:ascii="Century Gothic" w:hAnsi="Century Gothic" w:cs="Times New Roman"/>
          <w:b/>
          <w:bCs/>
          <w:sz w:val="20"/>
          <w:szCs w:val="20"/>
          <w:u w:val="single"/>
        </w:rPr>
        <w:t>Coordonnées GPS (Site 1)</w:t>
      </w:r>
      <w:r w:rsidRPr="00E611EA">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026"/>
        <w:gridCol w:w="3029"/>
      </w:tblGrid>
      <w:tr w:rsidR="005625B5" w:rsidRPr="005F17FF" w14:paraId="6105A234" w14:textId="77777777" w:rsidTr="00FB354B">
        <w:tc>
          <w:tcPr>
            <w:tcW w:w="3070" w:type="dxa"/>
            <w:shd w:val="clear" w:color="auto" w:fill="auto"/>
          </w:tcPr>
          <w:p w14:paraId="7BA213F1" w14:textId="77777777" w:rsidR="005625B5" w:rsidRPr="005F17FF"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13E4105F"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2F54BDE4"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3B962CD9" w14:textId="77777777" w:rsidTr="00FB354B">
        <w:tc>
          <w:tcPr>
            <w:tcW w:w="3070" w:type="dxa"/>
            <w:shd w:val="clear" w:color="auto" w:fill="auto"/>
          </w:tcPr>
          <w:p w14:paraId="302C7E9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3600DDD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705165.24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5A4C48EA"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2216810.29 mN</w:t>
            </w:r>
          </w:p>
        </w:tc>
      </w:tr>
      <w:tr w:rsidR="005625B5" w:rsidRPr="005F17FF" w14:paraId="4312EDE6" w14:textId="77777777" w:rsidTr="00FB354B">
        <w:tc>
          <w:tcPr>
            <w:tcW w:w="3070" w:type="dxa"/>
            <w:shd w:val="clear" w:color="auto" w:fill="auto"/>
          </w:tcPr>
          <w:p w14:paraId="0B4353A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30EC165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705420.24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6C20D83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2216840.35 mN</w:t>
            </w:r>
          </w:p>
        </w:tc>
      </w:tr>
      <w:tr w:rsidR="005625B5" w:rsidRPr="005F17FF" w14:paraId="6848D339" w14:textId="77777777" w:rsidTr="00FB354B">
        <w:tc>
          <w:tcPr>
            <w:tcW w:w="3070" w:type="dxa"/>
            <w:shd w:val="clear" w:color="auto" w:fill="auto"/>
          </w:tcPr>
          <w:p w14:paraId="483D749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78AE64C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705654.67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555CE84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2218070.16 mN</w:t>
            </w:r>
          </w:p>
        </w:tc>
      </w:tr>
      <w:tr w:rsidR="005625B5" w:rsidRPr="005F17FF" w14:paraId="0143C79B" w14:textId="77777777" w:rsidTr="00FB354B">
        <w:tc>
          <w:tcPr>
            <w:tcW w:w="3070" w:type="dxa"/>
            <w:shd w:val="clear" w:color="auto" w:fill="auto"/>
          </w:tcPr>
          <w:p w14:paraId="4CDC183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329995A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705520.62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490FE151"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2218527.18 mN</w:t>
            </w:r>
          </w:p>
        </w:tc>
      </w:tr>
      <w:tr w:rsidR="005625B5" w:rsidRPr="005F17FF" w14:paraId="509FB801" w14:textId="77777777" w:rsidTr="00FB354B">
        <w:tc>
          <w:tcPr>
            <w:tcW w:w="3070" w:type="dxa"/>
            <w:shd w:val="clear" w:color="auto" w:fill="auto"/>
          </w:tcPr>
          <w:p w14:paraId="204D3D5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E</w:t>
            </w:r>
          </w:p>
        </w:tc>
        <w:tc>
          <w:tcPr>
            <w:tcW w:w="3071" w:type="dxa"/>
            <w:shd w:val="clear" w:color="auto" w:fill="auto"/>
          </w:tcPr>
          <w:p w14:paraId="4E37A0C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705296.20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4720CE8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2218469.46 mN</w:t>
            </w:r>
          </w:p>
        </w:tc>
      </w:tr>
      <w:tr w:rsidR="005625B5" w:rsidRPr="005F17FF" w14:paraId="3308C3A9" w14:textId="77777777" w:rsidTr="00FB354B">
        <w:tc>
          <w:tcPr>
            <w:tcW w:w="3070" w:type="dxa"/>
            <w:shd w:val="clear" w:color="auto" w:fill="auto"/>
          </w:tcPr>
          <w:p w14:paraId="1A62E997"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F</w:t>
            </w:r>
          </w:p>
        </w:tc>
        <w:tc>
          <w:tcPr>
            <w:tcW w:w="3071" w:type="dxa"/>
            <w:shd w:val="clear" w:color="auto" w:fill="auto"/>
          </w:tcPr>
          <w:p w14:paraId="5FA7F68F"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705412.40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49AAA85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2218083.31 mN</w:t>
            </w:r>
          </w:p>
        </w:tc>
      </w:tr>
    </w:tbl>
    <w:p w14:paraId="7246EAC1" w14:textId="33288C71" w:rsidR="005625B5" w:rsidRPr="00E611EA" w:rsidRDefault="005625B5" w:rsidP="005625B5">
      <w:pPr>
        <w:rPr>
          <w:rFonts w:ascii="Century Gothic" w:hAnsi="Century Gothic" w:cs="Times New Roman"/>
          <w:b/>
          <w:bCs/>
          <w:sz w:val="24"/>
          <w:szCs w:val="24"/>
        </w:rPr>
      </w:pPr>
      <w:r>
        <w:rPr>
          <w:rFonts w:ascii="Century Gothic" w:hAnsi="Century Gothic" w:cs="Times New Roman"/>
          <w:b/>
          <w:bCs/>
          <w:sz w:val="24"/>
          <w:szCs w:val="24"/>
        </w:rPr>
        <w:br w:type="page"/>
      </w:r>
      <w:r w:rsidRPr="00E611EA">
        <w:rPr>
          <w:rFonts w:ascii="Century Gothic" w:hAnsi="Century Gothic" w:cs="Times New Roman"/>
          <w:b/>
          <w:bCs/>
          <w:sz w:val="24"/>
          <w:szCs w:val="24"/>
        </w:rPr>
        <w:t xml:space="preserve">Site de </w:t>
      </w:r>
      <w:r w:rsidR="003346CC" w:rsidRPr="00E611EA">
        <w:rPr>
          <w:rFonts w:ascii="Century Gothic" w:hAnsi="Century Gothic" w:cs="Times New Roman"/>
          <w:b/>
          <w:bCs/>
          <w:sz w:val="24"/>
          <w:szCs w:val="24"/>
        </w:rPr>
        <w:t>Chinguitty</w:t>
      </w:r>
      <w:r w:rsidRPr="00E611EA">
        <w:rPr>
          <w:rFonts w:ascii="Century Gothic" w:hAnsi="Century Gothic" w:cs="Times New Roman"/>
          <w:b/>
          <w:bCs/>
          <w:sz w:val="24"/>
          <w:szCs w:val="24"/>
        </w:rPr>
        <w:t xml:space="preserve"> : </w:t>
      </w:r>
    </w:p>
    <w:p w14:paraId="5CF6894E" w14:textId="35A0A7BD" w:rsidR="005625B5" w:rsidRPr="00613CF8" w:rsidRDefault="005625B5" w:rsidP="005625B5">
      <w:pPr>
        <w:spacing w:after="0" w:line="276" w:lineRule="auto"/>
        <w:jc w:val="both"/>
        <w:rPr>
          <w:rFonts w:ascii="Century Gothic" w:hAnsi="Century Gothic" w:cs="Times New Roman"/>
          <w:sz w:val="24"/>
          <w:szCs w:val="24"/>
          <w:lang w:val="en-US"/>
        </w:rPr>
      </w:pPr>
      <w:proofErr w:type="gramStart"/>
      <w:r w:rsidRPr="00613CF8">
        <w:rPr>
          <w:rFonts w:ascii="Century Gothic" w:hAnsi="Century Gothic" w:cs="Times New Roman"/>
          <w:sz w:val="24"/>
          <w:szCs w:val="24"/>
          <w:u w:val="single"/>
          <w:lang w:val="en-US"/>
        </w:rPr>
        <w:t>Commune</w:t>
      </w:r>
      <w:r w:rsidRPr="00613CF8">
        <w:rPr>
          <w:rFonts w:ascii="Century Gothic" w:hAnsi="Century Gothic" w:cs="Times New Roman"/>
          <w:sz w:val="24"/>
          <w:szCs w:val="24"/>
          <w:lang w:val="en-US"/>
        </w:rPr>
        <w:t xml:space="preserve"> :</w:t>
      </w:r>
      <w:proofErr w:type="gramEnd"/>
      <w:r w:rsidRPr="00613CF8">
        <w:rPr>
          <w:rFonts w:ascii="Century Gothic" w:hAnsi="Century Gothic" w:cs="Times New Roman"/>
          <w:sz w:val="24"/>
          <w:szCs w:val="24"/>
          <w:lang w:val="en-US"/>
        </w:rPr>
        <w:t xml:space="preserve"> </w:t>
      </w:r>
      <w:proofErr w:type="gramStart"/>
      <w:r w:rsidRPr="00613CF8">
        <w:rPr>
          <w:rFonts w:ascii="Century Gothic" w:hAnsi="Century Gothic" w:cs="Times New Roman"/>
          <w:sz w:val="24"/>
          <w:szCs w:val="24"/>
          <w:lang w:val="en-US"/>
        </w:rPr>
        <w:t xml:space="preserve">Chinguitty  </w:t>
      </w:r>
      <w:r w:rsidRPr="00613CF8">
        <w:rPr>
          <w:rFonts w:ascii="Century Gothic" w:hAnsi="Century Gothic" w:cs="Times New Roman"/>
          <w:sz w:val="24"/>
          <w:szCs w:val="24"/>
          <w:lang w:val="en-US"/>
        </w:rPr>
        <w:tab/>
      </w:r>
      <w:proofErr w:type="gramEnd"/>
      <w:r w:rsidRPr="00613CF8">
        <w:rPr>
          <w:rFonts w:ascii="Century Gothic" w:hAnsi="Century Gothic" w:cs="Times New Roman"/>
          <w:sz w:val="24"/>
          <w:szCs w:val="24"/>
          <w:lang w:val="en-US"/>
        </w:rPr>
        <w:tab/>
      </w:r>
      <w:proofErr w:type="gramStart"/>
      <w:r w:rsidRPr="00613CF8">
        <w:rPr>
          <w:rFonts w:ascii="Century Gothic" w:hAnsi="Century Gothic" w:cs="Times New Roman"/>
          <w:sz w:val="24"/>
          <w:szCs w:val="24"/>
          <w:u w:val="single"/>
          <w:lang w:val="en-US"/>
        </w:rPr>
        <w:t>Moughataa</w:t>
      </w:r>
      <w:r w:rsidRPr="00613CF8">
        <w:rPr>
          <w:rFonts w:ascii="Century Gothic" w:hAnsi="Century Gothic" w:cs="Times New Roman"/>
          <w:sz w:val="24"/>
          <w:szCs w:val="24"/>
          <w:lang w:val="en-US"/>
        </w:rPr>
        <w:t> :</w:t>
      </w:r>
      <w:proofErr w:type="gramEnd"/>
      <w:r w:rsidRPr="00613CF8">
        <w:rPr>
          <w:rFonts w:ascii="Century Gothic" w:hAnsi="Century Gothic" w:cs="Times New Roman"/>
          <w:sz w:val="24"/>
          <w:szCs w:val="24"/>
          <w:lang w:val="en-US"/>
        </w:rPr>
        <w:t xml:space="preserve"> Chinguitty   </w:t>
      </w:r>
      <w:r w:rsidRPr="00613CF8">
        <w:rPr>
          <w:rFonts w:ascii="Century Gothic" w:hAnsi="Century Gothic" w:cs="Times New Roman"/>
          <w:sz w:val="24"/>
          <w:szCs w:val="24"/>
          <w:lang w:val="en-US"/>
        </w:rPr>
        <w:tab/>
      </w:r>
      <w:proofErr w:type="gramStart"/>
      <w:r w:rsidRPr="00613CF8">
        <w:rPr>
          <w:rFonts w:ascii="Century Gothic" w:hAnsi="Century Gothic" w:cs="Times New Roman"/>
          <w:sz w:val="24"/>
          <w:szCs w:val="24"/>
          <w:u w:val="single"/>
          <w:lang w:val="en-US"/>
        </w:rPr>
        <w:t>Wilaya</w:t>
      </w:r>
      <w:r w:rsidRPr="00613CF8">
        <w:rPr>
          <w:rFonts w:ascii="Century Gothic" w:hAnsi="Century Gothic" w:cs="Times New Roman"/>
          <w:sz w:val="24"/>
          <w:szCs w:val="24"/>
          <w:lang w:val="en-US"/>
        </w:rPr>
        <w:t> :</w:t>
      </w:r>
      <w:proofErr w:type="gramEnd"/>
      <w:r w:rsidRPr="00613CF8">
        <w:rPr>
          <w:rFonts w:ascii="Century Gothic" w:hAnsi="Century Gothic" w:cs="Times New Roman"/>
          <w:sz w:val="24"/>
          <w:szCs w:val="24"/>
          <w:lang w:val="en-US"/>
        </w:rPr>
        <w:t xml:space="preserve"> Adrar   </w:t>
      </w:r>
    </w:p>
    <w:p w14:paraId="78FE6B92" w14:textId="77777777" w:rsidR="005625B5" w:rsidRPr="00E611EA" w:rsidRDefault="005625B5" w:rsidP="005625B5">
      <w:pPr>
        <w:spacing w:line="276" w:lineRule="auto"/>
        <w:jc w:val="center"/>
        <w:rPr>
          <w:rFonts w:ascii="Century Gothic" w:hAnsi="Century Gothic" w:cs="Times New Roman"/>
          <w:sz w:val="24"/>
          <w:szCs w:val="24"/>
        </w:rPr>
      </w:pPr>
      <w:r w:rsidRPr="00FD184A">
        <w:rPr>
          <w:rFonts w:ascii="Times New Roman" w:hAnsi="Times New Roman" w:cs="Times New Roman"/>
          <w:noProof/>
          <w:sz w:val="24"/>
          <w:szCs w:val="24"/>
          <w:lang w:eastAsia="fr-FR"/>
        </w:rPr>
        <w:drawing>
          <wp:inline distT="0" distB="0" distL="0" distR="0" wp14:anchorId="7FCD6561" wp14:editId="548E409F">
            <wp:extent cx="2466650" cy="3244132"/>
            <wp:effectExtent l="0" t="0" r="0" b="0"/>
            <wp:docPr id="21183586" name="Image 30" descr="E:\Desktop\Restauration des terres\Ensablement Infrastructures\Adrar\Chinguitti\Abeire\PHONE ABOUEIRE\IMG_980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0" descr="E:\Desktop\Restauration des terres\Ensablement Infrastructures\Adrar\Chinguitti\Abeire\PHONE ABOUEIRE\IMG_9808.JPG"/>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6975" cy="3244560"/>
                    </a:xfrm>
                    <a:prstGeom prst="rect">
                      <a:avLst/>
                    </a:prstGeom>
                    <a:noFill/>
                    <a:ln>
                      <a:noFill/>
                    </a:ln>
                  </pic:spPr>
                </pic:pic>
              </a:graphicData>
            </a:graphic>
          </wp:inline>
        </w:drawing>
      </w:r>
      <w:r w:rsidRPr="00FD184A">
        <w:rPr>
          <w:rFonts w:ascii="Century Gothic" w:hAnsi="Century Gothic" w:cs="Times New Roman"/>
          <w:noProof/>
          <w:sz w:val="24"/>
          <w:szCs w:val="24"/>
          <w:lang w:eastAsia="fr-FR"/>
        </w:rPr>
        <w:drawing>
          <wp:inline distT="0" distB="0" distL="0" distR="0" wp14:anchorId="5FFF4198" wp14:editId="150321DE">
            <wp:extent cx="3253105" cy="3307743"/>
            <wp:effectExtent l="0" t="0" r="4445" b="6985"/>
            <wp:docPr id="16928649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9"/>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53105" cy="3307743"/>
                    </a:xfrm>
                    <a:prstGeom prst="rect">
                      <a:avLst/>
                    </a:prstGeom>
                    <a:noFill/>
                    <a:ln>
                      <a:noFill/>
                    </a:ln>
                  </pic:spPr>
                </pic:pic>
              </a:graphicData>
            </a:graphic>
          </wp:inline>
        </w:drawing>
      </w:r>
    </w:p>
    <w:p w14:paraId="5371B201"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 xml:space="preserve">Sites Chinguitty (15 ha et 5 ha) </w:t>
      </w:r>
    </w:p>
    <w:p w14:paraId="4BC6B4D7" w14:textId="77777777" w:rsidR="005625B5" w:rsidRPr="00E611EA" w:rsidRDefault="005625B5" w:rsidP="005625B5">
      <w:pPr>
        <w:spacing w:line="276" w:lineRule="auto"/>
        <w:jc w:val="both"/>
        <w:rPr>
          <w:rFonts w:ascii="Century Gothic" w:hAnsi="Century Gothic" w:cs="Times New Roman"/>
          <w:b/>
          <w:bCs/>
          <w:sz w:val="20"/>
          <w:szCs w:val="20"/>
        </w:rPr>
      </w:pPr>
      <w:r w:rsidRPr="00E611EA">
        <w:rPr>
          <w:rFonts w:ascii="Century Gothic" w:hAnsi="Century Gothic" w:cs="Times New Roman"/>
          <w:b/>
          <w:bCs/>
          <w:sz w:val="20"/>
          <w:szCs w:val="20"/>
          <w:u w:val="single"/>
        </w:rPr>
        <w:t>Coordonnées GPS (15)</w:t>
      </w:r>
      <w:r w:rsidRPr="00E611EA">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026"/>
        <w:gridCol w:w="3029"/>
      </w:tblGrid>
      <w:tr w:rsidR="005625B5" w:rsidRPr="005F17FF" w14:paraId="59B7A58C" w14:textId="77777777" w:rsidTr="00FB354B">
        <w:tc>
          <w:tcPr>
            <w:tcW w:w="3070" w:type="dxa"/>
            <w:shd w:val="clear" w:color="auto" w:fill="auto"/>
          </w:tcPr>
          <w:p w14:paraId="21148C33" w14:textId="77777777" w:rsidR="005625B5" w:rsidRPr="005F17FF"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2C53502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1337AB6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3136064A" w14:textId="77777777" w:rsidTr="00FB354B">
        <w:tc>
          <w:tcPr>
            <w:tcW w:w="3070" w:type="dxa"/>
            <w:shd w:val="clear" w:color="auto" w:fill="auto"/>
          </w:tcPr>
          <w:p w14:paraId="7556D3D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1F0A7D4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775996.06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70741AD3"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2265617.96 mN</w:t>
            </w:r>
          </w:p>
        </w:tc>
      </w:tr>
      <w:tr w:rsidR="005625B5" w:rsidRPr="005F17FF" w14:paraId="7F223B5D" w14:textId="77777777" w:rsidTr="00FB354B">
        <w:tc>
          <w:tcPr>
            <w:tcW w:w="3070" w:type="dxa"/>
            <w:shd w:val="clear" w:color="auto" w:fill="auto"/>
          </w:tcPr>
          <w:p w14:paraId="009C259F"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015BE4F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776016.02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3D6C4F1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2265788.59 mN</w:t>
            </w:r>
          </w:p>
        </w:tc>
      </w:tr>
      <w:tr w:rsidR="005625B5" w:rsidRPr="005F17FF" w14:paraId="51EF0B80" w14:textId="77777777" w:rsidTr="00FB354B">
        <w:tc>
          <w:tcPr>
            <w:tcW w:w="3070" w:type="dxa"/>
            <w:shd w:val="clear" w:color="auto" w:fill="auto"/>
          </w:tcPr>
          <w:p w14:paraId="5F4C5DD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0FB9C38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775193.47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648EB62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2266273.27 mN</w:t>
            </w:r>
          </w:p>
        </w:tc>
      </w:tr>
      <w:tr w:rsidR="005625B5" w:rsidRPr="005F17FF" w14:paraId="5A18E950" w14:textId="77777777" w:rsidTr="00FB354B">
        <w:tc>
          <w:tcPr>
            <w:tcW w:w="3070" w:type="dxa"/>
            <w:shd w:val="clear" w:color="auto" w:fill="auto"/>
          </w:tcPr>
          <w:p w14:paraId="5A9907B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3BC9C5A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775149.70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46AF9CA3"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2266125.12 mN</w:t>
            </w:r>
          </w:p>
        </w:tc>
      </w:tr>
    </w:tbl>
    <w:p w14:paraId="1C8CF315" w14:textId="77777777" w:rsidR="005625B5" w:rsidRPr="00E611EA" w:rsidRDefault="005625B5" w:rsidP="005625B5">
      <w:pPr>
        <w:spacing w:after="0" w:line="276" w:lineRule="auto"/>
        <w:jc w:val="both"/>
        <w:rPr>
          <w:rFonts w:ascii="Century Gothic" w:hAnsi="Century Gothic" w:cs="Times New Roman"/>
          <w:b/>
          <w:bCs/>
          <w:sz w:val="20"/>
          <w:szCs w:val="20"/>
        </w:rPr>
      </w:pPr>
      <w:r w:rsidRPr="00E611EA">
        <w:rPr>
          <w:rFonts w:ascii="Century Gothic" w:hAnsi="Century Gothic" w:cs="Times New Roman"/>
          <w:b/>
          <w:bCs/>
          <w:sz w:val="20"/>
          <w:szCs w:val="20"/>
          <w:u w:val="single"/>
        </w:rPr>
        <w:t xml:space="preserve">Coordonnées GPS (5 </w:t>
      </w:r>
      <w:proofErr w:type="gramStart"/>
      <w:r w:rsidRPr="00E611EA">
        <w:rPr>
          <w:rFonts w:ascii="Century Gothic" w:hAnsi="Century Gothic" w:cs="Times New Roman"/>
          <w:b/>
          <w:bCs/>
          <w:sz w:val="20"/>
          <w:szCs w:val="20"/>
          <w:u w:val="single"/>
        </w:rPr>
        <w:t>ha )</w:t>
      </w:r>
      <w:proofErr w:type="gramEnd"/>
      <w:r w:rsidRPr="00E611EA">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026"/>
        <w:gridCol w:w="3029"/>
      </w:tblGrid>
      <w:tr w:rsidR="005625B5" w:rsidRPr="005F17FF" w14:paraId="2B7A9089" w14:textId="77777777" w:rsidTr="00FB354B">
        <w:tc>
          <w:tcPr>
            <w:tcW w:w="3070" w:type="dxa"/>
            <w:shd w:val="clear" w:color="auto" w:fill="auto"/>
          </w:tcPr>
          <w:p w14:paraId="66563083" w14:textId="77777777" w:rsidR="005625B5" w:rsidRPr="005F17FF"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1390012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1689472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69D212C7" w14:textId="77777777" w:rsidTr="00FB354B">
        <w:tc>
          <w:tcPr>
            <w:tcW w:w="3070" w:type="dxa"/>
            <w:shd w:val="clear" w:color="auto" w:fill="auto"/>
          </w:tcPr>
          <w:p w14:paraId="18079F8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7780BE8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778429.78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21197CB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2266197.52 mN</w:t>
            </w:r>
          </w:p>
        </w:tc>
      </w:tr>
      <w:tr w:rsidR="005625B5" w:rsidRPr="005F17FF" w14:paraId="529F18BC" w14:textId="77777777" w:rsidTr="00FB354B">
        <w:tc>
          <w:tcPr>
            <w:tcW w:w="3070" w:type="dxa"/>
            <w:shd w:val="clear" w:color="auto" w:fill="auto"/>
          </w:tcPr>
          <w:p w14:paraId="3B275321"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6EACF5F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778499.47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7C653B41"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2266164.07 mN</w:t>
            </w:r>
          </w:p>
        </w:tc>
      </w:tr>
      <w:tr w:rsidR="005625B5" w:rsidRPr="005F17FF" w14:paraId="4CDAD5A3" w14:textId="77777777" w:rsidTr="00FB354B">
        <w:tc>
          <w:tcPr>
            <w:tcW w:w="3070" w:type="dxa"/>
            <w:shd w:val="clear" w:color="auto" w:fill="auto"/>
          </w:tcPr>
          <w:p w14:paraId="3C84C25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4C200F2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778830.81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04F1D73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2266595.23 mN</w:t>
            </w:r>
          </w:p>
        </w:tc>
      </w:tr>
      <w:tr w:rsidR="005625B5" w:rsidRPr="005F17FF" w14:paraId="5F6E7DF9" w14:textId="77777777" w:rsidTr="00FB354B">
        <w:tc>
          <w:tcPr>
            <w:tcW w:w="3070" w:type="dxa"/>
            <w:shd w:val="clear" w:color="auto" w:fill="auto"/>
          </w:tcPr>
          <w:p w14:paraId="0242BAF1"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550A522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778725.25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07FF125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2266763.17 mN</w:t>
            </w:r>
          </w:p>
        </w:tc>
      </w:tr>
      <w:tr w:rsidR="005625B5" w:rsidRPr="005F17FF" w14:paraId="3694C775" w14:textId="77777777" w:rsidTr="00FB354B">
        <w:tc>
          <w:tcPr>
            <w:tcW w:w="3070" w:type="dxa"/>
            <w:shd w:val="clear" w:color="auto" w:fill="auto"/>
          </w:tcPr>
          <w:p w14:paraId="2CE39D6A"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E</w:t>
            </w:r>
          </w:p>
        </w:tc>
        <w:tc>
          <w:tcPr>
            <w:tcW w:w="3071" w:type="dxa"/>
            <w:shd w:val="clear" w:color="auto" w:fill="auto"/>
          </w:tcPr>
          <w:p w14:paraId="331AAAD3"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778658.20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211826CA"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2266715.35 mN</w:t>
            </w:r>
          </w:p>
        </w:tc>
      </w:tr>
      <w:tr w:rsidR="005625B5" w:rsidRPr="005F17FF" w14:paraId="2A53E743" w14:textId="77777777" w:rsidTr="00FB354B">
        <w:tc>
          <w:tcPr>
            <w:tcW w:w="3070" w:type="dxa"/>
            <w:shd w:val="clear" w:color="auto" w:fill="auto"/>
          </w:tcPr>
          <w:p w14:paraId="04B4B69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F</w:t>
            </w:r>
          </w:p>
        </w:tc>
        <w:tc>
          <w:tcPr>
            <w:tcW w:w="3071" w:type="dxa"/>
            <w:shd w:val="clear" w:color="auto" w:fill="auto"/>
          </w:tcPr>
          <w:p w14:paraId="23CC6AB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778740.15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74277F84"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2266607.25 mN</w:t>
            </w:r>
          </w:p>
        </w:tc>
      </w:tr>
    </w:tbl>
    <w:p w14:paraId="6FDBB600" w14:textId="77777777" w:rsidR="005625B5" w:rsidRDefault="005625B5" w:rsidP="005625B5">
      <w:pPr>
        <w:spacing w:after="0" w:line="276" w:lineRule="auto"/>
        <w:jc w:val="both"/>
        <w:rPr>
          <w:rFonts w:ascii="Century Gothic" w:hAnsi="Century Gothic" w:cs="Times New Roman"/>
          <w:b/>
          <w:bCs/>
          <w:sz w:val="24"/>
          <w:szCs w:val="24"/>
        </w:rPr>
      </w:pPr>
    </w:p>
    <w:p w14:paraId="5AE214D6" w14:textId="77777777" w:rsidR="005625B5" w:rsidRPr="00237942" w:rsidRDefault="005625B5" w:rsidP="005625B5">
      <w:pPr>
        <w:spacing w:after="0" w:line="276" w:lineRule="auto"/>
        <w:jc w:val="both"/>
        <w:rPr>
          <w:rFonts w:ascii="Century Gothic" w:hAnsi="Century Gothic" w:cs="Times New Roman"/>
          <w:b/>
          <w:bCs/>
          <w:sz w:val="24"/>
          <w:szCs w:val="24"/>
        </w:rPr>
      </w:pPr>
      <w:r w:rsidRPr="00237942">
        <w:rPr>
          <w:rFonts w:ascii="Century Gothic" w:hAnsi="Century Gothic" w:cs="Times New Roman"/>
          <w:b/>
          <w:bCs/>
          <w:sz w:val="24"/>
          <w:szCs w:val="24"/>
        </w:rPr>
        <w:t xml:space="preserve">Site de Elmedah : </w:t>
      </w:r>
    </w:p>
    <w:p w14:paraId="2E4632E1" w14:textId="77777777" w:rsidR="005625B5" w:rsidRPr="00237942" w:rsidRDefault="005625B5" w:rsidP="005625B5">
      <w:pPr>
        <w:spacing w:after="0" w:line="276" w:lineRule="auto"/>
        <w:jc w:val="both"/>
        <w:rPr>
          <w:rFonts w:ascii="Century Gothic" w:hAnsi="Century Gothic" w:cs="Times New Roman"/>
          <w:sz w:val="24"/>
          <w:szCs w:val="24"/>
        </w:rPr>
      </w:pPr>
    </w:p>
    <w:p w14:paraId="561AB31C" w14:textId="77777777" w:rsidR="005625B5" w:rsidRPr="00237942" w:rsidRDefault="005625B5" w:rsidP="005625B5">
      <w:pPr>
        <w:spacing w:line="276" w:lineRule="auto"/>
        <w:jc w:val="both"/>
        <w:rPr>
          <w:rFonts w:ascii="Century Gothic" w:hAnsi="Century Gothic" w:cs="Times New Roman"/>
          <w:sz w:val="24"/>
          <w:szCs w:val="24"/>
        </w:rPr>
      </w:pPr>
      <w:r w:rsidRPr="00237942">
        <w:rPr>
          <w:rFonts w:ascii="Century Gothic" w:hAnsi="Century Gothic" w:cs="Times New Roman"/>
          <w:sz w:val="24"/>
          <w:szCs w:val="24"/>
          <w:u w:val="single"/>
        </w:rPr>
        <w:t>Commune</w:t>
      </w:r>
      <w:r w:rsidRPr="00237942">
        <w:rPr>
          <w:rFonts w:ascii="Century Gothic" w:hAnsi="Century Gothic" w:cs="Times New Roman"/>
          <w:sz w:val="24"/>
          <w:szCs w:val="24"/>
        </w:rPr>
        <w:t xml:space="preserve"> : Elmedah   </w:t>
      </w:r>
      <w:r w:rsidRPr="00237942">
        <w:rPr>
          <w:rFonts w:ascii="Century Gothic" w:hAnsi="Century Gothic" w:cs="Times New Roman"/>
          <w:sz w:val="24"/>
          <w:szCs w:val="24"/>
        </w:rPr>
        <w:tab/>
      </w:r>
      <w:r w:rsidRPr="00237942">
        <w:rPr>
          <w:rFonts w:ascii="Century Gothic" w:hAnsi="Century Gothic" w:cs="Times New Roman"/>
          <w:sz w:val="24"/>
          <w:szCs w:val="24"/>
        </w:rPr>
        <w:tab/>
      </w:r>
      <w:r w:rsidRPr="00237942">
        <w:rPr>
          <w:rFonts w:ascii="Century Gothic" w:hAnsi="Century Gothic" w:cs="Times New Roman"/>
          <w:sz w:val="24"/>
          <w:szCs w:val="24"/>
          <w:u w:val="single"/>
        </w:rPr>
        <w:t>Moughataa</w:t>
      </w:r>
      <w:r w:rsidRPr="00237942">
        <w:rPr>
          <w:rFonts w:ascii="Century Gothic" w:hAnsi="Century Gothic" w:cs="Times New Roman"/>
          <w:sz w:val="24"/>
          <w:szCs w:val="24"/>
        </w:rPr>
        <w:t xml:space="preserve"> : Aoujeft   </w:t>
      </w:r>
      <w:r w:rsidRPr="00237942">
        <w:rPr>
          <w:rFonts w:ascii="Century Gothic" w:hAnsi="Century Gothic" w:cs="Times New Roman"/>
          <w:sz w:val="24"/>
          <w:szCs w:val="24"/>
        </w:rPr>
        <w:tab/>
      </w:r>
      <w:r w:rsidRPr="00237942">
        <w:rPr>
          <w:rFonts w:ascii="Century Gothic" w:hAnsi="Century Gothic" w:cs="Times New Roman"/>
          <w:sz w:val="24"/>
          <w:szCs w:val="24"/>
        </w:rPr>
        <w:tab/>
      </w:r>
      <w:r w:rsidRPr="00237942">
        <w:rPr>
          <w:rFonts w:ascii="Century Gothic" w:hAnsi="Century Gothic" w:cs="Times New Roman"/>
          <w:sz w:val="24"/>
          <w:szCs w:val="24"/>
          <w:u w:val="single"/>
        </w:rPr>
        <w:t>Wilaya</w:t>
      </w:r>
      <w:r w:rsidRPr="00237942">
        <w:rPr>
          <w:rFonts w:ascii="Century Gothic" w:hAnsi="Century Gothic" w:cs="Times New Roman"/>
          <w:sz w:val="24"/>
          <w:szCs w:val="24"/>
        </w:rPr>
        <w:t xml:space="preserve"> : Adrar  </w:t>
      </w:r>
    </w:p>
    <w:p w14:paraId="59561D0D" w14:textId="77777777" w:rsidR="005625B5" w:rsidRPr="00237942" w:rsidRDefault="005625B5" w:rsidP="005625B5">
      <w:pPr>
        <w:spacing w:line="276" w:lineRule="auto"/>
        <w:jc w:val="center"/>
        <w:rPr>
          <w:rFonts w:ascii="Century Gothic" w:hAnsi="Century Gothic" w:cs="Times New Roman"/>
          <w:sz w:val="24"/>
          <w:szCs w:val="24"/>
        </w:rPr>
      </w:pPr>
      <w:r w:rsidRPr="00FD184A">
        <w:rPr>
          <w:rFonts w:ascii="Century Gothic" w:hAnsi="Century Gothic" w:cs="Times New Roman"/>
          <w:noProof/>
          <w:sz w:val="24"/>
          <w:szCs w:val="24"/>
        </w:rPr>
        <w:drawing>
          <wp:inline distT="0" distB="0" distL="0" distR="0" wp14:anchorId="1444A07E" wp14:editId="034E88D3">
            <wp:extent cx="5761990" cy="3053301"/>
            <wp:effectExtent l="0" t="0" r="0" b="0"/>
            <wp:docPr id="215770991"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8"/>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89559" cy="3067910"/>
                    </a:xfrm>
                    <a:prstGeom prst="rect">
                      <a:avLst/>
                    </a:prstGeom>
                    <a:noFill/>
                    <a:ln>
                      <a:noFill/>
                    </a:ln>
                  </pic:spPr>
                </pic:pic>
              </a:graphicData>
            </a:graphic>
          </wp:inline>
        </w:drawing>
      </w:r>
    </w:p>
    <w:p w14:paraId="57A55A6E"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 xml:space="preserve">Sites de protection de Elmedah (30 ha et 100 ha)  </w:t>
      </w:r>
    </w:p>
    <w:p w14:paraId="7D8B1E93" w14:textId="77777777" w:rsidR="005625B5" w:rsidRPr="00237942" w:rsidRDefault="005625B5" w:rsidP="005625B5">
      <w:pPr>
        <w:spacing w:line="276" w:lineRule="auto"/>
        <w:jc w:val="both"/>
        <w:rPr>
          <w:rFonts w:ascii="Century Gothic" w:hAnsi="Century Gothic" w:cs="Times New Roman"/>
          <w:b/>
          <w:bCs/>
          <w:sz w:val="20"/>
          <w:szCs w:val="20"/>
        </w:rPr>
      </w:pPr>
      <w:r w:rsidRPr="00237942">
        <w:rPr>
          <w:rFonts w:ascii="Century Gothic" w:hAnsi="Century Gothic" w:cs="Times New Roman"/>
          <w:b/>
          <w:bCs/>
          <w:sz w:val="20"/>
          <w:szCs w:val="20"/>
          <w:u w:val="single"/>
        </w:rPr>
        <w:t>Coordonnées GPS (</w:t>
      </w:r>
      <w:r>
        <w:rPr>
          <w:rFonts w:ascii="Century Gothic" w:hAnsi="Century Gothic" w:cs="Times New Roman"/>
          <w:b/>
          <w:bCs/>
          <w:sz w:val="20"/>
          <w:szCs w:val="20"/>
          <w:u w:val="single"/>
        </w:rPr>
        <w:t xml:space="preserve">300 </w:t>
      </w:r>
      <w:proofErr w:type="gramStart"/>
      <w:r>
        <w:rPr>
          <w:rFonts w:ascii="Century Gothic" w:hAnsi="Century Gothic" w:cs="Times New Roman"/>
          <w:b/>
          <w:bCs/>
          <w:sz w:val="20"/>
          <w:szCs w:val="20"/>
          <w:u w:val="single"/>
        </w:rPr>
        <w:t xml:space="preserve">ha </w:t>
      </w:r>
      <w:r w:rsidRPr="00237942">
        <w:rPr>
          <w:rFonts w:ascii="Century Gothic" w:hAnsi="Century Gothic" w:cs="Times New Roman"/>
          <w:b/>
          <w:bCs/>
          <w:sz w:val="20"/>
          <w:szCs w:val="20"/>
          <w:u w:val="single"/>
        </w:rPr>
        <w:t>)</w:t>
      </w:r>
      <w:proofErr w:type="gramEnd"/>
      <w:r w:rsidRPr="00237942">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026"/>
        <w:gridCol w:w="3029"/>
      </w:tblGrid>
      <w:tr w:rsidR="005625B5" w:rsidRPr="005F17FF" w14:paraId="62A5BC04" w14:textId="77777777" w:rsidTr="00FB354B">
        <w:tc>
          <w:tcPr>
            <w:tcW w:w="3070" w:type="dxa"/>
            <w:shd w:val="clear" w:color="auto" w:fill="auto"/>
          </w:tcPr>
          <w:p w14:paraId="5D20EDD4" w14:textId="77777777" w:rsidR="005625B5" w:rsidRPr="005F17FF"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5350C4B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5C9887F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1ECF0734" w14:textId="77777777" w:rsidTr="00FB354B">
        <w:tc>
          <w:tcPr>
            <w:tcW w:w="3070" w:type="dxa"/>
            <w:shd w:val="clear" w:color="auto" w:fill="auto"/>
          </w:tcPr>
          <w:p w14:paraId="0B2ACDC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042438F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628712.15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7CA9F2A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2185209.92 mN</w:t>
            </w:r>
          </w:p>
        </w:tc>
      </w:tr>
      <w:tr w:rsidR="005625B5" w:rsidRPr="005F17FF" w14:paraId="3817B1EC" w14:textId="77777777" w:rsidTr="00FB354B">
        <w:tc>
          <w:tcPr>
            <w:tcW w:w="3070" w:type="dxa"/>
            <w:shd w:val="clear" w:color="auto" w:fill="auto"/>
          </w:tcPr>
          <w:p w14:paraId="0754063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3D7F7241"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629180.30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5D4EEE4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2185209.32 mN</w:t>
            </w:r>
          </w:p>
        </w:tc>
      </w:tr>
      <w:tr w:rsidR="005625B5" w:rsidRPr="005F17FF" w14:paraId="4F26A2FC" w14:textId="77777777" w:rsidTr="00FB354B">
        <w:tc>
          <w:tcPr>
            <w:tcW w:w="3070" w:type="dxa"/>
            <w:shd w:val="clear" w:color="auto" w:fill="auto"/>
          </w:tcPr>
          <w:p w14:paraId="001170F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3826AEF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629440.92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3F12CBF1"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2184513.33 mN</w:t>
            </w:r>
          </w:p>
        </w:tc>
      </w:tr>
      <w:tr w:rsidR="005625B5" w:rsidRPr="005F17FF" w14:paraId="7C178DC4" w14:textId="77777777" w:rsidTr="00FB354B">
        <w:tc>
          <w:tcPr>
            <w:tcW w:w="3070" w:type="dxa"/>
            <w:shd w:val="clear" w:color="auto" w:fill="auto"/>
          </w:tcPr>
          <w:p w14:paraId="18476D8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074073B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628963.15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4EA3C70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2185355.23 mN</w:t>
            </w:r>
          </w:p>
        </w:tc>
      </w:tr>
    </w:tbl>
    <w:p w14:paraId="46C1B015" w14:textId="77777777" w:rsidR="005625B5" w:rsidRPr="00237942" w:rsidRDefault="005625B5" w:rsidP="005625B5">
      <w:pPr>
        <w:spacing w:line="276" w:lineRule="auto"/>
        <w:jc w:val="both"/>
        <w:rPr>
          <w:rFonts w:ascii="Century Gothic" w:hAnsi="Century Gothic" w:cs="Times New Roman"/>
          <w:b/>
          <w:bCs/>
          <w:sz w:val="20"/>
          <w:szCs w:val="20"/>
        </w:rPr>
      </w:pPr>
      <w:r w:rsidRPr="00237942">
        <w:rPr>
          <w:rFonts w:ascii="Century Gothic" w:hAnsi="Century Gothic" w:cs="Times New Roman"/>
          <w:b/>
          <w:bCs/>
          <w:sz w:val="20"/>
          <w:szCs w:val="20"/>
          <w:u w:val="single"/>
        </w:rPr>
        <w:t>Coordonnées GPS (</w:t>
      </w:r>
      <w:r>
        <w:rPr>
          <w:rFonts w:ascii="Century Gothic" w:hAnsi="Century Gothic" w:cs="Times New Roman"/>
          <w:b/>
          <w:bCs/>
          <w:sz w:val="20"/>
          <w:szCs w:val="20"/>
          <w:u w:val="single"/>
        </w:rPr>
        <w:t>100 ha</w:t>
      </w:r>
      <w:r w:rsidRPr="00237942">
        <w:rPr>
          <w:rFonts w:ascii="Century Gothic" w:hAnsi="Century Gothic" w:cs="Times New Roman"/>
          <w:b/>
          <w:bCs/>
          <w:sz w:val="20"/>
          <w:szCs w:val="20"/>
          <w:u w:val="single"/>
        </w:rPr>
        <w:t>)</w:t>
      </w:r>
      <w:r w:rsidRPr="00237942">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026"/>
        <w:gridCol w:w="3029"/>
      </w:tblGrid>
      <w:tr w:rsidR="005625B5" w:rsidRPr="005F17FF" w14:paraId="37B2D0A2" w14:textId="77777777" w:rsidTr="00FB354B">
        <w:tc>
          <w:tcPr>
            <w:tcW w:w="3070" w:type="dxa"/>
            <w:shd w:val="clear" w:color="auto" w:fill="auto"/>
          </w:tcPr>
          <w:p w14:paraId="0F8CEC66" w14:textId="77777777" w:rsidR="005625B5" w:rsidRPr="005F17FF"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2C55C59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71893493"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102F789C" w14:textId="77777777" w:rsidTr="00FB354B">
        <w:tc>
          <w:tcPr>
            <w:tcW w:w="3070" w:type="dxa"/>
            <w:shd w:val="clear" w:color="auto" w:fill="auto"/>
          </w:tcPr>
          <w:p w14:paraId="61FA999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65E3EFC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634535.92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74738E8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2179859.87 mN</w:t>
            </w:r>
          </w:p>
        </w:tc>
      </w:tr>
      <w:tr w:rsidR="005625B5" w:rsidRPr="005F17FF" w14:paraId="22AB3E9D" w14:textId="77777777" w:rsidTr="00FB354B">
        <w:tc>
          <w:tcPr>
            <w:tcW w:w="3070" w:type="dxa"/>
            <w:shd w:val="clear" w:color="auto" w:fill="auto"/>
          </w:tcPr>
          <w:p w14:paraId="0832A88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1A7905B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634400.39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2FDBE9F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2180161.21 mN</w:t>
            </w:r>
          </w:p>
        </w:tc>
      </w:tr>
      <w:tr w:rsidR="005625B5" w:rsidRPr="005F17FF" w14:paraId="3F479A37" w14:textId="77777777" w:rsidTr="00FB354B">
        <w:tc>
          <w:tcPr>
            <w:tcW w:w="3070" w:type="dxa"/>
            <w:shd w:val="clear" w:color="auto" w:fill="auto"/>
          </w:tcPr>
          <w:p w14:paraId="1E8DC203"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3F58B0A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633013.32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487EB08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2179677.42 mN</w:t>
            </w:r>
          </w:p>
        </w:tc>
      </w:tr>
      <w:tr w:rsidR="005625B5" w:rsidRPr="005F17FF" w14:paraId="33B2E79D" w14:textId="77777777" w:rsidTr="00FB354B">
        <w:tc>
          <w:tcPr>
            <w:tcW w:w="3070" w:type="dxa"/>
            <w:shd w:val="clear" w:color="auto" w:fill="auto"/>
          </w:tcPr>
          <w:p w14:paraId="38F40207"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03FE9C6A"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632183.59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59C3482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2180457.29 mN</w:t>
            </w:r>
          </w:p>
        </w:tc>
      </w:tr>
      <w:tr w:rsidR="005625B5" w:rsidRPr="005F17FF" w14:paraId="61A4495F" w14:textId="77777777" w:rsidTr="00FB354B">
        <w:tc>
          <w:tcPr>
            <w:tcW w:w="3070" w:type="dxa"/>
            <w:shd w:val="clear" w:color="auto" w:fill="auto"/>
          </w:tcPr>
          <w:p w14:paraId="716C52C4"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E</w:t>
            </w:r>
          </w:p>
        </w:tc>
        <w:tc>
          <w:tcPr>
            <w:tcW w:w="3071" w:type="dxa"/>
            <w:shd w:val="clear" w:color="auto" w:fill="auto"/>
          </w:tcPr>
          <w:p w14:paraId="63B0162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631829.23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754E8DD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2180457.29 mN</w:t>
            </w:r>
          </w:p>
        </w:tc>
      </w:tr>
      <w:tr w:rsidR="005625B5" w:rsidRPr="005F17FF" w14:paraId="744991AA" w14:textId="77777777" w:rsidTr="00FB354B">
        <w:tc>
          <w:tcPr>
            <w:tcW w:w="3070" w:type="dxa"/>
            <w:shd w:val="clear" w:color="auto" w:fill="auto"/>
          </w:tcPr>
          <w:p w14:paraId="769F9A73"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F</w:t>
            </w:r>
          </w:p>
        </w:tc>
        <w:tc>
          <w:tcPr>
            <w:tcW w:w="3071" w:type="dxa"/>
            <w:shd w:val="clear" w:color="auto" w:fill="auto"/>
          </w:tcPr>
          <w:p w14:paraId="63F51EE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632864.59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4DB0020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2179364.18 mN</w:t>
            </w:r>
          </w:p>
        </w:tc>
      </w:tr>
    </w:tbl>
    <w:p w14:paraId="45661487" w14:textId="77777777" w:rsidR="005625B5" w:rsidRPr="00942CD5" w:rsidRDefault="005625B5" w:rsidP="005625B5">
      <w:pPr>
        <w:spacing w:after="0" w:line="276" w:lineRule="auto"/>
        <w:jc w:val="both"/>
        <w:rPr>
          <w:rFonts w:ascii="Century Gothic" w:hAnsi="Century Gothic" w:cs="Times New Roman"/>
          <w:b/>
          <w:bCs/>
          <w:sz w:val="16"/>
          <w:szCs w:val="16"/>
        </w:rPr>
      </w:pPr>
    </w:p>
    <w:p w14:paraId="782E5CED" w14:textId="0DE61C16" w:rsidR="005625B5" w:rsidRPr="000E6CE3" w:rsidRDefault="005625B5" w:rsidP="005625B5">
      <w:pPr>
        <w:spacing w:after="0" w:line="276" w:lineRule="auto"/>
        <w:jc w:val="both"/>
        <w:rPr>
          <w:rFonts w:ascii="Century Gothic" w:hAnsi="Century Gothic" w:cs="Times New Roman"/>
          <w:b/>
          <w:bCs/>
          <w:sz w:val="24"/>
          <w:szCs w:val="24"/>
        </w:rPr>
      </w:pPr>
      <w:r w:rsidRPr="000E6CE3">
        <w:rPr>
          <w:rFonts w:ascii="Century Gothic" w:hAnsi="Century Gothic" w:cs="Times New Roman"/>
          <w:b/>
          <w:bCs/>
          <w:sz w:val="24"/>
          <w:szCs w:val="24"/>
        </w:rPr>
        <w:t>Site de T</w:t>
      </w:r>
      <w:r w:rsidR="00EC7396" w:rsidRPr="00FD184A">
        <w:rPr>
          <w:rFonts w:ascii="Times New Roman" w:hAnsi="Times New Roman" w:cs="Times New Roman"/>
          <w:noProof/>
          <w:sz w:val="24"/>
          <w:szCs w:val="24"/>
          <w:lang w:eastAsia="fr-FR"/>
        </w:rPr>
        <w:drawing>
          <wp:inline distT="0" distB="0" distL="0" distR="0" wp14:anchorId="4FD0355C" wp14:editId="3818793A">
            <wp:extent cx="3180763" cy="2083241"/>
            <wp:effectExtent l="0" t="0" r="635" b="0"/>
            <wp:docPr id="1440316369" name="Image 27" descr="E:\Desktop\Restauration des terres\Ensablement Infrastructures\Adrar\Tenewchart\Tenocherte\DJI_095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7" descr="E:\Desktop\Restauration des terres\Ensablement Infrastructures\Adrar\Tenewchart\Tenocherte\DJI_0954.JPG"/>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26390" cy="2113124"/>
                    </a:xfrm>
                    <a:prstGeom prst="rect">
                      <a:avLst/>
                    </a:prstGeom>
                    <a:noFill/>
                    <a:ln>
                      <a:noFill/>
                    </a:ln>
                  </pic:spPr>
                </pic:pic>
              </a:graphicData>
            </a:graphic>
          </wp:inline>
        </w:drawing>
      </w:r>
      <w:proofErr w:type="spellStart"/>
      <w:r w:rsidRPr="000E6CE3">
        <w:rPr>
          <w:rFonts w:ascii="Century Gothic" w:hAnsi="Century Gothic" w:cs="Times New Roman"/>
          <w:b/>
          <w:bCs/>
          <w:sz w:val="24"/>
          <w:szCs w:val="24"/>
        </w:rPr>
        <w:t>enewchart</w:t>
      </w:r>
      <w:proofErr w:type="spellEnd"/>
      <w:r w:rsidRPr="000E6CE3">
        <w:rPr>
          <w:rFonts w:ascii="Century Gothic" w:hAnsi="Century Gothic" w:cs="Times New Roman"/>
          <w:b/>
          <w:bCs/>
          <w:sz w:val="24"/>
          <w:szCs w:val="24"/>
        </w:rPr>
        <w:t xml:space="preserve"> : </w:t>
      </w:r>
    </w:p>
    <w:p w14:paraId="674F866A" w14:textId="402ADF87" w:rsidR="005625B5" w:rsidRDefault="005625B5" w:rsidP="00942CD5">
      <w:pPr>
        <w:spacing w:after="0" w:line="276" w:lineRule="auto"/>
        <w:ind w:right="-709"/>
        <w:jc w:val="both"/>
        <w:rPr>
          <w:rFonts w:ascii="Century Gothic" w:hAnsi="Century Gothic" w:cs="Times New Roman"/>
          <w:sz w:val="24"/>
          <w:szCs w:val="24"/>
        </w:rPr>
      </w:pPr>
      <w:r w:rsidRPr="000E6CE3">
        <w:rPr>
          <w:rFonts w:ascii="Century Gothic" w:hAnsi="Century Gothic" w:cs="Times New Roman"/>
          <w:sz w:val="24"/>
          <w:szCs w:val="24"/>
          <w:u w:val="single"/>
        </w:rPr>
        <w:t>Commune</w:t>
      </w:r>
      <w:r w:rsidRPr="000E6CE3">
        <w:rPr>
          <w:rFonts w:ascii="Century Gothic" w:hAnsi="Century Gothic" w:cs="Times New Roman"/>
          <w:sz w:val="24"/>
          <w:szCs w:val="24"/>
        </w:rPr>
        <w:t xml:space="preserve"> : Ouadane   </w:t>
      </w:r>
      <w:r w:rsidRPr="000E6CE3">
        <w:rPr>
          <w:rFonts w:ascii="Century Gothic" w:hAnsi="Century Gothic" w:cs="Times New Roman"/>
          <w:sz w:val="24"/>
          <w:szCs w:val="24"/>
        </w:rPr>
        <w:tab/>
      </w:r>
      <w:r w:rsidRPr="000E6CE3">
        <w:rPr>
          <w:rFonts w:ascii="Century Gothic" w:hAnsi="Century Gothic" w:cs="Times New Roman"/>
          <w:sz w:val="24"/>
          <w:szCs w:val="24"/>
        </w:rPr>
        <w:tab/>
      </w:r>
      <w:r w:rsidRPr="000E6CE3">
        <w:rPr>
          <w:rFonts w:ascii="Century Gothic" w:hAnsi="Century Gothic" w:cs="Times New Roman"/>
          <w:sz w:val="24"/>
          <w:szCs w:val="24"/>
          <w:u w:val="single"/>
        </w:rPr>
        <w:t>Moughataa</w:t>
      </w:r>
      <w:r w:rsidRPr="000E6CE3">
        <w:rPr>
          <w:rFonts w:ascii="Century Gothic" w:hAnsi="Century Gothic" w:cs="Times New Roman"/>
          <w:sz w:val="24"/>
          <w:szCs w:val="24"/>
        </w:rPr>
        <w:t xml:space="preserve"> : </w:t>
      </w:r>
      <w:proofErr w:type="gramStart"/>
      <w:r w:rsidRPr="000E6CE3">
        <w:rPr>
          <w:rFonts w:ascii="Century Gothic" w:hAnsi="Century Gothic" w:cs="Times New Roman"/>
          <w:sz w:val="24"/>
          <w:szCs w:val="24"/>
        </w:rPr>
        <w:t xml:space="preserve">Ouadane  </w:t>
      </w:r>
      <w:r w:rsidRPr="000E6CE3">
        <w:rPr>
          <w:rFonts w:ascii="Century Gothic" w:hAnsi="Century Gothic" w:cs="Times New Roman"/>
          <w:sz w:val="24"/>
          <w:szCs w:val="24"/>
        </w:rPr>
        <w:tab/>
      </w:r>
      <w:proofErr w:type="gramEnd"/>
      <w:r w:rsidRPr="000E6CE3">
        <w:rPr>
          <w:rFonts w:ascii="Century Gothic" w:hAnsi="Century Gothic" w:cs="Times New Roman"/>
          <w:sz w:val="24"/>
          <w:szCs w:val="24"/>
        </w:rPr>
        <w:tab/>
      </w:r>
      <w:r w:rsidRPr="000E6CE3">
        <w:rPr>
          <w:rFonts w:ascii="Century Gothic" w:hAnsi="Century Gothic" w:cs="Times New Roman"/>
          <w:sz w:val="24"/>
          <w:szCs w:val="24"/>
          <w:u w:val="single"/>
        </w:rPr>
        <w:t>Wilaya</w:t>
      </w:r>
      <w:r w:rsidRPr="000E6CE3">
        <w:rPr>
          <w:rFonts w:ascii="Century Gothic" w:hAnsi="Century Gothic" w:cs="Times New Roman"/>
          <w:sz w:val="24"/>
          <w:szCs w:val="24"/>
        </w:rPr>
        <w:t xml:space="preserve"> : Adrar  </w:t>
      </w:r>
    </w:p>
    <w:p w14:paraId="70E472F6" w14:textId="516E9B8E" w:rsidR="005625B5" w:rsidRPr="000E6CE3" w:rsidRDefault="005625B5" w:rsidP="005625B5">
      <w:pPr>
        <w:spacing w:after="0" w:line="276" w:lineRule="auto"/>
        <w:jc w:val="both"/>
        <w:rPr>
          <w:rFonts w:ascii="Century Gothic" w:hAnsi="Century Gothic" w:cs="Times New Roman"/>
          <w:sz w:val="24"/>
          <w:szCs w:val="24"/>
        </w:rPr>
      </w:pPr>
    </w:p>
    <w:p w14:paraId="071B3B23" w14:textId="1EFA9AD0" w:rsidR="005625B5" w:rsidRPr="000E6CE3" w:rsidRDefault="005625B5" w:rsidP="0061595F">
      <w:pPr>
        <w:tabs>
          <w:tab w:val="left" w:pos="2410"/>
        </w:tabs>
        <w:spacing w:line="276" w:lineRule="auto"/>
        <w:jc w:val="center"/>
        <w:rPr>
          <w:rFonts w:ascii="Century Gothic" w:hAnsi="Century Gothic" w:cs="Times New Roman"/>
          <w:sz w:val="24"/>
          <w:szCs w:val="24"/>
        </w:rPr>
      </w:pPr>
      <w:r w:rsidRPr="00FD184A">
        <w:rPr>
          <w:rFonts w:ascii="Century Gothic" w:hAnsi="Century Gothic" w:cs="Times New Roman"/>
          <w:noProof/>
          <w:sz w:val="24"/>
          <w:szCs w:val="24"/>
          <w:lang w:eastAsia="fr-FR"/>
        </w:rPr>
        <w:drawing>
          <wp:inline distT="0" distB="0" distL="0" distR="0" wp14:anchorId="76762984" wp14:editId="7F3D3ED7">
            <wp:extent cx="3500390" cy="1375575"/>
            <wp:effectExtent l="0" t="0" r="5080" b="0"/>
            <wp:docPr id="511033412"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6"/>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76795" cy="1405601"/>
                    </a:xfrm>
                    <a:prstGeom prst="rect">
                      <a:avLst/>
                    </a:prstGeom>
                    <a:noFill/>
                    <a:ln>
                      <a:noFill/>
                    </a:ln>
                  </pic:spPr>
                </pic:pic>
              </a:graphicData>
            </a:graphic>
          </wp:inline>
        </w:drawing>
      </w:r>
    </w:p>
    <w:p w14:paraId="3AB85341" w14:textId="77777777" w:rsidR="005625B5" w:rsidRPr="001839C6" w:rsidRDefault="005625B5" w:rsidP="0061595F">
      <w:pPr>
        <w:spacing w:after="0"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Site de protection de Tenewchart (30 ha)</w:t>
      </w:r>
    </w:p>
    <w:p w14:paraId="4C5EBE87" w14:textId="77777777" w:rsidR="005625B5" w:rsidRPr="0061595F" w:rsidRDefault="005625B5" w:rsidP="005625B5">
      <w:pPr>
        <w:spacing w:line="276" w:lineRule="auto"/>
        <w:jc w:val="both"/>
        <w:rPr>
          <w:rFonts w:ascii="Century Gothic" w:hAnsi="Century Gothic" w:cs="Times New Roman"/>
          <w:b/>
          <w:bCs/>
          <w:sz w:val="2"/>
          <w:szCs w:val="2"/>
        </w:rPr>
      </w:pPr>
      <w:r w:rsidRPr="000E6CE3">
        <w:rPr>
          <w:rFonts w:ascii="Century Gothic" w:hAnsi="Century Gothic" w:cs="Times New Roman"/>
          <w:b/>
          <w:bCs/>
          <w:sz w:val="20"/>
          <w:szCs w:val="20"/>
          <w:u w:val="single"/>
        </w:rPr>
        <w:t>Coordonnées GPS</w:t>
      </w:r>
      <w:r w:rsidRPr="000E6CE3">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026"/>
        <w:gridCol w:w="3029"/>
      </w:tblGrid>
      <w:tr w:rsidR="005625B5" w:rsidRPr="005F17FF" w14:paraId="076F4EC6" w14:textId="77777777" w:rsidTr="0061595F">
        <w:trPr>
          <w:trHeight w:val="222"/>
        </w:trPr>
        <w:tc>
          <w:tcPr>
            <w:tcW w:w="3070" w:type="dxa"/>
            <w:shd w:val="clear" w:color="auto" w:fill="auto"/>
          </w:tcPr>
          <w:p w14:paraId="69C019AE" w14:textId="77777777" w:rsidR="005625B5" w:rsidRPr="005F17FF" w:rsidRDefault="005625B5" w:rsidP="0061595F">
            <w:pPr>
              <w:spacing w:after="0" w:line="276" w:lineRule="auto"/>
              <w:jc w:val="both"/>
              <w:rPr>
                <w:rFonts w:ascii="Century Gothic" w:hAnsi="Century Gothic" w:cs="Times New Roman"/>
                <w:sz w:val="20"/>
                <w:szCs w:val="20"/>
              </w:rPr>
            </w:pPr>
          </w:p>
        </w:tc>
        <w:tc>
          <w:tcPr>
            <w:tcW w:w="3071" w:type="dxa"/>
            <w:shd w:val="clear" w:color="auto" w:fill="auto"/>
          </w:tcPr>
          <w:p w14:paraId="09A623D9" w14:textId="77777777" w:rsidR="005625B5" w:rsidRPr="005F17FF" w:rsidRDefault="005625B5" w:rsidP="0061595F">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45B9E412" w14:textId="77777777" w:rsidR="005625B5" w:rsidRPr="005F17FF" w:rsidRDefault="005625B5" w:rsidP="0061595F">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41035140" w14:textId="77777777" w:rsidTr="00FB354B">
        <w:tc>
          <w:tcPr>
            <w:tcW w:w="3070" w:type="dxa"/>
            <w:shd w:val="clear" w:color="auto" w:fill="auto"/>
          </w:tcPr>
          <w:p w14:paraId="542DB94D" w14:textId="77777777" w:rsidR="005625B5" w:rsidRPr="005F17FF" w:rsidRDefault="005625B5" w:rsidP="00FB354B">
            <w:pPr>
              <w:spacing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792AA1BA" w14:textId="77777777" w:rsidR="005625B5" w:rsidRPr="005F17FF" w:rsidRDefault="005625B5" w:rsidP="00FB354B">
            <w:pPr>
              <w:spacing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745049.84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738B45D7" w14:textId="77777777" w:rsidR="005625B5" w:rsidRPr="005F17FF" w:rsidRDefault="005625B5" w:rsidP="00FB354B">
            <w:pPr>
              <w:spacing w:line="276" w:lineRule="auto"/>
              <w:jc w:val="center"/>
              <w:rPr>
                <w:rFonts w:ascii="Century Gothic" w:hAnsi="Century Gothic" w:cs="Times New Roman"/>
                <w:sz w:val="20"/>
                <w:szCs w:val="20"/>
              </w:rPr>
            </w:pPr>
            <w:r w:rsidRPr="005F17FF">
              <w:rPr>
                <w:rFonts w:ascii="Century Gothic" w:hAnsi="Century Gothic" w:cs="Times New Roman"/>
                <w:sz w:val="20"/>
                <w:szCs w:val="20"/>
              </w:rPr>
              <w:t>2179638.72 mN</w:t>
            </w:r>
          </w:p>
        </w:tc>
      </w:tr>
      <w:tr w:rsidR="005625B5" w:rsidRPr="005F17FF" w14:paraId="01C76E84" w14:textId="77777777" w:rsidTr="00FB354B">
        <w:tc>
          <w:tcPr>
            <w:tcW w:w="3070" w:type="dxa"/>
            <w:shd w:val="clear" w:color="auto" w:fill="auto"/>
          </w:tcPr>
          <w:p w14:paraId="3750DFBD" w14:textId="77777777" w:rsidR="005625B5" w:rsidRPr="005F17FF" w:rsidRDefault="005625B5" w:rsidP="00FB354B">
            <w:pPr>
              <w:spacing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34A4272F" w14:textId="77777777" w:rsidR="005625B5" w:rsidRPr="005F17FF" w:rsidRDefault="005625B5" w:rsidP="00FB354B">
            <w:pPr>
              <w:spacing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744864.06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18800188" w14:textId="77777777" w:rsidR="005625B5" w:rsidRPr="005F17FF" w:rsidRDefault="005625B5" w:rsidP="00FB354B">
            <w:pPr>
              <w:spacing w:line="276" w:lineRule="auto"/>
              <w:jc w:val="center"/>
              <w:rPr>
                <w:rFonts w:ascii="Century Gothic" w:hAnsi="Century Gothic" w:cs="Times New Roman"/>
                <w:sz w:val="20"/>
                <w:szCs w:val="20"/>
              </w:rPr>
            </w:pPr>
            <w:r w:rsidRPr="005F17FF">
              <w:rPr>
                <w:rFonts w:ascii="Century Gothic" w:hAnsi="Century Gothic" w:cs="Times New Roman"/>
                <w:sz w:val="20"/>
                <w:szCs w:val="20"/>
              </w:rPr>
              <w:t>2179533.52 mN</w:t>
            </w:r>
          </w:p>
        </w:tc>
      </w:tr>
      <w:tr w:rsidR="005625B5" w:rsidRPr="005F17FF" w14:paraId="0966D30D" w14:textId="77777777" w:rsidTr="00FB354B">
        <w:tc>
          <w:tcPr>
            <w:tcW w:w="3070" w:type="dxa"/>
            <w:shd w:val="clear" w:color="auto" w:fill="auto"/>
          </w:tcPr>
          <w:p w14:paraId="5AE76297" w14:textId="77777777" w:rsidR="005625B5" w:rsidRPr="005F17FF" w:rsidRDefault="005625B5" w:rsidP="00FB354B">
            <w:pPr>
              <w:spacing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79BE343D" w14:textId="77777777" w:rsidR="005625B5" w:rsidRPr="005F17FF" w:rsidRDefault="005625B5" w:rsidP="00FB354B">
            <w:pPr>
              <w:spacing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745150.54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10E702E5" w14:textId="77777777" w:rsidR="005625B5" w:rsidRPr="005F17FF" w:rsidRDefault="005625B5" w:rsidP="00FB354B">
            <w:pPr>
              <w:spacing w:line="276" w:lineRule="auto"/>
              <w:jc w:val="center"/>
              <w:rPr>
                <w:rFonts w:ascii="Century Gothic" w:hAnsi="Century Gothic" w:cs="Times New Roman"/>
                <w:sz w:val="20"/>
                <w:szCs w:val="20"/>
              </w:rPr>
            </w:pPr>
            <w:r w:rsidRPr="005F17FF">
              <w:rPr>
                <w:rFonts w:ascii="Century Gothic" w:hAnsi="Century Gothic" w:cs="Times New Roman"/>
                <w:sz w:val="20"/>
                <w:szCs w:val="20"/>
              </w:rPr>
              <w:t>2178564.74 mN</w:t>
            </w:r>
          </w:p>
        </w:tc>
      </w:tr>
      <w:tr w:rsidR="005625B5" w:rsidRPr="005F17FF" w14:paraId="61B199AB" w14:textId="77777777" w:rsidTr="00FB354B">
        <w:tc>
          <w:tcPr>
            <w:tcW w:w="3070" w:type="dxa"/>
            <w:shd w:val="clear" w:color="auto" w:fill="auto"/>
          </w:tcPr>
          <w:p w14:paraId="48BB549E" w14:textId="77777777" w:rsidR="005625B5" w:rsidRPr="005F17FF" w:rsidRDefault="005625B5" w:rsidP="00FB354B">
            <w:pPr>
              <w:spacing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55AA0265" w14:textId="77777777" w:rsidR="005625B5" w:rsidRPr="005F17FF" w:rsidRDefault="005625B5" w:rsidP="00FB354B">
            <w:pPr>
              <w:spacing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745320.32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762AC417" w14:textId="77777777" w:rsidR="005625B5" w:rsidRPr="005F17FF" w:rsidRDefault="005625B5" w:rsidP="00FB354B">
            <w:pPr>
              <w:spacing w:line="276" w:lineRule="auto"/>
              <w:jc w:val="center"/>
              <w:rPr>
                <w:rFonts w:ascii="Century Gothic" w:hAnsi="Century Gothic" w:cs="Times New Roman"/>
                <w:sz w:val="20"/>
                <w:szCs w:val="20"/>
              </w:rPr>
            </w:pPr>
            <w:r w:rsidRPr="005F17FF">
              <w:rPr>
                <w:rFonts w:ascii="Century Gothic" w:hAnsi="Century Gothic" w:cs="Times New Roman"/>
                <w:sz w:val="20"/>
                <w:szCs w:val="20"/>
              </w:rPr>
              <w:t>2178677.80 mN</w:t>
            </w:r>
          </w:p>
        </w:tc>
      </w:tr>
    </w:tbl>
    <w:p w14:paraId="3BA2BB8F" w14:textId="7D93F9A8" w:rsidR="005625B5" w:rsidRDefault="00942CD5" w:rsidP="0061595F">
      <w:pPr>
        <w:spacing w:after="0" w:line="276" w:lineRule="auto"/>
        <w:ind w:left="-993" w:right="-567"/>
        <w:jc w:val="both"/>
        <w:rPr>
          <w:rFonts w:ascii="Century Gothic" w:hAnsi="Century Gothic" w:cs="Times New Roman"/>
          <w:sz w:val="24"/>
          <w:szCs w:val="24"/>
        </w:rPr>
      </w:pPr>
      <w:r>
        <w:rPr>
          <w:rFonts w:ascii="Century Gothic" w:hAnsi="Century Gothic" w:cs="Times New Roman"/>
          <w:b/>
          <w:bCs/>
          <w:sz w:val="24"/>
          <w:szCs w:val="24"/>
        </w:rPr>
        <w:t xml:space="preserve">     </w:t>
      </w:r>
      <w:r w:rsidR="005625B5" w:rsidRPr="00CE20B7">
        <w:rPr>
          <w:rFonts w:ascii="Century Gothic" w:hAnsi="Century Gothic" w:cs="Times New Roman"/>
          <w:b/>
          <w:bCs/>
          <w:sz w:val="24"/>
          <w:szCs w:val="24"/>
        </w:rPr>
        <w:t xml:space="preserve">Site de Tenwemend : </w:t>
      </w:r>
      <w:r w:rsidR="005625B5" w:rsidRPr="00CE20B7">
        <w:rPr>
          <w:rFonts w:ascii="Century Gothic" w:hAnsi="Century Gothic" w:cs="Times New Roman"/>
          <w:sz w:val="24"/>
          <w:szCs w:val="24"/>
          <w:u w:val="single"/>
        </w:rPr>
        <w:t>Commune</w:t>
      </w:r>
      <w:r w:rsidR="005625B5" w:rsidRPr="00CE20B7">
        <w:rPr>
          <w:rFonts w:ascii="Century Gothic" w:hAnsi="Century Gothic" w:cs="Times New Roman"/>
          <w:sz w:val="24"/>
          <w:szCs w:val="24"/>
        </w:rPr>
        <w:t xml:space="preserve"> : N’terguine  </w:t>
      </w:r>
      <w:r>
        <w:rPr>
          <w:rFonts w:ascii="Century Gothic" w:hAnsi="Century Gothic" w:cs="Times New Roman"/>
          <w:sz w:val="24"/>
          <w:szCs w:val="24"/>
        </w:rPr>
        <w:t xml:space="preserve"> </w:t>
      </w:r>
      <w:r w:rsidR="005625B5" w:rsidRPr="00CE20B7">
        <w:rPr>
          <w:rFonts w:ascii="Century Gothic" w:hAnsi="Century Gothic" w:cs="Times New Roman"/>
          <w:sz w:val="24"/>
          <w:szCs w:val="24"/>
          <w:u w:val="single"/>
        </w:rPr>
        <w:t>Mou</w:t>
      </w:r>
      <w:r w:rsidR="0092674B" w:rsidRPr="00FD184A">
        <w:rPr>
          <w:rFonts w:ascii="Times New Roman" w:hAnsi="Times New Roman" w:cs="Times New Roman"/>
          <w:noProof/>
          <w:sz w:val="24"/>
          <w:szCs w:val="24"/>
        </w:rPr>
        <w:drawing>
          <wp:inline distT="0" distB="0" distL="0" distR="0" wp14:anchorId="30DDA35C" wp14:editId="41D0C7AE">
            <wp:extent cx="2687955" cy="1630018"/>
            <wp:effectExtent l="0" t="0" r="0" b="8890"/>
            <wp:docPr id="1187483271" name="Image 25" descr="E:\Desktop\Restauration des terres\Ensablement Infrastructures\Adrar\Tenwomend\Tenwemed\DJI_093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5" descr="E:\Desktop\Restauration des terres\Ensablement Infrastructures\Adrar\Tenwomend\Tenwemed\DJI_0932.JPG"/>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96185" cy="1635009"/>
                    </a:xfrm>
                    <a:prstGeom prst="rect">
                      <a:avLst/>
                    </a:prstGeom>
                    <a:noFill/>
                    <a:ln>
                      <a:noFill/>
                    </a:ln>
                  </pic:spPr>
                </pic:pic>
              </a:graphicData>
            </a:graphic>
          </wp:inline>
        </w:drawing>
      </w:r>
      <w:proofErr w:type="spellStart"/>
      <w:r w:rsidR="005625B5" w:rsidRPr="00CE20B7">
        <w:rPr>
          <w:rFonts w:ascii="Century Gothic" w:hAnsi="Century Gothic" w:cs="Times New Roman"/>
          <w:sz w:val="24"/>
          <w:szCs w:val="24"/>
          <w:u w:val="single"/>
        </w:rPr>
        <w:t>ghataa</w:t>
      </w:r>
      <w:proofErr w:type="spellEnd"/>
      <w:r w:rsidR="005625B5" w:rsidRPr="00CE20B7">
        <w:rPr>
          <w:rFonts w:ascii="Century Gothic" w:hAnsi="Century Gothic" w:cs="Times New Roman"/>
          <w:sz w:val="24"/>
          <w:szCs w:val="24"/>
        </w:rPr>
        <w:t> : Aoujeft</w:t>
      </w:r>
      <w:r>
        <w:rPr>
          <w:rFonts w:ascii="Century Gothic" w:hAnsi="Century Gothic" w:cs="Times New Roman"/>
          <w:sz w:val="24"/>
          <w:szCs w:val="24"/>
        </w:rPr>
        <w:t xml:space="preserve">   </w:t>
      </w:r>
      <w:r w:rsidR="005625B5" w:rsidRPr="00CE20B7">
        <w:rPr>
          <w:rFonts w:ascii="Century Gothic" w:hAnsi="Century Gothic" w:cs="Times New Roman"/>
          <w:sz w:val="24"/>
          <w:szCs w:val="24"/>
        </w:rPr>
        <w:tab/>
      </w:r>
      <w:r w:rsidR="005625B5" w:rsidRPr="00CE20B7">
        <w:rPr>
          <w:rFonts w:ascii="Century Gothic" w:hAnsi="Century Gothic" w:cs="Times New Roman"/>
          <w:sz w:val="24"/>
          <w:szCs w:val="24"/>
          <w:u w:val="single"/>
        </w:rPr>
        <w:t>Wilaya</w:t>
      </w:r>
      <w:r w:rsidR="005625B5" w:rsidRPr="00CE20B7">
        <w:rPr>
          <w:rFonts w:ascii="Century Gothic" w:hAnsi="Century Gothic" w:cs="Times New Roman"/>
          <w:sz w:val="24"/>
          <w:szCs w:val="24"/>
        </w:rPr>
        <w:t> : Adra</w:t>
      </w:r>
      <w:r w:rsidR="005625B5">
        <w:rPr>
          <w:rFonts w:ascii="Century Gothic" w:hAnsi="Century Gothic" w:cs="Times New Roman"/>
          <w:sz w:val="24"/>
          <w:szCs w:val="24"/>
        </w:rPr>
        <w:t>r</w:t>
      </w:r>
      <w:r w:rsidR="005625B5" w:rsidRPr="00CE20B7">
        <w:rPr>
          <w:rFonts w:ascii="Century Gothic" w:hAnsi="Century Gothic" w:cs="Times New Roman"/>
          <w:sz w:val="24"/>
          <w:szCs w:val="24"/>
        </w:rPr>
        <w:t xml:space="preserve">  </w:t>
      </w:r>
    </w:p>
    <w:p w14:paraId="07CEE2A3" w14:textId="1EC1571D" w:rsidR="005625B5" w:rsidRPr="001839C6" w:rsidRDefault="005625B5" w:rsidP="005625B5">
      <w:pPr>
        <w:spacing w:line="276" w:lineRule="auto"/>
        <w:jc w:val="center"/>
        <w:rPr>
          <w:rFonts w:ascii="Century Gothic" w:hAnsi="Century Gothic" w:cs="Times New Roman"/>
          <w:sz w:val="24"/>
          <w:szCs w:val="24"/>
        </w:rPr>
      </w:pPr>
      <w:r w:rsidRPr="00FD184A">
        <w:rPr>
          <w:rFonts w:ascii="Century Gothic" w:hAnsi="Century Gothic" w:cs="Times New Roman"/>
          <w:noProof/>
          <w:sz w:val="24"/>
          <w:szCs w:val="24"/>
        </w:rPr>
        <w:drawing>
          <wp:inline distT="0" distB="0" distL="0" distR="0" wp14:anchorId="69AF5132" wp14:editId="77F4074D">
            <wp:extent cx="3374390" cy="1789043"/>
            <wp:effectExtent l="0" t="0" r="0" b="1905"/>
            <wp:docPr id="2822040"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4"/>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88579" cy="1796566"/>
                    </a:xfrm>
                    <a:prstGeom prst="rect">
                      <a:avLst/>
                    </a:prstGeom>
                    <a:noFill/>
                    <a:ln>
                      <a:noFill/>
                    </a:ln>
                  </pic:spPr>
                </pic:pic>
              </a:graphicData>
            </a:graphic>
          </wp:inline>
        </w:drawing>
      </w:r>
      <w:r w:rsidRPr="001839C6">
        <w:rPr>
          <w:rFonts w:ascii="Century Gothic" w:hAnsi="Century Gothic" w:cs="Times New Roman"/>
          <w:noProof/>
          <w:sz w:val="24"/>
          <w:szCs w:val="24"/>
        </w:rPr>
        <w:t xml:space="preserve">  </w:t>
      </w:r>
    </w:p>
    <w:p w14:paraId="26D94508"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Site de Tenwomend (40 ha)</w:t>
      </w:r>
    </w:p>
    <w:p w14:paraId="783A181F" w14:textId="77777777" w:rsidR="005625B5" w:rsidRPr="001839C6" w:rsidRDefault="005625B5" w:rsidP="005625B5">
      <w:pPr>
        <w:spacing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Coordonnées GPS</w:t>
      </w:r>
      <w:r w:rsidRPr="001839C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026"/>
        <w:gridCol w:w="3029"/>
      </w:tblGrid>
      <w:tr w:rsidR="005625B5" w:rsidRPr="005F17FF" w14:paraId="2645C1D9" w14:textId="77777777" w:rsidTr="00FB354B">
        <w:tc>
          <w:tcPr>
            <w:tcW w:w="3070" w:type="dxa"/>
            <w:shd w:val="clear" w:color="auto" w:fill="auto"/>
          </w:tcPr>
          <w:p w14:paraId="67BC63C2" w14:textId="77777777" w:rsidR="005625B5" w:rsidRPr="001839C6"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414BE51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17A168FF"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63F50EDC" w14:textId="77777777" w:rsidTr="00FB354B">
        <w:tc>
          <w:tcPr>
            <w:tcW w:w="3070" w:type="dxa"/>
            <w:shd w:val="clear" w:color="auto" w:fill="auto"/>
          </w:tcPr>
          <w:p w14:paraId="5D2A790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4172ABAF"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745049.84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673128BF"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2179638.72 mN</w:t>
            </w:r>
          </w:p>
        </w:tc>
      </w:tr>
      <w:tr w:rsidR="005625B5" w:rsidRPr="005F17FF" w14:paraId="3971C235" w14:textId="77777777" w:rsidTr="00FB354B">
        <w:tc>
          <w:tcPr>
            <w:tcW w:w="3070" w:type="dxa"/>
            <w:shd w:val="clear" w:color="auto" w:fill="auto"/>
          </w:tcPr>
          <w:p w14:paraId="4B480834"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256F9D84"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744864.06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45FA96A3"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2179533.52 mN</w:t>
            </w:r>
          </w:p>
        </w:tc>
      </w:tr>
      <w:tr w:rsidR="005625B5" w:rsidRPr="005F17FF" w14:paraId="495ED91B" w14:textId="77777777" w:rsidTr="00FB354B">
        <w:tc>
          <w:tcPr>
            <w:tcW w:w="3070" w:type="dxa"/>
            <w:shd w:val="clear" w:color="auto" w:fill="auto"/>
          </w:tcPr>
          <w:p w14:paraId="5C3440A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5BA1E30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745150.54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6C8F1D2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2178564.74 mN</w:t>
            </w:r>
          </w:p>
        </w:tc>
      </w:tr>
      <w:tr w:rsidR="005625B5" w:rsidRPr="005F17FF" w14:paraId="263BB631" w14:textId="77777777" w:rsidTr="00FB354B">
        <w:tc>
          <w:tcPr>
            <w:tcW w:w="3070" w:type="dxa"/>
            <w:shd w:val="clear" w:color="auto" w:fill="auto"/>
          </w:tcPr>
          <w:p w14:paraId="56BBBC9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7B3F009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745320.32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3B07685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2178677.80 mN</w:t>
            </w:r>
          </w:p>
        </w:tc>
      </w:tr>
    </w:tbl>
    <w:p w14:paraId="51B6DE24" w14:textId="73A543A1" w:rsidR="005625B5" w:rsidRPr="00CE4515" w:rsidRDefault="005625B5" w:rsidP="0061595F">
      <w:pPr>
        <w:numPr>
          <w:ilvl w:val="0"/>
          <w:numId w:val="35"/>
        </w:numPr>
        <w:tabs>
          <w:tab w:val="left" w:pos="426"/>
        </w:tabs>
        <w:spacing w:after="0" w:line="276" w:lineRule="auto"/>
        <w:jc w:val="center"/>
        <w:rPr>
          <w:rFonts w:ascii="Century Gothic" w:eastAsia="Times New Roman" w:hAnsi="Century Gothic" w:cs="Times New Roman"/>
          <w:b/>
          <w:bCs/>
          <w:sz w:val="24"/>
          <w:szCs w:val="24"/>
          <w:lang w:eastAsia="wo-SN"/>
        </w:rPr>
      </w:pPr>
      <w:r>
        <w:rPr>
          <w:rFonts w:ascii="Century Gothic" w:eastAsia="Times New Roman" w:hAnsi="Century Gothic" w:cs="Times New Roman"/>
          <w:b/>
          <w:bCs/>
          <w:sz w:val="24"/>
          <w:szCs w:val="24"/>
          <w:lang w:eastAsia="wo-SN"/>
        </w:rPr>
        <w:br w:type="page"/>
      </w:r>
      <w:r w:rsidRPr="00CE4515">
        <w:rPr>
          <w:rFonts w:ascii="Century Gothic" w:eastAsia="Times New Roman" w:hAnsi="Century Gothic" w:cs="Times New Roman"/>
          <w:b/>
          <w:bCs/>
          <w:sz w:val="24"/>
          <w:szCs w:val="24"/>
          <w:lang w:eastAsia="wo-SN"/>
        </w:rPr>
        <w:t>Wilaya de l’Inchiri</w:t>
      </w:r>
    </w:p>
    <w:p w14:paraId="75281E64" w14:textId="77777777" w:rsidR="005625B5" w:rsidRPr="004414D7"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sidRPr="004414D7">
        <w:rPr>
          <w:rFonts w:ascii="Century Gothic" w:eastAsia="Times New Roman" w:hAnsi="Century Gothic" w:cs="Times New Roman"/>
          <w:b/>
          <w:bCs/>
          <w:sz w:val="24"/>
          <w:szCs w:val="24"/>
          <w:lang w:eastAsia="wo-SN"/>
        </w:rPr>
        <w:t xml:space="preserve">Site de Bennichab : </w:t>
      </w:r>
    </w:p>
    <w:p w14:paraId="15A76C32" w14:textId="77777777" w:rsidR="005625B5" w:rsidRDefault="005625B5" w:rsidP="005625B5">
      <w:pPr>
        <w:spacing w:line="276" w:lineRule="auto"/>
        <w:jc w:val="both"/>
        <w:rPr>
          <w:rFonts w:ascii="Century Gothic" w:hAnsi="Century Gothic" w:cs="Times New Roman"/>
          <w:sz w:val="24"/>
          <w:szCs w:val="24"/>
        </w:rPr>
      </w:pPr>
      <w:r w:rsidRPr="00CE4515">
        <w:rPr>
          <w:rFonts w:ascii="Century Gothic" w:hAnsi="Century Gothic" w:cs="Times New Roman"/>
          <w:sz w:val="24"/>
          <w:szCs w:val="24"/>
          <w:u w:val="single"/>
        </w:rPr>
        <w:t>Commune</w:t>
      </w:r>
      <w:r w:rsidRPr="00CE4515">
        <w:rPr>
          <w:rFonts w:ascii="Century Gothic" w:hAnsi="Century Gothic" w:cs="Times New Roman"/>
          <w:sz w:val="24"/>
          <w:szCs w:val="24"/>
        </w:rPr>
        <w:t xml:space="preserve"> : </w:t>
      </w:r>
      <w:proofErr w:type="gramStart"/>
      <w:r w:rsidRPr="00CE4515">
        <w:rPr>
          <w:rFonts w:ascii="Century Gothic" w:hAnsi="Century Gothic" w:cs="Times New Roman"/>
          <w:sz w:val="24"/>
          <w:szCs w:val="24"/>
        </w:rPr>
        <w:t xml:space="preserve">Bennichab  </w:t>
      </w:r>
      <w:r w:rsidRPr="00CE4515">
        <w:rPr>
          <w:rFonts w:ascii="Century Gothic" w:hAnsi="Century Gothic" w:cs="Times New Roman"/>
          <w:sz w:val="24"/>
          <w:szCs w:val="24"/>
        </w:rPr>
        <w:tab/>
      </w:r>
      <w:proofErr w:type="gramEnd"/>
      <w:r w:rsidRPr="00CE4515">
        <w:rPr>
          <w:rFonts w:ascii="Century Gothic" w:hAnsi="Century Gothic" w:cs="Times New Roman"/>
          <w:sz w:val="24"/>
          <w:szCs w:val="24"/>
        </w:rPr>
        <w:tab/>
      </w:r>
      <w:r w:rsidRPr="00CE4515">
        <w:rPr>
          <w:rFonts w:ascii="Century Gothic" w:hAnsi="Century Gothic" w:cs="Times New Roman"/>
          <w:sz w:val="24"/>
          <w:szCs w:val="24"/>
          <w:u w:val="single"/>
        </w:rPr>
        <w:t>Moughataa</w:t>
      </w:r>
      <w:r w:rsidRPr="00CE4515">
        <w:rPr>
          <w:rFonts w:ascii="Century Gothic" w:hAnsi="Century Gothic" w:cs="Times New Roman"/>
          <w:sz w:val="24"/>
          <w:szCs w:val="24"/>
        </w:rPr>
        <w:t xml:space="preserve"> : </w:t>
      </w:r>
      <w:proofErr w:type="gramStart"/>
      <w:r w:rsidRPr="00CE4515">
        <w:rPr>
          <w:rFonts w:ascii="Century Gothic" w:hAnsi="Century Gothic" w:cs="Times New Roman"/>
          <w:sz w:val="24"/>
          <w:szCs w:val="24"/>
        </w:rPr>
        <w:t xml:space="preserve">Bennichab  </w:t>
      </w:r>
      <w:r w:rsidRPr="00CE4515">
        <w:rPr>
          <w:rFonts w:ascii="Century Gothic" w:hAnsi="Century Gothic" w:cs="Times New Roman"/>
          <w:sz w:val="24"/>
          <w:szCs w:val="24"/>
        </w:rPr>
        <w:tab/>
      </w:r>
      <w:proofErr w:type="gramEnd"/>
      <w:r w:rsidRPr="00CE4515">
        <w:rPr>
          <w:rFonts w:ascii="Century Gothic" w:hAnsi="Century Gothic" w:cs="Times New Roman"/>
          <w:sz w:val="24"/>
          <w:szCs w:val="24"/>
        </w:rPr>
        <w:tab/>
      </w:r>
      <w:r w:rsidRPr="00CE4515">
        <w:rPr>
          <w:rFonts w:ascii="Century Gothic" w:hAnsi="Century Gothic" w:cs="Times New Roman"/>
          <w:sz w:val="24"/>
          <w:szCs w:val="24"/>
          <w:u w:val="single"/>
        </w:rPr>
        <w:t>Wilaya</w:t>
      </w:r>
      <w:r w:rsidRPr="00CE4515">
        <w:rPr>
          <w:rFonts w:ascii="Century Gothic" w:hAnsi="Century Gothic" w:cs="Times New Roman"/>
          <w:sz w:val="24"/>
          <w:szCs w:val="24"/>
        </w:rPr>
        <w:t xml:space="preserve"> : Inchiri  </w:t>
      </w:r>
    </w:p>
    <w:p w14:paraId="52EE6BC4" w14:textId="77777777" w:rsidR="005625B5" w:rsidRPr="006C3643" w:rsidRDefault="005625B5" w:rsidP="005625B5">
      <w:pPr>
        <w:spacing w:line="276" w:lineRule="auto"/>
        <w:jc w:val="center"/>
        <w:rPr>
          <w:rFonts w:ascii="Times New Roman" w:hAnsi="Times New Roman" w:cs="Times New Roman"/>
          <w:sz w:val="24"/>
          <w:szCs w:val="24"/>
        </w:rPr>
      </w:pPr>
      <w:r w:rsidRPr="00FD184A">
        <w:rPr>
          <w:rFonts w:ascii="Times New Roman" w:hAnsi="Times New Roman" w:cs="Times New Roman"/>
          <w:noProof/>
          <w:sz w:val="24"/>
          <w:szCs w:val="24"/>
          <w:lang w:eastAsia="fr-FR"/>
        </w:rPr>
        <w:drawing>
          <wp:inline distT="0" distB="0" distL="0" distR="0" wp14:anchorId="51392EE9" wp14:editId="1EA2E5FB">
            <wp:extent cx="2811541" cy="2207741"/>
            <wp:effectExtent l="0" t="0" r="8255" b="2540"/>
            <wp:docPr id="191922518" name="Image 23" descr="E:\Desktop\Restauration des terres\photos infrastructures\Benichab 1\DJI_019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3" descr="E:\Desktop\Restauration des terres\photos infrastructures\Benichab 1\DJI_0191.JPG"/>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1552" cy="2223454"/>
                    </a:xfrm>
                    <a:prstGeom prst="rect">
                      <a:avLst/>
                    </a:prstGeom>
                    <a:noFill/>
                    <a:ln>
                      <a:noFill/>
                    </a:ln>
                  </pic:spPr>
                </pic:pic>
              </a:graphicData>
            </a:graphic>
          </wp:inline>
        </w:drawing>
      </w:r>
      <w:r w:rsidRPr="006C3643">
        <w:rPr>
          <w:rFonts w:ascii="Times New Roman" w:hAnsi="Times New Roman" w:cs="Times New Roman"/>
          <w:sz w:val="24"/>
          <w:szCs w:val="24"/>
        </w:rPr>
        <w:t xml:space="preserve"> </w:t>
      </w:r>
      <w:r w:rsidRPr="00FD184A">
        <w:rPr>
          <w:rFonts w:ascii="Times New Roman" w:hAnsi="Times New Roman" w:cs="Times New Roman"/>
          <w:noProof/>
          <w:sz w:val="24"/>
          <w:szCs w:val="24"/>
          <w:lang w:eastAsia="fr-FR"/>
        </w:rPr>
        <w:drawing>
          <wp:inline distT="0" distB="0" distL="0" distR="0" wp14:anchorId="63162594" wp14:editId="52BFDC69">
            <wp:extent cx="2659380" cy="2199095"/>
            <wp:effectExtent l="0" t="0" r="7620" b="0"/>
            <wp:docPr id="769389809" name="Image 22" descr="E:\Desktop\Restauration des terres\photos infrastructures\Benichab 1\DJI_02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2" descr="E:\Desktop\Restauration des terres\photos infrastructures\Benichab 1\DJI_0206.JPG"/>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73128" cy="2210463"/>
                    </a:xfrm>
                    <a:prstGeom prst="rect">
                      <a:avLst/>
                    </a:prstGeom>
                    <a:noFill/>
                    <a:ln>
                      <a:noFill/>
                    </a:ln>
                  </pic:spPr>
                </pic:pic>
              </a:graphicData>
            </a:graphic>
          </wp:inline>
        </w:drawing>
      </w:r>
    </w:p>
    <w:p w14:paraId="1FA9217C" w14:textId="77777777" w:rsidR="005625B5" w:rsidRPr="00E75C48" w:rsidRDefault="005625B5" w:rsidP="005625B5">
      <w:pPr>
        <w:spacing w:line="276" w:lineRule="auto"/>
        <w:jc w:val="center"/>
        <w:rPr>
          <w:rFonts w:ascii="Century Gothic" w:hAnsi="Century Gothic" w:cs="Times New Roman"/>
          <w:b/>
          <w:bCs/>
          <w:sz w:val="20"/>
          <w:szCs w:val="20"/>
          <w:lang w:val="fr-BE"/>
        </w:rPr>
      </w:pPr>
      <w:r w:rsidRPr="00E75C48">
        <w:rPr>
          <w:rFonts w:ascii="Century Gothic" w:hAnsi="Century Gothic" w:cs="Times New Roman"/>
          <w:b/>
          <w:bCs/>
          <w:sz w:val="20"/>
          <w:szCs w:val="20"/>
          <w:lang w:val="fr-BE"/>
        </w:rPr>
        <w:t>Infrastructures socioéconomiques de la ville de Bennichab ensablées</w:t>
      </w:r>
    </w:p>
    <w:p w14:paraId="36765F60" w14:textId="77777777" w:rsidR="005625B5" w:rsidRPr="00CE4515" w:rsidRDefault="005625B5" w:rsidP="005625B5">
      <w:pPr>
        <w:spacing w:line="276" w:lineRule="auto"/>
        <w:jc w:val="center"/>
        <w:rPr>
          <w:rFonts w:ascii="Century Gothic" w:hAnsi="Century Gothic" w:cs="Times New Roman"/>
          <w:sz w:val="24"/>
          <w:szCs w:val="24"/>
        </w:rPr>
      </w:pPr>
      <w:r w:rsidRPr="00FD184A">
        <w:rPr>
          <w:rFonts w:ascii="Century Gothic" w:hAnsi="Century Gothic" w:cs="Times New Roman"/>
          <w:noProof/>
          <w:sz w:val="24"/>
          <w:szCs w:val="24"/>
          <w:lang w:eastAsia="fr-FR"/>
        </w:rPr>
        <w:drawing>
          <wp:inline distT="0" distB="0" distL="0" distR="0" wp14:anchorId="6B1FDE07" wp14:editId="05568521">
            <wp:extent cx="5761355" cy="2232454"/>
            <wp:effectExtent l="0" t="0" r="0" b="0"/>
            <wp:docPr id="911516580" name="Image 21" descr="E:\Desktop\Restauration des terres\Ensablement Infrastructures\Inchiri\Ville de Benchab.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1" descr="E:\Desktop\Restauration des terres\Ensablement Infrastructures\Inchiri\Ville de Benchab.jpeg"/>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13945" cy="2252832"/>
                    </a:xfrm>
                    <a:prstGeom prst="rect">
                      <a:avLst/>
                    </a:prstGeom>
                    <a:noFill/>
                    <a:ln>
                      <a:noFill/>
                    </a:ln>
                  </pic:spPr>
                </pic:pic>
              </a:graphicData>
            </a:graphic>
          </wp:inline>
        </w:drawing>
      </w:r>
    </w:p>
    <w:p w14:paraId="7635AABB"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Sites Ville de Bennichab</w:t>
      </w:r>
    </w:p>
    <w:p w14:paraId="03E3C55E" w14:textId="77777777" w:rsidR="005625B5" w:rsidRPr="001839C6" w:rsidRDefault="005625B5" w:rsidP="005625B5">
      <w:pPr>
        <w:spacing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Coordonnées GPS (100 ha)</w:t>
      </w:r>
      <w:r w:rsidRPr="001839C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026"/>
        <w:gridCol w:w="3029"/>
      </w:tblGrid>
      <w:tr w:rsidR="005625B5" w:rsidRPr="005F17FF" w14:paraId="620A4806" w14:textId="77777777" w:rsidTr="00FB354B">
        <w:tc>
          <w:tcPr>
            <w:tcW w:w="3070" w:type="dxa"/>
            <w:shd w:val="clear" w:color="auto" w:fill="auto"/>
          </w:tcPr>
          <w:p w14:paraId="54175D52" w14:textId="77777777" w:rsidR="005625B5" w:rsidRPr="001839C6"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1F63F92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5959B89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73064DC2" w14:textId="77777777" w:rsidTr="00FB354B">
        <w:tc>
          <w:tcPr>
            <w:tcW w:w="3070" w:type="dxa"/>
            <w:shd w:val="clear" w:color="auto" w:fill="auto"/>
          </w:tcPr>
          <w:p w14:paraId="3F79F49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44A9C3C3"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455204.09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3FC7E76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2145578.44 mN</w:t>
            </w:r>
          </w:p>
        </w:tc>
      </w:tr>
      <w:tr w:rsidR="005625B5" w:rsidRPr="005F17FF" w14:paraId="2D99A5CA" w14:textId="77777777" w:rsidTr="00FB354B">
        <w:tc>
          <w:tcPr>
            <w:tcW w:w="3070" w:type="dxa"/>
            <w:shd w:val="clear" w:color="auto" w:fill="auto"/>
          </w:tcPr>
          <w:p w14:paraId="53E213C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231D55F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454880.61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3778BA8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2145601.52 mN</w:t>
            </w:r>
          </w:p>
        </w:tc>
      </w:tr>
      <w:tr w:rsidR="005625B5" w:rsidRPr="005F17FF" w14:paraId="57CA6866" w14:textId="77777777" w:rsidTr="00FB354B">
        <w:tc>
          <w:tcPr>
            <w:tcW w:w="3070" w:type="dxa"/>
            <w:shd w:val="clear" w:color="auto" w:fill="auto"/>
          </w:tcPr>
          <w:p w14:paraId="7A7A05C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363D9E5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458427.35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74F0DFE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2147678.46 mN</w:t>
            </w:r>
          </w:p>
        </w:tc>
      </w:tr>
      <w:tr w:rsidR="005625B5" w:rsidRPr="005F17FF" w14:paraId="5BF11815" w14:textId="77777777" w:rsidTr="00FB354B">
        <w:tc>
          <w:tcPr>
            <w:tcW w:w="3070" w:type="dxa"/>
            <w:shd w:val="clear" w:color="auto" w:fill="auto"/>
          </w:tcPr>
          <w:p w14:paraId="0B13F5F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17D091BA"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458566.93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3773437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2147890.22 mN</w:t>
            </w:r>
          </w:p>
        </w:tc>
      </w:tr>
    </w:tbl>
    <w:p w14:paraId="67114529" w14:textId="77777777" w:rsidR="005625B5" w:rsidRPr="00531B21" w:rsidRDefault="005625B5" w:rsidP="005625B5">
      <w:pPr>
        <w:spacing w:line="276" w:lineRule="auto"/>
        <w:jc w:val="both"/>
        <w:rPr>
          <w:rFonts w:ascii="Century Gothic" w:hAnsi="Century Gothic" w:cs="Times New Roman"/>
          <w:b/>
          <w:bCs/>
          <w:sz w:val="20"/>
          <w:szCs w:val="20"/>
        </w:rPr>
      </w:pPr>
      <w:r w:rsidRPr="00531B21">
        <w:rPr>
          <w:rFonts w:ascii="Century Gothic" w:hAnsi="Century Gothic" w:cs="Times New Roman"/>
          <w:b/>
          <w:bCs/>
          <w:sz w:val="20"/>
          <w:szCs w:val="20"/>
          <w:u w:val="single"/>
        </w:rPr>
        <w:t>Coordonnées GPS (90 ha)</w:t>
      </w:r>
      <w:r w:rsidRPr="00531B21">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028"/>
        <w:gridCol w:w="3031"/>
      </w:tblGrid>
      <w:tr w:rsidR="005625B5" w:rsidRPr="005F17FF" w14:paraId="65F934ED" w14:textId="77777777" w:rsidTr="00FB354B">
        <w:tc>
          <w:tcPr>
            <w:tcW w:w="3070" w:type="dxa"/>
            <w:shd w:val="clear" w:color="auto" w:fill="auto"/>
          </w:tcPr>
          <w:p w14:paraId="1C971F79" w14:textId="77777777" w:rsidR="005625B5" w:rsidRPr="005F17FF" w:rsidRDefault="005625B5" w:rsidP="00FB354B">
            <w:pPr>
              <w:spacing w:after="0" w:line="276" w:lineRule="auto"/>
              <w:jc w:val="both"/>
              <w:rPr>
                <w:rFonts w:ascii="Century Gothic" w:hAnsi="Century Gothic" w:cs="Times New Roman"/>
                <w:sz w:val="24"/>
                <w:szCs w:val="24"/>
              </w:rPr>
            </w:pPr>
          </w:p>
        </w:tc>
        <w:tc>
          <w:tcPr>
            <w:tcW w:w="3071" w:type="dxa"/>
            <w:shd w:val="clear" w:color="auto" w:fill="auto"/>
          </w:tcPr>
          <w:p w14:paraId="6C9F15CF" w14:textId="77777777" w:rsidR="005625B5" w:rsidRPr="005F17FF" w:rsidRDefault="005625B5" w:rsidP="00FB354B">
            <w:pPr>
              <w:spacing w:after="0" w:line="276" w:lineRule="auto"/>
              <w:jc w:val="center"/>
              <w:rPr>
                <w:rFonts w:ascii="Century Gothic" w:hAnsi="Century Gothic" w:cs="Times New Roman"/>
                <w:sz w:val="24"/>
                <w:szCs w:val="24"/>
              </w:rPr>
            </w:pPr>
            <w:r w:rsidRPr="005F17FF">
              <w:rPr>
                <w:rFonts w:ascii="Century Gothic" w:hAnsi="Century Gothic" w:cs="Times New Roman"/>
                <w:sz w:val="24"/>
                <w:szCs w:val="24"/>
              </w:rPr>
              <w:t>X</w:t>
            </w:r>
          </w:p>
        </w:tc>
        <w:tc>
          <w:tcPr>
            <w:tcW w:w="3071" w:type="dxa"/>
            <w:shd w:val="clear" w:color="auto" w:fill="auto"/>
          </w:tcPr>
          <w:p w14:paraId="2E149086" w14:textId="77777777" w:rsidR="005625B5" w:rsidRPr="005F17FF" w:rsidRDefault="005625B5" w:rsidP="00FB354B">
            <w:pPr>
              <w:spacing w:after="0" w:line="276" w:lineRule="auto"/>
              <w:jc w:val="center"/>
              <w:rPr>
                <w:rFonts w:ascii="Century Gothic" w:hAnsi="Century Gothic" w:cs="Times New Roman"/>
                <w:sz w:val="24"/>
                <w:szCs w:val="24"/>
              </w:rPr>
            </w:pPr>
            <w:r w:rsidRPr="005F17FF">
              <w:rPr>
                <w:rFonts w:ascii="Century Gothic" w:hAnsi="Century Gothic" w:cs="Times New Roman"/>
                <w:sz w:val="24"/>
                <w:szCs w:val="24"/>
              </w:rPr>
              <w:t>Y</w:t>
            </w:r>
          </w:p>
        </w:tc>
      </w:tr>
      <w:tr w:rsidR="005625B5" w:rsidRPr="005F17FF" w14:paraId="63AC2D0C" w14:textId="77777777" w:rsidTr="00FB354B">
        <w:tc>
          <w:tcPr>
            <w:tcW w:w="3070" w:type="dxa"/>
            <w:shd w:val="clear" w:color="auto" w:fill="auto"/>
          </w:tcPr>
          <w:p w14:paraId="2470568B" w14:textId="77777777" w:rsidR="005625B5" w:rsidRPr="005F17FF" w:rsidRDefault="005625B5" w:rsidP="00FB354B">
            <w:pPr>
              <w:spacing w:after="0" w:line="276" w:lineRule="auto"/>
              <w:jc w:val="center"/>
              <w:rPr>
                <w:rFonts w:ascii="Century Gothic" w:hAnsi="Century Gothic" w:cs="Times New Roman"/>
                <w:sz w:val="24"/>
                <w:szCs w:val="24"/>
              </w:rPr>
            </w:pPr>
            <w:r w:rsidRPr="005F17FF">
              <w:rPr>
                <w:rFonts w:ascii="Century Gothic" w:hAnsi="Century Gothic" w:cs="Times New Roman"/>
                <w:sz w:val="24"/>
                <w:szCs w:val="24"/>
              </w:rPr>
              <w:t>A</w:t>
            </w:r>
          </w:p>
        </w:tc>
        <w:tc>
          <w:tcPr>
            <w:tcW w:w="3071" w:type="dxa"/>
            <w:shd w:val="clear" w:color="auto" w:fill="auto"/>
          </w:tcPr>
          <w:p w14:paraId="04B4E24C" w14:textId="77777777" w:rsidR="005625B5" w:rsidRPr="005F17FF" w:rsidRDefault="005625B5" w:rsidP="00FB354B">
            <w:pPr>
              <w:spacing w:after="0" w:line="276" w:lineRule="auto"/>
              <w:jc w:val="center"/>
              <w:rPr>
                <w:rFonts w:ascii="Century Gothic" w:hAnsi="Century Gothic" w:cs="Times New Roman"/>
                <w:sz w:val="24"/>
                <w:szCs w:val="24"/>
              </w:rPr>
            </w:pPr>
            <w:r w:rsidRPr="005F17FF">
              <w:rPr>
                <w:rFonts w:ascii="Century Gothic" w:hAnsi="Century Gothic" w:cs="Times New Roman"/>
                <w:sz w:val="24"/>
                <w:szCs w:val="24"/>
              </w:rPr>
              <w:t xml:space="preserve">459249.80 </w:t>
            </w:r>
            <w:proofErr w:type="spellStart"/>
            <w:r w:rsidRPr="005F17FF">
              <w:rPr>
                <w:rFonts w:ascii="Century Gothic" w:hAnsi="Century Gothic" w:cs="Times New Roman"/>
                <w:sz w:val="24"/>
                <w:szCs w:val="24"/>
              </w:rPr>
              <w:t>mE</w:t>
            </w:r>
            <w:proofErr w:type="spellEnd"/>
          </w:p>
        </w:tc>
        <w:tc>
          <w:tcPr>
            <w:tcW w:w="3071" w:type="dxa"/>
            <w:shd w:val="clear" w:color="auto" w:fill="auto"/>
          </w:tcPr>
          <w:p w14:paraId="2A5A423F" w14:textId="77777777" w:rsidR="005625B5" w:rsidRPr="005F17FF" w:rsidRDefault="005625B5" w:rsidP="00FB354B">
            <w:pPr>
              <w:spacing w:after="0" w:line="276" w:lineRule="auto"/>
              <w:jc w:val="center"/>
              <w:rPr>
                <w:rFonts w:ascii="Century Gothic" w:hAnsi="Century Gothic" w:cs="Times New Roman"/>
                <w:sz w:val="24"/>
                <w:szCs w:val="24"/>
              </w:rPr>
            </w:pPr>
            <w:r w:rsidRPr="005F17FF">
              <w:rPr>
                <w:rFonts w:ascii="Century Gothic" w:hAnsi="Century Gothic" w:cs="Times New Roman"/>
                <w:sz w:val="24"/>
                <w:szCs w:val="24"/>
              </w:rPr>
              <w:t>2148806.06 mN</w:t>
            </w:r>
          </w:p>
        </w:tc>
      </w:tr>
      <w:tr w:rsidR="005625B5" w:rsidRPr="005F17FF" w14:paraId="055567F3" w14:textId="77777777" w:rsidTr="00FB354B">
        <w:tc>
          <w:tcPr>
            <w:tcW w:w="3070" w:type="dxa"/>
            <w:shd w:val="clear" w:color="auto" w:fill="auto"/>
          </w:tcPr>
          <w:p w14:paraId="5F490E1C" w14:textId="77777777" w:rsidR="005625B5" w:rsidRPr="005F17FF" w:rsidRDefault="005625B5" w:rsidP="00FB354B">
            <w:pPr>
              <w:spacing w:after="0" w:line="276" w:lineRule="auto"/>
              <w:jc w:val="center"/>
              <w:rPr>
                <w:rFonts w:ascii="Century Gothic" w:hAnsi="Century Gothic" w:cs="Times New Roman"/>
                <w:sz w:val="24"/>
                <w:szCs w:val="24"/>
              </w:rPr>
            </w:pPr>
            <w:r w:rsidRPr="005F17FF">
              <w:rPr>
                <w:rFonts w:ascii="Century Gothic" w:hAnsi="Century Gothic" w:cs="Times New Roman"/>
                <w:sz w:val="24"/>
                <w:szCs w:val="24"/>
              </w:rPr>
              <w:t>B</w:t>
            </w:r>
          </w:p>
        </w:tc>
        <w:tc>
          <w:tcPr>
            <w:tcW w:w="3071" w:type="dxa"/>
            <w:shd w:val="clear" w:color="auto" w:fill="auto"/>
          </w:tcPr>
          <w:p w14:paraId="10AF1F77" w14:textId="77777777" w:rsidR="005625B5" w:rsidRPr="005F17FF" w:rsidRDefault="005625B5" w:rsidP="00FB354B">
            <w:pPr>
              <w:spacing w:after="0" w:line="276" w:lineRule="auto"/>
              <w:jc w:val="center"/>
              <w:rPr>
                <w:rFonts w:ascii="Century Gothic" w:hAnsi="Century Gothic" w:cs="Times New Roman"/>
                <w:sz w:val="24"/>
                <w:szCs w:val="24"/>
              </w:rPr>
            </w:pPr>
            <w:r w:rsidRPr="005F17FF">
              <w:rPr>
                <w:rFonts w:ascii="Century Gothic" w:hAnsi="Century Gothic" w:cs="Times New Roman"/>
                <w:sz w:val="24"/>
                <w:szCs w:val="24"/>
              </w:rPr>
              <w:t xml:space="preserve">459014.45 </w:t>
            </w:r>
            <w:proofErr w:type="spellStart"/>
            <w:r w:rsidRPr="005F17FF">
              <w:rPr>
                <w:rFonts w:ascii="Century Gothic" w:hAnsi="Century Gothic" w:cs="Times New Roman"/>
                <w:sz w:val="24"/>
                <w:szCs w:val="24"/>
              </w:rPr>
              <w:t>mE</w:t>
            </w:r>
            <w:proofErr w:type="spellEnd"/>
          </w:p>
        </w:tc>
        <w:tc>
          <w:tcPr>
            <w:tcW w:w="3071" w:type="dxa"/>
            <w:shd w:val="clear" w:color="auto" w:fill="auto"/>
          </w:tcPr>
          <w:p w14:paraId="2956E329" w14:textId="77777777" w:rsidR="005625B5" w:rsidRPr="005F17FF" w:rsidRDefault="005625B5" w:rsidP="00FB354B">
            <w:pPr>
              <w:spacing w:after="0" w:line="276" w:lineRule="auto"/>
              <w:jc w:val="center"/>
              <w:rPr>
                <w:rFonts w:ascii="Century Gothic" w:hAnsi="Century Gothic" w:cs="Times New Roman"/>
                <w:sz w:val="24"/>
                <w:szCs w:val="24"/>
              </w:rPr>
            </w:pPr>
            <w:r w:rsidRPr="005F17FF">
              <w:rPr>
                <w:rFonts w:ascii="Century Gothic" w:hAnsi="Century Gothic" w:cs="Times New Roman"/>
                <w:sz w:val="24"/>
                <w:szCs w:val="24"/>
              </w:rPr>
              <w:t>2149044.52 mN</w:t>
            </w:r>
          </w:p>
        </w:tc>
      </w:tr>
      <w:tr w:rsidR="005625B5" w:rsidRPr="005F17FF" w14:paraId="4F5D4549" w14:textId="77777777" w:rsidTr="00FB354B">
        <w:tc>
          <w:tcPr>
            <w:tcW w:w="3070" w:type="dxa"/>
            <w:shd w:val="clear" w:color="auto" w:fill="auto"/>
          </w:tcPr>
          <w:p w14:paraId="388196C4" w14:textId="77777777" w:rsidR="005625B5" w:rsidRPr="005F17FF" w:rsidRDefault="005625B5" w:rsidP="00FB354B">
            <w:pPr>
              <w:spacing w:after="0" w:line="276" w:lineRule="auto"/>
              <w:jc w:val="center"/>
              <w:rPr>
                <w:rFonts w:ascii="Century Gothic" w:hAnsi="Century Gothic" w:cs="Times New Roman"/>
                <w:sz w:val="24"/>
                <w:szCs w:val="24"/>
              </w:rPr>
            </w:pPr>
            <w:r w:rsidRPr="005F17FF">
              <w:rPr>
                <w:rFonts w:ascii="Century Gothic" w:hAnsi="Century Gothic" w:cs="Times New Roman"/>
                <w:sz w:val="24"/>
                <w:szCs w:val="24"/>
              </w:rPr>
              <w:t>C</w:t>
            </w:r>
          </w:p>
        </w:tc>
        <w:tc>
          <w:tcPr>
            <w:tcW w:w="3071" w:type="dxa"/>
            <w:shd w:val="clear" w:color="auto" w:fill="auto"/>
          </w:tcPr>
          <w:p w14:paraId="5E81AD9A" w14:textId="77777777" w:rsidR="005625B5" w:rsidRPr="005F17FF" w:rsidRDefault="005625B5" w:rsidP="00FB354B">
            <w:pPr>
              <w:spacing w:after="0" w:line="276" w:lineRule="auto"/>
              <w:jc w:val="center"/>
              <w:rPr>
                <w:rFonts w:ascii="Century Gothic" w:hAnsi="Century Gothic" w:cs="Times New Roman"/>
                <w:sz w:val="24"/>
                <w:szCs w:val="24"/>
              </w:rPr>
            </w:pPr>
            <w:r w:rsidRPr="005F17FF">
              <w:rPr>
                <w:rFonts w:ascii="Century Gothic" w:hAnsi="Century Gothic" w:cs="Times New Roman"/>
                <w:sz w:val="24"/>
                <w:szCs w:val="24"/>
              </w:rPr>
              <w:t xml:space="preserve">462355.60 </w:t>
            </w:r>
            <w:proofErr w:type="spellStart"/>
            <w:r w:rsidRPr="005F17FF">
              <w:rPr>
                <w:rFonts w:ascii="Century Gothic" w:hAnsi="Century Gothic" w:cs="Times New Roman"/>
                <w:sz w:val="24"/>
                <w:szCs w:val="24"/>
              </w:rPr>
              <w:t>mE</w:t>
            </w:r>
            <w:proofErr w:type="spellEnd"/>
          </w:p>
        </w:tc>
        <w:tc>
          <w:tcPr>
            <w:tcW w:w="3071" w:type="dxa"/>
            <w:shd w:val="clear" w:color="auto" w:fill="auto"/>
          </w:tcPr>
          <w:p w14:paraId="2FEDC2F7" w14:textId="77777777" w:rsidR="005625B5" w:rsidRPr="005F17FF" w:rsidRDefault="005625B5" w:rsidP="00FB354B">
            <w:pPr>
              <w:spacing w:after="0" w:line="276" w:lineRule="auto"/>
              <w:jc w:val="center"/>
              <w:rPr>
                <w:rFonts w:ascii="Century Gothic" w:hAnsi="Century Gothic" w:cs="Times New Roman"/>
                <w:sz w:val="24"/>
                <w:szCs w:val="24"/>
              </w:rPr>
            </w:pPr>
            <w:r w:rsidRPr="005F17FF">
              <w:rPr>
                <w:rFonts w:ascii="Century Gothic" w:hAnsi="Century Gothic" w:cs="Times New Roman"/>
                <w:sz w:val="24"/>
                <w:szCs w:val="24"/>
              </w:rPr>
              <w:t>2150690.34 mN</w:t>
            </w:r>
          </w:p>
        </w:tc>
      </w:tr>
      <w:tr w:rsidR="005625B5" w:rsidRPr="005F17FF" w14:paraId="13B744DC" w14:textId="77777777" w:rsidTr="00FB354B">
        <w:tc>
          <w:tcPr>
            <w:tcW w:w="3070" w:type="dxa"/>
            <w:shd w:val="clear" w:color="auto" w:fill="auto"/>
          </w:tcPr>
          <w:p w14:paraId="4837ED44" w14:textId="77777777" w:rsidR="005625B5" w:rsidRPr="005F17FF" w:rsidRDefault="005625B5" w:rsidP="00FB354B">
            <w:pPr>
              <w:spacing w:after="0" w:line="276" w:lineRule="auto"/>
              <w:jc w:val="center"/>
              <w:rPr>
                <w:rFonts w:ascii="Century Gothic" w:hAnsi="Century Gothic" w:cs="Times New Roman"/>
                <w:sz w:val="24"/>
                <w:szCs w:val="24"/>
              </w:rPr>
            </w:pPr>
            <w:r w:rsidRPr="005F17FF">
              <w:rPr>
                <w:rFonts w:ascii="Century Gothic" w:hAnsi="Century Gothic" w:cs="Times New Roman"/>
                <w:sz w:val="24"/>
                <w:szCs w:val="24"/>
              </w:rPr>
              <w:t>D</w:t>
            </w:r>
          </w:p>
        </w:tc>
        <w:tc>
          <w:tcPr>
            <w:tcW w:w="3071" w:type="dxa"/>
            <w:shd w:val="clear" w:color="auto" w:fill="auto"/>
          </w:tcPr>
          <w:p w14:paraId="24962B30" w14:textId="77777777" w:rsidR="005625B5" w:rsidRPr="005F17FF" w:rsidRDefault="005625B5" w:rsidP="00FB354B">
            <w:pPr>
              <w:spacing w:after="0" w:line="276" w:lineRule="auto"/>
              <w:jc w:val="center"/>
              <w:rPr>
                <w:rFonts w:ascii="Century Gothic" w:hAnsi="Century Gothic" w:cs="Times New Roman"/>
                <w:sz w:val="24"/>
                <w:szCs w:val="24"/>
              </w:rPr>
            </w:pPr>
            <w:r w:rsidRPr="005F17FF">
              <w:rPr>
                <w:rFonts w:ascii="Century Gothic" w:hAnsi="Century Gothic" w:cs="Times New Roman"/>
                <w:sz w:val="24"/>
                <w:szCs w:val="24"/>
              </w:rPr>
              <w:t xml:space="preserve">462382.80 </w:t>
            </w:r>
            <w:proofErr w:type="spellStart"/>
            <w:r w:rsidRPr="005F17FF">
              <w:rPr>
                <w:rFonts w:ascii="Century Gothic" w:hAnsi="Century Gothic" w:cs="Times New Roman"/>
                <w:sz w:val="24"/>
                <w:szCs w:val="24"/>
              </w:rPr>
              <w:t>mE</w:t>
            </w:r>
            <w:proofErr w:type="spellEnd"/>
          </w:p>
        </w:tc>
        <w:tc>
          <w:tcPr>
            <w:tcW w:w="3071" w:type="dxa"/>
            <w:shd w:val="clear" w:color="auto" w:fill="auto"/>
          </w:tcPr>
          <w:p w14:paraId="30038FFA" w14:textId="77777777" w:rsidR="005625B5" w:rsidRPr="005F17FF" w:rsidRDefault="005625B5" w:rsidP="00FB354B">
            <w:pPr>
              <w:spacing w:after="0" w:line="276" w:lineRule="auto"/>
              <w:jc w:val="center"/>
              <w:rPr>
                <w:rFonts w:ascii="Century Gothic" w:hAnsi="Century Gothic" w:cs="Times New Roman"/>
                <w:sz w:val="24"/>
                <w:szCs w:val="24"/>
              </w:rPr>
            </w:pPr>
            <w:r w:rsidRPr="005F17FF">
              <w:rPr>
                <w:rFonts w:ascii="Century Gothic" w:hAnsi="Century Gothic" w:cs="Times New Roman"/>
                <w:sz w:val="24"/>
                <w:szCs w:val="24"/>
              </w:rPr>
              <w:t>2150371.24 mN</w:t>
            </w:r>
          </w:p>
        </w:tc>
      </w:tr>
    </w:tbl>
    <w:p w14:paraId="78D979FE" w14:textId="77777777" w:rsidR="005625B5" w:rsidRPr="00CE4515" w:rsidRDefault="005625B5" w:rsidP="005625B5">
      <w:pPr>
        <w:spacing w:line="276" w:lineRule="auto"/>
        <w:jc w:val="both"/>
        <w:rPr>
          <w:rFonts w:ascii="Century Gothic" w:hAnsi="Century Gothic" w:cs="Times New Roman"/>
          <w:sz w:val="24"/>
          <w:szCs w:val="24"/>
        </w:rPr>
      </w:pPr>
    </w:p>
    <w:p w14:paraId="4A2A0FD1" w14:textId="77777777" w:rsidR="005625B5" w:rsidRPr="00CE4515" w:rsidRDefault="005625B5" w:rsidP="005625B5">
      <w:pPr>
        <w:spacing w:line="276" w:lineRule="auto"/>
        <w:jc w:val="center"/>
        <w:rPr>
          <w:rFonts w:ascii="Century Gothic" w:hAnsi="Century Gothic" w:cs="Times New Roman"/>
          <w:sz w:val="24"/>
          <w:szCs w:val="24"/>
        </w:rPr>
      </w:pPr>
      <w:r w:rsidRPr="00FD184A">
        <w:rPr>
          <w:rFonts w:ascii="Century Gothic" w:hAnsi="Century Gothic" w:cs="Times New Roman"/>
          <w:noProof/>
          <w:sz w:val="24"/>
          <w:szCs w:val="24"/>
        </w:rPr>
        <w:drawing>
          <wp:inline distT="0" distB="0" distL="0" distR="0" wp14:anchorId="4A3C1808" wp14:editId="7E72B515">
            <wp:extent cx="5634990" cy="3460750"/>
            <wp:effectExtent l="0" t="0" r="0" b="0"/>
            <wp:docPr id="1832959559" name="Image 20" descr="E:\Desktop\Restauration des terres\Ensablement Infrastructures\Inchiri\Route Benichab.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0" descr="E:\Desktop\Restauration des terres\Ensablement Infrastructures\Inchiri\Route Benichab.jpeg"/>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34990" cy="3460750"/>
                    </a:xfrm>
                    <a:prstGeom prst="rect">
                      <a:avLst/>
                    </a:prstGeom>
                    <a:noFill/>
                    <a:ln>
                      <a:noFill/>
                    </a:ln>
                  </pic:spPr>
                </pic:pic>
              </a:graphicData>
            </a:graphic>
          </wp:inline>
        </w:drawing>
      </w:r>
    </w:p>
    <w:p w14:paraId="4AAD9938"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Site Route de Bennichab</w:t>
      </w:r>
    </w:p>
    <w:p w14:paraId="00DBE073" w14:textId="77777777" w:rsidR="005625B5" w:rsidRPr="001839C6" w:rsidRDefault="005625B5" w:rsidP="005625B5">
      <w:pPr>
        <w:spacing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Coordonnées GPS (Route de Bennichab)</w:t>
      </w:r>
      <w:r w:rsidRPr="001839C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026"/>
        <w:gridCol w:w="3029"/>
      </w:tblGrid>
      <w:tr w:rsidR="005625B5" w:rsidRPr="005F17FF" w14:paraId="4211C588" w14:textId="77777777" w:rsidTr="00FB354B">
        <w:tc>
          <w:tcPr>
            <w:tcW w:w="3070" w:type="dxa"/>
            <w:shd w:val="clear" w:color="auto" w:fill="auto"/>
          </w:tcPr>
          <w:p w14:paraId="0E3E4CDC" w14:textId="77777777" w:rsidR="005625B5" w:rsidRPr="001839C6"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0717466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22F592E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07807249" w14:textId="77777777" w:rsidTr="00FB354B">
        <w:tc>
          <w:tcPr>
            <w:tcW w:w="3070" w:type="dxa"/>
            <w:shd w:val="clear" w:color="auto" w:fill="auto"/>
          </w:tcPr>
          <w:p w14:paraId="3ED3BC2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5BE6CA5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458741.24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3FED23BA"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2149054.05 mN</w:t>
            </w:r>
          </w:p>
        </w:tc>
      </w:tr>
      <w:tr w:rsidR="005625B5" w:rsidRPr="005F17FF" w14:paraId="2CBF5BA6" w14:textId="77777777" w:rsidTr="00FB354B">
        <w:tc>
          <w:tcPr>
            <w:tcW w:w="3070" w:type="dxa"/>
            <w:shd w:val="clear" w:color="auto" w:fill="auto"/>
          </w:tcPr>
          <w:p w14:paraId="65AD1A9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3CE1AB9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458827.21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38804AB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2149157.93 mN</w:t>
            </w:r>
          </w:p>
        </w:tc>
      </w:tr>
      <w:tr w:rsidR="005625B5" w:rsidRPr="005F17FF" w14:paraId="313D7F68" w14:textId="77777777" w:rsidTr="00FB354B">
        <w:tc>
          <w:tcPr>
            <w:tcW w:w="3070" w:type="dxa"/>
            <w:shd w:val="clear" w:color="auto" w:fill="auto"/>
          </w:tcPr>
          <w:p w14:paraId="442BAADF"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5A47165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456837.04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7431B01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2149998.24 mN</w:t>
            </w:r>
          </w:p>
        </w:tc>
      </w:tr>
      <w:tr w:rsidR="005625B5" w:rsidRPr="005F17FF" w14:paraId="7F5D3394" w14:textId="77777777" w:rsidTr="00FB354B">
        <w:tc>
          <w:tcPr>
            <w:tcW w:w="3070" w:type="dxa"/>
            <w:shd w:val="clear" w:color="auto" w:fill="auto"/>
          </w:tcPr>
          <w:p w14:paraId="1F4D87D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7C60C20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456945.89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27017E7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2150124.97 mN</w:t>
            </w:r>
          </w:p>
        </w:tc>
      </w:tr>
    </w:tbl>
    <w:p w14:paraId="3590B63E" w14:textId="77777777" w:rsidR="005625B5" w:rsidRPr="00AE6627"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sidRPr="00AE6627">
        <w:rPr>
          <w:rFonts w:ascii="Century Gothic" w:eastAsia="Times New Roman" w:hAnsi="Century Gothic" w:cs="Times New Roman"/>
          <w:b/>
          <w:bCs/>
          <w:sz w:val="24"/>
          <w:szCs w:val="24"/>
          <w:lang w:eastAsia="wo-SN"/>
        </w:rPr>
        <w:t xml:space="preserve">Site de M’Hayjratt : </w:t>
      </w:r>
    </w:p>
    <w:p w14:paraId="0BAC3D92" w14:textId="77777777" w:rsidR="005625B5" w:rsidRPr="00AE6627"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69C2C3BB" w14:textId="31ACD569"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Mhayjratt   </w:t>
      </w:r>
      <w:r w:rsidRPr="001839C6">
        <w:rPr>
          <w:rFonts w:ascii="Century Gothic" w:hAnsi="Century Gothic" w:cs="Times New Roman"/>
          <w:sz w:val="24"/>
          <w:szCs w:val="24"/>
        </w:rPr>
        <w:tab/>
      </w:r>
      <w:r w:rsidR="00182E17">
        <w:rPr>
          <w:rFonts w:ascii="Century Gothic" w:hAnsi="Century Gothic" w:cs="Times New Roman"/>
          <w:sz w:val="24"/>
          <w:szCs w:val="24"/>
        </w:rPr>
        <w:t xml:space="preserve">      </w:t>
      </w:r>
      <w:r w:rsidRPr="001839C6">
        <w:rPr>
          <w:rFonts w:ascii="Century Gothic" w:hAnsi="Century Gothic" w:cs="Times New Roman"/>
          <w:sz w:val="24"/>
          <w:szCs w:val="24"/>
          <w:u w:val="single"/>
        </w:rPr>
        <w:t>Moughataa</w:t>
      </w:r>
      <w:r w:rsidRPr="001839C6">
        <w:rPr>
          <w:rFonts w:ascii="Century Gothic" w:hAnsi="Century Gothic" w:cs="Times New Roman"/>
          <w:sz w:val="24"/>
          <w:szCs w:val="24"/>
        </w:rPr>
        <w:t xml:space="preserve"> : Mhayjratt   </w:t>
      </w:r>
      <w:r w:rsidRPr="001839C6">
        <w:rPr>
          <w:rFonts w:ascii="Century Gothic" w:hAnsi="Century Gothic" w:cs="Times New Roman"/>
          <w:sz w:val="24"/>
          <w:szCs w:val="24"/>
        </w:rPr>
        <w:tab/>
      </w:r>
      <w:r w:rsidRPr="001839C6">
        <w:rPr>
          <w:rFonts w:ascii="Century Gothic" w:hAnsi="Century Gothic" w:cs="Times New Roman"/>
          <w:sz w:val="24"/>
          <w:szCs w:val="24"/>
        </w:rPr>
        <w:tab/>
      </w:r>
      <w:r w:rsidRPr="001839C6">
        <w:rPr>
          <w:rFonts w:ascii="Century Gothic" w:hAnsi="Century Gothic" w:cs="Times New Roman"/>
          <w:sz w:val="24"/>
          <w:szCs w:val="24"/>
          <w:u w:val="single"/>
        </w:rPr>
        <w:t>Wilaya</w:t>
      </w:r>
      <w:r w:rsidRPr="001839C6">
        <w:rPr>
          <w:rFonts w:ascii="Century Gothic" w:hAnsi="Century Gothic" w:cs="Times New Roman"/>
          <w:sz w:val="24"/>
          <w:szCs w:val="24"/>
        </w:rPr>
        <w:t xml:space="preserve"> : Inchiri  </w:t>
      </w:r>
    </w:p>
    <w:p w14:paraId="341C5651" w14:textId="77777777" w:rsidR="00182E17" w:rsidRDefault="005625B5" w:rsidP="002E60E7">
      <w:pPr>
        <w:spacing w:line="276" w:lineRule="auto"/>
        <w:jc w:val="center"/>
        <w:rPr>
          <w:rFonts w:ascii="Century Gothic" w:hAnsi="Century Gothic" w:cs="Times New Roman"/>
          <w:b/>
          <w:sz w:val="24"/>
          <w:szCs w:val="24"/>
        </w:rPr>
      </w:pPr>
      <w:r w:rsidRPr="00FD184A">
        <w:rPr>
          <w:rFonts w:ascii="Times New Roman" w:hAnsi="Times New Roman" w:cs="Times New Roman"/>
          <w:noProof/>
          <w:sz w:val="24"/>
          <w:szCs w:val="24"/>
          <w:lang w:eastAsia="fr-FR"/>
        </w:rPr>
        <w:drawing>
          <wp:inline distT="0" distB="0" distL="0" distR="0" wp14:anchorId="1199E017" wp14:editId="4953A880">
            <wp:extent cx="3079837" cy="2592126"/>
            <wp:effectExtent l="0" t="0" r="6350" b="0"/>
            <wp:docPr id="1713007061" name="Image 19" descr="E:\Desktop\Restauration des terres\Ensablement Infrastructures\Inchiri\Mhayjratt\Photos Mhayjratt\phone mhayjratt\IMG_00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9" descr="E:\Desktop\Restauration des terres\Ensablement Infrastructures\Inchiri\Mhayjratt\Photos Mhayjratt\phone mhayjratt\IMG_0050.JPG"/>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27829" cy="2632518"/>
                    </a:xfrm>
                    <a:prstGeom prst="rect">
                      <a:avLst/>
                    </a:prstGeom>
                    <a:noFill/>
                    <a:ln>
                      <a:noFill/>
                    </a:ln>
                  </pic:spPr>
                </pic:pic>
              </a:graphicData>
            </a:graphic>
          </wp:inline>
        </w:drawing>
      </w:r>
    </w:p>
    <w:p w14:paraId="6FDBD7E3" w14:textId="5EF690C2" w:rsidR="005625B5" w:rsidRPr="00AE6627" w:rsidRDefault="005625B5" w:rsidP="005625B5">
      <w:pPr>
        <w:spacing w:line="276" w:lineRule="auto"/>
        <w:jc w:val="center"/>
        <w:rPr>
          <w:rFonts w:ascii="Century Gothic" w:hAnsi="Century Gothic" w:cs="Times New Roman"/>
          <w:b/>
          <w:sz w:val="24"/>
          <w:szCs w:val="24"/>
        </w:rPr>
      </w:pPr>
      <w:r w:rsidRPr="00FD184A">
        <w:rPr>
          <w:rFonts w:ascii="Century Gothic" w:hAnsi="Century Gothic" w:cs="Times New Roman"/>
          <w:b/>
          <w:noProof/>
          <w:sz w:val="24"/>
          <w:szCs w:val="24"/>
          <w:lang w:eastAsia="fr-FR"/>
        </w:rPr>
        <w:drawing>
          <wp:inline distT="0" distB="0" distL="0" distR="0" wp14:anchorId="6442B0D2" wp14:editId="289F8B08">
            <wp:extent cx="3270885" cy="1940119"/>
            <wp:effectExtent l="0" t="0" r="5715" b="3175"/>
            <wp:docPr id="1868093925" name="Image 18" descr="E:\Desktop\Restauration des terres\Ensablement Infrastructures\Inchiri\Mhayjratt\Ville de Mhayjrat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8" descr="E:\Desktop\Restauration des terres\Ensablement Infrastructures\Inchiri\Mhayjratt\Ville de Mhayjratt.jpeg"/>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14479" cy="1965977"/>
                    </a:xfrm>
                    <a:prstGeom prst="rect">
                      <a:avLst/>
                    </a:prstGeom>
                    <a:noFill/>
                    <a:ln>
                      <a:noFill/>
                    </a:ln>
                  </pic:spPr>
                </pic:pic>
              </a:graphicData>
            </a:graphic>
          </wp:inline>
        </w:drawing>
      </w:r>
    </w:p>
    <w:p w14:paraId="5FF62270"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 xml:space="preserve">Site Ville de Mhayjratt (25 ha)  </w:t>
      </w:r>
    </w:p>
    <w:p w14:paraId="00941003" w14:textId="77777777" w:rsidR="005625B5" w:rsidRPr="00AE6627" w:rsidRDefault="005625B5" w:rsidP="005625B5">
      <w:pPr>
        <w:spacing w:line="276" w:lineRule="auto"/>
        <w:jc w:val="both"/>
        <w:rPr>
          <w:rFonts w:ascii="Century Gothic" w:hAnsi="Century Gothic" w:cs="Times New Roman"/>
          <w:b/>
          <w:bCs/>
          <w:sz w:val="20"/>
          <w:szCs w:val="20"/>
        </w:rPr>
      </w:pPr>
      <w:r w:rsidRPr="00AE6627">
        <w:rPr>
          <w:rFonts w:ascii="Century Gothic" w:hAnsi="Century Gothic" w:cs="Times New Roman"/>
          <w:b/>
          <w:bCs/>
          <w:sz w:val="20"/>
          <w:szCs w:val="20"/>
          <w:u w:val="single"/>
        </w:rPr>
        <w:t>Coordonnées GPS</w:t>
      </w:r>
      <w:r w:rsidRPr="00AE6627">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026"/>
        <w:gridCol w:w="3029"/>
      </w:tblGrid>
      <w:tr w:rsidR="005625B5" w:rsidRPr="005F17FF" w14:paraId="5D325210" w14:textId="77777777" w:rsidTr="00FB354B">
        <w:tc>
          <w:tcPr>
            <w:tcW w:w="3070" w:type="dxa"/>
            <w:shd w:val="clear" w:color="auto" w:fill="auto"/>
          </w:tcPr>
          <w:p w14:paraId="4B36F717" w14:textId="77777777" w:rsidR="005625B5" w:rsidRPr="005F17FF"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16B2097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4721226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4F9A9D30" w14:textId="77777777" w:rsidTr="00FB354B">
        <w:tc>
          <w:tcPr>
            <w:tcW w:w="3070" w:type="dxa"/>
            <w:shd w:val="clear" w:color="auto" w:fill="auto"/>
          </w:tcPr>
          <w:p w14:paraId="6E831EE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3746789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375702.76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258DE51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2103390.62 mN</w:t>
            </w:r>
          </w:p>
        </w:tc>
      </w:tr>
      <w:tr w:rsidR="005625B5" w:rsidRPr="005F17FF" w14:paraId="435ADD14" w14:textId="77777777" w:rsidTr="00FB354B">
        <w:tc>
          <w:tcPr>
            <w:tcW w:w="3070" w:type="dxa"/>
            <w:shd w:val="clear" w:color="auto" w:fill="auto"/>
          </w:tcPr>
          <w:p w14:paraId="798D219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364F627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375826.43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1E80842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2103343.74 mN</w:t>
            </w:r>
          </w:p>
        </w:tc>
      </w:tr>
      <w:tr w:rsidR="005625B5" w:rsidRPr="005F17FF" w14:paraId="0F2AFC8C" w14:textId="77777777" w:rsidTr="00FB354B">
        <w:tc>
          <w:tcPr>
            <w:tcW w:w="3070" w:type="dxa"/>
            <w:shd w:val="clear" w:color="auto" w:fill="auto"/>
          </w:tcPr>
          <w:p w14:paraId="0FE02D5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2638641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376043.88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5C644EA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2105337.85 mN</w:t>
            </w:r>
          </w:p>
        </w:tc>
      </w:tr>
      <w:tr w:rsidR="005625B5" w:rsidRPr="005F17FF" w14:paraId="2D88A116" w14:textId="77777777" w:rsidTr="00FB354B">
        <w:tc>
          <w:tcPr>
            <w:tcW w:w="3070" w:type="dxa"/>
            <w:shd w:val="clear" w:color="auto" w:fill="auto"/>
          </w:tcPr>
          <w:p w14:paraId="7F27351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1E2C8FF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375911.95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2E9BE40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2105295.32 mN</w:t>
            </w:r>
          </w:p>
        </w:tc>
      </w:tr>
    </w:tbl>
    <w:p w14:paraId="1401D32D"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250F0FD5" w14:textId="77777777" w:rsidR="005625B5" w:rsidRPr="00D1719E"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sidRPr="00D1719E">
        <w:rPr>
          <w:rFonts w:ascii="Century Gothic" w:eastAsia="Times New Roman" w:hAnsi="Century Gothic" w:cs="Times New Roman"/>
          <w:b/>
          <w:bCs/>
          <w:sz w:val="24"/>
          <w:szCs w:val="24"/>
          <w:lang w:eastAsia="wo-SN"/>
        </w:rPr>
        <w:t xml:space="preserve">Site de Tanit : </w:t>
      </w:r>
    </w:p>
    <w:p w14:paraId="4DDF37D8" w14:textId="77777777" w:rsidR="005625B5" w:rsidRPr="00350960" w:rsidRDefault="005625B5" w:rsidP="005625B5">
      <w:pPr>
        <w:spacing w:after="0" w:line="276" w:lineRule="auto"/>
        <w:jc w:val="both"/>
        <w:rPr>
          <w:rFonts w:ascii="Century Gothic" w:hAnsi="Century Gothic" w:cs="Times New Roman"/>
          <w:sz w:val="6"/>
          <w:szCs w:val="6"/>
          <w:u w:val="single"/>
        </w:rPr>
      </w:pPr>
    </w:p>
    <w:p w14:paraId="076E2EAA" w14:textId="4E83E719" w:rsidR="005625B5" w:rsidRDefault="005625B5" w:rsidP="005625B5">
      <w:pPr>
        <w:spacing w:after="0" w:line="276" w:lineRule="auto"/>
        <w:jc w:val="both"/>
        <w:rPr>
          <w:rFonts w:ascii="Century Gothic" w:hAnsi="Century Gothic" w:cs="Times New Roman"/>
          <w:sz w:val="24"/>
          <w:szCs w:val="24"/>
        </w:rPr>
      </w:pPr>
      <w:r w:rsidRPr="00D1719E">
        <w:rPr>
          <w:rFonts w:ascii="Century Gothic" w:hAnsi="Century Gothic" w:cs="Times New Roman"/>
          <w:sz w:val="24"/>
          <w:szCs w:val="24"/>
          <w:u w:val="single"/>
        </w:rPr>
        <w:t>Commune</w:t>
      </w:r>
      <w:r w:rsidRPr="00D1719E">
        <w:rPr>
          <w:rFonts w:ascii="Century Gothic" w:hAnsi="Century Gothic" w:cs="Times New Roman"/>
          <w:sz w:val="24"/>
          <w:szCs w:val="24"/>
        </w:rPr>
        <w:t xml:space="preserve"> : Mhayjratt   </w:t>
      </w:r>
      <w:r w:rsidRPr="00D1719E">
        <w:rPr>
          <w:rFonts w:ascii="Century Gothic" w:hAnsi="Century Gothic" w:cs="Times New Roman"/>
          <w:sz w:val="24"/>
          <w:szCs w:val="24"/>
        </w:rPr>
        <w:tab/>
      </w:r>
      <w:r w:rsidRPr="00D1719E">
        <w:rPr>
          <w:rFonts w:ascii="Century Gothic" w:hAnsi="Century Gothic" w:cs="Times New Roman"/>
          <w:sz w:val="24"/>
          <w:szCs w:val="24"/>
        </w:rPr>
        <w:tab/>
      </w:r>
      <w:r w:rsidRPr="00D1719E">
        <w:rPr>
          <w:rFonts w:ascii="Century Gothic" w:hAnsi="Century Gothic" w:cs="Times New Roman"/>
          <w:sz w:val="24"/>
          <w:szCs w:val="24"/>
          <w:u w:val="single"/>
        </w:rPr>
        <w:t>Moughataa</w:t>
      </w:r>
      <w:r w:rsidRPr="00D1719E">
        <w:rPr>
          <w:rFonts w:ascii="Century Gothic" w:hAnsi="Century Gothic" w:cs="Times New Roman"/>
          <w:sz w:val="24"/>
          <w:szCs w:val="24"/>
        </w:rPr>
        <w:t xml:space="preserve"> : Mhayjratt   </w:t>
      </w:r>
      <w:r w:rsidRPr="00D1719E">
        <w:rPr>
          <w:rFonts w:ascii="Century Gothic" w:hAnsi="Century Gothic" w:cs="Times New Roman"/>
          <w:sz w:val="24"/>
          <w:szCs w:val="24"/>
        </w:rPr>
        <w:tab/>
      </w:r>
      <w:r w:rsidRPr="00D1719E">
        <w:rPr>
          <w:rFonts w:ascii="Century Gothic" w:hAnsi="Century Gothic" w:cs="Times New Roman"/>
          <w:sz w:val="24"/>
          <w:szCs w:val="24"/>
          <w:u w:val="single"/>
        </w:rPr>
        <w:t>Wilaya</w:t>
      </w:r>
      <w:r w:rsidRPr="00D1719E">
        <w:rPr>
          <w:rFonts w:ascii="Century Gothic" w:hAnsi="Century Gothic" w:cs="Times New Roman"/>
          <w:sz w:val="24"/>
          <w:szCs w:val="24"/>
        </w:rPr>
        <w:t xml:space="preserve"> : Inchiri </w:t>
      </w:r>
    </w:p>
    <w:p w14:paraId="2900F764" w14:textId="77777777" w:rsidR="005625B5" w:rsidRPr="00D1719E" w:rsidRDefault="005625B5" w:rsidP="005625B5">
      <w:pPr>
        <w:spacing w:after="0" w:line="276" w:lineRule="auto"/>
        <w:jc w:val="both"/>
        <w:rPr>
          <w:rFonts w:ascii="Century Gothic" w:hAnsi="Century Gothic" w:cs="Times New Roman"/>
          <w:sz w:val="24"/>
          <w:szCs w:val="24"/>
        </w:rPr>
      </w:pPr>
      <w:r w:rsidRPr="00D1719E">
        <w:rPr>
          <w:rFonts w:ascii="Century Gothic" w:hAnsi="Century Gothic" w:cs="Times New Roman"/>
          <w:sz w:val="24"/>
          <w:szCs w:val="24"/>
        </w:rPr>
        <w:t xml:space="preserve"> </w:t>
      </w:r>
    </w:p>
    <w:p w14:paraId="251F83AF" w14:textId="35458EA3" w:rsidR="005625B5" w:rsidRPr="00D1719E" w:rsidRDefault="005625B5" w:rsidP="005625B5">
      <w:pPr>
        <w:spacing w:after="0" w:line="276" w:lineRule="auto"/>
        <w:jc w:val="center"/>
        <w:rPr>
          <w:rFonts w:ascii="Century Gothic" w:hAnsi="Century Gothic" w:cs="Times New Roman"/>
          <w:b/>
          <w:sz w:val="24"/>
          <w:szCs w:val="24"/>
        </w:rPr>
      </w:pPr>
      <w:r w:rsidRPr="00FD184A">
        <w:rPr>
          <w:rFonts w:ascii="Century Gothic" w:hAnsi="Century Gothic" w:cs="Times New Roman"/>
          <w:b/>
          <w:noProof/>
          <w:sz w:val="24"/>
          <w:szCs w:val="24"/>
          <w:lang w:eastAsia="fr-FR"/>
        </w:rPr>
        <w:drawing>
          <wp:inline distT="0" distB="0" distL="0" distR="0" wp14:anchorId="1B3117CC" wp14:editId="49D8D25C">
            <wp:extent cx="3598984" cy="1876508"/>
            <wp:effectExtent l="0" t="0" r="1905" b="0"/>
            <wp:docPr id="829321701" name="Image 16" descr="E:\Desktop\Restauration des terres\Ensablement Infrastructures\Inchiri\Port de Tani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6" descr="E:\Desktop\Restauration des terres\Ensablement Infrastructures\Inchiri\Port de Tanit.jpeg"/>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15580" cy="1885161"/>
                    </a:xfrm>
                    <a:prstGeom prst="rect">
                      <a:avLst/>
                    </a:prstGeom>
                    <a:noFill/>
                    <a:ln>
                      <a:noFill/>
                    </a:ln>
                  </pic:spPr>
                </pic:pic>
              </a:graphicData>
            </a:graphic>
          </wp:inline>
        </w:drawing>
      </w:r>
    </w:p>
    <w:p w14:paraId="450B8792" w14:textId="77777777" w:rsidR="005625B5" w:rsidRPr="001839C6" w:rsidRDefault="005625B5" w:rsidP="005625B5">
      <w:pPr>
        <w:spacing w:after="0" w:line="276" w:lineRule="auto"/>
        <w:jc w:val="center"/>
        <w:rPr>
          <w:rFonts w:ascii="Century Gothic" w:hAnsi="Century Gothic" w:cs="Times New Roman"/>
          <w:b/>
          <w:sz w:val="20"/>
          <w:szCs w:val="20"/>
        </w:rPr>
      </w:pPr>
      <w:r w:rsidRPr="001839C6">
        <w:rPr>
          <w:rFonts w:ascii="Century Gothic" w:hAnsi="Century Gothic" w:cs="Times New Roman"/>
          <w:b/>
          <w:sz w:val="20"/>
          <w:szCs w:val="20"/>
        </w:rPr>
        <w:t xml:space="preserve">Sites du Port de TANIT </w:t>
      </w:r>
    </w:p>
    <w:p w14:paraId="665CD250" w14:textId="77777777" w:rsidR="005625B5" w:rsidRPr="001839C6" w:rsidRDefault="005625B5" w:rsidP="005625B5">
      <w:pPr>
        <w:spacing w:after="0"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Coordonnées GPS (5 ha)</w:t>
      </w:r>
      <w:r w:rsidRPr="001839C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026"/>
        <w:gridCol w:w="3029"/>
      </w:tblGrid>
      <w:tr w:rsidR="005625B5" w:rsidRPr="005F17FF" w14:paraId="169B09A5" w14:textId="77777777" w:rsidTr="00FB354B">
        <w:tc>
          <w:tcPr>
            <w:tcW w:w="3070" w:type="dxa"/>
            <w:shd w:val="clear" w:color="auto" w:fill="auto"/>
          </w:tcPr>
          <w:p w14:paraId="11FD44F2" w14:textId="77777777" w:rsidR="005625B5" w:rsidRPr="001839C6"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3C4AB16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1883E2A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6BCF1184" w14:textId="77777777" w:rsidTr="00FB354B">
        <w:tc>
          <w:tcPr>
            <w:tcW w:w="3070" w:type="dxa"/>
            <w:shd w:val="clear" w:color="auto" w:fill="auto"/>
          </w:tcPr>
          <w:p w14:paraId="54CDC4C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7502C4D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383209.40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0646F91A"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2056331.64 mN</w:t>
            </w:r>
          </w:p>
        </w:tc>
      </w:tr>
      <w:tr w:rsidR="005625B5" w:rsidRPr="005F17FF" w14:paraId="612DECDB" w14:textId="77777777" w:rsidTr="00FB354B">
        <w:tc>
          <w:tcPr>
            <w:tcW w:w="3070" w:type="dxa"/>
            <w:shd w:val="clear" w:color="auto" w:fill="auto"/>
          </w:tcPr>
          <w:p w14:paraId="01DFE234"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04F59214"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383269.35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5BF1AAAF"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2056333.40 mN</w:t>
            </w:r>
          </w:p>
        </w:tc>
      </w:tr>
      <w:tr w:rsidR="005625B5" w:rsidRPr="005F17FF" w14:paraId="0273C9BD" w14:textId="77777777" w:rsidTr="00FB354B">
        <w:tc>
          <w:tcPr>
            <w:tcW w:w="3070" w:type="dxa"/>
            <w:shd w:val="clear" w:color="auto" w:fill="auto"/>
          </w:tcPr>
          <w:p w14:paraId="39E470B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0BC3F5B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382957.36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77B5546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2056953.52 mN</w:t>
            </w:r>
          </w:p>
        </w:tc>
      </w:tr>
      <w:tr w:rsidR="005625B5" w:rsidRPr="005F17FF" w14:paraId="7D9F5D88" w14:textId="77777777" w:rsidTr="00FB354B">
        <w:tc>
          <w:tcPr>
            <w:tcW w:w="3070" w:type="dxa"/>
            <w:shd w:val="clear" w:color="auto" w:fill="auto"/>
          </w:tcPr>
          <w:p w14:paraId="2F0F14BA"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709AFED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382953.73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052F2B5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2056867.36 mN</w:t>
            </w:r>
          </w:p>
        </w:tc>
      </w:tr>
    </w:tbl>
    <w:p w14:paraId="65D426EF" w14:textId="77777777" w:rsidR="005625B5" w:rsidRPr="00DC332E" w:rsidRDefault="005625B5" w:rsidP="005625B5">
      <w:pPr>
        <w:spacing w:after="0" w:line="276" w:lineRule="auto"/>
        <w:rPr>
          <w:rFonts w:ascii="Century Gothic" w:hAnsi="Century Gothic"/>
          <w:sz w:val="10"/>
          <w:szCs w:val="10"/>
        </w:rPr>
      </w:pPr>
    </w:p>
    <w:p w14:paraId="16E69AD5" w14:textId="77777777" w:rsidR="005625B5" w:rsidRPr="00B0189F" w:rsidRDefault="005625B5" w:rsidP="005625B5">
      <w:pPr>
        <w:spacing w:after="0" w:line="276" w:lineRule="auto"/>
        <w:jc w:val="both"/>
        <w:rPr>
          <w:rFonts w:ascii="Century Gothic" w:hAnsi="Century Gothic" w:cs="Times New Roman"/>
          <w:b/>
          <w:bCs/>
          <w:sz w:val="20"/>
          <w:szCs w:val="20"/>
        </w:rPr>
      </w:pPr>
      <w:r w:rsidRPr="00B0189F">
        <w:rPr>
          <w:rFonts w:ascii="Century Gothic" w:hAnsi="Century Gothic" w:cs="Times New Roman"/>
          <w:b/>
          <w:bCs/>
          <w:sz w:val="20"/>
          <w:szCs w:val="20"/>
          <w:u w:val="single"/>
        </w:rPr>
        <w:t>Coordonnées GPS (40 ha))</w:t>
      </w:r>
      <w:r w:rsidRPr="00B0189F">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026"/>
        <w:gridCol w:w="3029"/>
      </w:tblGrid>
      <w:tr w:rsidR="005625B5" w:rsidRPr="005F17FF" w14:paraId="35C8D7C0" w14:textId="77777777" w:rsidTr="00FB354B">
        <w:tc>
          <w:tcPr>
            <w:tcW w:w="3070" w:type="dxa"/>
            <w:shd w:val="clear" w:color="auto" w:fill="auto"/>
          </w:tcPr>
          <w:p w14:paraId="27CEA875" w14:textId="77777777" w:rsidR="005625B5" w:rsidRPr="005F17FF"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3E216A7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22FF436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39624B05" w14:textId="77777777" w:rsidTr="00FB354B">
        <w:tc>
          <w:tcPr>
            <w:tcW w:w="3070" w:type="dxa"/>
            <w:shd w:val="clear" w:color="auto" w:fill="auto"/>
          </w:tcPr>
          <w:p w14:paraId="7509AFB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0FA7374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385145.40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1D008E5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2058894.95 mN</w:t>
            </w:r>
          </w:p>
        </w:tc>
      </w:tr>
      <w:tr w:rsidR="005625B5" w:rsidRPr="005F17FF" w14:paraId="335665DA" w14:textId="77777777" w:rsidTr="00FB354B">
        <w:tc>
          <w:tcPr>
            <w:tcW w:w="3070" w:type="dxa"/>
            <w:shd w:val="clear" w:color="auto" w:fill="auto"/>
          </w:tcPr>
          <w:p w14:paraId="0AE4D25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0767019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385287.16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15B3F1F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2059005.08 mN</w:t>
            </w:r>
          </w:p>
        </w:tc>
      </w:tr>
      <w:tr w:rsidR="005625B5" w:rsidRPr="005F17FF" w14:paraId="786D0DA5" w14:textId="77777777" w:rsidTr="00FB354B">
        <w:tc>
          <w:tcPr>
            <w:tcW w:w="3070" w:type="dxa"/>
            <w:shd w:val="clear" w:color="auto" w:fill="auto"/>
          </w:tcPr>
          <w:p w14:paraId="148E1CD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2AF5F46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382949.87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38ADA3A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2059989.91 mN</w:t>
            </w:r>
          </w:p>
        </w:tc>
      </w:tr>
      <w:tr w:rsidR="005625B5" w:rsidRPr="005F17FF" w14:paraId="4B7AD6DF" w14:textId="77777777" w:rsidTr="00FB354B">
        <w:tc>
          <w:tcPr>
            <w:tcW w:w="3070" w:type="dxa"/>
            <w:shd w:val="clear" w:color="auto" w:fill="auto"/>
          </w:tcPr>
          <w:p w14:paraId="0AB15F11"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5198C6D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382946.51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6D114B1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2059853.48 mN</w:t>
            </w:r>
          </w:p>
        </w:tc>
      </w:tr>
    </w:tbl>
    <w:p w14:paraId="641B0014" w14:textId="77777777" w:rsidR="00DC332E" w:rsidRPr="00DC332E" w:rsidRDefault="00DC332E" w:rsidP="00DC332E">
      <w:pPr>
        <w:tabs>
          <w:tab w:val="left" w:pos="426"/>
        </w:tabs>
        <w:spacing w:after="0" w:line="276" w:lineRule="auto"/>
        <w:ind w:left="720"/>
        <w:rPr>
          <w:rFonts w:ascii="Century Gothic" w:eastAsia="Times New Roman" w:hAnsi="Century Gothic" w:cs="Times New Roman"/>
          <w:b/>
          <w:bCs/>
          <w:sz w:val="12"/>
          <w:szCs w:val="12"/>
          <w:lang w:eastAsia="wo-SN"/>
        </w:rPr>
      </w:pPr>
    </w:p>
    <w:p w14:paraId="42920C4B" w14:textId="2EA2D173" w:rsidR="005625B5" w:rsidRPr="006C3643" w:rsidRDefault="005625B5" w:rsidP="0061595F">
      <w:pPr>
        <w:numPr>
          <w:ilvl w:val="0"/>
          <w:numId w:val="35"/>
        </w:numPr>
        <w:tabs>
          <w:tab w:val="left" w:pos="426"/>
        </w:tabs>
        <w:spacing w:after="0" w:line="276" w:lineRule="auto"/>
        <w:jc w:val="center"/>
        <w:rPr>
          <w:rFonts w:ascii="Century Gothic" w:eastAsia="Times New Roman" w:hAnsi="Century Gothic" w:cs="Times New Roman"/>
          <w:b/>
          <w:bCs/>
          <w:sz w:val="24"/>
          <w:szCs w:val="24"/>
          <w:lang w:eastAsia="wo-SN"/>
        </w:rPr>
      </w:pPr>
      <w:r w:rsidRPr="006C3643">
        <w:rPr>
          <w:rFonts w:ascii="Century Gothic" w:eastAsia="Times New Roman" w:hAnsi="Century Gothic" w:cs="Times New Roman"/>
          <w:b/>
          <w:bCs/>
          <w:sz w:val="24"/>
          <w:szCs w:val="24"/>
          <w:lang w:eastAsia="wo-SN"/>
        </w:rPr>
        <w:t>Wilaya de Tiris Zemmour</w:t>
      </w:r>
    </w:p>
    <w:p w14:paraId="0FE1DA44" w14:textId="3258441A" w:rsidR="005625B5" w:rsidRPr="00FB7AF7" w:rsidRDefault="005625B5" w:rsidP="0061595F">
      <w:pPr>
        <w:tabs>
          <w:tab w:val="left" w:pos="426"/>
        </w:tabs>
        <w:spacing w:after="0" w:line="276" w:lineRule="auto"/>
        <w:jc w:val="center"/>
        <w:rPr>
          <w:rFonts w:ascii="Century Gothic" w:eastAsia="Times New Roman" w:hAnsi="Century Gothic" w:cs="Times New Roman"/>
          <w:b/>
          <w:bCs/>
          <w:sz w:val="24"/>
          <w:szCs w:val="24"/>
          <w:lang w:eastAsia="wo-SN"/>
        </w:rPr>
      </w:pPr>
      <w:r w:rsidRPr="00FB7AF7">
        <w:rPr>
          <w:rFonts w:ascii="Century Gothic" w:eastAsia="Times New Roman" w:hAnsi="Century Gothic" w:cs="Times New Roman"/>
          <w:b/>
          <w:bCs/>
          <w:sz w:val="24"/>
          <w:szCs w:val="24"/>
          <w:lang w:eastAsia="wo-SN"/>
        </w:rPr>
        <w:t>Site de F</w:t>
      </w:r>
      <w:r>
        <w:rPr>
          <w:rFonts w:ascii="Century Gothic" w:eastAsia="Times New Roman" w:hAnsi="Century Gothic" w:cs="Times New Roman"/>
          <w:b/>
          <w:bCs/>
          <w:sz w:val="24"/>
          <w:szCs w:val="24"/>
          <w:lang w:eastAsia="wo-SN"/>
        </w:rPr>
        <w:t>D</w:t>
      </w:r>
      <w:r w:rsidRPr="00FB7AF7">
        <w:rPr>
          <w:rFonts w:ascii="Century Gothic" w:eastAsia="Times New Roman" w:hAnsi="Century Gothic" w:cs="Times New Roman"/>
          <w:b/>
          <w:bCs/>
          <w:sz w:val="24"/>
          <w:szCs w:val="24"/>
          <w:lang w:eastAsia="wo-SN"/>
        </w:rPr>
        <w:t>erick :</w:t>
      </w:r>
    </w:p>
    <w:p w14:paraId="667F137B" w14:textId="2B1015C9" w:rsidR="005625B5" w:rsidRPr="00DC332E" w:rsidRDefault="00DC332E" w:rsidP="005625B5">
      <w:pPr>
        <w:spacing w:after="0" w:line="276" w:lineRule="auto"/>
        <w:jc w:val="both"/>
        <w:rPr>
          <w:rFonts w:ascii="Century Gothic" w:hAnsi="Century Gothic" w:cs="Times New Roman"/>
          <w:sz w:val="10"/>
          <w:szCs w:val="10"/>
          <w:u w:val="single"/>
        </w:rPr>
      </w:pPr>
      <w:r>
        <w:rPr>
          <w:rFonts w:ascii="Century Gothic" w:hAnsi="Century Gothic" w:cs="Times New Roman"/>
          <w:sz w:val="10"/>
          <w:szCs w:val="10"/>
          <w:u w:val="single"/>
        </w:rPr>
        <w:t xml:space="preserve">                                                                                       </w:t>
      </w:r>
      <w:r w:rsidRPr="00A516A0">
        <w:rPr>
          <w:noProof/>
          <w:lang w:eastAsia="fr-FR"/>
        </w:rPr>
        <w:drawing>
          <wp:inline distT="0" distB="0" distL="0" distR="0" wp14:anchorId="61C458C3" wp14:editId="0EBA582F">
            <wp:extent cx="2388870" cy="1598212"/>
            <wp:effectExtent l="0" t="0" r="0" b="2540"/>
            <wp:docPr id="1633029355" name="Image 15" descr="E:\Desktop\Restauration des terres\Ensablement Infrastructures\T. Zemmour\Oum Dveratt\Moulveratt\DJI_016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5" descr="E:\Desktop\Restauration des terres\Ensablement Infrastructures\T. Zemmour\Oum Dveratt\Moulveratt\DJI_0160.JPG"/>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94906" cy="1602250"/>
                    </a:xfrm>
                    <a:prstGeom prst="rect">
                      <a:avLst/>
                    </a:prstGeom>
                    <a:noFill/>
                    <a:ln>
                      <a:noFill/>
                    </a:ln>
                  </pic:spPr>
                </pic:pic>
              </a:graphicData>
            </a:graphic>
          </wp:inline>
        </w:drawing>
      </w:r>
    </w:p>
    <w:p w14:paraId="341B390A" w14:textId="2D3639FC" w:rsidR="005625B5" w:rsidRPr="00613CF8" w:rsidRDefault="005625B5" w:rsidP="005625B5">
      <w:pPr>
        <w:spacing w:after="0" w:line="276" w:lineRule="auto"/>
        <w:jc w:val="both"/>
        <w:rPr>
          <w:rFonts w:ascii="Century Gothic" w:hAnsi="Century Gothic" w:cs="Times New Roman"/>
          <w:sz w:val="24"/>
          <w:szCs w:val="24"/>
          <w:lang w:val="en-US"/>
        </w:rPr>
      </w:pPr>
      <w:proofErr w:type="gramStart"/>
      <w:r w:rsidRPr="00613CF8">
        <w:rPr>
          <w:rFonts w:ascii="Century Gothic" w:hAnsi="Century Gothic" w:cs="Times New Roman"/>
          <w:sz w:val="24"/>
          <w:szCs w:val="24"/>
          <w:u w:val="single"/>
          <w:lang w:val="en-US"/>
        </w:rPr>
        <w:t>Commune</w:t>
      </w:r>
      <w:r w:rsidRPr="00613CF8">
        <w:rPr>
          <w:rFonts w:ascii="Century Gothic" w:hAnsi="Century Gothic" w:cs="Times New Roman"/>
          <w:sz w:val="24"/>
          <w:szCs w:val="24"/>
          <w:lang w:val="en-US"/>
        </w:rPr>
        <w:t xml:space="preserve"> :</w:t>
      </w:r>
      <w:proofErr w:type="gramEnd"/>
      <w:r w:rsidRPr="00613CF8">
        <w:rPr>
          <w:rFonts w:ascii="Century Gothic" w:hAnsi="Century Gothic" w:cs="Times New Roman"/>
          <w:sz w:val="24"/>
          <w:szCs w:val="24"/>
          <w:lang w:val="en-US"/>
        </w:rPr>
        <w:t xml:space="preserve"> </w:t>
      </w:r>
      <w:proofErr w:type="gramStart"/>
      <w:r w:rsidRPr="00613CF8">
        <w:rPr>
          <w:rFonts w:ascii="Century Gothic" w:hAnsi="Century Gothic" w:cs="Times New Roman"/>
          <w:sz w:val="24"/>
          <w:szCs w:val="24"/>
          <w:lang w:val="en-US"/>
        </w:rPr>
        <w:t xml:space="preserve">F’Derick  </w:t>
      </w:r>
      <w:r w:rsidRPr="00613CF8">
        <w:rPr>
          <w:rFonts w:ascii="Century Gothic" w:hAnsi="Century Gothic" w:cs="Times New Roman"/>
          <w:sz w:val="24"/>
          <w:szCs w:val="24"/>
          <w:lang w:val="en-US"/>
        </w:rPr>
        <w:tab/>
      </w:r>
      <w:proofErr w:type="gramEnd"/>
      <w:r w:rsidRPr="00613CF8">
        <w:rPr>
          <w:rFonts w:ascii="Century Gothic" w:hAnsi="Century Gothic" w:cs="Times New Roman"/>
          <w:sz w:val="24"/>
          <w:szCs w:val="24"/>
          <w:lang w:val="en-US"/>
        </w:rPr>
        <w:tab/>
      </w:r>
      <w:proofErr w:type="gramStart"/>
      <w:r w:rsidRPr="00613CF8">
        <w:rPr>
          <w:rFonts w:ascii="Century Gothic" w:hAnsi="Century Gothic" w:cs="Times New Roman"/>
          <w:sz w:val="24"/>
          <w:szCs w:val="24"/>
          <w:u w:val="single"/>
          <w:lang w:val="en-US"/>
        </w:rPr>
        <w:t>Moughataa</w:t>
      </w:r>
      <w:r w:rsidRPr="00613CF8">
        <w:rPr>
          <w:rFonts w:ascii="Century Gothic" w:hAnsi="Century Gothic" w:cs="Times New Roman"/>
          <w:sz w:val="24"/>
          <w:szCs w:val="24"/>
          <w:lang w:val="en-US"/>
        </w:rPr>
        <w:t> :</w:t>
      </w:r>
      <w:proofErr w:type="gramEnd"/>
      <w:r w:rsidRPr="00613CF8">
        <w:rPr>
          <w:rFonts w:ascii="Century Gothic" w:hAnsi="Century Gothic" w:cs="Times New Roman"/>
          <w:sz w:val="24"/>
          <w:szCs w:val="24"/>
          <w:lang w:val="en-US"/>
        </w:rPr>
        <w:t xml:space="preserve"> F’Derick   </w:t>
      </w:r>
      <w:r w:rsidRPr="00613CF8">
        <w:rPr>
          <w:rFonts w:ascii="Century Gothic" w:hAnsi="Century Gothic" w:cs="Times New Roman"/>
          <w:sz w:val="24"/>
          <w:szCs w:val="24"/>
          <w:lang w:val="en-US"/>
        </w:rPr>
        <w:tab/>
      </w:r>
      <w:proofErr w:type="gramStart"/>
      <w:r w:rsidRPr="00613CF8">
        <w:rPr>
          <w:rFonts w:ascii="Century Gothic" w:hAnsi="Century Gothic" w:cs="Times New Roman"/>
          <w:sz w:val="24"/>
          <w:szCs w:val="24"/>
          <w:u w:val="single"/>
          <w:lang w:val="en-US"/>
        </w:rPr>
        <w:t>Wilaya</w:t>
      </w:r>
      <w:r w:rsidRPr="00613CF8">
        <w:rPr>
          <w:rFonts w:ascii="Century Gothic" w:hAnsi="Century Gothic" w:cs="Times New Roman"/>
          <w:sz w:val="24"/>
          <w:szCs w:val="24"/>
          <w:lang w:val="en-US"/>
        </w:rPr>
        <w:t> :</w:t>
      </w:r>
      <w:proofErr w:type="gramEnd"/>
      <w:r w:rsidRPr="00613CF8">
        <w:rPr>
          <w:rFonts w:ascii="Century Gothic" w:hAnsi="Century Gothic" w:cs="Times New Roman"/>
          <w:sz w:val="24"/>
          <w:szCs w:val="24"/>
          <w:lang w:val="en-US"/>
        </w:rPr>
        <w:t xml:space="preserve"> Tiris Zemmour   </w:t>
      </w:r>
    </w:p>
    <w:p w14:paraId="136808EE" w14:textId="2766C8E8" w:rsidR="005625B5" w:rsidRPr="00613CF8" w:rsidRDefault="005625B5" w:rsidP="0061595F">
      <w:pPr>
        <w:spacing w:after="0" w:line="276" w:lineRule="auto"/>
        <w:ind w:left="2410"/>
        <w:jc w:val="both"/>
        <w:rPr>
          <w:rFonts w:ascii="Century Gothic" w:hAnsi="Century Gothic" w:cs="Times New Roman"/>
          <w:sz w:val="24"/>
          <w:szCs w:val="24"/>
          <w:lang w:val="en-US"/>
        </w:rPr>
      </w:pPr>
    </w:p>
    <w:p w14:paraId="192B5334" w14:textId="230238F0" w:rsidR="005625B5" w:rsidRPr="00FB7AF7" w:rsidRDefault="005625B5" w:rsidP="005625B5">
      <w:pPr>
        <w:spacing w:after="0" w:line="276" w:lineRule="auto"/>
        <w:jc w:val="center"/>
        <w:rPr>
          <w:rFonts w:ascii="Century Gothic" w:hAnsi="Century Gothic" w:cs="Times New Roman"/>
          <w:sz w:val="24"/>
          <w:szCs w:val="24"/>
        </w:rPr>
      </w:pPr>
      <w:r w:rsidRPr="00FD184A">
        <w:rPr>
          <w:rFonts w:ascii="Century Gothic" w:hAnsi="Century Gothic" w:cs="Times New Roman"/>
          <w:noProof/>
          <w:sz w:val="24"/>
          <w:szCs w:val="24"/>
        </w:rPr>
        <w:drawing>
          <wp:inline distT="0" distB="0" distL="0" distR="0" wp14:anchorId="68F22EEF" wp14:editId="0BEBE2D7">
            <wp:extent cx="3609165" cy="2679589"/>
            <wp:effectExtent l="0" t="0" r="0" b="6985"/>
            <wp:docPr id="1720342430"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4"/>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50479" cy="2710262"/>
                    </a:xfrm>
                    <a:prstGeom prst="rect">
                      <a:avLst/>
                    </a:prstGeom>
                    <a:noFill/>
                    <a:ln>
                      <a:noFill/>
                    </a:ln>
                  </pic:spPr>
                </pic:pic>
              </a:graphicData>
            </a:graphic>
          </wp:inline>
        </w:drawing>
      </w:r>
    </w:p>
    <w:p w14:paraId="2E23A2F8" w14:textId="77777777" w:rsidR="005625B5" w:rsidRPr="00FB7AF7" w:rsidRDefault="005625B5" w:rsidP="005625B5">
      <w:pPr>
        <w:spacing w:line="276" w:lineRule="auto"/>
        <w:jc w:val="center"/>
        <w:rPr>
          <w:rFonts w:ascii="Century Gothic" w:hAnsi="Century Gothic" w:cs="Times New Roman"/>
          <w:b/>
          <w:bCs/>
          <w:sz w:val="20"/>
          <w:szCs w:val="20"/>
        </w:rPr>
      </w:pPr>
      <w:r w:rsidRPr="00FB7AF7">
        <w:rPr>
          <w:rFonts w:ascii="Century Gothic" w:hAnsi="Century Gothic" w:cs="Times New Roman"/>
          <w:b/>
          <w:bCs/>
          <w:sz w:val="20"/>
          <w:szCs w:val="20"/>
        </w:rPr>
        <w:t xml:space="preserve">Site de Oum Dveratt (12 ha) </w:t>
      </w:r>
    </w:p>
    <w:p w14:paraId="282FDCF6" w14:textId="77777777" w:rsidR="005625B5" w:rsidRPr="00FB7AF7" w:rsidRDefault="005625B5" w:rsidP="005625B5">
      <w:pPr>
        <w:spacing w:line="276" w:lineRule="auto"/>
        <w:jc w:val="both"/>
        <w:rPr>
          <w:rFonts w:ascii="Century Gothic" w:hAnsi="Century Gothic" w:cs="Times New Roman"/>
          <w:b/>
          <w:bCs/>
          <w:sz w:val="20"/>
          <w:szCs w:val="20"/>
        </w:rPr>
      </w:pPr>
      <w:r w:rsidRPr="00FB7AF7">
        <w:rPr>
          <w:rFonts w:ascii="Century Gothic" w:hAnsi="Century Gothic" w:cs="Times New Roman"/>
          <w:b/>
          <w:bCs/>
          <w:sz w:val="20"/>
          <w:szCs w:val="20"/>
          <w:u w:val="single"/>
        </w:rPr>
        <w:t>Coordonnées GPS (</w:t>
      </w:r>
      <w:r>
        <w:rPr>
          <w:rFonts w:ascii="Century Gothic" w:hAnsi="Century Gothic" w:cs="Times New Roman"/>
          <w:b/>
          <w:bCs/>
          <w:sz w:val="20"/>
          <w:szCs w:val="20"/>
          <w:u w:val="single"/>
        </w:rPr>
        <w:t>12 ha</w:t>
      </w:r>
      <w:r w:rsidRPr="00FB7AF7">
        <w:rPr>
          <w:rFonts w:ascii="Century Gothic" w:hAnsi="Century Gothic" w:cs="Times New Roman"/>
          <w:b/>
          <w:bCs/>
          <w:sz w:val="20"/>
          <w:szCs w:val="20"/>
          <w:u w:val="single"/>
        </w:rPr>
        <w:t>)</w:t>
      </w:r>
      <w:r w:rsidRPr="00FB7AF7">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5166"/>
        <w:gridCol w:w="2108"/>
      </w:tblGrid>
      <w:tr w:rsidR="005625B5" w:rsidRPr="005F17FF" w14:paraId="78E8B805" w14:textId="77777777" w:rsidTr="001A6FC5">
        <w:tc>
          <w:tcPr>
            <w:tcW w:w="3003" w:type="dxa"/>
            <w:shd w:val="clear" w:color="auto" w:fill="auto"/>
          </w:tcPr>
          <w:p w14:paraId="4F3C8D2D" w14:textId="77777777" w:rsidR="005625B5" w:rsidRPr="005F17FF" w:rsidRDefault="005625B5" w:rsidP="00FB354B">
            <w:pPr>
              <w:tabs>
                <w:tab w:val="left" w:pos="2364"/>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Point</w:t>
            </w:r>
          </w:p>
        </w:tc>
        <w:tc>
          <w:tcPr>
            <w:tcW w:w="3027" w:type="dxa"/>
            <w:shd w:val="clear" w:color="auto" w:fill="auto"/>
          </w:tcPr>
          <w:p w14:paraId="6100DFF2" w14:textId="77777777" w:rsidR="005625B5" w:rsidRPr="005F17FF" w:rsidRDefault="005625B5" w:rsidP="00FB354B">
            <w:pPr>
              <w:tabs>
                <w:tab w:val="left" w:pos="2364"/>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X</w:t>
            </w:r>
          </w:p>
        </w:tc>
        <w:tc>
          <w:tcPr>
            <w:tcW w:w="3032" w:type="dxa"/>
            <w:shd w:val="clear" w:color="auto" w:fill="auto"/>
          </w:tcPr>
          <w:p w14:paraId="799C36A1" w14:textId="77777777" w:rsidR="005625B5" w:rsidRPr="005F17FF" w:rsidRDefault="005625B5" w:rsidP="00FB354B">
            <w:pPr>
              <w:tabs>
                <w:tab w:val="left" w:pos="2364"/>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Y</w:t>
            </w:r>
          </w:p>
        </w:tc>
      </w:tr>
      <w:tr w:rsidR="005625B5" w:rsidRPr="005F17FF" w14:paraId="68A55ECE" w14:textId="77777777" w:rsidTr="001A6FC5">
        <w:tc>
          <w:tcPr>
            <w:tcW w:w="3003" w:type="dxa"/>
            <w:shd w:val="clear" w:color="auto" w:fill="auto"/>
          </w:tcPr>
          <w:p w14:paraId="12E889A3"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27" w:type="dxa"/>
            <w:shd w:val="clear" w:color="auto" w:fill="auto"/>
          </w:tcPr>
          <w:p w14:paraId="7DF4E264"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766302.19 </w:t>
            </w:r>
            <w:proofErr w:type="spellStart"/>
            <w:r w:rsidRPr="005F17FF">
              <w:rPr>
                <w:rFonts w:ascii="Century Gothic" w:hAnsi="Century Gothic" w:cs="Times New Roman"/>
                <w:sz w:val="20"/>
                <w:szCs w:val="20"/>
              </w:rPr>
              <w:t>mE</w:t>
            </w:r>
            <w:proofErr w:type="spellEnd"/>
          </w:p>
        </w:tc>
        <w:tc>
          <w:tcPr>
            <w:tcW w:w="3032" w:type="dxa"/>
            <w:shd w:val="clear" w:color="auto" w:fill="auto"/>
          </w:tcPr>
          <w:p w14:paraId="369E0EAA"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2565811.53 mN</w:t>
            </w:r>
          </w:p>
        </w:tc>
      </w:tr>
      <w:tr w:rsidR="005625B5" w:rsidRPr="005F17FF" w14:paraId="3A02EE79" w14:textId="77777777" w:rsidTr="001A6FC5">
        <w:tc>
          <w:tcPr>
            <w:tcW w:w="3003" w:type="dxa"/>
            <w:shd w:val="clear" w:color="auto" w:fill="auto"/>
          </w:tcPr>
          <w:p w14:paraId="2B32F6E1"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27" w:type="dxa"/>
            <w:shd w:val="clear" w:color="auto" w:fill="auto"/>
          </w:tcPr>
          <w:p w14:paraId="5D35DABF"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766673.31 </w:t>
            </w:r>
            <w:proofErr w:type="spellStart"/>
            <w:r w:rsidRPr="005F17FF">
              <w:rPr>
                <w:rFonts w:ascii="Century Gothic" w:hAnsi="Century Gothic" w:cs="Times New Roman"/>
                <w:sz w:val="20"/>
                <w:szCs w:val="20"/>
              </w:rPr>
              <w:t>mE</w:t>
            </w:r>
            <w:proofErr w:type="spellEnd"/>
          </w:p>
        </w:tc>
        <w:tc>
          <w:tcPr>
            <w:tcW w:w="3032" w:type="dxa"/>
            <w:shd w:val="clear" w:color="auto" w:fill="auto"/>
          </w:tcPr>
          <w:p w14:paraId="7615B663"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2566084.43 mN</w:t>
            </w:r>
          </w:p>
        </w:tc>
      </w:tr>
      <w:tr w:rsidR="005625B5" w:rsidRPr="005F17FF" w14:paraId="5B6752F6" w14:textId="77777777" w:rsidTr="001A6FC5">
        <w:tc>
          <w:tcPr>
            <w:tcW w:w="3003" w:type="dxa"/>
            <w:shd w:val="clear" w:color="auto" w:fill="auto"/>
          </w:tcPr>
          <w:p w14:paraId="1D837133"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27" w:type="dxa"/>
            <w:shd w:val="clear" w:color="auto" w:fill="auto"/>
          </w:tcPr>
          <w:p w14:paraId="569A71D1"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765721.57 </w:t>
            </w:r>
            <w:proofErr w:type="spellStart"/>
            <w:r w:rsidRPr="005F17FF">
              <w:rPr>
                <w:rFonts w:ascii="Century Gothic" w:hAnsi="Century Gothic" w:cs="Times New Roman"/>
                <w:sz w:val="20"/>
                <w:szCs w:val="20"/>
              </w:rPr>
              <w:t>mE</w:t>
            </w:r>
            <w:proofErr w:type="spellEnd"/>
          </w:p>
        </w:tc>
        <w:tc>
          <w:tcPr>
            <w:tcW w:w="3032" w:type="dxa"/>
            <w:shd w:val="clear" w:color="auto" w:fill="auto"/>
          </w:tcPr>
          <w:p w14:paraId="7E0D32EB"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2567297.21 mN</w:t>
            </w:r>
          </w:p>
        </w:tc>
      </w:tr>
      <w:tr w:rsidR="005625B5" w:rsidRPr="005F17FF" w14:paraId="0F590FC2" w14:textId="77777777" w:rsidTr="001A6FC5">
        <w:tc>
          <w:tcPr>
            <w:tcW w:w="3003" w:type="dxa"/>
            <w:shd w:val="clear" w:color="auto" w:fill="auto"/>
          </w:tcPr>
          <w:p w14:paraId="25E68F4B"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27" w:type="dxa"/>
            <w:shd w:val="clear" w:color="auto" w:fill="auto"/>
          </w:tcPr>
          <w:p w14:paraId="1914079D" w14:textId="53F4C481" w:rsidR="005625B5" w:rsidRPr="005F17FF" w:rsidRDefault="0092674B" w:rsidP="00FB354B">
            <w:pPr>
              <w:tabs>
                <w:tab w:val="left" w:pos="2364"/>
              </w:tabs>
              <w:spacing w:after="0" w:line="276" w:lineRule="auto"/>
              <w:jc w:val="center"/>
              <w:rPr>
                <w:rFonts w:ascii="Century Gothic" w:hAnsi="Century Gothic" w:cs="Times New Roman"/>
                <w:sz w:val="20"/>
                <w:szCs w:val="20"/>
              </w:rPr>
            </w:pPr>
            <w:r w:rsidRPr="00A516A0">
              <w:rPr>
                <w:noProof/>
                <w:lang w:eastAsia="fr-FR"/>
              </w:rPr>
              <w:drawing>
                <wp:inline distT="0" distB="0" distL="0" distR="0" wp14:anchorId="702366E5" wp14:editId="0E91ABA3">
                  <wp:extent cx="3135998" cy="2027582"/>
                  <wp:effectExtent l="0" t="0" r="7620" b="0"/>
                  <wp:docPr id="1060496116" name="Image 13" descr="E:\Desktop\Restauration des terres\Ensablement Infrastructures\T. Zemmour\Twajil\Touwajil\DJI_018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descr="E:\Desktop\Restauration des terres\Ensablement Infrastructures\T. Zemmour\Twajil\Touwajil\DJI_0189.JPG"/>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64760" cy="2046178"/>
                          </a:xfrm>
                          <a:prstGeom prst="rect">
                            <a:avLst/>
                          </a:prstGeom>
                          <a:noFill/>
                          <a:ln>
                            <a:noFill/>
                          </a:ln>
                        </pic:spPr>
                      </pic:pic>
                    </a:graphicData>
                  </a:graphic>
                </wp:inline>
              </w:drawing>
            </w:r>
            <w:r w:rsidR="005625B5" w:rsidRPr="005F17FF">
              <w:rPr>
                <w:rFonts w:ascii="Century Gothic" w:hAnsi="Century Gothic" w:cs="Times New Roman"/>
                <w:sz w:val="20"/>
                <w:szCs w:val="20"/>
              </w:rPr>
              <w:t xml:space="preserve">765298.23 </w:t>
            </w:r>
            <w:proofErr w:type="spellStart"/>
            <w:r w:rsidR="005625B5" w:rsidRPr="005F17FF">
              <w:rPr>
                <w:rFonts w:ascii="Century Gothic" w:hAnsi="Century Gothic" w:cs="Times New Roman"/>
                <w:sz w:val="20"/>
                <w:szCs w:val="20"/>
              </w:rPr>
              <w:t>mE</w:t>
            </w:r>
            <w:proofErr w:type="spellEnd"/>
          </w:p>
        </w:tc>
        <w:tc>
          <w:tcPr>
            <w:tcW w:w="3032" w:type="dxa"/>
            <w:shd w:val="clear" w:color="auto" w:fill="auto"/>
          </w:tcPr>
          <w:p w14:paraId="3074E3EF"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2566978.46 mN</w:t>
            </w:r>
          </w:p>
        </w:tc>
      </w:tr>
    </w:tbl>
    <w:p w14:paraId="0C2C8717" w14:textId="15551E3D" w:rsidR="00545E89" w:rsidRDefault="00545E89" w:rsidP="005625B5">
      <w:pPr>
        <w:spacing w:line="276" w:lineRule="auto"/>
        <w:jc w:val="both"/>
        <w:rPr>
          <w:rFonts w:ascii="Century Gothic" w:hAnsi="Century Gothic" w:cs="Times New Roman"/>
          <w:b/>
          <w:bCs/>
          <w:sz w:val="24"/>
          <w:szCs w:val="24"/>
        </w:rPr>
      </w:pPr>
    </w:p>
    <w:p w14:paraId="66BE4756" w14:textId="3BB3BF52" w:rsidR="005625B5" w:rsidRDefault="005625B5" w:rsidP="005625B5">
      <w:pPr>
        <w:spacing w:line="276" w:lineRule="auto"/>
        <w:jc w:val="both"/>
        <w:rPr>
          <w:rFonts w:ascii="Century Gothic" w:hAnsi="Century Gothic" w:cs="Times New Roman"/>
          <w:b/>
          <w:bCs/>
          <w:sz w:val="24"/>
          <w:szCs w:val="24"/>
          <w:lang w:val="en-US"/>
        </w:rPr>
      </w:pPr>
      <w:r w:rsidRPr="0061595F">
        <w:rPr>
          <w:rFonts w:ascii="Century Gothic" w:hAnsi="Century Gothic" w:cs="Times New Roman"/>
          <w:b/>
          <w:bCs/>
          <w:sz w:val="24"/>
          <w:szCs w:val="24"/>
          <w:lang w:val="en-US"/>
        </w:rPr>
        <w:t xml:space="preserve">Site de </w:t>
      </w:r>
      <w:proofErr w:type="gramStart"/>
      <w:r w:rsidRPr="0061595F">
        <w:rPr>
          <w:rFonts w:ascii="Century Gothic" w:hAnsi="Century Gothic" w:cs="Times New Roman"/>
          <w:b/>
          <w:bCs/>
          <w:sz w:val="24"/>
          <w:szCs w:val="24"/>
          <w:lang w:val="en-US"/>
        </w:rPr>
        <w:t>Twajil :</w:t>
      </w:r>
      <w:proofErr w:type="gramEnd"/>
      <w:r w:rsidRPr="0061595F">
        <w:rPr>
          <w:rFonts w:ascii="Century Gothic" w:hAnsi="Century Gothic" w:cs="Times New Roman"/>
          <w:b/>
          <w:bCs/>
          <w:sz w:val="24"/>
          <w:szCs w:val="24"/>
          <w:lang w:val="en-US"/>
        </w:rPr>
        <w:t xml:space="preserve"> </w:t>
      </w:r>
    </w:p>
    <w:p w14:paraId="1AA58071" w14:textId="2297FC38" w:rsidR="00DC332E" w:rsidRDefault="001A6FC5" w:rsidP="005625B5">
      <w:pPr>
        <w:spacing w:line="276" w:lineRule="auto"/>
        <w:jc w:val="both"/>
        <w:rPr>
          <w:rFonts w:ascii="Century Gothic" w:hAnsi="Century Gothic" w:cs="Times New Roman"/>
          <w:b/>
          <w:bCs/>
          <w:sz w:val="24"/>
          <w:szCs w:val="24"/>
          <w:lang w:val="en-US"/>
        </w:rPr>
      </w:pPr>
      <w:r>
        <w:rPr>
          <w:rFonts w:ascii="Century Gothic" w:hAnsi="Century Gothic" w:cs="Times New Roman"/>
          <w:b/>
          <w:bCs/>
          <w:sz w:val="24"/>
          <w:szCs w:val="24"/>
          <w:lang w:val="en-US"/>
        </w:rPr>
        <w:t xml:space="preserve">                                                                                </w:t>
      </w:r>
    </w:p>
    <w:p w14:paraId="411B946C" w14:textId="77777777" w:rsidR="00DC332E" w:rsidRPr="0061595F" w:rsidRDefault="00DC332E" w:rsidP="005625B5">
      <w:pPr>
        <w:spacing w:line="276" w:lineRule="auto"/>
        <w:jc w:val="both"/>
        <w:rPr>
          <w:rFonts w:ascii="Century Gothic" w:hAnsi="Century Gothic" w:cs="Times New Roman"/>
          <w:b/>
          <w:bCs/>
          <w:sz w:val="24"/>
          <w:szCs w:val="24"/>
          <w:lang w:val="en-US"/>
        </w:rPr>
      </w:pPr>
    </w:p>
    <w:p w14:paraId="2CC3A17C" w14:textId="1E970BB8" w:rsidR="005625B5" w:rsidRPr="00613CF8" w:rsidRDefault="005625B5" w:rsidP="0061595F">
      <w:pPr>
        <w:tabs>
          <w:tab w:val="left" w:pos="1276"/>
        </w:tabs>
        <w:spacing w:line="276" w:lineRule="auto"/>
        <w:ind w:left="-284" w:right="-426"/>
        <w:jc w:val="both"/>
        <w:rPr>
          <w:rFonts w:ascii="Times New Roman" w:hAnsi="Times New Roman" w:cs="Times New Roman"/>
          <w:sz w:val="24"/>
          <w:szCs w:val="24"/>
          <w:lang w:val="en-US"/>
        </w:rPr>
      </w:pPr>
      <w:r w:rsidRPr="00613CF8">
        <w:rPr>
          <w:rFonts w:ascii="Times New Roman" w:hAnsi="Times New Roman" w:cs="Times New Roman"/>
          <w:sz w:val="24"/>
          <w:szCs w:val="24"/>
          <w:u w:val="single"/>
          <w:lang w:val="en-US"/>
        </w:rPr>
        <w:t>Commune</w:t>
      </w:r>
      <w:r w:rsidRPr="00613CF8">
        <w:rPr>
          <w:rFonts w:ascii="Times New Roman" w:hAnsi="Times New Roman" w:cs="Times New Roman"/>
          <w:sz w:val="24"/>
          <w:szCs w:val="24"/>
          <w:lang w:val="en-US"/>
        </w:rPr>
        <w:t>:</w:t>
      </w:r>
      <w:r w:rsidR="00D03F95">
        <w:rPr>
          <w:rFonts w:ascii="Times New Roman" w:hAnsi="Times New Roman" w:cs="Times New Roman"/>
          <w:sz w:val="24"/>
          <w:szCs w:val="24"/>
          <w:lang w:val="en-US"/>
        </w:rPr>
        <w:t xml:space="preserve"> </w:t>
      </w:r>
      <w:r w:rsidRPr="00613CF8">
        <w:rPr>
          <w:rFonts w:ascii="Times New Roman" w:hAnsi="Times New Roman" w:cs="Times New Roman"/>
          <w:sz w:val="24"/>
          <w:szCs w:val="24"/>
          <w:lang w:val="en-US"/>
        </w:rPr>
        <w:t>F’Derick</w:t>
      </w:r>
      <w:r w:rsidR="00D03F95">
        <w:rPr>
          <w:rFonts w:ascii="Times New Roman" w:hAnsi="Times New Roman" w:cs="Times New Roman"/>
          <w:sz w:val="24"/>
          <w:szCs w:val="24"/>
          <w:lang w:val="en-US"/>
        </w:rPr>
        <w:t xml:space="preserve"> </w:t>
      </w:r>
      <w:proofErr w:type="gramStart"/>
      <w:r w:rsidRPr="00613CF8">
        <w:rPr>
          <w:rFonts w:ascii="Times New Roman" w:hAnsi="Times New Roman" w:cs="Times New Roman"/>
          <w:sz w:val="24"/>
          <w:szCs w:val="24"/>
          <w:u w:val="single"/>
          <w:lang w:val="en-US"/>
        </w:rPr>
        <w:t>Moughataa</w:t>
      </w:r>
      <w:r w:rsidRPr="00613CF8">
        <w:rPr>
          <w:rFonts w:ascii="Times New Roman" w:hAnsi="Times New Roman" w:cs="Times New Roman"/>
          <w:sz w:val="24"/>
          <w:szCs w:val="24"/>
          <w:lang w:val="en-US"/>
        </w:rPr>
        <w:t> :F’Derick</w:t>
      </w:r>
      <w:proofErr w:type="gramEnd"/>
      <w:r w:rsidR="00D03F95">
        <w:rPr>
          <w:rFonts w:ascii="Times New Roman" w:hAnsi="Times New Roman" w:cs="Times New Roman"/>
          <w:sz w:val="24"/>
          <w:szCs w:val="24"/>
          <w:lang w:val="en-US"/>
        </w:rPr>
        <w:t xml:space="preserve"> </w:t>
      </w:r>
      <w:proofErr w:type="gramStart"/>
      <w:r w:rsidRPr="00613CF8">
        <w:rPr>
          <w:rFonts w:ascii="Times New Roman" w:hAnsi="Times New Roman" w:cs="Times New Roman"/>
          <w:sz w:val="24"/>
          <w:szCs w:val="24"/>
          <w:u w:val="single"/>
          <w:lang w:val="en-US"/>
        </w:rPr>
        <w:t>Wilaya</w:t>
      </w:r>
      <w:r w:rsidRPr="00613CF8">
        <w:rPr>
          <w:rFonts w:ascii="Times New Roman" w:hAnsi="Times New Roman" w:cs="Times New Roman"/>
          <w:sz w:val="24"/>
          <w:szCs w:val="24"/>
          <w:lang w:val="en-US"/>
        </w:rPr>
        <w:t> :</w:t>
      </w:r>
      <w:proofErr w:type="gramEnd"/>
      <w:r w:rsidR="00D03F95">
        <w:rPr>
          <w:rFonts w:ascii="Times New Roman" w:hAnsi="Times New Roman" w:cs="Times New Roman"/>
          <w:sz w:val="24"/>
          <w:szCs w:val="24"/>
          <w:lang w:val="en-US"/>
        </w:rPr>
        <w:t xml:space="preserve"> </w:t>
      </w:r>
      <w:r w:rsidRPr="00613CF8">
        <w:rPr>
          <w:rFonts w:ascii="Times New Roman" w:hAnsi="Times New Roman" w:cs="Times New Roman"/>
          <w:sz w:val="24"/>
          <w:szCs w:val="24"/>
          <w:lang w:val="en-US"/>
        </w:rPr>
        <w:t>Tiris</w:t>
      </w:r>
      <w:r w:rsidR="00D03F95">
        <w:rPr>
          <w:rFonts w:ascii="Times New Roman" w:hAnsi="Times New Roman" w:cs="Times New Roman"/>
          <w:sz w:val="24"/>
          <w:szCs w:val="24"/>
          <w:lang w:val="en-US"/>
        </w:rPr>
        <w:t xml:space="preserve"> </w:t>
      </w:r>
      <w:r w:rsidRPr="00613CF8">
        <w:rPr>
          <w:rFonts w:ascii="Times New Roman" w:hAnsi="Times New Roman" w:cs="Times New Roman"/>
          <w:sz w:val="24"/>
          <w:szCs w:val="24"/>
          <w:lang w:val="en-US"/>
        </w:rPr>
        <w:t>Zemmo</w:t>
      </w:r>
      <w:r w:rsidR="00D03F95">
        <w:rPr>
          <w:rFonts w:ascii="Times New Roman" w:hAnsi="Times New Roman" w:cs="Times New Roman"/>
          <w:sz w:val="24"/>
          <w:szCs w:val="24"/>
          <w:lang w:val="en-US"/>
        </w:rPr>
        <w:t>ur</w:t>
      </w:r>
    </w:p>
    <w:p w14:paraId="6816D375" w14:textId="609DE716" w:rsidR="005625B5" w:rsidRPr="001A6FC5" w:rsidRDefault="00D03F95" w:rsidP="005625B5">
      <w:pPr>
        <w:spacing w:line="276" w:lineRule="auto"/>
        <w:jc w:val="center"/>
        <w:rPr>
          <w:rFonts w:ascii="Times New Roman" w:hAnsi="Times New Roman" w:cs="Times New Roman"/>
          <w:sz w:val="24"/>
          <w:szCs w:val="24"/>
          <w:lang w:val="en-US"/>
        </w:rPr>
      </w:pPr>
      <w:r w:rsidRPr="0061595F">
        <w:rPr>
          <w:rFonts w:ascii="Times New Roman" w:hAnsi="Times New Roman" w:cs="Times New Roman"/>
          <w:sz w:val="24"/>
          <w:szCs w:val="24"/>
          <w:lang w:val="en-US"/>
        </w:rPr>
        <w:t xml:space="preserve">                    </w:t>
      </w:r>
    </w:p>
    <w:p w14:paraId="4EBB1F4C" w14:textId="7C54396F" w:rsidR="005625B5" w:rsidRPr="001839C6" w:rsidRDefault="00D03F95" w:rsidP="005625B5">
      <w:pPr>
        <w:spacing w:line="276" w:lineRule="auto"/>
        <w:jc w:val="center"/>
        <w:rPr>
          <w:rFonts w:ascii="Century Gothic" w:hAnsi="Century Gothic" w:cs="Times New Roman"/>
          <w:b/>
          <w:bCs/>
          <w:sz w:val="20"/>
          <w:szCs w:val="20"/>
        </w:rPr>
      </w:pPr>
      <w:r w:rsidRPr="001A6FC5">
        <w:rPr>
          <w:rFonts w:ascii="Century Gothic" w:hAnsi="Century Gothic" w:cs="Times New Roman"/>
          <w:b/>
          <w:bCs/>
          <w:sz w:val="20"/>
          <w:szCs w:val="20"/>
          <w:lang w:val="en-US"/>
        </w:rPr>
        <w:t xml:space="preserve">                          </w:t>
      </w:r>
      <w:r w:rsidR="005625B5" w:rsidRPr="001839C6">
        <w:rPr>
          <w:rFonts w:ascii="Century Gothic" w:hAnsi="Century Gothic" w:cs="Times New Roman"/>
          <w:b/>
          <w:bCs/>
          <w:sz w:val="20"/>
          <w:szCs w:val="20"/>
        </w:rPr>
        <w:t xml:space="preserve">Site de Twajil (15 ha) </w:t>
      </w:r>
    </w:p>
    <w:p w14:paraId="7BAC80BF" w14:textId="77777777" w:rsidR="005625B5" w:rsidRPr="001839C6" w:rsidRDefault="005625B5" w:rsidP="005625B5">
      <w:pPr>
        <w:spacing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Coordonnées GPS (15 ha)</w:t>
      </w:r>
      <w:r w:rsidRPr="001839C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3022"/>
        <w:gridCol w:w="3027"/>
      </w:tblGrid>
      <w:tr w:rsidR="005625B5" w:rsidRPr="00263B1B" w14:paraId="06C7A2D8" w14:textId="77777777" w:rsidTr="00FB354B">
        <w:tc>
          <w:tcPr>
            <w:tcW w:w="3116" w:type="dxa"/>
            <w:shd w:val="clear" w:color="auto" w:fill="auto"/>
          </w:tcPr>
          <w:p w14:paraId="23D40CEF" w14:textId="77777777" w:rsidR="005625B5" w:rsidRPr="00263B1B" w:rsidRDefault="005625B5" w:rsidP="00FB354B">
            <w:pPr>
              <w:tabs>
                <w:tab w:val="left" w:pos="1861"/>
              </w:tabs>
              <w:spacing w:after="0" w:line="276" w:lineRule="auto"/>
              <w:jc w:val="center"/>
              <w:rPr>
                <w:rFonts w:ascii="Century Gothic" w:hAnsi="Century Gothic" w:cs="Times New Roman"/>
                <w:b/>
                <w:bCs/>
                <w:sz w:val="20"/>
                <w:szCs w:val="20"/>
              </w:rPr>
            </w:pPr>
            <w:r w:rsidRPr="00263B1B">
              <w:rPr>
                <w:rFonts w:ascii="Century Gothic" w:hAnsi="Century Gothic" w:cs="Times New Roman"/>
                <w:b/>
                <w:bCs/>
                <w:sz w:val="20"/>
                <w:szCs w:val="20"/>
              </w:rPr>
              <w:t>Point</w:t>
            </w:r>
          </w:p>
        </w:tc>
        <w:tc>
          <w:tcPr>
            <w:tcW w:w="3117" w:type="dxa"/>
            <w:shd w:val="clear" w:color="auto" w:fill="auto"/>
          </w:tcPr>
          <w:p w14:paraId="1900F5E2" w14:textId="77777777" w:rsidR="005625B5" w:rsidRPr="00263B1B" w:rsidRDefault="005625B5" w:rsidP="00FB354B">
            <w:pPr>
              <w:tabs>
                <w:tab w:val="left" w:pos="1861"/>
              </w:tabs>
              <w:spacing w:after="0" w:line="276" w:lineRule="auto"/>
              <w:jc w:val="center"/>
              <w:rPr>
                <w:rFonts w:ascii="Century Gothic" w:hAnsi="Century Gothic" w:cs="Times New Roman"/>
                <w:b/>
                <w:bCs/>
                <w:sz w:val="20"/>
                <w:szCs w:val="20"/>
              </w:rPr>
            </w:pPr>
            <w:r w:rsidRPr="00263B1B">
              <w:rPr>
                <w:rFonts w:ascii="Century Gothic" w:hAnsi="Century Gothic" w:cs="Times New Roman"/>
                <w:b/>
                <w:bCs/>
                <w:sz w:val="20"/>
                <w:szCs w:val="20"/>
              </w:rPr>
              <w:t>X</w:t>
            </w:r>
          </w:p>
        </w:tc>
        <w:tc>
          <w:tcPr>
            <w:tcW w:w="3117" w:type="dxa"/>
            <w:shd w:val="clear" w:color="auto" w:fill="auto"/>
          </w:tcPr>
          <w:p w14:paraId="54E59666" w14:textId="77777777" w:rsidR="005625B5" w:rsidRPr="00263B1B" w:rsidRDefault="005625B5" w:rsidP="00FB354B">
            <w:pPr>
              <w:tabs>
                <w:tab w:val="left" w:pos="1861"/>
              </w:tabs>
              <w:spacing w:after="0" w:line="276" w:lineRule="auto"/>
              <w:jc w:val="center"/>
              <w:rPr>
                <w:rFonts w:ascii="Century Gothic" w:hAnsi="Century Gothic" w:cs="Times New Roman"/>
                <w:b/>
                <w:bCs/>
                <w:sz w:val="20"/>
                <w:szCs w:val="20"/>
              </w:rPr>
            </w:pPr>
            <w:r w:rsidRPr="00263B1B">
              <w:rPr>
                <w:rFonts w:ascii="Century Gothic" w:hAnsi="Century Gothic" w:cs="Times New Roman"/>
                <w:b/>
                <w:bCs/>
                <w:sz w:val="20"/>
                <w:szCs w:val="20"/>
              </w:rPr>
              <w:t>Y</w:t>
            </w:r>
          </w:p>
        </w:tc>
      </w:tr>
      <w:tr w:rsidR="005625B5" w:rsidRPr="00263B1B" w14:paraId="2E80AC40" w14:textId="77777777" w:rsidTr="00FB354B">
        <w:tc>
          <w:tcPr>
            <w:tcW w:w="3116" w:type="dxa"/>
            <w:shd w:val="clear" w:color="auto" w:fill="auto"/>
          </w:tcPr>
          <w:p w14:paraId="33BEFF80" w14:textId="77777777" w:rsidR="005625B5" w:rsidRPr="00263B1B" w:rsidRDefault="005625B5" w:rsidP="00FB354B">
            <w:pPr>
              <w:tabs>
                <w:tab w:val="left" w:pos="1861"/>
              </w:tabs>
              <w:spacing w:after="0" w:line="276" w:lineRule="auto"/>
              <w:jc w:val="center"/>
              <w:rPr>
                <w:rFonts w:ascii="Century Gothic" w:hAnsi="Century Gothic" w:cs="Times New Roman"/>
                <w:sz w:val="20"/>
                <w:szCs w:val="20"/>
              </w:rPr>
            </w:pPr>
            <w:r w:rsidRPr="00263B1B">
              <w:rPr>
                <w:rFonts w:ascii="Century Gothic" w:hAnsi="Century Gothic" w:cs="Times New Roman"/>
                <w:sz w:val="20"/>
                <w:szCs w:val="20"/>
              </w:rPr>
              <w:t>A</w:t>
            </w:r>
          </w:p>
        </w:tc>
        <w:tc>
          <w:tcPr>
            <w:tcW w:w="3117" w:type="dxa"/>
            <w:shd w:val="clear" w:color="auto" w:fill="auto"/>
          </w:tcPr>
          <w:p w14:paraId="415CB2D5" w14:textId="77777777" w:rsidR="005625B5" w:rsidRPr="00263B1B" w:rsidRDefault="005625B5" w:rsidP="00FB354B">
            <w:pPr>
              <w:tabs>
                <w:tab w:val="left" w:pos="1861"/>
              </w:tabs>
              <w:spacing w:after="0" w:line="276" w:lineRule="auto"/>
              <w:jc w:val="center"/>
              <w:rPr>
                <w:rFonts w:ascii="Century Gothic" w:hAnsi="Century Gothic" w:cs="Times New Roman"/>
                <w:sz w:val="20"/>
                <w:szCs w:val="20"/>
              </w:rPr>
            </w:pPr>
            <w:r w:rsidRPr="00263B1B">
              <w:rPr>
                <w:rFonts w:ascii="Century Gothic" w:hAnsi="Century Gothic" w:cs="Times New Roman"/>
                <w:sz w:val="20"/>
                <w:szCs w:val="20"/>
              </w:rPr>
              <w:t xml:space="preserve">740121 </w:t>
            </w:r>
            <w:proofErr w:type="spellStart"/>
            <w:r w:rsidRPr="00263B1B">
              <w:rPr>
                <w:rFonts w:ascii="Century Gothic" w:hAnsi="Century Gothic" w:cs="Times New Roman"/>
                <w:sz w:val="20"/>
                <w:szCs w:val="20"/>
              </w:rPr>
              <w:t>mE</w:t>
            </w:r>
            <w:proofErr w:type="spellEnd"/>
          </w:p>
        </w:tc>
        <w:tc>
          <w:tcPr>
            <w:tcW w:w="3117" w:type="dxa"/>
            <w:shd w:val="clear" w:color="auto" w:fill="auto"/>
          </w:tcPr>
          <w:p w14:paraId="1C456D59" w14:textId="77777777" w:rsidR="005625B5" w:rsidRPr="00263B1B" w:rsidRDefault="005625B5" w:rsidP="00FB354B">
            <w:pPr>
              <w:tabs>
                <w:tab w:val="left" w:pos="1861"/>
              </w:tabs>
              <w:spacing w:after="0" w:line="276" w:lineRule="auto"/>
              <w:jc w:val="center"/>
              <w:rPr>
                <w:rFonts w:ascii="Century Gothic" w:hAnsi="Century Gothic" w:cs="Times New Roman"/>
                <w:sz w:val="20"/>
                <w:szCs w:val="20"/>
              </w:rPr>
            </w:pPr>
            <w:r w:rsidRPr="00263B1B">
              <w:rPr>
                <w:rFonts w:ascii="Century Gothic" w:hAnsi="Century Gothic" w:cs="Times New Roman"/>
                <w:sz w:val="20"/>
                <w:szCs w:val="20"/>
              </w:rPr>
              <w:t>2454656 mN</w:t>
            </w:r>
          </w:p>
        </w:tc>
      </w:tr>
      <w:tr w:rsidR="005625B5" w:rsidRPr="00263B1B" w14:paraId="45648330" w14:textId="77777777" w:rsidTr="00FB354B">
        <w:tc>
          <w:tcPr>
            <w:tcW w:w="3116" w:type="dxa"/>
            <w:shd w:val="clear" w:color="auto" w:fill="auto"/>
          </w:tcPr>
          <w:p w14:paraId="195CE094" w14:textId="77777777" w:rsidR="005625B5" w:rsidRPr="00263B1B" w:rsidRDefault="005625B5" w:rsidP="00FB354B">
            <w:pPr>
              <w:tabs>
                <w:tab w:val="left" w:pos="1861"/>
              </w:tabs>
              <w:spacing w:after="0" w:line="276" w:lineRule="auto"/>
              <w:jc w:val="center"/>
              <w:rPr>
                <w:rFonts w:ascii="Century Gothic" w:hAnsi="Century Gothic" w:cs="Times New Roman"/>
                <w:sz w:val="20"/>
                <w:szCs w:val="20"/>
              </w:rPr>
            </w:pPr>
            <w:r w:rsidRPr="00263B1B">
              <w:rPr>
                <w:rFonts w:ascii="Century Gothic" w:hAnsi="Century Gothic" w:cs="Times New Roman"/>
                <w:sz w:val="20"/>
                <w:szCs w:val="20"/>
              </w:rPr>
              <w:t>B</w:t>
            </w:r>
          </w:p>
        </w:tc>
        <w:tc>
          <w:tcPr>
            <w:tcW w:w="3117" w:type="dxa"/>
            <w:shd w:val="clear" w:color="auto" w:fill="auto"/>
          </w:tcPr>
          <w:p w14:paraId="1B2052A1" w14:textId="77777777" w:rsidR="005625B5" w:rsidRPr="00263B1B" w:rsidRDefault="005625B5" w:rsidP="00FB354B">
            <w:pPr>
              <w:tabs>
                <w:tab w:val="left" w:pos="1861"/>
              </w:tabs>
              <w:spacing w:after="0" w:line="276" w:lineRule="auto"/>
              <w:jc w:val="center"/>
              <w:rPr>
                <w:rFonts w:ascii="Century Gothic" w:hAnsi="Century Gothic" w:cs="Times New Roman"/>
                <w:sz w:val="20"/>
                <w:szCs w:val="20"/>
              </w:rPr>
            </w:pPr>
            <w:r w:rsidRPr="00263B1B">
              <w:rPr>
                <w:rFonts w:ascii="Century Gothic" w:hAnsi="Century Gothic" w:cs="Times New Roman"/>
                <w:sz w:val="20"/>
                <w:szCs w:val="20"/>
              </w:rPr>
              <w:t xml:space="preserve">740246 </w:t>
            </w:r>
            <w:proofErr w:type="spellStart"/>
            <w:r w:rsidRPr="00263B1B">
              <w:rPr>
                <w:rFonts w:ascii="Century Gothic" w:hAnsi="Century Gothic" w:cs="Times New Roman"/>
                <w:sz w:val="20"/>
                <w:szCs w:val="20"/>
              </w:rPr>
              <w:t>mE</w:t>
            </w:r>
            <w:proofErr w:type="spellEnd"/>
          </w:p>
        </w:tc>
        <w:tc>
          <w:tcPr>
            <w:tcW w:w="3117" w:type="dxa"/>
            <w:shd w:val="clear" w:color="auto" w:fill="auto"/>
          </w:tcPr>
          <w:p w14:paraId="420E9B31" w14:textId="77777777" w:rsidR="005625B5" w:rsidRPr="00263B1B" w:rsidRDefault="005625B5" w:rsidP="00FB354B">
            <w:pPr>
              <w:tabs>
                <w:tab w:val="left" w:pos="1861"/>
              </w:tabs>
              <w:spacing w:after="0" w:line="276" w:lineRule="auto"/>
              <w:jc w:val="center"/>
              <w:rPr>
                <w:rFonts w:ascii="Century Gothic" w:hAnsi="Century Gothic" w:cs="Times New Roman"/>
                <w:sz w:val="20"/>
                <w:szCs w:val="20"/>
              </w:rPr>
            </w:pPr>
            <w:r w:rsidRPr="00263B1B">
              <w:rPr>
                <w:rFonts w:ascii="Century Gothic" w:hAnsi="Century Gothic" w:cs="Times New Roman"/>
                <w:sz w:val="20"/>
                <w:szCs w:val="20"/>
              </w:rPr>
              <w:t>2454739 mN</w:t>
            </w:r>
          </w:p>
        </w:tc>
      </w:tr>
      <w:tr w:rsidR="005625B5" w:rsidRPr="00263B1B" w14:paraId="5EFFEB22" w14:textId="77777777" w:rsidTr="00FB354B">
        <w:tc>
          <w:tcPr>
            <w:tcW w:w="3116" w:type="dxa"/>
            <w:shd w:val="clear" w:color="auto" w:fill="auto"/>
          </w:tcPr>
          <w:p w14:paraId="3C09A0DA" w14:textId="77777777" w:rsidR="005625B5" w:rsidRPr="00263B1B" w:rsidRDefault="005625B5" w:rsidP="00FB354B">
            <w:pPr>
              <w:tabs>
                <w:tab w:val="left" w:pos="1861"/>
              </w:tabs>
              <w:spacing w:after="0" w:line="276" w:lineRule="auto"/>
              <w:jc w:val="center"/>
              <w:rPr>
                <w:rFonts w:ascii="Century Gothic" w:hAnsi="Century Gothic" w:cs="Times New Roman"/>
                <w:sz w:val="20"/>
                <w:szCs w:val="20"/>
              </w:rPr>
            </w:pPr>
            <w:r w:rsidRPr="00263B1B">
              <w:rPr>
                <w:rFonts w:ascii="Century Gothic" w:hAnsi="Century Gothic" w:cs="Times New Roman"/>
                <w:sz w:val="20"/>
                <w:szCs w:val="20"/>
              </w:rPr>
              <w:t>C</w:t>
            </w:r>
          </w:p>
        </w:tc>
        <w:tc>
          <w:tcPr>
            <w:tcW w:w="3117" w:type="dxa"/>
            <w:shd w:val="clear" w:color="auto" w:fill="auto"/>
          </w:tcPr>
          <w:p w14:paraId="586CB1EC" w14:textId="77777777" w:rsidR="005625B5" w:rsidRPr="00263B1B" w:rsidRDefault="005625B5" w:rsidP="00FB354B">
            <w:pPr>
              <w:tabs>
                <w:tab w:val="left" w:pos="1861"/>
              </w:tabs>
              <w:spacing w:after="0" w:line="276" w:lineRule="auto"/>
              <w:jc w:val="center"/>
              <w:rPr>
                <w:rFonts w:ascii="Century Gothic" w:hAnsi="Century Gothic" w:cs="Times New Roman"/>
                <w:sz w:val="20"/>
                <w:szCs w:val="20"/>
              </w:rPr>
            </w:pPr>
            <w:r w:rsidRPr="00263B1B">
              <w:rPr>
                <w:rFonts w:ascii="Century Gothic" w:hAnsi="Century Gothic" w:cs="Times New Roman"/>
                <w:sz w:val="20"/>
                <w:szCs w:val="20"/>
              </w:rPr>
              <w:t xml:space="preserve">740218 </w:t>
            </w:r>
            <w:proofErr w:type="spellStart"/>
            <w:r w:rsidRPr="00263B1B">
              <w:rPr>
                <w:rFonts w:ascii="Century Gothic" w:hAnsi="Century Gothic" w:cs="Times New Roman"/>
                <w:sz w:val="20"/>
                <w:szCs w:val="20"/>
              </w:rPr>
              <w:t>mE</w:t>
            </w:r>
            <w:proofErr w:type="spellEnd"/>
          </w:p>
        </w:tc>
        <w:tc>
          <w:tcPr>
            <w:tcW w:w="3117" w:type="dxa"/>
            <w:shd w:val="clear" w:color="auto" w:fill="auto"/>
          </w:tcPr>
          <w:p w14:paraId="5CF285B2" w14:textId="77777777" w:rsidR="005625B5" w:rsidRPr="00263B1B" w:rsidRDefault="005625B5" w:rsidP="00FB354B">
            <w:pPr>
              <w:tabs>
                <w:tab w:val="left" w:pos="1861"/>
              </w:tabs>
              <w:spacing w:after="0" w:line="276" w:lineRule="auto"/>
              <w:jc w:val="center"/>
              <w:rPr>
                <w:rFonts w:ascii="Century Gothic" w:hAnsi="Century Gothic" w:cs="Times New Roman"/>
                <w:sz w:val="20"/>
                <w:szCs w:val="20"/>
              </w:rPr>
            </w:pPr>
            <w:r w:rsidRPr="00263B1B">
              <w:rPr>
                <w:rFonts w:ascii="Century Gothic" w:hAnsi="Century Gothic" w:cs="Times New Roman"/>
                <w:sz w:val="20"/>
                <w:szCs w:val="20"/>
              </w:rPr>
              <w:t>2453718 mN</w:t>
            </w:r>
          </w:p>
        </w:tc>
      </w:tr>
      <w:tr w:rsidR="005625B5" w:rsidRPr="00263B1B" w14:paraId="302490D8" w14:textId="77777777" w:rsidTr="00FB354B">
        <w:tc>
          <w:tcPr>
            <w:tcW w:w="3116" w:type="dxa"/>
            <w:shd w:val="clear" w:color="auto" w:fill="auto"/>
          </w:tcPr>
          <w:p w14:paraId="1AEC5FA8" w14:textId="77777777" w:rsidR="005625B5" w:rsidRPr="00263B1B" w:rsidRDefault="005625B5" w:rsidP="00FB354B">
            <w:pPr>
              <w:tabs>
                <w:tab w:val="left" w:pos="1861"/>
              </w:tabs>
              <w:spacing w:after="0" w:line="276" w:lineRule="auto"/>
              <w:jc w:val="center"/>
              <w:rPr>
                <w:rFonts w:ascii="Century Gothic" w:hAnsi="Century Gothic" w:cs="Times New Roman"/>
                <w:sz w:val="20"/>
                <w:szCs w:val="20"/>
              </w:rPr>
            </w:pPr>
            <w:r w:rsidRPr="00263B1B">
              <w:rPr>
                <w:rFonts w:ascii="Century Gothic" w:hAnsi="Century Gothic" w:cs="Times New Roman"/>
                <w:sz w:val="20"/>
                <w:szCs w:val="20"/>
              </w:rPr>
              <w:t>D</w:t>
            </w:r>
          </w:p>
        </w:tc>
        <w:tc>
          <w:tcPr>
            <w:tcW w:w="3117" w:type="dxa"/>
            <w:shd w:val="clear" w:color="auto" w:fill="auto"/>
          </w:tcPr>
          <w:p w14:paraId="791E5D82" w14:textId="77777777" w:rsidR="005625B5" w:rsidRPr="00263B1B" w:rsidRDefault="005625B5" w:rsidP="00FB354B">
            <w:pPr>
              <w:tabs>
                <w:tab w:val="left" w:pos="1861"/>
              </w:tabs>
              <w:spacing w:after="0" w:line="276" w:lineRule="auto"/>
              <w:jc w:val="center"/>
              <w:rPr>
                <w:rFonts w:ascii="Century Gothic" w:hAnsi="Century Gothic" w:cs="Times New Roman"/>
                <w:sz w:val="20"/>
                <w:szCs w:val="20"/>
              </w:rPr>
            </w:pPr>
            <w:r w:rsidRPr="00263B1B">
              <w:rPr>
                <w:rFonts w:ascii="Century Gothic" w:hAnsi="Century Gothic" w:cs="Times New Roman"/>
                <w:sz w:val="20"/>
                <w:szCs w:val="20"/>
              </w:rPr>
              <w:t xml:space="preserve">740057 </w:t>
            </w:r>
            <w:proofErr w:type="spellStart"/>
            <w:r w:rsidRPr="00263B1B">
              <w:rPr>
                <w:rFonts w:ascii="Century Gothic" w:hAnsi="Century Gothic" w:cs="Times New Roman"/>
                <w:sz w:val="20"/>
                <w:szCs w:val="20"/>
              </w:rPr>
              <w:t>mE</w:t>
            </w:r>
            <w:proofErr w:type="spellEnd"/>
          </w:p>
        </w:tc>
        <w:tc>
          <w:tcPr>
            <w:tcW w:w="3117" w:type="dxa"/>
            <w:shd w:val="clear" w:color="auto" w:fill="auto"/>
          </w:tcPr>
          <w:p w14:paraId="1CF64E3F" w14:textId="77777777" w:rsidR="005625B5" w:rsidRPr="00263B1B" w:rsidRDefault="005625B5" w:rsidP="00FB354B">
            <w:pPr>
              <w:tabs>
                <w:tab w:val="left" w:pos="1861"/>
              </w:tabs>
              <w:spacing w:after="0" w:line="276" w:lineRule="auto"/>
              <w:jc w:val="center"/>
              <w:rPr>
                <w:rFonts w:ascii="Century Gothic" w:hAnsi="Century Gothic" w:cs="Times New Roman"/>
                <w:sz w:val="20"/>
                <w:szCs w:val="20"/>
              </w:rPr>
            </w:pPr>
            <w:r w:rsidRPr="00263B1B">
              <w:rPr>
                <w:rFonts w:ascii="Century Gothic" w:hAnsi="Century Gothic" w:cs="Times New Roman"/>
                <w:sz w:val="20"/>
                <w:szCs w:val="20"/>
              </w:rPr>
              <w:t>2453730 mN</w:t>
            </w:r>
          </w:p>
        </w:tc>
      </w:tr>
    </w:tbl>
    <w:p w14:paraId="05D56CAA" w14:textId="77777777" w:rsidR="005625B5" w:rsidRPr="00263B1B" w:rsidRDefault="005625B5" w:rsidP="005625B5">
      <w:pPr>
        <w:tabs>
          <w:tab w:val="left" w:pos="426"/>
        </w:tabs>
        <w:spacing w:after="0" w:line="276" w:lineRule="auto"/>
        <w:jc w:val="both"/>
        <w:rPr>
          <w:rFonts w:ascii="Century Gothic" w:hAnsi="Century Gothic"/>
          <w:noProof/>
          <w:lang w:eastAsia="fr-FR"/>
        </w:rPr>
      </w:pPr>
    </w:p>
    <w:p w14:paraId="1AE7EAB6" w14:textId="77777777" w:rsidR="005625B5" w:rsidRPr="008A5E2E" w:rsidRDefault="005625B5" w:rsidP="005625B5">
      <w:pPr>
        <w:spacing w:line="276" w:lineRule="auto"/>
        <w:jc w:val="both"/>
        <w:rPr>
          <w:rFonts w:ascii="Century Gothic" w:hAnsi="Century Gothic" w:cs="Times New Roman"/>
          <w:b/>
          <w:bCs/>
          <w:sz w:val="24"/>
          <w:szCs w:val="24"/>
        </w:rPr>
      </w:pPr>
      <w:r w:rsidRPr="008A5E2E">
        <w:rPr>
          <w:rFonts w:ascii="Century Gothic" w:hAnsi="Century Gothic" w:cs="Times New Roman"/>
          <w:b/>
          <w:bCs/>
          <w:sz w:val="24"/>
          <w:szCs w:val="24"/>
        </w:rPr>
        <w:t>Site de</w:t>
      </w:r>
      <w:r>
        <w:rPr>
          <w:rFonts w:ascii="Century Gothic" w:hAnsi="Century Gothic" w:cs="Times New Roman"/>
          <w:b/>
          <w:bCs/>
          <w:sz w:val="24"/>
          <w:szCs w:val="24"/>
        </w:rPr>
        <w:t xml:space="preserve"> Zouerate</w:t>
      </w:r>
      <w:r w:rsidRPr="008A5E2E">
        <w:rPr>
          <w:rFonts w:ascii="Century Gothic" w:hAnsi="Century Gothic" w:cs="Times New Roman"/>
          <w:b/>
          <w:bCs/>
          <w:sz w:val="24"/>
          <w:szCs w:val="24"/>
        </w:rPr>
        <w:t xml:space="preserve"> : </w:t>
      </w:r>
    </w:p>
    <w:p w14:paraId="4E240FD3" w14:textId="77777777" w:rsidR="005625B5" w:rsidRDefault="005625B5" w:rsidP="005625B5">
      <w:pPr>
        <w:spacing w:line="276" w:lineRule="auto"/>
        <w:jc w:val="both"/>
        <w:rPr>
          <w:rFonts w:ascii="Century Gothic" w:hAnsi="Century Gothic" w:cs="Times New Roman"/>
          <w:sz w:val="24"/>
          <w:szCs w:val="24"/>
        </w:rPr>
      </w:pPr>
      <w:r w:rsidRPr="00C10CC3">
        <w:rPr>
          <w:rFonts w:ascii="Century Gothic" w:hAnsi="Century Gothic" w:cs="Times New Roman"/>
          <w:sz w:val="24"/>
          <w:szCs w:val="24"/>
          <w:u w:val="single"/>
        </w:rPr>
        <w:t>Commune</w:t>
      </w:r>
      <w:r w:rsidRPr="00C10CC3">
        <w:rPr>
          <w:rFonts w:ascii="Century Gothic" w:hAnsi="Century Gothic" w:cs="Times New Roman"/>
          <w:sz w:val="24"/>
          <w:szCs w:val="24"/>
        </w:rPr>
        <w:t xml:space="preserve"> : </w:t>
      </w:r>
      <w:proofErr w:type="gramStart"/>
      <w:r w:rsidRPr="00C10CC3">
        <w:rPr>
          <w:rFonts w:ascii="Century Gothic" w:hAnsi="Century Gothic" w:cs="Times New Roman"/>
          <w:sz w:val="24"/>
          <w:szCs w:val="24"/>
        </w:rPr>
        <w:t xml:space="preserve">Zouerate  </w:t>
      </w:r>
      <w:r w:rsidRPr="00C10CC3">
        <w:rPr>
          <w:rFonts w:ascii="Century Gothic" w:hAnsi="Century Gothic" w:cs="Times New Roman"/>
          <w:sz w:val="24"/>
          <w:szCs w:val="24"/>
        </w:rPr>
        <w:tab/>
      </w:r>
      <w:proofErr w:type="gramEnd"/>
      <w:r w:rsidRPr="00C10CC3">
        <w:rPr>
          <w:rFonts w:ascii="Century Gothic" w:hAnsi="Century Gothic" w:cs="Times New Roman"/>
          <w:sz w:val="24"/>
          <w:szCs w:val="24"/>
        </w:rPr>
        <w:tab/>
      </w:r>
      <w:proofErr w:type="gramStart"/>
      <w:r w:rsidRPr="00C10CC3">
        <w:rPr>
          <w:rFonts w:ascii="Century Gothic" w:hAnsi="Century Gothic" w:cs="Times New Roman"/>
          <w:sz w:val="24"/>
          <w:szCs w:val="24"/>
          <w:u w:val="single"/>
        </w:rPr>
        <w:t>Moughataa</w:t>
      </w:r>
      <w:r w:rsidRPr="00C10CC3">
        <w:rPr>
          <w:rFonts w:ascii="Century Gothic" w:hAnsi="Century Gothic" w:cs="Times New Roman"/>
          <w:sz w:val="24"/>
          <w:szCs w:val="24"/>
        </w:rPr>
        <w:t>:</w:t>
      </w:r>
      <w:proofErr w:type="gramEnd"/>
      <w:r w:rsidRPr="00C10CC3">
        <w:rPr>
          <w:rFonts w:ascii="Century Gothic" w:hAnsi="Century Gothic" w:cs="Times New Roman"/>
          <w:sz w:val="24"/>
          <w:szCs w:val="24"/>
        </w:rPr>
        <w:t xml:space="preserve"> Zouerate</w:t>
      </w:r>
    </w:p>
    <w:p w14:paraId="587FE4F9" w14:textId="77777777" w:rsidR="005625B5" w:rsidRPr="00C10CC3" w:rsidRDefault="005625B5" w:rsidP="005625B5">
      <w:pPr>
        <w:spacing w:line="276" w:lineRule="auto"/>
        <w:jc w:val="both"/>
        <w:rPr>
          <w:rFonts w:ascii="Century Gothic" w:hAnsi="Century Gothic" w:cs="Times New Roman"/>
          <w:sz w:val="24"/>
          <w:szCs w:val="24"/>
        </w:rPr>
      </w:pPr>
      <w:r w:rsidRPr="00C10CC3">
        <w:rPr>
          <w:rFonts w:ascii="Century Gothic" w:hAnsi="Century Gothic" w:cs="Times New Roman"/>
          <w:sz w:val="24"/>
          <w:szCs w:val="24"/>
        </w:rPr>
        <w:t xml:space="preserve">   </w:t>
      </w:r>
      <w:r w:rsidRPr="00C10CC3">
        <w:rPr>
          <w:rFonts w:ascii="Century Gothic" w:hAnsi="Century Gothic" w:cs="Times New Roman"/>
          <w:sz w:val="24"/>
          <w:szCs w:val="24"/>
        </w:rPr>
        <w:tab/>
      </w:r>
      <w:r w:rsidRPr="00C10CC3">
        <w:rPr>
          <w:rFonts w:ascii="Century Gothic" w:hAnsi="Century Gothic" w:cs="Times New Roman"/>
          <w:sz w:val="24"/>
          <w:szCs w:val="24"/>
          <w:u w:val="single"/>
        </w:rPr>
        <w:t>Wilaya</w:t>
      </w:r>
      <w:r w:rsidRPr="00C10CC3">
        <w:rPr>
          <w:rFonts w:ascii="Century Gothic" w:hAnsi="Century Gothic" w:cs="Times New Roman"/>
          <w:sz w:val="24"/>
          <w:szCs w:val="24"/>
        </w:rPr>
        <w:t xml:space="preserve"> : Tiris Zemmour </w:t>
      </w:r>
    </w:p>
    <w:p w14:paraId="3D7FFDB2" w14:textId="7302B465" w:rsidR="005625B5" w:rsidRPr="00CE3A79" w:rsidRDefault="005625B5" w:rsidP="005625B5">
      <w:pPr>
        <w:spacing w:line="276" w:lineRule="auto"/>
        <w:jc w:val="center"/>
        <w:rPr>
          <w:rFonts w:ascii="Century Gothic" w:hAnsi="Century Gothic"/>
          <w:b/>
          <w:noProof/>
          <w:sz w:val="16"/>
          <w:szCs w:val="16"/>
          <w:lang w:eastAsia="fr-FR"/>
        </w:rPr>
      </w:pPr>
    </w:p>
    <w:p w14:paraId="72347C50" w14:textId="77777777" w:rsidR="005625B5" w:rsidRPr="00263B1B" w:rsidRDefault="005625B5" w:rsidP="005625B5">
      <w:pPr>
        <w:spacing w:line="276" w:lineRule="auto"/>
        <w:jc w:val="center"/>
        <w:rPr>
          <w:rFonts w:ascii="Century Gothic" w:hAnsi="Century Gothic"/>
          <w:b/>
          <w:bCs/>
          <w:sz w:val="20"/>
          <w:szCs w:val="20"/>
        </w:rPr>
      </w:pPr>
      <w:r w:rsidRPr="00263B1B">
        <w:rPr>
          <w:rFonts w:ascii="Century Gothic" w:hAnsi="Century Gothic"/>
          <w:b/>
          <w:noProof/>
          <w:sz w:val="20"/>
          <w:szCs w:val="20"/>
          <w:lang w:eastAsia="fr-FR"/>
        </w:rPr>
        <w:t xml:space="preserve">Sites de Zouerate (110 ha)et Ouad Chwabine (115 ha) </w:t>
      </w:r>
    </w:p>
    <w:p w14:paraId="6292036B" w14:textId="0994D532" w:rsidR="005625B5" w:rsidRPr="001839C6" w:rsidRDefault="005625B5" w:rsidP="005625B5">
      <w:pPr>
        <w:spacing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Coordonnées GPS</w:t>
      </w:r>
      <w:r w:rsidRPr="001839C6">
        <w:rPr>
          <w:rFonts w:ascii="Century Gothic" w:hAnsi="Century Gothic" w:cs="Times New Roman"/>
          <w:b/>
          <w:bCs/>
          <w:sz w:val="20"/>
          <w:szCs w:val="20"/>
        </w:rPr>
        <w:t xml:space="preserve"> : </w:t>
      </w:r>
      <w:r w:rsidRPr="00C10CC3">
        <w:rPr>
          <w:rFonts w:ascii="Century Gothic" w:hAnsi="Century Gothic"/>
          <w:b/>
          <w:bCs/>
          <w:sz w:val="20"/>
          <w:szCs w:val="20"/>
        </w:rPr>
        <w:t xml:space="preserve">Site de Ouad </w:t>
      </w:r>
      <w:r w:rsidR="00D03F95" w:rsidRPr="00C10CC3">
        <w:rPr>
          <w:rFonts w:ascii="Century Gothic" w:hAnsi="Century Gothic"/>
          <w:b/>
          <w:bCs/>
          <w:sz w:val="20"/>
          <w:szCs w:val="20"/>
        </w:rPr>
        <w:t>Chwabine (</w:t>
      </w:r>
      <w:r w:rsidRPr="00C10CC3">
        <w:rPr>
          <w:rFonts w:ascii="Century Gothic" w:hAnsi="Century Gothic"/>
          <w:b/>
          <w:bCs/>
          <w:sz w:val="20"/>
          <w:szCs w:val="20"/>
        </w:rPr>
        <w:t>115ha)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024"/>
        <w:gridCol w:w="3026"/>
      </w:tblGrid>
      <w:tr w:rsidR="005625B5" w:rsidRPr="005F17FF" w14:paraId="0412ECA3" w14:textId="77777777" w:rsidTr="00FB354B">
        <w:trPr>
          <w:trHeight w:val="454"/>
        </w:trPr>
        <w:tc>
          <w:tcPr>
            <w:tcW w:w="3116" w:type="dxa"/>
            <w:shd w:val="clear" w:color="auto" w:fill="auto"/>
          </w:tcPr>
          <w:p w14:paraId="169A118A" w14:textId="77777777" w:rsidR="005625B5" w:rsidRPr="005F17FF" w:rsidRDefault="005625B5" w:rsidP="00FB354B">
            <w:pPr>
              <w:spacing w:after="0" w:line="276" w:lineRule="auto"/>
              <w:jc w:val="center"/>
              <w:rPr>
                <w:rFonts w:ascii="Century Gothic" w:hAnsi="Century Gothic"/>
                <w:b/>
                <w:bCs/>
                <w:sz w:val="20"/>
                <w:szCs w:val="20"/>
              </w:rPr>
            </w:pPr>
            <w:r w:rsidRPr="005F17FF">
              <w:rPr>
                <w:rFonts w:ascii="Century Gothic" w:hAnsi="Century Gothic"/>
                <w:b/>
                <w:bCs/>
                <w:sz w:val="20"/>
                <w:szCs w:val="20"/>
              </w:rPr>
              <w:t>Point</w:t>
            </w:r>
          </w:p>
        </w:tc>
        <w:tc>
          <w:tcPr>
            <w:tcW w:w="3117" w:type="dxa"/>
            <w:shd w:val="clear" w:color="auto" w:fill="auto"/>
          </w:tcPr>
          <w:p w14:paraId="2F9FA3AA" w14:textId="77777777" w:rsidR="005625B5" w:rsidRPr="005F17FF" w:rsidRDefault="005625B5" w:rsidP="00FB354B">
            <w:pPr>
              <w:spacing w:after="0" w:line="276" w:lineRule="auto"/>
              <w:jc w:val="center"/>
              <w:rPr>
                <w:rFonts w:ascii="Century Gothic" w:hAnsi="Century Gothic"/>
                <w:b/>
                <w:bCs/>
                <w:sz w:val="20"/>
                <w:szCs w:val="20"/>
              </w:rPr>
            </w:pPr>
            <w:r w:rsidRPr="005F17FF">
              <w:rPr>
                <w:rFonts w:ascii="Century Gothic" w:hAnsi="Century Gothic"/>
                <w:b/>
                <w:bCs/>
                <w:sz w:val="20"/>
                <w:szCs w:val="20"/>
              </w:rPr>
              <w:t>X</w:t>
            </w:r>
          </w:p>
        </w:tc>
        <w:tc>
          <w:tcPr>
            <w:tcW w:w="3117" w:type="dxa"/>
            <w:shd w:val="clear" w:color="auto" w:fill="auto"/>
          </w:tcPr>
          <w:p w14:paraId="1A568401" w14:textId="77777777" w:rsidR="005625B5" w:rsidRPr="005F17FF" w:rsidRDefault="005625B5" w:rsidP="00FB354B">
            <w:pPr>
              <w:spacing w:after="0" w:line="276" w:lineRule="auto"/>
              <w:jc w:val="center"/>
              <w:rPr>
                <w:rFonts w:ascii="Century Gothic" w:hAnsi="Century Gothic"/>
                <w:b/>
                <w:bCs/>
                <w:sz w:val="20"/>
                <w:szCs w:val="20"/>
              </w:rPr>
            </w:pPr>
            <w:r w:rsidRPr="005F17FF">
              <w:rPr>
                <w:rFonts w:ascii="Century Gothic" w:hAnsi="Century Gothic"/>
                <w:b/>
                <w:bCs/>
                <w:sz w:val="20"/>
                <w:szCs w:val="20"/>
              </w:rPr>
              <w:t>Y</w:t>
            </w:r>
          </w:p>
        </w:tc>
      </w:tr>
      <w:tr w:rsidR="005625B5" w:rsidRPr="005F17FF" w14:paraId="7719A0E1" w14:textId="77777777" w:rsidTr="00FB354B">
        <w:tc>
          <w:tcPr>
            <w:tcW w:w="3116" w:type="dxa"/>
            <w:shd w:val="clear" w:color="auto" w:fill="auto"/>
          </w:tcPr>
          <w:p w14:paraId="650CED9F" w14:textId="77777777" w:rsidR="005625B5" w:rsidRPr="005F17FF" w:rsidRDefault="005625B5" w:rsidP="00FB354B">
            <w:pPr>
              <w:spacing w:after="0" w:line="276" w:lineRule="auto"/>
              <w:jc w:val="center"/>
              <w:rPr>
                <w:rFonts w:ascii="Century Gothic" w:hAnsi="Century Gothic"/>
                <w:sz w:val="20"/>
                <w:szCs w:val="20"/>
              </w:rPr>
            </w:pPr>
            <w:r w:rsidRPr="005F17FF">
              <w:rPr>
                <w:rFonts w:ascii="Century Gothic" w:hAnsi="Century Gothic"/>
                <w:sz w:val="20"/>
                <w:szCs w:val="20"/>
              </w:rPr>
              <w:t>A</w:t>
            </w:r>
          </w:p>
        </w:tc>
        <w:tc>
          <w:tcPr>
            <w:tcW w:w="3117" w:type="dxa"/>
            <w:shd w:val="clear" w:color="auto" w:fill="auto"/>
          </w:tcPr>
          <w:p w14:paraId="3C04E6BF" w14:textId="77777777" w:rsidR="005625B5" w:rsidRPr="005F17FF" w:rsidRDefault="005625B5" w:rsidP="00FB354B">
            <w:pPr>
              <w:spacing w:after="0" w:line="276" w:lineRule="auto"/>
              <w:jc w:val="center"/>
              <w:rPr>
                <w:rFonts w:ascii="Century Gothic" w:hAnsi="Century Gothic"/>
                <w:sz w:val="20"/>
                <w:szCs w:val="20"/>
              </w:rPr>
            </w:pPr>
            <w:r w:rsidRPr="005F17FF">
              <w:rPr>
                <w:rFonts w:ascii="Century Gothic" w:hAnsi="Century Gothic"/>
                <w:sz w:val="20"/>
                <w:szCs w:val="20"/>
              </w:rPr>
              <w:t>763365 m E</w:t>
            </w:r>
          </w:p>
        </w:tc>
        <w:tc>
          <w:tcPr>
            <w:tcW w:w="3117" w:type="dxa"/>
            <w:shd w:val="clear" w:color="auto" w:fill="auto"/>
          </w:tcPr>
          <w:p w14:paraId="2314FC23" w14:textId="77777777" w:rsidR="005625B5" w:rsidRPr="005F17FF" w:rsidRDefault="005625B5" w:rsidP="00FB354B">
            <w:pPr>
              <w:spacing w:after="0" w:line="276" w:lineRule="auto"/>
              <w:jc w:val="center"/>
              <w:rPr>
                <w:rFonts w:ascii="Century Gothic" w:hAnsi="Century Gothic"/>
                <w:sz w:val="20"/>
                <w:szCs w:val="20"/>
              </w:rPr>
            </w:pPr>
            <w:r w:rsidRPr="005F17FF">
              <w:rPr>
                <w:rFonts w:ascii="Century Gothic" w:hAnsi="Century Gothic"/>
                <w:sz w:val="20"/>
                <w:szCs w:val="20"/>
              </w:rPr>
              <w:t>2514037 m N</w:t>
            </w:r>
          </w:p>
        </w:tc>
      </w:tr>
      <w:tr w:rsidR="005625B5" w:rsidRPr="005F17FF" w14:paraId="7FB5F96F" w14:textId="77777777" w:rsidTr="00FB354B">
        <w:trPr>
          <w:trHeight w:val="422"/>
        </w:trPr>
        <w:tc>
          <w:tcPr>
            <w:tcW w:w="3116" w:type="dxa"/>
            <w:shd w:val="clear" w:color="auto" w:fill="auto"/>
          </w:tcPr>
          <w:p w14:paraId="2D3DD399" w14:textId="77777777" w:rsidR="005625B5" w:rsidRPr="005F17FF" w:rsidRDefault="005625B5" w:rsidP="00FB354B">
            <w:pPr>
              <w:spacing w:after="0" w:line="276" w:lineRule="auto"/>
              <w:jc w:val="center"/>
              <w:rPr>
                <w:rFonts w:ascii="Century Gothic" w:hAnsi="Century Gothic"/>
                <w:sz w:val="20"/>
                <w:szCs w:val="20"/>
              </w:rPr>
            </w:pPr>
            <w:r w:rsidRPr="005F17FF">
              <w:rPr>
                <w:rFonts w:ascii="Century Gothic" w:hAnsi="Century Gothic"/>
                <w:sz w:val="20"/>
                <w:szCs w:val="20"/>
              </w:rPr>
              <w:t>B</w:t>
            </w:r>
          </w:p>
        </w:tc>
        <w:tc>
          <w:tcPr>
            <w:tcW w:w="3117" w:type="dxa"/>
            <w:shd w:val="clear" w:color="auto" w:fill="auto"/>
          </w:tcPr>
          <w:p w14:paraId="37EB51CD" w14:textId="77777777" w:rsidR="005625B5" w:rsidRPr="005F17FF" w:rsidRDefault="005625B5" w:rsidP="00FB354B">
            <w:pPr>
              <w:spacing w:after="0" w:line="276" w:lineRule="auto"/>
              <w:jc w:val="center"/>
              <w:rPr>
                <w:rFonts w:ascii="Century Gothic" w:hAnsi="Century Gothic"/>
                <w:sz w:val="20"/>
                <w:szCs w:val="20"/>
              </w:rPr>
            </w:pPr>
            <w:r w:rsidRPr="005F17FF">
              <w:rPr>
                <w:rFonts w:ascii="Century Gothic" w:hAnsi="Century Gothic"/>
                <w:sz w:val="20"/>
                <w:szCs w:val="20"/>
              </w:rPr>
              <w:t xml:space="preserve">762886. </w:t>
            </w:r>
            <w:proofErr w:type="gramStart"/>
            <w:r w:rsidRPr="005F17FF">
              <w:rPr>
                <w:rFonts w:ascii="Century Gothic" w:hAnsi="Century Gothic"/>
                <w:sz w:val="20"/>
                <w:szCs w:val="20"/>
              </w:rPr>
              <w:t>m</w:t>
            </w:r>
            <w:proofErr w:type="gramEnd"/>
            <w:r w:rsidRPr="005F17FF">
              <w:rPr>
                <w:rFonts w:ascii="Century Gothic" w:hAnsi="Century Gothic"/>
                <w:sz w:val="20"/>
                <w:szCs w:val="20"/>
              </w:rPr>
              <w:t xml:space="preserve"> E</w:t>
            </w:r>
          </w:p>
        </w:tc>
        <w:tc>
          <w:tcPr>
            <w:tcW w:w="3117" w:type="dxa"/>
            <w:shd w:val="clear" w:color="auto" w:fill="auto"/>
          </w:tcPr>
          <w:p w14:paraId="59ADE84F" w14:textId="77777777" w:rsidR="005625B5" w:rsidRPr="005F17FF" w:rsidRDefault="005625B5" w:rsidP="00FB354B">
            <w:pPr>
              <w:spacing w:after="0" w:line="276" w:lineRule="auto"/>
              <w:jc w:val="center"/>
              <w:rPr>
                <w:rFonts w:ascii="Century Gothic" w:hAnsi="Century Gothic"/>
                <w:sz w:val="20"/>
                <w:szCs w:val="20"/>
              </w:rPr>
            </w:pPr>
            <w:r w:rsidRPr="005F17FF">
              <w:rPr>
                <w:rFonts w:ascii="Century Gothic" w:hAnsi="Century Gothic"/>
                <w:sz w:val="20"/>
                <w:szCs w:val="20"/>
              </w:rPr>
              <w:t>2513887 m N</w:t>
            </w:r>
          </w:p>
        </w:tc>
      </w:tr>
      <w:tr w:rsidR="005625B5" w:rsidRPr="005F17FF" w14:paraId="0D3AC094" w14:textId="77777777" w:rsidTr="00FB354B">
        <w:trPr>
          <w:trHeight w:val="287"/>
        </w:trPr>
        <w:tc>
          <w:tcPr>
            <w:tcW w:w="3116" w:type="dxa"/>
            <w:shd w:val="clear" w:color="auto" w:fill="auto"/>
          </w:tcPr>
          <w:p w14:paraId="032F1642" w14:textId="77777777" w:rsidR="005625B5" w:rsidRPr="005F17FF" w:rsidRDefault="005625B5" w:rsidP="00FB354B">
            <w:pPr>
              <w:spacing w:after="0" w:line="276" w:lineRule="auto"/>
              <w:jc w:val="center"/>
              <w:rPr>
                <w:rFonts w:ascii="Century Gothic" w:hAnsi="Century Gothic"/>
                <w:sz w:val="20"/>
                <w:szCs w:val="20"/>
              </w:rPr>
            </w:pPr>
            <w:r w:rsidRPr="005F17FF">
              <w:rPr>
                <w:rFonts w:ascii="Century Gothic" w:hAnsi="Century Gothic"/>
                <w:sz w:val="20"/>
                <w:szCs w:val="20"/>
              </w:rPr>
              <w:t>C</w:t>
            </w:r>
          </w:p>
        </w:tc>
        <w:tc>
          <w:tcPr>
            <w:tcW w:w="3117" w:type="dxa"/>
            <w:shd w:val="clear" w:color="auto" w:fill="auto"/>
          </w:tcPr>
          <w:p w14:paraId="40758A10" w14:textId="77777777" w:rsidR="005625B5" w:rsidRPr="005F17FF" w:rsidRDefault="005625B5" w:rsidP="00FB354B">
            <w:pPr>
              <w:spacing w:after="0" w:line="276" w:lineRule="auto"/>
              <w:jc w:val="center"/>
              <w:rPr>
                <w:rFonts w:ascii="Century Gothic" w:hAnsi="Century Gothic"/>
                <w:sz w:val="20"/>
                <w:szCs w:val="20"/>
              </w:rPr>
            </w:pPr>
            <w:r w:rsidRPr="005F17FF">
              <w:rPr>
                <w:rFonts w:ascii="Century Gothic" w:hAnsi="Century Gothic"/>
                <w:sz w:val="20"/>
                <w:szCs w:val="20"/>
              </w:rPr>
              <w:t>763267 m E</w:t>
            </w:r>
          </w:p>
        </w:tc>
        <w:tc>
          <w:tcPr>
            <w:tcW w:w="3117" w:type="dxa"/>
            <w:shd w:val="clear" w:color="auto" w:fill="auto"/>
          </w:tcPr>
          <w:p w14:paraId="783E6878" w14:textId="77777777" w:rsidR="005625B5" w:rsidRPr="005F17FF" w:rsidRDefault="005625B5" w:rsidP="00FB354B">
            <w:pPr>
              <w:spacing w:after="0" w:line="276" w:lineRule="auto"/>
              <w:jc w:val="center"/>
              <w:rPr>
                <w:rFonts w:ascii="Century Gothic" w:hAnsi="Century Gothic"/>
                <w:sz w:val="20"/>
                <w:szCs w:val="20"/>
              </w:rPr>
            </w:pPr>
            <w:r w:rsidRPr="005F17FF">
              <w:rPr>
                <w:rFonts w:ascii="Century Gothic" w:hAnsi="Century Gothic"/>
                <w:sz w:val="20"/>
                <w:szCs w:val="20"/>
              </w:rPr>
              <w:t>2511687 m N</w:t>
            </w:r>
          </w:p>
        </w:tc>
      </w:tr>
      <w:tr w:rsidR="005625B5" w:rsidRPr="005F17FF" w14:paraId="74910F60" w14:textId="77777777" w:rsidTr="00FB354B">
        <w:tc>
          <w:tcPr>
            <w:tcW w:w="3116" w:type="dxa"/>
            <w:shd w:val="clear" w:color="auto" w:fill="auto"/>
          </w:tcPr>
          <w:p w14:paraId="21FAA058" w14:textId="77777777" w:rsidR="005625B5" w:rsidRPr="005F17FF" w:rsidRDefault="005625B5" w:rsidP="00FB354B">
            <w:pPr>
              <w:spacing w:after="0" w:line="276" w:lineRule="auto"/>
              <w:jc w:val="center"/>
              <w:rPr>
                <w:rFonts w:ascii="Century Gothic" w:hAnsi="Century Gothic"/>
                <w:sz w:val="20"/>
                <w:szCs w:val="20"/>
              </w:rPr>
            </w:pPr>
            <w:r w:rsidRPr="005F17FF">
              <w:rPr>
                <w:rFonts w:ascii="Century Gothic" w:hAnsi="Century Gothic"/>
                <w:sz w:val="20"/>
                <w:szCs w:val="20"/>
              </w:rPr>
              <w:t>D</w:t>
            </w:r>
          </w:p>
        </w:tc>
        <w:tc>
          <w:tcPr>
            <w:tcW w:w="3117" w:type="dxa"/>
            <w:shd w:val="clear" w:color="auto" w:fill="auto"/>
          </w:tcPr>
          <w:p w14:paraId="26E61AC0" w14:textId="77777777" w:rsidR="005625B5" w:rsidRPr="005F17FF" w:rsidRDefault="005625B5" w:rsidP="00FB354B">
            <w:pPr>
              <w:spacing w:after="0" w:line="276" w:lineRule="auto"/>
              <w:jc w:val="center"/>
              <w:rPr>
                <w:rFonts w:ascii="Century Gothic" w:hAnsi="Century Gothic"/>
                <w:sz w:val="20"/>
                <w:szCs w:val="20"/>
              </w:rPr>
            </w:pPr>
            <w:r w:rsidRPr="005F17FF">
              <w:rPr>
                <w:rFonts w:ascii="Century Gothic" w:hAnsi="Century Gothic"/>
                <w:sz w:val="20"/>
                <w:szCs w:val="20"/>
              </w:rPr>
              <w:t>763771 m E</w:t>
            </w:r>
          </w:p>
        </w:tc>
        <w:tc>
          <w:tcPr>
            <w:tcW w:w="3117" w:type="dxa"/>
            <w:shd w:val="clear" w:color="auto" w:fill="auto"/>
          </w:tcPr>
          <w:p w14:paraId="649CF5DD" w14:textId="77777777" w:rsidR="005625B5" w:rsidRPr="005F17FF" w:rsidRDefault="005625B5" w:rsidP="00FB354B">
            <w:pPr>
              <w:spacing w:after="0" w:line="276" w:lineRule="auto"/>
              <w:jc w:val="center"/>
              <w:rPr>
                <w:rFonts w:ascii="Century Gothic" w:hAnsi="Century Gothic"/>
                <w:sz w:val="20"/>
                <w:szCs w:val="20"/>
              </w:rPr>
            </w:pPr>
            <w:r w:rsidRPr="005F17FF">
              <w:rPr>
                <w:rFonts w:ascii="Century Gothic" w:hAnsi="Century Gothic"/>
                <w:sz w:val="20"/>
                <w:szCs w:val="20"/>
              </w:rPr>
              <w:t>2511820 m N</w:t>
            </w:r>
          </w:p>
        </w:tc>
      </w:tr>
    </w:tbl>
    <w:p w14:paraId="5225A09A" w14:textId="2DC39809" w:rsidR="005625B5" w:rsidRPr="00C10CC3" w:rsidRDefault="005625B5" w:rsidP="005625B5">
      <w:pPr>
        <w:tabs>
          <w:tab w:val="left" w:pos="1372"/>
        </w:tabs>
        <w:spacing w:line="276" w:lineRule="auto"/>
        <w:rPr>
          <w:rFonts w:ascii="Century Gothic" w:hAnsi="Century Gothic"/>
          <w:b/>
          <w:bCs/>
          <w:sz w:val="20"/>
          <w:szCs w:val="20"/>
        </w:rPr>
      </w:pPr>
      <w:r w:rsidRPr="001839C6">
        <w:rPr>
          <w:rFonts w:ascii="Century Gothic" w:hAnsi="Century Gothic" w:cs="Times New Roman"/>
          <w:b/>
          <w:bCs/>
          <w:sz w:val="20"/>
          <w:szCs w:val="20"/>
          <w:u w:val="single"/>
        </w:rPr>
        <w:t>Coordonnées GPS</w:t>
      </w:r>
      <w:r w:rsidRPr="001839C6">
        <w:rPr>
          <w:rFonts w:ascii="Century Gothic" w:hAnsi="Century Gothic" w:cs="Times New Roman"/>
          <w:b/>
          <w:bCs/>
          <w:sz w:val="20"/>
          <w:szCs w:val="20"/>
        </w:rPr>
        <w:t xml:space="preserve"> : Site </w:t>
      </w:r>
      <w:r w:rsidRPr="00C10CC3">
        <w:rPr>
          <w:rFonts w:ascii="Century Gothic" w:hAnsi="Century Gothic"/>
          <w:b/>
          <w:bCs/>
          <w:sz w:val="20"/>
          <w:szCs w:val="20"/>
        </w:rPr>
        <w:t xml:space="preserve">de </w:t>
      </w:r>
      <w:r w:rsidR="00D03F95" w:rsidRPr="00C10CC3">
        <w:rPr>
          <w:rFonts w:ascii="Century Gothic" w:hAnsi="Century Gothic"/>
          <w:b/>
          <w:bCs/>
          <w:sz w:val="20"/>
          <w:szCs w:val="20"/>
        </w:rPr>
        <w:t>Zouerate</w:t>
      </w:r>
      <w:r w:rsidRPr="00C10CC3">
        <w:rPr>
          <w:rFonts w:ascii="Century Gothic" w:hAnsi="Century Gothic"/>
          <w:b/>
          <w:bCs/>
          <w:sz w:val="20"/>
          <w:szCs w:val="20"/>
        </w:rPr>
        <w:t xml:space="preserve"> (110ha)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3022"/>
        <w:gridCol w:w="3027"/>
      </w:tblGrid>
      <w:tr w:rsidR="005625B5" w:rsidRPr="005F17FF" w14:paraId="1B0571E5" w14:textId="77777777" w:rsidTr="001A6FC5">
        <w:tc>
          <w:tcPr>
            <w:tcW w:w="3013" w:type="dxa"/>
            <w:shd w:val="clear" w:color="auto" w:fill="auto"/>
          </w:tcPr>
          <w:p w14:paraId="088F0565" w14:textId="77777777" w:rsidR="005625B5" w:rsidRPr="005F17FF" w:rsidRDefault="005625B5" w:rsidP="00FB354B">
            <w:pPr>
              <w:tabs>
                <w:tab w:val="left" w:pos="1291"/>
              </w:tabs>
              <w:spacing w:after="0" w:line="276" w:lineRule="auto"/>
              <w:jc w:val="center"/>
              <w:rPr>
                <w:rFonts w:ascii="Century Gothic" w:hAnsi="Century Gothic"/>
                <w:b/>
                <w:bCs/>
                <w:sz w:val="20"/>
                <w:szCs w:val="20"/>
              </w:rPr>
            </w:pPr>
            <w:r w:rsidRPr="005F17FF">
              <w:rPr>
                <w:rFonts w:ascii="Century Gothic" w:hAnsi="Century Gothic"/>
                <w:b/>
                <w:bCs/>
                <w:sz w:val="20"/>
                <w:szCs w:val="20"/>
              </w:rPr>
              <w:t>Point</w:t>
            </w:r>
          </w:p>
        </w:tc>
        <w:tc>
          <w:tcPr>
            <w:tcW w:w="3022" w:type="dxa"/>
            <w:shd w:val="clear" w:color="auto" w:fill="auto"/>
          </w:tcPr>
          <w:p w14:paraId="71CEB82C" w14:textId="77777777" w:rsidR="005625B5" w:rsidRPr="005F17FF" w:rsidRDefault="005625B5" w:rsidP="00FB354B">
            <w:pPr>
              <w:tabs>
                <w:tab w:val="left" w:pos="1291"/>
              </w:tabs>
              <w:spacing w:after="0" w:line="276" w:lineRule="auto"/>
              <w:jc w:val="center"/>
              <w:rPr>
                <w:rFonts w:ascii="Century Gothic" w:hAnsi="Century Gothic"/>
                <w:b/>
                <w:bCs/>
                <w:sz w:val="20"/>
                <w:szCs w:val="20"/>
              </w:rPr>
            </w:pPr>
            <w:r w:rsidRPr="005F17FF">
              <w:rPr>
                <w:rFonts w:ascii="Century Gothic" w:hAnsi="Century Gothic"/>
                <w:b/>
                <w:bCs/>
                <w:sz w:val="20"/>
                <w:szCs w:val="20"/>
              </w:rPr>
              <w:t>X</w:t>
            </w:r>
          </w:p>
        </w:tc>
        <w:tc>
          <w:tcPr>
            <w:tcW w:w="3027" w:type="dxa"/>
            <w:shd w:val="clear" w:color="auto" w:fill="auto"/>
          </w:tcPr>
          <w:p w14:paraId="227C70F0" w14:textId="77777777" w:rsidR="005625B5" w:rsidRPr="005F17FF" w:rsidRDefault="005625B5" w:rsidP="00FB354B">
            <w:pPr>
              <w:tabs>
                <w:tab w:val="left" w:pos="1291"/>
              </w:tabs>
              <w:spacing w:after="0" w:line="276" w:lineRule="auto"/>
              <w:jc w:val="center"/>
              <w:rPr>
                <w:rFonts w:ascii="Century Gothic" w:hAnsi="Century Gothic"/>
                <w:b/>
                <w:bCs/>
                <w:sz w:val="20"/>
                <w:szCs w:val="20"/>
              </w:rPr>
            </w:pPr>
            <w:r w:rsidRPr="005F17FF">
              <w:rPr>
                <w:rFonts w:ascii="Century Gothic" w:hAnsi="Century Gothic"/>
                <w:b/>
                <w:bCs/>
                <w:sz w:val="20"/>
                <w:szCs w:val="20"/>
              </w:rPr>
              <w:t>Y</w:t>
            </w:r>
          </w:p>
        </w:tc>
      </w:tr>
      <w:tr w:rsidR="005625B5" w:rsidRPr="005F17FF" w14:paraId="783285E0" w14:textId="77777777" w:rsidTr="001A6FC5">
        <w:tc>
          <w:tcPr>
            <w:tcW w:w="3013" w:type="dxa"/>
            <w:shd w:val="clear" w:color="auto" w:fill="auto"/>
          </w:tcPr>
          <w:p w14:paraId="3AEF1557" w14:textId="77777777" w:rsidR="005625B5" w:rsidRPr="005F17FF" w:rsidRDefault="005625B5" w:rsidP="00FB354B">
            <w:pPr>
              <w:tabs>
                <w:tab w:val="left" w:pos="1291"/>
              </w:tabs>
              <w:spacing w:after="0" w:line="276" w:lineRule="auto"/>
              <w:jc w:val="center"/>
              <w:rPr>
                <w:rFonts w:ascii="Century Gothic" w:hAnsi="Century Gothic"/>
                <w:sz w:val="20"/>
                <w:szCs w:val="20"/>
              </w:rPr>
            </w:pPr>
            <w:r w:rsidRPr="005F17FF">
              <w:rPr>
                <w:rFonts w:ascii="Century Gothic" w:hAnsi="Century Gothic"/>
                <w:sz w:val="20"/>
                <w:szCs w:val="20"/>
              </w:rPr>
              <w:t>A</w:t>
            </w:r>
          </w:p>
        </w:tc>
        <w:tc>
          <w:tcPr>
            <w:tcW w:w="3022" w:type="dxa"/>
            <w:shd w:val="clear" w:color="auto" w:fill="auto"/>
          </w:tcPr>
          <w:p w14:paraId="01127876" w14:textId="77777777" w:rsidR="005625B5" w:rsidRPr="005F17FF" w:rsidRDefault="005625B5" w:rsidP="00FB354B">
            <w:pPr>
              <w:tabs>
                <w:tab w:val="left" w:pos="1291"/>
              </w:tabs>
              <w:spacing w:after="0" w:line="276" w:lineRule="auto"/>
              <w:jc w:val="center"/>
              <w:rPr>
                <w:rFonts w:ascii="Century Gothic" w:hAnsi="Century Gothic"/>
                <w:sz w:val="20"/>
                <w:szCs w:val="20"/>
              </w:rPr>
            </w:pPr>
            <w:r w:rsidRPr="005F17FF">
              <w:rPr>
                <w:rFonts w:ascii="Century Gothic" w:hAnsi="Century Gothic"/>
                <w:sz w:val="20"/>
                <w:szCs w:val="20"/>
              </w:rPr>
              <w:t>754322 m E</w:t>
            </w:r>
          </w:p>
        </w:tc>
        <w:tc>
          <w:tcPr>
            <w:tcW w:w="3027" w:type="dxa"/>
            <w:shd w:val="clear" w:color="auto" w:fill="auto"/>
          </w:tcPr>
          <w:p w14:paraId="3CA3EFC7" w14:textId="77777777" w:rsidR="005625B5" w:rsidRPr="005F17FF" w:rsidRDefault="005625B5" w:rsidP="00FB354B">
            <w:pPr>
              <w:tabs>
                <w:tab w:val="left" w:pos="1291"/>
              </w:tabs>
              <w:spacing w:after="0" w:line="276" w:lineRule="auto"/>
              <w:jc w:val="center"/>
              <w:rPr>
                <w:rFonts w:ascii="Century Gothic" w:hAnsi="Century Gothic"/>
                <w:sz w:val="20"/>
                <w:szCs w:val="20"/>
              </w:rPr>
            </w:pPr>
            <w:r w:rsidRPr="005F17FF">
              <w:rPr>
                <w:rFonts w:ascii="Century Gothic" w:hAnsi="Century Gothic"/>
                <w:sz w:val="20"/>
                <w:szCs w:val="20"/>
              </w:rPr>
              <w:t>2519106 m N</w:t>
            </w:r>
          </w:p>
        </w:tc>
      </w:tr>
      <w:tr w:rsidR="005625B5" w:rsidRPr="005F17FF" w14:paraId="7362D794" w14:textId="77777777" w:rsidTr="001A6FC5">
        <w:tc>
          <w:tcPr>
            <w:tcW w:w="3013" w:type="dxa"/>
            <w:shd w:val="clear" w:color="auto" w:fill="auto"/>
          </w:tcPr>
          <w:p w14:paraId="4546CCD9" w14:textId="77777777" w:rsidR="005625B5" w:rsidRPr="005F17FF" w:rsidRDefault="005625B5" w:rsidP="00FB354B">
            <w:pPr>
              <w:tabs>
                <w:tab w:val="left" w:pos="1291"/>
              </w:tabs>
              <w:spacing w:after="0" w:line="276" w:lineRule="auto"/>
              <w:jc w:val="center"/>
              <w:rPr>
                <w:rFonts w:ascii="Century Gothic" w:hAnsi="Century Gothic"/>
                <w:sz w:val="20"/>
                <w:szCs w:val="20"/>
              </w:rPr>
            </w:pPr>
            <w:r w:rsidRPr="005F17FF">
              <w:rPr>
                <w:rFonts w:ascii="Century Gothic" w:hAnsi="Century Gothic"/>
                <w:sz w:val="20"/>
                <w:szCs w:val="20"/>
              </w:rPr>
              <w:t>B</w:t>
            </w:r>
          </w:p>
        </w:tc>
        <w:tc>
          <w:tcPr>
            <w:tcW w:w="3022" w:type="dxa"/>
            <w:shd w:val="clear" w:color="auto" w:fill="auto"/>
          </w:tcPr>
          <w:p w14:paraId="482D7F04" w14:textId="77777777" w:rsidR="005625B5" w:rsidRPr="005F17FF" w:rsidRDefault="005625B5" w:rsidP="00FB354B">
            <w:pPr>
              <w:tabs>
                <w:tab w:val="left" w:pos="1291"/>
              </w:tabs>
              <w:spacing w:after="0" w:line="276" w:lineRule="auto"/>
              <w:jc w:val="center"/>
              <w:rPr>
                <w:rFonts w:ascii="Century Gothic" w:hAnsi="Century Gothic"/>
                <w:sz w:val="20"/>
                <w:szCs w:val="20"/>
              </w:rPr>
            </w:pPr>
            <w:r w:rsidRPr="005F17FF">
              <w:rPr>
                <w:rFonts w:ascii="Century Gothic" w:hAnsi="Century Gothic"/>
                <w:sz w:val="20"/>
                <w:szCs w:val="20"/>
              </w:rPr>
              <w:t>753941 m E</w:t>
            </w:r>
          </w:p>
        </w:tc>
        <w:tc>
          <w:tcPr>
            <w:tcW w:w="3027" w:type="dxa"/>
            <w:shd w:val="clear" w:color="auto" w:fill="auto"/>
          </w:tcPr>
          <w:p w14:paraId="146EA2A9" w14:textId="77777777" w:rsidR="005625B5" w:rsidRPr="005F17FF" w:rsidRDefault="005625B5" w:rsidP="00FB354B">
            <w:pPr>
              <w:tabs>
                <w:tab w:val="left" w:pos="1291"/>
              </w:tabs>
              <w:spacing w:after="0" w:line="276" w:lineRule="auto"/>
              <w:jc w:val="center"/>
              <w:rPr>
                <w:rFonts w:ascii="Century Gothic" w:hAnsi="Century Gothic"/>
                <w:sz w:val="20"/>
                <w:szCs w:val="20"/>
              </w:rPr>
            </w:pPr>
            <w:r w:rsidRPr="005F17FF">
              <w:rPr>
                <w:rFonts w:ascii="Century Gothic" w:hAnsi="Century Gothic"/>
                <w:sz w:val="20"/>
                <w:szCs w:val="20"/>
              </w:rPr>
              <w:t>2520675 m N</w:t>
            </w:r>
          </w:p>
        </w:tc>
      </w:tr>
      <w:tr w:rsidR="005625B5" w:rsidRPr="005F17FF" w14:paraId="368C1FC8" w14:textId="77777777" w:rsidTr="001A6FC5">
        <w:tc>
          <w:tcPr>
            <w:tcW w:w="3013" w:type="dxa"/>
            <w:shd w:val="clear" w:color="auto" w:fill="auto"/>
          </w:tcPr>
          <w:p w14:paraId="31F52CB9" w14:textId="77777777" w:rsidR="005625B5" w:rsidRPr="005F17FF" w:rsidRDefault="005625B5" w:rsidP="00FB354B">
            <w:pPr>
              <w:tabs>
                <w:tab w:val="left" w:pos="1291"/>
              </w:tabs>
              <w:spacing w:after="0" w:line="276" w:lineRule="auto"/>
              <w:jc w:val="center"/>
              <w:rPr>
                <w:rFonts w:ascii="Century Gothic" w:hAnsi="Century Gothic"/>
                <w:sz w:val="20"/>
                <w:szCs w:val="20"/>
              </w:rPr>
            </w:pPr>
            <w:r w:rsidRPr="005F17FF">
              <w:rPr>
                <w:rFonts w:ascii="Century Gothic" w:hAnsi="Century Gothic"/>
                <w:sz w:val="20"/>
                <w:szCs w:val="20"/>
              </w:rPr>
              <w:t>C</w:t>
            </w:r>
          </w:p>
        </w:tc>
        <w:tc>
          <w:tcPr>
            <w:tcW w:w="3022" w:type="dxa"/>
            <w:shd w:val="clear" w:color="auto" w:fill="auto"/>
          </w:tcPr>
          <w:p w14:paraId="25C174AC" w14:textId="77777777" w:rsidR="005625B5" w:rsidRPr="005F17FF" w:rsidRDefault="005625B5" w:rsidP="00FB354B">
            <w:pPr>
              <w:tabs>
                <w:tab w:val="left" w:pos="1291"/>
              </w:tabs>
              <w:spacing w:after="0" w:line="276" w:lineRule="auto"/>
              <w:jc w:val="center"/>
              <w:rPr>
                <w:rFonts w:ascii="Century Gothic" w:hAnsi="Century Gothic"/>
                <w:sz w:val="20"/>
                <w:szCs w:val="20"/>
              </w:rPr>
            </w:pPr>
            <w:r w:rsidRPr="005F17FF">
              <w:rPr>
                <w:rFonts w:ascii="Century Gothic" w:hAnsi="Century Gothic"/>
                <w:sz w:val="20"/>
                <w:szCs w:val="20"/>
              </w:rPr>
              <w:t>753330 m E</w:t>
            </w:r>
          </w:p>
        </w:tc>
        <w:tc>
          <w:tcPr>
            <w:tcW w:w="3027" w:type="dxa"/>
            <w:shd w:val="clear" w:color="auto" w:fill="auto"/>
          </w:tcPr>
          <w:p w14:paraId="09A5BE8F" w14:textId="77777777" w:rsidR="005625B5" w:rsidRPr="005F17FF" w:rsidRDefault="005625B5" w:rsidP="00FB354B">
            <w:pPr>
              <w:tabs>
                <w:tab w:val="left" w:pos="1291"/>
              </w:tabs>
              <w:spacing w:after="0" w:line="276" w:lineRule="auto"/>
              <w:jc w:val="center"/>
              <w:rPr>
                <w:rFonts w:ascii="Century Gothic" w:hAnsi="Century Gothic"/>
                <w:sz w:val="20"/>
                <w:szCs w:val="20"/>
              </w:rPr>
            </w:pPr>
            <w:r w:rsidRPr="005F17FF">
              <w:rPr>
                <w:rFonts w:ascii="Century Gothic" w:hAnsi="Century Gothic"/>
                <w:sz w:val="20"/>
                <w:szCs w:val="20"/>
              </w:rPr>
              <w:t>2520510 m N</w:t>
            </w:r>
          </w:p>
        </w:tc>
      </w:tr>
      <w:tr w:rsidR="005625B5" w:rsidRPr="005F17FF" w14:paraId="44A78A0C" w14:textId="77777777" w:rsidTr="001A6FC5">
        <w:tc>
          <w:tcPr>
            <w:tcW w:w="3013" w:type="dxa"/>
            <w:shd w:val="clear" w:color="auto" w:fill="auto"/>
          </w:tcPr>
          <w:p w14:paraId="38AC1F76" w14:textId="77777777" w:rsidR="005625B5" w:rsidRPr="005F17FF" w:rsidRDefault="005625B5" w:rsidP="00FB354B">
            <w:pPr>
              <w:tabs>
                <w:tab w:val="left" w:pos="1291"/>
              </w:tabs>
              <w:spacing w:after="0" w:line="276" w:lineRule="auto"/>
              <w:jc w:val="center"/>
              <w:rPr>
                <w:rFonts w:ascii="Century Gothic" w:hAnsi="Century Gothic"/>
                <w:sz w:val="20"/>
                <w:szCs w:val="20"/>
              </w:rPr>
            </w:pPr>
            <w:r w:rsidRPr="005F17FF">
              <w:rPr>
                <w:rFonts w:ascii="Century Gothic" w:hAnsi="Century Gothic"/>
                <w:sz w:val="20"/>
                <w:szCs w:val="20"/>
              </w:rPr>
              <w:t>D</w:t>
            </w:r>
          </w:p>
        </w:tc>
        <w:tc>
          <w:tcPr>
            <w:tcW w:w="3022" w:type="dxa"/>
            <w:shd w:val="clear" w:color="auto" w:fill="auto"/>
          </w:tcPr>
          <w:p w14:paraId="3E3FC99C" w14:textId="77777777" w:rsidR="005625B5" w:rsidRPr="005F17FF" w:rsidRDefault="005625B5" w:rsidP="00FB354B">
            <w:pPr>
              <w:tabs>
                <w:tab w:val="left" w:pos="1291"/>
              </w:tabs>
              <w:spacing w:after="0" w:line="276" w:lineRule="auto"/>
              <w:jc w:val="center"/>
              <w:rPr>
                <w:rFonts w:ascii="Century Gothic" w:hAnsi="Century Gothic"/>
                <w:sz w:val="20"/>
                <w:szCs w:val="20"/>
              </w:rPr>
            </w:pPr>
            <w:r w:rsidRPr="005F17FF">
              <w:rPr>
                <w:rFonts w:ascii="Century Gothic" w:hAnsi="Century Gothic"/>
                <w:sz w:val="20"/>
                <w:szCs w:val="20"/>
              </w:rPr>
              <w:t>753772 m E</w:t>
            </w:r>
          </w:p>
        </w:tc>
        <w:tc>
          <w:tcPr>
            <w:tcW w:w="3027" w:type="dxa"/>
            <w:shd w:val="clear" w:color="auto" w:fill="auto"/>
          </w:tcPr>
          <w:p w14:paraId="3026340C" w14:textId="77777777" w:rsidR="005625B5" w:rsidRPr="005F17FF" w:rsidRDefault="005625B5" w:rsidP="00FB354B">
            <w:pPr>
              <w:tabs>
                <w:tab w:val="left" w:pos="1291"/>
              </w:tabs>
              <w:spacing w:after="0" w:line="276" w:lineRule="auto"/>
              <w:jc w:val="center"/>
              <w:rPr>
                <w:rFonts w:ascii="Century Gothic" w:hAnsi="Century Gothic"/>
                <w:sz w:val="20"/>
                <w:szCs w:val="20"/>
              </w:rPr>
            </w:pPr>
            <w:r w:rsidRPr="005F17FF">
              <w:rPr>
                <w:rFonts w:ascii="Century Gothic" w:hAnsi="Century Gothic"/>
                <w:sz w:val="20"/>
                <w:szCs w:val="20"/>
              </w:rPr>
              <w:t>2518941 m N</w:t>
            </w:r>
          </w:p>
        </w:tc>
      </w:tr>
    </w:tbl>
    <w:p w14:paraId="6A67D875" w14:textId="6F8DAFDC" w:rsidR="005625B5" w:rsidRPr="00C10CC3" w:rsidRDefault="001A6FC5" w:rsidP="005625B5">
      <w:pPr>
        <w:numPr>
          <w:ilvl w:val="0"/>
          <w:numId w:val="35"/>
        </w:numPr>
        <w:tabs>
          <w:tab w:val="left" w:pos="426"/>
        </w:tabs>
        <w:spacing w:after="0" w:line="276" w:lineRule="auto"/>
        <w:jc w:val="both"/>
        <w:rPr>
          <w:rFonts w:ascii="Century Gothic" w:eastAsia="Times New Roman" w:hAnsi="Century Gothic" w:cs="Times New Roman"/>
          <w:b/>
          <w:bCs/>
          <w:sz w:val="24"/>
          <w:szCs w:val="24"/>
          <w:lang w:eastAsia="wo-SN"/>
        </w:rPr>
      </w:pPr>
      <w:r w:rsidRPr="00A516A0">
        <w:rPr>
          <w:noProof/>
          <w:lang w:eastAsia="fr-FR"/>
        </w:rPr>
        <w:drawing>
          <wp:inline distT="0" distB="0" distL="0" distR="0" wp14:anchorId="29A070FA" wp14:editId="68CF0C6C">
            <wp:extent cx="2050774" cy="1630680"/>
            <wp:effectExtent l="0" t="0" r="6985" b="7620"/>
            <wp:docPr id="1192539560" name="Image 10" descr="E:\Desktop\Restauration des terres\Ensablement Infrastructures\D. NDB\Bouamatou\Bouamatou\DJI_045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 descr="E:\Desktop\Restauration des terres\Ensablement Infrastructures\D. NDB\Bouamatou\Bouamatou\DJI_0457.JPG"/>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60540" cy="1638445"/>
                    </a:xfrm>
                    <a:prstGeom prst="rect">
                      <a:avLst/>
                    </a:prstGeom>
                    <a:noFill/>
                    <a:ln>
                      <a:noFill/>
                    </a:ln>
                  </pic:spPr>
                </pic:pic>
              </a:graphicData>
            </a:graphic>
          </wp:inline>
        </w:drawing>
      </w:r>
      <w:r w:rsidR="005625B5">
        <w:rPr>
          <w:rFonts w:ascii="Century Gothic" w:eastAsia="Times New Roman" w:hAnsi="Century Gothic" w:cs="Times New Roman"/>
          <w:sz w:val="24"/>
          <w:szCs w:val="24"/>
          <w:lang w:eastAsia="wo-SN"/>
        </w:rPr>
        <w:br w:type="page"/>
      </w:r>
      <w:r w:rsidR="005625B5" w:rsidRPr="00C10CC3">
        <w:rPr>
          <w:rFonts w:ascii="Century Gothic" w:eastAsia="Times New Roman" w:hAnsi="Century Gothic" w:cs="Times New Roman"/>
          <w:b/>
          <w:bCs/>
          <w:sz w:val="24"/>
          <w:szCs w:val="24"/>
          <w:lang w:eastAsia="wo-SN"/>
        </w:rPr>
        <w:t xml:space="preserve">Wilaya de Dakhlet Nouadhibou </w:t>
      </w:r>
    </w:p>
    <w:p w14:paraId="2CE7E223"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56DB2631"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r>
        <w:rPr>
          <w:rFonts w:ascii="Century Gothic" w:eastAsia="Times New Roman" w:hAnsi="Century Gothic" w:cs="Times New Roman"/>
          <w:sz w:val="24"/>
          <w:szCs w:val="24"/>
          <w:lang w:eastAsia="wo-SN"/>
        </w:rPr>
        <w:t xml:space="preserve">Site de Bouamatou : </w:t>
      </w:r>
    </w:p>
    <w:p w14:paraId="3054F899"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46D1D468" w14:textId="00DA3C6D" w:rsidR="005625B5" w:rsidRPr="00424563" w:rsidRDefault="005625B5" w:rsidP="005625B5">
      <w:pPr>
        <w:spacing w:line="276" w:lineRule="auto"/>
        <w:jc w:val="both"/>
        <w:rPr>
          <w:rFonts w:ascii="Century Gothic" w:hAnsi="Century Gothic" w:cs="Times New Roman"/>
          <w:sz w:val="24"/>
          <w:szCs w:val="24"/>
        </w:rPr>
      </w:pPr>
      <w:r w:rsidRPr="00424563">
        <w:rPr>
          <w:rFonts w:ascii="Century Gothic" w:hAnsi="Century Gothic" w:cs="Times New Roman"/>
          <w:sz w:val="24"/>
          <w:szCs w:val="24"/>
          <w:u w:val="single"/>
        </w:rPr>
        <w:t>Commune</w:t>
      </w:r>
      <w:r w:rsidRPr="00424563">
        <w:rPr>
          <w:rFonts w:ascii="Century Gothic" w:hAnsi="Century Gothic" w:cs="Times New Roman"/>
          <w:sz w:val="24"/>
          <w:szCs w:val="24"/>
        </w:rPr>
        <w:t xml:space="preserve"> : </w:t>
      </w:r>
      <w:proofErr w:type="gramStart"/>
      <w:r w:rsidRPr="00424563">
        <w:rPr>
          <w:rFonts w:ascii="Century Gothic" w:hAnsi="Century Gothic" w:cs="Times New Roman"/>
          <w:sz w:val="24"/>
          <w:szCs w:val="24"/>
        </w:rPr>
        <w:t xml:space="preserve">Chami  </w:t>
      </w:r>
      <w:r w:rsidRPr="00424563">
        <w:rPr>
          <w:rFonts w:ascii="Century Gothic" w:hAnsi="Century Gothic" w:cs="Times New Roman"/>
          <w:sz w:val="24"/>
          <w:szCs w:val="24"/>
        </w:rPr>
        <w:tab/>
      </w:r>
      <w:proofErr w:type="gramEnd"/>
      <w:r w:rsidRPr="00424563">
        <w:rPr>
          <w:rFonts w:ascii="Century Gothic" w:hAnsi="Century Gothic" w:cs="Times New Roman"/>
          <w:sz w:val="24"/>
          <w:szCs w:val="24"/>
          <w:u w:val="single"/>
        </w:rPr>
        <w:t>Moughataa</w:t>
      </w:r>
      <w:r w:rsidRPr="00424563">
        <w:rPr>
          <w:rFonts w:ascii="Century Gothic" w:hAnsi="Century Gothic" w:cs="Times New Roman"/>
          <w:sz w:val="24"/>
          <w:szCs w:val="24"/>
        </w:rPr>
        <w:t xml:space="preserve"> : </w:t>
      </w:r>
      <w:proofErr w:type="gramStart"/>
      <w:r w:rsidRPr="00424563">
        <w:rPr>
          <w:rFonts w:ascii="Century Gothic" w:hAnsi="Century Gothic" w:cs="Times New Roman"/>
          <w:sz w:val="24"/>
          <w:szCs w:val="24"/>
        </w:rPr>
        <w:t xml:space="preserve">CHami  </w:t>
      </w:r>
      <w:r w:rsidRPr="00424563">
        <w:rPr>
          <w:rFonts w:ascii="Century Gothic" w:hAnsi="Century Gothic" w:cs="Times New Roman"/>
          <w:sz w:val="24"/>
          <w:szCs w:val="24"/>
        </w:rPr>
        <w:tab/>
      </w:r>
      <w:proofErr w:type="gramEnd"/>
      <w:r w:rsidRPr="00424563">
        <w:rPr>
          <w:rFonts w:ascii="Century Gothic" w:hAnsi="Century Gothic" w:cs="Times New Roman"/>
          <w:sz w:val="24"/>
          <w:szCs w:val="24"/>
          <w:u w:val="single"/>
        </w:rPr>
        <w:t>Wilaya</w:t>
      </w:r>
      <w:r w:rsidRPr="00424563">
        <w:rPr>
          <w:rFonts w:ascii="Century Gothic" w:hAnsi="Century Gothic" w:cs="Times New Roman"/>
          <w:sz w:val="24"/>
          <w:szCs w:val="24"/>
        </w:rPr>
        <w:t xml:space="preserve"> : D. Nouadhibou   </w:t>
      </w:r>
    </w:p>
    <w:p w14:paraId="0A4DBF10" w14:textId="77777777" w:rsidR="00D03F95" w:rsidRDefault="00D03F95" w:rsidP="005625B5">
      <w:pPr>
        <w:spacing w:line="276" w:lineRule="auto"/>
        <w:jc w:val="center"/>
        <w:rPr>
          <w:noProof/>
          <w:lang w:eastAsia="fr-FR"/>
        </w:rPr>
      </w:pPr>
    </w:p>
    <w:p w14:paraId="2B2436E2" w14:textId="716D1562" w:rsidR="00D03F95" w:rsidRDefault="00D03F95" w:rsidP="005625B5">
      <w:pPr>
        <w:spacing w:line="276" w:lineRule="auto"/>
        <w:jc w:val="center"/>
        <w:rPr>
          <w:noProof/>
          <w:lang w:eastAsia="fr-FR"/>
        </w:rPr>
      </w:pPr>
      <w:r>
        <w:rPr>
          <w:noProof/>
          <w:lang w:eastAsia="fr-FR"/>
        </w:rPr>
        <w:t xml:space="preserve"> </w:t>
      </w:r>
      <w:r w:rsidR="001A6FC5" w:rsidRPr="00FD184A">
        <w:rPr>
          <w:rFonts w:ascii="Century Gothic" w:hAnsi="Century Gothic" w:cs="Times New Roman"/>
          <w:noProof/>
          <w:sz w:val="24"/>
          <w:szCs w:val="24"/>
        </w:rPr>
        <w:drawing>
          <wp:inline distT="0" distB="0" distL="0" distR="0" wp14:anchorId="220DEC24" wp14:editId="0B28E75D">
            <wp:extent cx="3599708" cy="4102271"/>
            <wp:effectExtent l="0" t="0" r="1270" b="0"/>
            <wp:docPr id="182771603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9"/>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06790" cy="4110342"/>
                    </a:xfrm>
                    <a:prstGeom prst="rect">
                      <a:avLst/>
                    </a:prstGeom>
                    <a:noFill/>
                    <a:ln>
                      <a:noFill/>
                    </a:ln>
                  </pic:spPr>
                </pic:pic>
              </a:graphicData>
            </a:graphic>
          </wp:inline>
        </w:drawing>
      </w:r>
    </w:p>
    <w:p w14:paraId="7ACE76EA" w14:textId="73F270EC" w:rsidR="005625B5" w:rsidRPr="00424563" w:rsidRDefault="005625B5" w:rsidP="005625B5">
      <w:pPr>
        <w:spacing w:line="276" w:lineRule="auto"/>
        <w:jc w:val="center"/>
        <w:rPr>
          <w:rFonts w:ascii="Century Gothic" w:hAnsi="Century Gothic" w:cs="Times New Roman"/>
          <w:sz w:val="24"/>
          <w:szCs w:val="24"/>
        </w:rPr>
      </w:pPr>
    </w:p>
    <w:p w14:paraId="5DB4E6BE"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 xml:space="preserve"> Site de la station de Bouamatou et le musée du Banc d’Arguin (12 ha)  </w:t>
      </w:r>
    </w:p>
    <w:p w14:paraId="0004EB0F" w14:textId="77777777" w:rsidR="005625B5" w:rsidRPr="00424563" w:rsidRDefault="005625B5" w:rsidP="005625B5">
      <w:pPr>
        <w:spacing w:line="276" w:lineRule="auto"/>
        <w:jc w:val="both"/>
        <w:rPr>
          <w:rFonts w:ascii="Century Gothic" w:hAnsi="Century Gothic" w:cs="Times New Roman"/>
          <w:b/>
          <w:bCs/>
          <w:sz w:val="20"/>
          <w:szCs w:val="20"/>
        </w:rPr>
      </w:pPr>
      <w:r w:rsidRPr="00424563">
        <w:rPr>
          <w:rFonts w:ascii="Century Gothic" w:hAnsi="Century Gothic" w:cs="Times New Roman"/>
          <w:b/>
          <w:bCs/>
          <w:sz w:val="20"/>
          <w:szCs w:val="20"/>
          <w:u w:val="single"/>
        </w:rPr>
        <w:t>Coordonnées GPS (12 ha)</w:t>
      </w:r>
      <w:r w:rsidRPr="00424563">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026"/>
        <w:gridCol w:w="3029"/>
      </w:tblGrid>
      <w:tr w:rsidR="005625B5" w:rsidRPr="005F17FF" w14:paraId="646F0061" w14:textId="77777777" w:rsidTr="00FB354B">
        <w:tc>
          <w:tcPr>
            <w:tcW w:w="3070" w:type="dxa"/>
            <w:shd w:val="clear" w:color="auto" w:fill="auto"/>
          </w:tcPr>
          <w:p w14:paraId="57BA3E5E" w14:textId="77777777" w:rsidR="005625B5" w:rsidRPr="005F17FF"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1EF78487"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18A3F15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41EC159C" w14:textId="77777777" w:rsidTr="00FB354B">
        <w:tc>
          <w:tcPr>
            <w:tcW w:w="3070" w:type="dxa"/>
            <w:shd w:val="clear" w:color="auto" w:fill="auto"/>
          </w:tcPr>
          <w:p w14:paraId="116E7EA7"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56FD985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404184.74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59CA5357"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2216646.26 mN</w:t>
            </w:r>
          </w:p>
        </w:tc>
      </w:tr>
      <w:tr w:rsidR="005625B5" w:rsidRPr="005F17FF" w14:paraId="7D1A0DBF" w14:textId="77777777" w:rsidTr="00FB354B">
        <w:tc>
          <w:tcPr>
            <w:tcW w:w="3070" w:type="dxa"/>
            <w:shd w:val="clear" w:color="auto" w:fill="auto"/>
          </w:tcPr>
          <w:p w14:paraId="1905D5D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0FE88C1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404296.82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67532E0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2216703.67 mN</w:t>
            </w:r>
          </w:p>
        </w:tc>
      </w:tr>
      <w:tr w:rsidR="005625B5" w:rsidRPr="005F17FF" w14:paraId="184A8FC3" w14:textId="77777777" w:rsidTr="00FB354B">
        <w:tc>
          <w:tcPr>
            <w:tcW w:w="3070" w:type="dxa"/>
            <w:shd w:val="clear" w:color="auto" w:fill="auto"/>
          </w:tcPr>
          <w:p w14:paraId="6B8E499A"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4CAA847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403912.64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44A8BC3F"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2217674.93 mN</w:t>
            </w:r>
          </w:p>
        </w:tc>
      </w:tr>
      <w:tr w:rsidR="005625B5" w:rsidRPr="005F17FF" w14:paraId="33AFF53C" w14:textId="77777777" w:rsidTr="00FB354B">
        <w:tc>
          <w:tcPr>
            <w:tcW w:w="3070" w:type="dxa"/>
            <w:shd w:val="clear" w:color="auto" w:fill="auto"/>
          </w:tcPr>
          <w:p w14:paraId="7F79DB44"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00DDBF1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403809.48 </w:t>
            </w:r>
            <w:proofErr w:type="spellStart"/>
            <w:r w:rsidRPr="005F17FF">
              <w:rPr>
                <w:rFonts w:ascii="Century Gothic" w:hAnsi="Century Gothic" w:cs="Times New Roman"/>
                <w:sz w:val="20"/>
                <w:szCs w:val="20"/>
              </w:rPr>
              <w:t>mE</w:t>
            </w:r>
            <w:proofErr w:type="spellEnd"/>
          </w:p>
        </w:tc>
        <w:tc>
          <w:tcPr>
            <w:tcW w:w="3071" w:type="dxa"/>
            <w:shd w:val="clear" w:color="auto" w:fill="auto"/>
          </w:tcPr>
          <w:p w14:paraId="55F85A6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2217604.63 mN</w:t>
            </w:r>
          </w:p>
        </w:tc>
      </w:tr>
    </w:tbl>
    <w:p w14:paraId="005FD45F" w14:textId="77777777" w:rsidR="005625B5" w:rsidRPr="00424563" w:rsidRDefault="005625B5" w:rsidP="005625B5">
      <w:pPr>
        <w:spacing w:line="276" w:lineRule="auto"/>
        <w:jc w:val="both"/>
        <w:rPr>
          <w:rFonts w:ascii="Times New Roman" w:hAnsi="Times New Roman" w:cs="Times New Roman"/>
          <w:sz w:val="20"/>
          <w:szCs w:val="20"/>
        </w:rPr>
      </w:pPr>
    </w:p>
    <w:p w14:paraId="7762DE41"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26B3BA9C" w14:textId="1860AF2D" w:rsidR="006A4FF6" w:rsidRDefault="005625B5" w:rsidP="003667C3">
      <w:pPr>
        <w:tabs>
          <w:tab w:val="left" w:pos="426"/>
        </w:tabs>
        <w:spacing w:after="0" w:line="276" w:lineRule="auto"/>
        <w:ind w:left="-709"/>
        <w:jc w:val="both"/>
        <w:rPr>
          <w:rFonts w:ascii="Century Gothic" w:hAnsi="Century Gothic" w:cs="Times New Roman"/>
          <w:sz w:val="24"/>
          <w:szCs w:val="24"/>
          <w:u w:val="single"/>
        </w:rPr>
      </w:pPr>
      <w:r>
        <w:rPr>
          <w:rFonts w:ascii="Century Gothic" w:eastAsia="Times New Roman" w:hAnsi="Century Gothic" w:cs="Times New Roman"/>
          <w:b/>
          <w:bCs/>
          <w:sz w:val="24"/>
          <w:szCs w:val="24"/>
          <w:lang w:eastAsia="wo-SN"/>
        </w:rPr>
        <w:br w:type="page"/>
      </w:r>
      <w:r w:rsidR="006A4FF6">
        <w:rPr>
          <w:rFonts w:ascii="Century Gothic" w:hAnsi="Century Gothic" w:cs="Times New Roman"/>
          <w:noProof/>
          <w:sz w:val="24"/>
          <w:szCs w:val="24"/>
          <w:u w:val="single"/>
        </w:rPr>
        <mc:AlternateContent>
          <mc:Choice Requires="wps">
            <w:drawing>
              <wp:anchor distT="0" distB="0" distL="114300" distR="114300" simplePos="0" relativeHeight="251747328" behindDoc="0" locked="0" layoutInCell="1" allowOverlap="1" wp14:anchorId="33D1FDA5" wp14:editId="3670AE11">
                <wp:simplePos x="0" y="0"/>
                <wp:positionH relativeFrom="column">
                  <wp:posOffset>-248937</wp:posOffset>
                </wp:positionH>
                <wp:positionV relativeFrom="paragraph">
                  <wp:posOffset>252730</wp:posOffset>
                </wp:positionV>
                <wp:extent cx="3336290" cy="436245"/>
                <wp:effectExtent l="0" t="0" r="16510" b="20955"/>
                <wp:wrapNone/>
                <wp:docPr id="2111617232" name="Zone de texte 67"/>
                <wp:cNvGraphicFramePr/>
                <a:graphic xmlns:a="http://schemas.openxmlformats.org/drawingml/2006/main">
                  <a:graphicData uri="http://schemas.microsoft.com/office/word/2010/wordprocessingShape">
                    <wps:wsp>
                      <wps:cNvSpPr txBox="1"/>
                      <wps:spPr>
                        <a:xfrm>
                          <a:off x="0" y="0"/>
                          <a:ext cx="3336290" cy="436245"/>
                        </a:xfrm>
                        <a:prstGeom prst="rect">
                          <a:avLst/>
                        </a:prstGeom>
                        <a:solidFill>
                          <a:schemeClr val="lt1"/>
                        </a:solidFill>
                        <a:ln w="6350">
                          <a:solidFill>
                            <a:prstClr val="black"/>
                          </a:solidFill>
                        </a:ln>
                      </wps:spPr>
                      <wps:txbx>
                        <w:txbxContent>
                          <w:p w14:paraId="0F3DF359" w14:textId="77777777" w:rsidR="006A4FF6" w:rsidRPr="001839C6" w:rsidRDefault="006A4FF6" w:rsidP="006A4FF6">
                            <w:pPr>
                              <w:spacing w:line="276" w:lineRule="auto"/>
                              <w:rPr>
                                <w:rFonts w:ascii="Century Gothic" w:hAnsi="Century Gothic" w:cs="Times New Roman"/>
                                <w:b/>
                                <w:bCs/>
                                <w:sz w:val="20"/>
                                <w:szCs w:val="20"/>
                              </w:rPr>
                            </w:pPr>
                            <w:r w:rsidRPr="001839C6">
                              <w:rPr>
                                <w:rFonts w:ascii="Century Gothic" w:hAnsi="Century Gothic" w:cs="Times New Roman"/>
                                <w:b/>
                                <w:bCs/>
                                <w:sz w:val="20"/>
                                <w:szCs w:val="20"/>
                              </w:rPr>
                              <w:t>Sites ville de Boulenoir (15 ha, 10 ha, 3 ha et 3 ha)</w:t>
                            </w:r>
                          </w:p>
                          <w:p w14:paraId="0509E4D1" w14:textId="77777777" w:rsidR="006A4FF6" w:rsidRDefault="006A4F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1FDA5" id="_x0000_t202" coordsize="21600,21600" o:spt="202" path="m,l,21600r21600,l21600,xe">
                <v:stroke joinstyle="miter"/>
                <v:path gradientshapeok="t" o:connecttype="rect"/>
              </v:shapetype>
              <v:shape id="Zone de texte 67" o:spid="_x0000_s1029" type="#_x0000_t202" style="position:absolute;left:0;text-align:left;margin-left:-19.6pt;margin-top:19.9pt;width:262.7pt;height:34.3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" fillcolor="white [3201]" strokeweight=".5pt">
                <v:textbox>
                  <w:txbxContent>
                    <w:p w14:paraId="0F3DF359" w14:textId="77777777" w:rsidR="006A4FF6" w:rsidRPr="001839C6" w:rsidRDefault="006A4FF6" w:rsidP="006A4FF6">
                      <w:pPr>
                        <w:spacing w:line="276" w:lineRule="auto"/>
                        <w:rPr>
                          <w:rFonts w:ascii="Century Gothic" w:hAnsi="Century Gothic" w:cs="Times New Roman"/>
                          <w:b/>
                          <w:bCs/>
                          <w:sz w:val="20"/>
                          <w:szCs w:val="20"/>
                        </w:rPr>
                      </w:pPr>
                      <w:r w:rsidRPr="001839C6">
                        <w:rPr>
                          <w:rFonts w:ascii="Century Gothic" w:hAnsi="Century Gothic" w:cs="Times New Roman"/>
                          <w:b/>
                          <w:bCs/>
                          <w:sz w:val="20"/>
                          <w:szCs w:val="20"/>
                        </w:rPr>
                        <w:t>Sites ville de Boulenoir (15 ha, 10 ha, 3 ha et 3 ha)</w:t>
                      </w:r>
                    </w:p>
                    <w:p w14:paraId="0509E4D1" w14:textId="77777777" w:rsidR="006A4FF6" w:rsidRDefault="006A4FF6"/>
                  </w:txbxContent>
                </v:textbox>
              </v:shape>
            </w:pict>
          </mc:Fallback>
        </mc:AlternateContent>
      </w:r>
      <w:r w:rsidRPr="00240EBB">
        <w:rPr>
          <w:rFonts w:ascii="Century Gothic" w:eastAsia="Times New Roman" w:hAnsi="Century Gothic" w:cs="Times New Roman"/>
          <w:b/>
          <w:bCs/>
          <w:sz w:val="24"/>
          <w:szCs w:val="24"/>
          <w:lang w:eastAsia="wo-SN"/>
        </w:rPr>
        <w:t xml:space="preserve">Site de Boulenoir : </w:t>
      </w:r>
      <w:r w:rsidR="003667C3">
        <w:rPr>
          <w:rFonts w:ascii="Century Gothic" w:eastAsia="Times New Roman" w:hAnsi="Century Gothic" w:cs="Times New Roman"/>
          <w:b/>
          <w:bCs/>
          <w:sz w:val="24"/>
          <w:szCs w:val="24"/>
          <w:lang w:eastAsia="wo-SN"/>
        </w:rPr>
        <w:t xml:space="preserve">                                                                     </w:t>
      </w:r>
    </w:p>
    <w:p w14:paraId="177FFE4B" w14:textId="388C2429" w:rsidR="005625B5" w:rsidRPr="00A13B56" w:rsidRDefault="001C2B61" w:rsidP="002E0F4D">
      <w:pPr>
        <w:spacing w:line="276" w:lineRule="auto"/>
        <w:ind w:left="5387" w:right="141"/>
        <w:jc w:val="both"/>
        <w:rPr>
          <w:rFonts w:ascii="Century Gothic" w:hAnsi="Century Gothic" w:cs="Times New Roman"/>
          <w:b/>
          <w:bCs/>
          <w:sz w:val="20"/>
          <w:szCs w:val="20"/>
        </w:rPr>
      </w:pPr>
      <w:r>
        <w:rPr>
          <w:rFonts w:ascii="Century Gothic" w:hAnsi="Century Gothic" w:cs="Times New Roman"/>
          <w:noProof/>
          <w:sz w:val="24"/>
          <w:szCs w:val="24"/>
        </w:rPr>
        <mc:AlternateContent>
          <mc:Choice Requires="wps">
            <w:drawing>
              <wp:anchor distT="0" distB="0" distL="114300" distR="114300" simplePos="0" relativeHeight="251750400" behindDoc="0" locked="0" layoutInCell="1" allowOverlap="1" wp14:anchorId="55E7EEB3" wp14:editId="6276E2C6">
                <wp:simplePos x="0" y="0"/>
                <wp:positionH relativeFrom="column">
                  <wp:posOffset>-17780</wp:posOffset>
                </wp:positionH>
                <wp:positionV relativeFrom="paragraph">
                  <wp:posOffset>781033</wp:posOffset>
                </wp:positionV>
                <wp:extent cx="1820562" cy="280086"/>
                <wp:effectExtent l="0" t="0" r="27305" b="24765"/>
                <wp:wrapNone/>
                <wp:docPr id="243961782" name="Zone de texte 70"/>
                <wp:cNvGraphicFramePr/>
                <a:graphic xmlns:a="http://schemas.openxmlformats.org/drawingml/2006/main">
                  <a:graphicData uri="http://schemas.microsoft.com/office/word/2010/wordprocessingShape">
                    <wps:wsp>
                      <wps:cNvSpPr txBox="1"/>
                      <wps:spPr>
                        <a:xfrm>
                          <a:off x="0" y="0"/>
                          <a:ext cx="1820562" cy="280086"/>
                        </a:xfrm>
                        <a:prstGeom prst="rect">
                          <a:avLst/>
                        </a:prstGeom>
                        <a:solidFill>
                          <a:schemeClr val="lt1"/>
                        </a:solidFill>
                        <a:ln w="6350">
                          <a:solidFill>
                            <a:prstClr val="black"/>
                          </a:solidFill>
                        </a:ln>
                      </wps:spPr>
                      <wps:txbx>
                        <w:txbxContent>
                          <w:p w14:paraId="1B4E7791" w14:textId="608A3FB7" w:rsidR="001C2B61" w:rsidRDefault="001C2B61">
                            <w:r w:rsidRPr="00A13B56">
                              <w:rPr>
                                <w:rFonts w:ascii="Century Gothic" w:hAnsi="Century Gothic" w:cs="Times New Roman"/>
                                <w:b/>
                                <w:bCs/>
                                <w:sz w:val="20"/>
                                <w:szCs w:val="20"/>
                                <w:u w:val="single"/>
                              </w:rPr>
                              <w:t>Coordonnées GPS (15 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7EEB3" id="Zone de texte 70" o:spid="_x0000_s1030" type="#_x0000_t202" style="position:absolute;left:0;text-align:left;margin-left:-1.4pt;margin-top:61.5pt;width:143.35pt;height:22.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" fillcolor="white [3201]" strokeweight=".5pt">
                <v:textbox>
                  <w:txbxContent>
                    <w:p w14:paraId="1B4E7791" w14:textId="608A3FB7" w:rsidR="001C2B61" w:rsidRDefault="001C2B61">
                      <w:r w:rsidRPr="00A13B56">
                        <w:rPr>
                          <w:rFonts w:ascii="Century Gothic" w:hAnsi="Century Gothic" w:cs="Times New Roman"/>
                          <w:b/>
                          <w:bCs/>
                          <w:sz w:val="20"/>
                          <w:szCs w:val="20"/>
                          <w:u w:val="single"/>
                        </w:rPr>
                        <w:t>Coordonnées GPS (15 ha)</w:t>
                      </w:r>
                    </w:p>
                  </w:txbxContent>
                </v:textbox>
              </v:shape>
            </w:pict>
          </mc:Fallback>
        </mc:AlternateContent>
      </w:r>
      <w:r w:rsidR="006A4FF6" w:rsidRPr="00FD184A">
        <w:rPr>
          <w:rFonts w:ascii="Century Gothic" w:hAnsi="Century Gothic" w:cs="Times New Roman"/>
          <w:noProof/>
          <w:sz w:val="24"/>
          <w:szCs w:val="24"/>
        </w:rPr>
        <w:drawing>
          <wp:inline distT="0" distB="0" distL="0" distR="0" wp14:anchorId="6BD4F9AC" wp14:editId="0CB2ADA1">
            <wp:extent cx="2716879" cy="1688757"/>
            <wp:effectExtent l="0" t="0" r="7620" b="6985"/>
            <wp:docPr id="545408587"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27142" cy="1695136"/>
                    </a:xfrm>
                    <a:prstGeom prst="rect">
                      <a:avLst/>
                    </a:prstGeom>
                    <a:noFill/>
                    <a:ln>
                      <a:noFill/>
                    </a:ln>
                  </pic:spPr>
                </pic:pic>
              </a:graphicData>
            </a:graphic>
          </wp:inline>
        </w:drawing>
      </w:r>
      <w:r w:rsidR="006A4FF6">
        <w:rPr>
          <w:rFonts w:ascii="Century Gothic" w:hAnsi="Century Gothic" w:cs="Times New Roman"/>
          <w:noProof/>
          <w:sz w:val="24"/>
          <w:szCs w:val="24"/>
        </w:rPr>
        <mc:AlternateContent>
          <mc:Choice Requires="wps">
            <w:drawing>
              <wp:anchor distT="0" distB="0" distL="114300" distR="114300" simplePos="0" relativeHeight="251748352" behindDoc="0" locked="0" layoutInCell="1" allowOverlap="1" wp14:anchorId="6C49DA5A" wp14:editId="5F5079AF">
                <wp:simplePos x="0" y="0"/>
                <wp:positionH relativeFrom="column">
                  <wp:posOffset>-327008</wp:posOffset>
                </wp:positionH>
                <wp:positionV relativeFrom="paragraph">
                  <wp:posOffset>215900</wp:posOffset>
                </wp:positionV>
                <wp:extent cx="3393989" cy="461318"/>
                <wp:effectExtent l="0" t="0" r="16510" b="15240"/>
                <wp:wrapNone/>
                <wp:docPr id="1209011284" name="Zone de texte 68"/>
                <wp:cNvGraphicFramePr/>
                <a:graphic xmlns:a="http://schemas.openxmlformats.org/drawingml/2006/main">
                  <a:graphicData uri="http://schemas.microsoft.com/office/word/2010/wordprocessingShape">
                    <wps:wsp>
                      <wps:cNvSpPr txBox="1"/>
                      <wps:spPr>
                        <a:xfrm>
                          <a:off x="0" y="0"/>
                          <a:ext cx="3393989" cy="461318"/>
                        </a:xfrm>
                        <a:prstGeom prst="rect">
                          <a:avLst/>
                        </a:prstGeom>
                        <a:solidFill>
                          <a:schemeClr val="lt1"/>
                        </a:solidFill>
                        <a:ln w="6350">
                          <a:solidFill>
                            <a:prstClr val="black"/>
                          </a:solidFill>
                        </a:ln>
                      </wps:spPr>
                      <wps:txbx>
                        <w:txbxContent>
                          <w:p w14:paraId="10EE644B" w14:textId="5BC469B1" w:rsidR="006A4FF6" w:rsidRPr="003667C3" w:rsidRDefault="006A4FF6">
                            <w:pPr>
                              <w:rPr>
                                <w:sz w:val="14"/>
                                <w:szCs w:val="14"/>
                              </w:rPr>
                            </w:pP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Boulenoir   </w:t>
                            </w:r>
                            <w:r w:rsidRPr="00EE0E23">
                              <w:rPr>
                                <w:rFonts w:ascii="Century Gothic" w:hAnsi="Century Gothic" w:cs="Times New Roman"/>
                                <w:sz w:val="20"/>
                                <w:szCs w:val="20"/>
                                <w:u w:val="single"/>
                              </w:rPr>
                              <w:t>Moughataa</w:t>
                            </w:r>
                            <w:r w:rsidRPr="00EE0E23">
                              <w:rPr>
                                <w:rFonts w:ascii="Century Gothic" w:hAnsi="Century Gothic" w:cs="Times New Roman"/>
                                <w:sz w:val="20"/>
                                <w:szCs w:val="20"/>
                              </w:rPr>
                              <w:t xml:space="preserve"> : </w:t>
                            </w:r>
                            <w:proofErr w:type="gramStart"/>
                            <w:r w:rsidRPr="00EE0E23">
                              <w:rPr>
                                <w:rFonts w:ascii="Century Gothic" w:hAnsi="Century Gothic" w:cs="Times New Roman"/>
                                <w:sz w:val="20"/>
                                <w:szCs w:val="20"/>
                              </w:rPr>
                              <w:t xml:space="preserve">Boulenoir  </w:t>
                            </w:r>
                            <w:r w:rsidRPr="00EE0E23">
                              <w:rPr>
                                <w:rFonts w:ascii="Century Gothic" w:hAnsi="Century Gothic" w:cs="Times New Roman"/>
                                <w:sz w:val="20"/>
                                <w:szCs w:val="20"/>
                                <w:u w:val="single"/>
                              </w:rPr>
                              <w:t>Wilaya</w:t>
                            </w:r>
                            <w:proofErr w:type="gramEnd"/>
                            <w:r w:rsidRPr="00EE0E23">
                              <w:rPr>
                                <w:rFonts w:ascii="Century Gothic" w:hAnsi="Century Gothic" w:cs="Times New Roman"/>
                                <w:sz w:val="20"/>
                                <w:szCs w:val="20"/>
                              </w:rPr>
                              <w:t> :  D. Nouadhibou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49DA5A" id="Zone de texte 68" o:spid="_x0000_s1031" type="#_x0000_t202" style="position:absolute;left:0;text-align:left;margin-left:-25.75pt;margin-top:17pt;width:267.25pt;height:36.3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" fillcolor="white [3201]" strokeweight=".5pt">
                <v:textbox>
                  <w:txbxContent>
                    <w:p w14:paraId="10EE644B" w14:textId="5BC469B1" w:rsidR="006A4FF6" w:rsidRPr="003667C3" w:rsidRDefault="006A4FF6">
                      <w:pPr>
                        <w:rPr>
                          <w:sz w:val="14"/>
                          <w:szCs w:val="14"/>
                        </w:rPr>
                      </w:pP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Boulenoir   </w:t>
                      </w:r>
                      <w:r w:rsidRPr="00EE0E23">
                        <w:rPr>
                          <w:rFonts w:ascii="Century Gothic" w:hAnsi="Century Gothic" w:cs="Times New Roman"/>
                          <w:sz w:val="20"/>
                          <w:szCs w:val="20"/>
                          <w:u w:val="single"/>
                        </w:rPr>
                        <w:t>Moughataa</w:t>
                      </w:r>
                      <w:r w:rsidRPr="00EE0E23">
                        <w:rPr>
                          <w:rFonts w:ascii="Century Gothic" w:hAnsi="Century Gothic" w:cs="Times New Roman"/>
                          <w:sz w:val="20"/>
                          <w:szCs w:val="20"/>
                        </w:rPr>
                        <w:t xml:space="preserve"> : </w:t>
                      </w:r>
                      <w:proofErr w:type="gramStart"/>
                      <w:r w:rsidRPr="00EE0E23">
                        <w:rPr>
                          <w:rFonts w:ascii="Century Gothic" w:hAnsi="Century Gothic" w:cs="Times New Roman"/>
                          <w:sz w:val="20"/>
                          <w:szCs w:val="20"/>
                        </w:rPr>
                        <w:t xml:space="preserve">Boulenoir  </w:t>
                      </w:r>
                      <w:r w:rsidRPr="00EE0E23">
                        <w:rPr>
                          <w:rFonts w:ascii="Century Gothic" w:hAnsi="Century Gothic" w:cs="Times New Roman"/>
                          <w:sz w:val="20"/>
                          <w:szCs w:val="20"/>
                          <w:u w:val="single"/>
                        </w:rPr>
                        <w:t>Wilaya</w:t>
                      </w:r>
                      <w:proofErr w:type="gramEnd"/>
                      <w:r w:rsidRPr="00EE0E23">
                        <w:rPr>
                          <w:rFonts w:ascii="Century Gothic" w:hAnsi="Century Gothic" w:cs="Times New Roman"/>
                          <w:sz w:val="20"/>
                          <w:szCs w:val="20"/>
                        </w:rPr>
                        <w:t> :  D. Nouadhibou</w:t>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027"/>
        <w:gridCol w:w="3032"/>
      </w:tblGrid>
      <w:tr w:rsidR="005625B5" w:rsidRPr="005F17FF" w14:paraId="35B0BEA7" w14:textId="77777777" w:rsidTr="00FB354B">
        <w:tc>
          <w:tcPr>
            <w:tcW w:w="3091" w:type="dxa"/>
            <w:shd w:val="clear" w:color="auto" w:fill="auto"/>
          </w:tcPr>
          <w:p w14:paraId="244B4602" w14:textId="77777777" w:rsidR="005625B5" w:rsidRPr="005F17FF" w:rsidRDefault="005625B5" w:rsidP="00FB354B">
            <w:pPr>
              <w:tabs>
                <w:tab w:val="left" w:pos="1861"/>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Point</w:t>
            </w:r>
          </w:p>
        </w:tc>
        <w:tc>
          <w:tcPr>
            <w:tcW w:w="3098" w:type="dxa"/>
            <w:shd w:val="clear" w:color="auto" w:fill="auto"/>
          </w:tcPr>
          <w:p w14:paraId="76C98E7E" w14:textId="77777777" w:rsidR="005625B5" w:rsidRPr="005F17FF" w:rsidRDefault="005625B5" w:rsidP="00FB354B">
            <w:pPr>
              <w:tabs>
                <w:tab w:val="left" w:pos="1861"/>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X</w:t>
            </w:r>
          </w:p>
        </w:tc>
        <w:tc>
          <w:tcPr>
            <w:tcW w:w="3099" w:type="dxa"/>
            <w:shd w:val="clear" w:color="auto" w:fill="auto"/>
          </w:tcPr>
          <w:p w14:paraId="2D6C7AD3" w14:textId="77777777" w:rsidR="005625B5" w:rsidRPr="005F17FF" w:rsidRDefault="005625B5" w:rsidP="00FB354B">
            <w:pPr>
              <w:tabs>
                <w:tab w:val="left" w:pos="1861"/>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Y</w:t>
            </w:r>
          </w:p>
        </w:tc>
      </w:tr>
      <w:tr w:rsidR="005625B5" w:rsidRPr="005F17FF" w14:paraId="5E9D6569" w14:textId="77777777" w:rsidTr="00FB354B">
        <w:tc>
          <w:tcPr>
            <w:tcW w:w="3091" w:type="dxa"/>
            <w:shd w:val="clear" w:color="auto" w:fill="auto"/>
          </w:tcPr>
          <w:p w14:paraId="588EE9E1"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98" w:type="dxa"/>
            <w:shd w:val="clear" w:color="auto" w:fill="auto"/>
          </w:tcPr>
          <w:p w14:paraId="7DAF3513"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342411.49 </w:t>
            </w:r>
            <w:proofErr w:type="spellStart"/>
            <w:r w:rsidRPr="005F17FF">
              <w:rPr>
                <w:rFonts w:ascii="Century Gothic" w:hAnsi="Century Gothic" w:cs="Times New Roman"/>
                <w:sz w:val="20"/>
                <w:szCs w:val="20"/>
              </w:rPr>
              <w:t>mE</w:t>
            </w:r>
            <w:proofErr w:type="spellEnd"/>
          </w:p>
        </w:tc>
        <w:tc>
          <w:tcPr>
            <w:tcW w:w="3099" w:type="dxa"/>
            <w:shd w:val="clear" w:color="auto" w:fill="auto"/>
          </w:tcPr>
          <w:p w14:paraId="45942006"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2354747.06 mN</w:t>
            </w:r>
          </w:p>
        </w:tc>
      </w:tr>
      <w:tr w:rsidR="005625B5" w:rsidRPr="005F17FF" w14:paraId="08CE485A" w14:textId="77777777" w:rsidTr="00FB354B">
        <w:tc>
          <w:tcPr>
            <w:tcW w:w="3091" w:type="dxa"/>
            <w:shd w:val="clear" w:color="auto" w:fill="auto"/>
          </w:tcPr>
          <w:p w14:paraId="5748682D"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98" w:type="dxa"/>
            <w:shd w:val="clear" w:color="auto" w:fill="auto"/>
          </w:tcPr>
          <w:p w14:paraId="0FD169EE"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342562.26 </w:t>
            </w:r>
            <w:proofErr w:type="spellStart"/>
            <w:r w:rsidRPr="005F17FF">
              <w:rPr>
                <w:rFonts w:ascii="Century Gothic" w:hAnsi="Century Gothic" w:cs="Times New Roman"/>
                <w:sz w:val="20"/>
                <w:szCs w:val="20"/>
              </w:rPr>
              <w:t>mE</w:t>
            </w:r>
            <w:proofErr w:type="spellEnd"/>
          </w:p>
        </w:tc>
        <w:tc>
          <w:tcPr>
            <w:tcW w:w="3099" w:type="dxa"/>
            <w:shd w:val="clear" w:color="auto" w:fill="auto"/>
          </w:tcPr>
          <w:p w14:paraId="6FD9924B"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2354754.75 mN</w:t>
            </w:r>
          </w:p>
        </w:tc>
      </w:tr>
      <w:tr w:rsidR="005625B5" w:rsidRPr="005F17FF" w14:paraId="123810F6" w14:textId="77777777" w:rsidTr="00FB354B">
        <w:tc>
          <w:tcPr>
            <w:tcW w:w="3091" w:type="dxa"/>
            <w:shd w:val="clear" w:color="auto" w:fill="auto"/>
          </w:tcPr>
          <w:p w14:paraId="6CBA56F8"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98" w:type="dxa"/>
            <w:shd w:val="clear" w:color="auto" w:fill="auto"/>
          </w:tcPr>
          <w:p w14:paraId="43A763BA"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342557.25 </w:t>
            </w:r>
            <w:proofErr w:type="spellStart"/>
            <w:r w:rsidRPr="005F17FF">
              <w:rPr>
                <w:rFonts w:ascii="Century Gothic" w:hAnsi="Century Gothic" w:cs="Times New Roman"/>
                <w:sz w:val="20"/>
                <w:szCs w:val="20"/>
              </w:rPr>
              <w:t>mE</w:t>
            </w:r>
            <w:proofErr w:type="spellEnd"/>
          </w:p>
        </w:tc>
        <w:tc>
          <w:tcPr>
            <w:tcW w:w="3099" w:type="dxa"/>
            <w:shd w:val="clear" w:color="auto" w:fill="auto"/>
          </w:tcPr>
          <w:p w14:paraId="07A9A553"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2355373.59 mN</w:t>
            </w:r>
          </w:p>
        </w:tc>
      </w:tr>
      <w:tr w:rsidR="005625B5" w:rsidRPr="005F17FF" w14:paraId="4840B422" w14:textId="77777777" w:rsidTr="00FB354B">
        <w:tc>
          <w:tcPr>
            <w:tcW w:w="3091" w:type="dxa"/>
            <w:shd w:val="clear" w:color="auto" w:fill="auto"/>
          </w:tcPr>
          <w:p w14:paraId="0BEF5C80"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98" w:type="dxa"/>
            <w:shd w:val="clear" w:color="auto" w:fill="auto"/>
          </w:tcPr>
          <w:p w14:paraId="78BC57A3"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342363.42 </w:t>
            </w:r>
            <w:proofErr w:type="spellStart"/>
            <w:r w:rsidRPr="005F17FF">
              <w:rPr>
                <w:rFonts w:ascii="Century Gothic" w:hAnsi="Century Gothic" w:cs="Times New Roman"/>
                <w:sz w:val="20"/>
                <w:szCs w:val="20"/>
              </w:rPr>
              <w:t>mE</w:t>
            </w:r>
            <w:proofErr w:type="spellEnd"/>
          </w:p>
        </w:tc>
        <w:tc>
          <w:tcPr>
            <w:tcW w:w="3099" w:type="dxa"/>
            <w:shd w:val="clear" w:color="auto" w:fill="auto"/>
          </w:tcPr>
          <w:p w14:paraId="6C7B10CF"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2355875.53 mN</w:t>
            </w:r>
          </w:p>
        </w:tc>
      </w:tr>
      <w:tr w:rsidR="005625B5" w:rsidRPr="005F17FF" w14:paraId="3FDB80E6" w14:textId="77777777" w:rsidTr="00FB354B">
        <w:tc>
          <w:tcPr>
            <w:tcW w:w="3091" w:type="dxa"/>
            <w:shd w:val="clear" w:color="auto" w:fill="auto"/>
          </w:tcPr>
          <w:p w14:paraId="754B5B95"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E</w:t>
            </w:r>
          </w:p>
        </w:tc>
        <w:tc>
          <w:tcPr>
            <w:tcW w:w="3098" w:type="dxa"/>
            <w:shd w:val="clear" w:color="auto" w:fill="auto"/>
          </w:tcPr>
          <w:p w14:paraId="67055E29"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342225.53 </w:t>
            </w:r>
            <w:proofErr w:type="spellStart"/>
            <w:r w:rsidRPr="005F17FF">
              <w:rPr>
                <w:rFonts w:ascii="Century Gothic" w:hAnsi="Century Gothic" w:cs="Times New Roman"/>
                <w:sz w:val="20"/>
                <w:szCs w:val="20"/>
              </w:rPr>
              <w:t>mE</w:t>
            </w:r>
            <w:proofErr w:type="spellEnd"/>
          </w:p>
        </w:tc>
        <w:tc>
          <w:tcPr>
            <w:tcW w:w="3099" w:type="dxa"/>
            <w:shd w:val="clear" w:color="auto" w:fill="auto"/>
          </w:tcPr>
          <w:p w14:paraId="53FA2EA0"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2355857.86 mN</w:t>
            </w:r>
          </w:p>
        </w:tc>
      </w:tr>
      <w:tr w:rsidR="005625B5" w:rsidRPr="005F17FF" w14:paraId="576C86B3" w14:textId="77777777" w:rsidTr="00FB354B">
        <w:tc>
          <w:tcPr>
            <w:tcW w:w="3091" w:type="dxa"/>
            <w:shd w:val="clear" w:color="auto" w:fill="auto"/>
          </w:tcPr>
          <w:p w14:paraId="62ECCA0D"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F</w:t>
            </w:r>
          </w:p>
        </w:tc>
        <w:tc>
          <w:tcPr>
            <w:tcW w:w="3098" w:type="dxa"/>
            <w:shd w:val="clear" w:color="auto" w:fill="auto"/>
          </w:tcPr>
          <w:p w14:paraId="31102E0A"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342420.08 </w:t>
            </w:r>
            <w:proofErr w:type="spellStart"/>
            <w:r w:rsidRPr="005F17FF">
              <w:rPr>
                <w:rFonts w:ascii="Century Gothic" w:hAnsi="Century Gothic" w:cs="Times New Roman"/>
                <w:sz w:val="20"/>
                <w:szCs w:val="20"/>
              </w:rPr>
              <w:t>mE</w:t>
            </w:r>
            <w:proofErr w:type="spellEnd"/>
          </w:p>
        </w:tc>
        <w:tc>
          <w:tcPr>
            <w:tcW w:w="3099" w:type="dxa"/>
            <w:shd w:val="clear" w:color="auto" w:fill="auto"/>
          </w:tcPr>
          <w:p w14:paraId="54C2FCE4" w14:textId="77777777" w:rsidR="005625B5" w:rsidRPr="005F17FF" w:rsidRDefault="005625B5" w:rsidP="00FB354B">
            <w:pPr>
              <w:tabs>
                <w:tab w:val="left" w:pos="186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2355340.20 mN</w:t>
            </w:r>
          </w:p>
        </w:tc>
      </w:tr>
    </w:tbl>
    <w:p w14:paraId="797872FD" w14:textId="77777777" w:rsidR="005625B5" w:rsidRPr="0061595F" w:rsidRDefault="005625B5" w:rsidP="005625B5">
      <w:pPr>
        <w:spacing w:line="276" w:lineRule="auto"/>
        <w:jc w:val="both"/>
        <w:rPr>
          <w:rFonts w:ascii="Century Gothic" w:hAnsi="Century Gothic" w:cs="Times New Roman"/>
          <w:sz w:val="4"/>
          <w:szCs w:val="4"/>
        </w:rPr>
      </w:pPr>
    </w:p>
    <w:p w14:paraId="1CE05EAE" w14:textId="77777777" w:rsidR="005625B5" w:rsidRPr="00A13B56" w:rsidRDefault="005625B5" w:rsidP="005625B5">
      <w:pPr>
        <w:spacing w:line="276" w:lineRule="auto"/>
        <w:jc w:val="both"/>
        <w:rPr>
          <w:rFonts w:ascii="Century Gothic" w:hAnsi="Century Gothic" w:cs="Times New Roman"/>
          <w:b/>
          <w:bCs/>
          <w:sz w:val="20"/>
          <w:szCs w:val="20"/>
        </w:rPr>
      </w:pPr>
      <w:r w:rsidRPr="00A13B56">
        <w:rPr>
          <w:rFonts w:ascii="Century Gothic" w:hAnsi="Century Gothic" w:cs="Times New Roman"/>
          <w:b/>
          <w:bCs/>
          <w:sz w:val="20"/>
          <w:szCs w:val="20"/>
          <w:u w:val="single"/>
        </w:rPr>
        <w:t>Coordonnées GPS (10 ha)</w:t>
      </w:r>
      <w:r w:rsidRPr="00A13B5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027"/>
        <w:gridCol w:w="3032"/>
      </w:tblGrid>
      <w:tr w:rsidR="005625B5" w:rsidRPr="005F17FF" w14:paraId="66074466" w14:textId="77777777" w:rsidTr="00FB354B">
        <w:tc>
          <w:tcPr>
            <w:tcW w:w="3116" w:type="dxa"/>
            <w:shd w:val="clear" w:color="auto" w:fill="auto"/>
          </w:tcPr>
          <w:p w14:paraId="669CFBF8" w14:textId="77777777" w:rsidR="005625B5" w:rsidRPr="005F17FF" w:rsidRDefault="005625B5" w:rsidP="00FB354B">
            <w:pPr>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Point</w:t>
            </w:r>
          </w:p>
        </w:tc>
        <w:tc>
          <w:tcPr>
            <w:tcW w:w="3117" w:type="dxa"/>
            <w:shd w:val="clear" w:color="auto" w:fill="auto"/>
          </w:tcPr>
          <w:p w14:paraId="2F7B533A" w14:textId="77777777" w:rsidR="005625B5" w:rsidRPr="005F17FF" w:rsidRDefault="005625B5" w:rsidP="00FB354B">
            <w:pPr>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X</w:t>
            </w:r>
          </w:p>
        </w:tc>
        <w:tc>
          <w:tcPr>
            <w:tcW w:w="3117" w:type="dxa"/>
            <w:shd w:val="clear" w:color="auto" w:fill="auto"/>
          </w:tcPr>
          <w:p w14:paraId="2934B4C2" w14:textId="77777777" w:rsidR="005625B5" w:rsidRPr="005F17FF" w:rsidRDefault="005625B5" w:rsidP="00FB354B">
            <w:pPr>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Y</w:t>
            </w:r>
          </w:p>
        </w:tc>
      </w:tr>
      <w:tr w:rsidR="005625B5" w:rsidRPr="005F17FF" w14:paraId="0A57B429" w14:textId="77777777" w:rsidTr="00FB354B">
        <w:tc>
          <w:tcPr>
            <w:tcW w:w="3116" w:type="dxa"/>
            <w:shd w:val="clear" w:color="auto" w:fill="auto"/>
          </w:tcPr>
          <w:p w14:paraId="3FD7F9A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117" w:type="dxa"/>
            <w:shd w:val="clear" w:color="auto" w:fill="auto"/>
          </w:tcPr>
          <w:p w14:paraId="5B91A4D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342298.46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7D6E44F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2356042.77 mN</w:t>
            </w:r>
          </w:p>
        </w:tc>
      </w:tr>
      <w:tr w:rsidR="005625B5" w:rsidRPr="005F17FF" w14:paraId="5DDEE582" w14:textId="77777777" w:rsidTr="00FB354B">
        <w:tc>
          <w:tcPr>
            <w:tcW w:w="3116" w:type="dxa"/>
            <w:shd w:val="clear" w:color="auto" w:fill="auto"/>
          </w:tcPr>
          <w:p w14:paraId="61A73DD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117" w:type="dxa"/>
            <w:shd w:val="clear" w:color="auto" w:fill="auto"/>
          </w:tcPr>
          <w:p w14:paraId="67FD579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342396.37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7D165C4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2356016.94 mN</w:t>
            </w:r>
          </w:p>
        </w:tc>
      </w:tr>
      <w:tr w:rsidR="005625B5" w:rsidRPr="005F17FF" w14:paraId="3C02F4A9" w14:textId="77777777" w:rsidTr="00FB354B">
        <w:tc>
          <w:tcPr>
            <w:tcW w:w="3116" w:type="dxa"/>
            <w:shd w:val="clear" w:color="auto" w:fill="auto"/>
          </w:tcPr>
          <w:p w14:paraId="4B17A4A3"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117" w:type="dxa"/>
            <w:shd w:val="clear" w:color="auto" w:fill="auto"/>
          </w:tcPr>
          <w:p w14:paraId="6513D71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342226.66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452F209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2356870.96 mN</w:t>
            </w:r>
          </w:p>
        </w:tc>
      </w:tr>
      <w:tr w:rsidR="005625B5" w:rsidRPr="005F17FF" w14:paraId="27B90481" w14:textId="77777777" w:rsidTr="00FB354B">
        <w:tc>
          <w:tcPr>
            <w:tcW w:w="3116" w:type="dxa"/>
            <w:shd w:val="clear" w:color="auto" w:fill="auto"/>
          </w:tcPr>
          <w:p w14:paraId="5870D82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117" w:type="dxa"/>
            <w:shd w:val="clear" w:color="auto" w:fill="auto"/>
          </w:tcPr>
          <w:p w14:paraId="7C203091"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342041.76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79F42EE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2357107.32 mN</w:t>
            </w:r>
          </w:p>
        </w:tc>
      </w:tr>
      <w:tr w:rsidR="005625B5" w:rsidRPr="005F17FF" w14:paraId="295227E7" w14:textId="77777777" w:rsidTr="00FB354B">
        <w:trPr>
          <w:trHeight w:val="240"/>
        </w:trPr>
        <w:tc>
          <w:tcPr>
            <w:tcW w:w="3116" w:type="dxa"/>
            <w:shd w:val="clear" w:color="auto" w:fill="auto"/>
          </w:tcPr>
          <w:p w14:paraId="7FEE8A9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E</w:t>
            </w:r>
          </w:p>
        </w:tc>
        <w:tc>
          <w:tcPr>
            <w:tcW w:w="3117" w:type="dxa"/>
            <w:shd w:val="clear" w:color="auto" w:fill="auto"/>
          </w:tcPr>
          <w:p w14:paraId="7D470EB4"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341971.56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2A0BFF6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2357041.92 mN</w:t>
            </w:r>
          </w:p>
        </w:tc>
      </w:tr>
      <w:tr w:rsidR="005625B5" w:rsidRPr="005F17FF" w14:paraId="47A2684D" w14:textId="77777777" w:rsidTr="00FB354B">
        <w:tc>
          <w:tcPr>
            <w:tcW w:w="3116" w:type="dxa"/>
            <w:shd w:val="clear" w:color="auto" w:fill="auto"/>
          </w:tcPr>
          <w:p w14:paraId="4FD18AB4"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F</w:t>
            </w:r>
          </w:p>
        </w:tc>
        <w:tc>
          <w:tcPr>
            <w:tcW w:w="3117" w:type="dxa"/>
            <w:shd w:val="clear" w:color="auto" w:fill="auto"/>
          </w:tcPr>
          <w:p w14:paraId="34C307AA"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342151.84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3909CA4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2356834.89 mN</w:t>
            </w:r>
          </w:p>
        </w:tc>
      </w:tr>
    </w:tbl>
    <w:p w14:paraId="3C882FA2" w14:textId="77777777" w:rsidR="005625B5" w:rsidRPr="0061595F" w:rsidRDefault="005625B5" w:rsidP="005625B5">
      <w:pPr>
        <w:spacing w:line="276" w:lineRule="auto"/>
        <w:jc w:val="both"/>
        <w:rPr>
          <w:rFonts w:ascii="Century Gothic" w:hAnsi="Century Gothic" w:cs="Times New Roman"/>
          <w:sz w:val="8"/>
          <w:szCs w:val="8"/>
        </w:rPr>
      </w:pPr>
    </w:p>
    <w:p w14:paraId="4F9835A3" w14:textId="77777777" w:rsidR="005625B5" w:rsidRPr="00A13B56" w:rsidRDefault="005625B5" w:rsidP="005625B5">
      <w:pPr>
        <w:spacing w:line="276" w:lineRule="auto"/>
        <w:jc w:val="both"/>
        <w:rPr>
          <w:rFonts w:ascii="Century Gothic" w:hAnsi="Century Gothic" w:cs="Times New Roman"/>
          <w:b/>
          <w:bCs/>
          <w:sz w:val="20"/>
          <w:szCs w:val="20"/>
        </w:rPr>
      </w:pPr>
      <w:r w:rsidRPr="00A13B56">
        <w:rPr>
          <w:rFonts w:ascii="Century Gothic" w:hAnsi="Century Gothic" w:cs="Times New Roman"/>
          <w:b/>
          <w:bCs/>
          <w:sz w:val="20"/>
          <w:szCs w:val="20"/>
          <w:u w:val="single"/>
        </w:rPr>
        <w:t>Coordonnées GPS (3 ha)</w:t>
      </w:r>
      <w:r w:rsidRPr="00A13B5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027"/>
        <w:gridCol w:w="3032"/>
      </w:tblGrid>
      <w:tr w:rsidR="005625B5" w:rsidRPr="005F17FF" w14:paraId="6B5898F1" w14:textId="77777777" w:rsidTr="00FB354B">
        <w:tc>
          <w:tcPr>
            <w:tcW w:w="3116" w:type="dxa"/>
            <w:shd w:val="clear" w:color="auto" w:fill="auto"/>
          </w:tcPr>
          <w:p w14:paraId="1D4E9B9D" w14:textId="77777777" w:rsidR="005625B5" w:rsidRPr="005F17FF" w:rsidRDefault="005625B5" w:rsidP="00FB354B">
            <w:pPr>
              <w:tabs>
                <w:tab w:val="left" w:pos="2364"/>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Point</w:t>
            </w:r>
          </w:p>
        </w:tc>
        <w:tc>
          <w:tcPr>
            <w:tcW w:w="3117" w:type="dxa"/>
            <w:shd w:val="clear" w:color="auto" w:fill="auto"/>
          </w:tcPr>
          <w:p w14:paraId="6BB49100" w14:textId="77777777" w:rsidR="005625B5" w:rsidRPr="005F17FF" w:rsidRDefault="005625B5" w:rsidP="00FB354B">
            <w:pPr>
              <w:tabs>
                <w:tab w:val="left" w:pos="2364"/>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X</w:t>
            </w:r>
          </w:p>
        </w:tc>
        <w:tc>
          <w:tcPr>
            <w:tcW w:w="3117" w:type="dxa"/>
            <w:shd w:val="clear" w:color="auto" w:fill="auto"/>
          </w:tcPr>
          <w:p w14:paraId="092BAB55" w14:textId="77777777" w:rsidR="005625B5" w:rsidRPr="005F17FF" w:rsidRDefault="005625B5" w:rsidP="00FB354B">
            <w:pPr>
              <w:tabs>
                <w:tab w:val="left" w:pos="2364"/>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Y</w:t>
            </w:r>
          </w:p>
        </w:tc>
      </w:tr>
      <w:tr w:rsidR="005625B5" w:rsidRPr="005F17FF" w14:paraId="33277801" w14:textId="77777777" w:rsidTr="00FB354B">
        <w:tc>
          <w:tcPr>
            <w:tcW w:w="3116" w:type="dxa"/>
            <w:shd w:val="clear" w:color="auto" w:fill="auto"/>
          </w:tcPr>
          <w:p w14:paraId="40F0572D"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117" w:type="dxa"/>
            <w:shd w:val="clear" w:color="auto" w:fill="auto"/>
          </w:tcPr>
          <w:p w14:paraId="5F4D3C7A"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341727.87 m E</w:t>
            </w:r>
          </w:p>
        </w:tc>
        <w:tc>
          <w:tcPr>
            <w:tcW w:w="3117" w:type="dxa"/>
            <w:shd w:val="clear" w:color="auto" w:fill="auto"/>
          </w:tcPr>
          <w:p w14:paraId="3115FA13"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2356005.53 m N</w:t>
            </w:r>
          </w:p>
        </w:tc>
      </w:tr>
      <w:tr w:rsidR="005625B5" w:rsidRPr="005F17FF" w14:paraId="29F11B16" w14:textId="77777777" w:rsidTr="00FB354B">
        <w:tc>
          <w:tcPr>
            <w:tcW w:w="3116" w:type="dxa"/>
            <w:shd w:val="clear" w:color="auto" w:fill="auto"/>
          </w:tcPr>
          <w:p w14:paraId="0C3394AF"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117" w:type="dxa"/>
            <w:shd w:val="clear" w:color="auto" w:fill="auto"/>
          </w:tcPr>
          <w:p w14:paraId="31DBBAA4"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341764.03 m E</w:t>
            </w:r>
          </w:p>
        </w:tc>
        <w:tc>
          <w:tcPr>
            <w:tcW w:w="3117" w:type="dxa"/>
            <w:shd w:val="clear" w:color="auto" w:fill="auto"/>
          </w:tcPr>
          <w:p w14:paraId="559400D7"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2356044.95 m N</w:t>
            </w:r>
          </w:p>
        </w:tc>
      </w:tr>
      <w:tr w:rsidR="005625B5" w:rsidRPr="005F17FF" w14:paraId="6C42F649" w14:textId="77777777" w:rsidTr="00FB354B">
        <w:tc>
          <w:tcPr>
            <w:tcW w:w="3116" w:type="dxa"/>
            <w:shd w:val="clear" w:color="auto" w:fill="auto"/>
          </w:tcPr>
          <w:p w14:paraId="21A8F2CF"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117" w:type="dxa"/>
            <w:shd w:val="clear" w:color="auto" w:fill="auto"/>
          </w:tcPr>
          <w:p w14:paraId="6977C48A"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341469.77 m E</w:t>
            </w:r>
          </w:p>
        </w:tc>
        <w:tc>
          <w:tcPr>
            <w:tcW w:w="3117" w:type="dxa"/>
            <w:shd w:val="clear" w:color="auto" w:fill="auto"/>
          </w:tcPr>
          <w:p w14:paraId="32BBDE11"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2356173.99 m N</w:t>
            </w:r>
          </w:p>
        </w:tc>
      </w:tr>
      <w:tr w:rsidR="005625B5" w:rsidRPr="005F17FF" w14:paraId="5D32C11A" w14:textId="77777777" w:rsidTr="00FB354B">
        <w:trPr>
          <w:trHeight w:val="188"/>
        </w:trPr>
        <w:tc>
          <w:tcPr>
            <w:tcW w:w="3116" w:type="dxa"/>
            <w:shd w:val="clear" w:color="auto" w:fill="auto"/>
          </w:tcPr>
          <w:p w14:paraId="5FEF2CA1"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117" w:type="dxa"/>
            <w:shd w:val="clear" w:color="auto" w:fill="auto"/>
          </w:tcPr>
          <w:p w14:paraId="758FFBB8"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341139.50 m E</w:t>
            </w:r>
          </w:p>
        </w:tc>
        <w:tc>
          <w:tcPr>
            <w:tcW w:w="3117" w:type="dxa"/>
            <w:shd w:val="clear" w:color="auto" w:fill="auto"/>
          </w:tcPr>
          <w:p w14:paraId="2FB8BCE1"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2356233.24 m N</w:t>
            </w:r>
          </w:p>
        </w:tc>
      </w:tr>
      <w:tr w:rsidR="005625B5" w:rsidRPr="005F17FF" w14:paraId="33C4F02E" w14:textId="77777777" w:rsidTr="00FB354B">
        <w:tc>
          <w:tcPr>
            <w:tcW w:w="3116" w:type="dxa"/>
            <w:shd w:val="clear" w:color="auto" w:fill="auto"/>
          </w:tcPr>
          <w:p w14:paraId="7F26F994"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E</w:t>
            </w:r>
          </w:p>
        </w:tc>
        <w:tc>
          <w:tcPr>
            <w:tcW w:w="3117" w:type="dxa"/>
            <w:shd w:val="clear" w:color="auto" w:fill="auto"/>
          </w:tcPr>
          <w:p w14:paraId="15419BA1"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341129.90 m E</w:t>
            </w:r>
          </w:p>
        </w:tc>
        <w:tc>
          <w:tcPr>
            <w:tcW w:w="3117" w:type="dxa"/>
            <w:shd w:val="clear" w:color="auto" w:fill="auto"/>
          </w:tcPr>
          <w:p w14:paraId="10FC2285"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2356180.09 m N</w:t>
            </w:r>
          </w:p>
        </w:tc>
      </w:tr>
      <w:tr w:rsidR="005625B5" w:rsidRPr="005F17FF" w14:paraId="08F22650" w14:textId="77777777" w:rsidTr="00FB354B">
        <w:tc>
          <w:tcPr>
            <w:tcW w:w="3116" w:type="dxa"/>
            <w:shd w:val="clear" w:color="auto" w:fill="auto"/>
          </w:tcPr>
          <w:p w14:paraId="253EE077"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F</w:t>
            </w:r>
          </w:p>
        </w:tc>
        <w:tc>
          <w:tcPr>
            <w:tcW w:w="3117" w:type="dxa"/>
            <w:shd w:val="clear" w:color="auto" w:fill="auto"/>
          </w:tcPr>
          <w:p w14:paraId="78360134"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341459.04 m E</w:t>
            </w:r>
          </w:p>
        </w:tc>
        <w:tc>
          <w:tcPr>
            <w:tcW w:w="3117" w:type="dxa"/>
            <w:shd w:val="clear" w:color="auto" w:fill="auto"/>
          </w:tcPr>
          <w:p w14:paraId="4AD92F23"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2356129.06 m N</w:t>
            </w:r>
          </w:p>
        </w:tc>
      </w:tr>
    </w:tbl>
    <w:p w14:paraId="4CB4814F" w14:textId="77777777" w:rsidR="005625B5" w:rsidRPr="0061595F" w:rsidRDefault="005625B5" w:rsidP="005625B5">
      <w:pPr>
        <w:spacing w:line="276" w:lineRule="auto"/>
        <w:jc w:val="both"/>
        <w:rPr>
          <w:rFonts w:ascii="Century Gothic" w:hAnsi="Century Gothic" w:cs="Times New Roman"/>
          <w:sz w:val="4"/>
          <w:szCs w:val="4"/>
        </w:rPr>
      </w:pPr>
    </w:p>
    <w:p w14:paraId="43D1A105" w14:textId="77777777" w:rsidR="005625B5" w:rsidRPr="00A13B56" w:rsidRDefault="005625B5" w:rsidP="005625B5">
      <w:pPr>
        <w:spacing w:line="276" w:lineRule="auto"/>
        <w:jc w:val="both"/>
        <w:rPr>
          <w:rFonts w:ascii="Century Gothic" w:hAnsi="Century Gothic" w:cs="Times New Roman"/>
          <w:b/>
          <w:bCs/>
          <w:sz w:val="20"/>
          <w:szCs w:val="20"/>
        </w:rPr>
      </w:pPr>
      <w:r w:rsidRPr="00A13B56">
        <w:rPr>
          <w:rFonts w:ascii="Century Gothic" w:hAnsi="Century Gothic" w:cs="Times New Roman"/>
          <w:b/>
          <w:bCs/>
          <w:sz w:val="20"/>
          <w:szCs w:val="20"/>
          <w:u w:val="single"/>
        </w:rPr>
        <w:t>Coordonnées GPS (3 ha)</w:t>
      </w:r>
      <w:r w:rsidRPr="00A13B5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26"/>
        <w:gridCol w:w="3032"/>
      </w:tblGrid>
      <w:tr w:rsidR="005625B5" w:rsidRPr="005F17FF" w14:paraId="6FF61E4C" w14:textId="77777777" w:rsidTr="00FB354B">
        <w:tc>
          <w:tcPr>
            <w:tcW w:w="3116" w:type="dxa"/>
            <w:shd w:val="clear" w:color="auto" w:fill="auto"/>
          </w:tcPr>
          <w:p w14:paraId="5C1B172E"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Point</w:t>
            </w:r>
          </w:p>
        </w:tc>
        <w:tc>
          <w:tcPr>
            <w:tcW w:w="3117" w:type="dxa"/>
            <w:shd w:val="clear" w:color="auto" w:fill="auto"/>
          </w:tcPr>
          <w:p w14:paraId="16551BCD"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117" w:type="dxa"/>
            <w:shd w:val="clear" w:color="auto" w:fill="auto"/>
          </w:tcPr>
          <w:p w14:paraId="5A184403"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6A216F6E" w14:textId="77777777" w:rsidTr="00FB354B">
        <w:trPr>
          <w:trHeight w:val="170"/>
        </w:trPr>
        <w:tc>
          <w:tcPr>
            <w:tcW w:w="3116" w:type="dxa"/>
            <w:shd w:val="clear" w:color="auto" w:fill="auto"/>
          </w:tcPr>
          <w:p w14:paraId="4FF54970"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A</w:t>
            </w:r>
          </w:p>
        </w:tc>
        <w:tc>
          <w:tcPr>
            <w:tcW w:w="3117" w:type="dxa"/>
            <w:shd w:val="clear" w:color="auto" w:fill="auto"/>
          </w:tcPr>
          <w:p w14:paraId="100F2309"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341228.08 m E</w:t>
            </w:r>
          </w:p>
        </w:tc>
        <w:tc>
          <w:tcPr>
            <w:tcW w:w="3117" w:type="dxa"/>
            <w:shd w:val="clear" w:color="auto" w:fill="auto"/>
          </w:tcPr>
          <w:p w14:paraId="2FBFBF7A"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2355654.30 m N</w:t>
            </w:r>
          </w:p>
        </w:tc>
      </w:tr>
      <w:tr w:rsidR="005625B5" w:rsidRPr="005F17FF" w14:paraId="51B18B29" w14:textId="77777777" w:rsidTr="00FB354B">
        <w:tc>
          <w:tcPr>
            <w:tcW w:w="3116" w:type="dxa"/>
            <w:shd w:val="clear" w:color="auto" w:fill="auto"/>
          </w:tcPr>
          <w:p w14:paraId="1FBCAD13"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B</w:t>
            </w:r>
          </w:p>
        </w:tc>
        <w:tc>
          <w:tcPr>
            <w:tcW w:w="3117" w:type="dxa"/>
            <w:shd w:val="clear" w:color="auto" w:fill="auto"/>
          </w:tcPr>
          <w:p w14:paraId="24486AC6"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341272.64 m E</w:t>
            </w:r>
          </w:p>
        </w:tc>
        <w:tc>
          <w:tcPr>
            <w:tcW w:w="3117" w:type="dxa"/>
            <w:shd w:val="clear" w:color="auto" w:fill="auto"/>
          </w:tcPr>
          <w:p w14:paraId="0935029A"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2355673.55 m N</w:t>
            </w:r>
          </w:p>
        </w:tc>
      </w:tr>
      <w:tr w:rsidR="005625B5" w:rsidRPr="005F17FF" w14:paraId="1E7EC9D7" w14:textId="77777777" w:rsidTr="00FB354B">
        <w:tc>
          <w:tcPr>
            <w:tcW w:w="3116" w:type="dxa"/>
            <w:shd w:val="clear" w:color="auto" w:fill="auto"/>
          </w:tcPr>
          <w:p w14:paraId="23348D19"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C</w:t>
            </w:r>
          </w:p>
        </w:tc>
        <w:tc>
          <w:tcPr>
            <w:tcW w:w="3117" w:type="dxa"/>
            <w:shd w:val="clear" w:color="auto" w:fill="auto"/>
          </w:tcPr>
          <w:p w14:paraId="3215AC75"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341180.08 m E</w:t>
            </w:r>
          </w:p>
        </w:tc>
        <w:tc>
          <w:tcPr>
            <w:tcW w:w="3117" w:type="dxa"/>
            <w:shd w:val="clear" w:color="auto" w:fill="auto"/>
          </w:tcPr>
          <w:p w14:paraId="0485DD13"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 xml:space="preserve">2355832.17 m </w:t>
            </w:r>
            <w:proofErr w:type="spellStart"/>
            <w:r w:rsidRPr="005F17FF">
              <w:rPr>
                <w:rFonts w:ascii="Century Gothic" w:hAnsi="Century Gothic" w:cs="Times New Roman"/>
                <w:sz w:val="20"/>
                <w:szCs w:val="20"/>
              </w:rPr>
              <w:t>Nc</w:t>
            </w:r>
            <w:proofErr w:type="spellEnd"/>
          </w:p>
        </w:tc>
      </w:tr>
      <w:tr w:rsidR="005625B5" w:rsidRPr="005F17FF" w14:paraId="05990692" w14:textId="77777777" w:rsidTr="00FB354B">
        <w:tc>
          <w:tcPr>
            <w:tcW w:w="3116" w:type="dxa"/>
            <w:shd w:val="clear" w:color="auto" w:fill="auto"/>
          </w:tcPr>
          <w:p w14:paraId="01120FD5"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D</w:t>
            </w:r>
          </w:p>
        </w:tc>
        <w:tc>
          <w:tcPr>
            <w:tcW w:w="3117" w:type="dxa"/>
            <w:shd w:val="clear" w:color="auto" w:fill="auto"/>
          </w:tcPr>
          <w:p w14:paraId="2CF5FFE0"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340807.14 m E</w:t>
            </w:r>
          </w:p>
        </w:tc>
        <w:tc>
          <w:tcPr>
            <w:tcW w:w="3117" w:type="dxa"/>
            <w:shd w:val="clear" w:color="auto" w:fill="auto"/>
          </w:tcPr>
          <w:p w14:paraId="7465EF44"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2356084.89 m N</w:t>
            </w:r>
          </w:p>
        </w:tc>
      </w:tr>
      <w:tr w:rsidR="005625B5" w:rsidRPr="005F17FF" w14:paraId="24132D16" w14:textId="77777777" w:rsidTr="00FB354B">
        <w:tc>
          <w:tcPr>
            <w:tcW w:w="3116" w:type="dxa"/>
            <w:shd w:val="clear" w:color="auto" w:fill="auto"/>
          </w:tcPr>
          <w:p w14:paraId="5A9DB879"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E</w:t>
            </w:r>
          </w:p>
        </w:tc>
        <w:tc>
          <w:tcPr>
            <w:tcW w:w="3117" w:type="dxa"/>
            <w:shd w:val="clear" w:color="auto" w:fill="auto"/>
          </w:tcPr>
          <w:p w14:paraId="6FBAE4F4"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340782.40 m E</w:t>
            </w:r>
          </w:p>
        </w:tc>
        <w:tc>
          <w:tcPr>
            <w:tcW w:w="3117" w:type="dxa"/>
            <w:shd w:val="clear" w:color="auto" w:fill="auto"/>
          </w:tcPr>
          <w:p w14:paraId="6FEE4D2A"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2356040.61 m N</w:t>
            </w:r>
          </w:p>
        </w:tc>
      </w:tr>
      <w:tr w:rsidR="005625B5" w:rsidRPr="005F17FF" w14:paraId="1DA0821D" w14:textId="77777777" w:rsidTr="00FB354B">
        <w:tc>
          <w:tcPr>
            <w:tcW w:w="3116" w:type="dxa"/>
            <w:shd w:val="clear" w:color="auto" w:fill="auto"/>
          </w:tcPr>
          <w:p w14:paraId="0EB55CF8"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F</w:t>
            </w:r>
          </w:p>
        </w:tc>
        <w:tc>
          <w:tcPr>
            <w:tcW w:w="3117" w:type="dxa"/>
            <w:shd w:val="clear" w:color="auto" w:fill="auto"/>
          </w:tcPr>
          <w:p w14:paraId="5EBC3D81"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341140.98 m E</w:t>
            </w:r>
          </w:p>
        </w:tc>
        <w:tc>
          <w:tcPr>
            <w:tcW w:w="3117" w:type="dxa"/>
            <w:shd w:val="clear" w:color="auto" w:fill="auto"/>
          </w:tcPr>
          <w:p w14:paraId="76906C88" w14:textId="77777777" w:rsidR="005625B5" w:rsidRPr="005F17FF" w:rsidRDefault="005625B5" w:rsidP="00FB354B">
            <w:pPr>
              <w:tabs>
                <w:tab w:val="left" w:pos="2364"/>
              </w:tabs>
              <w:spacing w:after="0" w:line="276" w:lineRule="auto"/>
              <w:rPr>
                <w:rFonts w:ascii="Century Gothic" w:hAnsi="Century Gothic" w:cs="Times New Roman"/>
                <w:sz w:val="20"/>
                <w:szCs w:val="20"/>
              </w:rPr>
            </w:pPr>
            <w:r w:rsidRPr="005F17FF">
              <w:rPr>
                <w:rFonts w:ascii="Century Gothic" w:hAnsi="Century Gothic" w:cs="Times New Roman"/>
                <w:sz w:val="20"/>
                <w:szCs w:val="20"/>
              </w:rPr>
              <w:t>2355798.94 m N</w:t>
            </w:r>
          </w:p>
        </w:tc>
      </w:tr>
    </w:tbl>
    <w:p w14:paraId="31AC4ACF" w14:textId="77777777" w:rsidR="005625B5" w:rsidRPr="00A13B56" w:rsidRDefault="005625B5" w:rsidP="005625B5">
      <w:pPr>
        <w:tabs>
          <w:tab w:val="left" w:pos="426"/>
        </w:tabs>
        <w:spacing w:after="0" w:line="276" w:lineRule="auto"/>
        <w:jc w:val="both"/>
        <w:rPr>
          <w:rFonts w:ascii="Century Gothic" w:eastAsia="Times New Roman" w:hAnsi="Century Gothic" w:cs="Times New Roman"/>
          <w:sz w:val="20"/>
          <w:szCs w:val="20"/>
          <w:lang w:eastAsia="wo-SN"/>
        </w:rPr>
      </w:pPr>
    </w:p>
    <w:p w14:paraId="39BEAA7C" w14:textId="77777777" w:rsidR="005625B5" w:rsidRPr="00A13B56" w:rsidRDefault="005625B5" w:rsidP="005625B5">
      <w:pPr>
        <w:tabs>
          <w:tab w:val="left" w:pos="426"/>
        </w:tabs>
        <w:spacing w:after="0" w:line="276" w:lineRule="auto"/>
        <w:jc w:val="both"/>
        <w:rPr>
          <w:rFonts w:ascii="Century Gothic" w:eastAsia="Times New Roman" w:hAnsi="Century Gothic" w:cs="Times New Roman"/>
          <w:sz w:val="20"/>
          <w:szCs w:val="20"/>
          <w:lang w:eastAsia="wo-SN"/>
        </w:rPr>
      </w:pPr>
    </w:p>
    <w:p w14:paraId="1FDA8F25" w14:textId="33313134" w:rsidR="0061595F" w:rsidRDefault="003A01EE" w:rsidP="003667C3">
      <w:pPr>
        <w:tabs>
          <w:tab w:val="left" w:pos="426"/>
        </w:tabs>
        <w:spacing w:after="0" w:line="276" w:lineRule="auto"/>
        <w:ind w:right="3118"/>
        <w:jc w:val="center"/>
        <w:rPr>
          <w:rFonts w:ascii="Times New Roman" w:hAnsi="Times New Roman" w:cs="Times New Roman"/>
          <w:noProof/>
          <w:sz w:val="24"/>
          <w:szCs w:val="24"/>
          <w:lang w:eastAsia="fr-FR"/>
        </w:rPr>
      </w:pPr>
      <w:r w:rsidRPr="00FD184A">
        <w:rPr>
          <w:rFonts w:ascii="Times New Roman" w:hAnsi="Times New Roman" w:cs="Times New Roman"/>
          <w:noProof/>
          <w:sz w:val="24"/>
          <w:szCs w:val="24"/>
          <w:lang w:eastAsia="fr-FR"/>
        </w:rPr>
        <w:drawing>
          <wp:anchor distT="0" distB="0" distL="114300" distR="114300" simplePos="0" relativeHeight="251751424" behindDoc="0" locked="0" layoutInCell="1" allowOverlap="1" wp14:anchorId="253DBB8C" wp14:editId="11915C45">
            <wp:simplePos x="0" y="0"/>
            <wp:positionH relativeFrom="column">
              <wp:posOffset>3952240</wp:posOffset>
            </wp:positionH>
            <wp:positionV relativeFrom="paragraph">
              <wp:posOffset>0</wp:posOffset>
            </wp:positionV>
            <wp:extent cx="2707640" cy="2503805"/>
            <wp:effectExtent l="0" t="0" r="0" b="0"/>
            <wp:wrapSquare wrapText="bothSides"/>
            <wp:docPr id="1457253957" name="Image 6" descr="E:\Desktop\Restauration des terres\Ensablement Infrastructures\D. NDB\Boulenoir\BOULENOUAR\Phone boulenouar\IMG_001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descr="E:\Desktop\Restauration des terres\Ensablement Infrastructures\D. NDB\Boulenoir\BOULENOUAR\Phone boulenouar\IMG_0010.JPG"/>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07640" cy="2503805"/>
                    </a:xfrm>
                    <a:prstGeom prst="rect">
                      <a:avLst/>
                    </a:prstGeom>
                    <a:noFill/>
                    <a:ln>
                      <a:noFill/>
                    </a:ln>
                  </pic:spPr>
                </pic:pic>
              </a:graphicData>
            </a:graphic>
            <wp14:sizeRelV relativeFrom="margin">
              <wp14:pctHeight>0</wp14:pctHeight>
            </wp14:sizeRelV>
          </wp:anchor>
        </w:drawing>
      </w:r>
      <w:r w:rsidR="005625B5" w:rsidRPr="00A516A0">
        <w:rPr>
          <w:noProof/>
          <w:lang w:eastAsia="fr-FR"/>
        </w:rPr>
        <w:drawing>
          <wp:inline distT="0" distB="0" distL="0" distR="0" wp14:anchorId="34D1DB17" wp14:editId="6A9A93FF">
            <wp:extent cx="2833279" cy="2405449"/>
            <wp:effectExtent l="0" t="0" r="5715" b="0"/>
            <wp:docPr id="32" name="Image 7" descr="E:\Desktop\Restauration des terres\Ensablement Infrastructures\D. NDB\Boulenoir\BOULENOUAR\DJI_035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 descr="E:\Desktop\Restauration des terres\Ensablement Infrastructures\D. NDB\Boulenoir\BOULENOUAR\DJI_0355.JPG"/>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74881" cy="2440769"/>
                    </a:xfrm>
                    <a:prstGeom prst="rect">
                      <a:avLst/>
                    </a:prstGeom>
                    <a:noFill/>
                    <a:ln>
                      <a:noFill/>
                    </a:ln>
                  </pic:spPr>
                </pic:pic>
              </a:graphicData>
            </a:graphic>
          </wp:inline>
        </w:drawing>
      </w:r>
    </w:p>
    <w:p w14:paraId="629F353B" w14:textId="5C2C6ACF" w:rsidR="005625B5" w:rsidRDefault="005625B5" w:rsidP="002E0F4D">
      <w:pPr>
        <w:tabs>
          <w:tab w:val="left" w:pos="426"/>
        </w:tabs>
        <w:spacing w:after="0" w:line="276" w:lineRule="auto"/>
        <w:ind w:left="5664" w:right="992"/>
        <w:rPr>
          <w:rFonts w:ascii="Times New Roman" w:hAnsi="Times New Roman" w:cs="Times New Roman"/>
          <w:noProof/>
          <w:sz w:val="24"/>
          <w:szCs w:val="24"/>
          <w:lang w:eastAsia="fr-FR"/>
        </w:rPr>
      </w:pPr>
    </w:p>
    <w:p w14:paraId="10C9FEA4" w14:textId="0D20F265" w:rsidR="005625B5" w:rsidRPr="001839C6" w:rsidRDefault="003A01EE" w:rsidP="002E0F4D">
      <w:pPr>
        <w:tabs>
          <w:tab w:val="left" w:pos="426"/>
        </w:tabs>
        <w:spacing w:after="0" w:line="276" w:lineRule="auto"/>
        <w:ind w:right="-1276"/>
        <w:jc w:val="center"/>
        <w:rPr>
          <w:rFonts w:ascii="Century Gothic" w:hAnsi="Century Gothic" w:cs="Times New Roman"/>
          <w:b/>
          <w:bCs/>
          <w:noProof/>
          <w:sz w:val="20"/>
          <w:szCs w:val="20"/>
          <w:lang w:eastAsia="fr-FR"/>
        </w:rPr>
      </w:pPr>
      <w:r>
        <w:rPr>
          <w:rFonts w:ascii="Century Gothic" w:hAnsi="Century Gothic" w:cs="Times New Roman"/>
          <w:b/>
          <w:bCs/>
          <w:noProof/>
          <w:sz w:val="20"/>
          <w:szCs w:val="20"/>
          <w:lang w:eastAsia="fr-FR"/>
        </w:rPr>
        <w:t xml:space="preserve">                                                                                                                </w:t>
      </w:r>
      <w:r w:rsidR="005625B5" w:rsidRPr="001839C6">
        <w:rPr>
          <w:rFonts w:ascii="Century Gothic" w:hAnsi="Century Gothic" w:cs="Times New Roman"/>
          <w:b/>
          <w:bCs/>
          <w:noProof/>
          <w:sz w:val="20"/>
          <w:szCs w:val="20"/>
          <w:lang w:eastAsia="fr-FR"/>
        </w:rPr>
        <w:t xml:space="preserve">Ensablement de la ville de Boulenoir </w:t>
      </w:r>
    </w:p>
    <w:p w14:paraId="303A83C4" w14:textId="77777777" w:rsidR="005625B5" w:rsidRPr="00437FA8" w:rsidRDefault="005625B5" w:rsidP="005625B5">
      <w:pPr>
        <w:tabs>
          <w:tab w:val="left" w:pos="426"/>
        </w:tabs>
        <w:spacing w:after="0" w:line="276" w:lineRule="auto"/>
        <w:rPr>
          <w:rFonts w:ascii="Century Gothic" w:eastAsia="Times New Roman" w:hAnsi="Century Gothic" w:cs="Times New Roman"/>
          <w:b/>
          <w:bCs/>
          <w:sz w:val="20"/>
          <w:szCs w:val="20"/>
          <w:lang w:eastAsia="wo-SN"/>
        </w:rPr>
      </w:pPr>
      <w:r w:rsidRPr="001839C6">
        <w:rPr>
          <w:rFonts w:ascii="Century Gothic" w:hAnsi="Century Gothic" w:cs="Times New Roman"/>
          <w:b/>
          <w:bCs/>
          <w:noProof/>
          <w:sz w:val="24"/>
          <w:szCs w:val="24"/>
          <w:lang w:eastAsia="fr-FR"/>
        </w:rPr>
        <w:t xml:space="preserve">Site de Chami : </w:t>
      </w:r>
    </w:p>
    <w:p w14:paraId="4FDDB3CB" w14:textId="77777777" w:rsidR="005625B5" w:rsidRDefault="005625B5" w:rsidP="005625B5">
      <w:pPr>
        <w:tabs>
          <w:tab w:val="left" w:pos="426"/>
        </w:tabs>
        <w:spacing w:after="0" w:line="276" w:lineRule="auto"/>
        <w:jc w:val="both"/>
        <w:rPr>
          <w:rFonts w:ascii="Century Gothic" w:eastAsia="Times New Roman" w:hAnsi="Century Gothic" w:cs="Times New Roman"/>
          <w:sz w:val="20"/>
          <w:szCs w:val="20"/>
          <w:lang w:eastAsia="wo-SN"/>
        </w:rPr>
      </w:pPr>
    </w:p>
    <w:p w14:paraId="5B6FA811" w14:textId="431A5090" w:rsidR="003A01EE" w:rsidRDefault="003A01EE" w:rsidP="005625B5">
      <w:pPr>
        <w:tabs>
          <w:tab w:val="left" w:pos="426"/>
        </w:tabs>
        <w:spacing w:after="0" w:line="276" w:lineRule="auto"/>
        <w:jc w:val="both"/>
        <w:rPr>
          <w:rFonts w:ascii="Century Gothic" w:eastAsia="Times New Roman" w:hAnsi="Century Gothic" w:cs="Times New Roman"/>
          <w:sz w:val="20"/>
          <w:szCs w:val="20"/>
          <w:lang w:eastAsia="wo-SN"/>
        </w:rPr>
      </w:pP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w:t>
      </w:r>
      <w:proofErr w:type="gramStart"/>
      <w:r w:rsidRPr="001839C6">
        <w:rPr>
          <w:rFonts w:ascii="Century Gothic" w:hAnsi="Century Gothic" w:cs="Times New Roman"/>
          <w:sz w:val="24"/>
          <w:szCs w:val="24"/>
        </w:rPr>
        <w:t xml:space="preserve">Chami  </w:t>
      </w:r>
      <w:r w:rsidRPr="001839C6">
        <w:rPr>
          <w:rFonts w:ascii="Century Gothic" w:hAnsi="Century Gothic" w:cs="Times New Roman"/>
          <w:sz w:val="24"/>
          <w:szCs w:val="24"/>
        </w:rPr>
        <w:tab/>
      </w:r>
      <w:proofErr w:type="gramEnd"/>
      <w:r w:rsidRPr="001839C6">
        <w:rPr>
          <w:rFonts w:ascii="Century Gothic" w:hAnsi="Century Gothic" w:cs="Times New Roman"/>
          <w:sz w:val="24"/>
          <w:szCs w:val="24"/>
        </w:rPr>
        <w:tab/>
      </w:r>
      <w:r w:rsidRPr="001839C6">
        <w:rPr>
          <w:rFonts w:ascii="Century Gothic" w:hAnsi="Century Gothic" w:cs="Times New Roman"/>
          <w:sz w:val="24"/>
          <w:szCs w:val="24"/>
          <w:u w:val="single"/>
        </w:rPr>
        <w:t>Moughataa</w:t>
      </w:r>
      <w:r w:rsidRPr="001839C6">
        <w:rPr>
          <w:rFonts w:ascii="Century Gothic" w:hAnsi="Century Gothic" w:cs="Times New Roman"/>
          <w:sz w:val="24"/>
          <w:szCs w:val="24"/>
        </w:rPr>
        <w:t xml:space="preserve"> : Chami   </w:t>
      </w:r>
      <w:r w:rsidRPr="001839C6">
        <w:rPr>
          <w:rFonts w:ascii="Century Gothic" w:hAnsi="Century Gothic" w:cs="Times New Roman"/>
          <w:sz w:val="24"/>
          <w:szCs w:val="24"/>
        </w:rPr>
        <w:tab/>
      </w:r>
      <w:r w:rsidRPr="001839C6">
        <w:rPr>
          <w:rFonts w:ascii="Century Gothic" w:hAnsi="Century Gothic" w:cs="Times New Roman"/>
          <w:sz w:val="24"/>
          <w:szCs w:val="24"/>
          <w:u w:val="single"/>
        </w:rPr>
        <w:t>Wilaya</w:t>
      </w:r>
      <w:r w:rsidRPr="001839C6">
        <w:rPr>
          <w:rFonts w:ascii="Century Gothic" w:hAnsi="Century Gothic" w:cs="Times New Roman"/>
          <w:sz w:val="24"/>
          <w:szCs w:val="24"/>
        </w:rPr>
        <w:t xml:space="preserve"> :D. Nouadhibou   </w:t>
      </w:r>
    </w:p>
    <w:p w14:paraId="5589466A" w14:textId="77777777" w:rsidR="003A01EE" w:rsidRDefault="003A01EE" w:rsidP="005625B5">
      <w:pPr>
        <w:tabs>
          <w:tab w:val="left" w:pos="426"/>
        </w:tabs>
        <w:spacing w:after="0" w:line="276" w:lineRule="auto"/>
        <w:jc w:val="both"/>
        <w:rPr>
          <w:rFonts w:ascii="Century Gothic" w:eastAsia="Times New Roman" w:hAnsi="Century Gothic" w:cs="Times New Roman"/>
          <w:sz w:val="20"/>
          <w:szCs w:val="20"/>
          <w:lang w:eastAsia="wo-SN"/>
        </w:rPr>
      </w:pPr>
    </w:p>
    <w:p w14:paraId="58D52715" w14:textId="29F8A946" w:rsidR="003A01EE" w:rsidRDefault="003A01EE" w:rsidP="005625B5">
      <w:pPr>
        <w:tabs>
          <w:tab w:val="left" w:pos="426"/>
        </w:tabs>
        <w:spacing w:after="0" w:line="276" w:lineRule="auto"/>
        <w:jc w:val="both"/>
        <w:rPr>
          <w:rFonts w:ascii="Century Gothic" w:eastAsia="Times New Roman" w:hAnsi="Century Gothic" w:cs="Times New Roman"/>
          <w:sz w:val="20"/>
          <w:szCs w:val="20"/>
          <w:lang w:eastAsia="wo-SN"/>
        </w:rPr>
      </w:pPr>
      <w:r w:rsidRPr="00FD184A">
        <w:rPr>
          <w:rFonts w:ascii="Century Gothic" w:hAnsi="Century Gothic" w:cs="Times New Roman"/>
          <w:noProof/>
          <w:sz w:val="24"/>
          <w:szCs w:val="24"/>
        </w:rPr>
        <w:drawing>
          <wp:inline distT="0" distB="0" distL="0" distR="0" wp14:anchorId="4382A8A3" wp14:editId="17150E1E">
            <wp:extent cx="5436654" cy="5066271"/>
            <wp:effectExtent l="0" t="0" r="0" b="1270"/>
            <wp:docPr id="439683982"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56857" cy="5085097"/>
                    </a:xfrm>
                    <a:prstGeom prst="rect">
                      <a:avLst/>
                    </a:prstGeom>
                    <a:noFill/>
                    <a:ln>
                      <a:noFill/>
                    </a:ln>
                  </pic:spPr>
                </pic:pic>
              </a:graphicData>
            </a:graphic>
          </wp:inline>
        </w:drawing>
      </w:r>
    </w:p>
    <w:p w14:paraId="7007E0B1" w14:textId="592FD96D" w:rsidR="003A01EE" w:rsidRDefault="003A01EE" w:rsidP="005625B5">
      <w:pPr>
        <w:tabs>
          <w:tab w:val="left" w:pos="426"/>
        </w:tabs>
        <w:spacing w:after="0" w:line="276" w:lineRule="auto"/>
        <w:jc w:val="both"/>
        <w:rPr>
          <w:rFonts w:ascii="Century Gothic" w:eastAsia="Times New Roman" w:hAnsi="Century Gothic" w:cs="Times New Roman"/>
          <w:sz w:val="20"/>
          <w:szCs w:val="20"/>
          <w:lang w:eastAsia="wo-SN"/>
        </w:rPr>
      </w:pPr>
    </w:p>
    <w:p w14:paraId="51B9C75F" w14:textId="77777777" w:rsidR="005625B5" w:rsidRPr="001839C6" w:rsidRDefault="005625B5" w:rsidP="002E0F4D">
      <w:pPr>
        <w:spacing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rPr>
        <w:t>Sites ville de Chami (70 ha, 46 ha et 5 ha)</w:t>
      </w:r>
    </w:p>
    <w:p w14:paraId="5F226A91" w14:textId="77777777" w:rsidR="005625B5" w:rsidRPr="00437FA8" w:rsidRDefault="005625B5" w:rsidP="005625B5">
      <w:pPr>
        <w:spacing w:line="276" w:lineRule="auto"/>
        <w:jc w:val="both"/>
        <w:rPr>
          <w:rFonts w:ascii="Century Gothic" w:hAnsi="Century Gothic" w:cs="Times New Roman"/>
          <w:b/>
          <w:bCs/>
          <w:sz w:val="20"/>
          <w:szCs w:val="20"/>
        </w:rPr>
      </w:pPr>
      <w:r w:rsidRPr="00437FA8">
        <w:rPr>
          <w:rFonts w:ascii="Century Gothic" w:hAnsi="Century Gothic" w:cs="Times New Roman"/>
          <w:b/>
          <w:bCs/>
          <w:sz w:val="20"/>
          <w:szCs w:val="20"/>
          <w:u w:val="single"/>
        </w:rPr>
        <w:t>Coordonnées GPS (70 ha)</w:t>
      </w:r>
      <w:r w:rsidRPr="00437FA8">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027"/>
        <w:gridCol w:w="3032"/>
      </w:tblGrid>
      <w:tr w:rsidR="005625B5" w:rsidRPr="005F17FF" w14:paraId="18187990" w14:textId="77777777" w:rsidTr="00FB354B">
        <w:trPr>
          <w:trHeight w:val="227"/>
        </w:trPr>
        <w:tc>
          <w:tcPr>
            <w:tcW w:w="3116" w:type="dxa"/>
            <w:shd w:val="clear" w:color="auto" w:fill="auto"/>
          </w:tcPr>
          <w:p w14:paraId="465F1B76" w14:textId="77777777" w:rsidR="005625B5" w:rsidRPr="005F17FF" w:rsidRDefault="005625B5" w:rsidP="00FB354B">
            <w:pPr>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Point</w:t>
            </w:r>
          </w:p>
        </w:tc>
        <w:tc>
          <w:tcPr>
            <w:tcW w:w="3117" w:type="dxa"/>
            <w:shd w:val="clear" w:color="auto" w:fill="auto"/>
          </w:tcPr>
          <w:p w14:paraId="49AD4F17" w14:textId="77777777" w:rsidR="005625B5" w:rsidRPr="005F17FF" w:rsidRDefault="005625B5" w:rsidP="00FB354B">
            <w:pPr>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X</w:t>
            </w:r>
          </w:p>
        </w:tc>
        <w:tc>
          <w:tcPr>
            <w:tcW w:w="3117" w:type="dxa"/>
            <w:shd w:val="clear" w:color="auto" w:fill="auto"/>
          </w:tcPr>
          <w:p w14:paraId="18BFFB4D" w14:textId="77777777" w:rsidR="005625B5" w:rsidRPr="005F17FF" w:rsidRDefault="005625B5" w:rsidP="00FB354B">
            <w:pPr>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Y</w:t>
            </w:r>
          </w:p>
        </w:tc>
      </w:tr>
      <w:tr w:rsidR="005625B5" w:rsidRPr="005F17FF" w14:paraId="37BA5729" w14:textId="77777777" w:rsidTr="00FB354B">
        <w:tc>
          <w:tcPr>
            <w:tcW w:w="3116" w:type="dxa"/>
            <w:shd w:val="clear" w:color="auto" w:fill="auto"/>
          </w:tcPr>
          <w:p w14:paraId="7DFC52D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117" w:type="dxa"/>
            <w:shd w:val="clear" w:color="auto" w:fill="auto"/>
          </w:tcPr>
          <w:p w14:paraId="5401FD0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399993.59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6B550554"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2229641.53 mN</w:t>
            </w:r>
          </w:p>
        </w:tc>
      </w:tr>
      <w:tr w:rsidR="005625B5" w:rsidRPr="005F17FF" w14:paraId="7FFCCEC6" w14:textId="77777777" w:rsidTr="00FB354B">
        <w:trPr>
          <w:trHeight w:val="220"/>
        </w:trPr>
        <w:tc>
          <w:tcPr>
            <w:tcW w:w="3116" w:type="dxa"/>
            <w:shd w:val="clear" w:color="auto" w:fill="auto"/>
          </w:tcPr>
          <w:p w14:paraId="02AE8C4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117" w:type="dxa"/>
            <w:shd w:val="clear" w:color="auto" w:fill="auto"/>
          </w:tcPr>
          <w:p w14:paraId="7D472A3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400285.37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2E2C992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2229737.55 mN</w:t>
            </w:r>
          </w:p>
        </w:tc>
      </w:tr>
      <w:tr w:rsidR="005625B5" w:rsidRPr="005F17FF" w14:paraId="761D51BB" w14:textId="77777777" w:rsidTr="00FB354B">
        <w:trPr>
          <w:trHeight w:val="287"/>
        </w:trPr>
        <w:tc>
          <w:tcPr>
            <w:tcW w:w="3116" w:type="dxa"/>
            <w:shd w:val="clear" w:color="auto" w:fill="auto"/>
          </w:tcPr>
          <w:p w14:paraId="20957F1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117" w:type="dxa"/>
            <w:shd w:val="clear" w:color="auto" w:fill="auto"/>
          </w:tcPr>
          <w:p w14:paraId="2238497A"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400343.66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64679DC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2230243.35 mN</w:t>
            </w:r>
          </w:p>
        </w:tc>
      </w:tr>
      <w:tr w:rsidR="005625B5" w:rsidRPr="005F17FF" w14:paraId="1D0326A9" w14:textId="77777777" w:rsidTr="00FB354B">
        <w:tc>
          <w:tcPr>
            <w:tcW w:w="3116" w:type="dxa"/>
            <w:shd w:val="clear" w:color="auto" w:fill="auto"/>
          </w:tcPr>
          <w:p w14:paraId="5DD55CB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117" w:type="dxa"/>
            <w:shd w:val="clear" w:color="auto" w:fill="auto"/>
          </w:tcPr>
          <w:p w14:paraId="5D535E0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399261.53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624C1D0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2231668.57 mN</w:t>
            </w:r>
          </w:p>
        </w:tc>
      </w:tr>
      <w:tr w:rsidR="005625B5" w:rsidRPr="005F17FF" w14:paraId="6C2B7444" w14:textId="77777777" w:rsidTr="00FB354B">
        <w:tc>
          <w:tcPr>
            <w:tcW w:w="3116" w:type="dxa"/>
            <w:shd w:val="clear" w:color="auto" w:fill="auto"/>
          </w:tcPr>
          <w:p w14:paraId="1CEED7F2" w14:textId="77777777" w:rsidR="005625B5" w:rsidRPr="005F17FF" w:rsidRDefault="005625B5" w:rsidP="00FB354B">
            <w:pPr>
              <w:tabs>
                <w:tab w:val="left" w:pos="1372"/>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E</w:t>
            </w:r>
          </w:p>
        </w:tc>
        <w:tc>
          <w:tcPr>
            <w:tcW w:w="3117" w:type="dxa"/>
            <w:shd w:val="clear" w:color="auto" w:fill="auto"/>
          </w:tcPr>
          <w:p w14:paraId="11DF1B62" w14:textId="77777777" w:rsidR="005625B5" w:rsidRPr="005F17FF" w:rsidRDefault="005625B5" w:rsidP="00FB354B">
            <w:pPr>
              <w:tabs>
                <w:tab w:val="left" w:pos="1372"/>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399016.54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372A487B" w14:textId="77777777" w:rsidR="005625B5" w:rsidRPr="005F17FF" w:rsidRDefault="005625B5" w:rsidP="00FB354B">
            <w:pPr>
              <w:tabs>
                <w:tab w:val="left" w:pos="1372"/>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2231382.47 mN</w:t>
            </w:r>
          </w:p>
        </w:tc>
      </w:tr>
      <w:tr w:rsidR="005625B5" w:rsidRPr="005F17FF" w14:paraId="193B26B3" w14:textId="77777777" w:rsidTr="00FB354B">
        <w:tc>
          <w:tcPr>
            <w:tcW w:w="3116" w:type="dxa"/>
            <w:shd w:val="clear" w:color="auto" w:fill="auto"/>
          </w:tcPr>
          <w:p w14:paraId="5A184FE2" w14:textId="77777777" w:rsidR="005625B5" w:rsidRPr="005F17FF" w:rsidRDefault="005625B5" w:rsidP="00FB354B">
            <w:pPr>
              <w:tabs>
                <w:tab w:val="left" w:pos="1372"/>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F</w:t>
            </w:r>
          </w:p>
        </w:tc>
        <w:tc>
          <w:tcPr>
            <w:tcW w:w="3117" w:type="dxa"/>
            <w:shd w:val="clear" w:color="auto" w:fill="auto"/>
          </w:tcPr>
          <w:p w14:paraId="71BD829D" w14:textId="77777777" w:rsidR="005625B5" w:rsidRPr="005F17FF" w:rsidRDefault="005625B5" w:rsidP="00FB354B">
            <w:pPr>
              <w:tabs>
                <w:tab w:val="left" w:pos="1372"/>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400032.23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0E48C85C" w14:textId="77777777" w:rsidR="005625B5" w:rsidRPr="005F17FF" w:rsidRDefault="005625B5" w:rsidP="00FB354B">
            <w:pPr>
              <w:tabs>
                <w:tab w:val="left" w:pos="1372"/>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2230166.33 mN</w:t>
            </w:r>
          </w:p>
        </w:tc>
      </w:tr>
    </w:tbl>
    <w:p w14:paraId="2BB640D6" w14:textId="77777777" w:rsidR="005625B5" w:rsidRPr="00437FA8" w:rsidRDefault="005625B5" w:rsidP="005625B5">
      <w:pPr>
        <w:spacing w:line="276" w:lineRule="auto"/>
        <w:jc w:val="both"/>
        <w:rPr>
          <w:rFonts w:ascii="Century Gothic" w:hAnsi="Century Gothic" w:cs="Times New Roman"/>
          <w:b/>
          <w:bCs/>
          <w:sz w:val="20"/>
          <w:szCs w:val="20"/>
        </w:rPr>
      </w:pPr>
      <w:r w:rsidRPr="00437FA8">
        <w:rPr>
          <w:rFonts w:ascii="Century Gothic" w:hAnsi="Century Gothic" w:cs="Times New Roman"/>
          <w:b/>
          <w:bCs/>
          <w:sz w:val="20"/>
          <w:szCs w:val="20"/>
          <w:u w:val="single"/>
        </w:rPr>
        <w:t>Coordonnées GPS (46 ha)</w:t>
      </w:r>
      <w:r w:rsidRPr="00437FA8">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027"/>
        <w:gridCol w:w="3032"/>
      </w:tblGrid>
      <w:tr w:rsidR="005625B5" w:rsidRPr="005F17FF" w14:paraId="2E04866A" w14:textId="77777777" w:rsidTr="00FB354B">
        <w:tc>
          <w:tcPr>
            <w:tcW w:w="3116" w:type="dxa"/>
            <w:shd w:val="clear" w:color="auto" w:fill="auto"/>
          </w:tcPr>
          <w:p w14:paraId="09E228F6" w14:textId="77777777" w:rsidR="005625B5" w:rsidRPr="005F17FF" w:rsidRDefault="005625B5" w:rsidP="00FB354B">
            <w:pPr>
              <w:tabs>
                <w:tab w:val="left" w:pos="1291"/>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Point</w:t>
            </w:r>
          </w:p>
        </w:tc>
        <w:tc>
          <w:tcPr>
            <w:tcW w:w="3117" w:type="dxa"/>
            <w:shd w:val="clear" w:color="auto" w:fill="auto"/>
          </w:tcPr>
          <w:p w14:paraId="444A2954" w14:textId="77777777" w:rsidR="005625B5" w:rsidRPr="005F17FF" w:rsidRDefault="005625B5" w:rsidP="00FB354B">
            <w:pPr>
              <w:tabs>
                <w:tab w:val="left" w:pos="1291"/>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X</w:t>
            </w:r>
          </w:p>
        </w:tc>
        <w:tc>
          <w:tcPr>
            <w:tcW w:w="3117" w:type="dxa"/>
            <w:shd w:val="clear" w:color="auto" w:fill="auto"/>
          </w:tcPr>
          <w:p w14:paraId="6C204BB0" w14:textId="77777777" w:rsidR="005625B5" w:rsidRPr="005F17FF" w:rsidRDefault="005625B5" w:rsidP="00FB354B">
            <w:pPr>
              <w:tabs>
                <w:tab w:val="left" w:pos="1291"/>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Y</w:t>
            </w:r>
          </w:p>
        </w:tc>
      </w:tr>
      <w:tr w:rsidR="005625B5" w:rsidRPr="005F17FF" w14:paraId="5C986785" w14:textId="77777777" w:rsidTr="00FB354B">
        <w:tc>
          <w:tcPr>
            <w:tcW w:w="3116" w:type="dxa"/>
            <w:shd w:val="clear" w:color="auto" w:fill="auto"/>
          </w:tcPr>
          <w:p w14:paraId="7EA56480"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117" w:type="dxa"/>
            <w:shd w:val="clear" w:color="auto" w:fill="auto"/>
          </w:tcPr>
          <w:p w14:paraId="2A0D7418"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399850.63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612B7E48"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2227689.16 mN</w:t>
            </w:r>
          </w:p>
        </w:tc>
      </w:tr>
      <w:tr w:rsidR="005625B5" w:rsidRPr="005F17FF" w14:paraId="580CADB4" w14:textId="77777777" w:rsidTr="00FB354B">
        <w:tc>
          <w:tcPr>
            <w:tcW w:w="3116" w:type="dxa"/>
            <w:shd w:val="clear" w:color="auto" w:fill="auto"/>
          </w:tcPr>
          <w:p w14:paraId="5DC85193"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117" w:type="dxa"/>
            <w:shd w:val="clear" w:color="auto" w:fill="auto"/>
          </w:tcPr>
          <w:p w14:paraId="68EE62B2"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400161.55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1C4D2EE4"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2227808.37 mN</w:t>
            </w:r>
          </w:p>
        </w:tc>
      </w:tr>
      <w:tr w:rsidR="005625B5" w:rsidRPr="005F17FF" w14:paraId="5A01F68A" w14:textId="77777777" w:rsidTr="00FB354B">
        <w:tc>
          <w:tcPr>
            <w:tcW w:w="3116" w:type="dxa"/>
            <w:shd w:val="clear" w:color="auto" w:fill="auto"/>
          </w:tcPr>
          <w:p w14:paraId="7970BA2A"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117" w:type="dxa"/>
            <w:shd w:val="clear" w:color="auto" w:fill="auto"/>
          </w:tcPr>
          <w:p w14:paraId="74A2CD0C"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400331.60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24A145DD"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2229416.43 mN</w:t>
            </w:r>
          </w:p>
        </w:tc>
      </w:tr>
      <w:tr w:rsidR="005625B5" w:rsidRPr="005F17FF" w14:paraId="35D8FE50" w14:textId="77777777" w:rsidTr="00FB354B">
        <w:tc>
          <w:tcPr>
            <w:tcW w:w="3116" w:type="dxa"/>
            <w:shd w:val="clear" w:color="auto" w:fill="auto"/>
          </w:tcPr>
          <w:p w14:paraId="185C025F"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117" w:type="dxa"/>
            <w:shd w:val="clear" w:color="auto" w:fill="auto"/>
          </w:tcPr>
          <w:p w14:paraId="1CD3C21E"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400055.65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02CAB6F1"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2229333.16 mN</w:t>
            </w:r>
          </w:p>
        </w:tc>
      </w:tr>
    </w:tbl>
    <w:p w14:paraId="1EF5DD12" w14:textId="77777777" w:rsidR="005625B5" w:rsidRPr="00437FA8" w:rsidRDefault="005625B5" w:rsidP="005625B5">
      <w:pPr>
        <w:spacing w:line="276" w:lineRule="auto"/>
        <w:jc w:val="both"/>
        <w:rPr>
          <w:rFonts w:ascii="Century Gothic" w:hAnsi="Century Gothic" w:cs="Times New Roman"/>
          <w:b/>
          <w:bCs/>
          <w:sz w:val="20"/>
          <w:szCs w:val="20"/>
        </w:rPr>
      </w:pPr>
      <w:r w:rsidRPr="00437FA8">
        <w:rPr>
          <w:rFonts w:ascii="Century Gothic" w:hAnsi="Century Gothic" w:cs="Times New Roman"/>
          <w:b/>
          <w:bCs/>
          <w:sz w:val="20"/>
          <w:szCs w:val="20"/>
          <w:u w:val="single"/>
        </w:rPr>
        <w:t>Coordonnées GPS (5 ha)</w:t>
      </w:r>
      <w:r w:rsidRPr="00437FA8">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027"/>
        <w:gridCol w:w="3032"/>
      </w:tblGrid>
      <w:tr w:rsidR="005625B5" w:rsidRPr="005F17FF" w14:paraId="7A4675CB" w14:textId="77777777" w:rsidTr="00FB354B">
        <w:tc>
          <w:tcPr>
            <w:tcW w:w="3116" w:type="dxa"/>
            <w:shd w:val="clear" w:color="auto" w:fill="auto"/>
          </w:tcPr>
          <w:p w14:paraId="592EC066" w14:textId="77777777" w:rsidR="005625B5" w:rsidRPr="005F17FF" w:rsidRDefault="005625B5" w:rsidP="00FB354B">
            <w:pPr>
              <w:tabs>
                <w:tab w:val="left" w:pos="1291"/>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Point</w:t>
            </w:r>
          </w:p>
        </w:tc>
        <w:tc>
          <w:tcPr>
            <w:tcW w:w="3117" w:type="dxa"/>
            <w:shd w:val="clear" w:color="auto" w:fill="auto"/>
          </w:tcPr>
          <w:p w14:paraId="7197E01E" w14:textId="77777777" w:rsidR="005625B5" w:rsidRPr="005F17FF" w:rsidRDefault="005625B5" w:rsidP="00FB354B">
            <w:pPr>
              <w:tabs>
                <w:tab w:val="left" w:pos="1291"/>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X</w:t>
            </w:r>
          </w:p>
        </w:tc>
        <w:tc>
          <w:tcPr>
            <w:tcW w:w="3117" w:type="dxa"/>
            <w:shd w:val="clear" w:color="auto" w:fill="auto"/>
          </w:tcPr>
          <w:p w14:paraId="6A7DE1A5" w14:textId="77777777" w:rsidR="005625B5" w:rsidRPr="005F17FF" w:rsidRDefault="005625B5" w:rsidP="00FB354B">
            <w:pPr>
              <w:tabs>
                <w:tab w:val="left" w:pos="1291"/>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Y</w:t>
            </w:r>
          </w:p>
        </w:tc>
      </w:tr>
      <w:tr w:rsidR="005625B5" w:rsidRPr="005F17FF" w14:paraId="459F3222" w14:textId="77777777" w:rsidTr="00FB354B">
        <w:tc>
          <w:tcPr>
            <w:tcW w:w="3116" w:type="dxa"/>
            <w:shd w:val="clear" w:color="auto" w:fill="auto"/>
          </w:tcPr>
          <w:p w14:paraId="7C21DA70"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117" w:type="dxa"/>
            <w:shd w:val="clear" w:color="auto" w:fill="auto"/>
          </w:tcPr>
          <w:p w14:paraId="39C5F7E5"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396765.38 m E</w:t>
            </w:r>
          </w:p>
        </w:tc>
        <w:tc>
          <w:tcPr>
            <w:tcW w:w="3117" w:type="dxa"/>
            <w:shd w:val="clear" w:color="auto" w:fill="auto"/>
          </w:tcPr>
          <w:p w14:paraId="7AC3D3BF"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2230545.77 m N</w:t>
            </w:r>
          </w:p>
        </w:tc>
      </w:tr>
      <w:tr w:rsidR="005625B5" w:rsidRPr="005F17FF" w14:paraId="4836A5A5" w14:textId="77777777" w:rsidTr="00FB354B">
        <w:tc>
          <w:tcPr>
            <w:tcW w:w="3116" w:type="dxa"/>
            <w:shd w:val="clear" w:color="auto" w:fill="auto"/>
          </w:tcPr>
          <w:p w14:paraId="075323FD"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117" w:type="dxa"/>
            <w:shd w:val="clear" w:color="auto" w:fill="auto"/>
          </w:tcPr>
          <w:p w14:paraId="1B984806"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396777.36 m E</w:t>
            </w:r>
          </w:p>
        </w:tc>
        <w:tc>
          <w:tcPr>
            <w:tcW w:w="3117" w:type="dxa"/>
            <w:shd w:val="clear" w:color="auto" w:fill="auto"/>
          </w:tcPr>
          <w:p w14:paraId="3C0FE0FA"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2230876.83 m N</w:t>
            </w:r>
          </w:p>
        </w:tc>
      </w:tr>
      <w:tr w:rsidR="005625B5" w:rsidRPr="005F17FF" w14:paraId="09589C2C" w14:textId="77777777" w:rsidTr="00FB354B">
        <w:tc>
          <w:tcPr>
            <w:tcW w:w="3116" w:type="dxa"/>
            <w:shd w:val="clear" w:color="auto" w:fill="auto"/>
          </w:tcPr>
          <w:p w14:paraId="737D8813"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117" w:type="dxa"/>
            <w:shd w:val="clear" w:color="auto" w:fill="auto"/>
          </w:tcPr>
          <w:p w14:paraId="31DA38A4"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396648.30 m E</w:t>
            </w:r>
          </w:p>
        </w:tc>
        <w:tc>
          <w:tcPr>
            <w:tcW w:w="3117" w:type="dxa"/>
            <w:shd w:val="clear" w:color="auto" w:fill="auto"/>
          </w:tcPr>
          <w:p w14:paraId="1BBBA93F"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2231002.18 m N</w:t>
            </w:r>
          </w:p>
        </w:tc>
      </w:tr>
      <w:tr w:rsidR="005625B5" w:rsidRPr="005F17FF" w14:paraId="72B40850" w14:textId="77777777" w:rsidTr="00FB354B">
        <w:tc>
          <w:tcPr>
            <w:tcW w:w="3116" w:type="dxa"/>
            <w:shd w:val="clear" w:color="auto" w:fill="auto"/>
          </w:tcPr>
          <w:p w14:paraId="276C05FF"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117" w:type="dxa"/>
            <w:shd w:val="clear" w:color="auto" w:fill="auto"/>
          </w:tcPr>
          <w:p w14:paraId="762EE272"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396609.00 m E</w:t>
            </w:r>
          </w:p>
        </w:tc>
        <w:tc>
          <w:tcPr>
            <w:tcW w:w="3117" w:type="dxa"/>
            <w:shd w:val="clear" w:color="auto" w:fill="auto"/>
          </w:tcPr>
          <w:p w14:paraId="7FB2354F"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2230935.68 m N</w:t>
            </w:r>
          </w:p>
        </w:tc>
      </w:tr>
      <w:tr w:rsidR="005625B5" w:rsidRPr="005F17FF" w14:paraId="62406080" w14:textId="77777777" w:rsidTr="00FB354B">
        <w:tc>
          <w:tcPr>
            <w:tcW w:w="3116" w:type="dxa"/>
            <w:shd w:val="clear" w:color="auto" w:fill="auto"/>
          </w:tcPr>
          <w:p w14:paraId="7FAFE590"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E</w:t>
            </w:r>
          </w:p>
        </w:tc>
        <w:tc>
          <w:tcPr>
            <w:tcW w:w="3117" w:type="dxa"/>
            <w:shd w:val="clear" w:color="auto" w:fill="auto"/>
          </w:tcPr>
          <w:p w14:paraId="1A06B2EF"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396720.51 m E</w:t>
            </w:r>
          </w:p>
        </w:tc>
        <w:tc>
          <w:tcPr>
            <w:tcW w:w="3117" w:type="dxa"/>
            <w:shd w:val="clear" w:color="auto" w:fill="auto"/>
          </w:tcPr>
          <w:p w14:paraId="0E0B4AC7"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2230834.71 m N</w:t>
            </w:r>
          </w:p>
        </w:tc>
      </w:tr>
      <w:tr w:rsidR="005625B5" w:rsidRPr="005F17FF" w14:paraId="10D7AEBE" w14:textId="77777777" w:rsidTr="00FB354B">
        <w:tc>
          <w:tcPr>
            <w:tcW w:w="3116" w:type="dxa"/>
            <w:shd w:val="clear" w:color="auto" w:fill="auto"/>
          </w:tcPr>
          <w:p w14:paraId="5AC2EEC8"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F</w:t>
            </w:r>
          </w:p>
        </w:tc>
        <w:tc>
          <w:tcPr>
            <w:tcW w:w="3117" w:type="dxa"/>
            <w:shd w:val="clear" w:color="auto" w:fill="auto"/>
          </w:tcPr>
          <w:p w14:paraId="034F5829"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396704.98 m E</w:t>
            </w:r>
          </w:p>
        </w:tc>
        <w:tc>
          <w:tcPr>
            <w:tcW w:w="3117" w:type="dxa"/>
            <w:shd w:val="clear" w:color="auto" w:fill="auto"/>
          </w:tcPr>
          <w:p w14:paraId="15F5C6C8" w14:textId="77777777" w:rsidR="005625B5" w:rsidRPr="005F17FF" w:rsidRDefault="005625B5" w:rsidP="00FB354B">
            <w:pPr>
              <w:tabs>
                <w:tab w:val="left" w:pos="1291"/>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2230553.86 m N</w:t>
            </w:r>
          </w:p>
        </w:tc>
      </w:tr>
    </w:tbl>
    <w:p w14:paraId="5E5BE3CC" w14:textId="4ACEABA1" w:rsidR="005625B5" w:rsidRDefault="004608C2" w:rsidP="005625B5">
      <w:pPr>
        <w:tabs>
          <w:tab w:val="left" w:pos="426"/>
        </w:tabs>
        <w:spacing w:after="0" w:line="276" w:lineRule="auto"/>
        <w:jc w:val="both"/>
        <w:rPr>
          <w:rFonts w:ascii="Century Gothic" w:eastAsia="Times New Roman" w:hAnsi="Century Gothic" w:cs="Times New Roman"/>
          <w:sz w:val="20"/>
          <w:szCs w:val="20"/>
          <w:lang w:eastAsia="wo-SN"/>
        </w:rPr>
      </w:pPr>
      <w:r w:rsidRPr="00A516A0">
        <w:rPr>
          <w:noProof/>
        </w:rPr>
        <w:drawing>
          <wp:inline distT="0" distB="0" distL="0" distR="0" wp14:anchorId="0CDDD7A6" wp14:editId="29CE9E41">
            <wp:extent cx="2741210" cy="2940908"/>
            <wp:effectExtent l="0" t="0" r="2540" b="0"/>
            <wp:docPr id="2036659234" name="Image 4" descr="E:\Desktop\Restauration des terres\Ensablement Infrastructures\D. NDB\Chami\CHAMI\DJI_041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descr="E:\Desktop\Restauration des terres\Ensablement Infrastructures\D. NDB\Chami\CHAMI\DJI_0418.JPG"/>
                    <pic:cNvPicPr>
                      <a:picLocks/>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70999" cy="2972867"/>
                    </a:xfrm>
                    <a:prstGeom prst="rect">
                      <a:avLst/>
                    </a:prstGeom>
                    <a:noFill/>
                    <a:ln>
                      <a:noFill/>
                    </a:ln>
                  </pic:spPr>
                </pic:pic>
              </a:graphicData>
            </a:graphic>
          </wp:inline>
        </w:drawing>
      </w:r>
      <w:r>
        <w:rPr>
          <w:rFonts w:ascii="Century Gothic" w:eastAsia="Times New Roman" w:hAnsi="Century Gothic" w:cs="Times New Roman"/>
          <w:sz w:val="20"/>
          <w:szCs w:val="20"/>
          <w:lang w:eastAsia="wo-SN"/>
        </w:rPr>
        <w:t xml:space="preserve">                    </w:t>
      </w:r>
      <w:r w:rsidRPr="00FD184A">
        <w:rPr>
          <w:rFonts w:ascii="Times New Roman" w:hAnsi="Times New Roman" w:cs="Times New Roman"/>
          <w:noProof/>
          <w:sz w:val="24"/>
          <w:szCs w:val="24"/>
          <w:lang w:eastAsia="fr-FR"/>
        </w:rPr>
        <w:drawing>
          <wp:inline distT="0" distB="0" distL="0" distR="0" wp14:anchorId="466AA465" wp14:editId="722FAB61">
            <wp:extent cx="2254885" cy="2578444"/>
            <wp:effectExtent l="0" t="0" r="0" b="0"/>
            <wp:docPr id="1442088195" name="Image 3" descr="E:\Desktop\Restauration des terres\Ensablement Infrastructures\D. NDB\Chami\CHAMI\DJI_04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descr="E:\Desktop\Restauration des terres\Ensablement Infrastructures\D. NDB\Chami\CHAMI\DJI_0402.JPG"/>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61615" cy="2586140"/>
                    </a:xfrm>
                    <a:prstGeom prst="rect">
                      <a:avLst/>
                    </a:prstGeom>
                    <a:noFill/>
                    <a:ln>
                      <a:noFill/>
                    </a:ln>
                  </pic:spPr>
                </pic:pic>
              </a:graphicData>
            </a:graphic>
          </wp:inline>
        </w:drawing>
      </w:r>
    </w:p>
    <w:p w14:paraId="67FEC408" w14:textId="77777777" w:rsidR="005625B5" w:rsidRDefault="005625B5" w:rsidP="005625B5">
      <w:pPr>
        <w:tabs>
          <w:tab w:val="left" w:pos="426"/>
        </w:tabs>
        <w:spacing w:after="0" w:line="276" w:lineRule="auto"/>
        <w:jc w:val="center"/>
        <w:rPr>
          <w:rFonts w:ascii="Century Gothic" w:eastAsia="Times New Roman" w:hAnsi="Century Gothic" w:cs="Times New Roman"/>
          <w:b/>
          <w:bCs/>
          <w:sz w:val="20"/>
          <w:szCs w:val="20"/>
          <w:lang w:eastAsia="wo-SN"/>
        </w:rPr>
      </w:pPr>
      <w:r w:rsidRPr="00437FA8">
        <w:rPr>
          <w:rFonts w:ascii="Century Gothic" w:eastAsia="Times New Roman" w:hAnsi="Century Gothic" w:cs="Times New Roman"/>
          <w:b/>
          <w:bCs/>
          <w:sz w:val="20"/>
          <w:szCs w:val="20"/>
          <w:lang w:eastAsia="wo-SN"/>
        </w:rPr>
        <w:t xml:space="preserve">Ensablement de la ville de Chami </w:t>
      </w:r>
    </w:p>
    <w:p w14:paraId="02E98178" w14:textId="77777777" w:rsidR="005625B5" w:rsidRPr="00263B1B" w:rsidRDefault="005625B5" w:rsidP="005625B5">
      <w:pPr>
        <w:tabs>
          <w:tab w:val="left" w:pos="426"/>
        </w:tabs>
        <w:spacing w:after="0" w:line="276" w:lineRule="auto"/>
        <w:rPr>
          <w:rFonts w:ascii="Century Gothic" w:eastAsia="Times New Roman" w:hAnsi="Century Gothic" w:cs="Times New Roman"/>
          <w:b/>
          <w:bCs/>
          <w:sz w:val="24"/>
          <w:szCs w:val="24"/>
          <w:lang w:eastAsia="wo-SN"/>
        </w:rPr>
      </w:pPr>
      <w:r w:rsidRPr="00263B1B">
        <w:rPr>
          <w:rFonts w:ascii="Century Gothic" w:eastAsia="Times New Roman" w:hAnsi="Century Gothic" w:cs="Times New Roman"/>
          <w:b/>
          <w:bCs/>
          <w:sz w:val="24"/>
          <w:szCs w:val="24"/>
          <w:lang w:eastAsia="wo-SN"/>
        </w:rPr>
        <w:t xml:space="preserve">Site de Tmeymichatt : </w:t>
      </w:r>
    </w:p>
    <w:p w14:paraId="53189D9A" w14:textId="77777777" w:rsidR="005625B5" w:rsidRDefault="005625B5" w:rsidP="005625B5">
      <w:pPr>
        <w:tabs>
          <w:tab w:val="left" w:pos="426"/>
        </w:tabs>
        <w:spacing w:after="0" w:line="276" w:lineRule="auto"/>
        <w:rPr>
          <w:rFonts w:ascii="Century Gothic" w:eastAsia="Times New Roman" w:hAnsi="Century Gothic" w:cs="Times New Roman"/>
          <w:sz w:val="20"/>
          <w:szCs w:val="20"/>
          <w:lang w:eastAsia="wo-SN"/>
        </w:rPr>
      </w:pPr>
    </w:p>
    <w:p w14:paraId="726301F3"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Tmeymichatt   </w:t>
      </w:r>
      <w:r w:rsidRPr="001839C6">
        <w:rPr>
          <w:rFonts w:ascii="Century Gothic" w:hAnsi="Century Gothic" w:cs="Times New Roman"/>
          <w:sz w:val="24"/>
          <w:szCs w:val="24"/>
          <w:u w:val="single"/>
        </w:rPr>
        <w:t>Moughataa</w:t>
      </w:r>
      <w:r w:rsidRPr="001839C6">
        <w:rPr>
          <w:rFonts w:ascii="Century Gothic" w:hAnsi="Century Gothic" w:cs="Times New Roman"/>
          <w:sz w:val="24"/>
          <w:szCs w:val="24"/>
        </w:rPr>
        <w:t xml:space="preserve"> : </w:t>
      </w:r>
      <w:proofErr w:type="gramStart"/>
      <w:r w:rsidRPr="001839C6">
        <w:rPr>
          <w:rFonts w:ascii="Century Gothic" w:hAnsi="Century Gothic" w:cs="Times New Roman"/>
          <w:sz w:val="24"/>
          <w:szCs w:val="24"/>
        </w:rPr>
        <w:t xml:space="preserve">Nouadhibou  </w:t>
      </w:r>
      <w:r w:rsidRPr="001839C6">
        <w:rPr>
          <w:rFonts w:ascii="Century Gothic" w:hAnsi="Century Gothic" w:cs="Times New Roman"/>
          <w:sz w:val="24"/>
          <w:szCs w:val="24"/>
          <w:u w:val="single"/>
        </w:rPr>
        <w:t>Wilaya</w:t>
      </w:r>
      <w:proofErr w:type="gramEnd"/>
      <w:r w:rsidRPr="001839C6">
        <w:rPr>
          <w:rFonts w:ascii="Century Gothic" w:hAnsi="Century Gothic" w:cs="Times New Roman"/>
          <w:sz w:val="24"/>
          <w:szCs w:val="24"/>
        </w:rPr>
        <w:t xml:space="preserve"> : D. Nouadhibou  </w:t>
      </w:r>
    </w:p>
    <w:p w14:paraId="5B4EB26C" w14:textId="77777777" w:rsidR="005625B5" w:rsidRPr="002C327D" w:rsidRDefault="005625B5" w:rsidP="005625B5">
      <w:pPr>
        <w:spacing w:line="276" w:lineRule="auto"/>
        <w:jc w:val="center"/>
        <w:rPr>
          <w:rFonts w:ascii="Century Gothic" w:hAnsi="Century Gothic" w:cs="Times New Roman"/>
          <w:sz w:val="24"/>
          <w:szCs w:val="24"/>
        </w:rPr>
      </w:pPr>
      <w:r w:rsidRPr="00A516A0">
        <w:rPr>
          <w:noProof/>
        </w:rPr>
        <w:drawing>
          <wp:inline distT="0" distB="0" distL="0" distR="0" wp14:anchorId="6C4FBA8C" wp14:editId="2AC2AA23">
            <wp:extent cx="2312670" cy="1828800"/>
            <wp:effectExtent l="0" t="0" r="0" b="0"/>
            <wp:docPr id="37" name="Image 2" descr="E:\Desktop\Restauration des terres\Ensablement Infrastructures\D. NDB\Tmeymichatt\Tmeimichatt\PEYL64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E:\Desktop\Restauration des terres\Ensablement Infrastructures\D. NDB\Tmeymichatt\Tmeimichatt\PEYL6411.JPG"/>
                    <pic:cNvPicPr>
                      <a:picLocks/>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17693" cy="1832772"/>
                    </a:xfrm>
                    <a:prstGeom prst="rect">
                      <a:avLst/>
                    </a:prstGeom>
                    <a:noFill/>
                    <a:ln>
                      <a:noFill/>
                    </a:ln>
                  </pic:spPr>
                </pic:pic>
              </a:graphicData>
            </a:graphic>
          </wp:inline>
        </w:drawing>
      </w:r>
      <w:r w:rsidRPr="00FD184A">
        <w:rPr>
          <w:rFonts w:ascii="Century Gothic" w:hAnsi="Century Gothic" w:cs="Times New Roman"/>
          <w:noProof/>
          <w:sz w:val="24"/>
          <w:szCs w:val="24"/>
        </w:rPr>
        <w:drawing>
          <wp:inline distT="0" distB="0" distL="0" distR="0" wp14:anchorId="2B921338" wp14:editId="1DF8239D">
            <wp:extent cx="3566160" cy="4785360"/>
            <wp:effectExtent l="0" t="0" r="0" b="0"/>
            <wp:docPr id="3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66160" cy="4785360"/>
                    </a:xfrm>
                    <a:prstGeom prst="rect">
                      <a:avLst/>
                    </a:prstGeom>
                    <a:noFill/>
                    <a:ln>
                      <a:noFill/>
                    </a:ln>
                  </pic:spPr>
                </pic:pic>
              </a:graphicData>
            </a:graphic>
          </wp:inline>
        </w:drawing>
      </w:r>
    </w:p>
    <w:p w14:paraId="751FCFD8"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Site ville de Tmeymichatt (12 ha)</w:t>
      </w:r>
    </w:p>
    <w:p w14:paraId="60757FE9" w14:textId="77777777" w:rsidR="005625B5" w:rsidRPr="002C327D" w:rsidRDefault="005625B5" w:rsidP="005625B5">
      <w:pPr>
        <w:spacing w:line="276" w:lineRule="auto"/>
        <w:jc w:val="both"/>
        <w:rPr>
          <w:rFonts w:ascii="Century Gothic" w:hAnsi="Century Gothic" w:cs="Times New Roman"/>
          <w:b/>
          <w:bCs/>
          <w:sz w:val="20"/>
          <w:szCs w:val="20"/>
        </w:rPr>
      </w:pPr>
      <w:r w:rsidRPr="002C327D">
        <w:rPr>
          <w:rFonts w:ascii="Century Gothic" w:hAnsi="Century Gothic" w:cs="Times New Roman"/>
          <w:b/>
          <w:bCs/>
          <w:sz w:val="20"/>
          <w:szCs w:val="20"/>
          <w:u w:val="single"/>
        </w:rPr>
        <w:t>Coordonnées GPS (Site 1)</w:t>
      </w:r>
      <w:r w:rsidRPr="002C327D">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027"/>
        <w:gridCol w:w="3032"/>
      </w:tblGrid>
      <w:tr w:rsidR="005625B5" w:rsidRPr="005F17FF" w14:paraId="3D1DAE13" w14:textId="77777777" w:rsidTr="00FB354B">
        <w:tc>
          <w:tcPr>
            <w:tcW w:w="3116" w:type="dxa"/>
            <w:shd w:val="clear" w:color="auto" w:fill="auto"/>
          </w:tcPr>
          <w:p w14:paraId="16B903F6" w14:textId="77777777" w:rsidR="005625B5" w:rsidRPr="005F17FF" w:rsidRDefault="005625B5" w:rsidP="00FB354B">
            <w:pPr>
              <w:tabs>
                <w:tab w:val="left" w:pos="2364"/>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Point</w:t>
            </w:r>
          </w:p>
        </w:tc>
        <w:tc>
          <w:tcPr>
            <w:tcW w:w="3117" w:type="dxa"/>
            <w:shd w:val="clear" w:color="auto" w:fill="auto"/>
          </w:tcPr>
          <w:p w14:paraId="52D9A093" w14:textId="77777777" w:rsidR="005625B5" w:rsidRPr="005F17FF" w:rsidRDefault="005625B5" w:rsidP="00FB354B">
            <w:pPr>
              <w:tabs>
                <w:tab w:val="left" w:pos="2364"/>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X</w:t>
            </w:r>
          </w:p>
        </w:tc>
        <w:tc>
          <w:tcPr>
            <w:tcW w:w="3117" w:type="dxa"/>
            <w:shd w:val="clear" w:color="auto" w:fill="auto"/>
          </w:tcPr>
          <w:p w14:paraId="01F207B0" w14:textId="77777777" w:rsidR="005625B5" w:rsidRPr="005F17FF" w:rsidRDefault="005625B5" w:rsidP="00FB354B">
            <w:pPr>
              <w:tabs>
                <w:tab w:val="left" w:pos="2364"/>
              </w:tabs>
              <w:spacing w:after="0" w:line="276" w:lineRule="auto"/>
              <w:jc w:val="center"/>
              <w:rPr>
                <w:rFonts w:ascii="Century Gothic" w:hAnsi="Century Gothic" w:cs="Times New Roman"/>
                <w:b/>
                <w:bCs/>
                <w:sz w:val="20"/>
                <w:szCs w:val="20"/>
              </w:rPr>
            </w:pPr>
            <w:r w:rsidRPr="005F17FF">
              <w:rPr>
                <w:rFonts w:ascii="Century Gothic" w:hAnsi="Century Gothic" w:cs="Times New Roman"/>
                <w:b/>
                <w:bCs/>
                <w:sz w:val="20"/>
                <w:szCs w:val="20"/>
              </w:rPr>
              <w:t>Y</w:t>
            </w:r>
          </w:p>
        </w:tc>
      </w:tr>
      <w:tr w:rsidR="005625B5" w:rsidRPr="005F17FF" w14:paraId="0A4019CB" w14:textId="77777777" w:rsidTr="00FB354B">
        <w:tc>
          <w:tcPr>
            <w:tcW w:w="3116" w:type="dxa"/>
            <w:shd w:val="clear" w:color="auto" w:fill="auto"/>
          </w:tcPr>
          <w:p w14:paraId="36ABDF27"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117" w:type="dxa"/>
            <w:shd w:val="clear" w:color="auto" w:fill="auto"/>
          </w:tcPr>
          <w:p w14:paraId="7A9CBA40"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563822.23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69A21658"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2348616.10 mN</w:t>
            </w:r>
          </w:p>
        </w:tc>
      </w:tr>
      <w:tr w:rsidR="005625B5" w:rsidRPr="005F17FF" w14:paraId="41E8E041" w14:textId="77777777" w:rsidTr="00FB354B">
        <w:tc>
          <w:tcPr>
            <w:tcW w:w="3116" w:type="dxa"/>
            <w:shd w:val="clear" w:color="auto" w:fill="auto"/>
          </w:tcPr>
          <w:p w14:paraId="582A42D5"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117" w:type="dxa"/>
            <w:shd w:val="clear" w:color="auto" w:fill="auto"/>
          </w:tcPr>
          <w:p w14:paraId="6852C728"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563972.44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4AAF4B4F"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2348629.73 mN</w:t>
            </w:r>
          </w:p>
        </w:tc>
      </w:tr>
      <w:tr w:rsidR="005625B5" w:rsidRPr="005F17FF" w14:paraId="05F4C517" w14:textId="77777777" w:rsidTr="00FB354B">
        <w:tc>
          <w:tcPr>
            <w:tcW w:w="3116" w:type="dxa"/>
            <w:shd w:val="clear" w:color="auto" w:fill="auto"/>
          </w:tcPr>
          <w:p w14:paraId="1DEFED31"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117" w:type="dxa"/>
            <w:shd w:val="clear" w:color="auto" w:fill="auto"/>
          </w:tcPr>
          <w:p w14:paraId="186B2088"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563771.83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60CBCFEE"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2348877.30 mN</w:t>
            </w:r>
          </w:p>
        </w:tc>
      </w:tr>
      <w:tr w:rsidR="005625B5" w:rsidRPr="005F17FF" w14:paraId="7E98BB74" w14:textId="77777777" w:rsidTr="00FB354B">
        <w:tc>
          <w:tcPr>
            <w:tcW w:w="3116" w:type="dxa"/>
            <w:shd w:val="clear" w:color="auto" w:fill="auto"/>
          </w:tcPr>
          <w:p w14:paraId="1A39BEDA"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117" w:type="dxa"/>
            <w:shd w:val="clear" w:color="auto" w:fill="auto"/>
          </w:tcPr>
          <w:p w14:paraId="345B6D37"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 xml:space="preserve">563169.09 </w:t>
            </w:r>
            <w:proofErr w:type="spellStart"/>
            <w:r w:rsidRPr="005F17FF">
              <w:rPr>
                <w:rFonts w:ascii="Century Gothic" w:hAnsi="Century Gothic" w:cs="Times New Roman"/>
                <w:sz w:val="20"/>
                <w:szCs w:val="20"/>
              </w:rPr>
              <w:t>mE</w:t>
            </w:r>
            <w:proofErr w:type="spellEnd"/>
          </w:p>
        </w:tc>
        <w:tc>
          <w:tcPr>
            <w:tcW w:w="3117" w:type="dxa"/>
            <w:shd w:val="clear" w:color="auto" w:fill="auto"/>
          </w:tcPr>
          <w:p w14:paraId="32799D6A" w14:textId="77777777" w:rsidR="005625B5" w:rsidRPr="005F17FF" w:rsidRDefault="005625B5" w:rsidP="00FB354B">
            <w:pPr>
              <w:tabs>
                <w:tab w:val="left" w:pos="2364"/>
              </w:tabs>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2349371.13 mN</w:t>
            </w:r>
          </w:p>
        </w:tc>
      </w:tr>
      <w:tr w:rsidR="005625B5" w:rsidRPr="005F17FF" w14:paraId="13B2026F" w14:textId="77777777" w:rsidTr="00FB354B">
        <w:tc>
          <w:tcPr>
            <w:tcW w:w="3116" w:type="dxa"/>
            <w:shd w:val="clear" w:color="auto" w:fill="auto"/>
          </w:tcPr>
          <w:p w14:paraId="445C4A13" w14:textId="77777777" w:rsidR="005625B5" w:rsidRPr="005F17FF" w:rsidRDefault="005625B5" w:rsidP="00FB354B">
            <w:pPr>
              <w:tabs>
                <w:tab w:val="left" w:pos="2364"/>
              </w:tabs>
              <w:spacing w:after="0" w:line="276" w:lineRule="auto"/>
              <w:jc w:val="center"/>
              <w:rPr>
                <w:rFonts w:ascii="Century Gothic" w:hAnsi="Century Gothic" w:cs="Times New Roman"/>
                <w:bCs/>
                <w:sz w:val="20"/>
                <w:szCs w:val="20"/>
              </w:rPr>
            </w:pPr>
            <w:r w:rsidRPr="005F17FF">
              <w:rPr>
                <w:rFonts w:ascii="Century Gothic" w:hAnsi="Century Gothic" w:cs="Times New Roman"/>
                <w:bCs/>
                <w:sz w:val="20"/>
                <w:szCs w:val="20"/>
              </w:rPr>
              <w:t>E</w:t>
            </w:r>
          </w:p>
        </w:tc>
        <w:tc>
          <w:tcPr>
            <w:tcW w:w="3117" w:type="dxa"/>
            <w:shd w:val="clear" w:color="auto" w:fill="auto"/>
          </w:tcPr>
          <w:p w14:paraId="23929B56" w14:textId="77777777" w:rsidR="005625B5" w:rsidRPr="005F17FF" w:rsidRDefault="005625B5" w:rsidP="00FB354B">
            <w:pPr>
              <w:tabs>
                <w:tab w:val="left" w:pos="2364"/>
              </w:tabs>
              <w:spacing w:after="0" w:line="276" w:lineRule="auto"/>
              <w:jc w:val="center"/>
              <w:rPr>
                <w:rFonts w:ascii="Century Gothic" w:hAnsi="Century Gothic" w:cs="Times New Roman"/>
                <w:bCs/>
                <w:sz w:val="20"/>
                <w:szCs w:val="20"/>
              </w:rPr>
            </w:pPr>
            <w:r w:rsidRPr="005F17FF">
              <w:rPr>
                <w:rFonts w:ascii="Century Gothic" w:hAnsi="Century Gothic" w:cs="Times New Roman"/>
                <w:bCs/>
                <w:sz w:val="20"/>
                <w:szCs w:val="20"/>
              </w:rPr>
              <w:t xml:space="preserve">563077.10 </w:t>
            </w:r>
            <w:proofErr w:type="spellStart"/>
            <w:r w:rsidRPr="005F17FF">
              <w:rPr>
                <w:rFonts w:ascii="Century Gothic" w:hAnsi="Century Gothic" w:cs="Times New Roman"/>
                <w:bCs/>
                <w:sz w:val="20"/>
                <w:szCs w:val="20"/>
              </w:rPr>
              <w:t>mE</w:t>
            </w:r>
            <w:proofErr w:type="spellEnd"/>
          </w:p>
        </w:tc>
        <w:tc>
          <w:tcPr>
            <w:tcW w:w="3117" w:type="dxa"/>
            <w:shd w:val="clear" w:color="auto" w:fill="auto"/>
          </w:tcPr>
          <w:p w14:paraId="4A5E0350" w14:textId="77777777" w:rsidR="005625B5" w:rsidRPr="005F17FF" w:rsidRDefault="005625B5" w:rsidP="00FB354B">
            <w:pPr>
              <w:tabs>
                <w:tab w:val="left" w:pos="2364"/>
              </w:tabs>
              <w:spacing w:after="0" w:line="276" w:lineRule="auto"/>
              <w:jc w:val="center"/>
              <w:rPr>
                <w:rFonts w:ascii="Century Gothic" w:hAnsi="Century Gothic" w:cs="Times New Roman"/>
                <w:bCs/>
                <w:sz w:val="20"/>
                <w:szCs w:val="20"/>
              </w:rPr>
            </w:pPr>
            <w:r w:rsidRPr="005F17FF">
              <w:rPr>
                <w:rFonts w:ascii="Century Gothic" w:hAnsi="Century Gothic" w:cs="Times New Roman"/>
                <w:bCs/>
                <w:sz w:val="20"/>
                <w:szCs w:val="20"/>
              </w:rPr>
              <w:t>2349293.81 mN</w:t>
            </w:r>
          </w:p>
        </w:tc>
      </w:tr>
      <w:tr w:rsidR="005625B5" w:rsidRPr="005F17FF" w14:paraId="3BD5FC65" w14:textId="77777777" w:rsidTr="00FB354B">
        <w:tc>
          <w:tcPr>
            <w:tcW w:w="3116" w:type="dxa"/>
            <w:shd w:val="clear" w:color="auto" w:fill="auto"/>
          </w:tcPr>
          <w:p w14:paraId="2F142528" w14:textId="77777777" w:rsidR="005625B5" w:rsidRPr="005F17FF" w:rsidRDefault="005625B5" w:rsidP="00FB354B">
            <w:pPr>
              <w:tabs>
                <w:tab w:val="left" w:pos="2364"/>
              </w:tabs>
              <w:spacing w:after="0" w:line="276" w:lineRule="auto"/>
              <w:jc w:val="center"/>
              <w:rPr>
                <w:rFonts w:ascii="Century Gothic" w:hAnsi="Century Gothic" w:cs="Times New Roman"/>
                <w:bCs/>
                <w:sz w:val="20"/>
                <w:szCs w:val="20"/>
              </w:rPr>
            </w:pPr>
            <w:r w:rsidRPr="005F17FF">
              <w:rPr>
                <w:rFonts w:ascii="Century Gothic" w:hAnsi="Century Gothic" w:cs="Times New Roman"/>
                <w:bCs/>
                <w:sz w:val="20"/>
                <w:szCs w:val="20"/>
              </w:rPr>
              <w:t>F</w:t>
            </w:r>
          </w:p>
        </w:tc>
        <w:tc>
          <w:tcPr>
            <w:tcW w:w="3117" w:type="dxa"/>
            <w:shd w:val="clear" w:color="auto" w:fill="auto"/>
          </w:tcPr>
          <w:p w14:paraId="32E2384A" w14:textId="77777777" w:rsidR="005625B5" w:rsidRPr="005F17FF" w:rsidRDefault="005625B5" w:rsidP="00FB354B">
            <w:pPr>
              <w:tabs>
                <w:tab w:val="left" w:pos="2364"/>
              </w:tabs>
              <w:spacing w:after="0" w:line="276" w:lineRule="auto"/>
              <w:jc w:val="center"/>
              <w:rPr>
                <w:rFonts w:ascii="Century Gothic" w:hAnsi="Century Gothic" w:cs="Times New Roman"/>
                <w:bCs/>
                <w:sz w:val="20"/>
                <w:szCs w:val="20"/>
              </w:rPr>
            </w:pPr>
            <w:r w:rsidRPr="005F17FF">
              <w:rPr>
                <w:rFonts w:ascii="Century Gothic" w:hAnsi="Century Gothic" w:cs="Times New Roman"/>
                <w:bCs/>
                <w:sz w:val="20"/>
                <w:szCs w:val="20"/>
              </w:rPr>
              <w:t xml:space="preserve">563671.88 </w:t>
            </w:r>
            <w:proofErr w:type="spellStart"/>
            <w:r w:rsidRPr="005F17FF">
              <w:rPr>
                <w:rFonts w:ascii="Century Gothic" w:hAnsi="Century Gothic" w:cs="Times New Roman"/>
                <w:bCs/>
                <w:sz w:val="20"/>
                <w:szCs w:val="20"/>
              </w:rPr>
              <w:t>mE</w:t>
            </w:r>
            <w:proofErr w:type="spellEnd"/>
          </w:p>
        </w:tc>
        <w:tc>
          <w:tcPr>
            <w:tcW w:w="3117" w:type="dxa"/>
            <w:shd w:val="clear" w:color="auto" w:fill="auto"/>
          </w:tcPr>
          <w:p w14:paraId="2B9630AC" w14:textId="77777777" w:rsidR="005625B5" w:rsidRPr="005F17FF" w:rsidRDefault="005625B5" w:rsidP="00FB354B">
            <w:pPr>
              <w:tabs>
                <w:tab w:val="left" w:pos="2364"/>
              </w:tabs>
              <w:spacing w:after="0" w:line="276" w:lineRule="auto"/>
              <w:jc w:val="center"/>
              <w:rPr>
                <w:rFonts w:ascii="Century Gothic" w:hAnsi="Century Gothic" w:cs="Times New Roman"/>
                <w:bCs/>
                <w:sz w:val="20"/>
                <w:szCs w:val="20"/>
              </w:rPr>
            </w:pPr>
            <w:r w:rsidRPr="005F17FF">
              <w:rPr>
                <w:rFonts w:ascii="Century Gothic" w:hAnsi="Century Gothic" w:cs="Times New Roman"/>
                <w:bCs/>
                <w:sz w:val="20"/>
                <w:szCs w:val="20"/>
              </w:rPr>
              <w:t>2348820.60 mN</w:t>
            </w:r>
          </w:p>
        </w:tc>
      </w:tr>
    </w:tbl>
    <w:p w14:paraId="1B40743A" w14:textId="77777777" w:rsidR="005625B5" w:rsidRPr="002C327D" w:rsidRDefault="005625B5" w:rsidP="005625B5">
      <w:pPr>
        <w:spacing w:line="276" w:lineRule="auto"/>
        <w:jc w:val="both"/>
        <w:rPr>
          <w:rFonts w:ascii="Century Gothic" w:hAnsi="Century Gothic" w:cs="Times New Roman"/>
          <w:sz w:val="20"/>
          <w:szCs w:val="20"/>
        </w:rPr>
      </w:pPr>
    </w:p>
    <w:p w14:paraId="293A0F49" w14:textId="49AB99E2"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Pr>
          <w:rFonts w:ascii="Century Gothic" w:eastAsia="Times New Roman" w:hAnsi="Century Gothic" w:cs="Times New Roman"/>
          <w:b/>
          <w:bCs/>
          <w:sz w:val="24"/>
          <w:szCs w:val="24"/>
          <w:lang w:eastAsia="wo-SN"/>
        </w:rPr>
        <w:t xml:space="preserve">Annexe 3 : </w:t>
      </w:r>
      <w:r w:rsidRPr="00AC47ED">
        <w:rPr>
          <w:rFonts w:ascii="Century Gothic" w:eastAsia="Times New Roman" w:hAnsi="Century Gothic" w:cs="Times New Roman"/>
          <w:sz w:val="24"/>
          <w:szCs w:val="24"/>
          <w:lang w:eastAsia="wo-SN"/>
        </w:rPr>
        <w:t>Plan</w:t>
      </w:r>
      <w:r>
        <w:rPr>
          <w:rFonts w:ascii="Century Gothic" w:eastAsia="Times New Roman" w:hAnsi="Century Gothic" w:cs="Times New Roman"/>
          <w:sz w:val="24"/>
          <w:szCs w:val="24"/>
          <w:lang w:eastAsia="wo-SN"/>
        </w:rPr>
        <w:t>s</w:t>
      </w:r>
      <w:r w:rsidRPr="00AC47ED">
        <w:rPr>
          <w:rFonts w:ascii="Century Gothic" w:eastAsia="Times New Roman" w:hAnsi="Century Gothic" w:cs="Times New Roman"/>
          <w:sz w:val="24"/>
          <w:szCs w:val="24"/>
          <w:lang w:eastAsia="wo-SN"/>
        </w:rPr>
        <w:t xml:space="preserve"> de restauration des zones humides continentales</w:t>
      </w:r>
      <w:r>
        <w:rPr>
          <w:rFonts w:ascii="Century Gothic" w:eastAsia="Times New Roman" w:hAnsi="Century Gothic" w:cs="Times New Roman"/>
          <w:b/>
          <w:bCs/>
          <w:sz w:val="24"/>
          <w:szCs w:val="24"/>
          <w:lang w:eastAsia="wo-SN"/>
        </w:rPr>
        <w:t xml:space="preserve"> </w:t>
      </w:r>
    </w:p>
    <w:p w14:paraId="33693F4F"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p>
    <w:p w14:paraId="67AE80BB" w14:textId="77777777" w:rsidR="005625B5" w:rsidRPr="00383315"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Pr>
          <w:rFonts w:ascii="Century Gothic" w:eastAsia="Times New Roman" w:hAnsi="Century Gothic" w:cs="Times New Roman"/>
          <w:b/>
          <w:bCs/>
          <w:sz w:val="24"/>
          <w:szCs w:val="24"/>
          <w:lang w:eastAsia="wo-SN"/>
        </w:rPr>
        <w:t xml:space="preserve">Wilaya de </w:t>
      </w:r>
      <w:r w:rsidRPr="00383315">
        <w:rPr>
          <w:rFonts w:ascii="Century Gothic" w:eastAsia="Times New Roman" w:hAnsi="Century Gothic" w:cs="Times New Roman"/>
          <w:b/>
          <w:bCs/>
          <w:sz w:val="24"/>
          <w:szCs w:val="24"/>
          <w:lang w:eastAsia="wo-SN"/>
        </w:rPr>
        <w:t xml:space="preserve">Assaba : </w:t>
      </w:r>
    </w:p>
    <w:p w14:paraId="2C8D6744"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47BF73AB" w14:textId="77777777" w:rsidR="005625B5" w:rsidRPr="0052195D" w:rsidRDefault="005625B5" w:rsidP="005625B5">
      <w:pPr>
        <w:numPr>
          <w:ilvl w:val="0"/>
          <w:numId w:val="37"/>
        </w:numPr>
        <w:tabs>
          <w:tab w:val="left" w:pos="426"/>
        </w:tabs>
        <w:spacing w:after="0" w:line="276" w:lineRule="auto"/>
        <w:jc w:val="both"/>
        <w:rPr>
          <w:rFonts w:ascii="Century Gothic" w:eastAsia="Times New Roman" w:hAnsi="Century Gothic" w:cs="Times New Roman"/>
          <w:b/>
          <w:bCs/>
          <w:sz w:val="24"/>
          <w:szCs w:val="24"/>
          <w:lang w:eastAsia="wo-SN"/>
        </w:rPr>
      </w:pPr>
      <w:r w:rsidRPr="001839C6">
        <w:rPr>
          <w:rFonts w:ascii="Century Gothic" w:hAnsi="Century Gothic" w:cs="Times New Roman"/>
          <w:sz w:val="24"/>
          <w:szCs w:val="24"/>
          <w:u w:val="single"/>
        </w:rPr>
        <w:t>Nom de zone humide</w:t>
      </w:r>
      <w:r w:rsidRPr="001839C6">
        <w:rPr>
          <w:rFonts w:ascii="Century Gothic" w:hAnsi="Century Gothic" w:cs="Times New Roman"/>
          <w:sz w:val="24"/>
          <w:szCs w:val="24"/>
        </w:rPr>
        <w:t xml:space="preserve"> :  </w:t>
      </w:r>
      <w:r w:rsidRPr="001839C6">
        <w:rPr>
          <w:rFonts w:ascii="Century Gothic" w:hAnsi="Century Gothic" w:cs="Times New Roman"/>
          <w:b/>
          <w:bCs/>
          <w:sz w:val="24"/>
          <w:szCs w:val="24"/>
        </w:rPr>
        <w:t>Ajaar </w:t>
      </w:r>
      <w:r w:rsidRPr="001839C6">
        <w:rPr>
          <w:rFonts w:ascii="Century Gothic" w:hAnsi="Century Gothic" w:cs="Times New Roman"/>
          <w:sz w:val="24"/>
          <w:szCs w:val="24"/>
        </w:rPr>
        <w:t>(</w:t>
      </w: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Kouroudiel)  </w:t>
      </w:r>
    </w:p>
    <w:p w14:paraId="16C54A67" w14:textId="77777777" w:rsidR="005625B5" w:rsidRPr="001839C6" w:rsidRDefault="005625B5" w:rsidP="005625B5">
      <w:pPr>
        <w:spacing w:line="276" w:lineRule="auto"/>
        <w:jc w:val="both"/>
        <w:rPr>
          <w:rFonts w:ascii="Century Gothic" w:hAnsi="Century Gothic" w:cs="Times New Roman"/>
          <w:sz w:val="24"/>
          <w:szCs w:val="24"/>
          <w:u w:val="single"/>
        </w:rPr>
      </w:pPr>
    </w:p>
    <w:p w14:paraId="29C41EBF"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(16°22'49.50’’N ; 11°25'20.85’’O)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9 à 10 mois</w:t>
      </w:r>
    </w:p>
    <w:p w14:paraId="63DC4A3E" w14:textId="77777777" w:rsidR="005625B5" w:rsidRDefault="005625B5" w:rsidP="005625B5">
      <w:pPr>
        <w:tabs>
          <w:tab w:val="left" w:pos="426"/>
        </w:tabs>
        <w:spacing w:after="0" w:line="276" w:lineRule="auto"/>
        <w:jc w:val="center"/>
        <w:rPr>
          <w:rFonts w:ascii="Century Gothic" w:eastAsia="Times New Roman" w:hAnsi="Century Gothic" w:cs="Times New Roman"/>
          <w:sz w:val="24"/>
          <w:szCs w:val="24"/>
          <w:lang w:eastAsia="wo-SN"/>
        </w:rPr>
      </w:pPr>
      <w:r w:rsidRPr="00A516A0">
        <w:rPr>
          <w:noProof/>
          <w:lang w:eastAsia="fr-FR"/>
        </w:rPr>
        <w:drawing>
          <wp:inline distT="0" distB="0" distL="0" distR="0" wp14:anchorId="537AF076" wp14:editId="2E67C213">
            <wp:extent cx="2462530" cy="3200400"/>
            <wp:effectExtent l="0" t="0" r="0" b="0"/>
            <wp:docPr id="910670442" name="Image 66" descr="E:\Desktop\ZH\Images ZH\AJAR\DJI_04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6" descr="E:\Desktop\ZH\Images ZH\AJAR\DJI_0434.JPG"/>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62530" cy="3200400"/>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5D8D1942" wp14:editId="090EE853">
            <wp:extent cx="3566160" cy="3214370"/>
            <wp:effectExtent l="0" t="0" r="0" b="0"/>
            <wp:docPr id="40" name="Image 65" descr="E:\Desktop\ZH\Cartes des activités\AJA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5" descr="E:\Desktop\ZH\Cartes des activités\AJAR.jpg"/>
                    <pic:cNvPicPr>
                      <a:picLocks/>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66160" cy="3214370"/>
                    </a:xfrm>
                    <a:prstGeom prst="rect">
                      <a:avLst/>
                    </a:prstGeom>
                    <a:noFill/>
                    <a:ln>
                      <a:noFill/>
                    </a:ln>
                  </pic:spPr>
                </pic:pic>
              </a:graphicData>
            </a:graphic>
          </wp:inline>
        </w:drawing>
      </w:r>
    </w:p>
    <w:p w14:paraId="151929F5" w14:textId="77777777" w:rsidR="005625B5" w:rsidRPr="0052195D" w:rsidRDefault="005625B5" w:rsidP="005625B5">
      <w:pPr>
        <w:spacing w:line="276" w:lineRule="auto"/>
        <w:jc w:val="center"/>
        <w:rPr>
          <w:rFonts w:ascii="Century Gothic" w:hAnsi="Century Gothic" w:cs="Times New Roman"/>
          <w:b/>
          <w:bCs/>
          <w:sz w:val="20"/>
          <w:szCs w:val="20"/>
          <w:lang w:val="fr-BE"/>
        </w:rPr>
      </w:pPr>
      <w:r w:rsidRPr="0052195D">
        <w:rPr>
          <w:rFonts w:ascii="Century Gothic" w:hAnsi="Century Gothic" w:cs="Times New Roman"/>
          <w:b/>
          <w:bCs/>
          <w:sz w:val="20"/>
          <w:szCs w:val="20"/>
          <w:lang w:val="fr-BE"/>
        </w:rPr>
        <w:t>Carte des activités de restauration de la zone humide Ajaar</w:t>
      </w:r>
    </w:p>
    <w:p w14:paraId="016B5208" w14:textId="77777777" w:rsidR="005625B5" w:rsidRPr="00383315" w:rsidRDefault="005625B5" w:rsidP="005625B5">
      <w:pPr>
        <w:spacing w:line="276" w:lineRule="auto"/>
        <w:jc w:val="both"/>
        <w:rPr>
          <w:rFonts w:ascii="Century Gothic" w:hAnsi="Century Gothic" w:cs="Times New Roman"/>
          <w:sz w:val="24"/>
          <w:szCs w:val="24"/>
        </w:rPr>
      </w:pPr>
      <w:r w:rsidRPr="00383315">
        <w:rPr>
          <w:rFonts w:ascii="Century Gothic" w:hAnsi="Century Gothic" w:cs="Times New Roman"/>
          <w:sz w:val="24"/>
          <w:szCs w:val="24"/>
          <w:u w:val="single"/>
        </w:rPr>
        <w:t>Ressources naturelles</w:t>
      </w:r>
      <w:r w:rsidRPr="00383315">
        <w:rPr>
          <w:rFonts w:ascii="Century Gothic" w:hAnsi="Century Gothic" w:cs="Times New Roman"/>
          <w:sz w:val="24"/>
          <w:szCs w:val="24"/>
        </w:rPr>
        <w:t xml:space="preserve"> (Biodiversité</w:t>
      </w:r>
      <w:proofErr w:type="gramStart"/>
      <w:r w:rsidRPr="00383315">
        <w:rPr>
          <w:rFonts w:ascii="Century Gothic" w:hAnsi="Century Gothic" w:cs="Times New Roman"/>
          <w:sz w:val="24"/>
          <w:szCs w:val="24"/>
        </w:rPr>
        <w:t>):</w:t>
      </w:r>
      <w:proofErr w:type="gramEnd"/>
      <w:r w:rsidRPr="00383315">
        <w:rPr>
          <w:rFonts w:ascii="Century Gothic" w:hAnsi="Century Gothic" w:cs="Times New Roman"/>
          <w:sz w:val="24"/>
          <w:szCs w:val="24"/>
        </w:rPr>
        <w:t xml:space="preserve"> </w:t>
      </w:r>
    </w:p>
    <w:p w14:paraId="0D36AEF6" w14:textId="77777777" w:rsidR="005625B5" w:rsidRPr="00383315"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383315">
        <w:rPr>
          <w:rFonts w:ascii="Century Gothic" w:hAnsi="Century Gothic" w:cs="Times New Roman"/>
          <w:sz w:val="24"/>
          <w:szCs w:val="24"/>
        </w:rPr>
        <w:t xml:space="preserve">Ressources aquatiques : Plantes aquatiques (+) ; poisson (+)  </w:t>
      </w:r>
    </w:p>
    <w:p w14:paraId="05E2D3BC" w14:textId="77777777" w:rsidR="005625B5" w:rsidRPr="00383315"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383315">
        <w:rPr>
          <w:rFonts w:ascii="Century Gothic" w:hAnsi="Century Gothic" w:cs="Times New Roman"/>
          <w:sz w:val="24"/>
          <w:szCs w:val="24"/>
        </w:rPr>
        <w:t>Ressources forestières : Acacias (+) ; Balanites (+) ; Bauhinia (+) ; …</w:t>
      </w:r>
    </w:p>
    <w:p w14:paraId="69E19365" w14:textId="77777777" w:rsidR="005625B5" w:rsidRPr="00383315"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383315">
        <w:rPr>
          <w:rFonts w:ascii="Century Gothic" w:hAnsi="Century Gothic" w:cs="Times New Roman"/>
          <w:sz w:val="24"/>
          <w:szCs w:val="24"/>
        </w:rPr>
        <w:t>Ressources fauniques : Faune sauvage (+) ; avifaune (+) </w:t>
      </w:r>
    </w:p>
    <w:p w14:paraId="0DE085D0" w14:textId="77777777" w:rsidR="005625B5" w:rsidRPr="00383315" w:rsidRDefault="005625B5" w:rsidP="005625B5">
      <w:pPr>
        <w:spacing w:line="276" w:lineRule="auto"/>
        <w:jc w:val="both"/>
        <w:rPr>
          <w:rFonts w:ascii="Century Gothic" w:hAnsi="Century Gothic" w:cs="Times New Roman"/>
          <w:sz w:val="24"/>
          <w:szCs w:val="24"/>
        </w:rPr>
      </w:pPr>
      <w:r w:rsidRPr="00383315">
        <w:rPr>
          <w:rFonts w:ascii="Century Gothic" w:hAnsi="Century Gothic" w:cs="Times New Roman"/>
          <w:sz w:val="24"/>
          <w:szCs w:val="24"/>
          <w:u w:val="single"/>
        </w:rPr>
        <w:t>Activités socioéconomiques</w:t>
      </w:r>
      <w:r w:rsidRPr="00383315">
        <w:rPr>
          <w:rFonts w:ascii="Century Gothic" w:hAnsi="Century Gothic" w:cs="Times New Roman"/>
          <w:sz w:val="24"/>
          <w:szCs w:val="24"/>
        </w:rPr>
        <w:t xml:space="preserve"> : </w:t>
      </w:r>
    </w:p>
    <w:p w14:paraId="797A3EF2" w14:textId="77777777" w:rsidR="005625B5" w:rsidRPr="00383315"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52195D">
        <w:rPr>
          <w:rFonts w:ascii="Century Gothic" w:hAnsi="Century Gothic" w:cs="Times New Roman"/>
          <w:b/>
          <w:bCs/>
          <w:sz w:val="24"/>
          <w:szCs w:val="24"/>
        </w:rPr>
        <w:t>Agriculture </w:t>
      </w:r>
      <w:r w:rsidRPr="00383315">
        <w:rPr>
          <w:rFonts w:ascii="Century Gothic" w:hAnsi="Century Gothic" w:cs="Times New Roman"/>
          <w:sz w:val="24"/>
          <w:szCs w:val="24"/>
        </w:rPr>
        <w:t xml:space="preserve">: Les cultures concernent le niébé, le sorgho, le maïs, la palmeraie, le maraichage.  </w:t>
      </w:r>
    </w:p>
    <w:p w14:paraId="61CDC791" w14:textId="77777777" w:rsidR="005625B5" w:rsidRPr="00383315"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52195D">
        <w:rPr>
          <w:rFonts w:ascii="Century Gothic" w:hAnsi="Century Gothic" w:cs="Times New Roman"/>
          <w:b/>
          <w:bCs/>
          <w:sz w:val="24"/>
          <w:szCs w:val="24"/>
        </w:rPr>
        <w:t xml:space="preserve">Elevage </w:t>
      </w:r>
      <w:r w:rsidRPr="00383315">
        <w:rPr>
          <w:rFonts w:ascii="Century Gothic" w:hAnsi="Century Gothic" w:cs="Times New Roman"/>
          <w:sz w:val="24"/>
          <w:szCs w:val="24"/>
        </w:rPr>
        <w:t xml:space="preserve">: C’est un couloir de transhumance ; le bétail provient de partout en saison sèche. </w:t>
      </w:r>
    </w:p>
    <w:p w14:paraId="2E6DF70B" w14:textId="77777777" w:rsidR="005625B5" w:rsidRPr="00383315"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52195D">
        <w:rPr>
          <w:rFonts w:ascii="Century Gothic" w:hAnsi="Century Gothic" w:cs="Times New Roman"/>
          <w:b/>
          <w:bCs/>
          <w:sz w:val="24"/>
          <w:szCs w:val="24"/>
        </w:rPr>
        <w:t>Pêche :</w:t>
      </w:r>
      <w:r w:rsidRPr="00383315">
        <w:rPr>
          <w:rFonts w:ascii="Century Gothic" w:hAnsi="Century Gothic" w:cs="Times New Roman"/>
          <w:sz w:val="24"/>
          <w:szCs w:val="24"/>
        </w:rPr>
        <w:t xml:space="preserve"> Elle est réalisée par les habitants de Kankossa et est vendue aussi à Kankossa. La population locale ne pratique pas la pêche et ne consomme pas le poisson.  </w:t>
      </w:r>
    </w:p>
    <w:p w14:paraId="4BAB3404" w14:textId="77777777" w:rsidR="005625B5" w:rsidRPr="00383315"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52195D">
        <w:rPr>
          <w:rFonts w:ascii="Century Gothic" w:hAnsi="Century Gothic" w:cs="Times New Roman"/>
          <w:b/>
          <w:bCs/>
          <w:sz w:val="24"/>
          <w:szCs w:val="24"/>
        </w:rPr>
        <w:t xml:space="preserve">Foresterie </w:t>
      </w:r>
      <w:r w:rsidRPr="00383315">
        <w:rPr>
          <w:rFonts w:ascii="Century Gothic" w:hAnsi="Century Gothic" w:cs="Times New Roman"/>
          <w:sz w:val="24"/>
          <w:szCs w:val="24"/>
        </w:rPr>
        <w:t xml:space="preserve">: Le bois est coupé pour faire des clôtures et le charbon de bois. </w:t>
      </w:r>
    </w:p>
    <w:p w14:paraId="01F76130" w14:textId="77777777" w:rsidR="005625B5" w:rsidRPr="002F270E" w:rsidRDefault="005625B5" w:rsidP="005625B5">
      <w:pPr>
        <w:numPr>
          <w:ilvl w:val="0"/>
          <w:numId w:val="37"/>
        </w:numPr>
        <w:tabs>
          <w:tab w:val="left" w:pos="426"/>
        </w:tabs>
        <w:spacing w:after="0" w:line="276" w:lineRule="auto"/>
        <w:jc w:val="both"/>
        <w:rPr>
          <w:rFonts w:ascii="Century Gothic" w:eastAsia="Times New Roman" w:hAnsi="Century Gothic" w:cs="Times New Roman"/>
          <w:sz w:val="24"/>
          <w:szCs w:val="24"/>
          <w:lang w:eastAsia="wo-SN"/>
        </w:rPr>
      </w:pPr>
      <w:r w:rsidRPr="001839C6">
        <w:rPr>
          <w:rFonts w:ascii="Century Gothic" w:hAnsi="Century Gothic" w:cs="Times New Roman"/>
          <w:sz w:val="24"/>
          <w:szCs w:val="24"/>
          <w:u w:val="single"/>
        </w:rPr>
        <w:t>Nom de zone humide</w:t>
      </w:r>
      <w:r w:rsidRPr="001839C6">
        <w:rPr>
          <w:rFonts w:ascii="Century Gothic" w:hAnsi="Century Gothic" w:cs="Times New Roman"/>
          <w:sz w:val="24"/>
          <w:szCs w:val="24"/>
        </w:rPr>
        <w:t xml:space="preserve"> : </w:t>
      </w:r>
      <w:r w:rsidRPr="001839C6">
        <w:rPr>
          <w:rFonts w:ascii="Century Gothic" w:hAnsi="Century Gothic" w:cs="Times New Roman"/>
          <w:b/>
          <w:bCs/>
          <w:sz w:val="24"/>
          <w:szCs w:val="24"/>
        </w:rPr>
        <w:t>Goumel </w:t>
      </w:r>
      <w:r w:rsidRPr="001839C6">
        <w:rPr>
          <w:rFonts w:ascii="Century Gothic" w:hAnsi="Century Gothic" w:cs="Times New Roman"/>
          <w:sz w:val="24"/>
          <w:szCs w:val="24"/>
        </w:rPr>
        <w:t>(</w:t>
      </w: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Melgue)  </w:t>
      </w:r>
    </w:p>
    <w:p w14:paraId="0A5818DA" w14:textId="77777777" w:rsidR="005625B5" w:rsidRPr="008B22B1" w:rsidRDefault="005625B5" w:rsidP="005625B5">
      <w:pPr>
        <w:tabs>
          <w:tab w:val="left" w:pos="426"/>
        </w:tabs>
        <w:spacing w:after="0" w:line="276" w:lineRule="auto"/>
        <w:ind w:left="720"/>
        <w:jc w:val="both"/>
        <w:rPr>
          <w:rFonts w:ascii="Century Gothic" w:eastAsia="Times New Roman" w:hAnsi="Century Gothic" w:cs="Times New Roman"/>
          <w:sz w:val="24"/>
          <w:szCs w:val="24"/>
          <w:lang w:eastAsia="wo-SN"/>
        </w:rPr>
      </w:pPr>
    </w:p>
    <w:p w14:paraId="70BE0F54" w14:textId="58A8ADB1"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(16°21'19.73’’N ; 11°19'8.29’’O)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9 mois</w:t>
      </w:r>
      <w:r w:rsidR="0092674B" w:rsidRPr="00A516A0">
        <w:rPr>
          <w:noProof/>
          <w:lang w:eastAsia="fr-FR"/>
        </w:rPr>
        <w:drawing>
          <wp:inline distT="0" distB="0" distL="0" distR="0" wp14:anchorId="5A1C5217" wp14:editId="6D702BA7">
            <wp:extent cx="3116912" cy="3919855"/>
            <wp:effectExtent l="0" t="0" r="7620" b="4445"/>
            <wp:docPr id="1093131285" name="Image 64" descr="E:\Desktop\ZH\Images ZH\GOURMEL\DJI_039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4" descr="E:\Desktop\ZH\Images ZH\GOURMEL\DJI_0392.JPG"/>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22840" cy="3927310"/>
                    </a:xfrm>
                    <a:prstGeom prst="rect">
                      <a:avLst/>
                    </a:prstGeom>
                    <a:noFill/>
                    <a:ln>
                      <a:noFill/>
                    </a:ln>
                  </pic:spPr>
                </pic:pic>
              </a:graphicData>
            </a:graphic>
          </wp:inline>
        </w:drawing>
      </w:r>
    </w:p>
    <w:p w14:paraId="465EF9D3" w14:textId="299DCC4D" w:rsidR="005625B5" w:rsidRPr="00B43F51" w:rsidRDefault="005625B5" w:rsidP="005625B5">
      <w:pPr>
        <w:spacing w:line="276" w:lineRule="auto"/>
        <w:jc w:val="center"/>
        <w:rPr>
          <w:rFonts w:ascii="Times New Roman" w:hAnsi="Times New Roman" w:cs="Times New Roman"/>
          <w:sz w:val="24"/>
          <w:szCs w:val="24"/>
        </w:rPr>
      </w:pPr>
      <w:r w:rsidRPr="00FD184A">
        <w:rPr>
          <w:rFonts w:ascii="Times New Roman" w:hAnsi="Times New Roman" w:cs="Times New Roman"/>
          <w:noProof/>
          <w:sz w:val="24"/>
          <w:szCs w:val="24"/>
          <w:lang w:eastAsia="fr-FR"/>
        </w:rPr>
        <w:drawing>
          <wp:inline distT="0" distB="0" distL="0" distR="0" wp14:anchorId="58FB8BE0" wp14:editId="22530BBE">
            <wp:extent cx="3888577" cy="2679590"/>
            <wp:effectExtent l="0" t="0" r="0" b="6985"/>
            <wp:docPr id="746059054" name="Image 63" descr="E:\Desktop\ZH\Cartes ZH\Gourme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3" descr="E:\Desktop\ZH\Cartes ZH\Gourmel.jpg"/>
                    <pic:cNvPicPr>
                      <a:picLocks/>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10649" cy="2694800"/>
                    </a:xfrm>
                    <a:prstGeom prst="rect">
                      <a:avLst/>
                    </a:prstGeom>
                    <a:noFill/>
                    <a:ln>
                      <a:noFill/>
                    </a:ln>
                  </pic:spPr>
                </pic:pic>
              </a:graphicData>
            </a:graphic>
          </wp:inline>
        </w:drawing>
      </w:r>
    </w:p>
    <w:p w14:paraId="44A2E8FF"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de Gourmel</w:t>
      </w:r>
    </w:p>
    <w:p w14:paraId="38D15435" w14:textId="77777777" w:rsidR="005625B5" w:rsidRPr="0052195D" w:rsidRDefault="005625B5" w:rsidP="00350960">
      <w:pPr>
        <w:spacing w:line="276" w:lineRule="auto"/>
        <w:ind w:left="426"/>
        <w:jc w:val="both"/>
        <w:rPr>
          <w:rFonts w:ascii="Century Gothic" w:hAnsi="Century Gothic" w:cs="Times New Roman"/>
          <w:sz w:val="24"/>
          <w:szCs w:val="24"/>
        </w:rPr>
      </w:pPr>
      <w:r w:rsidRPr="0052195D">
        <w:rPr>
          <w:rFonts w:ascii="Century Gothic" w:hAnsi="Century Gothic" w:cs="Times New Roman"/>
          <w:sz w:val="24"/>
          <w:szCs w:val="24"/>
          <w:u w:val="single"/>
        </w:rPr>
        <w:t>Ressources naturelles</w:t>
      </w:r>
      <w:r w:rsidRPr="0052195D">
        <w:rPr>
          <w:rFonts w:ascii="Century Gothic" w:hAnsi="Century Gothic" w:cs="Times New Roman"/>
          <w:sz w:val="24"/>
          <w:szCs w:val="24"/>
        </w:rPr>
        <w:t xml:space="preserve"> (Biodiversité</w:t>
      </w:r>
      <w:proofErr w:type="gramStart"/>
      <w:r w:rsidRPr="0052195D">
        <w:rPr>
          <w:rFonts w:ascii="Century Gothic" w:hAnsi="Century Gothic" w:cs="Times New Roman"/>
          <w:sz w:val="24"/>
          <w:szCs w:val="24"/>
        </w:rPr>
        <w:t>):</w:t>
      </w:r>
      <w:proofErr w:type="gramEnd"/>
      <w:r w:rsidRPr="0052195D">
        <w:rPr>
          <w:rFonts w:ascii="Century Gothic" w:hAnsi="Century Gothic" w:cs="Times New Roman"/>
          <w:sz w:val="24"/>
          <w:szCs w:val="24"/>
        </w:rPr>
        <w:t xml:space="preserve"> </w:t>
      </w:r>
    </w:p>
    <w:p w14:paraId="5198395D" w14:textId="77777777" w:rsidR="005625B5" w:rsidRPr="0052195D"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52195D">
        <w:rPr>
          <w:rFonts w:ascii="Century Gothic" w:hAnsi="Century Gothic" w:cs="Times New Roman"/>
          <w:sz w:val="24"/>
          <w:szCs w:val="24"/>
        </w:rPr>
        <w:t xml:space="preserve">Ressources aquatiques : Plantes aquatiques (+) ; poisson (+)  </w:t>
      </w:r>
    </w:p>
    <w:p w14:paraId="57DD82E5" w14:textId="77777777" w:rsidR="005625B5" w:rsidRPr="0052195D"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52195D">
        <w:rPr>
          <w:rFonts w:ascii="Century Gothic" w:hAnsi="Century Gothic" w:cs="Times New Roman"/>
          <w:sz w:val="24"/>
          <w:szCs w:val="24"/>
        </w:rPr>
        <w:t>Ressources forestières : Acacias (+) ; Balanites (+) ; Bauhinia (+)</w:t>
      </w:r>
    </w:p>
    <w:p w14:paraId="67F36A6C" w14:textId="77777777" w:rsidR="005625B5" w:rsidRPr="00350960" w:rsidRDefault="005625B5" w:rsidP="00350960">
      <w:pPr>
        <w:spacing w:line="276" w:lineRule="auto"/>
        <w:ind w:left="426"/>
        <w:jc w:val="both"/>
        <w:rPr>
          <w:rFonts w:ascii="Century Gothic" w:hAnsi="Century Gothic" w:cs="Times New Roman"/>
          <w:sz w:val="24"/>
          <w:szCs w:val="24"/>
          <w:u w:val="single"/>
        </w:rPr>
      </w:pPr>
      <w:r w:rsidRPr="00350960">
        <w:rPr>
          <w:rFonts w:ascii="Century Gothic" w:hAnsi="Century Gothic" w:cs="Times New Roman"/>
          <w:sz w:val="24"/>
          <w:szCs w:val="24"/>
          <w:u w:val="single"/>
        </w:rPr>
        <w:t>Ressources fauniques : Faune sauvage (+) ; avifaune (+) </w:t>
      </w:r>
    </w:p>
    <w:p w14:paraId="0046AC45" w14:textId="77777777" w:rsidR="005625B5" w:rsidRPr="0052195D" w:rsidRDefault="005625B5" w:rsidP="005625B5">
      <w:pPr>
        <w:spacing w:line="276" w:lineRule="auto"/>
        <w:jc w:val="both"/>
        <w:rPr>
          <w:rFonts w:ascii="Century Gothic" w:hAnsi="Century Gothic" w:cs="Times New Roman"/>
          <w:sz w:val="24"/>
          <w:szCs w:val="24"/>
        </w:rPr>
      </w:pPr>
      <w:r w:rsidRPr="0052195D">
        <w:rPr>
          <w:rFonts w:ascii="Century Gothic" w:hAnsi="Century Gothic" w:cs="Times New Roman"/>
          <w:sz w:val="24"/>
          <w:szCs w:val="24"/>
          <w:u w:val="single"/>
        </w:rPr>
        <w:t>Activités socioéconomiques</w:t>
      </w:r>
      <w:r w:rsidRPr="0052195D">
        <w:rPr>
          <w:rFonts w:ascii="Century Gothic" w:hAnsi="Century Gothic" w:cs="Times New Roman"/>
          <w:sz w:val="24"/>
          <w:szCs w:val="24"/>
        </w:rPr>
        <w:t xml:space="preserve"> : </w:t>
      </w:r>
    </w:p>
    <w:p w14:paraId="324B9049" w14:textId="77777777" w:rsidR="005625B5" w:rsidRPr="0052195D"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52195D">
        <w:rPr>
          <w:rFonts w:ascii="Century Gothic" w:hAnsi="Century Gothic" w:cs="Times New Roman"/>
          <w:b/>
          <w:bCs/>
          <w:sz w:val="24"/>
          <w:szCs w:val="24"/>
        </w:rPr>
        <w:t>Agriculture</w:t>
      </w:r>
      <w:r w:rsidRPr="0052195D">
        <w:rPr>
          <w:rFonts w:ascii="Century Gothic" w:hAnsi="Century Gothic" w:cs="Times New Roman"/>
          <w:sz w:val="24"/>
          <w:szCs w:val="24"/>
        </w:rPr>
        <w:t xml:space="preserve"> : Les cultures autour de la zone humides sont : niébé, sorgho, maïs, palmeraie, maraichage, des cucurbitacées, arachide  </w:t>
      </w:r>
    </w:p>
    <w:p w14:paraId="17EB035C" w14:textId="77777777" w:rsidR="005625B5" w:rsidRPr="0052195D"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52195D">
        <w:rPr>
          <w:rFonts w:ascii="Century Gothic" w:hAnsi="Century Gothic" w:cs="Times New Roman"/>
          <w:b/>
          <w:bCs/>
          <w:sz w:val="24"/>
          <w:szCs w:val="24"/>
        </w:rPr>
        <w:t xml:space="preserve">Elevage </w:t>
      </w:r>
      <w:r w:rsidRPr="0052195D">
        <w:rPr>
          <w:rFonts w:ascii="Century Gothic" w:hAnsi="Century Gothic" w:cs="Times New Roman"/>
          <w:sz w:val="24"/>
          <w:szCs w:val="24"/>
        </w:rPr>
        <w:t xml:space="preserve">: C’est un couloir de transhumance ; le bétail provient de partout en saison sèche </w:t>
      </w:r>
    </w:p>
    <w:p w14:paraId="2DECA32F" w14:textId="77777777" w:rsidR="005625B5" w:rsidRPr="0052195D"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52195D">
        <w:rPr>
          <w:rFonts w:ascii="Century Gothic" w:hAnsi="Century Gothic" w:cs="Times New Roman"/>
          <w:b/>
          <w:bCs/>
          <w:sz w:val="24"/>
          <w:szCs w:val="24"/>
        </w:rPr>
        <w:t>Pêche</w:t>
      </w:r>
      <w:r w:rsidRPr="0052195D">
        <w:rPr>
          <w:rFonts w:ascii="Century Gothic" w:hAnsi="Century Gothic" w:cs="Times New Roman"/>
          <w:sz w:val="24"/>
          <w:szCs w:val="24"/>
        </w:rPr>
        <w:t> : Elle est pratiquée uniquement par la population locale et les produits de la pêche sont vendus sur le marché de Kiffa ou consommés. Elle constitue un</w:t>
      </w:r>
      <w:r>
        <w:rPr>
          <w:rFonts w:ascii="Century Gothic" w:hAnsi="Century Gothic" w:cs="Times New Roman"/>
          <w:sz w:val="24"/>
          <w:szCs w:val="24"/>
        </w:rPr>
        <w:t>e</w:t>
      </w:r>
      <w:r w:rsidRPr="0052195D">
        <w:rPr>
          <w:rFonts w:ascii="Century Gothic" w:hAnsi="Century Gothic" w:cs="Times New Roman"/>
          <w:sz w:val="24"/>
          <w:szCs w:val="24"/>
        </w:rPr>
        <w:t xml:space="preserve"> source de revenus important pour la population locale.    </w:t>
      </w:r>
    </w:p>
    <w:p w14:paraId="6A3D15D8" w14:textId="77777777" w:rsidR="005625B5" w:rsidRPr="00BC576E"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52195D">
        <w:rPr>
          <w:rFonts w:ascii="Century Gothic" w:hAnsi="Century Gothic" w:cs="Times New Roman"/>
          <w:b/>
          <w:bCs/>
          <w:sz w:val="24"/>
          <w:szCs w:val="24"/>
        </w:rPr>
        <w:t>Foresterie</w:t>
      </w:r>
      <w:r w:rsidRPr="0052195D">
        <w:rPr>
          <w:rFonts w:ascii="Century Gothic" w:hAnsi="Century Gothic" w:cs="Times New Roman"/>
          <w:sz w:val="24"/>
          <w:szCs w:val="24"/>
        </w:rPr>
        <w:t xml:space="preserve"> : Les PFNL sont une source de revenu important pour la population locale. Les fruits du palmier doum sont cueillis et vendu sur le marché de Kiffa. Cette activité est pratiquée principalement par les femmes </w:t>
      </w:r>
      <w:r>
        <w:rPr>
          <w:rFonts w:ascii="Century Gothic" w:hAnsi="Century Gothic" w:cs="Times New Roman"/>
          <w:sz w:val="24"/>
          <w:szCs w:val="24"/>
        </w:rPr>
        <w:t xml:space="preserve">qui </w:t>
      </w:r>
      <w:r w:rsidRPr="0052195D">
        <w:rPr>
          <w:rFonts w:ascii="Century Gothic" w:hAnsi="Century Gothic" w:cs="Times New Roman"/>
          <w:sz w:val="24"/>
          <w:szCs w:val="24"/>
        </w:rPr>
        <w:t>transforment ces fruits (parfois) en poudre avant de la vendre, s’assurant ainsi une valeur ajoutée. Le bois est coupé pour faire des clôtures et</w:t>
      </w:r>
      <w:r>
        <w:rPr>
          <w:rFonts w:ascii="Century Gothic" w:hAnsi="Century Gothic" w:cs="Times New Roman"/>
          <w:sz w:val="24"/>
          <w:szCs w:val="24"/>
        </w:rPr>
        <w:t xml:space="preserve"> transformé en </w:t>
      </w:r>
      <w:r w:rsidRPr="0052195D">
        <w:rPr>
          <w:rFonts w:ascii="Century Gothic" w:hAnsi="Century Gothic" w:cs="Times New Roman"/>
          <w:sz w:val="24"/>
          <w:szCs w:val="24"/>
        </w:rPr>
        <w:t xml:space="preserve">charbon de bois. </w:t>
      </w:r>
    </w:p>
    <w:p w14:paraId="447BDC28" w14:textId="77777777" w:rsidR="005625B5" w:rsidRPr="00030D64" w:rsidRDefault="005625B5" w:rsidP="005625B5">
      <w:pPr>
        <w:numPr>
          <w:ilvl w:val="0"/>
          <w:numId w:val="37"/>
        </w:numPr>
        <w:tabs>
          <w:tab w:val="left" w:pos="426"/>
        </w:tabs>
        <w:spacing w:after="0" w:line="276" w:lineRule="auto"/>
        <w:jc w:val="both"/>
        <w:rPr>
          <w:rFonts w:ascii="Century Gothic" w:eastAsia="Times New Roman" w:hAnsi="Century Gothic" w:cs="Times New Roman"/>
          <w:sz w:val="24"/>
          <w:szCs w:val="24"/>
          <w:lang w:eastAsia="wo-SN"/>
        </w:rPr>
      </w:pPr>
      <w:r w:rsidRPr="001839C6">
        <w:rPr>
          <w:rFonts w:ascii="Century Gothic" w:hAnsi="Century Gothic" w:cs="Times New Roman"/>
          <w:sz w:val="24"/>
          <w:szCs w:val="24"/>
          <w:u w:val="single"/>
        </w:rPr>
        <w:t>Nom de zone humide</w:t>
      </w:r>
      <w:r w:rsidRPr="001839C6">
        <w:rPr>
          <w:rFonts w:ascii="Century Gothic" w:hAnsi="Century Gothic" w:cs="Times New Roman"/>
          <w:sz w:val="24"/>
          <w:szCs w:val="24"/>
        </w:rPr>
        <w:t xml:space="preserve"> : </w:t>
      </w:r>
      <w:r w:rsidRPr="001839C6">
        <w:rPr>
          <w:rFonts w:ascii="Century Gothic" w:hAnsi="Century Gothic" w:cs="Times New Roman"/>
          <w:b/>
          <w:bCs/>
          <w:sz w:val="24"/>
          <w:szCs w:val="24"/>
        </w:rPr>
        <w:t xml:space="preserve">Guembe </w:t>
      </w:r>
      <w:r w:rsidRPr="001839C6">
        <w:rPr>
          <w:rFonts w:ascii="Century Gothic" w:hAnsi="Century Gothic" w:cs="Times New Roman"/>
          <w:sz w:val="24"/>
          <w:szCs w:val="24"/>
        </w:rPr>
        <w:t>(</w:t>
      </w: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Guembe)  </w:t>
      </w:r>
    </w:p>
    <w:p w14:paraId="5EB9B875" w14:textId="77777777" w:rsidR="005625B5" w:rsidRPr="001839C6" w:rsidRDefault="005625B5" w:rsidP="005625B5">
      <w:pPr>
        <w:spacing w:line="276" w:lineRule="auto"/>
        <w:jc w:val="both"/>
        <w:rPr>
          <w:rFonts w:ascii="Century Gothic" w:hAnsi="Century Gothic" w:cs="Times New Roman"/>
          <w:sz w:val="24"/>
          <w:szCs w:val="24"/>
          <w:u w:val="single"/>
        </w:rPr>
      </w:pPr>
    </w:p>
    <w:p w14:paraId="15E636C0"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(16°36'37.21’’N ; 11°6'44.83’’O)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7 mois</w:t>
      </w:r>
    </w:p>
    <w:p w14:paraId="3BCF19D9"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28999EA5" wp14:editId="2640E30C">
            <wp:extent cx="2485390" cy="2138901"/>
            <wp:effectExtent l="0" t="0" r="0" b="0"/>
            <wp:docPr id="1513851519" name="Image 62" descr="E:\Desktop\ZH\Images ZH\GUEMBE\DJI_077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2" descr="E:\Desktop\ZH\Images ZH\GUEMBE\DJI_0777.JPG"/>
                    <pic:cNvPicPr>
                      <a:picLocks/>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95309" cy="2147437"/>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3348D47B" wp14:editId="0C0C51D9">
            <wp:extent cx="3545840" cy="2828290"/>
            <wp:effectExtent l="0" t="0" r="0" b="0"/>
            <wp:docPr id="1074639279" name="Image 61" descr="E:\Desktop\ZH\Cartes des activités\Guemmb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1" descr="E:\Desktop\ZH\Cartes des activités\Guemmbe.jpg"/>
                    <pic:cNvPicPr>
                      <a:picLocks/>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45840" cy="2828290"/>
                    </a:xfrm>
                    <a:prstGeom prst="rect">
                      <a:avLst/>
                    </a:prstGeom>
                    <a:noFill/>
                    <a:ln>
                      <a:noFill/>
                    </a:ln>
                  </pic:spPr>
                </pic:pic>
              </a:graphicData>
            </a:graphic>
          </wp:inline>
        </w:drawing>
      </w:r>
    </w:p>
    <w:p w14:paraId="131F7938"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Guembe</w:t>
      </w:r>
    </w:p>
    <w:p w14:paraId="1B9AF6D5" w14:textId="77777777" w:rsidR="005625B5" w:rsidRPr="00030D64" w:rsidRDefault="005625B5" w:rsidP="005625B5">
      <w:pPr>
        <w:spacing w:line="276" w:lineRule="auto"/>
        <w:jc w:val="both"/>
        <w:rPr>
          <w:rFonts w:ascii="Century Gothic" w:hAnsi="Century Gothic" w:cs="Times New Roman"/>
          <w:sz w:val="24"/>
          <w:szCs w:val="24"/>
        </w:rPr>
      </w:pPr>
      <w:r w:rsidRPr="00030D64">
        <w:rPr>
          <w:rFonts w:ascii="Century Gothic" w:hAnsi="Century Gothic" w:cs="Times New Roman"/>
          <w:sz w:val="24"/>
          <w:szCs w:val="24"/>
          <w:u w:val="single"/>
        </w:rPr>
        <w:t>Ressources naturelles</w:t>
      </w:r>
      <w:r w:rsidRPr="00030D64">
        <w:rPr>
          <w:rFonts w:ascii="Century Gothic" w:hAnsi="Century Gothic" w:cs="Times New Roman"/>
          <w:sz w:val="24"/>
          <w:szCs w:val="24"/>
        </w:rPr>
        <w:t xml:space="preserve"> (Biodiversité</w:t>
      </w:r>
      <w:proofErr w:type="gramStart"/>
      <w:r w:rsidRPr="00030D64">
        <w:rPr>
          <w:rFonts w:ascii="Century Gothic" w:hAnsi="Century Gothic" w:cs="Times New Roman"/>
          <w:sz w:val="24"/>
          <w:szCs w:val="24"/>
        </w:rPr>
        <w:t>):</w:t>
      </w:r>
      <w:proofErr w:type="gramEnd"/>
      <w:r w:rsidRPr="00030D64">
        <w:rPr>
          <w:rFonts w:ascii="Century Gothic" w:hAnsi="Century Gothic" w:cs="Times New Roman"/>
          <w:sz w:val="24"/>
          <w:szCs w:val="24"/>
        </w:rPr>
        <w:t xml:space="preserve"> </w:t>
      </w:r>
    </w:p>
    <w:p w14:paraId="22FC0CF7" w14:textId="77777777" w:rsidR="005625B5" w:rsidRPr="00030D64"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030D64">
        <w:rPr>
          <w:rFonts w:ascii="Century Gothic" w:hAnsi="Century Gothic" w:cs="Times New Roman"/>
          <w:sz w:val="24"/>
          <w:szCs w:val="24"/>
        </w:rPr>
        <w:t xml:space="preserve">Ressources aquatiques : Plantes aquatiques (+) ; poisson (+)  </w:t>
      </w:r>
    </w:p>
    <w:p w14:paraId="3A8A336D" w14:textId="77777777" w:rsidR="005625B5" w:rsidRPr="00030D64"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030D64">
        <w:rPr>
          <w:rFonts w:ascii="Century Gothic" w:hAnsi="Century Gothic" w:cs="Times New Roman"/>
          <w:sz w:val="24"/>
          <w:szCs w:val="24"/>
        </w:rPr>
        <w:t>Ressources forestières : Acacias (+) ; Balanites (+) ; Bauhinia (+) ; …</w:t>
      </w:r>
    </w:p>
    <w:p w14:paraId="62E3B250" w14:textId="77777777" w:rsidR="005625B5" w:rsidRPr="00030D64"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030D64">
        <w:rPr>
          <w:rFonts w:ascii="Century Gothic" w:hAnsi="Century Gothic" w:cs="Times New Roman"/>
          <w:sz w:val="24"/>
          <w:szCs w:val="24"/>
        </w:rPr>
        <w:t>Ressources fauniques : Faune sauvage (+) ; avifaune (+) </w:t>
      </w:r>
    </w:p>
    <w:p w14:paraId="543C9F79" w14:textId="77777777" w:rsidR="005625B5" w:rsidRPr="00030D64" w:rsidRDefault="005625B5" w:rsidP="005625B5">
      <w:pPr>
        <w:spacing w:line="276" w:lineRule="auto"/>
        <w:jc w:val="both"/>
        <w:rPr>
          <w:rFonts w:ascii="Century Gothic" w:hAnsi="Century Gothic" w:cs="Times New Roman"/>
          <w:sz w:val="24"/>
          <w:szCs w:val="24"/>
        </w:rPr>
      </w:pPr>
      <w:r w:rsidRPr="00030D64">
        <w:rPr>
          <w:rFonts w:ascii="Century Gothic" w:hAnsi="Century Gothic" w:cs="Times New Roman"/>
          <w:sz w:val="24"/>
          <w:szCs w:val="24"/>
          <w:u w:val="single"/>
        </w:rPr>
        <w:t>Activités socioéconomiques</w:t>
      </w:r>
      <w:r w:rsidRPr="00030D64">
        <w:rPr>
          <w:rFonts w:ascii="Century Gothic" w:hAnsi="Century Gothic" w:cs="Times New Roman"/>
          <w:sz w:val="24"/>
          <w:szCs w:val="24"/>
        </w:rPr>
        <w:t xml:space="preserve"> : </w:t>
      </w:r>
    </w:p>
    <w:p w14:paraId="34BEBAD3" w14:textId="77777777" w:rsidR="005625B5" w:rsidRPr="00030D64"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030D64">
        <w:rPr>
          <w:rFonts w:ascii="Century Gothic" w:hAnsi="Century Gothic" w:cs="Times New Roman"/>
          <w:b/>
          <w:bCs/>
          <w:sz w:val="24"/>
          <w:szCs w:val="24"/>
        </w:rPr>
        <w:t>Agriculture</w:t>
      </w:r>
      <w:r w:rsidRPr="00030D64">
        <w:rPr>
          <w:rFonts w:ascii="Century Gothic" w:hAnsi="Century Gothic" w:cs="Times New Roman"/>
          <w:sz w:val="24"/>
          <w:szCs w:val="24"/>
        </w:rPr>
        <w:t xml:space="preserve"> : Elle n’est plus pratiquée du fait que l’eau ne dure plus longtemps dans la mare  </w:t>
      </w:r>
    </w:p>
    <w:p w14:paraId="141210A3" w14:textId="77777777" w:rsidR="005625B5" w:rsidRPr="00030D64"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030D64">
        <w:rPr>
          <w:rFonts w:ascii="Century Gothic" w:hAnsi="Century Gothic" w:cs="Times New Roman"/>
          <w:b/>
          <w:bCs/>
          <w:sz w:val="24"/>
          <w:szCs w:val="24"/>
        </w:rPr>
        <w:t>Elevage</w:t>
      </w:r>
      <w:r w:rsidRPr="00030D64">
        <w:rPr>
          <w:rFonts w:ascii="Century Gothic" w:hAnsi="Century Gothic" w:cs="Times New Roman"/>
          <w:sz w:val="24"/>
          <w:szCs w:val="24"/>
        </w:rPr>
        <w:t xml:space="preserve"> : C’est la seule activité qui se maintien dans la zone humide  </w:t>
      </w:r>
    </w:p>
    <w:p w14:paraId="14150AD8" w14:textId="77777777" w:rsidR="005625B5" w:rsidRPr="00030D64"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030D64">
        <w:rPr>
          <w:rFonts w:ascii="Century Gothic" w:hAnsi="Century Gothic" w:cs="Times New Roman"/>
          <w:b/>
          <w:bCs/>
          <w:sz w:val="24"/>
          <w:szCs w:val="24"/>
        </w:rPr>
        <w:t>Pêche</w:t>
      </w:r>
      <w:r w:rsidRPr="00030D64">
        <w:rPr>
          <w:rFonts w:ascii="Century Gothic" w:hAnsi="Century Gothic" w:cs="Times New Roman"/>
          <w:sz w:val="24"/>
          <w:szCs w:val="24"/>
        </w:rPr>
        <w:t xml:space="preserve"> : Elle est pratiquée quand le niveau d’eau baisse. Les fruits et fleurs de nymphéa sont cueillit et cuisinés.  </w:t>
      </w:r>
    </w:p>
    <w:p w14:paraId="064DBAD7" w14:textId="77777777" w:rsidR="005625B5" w:rsidRPr="00030D64"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030D64">
        <w:rPr>
          <w:rFonts w:ascii="Century Gothic" w:hAnsi="Century Gothic" w:cs="Times New Roman"/>
          <w:b/>
          <w:bCs/>
          <w:sz w:val="24"/>
          <w:szCs w:val="24"/>
        </w:rPr>
        <w:t>Foresterie</w:t>
      </w:r>
      <w:r w:rsidRPr="00030D64">
        <w:rPr>
          <w:rFonts w:ascii="Century Gothic" w:hAnsi="Century Gothic" w:cs="Times New Roman"/>
          <w:sz w:val="24"/>
          <w:szCs w:val="24"/>
        </w:rPr>
        <w:t xml:space="preserve"> : Les PFNL sont collectés au niveau de la zone humide et concernent Balanites, Ziziphus et Acacia nilotica, principalement. </w:t>
      </w:r>
    </w:p>
    <w:p w14:paraId="6F0590AF" w14:textId="77777777" w:rsidR="005625B5" w:rsidRPr="00030D64" w:rsidRDefault="005625B5" w:rsidP="005625B5">
      <w:pPr>
        <w:numPr>
          <w:ilvl w:val="0"/>
          <w:numId w:val="37"/>
        </w:numPr>
        <w:tabs>
          <w:tab w:val="left" w:pos="426"/>
        </w:tabs>
        <w:spacing w:after="0" w:line="276" w:lineRule="auto"/>
        <w:jc w:val="both"/>
        <w:rPr>
          <w:rFonts w:ascii="Century Gothic" w:eastAsia="Times New Roman" w:hAnsi="Century Gothic" w:cs="Times New Roman"/>
          <w:sz w:val="24"/>
          <w:szCs w:val="24"/>
          <w:lang w:eastAsia="wo-SN"/>
        </w:rPr>
      </w:pPr>
      <w:r w:rsidRPr="001839C6">
        <w:rPr>
          <w:rFonts w:ascii="Century Gothic" w:hAnsi="Century Gothic" w:cs="Times New Roman"/>
          <w:sz w:val="24"/>
          <w:szCs w:val="24"/>
          <w:u w:val="single"/>
        </w:rPr>
        <w:t>Nom de zone humide</w:t>
      </w:r>
      <w:r w:rsidRPr="001839C6">
        <w:rPr>
          <w:rFonts w:ascii="Century Gothic" w:hAnsi="Century Gothic" w:cs="Times New Roman"/>
          <w:sz w:val="24"/>
          <w:szCs w:val="24"/>
        </w:rPr>
        <w:t xml:space="preserve"> : </w:t>
      </w:r>
      <w:proofErr w:type="gramStart"/>
      <w:r w:rsidRPr="001839C6">
        <w:rPr>
          <w:rFonts w:ascii="Century Gothic" w:hAnsi="Century Gothic" w:cs="Times New Roman"/>
          <w:b/>
          <w:bCs/>
          <w:sz w:val="24"/>
          <w:szCs w:val="24"/>
        </w:rPr>
        <w:t xml:space="preserve">Lebheir </w:t>
      </w:r>
      <w:r w:rsidRPr="001839C6">
        <w:rPr>
          <w:rFonts w:ascii="Century Gothic" w:hAnsi="Century Gothic" w:cs="Times New Roman"/>
          <w:sz w:val="24"/>
          <w:szCs w:val="24"/>
        </w:rPr>
        <w:t xml:space="preserve"> (</w:t>
      </w:r>
      <w:proofErr w:type="gramEnd"/>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Lebheir)</w:t>
      </w:r>
    </w:p>
    <w:p w14:paraId="0229A20F"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(16°34'3.20’’N ; 12°4'20.40’’O)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9 mois</w:t>
      </w:r>
    </w:p>
    <w:p w14:paraId="123ADB17"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4FAC992B" wp14:editId="6303DCF7">
            <wp:extent cx="2210556" cy="1399430"/>
            <wp:effectExtent l="0" t="0" r="0" b="0"/>
            <wp:docPr id="1437604817" name="Image 60" descr="E:\Desktop\ZH\Images ZH\LEBHEIRE\DJI_083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0" descr="E:\Desktop\ZH\Images ZH\LEBHEIRE\DJI_0839.JPG"/>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39087" cy="1417492"/>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72CFA89C" wp14:editId="68C830C5">
            <wp:extent cx="3773170" cy="2926080"/>
            <wp:effectExtent l="0" t="0" r="0" b="7620"/>
            <wp:docPr id="1339845534"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9"/>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81543" cy="2932573"/>
                    </a:xfrm>
                    <a:prstGeom prst="rect">
                      <a:avLst/>
                    </a:prstGeom>
                    <a:noFill/>
                    <a:ln>
                      <a:noFill/>
                    </a:ln>
                  </pic:spPr>
                </pic:pic>
              </a:graphicData>
            </a:graphic>
          </wp:inline>
        </w:drawing>
      </w:r>
    </w:p>
    <w:p w14:paraId="76F3B954"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de Lebheir</w:t>
      </w:r>
    </w:p>
    <w:p w14:paraId="7F19B04A" w14:textId="77777777" w:rsidR="005625B5" w:rsidRPr="00030D64" w:rsidRDefault="005625B5" w:rsidP="005625B5">
      <w:pPr>
        <w:spacing w:line="276" w:lineRule="auto"/>
        <w:jc w:val="both"/>
        <w:rPr>
          <w:rFonts w:ascii="Century Gothic" w:hAnsi="Century Gothic" w:cs="Times New Roman"/>
          <w:sz w:val="24"/>
          <w:szCs w:val="24"/>
        </w:rPr>
      </w:pPr>
      <w:r w:rsidRPr="00030D64">
        <w:rPr>
          <w:rFonts w:ascii="Century Gothic" w:hAnsi="Century Gothic" w:cs="Times New Roman"/>
          <w:sz w:val="24"/>
          <w:szCs w:val="24"/>
          <w:u w:val="single"/>
        </w:rPr>
        <w:t>Ressources naturelles</w:t>
      </w:r>
      <w:r w:rsidRPr="00030D64">
        <w:rPr>
          <w:rFonts w:ascii="Century Gothic" w:hAnsi="Century Gothic" w:cs="Times New Roman"/>
          <w:sz w:val="24"/>
          <w:szCs w:val="24"/>
        </w:rPr>
        <w:t xml:space="preserve"> (Biodiversité</w:t>
      </w:r>
      <w:proofErr w:type="gramStart"/>
      <w:r w:rsidRPr="00030D64">
        <w:rPr>
          <w:rFonts w:ascii="Century Gothic" w:hAnsi="Century Gothic" w:cs="Times New Roman"/>
          <w:sz w:val="24"/>
          <w:szCs w:val="24"/>
        </w:rPr>
        <w:t>):</w:t>
      </w:r>
      <w:proofErr w:type="gramEnd"/>
      <w:r w:rsidRPr="00030D64">
        <w:rPr>
          <w:rFonts w:ascii="Century Gothic" w:hAnsi="Century Gothic" w:cs="Times New Roman"/>
          <w:sz w:val="24"/>
          <w:szCs w:val="24"/>
        </w:rPr>
        <w:t xml:space="preserve"> </w:t>
      </w:r>
    </w:p>
    <w:p w14:paraId="178D12ED" w14:textId="77777777" w:rsidR="005625B5" w:rsidRPr="00030D64"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030D64">
        <w:rPr>
          <w:rFonts w:ascii="Century Gothic" w:hAnsi="Century Gothic" w:cs="Times New Roman"/>
          <w:sz w:val="24"/>
          <w:szCs w:val="24"/>
        </w:rPr>
        <w:t xml:space="preserve">Ressources aquatiques : Plantes aquatiques (+) ; poisson (+)  </w:t>
      </w:r>
    </w:p>
    <w:p w14:paraId="1A1BD44F" w14:textId="77777777" w:rsidR="005625B5" w:rsidRPr="00030D64"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030D64">
        <w:rPr>
          <w:rFonts w:ascii="Century Gothic" w:hAnsi="Century Gothic" w:cs="Times New Roman"/>
          <w:sz w:val="24"/>
          <w:szCs w:val="24"/>
        </w:rPr>
        <w:t>Ressources forestières : Acacias (+) ; Balanites (+) ; Bauhinia (+), …</w:t>
      </w:r>
    </w:p>
    <w:p w14:paraId="38AC95BE" w14:textId="77777777" w:rsidR="005625B5" w:rsidRPr="00030D64"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030D64">
        <w:rPr>
          <w:rFonts w:ascii="Century Gothic" w:hAnsi="Century Gothic" w:cs="Times New Roman"/>
          <w:sz w:val="24"/>
          <w:szCs w:val="24"/>
        </w:rPr>
        <w:t>Ressources fauniques : Faune sauvage (+) ; avifaune (+) </w:t>
      </w:r>
    </w:p>
    <w:p w14:paraId="4FF978F5" w14:textId="77777777" w:rsidR="005625B5" w:rsidRPr="00030D64" w:rsidRDefault="005625B5" w:rsidP="005625B5">
      <w:pPr>
        <w:spacing w:line="276" w:lineRule="auto"/>
        <w:jc w:val="both"/>
        <w:rPr>
          <w:rFonts w:ascii="Century Gothic" w:hAnsi="Century Gothic" w:cs="Times New Roman"/>
          <w:sz w:val="24"/>
          <w:szCs w:val="24"/>
        </w:rPr>
      </w:pPr>
      <w:r w:rsidRPr="00030D64">
        <w:rPr>
          <w:rFonts w:ascii="Century Gothic" w:hAnsi="Century Gothic" w:cs="Times New Roman"/>
          <w:sz w:val="24"/>
          <w:szCs w:val="24"/>
          <w:u w:val="single"/>
        </w:rPr>
        <w:t>Activités socioéconomiques</w:t>
      </w:r>
      <w:r w:rsidRPr="00030D64">
        <w:rPr>
          <w:rFonts w:ascii="Century Gothic" w:hAnsi="Century Gothic" w:cs="Times New Roman"/>
          <w:sz w:val="24"/>
          <w:szCs w:val="24"/>
        </w:rPr>
        <w:t xml:space="preserve"> : </w:t>
      </w:r>
    </w:p>
    <w:p w14:paraId="30A22E2A" w14:textId="77777777" w:rsidR="005625B5" w:rsidRPr="00030D64"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BC68CE">
        <w:rPr>
          <w:rFonts w:ascii="Century Gothic" w:hAnsi="Century Gothic" w:cs="Times New Roman"/>
          <w:b/>
          <w:bCs/>
          <w:sz w:val="24"/>
          <w:szCs w:val="24"/>
        </w:rPr>
        <w:t>Agriculture</w:t>
      </w:r>
      <w:r w:rsidRPr="00030D64">
        <w:rPr>
          <w:rFonts w:ascii="Century Gothic" w:hAnsi="Century Gothic" w:cs="Times New Roman"/>
          <w:sz w:val="24"/>
          <w:szCs w:val="24"/>
        </w:rPr>
        <w:t xml:space="preserve"> : Elle n’est plus pratiquée du fait que l’eau ne dure plus longtemps dans la mare.  </w:t>
      </w:r>
    </w:p>
    <w:p w14:paraId="58D1CEF5" w14:textId="77777777" w:rsidR="005625B5" w:rsidRPr="00030D64"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BC68CE">
        <w:rPr>
          <w:rFonts w:ascii="Century Gothic" w:hAnsi="Century Gothic" w:cs="Times New Roman"/>
          <w:b/>
          <w:bCs/>
          <w:sz w:val="24"/>
          <w:szCs w:val="24"/>
        </w:rPr>
        <w:t>Elevage</w:t>
      </w:r>
      <w:r w:rsidRPr="00030D64">
        <w:rPr>
          <w:rFonts w:ascii="Century Gothic" w:hAnsi="Century Gothic" w:cs="Times New Roman"/>
          <w:sz w:val="24"/>
          <w:szCs w:val="24"/>
        </w:rPr>
        <w:t xml:space="preserve"> : C’est la seule activité qui se maintien dans la zone humide de Lebheir.  </w:t>
      </w:r>
    </w:p>
    <w:p w14:paraId="03FD74B5" w14:textId="77777777" w:rsidR="005625B5" w:rsidRPr="00030D64"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BC68CE">
        <w:rPr>
          <w:rFonts w:ascii="Century Gothic" w:hAnsi="Century Gothic" w:cs="Times New Roman"/>
          <w:b/>
          <w:bCs/>
          <w:sz w:val="24"/>
          <w:szCs w:val="24"/>
        </w:rPr>
        <w:t>Pêche </w:t>
      </w:r>
      <w:r w:rsidRPr="00030D64">
        <w:rPr>
          <w:rFonts w:ascii="Century Gothic" w:hAnsi="Century Gothic" w:cs="Times New Roman"/>
          <w:sz w:val="24"/>
          <w:szCs w:val="24"/>
        </w:rPr>
        <w:t xml:space="preserve">: Elle est pratiquée quand le niveau d’eau baisse. Les fruits et fleurs de nymphéa sont cueillit et cuisinés.  </w:t>
      </w:r>
    </w:p>
    <w:p w14:paraId="2D730637" w14:textId="77777777" w:rsidR="005625B5" w:rsidRPr="00DF1D17"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BC68CE">
        <w:rPr>
          <w:rFonts w:ascii="Century Gothic" w:hAnsi="Century Gothic" w:cs="Times New Roman"/>
          <w:b/>
          <w:bCs/>
          <w:sz w:val="24"/>
          <w:szCs w:val="24"/>
        </w:rPr>
        <w:t>Foresterie</w:t>
      </w:r>
      <w:r w:rsidRPr="00030D64">
        <w:rPr>
          <w:rFonts w:ascii="Century Gothic" w:hAnsi="Century Gothic" w:cs="Times New Roman"/>
          <w:sz w:val="24"/>
          <w:szCs w:val="24"/>
        </w:rPr>
        <w:t xml:space="preserve"> : Les PFNL sont collectés au niveau de la zone humide et concernent Balanites, Ziziphus et Acacia nilotica, principalement. </w:t>
      </w:r>
    </w:p>
    <w:p w14:paraId="30C24A3E" w14:textId="77777777" w:rsidR="005625B5" w:rsidRPr="007D19AD" w:rsidRDefault="005625B5" w:rsidP="005625B5">
      <w:pPr>
        <w:numPr>
          <w:ilvl w:val="0"/>
          <w:numId w:val="37"/>
        </w:numPr>
        <w:tabs>
          <w:tab w:val="left" w:pos="426"/>
        </w:tabs>
        <w:spacing w:after="0" w:line="276" w:lineRule="auto"/>
        <w:jc w:val="both"/>
        <w:rPr>
          <w:rFonts w:ascii="Century Gothic" w:eastAsia="Times New Roman" w:hAnsi="Century Gothic" w:cs="Times New Roman"/>
          <w:sz w:val="24"/>
          <w:szCs w:val="24"/>
          <w:lang w:eastAsia="wo-SN"/>
        </w:rPr>
      </w:pPr>
      <w:r w:rsidRPr="001839C6">
        <w:rPr>
          <w:rFonts w:ascii="Century Gothic" w:hAnsi="Century Gothic" w:cs="Times New Roman"/>
          <w:sz w:val="24"/>
          <w:szCs w:val="24"/>
          <w:u w:val="single"/>
        </w:rPr>
        <w:t>Nom de zone humide</w:t>
      </w:r>
      <w:r w:rsidRPr="001839C6">
        <w:rPr>
          <w:rFonts w:ascii="Century Gothic" w:hAnsi="Century Gothic" w:cs="Times New Roman"/>
          <w:sz w:val="24"/>
          <w:szCs w:val="24"/>
        </w:rPr>
        <w:t xml:space="preserve"> : </w:t>
      </w:r>
      <w:r w:rsidRPr="001839C6">
        <w:rPr>
          <w:rFonts w:ascii="Century Gothic" w:hAnsi="Century Gothic" w:cs="Times New Roman"/>
          <w:b/>
          <w:bCs/>
          <w:sz w:val="24"/>
          <w:szCs w:val="24"/>
        </w:rPr>
        <w:t>Soultania</w:t>
      </w:r>
      <w:r w:rsidRPr="001839C6">
        <w:rPr>
          <w:rFonts w:ascii="Century Gothic" w:hAnsi="Century Gothic" w:cs="Times New Roman"/>
          <w:sz w:val="24"/>
          <w:szCs w:val="24"/>
        </w:rPr>
        <w:t xml:space="preserve"> (</w:t>
      </w: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Melgue)  </w:t>
      </w:r>
    </w:p>
    <w:p w14:paraId="28A6F355" w14:textId="77777777" w:rsidR="005625B5" w:rsidRPr="001839C6" w:rsidRDefault="005625B5" w:rsidP="005625B5">
      <w:pPr>
        <w:spacing w:line="276" w:lineRule="auto"/>
        <w:jc w:val="both"/>
        <w:rPr>
          <w:rFonts w:ascii="Century Gothic" w:hAnsi="Century Gothic" w:cs="Times New Roman"/>
          <w:sz w:val="24"/>
          <w:szCs w:val="24"/>
          <w:u w:val="single"/>
        </w:rPr>
      </w:pPr>
    </w:p>
    <w:p w14:paraId="27D1D04F"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(16°23'36.10’’N ; 11°14'22.26’’O)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8-9 mois</w:t>
      </w:r>
    </w:p>
    <w:p w14:paraId="373124AA"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2A61C391" wp14:editId="0506967F">
            <wp:extent cx="2421890" cy="2210463"/>
            <wp:effectExtent l="0" t="0" r="0" b="0"/>
            <wp:docPr id="1043548780" name="Image 58" descr="E:\Desktop\ZH\Images ZH\SOULTANIA\DJI_037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8" descr="E:\Desktop\ZH\Images ZH\SOULTANIA\DJI_0372.JPG"/>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31272" cy="2219026"/>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097597B9" wp14:editId="3B2B3E6C">
            <wp:extent cx="3541539" cy="2361537"/>
            <wp:effectExtent l="0" t="0" r="1905" b="1270"/>
            <wp:docPr id="1793248981" name="Image 57" descr="E:\Desktop\ZH\Cartes des activités\soultani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7" descr="E:\Desktop\ZH\Cartes des activités\soultania.jpg"/>
                    <pic:cNvPicPr>
                      <a:picLocks/>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55739" cy="2371005"/>
                    </a:xfrm>
                    <a:prstGeom prst="rect">
                      <a:avLst/>
                    </a:prstGeom>
                    <a:noFill/>
                    <a:ln>
                      <a:noFill/>
                    </a:ln>
                  </pic:spPr>
                </pic:pic>
              </a:graphicData>
            </a:graphic>
          </wp:inline>
        </w:drawing>
      </w:r>
    </w:p>
    <w:p w14:paraId="73586FE9"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Soultania</w:t>
      </w:r>
    </w:p>
    <w:p w14:paraId="22CA3BE7" w14:textId="77777777" w:rsidR="005625B5" w:rsidRPr="007D19AD" w:rsidRDefault="005625B5" w:rsidP="005625B5">
      <w:pPr>
        <w:spacing w:line="276" w:lineRule="auto"/>
        <w:jc w:val="both"/>
        <w:rPr>
          <w:rFonts w:ascii="Century Gothic" w:hAnsi="Century Gothic" w:cs="Times New Roman"/>
          <w:sz w:val="24"/>
          <w:szCs w:val="24"/>
        </w:rPr>
      </w:pPr>
      <w:r w:rsidRPr="007D19AD">
        <w:rPr>
          <w:rFonts w:ascii="Century Gothic" w:hAnsi="Century Gothic" w:cs="Times New Roman"/>
          <w:sz w:val="24"/>
          <w:szCs w:val="24"/>
          <w:u w:val="single"/>
        </w:rPr>
        <w:t>Ressources naturelles</w:t>
      </w:r>
      <w:r w:rsidRPr="007D19AD">
        <w:rPr>
          <w:rFonts w:ascii="Century Gothic" w:hAnsi="Century Gothic" w:cs="Times New Roman"/>
          <w:sz w:val="24"/>
          <w:szCs w:val="24"/>
        </w:rPr>
        <w:t xml:space="preserve"> (Biodiversité</w:t>
      </w:r>
      <w:proofErr w:type="gramStart"/>
      <w:r w:rsidRPr="007D19AD">
        <w:rPr>
          <w:rFonts w:ascii="Century Gothic" w:hAnsi="Century Gothic" w:cs="Times New Roman"/>
          <w:sz w:val="24"/>
          <w:szCs w:val="24"/>
        </w:rPr>
        <w:t>):</w:t>
      </w:r>
      <w:proofErr w:type="gramEnd"/>
      <w:r w:rsidRPr="007D19AD">
        <w:rPr>
          <w:rFonts w:ascii="Century Gothic" w:hAnsi="Century Gothic" w:cs="Times New Roman"/>
          <w:sz w:val="24"/>
          <w:szCs w:val="24"/>
        </w:rPr>
        <w:t xml:space="preserve"> </w:t>
      </w:r>
    </w:p>
    <w:p w14:paraId="4368C2F1" w14:textId="77777777" w:rsidR="005625B5" w:rsidRPr="007D19AD"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7D19AD">
        <w:rPr>
          <w:rFonts w:ascii="Century Gothic" w:hAnsi="Century Gothic" w:cs="Times New Roman"/>
          <w:sz w:val="24"/>
          <w:szCs w:val="24"/>
        </w:rPr>
        <w:t xml:space="preserve">Ressources aquatiques : Plantes aquatiques (+) ; poisson (+)  </w:t>
      </w:r>
    </w:p>
    <w:p w14:paraId="250B6FF8" w14:textId="77777777" w:rsidR="005625B5" w:rsidRPr="007D19AD"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7D19AD">
        <w:rPr>
          <w:rFonts w:ascii="Century Gothic" w:hAnsi="Century Gothic" w:cs="Times New Roman"/>
          <w:sz w:val="24"/>
          <w:szCs w:val="24"/>
        </w:rPr>
        <w:t>Ressources forestières : Acacias (+) ; Balanites (+) ; Bauhinia (+), Combretum (+), Grewia (+), Ziziphus (+), …</w:t>
      </w:r>
    </w:p>
    <w:p w14:paraId="42D33D75" w14:textId="77777777" w:rsidR="005625B5" w:rsidRPr="007D19AD"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7D19AD">
        <w:rPr>
          <w:rFonts w:ascii="Century Gothic" w:hAnsi="Century Gothic" w:cs="Times New Roman"/>
          <w:sz w:val="24"/>
          <w:szCs w:val="24"/>
        </w:rPr>
        <w:t>Ressources fauniques : Faune sauvage (+) ; avifaune (+) </w:t>
      </w:r>
    </w:p>
    <w:p w14:paraId="3CE98C78" w14:textId="77777777" w:rsidR="005625B5" w:rsidRPr="007D19AD" w:rsidRDefault="005625B5" w:rsidP="005625B5">
      <w:pPr>
        <w:spacing w:line="276" w:lineRule="auto"/>
        <w:jc w:val="both"/>
        <w:rPr>
          <w:rFonts w:ascii="Century Gothic" w:hAnsi="Century Gothic" w:cs="Times New Roman"/>
          <w:sz w:val="24"/>
          <w:szCs w:val="24"/>
        </w:rPr>
      </w:pPr>
      <w:r w:rsidRPr="007D19AD">
        <w:rPr>
          <w:rFonts w:ascii="Century Gothic" w:hAnsi="Century Gothic" w:cs="Times New Roman"/>
          <w:sz w:val="24"/>
          <w:szCs w:val="24"/>
          <w:u w:val="single"/>
        </w:rPr>
        <w:t>Activités socioéconomiques</w:t>
      </w:r>
      <w:r w:rsidRPr="007D19AD">
        <w:rPr>
          <w:rFonts w:ascii="Century Gothic" w:hAnsi="Century Gothic" w:cs="Times New Roman"/>
          <w:sz w:val="24"/>
          <w:szCs w:val="24"/>
        </w:rPr>
        <w:t xml:space="preserve"> : </w:t>
      </w:r>
    </w:p>
    <w:p w14:paraId="66BE9EB3" w14:textId="77777777" w:rsidR="005625B5" w:rsidRPr="007D19AD"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9E00B2">
        <w:rPr>
          <w:rFonts w:ascii="Century Gothic" w:hAnsi="Century Gothic" w:cs="Times New Roman"/>
          <w:b/>
          <w:bCs/>
          <w:sz w:val="24"/>
          <w:szCs w:val="24"/>
        </w:rPr>
        <w:t>Agriculture</w:t>
      </w:r>
      <w:r w:rsidRPr="007D19AD">
        <w:rPr>
          <w:rFonts w:ascii="Century Gothic" w:hAnsi="Century Gothic" w:cs="Times New Roman"/>
          <w:sz w:val="24"/>
          <w:szCs w:val="24"/>
        </w:rPr>
        <w:t xml:space="preserve"> : Les principales spéculations concernent carotte, chou, oignon, salade, navet, … accompagnées de niébé et maïs.   </w:t>
      </w:r>
    </w:p>
    <w:p w14:paraId="39DB2154" w14:textId="77777777" w:rsidR="005625B5" w:rsidRPr="007D19AD"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9E00B2">
        <w:rPr>
          <w:rFonts w:ascii="Century Gothic" w:hAnsi="Century Gothic" w:cs="Times New Roman"/>
          <w:b/>
          <w:bCs/>
          <w:sz w:val="24"/>
          <w:szCs w:val="24"/>
        </w:rPr>
        <w:t>Elevage</w:t>
      </w:r>
      <w:r w:rsidRPr="007D19AD">
        <w:rPr>
          <w:rFonts w:ascii="Century Gothic" w:hAnsi="Century Gothic" w:cs="Times New Roman"/>
          <w:sz w:val="24"/>
          <w:szCs w:val="24"/>
        </w:rPr>
        <w:t xml:space="preserve"> : Il est pratiqué au bord de la mare où les troupeaux viennent brouter et s’abreuver.   </w:t>
      </w:r>
    </w:p>
    <w:p w14:paraId="269A675D" w14:textId="77777777" w:rsidR="005625B5" w:rsidRPr="007D19AD"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9E00B2">
        <w:rPr>
          <w:rFonts w:ascii="Century Gothic" w:hAnsi="Century Gothic" w:cs="Times New Roman"/>
          <w:b/>
          <w:bCs/>
          <w:sz w:val="24"/>
          <w:szCs w:val="24"/>
        </w:rPr>
        <w:t>Pêche</w:t>
      </w:r>
      <w:r w:rsidRPr="007D19AD">
        <w:rPr>
          <w:rFonts w:ascii="Century Gothic" w:hAnsi="Century Gothic" w:cs="Times New Roman"/>
          <w:sz w:val="24"/>
          <w:szCs w:val="24"/>
        </w:rPr>
        <w:t xml:space="preserve"> : Elle est menée par la population locale entre le mois de janvier et mars lorsque le niveau de l’eau baisse. Les produits péchés sont vendus sur place aux commerçants qui viennent d’autres zones ou consommés localement.   </w:t>
      </w:r>
    </w:p>
    <w:p w14:paraId="0C7C1814" w14:textId="77777777" w:rsidR="005625B5" w:rsidRPr="007C65AD"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9E00B2">
        <w:rPr>
          <w:rFonts w:ascii="Century Gothic" w:hAnsi="Century Gothic" w:cs="Times New Roman"/>
          <w:b/>
          <w:bCs/>
          <w:sz w:val="24"/>
          <w:szCs w:val="24"/>
        </w:rPr>
        <w:t>Foresterie</w:t>
      </w:r>
      <w:r w:rsidRPr="007D19AD">
        <w:rPr>
          <w:rFonts w:ascii="Century Gothic" w:hAnsi="Century Gothic" w:cs="Times New Roman"/>
          <w:sz w:val="24"/>
          <w:szCs w:val="24"/>
        </w:rPr>
        <w:t xml:space="preserve"> : Les PFNL concernent principalement les fruits de Haphaene et </w:t>
      </w:r>
      <w:proofErr w:type="gramStart"/>
      <w:r w:rsidRPr="007D19AD">
        <w:rPr>
          <w:rFonts w:ascii="Century Gothic" w:hAnsi="Century Gothic" w:cs="Times New Roman"/>
          <w:sz w:val="24"/>
          <w:szCs w:val="24"/>
        </w:rPr>
        <w:t>de Acacia</w:t>
      </w:r>
      <w:proofErr w:type="gramEnd"/>
      <w:r w:rsidRPr="007D19AD">
        <w:rPr>
          <w:rFonts w:ascii="Century Gothic" w:hAnsi="Century Gothic" w:cs="Times New Roman"/>
          <w:sz w:val="24"/>
          <w:szCs w:val="24"/>
        </w:rPr>
        <w:t xml:space="preserve"> (gomme). </w:t>
      </w:r>
      <w:r w:rsidRPr="007D19AD">
        <w:rPr>
          <w:rFonts w:ascii="Century Gothic" w:hAnsi="Century Gothic"/>
        </w:rPr>
        <w:t xml:space="preserve">  </w:t>
      </w:r>
    </w:p>
    <w:p w14:paraId="0FB48113" w14:textId="77777777" w:rsidR="005625B5" w:rsidRPr="004B7252"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sidRPr="004B7252">
        <w:rPr>
          <w:rFonts w:ascii="Century Gothic" w:eastAsia="Times New Roman" w:hAnsi="Century Gothic" w:cs="Times New Roman"/>
          <w:b/>
          <w:bCs/>
          <w:sz w:val="24"/>
          <w:szCs w:val="24"/>
          <w:lang w:eastAsia="wo-SN"/>
        </w:rPr>
        <w:t xml:space="preserve">Wilaya du Brakna : </w:t>
      </w:r>
    </w:p>
    <w:p w14:paraId="1AC86629"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1503E579" w14:textId="77777777" w:rsidR="005625B5" w:rsidRPr="00E0027C" w:rsidRDefault="005625B5" w:rsidP="005625B5">
      <w:pPr>
        <w:numPr>
          <w:ilvl w:val="0"/>
          <w:numId w:val="37"/>
        </w:numPr>
        <w:tabs>
          <w:tab w:val="left" w:pos="426"/>
        </w:tabs>
        <w:spacing w:after="0" w:line="276" w:lineRule="auto"/>
        <w:jc w:val="both"/>
        <w:rPr>
          <w:rFonts w:ascii="Century Gothic" w:eastAsia="Times New Roman" w:hAnsi="Century Gothic" w:cs="Times New Roman"/>
          <w:sz w:val="24"/>
          <w:szCs w:val="24"/>
          <w:lang w:eastAsia="wo-SN"/>
        </w:rPr>
      </w:pPr>
      <w:r w:rsidRPr="001839C6">
        <w:rPr>
          <w:rFonts w:ascii="Century Gothic" w:hAnsi="Century Gothic" w:cs="Times New Roman"/>
          <w:sz w:val="24"/>
          <w:szCs w:val="24"/>
          <w:u w:val="single"/>
        </w:rPr>
        <w:t>Nom de zone humide</w:t>
      </w:r>
      <w:r w:rsidRPr="001839C6">
        <w:rPr>
          <w:rFonts w:ascii="Century Gothic" w:hAnsi="Century Gothic" w:cs="Times New Roman"/>
          <w:sz w:val="24"/>
          <w:szCs w:val="24"/>
        </w:rPr>
        <w:t xml:space="preserve"> : </w:t>
      </w:r>
      <w:r w:rsidRPr="001839C6">
        <w:rPr>
          <w:rFonts w:ascii="Century Gothic" w:hAnsi="Century Gothic" w:cs="Times New Roman"/>
          <w:b/>
          <w:bCs/>
          <w:sz w:val="24"/>
          <w:szCs w:val="24"/>
        </w:rPr>
        <w:t>Djellouar</w:t>
      </w:r>
      <w:r w:rsidRPr="001839C6">
        <w:rPr>
          <w:rFonts w:ascii="Century Gothic" w:hAnsi="Century Gothic" w:cs="Times New Roman"/>
          <w:sz w:val="24"/>
          <w:szCs w:val="24"/>
        </w:rPr>
        <w:t> (</w:t>
      </w: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Djellouar) </w:t>
      </w:r>
    </w:p>
    <w:p w14:paraId="51871DBC" w14:textId="77777777" w:rsidR="005625B5" w:rsidRPr="00E0027C"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478C99C7"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(16°35'14.61’’N ; 13°39'55.21’’O)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Permanent</w:t>
      </w:r>
    </w:p>
    <w:p w14:paraId="77F43105"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6108A699" wp14:editId="41F3A5C5">
            <wp:extent cx="2231349" cy="1248354"/>
            <wp:effectExtent l="0" t="0" r="0" b="9525"/>
            <wp:docPr id="49" name="Image 56" descr="E:\Desktop\ZH\Images ZH\DJELLOUAR\DJI_067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6" descr="E:\Desktop\ZH\Images ZH\DJELLOUAR\DJI_0677.JPG"/>
                    <pic:cNvPicPr>
                      <a:picLocks/>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50561" cy="1259102"/>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32F3226D" wp14:editId="215B942A">
            <wp:extent cx="3823334" cy="1765189"/>
            <wp:effectExtent l="0" t="0" r="6350" b="6985"/>
            <wp:docPr id="918426941" name="Image 55" descr="E:\Desktop\ZH\Cartes des activités\AJA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5" descr="E:\Desktop\ZH\Cartes des activités\AJAR.jpg"/>
                    <pic:cNvPicPr>
                      <a:picLocks/>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61018" cy="1782587"/>
                    </a:xfrm>
                    <a:prstGeom prst="rect">
                      <a:avLst/>
                    </a:prstGeom>
                    <a:noFill/>
                    <a:ln>
                      <a:noFill/>
                    </a:ln>
                  </pic:spPr>
                </pic:pic>
              </a:graphicData>
            </a:graphic>
          </wp:inline>
        </w:drawing>
      </w:r>
    </w:p>
    <w:p w14:paraId="6E0982D3"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Djellouar</w:t>
      </w:r>
    </w:p>
    <w:p w14:paraId="7DECDC26" w14:textId="77777777" w:rsidR="005625B5" w:rsidRPr="004B7252" w:rsidRDefault="005625B5" w:rsidP="005625B5">
      <w:pPr>
        <w:spacing w:line="276" w:lineRule="auto"/>
        <w:jc w:val="both"/>
        <w:rPr>
          <w:rFonts w:ascii="Century Gothic" w:hAnsi="Century Gothic" w:cs="Times New Roman"/>
          <w:sz w:val="24"/>
          <w:szCs w:val="24"/>
        </w:rPr>
      </w:pPr>
      <w:r w:rsidRPr="004B7252">
        <w:rPr>
          <w:rFonts w:ascii="Century Gothic" w:hAnsi="Century Gothic" w:cs="Times New Roman"/>
          <w:sz w:val="24"/>
          <w:szCs w:val="24"/>
          <w:u w:val="single"/>
        </w:rPr>
        <w:t>Ressources naturelles</w:t>
      </w:r>
      <w:r w:rsidRPr="004B7252">
        <w:rPr>
          <w:rFonts w:ascii="Century Gothic" w:hAnsi="Century Gothic" w:cs="Times New Roman"/>
          <w:sz w:val="24"/>
          <w:szCs w:val="24"/>
        </w:rPr>
        <w:t xml:space="preserve"> (Biodiversité</w:t>
      </w:r>
      <w:proofErr w:type="gramStart"/>
      <w:r w:rsidRPr="004B7252">
        <w:rPr>
          <w:rFonts w:ascii="Century Gothic" w:hAnsi="Century Gothic" w:cs="Times New Roman"/>
          <w:sz w:val="24"/>
          <w:szCs w:val="24"/>
        </w:rPr>
        <w:t>):</w:t>
      </w:r>
      <w:proofErr w:type="gramEnd"/>
      <w:r w:rsidRPr="004B7252">
        <w:rPr>
          <w:rFonts w:ascii="Century Gothic" w:hAnsi="Century Gothic" w:cs="Times New Roman"/>
          <w:sz w:val="24"/>
          <w:szCs w:val="24"/>
        </w:rPr>
        <w:t xml:space="preserve"> </w:t>
      </w:r>
    </w:p>
    <w:p w14:paraId="02C6959E" w14:textId="77777777" w:rsidR="005625B5" w:rsidRPr="004B7252" w:rsidRDefault="005625B5" w:rsidP="005625B5">
      <w:pPr>
        <w:pStyle w:val="Paragraphedeliste"/>
        <w:numPr>
          <w:ilvl w:val="0"/>
          <w:numId w:val="38"/>
        </w:numPr>
        <w:spacing w:after="200" w:line="276" w:lineRule="auto"/>
        <w:jc w:val="both"/>
        <w:rPr>
          <w:rFonts w:ascii="Century Gothic" w:hAnsi="Century Gothic"/>
          <w:sz w:val="24"/>
          <w:szCs w:val="24"/>
        </w:rPr>
      </w:pPr>
      <w:r w:rsidRPr="004B7252">
        <w:rPr>
          <w:rFonts w:ascii="Century Gothic" w:hAnsi="Century Gothic"/>
          <w:sz w:val="24"/>
          <w:szCs w:val="24"/>
        </w:rPr>
        <w:t xml:space="preserve">Ressources aquatiques : Plantes aquatiques (-) ; poisson (+)  </w:t>
      </w:r>
    </w:p>
    <w:p w14:paraId="176692F6" w14:textId="77777777" w:rsidR="005625B5" w:rsidRPr="004B7252" w:rsidRDefault="005625B5" w:rsidP="005625B5">
      <w:pPr>
        <w:pStyle w:val="Paragraphedeliste"/>
        <w:numPr>
          <w:ilvl w:val="0"/>
          <w:numId w:val="38"/>
        </w:numPr>
        <w:spacing w:after="200" w:line="276" w:lineRule="auto"/>
        <w:jc w:val="both"/>
        <w:rPr>
          <w:rFonts w:ascii="Century Gothic" w:hAnsi="Century Gothic"/>
          <w:sz w:val="24"/>
          <w:szCs w:val="24"/>
        </w:rPr>
      </w:pPr>
      <w:r w:rsidRPr="004B7252">
        <w:rPr>
          <w:rFonts w:ascii="Century Gothic" w:hAnsi="Century Gothic"/>
          <w:sz w:val="24"/>
          <w:szCs w:val="24"/>
        </w:rPr>
        <w:t>Ressources forestières : Acacias (+) ; Balanites (+) ; Bauhinia (+)</w:t>
      </w:r>
    </w:p>
    <w:p w14:paraId="5520A290" w14:textId="77777777" w:rsidR="005625B5" w:rsidRPr="004B7252" w:rsidRDefault="005625B5" w:rsidP="005625B5">
      <w:pPr>
        <w:pStyle w:val="Paragraphedeliste"/>
        <w:numPr>
          <w:ilvl w:val="0"/>
          <w:numId w:val="38"/>
        </w:numPr>
        <w:spacing w:after="200" w:line="276" w:lineRule="auto"/>
        <w:jc w:val="both"/>
        <w:rPr>
          <w:rFonts w:ascii="Century Gothic" w:hAnsi="Century Gothic"/>
          <w:sz w:val="24"/>
          <w:szCs w:val="24"/>
        </w:rPr>
      </w:pPr>
      <w:r w:rsidRPr="004B7252">
        <w:rPr>
          <w:rFonts w:ascii="Century Gothic" w:hAnsi="Century Gothic"/>
          <w:sz w:val="24"/>
          <w:szCs w:val="24"/>
        </w:rPr>
        <w:t>Ressources fauniques : Faune sauvage (+) ; avifaune (+) </w:t>
      </w:r>
    </w:p>
    <w:p w14:paraId="60094BD2" w14:textId="77777777" w:rsidR="005625B5" w:rsidRPr="004B7252" w:rsidRDefault="005625B5" w:rsidP="005625B5">
      <w:pPr>
        <w:spacing w:line="276" w:lineRule="auto"/>
        <w:jc w:val="both"/>
        <w:rPr>
          <w:rFonts w:ascii="Century Gothic" w:hAnsi="Century Gothic" w:cs="Times New Roman"/>
          <w:sz w:val="24"/>
          <w:szCs w:val="24"/>
        </w:rPr>
      </w:pPr>
      <w:r w:rsidRPr="004B7252">
        <w:rPr>
          <w:rFonts w:ascii="Century Gothic" w:hAnsi="Century Gothic" w:cs="Times New Roman"/>
          <w:sz w:val="24"/>
          <w:szCs w:val="24"/>
          <w:u w:val="single"/>
        </w:rPr>
        <w:t>Activités socioéconomiques</w:t>
      </w:r>
      <w:r w:rsidRPr="004B7252">
        <w:rPr>
          <w:rFonts w:ascii="Century Gothic" w:hAnsi="Century Gothic" w:cs="Times New Roman"/>
          <w:sz w:val="24"/>
          <w:szCs w:val="24"/>
        </w:rPr>
        <w:t xml:space="preserve"> : </w:t>
      </w:r>
    </w:p>
    <w:p w14:paraId="5FAEAB80" w14:textId="77777777" w:rsidR="005625B5" w:rsidRPr="004B7252" w:rsidRDefault="005625B5" w:rsidP="005625B5">
      <w:pPr>
        <w:pStyle w:val="Paragraphedeliste"/>
        <w:numPr>
          <w:ilvl w:val="0"/>
          <w:numId w:val="38"/>
        </w:numPr>
        <w:spacing w:after="200" w:line="276" w:lineRule="auto"/>
        <w:jc w:val="both"/>
        <w:rPr>
          <w:rFonts w:ascii="Century Gothic" w:hAnsi="Century Gothic"/>
          <w:sz w:val="24"/>
          <w:szCs w:val="24"/>
        </w:rPr>
      </w:pPr>
      <w:r w:rsidRPr="004B7252">
        <w:rPr>
          <w:rFonts w:ascii="Century Gothic" w:hAnsi="Century Gothic"/>
          <w:b/>
          <w:bCs/>
          <w:sz w:val="24"/>
          <w:szCs w:val="24"/>
        </w:rPr>
        <w:t>Agriculture</w:t>
      </w:r>
      <w:r w:rsidRPr="004B7252">
        <w:rPr>
          <w:rFonts w:ascii="Century Gothic" w:hAnsi="Century Gothic"/>
          <w:sz w:val="24"/>
          <w:szCs w:val="24"/>
        </w:rPr>
        <w:t xml:space="preserve"> : La population locale cultive pendant l’hivernage et la saison froide le niébé, le sorgho, la pastèque, … autour de la zone humide.  </w:t>
      </w:r>
    </w:p>
    <w:p w14:paraId="4AF64323" w14:textId="77777777" w:rsidR="005625B5" w:rsidRPr="004B7252" w:rsidRDefault="005625B5" w:rsidP="005625B5">
      <w:pPr>
        <w:pStyle w:val="Paragraphedeliste"/>
        <w:numPr>
          <w:ilvl w:val="0"/>
          <w:numId w:val="38"/>
        </w:numPr>
        <w:spacing w:after="200" w:line="276" w:lineRule="auto"/>
        <w:jc w:val="both"/>
        <w:rPr>
          <w:rFonts w:ascii="Century Gothic" w:hAnsi="Century Gothic"/>
          <w:sz w:val="24"/>
          <w:szCs w:val="24"/>
        </w:rPr>
      </w:pPr>
      <w:r w:rsidRPr="004B7252">
        <w:rPr>
          <w:rFonts w:ascii="Century Gothic" w:hAnsi="Century Gothic"/>
          <w:b/>
          <w:bCs/>
          <w:sz w:val="24"/>
          <w:szCs w:val="24"/>
        </w:rPr>
        <w:t>Elevage</w:t>
      </w:r>
      <w:r w:rsidRPr="004B7252">
        <w:rPr>
          <w:rFonts w:ascii="Century Gothic" w:hAnsi="Century Gothic"/>
          <w:sz w:val="24"/>
          <w:szCs w:val="24"/>
        </w:rPr>
        <w:t xml:space="preserve"> : C’est un élevage extensif où les troupeaux viennent s’abreuver et pâturer dans la zone humide.   </w:t>
      </w:r>
    </w:p>
    <w:p w14:paraId="647A764C" w14:textId="77777777" w:rsidR="005625B5" w:rsidRPr="004B7252" w:rsidRDefault="005625B5" w:rsidP="005625B5">
      <w:pPr>
        <w:pStyle w:val="Paragraphedeliste"/>
        <w:numPr>
          <w:ilvl w:val="0"/>
          <w:numId w:val="38"/>
        </w:numPr>
        <w:spacing w:after="200" w:line="276" w:lineRule="auto"/>
        <w:jc w:val="both"/>
        <w:rPr>
          <w:rFonts w:ascii="Century Gothic" w:hAnsi="Century Gothic"/>
          <w:sz w:val="24"/>
          <w:szCs w:val="24"/>
        </w:rPr>
      </w:pPr>
      <w:r w:rsidRPr="004B7252">
        <w:rPr>
          <w:rFonts w:ascii="Century Gothic" w:hAnsi="Century Gothic"/>
          <w:b/>
          <w:bCs/>
          <w:sz w:val="24"/>
          <w:szCs w:val="24"/>
        </w:rPr>
        <w:t>Pêche</w:t>
      </w:r>
      <w:r w:rsidRPr="004B7252">
        <w:rPr>
          <w:rFonts w:ascii="Century Gothic" w:hAnsi="Century Gothic"/>
          <w:sz w:val="24"/>
          <w:szCs w:val="24"/>
        </w:rPr>
        <w:t xml:space="preserve"> : Elle est pratiquée par des pêcheurs venant d’ailleurs. Les produits de cette pêche sont vendus à la population locale qui n’a pas de connaissance en matière de pratique de la pêche. Cependant, elle consomme le poisson qu’elle achète aux pêcheurs.    </w:t>
      </w:r>
    </w:p>
    <w:p w14:paraId="4919209E" w14:textId="77777777" w:rsidR="005625B5" w:rsidRPr="004B7252" w:rsidRDefault="005625B5" w:rsidP="005625B5">
      <w:pPr>
        <w:pStyle w:val="Paragraphedeliste"/>
        <w:numPr>
          <w:ilvl w:val="0"/>
          <w:numId w:val="38"/>
        </w:numPr>
        <w:spacing w:after="200" w:line="276" w:lineRule="auto"/>
        <w:jc w:val="both"/>
        <w:rPr>
          <w:rFonts w:ascii="Century Gothic" w:hAnsi="Century Gothic"/>
          <w:sz w:val="24"/>
          <w:szCs w:val="24"/>
        </w:rPr>
      </w:pPr>
      <w:r w:rsidRPr="004B7252">
        <w:rPr>
          <w:rFonts w:ascii="Century Gothic" w:hAnsi="Century Gothic"/>
          <w:b/>
          <w:bCs/>
          <w:sz w:val="24"/>
          <w:szCs w:val="24"/>
        </w:rPr>
        <w:t>Foresterie</w:t>
      </w:r>
      <w:r w:rsidRPr="004B7252">
        <w:rPr>
          <w:rFonts w:ascii="Century Gothic" w:hAnsi="Century Gothic"/>
          <w:sz w:val="24"/>
          <w:szCs w:val="24"/>
        </w:rPr>
        <w:t xml:space="preserve"> : </w:t>
      </w:r>
      <w:r>
        <w:rPr>
          <w:rFonts w:ascii="Century Gothic" w:hAnsi="Century Gothic"/>
          <w:sz w:val="24"/>
          <w:szCs w:val="24"/>
        </w:rPr>
        <w:t>L</w:t>
      </w:r>
      <w:r w:rsidRPr="004B7252">
        <w:rPr>
          <w:rFonts w:ascii="Century Gothic" w:hAnsi="Century Gothic"/>
          <w:sz w:val="24"/>
          <w:szCs w:val="24"/>
        </w:rPr>
        <w:t xml:space="preserve">e bois est coupé pour faire des clôtures et le charbon de bois. </w:t>
      </w:r>
    </w:p>
    <w:p w14:paraId="64053386" w14:textId="77777777" w:rsidR="005625B5" w:rsidRPr="002C54EE" w:rsidRDefault="005625B5" w:rsidP="005625B5">
      <w:pPr>
        <w:numPr>
          <w:ilvl w:val="0"/>
          <w:numId w:val="37"/>
        </w:numPr>
        <w:tabs>
          <w:tab w:val="left" w:pos="426"/>
        </w:tabs>
        <w:spacing w:after="0" w:line="276" w:lineRule="auto"/>
        <w:jc w:val="both"/>
        <w:rPr>
          <w:rFonts w:ascii="Century Gothic" w:eastAsia="Times New Roman" w:hAnsi="Century Gothic" w:cs="Times New Roman"/>
          <w:sz w:val="24"/>
          <w:szCs w:val="24"/>
          <w:lang w:eastAsia="wo-SN"/>
        </w:rPr>
      </w:pPr>
      <w:r w:rsidRPr="001839C6">
        <w:rPr>
          <w:rFonts w:ascii="Century Gothic" w:hAnsi="Century Gothic" w:cs="Times New Roman"/>
          <w:sz w:val="24"/>
          <w:szCs w:val="24"/>
          <w:u w:val="single"/>
        </w:rPr>
        <w:t>Nom de zone humide</w:t>
      </w:r>
      <w:r w:rsidRPr="001839C6">
        <w:rPr>
          <w:rFonts w:ascii="Century Gothic" w:hAnsi="Century Gothic" w:cs="Times New Roman"/>
          <w:sz w:val="24"/>
          <w:szCs w:val="24"/>
        </w:rPr>
        <w:t xml:space="preserve"> : </w:t>
      </w:r>
      <w:r w:rsidRPr="001839C6">
        <w:rPr>
          <w:rFonts w:ascii="Century Gothic" w:hAnsi="Century Gothic" w:cs="Times New Roman"/>
          <w:b/>
          <w:bCs/>
          <w:sz w:val="24"/>
          <w:szCs w:val="24"/>
        </w:rPr>
        <w:t>Lac d’Aleg</w:t>
      </w:r>
      <w:r w:rsidRPr="001839C6">
        <w:rPr>
          <w:rFonts w:ascii="Century Gothic" w:hAnsi="Century Gothic" w:cs="Times New Roman"/>
          <w:sz w:val="24"/>
          <w:szCs w:val="24"/>
        </w:rPr>
        <w:t xml:space="preserve"> (</w:t>
      </w: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Aleg) </w:t>
      </w:r>
    </w:p>
    <w:p w14:paraId="36968BA0" w14:textId="77777777" w:rsidR="005625B5" w:rsidRPr="001839C6" w:rsidRDefault="005625B5" w:rsidP="005625B5">
      <w:pPr>
        <w:spacing w:line="276" w:lineRule="auto"/>
        <w:jc w:val="both"/>
        <w:rPr>
          <w:rFonts w:ascii="Century Gothic" w:hAnsi="Century Gothic" w:cs="Times New Roman"/>
          <w:sz w:val="24"/>
          <w:szCs w:val="24"/>
          <w:u w:val="single"/>
        </w:rPr>
      </w:pPr>
    </w:p>
    <w:p w14:paraId="48773AD6"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(17°7'32.47’’N ; 14°1'4.87’’O)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xml:space="preserve"> : 10 mois </w:t>
      </w:r>
    </w:p>
    <w:p w14:paraId="2119090C"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2558C5E7" wp14:editId="4BBA2E13">
            <wp:extent cx="2515380" cy="1582310"/>
            <wp:effectExtent l="0" t="0" r="0" b="0"/>
            <wp:docPr id="51" name="Image 54" descr="E:\Desktop\ZH\Images ZH\LAC DALEG\DJI_079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4" descr="E:\Desktop\ZH\Images ZH\LAC DALEG\DJI_0793.JPG"/>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40553" cy="1598145"/>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58760E5D" wp14:editId="5B42FB38">
            <wp:extent cx="3561856" cy="1685676"/>
            <wp:effectExtent l="0" t="0" r="635" b="0"/>
            <wp:docPr id="52" name="Image 53" descr="E:\Desktop\ZH\Cartes des activités\Ale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3" descr="E:\Desktop\ZH\Cartes des activités\Aleg.jpg"/>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590314" cy="1699144"/>
                    </a:xfrm>
                    <a:prstGeom prst="rect">
                      <a:avLst/>
                    </a:prstGeom>
                    <a:noFill/>
                    <a:ln>
                      <a:noFill/>
                    </a:ln>
                  </pic:spPr>
                </pic:pic>
              </a:graphicData>
            </a:graphic>
          </wp:inline>
        </w:drawing>
      </w:r>
    </w:p>
    <w:p w14:paraId="587CDB03"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 xml:space="preserve">Cartes des activités de restauration de la zone humide Lac d’Aleg </w:t>
      </w:r>
    </w:p>
    <w:p w14:paraId="48EAF122"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rPr>
        <w:t>Ressources naturelles (Biodivesité</w:t>
      </w:r>
      <w:proofErr w:type="gramStart"/>
      <w:r w:rsidRPr="001839C6">
        <w:rPr>
          <w:rFonts w:ascii="Century Gothic" w:hAnsi="Century Gothic" w:cs="Times New Roman"/>
          <w:sz w:val="24"/>
          <w:szCs w:val="24"/>
        </w:rPr>
        <w:t>):</w:t>
      </w:r>
      <w:proofErr w:type="gramEnd"/>
      <w:r w:rsidRPr="001839C6">
        <w:rPr>
          <w:rFonts w:ascii="Century Gothic" w:hAnsi="Century Gothic" w:cs="Times New Roman"/>
          <w:sz w:val="24"/>
          <w:szCs w:val="24"/>
        </w:rPr>
        <w:t xml:space="preserve"> </w:t>
      </w:r>
    </w:p>
    <w:p w14:paraId="78318688" w14:textId="77777777" w:rsidR="005625B5" w:rsidRPr="002C54EE" w:rsidRDefault="005625B5" w:rsidP="005625B5">
      <w:pPr>
        <w:pStyle w:val="Paragraphedeliste"/>
        <w:spacing w:line="276" w:lineRule="auto"/>
        <w:ind w:hanging="360"/>
        <w:jc w:val="both"/>
        <w:rPr>
          <w:rFonts w:ascii="Century Gothic" w:hAnsi="Century Gothic" w:cs="Times New Roman"/>
          <w:sz w:val="24"/>
          <w:szCs w:val="24"/>
        </w:rPr>
      </w:pPr>
      <w:r w:rsidRPr="002C54EE">
        <w:rPr>
          <w:rFonts w:ascii="Century Gothic" w:hAnsi="Century Gothic" w:cs="Times New Roman"/>
          <w:sz w:val="24"/>
          <w:szCs w:val="24"/>
        </w:rPr>
        <w:t xml:space="preserve">Ressources aquatiques : Plantes aquatiques (+) ; poisson (+)  </w:t>
      </w:r>
    </w:p>
    <w:p w14:paraId="1F02FFCD" w14:textId="77777777" w:rsidR="005625B5" w:rsidRPr="002C54EE" w:rsidRDefault="005625B5" w:rsidP="005625B5">
      <w:pPr>
        <w:pStyle w:val="Paragraphedeliste"/>
        <w:spacing w:line="276" w:lineRule="auto"/>
        <w:ind w:hanging="360"/>
        <w:jc w:val="both"/>
        <w:rPr>
          <w:rFonts w:ascii="Century Gothic" w:hAnsi="Century Gothic" w:cs="Times New Roman"/>
          <w:sz w:val="24"/>
          <w:szCs w:val="24"/>
        </w:rPr>
      </w:pPr>
      <w:r w:rsidRPr="002C54EE">
        <w:rPr>
          <w:rFonts w:ascii="Century Gothic" w:hAnsi="Century Gothic" w:cs="Times New Roman"/>
          <w:sz w:val="24"/>
          <w:szCs w:val="24"/>
        </w:rPr>
        <w:t>Ressources forestières : Acacias (+) ; Balanites (+) ; Bauhinia (+) ; …</w:t>
      </w:r>
    </w:p>
    <w:p w14:paraId="511C20A1" w14:textId="77777777" w:rsidR="005625B5" w:rsidRPr="002C54EE" w:rsidRDefault="005625B5" w:rsidP="005625B5">
      <w:pPr>
        <w:pStyle w:val="Paragraphedeliste"/>
        <w:spacing w:line="276" w:lineRule="auto"/>
        <w:ind w:hanging="360"/>
        <w:jc w:val="both"/>
        <w:rPr>
          <w:rFonts w:ascii="Century Gothic" w:hAnsi="Century Gothic" w:cs="Times New Roman"/>
          <w:sz w:val="24"/>
          <w:szCs w:val="24"/>
        </w:rPr>
      </w:pPr>
      <w:r w:rsidRPr="002C54EE">
        <w:rPr>
          <w:rFonts w:ascii="Century Gothic" w:hAnsi="Century Gothic" w:cs="Times New Roman"/>
          <w:sz w:val="24"/>
          <w:szCs w:val="24"/>
        </w:rPr>
        <w:t>Ressources fauniques : Faune sauvage (+) ; avifaune (+) </w:t>
      </w:r>
    </w:p>
    <w:p w14:paraId="3F1CB36E" w14:textId="77777777" w:rsidR="005625B5" w:rsidRPr="002C54EE" w:rsidRDefault="005625B5" w:rsidP="005625B5">
      <w:pPr>
        <w:spacing w:line="276" w:lineRule="auto"/>
        <w:jc w:val="both"/>
        <w:rPr>
          <w:rFonts w:ascii="Century Gothic" w:hAnsi="Century Gothic" w:cs="Times New Roman"/>
          <w:sz w:val="24"/>
          <w:szCs w:val="24"/>
        </w:rPr>
      </w:pPr>
      <w:r w:rsidRPr="002C54EE">
        <w:rPr>
          <w:rFonts w:ascii="Century Gothic" w:hAnsi="Century Gothic" w:cs="Times New Roman"/>
          <w:sz w:val="24"/>
          <w:szCs w:val="24"/>
          <w:u w:val="single"/>
        </w:rPr>
        <w:t>Activités socioéconomiques</w:t>
      </w:r>
      <w:r w:rsidRPr="002C54EE">
        <w:rPr>
          <w:rFonts w:ascii="Century Gothic" w:hAnsi="Century Gothic" w:cs="Times New Roman"/>
          <w:sz w:val="24"/>
          <w:szCs w:val="24"/>
        </w:rPr>
        <w:t xml:space="preserve"> : </w:t>
      </w:r>
    </w:p>
    <w:p w14:paraId="4B1C4EDD" w14:textId="77777777" w:rsidR="005625B5" w:rsidRPr="002C54EE" w:rsidRDefault="005625B5" w:rsidP="005625B5">
      <w:pPr>
        <w:pStyle w:val="Paragraphedeliste"/>
        <w:numPr>
          <w:ilvl w:val="0"/>
          <w:numId w:val="40"/>
        </w:numPr>
        <w:spacing w:after="200" w:line="276" w:lineRule="auto"/>
        <w:jc w:val="both"/>
        <w:rPr>
          <w:rFonts w:ascii="Century Gothic" w:hAnsi="Century Gothic" w:cs="Times New Roman"/>
          <w:sz w:val="24"/>
          <w:szCs w:val="24"/>
        </w:rPr>
      </w:pPr>
      <w:r w:rsidRPr="002C54EE">
        <w:rPr>
          <w:rFonts w:ascii="Century Gothic" w:hAnsi="Century Gothic" w:cs="Times New Roman"/>
          <w:b/>
          <w:bCs/>
          <w:sz w:val="24"/>
          <w:szCs w:val="24"/>
        </w:rPr>
        <w:t>Agriculture</w:t>
      </w:r>
      <w:r w:rsidRPr="002C54EE">
        <w:rPr>
          <w:rFonts w:ascii="Century Gothic" w:hAnsi="Century Gothic" w:cs="Times New Roman"/>
          <w:sz w:val="24"/>
          <w:szCs w:val="24"/>
        </w:rPr>
        <w:t xml:space="preserve"> : Culture de niébé, sorgho, cucurbitacées (Cherkach) autour de la zone humide.  </w:t>
      </w:r>
    </w:p>
    <w:p w14:paraId="180A4E34" w14:textId="77777777" w:rsidR="005625B5" w:rsidRPr="002C54EE" w:rsidRDefault="005625B5" w:rsidP="005625B5">
      <w:pPr>
        <w:pStyle w:val="Paragraphedeliste"/>
        <w:numPr>
          <w:ilvl w:val="0"/>
          <w:numId w:val="40"/>
        </w:numPr>
        <w:spacing w:after="200" w:line="276" w:lineRule="auto"/>
        <w:jc w:val="both"/>
        <w:rPr>
          <w:rFonts w:ascii="Century Gothic" w:hAnsi="Century Gothic" w:cs="Times New Roman"/>
          <w:sz w:val="24"/>
          <w:szCs w:val="24"/>
        </w:rPr>
      </w:pPr>
      <w:r w:rsidRPr="002C54EE">
        <w:rPr>
          <w:rFonts w:ascii="Century Gothic" w:hAnsi="Century Gothic" w:cs="Times New Roman"/>
          <w:b/>
          <w:bCs/>
          <w:sz w:val="24"/>
          <w:szCs w:val="24"/>
        </w:rPr>
        <w:t>Elevage</w:t>
      </w:r>
      <w:r w:rsidRPr="002C54EE">
        <w:rPr>
          <w:rFonts w:ascii="Century Gothic" w:hAnsi="Century Gothic" w:cs="Times New Roman"/>
          <w:sz w:val="24"/>
          <w:szCs w:val="24"/>
        </w:rPr>
        <w:t xml:space="preserve"> : C’est un élevage extensif où les troupeaux viennent s’abreuver et pâturer dans la zone humide.   </w:t>
      </w:r>
    </w:p>
    <w:p w14:paraId="5E66D32A" w14:textId="77777777" w:rsidR="005625B5" w:rsidRPr="002C54EE" w:rsidRDefault="005625B5" w:rsidP="005625B5">
      <w:pPr>
        <w:pStyle w:val="Paragraphedeliste"/>
        <w:numPr>
          <w:ilvl w:val="0"/>
          <w:numId w:val="40"/>
        </w:numPr>
        <w:spacing w:after="200" w:line="276" w:lineRule="auto"/>
        <w:jc w:val="both"/>
        <w:rPr>
          <w:rFonts w:ascii="Century Gothic" w:hAnsi="Century Gothic" w:cs="Times New Roman"/>
          <w:sz w:val="24"/>
          <w:szCs w:val="24"/>
        </w:rPr>
      </w:pPr>
      <w:r w:rsidRPr="002C54EE">
        <w:rPr>
          <w:rFonts w:ascii="Century Gothic" w:hAnsi="Century Gothic" w:cs="Times New Roman"/>
          <w:b/>
          <w:bCs/>
          <w:sz w:val="24"/>
          <w:szCs w:val="24"/>
        </w:rPr>
        <w:t>Pêche</w:t>
      </w:r>
      <w:r w:rsidRPr="002C54EE">
        <w:rPr>
          <w:rFonts w:ascii="Century Gothic" w:hAnsi="Century Gothic" w:cs="Times New Roman"/>
          <w:sz w:val="24"/>
          <w:szCs w:val="24"/>
        </w:rPr>
        <w:t xml:space="preserve"> : Il n’y a pas de pêche depuis deux ans.    </w:t>
      </w:r>
    </w:p>
    <w:p w14:paraId="29BFEDE4" w14:textId="77777777" w:rsidR="005625B5" w:rsidRPr="002C54EE" w:rsidRDefault="005625B5" w:rsidP="005625B5">
      <w:pPr>
        <w:pStyle w:val="Paragraphedeliste"/>
        <w:numPr>
          <w:ilvl w:val="0"/>
          <w:numId w:val="40"/>
        </w:numPr>
        <w:spacing w:after="200" w:line="276" w:lineRule="auto"/>
        <w:jc w:val="both"/>
        <w:rPr>
          <w:rFonts w:ascii="Century Gothic" w:hAnsi="Century Gothic" w:cs="Times New Roman"/>
          <w:sz w:val="24"/>
          <w:szCs w:val="24"/>
        </w:rPr>
      </w:pPr>
      <w:r w:rsidRPr="002C54EE">
        <w:rPr>
          <w:rFonts w:ascii="Century Gothic" w:hAnsi="Century Gothic" w:cs="Times New Roman"/>
          <w:b/>
          <w:bCs/>
          <w:sz w:val="24"/>
          <w:szCs w:val="24"/>
        </w:rPr>
        <w:t>Foresterie</w:t>
      </w:r>
      <w:r w:rsidRPr="002C54EE">
        <w:rPr>
          <w:rFonts w:ascii="Century Gothic" w:hAnsi="Century Gothic" w:cs="Times New Roman"/>
          <w:sz w:val="24"/>
          <w:szCs w:val="24"/>
        </w:rPr>
        <w:t xml:space="preserve"> : le bois est coupé pour faire des clôtures et le charbon de bois. </w:t>
      </w:r>
    </w:p>
    <w:p w14:paraId="4316126E"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40CDCE31" w14:textId="77777777" w:rsidR="005625B5" w:rsidRPr="002C54EE" w:rsidRDefault="005625B5" w:rsidP="005625B5">
      <w:pPr>
        <w:numPr>
          <w:ilvl w:val="0"/>
          <w:numId w:val="37"/>
        </w:numPr>
        <w:tabs>
          <w:tab w:val="left" w:pos="426"/>
        </w:tabs>
        <w:spacing w:after="0" w:line="276" w:lineRule="auto"/>
        <w:jc w:val="both"/>
        <w:rPr>
          <w:rFonts w:ascii="Century Gothic" w:eastAsia="Times New Roman" w:hAnsi="Century Gothic" w:cs="Times New Roman"/>
          <w:sz w:val="24"/>
          <w:szCs w:val="24"/>
          <w:lang w:eastAsia="wo-SN"/>
        </w:rPr>
      </w:pPr>
      <w:r w:rsidRPr="001839C6">
        <w:rPr>
          <w:rFonts w:ascii="Century Gothic" w:hAnsi="Century Gothic" w:cs="Times New Roman"/>
          <w:sz w:val="24"/>
          <w:szCs w:val="24"/>
          <w:u w:val="single"/>
        </w:rPr>
        <w:br w:type="page"/>
        <w:t>Nom de zone humide</w:t>
      </w:r>
      <w:r w:rsidRPr="001839C6">
        <w:rPr>
          <w:rFonts w:ascii="Century Gothic" w:hAnsi="Century Gothic" w:cs="Times New Roman"/>
          <w:sz w:val="24"/>
          <w:szCs w:val="24"/>
        </w:rPr>
        <w:t xml:space="preserve"> : </w:t>
      </w:r>
      <w:r w:rsidRPr="001839C6">
        <w:rPr>
          <w:rFonts w:ascii="Century Gothic" w:hAnsi="Century Gothic" w:cs="Times New Roman"/>
          <w:b/>
          <w:bCs/>
          <w:sz w:val="24"/>
          <w:szCs w:val="24"/>
        </w:rPr>
        <w:t>Lac de Maal</w:t>
      </w:r>
      <w:r w:rsidRPr="001839C6">
        <w:rPr>
          <w:rFonts w:ascii="Century Gothic" w:hAnsi="Century Gothic" w:cs="Times New Roman"/>
          <w:sz w:val="24"/>
          <w:szCs w:val="24"/>
        </w:rPr>
        <w:t> (</w:t>
      </w: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Maal) </w:t>
      </w:r>
    </w:p>
    <w:p w14:paraId="326C0B8A" w14:textId="77777777" w:rsidR="005625B5" w:rsidRPr="001839C6" w:rsidRDefault="005625B5" w:rsidP="005625B5">
      <w:pPr>
        <w:spacing w:line="276" w:lineRule="auto"/>
        <w:jc w:val="both"/>
        <w:rPr>
          <w:rFonts w:ascii="Century Gothic" w:hAnsi="Century Gothic" w:cs="Times New Roman"/>
          <w:sz w:val="24"/>
          <w:szCs w:val="24"/>
          <w:u w:val="single"/>
        </w:rPr>
      </w:pPr>
    </w:p>
    <w:p w14:paraId="76036986"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(16°56'21.40’’N ; 13°22'5.74’’O)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xml:space="preserve"> : Permanent </w:t>
      </w:r>
    </w:p>
    <w:p w14:paraId="7BF422F3" w14:textId="77777777" w:rsidR="005625B5" w:rsidRPr="001839C6" w:rsidRDefault="005625B5" w:rsidP="005625B5">
      <w:pPr>
        <w:spacing w:line="276" w:lineRule="auto"/>
        <w:jc w:val="both"/>
        <w:rPr>
          <w:rFonts w:ascii="Century Gothic" w:hAnsi="Century Gothic" w:cs="Times New Roman"/>
          <w:sz w:val="24"/>
          <w:szCs w:val="24"/>
        </w:rPr>
      </w:pPr>
    </w:p>
    <w:p w14:paraId="5FEDCC6C"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7CAB8F92" wp14:editId="5CAFC627">
            <wp:extent cx="2553970" cy="3930015"/>
            <wp:effectExtent l="0" t="0" r="0" b="0"/>
            <wp:docPr id="53" name="Image 52" descr="E:\Desktop\ZH\Images ZH\MAL\DJI_07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2" descr="E:\Desktop\ZH\Images ZH\MAL\DJI_0737.JPG"/>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53970" cy="3930015"/>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5E51B895" wp14:editId="002313FC">
            <wp:extent cx="3330575" cy="3940175"/>
            <wp:effectExtent l="0" t="0" r="0" b="0"/>
            <wp:docPr id="54" name="Image 51" descr="E:\Desktop\ZH\Cartes des activités\Mal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1" descr="E:\Desktop\ZH\Cartes des activités\Male.jpg"/>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30575" cy="3940175"/>
                    </a:xfrm>
                    <a:prstGeom prst="rect">
                      <a:avLst/>
                    </a:prstGeom>
                    <a:noFill/>
                    <a:ln>
                      <a:noFill/>
                    </a:ln>
                  </pic:spPr>
                </pic:pic>
              </a:graphicData>
            </a:graphic>
          </wp:inline>
        </w:drawing>
      </w:r>
    </w:p>
    <w:p w14:paraId="40C826B9"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 xml:space="preserve">Cartes des activités de restauration de la zone humide Lac de Maal </w:t>
      </w:r>
    </w:p>
    <w:p w14:paraId="598258BA"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rPr>
        <w:t>Ressources naturelles (Biodive</w:t>
      </w:r>
      <w:r>
        <w:rPr>
          <w:rFonts w:ascii="Century Gothic" w:hAnsi="Century Gothic" w:cs="Times New Roman"/>
          <w:sz w:val="24"/>
          <w:szCs w:val="24"/>
        </w:rPr>
        <w:t>r</w:t>
      </w:r>
      <w:r w:rsidRPr="001839C6">
        <w:rPr>
          <w:rFonts w:ascii="Century Gothic" w:hAnsi="Century Gothic" w:cs="Times New Roman"/>
          <w:sz w:val="24"/>
          <w:szCs w:val="24"/>
        </w:rPr>
        <w:t>sité</w:t>
      </w:r>
      <w:proofErr w:type="gramStart"/>
      <w:r w:rsidRPr="001839C6">
        <w:rPr>
          <w:rFonts w:ascii="Century Gothic" w:hAnsi="Century Gothic" w:cs="Times New Roman"/>
          <w:sz w:val="24"/>
          <w:szCs w:val="24"/>
        </w:rPr>
        <w:t>):</w:t>
      </w:r>
      <w:proofErr w:type="gramEnd"/>
      <w:r w:rsidRPr="001839C6">
        <w:rPr>
          <w:rFonts w:ascii="Century Gothic" w:hAnsi="Century Gothic" w:cs="Times New Roman"/>
          <w:sz w:val="24"/>
          <w:szCs w:val="24"/>
        </w:rPr>
        <w:t xml:space="preserve"> </w:t>
      </w:r>
    </w:p>
    <w:p w14:paraId="7892C962" w14:textId="77777777" w:rsidR="005625B5" w:rsidRPr="002C54EE" w:rsidRDefault="005625B5" w:rsidP="005625B5">
      <w:pPr>
        <w:pStyle w:val="Paragraphedeliste"/>
        <w:spacing w:line="276" w:lineRule="auto"/>
        <w:ind w:hanging="360"/>
        <w:jc w:val="both"/>
        <w:rPr>
          <w:rFonts w:ascii="Century Gothic" w:hAnsi="Century Gothic" w:cs="Times New Roman"/>
          <w:sz w:val="24"/>
          <w:szCs w:val="24"/>
        </w:rPr>
      </w:pPr>
      <w:r w:rsidRPr="002C54EE">
        <w:rPr>
          <w:rFonts w:ascii="Century Gothic" w:hAnsi="Century Gothic" w:cs="Times New Roman"/>
          <w:sz w:val="24"/>
          <w:szCs w:val="24"/>
        </w:rPr>
        <w:t xml:space="preserve">Ressources aquatiques : Plantes aquatiques (+) ; poisson (+)  </w:t>
      </w:r>
    </w:p>
    <w:p w14:paraId="3244B16F" w14:textId="77777777" w:rsidR="005625B5" w:rsidRPr="002C54EE" w:rsidRDefault="005625B5" w:rsidP="005625B5">
      <w:pPr>
        <w:pStyle w:val="Paragraphedeliste"/>
        <w:spacing w:line="276" w:lineRule="auto"/>
        <w:ind w:hanging="360"/>
        <w:jc w:val="both"/>
        <w:rPr>
          <w:rFonts w:ascii="Century Gothic" w:hAnsi="Century Gothic" w:cs="Times New Roman"/>
          <w:sz w:val="24"/>
          <w:szCs w:val="24"/>
        </w:rPr>
      </w:pPr>
      <w:r w:rsidRPr="002C54EE">
        <w:rPr>
          <w:rFonts w:ascii="Century Gothic" w:hAnsi="Century Gothic" w:cs="Times New Roman"/>
          <w:sz w:val="24"/>
          <w:szCs w:val="24"/>
        </w:rPr>
        <w:t>Ressources forestières : Acacias (+) ; Balanites (+) ; Bauhinia (+) ; Prosopis (+), …</w:t>
      </w:r>
    </w:p>
    <w:p w14:paraId="1057BA7B" w14:textId="77777777" w:rsidR="005625B5" w:rsidRPr="002C54EE" w:rsidRDefault="005625B5" w:rsidP="005625B5">
      <w:pPr>
        <w:pStyle w:val="Paragraphedeliste"/>
        <w:spacing w:line="276" w:lineRule="auto"/>
        <w:ind w:hanging="360"/>
        <w:jc w:val="both"/>
        <w:rPr>
          <w:rFonts w:ascii="Century Gothic" w:hAnsi="Century Gothic" w:cs="Times New Roman"/>
          <w:sz w:val="24"/>
          <w:szCs w:val="24"/>
        </w:rPr>
      </w:pPr>
      <w:r w:rsidRPr="002C54EE">
        <w:rPr>
          <w:rFonts w:ascii="Century Gothic" w:hAnsi="Century Gothic" w:cs="Times New Roman"/>
          <w:sz w:val="24"/>
          <w:szCs w:val="24"/>
        </w:rPr>
        <w:t>Ressources fauniques : Faune sauvage (+) ; avifaune (+) </w:t>
      </w:r>
    </w:p>
    <w:p w14:paraId="1099BB48" w14:textId="77777777" w:rsidR="005625B5" w:rsidRPr="002C54EE" w:rsidRDefault="005625B5" w:rsidP="005625B5">
      <w:pPr>
        <w:spacing w:line="276" w:lineRule="auto"/>
        <w:jc w:val="both"/>
        <w:rPr>
          <w:rFonts w:ascii="Century Gothic" w:hAnsi="Century Gothic" w:cs="Times New Roman"/>
          <w:sz w:val="24"/>
          <w:szCs w:val="24"/>
        </w:rPr>
      </w:pPr>
      <w:r w:rsidRPr="002C54EE">
        <w:rPr>
          <w:rFonts w:ascii="Century Gothic" w:hAnsi="Century Gothic" w:cs="Times New Roman"/>
          <w:sz w:val="24"/>
          <w:szCs w:val="24"/>
          <w:u w:val="single"/>
        </w:rPr>
        <w:t>Activités socioéconomiques</w:t>
      </w:r>
      <w:r w:rsidRPr="002C54EE">
        <w:rPr>
          <w:rFonts w:ascii="Century Gothic" w:hAnsi="Century Gothic" w:cs="Times New Roman"/>
          <w:sz w:val="24"/>
          <w:szCs w:val="24"/>
        </w:rPr>
        <w:t xml:space="preserve"> : </w:t>
      </w:r>
    </w:p>
    <w:p w14:paraId="74B26E47" w14:textId="77777777" w:rsidR="005625B5" w:rsidRPr="002C54EE" w:rsidRDefault="005625B5" w:rsidP="005625B5">
      <w:pPr>
        <w:pStyle w:val="Paragraphedeliste"/>
        <w:numPr>
          <w:ilvl w:val="0"/>
          <w:numId w:val="40"/>
        </w:numPr>
        <w:spacing w:after="200" w:line="276" w:lineRule="auto"/>
        <w:jc w:val="both"/>
        <w:rPr>
          <w:rFonts w:ascii="Century Gothic" w:hAnsi="Century Gothic" w:cs="Times New Roman"/>
          <w:sz w:val="24"/>
          <w:szCs w:val="24"/>
        </w:rPr>
      </w:pPr>
      <w:r w:rsidRPr="002C54EE">
        <w:rPr>
          <w:rFonts w:ascii="Century Gothic" w:hAnsi="Century Gothic" w:cs="Times New Roman"/>
          <w:b/>
          <w:bCs/>
          <w:sz w:val="24"/>
          <w:szCs w:val="24"/>
        </w:rPr>
        <w:t>Agriculture</w:t>
      </w:r>
      <w:r w:rsidRPr="002C54EE">
        <w:rPr>
          <w:rFonts w:ascii="Century Gothic" w:hAnsi="Century Gothic" w:cs="Times New Roman"/>
          <w:sz w:val="24"/>
          <w:szCs w:val="24"/>
        </w:rPr>
        <w:t xml:space="preserve"> : Culture de niébé, sorgho, cucurbitacées (Cherkach) autour de la zone humide.  </w:t>
      </w:r>
    </w:p>
    <w:p w14:paraId="7C3D91AD" w14:textId="77777777" w:rsidR="005625B5" w:rsidRPr="002C54EE" w:rsidRDefault="005625B5" w:rsidP="005625B5">
      <w:pPr>
        <w:pStyle w:val="Paragraphedeliste"/>
        <w:numPr>
          <w:ilvl w:val="0"/>
          <w:numId w:val="40"/>
        </w:numPr>
        <w:spacing w:after="200" w:line="276" w:lineRule="auto"/>
        <w:jc w:val="both"/>
        <w:rPr>
          <w:rFonts w:ascii="Century Gothic" w:hAnsi="Century Gothic" w:cs="Times New Roman"/>
          <w:sz w:val="24"/>
          <w:szCs w:val="24"/>
        </w:rPr>
      </w:pPr>
      <w:r w:rsidRPr="002C54EE">
        <w:rPr>
          <w:rFonts w:ascii="Century Gothic" w:hAnsi="Century Gothic" w:cs="Times New Roman"/>
          <w:b/>
          <w:bCs/>
          <w:sz w:val="24"/>
          <w:szCs w:val="24"/>
        </w:rPr>
        <w:t>Elevage</w:t>
      </w:r>
      <w:r w:rsidRPr="002C54EE">
        <w:rPr>
          <w:rFonts w:ascii="Century Gothic" w:hAnsi="Century Gothic" w:cs="Times New Roman"/>
          <w:sz w:val="24"/>
          <w:szCs w:val="24"/>
        </w:rPr>
        <w:t xml:space="preserve"> : Les éleveurs transportent l’eau dans des citernes pour abreuver leurs troupeaux dans les zones de pâturage.   </w:t>
      </w:r>
    </w:p>
    <w:p w14:paraId="610A8BA9" w14:textId="77777777" w:rsidR="005625B5" w:rsidRPr="002C54EE" w:rsidRDefault="005625B5" w:rsidP="005625B5">
      <w:pPr>
        <w:pStyle w:val="Paragraphedeliste"/>
        <w:numPr>
          <w:ilvl w:val="0"/>
          <w:numId w:val="40"/>
        </w:numPr>
        <w:spacing w:after="200" w:line="276" w:lineRule="auto"/>
        <w:jc w:val="both"/>
        <w:rPr>
          <w:rFonts w:ascii="Century Gothic" w:hAnsi="Century Gothic" w:cs="Times New Roman"/>
          <w:sz w:val="24"/>
          <w:szCs w:val="24"/>
        </w:rPr>
      </w:pPr>
      <w:r w:rsidRPr="002C54EE">
        <w:rPr>
          <w:rFonts w:ascii="Century Gothic" w:hAnsi="Century Gothic" w:cs="Times New Roman"/>
          <w:b/>
          <w:bCs/>
          <w:sz w:val="24"/>
          <w:szCs w:val="24"/>
        </w:rPr>
        <w:t>Pêche</w:t>
      </w:r>
      <w:r w:rsidRPr="002C54EE">
        <w:rPr>
          <w:rFonts w:ascii="Century Gothic" w:hAnsi="Century Gothic" w:cs="Times New Roman"/>
          <w:sz w:val="24"/>
          <w:szCs w:val="24"/>
        </w:rPr>
        <w:t xml:space="preserve"> : Elle est pratiquée par la population locale qui en tire des revenus supplémentaires considérables.    </w:t>
      </w:r>
    </w:p>
    <w:p w14:paraId="6C9CCF4C" w14:textId="77777777" w:rsidR="005625B5" w:rsidRDefault="005625B5" w:rsidP="005625B5">
      <w:pPr>
        <w:pStyle w:val="Paragraphedeliste"/>
        <w:numPr>
          <w:ilvl w:val="0"/>
          <w:numId w:val="40"/>
        </w:numPr>
        <w:spacing w:after="200" w:line="276" w:lineRule="auto"/>
        <w:jc w:val="both"/>
        <w:rPr>
          <w:rFonts w:ascii="Century Gothic" w:hAnsi="Century Gothic" w:cs="Times New Roman"/>
          <w:sz w:val="24"/>
          <w:szCs w:val="24"/>
        </w:rPr>
      </w:pPr>
      <w:r w:rsidRPr="002C54EE">
        <w:rPr>
          <w:rFonts w:ascii="Century Gothic" w:hAnsi="Century Gothic" w:cs="Times New Roman"/>
          <w:b/>
          <w:bCs/>
          <w:sz w:val="24"/>
          <w:szCs w:val="24"/>
        </w:rPr>
        <w:t>Foresterie</w:t>
      </w:r>
      <w:r w:rsidRPr="002C54EE">
        <w:rPr>
          <w:rFonts w:ascii="Century Gothic" w:hAnsi="Century Gothic" w:cs="Times New Roman"/>
          <w:sz w:val="24"/>
          <w:szCs w:val="24"/>
        </w:rPr>
        <w:t xml:space="preserve"> : </w:t>
      </w:r>
      <w:r>
        <w:rPr>
          <w:rFonts w:ascii="Century Gothic" w:hAnsi="Century Gothic" w:cs="Times New Roman"/>
          <w:sz w:val="24"/>
          <w:szCs w:val="24"/>
        </w:rPr>
        <w:t>L</w:t>
      </w:r>
      <w:r w:rsidRPr="002C54EE">
        <w:rPr>
          <w:rFonts w:ascii="Century Gothic" w:hAnsi="Century Gothic" w:cs="Times New Roman"/>
          <w:sz w:val="24"/>
          <w:szCs w:val="24"/>
        </w:rPr>
        <w:t xml:space="preserve">e bois est coupé pour faire des clôtures et le charbon de bois. </w:t>
      </w:r>
    </w:p>
    <w:p w14:paraId="56C98EF1" w14:textId="77777777" w:rsidR="005625B5" w:rsidRPr="009C6D72" w:rsidRDefault="005625B5" w:rsidP="005625B5">
      <w:pPr>
        <w:pStyle w:val="Paragraphedeliste"/>
        <w:spacing w:after="200" w:line="276" w:lineRule="auto"/>
        <w:ind w:left="0"/>
        <w:jc w:val="both"/>
        <w:rPr>
          <w:rFonts w:ascii="Century Gothic" w:hAnsi="Century Gothic" w:cs="Times New Roman"/>
          <w:b/>
          <w:bCs/>
          <w:sz w:val="24"/>
          <w:szCs w:val="24"/>
        </w:rPr>
      </w:pPr>
      <w:r>
        <w:rPr>
          <w:rFonts w:ascii="Century Gothic" w:hAnsi="Century Gothic" w:cs="Times New Roman"/>
          <w:b/>
          <w:bCs/>
          <w:sz w:val="24"/>
          <w:szCs w:val="24"/>
        </w:rPr>
        <w:br w:type="page"/>
      </w:r>
      <w:r w:rsidRPr="009C6D72">
        <w:rPr>
          <w:rFonts w:ascii="Century Gothic" w:hAnsi="Century Gothic" w:cs="Times New Roman"/>
          <w:b/>
          <w:bCs/>
          <w:sz w:val="24"/>
          <w:szCs w:val="24"/>
        </w:rPr>
        <w:t xml:space="preserve">Wilaya du Gorgol : </w:t>
      </w:r>
    </w:p>
    <w:p w14:paraId="0D7DA8F8" w14:textId="77777777" w:rsidR="005625B5" w:rsidRDefault="005625B5" w:rsidP="005625B5">
      <w:pPr>
        <w:pStyle w:val="Paragraphedeliste"/>
        <w:spacing w:after="200" w:line="276" w:lineRule="auto"/>
        <w:ind w:left="0"/>
        <w:jc w:val="both"/>
        <w:rPr>
          <w:rFonts w:ascii="Century Gothic" w:hAnsi="Century Gothic" w:cs="Times New Roman"/>
          <w:sz w:val="24"/>
          <w:szCs w:val="24"/>
        </w:rPr>
      </w:pPr>
    </w:p>
    <w:p w14:paraId="28C7D769" w14:textId="77777777" w:rsidR="005625B5" w:rsidRPr="009824E5" w:rsidRDefault="005625B5" w:rsidP="005625B5">
      <w:pPr>
        <w:pStyle w:val="Paragraphedeliste"/>
        <w:numPr>
          <w:ilvl w:val="0"/>
          <w:numId w:val="37"/>
        </w:numPr>
        <w:spacing w:after="200" w:line="276" w:lineRule="auto"/>
        <w:jc w:val="both"/>
        <w:rPr>
          <w:rFonts w:ascii="Century Gothic" w:hAnsi="Century Gothic" w:cs="Times New Roman"/>
          <w:sz w:val="24"/>
          <w:szCs w:val="24"/>
        </w:rPr>
      </w:pPr>
      <w:r w:rsidRPr="009824E5">
        <w:rPr>
          <w:rFonts w:ascii="Century Gothic" w:hAnsi="Century Gothic" w:cs="Times New Roman"/>
          <w:sz w:val="24"/>
          <w:szCs w:val="24"/>
          <w:u w:val="single"/>
        </w:rPr>
        <w:t>Nom de zone humide</w:t>
      </w:r>
      <w:r w:rsidRPr="009824E5">
        <w:rPr>
          <w:rFonts w:ascii="Century Gothic" w:hAnsi="Century Gothic" w:cs="Times New Roman"/>
          <w:sz w:val="24"/>
          <w:szCs w:val="24"/>
        </w:rPr>
        <w:t xml:space="preserve"> : </w:t>
      </w:r>
      <w:r w:rsidRPr="009824E5">
        <w:rPr>
          <w:rFonts w:ascii="Century Gothic" w:hAnsi="Century Gothic" w:cs="Times New Roman"/>
          <w:b/>
          <w:bCs/>
          <w:sz w:val="24"/>
          <w:szCs w:val="24"/>
        </w:rPr>
        <w:t>Bona Indai</w:t>
      </w:r>
      <w:r w:rsidRPr="009824E5">
        <w:rPr>
          <w:rFonts w:ascii="Century Gothic" w:hAnsi="Century Gothic" w:cs="Times New Roman"/>
          <w:sz w:val="24"/>
          <w:szCs w:val="24"/>
        </w:rPr>
        <w:t xml:space="preserve"> </w:t>
      </w:r>
      <w:r>
        <w:rPr>
          <w:rFonts w:ascii="Century Gothic" w:hAnsi="Century Gothic" w:cs="Times New Roman"/>
          <w:sz w:val="24"/>
          <w:szCs w:val="24"/>
        </w:rPr>
        <w:t>(</w:t>
      </w:r>
      <w:r w:rsidRPr="009824E5">
        <w:rPr>
          <w:rFonts w:ascii="Century Gothic" w:hAnsi="Century Gothic" w:cs="Times New Roman"/>
          <w:sz w:val="24"/>
          <w:szCs w:val="24"/>
          <w:u w:val="single"/>
        </w:rPr>
        <w:t>Commune</w:t>
      </w:r>
      <w:r w:rsidRPr="009824E5">
        <w:rPr>
          <w:rFonts w:ascii="Century Gothic" w:hAnsi="Century Gothic" w:cs="Times New Roman"/>
          <w:sz w:val="24"/>
          <w:szCs w:val="24"/>
        </w:rPr>
        <w:t xml:space="preserve"> : Toufoude Civé</w:t>
      </w:r>
      <w:r>
        <w:rPr>
          <w:rFonts w:ascii="Century Gothic" w:hAnsi="Century Gothic" w:cs="Times New Roman"/>
          <w:sz w:val="24"/>
          <w:szCs w:val="24"/>
        </w:rPr>
        <w:t xml:space="preserve">) </w:t>
      </w:r>
      <w:r w:rsidRPr="009824E5">
        <w:rPr>
          <w:rFonts w:ascii="Century Gothic" w:hAnsi="Century Gothic" w:cs="Times New Roman"/>
          <w:sz w:val="24"/>
          <w:szCs w:val="24"/>
        </w:rPr>
        <w:t xml:space="preserve"> </w:t>
      </w:r>
    </w:p>
    <w:p w14:paraId="159F9C28"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(15°39'42.10’’N ; 13°10'46.58’’O)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Permanent</w:t>
      </w:r>
    </w:p>
    <w:p w14:paraId="2736692C"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5CC25495" wp14:editId="2633AE26">
            <wp:extent cx="2582545" cy="3671570"/>
            <wp:effectExtent l="0" t="0" r="0" b="0"/>
            <wp:docPr id="55" name="Image 50" descr="E:\Desktop\ZH\Images ZH\BONA INDAI\DJI_095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0" descr="E:\Desktop\ZH\Images ZH\BONA INDAI\DJI_0955.JPG"/>
                    <pic:cNvPicPr>
                      <a:picLocks/>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82545" cy="3671570"/>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27ACBDC0" wp14:editId="28F82F57">
            <wp:extent cx="3435985" cy="3674110"/>
            <wp:effectExtent l="0" t="0" r="0" b="0"/>
            <wp:docPr id="56" name="Image 49" descr="E:\Desktop\ZH\Cartes des activités\Délama bona inda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9" descr="E:\Desktop\ZH\Cartes des activités\Délama bona indai.jpg"/>
                    <pic:cNvPicPr>
                      <a:picLocks/>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35985" cy="3674110"/>
                    </a:xfrm>
                    <a:prstGeom prst="rect">
                      <a:avLst/>
                    </a:prstGeom>
                    <a:noFill/>
                    <a:ln>
                      <a:noFill/>
                    </a:ln>
                  </pic:spPr>
                </pic:pic>
              </a:graphicData>
            </a:graphic>
          </wp:inline>
        </w:drawing>
      </w:r>
    </w:p>
    <w:p w14:paraId="6D6D9120"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Bona Indai</w:t>
      </w:r>
    </w:p>
    <w:p w14:paraId="1F657828" w14:textId="77777777" w:rsidR="005625B5" w:rsidRPr="009824E5" w:rsidRDefault="005625B5" w:rsidP="005625B5">
      <w:pPr>
        <w:spacing w:line="276" w:lineRule="auto"/>
        <w:jc w:val="both"/>
        <w:rPr>
          <w:rFonts w:ascii="Century Gothic" w:hAnsi="Century Gothic" w:cs="Times New Roman"/>
          <w:sz w:val="24"/>
          <w:szCs w:val="24"/>
        </w:rPr>
      </w:pPr>
      <w:r w:rsidRPr="009824E5">
        <w:rPr>
          <w:rFonts w:ascii="Century Gothic" w:hAnsi="Century Gothic" w:cs="Times New Roman"/>
          <w:sz w:val="24"/>
          <w:szCs w:val="24"/>
          <w:u w:val="single"/>
        </w:rPr>
        <w:t>Ressources naturelles</w:t>
      </w:r>
      <w:r w:rsidRPr="009824E5">
        <w:rPr>
          <w:rFonts w:ascii="Century Gothic" w:hAnsi="Century Gothic" w:cs="Times New Roman"/>
          <w:sz w:val="24"/>
          <w:szCs w:val="24"/>
        </w:rPr>
        <w:t xml:space="preserve"> (Biodiversité</w:t>
      </w:r>
      <w:proofErr w:type="gramStart"/>
      <w:r w:rsidRPr="009824E5">
        <w:rPr>
          <w:rFonts w:ascii="Century Gothic" w:hAnsi="Century Gothic" w:cs="Times New Roman"/>
          <w:sz w:val="24"/>
          <w:szCs w:val="24"/>
        </w:rPr>
        <w:t>):</w:t>
      </w:r>
      <w:proofErr w:type="gramEnd"/>
      <w:r w:rsidRPr="009824E5">
        <w:rPr>
          <w:rFonts w:ascii="Century Gothic" w:hAnsi="Century Gothic" w:cs="Times New Roman"/>
          <w:sz w:val="24"/>
          <w:szCs w:val="24"/>
        </w:rPr>
        <w:t xml:space="preserve"> </w:t>
      </w:r>
    </w:p>
    <w:p w14:paraId="12BF5001" w14:textId="77777777" w:rsidR="005625B5" w:rsidRPr="009824E5"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9824E5">
        <w:rPr>
          <w:rFonts w:ascii="Century Gothic" w:hAnsi="Century Gothic" w:cs="Times New Roman"/>
          <w:sz w:val="24"/>
          <w:szCs w:val="24"/>
        </w:rPr>
        <w:t xml:space="preserve">Ressources aquatiques : Plantes aquatiques (+) ; poisson (+)  </w:t>
      </w:r>
    </w:p>
    <w:p w14:paraId="506CF60D" w14:textId="77777777" w:rsidR="005625B5" w:rsidRPr="009824E5"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9824E5">
        <w:rPr>
          <w:rFonts w:ascii="Century Gothic" w:hAnsi="Century Gothic" w:cs="Times New Roman"/>
          <w:sz w:val="24"/>
          <w:szCs w:val="24"/>
        </w:rPr>
        <w:t>Ressources forestières : Acacias (+) ; Balanites (+) ; Bauhinia (+) ; …</w:t>
      </w:r>
    </w:p>
    <w:p w14:paraId="7F2839B2" w14:textId="77777777" w:rsidR="005625B5" w:rsidRPr="009824E5"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9824E5">
        <w:rPr>
          <w:rFonts w:ascii="Century Gothic" w:hAnsi="Century Gothic" w:cs="Times New Roman"/>
          <w:sz w:val="24"/>
          <w:szCs w:val="24"/>
        </w:rPr>
        <w:t>Ressources fauniques : Faune sauvage (+) ; avifaune (+) </w:t>
      </w:r>
    </w:p>
    <w:p w14:paraId="453A4DDC" w14:textId="77777777" w:rsidR="005625B5" w:rsidRPr="009824E5" w:rsidRDefault="005625B5" w:rsidP="005625B5">
      <w:pPr>
        <w:spacing w:line="276" w:lineRule="auto"/>
        <w:jc w:val="both"/>
        <w:rPr>
          <w:rFonts w:ascii="Century Gothic" w:hAnsi="Century Gothic" w:cs="Times New Roman"/>
          <w:sz w:val="24"/>
          <w:szCs w:val="24"/>
        </w:rPr>
      </w:pPr>
      <w:r w:rsidRPr="009824E5">
        <w:rPr>
          <w:rFonts w:ascii="Century Gothic" w:hAnsi="Century Gothic" w:cs="Times New Roman"/>
          <w:sz w:val="24"/>
          <w:szCs w:val="24"/>
          <w:u w:val="single"/>
        </w:rPr>
        <w:t>Activités socioéconomiques</w:t>
      </w:r>
      <w:r w:rsidRPr="009824E5">
        <w:rPr>
          <w:rFonts w:ascii="Century Gothic" w:hAnsi="Century Gothic" w:cs="Times New Roman"/>
          <w:sz w:val="24"/>
          <w:szCs w:val="24"/>
        </w:rPr>
        <w:t xml:space="preserve"> : </w:t>
      </w:r>
    </w:p>
    <w:p w14:paraId="68C9D5D9" w14:textId="77777777" w:rsidR="005625B5" w:rsidRPr="009824E5"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9824E5">
        <w:rPr>
          <w:rFonts w:ascii="Century Gothic" w:hAnsi="Century Gothic" w:cs="Times New Roman"/>
          <w:b/>
          <w:bCs/>
          <w:sz w:val="24"/>
          <w:szCs w:val="24"/>
        </w:rPr>
        <w:t>Agriculture</w:t>
      </w:r>
      <w:r w:rsidRPr="009824E5">
        <w:rPr>
          <w:rFonts w:ascii="Century Gothic" w:hAnsi="Century Gothic" w:cs="Times New Roman"/>
          <w:sz w:val="24"/>
          <w:szCs w:val="24"/>
        </w:rPr>
        <w:t xml:space="preserve"> : La population locale cultive pendant l’hivernage et la saison froide le niébé, le sorgho, la pastèque, … autour de la zone humide.  </w:t>
      </w:r>
    </w:p>
    <w:p w14:paraId="221DD960" w14:textId="77777777" w:rsidR="005625B5" w:rsidRPr="009824E5"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9824E5">
        <w:rPr>
          <w:rFonts w:ascii="Century Gothic" w:hAnsi="Century Gothic" w:cs="Times New Roman"/>
          <w:b/>
          <w:bCs/>
          <w:sz w:val="24"/>
          <w:szCs w:val="24"/>
        </w:rPr>
        <w:t>Elevage</w:t>
      </w:r>
      <w:r w:rsidRPr="009824E5">
        <w:rPr>
          <w:rFonts w:ascii="Century Gothic" w:hAnsi="Century Gothic" w:cs="Times New Roman"/>
          <w:sz w:val="24"/>
          <w:szCs w:val="24"/>
        </w:rPr>
        <w:t xml:space="preserve"> : C’est un élevage extensif où les troupeaux viennent s’abreuver et pâturer dans la zone humide. Les troupeaux de El Atef s’abreuvent dans la mare.    </w:t>
      </w:r>
    </w:p>
    <w:p w14:paraId="6E28EECC" w14:textId="77777777" w:rsidR="005625B5" w:rsidRPr="009824E5"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9824E5">
        <w:rPr>
          <w:rFonts w:ascii="Century Gothic" w:hAnsi="Century Gothic" w:cs="Times New Roman"/>
          <w:b/>
          <w:bCs/>
          <w:sz w:val="24"/>
          <w:szCs w:val="24"/>
        </w:rPr>
        <w:t>Pêche</w:t>
      </w:r>
      <w:r w:rsidRPr="009824E5">
        <w:rPr>
          <w:rFonts w:ascii="Century Gothic" w:hAnsi="Century Gothic" w:cs="Times New Roman"/>
          <w:sz w:val="24"/>
          <w:szCs w:val="24"/>
        </w:rPr>
        <w:t xml:space="preserve"> : Elle pratiquée dans la mare sans règles de gestion. Elle est pratiquée par des personnes venant d’ailleurs.     </w:t>
      </w:r>
    </w:p>
    <w:p w14:paraId="335DE76B" w14:textId="77777777" w:rsidR="005625B5"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9824E5">
        <w:rPr>
          <w:rFonts w:ascii="Century Gothic" w:hAnsi="Century Gothic" w:cs="Times New Roman"/>
          <w:b/>
          <w:bCs/>
          <w:sz w:val="24"/>
          <w:szCs w:val="24"/>
        </w:rPr>
        <w:t>Foresterie</w:t>
      </w:r>
      <w:r w:rsidRPr="009824E5">
        <w:rPr>
          <w:rFonts w:ascii="Century Gothic" w:hAnsi="Century Gothic" w:cs="Times New Roman"/>
          <w:sz w:val="24"/>
          <w:szCs w:val="24"/>
        </w:rPr>
        <w:t xml:space="preserve"> : le bois est coupé pour faire des clôtures et le charbon de bois. </w:t>
      </w:r>
    </w:p>
    <w:p w14:paraId="3483CF82" w14:textId="77777777" w:rsidR="005625B5" w:rsidRPr="00CF53DF" w:rsidRDefault="005625B5" w:rsidP="005625B5">
      <w:pPr>
        <w:pStyle w:val="Paragraphedeliste"/>
        <w:numPr>
          <w:ilvl w:val="0"/>
          <w:numId w:val="37"/>
        </w:numPr>
        <w:spacing w:after="200" w:line="276" w:lineRule="auto"/>
        <w:jc w:val="both"/>
        <w:rPr>
          <w:rFonts w:ascii="Century Gothic" w:hAnsi="Century Gothic" w:cs="Times New Roman"/>
          <w:sz w:val="24"/>
          <w:szCs w:val="24"/>
        </w:rPr>
      </w:pPr>
      <w:r w:rsidRPr="00CF53DF">
        <w:rPr>
          <w:rFonts w:ascii="Century Gothic" w:hAnsi="Century Gothic" w:cs="Times New Roman"/>
          <w:sz w:val="24"/>
          <w:szCs w:val="24"/>
          <w:u w:val="single"/>
        </w:rPr>
        <w:t>Nom de zone humide</w:t>
      </w:r>
      <w:r w:rsidRPr="00CF53DF">
        <w:rPr>
          <w:rFonts w:ascii="Century Gothic" w:hAnsi="Century Gothic" w:cs="Times New Roman"/>
          <w:sz w:val="24"/>
          <w:szCs w:val="24"/>
        </w:rPr>
        <w:t xml:space="preserve"> : </w:t>
      </w:r>
      <w:r w:rsidRPr="00CF53DF">
        <w:rPr>
          <w:rFonts w:ascii="Century Gothic" w:hAnsi="Century Gothic" w:cs="Times New Roman"/>
          <w:b/>
          <w:bCs/>
          <w:sz w:val="24"/>
          <w:szCs w:val="24"/>
        </w:rPr>
        <w:t>Delama</w:t>
      </w:r>
      <w:r>
        <w:rPr>
          <w:rFonts w:ascii="Century Gothic" w:hAnsi="Century Gothic" w:cs="Times New Roman"/>
          <w:sz w:val="24"/>
          <w:szCs w:val="24"/>
        </w:rPr>
        <w:t xml:space="preserve"> (</w:t>
      </w:r>
      <w:r w:rsidRPr="00CF53DF">
        <w:rPr>
          <w:rFonts w:ascii="Century Gothic" w:hAnsi="Century Gothic" w:cs="Times New Roman"/>
          <w:sz w:val="24"/>
          <w:szCs w:val="24"/>
          <w:u w:val="single"/>
        </w:rPr>
        <w:t>Commune</w:t>
      </w:r>
      <w:r w:rsidRPr="00CF53DF">
        <w:rPr>
          <w:rFonts w:ascii="Century Gothic" w:hAnsi="Century Gothic" w:cs="Times New Roman"/>
          <w:sz w:val="24"/>
          <w:szCs w:val="24"/>
        </w:rPr>
        <w:t xml:space="preserve"> : Toufounde Civé</w:t>
      </w:r>
      <w:r>
        <w:rPr>
          <w:rFonts w:ascii="Century Gothic" w:hAnsi="Century Gothic" w:cs="Times New Roman"/>
          <w:sz w:val="24"/>
          <w:szCs w:val="24"/>
        </w:rPr>
        <w:t xml:space="preserve">) </w:t>
      </w:r>
      <w:r w:rsidRPr="00CF53DF">
        <w:rPr>
          <w:rFonts w:ascii="Century Gothic" w:hAnsi="Century Gothic" w:cs="Times New Roman"/>
          <w:sz w:val="24"/>
          <w:szCs w:val="24"/>
        </w:rPr>
        <w:t xml:space="preserve"> </w:t>
      </w:r>
    </w:p>
    <w:p w14:paraId="3FBC8DB0"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(15°38'57.28’’N ; 13°11'40.15’’O)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Permanent</w:t>
      </w:r>
    </w:p>
    <w:p w14:paraId="3F945C26"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543CE61C" wp14:editId="3F54A148">
            <wp:extent cx="2395855" cy="3529330"/>
            <wp:effectExtent l="0" t="0" r="0" b="0"/>
            <wp:docPr id="57" name="Image 48" descr="E:\Desktop\ZH\Images ZH\DELAMA\DJI_001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8" descr="E:\Desktop\ZH\Images ZH\DELAMA\DJI_0016.JPG"/>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95855" cy="3529330"/>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2CBC0A38" wp14:editId="44E0CFA0">
            <wp:extent cx="3458210" cy="3535680"/>
            <wp:effectExtent l="0" t="0" r="0" b="0"/>
            <wp:docPr id="58" name="Image 47" descr="E:\Desktop\ZH\Cartes des activités\Délama bona inda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7" descr="E:\Desktop\ZH\Cartes des activités\Délama bona indai.jpg"/>
                    <pic:cNvPicPr>
                      <a:picLocks/>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58210" cy="3535680"/>
                    </a:xfrm>
                    <a:prstGeom prst="rect">
                      <a:avLst/>
                    </a:prstGeom>
                    <a:noFill/>
                    <a:ln>
                      <a:noFill/>
                    </a:ln>
                  </pic:spPr>
                </pic:pic>
              </a:graphicData>
            </a:graphic>
          </wp:inline>
        </w:drawing>
      </w:r>
    </w:p>
    <w:p w14:paraId="399FF506"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Delama</w:t>
      </w:r>
    </w:p>
    <w:p w14:paraId="4887AB24" w14:textId="77777777" w:rsidR="005625B5" w:rsidRPr="00CF53DF" w:rsidRDefault="005625B5" w:rsidP="005625B5">
      <w:pPr>
        <w:spacing w:line="276" w:lineRule="auto"/>
        <w:jc w:val="both"/>
        <w:rPr>
          <w:rFonts w:ascii="Century Gothic" w:hAnsi="Century Gothic" w:cs="Times New Roman"/>
          <w:sz w:val="24"/>
          <w:szCs w:val="24"/>
        </w:rPr>
      </w:pPr>
      <w:r w:rsidRPr="00CF53DF">
        <w:rPr>
          <w:rFonts w:ascii="Century Gothic" w:hAnsi="Century Gothic" w:cs="Times New Roman"/>
          <w:sz w:val="24"/>
          <w:szCs w:val="24"/>
          <w:u w:val="single"/>
        </w:rPr>
        <w:t>Ressources naturelles</w:t>
      </w:r>
      <w:r w:rsidRPr="00CF53DF">
        <w:rPr>
          <w:rFonts w:ascii="Century Gothic" w:hAnsi="Century Gothic" w:cs="Times New Roman"/>
          <w:sz w:val="24"/>
          <w:szCs w:val="24"/>
        </w:rPr>
        <w:t xml:space="preserve"> (Biodiversité</w:t>
      </w:r>
      <w:proofErr w:type="gramStart"/>
      <w:r w:rsidRPr="00CF53DF">
        <w:rPr>
          <w:rFonts w:ascii="Century Gothic" w:hAnsi="Century Gothic" w:cs="Times New Roman"/>
          <w:sz w:val="24"/>
          <w:szCs w:val="24"/>
        </w:rPr>
        <w:t>):</w:t>
      </w:r>
      <w:proofErr w:type="gramEnd"/>
      <w:r w:rsidRPr="00CF53DF">
        <w:rPr>
          <w:rFonts w:ascii="Century Gothic" w:hAnsi="Century Gothic" w:cs="Times New Roman"/>
          <w:sz w:val="24"/>
          <w:szCs w:val="24"/>
        </w:rPr>
        <w:t xml:space="preserve"> </w:t>
      </w:r>
    </w:p>
    <w:p w14:paraId="17BD5441" w14:textId="77777777" w:rsidR="005625B5" w:rsidRPr="00CF53DF"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CF53DF">
        <w:rPr>
          <w:rFonts w:ascii="Century Gothic" w:hAnsi="Century Gothic" w:cs="Times New Roman"/>
          <w:sz w:val="24"/>
          <w:szCs w:val="24"/>
        </w:rPr>
        <w:t xml:space="preserve">Ressources aquatiques : Plantes aquatiques (+) ; poisson (+)  </w:t>
      </w:r>
    </w:p>
    <w:p w14:paraId="555602BA" w14:textId="77777777" w:rsidR="005625B5" w:rsidRPr="00CF53DF"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CF53DF">
        <w:rPr>
          <w:rFonts w:ascii="Century Gothic" w:hAnsi="Century Gothic" w:cs="Times New Roman"/>
          <w:sz w:val="24"/>
          <w:szCs w:val="24"/>
        </w:rPr>
        <w:t>Ressources forestières : Acacias (+) ; Balanites (+) ; Bauhinia (+) ; …</w:t>
      </w:r>
    </w:p>
    <w:p w14:paraId="5FB36D7D" w14:textId="77777777" w:rsidR="005625B5" w:rsidRPr="00CF53DF"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CF53DF">
        <w:rPr>
          <w:rFonts w:ascii="Century Gothic" w:hAnsi="Century Gothic" w:cs="Times New Roman"/>
          <w:sz w:val="24"/>
          <w:szCs w:val="24"/>
        </w:rPr>
        <w:t>Ressources fauniques : Faune sauvage (+) ; avifaune (+) </w:t>
      </w:r>
    </w:p>
    <w:p w14:paraId="017C3F0A" w14:textId="77777777" w:rsidR="005625B5" w:rsidRPr="00CF53DF" w:rsidRDefault="005625B5" w:rsidP="005625B5">
      <w:pPr>
        <w:spacing w:line="276" w:lineRule="auto"/>
        <w:jc w:val="both"/>
        <w:rPr>
          <w:rFonts w:ascii="Century Gothic" w:hAnsi="Century Gothic" w:cs="Times New Roman"/>
          <w:sz w:val="24"/>
          <w:szCs w:val="24"/>
        </w:rPr>
      </w:pPr>
      <w:r w:rsidRPr="00CF53DF">
        <w:rPr>
          <w:rFonts w:ascii="Century Gothic" w:hAnsi="Century Gothic" w:cs="Times New Roman"/>
          <w:sz w:val="24"/>
          <w:szCs w:val="24"/>
          <w:u w:val="single"/>
        </w:rPr>
        <w:t>Activités socioéconomiques</w:t>
      </w:r>
      <w:r w:rsidRPr="00CF53DF">
        <w:rPr>
          <w:rFonts w:ascii="Century Gothic" w:hAnsi="Century Gothic" w:cs="Times New Roman"/>
          <w:sz w:val="24"/>
          <w:szCs w:val="24"/>
        </w:rPr>
        <w:t xml:space="preserve"> : </w:t>
      </w:r>
    </w:p>
    <w:p w14:paraId="168B01F5" w14:textId="77777777" w:rsidR="005625B5" w:rsidRPr="00CF53DF"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CF53DF">
        <w:rPr>
          <w:rFonts w:ascii="Century Gothic" w:hAnsi="Century Gothic" w:cs="Times New Roman"/>
          <w:b/>
          <w:bCs/>
          <w:sz w:val="24"/>
          <w:szCs w:val="24"/>
        </w:rPr>
        <w:t>Agriculture</w:t>
      </w:r>
      <w:r w:rsidRPr="00CF53DF">
        <w:rPr>
          <w:rFonts w:ascii="Century Gothic" w:hAnsi="Century Gothic" w:cs="Times New Roman"/>
          <w:sz w:val="24"/>
          <w:szCs w:val="24"/>
        </w:rPr>
        <w:t xml:space="preserve"> : Elle n’est pas pratiquée autour de la mare.  </w:t>
      </w:r>
    </w:p>
    <w:p w14:paraId="6DD6C4A2" w14:textId="77777777" w:rsidR="005625B5" w:rsidRPr="00CF53DF"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CF53DF">
        <w:rPr>
          <w:rFonts w:ascii="Century Gothic" w:hAnsi="Century Gothic" w:cs="Times New Roman"/>
          <w:b/>
          <w:bCs/>
          <w:sz w:val="24"/>
          <w:szCs w:val="24"/>
        </w:rPr>
        <w:t>Elevage</w:t>
      </w:r>
      <w:r w:rsidRPr="00CF53DF">
        <w:rPr>
          <w:rFonts w:ascii="Century Gothic" w:hAnsi="Century Gothic" w:cs="Times New Roman"/>
          <w:sz w:val="24"/>
          <w:szCs w:val="24"/>
        </w:rPr>
        <w:t xml:space="preserve"> : Il est pratiqué autour de la mare permettant aux troupeaux de s’y abreuver, surtout pendant la saison sèche.  </w:t>
      </w:r>
    </w:p>
    <w:p w14:paraId="63425BC5" w14:textId="77777777" w:rsidR="005625B5" w:rsidRPr="00CF53DF"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CF53DF">
        <w:rPr>
          <w:rFonts w:ascii="Century Gothic" w:hAnsi="Century Gothic" w:cs="Times New Roman"/>
          <w:b/>
          <w:bCs/>
          <w:sz w:val="24"/>
          <w:szCs w:val="24"/>
        </w:rPr>
        <w:t>Pêche</w:t>
      </w:r>
      <w:r w:rsidRPr="00CF53DF">
        <w:rPr>
          <w:rFonts w:ascii="Century Gothic" w:hAnsi="Century Gothic" w:cs="Times New Roman"/>
          <w:sz w:val="24"/>
          <w:szCs w:val="24"/>
        </w:rPr>
        <w:t xml:space="preserve"> : Elle est la principale activité et est organisée par la commune. Elle est ouverte par le maire généralement à partir du mois d’octobre sur les mares de Bona Indai, Allouki, Thilwel et delama. Elle dure toute l’année et chaque pêcheur doit s’acquitter d’un montant de 300 MRU au niveau de la mairie à l’ouverture de chaque campagne lui servant d’autorisation de pêche sur les 4 mares.    </w:t>
      </w:r>
    </w:p>
    <w:p w14:paraId="03C77FCB" w14:textId="77777777" w:rsidR="005625B5" w:rsidRPr="00CF53DF"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CF53DF">
        <w:rPr>
          <w:rFonts w:ascii="Century Gothic" w:hAnsi="Century Gothic" w:cs="Times New Roman"/>
          <w:b/>
          <w:bCs/>
          <w:sz w:val="24"/>
          <w:szCs w:val="24"/>
        </w:rPr>
        <w:t>Foresterie</w:t>
      </w:r>
      <w:r w:rsidRPr="00CF53DF">
        <w:rPr>
          <w:rFonts w:ascii="Century Gothic" w:hAnsi="Century Gothic" w:cs="Times New Roman"/>
          <w:sz w:val="24"/>
          <w:szCs w:val="24"/>
        </w:rPr>
        <w:t xml:space="preserve"> : Les PFNL sont collectés au niveau de la zone humide et concernent Balanites, Ziziphus et Acacia, ... </w:t>
      </w:r>
    </w:p>
    <w:p w14:paraId="177E3F74" w14:textId="77777777" w:rsidR="005625B5" w:rsidRPr="0046769A" w:rsidRDefault="005625B5" w:rsidP="005625B5">
      <w:pPr>
        <w:pStyle w:val="Paragraphedeliste"/>
        <w:numPr>
          <w:ilvl w:val="0"/>
          <w:numId w:val="37"/>
        </w:numPr>
        <w:spacing w:after="200" w:line="276" w:lineRule="auto"/>
        <w:ind w:hanging="11"/>
        <w:jc w:val="both"/>
        <w:rPr>
          <w:rFonts w:ascii="Century Gothic" w:hAnsi="Century Gothic" w:cs="Times New Roman"/>
          <w:sz w:val="24"/>
          <w:szCs w:val="24"/>
        </w:rPr>
      </w:pPr>
      <w:r w:rsidRPr="0046769A">
        <w:rPr>
          <w:rFonts w:ascii="Century Gothic" w:hAnsi="Century Gothic" w:cs="Times New Roman"/>
          <w:sz w:val="24"/>
          <w:szCs w:val="24"/>
          <w:u w:val="single"/>
        </w:rPr>
        <w:t>Nom de zone humide</w:t>
      </w:r>
      <w:r w:rsidRPr="0046769A">
        <w:rPr>
          <w:rFonts w:ascii="Century Gothic" w:hAnsi="Century Gothic" w:cs="Times New Roman"/>
          <w:sz w:val="24"/>
          <w:szCs w:val="24"/>
        </w:rPr>
        <w:t xml:space="preserve"> : </w:t>
      </w:r>
      <w:r w:rsidRPr="0046769A">
        <w:rPr>
          <w:rFonts w:ascii="Century Gothic" w:hAnsi="Century Gothic" w:cs="Times New Roman"/>
          <w:b/>
          <w:bCs/>
          <w:sz w:val="24"/>
          <w:szCs w:val="24"/>
        </w:rPr>
        <w:t>Gawradji</w:t>
      </w:r>
      <w:r w:rsidRPr="0046769A">
        <w:rPr>
          <w:rFonts w:ascii="Century Gothic" w:hAnsi="Century Gothic" w:cs="Times New Roman"/>
          <w:sz w:val="24"/>
          <w:szCs w:val="24"/>
        </w:rPr>
        <w:t xml:space="preserve"> </w:t>
      </w:r>
      <w:r>
        <w:rPr>
          <w:rFonts w:ascii="Century Gothic" w:hAnsi="Century Gothic" w:cs="Times New Roman"/>
          <w:sz w:val="24"/>
          <w:szCs w:val="24"/>
        </w:rPr>
        <w:t>(</w:t>
      </w:r>
      <w:r w:rsidRPr="0046769A">
        <w:rPr>
          <w:rFonts w:ascii="Century Gothic" w:hAnsi="Century Gothic" w:cs="Times New Roman"/>
          <w:sz w:val="24"/>
          <w:szCs w:val="24"/>
          <w:u w:val="single"/>
        </w:rPr>
        <w:t>Commune</w:t>
      </w:r>
      <w:r w:rsidRPr="0046769A">
        <w:rPr>
          <w:rFonts w:ascii="Century Gothic" w:hAnsi="Century Gothic" w:cs="Times New Roman"/>
          <w:sz w:val="24"/>
          <w:szCs w:val="24"/>
        </w:rPr>
        <w:t xml:space="preserve"> : DAO</w:t>
      </w:r>
      <w:r>
        <w:rPr>
          <w:rFonts w:ascii="Century Gothic" w:hAnsi="Century Gothic" w:cs="Times New Roman"/>
          <w:sz w:val="24"/>
          <w:szCs w:val="24"/>
        </w:rPr>
        <w:t xml:space="preserve">) </w:t>
      </w:r>
    </w:p>
    <w:p w14:paraId="6154FB2A"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(15°28'38.31’’N ; 12°56'16.08’’O)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Permanent</w:t>
      </w:r>
    </w:p>
    <w:p w14:paraId="143452AD"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7F89F953" wp14:editId="6B2EDAF0">
            <wp:extent cx="2757170" cy="3466465"/>
            <wp:effectExtent l="0" t="0" r="0" b="0"/>
            <wp:docPr id="59" name="Image 46" descr="E:\Desktop\ZH\Images ZH\GAWRADJI\DJI_064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6" descr="E:\Desktop\ZH\Images ZH\GAWRADJI\DJI_0644.JPG"/>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57170" cy="3466465"/>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7F9217B4" wp14:editId="22A45199">
            <wp:extent cx="3224530" cy="3458210"/>
            <wp:effectExtent l="0" t="0" r="0" b="0"/>
            <wp:docPr id="60" name="Image 45" descr="E:\Desktop\ZH\Cartes des activités\Gawradj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5" descr="E:\Desktop\ZH\Cartes des activités\Gawradji.jpg"/>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24530" cy="3458210"/>
                    </a:xfrm>
                    <a:prstGeom prst="rect">
                      <a:avLst/>
                    </a:prstGeom>
                    <a:noFill/>
                    <a:ln>
                      <a:noFill/>
                    </a:ln>
                  </pic:spPr>
                </pic:pic>
              </a:graphicData>
            </a:graphic>
          </wp:inline>
        </w:drawing>
      </w:r>
    </w:p>
    <w:p w14:paraId="36547736"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Gawradji</w:t>
      </w:r>
    </w:p>
    <w:p w14:paraId="616E2D94" w14:textId="77777777" w:rsidR="005625B5" w:rsidRPr="0046769A" w:rsidRDefault="005625B5" w:rsidP="005625B5">
      <w:pPr>
        <w:spacing w:line="276" w:lineRule="auto"/>
        <w:jc w:val="both"/>
        <w:rPr>
          <w:rFonts w:ascii="Century Gothic" w:hAnsi="Century Gothic" w:cs="Times New Roman"/>
          <w:sz w:val="24"/>
          <w:szCs w:val="24"/>
        </w:rPr>
      </w:pPr>
      <w:r w:rsidRPr="0046769A">
        <w:rPr>
          <w:rFonts w:ascii="Century Gothic" w:hAnsi="Century Gothic" w:cs="Times New Roman"/>
          <w:sz w:val="24"/>
          <w:szCs w:val="24"/>
          <w:u w:val="single"/>
        </w:rPr>
        <w:t>Ressources naturelles</w:t>
      </w:r>
      <w:r w:rsidRPr="0046769A">
        <w:rPr>
          <w:rFonts w:ascii="Century Gothic" w:hAnsi="Century Gothic" w:cs="Times New Roman"/>
          <w:sz w:val="24"/>
          <w:szCs w:val="24"/>
        </w:rPr>
        <w:t xml:space="preserve"> (Biodiversité</w:t>
      </w:r>
      <w:proofErr w:type="gramStart"/>
      <w:r w:rsidRPr="0046769A">
        <w:rPr>
          <w:rFonts w:ascii="Century Gothic" w:hAnsi="Century Gothic" w:cs="Times New Roman"/>
          <w:sz w:val="24"/>
          <w:szCs w:val="24"/>
        </w:rPr>
        <w:t>):</w:t>
      </w:r>
      <w:proofErr w:type="gramEnd"/>
      <w:r w:rsidRPr="0046769A">
        <w:rPr>
          <w:rFonts w:ascii="Century Gothic" w:hAnsi="Century Gothic" w:cs="Times New Roman"/>
          <w:sz w:val="24"/>
          <w:szCs w:val="24"/>
        </w:rPr>
        <w:t xml:space="preserve"> </w:t>
      </w:r>
    </w:p>
    <w:p w14:paraId="5AD7743C" w14:textId="77777777" w:rsidR="005625B5" w:rsidRPr="0046769A"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46769A">
        <w:rPr>
          <w:rFonts w:ascii="Century Gothic" w:hAnsi="Century Gothic" w:cs="Times New Roman"/>
          <w:sz w:val="24"/>
          <w:szCs w:val="24"/>
        </w:rPr>
        <w:t xml:space="preserve">Ressources aquatiques : Plantes aquatiques (+) ; poisson (+)  </w:t>
      </w:r>
    </w:p>
    <w:p w14:paraId="16930A1A" w14:textId="77777777" w:rsidR="005625B5" w:rsidRPr="0046769A"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46769A">
        <w:rPr>
          <w:rFonts w:ascii="Century Gothic" w:hAnsi="Century Gothic" w:cs="Times New Roman"/>
          <w:sz w:val="24"/>
          <w:szCs w:val="24"/>
        </w:rPr>
        <w:t>Ressources forestières : Acacias (+) ; Balanites (+) ; Bauhinia (+) ; …</w:t>
      </w:r>
    </w:p>
    <w:p w14:paraId="21F734EE" w14:textId="77777777" w:rsidR="005625B5" w:rsidRPr="0046769A"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46769A">
        <w:rPr>
          <w:rFonts w:ascii="Century Gothic" w:hAnsi="Century Gothic" w:cs="Times New Roman"/>
          <w:sz w:val="24"/>
          <w:szCs w:val="24"/>
        </w:rPr>
        <w:t>Ressources fauniques : Faune sauvage (+) ; avifaune (+) </w:t>
      </w:r>
    </w:p>
    <w:p w14:paraId="23B64BC1" w14:textId="77777777" w:rsidR="005625B5" w:rsidRPr="0046769A" w:rsidRDefault="005625B5" w:rsidP="005625B5">
      <w:pPr>
        <w:spacing w:line="276" w:lineRule="auto"/>
        <w:jc w:val="both"/>
        <w:rPr>
          <w:rFonts w:ascii="Century Gothic" w:hAnsi="Century Gothic" w:cs="Times New Roman"/>
          <w:sz w:val="24"/>
          <w:szCs w:val="24"/>
        </w:rPr>
      </w:pPr>
      <w:r w:rsidRPr="0046769A">
        <w:rPr>
          <w:rFonts w:ascii="Century Gothic" w:hAnsi="Century Gothic" w:cs="Times New Roman"/>
          <w:sz w:val="24"/>
          <w:szCs w:val="24"/>
          <w:u w:val="single"/>
        </w:rPr>
        <w:t>Activités socioéconomiques</w:t>
      </w:r>
      <w:r w:rsidRPr="0046769A">
        <w:rPr>
          <w:rFonts w:ascii="Century Gothic" w:hAnsi="Century Gothic" w:cs="Times New Roman"/>
          <w:sz w:val="24"/>
          <w:szCs w:val="24"/>
        </w:rPr>
        <w:t xml:space="preserve"> : </w:t>
      </w:r>
    </w:p>
    <w:p w14:paraId="2384F4EB" w14:textId="77777777" w:rsidR="005625B5" w:rsidRPr="0046769A" w:rsidRDefault="005625B5" w:rsidP="005625B5">
      <w:pPr>
        <w:pStyle w:val="Paragraphedeliste"/>
        <w:numPr>
          <w:ilvl w:val="0"/>
          <w:numId w:val="72"/>
        </w:numPr>
        <w:spacing w:after="200" w:line="276" w:lineRule="auto"/>
        <w:jc w:val="both"/>
        <w:rPr>
          <w:rFonts w:ascii="Century Gothic" w:hAnsi="Century Gothic" w:cs="Times New Roman"/>
          <w:sz w:val="24"/>
          <w:szCs w:val="24"/>
        </w:rPr>
      </w:pPr>
      <w:r w:rsidRPr="0046769A">
        <w:rPr>
          <w:rFonts w:ascii="Century Gothic" w:hAnsi="Century Gothic" w:cs="Times New Roman"/>
          <w:b/>
          <w:bCs/>
          <w:sz w:val="24"/>
          <w:szCs w:val="24"/>
        </w:rPr>
        <w:t>Agriculture</w:t>
      </w:r>
      <w:r w:rsidRPr="0046769A">
        <w:rPr>
          <w:rFonts w:ascii="Century Gothic" w:hAnsi="Century Gothic" w:cs="Times New Roman"/>
          <w:sz w:val="24"/>
          <w:szCs w:val="24"/>
        </w:rPr>
        <w:t xml:space="preserve"> : La culture de décru est pratiquée autour de la zone humide (sorgho, niébé, maïs).  </w:t>
      </w:r>
    </w:p>
    <w:p w14:paraId="3EB4B1FD" w14:textId="77777777" w:rsidR="005625B5" w:rsidRPr="0046769A" w:rsidRDefault="005625B5" w:rsidP="005625B5">
      <w:pPr>
        <w:pStyle w:val="Paragraphedeliste"/>
        <w:numPr>
          <w:ilvl w:val="0"/>
          <w:numId w:val="72"/>
        </w:numPr>
        <w:spacing w:after="200" w:line="276" w:lineRule="auto"/>
        <w:jc w:val="both"/>
        <w:rPr>
          <w:rFonts w:ascii="Century Gothic" w:hAnsi="Century Gothic" w:cs="Times New Roman"/>
          <w:sz w:val="24"/>
          <w:szCs w:val="24"/>
        </w:rPr>
      </w:pPr>
      <w:r w:rsidRPr="0046769A">
        <w:rPr>
          <w:rFonts w:ascii="Century Gothic" w:hAnsi="Century Gothic" w:cs="Times New Roman"/>
          <w:b/>
          <w:bCs/>
          <w:sz w:val="24"/>
          <w:szCs w:val="24"/>
        </w:rPr>
        <w:t>Elevage</w:t>
      </w:r>
      <w:r w:rsidRPr="0046769A">
        <w:rPr>
          <w:rFonts w:ascii="Century Gothic" w:hAnsi="Century Gothic" w:cs="Times New Roman"/>
          <w:sz w:val="24"/>
          <w:szCs w:val="24"/>
        </w:rPr>
        <w:t xml:space="preserve"> : C’est un élevage extensif où les troupeaux viennent s’abreuver et pâturer dans la zone humide.    </w:t>
      </w:r>
    </w:p>
    <w:p w14:paraId="351D0FDA" w14:textId="77777777" w:rsidR="005625B5" w:rsidRPr="0046769A" w:rsidRDefault="005625B5" w:rsidP="005625B5">
      <w:pPr>
        <w:pStyle w:val="Paragraphedeliste"/>
        <w:numPr>
          <w:ilvl w:val="0"/>
          <w:numId w:val="72"/>
        </w:numPr>
        <w:spacing w:after="200" w:line="276" w:lineRule="auto"/>
        <w:jc w:val="both"/>
        <w:rPr>
          <w:rFonts w:ascii="Century Gothic" w:hAnsi="Century Gothic" w:cs="Times New Roman"/>
          <w:sz w:val="24"/>
          <w:szCs w:val="24"/>
        </w:rPr>
      </w:pPr>
      <w:r w:rsidRPr="0046769A">
        <w:rPr>
          <w:rFonts w:ascii="Century Gothic" w:hAnsi="Century Gothic" w:cs="Times New Roman"/>
          <w:b/>
          <w:bCs/>
          <w:sz w:val="24"/>
          <w:szCs w:val="24"/>
        </w:rPr>
        <w:t>Pêche</w:t>
      </w:r>
      <w:r w:rsidRPr="0046769A">
        <w:rPr>
          <w:rFonts w:ascii="Century Gothic" w:hAnsi="Century Gothic" w:cs="Times New Roman"/>
          <w:sz w:val="24"/>
          <w:szCs w:val="24"/>
        </w:rPr>
        <w:t xml:space="preserve"> : C’est la principale activité autour au sein de la zone humide. Elle est ouverte de juin à juillet en présence de pêcheurs de toute la région.     </w:t>
      </w:r>
    </w:p>
    <w:p w14:paraId="36F5E8FA" w14:textId="77777777" w:rsidR="005625B5" w:rsidRDefault="005625B5" w:rsidP="005625B5">
      <w:pPr>
        <w:pStyle w:val="Paragraphedeliste"/>
        <w:numPr>
          <w:ilvl w:val="0"/>
          <w:numId w:val="72"/>
        </w:numPr>
        <w:spacing w:after="200" w:line="276" w:lineRule="auto"/>
        <w:jc w:val="both"/>
        <w:rPr>
          <w:rFonts w:ascii="Century Gothic" w:hAnsi="Century Gothic" w:cs="Times New Roman"/>
          <w:sz w:val="24"/>
          <w:szCs w:val="24"/>
        </w:rPr>
      </w:pPr>
      <w:r w:rsidRPr="0046769A">
        <w:rPr>
          <w:rFonts w:ascii="Century Gothic" w:hAnsi="Century Gothic" w:cs="Times New Roman"/>
          <w:b/>
          <w:bCs/>
          <w:sz w:val="24"/>
          <w:szCs w:val="24"/>
        </w:rPr>
        <w:t>Foresterie</w:t>
      </w:r>
      <w:r w:rsidRPr="0046769A">
        <w:rPr>
          <w:rFonts w:ascii="Century Gothic" w:hAnsi="Century Gothic" w:cs="Times New Roman"/>
          <w:sz w:val="24"/>
          <w:szCs w:val="24"/>
        </w:rPr>
        <w:t xml:space="preserve"> : le bois est coupé pour faire des clôtures et le charbon de bois. </w:t>
      </w:r>
    </w:p>
    <w:p w14:paraId="12F77CF0" w14:textId="77777777" w:rsidR="005625B5" w:rsidRDefault="005625B5" w:rsidP="005625B5">
      <w:pPr>
        <w:pStyle w:val="Paragraphedeliste"/>
        <w:spacing w:after="200" w:line="276" w:lineRule="auto"/>
        <w:ind w:left="0"/>
        <w:jc w:val="both"/>
        <w:rPr>
          <w:rFonts w:ascii="Century Gothic" w:hAnsi="Century Gothic" w:cs="Times New Roman"/>
          <w:sz w:val="24"/>
          <w:szCs w:val="24"/>
        </w:rPr>
      </w:pPr>
    </w:p>
    <w:p w14:paraId="3B80CCEB" w14:textId="77777777" w:rsidR="005625B5" w:rsidRPr="001B08C9" w:rsidRDefault="005625B5" w:rsidP="005625B5">
      <w:pPr>
        <w:pStyle w:val="Paragraphedeliste"/>
        <w:numPr>
          <w:ilvl w:val="0"/>
          <w:numId w:val="37"/>
        </w:numPr>
        <w:spacing w:after="200" w:line="276" w:lineRule="auto"/>
        <w:jc w:val="both"/>
        <w:rPr>
          <w:rFonts w:ascii="Century Gothic" w:hAnsi="Century Gothic" w:cs="Times New Roman"/>
          <w:sz w:val="24"/>
          <w:szCs w:val="24"/>
        </w:rPr>
      </w:pPr>
      <w:r>
        <w:rPr>
          <w:rFonts w:ascii="Century Gothic" w:hAnsi="Century Gothic" w:cs="Times New Roman"/>
          <w:sz w:val="24"/>
          <w:szCs w:val="24"/>
          <w:u w:val="single"/>
        </w:rPr>
        <w:br w:type="page"/>
      </w:r>
      <w:r w:rsidRPr="001B08C9">
        <w:rPr>
          <w:rFonts w:ascii="Century Gothic" w:hAnsi="Century Gothic" w:cs="Times New Roman"/>
          <w:sz w:val="24"/>
          <w:szCs w:val="24"/>
          <w:u w:val="single"/>
        </w:rPr>
        <w:t>Nom de zone humide</w:t>
      </w:r>
      <w:r w:rsidRPr="001B08C9">
        <w:rPr>
          <w:rFonts w:ascii="Century Gothic" w:hAnsi="Century Gothic" w:cs="Times New Roman"/>
          <w:sz w:val="24"/>
          <w:szCs w:val="24"/>
        </w:rPr>
        <w:t xml:space="preserve"> : </w:t>
      </w:r>
      <w:r w:rsidRPr="001B08C9">
        <w:rPr>
          <w:rFonts w:ascii="Century Gothic" w:hAnsi="Century Gothic" w:cs="Times New Roman"/>
          <w:b/>
          <w:bCs/>
          <w:sz w:val="24"/>
          <w:szCs w:val="24"/>
        </w:rPr>
        <w:t>Lougal</w:t>
      </w:r>
      <w:r w:rsidRPr="001B08C9">
        <w:rPr>
          <w:rFonts w:ascii="Century Gothic" w:hAnsi="Century Gothic" w:cs="Times New Roman"/>
          <w:sz w:val="24"/>
          <w:szCs w:val="24"/>
        </w:rPr>
        <w:t xml:space="preserve"> </w:t>
      </w:r>
      <w:r>
        <w:rPr>
          <w:rFonts w:ascii="Century Gothic" w:hAnsi="Century Gothic" w:cs="Times New Roman"/>
          <w:sz w:val="24"/>
          <w:szCs w:val="24"/>
        </w:rPr>
        <w:t>(</w:t>
      </w:r>
      <w:r w:rsidRPr="001B08C9">
        <w:rPr>
          <w:rFonts w:ascii="Century Gothic" w:hAnsi="Century Gothic" w:cs="Times New Roman"/>
          <w:sz w:val="24"/>
          <w:szCs w:val="24"/>
          <w:u w:val="single"/>
        </w:rPr>
        <w:t>Commune</w:t>
      </w:r>
      <w:r w:rsidRPr="001B08C9">
        <w:rPr>
          <w:rFonts w:ascii="Century Gothic" w:hAnsi="Century Gothic" w:cs="Times New Roman"/>
          <w:sz w:val="24"/>
          <w:szCs w:val="24"/>
        </w:rPr>
        <w:t xml:space="preserve"> : Tokomadji</w:t>
      </w:r>
      <w:r>
        <w:rPr>
          <w:rFonts w:ascii="Century Gothic" w:hAnsi="Century Gothic" w:cs="Times New Roman"/>
          <w:sz w:val="24"/>
          <w:szCs w:val="24"/>
        </w:rPr>
        <w:t>)</w:t>
      </w:r>
      <w:r w:rsidRPr="001B08C9">
        <w:rPr>
          <w:rFonts w:ascii="Century Gothic" w:hAnsi="Century Gothic" w:cs="Times New Roman"/>
          <w:sz w:val="24"/>
          <w:szCs w:val="24"/>
        </w:rPr>
        <w:t xml:space="preserve"> </w:t>
      </w:r>
    </w:p>
    <w:p w14:paraId="57422305"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(15°46'9.99’’N ; 13°15'45.52’’O)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Permanent</w:t>
      </w:r>
    </w:p>
    <w:p w14:paraId="1F4653E1" w14:textId="77777777" w:rsidR="005625B5" w:rsidRPr="001839C6" w:rsidRDefault="005625B5" w:rsidP="005625B5">
      <w:pPr>
        <w:spacing w:line="276" w:lineRule="auto"/>
        <w:jc w:val="both"/>
        <w:rPr>
          <w:rFonts w:ascii="Century Gothic" w:hAnsi="Century Gothic" w:cs="Times New Roman"/>
          <w:sz w:val="24"/>
          <w:szCs w:val="24"/>
        </w:rPr>
      </w:pPr>
    </w:p>
    <w:p w14:paraId="680CA924"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14DB2224" wp14:editId="35B98476">
            <wp:extent cx="2973070" cy="3966210"/>
            <wp:effectExtent l="0" t="0" r="0" b="0"/>
            <wp:docPr id="61" name="Image 44" descr="E:\Desktop\ZH\Images ZH\LOUGAL\DJI_066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4" descr="E:\Desktop\ZH\Images ZH\LOUGAL\DJI_0663.JPG"/>
                    <pic:cNvPicPr>
                      <a:picLocks/>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73070" cy="3966210"/>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291B845A" wp14:editId="1FB1303D">
            <wp:extent cx="3064510" cy="3960495"/>
            <wp:effectExtent l="0" t="0" r="0" b="0"/>
            <wp:docPr id="62" name="Image 43" descr="E:\Desktop\ZH\Cartes des activités\Loug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3" descr="E:\Desktop\ZH\Cartes des activités\Lougal.jpg"/>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64510" cy="3960495"/>
                    </a:xfrm>
                    <a:prstGeom prst="rect">
                      <a:avLst/>
                    </a:prstGeom>
                    <a:noFill/>
                    <a:ln>
                      <a:noFill/>
                    </a:ln>
                  </pic:spPr>
                </pic:pic>
              </a:graphicData>
            </a:graphic>
          </wp:inline>
        </w:drawing>
      </w:r>
    </w:p>
    <w:p w14:paraId="48C1B214"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Lougal</w:t>
      </w:r>
    </w:p>
    <w:p w14:paraId="49D9879A" w14:textId="77777777" w:rsidR="005625B5" w:rsidRPr="0046769A" w:rsidRDefault="005625B5" w:rsidP="005625B5">
      <w:pPr>
        <w:spacing w:line="276" w:lineRule="auto"/>
        <w:jc w:val="both"/>
        <w:rPr>
          <w:rFonts w:ascii="Century Gothic" w:hAnsi="Century Gothic" w:cs="Times New Roman"/>
          <w:sz w:val="24"/>
          <w:szCs w:val="24"/>
        </w:rPr>
      </w:pPr>
      <w:r w:rsidRPr="0046769A">
        <w:rPr>
          <w:rFonts w:ascii="Century Gothic" w:hAnsi="Century Gothic" w:cs="Times New Roman"/>
          <w:sz w:val="24"/>
          <w:szCs w:val="24"/>
          <w:u w:val="single"/>
        </w:rPr>
        <w:t>Ressources naturelles</w:t>
      </w:r>
      <w:r w:rsidRPr="0046769A">
        <w:rPr>
          <w:rFonts w:ascii="Century Gothic" w:hAnsi="Century Gothic" w:cs="Times New Roman"/>
          <w:sz w:val="24"/>
          <w:szCs w:val="24"/>
        </w:rPr>
        <w:t xml:space="preserve"> (Biodiversité</w:t>
      </w:r>
      <w:proofErr w:type="gramStart"/>
      <w:r w:rsidRPr="0046769A">
        <w:rPr>
          <w:rFonts w:ascii="Century Gothic" w:hAnsi="Century Gothic" w:cs="Times New Roman"/>
          <w:sz w:val="24"/>
          <w:szCs w:val="24"/>
        </w:rPr>
        <w:t>):</w:t>
      </w:r>
      <w:proofErr w:type="gramEnd"/>
      <w:r w:rsidRPr="0046769A">
        <w:rPr>
          <w:rFonts w:ascii="Century Gothic" w:hAnsi="Century Gothic" w:cs="Times New Roman"/>
          <w:sz w:val="24"/>
          <w:szCs w:val="24"/>
        </w:rPr>
        <w:t xml:space="preserve"> </w:t>
      </w:r>
    </w:p>
    <w:p w14:paraId="3933ECB9" w14:textId="77777777" w:rsidR="005625B5" w:rsidRPr="0046769A"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46769A">
        <w:rPr>
          <w:rFonts w:ascii="Century Gothic" w:hAnsi="Century Gothic" w:cs="Times New Roman"/>
          <w:sz w:val="24"/>
          <w:szCs w:val="24"/>
        </w:rPr>
        <w:t xml:space="preserve">Ressources aquatiques : Plantes aquatiques (+) ; poisson (+)  </w:t>
      </w:r>
    </w:p>
    <w:p w14:paraId="180D3D84" w14:textId="77777777" w:rsidR="005625B5" w:rsidRPr="0046769A"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46769A">
        <w:rPr>
          <w:rFonts w:ascii="Century Gothic" w:hAnsi="Century Gothic" w:cs="Times New Roman"/>
          <w:sz w:val="24"/>
          <w:szCs w:val="24"/>
        </w:rPr>
        <w:t>Ressources forestières : Acacias (+) ; Balanites (+) ; Bauhinia (+) ; …</w:t>
      </w:r>
    </w:p>
    <w:p w14:paraId="4EFDAF4B" w14:textId="77777777" w:rsidR="005625B5" w:rsidRPr="0046769A"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46769A">
        <w:rPr>
          <w:rFonts w:ascii="Century Gothic" w:hAnsi="Century Gothic" w:cs="Times New Roman"/>
          <w:sz w:val="24"/>
          <w:szCs w:val="24"/>
        </w:rPr>
        <w:t>Ressources fauniques : Faune sauvage (+) ; avifaune (+) </w:t>
      </w:r>
    </w:p>
    <w:p w14:paraId="753AAEE1" w14:textId="77777777" w:rsidR="005625B5" w:rsidRPr="0046769A" w:rsidRDefault="005625B5" w:rsidP="005625B5">
      <w:pPr>
        <w:spacing w:line="276" w:lineRule="auto"/>
        <w:jc w:val="both"/>
        <w:rPr>
          <w:rFonts w:ascii="Century Gothic" w:hAnsi="Century Gothic" w:cs="Times New Roman"/>
          <w:sz w:val="24"/>
          <w:szCs w:val="24"/>
        </w:rPr>
      </w:pPr>
      <w:r w:rsidRPr="0046769A">
        <w:rPr>
          <w:rFonts w:ascii="Century Gothic" w:hAnsi="Century Gothic" w:cs="Times New Roman"/>
          <w:sz w:val="24"/>
          <w:szCs w:val="24"/>
          <w:u w:val="single"/>
        </w:rPr>
        <w:t>Activités socioéconomiques</w:t>
      </w:r>
      <w:r w:rsidRPr="0046769A">
        <w:rPr>
          <w:rFonts w:ascii="Century Gothic" w:hAnsi="Century Gothic" w:cs="Times New Roman"/>
          <w:sz w:val="24"/>
          <w:szCs w:val="24"/>
        </w:rPr>
        <w:t xml:space="preserve"> : </w:t>
      </w:r>
    </w:p>
    <w:p w14:paraId="6753D763" w14:textId="77777777" w:rsidR="005625B5" w:rsidRPr="0046769A"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46769A">
        <w:rPr>
          <w:rFonts w:ascii="Century Gothic" w:hAnsi="Century Gothic" w:cs="Times New Roman"/>
          <w:b/>
          <w:bCs/>
          <w:sz w:val="24"/>
          <w:szCs w:val="24"/>
        </w:rPr>
        <w:t>Agriculture</w:t>
      </w:r>
      <w:r w:rsidRPr="0046769A">
        <w:rPr>
          <w:rFonts w:ascii="Century Gothic" w:hAnsi="Century Gothic" w:cs="Times New Roman"/>
          <w:sz w:val="24"/>
          <w:szCs w:val="24"/>
        </w:rPr>
        <w:t xml:space="preserve"> : Elle est pratiquée autour de la zone humide (sorgho, niébé, maïs) et le maraichage (calebasse, tomate aubergine, Bissap, …).   </w:t>
      </w:r>
    </w:p>
    <w:p w14:paraId="167ACF4D" w14:textId="77777777" w:rsidR="005625B5" w:rsidRPr="0046769A"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46769A">
        <w:rPr>
          <w:rFonts w:ascii="Century Gothic" w:hAnsi="Century Gothic" w:cs="Times New Roman"/>
          <w:b/>
          <w:bCs/>
          <w:sz w:val="24"/>
          <w:szCs w:val="24"/>
        </w:rPr>
        <w:t>Elevage</w:t>
      </w:r>
      <w:r w:rsidRPr="0046769A">
        <w:rPr>
          <w:rFonts w:ascii="Century Gothic" w:hAnsi="Century Gothic" w:cs="Times New Roman"/>
          <w:sz w:val="24"/>
          <w:szCs w:val="24"/>
        </w:rPr>
        <w:t xml:space="preserve"> : C’est un élevage extensif où les troupeaux viennent s’abreuver et pâturer dans la zone humide.    </w:t>
      </w:r>
    </w:p>
    <w:p w14:paraId="006F8AC1" w14:textId="77777777" w:rsidR="005625B5" w:rsidRPr="0046769A"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46769A">
        <w:rPr>
          <w:rFonts w:ascii="Century Gothic" w:hAnsi="Century Gothic" w:cs="Times New Roman"/>
          <w:b/>
          <w:bCs/>
          <w:sz w:val="24"/>
          <w:szCs w:val="24"/>
        </w:rPr>
        <w:t>Pêche</w:t>
      </w:r>
      <w:r w:rsidRPr="0046769A">
        <w:rPr>
          <w:rFonts w:ascii="Century Gothic" w:hAnsi="Century Gothic" w:cs="Times New Roman"/>
          <w:sz w:val="24"/>
          <w:szCs w:val="24"/>
        </w:rPr>
        <w:t xml:space="preserve"> : C’est une activité importante au niveau de la mare qui renferme une forte diversité halieutique.  </w:t>
      </w:r>
    </w:p>
    <w:p w14:paraId="522AB00E" w14:textId="77777777" w:rsidR="005625B5" w:rsidRPr="0046769A"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1B08C9">
        <w:rPr>
          <w:rFonts w:ascii="Century Gothic" w:hAnsi="Century Gothic" w:cs="Times New Roman"/>
          <w:b/>
          <w:bCs/>
          <w:sz w:val="24"/>
          <w:szCs w:val="24"/>
        </w:rPr>
        <w:t>Foresterie</w:t>
      </w:r>
      <w:r w:rsidRPr="0046769A">
        <w:rPr>
          <w:rFonts w:ascii="Century Gothic" w:hAnsi="Century Gothic" w:cs="Times New Roman"/>
          <w:sz w:val="24"/>
          <w:szCs w:val="24"/>
        </w:rPr>
        <w:t xml:space="preserve"> : le bois est coupé pour faire des clôtures et le charbon de bois. </w:t>
      </w:r>
    </w:p>
    <w:p w14:paraId="4AB0EDCA" w14:textId="77777777" w:rsidR="005625B5" w:rsidRPr="00831368" w:rsidRDefault="005625B5" w:rsidP="005625B5">
      <w:pPr>
        <w:pStyle w:val="Paragraphedeliste"/>
        <w:numPr>
          <w:ilvl w:val="0"/>
          <w:numId w:val="37"/>
        </w:numPr>
        <w:spacing w:after="200" w:line="276" w:lineRule="auto"/>
        <w:jc w:val="both"/>
        <w:rPr>
          <w:rFonts w:ascii="Century Gothic" w:hAnsi="Century Gothic" w:cs="Times New Roman"/>
          <w:sz w:val="24"/>
          <w:szCs w:val="24"/>
        </w:rPr>
      </w:pPr>
      <w:r w:rsidRPr="00831368">
        <w:rPr>
          <w:rFonts w:ascii="Century Gothic" w:hAnsi="Century Gothic" w:cs="Times New Roman"/>
          <w:sz w:val="24"/>
          <w:szCs w:val="24"/>
          <w:u w:val="single"/>
        </w:rPr>
        <w:t>Nom de zone humide</w:t>
      </w:r>
      <w:r w:rsidRPr="00831368">
        <w:rPr>
          <w:rFonts w:ascii="Century Gothic" w:hAnsi="Century Gothic" w:cs="Times New Roman"/>
          <w:sz w:val="24"/>
          <w:szCs w:val="24"/>
        </w:rPr>
        <w:t xml:space="preserve"> : </w:t>
      </w:r>
      <w:r w:rsidRPr="00831368">
        <w:rPr>
          <w:rFonts w:ascii="Century Gothic" w:hAnsi="Century Gothic" w:cs="Times New Roman"/>
          <w:b/>
          <w:bCs/>
          <w:sz w:val="24"/>
          <w:szCs w:val="24"/>
        </w:rPr>
        <w:t>Warle</w:t>
      </w:r>
      <w:r w:rsidRPr="00831368">
        <w:rPr>
          <w:rFonts w:ascii="Century Gothic" w:hAnsi="Century Gothic" w:cs="Times New Roman"/>
          <w:sz w:val="24"/>
          <w:szCs w:val="24"/>
        </w:rPr>
        <w:t xml:space="preserve"> </w:t>
      </w:r>
      <w:r>
        <w:rPr>
          <w:rFonts w:ascii="Century Gothic" w:hAnsi="Century Gothic" w:cs="Times New Roman"/>
          <w:sz w:val="24"/>
          <w:szCs w:val="24"/>
        </w:rPr>
        <w:t>(</w:t>
      </w:r>
      <w:r w:rsidRPr="00831368">
        <w:rPr>
          <w:rFonts w:ascii="Century Gothic" w:hAnsi="Century Gothic" w:cs="Times New Roman"/>
          <w:sz w:val="24"/>
          <w:szCs w:val="24"/>
          <w:u w:val="single"/>
        </w:rPr>
        <w:t>Commune</w:t>
      </w:r>
      <w:r w:rsidRPr="00831368">
        <w:rPr>
          <w:rFonts w:ascii="Century Gothic" w:hAnsi="Century Gothic" w:cs="Times New Roman"/>
          <w:sz w:val="24"/>
          <w:szCs w:val="24"/>
        </w:rPr>
        <w:t xml:space="preserve"> : Waly</w:t>
      </w:r>
      <w:r>
        <w:rPr>
          <w:rFonts w:ascii="Century Gothic" w:hAnsi="Century Gothic" w:cs="Times New Roman"/>
          <w:sz w:val="24"/>
          <w:szCs w:val="24"/>
        </w:rPr>
        <w:t>)</w:t>
      </w:r>
      <w:r w:rsidRPr="00831368">
        <w:rPr>
          <w:rFonts w:ascii="Century Gothic" w:hAnsi="Century Gothic" w:cs="Times New Roman"/>
          <w:sz w:val="24"/>
          <w:szCs w:val="24"/>
        </w:rPr>
        <w:t xml:space="preserve"> </w:t>
      </w:r>
    </w:p>
    <w:p w14:paraId="009F487C"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(15°22'50.86’’N ; 12°55'33.89’’O)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Permanent</w:t>
      </w:r>
    </w:p>
    <w:p w14:paraId="79AC7850"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6B9448D5" wp14:editId="32BB07D2">
            <wp:extent cx="2202815" cy="3948430"/>
            <wp:effectExtent l="0" t="0" r="0" b="0"/>
            <wp:docPr id="63" name="Image 42" descr="E:\Desktop\ZH\Images ZH\WARLE\DJI_01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2" descr="E:\Desktop\ZH\Images ZH\WARLE\DJI_0179.JPG"/>
                    <pic:cNvPicPr>
                      <a:picLocks/>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02815" cy="3948430"/>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4C27C141" wp14:editId="2C2DBCC5">
            <wp:extent cx="3781425" cy="3948430"/>
            <wp:effectExtent l="0" t="0" r="0" b="0"/>
            <wp:docPr id="64" name="Image 41" descr="E:\Desktop\ZH\Cartes des activités\Warl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1" descr="E:\Desktop\ZH\Cartes des activités\Warle.jpg"/>
                    <pic:cNvPicPr>
                      <a:picLocks/>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81425" cy="3948430"/>
                    </a:xfrm>
                    <a:prstGeom prst="rect">
                      <a:avLst/>
                    </a:prstGeom>
                    <a:noFill/>
                    <a:ln>
                      <a:noFill/>
                    </a:ln>
                  </pic:spPr>
                </pic:pic>
              </a:graphicData>
            </a:graphic>
          </wp:inline>
        </w:drawing>
      </w:r>
    </w:p>
    <w:p w14:paraId="689088E7"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Warle</w:t>
      </w:r>
    </w:p>
    <w:p w14:paraId="0BE0E442" w14:textId="77777777" w:rsidR="005625B5" w:rsidRPr="00831368" w:rsidRDefault="005625B5" w:rsidP="005625B5">
      <w:pPr>
        <w:spacing w:line="276" w:lineRule="auto"/>
        <w:jc w:val="both"/>
        <w:rPr>
          <w:rFonts w:ascii="Century Gothic" w:hAnsi="Century Gothic" w:cs="Times New Roman"/>
          <w:sz w:val="24"/>
          <w:szCs w:val="24"/>
        </w:rPr>
      </w:pPr>
      <w:r w:rsidRPr="00831368">
        <w:rPr>
          <w:rFonts w:ascii="Century Gothic" w:hAnsi="Century Gothic" w:cs="Times New Roman"/>
          <w:sz w:val="24"/>
          <w:szCs w:val="24"/>
          <w:u w:val="single"/>
        </w:rPr>
        <w:t>Ressources naturelles</w:t>
      </w:r>
      <w:r w:rsidRPr="00831368">
        <w:rPr>
          <w:rFonts w:ascii="Century Gothic" w:hAnsi="Century Gothic" w:cs="Times New Roman"/>
          <w:sz w:val="24"/>
          <w:szCs w:val="24"/>
        </w:rPr>
        <w:t xml:space="preserve"> (Biodiversité</w:t>
      </w:r>
      <w:proofErr w:type="gramStart"/>
      <w:r w:rsidRPr="00831368">
        <w:rPr>
          <w:rFonts w:ascii="Century Gothic" w:hAnsi="Century Gothic" w:cs="Times New Roman"/>
          <w:sz w:val="24"/>
          <w:szCs w:val="24"/>
        </w:rPr>
        <w:t>):</w:t>
      </w:r>
      <w:proofErr w:type="gramEnd"/>
      <w:r w:rsidRPr="00831368">
        <w:rPr>
          <w:rFonts w:ascii="Century Gothic" w:hAnsi="Century Gothic" w:cs="Times New Roman"/>
          <w:sz w:val="24"/>
          <w:szCs w:val="24"/>
        </w:rPr>
        <w:t xml:space="preserve"> </w:t>
      </w:r>
    </w:p>
    <w:p w14:paraId="4DA15F63" w14:textId="77777777" w:rsidR="005625B5" w:rsidRPr="00831368"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831368">
        <w:rPr>
          <w:rFonts w:ascii="Century Gothic" w:hAnsi="Century Gothic" w:cs="Times New Roman"/>
          <w:sz w:val="24"/>
          <w:szCs w:val="24"/>
        </w:rPr>
        <w:t xml:space="preserve">Ressources aquatiques : Plantes aquatiques (-) ; poisson (+)  </w:t>
      </w:r>
    </w:p>
    <w:p w14:paraId="42D547A2" w14:textId="77777777" w:rsidR="005625B5" w:rsidRPr="00831368"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831368">
        <w:rPr>
          <w:rFonts w:ascii="Century Gothic" w:hAnsi="Century Gothic" w:cs="Times New Roman"/>
          <w:sz w:val="24"/>
          <w:szCs w:val="24"/>
        </w:rPr>
        <w:t>Ressources forestières : Acacias (+) ; Balanites (+) ; Bauhinia (+) ; …</w:t>
      </w:r>
    </w:p>
    <w:p w14:paraId="0B29F68F" w14:textId="77777777" w:rsidR="005625B5" w:rsidRPr="00831368"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831368">
        <w:rPr>
          <w:rFonts w:ascii="Century Gothic" w:hAnsi="Century Gothic" w:cs="Times New Roman"/>
          <w:sz w:val="24"/>
          <w:szCs w:val="24"/>
        </w:rPr>
        <w:t>Ressources fauniques : Faune sauvage (+) ; avifaune (+) </w:t>
      </w:r>
    </w:p>
    <w:p w14:paraId="63E48438" w14:textId="77777777" w:rsidR="005625B5" w:rsidRPr="00831368" w:rsidRDefault="005625B5" w:rsidP="005625B5">
      <w:pPr>
        <w:spacing w:line="276" w:lineRule="auto"/>
        <w:jc w:val="both"/>
        <w:rPr>
          <w:rFonts w:ascii="Century Gothic" w:hAnsi="Century Gothic" w:cs="Times New Roman"/>
          <w:sz w:val="24"/>
          <w:szCs w:val="24"/>
        </w:rPr>
      </w:pPr>
      <w:r w:rsidRPr="00831368">
        <w:rPr>
          <w:rFonts w:ascii="Century Gothic" w:hAnsi="Century Gothic" w:cs="Times New Roman"/>
          <w:sz w:val="24"/>
          <w:szCs w:val="24"/>
          <w:u w:val="single"/>
        </w:rPr>
        <w:t>Activités socioéconomiques</w:t>
      </w:r>
      <w:r w:rsidRPr="00831368">
        <w:rPr>
          <w:rFonts w:ascii="Century Gothic" w:hAnsi="Century Gothic" w:cs="Times New Roman"/>
          <w:sz w:val="24"/>
          <w:szCs w:val="24"/>
        </w:rPr>
        <w:t xml:space="preserve"> : </w:t>
      </w:r>
    </w:p>
    <w:p w14:paraId="50B141FE" w14:textId="77777777" w:rsidR="005625B5" w:rsidRPr="00831368" w:rsidRDefault="005625B5" w:rsidP="005625B5">
      <w:pPr>
        <w:pStyle w:val="Paragraphedeliste"/>
        <w:numPr>
          <w:ilvl w:val="0"/>
          <w:numId w:val="74"/>
        </w:numPr>
        <w:spacing w:after="200" w:line="276" w:lineRule="auto"/>
        <w:jc w:val="both"/>
        <w:rPr>
          <w:rFonts w:ascii="Century Gothic" w:hAnsi="Century Gothic" w:cs="Times New Roman"/>
          <w:sz w:val="24"/>
          <w:szCs w:val="24"/>
        </w:rPr>
      </w:pPr>
      <w:r w:rsidRPr="00831368">
        <w:rPr>
          <w:rFonts w:ascii="Century Gothic" w:hAnsi="Century Gothic" w:cs="Times New Roman"/>
          <w:b/>
          <w:bCs/>
          <w:sz w:val="24"/>
          <w:szCs w:val="24"/>
        </w:rPr>
        <w:t>Agriculture</w:t>
      </w:r>
      <w:r w:rsidRPr="00831368">
        <w:rPr>
          <w:rFonts w:ascii="Century Gothic" w:hAnsi="Century Gothic" w:cs="Times New Roman"/>
          <w:sz w:val="24"/>
          <w:szCs w:val="24"/>
        </w:rPr>
        <w:t xml:space="preserve"> : Elle est pratiquée autour de la zone humide (sorgho, niébé, maïs) et le maraichage (calebasse, tomate aubergine, Bissap, …).   </w:t>
      </w:r>
    </w:p>
    <w:p w14:paraId="3B3D8B75" w14:textId="77777777" w:rsidR="005625B5" w:rsidRPr="00831368" w:rsidRDefault="005625B5" w:rsidP="005625B5">
      <w:pPr>
        <w:pStyle w:val="Paragraphedeliste"/>
        <w:numPr>
          <w:ilvl w:val="0"/>
          <w:numId w:val="74"/>
        </w:numPr>
        <w:spacing w:after="200" w:line="276" w:lineRule="auto"/>
        <w:jc w:val="both"/>
        <w:rPr>
          <w:rFonts w:ascii="Century Gothic" w:hAnsi="Century Gothic" w:cs="Times New Roman"/>
          <w:sz w:val="24"/>
          <w:szCs w:val="24"/>
        </w:rPr>
      </w:pPr>
      <w:r w:rsidRPr="00831368">
        <w:rPr>
          <w:rFonts w:ascii="Century Gothic" w:hAnsi="Century Gothic" w:cs="Times New Roman"/>
          <w:b/>
          <w:bCs/>
          <w:sz w:val="24"/>
          <w:szCs w:val="24"/>
        </w:rPr>
        <w:t>Elevage</w:t>
      </w:r>
      <w:r w:rsidRPr="00831368">
        <w:rPr>
          <w:rFonts w:ascii="Century Gothic" w:hAnsi="Century Gothic" w:cs="Times New Roman"/>
          <w:sz w:val="24"/>
          <w:szCs w:val="24"/>
        </w:rPr>
        <w:t xml:space="preserve"> : C’est un élevage extensif où les troupeaux viennent s’abreuver et pâturer dans la zone humide.    </w:t>
      </w:r>
    </w:p>
    <w:p w14:paraId="431BEDB5" w14:textId="77777777" w:rsidR="005625B5" w:rsidRPr="00831368" w:rsidRDefault="005625B5" w:rsidP="005625B5">
      <w:pPr>
        <w:pStyle w:val="Paragraphedeliste"/>
        <w:numPr>
          <w:ilvl w:val="0"/>
          <w:numId w:val="74"/>
        </w:numPr>
        <w:spacing w:after="200" w:line="276" w:lineRule="auto"/>
        <w:jc w:val="both"/>
        <w:rPr>
          <w:rFonts w:ascii="Century Gothic" w:hAnsi="Century Gothic" w:cs="Times New Roman"/>
          <w:sz w:val="24"/>
          <w:szCs w:val="24"/>
        </w:rPr>
      </w:pPr>
      <w:r w:rsidRPr="00831368">
        <w:rPr>
          <w:rFonts w:ascii="Century Gothic" w:hAnsi="Century Gothic" w:cs="Times New Roman"/>
          <w:b/>
          <w:bCs/>
          <w:sz w:val="24"/>
          <w:szCs w:val="24"/>
        </w:rPr>
        <w:t>Pêche</w:t>
      </w:r>
      <w:r w:rsidRPr="00831368">
        <w:rPr>
          <w:rFonts w:ascii="Century Gothic" w:hAnsi="Century Gothic" w:cs="Times New Roman"/>
          <w:sz w:val="24"/>
          <w:szCs w:val="24"/>
        </w:rPr>
        <w:t xml:space="preserve"> : C’est une activité majeure de la zone humide. Elle est ouverte du mois de mai ou juin pour fermer en juillet (début de des pluies). Lors de la cérémonie d’ouverture, les villageois participent à la pêche.   </w:t>
      </w:r>
    </w:p>
    <w:p w14:paraId="217B094E" w14:textId="77777777" w:rsidR="005625B5" w:rsidRPr="00BC576E" w:rsidRDefault="005625B5" w:rsidP="005625B5">
      <w:pPr>
        <w:pStyle w:val="Paragraphedeliste"/>
        <w:numPr>
          <w:ilvl w:val="0"/>
          <w:numId w:val="74"/>
        </w:numPr>
        <w:spacing w:after="200" w:line="276" w:lineRule="auto"/>
        <w:jc w:val="both"/>
        <w:rPr>
          <w:rFonts w:ascii="Century Gothic" w:hAnsi="Century Gothic" w:cs="Times New Roman"/>
          <w:sz w:val="24"/>
          <w:szCs w:val="24"/>
        </w:rPr>
      </w:pPr>
      <w:r w:rsidRPr="00831368">
        <w:rPr>
          <w:rFonts w:ascii="Century Gothic" w:hAnsi="Century Gothic" w:cs="Times New Roman"/>
          <w:b/>
          <w:bCs/>
          <w:sz w:val="24"/>
          <w:szCs w:val="24"/>
        </w:rPr>
        <w:t>Foresterie</w:t>
      </w:r>
      <w:r w:rsidRPr="00831368">
        <w:rPr>
          <w:rFonts w:ascii="Century Gothic" w:hAnsi="Century Gothic" w:cs="Times New Roman"/>
          <w:sz w:val="24"/>
          <w:szCs w:val="24"/>
        </w:rPr>
        <w:t xml:space="preserve"> : </w:t>
      </w:r>
      <w:r>
        <w:rPr>
          <w:rFonts w:ascii="Century Gothic" w:hAnsi="Century Gothic" w:cs="Times New Roman"/>
          <w:sz w:val="24"/>
          <w:szCs w:val="24"/>
        </w:rPr>
        <w:t>L</w:t>
      </w:r>
      <w:r w:rsidRPr="00831368">
        <w:rPr>
          <w:rFonts w:ascii="Century Gothic" w:hAnsi="Century Gothic" w:cs="Times New Roman"/>
          <w:sz w:val="24"/>
          <w:szCs w:val="24"/>
        </w:rPr>
        <w:t xml:space="preserve">e bois est coupé pour faire des clôtures et le charbon de bois. </w:t>
      </w:r>
    </w:p>
    <w:p w14:paraId="0820B2EE" w14:textId="77777777" w:rsidR="005625B5" w:rsidRDefault="005625B5" w:rsidP="005625B5">
      <w:pPr>
        <w:pStyle w:val="Paragraphedeliste"/>
        <w:spacing w:after="200" w:line="276" w:lineRule="auto"/>
        <w:jc w:val="both"/>
        <w:rPr>
          <w:rFonts w:ascii="Century Gothic" w:hAnsi="Century Gothic" w:cs="Times New Roman"/>
          <w:sz w:val="24"/>
          <w:szCs w:val="24"/>
        </w:rPr>
      </w:pPr>
    </w:p>
    <w:p w14:paraId="697D13C6" w14:textId="77777777" w:rsidR="005625B5" w:rsidRPr="00BC576E" w:rsidRDefault="005625B5" w:rsidP="005625B5">
      <w:pPr>
        <w:pStyle w:val="Paragraphedeliste"/>
        <w:numPr>
          <w:ilvl w:val="0"/>
          <w:numId w:val="37"/>
        </w:numPr>
        <w:spacing w:after="200" w:line="276" w:lineRule="auto"/>
        <w:jc w:val="both"/>
        <w:rPr>
          <w:rFonts w:ascii="Century Gothic" w:hAnsi="Century Gothic" w:cs="Times New Roman"/>
          <w:sz w:val="24"/>
          <w:szCs w:val="24"/>
        </w:rPr>
      </w:pPr>
      <w:r w:rsidRPr="00BC576E">
        <w:rPr>
          <w:rFonts w:ascii="Century Gothic" w:hAnsi="Century Gothic" w:cs="Times New Roman"/>
          <w:sz w:val="24"/>
          <w:szCs w:val="24"/>
          <w:u w:val="single"/>
        </w:rPr>
        <w:t>Nom de zone humide</w:t>
      </w:r>
      <w:r w:rsidRPr="00BC576E">
        <w:rPr>
          <w:rFonts w:ascii="Century Gothic" w:hAnsi="Century Gothic" w:cs="Times New Roman"/>
          <w:sz w:val="24"/>
          <w:szCs w:val="24"/>
        </w:rPr>
        <w:t xml:space="preserve"> : </w:t>
      </w:r>
      <w:r w:rsidRPr="00BC576E">
        <w:rPr>
          <w:rFonts w:ascii="Century Gothic" w:hAnsi="Century Gothic" w:cs="Times New Roman"/>
          <w:b/>
          <w:bCs/>
          <w:sz w:val="24"/>
          <w:szCs w:val="24"/>
        </w:rPr>
        <w:t>Windou Meye</w:t>
      </w:r>
      <w:r w:rsidRPr="00BC576E">
        <w:rPr>
          <w:rFonts w:ascii="Century Gothic" w:hAnsi="Century Gothic" w:cs="Times New Roman"/>
          <w:sz w:val="24"/>
          <w:szCs w:val="24"/>
        </w:rPr>
        <w:t xml:space="preserve"> </w:t>
      </w:r>
      <w:r>
        <w:rPr>
          <w:rFonts w:ascii="Century Gothic" w:hAnsi="Century Gothic" w:cs="Times New Roman"/>
          <w:sz w:val="24"/>
          <w:szCs w:val="24"/>
        </w:rPr>
        <w:t>(</w:t>
      </w:r>
      <w:r w:rsidRPr="00BC576E">
        <w:rPr>
          <w:rFonts w:ascii="Century Gothic" w:hAnsi="Century Gothic" w:cs="Times New Roman"/>
          <w:sz w:val="24"/>
          <w:szCs w:val="24"/>
          <w:u w:val="single"/>
        </w:rPr>
        <w:t>Commune</w:t>
      </w:r>
      <w:r w:rsidRPr="00BC576E">
        <w:rPr>
          <w:rFonts w:ascii="Century Gothic" w:hAnsi="Century Gothic" w:cs="Times New Roman"/>
          <w:sz w:val="24"/>
          <w:szCs w:val="24"/>
        </w:rPr>
        <w:t xml:space="preserve"> : Dolol</w:t>
      </w:r>
      <w:r>
        <w:rPr>
          <w:rFonts w:ascii="Century Gothic" w:hAnsi="Century Gothic" w:cs="Times New Roman"/>
          <w:sz w:val="24"/>
          <w:szCs w:val="24"/>
        </w:rPr>
        <w:t xml:space="preserve">) </w:t>
      </w:r>
      <w:r w:rsidRPr="00BC576E">
        <w:rPr>
          <w:rFonts w:ascii="Century Gothic" w:hAnsi="Century Gothic" w:cs="Times New Roman"/>
          <w:sz w:val="24"/>
          <w:szCs w:val="24"/>
        </w:rPr>
        <w:t xml:space="preserve"> </w:t>
      </w:r>
    </w:p>
    <w:p w14:paraId="7E6C7F6C"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(15°31'13.36’’N ; 13°4'37.36’’O)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Permanent</w:t>
      </w:r>
    </w:p>
    <w:p w14:paraId="2361530A" w14:textId="77777777" w:rsidR="005625B5" w:rsidRPr="00C047A0" w:rsidRDefault="005625B5" w:rsidP="005625B5">
      <w:pPr>
        <w:spacing w:line="276" w:lineRule="auto"/>
        <w:jc w:val="center"/>
        <w:rPr>
          <w:rFonts w:ascii="Century Gothic" w:hAnsi="Century Gothic" w:cs="Times New Roman"/>
          <w:sz w:val="24"/>
          <w:szCs w:val="24"/>
        </w:rPr>
      </w:pPr>
      <w:r w:rsidRPr="00A516A0">
        <w:rPr>
          <w:noProof/>
          <w:lang w:eastAsia="fr-FR"/>
        </w:rPr>
        <w:drawing>
          <wp:inline distT="0" distB="0" distL="0" distR="0" wp14:anchorId="71AFA974" wp14:editId="7B04C9D0">
            <wp:extent cx="2527935" cy="4047490"/>
            <wp:effectExtent l="0" t="0" r="0" b="0"/>
            <wp:docPr id="65" name="Image 40" descr="E:\Desktop\ZH\Images ZH\MEYE\DJI_088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0" descr="E:\Desktop\ZH\Images ZH\MEYE\DJI_0882.JPG"/>
                    <pic:cNvPicPr>
                      <a:picLocks/>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27935" cy="4047490"/>
                    </a:xfrm>
                    <a:prstGeom prst="rect">
                      <a:avLst/>
                    </a:prstGeom>
                    <a:noFill/>
                    <a:ln>
                      <a:noFill/>
                    </a:ln>
                  </pic:spPr>
                </pic:pic>
              </a:graphicData>
            </a:graphic>
          </wp:inline>
        </w:drawing>
      </w:r>
      <w:r w:rsidRPr="00FD184A">
        <w:rPr>
          <w:rFonts w:ascii="Century Gothic" w:hAnsi="Century Gothic" w:cs="Times New Roman"/>
          <w:noProof/>
          <w:sz w:val="24"/>
          <w:szCs w:val="24"/>
          <w:lang w:eastAsia="fr-FR"/>
        </w:rPr>
        <w:drawing>
          <wp:inline distT="0" distB="0" distL="0" distR="0" wp14:anchorId="01BF2861" wp14:editId="1D7CAF70">
            <wp:extent cx="3535680" cy="4051935"/>
            <wp:effectExtent l="0" t="0" r="0" b="0"/>
            <wp:docPr id="66" name="Image 39" descr="E:\Desktop\ZH\Cartes des activités\Mey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9" descr="E:\Desktop\ZH\Cartes des activités\Meye.jpg"/>
                    <pic:cNvPicPr>
                      <a:picLocks/>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535680" cy="4051935"/>
                    </a:xfrm>
                    <a:prstGeom prst="rect">
                      <a:avLst/>
                    </a:prstGeom>
                    <a:noFill/>
                    <a:ln>
                      <a:noFill/>
                    </a:ln>
                  </pic:spPr>
                </pic:pic>
              </a:graphicData>
            </a:graphic>
          </wp:inline>
        </w:drawing>
      </w:r>
    </w:p>
    <w:p w14:paraId="67BB6366"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Windou Meye</w:t>
      </w:r>
    </w:p>
    <w:p w14:paraId="1AE125CF" w14:textId="77777777" w:rsidR="005625B5" w:rsidRPr="001839C6" w:rsidRDefault="005625B5" w:rsidP="005625B5">
      <w:pPr>
        <w:spacing w:line="276" w:lineRule="auto"/>
        <w:jc w:val="both"/>
        <w:rPr>
          <w:rFonts w:ascii="Century Gothic" w:hAnsi="Century Gothic" w:cs="Times New Roman"/>
          <w:sz w:val="24"/>
          <w:szCs w:val="24"/>
        </w:rPr>
      </w:pPr>
    </w:p>
    <w:p w14:paraId="4A74434D" w14:textId="77777777" w:rsidR="005625B5" w:rsidRPr="00BC576E" w:rsidRDefault="005625B5" w:rsidP="005625B5">
      <w:pPr>
        <w:spacing w:line="276" w:lineRule="auto"/>
        <w:jc w:val="both"/>
        <w:rPr>
          <w:rFonts w:ascii="Century Gothic" w:hAnsi="Century Gothic" w:cs="Times New Roman"/>
          <w:sz w:val="24"/>
          <w:szCs w:val="24"/>
        </w:rPr>
      </w:pPr>
      <w:r w:rsidRPr="00BC576E">
        <w:rPr>
          <w:rFonts w:ascii="Century Gothic" w:hAnsi="Century Gothic" w:cs="Times New Roman"/>
          <w:sz w:val="24"/>
          <w:szCs w:val="24"/>
          <w:u w:val="single"/>
        </w:rPr>
        <w:t>Ressources naturelles</w:t>
      </w:r>
      <w:r w:rsidRPr="00BC576E">
        <w:rPr>
          <w:rFonts w:ascii="Century Gothic" w:hAnsi="Century Gothic" w:cs="Times New Roman"/>
          <w:sz w:val="24"/>
          <w:szCs w:val="24"/>
        </w:rPr>
        <w:t xml:space="preserve"> (Biodiversité</w:t>
      </w:r>
      <w:proofErr w:type="gramStart"/>
      <w:r w:rsidRPr="00BC576E">
        <w:rPr>
          <w:rFonts w:ascii="Century Gothic" w:hAnsi="Century Gothic" w:cs="Times New Roman"/>
          <w:sz w:val="24"/>
          <w:szCs w:val="24"/>
        </w:rPr>
        <w:t>):</w:t>
      </w:r>
      <w:proofErr w:type="gramEnd"/>
      <w:r w:rsidRPr="00BC576E">
        <w:rPr>
          <w:rFonts w:ascii="Century Gothic" w:hAnsi="Century Gothic" w:cs="Times New Roman"/>
          <w:sz w:val="24"/>
          <w:szCs w:val="24"/>
        </w:rPr>
        <w:t xml:space="preserve"> </w:t>
      </w:r>
    </w:p>
    <w:p w14:paraId="6946B74A" w14:textId="77777777" w:rsidR="005625B5" w:rsidRPr="00BC576E"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BC576E">
        <w:rPr>
          <w:rFonts w:ascii="Century Gothic" w:hAnsi="Century Gothic" w:cs="Times New Roman"/>
          <w:sz w:val="24"/>
          <w:szCs w:val="24"/>
        </w:rPr>
        <w:t xml:space="preserve">Ressources aquatiques : Plantes aquatiques (+) ; poisson (+)  </w:t>
      </w:r>
    </w:p>
    <w:p w14:paraId="58F27550" w14:textId="77777777" w:rsidR="005625B5" w:rsidRPr="00BC576E"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BC576E">
        <w:rPr>
          <w:rFonts w:ascii="Century Gothic" w:hAnsi="Century Gothic" w:cs="Times New Roman"/>
          <w:sz w:val="24"/>
          <w:szCs w:val="24"/>
        </w:rPr>
        <w:t>Ressources forestières : Acacias (+) ; Balanites (+) ; Bauhinia (+) ; …</w:t>
      </w:r>
    </w:p>
    <w:p w14:paraId="688B5953" w14:textId="77777777" w:rsidR="005625B5" w:rsidRPr="00BC576E"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BC576E">
        <w:rPr>
          <w:rFonts w:ascii="Century Gothic" w:hAnsi="Century Gothic" w:cs="Times New Roman"/>
          <w:sz w:val="24"/>
          <w:szCs w:val="24"/>
        </w:rPr>
        <w:t>Ressources fauniques : Faune sauvage (+) ; avifaune (+) </w:t>
      </w:r>
    </w:p>
    <w:p w14:paraId="44EEA822" w14:textId="77777777" w:rsidR="005625B5" w:rsidRPr="00BC576E" w:rsidRDefault="005625B5" w:rsidP="005625B5">
      <w:pPr>
        <w:spacing w:line="276" w:lineRule="auto"/>
        <w:jc w:val="both"/>
        <w:rPr>
          <w:rFonts w:ascii="Century Gothic" w:hAnsi="Century Gothic" w:cs="Times New Roman"/>
          <w:sz w:val="24"/>
          <w:szCs w:val="24"/>
        </w:rPr>
      </w:pPr>
      <w:r w:rsidRPr="00BC576E">
        <w:rPr>
          <w:rFonts w:ascii="Century Gothic" w:hAnsi="Century Gothic" w:cs="Times New Roman"/>
          <w:sz w:val="24"/>
          <w:szCs w:val="24"/>
          <w:u w:val="single"/>
        </w:rPr>
        <w:t>Activités socioéconomiques</w:t>
      </w:r>
      <w:r w:rsidRPr="00BC576E">
        <w:rPr>
          <w:rFonts w:ascii="Century Gothic" w:hAnsi="Century Gothic" w:cs="Times New Roman"/>
          <w:sz w:val="24"/>
          <w:szCs w:val="24"/>
        </w:rPr>
        <w:t xml:space="preserve"> : </w:t>
      </w:r>
    </w:p>
    <w:p w14:paraId="12B4F82C" w14:textId="77777777" w:rsidR="005625B5" w:rsidRPr="00BC576E" w:rsidRDefault="005625B5" w:rsidP="005625B5">
      <w:pPr>
        <w:pStyle w:val="Paragraphedeliste"/>
        <w:numPr>
          <w:ilvl w:val="0"/>
          <w:numId w:val="73"/>
        </w:numPr>
        <w:spacing w:after="200" w:line="276" w:lineRule="auto"/>
        <w:jc w:val="both"/>
        <w:rPr>
          <w:rFonts w:ascii="Century Gothic" w:hAnsi="Century Gothic" w:cs="Times New Roman"/>
          <w:sz w:val="24"/>
          <w:szCs w:val="24"/>
        </w:rPr>
      </w:pPr>
      <w:r w:rsidRPr="00BC576E">
        <w:rPr>
          <w:rFonts w:ascii="Century Gothic" w:hAnsi="Century Gothic" w:cs="Times New Roman"/>
          <w:b/>
          <w:bCs/>
          <w:sz w:val="24"/>
          <w:szCs w:val="24"/>
        </w:rPr>
        <w:t>Agriculture</w:t>
      </w:r>
      <w:r w:rsidRPr="00BC576E">
        <w:rPr>
          <w:rFonts w:ascii="Century Gothic" w:hAnsi="Century Gothic" w:cs="Times New Roman"/>
          <w:sz w:val="24"/>
          <w:szCs w:val="24"/>
        </w:rPr>
        <w:t xml:space="preserve"> : Elle est pratiquée autour de la zone humide (sorgho, niébé, maïs) et le maraichage (calebasse, tomate aubergine, Bissap, …).   </w:t>
      </w:r>
    </w:p>
    <w:p w14:paraId="43A15EF7" w14:textId="77777777" w:rsidR="005625B5" w:rsidRPr="00BC576E" w:rsidRDefault="005625B5" w:rsidP="005625B5">
      <w:pPr>
        <w:pStyle w:val="Paragraphedeliste"/>
        <w:numPr>
          <w:ilvl w:val="0"/>
          <w:numId w:val="73"/>
        </w:numPr>
        <w:spacing w:after="200" w:line="276" w:lineRule="auto"/>
        <w:jc w:val="both"/>
        <w:rPr>
          <w:rFonts w:ascii="Century Gothic" w:hAnsi="Century Gothic" w:cs="Times New Roman"/>
          <w:sz w:val="24"/>
          <w:szCs w:val="24"/>
        </w:rPr>
      </w:pPr>
      <w:r w:rsidRPr="00BC576E">
        <w:rPr>
          <w:rFonts w:ascii="Century Gothic" w:hAnsi="Century Gothic" w:cs="Times New Roman"/>
          <w:b/>
          <w:bCs/>
          <w:sz w:val="24"/>
          <w:szCs w:val="24"/>
        </w:rPr>
        <w:t>Elevage</w:t>
      </w:r>
      <w:r w:rsidRPr="00BC576E">
        <w:rPr>
          <w:rFonts w:ascii="Century Gothic" w:hAnsi="Century Gothic" w:cs="Times New Roman"/>
          <w:sz w:val="24"/>
          <w:szCs w:val="24"/>
        </w:rPr>
        <w:t xml:space="preserve"> : C’est un élevage extensif où les troupeaux viennent s’abreuver et pâturer dans la zone humide.    </w:t>
      </w:r>
    </w:p>
    <w:p w14:paraId="20C4FF4D" w14:textId="77777777" w:rsidR="005625B5" w:rsidRPr="00BC576E" w:rsidRDefault="005625B5" w:rsidP="005625B5">
      <w:pPr>
        <w:pStyle w:val="Paragraphedeliste"/>
        <w:numPr>
          <w:ilvl w:val="0"/>
          <w:numId w:val="73"/>
        </w:numPr>
        <w:spacing w:after="200" w:line="276" w:lineRule="auto"/>
        <w:jc w:val="both"/>
        <w:rPr>
          <w:rFonts w:ascii="Century Gothic" w:hAnsi="Century Gothic" w:cs="Times New Roman"/>
          <w:sz w:val="24"/>
          <w:szCs w:val="24"/>
        </w:rPr>
      </w:pPr>
      <w:r w:rsidRPr="00BC576E">
        <w:rPr>
          <w:rFonts w:ascii="Century Gothic" w:hAnsi="Century Gothic" w:cs="Times New Roman"/>
          <w:b/>
          <w:bCs/>
          <w:sz w:val="24"/>
          <w:szCs w:val="24"/>
        </w:rPr>
        <w:t>Pêche</w:t>
      </w:r>
      <w:r w:rsidRPr="00BC576E">
        <w:rPr>
          <w:rFonts w:ascii="Century Gothic" w:hAnsi="Century Gothic" w:cs="Times New Roman"/>
          <w:sz w:val="24"/>
          <w:szCs w:val="24"/>
        </w:rPr>
        <w:t xml:space="preserve"> : L’activité de la pêche est dirigée par un comité de gestion local constitué de plusieurs villages et le leader est le village de Dolol Siwré.     </w:t>
      </w:r>
    </w:p>
    <w:p w14:paraId="4082F115" w14:textId="77777777" w:rsidR="005625B5" w:rsidRDefault="005625B5" w:rsidP="005625B5">
      <w:pPr>
        <w:pStyle w:val="Paragraphedeliste"/>
        <w:numPr>
          <w:ilvl w:val="0"/>
          <w:numId w:val="73"/>
        </w:numPr>
        <w:spacing w:after="200" w:line="276" w:lineRule="auto"/>
        <w:jc w:val="both"/>
        <w:rPr>
          <w:rFonts w:ascii="Century Gothic" w:hAnsi="Century Gothic" w:cs="Times New Roman"/>
          <w:sz w:val="24"/>
          <w:szCs w:val="24"/>
        </w:rPr>
      </w:pPr>
      <w:r w:rsidRPr="00BC576E">
        <w:rPr>
          <w:rFonts w:ascii="Century Gothic" w:hAnsi="Century Gothic" w:cs="Times New Roman"/>
          <w:b/>
          <w:bCs/>
          <w:sz w:val="24"/>
          <w:szCs w:val="24"/>
        </w:rPr>
        <w:t>Foresterie</w:t>
      </w:r>
      <w:r w:rsidRPr="00BC576E">
        <w:rPr>
          <w:rFonts w:ascii="Century Gothic" w:hAnsi="Century Gothic" w:cs="Times New Roman"/>
          <w:sz w:val="24"/>
          <w:szCs w:val="24"/>
        </w:rPr>
        <w:t xml:space="preserve"> : le bois est coupé pour faire des clôtures et le charbon de bois. </w:t>
      </w:r>
    </w:p>
    <w:p w14:paraId="7A6790BC" w14:textId="77777777" w:rsidR="005625B5" w:rsidRPr="008A6E4C"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8A6E4C">
        <w:rPr>
          <w:rFonts w:ascii="Century Gothic" w:hAnsi="Century Gothic" w:cs="Times New Roman"/>
          <w:sz w:val="24"/>
          <w:szCs w:val="24"/>
          <w:u w:val="single"/>
        </w:rPr>
        <w:t>Nom de zone humide</w:t>
      </w:r>
      <w:r w:rsidRPr="008A6E4C">
        <w:rPr>
          <w:rFonts w:ascii="Century Gothic" w:hAnsi="Century Gothic" w:cs="Times New Roman"/>
          <w:sz w:val="24"/>
          <w:szCs w:val="24"/>
        </w:rPr>
        <w:t xml:space="preserve"> : </w:t>
      </w:r>
      <w:r w:rsidRPr="008A6E4C">
        <w:rPr>
          <w:rFonts w:ascii="Century Gothic" w:hAnsi="Century Gothic" w:cs="Times New Roman"/>
          <w:b/>
          <w:bCs/>
          <w:sz w:val="24"/>
          <w:szCs w:val="24"/>
        </w:rPr>
        <w:t xml:space="preserve">Windou Youbama </w:t>
      </w:r>
      <w:r>
        <w:rPr>
          <w:rFonts w:ascii="Century Gothic" w:hAnsi="Century Gothic" w:cs="Times New Roman"/>
          <w:sz w:val="24"/>
          <w:szCs w:val="24"/>
        </w:rPr>
        <w:t>(</w:t>
      </w:r>
      <w:r w:rsidRPr="008A6E4C">
        <w:rPr>
          <w:rFonts w:ascii="Century Gothic" w:hAnsi="Century Gothic" w:cs="Times New Roman"/>
          <w:sz w:val="24"/>
          <w:szCs w:val="24"/>
          <w:u w:val="single"/>
        </w:rPr>
        <w:t>Commune</w:t>
      </w:r>
      <w:r w:rsidRPr="008A6E4C">
        <w:rPr>
          <w:rFonts w:ascii="Century Gothic" w:hAnsi="Century Gothic" w:cs="Times New Roman"/>
          <w:sz w:val="24"/>
          <w:szCs w:val="24"/>
        </w:rPr>
        <w:t xml:space="preserve"> : Maghama</w:t>
      </w:r>
      <w:r>
        <w:rPr>
          <w:rFonts w:ascii="Century Gothic" w:hAnsi="Century Gothic" w:cs="Times New Roman"/>
          <w:sz w:val="24"/>
          <w:szCs w:val="24"/>
        </w:rPr>
        <w:t>)</w:t>
      </w:r>
      <w:r w:rsidRPr="008A6E4C">
        <w:rPr>
          <w:rFonts w:ascii="Century Gothic" w:hAnsi="Century Gothic" w:cs="Times New Roman"/>
          <w:sz w:val="24"/>
          <w:szCs w:val="24"/>
        </w:rPr>
        <w:t xml:space="preserve"> </w:t>
      </w:r>
    </w:p>
    <w:p w14:paraId="722881E4"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(15°32'58.93’’N ; 12°49'19.12’’O)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xml:space="preserve"> : 10 mois </w:t>
      </w:r>
    </w:p>
    <w:p w14:paraId="170C02F0"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536316E2" wp14:editId="1B71B99D">
            <wp:extent cx="2580640" cy="3749040"/>
            <wp:effectExtent l="0" t="0" r="0" b="0"/>
            <wp:docPr id="67" name="Image 38" descr="E:\Desktop\ZH\Images ZH\YOUBAME\DJI_06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8" descr="E:\Desktop\ZH\Images ZH\YOUBAME\DJI_0622.JPG"/>
                    <pic:cNvPicPr>
                      <a:picLocks/>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80640" cy="3749040"/>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74EA89E2" wp14:editId="64B898BD">
            <wp:extent cx="3348990" cy="3749040"/>
            <wp:effectExtent l="0" t="0" r="0" b="0"/>
            <wp:docPr id="68" name="Image 37" descr="E:\Desktop\ZH\Cartes des activités\Youbam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7" descr="E:\Desktop\ZH\Cartes des activités\Youbame.jpg"/>
                    <pic:cNvPicPr>
                      <a:picLocks/>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48990" cy="3749040"/>
                    </a:xfrm>
                    <a:prstGeom prst="rect">
                      <a:avLst/>
                    </a:prstGeom>
                    <a:noFill/>
                    <a:ln>
                      <a:noFill/>
                    </a:ln>
                  </pic:spPr>
                </pic:pic>
              </a:graphicData>
            </a:graphic>
          </wp:inline>
        </w:drawing>
      </w:r>
    </w:p>
    <w:p w14:paraId="42D97573"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Windou Youbame</w:t>
      </w:r>
    </w:p>
    <w:p w14:paraId="2B7B8276" w14:textId="77777777" w:rsidR="005625B5" w:rsidRPr="001839C6" w:rsidRDefault="005625B5" w:rsidP="005625B5">
      <w:pPr>
        <w:spacing w:line="276" w:lineRule="auto"/>
        <w:jc w:val="both"/>
        <w:rPr>
          <w:rFonts w:ascii="Century Gothic" w:hAnsi="Century Gothic" w:cs="Times New Roman"/>
          <w:sz w:val="24"/>
          <w:szCs w:val="24"/>
        </w:rPr>
      </w:pPr>
    </w:p>
    <w:p w14:paraId="3C48BFDC" w14:textId="77777777" w:rsidR="005625B5" w:rsidRPr="008A6E4C" w:rsidRDefault="005625B5" w:rsidP="005625B5">
      <w:pPr>
        <w:spacing w:line="276" w:lineRule="auto"/>
        <w:jc w:val="both"/>
        <w:rPr>
          <w:rFonts w:ascii="Century Gothic" w:hAnsi="Century Gothic" w:cs="Times New Roman"/>
          <w:sz w:val="24"/>
          <w:szCs w:val="24"/>
        </w:rPr>
      </w:pPr>
      <w:r w:rsidRPr="008A6E4C">
        <w:rPr>
          <w:rFonts w:ascii="Century Gothic" w:hAnsi="Century Gothic" w:cs="Times New Roman"/>
          <w:sz w:val="24"/>
          <w:szCs w:val="24"/>
        </w:rPr>
        <w:t>Ressources naturelles (Biodivesité</w:t>
      </w:r>
      <w:proofErr w:type="gramStart"/>
      <w:r w:rsidRPr="008A6E4C">
        <w:rPr>
          <w:rFonts w:ascii="Century Gothic" w:hAnsi="Century Gothic" w:cs="Times New Roman"/>
          <w:sz w:val="24"/>
          <w:szCs w:val="24"/>
        </w:rPr>
        <w:t>):</w:t>
      </w:r>
      <w:proofErr w:type="gramEnd"/>
      <w:r w:rsidRPr="008A6E4C">
        <w:rPr>
          <w:rFonts w:ascii="Century Gothic" w:hAnsi="Century Gothic" w:cs="Times New Roman"/>
          <w:sz w:val="24"/>
          <w:szCs w:val="24"/>
        </w:rPr>
        <w:t xml:space="preserve"> </w:t>
      </w:r>
    </w:p>
    <w:p w14:paraId="4DF53057" w14:textId="77777777" w:rsidR="005625B5" w:rsidRPr="008A6E4C"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8A6E4C">
        <w:rPr>
          <w:rFonts w:ascii="Century Gothic" w:hAnsi="Century Gothic" w:cs="Times New Roman"/>
          <w:sz w:val="24"/>
          <w:szCs w:val="24"/>
        </w:rPr>
        <w:t xml:space="preserve">Ressources aquatiques : Plantes aquatiques (-) ; poisson (+)  </w:t>
      </w:r>
    </w:p>
    <w:p w14:paraId="524C5624" w14:textId="77777777" w:rsidR="005625B5" w:rsidRPr="008A6E4C"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8A6E4C">
        <w:rPr>
          <w:rFonts w:ascii="Century Gothic" w:hAnsi="Century Gothic" w:cs="Times New Roman"/>
          <w:sz w:val="24"/>
          <w:szCs w:val="24"/>
        </w:rPr>
        <w:t>Ressources forestières : Acacias (+) ; Balanites (+) ; Bauhinia (+) ; …</w:t>
      </w:r>
    </w:p>
    <w:p w14:paraId="5591896E" w14:textId="77777777" w:rsidR="005625B5" w:rsidRPr="008A6E4C"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8A6E4C">
        <w:rPr>
          <w:rFonts w:ascii="Century Gothic" w:hAnsi="Century Gothic" w:cs="Times New Roman"/>
          <w:sz w:val="24"/>
          <w:szCs w:val="24"/>
        </w:rPr>
        <w:t>Ressources fauniques : Faune sauvage (+) ; avifaune (+) </w:t>
      </w:r>
    </w:p>
    <w:p w14:paraId="4B521F72" w14:textId="77777777" w:rsidR="005625B5" w:rsidRPr="008A6E4C" w:rsidRDefault="005625B5" w:rsidP="005625B5">
      <w:pPr>
        <w:spacing w:line="276" w:lineRule="auto"/>
        <w:jc w:val="both"/>
        <w:rPr>
          <w:rFonts w:ascii="Century Gothic" w:hAnsi="Century Gothic" w:cs="Times New Roman"/>
          <w:sz w:val="24"/>
          <w:szCs w:val="24"/>
        </w:rPr>
      </w:pPr>
      <w:r w:rsidRPr="008A6E4C">
        <w:rPr>
          <w:rFonts w:ascii="Century Gothic" w:hAnsi="Century Gothic" w:cs="Times New Roman"/>
          <w:sz w:val="24"/>
          <w:szCs w:val="24"/>
          <w:u w:val="single"/>
        </w:rPr>
        <w:t>Activités socioéconomiques</w:t>
      </w:r>
      <w:r w:rsidRPr="008A6E4C">
        <w:rPr>
          <w:rFonts w:ascii="Century Gothic" w:hAnsi="Century Gothic" w:cs="Times New Roman"/>
          <w:sz w:val="24"/>
          <w:szCs w:val="24"/>
        </w:rPr>
        <w:t xml:space="preserve"> : </w:t>
      </w:r>
    </w:p>
    <w:p w14:paraId="288D3421" w14:textId="77777777" w:rsidR="005625B5" w:rsidRPr="008A6E4C" w:rsidRDefault="005625B5" w:rsidP="005625B5">
      <w:pPr>
        <w:pStyle w:val="Paragraphedeliste"/>
        <w:numPr>
          <w:ilvl w:val="0"/>
          <w:numId w:val="75"/>
        </w:numPr>
        <w:spacing w:after="200" w:line="276" w:lineRule="auto"/>
        <w:jc w:val="both"/>
        <w:rPr>
          <w:rFonts w:ascii="Century Gothic" w:hAnsi="Century Gothic" w:cs="Times New Roman"/>
          <w:sz w:val="24"/>
          <w:szCs w:val="24"/>
        </w:rPr>
      </w:pPr>
      <w:r w:rsidRPr="008A6E4C">
        <w:rPr>
          <w:rFonts w:ascii="Century Gothic" w:hAnsi="Century Gothic" w:cs="Times New Roman"/>
          <w:b/>
          <w:bCs/>
          <w:sz w:val="24"/>
          <w:szCs w:val="24"/>
        </w:rPr>
        <w:t>Agriculture</w:t>
      </w:r>
      <w:r w:rsidRPr="008A6E4C">
        <w:rPr>
          <w:rFonts w:ascii="Century Gothic" w:hAnsi="Century Gothic" w:cs="Times New Roman"/>
          <w:sz w:val="24"/>
          <w:szCs w:val="24"/>
        </w:rPr>
        <w:t xml:space="preserve"> : Elle est pratiquée autour de la zone humide (sorgho, niébé, maïs) et le maraichage.   </w:t>
      </w:r>
    </w:p>
    <w:p w14:paraId="4C15960D" w14:textId="77777777" w:rsidR="005625B5" w:rsidRPr="008A6E4C" w:rsidRDefault="005625B5" w:rsidP="005625B5">
      <w:pPr>
        <w:pStyle w:val="Paragraphedeliste"/>
        <w:numPr>
          <w:ilvl w:val="0"/>
          <w:numId w:val="75"/>
        </w:numPr>
        <w:spacing w:after="200" w:line="276" w:lineRule="auto"/>
        <w:jc w:val="both"/>
        <w:rPr>
          <w:rFonts w:ascii="Century Gothic" w:hAnsi="Century Gothic" w:cs="Times New Roman"/>
          <w:sz w:val="24"/>
          <w:szCs w:val="24"/>
        </w:rPr>
      </w:pPr>
      <w:r w:rsidRPr="008A6E4C">
        <w:rPr>
          <w:rFonts w:ascii="Century Gothic" w:hAnsi="Century Gothic" w:cs="Times New Roman"/>
          <w:b/>
          <w:bCs/>
          <w:sz w:val="24"/>
          <w:szCs w:val="24"/>
        </w:rPr>
        <w:t>Elevage</w:t>
      </w:r>
      <w:r w:rsidRPr="008A6E4C">
        <w:rPr>
          <w:rFonts w:ascii="Century Gothic" w:hAnsi="Century Gothic" w:cs="Times New Roman"/>
          <w:sz w:val="24"/>
          <w:szCs w:val="24"/>
        </w:rPr>
        <w:t xml:space="preserve"> : C’est un élevage extensif où les troupeaux viennent s’abreuver et pâturer dans la zone humide.    </w:t>
      </w:r>
    </w:p>
    <w:p w14:paraId="732A562C" w14:textId="77777777" w:rsidR="005625B5" w:rsidRPr="008A6E4C" w:rsidRDefault="005625B5" w:rsidP="005625B5">
      <w:pPr>
        <w:pStyle w:val="Paragraphedeliste"/>
        <w:numPr>
          <w:ilvl w:val="0"/>
          <w:numId w:val="75"/>
        </w:numPr>
        <w:spacing w:after="200" w:line="276" w:lineRule="auto"/>
        <w:jc w:val="both"/>
        <w:rPr>
          <w:rFonts w:ascii="Century Gothic" w:hAnsi="Century Gothic" w:cs="Times New Roman"/>
          <w:sz w:val="24"/>
          <w:szCs w:val="24"/>
        </w:rPr>
      </w:pPr>
      <w:r w:rsidRPr="008A6E4C">
        <w:rPr>
          <w:rFonts w:ascii="Century Gothic" w:hAnsi="Century Gothic" w:cs="Times New Roman"/>
          <w:b/>
          <w:bCs/>
          <w:sz w:val="24"/>
          <w:szCs w:val="24"/>
        </w:rPr>
        <w:t>Pêche</w:t>
      </w:r>
      <w:r w:rsidRPr="008A6E4C">
        <w:rPr>
          <w:rFonts w:ascii="Century Gothic" w:hAnsi="Century Gothic" w:cs="Times New Roman"/>
          <w:sz w:val="24"/>
          <w:szCs w:val="24"/>
        </w:rPr>
        <w:t xml:space="preserve"> : L’activité de la pêche n’est pas organisée.     </w:t>
      </w:r>
    </w:p>
    <w:p w14:paraId="3A38D3F1" w14:textId="77777777" w:rsidR="005625B5" w:rsidRPr="008A6E4C" w:rsidRDefault="005625B5" w:rsidP="005625B5">
      <w:pPr>
        <w:pStyle w:val="Paragraphedeliste"/>
        <w:numPr>
          <w:ilvl w:val="0"/>
          <w:numId w:val="75"/>
        </w:numPr>
        <w:spacing w:after="200" w:line="276" w:lineRule="auto"/>
        <w:jc w:val="both"/>
        <w:rPr>
          <w:rFonts w:ascii="Century Gothic" w:hAnsi="Century Gothic" w:cs="Times New Roman"/>
          <w:sz w:val="24"/>
          <w:szCs w:val="24"/>
        </w:rPr>
      </w:pPr>
      <w:r w:rsidRPr="008A6E4C">
        <w:rPr>
          <w:rFonts w:ascii="Century Gothic" w:hAnsi="Century Gothic" w:cs="Times New Roman"/>
          <w:b/>
          <w:bCs/>
          <w:sz w:val="24"/>
          <w:szCs w:val="24"/>
        </w:rPr>
        <w:t>Foresterie</w:t>
      </w:r>
      <w:r w:rsidRPr="008A6E4C">
        <w:rPr>
          <w:rFonts w:ascii="Century Gothic" w:hAnsi="Century Gothic" w:cs="Times New Roman"/>
          <w:sz w:val="24"/>
          <w:szCs w:val="24"/>
        </w:rPr>
        <w:t xml:space="preserve"> : le bois est coupé pour faire des clôtures et le charbon de bois. </w:t>
      </w:r>
    </w:p>
    <w:p w14:paraId="31278511" w14:textId="77777777" w:rsidR="005625B5" w:rsidRDefault="005625B5" w:rsidP="005625B5">
      <w:pPr>
        <w:pStyle w:val="Paragraphedeliste"/>
        <w:spacing w:after="200" w:line="276" w:lineRule="auto"/>
        <w:jc w:val="both"/>
        <w:rPr>
          <w:rFonts w:ascii="Century Gothic" w:hAnsi="Century Gothic" w:cs="Times New Roman"/>
          <w:sz w:val="24"/>
          <w:szCs w:val="24"/>
        </w:rPr>
      </w:pPr>
    </w:p>
    <w:p w14:paraId="54289FB6" w14:textId="77777777" w:rsidR="005625B5" w:rsidRDefault="005625B5" w:rsidP="005625B5">
      <w:pPr>
        <w:pStyle w:val="Paragraphedeliste"/>
        <w:spacing w:after="200" w:line="276" w:lineRule="auto"/>
        <w:jc w:val="both"/>
        <w:rPr>
          <w:rFonts w:ascii="Century Gothic" w:hAnsi="Century Gothic" w:cs="Times New Roman"/>
          <w:sz w:val="24"/>
          <w:szCs w:val="24"/>
        </w:rPr>
      </w:pPr>
    </w:p>
    <w:p w14:paraId="3583EE59" w14:textId="77777777" w:rsidR="005625B5" w:rsidRPr="00301B80" w:rsidRDefault="005625B5" w:rsidP="005625B5">
      <w:pPr>
        <w:pStyle w:val="Paragraphedeliste"/>
        <w:spacing w:after="200" w:line="276" w:lineRule="auto"/>
        <w:ind w:left="0"/>
        <w:jc w:val="both"/>
        <w:rPr>
          <w:rFonts w:ascii="Century Gothic" w:hAnsi="Century Gothic" w:cs="Times New Roman"/>
          <w:b/>
          <w:bCs/>
          <w:sz w:val="24"/>
          <w:szCs w:val="24"/>
        </w:rPr>
      </w:pPr>
      <w:r>
        <w:rPr>
          <w:rFonts w:ascii="Century Gothic" w:hAnsi="Century Gothic" w:cs="Times New Roman"/>
          <w:b/>
          <w:bCs/>
          <w:sz w:val="24"/>
          <w:szCs w:val="24"/>
        </w:rPr>
        <w:br w:type="page"/>
      </w:r>
      <w:r w:rsidRPr="00301B80">
        <w:rPr>
          <w:rFonts w:ascii="Century Gothic" w:hAnsi="Century Gothic" w:cs="Times New Roman"/>
          <w:b/>
          <w:bCs/>
          <w:sz w:val="24"/>
          <w:szCs w:val="24"/>
        </w:rPr>
        <w:t xml:space="preserve">Wilaya du Guidimagha : </w:t>
      </w:r>
    </w:p>
    <w:p w14:paraId="215B8F05" w14:textId="77777777" w:rsidR="005625B5" w:rsidRDefault="005625B5" w:rsidP="005625B5">
      <w:pPr>
        <w:pStyle w:val="Paragraphedeliste"/>
        <w:spacing w:after="200" w:line="276" w:lineRule="auto"/>
        <w:ind w:left="0"/>
        <w:jc w:val="both"/>
        <w:rPr>
          <w:rFonts w:ascii="Century Gothic" w:hAnsi="Century Gothic" w:cs="Times New Roman"/>
          <w:sz w:val="24"/>
          <w:szCs w:val="24"/>
        </w:rPr>
      </w:pPr>
    </w:p>
    <w:p w14:paraId="508A7F9E" w14:textId="77777777" w:rsidR="005625B5" w:rsidRPr="00AD20D9"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AD20D9">
        <w:rPr>
          <w:rFonts w:ascii="Century Gothic" w:hAnsi="Century Gothic" w:cs="Times New Roman"/>
          <w:sz w:val="24"/>
          <w:szCs w:val="24"/>
          <w:u w:val="single"/>
        </w:rPr>
        <w:t>Nom de zone humide</w:t>
      </w:r>
      <w:r w:rsidRPr="00AD20D9">
        <w:rPr>
          <w:rFonts w:ascii="Century Gothic" w:hAnsi="Century Gothic" w:cs="Times New Roman"/>
          <w:sz w:val="24"/>
          <w:szCs w:val="24"/>
        </w:rPr>
        <w:t xml:space="preserve"> : </w:t>
      </w:r>
      <w:r w:rsidRPr="00AD20D9">
        <w:rPr>
          <w:rFonts w:ascii="Century Gothic" w:hAnsi="Century Gothic" w:cs="Times New Roman"/>
          <w:b/>
          <w:bCs/>
          <w:sz w:val="24"/>
          <w:szCs w:val="24"/>
        </w:rPr>
        <w:t>Golmi Kharé</w:t>
      </w:r>
      <w:r w:rsidRPr="00AD20D9">
        <w:rPr>
          <w:rFonts w:ascii="Century Gothic" w:hAnsi="Century Gothic" w:cs="Times New Roman"/>
          <w:sz w:val="24"/>
          <w:szCs w:val="24"/>
        </w:rPr>
        <w:t xml:space="preserve"> </w:t>
      </w:r>
      <w:r>
        <w:rPr>
          <w:rFonts w:ascii="Century Gothic" w:hAnsi="Century Gothic" w:cs="Times New Roman"/>
          <w:sz w:val="24"/>
          <w:szCs w:val="24"/>
        </w:rPr>
        <w:t>(</w:t>
      </w:r>
      <w:r w:rsidRPr="00AD20D9">
        <w:rPr>
          <w:rFonts w:ascii="Century Gothic" w:hAnsi="Century Gothic" w:cs="Times New Roman"/>
          <w:sz w:val="24"/>
          <w:szCs w:val="24"/>
          <w:u w:val="single"/>
        </w:rPr>
        <w:t>Commune</w:t>
      </w:r>
      <w:r w:rsidRPr="00AD20D9">
        <w:rPr>
          <w:rFonts w:ascii="Century Gothic" w:hAnsi="Century Gothic" w:cs="Times New Roman"/>
          <w:sz w:val="24"/>
          <w:szCs w:val="24"/>
        </w:rPr>
        <w:t xml:space="preserve"> : Diogountourou</w:t>
      </w:r>
      <w:r>
        <w:rPr>
          <w:rFonts w:ascii="Century Gothic" w:hAnsi="Century Gothic" w:cs="Times New Roman"/>
          <w:sz w:val="24"/>
          <w:szCs w:val="24"/>
        </w:rPr>
        <w:t>)</w:t>
      </w:r>
      <w:r w:rsidRPr="00AD20D9">
        <w:rPr>
          <w:rFonts w:ascii="Century Gothic" w:hAnsi="Century Gothic" w:cs="Times New Roman"/>
          <w:sz w:val="24"/>
          <w:szCs w:val="24"/>
        </w:rPr>
        <w:t xml:space="preserve"> </w:t>
      </w:r>
    </w:p>
    <w:p w14:paraId="6C4EB134"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(14°47'59.37’’N ; 12°17'24.61’’O)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xml:space="preserve"> : 11 mois </w:t>
      </w:r>
    </w:p>
    <w:p w14:paraId="21F10BCF"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18C86B65" wp14:editId="5BCCC846">
            <wp:extent cx="2237105" cy="3840480"/>
            <wp:effectExtent l="0" t="0" r="0" b="0"/>
            <wp:docPr id="69" name="Image 36" descr="E:\Desktop\ZH\Images ZH\GOLMI KHARE\DJI_005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6" descr="E:\Desktop\ZH\Images ZH\GOLMI KHARE\DJI_0059.JPG"/>
                    <pic:cNvPicPr>
                      <a:picLocks/>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37105" cy="3840480"/>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5A2C0350" wp14:editId="658804C1">
            <wp:extent cx="3808095" cy="3848735"/>
            <wp:effectExtent l="0" t="0" r="0" b="0"/>
            <wp:docPr id="70" name="Image 35" descr="E:\Desktop\ZH\Cartes des activités\golm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5" descr="E:\Desktop\ZH\Cartes des activités\golmi.jpg"/>
                    <pic:cNvPicPr>
                      <a:picLocks/>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08095" cy="3848735"/>
                    </a:xfrm>
                    <a:prstGeom prst="rect">
                      <a:avLst/>
                    </a:prstGeom>
                    <a:noFill/>
                    <a:ln>
                      <a:noFill/>
                    </a:ln>
                  </pic:spPr>
                </pic:pic>
              </a:graphicData>
            </a:graphic>
          </wp:inline>
        </w:drawing>
      </w:r>
    </w:p>
    <w:p w14:paraId="375EB7AD"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Golmi Kharé</w:t>
      </w:r>
    </w:p>
    <w:p w14:paraId="47B93985" w14:textId="77777777" w:rsidR="005625B5" w:rsidRPr="001839C6" w:rsidRDefault="005625B5" w:rsidP="005625B5">
      <w:pPr>
        <w:spacing w:line="276" w:lineRule="auto"/>
        <w:jc w:val="both"/>
        <w:rPr>
          <w:rFonts w:ascii="Century Gothic" w:hAnsi="Century Gothic" w:cs="Times New Roman"/>
          <w:sz w:val="24"/>
          <w:szCs w:val="24"/>
          <w:u w:val="single"/>
        </w:rPr>
      </w:pPr>
    </w:p>
    <w:p w14:paraId="27E07CB5" w14:textId="77777777" w:rsidR="005625B5" w:rsidRPr="00AD20D9" w:rsidRDefault="005625B5" w:rsidP="005625B5">
      <w:pPr>
        <w:spacing w:line="276" w:lineRule="auto"/>
        <w:jc w:val="both"/>
        <w:rPr>
          <w:rFonts w:ascii="Century Gothic" w:hAnsi="Century Gothic" w:cs="Times New Roman"/>
          <w:sz w:val="24"/>
          <w:szCs w:val="24"/>
        </w:rPr>
      </w:pPr>
      <w:r w:rsidRPr="00AD20D9">
        <w:rPr>
          <w:rFonts w:ascii="Century Gothic" w:hAnsi="Century Gothic" w:cs="Times New Roman"/>
          <w:sz w:val="24"/>
          <w:szCs w:val="24"/>
          <w:u w:val="single"/>
        </w:rPr>
        <w:t>Ressources naturelles</w:t>
      </w:r>
      <w:r w:rsidRPr="00AD20D9">
        <w:rPr>
          <w:rFonts w:ascii="Century Gothic" w:hAnsi="Century Gothic" w:cs="Times New Roman"/>
          <w:sz w:val="24"/>
          <w:szCs w:val="24"/>
        </w:rPr>
        <w:t xml:space="preserve"> (Biodiversité</w:t>
      </w:r>
      <w:proofErr w:type="gramStart"/>
      <w:r w:rsidRPr="00AD20D9">
        <w:rPr>
          <w:rFonts w:ascii="Century Gothic" w:hAnsi="Century Gothic" w:cs="Times New Roman"/>
          <w:sz w:val="24"/>
          <w:szCs w:val="24"/>
        </w:rPr>
        <w:t>):</w:t>
      </w:r>
      <w:proofErr w:type="gramEnd"/>
      <w:r w:rsidRPr="00AD20D9">
        <w:rPr>
          <w:rFonts w:ascii="Century Gothic" w:hAnsi="Century Gothic" w:cs="Times New Roman"/>
          <w:sz w:val="24"/>
          <w:szCs w:val="24"/>
        </w:rPr>
        <w:t xml:space="preserve"> </w:t>
      </w:r>
    </w:p>
    <w:p w14:paraId="6A1CF9FA" w14:textId="77777777" w:rsidR="005625B5" w:rsidRPr="00AD20D9"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AD20D9">
        <w:rPr>
          <w:rFonts w:ascii="Century Gothic" w:hAnsi="Century Gothic" w:cs="Times New Roman"/>
          <w:sz w:val="24"/>
          <w:szCs w:val="24"/>
        </w:rPr>
        <w:t xml:space="preserve">Ressources aquatiques : Plantes aquatiques (+) ; poisson (+)  </w:t>
      </w:r>
    </w:p>
    <w:p w14:paraId="74AEDDEF" w14:textId="77777777" w:rsidR="005625B5" w:rsidRPr="00AD20D9"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AD20D9">
        <w:rPr>
          <w:rFonts w:ascii="Century Gothic" w:hAnsi="Century Gothic" w:cs="Times New Roman"/>
          <w:sz w:val="24"/>
          <w:szCs w:val="24"/>
        </w:rPr>
        <w:t>Ressources forestières : Acacias (+) ; Balanites (+) ; Bauhinia (+) ; …</w:t>
      </w:r>
    </w:p>
    <w:p w14:paraId="73850C29" w14:textId="77777777" w:rsidR="005625B5" w:rsidRPr="00AD20D9"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AD20D9">
        <w:rPr>
          <w:rFonts w:ascii="Century Gothic" w:hAnsi="Century Gothic" w:cs="Times New Roman"/>
          <w:sz w:val="24"/>
          <w:szCs w:val="24"/>
        </w:rPr>
        <w:t>Ressources fauniques : Faune sauvage (+) ; avifaune (+) </w:t>
      </w:r>
    </w:p>
    <w:p w14:paraId="5230884A" w14:textId="77777777" w:rsidR="005625B5" w:rsidRPr="00AD20D9" w:rsidRDefault="005625B5" w:rsidP="005625B5">
      <w:pPr>
        <w:spacing w:line="276" w:lineRule="auto"/>
        <w:jc w:val="both"/>
        <w:rPr>
          <w:rFonts w:ascii="Century Gothic" w:hAnsi="Century Gothic" w:cs="Times New Roman"/>
          <w:sz w:val="24"/>
          <w:szCs w:val="24"/>
        </w:rPr>
      </w:pPr>
      <w:r w:rsidRPr="00AD20D9">
        <w:rPr>
          <w:rFonts w:ascii="Century Gothic" w:hAnsi="Century Gothic" w:cs="Times New Roman"/>
          <w:sz w:val="24"/>
          <w:szCs w:val="24"/>
          <w:u w:val="single"/>
        </w:rPr>
        <w:t>Activités socioéconomiques</w:t>
      </w:r>
      <w:r w:rsidRPr="00AD20D9">
        <w:rPr>
          <w:rFonts w:ascii="Century Gothic" w:hAnsi="Century Gothic" w:cs="Times New Roman"/>
          <w:sz w:val="24"/>
          <w:szCs w:val="24"/>
        </w:rPr>
        <w:t xml:space="preserve"> : </w:t>
      </w:r>
    </w:p>
    <w:p w14:paraId="2AE9616A" w14:textId="77777777" w:rsidR="005625B5" w:rsidRPr="00AD20D9" w:rsidRDefault="005625B5" w:rsidP="005625B5">
      <w:pPr>
        <w:pStyle w:val="Paragraphedeliste"/>
        <w:numPr>
          <w:ilvl w:val="0"/>
          <w:numId w:val="43"/>
        </w:numPr>
        <w:spacing w:after="200" w:line="276" w:lineRule="auto"/>
        <w:jc w:val="both"/>
        <w:rPr>
          <w:rFonts w:ascii="Century Gothic" w:hAnsi="Century Gothic" w:cs="Times New Roman"/>
          <w:sz w:val="24"/>
          <w:szCs w:val="24"/>
        </w:rPr>
      </w:pPr>
      <w:r w:rsidRPr="00AD20D9">
        <w:rPr>
          <w:rFonts w:ascii="Century Gothic" w:hAnsi="Century Gothic" w:cs="Times New Roman"/>
          <w:b/>
          <w:bCs/>
          <w:sz w:val="24"/>
          <w:szCs w:val="24"/>
        </w:rPr>
        <w:t>Agriculture</w:t>
      </w:r>
      <w:r w:rsidRPr="00AD20D9">
        <w:rPr>
          <w:rFonts w:ascii="Century Gothic" w:hAnsi="Century Gothic" w:cs="Times New Roman"/>
          <w:sz w:val="24"/>
          <w:szCs w:val="24"/>
        </w:rPr>
        <w:t xml:space="preserve"> : Elle est pratiquée autour de la zone humide (sorgho, niébé, maïs) et le maraichage.   </w:t>
      </w:r>
    </w:p>
    <w:p w14:paraId="564AF3E0" w14:textId="77777777" w:rsidR="005625B5" w:rsidRPr="00AD20D9" w:rsidRDefault="005625B5" w:rsidP="005625B5">
      <w:pPr>
        <w:pStyle w:val="Paragraphedeliste"/>
        <w:numPr>
          <w:ilvl w:val="0"/>
          <w:numId w:val="43"/>
        </w:numPr>
        <w:spacing w:after="200" w:line="276" w:lineRule="auto"/>
        <w:jc w:val="both"/>
        <w:rPr>
          <w:rFonts w:ascii="Century Gothic" w:hAnsi="Century Gothic" w:cs="Times New Roman"/>
          <w:sz w:val="24"/>
          <w:szCs w:val="24"/>
        </w:rPr>
      </w:pPr>
      <w:r w:rsidRPr="00AD20D9">
        <w:rPr>
          <w:rFonts w:ascii="Century Gothic" w:hAnsi="Century Gothic" w:cs="Times New Roman"/>
          <w:b/>
          <w:bCs/>
          <w:sz w:val="24"/>
          <w:szCs w:val="24"/>
        </w:rPr>
        <w:t>Elevage</w:t>
      </w:r>
      <w:r w:rsidRPr="00AD20D9">
        <w:rPr>
          <w:rFonts w:ascii="Century Gothic" w:hAnsi="Century Gothic" w:cs="Times New Roman"/>
          <w:sz w:val="24"/>
          <w:szCs w:val="24"/>
        </w:rPr>
        <w:t xml:space="preserve"> : C’est un élevage extensif où les troupeaux viennent s’abreuver et pâturer dans la zone humide.    </w:t>
      </w:r>
    </w:p>
    <w:p w14:paraId="147AC673" w14:textId="77777777" w:rsidR="005625B5" w:rsidRPr="00AD20D9" w:rsidRDefault="005625B5" w:rsidP="005625B5">
      <w:pPr>
        <w:pStyle w:val="Paragraphedeliste"/>
        <w:numPr>
          <w:ilvl w:val="0"/>
          <w:numId w:val="43"/>
        </w:numPr>
        <w:spacing w:after="200" w:line="276" w:lineRule="auto"/>
        <w:jc w:val="both"/>
        <w:rPr>
          <w:rFonts w:ascii="Century Gothic" w:hAnsi="Century Gothic" w:cs="Times New Roman"/>
          <w:sz w:val="24"/>
          <w:szCs w:val="24"/>
        </w:rPr>
      </w:pPr>
      <w:r w:rsidRPr="00AD20D9">
        <w:rPr>
          <w:rFonts w:ascii="Century Gothic" w:hAnsi="Century Gothic" w:cs="Times New Roman"/>
          <w:b/>
          <w:bCs/>
          <w:sz w:val="24"/>
          <w:szCs w:val="24"/>
        </w:rPr>
        <w:t>Pêche</w:t>
      </w:r>
      <w:r w:rsidRPr="00AD20D9">
        <w:rPr>
          <w:rFonts w:ascii="Century Gothic" w:hAnsi="Century Gothic" w:cs="Times New Roman"/>
          <w:sz w:val="24"/>
          <w:szCs w:val="24"/>
        </w:rPr>
        <w:t xml:space="preserve"> : L’activité de la pêche est pratiquée dans la mare.     </w:t>
      </w:r>
    </w:p>
    <w:p w14:paraId="451BD6BC" w14:textId="77777777" w:rsidR="005625B5" w:rsidRDefault="005625B5" w:rsidP="005625B5">
      <w:pPr>
        <w:pStyle w:val="Paragraphedeliste"/>
        <w:numPr>
          <w:ilvl w:val="0"/>
          <w:numId w:val="43"/>
        </w:numPr>
        <w:spacing w:after="200" w:line="276" w:lineRule="auto"/>
        <w:jc w:val="both"/>
        <w:rPr>
          <w:rFonts w:ascii="Century Gothic" w:hAnsi="Century Gothic" w:cs="Times New Roman"/>
          <w:sz w:val="24"/>
          <w:szCs w:val="24"/>
        </w:rPr>
      </w:pPr>
      <w:r w:rsidRPr="00AD20D9">
        <w:rPr>
          <w:rFonts w:ascii="Century Gothic" w:hAnsi="Century Gothic" w:cs="Times New Roman"/>
          <w:b/>
          <w:bCs/>
          <w:sz w:val="24"/>
          <w:szCs w:val="24"/>
        </w:rPr>
        <w:t>Foresterie</w:t>
      </w:r>
      <w:r w:rsidRPr="00AD20D9">
        <w:rPr>
          <w:rFonts w:ascii="Century Gothic" w:hAnsi="Century Gothic" w:cs="Times New Roman"/>
          <w:sz w:val="24"/>
          <w:szCs w:val="24"/>
        </w:rPr>
        <w:t xml:space="preserve"> : </w:t>
      </w:r>
      <w:r>
        <w:rPr>
          <w:rFonts w:ascii="Century Gothic" w:hAnsi="Century Gothic" w:cs="Times New Roman"/>
          <w:sz w:val="24"/>
          <w:szCs w:val="24"/>
        </w:rPr>
        <w:t>L</w:t>
      </w:r>
      <w:r w:rsidRPr="00AD20D9">
        <w:rPr>
          <w:rFonts w:ascii="Century Gothic" w:hAnsi="Century Gothic" w:cs="Times New Roman"/>
          <w:sz w:val="24"/>
          <w:szCs w:val="24"/>
        </w:rPr>
        <w:t xml:space="preserve">e bois est coupé pour faire des clôtures et le charbon de bois. </w:t>
      </w:r>
    </w:p>
    <w:p w14:paraId="5809C389" w14:textId="77777777" w:rsidR="005625B5" w:rsidRPr="00AD20D9"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AD20D9">
        <w:rPr>
          <w:rFonts w:ascii="Century Gothic" w:hAnsi="Century Gothic" w:cs="Times New Roman"/>
          <w:sz w:val="24"/>
          <w:szCs w:val="24"/>
          <w:u w:val="single"/>
        </w:rPr>
        <w:t>Nom de zone humide</w:t>
      </w:r>
      <w:r w:rsidRPr="00AD20D9">
        <w:rPr>
          <w:rFonts w:ascii="Century Gothic" w:hAnsi="Century Gothic" w:cs="Times New Roman"/>
          <w:sz w:val="24"/>
          <w:szCs w:val="24"/>
        </w:rPr>
        <w:t xml:space="preserve"> : </w:t>
      </w:r>
      <w:r w:rsidRPr="00AD20D9">
        <w:rPr>
          <w:rFonts w:ascii="Century Gothic" w:hAnsi="Century Gothic" w:cs="Times New Roman"/>
          <w:b/>
          <w:bCs/>
          <w:sz w:val="24"/>
          <w:szCs w:val="24"/>
        </w:rPr>
        <w:t>Iriji Tektak</w:t>
      </w:r>
      <w:r w:rsidRPr="00AD20D9">
        <w:rPr>
          <w:rFonts w:ascii="Century Gothic" w:hAnsi="Century Gothic" w:cs="Times New Roman"/>
          <w:sz w:val="24"/>
          <w:szCs w:val="24"/>
        </w:rPr>
        <w:t xml:space="preserve"> (</w:t>
      </w:r>
      <w:r w:rsidRPr="00AD20D9">
        <w:rPr>
          <w:rFonts w:ascii="Century Gothic" w:hAnsi="Century Gothic" w:cs="Times New Roman"/>
          <w:sz w:val="24"/>
          <w:szCs w:val="24"/>
          <w:u w:val="single"/>
        </w:rPr>
        <w:t>Commune</w:t>
      </w:r>
      <w:r w:rsidRPr="00AD20D9">
        <w:rPr>
          <w:rFonts w:ascii="Century Gothic" w:hAnsi="Century Gothic" w:cs="Times New Roman"/>
          <w:sz w:val="24"/>
          <w:szCs w:val="24"/>
        </w:rPr>
        <w:t xml:space="preserve"> : Tektak) </w:t>
      </w:r>
    </w:p>
    <w:p w14:paraId="099F456D"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(15°34'39.47’’N ; 11°57'11.76’’O)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xml:space="preserve"> : Permanent  </w:t>
      </w:r>
    </w:p>
    <w:p w14:paraId="3E37143B"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2E2B4126" wp14:editId="4C6F0AE6">
            <wp:extent cx="2324735" cy="3273425"/>
            <wp:effectExtent l="0" t="0" r="0" b="0"/>
            <wp:docPr id="71" name="Image 34" descr="E:\Desktop\ZH\Images ZH\IRRIJI TEKTAK\DJI_08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4" descr="E:\Desktop\ZH\Images ZH\IRRIJI TEKTAK\DJI_0805.JPG"/>
                    <pic:cNvPicPr>
                      <a:picLocks/>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324735" cy="3273425"/>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5B01E6F4" wp14:editId="730610D4">
            <wp:extent cx="3728720" cy="3247390"/>
            <wp:effectExtent l="0" t="0" r="0" b="0"/>
            <wp:docPr id="72" name="Image 33" descr="E:\Desktop\ZH\Cartes des activités\Khathre et tekta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3" descr="E:\Desktop\ZH\Cartes des activités\Khathre et tektak.jpg"/>
                    <pic:cNvPicPr>
                      <a:picLocks/>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28720" cy="3247390"/>
                    </a:xfrm>
                    <a:prstGeom prst="rect">
                      <a:avLst/>
                    </a:prstGeom>
                    <a:noFill/>
                    <a:ln>
                      <a:noFill/>
                    </a:ln>
                  </pic:spPr>
                </pic:pic>
              </a:graphicData>
            </a:graphic>
          </wp:inline>
        </w:drawing>
      </w:r>
    </w:p>
    <w:p w14:paraId="620FE6A9"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Iriji Tektak</w:t>
      </w:r>
    </w:p>
    <w:p w14:paraId="1710C953" w14:textId="77777777" w:rsidR="005625B5" w:rsidRPr="00AD20D9" w:rsidRDefault="005625B5" w:rsidP="005625B5">
      <w:pPr>
        <w:spacing w:line="276" w:lineRule="auto"/>
        <w:jc w:val="both"/>
        <w:rPr>
          <w:rFonts w:ascii="Century Gothic" w:hAnsi="Century Gothic" w:cs="Times New Roman"/>
          <w:sz w:val="24"/>
          <w:szCs w:val="24"/>
        </w:rPr>
      </w:pPr>
      <w:r w:rsidRPr="00AD20D9">
        <w:rPr>
          <w:rFonts w:ascii="Century Gothic" w:hAnsi="Century Gothic" w:cs="Times New Roman"/>
          <w:sz w:val="24"/>
          <w:szCs w:val="24"/>
          <w:u w:val="single"/>
        </w:rPr>
        <w:t>Ressources naturelles</w:t>
      </w:r>
      <w:r w:rsidRPr="00AD20D9">
        <w:rPr>
          <w:rFonts w:ascii="Century Gothic" w:hAnsi="Century Gothic" w:cs="Times New Roman"/>
          <w:sz w:val="24"/>
          <w:szCs w:val="24"/>
        </w:rPr>
        <w:t xml:space="preserve"> (Biodiversité</w:t>
      </w:r>
      <w:proofErr w:type="gramStart"/>
      <w:r w:rsidRPr="00AD20D9">
        <w:rPr>
          <w:rFonts w:ascii="Century Gothic" w:hAnsi="Century Gothic" w:cs="Times New Roman"/>
          <w:sz w:val="24"/>
          <w:szCs w:val="24"/>
        </w:rPr>
        <w:t>):</w:t>
      </w:r>
      <w:proofErr w:type="gramEnd"/>
      <w:r w:rsidRPr="00AD20D9">
        <w:rPr>
          <w:rFonts w:ascii="Century Gothic" w:hAnsi="Century Gothic" w:cs="Times New Roman"/>
          <w:sz w:val="24"/>
          <w:szCs w:val="24"/>
        </w:rPr>
        <w:t xml:space="preserve"> </w:t>
      </w:r>
    </w:p>
    <w:p w14:paraId="7A082627" w14:textId="77777777" w:rsidR="005625B5" w:rsidRPr="00AD20D9"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AD20D9">
        <w:rPr>
          <w:rFonts w:ascii="Century Gothic" w:hAnsi="Century Gothic" w:cs="Times New Roman"/>
          <w:sz w:val="24"/>
          <w:szCs w:val="24"/>
        </w:rPr>
        <w:t xml:space="preserve">Ressources aquatiques : Plantes aquatiques (+) ; poisson (+)  </w:t>
      </w:r>
    </w:p>
    <w:p w14:paraId="25AC9E6E" w14:textId="77777777" w:rsidR="005625B5" w:rsidRPr="00AD20D9"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AD20D9">
        <w:rPr>
          <w:rFonts w:ascii="Century Gothic" w:hAnsi="Century Gothic" w:cs="Times New Roman"/>
          <w:sz w:val="24"/>
          <w:szCs w:val="24"/>
        </w:rPr>
        <w:t>Ressources forestières : Acacias (+) ; Balanites (+) ; Bauhinia (+) ; …</w:t>
      </w:r>
    </w:p>
    <w:p w14:paraId="6A46A9F7" w14:textId="77777777" w:rsidR="005625B5" w:rsidRPr="00AD20D9"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AD20D9">
        <w:rPr>
          <w:rFonts w:ascii="Century Gothic" w:hAnsi="Century Gothic" w:cs="Times New Roman"/>
          <w:sz w:val="24"/>
          <w:szCs w:val="24"/>
        </w:rPr>
        <w:t>Ressources fauniques : Faune sauvage (+) ; avifaune (+) </w:t>
      </w:r>
    </w:p>
    <w:p w14:paraId="33F357ED" w14:textId="77777777" w:rsidR="005625B5" w:rsidRPr="00AD20D9" w:rsidRDefault="005625B5" w:rsidP="005625B5">
      <w:pPr>
        <w:spacing w:line="276" w:lineRule="auto"/>
        <w:jc w:val="both"/>
        <w:rPr>
          <w:rFonts w:ascii="Century Gothic" w:hAnsi="Century Gothic" w:cs="Times New Roman"/>
          <w:sz w:val="24"/>
          <w:szCs w:val="24"/>
        </w:rPr>
      </w:pPr>
      <w:r w:rsidRPr="00AD20D9">
        <w:rPr>
          <w:rFonts w:ascii="Century Gothic" w:hAnsi="Century Gothic" w:cs="Times New Roman"/>
          <w:sz w:val="24"/>
          <w:szCs w:val="24"/>
          <w:u w:val="single"/>
        </w:rPr>
        <w:t>Activités socioéconomiques</w:t>
      </w:r>
      <w:r w:rsidRPr="00AD20D9">
        <w:rPr>
          <w:rFonts w:ascii="Century Gothic" w:hAnsi="Century Gothic" w:cs="Times New Roman"/>
          <w:sz w:val="24"/>
          <w:szCs w:val="24"/>
        </w:rPr>
        <w:t xml:space="preserve"> : </w:t>
      </w:r>
    </w:p>
    <w:p w14:paraId="1980E7DB" w14:textId="77777777" w:rsidR="005625B5" w:rsidRPr="00AD20D9" w:rsidRDefault="005625B5" w:rsidP="005625B5">
      <w:pPr>
        <w:pStyle w:val="Paragraphedeliste"/>
        <w:numPr>
          <w:ilvl w:val="0"/>
          <w:numId w:val="44"/>
        </w:numPr>
        <w:spacing w:after="200" w:line="276" w:lineRule="auto"/>
        <w:jc w:val="both"/>
        <w:rPr>
          <w:rFonts w:ascii="Century Gothic" w:hAnsi="Century Gothic" w:cs="Times New Roman"/>
          <w:sz w:val="24"/>
          <w:szCs w:val="24"/>
        </w:rPr>
      </w:pPr>
      <w:r w:rsidRPr="00AD20D9">
        <w:rPr>
          <w:rFonts w:ascii="Century Gothic" w:hAnsi="Century Gothic" w:cs="Times New Roman"/>
          <w:b/>
          <w:bCs/>
          <w:sz w:val="24"/>
          <w:szCs w:val="24"/>
        </w:rPr>
        <w:t>Agriculture</w:t>
      </w:r>
      <w:r w:rsidRPr="00AD20D9">
        <w:rPr>
          <w:rFonts w:ascii="Century Gothic" w:hAnsi="Century Gothic" w:cs="Times New Roman"/>
          <w:sz w:val="24"/>
          <w:szCs w:val="24"/>
        </w:rPr>
        <w:t xml:space="preserve"> : Elle est pratiquée autour de la zone humide (mil, sorgho, niébé, maïs, henné, palmier dattier) et le maraichage.   </w:t>
      </w:r>
    </w:p>
    <w:p w14:paraId="014B7E5A" w14:textId="77777777" w:rsidR="005625B5" w:rsidRPr="00AD20D9" w:rsidRDefault="005625B5" w:rsidP="005625B5">
      <w:pPr>
        <w:pStyle w:val="Paragraphedeliste"/>
        <w:numPr>
          <w:ilvl w:val="0"/>
          <w:numId w:val="44"/>
        </w:numPr>
        <w:spacing w:after="200" w:line="276" w:lineRule="auto"/>
        <w:jc w:val="both"/>
        <w:rPr>
          <w:rFonts w:ascii="Century Gothic" w:hAnsi="Century Gothic" w:cs="Times New Roman"/>
          <w:sz w:val="24"/>
          <w:szCs w:val="24"/>
        </w:rPr>
      </w:pPr>
      <w:r w:rsidRPr="00AD20D9">
        <w:rPr>
          <w:rFonts w:ascii="Century Gothic" w:hAnsi="Century Gothic" w:cs="Times New Roman"/>
          <w:b/>
          <w:bCs/>
          <w:sz w:val="24"/>
          <w:szCs w:val="24"/>
        </w:rPr>
        <w:t>Elevage</w:t>
      </w:r>
      <w:r w:rsidRPr="00AD20D9">
        <w:rPr>
          <w:rFonts w:ascii="Century Gothic" w:hAnsi="Century Gothic" w:cs="Times New Roman"/>
          <w:sz w:val="24"/>
          <w:szCs w:val="24"/>
        </w:rPr>
        <w:t xml:space="preserve"> : C’est un élevage extensif où les troupeaux viennent s’abreuver et pâturer dans la zone humide.    </w:t>
      </w:r>
    </w:p>
    <w:p w14:paraId="483AE23D" w14:textId="77777777" w:rsidR="005625B5" w:rsidRPr="00AD20D9" w:rsidRDefault="005625B5" w:rsidP="005625B5">
      <w:pPr>
        <w:pStyle w:val="Paragraphedeliste"/>
        <w:numPr>
          <w:ilvl w:val="0"/>
          <w:numId w:val="44"/>
        </w:numPr>
        <w:spacing w:after="200" w:line="276" w:lineRule="auto"/>
        <w:jc w:val="both"/>
        <w:rPr>
          <w:rFonts w:ascii="Century Gothic" w:hAnsi="Century Gothic" w:cs="Times New Roman"/>
          <w:sz w:val="24"/>
          <w:szCs w:val="24"/>
        </w:rPr>
      </w:pPr>
      <w:r w:rsidRPr="00AD20D9">
        <w:rPr>
          <w:rFonts w:ascii="Century Gothic" w:hAnsi="Century Gothic" w:cs="Times New Roman"/>
          <w:b/>
          <w:bCs/>
          <w:sz w:val="24"/>
          <w:szCs w:val="24"/>
        </w:rPr>
        <w:t>Pêche</w:t>
      </w:r>
      <w:r w:rsidRPr="00AD20D9">
        <w:rPr>
          <w:rFonts w:ascii="Century Gothic" w:hAnsi="Century Gothic" w:cs="Times New Roman"/>
          <w:sz w:val="24"/>
          <w:szCs w:val="24"/>
        </w:rPr>
        <w:t xml:space="preserve"> : L’activité de la pêche est pratiquée dans la mare et la production est destinée à la consommation locale.     </w:t>
      </w:r>
    </w:p>
    <w:p w14:paraId="16062A10" w14:textId="77777777" w:rsidR="005625B5" w:rsidRPr="00AD20D9" w:rsidRDefault="005625B5" w:rsidP="005625B5">
      <w:pPr>
        <w:pStyle w:val="Paragraphedeliste"/>
        <w:numPr>
          <w:ilvl w:val="0"/>
          <w:numId w:val="44"/>
        </w:numPr>
        <w:spacing w:after="200" w:line="276" w:lineRule="auto"/>
        <w:jc w:val="both"/>
        <w:rPr>
          <w:rFonts w:ascii="Century Gothic" w:hAnsi="Century Gothic" w:cs="Times New Roman"/>
          <w:sz w:val="24"/>
          <w:szCs w:val="24"/>
        </w:rPr>
      </w:pPr>
      <w:r w:rsidRPr="00AD20D9">
        <w:rPr>
          <w:rFonts w:ascii="Century Gothic" w:hAnsi="Century Gothic" w:cs="Times New Roman"/>
          <w:b/>
          <w:bCs/>
          <w:sz w:val="24"/>
          <w:szCs w:val="24"/>
        </w:rPr>
        <w:t>Foresterie</w:t>
      </w:r>
      <w:r w:rsidRPr="00AD20D9">
        <w:rPr>
          <w:rFonts w:ascii="Century Gothic" w:hAnsi="Century Gothic" w:cs="Times New Roman"/>
          <w:sz w:val="24"/>
          <w:szCs w:val="24"/>
        </w:rPr>
        <w:t xml:space="preserve"> : Le bois est coupé pour faire des clôtures et le charbon de bois. Le fruit du palmier doum est récolté et rapporte un revenu supplémentaire à la population locale.   </w:t>
      </w:r>
    </w:p>
    <w:p w14:paraId="058855F9" w14:textId="77777777" w:rsidR="005625B5" w:rsidRDefault="005625B5" w:rsidP="005625B5">
      <w:pPr>
        <w:pStyle w:val="Paragraphedeliste"/>
        <w:spacing w:after="200" w:line="276" w:lineRule="auto"/>
        <w:ind w:left="0"/>
        <w:jc w:val="both"/>
        <w:rPr>
          <w:rFonts w:ascii="Century Gothic" w:hAnsi="Century Gothic" w:cs="Times New Roman"/>
          <w:sz w:val="24"/>
          <w:szCs w:val="24"/>
        </w:rPr>
      </w:pPr>
    </w:p>
    <w:p w14:paraId="5A56E0BC" w14:textId="77777777" w:rsidR="005625B5" w:rsidRPr="00DA6FFE"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Pr>
          <w:rFonts w:ascii="Century Gothic" w:hAnsi="Century Gothic" w:cs="Times New Roman"/>
          <w:sz w:val="24"/>
          <w:szCs w:val="24"/>
          <w:u w:val="single"/>
        </w:rPr>
        <w:br w:type="page"/>
      </w:r>
      <w:r w:rsidRPr="00DA6FFE">
        <w:rPr>
          <w:rFonts w:ascii="Century Gothic" w:hAnsi="Century Gothic" w:cs="Times New Roman"/>
          <w:sz w:val="24"/>
          <w:szCs w:val="24"/>
          <w:u w:val="single"/>
        </w:rPr>
        <w:t>Nom de zone humide</w:t>
      </w:r>
      <w:r w:rsidRPr="00DA6FFE">
        <w:rPr>
          <w:rFonts w:ascii="Century Gothic" w:hAnsi="Century Gothic" w:cs="Times New Roman"/>
          <w:sz w:val="24"/>
          <w:szCs w:val="24"/>
        </w:rPr>
        <w:t xml:space="preserve"> : </w:t>
      </w:r>
      <w:r w:rsidRPr="00DA6FFE">
        <w:rPr>
          <w:rFonts w:ascii="Century Gothic" w:hAnsi="Century Gothic" w:cs="Times New Roman"/>
          <w:b/>
          <w:bCs/>
          <w:sz w:val="24"/>
          <w:szCs w:val="24"/>
        </w:rPr>
        <w:t>Khathre</w:t>
      </w:r>
      <w:r w:rsidRPr="00DA6FFE">
        <w:rPr>
          <w:rFonts w:ascii="Century Gothic" w:hAnsi="Century Gothic" w:cs="Times New Roman"/>
          <w:sz w:val="24"/>
          <w:szCs w:val="24"/>
        </w:rPr>
        <w:t xml:space="preserve"> </w:t>
      </w:r>
      <w:r>
        <w:rPr>
          <w:rFonts w:ascii="Century Gothic" w:hAnsi="Century Gothic" w:cs="Times New Roman"/>
          <w:sz w:val="24"/>
          <w:szCs w:val="24"/>
        </w:rPr>
        <w:t>(</w:t>
      </w:r>
      <w:r w:rsidRPr="00DA6FFE">
        <w:rPr>
          <w:rFonts w:ascii="Century Gothic" w:hAnsi="Century Gothic" w:cs="Times New Roman"/>
          <w:sz w:val="24"/>
          <w:szCs w:val="24"/>
          <w:u w:val="single"/>
        </w:rPr>
        <w:t>Commune</w:t>
      </w:r>
      <w:r w:rsidRPr="00DA6FFE">
        <w:rPr>
          <w:rFonts w:ascii="Century Gothic" w:hAnsi="Century Gothic" w:cs="Times New Roman"/>
          <w:sz w:val="24"/>
          <w:szCs w:val="24"/>
        </w:rPr>
        <w:t xml:space="preserve"> : Tektak</w:t>
      </w:r>
      <w:r>
        <w:rPr>
          <w:rFonts w:ascii="Century Gothic" w:hAnsi="Century Gothic" w:cs="Times New Roman"/>
          <w:sz w:val="24"/>
          <w:szCs w:val="24"/>
        </w:rPr>
        <w:t xml:space="preserve">) </w:t>
      </w:r>
      <w:r w:rsidRPr="00DA6FFE">
        <w:rPr>
          <w:rFonts w:ascii="Century Gothic" w:hAnsi="Century Gothic" w:cs="Times New Roman"/>
          <w:sz w:val="24"/>
          <w:szCs w:val="24"/>
        </w:rPr>
        <w:t xml:space="preserve"> </w:t>
      </w:r>
    </w:p>
    <w:p w14:paraId="51F87DBD"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(15°33'46.84’’N ; 11°59'26.97’’O)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Permanent</w:t>
      </w:r>
    </w:p>
    <w:p w14:paraId="44FC95A6"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4AC08E53" wp14:editId="5820E2FD">
            <wp:extent cx="2391410" cy="3239135"/>
            <wp:effectExtent l="0" t="0" r="0" b="0"/>
            <wp:docPr id="73" name="Image 32" descr="E:\Desktop\ZH\Images ZH\KHATHRE\DJI_001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2" descr="E:\Desktop\ZH\Images ZH\KHATHRE\DJI_0013.JPG"/>
                    <pic:cNvPicPr>
                      <a:picLocks/>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91410" cy="3239135"/>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00B0DFC7" wp14:editId="1C857CEF">
            <wp:extent cx="3450590" cy="3239135"/>
            <wp:effectExtent l="0" t="0" r="0" b="0"/>
            <wp:docPr id="74" name="Image 31" descr="E:\Desktop\ZH\Cartes ZH\Khathre et tekta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1" descr="E:\Desktop\ZH\Cartes ZH\Khathre et tektak.jpg"/>
                    <pic:cNvPicPr>
                      <a:picLocks/>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50590" cy="3239135"/>
                    </a:xfrm>
                    <a:prstGeom prst="rect">
                      <a:avLst/>
                    </a:prstGeom>
                    <a:noFill/>
                    <a:ln>
                      <a:noFill/>
                    </a:ln>
                  </pic:spPr>
                </pic:pic>
              </a:graphicData>
            </a:graphic>
          </wp:inline>
        </w:drawing>
      </w:r>
    </w:p>
    <w:p w14:paraId="2905E0EA"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Khathre</w:t>
      </w:r>
    </w:p>
    <w:p w14:paraId="61924227" w14:textId="77777777" w:rsidR="005625B5" w:rsidRPr="001839C6" w:rsidRDefault="005625B5" w:rsidP="005625B5">
      <w:pPr>
        <w:spacing w:line="276" w:lineRule="auto"/>
        <w:jc w:val="center"/>
        <w:rPr>
          <w:rFonts w:ascii="Century Gothic" w:hAnsi="Century Gothic" w:cs="Times New Roman"/>
          <w:b/>
          <w:bCs/>
          <w:sz w:val="20"/>
          <w:szCs w:val="20"/>
        </w:rPr>
      </w:pPr>
    </w:p>
    <w:p w14:paraId="4300C781" w14:textId="77777777" w:rsidR="005625B5" w:rsidRPr="00DA6FFE" w:rsidRDefault="005625B5" w:rsidP="005625B5">
      <w:pPr>
        <w:spacing w:line="276" w:lineRule="auto"/>
        <w:jc w:val="both"/>
        <w:rPr>
          <w:rFonts w:ascii="Century Gothic" w:hAnsi="Century Gothic" w:cs="Times New Roman"/>
          <w:sz w:val="24"/>
          <w:szCs w:val="24"/>
        </w:rPr>
      </w:pPr>
      <w:r w:rsidRPr="00DA6FFE">
        <w:rPr>
          <w:rFonts w:ascii="Century Gothic" w:hAnsi="Century Gothic" w:cs="Times New Roman"/>
          <w:sz w:val="24"/>
          <w:szCs w:val="24"/>
          <w:u w:val="single"/>
        </w:rPr>
        <w:t>Ressources naturelles</w:t>
      </w:r>
      <w:r w:rsidRPr="00DA6FFE">
        <w:rPr>
          <w:rFonts w:ascii="Century Gothic" w:hAnsi="Century Gothic" w:cs="Times New Roman"/>
          <w:sz w:val="24"/>
          <w:szCs w:val="24"/>
        </w:rPr>
        <w:t xml:space="preserve"> (Biodiversité</w:t>
      </w:r>
      <w:proofErr w:type="gramStart"/>
      <w:r w:rsidRPr="00DA6FFE">
        <w:rPr>
          <w:rFonts w:ascii="Century Gothic" w:hAnsi="Century Gothic" w:cs="Times New Roman"/>
          <w:sz w:val="24"/>
          <w:szCs w:val="24"/>
        </w:rPr>
        <w:t>):</w:t>
      </w:r>
      <w:proofErr w:type="gramEnd"/>
      <w:r w:rsidRPr="00DA6FFE">
        <w:rPr>
          <w:rFonts w:ascii="Century Gothic" w:hAnsi="Century Gothic" w:cs="Times New Roman"/>
          <w:sz w:val="24"/>
          <w:szCs w:val="24"/>
        </w:rPr>
        <w:t xml:space="preserve"> </w:t>
      </w:r>
    </w:p>
    <w:p w14:paraId="0FF28AF0" w14:textId="77777777" w:rsidR="005625B5" w:rsidRPr="00DA6FFE"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DA6FFE">
        <w:rPr>
          <w:rFonts w:ascii="Century Gothic" w:hAnsi="Century Gothic" w:cs="Times New Roman"/>
          <w:sz w:val="24"/>
          <w:szCs w:val="24"/>
        </w:rPr>
        <w:t xml:space="preserve">Ressources aquatiques : Plantes aquatiques (+) ; poisson (+)  </w:t>
      </w:r>
    </w:p>
    <w:p w14:paraId="66C8E251" w14:textId="77777777" w:rsidR="005625B5" w:rsidRPr="00DA6FFE"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DA6FFE">
        <w:rPr>
          <w:rFonts w:ascii="Century Gothic" w:hAnsi="Century Gothic" w:cs="Times New Roman"/>
          <w:sz w:val="24"/>
          <w:szCs w:val="24"/>
        </w:rPr>
        <w:t>Ressources forestières : Acacias (+) ; Balanites (+) ; Bauhinia (+) ; …</w:t>
      </w:r>
    </w:p>
    <w:p w14:paraId="439F220E" w14:textId="77777777" w:rsidR="005625B5" w:rsidRPr="00DA6FFE"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DA6FFE">
        <w:rPr>
          <w:rFonts w:ascii="Century Gothic" w:hAnsi="Century Gothic" w:cs="Times New Roman"/>
          <w:sz w:val="24"/>
          <w:szCs w:val="24"/>
        </w:rPr>
        <w:t>Ressources fauniques : Faune sauvage (+) ; avifaune (+) </w:t>
      </w:r>
    </w:p>
    <w:p w14:paraId="4AEA4AC0" w14:textId="77777777" w:rsidR="005625B5" w:rsidRPr="00DA6FFE" w:rsidRDefault="005625B5" w:rsidP="005625B5">
      <w:pPr>
        <w:spacing w:line="276" w:lineRule="auto"/>
        <w:jc w:val="both"/>
        <w:rPr>
          <w:rFonts w:ascii="Century Gothic" w:hAnsi="Century Gothic" w:cs="Times New Roman"/>
          <w:sz w:val="24"/>
          <w:szCs w:val="24"/>
        </w:rPr>
      </w:pPr>
      <w:r w:rsidRPr="00DA6FFE">
        <w:rPr>
          <w:rFonts w:ascii="Century Gothic" w:hAnsi="Century Gothic" w:cs="Times New Roman"/>
          <w:sz w:val="24"/>
          <w:szCs w:val="24"/>
          <w:u w:val="single"/>
        </w:rPr>
        <w:t>Activités socioéconomiques</w:t>
      </w:r>
      <w:r w:rsidRPr="00DA6FFE">
        <w:rPr>
          <w:rFonts w:ascii="Century Gothic" w:hAnsi="Century Gothic" w:cs="Times New Roman"/>
          <w:sz w:val="24"/>
          <w:szCs w:val="24"/>
        </w:rPr>
        <w:t xml:space="preserve"> : </w:t>
      </w:r>
    </w:p>
    <w:p w14:paraId="19429586" w14:textId="77777777" w:rsidR="005625B5" w:rsidRPr="00DA6FFE"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DA6FFE">
        <w:rPr>
          <w:rFonts w:ascii="Century Gothic" w:hAnsi="Century Gothic" w:cs="Times New Roman"/>
          <w:b/>
          <w:bCs/>
          <w:sz w:val="24"/>
          <w:szCs w:val="24"/>
        </w:rPr>
        <w:t>Agriculture</w:t>
      </w:r>
      <w:r w:rsidRPr="00DA6FFE">
        <w:rPr>
          <w:rFonts w:ascii="Century Gothic" w:hAnsi="Century Gothic" w:cs="Times New Roman"/>
          <w:sz w:val="24"/>
          <w:szCs w:val="24"/>
        </w:rPr>
        <w:t xml:space="preserve"> : Elle n’est pas pratiquée autour de la mare.  </w:t>
      </w:r>
    </w:p>
    <w:p w14:paraId="2A6EED21" w14:textId="77777777" w:rsidR="005625B5" w:rsidRPr="00DA6FFE"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DA6FFE">
        <w:rPr>
          <w:rFonts w:ascii="Century Gothic" w:hAnsi="Century Gothic" w:cs="Times New Roman"/>
          <w:b/>
          <w:bCs/>
          <w:sz w:val="24"/>
          <w:szCs w:val="24"/>
        </w:rPr>
        <w:t>Elevage</w:t>
      </w:r>
      <w:r w:rsidRPr="00DA6FFE">
        <w:rPr>
          <w:rFonts w:ascii="Century Gothic" w:hAnsi="Century Gothic" w:cs="Times New Roman"/>
          <w:sz w:val="24"/>
          <w:szCs w:val="24"/>
        </w:rPr>
        <w:t xml:space="preserve"> : Il est pratiqué autour de la mare permettant aux troupeaux de s’y abreuver, surtout pendant la saison sèche.  </w:t>
      </w:r>
    </w:p>
    <w:p w14:paraId="7C8BCE58" w14:textId="77777777" w:rsidR="005625B5" w:rsidRPr="00DA6FFE"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DA6FFE">
        <w:rPr>
          <w:rFonts w:ascii="Century Gothic" w:hAnsi="Century Gothic" w:cs="Times New Roman"/>
          <w:b/>
          <w:bCs/>
          <w:sz w:val="24"/>
          <w:szCs w:val="24"/>
        </w:rPr>
        <w:t>Pêche</w:t>
      </w:r>
      <w:r w:rsidRPr="00DA6FFE">
        <w:rPr>
          <w:rFonts w:ascii="Century Gothic" w:hAnsi="Century Gothic" w:cs="Times New Roman"/>
          <w:sz w:val="24"/>
          <w:szCs w:val="24"/>
        </w:rPr>
        <w:t xml:space="preserve"> : Elle est pratiquée à partir du mois de mai jusqu’au tarissement de la mare. Les produits de la pêche sont principalement destinés à la consommation locale.     </w:t>
      </w:r>
    </w:p>
    <w:p w14:paraId="1A78117D" w14:textId="77777777" w:rsidR="005625B5"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DA6FFE">
        <w:rPr>
          <w:rFonts w:ascii="Century Gothic" w:hAnsi="Century Gothic" w:cs="Times New Roman"/>
          <w:b/>
          <w:bCs/>
          <w:sz w:val="24"/>
          <w:szCs w:val="24"/>
        </w:rPr>
        <w:t>Foresterie</w:t>
      </w:r>
      <w:r w:rsidRPr="00DA6FFE">
        <w:rPr>
          <w:rFonts w:ascii="Century Gothic" w:hAnsi="Century Gothic" w:cs="Times New Roman"/>
          <w:sz w:val="24"/>
          <w:szCs w:val="24"/>
        </w:rPr>
        <w:t xml:space="preserve"> : Les PFNL sont collectés au niveau de la zone humide et concernent Balanites, Ziziphus et Acacia, ... </w:t>
      </w:r>
    </w:p>
    <w:p w14:paraId="0B43A448" w14:textId="77777777" w:rsidR="005625B5" w:rsidRDefault="005625B5" w:rsidP="005625B5">
      <w:pPr>
        <w:pStyle w:val="Paragraphedeliste"/>
        <w:spacing w:after="200" w:line="276" w:lineRule="auto"/>
        <w:ind w:left="0"/>
        <w:jc w:val="both"/>
        <w:rPr>
          <w:rFonts w:ascii="Century Gothic" w:hAnsi="Century Gothic" w:cs="Times New Roman"/>
          <w:sz w:val="24"/>
          <w:szCs w:val="24"/>
        </w:rPr>
      </w:pPr>
    </w:p>
    <w:p w14:paraId="3D0216A7" w14:textId="77777777" w:rsidR="005625B5" w:rsidRPr="00061CFC"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Pr>
          <w:rFonts w:ascii="Century Gothic" w:hAnsi="Century Gothic" w:cs="Times New Roman"/>
          <w:sz w:val="24"/>
          <w:szCs w:val="24"/>
          <w:u w:val="single"/>
        </w:rPr>
        <w:br w:type="page"/>
      </w:r>
      <w:r w:rsidRPr="00061CFC">
        <w:rPr>
          <w:rFonts w:ascii="Century Gothic" w:hAnsi="Century Gothic" w:cs="Times New Roman"/>
          <w:sz w:val="24"/>
          <w:szCs w:val="24"/>
          <w:u w:val="single"/>
        </w:rPr>
        <w:t>Nom de zone humide</w:t>
      </w:r>
      <w:r w:rsidRPr="00061CFC">
        <w:rPr>
          <w:rFonts w:ascii="Century Gothic" w:hAnsi="Century Gothic" w:cs="Times New Roman"/>
          <w:sz w:val="24"/>
          <w:szCs w:val="24"/>
        </w:rPr>
        <w:t xml:space="preserve"> : </w:t>
      </w:r>
      <w:r w:rsidRPr="00061CFC">
        <w:rPr>
          <w:rFonts w:ascii="Century Gothic" w:hAnsi="Century Gothic" w:cs="Times New Roman"/>
          <w:b/>
          <w:bCs/>
          <w:sz w:val="24"/>
          <w:szCs w:val="24"/>
        </w:rPr>
        <w:t>Wofou Kharé</w:t>
      </w:r>
      <w:r w:rsidRPr="00061CFC">
        <w:rPr>
          <w:rFonts w:ascii="Century Gothic" w:hAnsi="Century Gothic" w:cs="Times New Roman"/>
          <w:sz w:val="24"/>
          <w:szCs w:val="24"/>
        </w:rPr>
        <w:t xml:space="preserve"> </w:t>
      </w:r>
      <w:r>
        <w:rPr>
          <w:rFonts w:ascii="Century Gothic" w:hAnsi="Century Gothic" w:cs="Times New Roman"/>
          <w:sz w:val="24"/>
          <w:szCs w:val="24"/>
        </w:rPr>
        <w:t>(</w:t>
      </w:r>
      <w:r w:rsidRPr="00061CFC">
        <w:rPr>
          <w:rFonts w:ascii="Century Gothic" w:hAnsi="Century Gothic" w:cs="Times New Roman"/>
          <w:sz w:val="24"/>
          <w:szCs w:val="24"/>
          <w:u w:val="single"/>
        </w:rPr>
        <w:t>Commune</w:t>
      </w:r>
      <w:r w:rsidRPr="00061CFC">
        <w:rPr>
          <w:rFonts w:ascii="Century Gothic" w:hAnsi="Century Gothic" w:cs="Times New Roman"/>
          <w:sz w:val="24"/>
          <w:szCs w:val="24"/>
        </w:rPr>
        <w:t xml:space="preserve"> : Gouraye</w:t>
      </w:r>
      <w:r>
        <w:rPr>
          <w:rFonts w:ascii="Century Gothic" w:hAnsi="Century Gothic" w:cs="Times New Roman"/>
          <w:sz w:val="24"/>
          <w:szCs w:val="24"/>
        </w:rPr>
        <w:t xml:space="preserve">) </w:t>
      </w:r>
      <w:r w:rsidRPr="00061CFC">
        <w:rPr>
          <w:rFonts w:ascii="Century Gothic" w:hAnsi="Century Gothic" w:cs="Times New Roman"/>
          <w:sz w:val="24"/>
          <w:szCs w:val="24"/>
        </w:rPr>
        <w:t xml:space="preserve"> </w:t>
      </w:r>
    </w:p>
    <w:p w14:paraId="142BDCDD"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(14°52'34.30’’N ; 12°24'35.83’’O)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xml:space="preserve"> : 7 mois </w:t>
      </w:r>
    </w:p>
    <w:p w14:paraId="71C4B5BE" w14:textId="77777777" w:rsidR="005625B5" w:rsidRPr="001839C6"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481693AC" wp14:editId="252C1154">
            <wp:extent cx="2637790" cy="3643630"/>
            <wp:effectExtent l="0" t="0" r="0" b="0"/>
            <wp:docPr id="75" name="Image 30" descr="E:\Desktop\ZH\Images ZH\WOFOU KHARE\IMG_75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0" descr="E:\Desktop\ZH\Images ZH\WOFOU KHARE\IMG_7537.JPG"/>
                    <pic:cNvPicPr>
                      <a:picLocks/>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37790" cy="3643630"/>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26A18B99" wp14:editId="1E753C62">
            <wp:extent cx="3437890" cy="3635375"/>
            <wp:effectExtent l="0" t="0" r="0" b="0"/>
            <wp:docPr id="76" name="Image 29" descr="E:\Desktop\ZH\Cartes des activités\Wofou Khar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9" descr="E:\Desktop\ZH\Cartes des activités\Wofou Khare.jpg"/>
                    <pic:cNvPicPr>
                      <a:picLocks/>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37890" cy="3635375"/>
                    </a:xfrm>
                    <a:prstGeom prst="rect">
                      <a:avLst/>
                    </a:prstGeom>
                    <a:noFill/>
                    <a:ln>
                      <a:noFill/>
                    </a:ln>
                  </pic:spPr>
                </pic:pic>
              </a:graphicData>
            </a:graphic>
          </wp:inline>
        </w:drawing>
      </w:r>
      <w:r w:rsidRPr="001839C6">
        <w:rPr>
          <w:rFonts w:ascii="Times New Roman" w:hAnsi="Times New Roman" w:cs="Times New Roman"/>
          <w:sz w:val="24"/>
          <w:szCs w:val="24"/>
        </w:rPr>
        <w:t xml:space="preserve"> </w:t>
      </w:r>
    </w:p>
    <w:p w14:paraId="227D215A"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Wofou Kharé</w:t>
      </w:r>
    </w:p>
    <w:p w14:paraId="35753FC1" w14:textId="77777777" w:rsidR="005625B5" w:rsidRPr="001839C6" w:rsidRDefault="005625B5" w:rsidP="005625B5">
      <w:pPr>
        <w:spacing w:line="276" w:lineRule="auto"/>
        <w:jc w:val="center"/>
        <w:rPr>
          <w:rFonts w:ascii="Century Gothic" w:hAnsi="Century Gothic" w:cs="Times New Roman"/>
          <w:b/>
          <w:bCs/>
          <w:sz w:val="20"/>
          <w:szCs w:val="20"/>
        </w:rPr>
      </w:pPr>
    </w:p>
    <w:p w14:paraId="6E1BA295" w14:textId="77777777" w:rsidR="005625B5" w:rsidRPr="00061CFC" w:rsidRDefault="005625B5" w:rsidP="005625B5">
      <w:pPr>
        <w:spacing w:line="276" w:lineRule="auto"/>
        <w:jc w:val="both"/>
        <w:rPr>
          <w:rFonts w:ascii="Century Gothic" w:hAnsi="Century Gothic" w:cs="Times New Roman"/>
          <w:sz w:val="24"/>
          <w:szCs w:val="24"/>
        </w:rPr>
      </w:pPr>
      <w:r w:rsidRPr="00061CFC">
        <w:rPr>
          <w:rFonts w:ascii="Century Gothic" w:hAnsi="Century Gothic" w:cs="Times New Roman"/>
          <w:sz w:val="24"/>
          <w:szCs w:val="24"/>
          <w:u w:val="single"/>
        </w:rPr>
        <w:t>Ressources naturelles</w:t>
      </w:r>
      <w:r w:rsidRPr="00061CFC">
        <w:rPr>
          <w:rFonts w:ascii="Century Gothic" w:hAnsi="Century Gothic" w:cs="Times New Roman"/>
          <w:sz w:val="24"/>
          <w:szCs w:val="24"/>
        </w:rPr>
        <w:t xml:space="preserve"> (Biodiversité</w:t>
      </w:r>
      <w:proofErr w:type="gramStart"/>
      <w:r w:rsidRPr="00061CFC">
        <w:rPr>
          <w:rFonts w:ascii="Century Gothic" w:hAnsi="Century Gothic" w:cs="Times New Roman"/>
          <w:sz w:val="24"/>
          <w:szCs w:val="24"/>
        </w:rPr>
        <w:t>):</w:t>
      </w:r>
      <w:proofErr w:type="gramEnd"/>
      <w:r w:rsidRPr="00061CFC">
        <w:rPr>
          <w:rFonts w:ascii="Century Gothic" w:hAnsi="Century Gothic" w:cs="Times New Roman"/>
          <w:sz w:val="24"/>
          <w:szCs w:val="24"/>
        </w:rPr>
        <w:t xml:space="preserve"> </w:t>
      </w:r>
    </w:p>
    <w:p w14:paraId="3539154E" w14:textId="77777777" w:rsidR="005625B5" w:rsidRPr="00061CFC"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061CFC">
        <w:rPr>
          <w:rFonts w:ascii="Century Gothic" w:hAnsi="Century Gothic" w:cs="Times New Roman"/>
          <w:sz w:val="24"/>
          <w:szCs w:val="24"/>
        </w:rPr>
        <w:t xml:space="preserve">Ressources aquatiques : Plantes aquatiques (+) ; poisson (+)  </w:t>
      </w:r>
    </w:p>
    <w:p w14:paraId="69F32FD1" w14:textId="77777777" w:rsidR="005625B5" w:rsidRPr="00061CFC"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061CFC">
        <w:rPr>
          <w:rFonts w:ascii="Century Gothic" w:hAnsi="Century Gothic" w:cs="Times New Roman"/>
          <w:sz w:val="24"/>
          <w:szCs w:val="24"/>
        </w:rPr>
        <w:t>Ressources forestières : Acacias (+) ; Balanites (+) ; Bauhinia (+) ; …</w:t>
      </w:r>
    </w:p>
    <w:p w14:paraId="317E6701" w14:textId="77777777" w:rsidR="005625B5" w:rsidRPr="00061CFC"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061CFC">
        <w:rPr>
          <w:rFonts w:ascii="Century Gothic" w:hAnsi="Century Gothic" w:cs="Times New Roman"/>
          <w:sz w:val="24"/>
          <w:szCs w:val="24"/>
        </w:rPr>
        <w:t>Ressources fauniques : Faune sauvage (+) ; avifaune (+) </w:t>
      </w:r>
    </w:p>
    <w:p w14:paraId="5942516D" w14:textId="77777777" w:rsidR="005625B5" w:rsidRPr="00061CFC" w:rsidRDefault="005625B5" w:rsidP="005625B5">
      <w:pPr>
        <w:spacing w:line="276" w:lineRule="auto"/>
        <w:jc w:val="both"/>
        <w:rPr>
          <w:rFonts w:ascii="Century Gothic" w:hAnsi="Century Gothic" w:cs="Times New Roman"/>
          <w:sz w:val="24"/>
          <w:szCs w:val="24"/>
        </w:rPr>
      </w:pPr>
      <w:r w:rsidRPr="00061CFC">
        <w:rPr>
          <w:rFonts w:ascii="Century Gothic" w:hAnsi="Century Gothic" w:cs="Times New Roman"/>
          <w:sz w:val="24"/>
          <w:szCs w:val="24"/>
          <w:u w:val="single"/>
        </w:rPr>
        <w:t>Activités socioéconomiques</w:t>
      </w:r>
      <w:r w:rsidRPr="00061CFC">
        <w:rPr>
          <w:rFonts w:ascii="Century Gothic" w:hAnsi="Century Gothic" w:cs="Times New Roman"/>
          <w:sz w:val="24"/>
          <w:szCs w:val="24"/>
        </w:rPr>
        <w:t xml:space="preserve"> : </w:t>
      </w:r>
    </w:p>
    <w:p w14:paraId="603AA80D" w14:textId="77777777" w:rsidR="005625B5" w:rsidRPr="00061CFC"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061CFC">
        <w:rPr>
          <w:rFonts w:ascii="Century Gothic" w:hAnsi="Century Gothic" w:cs="Times New Roman"/>
          <w:b/>
          <w:bCs/>
          <w:sz w:val="24"/>
          <w:szCs w:val="24"/>
        </w:rPr>
        <w:t>Agriculture</w:t>
      </w:r>
      <w:r w:rsidRPr="00061CFC">
        <w:rPr>
          <w:rFonts w:ascii="Century Gothic" w:hAnsi="Century Gothic" w:cs="Times New Roman"/>
          <w:sz w:val="24"/>
          <w:szCs w:val="24"/>
        </w:rPr>
        <w:t xml:space="preserve"> : Jadis la mare permettait la riziculture. Il existe actuellement une petite rizicole avoisinant la mare. Les différents villages environnants pratiquent l’agriculture autour de la mare    </w:t>
      </w:r>
    </w:p>
    <w:p w14:paraId="454DD250" w14:textId="77777777" w:rsidR="005625B5" w:rsidRPr="00061CFC"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061CFC">
        <w:rPr>
          <w:rFonts w:ascii="Century Gothic" w:hAnsi="Century Gothic" w:cs="Times New Roman"/>
          <w:b/>
          <w:bCs/>
          <w:sz w:val="24"/>
          <w:szCs w:val="24"/>
        </w:rPr>
        <w:t>Elevage</w:t>
      </w:r>
      <w:r w:rsidRPr="00061CFC">
        <w:rPr>
          <w:rFonts w:ascii="Century Gothic" w:hAnsi="Century Gothic" w:cs="Times New Roman"/>
          <w:sz w:val="24"/>
          <w:szCs w:val="24"/>
        </w:rPr>
        <w:t xml:space="preserve"> : La mare est principalement destinée à l’abreuvement du bétail.  </w:t>
      </w:r>
    </w:p>
    <w:p w14:paraId="558A2DDD" w14:textId="77777777" w:rsidR="005625B5" w:rsidRPr="00061CFC"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061CFC">
        <w:rPr>
          <w:rFonts w:ascii="Century Gothic" w:hAnsi="Century Gothic" w:cs="Times New Roman"/>
          <w:b/>
          <w:bCs/>
          <w:sz w:val="24"/>
          <w:szCs w:val="24"/>
        </w:rPr>
        <w:t>Pêche</w:t>
      </w:r>
      <w:r w:rsidRPr="00061CFC">
        <w:rPr>
          <w:rFonts w:ascii="Century Gothic" w:hAnsi="Century Gothic" w:cs="Times New Roman"/>
          <w:sz w:val="24"/>
          <w:szCs w:val="24"/>
        </w:rPr>
        <w:t xml:space="preserve"> : Aucune activité de pêche n’y est pratiquée.    </w:t>
      </w:r>
    </w:p>
    <w:p w14:paraId="310E5938" w14:textId="77777777" w:rsidR="005625B5" w:rsidRPr="00061CFC"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061CFC">
        <w:rPr>
          <w:rFonts w:ascii="Century Gothic" w:hAnsi="Century Gothic" w:cs="Times New Roman"/>
          <w:b/>
          <w:bCs/>
          <w:sz w:val="24"/>
          <w:szCs w:val="24"/>
        </w:rPr>
        <w:t>Foresterie</w:t>
      </w:r>
      <w:r w:rsidRPr="00061CFC">
        <w:rPr>
          <w:rFonts w:ascii="Century Gothic" w:hAnsi="Century Gothic" w:cs="Times New Roman"/>
          <w:sz w:val="24"/>
          <w:szCs w:val="24"/>
        </w:rPr>
        <w:t xml:space="preserve"> : Les PFNL sont collectés au niveau de la zone humide et concernent Balanites, Ziziphus et Acacia, ... </w:t>
      </w:r>
    </w:p>
    <w:p w14:paraId="0E817C55" w14:textId="77777777" w:rsidR="005625B5" w:rsidRPr="00061CFC" w:rsidRDefault="005625B5" w:rsidP="005625B5">
      <w:pPr>
        <w:pStyle w:val="Paragraphedeliste"/>
        <w:spacing w:after="200" w:line="276" w:lineRule="auto"/>
        <w:ind w:left="0"/>
        <w:jc w:val="both"/>
        <w:rPr>
          <w:rFonts w:ascii="Century Gothic" w:hAnsi="Century Gothic" w:cs="Times New Roman"/>
          <w:sz w:val="24"/>
          <w:szCs w:val="24"/>
        </w:rPr>
      </w:pPr>
    </w:p>
    <w:p w14:paraId="188B8B31" w14:textId="77777777" w:rsidR="005625B5" w:rsidRDefault="005625B5" w:rsidP="005625B5">
      <w:pPr>
        <w:pStyle w:val="Paragraphedeliste"/>
        <w:spacing w:after="200" w:line="276" w:lineRule="auto"/>
        <w:jc w:val="both"/>
        <w:rPr>
          <w:rFonts w:ascii="Century Gothic" w:hAnsi="Century Gothic" w:cs="Times New Roman"/>
          <w:sz w:val="24"/>
          <w:szCs w:val="24"/>
        </w:rPr>
      </w:pPr>
    </w:p>
    <w:p w14:paraId="3C67A720" w14:textId="77777777" w:rsidR="005625B5" w:rsidRPr="00E65A4A"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Pr>
          <w:rFonts w:ascii="Century Gothic" w:hAnsi="Century Gothic" w:cs="Times New Roman"/>
          <w:sz w:val="24"/>
          <w:szCs w:val="24"/>
          <w:u w:val="single"/>
        </w:rPr>
        <w:br w:type="page"/>
      </w:r>
      <w:r w:rsidRPr="00E65A4A">
        <w:rPr>
          <w:rFonts w:ascii="Century Gothic" w:hAnsi="Century Gothic" w:cs="Times New Roman"/>
          <w:sz w:val="24"/>
          <w:szCs w:val="24"/>
          <w:u w:val="single"/>
        </w:rPr>
        <w:t>Nom de zone humide</w:t>
      </w:r>
      <w:r w:rsidRPr="00E65A4A">
        <w:rPr>
          <w:rFonts w:ascii="Century Gothic" w:hAnsi="Century Gothic" w:cs="Times New Roman"/>
          <w:sz w:val="24"/>
          <w:szCs w:val="24"/>
        </w:rPr>
        <w:t xml:space="preserve"> : </w:t>
      </w:r>
      <w:r w:rsidRPr="00E65A4A">
        <w:rPr>
          <w:rFonts w:ascii="Century Gothic" w:hAnsi="Century Gothic" w:cs="Times New Roman"/>
          <w:b/>
          <w:bCs/>
          <w:sz w:val="24"/>
          <w:szCs w:val="24"/>
        </w:rPr>
        <w:t>Wompou Kharé</w:t>
      </w:r>
      <w:r w:rsidRPr="00E65A4A">
        <w:rPr>
          <w:rFonts w:ascii="Century Gothic" w:hAnsi="Century Gothic" w:cs="Times New Roman"/>
          <w:sz w:val="24"/>
          <w:szCs w:val="24"/>
        </w:rPr>
        <w:t xml:space="preserve"> </w:t>
      </w:r>
      <w:r>
        <w:rPr>
          <w:rFonts w:ascii="Century Gothic" w:hAnsi="Century Gothic" w:cs="Times New Roman"/>
          <w:sz w:val="24"/>
          <w:szCs w:val="24"/>
        </w:rPr>
        <w:t>(</w:t>
      </w:r>
      <w:r w:rsidRPr="00E65A4A">
        <w:rPr>
          <w:rFonts w:ascii="Century Gothic" w:hAnsi="Century Gothic" w:cs="Times New Roman"/>
          <w:sz w:val="24"/>
          <w:szCs w:val="24"/>
          <w:u w:val="single"/>
        </w:rPr>
        <w:t>Commune</w:t>
      </w:r>
      <w:r w:rsidRPr="00E65A4A">
        <w:rPr>
          <w:rFonts w:ascii="Century Gothic" w:hAnsi="Century Gothic" w:cs="Times New Roman"/>
          <w:sz w:val="24"/>
          <w:szCs w:val="24"/>
        </w:rPr>
        <w:t xml:space="preserve"> : Wompou</w:t>
      </w:r>
      <w:r>
        <w:rPr>
          <w:rFonts w:ascii="Century Gothic" w:hAnsi="Century Gothic" w:cs="Times New Roman"/>
          <w:sz w:val="24"/>
          <w:szCs w:val="24"/>
        </w:rPr>
        <w:t xml:space="preserve">) </w:t>
      </w:r>
      <w:r w:rsidRPr="00E65A4A">
        <w:rPr>
          <w:rFonts w:ascii="Century Gothic" w:hAnsi="Century Gothic" w:cs="Times New Roman"/>
          <w:sz w:val="24"/>
          <w:szCs w:val="24"/>
        </w:rPr>
        <w:t xml:space="preserve"> </w:t>
      </w:r>
    </w:p>
    <w:p w14:paraId="6F8345AC"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(15°7'8.25’’N ; 12°43'6.38’’O)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xml:space="preserve"> : Permanent  </w:t>
      </w:r>
    </w:p>
    <w:p w14:paraId="1A14C987"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129A403D" wp14:editId="429F2652">
            <wp:extent cx="2211070" cy="3273425"/>
            <wp:effectExtent l="0" t="0" r="0" b="0"/>
            <wp:docPr id="77" name="Image 28" descr="E:\Desktop\ZH\Images ZH\YOUBAME\DJI_06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8" descr="E:\Desktop\ZH\Images ZH\YOUBAME\DJI_0622.JPG"/>
                    <pic:cNvPicPr>
                      <a:picLocks/>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11070" cy="3273425"/>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6E8E0089" wp14:editId="58B7856C">
            <wp:extent cx="3808095" cy="3261360"/>
            <wp:effectExtent l="0" t="0" r="0" b="0"/>
            <wp:docPr id="78" name="Image 27" descr="E:\Desktop\ZH\Cartes ZH\Wompou khar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7" descr="E:\Desktop\ZH\Cartes ZH\Wompou khare.jpg"/>
                    <pic:cNvPicPr>
                      <a:picLocks/>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08095" cy="3261360"/>
                    </a:xfrm>
                    <a:prstGeom prst="rect">
                      <a:avLst/>
                    </a:prstGeom>
                    <a:noFill/>
                    <a:ln>
                      <a:noFill/>
                    </a:ln>
                  </pic:spPr>
                </pic:pic>
              </a:graphicData>
            </a:graphic>
          </wp:inline>
        </w:drawing>
      </w:r>
    </w:p>
    <w:p w14:paraId="2A840534"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Wompou Kharé</w:t>
      </w:r>
    </w:p>
    <w:p w14:paraId="25C86878" w14:textId="77777777" w:rsidR="005625B5" w:rsidRPr="001839C6" w:rsidRDefault="005625B5" w:rsidP="005625B5">
      <w:pPr>
        <w:spacing w:line="276" w:lineRule="auto"/>
        <w:jc w:val="both"/>
        <w:rPr>
          <w:rFonts w:ascii="Century Gothic" w:hAnsi="Century Gothic" w:cs="Times New Roman"/>
          <w:sz w:val="24"/>
          <w:szCs w:val="24"/>
        </w:rPr>
      </w:pPr>
    </w:p>
    <w:p w14:paraId="145C8F80" w14:textId="77777777" w:rsidR="005625B5" w:rsidRPr="00E65A4A" w:rsidRDefault="005625B5" w:rsidP="005625B5">
      <w:pPr>
        <w:spacing w:line="276" w:lineRule="auto"/>
        <w:jc w:val="both"/>
        <w:rPr>
          <w:rFonts w:ascii="Century Gothic" w:hAnsi="Century Gothic" w:cs="Times New Roman"/>
          <w:sz w:val="24"/>
          <w:szCs w:val="24"/>
        </w:rPr>
      </w:pPr>
      <w:r w:rsidRPr="00E65A4A">
        <w:rPr>
          <w:rFonts w:ascii="Century Gothic" w:hAnsi="Century Gothic" w:cs="Times New Roman"/>
          <w:sz w:val="24"/>
          <w:szCs w:val="24"/>
        </w:rPr>
        <w:t>Ressources naturelles (Biodiversité</w:t>
      </w:r>
      <w:proofErr w:type="gramStart"/>
      <w:r w:rsidRPr="00E65A4A">
        <w:rPr>
          <w:rFonts w:ascii="Century Gothic" w:hAnsi="Century Gothic" w:cs="Times New Roman"/>
          <w:sz w:val="24"/>
          <w:szCs w:val="24"/>
        </w:rPr>
        <w:t>):</w:t>
      </w:r>
      <w:proofErr w:type="gramEnd"/>
      <w:r w:rsidRPr="00E65A4A">
        <w:rPr>
          <w:rFonts w:ascii="Century Gothic" w:hAnsi="Century Gothic" w:cs="Times New Roman"/>
          <w:sz w:val="24"/>
          <w:szCs w:val="24"/>
        </w:rPr>
        <w:t xml:space="preserve"> </w:t>
      </w:r>
    </w:p>
    <w:p w14:paraId="3DF9D50D" w14:textId="77777777" w:rsidR="005625B5" w:rsidRPr="00E65A4A"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E65A4A">
        <w:rPr>
          <w:rFonts w:ascii="Century Gothic" w:hAnsi="Century Gothic" w:cs="Times New Roman"/>
          <w:sz w:val="24"/>
          <w:szCs w:val="24"/>
        </w:rPr>
        <w:t xml:space="preserve">Ressources aquatiques : Plantes aquatiques (+) ; poisson (+)  </w:t>
      </w:r>
    </w:p>
    <w:p w14:paraId="346F2C5D" w14:textId="77777777" w:rsidR="005625B5" w:rsidRPr="00E65A4A"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E65A4A">
        <w:rPr>
          <w:rFonts w:ascii="Century Gothic" w:hAnsi="Century Gothic" w:cs="Times New Roman"/>
          <w:sz w:val="24"/>
          <w:szCs w:val="24"/>
        </w:rPr>
        <w:t>Ressources forestières : Acacias (+) ; Balanites (+) ; Bauhinia (+) ; …</w:t>
      </w:r>
    </w:p>
    <w:p w14:paraId="2805C10E" w14:textId="77777777" w:rsidR="005625B5" w:rsidRPr="00E65A4A"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E65A4A">
        <w:rPr>
          <w:rFonts w:ascii="Century Gothic" w:hAnsi="Century Gothic" w:cs="Times New Roman"/>
          <w:sz w:val="24"/>
          <w:szCs w:val="24"/>
        </w:rPr>
        <w:t>Ressources fauniques : Faune sauvage (+) ; avifaune (+) </w:t>
      </w:r>
    </w:p>
    <w:p w14:paraId="7FCC04AF" w14:textId="77777777" w:rsidR="005625B5" w:rsidRPr="00E65A4A" w:rsidRDefault="005625B5" w:rsidP="005625B5">
      <w:pPr>
        <w:spacing w:line="276" w:lineRule="auto"/>
        <w:jc w:val="both"/>
        <w:rPr>
          <w:rFonts w:ascii="Century Gothic" w:hAnsi="Century Gothic" w:cs="Times New Roman"/>
          <w:sz w:val="24"/>
          <w:szCs w:val="24"/>
        </w:rPr>
      </w:pPr>
      <w:r w:rsidRPr="00E65A4A">
        <w:rPr>
          <w:rFonts w:ascii="Century Gothic" w:hAnsi="Century Gothic" w:cs="Times New Roman"/>
          <w:sz w:val="24"/>
          <w:szCs w:val="24"/>
          <w:u w:val="single"/>
        </w:rPr>
        <w:t>Activités socioéconomiques</w:t>
      </w:r>
      <w:r w:rsidRPr="00E65A4A">
        <w:rPr>
          <w:rFonts w:ascii="Century Gothic" w:hAnsi="Century Gothic" w:cs="Times New Roman"/>
          <w:sz w:val="24"/>
          <w:szCs w:val="24"/>
        </w:rPr>
        <w:t xml:space="preserve"> : </w:t>
      </w:r>
    </w:p>
    <w:p w14:paraId="50DC9C2B" w14:textId="77777777" w:rsidR="005625B5" w:rsidRPr="00E65A4A" w:rsidRDefault="005625B5" w:rsidP="005625B5">
      <w:pPr>
        <w:pStyle w:val="Paragraphedeliste"/>
        <w:numPr>
          <w:ilvl w:val="0"/>
          <w:numId w:val="46"/>
        </w:numPr>
        <w:spacing w:after="200" w:line="276" w:lineRule="auto"/>
        <w:jc w:val="both"/>
        <w:rPr>
          <w:rFonts w:ascii="Century Gothic" w:hAnsi="Century Gothic" w:cs="Times New Roman"/>
          <w:sz w:val="24"/>
          <w:szCs w:val="24"/>
        </w:rPr>
      </w:pPr>
      <w:r w:rsidRPr="00E65A4A">
        <w:rPr>
          <w:rFonts w:ascii="Century Gothic" w:hAnsi="Century Gothic" w:cs="Times New Roman"/>
          <w:b/>
          <w:bCs/>
          <w:sz w:val="24"/>
          <w:szCs w:val="24"/>
        </w:rPr>
        <w:t>Agriculture</w:t>
      </w:r>
      <w:r w:rsidRPr="00E65A4A">
        <w:rPr>
          <w:rFonts w:ascii="Century Gothic" w:hAnsi="Century Gothic" w:cs="Times New Roman"/>
          <w:sz w:val="24"/>
          <w:szCs w:val="24"/>
        </w:rPr>
        <w:t xml:space="preserve"> : L’agriculture de décru est une activité importante au niveau de la mare (sorgho, niébé, maïs), le maraichage et l’arboriculture.   </w:t>
      </w:r>
    </w:p>
    <w:p w14:paraId="3A5FFB5B" w14:textId="77777777" w:rsidR="005625B5" w:rsidRPr="00E65A4A" w:rsidRDefault="005625B5" w:rsidP="005625B5">
      <w:pPr>
        <w:pStyle w:val="Paragraphedeliste"/>
        <w:numPr>
          <w:ilvl w:val="0"/>
          <w:numId w:val="46"/>
        </w:numPr>
        <w:spacing w:after="200" w:line="276" w:lineRule="auto"/>
        <w:jc w:val="both"/>
        <w:rPr>
          <w:rFonts w:ascii="Century Gothic" w:hAnsi="Century Gothic" w:cs="Times New Roman"/>
          <w:sz w:val="24"/>
          <w:szCs w:val="24"/>
        </w:rPr>
      </w:pPr>
      <w:r w:rsidRPr="00E65A4A">
        <w:rPr>
          <w:rFonts w:ascii="Century Gothic" w:hAnsi="Century Gothic" w:cs="Times New Roman"/>
          <w:b/>
          <w:bCs/>
          <w:sz w:val="24"/>
          <w:szCs w:val="24"/>
        </w:rPr>
        <w:t>Elevage</w:t>
      </w:r>
      <w:r w:rsidRPr="00E65A4A">
        <w:rPr>
          <w:rFonts w:ascii="Century Gothic" w:hAnsi="Century Gothic" w:cs="Times New Roman"/>
          <w:sz w:val="24"/>
          <w:szCs w:val="24"/>
        </w:rPr>
        <w:t xml:space="preserve"> : C’est un élevage extensif où les troupeaux viennent s’abreuver et pâturer dans la zone humide. La mare constitue une zone de repli en saison sèche.    </w:t>
      </w:r>
    </w:p>
    <w:p w14:paraId="0F3AB4D1" w14:textId="77777777" w:rsidR="005625B5" w:rsidRPr="00E65A4A" w:rsidRDefault="005625B5" w:rsidP="005625B5">
      <w:pPr>
        <w:pStyle w:val="Paragraphedeliste"/>
        <w:numPr>
          <w:ilvl w:val="0"/>
          <w:numId w:val="46"/>
        </w:numPr>
        <w:spacing w:after="200" w:line="276" w:lineRule="auto"/>
        <w:jc w:val="both"/>
        <w:rPr>
          <w:rFonts w:ascii="Century Gothic" w:hAnsi="Century Gothic" w:cs="Times New Roman"/>
          <w:sz w:val="24"/>
          <w:szCs w:val="24"/>
        </w:rPr>
      </w:pPr>
      <w:r w:rsidRPr="00E65A4A">
        <w:rPr>
          <w:rFonts w:ascii="Century Gothic" w:hAnsi="Century Gothic" w:cs="Times New Roman"/>
          <w:b/>
          <w:bCs/>
          <w:sz w:val="24"/>
          <w:szCs w:val="24"/>
        </w:rPr>
        <w:t>Pêche</w:t>
      </w:r>
      <w:r w:rsidRPr="00E65A4A">
        <w:rPr>
          <w:rFonts w:ascii="Century Gothic" w:hAnsi="Century Gothic" w:cs="Times New Roman"/>
          <w:sz w:val="24"/>
          <w:szCs w:val="24"/>
        </w:rPr>
        <w:t xml:space="preserve"> : L’activité de la pêche est pratiquée dans la mare à partir du </w:t>
      </w:r>
      <w:proofErr w:type="spellStart"/>
      <w:r w:rsidRPr="00E65A4A">
        <w:rPr>
          <w:rFonts w:ascii="Century Gothic" w:hAnsi="Century Gothic" w:cs="Times New Roman"/>
          <w:sz w:val="24"/>
          <w:szCs w:val="24"/>
        </w:rPr>
        <w:t>moi</w:t>
      </w:r>
      <w:proofErr w:type="spellEnd"/>
      <w:r w:rsidRPr="00E65A4A">
        <w:rPr>
          <w:rFonts w:ascii="Century Gothic" w:hAnsi="Century Gothic" w:cs="Times New Roman"/>
          <w:sz w:val="24"/>
          <w:szCs w:val="24"/>
        </w:rPr>
        <w:t xml:space="preserve"> de février quand le niveau de l’eau baisse pour prendre fin en octobre ou novembre. La zone centrale est interdite de pêche.     </w:t>
      </w:r>
    </w:p>
    <w:p w14:paraId="5A3778D6" w14:textId="77777777" w:rsidR="005625B5" w:rsidRPr="00E65A4A" w:rsidRDefault="005625B5" w:rsidP="005625B5">
      <w:pPr>
        <w:pStyle w:val="Paragraphedeliste"/>
        <w:numPr>
          <w:ilvl w:val="0"/>
          <w:numId w:val="46"/>
        </w:numPr>
        <w:spacing w:after="200" w:line="276" w:lineRule="auto"/>
        <w:jc w:val="both"/>
        <w:rPr>
          <w:rFonts w:ascii="Century Gothic" w:hAnsi="Century Gothic" w:cs="Times New Roman"/>
          <w:sz w:val="24"/>
          <w:szCs w:val="24"/>
        </w:rPr>
      </w:pPr>
      <w:r w:rsidRPr="00E65A4A">
        <w:rPr>
          <w:rFonts w:ascii="Century Gothic" w:hAnsi="Century Gothic" w:cs="Times New Roman"/>
          <w:b/>
          <w:bCs/>
          <w:sz w:val="24"/>
          <w:szCs w:val="24"/>
        </w:rPr>
        <w:t>Foresterie</w:t>
      </w:r>
      <w:r w:rsidRPr="00E65A4A">
        <w:rPr>
          <w:rFonts w:ascii="Century Gothic" w:hAnsi="Century Gothic" w:cs="Times New Roman"/>
          <w:sz w:val="24"/>
          <w:szCs w:val="24"/>
        </w:rPr>
        <w:t xml:space="preserve"> : Le bois est coupé pour faire des clôtures et le charbon de bois. Le fruit du palmier doum est récolté et rapporte un revenu supplémentaire à la population locale. </w:t>
      </w:r>
    </w:p>
    <w:p w14:paraId="1D238B73" w14:textId="77777777" w:rsidR="005625B5" w:rsidRPr="00E65A4A" w:rsidRDefault="005625B5" w:rsidP="005625B5">
      <w:pPr>
        <w:pStyle w:val="Paragraphedeliste"/>
        <w:spacing w:after="200" w:line="276" w:lineRule="auto"/>
        <w:ind w:left="360"/>
        <w:jc w:val="both"/>
        <w:rPr>
          <w:rFonts w:ascii="Century Gothic" w:hAnsi="Century Gothic" w:cs="Times New Roman"/>
          <w:b/>
          <w:bCs/>
          <w:sz w:val="24"/>
          <w:szCs w:val="24"/>
        </w:rPr>
      </w:pPr>
      <w:r w:rsidRPr="00E65A4A">
        <w:rPr>
          <w:rFonts w:ascii="Century Gothic" w:hAnsi="Century Gothic" w:cs="Times New Roman"/>
          <w:b/>
          <w:bCs/>
          <w:sz w:val="24"/>
          <w:szCs w:val="24"/>
        </w:rPr>
        <w:t xml:space="preserve">Wilaya de Hodh Charghi : </w:t>
      </w:r>
    </w:p>
    <w:p w14:paraId="77A98F38" w14:textId="77777777" w:rsidR="005625B5" w:rsidRDefault="005625B5" w:rsidP="005625B5">
      <w:pPr>
        <w:pStyle w:val="Paragraphedeliste"/>
        <w:spacing w:after="200" w:line="276" w:lineRule="auto"/>
        <w:ind w:left="360"/>
        <w:jc w:val="both"/>
        <w:rPr>
          <w:rFonts w:ascii="Century Gothic" w:hAnsi="Century Gothic" w:cs="Times New Roman"/>
          <w:sz w:val="24"/>
          <w:szCs w:val="24"/>
        </w:rPr>
      </w:pPr>
    </w:p>
    <w:p w14:paraId="3EE84C62" w14:textId="77777777" w:rsidR="005625B5" w:rsidRPr="00E65A4A"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E65A4A">
        <w:rPr>
          <w:rFonts w:ascii="Times New Roman" w:hAnsi="Times New Roman" w:cs="Times New Roman"/>
          <w:sz w:val="24"/>
          <w:szCs w:val="24"/>
          <w:u w:val="single"/>
        </w:rPr>
        <w:t>Nom de zone humide</w:t>
      </w:r>
      <w:r w:rsidRPr="00E65A4A">
        <w:rPr>
          <w:rFonts w:ascii="Times New Roman" w:hAnsi="Times New Roman" w:cs="Times New Roman"/>
          <w:sz w:val="24"/>
          <w:szCs w:val="24"/>
        </w:rPr>
        <w:t xml:space="preserve"> : </w:t>
      </w:r>
      <w:r w:rsidRPr="00E65A4A">
        <w:rPr>
          <w:rFonts w:ascii="Times New Roman" w:hAnsi="Times New Roman" w:cs="Times New Roman"/>
          <w:b/>
          <w:bCs/>
          <w:sz w:val="24"/>
          <w:szCs w:val="24"/>
        </w:rPr>
        <w:t>El Vedra</w:t>
      </w:r>
      <w:r w:rsidRPr="00E65A4A">
        <w:rPr>
          <w:rFonts w:ascii="Times New Roman" w:hAnsi="Times New Roman" w:cs="Times New Roman"/>
          <w:sz w:val="24"/>
          <w:szCs w:val="24"/>
        </w:rPr>
        <w:t xml:space="preserve"> ; </w:t>
      </w:r>
      <w:r>
        <w:rPr>
          <w:rFonts w:ascii="Times New Roman" w:hAnsi="Times New Roman" w:cs="Times New Roman"/>
          <w:sz w:val="24"/>
          <w:szCs w:val="24"/>
        </w:rPr>
        <w:t>(</w:t>
      </w:r>
      <w:r w:rsidRPr="00E65A4A">
        <w:rPr>
          <w:rFonts w:ascii="Times New Roman" w:hAnsi="Times New Roman" w:cs="Times New Roman"/>
          <w:sz w:val="24"/>
          <w:szCs w:val="24"/>
          <w:u w:val="single"/>
        </w:rPr>
        <w:t>Commune</w:t>
      </w:r>
      <w:r w:rsidRPr="00E65A4A">
        <w:rPr>
          <w:rFonts w:ascii="Times New Roman" w:hAnsi="Times New Roman" w:cs="Times New Roman"/>
          <w:sz w:val="24"/>
          <w:szCs w:val="24"/>
        </w:rPr>
        <w:t xml:space="preserve"> : Adel Bagrou</w:t>
      </w:r>
      <w:r>
        <w:rPr>
          <w:rFonts w:ascii="Times New Roman" w:hAnsi="Times New Roman" w:cs="Times New Roman"/>
          <w:sz w:val="24"/>
          <w:szCs w:val="24"/>
        </w:rPr>
        <w:t xml:space="preserve">) </w:t>
      </w:r>
    </w:p>
    <w:p w14:paraId="70C71AF3" w14:textId="77777777" w:rsidR="005625B5" w:rsidRPr="001839C6" w:rsidRDefault="005625B5" w:rsidP="005625B5">
      <w:pPr>
        <w:spacing w:line="276" w:lineRule="auto"/>
        <w:jc w:val="both"/>
        <w:rPr>
          <w:rFonts w:ascii="Times New Roman" w:hAnsi="Times New Roman" w:cs="Times New Roman"/>
          <w:sz w:val="24"/>
          <w:szCs w:val="24"/>
        </w:rPr>
      </w:pPr>
      <w:r w:rsidRPr="001839C6">
        <w:rPr>
          <w:rFonts w:ascii="Times New Roman" w:hAnsi="Times New Roman" w:cs="Times New Roman"/>
          <w:sz w:val="24"/>
          <w:szCs w:val="24"/>
          <w:u w:val="single"/>
        </w:rPr>
        <w:t>Coordonnées GPS</w:t>
      </w:r>
      <w:r w:rsidRPr="001839C6">
        <w:rPr>
          <w:rFonts w:ascii="Times New Roman" w:hAnsi="Times New Roman" w:cs="Times New Roman"/>
          <w:sz w:val="24"/>
          <w:szCs w:val="24"/>
        </w:rPr>
        <w:t xml:space="preserve"> : (15°36'53.70’’N ; 6°54'6.90’’O) ; </w:t>
      </w:r>
      <w:r w:rsidRPr="001839C6">
        <w:rPr>
          <w:rFonts w:ascii="Times New Roman" w:hAnsi="Times New Roman" w:cs="Times New Roman"/>
          <w:sz w:val="24"/>
          <w:szCs w:val="24"/>
          <w:u w:val="single"/>
        </w:rPr>
        <w:t>Durée de l’eau</w:t>
      </w:r>
      <w:r w:rsidRPr="001839C6">
        <w:rPr>
          <w:rFonts w:ascii="Times New Roman" w:hAnsi="Times New Roman" w:cs="Times New Roman"/>
          <w:sz w:val="24"/>
          <w:szCs w:val="24"/>
        </w:rPr>
        <w:t xml:space="preserve"> : Permanent  </w:t>
      </w:r>
    </w:p>
    <w:p w14:paraId="2161C3D5"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1386719B" wp14:editId="27C0F3F8">
            <wp:extent cx="2011680" cy="3251200"/>
            <wp:effectExtent l="0" t="0" r="0" b="0"/>
            <wp:docPr id="79" name="Image 26" descr="E:\Desktop\ZH\Images ZH\EL VADRA\DJI_017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6" descr="E:\Desktop\ZH\Images ZH\EL VADRA\DJI_0177.JPG"/>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11680" cy="3251200"/>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305C2E76" wp14:editId="5B6F35A3">
            <wp:extent cx="3986530" cy="3239135"/>
            <wp:effectExtent l="0" t="0" r="0" b="0"/>
            <wp:docPr id="80" name="Image 25" descr="E:\Desktop\ZH\Cartes des activités\vedr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5" descr="E:\Desktop\ZH\Cartes des activités\vedra.jpg"/>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986530" cy="3239135"/>
                    </a:xfrm>
                    <a:prstGeom prst="rect">
                      <a:avLst/>
                    </a:prstGeom>
                    <a:noFill/>
                    <a:ln>
                      <a:noFill/>
                    </a:ln>
                  </pic:spPr>
                </pic:pic>
              </a:graphicData>
            </a:graphic>
          </wp:inline>
        </w:drawing>
      </w:r>
    </w:p>
    <w:p w14:paraId="3EA2770E"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 des activités de restauration de la zone humide El Vedra</w:t>
      </w:r>
    </w:p>
    <w:p w14:paraId="79BE2228" w14:textId="77777777" w:rsidR="005625B5" w:rsidRPr="00732580" w:rsidRDefault="005625B5" w:rsidP="005625B5">
      <w:pPr>
        <w:spacing w:line="276" w:lineRule="auto"/>
        <w:jc w:val="both"/>
        <w:rPr>
          <w:rFonts w:ascii="Century Gothic" w:hAnsi="Century Gothic" w:cs="Times New Roman"/>
          <w:sz w:val="24"/>
          <w:szCs w:val="24"/>
        </w:rPr>
      </w:pPr>
      <w:r w:rsidRPr="00732580">
        <w:rPr>
          <w:rFonts w:ascii="Century Gothic" w:hAnsi="Century Gothic" w:cs="Times New Roman"/>
          <w:sz w:val="24"/>
          <w:szCs w:val="24"/>
          <w:u w:val="single"/>
        </w:rPr>
        <w:t>Ressources naturelles</w:t>
      </w:r>
      <w:r w:rsidRPr="00732580">
        <w:rPr>
          <w:rFonts w:ascii="Century Gothic" w:hAnsi="Century Gothic" w:cs="Times New Roman"/>
          <w:sz w:val="24"/>
          <w:szCs w:val="24"/>
        </w:rPr>
        <w:t xml:space="preserve"> (Biodiversité</w:t>
      </w:r>
      <w:proofErr w:type="gramStart"/>
      <w:r w:rsidRPr="00732580">
        <w:rPr>
          <w:rFonts w:ascii="Century Gothic" w:hAnsi="Century Gothic" w:cs="Times New Roman"/>
          <w:sz w:val="24"/>
          <w:szCs w:val="24"/>
        </w:rPr>
        <w:t>):</w:t>
      </w:r>
      <w:proofErr w:type="gramEnd"/>
      <w:r w:rsidRPr="00732580">
        <w:rPr>
          <w:rFonts w:ascii="Century Gothic" w:hAnsi="Century Gothic" w:cs="Times New Roman"/>
          <w:sz w:val="24"/>
          <w:szCs w:val="24"/>
        </w:rPr>
        <w:t xml:space="preserve"> </w:t>
      </w:r>
    </w:p>
    <w:p w14:paraId="0E316314" w14:textId="77777777" w:rsidR="005625B5" w:rsidRPr="00732580"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732580">
        <w:rPr>
          <w:rFonts w:ascii="Century Gothic" w:hAnsi="Century Gothic" w:cs="Times New Roman"/>
          <w:sz w:val="24"/>
          <w:szCs w:val="24"/>
        </w:rPr>
        <w:t xml:space="preserve">Ressources aquatiques : Plantes aquatiques (+) ; poisson (+)  </w:t>
      </w:r>
    </w:p>
    <w:p w14:paraId="17B2A433" w14:textId="77777777" w:rsidR="005625B5" w:rsidRPr="00732580"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732580">
        <w:rPr>
          <w:rFonts w:ascii="Century Gothic" w:hAnsi="Century Gothic" w:cs="Times New Roman"/>
          <w:sz w:val="24"/>
          <w:szCs w:val="24"/>
        </w:rPr>
        <w:t>Ressources forestières : Acacias (+) ; Balanites (+) ; Bauhinia (+) ; …</w:t>
      </w:r>
    </w:p>
    <w:p w14:paraId="3B51F944" w14:textId="77777777" w:rsidR="005625B5" w:rsidRPr="00732580"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732580">
        <w:rPr>
          <w:rFonts w:ascii="Century Gothic" w:hAnsi="Century Gothic" w:cs="Times New Roman"/>
          <w:sz w:val="24"/>
          <w:szCs w:val="24"/>
        </w:rPr>
        <w:t>Ressources fauniques : Faune sauvage (+) ; avifaune (+) </w:t>
      </w:r>
    </w:p>
    <w:p w14:paraId="52D47D25" w14:textId="77777777" w:rsidR="005625B5" w:rsidRPr="00732580" w:rsidRDefault="005625B5" w:rsidP="005625B5">
      <w:pPr>
        <w:spacing w:line="276" w:lineRule="auto"/>
        <w:jc w:val="both"/>
        <w:rPr>
          <w:rFonts w:ascii="Century Gothic" w:hAnsi="Century Gothic" w:cs="Times New Roman"/>
          <w:sz w:val="24"/>
          <w:szCs w:val="24"/>
        </w:rPr>
      </w:pPr>
      <w:r w:rsidRPr="00732580">
        <w:rPr>
          <w:rFonts w:ascii="Century Gothic" w:hAnsi="Century Gothic" w:cs="Times New Roman"/>
          <w:sz w:val="24"/>
          <w:szCs w:val="24"/>
          <w:u w:val="single"/>
        </w:rPr>
        <w:t>Activités socioéconomiques</w:t>
      </w:r>
      <w:r w:rsidRPr="00732580">
        <w:rPr>
          <w:rFonts w:ascii="Century Gothic" w:hAnsi="Century Gothic" w:cs="Times New Roman"/>
          <w:sz w:val="24"/>
          <w:szCs w:val="24"/>
        </w:rPr>
        <w:t xml:space="preserve"> : </w:t>
      </w:r>
    </w:p>
    <w:p w14:paraId="3CD1CD4F" w14:textId="77777777" w:rsidR="005625B5" w:rsidRPr="00732580" w:rsidRDefault="005625B5" w:rsidP="005625B5">
      <w:pPr>
        <w:pStyle w:val="Paragraphedeliste"/>
        <w:numPr>
          <w:ilvl w:val="0"/>
          <w:numId w:val="47"/>
        </w:numPr>
        <w:spacing w:after="200" w:line="276" w:lineRule="auto"/>
        <w:jc w:val="both"/>
        <w:rPr>
          <w:rFonts w:ascii="Century Gothic" w:hAnsi="Century Gothic" w:cs="Times New Roman"/>
          <w:sz w:val="24"/>
          <w:szCs w:val="24"/>
        </w:rPr>
      </w:pPr>
      <w:r w:rsidRPr="00732580">
        <w:rPr>
          <w:rFonts w:ascii="Century Gothic" w:hAnsi="Century Gothic" w:cs="Times New Roman"/>
          <w:b/>
          <w:bCs/>
          <w:sz w:val="24"/>
          <w:szCs w:val="24"/>
        </w:rPr>
        <w:t>Agriculture</w:t>
      </w:r>
      <w:r w:rsidRPr="00732580">
        <w:rPr>
          <w:rFonts w:ascii="Century Gothic" w:hAnsi="Century Gothic" w:cs="Times New Roman"/>
          <w:sz w:val="24"/>
          <w:szCs w:val="24"/>
        </w:rPr>
        <w:t xml:space="preserve"> : Les spéculations cultivées sont sorgho, niébé, maïs, cucurbitacées, maraichage.   </w:t>
      </w:r>
    </w:p>
    <w:p w14:paraId="57BE1382" w14:textId="77777777" w:rsidR="005625B5" w:rsidRPr="00732580" w:rsidRDefault="005625B5" w:rsidP="005625B5">
      <w:pPr>
        <w:pStyle w:val="Paragraphedeliste"/>
        <w:numPr>
          <w:ilvl w:val="0"/>
          <w:numId w:val="47"/>
        </w:numPr>
        <w:spacing w:after="200" w:line="276" w:lineRule="auto"/>
        <w:jc w:val="both"/>
        <w:rPr>
          <w:rFonts w:ascii="Century Gothic" w:hAnsi="Century Gothic" w:cs="Times New Roman"/>
          <w:sz w:val="24"/>
          <w:szCs w:val="24"/>
        </w:rPr>
      </w:pPr>
      <w:r w:rsidRPr="00732580">
        <w:rPr>
          <w:rFonts w:ascii="Century Gothic" w:hAnsi="Century Gothic" w:cs="Times New Roman"/>
          <w:b/>
          <w:bCs/>
          <w:sz w:val="24"/>
          <w:szCs w:val="24"/>
        </w:rPr>
        <w:t>Elevage</w:t>
      </w:r>
      <w:r w:rsidRPr="00732580">
        <w:rPr>
          <w:rFonts w:ascii="Century Gothic" w:hAnsi="Century Gothic" w:cs="Times New Roman"/>
          <w:sz w:val="24"/>
          <w:szCs w:val="24"/>
        </w:rPr>
        <w:t xml:space="preserve"> : C’est un élevage extensif où les troupeaux viennent s’abreuver et pâturer dans la zone humide pendant la saison sèche.     </w:t>
      </w:r>
    </w:p>
    <w:p w14:paraId="31FF4AD4" w14:textId="77777777" w:rsidR="005625B5" w:rsidRPr="00732580" w:rsidRDefault="005625B5" w:rsidP="005625B5">
      <w:pPr>
        <w:pStyle w:val="Paragraphedeliste"/>
        <w:numPr>
          <w:ilvl w:val="0"/>
          <w:numId w:val="47"/>
        </w:numPr>
        <w:spacing w:after="200" w:line="276" w:lineRule="auto"/>
        <w:jc w:val="both"/>
        <w:rPr>
          <w:rFonts w:ascii="Century Gothic" w:hAnsi="Century Gothic" w:cs="Times New Roman"/>
          <w:sz w:val="24"/>
          <w:szCs w:val="24"/>
        </w:rPr>
      </w:pPr>
      <w:r w:rsidRPr="00732580">
        <w:rPr>
          <w:rFonts w:ascii="Century Gothic" w:hAnsi="Century Gothic" w:cs="Times New Roman"/>
          <w:b/>
          <w:bCs/>
          <w:sz w:val="24"/>
          <w:szCs w:val="24"/>
        </w:rPr>
        <w:t>Pêche</w:t>
      </w:r>
      <w:r w:rsidRPr="00732580">
        <w:rPr>
          <w:rFonts w:ascii="Century Gothic" w:hAnsi="Century Gothic" w:cs="Times New Roman"/>
          <w:sz w:val="24"/>
          <w:szCs w:val="24"/>
        </w:rPr>
        <w:t xml:space="preserve"> : L’activité de la pêche est pratiquée dans la mare par les maliens et les produits sont exportés au Mali. Les pêcheurs payent parfois des taxes.     </w:t>
      </w:r>
    </w:p>
    <w:p w14:paraId="29E6705F" w14:textId="77777777" w:rsidR="005625B5" w:rsidRPr="00732580" w:rsidRDefault="005625B5" w:rsidP="005625B5">
      <w:pPr>
        <w:pStyle w:val="Paragraphedeliste"/>
        <w:numPr>
          <w:ilvl w:val="0"/>
          <w:numId w:val="47"/>
        </w:numPr>
        <w:spacing w:after="200" w:line="276" w:lineRule="auto"/>
        <w:jc w:val="both"/>
        <w:rPr>
          <w:rFonts w:ascii="Century Gothic" w:hAnsi="Century Gothic" w:cs="Times New Roman"/>
          <w:sz w:val="24"/>
          <w:szCs w:val="24"/>
        </w:rPr>
      </w:pPr>
      <w:r w:rsidRPr="00732580">
        <w:rPr>
          <w:rFonts w:ascii="Century Gothic" w:hAnsi="Century Gothic" w:cs="Times New Roman"/>
          <w:b/>
          <w:bCs/>
          <w:sz w:val="24"/>
          <w:szCs w:val="24"/>
        </w:rPr>
        <w:t>Foresterie</w:t>
      </w:r>
      <w:r w:rsidRPr="00732580">
        <w:rPr>
          <w:rFonts w:ascii="Century Gothic" w:hAnsi="Century Gothic" w:cs="Times New Roman"/>
          <w:sz w:val="24"/>
          <w:szCs w:val="24"/>
        </w:rPr>
        <w:t xml:space="preserve"> : Le bois est coupé pour faire des clôtures et le charbon de bois. Le fruit du palmier doum est récolté et rapporte un revenu supplémentaire à la population locale. </w:t>
      </w:r>
    </w:p>
    <w:p w14:paraId="0871BFB0" w14:textId="77777777" w:rsidR="005625B5" w:rsidRDefault="005625B5" w:rsidP="005625B5">
      <w:pPr>
        <w:pStyle w:val="Paragraphedeliste"/>
        <w:spacing w:after="200" w:line="276" w:lineRule="auto"/>
        <w:jc w:val="both"/>
        <w:rPr>
          <w:rFonts w:ascii="Century Gothic" w:hAnsi="Century Gothic" w:cs="Times New Roman"/>
          <w:sz w:val="24"/>
          <w:szCs w:val="24"/>
        </w:rPr>
      </w:pPr>
    </w:p>
    <w:p w14:paraId="0ED367E1" w14:textId="77777777" w:rsidR="005625B5" w:rsidRPr="00472624"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472624">
        <w:rPr>
          <w:rFonts w:ascii="Century Gothic" w:hAnsi="Century Gothic" w:cs="Times New Roman"/>
          <w:sz w:val="24"/>
          <w:szCs w:val="24"/>
          <w:u w:val="single"/>
        </w:rPr>
        <w:t>Nom de zone humide</w:t>
      </w:r>
      <w:r w:rsidRPr="00472624">
        <w:rPr>
          <w:rFonts w:ascii="Century Gothic" w:hAnsi="Century Gothic" w:cs="Times New Roman"/>
          <w:sz w:val="24"/>
          <w:szCs w:val="24"/>
        </w:rPr>
        <w:t xml:space="preserve"> : </w:t>
      </w:r>
      <w:r w:rsidRPr="00472624">
        <w:rPr>
          <w:rFonts w:ascii="Century Gothic" w:hAnsi="Century Gothic" w:cs="Times New Roman"/>
          <w:b/>
          <w:bCs/>
          <w:sz w:val="24"/>
          <w:szCs w:val="24"/>
        </w:rPr>
        <w:t>Keybi</w:t>
      </w:r>
      <w:r w:rsidRPr="00472624">
        <w:rPr>
          <w:rFonts w:ascii="Century Gothic" w:hAnsi="Century Gothic" w:cs="Times New Roman"/>
          <w:sz w:val="24"/>
          <w:szCs w:val="24"/>
        </w:rPr>
        <w:t xml:space="preserve"> </w:t>
      </w:r>
      <w:r>
        <w:rPr>
          <w:rFonts w:ascii="Century Gothic" w:hAnsi="Century Gothic" w:cs="Times New Roman"/>
          <w:sz w:val="24"/>
          <w:szCs w:val="24"/>
        </w:rPr>
        <w:t>(</w:t>
      </w:r>
      <w:r w:rsidRPr="00472624">
        <w:rPr>
          <w:rFonts w:ascii="Century Gothic" w:hAnsi="Century Gothic" w:cs="Times New Roman"/>
          <w:sz w:val="24"/>
          <w:szCs w:val="24"/>
          <w:u w:val="single"/>
        </w:rPr>
        <w:t>Commune</w:t>
      </w:r>
      <w:r w:rsidRPr="00472624">
        <w:rPr>
          <w:rFonts w:ascii="Century Gothic" w:hAnsi="Century Gothic" w:cs="Times New Roman"/>
          <w:sz w:val="24"/>
          <w:szCs w:val="24"/>
        </w:rPr>
        <w:t xml:space="preserve"> : Coumbi Saleh</w:t>
      </w:r>
      <w:r>
        <w:rPr>
          <w:rFonts w:ascii="Century Gothic" w:hAnsi="Century Gothic" w:cs="Times New Roman"/>
          <w:sz w:val="24"/>
          <w:szCs w:val="24"/>
        </w:rPr>
        <w:t>)</w:t>
      </w:r>
    </w:p>
    <w:p w14:paraId="5F44EB44"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(15°52'56.51’’N ; 7°52'2.70’’O)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xml:space="preserve"> : Permanent  </w:t>
      </w:r>
    </w:p>
    <w:p w14:paraId="7202894F"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5469A713" wp14:editId="743B5D37">
            <wp:extent cx="2696210" cy="4512945"/>
            <wp:effectExtent l="0" t="0" r="0" b="0"/>
            <wp:docPr id="81" name="Image 24" descr="E:\Desktop\ZH\Images ZH\KEYBI\DJI_012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4" descr="E:\Desktop\ZH\Images ZH\KEYBI\DJI_0126.JPG"/>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96210" cy="4512945"/>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2473F49A" wp14:editId="0F7B87E6">
            <wp:extent cx="3312160" cy="4512945"/>
            <wp:effectExtent l="0" t="0" r="0" b="0"/>
            <wp:docPr id="82" name="Image 23" descr="E:\Desktop\ZH\Cartes des activités\keyb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3" descr="E:\Desktop\ZH\Cartes des activités\keybi.jpg"/>
                    <pic:cNvPicPr>
                      <a:picLocks/>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312160" cy="4512945"/>
                    </a:xfrm>
                    <a:prstGeom prst="rect">
                      <a:avLst/>
                    </a:prstGeom>
                    <a:noFill/>
                    <a:ln>
                      <a:noFill/>
                    </a:ln>
                  </pic:spPr>
                </pic:pic>
              </a:graphicData>
            </a:graphic>
          </wp:inline>
        </w:drawing>
      </w:r>
    </w:p>
    <w:p w14:paraId="665A9455"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Keybi</w:t>
      </w:r>
    </w:p>
    <w:p w14:paraId="3BF96BCD" w14:textId="77777777" w:rsidR="005625B5" w:rsidRPr="00472624" w:rsidRDefault="005625B5" w:rsidP="005625B5">
      <w:pPr>
        <w:spacing w:line="276" w:lineRule="auto"/>
        <w:jc w:val="both"/>
        <w:rPr>
          <w:rFonts w:ascii="Century Gothic" w:hAnsi="Century Gothic" w:cs="Times New Roman"/>
          <w:sz w:val="24"/>
          <w:szCs w:val="24"/>
        </w:rPr>
      </w:pPr>
      <w:r w:rsidRPr="00472624">
        <w:rPr>
          <w:rFonts w:ascii="Century Gothic" w:hAnsi="Century Gothic" w:cs="Times New Roman"/>
          <w:sz w:val="24"/>
          <w:szCs w:val="24"/>
          <w:u w:val="single"/>
        </w:rPr>
        <w:t>Ressources naturelles</w:t>
      </w:r>
      <w:r w:rsidRPr="00472624">
        <w:rPr>
          <w:rFonts w:ascii="Century Gothic" w:hAnsi="Century Gothic" w:cs="Times New Roman"/>
          <w:sz w:val="24"/>
          <w:szCs w:val="24"/>
        </w:rPr>
        <w:t xml:space="preserve"> (Biodiversité</w:t>
      </w:r>
      <w:proofErr w:type="gramStart"/>
      <w:r w:rsidRPr="00472624">
        <w:rPr>
          <w:rFonts w:ascii="Century Gothic" w:hAnsi="Century Gothic" w:cs="Times New Roman"/>
          <w:sz w:val="24"/>
          <w:szCs w:val="24"/>
        </w:rPr>
        <w:t>):</w:t>
      </w:r>
      <w:proofErr w:type="gramEnd"/>
      <w:r w:rsidRPr="00472624">
        <w:rPr>
          <w:rFonts w:ascii="Century Gothic" w:hAnsi="Century Gothic" w:cs="Times New Roman"/>
          <w:sz w:val="24"/>
          <w:szCs w:val="24"/>
        </w:rPr>
        <w:t xml:space="preserve"> </w:t>
      </w:r>
    </w:p>
    <w:p w14:paraId="6AA97907" w14:textId="77777777" w:rsidR="005625B5" w:rsidRPr="00472624"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472624">
        <w:rPr>
          <w:rFonts w:ascii="Century Gothic" w:hAnsi="Century Gothic" w:cs="Times New Roman"/>
          <w:sz w:val="24"/>
          <w:szCs w:val="24"/>
        </w:rPr>
        <w:t xml:space="preserve">Ressources aquatiques : Plantes aquatiques (+) ; poisson (+)  </w:t>
      </w:r>
    </w:p>
    <w:p w14:paraId="0294EE6B" w14:textId="77777777" w:rsidR="005625B5" w:rsidRPr="00472624"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472624">
        <w:rPr>
          <w:rFonts w:ascii="Century Gothic" w:hAnsi="Century Gothic" w:cs="Times New Roman"/>
          <w:sz w:val="24"/>
          <w:szCs w:val="24"/>
        </w:rPr>
        <w:t>Ressources forestières : Acacias (+) ; Balanites (+) ; Bauhinia (+) ; …</w:t>
      </w:r>
    </w:p>
    <w:p w14:paraId="268B2F6D" w14:textId="77777777" w:rsidR="005625B5" w:rsidRPr="00472624"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472624">
        <w:rPr>
          <w:rFonts w:ascii="Century Gothic" w:hAnsi="Century Gothic" w:cs="Times New Roman"/>
          <w:sz w:val="24"/>
          <w:szCs w:val="24"/>
        </w:rPr>
        <w:t>Ressources fauniques : Faune sauvage (+) ; avifaune (+) </w:t>
      </w:r>
    </w:p>
    <w:p w14:paraId="44A7370D" w14:textId="77777777" w:rsidR="005625B5" w:rsidRPr="00472624" w:rsidRDefault="005625B5" w:rsidP="005625B5">
      <w:pPr>
        <w:spacing w:line="276" w:lineRule="auto"/>
        <w:jc w:val="both"/>
        <w:rPr>
          <w:rFonts w:ascii="Century Gothic" w:hAnsi="Century Gothic" w:cs="Times New Roman"/>
          <w:sz w:val="24"/>
          <w:szCs w:val="24"/>
        </w:rPr>
      </w:pPr>
      <w:r w:rsidRPr="00472624">
        <w:rPr>
          <w:rFonts w:ascii="Century Gothic" w:hAnsi="Century Gothic" w:cs="Times New Roman"/>
          <w:sz w:val="24"/>
          <w:szCs w:val="24"/>
          <w:u w:val="single"/>
        </w:rPr>
        <w:t>Activités socioéconomiques</w:t>
      </w:r>
      <w:r w:rsidRPr="00472624">
        <w:rPr>
          <w:rFonts w:ascii="Century Gothic" w:hAnsi="Century Gothic" w:cs="Times New Roman"/>
          <w:sz w:val="24"/>
          <w:szCs w:val="24"/>
        </w:rPr>
        <w:t xml:space="preserve"> : </w:t>
      </w:r>
    </w:p>
    <w:p w14:paraId="5DF7BF05" w14:textId="77777777" w:rsidR="005625B5" w:rsidRPr="00472624" w:rsidRDefault="005625B5" w:rsidP="005625B5">
      <w:pPr>
        <w:pStyle w:val="Paragraphedeliste"/>
        <w:numPr>
          <w:ilvl w:val="0"/>
          <w:numId w:val="48"/>
        </w:numPr>
        <w:spacing w:after="200" w:line="276" w:lineRule="auto"/>
        <w:jc w:val="both"/>
        <w:rPr>
          <w:rFonts w:ascii="Century Gothic" w:hAnsi="Century Gothic" w:cs="Times New Roman"/>
          <w:sz w:val="24"/>
          <w:szCs w:val="24"/>
        </w:rPr>
      </w:pPr>
      <w:r w:rsidRPr="00472624">
        <w:rPr>
          <w:rFonts w:ascii="Century Gothic" w:hAnsi="Century Gothic" w:cs="Times New Roman"/>
          <w:b/>
          <w:bCs/>
          <w:sz w:val="24"/>
          <w:szCs w:val="24"/>
        </w:rPr>
        <w:t>Agriculture</w:t>
      </w:r>
      <w:r w:rsidRPr="00472624">
        <w:rPr>
          <w:rFonts w:ascii="Century Gothic" w:hAnsi="Century Gothic" w:cs="Times New Roman"/>
          <w:sz w:val="24"/>
          <w:szCs w:val="24"/>
        </w:rPr>
        <w:t xml:space="preserve"> : Les spéculations concernent seulement le sorgho et le niébé.   </w:t>
      </w:r>
    </w:p>
    <w:p w14:paraId="0467FFBB" w14:textId="77777777" w:rsidR="005625B5" w:rsidRPr="00472624" w:rsidRDefault="005625B5" w:rsidP="005625B5">
      <w:pPr>
        <w:pStyle w:val="Paragraphedeliste"/>
        <w:numPr>
          <w:ilvl w:val="0"/>
          <w:numId w:val="48"/>
        </w:numPr>
        <w:spacing w:after="200" w:line="276" w:lineRule="auto"/>
        <w:jc w:val="both"/>
        <w:rPr>
          <w:rFonts w:ascii="Century Gothic" w:hAnsi="Century Gothic" w:cs="Times New Roman"/>
          <w:sz w:val="24"/>
          <w:szCs w:val="24"/>
        </w:rPr>
      </w:pPr>
      <w:r w:rsidRPr="00472624">
        <w:rPr>
          <w:rFonts w:ascii="Century Gothic" w:hAnsi="Century Gothic" w:cs="Times New Roman"/>
          <w:b/>
          <w:bCs/>
          <w:sz w:val="24"/>
          <w:szCs w:val="24"/>
        </w:rPr>
        <w:t>Elevage</w:t>
      </w:r>
      <w:r w:rsidRPr="00472624">
        <w:rPr>
          <w:rFonts w:ascii="Century Gothic" w:hAnsi="Century Gothic" w:cs="Times New Roman"/>
          <w:sz w:val="24"/>
          <w:szCs w:val="24"/>
        </w:rPr>
        <w:t xml:space="preserve"> : Les éleveurs des Hodhs se replient à Keybi en saison sèche y compris les éleveurs maliens.     </w:t>
      </w:r>
    </w:p>
    <w:p w14:paraId="24CA6567" w14:textId="77777777" w:rsidR="005625B5" w:rsidRPr="00472624" w:rsidRDefault="005625B5" w:rsidP="005625B5">
      <w:pPr>
        <w:pStyle w:val="Paragraphedeliste"/>
        <w:numPr>
          <w:ilvl w:val="0"/>
          <w:numId w:val="48"/>
        </w:numPr>
        <w:spacing w:after="200" w:line="276" w:lineRule="auto"/>
        <w:jc w:val="both"/>
        <w:rPr>
          <w:rFonts w:ascii="Century Gothic" w:hAnsi="Century Gothic" w:cs="Times New Roman"/>
          <w:sz w:val="24"/>
          <w:szCs w:val="24"/>
        </w:rPr>
      </w:pPr>
      <w:r w:rsidRPr="00472624">
        <w:rPr>
          <w:rFonts w:ascii="Century Gothic" w:hAnsi="Century Gothic" w:cs="Times New Roman"/>
          <w:b/>
          <w:bCs/>
          <w:sz w:val="24"/>
          <w:szCs w:val="24"/>
        </w:rPr>
        <w:t>Pêche</w:t>
      </w:r>
      <w:r w:rsidRPr="00472624">
        <w:rPr>
          <w:rFonts w:ascii="Century Gothic" w:hAnsi="Century Gothic" w:cs="Times New Roman"/>
          <w:sz w:val="24"/>
          <w:szCs w:val="24"/>
        </w:rPr>
        <w:t xml:space="preserve"> : La population locale ne s’intéresse pas à la pêche. Le poisson péché par les maliens est exporté au Mali.      </w:t>
      </w:r>
    </w:p>
    <w:p w14:paraId="03A0EA4D" w14:textId="77777777" w:rsidR="005625B5" w:rsidRPr="00472624" w:rsidRDefault="005625B5" w:rsidP="005625B5">
      <w:pPr>
        <w:pStyle w:val="Paragraphedeliste"/>
        <w:numPr>
          <w:ilvl w:val="0"/>
          <w:numId w:val="48"/>
        </w:numPr>
        <w:spacing w:after="200" w:line="276" w:lineRule="auto"/>
        <w:jc w:val="both"/>
        <w:rPr>
          <w:rFonts w:ascii="Century Gothic" w:hAnsi="Century Gothic" w:cs="Times New Roman"/>
          <w:sz w:val="24"/>
          <w:szCs w:val="24"/>
        </w:rPr>
      </w:pPr>
      <w:r w:rsidRPr="00472624">
        <w:rPr>
          <w:rFonts w:ascii="Century Gothic" w:hAnsi="Century Gothic" w:cs="Times New Roman"/>
          <w:b/>
          <w:bCs/>
          <w:sz w:val="24"/>
          <w:szCs w:val="24"/>
        </w:rPr>
        <w:t>Foresterie</w:t>
      </w:r>
      <w:r w:rsidRPr="00472624">
        <w:rPr>
          <w:rFonts w:ascii="Century Gothic" w:hAnsi="Century Gothic" w:cs="Times New Roman"/>
          <w:sz w:val="24"/>
          <w:szCs w:val="24"/>
        </w:rPr>
        <w:t xml:space="preserve"> : Le bois est coupé pour faire des clôtures et le charbon de bois. </w:t>
      </w:r>
    </w:p>
    <w:p w14:paraId="4F494332" w14:textId="77777777" w:rsidR="005625B5" w:rsidRPr="00E90C8E"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E90C8E">
        <w:rPr>
          <w:rFonts w:ascii="Century Gothic" w:hAnsi="Century Gothic" w:cs="Times New Roman"/>
          <w:sz w:val="24"/>
          <w:szCs w:val="24"/>
          <w:u w:val="single"/>
        </w:rPr>
        <w:t>Nom de zone humide</w:t>
      </w:r>
      <w:r w:rsidRPr="00E90C8E">
        <w:rPr>
          <w:rFonts w:ascii="Century Gothic" w:hAnsi="Century Gothic" w:cs="Times New Roman"/>
          <w:sz w:val="24"/>
          <w:szCs w:val="24"/>
        </w:rPr>
        <w:t xml:space="preserve"> : </w:t>
      </w:r>
      <w:r w:rsidRPr="00E90C8E">
        <w:rPr>
          <w:rFonts w:ascii="Century Gothic" w:hAnsi="Century Gothic" w:cs="Times New Roman"/>
          <w:b/>
          <w:bCs/>
          <w:sz w:val="24"/>
          <w:szCs w:val="24"/>
        </w:rPr>
        <w:t>Tough</w:t>
      </w:r>
      <w:r w:rsidRPr="00E90C8E">
        <w:rPr>
          <w:rFonts w:ascii="Century Gothic" w:hAnsi="Century Gothic" w:cs="Times New Roman"/>
          <w:sz w:val="24"/>
          <w:szCs w:val="24"/>
        </w:rPr>
        <w:t xml:space="preserve"> ; </w:t>
      </w:r>
      <w:r>
        <w:rPr>
          <w:rFonts w:ascii="Century Gothic" w:hAnsi="Century Gothic" w:cs="Times New Roman"/>
          <w:sz w:val="24"/>
          <w:szCs w:val="24"/>
        </w:rPr>
        <w:t>(</w:t>
      </w:r>
      <w:r w:rsidRPr="00E90C8E">
        <w:rPr>
          <w:rFonts w:ascii="Century Gothic" w:hAnsi="Century Gothic" w:cs="Times New Roman"/>
          <w:sz w:val="24"/>
          <w:szCs w:val="24"/>
          <w:u w:val="single"/>
        </w:rPr>
        <w:t>Commune</w:t>
      </w:r>
      <w:r w:rsidRPr="00E90C8E">
        <w:rPr>
          <w:rFonts w:ascii="Century Gothic" w:hAnsi="Century Gothic" w:cs="Times New Roman"/>
          <w:sz w:val="24"/>
          <w:szCs w:val="24"/>
        </w:rPr>
        <w:t xml:space="preserve"> : Mavnadech</w:t>
      </w:r>
      <w:r>
        <w:rPr>
          <w:rFonts w:ascii="Century Gothic" w:hAnsi="Century Gothic" w:cs="Times New Roman"/>
          <w:sz w:val="24"/>
          <w:szCs w:val="24"/>
        </w:rPr>
        <w:t xml:space="preserve">) </w:t>
      </w:r>
      <w:r w:rsidRPr="00E90C8E">
        <w:rPr>
          <w:rFonts w:ascii="Century Gothic" w:hAnsi="Century Gothic" w:cs="Times New Roman"/>
          <w:sz w:val="24"/>
          <w:szCs w:val="24"/>
        </w:rPr>
        <w:t xml:space="preserve"> </w:t>
      </w:r>
    </w:p>
    <w:p w14:paraId="48A3A9FC"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(16°5'2.31’’N ; 7°33'47.55’’O)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xml:space="preserve"> : Permanent  </w:t>
      </w:r>
    </w:p>
    <w:p w14:paraId="49BCF3B3"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11192EC4" wp14:editId="0E23CF20">
            <wp:extent cx="2369185" cy="3592830"/>
            <wp:effectExtent l="0" t="0" r="0" b="0"/>
            <wp:docPr id="83" name="Image 22" descr="E:\Desktop\ZH\Images ZH\TOUGH\DJI_00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2" descr="E:\Desktop\ZH\Images ZH\TOUGH\DJI_0014.JPG"/>
                    <pic:cNvPicPr>
                      <a:picLocks/>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69185" cy="3592830"/>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0ECDC1C4" wp14:editId="068F2618">
            <wp:extent cx="3712210" cy="3582670"/>
            <wp:effectExtent l="0" t="0" r="0" b="0"/>
            <wp:docPr id="84" name="Image 21" descr="E:\Desktop\ZH\Cartes ZH\Tough.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1" descr="E:\Desktop\ZH\Cartes ZH\Tough.jpg"/>
                    <pic:cNvPicPr>
                      <a:picLocks/>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712210" cy="3582670"/>
                    </a:xfrm>
                    <a:prstGeom prst="rect">
                      <a:avLst/>
                    </a:prstGeom>
                    <a:noFill/>
                    <a:ln>
                      <a:noFill/>
                    </a:ln>
                  </pic:spPr>
                </pic:pic>
              </a:graphicData>
            </a:graphic>
          </wp:inline>
        </w:drawing>
      </w:r>
    </w:p>
    <w:p w14:paraId="70DDFAFB"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Tough</w:t>
      </w:r>
    </w:p>
    <w:p w14:paraId="0EF2710A" w14:textId="77777777" w:rsidR="005625B5" w:rsidRPr="00E90C8E" w:rsidRDefault="005625B5" w:rsidP="005625B5">
      <w:pPr>
        <w:spacing w:line="276" w:lineRule="auto"/>
        <w:jc w:val="both"/>
        <w:rPr>
          <w:rFonts w:ascii="Century Gothic" w:hAnsi="Century Gothic" w:cs="Times New Roman"/>
          <w:sz w:val="24"/>
          <w:szCs w:val="24"/>
        </w:rPr>
      </w:pPr>
      <w:r w:rsidRPr="00E90C8E">
        <w:rPr>
          <w:rFonts w:ascii="Century Gothic" w:hAnsi="Century Gothic" w:cs="Times New Roman"/>
          <w:sz w:val="24"/>
          <w:szCs w:val="24"/>
          <w:u w:val="single"/>
        </w:rPr>
        <w:t>Ressources naturelles</w:t>
      </w:r>
      <w:r w:rsidRPr="00E90C8E">
        <w:rPr>
          <w:rFonts w:ascii="Century Gothic" w:hAnsi="Century Gothic" w:cs="Times New Roman"/>
          <w:sz w:val="24"/>
          <w:szCs w:val="24"/>
        </w:rPr>
        <w:t xml:space="preserve"> (Biodiversité</w:t>
      </w:r>
      <w:proofErr w:type="gramStart"/>
      <w:r w:rsidRPr="00E90C8E">
        <w:rPr>
          <w:rFonts w:ascii="Century Gothic" w:hAnsi="Century Gothic" w:cs="Times New Roman"/>
          <w:sz w:val="24"/>
          <w:szCs w:val="24"/>
        </w:rPr>
        <w:t>):</w:t>
      </w:r>
      <w:proofErr w:type="gramEnd"/>
      <w:r w:rsidRPr="00E90C8E">
        <w:rPr>
          <w:rFonts w:ascii="Century Gothic" w:hAnsi="Century Gothic" w:cs="Times New Roman"/>
          <w:sz w:val="24"/>
          <w:szCs w:val="24"/>
        </w:rPr>
        <w:t xml:space="preserve"> </w:t>
      </w:r>
    </w:p>
    <w:p w14:paraId="05E737DF" w14:textId="77777777" w:rsidR="005625B5" w:rsidRPr="00E90C8E"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E90C8E">
        <w:rPr>
          <w:rFonts w:ascii="Century Gothic" w:hAnsi="Century Gothic" w:cs="Times New Roman"/>
          <w:sz w:val="24"/>
          <w:szCs w:val="24"/>
        </w:rPr>
        <w:t xml:space="preserve">Ressources aquatiques : Plantes aquatiques (+) ; poisson (+)  </w:t>
      </w:r>
    </w:p>
    <w:p w14:paraId="12571213" w14:textId="77777777" w:rsidR="005625B5" w:rsidRPr="00E90C8E"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E90C8E">
        <w:rPr>
          <w:rFonts w:ascii="Century Gothic" w:hAnsi="Century Gothic" w:cs="Times New Roman"/>
          <w:sz w:val="24"/>
          <w:szCs w:val="24"/>
        </w:rPr>
        <w:t>Ressources forestières : Acacias (+) ; Balanites (+) ; Bauhinia (+) ; …</w:t>
      </w:r>
    </w:p>
    <w:p w14:paraId="315D0EE3" w14:textId="77777777" w:rsidR="005625B5" w:rsidRPr="00E90C8E"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E90C8E">
        <w:rPr>
          <w:rFonts w:ascii="Century Gothic" w:hAnsi="Century Gothic" w:cs="Times New Roman"/>
          <w:sz w:val="24"/>
          <w:szCs w:val="24"/>
        </w:rPr>
        <w:t>Ressources fauniques : Faune sauvage (+) ; avifaune (+) </w:t>
      </w:r>
    </w:p>
    <w:p w14:paraId="5A10E5D7" w14:textId="77777777" w:rsidR="005625B5" w:rsidRPr="00E90C8E" w:rsidRDefault="005625B5" w:rsidP="005625B5">
      <w:pPr>
        <w:spacing w:line="276" w:lineRule="auto"/>
        <w:jc w:val="both"/>
        <w:rPr>
          <w:rFonts w:ascii="Century Gothic" w:hAnsi="Century Gothic" w:cs="Times New Roman"/>
          <w:sz w:val="24"/>
          <w:szCs w:val="24"/>
        </w:rPr>
      </w:pPr>
      <w:r w:rsidRPr="00E90C8E">
        <w:rPr>
          <w:rFonts w:ascii="Century Gothic" w:hAnsi="Century Gothic" w:cs="Times New Roman"/>
          <w:sz w:val="24"/>
          <w:szCs w:val="24"/>
          <w:u w:val="single"/>
        </w:rPr>
        <w:t>Activités socioéconomiques</w:t>
      </w:r>
      <w:r w:rsidRPr="00E90C8E">
        <w:rPr>
          <w:rFonts w:ascii="Century Gothic" w:hAnsi="Century Gothic" w:cs="Times New Roman"/>
          <w:sz w:val="24"/>
          <w:szCs w:val="24"/>
        </w:rPr>
        <w:t xml:space="preserve"> : </w:t>
      </w:r>
    </w:p>
    <w:p w14:paraId="554E5EF7" w14:textId="77777777" w:rsidR="005625B5" w:rsidRPr="00E90C8E" w:rsidRDefault="005625B5" w:rsidP="005625B5">
      <w:pPr>
        <w:pStyle w:val="Paragraphedeliste"/>
        <w:numPr>
          <w:ilvl w:val="0"/>
          <w:numId w:val="49"/>
        </w:numPr>
        <w:spacing w:after="200" w:line="276" w:lineRule="auto"/>
        <w:jc w:val="both"/>
        <w:rPr>
          <w:rFonts w:ascii="Century Gothic" w:hAnsi="Century Gothic" w:cs="Times New Roman"/>
          <w:sz w:val="24"/>
          <w:szCs w:val="24"/>
        </w:rPr>
      </w:pPr>
      <w:r w:rsidRPr="00E90C8E">
        <w:rPr>
          <w:rFonts w:ascii="Century Gothic" w:hAnsi="Century Gothic" w:cs="Times New Roman"/>
          <w:b/>
          <w:bCs/>
          <w:sz w:val="24"/>
          <w:szCs w:val="24"/>
        </w:rPr>
        <w:t>Agriculture</w:t>
      </w:r>
      <w:r w:rsidRPr="00E90C8E">
        <w:rPr>
          <w:rFonts w:ascii="Century Gothic" w:hAnsi="Century Gothic" w:cs="Times New Roman"/>
          <w:sz w:val="24"/>
          <w:szCs w:val="24"/>
        </w:rPr>
        <w:t xml:space="preserve"> : Les cultures concernent le sorgho et le niébé, petit mil, maraichage et palmier dattier.   </w:t>
      </w:r>
    </w:p>
    <w:p w14:paraId="3A9E1F38" w14:textId="77777777" w:rsidR="005625B5" w:rsidRPr="00E90C8E" w:rsidRDefault="005625B5" w:rsidP="005625B5">
      <w:pPr>
        <w:pStyle w:val="Paragraphedeliste"/>
        <w:numPr>
          <w:ilvl w:val="0"/>
          <w:numId w:val="49"/>
        </w:numPr>
        <w:spacing w:after="200" w:line="276" w:lineRule="auto"/>
        <w:jc w:val="both"/>
        <w:rPr>
          <w:rFonts w:ascii="Century Gothic" w:hAnsi="Century Gothic" w:cs="Times New Roman"/>
          <w:sz w:val="24"/>
          <w:szCs w:val="24"/>
        </w:rPr>
      </w:pPr>
      <w:r w:rsidRPr="00E90C8E">
        <w:rPr>
          <w:rFonts w:ascii="Century Gothic" w:hAnsi="Century Gothic" w:cs="Times New Roman"/>
          <w:b/>
          <w:bCs/>
          <w:sz w:val="24"/>
          <w:szCs w:val="24"/>
        </w:rPr>
        <w:t>Elevage</w:t>
      </w:r>
      <w:r w:rsidRPr="00E90C8E">
        <w:rPr>
          <w:rFonts w:ascii="Century Gothic" w:hAnsi="Century Gothic" w:cs="Times New Roman"/>
          <w:sz w:val="24"/>
          <w:szCs w:val="24"/>
        </w:rPr>
        <w:t xml:space="preserve"> : Il est pratiqué au niveau de la zone humide et les troupeaux viennent même du Mali compte tenu de l’importance de celle-ci.     </w:t>
      </w:r>
    </w:p>
    <w:p w14:paraId="5F2079FD" w14:textId="77777777" w:rsidR="005625B5" w:rsidRPr="00E90C8E" w:rsidRDefault="005625B5" w:rsidP="005625B5">
      <w:pPr>
        <w:pStyle w:val="Paragraphedeliste"/>
        <w:numPr>
          <w:ilvl w:val="0"/>
          <w:numId w:val="49"/>
        </w:numPr>
        <w:spacing w:after="200" w:line="276" w:lineRule="auto"/>
        <w:jc w:val="both"/>
        <w:rPr>
          <w:rFonts w:ascii="Century Gothic" w:hAnsi="Century Gothic" w:cs="Times New Roman"/>
          <w:sz w:val="24"/>
          <w:szCs w:val="24"/>
        </w:rPr>
      </w:pPr>
      <w:r w:rsidRPr="00E90C8E">
        <w:rPr>
          <w:rFonts w:ascii="Century Gothic" w:hAnsi="Century Gothic" w:cs="Times New Roman"/>
          <w:b/>
          <w:bCs/>
          <w:sz w:val="24"/>
          <w:szCs w:val="24"/>
        </w:rPr>
        <w:t>Pêche</w:t>
      </w:r>
      <w:r w:rsidRPr="00E90C8E">
        <w:rPr>
          <w:rFonts w:ascii="Century Gothic" w:hAnsi="Century Gothic" w:cs="Times New Roman"/>
          <w:sz w:val="24"/>
          <w:szCs w:val="24"/>
        </w:rPr>
        <w:t xml:space="preserve"> : La population locale ne s’intéresse pas à la pêche et ne mange pas le poisson. Le poisson péché par les maliens est exporté au Mali.      </w:t>
      </w:r>
    </w:p>
    <w:p w14:paraId="7BF4C628" w14:textId="77777777" w:rsidR="005625B5" w:rsidRPr="00E90C8E" w:rsidRDefault="005625B5" w:rsidP="005625B5">
      <w:pPr>
        <w:pStyle w:val="Paragraphedeliste"/>
        <w:numPr>
          <w:ilvl w:val="0"/>
          <w:numId w:val="49"/>
        </w:numPr>
        <w:spacing w:after="200" w:line="276" w:lineRule="auto"/>
        <w:jc w:val="both"/>
        <w:rPr>
          <w:rFonts w:ascii="Century Gothic" w:hAnsi="Century Gothic" w:cs="Times New Roman"/>
          <w:sz w:val="24"/>
          <w:szCs w:val="24"/>
        </w:rPr>
      </w:pPr>
      <w:r w:rsidRPr="00E90C8E">
        <w:rPr>
          <w:rFonts w:ascii="Century Gothic" w:hAnsi="Century Gothic" w:cs="Times New Roman"/>
          <w:b/>
          <w:bCs/>
          <w:sz w:val="24"/>
          <w:szCs w:val="24"/>
        </w:rPr>
        <w:t>Foresterie</w:t>
      </w:r>
      <w:r w:rsidRPr="00E90C8E">
        <w:rPr>
          <w:rFonts w:ascii="Century Gothic" w:hAnsi="Century Gothic" w:cs="Times New Roman"/>
          <w:sz w:val="24"/>
          <w:szCs w:val="24"/>
        </w:rPr>
        <w:t xml:space="preserve"> : Le bois est coupé pour faire des clôtures et le charbon de bois. </w:t>
      </w:r>
    </w:p>
    <w:p w14:paraId="7862F845" w14:textId="77777777" w:rsidR="005625B5" w:rsidRDefault="005625B5" w:rsidP="005625B5">
      <w:pPr>
        <w:pStyle w:val="Paragraphedeliste"/>
        <w:spacing w:after="200" w:line="276" w:lineRule="auto"/>
        <w:ind w:left="0"/>
        <w:jc w:val="both"/>
        <w:rPr>
          <w:rFonts w:ascii="Century Gothic" w:hAnsi="Century Gothic" w:cs="Times New Roman"/>
          <w:sz w:val="24"/>
          <w:szCs w:val="24"/>
        </w:rPr>
      </w:pPr>
    </w:p>
    <w:p w14:paraId="07DB6622" w14:textId="77777777" w:rsidR="005625B5" w:rsidRPr="00051DE5"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Pr>
          <w:rFonts w:ascii="Century Gothic" w:hAnsi="Century Gothic" w:cs="Times New Roman"/>
          <w:sz w:val="24"/>
          <w:szCs w:val="24"/>
          <w:u w:val="single"/>
        </w:rPr>
        <w:br w:type="page"/>
      </w:r>
      <w:r w:rsidRPr="00051DE5">
        <w:rPr>
          <w:rFonts w:ascii="Century Gothic" w:hAnsi="Century Gothic" w:cs="Times New Roman"/>
          <w:sz w:val="24"/>
          <w:szCs w:val="24"/>
          <w:u w:val="single"/>
        </w:rPr>
        <w:t>Nom de zone humide</w:t>
      </w:r>
      <w:r w:rsidRPr="00051DE5">
        <w:rPr>
          <w:rFonts w:ascii="Century Gothic" w:hAnsi="Century Gothic" w:cs="Times New Roman"/>
          <w:sz w:val="24"/>
          <w:szCs w:val="24"/>
        </w:rPr>
        <w:t xml:space="preserve"> : Vough ; </w:t>
      </w:r>
      <w:r>
        <w:rPr>
          <w:rFonts w:ascii="Century Gothic" w:hAnsi="Century Gothic" w:cs="Times New Roman"/>
          <w:sz w:val="24"/>
          <w:szCs w:val="24"/>
        </w:rPr>
        <w:t>(</w:t>
      </w:r>
      <w:r w:rsidRPr="00051DE5">
        <w:rPr>
          <w:rFonts w:ascii="Century Gothic" w:hAnsi="Century Gothic" w:cs="Times New Roman"/>
          <w:sz w:val="24"/>
          <w:szCs w:val="24"/>
          <w:u w:val="single"/>
        </w:rPr>
        <w:t>Commune</w:t>
      </w:r>
      <w:r w:rsidRPr="00051DE5">
        <w:rPr>
          <w:rFonts w:ascii="Century Gothic" w:hAnsi="Century Gothic" w:cs="Times New Roman"/>
          <w:sz w:val="24"/>
          <w:szCs w:val="24"/>
        </w:rPr>
        <w:t xml:space="preserve"> : Ghlig Ehel Bouya</w:t>
      </w:r>
      <w:r>
        <w:rPr>
          <w:rFonts w:ascii="Century Gothic" w:hAnsi="Century Gothic" w:cs="Times New Roman"/>
          <w:sz w:val="24"/>
          <w:szCs w:val="24"/>
        </w:rPr>
        <w:t xml:space="preserve">) </w:t>
      </w:r>
      <w:r w:rsidRPr="00051DE5">
        <w:rPr>
          <w:rFonts w:ascii="Century Gothic" w:hAnsi="Century Gothic" w:cs="Times New Roman"/>
          <w:sz w:val="24"/>
          <w:szCs w:val="24"/>
        </w:rPr>
        <w:t xml:space="preserve">  </w:t>
      </w:r>
    </w:p>
    <w:p w14:paraId="06E9CB98"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(16°0'49.77’’N ; 8°48'32.15’’O)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Permanent</w:t>
      </w:r>
    </w:p>
    <w:p w14:paraId="52344442"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3CB50870" wp14:editId="0811807D">
            <wp:extent cx="2275840" cy="3919855"/>
            <wp:effectExtent l="0" t="0" r="0" b="0"/>
            <wp:docPr id="85" name="Image 20" descr="E:\Desktop\ZH\Images ZH\VOUGH\DJI_02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0" descr="E:\Desktop\ZH\Images ZH\VOUGH\DJI_0222.JPG"/>
                    <pic:cNvPicPr>
                      <a:picLocks/>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75840" cy="3919855"/>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227B000C" wp14:editId="63BD8E85">
            <wp:extent cx="3736975" cy="3911600"/>
            <wp:effectExtent l="0" t="0" r="0" b="0"/>
            <wp:docPr id="86" name="Image 19" descr="E:\Desktop\ZH\Cartes des activités\Vough.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9" descr="E:\Desktop\ZH\Cartes des activités\Vough.jpg"/>
                    <pic:cNvPicPr>
                      <a:picLocks/>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736975" cy="3911600"/>
                    </a:xfrm>
                    <a:prstGeom prst="rect">
                      <a:avLst/>
                    </a:prstGeom>
                    <a:noFill/>
                    <a:ln>
                      <a:noFill/>
                    </a:ln>
                  </pic:spPr>
                </pic:pic>
              </a:graphicData>
            </a:graphic>
          </wp:inline>
        </w:drawing>
      </w:r>
    </w:p>
    <w:p w14:paraId="3A2B811A"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Vough</w:t>
      </w:r>
    </w:p>
    <w:p w14:paraId="32049637" w14:textId="77777777" w:rsidR="005625B5" w:rsidRPr="00051DE5" w:rsidRDefault="005625B5" w:rsidP="005625B5">
      <w:pPr>
        <w:spacing w:line="276" w:lineRule="auto"/>
        <w:jc w:val="both"/>
        <w:rPr>
          <w:rFonts w:ascii="Century Gothic" w:hAnsi="Century Gothic" w:cs="Times New Roman"/>
          <w:sz w:val="24"/>
          <w:szCs w:val="24"/>
        </w:rPr>
      </w:pPr>
      <w:r w:rsidRPr="00051DE5">
        <w:rPr>
          <w:rFonts w:ascii="Century Gothic" w:hAnsi="Century Gothic" w:cs="Times New Roman"/>
          <w:sz w:val="24"/>
          <w:szCs w:val="24"/>
          <w:u w:val="single"/>
        </w:rPr>
        <w:t>Ressources naturelles</w:t>
      </w:r>
      <w:r w:rsidRPr="00051DE5">
        <w:rPr>
          <w:rFonts w:ascii="Century Gothic" w:hAnsi="Century Gothic" w:cs="Times New Roman"/>
          <w:sz w:val="24"/>
          <w:szCs w:val="24"/>
        </w:rPr>
        <w:t xml:space="preserve"> (Biodiversité</w:t>
      </w:r>
      <w:proofErr w:type="gramStart"/>
      <w:r w:rsidRPr="00051DE5">
        <w:rPr>
          <w:rFonts w:ascii="Century Gothic" w:hAnsi="Century Gothic" w:cs="Times New Roman"/>
          <w:sz w:val="24"/>
          <w:szCs w:val="24"/>
        </w:rPr>
        <w:t>):</w:t>
      </w:r>
      <w:proofErr w:type="gramEnd"/>
      <w:r w:rsidRPr="00051DE5">
        <w:rPr>
          <w:rFonts w:ascii="Century Gothic" w:hAnsi="Century Gothic" w:cs="Times New Roman"/>
          <w:sz w:val="24"/>
          <w:szCs w:val="24"/>
        </w:rPr>
        <w:t xml:space="preserve"> </w:t>
      </w:r>
    </w:p>
    <w:p w14:paraId="750398AA" w14:textId="77777777" w:rsidR="005625B5" w:rsidRPr="00051DE5"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051DE5">
        <w:rPr>
          <w:rFonts w:ascii="Century Gothic" w:hAnsi="Century Gothic" w:cs="Times New Roman"/>
          <w:sz w:val="24"/>
          <w:szCs w:val="24"/>
        </w:rPr>
        <w:t xml:space="preserve">Ressources aquatiques : Plantes aquatiques (+) ; poisson (+)  </w:t>
      </w:r>
    </w:p>
    <w:p w14:paraId="2604A60C" w14:textId="77777777" w:rsidR="005625B5" w:rsidRPr="00051DE5"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051DE5">
        <w:rPr>
          <w:rFonts w:ascii="Century Gothic" w:hAnsi="Century Gothic" w:cs="Times New Roman"/>
          <w:sz w:val="24"/>
          <w:szCs w:val="24"/>
        </w:rPr>
        <w:t>Ressources forestières : Acacias (+) ; Balanites (+) ; Bauhinia (+) ; …</w:t>
      </w:r>
    </w:p>
    <w:p w14:paraId="1B62F09B" w14:textId="77777777" w:rsidR="005625B5" w:rsidRPr="00051DE5"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051DE5">
        <w:rPr>
          <w:rFonts w:ascii="Century Gothic" w:hAnsi="Century Gothic" w:cs="Times New Roman"/>
          <w:sz w:val="24"/>
          <w:szCs w:val="24"/>
        </w:rPr>
        <w:t>Ressources fauniques : Faune sauvage (+) ; avifaune (+) </w:t>
      </w:r>
    </w:p>
    <w:p w14:paraId="3DB52068" w14:textId="77777777" w:rsidR="005625B5" w:rsidRPr="00051DE5" w:rsidRDefault="005625B5" w:rsidP="005625B5">
      <w:pPr>
        <w:spacing w:line="276" w:lineRule="auto"/>
        <w:jc w:val="both"/>
        <w:rPr>
          <w:rFonts w:ascii="Century Gothic" w:hAnsi="Century Gothic" w:cs="Times New Roman"/>
          <w:sz w:val="24"/>
          <w:szCs w:val="24"/>
        </w:rPr>
      </w:pPr>
      <w:r w:rsidRPr="00051DE5">
        <w:rPr>
          <w:rFonts w:ascii="Century Gothic" w:hAnsi="Century Gothic" w:cs="Times New Roman"/>
          <w:sz w:val="24"/>
          <w:szCs w:val="24"/>
          <w:u w:val="single"/>
        </w:rPr>
        <w:t>Activités socioéconomiques</w:t>
      </w:r>
      <w:r w:rsidRPr="00051DE5">
        <w:rPr>
          <w:rFonts w:ascii="Century Gothic" w:hAnsi="Century Gothic" w:cs="Times New Roman"/>
          <w:sz w:val="24"/>
          <w:szCs w:val="24"/>
        </w:rPr>
        <w:t xml:space="preserve"> : </w:t>
      </w:r>
    </w:p>
    <w:p w14:paraId="68A9152A" w14:textId="77777777" w:rsidR="005625B5" w:rsidRPr="00051DE5"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051DE5">
        <w:rPr>
          <w:rFonts w:ascii="Century Gothic" w:hAnsi="Century Gothic" w:cs="Times New Roman"/>
          <w:b/>
          <w:bCs/>
          <w:sz w:val="24"/>
          <w:szCs w:val="24"/>
        </w:rPr>
        <w:t>Agriculture</w:t>
      </w:r>
      <w:r w:rsidRPr="00051DE5">
        <w:rPr>
          <w:rFonts w:ascii="Century Gothic" w:hAnsi="Century Gothic" w:cs="Times New Roman"/>
          <w:sz w:val="24"/>
          <w:szCs w:val="24"/>
        </w:rPr>
        <w:t xml:space="preserve"> : Elle concerne principalement les cultures de sorgho, niébé et des cucurbitacées (Voundi).  </w:t>
      </w:r>
    </w:p>
    <w:p w14:paraId="399DCEDD" w14:textId="77777777" w:rsidR="005625B5" w:rsidRPr="00051DE5"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051DE5">
        <w:rPr>
          <w:rFonts w:ascii="Century Gothic" w:hAnsi="Century Gothic" w:cs="Times New Roman"/>
          <w:b/>
          <w:bCs/>
          <w:sz w:val="24"/>
          <w:szCs w:val="24"/>
        </w:rPr>
        <w:t>Elevage</w:t>
      </w:r>
      <w:r w:rsidRPr="00051DE5">
        <w:rPr>
          <w:rFonts w:ascii="Century Gothic" w:hAnsi="Century Gothic" w:cs="Times New Roman"/>
          <w:sz w:val="24"/>
          <w:szCs w:val="24"/>
        </w:rPr>
        <w:t xml:space="preserve"> : Il est pratiqué autour de la mare permettant aux troupeaux de s’y abreuver, surtout pendant la saison sèche.  </w:t>
      </w:r>
    </w:p>
    <w:p w14:paraId="7615CF9F" w14:textId="77777777" w:rsidR="005625B5" w:rsidRPr="00051DE5"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051DE5">
        <w:rPr>
          <w:rFonts w:ascii="Century Gothic" w:hAnsi="Century Gothic" w:cs="Times New Roman"/>
          <w:b/>
          <w:bCs/>
          <w:sz w:val="24"/>
          <w:szCs w:val="24"/>
        </w:rPr>
        <w:t>Pêche</w:t>
      </w:r>
      <w:r w:rsidRPr="00051DE5">
        <w:rPr>
          <w:rFonts w:ascii="Century Gothic" w:hAnsi="Century Gothic" w:cs="Times New Roman"/>
          <w:sz w:val="24"/>
          <w:szCs w:val="24"/>
        </w:rPr>
        <w:t xml:space="preserve"> : Elle est pratiquée par les maliens et les produits sont exportés entièrement au Mali.     </w:t>
      </w:r>
    </w:p>
    <w:p w14:paraId="3DCAF0B6" w14:textId="77777777" w:rsidR="005625B5" w:rsidRPr="00051DE5"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051DE5">
        <w:rPr>
          <w:rFonts w:ascii="Century Gothic" w:hAnsi="Century Gothic" w:cs="Times New Roman"/>
          <w:b/>
          <w:bCs/>
          <w:sz w:val="24"/>
          <w:szCs w:val="24"/>
        </w:rPr>
        <w:t>Foresterie</w:t>
      </w:r>
      <w:r w:rsidRPr="00051DE5">
        <w:rPr>
          <w:rFonts w:ascii="Century Gothic" w:hAnsi="Century Gothic" w:cs="Times New Roman"/>
          <w:sz w:val="24"/>
          <w:szCs w:val="24"/>
        </w:rPr>
        <w:t xml:space="preserve"> : Les PFNL sont collectés au niveau de la zone humide et concernent Balanites, Ziziphus et Acacia, ... </w:t>
      </w:r>
    </w:p>
    <w:p w14:paraId="2D8149F7" w14:textId="77777777" w:rsidR="005625B5" w:rsidRPr="00051DE5" w:rsidRDefault="005625B5" w:rsidP="005625B5">
      <w:pPr>
        <w:pStyle w:val="Paragraphedeliste"/>
        <w:spacing w:after="200" w:line="276" w:lineRule="auto"/>
        <w:jc w:val="both"/>
        <w:rPr>
          <w:rFonts w:ascii="Century Gothic" w:hAnsi="Century Gothic" w:cs="Times New Roman"/>
          <w:sz w:val="24"/>
          <w:szCs w:val="24"/>
        </w:rPr>
      </w:pPr>
    </w:p>
    <w:p w14:paraId="53FF4605" w14:textId="77777777" w:rsidR="005625B5" w:rsidRPr="00FA3261"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Pr>
          <w:rFonts w:ascii="Century Gothic" w:eastAsia="Times New Roman" w:hAnsi="Century Gothic" w:cs="Times New Roman"/>
          <w:sz w:val="24"/>
          <w:szCs w:val="24"/>
          <w:lang w:eastAsia="wo-SN"/>
        </w:rPr>
        <w:br w:type="page"/>
      </w:r>
      <w:r w:rsidRPr="00FA3261">
        <w:rPr>
          <w:rFonts w:ascii="Century Gothic" w:eastAsia="Times New Roman" w:hAnsi="Century Gothic" w:cs="Times New Roman"/>
          <w:b/>
          <w:bCs/>
          <w:sz w:val="24"/>
          <w:szCs w:val="24"/>
          <w:lang w:eastAsia="wo-SN"/>
        </w:rPr>
        <w:t xml:space="preserve">Wilaya de Hodh Gharbi : </w:t>
      </w:r>
    </w:p>
    <w:p w14:paraId="032E1DFD"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1B41232B" w14:textId="77777777" w:rsidR="005625B5" w:rsidRPr="004D2ABC" w:rsidRDefault="005625B5" w:rsidP="005625B5">
      <w:pPr>
        <w:numPr>
          <w:ilvl w:val="0"/>
          <w:numId w:val="41"/>
        </w:numPr>
        <w:tabs>
          <w:tab w:val="left" w:pos="426"/>
        </w:tabs>
        <w:spacing w:after="0" w:line="276" w:lineRule="auto"/>
        <w:jc w:val="both"/>
        <w:rPr>
          <w:rFonts w:ascii="Century Gothic" w:eastAsia="Times New Roman" w:hAnsi="Century Gothic" w:cs="Times New Roman"/>
          <w:sz w:val="24"/>
          <w:szCs w:val="24"/>
          <w:lang w:eastAsia="wo-SN"/>
        </w:rPr>
      </w:pPr>
      <w:r w:rsidRPr="001839C6">
        <w:rPr>
          <w:rFonts w:ascii="Century Gothic" w:hAnsi="Century Gothic" w:cs="Times New Roman"/>
          <w:sz w:val="24"/>
          <w:szCs w:val="24"/>
          <w:u w:val="single"/>
        </w:rPr>
        <w:t>Nom de zone humide</w:t>
      </w:r>
      <w:r w:rsidRPr="001839C6">
        <w:rPr>
          <w:rFonts w:ascii="Century Gothic" w:hAnsi="Century Gothic" w:cs="Times New Roman"/>
          <w:sz w:val="24"/>
          <w:szCs w:val="24"/>
        </w:rPr>
        <w:t xml:space="preserve"> : </w:t>
      </w:r>
      <w:r w:rsidRPr="001839C6">
        <w:rPr>
          <w:rFonts w:ascii="Century Gothic" w:hAnsi="Century Gothic" w:cs="Times New Roman"/>
          <w:b/>
          <w:bCs/>
          <w:sz w:val="24"/>
          <w:szCs w:val="24"/>
        </w:rPr>
        <w:t>Agharghar</w:t>
      </w:r>
      <w:r w:rsidRPr="001839C6">
        <w:rPr>
          <w:rFonts w:ascii="Century Gothic" w:hAnsi="Century Gothic" w:cs="Times New Roman"/>
          <w:sz w:val="24"/>
          <w:szCs w:val="24"/>
        </w:rPr>
        <w:t xml:space="preserve"> (</w:t>
      </w: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Agharghar) </w:t>
      </w:r>
    </w:p>
    <w:p w14:paraId="2CEEDB34" w14:textId="77777777" w:rsidR="005625B5" w:rsidRPr="004D2ABC" w:rsidRDefault="005625B5" w:rsidP="005625B5">
      <w:pPr>
        <w:tabs>
          <w:tab w:val="left" w:pos="426"/>
        </w:tabs>
        <w:spacing w:after="0" w:line="276" w:lineRule="auto"/>
        <w:ind w:left="720"/>
        <w:jc w:val="both"/>
        <w:rPr>
          <w:rFonts w:ascii="Century Gothic" w:eastAsia="Times New Roman" w:hAnsi="Century Gothic" w:cs="Times New Roman"/>
          <w:sz w:val="24"/>
          <w:szCs w:val="24"/>
          <w:lang w:eastAsia="wo-SN"/>
        </w:rPr>
      </w:pPr>
    </w:p>
    <w:p w14:paraId="625C154F"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(16°9'11.08’’N ; 10°21'8.45’’O)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Permanent</w:t>
      </w:r>
    </w:p>
    <w:p w14:paraId="01AA531E"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7A116D10" wp14:editId="0991FC79">
            <wp:extent cx="2228850" cy="2797810"/>
            <wp:effectExtent l="0" t="0" r="0" b="0"/>
            <wp:docPr id="87" name="Image 18" descr="E:\Desktop\ZH\Images ZH\AGHARGHAAR\DJI_090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8" descr="E:\Desktop\ZH\Images ZH\AGHARGHAAR\DJI_0908.JPG"/>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228850" cy="2797810"/>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408F5299" wp14:editId="55608A9A">
            <wp:extent cx="3749040" cy="2795905"/>
            <wp:effectExtent l="0" t="0" r="0" b="0"/>
            <wp:docPr id="88" name="Image 17" descr="E:\Desktop\ZH\Cartes ZH\aghargha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7" descr="E:\Desktop\ZH\Cartes ZH\agharghar.jpg"/>
                    <pic:cNvPicPr>
                      <a:picLocks/>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749040" cy="2795905"/>
                    </a:xfrm>
                    <a:prstGeom prst="rect">
                      <a:avLst/>
                    </a:prstGeom>
                    <a:noFill/>
                    <a:ln>
                      <a:noFill/>
                    </a:ln>
                  </pic:spPr>
                </pic:pic>
              </a:graphicData>
            </a:graphic>
          </wp:inline>
        </w:drawing>
      </w:r>
    </w:p>
    <w:p w14:paraId="7E434A16"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Agharghar</w:t>
      </w:r>
    </w:p>
    <w:p w14:paraId="767E23ED" w14:textId="77777777" w:rsidR="005625B5" w:rsidRPr="004D2ABC" w:rsidRDefault="005625B5" w:rsidP="005625B5">
      <w:pPr>
        <w:spacing w:line="276" w:lineRule="auto"/>
        <w:jc w:val="both"/>
        <w:rPr>
          <w:rFonts w:ascii="Century Gothic" w:hAnsi="Century Gothic" w:cs="Times New Roman"/>
          <w:sz w:val="24"/>
          <w:szCs w:val="24"/>
        </w:rPr>
      </w:pPr>
      <w:r w:rsidRPr="004D2ABC">
        <w:rPr>
          <w:rFonts w:ascii="Century Gothic" w:hAnsi="Century Gothic" w:cs="Times New Roman"/>
          <w:sz w:val="24"/>
          <w:szCs w:val="24"/>
        </w:rPr>
        <w:t>Ressources naturelles (Biodiversité</w:t>
      </w:r>
      <w:proofErr w:type="gramStart"/>
      <w:r w:rsidRPr="004D2ABC">
        <w:rPr>
          <w:rFonts w:ascii="Century Gothic" w:hAnsi="Century Gothic" w:cs="Times New Roman"/>
          <w:sz w:val="24"/>
          <w:szCs w:val="24"/>
        </w:rPr>
        <w:t>):</w:t>
      </w:r>
      <w:proofErr w:type="gramEnd"/>
      <w:r w:rsidRPr="004D2ABC">
        <w:rPr>
          <w:rFonts w:ascii="Century Gothic" w:hAnsi="Century Gothic" w:cs="Times New Roman"/>
          <w:sz w:val="24"/>
          <w:szCs w:val="24"/>
        </w:rPr>
        <w:t xml:space="preserve"> </w:t>
      </w:r>
    </w:p>
    <w:p w14:paraId="60354317" w14:textId="77777777" w:rsidR="005625B5" w:rsidRPr="004D2ABC"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4D2ABC">
        <w:rPr>
          <w:rFonts w:ascii="Century Gothic" w:hAnsi="Century Gothic" w:cs="Times New Roman"/>
          <w:sz w:val="24"/>
          <w:szCs w:val="24"/>
        </w:rPr>
        <w:t xml:space="preserve">Ressources aquatiques : Plantes aquatiques (+) ; poisson (+)  </w:t>
      </w:r>
    </w:p>
    <w:p w14:paraId="765BBD44" w14:textId="77777777" w:rsidR="005625B5" w:rsidRPr="004D2ABC"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4D2ABC">
        <w:rPr>
          <w:rFonts w:ascii="Century Gothic" w:hAnsi="Century Gothic" w:cs="Times New Roman"/>
          <w:sz w:val="24"/>
          <w:szCs w:val="24"/>
        </w:rPr>
        <w:t>Ressources forestières : Acacias (+) ; Balanites (+) ; Bauhinia (+) ; …</w:t>
      </w:r>
    </w:p>
    <w:p w14:paraId="3878D9D5" w14:textId="77777777" w:rsidR="005625B5" w:rsidRPr="004D2ABC"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4D2ABC">
        <w:rPr>
          <w:rFonts w:ascii="Century Gothic" w:hAnsi="Century Gothic" w:cs="Times New Roman"/>
          <w:sz w:val="24"/>
          <w:szCs w:val="24"/>
        </w:rPr>
        <w:t>Ressources fauniques : Faune sauvage (+) ; avifaune (+) </w:t>
      </w:r>
    </w:p>
    <w:p w14:paraId="0F498B3C" w14:textId="77777777" w:rsidR="005625B5" w:rsidRPr="004D2ABC" w:rsidRDefault="005625B5" w:rsidP="005625B5">
      <w:pPr>
        <w:spacing w:line="276" w:lineRule="auto"/>
        <w:jc w:val="both"/>
        <w:rPr>
          <w:rFonts w:ascii="Century Gothic" w:hAnsi="Century Gothic" w:cs="Times New Roman"/>
          <w:sz w:val="24"/>
          <w:szCs w:val="24"/>
        </w:rPr>
      </w:pPr>
      <w:r w:rsidRPr="004D2ABC">
        <w:rPr>
          <w:rFonts w:ascii="Century Gothic" w:hAnsi="Century Gothic" w:cs="Times New Roman"/>
          <w:sz w:val="24"/>
          <w:szCs w:val="24"/>
          <w:u w:val="single"/>
        </w:rPr>
        <w:t>Activités socioéconomiques</w:t>
      </w:r>
      <w:r w:rsidRPr="004D2ABC">
        <w:rPr>
          <w:rFonts w:ascii="Century Gothic" w:hAnsi="Century Gothic" w:cs="Times New Roman"/>
          <w:sz w:val="24"/>
          <w:szCs w:val="24"/>
        </w:rPr>
        <w:t xml:space="preserve"> : </w:t>
      </w:r>
    </w:p>
    <w:p w14:paraId="136F41E2" w14:textId="77777777" w:rsidR="005625B5" w:rsidRPr="004D2ABC"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4D2ABC">
        <w:rPr>
          <w:rFonts w:ascii="Century Gothic" w:hAnsi="Century Gothic" w:cs="Times New Roman"/>
          <w:b/>
          <w:bCs/>
          <w:sz w:val="24"/>
          <w:szCs w:val="24"/>
        </w:rPr>
        <w:t>Agriculture</w:t>
      </w:r>
      <w:r w:rsidRPr="004D2ABC">
        <w:rPr>
          <w:rFonts w:ascii="Century Gothic" w:hAnsi="Century Gothic" w:cs="Times New Roman"/>
          <w:sz w:val="24"/>
          <w:szCs w:val="24"/>
        </w:rPr>
        <w:t xml:space="preserve"> : Elle concerne principalement les cultures de sorgho, niébé, maïs, arachide, palmier dattier, patate douce, pomme de terre, maraichage.  </w:t>
      </w:r>
    </w:p>
    <w:p w14:paraId="2E3F40B6" w14:textId="77777777" w:rsidR="005625B5" w:rsidRPr="004D2ABC"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4D2ABC">
        <w:rPr>
          <w:rFonts w:ascii="Century Gothic" w:hAnsi="Century Gothic" w:cs="Times New Roman"/>
          <w:b/>
          <w:bCs/>
          <w:sz w:val="24"/>
          <w:szCs w:val="24"/>
        </w:rPr>
        <w:t>Elevage</w:t>
      </w:r>
      <w:r w:rsidRPr="004D2ABC">
        <w:rPr>
          <w:rFonts w:ascii="Century Gothic" w:hAnsi="Century Gothic" w:cs="Times New Roman"/>
          <w:sz w:val="24"/>
          <w:szCs w:val="24"/>
        </w:rPr>
        <w:t xml:space="preserve"> : La zone est essentiellement une zone d’élevage (vaches, chameaux, chèvres, moutons). Il y a beaucoup de puits aux alentours.  </w:t>
      </w:r>
    </w:p>
    <w:p w14:paraId="4BA25624" w14:textId="77777777" w:rsidR="005625B5" w:rsidRPr="004D2ABC"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4D2ABC">
        <w:rPr>
          <w:rFonts w:ascii="Century Gothic" w:hAnsi="Century Gothic" w:cs="Times New Roman"/>
          <w:b/>
          <w:bCs/>
          <w:sz w:val="24"/>
          <w:szCs w:val="24"/>
        </w:rPr>
        <w:t>Pêche</w:t>
      </w:r>
      <w:r w:rsidRPr="004D2ABC">
        <w:rPr>
          <w:rFonts w:ascii="Century Gothic" w:hAnsi="Century Gothic" w:cs="Times New Roman"/>
          <w:sz w:val="24"/>
          <w:szCs w:val="24"/>
        </w:rPr>
        <w:t xml:space="preserve"> : Elle est pratiquée uniquement par les maliens et les produits sont scindés en deux parties : la moitié revient à la population locale et l’autre est pour les maliens.     </w:t>
      </w:r>
    </w:p>
    <w:p w14:paraId="2DCF7C9E" w14:textId="77777777" w:rsidR="005625B5" w:rsidRPr="004D2ABC"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4D2ABC">
        <w:rPr>
          <w:rFonts w:ascii="Century Gothic" w:hAnsi="Century Gothic" w:cs="Times New Roman"/>
          <w:b/>
          <w:bCs/>
          <w:sz w:val="24"/>
          <w:szCs w:val="24"/>
        </w:rPr>
        <w:t>Foresterie</w:t>
      </w:r>
      <w:r w:rsidRPr="004D2ABC">
        <w:rPr>
          <w:rFonts w:ascii="Century Gothic" w:hAnsi="Century Gothic" w:cs="Times New Roman"/>
          <w:sz w:val="24"/>
          <w:szCs w:val="24"/>
        </w:rPr>
        <w:t xml:space="preserve"> : Les PFNL sont collectés au niveau de la zone humide. Le palmier doum est fortement exploité. </w:t>
      </w:r>
    </w:p>
    <w:p w14:paraId="0BEC9590"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0E3278D4" w14:textId="77777777" w:rsidR="005625B5" w:rsidRDefault="005625B5" w:rsidP="005625B5">
      <w:pPr>
        <w:numPr>
          <w:ilvl w:val="0"/>
          <w:numId w:val="41"/>
        </w:numPr>
        <w:tabs>
          <w:tab w:val="left" w:pos="426"/>
        </w:tabs>
        <w:spacing w:after="0" w:line="276" w:lineRule="auto"/>
        <w:jc w:val="both"/>
        <w:rPr>
          <w:rFonts w:ascii="Century Gothic" w:eastAsia="Times New Roman" w:hAnsi="Century Gothic" w:cs="Times New Roman"/>
          <w:sz w:val="24"/>
          <w:szCs w:val="24"/>
          <w:lang w:eastAsia="wo-SN"/>
        </w:rPr>
      </w:pPr>
      <w:r w:rsidRPr="001839C6">
        <w:rPr>
          <w:rFonts w:ascii="Century Gothic" w:hAnsi="Century Gothic" w:cs="Times New Roman"/>
          <w:sz w:val="24"/>
          <w:szCs w:val="24"/>
          <w:u w:val="single"/>
        </w:rPr>
        <w:t>Nom de zone humide</w:t>
      </w:r>
      <w:r w:rsidRPr="001839C6">
        <w:rPr>
          <w:rFonts w:ascii="Century Gothic" w:hAnsi="Century Gothic" w:cs="Times New Roman"/>
          <w:sz w:val="24"/>
          <w:szCs w:val="24"/>
        </w:rPr>
        <w:t xml:space="preserve"> : </w:t>
      </w:r>
      <w:r w:rsidRPr="001839C6">
        <w:rPr>
          <w:rFonts w:ascii="Century Gothic" w:hAnsi="Century Gothic" w:cs="Times New Roman"/>
          <w:b/>
          <w:bCs/>
          <w:sz w:val="24"/>
          <w:szCs w:val="24"/>
        </w:rPr>
        <w:t>Chlem</w:t>
      </w:r>
      <w:r w:rsidRPr="001839C6">
        <w:rPr>
          <w:rFonts w:ascii="Century Gothic" w:hAnsi="Century Gothic" w:cs="Times New Roman"/>
          <w:sz w:val="24"/>
          <w:szCs w:val="24"/>
        </w:rPr>
        <w:t xml:space="preserve"> ; (</w:t>
      </w: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Oum Lehyadh)   </w:t>
      </w:r>
    </w:p>
    <w:p w14:paraId="41520361" w14:textId="77777777" w:rsidR="005625B5" w:rsidRPr="00085A8A" w:rsidRDefault="005625B5" w:rsidP="005625B5">
      <w:pPr>
        <w:tabs>
          <w:tab w:val="left" w:pos="426"/>
        </w:tabs>
        <w:spacing w:after="0" w:line="276" w:lineRule="auto"/>
        <w:ind w:left="720"/>
        <w:jc w:val="both"/>
        <w:rPr>
          <w:rFonts w:ascii="Century Gothic" w:eastAsia="Times New Roman" w:hAnsi="Century Gothic" w:cs="Times New Roman"/>
          <w:sz w:val="24"/>
          <w:szCs w:val="24"/>
          <w:lang w:eastAsia="wo-SN"/>
        </w:rPr>
      </w:pPr>
    </w:p>
    <w:p w14:paraId="02587A15"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(16°24'1.06’’N ; 9°3'25.77’’O)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xml:space="preserve"> : 9 mois </w:t>
      </w:r>
    </w:p>
    <w:p w14:paraId="175022F1"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73B219AC" wp14:editId="128FD2A0">
            <wp:extent cx="2263775" cy="3572510"/>
            <wp:effectExtent l="0" t="0" r="0" b="0"/>
            <wp:docPr id="89" name="Image 16" descr="E:\Desktop\ZH\Images ZH\CHLEM\DJI_008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6" descr="E:\Desktop\ZH\Images ZH\CHLEM\DJI_0081.JPG"/>
                    <pic:cNvPicPr>
                      <a:picLocks/>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263775" cy="3572510"/>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328FF069" wp14:editId="5706AD08">
            <wp:extent cx="3694430" cy="3564255"/>
            <wp:effectExtent l="0" t="0" r="0" b="0"/>
            <wp:docPr id="90" name="Image 15" descr="E:\Desktop\ZH\Cartes ZH\chlem.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5" descr="E:\Desktop\ZH\Cartes ZH\chlem.jpg"/>
                    <pic:cNvPicPr>
                      <a:picLocks/>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694430" cy="3564255"/>
                    </a:xfrm>
                    <a:prstGeom prst="rect">
                      <a:avLst/>
                    </a:prstGeom>
                    <a:noFill/>
                    <a:ln>
                      <a:noFill/>
                    </a:ln>
                  </pic:spPr>
                </pic:pic>
              </a:graphicData>
            </a:graphic>
          </wp:inline>
        </w:drawing>
      </w:r>
    </w:p>
    <w:p w14:paraId="78592A94"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Chlem</w:t>
      </w:r>
    </w:p>
    <w:p w14:paraId="0FC354FF" w14:textId="77777777" w:rsidR="005625B5" w:rsidRPr="004D2ABC" w:rsidRDefault="005625B5" w:rsidP="005625B5">
      <w:pPr>
        <w:spacing w:line="276" w:lineRule="auto"/>
        <w:jc w:val="both"/>
        <w:rPr>
          <w:rFonts w:ascii="Century Gothic" w:hAnsi="Century Gothic" w:cs="Times New Roman"/>
          <w:sz w:val="24"/>
          <w:szCs w:val="24"/>
        </w:rPr>
      </w:pPr>
      <w:r w:rsidRPr="004D2ABC">
        <w:rPr>
          <w:rFonts w:ascii="Century Gothic" w:hAnsi="Century Gothic" w:cs="Times New Roman"/>
          <w:sz w:val="24"/>
          <w:szCs w:val="24"/>
          <w:u w:val="single"/>
        </w:rPr>
        <w:t>Ressources naturelles</w:t>
      </w:r>
      <w:r w:rsidRPr="004D2ABC">
        <w:rPr>
          <w:rFonts w:ascii="Century Gothic" w:hAnsi="Century Gothic" w:cs="Times New Roman"/>
          <w:sz w:val="24"/>
          <w:szCs w:val="24"/>
        </w:rPr>
        <w:t xml:space="preserve"> (Biodiversité</w:t>
      </w:r>
      <w:proofErr w:type="gramStart"/>
      <w:r w:rsidRPr="004D2ABC">
        <w:rPr>
          <w:rFonts w:ascii="Century Gothic" w:hAnsi="Century Gothic" w:cs="Times New Roman"/>
          <w:sz w:val="24"/>
          <w:szCs w:val="24"/>
        </w:rPr>
        <w:t>):</w:t>
      </w:r>
      <w:proofErr w:type="gramEnd"/>
      <w:r w:rsidRPr="004D2ABC">
        <w:rPr>
          <w:rFonts w:ascii="Century Gothic" w:hAnsi="Century Gothic" w:cs="Times New Roman"/>
          <w:sz w:val="24"/>
          <w:szCs w:val="24"/>
        </w:rPr>
        <w:t xml:space="preserve"> </w:t>
      </w:r>
    </w:p>
    <w:p w14:paraId="53A07D66" w14:textId="77777777" w:rsidR="005625B5" w:rsidRPr="004D2ABC"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4D2ABC">
        <w:rPr>
          <w:rFonts w:ascii="Century Gothic" w:hAnsi="Century Gothic" w:cs="Times New Roman"/>
          <w:sz w:val="24"/>
          <w:szCs w:val="24"/>
        </w:rPr>
        <w:t xml:space="preserve">Ressources aquatiques : Plantes aquatiques (+) ; poisson (-)  </w:t>
      </w:r>
    </w:p>
    <w:p w14:paraId="4EF785D3" w14:textId="77777777" w:rsidR="005625B5" w:rsidRPr="004D2ABC"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4D2ABC">
        <w:rPr>
          <w:rFonts w:ascii="Century Gothic" w:hAnsi="Century Gothic" w:cs="Times New Roman"/>
          <w:sz w:val="24"/>
          <w:szCs w:val="24"/>
        </w:rPr>
        <w:t>Ressources forestières : Acacias (+) ; Balanites (+) ; Bauhinia (+) ; …</w:t>
      </w:r>
    </w:p>
    <w:p w14:paraId="08D5CC58" w14:textId="77777777" w:rsidR="005625B5" w:rsidRPr="004D2ABC"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4D2ABC">
        <w:rPr>
          <w:rFonts w:ascii="Century Gothic" w:hAnsi="Century Gothic" w:cs="Times New Roman"/>
          <w:sz w:val="24"/>
          <w:szCs w:val="24"/>
        </w:rPr>
        <w:t>Ressources fauniques : Faune sauvage (+) ; avifaune (+) </w:t>
      </w:r>
    </w:p>
    <w:p w14:paraId="0D0CF389" w14:textId="77777777" w:rsidR="005625B5" w:rsidRPr="004D2ABC" w:rsidRDefault="005625B5" w:rsidP="005625B5">
      <w:pPr>
        <w:spacing w:line="276" w:lineRule="auto"/>
        <w:jc w:val="both"/>
        <w:rPr>
          <w:rFonts w:ascii="Century Gothic" w:hAnsi="Century Gothic" w:cs="Times New Roman"/>
          <w:sz w:val="24"/>
          <w:szCs w:val="24"/>
        </w:rPr>
      </w:pPr>
      <w:r w:rsidRPr="004D2ABC">
        <w:rPr>
          <w:rFonts w:ascii="Century Gothic" w:hAnsi="Century Gothic" w:cs="Times New Roman"/>
          <w:sz w:val="24"/>
          <w:szCs w:val="24"/>
          <w:u w:val="single"/>
        </w:rPr>
        <w:t>Activités socioéconomiques</w:t>
      </w:r>
      <w:r w:rsidRPr="004D2ABC">
        <w:rPr>
          <w:rFonts w:ascii="Century Gothic" w:hAnsi="Century Gothic" w:cs="Times New Roman"/>
          <w:sz w:val="24"/>
          <w:szCs w:val="24"/>
        </w:rPr>
        <w:t xml:space="preserve"> : </w:t>
      </w:r>
    </w:p>
    <w:p w14:paraId="44E77EA6" w14:textId="77777777" w:rsidR="005625B5" w:rsidRPr="004D2ABC"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4D2ABC">
        <w:rPr>
          <w:rFonts w:ascii="Century Gothic" w:hAnsi="Century Gothic" w:cs="Times New Roman"/>
          <w:b/>
          <w:bCs/>
          <w:sz w:val="24"/>
          <w:szCs w:val="24"/>
        </w:rPr>
        <w:t>Agriculture</w:t>
      </w:r>
      <w:r w:rsidRPr="004D2ABC">
        <w:rPr>
          <w:rFonts w:ascii="Century Gothic" w:hAnsi="Century Gothic" w:cs="Times New Roman"/>
          <w:sz w:val="24"/>
          <w:szCs w:val="24"/>
        </w:rPr>
        <w:t xml:space="preserve"> : Elle n’est plus pratiquée dans la zone humide du fait que la population active n’est plus sur place (exode rural).  </w:t>
      </w:r>
    </w:p>
    <w:p w14:paraId="7FF282C3" w14:textId="77777777" w:rsidR="005625B5" w:rsidRPr="004D2ABC"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4D2ABC">
        <w:rPr>
          <w:rFonts w:ascii="Century Gothic" w:hAnsi="Century Gothic" w:cs="Times New Roman"/>
          <w:b/>
          <w:bCs/>
          <w:sz w:val="24"/>
          <w:szCs w:val="24"/>
        </w:rPr>
        <w:t>Elevage</w:t>
      </w:r>
      <w:r w:rsidRPr="004D2ABC">
        <w:rPr>
          <w:rFonts w:ascii="Century Gothic" w:hAnsi="Century Gothic" w:cs="Times New Roman"/>
          <w:sz w:val="24"/>
          <w:szCs w:val="24"/>
        </w:rPr>
        <w:t xml:space="preserve"> : C’est un élevage extensif qui se pratique au niveau de la zone humide.  </w:t>
      </w:r>
    </w:p>
    <w:p w14:paraId="158F7897" w14:textId="77777777" w:rsidR="005625B5" w:rsidRPr="004D2ABC"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4D2ABC">
        <w:rPr>
          <w:rFonts w:ascii="Century Gothic" w:hAnsi="Century Gothic" w:cs="Times New Roman"/>
          <w:b/>
          <w:bCs/>
          <w:sz w:val="24"/>
          <w:szCs w:val="24"/>
        </w:rPr>
        <w:t>Pêche</w:t>
      </w:r>
      <w:r w:rsidRPr="004D2ABC">
        <w:rPr>
          <w:rFonts w:ascii="Century Gothic" w:hAnsi="Century Gothic" w:cs="Times New Roman"/>
          <w:sz w:val="24"/>
          <w:szCs w:val="24"/>
        </w:rPr>
        <w:t xml:space="preserve"> : Il n’y a plus de d’activité de pêche car il n’y a plus de poisson dans la mare.     </w:t>
      </w:r>
    </w:p>
    <w:p w14:paraId="3C11F52C" w14:textId="77777777" w:rsidR="005625B5" w:rsidRPr="004D2ABC"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4D2ABC">
        <w:rPr>
          <w:rFonts w:ascii="Century Gothic" w:hAnsi="Century Gothic" w:cs="Times New Roman"/>
          <w:b/>
          <w:bCs/>
          <w:sz w:val="24"/>
          <w:szCs w:val="24"/>
        </w:rPr>
        <w:t>Foresterie</w:t>
      </w:r>
      <w:r w:rsidRPr="004D2ABC">
        <w:rPr>
          <w:rFonts w:ascii="Century Gothic" w:hAnsi="Century Gothic" w:cs="Times New Roman"/>
          <w:sz w:val="24"/>
          <w:szCs w:val="24"/>
        </w:rPr>
        <w:t xml:space="preserve"> : Les PFNL sont collectés au niveau de la zone humide. Le palmier doum est fortement exploité. </w:t>
      </w:r>
    </w:p>
    <w:p w14:paraId="17F77B4B" w14:textId="77777777" w:rsidR="005625B5" w:rsidRPr="0076751A" w:rsidRDefault="005625B5" w:rsidP="005625B5">
      <w:pPr>
        <w:numPr>
          <w:ilvl w:val="0"/>
          <w:numId w:val="41"/>
        </w:numPr>
        <w:tabs>
          <w:tab w:val="left" w:pos="426"/>
        </w:tabs>
        <w:spacing w:after="0" w:line="276" w:lineRule="auto"/>
        <w:jc w:val="both"/>
        <w:rPr>
          <w:rFonts w:ascii="Century Gothic" w:eastAsia="Times New Roman" w:hAnsi="Century Gothic" w:cs="Times New Roman"/>
          <w:sz w:val="24"/>
          <w:szCs w:val="24"/>
          <w:lang w:eastAsia="wo-SN"/>
        </w:rPr>
      </w:pPr>
      <w:r w:rsidRPr="001839C6">
        <w:rPr>
          <w:rFonts w:ascii="Century Gothic" w:hAnsi="Century Gothic" w:cs="Times New Roman"/>
          <w:sz w:val="24"/>
          <w:szCs w:val="24"/>
          <w:u w:val="single"/>
        </w:rPr>
        <w:br w:type="page"/>
        <w:t>Nom de zone humide</w:t>
      </w:r>
      <w:r w:rsidRPr="001839C6">
        <w:rPr>
          <w:rFonts w:ascii="Century Gothic" w:hAnsi="Century Gothic" w:cs="Times New Roman"/>
          <w:sz w:val="24"/>
          <w:szCs w:val="24"/>
        </w:rPr>
        <w:t xml:space="preserve"> : </w:t>
      </w:r>
      <w:r w:rsidRPr="001839C6">
        <w:rPr>
          <w:rFonts w:ascii="Century Gothic" w:hAnsi="Century Gothic" w:cs="Times New Roman"/>
          <w:b/>
          <w:bCs/>
          <w:sz w:val="24"/>
          <w:szCs w:val="24"/>
        </w:rPr>
        <w:t>Demberi</w:t>
      </w:r>
      <w:r w:rsidRPr="001839C6">
        <w:rPr>
          <w:rFonts w:ascii="Century Gothic" w:hAnsi="Century Gothic" w:cs="Times New Roman"/>
          <w:sz w:val="24"/>
          <w:szCs w:val="24"/>
        </w:rPr>
        <w:t xml:space="preserve"> ; (</w:t>
      </w: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Tintane) </w:t>
      </w:r>
    </w:p>
    <w:p w14:paraId="0C41ABB7" w14:textId="77777777" w:rsidR="005625B5" w:rsidRPr="00B46E84"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4E653930"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(16°24'17.93’’N ; 10°9'4.13’’O)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xml:space="preserve"> : Permanent  </w:t>
      </w:r>
    </w:p>
    <w:p w14:paraId="1C4FB8A3"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3628F149" wp14:editId="5BBD4E24">
            <wp:extent cx="2231390" cy="3263265"/>
            <wp:effectExtent l="0" t="0" r="0" b="0"/>
            <wp:docPr id="91" name="Image 14" descr="E:\Desktop\ZH\Images ZH\DEMBERI\DJI_029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4" descr="E:\Desktop\ZH\Images ZH\DEMBERI\DJI_0298.JPG"/>
                    <pic:cNvPicPr>
                      <a:picLocks/>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231390" cy="3263265"/>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086BA601" wp14:editId="24CC2F8F">
            <wp:extent cx="3736975" cy="3255010"/>
            <wp:effectExtent l="0" t="0" r="0" b="0"/>
            <wp:docPr id="92" name="Image 13" descr="E:\Desktop\ZH\Cartes ZH\dember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descr="E:\Desktop\ZH\Cartes ZH\demberi.jpg"/>
                    <pic:cNvPicPr>
                      <a:picLocks/>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36975" cy="3255010"/>
                    </a:xfrm>
                    <a:prstGeom prst="rect">
                      <a:avLst/>
                    </a:prstGeom>
                    <a:noFill/>
                    <a:ln>
                      <a:noFill/>
                    </a:ln>
                  </pic:spPr>
                </pic:pic>
              </a:graphicData>
            </a:graphic>
          </wp:inline>
        </w:drawing>
      </w:r>
    </w:p>
    <w:p w14:paraId="396B02A8"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Demberi</w:t>
      </w:r>
    </w:p>
    <w:p w14:paraId="5951BEC5" w14:textId="77777777" w:rsidR="005625B5" w:rsidRPr="00B46E84" w:rsidRDefault="005625B5" w:rsidP="005625B5">
      <w:pPr>
        <w:spacing w:line="276" w:lineRule="auto"/>
        <w:jc w:val="both"/>
        <w:rPr>
          <w:rFonts w:ascii="Century Gothic" w:hAnsi="Century Gothic" w:cs="Times New Roman"/>
          <w:sz w:val="24"/>
          <w:szCs w:val="24"/>
        </w:rPr>
      </w:pPr>
      <w:r w:rsidRPr="00B46E84">
        <w:rPr>
          <w:rFonts w:ascii="Century Gothic" w:hAnsi="Century Gothic" w:cs="Times New Roman"/>
          <w:sz w:val="24"/>
          <w:szCs w:val="24"/>
          <w:u w:val="single"/>
        </w:rPr>
        <w:t>Ressources naturelles</w:t>
      </w:r>
      <w:r w:rsidRPr="00B46E84">
        <w:rPr>
          <w:rFonts w:ascii="Century Gothic" w:hAnsi="Century Gothic" w:cs="Times New Roman"/>
          <w:sz w:val="24"/>
          <w:szCs w:val="24"/>
        </w:rPr>
        <w:t xml:space="preserve"> (Biodiversité</w:t>
      </w:r>
      <w:proofErr w:type="gramStart"/>
      <w:r w:rsidRPr="00B46E84">
        <w:rPr>
          <w:rFonts w:ascii="Century Gothic" w:hAnsi="Century Gothic" w:cs="Times New Roman"/>
          <w:sz w:val="24"/>
          <w:szCs w:val="24"/>
        </w:rPr>
        <w:t>):</w:t>
      </w:r>
      <w:proofErr w:type="gramEnd"/>
      <w:r w:rsidRPr="00B46E84">
        <w:rPr>
          <w:rFonts w:ascii="Century Gothic" w:hAnsi="Century Gothic" w:cs="Times New Roman"/>
          <w:sz w:val="24"/>
          <w:szCs w:val="24"/>
        </w:rPr>
        <w:t xml:space="preserve"> </w:t>
      </w:r>
    </w:p>
    <w:p w14:paraId="3010804E" w14:textId="77777777" w:rsidR="005625B5" w:rsidRPr="00B46E84"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B46E84">
        <w:rPr>
          <w:rFonts w:ascii="Century Gothic" w:hAnsi="Century Gothic" w:cs="Times New Roman"/>
          <w:sz w:val="24"/>
          <w:szCs w:val="24"/>
        </w:rPr>
        <w:t xml:space="preserve">Ressources aquatiques : Plantes aquatiques (+) ; poisson (+)  </w:t>
      </w:r>
    </w:p>
    <w:p w14:paraId="04170A07" w14:textId="77777777" w:rsidR="005625B5" w:rsidRPr="00B46E84"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B46E84">
        <w:rPr>
          <w:rFonts w:ascii="Century Gothic" w:hAnsi="Century Gothic" w:cs="Times New Roman"/>
          <w:sz w:val="24"/>
          <w:szCs w:val="24"/>
        </w:rPr>
        <w:t>Ressources forestières : Acacias (+) ; Balanites (+) ; Bauhinia (+) ; …</w:t>
      </w:r>
    </w:p>
    <w:p w14:paraId="02E87248" w14:textId="77777777" w:rsidR="005625B5" w:rsidRPr="00B46E84"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B46E84">
        <w:rPr>
          <w:rFonts w:ascii="Century Gothic" w:hAnsi="Century Gothic" w:cs="Times New Roman"/>
          <w:sz w:val="24"/>
          <w:szCs w:val="24"/>
        </w:rPr>
        <w:t>Ressources fauniques : Faune sauvage (+) ; avifaune (+) </w:t>
      </w:r>
    </w:p>
    <w:p w14:paraId="2A74EF6D" w14:textId="77777777" w:rsidR="005625B5" w:rsidRPr="00B46E84" w:rsidRDefault="005625B5" w:rsidP="005625B5">
      <w:pPr>
        <w:spacing w:line="276" w:lineRule="auto"/>
        <w:jc w:val="both"/>
        <w:rPr>
          <w:rFonts w:ascii="Century Gothic" w:hAnsi="Century Gothic" w:cs="Times New Roman"/>
          <w:sz w:val="24"/>
          <w:szCs w:val="24"/>
        </w:rPr>
      </w:pPr>
      <w:r w:rsidRPr="00B46E84">
        <w:rPr>
          <w:rFonts w:ascii="Century Gothic" w:hAnsi="Century Gothic" w:cs="Times New Roman"/>
          <w:sz w:val="24"/>
          <w:szCs w:val="24"/>
          <w:u w:val="single"/>
        </w:rPr>
        <w:t>Activités socioéconomiques</w:t>
      </w:r>
      <w:r w:rsidRPr="00B46E84">
        <w:rPr>
          <w:rFonts w:ascii="Century Gothic" w:hAnsi="Century Gothic" w:cs="Times New Roman"/>
          <w:sz w:val="24"/>
          <w:szCs w:val="24"/>
        </w:rPr>
        <w:t xml:space="preserve"> : </w:t>
      </w:r>
    </w:p>
    <w:p w14:paraId="6311F613" w14:textId="77777777" w:rsidR="005625B5" w:rsidRPr="00B46E84" w:rsidRDefault="005625B5" w:rsidP="005625B5">
      <w:pPr>
        <w:pStyle w:val="Paragraphedeliste"/>
        <w:numPr>
          <w:ilvl w:val="0"/>
          <w:numId w:val="50"/>
        </w:numPr>
        <w:spacing w:after="200" w:line="276" w:lineRule="auto"/>
        <w:jc w:val="both"/>
        <w:rPr>
          <w:rFonts w:ascii="Century Gothic" w:hAnsi="Century Gothic" w:cs="Times New Roman"/>
          <w:sz w:val="24"/>
          <w:szCs w:val="24"/>
        </w:rPr>
      </w:pPr>
      <w:r w:rsidRPr="00397DF5">
        <w:rPr>
          <w:rFonts w:ascii="Century Gothic" w:hAnsi="Century Gothic" w:cs="Times New Roman"/>
          <w:b/>
          <w:bCs/>
          <w:sz w:val="24"/>
          <w:szCs w:val="24"/>
        </w:rPr>
        <w:t>Agriculture</w:t>
      </w:r>
      <w:r w:rsidRPr="00B46E84">
        <w:rPr>
          <w:rFonts w:ascii="Century Gothic" w:hAnsi="Century Gothic" w:cs="Times New Roman"/>
          <w:sz w:val="24"/>
          <w:szCs w:val="24"/>
        </w:rPr>
        <w:t xml:space="preserve"> : Elle est pratiquée au nord de la zone humide et concerne principalement le sorgho, le niébé, le maïs, le blé, le maraichage.   </w:t>
      </w:r>
    </w:p>
    <w:p w14:paraId="431A20B4" w14:textId="77777777" w:rsidR="005625B5" w:rsidRPr="00B46E84" w:rsidRDefault="005625B5" w:rsidP="005625B5">
      <w:pPr>
        <w:pStyle w:val="Paragraphedeliste"/>
        <w:numPr>
          <w:ilvl w:val="0"/>
          <w:numId w:val="50"/>
        </w:numPr>
        <w:spacing w:after="200" w:line="276" w:lineRule="auto"/>
        <w:jc w:val="both"/>
        <w:rPr>
          <w:rFonts w:ascii="Century Gothic" w:hAnsi="Century Gothic" w:cs="Times New Roman"/>
          <w:sz w:val="24"/>
          <w:szCs w:val="24"/>
        </w:rPr>
      </w:pPr>
      <w:r w:rsidRPr="00397DF5">
        <w:rPr>
          <w:rFonts w:ascii="Century Gothic" w:hAnsi="Century Gothic" w:cs="Times New Roman"/>
          <w:b/>
          <w:bCs/>
          <w:sz w:val="24"/>
          <w:szCs w:val="24"/>
        </w:rPr>
        <w:t>Elevage</w:t>
      </w:r>
      <w:r w:rsidRPr="00B46E84">
        <w:rPr>
          <w:rFonts w:ascii="Century Gothic" w:hAnsi="Century Gothic" w:cs="Times New Roman"/>
          <w:sz w:val="24"/>
          <w:szCs w:val="24"/>
        </w:rPr>
        <w:t xml:space="preserve"> : C’est un élevage extensif où les troupeaux viennent s’abreuver et pâturer dans la zone humide pendant la saison sèche.     </w:t>
      </w:r>
    </w:p>
    <w:p w14:paraId="5C655F26" w14:textId="77777777" w:rsidR="005625B5" w:rsidRPr="00B46E84" w:rsidRDefault="005625B5" w:rsidP="005625B5">
      <w:pPr>
        <w:pStyle w:val="Paragraphedeliste"/>
        <w:numPr>
          <w:ilvl w:val="0"/>
          <w:numId w:val="50"/>
        </w:numPr>
        <w:spacing w:after="200" w:line="276" w:lineRule="auto"/>
        <w:jc w:val="both"/>
        <w:rPr>
          <w:rFonts w:ascii="Century Gothic" w:hAnsi="Century Gothic" w:cs="Times New Roman"/>
          <w:sz w:val="24"/>
          <w:szCs w:val="24"/>
        </w:rPr>
      </w:pPr>
      <w:r w:rsidRPr="00397DF5">
        <w:rPr>
          <w:rFonts w:ascii="Century Gothic" w:hAnsi="Century Gothic" w:cs="Times New Roman"/>
          <w:b/>
          <w:bCs/>
          <w:sz w:val="24"/>
          <w:szCs w:val="24"/>
        </w:rPr>
        <w:t>Pêche</w:t>
      </w:r>
      <w:r w:rsidRPr="00B46E84">
        <w:rPr>
          <w:rFonts w:ascii="Century Gothic" w:hAnsi="Century Gothic" w:cs="Times New Roman"/>
          <w:sz w:val="24"/>
          <w:szCs w:val="24"/>
        </w:rPr>
        <w:t xml:space="preserve"> : L’activité de la pêche est pratiquée gratuitement dans la mare par les maliens et les produits sont exportés au Mali.      </w:t>
      </w:r>
    </w:p>
    <w:p w14:paraId="380012C4" w14:textId="77777777" w:rsidR="005625B5" w:rsidRPr="00B46E84" w:rsidRDefault="005625B5" w:rsidP="005625B5">
      <w:pPr>
        <w:pStyle w:val="Paragraphedeliste"/>
        <w:numPr>
          <w:ilvl w:val="0"/>
          <w:numId w:val="50"/>
        </w:numPr>
        <w:spacing w:after="200" w:line="276" w:lineRule="auto"/>
        <w:jc w:val="both"/>
        <w:rPr>
          <w:rFonts w:ascii="Century Gothic" w:hAnsi="Century Gothic" w:cs="Times New Roman"/>
          <w:sz w:val="24"/>
          <w:szCs w:val="24"/>
        </w:rPr>
      </w:pPr>
      <w:r w:rsidRPr="00397DF5">
        <w:rPr>
          <w:rFonts w:ascii="Century Gothic" w:hAnsi="Century Gothic" w:cs="Times New Roman"/>
          <w:b/>
          <w:bCs/>
          <w:sz w:val="24"/>
          <w:szCs w:val="24"/>
        </w:rPr>
        <w:t>Foresterie</w:t>
      </w:r>
      <w:r w:rsidRPr="00B46E84">
        <w:rPr>
          <w:rFonts w:ascii="Century Gothic" w:hAnsi="Century Gothic" w:cs="Times New Roman"/>
          <w:sz w:val="24"/>
          <w:szCs w:val="24"/>
        </w:rPr>
        <w:t xml:space="preserve"> : Le bois est coupé pour faire des clôtures et le charbon de bois. Le fruit du palmier doum est récolté et rapporte un revenu supplémentaire à la population locale. </w:t>
      </w:r>
    </w:p>
    <w:p w14:paraId="75DCBA7F"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2FEB9D6A" w14:textId="77777777" w:rsidR="005625B5" w:rsidRPr="00397DF5" w:rsidRDefault="005625B5" w:rsidP="005625B5">
      <w:pPr>
        <w:numPr>
          <w:ilvl w:val="0"/>
          <w:numId w:val="41"/>
        </w:numPr>
        <w:tabs>
          <w:tab w:val="left" w:pos="426"/>
        </w:tabs>
        <w:spacing w:after="0" w:line="276" w:lineRule="auto"/>
        <w:jc w:val="both"/>
        <w:rPr>
          <w:rFonts w:ascii="Century Gothic" w:eastAsia="Times New Roman" w:hAnsi="Century Gothic" w:cs="Times New Roman"/>
          <w:sz w:val="24"/>
          <w:szCs w:val="24"/>
          <w:lang w:eastAsia="wo-SN"/>
        </w:rPr>
      </w:pPr>
      <w:r w:rsidRPr="001839C6">
        <w:rPr>
          <w:rFonts w:ascii="Century Gothic" w:hAnsi="Century Gothic" w:cs="Times New Roman"/>
          <w:sz w:val="24"/>
          <w:szCs w:val="24"/>
          <w:u w:val="single"/>
        </w:rPr>
        <w:br w:type="page"/>
        <w:t>Nom de zone humide</w:t>
      </w:r>
      <w:r w:rsidRPr="001839C6">
        <w:rPr>
          <w:rFonts w:ascii="Century Gothic" w:hAnsi="Century Gothic" w:cs="Times New Roman"/>
          <w:sz w:val="24"/>
          <w:szCs w:val="24"/>
        </w:rPr>
        <w:t xml:space="preserve"> : </w:t>
      </w:r>
      <w:r w:rsidRPr="001839C6">
        <w:rPr>
          <w:rFonts w:ascii="Century Gothic" w:hAnsi="Century Gothic" w:cs="Times New Roman"/>
          <w:b/>
          <w:bCs/>
          <w:sz w:val="24"/>
          <w:szCs w:val="24"/>
        </w:rPr>
        <w:t>Gounguel</w:t>
      </w:r>
      <w:r w:rsidRPr="001839C6">
        <w:rPr>
          <w:rFonts w:ascii="Century Gothic" w:hAnsi="Century Gothic" w:cs="Times New Roman"/>
          <w:sz w:val="24"/>
          <w:szCs w:val="24"/>
        </w:rPr>
        <w:t xml:space="preserve"> ; (</w:t>
      </w: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Benamane)   </w:t>
      </w:r>
    </w:p>
    <w:p w14:paraId="7D02A7F9" w14:textId="77777777" w:rsidR="005625B5" w:rsidRPr="001839C6" w:rsidRDefault="005625B5" w:rsidP="005625B5">
      <w:pPr>
        <w:spacing w:line="276" w:lineRule="auto"/>
        <w:jc w:val="both"/>
        <w:rPr>
          <w:rFonts w:ascii="Century Gothic" w:hAnsi="Century Gothic" w:cs="Times New Roman"/>
          <w:sz w:val="24"/>
          <w:szCs w:val="24"/>
          <w:u w:val="single"/>
        </w:rPr>
      </w:pPr>
    </w:p>
    <w:p w14:paraId="69F2EBB3"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(16°2322.19’’N ; 9°33'29.85’’O)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xml:space="preserve"> : 9 mois </w:t>
      </w:r>
    </w:p>
    <w:p w14:paraId="27490FC4"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48494775" wp14:editId="3E472A6C">
            <wp:extent cx="2165985" cy="3625215"/>
            <wp:effectExtent l="0" t="0" r="0" b="0"/>
            <wp:docPr id="93" name="Image 12" descr="E:\Desktop\ZH\Images ZH\GOUNGUEL\DJI_004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 descr="E:\Desktop\ZH\Images ZH\GOUNGUEL\DJI_0044.JPG"/>
                    <pic:cNvPicPr>
                      <a:picLocks/>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65985" cy="3625215"/>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4B333FAF" wp14:editId="081EFD3C">
            <wp:extent cx="3820160" cy="3615055"/>
            <wp:effectExtent l="0" t="0" r="0" b="0"/>
            <wp:docPr id="94" name="Image 11" descr="E:\Desktop\ZH\Cartes ZH\Goungue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descr="E:\Desktop\ZH\Cartes ZH\Gounguel.jpg"/>
                    <pic:cNvPicPr>
                      <a:picLocks/>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820160" cy="3615055"/>
                    </a:xfrm>
                    <a:prstGeom prst="rect">
                      <a:avLst/>
                    </a:prstGeom>
                    <a:noFill/>
                    <a:ln>
                      <a:noFill/>
                    </a:ln>
                  </pic:spPr>
                </pic:pic>
              </a:graphicData>
            </a:graphic>
          </wp:inline>
        </w:drawing>
      </w:r>
    </w:p>
    <w:p w14:paraId="38EE8E99"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Gounguel</w:t>
      </w:r>
    </w:p>
    <w:p w14:paraId="32E1467E" w14:textId="77777777" w:rsidR="005625B5" w:rsidRPr="00397DF5" w:rsidRDefault="005625B5" w:rsidP="005625B5">
      <w:pPr>
        <w:spacing w:line="276" w:lineRule="auto"/>
        <w:jc w:val="both"/>
        <w:rPr>
          <w:rFonts w:ascii="Century Gothic" w:hAnsi="Century Gothic" w:cs="Times New Roman"/>
          <w:sz w:val="24"/>
          <w:szCs w:val="24"/>
        </w:rPr>
      </w:pPr>
      <w:r w:rsidRPr="00397DF5">
        <w:rPr>
          <w:rFonts w:ascii="Century Gothic" w:hAnsi="Century Gothic" w:cs="Times New Roman"/>
          <w:sz w:val="24"/>
          <w:szCs w:val="24"/>
          <w:u w:val="single"/>
        </w:rPr>
        <w:t>Ressources naturelles</w:t>
      </w:r>
      <w:r w:rsidRPr="00397DF5">
        <w:rPr>
          <w:rFonts w:ascii="Century Gothic" w:hAnsi="Century Gothic" w:cs="Times New Roman"/>
          <w:sz w:val="24"/>
          <w:szCs w:val="24"/>
        </w:rPr>
        <w:t xml:space="preserve"> (Biodiversité</w:t>
      </w:r>
      <w:proofErr w:type="gramStart"/>
      <w:r w:rsidRPr="00397DF5">
        <w:rPr>
          <w:rFonts w:ascii="Century Gothic" w:hAnsi="Century Gothic" w:cs="Times New Roman"/>
          <w:sz w:val="24"/>
          <w:szCs w:val="24"/>
        </w:rPr>
        <w:t>):</w:t>
      </w:r>
      <w:proofErr w:type="gramEnd"/>
      <w:r w:rsidRPr="00397DF5">
        <w:rPr>
          <w:rFonts w:ascii="Century Gothic" w:hAnsi="Century Gothic" w:cs="Times New Roman"/>
          <w:sz w:val="24"/>
          <w:szCs w:val="24"/>
        </w:rPr>
        <w:t xml:space="preserve"> </w:t>
      </w:r>
    </w:p>
    <w:p w14:paraId="075A317C" w14:textId="77777777" w:rsidR="005625B5" w:rsidRPr="00397DF5"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397DF5">
        <w:rPr>
          <w:rFonts w:ascii="Century Gothic" w:hAnsi="Century Gothic" w:cs="Times New Roman"/>
          <w:sz w:val="24"/>
          <w:szCs w:val="24"/>
        </w:rPr>
        <w:t xml:space="preserve">Ressources aquatiques : Plantes aquatiques (+) ; poisson (+)  </w:t>
      </w:r>
    </w:p>
    <w:p w14:paraId="2A291021" w14:textId="77777777" w:rsidR="005625B5" w:rsidRPr="00397DF5"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397DF5">
        <w:rPr>
          <w:rFonts w:ascii="Century Gothic" w:hAnsi="Century Gothic" w:cs="Times New Roman"/>
          <w:sz w:val="24"/>
          <w:szCs w:val="24"/>
        </w:rPr>
        <w:t>Ressources forestières : Acacias (+) ; Balanites (+) ; Bauhinia (+) ; …</w:t>
      </w:r>
    </w:p>
    <w:p w14:paraId="045C90AB" w14:textId="77777777" w:rsidR="005625B5" w:rsidRPr="00397DF5"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397DF5">
        <w:rPr>
          <w:rFonts w:ascii="Century Gothic" w:hAnsi="Century Gothic" w:cs="Times New Roman"/>
          <w:sz w:val="24"/>
          <w:szCs w:val="24"/>
        </w:rPr>
        <w:t>Ressources fauniques : Faune sauvage (+) ; avifaune (+) </w:t>
      </w:r>
    </w:p>
    <w:p w14:paraId="6E2698F4" w14:textId="77777777" w:rsidR="005625B5" w:rsidRPr="00397DF5" w:rsidRDefault="005625B5" w:rsidP="005625B5">
      <w:pPr>
        <w:spacing w:line="276" w:lineRule="auto"/>
        <w:jc w:val="both"/>
        <w:rPr>
          <w:rFonts w:ascii="Century Gothic" w:hAnsi="Century Gothic" w:cs="Times New Roman"/>
          <w:sz w:val="24"/>
          <w:szCs w:val="24"/>
        </w:rPr>
      </w:pPr>
      <w:r w:rsidRPr="00397DF5">
        <w:rPr>
          <w:rFonts w:ascii="Century Gothic" w:hAnsi="Century Gothic" w:cs="Times New Roman"/>
          <w:sz w:val="24"/>
          <w:szCs w:val="24"/>
          <w:u w:val="single"/>
        </w:rPr>
        <w:t>Activités socioéconomiques</w:t>
      </w:r>
      <w:r w:rsidRPr="00397DF5">
        <w:rPr>
          <w:rFonts w:ascii="Century Gothic" w:hAnsi="Century Gothic" w:cs="Times New Roman"/>
          <w:sz w:val="24"/>
          <w:szCs w:val="24"/>
        </w:rPr>
        <w:t xml:space="preserve"> : </w:t>
      </w:r>
    </w:p>
    <w:p w14:paraId="59C6C89E" w14:textId="77777777" w:rsidR="005625B5" w:rsidRPr="00397DF5"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397DF5">
        <w:rPr>
          <w:rFonts w:ascii="Century Gothic" w:hAnsi="Century Gothic" w:cs="Times New Roman"/>
          <w:b/>
          <w:bCs/>
          <w:sz w:val="24"/>
          <w:szCs w:val="24"/>
        </w:rPr>
        <w:t>Agriculture</w:t>
      </w:r>
      <w:r w:rsidRPr="00397DF5">
        <w:rPr>
          <w:rFonts w:ascii="Century Gothic" w:hAnsi="Century Gothic" w:cs="Times New Roman"/>
          <w:sz w:val="24"/>
          <w:szCs w:val="24"/>
        </w:rPr>
        <w:t xml:space="preserve"> : Les cultures du sorgho, niébé, maïs, maraichage, blé sont pratiquées dans la zone humide.  </w:t>
      </w:r>
    </w:p>
    <w:p w14:paraId="3A0B3887" w14:textId="77777777" w:rsidR="005625B5" w:rsidRPr="00397DF5"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397DF5">
        <w:rPr>
          <w:rFonts w:ascii="Century Gothic" w:hAnsi="Century Gothic" w:cs="Times New Roman"/>
          <w:b/>
          <w:bCs/>
          <w:sz w:val="24"/>
          <w:szCs w:val="24"/>
        </w:rPr>
        <w:t>Elevage</w:t>
      </w:r>
      <w:r w:rsidRPr="00397DF5">
        <w:rPr>
          <w:rFonts w:ascii="Century Gothic" w:hAnsi="Century Gothic" w:cs="Times New Roman"/>
          <w:sz w:val="24"/>
          <w:szCs w:val="24"/>
        </w:rPr>
        <w:t xml:space="preserve"> : L’élevage est la plus importante activité au niveau de la zone humide. Les animaux viennent de toute la zone pour s’abreuver principalement pendant la saison sèche où une horde de bovins s’y concentre.    </w:t>
      </w:r>
    </w:p>
    <w:p w14:paraId="5B8478CB" w14:textId="77777777" w:rsidR="005625B5" w:rsidRPr="00397DF5"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397DF5">
        <w:rPr>
          <w:rFonts w:ascii="Century Gothic" w:hAnsi="Century Gothic" w:cs="Times New Roman"/>
          <w:b/>
          <w:bCs/>
          <w:sz w:val="24"/>
          <w:szCs w:val="24"/>
        </w:rPr>
        <w:t>Pêche</w:t>
      </w:r>
      <w:r w:rsidRPr="00397DF5">
        <w:rPr>
          <w:rFonts w:ascii="Century Gothic" w:hAnsi="Century Gothic" w:cs="Times New Roman"/>
          <w:sz w:val="24"/>
          <w:szCs w:val="24"/>
        </w:rPr>
        <w:t xml:space="preserve"> : La pêche est pratiquée essentiellement par les maliens jusqu’à tarissement de la mare.     </w:t>
      </w:r>
    </w:p>
    <w:p w14:paraId="041AF737" w14:textId="77777777" w:rsidR="005625B5" w:rsidRPr="00397DF5"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397DF5">
        <w:rPr>
          <w:rFonts w:ascii="Century Gothic" w:hAnsi="Century Gothic" w:cs="Times New Roman"/>
          <w:b/>
          <w:bCs/>
          <w:sz w:val="24"/>
          <w:szCs w:val="24"/>
        </w:rPr>
        <w:t>Foresterie</w:t>
      </w:r>
      <w:r w:rsidRPr="00397DF5">
        <w:rPr>
          <w:rFonts w:ascii="Century Gothic" w:hAnsi="Century Gothic" w:cs="Times New Roman"/>
          <w:sz w:val="24"/>
          <w:szCs w:val="24"/>
        </w:rPr>
        <w:t xml:space="preserve"> : Les PFNL sont collectés au niveau de la zone humide. Le palmier doum est fortement exploité. </w:t>
      </w:r>
    </w:p>
    <w:p w14:paraId="198AA8F0" w14:textId="77777777" w:rsidR="005625B5" w:rsidRPr="0096435C" w:rsidRDefault="005625B5" w:rsidP="005625B5">
      <w:pPr>
        <w:numPr>
          <w:ilvl w:val="0"/>
          <w:numId w:val="41"/>
        </w:numPr>
        <w:tabs>
          <w:tab w:val="left" w:pos="426"/>
        </w:tabs>
        <w:spacing w:after="0" w:line="276" w:lineRule="auto"/>
        <w:jc w:val="both"/>
        <w:rPr>
          <w:rFonts w:ascii="Century Gothic" w:eastAsia="Times New Roman" w:hAnsi="Century Gothic" w:cs="Times New Roman"/>
          <w:sz w:val="24"/>
          <w:szCs w:val="24"/>
          <w:lang w:eastAsia="wo-SN"/>
        </w:rPr>
      </w:pPr>
      <w:r w:rsidRPr="001839C6">
        <w:rPr>
          <w:rFonts w:ascii="Century Gothic" w:hAnsi="Century Gothic" w:cs="Times New Roman"/>
          <w:sz w:val="24"/>
          <w:szCs w:val="24"/>
          <w:u w:val="single"/>
        </w:rPr>
        <w:t>Nom de zone humide</w:t>
      </w:r>
      <w:r w:rsidRPr="001839C6">
        <w:rPr>
          <w:rFonts w:ascii="Century Gothic" w:hAnsi="Century Gothic" w:cs="Times New Roman"/>
          <w:sz w:val="24"/>
          <w:szCs w:val="24"/>
        </w:rPr>
        <w:t xml:space="preserve"> : </w:t>
      </w:r>
      <w:r w:rsidRPr="001839C6">
        <w:rPr>
          <w:rFonts w:ascii="Century Gothic" w:hAnsi="Century Gothic" w:cs="Times New Roman"/>
          <w:b/>
          <w:bCs/>
          <w:sz w:val="24"/>
          <w:szCs w:val="24"/>
        </w:rPr>
        <w:t>Tally Lekhdar</w:t>
      </w:r>
      <w:r w:rsidRPr="001839C6">
        <w:rPr>
          <w:rFonts w:ascii="Century Gothic" w:hAnsi="Century Gothic" w:cs="Times New Roman"/>
          <w:sz w:val="24"/>
          <w:szCs w:val="24"/>
        </w:rPr>
        <w:t xml:space="preserve"> (</w:t>
      </w: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Kobenni)  </w:t>
      </w:r>
    </w:p>
    <w:p w14:paraId="777FBC40" w14:textId="77777777" w:rsidR="005625B5" w:rsidRPr="001839C6" w:rsidRDefault="005625B5" w:rsidP="005625B5">
      <w:pPr>
        <w:spacing w:line="276" w:lineRule="auto"/>
        <w:jc w:val="both"/>
        <w:rPr>
          <w:rFonts w:ascii="Century Gothic" w:hAnsi="Century Gothic" w:cs="Times New Roman"/>
          <w:sz w:val="24"/>
          <w:szCs w:val="24"/>
          <w:u w:val="single"/>
        </w:rPr>
      </w:pPr>
    </w:p>
    <w:p w14:paraId="7A65E4DF"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(15°50'45.08’’N ; 9°24'48.25’’O)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xml:space="preserve"> : 11 mois  </w:t>
      </w:r>
    </w:p>
    <w:p w14:paraId="320A4882"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27E5A66A" wp14:editId="302DEC27">
            <wp:extent cx="2466975" cy="3437890"/>
            <wp:effectExtent l="0" t="0" r="0" b="0"/>
            <wp:docPr id="95" name="Image 10" descr="E:\Desktop\ZH\Images ZH\TALLY LEKHDHAR\DJI_099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 descr="E:\Desktop\ZH\Images ZH\TALLY LEKHDHAR\DJI_0994.JPG"/>
                    <pic:cNvPicPr>
                      <a:picLocks/>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466975" cy="3437890"/>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6CC95E1F" wp14:editId="042CAFD2">
            <wp:extent cx="3545840" cy="3442335"/>
            <wp:effectExtent l="0" t="0" r="0" b="0"/>
            <wp:docPr id="96" name="Image 9" descr="E:\Desktop\ZH\Cartes ZH\tally lekhdha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9" descr="E:\Desktop\ZH\Cartes ZH\tally lekhdhar.jpg"/>
                    <pic:cNvPicPr>
                      <a:picLocks/>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545840" cy="3442335"/>
                    </a:xfrm>
                    <a:prstGeom prst="rect">
                      <a:avLst/>
                    </a:prstGeom>
                    <a:noFill/>
                    <a:ln>
                      <a:noFill/>
                    </a:ln>
                  </pic:spPr>
                </pic:pic>
              </a:graphicData>
            </a:graphic>
          </wp:inline>
        </w:drawing>
      </w:r>
    </w:p>
    <w:p w14:paraId="4F8C62B1"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Tally Lekhdar</w:t>
      </w:r>
    </w:p>
    <w:p w14:paraId="57B2F45F" w14:textId="77777777" w:rsidR="005625B5" w:rsidRPr="0096435C" w:rsidRDefault="005625B5" w:rsidP="005625B5">
      <w:pPr>
        <w:spacing w:line="276" w:lineRule="auto"/>
        <w:jc w:val="both"/>
        <w:rPr>
          <w:rFonts w:ascii="Century Gothic" w:hAnsi="Century Gothic" w:cs="Times New Roman"/>
          <w:sz w:val="24"/>
          <w:szCs w:val="24"/>
        </w:rPr>
      </w:pPr>
      <w:r w:rsidRPr="0096435C">
        <w:rPr>
          <w:rFonts w:ascii="Century Gothic" w:hAnsi="Century Gothic" w:cs="Times New Roman"/>
          <w:sz w:val="24"/>
          <w:szCs w:val="24"/>
          <w:u w:val="single"/>
        </w:rPr>
        <w:t>Ressources naturelles</w:t>
      </w:r>
      <w:r w:rsidRPr="0096435C">
        <w:rPr>
          <w:rFonts w:ascii="Century Gothic" w:hAnsi="Century Gothic" w:cs="Times New Roman"/>
          <w:sz w:val="24"/>
          <w:szCs w:val="24"/>
        </w:rPr>
        <w:t xml:space="preserve"> (Biodiversité</w:t>
      </w:r>
      <w:proofErr w:type="gramStart"/>
      <w:r w:rsidRPr="0096435C">
        <w:rPr>
          <w:rFonts w:ascii="Century Gothic" w:hAnsi="Century Gothic" w:cs="Times New Roman"/>
          <w:sz w:val="24"/>
          <w:szCs w:val="24"/>
        </w:rPr>
        <w:t>):</w:t>
      </w:r>
      <w:proofErr w:type="gramEnd"/>
      <w:r w:rsidRPr="0096435C">
        <w:rPr>
          <w:rFonts w:ascii="Century Gothic" w:hAnsi="Century Gothic" w:cs="Times New Roman"/>
          <w:sz w:val="24"/>
          <w:szCs w:val="24"/>
        </w:rPr>
        <w:t xml:space="preserve"> </w:t>
      </w:r>
    </w:p>
    <w:p w14:paraId="0755B2B6" w14:textId="77777777" w:rsidR="005625B5" w:rsidRPr="0096435C"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96435C">
        <w:rPr>
          <w:rFonts w:ascii="Century Gothic" w:hAnsi="Century Gothic" w:cs="Times New Roman"/>
          <w:sz w:val="24"/>
          <w:szCs w:val="24"/>
        </w:rPr>
        <w:t xml:space="preserve">Ressources aquatiques : Plantes aquatiques (+) ; poisson (+)  </w:t>
      </w:r>
    </w:p>
    <w:p w14:paraId="7DB5AD8E" w14:textId="77777777" w:rsidR="005625B5" w:rsidRPr="0096435C"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96435C">
        <w:rPr>
          <w:rFonts w:ascii="Century Gothic" w:hAnsi="Century Gothic" w:cs="Times New Roman"/>
          <w:sz w:val="24"/>
          <w:szCs w:val="24"/>
        </w:rPr>
        <w:t>Ressources forestières : Acacias (+) ; Balanites (+) ; Bauhinia (+) ; …</w:t>
      </w:r>
    </w:p>
    <w:p w14:paraId="3DD01EB1" w14:textId="77777777" w:rsidR="005625B5" w:rsidRPr="0096435C"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96435C">
        <w:rPr>
          <w:rFonts w:ascii="Century Gothic" w:hAnsi="Century Gothic" w:cs="Times New Roman"/>
          <w:sz w:val="24"/>
          <w:szCs w:val="24"/>
        </w:rPr>
        <w:t>Ressources fauniques : Faune sauvage (+) ; avifaune (+) </w:t>
      </w:r>
    </w:p>
    <w:p w14:paraId="74363ABF" w14:textId="77777777" w:rsidR="005625B5" w:rsidRPr="0096435C" w:rsidRDefault="005625B5" w:rsidP="005625B5">
      <w:pPr>
        <w:spacing w:line="276" w:lineRule="auto"/>
        <w:jc w:val="both"/>
        <w:rPr>
          <w:rFonts w:ascii="Century Gothic" w:hAnsi="Century Gothic" w:cs="Times New Roman"/>
          <w:sz w:val="24"/>
          <w:szCs w:val="24"/>
        </w:rPr>
      </w:pPr>
      <w:r w:rsidRPr="0096435C">
        <w:rPr>
          <w:rFonts w:ascii="Century Gothic" w:hAnsi="Century Gothic" w:cs="Times New Roman"/>
          <w:sz w:val="24"/>
          <w:szCs w:val="24"/>
          <w:u w:val="single"/>
        </w:rPr>
        <w:t>Activités socioéconomiques</w:t>
      </w:r>
      <w:r w:rsidRPr="0096435C">
        <w:rPr>
          <w:rFonts w:ascii="Century Gothic" w:hAnsi="Century Gothic" w:cs="Times New Roman"/>
          <w:sz w:val="24"/>
          <w:szCs w:val="24"/>
        </w:rPr>
        <w:t xml:space="preserve"> : </w:t>
      </w:r>
    </w:p>
    <w:p w14:paraId="5F78B868" w14:textId="77777777" w:rsidR="005625B5" w:rsidRPr="0096435C" w:rsidRDefault="005625B5" w:rsidP="005625B5">
      <w:pPr>
        <w:pStyle w:val="Paragraphedeliste"/>
        <w:numPr>
          <w:ilvl w:val="0"/>
          <w:numId w:val="51"/>
        </w:numPr>
        <w:spacing w:after="200" w:line="276" w:lineRule="auto"/>
        <w:jc w:val="both"/>
        <w:rPr>
          <w:rFonts w:ascii="Century Gothic" w:hAnsi="Century Gothic" w:cs="Times New Roman"/>
          <w:sz w:val="24"/>
          <w:szCs w:val="24"/>
        </w:rPr>
      </w:pPr>
      <w:r w:rsidRPr="0096435C">
        <w:rPr>
          <w:rFonts w:ascii="Century Gothic" w:hAnsi="Century Gothic" w:cs="Times New Roman"/>
          <w:b/>
          <w:bCs/>
          <w:sz w:val="24"/>
          <w:szCs w:val="24"/>
        </w:rPr>
        <w:t>Agriculture</w:t>
      </w:r>
      <w:r w:rsidRPr="0096435C">
        <w:rPr>
          <w:rFonts w:ascii="Century Gothic" w:hAnsi="Century Gothic" w:cs="Times New Roman"/>
          <w:sz w:val="24"/>
          <w:szCs w:val="24"/>
        </w:rPr>
        <w:t xml:space="preserve"> : Les cultures de sorgho, de niébé, de tomate, de la menthe sont pratiquées dans la zone humide.   </w:t>
      </w:r>
    </w:p>
    <w:p w14:paraId="354753E9" w14:textId="77777777" w:rsidR="005625B5" w:rsidRPr="0096435C" w:rsidRDefault="005625B5" w:rsidP="005625B5">
      <w:pPr>
        <w:pStyle w:val="Paragraphedeliste"/>
        <w:numPr>
          <w:ilvl w:val="0"/>
          <w:numId w:val="51"/>
        </w:numPr>
        <w:spacing w:after="200" w:line="276" w:lineRule="auto"/>
        <w:jc w:val="both"/>
        <w:rPr>
          <w:rFonts w:ascii="Century Gothic" w:hAnsi="Century Gothic" w:cs="Times New Roman"/>
          <w:sz w:val="24"/>
          <w:szCs w:val="24"/>
        </w:rPr>
      </w:pPr>
      <w:r w:rsidRPr="0096435C">
        <w:rPr>
          <w:rFonts w:ascii="Century Gothic" w:hAnsi="Century Gothic" w:cs="Times New Roman"/>
          <w:b/>
          <w:bCs/>
          <w:sz w:val="24"/>
          <w:szCs w:val="24"/>
        </w:rPr>
        <w:t>Elevage</w:t>
      </w:r>
      <w:r w:rsidRPr="0096435C">
        <w:rPr>
          <w:rFonts w:ascii="Century Gothic" w:hAnsi="Century Gothic" w:cs="Times New Roman"/>
          <w:sz w:val="24"/>
          <w:szCs w:val="24"/>
        </w:rPr>
        <w:t xml:space="preserve"> : C’est un élevage extensif où les troupeaux (principalement les bovins) viennent s’abreuver dans la mare pendant la saison sèche.     </w:t>
      </w:r>
    </w:p>
    <w:p w14:paraId="0C6ADB3A" w14:textId="77777777" w:rsidR="005625B5" w:rsidRPr="0096435C" w:rsidRDefault="005625B5" w:rsidP="005625B5">
      <w:pPr>
        <w:pStyle w:val="Paragraphedeliste"/>
        <w:numPr>
          <w:ilvl w:val="0"/>
          <w:numId w:val="51"/>
        </w:numPr>
        <w:spacing w:after="200" w:line="276" w:lineRule="auto"/>
        <w:jc w:val="both"/>
        <w:rPr>
          <w:rFonts w:ascii="Century Gothic" w:hAnsi="Century Gothic" w:cs="Times New Roman"/>
          <w:sz w:val="24"/>
          <w:szCs w:val="24"/>
        </w:rPr>
      </w:pPr>
      <w:r w:rsidRPr="0096435C">
        <w:rPr>
          <w:rFonts w:ascii="Century Gothic" w:hAnsi="Century Gothic" w:cs="Times New Roman"/>
          <w:b/>
          <w:bCs/>
          <w:sz w:val="24"/>
          <w:szCs w:val="24"/>
        </w:rPr>
        <w:t>Pêche</w:t>
      </w:r>
      <w:r w:rsidRPr="0096435C">
        <w:rPr>
          <w:rFonts w:ascii="Century Gothic" w:hAnsi="Century Gothic" w:cs="Times New Roman"/>
          <w:sz w:val="24"/>
          <w:szCs w:val="24"/>
        </w:rPr>
        <w:t xml:space="preserve"> : L’activité de la pêche n’est pas pratiquée par les locaux mais par des mauritaniens venant d’ailleurs et par les maliens et les produits sont vendus à Kobenni et Tally Lekhdar et exportés vers le Mali.      </w:t>
      </w:r>
    </w:p>
    <w:p w14:paraId="7A6901C7" w14:textId="77777777" w:rsidR="005625B5" w:rsidRPr="0096435C" w:rsidRDefault="005625B5" w:rsidP="005625B5">
      <w:pPr>
        <w:pStyle w:val="Paragraphedeliste"/>
        <w:numPr>
          <w:ilvl w:val="0"/>
          <w:numId w:val="51"/>
        </w:numPr>
        <w:spacing w:after="200" w:line="276" w:lineRule="auto"/>
        <w:jc w:val="both"/>
        <w:rPr>
          <w:rFonts w:ascii="Century Gothic" w:hAnsi="Century Gothic" w:cs="Times New Roman"/>
          <w:sz w:val="24"/>
          <w:szCs w:val="24"/>
        </w:rPr>
      </w:pPr>
      <w:r w:rsidRPr="0096435C">
        <w:rPr>
          <w:rFonts w:ascii="Century Gothic" w:hAnsi="Century Gothic" w:cs="Times New Roman"/>
          <w:b/>
          <w:bCs/>
          <w:sz w:val="24"/>
          <w:szCs w:val="24"/>
        </w:rPr>
        <w:t>Foresterie</w:t>
      </w:r>
      <w:r w:rsidRPr="0096435C">
        <w:rPr>
          <w:rFonts w:ascii="Century Gothic" w:hAnsi="Century Gothic" w:cs="Times New Roman"/>
          <w:sz w:val="24"/>
          <w:szCs w:val="24"/>
        </w:rPr>
        <w:t xml:space="preserve"> : Le bois est coupé pour faire des clôtures et le charbon de bois. Les PFNL sont cueillis et consommés localement. </w:t>
      </w:r>
    </w:p>
    <w:p w14:paraId="29763AF6" w14:textId="77777777" w:rsidR="005625B5" w:rsidRPr="0096435C" w:rsidRDefault="005625B5" w:rsidP="005625B5">
      <w:pPr>
        <w:tabs>
          <w:tab w:val="left" w:pos="426"/>
        </w:tabs>
        <w:spacing w:after="0" w:line="276" w:lineRule="auto"/>
        <w:jc w:val="both"/>
        <w:rPr>
          <w:rFonts w:ascii="Century Gothic" w:eastAsia="Times New Roman" w:hAnsi="Century Gothic" w:cs="Times New Roman"/>
          <w:sz w:val="24"/>
          <w:szCs w:val="24"/>
          <w:lang w:eastAsia="wo-SN"/>
        </w:rPr>
      </w:pPr>
    </w:p>
    <w:p w14:paraId="37C0B906"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Pr>
          <w:rFonts w:ascii="Century Gothic" w:eastAsia="Times New Roman" w:hAnsi="Century Gothic" w:cs="Times New Roman"/>
          <w:b/>
          <w:bCs/>
          <w:sz w:val="24"/>
          <w:szCs w:val="24"/>
          <w:lang w:eastAsia="wo-SN"/>
        </w:rPr>
        <w:br w:type="page"/>
        <w:t xml:space="preserve">Wilaya du Tagant : </w:t>
      </w:r>
    </w:p>
    <w:p w14:paraId="7786E3DB"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p>
    <w:p w14:paraId="0CE0501B" w14:textId="77777777" w:rsidR="005625B5" w:rsidRDefault="005625B5" w:rsidP="005625B5">
      <w:pPr>
        <w:numPr>
          <w:ilvl w:val="0"/>
          <w:numId w:val="41"/>
        </w:numPr>
        <w:tabs>
          <w:tab w:val="left" w:pos="426"/>
        </w:tabs>
        <w:spacing w:after="0" w:line="276" w:lineRule="auto"/>
        <w:jc w:val="both"/>
        <w:rPr>
          <w:rFonts w:ascii="Century Gothic" w:eastAsia="Times New Roman" w:hAnsi="Century Gothic" w:cs="Times New Roman"/>
          <w:b/>
          <w:bCs/>
          <w:sz w:val="24"/>
          <w:szCs w:val="24"/>
          <w:lang w:eastAsia="wo-SN"/>
        </w:rPr>
      </w:pPr>
      <w:r w:rsidRPr="001839C6">
        <w:rPr>
          <w:rFonts w:ascii="Century Gothic" w:hAnsi="Century Gothic" w:cs="Times New Roman"/>
          <w:sz w:val="24"/>
          <w:szCs w:val="24"/>
          <w:u w:val="single"/>
        </w:rPr>
        <w:t>Nom de zone humide</w:t>
      </w:r>
      <w:r w:rsidRPr="001839C6">
        <w:rPr>
          <w:rFonts w:ascii="Century Gothic" w:hAnsi="Century Gothic" w:cs="Times New Roman"/>
          <w:sz w:val="24"/>
          <w:szCs w:val="24"/>
        </w:rPr>
        <w:t> : Guebou ; (</w:t>
      </w: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Guebou)  </w:t>
      </w:r>
    </w:p>
    <w:p w14:paraId="146DE5EA" w14:textId="77777777" w:rsidR="005625B5" w:rsidRPr="00A6490E" w:rsidRDefault="005625B5" w:rsidP="005625B5">
      <w:pPr>
        <w:tabs>
          <w:tab w:val="left" w:pos="426"/>
        </w:tabs>
        <w:spacing w:after="0" w:line="276" w:lineRule="auto"/>
        <w:ind w:left="720"/>
        <w:jc w:val="both"/>
        <w:rPr>
          <w:rFonts w:ascii="Century Gothic" w:eastAsia="Times New Roman" w:hAnsi="Century Gothic" w:cs="Times New Roman"/>
          <w:b/>
          <w:bCs/>
          <w:sz w:val="24"/>
          <w:szCs w:val="24"/>
          <w:lang w:eastAsia="wo-SN"/>
        </w:rPr>
      </w:pPr>
    </w:p>
    <w:p w14:paraId="571A0E22"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(18°16'42.51’’N ; 12°23'19.91’’O)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xml:space="preserve"> : 11 mois  </w:t>
      </w:r>
    </w:p>
    <w:p w14:paraId="1D9D1D2C"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4161B5C6" wp14:editId="5C874665">
            <wp:extent cx="2665730" cy="3464560"/>
            <wp:effectExtent l="0" t="0" r="0" b="0"/>
            <wp:docPr id="97" name="Image 8" descr="E:\Desktop\ZH\Images ZH\GABOU\DJI_094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descr="E:\Desktop\ZH\Images ZH\GABOU\DJI_0946.JPG"/>
                    <pic:cNvPicPr>
                      <a:picLocks/>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665730" cy="3464560"/>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4CA465E2" wp14:editId="59E57D18">
            <wp:extent cx="3354705" cy="3464560"/>
            <wp:effectExtent l="0" t="0" r="0" b="0"/>
            <wp:docPr id="98" name="Image 7" descr="E:\Desktop\ZH\Cartes ZH\Gabou.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 descr="E:\Desktop\ZH\Cartes ZH\Gabou.jpg"/>
                    <pic:cNvPicPr>
                      <a:picLocks/>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354705" cy="3464560"/>
                    </a:xfrm>
                    <a:prstGeom prst="rect">
                      <a:avLst/>
                    </a:prstGeom>
                    <a:noFill/>
                    <a:ln>
                      <a:noFill/>
                    </a:ln>
                  </pic:spPr>
                </pic:pic>
              </a:graphicData>
            </a:graphic>
          </wp:inline>
        </w:drawing>
      </w:r>
    </w:p>
    <w:p w14:paraId="2F74ED43"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Guebou</w:t>
      </w:r>
    </w:p>
    <w:p w14:paraId="33BEF9BC" w14:textId="77777777" w:rsidR="005625B5" w:rsidRPr="00E97299" w:rsidRDefault="005625B5" w:rsidP="005625B5">
      <w:pPr>
        <w:spacing w:line="276" w:lineRule="auto"/>
        <w:jc w:val="both"/>
        <w:rPr>
          <w:rFonts w:ascii="Century Gothic" w:hAnsi="Century Gothic" w:cs="Times New Roman"/>
          <w:sz w:val="24"/>
          <w:szCs w:val="24"/>
        </w:rPr>
      </w:pPr>
      <w:r w:rsidRPr="00E97299">
        <w:rPr>
          <w:rFonts w:ascii="Century Gothic" w:hAnsi="Century Gothic" w:cs="Times New Roman"/>
          <w:sz w:val="24"/>
          <w:szCs w:val="24"/>
          <w:u w:val="single"/>
        </w:rPr>
        <w:t>Ressources naturelles</w:t>
      </w:r>
      <w:r w:rsidRPr="00E97299">
        <w:rPr>
          <w:rFonts w:ascii="Century Gothic" w:hAnsi="Century Gothic" w:cs="Times New Roman"/>
          <w:sz w:val="24"/>
          <w:szCs w:val="24"/>
        </w:rPr>
        <w:t xml:space="preserve"> (Biodiversité</w:t>
      </w:r>
      <w:proofErr w:type="gramStart"/>
      <w:r w:rsidRPr="00E97299">
        <w:rPr>
          <w:rFonts w:ascii="Century Gothic" w:hAnsi="Century Gothic" w:cs="Times New Roman"/>
          <w:sz w:val="24"/>
          <w:szCs w:val="24"/>
        </w:rPr>
        <w:t>):</w:t>
      </w:r>
      <w:proofErr w:type="gramEnd"/>
      <w:r w:rsidRPr="00E97299">
        <w:rPr>
          <w:rFonts w:ascii="Century Gothic" w:hAnsi="Century Gothic" w:cs="Times New Roman"/>
          <w:sz w:val="24"/>
          <w:szCs w:val="24"/>
        </w:rPr>
        <w:t xml:space="preserve"> </w:t>
      </w:r>
    </w:p>
    <w:p w14:paraId="407F6555" w14:textId="77777777" w:rsidR="005625B5" w:rsidRPr="00E97299"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E97299">
        <w:rPr>
          <w:rFonts w:ascii="Century Gothic" w:hAnsi="Century Gothic" w:cs="Times New Roman"/>
          <w:sz w:val="24"/>
          <w:szCs w:val="24"/>
        </w:rPr>
        <w:t xml:space="preserve">Ressources aquatiques : Plantes aquatiques (+) ; poisson (+)  </w:t>
      </w:r>
    </w:p>
    <w:p w14:paraId="725F4505" w14:textId="77777777" w:rsidR="005625B5" w:rsidRPr="00E97299"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E97299">
        <w:rPr>
          <w:rFonts w:ascii="Century Gothic" w:hAnsi="Century Gothic" w:cs="Times New Roman"/>
          <w:sz w:val="24"/>
          <w:szCs w:val="24"/>
        </w:rPr>
        <w:t>Ressources forestières : Acacias (+) ; Balanites (+) ; Bauhinia (+) ; …</w:t>
      </w:r>
    </w:p>
    <w:p w14:paraId="4BE7B42C" w14:textId="77777777" w:rsidR="005625B5" w:rsidRPr="00E97299"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E97299">
        <w:rPr>
          <w:rFonts w:ascii="Century Gothic" w:hAnsi="Century Gothic" w:cs="Times New Roman"/>
          <w:sz w:val="24"/>
          <w:szCs w:val="24"/>
        </w:rPr>
        <w:t>Ressources fauniques : Faune sauvage (+) ; avifaune (+) </w:t>
      </w:r>
    </w:p>
    <w:p w14:paraId="12F7D06E" w14:textId="77777777" w:rsidR="005625B5" w:rsidRPr="00E97299" w:rsidRDefault="005625B5" w:rsidP="005625B5">
      <w:pPr>
        <w:spacing w:line="276" w:lineRule="auto"/>
        <w:jc w:val="both"/>
        <w:rPr>
          <w:rFonts w:ascii="Century Gothic" w:hAnsi="Century Gothic" w:cs="Times New Roman"/>
          <w:sz w:val="24"/>
          <w:szCs w:val="24"/>
        </w:rPr>
      </w:pPr>
      <w:r w:rsidRPr="00E97299">
        <w:rPr>
          <w:rFonts w:ascii="Century Gothic" w:hAnsi="Century Gothic" w:cs="Times New Roman"/>
          <w:sz w:val="24"/>
          <w:szCs w:val="24"/>
          <w:u w:val="single"/>
        </w:rPr>
        <w:t>Activités socioéconomiques</w:t>
      </w:r>
      <w:r w:rsidRPr="00E97299">
        <w:rPr>
          <w:rFonts w:ascii="Century Gothic" w:hAnsi="Century Gothic" w:cs="Times New Roman"/>
          <w:sz w:val="24"/>
          <w:szCs w:val="24"/>
        </w:rPr>
        <w:t xml:space="preserve"> : </w:t>
      </w:r>
    </w:p>
    <w:p w14:paraId="4803DAA3" w14:textId="77777777" w:rsidR="005625B5" w:rsidRPr="00E97299" w:rsidRDefault="005625B5" w:rsidP="005625B5">
      <w:pPr>
        <w:pStyle w:val="Paragraphedeliste"/>
        <w:numPr>
          <w:ilvl w:val="0"/>
          <w:numId w:val="52"/>
        </w:numPr>
        <w:spacing w:after="200" w:line="276" w:lineRule="auto"/>
        <w:jc w:val="both"/>
        <w:rPr>
          <w:rFonts w:ascii="Century Gothic" w:hAnsi="Century Gothic" w:cs="Times New Roman"/>
          <w:sz w:val="24"/>
          <w:szCs w:val="24"/>
        </w:rPr>
      </w:pPr>
      <w:r w:rsidRPr="00E97299">
        <w:rPr>
          <w:rFonts w:ascii="Century Gothic" w:hAnsi="Century Gothic" w:cs="Times New Roman"/>
          <w:b/>
          <w:bCs/>
          <w:sz w:val="24"/>
          <w:szCs w:val="24"/>
        </w:rPr>
        <w:t>Agriculture</w:t>
      </w:r>
      <w:r w:rsidRPr="00E97299">
        <w:rPr>
          <w:rFonts w:ascii="Century Gothic" w:hAnsi="Century Gothic" w:cs="Times New Roman"/>
          <w:sz w:val="24"/>
          <w:szCs w:val="24"/>
        </w:rPr>
        <w:t xml:space="preserve"> : Elle est pratiquée au nord de la zone humide et concerne principalement le sorgho, le niébé, le maïs, le blé, le maraichage.   </w:t>
      </w:r>
    </w:p>
    <w:p w14:paraId="56E76E6A" w14:textId="77777777" w:rsidR="005625B5" w:rsidRPr="00E97299" w:rsidRDefault="005625B5" w:rsidP="005625B5">
      <w:pPr>
        <w:pStyle w:val="Paragraphedeliste"/>
        <w:numPr>
          <w:ilvl w:val="0"/>
          <w:numId w:val="52"/>
        </w:numPr>
        <w:spacing w:after="200" w:line="276" w:lineRule="auto"/>
        <w:jc w:val="both"/>
        <w:rPr>
          <w:rFonts w:ascii="Century Gothic" w:hAnsi="Century Gothic" w:cs="Times New Roman"/>
          <w:sz w:val="24"/>
          <w:szCs w:val="24"/>
        </w:rPr>
      </w:pPr>
      <w:r w:rsidRPr="00E97299">
        <w:rPr>
          <w:rFonts w:ascii="Century Gothic" w:hAnsi="Century Gothic" w:cs="Times New Roman"/>
          <w:b/>
          <w:bCs/>
          <w:sz w:val="24"/>
          <w:szCs w:val="24"/>
        </w:rPr>
        <w:t>Elevage</w:t>
      </w:r>
      <w:r w:rsidRPr="00E97299">
        <w:rPr>
          <w:rFonts w:ascii="Century Gothic" w:hAnsi="Century Gothic" w:cs="Times New Roman"/>
          <w:sz w:val="24"/>
          <w:szCs w:val="24"/>
        </w:rPr>
        <w:t xml:space="preserve"> : Les troupeaux s’abreuvent dans la mare et profitent des pâturages qui se trouvent au sein de la zone humide.     </w:t>
      </w:r>
    </w:p>
    <w:p w14:paraId="0783B220" w14:textId="77777777" w:rsidR="005625B5" w:rsidRPr="00E97299" w:rsidRDefault="005625B5" w:rsidP="005625B5">
      <w:pPr>
        <w:pStyle w:val="Paragraphedeliste"/>
        <w:numPr>
          <w:ilvl w:val="0"/>
          <w:numId w:val="52"/>
        </w:numPr>
        <w:spacing w:after="200" w:line="276" w:lineRule="auto"/>
        <w:jc w:val="both"/>
        <w:rPr>
          <w:rFonts w:ascii="Century Gothic" w:hAnsi="Century Gothic" w:cs="Times New Roman"/>
          <w:sz w:val="24"/>
          <w:szCs w:val="24"/>
        </w:rPr>
      </w:pPr>
      <w:r w:rsidRPr="00E97299">
        <w:rPr>
          <w:rFonts w:ascii="Century Gothic" w:hAnsi="Century Gothic" w:cs="Times New Roman"/>
          <w:b/>
          <w:bCs/>
          <w:sz w:val="24"/>
          <w:szCs w:val="24"/>
        </w:rPr>
        <w:t>Pêche</w:t>
      </w:r>
      <w:r w:rsidRPr="00E97299">
        <w:rPr>
          <w:rFonts w:ascii="Century Gothic" w:hAnsi="Century Gothic" w:cs="Times New Roman"/>
          <w:sz w:val="24"/>
          <w:szCs w:val="24"/>
        </w:rPr>
        <w:t xml:space="preserve"> : L’activité de la pêche est pratiquée uniquement par les pêcheurs venant du Mali.      </w:t>
      </w:r>
    </w:p>
    <w:p w14:paraId="62553264" w14:textId="77777777" w:rsidR="005625B5" w:rsidRPr="00E97299" w:rsidRDefault="005625B5" w:rsidP="005625B5">
      <w:pPr>
        <w:pStyle w:val="Paragraphedeliste"/>
        <w:numPr>
          <w:ilvl w:val="0"/>
          <w:numId w:val="52"/>
        </w:numPr>
        <w:spacing w:after="200" w:line="276" w:lineRule="auto"/>
        <w:jc w:val="both"/>
        <w:rPr>
          <w:rFonts w:ascii="Century Gothic" w:hAnsi="Century Gothic" w:cs="Times New Roman"/>
          <w:sz w:val="24"/>
          <w:szCs w:val="24"/>
        </w:rPr>
      </w:pPr>
      <w:r w:rsidRPr="00E97299">
        <w:rPr>
          <w:rFonts w:ascii="Century Gothic" w:hAnsi="Century Gothic" w:cs="Times New Roman"/>
          <w:b/>
          <w:bCs/>
          <w:sz w:val="24"/>
          <w:szCs w:val="24"/>
        </w:rPr>
        <w:t>Foresterie</w:t>
      </w:r>
      <w:r w:rsidRPr="00E97299">
        <w:rPr>
          <w:rFonts w:ascii="Century Gothic" w:hAnsi="Century Gothic" w:cs="Times New Roman"/>
          <w:sz w:val="24"/>
          <w:szCs w:val="24"/>
        </w:rPr>
        <w:t xml:space="preserve"> : Le bois est coupé pour faire des clôtures et le charbon de bois. Le fruit du palmier doum est récolté et rapporte un revenu supplémentaire à la population locale. </w:t>
      </w:r>
    </w:p>
    <w:p w14:paraId="797B0C14"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r>
        <w:rPr>
          <w:rFonts w:ascii="Century Gothic" w:eastAsia="Times New Roman" w:hAnsi="Century Gothic" w:cs="Times New Roman"/>
          <w:b/>
          <w:bCs/>
          <w:sz w:val="24"/>
          <w:szCs w:val="24"/>
          <w:lang w:eastAsia="wo-SN"/>
        </w:rPr>
        <w:br w:type="page"/>
        <w:t xml:space="preserve">Wilaya du Trarza : </w:t>
      </w:r>
    </w:p>
    <w:p w14:paraId="008B4EBC"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p>
    <w:p w14:paraId="7B583253" w14:textId="77777777" w:rsidR="005625B5" w:rsidRDefault="005625B5" w:rsidP="005625B5">
      <w:pPr>
        <w:numPr>
          <w:ilvl w:val="0"/>
          <w:numId w:val="41"/>
        </w:numPr>
        <w:tabs>
          <w:tab w:val="left" w:pos="426"/>
        </w:tabs>
        <w:spacing w:after="0" w:line="276" w:lineRule="auto"/>
        <w:jc w:val="both"/>
        <w:rPr>
          <w:rFonts w:ascii="Century Gothic" w:eastAsia="Times New Roman" w:hAnsi="Century Gothic" w:cs="Times New Roman"/>
          <w:b/>
          <w:bCs/>
          <w:sz w:val="24"/>
          <w:szCs w:val="24"/>
          <w:lang w:eastAsia="wo-SN"/>
        </w:rPr>
      </w:pPr>
      <w:r w:rsidRPr="001839C6">
        <w:rPr>
          <w:rFonts w:ascii="Century Gothic" w:hAnsi="Century Gothic" w:cs="Times New Roman"/>
          <w:sz w:val="24"/>
          <w:szCs w:val="24"/>
          <w:u w:val="single"/>
        </w:rPr>
        <w:t>Nom de zone humide</w:t>
      </w:r>
      <w:r w:rsidRPr="001839C6">
        <w:rPr>
          <w:rFonts w:ascii="Century Gothic" w:hAnsi="Century Gothic" w:cs="Times New Roman"/>
          <w:sz w:val="24"/>
          <w:szCs w:val="24"/>
        </w:rPr>
        <w:t xml:space="preserve"> : </w:t>
      </w:r>
      <w:r w:rsidRPr="001839C6">
        <w:rPr>
          <w:rFonts w:ascii="Century Gothic" w:hAnsi="Century Gothic" w:cs="Times New Roman"/>
          <w:b/>
          <w:bCs/>
          <w:sz w:val="24"/>
          <w:szCs w:val="24"/>
        </w:rPr>
        <w:t>Goueilitt</w:t>
      </w:r>
      <w:r w:rsidRPr="001839C6">
        <w:rPr>
          <w:rFonts w:ascii="Century Gothic" w:hAnsi="Century Gothic" w:cs="Times New Roman"/>
          <w:sz w:val="24"/>
          <w:szCs w:val="24"/>
        </w:rPr>
        <w:t xml:space="preserve"> ; (</w:t>
      </w: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R’Kiz)   </w:t>
      </w:r>
    </w:p>
    <w:p w14:paraId="018F848E" w14:textId="77777777" w:rsidR="005625B5" w:rsidRPr="00A6490E" w:rsidRDefault="005625B5" w:rsidP="005625B5">
      <w:pPr>
        <w:tabs>
          <w:tab w:val="left" w:pos="426"/>
        </w:tabs>
        <w:spacing w:after="0" w:line="276" w:lineRule="auto"/>
        <w:ind w:left="720"/>
        <w:jc w:val="both"/>
        <w:rPr>
          <w:rFonts w:ascii="Century Gothic" w:eastAsia="Times New Roman" w:hAnsi="Century Gothic" w:cs="Times New Roman"/>
          <w:b/>
          <w:bCs/>
          <w:sz w:val="24"/>
          <w:szCs w:val="24"/>
          <w:lang w:eastAsia="wo-SN"/>
        </w:rPr>
      </w:pPr>
    </w:p>
    <w:p w14:paraId="79DCF7E6"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(16°48'22.37’’N ; 15°18'14.55’’O)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xml:space="preserve"> : Permanent  </w:t>
      </w:r>
    </w:p>
    <w:p w14:paraId="2D1F3B3A"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53FCF46F" wp14:editId="2A3A23B0">
            <wp:extent cx="2294255" cy="3137535"/>
            <wp:effectExtent l="0" t="0" r="0" b="0"/>
            <wp:docPr id="99" name="Image 6" descr="E:\Desktop\ZH\Images ZH\GWEYLID\DJI_065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descr="E:\Desktop\ZH\Images ZH\GWEYLID\DJI_0651.JPG"/>
                    <pic:cNvPicPr>
                      <a:picLocks/>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294255" cy="3137535"/>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1377D6DB" wp14:editId="777A40B5">
            <wp:extent cx="3773170" cy="3133090"/>
            <wp:effectExtent l="0" t="0" r="0" b="0"/>
            <wp:docPr id="100" name="Image 5" descr="E:\Desktop\ZH\Cartes ZH\Gweyli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descr="E:\Desktop\ZH\Cartes ZH\Gweylid.jpg"/>
                    <pic:cNvPicPr>
                      <a:picLocks/>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773170" cy="3133090"/>
                    </a:xfrm>
                    <a:prstGeom prst="rect">
                      <a:avLst/>
                    </a:prstGeom>
                    <a:noFill/>
                    <a:ln>
                      <a:noFill/>
                    </a:ln>
                  </pic:spPr>
                </pic:pic>
              </a:graphicData>
            </a:graphic>
          </wp:inline>
        </w:drawing>
      </w:r>
    </w:p>
    <w:p w14:paraId="222FEB13"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Goueilitt</w:t>
      </w:r>
    </w:p>
    <w:p w14:paraId="235A0AED" w14:textId="77777777" w:rsidR="005625B5" w:rsidRPr="00A1366F" w:rsidRDefault="005625B5" w:rsidP="005625B5">
      <w:pPr>
        <w:spacing w:line="276" w:lineRule="auto"/>
        <w:jc w:val="both"/>
        <w:rPr>
          <w:rFonts w:ascii="Century Gothic" w:hAnsi="Century Gothic" w:cs="Times New Roman"/>
          <w:sz w:val="24"/>
          <w:szCs w:val="24"/>
        </w:rPr>
      </w:pPr>
      <w:r w:rsidRPr="00A1366F">
        <w:rPr>
          <w:rFonts w:ascii="Century Gothic" w:hAnsi="Century Gothic" w:cs="Times New Roman"/>
          <w:sz w:val="24"/>
          <w:szCs w:val="24"/>
          <w:u w:val="single"/>
        </w:rPr>
        <w:t>Ressources naturelles</w:t>
      </w:r>
      <w:r w:rsidRPr="00A1366F">
        <w:rPr>
          <w:rFonts w:ascii="Century Gothic" w:hAnsi="Century Gothic" w:cs="Times New Roman"/>
          <w:sz w:val="24"/>
          <w:szCs w:val="24"/>
        </w:rPr>
        <w:t xml:space="preserve"> (Biodiversité</w:t>
      </w:r>
      <w:proofErr w:type="gramStart"/>
      <w:r w:rsidRPr="00A1366F">
        <w:rPr>
          <w:rFonts w:ascii="Century Gothic" w:hAnsi="Century Gothic" w:cs="Times New Roman"/>
          <w:sz w:val="24"/>
          <w:szCs w:val="24"/>
        </w:rPr>
        <w:t>):</w:t>
      </w:r>
      <w:proofErr w:type="gramEnd"/>
      <w:r w:rsidRPr="00A1366F">
        <w:rPr>
          <w:rFonts w:ascii="Century Gothic" w:hAnsi="Century Gothic" w:cs="Times New Roman"/>
          <w:sz w:val="24"/>
          <w:szCs w:val="24"/>
        </w:rPr>
        <w:t xml:space="preserve"> </w:t>
      </w:r>
    </w:p>
    <w:p w14:paraId="5061E377" w14:textId="77777777" w:rsidR="005625B5" w:rsidRPr="00A1366F"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A1366F">
        <w:rPr>
          <w:rFonts w:ascii="Century Gothic" w:hAnsi="Century Gothic" w:cs="Times New Roman"/>
          <w:sz w:val="24"/>
          <w:szCs w:val="24"/>
        </w:rPr>
        <w:t xml:space="preserve">Ressources aquatiques : Plantes aquatiques (+) ; poisson (+)  </w:t>
      </w:r>
    </w:p>
    <w:p w14:paraId="56601D01" w14:textId="77777777" w:rsidR="005625B5" w:rsidRPr="00A1366F"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A1366F">
        <w:rPr>
          <w:rFonts w:ascii="Century Gothic" w:hAnsi="Century Gothic" w:cs="Times New Roman"/>
          <w:sz w:val="24"/>
          <w:szCs w:val="24"/>
        </w:rPr>
        <w:t>Ressources forestières : Acacias (+) ; Balanites (+) ; Bauhinia (+) ; …</w:t>
      </w:r>
    </w:p>
    <w:p w14:paraId="404581DC" w14:textId="77777777" w:rsidR="005625B5" w:rsidRPr="00A1366F"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A1366F">
        <w:rPr>
          <w:rFonts w:ascii="Century Gothic" w:hAnsi="Century Gothic" w:cs="Times New Roman"/>
          <w:sz w:val="24"/>
          <w:szCs w:val="24"/>
        </w:rPr>
        <w:t>Ressources fauniques : Faune sauvage (+) ; avifaune (+) </w:t>
      </w:r>
    </w:p>
    <w:p w14:paraId="4593AE3D" w14:textId="77777777" w:rsidR="005625B5" w:rsidRPr="00A1366F" w:rsidRDefault="005625B5" w:rsidP="005625B5">
      <w:pPr>
        <w:spacing w:line="276" w:lineRule="auto"/>
        <w:jc w:val="both"/>
        <w:rPr>
          <w:rFonts w:ascii="Century Gothic" w:hAnsi="Century Gothic" w:cs="Times New Roman"/>
          <w:sz w:val="24"/>
          <w:szCs w:val="24"/>
        </w:rPr>
      </w:pPr>
      <w:r w:rsidRPr="00A1366F">
        <w:rPr>
          <w:rFonts w:ascii="Century Gothic" w:hAnsi="Century Gothic" w:cs="Times New Roman"/>
          <w:sz w:val="24"/>
          <w:szCs w:val="24"/>
          <w:u w:val="single"/>
        </w:rPr>
        <w:t>Activités socioéconomiques</w:t>
      </w:r>
      <w:r w:rsidRPr="00A1366F">
        <w:rPr>
          <w:rFonts w:ascii="Century Gothic" w:hAnsi="Century Gothic" w:cs="Times New Roman"/>
          <w:sz w:val="24"/>
          <w:szCs w:val="24"/>
        </w:rPr>
        <w:t xml:space="preserve"> : </w:t>
      </w:r>
    </w:p>
    <w:p w14:paraId="4D90216B" w14:textId="77777777" w:rsidR="005625B5" w:rsidRPr="00A1366F"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A1366F">
        <w:rPr>
          <w:rFonts w:ascii="Century Gothic" w:hAnsi="Century Gothic" w:cs="Times New Roman"/>
          <w:b/>
          <w:bCs/>
          <w:sz w:val="24"/>
          <w:szCs w:val="24"/>
        </w:rPr>
        <w:t>Agriculture</w:t>
      </w:r>
      <w:r w:rsidRPr="00A1366F">
        <w:rPr>
          <w:rFonts w:ascii="Century Gothic" w:hAnsi="Century Gothic" w:cs="Times New Roman"/>
          <w:sz w:val="24"/>
          <w:szCs w:val="24"/>
        </w:rPr>
        <w:t xml:space="preserve"> : Elle est pratiquée autour de la zone humide. Il s’agit principalement de la riziculture irriguée ainsi que du maraichage. Il y a aussi des palmeraies et une production de manque et de citron. </w:t>
      </w:r>
    </w:p>
    <w:p w14:paraId="2D5ED5BF" w14:textId="77777777" w:rsidR="005625B5" w:rsidRPr="00A1366F"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A1366F">
        <w:rPr>
          <w:rFonts w:ascii="Century Gothic" w:hAnsi="Century Gothic" w:cs="Times New Roman"/>
          <w:b/>
          <w:bCs/>
          <w:sz w:val="24"/>
          <w:szCs w:val="24"/>
        </w:rPr>
        <w:t>Elevage</w:t>
      </w:r>
      <w:r w:rsidRPr="00A1366F">
        <w:rPr>
          <w:rFonts w:ascii="Century Gothic" w:hAnsi="Century Gothic" w:cs="Times New Roman"/>
          <w:sz w:val="24"/>
          <w:szCs w:val="24"/>
        </w:rPr>
        <w:t xml:space="preserve"> : Les éleveurs et leur bétail se réfugient dans la zone humide pendant la saison sèche.     </w:t>
      </w:r>
    </w:p>
    <w:p w14:paraId="2A3ACBFE" w14:textId="77777777" w:rsidR="005625B5" w:rsidRPr="00A1366F"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A1366F">
        <w:rPr>
          <w:rFonts w:ascii="Century Gothic" w:hAnsi="Century Gothic" w:cs="Times New Roman"/>
          <w:b/>
          <w:bCs/>
          <w:sz w:val="24"/>
          <w:szCs w:val="24"/>
        </w:rPr>
        <w:t>Pêche</w:t>
      </w:r>
      <w:r w:rsidRPr="00A1366F">
        <w:rPr>
          <w:rFonts w:ascii="Century Gothic" w:hAnsi="Century Gothic" w:cs="Times New Roman"/>
          <w:sz w:val="24"/>
          <w:szCs w:val="24"/>
        </w:rPr>
        <w:t xml:space="preserve"> : Elle est pratiquée pendant toutes les périodes. Le village de Goueilitt vit principalement de la pêche.       </w:t>
      </w:r>
    </w:p>
    <w:p w14:paraId="2CB08D51" w14:textId="77777777" w:rsidR="005625B5" w:rsidRPr="00A1366F" w:rsidRDefault="005625B5" w:rsidP="005625B5">
      <w:pPr>
        <w:pStyle w:val="Paragraphedeliste"/>
        <w:numPr>
          <w:ilvl w:val="0"/>
          <w:numId w:val="41"/>
        </w:numPr>
        <w:spacing w:after="200" w:line="276" w:lineRule="auto"/>
        <w:jc w:val="both"/>
        <w:rPr>
          <w:rFonts w:ascii="Century Gothic" w:hAnsi="Century Gothic" w:cs="Times New Roman"/>
          <w:sz w:val="24"/>
          <w:szCs w:val="24"/>
        </w:rPr>
      </w:pPr>
      <w:r w:rsidRPr="00A1366F">
        <w:rPr>
          <w:rFonts w:ascii="Century Gothic" w:hAnsi="Century Gothic" w:cs="Times New Roman"/>
          <w:b/>
          <w:bCs/>
          <w:sz w:val="24"/>
          <w:szCs w:val="24"/>
        </w:rPr>
        <w:t>Foresterie</w:t>
      </w:r>
      <w:r w:rsidRPr="00A1366F">
        <w:rPr>
          <w:rFonts w:ascii="Century Gothic" w:hAnsi="Century Gothic" w:cs="Times New Roman"/>
          <w:sz w:val="24"/>
          <w:szCs w:val="24"/>
        </w:rPr>
        <w:t xml:space="preserve"> : Le bois est coupé pour faire des clôtures et le charbon de bois. Le fruit du palmier doum est récolté et rapporte un revenu supplémentaire à la population locale. </w:t>
      </w:r>
    </w:p>
    <w:p w14:paraId="0C2A1F31" w14:textId="77777777" w:rsidR="005625B5" w:rsidRPr="00C90E2A" w:rsidRDefault="005625B5" w:rsidP="005625B5">
      <w:pPr>
        <w:numPr>
          <w:ilvl w:val="0"/>
          <w:numId w:val="41"/>
        </w:numPr>
        <w:tabs>
          <w:tab w:val="left" w:pos="426"/>
        </w:tabs>
        <w:spacing w:after="0" w:line="276" w:lineRule="auto"/>
        <w:jc w:val="both"/>
        <w:rPr>
          <w:rFonts w:ascii="Century Gothic" w:eastAsia="Times New Roman" w:hAnsi="Century Gothic" w:cs="Times New Roman"/>
          <w:b/>
          <w:bCs/>
          <w:sz w:val="24"/>
          <w:szCs w:val="24"/>
          <w:lang w:eastAsia="wo-SN"/>
        </w:rPr>
      </w:pPr>
      <w:r w:rsidRPr="001839C6">
        <w:rPr>
          <w:rFonts w:ascii="Century Gothic" w:hAnsi="Century Gothic" w:cs="Times New Roman"/>
          <w:sz w:val="24"/>
          <w:szCs w:val="24"/>
          <w:u w:val="single"/>
        </w:rPr>
        <w:t>Nom de zone humide</w:t>
      </w:r>
      <w:r w:rsidRPr="001839C6">
        <w:rPr>
          <w:rFonts w:ascii="Century Gothic" w:hAnsi="Century Gothic" w:cs="Times New Roman"/>
          <w:sz w:val="24"/>
          <w:szCs w:val="24"/>
        </w:rPr>
        <w:t> : Laweija ; (</w:t>
      </w: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Teychtayatt)   </w:t>
      </w:r>
    </w:p>
    <w:p w14:paraId="46FB4835" w14:textId="77777777" w:rsidR="005625B5" w:rsidRPr="001839C6" w:rsidRDefault="005625B5" w:rsidP="005625B5">
      <w:pPr>
        <w:spacing w:line="276" w:lineRule="auto"/>
        <w:jc w:val="both"/>
        <w:rPr>
          <w:rFonts w:ascii="Century Gothic" w:hAnsi="Century Gothic" w:cs="Times New Roman"/>
          <w:sz w:val="24"/>
          <w:szCs w:val="24"/>
          <w:u w:val="single"/>
        </w:rPr>
      </w:pPr>
    </w:p>
    <w:p w14:paraId="310DF5F1"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(16°40'58.76’’N ; 15°26'25.09’’O)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Permanent</w:t>
      </w:r>
    </w:p>
    <w:p w14:paraId="7FA0EC79"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281165F4" wp14:editId="3E810168">
            <wp:extent cx="2226945" cy="3604895"/>
            <wp:effectExtent l="0" t="0" r="0" b="0"/>
            <wp:docPr id="101" name="Image 4" descr="E:\Desktop\ZH\Images ZH\LAEWEYJE\DJI_073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descr="E:\Desktop\ZH\Images ZH\LAEWEYJE\DJI_0731.JPG"/>
                    <pic:cNvPicPr>
                      <a:picLocks/>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226945" cy="3604895"/>
                    </a:xfrm>
                    <a:prstGeom prst="rect">
                      <a:avLst/>
                    </a:prstGeom>
                    <a:noFill/>
                    <a:ln>
                      <a:noFill/>
                    </a:ln>
                  </pic:spPr>
                </pic:pic>
              </a:graphicData>
            </a:graphic>
          </wp:inline>
        </w:drawing>
      </w:r>
      <w:r w:rsidRPr="00FD184A">
        <w:rPr>
          <w:rFonts w:ascii="Times New Roman" w:hAnsi="Times New Roman" w:cs="Times New Roman"/>
          <w:noProof/>
          <w:sz w:val="24"/>
          <w:szCs w:val="24"/>
          <w:lang w:eastAsia="fr-FR"/>
        </w:rPr>
        <w:drawing>
          <wp:inline distT="0" distB="0" distL="0" distR="0" wp14:anchorId="761FBC5C" wp14:editId="3A89FD7F">
            <wp:extent cx="3722370" cy="3598545"/>
            <wp:effectExtent l="0" t="0" r="0" b="0"/>
            <wp:docPr id="102" name="Image 3" descr="E:\Desktop\ZH\Cartes ZH\Laeweyj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descr="E:\Desktop\ZH\Cartes ZH\Laeweyje.jpg"/>
                    <pic:cNvPicPr>
                      <a:picLocks/>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722370" cy="3598545"/>
                    </a:xfrm>
                    <a:prstGeom prst="rect">
                      <a:avLst/>
                    </a:prstGeom>
                    <a:noFill/>
                    <a:ln>
                      <a:noFill/>
                    </a:ln>
                  </pic:spPr>
                </pic:pic>
              </a:graphicData>
            </a:graphic>
          </wp:inline>
        </w:drawing>
      </w:r>
    </w:p>
    <w:p w14:paraId="5B9CDA90"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Laweija</w:t>
      </w:r>
    </w:p>
    <w:p w14:paraId="2B79A2DA" w14:textId="77777777" w:rsidR="005625B5" w:rsidRPr="00C90E2A" w:rsidRDefault="005625B5" w:rsidP="005625B5">
      <w:pPr>
        <w:spacing w:line="276" w:lineRule="auto"/>
        <w:jc w:val="both"/>
        <w:rPr>
          <w:rFonts w:ascii="Century Gothic" w:hAnsi="Century Gothic" w:cs="Times New Roman"/>
          <w:sz w:val="24"/>
          <w:szCs w:val="24"/>
        </w:rPr>
      </w:pPr>
      <w:r w:rsidRPr="00C90E2A">
        <w:rPr>
          <w:rFonts w:ascii="Century Gothic" w:hAnsi="Century Gothic" w:cs="Times New Roman"/>
          <w:sz w:val="24"/>
          <w:szCs w:val="24"/>
          <w:u w:val="single"/>
        </w:rPr>
        <w:t>Ressources naturelles</w:t>
      </w:r>
      <w:r w:rsidRPr="00C90E2A">
        <w:rPr>
          <w:rFonts w:ascii="Century Gothic" w:hAnsi="Century Gothic" w:cs="Times New Roman"/>
          <w:sz w:val="24"/>
          <w:szCs w:val="24"/>
        </w:rPr>
        <w:t xml:space="preserve"> (Biodiversité</w:t>
      </w:r>
      <w:proofErr w:type="gramStart"/>
      <w:r w:rsidRPr="00C90E2A">
        <w:rPr>
          <w:rFonts w:ascii="Century Gothic" w:hAnsi="Century Gothic" w:cs="Times New Roman"/>
          <w:sz w:val="24"/>
          <w:szCs w:val="24"/>
        </w:rPr>
        <w:t>):</w:t>
      </w:r>
      <w:proofErr w:type="gramEnd"/>
      <w:r w:rsidRPr="00C90E2A">
        <w:rPr>
          <w:rFonts w:ascii="Century Gothic" w:hAnsi="Century Gothic" w:cs="Times New Roman"/>
          <w:sz w:val="24"/>
          <w:szCs w:val="24"/>
        </w:rPr>
        <w:t xml:space="preserve"> </w:t>
      </w:r>
    </w:p>
    <w:p w14:paraId="7469452E" w14:textId="77777777" w:rsidR="005625B5" w:rsidRPr="00C90E2A"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C90E2A">
        <w:rPr>
          <w:rFonts w:ascii="Century Gothic" w:hAnsi="Century Gothic" w:cs="Times New Roman"/>
          <w:sz w:val="24"/>
          <w:szCs w:val="24"/>
        </w:rPr>
        <w:t xml:space="preserve">Ressources aquatiques : Plantes aquatiques (+) ; poisson (+)  </w:t>
      </w:r>
    </w:p>
    <w:p w14:paraId="058FFA90" w14:textId="77777777" w:rsidR="005625B5" w:rsidRPr="00C90E2A"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C90E2A">
        <w:rPr>
          <w:rFonts w:ascii="Century Gothic" w:hAnsi="Century Gothic" w:cs="Times New Roman"/>
          <w:sz w:val="24"/>
          <w:szCs w:val="24"/>
        </w:rPr>
        <w:t>Ressources forestières : Acacias (+) ; Balanites (+) ; Bauhinia (+) ; …</w:t>
      </w:r>
    </w:p>
    <w:p w14:paraId="7F8C1BBC" w14:textId="77777777" w:rsidR="005625B5" w:rsidRPr="00C90E2A" w:rsidRDefault="005625B5" w:rsidP="005625B5">
      <w:pPr>
        <w:pStyle w:val="Paragraphedeliste"/>
        <w:numPr>
          <w:ilvl w:val="0"/>
          <w:numId w:val="42"/>
        </w:numPr>
        <w:spacing w:after="200" w:line="276" w:lineRule="auto"/>
        <w:jc w:val="both"/>
        <w:rPr>
          <w:rFonts w:ascii="Century Gothic" w:hAnsi="Century Gothic" w:cs="Times New Roman"/>
          <w:sz w:val="24"/>
          <w:szCs w:val="24"/>
        </w:rPr>
      </w:pPr>
      <w:r w:rsidRPr="00C90E2A">
        <w:rPr>
          <w:rFonts w:ascii="Century Gothic" w:hAnsi="Century Gothic" w:cs="Times New Roman"/>
          <w:sz w:val="24"/>
          <w:szCs w:val="24"/>
        </w:rPr>
        <w:t>Ressources fauniques : Faune sauvage (+) ; avifaune (+) </w:t>
      </w:r>
    </w:p>
    <w:p w14:paraId="3D10E8B1" w14:textId="77777777" w:rsidR="005625B5" w:rsidRPr="00C90E2A" w:rsidRDefault="005625B5" w:rsidP="005625B5">
      <w:pPr>
        <w:spacing w:line="276" w:lineRule="auto"/>
        <w:jc w:val="both"/>
        <w:rPr>
          <w:rFonts w:ascii="Century Gothic" w:hAnsi="Century Gothic" w:cs="Times New Roman"/>
          <w:sz w:val="24"/>
          <w:szCs w:val="24"/>
        </w:rPr>
      </w:pPr>
      <w:r w:rsidRPr="00C90E2A">
        <w:rPr>
          <w:rFonts w:ascii="Century Gothic" w:hAnsi="Century Gothic" w:cs="Times New Roman"/>
          <w:sz w:val="24"/>
          <w:szCs w:val="24"/>
          <w:u w:val="single"/>
        </w:rPr>
        <w:t>Activités socioéconomiques</w:t>
      </w:r>
      <w:r w:rsidRPr="00C90E2A">
        <w:rPr>
          <w:rFonts w:ascii="Century Gothic" w:hAnsi="Century Gothic" w:cs="Times New Roman"/>
          <w:sz w:val="24"/>
          <w:szCs w:val="24"/>
        </w:rPr>
        <w:t xml:space="preserve"> : </w:t>
      </w:r>
    </w:p>
    <w:p w14:paraId="4CBBAFA2" w14:textId="77777777" w:rsidR="005625B5" w:rsidRPr="00C90E2A" w:rsidRDefault="005625B5" w:rsidP="005625B5">
      <w:pPr>
        <w:pStyle w:val="Paragraphedeliste"/>
        <w:numPr>
          <w:ilvl w:val="0"/>
          <w:numId w:val="53"/>
        </w:numPr>
        <w:spacing w:after="200" w:line="276" w:lineRule="auto"/>
        <w:jc w:val="both"/>
        <w:rPr>
          <w:rFonts w:ascii="Century Gothic" w:hAnsi="Century Gothic" w:cs="Times New Roman"/>
          <w:sz w:val="24"/>
          <w:szCs w:val="24"/>
        </w:rPr>
      </w:pPr>
      <w:r w:rsidRPr="00C90E2A">
        <w:rPr>
          <w:rFonts w:ascii="Century Gothic" w:hAnsi="Century Gothic" w:cs="Times New Roman"/>
          <w:b/>
          <w:bCs/>
          <w:sz w:val="24"/>
          <w:szCs w:val="24"/>
        </w:rPr>
        <w:t>Agriculture</w:t>
      </w:r>
      <w:r w:rsidRPr="00C90E2A">
        <w:rPr>
          <w:rFonts w:ascii="Century Gothic" w:hAnsi="Century Gothic" w:cs="Times New Roman"/>
          <w:sz w:val="24"/>
          <w:szCs w:val="24"/>
        </w:rPr>
        <w:t xml:space="preserve"> : Elle est pratiquée autour de la zone humide. Il s’agit principalement de la riziculture irriguée ainsi que du maraichage. Il y a aussi des palmeraies et une production de manque et de citron. </w:t>
      </w:r>
    </w:p>
    <w:p w14:paraId="574DB1D1" w14:textId="77777777" w:rsidR="005625B5" w:rsidRPr="00C90E2A" w:rsidRDefault="005625B5" w:rsidP="005625B5">
      <w:pPr>
        <w:pStyle w:val="Paragraphedeliste"/>
        <w:numPr>
          <w:ilvl w:val="0"/>
          <w:numId w:val="53"/>
        </w:numPr>
        <w:spacing w:after="200" w:line="276" w:lineRule="auto"/>
        <w:jc w:val="both"/>
        <w:rPr>
          <w:rFonts w:ascii="Century Gothic" w:hAnsi="Century Gothic" w:cs="Times New Roman"/>
          <w:sz w:val="24"/>
          <w:szCs w:val="24"/>
        </w:rPr>
      </w:pPr>
      <w:r w:rsidRPr="00C90E2A">
        <w:rPr>
          <w:rFonts w:ascii="Century Gothic" w:hAnsi="Century Gothic" w:cs="Times New Roman"/>
          <w:b/>
          <w:bCs/>
          <w:sz w:val="24"/>
          <w:szCs w:val="24"/>
        </w:rPr>
        <w:t>Elevage</w:t>
      </w:r>
      <w:r w:rsidRPr="00C90E2A">
        <w:rPr>
          <w:rFonts w:ascii="Century Gothic" w:hAnsi="Century Gothic" w:cs="Times New Roman"/>
          <w:sz w:val="24"/>
          <w:szCs w:val="24"/>
        </w:rPr>
        <w:t xml:space="preserve"> : Les éleveurs et leur bétail se réfugient dans la zone humide pendant la saison sèche.     </w:t>
      </w:r>
    </w:p>
    <w:p w14:paraId="5AAB8234" w14:textId="77777777" w:rsidR="005625B5" w:rsidRPr="00C90E2A" w:rsidRDefault="005625B5" w:rsidP="005625B5">
      <w:pPr>
        <w:pStyle w:val="Paragraphedeliste"/>
        <w:numPr>
          <w:ilvl w:val="0"/>
          <w:numId w:val="53"/>
        </w:numPr>
        <w:spacing w:after="200" w:line="276" w:lineRule="auto"/>
        <w:jc w:val="both"/>
        <w:rPr>
          <w:rFonts w:ascii="Century Gothic" w:hAnsi="Century Gothic" w:cs="Times New Roman"/>
          <w:sz w:val="24"/>
          <w:szCs w:val="24"/>
        </w:rPr>
      </w:pPr>
      <w:r w:rsidRPr="00C90E2A">
        <w:rPr>
          <w:rFonts w:ascii="Century Gothic" w:hAnsi="Century Gothic" w:cs="Times New Roman"/>
          <w:b/>
          <w:bCs/>
          <w:sz w:val="24"/>
          <w:szCs w:val="24"/>
        </w:rPr>
        <w:t>Pêche</w:t>
      </w:r>
      <w:r w:rsidRPr="00C90E2A">
        <w:rPr>
          <w:rFonts w:ascii="Century Gothic" w:hAnsi="Century Gothic" w:cs="Times New Roman"/>
          <w:sz w:val="24"/>
          <w:szCs w:val="24"/>
        </w:rPr>
        <w:t xml:space="preserve"> : Elle est pratiquée pendant toutes les périodes. Le village de Laweija principalement de la pêche.       </w:t>
      </w:r>
    </w:p>
    <w:p w14:paraId="00AEF896" w14:textId="77777777" w:rsidR="005625B5" w:rsidRPr="00C85846" w:rsidRDefault="005625B5" w:rsidP="005625B5">
      <w:pPr>
        <w:pStyle w:val="Paragraphedeliste"/>
        <w:numPr>
          <w:ilvl w:val="0"/>
          <w:numId w:val="53"/>
        </w:numPr>
        <w:spacing w:after="200" w:line="276" w:lineRule="auto"/>
        <w:jc w:val="both"/>
        <w:rPr>
          <w:rFonts w:ascii="Century Gothic" w:hAnsi="Century Gothic" w:cs="Times New Roman"/>
          <w:sz w:val="24"/>
          <w:szCs w:val="24"/>
        </w:rPr>
      </w:pPr>
      <w:r w:rsidRPr="00C90E2A">
        <w:rPr>
          <w:rFonts w:ascii="Century Gothic" w:hAnsi="Century Gothic" w:cs="Times New Roman"/>
          <w:b/>
          <w:bCs/>
          <w:sz w:val="24"/>
          <w:szCs w:val="24"/>
        </w:rPr>
        <w:t>Foresterie</w:t>
      </w:r>
      <w:r w:rsidRPr="00C90E2A">
        <w:rPr>
          <w:rFonts w:ascii="Century Gothic" w:hAnsi="Century Gothic" w:cs="Times New Roman"/>
          <w:sz w:val="24"/>
          <w:szCs w:val="24"/>
        </w:rPr>
        <w:t xml:space="preserve"> : Le bois est coupé pour faire des clôtures et le charbon de bois. Le fruit du palmier doum est récolté et rapporte un revenu supplémentaire à la population locale. </w:t>
      </w:r>
    </w:p>
    <w:p w14:paraId="538330FD" w14:textId="77777777" w:rsidR="005625B5" w:rsidRDefault="005625B5" w:rsidP="005625B5">
      <w:pPr>
        <w:numPr>
          <w:ilvl w:val="0"/>
          <w:numId w:val="41"/>
        </w:numPr>
        <w:tabs>
          <w:tab w:val="left" w:pos="426"/>
        </w:tabs>
        <w:spacing w:after="0" w:line="276" w:lineRule="auto"/>
        <w:jc w:val="both"/>
        <w:rPr>
          <w:rFonts w:ascii="Century Gothic" w:eastAsia="Times New Roman" w:hAnsi="Century Gothic" w:cs="Times New Roman"/>
          <w:b/>
          <w:bCs/>
          <w:sz w:val="24"/>
          <w:szCs w:val="24"/>
          <w:lang w:eastAsia="wo-SN"/>
        </w:rPr>
      </w:pPr>
      <w:r w:rsidRPr="001839C6">
        <w:rPr>
          <w:rFonts w:ascii="Century Gothic" w:hAnsi="Century Gothic" w:cs="Times New Roman"/>
          <w:sz w:val="24"/>
          <w:szCs w:val="24"/>
          <w:u w:val="single"/>
        </w:rPr>
        <w:t>Nom de zone humide</w:t>
      </w:r>
      <w:r w:rsidRPr="001839C6">
        <w:rPr>
          <w:rFonts w:ascii="Century Gothic" w:hAnsi="Century Gothic" w:cs="Times New Roman"/>
          <w:sz w:val="24"/>
          <w:szCs w:val="24"/>
        </w:rPr>
        <w:t xml:space="preserve"> : </w:t>
      </w:r>
      <w:r w:rsidRPr="001839C6">
        <w:rPr>
          <w:rFonts w:ascii="Century Gothic" w:hAnsi="Century Gothic" w:cs="Times New Roman"/>
          <w:b/>
          <w:bCs/>
          <w:sz w:val="24"/>
          <w:szCs w:val="24"/>
        </w:rPr>
        <w:t>Tambass</w:t>
      </w:r>
      <w:r w:rsidRPr="001839C6">
        <w:rPr>
          <w:rFonts w:ascii="Century Gothic" w:hAnsi="Century Gothic" w:cs="Times New Roman"/>
          <w:sz w:val="24"/>
          <w:szCs w:val="24"/>
        </w:rPr>
        <w:t xml:space="preserve"> ; (</w:t>
      </w:r>
      <w:r w:rsidRPr="001839C6">
        <w:rPr>
          <w:rFonts w:ascii="Century Gothic" w:hAnsi="Century Gothic" w:cs="Times New Roman"/>
          <w:sz w:val="24"/>
          <w:szCs w:val="24"/>
          <w:u w:val="single"/>
        </w:rPr>
        <w:t>Commune</w:t>
      </w:r>
      <w:r w:rsidRPr="001839C6">
        <w:rPr>
          <w:rFonts w:ascii="Century Gothic" w:hAnsi="Century Gothic" w:cs="Times New Roman"/>
          <w:sz w:val="24"/>
          <w:szCs w:val="24"/>
        </w:rPr>
        <w:t xml:space="preserve"> : Jidrel Mouhguen)    </w:t>
      </w:r>
    </w:p>
    <w:p w14:paraId="6AFB30FA" w14:textId="77777777" w:rsidR="005625B5" w:rsidRPr="001D2BC5" w:rsidRDefault="005625B5" w:rsidP="005625B5">
      <w:pPr>
        <w:tabs>
          <w:tab w:val="left" w:pos="426"/>
        </w:tabs>
        <w:spacing w:after="0" w:line="276" w:lineRule="auto"/>
        <w:ind w:left="720"/>
        <w:jc w:val="both"/>
        <w:rPr>
          <w:rFonts w:ascii="Century Gothic" w:eastAsia="Times New Roman" w:hAnsi="Century Gothic" w:cs="Times New Roman"/>
          <w:b/>
          <w:bCs/>
          <w:sz w:val="24"/>
          <w:szCs w:val="24"/>
          <w:lang w:eastAsia="wo-SN"/>
        </w:rPr>
      </w:pPr>
    </w:p>
    <w:p w14:paraId="4192CEAC" w14:textId="77777777" w:rsidR="005625B5" w:rsidRPr="001839C6" w:rsidRDefault="005625B5" w:rsidP="005625B5">
      <w:pPr>
        <w:spacing w:line="276" w:lineRule="auto"/>
        <w:jc w:val="both"/>
        <w:rPr>
          <w:rFonts w:ascii="Century Gothic" w:hAnsi="Century Gothic" w:cs="Times New Roman"/>
          <w:sz w:val="24"/>
          <w:szCs w:val="24"/>
        </w:rPr>
      </w:pPr>
      <w:r w:rsidRPr="001839C6">
        <w:rPr>
          <w:rFonts w:ascii="Century Gothic" w:hAnsi="Century Gothic" w:cs="Times New Roman"/>
          <w:sz w:val="24"/>
          <w:szCs w:val="24"/>
          <w:u w:val="single"/>
        </w:rPr>
        <w:t>Coordonnées GPS</w:t>
      </w:r>
      <w:r w:rsidRPr="001839C6">
        <w:rPr>
          <w:rFonts w:ascii="Century Gothic" w:hAnsi="Century Gothic" w:cs="Times New Roman"/>
          <w:sz w:val="24"/>
          <w:szCs w:val="24"/>
        </w:rPr>
        <w:t xml:space="preserve"> : (16°38'52.52’’N ; 15°35'50.31’’O) ; </w:t>
      </w:r>
      <w:r w:rsidRPr="001839C6">
        <w:rPr>
          <w:rFonts w:ascii="Century Gothic" w:hAnsi="Century Gothic" w:cs="Times New Roman"/>
          <w:sz w:val="24"/>
          <w:szCs w:val="24"/>
          <w:u w:val="single"/>
        </w:rPr>
        <w:t>Durée de l’eau</w:t>
      </w:r>
      <w:r w:rsidRPr="001839C6">
        <w:rPr>
          <w:rFonts w:ascii="Century Gothic" w:hAnsi="Century Gothic" w:cs="Times New Roman"/>
          <w:sz w:val="24"/>
          <w:szCs w:val="24"/>
        </w:rPr>
        <w:t> : Permanent</w:t>
      </w:r>
    </w:p>
    <w:p w14:paraId="380F6D08" w14:textId="77777777" w:rsidR="005625B5" w:rsidRPr="00B43F51" w:rsidRDefault="005625B5" w:rsidP="005625B5">
      <w:pPr>
        <w:spacing w:line="276" w:lineRule="auto"/>
        <w:jc w:val="center"/>
        <w:rPr>
          <w:rFonts w:ascii="Times New Roman" w:hAnsi="Times New Roman" w:cs="Times New Roman"/>
          <w:sz w:val="24"/>
          <w:szCs w:val="24"/>
        </w:rPr>
      </w:pPr>
      <w:r w:rsidRPr="00A516A0">
        <w:rPr>
          <w:noProof/>
          <w:lang w:eastAsia="fr-FR"/>
        </w:rPr>
        <w:drawing>
          <wp:inline distT="0" distB="0" distL="0" distR="0" wp14:anchorId="5ACED683" wp14:editId="4C085693">
            <wp:extent cx="2580640" cy="3064510"/>
            <wp:effectExtent l="0" t="0" r="0" b="0"/>
            <wp:docPr id="103" name="Image 2" descr="E:\Desktop\ZH\Images ZH\TAMBASS\IBTY226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E:\Desktop\ZH\Images ZH\TAMBASS\IBTY2264.PNG"/>
                    <pic:cNvPicPr>
                      <a:picLocks/>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580640" cy="3064510"/>
                    </a:xfrm>
                    <a:prstGeom prst="rect">
                      <a:avLst/>
                    </a:prstGeom>
                    <a:noFill/>
                    <a:ln>
                      <a:noFill/>
                    </a:ln>
                  </pic:spPr>
                </pic:pic>
              </a:graphicData>
            </a:graphic>
          </wp:inline>
        </w:drawing>
      </w:r>
      <w:r w:rsidRPr="00FD184A">
        <w:rPr>
          <w:rFonts w:ascii="Times New Roman" w:hAnsi="Times New Roman" w:cs="Times New Roman"/>
          <w:noProof/>
          <w:sz w:val="24"/>
          <w:szCs w:val="24"/>
        </w:rPr>
        <w:drawing>
          <wp:inline distT="0" distB="0" distL="0" distR="0" wp14:anchorId="76EE3052" wp14:editId="2AC0C1B6">
            <wp:extent cx="3267710" cy="3061970"/>
            <wp:effectExtent l="0" t="0" r="0" b="0"/>
            <wp:docPr id="104" name="Image 1" descr="E:\Desktop\ZH\Trarza\Tambass\activités proposées Tambass.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E:\Desktop\ZH\Trarza\Tambass\activités proposées Tambass.jpeg"/>
                    <pic:cNvPicPr>
                      <a:picLocks/>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267710" cy="3061970"/>
                    </a:xfrm>
                    <a:prstGeom prst="rect">
                      <a:avLst/>
                    </a:prstGeom>
                    <a:noFill/>
                    <a:ln>
                      <a:noFill/>
                    </a:ln>
                  </pic:spPr>
                </pic:pic>
              </a:graphicData>
            </a:graphic>
          </wp:inline>
        </w:drawing>
      </w:r>
    </w:p>
    <w:p w14:paraId="42D6AFDC" w14:textId="77777777" w:rsidR="005625B5" w:rsidRPr="001839C6" w:rsidRDefault="005625B5" w:rsidP="005625B5">
      <w:pPr>
        <w:spacing w:line="276" w:lineRule="auto"/>
        <w:jc w:val="center"/>
        <w:rPr>
          <w:rFonts w:ascii="Century Gothic" w:hAnsi="Century Gothic" w:cs="Times New Roman"/>
          <w:b/>
          <w:bCs/>
          <w:sz w:val="20"/>
          <w:szCs w:val="20"/>
        </w:rPr>
      </w:pPr>
      <w:r w:rsidRPr="001839C6">
        <w:rPr>
          <w:rFonts w:ascii="Century Gothic" w:hAnsi="Century Gothic" w:cs="Times New Roman"/>
          <w:b/>
          <w:bCs/>
          <w:sz w:val="20"/>
          <w:szCs w:val="20"/>
        </w:rPr>
        <w:t>Cartes des activités de restauration de la zone humide Tambass</w:t>
      </w:r>
    </w:p>
    <w:p w14:paraId="4125709A" w14:textId="77777777" w:rsidR="005625B5" w:rsidRPr="00C90E2A" w:rsidRDefault="005625B5" w:rsidP="005625B5">
      <w:pPr>
        <w:spacing w:line="276" w:lineRule="auto"/>
        <w:jc w:val="both"/>
        <w:rPr>
          <w:rFonts w:ascii="Century Gothic" w:hAnsi="Century Gothic" w:cs="Times New Roman"/>
          <w:sz w:val="24"/>
          <w:szCs w:val="24"/>
        </w:rPr>
      </w:pPr>
      <w:r w:rsidRPr="00C90E2A">
        <w:rPr>
          <w:rFonts w:ascii="Century Gothic" w:hAnsi="Century Gothic" w:cs="Times New Roman"/>
          <w:sz w:val="24"/>
          <w:szCs w:val="24"/>
        </w:rPr>
        <w:t>Ressources naturelles (Biodiversité</w:t>
      </w:r>
      <w:proofErr w:type="gramStart"/>
      <w:r w:rsidRPr="00C90E2A">
        <w:rPr>
          <w:rFonts w:ascii="Century Gothic" w:hAnsi="Century Gothic" w:cs="Times New Roman"/>
          <w:sz w:val="24"/>
          <w:szCs w:val="24"/>
        </w:rPr>
        <w:t>):</w:t>
      </w:r>
      <w:proofErr w:type="gramEnd"/>
      <w:r w:rsidRPr="00C90E2A">
        <w:rPr>
          <w:rFonts w:ascii="Century Gothic" w:hAnsi="Century Gothic" w:cs="Times New Roman"/>
          <w:sz w:val="24"/>
          <w:szCs w:val="24"/>
        </w:rPr>
        <w:t xml:space="preserve"> </w:t>
      </w:r>
    </w:p>
    <w:p w14:paraId="545D8A14" w14:textId="77777777" w:rsidR="005625B5" w:rsidRPr="00C90E2A"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C90E2A">
        <w:rPr>
          <w:rFonts w:ascii="Century Gothic" w:hAnsi="Century Gothic" w:cs="Times New Roman"/>
          <w:sz w:val="24"/>
          <w:szCs w:val="24"/>
        </w:rPr>
        <w:t xml:space="preserve">Ressources aquatiques : Plantes aquatiques (+) ; poisson (+)  </w:t>
      </w:r>
    </w:p>
    <w:p w14:paraId="2386FBB5" w14:textId="77777777" w:rsidR="005625B5" w:rsidRPr="00C90E2A"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C90E2A">
        <w:rPr>
          <w:rFonts w:ascii="Century Gothic" w:hAnsi="Century Gothic" w:cs="Times New Roman"/>
          <w:sz w:val="24"/>
          <w:szCs w:val="24"/>
        </w:rPr>
        <w:t>Ressources forestières : Acacias (+) ; Balanites (+) ; Bauhinia (+) ; …</w:t>
      </w:r>
    </w:p>
    <w:p w14:paraId="0C730B73" w14:textId="77777777" w:rsidR="005625B5" w:rsidRPr="00C90E2A" w:rsidRDefault="005625B5" w:rsidP="005625B5">
      <w:pPr>
        <w:pStyle w:val="Paragraphedeliste"/>
        <w:numPr>
          <w:ilvl w:val="0"/>
          <w:numId w:val="39"/>
        </w:numPr>
        <w:spacing w:after="200" w:line="276" w:lineRule="auto"/>
        <w:jc w:val="both"/>
        <w:rPr>
          <w:rFonts w:ascii="Century Gothic" w:hAnsi="Century Gothic" w:cs="Times New Roman"/>
          <w:sz w:val="24"/>
          <w:szCs w:val="24"/>
        </w:rPr>
      </w:pPr>
      <w:r w:rsidRPr="00C90E2A">
        <w:rPr>
          <w:rFonts w:ascii="Century Gothic" w:hAnsi="Century Gothic" w:cs="Times New Roman"/>
          <w:sz w:val="24"/>
          <w:szCs w:val="24"/>
        </w:rPr>
        <w:t>Ressources fauniques : Faune sauvage (+) ; avifaune (+) </w:t>
      </w:r>
    </w:p>
    <w:p w14:paraId="348AF333" w14:textId="77777777" w:rsidR="005625B5" w:rsidRPr="00C90E2A" w:rsidRDefault="005625B5" w:rsidP="005625B5">
      <w:pPr>
        <w:spacing w:line="276" w:lineRule="auto"/>
        <w:jc w:val="both"/>
        <w:rPr>
          <w:rFonts w:ascii="Century Gothic" w:hAnsi="Century Gothic" w:cs="Times New Roman"/>
          <w:sz w:val="24"/>
          <w:szCs w:val="24"/>
        </w:rPr>
      </w:pPr>
      <w:proofErr w:type="gramStart"/>
      <w:r w:rsidRPr="00C90E2A">
        <w:rPr>
          <w:rFonts w:ascii="Century Gothic" w:hAnsi="Century Gothic" w:cs="Times New Roman"/>
          <w:sz w:val="24"/>
          <w:szCs w:val="24"/>
          <w:u w:val="single"/>
        </w:rPr>
        <w:t xml:space="preserve">Activités </w:t>
      </w:r>
      <w:r>
        <w:rPr>
          <w:rFonts w:ascii="Century Gothic" w:hAnsi="Century Gothic" w:cs="Times New Roman"/>
          <w:sz w:val="24"/>
          <w:szCs w:val="24"/>
          <w:u w:val="single"/>
        </w:rPr>
        <w:t xml:space="preserve"> </w:t>
      </w:r>
      <w:r w:rsidRPr="00C90E2A">
        <w:rPr>
          <w:rFonts w:ascii="Century Gothic" w:hAnsi="Century Gothic" w:cs="Times New Roman"/>
          <w:sz w:val="24"/>
          <w:szCs w:val="24"/>
          <w:u w:val="single"/>
        </w:rPr>
        <w:t>socioéconomiques</w:t>
      </w:r>
      <w:proofErr w:type="gramEnd"/>
      <w:r w:rsidRPr="00C90E2A">
        <w:rPr>
          <w:rFonts w:ascii="Century Gothic" w:hAnsi="Century Gothic" w:cs="Times New Roman"/>
          <w:sz w:val="24"/>
          <w:szCs w:val="24"/>
        </w:rPr>
        <w:t xml:space="preserve"> : </w:t>
      </w:r>
    </w:p>
    <w:p w14:paraId="51A0BCC0" w14:textId="77777777" w:rsidR="005625B5" w:rsidRPr="00C90E2A"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C90E2A">
        <w:rPr>
          <w:rFonts w:ascii="Century Gothic" w:hAnsi="Century Gothic" w:cs="Times New Roman"/>
          <w:b/>
          <w:bCs/>
          <w:sz w:val="24"/>
          <w:szCs w:val="24"/>
        </w:rPr>
        <w:t>Agriculture</w:t>
      </w:r>
      <w:r w:rsidRPr="00C90E2A">
        <w:rPr>
          <w:rFonts w:ascii="Century Gothic" w:hAnsi="Century Gothic" w:cs="Times New Roman"/>
          <w:sz w:val="24"/>
          <w:szCs w:val="24"/>
        </w:rPr>
        <w:t xml:space="preserve"> : Elle concerne principalement les cultures de sorgho, niébé, riz, maraichage, cucurbitacées (voundi, cherkach, pastèque).  </w:t>
      </w:r>
    </w:p>
    <w:p w14:paraId="1E75E7B2" w14:textId="77777777" w:rsidR="005625B5" w:rsidRPr="00C90E2A"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C90E2A">
        <w:rPr>
          <w:rFonts w:ascii="Century Gothic" w:hAnsi="Century Gothic" w:cs="Times New Roman"/>
          <w:b/>
          <w:bCs/>
          <w:sz w:val="24"/>
          <w:szCs w:val="24"/>
        </w:rPr>
        <w:t>Elevage</w:t>
      </w:r>
      <w:r w:rsidRPr="00C90E2A">
        <w:rPr>
          <w:rFonts w:ascii="Century Gothic" w:hAnsi="Century Gothic" w:cs="Times New Roman"/>
          <w:sz w:val="24"/>
          <w:szCs w:val="24"/>
        </w:rPr>
        <w:t xml:space="preserve"> : Les troupeaux s’abreuvent dans la zone humide particulièrement pendant la période sèche.  </w:t>
      </w:r>
    </w:p>
    <w:p w14:paraId="2C465841" w14:textId="77777777" w:rsidR="005625B5" w:rsidRPr="00C90E2A"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C90E2A">
        <w:rPr>
          <w:rFonts w:ascii="Century Gothic" w:hAnsi="Century Gothic" w:cs="Times New Roman"/>
          <w:b/>
          <w:bCs/>
          <w:sz w:val="24"/>
          <w:szCs w:val="24"/>
        </w:rPr>
        <w:t>Pêche</w:t>
      </w:r>
      <w:r w:rsidRPr="00C90E2A">
        <w:rPr>
          <w:rFonts w:ascii="Century Gothic" w:hAnsi="Century Gothic" w:cs="Times New Roman"/>
          <w:sz w:val="24"/>
          <w:szCs w:val="24"/>
        </w:rPr>
        <w:t xml:space="preserve"> : Elle est pratiquée par la population locale et celle des villages environnants.     </w:t>
      </w:r>
    </w:p>
    <w:p w14:paraId="21B47F1F" w14:textId="77777777" w:rsidR="005625B5" w:rsidRPr="00C90E2A" w:rsidRDefault="005625B5" w:rsidP="005625B5">
      <w:pPr>
        <w:pStyle w:val="Paragraphedeliste"/>
        <w:numPr>
          <w:ilvl w:val="0"/>
          <w:numId w:val="38"/>
        </w:numPr>
        <w:spacing w:after="200" w:line="276" w:lineRule="auto"/>
        <w:jc w:val="both"/>
        <w:rPr>
          <w:rFonts w:ascii="Century Gothic" w:hAnsi="Century Gothic" w:cs="Times New Roman"/>
          <w:sz w:val="24"/>
          <w:szCs w:val="24"/>
        </w:rPr>
      </w:pPr>
      <w:r w:rsidRPr="00C90E2A">
        <w:rPr>
          <w:rFonts w:ascii="Century Gothic" w:hAnsi="Century Gothic" w:cs="Times New Roman"/>
          <w:b/>
          <w:bCs/>
          <w:sz w:val="24"/>
          <w:szCs w:val="24"/>
        </w:rPr>
        <w:t>Foresterie</w:t>
      </w:r>
      <w:r w:rsidRPr="00C90E2A">
        <w:rPr>
          <w:rFonts w:ascii="Century Gothic" w:hAnsi="Century Gothic" w:cs="Times New Roman"/>
          <w:sz w:val="24"/>
          <w:szCs w:val="24"/>
        </w:rPr>
        <w:t xml:space="preserve"> : Les PFNL sont collectés au niveau de la zone humide.  </w:t>
      </w:r>
    </w:p>
    <w:p w14:paraId="247D8302"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p>
    <w:p w14:paraId="7E17A6C9"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eastAsia="wo-SN"/>
        </w:rPr>
      </w:pPr>
    </w:p>
    <w:p w14:paraId="6C665CA9" w14:textId="77777777" w:rsidR="005625B5" w:rsidRPr="001839C6" w:rsidRDefault="005625B5" w:rsidP="005625B5"/>
    <w:p w14:paraId="2DFDB21C" w14:textId="77777777" w:rsidR="005625B5" w:rsidRPr="001839C6" w:rsidRDefault="005625B5" w:rsidP="005625B5"/>
    <w:p w14:paraId="78A6B99B"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sidRPr="006C7396">
        <w:rPr>
          <w:rFonts w:ascii="Century Gothic" w:eastAsia="Times New Roman" w:hAnsi="Century Gothic" w:cs="Times New Roman"/>
          <w:b/>
          <w:bCs/>
          <w:sz w:val="24"/>
          <w:szCs w:val="24"/>
          <w:lang w:val="fr-BE" w:eastAsia="wo-SN"/>
        </w:rPr>
        <w:t>Annexe 4</w:t>
      </w:r>
      <w:r>
        <w:rPr>
          <w:rFonts w:ascii="Century Gothic" w:eastAsia="Times New Roman" w:hAnsi="Century Gothic" w:cs="Times New Roman"/>
          <w:sz w:val="24"/>
          <w:szCs w:val="24"/>
          <w:lang w:val="fr-BE" w:eastAsia="wo-SN"/>
        </w:rPr>
        <w:t xml:space="preserve"> : Etat des lieux et cartographie de dix forêts classées </w:t>
      </w:r>
    </w:p>
    <w:p w14:paraId="2F2B5C8E"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val="fr-BE" w:eastAsia="wo-SN"/>
        </w:rPr>
      </w:pPr>
    </w:p>
    <w:p w14:paraId="2D8A8722" w14:textId="77777777" w:rsidR="005625B5" w:rsidRPr="009E6EFD" w:rsidRDefault="005625B5" w:rsidP="005625B5">
      <w:pPr>
        <w:tabs>
          <w:tab w:val="left" w:pos="426"/>
        </w:tabs>
        <w:spacing w:after="0" w:line="276" w:lineRule="auto"/>
        <w:jc w:val="both"/>
        <w:rPr>
          <w:rFonts w:ascii="Century Gothic" w:eastAsia="Times New Roman" w:hAnsi="Century Gothic" w:cs="Times New Roman"/>
          <w:b/>
          <w:bCs/>
          <w:sz w:val="24"/>
          <w:szCs w:val="24"/>
          <w:lang w:val="fr-BE" w:eastAsia="wo-SN"/>
        </w:rPr>
      </w:pPr>
      <w:r w:rsidRPr="009E6EFD">
        <w:rPr>
          <w:rFonts w:ascii="Century Gothic" w:eastAsia="Times New Roman" w:hAnsi="Century Gothic" w:cs="Times New Roman"/>
          <w:b/>
          <w:bCs/>
          <w:sz w:val="24"/>
          <w:szCs w:val="24"/>
          <w:lang w:val="fr-BE" w:eastAsia="wo-SN"/>
        </w:rPr>
        <w:t xml:space="preserve">Wilaya du Trarza : </w:t>
      </w:r>
    </w:p>
    <w:p w14:paraId="366EEB22"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583F51A4" w14:textId="77777777" w:rsidR="005625B5" w:rsidRDefault="005625B5" w:rsidP="005625B5">
      <w:pPr>
        <w:numPr>
          <w:ilvl w:val="0"/>
          <w:numId w:val="62"/>
        </w:numPr>
        <w:tabs>
          <w:tab w:val="left" w:pos="426"/>
        </w:tabs>
        <w:spacing w:after="0" w:line="276" w:lineRule="auto"/>
        <w:jc w:val="both"/>
        <w:rPr>
          <w:rFonts w:ascii="Century Gothic" w:eastAsia="Times New Roman" w:hAnsi="Century Gothic" w:cs="Times New Roman"/>
          <w:sz w:val="24"/>
          <w:szCs w:val="24"/>
          <w:lang w:val="fr-BE" w:eastAsia="wo-SN"/>
        </w:rPr>
      </w:pPr>
      <w:r w:rsidRPr="009E6EFD">
        <w:rPr>
          <w:rFonts w:ascii="Century Gothic" w:eastAsia="Times New Roman" w:hAnsi="Century Gothic" w:cs="Times New Roman"/>
          <w:b/>
          <w:bCs/>
          <w:sz w:val="24"/>
          <w:szCs w:val="24"/>
          <w:lang w:val="fr-BE" w:eastAsia="wo-SN"/>
        </w:rPr>
        <w:t>Forêt Classée de Gani</w:t>
      </w:r>
      <w:r>
        <w:rPr>
          <w:rFonts w:ascii="Century Gothic" w:eastAsia="Times New Roman" w:hAnsi="Century Gothic" w:cs="Times New Roman"/>
          <w:sz w:val="24"/>
          <w:szCs w:val="24"/>
          <w:lang w:val="fr-BE" w:eastAsia="wo-SN"/>
        </w:rPr>
        <w:t xml:space="preserve"> : 2200 ha </w:t>
      </w:r>
    </w:p>
    <w:p w14:paraId="102BD5B3"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val="fr-BE" w:eastAsia="wo-SN"/>
        </w:rPr>
      </w:pPr>
    </w:p>
    <w:p w14:paraId="7CB1F4B0" w14:textId="77777777" w:rsidR="005625B5" w:rsidRPr="009E6EFD"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sidRPr="009E6EFD">
        <w:rPr>
          <w:rFonts w:ascii="Century Gothic" w:eastAsia="Times New Roman" w:hAnsi="Century Gothic" w:cs="Times New Roman"/>
          <w:sz w:val="24"/>
          <w:szCs w:val="24"/>
          <w:lang w:val="fr-BE" w:eastAsia="wo-SN"/>
        </w:rPr>
        <w:t>Elle se subdivise en deux parties</w:t>
      </w:r>
      <w:r>
        <w:rPr>
          <w:rFonts w:ascii="Century Gothic" w:eastAsia="Times New Roman" w:hAnsi="Century Gothic" w:cs="Times New Roman"/>
          <w:sz w:val="24"/>
          <w:szCs w:val="24"/>
          <w:lang w:val="fr-BE" w:eastAsia="wo-SN"/>
        </w:rPr>
        <w:t>,</w:t>
      </w:r>
      <w:r w:rsidRPr="009E6EFD">
        <w:rPr>
          <w:rFonts w:ascii="Century Gothic" w:eastAsia="Times New Roman" w:hAnsi="Century Gothic" w:cs="Times New Roman"/>
          <w:sz w:val="24"/>
          <w:szCs w:val="24"/>
          <w:lang w:val="fr-BE" w:eastAsia="wo-SN"/>
        </w:rPr>
        <w:t xml:space="preserve"> </w:t>
      </w:r>
      <w:r>
        <w:rPr>
          <w:rFonts w:ascii="Century Gothic" w:eastAsia="Times New Roman" w:hAnsi="Century Gothic" w:cs="Times New Roman"/>
          <w:sz w:val="24"/>
          <w:szCs w:val="24"/>
          <w:lang w:val="fr-BE" w:eastAsia="wo-SN"/>
        </w:rPr>
        <w:t xml:space="preserve">les parties Nord et Sud classées avant l’indépendance du pays et la partie Est après l’indépendance.   </w:t>
      </w:r>
    </w:p>
    <w:p w14:paraId="5204FAC6"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sidRPr="009E6EFD">
        <w:rPr>
          <w:rFonts w:ascii="Century Gothic" w:eastAsia="Times New Roman" w:hAnsi="Century Gothic" w:cs="Times New Roman"/>
          <w:sz w:val="24"/>
          <w:szCs w:val="24"/>
          <w:lang w:val="fr-BE" w:eastAsia="wo-SN"/>
        </w:rPr>
        <w:t>La partie</w:t>
      </w:r>
      <w:r>
        <w:rPr>
          <w:rFonts w:ascii="Century Gothic" w:eastAsia="Times New Roman" w:hAnsi="Century Gothic" w:cs="Times New Roman"/>
          <w:sz w:val="24"/>
          <w:szCs w:val="24"/>
          <w:lang w:val="fr-BE" w:eastAsia="wo-SN"/>
        </w:rPr>
        <w:t xml:space="preserve"> Nord classée en 1939 par l’Arrêté N°2646 du 25 août 1939 et couvrant une superficie de 1180 ha ; </w:t>
      </w:r>
    </w:p>
    <w:p w14:paraId="24155B11"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La partie Sud classée en 1943 par l’Arrêté N°730 du 22 février 1943 et couvrant une superficie de 820 ha ;</w:t>
      </w:r>
    </w:p>
    <w:p w14:paraId="62536C8C"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 partie Est, appelée « Fondé Bocar Gaye » a été classée en 1988, ce qui porte la superficie totale de la forêt à 2200 ha. </w:t>
      </w:r>
    </w:p>
    <w:p w14:paraId="35781ABD" w14:textId="77777777" w:rsidR="005625B5" w:rsidRDefault="005625B5" w:rsidP="005625B5">
      <w:pPr>
        <w:tabs>
          <w:tab w:val="left" w:pos="426"/>
        </w:tabs>
        <w:spacing w:after="0" w:line="276" w:lineRule="auto"/>
        <w:ind w:left="1440"/>
        <w:jc w:val="both"/>
        <w:rPr>
          <w:rFonts w:ascii="Century Gothic" w:eastAsia="Times New Roman" w:hAnsi="Century Gothic" w:cs="Times New Roman"/>
          <w:sz w:val="24"/>
          <w:szCs w:val="24"/>
          <w:lang w:val="fr-BE" w:eastAsia="wo-SN"/>
        </w:rPr>
      </w:pPr>
    </w:p>
    <w:p w14:paraId="5BA6A35E"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sidRPr="00E417DC">
        <w:rPr>
          <w:rFonts w:ascii="Century Gothic" w:eastAsia="Times New Roman" w:hAnsi="Century Gothic" w:cs="Times New Roman"/>
          <w:sz w:val="24"/>
          <w:szCs w:val="24"/>
          <w:lang w:val="fr-BE" w:eastAsia="wo-SN"/>
        </w:rPr>
        <w:t xml:space="preserve">La forêt connaît plusieurs sources de dégradation : </w:t>
      </w:r>
    </w:p>
    <w:p w14:paraId="22D63DC5"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Présence de périmètres agricoles ;</w:t>
      </w:r>
    </w:p>
    <w:p w14:paraId="100C6245"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Pâturage et prélèvement continu d bois ; </w:t>
      </w:r>
    </w:p>
    <w:p w14:paraId="4622B148"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Mortalité du gonakier (Acacia nilotica) à cause de la stagnation de l’eau ; </w:t>
      </w:r>
    </w:p>
    <w:p w14:paraId="3BF7E42F" w14:textId="77777777" w:rsidR="005625B5" w:rsidRPr="00A17988"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Invasion du Prosopis juliflora. </w:t>
      </w:r>
    </w:p>
    <w:p w14:paraId="2FF9AE6D"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18A54CCA"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r w:rsidRPr="00C07990">
        <w:rPr>
          <w:rFonts w:ascii="Century Gothic" w:eastAsia="Times New Roman" w:hAnsi="Century Gothic" w:cs="Times New Roman"/>
          <w:noProof/>
          <w:sz w:val="24"/>
          <w:szCs w:val="24"/>
          <w:lang w:eastAsia="wo-SN"/>
        </w:rPr>
        <w:drawing>
          <wp:inline distT="0" distB="0" distL="0" distR="0" wp14:anchorId="3FD429C6" wp14:editId="495375C8">
            <wp:extent cx="4474210" cy="3214370"/>
            <wp:effectExtent l="0" t="0" r="0" b="0"/>
            <wp:docPr id="105"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474210" cy="3214370"/>
                    </a:xfrm>
                    <a:prstGeom prst="rect">
                      <a:avLst/>
                    </a:prstGeom>
                    <a:noFill/>
                    <a:ln>
                      <a:noFill/>
                    </a:ln>
                  </pic:spPr>
                </pic:pic>
              </a:graphicData>
            </a:graphic>
          </wp:inline>
        </w:drawing>
      </w:r>
    </w:p>
    <w:p w14:paraId="187F95E9"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p>
    <w:p w14:paraId="71A6CBC8" w14:textId="77777777" w:rsidR="005625B5" w:rsidRPr="001839C6" w:rsidRDefault="005625B5" w:rsidP="005625B5">
      <w:pPr>
        <w:spacing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Coordonnées GPS (forêt classée de Gani)</w:t>
      </w:r>
      <w:r w:rsidRPr="001839C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6"/>
        <w:gridCol w:w="3021"/>
      </w:tblGrid>
      <w:tr w:rsidR="005625B5" w:rsidRPr="005F17FF" w14:paraId="2A306742" w14:textId="77777777" w:rsidTr="00FB354B">
        <w:tc>
          <w:tcPr>
            <w:tcW w:w="3070" w:type="dxa"/>
            <w:shd w:val="clear" w:color="auto" w:fill="auto"/>
          </w:tcPr>
          <w:p w14:paraId="26E4A414" w14:textId="77777777" w:rsidR="005625B5" w:rsidRPr="001839C6"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2C7766D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7BB00157"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5FA6E31C" w14:textId="77777777" w:rsidTr="00FB354B">
        <w:tc>
          <w:tcPr>
            <w:tcW w:w="3070" w:type="dxa"/>
            <w:shd w:val="clear" w:color="auto" w:fill="auto"/>
          </w:tcPr>
          <w:p w14:paraId="1DF6242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06D6739F"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451995</w:t>
            </w:r>
          </w:p>
        </w:tc>
        <w:tc>
          <w:tcPr>
            <w:tcW w:w="3071" w:type="dxa"/>
            <w:shd w:val="clear" w:color="auto" w:fill="auto"/>
          </w:tcPr>
          <w:p w14:paraId="6C1E40BF"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1834 510</w:t>
            </w:r>
          </w:p>
        </w:tc>
      </w:tr>
      <w:tr w:rsidR="005625B5" w:rsidRPr="005F17FF" w14:paraId="0006C4BA" w14:textId="77777777" w:rsidTr="00FB354B">
        <w:tc>
          <w:tcPr>
            <w:tcW w:w="3070" w:type="dxa"/>
            <w:shd w:val="clear" w:color="auto" w:fill="auto"/>
          </w:tcPr>
          <w:p w14:paraId="20638F9A"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2688C609"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456993</w:t>
            </w:r>
          </w:p>
        </w:tc>
        <w:tc>
          <w:tcPr>
            <w:tcW w:w="3071" w:type="dxa"/>
            <w:shd w:val="clear" w:color="auto" w:fill="auto"/>
          </w:tcPr>
          <w:p w14:paraId="68221EDC"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1837 074</w:t>
            </w:r>
          </w:p>
        </w:tc>
      </w:tr>
      <w:tr w:rsidR="005625B5" w:rsidRPr="005F17FF" w14:paraId="785C7D31" w14:textId="77777777" w:rsidTr="00FB354B">
        <w:tc>
          <w:tcPr>
            <w:tcW w:w="3070" w:type="dxa"/>
            <w:shd w:val="clear" w:color="auto" w:fill="auto"/>
          </w:tcPr>
          <w:p w14:paraId="1EB5CF24"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3FD85B11"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456014</w:t>
            </w:r>
          </w:p>
        </w:tc>
        <w:tc>
          <w:tcPr>
            <w:tcW w:w="3071" w:type="dxa"/>
            <w:shd w:val="clear" w:color="auto" w:fill="auto"/>
          </w:tcPr>
          <w:p w14:paraId="6A2A6B1F"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1831 432</w:t>
            </w:r>
          </w:p>
        </w:tc>
      </w:tr>
      <w:tr w:rsidR="005625B5" w:rsidRPr="005F17FF" w14:paraId="7ADD23F2" w14:textId="77777777" w:rsidTr="00FB354B">
        <w:tc>
          <w:tcPr>
            <w:tcW w:w="3070" w:type="dxa"/>
            <w:shd w:val="clear" w:color="auto" w:fill="auto"/>
          </w:tcPr>
          <w:p w14:paraId="0F3BC773"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035F49FE"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452197</w:t>
            </w:r>
          </w:p>
        </w:tc>
        <w:tc>
          <w:tcPr>
            <w:tcW w:w="3071" w:type="dxa"/>
            <w:shd w:val="clear" w:color="auto" w:fill="auto"/>
          </w:tcPr>
          <w:p w14:paraId="79A64620"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1833 695</w:t>
            </w:r>
          </w:p>
        </w:tc>
      </w:tr>
    </w:tbl>
    <w:p w14:paraId="10B8F187" w14:textId="77777777" w:rsidR="005625B5" w:rsidRPr="00237942" w:rsidRDefault="005625B5" w:rsidP="005625B5">
      <w:pPr>
        <w:spacing w:line="276" w:lineRule="auto"/>
        <w:jc w:val="both"/>
        <w:rPr>
          <w:rFonts w:ascii="Century Gothic" w:hAnsi="Century Gothic" w:cs="Times New Roman"/>
          <w:sz w:val="20"/>
          <w:szCs w:val="20"/>
        </w:rPr>
      </w:pPr>
    </w:p>
    <w:p w14:paraId="22169033" w14:textId="77777777" w:rsidR="005625B5" w:rsidRPr="00EF1F66" w:rsidRDefault="005625B5" w:rsidP="005625B5">
      <w:pPr>
        <w:numPr>
          <w:ilvl w:val="0"/>
          <w:numId w:val="62"/>
        </w:numPr>
        <w:tabs>
          <w:tab w:val="left" w:pos="426"/>
        </w:tabs>
        <w:spacing w:after="0" w:line="276" w:lineRule="auto"/>
        <w:jc w:val="both"/>
        <w:rPr>
          <w:rFonts w:ascii="Century Gothic" w:eastAsia="Times New Roman" w:hAnsi="Century Gothic" w:cs="Times New Roman"/>
          <w:b/>
          <w:bCs/>
          <w:sz w:val="24"/>
          <w:szCs w:val="24"/>
          <w:lang w:val="fr-BE" w:eastAsia="wo-SN"/>
        </w:rPr>
      </w:pPr>
      <w:r w:rsidRPr="00EF1F66">
        <w:rPr>
          <w:rFonts w:ascii="Century Gothic" w:eastAsia="Times New Roman" w:hAnsi="Century Gothic" w:cs="Times New Roman"/>
          <w:b/>
          <w:bCs/>
          <w:sz w:val="24"/>
          <w:szCs w:val="24"/>
          <w:lang w:val="fr-BE" w:eastAsia="wo-SN"/>
        </w:rPr>
        <w:t xml:space="preserve">Forêt classée de Keur Mour : </w:t>
      </w:r>
      <w:r w:rsidRPr="00BA1219">
        <w:rPr>
          <w:rFonts w:ascii="Century Gothic" w:eastAsia="Times New Roman" w:hAnsi="Century Gothic" w:cs="Times New Roman"/>
          <w:sz w:val="24"/>
          <w:szCs w:val="24"/>
          <w:lang w:val="fr-BE" w:eastAsia="wo-SN"/>
        </w:rPr>
        <w:t>450 ha</w:t>
      </w:r>
      <w:r>
        <w:rPr>
          <w:rFonts w:ascii="Century Gothic" w:eastAsia="Times New Roman" w:hAnsi="Century Gothic" w:cs="Times New Roman"/>
          <w:b/>
          <w:bCs/>
          <w:sz w:val="24"/>
          <w:szCs w:val="24"/>
          <w:lang w:val="fr-BE" w:eastAsia="wo-SN"/>
        </w:rPr>
        <w:t xml:space="preserve"> </w:t>
      </w:r>
    </w:p>
    <w:p w14:paraId="56A6CB4B"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57D1E31F"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Les gousses de gonakier (Acacia nilotica) font l’objet d’une cueillette régulière par la population riveraine de la forêt. D’autres produits forestiers non ligneux (PFNL) sont récoltés pour divers usages. La pêche se pratique dans les marigots pendants la saison sèche (moment du retrait des eaux. </w:t>
      </w:r>
    </w:p>
    <w:p w14:paraId="2A03052A"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50E9DB1F"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Les sources de dégradation : </w:t>
      </w:r>
    </w:p>
    <w:p w14:paraId="36881D50"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Forêt encerclée par les périmètres agricoles ; </w:t>
      </w:r>
    </w:p>
    <w:p w14:paraId="1ED952DE"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Carbonisation importante et pâturage ; </w:t>
      </w:r>
    </w:p>
    <w:p w14:paraId="124CC918"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Invasion par prosopis juliflora ;</w:t>
      </w:r>
    </w:p>
    <w:p w14:paraId="26CB6B45"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Traversée par les poteaux hydroélectriques.   </w:t>
      </w:r>
    </w:p>
    <w:p w14:paraId="64DF0FD4" w14:textId="77777777" w:rsidR="005625B5" w:rsidRDefault="005625B5" w:rsidP="005625B5">
      <w:pPr>
        <w:tabs>
          <w:tab w:val="left" w:pos="426"/>
        </w:tabs>
        <w:spacing w:after="0" w:line="276" w:lineRule="auto"/>
        <w:ind w:left="1440"/>
        <w:jc w:val="both"/>
        <w:rPr>
          <w:rFonts w:ascii="Century Gothic" w:eastAsia="Times New Roman" w:hAnsi="Century Gothic" w:cs="Times New Roman"/>
          <w:sz w:val="24"/>
          <w:szCs w:val="24"/>
          <w:lang w:val="fr-BE" w:eastAsia="wo-SN"/>
        </w:rPr>
      </w:pPr>
    </w:p>
    <w:p w14:paraId="5C6F2915"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2F87E824"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r w:rsidRPr="00C07990">
        <w:rPr>
          <w:rFonts w:ascii="Century Gothic" w:eastAsia="Times New Roman" w:hAnsi="Century Gothic" w:cs="Times New Roman"/>
          <w:noProof/>
          <w:sz w:val="24"/>
          <w:szCs w:val="24"/>
          <w:lang w:eastAsia="wo-SN"/>
        </w:rPr>
        <w:drawing>
          <wp:inline distT="0" distB="0" distL="0" distR="0" wp14:anchorId="21DA663B" wp14:editId="5290A07A">
            <wp:extent cx="4980305" cy="3491230"/>
            <wp:effectExtent l="0" t="0" r="0" b="0"/>
            <wp:docPr id="106"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
                    <pic:cNvPicPr>
                      <a:picLocks/>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980305" cy="3491230"/>
                    </a:xfrm>
                    <a:prstGeom prst="rect">
                      <a:avLst/>
                    </a:prstGeom>
                    <a:noFill/>
                    <a:ln>
                      <a:noFill/>
                    </a:ln>
                  </pic:spPr>
                </pic:pic>
              </a:graphicData>
            </a:graphic>
          </wp:inline>
        </w:drawing>
      </w:r>
    </w:p>
    <w:p w14:paraId="0BE17AEF"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p>
    <w:p w14:paraId="6435CBBC" w14:textId="77777777" w:rsidR="005625B5" w:rsidRPr="001839C6" w:rsidRDefault="005625B5" w:rsidP="005625B5">
      <w:pPr>
        <w:spacing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Coordonnées GPS (forêt classée de Keur Mour)</w:t>
      </w:r>
      <w:r w:rsidRPr="001839C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6"/>
        <w:gridCol w:w="3021"/>
      </w:tblGrid>
      <w:tr w:rsidR="005625B5" w:rsidRPr="005F17FF" w14:paraId="1B0A9F9C" w14:textId="77777777" w:rsidTr="00FB354B">
        <w:tc>
          <w:tcPr>
            <w:tcW w:w="3070" w:type="dxa"/>
            <w:shd w:val="clear" w:color="auto" w:fill="auto"/>
          </w:tcPr>
          <w:p w14:paraId="7ED5CBE0" w14:textId="77777777" w:rsidR="005625B5" w:rsidRPr="001839C6"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6AFB55BF"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47156684"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4FF2D43A" w14:textId="77777777" w:rsidTr="00FB354B">
        <w:tc>
          <w:tcPr>
            <w:tcW w:w="3070" w:type="dxa"/>
            <w:shd w:val="clear" w:color="auto" w:fill="auto"/>
          </w:tcPr>
          <w:p w14:paraId="0199EC5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090D19E2"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441084</w:t>
            </w:r>
          </w:p>
        </w:tc>
        <w:tc>
          <w:tcPr>
            <w:tcW w:w="3071" w:type="dxa"/>
            <w:shd w:val="clear" w:color="auto" w:fill="auto"/>
          </w:tcPr>
          <w:p w14:paraId="56A696C4"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1826 578</w:t>
            </w:r>
          </w:p>
        </w:tc>
      </w:tr>
      <w:tr w:rsidR="005625B5" w:rsidRPr="005F17FF" w14:paraId="535F0201" w14:textId="77777777" w:rsidTr="00FB354B">
        <w:tc>
          <w:tcPr>
            <w:tcW w:w="3070" w:type="dxa"/>
            <w:shd w:val="clear" w:color="auto" w:fill="auto"/>
          </w:tcPr>
          <w:p w14:paraId="31C4905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5CE1EFDC"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444366</w:t>
            </w:r>
          </w:p>
        </w:tc>
        <w:tc>
          <w:tcPr>
            <w:tcW w:w="3071" w:type="dxa"/>
            <w:shd w:val="clear" w:color="auto" w:fill="auto"/>
          </w:tcPr>
          <w:p w14:paraId="62BBA2BC"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1827 402</w:t>
            </w:r>
          </w:p>
        </w:tc>
      </w:tr>
      <w:tr w:rsidR="005625B5" w:rsidRPr="005F17FF" w14:paraId="6ED68300" w14:textId="77777777" w:rsidTr="00FB354B">
        <w:tc>
          <w:tcPr>
            <w:tcW w:w="3070" w:type="dxa"/>
            <w:shd w:val="clear" w:color="auto" w:fill="auto"/>
          </w:tcPr>
          <w:p w14:paraId="7EDCB5E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743C55EE"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445595</w:t>
            </w:r>
          </w:p>
        </w:tc>
        <w:tc>
          <w:tcPr>
            <w:tcW w:w="3071" w:type="dxa"/>
            <w:shd w:val="clear" w:color="auto" w:fill="auto"/>
          </w:tcPr>
          <w:p w14:paraId="49B99002"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1827 913</w:t>
            </w:r>
          </w:p>
        </w:tc>
      </w:tr>
      <w:tr w:rsidR="005625B5" w:rsidRPr="005F17FF" w14:paraId="660B197A" w14:textId="77777777" w:rsidTr="00FB354B">
        <w:tc>
          <w:tcPr>
            <w:tcW w:w="3070" w:type="dxa"/>
            <w:shd w:val="clear" w:color="auto" w:fill="auto"/>
          </w:tcPr>
          <w:p w14:paraId="366C94E1"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7E985B91"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440833</w:t>
            </w:r>
          </w:p>
        </w:tc>
        <w:tc>
          <w:tcPr>
            <w:tcW w:w="3071" w:type="dxa"/>
            <w:shd w:val="clear" w:color="auto" w:fill="auto"/>
          </w:tcPr>
          <w:p w14:paraId="35FDD618"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1825 415</w:t>
            </w:r>
          </w:p>
        </w:tc>
      </w:tr>
    </w:tbl>
    <w:p w14:paraId="52DD5774" w14:textId="77777777" w:rsidR="005625B5" w:rsidRDefault="005625B5" w:rsidP="005625B5">
      <w:pPr>
        <w:tabs>
          <w:tab w:val="left" w:pos="426"/>
        </w:tabs>
        <w:spacing w:after="0" w:line="276" w:lineRule="auto"/>
        <w:jc w:val="center"/>
        <w:rPr>
          <w:rFonts w:ascii="Century Gothic" w:eastAsia="Times New Roman" w:hAnsi="Century Gothic" w:cs="Times New Roman"/>
          <w:sz w:val="24"/>
          <w:szCs w:val="24"/>
          <w:lang w:val="fr-BE" w:eastAsia="wo-SN"/>
        </w:rPr>
      </w:pPr>
    </w:p>
    <w:p w14:paraId="1070D9D5"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546167F1" w14:textId="77777777" w:rsidR="005625B5" w:rsidRPr="00EF1F66" w:rsidRDefault="005625B5" w:rsidP="005625B5">
      <w:pPr>
        <w:numPr>
          <w:ilvl w:val="0"/>
          <w:numId w:val="62"/>
        </w:numPr>
        <w:tabs>
          <w:tab w:val="left" w:pos="426"/>
        </w:tabs>
        <w:spacing w:after="0" w:line="276" w:lineRule="auto"/>
        <w:jc w:val="both"/>
        <w:rPr>
          <w:rFonts w:ascii="Century Gothic" w:eastAsia="Times New Roman" w:hAnsi="Century Gothic" w:cs="Times New Roman"/>
          <w:b/>
          <w:bCs/>
          <w:sz w:val="24"/>
          <w:szCs w:val="24"/>
          <w:lang w:val="fr-BE" w:eastAsia="wo-SN"/>
        </w:rPr>
      </w:pPr>
      <w:r w:rsidRPr="00EF1F66">
        <w:rPr>
          <w:rFonts w:ascii="Century Gothic" w:eastAsia="Times New Roman" w:hAnsi="Century Gothic" w:cs="Times New Roman"/>
          <w:b/>
          <w:bCs/>
          <w:sz w:val="24"/>
          <w:szCs w:val="24"/>
          <w:lang w:val="fr-BE" w:eastAsia="wo-SN"/>
        </w:rPr>
        <w:t xml:space="preserve">Forêt classée de Djoli : </w:t>
      </w:r>
      <w:r>
        <w:rPr>
          <w:rFonts w:ascii="Century Gothic" w:eastAsia="Times New Roman" w:hAnsi="Century Gothic" w:cs="Times New Roman"/>
          <w:sz w:val="24"/>
          <w:szCs w:val="24"/>
          <w:lang w:val="fr-BE" w:eastAsia="wo-SN"/>
        </w:rPr>
        <w:t xml:space="preserve">627 ha </w:t>
      </w:r>
    </w:p>
    <w:p w14:paraId="37DD5ECB"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428A6E35"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En 2004, où la présente étude a été effectuée, il ne restait qu’un petit lambeau de cette forêt composé de vieux spécimens de gonakier (Acacia nilotica) fortement sollicités pour être transformé en charbon de bois. A l’époque, les coupes illicites du bois étaient en plein jour et la population riveraine n’était impliquée dans la surveillance de la forêt. </w:t>
      </w:r>
    </w:p>
    <w:p w14:paraId="53B2C6A3"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0C7B3DD3" w14:textId="77777777" w:rsidR="005625B5" w:rsidRDefault="005625B5" w:rsidP="005625B5">
      <w:pPr>
        <w:tabs>
          <w:tab w:val="left" w:pos="426"/>
        </w:tabs>
        <w:spacing w:after="0" w:line="276" w:lineRule="auto"/>
        <w:jc w:val="center"/>
        <w:rPr>
          <w:rFonts w:ascii="Century Gothic" w:eastAsia="Times New Roman" w:hAnsi="Century Gothic" w:cs="Times New Roman"/>
          <w:sz w:val="24"/>
          <w:szCs w:val="24"/>
          <w:lang w:val="fr-BE" w:eastAsia="wo-SN"/>
        </w:rPr>
      </w:pPr>
      <w:r w:rsidRPr="00C07990">
        <w:rPr>
          <w:rFonts w:ascii="Century Gothic" w:eastAsia="Times New Roman" w:hAnsi="Century Gothic" w:cs="Times New Roman"/>
          <w:noProof/>
          <w:sz w:val="24"/>
          <w:szCs w:val="24"/>
          <w:lang w:eastAsia="wo-SN"/>
        </w:rPr>
        <w:drawing>
          <wp:inline distT="0" distB="0" distL="0" distR="0" wp14:anchorId="11694742" wp14:editId="0EDF67C7">
            <wp:extent cx="5721985" cy="4275455"/>
            <wp:effectExtent l="0" t="0" r="0" b="0"/>
            <wp:docPr id="107"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21985" cy="4275455"/>
                    </a:xfrm>
                    <a:prstGeom prst="rect">
                      <a:avLst/>
                    </a:prstGeom>
                    <a:noFill/>
                    <a:ln>
                      <a:noFill/>
                    </a:ln>
                  </pic:spPr>
                </pic:pic>
              </a:graphicData>
            </a:graphic>
          </wp:inline>
        </w:drawing>
      </w:r>
    </w:p>
    <w:p w14:paraId="6EFF7CA0" w14:textId="77777777" w:rsidR="005625B5" w:rsidRPr="003328A3" w:rsidRDefault="005625B5" w:rsidP="005625B5">
      <w:pPr>
        <w:tabs>
          <w:tab w:val="left" w:pos="426"/>
        </w:tabs>
        <w:spacing w:after="0" w:line="276" w:lineRule="auto"/>
        <w:jc w:val="center"/>
        <w:rPr>
          <w:rFonts w:ascii="Century Gothic" w:eastAsia="Times New Roman" w:hAnsi="Century Gothic" w:cs="Times New Roman"/>
          <w:b/>
          <w:bCs/>
          <w:sz w:val="24"/>
          <w:szCs w:val="24"/>
          <w:lang w:val="fr-BE" w:eastAsia="wo-SN"/>
        </w:rPr>
      </w:pPr>
      <w:r w:rsidRPr="003328A3">
        <w:rPr>
          <w:rFonts w:ascii="Century Gothic" w:eastAsia="Times New Roman" w:hAnsi="Century Gothic" w:cs="Times New Roman"/>
          <w:b/>
          <w:bCs/>
          <w:sz w:val="24"/>
          <w:szCs w:val="24"/>
          <w:lang w:val="fr-BE" w:eastAsia="wo-SN"/>
        </w:rPr>
        <w:t>Coupe de bois et sa transformation en charbon de bois dans la forêt de Djoli</w:t>
      </w:r>
      <w:r>
        <w:rPr>
          <w:rFonts w:ascii="Century Gothic" w:eastAsia="Times New Roman" w:hAnsi="Century Gothic" w:cs="Times New Roman"/>
          <w:b/>
          <w:bCs/>
          <w:sz w:val="24"/>
          <w:szCs w:val="24"/>
          <w:lang w:val="fr-BE" w:eastAsia="wo-SN"/>
        </w:rPr>
        <w:t>, 2004</w:t>
      </w:r>
    </w:p>
    <w:p w14:paraId="5A5CF013" w14:textId="77777777" w:rsidR="005625B5" w:rsidRDefault="005625B5" w:rsidP="005625B5">
      <w:pPr>
        <w:tabs>
          <w:tab w:val="left" w:pos="426"/>
        </w:tabs>
        <w:spacing w:after="0" w:line="276" w:lineRule="auto"/>
        <w:jc w:val="center"/>
        <w:rPr>
          <w:rFonts w:ascii="Century Gothic" w:eastAsia="Times New Roman" w:hAnsi="Century Gothic" w:cs="Times New Roman"/>
          <w:sz w:val="24"/>
          <w:szCs w:val="24"/>
          <w:lang w:val="fr-BE" w:eastAsia="wo-SN"/>
        </w:rPr>
      </w:pPr>
      <w:r w:rsidRPr="00C07990">
        <w:rPr>
          <w:rFonts w:ascii="Century Gothic" w:eastAsia="Times New Roman" w:hAnsi="Century Gothic" w:cs="Times New Roman"/>
          <w:noProof/>
          <w:sz w:val="24"/>
          <w:szCs w:val="24"/>
          <w:lang w:eastAsia="wo-SN"/>
        </w:rPr>
        <w:drawing>
          <wp:inline distT="0" distB="0" distL="0" distR="0" wp14:anchorId="2B9CE4A2" wp14:editId="3CFBDC31">
            <wp:extent cx="5043170" cy="2452370"/>
            <wp:effectExtent l="0" t="0" r="0" b="0"/>
            <wp:docPr id="108"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
                    <pic:cNvPicPr>
                      <a:picLocks/>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043170" cy="2452370"/>
                    </a:xfrm>
                    <a:prstGeom prst="rect">
                      <a:avLst/>
                    </a:prstGeom>
                    <a:noFill/>
                    <a:ln>
                      <a:noFill/>
                    </a:ln>
                  </pic:spPr>
                </pic:pic>
              </a:graphicData>
            </a:graphic>
          </wp:inline>
        </w:drawing>
      </w:r>
    </w:p>
    <w:p w14:paraId="3A72DCBF"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638B6F0A" w14:textId="77777777" w:rsidR="005625B5" w:rsidRPr="001839C6" w:rsidRDefault="005625B5" w:rsidP="005625B5">
      <w:pPr>
        <w:spacing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Coordonnées GPS (forêt classée de Djoli)</w:t>
      </w:r>
      <w:r w:rsidRPr="001839C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6"/>
        <w:gridCol w:w="3021"/>
      </w:tblGrid>
      <w:tr w:rsidR="005625B5" w:rsidRPr="005F17FF" w14:paraId="136A7E77" w14:textId="77777777" w:rsidTr="00FB354B">
        <w:tc>
          <w:tcPr>
            <w:tcW w:w="3070" w:type="dxa"/>
            <w:shd w:val="clear" w:color="auto" w:fill="auto"/>
          </w:tcPr>
          <w:p w14:paraId="772FC2CC" w14:textId="77777777" w:rsidR="005625B5" w:rsidRPr="001839C6"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7E51091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05D6904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5B75ACA8" w14:textId="77777777" w:rsidTr="00FB354B">
        <w:tc>
          <w:tcPr>
            <w:tcW w:w="3070" w:type="dxa"/>
            <w:shd w:val="clear" w:color="auto" w:fill="auto"/>
          </w:tcPr>
          <w:p w14:paraId="7782605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5FB5C908"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487757</w:t>
            </w:r>
          </w:p>
        </w:tc>
        <w:tc>
          <w:tcPr>
            <w:tcW w:w="3071" w:type="dxa"/>
            <w:shd w:val="clear" w:color="auto" w:fill="auto"/>
          </w:tcPr>
          <w:p w14:paraId="5BEE2E5E"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1832 951</w:t>
            </w:r>
          </w:p>
        </w:tc>
      </w:tr>
      <w:tr w:rsidR="005625B5" w:rsidRPr="005F17FF" w14:paraId="65347D16" w14:textId="77777777" w:rsidTr="00FB354B">
        <w:tc>
          <w:tcPr>
            <w:tcW w:w="3070" w:type="dxa"/>
            <w:shd w:val="clear" w:color="auto" w:fill="auto"/>
          </w:tcPr>
          <w:p w14:paraId="4C6D811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1FFD79CA"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487970</w:t>
            </w:r>
          </w:p>
        </w:tc>
        <w:tc>
          <w:tcPr>
            <w:tcW w:w="3071" w:type="dxa"/>
            <w:shd w:val="clear" w:color="auto" w:fill="auto"/>
          </w:tcPr>
          <w:p w14:paraId="5A360396"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1835 532</w:t>
            </w:r>
          </w:p>
        </w:tc>
      </w:tr>
      <w:tr w:rsidR="005625B5" w:rsidRPr="005F17FF" w14:paraId="0756848C" w14:textId="77777777" w:rsidTr="00FB354B">
        <w:tc>
          <w:tcPr>
            <w:tcW w:w="3070" w:type="dxa"/>
            <w:shd w:val="clear" w:color="auto" w:fill="auto"/>
          </w:tcPr>
          <w:p w14:paraId="29AFAEE7"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53D59BB3"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490178</w:t>
            </w:r>
          </w:p>
        </w:tc>
        <w:tc>
          <w:tcPr>
            <w:tcW w:w="3071" w:type="dxa"/>
            <w:shd w:val="clear" w:color="auto" w:fill="auto"/>
          </w:tcPr>
          <w:p w14:paraId="44C2FC51"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1837 480</w:t>
            </w:r>
          </w:p>
        </w:tc>
      </w:tr>
      <w:tr w:rsidR="005625B5" w:rsidRPr="005F17FF" w14:paraId="781FBAF7" w14:textId="77777777" w:rsidTr="00FB354B">
        <w:tc>
          <w:tcPr>
            <w:tcW w:w="3070" w:type="dxa"/>
            <w:shd w:val="clear" w:color="auto" w:fill="auto"/>
          </w:tcPr>
          <w:p w14:paraId="1D27AF8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16857828"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490567</w:t>
            </w:r>
          </w:p>
        </w:tc>
        <w:tc>
          <w:tcPr>
            <w:tcW w:w="3071" w:type="dxa"/>
            <w:shd w:val="clear" w:color="auto" w:fill="auto"/>
          </w:tcPr>
          <w:p w14:paraId="195F4D28"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1837 704</w:t>
            </w:r>
          </w:p>
        </w:tc>
      </w:tr>
    </w:tbl>
    <w:p w14:paraId="745481D9"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6906663A"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358CBDC6" w14:textId="77777777" w:rsidR="005625B5" w:rsidRPr="00EF1F66" w:rsidRDefault="005625B5" w:rsidP="005625B5">
      <w:pPr>
        <w:tabs>
          <w:tab w:val="left" w:pos="426"/>
        </w:tabs>
        <w:spacing w:after="0" w:line="276" w:lineRule="auto"/>
        <w:jc w:val="both"/>
        <w:rPr>
          <w:rFonts w:ascii="Century Gothic" w:eastAsia="Times New Roman" w:hAnsi="Century Gothic" w:cs="Times New Roman"/>
          <w:b/>
          <w:bCs/>
          <w:sz w:val="24"/>
          <w:szCs w:val="24"/>
          <w:lang w:val="fr-BE" w:eastAsia="wo-SN"/>
        </w:rPr>
      </w:pPr>
      <w:r w:rsidRPr="00EF1F66">
        <w:rPr>
          <w:rFonts w:ascii="Century Gothic" w:eastAsia="Times New Roman" w:hAnsi="Century Gothic" w:cs="Times New Roman"/>
          <w:b/>
          <w:bCs/>
          <w:sz w:val="24"/>
          <w:szCs w:val="24"/>
          <w:lang w:val="fr-BE" w:eastAsia="wo-SN"/>
        </w:rPr>
        <w:t xml:space="preserve">Wilaya du Brakna : </w:t>
      </w:r>
    </w:p>
    <w:p w14:paraId="735934AF"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40472306" w14:textId="77777777" w:rsidR="005625B5" w:rsidRDefault="005625B5" w:rsidP="005625B5">
      <w:pPr>
        <w:numPr>
          <w:ilvl w:val="0"/>
          <w:numId w:val="62"/>
        </w:numPr>
        <w:tabs>
          <w:tab w:val="left" w:pos="426"/>
        </w:tabs>
        <w:spacing w:after="0" w:line="276" w:lineRule="auto"/>
        <w:jc w:val="both"/>
        <w:rPr>
          <w:rFonts w:ascii="Century Gothic" w:eastAsia="Times New Roman" w:hAnsi="Century Gothic" w:cs="Times New Roman"/>
          <w:sz w:val="24"/>
          <w:szCs w:val="24"/>
          <w:lang w:val="fr-BE" w:eastAsia="wo-SN"/>
        </w:rPr>
      </w:pPr>
      <w:r w:rsidRPr="009E6E57">
        <w:rPr>
          <w:rFonts w:ascii="Century Gothic" w:eastAsia="Times New Roman" w:hAnsi="Century Gothic" w:cs="Times New Roman"/>
          <w:b/>
          <w:bCs/>
          <w:sz w:val="24"/>
          <w:szCs w:val="24"/>
          <w:lang w:val="fr-BE" w:eastAsia="wo-SN"/>
        </w:rPr>
        <w:t>Forêt classée de Lopel</w:t>
      </w:r>
      <w:r>
        <w:rPr>
          <w:rFonts w:ascii="Century Gothic" w:eastAsia="Times New Roman" w:hAnsi="Century Gothic" w:cs="Times New Roman"/>
          <w:sz w:val="24"/>
          <w:szCs w:val="24"/>
          <w:lang w:val="fr-BE" w:eastAsia="wo-SN"/>
        </w:rPr>
        <w:t> : 582 ha</w:t>
      </w:r>
    </w:p>
    <w:p w14:paraId="041763FE"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1063AD57"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En 2004, l’étude a constaté ce qui suit : </w:t>
      </w:r>
    </w:p>
    <w:p w14:paraId="5AFDA092"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4F05E332"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 forêt est située à la proximité de la ville de Boghé.  </w:t>
      </w:r>
    </w:p>
    <w:p w14:paraId="2FE9CD0E"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Elle est bornée dans sa partie Nord par une digue de protection construite par la SONADER. </w:t>
      </w:r>
    </w:p>
    <w:p w14:paraId="376C6E66"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 partie Ouest du côté du village de Lopel dont la forêt porte le nom, il y avait une incursion de périmètre agricoles et de la carbonisation. </w:t>
      </w:r>
    </w:p>
    <w:p w14:paraId="55D41080" w14:textId="77777777" w:rsidR="005625B5" w:rsidRPr="00630250"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A l’intérieur de la forêt se présente une clarière avec un reboisement à base de Prosopis juliflora.   </w:t>
      </w:r>
    </w:p>
    <w:p w14:paraId="4389E959" w14:textId="77777777" w:rsidR="005625B5" w:rsidRDefault="005625B5" w:rsidP="005625B5">
      <w:pPr>
        <w:tabs>
          <w:tab w:val="left" w:pos="426"/>
        </w:tabs>
        <w:spacing w:after="0" w:line="276" w:lineRule="auto"/>
        <w:jc w:val="center"/>
        <w:rPr>
          <w:rFonts w:ascii="Century Gothic" w:eastAsia="Times New Roman" w:hAnsi="Century Gothic" w:cs="Times New Roman"/>
          <w:sz w:val="24"/>
          <w:szCs w:val="24"/>
          <w:lang w:val="fr-BE" w:eastAsia="wo-SN"/>
        </w:rPr>
      </w:pPr>
      <w:r w:rsidRPr="00C07990">
        <w:rPr>
          <w:rFonts w:ascii="Century Gothic" w:eastAsia="Times New Roman" w:hAnsi="Century Gothic" w:cs="Times New Roman"/>
          <w:noProof/>
          <w:sz w:val="24"/>
          <w:szCs w:val="24"/>
          <w:lang w:eastAsia="wo-SN"/>
        </w:rPr>
        <w:drawing>
          <wp:inline distT="0" distB="0" distL="0" distR="0" wp14:anchorId="253B0644" wp14:editId="646C1699">
            <wp:extent cx="5120640" cy="2889250"/>
            <wp:effectExtent l="0" t="0" r="0" b="0"/>
            <wp:docPr id="10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9"/>
                    <pic:cNvPicPr>
                      <a:picLocks/>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120640" cy="2889250"/>
                    </a:xfrm>
                    <a:prstGeom prst="rect">
                      <a:avLst/>
                    </a:prstGeom>
                    <a:noFill/>
                    <a:ln>
                      <a:noFill/>
                    </a:ln>
                  </pic:spPr>
                </pic:pic>
              </a:graphicData>
            </a:graphic>
          </wp:inline>
        </w:drawing>
      </w:r>
    </w:p>
    <w:p w14:paraId="1CC9D5EC" w14:textId="77777777" w:rsidR="005625B5" w:rsidRDefault="005625B5" w:rsidP="005625B5">
      <w:pPr>
        <w:tabs>
          <w:tab w:val="left" w:pos="426"/>
        </w:tabs>
        <w:spacing w:after="0" w:line="276" w:lineRule="auto"/>
        <w:jc w:val="center"/>
        <w:rPr>
          <w:rFonts w:ascii="Century Gothic" w:eastAsia="Times New Roman" w:hAnsi="Century Gothic" w:cs="Times New Roman"/>
          <w:sz w:val="24"/>
          <w:szCs w:val="24"/>
          <w:lang w:val="fr-BE" w:eastAsia="wo-SN"/>
        </w:rPr>
      </w:pPr>
    </w:p>
    <w:p w14:paraId="0620895E" w14:textId="77777777" w:rsidR="005625B5" w:rsidRPr="00630250" w:rsidRDefault="005625B5" w:rsidP="005625B5">
      <w:pPr>
        <w:tabs>
          <w:tab w:val="left" w:pos="426"/>
        </w:tabs>
        <w:spacing w:after="0" w:line="276" w:lineRule="auto"/>
        <w:jc w:val="center"/>
        <w:rPr>
          <w:rFonts w:ascii="Century Gothic" w:eastAsia="Times New Roman" w:hAnsi="Century Gothic" w:cs="Times New Roman"/>
          <w:b/>
          <w:bCs/>
          <w:sz w:val="24"/>
          <w:szCs w:val="24"/>
          <w:lang w:val="fr-BE" w:eastAsia="wo-SN"/>
        </w:rPr>
      </w:pPr>
      <w:r w:rsidRPr="00630250">
        <w:rPr>
          <w:rFonts w:ascii="Century Gothic" w:eastAsia="Times New Roman" w:hAnsi="Century Gothic" w:cs="Times New Roman"/>
          <w:b/>
          <w:bCs/>
          <w:sz w:val="24"/>
          <w:szCs w:val="24"/>
          <w:lang w:val="fr-BE" w:eastAsia="wo-SN"/>
        </w:rPr>
        <w:t>Incursion de périmètres agricoles dans la forêt</w:t>
      </w:r>
    </w:p>
    <w:p w14:paraId="29428B54"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78E7E77C"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r w:rsidRPr="00C07990">
        <w:rPr>
          <w:rFonts w:ascii="Century Gothic" w:eastAsia="Times New Roman" w:hAnsi="Century Gothic" w:cs="Times New Roman"/>
          <w:noProof/>
          <w:sz w:val="24"/>
          <w:szCs w:val="24"/>
          <w:lang w:eastAsia="wo-SN"/>
        </w:rPr>
        <w:drawing>
          <wp:inline distT="0" distB="0" distL="0" distR="0" wp14:anchorId="21ABD8C1" wp14:editId="58A7308A">
            <wp:extent cx="5760720" cy="2993390"/>
            <wp:effectExtent l="0" t="0" r="0" b="0"/>
            <wp:docPr id="110"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60720" cy="2993390"/>
                    </a:xfrm>
                    <a:prstGeom prst="rect">
                      <a:avLst/>
                    </a:prstGeom>
                    <a:noFill/>
                    <a:ln>
                      <a:noFill/>
                    </a:ln>
                  </pic:spPr>
                </pic:pic>
              </a:graphicData>
            </a:graphic>
          </wp:inline>
        </w:drawing>
      </w:r>
    </w:p>
    <w:p w14:paraId="73A8754F"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p>
    <w:p w14:paraId="20A93BE1"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p>
    <w:p w14:paraId="176AFB09" w14:textId="77777777" w:rsidR="005625B5" w:rsidRPr="001839C6" w:rsidRDefault="005625B5" w:rsidP="005625B5">
      <w:pPr>
        <w:spacing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Coordonnées GPS (forêt classée de Lopel)</w:t>
      </w:r>
      <w:r w:rsidRPr="001839C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6"/>
        <w:gridCol w:w="3021"/>
      </w:tblGrid>
      <w:tr w:rsidR="005625B5" w:rsidRPr="005F17FF" w14:paraId="1DEFF218" w14:textId="77777777" w:rsidTr="00FB354B">
        <w:tc>
          <w:tcPr>
            <w:tcW w:w="3070" w:type="dxa"/>
            <w:shd w:val="clear" w:color="auto" w:fill="auto"/>
          </w:tcPr>
          <w:p w14:paraId="7E2D4901" w14:textId="77777777" w:rsidR="005625B5" w:rsidRPr="001839C6"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2A56A92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59A4AF8F"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4DD2D75E" w14:textId="77777777" w:rsidTr="00FB354B">
        <w:tc>
          <w:tcPr>
            <w:tcW w:w="3070" w:type="dxa"/>
            <w:shd w:val="clear" w:color="auto" w:fill="auto"/>
          </w:tcPr>
          <w:p w14:paraId="192740D6"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11EF1B7A"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572094</w:t>
            </w:r>
          </w:p>
        </w:tc>
        <w:tc>
          <w:tcPr>
            <w:tcW w:w="3071" w:type="dxa"/>
            <w:shd w:val="clear" w:color="auto" w:fill="auto"/>
          </w:tcPr>
          <w:p w14:paraId="1CFDC09C"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1835 616</w:t>
            </w:r>
          </w:p>
        </w:tc>
      </w:tr>
      <w:tr w:rsidR="005625B5" w:rsidRPr="005F17FF" w14:paraId="4192F897" w14:textId="77777777" w:rsidTr="00FB354B">
        <w:tc>
          <w:tcPr>
            <w:tcW w:w="3070" w:type="dxa"/>
            <w:shd w:val="clear" w:color="auto" w:fill="auto"/>
          </w:tcPr>
          <w:p w14:paraId="2C9D21E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232AF603"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571883</w:t>
            </w:r>
          </w:p>
        </w:tc>
        <w:tc>
          <w:tcPr>
            <w:tcW w:w="3071" w:type="dxa"/>
            <w:shd w:val="clear" w:color="auto" w:fill="auto"/>
          </w:tcPr>
          <w:p w14:paraId="422C8910"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1835 612</w:t>
            </w:r>
          </w:p>
        </w:tc>
      </w:tr>
      <w:tr w:rsidR="005625B5" w:rsidRPr="005F17FF" w14:paraId="3572D9A1" w14:textId="77777777" w:rsidTr="00FB354B">
        <w:tc>
          <w:tcPr>
            <w:tcW w:w="3070" w:type="dxa"/>
            <w:shd w:val="clear" w:color="auto" w:fill="auto"/>
          </w:tcPr>
          <w:p w14:paraId="3E57812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3E02E699"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573366</w:t>
            </w:r>
          </w:p>
        </w:tc>
        <w:tc>
          <w:tcPr>
            <w:tcW w:w="3071" w:type="dxa"/>
            <w:shd w:val="clear" w:color="auto" w:fill="auto"/>
          </w:tcPr>
          <w:p w14:paraId="10555A38"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1833 489</w:t>
            </w:r>
          </w:p>
        </w:tc>
      </w:tr>
      <w:tr w:rsidR="005625B5" w:rsidRPr="005F17FF" w14:paraId="3C101400" w14:textId="77777777" w:rsidTr="00FB354B">
        <w:tc>
          <w:tcPr>
            <w:tcW w:w="3070" w:type="dxa"/>
            <w:shd w:val="clear" w:color="auto" w:fill="auto"/>
          </w:tcPr>
          <w:p w14:paraId="1213D3A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1DAC53B0"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572613</w:t>
            </w:r>
          </w:p>
        </w:tc>
        <w:tc>
          <w:tcPr>
            <w:tcW w:w="3071" w:type="dxa"/>
            <w:shd w:val="clear" w:color="auto" w:fill="auto"/>
          </w:tcPr>
          <w:p w14:paraId="7713577B"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1831 587</w:t>
            </w:r>
          </w:p>
        </w:tc>
      </w:tr>
    </w:tbl>
    <w:p w14:paraId="4FDC29D4"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4C3D7E16" w14:textId="77777777" w:rsidR="005625B5" w:rsidRDefault="005625B5" w:rsidP="005625B5">
      <w:pPr>
        <w:numPr>
          <w:ilvl w:val="0"/>
          <w:numId w:val="62"/>
        </w:numPr>
        <w:tabs>
          <w:tab w:val="left" w:pos="426"/>
        </w:tabs>
        <w:spacing w:after="0" w:line="276" w:lineRule="auto"/>
        <w:jc w:val="both"/>
        <w:rPr>
          <w:rFonts w:ascii="Century Gothic" w:eastAsia="Times New Roman" w:hAnsi="Century Gothic" w:cs="Times New Roman"/>
          <w:sz w:val="24"/>
          <w:szCs w:val="24"/>
          <w:lang w:val="fr-BE" w:eastAsia="wo-SN"/>
        </w:rPr>
      </w:pPr>
      <w:r w:rsidRPr="009E6E57">
        <w:rPr>
          <w:rFonts w:ascii="Century Gothic" w:eastAsia="Times New Roman" w:hAnsi="Century Gothic" w:cs="Times New Roman"/>
          <w:b/>
          <w:bCs/>
          <w:sz w:val="24"/>
          <w:szCs w:val="24"/>
          <w:lang w:val="fr-BE" w:eastAsia="wo-SN"/>
        </w:rPr>
        <w:t>Forêt classée de Silbé</w:t>
      </w:r>
      <w:r>
        <w:rPr>
          <w:rFonts w:ascii="Century Gothic" w:eastAsia="Times New Roman" w:hAnsi="Century Gothic" w:cs="Times New Roman"/>
          <w:sz w:val="24"/>
          <w:szCs w:val="24"/>
          <w:lang w:val="fr-BE" w:eastAsia="wo-SN"/>
        </w:rPr>
        <w:t xml:space="preserve"> : 2676 ha </w:t>
      </w:r>
    </w:p>
    <w:p w14:paraId="6E1AE430"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18B0E93F"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Cette forêt a été classée par l’Arrêté N°1623/SE du 30 avril 1947. Elle était relativement bien conservée en 2004 et présente un peuplement diversifié. Selon l’étude de 2004, le Hakem demandait à la population locale (le village de Silbé était dans la forêt) de dénoncer toute personne qui coupe le bois dans la forêt.  </w:t>
      </w:r>
    </w:p>
    <w:p w14:paraId="55F0C743"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11194A15"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r w:rsidRPr="00C07990">
        <w:rPr>
          <w:rFonts w:ascii="Century Gothic" w:eastAsia="Times New Roman" w:hAnsi="Century Gothic" w:cs="Times New Roman"/>
          <w:noProof/>
          <w:sz w:val="24"/>
          <w:szCs w:val="24"/>
          <w:lang w:eastAsia="wo-SN"/>
        </w:rPr>
        <w:drawing>
          <wp:inline distT="0" distB="0" distL="0" distR="0" wp14:anchorId="20FE0277" wp14:editId="4BB14B06">
            <wp:extent cx="5703570" cy="4958080"/>
            <wp:effectExtent l="0" t="0" r="0" b="0"/>
            <wp:docPr id="111"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
                    <pic:cNvPicPr>
                      <a:picLocks/>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03570" cy="4958080"/>
                    </a:xfrm>
                    <a:prstGeom prst="rect">
                      <a:avLst/>
                    </a:prstGeom>
                    <a:noFill/>
                    <a:ln>
                      <a:noFill/>
                    </a:ln>
                  </pic:spPr>
                </pic:pic>
              </a:graphicData>
            </a:graphic>
          </wp:inline>
        </w:drawing>
      </w:r>
    </w:p>
    <w:p w14:paraId="123BBAF5"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p>
    <w:p w14:paraId="18800CBE" w14:textId="77777777" w:rsidR="005625B5" w:rsidRPr="001839C6" w:rsidRDefault="005625B5" w:rsidP="005625B5">
      <w:pPr>
        <w:spacing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 xml:space="preserve">Coordonnées GPS (forêt classée de </w:t>
      </w:r>
      <w:proofErr w:type="spellStart"/>
      <w:r w:rsidRPr="001839C6">
        <w:rPr>
          <w:rFonts w:ascii="Century Gothic" w:hAnsi="Century Gothic" w:cs="Times New Roman"/>
          <w:b/>
          <w:bCs/>
          <w:sz w:val="20"/>
          <w:szCs w:val="20"/>
          <w:u w:val="single"/>
        </w:rPr>
        <w:t>Silbe</w:t>
      </w:r>
      <w:proofErr w:type="spellEnd"/>
      <w:r w:rsidRPr="001839C6">
        <w:rPr>
          <w:rFonts w:ascii="Century Gothic" w:hAnsi="Century Gothic" w:cs="Times New Roman"/>
          <w:b/>
          <w:bCs/>
          <w:sz w:val="20"/>
          <w:szCs w:val="20"/>
          <w:u w:val="single"/>
        </w:rPr>
        <w:t>)</w:t>
      </w:r>
      <w:r w:rsidRPr="001839C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6"/>
        <w:gridCol w:w="3021"/>
      </w:tblGrid>
      <w:tr w:rsidR="005625B5" w:rsidRPr="005F17FF" w14:paraId="129D7B31" w14:textId="77777777" w:rsidTr="00FB354B">
        <w:tc>
          <w:tcPr>
            <w:tcW w:w="3070" w:type="dxa"/>
            <w:shd w:val="clear" w:color="auto" w:fill="auto"/>
          </w:tcPr>
          <w:p w14:paraId="0375904C" w14:textId="77777777" w:rsidR="005625B5" w:rsidRPr="001839C6"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502D5AB9"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76FE3E0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26121FE9" w14:textId="77777777" w:rsidTr="00FB354B">
        <w:tc>
          <w:tcPr>
            <w:tcW w:w="3070" w:type="dxa"/>
            <w:shd w:val="clear" w:color="auto" w:fill="auto"/>
          </w:tcPr>
          <w:p w14:paraId="3E8BBD93"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11F481C7"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558477</w:t>
            </w:r>
          </w:p>
        </w:tc>
        <w:tc>
          <w:tcPr>
            <w:tcW w:w="3071" w:type="dxa"/>
            <w:shd w:val="clear" w:color="auto" w:fill="auto"/>
          </w:tcPr>
          <w:p w14:paraId="6C236CCF"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1837 771</w:t>
            </w:r>
          </w:p>
        </w:tc>
      </w:tr>
      <w:tr w:rsidR="005625B5" w:rsidRPr="005F17FF" w14:paraId="031416ED" w14:textId="77777777" w:rsidTr="00FB354B">
        <w:tc>
          <w:tcPr>
            <w:tcW w:w="3070" w:type="dxa"/>
            <w:shd w:val="clear" w:color="auto" w:fill="auto"/>
          </w:tcPr>
          <w:p w14:paraId="205EF7E7"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76590C9E"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552248</w:t>
            </w:r>
          </w:p>
        </w:tc>
        <w:tc>
          <w:tcPr>
            <w:tcW w:w="3071" w:type="dxa"/>
            <w:shd w:val="clear" w:color="auto" w:fill="auto"/>
          </w:tcPr>
          <w:p w14:paraId="5145EFF9"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1841 141</w:t>
            </w:r>
          </w:p>
        </w:tc>
      </w:tr>
      <w:tr w:rsidR="005625B5" w:rsidRPr="005F17FF" w14:paraId="7C61DE3C" w14:textId="77777777" w:rsidTr="00FB354B">
        <w:tc>
          <w:tcPr>
            <w:tcW w:w="3070" w:type="dxa"/>
            <w:shd w:val="clear" w:color="auto" w:fill="auto"/>
          </w:tcPr>
          <w:p w14:paraId="34C0320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4C4D0028"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551077</w:t>
            </w:r>
          </w:p>
        </w:tc>
        <w:tc>
          <w:tcPr>
            <w:tcW w:w="3071" w:type="dxa"/>
            <w:shd w:val="clear" w:color="auto" w:fill="auto"/>
          </w:tcPr>
          <w:p w14:paraId="410BCA6F"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1849 957</w:t>
            </w:r>
          </w:p>
        </w:tc>
      </w:tr>
      <w:tr w:rsidR="005625B5" w:rsidRPr="005F17FF" w14:paraId="4BC4D63F" w14:textId="77777777" w:rsidTr="00FB354B">
        <w:tc>
          <w:tcPr>
            <w:tcW w:w="3070" w:type="dxa"/>
            <w:shd w:val="clear" w:color="auto" w:fill="auto"/>
          </w:tcPr>
          <w:p w14:paraId="5197A2C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414D67D1"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549205</w:t>
            </w:r>
          </w:p>
        </w:tc>
        <w:tc>
          <w:tcPr>
            <w:tcW w:w="3071" w:type="dxa"/>
            <w:shd w:val="clear" w:color="auto" w:fill="auto"/>
          </w:tcPr>
          <w:p w14:paraId="5194927E"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1839 619</w:t>
            </w:r>
          </w:p>
        </w:tc>
      </w:tr>
    </w:tbl>
    <w:p w14:paraId="595C0CFF"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3B6B71DF"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23FC4CAF" w14:textId="77777777" w:rsidR="005625B5" w:rsidRDefault="005625B5" w:rsidP="005625B5">
      <w:pPr>
        <w:numPr>
          <w:ilvl w:val="0"/>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br w:type="page"/>
      </w:r>
      <w:r w:rsidRPr="009E6E57">
        <w:rPr>
          <w:rFonts w:ascii="Century Gothic" w:eastAsia="Times New Roman" w:hAnsi="Century Gothic" w:cs="Times New Roman"/>
          <w:b/>
          <w:bCs/>
          <w:sz w:val="24"/>
          <w:szCs w:val="24"/>
          <w:lang w:val="fr-BE" w:eastAsia="wo-SN"/>
        </w:rPr>
        <w:t>Forêt classée de Olologo</w:t>
      </w:r>
      <w:r>
        <w:rPr>
          <w:rFonts w:ascii="Century Gothic" w:eastAsia="Times New Roman" w:hAnsi="Century Gothic" w:cs="Times New Roman"/>
          <w:sz w:val="24"/>
          <w:szCs w:val="24"/>
          <w:lang w:val="fr-BE" w:eastAsia="wo-SN"/>
        </w:rPr>
        <w:t> : 217 ha</w:t>
      </w:r>
    </w:p>
    <w:p w14:paraId="211692CB"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7A0A3894"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A l’époque de la présente étude (2004), la forêt était relativement bien conservée avec une légère incursion de périmètres agricoles appartenant aux coopératives locales. </w:t>
      </w:r>
    </w:p>
    <w:p w14:paraId="752986DD"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5527CB4A"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L’Arrêté N°6304/SE/F du 13 octobre 1952 portant modification du statut de certaines forêts classées dont Olologo, accorde les droits d’usage suivants : </w:t>
      </w:r>
    </w:p>
    <w:p w14:paraId="72AEAB39"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31EBA5A4"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 culture de palettes, </w:t>
      </w:r>
    </w:p>
    <w:p w14:paraId="383E48D7"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 récolte de paille, </w:t>
      </w:r>
    </w:p>
    <w:p w14:paraId="487D25CA"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La coupe de bois de service (manches d’outils, notamment),</w:t>
      </w:r>
    </w:p>
    <w:p w14:paraId="041F8D61"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Le pâturage du gros et du petit bétail sauf les chameaux, depuis l’hivernage jusqu’à l’époque de la récolte de mil des terrains inondés et à condition qu’il ne donne pas lieu à des ébranchages d’arbres, </w:t>
      </w:r>
    </w:p>
    <w:p w14:paraId="497F714B" w14:textId="77777777" w:rsidR="005625B5" w:rsidRDefault="005625B5" w:rsidP="005625B5">
      <w:pPr>
        <w:numPr>
          <w:ilvl w:val="1"/>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 pratique de ma chasse coutumière. </w:t>
      </w:r>
    </w:p>
    <w:p w14:paraId="392A26C9"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211EAD03"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r w:rsidRPr="00C07990">
        <w:rPr>
          <w:rFonts w:ascii="Century Gothic" w:eastAsia="Times New Roman" w:hAnsi="Century Gothic" w:cs="Times New Roman"/>
          <w:noProof/>
          <w:sz w:val="24"/>
          <w:szCs w:val="24"/>
          <w:lang w:eastAsia="wo-SN"/>
        </w:rPr>
        <w:drawing>
          <wp:inline distT="0" distB="0" distL="0" distR="0" wp14:anchorId="6B97FD11" wp14:editId="40D477DA">
            <wp:extent cx="5760720" cy="3300095"/>
            <wp:effectExtent l="0" t="0" r="0" b="0"/>
            <wp:docPr id="112"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pic:cNvPicPr>
                      <a:picLocks/>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60720" cy="3300095"/>
                    </a:xfrm>
                    <a:prstGeom prst="rect">
                      <a:avLst/>
                    </a:prstGeom>
                    <a:noFill/>
                    <a:ln>
                      <a:noFill/>
                    </a:ln>
                  </pic:spPr>
                </pic:pic>
              </a:graphicData>
            </a:graphic>
          </wp:inline>
        </w:drawing>
      </w:r>
    </w:p>
    <w:p w14:paraId="30E00436"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p>
    <w:p w14:paraId="1D0E6755" w14:textId="77777777" w:rsidR="005625B5" w:rsidRPr="001839C6" w:rsidRDefault="005625B5" w:rsidP="005625B5">
      <w:pPr>
        <w:spacing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Coordonnées GPS (forêt classée de Olologo)</w:t>
      </w:r>
      <w:r w:rsidRPr="001839C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6"/>
        <w:gridCol w:w="3021"/>
      </w:tblGrid>
      <w:tr w:rsidR="005625B5" w:rsidRPr="005F17FF" w14:paraId="2ABC3E72" w14:textId="77777777" w:rsidTr="00FB354B">
        <w:tc>
          <w:tcPr>
            <w:tcW w:w="3070" w:type="dxa"/>
            <w:shd w:val="clear" w:color="auto" w:fill="auto"/>
          </w:tcPr>
          <w:p w14:paraId="4C9EE7F1" w14:textId="77777777" w:rsidR="005625B5" w:rsidRPr="001839C6"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0734EE0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149B73F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2B72BBF4" w14:textId="77777777" w:rsidTr="00FB354B">
        <w:tc>
          <w:tcPr>
            <w:tcW w:w="3070" w:type="dxa"/>
            <w:shd w:val="clear" w:color="auto" w:fill="auto"/>
          </w:tcPr>
          <w:p w14:paraId="12B456F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2B79C489"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547984</w:t>
            </w:r>
          </w:p>
        </w:tc>
        <w:tc>
          <w:tcPr>
            <w:tcW w:w="3071" w:type="dxa"/>
            <w:shd w:val="clear" w:color="auto" w:fill="auto"/>
          </w:tcPr>
          <w:p w14:paraId="79757E14"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1839 096</w:t>
            </w:r>
          </w:p>
        </w:tc>
      </w:tr>
      <w:tr w:rsidR="005625B5" w:rsidRPr="005F17FF" w14:paraId="27B5B58C" w14:textId="77777777" w:rsidTr="00FB354B">
        <w:tc>
          <w:tcPr>
            <w:tcW w:w="3070" w:type="dxa"/>
            <w:shd w:val="clear" w:color="auto" w:fill="auto"/>
          </w:tcPr>
          <w:p w14:paraId="6BA14EB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2654A7FB"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545774</w:t>
            </w:r>
          </w:p>
        </w:tc>
        <w:tc>
          <w:tcPr>
            <w:tcW w:w="3071" w:type="dxa"/>
            <w:shd w:val="clear" w:color="auto" w:fill="auto"/>
          </w:tcPr>
          <w:p w14:paraId="18BD0D58"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1837 918</w:t>
            </w:r>
          </w:p>
        </w:tc>
      </w:tr>
      <w:tr w:rsidR="005625B5" w:rsidRPr="005F17FF" w14:paraId="4144C5D9" w14:textId="77777777" w:rsidTr="00FB354B">
        <w:tc>
          <w:tcPr>
            <w:tcW w:w="3070" w:type="dxa"/>
            <w:shd w:val="clear" w:color="auto" w:fill="auto"/>
          </w:tcPr>
          <w:p w14:paraId="010287C4"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591F1DC1"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545786</w:t>
            </w:r>
          </w:p>
        </w:tc>
        <w:tc>
          <w:tcPr>
            <w:tcW w:w="3071" w:type="dxa"/>
            <w:shd w:val="clear" w:color="auto" w:fill="auto"/>
          </w:tcPr>
          <w:p w14:paraId="19C54DC2"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1837 856</w:t>
            </w:r>
          </w:p>
        </w:tc>
      </w:tr>
      <w:tr w:rsidR="005625B5" w:rsidRPr="005F17FF" w14:paraId="2C95C5DA" w14:textId="77777777" w:rsidTr="00FB354B">
        <w:tc>
          <w:tcPr>
            <w:tcW w:w="3070" w:type="dxa"/>
            <w:shd w:val="clear" w:color="auto" w:fill="auto"/>
          </w:tcPr>
          <w:p w14:paraId="0666DC6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3322AC65" w14:textId="77777777" w:rsidR="005625B5" w:rsidRPr="005F17FF" w:rsidRDefault="005625B5" w:rsidP="00FB354B">
            <w:pPr>
              <w:spacing w:after="0" w:line="276" w:lineRule="auto"/>
              <w:jc w:val="center"/>
              <w:rPr>
                <w:rFonts w:ascii="Century Gothic" w:hAnsi="Century Gothic" w:cs="Times New Roman"/>
                <w:sz w:val="20"/>
                <w:szCs w:val="20"/>
              </w:rPr>
            </w:pPr>
          </w:p>
        </w:tc>
        <w:tc>
          <w:tcPr>
            <w:tcW w:w="3071" w:type="dxa"/>
            <w:shd w:val="clear" w:color="auto" w:fill="auto"/>
          </w:tcPr>
          <w:p w14:paraId="543C6905" w14:textId="77777777" w:rsidR="005625B5" w:rsidRPr="005F17FF" w:rsidRDefault="005625B5" w:rsidP="00FB354B">
            <w:pPr>
              <w:spacing w:after="0" w:line="276" w:lineRule="auto"/>
              <w:jc w:val="center"/>
              <w:rPr>
                <w:rFonts w:ascii="Century Gothic" w:hAnsi="Century Gothic" w:cs="Times New Roman"/>
                <w:sz w:val="20"/>
                <w:szCs w:val="20"/>
              </w:rPr>
            </w:pPr>
          </w:p>
        </w:tc>
      </w:tr>
    </w:tbl>
    <w:p w14:paraId="08D3F84B" w14:textId="77777777" w:rsidR="005625B5" w:rsidRDefault="005625B5" w:rsidP="005625B5">
      <w:pPr>
        <w:numPr>
          <w:ilvl w:val="0"/>
          <w:numId w:val="62"/>
        </w:num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br w:type="page"/>
      </w:r>
      <w:r w:rsidRPr="00DE5FEB">
        <w:rPr>
          <w:rFonts w:ascii="Century Gothic" w:eastAsia="Times New Roman" w:hAnsi="Century Gothic" w:cs="Times New Roman"/>
          <w:b/>
          <w:bCs/>
          <w:sz w:val="24"/>
          <w:szCs w:val="24"/>
          <w:lang w:val="fr-BE" w:eastAsia="wo-SN"/>
        </w:rPr>
        <w:t>Forêt classée de Ganki</w:t>
      </w:r>
      <w:r>
        <w:rPr>
          <w:rFonts w:ascii="Century Gothic" w:eastAsia="Times New Roman" w:hAnsi="Century Gothic" w:cs="Times New Roman"/>
          <w:sz w:val="24"/>
          <w:szCs w:val="24"/>
          <w:lang w:val="fr-BE" w:eastAsia="wo-SN"/>
        </w:rPr>
        <w:t xml:space="preserve"> : 600 ha </w:t>
      </w:r>
    </w:p>
    <w:p w14:paraId="46E8FC49"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 </w:t>
      </w:r>
    </w:p>
    <w:p w14:paraId="73234858"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 forêt est située à proximité de la ville de Boghé. Elle est relativement bien conservée à l’époque de la présente étude (2004) avec une légère incursion de périmètres agricoles de coopératives locales.   </w:t>
      </w:r>
    </w:p>
    <w:p w14:paraId="2B9B5147"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0089EDA2"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r w:rsidRPr="00C07990">
        <w:rPr>
          <w:rFonts w:ascii="Century Gothic" w:eastAsia="Times New Roman" w:hAnsi="Century Gothic" w:cs="Times New Roman"/>
          <w:noProof/>
          <w:sz w:val="24"/>
          <w:szCs w:val="24"/>
          <w:lang w:eastAsia="wo-SN"/>
        </w:rPr>
        <w:drawing>
          <wp:inline distT="0" distB="0" distL="0" distR="0" wp14:anchorId="3206B7A5" wp14:editId="46BFF96D">
            <wp:extent cx="5760720" cy="5452110"/>
            <wp:effectExtent l="0" t="0" r="0" b="0"/>
            <wp:docPr id="113"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60720" cy="5452110"/>
                    </a:xfrm>
                    <a:prstGeom prst="rect">
                      <a:avLst/>
                    </a:prstGeom>
                    <a:noFill/>
                    <a:ln>
                      <a:noFill/>
                    </a:ln>
                  </pic:spPr>
                </pic:pic>
              </a:graphicData>
            </a:graphic>
          </wp:inline>
        </w:drawing>
      </w:r>
    </w:p>
    <w:p w14:paraId="466E155A"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p>
    <w:p w14:paraId="0835EBB3" w14:textId="77777777" w:rsidR="005625B5" w:rsidRPr="001839C6" w:rsidRDefault="005625B5" w:rsidP="005625B5">
      <w:pPr>
        <w:spacing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Coordonnées GPS (forêt classée de Ganki)</w:t>
      </w:r>
      <w:r w:rsidRPr="001839C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6"/>
        <w:gridCol w:w="3021"/>
      </w:tblGrid>
      <w:tr w:rsidR="005625B5" w:rsidRPr="005F17FF" w14:paraId="79F28757" w14:textId="77777777" w:rsidTr="00FB354B">
        <w:tc>
          <w:tcPr>
            <w:tcW w:w="3070" w:type="dxa"/>
            <w:shd w:val="clear" w:color="auto" w:fill="auto"/>
          </w:tcPr>
          <w:p w14:paraId="179FF457" w14:textId="77777777" w:rsidR="005625B5" w:rsidRPr="001839C6"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6E6D7DE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7984E28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11B4203A" w14:textId="77777777" w:rsidTr="00FB354B">
        <w:tc>
          <w:tcPr>
            <w:tcW w:w="3070" w:type="dxa"/>
            <w:shd w:val="clear" w:color="auto" w:fill="auto"/>
          </w:tcPr>
          <w:p w14:paraId="683F070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54FD32BE"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577751</w:t>
            </w:r>
          </w:p>
        </w:tc>
        <w:tc>
          <w:tcPr>
            <w:tcW w:w="3071" w:type="dxa"/>
            <w:shd w:val="clear" w:color="auto" w:fill="auto"/>
          </w:tcPr>
          <w:p w14:paraId="10907A65"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1831 299</w:t>
            </w:r>
          </w:p>
        </w:tc>
      </w:tr>
      <w:tr w:rsidR="005625B5" w:rsidRPr="005F17FF" w14:paraId="74D939B0" w14:textId="77777777" w:rsidTr="00FB354B">
        <w:tc>
          <w:tcPr>
            <w:tcW w:w="3070" w:type="dxa"/>
            <w:shd w:val="clear" w:color="auto" w:fill="auto"/>
          </w:tcPr>
          <w:p w14:paraId="4645190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63DCFD39"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580086</w:t>
            </w:r>
          </w:p>
        </w:tc>
        <w:tc>
          <w:tcPr>
            <w:tcW w:w="3071" w:type="dxa"/>
            <w:shd w:val="clear" w:color="auto" w:fill="auto"/>
          </w:tcPr>
          <w:p w14:paraId="2FEB66F3"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1829 113</w:t>
            </w:r>
          </w:p>
        </w:tc>
      </w:tr>
      <w:tr w:rsidR="005625B5" w:rsidRPr="005F17FF" w14:paraId="27B8290D" w14:textId="77777777" w:rsidTr="00FB354B">
        <w:tc>
          <w:tcPr>
            <w:tcW w:w="3070" w:type="dxa"/>
            <w:shd w:val="clear" w:color="auto" w:fill="auto"/>
          </w:tcPr>
          <w:p w14:paraId="4C8704B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72CD5412" w14:textId="77777777" w:rsidR="005625B5" w:rsidRPr="005F17FF" w:rsidRDefault="005625B5" w:rsidP="00FB354B">
            <w:pPr>
              <w:spacing w:after="0" w:line="276" w:lineRule="auto"/>
              <w:jc w:val="center"/>
              <w:rPr>
                <w:rFonts w:ascii="Century Gothic" w:hAnsi="Century Gothic" w:cs="Times New Roman"/>
                <w:sz w:val="20"/>
                <w:szCs w:val="20"/>
              </w:rPr>
            </w:pPr>
          </w:p>
        </w:tc>
        <w:tc>
          <w:tcPr>
            <w:tcW w:w="3071" w:type="dxa"/>
            <w:shd w:val="clear" w:color="auto" w:fill="auto"/>
          </w:tcPr>
          <w:p w14:paraId="4A1F2415" w14:textId="77777777" w:rsidR="005625B5" w:rsidRPr="005F17FF" w:rsidRDefault="005625B5" w:rsidP="00FB354B">
            <w:pPr>
              <w:spacing w:after="0" w:line="276" w:lineRule="auto"/>
              <w:jc w:val="center"/>
              <w:rPr>
                <w:rFonts w:ascii="Century Gothic" w:hAnsi="Century Gothic" w:cs="Times New Roman"/>
                <w:sz w:val="20"/>
                <w:szCs w:val="20"/>
              </w:rPr>
            </w:pPr>
          </w:p>
        </w:tc>
      </w:tr>
      <w:tr w:rsidR="005625B5" w:rsidRPr="005F17FF" w14:paraId="7D63C5EF" w14:textId="77777777" w:rsidTr="00FB354B">
        <w:tc>
          <w:tcPr>
            <w:tcW w:w="3070" w:type="dxa"/>
            <w:shd w:val="clear" w:color="auto" w:fill="auto"/>
          </w:tcPr>
          <w:p w14:paraId="5F0B8F0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597A8E9A" w14:textId="77777777" w:rsidR="005625B5" w:rsidRPr="005F17FF" w:rsidRDefault="005625B5" w:rsidP="00FB354B">
            <w:pPr>
              <w:spacing w:after="0" w:line="276" w:lineRule="auto"/>
              <w:jc w:val="center"/>
              <w:rPr>
                <w:rFonts w:ascii="Century Gothic" w:hAnsi="Century Gothic" w:cs="Times New Roman"/>
                <w:sz w:val="20"/>
                <w:szCs w:val="20"/>
              </w:rPr>
            </w:pPr>
          </w:p>
        </w:tc>
        <w:tc>
          <w:tcPr>
            <w:tcW w:w="3071" w:type="dxa"/>
            <w:shd w:val="clear" w:color="auto" w:fill="auto"/>
          </w:tcPr>
          <w:p w14:paraId="4DBD9757" w14:textId="77777777" w:rsidR="005625B5" w:rsidRPr="005F17FF" w:rsidRDefault="005625B5" w:rsidP="00FB354B">
            <w:pPr>
              <w:spacing w:after="0" w:line="276" w:lineRule="auto"/>
              <w:jc w:val="center"/>
              <w:rPr>
                <w:rFonts w:ascii="Century Gothic" w:hAnsi="Century Gothic" w:cs="Times New Roman"/>
                <w:sz w:val="20"/>
                <w:szCs w:val="20"/>
              </w:rPr>
            </w:pPr>
          </w:p>
        </w:tc>
      </w:tr>
    </w:tbl>
    <w:p w14:paraId="77AD6026"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514E9B99"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sidRPr="009E6E57">
        <w:rPr>
          <w:rFonts w:ascii="Century Gothic" w:eastAsia="Times New Roman" w:hAnsi="Century Gothic" w:cs="Times New Roman"/>
          <w:sz w:val="24"/>
          <w:szCs w:val="24"/>
          <w:lang w:val="fr-BE" w:eastAsia="wo-SN"/>
        </w:rPr>
        <w:br w:type="page"/>
      </w:r>
      <w:r w:rsidRPr="009E6E57">
        <w:rPr>
          <w:rFonts w:ascii="Century Gothic" w:eastAsia="Times New Roman" w:hAnsi="Century Gothic" w:cs="Times New Roman"/>
          <w:b/>
          <w:bCs/>
          <w:sz w:val="24"/>
          <w:szCs w:val="24"/>
          <w:lang w:val="fr-BE" w:eastAsia="wo-SN"/>
        </w:rPr>
        <w:t>Wilaya du Gorgol</w:t>
      </w:r>
      <w:r>
        <w:rPr>
          <w:rFonts w:ascii="Century Gothic" w:eastAsia="Times New Roman" w:hAnsi="Century Gothic" w:cs="Times New Roman"/>
          <w:sz w:val="24"/>
          <w:szCs w:val="24"/>
          <w:lang w:val="fr-BE" w:eastAsia="wo-SN"/>
        </w:rPr>
        <w:t xml:space="preserve"> : </w:t>
      </w:r>
    </w:p>
    <w:p w14:paraId="4FB417EB"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4B067C52" w14:textId="77777777" w:rsidR="005625B5" w:rsidRDefault="005625B5" w:rsidP="005625B5">
      <w:pPr>
        <w:numPr>
          <w:ilvl w:val="0"/>
          <w:numId w:val="62"/>
        </w:numPr>
        <w:tabs>
          <w:tab w:val="left" w:pos="426"/>
        </w:tabs>
        <w:spacing w:after="0" w:line="276" w:lineRule="auto"/>
        <w:jc w:val="both"/>
        <w:rPr>
          <w:rFonts w:ascii="Century Gothic" w:eastAsia="Times New Roman" w:hAnsi="Century Gothic" w:cs="Times New Roman"/>
          <w:sz w:val="24"/>
          <w:szCs w:val="24"/>
          <w:lang w:val="fr-BE" w:eastAsia="wo-SN"/>
        </w:rPr>
      </w:pPr>
      <w:r w:rsidRPr="009E6E57">
        <w:rPr>
          <w:rFonts w:ascii="Century Gothic" w:eastAsia="Times New Roman" w:hAnsi="Century Gothic" w:cs="Times New Roman"/>
          <w:b/>
          <w:bCs/>
          <w:sz w:val="24"/>
          <w:szCs w:val="24"/>
          <w:lang w:val="fr-BE" w:eastAsia="wo-SN"/>
        </w:rPr>
        <w:t>Forêt classée de Dao</w:t>
      </w:r>
      <w:r>
        <w:rPr>
          <w:rFonts w:ascii="Century Gothic" w:eastAsia="Times New Roman" w:hAnsi="Century Gothic" w:cs="Times New Roman"/>
          <w:sz w:val="24"/>
          <w:szCs w:val="24"/>
          <w:lang w:val="fr-BE" w:eastAsia="wo-SN"/>
        </w:rPr>
        <w:t xml:space="preserve"> : 958 ha </w:t>
      </w:r>
    </w:p>
    <w:p w14:paraId="52DC297C"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63304FC3"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 forêt est située à environ 100 km de la ville de Kaédi. Elle est relativement bien conservée à l’époque de l’étude (2004). On note la présence de villages peuls qui se sont sédentarisés aux alentours et à l’intérieur de la forêt. </w:t>
      </w:r>
    </w:p>
    <w:p w14:paraId="4F70E440"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val="fr-BE" w:eastAsia="wo-SN"/>
        </w:rPr>
      </w:pPr>
    </w:p>
    <w:p w14:paraId="38F1411E"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r w:rsidRPr="00C07990">
        <w:rPr>
          <w:rFonts w:ascii="Century Gothic" w:eastAsia="Times New Roman" w:hAnsi="Century Gothic" w:cs="Times New Roman"/>
          <w:noProof/>
          <w:sz w:val="24"/>
          <w:szCs w:val="24"/>
          <w:lang w:eastAsia="wo-SN"/>
        </w:rPr>
        <w:drawing>
          <wp:inline distT="0" distB="0" distL="0" distR="0" wp14:anchorId="4DD0A52F" wp14:editId="585DED11">
            <wp:extent cx="5762625" cy="4411345"/>
            <wp:effectExtent l="0" t="0" r="0" b="0"/>
            <wp:docPr id="11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62625" cy="4411345"/>
                    </a:xfrm>
                    <a:prstGeom prst="rect">
                      <a:avLst/>
                    </a:prstGeom>
                    <a:noFill/>
                    <a:ln>
                      <a:noFill/>
                    </a:ln>
                  </pic:spPr>
                </pic:pic>
              </a:graphicData>
            </a:graphic>
          </wp:inline>
        </w:drawing>
      </w:r>
    </w:p>
    <w:p w14:paraId="1A5BFBE2"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p>
    <w:p w14:paraId="55DADABA" w14:textId="77777777" w:rsidR="005625B5" w:rsidRPr="001839C6" w:rsidRDefault="005625B5" w:rsidP="005625B5">
      <w:pPr>
        <w:spacing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Coordonnées GPS (forêt classée de Dao)</w:t>
      </w:r>
      <w:r w:rsidRPr="001839C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6"/>
        <w:gridCol w:w="3021"/>
      </w:tblGrid>
      <w:tr w:rsidR="005625B5" w:rsidRPr="005F17FF" w14:paraId="012CAF4F" w14:textId="77777777" w:rsidTr="00FB354B">
        <w:tc>
          <w:tcPr>
            <w:tcW w:w="3070" w:type="dxa"/>
            <w:shd w:val="clear" w:color="auto" w:fill="auto"/>
          </w:tcPr>
          <w:p w14:paraId="4805F24D" w14:textId="77777777" w:rsidR="005625B5" w:rsidRPr="001839C6"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272D60EC"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12EBF542"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16ED4519" w14:textId="77777777" w:rsidTr="00FB354B">
        <w:tc>
          <w:tcPr>
            <w:tcW w:w="3070" w:type="dxa"/>
            <w:shd w:val="clear" w:color="auto" w:fill="auto"/>
          </w:tcPr>
          <w:p w14:paraId="2A4E245F"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12D60C9C"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713779</w:t>
            </w:r>
          </w:p>
        </w:tc>
        <w:tc>
          <w:tcPr>
            <w:tcW w:w="3071" w:type="dxa"/>
            <w:shd w:val="clear" w:color="auto" w:fill="auto"/>
          </w:tcPr>
          <w:p w14:paraId="38AE6F36"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171 3694</w:t>
            </w:r>
          </w:p>
        </w:tc>
      </w:tr>
      <w:tr w:rsidR="005625B5" w:rsidRPr="005F17FF" w14:paraId="066543C2" w14:textId="77777777" w:rsidTr="00FB354B">
        <w:tc>
          <w:tcPr>
            <w:tcW w:w="3070" w:type="dxa"/>
            <w:shd w:val="clear" w:color="auto" w:fill="auto"/>
          </w:tcPr>
          <w:p w14:paraId="27807D0A"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0749C1E0"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713355</w:t>
            </w:r>
          </w:p>
        </w:tc>
        <w:tc>
          <w:tcPr>
            <w:tcW w:w="3071" w:type="dxa"/>
            <w:shd w:val="clear" w:color="auto" w:fill="auto"/>
          </w:tcPr>
          <w:p w14:paraId="339F6EAA"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171 3826</w:t>
            </w:r>
          </w:p>
        </w:tc>
      </w:tr>
      <w:tr w:rsidR="005625B5" w:rsidRPr="005F17FF" w14:paraId="6C4334C5" w14:textId="77777777" w:rsidTr="00FB354B">
        <w:tc>
          <w:tcPr>
            <w:tcW w:w="3070" w:type="dxa"/>
            <w:shd w:val="clear" w:color="auto" w:fill="auto"/>
          </w:tcPr>
          <w:p w14:paraId="75E50E57"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6F640787"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713060</w:t>
            </w:r>
          </w:p>
        </w:tc>
        <w:tc>
          <w:tcPr>
            <w:tcW w:w="3071" w:type="dxa"/>
            <w:shd w:val="clear" w:color="auto" w:fill="auto"/>
          </w:tcPr>
          <w:p w14:paraId="6B81C3D8"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1713 921</w:t>
            </w:r>
          </w:p>
        </w:tc>
      </w:tr>
      <w:tr w:rsidR="005625B5" w:rsidRPr="005F17FF" w14:paraId="5B53F5C9" w14:textId="77777777" w:rsidTr="00FB354B">
        <w:tc>
          <w:tcPr>
            <w:tcW w:w="3070" w:type="dxa"/>
            <w:shd w:val="clear" w:color="auto" w:fill="auto"/>
          </w:tcPr>
          <w:p w14:paraId="694C5AC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3143962E"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706819</w:t>
            </w:r>
          </w:p>
        </w:tc>
        <w:tc>
          <w:tcPr>
            <w:tcW w:w="3071" w:type="dxa"/>
            <w:shd w:val="clear" w:color="auto" w:fill="auto"/>
          </w:tcPr>
          <w:p w14:paraId="08E52F4B"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1713 053</w:t>
            </w:r>
          </w:p>
        </w:tc>
      </w:tr>
    </w:tbl>
    <w:p w14:paraId="3F08F9EF"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56691E77"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19C29080"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582E4D19" w14:textId="77777777" w:rsidR="005625B5" w:rsidRDefault="005625B5" w:rsidP="005625B5">
      <w:pPr>
        <w:numPr>
          <w:ilvl w:val="0"/>
          <w:numId w:val="62"/>
        </w:numPr>
        <w:tabs>
          <w:tab w:val="left" w:pos="426"/>
        </w:tabs>
        <w:spacing w:after="0" w:line="276" w:lineRule="auto"/>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br w:type="page"/>
      </w:r>
      <w:r w:rsidRPr="00110254">
        <w:rPr>
          <w:rFonts w:ascii="Century Gothic" w:eastAsia="Times New Roman" w:hAnsi="Century Gothic" w:cs="Times New Roman"/>
          <w:b/>
          <w:bCs/>
          <w:sz w:val="24"/>
          <w:szCs w:val="24"/>
          <w:lang w:val="fr-BE" w:eastAsia="wo-SN"/>
        </w:rPr>
        <w:t>Forêt classée de Dindi</w:t>
      </w:r>
      <w:r>
        <w:rPr>
          <w:rFonts w:ascii="Century Gothic" w:eastAsia="Times New Roman" w:hAnsi="Century Gothic" w:cs="Times New Roman"/>
          <w:sz w:val="24"/>
          <w:szCs w:val="24"/>
          <w:lang w:val="fr-BE" w:eastAsia="wo-SN"/>
        </w:rPr>
        <w:t> : 395 ha</w:t>
      </w:r>
    </w:p>
    <w:p w14:paraId="0350A6AE"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48171895"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 forêt est située à 35 km de la ville de Kaédi. C’est une forêt relativement bien conservée. L’étude de 2004 a noté la présence de pistes bien tracées démontrant un trafic auquel elle faisait l’objet. Ce trafic (par charrettes) porte sur des produits ligneux et non ligneux et autres produits avec le Sénégal et le reste du pays. </w:t>
      </w:r>
    </w:p>
    <w:p w14:paraId="3916EEE3"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3FD75461"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Selon la même étude, la carbonisation est pratiquée à petite échelle mais cette manière régulière. Cette pratique permettait aux charbonniers de se ravitailler avec des complicités locales. La forêt connaissait donc une destruction/dégradation chronique et continue.        </w:t>
      </w:r>
    </w:p>
    <w:p w14:paraId="42CCE5E1"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499BBE02"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r w:rsidRPr="00C07990">
        <w:rPr>
          <w:rFonts w:ascii="Century Gothic" w:eastAsia="Times New Roman" w:hAnsi="Century Gothic" w:cs="Times New Roman"/>
          <w:noProof/>
          <w:sz w:val="24"/>
          <w:szCs w:val="24"/>
          <w:lang w:eastAsia="wo-SN"/>
        </w:rPr>
        <w:drawing>
          <wp:inline distT="0" distB="0" distL="0" distR="0" wp14:anchorId="265C7BB8" wp14:editId="450313D1">
            <wp:extent cx="5760720" cy="3864610"/>
            <wp:effectExtent l="0" t="0" r="0" b="0"/>
            <wp:docPr id="11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60720" cy="3864610"/>
                    </a:xfrm>
                    <a:prstGeom prst="rect">
                      <a:avLst/>
                    </a:prstGeom>
                    <a:noFill/>
                    <a:ln>
                      <a:noFill/>
                    </a:ln>
                  </pic:spPr>
                </pic:pic>
              </a:graphicData>
            </a:graphic>
          </wp:inline>
        </w:drawing>
      </w:r>
    </w:p>
    <w:p w14:paraId="76D52153"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p>
    <w:p w14:paraId="696C5BBF" w14:textId="77777777" w:rsidR="005625B5" w:rsidRPr="001839C6" w:rsidRDefault="005625B5" w:rsidP="005625B5">
      <w:pPr>
        <w:spacing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Coordonnées GPS (forêt classée de Dindi)</w:t>
      </w:r>
      <w:r w:rsidRPr="001839C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6"/>
        <w:gridCol w:w="3021"/>
      </w:tblGrid>
      <w:tr w:rsidR="005625B5" w:rsidRPr="005F17FF" w14:paraId="1D193F05" w14:textId="77777777" w:rsidTr="00FB354B">
        <w:tc>
          <w:tcPr>
            <w:tcW w:w="3070" w:type="dxa"/>
            <w:shd w:val="clear" w:color="auto" w:fill="auto"/>
          </w:tcPr>
          <w:p w14:paraId="7D088C1E" w14:textId="77777777" w:rsidR="005625B5" w:rsidRPr="001839C6"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4BF46404"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79ADD6E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7B474632" w14:textId="77777777" w:rsidTr="00FB354B">
        <w:tc>
          <w:tcPr>
            <w:tcW w:w="3070" w:type="dxa"/>
            <w:shd w:val="clear" w:color="auto" w:fill="auto"/>
          </w:tcPr>
          <w:p w14:paraId="6C936F2A"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6F1CA1FB"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679668</w:t>
            </w:r>
          </w:p>
        </w:tc>
        <w:tc>
          <w:tcPr>
            <w:tcW w:w="3071" w:type="dxa"/>
            <w:shd w:val="clear" w:color="auto" w:fill="auto"/>
          </w:tcPr>
          <w:p w14:paraId="387F009D"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1759 275</w:t>
            </w:r>
          </w:p>
        </w:tc>
      </w:tr>
      <w:tr w:rsidR="005625B5" w:rsidRPr="005F17FF" w14:paraId="2E78B9DD" w14:textId="77777777" w:rsidTr="00FB354B">
        <w:tc>
          <w:tcPr>
            <w:tcW w:w="3070" w:type="dxa"/>
            <w:shd w:val="clear" w:color="auto" w:fill="auto"/>
          </w:tcPr>
          <w:p w14:paraId="785CF115"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2099BBD3"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680807</w:t>
            </w:r>
          </w:p>
        </w:tc>
        <w:tc>
          <w:tcPr>
            <w:tcW w:w="3071" w:type="dxa"/>
            <w:shd w:val="clear" w:color="auto" w:fill="auto"/>
          </w:tcPr>
          <w:p w14:paraId="44C7579B"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1758 810</w:t>
            </w:r>
          </w:p>
        </w:tc>
      </w:tr>
      <w:tr w:rsidR="005625B5" w:rsidRPr="005F17FF" w14:paraId="5AEBE490" w14:textId="77777777" w:rsidTr="00FB354B">
        <w:tc>
          <w:tcPr>
            <w:tcW w:w="3070" w:type="dxa"/>
            <w:shd w:val="clear" w:color="auto" w:fill="auto"/>
          </w:tcPr>
          <w:p w14:paraId="687F23FB"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70944612"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681353</w:t>
            </w:r>
          </w:p>
        </w:tc>
        <w:tc>
          <w:tcPr>
            <w:tcW w:w="3071" w:type="dxa"/>
            <w:shd w:val="clear" w:color="auto" w:fill="auto"/>
          </w:tcPr>
          <w:p w14:paraId="03512458"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1756 893</w:t>
            </w:r>
          </w:p>
        </w:tc>
      </w:tr>
      <w:tr w:rsidR="005625B5" w:rsidRPr="005F17FF" w14:paraId="5AE52C37" w14:textId="77777777" w:rsidTr="00FB354B">
        <w:tc>
          <w:tcPr>
            <w:tcW w:w="3070" w:type="dxa"/>
            <w:shd w:val="clear" w:color="auto" w:fill="auto"/>
          </w:tcPr>
          <w:p w14:paraId="26AC42AE"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3986D9F0"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679241</w:t>
            </w:r>
          </w:p>
        </w:tc>
        <w:tc>
          <w:tcPr>
            <w:tcW w:w="3071" w:type="dxa"/>
            <w:shd w:val="clear" w:color="auto" w:fill="auto"/>
          </w:tcPr>
          <w:p w14:paraId="0563A608"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1758 187</w:t>
            </w:r>
          </w:p>
        </w:tc>
      </w:tr>
    </w:tbl>
    <w:p w14:paraId="24DE135F"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7699F1BC" w14:textId="77777777" w:rsidR="005625B5" w:rsidRDefault="005625B5" w:rsidP="005625B5">
      <w:pPr>
        <w:numPr>
          <w:ilvl w:val="0"/>
          <w:numId w:val="62"/>
        </w:numPr>
        <w:tabs>
          <w:tab w:val="left" w:pos="426"/>
        </w:tabs>
        <w:spacing w:after="0" w:line="276" w:lineRule="auto"/>
        <w:jc w:val="both"/>
        <w:rPr>
          <w:rFonts w:ascii="Century Gothic" w:eastAsia="Times New Roman" w:hAnsi="Century Gothic" w:cs="Times New Roman"/>
          <w:sz w:val="24"/>
          <w:szCs w:val="24"/>
          <w:lang w:val="fr-BE" w:eastAsia="wo-SN"/>
        </w:rPr>
      </w:pPr>
      <w:r w:rsidRPr="00DA7376">
        <w:rPr>
          <w:rFonts w:ascii="Century Gothic" w:eastAsia="Times New Roman" w:hAnsi="Century Gothic" w:cs="Times New Roman"/>
          <w:b/>
          <w:bCs/>
          <w:sz w:val="24"/>
          <w:szCs w:val="24"/>
          <w:lang w:val="fr-BE" w:eastAsia="wo-SN"/>
        </w:rPr>
        <w:t>Forêt classée de Djorbivol</w:t>
      </w:r>
      <w:r>
        <w:rPr>
          <w:rFonts w:ascii="Century Gothic" w:eastAsia="Times New Roman" w:hAnsi="Century Gothic" w:cs="Times New Roman"/>
          <w:sz w:val="24"/>
          <w:szCs w:val="24"/>
          <w:lang w:val="fr-BE" w:eastAsia="wo-SN"/>
        </w:rPr>
        <w:t xml:space="preserve"> : 754 ha </w:t>
      </w:r>
    </w:p>
    <w:p w14:paraId="0ADBAB6B"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284BCD90"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r>
        <w:rPr>
          <w:rFonts w:ascii="Century Gothic" w:eastAsia="Times New Roman" w:hAnsi="Century Gothic" w:cs="Times New Roman"/>
          <w:sz w:val="24"/>
          <w:szCs w:val="24"/>
          <w:lang w:val="fr-BE" w:eastAsia="wo-SN"/>
        </w:rPr>
        <w:t xml:space="preserve">La forêt classée de Djorbivol est appelée également la forêt de Néré Walo. C’est l’unique forêt classée bornée et avec des gardiens payés à l’époque de l’étude, en 2004. </w:t>
      </w:r>
    </w:p>
    <w:p w14:paraId="7F19CECC"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1C1F5EE0" w14:textId="77777777" w:rsidR="005625B5" w:rsidRDefault="005625B5" w:rsidP="005625B5">
      <w:pPr>
        <w:tabs>
          <w:tab w:val="left" w:pos="426"/>
        </w:tabs>
        <w:spacing w:after="0" w:line="276" w:lineRule="auto"/>
        <w:jc w:val="center"/>
        <w:rPr>
          <w:rFonts w:ascii="Century Gothic" w:eastAsia="Times New Roman" w:hAnsi="Century Gothic" w:cs="Times New Roman"/>
          <w:sz w:val="24"/>
          <w:szCs w:val="24"/>
          <w:lang w:val="fr-BE" w:eastAsia="wo-SN"/>
        </w:rPr>
      </w:pPr>
      <w:r w:rsidRPr="00C07990">
        <w:rPr>
          <w:rFonts w:ascii="Century Gothic" w:eastAsia="Times New Roman" w:hAnsi="Century Gothic" w:cs="Times New Roman"/>
          <w:noProof/>
          <w:sz w:val="24"/>
          <w:szCs w:val="24"/>
          <w:lang w:eastAsia="wo-SN"/>
        </w:rPr>
        <w:drawing>
          <wp:inline distT="0" distB="0" distL="0" distR="0" wp14:anchorId="221C07D4" wp14:editId="28650DC2">
            <wp:extent cx="4076065" cy="2165985"/>
            <wp:effectExtent l="0" t="0" r="0" b="0"/>
            <wp:docPr id="1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076065" cy="2165985"/>
                    </a:xfrm>
                    <a:prstGeom prst="rect">
                      <a:avLst/>
                    </a:prstGeom>
                    <a:noFill/>
                    <a:ln>
                      <a:noFill/>
                    </a:ln>
                  </pic:spPr>
                </pic:pic>
              </a:graphicData>
            </a:graphic>
          </wp:inline>
        </w:drawing>
      </w:r>
    </w:p>
    <w:p w14:paraId="7A87671A"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378B4556"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r w:rsidRPr="00C07990">
        <w:rPr>
          <w:rFonts w:ascii="Century Gothic" w:eastAsia="Times New Roman" w:hAnsi="Century Gothic" w:cs="Times New Roman"/>
          <w:noProof/>
          <w:sz w:val="24"/>
          <w:szCs w:val="24"/>
          <w:lang w:eastAsia="wo-SN"/>
        </w:rPr>
        <w:drawing>
          <wp:inline distT="0" distB="0" distL="0" distR="0" wp14:anchorId="47CD98BA" wp14:editId="3568FBD3">
            <wp:extent cx="5760720" cy="2973070"/>
            <wp:effectExtent l="0" t="0" r="0" b="0"/>
            <wp:docPr id="11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60720" cy="2973070"/>
                    </a:xfrm>
                    <a:prstGeom prst="rect">
                      <a:avLst/>
                    </a:prstGeom>
                    <a:noFill/>
                    <a:ln>
                      <a:noFill/>
                    </a:ln>
                  </pic:spPr>
                </pic:pic>
              </a:graphicData>
            </a:graphic>
          </wp:inline>
        </w:drawing>
      </w:r>
    </w:p>
    <w:p w14:paraId="74EFB580" w14:textId="77777777" w:rsidR="005625B5" w:rsidRDefault="005625B5" w:rsidP="005625B5">
      <w:pPr>
        <w:tabs>
          <w:tab w:val="left" w:pos="426"/>
        </w:tabs>
        <w:spacing w:after="0" w:line="276" w:lineRule="auto"/>
        <w:jc w:val="center"/>
        <w:rPr>
          <w:rFonts w:ascii="Century Gothic" w:eastAsia="Times New Roman" w:hAnsi="Century Gothic" w:cs="Times New Roman"/>
          <w:noProof/>
          <w:sz w:val="24"/>
          <w:szCs w:val="24"/>
          <w:lang w:eastAsia="wo-SN"/>
        </w:rPr>
      </w:pPr>
    </w:p>
    <w:p w14:paraId="2B12F7B9" w14:textId="77777777" w:rsidR="005625B5" w:rsidRPr="001839C6" w:rsidRDefault="005625B5" w:rsidP="005625B5">
      <w:pPr>
        <w:spacing w:line="276" w:lineRule="auto"/>
        <w:jc w:val="both"/>
        <w:rPr>
          <w:rFonts w:ascii="Century Gothic" w:hAnsi="Century Gothic" w:cs="Times New Roman"/>
          <w:b/>
          <w:bCs/>
          <w:sz w:val="20"/>
          <w:szCs w:val="20"/>
        </w:rPr>
      </w:pPr>
      <w:r w:rsidRPr="001839C6">
        <w:rPr>
          <w:rFonts w:ascii="Century Gothic" w:hAnsi="Century Gothic" w:cs="Times New Roman"/>
          <w:b/>
          <w:bCs/>
          <w:sz w:val="20"/>
          <w:szCs w:val="20"/>
          <w:u w:val="single"/>
        </w:rPr>
        <w:t>Coordonnées GPS (forêt classée de Djorbivol)</w:t>
      </w:r>
      <w:r w:rsidRPr="001839C6">
        <w:rPr>
          <w:rFonts w:ascii="Century Gothic" w:hAnsi="Century Gothic" w:cs="Times New Roman"/>
          <w:b/>
          <w:bCs/>
          <w:sz w:val="20"/>
          <w:szCs w:val="2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6"/>
        <w:gridCol w:w="3021"/>
      </w:tblGrid>
      <w:tr w:rsidR="005625B5" w:rsidRPr="005F17FF" w14:paraId="658E1189" w14:textId="77777777" w:rsidTr="00FB354B">
        <w:tc>
          <w:tcPr>
            <w:tcW w:w="3070" w:type="dxa"/>
            <w:shd w:val="clear" w:color="auto" w:fill="auto"/>
          </w:tcPr>
          <w:p w14:paraId="11B63061" w14:textId="77777777" w:rsidR="005625B5" w:rsidRPr="001839C6" w:rsidRDefault="005625B5" w:rsidP="00FB354B">
            <w:pPr>
              <w:spacing w:after="0" w:line="276" w:lineRule="auto"/>
              <w:jc w:val="both"/>
              <w:rPr>
                <w:rFonts w:ascii="Century Gothic" w:hAnsi="Century Gothic" w:cs="Times New Roman"/>
                <w:sz w:val="20"/>
                <w:szCs w:val="20"/>
              </w:rPr>
            </w:pPr>
          </w:p>
        </w:tc>
        <w:tc>
          <w:tcPr>
            <w:tcW w:w="3071" w:type="dxa"/>
            <w:shd w:val="clear" w:color="auto" w:fill="auto"/>
          </w:tcPr>
          <w:p w14:paraId="156AA73F"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X</w:t>
            </w:r>
          </w:p>
        </w:tc>
        <w:tc>
          <w:tcPr>
            <w:tcW w:w="3071" w:type="dxa"/>
            <w:shd w:val="clear" w:color="auto" w:fill="auto"/>
          </w:tcPr>
          <w:p w14:paraId="379EE39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Y</w:t>
            </w:r>
          </w:p>
        </w:tc>
      </w:tr>
      <w:tr w:rsidR="005625B5" w:rsidRPr="005F17FF" w14:paraId="65BACAD7" w14:textId="77777777" w:rsidTr="00FB354B">
        <w:tc>
          <w:tcPr>
            <w:tcW w:w="3070" w:type="dxa"/>
            <w:shd w:val="clear" w:color="auto" w:fill="auto"/>
          </w:tcPr>
          <w:p w14:paraId="1643B460"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A</w:t>
            </w:r>
          </w:p>
        </w:tc>
        <w:tc>
          <w:tcPr>
            <w:tcW w:w="3071" w:type="dxa"/>
            <w:shd w:val="clear" w:color="auto" w:fill="auto"/>
          </w:tcPr>
          <w:p w14:paraId="3E6B872A"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637118</w:t>
            </w:r>
          </w:p>
        </w:tc>
        <w:tc>
          <w:tcPr>
            <w:tcW w:w="3071" w:type="dxa"/>
            <w:shd w:val="clear" w:color="auto" w:fill="auto"/>
          </w:tcPr>
          <w:p w14:paraId="3E2D2A41"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1785 445</w:t>
            </w:r>
          </w:p>
        </w:tc>
      </w:tr>
      <w:tr w:rsidR="005625B5" w:rsidRPr="005F17FF" w14:paraId="17597573" w14:textId="77777777" w:rsidTr="00FB354B">
        <w:tc>
          <w:tcPr>
            <w:tcW w:w="3070" w:type="dxa"/>
            <w:shd w:val="clear" w:color="auto" w:fill="auto"/>
          </w:tcPr>
          <w:p w14:paraId="4A048208"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B</w:t>
            </w:r>
          </w:p>
        </w:tc>
        <w:tc>
          <w:tcPr>
            <w:tcW w:w="3071" w:type="dxa"/>
            <w:shd w:val="clear" w:color="auto" w:fill="auto"/>
          </w:tcPr>
          <w:p w14:paraId="29FD4446"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639964</w:t>
            </w:r>
          </w:p>
        </w:tc>
        <w:tc>
          <w:tcPr>
            <w:tcW w:w="3071" w:type="dxa"/>
            <w:shd w:val="clear" w:color="auto" w:fill="auto"/>
          </w:tcPr>
          <w:p w14:paraId="74310353"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1783 294</w:t>
            </w:r>
          </w:p>
        </w:tc>
      </w:tr>
      <w:tr w:rsidR="005625B5" w:rsidRPr="005F17FF" w14:paraId="26985BCD" w14:textId="77777777" w:rsidTr="00FB354B">
        <w:tc>
          <w:tcPr>
            <w:tcW w:w="3070" w:type="dxa"/>
            <w:shd w:val="clear" w:color="auto" w:fill="auto"/>
          </w:tcPr>
          <w:p w14:paraId="5DFB7EA3"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C</w:t>
            </w:r>
          </w:p>
        </w:tc>
        <w:tc>
          <w:tcPr>
            <w:tcW w:w="3071" w:type="dxa"/>
            <w:shd w:val="clear" w:color="auto" w:fill="auto"/>
          </w:tcPr>
          <w:p w14:paraId="14362675"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642361</w:t>
            </w:r>
          </w:p>
        </w:tc>
        <w:tc>
          <w:tcPr>
            <w:tcW w:w="3071" w:type="dxa"/>
            <w:shd w:val="clear" w:color="auto" w:fill="auto"/>
          </w:tcPr>
          <w:p w14:paraId="7C6E17EA"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1781 791</w:t>
            </w:r>
          </w:p>
        </w:tc>
      </w:tr>
      <w:tr w:rsidR="005625B5" w:rsidRPr="005F17FF" w14:paraId="7C7622F8" w14:textId="77777777" w:rsidTr="00FB354B">
        <w:tc>
          <w:tcPr>
            <w:tcW w:w="3070" w:type="dxa"/>
            <w:shd w:val="clear" w:color="auto" w:fill="auto"/>
          </w:tcPr>
          <w:p w14:paraId="3E06A19D" w14:textId="77777777" w:rsidR="005625B5" w:rsidRPr="005F17FF" w:rsidRDefault="005625B5" w:rsidP="00FB354B">
            <w:pPr>
              <w:spacing w:after="0" w:line="276" w:lineRule="auto"/>
              <w:jc w:val="center"/>
              <w:rPr>
                <w:rFonts w:ascii="Century Gothic" w:hAnsi="Century Gothic" w:cs="Times New Roman"/>
                <w:sz w:val="20"/>
                <w:szCs w:val="20"/>
              </w:rPr>
            </w:pPr>
            <w:r w:rsidRPr="005F17FF">
              <w:rPr>
                <w:rFonts w:ascii="Century Gothic" w:hAnsi="Century Gothic" w:cs="Times New Roman"/>
                <w:sz w:val="20"/>
                <w:szCs w:val="20"/>
              </w:rPr>
              <w:t>D</w:t>
            </w:r>
          </w:p>
        </w:tc>
        <w:tc>
          <w:tcPr>
            <w:tcW w:w="3071" w:type="dxa"/>
            <w:shd w:val="clear" w:color="auto" w:fill="auto"/>
          </w:tcPr>
          <w:p w14:paraId="1F72CB38"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640269</w:t>
            </w:r>
          </w:p>
        </w:tc>
        <w:tc>
          <w:tcPr>
            <w:tcW w:w="3071" w:type="dxa"/>
            <w:shd w:val="clear" w:color="auto" w:fill="auto"/>
          </w:tcPr>
          <w:p w14:paraId="11EAEC41" w14:textId="77777777" w:rsidR="005625B5" w:rsidRPr="005F17FF" w:rsidRDefault="005625B5" w:rsidP="00FB354B">
            <w:pPr>
              <w:spacing w:after="0" w:line="276" w:lineRule="auto"/>
              <w:jc w:val="center"/>
              <w:rPr>
                <w:rFonts w:ascii="Century Gothic" w:hAnsi="Century Gothic" w:cs="Times New Roman"/>
                <w:sz w:val="20"/>
                <w:szCs w:val="20"/>
              </w:rPr>
            </w:pPr>
            <w:r>
              <w:rPr>
                <w:rFonts w:ascii="Century Gothic" w:hAnsi="Century Gothic" w:cs="Times New Roman"/>
                <w:sz w:val="20"/>
                <w:szCs w:val="20"/>
              </w:rPr>
              <w:t>1780 426</w:t>
            </w:r>
          </w:p>
        </w:tc>
      </w:tr>
    </w:tbl>
    <w:p w14:paraId="5B288E7C" w14:textId="77777777" w:rsidR="005625B5" w:rsidRDefault="005625B5" w:rsidP="005625B5">
      <w:pPr>
        <w:tabs>
          <w:tab w:val="left" w:pos="426"/>
        </w:tabs>
        <w:spacing w:after="0" w:line="276" w:lineRule="auto"/>
        <w:jc w:val="both"/>
        <w:rPr>
          <w:rFonts w:ascii="Century Gothic" w:eastAsia="Times New Roman" w:hAnsi="Century Gothic" w:cs="Times New Roman"/>
          <w:sz w:val="24"/>
          <w:szCs w:val="24"/>
          <w:lang w:val="fr-BE" w:eastAsia="wo-SN"/>
        </w:rPr>
      </w:pPr>
    </w:p>
    <w:p w14:paraId="3DEF17C5" w14:textId="77777777" w:rsidR="005625B5" w:rsidRPr="006E41BF" w:rsidRDefault="005625B5" w:rsidP="005625B5">
      <w:pPr>
        <w:tabs>
          <w:tab w:val="left" w:pos="426"/>
        </w:tabs>
        <w:spacing w:after="0" w:line="276" w:lineRule="auto"/>
        <w:ind w:left="1440" w:hanging="1440"/>
        <w:jc w:val="both"/>
        <w:rPr>
          <w:rFonts w:ascii="Century Gothic" w:eastAsia="Times New Roman" w:hAnsi="Century Gothic" w:cs="Times New Roman"/>
          <w:b/>
          <w:bCs/>
          <w:sz w:val="24"/>
          <w:szCs w:val="24"/>
          <w:lang w:eastAsia="wo-SN"/>
        </w:rPr>
      </w:pPr>
      <w:r>
        <w:rPr>
          <w:rFonts w:ascii="Century Gothic" w:eastAsia="Times New Roman" w:hAnsi="Century Gothic" w:cs="Times New Roman"/>
          <w:b/>
          <w:bCs/>
          <w:sz w:val="24"/>
          <w:szCs w:val="24"/>
          <w:lang w:eastAsia="wo-SN"/>
        </w:rPr>
        <w:br w:type="page"/>
        <w:t xml:space="preserve">Annexe 5 : </w:t>
      </w:r>
      <w:r>
        <w:rPr>
          <w:rFonts w:ascii="Century Gothic" w:eastAsia="Times New Roman" w:hAnsi="Century Gothic" w:cs="Times New Roman"/>
          <w:b/>
          <w:bCs/>
          <w:sz w:val="24"/>
          <w:szCs w:val="24"/>
          <w:lang w:eastAsia="wo-SN"/>
        </w:rPr>
        <w:tab/>
      </w:r>
      <w:r w:rsidRPr="006E41BF">
        <w:rPr>
          <w:rFonts w:ascii="Century Gothic" w:eastAsia="Times New Roman" w:hAnsi="Century Gothic" w:cs="Times New Roman"/>
          <w:b/>
          <w:bCs/>
          <w:sz w:val="24"/>
          <w:szCs w:val="24"/>
          <w:lang w:eastAsia="wo-SN"/>
        </w:rPr>
        <w:t>Plan d’aménagement simplifié (PAS) de la forêt de « Boul</w:t>
      </w:r>
      <w:r>
        <w:rPr>
          <w:rFonts w:ascii="Century Gothic" w:eastAsia="Times New Roman" w:hAnsi="Century Gothic" w:cs="Times New Roman"/>
          <w:b/>
          <w:bCs/>
          <w:sz w:val="24"/>
          <w:szCs w:val="24"/>
          <w:lang w:eastAsia="wo-SN"/>
        </w:rPr>
        <w:t>ly</w:t>
      </w:r>
      <w:r w:rsidRPr="006E41BF">
        <w:rPr>
          <w:rFonts w:ascii="Century Gothic" w:eastAsia="Times New Roman" w:hAnsi="Century Gothic" w:cs="Times New Roman"/>
          <w:b/>
          <w:bCs/>
          <w:sz w:val="24"/>
          <w:szCs w:val="24"/>
          <w:lang w:eastAsia="wo-SN"/>
        </w:rPr>
        <w:t xml:space="preserve"> Beldi » de l’espace GLC de Moudji Sud </w:t>
      </w:r>
    </w:p>
    <w:p w14:paraId="186FA98D" w14:textId="77777777" w:rsidR="005625B5" w:rsidRDefault="005625B5" w:rsidP="005625B5">
      <w:pPr>
        <w:pStyle w:val="Corpsdetexte"/>
        <w:spacing w:before="0" w:line="276" w:lineRule="auto"/>
        <w:ind w:right="137"/>
        <w:rPr>
          <w:rFonts w:ascii="Century Gothic" w:hAnsi="Century Gothic"/>
        </w:rPr>
      </w:pPr>
    </w:p>
    <w:p w14:paraId="0EC8368E" w14:textId="77777777" w:rsidR="005625B5" w:rsidRDefault="005625B5" w:rsidP="005625B5">
      <w:pPr>
        <w:pStyle w:val="Corpsdetexte"/>
        <w:spacing w:before="0" w:line="276" w:lineRule="auto"/>
        <w:ind w:right="137"/>
        <w:rPr>
          <w:rFonts w:ascii="Century Gothic" w:hAnsi="Century Gothic"/>
        </w:rPr>
      </w:pPr>
      <w:r w:rsidRPr="004A503E">
        <w:rPr>
          <w:rFonts w:ascii="Century Gothic" w:hAnsi="Century Gothic"/>
        </w:rPr>
        <w:t>L’espace de Gestion Locale Collective (espace GLC) de Moudji Sud dépend administrativement de la Wilaya du Guidimakha, de la Moughataa de Sélibaby et de la commune de Gouraye. Le chef-lieu de la commune concernée est Gouraye.</w:t>
      </w:r>
      <w:r>
        <w:rPr>
          <w:rFonts w:ascii="Century Gothic" w:hAnsi="Century Gothic"/>
        </w:rPr>
        <w:t xml:space="preserve"> </w:t>
      </w:r>
      <w:r w:rsidRPr="004A503E">
        <w:rPr>
          <w:rFonts w:ascii="Century Gothic" w:hAnsi="Century Gothic"/>
        </w:rPr>
        <w:t xml:space="preserve">L’espace GLC est limité au nord par le lit de l’oued entre Moudji </w:t>
      </w:r>
      <w:proofErr w:type="spellStart"/>
      <w:r w:rsidRPr="004A503E">
        <w:rPr>
          <w:rFonts w:ascii="Century Gothic" w:hAnsi="Century Gothic"/>
        </w:rPr>
        <w:t>Sissibé</w:t>
      </w:r>
      <w:proofErr w:type="spellEnd"/>
      <w:r w:rsidRPr="004A503E">
        <w:rPr>
          <w:rFonts w:ascii="Century Gothic" w:hAnsi="Century Gothic"/>
        </w:rPr>
        <w:t xml:space="preserve"> et Wendou Goubé, au sud, à l’est et à l’ouest par la ligne de partage des eaux du sous-bassin-versant de Sambakandji. </w:t>
      </w:r>
    </w:p>
    <w:p w14:paraId="31E19F22" w14:textId="77777777" w:rsidR="005625B5" w:rsidRDefault="005625B5" w:rsidP="005625B5">
      <w:pPr>
        <w:pStyle w:val="Corpsdetexte"/>
        <w:spacing w:before="0" w:line="276" w:lineRule="auto"/>
        <w:ind w:right="137"/>
        <w:rPr>
          <w:rFonts w:ascii="Century Gothic" w:hAnsi="Century Gothic"/>
        </w:rPr>
      </w:pPr>
    </w:p>
    <w:p w14:paraId="37A2A203" w14:textId="77777777" w:rsidR="005625B5" w:rsidRDefault="005625B5" w:rsidP="005625B5">
      <w:pPr>
        <w:pStyle w:val="Corpsdetexte"/>
        <w:spacing w:before="0" w:line="276" w:lineRule="auto"/>
        <w:ind w:right="137"/>
        <w:rPr>
          <w:rFonts w:ascii="Century Gothic" w:hAnsi="Century Gothic"/>
        </w:rPr>
      </w:pPr>
      <w:r>
        <w:rPr>
          <w:rFonts w:ascii="Century Gothic" w:hAnsi="Century Gothic"/>
        </w:rPr>
        <w:t>L</w:t>
      </w:r>
      <w:r w:rsidRPr="004A503E">
        <w:rPr>
          <w:rFonts w:ascii="Century Gothic" w:hAnsi="Century Gothic"/>
        </w:rPr>
        <w:t>a superficie</w:t>
      </w:r>
      <w:r>
        <w:rPr>
          <w:rFonts w:ascii="Century Gothic" w:hAnsi="Century Gothic"/>
        </w:rPr>
        <w:t xml:space="preserve"> de l’espace GLC</w:t>
      </w:r>
      <w:r w:rsidRPr="004A503E">
        <w:rPr>
          <w:rFonts w:ascii="Century Gothic" w:hAnsi="Century Gothic"/>
        </w:rPr>
        <w:t xml:space="preserve"> totale s’élève à 180 kilomètres carrés. Les principales localités de l’espace sont : Windou Goubé, Sabou</w:t>
      </w:r>
      <w:r w:rsidRPr="004A503E">
        <w:rPr>
          <w:rFonts w:ascii="Century Gothic" w:hAnsi="Century Gothic"/>
          <w:spacing w:val="-1"/>
        </w:rPr>
        <w:t xml:space="preserve"> </w:t>
      </w:r>
      <w:r w:rsidRPr="004A503E">
        <w:rPr>
          <w:rFonts w:ascii="Century Gothic" w:hAnsi="Century Gothic"/>
        </w:rPr>
        <w:t>Maure,</w:t>
      </w:r>
      <w:r w:rsidRPr="004A503E">
        <w:rPr>
          <w:rFonts w:ascii="Century Gothic" w:hAnsi="Century Gothic"/>
          <w:spacing w:val="-1"/>
        </w:rPr>
        <w:t xml:space="preserve"> </w:t>
      </w:r>
      <w:r w:rsidRPr="004A503E">
        <w:rPr>
          <w:rFonts w:ascii="Century Gothic" w:hAnsi="Century Gothic"/>
        </w:rPr>
        <w:t>Sabou</w:t>
      </w:r>
      <w:r w:rsidRPr="004A503E">
        <w:rPr>
          <w:rFonts w:ascii="Century Gothic" w:hAnsi="Century Gothic"/>
          <w:spacing w:val="-1"/>
        </w:rPr>
        <w:t xml:space="preserve"> </w:t>
      </w:r>
      <w:r w:rsidRPr="004A503E">
        <w:rPr>
          <w:rFonts w:ascii="Century Gothic" w:hAnsi="Century Gothic"/>
        </w:rPr>
        <w:t>Peulh,</w:t>
      </w:r>
      <w:r w:rsidRPr="004A503E">
        <w:rPr>
          <w:rFonts w:ascii="Century Gothic" w:hAnsi="Century Gothic"/>
          <w:spacing w:val="-3"/>
        </w:rPr>
        <w:t xml:space="preserve"> </w:t>
      </w:r>
      <w:r w:rsidRPr="004A503E">
        <w:rPr>
          <w:rFonts w:ascii="Century Gothic" w:hAnsi="Century Gothic"/>
        </w:rPr>
        <w:t>Toumbou,</w:t>
      </w:r>
      <w:r w:rsidRPr="004A503E">
        <w:rPr>
          <w:rFonts w:ascii="Century Gothic" w:hAnsi="Century Gothic"/>
          <w:spacing w:val="-1"/>
        </w:rPr>
        <w:t xml:space="preserve"> </w:t>
      </w:r>
      <w:r w:rsidRPr="004A503E">
        <w:rPr>
          <w:rFonts w:ascii="Century Gothic" w:hAnsi="Century Gothic"/>
        </w:rPr>
        <w:t>Samba</w:t>
      </w:r>
      <w:r w:rsidRPr="004A503E">
        <w:rPr>
          <w:rFonts w:ascii="Century Gothic" w:hAnsi="Century Gothic"/>
          <w:spacing w:val="-1"/>
        </w:rPr>
        <w:t xml:space="preserve"> </w:t>
      </w:r>
      <w:r w:rsidRPr="004A503E">
        <w:rPr>
          <w:rFonts w:ascii="Century Gothic" w:hAnsi="Century Gothic"/>
        </w:rPr>
        <w:t>Kandji,</w:t>
      </w:r>
      <w:r w:rsidRPr="004A503E">
        <w:rPr>
          <w:rFonts w:ascii="Century Gothic" w:hAnsi="Century Gothic"/>
          <w:spacing w:val="-4"/>
        </w:rPr>
        <w:t xml:space="preserve"> </w:t>
      </w:r>
      <w:r w:rsidRPr="004A503E">
        <w:rPr>
          <w:rFonts w:ascii="Century Gothic" w:hAnsi="Century Gothic"/>
        </w:rPr>
        <w:t>Boutanda.</w:t>
      </w:r>
      <w:r w:rsidRPr="004A503E">
        <w:rPr>
          <w:rFonts w:ascii="Century Gothic" w:hAnsi="Century Gothic"/>
          <w:spacing w:val="-1"/>
        </w:rPr>
        <w:t xml:space="preserve"> </w:t>
      </w:r>
      <w:r w:rsidRPr="004A503E">
        <w:rPr>
          <w:rFonts w:ascii="Century Gothic" w:hAnsi="Century Gothic"/>
        </w:rPr>
        <w:t>L’espace</w:t>
      </w:r>
      <w:r w:rsidRPr="004A503E">
        <w:rPr>
          <w:rFonts w:ascii="Century Gothic" w:hAnsi="Century Gothic"/>
          <w:spacing w:val="-1"/>
        </w:rPr>
        <w:t xml:space="preserve"> </w:t>
      </w:r>
      <w:r w:rsidRPr="004A503E">
        <w:rPr>
          <w:rFonts w:ascii="Century Gothic" w:hAnsi="Century Gothic"/>
        </w:rPr>
        <w:t>GLC</w:t>
      </w:r>
      <w:r w:rsidRPr="004A503E">
        <w:rPr>
          <w:rFonts w:ascii="Century Gothic" w:hAnsi="Century Gothic"/>
          <w:spacing w:val="-2"/>
        </w:rPr>
        <w:t xml:space="preserve"> </w:t>
      </w:r>
      <w:r w:rsidRPr="004A503E">
        <w:rPr>
          <w:rFonts w:ascii="Century Gothic" w:hAnsi="Century Gothic"/>
        </w:rPr>
        <w:t>a</w:t>
      </w:r>
      <w:r w:rsidRPr="004A503E">
        <w:rPr>
          <w:rFonts w:ascii="Century Gothic" w:hAnsi="Century Gothic"/>
          <w:spacing w:val="-1"/>
        </w:rPr>
        <w:t xml:space="preserve"> </w:t>
      </w:r>
      <w:r w:rsidRPr="004A503E">
        <w:rPr>
          <w:rFonts w:ascii="Century Gothic" w:hAnsi="Century Gothic"/>
        </w:rPr>
        <w:t>été</w:t>
      </w:r>
      <w:r w:rsidRPr="004A503E">
        <w:rPr>
          <w:rFonts w:ascii="Century Gothic" w:hAnsi="Century Gothic"/>
          <w:spacing w:val="-1"/>
        </w:rPr>
        <w:t xml:space="preserve"> </w:t>
      </w:r>
      <w:r w:rsidRPr="004A503E">
        <w:rPr>
          <w:rFonts w:ascii="Century Gothic" w:hAnsi="Century Gothic"/>
        </w:rPr>
        <w:t>créé</w:t>
      </w:r>
      <w:r w:rsidRPr="004A503E">
        <w:rPr>
          <w:rFonts w:ascii="Century Gothic" w:hAnsi="Century Gothic"/>
          <w:spacing w:val="-1"/>
        </w:rPr>
        <w:t xml:space="preserve"> </w:t>
      </w:r>
      <w:r w:rsidRPr="004A503E">
        <w:rPr>
          <w:rFonts w:ascii="Century Gothic" w:hAnsi="Century Gothic"/>
        </w:rPr>
        <w:t>en</w:t>
      </w:r>
      <w:r w:rsidRPr="004A503E">
        <w:rPr>
          <w:rFonts w:ascii="Century Gothic" w:hAnsi="Century Gothic"/>
          <w:spacing w:val="-1"/>
        </w:rPr>
        <w:t xml:space="preserve"> </w:t>
      </w:r>
      <w:r w:rsidRPr="004A503E">
        <w:rPr>
          <w:rFonts w:ascii="Century Gothic" w:hAnsi="Century Gothic"/>
        </w:rPr>
        <w:t>2002.</w:t>
      </w:r>
      <w:r w:rsidRPr="004A503E">
        <w:rPr>
          <w:rFonts w:ascii="Century Gothic" w:hAnsi="Century Gothic"/>
          <w:spacing w:val="-1"/>
        </w:rPr>
        <w:t xml:space="preserve"> </w:t>
      </w:r>
      <w:r w:rsidRPr="004A503E">
        <w:rPr>
          <w:rFonts w:ascii="Century Gothic" w:hAnsi="Century Gothic"/>
        </w:rPr>
        <w:t xml:space="preserve">La </w:t>
      </w:r>
      <w:r>
        <w:rPr>
          <w:rFonts w:ascii="Century Gothic" w:hAnsi="Century Gothic"/>
        </w:rPr>
        <w:t xml:space="preserve">carte ci-dessous </w:t>
      </w:r>
      <w:r w:rsidRPr="004A503E">
        <w:rPr>
          <w:rFonts w:ascii="Century Gothic" w:hAnsi="Century Gothic"/>
        </w:rPr>
        <w:t xml:space="preserve">présente la délimitation de l’espace, la localisation des villages ainsi que la situation des forêts concernées par le </w:t>
      </w:r>
      <w:r>
        <w:rPr>
          <w:rFonts w:ascii="Century Gothic" w:hAnsi="Century Gothic"/>
        </w:rPr>
        <w:t>P</w:t>
      </w:r>
      <w:r w:rsidRPr="004A503E">
        <w:rPr>
          <w:rFonts w:ascii="Century Gothic" w:hAnsi="Century Gothic"/>
        </w:rPr>
        <w:t>lan d’</w:t>
      </w:r>
      <w:r>
        <w:rPr>
          <w:rFonts w:ascii="Century Gothic" w:hAnsi="Century Gothic"/>
        </w:rPr>
        <w:t>A</w:t>
      </w:r>
      <w:r w:rsidRPr="004A503E">
        <w:rPr>
          <w:rFonts w:ascii="Century Gothic" w:hAnsi="Century Gothic"/>
        </w:rPr>
        <w:t>ménagement</w:t>
      </w:r>
      <w:r>
        <w:rPr>
          <w:rFonts w:ascii="Century Gothic" w:hAnsi="Century Gothic"/>
        </w:rPr>
        <w:t xml:space="preserve"> Simplifié</w:t>
      </w:r>
      <w:r w:rsidRPr="004A503E">
        <w:rPr>
          <w:rFonts w:ascii="Century Gothic" w:hAnsi="Century Gothic"/>
        </w:rPr>
        <w:t>.</w:t>
      </w:r>
    </w:p>
    <w:p w14:paraId="752E0B94" w14:textId="77777777" w:rsidR="005625B5" w:rsidRDefault="005625B5" w:rsidP="005625B5">
      <w:pPr>
        <w:pStyle w:val="Corpsdetexte"/>
        <w:spacing w:before="0" w:line="276" w:lineRule="auto"/>
        <w:ind w:right="137"/>
        <w:rPr>
          <w:rFonts w:ascii="Century Gothic" w:hAnsi="Century Gothic"/>
        </w:rPr>
      </w:pPr>
    </w:p>
    <w:p w14:paraId="027F1957" w14:textId="77777777" w:rsidR="005625B5" w:rsidRDefault="005625B5" w:rsidP="005625B5">
      <w:pPr>
        <w:pStyle w:val="Corpsdetexte"/>
        <w:spacing w:before="0" w:line="276" w:lineRule="auto"/>
        <w:ind w:right="137"/>
        <w:rPr>
          <w:rFonts w:ascii="Century Gothic" w:hAnsi="Century Gothic"/>
        </w:rPr>
      </w:pPr>
      <w:r>
        <w:rPr>
          <w:rFonts w:ascii="Century Gothic" w:hAnsi="Century Gothic"/>
          <w:noProof/>
        </w:rPr>
        <w:drawing>
          <wp:inline distT="0" distB="0" distL="0" distR="0" wp14:anchorId="1791A8D8" wp14:editId="4A071C1E">
            <wp:extent cx="5628640" cy="4509770"/>
            <wp:effectExtent l="0" t="0" r="0" b="0"/>
            <wp:docPr id="1785504555"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
                    <pic:cNvPicPr>
                      <a:picLocks/>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628640" cy="4509770"/>
                    </a:xfrm>
                    <a:prstGeom prst="rect">
                      <a:avLst/>
                    </a:prstGeom>
                    <a:noFill/>
                  </pic:spPr>
                </pic:pic>
              </a:graphicData>
            </a:graphic>
          </wp:inline>
        </w:drawing>
      </w:r>
    </w:p>
    <w:p w14:paraId="60FBD9B9" w14:textId="77777777" w:rsidR="005625B5" w:rsidRPr="00D26D4D" w:rsidRDefault="005625B5" w:rsidP="005625B5">
      <w:pPr>
        <w:pStyle w:val="Corpsdetexte"/>
        <w:spacing w:before="0" w:line="276" w:lineRule="auto"/>
        <w:ind w:right="137"/>
        <w:jc w:val="center"/>
        <w:rPr>
          <w:rFonts w:ascii="Century Gothic" w:hAnsi="Century Gothic"/>
          <w:b/>
          <w:bCs/>
          <w:sz w:val="20"/>
          <w:szCs w:val="20"/>
        </w:rPr>
      </w:pPr>
      <w:r w:rsidRPr="00D26D4D">
        <w:rPr>
          <w:rFonts w:ascii="Century Gothic" w:hAnsi="Century Gothic"/>
          <w:b/>
          <w:bCs/>
          <w:sz w:val="20"/>
          <w:szCs w:val="20"/>
        </w:rPr>
        <w:t>Délimitation de l’espace GLC de Moudji Sud (ProGRN, 2009)</w:t>
      </w:r>
    </w:p>
    <w:p w14:paraId="38DC741D" w14:textId="77777777" w:rsidR="005625B5" w:rsidRDefault="005625B5" w:rsidP="005625B5">
      <w:pPr>
        <w:pStyle w:val="Corpsdetexte"/>
        <w:spacing w:before="0" w:line="276" w:lineRule="auto"/>
        <w:ind w:right="137"/>
        <w:rPr>
          <w:rFonts w:ascii="Century Gothic" w:hAnsi="Century Gothic"/>
        </w:rPr>
      </w:pPr>
      <w:r>
        <w:rPr>
          <w:rFonts w:ascii="Century Gothic" w:hAnsi="Century Gothic"/>
        </w:rPr>
        <w:t xml:space="preserve">Caractéristique de l’espace GLC de Moudji Sud (ProGRN, 2009) : </w:t>
      </w:r>
    </w:p>
    <w:p w14:paraId="7C5F4836" w14:textId="77777777" w:rsidR="005625B5" w:rsidRDefault="005625B5" w:rsidP="005625B5">
      <w:pPr>
        <w:pStyle w:val="Corpsdetexte"/>
        <w:spacing w:before="0" w:line="276" w:lineRule="auto"/>
        <w:ind w:right="137"/>
        <w:rPr>
          <w:rFonts w:ascii="Century Gothic" w:hAnsi="Century Gothic"/>
        </w:rPr>
      </w:pPr>
    </w:p>
    <w:p w14:paraId="6E622AFD" w14:textId="77777777" w:rsidR="005625B5" w:rsidRDefault="005625B5" w:rsidP="005625B5">
      <w:pPr>
        <w:pStyle w:val="Corpsdetexte"/>
        <w:numPr>
          <w:ilvl w:val="0"/>
          <w:numId w:val="67"/>
        </w:numPr>
        <w:spacing w:before="0" w:line="276" w:lineRule="auto"/>
        <w:ind w:left="1134" w:right="138"/>
        <w:rPr>
          <w:rFonts w:ascii="Century Gothic" w:hAnsi="Century Gothic"/>
        </w:rPr>
      </w:pPr>
      <w:r w:rsidRPr="00D26D4D">
        <w:rPr>
          <w:rFonts w:ascii="Century Gothic" w:hAnsi="Century Gothic"/>
        </w:rPr>
        <w:t>La</w:t>
      </w:r>
      <w:r w:rsidRPr="00D26D4D">
        <w:rPr>
          <w:rFonts w:ascii="Century Gothic" w:hAnsi="Century Gothic"/>
          <w:spacing w:val="-1"/>
        </w:rPr>
        <w:t xml:space="preserve"> </w:t>
      </w:r>
      <w:r w:rsidRPr="00D26D4D">
        <w:rPr>
          <w:rFonts w:ascii="Century Gothic" w:hAnsi="Century Gothic"/>
        </w:rPr>
        <w:t>population</w:t>
      </w:r>
      <w:r w:rsidRPr="00D26D4D">
        <w:rPr>
          <w:rFonts w:ascii="Century Gothic" w:hAnsi="Century Gothic"/>
          <w:spacing w:val="-1"/>
        </w:rPr>
        <w:t xml:space="preserve"> </w:t>
      </w:r>
      <w:r w:rsidRPr="00D26D4D">
        <w:rPr>
          <w:rFonts w:ascii="Century Gothic" w:hAnsi="Century Gothic"/>
        </w:rPr>
        <w:t>totale</w:t>
      </w:r>
      <w:r w:rsidRPr="00D26D4D">
        <w:rPr>
          <w:rFonts w:ascii="Century Gothic" w:hAnsi="Century Gothic"/>
          <w:spacing w:val="-1"/>
        </w:rPr>
        <w:t xml:space="preserve"> </w:t>
      </w:r>
      <w:r w:rsidRPr="00D26D4D">
        <w:rPr>
          <w:rFonts w:ascii="Century Gothic" w:hAnsi="Century Gothic"/>
        </w:rPr>
        <w:t>de</w:t>
      </w:r>
      <w:r w:rsidRPr="00D26D4D">
        <w:rPr>
          <w:rFonts w:ascii="Century Gothic" w:hAnsi="Century Gothic"/>
          <w:spacing w:val="-1"/>
        </w:rPr>
        <w:t xml:space="preserve"> </w:t>
      </w:r>
      <w:r w:rsidRPr="00D26D4D">
        <w:rPr>
          <w:rFonts w:ascii="Century Gothic" w:hAnsi="Century Gothic"/>
        </w:rPr>
        <w:t>l’espace</w:t>
      </w:r>
      <w:r w:rsidRPr="00D26D4D">
        <w:rPr>
          <w:rFonts w:ascii="Century Gothic" w:hAnsi="Century Gothic"/>
          <w:spacing w:val="-1"/>
        </w:rPr>
        <w:t xml:space="preserve"> </w:t>
      </w:r>
      <w:r w:rsidRPr="00D26D4D">
        <w:rPr>
          <w:rFonts w:ascii="Century Gothic" w:hAnsi="Century Gothic"/>
        </w:rPr>
        <w:t>GLC</w:t>
      </w:r>
      <w:r w:rsidRPr="00D26D4D">
        <w:rPr>
          <w:rFonts w:ascii="Century Gothic" w:hAnsi="Century Gothic"/>
          <w:spacing w:val="-2"/>
        </w:rPr>
        <w:t xml:space="preserve"> </w:t>
      </w:r>
      <w:r w:rsidRPr="00D26D4D">
        <w:rPr>
          <w:rFonts w:ascii="Century Gothic" w:hAnsi="Century Gothic"/>
        </w:rPr>
        <w:t>de</w:t>
      </w:r>
      <w:r w:rsidRPr="00D26D4D">
        <w:rPr>
          <w:rFonts w:ascii="Century Gothic" w:hAnsi="Century Gothic"/>
          <w:spacing w:val="-1"/>
        </w:rPr>
        <w:t xml:space="preserve"> </w:t>
      </w:r>
      <w:r w:rsidRPr="00D26D4D">
        <w:rPr>
          <w:rFonts w:ascii="Century Gothic" w:hAnsi="Century Gothic"/>
        </w:rPr>
        <w:t>Moudji Sud</w:t>
      </w:r>
      <w:r w:rsidRPr="00D26D4D">
        <w:rPr>
          <w:rFonts w:ascii="Century Gothic" w:hAnsi="Century Gothic"/>
          <w:spacing w:val="-1"/>
        </w:rPr>
        <w:t xml:space="preserve"> </w:t>
      </w:r>
      <w:r w:rsidRPr="00D26D4D">
        <w:rPr>
          <w:rFonts w:ascii="Century Gothic" w:hAnsi="Century Gothic"/>
        </w:rPr>
        <w:t>est de</w:t>
      </w:r>
      <w:r w:rsidRPr="00D26D4D">
        <w:rPr>
          <w:rFonts w:ascii="Century Gothic" w:hAnsi="Century Gothic"/>
          <w:spacing w:val="-1"/>
        </w:rPr>
        <w:t xml:space="preserve"> </w:t>
      </w:r>
      <w:r w:rsidRPr="00D26D4D">
        <w:rPr>
          <w:rFonts w:ascii="Century Gothic" w:hAnsi="Century Gothic"/>
        </w:rPr>
        <w:t>4080</w:t>
      </w:r>
      <w:r w:rsidRPr="00D26D4D">
        <w:rPr>
          <w:rFonts w:ascii="Century Gothic" w:hAnsi="Century Gothic"/>
          <w:spacing w:val="-1"/>
        </w:rPr>
        <w:t xml:space="preserve"> </w:t>
      </w:r>
      <w:r w:rsidRPr="00D26D4D">
        <w:rPr>
          <w:rFonts w:ascii="Century Gothic" w:hAnsi="Century Gothic"/>
        </w:rPr>
        <w:t>habitants</w:t>
      </w:r>
      <w:r w:rsidRPr="00D26D4D">
        <w:rPr>
          <w:rFonts w:ascii="Century Gothic" w:hAnsi="Century Gothic"/>
          <w:spacing w:val="-1"/>
        </w:rPr>
        <w:t xml:space="preserve"> </w:t>
      </w:r>
      <w:r w:rsidRPr="00D26D4D">
        <w:rPr>
          <w:rFonts w:ascii="Century Gothic" w:hAnsi="Century Gothic"/>
        </w:rPr>
        <w:t>répartis</w:t>
      </w:r>
      <w:r w:rsidRPr="00D26D4D">
        <w:rPr>
          <w:rFonts w:ascii="Century Gothic" w:hAnsi="Century Gothic"/>
          <w:spacing w:val="-1"/>
        </w:rPr>
        <w:t xml:space="preserve"> </w:t>
      </w:r>
      <w:r w:rsidRPr="00D26D4D">
        <w:rPr>
          <w:rFonts w:ascii="Century Gothic" w:hAnsi="Century Gothic"/>
        </w:rPr>
        <w:t>dans</w:t>
      </w:r>
      <w:r w:rsidRPr="00D26D4D">
        <w:rPr>
          <w:rFonts w:ascii="Century Gothic" w:hAnsi="Century Gothic"/>
          <w:spacing w:val="-1"/>
        </w:rPr>
        <w:t xml:space="preserve"> </w:t>
      </w:r>
      <w:r w:rsidRPr="00D26D4D">
        <w:rPr>
          <w:rFonts w:ascii="Century Gothic" w:hAnsi="Century Gothic"/>
        </w:rPr>
        <w:t>7</w:t>
      </w:r>
      <w:r w:rsidRPr="00D26D4D">
        <w:rPr>
          <w:rFonts w:ascii="Century Gothic" w:hAnsi="Century Gothic"/>
          <w:spacing w:val="-1"/>
        </w:rPr>
        <w:t xml:space="preserve"> </w:t>
      </w:r>
      <w:r w:rsidRPr="00D26D4D">
        <w:rPr>
          <w:rFonts w:ascii="Century Gothic" w:hAnsi="Century Gothic"/>
        </w:rPr>
        <w:t>villages.</w:t>
      </w:r>
      <w:r w:rsidRPr="00D26D4D">
        <w:rPr>
          <w:rFonts w:ascii="Century Gothic" w:hAnsi="Century Gothic"/>
          <w:spacing w:val="-1"/>
        </w:rPr>
        <w:t xml:space="preserve"> </w:t>
      </w:r>
      <w:r w:rsidRPr="00D26D4D">
        <w:rPr>
          <w:rFonts w:ascii="Century Gothic" w:hAnsi="Century Gothic"/>
        </w:rPr>
        <w:t>La densité de la population s’élève à 23 habitants par kilomètre carré. L’ethnie peulh constitue la majorité de la population totale de l’espace.</w:t>
      </w:r>
    </w:p>
    <w:p w14:paraId="471810FD" w14:textId="77777777" w:rsidR="005625B5" w:rsidRDefault="005625B5" w:rsidP="005625B5">
      <w:pPr>
        <w:pStyle w:val="Corpsdetexte"/>
        <w:numPr>
          <w:ilvl w:val="0"/>
          <w:numId w:val="67"/>
        </w:numPr>
        <w:spacing w:before="0" w:line="276" w:lineRule="auto"/>
        <w:ind w:left="1134" w:right="138"/>
        <w:rPr>
          <w:rFonts w:ascii="Century Gothic" w:hAnsi="Century Gothic"/>
        </w:rPr>
      </w:pPr>
      <w:r w:rsidRPr="00D26D4D">
        <w:rPr>
          <w:rFonts w:ascii="Century Gothic" w:hAnsi="Century Gothic"/>
        </w:rPr>
        <w:t>L’élevage</w:t>
      </w:r>
      <w:r w:rsidRPr="00D26D4D">
        <w:rPr>
          <w:rFonts w:ascii="Century Gothic" w:hAnsi="Century Gothic"/>
          <w:spacing w:val="-2"/>
        </w:rPr>
        <w:t xml:space="preserve"> </w:t>
      </w:r>
      <w:r w:rsidRPr="00D26D4D">
        <w:rPr>
          <w:rFonts w:ascii="Century Gothic" w:hAnsi="Century Gothic"/>
        </w:rPr>
        <w:t>est</w:t>
      </w:r>
      <w:r w:rsidRPr="00D26D4D">
        <w:rPr>
          <w:rFonts w:ascii="Century Gothic" w:hAnsi="Century Gothic"/>
          <w:spacing w:val="-1"/>
        </w:rPr>
        <w:t xml:space="preserve"> </w:t>
      </w:r>
      <w:r w:rsidRPr="00D26D4D">
        <w:rPr>
          <w:rFonts w:ascii="Century Gothic" w:hAnsi="Century Gothic"/>
        </w:rPr>
        <w:t>de</w:t>
      </w:r>
      <w:r w:rsidRPr="00D26D4D">
        <w:rPr>
          <w:rFonts w:ascii="Century Gothic" w:hAnsi="Century Gothic"/>
          <w:spacing w:val="-4"/>
        </w:rPr>
        <w:t xml:space="preserve"> </w:t>
      </w:r>
      <w:r w:rsidRPr="00D26D4D">
        <w:rPr>
          <w:rFonts w:ascii="Century Gothic" w:hAnsi="Century Gothic"/>
        </w:rPr>
        <w:t>type</w:t>
      </w:r>
      <w:r w:rsidRPr="00D26D4D">
        <w:rPr>
          <w:rFonts w:ascii="Century Gothic" w:hAnsi="Century Gothic"/>
          <w:spacing w:val="-2"/>
        </w:rPr>
        <w:t xml:space="preserve"> </w:t>
      </w:r>
      <w:r w:rsidRPr="00D26D4D">
        <w:rPr>
          <w:rFonts w:ascii="Century Gothic" w:hAnsi="Century Gothic"/>
        </w:rPr>
        <w:t>extensif.</w:t>
      </w:r>
      <w:r w:rsidRPr="00D26D4D">
        <w:rPr>
          <w:rFonts w:ascii="Century Gothic" w:hAnsi="Century Gothic"/>
          <w:spacing w:val="-2"/>
        </w:rPr>
        <w:t xml:space="preserve"> </w:t>
      </w:r>
      <w:r w:rsidRPr="00D26D4D">
        <w:rPr>
          <w:rFonts w:ascii="Century Gothic" w:hAnsi="Century Gothic"/>
        </w:rPr>
        <w:t>Le</w:t>
      </w:r>
      <w:r w:rsidRPr="00D26D4D">
        <w:rPr>
          <w:rFonts w:ascii="Century Gothic" w:hAnsi="Century Gothic"/>
          <w:spacing w:val="-2"/>
        </w:rPr>
        <w:t xml:space="preserve"> </w:t>
      </w:r>
      <w:r w:rsidRPr="00D26D4D">
        <w:rPr>
          <w:rFonts w:ascii="Century Gothic" w:hAnsi="Century Gothic"/>
        </w:rPr>
        <w:t>nombre</w:t>
      </w:r>
      <w:r w:rsidRPr="00D26D4D">
        <w:rPr>
          <w:rFonts w:ascii="Century Gothic" w:hAnsi="Century Gothic"/>
          <w:spacing w:val="-2"/>
        </w:rPr>
        <w:t xml:space="preserve"> </w:t>
      </w:r>
      <w:r w:rsidRPr="00D26D4D">
        <w:rPr>
          <w:rFonts w:ascii="Century Gothic" w:hAnsi="Century Gothic"/>
        </w:rPr>
        <w:t>de</w:t>
      </w:r>
      <w:r w:rsidRPr="00D26D4D">
        <w:rPr>
          <w:rFonts w:ascii="Century Gothic" w:hAnsi="Century Gothic"/>
          <w:spacing w:val="-4"/>
        </w:rPr>
        <w:t xml:space="preserve"> </w:t>
      </w:r>
      <w:r w:rsidRPr="00D26D4D">
        <w:rPr>
          <w:rFonts w:ascii="Century Gothic" w:hAnsi="Century Gothic"/>
        </w:rPr>
        <w:t>têtes</w:t>
      </w:r>
      <w:r w:rsidRPr="00D26D4D">
        <w:rPr>
          <w:rFonts w:ascii="Century Gothic" w:hAnsi="Century Gothic"/>
          <w:spacing w:val="-4"/>
        </w:rPr>
        <w:t xml:space="preserve"> </w:t>
      </w:r>
      <w:r w:rsidRPr="00D26D4D">
        <w:rPr>
          <w:rFonts w:ascii="Century Gothic" w:hAnsi="Century Gothic"/>
        </w:rPr>
        <w:t>du</w:t>
      </w:r>
      <w:r w:rsidRPr="00D26D4D">
        <w:rPr>
          <w:rFonts w:ascii="Century Gothic" w:hAnsi="Century Gothic"/>
          <w:spacing w:val="-2"/>
        </w:rPr>
        <w:t xml:space="preserve"> </w:t>
      </w:r>
      <w:r w:rsidRPr="00D26D4D">
        <w:rPr>
          <w:rFonts w:ascii="Century Gothic" w:hAnsi="Century Gothic"/>
        </w:rPr>
        <w:t>cheptel</w:t>
      </w:r>
      <w:r w:rsidRPr="00D26D4D">
        <w:rPr>
          <w:rFonts w:ascii="Century Gothic" w:hAnsi="Century Gothic"/>
          <w:spacing w:val="-1"/>
        </w:rPr>
        <w:t xml:space="preserve"> </w:t>
      </w:r>
      <w:r w:rsidRPr="00D26D4D">
        <w:rPr>
          <w:rFonts w:ascii="Century Gothic" w:hAnsi="Century Gothic"/>
        </w:rPr>
        <w:t>sédentaire</w:t>
      </w:r>
      <w:r w:rsidRPr="00D26D4D">
        <w:rPr>
          <w:rFonts w:ascii="Century Gothic" w:hAnsi="Century Gothic"/>
          <w:spacing w:val="-2"/>
        </w:rPr>
        <w:t xml:space="preserve"> </w:t>
      </w:r>
      <w:r w:rsidRPr="00D26D4D">
        <w:rPr>
          <w:rFonts w:ascii="Century Gothic" w:hAnsi="Century Gothic"/>
        </w:rPr>
        <w:t>est</w:t>
      </w:r>
      <w:r w:rsidRPr="00D26D4D">
        <w:rPr>
          <w:rFonts w:ascii="Century Gothic" w:hAnsi="Century Gothic"/>
          <w:spacing w:val="-1"/>
        </w:rPr>
        <w:t xml:space="preserve"> </w:t>
      </w:r>
      <w:r w:rsidRPr="00D26D4D">
        <w:rPr>
          <w:rFonts w:ascii="Century Gothic" w:hAnsi="Century Gothic"/>
        </w:rPr>
        <w:t>estimé</w:t>
      </w:r>
      <w:r w:rsidRPr="00D26D4D">
        <w:rPr>
          <w:rFonts w:ascii="Century Gothic" w:hAnsi="Century Gothic"/>
          <w:spacing w:val="-2"/>
        </w:rPr>
        <w:t xml:space="preserve"> </w:t>
      </w:r>
      <w:r w:rsidRPr="00D26D4D">
        <w:rPr>
          <w:rFonts w:ascii="Century Gothic" w:hAnsi="Century Gothic"/>
        </w:rPr>
        <w:t>à</w:t>
      </w:r>
      <w:r w:rsidRPr="00D26D4D">
        <w:rPr>
          <w:rFonts w:ascii="Century Gothic" w:hAnsi="Century Gothic"/>
          <w:spacing w:val="-2"/>
        </w:rPr>
        <w:t xml:space="preserve"> </w:t>
      </w:r>
      <w:r w:rsidRPr="00D26D4D">
        <w:rPr>
          <w:rFonts w:ascii="Century Gothic" w:hAnsi="Century Gothic"/>
        </w:rPr>
        <w:t>5825,5</w:t>
      </w:r>
      <w:r w:rsidRPr="00D26D4D">
        <w:rPr>
          <w:rFonts w:ascii="Century Gothic" w:hAnsi="Century Gothic"/>
          <w:spacing w:val="-5"/>
        </w:rPr>
        <w:t xml:space="preserve"> </w:t>
      </w:r>
      <w:r w:rsidRPr="00D26D4D">
        <w:rPr>
          <w:rFonts w:ascii="Century Gothic" w:hAnsi="Century Gothic"/>
        </w:rPr>
        <w:t>UBT</w:t>
      </w:r>
      <w:r w:rsidRPr="00D26D4D">
        <w:rPr>
          <w:rFonts w:ascii="Century Gothic" w:hAnsi="Century Gothic"/>
          <w:spacing w:val="-3"/>
        </w:rPr>
        <w:t xml:space="preserve"> </w:t>
      </w:r>
      <w:r w:rsidRPr="00D26D4D">
        <w:rPr>
          <w:rFonts w:ascii="Century Gothic" w:hAnsi="Century Gothic"/>
        </w:rPr>
        <w:t>et</w:t>
      </w:r>
      <w:r w:rsidRPr="00D26D4D">
        <w:rPr>
          <w:rFonts w:ascii="Century Gothic" w:hAnsi="Century Gothic"/>
          <w:spacing w:val="-1"/>
        </w:rPr>
        <w:t xml:space="preserve"> </w:t>
      </w:r>
      <w:r w:rsidRPr="00D26D4D">
        <w:rPr>
          <w:rFonts w:ascii="Century Gothic" w:hAnsi="Century Gothic"/>
        </w:rPr>
        <w:t>se compose essentiellement de bovins et d’ovins/caprins. Entre octobre et juin, s’ajoutent environ 392 UBT correspondant au cheptel transhumant. La charge totale de l’espace est de 0,35 UBT par hectare</w:t>
      </w:r>
      <w:r>
        <w:rPr>
          <w:rFonts w:ascii="Century Gothic" w:hAnsi="Century Gothic"/>
        </w:rPr>
        <w:t>.</w:t>
      </w:r>
    </w:p>
    <w:p w14:paraId="0150951A" w14:textId="77777777" w:rsidR="005625B5" w:rsidRDefault="005625B5" w:rsidP="005625B5">
      <w:pPr>
        <w:pStyle w:val="Corpsdetexte"/>
        <w:spacing w:before="0" w:line="276" w:lineRule="auto"/>
        <w:ind w:right="138"/>
        <w:rPr>
          <w:rFonts w:ascii="Century Gothic" w:hAnsi="Century Gothic"/>
        </w:rPr>
      </w:pPr>
    </w:p>
    <w:p w14:paraId="0B74BC19" w14:textId="77777777" w:rsidR="005625B5" w:rsidRDefault="005625B5" w:rsidP="005625B5">
      <w:pPr>
        <w:pStyle w:val="Corpsdetexte"/>
        <w:spacing w:before="0" w:line="276" w:lineRule="auto"/>
        <w:ind w:right="138"/>
        <w:rPr>
          <w:rFonts w:ascii="Century Gothic" w:hAnsi="Century Gothic"/>
        </w:rPr>
      </w:pPr>
      <w:r w:rsidRPr="00086034">
        <w:rPr>
          <w:rFonts w:ascii="Century Gothic" w:hAnsi="Century Gothic"/>
        </w:rPr>
        <w:t>L’espace</w:t>
      </w:r>
      <w:r w:rsidRPr="00086034">
        <w:rPr>
          <w:rFonts w:ascii="Century Gothic" w:hAnsi="Century Gothic"/>
          <w:spacing w:val="-2"/>
        </w:rPr>
        <w:t xml:space="preserve"> </w:t>
      </w:r>
      <w:r>
        <w:rPr>
          <w:rFonts w:ascii="Century Gothic" w:hAnsi="Century Gothic"/>
          <w:spacing w:val="-2"/>
        </w:rPr>
        <w:t xml:space="preserve">GLC de Moudji Sud </w:t>
      </w:r>
      <w:r w:rsidRPr="00086034">
        <w:rPr>
          <w:rFonts w:ascii="Century Gothic" w:hAnsi="Century Gothic"/>
        </w:rPr>
        <w:t>est</w:t>
      </w:r>
      <w:r w:rsidRPr="00086034">
        <w:rPr>
          <w:rFonts w:ascii="Century Gothic" w:hAnsi="Century Gothic"/>
          <w:spacing w:val="-1"/>
        </w:rPr>
        <w:t xml:space="preserve"> </w:t>
      </w:r>
      <w:r w:rsidRPr="00086034">
        <w:rPr>
          <w:rFonts w:ascii="Century Gothic" w:hAnsi="Century Gothic"/>
        </w:rPr>
        <w:t>composé de</w:t>
      </w:r>
      <w:r w:rsidRPr="00086034">
        <w:rPr>
          <w:rFonts w:ascii="Century Gothic" w:hAnsi="Century Gothic"/>
          <w:spacing w:val="-2"/>
        </w:rPr>
        <w:t xml:space="preserve"> </w:t>
      </w:r>
      <w:r w:rsidRPr="00086034">
        <w:rPr>
          <w:rFonts w:ascii="Century Gothic" w:hAnsi="Century Gothic"/>
        </w:rPr>
        <w:t>4</w:t>
      </w:r>
      <w:r w:rsidRPr="00086034">
        <w:rPr>
          <w:rFonts w:ascii="Century Gothic" w:hAnsi="Century Gothic"/>
          <w:spacing w:val="-2"/>
        </w:rPr>
        <w:t xml:space="preserve"> </w:t>
      </w:r>
      <w:r w:rsidRPr="00086034">
        <w:rPr>
          <w:rFonts w:ascii="Century Gothic" w:hAnsi="Century Gothic"/>
        </w:rPr>
        <w:t>strates</w:t>
      </w:r>
      <w:r w:rsidRPr="00086034">
        <w:rPr>
          <w:rFonts w:ascii="Century Gothic" w:hAnsi="Century Gothic"/>
          <w:spacing w:val="-2"/>
        </w:rPr>
        <w:t xml:space="preserve"> </w:t>
      </w:r>
      <w:r w:rsidRPr="00086034">
        <w:rPr>
          <w:rFonts w:ascii="Century Gothic" w:hAnsi="Century Gothic"/>
        </w:rPr>
        <w:t>écologiques</w:t>
      </w:r>
      <w:r w:rsidRPr="00086034">
        <w:rPr>
          <w:rFonts w:ascii="Century Gothic" w:hAnsi="Century Gothic"/>
          <w:spacing w:val="-2"/>
        </w:rPr>
        <w:t xml:space="preserve"> </w:t>
      </w:r>
      <w:r w:rsidRPr="00086034">
        <w:rPr>
          <w:rFonts w:ascii="Century Gothic" w:hAnsi="Century Gothic"/>
        </w:rPr>
        <w:t>hors</w:t>
      </w:r>
      <w:r w:rsidRPr="00086034">
        <w:rPr>
          <w:rFonts w:ascii="Century Gothic" w:hAnsi="Century Gothic"/>
          <w:spacing w:val="-2"/>
        </w:rPr>
        <w:t xml:space="preserve"> </w:t>
      </w:r>
      <w:r w:rsidRPr="00086034">
        <w:rPr>
          <w:rFonts w:ascii="Century Gothic" w:hAnsi="Century Gothic"/>
        </w:rPr>
        <w:t>finage, dont</w:t>
      </w:r>
      <w:r w:rsidRPr="00086034">
        <w:rPr>
          <w:rFonts w:ascii="Century Gothic" w:hAnsi="Century Gothic"/>
          <w:spacing w:val="-1"/>
        </w:rPr>
        <w:t xml:space="preserve"> </w:t>
      </w:r>
      <w:r w:rsidRPr="00086034">
        <w:rPr>
          <w:rFonts w:ascii="Century Gothic" w:hAnsi="Century Gothic"/>
        </w:rPr>
        <w:t>la strate savane arbustive à</w:t>
      </w:r>
      <w:r w:rsidRPr="00086034">
        <w:rPr>
          <w:rFonts w:ascii="Century Gothic" w:hAnsi="Century Gothic"/>
          <w:spacing w:val="-2"/>
        </w:rPr>
        <w:t xml:space="preserve"> </w:t>
      </w:r>
      <w:r w:rsidRPr="00086034">
        <w:rPr>
          <w:rFonts w:ascii="Century Gothic" w:hAnsi="Century Gothic"/>
        </w:rPr>
        <w:t>arborée est la plus importante. La moyenne du volume de bois sur pied par hectare pour l’espace GLC s’élève à 12,99 m³/ha. Avec une superficie totale de 16.210 hectares, l’espace dispose d’un volume total sur pied de 63.909 mètres cubes. Pour la répartition du volume par strate, se référer au</w:t>
      </w:r>
      <w:r>
        <w:rPr>
          <w:rFonts w:ascii="Century Gothic" w:hAnsi="Century Gothic"/>
        </w:rPr>
        <w:t xml:space="preserve"> Tableau ci-dessous. </w:t>
      </w:r>
    </w:p>
    <w:p w14:paraId="1860C0A9" w14:textId="77777777" w:rsidR="005625B5" w:rsidRDefault="005625B5" w:rsidP="005625B5">
      <w:pPr>
        <w:pStyle w:val="Corpsdetexte"/>
        <w:spacing w:before="0" w:line="276" w:lineRule="auto"/>
        <w:ind w:right="138"/>
        <w:rPr>
          <w:rFonts w:ascii="Century Gothic" w:hAnsi="Century Gothic"/>
        </w:rPr>
      </w:pPr>
    </w:p>
    <w:p w14:paraId="52CBCD80" w14:textId="77777777" w:rsidR="005625B5" w:rsidRPr="006A012D" w:rsidRDefault="005625B5" w:rsidP="005625B5">
      <w:pPr>
        <w:pStyle w:val="Corpsdetexte"/>
        <w:spacing w:before="0" w:line="276" w:lineRule="auto"/>
        <w:ind w:right="138"/>
        <w:rPr>
          <w:rFonts w:ascii="Century Gothic" w:hAnsi="Century Gothic"/>
          <w:b/>
          <w:bCs/>
        </w:rPr>
      </w:pPr>
      <w:r w:rsidRPr="006A012D">
        <w:rPr>
          <w:rFonts w:ascii="Century Gothic" w:hAnsi="Century Gothic"/>
          <w:b/>
          <w:bCs/>
        </w:rPr>
        <w:t xml:space="preserve">Surface terrière et volume sur pied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10"/>
        <w:gridCol w:w="1594"/>
        <w:gridCol w:w="1357"/>
        <w:gridCol w:w="1571"/>
      </w:tblGrid>
      <w:tr w:rsidR="005625B5" w:rsidRPr="005F6B59" w14:paraId="73947275" w14:textId="77777777" w:rsidTr="00FB354B">
        <w:tc>
          <w:tcPr>
            <w:tcW w:w="3085" w:type="dxa"/>
            <w:shd w:val="clear" w:color="auto" w:fill="auto"/>
          </w:tcPr>
          <w:p w14:paraId="6F978F3C"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p>
        </w:tc>
        <w:tc>
          <w:tcPr>
            <w:tcW w:w="1843" w:type="dxa"/>
            <w:shd w:val="clear" w:color="auto" w:fill="auto"/>
          </w:tcPr>
          <w:p w14:paraId="245EF054"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Surface terrière</w:t>
            </w:r>
          </w:p>
          <w:p w14:paraId="69367FFC"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sz w:val="20"/>
                <w:szCs w:val="20"/>
              </w:rPr>
              <w:t>m</w:t>
            </w:r>
            <w:proofErr w:type="gramEnd"/>
            <w:r w:rsidRPr="005F6B59">
              <w:rPr>
                <w:rFonts w:ascii="Century Gothic" w:hAnsi="Century Gothic"/>
                <w:b/>
                <w:bCs/>
                <w:sz w:val="20"/>
                <w:szCs w:val="20"/>
                <w:vertAlign w:val="superscript"/>
              </w:rPr>
              <w:t>2</w:t>
            </w:r>
            <w:r w:rsidRPr="005F6B59">
              <w:rPr>
                <w:rFonts w:ascii="Century Gothic" w:hAnsi="Century Gothic"/>
                <w:b/>
                <w:bCs/>
                <w:sz w:val="20"/>
                <w:szCs w:val="20"/>
              </w:rPr>
              <w:t>/ha)</w:t>
            </w:r>
          </w:p>
        </w:tc>
        <w:tc>
          <w:tcPr>
            <w:tcW w:w="1701" w:type="dxa"/>
            <w:shd w:val="clear" w:color="auto" w:fill="auto"/>
          </w:tcPr>
          <w:p w14:paraId="6AD8CC99"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Volume</w:t>
            </w:r>
          </w:p>
          <w:p w14:paraId="1A2DF28F"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sz w:val="20"/>
                <w:szCs w:val="20"/>
              </w:rPr>
              <w:t>m</w:t>
            </w:r>
            <w:proofErr w:type="gramEnd"/>
            <w:r w:rsidRPr="005F6B59">
              <w:rPr>
                <w:rFonts w:ascii="Century Gothic" w:hAnsi="Century Gothic"/>
                <w:b/>
                <w:bCs/>
                <w:sz w:val="20"/>
                <w:szCs w:val="20"/>
                <w:vertAlign w:val="superscript"/>
              </w:rPr>
              <w:t>3</w:t>
            </w:r>
            <w:r w:rsidRPr="005F6B59">
              <w:rPr>
                <w:rFonts w:ascii="Century Gothic" w:hAnsi="Century Gothic"/>
                <w:b/>
                <w:bCs/>
                <w:sz w:val="20"/>
                <w:szCs w:val="20"/>
              </w:rPr>
              <w:t>/ha)</w:t>
            </w:r>
          </w:p>
        </w:tc>
        <w:tc>
          <w:tcPr>
            <w:tcW w:w="1417" w:type="dxa"/>
            <w:shd w:val="clear" w:color="auto" w:fill="auto"/>
          </w:tcPr>
          <w:p w14:paraId="6FBF1DDB"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Surface</w:t>
            </w:r>
          </w:p>
          <w:p w14:paraId="11E94675"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sz w:val="20"/>
                <w:szCs w:val="20"/>
              </w:rPr>
              <w:t>ha</w:t>
            </w:r>
            <w:proofErr w:type="gramEnd"/>
            <w:r w:rsidRPr="005F6B59">
              <w:rPr>
                <w:rFonts w:ascii="Century Gothic" w:hAnsi="Century Gothic"/>
                <w:b/>
                <w:bCs/>
                <w:sz w:val="20"/>
                <w:szCs w:val="20"/>
              </w:rPr>
              <w:t>)</w:t>
            </w:r>
          </w:p>
        </w:tc>
        <w:tc>
          <w:tcPr>
            <w:tcW w:w="1674" w:type="dxa"/>
            <w:shd w:val="clear" w:color="auto" w:fill="auto"/>
          </w:tcPr>
          <w:p w14:paraId="3D40BF8F"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Volume total</w:t>
            </w:r>
          </w:p>
          <w:p w14:paraId="7801AE9B"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sz w:val="20"/>
                <w:szCs w:val="20"/>
              </w:rPr>
              <w:t>m</w:t>
            </w:r>
            <w:proofErr w:type="gramEnd"/>
            <w:r w:rsidRPr="005F6B59">
              <w:rPr>
                <w:rFonts w:ascii="Century Gothic" w:hAnsi="Century Gothic"/>
                <w:b/>
                <w:bCs/>
                <w:sz w:val="20"/>
                <w:szCs w:val="20"/>
                <w:vertAlign w:val="superscript"/>
              </w:rPr>
              <w:t>3</w:t>
            </w:r>
            <w:r w:rsidRPr="005F6B59">
              <w:rPr>
                <w:rFonts w:ascii="Century Gothic" w:hAnsi="Century Gothic"/>
                <w:b/>
                <w:bCs/>
                <w:sz w:val="20"/>
                <w:szCs w:val="20"/>
              </w:rPr>
              <w:t>)</w:t>
            </w:r>
          </w:p>
        </w:tc>
      </w:tr>
      <w:tr w:rsidR="005625B5" w:rsidRPr="005F6B59" w14:paraId="37EE137B" w14:textId="77777777" w:rsidTr="00FB354B">
        <w:tc>
          <w:tcPr>
            <w:tcW w:w="3085" w:type="dxa"/>
            <w:shd w:val="clear" w:color="auto" w:fill="auto"/>
          </w:tcPr>
          <w:p w14:paraId="20F7DFFA" w14:textId="77777777" w:rsidR="005625B5" w:rsidRPr="005F6B59" w:rsidRDefault="005625B5" w:rsidP="00FB354B">
            <w:pPr>
              <w:pStyle w:val="Corpsdetexte"/>
              <w:spacing w:before="0" w:line="276" w:lineRule="auto"/>
              <w:ind w:right="138"/>
              <w:rPr>
                <w:rFonts w:ascii="Century Gothic" w:hAnsi="Century Gothic"/>
                <w:b/>
                <w:bCs/>
                <w:sz w:val="20"/>
                <w:szCs w:val="20"/>
              </w:rPr>
            </w:pPr>
            <w:r w:rsidRPr="005F6B59">
              <w:rPr>
                <w:rFonts w:ascii="Century Gothic" w:hAnsi="Century Gothic"/>
                <w:b/>
                <w:bCs/>
                <w:sz w:val="20"/>
                <w:szCs w:val="20"/>
              </w:rPr>
              <w:t xml:space="preserve">Savane arbustive à arborée de densité faible </w:t>
            </w:r>
          </w:p>
        </w:tc>
        <w:tc>
          <w:tcPr>
            <w:tcW w:w="1843" w:type="dxa"/>
            <w:shd w:val="clear" w:color="auto" w:fill="auto"/>
          </w:tcPr>
          <w:p w14:paraId="60583BD5" w14:textId="77777777" w:rsidR="005625B5" w:rsidRPr="005F6B59" w:rsidRDefault="005625B5" w:rsidP="00FB354B">
            <w:pPr>
              <w:pStyle w:val="Corpsdetexte"/>
              <w:spacing w:before="0" w:line="276" w:lineRule="auto"/>
              <w:ind w:right="138"/>
              <w:jc w:val="right"/>
              <w:rPr>
                <w:rFonts w:ascii="Century Gothic" w:hAnsi="Century Gothic"/>
                <w:sz w:val="20"/>
                <w:szCs w:val="20"/>
              </w:rPr>
            </w:pPr>
            <w:r w:rsidRPr="005F6B59">
              <w:rPr>
                <w:rFonts w:ascii="Century Gothic" w:hAnsi="Century Gothic"/>
                <w:sz w:val="20"/>
                <w:szCs w:val="20"/>
              </w:rPr>
              <w:t>0,63</w:t>
            </w:r>
          </w:p>
        </w:tc>
        <w:tc>
          <w:tcPr>
            <w:tcW w:w="1701" w:type="dxa"/>
            <w:shd w:val="clear" w:color="auto" w:fill="auto"/>
          </w:tcPr>
          <w:p w14:paraId="33FC3531" w14:textId="77777777" w:rsidR="005625B5" w:rsidRPr="005F6B59" w:rsidRDefault="005625B5" w:rsidP="00FB354B">
            <w:pPr>
              <w:pStyle w:val="Corpsdetexte"/>
              <w:spacing w:before="0" w:line="276" w:lineRule="auto"/>
              <w:ind w:right="138"/>
              <w:jc w:val="right"/>
              <w:rPr>
                <w:rFonts w:ascii="Century Gothic" w:hAnsi="Century Gothic"/>
                <w:sz w:val="20"/>
                <w:szCs w:val="20"/>
              </w:rPr>
            </w:pPr>
            <w:r w:rsidRPr="005F6B59">
              <w:rPr>
                <w:rFonts w:ascii="Century Gothic" w:hAnsi="Century Gothic"/>
                <w:sz w:val="20"/>
                <w:szCs w:val="20"/>
              </w:rPr>
              <w:t>1,42</w:t>
            </w:r>
          </w:p>
        </w:tc>
        <w:tc>
          <w:tcPr>
            <w:tcW w:w="1417" w:type="dxa"/>
            <w:shd w:val="clear" w:color="auto" w:fill="auto"/>
          </w:tcPr>
          <w:p w14:paraId="6D917855" w14:textId="77777777" w:rsidR="005625B5" w:rsidRPr="005F6B59" w:rsidRDefault="005625B5" w:rsidP="00FB354B">
            <w:pPr>
              <w:pStyle w:val="Corpsdetexte"/>
              <w:spacing w:before="0" w:line="276" w:lineRule="auto"/>
              <w:ind w:right="138"/>
              <w:jc w:val="right"/>
              <w:rPr>
                <w:rFonts w:ascii="Century Gothic" w:hAnsi="Century Gothic"/>
                <w:sz w:val="20"/>
                <w:szCs w:val="20"/>
              </w:rPr>
            </w:pPr>
            <w:r w:rsidRPr="005F6B59">
              <w:rPr>
                <w:rFonts w:ascii="Century Gothic" w:hAnsi="Century Gothic"/>
                <w:sz w:val="20"/>
                <w:szCs w:val="20"/>
              </w:rPr>
              <w:t>9 134</w:t>
            </w:r>
          </w:p>
        </w:tc>
        <w:tc>
          <w:tcPr>
            <w:tcW w:w="1674" w:type="dxa"/>
            <w:shd w:val="clear" w:color="auto" w:fill="auto"/>
          </w:tcPr>
          <w:p w14:paraId="00C2456D" w14:textId="77777777" w:rsidR="005625B5" w:rsidRPr="005F6B59" w:rsidRDefault="005625B5" w:rsidP="00FB354B">
            <w:pPr>
              <w:pStyle w:val="Corpsdetexte"/>
              <w:spacing w:before="0" w:line="276" w:lineRule="auto"/>
              <w:ind w:right="138"/>
              <w:jc w:val="right"/>
              <w:rPr>
                <w:rFonts w:ascii="Century Gothic" w:hAnsi="Century Gothic"/>
                <w:sz w:val="20"/>
                <w:szCs w:val="20"/>
              </w:rPr>
            </w:pPr>
            <w:r w:rsidRPr="005F6B59">
              <w:rPr>
                <w:rFonts w:ascii="Century Gothic" w:hAnsi="Century Gothic"/>
                <w:sz w:val="20"/>
                <w:szCs w:val="20"/>
              </w:rPr>
              <w:t>12 943</w:t>
            </w:r>
          </w:p>
        </w:tc>
      </w:tr>
      <w:tr w:rsidR="005625B5" w:rsidRPr="005F6B59" w14:paraId="5C6717DB" w14:textId="77777777" w:rsidTr="00FB354B">
        <w:tc>
          <w:tcPr>
            <w:tcW w:w="3085" w:type="dxa"/>
            <w:shd w:val="clear" w:color="auto" w:fill="auto"/>
          </w:tcPr>
          <w:p w14:paraId="436E27F5" w14:textId="77777777" w:rsidR="005625B5" w:rsidRPr="005F6B59" w:rsidRDefault="005625B5" w:rsidP="00FB354B">
            <w:pPr>
              <w:pStyle w:val="Corpsdetexte"/>
              <w:spacing w:before="0" w:line="276" w:lineRule="auto"/>
              <w:ind w:right="138"/>
              <w:rPr>
                <w:rFonts w:ascii="Century Gothic" w:hAnsi="Century Gothic"/>
                <w:b/>
                <w:bCs/>
                <w:sz w:val="20"/>
                <w:szCs w:val="20"/>
              </w:rPr>
            </w:pPr>
            <w:r w:rsidRPr="005F6B59">
              <w:rPr>
                <w:rFonts w:ascii="Century Gothic" w:hAnsi="Century Gothic"/>
                <w:b/>
                <w:bCs/>
                <w:sz w:val="20"/>
                <w:szCs w:val="20"/>
              </w:rPr>
              <w:t>Savane arborée (type montagneux)</w:t>
            </w:r>
          </w:p>
        </w:tc>
        <w:tc>
          <w:tcPr>
            <w:tcW w:w="1843" w:type="dxa"/>
            <w:shd w:val="clear" w:color="auto" w:fill="auto"/>
          </w:tcPr>
          <w:p w14:paraId="73FFB1E0" w14:textId="77777777" w:rsidR="005625B5" w:rsidRPr="005F6B59" w:rsidRDefault="005625B5" w:rsidP="00FB354B">
            <w:pPr>
              <w:pStyle w:val="Corpsdetexte"/>
              <w:spacing w:before="0" w:line="276" w:lineRule="auto"/>
              <w:ind w:right="138"/>
              <w:jc w:val="right"/>
              <w:rPr>
                <w:rFonts w:ascii="Century Gothic" w:hAnsi="Century Gothic"/>
                <w:sz w:val="20"/>
                <w:szCs w:val="20"/>
              </w:rPr>
            </w:pPr>
            <w:r w:rsidRPr="005F6B59">
              <w:rPr>
                <w:rFonts w:ascii="Century Gothic" w:hAnsi="Century Gothic"/>
                <w:sz w:val="20"/>
                <w:szCs w:val="20"/>
              </w:rPr>
              <w:t>-</w:t>
            </w:r>
          </w:p>
        </w:tc>
        <w:tc>
          <w:tcPr>
            <w:tcW w:w="1701" w:type="dxa"/>
            <w:shd w:val="clear" w:color="auto" w:fill="auto"/>
          </w:tcPr>
          <w:p w14:paraId="3357D058" w14:textId="77777777" w:rsidR="005625B5" w:rsidRPr="005F6B59" w:rsidRDefault="005625B5" w:rsidP="00FB354B">
            <w:pPr>
              <w:pStyle w:val="Corpsdetexte"/>
              <w:spacing w:before="0" w:line="276" w:lineRule="auto"/>
              <w:ind w:right="138"/>
              <w:jc w:val="right"/>
              <w:rPr>
                <w:rFonts w:ascii="Century Gothic" w:hAnsi="Century Gothic"/>
                <w:sz w:val="20"/>
                <w:szCs w:val="20"/>
              </w:rPr>
            </w:pPr>
            <w:r w:rsidRPr="005F6B59">
              <w:rPr>
                <w:rFonts w:ascii="Century Gothic" w:hAnsi="Century Gothic"/>
                <w:sz w:val="20"/>
                <w:szCs w:val="20"/>
              </w:rPr>
              <w:t>-</w:t>
            </w:r>
          </w:p>
        </w:tc>
        <w:tc>
          <w:tcPr>
            <w:tcW w:w="1417" w:type="dxa"/>
            <w:shd w:val="clear" w:color="auto" w:fill="auto"/>
          </w:tcPr>
          <w:p w14:paraId="4AE07E15" w14:textId="77777777" w:rsidR="005625B5" w:rsidRPr="005F6B59" w:rsidRDefault="005625B5" w:rsidP="00FB354B">
            <w:pPr>
              <w:pStyle w:val="Corpsdetexte"/>
              <w:spacing w:before="0" w:line="276" w:lineRule="auto"/>
              <w:ind w:right="138"/>
              <w:jc w:val="right"/>
              <w:rPr>
                <w:rFonts w:ascii="Century Gothic" w:hAnsi="Century Gothic"/>
                <w:sz w:val="20"/>
                <w:szCs w:val="20"/>
              </w:rPr>
            </w:pPr>
            <w:r w:rsidRPr="005F6B59">
              <w:rPr>
                <w:rFonts w:ascii="Century Gothic" w:hAnsi="Century Gothic"/>
                <w:sz w:val="20"/>
                <w:szCs w:val="20"/>
              </w:rPr>
              <w:t>0</w:t>
            </w:r>
          </w:p>
        </w:tc>
        <w:tc>
          <w:tcPr>
            <w:tcW w:w="1674" w:type="dxa"/>
            <w:shd w:val="clear" w:color="auto" w:fill="auto"/>
          </w:tcPr>
          <w:p w14:paraId="2151DBB9" w14:textId="77777777" w:rsidR="005625B5" w:rsidRPr="005F6B59" w:rsidRDefault="005625B5" w:rsidP="00FB354B">
            <w:pPr>
              <w:pStyle w:val="Corpsdetexte"/>
              <w:spacing w:before="0" w:line="276" w:lineRule="auto"/>
              <w:ind w:right="138"/>
              <w:jc w:val="right"/>
              <w:rPr>
                <w:rFonts w:ascii="Century Gothic" w:hAnsi="Century Gothic"/>
                <w:sz w:val="20"/>
                <w:szCs w:val="20"/>
              </w:rPr>
            </w:pPr>
            <w:r w:rsidRPr="005F6B59">
              <w:rPr>
                <w:rFonts w:ascii="Century Gothic" w:hAnsi="Century Gothic"/>
                <w:sz w:val="20"/>
                <w:szCs w:val="20"/>
              </w:rPr>
              <w:t>0</w:t>
            </w:r>
          </w:p>
        </w:tc>
      </w:tr>
      <w:tr w:rsidR="005625B5" w:rsidRPr="005F6B59" w14:paraId="5E1156B0" w14:textId="77777777" w:rsidTr="00FB354B">
        <w:tc>
          <w:tcPr>
            <w:tcW w:w="3085" w:type="dxa"/>
            <w:shd w:val="clear" w:color="auto" w:fill="auto"/>
          </w:tcPr>
          <w:p w14:paraId="7A0B099E" w14:textId="77777777" w:rsidR="005625B5" w:rsidRPr="005F6B59" w:rsidRDefault="005625B5" w:rsidP="00FB354B">
            <w:pPr>
              <w:pStyle w:val="Corpsdetexte"/>
              <w:spacing w:before="0" w:line="276" w:lineRule="auto"/>
              <w:ind w:right="138"/>
              <w:rPr>
                <w:rFonts w:ascii="Century Gothic" w:hAnsi="Century Gothic"/>
                <w:b/>
                <w:bCs/>
                <w:sz w:val="20"/>
                <w:szCs w:val="20"/>
              </w:rPr>
            </w:pPr>
            <w:r w:rsidRPr="005F6B59">
              <w:rPr>
                <w:rFonts w:ascii="Century Gothic" w:hAnsi="Century Gothic"/>
                <w:b/>
                <w:bCs/>
                <w:sz w:val="20"/>
                <w:szCs w:val="20"/>
              </w:rPr>
              <w:t xml:space="preserve">Savane boisée </w:t>
            </w:r>
          </w:p>
        </w:tc>
        <w:tc>
          <w:tcPr>
            <w:tcW w:w="1843" w:type="dxa"/>
            <w:shd w:val="clear" w:color="auto" w:fill="auto"/>
          </w:tcPr>
          <w:p w14:paraId="147CE32B" w14:textId="77777777" w:rsidR="005625B5" w:rsidRPr="005F6B59" w:rsidRDefault="005625B5" w:rsidP="00FB354B">
            <w:pPr>
              <w:pStyle w:val="Corpsdetexte"/>
              <w:spacing w:before="0" w:line="276" w:lineRule="auto"/>
              <w:ind w:right="138"/>
              <w:jc w:val="right"/>
              <w:rPr>
                <w:rFonts w:ascii="Century Gothic" w:hAnsi="Century Gothic"/>
                <w:sz w:val="20"/>
                <w:szCs w:val="20"/>
              </w:rPr>
            </w:pPr>
            <w:r w:rsidRPr="005F6B59">
              <w:rPr>
                <w:rFonts w:ascii="Century Gothic" w:hAnsi="Century Gothic"/>
                <w:sz w:val="20"/>
                <w:szCs w:val="20"/>
              </w:rPr>
              <w:t>1,22</w:t>
            </w:r>
          </w:p>
        </w:tc>
        <w:tc>
          <w:tcPr>
            <w:tcW w:w="1701" w:type="dxa"/>
            <w:shd w:val="clear" w:color="auto" w:fill="auto"/>
          </w:tcPr>
          <w:p w14:paraId="1623AA56" w14:textId="77777777" w:rsidR="005625B5" w:rsidRPr="005F6B59" w:rsidRDefault="005625B5" w:rsidP="00FB354B">
            <w:pPr>
              <w:pStyle w:val="Corpsdetexte"/>
              <w:spacing w:before="0" w:line="276" w:lineRule="auto"/>
              <w:ind w:right="138"/>
              <w:jc w:val="right"/>
              <w:rPr>
                <w:rFonts w:ascii="Century Gothic" w:hAnsi="Century Gothic"/>
                <w:sz w:val="20"/>
                <w:szCs w:val="20"/>
              </w:rPr>
            </w:pPr>
            <w:r w:rsidRPr="005F6B59">
              <w:rPr>
                <w:rFonts w:ascii="Century Gothic" w:hAnsi="Century Gothic"/>
                <w:sz w:val="20"/>
                <w:szCs w:val="20"/>
              </w:rPr>
              <w:t>5,16</w:t>
            </w:r>
          </w:p>
        </w:tc>
        <w:tc>
          <w:tcPr>
            <w:tcW w:w="1417" w:type="dxa"/>
            <w:shd w:val="clear" w:color="auto" w:fill="auto"/>
          </w:tcPr>
          <w:p w14:paraId="714A642E" w14:textId="77777777" w:rsidR="005625B5" w:rsidRPr="005F6B59" w:rsidRDefault="005625B5" w:rsidP="00FB354B">
            <w:pPr>
              <w:pStyle w:val="Corpsdetexte"/>
              <w:spacing w:before="0" w:line="276" w:lineRule="auto"/>
              <w:ind w:right="138"/>
              <w:jc w:val="right"/>
              <w:rPr>
                <w:rFonts w:ascii="Century Gothic" w:hAnsi="Century Gothic"/>
                <w:sz w:val="20"/>
                <w:szCs w:val="20"/>
              </w:rPr>
            </w:pPr>
            <w:r w:rsidRPr="005F6B59">
              <w:rPr>
                <w:rFonts w:ascii="Century Gothic" w:hAnsi="Century Gothic"/>
                <w:sz w:val="20"/>
                <w:szCs w:val="20"/>
              </w:rPr>
              <w:t>6 546</w:t>
            </w:r>
          </w:p>
        </w:tc>
        <w:tc>
          <w:tcPr>
            <w:tcW w:w="1674" w:type="dxa"/>
            <w:shd w:val="clear" w:color="auto" w:fill="auto"/>
          </w:tcPr>
          <w:p w14:paraId="4DF228BA" w14:textId="77777777" w:rsidR="005625B5" w:rsidRPr="005F6B59" w:rsidRDefault="005625B5" w:rsidP="00FB354B">
            <w:pPr>
              <w:pStyle w:val="Corpsdetexte"/>
              <w:spacing w:before="0" w:line="276" w:lineRule="auto"/>
              <w:ind w:right="138"/>
              <w:jc w:val="right"/>
              <w:rPr>
                <w:rFonts w:ascii="Century Gothic" w:hAnsi="Century Gothic"/>
                <w:sz w:val="20"/>
                <w:szCs w:val="20"/>
              </w:rPr>
            </w:pPr>
            <w:r w:rsidRPr="005F6B59">
              <w:rPr>
                <w:rFonts w:ascii="Century Gothic" w:hAnsi="Century Gothic"/>
                <w:sz w:val="20"/>
                <w:szCs w:val="20"/>
              </w:rPr>
              <w:t>33 784</w:t>
            </w:r>
          </w:p>
        </w:tc>
      </w:tr>
      <w:tr w:rsidR="005625B5" w:rsidRPr="005F6B59" w14:paraId="1339E785" w14:textId="77777777" w:rsidTr="00FB354B">
        <w:tc>
          <w:tcPr>
            <w:tcW w:w="3085" w:type="dxa"/>
            <w:shd w:val="clear" w:color="auto" w:fill="auto"/>
          </w:tcPr>
          <w:p w14:paraId="5A378616" w14:textId="77777777" w:rsidR="005625B5" w:rsidRPr="005F6B59" w:rsidRDefault="005625B5" w:rsidP="00FB354B">
            <w:pPr>
              <w:pStyle w:val="Corpsdetexte"/>
              <w:spacing w:before="0" w:line="276" w:lineRule="auto"/>
              <w:ind w:right="138"/>
              <w:rPr>
                <w:rFonts w:ascii="Century Gothic" w:hAnsi="Century Gothic"/>
                <w:b/>
                <w:bCs/>
                <w:sz w:val="20"/>
                <w:szCs w:val="20"/>
              </w:rPr>
            </w:pPr>
            <w:r w:rsidRPr="005F6B59">
              <w:rPr>
                <w:rFonts w:ascii="Century Gothic" w:hAnsi="Century Gothic"/>
                <w:b/>
                <w:bCs/>
                <w:sz w:val="20"/>
                <w:szCs w:val="20"/>
              </w:rPr>
              <w:t xml:space="preserve">Forêt galerie/zone humide </w:t>
            </w:r>
          </w:p>
        </w:tc>
        <w:tc>
          <w:tcPr>
            <w:tcW w:w="1843" w:type="dxa"/>
            <w:shd w:val="clear" w:color="auto" w:fill="auto"/>
          </w:tcPr>
          <w:p w14:paraId="1F1FE644" w14:textId="77777777" w:rsidR="005625B5" w:rsidRPr="005F6B59" w:rsidRDefault="005625B5" w:rsidP="00FB354B">
            <w:pPr>
              <w:pStyle w:val="Corpsdetexte"/>
              <w:spacing w:before="0" w:line="276" w:lineRule="auto"/>
              <w:ind w:right="138"/>
              <w:jc w:val="right"/>
              <w:rPr>
                <w:rFonts w:ascii="Century Gothic" w:hAnsi="Century Gothic"/>
                <w:sz w:val="20"/>
                <w:szCs w:val="20"/>
              </w:rPr>
            </w:pPr>
            <w:r w:rsidRPr="005F6B59">
              <w:rPr>
                <w:rFonts w:ascii="Century Gothic" w:hAnsi="Century Gothic"/>
                <w:sz w:val="20"/>
                <w:szCs w:val="20"/>
              </w:rPr>
              <w:t>6,35</w:t>
            </w:r>
          </w:p>
        </w:tc>
        <w:tc>
          <w:tcPr>
            <w:tcW w:w="1701" w:type="dxa"/>
            <w:shd w:val="clear" w:color="auto" w:fill="auto"/>
          </w:tcPr>
          <w:p w14:paraId="25D1843D" w14:textId="77777777" w:rsidR="005625B5" w:rsidRPr="005F6B59" w:rsidRDefault="005625B5" w:rsidP="00FB354B">
            <w:pPr>
              <w:pStyle w:val="Corpsdetexte"/>
              <w:spacing w:before="0" w:line="276" w:lineRule="auto"/>
              <w:ind w:right="138"/>
              <w:jc w:val="right"/>
              <w:rPr>
                <w:rFonts w:ascii="Century Gothic" w:hAnsi="Century Gothic"/>
                <w:sz w:val="20"/>
                <w:szCs w:val="20"/>
              </w:rPr>
            </w:pPr>
            <w:r w:rsidRPr="005F6B59">
              <w:rPr>
                <w:rFonts w:ascii="Century Gothic" w:hAnsi="Century Gothic"/>
                <w:sz w:val="20"/>
                <w:szCs w:val="20"/>
              </w:rPr>
              <w:t>32,42</w:t>
            </w:r>
          </w:p>
        </w:tc>
        <w:tc>
          <w:tcPr>
            <w:tcW w:w="1417" w:type="dxa"/>
            <w:shd w:val="clear" w:color="auto" w:fill="auto"/>
          </w:tcPr>
          <w:p w14:paraId="71CAE136" w14:textId="77777777" w:rsidR="005625B5" w:rsidRPr="005F6B59" w:rsidRDefault="005625B5" w:rsidP="00FB354B">
            <w:pPr>
              <w:pStyle w:val="Corpsdetexte"/>
              <w:spacing w:before="0" w:line="276" w:lineRule="auto"/>
              <w:ind w:right="138"/>
              <w:jc w:val="right"/>
              <w:rPr>
                <w:rFonts w:ascii="Century Gothic" w:hAnsi="Century Gothic"/>
                <w:sz w:val="20"/>
                <w:szCs w:val="20"/>
              </w:rPr>
            </w:pPr>
            <w:r w:rsidRPr="005F6B59">
              <w:rPr>
                <w:rFonts w:ascii="Century Gothic" w:hAnsi="Century Gothic"/>
                <w:sz w:val="20"/>
                <w:szCs w:val="20"/>
              </w:rPr>
              <w:t>530</w:t>
            </w:r>
          </w:p>
        </w:tc>
        <w:tc>
          <w:tcPr>
            <w:tcW w:w="1674" w:type="dxa"/>
            <w:shd w:val="clear" w:color="auto" w:fill="auto"/>
          </w:tcPr>
          <w:p w14:paraId="0F2ED8A5" w14:textId="77777777" w:rsidR="005625B5" w:rsidRPr="005F6B59" w:rsidRDefault="005625B5" w:rsidP="00FB354B">
            <w:pPr>
              <w:pStyle w:val="Corpsdetexte"/>
              <w:spacing w:before="0" w:line="276" w:lineRule="auto"/>
              <w:ind w:right="138"/>
              <w:jc w:val="right"/>
              <w:rPr>
                <w:rFonts w:ascii="Century Gothic" w:hAnsi="Century Gothic"/>
                <w:sz w:val="20"/>
                <w:szCs w:val="20"/>
              </w:rPr>
            </w:pPr>
            <w:r w:rsidRPr="005F6B59">
              <w:rPr>
                <w:rFonts w:ascii="Century Gothic" w:hAnsi="Century Gothic"/>
                <w:sz w:val="20"/>
                <w:szCs w:val="20"/>
              </w:rPr>
              <w:t>17 182</w:t>
            </w:r>
          </w:p>
        </w:tc>
      </w:tr>
      <w:tr w:rsidR="005625B5" w:rsidRPr="005F6B59" w14:paraId="01BD6406" w14:textId="77777777" w:rsidTr="00FB354B">
        <w:tc>
          <w:tcPr>
            <w:tcW w:w="3085" w:type="dxa"/>
            <w:shd w:val="clear" w:color="auto" w:fill="auto"/>
          </w:tcPr>
          <w:p w14:paraId="2F7387EC" w14:textId="77777777" w:rsidR="005625B5" w:rsidRPr="005F6B59" w:rsidRDefault="005625B5" w:rsidP="00FB354B">
            <w:pPr>
              <w:pStyle w:val="Corpsdetexte"/>
              <w:spacing w:before="0" w:line="276" w:lineRule="auto"/>
              <w:ind w:right="138"/>
              <w:rPr>
                <w:rFonts w:ascii="Century Gothic" w:hAnsi="Century Gothic"/>
                <w:b/>
                <w:bCs/>
                <w:sz w:val="20"/>
                <w:szCs w:val="20"/>
              </w:rPr>
            </w:pPr>
            <w:r w:rsidRPr="005F6B59">
              <w:rPr>
                <w:rFonts w:ascii="Century Gothic" w:hAnsi="Century Gothic"/>
                <w:b/>
                <w:bCs/>
                <w:sz w:val="20"/>
                <w:szCs w:val="20"/>
              </w:rPr>
              <w:t xml:space="preserve">Total </w:t>
            </w:r>
          </w:p>
        </w:tc>
        <w:tc>
          <w:tcPr>
            <w:tcW w:w="1843" w:type="dxa"/>
            <w:shd w:val="clear" w:color="auto" w:fill="auto"/>
          </w:tcPr>
          <w:p w14:paraId="7E3241D2" w14:textId="77777777" w:rsidR="005625B5" w:rsidRPr="005F6B59" w:rsidRDefault="005625B5" w:rsidP="00FB354B">
            <w:pPr>
              <w:pStyle w:val="Corpsdetexte"/>
              <w:spacing w:before="0" w:line="276" w:lineRule="auto"/>
              <w:ind w:right="138"/>
              <w:jc w:val="right"/>
              <w:rPr>
                <w:rFonts w:ascii="Century Gothic" w:hAnsi="Century Gothic"/>
                <w:b/>
                <w:bCs/>
                <w:sz w:val="20"/>
                <w:szCs w:val="20"/>
              </w:rPr>
            </w:pPr>
          </w:p>
        </w:tc>
        <w:tc>
          <w:tcPr>
            <w:tcW w:w="1701" w:type="dxa"/>
            <w:shd w:val="clear" w:color="auto" w:fill="auto"/>
          </w:tcPr>
          <w:p w14:paraId="6914145E" w14:textId="77777777" w:rsidR="005625B5" w:rsidRPr="005F6B59" w:rsidRDefault="005625B5" w:rsidP="00FB354B">
            <w:pPr>
              <w:pStyle w:val="Corpsdetexte"/>
              <w:spacing w:before="0" w:line="276" w:lineRule="auto"/>
              <w:ind w:right="138"/>
              <w:jc w:val="right"/>
              <w:rPr>
                <w:rFonts w:ascii="Century Gothic" w:hAnsi="Century Gothic"/>
                <w:b/>
                <w:bCs/>
                <w:sz w:val="20"/>
                <w:szCs w:val="20"/>
              </w:rPr>
            </w:pPr>
          </w:p>
        </w:tc>
        <w:tc>
          <w:tcPr>
            <w:tcW w:w="1417" w:type="dxa"/>
            <w:shd w:val="clear" w:color="auto" w:fill="auto"/>
          </w:tcPr>
          <w:p w14:paraId="425E3663" w14:textId="77777777" w:rsidR="005625B5" w:rsidRPr="005F6B59" w:rsidRDefault="005625B5" w:rsidP="00FB354B">
            <w:pPr>
              <w:pStyle w:val="Corpsdetexte"/>
              <w:spacing w:before="0" w:line="276" w:lineRule="auto"/>
              <w:ind w:right="138"/>
              <w:jc w:val="right"/>
              <w:rPr>
                <w:rFonts w:ascii="Century Gothic" w:hAnsi="Century Gothic"/>
                <w:b/>
                <w:bCs/>
                <w:sz w:val="20"/>
                <w:szCs w:val="20"/>
              </w:rPr>
            </w:pPr>
            <w:r w:rsidRPr="005F6B59">
              <w:rPr>
                <w:rFonts w:ascii="Century Gothic" w:hAnsi="Century Gothic"/>
                <w:b/>
                <w:bCs/>
                <w:sz w:val="20"/>
                <w:szCs w:val="20"/>
              </w:rPr>
              <w:t>16 210</w:t>
            </w:r>
          </w:p>
        </w:tc>
        <w:tc>
          <w:tcPr>
            <w:tcW w:w="1674" w:type="dxa"/>
            <w:shd w:val="clear" w:color="auto" w:fill="auto"/>
          </w:tcPr>
          <w:p w14:paraId="33593E72" w14:textId="77777777" w:rsidR="005625B5" w:rsidRPr="005F6B59" w:rsidRDefault="005625B5" w:rsidP="00FB354B">
            <w:pPr>
              <w:pStyle w:val="Corpsdetexte"/>
              <w:spacing w:before="0" w:line="276" w:lineRule="auto"/>
              <w:ind w:right="138"/>
              <w:jc w:val="right"/>
              <w:rPr>
                <w:rFonts w:ascii="Century Gothic" w:hAnsi="Century Gothic"/>
                <w:b/>
                <w:bCs/>
                <w:sz w:val="20"/>
                <w:szCs w:val="20"/>
              </w:rPr>
            </w:pPr>
            <w:r w:rsidRPr="005F6B59">
              <w:rPr>
                <w:rFonts w:ascii="Century Gothic" w:hAnsi="Century Gothic"/>
                <w:b/>
                <w:bCs/>
                <w:sz w:val="20"/>
                <w:szCs w:val="20"/>
              </w:rPr>
              <w:t>63 909</w:t>
            </w:r>
          </w:p>
        </w:tc>
      </w:tr>
    </w:tbl>
    <w:p w14:paraId="59B2EE07" w14:textId="77777777" w:rsidR="005625B5" w:rsidRPr="006A012D" w:rsidRDefault="005625B5" w:rsidP="005625B5">
      <w:pPr>
        <w:pStyle w:val="Corpsdetexte"/>
        <w:spacing w:before="0" w:line="276" w:lineRule="auto"/>
        <w:ind w:right="138"/>
        <w:jc w:val="right"/>
        <w:rPr>
          <w:rFonts w:ascii="Century Gothic" w:hAnsi="Century Gothic"/>
          <w:b/>
          <w:bCs/>
          <w:sz w:val="20"/>
          <w:szCs w:val="20"/>
        </w:rPr>
      </w:pPr>
      <w:r w:rsidRPr="006A012D">
        <w:rPr>
          <w:rFonts w:ascii="Century Gothic" w:hAnsi="Century Gothic"/>
          <w:b/>
          <w:bCs/>
          <w:sz w:val="20"/>
          <w:szCs w:val="20"/>
        </w:rPr>
        <w:t>Source : ProGRN, 2009</w:t>
      </w:r>
    </w:p>
    <w:p w14:paraId="4062770F" w14:textId="77777777" w:rsidR="005625B5" w:rsidRDefault="005625B5" w:rsidP="005625B5">
      <w:pPr>
        <w:pStyle w:val="Corpsdetexte"/>
        <w:spacing w:before="0" w:line="276" w:lineRule="auto"/>
        <w:ind w:right="138"/>
        <w:rPr>
          <w:rFonts w:ascii="Century Gothic" w:hAnsi="Century Gothic"/>
        </w:rPr>
      </w:pPr>
    </w:p>
    <w:p w14:paraId="1C7E563D" w14:textId="77777777" w:rsidR="005625B5" w:rsidRDefault="005625B5" w:rsidP="005625B5">
      <w:pPr>
        <w:pStyle w:val="Corpsdetexte"/>
        <w:spacing w:before="0" w:line="276" w:lineRule="auto"/>
        <w:ind w:right="138"/>
        <w:rPr>
          <w:rFonts w:ascii="Century Gothic" w:hAnsi="Century Gothic"/>
        </w:rPr>
      </w:pPr>
      <w:r>
        <w:rPr>
          <w:rFonts w:ascii="Century Gothic" w:hAnsi="Century Gothic"/>
        </w:rPr>
        <w:t xml:space="preserve">La surface terrière est indice de qui correspond, pour un arbre donné, à la surface de la section d’un arbre mesuré à 1,30 m du sol. La surface terrière totale ou moyenne d’une aire donnée peut être calculée par la somme des surfaces terrières de tous les arbres de cette aire. Elle est exprimée en </w:t>
      </w:r>
      <w:r w:rsidRPr="00CC0B44">
        <w:rPr>
          <w:rFonts w:ascii="Century Gothic" w:hAnsi="Century Gothic"/>
        </w:rPr>
        <w:t>m</w:t>
      </w:r>
      <w:r w:rsidRPr="00CC0B44">
        <w:rPr>
          <w:rFonts w:ascii="Century Gothic" w:hAnsi="Century Gothic"/>
          <w:vertAlign w:val="superscript"/>
        </w:rPr>
        <w:t>2</w:t>
      </w:r>
      <w:r w:rsidRPr="00CC0B44">
        <w:rPr>
          <w:rFonts w:ascii="Century Gothic" w:hAnsi="Century Gothic"/>
        </w:rPr>
        <w:t>/ha</w:t>
      </w:r>
      <w:r>
        <w:rPr>
          <w:rFonts w:ascii="Century Gothic" w:hAnsi="Century Gothic"/>
        </w:rPr>
        <w:t xml:space="preserve">.  </w:t>
      </w:r>
    </w:p>
    <w:p w14:paraId="35BF2931" w14:textId="77777777" w:rsidR="005625B5" w:rsidRDefault="005625B5" w:rsidP="005625B5">
      <w:pPr>
        <w:pStyle w:val="Corpsdetexte"/>
        <w:spacing w:before="0" w:line="276" w:lineRule="auto"/>
        <w:ind w:right="138"/>
        <w:rPr>
          <w:rFonts w:ascii="Century Gothic" w:hAnsi="Century Gothic"/>
        </w:rPr>
      </w:pPr>
    </w:p>
    <w:p w14:paraId="019C1E23" w14:textId="77777777" w:rsidR="005625B5" w:rsidRPr="00673E77" w:rsidRDefault="005625B5" w:rsidP="005625B5">
      <w:pPr>
        <w:pStyle w:val="Corpsdetexte"/>
        <w:spacing w:before="0" w:line="276" w:lineRule="auto"/>
        <w:ind w:right="138"/>
        <w:rPr>
          <w:rFonts w:ascii="Century Gothic" w:hAnsi="Century Gothic"/>
          <w:b/>
          <w:bCs/>
        </w:rPr>
      </w:pPr>
      <w:r w:rsidRPr="00673E77">
        <w:rPr>
          <w:rFonts w:ascii="Century Gothic" w:hAnsi="Century Gothic"/>
          <w:b/>
          <w:bCs/>
        </w:rPr>
        <w:t xml:space="preserve">Bilan offre-demande en bois d’énergie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3052"/>
        <w:gridCol w:w="2963"/>
      </w:tblGrid>
      <w:tr w:rsidR="005625B5" w:rsidRPr="005F6B59" w14:paraId="31B24EF3" w14:textId="77777777" w:rsidTr="00FB354B">
        <w:trPr>
          <w:trHeight w:val="58"/>
        </w:trPr>
        <w:tc>
          <w:tcPr>
            <w:tcW w:w="3240" w:type="dxa"/>
            <w:shd w:val="clear" w:color="auto" w:fill="auto"/>
          </w:tcPr>
          <w:p w14:paraId="5D3CD651"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Accroissement annuel</w:t>
            </w:r>
          </w:p>
          <w:p w14:paraId="01F6C4B6"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rPr>
              <w:t>m</w:t>
            </w:r>
            <w:proofErr w:type="gramEnd"/>
            <w:r w:rsidRPr="005F6B59">
              <w:rPr>
                <w:rFonts w:ascii="Century Gothic" w:hAnsi="Century Gothic"/>
                <w:b/>
                <w:bCs/>
                <w:vertAlign w:val="superscript"/>
              </w:rPr>
              <w:t>3</w:t>
            </w:r>
            <w:r w:rsidRPr="005F6B59">
              <w:rPr>
                <w:rFonts w:ascii="Century Gothic" w:hAnsi="Century Gothic"/>
                <w:b/>
                <w:bCs/>
                <w:sz w:val="20"/>
                <w:szCs w:val="20"/>
              </w:rPr>
              <w:t>/an)</w:t>
            </w:r>
          </w:p>
        </w:tc>
        <w:tc>
          <w:tcPr>
            <w:tcW w:w="3240" w:type="dxa"/>
            <w:shd w:val="clear" w:color="auto" w:fill="auto"/>
          </w:tcPr>
          <w:p w14:paraId="72E52C8B"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Consommation</w:t>
            </w:r>
          </w:p>
          <w:p w14:paraId="5CEAB3B4"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rPr>
              <w:t>m</w:t>
            </w:r>
            <w:proofErr w:type="gramEnd"/>
            <w:r w:rsidRPr="005F6B59">
              <w:rPr>
                <w:rFonts w:ascii="Century Gothic" w:hAnsi="Century Gothic"/>
                <w:b/>
                <w:bCs/>
                <w:vertAlign w:val="superscript"/>
              </w:rPr>
              <w:t>3</w:t>
            </w:r>
            <w:r w:rsidRPr="005F6B59">
              <w:rPr>
                <w:rFonts w:ascii="Century Gothic" w:hAnsi="Century Gothic"/>
                <w:b/>
                <w:bCs/>
                <w:sz w:val="20"/>
                <w:szCs w:val="20"/>
              </w:rPr>
              <w:t>/an)</w:t>
            </w:r>
          </w:p>
        </w:tc>
        <w:tc>
          <w:tcPr>
            <w:tcW w:w="3240" w:type="dxa"/>
            <w:shd w:val="clear" w:color="auto" w:fill="auto"/>
          </w:tcPr>
          <w:p w14:paraId="32FCDDD4"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Bilan</w:t>
            </w:r>
          </w:p>
          <w:p w14:paraId="29D6D4E6"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rPr>
              <w:t>m</w:t>
            </w:r>
            <w:proofErr w:type="gramEnd"/>
            <w:r w:rsidRPr="005F6B59">
              <w:rPr>
                <w:rFonts w:ascii="Century Gothic" w:hAnsi="Century Gothic"/>
                <w:b/>
                <w:bCs/>
                <w:vertAlign w:val="superscript"/>
              </w:rPr>
              <w:t>3</w:t>
            </w:r>
            <w:r w:rsidRPr="005F6B59">
              <w:rPr>
                <w:rFonts w:ascii="Century Gothic" w:hAnsi="Century Gothic"/>
                <w:b/>
                <w:bCs/>
                <w:sz w:val="20"/>
                <w:szCs w:val="20"/>
              </w:rPr>
              <w:t>/an)</w:t>
            </w:r>
          </w:p>
        </w:tc>
      </w:tr>
      <w:tr w:rsidR="005625B5" w:rsidRPr="005F6B59" w14:paraId="105F4F6D" w14:textId="77777777" w:rsidTr="00FB354B">
        <w:tc>
          <w:tcPr>
            <w:tcW w:w="3240" w:type="dxa"/>
            <w:shd w:val="clear" w:color="auto" w:fill="auto"/>
          </w:tcPr>
          <w:p w14:paraId="208BA07D"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2472</w:t>
            </w:r>
          </w:p>
        </w:tc>
        <w:tc>
          <w:tcPr>
            <w:tcW w:w="3240" w:type="dxa"/>
            <w:shd w:val="clear" w:color="auto" w:fill="auto"/>
          </w:tcPr>
          <w:p w14:paraId="27989794"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2733</w:t>
            </w:r>
          </w:p>
        </w:tc>
        <w:tc>
          <w:tcPr>
            <w:tcW w:w="3240" w:type="dxa"/>
            <w:shd w:val="clear" w:color="auto" w:fill="auto"/>
          </w:tcPr>
          <w:p w14:paraId="23FBDD23"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-261</w:t>
            </w:r>
          </w:p>
        </w:tc>
      </w:tr>
    </w:tbl>
    <w:p w14:paraId="3376B58E" w14:textId="77777777" w:rsidR="005625B5" w:rsidRPr="006A012D" w:rsidRDefault="005625B5" w:rsidP="005625B5">
      <w:pPr>
        <w:pStyle w:val="Corpsdetexte"/>
        <w:spacing w:before="0" w:line="276" w:lineRule="auto"/>
        <w:ind w:right="138"/>
        <w:jc w:val="right"/>
        <w:rPr>
          <w:rFonts w:ascii="Century Gothic" w:hAnsi="Century Gothic"/>
          <w:b/>
          <w:bCs/>
          <w:sz w:val="20"/>
          <w:szCs w:val="20"/>
        </w:rPr>
      </w:pPr>
      <w:r w:rsidRPr="006A012D">
        <w:rPr>
          <w:rFonts w:ascii="Century Gothic" w:hAnsi="Century Gothic"/>
          <w:b/>
          <w:bCs/>
          <w:sz w:val="20"/>
          <w:szCs w:val="20"/>
        </w:rPr>
        <w:t>Source : ProGRN, 2009</w:t>
      </w:r>
    </w:p>
    <w:p w14:paraId="6C1FE1D3" w14:textId="77777777" w:rsidR="005625B5" w:rsidRDefault="005625B5" w:rsidP="005625B5">
      <w:pPr>
        <w:pStyle w:val="Corpsdetexte"/>
        <w:spacing w:before="0" w:line="276" w:lineRule="auto"/>
        <w:ind w:right="138"/>
        <w:rPr>
          <w:rFonts w:ascii="Century Gothic" w:hAnsi="Century Gothic"/>
        </w:rPr>
      </w:pPr>
    </w:p>
    <w:p w14:paraId="1E27424E" w14:textId="77777777" w:rsidR="005625B5" w:rsidRDefault="005625B5" w:rsidP="005625B5">
      <w:pPr>
        <w:pStyle w:val="Corpsdetexte"/>
        <w:spacing w:before="0" w:line="276" w:lineRule="auto"/>
        <w:ind w:right="138"/>
        <w:rPr>
          <w:rFonts w:ascii="Century Gothic" w:hAnsi="Century Gothic"/>
        </w:rPr>
      </w:pPr>
      <w:r w:rsidRPr="00113EA1">
        <w:rPr>
          <w:rFonts w:ascii="Century Gothic" w:hAnsi="Century Gothic"/>
        </w:rPr>
        <w:t xml:space="preserve">La consommation annuelle des ménages en bois d’énergie (bois de chauffe et charbon de bois) est estimée à environ 0,67 m³ par personne. En se basant sur une population totale de 4080 habitants la consommation totale s’élève à 2.733 mètres cubes de bois par an. La production totale des savanes et forêts situées à l’intérieur de l’espace est de 2472 mètres cubes par an. Ainsi, le bilan global entre offre et demande en bois énergie est négatif </w:t>
      </w:r>
      <w:r>
        <w:rPr>
          <w:rFonts w:ascii="Century Gothic" w:hAnsi="Century Gothic"/>
        </w:rPr>
        <w:t>(</w:t>
      </w:r>
      <w:r w:rsidRPr="00113EA1">
        <w:rPr>
          <w:rFonts w:ascii="Century Gothic" w:hAnsi="Century Gothic"/>
        </w:rPr>
        <w:t>voir tableau ci-dessus</w:t>
      </w:r>
      <w:r>
        <w:rPr>
          <w:rFonts w:ascii="Century Gothic" w:hAnsi="Century Gothic"/>
        </w:rPr>
        <w:t>)</w:t>
      </w:r>
      <w:r w:rsidRPr="00113EA1">
        <w:rPr>
          <w:rFonts w:ascii="Century Gothic" w:hAnsi="Century Gothic"/>
        </w:rPr>
        <w:t>.</w:t>
      </w:r>
    </w:p>
    <w:p w14:paraId="63277E7B" w14:textId="77777777" w:rsidR="005625B5" w:rsidRDefault="005625B5" w:rsidP="005625B5">
      <w:pPr>
        <w:pStyle w:val="Corpsdetexte"/>
        <w:spacing w:before="0" w:line="276" w:lineRule="auto"/>
        <w:ind w:right="138"/>
        <w:rPr>
          <w:rFonts w:ascii="Century Gothic" w:hAnsi="Century Gothic"/>
          <w:b/>
          <w:bCs/>
        </w:rPr>
      </w:pPr>
    </w:p>
    <w:p w14:paraId="7D2C0DD8" w14:textId="77777777" w:rsidR="005625B5" w:rsidRPr="00FA6915" w:rsidRDefault="005625B5" w:rsidP="005625B5">
      <w:pPr>
        <w:pStyle w:val="Corpsdetexte"/>
        <w:spacing w:before="0" w:line="276" w:lineRule="auto"/>
        <w:ind w:right="138"/>
        <w:rPr>
          <w:rFonts w:ascii="Century Gothic" w:hAnsi="Century Gothic"/>
          <w:b/>
          <w:bCs/>
        </w:rPr>
      </w:pPr>
      <w:r w:rsidRPr="00FA6915">
        <w:rPr>
          <w:rFonts w:ascii="Century Gothic" w:hAnsi="Century Gothic"/>
          <w:b/>
          <w:bCs/>
        </w:rPr>
        <w:t>P</w:t>
      </w:r>
      <w:r>
        <w:rPr>
          <w:rFonts w:ascii="Century Gothic" w:hAnsi="Century Gothic"/>
          <w:b/>
          <w:bCs/>
        </w:rPr>
        <w:t>lan d’</w:t>
      </w:r>
      <w:r w:rsidRPr="00FA6915">
        <w:rPr>
          <w:rFonts w:ascii="Century Gothic" w:hAnsi="Century Gothic"/>
          <w:b/>
          <w:bCs/>
        </w:rPr>
        <w:t>A</w:t>
      </w:r>
      <w:r>
        <w:rPr>
          <w:rFonts w:ascii="Century Gothic" w:hAnsi="Century Gothic"/>
          <w:b/>
          <w:bCs/>
        </w:rPr>
        <w:t xml:space="preserve">ménagement </w:t>
      </w:r>
      <w:r w:rsidRPr="00FA6915">
        <w:rPr>
          <w:rFonts w:ascii="Century Gothic" w:hAnsi="Century Gothic"/>
          <w:b/>
          <w:bCs/>
        </w:rPr>
        <w:t>S</w:t>
      </w:r>
      <w:r>
        <w:rPr>
          <w:rFonts w:ascii="Century Gothic" w:hAnsi="Century Gothic"/>
          <w:b/>
          <w:bCs/>
        </w:rPr>
        <w:t>implifié</w:t>
      </w:r>
      <w:r w:rsidRPr="00FA6915">
        <w:rPr>
          <w:rFonts w:ascii="Century Gothic" w:hAnsi="Century Gothic"/>
          <w:b/>
          <w:bCs/>
        </w:rPr>
        <w:t xml:space="preserve"> de la forêt de Boully Beldi : </w:t>
      </w:r>
    </w:p>
    <w:p w14:paraId="1E1C1D85" w14:textId="77777777" w:rsidR="005625B5" w:rsidRDefault="005625B5" w:rsidP="005625B5">
      <w:pPr>
        <w:pStyle w:val="Corpsdetexte"/>
        <w:spacing w:before="0" w:line="276" w:lineRule="auto"/>
        <w:rPr>
          <w:rFonts w:ascii="Century Gothic" w:hAnsi="Century Gothic"/>
        </w:rPr>
      </w:pPr>
    </w:p>
    <w:p w14:paraId="37A52925" w14:textId="77777777" w:rsidR="005625B5" w:rsidRDefault="005625B5" w:rsidP="005625B5">
      <w:pPr>
        <w:pStyle w:val="Corpsdetexte"/>
        <w:spacing w:before="0" w:line="276" w:lineRule="auto"/>
        <w:rPr>
          <w:rFonts w:ascii="Century Gothic" w:hAnsi="Century Gothic"/>
        </w:rPr>
      </w:pPr>
      <w:r w:rsidRPr="00D62C54">
        <w:rPr>
          <w:rFonts w:ascii="Century Gothic" w:hAnsi="Century Gothic"/>
        </w:rPr>
        <w:t>La</w:t>
      </w:r>
      <w:r w:rsidRPr="00D62C54">
        <w:rPr>
          <w:rFonts w:ascii="Century Gothic" w:hAnsi="Century Gothic"/>
          <w:spacing w:val="34"/>
        </w:rPr>
        <w:t xml:space="preserve"> </w:t>
      </w:r>
      <w:r w:rsidRPr="00D62C54">
        <w:rPr>
          <w:rFonts w:ascii="Century Gothic" w:hAnsi="Century Gothic"/>
        </w:rPr>
        <w:t>forêt</w:t>
      </w:r>
      <w:r w:rsidRPr="00D62C54">
        <w:rPr>
          <w:rFonts w:ascii="Century Gothic" w:hAnsi="Century Gothic"/>
          <w:spacing w:val="36"/>
        </w:rPr>
        <w:t xml:space="preserve"> </w:t>
      </w:r>
      <w:r w:rsidRPr="00D62C54">
        <w:rPr>
          <w:rFonts w:ascii="Century Gothic" w:hAnsi="Century Gothic"/>
        </w:rPr>
        <w:t>de</w:t>
      </w:r>
      <w:r w:rsidRPr="00D62C54">
        <w:rPr>
          <w:rFonts w:ascii="Century Gothic" w:hAnsi="Century Gothic"/>
          <w:spacing w:val="35"/>
        </w:rPr>
        <w:t xml:space="preserve"> </w:t>
      </w:r>
      <w:r w:rsidRPr="00D62C54">
        <w:rPr>
          <w:rFonts w:ascii="Century Gothic" w:hAnsi="Century Gothic"/>
        </w:rPr>
        <w:t>Boully</w:t>
      </w:r>
      <w:r w:rsidRPr="00D62C54">
        <w:rPr>
          <w:rFonts w:ascii="Century Gothic" w:hAnsi="Century Gothic"/>
          <w:spacing w:val="32"/>
        </w:rPr>
        <w:t xml:space="preserve"> </w:t>
      </w:r>
      <w:r w:rsidRPr="00D62C54">
        <w:rPr>
          <w:rFonts w:ascii="Century Gothic" w:hAnsi="Century Gothic"/>
        </w:rPr>
        <w:t>Beldi</w:t>
      </w:r>
      <w:r w:rsidRPr="00D62C54">
        <w:rPr>
          <w:rFonts w:ascii="Century Gothic" w:hAnsi="Century Gothic"/>
          <w:spacing w:val="33"/>
        </w:rPr>
        <w:t xml:space="preserve"> </w:t>
      </w:r>
      <w:r w:rsidRPr="00D62C54">
        <w:rPr>
          <w:rFonts w:ascii="Century Gothic" w:hAnsi="Century Gothic"/>
        </w:rPr>
        <w:t>se</w:t>
      </w:r>
      <w:r w:rsidRPr="00D62C54">
        <w:rPr>
          <w:rFonts w:ascii="Century Gothic" w:hAnsi="Century Gothic"/>
          <w:spacing w:val="35"/>
        </w:rPr>
        <w:t xml:space="preserve"> </w:t>
      </w:r>
      <w:r w:rsidRPr="00D62C54">
        <w:rPr>
          <w:rFonts w:ascii="Century Gothic" w:hAnsi="Century Gothic"/>
        </w:rPr>
        <w:t>situe</w:t>
      </w:r>
      <w:r w:rsidRPr="00D62C54">
        <w:rPr>
          <w:rFonts w:ascii="Century Gothic" w:hAnsi="Century Gothic"/>
          <w:spacing w:val="35"/>
        </w:rPr>
        <w:t xml:space="preserve"> </w:t>
      </w:r>
      <w:r w:rsidRPr="00D62C54">
        <w:rPr>
          <w:rFonts w:ascii="Century Gothic" w:hAnsi="Century Gothic"/>
        </w:rPr>
        <w:t>au</w:t>
      </w:r>
      <w:r w:rsidRPr="00D62C54">
        <w:rPr>
          <w:rFonts w:ascii="Century Gothic" w:hAnsi="Century Gothic"/>
          <w:spacing w:val="34"/>
        </w:rPr>
        <w:t xml:space="preserve"> </w:t>
      </w:r>
      <w:r w:rsidRPr="00D62C54">
        <w:rPr>
          <w:rFonts w:ascii="Century Gothic" w:hAnsi="Century Gothic"/>
        </w:rPr>
        <w:t>nord</w:t>
      </w:r>
      <w:r w:rsidRPr="00D62C54">
        <w:rPr>
          <w:rFonts w:ascii="Century Gothic" w:hAnsi="Century Gothic"/>
          <w:spacing w:val="34"/>
        </w:rPr>
        <w:t xml:space="preserve"> </w:t>
      </w:r>
      <w:r w:rsidRPr="00D62C54">
        <w:rPr>
          <w:rFonts w:ascii="Century Gothic" w:hAnsi="Century Gothic"/>
        </w:rPr>
        <w:t>de</w:t>
      </w:r>
      <w:r w:rsidRPr="00D62C54">
        <w:rPr>
          <w:rFonts w:ascii="Century Gothic" w:hAnsi="Century Gothic"/>
          <w:spacing w:val="35"/>
        </w:rPr>
        <w:t xml:space="preserve"> </w:t>
      </w:r>
      <w:r w:rsidRPr="00D62C54">
        <w:rPr>
          <w:rFonts w:ascii="Century Gothic" w:hAnsi="Century Gothic"/>
        </w:rPr>
        <w:t>l’espace</w:t>
      </w:r>
      <w:r w:rsidRPr="00D62C54">
        <w:rPr>
          <w:rFonts w:ascii="Century Gothic" w:hAnsi="Century Gothic"/>
          <w:spacing w:val="35"/>
        </w:rPr>
        <w:t xml:space="preserve"> </w:t>
      </w:r>
      <w:r w:rsidRPr="00D62C54">
        <w:rPr>
          <w:rFonts w:ascii="Century Gothic" w:hAnsi="Century Gothic"/>
        </w:rPr>
        <w:t>de</w:t>
      </w:r>
      <w:r w:rsidRPr="00D62C54">
        <w:rPr>
          <w:rFonts w:ascii="Century Gothic" w:hAnsi="Century Gothic"/>
          <w:spacing w:val="35"/>
        </w:rPr>
        <w:t xml:space="preserve"> </w:t>
      </w:r>
      <w:r w:rsidRPr="00D62C54">
        <w:rPr>
          <w:rFonts w:ascii="Century Gothic" w:hAnsi="Century Gothic"/>
        </w:rPr>
        <w:t>Moudji</w:t>
      </w:r>
      <w:r w:rsidRPr="00D62C54">
        <w:rPr>
          <w:rFonts w:ascii="Century Gothic" w:hAnsi="Century Gothic"/>
          <w:spacing w:val="35"/>
        </w:rPr>
        <w:t xml:space="preserve"> </w:t>
      </w:r>
      <w:r w:rsidRPr="00D62C54">
        <w:rPr>
          <w:rFonts w:ascii="Century Gothic" w:hAnsi="Century Gothic"/>
        </w:rPr>
        <w:t>Sud.</w:t>
      </w:r>
      <w:r w:rsidRPr="00D62C54">
        <w:rPr>
          <w:rFonts w:ascii="Century Gothic" w:hAnsi="Century Gothic"/>
          <w:spacing w:val="34"/>
        </w:rPr>
        <w:t xml:space="preserve"> </w:t>
      </w:r>
      <w:r w:rsidRPr="00D62C54">
        <w:rPr>
          <w:rFonts w:ascii="Century Gothic" w:hAnsi="Century Gothic"/>
        </w:rPr>
        <w:t>Sa</w:t>
      </w:r>
      <w:r w:rsidRPr="00D62C54">
        <w:rPr>
          <w:rFonts w:ascii="Century Gothic" w:hAnsi="Century Gothic"/>
          <w:spacing w:val="34"/>
        </w:rPr>
        <w:t xml:space="preserve"> </w:t>
      </w:r>
      <w:r w:rsidRPr="00D62C54">
        <w:rPr>
          <w:rFonts w:ascii="Century Gothic" w:hAnsi="Century Gothic"/>
        </w:rPr>
        <w:t>superficie s’élève à 99,9 hectares.</w:t>
      </w:r>
      <w:r>
        <w:rPr>
          <w:rFonts w:ascii="Century Gothic" w:hAnsi="Century Gothic"/>
        </w:rPr>
        <w:t xml:space="preserve"> Elle</w:t>
      </w:r>
      <w:r w:rsidRPr="00D62C54">
        <w:rPr>
          <w:rFonts w:ascii="Century Gothic" w:hAnsi="Century Gothic"/>
          <w:spacing w:val="23"/>
        </w:rPr>
        <w:t xml:space="preserve"> </w:t>
      </w:r>
      <w:r w:rsidRPr="00D62C54">
        <w:rPr>
          <w:rFonts w:ascii="Century Gothic" w:hAnsi="Century Gothic"/>
        </w:rPr>
        <w:t>est</w:t>
      </w:r>
      <w:r w:rsidRPr="00D62C54">
        <w:rPr>
          <w:rFonts w:ascii="Century Gothic" w:hAnsi="Century Gothic"/>
          <w:spacing w:val="25"/>
        </w:rPr>
        <w:t xml:space="preserve"> </w:t>
      </w:r>
      <w:r w:rsidRPr="00D62C54">
        <w:rPr>
          <w:rFonts w:ascii="Century Gothic" w:hAnsi="Century Gothic"/>
        </w:rPr>
        <w:t>composée</w:t>
      </w:r>
      <w:r w:rsidRPr="00D62C54">
        <w:rPr>
          <w:rFonts w:ascii="Century Gothic" w:hAnsi="Century Gothic"/>
          <w:spacing w:val="23"/>
        </w:rPr>
        <w:t xml:space="preserve"> </w:t>
      </w:r>
      <w:r w:rsidRPr="00D62C54">
        <w:rPr>
          <w:rFonts w:ascii="Century Gothic" w:hAnsi="Century Gothic"/>
        </w:rPr>
        <w:t>d’une</w:t>
      </w:r>
      <w:r w:rsidRPr="00D62C54">
        <w:rPr>
          <w:rFonts w:ascii="Century Gothic" w:hAnsi="Century Gothic"/>
          <w:spacing w:val="23"/>
        </w:rPr>
        <w:t xml:space="preserve"> </w:t>
      </w:r>
      <w:r w:rsidRPr="00D62C54">
        <w:rPr>
          <w:rFonts w:ascii="Century Gothic" w:hAnsi="Century Gothic"/>
        </w:rPr>
        <w:t>seule</w:t>
      </w:r>
      <w:r w:rsidRPr="00D62C54">
        <w:rPr>
          <w:rFonts w:ascii="Century Gothic" w:hAnsi="Century Gothic"/>
          <w:spacing w:val="23"/>
        </w:rPr>
        <w:t xml:space="preserve"> </w:t>
      </w:r>
      <w:r w:rsidRPr="00D62C54">
        <w:rPr>
          <w:rFonts w:ascii="Century Gothic" w:hAnsi="Century Gothic"/>
        </w:rPr>
        <w:t>strate</w:t>
      </w:r>
      <w:r w:rsidRPr="00D62C54">
        <w:rPr>
          <w:rFonts w:ascii="Century Gothic" w:hAnsi="Century Gothic"/>
          <w:spacing w:val="23"/>
        </w:rPr>
        <w:t xml:space="preserve"> </w:t>
      </w:r>
      <w:r w:rsidRPr="00D62C54">
        <w:rPr>
          <w:rFonts w:ascii="Century Gothic" w:hAnsi="Century Gothic"/>
        </w:rPr>
        <w:t>écologique.</w:t>
      </w:r>
      <w:r w:rsidRPr="00D62C54">
        <w:rPr>
          <w:rFonts w:ascii="Century Gothic" w:hAnsi="Century Gothic"/>
          <w:spacing w:val="21"/>
        </w:rPr>
        <w:t xml:space="preserve"> </w:t>
      </w:r>
      <w:r w:rsidRPr="00D62C54">
        <w:rPr>
          <w:rFonts w:ascii="Century Gothic" w:hAnsi="Century Gothic"/>
        </w:rPr>
        <w:t>Le</w:t>
      </w:r>
      <w:r w:rsidRPr="00D62C54">
        <w:rPr>
          <w:rFonts w:ascii="Century Gothic" w:hAnsi="Century Gothic"/>
          <w:spacing w:val="22"/>
        </w:rPr>
        <w:t xml:space="preserve"> </w:t>
      </w:r>
      <w:r w:rsidRPr="00D62C54">
        <w:rPr>
          <w:rFonts w:ascii="Century Gothic" w:hAnsi="Century Gothic"/>
        </w:rPr>
        <w:t>tableau</w:t>
      </w:r>
      <w:r w:rsidRPr="00D62C54">
        <w:rPr>
          <w:rFonts w:ascii="Century Gothic" w:hAnsi="Century Gothic"/>
          <w:spacing w:val="23"/>
        </w:rPr>
        <w:t xml:space="preserve"> </w:t>
      </w:r>
      <w:r>
        <w:rPr>
          <w:rFonts w:ascii="Century Gothic" w:hAnsi="Century Gothic"/>
          <w:spacing w:val="23"/>
        </w:rPr>
        <w:t xml:space="preserve">et la carte </w:t>
      </w:r>
      <w:r w:rsidRPr="00D62C54">
        <w:rPr>
          <w:rFonts w:ascii="Century Gothic" w:hAnsi="Century Gothic"/>
        </w:rPr>
        <w:t>ci-dessous</w:t>
      </w:r>
      <w:r w:rsidRPr="00D62C54">
        <w:rPr>
          <w:rFonts w:ascii="Century Gothic" w:hAnsi="Century Gothic"/>
          <w:spacing w:val="23"/>
        </w:rPr>
        <w:t xml:space="preserve"> </w:t>
      </w:r>
      <w:r w:rsidRPr="00D62C54">
        <w:rPr>
          <w:rFonts w:ascii="Century Gothic" w:hAnsi="Century Gothic"/>
        </w:rPr>
        <w:t>précise</w:t>
      </w:r>
      <w:r>
        <w:rPr>
          <w:rFonts w:ascii="Century Gothic" w:hAnsi="Century Gothic"/>
        </w:rPr>
        <w:t>nt respectivement</w:t>
      </w:r>
      <w:r w:rsidRPr="00D62C54">
        <w:rPr>
          <w:rFonts w:ascii="Century Gothic" w:hAnsi="Century Gothic"/>
          <w:spacing w:val="21"/>
        </w:rPr>
        <w:t xml:space="preserve"> </w:t>
      </w:r>
      <w:r w:rsidRPr="00D62C54">
        <w:rPr>
          <w:rFonts w:ascii="Century Gothic" w:hAnsi="Century Gothic"/>
        </w:rPr>
        <w:t>la</w:t>
      </w:r>
      <w:r w:rsidRPr="00D62C54">
        <w:rPr>
          <w:rFonts w:ascii="Century Gothic" w:hAnsi="Century Gothic"/>
          <w:spacing w:val="23"/>
        </w:rPr>
        <w:t xml:space="preserve"> </w:t>
      </w:r>
      <w:r w:rsidRPr="00D62C54">
        <w:rPr>
          <w:rFonts w:ascii="Century Gothic" w:hAnsi="Century Gothic"/>
        </w:rPr>
        <w:t>superficie</w:t>
      </w:r>
      <w:r w:rsidRPr="00D62C54">
        <w:rPr>
          <w:rFonts w:ascii="Century Gothic" w:hAnsi="Century Gothic"/>
          <w:spacing w:val="23"/>
        </w:rPr>
        <w:t xml:space="preserve"> </w:t>
      </w:r>
      <w:r>
        <w:rPr>
          <w:rFonts w:ascii="Century Gothic" w:hAnsi="Century Gothic"/>
        </w:rPr>
        <w:t>et l</w:t>
      </w:r>
      <w:r w:rsidRPr="00D62C54">
        <w:rPr>
          <w:rFonts w:ascii="Century Gothic" w:hAnsi="Century Gothic"/>
        </w:rPr>
        <w:t>a répartition spatiale des différentes strates</w:t>
      </w:r>
      <w:r>
        <w:rPr>
          <w:rFonts w:ascii="Century Gothic" w:hAnsi="Century Gothic"/>
        </w:rPr>
        <w:t>.</w:t>
      </w:r>
    </w:p>
    <w:p w14:paraId="56284243" w14:textId="77777777" w:rsidR="005625B5" w:rsidRPr="004042D0" w:rsidRDefault="005625B5" w:rsidP="005625B5">
      <w:pPr>
        <w:pStyle w:val="Corpsdetexte"/>
        <w:spacing w:before="0" w:line="276" w:lineRule="auto"/>
        <w:ind w:right="139"/>
        <w:rPr>
          <w:rFonts w:ascii="Century Gothic" w:hAnsi="Century Gothic"/>
        </w:rPr>
      </w:pPr>
      <w:r>
        <w:rPr>
          <w:rFonts w:ascii="Century Gothic" w:hAnsi="Century Gothic"/>
          <w:noProof/>
        </w:rPr>
        <mc:AlternateContent>
          <mc:Choice Requires="wpg">
            <w:drawing>
              <wp:anchor distT="0" distB="0" distL="0" distR="0" simplePos="0" relativeHeight="251703296" behindDoc="1" locked="0" layoutInCell="1" allowOverlap="1" wp14:anchorId="0DCE86D7" wp14:editId="471794B6">
                <wp:simplePos x="0" y="0"/>
                <wp:positionH relativeFrom="page">
                  <wp:posOffset>854075</wp:posOffset>
                </wp:positionH>
                <wp:positionV relativeFrom="paragraph">
                  <wp:posOffset>237490</wp:posOffset>
                </wp:positionV>
                <wp:extent cx="6070600" cy="4554220"/>
                <wp:effectExtent l="0" t="0" r="0" b="0"/>
                <wp:wrapTopAndBottom/>
                <wp:docPr id="280420630"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0600" cy="4554220"/>
                          <a:chOff x="0" y="0"/>
                          <a:chExt cx="5532755" cy="4094479"/>
                        </a:xfrm>
                      </wpg:grpSpPr>
                      <pic:pic xmlns:pic="http://schemas.openxmlformats.org/drawingml/2006/picture">
                        <pic:nvPicPr>
                          <pic:cNvPr id="1566816712" name="Image 24"/>
                          <pic:cNvPicPr>
                            <a:picLocks/>
                          </pic:cNvPicPr>
                        </pic:nvPicPr>
                        <pic:blipFill>
                          <a:blip r:embed="rId124">
                            <a:extLst>
                              <a:ext uri="{28A0092B-C50C-407E-A947-70E740481C1C}">
                                <a14:useLocalDpi xmlns:a14="http://schemas.microsoft.com/office/drawing/2010/main" val="0"/>
                              </a:ext>
                            </a:extLst>
                          </a:blip>
                          <a:srcRect/>
                          <a:stretch>
                            <a:fillRect/>
                          </a:stretch>
                        </pic:blipFill>
                        <pic:spPr bwMode="auto">
                          <a:xfrm>
                            <a:off x="127765" y="52528"/>
                            <a:ext cx="5213995" cy="3979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1139679" name="Graphic 25"/>
                        <wps:cNvSpPr>
                          <a:spLocks/>
                        </wps:cNvSpPr>
                        <wps:spPr bwMode="auto">
                          <a:xfrm>
                            <a:off x="6167" y="6167"/>
                            <a:ext cx="5520055" cy="4081779"/>
                          </a:xfrm>
                          <a:custGeom>
                            <a:avLst/>
                            <a:gdLst>
                              <a:gd name="T0" fmla="*/ 0 w 5520055"/>
                              <a:gd name="T1" fmla="*/ 4081641 h 4081779"/>
                              <a:gd name="T2" fmla="*/ 5519833 w 5520055"/>
                              <a:gd name="T3" fmla="*/ 4081641 h 4081779"/>
                              <a:gd name="T4" fmla="*/ 5519833 w 5520055"/>
                              <a:gd name="T5" fmla="*/ 0 h 4081779"/>
                              <a:gd name="T6" fmla="*/ 0 w 5520055"/>
                              <a:gd name="T7" fmla="*/ 0 h 4081779"/>
                              <a:gd name="T8" fmla="*/ 0 w 5520055"/>
                              <a:gd name="T9" fmla="*/ 4081641 h 4081779"/>
                            </a:gdLst>
                            <a:ahLst/>
                            <a:cxnLst>
                              <a:cxn ang="0">
                                <a:pos x="T0" y="T1"/>
                              </a:cxn>
                              <a:cxn ang="0">
                                <a:pos x="T2" y="T3"/>
                              </a:cxn>
                              <a:cxn ang="0">
                                <a:pos x="T4" y="T5"/>
                              </a:cxn>
                              <a:cxn ang="0">
                                <a:pos x="T6" y="T7"/>
                              </a:cxn>
                              <a:cxn ang="0">
                                <a:pos x="T8" y="T9"/>
                              </a:cxn>
                            </a:cxnLst>
                            <a:rect l="0" t="0" r="r" b="b"/>
                            <a:pathLst>
                              <a:path w="5520055" h="4081779">
                                <a:moveTo>
                                  <a:pt x="0" y="4081641"/>
                                </a:moveTo>
                                <a:lnTo>
                                  <a:pt x="5519833" y="4081641"/>
                                </a:lnTo>
                                <a:lnTo>
                                  <a:pt x="5519833" y="0"/>
                                </a:lnTo>
                                <a:lnTo>
                                  <a:pt x="0" y="0"/>
                                </a:lnTo>
                                <a:lnTo>
                                  <a:pt x="0" y="4081641"/>
                                </a:lnTo>
                                <a:close/>
                              </a:path>
                            </a:pathLst>
                          </a:custGeom>
                          <a:noFill/>
                          <a:ln w="12334">
                            <a:solidFill>
                              <a:srgbClr val="0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CC250E" id="Group 23" o:spid="_x0000_s1026" style="position:absolute;margin-left:67.25pt;margin-top:18.7pt;width:478pt;height:358.6pt;z-index:-251613184;mso-wrap-distance-left:0;mso-wrap-distance-right:0;mso-position-horizontal-relative:page" coordsize="55327,409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7" type="#_x0000_t75" style="position:absolute;left:1277;top:525;width:52140;height:39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">
                  <v:imagedata r:id="rId127" o:title=""/>
                  <v:path arrowok="t"/>
                  <o:lock v:ext="edit" aspectratio="f"/>
                </v:shape>
                <v:shape id="Graphic 25" o:spid="_x0000_s1028" style="position:absolute;left:61;top:61;width:55201;height:40818;visibility:visible;mso-wrap-style:square;v-text-anchor:top" coordsize="5520055,4081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" path="m,4081641r5519833,l5519833,,,,,4081641xe" filled="f" strokecolor="teal" strokeweight=".34261mm">
                  <v:path arrowok="t" o:connecttype="custom" o:connectlocs="0,4081641;5519833,4081641;5519833,0;0,0;0,4081641" o:connectangles="0,0,0,0,0"/>
                </v:shape>
                <w10:wrap type="topAndBottom" anchorx="page"/>
              </v:group>
            </w:pict>
          </mc:Fallback>
        </mc:AlternateContent>
      </w:r>
    </w:p>
    <w:p w14:paraId="6182EBAA" w14:textId="77777777" w:rsidR="005625B5" w:rsidRPr="00FF555F" w:rsidRDefault="005625B5" w:rsidP="005625B5">
      <w:pPr>
        <w:pStyle w:val="Corpsdetexte"/>
        <w:spacing w:before="0" w:line="276" w:lineRule="auto"/>
        <w:ind w:right="138"/>
        <w:jc w:val="center"/>
        <w:rPr>
          <w:rFonts w:ascii="Century Gothic" w:hAnsi="Century Gothic"/>
          <w:b/>
          <w:bCs/>
          <w:sz w:val="20"/>
          <w:szCs w:val="20"/>
        </w:rPr>
      </w:pPr>
      <w:r w:rsidRPr="00FF555F">
        <w:rPr>
          <w:rFonts w:ascii="Century Gothic" w:hAnsi="Century Gothic"/>
          <w:b/>
          <w:bCs/>
          <w:sz w:val="20"/>
          <w:szCs w:val="20"/>
        </w:rPr>
        <w:t xml:space="preserve">Stratification écologique de la forêt </w:t>
      </w:r>
      <w:r>
        <w:rPr>
          <w:rFonts w:ascii="Century Gothic" w:hAnsi="Century Gothic"/>
          <w:b/>
          <w:bCs/>
          <w:sz w:val="20"/>
          <w:szCs w:val="20"/>
        </w:rPr>
        <w:t>(</w:t>
      </w:r>
      <w:r w:rsidRPr="00FF555F">
        <w:rPr>
          <w:rFonts w:ascii="Century Gothic" w:hAnsi="Century Gothic"/>
          <w:b/>
          <w:bCs/>
          <w:sz w:val="20"/>
          <w:szCs w:val="20"/>
        </w:rPr>
        <w:t>Source : ProGRN, 2009</w:t>
      </w:r>
      <w:r>
        <w:rPr>
          <w:rFonts w:ascii="Century Gothic" w:hAnsi="Century Gothic"/>
          <w:b/>
          <w:bCs/>
          <w:sz w:val="20"/>
          <w:szCs w:val="20"/>
        </w:rPr>
        <w:t>)</w:t>
      </w:r>
    </w:p>
    <w:p w14:paraId="7697C51A" w14:textId="77777777" w:rsidR="005625B5" w:rsidRDefault="005625B5" w:rsidP="005625B5">
      <w:pPr>
        <w:pStyle w:val="Corpsdetexte"/>
        <w:spacing w:before="0" w:line="276" w:lineRule="auto"/>
        <w:ind w:right="138"/>
        <w:jc w:val="center"/>
        <w:rPr>
          <w:rFonts w:ascii="Century Gothic" w:hAnsi="Century Gothic"/>
        </w:rPr>
      </w:pPr>
    </w:p>
    <w:p w14:paraId="37716950" w14:textId="77777777" w:rsidR="005625B5" w:rsidRDefault="005625B5" w:rsidP="005625B5">
      <w:pPr>
        <w:pStyle w:val="Corpsdetexte"/>
        <w:spacing w:before="0" w:line="276" w:lineRule="auto"/>
        <w:ind w:right="141"/>
        <w:rPr>
          <w:rFonts w:ascii="Century Gothic" w:hAnsi="Century Gothic"/>
        </w:rPr>
      </w:pPr>
    </w:p>
    <w:p w14:paraId="14E1E713" w14:textId="77777777" w:rsidR="005625B5" w:rsidRPr="00C93189" w:rsidRDefault="005625B5" w:rsidP="005625B5">
      <w:pPr>
        <w:pStyle w:val="Corpsdetexte"/>
        <w:spacing w:before="0" w:line="276" w:lineRule="auto"/>
        <w:ind w:right="139"/>
        <w:rPr>
          <w:rFonts w:ascii="Century Gothic" w:hAnsi="Century Gothic"/>
          <w:b/>
          <w:bCs/>
        </w:rPr>
      </w:pPr>
      <w:r w:rsidRPr="00C93189">
        <w:rPr>
          <w:rFonts w:ascii="Century Gothic" w:hAnsi="Century Gothic"/>
          <w:b/>
          <w:bCs/>
        </w:rPr>
        <w:t xml:space="preserve">Superficie des strates forestières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2995"/>
        <w:gridCol w:w="3035"/>
      </w:tblGrid>
      <w:tr w:rsidR="005625B5" w:rsidRPr="005F6B59" w14:paraId="1D0AA6DE" w14:textId="77777777" w:rsidTr="00FB354B">
        <w:trPr>
          <w:trHeight w:val="58"/>
        </w:trPr>
        <w:tc>
          <w:tcPr>
            <w:tcW w:w="3240" w:type="dxa"/>
            <w:shd w:val="clear" w:color="auto" w:fill="auto"/>
          </w:tcPr>
          <w:p w14:paraId="396A828B"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Strates</w:t>
            </w:r>
          </w:p>
        </w:tc>
        <w:tc>
          <w:tcPr>
            <w:tcW w:w="3240" w:type="dxa"/>
            <w:shd w:val="clear" w:color="auto" w:fill="auto"/>
          </w:tcPr>
          <w:p w14:paraId="461EE2A4"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 xml:space="preserve">Superficies </w:t>
            </w:r>
          </w:p>
          <w:p w14:paraId="29E986BF"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sz w:val="20"/>
                <w:szCs w:val="20"/>
              </w:rPr>
              <w:t>ha</w:t>
            </w:r>
            <w:proofErr w:type="gramEnd"/>
            <w:r w:rsidRPr="005F6B59">
              <w:rPr>
                <w:rFonts w:ascii="Century Gothic" w:hAnsi="Century Gothic"/>
                <w:b/>
                <w:bCs/>
                <w:sz w:val="20"/>
                <w:szCs w:val="20"/>
              </w:rPr>
              <w:t>)</w:t>
            </w:r>
          </w:p>
        </w:tc>
        <w:tc>
          <w:tcPr>
            <w:tcW w:w="3240" w:type="dxa"/>
            <w:shd w:val="clear" w:color="auto" w:fill="auto"/>
          </w:tcPr>
          <w:p w14:paraId="7EE306B4"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Pourcentages</w:t>
            </w:r>
          </w:p>
          <w:p w14:paraId="668525DE"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
        </w:tc>
      </w:tr>
      <w:tr w:rsidR="005625B5" w:rsidRPr="005F6B59" w14:paraId="0FD539E1" w14:textId="77777777" w:rsidTr="00FB354B">
        <w:tc>
          <w:tcPr>
            <w:tcW w:w="3240" w:type="dxa"/>
            <w:shd w:val="clear" w:color="auto" w:fill="auto"/>
          </w:tcPr>
          <w:p w14:paraId="3CB057BC" w14:textId="77777777" w:rsidR="005625B5" w:rsidRPr="005F6B59" w:rsidRDefault="005625B5" w:rsidP="00FB354B">
            <w:pPr>
              <w:pStyle w:val="Corpsdetexte"/>
              <w:spacing w:before="0" w:line="276" w:lineRule="auto"/>
              <w:ind w:right="138"/>
              <w:jc w:val="left"/>
              <w:rPr>
                <w:rFonts w:ascii="Century Gothic" w:hAnsi="Century Gothic"/>
                <w:sz w:val="20"/>
                <w:szCs w:val="20"/>
              </w:rPr>
            </w:pPr>
            <w:r w:rsidRPr="005F6B59">
              <w:rPr>
                <w:rFonts w:ascii="Century Gothic" w:hAnsi="Century Gothic"/>
                <w:b/>
                <w:bCs/>
                <w:sz w:val="20"/>
                <w:szCs w:val="20"/>
              </w:rPr>
              <w:t>Savane arbustive à arborée de densité faible</w:t>
            </w:r>
          </w:p>
        </w:tc>
        <w:tc>
          <w:tcPr>
            <w:tcW w:w="3240" w:type="dxa"/>
            <w:shd w:val="clear" w:color="auto" w:fill="auto"/>
          </w:tcPr>
          <w:p w14:paraId="54228CE8"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3240" w:type="dxa"/>
            <w:shd w:val="clear" w:color="auto" w:fill="auto"/>
          </w:tcPr>
          <w:p w14:paraId="4C84704E"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r>
      <w:tr w:rsidR="005625B5" w:rsidRPr="005F6B59" w14:paraId="516DA1F6" w14:textId="77777777" w:rsidTr="00FB354B">
        <w:tc>
          <w:tcPr>
            <w:tcW w:w="3240" w:type="dxa"/>
            <w:shd w:val="clear" w:color="auto" w:fill="auto"/>
          </w:tcPr>
          <w:p w14:paraId="021A228A" w14:textId="77777777" w:rsidR="005625B5" w:rsidRPr="005F6B59" w:rsidRDefault="005625B5" w:rsidP="00FB354B">
            <w:pPr>
              <w:pStyle w:val="Corpsdetexte"/>
              <w:spacing w:before="0" w:line="276" w:lineRule="auto"/>
              <w:ind w:right="138"/>
              <w:rPr>
                <w:rFonts w:ascii="Century Gothic" w:hAnsi="Century Gothic"/>
                <w:sz w:val="20"/>
                <w:szCs w:val="20"/>
              </w:rPr>
            </w:pPr>
            <w:r w:rsidRPr="005F6B59">
              <w:rPr>
                <w:rFonts w:ascii="Century Gothic" w:hAnsi="Century Gothic"/>
                <w:b/>
                <w:bCs/>
                <w:sz w:val="20"/>
                <w:szCs w:val="20"/>
              </w:rPr>
              <w:t>Savane arborée (type montagneux)</w:t>
            </w:r>
          </w:p>
        </w:tc>
        <w:tc>
          <w:tcPr>
            <w:tcW w:w="3240" w:type="dxa"/>
            <w:shd w:val="clear" w:color="auto" w:fill="auto"/>
          </w:tcPr>
          <w:p w14:paraId="3FABCBA5"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3240" w:type="dxa"/>
            <w:shd w:val="clear" w:color="auto" w:fill="auto"/>
          </w:tcPr>
          <w:p w14:paraId="3CB045AC"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r>
      <w:tr w:rsidR="005625B5" w:rsidRPr="005F6B59" w14:paraId="0A4E01D2" w14:textId="77777777" w:rsidTr="00FB354B">
        <w:tc>
          <w:tcPr>
            <w:tcW w:w="3240" w:type="dxa"/>
            <w:shd w:val="clear" w:color="auto" w:fill="auto"/>
          </w:tcPr>
          <w:p w14:paraId="75EB4955" w14:textId="77777777" w:rsidR="005625B5" w:rsidRPr="005F6B59" w:rsidRDefault="005625B5" w:rsidP="00FB354B">
            <w:pPr>
              <w:pStyle w:val="Corpsdetexte"/>
              <w:spacing w:before="0" w:line="276" w:lineRule="auto"/>
              <w:ind w:right="138"/>
              <w:jc w:val="left"/>
              <w:rPr>
                <w:rFonts w:ascii="Century Gothic" w:hAnsi="Century Gothic"/>
                <w:sz w:val="20"/>
                <w:szCs w:val="20"/>
              </w:rPr>
            </w:pPr>
            <w:r w:rsidRPr="005F6B59">
              <w:rPr>
                <w:rFonts w:ascii="Century Gothic" w:hAnsi="Century Gothic"/>
                <w:b/>
                <w:bCs/>
                <w:sz w:val="20"/>
                <w:szCs w:val="20"/>
              </w:rPr>
              <w:t>Savane boisée</w:t>
            </w:r>
          </w:p>
        </w:tc>
        <w:tc>
          <w:tcPr>
            <w:tcW w:w="3240" w:type="dxa"/>
            <w:shd w:val="clear" w:color="auto" w:fill="auto"/>
          </w:tcPr>
          <w:p w14:paraId="5E694274"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3240" w:type="dxa"/>
            <w:shd w:val="clear" w:color="auto" w:fill="auto"/>
          </w:tcPr>
          <w:p w14:paraId="072750A8"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r>
      <w:tr w:rsidR="005625B5" w:rsidRPr="005F6B59" w14:paraId="621C4D24" w14:textId="77777777" w:rsidTr="00FB354B">
        <w:tc>
          <w:tcPr>
            <w:tcW w:w="3240" w:type="dxa"/>
            <w:shd w:val="clear" w:color="auto" w:fill="auto"/>
          </w:tcPr>
          <w:p w14:paraId="6DA87F06" w14:textId="77777777" w:rsidR="005625B5" w:rsidRPr="005F6B59" w:rsidRDefault="005625B5" w:rsidP="00FB354B">
            <w:pPr>
              <w:pStyle w:val="Corpsdetexte"/>
              <w:spacing w:before="0" w:line="276" w:lineRule="auto"/>
              <w:ind w:right="138"/>
              <w:jc w:val="left"/>
              <w:rPr>
                <w:rFonts w:ascii="Century Gothic" w:hAnsi="Century Gothic"/>
                <w:sz w:val="20"/>
                <w:szCs w:val="20"/>
              </w:rPr>
            </w:pPr>
            <w:r w:rsidRPr="005F6B59">
              <w:rPr>
                <w:rFonts w:ascii="Century Gothic" w:hAnsi="Century Gothic"/>
                <w:b/>
                <w:bCs/>
                <w:sz w:val="20"/>
                <w:szCs w:val="20"/>
              </w:rPr>
              <w:t>Forêt galerie/zone humide</w:t>
            </w:r>
          </w:p>
        </w:tc>
        <w:tc>
          <w:tcPr>
            <w:tcW w:w="3240" w:type="dxa"/>
            <w:shd w:val="clear" w:color="auto" w:fill="auto"/>
          </w:tcPr>
          <w:p w14:paraId="741DE9AF"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99,9</w:t>
            </w:r>
          </w:p>
        </w:tc>
        <w:tc>
          <w:tcPr>
            <w:tcW w:w="3240" w:type="dxa"/>
            <w:shd w:val="clear" w:color="auto" w:fill="auto"/>
          </w:tcPr>
          <w:p w14:paraId="3A9ADCFB"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100</w:t>
            </w:r>
          </w:p>
        </w:tc>
      </w:tr>
      <w:tr w:rsidR="005625B5" w:rsidRPr="005F6B59" w14:paraId="09A5C8B9" w14:textId="77777777" w:rsidTr="00FB354B">
        <w:tc>
          <w:tcPr>
            <w:tcW w:w="3240" w:type="dxa"/>
            <w:shd w:val="clear" w:color="auto" w:fill="auto"/>
          </w:tcPr>
          <w:p w14:paraId="72C8549D" w14:textId="77777777" w:rsidR="005625B5" w:rsidRPr="005F6B59" w:rsidRDefault="005625B5" w:rsidP="00FB354B">
            <w:pPr>
              <w:pStyle w:val="Corpsdetexte"/>
              <w:spacing w:before="0" w:line="276" w:lineRule="auto"/>
              <w:ind w:right="138"/>
              <w:jc w:val="center"/>
              <w:rPr>
                <w:rFonts w:ascii="Century Gothic" w:hAnsi="Century Gothic"/>
                <w:sz w:val="20"/>
                <w:szCs w:val="20"/>
              </w:rPr>
            </w:pPr>
          </w:p>
        </w:tc>
        <w:tc>
          <w:tcPr>
            <w:tcW w:w="3240" w:type="dxa"/>
            <w:shd w:val="clear" w:color="auto" w:fill="auto"/>
          </w:tcPr>
          <w:p w14:paraId="0A62F284"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99,9</w:t>
            </w:r>
          </w:p>
        </w:tc>
        <w:tc>
          <w:tcPr>
            <w:tcW w:w="3240" w:type="dxa"/>
            <w:shd w:val="clear" w:color="auto" w:fill="auto"/>
          </w:tcPr>
          <w:p w14:paraId="10FE5F96"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100</w:t>
            </w:r>
          </w:p>
        </w:tc>
      </w:tr>
    </w:tbl>
    <w:p w14:paraId="381222C5" w14:textId="77777777" w:rsidR="005625B5" w:rsidRPr="006A012D" w:rsidRDefault="005625B5" w:rsidP="005625B5">
      <w:pPr>
        <w:pStyle w:val="Corpsdetexte"/>
        <w:spacing w:before="0" w:line="276" w:lineRule="auto"/>
        <w:ind w:right="138"/>
        <w:jc w:val="right"/>
        <w:rPr>
          <w:rFonts w:ascii="Century Gothic" w:hAnsi="Century Gothic"/>
          <w:b/>
          <w:bCs/>
          <w:sz w:val="20"/>
          <w:szCs w:val="20"/>
        </w:rPr>
      </w:pPr>
      <w:r w:rsidRPr="006A012D">
        <w:rPr>
          <w:rFonts w:ascii="Century Gothic" w:hAnsi="Century Gothic"/>
          <w:b/>
          <w:bCs/>
          <w:sz w:val="20"/>
          <w:szCs w:val="20"/>
        </w:rPr>
        <w:t>Source : ProGRN, 2009</w:t>
      </w:r>
    </w:p>
    <w:p w14:paraId="2ACCB6EF" w14:textId="77777777" w:rsidR="005625B5" w:rsidRDefault="005625B5" w:rsidP="005625B5">
      <w:pPr>
        <w:pStyle w:val="Corpsdetexte"/>
        <w:spacing w:before="0" w:line="276" w:lineRule="auto"/>
        <w:ind w:right="141"/>
        <w:rPr>
          <w:rFonts w:ascii="Century Gothic" w:hAnsi="Century Gothic"/>
        </w:rPr>
      </w:pPr>
    </w:p>
    <w:p w14:paraId="0A92C0B9" w14:textId="77777777" w:rsidR="005625B5" w:rsidRPr="00FF555F" w:rsidRDefault="005625B5" w:rsidP="005625B5">
      <w:pPr>
        <w:pStyle w:val="Corpsdetexte"/>
        <w:spacing w:before="0" w:line="276" w:lineRule="auto"/>
        <w:ind w:right="141"/>
        <w:rPr>
          <w:rFonts w:ascii="Century Gothic" w:hAnsi="Century Gothic"/>
        </w:rPr>
      </w:pPr>
      <w:r w:rsidRPr="00FF555F">
        <w:rPr>
          <w:rFonts w:ascii="Century Gothic" w:hAnsi="Century Gothic"/>
        </w:rPr>
        <w:t xml:space="preserve">Les objectifs </w:t>
      </w:r>
      <w:r>
        <w:rPr>
          <w:rFonts w:ascii="Century Gothic" w:hAnsi="Century Gothic"/>
        </w:rPr>
        <w:t xml:space="preserve">du plan </w:t>
      </w:r>
      <w:r w:rsidRPr="00FF555F">
        <w:rPr>
          <w:rFonts w:ascii="Century Gothic" w:hAnsi="Century Gothic"/>
        </w:rPr>
        <w:t>d’aménagement sont</w:t>
      </w:r>
      <w:r w:rsidRPr="00FF555F">
        <w:rPr>
          <w:rFonts w:ascii="Century Gothic" w:hAnsi="Century Gothic"/>
          <w:spacing w:val="-1"/>
        </w:rPr>
        <w:t xml:space="preserve"> </w:t>
      </w:r>
      <w:r w:rsidRPr="00FF555F">
        <w:rPr>
          <w:rFonts w:ascii="Century Gothic" w:hAnsi="Century Gothic"/>
        </w:rPr>
        <w:t>la protection et</w:t>
      </w:r>
      <w:r w:rsidRPr="00FF555F">
        <w:rPr>
          <w:rFonts w:ascii="Century Gothic" w:hAnsi="Century Gothic"/>
          <w:spacing w:val="-1"/>
        </w:rPr>
        <w:t xml:space="preserve"> </w:t>
      </w:r>
      <w:r w:rsidRPr="00FF555F">
        <w:rPr>
          <w:rFonts w:ascii="Century Gothic" w:hAnsi="Century Gothic"/>
        </w:rPr>
        <w:t>la restauration des écosystèmes forestiers et de leur biodiversité ainsi que l’exploitation des produits forestiers. Ceci afin d’augmenter et de pérenniser les revenus des populations riveraines.</w:t>
      </w:r>
      <w:r>
        <w:rPr>
          <w:rFonts w:ascii="Century Gothic" w:hAnsi="Century Gothic"/>
        </w:rPr>
        <w:t xml:space="preserve"> </w:t>
      </w:r>
      <w:r w:rsidRPr="00FF555F">
        <w:rPr>
          <w:rFonts w:ascii="Century Gothic" w:hAnsi="Century Gothic"/>
        </w:rPr>
        <w:t>Les</w:t>
      </w:r>
      <w:r w:rsidRPr="00FF555F">
        <w:rPr>
          <w:rFonts w:ascii="Century Gothic" w:hAnsi="Century Gothic"/>
          <w:spacing w:val="-2"/>
        </w:rPr>
        <w:t xml:space="preserve"> </w:t>
      </w:r>
      <w:r w:rsidRPr="00FF555F">
        <w:rPr>
          <w:rFonts w:ascii="Century Gothic" w:hAnsi="Century Gothic"/>
        </w:rPr>
        <w:t>actions</w:t>
      </w:r>
      <w:r w:rsidRPr="00FF555F">
        <w:rPr>
          <w:rFonts w:ascii="Century Gothic" w:hAnsi="Century Gothic"/>
          <w:spacing w:val="-2"/>
        </w:rPr>
        <w:t xml:space="preserve"> </w:t>
      </w:r>
      <w:r w:rsidRPr="00FF555F">
        <w:rPr>
          <w:rFonts w:ascii="Century Gothic" w:hAnsi="Century Gothic"/>
        </w:rPr>
        <w:t>d’aménagement</w:t>
      </w:r>
      <w:r w:rsidRPr="00FF555F">
        <w:rPr>
          <w:rFonts w:ascii="Century Gothic" w:hAnsi="Century Gothic"/>
          <w:spacing w:val="-1"/>
        </w:rPr>
        <w:t xml:space="preserve"> </w:t>
      </w:r>
      <w:r w:rsidRPr="00FF555F">
        <w:rPr>
          <w:rFonts w:ascii="Century Gothic" w:hAnsi="Century Gothic"/>
        </w:rPr>
        <w:t>visent</w:t>
      </w:r>
      <w:r w:rsidRPr="00FF555F">
        <w:rPr>
          <w:rFonts w:ascii="Century Gothic" w:hAnsi="Century Gothic"/>
          <w:spacing w:val="-1"/>
        </w:rPr>
        <w:t xml:space="preserve"> </w:t>
      </w:r>
      <w:r w:rsidRPr="00FF555F">
        <w:rPr>
          <w:rFonts w:ascii="Century Gothic" w:hAnsi="Century Gothic"/>
        </w:rPr>
        <w:t>une</w:t>
      </w:r>
      <w:r w:rsidRPr="00FF555F">
        <w:rPr>
          <w:rFonts w:ascii="Century Gothic" w:hAnsi="Century Gothic"/>
          <w:spacing w:val="-2"/>
        </w:rPr>
        <w:t xml:space="preserve"> </w:t>
      </w:r>
      <w:r w:rsidRPr="00FF555F">
        <w:rPr>
          <w:rFonts w:ascii="Century Gothic" w:hAnsi="Century Gothic"/>
        </w:rPr>
        <w:t>production</w:t>
      </w:r>
      <w:r w:rsidRPr="00FF555F">
        <w:rPr>
          <w:rFonts w:ascii="Century Gothic" w:hAnsi="Century Gothic"/>
          <w:spacing w:val="-2"/>
        </w:rPr>
        <w:t xml:space="preserve"> </w:t>
      </w:r>
      <w:r w:rsidRPr="00FF555F">
        <w:rPr>
          <w:rFonts w:ascii="Century Gothic" w:hAnsi="Century Gothic"/>
        </w:rPr>
        <w:t>durable</w:t>
      </w:r>
      <w:r w:rsidRPr="00FF555F">
        <w:rPr>
          <w:rFonts w:ascii="Century Gothic" w:hAnsi="Century Gothic"/>
          <w:spacing w:val="-2"/>
        </w:rPr>
        <w:t xml:space="preserve"> </w:t>
      </w:r>
      <w:r w:rsidRPr="00FF555F">
        <w:rPr>
          <w:rFonts w:ascii="Century Gothic" w:hAnsi="Century Gothic"/>
        </w:rPr>
        <w:t>du</w:t>
      </w:r>
      <w:r w:rsidRPr="00FF555F">
        <w:rPr>
          <w:rFonts w:ascii="Century Gothic" w:hAnsi="Century Gothic"/>
          <w:spacing w:val="-2"/>
        </w:rPr>
        <w:t xml:space="preserve"> </w:t>
      </w:r>
      <w:r w:rsidRPr="00FF555F">
        <w:rPr>
          <w:rFonts w:ascii="Century Gothic" w:hAnsi="Century Gothic"/>
        </w:rPr>
        <w:t>bois</w:t>
      </w:r>
      <w:r w:rsidRPr="00FF555F">
        <w:rPr>
          <w:rFonts w:ascii="Century Gothic" w:hAnsi="Century Gothic"/>
          <w:spacing w:val="-2"/>
        </w:rPr>
        <w:t xml:space="preserve"> </w:t>
      </w:r>
      <w:r w:rsidRPr="00FF555F">
        <w:rPr>
          <w:rFonts w:ascii="Century Gothic" w:hAnsi="Century Gothic"/>
        </w:rPr>
        <w:t>de</w:t>
      </w:r>
      <w:r w:rsidRPr="00FF555F">
        <w:rPr>
          <w:rFonts w:ascii="Century Gothic" w:hAnsi="Century Gothic"/>
          <w:spacing w:val="-2"/>
        </w:rPr>
        <w:t xml:space="preserve"> </w:t>
      </w:r>
      <w:r w:rsidRPr="00FF555F">
        <w:rPr>
          <w:rFonts w:ascii="Century Gothic" w:hAnsi="Century Gothic"/>
        </w:rPr>
        <w:t>chauffe,</w:t>
      </w:r>
      <w:r w:rsidRPr="00FF555F">
        <w:rPr>
          <w:rFonts w:ascii="Century Gothic" w:hAnsi="Century Gothic"/>
          <w:spacing w:val="-2"/>
        </w:rPr>
        <w:t xml:space="preserve"> </w:t>
      </w:r>
      <w:r w:rsidRPr="00FF555F">
        <w:rPr>
          <w:rFonts w:ascii="Century Gothic" w:hAnsi="Century Gothic"/>
        </w:rPr>
        <w:t>du</w:t>
      </w:r>
      <w:r w:rsidRPr="00FF555F">
        <w:rPr>
          <w:rFonts w:ascii="Century Gothic" w:hAnsi="Century Gothic"/>
          <w:spacing w:val="-2"/>
        </w:rPr>
        <w:t xml:space="preserve"> </w:t>
      </w:r>
      <w:r w:rsidRPr="00FF555F">
        <w:rPr>
          <w:rFonts w:ascii="Century Gothic" w:hAnsi="Century Gothic"/>
        </w:rPr>
        <w:t>bois</w:t>
      </w:r>
      <w:r w:rsidRPr="00FF555F">
        <w:rPr>
          <w:rFonts w:ascii="Century Gothic" w:hAnsi="Century Gothic"/>
          <w:spacing w:val="-2"/>
        </w:rPr>
        <w:t xml:space="preserve"> </w:t>
      </w:r>
      <w:r w:rsidRPr="00FF555F">
        <w:rPr>
          <w:rFonts w:ascii="Century Gothic" w:hAnsi="Century Gothic"/>
        </w:rPr>
        <w:t>de</w:t>
      </w:r>
      <w:r w:rsidRPr="00FF555F">
        <w:rPr>
          <w:rFonts w:ascii="Century Gothic" w:hAnsi="Century Gothic"/>
          <w:spacing w:val="-4"/>
        </w:rPr>
        <w:t xml:space="preserve"> </w:t>
      </w:r>
      <w:r w:rsidRPr="00FF555F">
        <w:rPr>
          <w:rFonts w:ascii="Century Gothic" w:hAnsi="Century Gothic"/>
        </w:rPr>
        <w:t>service</w:t>
      </w:r>
      <w:r w:rsidRPr="00FF555F">
        <w:rPr>
          <w:rFonts w:ascii="Century Gothic" w:hAnsi="Century Gothic"/>
          <w:spacing w:val="-2"/>
        </w:rPr>
        <w:t xml:space="preserve"> </w:t>
      </w:r>
      <w:r w:rsidRPr="00FF555F">
        <w:rPr>
          <w:rFonts w:ascii="Century Gothic" w:hAnsi="Century Gothic"/>
        </w:rPr>
        <w:t>et</w:t>
      </w:r>
      <w:r w:rsidRPr="00FF555F">
        <w:rPr>
          <w:rFonts w:ascii="Century Gothic" w:hAnsi="Century Gothic"/>
          <w:spacing w:val="-1"/>
        </w:rPr>
        <w:t xml:space="preserve"> </w:t>
      </w:r>
      <w:r w:rsidRPr="00FF555F">
        <w:rPr>
          <w:rFonts w:ascii="Century Gothic" w:hAnsi="Century Gothic"/>
        </w:rPr>
        <w:t>des produits forestiers non-ligneux.</w:t>
      </w:r>
    </w:p>
    <w:p w14:paraId="3AF84124" w14:textId="77777777" w:rsidR="005625B5" w:rsidRPr="00090FCB" w:rsidRDefault="005625B5" w:rsidP="005625B5">
      <w:pPr>
        <w:pStyle w:val="Corpsdetexte"/>
        <w:spacing w:before="0" w:line="276" w:lineRule="auto"/>
        <w:ind w:right="138"/>
        <w:rPr>
          <w:rFonts w:ascii="Century Gothic" w:hAnsi="Century Gothic"/>
        </w:rPr>
      </w:pPr>
    </w:p>
    <w:p w14:paraId="60E7C3F0" w14:textId="77777777" w:rsidR="005625B5" w:rsidRDefault="005625B5" w:rsidP="005625B5">
      <w:pPr>
        <w:pStyle w:val="Corpsdetexte"/>
        <w:spacing w:before="0" w:line="276" w:lineRule="auto"/>
        <w:ind w:right="138"/>
        <w:rPr>
          <w:rFonts w:ascii="Century Gothic" w:hAnsi="Century Gothic"/>
        </w:rPr>
      </w:pPr>
      <w:r w:rsidRPr="00090FCB">
        <w:rPr>
          <w:rFonts w:ascii="Century Gothic" w:hAnsi="Century Gothic"/>
        </w:rPr>
        <w:t>Le volume total sur pied par strate écologique est fixé comme suit : (i) savane arbustive à arborée de densité</w:t>
      </w:r>
      <w:r w:rsidRPr="00090FCB">
        <w:rPr>
          <w:rFonts w:ascii="Century Gothic" w:hAnsi="Century Gothic"/>
          <w:spacing w:val="40"/>
        </w:rPr>
        <w:t xml:space="preserve"> </w:t>
      </w:r>
      <w:r w:rsidRPr="00090FCB">
        <w:rPr>
          <w:rFonts w:ascii="Century Gothic" w:hAnsi="Century Gothic"/>
        </w:rPr>
        <w:t>faible</w:t>
      </w:r>
      <w:r w:rsidRPr="00090FCB">
        <w:rPr>
          <w:rFonts w:ascii="Century Gothic" w:hAnsi="Century Gothic"/>
          <w:spacing w:val="-1"/>
        </w:rPr>
        <w:t xml:space="preserve"> </w:t>
      </w:r>
      <w:r w:rsidRPr="00090FCB">
        <w:rPr>
          <w:rFonts w:ascii="Century Gothic" w:hAnsi="Century Gothic"/>
        </w:rPr>
        <w:t>:</w:t>
      </w:r>
      <w:r w:rsidRPr="00090FCB">
        <w:rPr>
          <w:rFonts w:ascii="Century Gothic" w:hAnsi="Century Gothic"/>
          <w:spacing w:val="40"/>
        </w:rPr>
        <w:t xml:space="preserve"> </w:t>
      </w:r>
      <w:r w:rsidRPr="00090FCB">
        <w:rPr>
          <w:rFonts w:ascii="Century Gothic" w:hAnsi="Century Gothic"/>
        </w:rPr>
        <w:t>1,3</w:t>
      </w:r>
      <w:r w:rsidRPr="00090FCB">
        <w:rPr>
          <w:rFonts w:ascii="Century Gothic" w:hAnsi="Century Gothic"/>
          <w:spacing w:val="-2"/>
        </w:rPr>
        <w:t xml:space="preserve"> </w:t>
      </w:r>
      <w:r w:rsidRPr="00090FCB">
        <w:rPr>
          <w:rFonts w:ascii="Century Gothic" w:hAnsi="Century Gothic"/>
        </w:rPr>
        <w:t>m³/ha,</w:t>
      </w:r>
      <w:r w:rsidRPr="00090FCB">
        <w:rPr>
          <w:rFonts w:ascii="Century Gothic" w:hAnsi="Century Gothic"/>
          <w:spacing w:val="40"/>
        </w:rPr>
        <w:t xml:space="preserve"> </w:t>
      </w:r>
      <w:r w:rsidRPr="00090FCB">
        <w:rPr>
          <w:rFonts w:ascii="Century Gothic" w:hAnsi="Century Gothic"/>
        </w:rPr>
        <w:t>(ii)</w:t>
      </w:r>
      <w:r w:rsidRPr="00090FCB">
        <w:rPr>
          <w:rFonts w:ascii="Century Gothic" w:hAnsi="Century Gothic"/>
          <w:spacing w:val="40"/>
        </w:rPr>
        <w:t xml:space="preserve"> </w:t>
      </w:r>
      <w:r w:rsidRPr="00090FCB">
        <w:rPr>
          <w:rFonts w:ascii="Century Gothic" w:hAnsi="Century Gothic"/>
        </w:rPr>
        <w:t>savane</w:t>
      </w:r>
      <w:r w:rsidRPr="00090FCB">
        <w:rPr>
          <w:rFonts w:ascii="Century Gothic" w:hAnsi="Century Gothic"/>
          <w:spacing w:val="40"/>
        </w:rPr>
        <w:t xml:space="preserve"> </w:t>
      </w:r>
      <w:r w:rsidRPr="00090FCB">
        <w:rPr>
          <w:rFonts w:ascii="Century Gothic" w:hAnsi="Century Gothic"/>
        </w:rPr>
        <w:t>arborée</w:t>
      </w:r>
      <w:r w:rsidRPr="00090FCB">
        <w:rPr>
          <w:rFonts w:ascii="Century Gothic" w:hAnsi="Century Gothic"/>
          <w:spacing w:val="40"/>
        </w:rPr>
        <w:t xml:space="preserve"> </w:t>
      </w:r>
      <w:r w:rsidRPr="00090FCB">
        <w:rPr>
          <w:rFonts w:ascii="Century Gothic" w:hAnsi="Century Gothic"/>
        </w:rPr>
        <w:t>(type</w:t>
      </w:r>
      <w:r w:rsidRPr="00090FCB">
        <w:rPr>
          <w:rFonts w:ascii="Century Gothic" w:hAnsi="Century Gothic"/>
          <w:spacing w:val="40"/>
        </w:rPr>
        <w:t xml:space="preserve"> </w:t>
      </w:r>
      <w:r w:rsidRPr="00090FCB">
        <w:rPr>
          <w:rFonts w:ascii="Century Gothic" w:hAnsi="Century Gothic"/>
        </w:rPr>
        <w:t>montagneux) :</w:t>
      </w:r>
      <w:r w:rsidRPr="00090FCB">
        <w:rPr>
          <w:rFonts w:ascii="Century Gothic" w:hAnsi="Century Gothic"/>
          <w:spacing w:val="40"/>
        </w:rPr>
        <w:t xml:space="preserve"> </w:t>
      </w:r>
      <w:r w:rsidRPr="00090FCB">
        <w:rPr>
          <w:rFonts w:ascii="Century Gothic" w:hAnsi="Century Gothic"/>
        </w:rPr>
        <w:t>2,8</w:t>
      </w:r>
      <w:r w:rsidRPr="00090FCB">
        <w:rPr>
          <w:rFonts w:ascii="Century Gothic" w:hAnsi="Century Gothic"/>
          <w:spacing w:val="-2"/>
        </w:rPr>
        <w:t xml:space="preserve"> </w:t>
      </w:r>
      <w:r w:rsidRPr="00090FCB">
        <w:rPr>
          <w:rFonts w:ascii="Century Gothic" w:hAnsi="Century Gothic"/>
        </w:rPr>
        <w:t>m³/ha,</w:t>
      </w:r>
      <w:r w:rsidRPr="00090FCB">
        <w:rPr>
          <w:rFonts w:ascii="Century Gothic" w:hAnsi="Century Gothic"/>
          <w:spacing w:val="40"/>
        </w:rPr>
        <w:t xml:space="preserve"> </w:t>
      </w:r>
      <w:r w:rsidRPr="00090FCB">
        <w:rPr>
          <w:rFonts w:ascii="Century Gothic" w:hAnsi="Century Gothic"/>
        </w:rPr>
        <w:t>(iii)</w:t>
      </w:r>
      <w:r w:rsidRPr="00090FCB">
        <w:rPr>
          <w:rFonts w:ascii="Century Gothic" w:hAnsi="Century Gothic"/>
          <w:spacing w:val="40"/>
        </w:rPr>
        <w:t xml:space="preserve"> </w:t>
      </w:r>
      <w:r w:rsidRPr="00090FCB">
        <w:rPr>
          <w:rFonts w:ascii="Century Gothic" w:hAnsi="Century Gothic"/>
        </w:rPr>
        <w:t>savane</w:t>
      </w:r>
      <w:r w:rsidRPr="00090FCB">
        <w:rPr>
          <w:rFonts w:ascii="Century Gothic" w:hAnsi="Century Gothic"/>
          <w:spacing w:val="40"/>
        </w:rPr>
        <w:t xml:space="preserve"> </w:t>
      </w:r>
      <w:r w:rsidRPr="00090FCB">
        <w:rPr>
          <w:rFonts w:ascii="Century Gothic" w:hAnsi="Century Gothic"/>
        </w:rPr>
        <w:t>boisée</w:t>
      </w:r>
      <w:r w:rsidRPr="00090FCB">
        <w:rPr>
          <w:rFonts w:ascii="Century Gothic" w:hAnsi="Century Gothic"/>
          <w:spacing w:val="-1"/>
        </w:rPr>
        <w:t xml:space="preserve"> </w:t>
      </w:r>
      <w:r w:rsidRPr="00090FCB">
        <w:rPr>
          <w:rFonts w:ascii="Century Gothic" w:hAnsi="Century Gothic"/>
        </w:rPr>
        <w:t>: 4,4 m³/ha, (iv) forêt galerie / zone humide : 21,1 m³/ha.</w:t>
      </w:r>
    </w:p>
    <w:p w14:paraId="3654C16E" w14:textId="77777777" w:rsidR="005625B5" w:rsidRDefault="005625B5" w:rsidP="005625B5">
      <w:pPr>
        <w:pStyle w:val="Corpsdetexte"/>
        <w:spacing w:before="0" w:line="276" w:lineRule="auto"/>
        <w:ind w:right="145"/>
        <w:rPr>
          <w:rFonts w:ascii="Century Gothic" w:hAnsi="Century Gothic"/>
        </w:rPr>
      </w:pPr>
    </w:p>
    <w:p w14:paraId="6C8D5A5F" w14:textId="77777777" w:rsidR="005625B5" w:rsidRDefault="005625B5" w:rsidP="005625B5">
      <w:pPr>
        <w:pStyle w:val="Corpsdetexte"/>
        <w:spacing w:before="0" w:line="276" w:lineRule="auto"/>
        <w:ind w:right="145"/>
        <w:rPr>
          <w:rFonts w:ascii="Century Gothic" w:hAnsi="Century Gothic"/>
        </w:rPr>
      </w:pPr>
      <w:r w:rsidRPr="00090FCB">
        <w:rPr>
          <w:rFonts w:ascii="Century Gothic" w:hAnsi="Century Gothic"/>
        </w:rPr>
        <w:t>Après considération du taux de réduction ainsi que des zones non accessibles et des zones à protéger, le volume potentiel d’exploitation de la forêt s’élève à 839 mètres cubes. Le taux de réduction prend</w:t>
      </w:r>
      <w:r w:rsidRPr="00090FCB">
        <w:rPr>
          <w:rFonts w:ascii="Century Gothic" w:hAnsi="Century Gothic"/>
          <w:spacing w:val="40"/>
        </w:rPr>
        <w:t xml:space="preserve"> </w:t>
      </w:r>
      <w:r w:rsidRPr="00090FCB">
        <w:rPr>
          <w:rFonts w:ascii="Century Gothic" w:hAnsi="Century Gothic"/>
        </w:rPr>
        <w:t>en compte les essences protégées, les individus non-exploitables et la précision d</w:t>
      </w:r>
      <w:r>
        <w:rPr>
          <w:rFonts w:ascii="Century Gothic" w:hAnsi="Century Gothic"/>
        </w:rPr>
        <w:t>e l</w:t>
      </w:r>
      <w:r w:rsidRPr="00090FCB">
        <w:rPr>
          <w:rFonts w:ascii="Century Gothic" w:hAnsi="Century Gothic"/>
        </w:rPr>
        <w:t>’échantillonnage.</w:t>
      </w:r>
    </w:p>
    <w:p w14:paraId="05D0DE4F" w14:textId="77777777" w:rsidR="005625B5" w:rsidRPr="00090FCB" w:rsidRDefault="005625B5" w:rsidP="005625B5">
      <w:pPr>
        <w:pStyle w:val="Corpsdetexte"/>
        <w:spacing w:before="0" w:line="276" w:lineRule="auto"/>
        <w:ind w:right="145"/>
        <w:rPr>
          <w:rFonts w:ascii="Century Gothic" w:hAnsi="Century Gothic"/>
        </w:rPr>
      </w:pPr>
    </w:p>
    <w:p w14:paraId="38ED307A" w14:textId="77777777" w:rsidR="005625B5" w:rsidRPr="001D15AC" w:rsidRDefault="005625B5" w:rsidP="005625B5">
      <w:pPr>
        <w:pStyle w:val="Corpsdetexte"/>
        <w:spacing w:before="0" w:line="276" w:lineRule="auto"/>
        <w:ind w:right="138"/>
        <w:rPr>
          <w:rFonts w:ascii="Century Gothic" w:hAnsi="Century Gothic"/>
          <w:b/>
          <w:bCs/>
          <w:spacing w:val="-5"/>
        </w:rPr>
      </w:pPr>
      <w:r w:rsidRPr="001D15AC">
        <w:rPr>
          <w:rFonts w:ascii="Century Gothic" w:hAnsi="Century Gothic"/>
          <w:b/>
          <w:bCs/>
        </w:rPr>
        <w:t>Le</w:t>
      </w:r>
      <w:r w:rsidRPr="001D15AC">
        <w:rPr>
          <w:rFonts w:ascii="Century Gothic" w:hAnsi="Century Gothic"/>
          <w:b/>
          <w:bCs/>
          <w:spacing w:val="-6"/>
        </w:rPr>
        <w:t xml:space="preserve"> </w:t>
      </w:r>
      <w:r w:rsidRPr="001D15AC">
        <w:rPr>
          <w:rFonts w:ascii="Century Gothic" w:hAnsi="Century Gothic"/>
          <w:b/>
          <w:bCs/>
        </w:rPr>
        <w:t>potentiel</w:t>
      </w:r>
      <w:r w:rsidRPr="001D15AC">
        <w:rPr>
          <w:rFonts w:ascii="Century Gothic" w:hAnsi="Century Gothic"/>
          <w:b/>
          <w:bCs/>
          <w:spacing w:val="-2"/>
        </w:rPr>
        <w:t xml:space="preserve"> </w:t>
      </w:r>
      <w:r w:rsidRPr="001D15AC">
        <w:rPr>
          <w:rFonts w:ascii="Century Gothic" w:hAnsi="Century Gothic"/>
          <w:b/>
          <w:bCs/>
        </w:rPr>
        <w:t>d’exploitation</w:t>
      </w:r>
      <w:r w:rsidRPr="001D15AC">
        <w:rPr>
          <w:rFonts w:ascii="Century Gothic" w:hAnsi="Century Gothic"/>
          <w:b/>
          <w:bCs/>
          <w:spacing w:val="-8"/>
        </w:rPr>
        <w:t xml:space="preserve"> </w:t>
      </w:r>
      <w:r w:rsidRPr="001D15AC">
        <w:rPr>
          <w:rFonts w:ascii="Century Gothic" w:hAnsi="Century Gothic"/>
          <w:b/>
          <w:bCs/>
        </w:rPr>
        <w:t>par</w:t>
      </w:r>
      <w:r w:rsidRPr="001D15AC">
        <w:rPr>
          <w:rFonts w:ascii="Century Gothic" w:hAnsi="Century Gothic"/>
          <w:b/>
          <w:bCs/>
          <w:spacing w:val="-2"/>
        </w:rPr>
        <w:t xml:space="preserve"> </w:t>
      </w:r>
      <w:r w:rsidRPr="001D15AC">
        <w:rPr>
          <w:rFonts w:ascii="Century Gothic" w:hAnsi="Century Gothic"/>
          <w:b/>
          <w:bCs/>
        </w:rPr>
        <w:t>strate</w:t>
      </w:r>
      <w:r w:rsidRPr="001D15AC">
        <w:rPr>
          <w:rFonts w:ascii="Century Gothic" w:hAnsi="Century Gothic"/>
          <w:b/>
          <w:bCs/>
          <w:spacing w:val="-4"/>
        </w:rPr>
        <w:t xml:space="preserve"> </w:t>
      </w:r>
      <w:r w:rsidRPr="001D15AC">
        <w:rPr>
          <w:rFonts w:ascii="Century Gothic" w:hAnsi="Century Gothic"/>
          <w:b/>
          <w:bCs/>
        </w:rPr>
        <w:t>est</w:t>
      </w:r>
      <w:r w:rsidRPr="001D15AC">
        <w:rPr>
          <w:rFonts w:ascii="Century Gothic" w:hAnsi="Century Gothic"/>
          <w:b/>
          <w:bCs/>
          <w:spacing w:val="-2"/>
        </w:rPr>
        <w:t xml:space="preserve"> </w:t>
      </w:r>
      <w:r w:rsidRPr="001D15AC">
        <w:rPr>
          <w:rFonts w:ascii="Century Gothic" w:hAnsi="Century Gothic"/>
          <w:b/>
          <w:bCs/>
        </w:rPr>
        <w:t>présenté</w:t>
      </w:r>
      <w:r w:rsidRPr="001D15AC">
        <w:rPr>
          <w:rFonts w:ascii="Century Gothic" w:hAnsi="Century Gothic"/>
          <w:b/>
          <w:bCs/>
          <w:spacing w:val="-5"/>
        </w:rPr>
        <w:t xml:space="preserve"> </w:t>
      </w:r>
      <w:r w:rsidRPr="001D15AC">
        <w:rPr>
          <w:rFonts w:ascii="Century Gothic" w:hAnsi="Century Gothic"/>
          <w:b/>
          <w:bCs/>
        </w:rPr>
        <w:t>plus</w:t>
      </w:r>
      <w:r w:rsidRPr="001D15AC">
        <w:rPr>
          <w:rFonts w:ascii="Century Gothic" w:hAnsi="Century Gothic"/>
          <w:b/>
          <w:bCs/>
          <w:spacing w:val="-5"/>
        </w:rPr>
        <w:t xml:space="preserve"> </w:t>
      </w:r>
      <w:r w:rsidRPr="001D15AC">
        <w:rPr>
          <w:rFonts w:ascii="Century Gothic" w:hAnsi="Century Gothic"/>
          <w:b/>
          <w:bCs/>
        </w:rPr>
        <w:t>en</w:t>
      </w:r>
      <w:r w:rsidRPr="001D15AC">
        <w:rPr>
          <w:rFonts w:ascii="Century Gothic" w:hAnsi="Century Gothic"/>
          <w:b/>
          <w:bCs/>
          <w:spacing w:val="-3"/>
        </w:rPr>
        <w:t xml:space="preserve"> </w:t>
      </w:r>
      <w:r w:rsidRPr="001D15AC">
        <w:rPr>
          <w:rFonts w:ascii="Century Gothic" w:hAnsi="Century Gothic"/>
          <w:b/>
          <w:bCs/>
        </w:rPr>
        <w:t>détail</w:t>
      </w:r>
      <w:r w:rsidRPr="001D15AC">
        <w:rPr>
          <w:rFonts w:ascii="Century Gothic" w:hAnsi="Century Gothic"/>
          <w:b/>
          <w:bCs/>
          <w:spacing w:val="-3"/>
        </w:rPr>
        <w:t xml:space="preserve"> </w:t>
      </w:r>
      <w:r w:rsidRPr="001D15AC">
        <w:rPr>
          <w:rFonts w:ascii="Century Gothic" w:hAnsi="Century Gothic"/>
          <w:b/>
          <w:bCs/>
        </w:rPr>
        <w:t>dans</w:t>
      </w:r>
      <w:r w:rsidRPr="001D15AC">
        <w:rPr>
          <w:rFonts w:ascii="Century Gothic" w:hAnsi="Century Gothic"/>
          <w:b/>
          <w:bCs/>
          <w:spacing w:val="-5"/>
        </w:rPr>
        <w:t xml:space="preserve"> </w:t>
      </w:r>
      <w:r w:rsidRPr="001D15AC">
        <w:rPr>
          <w:rFonts w:ascii="Century Gothic" w:hAnsi="Century Gothic"/>
          <w:b/>
          <w:bCs/>
        </w:rPr>
        <w:t>le</w:t>
      </w:r>
      <w:r w:rsidRPr="001D15AC">
        <w:rPr>
          <w:rFonts w:ascii="Century Gothic" w:hAnsi="Century Gothic"/>
          <w:b/>
          <w:bCs/>
          <w:spacing w:val="-2"/>
        </w:rPr>
        <w:t xml:space="preserve"> </w:t>
      </w:r>
      <w:hyperlink w:anchor="_bookmark3" w:history="1">
        <w:r w:rsidRPr="001D15AC">
          <w:rPr>
            <w:rFonts w:ascii="Century Gothic" w:hAnsi="Century Gothic"/>
            <w:b/>
            <w:bCs/>
          </w:rPr>
          <w:t>Tableau</w:t>
        </w:r>
        <w:r w:rsidRPr="001D15AC">
          <w:rPr>
            <w:rFonts w:ascii="Century Gothic" w:hAnsi="Century Gothic"/>
            <w:b/>
            <w:bCs/>
            <w:spacing w:val="-3"/>
          </w:rPr>
          <w:t xml:space="preserve"> ci-dessous : </w:t>
        </w:r>
      </w:hyperlink>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949"/>
        <w:gridCol w:w="1090"/>
        <w:gridCol w:w="788"/>
        <w:gridCol w:w="1184"/>
        <w:gridCol w:w="1260"/>
        <w:gridCol w:w="1014"/>
        <w:gridCol w:w="707"/>
        <w:gridCol w:w="697"/>
      </w:tblGrid>
      <w:tr w:rsidR="005625B5" w:rsidRPr="005F6B59" w14:paraId="1228FCD1" w14:textId="77777777" w:rsidTr="00FB354B">
        <w:trPr>
          <w:trHeight w:val="58"/>
        </w:trPr>
        <w:tc>
          <w:tcPr>
            <w:tcW w:w="1293" w:type="dxa"/>
            <w:shd w:val="clear" w:color="auto" w:fill="auto"/>
          </w:tcPr>
          <w:p w14:paraId="7E697F80"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1</w:t>
            </w:r>
          </w:p>
        </w:tc>
        <w:tc>
          <w:tcPr>
            <w:tcW w:w="1053" w:type="dxa"/>
            <w:shd w:val="clear" w:color="auto" w:fill="auto"/>
          </w:tcPr>
          <w:p w14:paraId="304D40C5"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2</w:t>
            </w:r>
          </w:p>
        </w:tc>
        <w:tc>
          <w:tcPr>
            <w:tcW w:w="1214" w:type="dxa"/>
            <w:shd w:val="clear" w:color="auto" w:fill="auto"/>
          </w:tcPr>
          <w:p w14:paraId="1EBA955E"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3</w:t>
            </w:r>
          </w:p>
        </w:tc>
        <w:tc>
          <w:tcPr>
            <w:tcW w:w="870" w:type="dxa"/>
            <w:shd w:val="clear" w:color="auto" w:fill="auto"/>
          </w:tcPr>
          <w:p w14:paraId="7700FBC8"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4</w:t>
            </w:r>
          </w:p>
        </w:tc>
        <w:tc>
          <w:tcPr>
            <w:tcW w:w="1322" w:type="dxa"/>
            <w:shd w:val="clear" w:color="auto" w:fill="auto"/>
          </w:tcPr>
          <w:p w14:paraId="7BC8102E"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5</w:t>
            </w:r>
          </w:p>
        </w:tc>
        <w:tc>
          <w:tcPr>
            <w:tcW w:w="1409" w:type="dxa"/>
            <w:shd w:val="clear" w:color="auto" w:fill="auto"/>
          </w:tcPr>
          <w:p w14:paraId="45219D89"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6</w:t>
            </w:r>
          </w:p>
        </w:tc>
        <w:tc>
          <w:tcPr>
            <w:tcW w:w="1128" w:type="dxa"/>
            <w:shd w:val="clear" w:color="auto" w:fill="auto"/>
          </w:tcPr>
          <w:p w14:paraId="35A56F1B"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7</w:t>
            </w:r>
          </w:p>
        </w:tc>
        <w:tc>
          <w:tcPr>
            <w:tcW w:w="776" w:type="dxa"/>
            <w:shd w:val="clear" w:color="auto" w:fill="auto"/>
          </w:tcPr>
          <w:p w14:paraId="26A42C96"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8</w:t>
            </w:r>
          </w:p>
        </w:tc>
        <w:tc>
          <w:tcPr>
            <w:tcW w:w="765" w:type="dxa"/>
            <w:shd w:val="clear" w:color="auto" w:fill="auto"/>
          </w:tcPr>
          <w:p w14:paraId="034F3ECD"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9</w:t>
            </w:r>
          </w:p>
        </w:tc>
      </w:tr>
      <w:tr w:rsidR="005625B5" w:rsidRPr="005F6B59" w14:paraId="5F7456C0" w14:textId="77777777" w:rsidTr="00FB354B">
        <w:trPr>
          <w:trHeight w:val="58"/>
        </w:trPr>
        <w:tc>
          <w:tcPr>
            <w:tcW w:w="1293" w:type="dxa"/>
            <w:shd w:val="clear" w:color="auto" w:fill="auto"/>
          </w:tcPr>
          <w:p w14:paraId="49779633"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p>
          <w:p w14:paraId="0BC9FCD2"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Strates</w:t>
            </w:r>
          </w:p>
        </w:tc>
        <w:tc>
          <w:tcPr>
            <w:tcW w:w="1053" w:type="dxa"/>
            <w:shd w:val="clear" w:color="auto" w:fill="auto"/>
          </w:tcPr>
          <w:p w14:paraId="5EF4B30B"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proofErr w:type="spellStart"/>
            <w:r w:rsidRPr="005F6B59">
              <w:rPr>
                <w:rFonts w:ascii="Century Gothic" w:hAnsi="Century Gothic"/>
                <w:b/>
                <w:bCs/>
                <w:sz w:val="20"/>
                <w:szCs w:val="20"/>
              </w:rPr>
              <w:t>Vtot</w:t>
            </w:r>
            <w:proofErr w:type="spellEnd"/>
          </w:p>
          <w:p w14:paraId="6C859405"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sz w:val="20"/>
                <w:szCs w:val="20"/>
              </w:rPr>
              <w:t>m</w:t>
            </w:r>
            <w:proofErr w:type="gramEnd"/>
            <w:r w:rsidRPr="005F6B59">
              <w:rPr>
                <w:rFonts w:ascii="Century Gothic" w:hAnsi="Century Gothic"/>
                <w:b/>
                <w:bCs/>
                <w:sz w:val="20"/>
                <w:szCs w:val="20"/>
                <w:vertAlign w:val="superscript"/>
              </w:rPr>
              <w:t>3</w:t>
            </w:r>
            <w:r w:rsidRPr="005F6B59">
              <w:rPr>
                <w:rFonts w:ascii="Century Gothic" w:hAnsi="Century Gothic"/>
                <w:b/>
                <w:bCs/>
                <w:sz w:val="20"/>
                <w:szCs w:val="20"/>
              </w:rPr>
              <w:t>/ha)</w:t>
            </w:r>
          </w:p>
        </w:tc>
        <w:tc>
          <w:tcPr>
            <w:tcW w:w="1214" w:type="dxa"/>
            <w:shd w:val="clear" w:color="auto" w:fill="auto"/>
          </w:tcPr>
          <w:p w14:paraId="5B8C7AA7"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 xml:space="preserve">Taux de réduction </w:t>
            </w:r>
          </w:p>
          <w:p w14:paraId="374A35CE"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
        </w:tc>
        <w:tc>
          <w:tcPr>
            <w:tcW w:w="870" w:type="dxa"/>
            <w:shd w:val="clear" w:color="auto" w:fill="auto"/>
          </w:tcPr>
          <w:p w14:paraId="34FEF136"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Vexpl</w:t>
            </w:r>
          </w:p>
          <w:p w14:paraId="33786222"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sz w:val="20"/>
                <w:szCs w:val="20"/>
              </w:rPr>
              <w:t>m</w:t>
            </w:r>
            <w:proofErr w:type="gramEnd"/>
            <w:r w:rsidRPr="005F6B59">
              <w:rPr>
                <w:rFonts w:ascii="Century Gothic" w:hAnsi="Century Gothic"/>
                <w:b/>
                <w:bCs/>
                <w:sz w:val="20"/>
                <w:szCs w:val="20"/>
              </w:rPr>
              <w:t>³)</w:t>
            </w:r>
          </w:p>
        </w:tc>
        <w:tc>
          <w:tcPr>
            <w:tcW w:w="1322" w:type="dxa"/>
            <w:shd w:val="clear" w:color="auto" w:fill="auto"/>
          </w:tcPr>
          <w:p w14:paraId="2C599110"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 xml:space="preserve">Superficies </w:t>
            </w:r>
          </w:p>
          <w:p w14:paraId="031EDD12"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sz w:val="20"/>
                <w:szCs w:val="20"/>
              </w:rPr>
              <w:t>ha</w:t>
            </w:r>
            <w:proofErr w:type="gramEnd"/>
            <w:r w:rsidRPr="005F6B59">
              <w:rPr>
                <w:rFonts w:ascii="Century Gothic" w:hAnsi="Century Gothic"/>
                <w:b/>
                <w:bCs/>
                <w:sz w:val="20"/>
                <w:szCs w:val="20"/>
              </w:rPr>
              <w:t>)</w:t>
            </w:r>
          </w:p>
        </w:tc>
        <w:tc>
          <w:tcPr>
            <w:tcW w:w="1409" w:type="dxa"/>
            <w:shd w:val="clear" w:color="auto" w:fill="auto"/>
          </w:tcPr>
          <w:p w14:paraId="5213AF3D"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Zones non accessibles</w:t>
            </w:r>
          </w:p>
          <w:p w14:paraId="58369DBD"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
        </w:tc>
        <w:tc>
          <w:tcPr>
            <w:tcW w:w="1128" w:type="dxa"/>
            <w:shd w:val="clear" w:color="auto" w:fill="auto"/>
          </w:tcPr>
          <w:p w14:paraId="424E3FB1"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 xml:space="preserve">Zones à protéger </w:t>
            </w:r>
          </w:p>
          <w:p w14:paraId="4EEE2F95"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
        </w:tc>
        <w:tc>
          <w:tcPr>
            <w:tcW w:w="776" w:type="dxa"/>
            <w:shd w:val="clear" w:color="auto" w:fill="auto"/>
          </w:tcPr>
          <w:p w14:paraId="22A44F82"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proofErr w:type="spellStart"/>
            <w:r w:rsidRPr="005F6B59">
              <w:rPr>
                <w:rFonts w:ascii="Century Gothic" w:hAnsi="Century Gothic"/>
                <w:b/>
                <w:bCs/>
                <w:sz w:val="20"/>
                <w:szCs w:val="20"/>
              </w:rPr>
              <w:t>Vpot</w:t>
            </w:r>
            <w:proofErr w:type="spellEnd"/>
            <w:r w:rsidRPr="005F6B59">
              <w:rPr>
                <w:rFonts w:ascii="Century Gothic" w:hAnsi="Century Gothic"/>
                <w:b/>
                <w:bCs/>
                <w:sz w:val="20"/>
                <w:szCs w:val="20"/>
              </w:rPr>
              <w:t xml:space="preserve"> </w:t>
            </w:r>
          </w:p>
          <w:p w14:paraId="148AE2AE"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sz w:val="20"/>
                <w:szCs w:val="20"/>
              </w:rPr>
              <w:t>m</w:t>
            </w:r>
            <w:proofErr w:type="gramEnd"/>
            <w:r w:rsidRPr="005F6B59">
              <w:rPr>
                <w:rFonts w:ascii="Century Gothic" w:hAnsi="Century Gothic"/>
                <w:b/>
                <w:bCs/>
                <w:sz w:val="20"/>
                <w:szCs w:val="20"/>
              </w:rPr>
              <w:t>³)</w:t>
            </w:r>
          </w:p>
        </w:tc>
        <w:tc>
          <w:tcPr>
            <w:tcW w:w="765" w:type="dxa"/>
            <w:shd w:val="clear" w:color="auto" w:fill="auto"/>
          </w:tcPr>
          <w:p w14:paraId="2F26E662"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Taux</w:t>
            </w:r>
          </w:p>
          <w:p w14:paraId="026107C9"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
        </w:tc>
      </w:tr>
      <w:tr w:rsidR="005625B5" w:rsidRPr="005F6B59" w14:paraId="28BE849B" w14:textId="77777777" w:rsidTr="00FB354B">
        <w:tc>
          <w:tcPr>
            <w:tcW w:w="1293" w:type="dxa"/>
            <w:shd w:val="clear" w:color="auto" w:fill="auto"/>
          </w:tcPr>
          <w:p w14:paraId="0D30EE74" w14:textId="77777777" w:rsidR="005625B5" w:rsidRPr="005F6B59" w:rsidRDefault="005625B5" w:rsidP="00FB354B">
            <w:pPr>
              <w:pStyle w:val="Corpsdetexte"/>
              <w:spacing w:before="0" w:line="276" w:lineRule="auto"/>
              <w:ind w:right="138"/>
              <w:jc w:val="left"/>
              <w:rPr>
                <w:rFonts w:ascii="Century Gothic" w:hAnsi="Century Gothic"/>
                <w:sz w:val="20"/>
                <w:szCs w:val="20"/>
              </w:rPr>
            </w:pPr>
            <w:r w:rsidRPr="005F6B59">
              <w:rPr>
                <w:rFonts w:ascii="Century Gothic" w:hAnsi="Century Gothic"/>
                <w:b/>
                <w:bCs/>
                <w:sz w:val="20"/>
                <w:szCs w:val="20"/>
              </w:rPr>
              <w:t>Savane arbustive à arborée de densité faible</w:t>
            </w:r>
          </w:p>
        </w:tc>
        <w:tc>
          <w:tcPr>
            <w:tcW w:w="1053" w:type="dxa"/>
            <w:shd w:val="clear" w:color="auto" w:fill="auto"/>
          </w:tcPr>
          <w:p w14:paraId="2938956F"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1,3</w:t>
            </w:r>
          </w:p>
        </w:tc>
        <w:tc>
          <w:tcPr>
            <w:tcW w:w="1214" w:type="dxa"/>
            <w:shd w:val="clear" w:color="auto" w:fill="auto"/>
          </w:tcPr>
          <w:p w14:paraId="7AC98D20"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60</w:t>
            </w:r>
          </w:p>
        </w:tc>
        <w:tc>
          <w:tcPr>
            <w:tcW w:w="870" w:type="dxa"/>
            <w:shd w:val="clear" w:color="auto" w:fill="auto"/>
          </w:tcPr>
          <w:p w14:paraId="2138019C"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0,5</w:t>
            </w:r>
          </w:p>
        </w:tc>
        <w:tc>
          <w:tcPr>
            <w:tcW w:w="1322" w:type="dxa"/>
            <w:shd w:val="clear" w:color="auto" w:fill="auto"/>
          </w:tcPr>
          <w:p w14:paraId="7CA2703F"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409" w:type="dxa"/>
            <w:shd w:val="clear" w:color="auto" w:fill="auto"/>
          </w:tcPr>
          <w:p w14:paraId="7EB91206"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128" w:type="dxa"/>
            <w:shd w:val="clear" w:color="auto" w:fill="auto"/>
          </w:tcPr>
          <w:p w14:paraId="1CF57B2D"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776" w:type="dxa"/>
            <w:shd w:val="clear" w:color="auto" w:fill="auto"/>
          </w:tcPr>
          <w:p w14:paraId="10831EBB" w14:textId="77777777" w:rsidR="005625B5" w:rsidRPr="005F6B59" w:rsidRDefault="005625B5" w:rsidP="00FB354B">
            <w:pPr>
              <w:pStyle w:val="Corpsdetexte"/>
              <w:spacing w:before="0" w:line="276" w:lineRule="auto"/>
              <w:ind w:right="138"/>
              <w:jc w:val="center"/>
              <w:rPr>
                <w:rFonts w:ascii="Century Gothic" w:hAnsi="Century Gothic"/>
                <w:sz w:val="20"/>
                <w:szCs w:val="20"/>
              </w:rPr>
            </w:pPr>
          </w:p>
        </w:tc>
        <w:tc>
          <w:tcPr>
            <w:tcW w:w="765" w:type="dxa"/>
            <w:shd w:val="clear" w:color="auto" w:fill="auto"/>
          </w:tcPr>
          <w:p w14:paraId="113E93F3"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r>
      <w:tr w:rsidR="005625B5" w:rsidRPr="005F6B59" w14:paraId="5C25BF4B" w14:textId="77777777" w:rsidTr="00FB354B">
        <w:tc>
          <w:tcPr>
            <w:tcW w:w="1293" w:type="dxa"/>
            <w:shd w:val="clear" w:color="auto" w:fill="auto"/>
          </w:tcPr>
          <w:p w14:paraId="2FF1F20C" w14:textId="77777777" w:rsidR="005625B5" w:rsidRPr="005F6B59" w:rsidRDefault="005625B5" w:rsidP="00FB354B">
            <w:pPr>
              <w:pStyle w:val="Corpsdetexte"/>
              <w:spacing w:before="0" w:line="276" w:lineRule="auto"/>
              <w:ind w:right="138"/>
              <w:rPr>
                <w:rFonts w:ascii="Century Gothic" w:hAnsi="Century Gothic"/>
                <w:sz w:val="20"/>
                <w:szCs w:val="20"/>
              </w:rPr>
            </w:pPr>
            <w:r w:rsidRPr="005F6B59">
              <w:rPr>
                <w:rFonts w:ascii="Century Gothic" w:hAnsi="Century Gothic"/>
                <w:b/>
                <w:bCs/>
                <w:sz w:val="20"/>
                <w:szCs w:val="20"/>
              </w:rPr>
              <w:t>Savane arborée (type montagneux)</w:t>
            </w:r>
          </w:p>
        </w:tc>
        <w:tc>
          <w:tcPr>
            <w:tcW w:w="1053" w:type="dxa"/>
            <w:shd w:val="clear" w:color="auto" w:fill="auto"/>
          </w:tcPr>
          <w:p w14:paraId="6FDF71A0"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2,8</w:t>
            </w:r>
          </w:p>
        </w:tc>
        <w:tc>
          <w:tcPr>
            <w:tcW w:w="1214" w:type="dxa"/>
            <w:shd w:val="clear" w:color="auto" w:fill="auto"/>
          </w:tcPr>
          <w:p w14:paraId="6A16FAF6"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50</w:t>
            </w:r>
          </w:p>
        </w:tc>
        <w:tc>
          <w:tcPr>
            <w:tcW w:w="870" w:type="dxa"/>
            <w:shd w:val="clear" w:color="auto" w:fill="auto"/>
          </w:tcPr>
          <w:p w14:paraId="0EA6A8AE"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1,4</w:t>
            </w:r>
          </w:p>
        </w:tc>
        <w:tc>
          <w:tcPr>
            <w:tcW w:w="1322" w:type="dxa"/>
            <w:shd w:val="clear" w:color="auto" w:fill="auto"/>
          </w:tcPr>
          <w:p w14:paraId="2AA1D19C"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409" w:type="dxa"/>
            <w:shd w:val="clear" w:color="auto" w:fill="auto"/>
          </w:tcPr>
          <w:p w14:paraId="1CF32291"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128" w:type="dxa"/>
            <w:shd w:val="clear" w:color="auto" w:fill="auto"/>
          </w:tcPr>
          <w:p w14:paraId="3681E6CC"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776" w:type="dxa"/>
            <w:shd w:val="clear" w:color="auto" w:fill="auto"/>
          </w:tcPr>
          <w:p w14:paraId="307FFCF2" w14:textId="77777777" w:rsidR="005625B5" w:rsidRPr="005F6B59" w:rsidRDefault="005625B5" w:rsidP="00FB354B">
            <w:pPr>
              <w:pStyle w:val="Corpsdetexte"/>
              <w:spacing w:before="0" w:line="276" w:lineRule="auto"/>
              <w:ind w:right="138"/>
              <w:jc w:val="center"/>
              <w:rPr>
                <w:rFonts w:ascii="Century Gothic" w:hAnsi="Century Gothic"/>
                <w:sz w:val="20"/>
                <w:szCs w:val="20"/>
              </w:rPr>
            </w:pPr>
          </w:p>
        </w:tc>
        <w:tc>
          <w:tcPr>
            <w:tcW w:w="765" w:type="dxa"/>
            <w:shd w:val="clear" w:color="auto" w:fill="auto"/>
          </w:tcPr>
          <w:p w14:paraId="3917ABC7"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r>
      <w:tr w:rsidR="005625B5" w:rsidRPr="005F6B59" w14:paraId="43C04317" w14:textId="77777777" w:rsidTr="00FB354B">
        <w:tc>
          <w:tcPr>
            <w:tcW w:w="1293" w:type="dxa"/>
            <w:shd w:val="clear" w:color="auto" w:fill="auto"/>
          </w:tcPr>
          <w:p w14:paraId="2F287D75" w14:textId="77777777" w:rsidR="005625B5" w:rsidRPr="005F6B59" w:rsidRDefault="005625B5" w:rsidP="00FB354B">
            <w:pPr>
              <w:pStyle w:val="Corpsdetexte"/>
              <w:spacing w:before="0" w:line="276" w:lineRule="auto"/>
              <w:ind w:right="138"/>
              <w:jc w:val="left"/>
              <w:rPr>
                <w:rFonts w:ascii="Century Gothic" w:hAnsi="Century Gothic"/>
                <w:sz w:val="20"/>
                <w:szCs w:val="20"/>
              </w:rPr>
            </w:pPr>
            <w:r w:rsidRPr="005F6B59">
              <w:rPr>
                <w:rFonts w:ascii="Century Gothic" w:hAnsi="Century Gothic"/>
                <w:b/>
                <w:bCs/>
                <w:sz w:val="20"/>
                <w:szCs w:val="20"/>
              </w:rPr>
              <w:t>Savane boisée</w:t>
            </w:r>
          </w:p>
        </w:tc>
        <w:tc>
          <w:tcPr>
            <w:tcW w:w="1053" w:type="dxa"/>
            <w:shd w:val="clear" w:color="auto" w:fill="auto"/>
          </w:tcPr>
          <w:p w14:paraId="3F61C9D8"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4,4</w:t>
            </w:r>
          </w:p>
        </w:tc>
        <w:tc>
          <w:tcPr>
            <w:tcW w:w="1214" w:type="dxa"/>
            <w:shd w:val="clear" w:color="auto" w:fill="auto"/>
          </w:tcPr>
          <w:p w14:paraId="2589433B"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50</w:t>
            </w:r>
          </w:p>
        </w:tc>
        <w:tc>
          <w:tcPr>
            <w:tcW w:w="870" w:type="dxa"/>
            <w:shd w:val="clear" w:color="auto" w:fill="auto"/>
          </w:tcPr>
          <w:p w14:paraId="1DE4E728"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2,2</w:t>
            </w:r>
          </w:p>
        </w:tc>
        <w:tc>
          <w:tcPr>
            <w:tcW w:w="1322" w:type="dxa"/>
            <w:shd w:val="clear" w:color="auto" w:fill="auto"/>
          </w:tcPr>
          <w:p w14:paraId="7184B043"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409" w:type="dxa"/>
            <w:shd w:val="clear" w:color="auto" w:fill="auto"/>
          </w:tcPr>
          <w:p w14:paraId="0A6AE62A"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128" w:type="dxa"/>
            <w:shd w:val="clear" w:color="auto" w:fill="auto"/>
          </w:tcPr>
          <w:p w14:paraId="420C9B6B"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776" w:type="dxa"/>
            <w:shd w:val="clear" w:color="auto" w:fill="auto"/>
          </w:tcPr>
          <w:p w14:paraId="78B3409E" w14:textId="77777777" w:rsidR="005625B5" w:rsidRPr="005F6B59" w:rsidRDefault="005625B5" w:rsidP="00FB354B">
            <w:pPr>
              <w:pStyle w:val="Corpsdetexte"/>
              <w:spacing w:before="0" w:line="276" w:lineRule="auto"/>
              <w:ind w:right="138"/>
              <w:jc w:val="center"/>
              <w:rPr>
                <w:rFonts w:ascii="Century Gothic" w:hAnsi="Century Gothic"/>
                <w:sz w:val="20"/>
                <w:szCs w:val="20"/>
              </w:rPr>
            </w:pPr>
          </w:p>
        </w:tc>
        <w:tc>
          <w:tcPr>
            <w:tcW w:w="765" w:type="dxa"/>
            <w:shd w:val="clear" w:color="auto" w:fill="auto"/>
          </w:tcPr>
          <w:p w14:paraId="0FC2EB0E"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r>
      <w:tr w:rsidR="005625B5" w:rsidRPr="005F6B59" w14:paraId="30D9C80B" w14:textId="77777777" w:rsidTr="00FB354B">
        <w:tc>
          <w:tcPr>
            <w:tcW w:w="1293" w:type="dxa"/>
            <w:shd w:val="clear" w:color="auto" w:fill="auto"/>
          </w:tcPr>
          <w:p w14:paraId="41DA9C60" w14:textId="77777777" w:rsidR="005625B5" w:rsidRPr="005F6B59" w:rsidRDefault="005625B5" w:rsidP="00FB354B">
            <w:pPr>
              <w:pStyle w:val="Corpsdetexte"/>
              <w:spacing w:before="0" w:line="276" w:lineRule="auto"/>
              <w:ind w:right="138"/>
              <w:jc w:val="left"/>
              <w:rPr>
                <w:rFonts w:ascii="Century Gothic" w:hAnsi="Century Gothic"/>
                <w:sz w:val="20"/>
                <w:szCs w:val="20"/>
              </w:rPr>
            </w:pPr>
            <w:r w:rsidRPr="005F6B59">
              <w:rPr>
                <w:rFonts w:ascii="Century Gothic" w:hAnsi="Century Gothic"/>
                <w:b/>
                <w:bCs/>
                <w:sz w:val="20"/>
                <w:szCs w:val="20"/>
              </w:rPr>
              <w:t>Forêt galerie/zone humide</w:t>
            </w:r>
          </w:p>
        </w:tc>
        <w:tc>
          <w:tcPr>
            <w:tcW w:w="1053" w:type="dxa"/>
            <w:shd w:val="clear" w:color="auto" w:fill="auto"/>
          </w:tcPr>
          <w:p w14:paraId="7AADF29A"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21,1</w:t>
            </w:r>
          </w:p>
        </w:tc>
        <w:tc>
          <w:tcPr>
            <w:tcW w:w="1214" w:type="dxa"/>
            <w:shd w:val="clear" w:color="auto" w:fill="auto"/>
          </w:tcPr>
          <w:p w14:paraId="7E40F514"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60</w:t>
            </w:r>
          </w:p>
        </w:tc>
        <w:tc>
          <w:tcPr>
            <w:tcW w:w="870" w:type="dxa"/>
            <w:shd w:val="clear" w:color="auto" w:fill="auto"/>
          </w:tcPr>
          <w:p w14:paraId="1D06F947"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8,4</w:t>
            </w:r>
          </w:p>
        </w:tc>
        <w:tc>
          <w:tcPr>
            <w:tcW w:w="1322" w:type="dxa"/>
            <w:shd w:val="clear" w:color="auto" w:fill="auto"/>
          </w:tcPr>
          <w:p w14:paraId="2F95D9C2"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99,9</w:t>
            </w:r>
          </w:p>
        </w:tc>
        <w:tc>
          <w:tcPr>
            <w:tcW w:w="1409" w:type="dxa"/>
            <w:shd w:val="clear" w:color="auto" w:fill="auto"/>
          </w:tcPr>
          <w:p w14:paraId="22CFAD76"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128" w:type="dxa"/>
            <w:shd w:val="clear" w:color="auto" w:fill="auto"/>
          </w:tcPr>
          <w:p w14:paraId="143E545F"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776" w:type="dxa"/>
            <w:shd w:val="clear" w:color="auto" w:fill="auto"/>
          </w:tcPr>
          <w:p w14:paraId="36378572"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839</w:t>
            </w:r>
          </w:p>
        </w:tc>
        <w:tc>
          <w:tcPr>
            <w:tcW w:w="765" w:type="dxa"/>
            <w:shd w:val="clear" w:color="auto" w:fill="auto"/>
          </w:tcPr>
          <w:p w14:paraId="0B074474"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40</w:t>
            </w:r>
          </w:p>
        </w:tc>
      </w:tr>
      <w:tr w:rsidR="005625B5" w:rsidRPr="005F6B59" w14:paraId="0C0669AC" w14:textId="77777777" w:rsidTr="00FB354B">
        <w:tc>
          <w:tcPr>
            <w:tcW w:w="1293" w:type="dxa"/>
            <w:shd w:val="clear" w:color="auto" w:fill="auto"/>
          </w:tcPr>
          <w:p w14:paraId="2DDC26CA" w14:textId="77777777" w:rsidR="005625B5" w:rsidRPr="005F6B59" w:rsidRDefault="005625B5" w:rsidP="00FB354B">
            <w:pPr>
              <w:pStyle w:val="Corpsdetexte"/>
              <w:spacing w:before="0" w:line="276" w:lineRule="auto"/>
              <w:ind w:right="138"/>
              <w:jc w:val="center"/>
              <w:rPr>
                <w:rFonts w:ascii="Century Gothic" w:hAnsi="Century Gothic"/>
                <w:sz w:val="20"/>
                <w:szCs w:val="20"/>
              </w:rPr>
            </w:pPr>
          </w:p>
        </w:tc>
        <w:tc>
          <w:tcPr>
            <w:tcW w:w="1053" w:type="dxa"/>
            <w:shd w:val="clear" w:color="auto" w:fill="auto"/>
          </w:tcPr>
          <w:p w14:paraId="71C8D039" w14:textId="77777777" w:rsidR="005625B5" w:rsidRPr="005F6B59" w:rsidRDefault="005625B5" w:rsidP="00FB354B">
            <w:pPr>
              <w:pStyle w:val="Corpsdetexte"/>
              <w:spacing w:before="0" w:line="276" w:lineRule="auto"/>
              <w:ind w:right="138"/>
              <w:jc w:val="center"/>
              <w:rPr>
                <w:rFonts w:ascii="Century Gothic" w:hAnsi="Century Gothic"/>
                <w:sz w:val="20"/>
                <w:szCs w:val="20"/>
              </w:rPr>
            </w:pPr>
          </w:p>
        </w:tc>
        <w:tc>
          <w:tcPr>
            <w:tcW w:w="1214" w:type="dxa"/>
            <w:shd w:val="clear" w:color="auto" w:fill="auto"/>
          </w:tcPr>
          <w:p w14:paraId="3FE9076E" w14:textId="77777777" w:rsidR="005625B5" w:rsidRPr="005F6B59" w:rsidRDefault="005625B5" w:rsidP="00FB354B">
            <w:pPr>
              <w:pStyle w:val="Corpsdetexte"/>
              <w:spacing w:before="0" w:line="276" w:lineRule="auto"/>
              <w:ind w:right="138"/>
              <w:jc w:val="center"/>
              <w:rPr>
                <w:rFonts w:ascii="Century Gothic" w:hAnsi="Century Gothic"/>
                <w:sz w:val="20"/>
                <w:szCs w:val="20"/>
              </w:rPr>
            </w:pPr>
          </w:p>
        </w:tc>
        <w:tc>
          <w:tcPr>
            <w:tcW w:w="870" w:type="dxa"/>
            <w:shd w:val="clear" w:color="auto" w:fill="auto"/>
          </w:tcPr>
          <w:p w14:paraId="69CED004" w14:textId="77777777" w:rsidR="005625B5" w:rsidRPr="005F6B59" w:rsidRDefault="005625B5" w:rsidP="00FB354B">
            <w:pPr>
              <w:pStyle w:val="Corpsdetexte"/>
              <w:spacing w:before="0" w:line="276" w:lineRule="auto"/>
              <w:ind w:right="138"/>
              <w:jc w:val="center"/>
              <w:rPr>
                <w:rFonts w:ascii="Century Gothic" w:hAnsi="Century Gothic"/>
                <w:sz w:val="20"/>
                <w:szCs w:val="20"/>
              </w:rPr>
            </w:pPr>
          </w:p>
        </w:tc>
        <w:tc>
          <w:tcPr>
            <w:tcW w:w="1322" w:type="dxa"/>
            <w:shd w:val="clear" w:color="auto" w:fill="auto"/>
          </w:tcPr>
          <w:p w14:paraId="3E0F071D"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99,9</w:t>
            </w:r>
          </w:p>
        </w:tc>
        <w:tc>
          <w:tcPr>
            <w:tcW w:w="1409" w:type="dxa"/>
            <w:shd w:val="clear" w:color="auto" w:fill="auto"/>
          </w:tcPr>
          <w:p w14:paraId="6190BF52" w14:textId="77777777" w:rsidR="005625B5" w:rsidRPr="005F6B59" w:rsidRDefault="005625B5" w:rsidP="00FB354B">
            <w:pPr>
              <w:pStyle w:val="Corpsdetexte"/>
              <w:spacing w:before="0" w:line="276" w:lineRule="auto"/>
              <w:ind w:right="138"/>
              <w:jc w:val="center"/>
              <w:rPr>
                <w:rFonts w:ascii="Century Gothic" w:hAnsi="Century Gothic"/>
                <w:sz w:val="20"/>
                <w:szCs w:val="20"/>
              </w:rPr>
            </w:pPr>
          </w:p>
        </w:tc>
        <w:tc>
          <w:tcPr>
            <w:tcW w:w="1128" w:type="dxa"/>
            <w:shd w:val="clear" w:color="auto" w:fill="auto"/>
          </w:tcPr>
          <w:p w14:paraId="09089A30" w14:textId="77777777" w:rsidR="005625B5" w:rsidRPr="005F6B59" w:rsidRDefault="005625B5" w:rsidP="00FB354B">
            <w:pPr>
              <w:pStyle w:val="Corpsdetexte"/>
              <w:spacing w:before="0" w:line="276" w:lineRule="auto"/>
              <w:ind w:right="138"/>
              <w:jc w:val="center"/>
              <w:rPr>
                <w:rFonts w:ascii="Century Gothic" w:hAnsi="Century Gothic"/>
                <w:sz w:val="20"/>
                <w:szCs w:val="20"/>
              </w:rPr>
            </w:pPr>
          </w:p>
        </w:tc>
        <w:tc>
          <w:tcPr>
            <w:tcW w:w="776" w:type="dxa"/>
            <w:shd w:val="clear" w:color="auto" w:fill="auto"/>
          </w:tcPr>
          <w:p w14:paraId="2A0FDE68"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839</w:t>
            </w:r>
          </w:p>
        </w:tc>
        <w:tc>
          <w:tcPr>
            <w:tcW w:w="765" w:type="dxa"/>
            <w:shd w:val="clear" w:color="auto" w:fill="auto"/>
          </w:tcPr>
          <w:p w14:paraId="3DD413BF" w14:textId="77777777" w:rsidR="005625B5" w:rsidRPr="005F6B59" w:rsidRDefault="005625B5" w:rsidP="00FB354B">
            <w:pPr>
              <w:pStyle w:val="Corpsdetexte"/>
              <w:spacing w:before="0" w:line="276" w:lineRule="auto"/>
              <w:ind w:right="138"/>
              <w:jc w:val="center"/>
              <w:rPr>
                <w:rFonts w:ascii="Century Gothic" w:hAnsi="Century Gothic"/>
                <w:sz w:val="20"/>
                <w:szCs w:val="20"/>
              </w:rPr>
            </w:pPr>
          </w:p>
        </w:tc>
      </w:tr>
    </w:tbl>
    <w:p w14:paraId="6D109272" w14:textId="77777777" w:rsidR="005625B5" w:rsidRPr="001D15AC" w:rsidRDefault="005625B5" w:rsidP="005625B5">
      <w:pPr>
        <w:pStyle w:val="Corpsdetexte"/>
        <w:spacing w:before="0" w:line="276" w:lineRule="auto"/>
        <w:ind w:right="138"/>
        <w:jc w:val="right"/>
        <w:rPr>
          <w:rFonts w:ascii="Century Gothic" w:hAnsi="Century Gothic"/>
          <w:b/>
          <w:bCs/>
          <w:sz w:val="20"/>
          <w:szCs w:val="20"/>
        </w:rPr>
      </w:pPr>
      <w:r w:rsidRPr="001D15AC">
        <w:rPr>
          <w:rFonts w:ascii="Century Gothic" w:hAnsi="Century Gothic"/>
          <w:b/>
          <w:bCs/>
          <w:sz w:val="20"/>
          <w:szCs w:val="20"/>
        </w:rPr>
        <w:t>Source : ProGRN, 2009</w:t>
      </w:r>
    </w:p>
    <w:p w14:paraId="2FCF0AA3" w14:textId="77777777" w:rsidR="005625B5" w:rsidRDefault="005625B5" w:rsidP="005625B5">
      <w:pPr>
        <w:pStyle w:val="Corpsdetexte"/>
        <w:spacing w:before="0" w:line="276" w:lineRule="auto"/>
        <w:ind w:right="138"/>
        <w:rPr>
          <w:rFonts w:ascii="Century Gothic" w:hAnsi="Century Gothic"/>
        </w:rPr>
      </w:pPr>
    </w:p>
    <w:p w14:paraId="34D7E65C" w14:textId="77777777" w:rsidR="005625B5" w:rsidRPr="009B2F58" w:rsidRDefault="005625B5" w:rsidP="005625B5">
      <w:pPr>
        <w:pStyle w:val="Paragraphedeliste"/>
        <w:widowControl w:val="0"/>
        <w:numPr>
          <w:ilvl w:val="0"/>
          <w:numId w:val="68"/>
        </w:numPr>
        <w:tabs>
          <w:tab w:val="left" w:pos="1005"/>
          <w:tab w:val="left" w:pos="1017"/>
        </w:tabs>
        <w:autoSpaceDE w:val="0"/>
        <w:autoSpaceDN w:val="0"/>
        <w:spacing w:after="0" w:line="276" w:lineRule="auto"/>
        <w:ind w:right="142" w:hanging="876"/>
        <w:contextualSpacing w:val="0"/>
        <w:jc w:val="both"/>
        <w:rPr>
          <w:rFonts w:ascii="Century Gothic" w:hAnsi="Century Gothic"/>
          <w:sz w:val="20"/>
          <w:szCs w:val="20"/>
          <w:lang w:val="fr-BE"/>
        </w:rPr>
      </w:pPr>
      <w:r w:rsidRPr="009B2F58">
        <w:rPr>
          <w:rFonts w:ascii="Century Gothic" w:hAnsi="Century Gothic"/>
          <w:sz w:val="20"/>
          <w:szCs w:val="20"/>
          <w:lang w:val="fr-BE"/>
        </w:rPr>
        <w:t>Nom</w:t>
      </w:r>
      <w:r w:rsidRPr="009B2F58">
        <w:rPr>
          <w:rFonts w:ascii="Century Gothic" w:hAnsi="Century Gothic"/>
          <w:spacing w:val="-3"/>
          <w:sz w:val="20"/>
          <w:szCs w:val="20"/>
          <w:lang w:val="fr-BE"/>
        </w:rPr>
        <w:t xml:space="preserve"> </w:t>
      </w:r>
      <w:r w:rsidRPr="009B2F58">
        <w:rPr>
          <w:rFonts w:ascii="Century Gothic" w:hAnsi="Century Gothic"/>
          <w:sz w:val="20"/>
          <w:szCs w:val="20"/>
          <w:lang w:val="fr-BE"/>
        </w:rPr>
        <w:t>de la strate : Savane arbustive à arborée de densité faible, Savane arborée (type montagneux), Savane boisée, Forêt galerie / zone humide</w:t>
      </w:r>
    </w:p>
    <w:p w14:paraId="59AD146A" w14:textId="77777777" w:rsidR="005625B5" w:rsidRPr="009B2F58" w:rsidRDefault="005625B5" w:rsidP="005625B5">
      <w:pPr>
        <w:pStyle w:val="Paragraphedeliste"/>
        <w:widowControl w:val="0"/>
        <w:numPr>
          <w:ilvl w:val="0"/>
          <w:numId w:val="68"/>
        </w:numPr>
        <w:tabs>
          <w:tab w:val="left" w:pos="1005"/>
          <w:tab w:val="left" w:pos="1017"/>
        </w:tabs>
        <w:autoSpaceDE w:val="0"/>
        <w:autoSpaceDN w:val="0"/>
        <w:spacing w:after="0" w:line="276" w:lineRule="auto"/>
        <w:ind w:right="137" w:hanging="876"/>
        <w:contextualSpacing w:val="0"/>
        <w:jc w:val="both"/>
        <w:rPr>
          <w:rFonts w:ascii="Century Gothic" w:hAnsi="Century Gothic"/>
          <w:sz w:val="20"/>
          <w:szCs w:val="20"/>
          <w:lang w:val="fr-BE"/>
        </w:rPr>
      </w:pPr>
      <w:r>
        <w:rPr>
          <w:rFonts w:ascii="Century Gothic" w:hAnsi="Century Gothic"/>
          <w:sz w:val="20"/>
          <w:szCs w:val="20"/>
          <w:lang w:val="fr-BE"/>
        </w:rPr>
        <w:t>V</w:t>
      </w:r>
      <w:r w:rsidRPr="009B2F58">
        <w:rPr>
          <w:rFonts w:ascii="Century Gothic" w:hAnsi="Century Gothic"/>
          <w:sz w:val="20"/>
          <w:szCs w:val="20"/>
          <w:lang w:val="fr-BE"/>
        </w:rPr>
        <w:t>olume sur pied par hectare : le volume sur pied par hectare et par strate écologique est fixé pour tous les plans d’aménagements</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simplifié</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de</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Guidimakha</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comme</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suit :</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(i)</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savane</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arbustive</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à</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arborée</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de</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densité</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faible : 1,3 m³/ha, (ii) savane arborée (type montagneux)</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 2,8 m³/ha, (iii) savane boisée : 4,4</w:t>
      </w:r>
      <w:r w:rsidRPr="009B2F58">
        <w:rPr>
          <w:rFonts w:ascii="Century Gothic" w:hAnsi="Century Gothic"/>
          <w:spacing w:val="-3"/>
          <w:sz w:val="20"/>
          <w:szCs w:val="20"/>
          <w:lang w:val="fr-BE"/>
        </w:rPr>
        <w:t xml:space="preserve"> </w:t>
      </w:r>
      <w:r w:rsidRPr="009B2F58">
        <w:rPr>
          <w:rFonts w:ascii="Century Gothic" w:hAnsi="Century Gothic"/>
          <w:sz w:val="20"/>
          <w:szCs w:val="20"/>
          <w:lang w:val="fr-BE"/>
        </w:rPr>
        <w:t>m³/ha, (iv) forêt galerie / zone humide</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 21,1 m³/ha</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 pour les plans d’aménagements simplifié de Hodh el Gharbi le volume sur pied par hectare et par strate écologique est fixé comme suit : (i) savane arbustive à arborée de densité faible : 1,0</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m³/ha,</w:t>
      </w:r>
    </w:p>
    <w:p w14:paraId="5FF4FACD" w14:textId="77777777" w:rsidR="005625B5" w:rsidRPr="009B2F58" w:rsidRDefault="005625B5" w:rsidP="005625B5">
      <w:pPr>
        <w:spacing w:line="276" w:lineRule="auto"/>
        <w:ind w:left="1017" w:right="139"/>
        <w:jc w:val="both"/>
        <w:rPr>
          <w:rFonts w:ascii="Century Gothic" w:hAnsi="Century Gothic"/>
          <w:sz w:val="20"/>
          <w:szCs w:val="20"/>
          <w:lang w:val="fr-BE"/>
        </w:rPr>
      </w:pPr>
      <w:r w:rsidRPr="009B2F58">
        <w:rPr>
          <w:rFonts w:ascii="Century Gothic" w:hAnsi="Century Gothic"/>
          <w:sz w:val="20"/>
          <w:szCs w:val="20"/>
          <w:lang w:val="fr-BE"/>
        </w:rPr>
        <w:t>(ii)</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savane</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arborée</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(type</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montagneux)</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0,8</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m³/ha,</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(iii)</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savane</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boisée :</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1,8</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m³/ha,</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(iv)</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forêt</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galerie</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w:t>
      </w:r>
      <w:r w:rsidRPr="009B2F58">
        <w:rPr>
          <w:rFonts w:ascii="Century Gothic" w:hAnsi="Century Gothic"/>
          <w:spacing w:val="40"/>
          <w:sz w:val="20"/>
          <w:szCs w:val="20"/>
          <w:lang w:val="fr-BE"/>
        </w:rPr>
        <w:t xml:space="preserve"> </w:t>
      </w:r>
      <w:r w:rsidRPr="009B2F58">
        <w:rPr>
          <w:rFonts w:ascii="Century Gothic" w:hAnsi="Century Gothic"/>
          <w:sz w:val="20"/>
          <w:szCs w:val="20"/>
          <w:lang w:val="fr-BE"/>
        </w:rPr>
        <w:t>zone humide : 17,5 m³/ha</w:t>
      </w:r>
    </w:p>
    <w:p w14:paraId="54467193" w14:textId="77777777" w:rsidR="005625B5" w:rsidRPr="009B2F58" w:rsidRDefault="005625B5" w:rsidP="005625B5">
      <w:pPr>
        <w:pStyle w:val="Paragraphedeliste"/>
        <w:widowControl w:val="0"/>
        <w:numPr>
          <w:ilvl w:val="0"/>
          <w:numId w:val="68"/>
        </w:numPr>
        <w:tabs>
          <w:tab w:val="left" w:pos="1005"/>
          <w:tab w:val="left" w:pos="1017"/>
        </w:tabs>
        <w:autoSpaceDE w:val="0"/>
        <w:autoSpaceDN w:val="0"/>
        <w:spacing w:after="0" w:line="276" w:lineRule="auto"/>
        <w:ind w:right="141" w:hanging="876"/>
        <w:contextualSpacing w:val="0"/>
        <w:jc w:val="both"/>
        <w:rPr>
          <w:rFonts w:ascii="Century Gothic" w:hAnsi="Century Gothic"/>
          <w:sz w:val="20"/>
          <w:szCs w:val="20"/>
          <w:lang w:val="fr-BE"/>
        </w:rPr>
      </w:pPr>
      <w:r w:rsidRPr="009B2F58">
        <w:rPr>
          <w:rFonts w:ascii="Century Gothic" w:hAnsi="Century Gothic"/>
          <w:sz w:val="20"/>
          <w:szCs w:val="20"/>
          <w:lang w:val="fr-BE"/>
        </w:rPr>
        <w:t>Taux de réduction qui prend en considération les essences protégées, les individus non-exploitables ainsi que la précision d’échantillonnage</w:t>
      </w:r>
    </w:p>
    <w:p w14:paraId="2D7FEBD8" w14:textId="77777777" w:rsidR="005625B5" w:rsidRPr="009B2F58" w:rsidRDefault="005625B5" w:rsidP="005625B5">
      <w:pPr>
        <w:pStyle w:val="Paragraphedeliste"/>
        <w:widowControl w:val="0"/>
        <w:numPr>
          <w:ilvl w:val="0"/>
          <w:numId w:val="68"/>
        </w:numPr>
        <w:tabs>
          <w:tab w:val="left" w:pos="1005"/>
          <w:tab w:val="left" w:pos="1017"/>
        </w:tabs>
        <w:autoSpaceDE w:val="0"/>
        <w:autoSpaceDN w:val="0"/>
        <w:spacing w:after="0" w:line="276" w:lineRule="auto"/>
        <w:ind w:right="138" w:hanging="876"/>
        <w:contextualSpacing w:val="0"/>
        <w:jc w:val="both"/>
        <w:rPr>
          <w:rFonts w:ascii="Century Gothic" w:hAnsi="Century Gothic"/>
          <w:sz w:val="20"/>
          <w:szCs w:val="20"/>
          <w:lang w:val="fr-BE"/>
        </w:rPr>
      </w:pPr>
      <w:r w:rsidRPr="009B2F58">
        <w:rPr>
          <w:rFonts w:ascii="Century Gothic" w:hAnsi="Century Gothic"/>
          <w:sz w:val="20"/>
          <w:szCs w:val="20"/>
          <w:lang w:val="fr-BE"/>
        </w:rPr>
        <w:t>Volume exploitable : le volume total sur pied moins le volume des essences protégées et moins le volume des individus non protégés dont le diamètre est inférieur au diamètre minimum de coupe ; calculé sur la base des facteurs de réduction fixes</w:t>
      </w:r>
    </w:p>
    <w:p w14:paraId="1F879656" w14:textId="77777777" w:rsidR="005625B5" w:rsidRPr="009B2F58" w:rsidRDefault="005625B5" w:rsidP="005625B5">
      <w:pPr>
        <w:pStyle w:val="Paragraphedeliste"/>
        <w:widowControl w:val="0"/>
        <w:numPr>
          <w:ilvl w:val="0"/>
          <w:numId w:val="68"/>
        </w:numPr>
        <w:tabs>
          <w:tab w:val="left" w:pos="1005"/>
        </w:tabs>
        <w:autoSpaceDE w:val="0"/>
        <w:autoSpaceDN w:val="0"/>
        <w:spacing w:after="0" w:line="276" w:lineRule="auto"/>
        <w:ind w:left="1005"/>
        <w:contextualSpacing w:val="0"/>
        <w:rPr>
          <w:rFonts w:ascii="Century Gothic" w:hAnsi="Century Gothic"/>
          <w:sz w:val="20"/>
          <w:szCs w:val="20"/>
          <w:lang w:val="fr-BE"/>
        </w:rPr>
      </w:pPr>
      <w:r w:rsidRPr="009B2F58">
        <w:rPr>
          <w:rFonts w:ascii="Century Gothic" w:hAnsi="Century Gothic"/>
          <w:sz w:val="20"/>
          <w:szCs w:val="20"/>
          <w:lang w:val="fr-BE"/>
        </w:rPr>
        <w:t>Superficie</w:t>
      </w:r>
      <w:r w:rsidRPr="009B2F58">
        <w:rPr>
          <w:rFonts w:ascii="Century Gothic" w:hAnsi="Century Gothic"/>
          <w:spacing w:val="-4"/>
          <w:sz w:val="20"/>
          <w:szCs w:val="20"/>
          <w:lang w:val="fr-BE"/>
        </w:rPr>
        <w:t xml:space="preserve"> </w:t>
      </w:r>
      <w:r w:rsidRPr="009B2F58">
        <w:rPr>
          <w:rFonts w:ascii="Century Gothic" w:hAnsi="Century Gothic"/>
          <w:sz w:val="20"/>
          <w:szCs w:val="20"/>
          <w:lang w:val="fr-BE"/>
        </w:rPr>
        <w:t>par</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strate</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et</w:t>
      </w:r>
      <w:r w:rsidRPr="009B2F58">
        <w:rPr>
          <w:rFonts w:ascii="Century Gothic" w:hAnsi="Century Gothic"/>
          <w:spacing w:val="-1"/>
          <w:sz w:val="20"/>
          <w:szCs w:val="20"/>
          <w:lang w:val="fr-BE"/>
        </w:rPr>
        <w:t xml:space="preserve"> </w:t>
      </w:r>
      <w:r w:rsidRPr="009B2F58">
        <w:rPr>
          <w:rFonts w:ascii="Century Gothic" w:hAnsi="Century Gothic"/>
          <w:spacing w:val="-4"/>
          <w:sz w:val="20"/>
          <w:szCs w:val="20"/>
          <w:lang w:val="fr-BE"/>
        </w:rPr>
        <w:t>forêt</w:t>
      </w:r>
    </w:p>
    <w:p w14:paraId="2F9F250E" w14:textId="77777777" w:rsidR="005625B5" w:rsidRPr="009B2F58" w:rsidRDefault="005625B5" w:rsidP="005625B5">
      <w:pPr>
        <w:pStyle w:val="Paragraphedeliste"/>
        <w:widowControl w:val="0"/>
        <w:numPr>
          <w:ilvl w:val="0"/>
          <w:numId w:val="68"/>
        </w:numPr>
        <w:tabs>
          <w:tab w:val="left" w:pos="1005"/>
        </w:tabs>
        <w:autoSpaceDE w:val="0"/>
        <w:autoSpaceDN w:val="0"/>
        <w:spacing w:after="0" w:line="276" w:lineRule="auto"/>
        <w:ind w:left="1005"/>
        <w:contextualSpacing w:val="0"/>
        <w:rPr>
          <w:rFonts w:ascii="Century Gothic" w:hAnsi="Century Gothic"/>
          <w:sz w:val="20"/>
          <w:szCs w:val="20"/>
          <w:lang w:val="fr-BE"/>
        </w:rPr>
      </w:pPr>
      <w:r w:rsidRPr="009B2F58">
        <w:rPr>
          <w:rFonts w:ascii="Century Gothic" w:hAnsi="Century Gothic"/>
          <w:sz w:val="20"/>
          <w:szCs w:val="20"/>
          <w:lang w:val="fr-BE"/>
        </w:rPr>
        <w:t>Estimation</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de</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la</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superficie</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des</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zones</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non accessibles</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(en</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pour</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cent</w:t>
      </w:r>
      <w:r w:rsidRPr="009B2F58">
        <w:rPr>
          <w:rFonts w:ascii="Century Gothic" w:hAnsi="Century Gothic"/>
          <w:spacing w:val="-5"/>
          <w:sz w:val="20"/>
          <w:szCs w:val="20"/>
          <w:lang w:val="fr-BE"/>
        </w:rPr>
        <w:t xml:space="preserve"> </w:t>
      </w:r>
      <w:r w:rsidRPr="009B2F58">
        <w:rPr>
          <w:rFonts w:ascii="Century Gothic" w:hAnsi="Century Gothic"/>
          <w:sz w:val="20"/>
          <w:szCs w:val="20"/>
          <w:lang w:val="fr-BE"/>
        </w:rPr>
        <w:t>de</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la</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superficie</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totale</w:t>
      </w:r>
      <w:r w:rsidRPr="009B2F58">
        <w:rPr>
          <w:rFonts w:ascii="Century Gothic" w:hAnsi="Century Gothic"/>
          <w:spacing w:val="5"/>
          <w:sz w:val="20"/>
          <w:szCs w:val="20"/>
          <w:lang w:val="fr-BE"/>
        </w:rPr>
        <w:t xml:space="preserve"> </w:t>
      </w:r>
      <w:r w:rsidRPr="009B2F58">
        <w:rPr>
          <w:rFonts w:ascii="Century Gothic" w:hAnsi="Century Gothic"/>
          <w:sz w:val="20"/>
          <w:szCs w:val="20"/>
          <w:lang w:val="fr-BE"/>
        </w:rPr>
        <w:t>par</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strate/forêt)</w:t>
      </w:r>
      <w:r w:rsidRPr="009B2F58">
        <w:rPr>
          <w:rFonts w:ascii="Century Gothic" w:hAnsi="Century Gothic"/>
          <w:spacing w:val="1"/>
          <w:sz w:val="20"/>
          <w:szCs w:val="20"/>
          <w:lang w:val="fr-BE"/>
        </w:rPr>
        <w:t xml:space="preserve"> </w:t>
      </w:r>
      <w:r w:rsidRPr="009B2F58">
        <w:rPr>
          <w:rFonts w:ascii="Century Gothic" w:hAnsi="Century Gothic"/>
          <w:spacing w:val="-10"/>
          <w:sz w:val="20"/>
          <w:szCs w:val="20"/>
          <w:lang w:val="fr-BE"/>
        </w:rPr>
        <w:t>;</w:t>
      </w:r>
    </w:p>
    <w:p w14:paraId="075D4C54" w14:textId="77777777" w:rsidR="005625B5" w:rsidRPr="009B2F58" w:rsidRDefault="005625B5" w:rsidP="005625B5">
      <w:pPr>
        <w:pStyle w:val="Paragraphedeliste"/>
        <w:widowControl w:val="0"/>
        <w:numPr>
          <w:ilvl w:val="0"/>
          <w:numId w:val="68"/>
        </w:numPr>
        <w:tabs>
          <w:tab w:val="left" w:pos="1005"/>
        </w:tabs>
        <w:autoSpaceDE w:val="0"/>
        <w:autoSpaceDN w:val="0"/>
        <w:spacing w:after="0" w:line="276" w:lineRule="auto"/>
        <w:ind w:left="1005"/>
        <w:contextualSpacing w:val="0"/>
        <w:rPr>
          <w:rFonts w:ascii="Century Gothic" w:hAnsi="Century Gothic"/>
          <w:sz w:val="20"/>
          <w:szCs w:val="20"/>
          <w:lang w:val="fr-BE"/>
        </w:rPr>
      </w:pPr>
      <w:r w:rsidRPr="009B2F58">
        <w:rPr>
          <w:rFonts w:ascii="Century Gothic" w:hAnsi="Century Gothic"/>
          <w:sz w:val="20"/>
          <w:szCs w:val="20"/>
          <w:lang w:val="fr-BE"/>
        </w:rPr>
        <w:t>Estimation de</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la</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superficie</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des</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zones</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à</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protéger</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(en</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pour</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cent</w:t>
      </w:r>
      <w:r w:rsidRPr="009B2F58">
        <w:rPr>
          <w:rFonts w:ascii="Century Gothic" w:hAnsi="Century Gothic"/>
          <w:spacing w:val="-3"/>
          <w:sz w:val="20"/>
          <w:szCs w:val="20"/>
          <w:lang w:val="fr-BE"/>
        </w:rPr>
        <w:t xml:space="preserve"> </w:t>
      </w:r>
      <w:r w:rsidRPr="009B2F58">
        <w:rPr>
          <w:rFonts w:ascii="Century Gothic" w:hAnsi="Century Gothic"/>
          <w:sz w:val="20"/>
          <w:szCs w:val="20"/>
          <w:lang w:val="fr-BE"/>
        </w:rPr>
        <w:t>de</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la</w:t>
      </w:r>
      <w:r w:rsidRPr="009B2F58">
        <w:rPr>
          <w:rFonts w:ascii="Century Gothic" w:hAnsi="Century Gothic"/>
          <w:spacing w:val="-4"/>
          <w:sz w:val="20"/>
          <w:szCs w:val="20"/>
          <w:lang w:val="fr-BE"/>
        </w:rPr>
        <w:t xml:space="preserve"> </w:t>
      </w:r>
      <w:r w:rsidRPr="009B2F58">
        <w:rPr>
          <w:rFonts w:ascii="Century Gothic" w:hAnsi="Century Gothic"/>
          <w:sz w:val="20"/>
          <w:szCs w:val="20"/>
          <w:lang w:val="fr-BE"/>
        </w:rPr>
        <w:t>superficie</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totale</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par strate/forêt)</w:t>
      </w:r>
      <w:r w:rsidRPr="009B2F58">
        <w:rPr>
          <w:rFonts w:ascii="Century Gothic" w:hAnsi="Century Gothic"/>
          <w:spacing w:val="7"/>
          <w:sz w:val="20"/>
          <w:szCs w:val="20"/>
          <w:lang w:val="fr-BE"/>
        </w:rPr>
        <w:t xml:space="preserve"> </w:t>
      </w:r>
      <w:r w:rsidRPr="009B2F58">
        <w:rPr>
          <w:rFonts w:ascii="Century Gothic" w:hAnsi="Century Gothic"/>
          <w:spacing w:val="-10"/>
          <w:sz w:val="20"/>
          <w:szCs w:val="20"/>
          <w:lang w:val="fr-BE"/>
        </w:rPr>
        <w:t>;</w:t>
      </w:r>
    </w:p>
    <w:p w14:paraId="2145D582" w14:textId="77777777" w:rsidR="005625B5" w:rsidRPr="009B2F58" w:rsidRDefault="005625B5" w:rsidP="005625B5">
      <w:pPr>
        <w:pStyle w:val="Paragraphedeliste"/>
        <w:widowControl w:val="0"/>
        <w:numPr>
          <w:ilvl w:val="0"/>
          <w:numId w:val="68"/>
        </w:numPr>
        <w:tabs>
          <w:tab w:val="left" w:pos="1005"/>
        </w:tabs>
        <w:autoSpaceDE w:val="0"/>
        <w:autoSpaceDN w:val="0"/>
        <w:spacing w:after="0" w:line="276" w:lineRule="auto"/>
        <w:ind w:left="1005"/>
        <w:contextualSpacing w:val="0"/>
        <w:rPr>
          <w:rFonts w:ascii="Century Gothic" w:hAnsi="Century Gothic"/>
          <w:sz w:val="20"/>
          <w:szCs w:val="20"/>
          <w:lang w:val="fr-BE"/>
        </w:rPr>
      </w:pPr>
      <w:r w:rsidRPr="009B2F58">
        <w:rPr>
          <w:rFonts w:ascii="Century Gothic" w:hAnsi="Century Gothic"/>
          <w:sz w:val="20"/>
          <w:szCs w:val="20"/>
          <w:lang w:val="fr-BE"/>
        </w:rPr>
        <w:t>Volume</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potentiel</w:t>
      </w:r>
      <w:r w:rsidRPr="009B2F58">
        <w:rPr>
          <w:rFonts w:ascii="Century Gothic" w:hAnsi="Century Gothic"/>
          <w:spacing w:val="-3"/>
          <w:sz w:val="20"/>
          <w:szCs w:val="20"/>
          <w:lang w:val="fr-BE"/>
        </w:rPr>
        <w:t xml:space="preserve"> </w:t>
      </w:r>
      <w:r w:rsidRPr="009B2F58">
        <w:rPr>
          <w:rFonts w:ascii="Century Gothic" w:hAnsi="Century Gothic"/>
          <w:sz w:val="20"/>
          <w:szCs w:val="20"/>
          <w:lang w:val="fr-BE"/>
        </w:rPr>
        <w:t>d’exploitation :</w:t>
      </w:r>
      <w:r w:rsidRPr="009B2F58">
        <w:rPr>
          <w:rFonts w:ascii="Century Gothic" w:hAnsi="Century Gothic"/>
          <w:spacing w:val="-3"/>
          <w:sz w:val="20"/>
          <w:szCs w:val="20"/>
          <w:lang w:val="fr-BE"/>
        </w:rPr>
        <w:t xml:space="preserve"> </w:t>
      </w:r>
      <w:r w:rsidRPr="009B2F58">
        <w:rPr>
          <w:rFonts w:ascii="Century Gothic" w:hAnsi="Century Gothic"/>
          <w:sz w:val="20"/>
          <w:szCs w:val="20"/>
          <w:lang w:val="fr-BE"/>
        </w:rPr>
        <w:t>Vexpl</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w:t>
      </w:r>
      <w:r w:rsidRPr="009B2F58">
        <w:rPr>
          <w:rFonts w:ascii="Century Gothic" w:hAnsi="Century Gothic"/>
          <w:spacing w:val="-6"/>
          <w:sz w:val="20"/>
          <w:szCs w:val="20"/>
          <w:lang w:val="fr-BE"/>
        </w:rPr>
        <w:t xml:space="preserve"> </w:t>
      </w:r>
      <w:r w:rsidRPr="009B2F58">
        <w:rPr>
          <w:rFonts w:ascii="Century Gothic" w:hAnsi="Century Gothic"/>
          <w:sz w:val="20"/>
          <w:szCs w:val="20"/>
          <w:lang w:val="fr-BE"/>
        </w:rPr>
        <w:t>Superficie</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w:t>
      </w:r>
      <w:r w:rsidRPr="009B2F58">
        <w:rPr>
          <w:rFonts w:ascii="Century Gothic" w:hAnsi="Century Gothic"/>
          <w:spacing w:val="-5"/>
          <w:sz w:val="20"/>
          <w:szCs w:val="20"/>
          <w:lang w:val="fr-BE"/>
        </w:rPr>
        <w:t xml:space="preserve"> </w:t>
      </w:r>
      <w:r w:rsidRPr="009B2F58">
        <w:rPr>
          <w:rFonts w:ascii="Century Gothic" w:hAnsi="Century Gothic"/>
          <w:sz w:val="20"/>
          <w:szCs w:val="20"/>
          <w:lang w:val="fr-BE"/>
        </w:rPr>
        <w:t>(1</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zones</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accessibles</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zones</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 xml:space="preserve">à </w:t>
      </w:r>
      <w:r w:rsidRPr="009B2F58">
        <w:rPr>
          <w:rFonts w:ascii="Century Gothic" w:hAnsi="Century Gothic"/>
          <w:spacing w:val="-2"/>
          <w:sz w:val="20"/>
          <w:szCs w:val="20"/>
          <w:lang w:val="fr-BE"/>
        </w:rPr>
        <w:t>protéger)</w:t>
      </w:r>
    </w:p>
    <w:p w14:paraId="0F1CAF66" w14:textId="77777777" w:rsidR="005625B5" w:rsidRPr="009B2F58" w:rsidRDefault="005625B5" w:rsidP="005625B5">
      <w:pPr>
        <w:pStyle w:val="Paragraphedeliste"/>
        <w:widowControl w:val="0"/>
        <w:numPr>
          <w:ilvl w:val="0"/>
          <w:numId w:val="68"/>
        </w:numPr>
        <w:tabs>
          <w:tab w:val="left" w:pos="1005"/>
        </w:tabs>
        <w:autoSpaceDE w:val="0"/>
        <w:autoSpaceDN w:val="0"/>
        <w:spacing w:after="0" w:line="276" w:lineRule="auto"/>
        <w:ind w:left="1005"/>
        <w:contextualSpacing w:val="0"/>
        <w:rPr>
          <w:rFonts w:ascii="Century Gothic" w:hAnsi="Century Gothic"/>
          <w:sz w:val="20"/>
          <w:szCs w:val="20"/>
          <w:lang w:val="fr-BE"/>
        </w:rPr>
      </w:pPr>
      <w:r w:rsidRPr="009B2F58">
        <w:rPr>
          <w:rFonts w:ascii="Century Gothic" w:hAnsi="Century Gothic"/>
          <w:sz w:val="20"/>
          <w:szCs w:val="20"/>
          <w:lang w:val="fr-BE"/>
        </w:rPr>
        <w:t>Relation entre</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le</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volume</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total</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sur</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pied et</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le</w:t>
      </w:r>
      <w:r w:rsidRPr="009B2F58">
        <w:rPr>
          <w:rFonts w:ascii="Century Gothic" w:hAnsi="Century Gothic"/>
          <w:spacing w:val="-1"/>
          <w:sz w:val="20"/>
          <w:szCs w:val="20"/>
          <w:lang w:val="fr-BE"/>
        </w:rPr>
        <w:t xml:space="preserve"> </w:t>
      </w:r>
      <w:r w:rsidRPr="009B2F58">
        <w:rPr>
          <w:rFonts w:ascii="Century Gothic" w:hAnsi="Century Gothic"/>
          <w:sz w:val="20"/>
          <w:szCs w:val="20"/>
          <w:lang w:val="fr-BE"/>
        </w:rPr>
        <w:t>volume</w:t>
      </w:r>
      <w:r w:rsidRPr="009B2F58">
        <w:rPr>
          <w:rFonts w:ascii="Century Gothic" w:hAnsi="Century Gothic"/>
          <w:spacing w:val="-2"/>
          <w:sz w:val="20"/>
          <w:szCs w:val="20"/>
          <w:lang w:val="fr-BE"/>
        </w:rPr>
        <w:t xml:space="preserve"> </w:t>
      </w:r>
      <w:r w:rsidRPr="009B2F58">
        <w:rPr>
          <w:rFonts w:ascii="Century Gothic" w:hAnsi="Century Gothic"/>
          <w:sz w:val="20"/>
          <w:szCs w:val="20"/>
          <w:lang w:val="fr-BE"/>
        </w:rPr>
        <w:t>potentiel</w:t>
      </w:r>
      <w:r w:rsidRPr="009B2F58">
        <w:rPr>
          <w:rFonts w:ascii="Century Gothic" w:hAnsi="Century Gothic"/>
          <w:spacing w:val="-2"/>
          <w:sz w:val="20"/>
          <w:szCs w:val="20"/>
          <w:lang w:val="fr-BE"/>
        </w:rPr>
        <w:t xml:space="preserve"> d’exploitation</w:t>
      </w:r>
    </w:p>
    <w:p w14:paraId="5A81A75B" w14:textId="77777777" w:rsidR="005625B5" w:rsidRPr="00144AD3" w:rsidRDefault="005625B5" w:rsidP="005625B5">
      <w:pPr>
        <w:pStyle w:val="Corpsdetexte"/>
        <w:spacing w:before="0" w:line="276" w:lineRule="auto"/>
        <w:ind w:right="138"/>
        <w:rPr>
          <w:rFonts w:ascii="Century Gothic" w:hAnsi="Century Gothic"/>
          <w:sz w:val="20"/>
          <w:szCs w:val="20"/>
        </w:rPr>
      </w:pPr>
    </w:p>
    <w:p w14:paraId="3AFE3CF4" w14:textId="77777777" w:rsidR="005625B5" w:rsidRDefault="005625B5" w:rsidP="005625B5">
      <w:pPr>
        <w:pStyle w:val="Corpsdetexte"/>
        <w:spacing w:before="0"/>
        <w:ind w:right="145"/>
        <w:rPr>
          <w:rFonts w:ascii="Century Gothic" w:hAnsi="Century Gothic"/>
        </w:rPr>
      </w:pPr>
      <w:r w:rsidRPr="00920E08">
        <w:rPr>
          <w:rFonts w:ascii="Century Gothic" w:hAnsi="Century Gothic"/>
        </w:rPr>
        <w:t xml:space="preserve">La durée du plan d’aménagement simplifié de la forêt de Boully Beldi </w:t>
      </w:r>
      <w:r>
        <w:rPr>
          <w:rFonts w:ascii="Century Gothic" w:hAnsi="Century Gothic"/>
        </w:rPr>
        <w:t xml:space="preserve">s’est </w:t>
      </w:r>
      <w:r w:rsidRPr="00920E08">
        <w:rPr>
          <w:rFonts w:ascii="Century Gothic" w:hAnsi="Century Gothic"/>
        </w:rPr>
        <w:t>étal</w:t>
      </w:r>
      <w:r>
        <w:rPr>
          <w:rFonts w:ascii="Century Gothic" w:hAnsi="Century Gothic"/>
        </w:rPr>
        <w:t xml:space="preserve">ée </w:t>
      </w:r>
      <w:r w:rsidRPr="00920E08">
        <w:rPr>
          <w:rFonts w:ascii="Century Gothic" w:hAnsi="Century Gothic"/>
        </w:rPr>
        <w:t xml:space="preserve">sur une période de 10 </w:t>
      </w:r>
      <w:r w:rsidRPr="00920E08">
        <w:rPr>
          <w:rFonts w:ascii="Century Gothic" w:hAnsi="Century Gothic"/>
          <w:spacing w:val="-4"/>
        </w:rPr>
        <w:t>ans.</w:t>
      </w:r>
      <w:r>
        <w:rPr>
          <w:rFonts w:ascii="Century Gothic" w:hAnsi="Century Gothic"/>
        </w:rPr>
        <w:t xml:space="preserve"> </w:t>
      </w:r>
      <w:r w:rsidRPr="00920E08">
        <w:rPr>
          <w:rFonts w:ascii="Century Gothic" w:hAnsi="Century Gothic"/>
        </w:rPr>
        <w:t>Au niveau de la strate Forêt galerie, le système sylvicole taillis simple</w:t>
      </w:r>
      <w:r>
        <w:rPr>
          <w:rFonts w:ascii="Century Gothic" w:hAnsi="Century Gothic"/>
        </w:rPr>
        <w:t xml:space="preserve"> a été </w:t>
      </w:r>
      <w:r w:rsidRPr="00920E08">
        <w:rPr>
          <w:rFonts w:ascii="Century Gothic" w:hAnsi="Century Gothic"/>
        </w:rPr>
        <w:t>appliqu</w:t>
      </w:r>
      <w:r>
        <w:rPr>
          <w:rFonts w:ascii="Century Gothic" w:hAnsi="Century Gothic"/>
        </w:rPr>
        <w:t xml:space="preserve">é pour une </w:t>
      </w:r>
      <w:r w:rsidRPr="00920E08">
        <w:rPr>
          <w:rFonts w:ascii="Century Gothic" w:hAnsi="Century Gothic"/>
        </w:rPr>
        <w:t>rotation de 10 ans.</w:t>
      </w:r>
    </w:p>
    <w:p w14:paraId="46752FE3" w14:textId="77777777" w:rsidR="005625B5" w:rsidRDefault="005625B5" w:rsidP="005625B5">
      <w:pPr>
        <w:pStyle w:val="Corpsdetexte"/>
        <w:spacing w:before="0"/>
        <w:ind w:right="145"/>
        <w:rPr>
          <w:rFonts w:ascii="Century Gothic" w:hAnsi="Century Gothic"/>
        </w:rPr>
      </w:pPr>
    </w:p>
    <w:p w14:paraId="18BAE9BD" w14:textId="77777777" w:rsidR="005625B5" w:rsidRDefault="005625B5" w:rsidP="005625B5">
      <w:pPr>
        <w:pStyle w:val="Corpsdetexte"/>
        <w:spacing w:before="0"/>
        <w:ind w:right="145"/>
        <w:rPr>
          <w:rFonts w:ascii="Century Gothic" w:hAnsi="Century Gothic"/>
        </w:rPr>
      </w:pPr>
      <w:r w:rsidRPr="00DB6869">
        <w:rPr>
          <w:rFonts w:ascii="Century Gothic" w:hAnsi="Century Gothic"/>
        </w:rPr>
        <w:t>Le quota annuel d’exploitation au</w:t>
      </w:r>
      <w:r w:rsidRPr="00DB6869">
        <w:rPr>
          <w:rFonts w:ascii="Century Gothic" w:hAnsi="Century Gothic"/>
          <w:spacing w:val="-1"/>
        </w:rPr>
        <w:t xml:space="preserve"> </w:t>
      </w:r>
      <w:r w:rsidRPr="00DB6869">
        <w:rPr>
          <w:rFonts w:ascii="Century Gothic" w:hAnsi="Century Gothic"/>
        </w:rPr>
        <w:t>niveau</w:t>
      </w:r>
      <w:r w:rsidRPr="00DB6869">
        <w:rPr>
          <w:rFonts w:ascii="Century Gothic" w:hAnsi="Century Gothic"/>
          <w:spacing w:val="-1"/>
        </w:rPr>
        <w:t xml:space="preserve"> </w:t>
      </w:r>
      <w:r w:rsidRPr="00DB6869">
        <w:rPr>
          <w:rFonts w:ascii="Century Gothic" w:hAnsi="Century Gothic"/>
        </w:rPr>
        <w:t>de</w:t>
      </w:r>
      <w:r w:rsidRPr="00DB6869">
        <w:rPr>
          <w:rFonts w:ascii="Century Gothic" w:hAnsi="Century Gothic"/>
          <w:spacing w:val="-1"/>
        </w:rPr>
        <w:t xml:space="preserve"> </w:t>
      </w:r>
      <w:r w:rsidRPr="00DB6869">
        <w:rPr>
          <w:rFonts w:ascii="Century Gothic" w:hAnsi="Century Gothic"/>
        </w:rPr>
        <w:t>la forêt de</w:t>
      </w:r>
      <w:r w:rsidRPr="00DB6869">
        <w:rPr>
          <w:rFonts w:ascii="Century Gothic" w:hAnsi="Century Gothic"/>
          <w:spacing w:val="-1"/>
        </w:rPr>
        <w:t xml:space="preserve"> </w:t>
      </w:r>
      <w:r w:rsidRPr="00DB6869">
        <w:rPr>
          <w:rFonts w:ascii="Century Gothic" w:hAnsi="Century Gothic"/>
        </w:rPr>
        <w:t>Boully</w:t>
      </w:r>
      <w:r w:rsidRPr="00DB6869">
        <w:rPr>
          <w:rFonts w:ascii="Century Gothic" w:hAnsi="Century Gothic"/>
          <w:spacing w:val="-2"/>
        </w:rPr>
        <w:t xml:space="preserve"> </w:t>
      </w:r>
      <w:r w:rsidRPr="00DB6869">
        <w:rPr>
          <w:rFonts w:ascii="Century Gothic" w:hAnsi="Century Gothic"/>
        </w:rPr>
        <w:t>Beldi est fixé à</w:t>
      </w:r>
      <w:r w:rsidRPr="00DB6869">
        <w:rPr>
          <w:rFonts w:ascii="Century Gothic" w:hAnsi="Century Gothic"/>
          <w:spacing w:val="-1"/>
        </w:rPr>
        <w:t xml:space="preserve"> </w:t>
      </w:r>
      <w:r w:rsidRPr="00DB6869">
        <w:rPr>
          <w:rFonts w:ascii="Century Gothic" w:hAnsi="Century Gothic"/>
        </w:rPr>
        <w:t>56</w:t>
      </w:r>
      <w:r w:rsidRPr="00DB6869">
        <w:rPr>
          <w:rFonts w:ascii="Century Gothic" w:hAnsi="Century Gothic"/>
          <w:spacing w:val="-1"/>
        </w:rPr>
        <w:t xml:space="preserve"> </w:t>
      </w:r>
      <w:r w:rsidRPr="00DB6869">
        <w:rPr>
          <w:rFonts w:ascii="Century Gothic" w:hAnsi="Century Gothic"/>
        </w:rPr>
        <w:t>mètres cubes ; ce</w:t>
      </w:r>
      <w:r w:rsidRPr="00DB6869">
        <w:rPr>
          <w:rFonts w:ascii="Century Gothic" w:hAnsi="Century Gothic"/>
          <w:spacing w:val="-1"/>
        </w:rPr>
        <w:t xml:space="preserve"> </w:t>
      </w:r>
      <w:r w:rsidRPr="00DB6869">
        <w:rPr>
          <w:rFonts w:ascii="Century Gothic" w:hAnsi="Century Gothic"/>
        </w:rPr>
        <w:t>qui correspond</w:t>
      </w:r>
      <w:r w:rsidRPr="00DB6869">
        <w:rPr>
          <w:rFonts w:ascii="Century Gothic" w:hAnsi="Century Gothic"/>
          <w:spacing w:val="-1"/>
        </w:rPr>
        <w:t xml:space="preserve"> </w:t>
      </w:r>
      <w:r w:rsidRPr="00DB6869">
        <w:rPr>
          <w:rFonts w:ascii="Century Gothic" w:hAnsi="Century Gothic"/>
        </w:rPr>
        <w:t>à</w:t>
      </w:r>
      <w:r w:rsidRPr="00DB6869">
        <w:rPr>
          <w:rFonts w:ascii="Century Gothic" w:hAnsi="Century Gothic"/>
          <w:spacing w:val="-1"/>
        </w:rPr>
        <w:t xml:space="preserve"> </w:t>
      </w:r>
      <w:r w:rsidRPr="00DB6869">
        <w:rPr>
          <w:rFonts w:ascii="Century Gothic" w:hAnsi="Century Gothic"/>
        </w:rPr>
        <w:t>93</w:t>
      </w:r>
      <w:r w:rsidRPr="00DB6869">
        <w:rPr>
          <w:rFonts w:ascii="Century Gothic" w:hAnsi="Century Gothic"/>
          <w:spacing w:val="-1"/>
        </w:rPr>
        <w:t xml:space="preserve"> </w:t>
      </w:r>
      <w:r w:rsidRPr="00DB6869">
        <w:rPr>
          <w:rFonts w:ascii="Century Gothic" w:hAnsi="Century Gothic"/>
        </w:rPr>
        <w:t>stères</w:t>
      </w:r>
      <w:r w:rsidRPr="00DB6869">
        <w:rPr>
          <w:rFonts w:ascii="Century Gothic" w:hAnsi="Century Gothic"/>
          <w:spacing w:val="-3"/>
        </w:rPr>
        <w:t xml:space="preserve"> </w:t>
      </w:r>
      <w:r w:rsidRPr="00DB6869">
        <w:rPr>
          <w:rFonts w:ascii="Century Gothic" w:hAnsi="Century Gothic"/>
        </w:rPr>
        <w:t>(187</w:t>
      </w:r>
      <w:r w:rsidRPr="00DB6869">
        <w:rPr>
          <w:rFonts w:ascii="Century Gothic" w:hAnsi="Century Gothic"/>
          <w:spacing w:val="-4"/>
        </w:rPr>
        <w:t xml:space="preserve"> </w:t>
      </w:r>
      <w:r w:rsidRPr="00DB6869">
        <w:rPr>
          <w:rFonts w:ascii="Century Gothic" w:hAnsi="Century Gothic"/>
        </w:rPr>
        <w:t>charrettes).</w:t>
      </w:r>
      <w:r w:rsidRPr="00DB6869">
        <w:rPr>
          <w:rFonts w:ascii="Century Gothic" w:hAnsi="Century Gothic"/>
          <w:spacing w:val="-1"/>
        </w:rPr>
        <w:t xml:space="preserve"> </w:t>
      </w:r>
      <w:r w:rsidRPr="00DB6869">
        <w:rPr>
          <w:rFonts w:ascii="Century Gothic" w:hAnsi="Century Gothic"/>
        </w:rPr>
        <w:t>Le</w:t>
      </w:r>
      <w:r w:rsidRPr="00DB6869">
        <w:rPr>
          <w:rFonts w:ascii="Century Gothic" w:hAnsi="Century Gothic"/>
          <w:spacing w:val="-4"/>
        </w:rPr>
        <w:t xml:space="preserve"> </w:t>
      </w:r>
      <w:r w:rsidRPr="00DB6869">
        <w:rPr>
          <w:rFonts w:ascii="Century Gothic" w:hAnsi="Century Gothic"/>
        </w:rPr>
        <w:t>quota</w:t>
      </w:r>
      <w:r w:rsidRPr="00DB6869">
        <w:rPr>
          <w:rFonts w:ascii="Century Gothic" w:hAnsi="Century Gothic"/>
          <w:spacing w:val="-1"/>
        </w:rPr>
        <w:t xml:space="preserve"> </w:t>
      </w:r>
      <w:r w:rsidRPr="00DB6869">
        <w:rPr>
          <w:rFonts w:ascii="Century Gothic" w:hAnsi="Century Gothic"/>
        </w:rPr>
        <w:t>total</w:t>
      </w:r>
      <w:r w:rsidRPr="00DB6869">
        <w:rPr>
          <w:rFonts w:ascii="Century Gothic" w:hAnsi="Century Gothic"/>
          <w:spacing w:val="-3"/>
        </w:rPr>
        <w:t xml:space="preserve"> </w:t>
      </w:r>
      <w:r w:rsidRPr="00DB6869">
        <w:rPr>
          <w:rFonts w:ascii="Century Gothic" w:hAnsi="Century Gothic"/>
        </w:rPr>
        <w:t>pour</w:t>
      </w:r>
      <w:r w:rsidRPr="00DB6869">
        <w:rPr>
          <w:rFonts w:ascii="Century Gothic" w:hAnsi="Century Gothic"/>
          <w:spacing w:val="-1"/>
        </w:rPr>
        <w:t xml:space="preserve"> </w:t>
      </w:r>
      <w:r w:rsidRPr="00DB6869">
        <w:rPr>
          <w:rFonts w:ascii="Century Gothic" w:hAnsi="Century Gothic"/>
        </w:rPr>
        <w:t>la</w:t>
      </w:r>
      <w:r w:rsidRPr="00DB6869">
        <w:rPr>
          <w:rFonts w:ascii="Century Gothic" w:hAnsi="Century Gothic"/>
          <w:spacing w:val="-1"/>
        </w:rPr>
        <w:t xml:space="preserve"> </w:t>
      </w:r>
      <w:r w:rsidRPr="00DB6869">
        <w:rPr>
          <w:rFonts w:ascii="Century Gothic" w:hAnsi="Century Gothic"/>
        </w:rPr>
        <w:t>durée</w:t>
      </w:r>
      <w:r w:rsidRPr="00DB6869">
        <w:rPr>
          <w:rFonts w:ascii="Century Gothic" w:hAnsi="Century Gothic"/>
          <w:spacing w:val="-1"/>
        </w:rPr>
        <w:t xml:space="preserve"> </w:t>
      </w:r>
      <w:r w:rsidRPr="00DB6869">
        <w:rPr>
          <w:rFonts w:ascii="Century Gothic" w:hAnsi="Century Gothic"/>
        </w:rPr>
        <w:t>du</w:t>
      </w:r>
      <w:r w:rsidRPr="00DB6869">
        <w:rPr>
          <w:rFonts w:ascii="Century Gothic" w:hAnsi="Century Gothic"/>
          <w:spacing w:val="-1"/>
        </w:rPr>
        <w:t xml:space="preserve"> </w:t>
      </w:r>
      <w:r w:rsidRPr="00DB6869">
        <w:rPr>
          <w:rFonts w:ascii="Century Gothic" w:hAnsi="Century Gothic"/>
        </w:rPr>
        <w:t>plan</w:t>
      </w:r>
      <w:r w:rsidRPr="00DB6869">
        <w:rPr>
          <w:rFonts w:ascii="Century Gothic" w:hAnsi="Century Gothic"/>
          <w:spacing w:val="-1"/>
        </w:rPr>
        <w:t xml:space="preserve"> </w:t>
      </w:r>
      <w:r w:rsidRPr="00DB6869">
        <w:rPr>
          <w:rFonts w:ascii="Century Gothic" w:hAnsi="Century Gothic"/>
        </w:rPr>
        <w:t>d’aménagement est de</w:t>
      </w:r>
      <w:r w:rsidRPr="00DB6869">
        <w:rPr>
          <w:rFonts w:ascii="Century Gothic" w:hAnsi="Century Gothic"/>
          <w:spacing w:val="-3"/>
        </w:rPr>
        <w:t xml:space="preserve"> </w:t>
      </w:r>
      <w:r w:rsidRPr="00DB6869">
        <w:rPr>
          <w:rFonts w:ascii="Century Gothic" w:hAnsi="Century Gothic"/>
        </w:rPr>
        <w:t xml:space="preserve">560 mètres cubes (1697 charrettes). La distribution du quota en fonction des strates écologiques est résumée dans le </w:t>
      </w:r>
      <w:hyperlink w:anchor="_bookmark4" w:history="1">
        <w:r w:rsidRPr="00DB6869">
          <w:rPr>
            <w:rFonts w:ascii="Century Gothic" w:hAnsi="Century Gothic"/>
          </w:rPr>
          <w:t xml:space="preserve">Tableau </w:t>
        </w:r>
        <w:r>
          <w:rPr>
            <w:rFonts w:ascii="Century Gothic" w:hAnsi="Century Gothic"/>
          </w:rPr>
          <w:t>ci-dessous</w:t>
        </w:r>
        <w:r w:rsidRPr="00DB6869">
          <w:rPr>
            <w:rFonts w:ascii="Century Gothic" w:hAnsi="Century Gothic"/>
          </w:rPr>
          <w:t>.</w:t>
        </w:r>
      </w:hyperlink>
    </w:p>
    <w:p w14:paraId="55A5BC12" w14:textId="77777777" w:rsidR="005625B5" w:rsidRPr="00DB6869" w:rsidRDefault="005625B5" w:rsidP="005625B5">
      <w:pPr>
        <w:pStyle w:val="Corpsdetexte"/>
        <w:spacing w:before="0"/>
        <w:ind w:right="145"/>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1413"/>
        <w:gridCol w:w="1146"/>
        <w:gridCol w:w="1166"/>
        <w:gridCol w:w="1318"/>
        <w:gridCol w:w="1071"/>
        <w:gridCol w:w="1159"/>
      </w:tblGrid>
      <w:tr w:rsidR="005625B5" w:rsidRPr="00D953B5" w14:paraId="7F775885" w14:textId="77777777" w:rsidTr="00FB354B">
        <w:trPr>
          <w:trHeight w:val="58"/>
        </w:trPr>
        <w:tc>
          <w:tcPr>
            <w:tcW w:w="1895" w:type="dxa"/>
            <w:vMerge w:val="restart"/>
            <w:shd w:val="clear" w:color="auto" w:fill="auto"/>
          </w:tcPr>
          <w:p w14:paraId="522CD229" w14:textId="77777777" w:rsidR="005625B5" w:rsidRPr="005F6B59" w:rsidRDefault="005625B5" w:rsidP="00FB354B">
            <w:pPr>
              <w:pStyle w:val="Corpsdetexte"/>
              <w:spacing w:before="0" w:line="276" w:lineRule="auto"/>
              <w:ind w:right="138"/>
              <w:rPr>
                <w:rFonts w:ascii="Century Gothic" w:hAnsi="Century Gothic"/>
                <w:b/>
                <w:bCs/>
                <w:sz w:val="20"/>
                <w:szCs w:val="20"/>
              </w:rPr>
            </w:pPr>
          </w:p>
          <w:p w14:paraId="1C873DA6" w14:textId="77777777" w:rsidR="005625B5" w:rsidRPr="005F6B59" w:rsidRDefault="005625B5" w:rsidP="00FB354B">
            <w:pPr>
              <w:pStyle w:val="Corpsdetexte"/>
              <w:spacing w:before="0" w:line="276" w:lineRule="auto"/>
              <w:ind w:right="138"/>
              <w:rPr>
                <w:rFonts w:ascii="Century Gothic" w:hAnsi="Century Gothic"/>
                <w:b/>
                <w:bCs/>
                <w:sz w:val="20"/>
                <w:szCs w:val="20"/>
              </w:rPr>
            </w:pPr>
            <w:r w:rsidRPr="005F6B59">
              <w:rPr>
                <w:rFonts w:ascii="Century Gothic" w:hAnsi="Century Gothic"/>
                <w:b/>
                <w:bCs/>
                <w:sz w:val="20"/>
                <w:szCs w:val="20"/>
              </w:rPr>
              <w:t>Strates</w:t>
            </w:r>
          </w:p>
        </w:tc>
        <w:tc>
          <w:tcPr>
            <w:tcW w:w="1599" w:type="dxa"/>
            <w:shd w:val="clear" w:color="auto" w:fill="auto"/>
          </w:tcPr>
          <w:p w14:paraId="0B54B91D"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 xml:space="preserve">Volume potentiel </w:t>
            </w:r>
          </w:p>
          <w:p w14:paraId="4C4E3CAA"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p>
        </w:tc>
        <w:tc>
          <w:tcPr>
            <w:tcW w:w="1146" w:type="dxa"/>
            <w:shd w:val="clear" w:color="auto" w:fill="auto"/>
          </w:tcPr>
          <w:p w14:paraId="707A2943"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 xml:space="preserve">Rotation </w:t>
            </w:r>
          </w:p>
          <w:p w14:paraId="198DD193"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p>
        </w:tc>
        <w:tc>
          <w:tcPr>
            <w:tcW w:w="2484" w:type="dxa"/>
            <w:gridSpan w:val="2"/>
            <w:shd w:val="clear" w:color="auto" w:fill="auto"/>
          </w:tcPr>
          <w:p w14:paraId="70ADACF8"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Quota annuel</w:t>
            </w:r>
          </w:p>
        </w:tc>
        <w:tc>
          <w:tcPr>
            <w:tcW w:w="2672" w:type="dxa"/>
            <w:gridSpan w:val="2"/>
            <w:shd w:val="clear" w:color="auto" w:fill="auto"/>
          </w:tcPr>
          <w:p w14:paraId="51D1AB9D"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 xml:space="preserve">Quota total </w:t>
            </w:r>
          </w:p>
          <w:p w14:paraId="73B19A3F"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sz w:val="20"/>
                <w:szCs w:val="20"/>
              </w:rPr>
              <w:t>pour</w:t>
            </w:r>
            <w:proofErr w:type="gramEnd"/>
            <w:r w:rsidRPr="005F6B59">
              <w:rPr>
                <w:rFonts w:ascii="Century Gothic" w:hAnsi="Century Gothic"/>
                <w:b/>
                <w:bCs/>
                <w:sz w:val="20"/>
                <w:szCs w:val="20"/>
              </w:rPr>
              <w:t xml:space="preserve"> la durée du PAS)</w:t>
            </w:r>
          </w:p>
        </w:tc>
      </w:tr>
      <w:tr w:rsidR="005625B5" w:rsidRPr="005F6B59" w14:paraId="35C6E644" w14:textId="77777777" w:rsidTr="00FB354B">
        <w:trPr>
          <w:trHeight w:val="58"/>
        </w:trPr>
        <w:tc>
          <w:tcPr>
            <w:tcW w:w="1895" w:type="dxa"/>
            <w:vMerge/>
            <w:shd w:val="clear" w:color="auto" w:fill="auto"/>
          </w:tcPr>
          <w:p w14:paraId="208BED6A"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p>
        </w:tc>
        <w:tc>
          <w:tcPr>
            <w:tcW w:w="1599" w:type="dxa"/>
            <w:shd w:val="clear" w:color="auto" w:fill="auto"/>
          </w:tcPr>
          <w:p w14:paraId="331FC22B"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sz w:val="20"/>
                <w:szCs w:val="20"/>
              </w:rPr>
              <w:t>m</w:t>
            </w:r>
            <w:proofErr w:type="gramEnd"/>
            <w:r w:rsidRPr="005F6B59">
              <w:rPr>
                <w:rFonts w:ascii="Century Gothic" w:hAnsi="Century Gothic"/>
                <w:b/>
                <w:bCs/>
                <w:sz w:val="20"/>
                <w:szCs w:val="20"/>
              </w:rPr>
              <w:t>³)</w:t>
            </w:r>
          </w:p>
        </w:tc>
        <w:tc>
          <w:tcPr>
            <w:tcW w:w="1146" w:type="dxa"/>
            <w:shd w:val="clear" w:color="auto" w:fill="auto"/>
          </w:tcPr>
          <w:p w14:paraId="6468AA1C"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sz w:val="20"/>
                <w:szCs w:val="20"/>
              </w:rPr>
              <w:t>an</w:t>
            </w:r>
            <w:proofErr w:type="gramEnd"/>
            <w:r w:rsidRPr="005F6B59">
              <w:rPr>
                <w:rFonts w:ascii="Century Gothic" w:hAnsi="Century Gothic"/>
                <w:b/>
                <w:bCs/>
                <w:sz w:val="20"/>
                <w:szCs w:val="20"/>
              </w:rPr>
              <w:t>)</w:t>
            </w:r>
          </w:p>
        </w:tc>
        <w:tc>
          <w:tcPr>
            <w:tcW w:w="1166" w:type="dxa"/>
            <w:shd w:val="clear" w:color="auto" w:fill="auto"/>
          </w:tcPr>
          <w:p w14:paraId="1E52E0BF"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rPr>
              <w:t>m</w:t>
            </w:r>
            <w:proofErr w:type="gramEnd"/>
            <w:r w:rsidRPr="005F6B59">
              <w:rPr>
                <w:rFonts w:ascii="Century Gothic" w:hAnsi="Century Gothic"/>
                <w:b/>
                <w:bCs/>
                <w:vertAlign w:val="superscript"/>
              </w:rPr>
              <w:t>3</w:t>
            </w:r>
            <w:r w:rsidRPr="005F6B59">
              <w:rPr>
                <w:rFonts w:ascii="Century Gothic" w:hAnsi="Century Gothic"/>
                <w:b/>
                <w:bCs/>
                <w:sz w:val="20"/>
                <w:szCs w:val="20"/>
              </w:rPr>
              <w:t>/an)</w:t>
            </w:r>
          </w:p>
        </w:tc>
        <w:tc>
          <w:tcPr>
            <w:tcW w:w="1318" w:type="dxa"/>
            <w:shd w:val="clear" w:color="auto" w:fill="auto"/>
          </w:tcPr>
          <w:p w14:paraId="6C84BA6E"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sz w:val="20"/>
                <w:szCs w:val="20"/>
              </w:rPr>
              <w:t>stère</w:t>
            </w:r>
            <w:proofErr w:type="gramEnd"/>
            <w:r w:rsidRPr="005F6B59">
              <w:rPr>
                <w:rFonts w:ascii="Century Gothic" w:hAnsi="Century Gothic"/>
                <w:b/>
                <w:bCs/>
                <w:sz w:val="20"/>
                <w:szCs w:val="20"/>
              </w:rPr>
              <w:t>/an)</w:t>
            </w:r>
          </w:p>
        </w:tc>
        <w:tc>
          <w:tcPr>
            <w:tcW w:w="1348" w:type="dxa"/>
            <w:shd w:val="clear" w:color="auto" w:fill="auto"/>
          </w:tcPr>
          <w:p w14:paraId="3AF0ECE5"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sz w:val="20"/>
                <w:szCs w:val="20"/>
              </w:rPr>
              <w:t>m</w:t>
            </w:r>
            <w:proofErr w:type="gramEnd"/>
            <w:r w:rsidRPr="005F6B59">
              <w:rPr>
                <w:rFonts w:ascii="Century Gothic" w:hAnsi="Century Gothic"/>
                <w:b/>
                <w:bCs/>
                <w:sz w:val="20"/>
                <w:szCs w:val="20"/>
              </w:rPr>
              <w:t>³)</w:t>
            </w:r>
          </w:p>
        </w:tc>
        <w:tc>
          <w:tcPr>
            <w:tcW w:w="1324" w:type="dxa"/>
            <w:shd w:val="clear" w:color="auto" w:fill="auto"/>
          </w:tcPr>
          <w:p w14:paraId="47BCEC6D"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w:t>
            </w:r>
            <w:proofErr w:type="gramStart"/>
            <w:r w:rsidRPr="005F6B59">
              <w:rPr>
                <w:rFonts w:ascii="Century Gothic" w:hAnsi="Century Gothic"/>
                <w:b/>
                <w:bCs/>
                <w:sz w:val="20"/>
                <w:szCs w:val="20"/>
              </w:rPr>
              <w:t>stère</w:t>
            </w:r>
            <w:proofErr w:type="gramEnd"/>
            <w:r w:rsidRPr="005F6B59">
              <w:rPr>
                <w:rFonts w:ascii="Century Gothic" w:hAnsi="Century Gothic"/>
                <w:b/>
                <w:bCs/>
                <w:sz w:val="20"/>
                <w:szCs w:val="20"/>
              </w:rPr>
              <w:t xml:space="preserve">) </w:t>
            </w:r>
          </w:p>
        </w:tc>
      </w:tr>
      <w:tr w:rsidR="005625B5" w:rsidRPr="005F6B59" w14:paraId="5DF7CFB3" w14:textId="77777777" w:rsidTr="00FB354B">
        <w:tc>
          <w:tcPr>
            <w:tcW w:w="1895" w:type="dxa"/>
            <w:shd w:val="clear" w:color="auto" w:fill="auto"/>
          </w:tcPr>
          <w:p w14:paraId="2A7CA249" w14:textId="77777777" w:rsidR="005625B5" w:rsidRPr="005F6B59" w:rsidRDefault="005625B5" w:rsidP="00FB354B">
            <w:pPr>
              <w:pStyle w:val="Corpsdetexte"/>
              <w:spacing w:before="0" w:line="276" w:lineRule="auto"/>
              <w:ind w:right="138"/>
              <w:jc w:val="left"/>
              <w:rPr>
                <w:rFonts w:ascii="Century Gothic" w:hAnsi="Century Gothic"/>
                <w:sz w:val="20"/>
                <w:szCs w:val="20"/>
              </w:rPr>
            </w:pPr>
            <w:r w:rsidRPr="005F6B59">
              <w:rPr>
                <w:rFonts w:ascii="Century Gothic" w:hAnsi="Century Gothic"/>
                <w:b/>
                <w:bCs/>
                <w:sz w:val="20"/>
                <w:szCs w:val="20"/>
              </w:rPr>
              <w:t>Savane arbustive à arborée de densité faible</w:t>
            </w:r>
          </w:p>
        </w:tc>
        <w:tc>
          <w:tcPr>
            <w:tcW w:w="1599" w:type="dxa"/>
            <w:shd w:val="clear" w:color="auto" w:fill="auto"/>
          </w:tcPr>
          <w:p w14:paraId="0A6A8D5C"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146" w:type="dxa"/>
            <w:shd w:val="clear" w:color="auto" w:fill="auto"/>
          </w:tcPr>
          <w:p w14:paraId="34BDB6CC"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15</w:t>
            </w:r>
          </w:p>
        </w:tc>
        <w:tc>
          <w:tcPr>
            <w:tcW w:w="1166" w:type="dxa"/>
            <w:shd w:val="clear" w:color="auto" w:fill="auto"/>
          </w:tcPr>
          <w:p w14:paraId="6D1A88AC"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318" w:type="dxa"/>
            <w:shd w:val="clear" w:color="auto" w:fill="auto"/>
          </w:tcPr>
          <w:p w14:paraId="2DFA2326"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348" w:type="dxa"/>
            <w:shd w:val="clear" w:color="auto" w:fill="auto"/>
          </w:tcPr>
          <w:p w14:paraId="70233B99"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324" w:type="dxa"/>
            <w:shd w:val="clear" w:color="auto" w:fill="auto"/>
          </w:tcPr>
          <w:p w14:paraId="12B251C6"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r>
      <w:tr w:rsidR="005625B5" w:rsidRPr="005F6B59" w14:paraId="737990EF" w14:textId="77777777" w:rsidTr="00FB354B">
        <w:tc>
          <w:tcPr>
            <w:tcW w:w="1895" w:type="dxa"/>
            <w:shd w:val="clear" w:color="auto" w:fill="auto"/>
          </w:tcPr>
          <w:p w14:paraId="06E7FDC4" w14:textId="77777777" w:rsidR="005625B5" w:rsidRPr="005F6B59" w:rsidRDefault="005625B5" w:rsidP="00FB354B">
            <w:pPr>
              <w:pStyle w:val="Corpsdetexte"/>
              <w:spacing w:before="0" w:line="276" w:lineRule="auto"/>
              <w:ind w:right="138"/>
              <w:rPr>
                <w:rFonts w:ascii="Century Gothic" w:hAnsi="Century Gothic"/>
                <w:sz w:val="20"/>
                <w:szCs w:val="20"/>
              </w:rPr>
            </w:pPr>
            <w:r w:rsidRPr="005F6B59">
              <w:rPr>
                <w:rFonts w:ascii="Century Gothic" w:hAnsi="Century Gothic"/>
                <w:b/>
                <w:bCs/>
                <w:sz w:val="20"/>
                <w:szCs w:val="20"/>
              </w:rPr>
              <w:t>Savane arborée (type montagneux)</w:t>
            </w:r>
          </w:p>
        </w:tc>
        <w:tc>
          <w:tcPr>
            <w:tcW w:w="1599" w:type="dxa"/>
            <w:shd w:val="clear" w:color="auto" w:fill="auto"/>
          </w:tcPr>
          <w:p w14:paraId="0CFF05B9"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146" w:type="dxa"/>
            <w:shd w:val="clear" w:color="auto" w:fill="auto"/>
          </w:tcPr>
          <w:p w14:paraId="2E8B428E"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8</w:t>
            </w:r>
          </w:p>
        </w:tc>
        <w:tc>
          <w:tcPr>
            <w:tcW w:w="1166" w:type="dxa"/>
            <w:shd w:val="clear" w:color="auto" w:fill="auto"/>
          </w:tcPr>
          <w:p w14:paraId="2F850BD7"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318" w:type="dxa"/>
            <w:shd w:val="clear" w:color="auto" w:fill="auto"/>
          </w:tcPr>
          <w:p w14:paraId="1E24112C"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348" w:type="dxa"/>
            <w:shd w:val="clear" w:color="auto" w:fill="auto"/>
          </w:tcPr>
          <w:p w14:paraId="68B38532"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324" w:type="dxa"/>
            <w:shd w:val="clear" w:color="auto" w:fill="auto"/>
          </w:tcPr>
          <w:p w14:paraId="4A09C28E"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r>
      <w:tr w:rsidR="005625B5" w:rsidRPr="005F6B59" w14:paraId="34A1B6EA" w14:textId="77777777" w:rsidTr="00FB354B">
        <w:tc>
          <w:tcPr>
            <w:tcW w:w="1895" w:type="dxa"/>
            <w:shd w:val="clear" w:color="auto" w:fill="auto"/>
          </w:tcPr>
          <w:p w14:paraId="19BA0861" w14:textId="77777777" w:rsidR="005625B5" w:rsidRPr="005F6B59" w:rsidRDefault="005625B5" w:rsidP="00FB354B">
            <w:pPr>
              <w:pStyle w:val="Corpsdetexte"/>
              <w:spacing w:before="0" w:line="276" w:lineRule="auto"/>
              <w:ind w:right="138"/>
              <w:jc w:val="left"/>
              <w:rPr>
                <w:rFonts w:ascii="Century Gothic" w:hAnsi="Century Gothic"/>
                <w:sz w:val="20"/>
                <w:szCs w:val="20"/>
              </w:rPr>
            </w:pPr>
            <w:r w:rsidRPr="005F6B59">
              <w:rPr>
                <w:rFonts w:ascii="Century Gothic" w:hAnsi="Century Gothic"/>
                <w:b/>
                <w:bCs/>
                <w:sz w:val="20"/>
                <w:szCs w:val="20"/>
              </w:rPr>
              <w:t>Savane boisée</w:t>
            </w:r>
          </w:p>
        </w:tc>
        <w:tc>
          <w:tcPr>
            <w:tcW w:w="1599" w:type="dxa"/>
            <w:shd w:val="clear" w:color="auto" w:fill="auto"/>
          </w:tcPr>
          <w:p w14:paraId="10E025EB"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146" w:type="dxa"/>
            <w:shd w:val="clear" w:color="auto" w:fill="auto"/>
          </w:tcPr>
          <w:p w14:paraId="021B5016"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8</w:t>
            </w:r>
          </w:p>
        </w:tc>
        <w:tc>
          <w:tcPr>
            <w:tcW w:w="1166" w:type="dxa"/>
            <w:shd w:val="clear" w:color="auto" w:fill="auto"/>
          </w:tcPr>
          <w:p w14:paraId="6CDC19CE"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318" w:type="dxa"/>
            <w:shd w:val="clear" w:color="auto" w:fill="auto"/>
          </w:tcPr>
          <w:p w14:paraId="52D6EE6C"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348" w:type="dxa"/>
            <w:shd w:val="clear" w:color="auto" w:fill="auto"/>
          </w:tcPr>
          <w:p w14:paraId="1A857616"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c>
          <w:tcPr>
            <w:tcW w:w="1324" w:type="dxa"/>
            <w:shd w:val="clear" w:color="auto" w:fill="auto"/>
          </w:tcPr>
          <w:p w14:paraId="0D0FDD19"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0</w:t>
            </w:r>
          </w:p>
        </w:tc>
      </w:tr>
      <w:tr w:rsidR="005625B5" w:rsidRPr="005F6B59" w14:paraId="1D39B9E5" w14:textId="77777777" w:rsidTr="00FB354B">
        <w:tc>
          <w:tcPr>
            <w:tcW w:w="1895" w:type="dxa"/>
            <w:shd w:val="clear" w:color="auto" w:fill="auto"/>
          </w:tcPr>
          <w:p w14:paraId="3AF2F6A4" w14:textId="77777777" w:rsidR="005625B5" w:rsidRPr="005F6B59" w:rsidRDefault="005625B5" w:rsidP="00FB354B">
            <w:pPr>
              <w:pStyle w:val="Corpsdetexte"/>
              <w:spacing w:before="0" w:line="276" w:lineRule="auto"/>
              <w:ind w:right="138"/>
              <w:jc w:val="left"/>
              <w:rPr>
                <w:rFonts w:ascii="Century Gothic" w:hAnsi="Century Gothic"/>
                <w:sz w:val="20"/>
                <w:szCs w:val="20"/>
              </w:rPr>
            </w:pPr>
            <w:r w:rsidRPr="005F6B59">
              <w:rPr>
                <w:rFonts w:ascii="Century Gothic" w:hAnsi="Century Gothic"/>
                <w:b/>
                <w:bCs/>
                <w:sz w:val="20"/>
                <w:szCs w:val="20"/>
              </w:rPr>
              <w:t>Forêt galerie/zone humide</w:t>
            </w:r>
          </w:p>
        </w:tc>
        <w:tc>
          <w:tcPr>
            <w:tcW w:w="1599" w:type="dxa"/>
            <w:shd w:val="clear" w:color="auto" w:fill="auto"/>
          </w:tcPr>
          <w:p w14:paraId="15ECBDEF"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839</w:t>
            </w:r>
          </w:p>
        </w:tc>
        <w:tc>
          <w:tcPr>
            <w:tcW w:w="1146" w:type="dxa"/>
            <w:shd w:val="clear" w:color="auto" w:fill="auto"/>
          </w:tcPr>
          <w:p w14:paraId="363F30D3"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15</w:t>
            </w:r>
          </w:p>
        </w:tc>
        <w:tc>
          <w:tcPr>
            <w:tcW w:w="1166" w:type="dxa"/>
            <w:shd w:val="clear" w:color="auto" w:fill="auto"/>
          </w:tcPr>
          <w:p w14:paraId="3140CE91"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56</w:t>
            </w:r>
          </w:p>
        </w:tc>
        <w:tc>
          <w:tcPr>
            <w:tcW w:w="1318" w:type="dxa"/>
            <w:shd w:val="clear" w:color="auto" w:fill="auto"/>
          </w:tcPr>
          <w:p w14:paraId="1E416832"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93</w:t>
            </w:r>
          </w:p>
        </w:tc>
        <w:tc>
          <w:tcPr>
            <w:tcW w:w="1348" w:type="dxa"/>
            <w:shd w:val="clear" w:color="auto" w:fill="auto"/>
          </w:tcPr>
          <w:p w14:paraId="4E46FFA2"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560</w:t>
            </w:r>
          </w:p>
        </w:tc>
        <w:tc>
          <w:tcPr>
            <w:tcW w:w="1324" w:type="dxa"/>
            <w:shd w:val="clear" w:color="auto" w:fill="auto"/>
          </w:tcPr>
          <w:p w14:paraId="14C9CFE8" w14:textId="77777777" w:rsidR="005625B5" w:rsidRPr="005F6B59" w:rsidRDefault="005625B5" w:rsidP="00FB354B">
            <w:pPr>
              <w:pStyle w:val="Corpsdetexte"/>
              <w:spacing w:before="0" w:line="276" w:lineRule="auto"/>
              <w:ind w:right="138"/>
              <w:jc w:val="center"/>
              <w:rPr>
                <w:rFonts w:ascii="Century Gothic" w:hAnsi="Century Gothic"/>
                <w:sz w:val="20"/>
                <w:szCs w:val="20"/>
              </w:rPr>
            </w:pPr>
            <w:r w:rsidRPr="005F6B59">
              <w:rPr>
                <w:rFonts w:ascii="Century Gothic" w:hAnsi="Century Gothic"/>
                <w:sz w:val="20"/>
                <w:szCs w:val="20"/>
              </w:rPr>
              <w:t>933</w:t>
            </w:r>
          </w:p>
        </w:tc>
      </w:tr>
      <w:tr w:rsidR="005625B5" w:rsidRPr="005F6B59" w14:paraId="0C222B99" w14:textId="77777777" w:rsidTr="00FB354B">
        <w:tc>
          <w:tcPr>
            <w:tcW w:w="1895" w:type="dxa"/>
            <w:shd w:val="clear" w:color="auto" w:fill="auto"/>
          </w:tcPr>
          <w:p w14:paraId="4A9D4C06"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 xml:space="preserve">Total </w:t>
            </w:r>
          </w:p>
        </w:tc>
        <w:tc>
          <w:tcPr>
            <w:tcW w:w="1599" w:type="dxa"/>
            <w:shd w:val="clear" w:color="auto" w:fill="auto"/>
          </w:tcPr>
          <w:p w14:paraId="0F7A671D"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839</w:t>
            </w:r>
          </w:p>
        </w:tc>
        <w:tc>
          <w:tcPr>
            <w:tcW w:w="1146" w:type="dxa"/>
            <w:shd w:val="clear" w:color="auto" w:fill="auto"/>
          </w:tcPr>
          <w:p w14:paraId="65D26A59"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p>
        </w:tc>
        <w:tc>
          <w:tcPr>
            <w:tcW w:w="1166" w:type="dxa"/>
            <w:shd w:val="clear" w:color="auto" w:fill="auto"/>
          </w:tcPr>
          <w:p w14:paraId="5446B59E"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56</w:t>
            </w:r>
          </w:p>
        </w:tc>
        <w:tc>
          <w:tcPr>
            <w:tcW w:w="1318" w:type="dxa"/>
            <w:shd w:val="clear" w:color="auto" w:fill="auto"/>
          </w:tcPr>
          <w:p w14:paraId="37B24DB5"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93</w:t>
            </w:r>
          </w:p>
        </w:tc>
        <w:tc>
          <w:tcPr>
            <w:tcW w:w="1348" w:type="dxa"/>
            <w:shd w:val="clear" w:color="auto" w:fill="auto"/>
          </w:tcPr>
          <w:p w14:paraId="4E5BF464"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560</w:t>
            </w:r>
          </w:p>
        </w:tc>
        <w:tc>
          <w:tcPr>
            <w:tcW w:w="1324" w:type="dxa"/>
            <w:shd w:val="clear" w:color="auto" w:fill="auto"/>
          </w:tcPr>
          <w:p w14:paraId="38BB7FCA" w14:textId="77777777" w:rsidR="005625B5" w:rsidRPr="005F6B59" w:rsidRDefault="005625B5" w:rsidP="00FB354B">
            <w:pPr>
              <w:pStyle w:val="Corpsdetexte"/>
              <w:spacing w:before="0" w:line="276" w:lineRule="auto"/>
              <w:ind w:right="138"/>
              <w:jc w:val="center"/>
              <w:rPr>
                <w:rFonts w:ascii="Century Gothic" w:hAnsi="Century Gothic"/>
                <w:b/>
                <w:bCs/>
                <w:sz w:val="20"/>
                <w:szCs w:val="20"/>
              </w:rPr>
            </w:pPr>
            <w:r w:rsidRPr="005F6B59">
              <w:rPr>
                <w:rFonts w:ascii="Century Gothic" w:hAnsi="Century Gothic"/>
                <w:b/>
                <w:bCs/>
                <w:sz w:val="20"/>
                <w:szCs w:val="20"/>
              </w:rPr>
              <w:t>933</w:t>
            </w:r>
          </w:p>
        </w:tc>
      </w:tr>
    </w:tbl>
    <w:p w14:paraId="15EF3D70" w14:textId="77777777" w:rsidR="005625B5" w:rsidRPr="006A012D" w:rsidRDefault="005625B5" w:rsidP="005625B5">
      <w:pPr>
        <w:pStyle w:val="Corpsdetexte"/>
        <w:spacing w:before="0" w:line="276" w:lineRule="auto"/>
        <w:ind w:right="138"/>
        <w:jc w:val="right"/>
        <w:rPr>
          <w:rFonts w:ascii="Century Gothic" w:hAnsi="Century Gothic"/>
          <w:b/>
          <w:bCs/>
          <w:sz w:val="20"/>
          <w:szCs w:val="20"/>
        </w:rPr>
      </w:pPr>
      <w:r w:rsidRPr="006A012D">
        <w:rPr>
          <w:rFonts w:ascii="Century Gothic" w:hAnsi="Century Gothic"/>
          <w:b/>
          <w:bCs/>
          <w:sz w:val="20"/>
          <w:szCs w:val="20"/>
        </w:rPr>
        <w:t>Source : ProGRN, 2009</w:t>
      </w:r>
    </w:p>
    <w:p w14:paraId="1614B5A6"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val="wo-SN" w:eastAsia="wo-SN"/>
        </w:rPr>
      </w:pPr>
    </w:p>
    <w:p w14:paraId="3389717B" w14:textId="77777777" w:rsidR="005625B5" w:rsidRPr="0023295A" w:rsidRDefault="005625B5" w:rsidP="005625B5">
      <w:pPr>
        <w:tabs>
          <w:tab w:val="left" w:pos="426"/>
        </w:tabs>
        <w:spacing w:after="0" w:line="276" w:lineRule="auto"/>
        <w:jc w:val="both"/>
        <w:rPr>
          <w:rFonts w:ascii="Century Gothic" w:eastAsia="Times New Roman" w:hAnsi="Century Gothic" w:cs="Times New Roman"/>
          <w:b/>
          <w:bCs/>
          <w:sz w:val="24"/>
          <w:szCs w:val="24"/>
          <w:lang w:val="wo-SN" w:eastAsia="wo-SN"/>
        </w:rPr>
      </w:pPr>
      <w:r>
        <w:rPr>
          <w:rFonts w:ascii="Century Gothic" w:eastAsia="Times New Roman" w:hAnsi="Century Gothic" w:cs="Times New Roman"/>
          <w:b/>
          <w:bCs/>
          <w:sz w:val="24"/>
          <w:szCs w:val="24"/>
          <w:lang w:val="wo-SN" w:eastAsia="wo-SN"/>
        </w:rPr>
        <w:t xml:space="preserve">Les disposition du Code forestier : </w:t>
      </w:r>
    </w:p>
    <w:p w14:paraId="3AD33CCC" w14:textId="77777777" w:rsidR="005625B5" w:rsidRDefault="005625B5" w:rsidP="005625B5">
      <w:pPr>
        <w:pStyle w:val="Corpsdetexte"/>
        <w:spacing w:before="0" w:line="276" w:lineRule="auto"/>
        <w:ind w:right="141"/>
        <w:rPr>
          <w:rFonts w:ascii="Century Gothic" w:hAnsi="Century Gothic"/>
        </w:rPr>
      </w:pPr>
    </w:p>
    <w:p w14:paraId="54D03207" w14:textId="77777777" w:rsidR="005625B5" w:rsidRDefault="005625B5" w:rsidP="005625B5">
      <w:pPr>
        <w:pStyle w:val="Corpsdetexte"/>
        <w:numPr>
          <w:ilvl w:val="0"/>
          <w:numId w:val="70"/>
        </w:numPr>
        <w:spacing w:before="0" w:line="276" w:lineRule="auto"/>
        <w:ind w:right="141"/>
        <w:rPr>
          <w:rFonts w:ascii="Century Gothic" w:hAnsi="Century Gothic"/>
          <w:spacing w:val="-2"/>
        </w:rPr>
      </w:pPr>
      <w:r w:rsidRPr="0023295A">
        <w:rPr>
          <w:rFonts w:ascii="Century Gothic" w:hAnsi="Century Gothic"/>
        </w:rPr>
        <w:t>A l’exception du domaine forestier classé de l’Etat, l’exercice des droits d’exploitation des forêts et</w:t>
      </w:r>
      <w:r w:rsidRPr="0023295A">
        <w:rPr>
          <w:rFonts w:ascii="Century Gothic" w:hAnsi="Century Gothic"/>
          <w:spacing w:val="40"/>
        </w:rPr>
        <w:t xml:space="preserve"> </w:t>
      </w:r>
      <w:r w:rsidRPr="0023295A">
        <w:rPr>
          <w:rFonts w:ascii="Century Gothic" w:hAnsi="Century Gothic"/>
        </w:rPr>
        <w:t>des terres à vocation forestière peut être transféré aux collectivités locales qui peuvent déléguer, sur la base d'une convention locale, la gestion à des particuliers notamment les associations de gestion des ressources naturelles qui, en conséquence, disposent de tout ou en partie des revenus issus de</w:t>
      </w:r>
      <w:r w:rsidRPr="0023295A">
        <w:rPr>
          <w:rFonts w:ascii="Century Gothic" w:hAnsi="Century Gothic"/>
          <w:spacing w:val="80"/>
        </w:rPr>
        <w:t xml:space="preserve"> </w:t>
      </w:r>
      <w:r w:rsidRPr="0023295A">
        <w:rPr>
          <w:rFonts w:ascii="Century Gothic" w:hAnsi="Century Gothic"/>
        </w:rPr>
        <w:t>l'exercice de ces droits</w:t>
      </w:r>
      <w:r>
        <w:rPr>
          <w:rFonts w:ascii="Century Gothic" w:hAnsi="Century Gothic"/>
        </w:rPr>
        <w:t xml:space="preserve"> </w:t>
      </w:r>
      <w:r w:rsidRPr="0023295A">
        <w:rPr>
          <w:rFonts w:ascii="Century Gothic" w:hAnsi="Century Gothic"/>
        </w:rPr>
        <w:t>(Article 11 du Code Forestier).</w:t>
      </w:r>
      <w:r w:rsidRPr="0023295A">
        <w:rPr>
          <w:rFonts w:ascii="Century Gothic" w:hAnsi="Century Gothic"/>
          <w:spacing w:val="-2"/>
        </w:rPr>
        <w:t xml:space="preserve"> </w:t>
      </w:r>
    </w:p>
    <w:p w14:paraId="521C212A" w14:textId="77777777" w:rsidR="005625B5" w:rsidRPr="004B5BC0" w:rsidRDefault="005625B5" w:rsidP="005625B5">
      <w:pPr>
        <w:pStyle w:val="Corpsdetexte"/>
        <w:numPr>
          <w:ilvl w:val="0"/>
          <w:numId w:val="70"/>
        </w:numPr>
        <w:spacing w:before="0" w:line="276" w:lineRule="auto"/>
        <w:ind w:right="141"/>
        <w:rPr>
          <w:rFonts w:ascii="Century Gothic" w:hAnsi="Century Gothic"/>
          <w:spacing w:val="-2"/>
        </w:rPr>
      </w:pPr>
      <w:r w:rsidRPr="004B5BC0">
        <w:rPr>
          <w:rFonts w:ascii="Century Gothic" w:hAnsi="Century Gothic"/>
        </w:rPr>
        <w:t>L'exercice des compétences que l'Etat transfère sur les forêts et terres à vocation forestière du domaine national aux collectivités locales, ainsi que les obligations qui en découlent pour celles-ci, sont précisés, pour chaque collectivité locale concernée, dans le plan d'aménagement simplifié et le plan de gestion approuvés par le Wali territorialement compétent après avis du chef de Service Régional chargé des forêts et du conseil municipal concerné (Article 13).</w:t>
      </w:r>
    </w:p>
    <w:p w14:paraId="1C31344F" w14:textId="77777777" w:rsidR="005625B5" w:rsidRDefault="005625B5" w:rsidP="005625B5">
      <w:pPr>
        <w:pStyle w:val="Corpsdetexte"/>
        <w:spacing w:before="0" w:line="276" w:lineRule="auto"/>
        <w:ind w:right="141"/>
        <w:rPr>
          <w:rFonts w:ascii="Century Gothic" w:hAnsi="Century Gothic"/>
        </w:rPr>
      </w:pPr>
    </w:p>
    <w:p w14:paraId="26B06B54" w14:textId="77777777" w:rsidR="005625B5" w:rsidRPr="004B5BC0" w:rsidRDefault="005625B5" w:rsidP="005625B5">
      <w:pPr>
        <w:pStyle w:val="Corpsdetexte"/>
        <w:spacing w:before="0" w:line="276" w:lineRule="auto"/>
        <w:ind w:right="141"/>
        <w:rPr>
          <w:rFonts w:ascii="Century Gothic" w:hAnsi="Century Gothic"/>
          <w:b/>
          <w:bCs/>
        </w:rPr>
      </w:pPr>
      <w:r w:rsidRPr="004B5BC0">
        <w:rPr>
          <w:rFonts w:ascii="Century Gothic" w:hAnsi="Century Gothic"/>
          <w:b/>
          <w:bCs/>
        </w:rPr>
        <w:t xml:space="preserve">Le comité de gestion (CG) et le Groupement des exploitants de bois (GEB) : </w:t>
      </w:r>
    </w:p>
    <w:p w14:paraId="59124AEF" w14:textId="77777777" w:rsidR="005625B5" w:rsidRPr="0023295A" w:rsidRDefault="005625B5" w:rsidP="005625B5">
      <w:pPr>
        <w:pStyle w:val="Corpsdetexte"/>
        <w:spacing w:before="0" w:line="276" w:lineRule="auto"/>
        <w:ind w:right="141"/>
        <w:rPr>
          <w:rFonts w:ascii="Century Gothic" w:hAnsi="Century Gothic"/>
        </w:rPr>
      </w:pPr>
    </w:p>
    <w:p w14:paraId="2DD18F5D" w14:textId="77777777" w:rsidR="005625B5" w:rsidRDefault="005625B5" w:rsidP="005625B5">
      <w:pPr>
        <w:pStyle w:val="Corpsdetexte"/>
        <w:numPr>
          <w:ilvl w:val="0"/>
          <w:numId w:val="69"/>
        </w:numPr>
        <w:spacing w:before="0" w:line="276" w:lineRule="auto"/>
        <w:ind w:right="142"/>
        <w:rPr>
          <w:rFonts w:ascii="Century Gothic" w:hAnsi="Century Gothic"/>
          <w:spacing w:val="-2"/>
        </w:rPr>
      </w:pPr>
      <w:r w:rsidRPr="0023295A">
        <w:rPr>
          <w:rFonts w:ascii="Century Gothic" w:hAnsi="Century Gothic"/>
        </w:rPr>
        <w:t>Le Comité de Gestion (CG) est constitué de deux représentants des exploitants, des chefs des villages riverains</w:t>
      </w:r>
      <w:r w:rsidRPr="0023295A">
        <w:rPr>
          <w:rFonts w:ascii="Century Gothic" w:hAnsi="Century Gothic"/>
          <w:spacing w:val="-4"/>
        </w:rPr>
        <w:t xml:space="preserve"> </w:t>
      </w:r>
      <w:r w:rsidRPr="0023295A">
        <w:rPr>
          <w:rFonts w:ascii="Century Gothic" w:hAnsi="Century Gothic"/>
        </w:rPr>
        <w:t>de</w:t>
      </w:r>
      <w:r w:rsidRPr="0023295A">
        <w:rPr>
          <w:rFonts w:ascii="Century Gothic" w:hAnsi="Century Gothic"/>
          <w:spacing w:val="-2"/>
        </w:rPr>
        <w:t xml:space="preserve"> </w:t>
      </w:r>
      <w:r w:rsidRPr="0023295A">
        <w:rPr>
          <w:rFonts w:ascii="Century Gothic" w:hAnsi="Century Gothic"/>
        </w:rPr>
        <w:t>la</w:t>
      </w:r>
      <w:r w:rsidRPr="0023295A">
        <w:rPr>
          <w:rFonts w:ascii="Century Gothic" w:hAnsi="Century Gothic"/>
          <w:spacing w:val="-2"/>
        </w:rPr>
        <w:t xml:space="preserve"> </w:t>
      </w:r>
      <w:r w:rsidRPr="0023295A">
        <w:rPr>
          <w:rFonts w:ascii="Century Gothic" w:hAnsi="Century Gothic"/>
        </w:rPr>
        <w:t>forêt</w:t>
      </w:r>
      <w:r w:rsidRPr="0023295A">
        <w:rPr>
          <w:rFonts w:ascii="Century Gothic" w:hAnsi="Century Gothic"/>
          <w:spacing w:val="-2"/>
        </w:rPr>
        <w:t xml:space="preserve"> </w:t>
      </w:r>
      <w:r w:rsidRPr="0023295A">
        <w:rPr>
          <w:rFonts w:ascii="Century Gothic" w:hAnsi="Century Gothic"/>
        </w:rPr>
        <w:t>concernée</w:t>
      </w:r>
      <w:r w:rsidRPr="0023295A">
        <w:rPr>
          <w:rFonts w:ascii="Century Gothic" w:hAnsi="Century Gothic"/>
          <w:spacing w:val="-2"/>
        </w:rPr>
        <w:t xml:space="preserve"> </w:t>
      </w:r>
      <w:r w:rsidRPr="0023295A">
        <w:rPr>
          <w:rFonts w:ascii="Century Gothic" w:hAnsi="Century Gothic"/>
        </w:rPr>
        <w:t>par</w:t>
      </w:r>
      <w:r w:rsidRPr="0023295A">
        <w:rPr>
          <w:rFonts w:ascii="Century Gothic" w:hAnsi="Century Gothic"/>
          <w:spacing w:val="-2"/>
        </w:rPr>
        <w:t xml:space="preserve"> </w:t>
      </w:r>
      <w:r w:rsidRPr="0023295A">
        <w:rPr>
          <w:rFonts w:ascii="Century Gothic" w:hAnsi="Century Gothic"/>
        </w:rPr>
        <w:t>le</w:t>
      </w:r>
      <w:r w:rsidRPr="0023295A">
        <w:rPr>
          <w:rFonts w:ascii="Century Gothic" w:hAnsi="Century Gothic"/>
          <w:spacing w:val="-2"/>
        </w:rPr>
        <w:t xml:space="preserve"> </w:t>
      </w:r>
      <w:r w:rsidRPr="0023295A">
        <w:rPr>
          <w:rFonts w:ascii="Century Gothic" w:hAnsi="Century Gothic"/>
        </w:rPr>
        <w:t>plan</w:t>
      </w:r>
      <w:r w:rsidRPr="0023295A">
        <w:rPr>
          <w:rFonts w:ascii="Century Gothic" w:hAnsi="Century Gothic"/>
          <w:spacing w:val="-2"/>
        </w:rPr>
        <w:t xml:space="preserve"> </w:t>
      </w:r>
      <w:r w:rsidRPr="0023295A">
        <w:rPr>
          <w:rFonts w:ascii="Century Gothic" w:hAnsi="Century Gothic"/>
        </w:rPr>
        <w:t>d’aménagement</w:t>
      </w:r>
      <w:r w:rsidRPr="0023295A">
        <w:rPr>
          <w:rFonts w:ascii="Century Gothic" w:hAnsi="Century Gothic"/>
          <w:spacing w:val="-2"/>
        </w:rPr>
        <w:t xml:space="preserve"> </w:t>
      </w:r>
      <w:r w:rsidRPr="0023295A">
        <w:rPr>
          <w:rFonts w:ascii="Century Gothic" w:hAnsi="Century Gothic"/>
        </w:rPr>
        <w:t>ainsi</w:t>
      </w:r>
      <w:r w:rsidRPr="0023295A">
        <w:rPr>
          <w:rFonts w:ascii="Century Gothic" w:hAnsi="Century Gothic"/>
          <w:spacing w:val="-2"/>
        </w:rPr>
        <w:t xml:space="preserve"> </w:t>
      </w:r>
      <w:r w:rsidRPr="0023295A">
        <w:rPr>
          <w:rFonts w:ascii="Century Gothic" w:hAnsi="Century Gothic"/>
        </w:rPr>
        <w:t>que</w:t>
      </w:r>
      <w:r w:rsidRPr="0023295A">
        <w:rPr>
          <w:rFonts w:ascii="Century Gothic" w:hAnsi="Century Gothic"/>
          <w:spacing w:val="-4"/>
        </w:rPr>
        <w:t xml:space="preserve"> </w:t>
      </w:r>
      <w:r w:rsidRPr="0023295A">
        <w:rPr>
          <w:rFonts w:ascii="Century Gothic" w:hAnsi="Century Gothic"/>
        </w:rPr>
        <w:t>du</w:t>
      </w:r>
      <w:r w:rsidRPr="0023295A">
        <w:rPr>
          <w:rFonts w:ascii="Century Gothic" w:hAnsi="Century Gothic"/>
          <w:spacing w:val="-2"/>
        </w:rPr>
        <w:t xml:space="preserve"> </w:t>
      </w:r>
      <w:r w:rsidRPr="0023295A">
        <w:rPr>
          <w:rFonts w:ascii="Century Gothic" w:hAnsi="Century Gothic"/>
        </w:rPr>
        <w:t>membre</w:t>
      </w:r>
      <w:r w:rsidRPr="0023295A">
        <w:rPr>
          <w:rFonts w:ascii="Century Gothic" w:hAnsi="Century Gothic"/>
          <w:spacing w:val="-2"/>
        </w:rPr>
        <w:t xml:space="preserve"> </w:t>
      </w:r>
      <w:r w:rsidRPr="0023295A">
        <w:rPr>
          <w:rFonts w:ascii="Century Gothic" w:hAnsi="Century Gothic"/>
        </w:rPr>
        <w:t>du</w:t>
      </w:r>
      <w:r w:rsidRPr="0023295A">
        <w:rPr>
          <w:rFonts w:ascii="Century Gothic" w:hAnsi="Century Gothic"/>
          <w:spacing w:val="-2"/>
        </w:rPr>
        <w:t xml:space="preserve"> </w:t>
      </w:r>
      <w:r w:rsidRPr="0023295A">
        <w:rPr>
          <w:rFonts w:ascii="Century Gothic" w:hAnsi="Century Gothic"/>
        </w:rPr>
        <w:t>Bureau</w:t>
      </w:r>
      <w:r w:rsidRPr="0023295A">
        <w:rPr>
          <w:rFonts w:ascii="Century Gothic" w:hAnsi="Century Gothic"/>
          <w:spacing w:val="-2"/>
        </w:rPr>
        <w:t xml:space="preserve"> </w:t>
      </w:r>
      <w:r w:rsidRPr="0023295A">
        <w:rPr>
          <w:rFonts w:ascii="Century Gothic" w:hAnsi="Century Gothic"/>
        </w:rPr>
        <w:t>de</w:t>
      </w:r>
      <w:r w:rsidRPr="0023295A">
        <w:rPr>
          <w:rFonts w:ascii="Century Gothic" w:hAnsi="Century Gothic"/>
          <w:spacing w:val="-4"/>
        </w:rPr>
        <w:t xml:space="preserve"> </w:t>
      </w:r>
      <w:r w:rsidRPr="0023295A">
        <w:rPr>
          <w:rFonts w:ascii="Century Gothic" w:hAnsi="Century Gothic"/>
        </w:rPr>
        <w:t xml:space="preserve">l’AGLC, responsable de l’aménagement. Ce comité est appuyé par un représentant du Service Régional de l’Environnement (SRE). Le CG est chargé d’assurer l’organisation et la coordination des travaux </w:t>
      </w:r>
      <w:r w:rsidRPr="0023295A">
        <w:rPr>
          <w:rFonts w:ascii="Century Gothic" w:hAnsi="Century Gothic"/>
          <w:spacing w:val="-2"/>
        </w:rPr>
        <w:t>annuels.</w:t>
      </w:r>
    </w:p>
    <w:p w14:paraId="5B75A2C6" w14:textId="77777777" w:rsidR="005625B5" w:rsidRPr="004B5BC0" w:rsidRDefault="005625B5" w:rsidP="005625B5">
      <w:pPr>
        <w:pStyle w:val="Corpsdetexte"/>
        <w:numPr>
          <w:ilvl w:val="0"/>
          <w:numId w:val="69"/>
        </w:numPr>
        <w:spacing w:before="0" w:line="276" w:lineRule="auto"/>
        <w:ind w:right="142"/>
        <w:rPr>
          <w:rFonts w:ascii="Century Gothic" w:hAnsi="Century Gothic"/>
          <w:spacing w:val="-2"/>
        </w:rPr>
      </w:pPr>
      <w:r w:rsidRPr="004B5BC0">
        <w:rPr>
          <w:rFonts w:ascii="Century Gothic" w:hAnsi="Century Gothic"/>
        </w:rPr>
        <w:t>Le Groupement des Exploitants de Bois (GEB) est composé des exploitants membres de l’AGLC. Les non-résidents ne peuvent pas être membres du GEB. Les membres respectent les modalités et les</w:t>
      </w:r>
      <w:r w:rsidRPr="004B5BC0">
        <w:rPr>
          <w:rFonts w:ascii="Century Gothic" w:hAnsi="Century Gothic"/>
          <w:spacing w:val="40"/>
        </w:rPr>
        <w:t xml:space="preserve"> </w:t>
      </w:r>
      <w:r w:rsidRPr="004B5BC0">
        <w:rPr>
          <w:rFonts w:ascii="Century Gothic" w:hAnsi="Century Gothic"/>
        </w:rPr>
        <w:t xml:space="preserve">règles de gestion. Toute violation de ces règles et modalités par un membre du GEB amène à son </w:t>
      </w:r>
      <w:r w:rsidRPr="004B5BC0">
        <w:rPr>
          <w:rFonts w:ascii="Century Gothic" w:hAnsi="Century Gothic"/>
          <w:spacing w:val="-2"/>
        </w:rPr>
        <w:t>exclusion.</w:t>
      </w:r>
    </w:p>
    <w:p w14:paraId="4AF2646A" w14:textId="77777777" w:rsidR="005625B5" w:rsidRPr="0023295A" w:rsidRDefault="005625B5" w:rsidP="005625B5">
      <w:pPr>
        <w:pStyle w:val="Corpsdetexte"/>
        <w:spacing w:before="0" w:line="276" w:lineRule="auto"/>
        <w:ind w:right="141"/>
        <w:rPr>
          <w:rFonts w:ascii="Century Gothic" w:hAnsi="Century Gothic"/>
        </w:rPr>
      </w:pPr>
    </w:p>
    <w:p w14:paraId="50031238"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val="wo-SN" w:eastAsia="wo-SN"/>
        </w:rPr>
      </w:pPr>
      <w:r>
        <w:rPr>
          <w:rFonts w:ascii="Century Gothic" w:eastAsia="Times New Roman" w:hAnsi="Century Gothic" w:cs="Times New Roman"/>
          <w:b/>
          <w:bCs/>
          <w:sz w:val="24"/>
          <w:szCs w:val="24"/>
          <w:lang w:val="wo-SN" w:eastAsia="wo-SN"/>
        </w:rPr>
        <w:t xml:space="preserve">Modlités d’exploitation : </w:t>
      </w:r>
    </w:p>
    <w:p w14:paraId="20DED4C6" w14:textId="77777777" w:rsidR="005625B5" w:rsidRDefault="005625B5" w:rsidP="005625B5">
      <w:pPr>
        <w:pStyle w:val="Corpsdetexte"/>
        <w:spacing w:before="0" w:line="276" w:lineRule="auto"/>
        <w:ind w:right="141"/>
        <w:rPr>
          <w:rFonts w:ascii="Century Gothic" w:hAnsi="Century Gothic"/>
        </w:rPr>
      </w:pPr>
    </w:p>
    <w:p w14:paraId="1F956F06" w14:textId="77777777" w:rsidR="005625B5" w:rsidRDefault="005625B5" w:rsidP="005625B5">
      <w:pPr>
        <w:pStyle w:val="Corpsdetexte"/>
        <w:numPr>
          <w:ilvl w:val="0"/>
          <w:numId w:val="71"/>
        </w:numPr>
        <w:spacing w:before="0" w:line="276" w:lineRule="auto"/>
        <w:ind w:right="141"/>
        <w:rPr>
          <w:rFonts w:ascii="Century Gothic" w:hAnsi="Century Gothic"/>
        </w:rPr>
      </w:pPr>
      <w:r w:rsidRPr="0077562E">
        <w:rPr>
          <w:rFonts w:ascii="Century Gothic" w:hAnsi="Century Gothic"/>
        </w:rPr>
        <w:t xml:space="preserve">Toute exploitation de bois mort et de bois vert à l’intérieur de la forêt nécessite l’achat d’un ticket de prélèvement de bois. Sur le ticket doivent être indiqués son prix, la quantité de bois à prélever, le lieu d’exploitation ainsi que la durée de validité du ticket. </w:t>
      </w:r>
    </w:p>
    <w:p w14:paraId="42D0EA68" w14:textId="77777777" w:rsidR="005625B5" w:rsidRDefault="005625B5" w:rsidP="005625B5">
      <w:pPr>
        <w:pStyle w:val="Corpsdetexte"/>
        <w:numPr>
          <w:ilvl w:val="0"/>
          <w:numId w:val="71"/>
        </w:numPr>
        <w:spacing w:before="0" w:line="276" w:lineRule="auto"/>
        <w:ind w:right="141"/>
        <w:rPr>
          <w:rFonts w:ascii="Century Gothic" w:hAnsi="Century Gothic"/>
        </w:rPr>
      </w:pPr>
      <w:r w:rsidRPr="0077562E">
        <w:rPr>
          <w:rFonts w:ascii="Century Gothic" w:hAnsi="Century Gothic"/>
        </w:rPr>
        <w:t>Le ticket est délivré par le(s) surveillant(s) responsable(s) de la forêt concernée par le plan d’aménagement. Le prix du ticket de prélèvement de bois est fixé par le Bureau de l’AGLC. Seuls les membres du GEB ont le droit de recevoir des tickets de prélèvement de bois.</w:t>
      </w:r>
    </w:p>
    <w:p w14:paraId="63BD7E95" w14:textId="77777777" w:rsidR="005625B5" w:rsidRDefault="005625B5" w:rsidP="005625B5">
      <w:pPr>
        <w:pStyle w:val="Corpsdetexte"/>
        <w:numPr>
          <w:ilvl w:val="0"/>
          <w:numId w:val="71"/>
        </w:numPr>
        <w:spacing w:before="0" w:line="276" w:lineRule="auto"/>
        <w:ind w:right="141"/>
        <w:rPr>
          <w:rFonts w:ascii="Century Gothic" w:hAnsi="Century Gothic"/>
        </w:rPr>
      </w:pPr>
      <w:r w:rsidRPr="0077562E">
        <w:rPr>
          <w:rFonts w:ascii="Century Gothic" w:hAnsi="Century Gothic"/>
        </w:rPr>
        <w:t xml:space="preserve">Le nombre de tickets de prélèvement de bois vert est limité. La quantité de ces tickets dépend de la quantité totale de bois vert exploitable pour la durée du plan d’aménagement (somme des quotas annuels de prélèvement de bois vert). </w:t>
      </w:r>
    </w:p>
    <w:p w14:paraId="77ADFC0F" w14:textId="77777777" w:rsidR="005625B5" w:rsidRDefault="005625B5" w:rsidP="005625B5">
      <w:pPr>
        <w:pStyle w:val="Corpsdetexte"/>
        <w:numPr>
          <w:ilvl w:val="0"/>
          <w:numId w:val="71"/>
        </w:numPr>
        <w:spacing w:before="0" w:line="276" w:lineRule="auto"/>
        <w:ind w:right="141"/>
        <w:rPr>
          <w:rFonts w:ascii="Century Gothic" w:hAnsi="Century Gothic"/>
        </w:rPr>
      </w:pPr>
      <w:r w:rsidRPr="0077562E">
        <w:rPr>
          <w:rFonts w:ascii="Century Gothic" w:hAnsi="Century Gothic"/>
        </w:rPr>
        <w:t xml:space="preserve">Ce volume de bois exploitable est réparti de manière égale entre les membres du GEB (division du volume exploitable par le nombre d’exploitants). La quote-part de chaque membre du GEB est fixée par l’AGLC après avis du GEB et du CG. </w:t>
      </w:r>
    </w:p>
    <w:p w14:paraId="68ABB4CC" w14:textId="77777777" w:rsidR="005625B5" w:rsidRDefault="005625B5" w:rsidP="005625B5">
      <w:pPr>
        <w:pStyle w:val="Corpsdetexte"/>
        <w:numPr>
          <w:ilvl w:val="0"/>
          <w:numId w:val="71"/>
        </w:numPr>
        <w:spacing w:before="0" w:line="276" w:lineRule="auto"/>
        <w:ind w:right="141"/>
        <w:rPr>
          <w:rFonts w:ascii="Century Gothic" w:hAnsi="Century Gothic"/>
        </w:rPr>
      </w:pPr>
      <w:r w:rsidRPr="0077562E">
        <w:rPr>
          <w:rFonts w:ascii="Century Gothic" w:hAnsi="Century Gothic"/>
        </w:rPr>
        <w:t>Chaque membre du GEB peut donc recevoir un nombre limité de tickets qui lui donne le droit d’exploiter un volume de bois</w:t>
      </w:r>
      <w:r w:rsidRPr="0077562E">
        <w:rPr>
          <w:rFonts w:ascii="Century Gothic" w:hAnsi="Century Gothic"/>
          <w:spacing w:val="40"/>
        </w:rPr>
        <w:t xml:space="preserve"> </w:t>
      </w:r>
      <w:r w:rsidRPr="0077562E">
        <w:rPr>
          <w:rFonts w:ascii="Century Gothic" w:hAnsi="Century Gothic"/>
        </w:rPr>
        <w:t>vert correspondant au maximum à sa quote-part. La vente du droit d’achat des tickets de prélèvement de bois vert à d’autres membres du GEB est autorisée.</w:t>
      </w:r>
    </w:p>
    <w:p w14:paraId="1E43DEF0" w14:textId="77777777" w:rsidR="005625B5" w:rsidRDefault="005625B5" w:rsidP="005625B5">
      <w:pPr>
        <w:pStyle w:val="Corpsdetexte"/>
        <w:numPr>
          <w:ilvl w:val="0"/>
          <w:numId w:val="71"/>
        </w:numPr>
        <w:spacing w:before="0" w:line="276" w:lineRule="auto"/>
        <w:ind w:right="141"/>
        <w:rPr>
          <w:rFonts w:ascii="Century Gothic" w:hAnsi="Century Gothic"/>
        </w:rPr>
      </w:pPr>
      <w:r w:rsidRPr="0077562E">
        <w:rPr>
          <w:rFonts w:ascii="Century Gothic" w:hAnsi="Century Gothic"/>
        </w:rPr>
        <w:t>La délivrance de tickets de prélèvement de bois mort n’est généralement pas limitée (en nombre et en volume). Cependant, le CG peut limiter le nombre de tickets de prélèvement de bois mort.</w:t>
      </w:r>
    </w:p>
    <w:p w14:paraId="2CCC5516" w14:textId="77777777" w:rsidR="005625B5" w:rsidRPr="0077562E" w:rsidRDefault="005625B5" w:rsidP="005625B5">
      <w:pPr>
        <w:pStyle w:val="Corpsdetexte"/>
        <w:numPr>
          <w:ilvl w:val="0"/>
          <w:numId w:val="71"/>
        </w:numPr>
        <w:spacing w:before="0" w:line="276" w:lineRule="auto"/>
        <w:ind w:right="141"/>
        <w:rPr>
          <w:rFonts w:ascii="Century Gothic" w:hAnsi="Century Gothic"/>
        </w:rPr>
      </w:pPr>
      <w:r w:rsidRPr="0077562E">
        <w:rPr>
          <w:rFonts w:ascii="Century Gothic" w:hAnsi="Century Gothic"/>
        </w:rPr>
        <w:t>La récolte des produits forestiers non-lieux est autorisée pour tous les résidents de l’espace GLC et ne nécessite pas la délivrance d’un ticket de prélèvement. Aucune espèce n’est concernée par des règles de gestion spécifiques.</w:t>
      </w:r>
    </w:p>
    <w:p w14:paraId="35E8F3CD" w14:textId="77777777" w:rsidR="005625B5" w:rsidRPr="0077562E" w:rsidRDefault="005625B5" w:rsidP="005625B5">
      <w:pPr>
        <w:pStyle w:val="Corpsdetexte"/>
        <w:spacing w:before="0" w:line="276" w:lineRule="auto"/>
        <w:ind w:left="141" w:right="146"/>
        <w:rPr>
          <w:rFonts w:ascii="Century Gothic" w:hAnsi="Century Gothic"/>
        </w:rPr>
      </w:pPr>
    </w:p>
    <w:p w14:paraId="44DDCBE6" w14:textId="77777777" w:rsidR="005625B5" w:rsidRPr="0077562E" w:rsidRDefault="005625B5" w:rsidP="005625B5">
      <w:pPr>
        <w:pStyle w:val="Corpsdetexte"/>
        <w:spacing w:before="0" w:line="276" w:lineRule="auto"/>
        <w:ind w:right="139"/>
        <w:rPr>
          <w:rFonts w:ascii="Century Gothic" w:hAnsi="Century Gothic"/>
          <w:b/>
          <w:bCs/>
        </w:rPr>
      </w:pPr>
      <w:r w:rsidRPr="0077562E">
        <w:rPr>
          <w:rFonts w:ascii="Century Gothic" w:hAnsi="Century Gothic"/>
          <w:b/>
          <w:bCs/>
        </w:rPr>
        <w:t xml:space="preserve">L’unité de gestion : </w:t>
      </w:r>
    </w:p>
    <w:p w14:paraId="0BE41AE3" w14:textId="77777777" w:rsidR="005625B5" w:rsidRPr="00D2689A" w:rsidRDefault="005625B5" w:rsidP="005625B5">
      <w:pPr>
        <w:pStyle w:val="Corpsdetexte"/>
        <w:spacing w:before="0" w:line="276" w:lineRule="auto"/>
        <w:ind w:right="139"/>
        <w:rPr>
          <w:rFonts w:ascii="Century Gothic" w:hAnsi="Century Gothic"/>
          <w:sz w:val="8"/>
          <w:szCs w:val="8"/>
        </w:rPr>
      </w:pPr>
    </w:p>
    <w:p w14:paraId="48E83242" w14:textId="77777777" w:rsidR="005625B5" w:rsidRPr="0077562E" w:rsidRDefault="005625B5" w:rsidP="005625B5">
      <w:pPr>
        <w:pStyle w:val="Corpsdetexte"/>
        <w:spacing w:before="0" w:line="276" w:lineRule="auto"/>
        <w:ind w:right="139"/>
        <w:rPr>
          <w:rFonts w:ascii="Century Gothic" w:hAnsi="Century Gothic"/>
        </w:rPr>
      </w:pPr>
      <w:r w:rsidRPr="0077562E">
        <w:rPr>
          <w:rFonts w:ascii="Century Gothic" w:hAnsi="Century Gothic"/>
        </w:rPr>
        <w:t>La forêt demeure l’unité principale de gestion. Elle est subdivisée en parcelles matérialisées sur le terrain avec de la peinture par le CG. La superficie des parcelles correspond à la superficie totale de la forêt concernée par le plan d’aménagement divisé par la durée de celui-ci. Chaque année le CG</w:t>
      </w:r>
      <w:r w:rsidRPr="0077562E">
        <w:rPr>
          <w:rFonts w:ascii="Century Gothic" w:hAnsi="Century Gothic"/>
          <w:spacing w:val="80"/>
        </w:rPr>
        <w:t xml:space="preserve"> </w:t>
      </w:r>
      <w:r w:rsidRPr="0077562E">
        <w:rPr>
          <w:rFonts w:ascii="Century Gothic" w:hAnsi="Century Gothic"/>
        </w:rPr>
        <w:t>choisit, en respect du plan de gestion, une parcelle de la forêt pour laquelle l’exploitation du bois vert sera autorisée (chantiers annuels). Ces chantiers annuels sont délimités avant l’ouverture de la période d’exploitation. Le CG assure la bonne organisation des travaux au niveau des chantiers annuels. Le surveillant, responsable de la forêt, veille au respect des règles de gestion au niveau des chantiers.</w:t>
      </w:r>
    </w:p>
    <w:p w14:paraId="0EDCE5DF" w14:textId="77777777" w:rsidR="005625B5" w:rsidRPr="00D2689A" w:rsidRDefault="005625B5" w:rsidP="005625B5">
      <w:pPr>
        <w:pStyle w:val="Corpsdetexte"/>
        <w:spacing w:before="0" w:line="276" w:lineRule="auto"/>
        <w:rPr>
          <w:rFonts w:ascii="Century Gothic" w:hAnsi="Century Gothic"/>
          <w:sz w:val="14"/>
          <w:szCs w:val="14"/>
        </w:rPr>
      </w:pPr>
    </w:p>
    <w:p w14:paraId="4B6B51F6" w14:textId="77777777" w:rsidR="005625B5" w:rsidRPr="0077562E" w:rsidRDefault="005625B5" w:rsidP="005625B5">
      <w:pPr>
        <w:pStyle w:val="Corpsdetexte"/>
        <w:spacing w:before="0" w:line="276" w:lineRule="auto"/>
        <w:rPr>
          <w:rFonts w:ascii="Century Gothic" w:hAnsi="Century Gothic"/>
          <w:b/>
          <w:bCs/>
        </w:rPr>
      </w:pPr>
      <w:r w:rsidRPr="0077562E">
        <w:rPr>
          <w:rFonts w:ascii="Century Gothic" w:hAnsi="Century Gothic"/>
          <w:b/>
          <w:bCs/>
        </w:rPr>
        <w:t xml:space="preserve">La coupe de bois : </w:t>
      </w:r>
    </w:p>
    <w:p w14:paraId="6F341BD0" w14:textId="77777777" w:rsidR="005625B5" w:rsidRPr="00D2689A" w:rsidRDefault="005625B5" w:rsidP="005625B5">
      <w:pPr>
        <w:pStyle w:val="Corpsdetexte"/>
        <w:spacing w:before="0" w:line="276" w:lineRule="auto"/>
        <w:rPr>
          <w:rFonts w:ascii="Century Gothic" w:hAnsi="Century Gothic"/>
          <w:sz w:val="12"/>
          <w:szCs w:val="12"/>
        </w:rPr>
      </w:pPr>
    </w:p>
    <w:p w14:paraId="3D1BE569" w14:textId="77777777" w:rsidR="005625B5" w:rsidRPr="0077562E" w:rsidRDefault="005625B5" w:rsidP="005625B5">
      <w:pPr>
        <w:pStyle w:val="Corpsdetexte"/>
        <w:spacing w:before="0" w:line="276" w:lineRule="auto"/>
        <w:ind w:right="139"/>
        <w:rPr>
          <w:rFonts w:ascii="Century Gothic" w:hAnsi="Century Gothic"/>
        </w:rPr>
      </w:pPr>
      <w:r w:rsidRPr="0077562E">
        <w:rPr>
          <w:rFonts w:ascii="Century Gothic" w:hAnsi="Century Gothic"/>
        </w:rPr>
        <w:t xml:space="preserve">L’exploitation du bois vert est uniquement autorisée au niveau des chantiers annuels. La période d’exploitation du bois vert s’étale sur les premières deux semaines du mois de mars. Le </w:t>
      </w:r>
      <w:proofErr w:type="spellStart"/>
      <w:r w:rsidRPr="0077562E">
        <w:rPr>
          <w:rFonts w:ascii="Century Gothic" w:hAnsi="Century Gothic"/>
        </w:rPr>
        <w:t>dhp</w:t>
      </w:r>
      <w:proofErr w:type="spellEnd"/>
      <w:r w:rsidRPr="0077562E">
        <w:rPr>
          <w:rFonts w:ascii="Century Gothic" w:hAnsi="Century Gothic"/>
        </w:rPr>
        <w:t xml:space="preserve"> (diamètre de l’arbre à 1,3 m) minimum pour l’exploitation du bois vert est fixé à 10 cm.</w:t>
      </w:r>
    </w:p>
    <w:p w14:paraId="723CC7E1" w14:textId="77777777" w:rsidR="005625B5" w:rsidRPr="00D2689A" w:rsidRDefault="005625B5" w:rsidP="005625B5">
      <w:pPr>
        <w:pStyle w:val="Corpsdetexte"/>
        <w:spacing w:before="0" w:line="276" w:lineRule="auto"/>
        <w:ind w:right="138"/>
        <w:rPr>
          <w:rFonts w:ascii="Century Gothic" w:hAnsi="Century Gothic"/>
          <w:sz w:val="12"/>
          <w:szCs w:val="12"/>
        </w:rPr>
      </w:pPr>
    </w:p>
    <w:p w14:paraId="20CD01AB" w14:textId="77777777" w:rsidR="005625B5" w:rsidRPr="0077562E" w:rsidRDefault="005625B5" w:rsidP="005625B5">
      <w:pPr>
        <w:pStyle w:val="Corpsdetexte"/>
        <w:spacing w:line="276" w:lineRule="auto"/>
        <w:ind w:right="-59"/>
        <w:rPr>
          <w:rFonts w:ascii="Century Gothic" w:hAnsi="Century Gothic"/>
        </w:rPr>
      </w:pPr>
      <w:r w:rsidRPr="0077562E">
        <w:rPr>
          <w:rFonts w:ascii="Century Gothic" w:hAnsi="Century Gothic"/>
        </w:rPr>
        <w:t>Conformément à l’Article 44 du Code Forestier, les espèces indiquées en Annexe 3 sont protégées. L'arrachage, l'abattage ou la mutilation de ces essences forestières sont interdits sauf autorisation du Ministre en charge des Forêts (Article 46).</w:t>
      </w:r>
    </w:p>
    <w:p w14:paraId="73C5CB91" w14:textId="77777777" w:rsidR="005625B5" w:rsidRPr="00D2689A" w:rsidRDefault="005625B5" w:rsidP="005625B5">
      <w:pPr>
        <w:pStyle w:val="Corpsdetexte"/>
        <w:spacing w:before="0" w:line="276" w:lineRule="auto"/>
        <w:rPr>
          <w:rFonts w:ascii="Century Gothic" w:hAnsi="Century Gothic"/>
          <w:sz w:val="2"/>
          <w:szCs w:val="2"/>
        </w:rPr>
      </w:pPr>
    </w:p>
    <w:p w14:paraId="061F80B3" w14:textId="77777777" w:rsidR="005625B5" w:rsidRPr="0077562E" w:rsidRDefault="005625B5" w:rsidP="005625B5">
      <w:pPr>
        <w:pStyle w:val="Corpsdetexte"/>
        <w:rPr>
          <w:rFonts w:ascii="Century Gothic" w:hAnsi="Century Gothic"/>
          <w:b/>
          <w:bCs/>
        </w:rPr>
      </w:pPr>
      <w:r w:rsidRPr="0077562E">
        <w:rPr>
          <w:rFonts w:ascii="Century Gothic" w:hAnsi="Century Gothic"/>
          <w:b/>
          <w:bCs/>
        </w:rPr>
        <w:t xml:space="preserve">Valorisation du bois mort : </w:t>
      </w:r>
    </w:p>
    <w:p w14:paraId="019912CC" w14:textId="77777777" w:rsidR="005625B5" w:rsidRDefault="005625B5" w:rsidP="005625B5">
      <w:pPr>
        <w:pStyle w:val="Corpsdetexte"/>
        <w:spacing w:after="120" w:line="276" w:lineRule="auto"/>
        <w:ind w:right="-57"/>
        <w:rPr>
          <w:rFonts w:ascii="Century Gothic" w:hAnsi="Century Gothic"/>
        </w:rPr>
      </w:pPr>
      <w:r w:rsidRPr="0077562E">
        <w:rPr>
          <w:rFonts w:ascii="Century Gothic" w:hAnsi="Century Gothic"/>
        </w:rPr>
        <w:t>Le</w:t>
      </w:r>
      <w:r w:rsidRPr="0077562E">
        <w:rPr>
          <w:rFonts w:ascii="Century Gothic" w:hAnsi="Century Gothic"/>
          <w:spacing w:val="-2"/>
        </w:rPr>
        <w:t xml:space="preserve"> </w:t>
      </w:r>
      <w:r w:rsidRPr="0077562E">
        <w:rPr>
          <w:rFonts w:ascii="Century Gothic" w:hAnsi="Century Gothic"/>
        </w:rPr>
        <w:t>droit</w:t>
      </w:r>
      <w:r w:rsidRPr="0077562E">
        <w:rPr>
          <w:rFonts w:ascii="Century Gothic" w:hAnsi="Century Gothic"/>
          <w:spacing w:val="-1"/>
        </w:rPr>
        <w:t xml:space="preserve"> </w:t>
      </w:r>
      <w:r w:rsidRPr="0077562E">
        <w:rPr>
          <w:rFonts w:ascii="Century Gothic" w:hAnsi="Century Gothic"/>
        </w:rPr>
        <w:t>de</w:t>
      </w:r>
      <w:r w:rsidRPr="0077562E">
        <w:rPr>
          <w:rFonts w:ascii="Century Gothic" w:hAnsi="Century Gothic"/>
          <w:spacing w:val="-2"/>
        </w:rPr>
        <w:t xml:space="preserve"> </w:t>
      </w:r>
      <w:r w:rsidRPr="0077562E">
        <w:rPr>
          <w:rFonts w:ascii="Century Gothic" w:hAnsi="Century Gothic"/>
        </w:rPr>
        <w:t>ramassage,</w:t>
      </w:r>
      <w:r w:rsidRPr="0077562E">
        <w:rPr>
          <w:rFonts w:ascii="Century Gothic" w:hAnsi="Century Gothic"/>
          <w:spacing w:val="-2"/>
        </w:rPr>
        <w:t xml:space="preserve"> </w:t>
      </w:r>
      <w:r w:rsidRPr="0077562E">
        <w:rPr>
          <w:rFonts w:ascii="Century Gothic" w:hAnsi="Century Gothic"/>
        </w:rPr>
        <w:t>de</w:t>
      </w:r>
      <w:r w:rsidRPr="0077562E">
        <w:rPr>
          <w:rFonts w:ascii="Century Gothic" w:hAnsi="Century Gothic"/>
          <w:spacing w:val="-4"/>
        </w:rPr>
        <w:t xml:space="preserve"> </w:t>
      </w:r>
      <w:r w:rsidRPr="0077562E">
        <w:rPr>
          <w:rFonts w:ascii="Century Gothic" w:hAnsi="Century Gothic"/>
        </w:rPr>
        <w:t>coupe</w:t>
      </w:r>
      <w:r w:rsidRPr="0077562E">
        <w:rPr>
          <w:rFonts w:ascii="Century Gothic" w:hAnsi="Century Gothic"/>
          <w:spacing w:val="-2"/>
        </w:rPr>
        <w:t xml:space="preserve"> </w:t>
      </w:r>
      <w:r w:rsidRPr="0077562E">
        <w:rPr>
          <w:rFonts w:ascii="Century Gothic" w:hAnsi="Century Gothic"/>
        </w:rPr>
        <w:t>et</w:t>
      </w:r>
      <w:r w:rsidRPr="0077562E">
        <w:rPr>
          <w:rFonts w:ascii="Century Gothic" w:hAnsi="Century Gothic"/>
          <w:spacing w:val="-1"/>
        </w:rPr>
        <w:t xml:space="preserve"> </w:t>
      </w:r>
      <w:r w:rsidRPr="0077562E">
        <w:rPr>
          <w:rFonts w:ascii="Century Gothic" w:hAnsi="Century Gothic"/>
        </w:rPr>
        <w:t>de</w:t>
      </w:r>
      <w:r w:rsidRPr="0077562E">
        <w:rPr>
          <w:rFonts w:ascii="Century Gothic" w:hAnsi="Century Gothic"/>
          <w:spacing w:val="-2"/>
        </w:rPr>
        <w:t xml:space="preserve"> </w:t>
      </w:r>
      <w:r w:rsidRPr="0077562E">
        <w:rPr>
          <w:rFonts w:ascii="Century Gothic" w:hAnsi="Century Gothic"/>
        </w:rPr>
        <w:t>débit</w:t>
      </w:r>
      <w:r w:rsidRPr="0077562E">
        <w:rPr>
          <w:rFonts w:ascii="Century Gothic" w:hAnsi="Century Gothic"/>
          <w:spacing w:val="-1"/>
        </w:rPr>
        <w:t xml:space="preserve"> </w:t>
      </w:r>
      <w:r w:rsidRPr="0077562E">
        <w:rPr>
          <w:rFonts w:ascii="Century Gothic" w:hAnsi="Century Gothic"/>
        </w:rPr>
        <w:t>du</w:t>
      </w:r>
      <w:r w:rsidRPr="0077562E">
        <w:rPr>
          <w:rFonts w:ascii="Century Gothic" w:hAnsi="Century Gothic"/>
          <w:spacing w:val="-2"/>
        </w:rPr>
        <w:t xml:space="preserve"> </w:t>
      </w:r>
      <w:r w:rsidRPr="0077562E">
        <w:rPr>
          <w:rFonts w:ascii="Century Gothic" w:hAnsi="Century Gothic"/>
        </w:rPr>
        <w:t>bois</w:t>
      </w:r>
      <w:r w:rsidRPr="0077562E">
        <w:rPr>
          <w:rFonts w:ascii="Century Gothic" w:hAnsi="Century Gothic"/>
          <w:spacing w:val="-2"/>
        </w:rPr>
        <w:t xml:space="preserve"> </w:t>
      </w:r>
      <w:r w:rsidRPr="0077562E">
        <w:rPr>
          <w:rFonts w:ascii="Century Gothic" w:hAnsi="Century Gothic"/>
        </w:rPr>
        <w:t>mort</w:t>
      </w:r>
      <w:r w:rsidRPr="0077562E">
        <w:rPr>
          <w:rFonts w:ascii="Century Gothic" w:hAnsi="Century Gothic"/>
          <w:spacing w:val="-1"/>
        </w:rPr>
        <w:t xml:space="preserve"> </w:t>
      </w:r>
      <w:r w:rsidRPr="0077562E">
        <w:rPr>
          <w:rFonts w:ascii="Century Gothic" w:hAnsi="Century Gothic"/>
        </w:rPr>
        <w:t>revient</w:t>
      </w:r>
      <w:r w:rsidRPr="0077562E">
        <w:rPr>
          <w:rFonts w:ascii="Century Gothic" w:hAnsi="Century Gothic"/>
          <w:spacing w:val="-4"/>
        </w:rPr>
        <w:t xml:space="preserve"> </w:t>
      </w:r>
      <w:r w:rsidRPr="0077562E">
        <w:rPr>
          <w:rFonts w:ascii="Century Gothic" w:hAnsi="Century Gothic"/>
        </w:rPr>
        <w:t>au</w:t>
      </w:r>
      <w:r w:rsidRPr="0077562E">
        <w:rPr>
          <w:rFonts w:ascii="Century Gothic" w:hAnsi="Century Gothic"/>
          <w:spacing w:val="-2"/>
        </w:rPr>
        <w:t xml:space="preserve"> </w:t>
      </w:r>
      <w:r w:rsidRPr="0077562E">
        <w:rPr>
          <w:rFonts w:ascii="Century Gothic" w:hAnsi="Century Gothic"/>
        </w:rPr>
        <w:t>GEB.</w:t>
      </w:r>
      <w:r w:rsidRPr="0077562E">
        <w:rPr>
          <w:rFonts w:ascii="Century Gothic" w:hAnsi="Century Gothic"/>
          <w:spacing w:val="-2"/>
        </w:rPr>
        <w:t xml:space="preserve"> </w:t>
      </w:r>
      <w:r w:rsidRPr="0077562E">
        <w:rPr>
          <w:rFonts w:ascii="Century Gothic" w:hAnsi="Century Gothic"/>
        </w:rPr>
        <w:t>Ce</w:t>
      </w:r>
      <w:r w:rsidRPr="0077562E">
        <w:rPr>
          <w:rFonts w:ascii="Century Gothic" w:hAnsi="Century Gothic"/>
          <w:spacing w:val="-2"/>
        </w:rPr>
        <w:t xml:space="preserve"> </w:t>
      </w:r>
      <w:r w:rsidRPr="0077562E">
        <w:rPr>
          <w:rFonts w:ascii="Century Gothic" w:hAnsi="Century Gothic"/>
        </w:rPr>
        <w:t>dernier</w:t>
      </w:r>
      <w:r w:rsidRPr="0077562E">
        <w:rPr>
          <w:rFonts w:ascii="Century Gothic" w:hAnsi="Century Gothic"/>
          <w:spacing w:val="-1"/>
        </w:rPr>
        <w:t xml:space="preserve"> </w:t>
      </w:r>
      <w:r w:rsidRPr="0077562E">
        <w:rPr>
          <w:rFonts w:ascii="Century Gothic" w:hAnsi="Century Gothic"/>
        </w:rPr>
        <w:t>est</w:t>
      </w:r>
      <w:r w:rsidRPr="0077562E">
        <w:rPr>
          <w:rFonts w:ascii="Century Gothic" w:hAnsi="Century Gothic"/>
          <w:spacing w:val="-1"/>
        </w:rPr>
        <w:t xml:space="preserve"> </w:t>
      </w:r>
      <w:proofErr w:type="gramStart"/>
      <w:r w:rsidRPr="0077562E">
        <w:rPr>
          <w:rFonts w:ascii="Century Gothic" w:hAnsi="Century Gothic"/>
        </w:rPr>
        <w:t>le</w:t>
      </w:r>
      <w:r w:rsidRPr="0077562E">
        <w:rPr>
          <w:rFonts w:ascii="Century Gothic" w:hAnsi="Century Gothic"/>
          <w:spacing w:val="-2"/>
        </w:rPr>
        <w:t xml:space="preserve"> </w:t>
      </w:r>
      <w:r w:rsidRPr="0077562E">
        <w:rPr>
          <w:rFonts w:ascii="Century Gothic" w:hAnsi="Century Gothic"/>
        </w:rPr>
        <w:t>seul</w:t>
      </w:r>
      <w:r w:rsidRPr="0077562E">
        <w:rPr>
          <w:rFonts w:ascii="Century Gothic" w:hAnsi="Century Gothic"/>
          <w:spacing w:val="-1"/>
        </w:rPr>
        <w:t xml:space="preserve"> </w:t>
      </w:r>
      <w:r w:rsidRPr="0077562E">
        <w:rPr>
          <w:rFonts w:ascii="Century Gothic" w:hAnsi="Century Gothic"/>
        </w:rPr>
        <w:t>habilité</w:t>
      </w:r>
      <w:proofErr w:type="gramEnd"/>
      <w:r w:rsidRPr="0077562E">
        <w:rPr>
          <w:rFonts w:ascii="Century Gothic" w:hAnsi="Century Gothic"/>
        </w:rPr>
        <w:t xml:space="preserve"> à utiliser les outils nécessaires à la coupe et au débit du bois mort dans la forêt concernée par le plan </w:t>
      </w:r>
      <w:r w:rsidRPr="0077562E">
        <w:rPr>
          <w:rFonts w:ascii="Century Gothic" w:hAnsi="Century Gothic"/>
          <w:spacing w:val="-2"/>
        </w:rPr>
        <w:t>d’aménagement.</w:t>
      </w:r>
    </w:p>
    <w:p w14:paraId="6872BF53" w14:textId="77777777" w:rsidR="005625B5" w:rsidRPr="0077562E" w:rsidRDefault="005625B5" w:rsidP="005625B5">
      <w:pPr>
        <w:pStyle w:val="Corpsdetexte"/>
        <w:spacing w:line="276" w:lineRule="auto"/>
        <w:ind w:right="-59"/>
        <w:rPr>
          <w:rFonts w:ascii="Century Gothic" w:hAnsi="Century Gothic"/>
        </w:rPr>
      </w:pPr>
      <w:r w:rsidRPr="0077562E">
        <w:rPr>
          <w:rFonts w:ascii="Century Gothic" w:hAnsi="Century Gothic"/>
        </w:rPr>
        <w:t>Le ramassage et la coupe du bois mort sont autorisés sur la totalité de la superficie de la forêt à l’exception des parcelles ayant été soumises à</w:t>
      </w:r>
      <w:r w:rsidRPr="0077562E">
        <w:rPr>
          <w:rFonts w:ascii="Century Gothic" w:hAnsi="Century Gothic"/>
          <w:spacing w:val="-1"/>
        </w:rPr>
        <w:t xml:space="preserve"> </w:t>
      </w:r>
      <w:r w:rsidRPr="0077562E">
        <w:rPr>
          <w:rFonts w:ascii="Century Gothic" w:hAnsi="Century Gothic"/>
        </w:rPr>
        <w:t>l’exploitation du</w:t>
      </w:r>
      <w:r w:rsidRPr="0077562E">
        <w:rPr>
          <w:rFonts w:ascii="Century Gothic" w:hAnsi="Century Gothic"/>
          <w:spacing w:val="-1"/>
        </w:rPr>
        <w:t xml:space="preserve"> </w:t>
      </w:r>
      <w:r w:rsidRPr="0077562E">
        <w:rPr>
          <w:rFonts w:ascii="Century Gothic" w:hAnsi="Century Gothic"/>
        </w:rPr>
        <w:t>bois vert (chantiers annuels) et ce pour une durée de trois ans. Ceci afin de faciliter la régénération au niveau des chantiers annuels.</w:t>
      </w:r>
    </w:p>
    <w:p w14:paraId="1522BB3B" w14:textId="77777777" w:rsidR="005625B5" w:rsidRPr="00D2689A" w:rsidRDefault="005625B5" w:rsidP="005625B5">
      <w:pPr>
        <w:tabs>
          <w:tab w:val="left" w:pos="426"/>
        </w:tabs>
        <w:spacing w:after="0" w:line="276" w:lineRule="auto"/>
        <w:jc w:val="both"/>
        <w:rPr>
          <w:rFonts w:ascii="Century Gothic" w:eastAsia="Times New Roman" w:hAnsi="Century Gothic" w:cs="Times New Roman"/>
          <w:b/>
          <w:bCs/>
          <w:sz w:val="10"/>
          <w:szCs w:val="10"/>
          <w:lang w:val="wo-SN" w:eastAsia="wo-SN"/>
        </w:rPr>
      </w:pPr>
    </w:p>
    <w:p w14:paraId="707590D6" w14:textId="77777777" w:rsidR="005625B5" w:rsidRPr="0077562E" w:rsidRDefault="005625B5" w:rsidP="005625B5">
      <w:pPr>
        <w:tabs>
          <w:tab w:val="left" w:pos="426"/>
        </w:tabs>
        <w:spacing w:after="80" w:line="276" w:lineRule="auto"/>
        <w:jc w:val="both"/>
        <w:rPr>
          <w:rFonts w:ascii="Century Gothic" w:eastAsia="Times New Roman" w:hAnsi="Century Gothic" w:cs="Times New Roman"/>
          <w:b/>
          <w:bCs/>
          <w:sz w:val="24"/>
          <w:szCs w:val="24"/>
          <w:lang w:val="wo-SN" w:eastAsia="wo-SN"/>
        </w:rPr>
      </w:pPr>
      <w:r>
        <w:rPr>
          <w:rFonts w:ascii="Century Gothic" w:eastAsia="Times New Roman" w:hAnsi="Century Gothic" w:cs="Times New Roman"/>
          <w:b/>
          <w:bCs/>
          <w:sz w:val="24"/>
          <w:szCs w:val="24"/>
          <w:lang w:val="wo-SN" w:eastAsia="wo-SN"/>
        </w:rPr>
        <w:t xml:space="preserve">Récolte de produit forestier non ligneux : </w:t>
      </w:r>
    </w:p>
    <w:p w14:paraId="694249BE" w14:textId="77777777" w:rsidR="005625B5" w:rsidRPr="0077562E" w:rsidRDefault="005625B5" w:rsidP="005625B5">
      <w:pPr>
        <w:pStyle w:val="Corpsdetexte"/>
        <w:spacing w:before="240"/>
        <w:ind w:right="146"/>
        <w:rPr>
          <w:rFonts w:ascii="Century Gothic" w:hAnsi="Century Gothic"/>
        </w:rPr>
      </w:pPr>
      <w:r w:rsidRPr="0077562E">
        <w:rPr>
          <w:rFonts w:ascii="Century Gothic" w:hAnsi="Century Gothic"/>
        </w:rPr>
        <w:t xml:space="preserve">Pour toutes les espèces aucune règle de gestion n’est fixée pour l’exploitation des produits forestiers </w:t>
      </w:r>
      <w:r w:rsidRPr="0077562E">
        <w:rPr>
          <w:rFonts w:ascii="Century Gothic" w:hAnsi="Century Gothic"/>
          <w:spacing w:val="-2"/>
        </w:rPr>
        <w:t>non-ligneux.</w:t>
      </w:r>
      <w:r>
        <w:rPr>
          <w:rFonts w:ascii="Century Gothic" w:hAnsi="Century Gothic"/>
        </w:rPr>
        <w:t xml:space="preserve"> </w:t>
      </w:r>
      <w:r w:rsidRPr="0077562E">
        <w:rPr>
          <w:rFonts w:ascii="Century Gothic" w:hAnsi="Century Gothic"/>
        </w:rPr>
        <w:t>Comme pour le bois mort, la récolte des produits forestiers non-ligneux est autorisée sur la totalité de la superficie de la forêt à l’exception des parcelles ayant été soumises à l’exploitation du bois vert (chantiers annuels) et ce pour une durée de trois ans.</w:t>
      </w:r>
    </w:p>
    <w:p w14:paraId="2F13DC5C" w14:textId="77777777" w:rsidR="005625B5" w:rsidRPr="00D2689A" w:rsidRDefault="005625B5" w:rsidP="005625B5">
      <w:pPr>
        <w:tabs>
          <w:tab w:val="left" w:pos="426"/>
        </w:tabs>
        <w:spacing w:after="0" w:line="276" w:lineRule="auto"/>
        <w:jc w:val="both"/>
        <w:rPr>
          <w:rFonts w:ascii="Century Gothic" w:eastAsia="Times New Roman" w:hAnsi="Century Gothic" w:cs="Times New Roman"/>
          <w:b/>
          <w:bCs/>
          <w:sz w:val="12"/>
          <w:szCs w:val="12"/>
          <w:lang w:val="wo-SN" w:eastAsia="wo-SN"/>
        </w:rPr>
      </w:pPr>
    </w:p>
    <w:p w14:paraId="27F98333" w14:textId="77777777" w:rsidR="005625B5" w:rsidRDefault="005625B5" w:rsidP="005625B5">
      <w:pPr>
        <w:tabs>
          <w:tab w:val="left" w:pos="426"/>
        </w:tabs>
        <w:spacing w:after="80" w:line="276" w:lineRule="auto"/>
        <w:jc w:val="both"/>
        <w:rPr>
          <w:rFonts w:ascii="Century Gothic" w:eastAsia="Times New Roman" w:hAnsi="Century Gothic" w:cs="Times New Roman"/>
          <w:b/>
          <w:bCs/>
          <w:sz w:val="24"/>
          <w:szCs w:val="24"/>
          <w:lang w:val="wo-SN" w:eastAsia="wo-SN"/>
        </w:rPr>
      </w:pPr>
      <w:r>
        <w:rPr>
          <w:rFonts w:ascii="Century Gothic" w:eastAsia="Times New Roman" w:hAnsi="Century Gothic" w:cs="Times New Roman"/>
          <w:b/>
          <w:bCs/>
          <w:sz w:val="24"/>
          <w:szCs w:val="24"/>
          <w:lang w:val="wo-SN" w:eastAsia="wo-SN"/>
        </w:rPr>
        <w:t xml:space="preserve">Stockage du bois : </w:t>
      </w:r>
    </w:p>
    <w:p w14:paraId="2A2B03D6" w14:textId="77777777" w:rsidR="005625B5" w:rsidRPr="0077562E" w:rsidRDefault="005625B5" w:rsidP="005625B5">
      <w:pPr>
        <w:pStyle w:val="Corpsdetexte"/>
        <w:spacing w:before="238"/>
        <w:ind w:right="-59"/>
        <w:rPr>
          <w:rFonts w:ascii="Century Gothic" w:hAnsi="Century Gothic"/>
        </w:rPr>
      </w:pPr>
      <w:r w:rsidRPr="0077562E">
        <w:rPr>
          <w:rFonts w:ascii="Century Gothic" w:hAnsi="Century Gothic"/>
        </w:rPr>
        <w:t>Après prélèvement, le bois vert est stocké pour la période d’exploitation au niveau d’un centre de stockage situé à proximité de la forêt.</w:t>
      </w:r>
    </w:p>
    <w:p w14:paraId="4F3EE715" w14:textId="77777777" w:rsidR="005625B5" w:rsidRDefault="005625B5" w:rsidP="005625B5">
      <w:pPr>
        <w:tabs>
          <w:tab w:val="left" w:pos="426"/>
        </w:tabs>
        <w:spacing w:after="0" w:line="276" w:lineRule="auto"/>
        <w:jc w:val="both"/>
        <w:rPr>
          <w:rFonts w:ascii="Century Gothic" w:eastAsia="Times New Roman" w:hAnsi="Century Gothic" w:cs="Times New Roman"/>
          <w:b/>
          <w:bCs/>
          <w:sz w:val="24"/>
          <w:szCs w:val="24"/>
          <w:lang w:val="wo-SN" w:eastAsia="wo-SN"/>
        </w:rPr>
      </w:pPr>
      <w:r>
        <w:rPr>
          <w:rFonts w:ascii="Century Gothic" w:eastAsia="Times New Roman" w:hAnsi="Century Gothic" w:cs="Times New Roman"/>
          <w:b/>
          <w:bCs/>
          <w:sz w:val="24"/>
          <w:szCs w:val="24"/>
          <w:lang w:val="wo-SN" w:eastAsia="wo-SN"/>
        </w:rPr>
        <w:t xml:space="preserve">Suvi de l’exploitation du bois : </w:t>
      </w:r>
    </w:p>
    <w:p w14:paraId="3B33EF44" w14:textId="77777777" w:rsidR="005625B5" w:rsidRDefault="005625B5" w:rsidP="005625B5">
      <w:pPr>
        <w:pStyle w:val="Corpsdetexte"/>
        <w:spacing w:before="238"/>
        <w:ind w:right="-201"/>
        <w:rPr>
          <w:rFonts w:ascii="Century Gothic" w:hAnsi="Century Gothic"/>
        </w:rPr>
      </w:pPr>
      <w:r w:rsidRPr="00690694">
        <w:rPr>
          <w:rFonts w:ascii="Century Gothic" w:hAnsi="Century Gothic"/>
        </w:rPr>
        <w:t>Le contrôle des volumes de bois vert exploités est réalisé au niveau du centre de stockage. Les méthodes de calcul suivantes sont utilisées pour déterminer les volumes (1) de bois de chauffe et (2)</w:t>
      </w:r>
      <w:r w:rsidRPr="00690694">
        <w:rPr>
          <w:rFonts w:ascii="Century Gothic" w:hAnsi="Century Gothic"/>
          <w:spacing w:val="40"/>
        </w:rPr>
        <w:t xml:space="preserve"> </w:t>
      </w:r>
      <w:r w:rsidRPr="00690694">
        <w:rPr>
          <w:rFonts w:ascii="Century Gothic" w:hAnsi="Century Gothic"/>
        </w:rPr>
        <w:t xml:space="preserve">de bois de service ainsi que de </w:t>
      </w:r>
      <w:r>
        <w:rPr>
          <w:rFonts w:ascii="Century Gothic" w:hAnsi="Century Gothic"/>
        </w:rPr>
        <w:t>(</w:t>
      </w:r>
      <w:proofErr w:type="gramStart"/>
      <w:r>
        <w:rPr>
          <w:rFonts w:ascii="Century Gothic" w:hAnsi="Century Gothic"/>
        </w:rPr>
        <w:t>3)</w:t>
      </w:r>
      <w:r w:rsidRPr="00690694">
        <w:rPr>
          <w:rFonts w:ascii="Century Gothic" w:hAnsi="Century Gothic"/>
        </w:rPr>
        <w:t>bois</w:t>
      </w:r>
      <w:proofErr w:type="gramEnd"/>
      <w:r w:rsidRPr="00690694">
        <w:rPr>
          <w:rFonts w:ascii="Century Gothic" w:hAnsi="Century Gothic"/>
        </w:rPr>
        <w:t xml:space="preserve"> d’œuvre :</w:t>
      </w:r>
    </w:p>
    <w:p w14:paraId="526EC6FD" w14:textId="77777777" w:rsidR="005625B5" w:rsidRDefault="005625B5" w:rsidP="005625B5">
      <w:pPr>
        <w:pStyle w:val="Corpsdetexte"/>
        <w:numPr>
          <w:ilvl w:val="0"/>
          <w:numId w:val="84"/>
        </w:numPr>
        <w:spacing w:before="238"/>
        <w:ind w:right="-201" w:hanging="720"/>
        <w:rPr>
          <w:rFonts w:ascii="Century Gothic" w:hAnsi="Century Gothic"/>
        </w:rPr>
      </w:pPr>
      <w:r w:rsidRPr="00690694">
        <w:rPr>
          <w:rFonts w:ascii="Century Gothic" w:hAnsi="Century Gothic"/>
        </w:rPr>
        <w:t>En ce qui concerne le bois de chauffe, une longueur standard de 1,3 mètre est fixée et le volume est calculé en stères.</w:t>
      </w:r>
    </w:p>
    <w:p w14:paraId="7ED4B617" w14:textId="77777777" w:rsidR="005625B5" w:rsidRPr="00690694" w:rsidRDefault="005625B5" w:rsidP="005625B5">
      <w:pPr>
        <w:pStyle w:val="Corpsdetexte"/>
        <w:numPr>
          <w:ilvl w:val="0"/>
          <w:numId w:val="84"/>
        </w:numPr>
        <w:spacing w:before="238"/>
        <w:ind w:right="-201" w:hanging="720"/>
        <w:rPr>
          <w:rFonts w:ascii="Century Gothic" w:hAnsi="Century Gothic"/>
        </w:rPr>
      </w:pPr>
      <w:r w:rsidRPr="00690694">
        <w:rPr>
          <w:rFonts w:ascii="Century Gothic" w:hAnsi="Century Gothic"/>
        </w:rPr>
        <w:t>Pour le bois de service et le bois d’œuvre, un volume moyen par unité est</w:t>
      </w:r>
      <w:r w:rsidRPr="00690694">
        <w:rPr>
          <w:rFonts w:ascii="Century Gothic" w:hAnsi="Century Gothic"/>
          <w:spacing w:val="20"/>
        </w:rPr>
        <w:t xml:space="preserve"> </w:t>
      </w:r>
      <w:r w:rsidRPr="00690694">
        <w:rPr>
          <w:rFonts w:ascii="Century Gothic" w:hAnsi="Century Gothic"/>
        </w:rPr>
        <w:t>déterminé</w:t>
      </w:r>
      <w:r w:rsidRPr="00690694">
        <w:rPr>
          <w:rFonts w:ascii="Century Gothic" w:hAnsi="Century Gothic"/>
          <w:spacing w:val="40"/>
        </w:rPr>
        <w:t xml:space="preserve"> </w:t>
      </w:r>
      <w:r w:rsidRPr="00690694">
        <w:rPr>
          <w:rFonts w:ascii="Century Gothic" w:hAnsi="Century Gothic"/>
        </w:rPr>
        <w:t>en début de campagne, à travers un échantillonnage réalisé sur environ 30 unités (perches et fourches). Le volume total du bois de service et de bois d’œuvre est par la suite calculé en multipliant ce volume moyen par le nombre d’unités exploitées.</w:t>
      </w:r>
    </w:p>
    <w:p w14:paraId="415A9CEC" w14:textId="77777777" w:rsidR="005625B5" w:rsidRPr="00690694" w:rsidRDefault="005625B5" w:rsidP="005625B5">
      <w:pPr>
        <w:pStyle w:val="Corpsdetexte"/>
        <w:numPr>
          <w:ilvl w:val="0"/>
          <w:numId w:val="84"/>
        </w:numPr>
        <w:spacing w:before="238"/>
        <w:ind w:right="-201" w:hanging="720"/>
        <w:rPr>
          <w:rFonts w:ascii="Century Gothic" w:hAnsi="Century Gothic"/>
        </w:rPr>
      </w:pPr>
      <w:r w:rsidRPr="00690694">
        <w:rPr>
          <w:rFonts w:ascii="Century Gothic" w:hAnsi="Century Gothic"/>
        </w:rPr>
        <w:t>Le(s) surveillant(s) responsable(s) de la forêt concernée par le plan d’aménagement et le CG assurent</w:t>
      </w:r>
      <w:r w:rsidRPr="00690694">
        <w:rPr>
          <w:rFonts w:ascii="Century Gothic" w:hAnsi="Century Gothic"/>
          <w:spacing w:val="40"/>
        </w:rPr>
        <w:t xml:space="preserve"> </w:t>
      </w:r>
      <w:r w:rsidRPr="00690694">
        <w:rPr>
          <w:rFonts w:ascii="Century Gothic" w:hAnsi="Century Gothic"/>
        </w:rPr>
        <w:t>le</w:t>
      </w:r>
      <w:r w:rsidRPr="00690694">
        <w:rPr>
          <w:rFonts w:ascii="Century Gothic" w:hAnsi="Century Gothic"/>
          <w:spacing w:val="-1"/>
        </w:rPr>
        <w:t xml:space="preserve"> </w:t>
      </w:r>
      <w:r w:rsidRPr="00690694">
        <w:rPr>
          <w:rFonts w:ascii="Century Gothic" w:hAnsi="Century Gothic"/>
        </w:rPr>
        <w:t>contrôle</w:t>
      </w:r>
      <w:r w:rsidRPr="00690694">
        <w:rPr>
          <w:rFonts w:ascii="Century Gothic" w:hAnsi="Century Gothic"/>
          <w:spacing w:val="-1"/>
        </w:rPr>
        <w:t xml:space="preserve"> </w:t>
      </w:r>
      <w:r w:rsidRPr="00690694">
        <w:rPr>
          <w:rFonts w:ascii="Century Gothic" w:hAnsi="Century Gothic"/>
        </w:rPr>
        <w:t>des</w:t>
      </w:r>
      <w:r w:rsidRPr="00690694">
        <w:rPr>
          <w:rFonts w:ascii="Century Gothic" w:hAnsi="Century Gothic"/>
          <w:spacing w:val="-1"/>
        </w:rPr>
        <w:t xml:space="preserve"> </w:t>
      </w:r>
      <w:r w:rsidRPr="00690694">
        <w:rPr>
          <w:rFonts w:ascii="Century Gothic" w:hAnsi="Century Gothic"/>
        </w:rPr>
        <w:t>tickets</w:t>
      </w:r>
      <w:r w:rsidRPr="00690694">
        <w:rPr>
          <w:rFonts w:ascii="Century Gothic" w:hAnsi="Century Gothic"/>
          <w:spacing w:val="-1"/>
        </w:rPr>
        <w:t xml:space="preserve"> </w:t>
      </w:r>
      <w:r w:rsidRPr="00690694">
        <w:rPr>
          <w:rFonts w:ascii="Century Gothic" w:hAnsi="Century Gothic"/>
        </w:rPr>
        <w:t>de</w:t>
      </w:r>
      <w:r w:rsidRPr="00690694">
        <w:rPr>
          <w:rFonts w:ascii="Century Gothic" w:hAnsi="Century Gothic"/>
          <w:spacing w:val="-1"/>
        </w:rPr>
        <w:t xml:space="preserve"> </w:t>
      </w:r>
      <w:r w:rsidRPr="00690694">
        <w:rPr>
          <w:rFonts w:ascii="Century Gothic" w:hAnsi="Century Gothic"/>
        </w:rPr>
        <w:t>prélèvement de</w:t>
      </w:r>
      <w:r w:rsidRPr="00690694">
        <w:rPr>
          <w:rFonts w:ascii="Century Gothic" w:hAnsi="Century Gothic"/>
          <w:spacing w:val="-1"/>
        </w:rPr>
        <w:t xml:space="preserve"> </w:t>
      </w:r>
      <w:r w:rsidRPr="00690694">
        <w:rPr>
          <w:rFonts w:ascii="Century Gothic" w:hAnsi="Century Gothic"/>
        </w:rPr>
        <w:t>bois</w:t>
      </w:r>
      <w:r w:rsidRPr="00690694">
        <w:rPr>
          <w:rFonts w:ascii="Century Gothic" w:hAnsi="Century Gothic"/>
          <w:spacing w:val="-1"/>
        </w:rPr>
        <w:t xml:space="preserve"> </w:t>
      </w:r>
      <w:r w:rsidRPr="00690694">
        <w:rPr>
          <w:rFonts w:ascii="Century Gothic" w:hAnsi="Century Gothic"/>
        </w:rPr>
        <w:t>vert et la</w:t>
      </w:r>
      <w:r w:rsidRPr="00690694">
        <w:rPr>
          <w:rFonts w:ascii="Century Gothic" w:hAnsi="Century Gothic"/>
          <w:spacing w:val="-3"/>
        </w:rPr>
        <w:t xml:space="preserve"> </w:t>
      </w:r>
      <w:r w:rsidRPr="00690694">
        <w:rPr>
          <w:rFonts w:ascii="Century Gothic" w:hAnsi="Century Gothic"/>
        </w:rPr>
        <w:t>concordance</w:t>
      </w:r>
      <w:r w:rsidRPr="00690694">
        <w:rPr>
          <w:rFonts w:ascii="Century Gothic" w:hAnsi="Century Gothic"/>
          <w:spacing w:val="-1"/>
        </w:rPr>
        <w:t xml:space="preserve"> </w:t>
      </w:r>
      <w:r w:rsidRPr="00690694">
        <w:rPr>
          <w:rFonts w:ascii="Century Gothic" w:hAnsi="Century Gothic"/>
        </w:rPr>
        <w:t>de</w:t>
      </w:r>
      <w:r w:rsidRPr="00690694">
        <w:rPr>
          <w:rFonts w:ascii="Century Gothic" w:hAnsi="Century Gothic"/>
          <w:spacing w:val="-1"/>
        </w:rPr>
        <w:t xml:space="preserve"> </w:t>
      </w:r>
      <w:r w:rsidRPr="00690694">
        <w:rPr>
          <w:rFonts w:ascii="Century Gothic" w:hAnsi="Century Gothic"/>
        </w:rPr>
        <w:t>la</w:t>
      </w:r>
      <w:r w:rsidRPr="00690694">
        <w:rPr>
          <w:rFonts w:ascii="Century Gothic" w:hAnsi="Century Gothic"/>
          <w:spacing w:val="-1"/>
        </w:rPr>
        <w:t xml:space="preserve"> </w:t>
      </w:r>
      <w:r w:rsidRPr="00690694">
        <w:rPr>
          <w:rFonts w:ascii="Century Gothic" w:hAnsi="Century Gothic"/>
        </w:rPr>
        <w:t>quantité</w:t>
      </w:r>
      <w:r w:rsidRPr="00690694">
        <w:rPr>
          <w:rFonts w:ascii="Century Gothic" w:hAnsi="Century Gothic"/>
          <w:spacing w:val="-3"/>
        </w:rPr>
        <w:t xml:space="preserve"> </w:t>
      </w:r>
      <w:r w:rsidRPr="00690694">
        <w:rPr>
          <w:rFonts w:ascii="Century Gothic" w:hAnsi="Century Gothic"/>
        </w:rPr>
        <w:t>de</w:t>
      </w:r>
      <w:r w:rsidRPr="00690694">
        <w:rPr>
          <w:rFonts w:ascii="Century Gothic" w:hAnsi="Century Gothic"/>
          <w:spacing w:val="-1"/>
        </w:rPr>
        <w:t xml:space="preserve"> </w:t>
      </w:r>
      <w:r w:rsidRPr="00690694">
        <w:rPr>
          <w:rFonts w:ascii="Century Gothic" w:hAnsi="Century Gothic"/>
        </w:rPr>
        <w:t>bois</w:t>
      </w:r>
      <w:r w:rsidRPr="00690694">
        <w:rPr>
          <w:rFonts w:ascii="Century Gothic" w:hAnsi="Century Gothic"/>
          <w:spacing w:val="-1"/>
        </w:rPr>
        <w:t xml:space="preserve"> </w:t>
      </w:r>
      <w:r w:rsidRPr="00690694">
        <w:rPr>
          <w:rFonts w:ascii="Century Gothic" w:hAnsi="Century Gothic"/>
        </w:rPr>
        <w:t>indiquée</w:t>
      </w:r>
      <w:r w:rsidRPr="00690694">
        <w:rPr>
          <w:rFonts w:ascii="Century Gothic" w:hAnsi="Century Gothic"/>
          <w:spacing w:val="-1"/>
        </w:rPr>
        <w:t xml:space="preserve"> </w:t>
      </w:r>
      <w:r w:rsidRPr="00690694">
        <w:rPr>
          <w:rFonts w:ascii="Century Gothic" w:hAnsi="Century Gothic"/>
        </w:rPr>
        <w:t>sur le ticket avec la quantité de bois livrée par l’exploitant. Si la quantité livrée dépasse la quantité fixée sur le ticket, la sanction à appliquer est celle prévue par la convention locale de l’espace GLC.</w:t>
      </w:r>
    </w:p>
    <w:p w14:paraId="4C42DA48" w14:textId="77777777" w:rsidR="005625B5" w:rsidRPr="00690694" w:rsidRDefault="005625B5" w:rsidP="005625B5">
      <w:pPr>
        <w:pStyle w:val="Corpsdetexte"/>
        <w:numPr>
          <w:ilvl w:val="0"/>
          <w:numId w:val="84"/>
        </w:numPr>
        <w:spacing w:before="238"/>
        <w:ind w:right="-201" w:hanging="720"/>
        <w:rPr>
          <w:rFonts w:ascii="Century Gothic" w:hAnsi="Century Gothic"/>
        </w:rPr>
      </w:pPr>
      <w:r w:rsidRPr="00690694">
        <w:rPr>
          <w:rFonts w:ascii="Century Gothic" w:hAnsi="Century Gothic"/>
        </w:rPr>
        <w:t>A la fin de la période d’exploitation ou si le quota annuel de bois vert est atteint par les exploitants du GEB, la campagne annuelle d’exploitation est fermée et toute forme d’exploitation du bois vert est interdite jusqu’à la prochaine campagne.</w:t>
      </w:r>
    </w:p>
    <w:p w14:paraId="3BBCE01C" w14:textId="77777777" w:rsidR="005625B5" w:rsidRDefault="005625B5" w:rsidP="005625B5">
      <w:pPr>
        <w:pStyle w:val="Corpsdetexte"/>
        <w:spacing w:before="238" w:after="80"/>
        <w:ind w:left="720" w:right="-198"/>
        <w:rPr>
          <w:rFonts w:ascii="Century Gothic" w:hAnsi="Century Gothic"/>
          <w:spacing w:val="-2"/>
        </w:rPr>
      </w:pPr>
      <w:r w:rsidRPr="00D2689A">
        <w:rPr>
          <w:rFonts w:ascii="Century Gothic" w:hAnsi="Century Gothic"/>
          <w:sz w:val="22"/>
          <w:szCs w:val="22"/>
        </w:rPr>
        <w:t>L’exploitant est autorisé à</w:t>
      </w:r>
      <w:r w:rsidRPr="00D2689A">
        <w:rPr>
          <w:rFonts w:ascii="Century Gothic" w:hAnsi="Century Gothic"/>
          <w:spacing w:val="-1"/>
          <w:sz w:val="22"/>
          <w:szCs w:val="22"/>
        </w:rPr>
        <w:t xml:space="preserve"> </w:t>
      </w:r>
      <w:r w:rsidRPr="00D2689A">
        <w:rPr>
          <w:rFonts w:ascii="Century Gothic" w:hAnsi="Century Gothic"/>
          <w:sz w:val="22"/>
          <w:szCs w:val="22"/>
        </w:rPr>
        <w:t>vendre ses produits uniquement après la</w:t>
      </w:r>
      <w:r w:rsidRPr="00D2689A">
        <w:rPr>
          <w:rFonts w:ascii="Century Gothic" w:hAnsi="Century Gothic"/>
          <w:spacing w:val="-1"/>
          <w:sz w:val="22"/>
          <w:szCs w:val="22"/>
        </w:rPr>
        <w:t xml:space="preserve"> </w:t>
      </w:r>
      <w:r w:rsidRPr="00D2689A">
        <w:rPr>
          <w:rFonts w:ascii="Century Gothic" w:hAnsi="Century Gothic"/>
          <w:sz w:val="22"/>
          <w:szCs w:val="22"/>
        </w:rPr>
        <w:t>fermeture de</w:t>
      </w:r>
      <w:r w:rsidRPr="00D2689A">
        <w:rPr>
          <w:rFonts w:ascii="Century Gothic" w:hAnsi="Century Gothic"/>
          <w:spacing w:val="-1"/>
          <w:sz w:val="22"/>
          <w:szCs w:val="22"/>
        </w:rPr>
        <w:t xml:space="preserve"> </w:t>
      </w:r>
      <w:r w:rsidRPr="00D2689A">
        <w:rPr>
          <w:rFonts w:ascii="Century Gothic" w:hAnsi="Century Gothic"/>
          <w:sz w:val="22"/>
          <w:szCs w:val="22"/>
        </w:rPr>
        <w:t xml:space="preserve">la campagne annuelle </w:t>
      </w:r>
      <w:r w:rsidRPr="00D2689A">
        <w:rPr>
          <w:rFonts w:ascii="Century Gothic" w:hAnsi="Century Gothic"/>
          <w:spacing w:val="-2"/>
          <w:sz w:val="22"/>
          <w:szCs w:val="22"/>
        </w:rPr>
        <w:t>d’exploitation</w:t>
      </w:r>
      <w:r w:rsidRPr="00690694">
        <w:rPr>
          <w:rFonts w:ascii="Century Gothic" w:hAnsi="Century Gothic"/>
          <w:spacing w:val="-2"/>
        </w:rPr>
        <w:t>.</w:t>
      </w:r>
    </w:p>
    <w:p w14:paraId="57EE77D9" w14:textId="77777777" w:rsidR="005625B5" w:rsidRDefault="005625B5" w:rsidP="005625B5">
      <w:pPr>
        <w:tabs>
          <w:tab w:val="left" w:pos="426"/>
        </w:tabs>
        <w:spacing w:after="80" w:line="276" w:lineRule="auto"/>
        <w:jc w:val="both"/>
        <w:rPr>
          <w:rFonts w:ascii="Century Gothic" w:eastAsia="Times New Roman" w:hAnsi="Century Gothic" w:cs="Times New Roman"/>
          <w:b/>
          <w:bCs/>
          <w:sz w:val="24"/>
          <w:szCs w:val="24"/>
          <w:lang w:val="wo-SN" w:eastAsia="wo-SN"/>
        </w:rPr>
      </w:pPr>
      <w:r>
        <w:rPr>
          <w:rFonts w:ascii="Century Gothic" w:eastAsia="Times New Roman" w:hAnsi="Century Gothic" w:cs="Times New Roman"/>
          <w:b/>
          <w:bCs/>
          <w:sz w:val="24"/>
          <w:szCs w:val="24"/>
          <w:lang w:val="wo-SN" w:eastAsia="wo-SN"/>
        </w:rPr>
        <w:t xml:space="preserve">Plan de gestion de la forêt de Boully Beldi (ProGRN, 2009)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2960"/>
        <w:gridCol w:w="1052"/>
        <w:gridCol w:w="2090"/>
        <w:gridCol w:w="2019"/>
      </w:tblGrid>
      <w:tr w:rsidR="005625B5" w:rsidRPr="005F6B59" w14:paraId="26D5DCE4" w14:textId="77777777" w:rsidTr="00FB354B">
        <w:tc>
          <w:tcPr>
            <w:tcW w:w="959" w:type="dxa"/>
            <w:vMerge w:val="restart"/>
            <w:shd w:val="clear" w:color="auto" w:fill="auto"/>
          </w:tcPr>
          <w:p w14:paraId="7278AC53"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sidRPr="005F6B59">
              <w:rPr>
                <w:rFonts w:ascii="Century Gothic" w:eastAsia="Times New Roman" w:hAnsi="Century Gothic" w:cs="Times New Roman"/>
                <w:b/>
                <w:bCs/>
                <w:sz w:val="20"/>
                <w:szCs w:val="20"/>
                <w:lang w:val="wo-SN" w:eastAsia="wo-SN"/>
              </w:rPr>
              <w:t>Année</w:t>
            </w:r>
          </w:p>
        </w:tc>
        <w:tc>
          <w:tcPr>
            <w:tcW w:w="3260" w:type="dxa"/>
            <w:vMerge w:val="restart"/>
            <w:shd w:val="clear" w:color="auto" w:fill="auto"/>
          </w:tcPr>
          <w:p w14:paraId="1A77ECF5"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sidRPr="005F6B59">
              <w:rPr>
                <w:rFonts w:ascii="Century Gothic" w:eastAsia="Times New Roman" w:hAnsi="Century Gothic" w:cs="Times New Roman"/>
                <w:b/>
                <w:bCs/>
                <w:sz w:val="20"/>
                <w:szCs w:val="20"/>
                <w:lang w:val="wo-SN" w:eastAsia="wo-SN"/>
              </w:rPr>
              <w:t>Aménagement</w:t>
            </w:r>
          </w:p>
        </w:tc>
        <w:tc>
          <w:tcPr>
            <w:tcW w:w="1052" w:type="dxa"/>
            <w:vMerge w:val="restart"/>
            <w:shd w:val="clear" w:color="auto" w:fill="auto"/>
          </w:tcPr>
          <w:p w14:paraId="05CA2FC6"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sidRPr="005F6B59">
              <w:rPr>
                <w:rFonts w:ascii="Century Gothic" w:eastAsia="Times New Roman" w:hAnsi="Century Gothic" w:cs="Times New Roman"/>
                <w:b/>
                <w:bCs/>
                <w:sz w:val="20"/>
                <w:szCs w:val="20"/>
                <w:lang w:val="wo-SN" w:eastAsia="wo-SN"/>
              </w:rPr>
              <w:t>Quantité</w:t>
            </w:r>
          </w:p>
        </w:tc>
        <w:tc>
          <w:tcPr>
            <w:tcW w:w="4509" w:type="dxa"/>
            <w:gridSpan w:val="2"/>
            <w:shd w:val="clear" w:color="auto" w:fill="auto"/>
          </w:tcPr>
          <w:p w14:paraId="38977E52"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sidRPr="005F6B59">
              <w:rPr>
                <w:rFonts w:ascii="Century Gothic" w:eastAsia="Times New Roman" w:hAnsi="Century Gothic" w:cs="Times New Roman"/>
                <w:b/>
                <w:bCs/>
                <w:sz w:val="20"/>
                <w:szCs w:val="20"/>
                <w:lang w:val="wo-SN" w:eastAsia="wo-SN"/>
              </w:rPr>
              <w:t>Lieu</w:t>
            </w:r>
          </w:p>
        </w:tc>
      </w:tr>
      <w:tr w:rsidR="005625B5" w:rsidRPr="005F6B59" w14:paraId="26F9C8CE" w14:textId="77777777" w:rsidTr="00FB354B">
        <w:tc>
          <w:tcPr>
            <w:tcW w:w="959" w:type="dxa"/>
            <w:vMerge/>
            <w:shd w:val="clear" w:color="auto" w:fill="auto"/>
          </w:tcPr>
          <w:p w14:paraId="7587ED24"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vMerge/>
            <w:shd w:val="clear" w:color="auto" w:fill="auto"/>
          </w:tcPr>
          <w:p w14:paraId="7AA187DE"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1052" w:type="dxa"/>
            <w:vMerge/>
            <w:shd w:val="clear" w:color="auto" w:fill="auto"/>
          </w:tcPr>
          <w:p w14:paraId="21E6515A"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2268" w:type="dxa"/>
            <w:shd w:val="clear" w:color="auto" w:fill="auto"/>
          </w:tcPr>
          <w:p w14:paraId="1BCBAD5C"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sidRPr="005F6B59">
              <w:rPr>
                <w:rFonts w:ascii="Century Gothic" w:eastAsia="Times New Roman" w:hAnsi="Century Gothic" w:cs="Times New Roman"/>
                <w:b/>
                <w:bCs/>
                <w:sz w:val="20"/>
                <w:szCs w:val="20"/>
                <w:lang w:val="wo-SN" w:eastAsia="wo-SN"/>
              </w:rPr>
              <w:t>Strate écologique</w:t>
            </w:r>
          </w:p>
        </w:tc>
        <w:tc>
          <w:tcPr>
            <w:tcW w:w="2241" w:type="dxa"/>
            <w:shd w:val="clear" w:color="auto" w:fill="auto"/>
          </w:tcPr>
          <w:p w14:paraId="6FC656B8"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sidRPr="005F6B59">
              <w:rPr>
                <w:rFonts w:ascii="Century Gothic" w:eastAsia="Times New Roman" w:hAnsi="Century Gothic" w:cs="Times New Roman"/>
                <w:b/>
                <w:bCs/>
                <w:sz w:val="20"/>
                <w:szCs w:val="20"/>
                <w:lang w:val="wo-SN" w:eastAsia="wo-SN"/>
              </w:rPr>
              <w:t>N° parcelle</w:t>
            </w:r>
          </w:p>
        </w:tc>
      </w:tr>
      <w:tr w:rsidR="005625B5" w:rsidRPr="005F6B59" w14:paraId="04C9E456" w14:textId="77777777" w:rsidTr="00FB354B">
        <w:tc>
          <w:tcPr>
            <w:tcW w:w="959" w:type="dxa"/>
            <w:shd w:val="clear" w:color="auto" w:fill="auto"/>
          </w:tcPr>
          <w:p w14:paraId="57995955"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sidRPr="005F6B59">
              <w:rPr>
                <w:rFonts w:ascii="Century Gothic" w:eastAsia="Times New Roman" w:hAnsi="Century Gothic" w:cs="Times New Roman"/>
                <w:b/>
                <w:bCs/>
                <w:sz w:val="20"/>
                <w:szCs w:val="20"/>
                <w:lang w:val="wo-SN" w:eastAsia="wo-SN"/>
              </w:rPr>
              <w:t>2009</w:t>
            </w:r>
          </w:p>
        </w:tc>
        <w:tc>
          <w:tcPr>
            <w:tcW w:w="3260" w:type="dxa"/>
            <w:shd w:val="clear" w:color="auto" w:fill="auto"/>
          </w:tcPr>
          <w:p w14:paraId="3104EB32"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Exploitation de bois mort </w:t>
            </w:r>
          </w:p>
        </w:tc>
        <w:tc>
          <w:tcPr>
            <w:tcW w:w="1052" w:type="dxa"/>
            <w:shd w:val="clear" w:color="auto" w:fill="auto"/>
          </w:tcPr>
          <w:p w14:paraId="24BFA46C"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6713931B"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74FF64C6"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1 – 10 </w:t>
            </w:r>
          </w:p>
        </w:tc>
      </w:tr>
      <w:tr w:rsidR="005625B5" w:rsidRPr="005F6B59" w14:paraId="0E403257" w14:textId="77777777" w:rsidTr="00FB354B">
        <w:tc>
          <w:tcPr>
            <w:tcW w:w="959" w:type="dxa"/>
            <w:shd w:val="clear" w:color="auto" w:fill="auto"/>
          </w:tcPr>
          <w:p w14:paraId="50497A01"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sidRPr="005F6B59">
              <w:rPr>
                <w:rFonts w:ascii="Century Gothic" w:eastAsia="Times New Roman" w:hAnsi="Century Gothic" w:cs="Times New Roman"/>
                <w:b/>
                <w:bCs/>
                <w:sz w:val="20"/>
                <w:szCs w:val="20"/>
                <w:lang w:val="wo-SN" w:eastAsia="wo-SN"/>
              </w:rPr>
              <w:t>2010</w:t>
            </w:r>
          </w:p>
        </w:tc>
        <w:tc>
          <w:tcPr>
            <w:tcW w:w="3260" w:type="dxa"/>
            <w:shd w:val="clear" w:color="auto" w:fill="auto"/>
          </w:tcPr>
          <w:p w14:paraId="2DDA4C22"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 bois mort</w:t>
            </w:r>
          </w:p>
        </w:tc>
        <w:tc>
          <w:tcPr>
            <w:tcW w:w="1052" w:type="dxa"/>
            <w:shd w:val="clear" w:color="auto" w:fill="auto"/>
          </w:tcPr>
          <w:p w14:paraId="2AA7910A"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7973FA8E"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71601630"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1 – 10 </w:t>
            </w:r>
          </w:p>
        </w:tc>
      </w:tr>
      <w:tr w:rsidR="005625B5" w:rsidRPr="005F6B59" w14:paraId="30C4D7F4" w14:textId="77777777" w:rsidTr="00FB354B">
        <w:tc>
          <w:tcPr>
            <w:tcW w:w="959" w:type="dxa"/>
            <w:vMerge w:val="restart"/>
            <w:shd w:val="clear" w:color="auto" w:fill="auto"/>
          </w:tcPr>
          <w:p w14:paraId="4FD7F3AB"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p w14:paraId="2AABCC93"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p w14:paraId="1BD3FAFF"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sidRPr="005F6B59">
              <w:rPr>
                <w:rFonts w:ascii="Century Gothic" w:eastAsia="Times New Roman" w:hAnsi="Century Gothic" w:cs="Times New Roman"/>
                <w:b/>
                <w:bCs/>
                <w:sz w:val="20"/>
                <w:szCs w:val="20"/>
                <w:lang w:val="wo-SN" w:eastAsia="wo-SN"/>
              </w:rPr>
              <w:t>2011</w:t>
            </w:r>
          </w:p>
        </w:tc>
        <w:tc>
          <w:tcPr>
            <w:tcW w:w="3260" w:type="dxa"/>
            <w:shd w:val="clear" w:color="auto" w:fill="auto"/>
          </w:tcPr>
          <w:p w14:paraId="2E50C914"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 bois mort</w:t>
            </w:r>
          </w:p>
        </w:tc>
        <w:tc>
          <w:tcPr>
            <w:tcW w:w="1052" w:type="dxa"/>
            <w:shd w:val="clear" w:color="auto" w:fill="auto"/>
          </w:tcPr>
          <w:p w14:paraId="6C3EBFD5"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3E5237BB"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7330C364"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2 – 10 </w:t>
            </w:r>
          </w:p>
        </w:tc>
      </w:tr>
      <w:tr w:rsidR="005625B5" w:rsidRPr="005F6B59" w14:paraId="0F26FF75" w14:textId="77777777" w:rsidTr="00FB354B">
        <w:tc>
          <w:tcPr>
            <w:tcW w:w="959" w:type="dxa"/>
            <w:vMerge/>
            <w:shd w:val="clear" w:color="auto" w:fill="auto"/>
          </w:tcPr>
          <w:p w14:paraId="0A9D729A"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554231F2"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des PFNL</w:t>
            </w:r>
          </w:p>
        </w:tc>
        <w:tc>
          <w:tcPr>
            <w:tcW w:w="1052" w:type="dxa"/>
            <w:shd w:val="clear" w:color="auto" w:fill="auto"/>
          </w:tcPr>
          <w:p w14:paraId="6782ED00"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24CAFBE8"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1A2EC422"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2 – 10 </w:t>
            </w:r>
          </w:p>
        </w:tc>
      </w:tr>
      <w:tr w:rsidR="005625B5" w:rsidRPr="005F6B59" w14:paraId="483A832D" w14:textId="77777777" w:rsidTr="00FB354B">
        <w:tc>
          <w:tcPr>
            <w:tcW w:w="959" w:type="dxa"/>
            <w:vMerge/>
            <w:shd w:val="clear" w:color="auto" w:fill="auto"/>
          </w:tcPr>
          <w:p w14:paraId="6622DA55"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621EDCDF"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Exploitation de bois vert </w:t>
            </w:r>
          </w:p>
        </w:tc>
        <w:tc>
          <w:tcPr>
            <w:tcW w:w="1052" w:type="dxa"/>
            <w:shd w:val="clear" w:color="auto" w:fill="auto"/>
          </w:tcPr>
          <w:p w14:paraId="550C49BA"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56 </w:t>
            </w:r>
            <w:r w:rsidRPr="005F6B59">
              <w:rPr>
                <w:rFonts w:ascii="Century Gothic" w:hAnsi="Century Gothic"/>
                <w:sz w:val="20"/>
                <w:szCs w:val="20"/>
              </w:rPr>
              <w:t>m³</w:t>
            </w:r>
          </w:p>
        </w:tc>
        <w:tc>
          <w:tcPr>
            <w:tcW w:w="2268" w:type="dxa"/>
            <w:shd w:val="clear" w:color="auto" w:fill="auto"/>
          </w:tcPr>
          <w:p w14:paraId="537541EE"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546F2DBD"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1 </w:t>
            </w:r>
          </w:p>
        </w:tc>
      </w:tr>
      <w:tr w:rsidR="005625B5" w:rsidRPr="005F6B59" w14:paraId="3C25FC2E" w14:textId="77777777" w:rsidTr="00FB354B">
        <w:tc>
          <w:tcPr>
            <w:tcW w:w="959" w:type="dxa"/>
            <w:vMerge/>
            <w:shd w:val="clear" w:color="auto" w:fill="auto"/>
          </w:tcPr>
          <w:p w14:paraId="07C7352F"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00500BC4"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Protection des parcelles ecploitées  </w:t>
            </w:r>
          </w:p>
        </w:tc>
        <w:tc>
          <w:tcPr>
            <w:tcW w:w="1052" w:type="dxa"/>
            <w:shd w:val="clear" w:color="auto" w:fill="auto"/>
          </w:tcPr>
          <w:p w14:paraId="19E020D1"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9,9 ha</w:t>
            </w:r>
          </w:p>
        </w:tc>
        <w:tc>
          <w:tcPr>
            <w:tcW w:w="2268" w:type="dxa"/>
            <w:shd w:val="clear" w:color="auto" w:fill="auto"/>
          </w:tcPr>
          <w:p w14:paraId="4657B7C3"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2E3180C6"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1 </w:t>
            </w:r>
          </w:p>
        </w:tc>
      </w:tr>
      <w:tr w:rsidR="005625B5" w:rsidRPr="005F6B59" w14:paraId="226CE117" w14:textId="77777777" w:rsidTr="00FB354B">
        <w:tc>
          <w:tcPr>
            <w:tcW w:w="959" w:type="dxa"/>
            <w:vMerge w:val="restart"/>
            <w:shd w:val="clear" w:color="auto" w:fill="auto"/>
          </w:tcPr>
          <w:p w14:paraId="184838CB"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p w14:paraId="25B7938C"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p w14:paraId="0EA4267F"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sidRPr="005F6B59">
              <w:rPr>
                <w:rFonts w:ascii="Century Gothic" w:eastAsia="Times New Roman" w:hAnsi="Century Gothic" w:cs="Times New Roman"/>
                <w:b/>
                <w:bCs/>
                <w:sz w:val="20"/>
                <w:szCs w:val="20"/>
                <w:lang w:val="wo-SN" w:eastAsia="wo-SN"/>
              </w:rPr>
              <w:t>2012</w:t>
            </w:r>
          </w:p>
          <w:p w14:paraId="4A65984C"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3690845C"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Exploitation de bois mort </w:t>
            </w:r>
          </w:p>
        </w:tc>
        <w:tc>
          <w:tcPr>
            <w:tcW w:w="1052" w:type="dxa"/>
            <w:shd w:val="clear" w:color="auto" w:fill="auto"/>
          </w:tcPr>
          <w:p w14:paraId="613294B6"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6C7FFB68"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04DCB733"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3 – 10 </w:t>
            </w:r>
          </w:p>
        </w:tc>
      </w:tr>
      <w:tr w:rsidR="005625B5" w:rsidRPr="005F6B59" w14:paraId="42A69062" w14:textId="77777777" w:rsidTr="00FB354B">
        <w:tc>
          <w:tcPr>
            <w:tcW w:w="959" w:type="dxa"/>
            <w:vMerge/>
            <w:shd w:val="clear" w:color="auto" w:fill="auto"/>
          </w:tcPr>
          <w:p w14:paraId="460406B9"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2382B91B"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des PFNL</w:t>
            </w:r>
          </w:p>
        </w:tc>
        <w:tc>
          <w:tcPr>
            <w:tcW w:w="1052" w:type="dxa"/>
            <w:shd w:val="clear" w:color="auto" w:fill="auto"/>
          </w:tcPr>
          <w:p w14:paraId="690408BD"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5AD022E2"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7DD72B56"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3 – 10 </w:t>
            </w:r>
          </w:p>
        </w:tc>
      </w:tr>
      <w:tr w:rsidR="005625B5" w:rsidRPr="005F6B59" w14:paraId="4AC64503" w14:textId="77777777" w:rsidTr="00FB354B">
        <w:tc>
          <w:tcPr>
            <w:tcW w:w="959" w:type="dxa"/>
            <w:vMerge/>
            <w:shd w:val="clear" w:color="auto" w:fill="auto"/>
          </w:tcPr>
          <w:p w14:paraId="0AFDC91C"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4518F1EA"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 bois vert</w:t>
            </w:r>
          </w:p>
        </w:tc>
        <w:tc>
          <w:tcPr>
            <w:tcW w:w="1052" w:type="dxa"/>
            <w:shd w:val="clear" w:color="auto" w:fill="auto"/>
          </w:tcPr>
          <w:p w14:paraId="6905876E"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56 </w:t>
            </w:r>
            <w:r w:rsidRPr="005F6B59">
              <w:rPr>
                <w:rFonts w:ascii="Century Gothic" w:hAnsi="Century Gothic"/>
                <w:sz w:val="20"/>
                <w:szCs w:val="20"/>
              </w:rPr>
              <w:t>m³</w:t>
            </w:r>
          </w:p>
        </w:tc>
        <w:tc>
          <w:tcPr>
            <w:tcW w:w="2268" w:type="dxa"/>
            <w:shd w:val="clear" w:color="auto" w:fill="auto"/>
          </w:tcPr>
          <w:p w14:paraId="1429769B"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15B7E483"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2 </w:t>
            </w:r>
          </w:p>
        </w:tc>
      </w:tr>
      <w:tr w:rsidR="005625B5" w:rsidRPr="005F6B59" w14:paraId="1FE23E69" w14:textId="77777777" w:rsidTr="00FB354B">
        <w:tc>
          <w:tcPr>
            <w:tcW w:w="959" w:type="dxa"/>
            <w:vMerge/>
            <w:shd w:val="clear" w:color="auto" w:fill="auto"/>
          </w:tcPr>
          <w:p w14:paraId="3352729C"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7D03A16F"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Protection des parcelles ecploitées  </w:t>
            </w:r>
          </w:p>
        </w:tc>
        <w:tc>
          <w:tcPr>
            <w:tcW w:w="1052" w:type="dxa"/>
            <w:shd w:val="clear" w:color="auto" w:fill="auto"/>
          </w:tcPr>
          <w:p w14:paraId="0F552C91"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9,9 ha</w:t>
            </w:r>
          </w:p>
        </w:tc>
        <w:tc>
          <w:tcPr>
            <w:tcW w:w="2268" w:type="dxa"/>
            <w:shd w:val="clear" w:color="auto" w:fill="auto"/>
          </w:tcPr>
          <w:p w14:paraId="519B7949"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5488D1B7"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1, 2  </w:t>
            </w:r>
          </w:p>
        </w:tc>
      </w:tr>
      <w:tr w:rsidR="005625B5" w:rsidRPr="005F6B59" w14:paraId="26554353" w14:textId="77777777" w:rsidTr="00FB354B">
        <w:tc>
          <w:tcPr>
            <w:tcW w:w="959" w:type="dxa"/>
            <w:vMerge w:val="restart"/>
            <w:shd w:val="clear" w:color="auto" w:fill="auto"/>
          </w:tcPr>
          <w:p w14:paraId="45810F52"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p w14:paraId="03359A14"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p w14:paraId="3A64AA36"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sidRPr="005F6B59">
              <w:rPr>
                <w:rFonts w:ascii="Century Gothic" w:eastAsia="Times New Roman" w:hAnsi="Century Gothic" w:cs="Times New Roman"/>
                <w:b/>
                <w:bCs/>
                <w:sz w:val="20"/>
                <w:szCs w:val="20"/>
                <w:lang w:val="wo-SN" w:eastAsia="wo-SN"/>
              </w:rPr>
              <w:t>2</w:t>
            </w:r>
            <w:r>
              <w:rPr>
                <w:rFonts w:ascii="Century Gothic" w:eastAsia="Times New Roman" w:hAnsi="Century Gothic" w:cs="Times New Roman"/>
                <w:b/>
                <w:bCs/>
                <w:sz w:val="20"/>
                <w:szCs w:val="20"/>
                <w:lang w:val="wo-SN" w:eastAsia="wo-SN"/>
              </w:rPr>
              <w:t>0</w:t>
            </w:r>
            <w:r w:rsidRPr="005F6B59">
              <w:rPr>
                <w:rFonts w:ascii="Century Gothic" w:eastAsia="Times New Roman" w:hAnsi="Century Gothic" w:cs="Times New Roman"/>
                <w:b/>
                <w:bCs/>
                <w:sz w:val="20"/>
                <w:szCs w:val="20"/>
                <w:lang w:val="wo-SN" w:eastAsia="wo-SN"/>
              </w:rPr>
              <w:t>13</w:t>
            </w:r>
          </w:p>
        </w:tc>
        <w:tc>
          <w:tcPr>
            <w:tcW w:w="3260" w:type="dxa"/>
            <w:shd w:val="clear" w:color="auto" w:fill="auto"/>
          </w:tcPr>
          <w:p w14:paraId="42E2B542"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Exploitation de bois mort </w:t>
            </w:r>
          </w:p>
        </w:tc>
        <w:tc>
          <w:tcPr>
            <w:tcW w:w="1052" w:type="dxa"/>
            <w:shd w:val="clear" w:color="auto" w:fill="auto"/>
          </w:tcPr>
          <w:p w14:paraId="0E507514"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3FA83A69"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33D5A630"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4 – 10 </w:t>
            </w:r>
          </w:p>
        </w:tc>
      </w:tr>
      <w:tr w:rsidR="005625B5" w:rsidRPr="005F6B59" w14:paraId="59D582EC" w14:textId="77777777" w:rsidTr="00FB354B">
        <w:tc>
          <w:tcPr>
            <w:tcW w:w="959" w:type="dxa"/>
            <w:vMerge/>
            <w:shd w:val="clear" w:color="auto" w:fill="auto"/>
          </w:tcPr>
          <w:p w14:paraId="3004905C"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3A22DEA8"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des PFNL</w:t>
            </w:r>
          </w:p>
        </w:tc>
        <w:tc>
          <w:tcPr>
            <w:tcW w:w="1052" w:type="dxa"/>
            <w:shd w:val="clear" w:color="auto" w:fill="auto"/>
          </w:tcPr>
          <w:p w14:paraId="66C4A693"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2137438D"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60272C25"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4 – 10 </w:t>
            </w:r>
          </w:p>
        </w:tc>
      </w:tr>
      <w:tr w:rsidR="005625B5" w:rsidRPr="005F6B59" w14:paraId="2119AE1C" w14:textId="77777777" w:rsidTr="00FB354B">
        <w:tc>
          <w:tcPr>
            <w:tcW w:w="959" w:type="dxa"/>
            <w:vMerge/>
            <w:shd w:val="clear" w:color="auto" w:fill="auto"/>
          </w:tcPr>
          <w:p w14:paraId="6F0C7EC2"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4D67CF50"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 bois vert</w:t>
            </w:r>
          </w:p>
        </w:tc>
        <w:tc>
          <w:tcPr>
            <w:tcW w:w="1052" w:type="dxa"/>
            <w:shd w:val="clear" w:color="auto" w:fill="auto"/>
          </w:tcPr>
          <w:p w14:paraId="22890D33"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56 </w:t>
            </w:r>
            <w:r w:rsidRPr="005F6B59">
              <w:rPr>
                <w:rFonts w:ascii="Century Gothic" w:hAnsi="Century Gothic"/>
                <w:sz w:val="20"/>
                <w:szCs w:val="20"/>
              </w:rPr>
              <w:t>m³</w:t>
            </w:r>
          </w:p>
        </w:tc>
        <w:tc>
          <w:tcPr>
            <w:tcW w:w="2268" w:type="dxa"/>
            <w:shd w:val="clear" w:color="auto" w:fill="auto"/>
          </w:tcPr>
          <w:p w14:paraId="7ECC2EE5"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7A30116E"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Parcelles 3</w:t>
            </w:r>
          </w:p>
        </w:tc>
      </w:tr>
      <w:tr w:rsidR="005625B5" w:rsidRPr="005F6B59" w14:paraId="1F587A73" w14:textId="77777777" w:rsidTr="00FB354B">
        <w:tc>
          <w:tcPr>
            <w:tcW w:w="959" w:type="dxa"/>
            <w:vMerge/>
            <w:shd w:val="clear" w:color="auto" w:fill="auto"/>
          </w:tcPr>
          <w:p w14:paraId="71393977"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3B5E8D81"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Protection des parcelles exploitées  </w:t>
            </w:r>
          </w:p>
        </w:tc>
        <w:tc>
          <w:tcPr>
            <w:tcW w:w="1052" w:type="dxa"/>
            <w:shd w:val="clear" w:color="auto" w:fill="auto"/>
          </w:tcPr>
          <w:p w14:paraId="356770B2"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9,9 ha</w:t>
            </w:r>
          </w:p>
        </w:tc>
        <w:tc>
          <w:tcPr>
            <w:tcW w:w="2268" w:type="dxa"/>
            <w:shd w:val="clear" w:color="auto" w:fill="auto"/>
          </w:tcPr>
          <w:p w14:paraId="5C5B268B"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2FE28015"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Parcelles 1, 2, 3</w:t>
            </w:r>
          </w:p>
        </w:tc>
      </w:tr>
      <w:tr w:rsidR="005625B5" w:rsidRPr="005F6B59" w14:paraId="4C1A26B9" w14:textId="77777777" w:rsidTr="00FB354B">
        <w:tc>
          <w:tcPr>
            <w:tcW w:w="959" w:type="dxa"/>
            <w:vMerge w:val="restart"/>
            <w:shd w:val="clear" w:color="auto" w:fill="auto"/>
          </w:tcPr>
          <w:p w14:paraId="205E58EF"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p w14:paraId="5E86836B"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p w14:paraId="696C7B5B"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sidRPr="005F6B59">
              <w:rPr>
                <w:rFonts w:ascii="Century Gothic" w:eastAsia="Times New Roman" w:hAnsi="Century Gothic" w:cs="Times New Roman"/>
                <w:b/>
                <w:bCs/>
                <w:sz w:val="20"/>
                <w:szCs w:val="20"/>
                <w:lang w:val="wo-SN" w:eastAsia="wo-SN"/>
              </w:rPr>
              <w:t>2014</w:t>
            </w:r>
          </w:p>
        </w:tc>
        <w:tc>
          <w:tcPr>
            <w:tcW w:w="3260" w:type="dxa"/>
            <w:shd w:val="clear" w:color="auto" w:fill="auto"/>
          </w:tcPr>
          <w:p w14:paraId="01C549F3"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Exploitation de bois mort </w:t>
            </w:r>
          </w:p>
        </w:tc>
        <w:tc>
          <w:tcPr>
            <w:tcW w:w="1052" w:type="dxa"/>
            <w:shd w:val="clear" w:color="auto" w:fill="auto"/>
          </w:tcPr>
          <w:p w14:paraId="08B2945F"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45F2B09E"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0A6E7F66"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1, 5 – 10 </w:t>
            </w:r>
          </w:p>
        </w:tc>
      </w:tr>
      <w:tr w:rsidR="005625B5" w:rsidRPr="005F6B59" w14:paraId="3D6EAB5B" w14:textId="77777777" w:rsidTr="00FB354B">
        <w:tc>
          <w:tcPr>
            <w:tcW w:w="959" w:type="dxa"/>
            <w:vMerge/>
            <w:shd w:val="clear" w:color="auto" w:fill="auto"/>
          </w:tcPr>
          <w:p w14:paraId="224C69AA"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687E6C28"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des PFNL</w:t>
            </w:r>
          </w:p>
        </w:tc>
        <w:tc>
          <w:tcPr>
            <w:tcW w:w="1052" w:type="dxa"/>
            <w:shd w:val="clear" w:color="auto" w:fill="auto"/>
          </w:tcPr>
          <w:p w14:paraId="55082CB9"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35A88827"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1D7C1CEE"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1, 5 – 10 </w:t>
            </w:r>
          </w:p>
        </w:tc>
      </w:tr>
      <w:tr w:rsidR="005625B5" w:rsidRPr="005F6B59" w14:paraId="53884593" w14:textId="77777777" w:rsidTr="00FB354B">
        <w:tc>
          <w:tcPr>
            <w:tcW w:w="959" w:type="dxa"/>
            <w:vMerge/>
            <w:shd w:val="clear" w:color="auto" w:fill="auto"/>
          </w:tcPr>
          <w:p w14:paraId="59B0942E"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6631858C"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 bois vert</w:t>
            </w:r>
          </w:p>
        </w:tc>
        <w:tc>
          <w:tcPr>
            <w:tcW w:w="1052" w:type="dxa"/>
            <w:shd w:val="clear" w:color="auto" w:fill="auto"/>
          </w:tcPr>
          <w:p w14:paraId="14DD27B9"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56 </w:t>
            </w:r>
            <w:r w:rsidRPr="005F6B59">
              <w:rPr>
                <w:rFonts w:ascii="Century Gothic" w:hAnsi="Century Gothic"/>
                <w:sz w:val="20"/>
                <w:szCs w:val="20"/>
              </w:rPr>
              <w:t>m³</w:t>
            </w:r>
          </w:p>
        </w:tc>
        <w:tc>
          <w:tcPr>
            <w:tcW w:w="2268" w:type="dxa"/>
            <w:shd w:val="clear" w:color="auto" w:fill="auto"/>
          </w:tcPr>
          <w:p w14:paraId="0349B236"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3D467877"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4  </w:t>
            </w:r>
          </w:p>
        </w:tc>
      </w:tr>
      <w:tr w:rsidR="005625B5" w:rsidRPr="005F6B59" w14:paraId="073DD232" w14:textId="77777777" w:rsidTr="00FB354B">
        <w:tc>
          <w:tcPr>
            <w:tcW w:w="959" w:type="dxa"/>
            <w:vMerge/>
            <w:shd w:val="clear" w:color="auto" w:fill="auto"/>
          </w:tcPr>
          <w:p w14:paraId="2DE1E8CD"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4EACD67D"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Protection des parcelles exploitées  </w:t>
            </w:r>
          </w:p>
        </w:tc>
        <w:tc>
          <w:tcPr>
            <w:tcW w:w="1052" w:type="dxa"/>
            <w:shd w:val="clear" w:color="auto" w:fill="auto"/>
          </w:tcPr>
          <w:p w14:paraId="57AD6754"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9,9 ha</w:t>
            </w:r>
          </w:p>
        </w:tc>
        <w:tc>
          <w:tcPr>
            <w:tcW w:w="2268" w:type="dxa"/>
            <w:shd w:val="clear" w:color="auto" w:fill="auto"/>
          </w:tcPr>
          <w:p w14:paraId="3261ED43"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71D804D2"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2, 3, 4 </w:t>
            </w:r>
          </w:p>
        </w:tc>
      </w:tr>
      <w:tr w:rsidR="005625B5" w:rsidRPr="005F6B59" w14:paraId="5496AB00" w14:textId="77777777" w:rsidTr="00FB354B">
        <w:tc>
          <w:tcPr>
            <w:tcW w:w="959" w:type="dxa"/>
            <w:vMerge w:val="restart"/>
            <w:shd w:val="clear" w:color="auto" w:fill="auto"/>
          </w:tcPr>
          <w:p w14:paraId="69B57CD6"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p w14:paraId="7283122E"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p w14:paraId="295D52E4"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sidRPr="005F6B59">
              <w:rPr>
                <w:rFonts w:ascii="Century Gothic" w:eastAsia="Times New Roman" w:hAnsi="Century Gothic" w:cs="Times New Roman"/>
                <w:b/>
                <w:bCs/>
                <w:sz w:val="20"/>
                <w:szCs w:val="20"/>
                <w:lang w:val="wo-SN" w:eastAsia="wo-SN"/>
              </w:rPr>
              <w:t>2015</w:t>
            </w:r>
          </w:p>
        </w:tc>
        <w:tc>
          <w:tcPr>
            <w:tcW w:w="3260" w:type="dxa"/>
            <w:shd w:val="clear" w:color="auto" w:fill="auto"/>
          </w:tcPr>
          <w:p w14:paraId="7C41C91E"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Exploitation de bois mort </w:t>
            </w:r>
          </w:p>
        </w:tc>
        <w:tc>
          <w:tcPr>
            <w:tcW w:w="1052" w:type="dxa"/>
            <w:shd w:val="clear" w:color="auto" w:fill="auto"/>
          </w:tcPr>
          <w:p w14:paraId="02CD915E"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234E743B"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13CDADF1"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1, 2, 6 – 10 </w:t>
            </w:r>
          </w:p>
        </w:tc>
      </w:tr>
      <w:tr w:rsidR="005625B5" w:rsidRPr="005F6B59" w14:paraId="026014F1" w14:textId="77777777" w:rsidTr="00FB354B">
        <w:tc>
          <w:tcPr>
            <w:tcW w:w="959" w:type="dxa"/>
            <w:vMerge/>
            <w:shd w:val="clear" w:color="auto" w:fill="auto"/>
          </w:tcPr>
          <w:p w14:paraId="332AFE89"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137397F4"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des PFNL</w:t>
            </w:r>
          </w:p>
        </w:tc>
        <w:tc>
          <w:tcPr>
            <w:tcW w:w="1052" w:type="dxa"/>
            <w:shd w:val="clear" w:color="auto" w:fill="auto"/>
          </w:tcPr>
          <w:p w14:paraId="5499185F"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1048DF36"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56A7E745"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1, 2, 6 – 10 </w:t>
            </w:r>
          </w:p>
        </w:tc>
      </w:tr>
      <w:tr w:rsidR="005625B5" w:rsidRPr="005F6B59" w14:paraId="77F17591" w14:textId="77777777" w:rsidTr="00FB354B">
        <w:tc>
          <w:tcPr>
            <w:tcW w:w="959" w:type="dxa"/>
            <w:vMerge/>
            <w:shd w:val="clear" w:color="auto" w:fill="auto"/>
          </w:tcPr>
          <w:p w14:paraId="3B1010FB"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72684633"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 bois vert</w:t>
            </w:r>
          </w:p>
        </w:tc>
        <w:tc>
          <w:tcPr>
            <w:tcW w:w="1052" w:type="dxa"/>
            <w:shd w:val="clear" w:color="auto" w:fill="auto"/>
          </w:tcPr>
          <w:p w14:paraId="2559FB47"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56 </w:t>
            </w:r>
            <w:r w:rsidRPr="005F6B59">
              <w:rPr>
                <w:rFonts w:ascii="Century Gothic" w:hAnsi="Century Gothic"/>
                <w:sz w:val="20"/>
                <w:szCs w:val="20"/>
              </w:rPr>
              <w:t>m³</w:t>
            </w:r>
          </w:p>
        </w:tc>
        <w:tc>
          <w:tcPr>
            <w:tcW w:w="2268" w:type="dxa"/>
            <w:shd w:val="clear" w:color="auto" w:fill="auto"/>
          </w:tcPr>
          <w:p w14:paraId="0809AA3D"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75D498A9"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Parcelles 5</w:t>
            </w:r>
          </w:p>
        </w:tc>
      </w:tr>
      <w:tr w:rsidR="005625B5" w:rsidRPr="005F6B59" w14:paraId="0B85670E" w14:textId="77777777" w:rsidTr="00FB354B">
        <w:tc>
          <w:tcPr>
            <w:tcW w:w="959" w:type="dxa"/>
            <w:vMerge/>
            <w:shd w:val="clear" w:color="auto" w:fill="auto"/>
          </w:tcPr>
          <w:p w14:paraId="0538245B"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55D76118"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Protection des parcelles exploitées  </w:t>
            </w:r>
          </w:p>
        </w:tc>
        <w:tc>
          <w:tcPr>
            <w:tcW w:w="1052" w:type="dxa"/>
            <w:shd w:val="clear" w:color="auto" w:fill="auto"/>
          </w:tcPr>
          <w:p w14:paraId="42B4ABBD"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9,9 ha</w:t>
            </w:r>
          </w:p>
        </w:tc>
        <w:tc>
          <w:tcPr>
            <w:tcW w:w="2268" w:type="dxa"/>
            <w:shd w:val="clear" w:color="auto" w:fill="auto"/>
          </w:tcPr>
          <w:p w14:paraId="282D3938"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69F8DEBA"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3, 4, 5 </w:t>
            </w:r>
          </w:p>
        </w:tc>
      </w:tr>
      <w:tr w:rsidR="005625B5" w:rsidRPr="005F6B59" w14:paraId="4CF0ECFD" w14:textId="77777777" w:rsidTr="00FB354B">
        <w:tc>
          <w:tcPr>
            <w:tcW w:w="959" w:type="dxa"/>
            <w:vMerge w:val="restart"/>
            <w:shd w:val="clear" w:color="auto" w:fill="auto"/>
          </w:tcPr>
          <w:p w14:paraId="17CF43A1"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p w14:paraId="05622C2B"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p w14:paraId="22451556"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sidRPr="005F6B59">
              <w:rPr>
                <w:rFonts w:ascii="Century Gothic" w:eastAsia="Times New Roman" w:hAnsi="Century Gothic" w:cs="Times New Roman"/>
                <w:b/>
                <w:bCs/>
                <w:sz w:val="20"/>
                <w:szCs w:val="20"/>
                <w:lang w:val="wo-SN" w:eastAsia="wo-SN"/>
              </w:rPr>
              <w:t>2016</w:t>
            </w:r>
          </w:p>
        </w:tc>
        <w:tc>
          <w:tcPr>
            <w:tcW w:w="3260" w:type="dxa"/>
            <w:shd w:val="clear" w:color="auto" w:fill="auto"/>
          </w:tcPr>
          <w:p w14:paraId="4F50420F"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Exploitation de bois mort </w:t>
            </w:r>
          </w:p>
        </w:tc>
        <w:tc>
          <w:tcPr>
            <w:tcW w:w="1052" w:type="dxa"/>
            <w:shd w:val="clear" w:color="auto" w:fill="auto"/>
          </w:tcPr>
          <w:p w14:paraId="55030DAB"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71303940"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62114E2D"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1 – 3, 7 – 10 </w:t>
            </w:r>
          </w:p>
        </w:tc>
      </w:tr>
      <w:tr w:rsidR="005625B5" w:rsidRPr="005F6B59" w14:paraId="3E882855" w14:textId="77777777" w:rsidTr="00FB354B">
        <w:tc>
          <w:tcPr>
            <w:tcW w:w="959" w:type="dxa"/>
            <w:vMerge/>
            <w:shd w:val="clear" w:color="auto" w:fill="auto"/>
          </w:tcPr>
          <w:p w14:paraId="51C07B2E"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6042624F"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des PFNL</w:t>
            </w:r>
          </w:p>
        </w:tc>
        <w:tc>
          <w:tcPr>
            <w:tcW w:w="1052" w:type="dxa"/>
            <w:shd w:val="clear" w:color="auto" w:fill="auto"/>
          </w:tcPr>
          <w:p w14:paraId="6DC25F4A"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54CE9DFB"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158F8904"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1 – 3, 7 – 10 </w:t>
            </w:r>
          </w:p>
        </w:tc>
      </w:tr>
      <w:tr w:rsidR="005625B5" w:rsidRPr="005F6B59" w14:paraId="0F9096AC" w14:textId="77777777" w:rsidTr="00FB354B">
        <w:tc>
          <w:tcPr>
            <w:tcW w:w="959" w:type="dxa"/>
            <w:vMerge/>
            <w:shd w:val="clear" w:color="auto" w:fill="auto"/>
          </w:tcPr>
          <w:p w14:paraId="08802278"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36B7040D"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 bois vert</w:t>
            </w:r>
          </w:p>
        </w:tc>
        <w:tc>
          <w:tcPr>
            <w:tcW w:w="1052" w:type="dxa"/>
            <w:shd w:val="clear" w:color="auto" w:fill="auto"/>
          </w:tcPr>
          <w:p w14:paraId="262331E1"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56 </w:t>
            </w:r>
            <w:r w:rsidRPr="005F6B59">
              <w:rPr>
                <w:rFonts w:ascii="Century Gothic" w:hAnsi="Century Gothic"/>
                <w:sz w:val="20"/>
                <w:szCs w:val="20"/>
              </w:rPr>
              <w:t>m³</w:t>
            </w:r>
          </w:p>
        </w:tc>
        <w:tc>
          <w:tcPr>
            <w:tcW w:w="2268" w:type="dxa"/>
            <w:shd w:val="clear" w:color="auto" w:fill="auto"/>
          </w:tcPr>
          <w:p w14:paraId="2F3D3F55"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5BB37B5D"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Parcelles 6</w:t>
            </w:r>
          </w:p>
        </w:tc>
      </w:tr>
      <w:tr w:rsidR="005625B5" w:rsidRPr="005F6B59" w14:paraId="0991CDD0" w14:textId="77777777" w:rsidTr="00FB354B">
        <w:tc>
          <w:tcPr>
            <w:tcW w:w="959" w:type="dxa"/>
            <w:vMerge/>
            <w:shd w:val="clear" w:color="auto" w:fill="auto"/>
          </w:tcPr>
          <w:p w14:paraId="38F10FF0"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12FD40A8"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Protection des parcelles exploitées  </w:t>
            </w:r>
          </w:p>
        </w:tc>
        <w:tc>
          <w:tcPr>
            <w:tcW w:w="1052" w:type="dxa"/>
            <w:shd w:val="clear" w:color="auto" w:fill="auto"/>
          </w:tcPr>
          <w:p w14:paraId="18A6380A"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9,9 ha</w:t>
            </w:r>
          </w:p>
        </w:tc>
        <w:tc>
          <w:tcPr>
            <w:tcW w:w="2268" w:type="dxa"/>
            <w:shd w:val="clear" w:color="auto" w:fill="auto"/>
          </w:tcPr>
          <w:p w14:paraId="3BC0844A"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639FEE9C"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4, 5, 6 </w:t>
            </w:r>
          </w:p>
        </w:tc>
      </w:tr>
      <w:tr w:rsidR="005625B5" w:rsidRPr="005F6B59" w14:paraId="381C9309" w14:textId="77777777" w:rsidTr="00FB354B">
        <w:tc>
          <w:tcPr>
            <w:tcW w:w="959" w:type="dxa"/>
            <w:vMerge w:val="restart"/>
            <w:shd w:val="clear" w:color="auto" w:fill="auto"/>
          </w:tcPr>
          <w:p w14:paraId="399150B2"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p w14:paraId="16D195FB"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p w14:paraId="01738572"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sidRPr="005F6B59">
              <w:rPr>
                <w:rFonts w:ascii="Century Gothic" w:eastAsia="Times New Roman" w:hAnsi="Century Gothic" w:cs="Times New Roman"/>
                <w:b/>
                <w:bCs/>
                <w:sz w:val="20"/>
                <w:szCs w:val="20"/>
                <w:lang w:val="wo-SN" w:eastAsia="wo-SN"/>
              </w:rPr>
              <w:t>2017</w:t>
            </w:r>
          </w:p>
        </w:tc>
        <w:tc>
          <w:tcPr>
            <w:tcW w:w="3260" w:type="dxa"/>
            <w:shd w:val="clear" w:color="auto" w:fill="auto"/>
          </w:tcPr>
          <w:p w14:paraId="47D30FED"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Exploitation de bois mort </w:t>
            </w:r>
          </w:p>
        </w:tc>
        <w:tc>
          <w:tcPr>
            <w:tcW w:w="1052" w:type="dxa"/>
            <w:shd w:val="clear" w:color="auto" w:fill="auto"/>
          </w:tcPr>
          <w:p w14:paraId="0716C2B5"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0F383CE6"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7B84FE4C"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1 – 4, 8 – 10 </w:t>
            </w:r>
          </w:p>
        </w:tc>
      </w:tr>
      <w:tr w:rsidR="005625B5" w:rsidRPr="005F6B59" w14:paraId="096AB183" w14:textId="77777777" w:rsidTr="00FB354B">
        <w:tc>
          <w:tcPr>
            <w:tcW w:w="959" w:type="dxa"/>
            <w:vMerge/>
            <w:shd w:val="clear" w:color="auto" w:fill="auto"/>
          </w:tcPr>
          <w:p w14:paraId="3B4189A0"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5C49924B"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des PFNL</w:t>
            </w:r>
          </w:p>
        </w:tc>
        <w:tc>
          <w:tcPr>
            <w:tcW w:w="1052" w:type="dxa"/>
            <w:shd w:val="clear" w:color="auto" w:fill="auto"/>
          </w:tcPr>
          <w:p w14:paraId="0D7E38EA"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3E5A318A"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252B4E61"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1 – 4, 8 – 10 </w:t>
            </w:r>
          </w:p>
        </w:tc>
      </w:tr>
      <w:tr w:rsidR="005625B5" w:rsidRPr="005F6B59" w14:paraId="4419F57D" w14:textId="77777777" w:rsidTr="00FB354B">
        <w:tc>
          <w:tcPr>
            <w:tcW w:w="959" w:type="dxa"/>
            <w:vMerge/>
            <w:shd w:val="clear" w:color="auto" w:fill="auto"/>
          </w:tcPr>
          <w:p w14:paraId="5D28B2FF"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7D67DA9E"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 bois vert</w:t>
            </w:r>
          </w:p>
        </w:tc>
        <w:tc>
          <w:tcPr>
            <w:tcW w:w="1052" w:type="dxa"/>
            <w:shd w:val="clear" w:color="auto" w:fill="auto"/>
          </w:tcPr>
          <w:p w14:paraId="143AD484"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56 </w:t>
            </w:r>
            <w:r w:rsidRPr="005F6B59">
              <w:rPr>
                <w:rFonts w:ascii="Century Gothic" w:hAnsi="Century Gothic"/>
                <w:sz w:val="20"/>
                <w:szCs w:val="20"/>
              </w:rPr>
              <w:t>m³</w:t>
            </w:r>
          </w:p>
        </w:tc>
        <w:tc>
          <w:tcPr>
            <w:tcW w:w="2268" w:type="dxa"/>
            <w:shd w:val="clear" w:color="auto" w:fill="auto"/>
          </w:tcPr>
          <w:p w14:paraId="2FF77BD5"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445676D7"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Parcelles 7</w:t>
            </w:r>
          </w:p>
        </w:tc>
      </w:tr>
      <w:tr w:rsidR="005625B5" w:rsidRPr="005F6B59" w14:paraId="7A0C822D" w14:textId="77777777" w:rsidTr="00FB354B">
        <w:tc>
          <w:tcPr>
            <w:tcW w:w="959" w:type="dxa"/>
            <w:vMerge/>
            <w:shd w:val="clear" w:color="auto" w:fill="auto"/>
          </w:tcPr>
          <w:p w14:paraId="32EB9F04"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144037CB"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Protection des parcelles exploitées  </w:t>
            </w:r>
          </w:p>
        </w:tc>
        <w:tc>
          <w:tcPr>
            <w:tcW w:w="1052" w:type="dxa"/>
            <w:shd w:val="clear" w:color="auto" w:fill="auto"/>
          </w:tcPr>
          <w:p w14:paraId="7EA92A54"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9,9 ha</w:t>
            </w:r>
          </w:p>
        </w:tc>
        <w:tc>
          <w:tcPr>
            <w:tcW w:w="2268" w:type="dxa"/>
            <w:shd w:val="clear" w:color="auto" w:fill="auto"/>
          </w:tcPr>
          <w:p w14:paraId="3AC9D293"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6BA02731"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5, 6, 7 </w:t>
            </w:r>
          </w:p>
        </w:tc>
      </w:tr>
      <w:tr w:rsidR="005625B5" w:rsidRPr="005F6B59" w14:paraId="41B062F3" w14:textId="77777777" w:rsidTr="00FB354B">
        <w:tc>
          <w:tcPr>
            <w:tcW w:w="959" w:type="dxa"/>
            <w:vMerge w:val="restart"/>
            <w:shd w:val="clear" w:color="auto" w:fill="auto"/>
          </w:tcPr>
          <w:p w14:paraId="4CEAF075"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p w14:paraId="6C1798EF"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p w14:paraId="60530042"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r w:rsidRPr="005F6B59">
              <w:rPr>
                <w:rFonts w:ascii="Century Gothic" w:eastAsia="Times New Roman" w:hAnsi="Century Gothic" w:cs="Times New Roman"/>
                <w:b/>
                <w:bCs/>
                <w:sz w:val="20"/>
                <w:szCs w:val="20"/>
                <w:lang w:val="wo-SN" w:eastAsia="wo-SN"/>
              </w:rPr>
              <w:t>2018</w:t>
            </w:r>
          </w:p>
        </w:tc>
        <w:tc>
          <w:tcPr>
            <w:tcW w:w="3260" w:type="dxa"/>
            <w:shd w:val="clear" w:color="auto" w:fill="auto"/>
          </w:tcPr>
          <w:p w14:paraId="6B3DD27E"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Exploitation de bois mort </w:t>
            </w:r>
          </w:p>
        </w:tc>
        <w:tc>
          <w:tcPr>
            <w:tcW w:w="1052" w:type="dxa"/>
            <w:shd w:val="clear" w:color="auto" w:fill="auto"/>
          </w:tcPr>
          <w:p w14:paraId="3DC128E7"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364B0CF2"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783C7062"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1 – 5, 9 – 10 </w:t>
            </w:r>
          </w:p>
        </w:tc>
      </w:tr>
      <w:tr w:rsidR="005625B5" w:rsidRPr="005F6B59" w14:paraId="4BB79841" w14:textId="77777777" w:rsidTr="00FB354B">
        <w:tc>
          <w:tcPr>
            <w:tcW w:w="959" w:type="dxa"/>
            <w:vMerge/>
            <w:shd w:val="clear" w:color="auto" w:fill="auto"/>
          </w:tcPr>
          <w:p w14:paraId="26D0EE27"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384D1AE5"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des PFNL</w:t>
            </w:r>
          </w:p>
        </w:tc>
        <w:tc>
          <w:tcPr>
            <w:tcW w:w="1052" w:type="dxa"/>
            <w:shd w:val="clear" w:color="auto" w:fill="auto"/>
          </w:tcPr>
          <w:p w14:paraId="010D9D09"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p>
        </w:tc>
        <w:tc>
          <w:tcPr>
            <w:tcW w:w="2268" w:type="dxa"/>
            <w:shd w:val="clear" w:color="auto" w:fill="auto"/>
          </w:tcPr>
          <w:p w14:paraId="024E0D95"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076BC029"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1 – 5, 9 – 10 </w:t>
            </w:r>
          </w:p>
        </w:tc>
      </w:tr>
      <w:tr w:rsidR="005625B5" w:rsidRPr="005F6B59" w14:paraId="56E06A74" w14:textId="77777777" w:rsidTr="00FB354B">
        <w:tc>
          <w:tcPr>
            <w:tcW w:w="959" w:type="dxa"/>
            <w:vMerge/>
            <w:shd w:val="clear" w:color="auto" w:fill="auto"/>
          </w:tcPr>
          <w:p w14:paraId="5D58DF62"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357E974E"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Exploitation de bois vert</w:t>
            </w:r>
          </w:p>
        </w:tc>
        <w:tc>
          <w:tcPr>
            <w:tcW w:w="1052" w:type="dxa"/>
            <w:shd w:val="clear" w:color="auto" w:fill="auto"/>
          </w:tcPr>
          <w:p w14:paraId="547F69F8"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56 </w:t>
            </w:r>
            <w:r w:rsidRPr="005F6B59">
              <w:rPr>
                <w:rFonts w:ascii="Century Gothic" w:hAnsi="Century Gothic"/>
                <w:sz w:val="20"/>
                <w:szCs w:val="20"/>
              </w:rPr>
              <w:t>m³</w:t>
            </w:r>
          </w:p>
        </w:tc>
        <w:tc>
          <w:tcPr>
            <w:tcW w:w="2268" w:type="dxa"/>
            <w:shd w:val="clear" w:color="auto" w:fill="auto"/>
          </w:tcPr>
          <w:p w14:paraId="371138BE"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2ABAAF36"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8 </w:t>
            </w:r>
          </w:p>
        </w:tc>
      </w:tr>
      <w:tr w:rsidR="005625B5" w:rsidRPr="005F6B59" w14:paraId="3FE69C5F" w14:textId="77777777" w:rsidTr="00FB354B">
        <w:tc>
          <w:tcPr>
            <w:tcW w:w="959" w:type="dxa"/>
            <w:vMerge/>
            <w:shd w:val="clear" w:color="auto" w:fill="auto"/>
          </w:tcPr>
          <w:p w14:paraId="7A60DB0C"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b/>
                <w:bCs/>
                <w:sz w:val="20"/>
                <w:szCs w:val="20"/>
                <w:lang w:val="wo-SN" w:eastAsia="wo-SN"/>
              </w:rPr>
            </w:pPr>
          </w:p>
        </w:tc>
        <w:tc>
          <w:tcPr>
            <w:tcW w:w="3260" w:type="dxa"/>
            <w:shd w:val="clear" w:color="auto" w:fill="auto"/>
          </w:tcPr>
          <w:p w14:paraId="70C065AD"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Protection des parcelles exploitées  </w:t>
            </w:r>
          </w:p>
        </w:tc>
        <w:tc>
          <w:tcPr>
            <w:tcW w:w="1052" w:type="dxa"/>
            <w:shd w:val="clear" w:color="auto" w:fill="auto"/>
          </w:tcPr>
          <w:p w14:paraId="200983AD"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9,9 ha</w:t>
            </w:r>
          </w:p>
        </w:tc>
        <w:tc>
          <w:tcPr>
            <w:tcW w:w="2268" w:type="dxa"/>
            <w:shd w:val="clear" w:color="auto" w:fill="auto"/>
          </w:tcPr>
          <w:p w14:paraId="280D57FE" w14:textId="77777777" w:rsidR="005625B5" w:rsidRPr="005F6B59" w:rsidRDefault="005625B5" w:rsidP="00FB354B">
            <w:pPr>
              <w:tabs>
                <w:tab w:val="left" w:pos="426"/>
              </w:tabs>
              <w:spacing w:after="0" w:line="276" w:lineRule="auto"/>
              <w:jc w:val="center"/>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Strate forêt galerie</w:t>
            </w:r>
          </w:p>
        </w:tc>
        <w:tc>
          <w:tcPr>
            <w:tcW w:w="2241" w:type="dxa"/>
            <w:shd w:val="clear" w:color="auto" w:fill="auto"/>
          </w:tcPr>
          <w:p w14:paraId="22F58471" w14:textId="77777777" w:rsidR="005625B5" w:rsidRPr="005F6B59" w:rsidRDefault="005625B5" w:rsidP="00FB354B">
            <w:pPr>
              <w:tabs>
                <w:tab w:val="left" w:pos="426"/>
              </w:tabs>
              <w:spacing w:after="0" w:line="276" w:lineRule="auto"/>
              <w:jc w:val="both"/>
              <w:rPr>
                <w:rFonts w:ascii="Century Gothic" w:eastAsia="Times New Roman" w:hAnsi="Century Gothic" w:cs="Times New Roman"/>
                <w:sz w:val="20"/>
                <w:szCs w:val="20"/>
                <w:lang w:val="wo-SN" w:eastAsia="wo-SN"/>
              </w:rPr>
            </w:pPr>
            <w:r w:rsidRPr="005F6B59">
              <w:rPr>
                <w:rFonts w:ascii="Century Gothic" w:eastAsia="Times New Roman" w:hAnsi="Century Gothic" w:cs="Times New Roman"/>
                <w:sz w:val="20"/>
                <w:szCs w:val="20"/>
                <w:lang w:val="wo-SN" w:eastAsia="wo-SN"/>
              </w:rPr>
              <w:t xml:space="preserve">Parcelles 6, 7, 8 </w:t>
            </w:r>
          </w:p>
        </w:tc>
      </w:tr>
    </w:tbl>
    <w:p w14:paraId="0D09C0A1" w14:textId="77777777" w:rsidR="005625B5" w:rsidRDefault="005625B5" w:rsidP="005625B5">
      <w:pPr>
        <w:pStyle w:val="Corpsdetexte"/>
        <w:spacing w:before="0" w:line="276" w:lineRule="auto"/>
        <w:ind w:left="1080" w:right="138"/>
        <w:jc w:val="right"/>
        <w:rPr>
          <w:rFonts w:ascii="Century Gothic" w:hAnsi="Century Gothic"/>
          <w:b/>
          <w:bCs/>
          <w:sz w:val="20"/>
          <w:szCs w:val="20"/>
        </w:rPr>
      </w:pPr>
      <w:r w:rsidRPr="006A012D">
        <w:rPr>
          <w:rFonts w:ascii="Century Gothic" w:hAnsi="Century Gothic"/>
          <w:b/>
          <w:bCs/>
          <w:sz w:val="20"/>
          <w:szCs w:val="20"/>
        </w:rPr>
        <w:t>Source : ProGRN, 2009</w:t>
      </w:r>
    </w:p>
    <w:p w14:paraId="65588160" w14:textId="77777777" w:rsidR="00613CF8" w:rsidRPr="006A012D" w:rsidRDefault="00613CF8" w:rsidP="005625B5">
      <w:pPr>
        <w:pStyle w:val="Corpsdetexte"/>
        <w:spacing w:before="0" w:line="276" w:lineRule="auto"/>
        <w:ind w:left="1080" w:right="138"/>
        <w:jc w:val="right"/>
        <w:rPr>
          <w:rFonts w:ascii="Century Gothic" w:hAnsi="Century Gothic"/>
          <w:b/>
          <w:bCs/>
          <w:sz w:val="20"/>
          <w:szCs w:val="20"/>
        </w:rPr>
      </w:pPr>
    </w:p>
    <w:bookmarkEnd w:id="2"/>
    <w:p w14:paraId="4A2FAB57" w14:textId="77777777" w:rsidR="005625B5" w:rsidRPr="002107EA" w:rsidRDefault="005625B5" w:rsidP="005625B5"/>
    <w:p w14:paraId="0B1073DC" w14:textId="77777777" w:rsidR="005625B5" w:rsidRDefault="005625B5" w:rsidP="00197515">
      <w:pPr>
        <w:jc w:val="center"/>
        <w:rPr>
          <w:rFonts w:ascii="Century Gothic" w:eastAsia="Times New Roman" w:hAnsi="Century Gothic" w:cs="Times New Roman"/>
          <w:b/>
          <w:bCs/>
          <w:sz w:val="36"/>
          <w:szCs w:val="36"/>
          <w:lang w:val="wo-SN" w:eastAsia="wo-SN"/>
        </w:rPr>
      </w:pPr>
    </w:p>
    <w:p w14:paraId="28E6BCBB" w14:textId="77777777" w:rsidR="00613CF8" w:rsidRDefault="00613CF8" w:rsidP="00197515">
      <w:pPr>
        <w:jc w:val="center"/>
        <w:rPr>
          <w:rFonts w:ascii="Century Gothic" w:eastAsia="Times New Roman" w:hAnsi="Century Gothic" w:cs="Times New Roman"/>
          <w:b/>
          <w:bCs/>
          <w:sz w:val="36"/>
          <w:szCs w:val="36"/>
          <w:lang w:val="wo-SN" w:eastAsia="wo-SN"/>
        </w:rPr>
      </w:pPr>
    </w:p>
    <w:p w14:paraId="4F1B1357" w14:textId="77777777" w:rsidR="00613CF8" w:rsidRDefault="00613CF8" w:rsidP="00197515">
      <w:pPr>
        <w:jc w:val="center"/>
        <w:rPr>
          <w:rFonts w:ascii="Century Gothic" w:eastAsia="Times New Roman" w:hAnsi="Century Gothic" w:cs="Times New Roman"/>
          <w:b/>
          <w:bCs/>
          <w:sz w:val="36"/>
          <w:szCs w:val="36"/>
          <w:lang w:val="wo-SN" w:eastAsia="wo-SN"/>
        </w:rPr>
      </w:pPr>
    </w:p>
    <w:p w14:paraId="5BC1336E" w14:textId="77777777" w:rsidR="00613CF8" w:rsidRDefault="00613CF8" w:rsidP="00197515">
      <w:pPr>
        <w:jc w:val="center"/>
        <w:rPr>
          <w:rFonts w:ascii="Century Gothic" w:eastAsia="Times New Roman" w:hAnsi="Century Gothic" w:cs="Times New Roman"/>
          <w:b/>
          <w:bCs/>
          <w:sz w:val="36"/>
          <w:szCs w:val="36"/>
          <w:lang w:val="wo-SN" w:eastAsia="wo-SN"/>
        </w:rPr>
      </w:pPr>
    </w:p>
    <w:p w14:paraId="13508E7B" w14:textId="77777777" w:rsidR="00613CF8" w:rsidRDefault="00613CF8" w:rsidP="00197515">
      <w:pPr>
        <w:jc w:val="center"/>
        <w:rPr>
          <w:rFonts w:ascii="Century Gothic" w:eastAsia="Times New Roman" w:hAnsi="Century Gothic" w:cs="Times New Roman"/>
          <w:b/>
          <w:bCs/>
          <w:sz w:val="36"/>
          <w:szCs w:val="36"/>
          <w:lang w:val="wo-SN" w:eastAsia="wo-SN"/>
        </w:rPr>
      </w:pPr>
    </w:p>
    <w:p w14:paraId="4AA66EF0" w14:textId="77777777" w:rsidR="00613CF8" w:rsidRDefault="00613CF8" w:rsidP="00197515">
      <w:pPr>
        <w:jc w:val="center"/>
        <w:rPr>
          <w:rFonts w:ascii="Century Gothic" w:eastAsia="Times New Roman" w:hAnsi="Century Gothic" w:cs="Times New Roman"/>
          <w:b/>
          <w:bCs/>
          <w:sz w:val="36"/>
          <w:szCs w:val="36"/>
          <w:lang w:val="wo-SN" w:eastAsia="wo-SN"/>
        </w:rPr>
      </w:pPr>
    </w:p>
    <w:p w14:paraId="6B11E443" w14:textId="78F1615B" w:rsidR="00197515" w:rsidRDefault="00197515" w:rsidP="000277BA">
      <w:pPr>
        <w:rPr>
          <w:rFonts w:ascii="Century Gothic" w:eastAsia="Times New Roman" w:hAnsi="Century Gothic" w:cs="Times New Roman"/>
          <w:b/>
          <w:bCs/>
          <w:sz w:val="36"/>
          <w:szCs w:val="36"/>
          <w:lang w:val="wo-SN" w:eastAsia="wo-SN"/>
        </w:rPr>
      </w:pPr>
      <w:r w:rsidRPr="00197515">
        <w:rPr>
          <w:rFonts w:ascii="Century Gothic" w:eastAsia="Times New Roman" w:hAnsi="Century Gothic" w:cs="Times New Roman"/>
          <w:b/>
          <w:bCs/>
          <w:noProof/>
          <w:sz w:val="36"/>
          <w:szCs w:val="36"/>
          <w:lang w:eastAsia="fr-FR"/>
        </w:rPr>
        <w:drawing>
          <wp:anchor distT="0" distB="0" distL="114300" distR="114300" simplePos="0" relativeHeight="251708416" behindDoc="0" locked="0" layoutInCell="1" allowOverlap="1" wp14:anchorId="213D6DBE" wp14:editId="641688FD">
            <wp:simplePos x="0" y="0"/>
            <wp:positionH relativeFrom="column">
              <wp:posOffset>2258391</wp:posOffset>
            </wp:positionH>
            <wp:positionV relativeFrom="paragraph">
              <wp:posOffset>0</wp:posOffset>
            </wp:positionV>
            <wp:extent cx="905952" cy="905952"/>
            <wp:effectExtent l="0" t="0" r="8890" b="8890"/>
            <wp:wrapSquare wrapText="bothSides"/>
            <wp:docPr id="28" name="Picture 6">
              <a:extLst xmlns:a="http://schemas.openxmlformats.org/drawingml/2006/main">
                <a:ext uri="{FF2B5EF4-FFF2-40B4-BE49-F238E27FC236}">
                  <a16:creationId xmlns:a16="http://schemas.microsoft.com/office/drawing/2014/main" id="{87F8121A-F0F2-044B-8C51-8A6930C574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7F8121A-F0F2-044B-8C51-8A6930C57451}"/>
                        </a:ext>
                      </a:extLst>
                    </pic:cNvPr>
                    <pic:cNvPicPr>
                      <a:picLocks noChangeAspect="1"/>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905952" cy="905952"/>
                    </a:xfrm>
                    <a:prstGeom prst="rect">
                      <a:avLst/>
                    </a:prstGeom>
                  </pic:spPr>
                </pic:pic>
              </a:graphicData>
            </a:graphic>
          </wp:anchor>
        </w:drawing>
      </w:r>
      <w:r w:rsidR="008F2269">
        <w:rPr>
          <w:rFonts w:ascii="Century Gothic" w:eastAsia="Times New Roman" w:hAnsi="Century Gothic" w:cs="Times New Roman"/>
          <w:b/>
          <w:bCs/>
          <w:sz w:val="36"/>
          <w:szCs w:val="36"/>
          <w:lang w:val="wo-SN" w:eastAsia="wo-SN"/>
        </w:rPr>
        <w:br w:type="textWrapping" w:clear="all"/>
      </w:r>
    </w:p>
    <w:p w14:paraId="2F02468D" w14:textId="229F608F" w:rsidR="005340E2" w:rsidRPr="00197515" w:rsidRDefault="00605A9B" w:rsidP="00197515">
      <w:pPr>
        <w:spacing w:after="0"/>
        <w:jc w:val="center"/>
        <w:rPr>
          <w:rFonts w:ascii="Century Gothic" w:eastAsia="Times New Roman" w:hAnsi="Century Gothic" w:cs="Times New Roman"/>
          <w:b/>
          <w:bCs/>
          <w:sz w:val="32"/>
          <w:szCs w:val="32"/>
          <w:lang w:val="wo-SN" w:eastAsia="wo-SN"/>
        </w:rPr>
      </w:pPr>
      <w:r w:rsidRPr="00197515">
        <w:rPr>
          <w:rFonts w:ascii="Century Gothic" w:eastAsia="Times New Roman" w:hAnsi="Century Gothic" w:cs="Times New Roman"/>
          <w:b/>
          <w:bCs/>
          <w:sz w:val="32"/>
          <w:szCs w:val="32"/>
          <w:lang w:val="wo-SN" w:eastAsia="wo-SN"/>
        </w:rPr>
        <w:t>Republique Islamique de la Mauritanie</w:t>
      </w:r>
    </w:p>
    <w:p w14:paraId="65D984EC" w14:textId="5748167B" w:rsidR="00605A9B" w:rsidRPr="00613CF8" w:rsidRDefault="00605A9B" w:rsidP="009F571E">
      <w:pPr>
        <w:jc w:val="center"/>
        <w:rPr>
          <w:rFonts w:ascii="Century Gothic" w:eastAsia="Times New Roman" w:hAnsi="Century Gothic" w:cs="Times New Roman"/>
          <w:b/>
          <w:bCs/>
          <w:color w:val="44546A" w:themeColor="text2"/>
          <w:sz w:val="24"/>
          <w:szCs w:val="24"/>
          <w:lang w:val="wo-SN" w:eastAsia="wo-SN"/>
        </w:rPr>
      </w:pPr>
      <w:r w:rsidRPr="00613CF8">
        <w:rPr>
          <w:rFonts w:ascii="Century Gothic" w:eastAsia="Times New Roman" w:hAnsi="Century Gothic" w:cs="Times New Roman"/>
          <w:b/>
          <w:bCs/>
          <w:color w:val="44546A" w:themeColor="text2"/>
          <w:sz w:val="24"/>
          <w:szCs w:val="24"/>
          <w:lang w:val="wo-SN" w:eastAsia="wo-SN"/>
        </w:rPr>
        <w:t>Honneur – Fraternité – Justice</w:t>
      </w:r>
    </w:p>
    <w:p w14:paraId="54E31B33" w14:textId="4AFDBDBD" w:rsidR="00605A9B" w:rsidRPr="000D3655" w:rsidRDefault="00605A9B" w:rsidP="00197515">
      <w:pPr>
        <w:pBdr>
          <w:bottom w:val="single" w:sz="4" w:space="1" w:color="auto"/>
        </w:pBdr>
        <w:jc w:val="center"/>
        <w:rPr>
          <w:rFonts w:ascii="Century Gothic" w:eastAsia="Times New Roman" w:hAnsi="Century Gothic" w:cs="Times New Roman"/>
          <w:b/>
          <w:bCs/>
          <w:color w:val="FFCC00"/>
          <w:sz w:val="28"/>
          <w:szCs w:val="28"/>
          <w:lang w:val="wo-SN" w:eastAsia="wo-SN"/>
        </w:rPr>
      </w:pPr>
      <w:r w:rsidRPr="000D3655">
        <w:rPr>
          <w:rFonts w:ascii="Century Gothic" w:eastAsia="Times New Roman" w:hAnsi="Century Gothic" w:cs="Times New Roman"/>
          <w:b/>
          <w:bCs/>
          <w:color w:val="FFCC00"/>
          <w:sz w:val="28"/>
          <w:szCs w:val="28"/>
          <w:lang w:val="wo-SN" w:eastAsia="wo-SN"/>
        </w:rPr>
        <w:t>Ministere de l’Environnement et du Developp</w:t>
      </w:r>
      <w:r w:rsidR="00796EDB" w:rsidRPr="000D3655">
        <w:rPr>
          <w:rFonts w:ascii="Century Gothic" w:eastAsia="Times New Roman" w:hAnsi="Century Gothic" w:cs="Times New Roman"/>
          <w:b/>
          <w:bCs/>
          <w:color w:val="FFCC00"/>
          <w:sz w:val="28"/>
          <w:szCs w:val="28"/>
          <w:lang w:val="wo-SN" w:eastAsia="wo-SN"/>
        </w:rPr>
        <w:t>ement Durable</w:t>
      </w:r>
    </w:p>
    <w:p w14:paraId="0EC7E18B" w14:textId="77777777" w:rsidR="00197515" w:rsidRPr="00FA36EC" w:rsidRDefault="00197515" w:rsidP="00DF1579">
      <w:pPr>
        <w:jc w:val="both"/>
        <w:rPr>
          <w:rFonts w:ascii="Century Gothic" w:hAnsi="Century Gothic"/>
          <w:sz w:val="4"/>
          <w:szCs w:val="4"/>
        </w:rPr>
      </w:pPr>
    </w:p>
    <w:p w14:paraId="169370D4" w14:textId="4FE7FF55" w:rsidR="005340E2" w:rsidRPr="000D3655" w:rsidRDefault="000D3655" w:rsidP="00DF1579">
      <w:pPr>
        <w:jc w:val="both"/>
        <w:rPr>
          <w:rFonts w:ascii="Century Gothic" w:hAnsi="Century Gothic"/>
          <w:sz w:val="18"/>
          <w:szCs w:val="18"/>
        </w:rPr>
      </w:pPr>
      <w:r w:rsidRPr="000D3655">
        <w:rPr>
          <w:rFonts w:ascii="Century Gothic" w:eastAsia="Times New Roman" w:hAnsi="Century Gothic" w:cs="Times New Roman"/>
          <w:sz w:val="32"/>
          <w:szCs w:val="32"/>
          <w:lang w:eastAsia="wo-SN"/>
        </w:rPr>
        <w:t>C</w:t>
      </w:r>
      <w:r w:rsidR="007859C3">
        <w:rPr>
          <w:rFonts w:ascii="Century Gothic" w:eastAsia="Times New Roman" w:hAnsi="Century Gothic" w:cs="Times New Roman"/>
          <w:sz w:val="32"/>
          <w:szCs w:val="32"/>
          <w:lang w:eastAsia="wo-SN"/>
        </w:rPr>
        <w:t>hapitre</w:t>
      </w:r>
      <w:r w:rsidRPr="000D3655">
        <w:rPr>
          <w:rFonts w:ascii="Century Gothic" w:eastAsia="Times New Roman" w:hAnsi="Century Gothic" w:cs="Times New Roman"/>
          <w:sz w:val="32"/>
          <w:szCs w:val="32"/>
          <w:lang w:eastAsia="wo-SN"/>
        </w:rPr>
        <w:t xml:space="preserve"> 3 :</w:t>
      </w:r>
      <w:r w:rsidR="005340E2" w:rsidRPr="000D3655">
        <w:rPr>
          <w:rFonts w:ascii="Century Gothic" w:eastAsia="Times New Roman" w:hAnsi="Century Gothic" w:cs="Times New Roman"/>
          <w:sz w:val="32"/>
          <w:szCs w:val="32"/>
          <w:lang w:eastAsia="wo-SN"/>
        </w:rPr>
        <w:t>« </w:t>
      </w:r>
      <w:r w:rsidR="005340E2" w:rsidRPr="000D3655">
        <w:rPr>
          <w:rFonts w:ascii="Century Gothic" w:eastAsia="Times New Roman" w:hAnsi="Century Gothic" w:cs="Times New Roman"/>
          <w:sz w:val="32"/>
          <w:szCs w:val="32"/>
          <w:lang w:val="wo-SN" w:eastAsia="wo-SN"/>
        </w:rPr>
        <w:t>Évaluation de la Vulnérabilité et Adaptation aux Changements Climatiques des “</w:t>
      </w:r>
      <w:r w:rsidR="005340E2" w:rsidRPr="000D3655">
        <w:rPr>
          <w:rFonts w:ascii="Century Gothic" w:eastAsia="Times New Roman" w:hAnsi="Century Gothic" w:cs="Times New Roman"/>
          <w:color w:val="00CC66"/>
          <w:sz w:val="32"/>
          <w:szCs w:val="32"/>
          <w:lang w:val="wo-SN" w:eastAsia="wo-SN"/>
        </w:rPr>
        <w:t xml:space="preserve">Ecosystèmes marins ; Littoral, </w:t>
      </w:r>
      <w:r w:rsidR="002669CC">
        <w:rPr>
          <w:rFonts w:ascii="Century Gothic" w:eastAsia="Times New Roman" w:hAnsi="Century Gothic" w:cs="Times New Roman"/>
          <w:color w:val="00CC66"/>
          <w:sz w:val="32"/>
          <w:szCs w:val="32"/>
          <w:lang w:val="wo-SN" w:eastAsia="wo-SN"/>
        </w:rPr>
        <w:t xml:space="preserve">et </w:t>
      </w:r>
      <w:r w:rsidR="005340E2" w:rsidRPr="000D3655">
        <w:rPr>
          <w:rFonts w:ascii="Century Gothic" w:eastAsia="Times New Roman" w:hAnsi="Century Gothic" w:cs="Times New Roman"/>
          <w:color w:val="00CC66"/>
          <w:sz w:val="32"/>
          <w:szCs w:val="32"/>
          <w:lang w:val="wo-SN" w:eastAsia="wo-SN"/>
        </w:rPr>
        <w:t>Aires protégées</w:t>
      </w:r>
      <w:r w:rsidR="005340E2" w:rsidRPr="000D3655">
        <w:rPr>
          <w:rFonts w:ascii="Century Gothic" w:eastAsia="Times New Roman" w:hAnsi="Century Gothic" w:cs="Times New Roman"/>
          <w:sz w:val="32"/>
          <w:szCs w:val="32"/>
          <w:lang w:val="wo-SN" w:eastAsia="wo-SN"/>
        </w:rPr>
        <w:t>”</w:t>
      </w:r>
      <w:r w:rsidR="005340E2" w:rsidRPr="000D3655">
        <w:rPr>
          <w:rFonts w:ascii="Century Gothic" w:hAnsi="Century Gothic"/>
          <w:sz w:val="20"/>
          <w:szCs w:val="20"/>
        </w:rPr>
        <w:t xml:space="preserve"> </w:t>
      </w:r>
    </w:p>
    <w:p w14:paraId="38873011" w14:textId="636B6F11" w:rsidR="005340E2" w:rsidRPr="00541183" w:rsidRDefault="00197515" w:rsidP="00DF1579">
      <w:pPr>
        <w:jc w:val="both"/>
        <w:rPr>
          <w:rFonts w:ascii="Century Gothic" w:hAnsi="Century Gothic"/>
        </w:rPr>
      </w:pPr>
      <w:r>
        <w:rPr>
          <w:rFonts w:ascii="Century Gothic" w:hAnsi="Century Gothic"/>
          <w:noProof/>
          <w:lang w:eastAsia="fr-FR"/>
        </w:rPr>
        <mc:AlternateContent>
          <mc:Choice Requires="wpg">
            <w:drawing>
              <wp:anchor distT="0" distB="0" distL="114300" distR="114300" simplePos="0" relativeHeight="251677696" behindDoc="0" locked="0" layoutInCell="1" allowOverlap="1" wp14:anchorId="2B90D052" wp14:editId="5C33E535">
                <wp:simplePos x="0" y="0"/>
                <wp:positionH relativeFrom="column">
                  <wp:posOffset>-696595</wp:posOffset>
                </wp:positionH>
                <wp:positionV relativeFrom="paragraph">
                  <wp:posOffset>88265</wp:posOffset>
                </wp:positionV>
                <wp:extent cx="7200900" cy="1035050"/>
                <wp:effectExtent l="133350" t="76200" r="76200" b="127000"/>
                <wp:wrapNone/>
                <wp:docPr id="27" name="Group 27"/>
                <wp:cNvGraphicFramePr/>
                <a:graphic xmlns:a="http://schemas.openxmlformats.org/drawingml/2006/main">
                  <a:graphicData uri="http://schemas.microsoft.com/office/word/2010/wordprocessingGroup">
                    <wpg:wgp>
                      <wpg:cNvGrpSpPr/>
                      <wpg:grpSpPr>
                        <a:xfrm>
                          <a:off x="0" y="0"/>
                          <a:ext cx="7200900" cy="1035050"/>
                          <a:chOff x="0" y="0"/>
                          <a:chExt cx="7200900" cy="1285875"/>
                        </a:xfrm>
                      </wpg:grpSpPr>
                      <pic:pic xmlns:pic="http://schemas.openxmlformats.org/drawingml/2006/picture">
                        <pic:nvPicPr>
                          <pic:cNvPr id="4" name="Picture 8"/>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0" y="19050"/>
                            <a:ext cx="1775460" cy="12668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11" name="Image 1" descr="C:\DPREM\MEDD\DIRECTIONS MEDD\DPREM\Journée Mondiale ZH\IMAGES ZH\Eh Haut\Image HD\©enHaut-R0122151-Panorama-Baie-etoile.jpg"/>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1809750" y="0"/>
                            <a:ext cx="1775460" cy="12763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13" name="Picture 4"/>
                          <pic:cNvPicPr>
                            <a:picLocks noChangeAspect="1"/>
                          </pic:cNvPicPr>
                        </pic:nvPicPr>
                        <pic:blipFill>
                          <a:blip r:embed="rId131" cstate="print">
                            <a:extLst>
                              <a:ext uri="{28A0092B-C50C-407E-A947-70E740481C1C}">
                                <a14:useLocalDpi xmlns:a14="http://schemas.microsoft.com/office/drawing/2010/main" val="0"/>
                              </a:ext>
                            </a:extLst>
                          </a:blip>
                          <a:stretch>
                            <a:fillRect/>
                          </a:stretch>
                        </pic:blipFill>
                        <pic:spPr>
                          <a:xfrm>
                            <a:off x="3609975" y="0"/>
                            <a:ext cx="1775460" cy="12661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15" name="Picture 18"/>
                          <pic:cNvPicPr>
                            <a:picLocks noChangeAspect="1"/>
                          </pic:cNvPicPr>
                        </pic:nvPicPr>
                        <pic:blipFill rotWithShape="1">
                          <a:blip r:embed="rId132" cstate="print">
                            <a:extLst>
                              <a:ext uri="{28A0092B-C50C-407E-A947-70E740481C1C}">
                                <a14:useLocalDpi xmlns:a14="http://schemas.microsoft.com/office/drawing/2010/main" val="0"/>
                              </a:ext>
                            </a:extLst>
                          </a:blip>
                          <a:srcRect l="16479" r="17183"/>
                          <a:stretch/>
                        </pic:blipFill>
                        <pic:spPr>
                          <a:xfrm>
                            <a:off x="5410200" y="0"/>
                            <a:ext cx="1790700" cy="127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g:wgp>
                  </a:graphicData>
                </a:graphic>
                <wp14:sizeRelV relativeFrom="margin">
                  <wp14:pctHeight>0</wp14:pctHeight>
                </wp14:sizeRelV>
              </wp:anchor>
            </w:drawing>
          </mc:Choice>
          <mc:Fallback>
            <w:pict>
              <v:group w14:anchorId="3B23A103" id="Group 27" o:spid="_x0000_s1026" style="position:absolute;margin-left:-54.85pt;margin-top:6.95pt;width:567pt;height:81.5pt;z-index:251677696;mso-height-relative:margin" coordsize="72009,128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top:190;width:17754;height:12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" adj="3600">
                  <v:imagedata r:id="rId133" o:title=""/>
                  <v:shadow on="t" color="black" opacity="26214f" origin="-.5,-.5" offset="-.68028mm,.81072mm"/>
                </v:shape>
                <v:shape id="Image 1" o:spid="_x0000_s1028" type="#_x0000_t75" style="position:absolute;left:18097;width:17755;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" adj="3600">
                  <v:imagedata r:id="rId134" o:title="©enHaut-R0122151-Panorama-Baie-etoile"/>
                  <v:shadow on="t" color="black" opacity="26214f" origin="-.5,-.5" offset="-.68028mm,.81072mm"/>
                </v:shape>
                <v:shape id="Picture 4" o:spid="_x0000_s1029" type="#_x0000_t75" style="position:absolute;left:36099;width:17755;height:1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" adj="3600">
                  <v:imagedata r:id="rId135" o:title=""/>
                  <v:shadow on="t" color="black" opacity="26214f" origin="-.5,-.5" offset="-.68028mm,.81072mm"/>
                </v:shape>
                <v:shape id="Picture 18" o:spid="_x0000_s1030" type="#_x0000_t75" style="position:absolute;left:54102;width:17907;height:1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" adj="3600">
                  <v:imagedata r:id="rId136" o:title="" cropleft="10800f" cropright="11261f"/>
                  <v:shadow on="t" color="black" opacity="26214f" origin="-.5,-.5" offset="-.68028mm,.81072mm"/>
                </v:shape>
              </v:group>
            </w:pict>
          </mc:Fallback>
        </mc:AlternateContent>
      </w:r>
    </w:p>
    <w:p w14:paraId="36B207E8" w14:textId="4F00C27F" w:rsidR="005340E2" w:rsidRPr="00541183" w:rsidRDefault="005340E2" w:rsidP="00BA3ADB">
      <w:pPr>
        <w:jc w:val="both"/>
        <w:rPr>
          <w:rFonts w:ascii="Century Gothic" w:hAnsi="Century Gothic"/>
        </w:rPr>
      </w:pPr>
    </w:p>
    <w:p w14:paraId="2434F96C" w14:textId="11208B43" w:rsidR="005340E2" w:rsidRPr="00541183" w:rsidRDefault="005340E2" w:rsidP="00DF1579">
      <w:pPr>
        <w:jc w:val="both"/>
        <w:rPr>
          <w:rFonts w:ascii="Century Gothic" w:hAnsi="Century Gothic"/>
        </w:rPr>
      </w:pPr>
    </w:p>
    <w:p w14:paraId="1161D2FA" w14:textId="2C12DC14" w:rsidR="005340E2" w:rsidRPr="00541183" w:rsidRDefault="005340E2" w:rsidP="00DF1579">
      <w:pPr>
        <w:jc w:val="both"/>
        <w:rPr>
          <w:rFonts w:ascii="Century Gothic" w:hAnsi="Century Gothic"/>
        </w:rPr>
      </w:pPr>
    </w:p>
    <w:p w14:paraId="7DA13408" w14:textId="3EC07E44" w:rsidR="005340E2" w:rsidRPr="00541183" w:rsidRDefault="005340E2" w:rsidP="00BA3ADB">
      <w:pPr>
        <w:jc w:val="both"/>
        <w:rPr>
          <w:rFonts w:ascii="Century Gothic" w:hAnsi="Century Gothic"/>
        </w:rPr>
      </w:pPr>
    </w:p>
    <w:p w14:paraId="7C873620" w14:textId="46B5B7C8" w:rsidR="00796EDB" w:rsidRPr="00541183" w:rsidRDefault="00796EDB" w:rsidP="00B42B68">
      <w:pPr>
        <w:jc w:val="center"/>
        <w:rPr>
          <w:rFonts w:ascii="Century Gothic" w:eastAsia="Times New Roman" w:hAnsi="Century Gothic" w:cs="Times New Roman"/>
          <w:b/>
          <w:bCs/>
          <w:sz w:val="24"/>
          <w:szCs w:val="24"/>
          <w:lang w:val="wo-SN" w:eastAsia="wo-SN"/>
        </w:rPr>
      </w:pPr>
      <w:r w:rsidRPr="00541183">
        <w:rPr>
          <w:rFonts w:ascii="Century Gothic" w:eastAsia="Times New Roman" w:hAnsi="Century Gothic" w:cs="Times New Roman"/>
          <w:b/>
          <w:bCs/>
          <w:sz w:val="28"/>
          <w:szCs w:val="28"/>
          <w:lang w:val="wo-SN" w:eastAsia="wo-SN"/>
        </w:rPr>
        <w:t>Auteur :</w:t>
      </w:r>
      <w:r w:rsidR="00B42B68">
        <w:rPr>
          <w:rFonts w:ascii="Century Gothic" w:eastAsia="Times New Roman" w:hAnsi="Century Gothic" w:cs="Times New Roman"/>
          <w:b/>
          <w:bCs/>
          <w:sz w:val="28"/>
          <w:szCs w:val="28"/>
          <w:lang w:val="wo-SN" w:eastAsia="wo-SN"/>
        </w:rPr>
        <w:t xml:space="preserve"> Dr </w:t>
      </w:r>
      <w:r w:rsidR="00AF2E9E">
        <w:rPr>
          <w:rFonts w:ascii="Century Gothic" w:eastAsia="Times New Roman" w:hAnsi="Century Gothic" w:cs="Times New Roman"/>
          <w:b/>
          <w:bCs/>
          <w:sz w:val="24"/>
          <w:szCs w:val="24"/>
          <w:lang w:val="wo-SN" w:eastAsia="wo-SN"/>
        </w:rPr>
        <w:t>Djibril LY</w:t>
      </w:r>
    </w:p>
    <w:p w14:paraId="2FCDF477" w14:textId="549A3D01" w:rsidR="00BA3ADB" w:rsidRDefault="00AF2E9E" w:rsidP="00613CF8">
      <w:pPr>
        <w:jc w:val="center"/>
        <w:rPr>
          <w:rFonts w:ascii="Century Gothic" w:eastAsia="Times New Roman" w:hAnsi="Century Gothic" w:cs="Times New Roman"/>
          <w:b/>
          <w:bCs/>
          <w:sz w:val="24"/>
          <w:szCs w:val="24"/>
          <w:lang w:val="wo-SN" w:eastAsia="wo-SN"/>
        </w:rPr>
      </w:pPr>
      <w:r>
        <w:rPr>
          <w:rFonts w:ascii="Century Gothic" w:eastAsia="Times New Roman" w:hAnsi="Century Gothic" w:cs="Times New Roman"/>
          <w:b/>
          <w:bCs/>
          <w:sz w:val="24"/>
          <w:szCs w:val="24"/>
          <w:lang w:val="wo-SN" w:eastAsia="wo-SN"/>
        </w:rPr>
        <w:t>Févrie</w:t>
      </w:r>
      <w:r w:rsidR="005C3BE5">
        <w:rPr>
          <w:rFonts w:ascii="Century Gothic" w:eastAsia="Times New Roman" w:hAnsi="Century Gothic" w:cs="Times New Roman"/>
          <w:b/>
          <w:bCs/>
          <w:sz w:val="24"/>
          <w:szCs w:val="24"/>
          <w:lang w:val="wo-SN" w:eastAsia="wo-SN"/>
        </w:rPr>
        <w:t>r</w:t>
      </w:r>
      <w:r w:rsidR="00796EDB" w:rsidRPr="00197515">
        <w:rPr>
          <w:rFonts w:ascii="Century Gothic" w:eastAsia="Times New Roman" w:hAnsi="Century Gothic" w:cs="Times New Roman"/>
          <w:b/>
          <w:bCs/>
          <w:sz w:val="24"/>
          <w:szCs w:val="24"/>
          <w:lang w:val="wo-SN" w:eastAsia="wo-SN"/>
        </w:rPr>
        <w:t xml:space="preserve"> 2025</w:t>
      </w:r>
    </w:p>
    <w:p w14:paraId="631B2757" w14:textId="627FDB09" w:rsidR="00B42B68" w:rsidRPr="00FA36EC" w:rsidRDefault="00614F61" w:rsidP="00614F61">
      <w:pPr>
        <w:spacing w:after="0"/>
        <w:ind w:left="-425"/>
        <w:rPr>
          <w:rFonts w:ascii="Century Gothic" w:eastAsia="Times New Roman" w:hAnsi="Century Gothic" w:cs="Times New Roman"/>
          <w:i/>
          <w:iCs/>
          <w:lang w:val="wo-SN" w:eastAsia="wo-SN"/>
        </w:rPr>
      </w:pPr>
      <w:r>
        <w:rPr>
          <w:rFonts w:ascii="Century Gothic" w:eastAsia="Times New Roman" w:hAnsi="Century Gothic" w:cs="Times New Roman"/>
          <w:i/>
          <w:iCs/>
          <w:lang w:val="wo-SN" w:eastAsia="wo-SN"/>
        </w:rPr>
        <w:t>l</w:t>
      </w:r>
    </w:p>
    <w:p w14:paraId="1073A689" w14:textId="3B130758" w:rsidR="005269A3" w:rsidRPr="00FA36EC" w:rsidRDefault="005269A3" w:rsidP="005625B5">
      <w:pPr>
        <w:pStyle w:val="Paragraphedeliste"/>
        <w:numPr>
          <w:ilvl w:val="0"/>
          <w:numId w:val="28"/>
        </w:numPr>
        <w:shd w:val="clear" w:color="auto" w:fill="FBE4D5" w:themeFill="accent2" w:themeFillTint="33"/>
        <w:spacing w:after="0"/>
        <w:ind w:left="-142" w:right="-993" w:hanging="284"/>
        <w:rPr>
          <w:rFonts w:ascii="Century Gothic" w:eastAsia="Times New Roman" w:hAnsi="Century Gothic" w:cs="Times New Roman"/>
          <w:b/>
          <w:bCs/>
          <w:sz w:val="24"/>
          <w:szCs w:val="24"/>
          <w:lang w:val="wo-SN" w:eastAsia="wo-SN"/>
        </w:rPr>
      </w:pPr>
      <w:r w:rsidRPr="00FA36EC">
        <w:rPr>
          <w:rFonts w:ascii="Century Gothic" w:eastAsia="Times New Roman" w:hAnsi="Century Gothic" w:cs="Times New Roman"/>
          <w:b/>
          <w:bCs/>
          <w:i/>
          <w:iCs/>
          <w:sz w:val="20"/>
          <w:szCs w:val="20"/>
          <w:lang w:val="wo-SN" w:eastAsia="wo-SN"/>
        </w:rPr>
        <w:t>Face a</w:t>
      </w:r>
      <w:r w:rsidR="005B511D" w:rsidRPr="00FA36EC">
        <w:rPr>
          <w:rFonts w:ascii="Century Gothic" w:eastAsia="Times New Roman" w:hAnsi="Century Gothic" w:cs="Times New Roman"/>
          <w:b/>
          <w:bCs/>
          <w:i/>
          <w:iCs/>
          <w:sz w:val="20"/>
          <w:szCs w:val="20"/>
          <w:lang w:val="wo-SN" w:eastAsia="wo-SN"/>
        </w:rPr>
        <w:t>u retour ou</w:t>
      </w:r>
      <w:r w:rsidRPr="00FA36EC">
        <w:rPr>
          <w:rFonts w:ascii="Century Gothic" w:eastAsia="Times New Roman" w:hAnsi="Century Gothic" w:cs="Times New Roman"/>
          <w:b/>
          <w:bCs/>
          <w:i/>
          <w:iCs/>
          <w:sz w:val="20"/>
          <w:szCs w:val="20"/>
          <w:lang w:val="wo-SN" w:eastAsia="wo-SN"/>
        </w:rPr>
        <w:t xml:space="preserve"> recrudescence des espèces sauvages dans la vallée </w:t>
      </w:r>
      <w:r w:rsidR="005B511D" w:rsidRPr="00FA36EC">
        <w:rPr>
          <w:rFonts w:ascii="Century Gothic" w:eastAsia="Times New Roman" w:hAnsi="Century Gothic" w:cs="Times New Roman"/>
          <w:b/>
          <w:bCs/>
          <w:i/>
          <w:iCs/>
          <w:sz w:val="20"/>
          <w:szCs w:val="20"/>
          <w:lang w:val="wo-SN" w:eastAsia="wo-SN"/>
        </w:rPr>
        <w:t xml:space="preserve">du fleuve </w:t>
      </w:r>
      <w:r w:rsidRPr="00FA36EC">
        <w:rPr>
          <w:rFonts w:ascii="Century Gothic" w:eastAsia="Times New Roman" w:hAnsi="Century Gothic" w:cs="Times New Roman"/>
          <w:b/>
          <w:bCs/>
          <w:i/>
          <w:iCs/>
          <w:sz w:val="20"/>
          <w:szCs w:val="20"/>
          <w:lang w:val="wo-SN" w:eastAsia="wo-SN"/>
        </w:rPr>
        <w:t>quelles propositions pourraient être appliquées pour stabiliser les écosystèmes</w:t>
      </w:r>
      <w:r w:rsidR="005B511D" w:rsidRPr="00FA36EC">
        <w:rPr>
          <w:rFonts w:ascii="Century Gothic" w:eastAsia="Times New Roman" w:hAnsi="Century Gothic" w:cs="Times New Roman"/>
          <w:b/>
          <w:bCs/>
          <w:i/>
          <w:iCs/>
          <w:sz w:val="20"/>
          <w:szCs w:val="20"/>
          <w:lang w:val="wo-SN" w:eastAsia="wo-SN"/>
        </w:rPr>
        <w:t xml:space="preserve"> et préserver le</w:t>
      </w:r>
      <w:r w:rsidR="0008059E">
        <w:rPr>
          <w:rFonts w:ascii="Century Gothic" w:eastAsia="Times New Roman" w:hAnsi="Century Gothic" w:cs="Times New Roman"/>
          <w:b/>
          <w:bCs/>
          <w:i/>
          <w:iCs/>
          <w:sz w:val="20"/>
          <w:szCs w:val="20"/>
          <w:lang w:val="wo-SN" w:eastAsia="wo-SN"/>
        </w:rPr>
        <w:t>s rssources,</w:t>
      </w:r>
      <w:r w:rsidR="005B511D" w:rsidRPr="00FA36EC">
        <w:rPr>
          <w:rFonts w:ascii="Century Gothic" w:eastAsia="Times New Roman" w:hAnsi="Century Gothic" w:cs="Times New Roman"/>
          <w:b/>
          <w:bCs/>
          <w:i/>
          <w:iCs/>
          <w:sz w:val="20"/>
          <w:szCs w:val="20"/>
          <w:lang w:val="wo-SN" w:eastAsia="wo-SN"/>
        </w:rPr>
        <w:t xml:space="preserve"> b</w:t>
      </w:r>
      <w:r w:rsidR="0008059E">
        <w:rPr>
          <w:rFonts w:ascii="Century Gothic" w:eastAsia="Times New Roman" w:hAnsi="Century Gothic" w:cs="Times New Roman"/>
          <w:b/>
          <w:bCs/>
          <w:i/>
          <w:iCs/>
          <w:sz w:val="20"/>
          <w:szCs w:val="20"/>
          <w:lang w:val="wo-SN" w:eastAsia="wo-SN"/>
        </w:rPr>
        <w:t xml:space="preserve">iens,cultures, etc </w:t>
      </w:r>
      <w:r w:rsidR="006D7DCA" w:rsidRPr="00FA36EC">
        <w:rPr>
          <w:rFonts w:ascii="Century Gothic" w:eastAsia="Times New Roman" w:hAnsi="Century Gothic" w:cs="Times New Roman"/>
          <w:b/>
          <w:bCs/>
          <w:sz w:val="24"/>
          <w:szCs w:val="24"/>
          <w:lang w:val="wo-SN" w:eastAsia="wo-SN"/>
        </w:rPr>
        <w:t>?</w:t>
      </w:r>
    </w:p>
    <w:p w14:paraId="7C4354CD" w14:textId="0BEE7957" w:rsidR="005269A3" w:rsidRPr="00FA36EC" w:rsidRDefault="005269A3" w:rsidP="005625B5">
      <w:pPr>
        <w:pStyle w:val="Paragraphedeliste"/>
        <w:numPr>
          <w:ilvl w:val="0"/>
          <w:numId w:val="27"/>
        </w:numPr>
        <w:shd w:val="clear" w:color="auto" w:fill="FBE4D5" w:themeFill="accent2" w:themeFillTint="33"/>
        <w:ind w:right="-993"/>
        <w:rPr>
          <w:rFonts w:ascii="Century Gothic" w:eastAsia="Times New Roman" w:hAnsi="Century Gothic" w:cs="Times New Roman"/>
          <w:b/>
          <w:bCs/>
          <w:i/>
          <w:iCs/>
          <w:sz w:val="18"/>
          <w:szCs w:val="18"/>
          <w:lang w:val="wo-SN" w:eastAsia="wo-SN"/>
        </w:rPr>
      </w:pPr>
      <w:r w:rsidRPr="00FA36EC">
        <w:rPr>
          <w:rFonts w:ascii="Century Gothic" w:eastAsia="Times New Roman" w:hAnsi="Century Gothic" w:cs="Times New Roman"/>
          <w:b/>
          <w:bCs/>
          <w:i/>
          <w:iCs/>
          <w:sz w:val="18"/>
          <w:szCs w:val="18"/>
          <w:lang w:val="wo-SN" w:eastAsia="wo-SN"/>
        </w:rPr>
        <w:t>Cas des hypopotames dans la forêt classée de Gani en face de Umul-Qura dans la Moughataa de Tékane</w:t>
      </w:r>
    </w:p>
    <w:p w14:paraId="329ADF33" w14:textId="2970A9C0" w:rsidR="005269A3" w:rsidRDefault="005269A3" w:rsidP="005625B5">
      <w:pPr>
        <w:pStyle w:val="Paragraphedeliste"/>
        <w:numPr>
          <w:ilvl w:val="0"/>
          <w:numId w:val="27"/>
        </w:numPr>
        <w:shd w:val="clear" w:color="auto" w:fill="FBE4D5" w:themeFill="accent2" w:themeFillTint="33"/>
        <w:rPr>
          <w:rFonts w:ascii="Century Gothic" w:eastAsia="Times New Roman" w:hAnsi="Century Gothic" w:cs="Times New Roman"/>
          <w:b/>
          <w:bCs/>
          <w:i/>
          <w:iCs/>
          <w:sz w:val="18"/>
          <w:szCs w:val="18"/>
          <w:lang w:val="wo-SN" w:eastAsia="wo-SN"/>
        </w:rPr>
      </w:pPr>
      <w:r w:rsidRPr="00FA36EC">
        <w:rPr>
          <w:rFonts w:ascii="Century Gothic" w:eastAsia="Times New Roman" w:hAnsi="Century Gothic" w:cs="Times New Roman"/>
          <w:b/>
          <w:bCs/>
          <w:i/>
          <w:iCs/>
          <w:sz w:val="18"/>
          <w:szCs w:val="18"/>
          <w:lang w:val="wo-SN" w:eastAsia="wo-SN"/>
        </w:rPr>
        <w:t xml:space="preserve">cas des hyènes </w:t>
      </w:r>
      <w:r w:rsidR="006D7DCA">
        <w:rPr>
          <w:rFonts w:ascii="Century Gothic" w:eastAsia="Times New Roman" w:hAnsi="Century Gothic" w:cs="Times New Roman"/>
          <w:b/>
          <w:bCs/>
          <w:i/>
          <w:iCs/>
          <w:sz w:val="18"/>
          <w:szCs w:val="18"/>
          <w:lang w:val="wo-SN" w:eastAsia="wo-SN"/>
        </w:rPr>
        <w:t xml:space="preserve">et autres petits mammifères </w:t>
      </w:r>
      <w:r w:rsidR="005B511D">
        <w:rPr>
          <w:rFonts w:ascii="Century Gothic" w:eastAsia="Times New Roman" w:hAnsi="Century Gothic" w:cs="Times New Roman"/>
          <w:b/>
          <w:bCs/>
          <w:i/>
          <w:iCs/>
          <w:sz w:val="18"/>
          <w:szCs w:val="18"/>
          <w:lang w:val="wo-SN" w:eastAsia="wo-SN"/>
        </w:rPr>
        <w:t xml:space="preserve">circulant </w:t>
      </w:r>
      <w:r w:rsidR="006D7DCA">
        <w:rPr>
          <w:rFonts w:ascii="Century Gothic" w:eastAsia="Times New Roman" w:hAnsi="Century Gothic" w:cs="Times New Roman"/>
          <w:b/>
          <w:bCs/>
          <w:i/>
          <w:iCs/>
          <w:sz w:val="18"/>
          <w:szCs w:val="18"/>
          <w:lang w:val="wo-SN" w:eastAsia="wo-SN"/>
        </w:rPr>
        <w:t xml:space="preserve">dans la bande nord de dieydjouguel </w:t>
      </w:r>
      <w:r w:rsidR="005B511D">
        <w:rPr>
          <w:rFonts w:ascii="Century Gothic" w:eastAsia="Times New Roman" w:hAnsi="Century Gothic" w:cs="Times New Roman"/>
          <w:b/>
          <w:bCs/>
          <w:i/>
          <w:iCs/>
          <w:sz w:val="18"/>
          <w:szCs w:val="18"/>
          <w:lang w:val="wo-SN" w:eastAsia="wo-SN"/>
        </w:rPr>
        <w:t xml:space="preserve">au nord de l’axe </w:t>
      </w:r>
      <w:r w:rsidR="006D7DCA">
        <w:rPr>
          <w:rFonts w:ascii="Century Gothic" w:eastAsia="Times New Roman" w:hAnsi="Century Gothic" w:cs="Times New Roman"/>
          <w:b/>
          <w:bCs/>
          <w:i/>
          <w:iCs/>
          <w:sz w:val="18"/>
          <w:szCs w:val="18"/>
          <w:lang w:val="wo-SN" w:eastAsia="wo-SN"/>
        </w:rPr>
        <w:t>Rosso – Boghé</w:t>
      </w:r>
      <w:r w:rsidR="00E834BB">
        <w:rPr>
          <w:rFonts w:ascii="Century Gothic" w:eastAsia="Times New Roman" w:hAnsi="Century Gothic" w:cs="Times New Roman"/>
          <w:b/>
          <w:bCs/>
          <w:i/>
          <w:iCs/>
          <w:sz w:val="18"/>
          <w:szCs w:val="18"/>
          <w:lang w:val="wo-SN" w:eastAsia="wo-SN"/>
        </w:rPr>
        <w:t xml:space="preserve"> - Kaédi</w:t>
      </w:r>
      <w:r w:rsidR="006D7DCA">
        <w:rPr>
          <w:rFonts w:ascii="Century Gothic" w:eastAsia="Times New Roman" w:hAnsi="Century Gothic" w:cs="Times New Roman"/>
          <w:b/>
          <w:bCs/>
          <w:i/>
          <w:iCs/>
          <w:sz w:val="18"/>
          <w:szCs w:val="18"/>
          <w:lang w:val="wo-SN" w:eastAsia="wo-SN"/>
        </w:rPr>
        <w:t xml:space="preserve"> longeant </w:t>
      </w:r>
      <w:r w:rsidR="005B511D">
        <w:rPr>
          <w:rFonts w:ascii="Century Gothic" w:eastAsia="Times New Roman" w:hAnsi="Century Gothic" w:cs="Times New Roman"/>
          <w:b/>
          <w:bCs/>
          <w:i/>
          <w:iCs/>
          <w:sz w:val="18"/>
          <w:szCs w:val="18"/>
          <w:lang w:val="wo-SN" w:eastAsia="wo-SN"/>
        </w:rPr>
        <w:t xml:space="preserve">le nord de </w:t>
      </w:r>
      <w:r w:rsidR="006D7DCA">
        <w:rPr>
          <w:rFonts w:ascii="Century Gothic" w:eastAsia="Times New Roman" w:hAnsi="Century Gothic" w:cs="Times New Roman"/>
          <w:b/>
          <w:bCs/>
          <w:i/>
          <w:iCs/>
          <w:sz w:val="18"/>
          <w:szCs w:val="18"/>
          <w:lang w:val="wo-SN" w:eastAsia="wo-SN"/>
        </w:rPr>
        <w:t>la vallée du fleuve Sénégal</w:t>
      </w:r>
      <w:r w:rsidR="005B511D">
        <w:rPr>
          <w:rFonts w:ascii="Century Gothic" w:eastAsia="Times New Roman" w:hAnsi="Century Gothic" w:cs="Times New Roman"/>
          <w:b/>
          <w:bCs/>
          <w:i/>
          <w:iCs/>
          <w:sz w:val="18"/>
          <w:szCs w:val="18"/>
          <w:lang w:val="wo-SN" w:eastAsia="wo-SN"/>
        </w:rPr>
        <w:t>;</w:t>
      </w:r>
    </w:p>
    <w:p w14:paraId="4948AC0D" w14:textId="44A5BAD5" w:rsidR="005B511D" w:rsidRDefault="00FA36EC" w:rsidP="005625B5">
      <w:pPr>
        <w:pStyle w:val="Paragraphedeliste"/>
        <w:numPr>
          <w:ilvl w:val="0"/>
          <w:numId w:val="28"/>
        </w:numPr>
        <w:shd w:val="clear" w:color="auto" w:fill="FBE4D5" w:themeFill="accent2" w:themeFillTint="33"/>
        <w:spacing w:after="0"/>
        <w:ind w:left="-142" w:right="-567" w:hanging="284"/>
        <w:rPr>
          <w:rFonts w:ascii="Century Gothic" w:eastAsia="Times New Roman" w:hAnsi="Century Gothic" w:cs="Times New Roman"/>
          <w:b/>
          <w:bCs/>
          <w:i/>
          <w:iCs/>
          <w:sz w:val="18"/>
          <w:szCs w:val="18"/>
          <w:lang w:val="wo-SN" w:eastAsia="wo-SN"/>
        </w:rPr>
      </w:pPr>
      <w:r>
        <w:rPr>
          <w:rFonts w:ascii="Century Gothic" w:eastAsia="Times New Roman" w:hAnsi="Century Gothic" w:cs="Times New Roman"/>
          <w:b/>
          <w:bCs/>
          <w:i/>
          <w:iCs/>
          <w:sz w:val="18"/>
          <w:szCs w:val="18"/>
          <w:lang w:val="wo-SN" w:eastAsia="wo-SN"/>
        </w:rPr>
        <w:t>S</w:t>
      </w:r>
      <w:r w:rsidR="006C7370">
        <w:rPr>
          <w:rFonts w:ascii="Century Gothic" w:eastAsia="Times New Roman" w:hAnsi="Century Gothic" w:cs="Times New Roman"/>
          <w:b/>
          <w:bCs/>
          <w:i/>
          <w:iCs/>
          <w:sz w:val="18"/>
          <w:szCs w:val="18"/>
          <w:lang w:val="wo-SN" w:eastAsia="wo-SN"/>
        </w:rPr>
        <w:t>e</w:t>
      </w:r>
      <w:r>
        <w:rPr>
          <w:rFonts w:ascii="Century Gothic" w:eastAsia="Times New Roman" w:hAnsi="Century Gothic" w:cs="Times New Roman"/>
          <w:b/>
          <w:bCs/>
          <w:i/>
          <w:iCs/>
          <w:sz w:val="18"/>
          <w:szCs w:val="18"/>
          <w:lang w:val="wo-SN" w:eastAsia="wo-SN"/>
        </w:rPr>
        <w:t xml:space="preserve">rait-il de trop </w:t>
      </w:r>
      <w:r w:rsidR="0008059E">
        <w:rPr>
          <w:rFonts w:ascii="Century Gothic" w:eastAsia="Times New Roman" w:hAnsi="Century Gothic" w:cs="Times New Roman"/>
          <w:b/>
          <w:bCs/>
          <w:i/>
          <w:iCs/>
          <w:sz w:val="18"/>
          <w:szCs w:val="18"/>
          <w:lang w:val="wo-SN" w:eastAsia="wo-SN"/>
        </w:rPr>
        <w:t>e</w:t>
      </w:r>
      <w:r>
        <w:rPr>
          <w:rFonts w:ascii="Century Gothic" w:eastAsia="Times New Roman" w:hAnsi="Century Gothic" w:cs="Times New Roman"/>
          <w:b/>
          <w:bCs/>
          <w:i/>
          <w:iCs/>
          <w:sz w:val="18"/>
          <w:szCs w:val="18"/>
          <w:lang w:val="wo-SN" w:eastAsia="wo-SN"/>
        </w:rPr>
        <w:t xml:space="preserve">n </w:t>
      </w:r>
      <w:r w:rsidR="00E834BB">
        <w:rPr>
          <w:rFonts w:ascii="Century Gothic" w:eastAsia="Times New Roman" w:hAnsi="Century Gothic" w:cs="Times New Roman"/>
          <w:b/>
          <w:bCs/>
          <w:i/>
          <w:iCs/>
          <w:sz w:val="18"/>
          <w:szCs w:val="18"/>
          <w:lang w:val="wo-SN" w:eastAsia="wo-SN"/>
        </w:rPr>
        <w:t xml:space="preserve"> meubl</w:t>
      </w:r>
      <w:r w:rsidR="00F770FC">
        <w:rPr>
          <w:rFonts w:ascii="Century Gothic" w:eastAsia="Times New Roman" w:hAnsi="Century Gothic" w:cs="Times New Roman"/>
          <w:b/>
          <w:bCs/>
          <w:i/>
          <w:iCs/>
          <w:sz w:val="18"/>
          <w:szCs w:val="18"/>
          <w:lang w:val="wo-SN" w:eastAsia="wo-SN"/>
        </w:rPr>
        <w:t>ant</w:t>
      </w:r>
      <w:r w:rsidR="0008059E">
        <w:rPr>
          <w:rFonts w:ascii="Century Gothic" w:eastAsia="Times New Roman" w:hAnsi="Century Gothic" w:cs="Times New Roman"/>
          <w:b/>
          <w:bCs/>
          <w:i/>
          <w:iCs/>
          <w:sz w:val="18"/>
          <w:szCs w:val="18"/>
          <w:lang w:val="wo-SN" w:eastAsia="wo-SN"/>
        </w:rPr>
        <w:t xml:space="preserve"> les plans d’</w:t>
      </w:r>
      <w:r w:rsidR="00E834BB">
        <w:rPr>
          <w:rFonts w:ascii="Century Gothic" w:eastAsia="Times New Roman" w:hAnsi="Century Gothic" w:cs="Times New Roman"/>
          <w:b/>
          <w:bCs/>
          <w:i/>
          <w:iCs/>
          <w:sz w:val="18"/>
          <w:szCs w:val="18"/>
          <w:lang w:val="wo-SN" w:eastAsia="wo-SN"/>
        </w:rPr>
        <w:t>actions</w:t>
      </w:r>
      <w:r>
        <w:rPr>
          <w:rFonts w:ascii="Century Gothic" w:eastAsia="Times New Roman" w:hAnsi="Century Gothic" w:cs="Times New Roman"/>
          <w:b/>
          <w:bCs/>
          <w:i/>
          <w:iCs/>
          <w:sz w:val="18"/>
          <w:szCs w:val="18"/>
          <w:lang w:val="wo-SN" w:eastAsia="wo-SN"/>
        </w:rPr>
        <w:t xml:space="preserve"> par d</w:t>
      </w:r>
      <w:r w:rsidR="0008059E">
        <w:rPr>
          <w:rFonts w:ascii="Century Gothic" w:eastAsia="Times New Roman" w:hAnsi="Century Gothic" w:cs="Times New Roman"/>
          <w:b/>
          <w:bCs/>
          <w:i/>
          <w:iCs/>
          <w:sz w:val="18"/>
          <w:szCs w:val="18"/>
          <w:lang w:val="wo-SN" w:eastAsia="wo-SN"/>
        </w:rPr>
        <w:t>e</w:t>
      </w:r>
      <w:r>
        <w:rPr>
          <w:rFonts w:ascii="Century Gothic" w:eastAsia="Times New Roman" w:hAnsi="Century Gothic" w:cs="Times New Roman"/>
          <w:b/>
          <w:bCs/>
          <w:i/>
          <w:iCs/>
          <w:sz w:val="18"/>
          <w:szCs w:val="18"/>
          <w:lang w:val="wo-SN" w:eastAsia="wo-SN"/>
        </w:rPr>
        <w:t>s</w:t>
      </w:r>
      <w:r w:rsidR="0008059E">
        <w:rPr>
          <w:rFonts w:ascii="Century Gothic" w:eastAsia="Times New Roman" w:hAnsi="Century Gothic" w:cs="Times New Roman"/>
          <w:b/>
          <w:bCs/>
          <w:i/>
          <w:iCs/>
          <w:sz w:val="18"/>
          <w:szCs w:val="18"/>
          <w:lang w:val="wo-SN" w:eastAsia="wo-SN"/>
        </w:rPr>
        <w:t xml:space="preserve"> proposition</w:t>
      </w:r>
      <w:r>
        <w:rPr>
          <w:rFonts w:ascii="Century Gothic" w:eastAsia="Times New Roman" w:hAnsi="Century Gothic" w:cs="Times New Roman"/>
          <w:b/>
          <w:bCs/>
          <w:i/>
          <w:iCs/>
          <w:sz w:val="18"/>
          <w:szCs w:val="18"/>
          <w:lang w:val="wo-SN" w:eastAsia="wo-SN"/>
        </w:rPr>
        <w:t>s</w:t>
      </w:r>
      <w:r w:rsidR="0008059E">
        <w:rPr>
          <w:rFonts w:ascii="Century Gothic" w:eastAsia="Times New Roman" w:hAnsi="Century Gothic" w:cs="Times New Roman"/>
          <w:b/>
          <w:bCs/>
          <w:i/>
          <w:iCs/>
          <w:sz w:val="18"/>
          <w:szCs w:val="18"/>
          <w:lang w:val="wo-SN" w:eastAsia="wo-SN"/>
        </w:rPr>
        <w:t xml:space="preserve"> </w:t>
      </w:r>
      <w:r>
        <w:rPr>
          <w:rFonts w:ascii="Century Gothic" w:eastAsia="Times New Roman" w:hAnsi="Century Gothic" w:cs="Times New Roman"/>
          <w:b/>
          <w:bCs/>
          <w:i/>
          <w:iCs/>
          <w:sz w:val="18"/>
          <w:szCs w:val="18"/>
          <w:lang w:val="wo-SN" w:eastAsia="wo-SN"/>
        </w:rPr>
        <w:t>de</w:t>
      </w:r>
      <w:r w:rsidR="0008059E">
        <w:rPr>
          <w:rFonts w:ascii="Century Gothic" w:eastAsia="Times New Roman" w:hAnsi="Century Gothic" w:cs="Times New Roman"/>
          <w:b/>
          <w:bCs/>
          <w:i/>
          <w:iCs/>
          <w:sz w:val="18"/>
          <w:szCs w:val="18"/>
          <w:lang w:val="wo-SN" w:eastAsia="wo-SN"/>
        </w:rPr>
        <w:t xml:space="preserve"> site</w:t>
      </w:r>
      <w:r>
        <w:rPr>
          <w:rFonts w:ascii="Century Gothic" w:eastAsia="Times New Roman" w:hAnsi="Century Gothic" w:cs="Times New Roman"/>
          <w:b/>
          <w:bCs/>
          <w:i/>
          <w:iCs/>
          <w:sz w:val="18"/>
          <w:szCs w:val="18"/>
          <w:lang w:val="wo-SN" w:eastAsia="wo-SN"/>
        </w:rPr>
        <w:t>?</w:t>
      </w:r>
      <w:r w:rsidR="0008059E">
        <w:rPr>
          <w:rFonts w:ascii="Century Gothic" w:eastAsia="Times New Roman" w:hAnsi="Century Gothic" w:cs="Times New Roman"/>
          <w:b/>
          <w:bCs/>
          <w:i/>
          <w:iCs/>
          <w:sz w:val="18"/>
          <w:szCs w:val="18"/>
          <w:lang w:val="wo-SN" w:eastAsia="wo-SN"/>
        </w:rPr>
        <w:t xml:space="preserve"> </w:t>
      </w:r>
      <w:r>
        <w:rPr>
          <w:rFonts w:ascii="Century Gothic" w:eastAsia="Times New Roman" w:hAnsi="Century Gothic" w:cs="Times New Roman"/>
          <w:b/>
          <w:bCs/>
          <w:i/>
          <w:iCs/>
          <w:sz w:val="18"/>
          <w:szCs w:val="18"/>
          <w:lang w:val="wo-SN" w:eastAsia="wo-SN"/>
        </w:rPr>
        <w:t>É</w:t>
      </w:r>
      <w:r w:rsidR="0008059E">
        <w:rPr>
          <w:rFonts w:ascii="Century Gothic" w:eastAsia="Times New Roman" w:hAnsi="Century Gothic" w:cs="Times New Roman"/>
          <w:b/>
          <w:bCs/>
          <w:i/>
          <w:iCs/>
          <w:sz w:val="18"/>
          <w:szCs w:val="18"/>
          <w:lang w:val="wo-SN" w:eastAsia="wo-SN"/>
        </w:rPr>
        <w:t>cosystème</w:t>
      </w:r>
      <w:r>
        <w:rPr>
          <w:rFonts w:ascii="Century Gothic" w:eastAsia="Times New Roman" w:hAnsi="Century Gothic" w:cs="Times New Roman"/>
          <w:b/>
          <w:bCs/>
          <w:i/>
          <w:iCs/>
          <w:sz w:val="18"/>
          <w:szCs w:val="18"/>
          <w:lang w:val="wo-SN" w:eastAsia="wo-SN"/>
        </w:rPr>
        <w:t>? etc</w:t>
      </w:r>
      <w:r w:rsidR="00F770FC">
        <w:rPr>
          <w:rFonts w:ascii="Century Gothic" w:eastAsia="Times New Roman" w:hAnsi="Century Gothic" w:cs="Times New Roman"/>
          <w:b/>
          <w:bCs/>
          <w:i/>
          <w:iCs/>
          <w:sz w:val="18"/>
          <w:szCs w:val="18"/>
          <w:lang w:val="wo-SN" w:eastAsia="wo-SN"/>
        </w:rPr>
        <w:t>?</w:t>
      </w:r>
      <w:r>
        <w:rPr>
          <w:rFonts w:ascii="Century Gothic" w:eastAsia="Times New Roman" w:hAnsi="Century Gothic" w:cs="Times New Roman"/>
          <w:b/>
          <w:bCs/>
          <w:i/>
          <w:iCs/>
          <w:sz w:val="18"/>
          <w:szCs w:val="18"/>
          <w:lang w:val="wo-SN" w:eastAsia="wo-SN"/>
        </w:rPr>
        <w:t>.</w:t>
      </w:r>
      <w:r w:rsidR="006C7370">
        <w:rPr>
          <w:rFonts w:ascii="Century Gothic" w:eastAsia="Times New Roman" w:hAnsi="Century Gothic" w:cs="Times New Roman"/>
          <w:b/>
          <w:bCs/>
          <w:i/>
          <w:iCs/>
          <w:sz w:val="18"/>
          <w:szCs w:val="18"/>
          <w:lang w:val="wo-SN" w:eastAsia="wo-SN"/>
        </w:rPr>
        <w:t xml:space="preserve"> </w:t>
      </w:r>
    </w:p>
    <w:p w14:paraId="3D9EAFB5" w14:textId="576FF2D3" w:rsidR="006C7370" w:rsidRPr="00FA36EC" w:rsidRDefault="006C7370" w:rsidP="005625B5">
      <w:pPr>
        <w:pStyle w:val="Paragraphedeliste"/>
        <w:numPr>
          <w:ilvl w:val="0"/>
          <w:numId w:val="28"/>
        </w:numPr>
        <w:shd w:val="clear" w:color="auto" w:fill="FBE4D5" w:themeFill="accent2" w:themeFillTint="33"/>
        <w:spacing w:after="0"/>
        <w:ind w:left="-142" w:right="-567" w:hanging="284"/>
        <w:rPr>
          <w:rFonts w:ascii="Century Gothic" w:eastAsia="Times New Roman" w:hAnsi="Century Gothic" w:cs="Times New Roman"/>
          <w:b/>
          <w:bCs/>
          <w:i/>
          <w:iCs/>
          <w:sz w:val="18"/>
          <w:szCs w:val="18"/>
          <w:lang w:val="wo-SN" w:eastAsia="wo-SN"/>
        </w:rPr>
      </w:pPr>
      <w:r>
        <w:rPr>
          <w:rFonts w:ascii="Century Gothic" w:eastAsia="Times New Roman" w:hAnsi="Century Gothic" w:cs="Times New Roman"/>
          <w:b/>
          <w:bCs/>
          <w:i/>
          <w:iCs/>
          <w:sz w:val="18"/>
          <w:szCs w:val="18"/>
          <w:lang w:val="wo-SN" w:eastAsia="wo-SN"/>
        </w:rPr>
        <w:t xml:space="preserve">Un plan d’action de la Région de Nouakchott a été produit au cours de l’année 2024 qui recelle des avancées intérssantes. Qu’en dites-vous d’en intégrer </w:t>
      </w:r>
      <w:r w:rsidR="00614F61">
        <w:rPr>
          <w:rFonts w:ascii="Century Gothic" w:eastAsia="Times New Roman" w:hAnsi="Century Gothic" w:cs="Times New Roman"/>
          <w:b/>
          <w:bCs/>
          <w:i/>
          <w:iCs/>
          <w:sz w:val="18"/>
          <w:szCs w:val="18"/>
          <w:lang w:val="wo-SN" w:eastAsia="wo-SN"/>
        </w:rPr>
        <w:t>les parties que vous avez en commun?</w:t>
      </w:r>
      <w:r>
        <w:rPr>
          <w:rFonts w:ascii="Century Gothic" w:eastAsia="Times New Roman" w:hAnsi="Century Gothic" w:cs="Times New Roman"/>
          <w:b/>
          <w:bCs/>
          <w:i/>
          <w:iCs/>
          <w:sz w:val="18"/>
          <w:szCs w:val="18"/>
          <w:lang w:val="wo-SN" w:eastAsia="wo-SN"/>
        </w:rPr>
        <w:t xml:space="preserve">  </w:t>
      </w:r>
      <w:r w:rsidR="00614F61">
        <w:rPr>
          <w:rFonts w:ascii="Century Gothic" w:eastAsia="Times New Roman" w:hAnsi="Century Gothic" w:cs="Times New Roman"/>
          <w:b/>
          <w:bCs/>
          <w:i/>
          <w:iCs/>
          <w:sz w:val="18"/>
          <w:szCs w:val="18"/>
          <w:lang w:val="wo-SN" w:eastAsia="wo-SN"/>
        </w:rPr>
        <w:t>(à discuter en marge)</w:t>
      </w:r>
    </w:p>
    <w:p w14:paraId="181AEAF7" w14:textId="77777777" w:rsidR="00E052E2" w:rsidRPr="00613CF8" w:rsidRDefault="00E052E2" w:rsidP="00E052E2">
      <w:pPr>
        <w:jc w:val="right"/>
        <w:rPr>
          <w:rFonts w:ascii="Century Gothic" w:eastAsia="Times New Roman" w:hAnsi="Century Gothic" w:cs="Times New Roman"/>
          <w:b/>
          <w:bCs/>
          <w:sz w:val="2"/>
          <w:szCs w:val="2"/>
          <w:lang w:val="wo-SN" w:eastAsia="wo-SN"/>
        </w:rPr>
      </w:pPr>
    </w:p>
    <w:p w14:paraId="491792E3" w14:textId="69501467" w:rsidR="00A616B6" w:rsidRPr="00613CF8" w:rsidRDefault="00A616B6" w:rsidP="007824B0">
      <w:pPr>
        <w:pStyle w:val="En-ttedetabledesmatires"/>
        <w:jc w:val="center"/>
        <w:rPr>
          <w:rFonts w:ascii="Century Gothic" w:eastAsiaTheme="minorHAnsi" w:hAnsi="Century Gothic" w:cstheme="minorBidi"/>
          <w:b/>
          <w:bCs/>
          <w:i/>
          <w:iCs/>
          <w:color w:val="auto"/>
          <w:sz w:val="6"/>
          <w:szCs w:val="6"/>
          <w:u w:val="single"/>
          <w:lang w:eastAsia="en-US"/>
        </w:rPr>
      </w:pPr>
    </w:p>
    <w:sdt>
      <w:sdtPr>
        <w:rPr>
          <w:rFonts w:ascii="Century Gothic" w:eastAsiaTheme="minorHAnsi" w:hAnsi="Century Gothic" w:cstheme="minorBidi"/>
          <w:b/>
          <w:bCs/>
          <w:i/>
          <w:iCs/>
          <w:color w:val="auto"/>
          <w:sz w:val="28"/>
          <w:szCs w:val="28"/>
          <w:u w:val="single"/>
          <w:lang w:eastAsia="en-US"/>
        </w:rPr>
        <w:id w:val="1086662593"/>
        <w:docPartObj>
          <w:docPartGallery w:val="Table of Contents"/>
          <w:docPartUnique/>
        </w:docPartObj>
      </w:sdtPr>
      <w:sdtEndPr>
        <w:rPr>
          <w:i w:val="0"/>
          <w:iCs w:val="0"/>
          <w:sz w:val="22"/>
          <w:szCs w:val="22"/>
          <w:u w:val="none"/>
        </w:rPr>
      </w:sdtEndPr>
      <w:sdtContent>
        <w:p w14:paraId="00516F15" w14:textId="77777777" w:rsidR="0009359A" w:rsidRDefault="00A616B6" w:rsidP="00954BA0">
          <w:pPr>
            <w:pStyle w:val="En-ttedetabledesmatires"/>
            <w:spacing w:line="240" w:lineRule="auto"/>
            <w:rPr>
              <w:noProof/>
            </w:rPr>
          </w:pPr>
          <w:r>
            <w:rPr>
              <w:rFonts w:ascii="Century Gothic" w:hAnsi="Century Gothic"/>
              <w:noProof/>
              <w:sz w:val="24"/>
              <w:szCs w:val="24"/>
            </w:rPr>
            <mc:AlternateContent>
              <mc:Choice Requires="wps">
                <w:drawing>
                  <wp:anchor distT="0" distB="0" distL="114300" distR="114300" simplePos="0" relativeHeight="251700224" behindDoc="0" locked="0" layoutInCell="1" allowOverlap="1" wp14:anchorId="4E34BC41" wp14:editId="00167B48">
                    <wp:simplePos x="0" y="0"/>
                    <wp:positionH relativeFrom="column">
                      <wp:posOffset>0</wp:posOffset>
                    </wp:positionH>
                    <wp:positionV relativeFrom="paragraph">
                      <wp:posOffset>63500</wp:posOffset>
                    </wp:positionV>
                    <wp:extent cx="5734050" cy="298450"/>
                    <wp:effectExtent l="0" t="0" r="19050" b="25400"/>
                    <wp:wrapNone/>
                    <wp:docPr id="39" name="Zone de texte 39"/>
                    <wp:cNvGraphicFramePr/>
                    <a:graphic xmlns:a="http://schemas.openxmlformats.org/drawingml/2006/main">
                      <a:graphicData uri="http://schemas.microsoft.com/office/word/2010/wordprocessingShape">
                        <wps:wsp>
                          <wps:cNvSpPr txBox="1"/>
                          <wps:spPr>
                            <a:xfrm>
                              <a:off x="0" y="0"/>
                              <a:ext cx="5734050" cy="298450"/>
                            </a:xfrm>
                            <a:prstGeom prst="rect">
                              <a:avLst/>
                            </a:prstGeom>
                            <a:solidFill>
                              <a:schemeClr val="accent1"/>
                            </a:solidFill>
                            <a:ln/>
                          </wps:spPr>
                          <wps:style>
                            <a:lnRef idx="2">
                              <a:schemeClr val="accent5"/>
                            </a:lnRef>
                            <a:fillRef idx="1">
                              <a:schemeClr val="lt1"/>
                            </a:fillRef>
                            <a:effectRef idx="0">
                              <a:schemeClr val="accent5"/>
                            </a:effectRef>
                            <a:fontRef idx="minor">
                              <a:schemeClr val="dk1"/>
                            </a:fontRef>
                          </wps:style>
                          <wps:txbx>
                            <w:txbxContent>
                              <w:p w14:paraId="13A789B9" w14:textId="7B3B9BE4" w:rsidR="0062478D" w:rsidRPr="00E36571" w:rsidRDefault="0062478D" w:rsidP="00E36571">
                                <w:pPr>
                                  <w:jc w:val="center"/>
                                  <w:rPr>
                                    <w:b/>
                                    <w:bCs/>
                                    <w:color w:val="FFFFFF" w:themeColor="background1"/>
                                  </w:rPr>
                                </w:pPr>
                                <w:r w:rsidRPr="00E36571">
                                  <w:rPr>
                                    <w:rFonts w:ascii="Century Gothic" w:hAnsi="Century Gothic"/>
                                    <w:b/>
                                    <w:bCs/>
                                    <w:color w:val="FFFFFF" w:themeColor="background1"/>
                                    <w:sz w:val="28"/>
                                    <w:szCs w:val="28"/>
                                  </w:rPr>
                                  <w:t>Table des matières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34BC41" id="Zone de texte 39" o:spid="_x0000_s1032" type="#_x0000_t202" style="position:absolute;margin-left:0;margin-top:5pt;width:451.5pt;height:23.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" fillcolor="#4472c4 [3204]" strokecolor="#5b9bd5 [3208]" strokeweight="1pt">
                    <v:textbox>
                      <w:txbxContent>
                        <w:p w14:paraId="13A789B9" w14:textId="7B3B9BE4" w:rsidR="0062478D" w:rsidRPr="00E36571" w:rsidRDefault="0062478D" w:rsidP="00E36571">
                          <w:pPr>
                            <w:jc w:val="center"/>
                            <w:rPr>
                              <w:b/>
                              <w:bCs/>
                              <w:color w:val="FFFFFF" w:themeColor="background1"/>
                            </w:rPr>
                          </w:pPr>
                          <w:r w:rsidRPr="00E36571">
                            <w:rPr>
                              <w:rFonts w:ascii="Century Gothic" w:hAnsi="Century Gothic"/>
                              <w:b/>
                              <w:bCs/>
                              <w:color w:val="FFFFFF" w:themeColor="background1"/>
                              <w:sz w:val="28"/>
                              <w:szCs w:val="28"/>
                            </w:rPr>
                            <w:t>Table des matières</w:t>
                          </w:r>
                        </w:p>
                      </w:txbxContent>
                    </v:textbox>
                  </v:shape>
                </w:pict>
              </mc:Fallback>
            </mc:AlternateContent>
          </w:r>
          <w:r w:rsidR="00856A11" w:rsidRPr="00541183">
            <w:rPr>
              <w:rFonts w:eastAsia="Times New Roman" w:cs="Times New Roman"/>
              <w:i/>
              <w:iCs/>
              <w:noProof/>
              <w:lang w:val="wo-SN" w:eastAsia="wo-SN"/>
            </w:rPr>
            <w:fldChar w:fldCharType="begin"/>
          </w:r>
          <w:r w:rsidR="00856A11" w:rsidRPr="00541183">
            <w:instrText xml:space="preserve"> TOC \o "1-3" \h \z \u </w:instrText>
          </w:r>
          <w:r w:rsidR="00856A11" w:rsidRPr="00541183">
            <w:rPr>
              <w:rFonts w:eastAsia="Times New Roman" w:cs="Times New Roman"/>
              <w:i/>
              <w:iCs/>
              <w:noProof/>
              <w:lang w:val="wo-SN" w:eastAsia="wo-SN"/>
            </w:rPr>
            <w:fldChar w:fldCharType="separate"/>
          </w:r>
        </w:p>
        <w:p w14:paraId="4F1F1EEB" w14:textId="38E969C5" w:rsidR="0009359A" w:rsidRPr="0009359A" w:rsidRDefault="0009359A" w:rsidP="00FA36EC">
          <w:pPr>
            <w:pStyle w:val="TM1"/>
            <w:rPr>
              <w:rFonts w:asciiTheme="minorHAnsi" w:eastAsiaTheme="minorEastAsia" w:hAnsiTheme="minorHAnsi" w:cstheme="minorBidi"/>
              <w:lang w:val="fr-FR" w:eastAsia="fr-FR"/>
            </w:rPr>
          </w:pPr>
          <w:hyperlink w:anchor="_Toc189375533" w:history="1">
            <w:r w:rsidRPr="0009359A">
              <w:rPr>
                <w:rStyle w:val="Lienhypertexte"/>
                <w:sz w:val="20"/>
                <w:szCs w:val="20"/>
              </w:rPr>
              <w:t>1.</w:t>
            </w:r>
            <w:r w:rsidRPr="0009359A">
              <w:rPr>
                <w:rFonts w:asciiTheme="minorHAnsi" w:eastAsiaTheme="minorEastAsia" w:hAnsiTheme="minorHAnsi" w:cstheme="minorBidi"/>
                <w:lang w:val="fr-FR" w:eastAsia="fr-FR"/>
              </w:rPr>
              <w:tab/>
            </w:r>
            <w:r w:rsidRPr="0009359A">
              <w:rPr>
                <w:rStyle w:val="Lienhypertexte"/>
                <w:sz w:val="20"/>
                <w:szCs w:val="20"/>
              </w:rPr>
              <w:t>Présentation  des Ecosystèmes marins, Littoral et Aires protégées</w:t>
            </w:r>
            <w:r w:rsidRPr="0009359A">
              <w:rPr>
                <w:webHidden/>
              </w:rPr>
              <w:tab/>
            </w:r>
            <w:r w:rsidRPr="0009359A">
              <w:rPr>
                <w:webHidden/>
              </w:rPr>
              <w:fldChar w:fldCharType="begin"/>
            </w:r>
            <w:r w:rsidRPr="0009359A">
              <w:rPr>
                <w:webHidden/>
              </w:rPr>
              <w:instrText xml:space="preserve"> PAGEREF _Toc189375533 \h </w:instrText>
            </w:r>
            <w:r w:rsidRPr="0009359A">
              <w:rPr>
                <w:webHidden/>
              </w:rPr>
            </w:r>
            <w:r w:rsidRPr="0009359A">
              <w:rPr>
                <w:webHidden/>
              </w:rPr>
              <w:fldChar w:fldCharType="separate"/>
            </w:r>
            <w:r w:rsidRPr="0009359A">
              <w:rPr>
                <w:webHidden/>
              </w:rPr>
              <w:t>4</w:t>
            </w:r>
            <w:r w:rsidRPr="0009359A">
              <w:rPr>
                <w:webHidden/>
              </w:rPr>
              <w:fldChar w:fldCharType="end"/>
            </w:r>
          </w:hyperlink>
        </w:p>
        <w:p w14:paraId="77F1F03D" w14:textId="0352B13B" w:rsidR="0009359A" w:rsidRPr="0009359A" w:rsidRDefault="0009359A" w:rsidP="00954BA0">
          <w:pPr>
            <w:pStyle w:val="TM2"/>
            <w:tabs>
              <w:tab w:val="right" w:leader="dot" w:pos="9062"/>
            </w:tabs>
            <w:spacing w:line="240" w:lineRule="auto"/>
            <w:rPr>
              <w:rFonts w:eastAsiaTheme="minorEastAsia"/>
              <w:noProof/>
              <w:sz w:val="20"/>
              <w:szCs w:val="20"/>
              <w:lang w:eastAsia="fr-FR"/>
            </w:rPr>
          </w:pPr>
          <w:hyperlink w:anchor="_Toc189375534" w:history="1">
            <w:r w:rsidRPr="0009359A">
              <w:rPr>
                <w:rStyle w:val="Lienhypertexte"/>
                <w:rFonts w:ascii="Century Gothic" w:hAnsi="Century Gothic"/>
                <w:noProof/>
                <w:sz w:val="20"/>
                <w:szCs w:val="20"/>
              </w:rPr>
              <w:t>1.1 Les écosystèmes marins et Littoral</w:t>
            </w:r>
            <w:r w:rsidRPr="0009359A">
              <w:rPr>
                <w:noProof/>
                <w:webHidden/>
                <w:sz w:val="20"/>
                <w:szCs w:val="20"/>
              </w:rPr>
              <w:tab/>
            </w:r>
            <w:r w:rsidRPr="0009359A">
              <w:rPr>
                <w:noProof/>
                <w:webHidden/>
                <w:sz w:val="20"/>
                <w:szCs w:val="20"/>
              </w:rPr>
              <w:fldChar w:fldCharType="begin"/>
            </w:r>
            <w:r w:rsidRPr="0009359A">
              <w:rPr>
                <w:noProof/>
                <w:webHidden/>
                <w:sz w:val="20"/>
                <w:szCs w:val="20"/>
              </w:rPr>
              <w:instrText xml:space="preserve"> PAGEREF _Toc189375534 \h </w:instrText>
            </w:r>
            <w:r w:rsidRPr="0009359A">
              <w:rPr>
                <w:noProof/>
                <w:webHidden/>
                <w:sz w:val="20"/>
                <w:szCs w:val="20"/>
              </w:rPr>
            </w:r>
            <w:r w:rsidRPr="0009359A">
              <w:rPr>
                <w:noProof/>
                <w:webHidden/>
                <w:sz w:val="20"/>
                <w:szCs w:val="20"/>
              </w:rPr>
              <w:fldChar w:fldCharType="separate"/>
            </w:r>
            <w:r w:rsidRPr="0009359A">
              <w:rPr>
                <w:noProof/>
                <w:webHidden/>
                <w:sz w:val="20"/>
                <w:szCs w:val="20"/>
              </w:rPr>
              <w:t>4</w:t>
            </w:r>
            <w:r w:rsidRPr="0009359A">
              <w:rPr>
                <w:noProof/>
                <w:webHidden/>
                <w:sz w:val="20"/>
                <w:szCs w:val="20"/>
              </w:rPr>
              <w:fldChar w:fldCharType="end"/>
            </w:r>
          </w:hyperlink>
        </w:p>
        <w:p w14:paraId="179A5EB5" w14:textId="0C1CB8F3" w:rsidR="0009359A" w:rsidRPr="0009359A" w:rsidRDefault="0009359A" w:rsidP="00954BA0">
          <w:pPr>
            <w:pStyle w:val="TM2"/>
            <w:tabs>
              <w:tab w:val="right" w:leader="dot" w:pos="9062"/>
            </w:tabs>
            <w:spacing w:line="240" w:lineRule="auto"/>
            <w:rPr>
              <w:rFonts w:eastAsiaTheme="minorEastAsia"/>
              <w:noProof/>
              <w:sz w:val="20"/>
              <w:szCs w:val="20"/>
              <w:lang w:eastAsia="fr-FR"/>
            </w:rPr>
          </w:pPr>
          <w:hyperlink w:anchor="_Toc189375535" w:history="1">
            <w:r w:rsidRPr="0009359A">
              <w:rPr>
                <w:rStyle w:val="Lienhypertexte"/>
                <w:rFonts w:ascii="Century Gothic" w:hAnsi="Century Gothic"/>
                <w:noProof/>
                <w:sz w:val="20"/>
                <w:szCs w:val="20"/>
              </w:rPr>
              <w:t>1.2 Aires Protégées</w:t>
            </w:r>
            <w:r w:rsidRPr="0009359A">
              <w:rPr>
                <w:noProof/>
                <w:webHidden/>
                <w:sz w:val="20"/>
                <w:szCs w:val="20"/>
              </w:rPr>
              <w:tab/>
            </w:r>
            <w:r w:rsidRPr="0009359A">
              <w:rPr>
                <w:noProof/>
                <w:webHidden/>
                <w:sz w:val="20"/>
                <w:szCs w:val="20"/>
              </w:rPr>
              <w:fldChar w:fldCharType="begin"/>
            </w:r>
            <w:r w:rsidRPr="0009359A">
              <w:rPr>
                <w:noProof/>
                <w:webHidden/>
                <w:sz w:val="20"/>
                <w:szCs w:val="20"/>
              </w:rPr>
              <w:instrText xml:space="preserve"> PAGEREF _Toc189375535 \h </w:instrText>
            </w:r>
            <w:r w:rsidRPr="0009359A">
              <w:rPr>
                <w:noProof/>
                <w:webHidden/>
                <w:sz w:val="20"/>
                <w:szCs w:val="20"/>
              </w:rPr>
            </w:r>
            <w:r w:rsidRPr="0009359A">
              <w:rPr>
                <w:noProof/>
                <w:webHidden/>
                <w:sz w:val="20"/>
                <w:szCs w:val="20"/>
              </w:rPr>
              <w:fldChar w:fldCharType="separate"/>
            </w:r>
            <w:r w:rsidRPr="0009359A">
              <w:rPr>
                <w:noProof/>
                <w:webHidden/>
                <w:sz w:val="20"/>
                <w:szCs w:val="20"/>
              </w:rPr>
              <w:t>4</w:t>
            </w:r>
            <w:r w:rsidRPr="0009359A">
              <w:rPr>
                <w:noProof/>
                <w:webHidden/>
                <w:sz w:val="20"/>
                <w:szCs w:val="20"/>
              </w:rPr>
              <w:fldChar w:fldCharType="end"/>
            </w:r>
          </w:hyperlink>
        </w:p>
        <w:p w14:paraId="182FF3B0" w14:textId="54E5A974" w:rsidR="0009359A" w:rsidRPr="0009359A" w:rsidRDefault="0009359A" w:rsidP="00954BA0">
          <w:pPr>
            <w:pStyle w:val="TM2"/>
            <w:tabs>
              <w:tab w:val="right" w:leader="dot" w:pos="9062"/>
            </w:tabs>
            <w:spacing w:line="240" w:lineRule="auto"/>
            <w:rPr>
              <w:rFonts w:eastAsiaTheme="minorEastAsia"/>
              <w:noProof/>
              <w:sz w:val="20"/>
              <w:szCs w:val="20"/>
              <w:lang w:eastAsia="fr-FR"/>
            </w:rPr>
          </w:pPr>
          <w:hyperlink w:anchor="_Toc189375536" w:history="1">
            <w:r w:rsidRPr="0009359A">
              <w:rPr>
                <w:rStyle w:val="Lienhypertexte"/>
                <w:rFonts w:ascii="Century Gothic" w:hAnsi="Century Gothic"/>
                <w:noProof/>
                <w:sz w:val="20"/>
                <w:szCs w:val="20"/>
              </w:rPr>
              <w:t>1.3 Principales Aires Protégées</w:t>
            </w:r>
            <w:r w:rsidRPr="0009359A">
              <w:rPr>
                <w:noProof/>
                <w:webHidden/>
                <w:sz w:val="20"/>
                <w:szCs w:val="20"/>
              </w:rPr>
              <w:tab/>
            </w:r>
            <w:r w:rsidRPr="0009359A">
              <w:rPr>
                <w:noProof/>
                <w:webHidden/>
                <w:sz w:val="20"/>
                <w:szCs w:val="20"/>
              </w:rPr>
              <w:fldChar w:fldCharType="begin"/>
            </w:r>
            <w:r w:rsidRPr="0009359A">
              <w:rPr>
                <w:noProof/>
                <w:webHidden/>
                <w:sz w:val="20"/>
                <w:szCs w:val="20"/>
              </w:rPr>
              <w:instrText xml:space="preserve"> PAGEREF _Toc189375536 \h </w:instrText>
            </w:r>
            <w:r w:rsidRPr="0009359A">
              <w:rPr>
                <w:noProof/>
                <w:webHidden/>
                <w:sz w:val="20"/>
                <w:szCs w:val="20"/>
              </w:rPr>
            </w:r>
            <w:r w:rsidRPr="0009359A">
              <w:rPr>
                <w:noProof/>
                <w:webHidden/>
                <w:sz w:val="20"/>
                <w:szCs w:val="20"/>
              </w:rPr>
              <w:fldChar w:fldCharType="separate"/>
            </w:r>
            <w:r w:rsidRPr="0009359A">
              <w:rPr>
                <w:noProof/>
                <w:webHidden/>
                <w:sz w:val="20"/>
                <w:szCs w:val="20"/>
              </w:rPr>
              <w:t>7</w:t>
            </w:r>
            <w:r w:rsidRPr="0009359A">
              <w:rPr>
                <w:noProof/>
                <w:webHidden/>
                <w:sz w:val="20"/>
                <w:szCs w:val="20"/>
              </w:rPr>
              <w:fldChar w:fldCharType="end"/>
            </w:r>
          </w:hyperlink>
        </w:p>
        <w:p w14:paraId="02A467AE" w14:textId="2472D1B0" w:rsidR="0009359A" w:rsidRPr="0009359A" w:rsidRDefault="0009359A" w:rsidP="00954BA0">
          <w:pPr>
            <w:pStyle w:val="TM2"/>
            <w:tabs>
              <w:tab w:val="right" w:leader="dot" w:pos="9062"/>
            </w:tabs>
            <w:spacing w:line="240" w:lineRule="auto"/>
            <w:rPr>
              <w:rFonts w:eastAsiaTheme="minorEastAsia"/>
              <w:noProof/>
              <w:sz w:val="20"/>
              <w:szCs w:val="20"/>
              <w:lang w:eastAsia="fr-FR"/>
            </w:rPr>
          </w:pPr>
          <w:hyperlink w:anchor="_Toc189375537" w:history="1">
            <w:r w:rsidRPr="0009359A">
              <w:rPr>
                <w:rStyle w:val="Lienhypertexte"/>
                <w:rFonts w:ascii="Century Gothic" w:hAnsi="Century Gothic"/>
                <w:noProof/>
                <w:sz w:val="20"/>
                <w:szCs w:val="20"/>
              </w:rPr>
              <w:t>1.4 Défis, Enjeux et Perspectives</w:t>
            </w:r>
            <w:r w:rsidRPr="0009359A">
              <w:rPr>
                <w:noProof/>
                <w:webHidden/>
                <w:sz w:val="20"/>
                <w:szCs w:val="20"/>
              </w:rPr>
              <w:tab/>
            </w:r>
            <w:r w:rsidRPr="0009359A">
              <w:rPr>
                <w:noProof/>
                <w:webHidden/>
                <w:sz w:val="20"/>
                <w:szCs w:val="20"/>
              </w:rPr>
              <w:fldChar w:fldCharType="begin"/>
            </w:r>
            <w:r w:rsidRPr="0009359A">
              <w:rPr>
                <w:noProof/>
                <w:webHidden/>
                <w:sz w:val="20"/>
                <w:szCs w:val="20"/>
              </w:rPr>
              <w:instrText xml:space="preserve"> PAGEREF _Toc189375537 \h </w:instrText>
            </w:r>
            <w:r w:rsidRPr="0009359A">
              <w:rPr>
                <w:noProof/>
                <w:webHidden/>
                <w:sz w:val="20"/>
                <w:szCs w:val="20"/>
              </w:rPr>
            </w:r>
            <w:r w:rsidRPr="0009359A">
              <w:rPr>
                <w:noProof/>
                <w:webHidden/>
                <w:sz w:val="20"/>
                <w:szCs w:val="20"/>
              </w:rPr>
              <w:fldChar w:fldCharType="separate"/>
            </w:r>
            <w:r w:rsidRPr="0009359A">
              <w:rPr>
                <w:noProof/>
                <w:webHidden/>
                <w:sz w:val="20"/>
                <w:szCs w:val="20"/>
              </w:rPr>
              <w:t>8</w:t>
            </w:r>
            <w:r w:rsidRPr="0009359A">
              <w:rPr>
                <w:noProof/>
                <w:webHidden/>
                <w:sz w:val="20"/>
                <w:szCs w:val="20"/>
              </w:rPr>
              <w:fldChar w:fldCharType="end"/>
            </w:r>
          </w:hyperlink>
        </w:p>
        <w:p w14:paraId="782A2F49" w14:textId="616DB6A7" w:rsidR="0009359A" w:rsidRPr="0009359A" w:rsidRDefault="0009359A" w:rsidP="00FA36EC">
          <w:pPr>
            <w:pStyle w:val="TM1"/>
            <w:rPr>
              <w:rFonts w:asciiTheme="minorHAnsi" w:eastAsiaTheme="minorEastAsia" w:hAnsiTheme="minorHAnsi" w:cstheme="minorBidi"/>
              <w:lang w:val="fr-FR" w:eastAsia="fr-FR"/>
            </w:rPr>
          </w:pPr>
          <w:hyperlink w:anchor="_Toc189375538" w:history="1">
            <w:r w:rsidRPr="0009359A">
              <w:rPr>
                <w:rStyle w:val="Lienhypertexte"/>
                <w:sz w:val="20"/>
                <w:szCs w:val="20"/>
              </w:rPr>
              <w:t>2.</w:t>
            </w:r>
            <w:r w:rsidRPr="0009359A">
              <w:rPr>
                <w:rFonts w:asciiTheme="minorHAnsi" w:eastAsiaTheme="minorEastAsia" w:hAnsiTheme="minorHAnsi" w:cstheme="minorBidi"/>
                <w:lang w:val="fr-FR" w:eastAsia="fr-FR"/>
              </w:rPr>
              <w:tab/>
            </w:r>
            <w:r w:rsidRPr="0009359A">
              <w:rPr>
                <w:rStyle w:val="Lienhypertexte"/>
                <w:sz w:val="20"/>
                <w:szCs w:val="20"/>
              </w:rPr>
              <w:t>Les manifestations des changements climatiques</w:t>
            </w:r>
            <w:r w:rsidRPr="0009359A">
              <w:rPr>
                <w:webHidden/>
              </w:rPr>
              <w:tab/>
            </w:r>
            <w:r w:rsidRPr="0009359A">
              <w:rPr>
                <w:webHidden/>
              </w:rPr>
              <w:fldChar w:fldCharType="begin"/>
            </w:r>
            <w:r w:rsidRPr="0009359A">
              <w:rPr>
                <w:webHidden/>
              </w:rPr>
              <w:instrText xml:space="preserve"> PAGEREF _Toc189375538 \h </w:instrText>
            </w:r>
            <w:r w:rsidRPr="0009359A">
              <w:rPr>
                <w:webHidden/>
              </w:rPr>
            </w:r>
            <w:r w:rsidRPr="0009359A">
              <w:rPr>
                <w:webHidden/>
              </w:rPr>
              <w:fldChar w:fldCharType="separate"/>
            </w:r>
            <w:r w:rsidRPr="0009359A">
              <w:rPr>
                <w:webHidden/>
              </w:rPr>
              <w:t>9</w:t>
            </w:r>
            <w:r w:rsidRPr="0009359A">
              <w:rPr>
                <w:webHidden/>
              </w:rPr>
              <w:fldChar w:fldCharType="end"/>
            </w:r>
          </w:hyperlink>
        </w:p>
        <w:p w14:paraId="056502C1" w14:textId="4C9C6A60" w:rsidR="0009359A" w:rsidRPr="0009359A" w:rsidRDefault="0009359A" w:rsidP="00FA36EC">
          <w:pPr>
            <w:pStyle w:val="TM1"/>
            <w:rPr>
              <w:rFonts w:asciiTheme="minorHAnsi" w:eastAsiaTheme="minorEastAsia" w:hAnsiTheme="minorHAnsi" w:cstheme="minorBidi"/>
              <w:lang w:val="fr-FR" w:eastAsia="fr-FR"/>
            </w:rPr>
          </w:pPr>
          <w:hyperlink w:anchor="_Toc189375539" w:history="1">
            <w:r w:rsidRPr="0009359A">
              <w:rPr>
                <w:rStyle w:val="Lienhypertexte"/>
                <w:sz w:val="20"/>
                <w:szCs w:val="20"/>
              </w:rPr>
              <w:t>3.</w:t>
            </w:r>
            <w:r w:rsidRPr="0009359A">
              <w:rPr>
                <w:rFonts w:asciiTheme="minorHAnsi" w:eastAsiaTheme="minorEastAsia" w:hAnsiTheme="minorHAnsi" w:cstheme="minorBidi"/>
                <w:lang w:val="fr-FR" w:eastAsia="fr-FR"/>
              </w:rPr>
              <w:tab/>
            </w:r>
            <w:r w:rsidRPr="0009359A">
              <w:rPr>
                <w:rStyle w:val="Lienhypertexte"/>
                <w:sz w:val="20"/>
                <w:szCs w:val="20"/>
              </w:rPr>
              <w:t>Contexte et Justification</w:t>
            </w:r>
            <w:r w:rsidRPr="0009359A">
              <w:rPr>
                <w:webHidden/>
              </w:rPr>
              <w:tab/>
            </w:r>
            <w:r w:rsidRPr="0009359A">
              <w:rPr>
                <w:webHidden/>
              </w:rPr>
              <w:fldChar w:fldCharType="begin"/>
            </w:r>
            <w:r w:rsidRPr="0009359A">
              <w:rPr>
                <w:webHidden/>
              </w:rPr>
              <w:instrText xml:space="preserve"> PAGEREF _Toc189375539 \h </w:instrText>
            </w:r>
            <w:r w:rsidRPr="0009359A">
              <w:rPr>
                <w:webHidden/>
              </w:rPr>
            </w:r>
            <w:r w:rsidRPr="0009359A">
              <w:rPr>
                <w:webHidden/>
              </w:rPr>
              <w:fldChar w:fldCharType="separate"/>
            </w:r>
            <w:r w:rsidRPr="0009359A">
              <w:rPr>
                <w:webHidden/>
              </w:rPr>
              <w:t>10</w:t>
            </w:r>
            <w:r w:rsidRPr="0009359A">
              <w:rPr>
                <w:webHidden/>
              </w:rPr>
              <w:fldChar w:fldCharType="end"/>
            </w:r>
          </w:hyperlink>
        </w:p>
        <w:p w14:paraId="0F275AA4" w14:textId="2163CBBC" w:rsidR="0009359A" w:rsidRPr="0009359A" w:rsidRDefault="0009359A" w:rsidP="00FA36EC">
          <w:pPr>
            <w:pStyle w:val="TM1"/>
            <w:rPr>
              <w:rFonts w:asciiTheme="minorHAnsi" w:eastAsiaTheme="minorEastAsia" w:hAnsiTheme="minorHAnsi" w:cstheme="minorBidi"/>
              <w:lang w:val="fr-FR" w:eastAsia="fr-FR"/>
            </w:rPr>
          </w:pPr>
          <w:hyperlink w:anchor="_Toc189375540" w:history="1">
            <w:r w:rsidRPr="0009359A">
              <w:rPr>
                <w:rStyle w:val="Lienhypertexte"/>
                <w:sz w:val="20"/>
                <w:szCs w:val="20"/>
              </w:rPr>
              <w:t>4.</w:t>
            </w:r>
            <w:r w:rsidRPr="0009359A">
              <w:rPr>
                <w:rFonts w:asciiTheme="minorHAnsi" w:eastAsiaTheme="minorEastAsia" w:hAnsiTheme="minorHAnsi" w:cstheme="minorBidi"/>
                <w:lang w:val="fr-FR" w:eastAsia="fr-FR"/>
              </w:rPr>
              <w:tab/>
            </w:r>
            <w:r w:rsidRPr="0009359A">
              <w:rPr>
                <w:rStyle w:val="Lienhypertexte"/>
                <w:sz w:val="20"/>
                <w:szCs w:val="20"/>
              </w:rPr>
              <w:t>Objectifs et tâches de l'Évaluation</w:t>
            </w:r>
            <w:r w:rsidRPr="0009359A">
              <w:rPr>
                <w:webHidden/>
              </w:rPr>
              <w:tab/>
            </w:r>
            <w:r w:rsidRPr="0009359A">
              <w:rPr>
                <w:webHidden/>
              </w:rPr>
              <w:fldChar w:fldCharType="begin"/>
            </w:r>
            <w:r w:rsidRPr="0009359A">
              <w:rPr>
                <w:webHidden/>
              </w:rPr>
              <w:instrText xml:space="preserve"> PAGEREF _Toc189375540 \h </w:instrText>
            </w:r>
            <w:r w:rsidRPr="0009359A">
              <w:rPr>
                <w:webHidden/>
              </w:rPr>
            </w:r>
            <w:r w:rsidRPr="0009359A">
              <w:rPr>
                <w:webHidden/>
              </w:rPr>
              <w:fldChar w:fldCharType="separate"/>
            </w:r>
            <w:r w:rsidRPr="0009359A">
              <w:rPr>
                <w:webHidden/>
              </w:rPr>
              <w:t>11</w:t>
            </w:r>
            <w:r w:rsidRPr="0009359A">
              <w:rPr>
                <w:webHidden/>
              </w:rPr>
              <w:fldChar w:fldCharType="end"/>
            </w:r>
          </w:hyperlink>
        </w:p>
        <w:p w14:paraId="73CD05B7" w14:textId="38BFFE4B" w:rsidR="0009359A" w:rsidRPr="0009359A" w:rsidRDefault="0009359A" w:rsidP="00FA36EC">
          <w:pPr>
            <w:pStyle w:val="TM1"/>
            <w:rPr>
              <w:rFonts w:asciiTheme="minorHAnsi" w:eastAsiaTheme="minorEastAsia" w:hAnsiTheme="minorHAnsi" w:cstheme="minorBidi"/>
              <w:lang w:val="fr-FR" w:eastAsia="fr-FR"/>
            </w:rPr>
          </w:pPr>
          <w:hyperlink w:anchor="_Toc189375541" w:history="1">
            <w:r w:rsidRPr="0009359A">
              <w:rPr>
                <w:rStyle w:val="Lienhypertexte"/>
                <w:sz w:val="20"/>
                <w:szCs w:val="20"/>
              </w:rPr>
              <w:t>5.</w:t>
            </w:r>
            <w:r w:rsidRPr="0009359A">
              <w:rPr>
                <w:rFonts w:asciiTheme="minorHAnsi" w:eastAsiaTheme="minorEastAsia" w:hAnsiTheme="minorHAnsi" w:cstheme="minorBidi"/>
                <w:lang w:val="fr-FR" w:eastAsia="fr-FR"/>
              </w:rPr>
              <w:tab/>
            </w:r>
            <w:r w:rsidRPr="0009359A">
              <w:rPr>
                <w:rStyle w:val="Lienhypertexte"/>
                <w:sz w:val="20"/>
                <w:szCs w:val="20"/>
              </w:rPr>
              <w:t>Méthodologie</w:t>
            </w:r>
            <w:r w:rsidRPr="0009359A">
              <w:rPr>
                <w:webHidden/>
              </w:rPr>
              <w:tab/>
            </w:r>
            <w:r w:rsidRPr="0009359A">
              <w:rPr>
                <w:webHidden/>
              </w:rPr>
              <w:fldChar w:fldCharType="begin"/>
            </w:r>
            <w:r w:rsidRPr="0009359A">
              <w:rPr>
                <w:webHidden/>
              </w:rPr>
              <w:instrText xml:space="preserve"> PAGEREF _Toc189375541 \h </w:instrText>
            </w:r>
            <w:r w:rsidRPr="0009359A">
              <w:rPr>
                <w:webHidden/>
              </w:rPr>
            </w:r>
            <w:r w:rsidRPr="0009359A">
              <w:rPr>
                <w:webHidden/>
              </w:rPr>
              <w:fldChar w:fldCharType="separate"/>
            </w:r>
            <w:r w:rsidRPr="0009359A">
              <w:rPr>
                <w:webHidden/>
              </w:rPr>
              <w:t>12</w:t>
            </w:r>
            <w:r w:rsidRPr="0009359A">
              <w:rPr>
                <w:webHidden/>
              </w:rPr>
              <w:fldChar w:fldCharType="end"/>
            </w:r>
          </w:hyperlink>
        </w:p>
        <w:p w14:paraId="1B6129E7" w14:textId="1B30BE77" w:rsidR="0009359A" w:rsidRPr="0009359A" w:rsidRDefault="0009359A" w:rsidP="00FA36EC">
          <w:pPr>
            <w:pStyle w:val="TM1"/>
            <w:rPr>
              <w:rFonts w:asciiTheme="minorHAnsi" w:eastAsiaTheme="minorEastAsia" w:hAnsiTheme="minorHAnsi" w:cstheme="minorBidi"/>
              <w:lang w:val="fr-FR" w:eastAsia="fr-FR"/>
            </w:rPr>
          </w:pPr>
          <w:hyperlink w:anchor="_Toc189375542" w:history="1">
            <w:r w:rsidRPr="0009359A">
              <w:rPr>
                <w:rStyle w:val="Lienhypertexte"/>
                <w:sz w:val="20"/>
                <w:szCs w:val="20"/>
              </w:rPr>
              <w:t>6.</w:t>
            </w:r>
            <w:r w:rsidRPr="0009359A">
              <w:rPr>
                <w:rFonts w:asciiTheme="minorHAnsi" w:eastAsiaTheme="minorEastAsia" w:hAnsiTheme="minorHAnsi" w:cstheme="minorBidi"/>
                <w:lang w:val="fr-FR" w:eastAsia="fr-FR"/>
              </w:rPr>
              <w:tab/>
            </w:r>
            <w:r w:rsidRPr="0009359A">
              <w:rPr>
                <w:rStyle w:val="Lienhypertexte"/>
                <w:sz w:val="20"/>
                <w:szCs w:val="20"/>
              </w:rPr>
              <w:t>Cadres Politiques et Stratégiques en Matière de Protection des Ecosystemes marins, Littoral et Aires protegées en Mauritanie</w:t>
            </w:r>
            <w:r w:rsidRPr="0009359A">
              <w:rPr>
                <w:webHidden/>
              </w:rPr>
              <w:tab/>
            </w:r>
            <w:r w:rsidRPr="0009359A">
              <w:rPr>
                <w:webHidden/>
              </w:rPr>
              <w:fldChar w:fldCharType="begin"/>
            </w:r>
            <w:r w:rsidRPr="0009359A">
              <w:rPr>
                <w:webHidden/>
              </w:rPr>
              <w:instrText xml:space="preserve"> PAGEREF _Toc189375542 \h </w:instrText>
            </w:r>
            <w:r w:rsidRPr="0009359A">
              <w:rPr>
                <w:webHidden/>
              </w:rPr>
            </w:r>
            <w:r w:rsidRPr="0009359A">
              <w:rPr>
                <w:webHidden/>
              </w:rPr>
              <w:fldChar w:fldCharType="separate"/>
            </w:r>
            <w:r w:rsidRPr="0009359A">
              <w:rPr>
                <w:webHidden/>
              </w:rPr>
              <w:t>13</w:t>
            </w:r>
            <w:r w:rsidRPr="0009359A">
              <w:rPr>
                <w:webHidden/>
              </w:rPr>
              <w:fldChar w:fldCharType="end"/>
            </w:r>
          </w:hyperlink>
        </w:p>
        <w:p w14:paraId="79915676" w14:textId="7F7A7F90" w:rsidR="0009359A" w:rsidRPr="0009359A" w:rsidRDefault="0009359A" w:rsidP="00954BA0">
          <w:pPr>
            <w:pStyle w:val="TM2"/>
            <w:tabs>
              <w:tab w:val="right" w:leader="dot" w:pos="9062"/>
            </w:tabs>
            <w:spacing w:line="240" w:lineRule="auto"/>
            <w:rPr>
              <w:rFonts w:eastAsiaTheme="minorEastAsia"/>
              <w:noProof/>
              <w:sz w:val="20"/>
              <w:szCs w:val="20"/>
              <w:lang w:eastAsia="fr-FR"/>
            </w:rPr>
          </w:pPr>
          <w:hyperlink w:anchor="_Toc189375543" w:history="1">
            <w:r w:rsidRPr="0009359A">
              <w:rPr>
                <w:rStyle w:val="Lienhypertexte"/>
                <w:rFonts w:ascii="Century Gothic" w:hAnsi="Century Gothic"/>
                <w:noProof/>
                <w:sz w:val="20"/>
                <w:szCs w:val="20"/>
                <w:lang w:val="wo-SN"/>
              </w:rPr>
              <w:t>6.1 Ministère de l’Environnement et du Développement Durable</w:t>
            </w:r>
            <w:r w:rsidRPr="0009359A">
              <w:rPr>
                <w:noProof/>
                <w:webHidden/>
                <w:sz w:val="20"/>
                <w:szCs w:val="20"/>
              </w:rPr>
              <w:tab/>
            </w:r>
            <w:r w:rsidRPr="0009359A">
              <w:rPr>
                <w:noProof/>
                <w:webHidden/>
                <w:sz w:val="20"/>
                <w:szCs w:val="20"/>
              </w:rPr>
              <w:fldChar w:fldCharType="begin"/>
            </w:r>
            <w:r w:rsidRPr="0009359A">
              <w:rPr>
                <w:noProof/>
                <w:webHidden/>
                <w:sz w:val="20"/>
                <w:szCs w:val="20"/>
              </w:rPr>
              <w:instrText xml:space="preserve"> PAGEREF _Toc189375543 \h </w:instrText>
            </w:r>
            <w:r w:rsidRPr="0009359A">
              <w:rPr>
                <w:noProof/>
                <w:webHidden/>
                <w:sz w:val="20"/>
                <w:szCs w:val="20"/>
              </w:rPr>
            </w:r>
            <w:r w:rsidRPr="0009359A">
              <w:rPr>
                <w:noProof/>
                <w:webHidden/>
                <w:sz w:val="20"/>
                <w:szCs w:val="20"/>
              </w:rPr>
              <w:fldChar w:fldCharType="separate"/>
            </w:r>
            <w:r w:rsidRPr="0009359A">
              <w:rPr>
                <w:noProof/>
                <w:webHidden/>
                <w:sz w:val="20"/>
                <w:szCs w:val="20"/>
              </w:rPr>
              <w:t>13</w:t>
            </w:r>
            <w:r w:rsidRPr="0009359A">
              <w:rPr>
                <w:noProof/>
                <w:webHidden/>
                <w:sz w:val="20"/>
                <w:szCs w:val="20"/>
              </w:rPr>
              <w:fldChar w:fldCharType="end"/>
            </w:r>
          </w:hyperlink>
        </w:p>
        <w:p w14:paraId="57AEDB03" w14:textId="742F608D" w:rsidR="0009359A" w:rsidRPr="0009359A" w:rsidRDefault="0009359A" w:rsidP="00954BA0">
          <w:pPr>
            <w:pStyle w:val="TM2"/>
            <w:tabs>
              <w:tab w:val="right" w:leader="dot" w:pos="9062"/>
            </w:tabs>
            <w:spacing w:line="240" w:lineRule="auto"/>
            <w:rPr>
              <w:rFonts w:eastAsiaTheme="minorEastAsia"/>
              <w:noProof/>
              <w:sz w:val="20"/>
              <w:szCs w:val="20"/>
              <w:lang w:eastAsia="fr-FR"/>
            </w:rPr>
          </w:pPr>
          <w:hyperlink w:anchor="_Toc189375544" w:history="1">
            <w:r w:rsidRPr="0009359A">
              <w:rPr>
                <w:rStyle w:val="Lienhypertexte"/>
                <w:rFonts w:ascii="Century Gothic" w:hAnsi="Century Gothic"/>
                <w:noProof/>
                <w:sz w:val="20"/>
                <w:szCs w:val="20"/>
                <w:lang w:val="wo-SN"/>
              </w:rPr>
              <w:t>6</w:t>
            </w:r>
            <w:r w:rsidRPr="0009359A">
              <w:rPr>
                <w:rStyle w:val="Lienhypertexte"/>
                <w:rFonts w:ascii="Century Gothic" w:hAnsi="Century Gothic"/>
                <w:noProof/>
                <w:sz w:val="20"/>
                <w:szCs w:val="20"/>
              </w:rPr>
              <w:t xml:space="preserve">.2  </w:t>
            </w:r>
            <w:r w:rsidRPr="0009359A">
              <w:rPr>
                <w:rStyle w:val="Lienhypertexte"/>
                <w:rFonts w:ascii="Century Gothic" w:eastAsia="Times New Roman" w:hAnsi="Century Gothic"/>
                <w:noProof/>
                <w:sz w:val="20"/>
                <w:szCs w:val="20"/>
              </w:rPr>
              <w:t>Vulnérabilité par catégorie de biome face au changement climatique</w:t>
            </w:r>
            <w:r w:rsidRPr="0009359A">
              <w:rPr>
                <w:rStyle w:val="Lienhypertexte"/>
                <w:rFonts w:ascii="Century Gothic" w:hAnsi="Century Gothic"/>
                <w:b/>
                <w:bCs/>
                <w:noProof/>
                <w:sz w:val="20"/>
                <w:szCs w:val="20"/>
                <w:lang w:val="wo-SN"/>
              </w:rPr>
              <w:t>.</w:t>
            </w:r>
            <w:r w:rsidRPr="0009359A">
              <w:rPr>
                <w:noProof/>
                <w:webHidden/>
                <w:sz w:val="20"/>
                <w:szCs w:val="20"/>
              </w:rPr>
              <w:tab/>
            </w:r>
            <w:r w:rsidRPr="0009359A">
              <w:rPr>
                <w:noProof/>
                <w:webHidden/>
                <w:sz w:val="20"/>
                <w:szCs w:val="20"/>
              </w:rPr>
              <w:fldChar w:fldCharType="begin"/>
            </w:r>
            <w:r w:rsidRPr="0009359A">
              <w:rPr>
                <w:noProof/>
                <w:webHidden/>
                <w:sz w:val="20"/>
                <w:szCs w:val="20"/>
              </w:rPr>
              <w:instrText xml:space="preserve"> PAGEREF _Toc189375544 \h </w:instrText>
            </w:r>
            <w:r w:rsidRPr="0009359A">
              <w:rPr>
                <w:noProof/>
                <w:webHidden/>
                <w:sz w:val="20"/>
                <w:szCs w:val="20"/>
              </w:rPr>
            </w:r>
            <w:r w:rsidRPr="0009359A">
              <w:rPr>
                <w:noProof/>
                <w:webHidden/>
                <w:sz w:val="20"/>
                <w:szCs w:val="20"/>
              </w:rPr>
              <w:fldChar w:fldCharType="separate"/>
            </w:r>
            <w:r w:rsidRPr="0009359A">
              <w:rPr>
                <w:noProof/>
                <w:webHidden/>
                <w:sz w:val="20"/>
                <w:szCs w:val="20"/>
              </w:rPr>
              <w:t>18</w:t>
            </w:r>
            <w:r w:rsidRPr="0009359A">
              <w:rPr>
                <w:noProof/>
                <w:webHidden/>
                <w:sz w:val="20"/>
                <w:szCs w:val="20"/>
              </w:rPr>
              <w:fldChar w:fldCharType="end"/>
            </w:r>
          </w:hyperlink>
        </w:p>
        <w:p w14:paraId="6A14DC87" w14:textId="594CDBBC" w:rsidR="0009359A" w:rsidRPr="0009359A" w:rsidRDefault="0009359A" w:rsidP="00954BA0">
          <w:pPr>
            <w:pStyle w:val="TM2"/>
            <w:tabs>
              <w:tab w:val="right" w:leader="dot" w:pos="9062"/>
            </w:tabs>
            <w:spacing w:line="240" w:lineRule="auto"/>
            <w:rPr>
              <w:rFonts w:eastAsiaTheme="minorEastAsia"/>
              <w:noProof/>
              <w:sz w:val="20"/>
              <w:szCs w:val="20"/>
              <w:lang w:eastAsia="fr-FR"/>
            </w:rPr>
          </w:pPr>
          <w:hyperlink w:anchor="_Toc189375545" w:history="1">
            <w:r w:rsidRPr="0009359A">
              <w:rPr>
                <w:rStyle w:val="Lienhypertexte"/>
                <w:rFonts w:ascii="Century Gothic" w:hAnsi="Century Gothic"/>
                <w:noProof/>
                <w:sz w:val="20"/>
                <w:szCs w:val="20"/>
                <w:lang w:val="wo-SN"/>
              </w:rPr>
              <w:t>6.3  Évaluation de la Vulnérabilité au Changement Climatique des Biomes en Mauritanie</w:t>
            </w:r>
            <w:r w:rsidRPr="0009359A">
              <w:rPr>
                <w:noProof/>
                <w:webHidden/>
                <w:sz w:val="20"/>
                <w:szCs w:val="20"/>
              </w:rPr>
              <w:tab/>
            </w:r>
            <w:r w:rsidRPr="0009359A">
              <w:rPr>
                <w:noProof/>
                <w:webHidden/>
                <w:sz w:val="20"/>
                <w:szCs w:val="20"/>
              </w:rPr>
              <w:fldChar w:fldCharType="begin"/>
            </w:r>
            <w:r w:rsidRPr="0009359A">
              <w:rPr>
                <w:noProof/>
                <w:webHidden/>
                <w:sz w:val="20"/>
                <w:szCs w:val="20"/>
              </w:rPr>
              <w:instrText xml:space="preserve"> PAGEREF _Toc189375545 \h </w:instrText>
            </w:r>
            <w:r w:rsidRPr="0009359A">
              <w:rPr>
                <w:noProof/>
                <w:webHidden/>
                <w:sz w:val="20"/>
                <w:szCs w:val="20"/>
              </w:rPr>
            </w:r>
            <w:r w:rsidRPr="0009359A">
              <w:rPr>
                <w:noProof/>
                <w:webHidden/>
                <w:sz w:val="20"/>
                <w:szCs w:val="20"/>
              </w:rPr>
              <w:fldChar w:fldCharType="separate"/>
            </w:r>
            <w:r w:rsidRPr="0009359A">
              <w:rPr>
                <w:noProof/>
                <w:webHidden/>
                <w:sz w:val="20"/>
                <w:szCs w:val="20"/>
              </w:rPr>
              <w:t>25</w:t>
            </w:r>
            <w:r w:rsidRPr="0009359A">
              <w:rPr>
                <w:noProof/>
                <w:webHidden/>
                <w:sz w:val="20"/>
                <w:szCs w:val="20"/>
              </w:rPr>
              <w:fldChar w:fldCharType="end"/>
            </w:r>
          </w:hyperlink>
        </w:p>
        <w:p w14:paraId="3D5D0A19" w14:textId="6D992E3C" w:rsidR="0009359A" w:rsidRPr="0009359A" w:rsidRDefault="0009359A" w:rsidP="00FA36EC">
          <w:pPr>
            <w:pStyle w:val="TM1"/>
            <w:rPr>
              <w:rFonts w:asciiTheme="minorHAnsi" w:eastAsiaTheme="minorEastAsia" w:hAnsiTheme="minorHAnsi" w:cstheme="minorBidi"/>
              <w:lang w:val="fr-FR" w:eastAsia="fr-FR"/>
            </w:rPr>
          </w:pPr>
          <w:hyperlink w:anchor="_Toc189375546" w:history="1">
            <w:r w:rsidRPr="0009359A">
              <w:rPr>
                <w:rStyle w:val="Lienhypertexte"/>
                <w:sz w:val="20"/>
                <w:szCs w:val="20"/>
              </w:rPr>
              <w:t>7.</w:t>
            </w:r>
            <w:r w:rsidRPr="0009359A">
              <w:rPr>
                <w:rFonts w:asciiTheme="minorHAnsi" w:eastAsiaTheme="minorEastAsia" w:hAnsiTheme="minorHAnsi" w:cstheme="minorBidi"/>
                <w:lang w:val="fr-FR" w:eastAsia="fr-FR"/>
              </w:rPr>
              <w:tab/>
            </w:r>
            <w:r w:rsidRPr="0009359A">
              <w:rPr>
                <w:rStyle w:val="Lienhypertexte"/>
                <w:sz w:val="20"/>
                <w:szCs w:val="20"/>
              </w:rPr>
              <w:t>Scénarios d’adaptation appuyé par des recommandations spécifiques pour renforcer la résilience des écosystèmes humides et des communautés locales.</w:t>
            </w:r>
            <w:r w:rsidRPr="0009359A">
              <w:rPr>
                <w:webHidden/>
              </w:rPr>
              <w:tab/>
            </w:r>
            <w:r w:rsidRPr="0009359A">
              <w:rPr>
                <w:webHidden/>
              </w:rPr>
              <w:fldChar w:fldCharType="begin"/>
            </w:r>
            <w:r w:rsidRPr="0009359A">
              <w:rPr>
                <w:webHidden/>
              </w:rPr>
              <w:instrText xml:space="preserve"> PAGEREF _Toc189375546 \h </w:instrText>
            </w:r>
            <w:r w:rsidRPr="0009359A">
              <w:rPr>
                <w:webHidden/>
              </w:rPr>
            </w:r>
            <w:r w:rsidRPr="0009359A">
              <w:rPr>
                <w:webHidden/>
              </w:rPr>
              <w:fldChar w:fldCharType="separate"/>
            </w:r>
            <w:r w:rsidRPr="0009359A">
              <w:rPr>
                <w:webHidden/>
              </w:rPr>
              <w:t>30</w:t>
            </w:r>
            <w:r w:rsidRPr="0009359A">
              <w:rPr>
                <w:webHidden/>
              </w:rPr>
              <w:fldChar w:fldCharType="end"/>
            </w:r>
          </w:hyperlink>
        </w:p>
        <w:p w14:paraId="35593FDE" w14:textId="0BAFDC82" w:rsidR="0009359A" w:rsidRPr="0009359A" w:rsidRDefault="0009359A" w:rsidP="00954BA0">
          <w:pPr>
            <w:pStyle w:val="TM2"/>
            <w:tabs>
              <w:tab w:val="right" w:leader="dot" w:pos="9062"/>
            </w:tabs>
            <w:spacing w:line="240" w:lineRule="auto"/>
            <w:rPr>
              <w:rFonts w:eastAsiaTheme="minorEastAsia"/>
              <w:noProof/>
              <w:sz w:val="20"/>
              <w:szCs w:val="20"/>
              <w:lang w:eastAsia="fr-FR"/>
            </w:rPr>
          </w:pPr>
          <w:hyperlink w:anchor="_Toc189375547" w:history="1">
            <w:r w:rsidRPr="0009359A">
              <w:rPr>
                <w:rStyle w:val="Lienhypertexte"/>
                <w:rFonts w:ascii="Century Gothic" w:hAnsi="Century Gothic"/>
                <w:noProof/>
                <w:sz w:val="20"/>
                <w:szCs w:val="20"/>
                <w:lang w:val="wo-SN"/>
              </w:rPr>
              <w:t>7.1  Scénarios d’Avenir</w:t>
            </w:r>
            <w:r w:rsidRPr="0009359A">
              <w:rPr>
                <w:noProof/>
                <w:webHidden/>
                <w:sz w:val="20"/>
                <w:szCs w:val="20"/>
              </w:rPr>
              <w:tab/>
            </w:r>
            <w:r w:rsidRPr="0009359A">
              <w:rPr>
                <w:noProof/>
                <w:webHidden/>
                <w:sz w:val="20"/>
                <w:szCs w:val="20"/>
              </w:rPr>
              <w:fldChar w:fldCharType="begin"/>
            </w:r>
            <w:r w:rsidRPr="0009359A">
              <w:rPr>
                <w:noProof/>
                <w:webHidden/>
                <w:sz w:val="20"/>
                <w:szCs w:val="20"/>
              </w:rPr>
              <w:instrText xml:space="preserve"> PAGEREF _Toc189375547 \h </w:instrText>
            </w:r>
            <w:r w:rsidRPr="0009359A">
              <w:rPr>
                <w:noProof/>
                <w:webHidden/>
                <w:sz w:val="20"/>
                <w:szCs w:val="20"/>
              </w:rPr>
            </w:r>
            <w:r w:rsidRPr="0009359A">
              <w:rPr>
                <w:noProof/>
                <w:webHidden/>
                <w:sz w:val="20"/>
                <w:szCs w:val="20"/>
              </w:rPr>
              <w:fldChar w:fldCharType="separate"/>
            </w:r>
            <w:r w:rsidRPr="0009359A">
              <w:rPr>
                <w:noProof/>
                <w:webHidden/>
                <w:sz w:val="20"/>
                <w:szCs w:val="20"/>
              </w:rPr>
              <w:t>30</w:t>
            </w:r>
            <w:r w:rsidRPr="0009359A">
              <w:rPr>
                <w:noProof/>
                <w:webHidden/>
                <w:sz w:val="20"/>
                <w:szCs w:val="20"/>
              </w:rPr>
              <w:fldChar w:fldCharType="end"/>
            </w:r>
          </w:hyperlink>
        </w:p>
        <w:p w14:paraId="3BF3F8DF" w14:textId="31A13EC5" w:rsidR="0009359A" w:rsidRPr="0009359A" w:rsidRDefault="0009359A" w:rsidP="00954BA0">
          <w:pPr>
            <w:pStyle w:val="TM2"/>
            <w:tabs>
              <w:tab w:val="right" w:leader="dot" w:pos="9062"/>
            </w:tabs>
            <w:spacing w:line="240" w:lineRule="auto"/>
            <w:rPr>
              <w:rFonts w:eastAsiaTheme="minorEastAsia"/>
              <w:noProof/>
              <w:sz w:val="20"/>
              <w:szCs w:val="20"/>
              <w:lang w:eastAsia="fr-FR"/>
            </w:rPr>
          </w:pPr>
          <w:hyperlink w:anchor="_Toc189375548" w:history="1">
            <w:r w:rsidRPr="0009359A">
              <w:rPr>
                <w:rStyle w:val="Lienhypertexte"/>
                <w:rFonts w:ascii="Century Gothic" w:hAnsi="Century Gothic"/>
                <w:noProof/>
                <w:sz w:val="20"/>
                <w:szCs w:val="20"/>
                <w:lang w:val="wo-SN"/>
              </w:rPr>
              <w:t>7.2  Réponses Pragmatique pour Réduire les Vulnérabilités  et Accroître la Productivité des Ressources Naturelles</w:t>
            </w:r>
            <w:r w:rsidRPr="0009359A">
              <w:rPr>
                <w:noProof/>
                <w:webHidden/>
                <w:sz w:val="20"/>
                <w:szCs w:val="20"/>
              </w:rPr>
              <w:tab/>
            </w:r>
            <w:r w:rsidRPr="0009359A">
              <w:rPr>
                <w:noProof/>
                <w:webHidden/>
                <w:sz w:val="20"/>
                <w:szCs w:val="20"/>
              </w:rPr>
              <w:fldChar w:fldCharType="begin"/>
            </w:r>
            <w:r w:rsidRPr="0009359A">
              <w:rPr>
                <w:noProof/>
                <w:webHidden/>
                <w:sz w:val="20"/>
                <w:szCs w:val="20"/>
              </w:rPr>
              <w:instrText xml:space="preserve"> PAGEREF _Toc189375548 \h </w:instrText>
            </w:r>
            <w:r w:rsidRPr="0009359A">
              <w:rPr>
                <w:noProof/>
                <w:webHidden/>
                <w:sz w:val="20"/>
                <w:szCs w:val="20"/>
              </w:rPr>
            </w:r>
            <w:r w:rsidRPr="0009359A">
              <w:rPr>
                <w:noProof/>
                <w:webHidden/>
                <w:sz w:val="20"/>
                <w:szCs w:val="20"/>
              </w:rPr>
              <w:fldChar w:fldCharType="separate"/>
            </w:r>
            <w:r w:rsidRPr="0009359A">
              <w:rPr>
                <w:noProof/>
                <w:webHidden/>
                <w:sz w:val="20"/>
                <w:szCs w:val="20"/>
              </w:rPr>
              <w:t>32</w:t>
            </w:r>
            <w:r w:rsidRPr="0009359A">
              <w:rPr>
                <w:noProof/>
                <w:webHidden/>
                <w:sz w:val="20"/>
                <w:szCs w:val="20"/>
              </w:rPr>
              <w:fldChar w:fldCharType="end"/>
            </w:r>
          </w:hyperlink>
        </w:p>
        <w:p w14:paraId="199F58F5" w14:textId="3C4BDDCA" w:rsidR="0009359A" w:rsidRPr="0009359A" w:rsidRDefault="0009359A" w:rsidP="00954BA0">
          <w:pPr>
            <w:pStyle w:val="TM2"/>
            <w:tabs>
              <w:tab w:val="right" w:leader="dot" w:pos="9062"/>
            </w:tabs>
            <w:spacing w:line="240" w:lineRule="auto"/>
            <w:rPr>
              <w:rFonts w:eastAsiaTheme="minorEastAsia"/>
              <w:noProof/>
              <w:sz w:val="20"/>
              <w:szCs w:val="20"/>
              <w:lang w:eastAsia="fr-FR"/>
            </w:rPr>
          </w:pPr>
          <w:hyperlink w:anchor="_Toc189375549" w:history="1">
            <w:r w:rsidRPr="0009359A">
              <w:rPr>
                <w:rStyle w:val="Lienhypertexte"/>
                <w:rFonts w:ascii="Century Gothic" w:hAnsi="Century Gothic"/>
                <w:noProof/>
                <w:sz w:val="20"/>
                <w:szCs w:val="20"/>
                <w:lang w:val="wo-SN"/>
              </w:rPr>
              <w:t>7.3  Scénarios d’adaptation et des recommandations spécifiques</w:t>
            </w:r>
            <w:r w:rsidRPr="0009359A">
              <w:rPr>
                <w:noProof/>
                <w:webHidden/>
                <w:sz w:val="20"/>
                <w:szCs w:val="20"/>
              </w:rPr>
              <w:tab/>
            </w:r>
            <w:r w:rsidRPr="0009359A">
              <w:rPr>
                <w:noProof/>
                <w:webHidden/>
                <w:sz w:val="20"/>
                <w:szCs w:val="20"/>
              </w:rPr>
              <w:fldChar w:fldCharType="begin"/>
            </w:r>
            <w:r w:rsidRPr="0009359A">
              <w:rPr>
                <w:noProof/>
                <w:webHidden/>
                <w:sz w:val="20"/>
                <w:szCs w:val="20"/>
              </w:rPr>
              <w:instrText xml:space="preserve"> PAGEREF _Toc189375549 \h </w:instrText>
            </w:r>
            <w:r w:rsidRPr="0009359A">
              <w:rPr>
                <w:noProof/>
                <w:webHidden/>
                <w:sz w:val="20"/>
                <w:szCs w:val="20"/>
              </w:rPr>
            </w:r>
            <w:r w:rsidRPr="0009359A">
              <w:rPr>
                <w:noProof/>
                <w:webHidden/>
                <w:sz w:val="20"/>
                <w:szCs w:val="20"/>
              </w:rPr>
              <w:fldChar w:fldCharType="separate"/>
            </w:r>
            <w:r w:rsidRPr="0009359A">
              <w:rPr>
                <w:noProof/>
                <w:webHidden/>
                <w:sz w:val="20"/>
                <w:szCs w:val="20"/>
              </w:rPr>
              <w:t>34</w:t>
            </w:r>
            <w:r w:rsidRPr="0009359A">
              <w:rPr>
                <w:noProof/>
                <w:webHidden/>
                <w:sz w:val="20"/>
                <w:szCs w:val="20"/>
              </w:rPr>
              <w:fldChar w:fldCharType="end"/>
            </w:r>
          </w:hyperlink>
        </w:p>
        <w:p w14:paraId="11246F98" w14:textId="3A004447" w:rsidR="0009359A" w:rsidRPr="0009359A" w:rsidRDefault="0009359A" w:rsidP="00FA36EC">
          <w:pPr>
            <w:pStyle w:val="TM1"/>
            <w:rPr>
              <w:rFonts w:asciiTheme="minorHAnsi" w:eastAsiaTheme="minorEastAsia" w:hAnsiTheme="minorHAnsi" w:cstheme="minorBidi"/>
              <w:lang w:val="fr-FR" w:eastAsia="fr-FR"/>
            </w:rPr>
          </w:pPr>
          <w:hyperlink w:anchor="_Toc189375550" w:history="1">
            <w:r w:rsidRPr="0009359A">
              <w:rPr>
                <w:rStyle w:val="Lienhypertexte"/>
                <w:sz w:val="20"/>
                <w:szCs w:val="20"/>
              </w:rPr>
              <w:t>8.</w:t>
            </w:r>
            <w:r w:rsidRPr="0009359A">
              <w:rPr>
                <w:rFonts w:asciiTheme="minorHAnsi" w:eastAsiaTheme="minorEastAsia" w:hAnsiTheme="minorHAnsi" w:cstheme="minorBidi"/>
                <w:lang w:val="fr-FR" w:eastAsia="fr-FR"/>
              </w:rPr>
              <w:tab/>
            </w:r>
            <w:r w:rsidRPr="0009359A">
              <w:rPr>
                <w:rStyle w:val="Lienhypertexte"/>
                <w:sz w:val="20"/>
                <w:szCs w:val="20"/>
              </w:rPr>
              <w:t>Plan d'action pour l'intégration des mesures d'adaptation dans les politiques de gestion des zones humides</w:t>
            </w:r>
            <w:r w:rsidRPr="0009359A">
              <w:rPr>
                <w:webHidden/>
              </w:rPr>
              <w:tab/>
            </w:r>
            <w:r w:rsidRPr="0009359A">
              <w:rPr>
                <w:webHidden/>
              </w:rPr>
              <w:fldChar w:fldCharType="begin"/>
            </w:r>
            <w:r w:rsidRPr="0009359A">
              <w:rPr>
                <w:webHidden/>
              </w:rPr>
              <w:instrText xml:space="preserve"> PAGEREF _Toc189375550 \h </w:instrText>
            </w:r>
            <w:r w:rsidRPr="0009359A">
              <w:rPr>
                <w:webHidden/>
              </w:rPr>
            </w:r>
            <w:r w:rsidRPr="0009359A">
              <w:rPr>
                <w:webHidden/>
              </w:rPr>
              <w:fldChar w:fldCharType="separate"/>
            </w:r>
            <w:r w:rsidRPr="0009359A">
              <w:rPr>
                <w:webHidden/>
              </w:rPr>
              <w:t>35</w:t>
            </w:r>
            <w:r w:rsidRPr="0009359A">
              <w:rPr>
                <w:webHidden/>
              </w:rPr>
              <w:fldChar w:fldCharType="end"/>
            </w:r>
          </w:hyperlink>
        </w:p>
        <w:p w14:paraId="3DD9E3B9" w14:textId="1B0EC4A4" w:rsidR="0009359A" w:rsidRPr="0009359A" w:rsidRDefault="0009359A" w:rsidP="00954BA0">
          <w:pPr>
            <w:pStyle w:val="TM2"/>
            <w:tabs>
              <w:tab w:val="right" w:leader="dot" w:pos="9062"/>
            </w:tabs>
            <w:spacing w:line="240" w:lineRule="auto"/>
            <w:rPr>
              <w:rFonts w:eastAsiaTheme="minorEastAsia"/>
              <w:noProof/>
              <w:sz w:val="20"/>
              <w:szCs w:val="20"/>
              <w:lang w:eastAsia="fr-FR"/>
            </w:rPr>
          </w:pPr>
          <w:hyperlink w:anchor="_Toc189375551" w:history="1">
            <w:r w:rsidRPr="0009359A">
              <w:rPr>
                <w:rStyle w:val="Lienhypertexte"/>
                <w:rFonts w:ascii="Century Gothic" w:hAnsi="Century Gothic"/>
                <w:noProof/>
                <w:sz w:val="20"/>
                <w:szCs w:val="20"/>
                <w:lang w:val="wo-SN"/>
              </w:rPr>
              <w:t>8.1  Stratégies d'Adaptation</w:t>
            </w:r>
            <w:r w:rsidRPr="0009359A">
              <w:rPr>
                <w:noProof/>
                <w:webHidden/>
                <w:sz w:val="20"/>
                <w:szCs w:val="20"/>
              </w:rPr>
              <w:tab/>
            </w:r>
            <w:r w:rsidRPr="0009359A">
              <w:rPr>
                <w:noProof/>
                <w:webHidden/>
                <w:sz w:val="20"/>
                <w:szCs w:val="20"/>
              </w:rPr>
              <w:fldChar w:fldCharType="begin"/>
            </w:r>
            <w:r w:rsidRPr="0009359A">
              <w:rPr>
                <w:noProof/>
                <w:webHidden/>
                <w:sz w:val="20"/>
                <w:szCs w:val="20"/>
              </w:rPr>
              <w:instrText xml:space="preserve"> PAGEREF _Toc189375551 \h </w:instrText>
            </w:r>
            <w:r w:rsidRPr="0009359A">
              <w:rPr>
                <w:noProof/>
                <w:webHidden/>
                <w:sz w:val="20"/>
                <w:szCs w:val="20"/>
              </w:rPr>
            </w:r>
            <w:r w:rsidRPr="0009359A">
              <w:rPr>
                <w:noProof/>
                <w:webHidden/>
                <w:sz w:val="20"/>
                <w:szCs w:val="20"/>
              </w:rPr>
              <w:fldChar w:fldCharType="separate"/>
            </w:r>
            <w:r w:rsidRPr="0009359A">
              <w:rPr>
                <w:noProof/>
                <w:webHidden/>
                <w:sz w:val="20"/>
                <w:szCs w:val="20"/>
              </w:rPr>
              <w:t>35</w:t>
            </w:r>
            <w:r w:rsidRPr="0009359A">
              <w:rPr>
                <w:noProof/>
                <w:webHidden/>
                <w:sz w:val="20"/>
                <w:szCs w:val="20"/>
              </w:rPr>
              <w:fldChar w:fldCharType="end"/>
            </w:r>
          </w:hyperlink>
        </w:p>
        <w:p w14:paraId="6B021150" w14:textId="70737890" w:rsidR="0009359A" w:rsidRPr="0009359A" w:rsidRDefault="0009359A" w:rsidP="00954BA0">
          <w:pPr>
            <w:pStyle w:val="TM2"/>
            <w:tabs>
              <w:tab w:val="right" w:leader="dot" w:pos="9062"/>
            </w:tabs>
            <w:spacing w:line="240" w:lineRule="auto"/>
            <w:rPr>
              <w:rFonts w:eastAsiaTheme="minorEastAsia"/>
              <w:noProof/>
              <w:sz w:val="20"/>
              <w:szCs w:val="20"/>
              <w:lang w:eastAsia="fr-FR"/>
            </w:rPr>
          </w:pPr>
          <w:hyperlink w:anchor="_Toc189375552" w:history="1">
            <w:r w:rsidRPr="0009359A">
              <w:rPr>
                <w:rStyle w:val="Lienhypertexte"/>
                <w:rFonts w:ascii="Century Gothic" w:hAnsi="Century Gothic"/>
                <w:noProof/>
                <w:sz w:val="20"/>
                <w:szCs w:val="20"/>
              </w:rPr>
              <w:t>8</w:t>
            </w:r>
            <w:r w:rsidRPr="0009359A">
              <w:rPr>
                <w:rStyle w:val="Lienhypertexte"/>
                <w:rFonts w:ascii="Century Gothic" w:hAnsi="Century Gothic"/>
                <w:noProof/>
                <w:sz w:val="20"/>
                <w:szCs w:val="20"/>
                <w:lang w:val="wo-SN"/>
              </w:rPr>
              <w:t>.2 Plan d'Action pour l'Intégration des Mesures d'Adaptation (PAIMA)</w:t>
            </w:r>
            <w:r w:rsidRPr="0009359A">
              <w:rPr>
                <w:noProof/>
                <w:webHidden/>
                <w:sz w:val="20"/>
                <w:szCs w:val="20"/>
              </w:rPr>
              <w:tab/>
            </w:r>
            <w:r w:rsidRPr="0009359A">
              <w:rPr>
                <w:noProof/>
                <w:webHidden/>
                <w:sz w:val="20"/>
                <w:szCs w:val="20"/>
              </w:rPr>
              <w:fldChar w:fldCharType="begin"/>
            </w:r>
            <w:r w:rsidRPr="0009359A">
              <w:rPr>
                <w:noProof/>
                <w:webHidden/>
                <w:sz w:val="20"/>
                <w:szCs w:val="20"/>
              </w:rPr>
              <w:instrText xml:space="preserve"> PAGEREF _Toc189375552 \h </w:instrText>
            </w:r>
            <w:r w:rsidRPr="0009359A">
              <w:rPr>
                <w:noProof/>
                <w:webHidden/>
                <w:sz w:val="20"/>
                <w:szCs w:val="20"/>
              </w:rPr>
            </w:r>
            <w:r w:rsidRPr="0009359A">
              <w:rPr>
                <w:noProof/>
                <w:webHidden/>
                <w:sz w:val="20"/>
                <w:szCs w:val="20"/>
              </w:rPr>
              <w:fldChar w:fldCharType="separate"/>
            </w:r>
            <w:r w:rsidRPr="0009359A">
              <w:rPr>
                <w:noProof/>
                <w:webHidden/>
                <w:sz w:val="20"/>
                <w:szCs w:val="20"/>
              </w:rPr>
              <w:t>36</w:t>
            </w:r>
            <w:r w:rsidRPr="0009359A">
              <w:rPr>
                <w:noProof/>
                <w:webHidden/>
                <w:sz w:val="20"/>
                <w:szCs w:val="20"/>
              </w:rPr>
              <w:fldChar w:fldCharType="end"/>
            </w:r>
          </w:hyperlink>
        </w:p>
        <w:p w14:paraId="495F137D" w14:textId="5201F216" w:rsidR="0009359A" w:rsidRPr="0009359A" w:rsidRDefault="0009359A" w:rsidP="00FA36EC">
          <w:pPr>
            <w:pStyle w:val="TM1"/>
            <w:rPr>
              <w:rFonts w:asciiTheme="minorHAnsi" w:eastAsiaTheme="minorEastAsia" w:hAnsiTheme="minorHAnsi" w:cstheme="minorBidi"/>
              <w:lang w:val="fr-FR" w:eastAsia="fr-FR"/>
            </w:rPr>
          </w:pPr>
          <w:hyperlink w:anchor="_Toc189375553" w:history="1">
            <w:r w:rsidRPr="0009359A">
              <w:rPr>
                <w:rStyle w:val="Lienhypertexte"/>
                <w:sz w:val="20"/>
                <w:szCs w:val="20"/>
              </w:rPr>
              <w:t>9.</w:t>
            </w:r>
            <w:r w:rsidRPr="0009359A">
              <w:rPr>
                <w:rFonts w:asciiTheme="minorHAnsi" w:eastAsiaTheme="minorEastAsia" w:hAnsiTheme="minorHAnsi" w:cstheme="minorBidi"/>
                <w:lang w:val="fr-FR" w:eastAsia="fr-FR"/>
              </w:rPr>
              <w:tab/>
            </w:r>
            <w:r w:rsidRPr="0009359A">
              <w:rPr>
                <w:rStyle w:val="Lienhypertexte"/>
                <w:sz w:val="20"/>
                <w:szCs w:val="20"/>
              </w:rPr>
              <w:t>References</w:t>
            </w:r>
            <w:r w:rsidRPr="0009359A">
              <w:rPr>
                <w:webHidden/>
              </w:rPr>
              <w:tab/>
            </w:r>
            <w:r w:rsidRPr="0009359A">
              <w:rPr>
                <w:webHidden/>
              </w:rPr>
              <w:fldChar w:fldCharType="begin"/>
            </w:r>
            <w:r w:rsidRPr="0009359A">
              <w:rPr>
                <w:webHidden/>
              </w:rPr>
              <w:instrText xml:space="preserve"> PAGEREF _Toc189375553 \h </w:instrText>
            </w:r>
            <w:r w:rsidRPr="0009359A">
              <w:rPr>
                <w:webHidden/>
              </w:rPr>
            </w:r>
            <w:r w:rsidRPr="0009359A">
              <w:rPr>
                <w:webHidden/>
              </w:rPr>
              <w:fldChar w:fldCharType="separate"/>
            </w:r>
            <w:r w:rsidRPr="0009359A">
              <w:rPr>
                <w:webHidden/>
              </w:rPr>
              <w:t>38</w:t>
            </w:r>
            <w:r w:rsidRPr="0009359A">
              <w:rPr>
                <w:webHidden/>
              </w:rPr>
              <w:fldChar w:fldCharType="end"/>
            </w:r>
          </w:hyperlink>
        </w:p>
        <w:p w14:paraId="34EB8C34" w14:textId="78D51ADE" w:rsidR="00D85B26" w:rsidRPr="00DE261F" w:rsidRDefault="00856A11" w:rsidP="00954BA0">
          <w:pPr>
            <w:spacing w:line="240" w:lineRule="auto"/>
            <w:jc w:val="both"/>
            <w:rPr>
              <w:rFonts w:ascii="Century Gothic" w:hAnsi="Century Gothic"/>
              <w:b/>
              <w:bCs/>
            </w:rPr>
          </w:pPr>
          <w:r w:rsidRPr="00541183">
            <w:rPr>
              <w:rFonts w:ascii="Century Gothic" w:hAnsi="Century Gothic"/>
              <w:b/>
              <w:bCs/>
            </w:rPr>
            <w:fldChar w:fldCharType="end"/>
          </w:r>
        </w:p>
      </w:sdtContent>
    </w:sdt>
    <w:p w14:paraId="5533EE23" w14:textId="60E3900B" w:rsidR="00DE261F" w:rsidRDefault="00920350" w:rsidP="00F770FC">
      <w:pPr>
        <w:pStyle w:val="Tabledesillustrations"/>
        <w:tabs>
          <w:tab w:val="right" w:leader="dot" w:pos="9062"/>
        </w:tabs>
        <w:spacing w:line="360" w:lineRule="auto"/>
      </w:pPr>
      <w:r>
        <w:rPr>
          <w:rFonts w:ascii="Century Gothic" w:hAnsi="Century Gothic"/>
          <w:noProof/>
          <w:sz w:val="24"/>
          <w:szCs w:val="24"/>
          <w:lang w:eastAsia="fr-FR"/>
        </w:rPr>
        <mc:AlternateContent>
          <mc:Choice Requires="wps">
            <w:drawing>
              <wp:anchor distT="0" distB="0" distL="114300" distR="114300" simplePos="0" relativeHeight="251693056" behindDoc="0" locked="0" layoutInCell="1" allowOverlap="1" wp14:anchorId="0D17E673" wp14:editId="1CEF1ACC">
                <wp:simplePos x="0" y="0"/>
                <wp:positionH relativeFrom="column">
                  <wp:posOffset>1905</wp:posOffset>
                </wp:positionH>
                <wp:positionV relativeFrom="paragraph">
                  <wp:posOffset>232410</wp:posOffset>
                </wp:positionV>
                <wp:extent cx="5734050" cy="349250"/>
                <wp:effectExtent l="0" t="0" r="19050" b="12700"/>
                <wp:wrapNone/>
                <wp:docPr id="50" name="Zone de texte 50"/>
                <wp:cNvGraphicFramePr/>
                <a:graphic xmlns:a="http://schemas.openxmlformats.org/drawingml/2006/main">
                  <a:graphicData uri="http://schemas.microsoft.com/office/word/2010/wordprocessingShape">
                    <wps:wsp>
                      <wps:cNvSpPr txBox="1"/>
                      <wps:spPr>
                        <a:xfrm>
                          <a:off x="0" y="0"/>
                          <a:ext cx="5734050" cy="349250"/>
                        </a:xfrm>
                        <a:prstGeom prst="rect">
                          <a:avLst/>
                        </a:prstGeom>
                        <a:solidFill>
                          <a:schemeClr val="accent1"/>
                        </a:solidFill>
                        <a:ln/>
                      </wps:spPr>
                      <wps:style>
                        <a:lnRef idx="2">
                          <a:schemeClr val="accent5"/>
                        </a:lnRef>
                        <a:fillRef idx="1">
                          <a:schemeClr val="lt1"/>
                        </a:fillRef>
                        <a:effectRef idx="0">
                          <a:schemeClr val="accent5"/>
                        </a:effectRef>
                        <a:fontRef idx="minor">
                          <a:schemeClr val="dk1"/>
                        </a:fontRef>
                      </wps:style>
                      <wps:txbx>
                        <w:txbxContent>
                          <w:p w14:paraId="1B74D316" w14:textId="6C9C5F60" w:rsidR="0062478D" w:rsidRPr="00920350" w:rsidRDefault="0062478D" w:rsidP="00920350">
                            <w:pPr>
                              <w:rPr>
                                <w:color w:val="FFFFFF" w:themeColor="background1"/>
                              </w:rPr>
                            </w:pPr>
                            <w:r w:rsidRPr="00920350">
                              <w:rPr>
                                <w:rFonts w:ascii="Century Gothic" w:hAnsi="Century Gothic"/>
                                <w:color w:val="FFFFFF" w:themeColor="background1"/>
                                <w:sz w:val="24"/>
                                <w:szCs w:val="24"/>
                              </w:rPr>
                              <w:t>Liste des tables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17E673" id="Zone de texte 50" o:spid="_x0000_s1033" type="#_x0000_t202" style="position:absolute;margin-left:.15pt;margin-top:18.3pt;width:451.5pt;height:27.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" fillcolor="#4472c4 [3204]" strokecolor="#5b9bd5 [3208]" strokeweight="1pt">
                <v:textbox>
                  <w:txbxContent>
                    <w:p w14:paraId="1B74D316" w14:textId="6C9C5F60" w:rsidR="0062478D" w:rsidRPr="00920350" w:rsidRDefault="0062478D" w:rsidP="00920350">
                      <w:pPr>
                        <w:rPr>
                          <w:color w:val="FFFFFF" w:themeColor="background1"/>
                        </w:rPr>
                      </w:pPr>
                      <w:r w:rsidRPr="00920350">
                        <w:rPr>
                          <w:rFonts w:ascii="Century Gothic" w:hAnsi="Century Gothic"/>
                          <w:color w:val="FFFFFF" w:themeColor="background1"/>
                          <w:sz w:val="24"/>
                          <w:szCs w:val="24"/>
                        </w:rPr>
                        <w:t>Liste des tables</w:t>
                      </w:r>
                    </w:p>
                  </w:txbxContent>
                </v:textbox>
              </v:shape>
            </w:pict>
          </mc:Fallback>
        </mc:AlternateContent>
      </w:r>
      <w:r w:rsidR="00DE261F" w:rsidRPr="00F30349">
        <w:rPr>
          <w:rFonts w:ascii="Century Gothic" w:hAnsi="Century Gothic"/>
          <w:sz w:val="24"/>
          <w:szCs w:val="24"/>
        </w:rPr>
        <w:fldChar w:fldCharType="begin"/>
      </w:r>
      <w:r w:rsidR="00DE261F" w:rsidRPr="00F30349">
        <w:rPr>
          <w:rFonts w:ascii="Century Gothic" w:hAnsi="Century Gothic"/>
          <w:sz w:val="24"/>
          <w:szCs w:val="24"/>
        </w:rPr>
        <w:instrText xml:space="preserve"> TOC \h \z \c "Table" </w:instrText>
      </w:r>
      <w:r w:rsidR="00DE261F" w:rsidRPr="00F30349">
        <w:rPr>
          <w:rFonts w:ascii="Century Gothic" w:hAnsi="Century Gothic"/>
          <w:sz w:val="24"/>
          <w:szCs w:val="24"/>
        </w:rPr>
        <w:fldChar w:fldCharType="separate"/>
      </w:r>
      <w:hyperlink w:anchor="_Toc189305533" w:history="1">
        <w:r w:rsidR="00DE261F" w:rsidRPr="00F30349">
          <w:rPr>
            <w:rStyle w:val="Lienhypertexte"/>
            <w:rFonts w:ascii="Century Gothic" w:hAnsi="Century Gothic"/>
            <w:noProof/>
            <w:color w:val="auto"/>
            <w:sz w:val="24"/>
            <w:szCs w:val="24"/>
          </w:rPr>
          <w:t>Table 1 :</w:t>
        </w:r>
        <w:r w:rsidR="00DE261F" w:rsidRPr="00613CF8">
          <w:rPr>
            <w:rStyle w:val="Lienhypertexte"/>
            <w:rFonts w:ascii="Century Gothic" w:hAnsi="Century Gothic"/>
            <w:b/>
            <w:bCs/>
            <w:noProof/>
            <w:color w:val="auto"/>
            <w:sz w:val="24"/>
            <w:szCs w:val="24"/>
          </w:rPr>
          <w:t xml:space="preserve"> Principales Aires Protégées</w:t>
        </w:r>
        <w:r w:rsidR="00DE261F" w:rsidRPr="00F30349">
          <w:rPr>
            <w:rFonts w:ascii="Century Gothic" w:hAnsi="Century Gothic"/>
            <w:noProof/>
            <w:webHidden/>
            <w:sz w:val="24"/>
            <w:szCs w:val="24"/>
          </w:rPr>
          <w:tab/>
        </w:r>
        <w:r w:rsidR="00DE261F" w:rsidRPr="00F30349">
          <w:rPr>
            <w:rFonts w:ascii="Century Gothic" w:hAnsi="Century Gothic"/>
            <w:noProof/>
            <w:webHidden/>
            <w:sz w:val="24"/>
            <w:szCs w:val="24"/>
          </w:rPr>
          <w:fldChar w:fldCharType="begin"/>
        </w:r>
        <w:r w:rsidR="00DE261F" w:rsidRPr="00F30349">
          <w:rPr>
            <w:rFonts w:ascii="Century Gothic" w:hAnsi="Century Gothic"/>
            <w:noProof/>
            <w:webHidden/>
            <w:sz w:val="24"/>
            <w:szCs w:val="24"/>
          </w:rPr>
          <w:instrText xml:space="preserve"> PAGEREF _Toc189305533 \h </w:instrText>
        </w:r>
        <w:r w:rsidR="00DE261F" w:rsidRPr="00F30349">
          <w:rPr>
            <w:rFonts w:ascii="Century Gothic" w:hAnsi="Century Gothic"/>
            <w:noProof/>
            <w:webHidden/>
            <w:sz w:val="24"/>
            <w:szCs w:val="24"/>
          </w:rPr>
        </w:r>
        <w:r w:rsidR="00DE261F" w:rsidRPr="00F30349">
          <w:rPr>
            <w:rFonts w:ascii="Century Gothic" w:hAnsi="Century Gothic"/>
            <w:noProof/>
            <w:webHidden/>
            <w:sz w:val="24"/>
            <w:szCs w:val="24"/>
          </w:rPr>
          <w:fldChar w:fldCharType="separate"/>
        </w:r>
        <w:r w:rsidR="00DE261F" w:rsidRPr="00F30349">
          <w:rPr>
            <w:rFonts w:ascii="Century Gothic" w:hAnsi="Century Gothic"/>
            <w:noProof/>
            <w:webHidden/>
            <w:sz w:val="24"/>
            <w:szCs w:val="24"/>
          </w:rPr>
          <w:t>8</w:t>
        </w:r>
        <w:r w:rsidR="00DE261F" w:rsidRPr="00F30349">
          <w:rPr>
            <w:rFonts w:ascii="Century Gothic" w:hAnsi="Century Gothic"/>
            <w:noProof/>
            <w:webHidden/>
            <w:sz w:val="24"/>
            <w:szCs w:val="24"/>
          </w:rPr>
          <w:fldChar w:fldCharType="end"/>
        </w:r>
      </w:hyperlink>
    </w:p>
    <w:p w14:paraId="74167EC5" w14:textId="77777777" w:rsidR="009B6DCE" w:rsidRPr="00F770FC" w:rsidRDefault="009B6DCE" w:rsidP="00FA36EC">
      <w:pPr>
        <w:rPr>
          <w:sz w:val="8"/>
          <w:szCs w:val="8"/>
        </w:rPr>
      </w:pPr>
    </w:p>
    <w:p w14:paraId="444398D2" w14:textId="3B9015BF" w:rsidR="00DE261F" w:rsidRPr="00F30349" w:rsidRDefault="00DE261F" w:rsidP="00954BA0">
      <w:pPr>
        <w:pStyle w:val="Tabledesillustrations"/>
        <w:tabs>
          <w:tab w:val="right" w:leader="dot" w:pos="9062"/>
        </w:tabs>
        <w:spacing w:line="240" w:lineRule="auto"/>
        <w:rPr>
          <w:rFonts w:ascii="Century Gothic" w:eastAsiaTheme="minorEastAsia" w:hAnsi="Century Gothic"/>
          <w:noProof/>
          <w:sz w:val="24"/>
          <w:szCs w:val="24"/>
          <w:lang w:eastAsia="fr-FR"/>
        </w:rPr>
      </w:pPr>
      <w:hyperlink w:anchor="_Toc189305534" w:history="1">
        <w:r w:rsidRPr="00F30349">
          <w:rPr>
            <w:rStyle w:val="Lienhypertexte"/>
            <w:rFonts w:ascii="Century Gothic" w:hAnsi="Century Gothic"/>
            <w:noProof/>
            <w:color w:val="auto"/>
            <w:sz w:val="24"/>
            <w:szCs w:val="24"/>
          </w:rPr>
          <w:t xml:space="preserve">Table 2 </w:t>
        </w:r>
        <w:r w:rsidRPr="00F770FC">
          <w:rPr>
            <w:rStyle w:val="Lienhypertexte"/>
            <w:rFonts w:ascii="Century Gothic" w:hAnsi="Century Gothic"/>
            <w:noProof/>
            <w:color w:val="auto"/>
          </w:rPr>
          <w:t>Effectifs des différents règnes et les estimations effectuées par les scientifiques (ainsi que les marges d'erreur)</w:t>
        </w:r>
        <w:r w:rsidRPr="00F30349">
          <w:rPr>
            <w:rStyle w:val="Lienhypertexte"/>
            <w:rFonts w:ascii="Century Gothic" w:hAnsi="Century Gothic"/>
            <w:noProof/>
            <w:color w:val="auto"/>
            <w:sz w:val="24"/>
            <w:szCs w:val="24"/>
          </w:rPr>
          <w:t xml:space="preserve"> </w:t>
        </w:r>
        <w:r w:rsidRPr="00F770FC">
          <w:rPr>
            <w:rStyle w:val="Lienhypertexte"/>
            <w:rFonts w:ascii="Century Gothic" w:hAnsi="Century Gothic"/>
            <w:noProof/>
            <w:color w:val="auto"/>
          </w:rPr>
          <w:t>pour l'ensemble des milieux et pour le milieu marin. © Mora et al., 2011 - Plops Biology</w:t>
        </w:r>
        <w:r w:rsidRPr="00F30349">
          <w:rPr>
            <w:rFonts w:ascii="Century Gothic" w:hAnsi="Century Gothic"/>
            <w:noProof/>
            <w:webHidden/>
            <w:sz w:val="24"/>
            <w:szCs w:val="24"/>
          </w:rPr>
          <w:tab/>
        </w:r>
        <w:r w:rsidRPr="00F30349">
          <w:rPr>
            <w:rFonts w:ascii="Century Gothic" w:hAnsi="Century Gothic"/>
            <w:noProof/>
            <w:webHidden/>
            <w:sz w:val="24"/>
            <w:szCs w:val="24"/>
          </w:rPr>
          <w:fldChar w:fldCharType="begin"/>
        </w:r>
        <w:r w:rsidRPr="00F30349">
          <w:rPr>
            <w:rFonts w:ascii="Century Gothic" w:hAnsi="Century Gothic"/>
            <w:noProof/>
            <w:webHidden/>
            <w:sz w:val="24"/>
            <w:szCs w:val="24"/>
          </w:rPr>
          <w:instrText xml:space="preserve"> PAGEREF _Toc189305534 \h </w:instrText>
        </w:r>
        <w:r w:rsidRPr="00F30349">
          <w:rPr>
            <w:rFonts w:ascii="Century Gothic" w:hAnsi="Century Gothic"/>
            <w:noProof/>
            <w:webHidden/>
            <w:sz w:val="24"/>
            <w:szCs w:val="24"/>
          </w:rPr>
        </w:r>
        <w:r w:rsidRPr="00F30349">
          <w:rPr>
            <w:rFonts w:ascii="Century Gothic" w:hAnsi="Century Gothic"/>
            <w:noProof/>
            <w:webHidden/>
            <w:sz w:val="24"/>
            <w:szCs w:val="24"/>
          </w:rPr>
          <w:fldChar w:fldCharType="separate"/>
        </w:r>
        <w:r w:rsidRPr="00F30349">
          <w:rPr>
            <w:rFonts w:ascii="Century Gothic" w:hAnsi="Century Gothic"/>
            <w:noProof/>
            <w:webHidden/>
            <w:sz w:val="24"/>
            <w:szCs w:val="24"/>
          </w:rPr>
          <w:t>23</w:t>
        </w:r>
        <w:r w:rsidRPr="00F30349">
          <w:rPr>
            <w:rFonts w:ascii="Century Gothic" w:hAnsi="Century Gothic"/>
            <w:noProof/>
            <w:webHidden/>
            <w:sz w:val="24"/>
            <w:szCs w:val="24"/>
          </w:rPr>
          <w:fldChar w:fldCharType="end"/>
        </w:r>
      </w:hyperlink>
    </w:p>
    <w:p w14:paraId="704A7D8A" w14:textId="6176224B" w:rsidR="00DE261F" w:rsidRPr="00F30349" w:rsidRDefault="00DE261F" w:rsidP="00954BA0">
      <w:pPr>
        <w:pStyle w:val="Tabledesillustrations"/>
        <w:tabs>
          <w:tab w:val="right" w:leader="dot" w:pos="9062"/>
        </w:tabs>
        <w:spacing w:line="240" w:lineRule="auto"/>
        <w:rPr>
          <w:rFonts w:ascii="Century Gothic" w:eastAsiaTheme="minorEastAsia" w:hAnsi="Century Gothic"/>
          <w:noProof/>
          <w:sz w:val="24"/>
          <w:szCs w:val="24"/>
          <w:lang w:eastAsia="fr-FR"/>
        </w:rPr>
      </w:pPr>
      <w:hyperlink w:anchor="_Toc189305535" w:history="1">
        <w:r w:rsidRPr="00F30349">
          <w:rPr>
            <w:rStyle w:val="Lienhypertexte"/>
            <w:rFonts w:ascii="Century Gothic" w:hAnsi="Century Gothic"/>
            <w:noProof/>
            <w:color w:val="auto"/>
            <w:sz w:val="24"/>
            <w:szCs w:val="24"/>
          </w:rPr>
          <w:t>Table 3 Tableau des scenarios d’avenir</w:t>
        </w:r>
        <w:r w:rsidRPr="00F30349">
          <w:rPr>
            <w:rFonts w:ascii="Century Gothic" w:hAnsi="Century Gothic"/>
            <w:noProof/>
            <w:webHidden/>
            <w:sz w:val="24"/>
            <w:szCs w:val="24"/>
          </w:rPr>
          <w:tab/>
        </w:r>
        <w:r w:rsidRPr="00F30349">
          <w:rPr>
            <w:rFonts w:ascii="Century Gothic" w:hAnsi="Century Gothic"/>
            <w:noProof/>
            <w:webHidden/>
            <w:sz w:val="24"/>
            <w:szCs w:val="24"/>
          </w:rPr>
          <w:fldChar w:fldCharType="begin"/>
        </w:r>
        <w:r w:rsidRPr="00F30349">
          <w:rPr>
            <w:rFonts w:ascii="Century Gothic" w:hAnsi="Century Gothic"/>
            <w:noProof/>
            <w:webHidden/>
            <w:sz w:val="24"/>
            <w:szCs w:val="24"/>
          </w:rPr>
          <w:instrText xml:space="preserve"> PAGEREF _Toc189305535 \h </w:instrText>
        </w:r>
        <w:r w:rsidRPr="00F30349">
          <w:rPr>
            <w:rFonts w:ascii="Century Gothic" w:hAnsi="Century Gothic"/>
            <w:noProof/>
            <w:webHidden/>
            <w:sz w:val="24"/>
            <w:szCs w:val="24"/>
          </w:rPr>
        </w:r>
        <w:r w:rsidRPr="00F30349">
          <w:rPr>
            <w:rFonts w:ascii="Century Gothic" w:hAnsi="Century Gothic"/>
            <w:noProof/>
            <w:webHidden/>
            <w:sz w:val="24"/>
            <w:szCs w:val="24"/>
          </w:rPr>
          <w:fldChar w:fldCharType="separate"/>
        </w:r>
        <w:r w:rsidRPr="00F30349">
          <w:rPr>
            <w:rFonts w:ascii="Century Gothic" w:hAnsi="Century Gothic"/>
            <w:noProof/>
            <w:webHidden/>
            <w:sz w:val="24"/>
            <w:szCs w:val="24"/>
          </w:rPr>
          <w:t>32</w:t>
        </w:r>
        <w:r w:rsidRPr="00F30349">
          <w:rPr>
            <w:rFonts w:ascii="Century Gothic" w:hAnsi="Century Gothic"/>
            <w:noProof/>
            <w:webHidden/>
            <w:sz w:val="24"/>
            <w:szCs w:val="24"/>
          </w:rPr>
          <w:fldChar w:fldCharType="end"/>
        </w:r>
      </w:hyperlink>
    </w:p>
    <w:p w14:paraId="74BEFB62" w14:textId="2484D370" w:rsidR="00DE261F" w:rsidRPr="00F30349" w:rsidRDefault="00DE261F" w:rsidP="00FA36EC">
      <w:pPr>
        <w:pStyle w:val="Tabledesillustrations"/>
        <w:tabs>
          <w:tab w:val="right" w:leader="dot" w:pos="9062"/>
        </w:tabs>
        <w:spacing w:line="240" w:lineRule="auto"/>
        <w:rPr>
          <w:rFonts w:ascii="Century Gothic" w:eastAsiaTheme="minorEastAsia" w:hAnsi="Century Gothic"/>
          <w:noProof/>
          <w:sz w:val="24"/>
          <w:szCs w:val="24"/>
          <w:lang w:eastAsia="fr-FR"/>
        </w:rPr>
      </w:pPr>
      <w:hyperlink w:anchor="_Toc189305536" w:history="1">
        <w:r w:rsidRPr="00F30349">
          <w:rPr>
            <w:rStyle w:val="Lienhypertexte"/>
            <w:rFonts w:ascii="Century Gothic" w:hAnsi="Century Gothic"/>
            <w:noProof/>
            <w:color w:val="auto"/>
            <w:sz w:val="24"/>
            <w:szCs w:val="24"/>
          </w:rPr>
          <w:t xml:space="preserve">Table 4 les scenarios en trois, scenario </w:t>
        </w:r>
        <w:r w:rsidRPr="00F770FC">
          <w:rPr>
            <w:rStyle w:val="Lienhypertexte"/>
            <w:rFonts w:ascii="Century Gothic" w:hAnsi="Century Gothic"/>
            <w:noProof/>
            <w:color w:val="auto"/>
          </w:rPr>
          <w:t>optimiste, moderé et scenario pessimiste</w:t>
        </w:r>
        <w:r w:rsidRPr="00F30349">
          <w:rPr>
            <w:rStyle w:val="Lienhypertexte"/>
            <w:rFonts w:ascii="Century Gothic" w:hAnsi="Century Gothic"/>
            <w:noProof/>
            <w:color w:val="auto"/>
            <w:sz w:val="24"/>
            <w:szCs w:val="24"/>
          </w:rPr>
          <w:t>.</w:t>
        </w:r>
        <w:r w:rsidRPr="00F30349">
          <w:rPr>
            <w:rFonts w:ascii="Century Gothic" w:hAnsi="Century Gothic"/>
            <w:noProof/>
            <w:webHidden/>
            <w:sz w:val="24"/>
            <w:szCs w:val="24"/>
          </w:rPr>
          <w:tab/>
        </w:r>
        <w:r w:rsidRPr="00F30349">
          <w:rPr>
            <w:rFonts w:ascii="Century Gothic" w:hAnsi="Century Gothic"/>
            <w:noProof/>
            <w:webHidden/>
            <w:sz w:val="24"/>
            <w:szCs w:val="24"/>
          </w:rPr>
          <w:fldChar w:fldCharType="begin"/>
        </w:r>
        <w:r w:rsidRPr="00F30349">
          <w:rPr>
            <w:rFonts w:ascii="Century Gothic" w:hAnsi="Century Gothic"/>
            <w:noProof/>
            <w:webHidden/>
            <w:sz w:val="24"/>
            <w:szCs w:val="24"/>
          </w:rPr>
          <w:instrText xml:space="preserve"> PAGEREF _Toc189305536 \h </w:instrText>
        </w:r>
        <w:r w:rsidRPr="00F30349">
          <w:rPr>
            <w:rFonts w:ascii="Century Gothic" w:hAnsi="Century Gothic"/>
            <w:noProof/>
            <w:webHidden/>
            <w:sz w:val="24"/>
            <w:szCs w:val="24"/>
          </w:rPr>
        </w:r>
        <w:r w:rsidRPr="00F30349">
          <w:rPr>
            <w:rFonts w:ascii="Century Gothic" w:hAnsi="Century Gothic"/>
            <w:noProof/>
            <w:webHidden/>
            <w:sz w:val="24"/>
            <w:szCs w:val="24"/>
          </w:rPr>
          <w:fldChar w:fldCharType="separate"/>
        </w:r>
        <w:r w:rsidRPr="00F30349">
          <w:rPr>
            <w:rFonts w:ascii="Century Gothic" w:hAnsi="Century Gothic"/>
            <w:noProof/>
            <w:webHidden/>
            <w:sz w:val="24"/>
            <w:szCs w:val="24"/>
          </w:rPr>
          <w:t>33</w:t>
        </w:r>
        <w:r w:rsidRPr="00F30349">
          <w:rPr>
            <w:rFonts w:ascii="Century Gothic" w:hAnsi="Century Gothic"/>
            <w:noProof/>
            <w:webHidden/>
            <w:sz w:val="24"/>
            <w:szCs w:val="24"/>
          </w:rPr>
          <w:fldChar w:fldCharType="end"/>
        </w:r>
      </w:hyperlink>
    </w:p>
    <w:p w14:paraId="5DBEE04D" w14:textId="63EA16A9" w:rsidR="00DE261F" w:rsidRPr="00F30349" w:rsidRDefault="00DE261F" w:rsidP="00FA36EC">
      <w:pPr>
        <w:pStyle w:val="Tabledesillustrations"/>
        <w:tabs>
          <w:tab w:val="right" w:leader="dot" w:pos="9062"/>
        </w:tabs>
        <w:spacing w:line="240" w:lineRule="auto"/>
        <w:rPr>
          <w:rFonts w:ascii="Century Gothic" w:eastAsiaTheme="minorEastAsia" w:hAnsi="Century Gothic"/>
          <w:noProof/>
          <w:sz w:val="24"/>
          <w:szCs w:val="24"/>
          <w:lang w:eastAsia="fr-FR"/>
        </w:rPr>
      </w:pPr>
      <w:hyperlink w:anchor="_Toc189305537" w:history="1">
        <w:r w:rsidRPr="00F30349">
          <w:rPr>
            <w:rStyle w:val="Lienhypertexte"/>
            <w:rFonts w:ascii="Century Gothic" w:hAnsi="Century Gothic"/>
            <w:noProof/>
            <w:color w:val="auto"/>
            <w:sz w:val="24"/>
            <w:szCs w:val="24"/>
          </w:rPr>
          <w:t>Table 5 Tableau des reponses</w:t>
        </w:r>
        <w:r w:rsidRPr="00F30349">
          <w:rPr>
            <w:rFonts w:ascii="Century Gothic" w:hAnsi="Century Gothic"/>
            <w:noProof/>
            <w:webHidden/>
            <w:sz w:val="24"/>
            <w:szCs w:val="24"/>
          </w:rPr>
          <w:tab/>
        </w:r>
        <w:r w:rsidRPr="00F30349">
          <w:rPr>
            <w:rFonts w:ascii="Century Gothic" w:hAnsi="Century Gothic"/>
            <w:noProof/>
            <w:webHidden/>
            <w:sz w:val="24"/>
            <w:szCs w:val="24"/>
          </w:rPr>
          <w:fldChar w:fldCharType="begin"/>
        </w:r>
        <w:r w:rsidRPr="00F30349">
          <w:rPr>
            <w:rFonts w:ascii="Century Gothic" w:hAnsi="Century Gothic"/>
            <w:noProof/>
            <w:webHidden/>
            <w:sz w:val="24"/>
            <w:szCs w:val="24"/>
          </w:rPr>
          <w:instrText xml:space="preserve"> PAGEREF _Toc189305537 \h </w:instrText>
        </w:r>
        <w:r w:rsidRPr="00F30349">
          <w:rPr>
            <w:rFonts w:ascii="Century Gothic" w:hAnsi="Century Gothic"/>
            <w:noProof/>
            <w:webHidden/>
            <w:sz w:val="24"/>
            <w:szCs w:val="24"/>
          </w:rPr>
        </w:r>
        <w:r w:rsidRPr="00F30349">
          <w:rPr>
            <w:rFonts w:ascii="Century Gothic" w:hAnsi="Century Gothic"/>
            <w:noProof/>
            <w:webHidden/>
            <w:sz w:val="24"/>
            <w:szCs w:val="24"/>
          </w:rPr>
          <w:fldChar w:fldCharType="separate"/>
        </w:r>
        <w:r w:rsidRPr="00F30349">
          <w:rPr>
            <w:rFonts w:ascii="Century Gothic" w:hAnsi="Century Gothic"/>
            <w:noProof/>
            <w:webHidden/>
            <w:sz w:val="24"/>
            <w:szCs w:val="24"/>
          </w:rPr>
          <w:t>34</w:t>
        </w:r>
        <w:r w:rsidRPr="00F30349">
          <w:rPr>
            <w:rFonts w:ascii="Century Gothic" w:hAnsi="Century Gothic"/>
            <w:noProof/>
            <w:webHidden/>
            <w:sz w:val="24"/>
            <w:szCs w:val="24"/>
          </w:rPr>
          <w:fldChar w:fldCharType="end"/>
        </w:r>
      </w:hyperlink>
    </w:p>
    <w:p w14:paraId="7EAFD3FE" w14:textId="5D0308F4" w:rsidR="00DE261F" w:rsidRPr="00F30349" w:rsidRDefault="00DE261F" w:rsidP="00FA36EC">
      <w:pPr>
        <w:pStyle w:val="Tabledesillustrations"/>
        <w:tabs>
          <w:tab w:val="right" w:leader="dot" w:pos="9062"/>
        </w:tabs>
        <w:spacing w:line="240" w:lineRule="auto"/>
        <w:rPr>
          <w:rFonts w:ascii="Century Gothic" w:eastAsiaTheme="minorEastAsia" w:hAnsi="Century Gothic"/>
          <w:noProof/>
          <w:sz w:val="24"/>
          <w:szCs w:val="24"/>
          <w:lang w:eastAsia="fr-FR"/>
        </w:rPr>
      </w:pPr>
      <w:hyperlink w:anchor="_Toc189305538" w:history="1">
        <w:r w:rsidRPr="00F30349">
          <w:rPr>
            <w:rStyle w:val="Lienhypertexte"/>
            <w:rFonts w:ascii="Century Gothic" w:hAnsi="Century Gothic"/>
            <w:noProof/>
            <w:color w:val="auto"/>
            <w:sz w:val="24"/>
            <w:szCs w:val="24"/>
          </w:rPr>
          <w:t>Table 6 Scénarios d'Adaptation</w:t>
        </w:r>
        <w:r w:rsidRPr="00F30349">
          <w:rPr>
            <w:rFonts w:ascii="Century Gothic" w:hAnsi="Century Gothic"/>
            <w:noProof/>
            <w:webHidden/>
            <w:sz w:val="24"/>
            <w:szCs w:val="24"/>
          </w:rPr>
          <w:tab/>
        </w:r>
        <w:r w:rsidRPr="00F30349">
          <w:rPr>
            <w:rFonts w:ascii="Century Gothic" w:hAnsi="Century Gothic"/>
            <w:noProof/>
            <w:webHidden/>
            <w:sz w:val="24"/>
            <w:szCs w:val="24"/>
          </w:rPr>
          <w:fldChar w:fldCharType="begin"/>
        </w:r>
        <w:r w:rsidRPr="00F30349">
          <w:rPr>
            <w:rFonts w:ascii="Century Gothic" w:hAnsi="Century Gothic"/>
            <w:noProof/>
            <w:webHidden/>
            <w:sz w:val="24"/>
            <w:szCs w:val="24"/>
          </w:rPr>
          <w:instrText xml:space="preserve"> PAGEREF _Toc189305538 \h </w:instrText>
        </w:r>
        <w:r w:rsidRPr="00F30349">
          <w:rPr>
            <w:rFonts w:ascii="Century Gothic" w:hAnsi="Century Gothic"/>
            <w:noProof/>
            <w:webHidden/>
            <w:sz w:val="24"/>
            <w:szCs w:val="24"/>
          </w:rPr>
        </w:r>
        <w:r w:rsidRPr="00F30349">
          <w:rPr>
            <w:rFonts w:ascii="Century Gothic" w:hAnsi="Century Gothic"/>
            <w:noProof/>
            <w:webHidden/>
            <w:sz w:val="24"/>
            <w:szCs w:val="24"/>
          </w:rPr>
          <w:fldChar w:fldCharType="separate"/>
        </w:r>
        <w:r w:rsidRPr="00F30349">
          <w:rPr>
            <w:rFonts w:ascii="Century Gothic" w:hAnsi="Century Gothic"/>
            <w:noProof/>
            <w:webHidden/>
            <w:sz w:val="24"/>
            <w:szCs w:val="24"/>
          </w:rPr>
          <w:t>36</w:t>
        </w:r>
        <w:r w:rsidRPr="00F30349">
          <w:rPr>
            <w:rFonts w:ascii="Century Gothic" w:hAnsi="Century Gothic"/>
            <w:noProof/>
            <w:webHidden/>
            <w:sz w:val="24"/>
            <w:szCs w:val="24"/>
          </w:rPr>
          <w:fldChar w:fldCharType="end"/>
        </w:r>
      </w:hyperlink>
    </w:p>
    <w:p w14:paraId="3A64B84D" w14:textId="62F908EA" w:rsidR="00DE261F" w:rsidRDefault="00DE261F" w:rsidP="009B6DCE">
      <w:pPr>
        <w:pStyle w:val="Tabledesillustrations"/>
        <w:tabs>
          <w:tab w:val="right" w:leader="dot" w:pos="9062"/>
        </w:tabs>
        <w:spacing w:line="240" w:lineRule="auto"/>
      </w:pPr>
      <w:hyperlink w:anchor="_Toc189305539" w:history="1">
        <w:r w:rsidRPr="00F30349">
          <w:rPr>
            <w:rStyle w:val="Lienhypertexte"/>
            <w:rFonts w:ascii="Century Gothic" w:hAnsi="Century Gothic"/>
            <w:noProof/>
            <w:color w:val="auto"/>
            <w:sz w:val="24"/>
            <w:szCs w:val="24"/>
          </w:rPr>
          <w:t>Table 7 PAIMA</w:t>
        </w:r>
        <w:r w:rsidRPr="00F30349">
          <w:rPr>
            <w:rFonts w:ascii="Century Gothic" w:hAnsi="Century Gothic"/>
            <w:noProof/>
            <w:webHidden/>
            <w:sz w:val="24"/>
            <w:szCs w:val="24"/>
          </w:rPr>
          <w:tab/>
        </w:r>
        <w:r w:rsidRPr="00F30349">
          <w:rPr>
            <w:rFonts w:ascii="Century Gothic" w:hAnsi="Century Gothic"/>
            <w:noProof/>
            <w:webHidden/>
            <w:sz w:val="24"/>
            <w:szCs w:val="24"/>
          </w:rPr>
          <w:fldChar w:fldCharType="begin"/>
        </w:r>
        <w:r w:rsidRPr="00F30349">
          <w:rPr>
            <w:rFonts w:ascii="Century Gothic" w:hAnsi="Century Gothic"/>
            <w:noProof/>
            <w:webHidden/>
            <w:sz w:val="24"/>
            <w:szCs w:val="24"/>
          </w:rPr>
          <w:instrText xml:space="preserve"> PAGEREF _Toc189305539 \h </w:instrText>
        </w:r>
        <w:r w:rsidRPr="00F30349">
          <w:rPr>
            <w:rFonts w:ascii="Century Gothic" w:hAnsi="Century Gothic"/>
            <w:noProof/>
            <w:webHidden/>
            <w:sz w:val="24"/>
            <w:szCs w:val="24"/>
          </w:rPr>
        </w:r>
        <w:r w:rsidRPr="00F30349">
          <w:rPr>
            <w:rFonts w:ascii="Century Gothic" w:hAnsi="Century Gothic"/>
            <w:noProof/>
            <w:webHidden/>
            <w:sz w:val="24"/>
            <w:szCs w:val="24"/>
          </w:rPr>
          <w:fldChar w:fldCharType="separate"/>
        </w:r>
        <w:r w:rsidRPr="00F30349">
          <w:rPr>
            <w:rFonts w:ascii="Century Gothic" w:hAnsi="Century Gothic"/>
            <w:noProof/>
            <w:webHidden/>
            <w:sz w:val="24"/>
            <w:szCs w:val="24"/>
          </w:rPr>
          <w:t>39</w:t>
        </w:r>
        <w:r w:rsidRPr="00F30349">
          <w:rPr>
            <w:rFonts w:ascii="Century Gothic" w:hAnsi="Century Gothic"/>
            <w:noProof/>
            <w:webHidden/>
            <w:sz w:val="24"/>
            <w:szCs w:val="24"/>
          </w:rPr>
          <w:fldChar w:fldCharType="end"/>
        </w:r>
      </w:hyperlink>
    </w:p>
    <w:p w14:paraId="57F6BF65" w14:textId="77777777" w:rsidR="009B6DCE" w:rsidRPr="00613CF8" w:rsidRDefault="009B6DCE" w:rsidP="00FA36EC">
      <w:pPr>
        <w:rPr>
          <w:sz w:val="8"/>
          <w:szCs w:val="8"/>
        </w:rPr>
      </w:pPr>
    </w:p>
    <w:p w14:paraId="636F5AE4" w14:textId="500E8613" w:rsidR="00920350" w:rsidRPr="00920350" w:rsidRDefault="00920350" w:rsidP="00920350">
      <w:pPr>
        <w:spacing w:line="360" w:lineRule="auto"/>
        <w:jc w:val="both"/>
        <w:rPr>
          <w:rFonts w:ascii="Century Gothic" w:hAnsi="Century Gothic"/>
          <w:color w:val="FF0000"/>
        </w:rPr>
      </w:pPr>
      <w:r>
        <w:rPr>
          <w:rFonts w:ascii="Century Gothic" w:hAnsi="Century Gothic"/>
          <w:noProof/>
          <w:sz w:val="24"/>
          <w:szCs w:val="24"/>
          <w:lang w:eastAsia="fr-FR"/>
        </w:rPr>
        <mc:AlternateContent>
          <mc:Choice Requires="wps">
            <w:drawing>
              <wp:anchor distT="0" distB="0" distL="114300" distR="114300" simplePos="0" relativeHeight="251691008" behindDoc="0" locked="0" layoutInCell="1" allowOverlap="1" wp14:anchorId="2F7FB383" wp14:editId="5B69BA49">
                <wp:simplePos x="0" y="0"/>
                <wp:positionH relativeFrom="column">
                  <wp:posOffset>8255</wp:posOffset>
                </wp:positionH>
                <wp:positionV relativeFrom="paragraph">
                  <wp:posOffset>43180</wp:posOffset>
                </wp:positionV>
                <wp:extent cx="5734050" cy="298450"/>
                <wp:effectExtent l="0" t="0" r="19050" b="25400"/>
                <wp:wrapNone/>
                <wp:docPr id="48" name="Zone de texte 48"/>
                <wp:cNvGraphicFramePr/>
                <a:graphic xmlns:a="http://schemas.openxmlformats.org/drawingml/2006/main">
                  <a:graphicData uri="http://schemas.microsoft.com/office/word/2010/wordprocessingShape">
                    <wps:wsp>
                      <wps:cNvSpPr txBox="1"/>
                      <wps:spPr>
                        <a:xfrm>
                          <a:off x="0" y="0"/>
                          <a:ext cx="5734050" cy="298450"/>
                        </a:xfrm>
                        <a:prstGeom prst="rect">
                          <a:avLst/>
                        </a:prstGeom>
                        <a:solidFill>
                          <a:schemeClr val="accent1"/>
                        </a:solidFill>
                        <a:ln/>
                      </wps:spPr>
                      <wps:style>
                        <a:lnRef idx="2">
                          <a:schemeClr val="accent5"/>
                        </a:lnRef>
                        <a:fillRef idx="1">
                          <a:schemeClr val="lt1"/>
                        </a:fillRef>
                        <a:effectRef idx="0">
                          <a:schemeClr val="accent5"/>
                        </a:effectRef>
                        <a:fontRef idx="minor">
                          <a:schemeClr val="dk1"/>
                        </a:fontRef>
                      </wps:style>
                      <wps:txbx>
                        <w:txbxContent>
                          <w:p w14:paraId="6AB779C9" w14:textId="77777777" w:rsidR="0062478D" w:rsidRPr="00920350" w:rsidRDefault="0062478D" w:rsidP="00920350">
                            <w:pPr>
                              <w:pStyle w:val="Tabledesillustrations"/>
                              <w:tabs>
                                <w:tab w:val="right" w:leader="dot" w:pos="9062"/>
                              </w:tabs>
                              <w:spacing w:line="360" w:lineRule="auto"/>
                              <w:rPr>
                                <w:rFonts w:ascii="Century Gothic" w:hAnsi="Century Gothic"/>
                                <w:color w:val="FFFFFF" w:themeColor="background1"/>
                                <w:sz w:val="24"/>
                                <w:szCs w:val="24"/>
                              </w:rPr>
                            </w:pPr>
                            <w:r w:rsidRPr="00920350">
                              <w:rPr>
                                <w:rFonts w:ascii="Century Gothic" w:hAnsi="Century Gothic"/>
                                <w:color w:val="FFFFFF" w:themeColor="background1"/>
                                <w:sz w:val="24"/>
                                <w:szCs w:val="24"/>
                              </w:rPr>
                              <w:t xml:space="preserve">Liste des figures </w:t>
                            </w:r>
                          </w:p>
                          <w:p w14:paraId="5F924BCE" w14:textId="77777777" w:rsidR="0062478D" w:rsidRPr="00920350" w:rsidRDefault="0062478D">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7FB383" id="Zone de texte 48" o:spid="_x0000_s1034" type="#_x0000_t202" style="position:absolute;left:0;text-align:left;margin-left:.65pt;margin-top:3.4pt;width:451.5pt;height:23.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" fillcolor="#4472c4 [3204]" strokecolor="#5b9bd5 [3208]" strokeweight="1pt">
                <v:textbox>
                  <w:txbxContent>
                    <w:p w14:paraId="6AB779C9" w14:textId="77777777" w:rsidR="0062478D" w:rsidRPr="00920350" w:rsidRDefault="0062478D" w:rsidP="00920350">
                      <w:pPr>
                        <w:pStyle w:val="Tabledesillustrations"/>
                        <w:tabs>
                          <w:tab w:val="right" w:leader="dot" w:pos="9062"/>
                        </w:tabs>
                        <w:spacing w:line="360" w:lineRule="auto"/>
                        <w:rPr>
                          <w:rFonts w:ascii="Century Gothic" w:hAnsi="Century Gothic"/>
                          <w:color w:val="FFFFFF" w:themeColor="background1"/>
                          <w:sz w:val="24"/>
                          <w:szCs w:val="24"/>
                        </w:rPr>
                      </w:pPr>
                      <w:r w:rsidRPr="00920350">
                        <w:rPr>
                          <w:rFonts w:ascii="Century Gothic" w:hAnsi="Century Gothic"/>
                          <w:color w:val="FFFFFF" w:themeColor="background1"/>
                          <w:sz w:val="24"/>
                          <w:szCs w:val="24"/>
                        </w:rPr>
                        <w:t xml:space="preserve">Liste des figures </w:t>
                      </w:r>
                    </w:p>
                    <w:p w14:paraId="5F924BCE" w14:textId="77777777" w:rsidR="0062478D" w:rsidRPr="00920350" w:rsidRDefault="0062478D">
                      <w:pPr>
                        <w:rPr>
                          <w:color w:val="FFFFFF" w:themeColor="background1"/>
                        </w:rPr>
                      </w:pPr>
                    </w:p>
                  </w:txbxContent>
                </v:textbox>
              </v:shape>
            </w:pict>
          </mc:Fallback>
        </mc:AlternateContent>
      </w:r>
      <w:r w:rsidR="00DE261F" w:rsidRPr="00F30349">
        <w:rPr>
          <w:rFonts w:ascii="Century Gothic" w:hAnsi="Century Gothic"/>
          <w:sz w:val="24"/>
          <w:szCs w:val="24"/>
        </w:rPr>
        <w:fldChar w:fldCharType="end"/>
      </w:r>
    </w:p>
    <w:p w14:paraId="5C08E108" w14:textId="1BC804DD" w:rsidR="00DE261F" w:rsidRPr="007648C8" w:rsidRDefault="00DE261F" w:rsidP="00FA36EC">
      <w:pPr>
        <w:pStyle w:val="Tabledesillustrations"/>
        <w:tabs>
          <w:tab w:val="right" w:leader="dot" w:pos="9062"/>
        </w:tabs>
        <w:spacing w:line="240" w:lineRule="auto"/>
        <w:rPr>
          <w:rFonts w:ascii="Century Gothic" w:hAnsi="Century Gothic"/>
          <w:sz w:val="24"/>
          <w:szCs w:val="24"/>
        </w:rPr>
      </w:pPr>
      <w:r w:rsidRPr="007648C8">
        <w:rPr>
          <w:rFonts w:ascii="Century Gothic" w:hAnsi="Century Gothic"/>
          <w:sz w:val="24"/>
          <w:szCs w:val="24"/>
        </w:rPr>
        <w:fldChar w:fldCharType="begin"/>
      </w:r>
      <w:r w:rsidRPr="007648C8">
        <w:rPr>
          <w:rFonts w:ascii="Century Gothic" w:hAnsi="Century Gothic"/>
          <w:sz w:val="24"/>
          <w:szCs w:val="24"/>
        </w:rPr>
        <w:instrText xml:space="preserve"> TOC \h \z \c "Figure" </w:instrText>
      </w:r>
      <w:r w:rsidRPr="007648C8">
        <w:rPr>
          <w:rFonts w:ascii="Century Gothic" w:hAnsi="Century Gothic"/>
          <w:sz w:val="24"/>
          <w:szCs w:val="24"/>
        </w:rPr>
        <w:fldChar w:fldCharType="separate"/>
      </w:r>
      <w:hyperlink w:anchor="_Toc189305547" w:history="1">
        <w:r w:rsidRPr="00920350">
          <w:rPr>
            <w:rFonts w:ascii="Century Gothic" w:hAnsi="Century Gothic"/>
            <w:sz w:val="24"/>
            <w:szCs w:val="24"/>
          </w:rPr>
          <w:t>Figure 1</w:t>
        </w:r>
        <w:r w:rsidR="00920350" w:rsidRPr="00920350">
          <w:rPr>
            <w:rFonts w:ascii="Century Gothic" w:hAnsi="Century Gothic"/>
            <w:sz w:val="24"/>
            <w:szCs w:val="24"/>
          </w:rPr>
          <w:t> :</w:t>
        </w:r>
        <w:r w:rsidRPr="007648C8">
          <w:rPr>
            <w:rFonts w:ascii="Century Gothic" w:hAnsi="Century Gothic"/>
            <w:sz w:val="24"/>
            <w:szCs w:val="24"/>
          </w:rPr>
          <w:t xml:space="preserve"> Mauritania protected areas (sources: United Nations Environment Programme World Conservation Monitoring Centre (UNEP-WCMC); International Union for Conservation of Nature (IUCN))</w:t>
        </w:r>
        <w:r w:rsidRPr="007648C8">
          <w:rPr>
            <w:rFonts w:ascii="Century Gothic" w:hAnsi="Century Gothic"/>
            <w:webHidden/>
            <w:sz w:val="24"/>
            <w:szCs w:val="24"/>
          </w:rPr>
          <w:tab/>
        </w:r>
        <w:r w:rsidRPr="007648C8">
          <w:rPr>
            <w:rFonts w:ascii="Century Gothic" w:hAnsi="Century Gothic"/>
            <w:webHidden/>
            <w:sz w:val="24"/>
            <w:szCs w:val="24"/>
          </w:rPr>
          <w:fldChar w:fldCharType="begin"/>
        </w:r>
        <w:r w:rsidRPr="007648C8">
          <w:rPr>
            <w:rFonts w:ascii="Century Gothic" w:hAnsi="Century Gothic"/>
            <w:webHidden/>
            <w:sz w:val="24"/>
            <w:szCs w:val="24"/>
          </w:rPr>
          <w:instrText xml:space="preserve"> PAGEREF _Toc189305547 \h </w:instrText>
        </w:r>
        <w:r w:rsidRPr="007648C8">
          <w:rPr>
            <w:rFonts w:ascii="Century Gothic" w:hAnsi="Century Gothic"/>
            <w:webHidden/>
            <w:sz w:val="24"/>
            <w:szCs w:val="24"/>
          </w:rPr>
        </w:r>
        <w:r w:rsidRPr="007648C8">
          <w:rPr>
            <w:rFonts w:ascii="Century Gothic" w:hAnsi="Century Gothic"/>
            <w:webHidden/>
            <w:sz w:val="24"/>
            <w:szCs w:val="24"/>
          </w:rPr>
          <w:fldChar w:fldCharType="separate"/>
        </w:r>
        <w:r w:rsidRPr="007648C8">
          <w:rPr>
            <w:rFonts w:ascii="Century Gothic" w:hAnsi="Century Gothic"/>
            <w:webHidden/>
            <w:sz w:val="24"/>
            <w:szCs w:val="24"/>
          </w:rPr>
          <w:t>8</w:t>
        </w:r>
        <w:r w:rsidRPr="007648C8">
          <w:rPr>
            <w:rFonts w:ascii="Century Gothic" w:hAnsi="Century Gothic"/>
            <w:webHidden/>
            <w:sz w:val="24"/>
            <w:szCs w:val="24"/>
          </w:rPr>
          <w:fldChar w:fldCharType="end"/>
        </w:r>
      </w:hyperlink>
    </w:p>
    <w:p w14:paraId="5BADE159" w14:textId="0F53248A" w:rsidR="00DE261F" w:rsidRPr="007648C8" w:rsidRDefault="00DE261F" w:rsidP="00FA36EC">
      <w:pPr>
        <w:pStyle w:val="Tabledesillustrations"/>
        <w:tabs>
          <w:tab w:val="right" w:leader="dot" w:pos="9062"/>
        </w:tabs>
        <w:spacing w:line="240" w:lineRule="auto"/>
        <w:rPr>
          <w:rFonts w:ascii="Century Gothic" w:hAnsi="Century Gothic"/>
          <w:sz w:val="24"/>
          <w:szCs w:val="24"/>
        </w:rPr>
      </w:pPr>
      <w:hyperlink w:anchor="_Toc189305548" w:history="1">
        <w:r w:rsidRPr="007648C8">
          <w:rPr>
            <w:rFonts w:ascii="Century Gothic" w:hAnsi="Century Gothic"/>
            <w:sz w:val="24"/>
            <w:szCs w:val="24"/>
          </w:rPr>
          <w:t>Figure 2</w:t>
        </w:r>
        <w:r w:rsidR="00920350">
          <w:rPr>
            <w:rFonts w:ascii="Century Gothic" w:hAnsi="Century Gothic"/>
            <w:sz w:val="24"/>
            <w:szCs w:val="24"/>
          </w:rPr>
          <w:t xml:space="preserve"> : </w:t>
        </w:r>
        <w:r w:rsidRPr="007648C8">
          <w:rPr>
            <w:rFonts w:ascii="Century Gothic" w:hAnsi="Century Gothic"/>
            <w:sz w:val="24"/>
            <w:szCs w:val="24"/>
          </w:rPr>
          <w:t>Les aires protegées et OECMs</w:t>
        </w:r>
        <w:r w:rsidRPr="007648C8">
          <w:rPr>
            <w:rFonts w:ascii="Century Gothic" w:hAnsi="Century Gothic"/>
            <w:webHidden/>
            <w:sz w:val="24"/>
            <w:szCs w:val="24"/>
          </w:rPr>
          <w:tab/>
        </w:r>
        <w:r w:rsidRPr="007648C8">
          <w:rPr>
            <w:rFonts w:ascii="Century Gothic" w:hAnsi="Century Gothic"/>
            <w:webHidden/>
            <w:sz w:val="24"/>
            <w:szCs w:val="24"/>
          </w:rPr>
          <w:fldChar w:fldCharType="begin"/>
        </w:r>
        <w:r w:rsidRPr="007648C8">
          <w:rPr>
            <w:rFonts w:ascii="Century Gothic" w:hAnsi="Century Gothic"/>
            <w:webHidden/>
            <w:sz w:val="24"/>
            <w:szCs w:val="24"/>
          </w:rPr>
          <w:instrText xml:space="preserve"> PAGEREF _Toc189305548 \h </w:instrText>
        </w:r>
        <w:r w:rsidRPr="007648C8">
          <w:rPr>
            <w:rFonts w:ascii="Century Gothic" w:hAnsi="Century Gothic"/>
            <w:webHidden/>
            <w:sz w:val="24"/>
            <w:szCs w:val="24"/>
          </w:rPr>
        </w:r>
        <w:r w:rsidRPr="007648C8">
          <w:rPr>
            <w:rFonts w:ascii="Century Gothic" w:hAnsi="Century Gothic"/>
            <w:webHidden/>
            <w:sz w:val="24"/>
            <w:szCs w:val="24"/>
          </w:rPr>
          <w:fldChar w:fldCharType="separate"/>
        </w:r>
        <w:r w:rsidRPr="007648C8">
          <w:rPr>
            <w:rFonts w:ascii="Century Gothic" w:hAnsi="Century Gothic"/>
            <w:webHidden/>
            <w:sz w:val="24"/>
            <w:szCs w:val="24"/>
          </w:rPr>
          <w:t>8</w:t>
        </w:r>
        <w:r w:rsidRPr="007648C8">
          <w:rPr>
            <w:rFonts w:ascii="Century Gothic" w:hAnsi="Century Gothic"/>
            <w:webHidden/>
            <w:sz w:val="24"/>
            <w:szCs w:val="24"/>
          </w:rPr>
          <w:fldChar w:fldCharType="end"/>
        </w:r>
      </w:hyperlink>
    </w:p>
    <w:p w14:paraId="38AAED52" w14:textId="27051662" w:rsidR="00DE261F" w:rsidRPr="007648C8" w:rsidRDefault="00DE261F" w:rsidP="00FA36EC">
      <w:pPr>
        <w:pStyle w:val="Tabledesillustrations"/>
        <w:tabs>
          <w:tab w:val="right" w:leader="dot" w:pos="9062"/>
        </w:tabs>
        <w:spacing w:line="240" w:lineRule="auto"/>
        <w:rPr>
          <w:rFonts w:ascii="Century Gothic" w:hAnsi="Century Gothic"/>
          <w:sz w:val="24"/>
          <w:szCs w:val="24"/>
        </w:rPr>
      </w:pPr>
      <w:hyperlink w:anchor="_Toc189305549" w:history="1">
        <w:r w:rsidRPr="007648C8">
          <w:rPr>
            <w:rFonts w:ascii="Century Gothic" w:hAnsi="Century Gothic"/>
            <w:sz w:val="24"/>
            <w:szCs w:val="24"/>
          </w:rPr>
          <w:t>Figure 3</w:t>
        </w:r>
        <w:r w:rsidR="00920350">
          <w:rPr>
            <w:rFonts w:ascii="Century Gothic" w:hAnsi="Century Gothic"/>
            <w:sz w:val="24"/>
            <w:szCs w:val="24"/>
          </w:rPr>
          <w:t xml:space="preserve"> : </w:t>
        </w:r>
        <w:r w:rsidRPr="007648C8">
          <w:rPr>
            <w:rFonts w:ascii="Century Gothic" w:hAnsi="Century Gothic"/>
            <w:sz w:val="24"/>
            <w:szCs w:val="24"/>
          </w:rPr>
          <w:t>global land cover (source: ESA)</w:t>
        </w:r>
        <w:r w:rsidRPr="007648C8">
          <w:rPr>
            <w:rFonts w:ascii="Century Gothic" w:hAnsi="Century Gothic"/>
            <w:webHidden/>
            <w:sz w:val="24"/>
            <w:szCs w:val="24"/>
          </w:rPr>
          <w:tab/>
        </w:r>
        <w:r w:rsidRPr="007648C8">
          <w:rPr>
            <w:rFonts w:ascii="Century Gothic" w:hAnsi="Century Gothic"/>
            <w:webHidden/>
            <w:sz w:val="24"/>
            <w:szCs w:val="24"/>
          </w:rPr>
          <w:fldChar w:fldCharType="begin"/>
        </w:r>
        <w:r w:rsidRPr="007648C8">
          <w:rPr>
            <w:rFonts w:ascii="Century Gothic" w:hAnsi="Century Gothic"/>
            <w:webHidden/>
            <w:sz w:val="24"/>
            <w:szCs w:val="24"/>
          </w:rPr>
          <w:instrText xml:space="preserve"> PAGEREF _Toc189305549 \h </w:instrText>
        </w:r>
        <w:r w:rsidRPr="007648C8">
          <w:rPr>
            <w:rFonts w:ascii="Century Gothic" w:hAnsi="Century Gothic"/>
            <w:webHidden/>
            <w:sz w:val="24"/>
            <w:szCs w:val="24"/>
          </w:rPr>
        </w:r>
        <w:r w:rsidRPr="007648C8">
          <w:rPr>
            <w:rFonts w:ascii="Century Gothic" w:hAnsi="Century Gothic"/>
            <w:webHidden/>
            <w:sz w:val="24"/>
            <w:szCs w:val="24"/>
          </w:rPr>
          <w:fldChar w:fldCharType="separate"/>
        </w:r>
        <w:r w:rsidRPr="007648C8">
          <w:rPr>
            <w:rFonts w:ascii="Century Gothic" w:hAnsi="Century Gothic"/>
            <w:webHidden/>
            <w:sz w:val="24"/>
            <w:szCs w:val="24"/>
          </w:rPr>
          <w:t>21</w:t>
        </w:r>
        <w:r w:rsidRPr="007648C8">
          <w:rPr>
            <w:rFonts w:ascii="Century Gothic" w:hAnsi="Century Gothic"/>
            <w:webHidden/>
            <w:sz w:val="24"/>
            <w:szCs w:val="24"/>
          </w:rPr>
          <w:fldChar w:fldCharType="end"/>
        </w:r>
      </w:hyperlink>
    </w:p>
    <w:p w14:paraId="105F4267" w14:textId="71174277" w:rsidR="00DE261F" w:rsidRPr="007648C8" w:rsidRDefault="00DE261F" w:rsidP="00FA36EC">
      <w:pPr>
        <w:pStyle w:val="Tabledesillustrations"/>
        <w:tabs>
          <w:tab w:val="right" w:leader="dot" w:pos="9062"/>
        </w:tabs>
        <w:spacing w:line="240" w:lineRule="auto"/>
        <w:rPr>
          <w:rFonts w:ascii="Century Gothic" w:hAnsi="Century Gothic"/>
          <w:sz w:val="24"/>
          <w:szCs w:val="24"/>
        </w:rPr>
      </w:pPr>
      <w:hyperlink w:anchor="_Toc189305550" w:history="1">
        <w:r w:rsidRPr="007648C8">
          <w:rPr>
            <w:rFonts w:ascii="Century Gothic" w:hAnsi="Century Gothic"/>
            <w:sz w:val="24"/>
            <w:szCs w:val="24"/>
          </w:rPr>
          <w:t>Figure 4</w:t>
        </w:r>
        <w:r w:rsidR="00920350">
          <w:rPr>
            <w:rFonts w:ascii="Century Gothic" w:hAnsi="Century Gothic"/>
            <w:sz w:val="24"/>
            <w:szCs w:val="24"/>
          </w:rPr>
          <w:t xml:space="preserve"> : </w:t>
        </w:r>
        <w:r w:rsidRPr="007648C8">
          <w:rPr>
            <w:rFonts w:ascii="Century Gothic" w:hAnsi="Century Gothic"/>
            <w:sz w:val="24"/>
            <w:szCs w:val="24"/>
          </w:rPr>
          <w:t>Trees cover loss (sources: United States Geological Survey (USGS); National Aeronautics and Space Administration (NASA))</w:t>
        </w:r>
        <w:r w:rsidRPr="007648C8">
          <w:rPr>
            <w:rFonts w:ascii="Century Gothic" w:hAnsi="Century Gothic"/>
            <w:webHidden/>
            <w:sz w:val="24"/>
            <w:szCs w:val="24"/>
          </w:rPr>
          <w:tab/>
        </w:r>
        <w:r w:rsidRPr="007648C8">
          <w:rPr>
            <w:rFonts w:ascii="Century Gothic" w:hAnsi="Century Gothic"/>
            <w:webHidden/>
            <w:sz w:val="24"/>
            <w:szCs w:val="24"/>
          </w:rPr>
          <w:fldChar w:fldCharType="begin"/>
        </w:r>
        <w:r w:rsidRPr="007648C8">
          <w:rPr>
            <w:rFonts w:ascii="Century Gothic" w:hAnsi="Century Gothic"/>
            <w:webHidden/>
            <w:sz w:val="24"/>
            <w:szCs w:val="24"/>
          </w:rPr>
          <w:instrText xml:space="preserve"> PAGEREF _Toc189305550 \h </w:instrText>
        </w:r>
        <w:r w:rsidRPr="007648C8">
          <w:rPr>
            <w:rFonts w:ascii="Century Gothic" w:hAnsi="Century Gothic"/>
            <w:webHidden/>
            <w:sz w:val="24"/>
            <w:szCs w:val="24"/>
          </w:rPr>
        </w:r>
        <w:r w:rsidRPr="007648C8">
          <w:rPr>
            <w:rFonts w:ascii="Century Gothic" w:hAnsi="Century Gothic"/>
            <w:webHidden/>
            <w:sz w:val="24"/>
            <w:szCs w:val="24"/>
          </w:rPr>
          <w:fldChar w:fldCharType="separate"/>
        </w:r>
        <w:r w:rsidRPr="007648C8">
          <w:rPr>
            <w:rFonts w:ascii="Century Gothic" w:hAnsi="Century Gothic"/>
            <w:webHidden/>
            <w:sz w:val="24"/>
            <w:szCs w:val="24"/>
          </w:rPr>
          <w:t>23</w:t>
        </w:r>
        <w:r w:rsidRPr="007648C8">
          <w:rPr>
            <w:rFonts w:ascii="Century Gothic" w:hAnsi="Century Gothic"/>
            <w:webHidden/>
            <w:sz w:val="24"/>
            <w:szCs w:val="24"/>
          </w:rPr>
          <w:fldChar w:fldCharType="end"/>
        </w:r>
      </w:hyperlink>
    </w:p>
    <w:p w14:paraId="31831434" w14:textId="4B6C0AAF" w:rsidR="00DE261F" w:rsidRPr="007648C8" w:rsidRDefault="00DE261F" w:rsidP="00FA36EC">
      <w:pPr>
        <w:pStyle w:val="Tabledesillustrations"/>
        <w:tabs>
          <w:tab w:val="right" w:leader="dot" w:pos="9062"/>
        </w:tabs>
        <w:spacing w:line="240" w:lineRule="auto"/>
        <w:rPr>
          <w:rFonts w:ascii="Century Gothic" w:hAnsi="Century Gothic"/>
          <w:sz w:val="24"/>
          <w:szCs w:val="24"/>
        </w:rPr>
      </w:pPr>
      <w:hyperlink w:anchor="_Toc189305551" w:history="1">
        <w:r w:rsidRPr="007648C8">
          <w:rPr>
            <w:rFonts w:ascii="Century Gothic" w:hAnsi="Century Gothic"/>
            <w:sz w:val="24"/>
            <w:szCs w:val="24"/>
          </w:rPr>
          <w:t>Figure 5</w:t>
        </w:r>
        <w:r w:rsidR="00920350">
          <w:rPr>
            <w:rFonts w:ascii="Century Gothic" w:hAnsi="Century Gothic"/>
            <w:sz w:val="24"/>
            <w:szCs w:val="24"/>
          </w:rPr>
          <w:t xml:space="preserve"> : </w:t>
        </w:r>
        <w:r w:rsidRPr="007648C8">
          <w:rPr>
            <w:rFonts w:ascii="Century Gothic" w:hAnsi="Century Gothic"/>
            <w:sz w:val="24"/>
            <w:szCs w:val="24"/>
          </w:rPr>
          <w:t>Biodiversity Intactness index (source: United Nations Environment Programme World Conservation Monitoring Centre (UNEP-WCMC); Natural History Museum; Commonwealth Scientific and Industrial Research Organisation, Canberra (CSIRO))</w:t>
        </w:r>
        <w:r w:rsidRPr="007648C8">
          <w:rPr>
            <w:rFonts w:ascii="Century Gothic" w:hAnsi="Century Gothic"/>
            <w:webHidden/>
            <w:sz w:val="24"/>
            <w:szCs w:val="24"/>
          </w:rPr>
          <w:tab/>
        </w:r>
        <w:r w:rsidRPr="007648C8">
          <w:rPr>
            <w:rFonts w:ascii="Century Gothic" w:hAnsi="Century Gothic"/>
            <w:webHidden/>
            <w:sz w:val="24"/>
            <w:szCs w:val="24"/>
          </w:rPr>
          <w:fldChar w:fldCharType="begin"/>
        </w:r>
        <w:r w:rsidRPr="007648C8">
          <w:rPr>
            <w:rFonts w:ascii="Century Gothic" w:hAnsi="Century Gothic"/>
            <w:webHidden/>
            <w:sz w:val="24"/>
            <w:szCs w:val="24"/>
          </w:rPr>
          <w:instrText xml:space="preserve"> PAGEREF _Toc189305551 \h </w:instrText>
        </w:r>
        <w:r w:rsidRPr="007648C8">
          <w:rPr>
            <w:rFonts w:ascii="Century Gothic" w:hAnsi="Century Gothic"/>
            <w:webHidden/>
            <w:sz w:val="24"/>
            <w:szCs w:val="24"/>
          </w:rPr>
        </w:r>
        <w:r w:rsidRPr="007648C8">
          <w:rPr>
            <w:rFonts w:ascii="Century Gothic" w:hAnsi="Century Gothic"/>
            <w:webHidden/>
            <w:sz w:val="24"/>
            <w:szCs w:val="24"/>
          </w:rPr>
          <w:fldChar w:fldCharType="separate"/>
        </w:r>
        <w:r w:rsidRPr="007648C8">
          <w:rPr>
            <w:rFonts w:ascii="Century Gothic" w:hAnsi="Century Gothic"/>
            <w:webHidden/>
            <w:sz w:val="24"/>
            <w:szCs w:val="24"/>
          </w:rPr>
          <w:t>24</w:t>
        </w:r>
        <w:r w:rsidRPr="007648C8">
          <w:rPr>
            <w:rFonts w:ascii="Century Gothic" w:hAnsi="Century Gothic"/>
            <w:webHidden/>
            <w:sz w:val="24"/>
            <w:szCs w:val="24"/>
          </w:rPr>
          <w:fldChar w:fldCharType="end"/>
        </w:r>
      </w:hyperlink>
    </w:p>
    <w:p w14:paraId="0CAADDDE" w14:textId="5473052F" w:rsidR="00DE261F" w:rsidRPr="007648C8" w:rsidRDefault="00DE261F" w:rsidP="00FA36EC">
      <w:pPr>
        <w:pStyle w:val="Tabledesillustrations"/>
        <w:tabs>
          <w:tab w:val="right" w:leader="dot" w:pos="9062"/>
        </w:tabs>
        <w:spacing w:line="240" w:lineRule="auto"/>
        <w:rPr>
          <w:rFonts w:ascii="Century Gothic" w:hAnsi="Century Gothic"/>
          <w:sz w:val="24"/>
          <w:szCs w:val="24"/>
        </w:rPr>
      </w:pPr>
      <w:hyperlink w:anchor="_Toc189305552" w:history="1">
        <w:r w:rsidRPr="007648C8">
          <w:rPr>
            <w:rFonts w:ascii="Century Gothic" w:hAnsi="Century Gothic"/>
            <w:sz w:val="24"/>
            <w:szCs w:val="24"/>
          </w:rPr>
          <w:t>Figure 6</w:t>
        </w:r>
        <w:r w:rsidR="00920350">
          <w:rPr>
            <w:rFonts w:ascii="Century Gothic" w:hAnsi="Century Gothic"/>
            <w:sz w:val="24"/>
            <w:szCs w:val="24"/>
          </w:rPr>
          <w:t xml:space="preserve"> : </w:t>
        </w:r>
        <w:r w:rsidRPr="007648C8">
          <w:rPr>
            <w:rFonts w:ascii="Century Gothic" w:hAnsi="Century Gothic"/>
            <w:sz w:val="24"/>
            <w:szCs w:val="24"/>
          </w:rPr>
          <w:t xml:space="preserve"> Enhanced Vegetation Index (source: National Aeronautics and Space Administration (NASA))</w:t>
        </w:r>
        <w:r w:rsidRPr="007648C8">
          <w:rPr>
            <w:rFonts w:ascii="Century Gothic" w:hAnsi="Century Gothic"/>
            <w:webHidden/>
            <w:sz w:val="24"/>
            <w:szCs w:val="24"/>
          </w:rPr>
          <w:tab/>
        </w:r>
        <w:r w:rsidRPr="007648C8">
          <w:rPr>
            <w:rFonts w:ascii="Century Gothic" w:hAnsi="Century Gothic"/>
            <w:webHidden/>
            <w:sz w:val="24"/>
            <w:szCs w:val="24"/>
          </w:rPr>
          <w:fldChar w:fldCharType="begin"/>
        </w:r>
        <w:r w:rsidRPr="007648C8">
          <w:rPr>
            <w:rFonts w:ascii="Century Gothic" w:hAnsi="Century Gothic"/>
            <w:webHidden/>
            <w:sz w:val="24"/>
            <w:szCs w:val="24"/>
          </w:rPr>
          <w:instrText xml:space="preserve"> PAGEREF _Toc189305552 \h </w:instrText>
        </w:r>
        <w:r w:rsidRPr="007648C8">
          <w:rPr>
            <w:rFonts w:ascii="Century Gothic" w:hAnsi="Century Gothic"/>
            <w:webHidden/>
            <w:sz w:val="24"/>
            <w:szCs w:val="24"/>
          </w:rPr>
        </w:r>
        <w:r w:rsidRPr="007648C8">
          <w:rPr>
            <w:rFonts w:ascii="Century Gothic" w:hAnsi="Century Gothic"/>
            <w:webHidden/>
            <w:sz w:val="24"/>
            <w:szCs w:val="24"/>
          </w:rPr>
          <w:fldChar w:fldCharType="separate"/>
        </w:r>
        <w:r w:rsidRPr="007648C8">
          <w:rPr>
            <w:rFonts w:ascii="Century Gothic" w:hAnsi="Century Gothic"/>
            <w:webHidden/>
            <w:sz w:val="24"/>
            <w:szCs w:val="24"/>
          </w:rPr>
          <w:t>25</w:t>
        </w:r>
        <w:r w:rsidRPr="007648C8">
          <w:rPr>
            <w:rFonts w:ascii="Century Gothic" w:hAnsi="Century Gothic"/>
            <w:webHidden/>
            <w:sz w:val="24"/>
            <w:szCs w:val="24"/>
          </w:rPr>
          <w:fldChar w:fldCharType="end"/>
        </w:r>
      </w:hyperlink>
    </w:p>
    <w:p w14:paraId="120E525C" w14:textId="6744D052" w:rsidR="00DE261F" w:rsidRPr="007648C8" w:rsidRDefault="00DE261F" w:rsidP="00FA36EC">
      <w:pPr>
        <w:pStyle w:val="Tabledesillustrations"/>
        <w:tabs>
          <w:tab w:val="right" w:leader="dot" w:pos="9062"/>
        </w:tabs>
        <w:spacing w:line="240" w:lineRule="auto"/>
        <w:rPr>
          <w:rFonts w:ascii="Century Gothic" w:hAnsi="Century Gothic"/>
          <w:sz w:val="24"/>
          <w:szCs w:val="24"/>
        </w:rPr>
      </w:pPr>
      <w:hyperlink w:anchor="_Toc189305553" w:history="1">
        <w:r w:rsidRPr="007648C8">
          <w:rPr>
            <w:rFonts w:ascii="Century Gothic" w:hAnsi="Century Gothic"/>
            <w:sz w:val="24"/>
            <w:szCs w:val="24"/>
          </w:rPr>
          <w:t>Figure 7</w:t>
        </w:r>
        <w:r w:rsidR="00920350">
          <w:rPr>
            <w:rFonts w:ascii="Century Gothic" w:hAnsi="Century Gothic"/>
            <w:sz w:val="24"/>
            <w:szCs w:val="24"/>
          </w:rPr>
          <w:t xml:space="preserve"> : </w:t>
        </w:r>
        <w:r w:rsidRPr="007648C8">
          <w:rPr>
            <w:rFonts w:ascii="Century Gothic" w:hAnsi="Century Gothic"/>
            <w:sz w:val="24"/>
            <w:szCs w:val="24"/>
          </w:rPr>
          <w:t>Monthly fire activity (source: National Aeronautics and Space Administration (NASA))</w:t>
        </w:r>
        <w:r w:rsidRPr="007648C8">
          <w:rPr>
            <w:rFonts w:ascii="Century Gothic" w:hAnsi="Century Gothic"/>
            <w:webHidden/>
            <w:sz w:val="24"/>
            <w:szCs w:val="24"/>
          </w:rPr>
          <w:tab/>
        </w:r>
        <w:r w:rsidRPr="007648C8">
          <w:rPr>
            <w:rFonts w:ascii="Century Gothic" w:hAnsi="Century Gothic"/>
            <w:webHidden/>
            <w:sz w:val="24"/>
            <w:szCs w:val="24"/>
          </w:rPr>
          <w:fldChar w:fldCharType="begin"/>
        </w:r>
        <w:r w:rsidRPr="007648C8">
          <w:rPr>
            <w:rFonts w:ascii="Century Gothic" w:hAnsi="Century Gothic"/>
            <w:webHidden/>
            <w:sz w:val="24"/>
            <w:szCs w:val="24"/>
          </w:rPr>
          <w:instrText xml:space="preserve"> PAGEREF _Toc189305553 \h </w:instrText>
        </w:r>
        <w:r w:rsidRPr="007648C8">
          <w:rPr>
            <w:rFonts w:ascii="Century Gothic" w:hAnsi="Century Gothic"/>
            <w:webHidden/>
            <w:sz w:val="24"/>
            <w:szCs w:val="24"/>
          </w:rPr>
        </w:r>
        <w:r w:rsidRPr="007648C8">
          <w:rPr>
            <w:rFonts w:ascii="Century Gothic" w:hAnsi="Century Gothic"/>
            <w:webHidden/>
            <w:sz w:val="24"/>
            <w:szCs w:val="24"/>
          </w:rPr>
          <w:fldChar w:fldCharType="separate"/>
        </w:r>
        <w:r w:rsidRPr="007648C8">
          <w:rPr>
            <w:rFonts w:ascii="Century Gothic" w:hAnsi="Century Gothic"/>
            <w:webHidden/>
            <w:sz w:val="24"/>
            <w:szCs w:val="24"/>
          </w:rPr>
          <w:t>26</w:t>
        </w:r>
        <w:r w:rsidRPr="007648C8">
          <w:rPr>
            <w:rFonts w:ascii="Century Gothic" w:hAnsi="Century Gothic"/>
            <w:webHidden/>
            <w:sz w:val="24"/>
            <w:szCs w:val="24"/>
          </w:rPr>
          <w:fldChar w:fldCharType="end"/>
        </w:r>
      </w:hyperlink>
    </w:p>
    <w:p w14:paraId="72D91126" w14:textId="62B6F284" w:rsidR="003A3202" w:rsidRDefault="00DE261F" w:rsidP="00A616B6">
      <w:pPr>
        <w:pStyle w:val="Tabledesillustrations"/>
        <w:tabs>
          <w:tab w:val="right" w:leader="dot" w:pos="9062"/>
        </w:tabs>
        <w:spacing w:line="360" w:lineRule="auto"/>
        <w:rPr>
          <w:rFonts w:ascii="Century Gothic" w:hAnsi="Century Gothic"/>
          <w:sz w:val="24"/>
          <w:szCs w:val="24"/>
        </w:rPr>
      </w:pPr>
      <w:r w:rsidRPr="007648C8">
        <w:rPr>
          <w:rFonts w:ascii="Century Gothic" w:hAnsi="Century Gothic"/>
          <w:sz w:val="24"/>
          <w:szCs w:val="24"/>
        </w:rPr>
        <w:fldChar w:fldCharType="end"/>
      </w:r>
    </w:p>
    <w:p w14:paraId="50DDF61D" w14:textId="3523E2C9" w:rsidR="003A3202" w:rsidRPr="00541183" w:rsidRDefault="00000000" w:rsidP="00197515">
      <w:pPr>
        <w:jc w:val="both"/>
        <w:rPr>
          <w:rFonts w:ascii="Century Gothic" w:hAnsi="Century Gothic"/>
        </w:rPr>
      </w:pPr>
      <w:r>
        <w:rPr>
          <w:rFonts w:ascii="Century Gothic" w:hAnsi="Century Gothic"/>
          <w:color w:val="FF0000"/>
        </w:rPr>
        <w:pict w14:anchorId="0EA398A6">
          <v:rect id="_x0000_i1025" style="width:0;height:1.5pt" o:hralign="center" o:hrstd="t" o:hr="t" fillcolor="#a0a0a0" stroked="f"/>
        </w:pict>
      </w:r>
    </w:p>
    <w:p w14:paraId="178D7157" w14:textId="43E15652" w:rsidR="00457729" w:rsidRPr="00F770FC" w:rsidRDefault="00BF1B72" w:rsidP="005625B5">
      <w:pPr>
        <w:pStyle w:val="Titre1"/>
        <w:numPr>
          <w:ilvl w:val="0"/>
          <w:numId w:val="26"/>
        </w:numPr>
        <w:spacing w:before="120" w:after="120"/>
        <w:ind w:left="425" w:hanging="425"/>
        <w:jc w:val="both"/>
        <w:rPr>
          <w:rFonts w:ascii="Century Gothic" w:hAnsi="Century Gothic"/>
          <w:b/>
          <w:bCs/>
          <w:sz w:val="28"/>
          <w:szCs w:val="28"/>
          <w:lang w:val="wo-SN"/>
        </w:rPr>
      </w:pPr>
      <w:bookmarkStart w:id="7" w:name="_Toc189326925"/>
      <w:bookmarkStart w:id="8" w:name="_Toc189375533"/>
      <w:r w:rsidRPr="00F770FC">
        <w:rPr>
          <w:rFonts w:ascii="Century Gothic" w:hAnsi="Century Gothic"/>
          <w:b/>
          <w:bCs/>
          <w:sz w:val="28"/>
          <w:szCs w:val="28"/>
          <w:lang w:val="wo-SN"/>
        </w:rPr>
        <w:t xml:space="preserve">Présentation </w:t>
      </w:r>
      <w:r w:rsidR="00DA41FD" w:rsidRPr="00F770FC">
        <w:rPr>
          <w:rFonts w:ascii="Century Gothic" w:hAnsi="Century Gothic"/>
          <w:b/>
          <w:bCs/>
          <w:sz w:val="28"/>
          <w:szCs w:val="28"/>
          <w:lang w:val="wo-SN"/>
        </w:rPr>
        <w:t xml:space="preserve"> d</w:t>
      </w:r>
      <w:r w:rsidRPr="00F770FC">
        <w:rPr>
          <w:rFonts w:ascii="Century Gothic" w:hAnsi="Century Gothic"/>
          <w:b/>
          <w:bCs/>
          <w:sz w:val="28"/>
          <w:szCs w:val="28"/>
          <w:lang w:val="wo-SN"/>
        </w:rPr>
        <w:t>es</w:t>
      </w:r>
      <w:r w:rsidR="00D85B26" w:rsidRPr="00F770FC">
        <w:rPr>
          <w:rFonts w:ascii="Century Gothic" w:hAnsi="Century Gothic"/>
          <w:b/>
          <w:bCs/>
          <w:sz w:val="28"/>
          <w:szCs w:val="28"/>
          <w:lang w:val="wo-SN"/>
        </w:rPr>
        <w:t xml:space="preserve"> </w:t>
      </w:r>
      <w:r w:rsidRPr="00F770FC">
        <w:rPr>
          <w:rFonts w:ascii="Century Gothic" w:hAnsi="Century Gothic"/>
          <w:b/>
          <w:bCs/>
          <w:sz w:val="28"/>
          <w:szCs w:val="28"/>
          <w:lang w:val="wo-SN"/>
        </w:rPr>
        <w:t>Ecosystèmes marins</w:t>
      </w:r>
      <w:r w:rsidR="0011476E" w:rsidRPr="00F770FC">
        <w:rPr>
          <w:rFonts w:ascii="Century Gothic" w:hAnsi="Century Gothic"/>
          <w:b/>
          <w:bCs/>
          <w:sz w:val="28"/>
          <w:szCs w:val="28"/>
          <w:lang w:val="wo-SN"/>
        </w:rPr>
        <w:t>,</w:t>
      </w:r>
      <w:r w:rsidRPr="00F770FC">
        <w:rPr>
          <w:rFonts w:ascii="Century Gothic" w:hAnsi="Century Gothic"/>
          <w:b/>
          <w:bCs/>
          <w:sz w:val="28"/>
          <w:szCs w:val="28"/>
          <w:lang w:val="wo-SN"/>
        </w:rPr>
        <w:t xml:space="preserve"> Littoral</w:t>
      </w:r>
      <w:r w:rsidR="00C61068" w:rsidRPr="00F770FC">
        <w:rPr>
          <w:rFonts w:ascii="Century Gothic" w:hAnsi="Century Gothic"/>
          <w:b/>
          <w:bCs/>
          <w:sz w:val="28"/>
          <w:szCs w:val="28"/>
          <w:lang w:val="wo-SN"/>
        </w:rPr>
        <w:t xml:space="preserve"> et</w:t>
      </w:r>
      <w:r w:rsidRPr="00F770FC">
        <w:rPr>
          <w:rFonts w:ascii="Century Gothic" w:hAnsi="Century Gothic"/>
          <w:b/>
          <w:bCs/>
          <w:sz w:val="28"/>
          <w:szCs w:val="28"/>
          <w:lang w:val="wo-SN"/>
        </w:rPr>
        <w:t xml:space="preserve"> Aires protégées</w:t>
      </w:r>
      <w:bookmarkEnd w:id="7"/>
      <w:bookmarkEnd w:id="8"/>
    </w:p>
    <w:p w14:paraId="7E582175" w14:textId="77777777" w:rsidR="0012120D" w:rsidRDefault="00457729" w:rsidP="00D85B26">
      <w:pPr>
        <w:jc w:val="both"/>
        <w:rPr>
          <w:rFonts w:ascii="Century Gothic" w:hAnsi="Century Gothic"/>
          <w:lang w:val="wo-SN"/>
        </w:rPr>
      </w:pPr>
      <w:r w:rsidRPr="00910532">
        <w:rPr>
          <w:rFonts w:ascii="Century Gothic" w:hAnsi="Century Gothic"/>
          <w:lang w:val="wo-SN"/>
        </w:rPr>
        <w:t>Le secteur des Écosystèmes marins</w:t>
      </w:r>
      <w:r w:rsidR="0011476E">
        <w:rPr>
          <w:rFonts w:ascii="Century Gothic" w:hAnsi="Century Gothic"/>
          <w:lang w:val="wo-SN"/>
        </w:rPr>
        <w:t>,</w:t>
      </w:r>
      <w:r w:rsidRPr="00910532">
        <w:rPr>
          <w:rFonts w:ascii="Century Gothic" w:hAnsi="Century Gothic"/>
          <w:lang w:val="wo-SN"/>
        </w:rPr>
        <w:t xml:space="preserve"> Littoral, Aires protégées en Mauritanie est d'une importance cruciale tant pour la biodiversité que pour l'économie locale. </w:t>
      </w:r>
    </w:p>
    <w:p w14:paraId="5C98B9A8" w14:textId="62CCEF36" w:rsidR="0012120D" w:rsidRPr="001F2392" w:rsidRDefault="00A616B6" w:rsidP="00D74BFF">
      <w:pPr>
        <w:pStyle w:val="Titre2"/>
        <w:rPr>
          <w:rFonts w:ascii="Century Gothic" w:hAnsi="Century Gothic"/>
        </w:rPr>
      </w:pPr>
      <w:bookmarkStart w:id="9" w:name="_Toc189375534"/>
      <w:r w:rsidRPr="001F2392">
        <w:rPr>
          <w:rFonts w:ascii="Century Gothic" w:hAnsi="Century Gothic"/>
        </w:rPr>
        <w:t>1.1 Les</w:t>
      </w:r>
      <w:r w:rsidR="0012120D" w:rsidRPr="001F2392">
        <w:rPr>
          <w:rFonts w:ascii="Century Gothic" w:hAnsi="Century Gothic"/>
        </w:rPr>
        <w:t xml:space="preserve"> </w:t>
      </w:r>
      <w:r w:rsidRPr="001F2392">
        <w:rPr>
          <w:rFonts w:ascii="Century Gothic" w:hAnsi="Century Gothic"/>
        </w:rPr>
        <w:t>écosystèmes</w:t>
      </w:r>
      <w:r w:rsidR="0012120D" w:rsidRPr="001F2392">
        <w:rPr>
          <w:rFonts w:ascii="Century Gothic" w:hAnsi="Century Gothic"/>
        </w:rPr>
        <w:t xml:space="preserve"> marins et Littora</w:t>
      </w:r>
      <w:bookmarkEnd w:id="9"/>
      <w:r w:rsidR="00D74BFF">
        <w:rPr>
          <w:rFonts w:ascii="Century Gothic" w:hAnsi="Century Gothic"/>
        </w:rPr>
        <w:t>ux</w:t>
      </w:r>
      <w:r w:rsidR="0012120D" w:rsidRPr="001F2392">
        <w:rPr>
          <w:rFonts w:ascii="Century Gothic" w:hAnsi="Century Gothic"/>
        </w:rPr>
        <w:t xml:space="preserve"> </w:t>
      </w:r>
    </w:p>
    <w:p w14:paraId="72319508" w14:textId="6D3CB24B" w:rsidR="00924719" w:rsidRPr="008955AA" w:rsidRDefault="008955AA" w:rsidP="00FA36EC">
      <w:pPr>
        <w:spacing w:after="120" w:line="240" w:lineRule="auto"/>
        <w:jc w:val="both"/>
        <w:rPr>
          <w:rFonts w:ascii="Century Gothic" w:eastAsiaTheme="majorEastAsia" w:hAnsi="Century Gothic" w:cstheme="majorBidi"/>
          <w:color w:val="4472C4" w:themeColor="accent1"/>
          <w:sz w:val="24"/>
          <w:szCs w:val="24"/>
          <w:lang w:val="wo-SN"/>
        </w:rPr>
      </w:pPr>
      <w:r w:rsidRPr="00910532">
        <w:rPr>
          <w:rFonts w:ascii="Century Gothic" w:hAnsi="Century Gothic"/>
          <w:lang w:val="wo-SN"/>
        </w:rPr>
        <w:t>Les eaux mauritaniennes sont caractérisées par une biodiversité marine exceptionnelle, notamment grâce à la présence d'</w:t>
      </w:r>
      <w:r w:rsidR="0091757D">
        <w:rPr>
          <w:rFonts w:ascii="Century Gothic" w:hAnsi="Century Gothic"/>
          <w:lang w:val="wo-SN"/>
        </w:rPr>
        <w:t xml:space="preserve">un </w:t>
      </w:r>
      <w:r w:rsidRPr="00910532">
        <w:rPr>
          <w:rFonts w:ascii="Century Gothic" w:hAnsi="Century Gothic"/>
          <w:lang w:val="wo-SN"/>
        </w:rPr>
        <w:t>upwelling</w:t>
      </w:r>
      <w:r w:rsidR="0091757D">
        <w:rPr>
          <w:rFonts w:ascii="Century Gothic" w:hAnsi="Century Gothic"/>
          <w:lang w:val="wo-SN"/>
        </w:rPr>
        <w:t xml:space="preserve"> permament</w:t>
      </w:r>
      <w:r w:rsidRPr="00910532">
        <w:rPr>
          <w:rFonts w:ascii="Century Gothic" w:hAnsi="Century Gothic"/>
          <w:lang w:val="wo-SN"/>
        </w:rPr>
        <w:t xml:space="preserve"> qui favorisent une productivité primaire élevée. Ces écosystèmes abritent une variété</w:t>
      </w:r>
      <w:r w:rsidR="00954BA0">
        <w:rPr>
          <w:rFonts w:ascii="Century Gothic" w:hAnsi="Century Gothic"/>
          <w:lang w:val="wo-SN"/>
        </w:rPr>
        <w:t xml:space="preserve"> </w:t>
      </w:r>
      <w:r w:rsidRPr="00910532">
        <w:rPr>
          <w:rFonts w:ascii="Century Gothic" w:hAnsi="Century Gothic"/>
          <w:lang w:val="wo-SN"/>
        </w:rPr>
        <w:t>d'espèces, y compris des poissons migrateurs, des crustacés et des mammifères marins comme les dauphins et les baleines</w:t>
      </w:r>
      <w:r w:rsidRPr="00910532">
        <w:rPr>
          <w:rStyle w:val="Appelnotedebasdep"/>
          <w:rFonts w:ascii="Century Gothic" w:hAnsi="Century Gothic"/>
          <w:lang w:val="wo-SN"/>
        </w:rPr>
        <w:footnoteReference w:id="1"/>
      </w:r>
      <w:r>
        <w:rPr>
          <w:rFonts w:ascii="Century Gothic" w:hAnsi="Century Gothic"/>
          <w:lang w:val="wo-SN"/>
        </w:rPr>
        <w:t xml:space="preserve"> </w:t>
      </w:r>
      <w:r w:rsidRPr="00910532">
        <w:rPr>
          <w:rStyle w:val="Appelnotedebasdep"/>
          <w:rFonts w:ascii="Century Gothic" w:hAnsi="Century Gothic"/>
          <w:lang w:val="wo-SN"/>
        </w:rPr>
        <w:footnoteReference w:id="2"/>
      </w:r>
      <w:r w:rsidRPr="00910532">
        <w:rPr>
          <w:rFonts w:ascii="Century Gothic" w:hAnsi="Century Gothic"/>
          <w:lang w:val="wo-SN"/>
        </w:rPr>
        <w:t>.</w:t>
      </w:r>
    </w:p>
    <w:p w14:paraId="4FB2E7AC" w14:textId="530839F2" w:rsidR="0062478D" w:rsidRDefault="0062478D" w:rsidP="00AF432F">
      <w:pPr>
        <w:spacing w:after="0"/>
        <w:jc w:val="both"/>
        <w:rPr>
          <w:rFonts w:ascii="Century Gothic" w:hAnsi="Century Gothic"/>
          <w:lang w:val="wo-SN"/>
        </w:rPr>
      </w:pPr>
      <w:r>
        <w:rPr>
          <w:rFonts w:ascii="Century Gothic" w:hAnsi="Century Gothic"/>
          <w:lang w:val="wo-SN"/>
        </w:rPr>
        <w:t xml:space="preserve">La </w:t>
      </w:r>
      <w:r w:rsidRPr="0059617B">
        <w:rPr>
          <w:rFonts w:ascii="Century Gothic" w:hAnsi="Century Gothic"/>
          <w:lang w:val="wo-SN"/>
        </w:rPr>
        <w:t>zone économique exclusive</w:t>
      </w:r>
      <w:r>
        <w:rPr>
          <w:rFonts w:ascii="Century Gothic" w:hAnsi="Century Gothic"/>
          <w:lang w:val="wo-SN"/>
        </w:rPr>
        <w:t xml:space="preserve"> mauritanienne</w:t>
      </w:r>
      <w:r w:rsidRPr="0059617B">
        <w:rPr>
          <w:rFonts w:ascii="Century Gothic" w:hAnsi="Century Gothic"/>
          <w:lang w:val="wo-SN"/>
        </w:rPr>
        <w:t xml:space="preserve"> (ZEE</w:t>
      </w:r>
      <w:r>
        <w:rPr>
          <w:rFonts w:ascii="Century Gothic" w:hAnsi="Century Gothic"/>
          <w:lang w:val="wo-SN"/>
        </w:rPr>
        <w:t>M</w:t>
      </w:r>
      <w:r w:rsidRPr="0059617B">
        <w:rPr>
          <w:rFonts w:ascii="Century Gothic" w:hAnsi="Century Gothic"/>
          <w:lang w:val="wo-SN"/>
        </w:rPr>
        <w:t xml:space="preserve">) </w:t>
      </w:r>
      <w:r>
        <w:rPr>
          <w:rFonts w:ascii="Century Gothic" w:hAnsi="Century Gothic"/>
          <w:lang w:val="wo-SN"/>
        </w:rPr>
        <w:t xml:space="preserve">couvre une superficie </w:t>
      </w:r>
      <w:r w:rsidRPr="0059617B">
        <w:rPr>
          <w:rFonts w:ascii="Century Gothic" w:hAnsi="Century Gothic"/>
          <w:lang w:val="wo-SN"/>
        </w:rPr>
        <w:t xml:space="preserve">de plus de 200 000 km². </w:t>
      </w:r>
      <w:r w:rsidR="00AF37C4">
        <w:rPr>
          <w:rFonts w:ascii="Century Gothic" w:hAnsi="Century Gothic"/>
          <w:lang w:val="wo-SN"/>
        </w:rPr>
        <w:t xml:space="preserve">Elle </w:t>
      </w:r>
      <w:r w:rsidRPr="0059617B">
        <w:rPr>
          <w:rFonts w:ascii="Century Gothic" w:hAnsi="Century Gothic"/>
          <w:lang w:val="wo-SN"/>
        </w:rPr>
        <w:t xml:space="preserve">présente un degré important de biodiversité, </w:t>
      </w:r>
      <w:r w:rsidRPr="00910532">
        <w:rPr>
          <w:rFonts w:ascii="Century Gothic" w:hAnsi="Century Gothic"/>
          <w:lang w:val="wo-SN"/>
        </w:rPr>
        <w:t xml:space="preserve">englobant des habitats critiques tels que </w:t>
      </w:r>
      <w:r w:rsidR="0091757D">
        <w:rPr>
          <w:rFonts w:ascii="Century Gothic" w:hAnsi="Century Gothic"/>
          <w:lang w:val="wo-SN"/>
        </w:rPr>
        <w:t>la plus importante barriè</w:t>
      </w:r>
      <w:r>
        <w:rPr>
          <w:rFonts w:ascii="Century Gothic" w:hAnsi="Century Gothic"/>
          <w:lang w:val="wo-SN"/>
        </w:rPr>
        <w:t xml:space="preserve">re coralienne de </w:t>
      </w:r>
      <w:r w:rsidR="0091757D">
        <w:rPr>
          <w:rFonts w:ascii="Century Gothic" w:hAnsi="Century Gothic"/>
          <w:lang w:val="wo-SN"/>
        </w:rPr>
        <w:t xml:space="preserve">la côte est de l’Atlantique qui longe la côte mauritanienne sur </w:t>
      </w:r>
      <w:r>
        <w:rPr>
          <w:rFonts w:ascii="Century Gothic" w:hAnsi="Century Gothic"/>
          <w:lang w:val="wo-SN"/>
        </w:rPr>
        <w:t xml:space="preserve">450 km de long, </w:t>
      </w:r>
      <w:r w:rsidRPr="00910532">
        <w:rPr>
          <w:rFonts w:ascii="Century Gothic" w:hAnsi="Century Gothic"/>
          <w:lang w:val="wo-SN"/>
        </w:rPr>
        <w:t>les herbiers marins, les mangroves</w:t>
      </w:r>
      <w:r w:rsidR="00CD4A92">
        <w:rPr>
          <w:rFonts w:ascii="Century Gothic" w:hAnsi="Century Gothic"/>
          <w:lang w:val="wo-SN"/>
        </w:rPr>
        <w:t>,</w:t>
      </w:r>
      <w:r w:rsidRPr="00910532">
        <w:rPr>
          <w:rFonts w:ascii="Century Gothic" w:hAnsi="Century Gothic"/>
          <w:lang w:val="wo-SN"/>
        </w:rPr>
        <w:t xml:space="preserve"> </w:t>
      </w:r>
      <w:r w:rsidR="00CD4A92">
        <w:rPr>
          <w:rFonts w:ascii="Century Gothic" w:hAnsi="Century Gothic"/>
          <w:lang w:val="wo-SN"/>
        </w:rPr>
        <w:t>les canyons, les monts sous-</w:t>
      </w:r>
      <w:r w:rsidR="0091757D">
        <w:rPr>
          <w:rFonts w:ascii="Century Gothic" w:hAnsi="Century Gothic"/>
          <w:lang w:val="wo-SN"/>
        </w:rPr>
        <w:t xml:space="preserve">marins </w:t>
      </w:r>
      <w:r w:rsidRPr="00910532">
        <w:rPr>
          <w:rFonts w:ascii="Century Gothic" w:hAnsi="Century Gothic"/>
          <w:lang w:val="wo-SN"/>
        </w:rPr>
        <w:t>et les estuaires, qui jouent un rôle</w:t>
      </w:r>
      <w:r w:rsidR="00AF432F">
        <w:rPr>
          <w:rFonts w:ascii="Century Gothic" w:hAnsi="Century Gothic"/>
          <w:lang w:val="wo-SN"/>
        </w:rPr>
        <w:t xml:space="preserve"> </w:t>
      </w:r>
      <w:r w:rsidRPr="00910532">
        <w:rPr>
          <w:rFonts w:ascii="Century Gothic" w:hAnsi="Century Gothic"/>
          <w:lang w:val="wo-SN"/>
        </w:rPr>
        <w:t xml:space="preserve">essentiel dans la protection du littoral et le soutien </w:t>
      </w:r>
      <w:r w:rsidR="0091757D">
        <w:rPr>
          <w:rFonts w:ascii="Century Gothic" w:hAnsi="Century Gothic"/>
          <w:lang w:val="wo-SN"/>
        </w:rPr>
        <w:t xml:space="preserve">à la productivité </w:t>
      </w:r>
      <w:r w:rsidRPr="00910532">
        <w:rPr>
          <w:rFonts w:ascii="Century Gothic" w:hAnsi="Century Gothic"/>
          <w:lang w:val="wo-SN"/>
        </w:rPr>
        <w:t>des ressources halieutiques</w:t>
      </w:r>
      <w:r w:rsidRPr="00910532">
        <w:rPr>
          <w:rStyle w:val="Appelnotedebasdep"/>
          <w:rFonts w:ascii="Century Gothic" w:hAnsi="Century Gothic"/>
          <w:lang w:val="wo-SN"/>
        </w:rPr>
        <w:footnoteReference w:id="3"/>
      </w:r>
      <w:r>
        <w:rPr>
          <w:rFonts w:ascii="Century Gothic" w:hAnsi="Century Gothic"/>
          <w:lang w:val="wo-SN"/>
        </w:rPr>
        <w:t xml:space="preserve"> </w:t>
      </w:r>
      <w:r w:rsidRPr="00910532">
        <w:rPr>
          <w:rStyle w:val="Appelnotedebasdep"/>
          <w:rFonts w:ascii="Century Gothic" w:hAnsi="Century Gothic"/>
          <w:lang w:val="wo-SN"/>
        </w:rPr>
        <w:footnoteReference w:id="4"/>
      </w:r>
      <w:r w:rsidRPr="00910532">
        <w:rPr>
          <w:rFonts w:ascii="Century Gothic" w:hAnsi="Century Gothic"/>
          <w:lang w:val="wo-SN"/>
        </w:rPr>
        <w:t>.</w:t>
      </w:r>
      <w:r>
        <w:rPr>
          <w:rFonts w:ascii="Century Gothic" w:eastAsiaTheme="majorEastAsia" w:hAnsi="Century Gothic" w:cstheme="majorBidi"/>
          <w:color w:val="4472C4" w:themeColor="accent1"/>
          <w:sz w:val="24"/>
          <w:szCs w:val="24"/>
          <w:lang w:val="wo-SN"/>
        </w:rPr>
        <w:t xml:space="preserve"> </w:t>
      </w:r>
    </w:p>
    <w:p w14:paraId="2DA2DDC1" w14:textId="39D88F41" w:rsidR="00BC68A5" w:rsidRDefault="00AF37C4" w:rsidP="008E5269">
      <w:pPr>
        <w:jc w:val="both"/>
        <w:rPr>
          <w:rFonts w:ascii="Century Gothic" w:hAnsi="Century Gothic"/>
          <w:lang w:val="wo-SN"/>
        </w:rPr>
      </w:pPr>
      <w:r>
        <w:rPr>
          <w:rFonts w:ascii="Century Gothic" w:hAnsi="Century Gothic"/>
          <w:lang w:val="wo-SN"/>
        </w:rPr>
        <w:t>Les 754 kilomètres de côte</w:t>
      </w:r>
      <w:r w:rsidR="008547D1">
        <w:rPr>
          <w:rFonts w:ascii="Century Gothic" w:hAnsi="Century Gothic"/>
          <w:lang w:val="wo-SN"/>
        </w:rPr>
        <w:t xml:space="preserve"> qui</w:t>
      </w:r>
      <w:r>
        <w:rPr>
          <w:rFonts w:ascii="Century Gothic" w:hAnsi="Century Gothic"/>
          <w:lang w:val="wo-SN"/>
        </w:rPr>
        <w:t xml:space="preserve"> s’</w:t>
      </w:r>
      <w:r w:rsidR="008547D1">
        <w:rPr>
          <w:rFonts w:ascii="Century Gothic" w:hAnsi="Century Gothic"/>
          <w:lang w:val="wo-SN"/>
        </w:rPr>
        <w:t>ouvrent</w:t>
      </w:r>
      <w:r>
        <w:rPr>
          <w:rFonts w:ascii="Century Gothic" w:hAnsi="Century Gothic"/>
          <w:lang w:val="wo-SN"/>
        </w:rPr>
        <w:t xml:space="preserve"> sur l'océan Atlantique</w:t>
      </w:r>
      <w:r w:rsidR="008547D1">
        <w:rPr>
          <w:rFonts w:ascii="Century Gothic" w:hAnsi="Century Gothic"/>
          <w:lang w:val="wo-SN"/>
        </w:rPr>
        <w:t xml:space="preserve"> allant de l</w:t>
      </w:r>
      <w:r w:rsidR="008547D1" w:rsidRPr="0059617B">
        <w:rPr>
          <w:rFonts w:ascii="Century Gothic" w:hAnsi="Century Gothic"/>
          <w:lang w:val="wo-SN"/>
        </w:rPr>
        <w:t>a région</w:t>
      </w:r>
      <w:r w:rsidR="008547D1">
        <w:rPr>
          <w:rFonts w:ascii="Century Gothic" w:hAnsi="Century Gothic"/>
          <w:lang w:val="wo-SN"/>
        </w:rPr>
        <w:t xml:space="preserve"> </w:t>
      </w:r>
      <w:r w:rsidR="008547D1" w:rsidRPr="00924719">
        <w:rPr>
          <w:rFonts w:ascii="Century Gothic" w:hAnsi="Century Gothic"/>
          <w:lang w:val="wo-SN"/>
        </w:rPr>
        <w:t xml:space="preserve">du Cap Blanc </w:t>
      </w:r>
      <w:r w:rsidR="008547D1">
        <w:rPr>
          <w:rFonts w:ascii="Century Gothic" w:hAnsi="Century Gothic"/>
          <w:lang w:val="wo-SN"/>
        </w:rPr>
        <w:t>au</w:t>
      </w:r>
      <w:r w:rsidR="008547D1" w:rsidRPr="00924719">
        <w:rPr>
          <w:rFonts w:ascii="Century Gothic" w:hAnsi="Century Gothic"/>
          <w:lang w:val="wo-SN"/>
        </w:rPr>
        <w:t xml:space="preserve"> nord à l'estuaire du fleuve Sénégal </w:t>
      </w:r>
      <w:r w:rsidR="008547D1">
        <w:rPr>
          <w:rFonts w:ascii="Century Gothic" w:hAnsi="Century Gothic"/>
          <w:lang w:val="wo-SN"/>
        </w:rPr>
        <w:t xml:space="preserve">au </w:t>
      </w:r>
      <w:r w:rsidR="008547D1" w:rsidRPr="00924719">
        <w:rPr>
          <w:rFonts w:ascii="Century Gothic" w:hAnsi="Century Gothic"/>
          <w:lang w:val="wo-SN"/>
        </w:rPr>
        <w:t>sud</w:t>
      </w:r>
      <w:r w:rsidR="0059617B" w:rsidRPr="0092397B">
        <w:rPr>
          <w:rFonts w:ascii="Century Gothic" w:hAnsi="Century Gothic"/>
          <w:lang w:val="wo-SN"/>
        </w:rPr>
        <w:t xml:space="preserve"> </w:t>
      </w:r>
      <w:r>
        <w:rPr>
          <w:rFonts w:ascii="Century Gothic" w:hAnsi="Century Gothic"/>
          <w:lang w:val="wo-SN"/>
        </w:rPr>
        <w:t>sont</w:t>
      </w:r>
      <w:r w:rsidR="0059617B" w:rsidRPr="0092397B">
        <w:rPr>
          <w:rFonts w:ascii="Century Gothic" w:hAnsi="Century Gothic"/>
          <w:lang w:val="wo-SN"/>
        </w:rPr>
        <w:t xml:space="preserve"> </w:t>
      </w:r>
      <w:r w:rsidR="008E5269">
        <w:rPr>
          <w:rFonts w:ascii="Century Gothic" w:hAnsi="Century Gothic"/>
          <w:lang w:val="wo-SN"/>
        </w:rPr>
        <w:t xml:space="preserve">quand à elle </w:t>
      </w:r>
      <w:r w:rsidR="0059617B" w:rsidRPr="0092397B">
        <w:rPr>
          <w:rFonts w:ascii="Century Gothic" w:hAnsi="Century Gothic"/>
          <w:lang w:val="wo-SN"/>
        </w:rPr>
        <w:t>caractéris</w:t>
      </w:r>
      <w:r>
        <w:rPr>
          <w:rFonts w:ascii="Century Gothic" w:hAnsi="Century Gothic"/>
          <w:lang w:val="wo-SN"/>
        </w:rPr>
        <w:t>é</w:t>
      </w:r>
      <w:r w:rsidR="0059617B" w:rsidRPr="0092397B">
        <w:rPr>
          <w:rFonts w:ascii="Century Gothic" w:hAnsi="Century Gothic"/>
          <w:lang w:val="wo-SN"/>
        </w:rPr>
        <w:t>e</w:t>
      </w:r>
      <w:r>
        <w:rPr>
          <w:rFonts w:ascii="Century Gothic" w:hAnsi="Century Gothic"/>
          <w:lang w:val="wo-SN"/>
        </w:rPr>
        <w:t>s</w:t>
      </w:r>
      <w:r w:rsidR="0059617B" w:rsidRPr="0092397B">
        <w:rPr>
          <w:rFonts w:ascii="Century Gothic" w:hAnsi="Century Gothic"/>
          <w:lang w:val="wo-SN"/>
        </w:rPr>
        <w:t xml:space="preserve"> par une richesse exceptionnelle due à sa position géographique unique, à la croisée des zones tropicales et subtropicales. La région nord, à partir du Cap Timiris, représente un écotone, une zone de transition qui abrite une grande diversité d'espèces fauniques et floristiques appartenant à ces deux grands biomes océaniques</w:t>
      </w:r>
      <w:r w:rsidR="00ED66A8">
        <w:rPr>
          <w:rFonts w:ascii="Century Gothic" w:hAnsi="Century Gothic"/>
          <w:lang w:val="wo-SN"/>
        </w:rPr>
        <w:t xml:space="preserve"> (SNB, 2022-2030)</w:t>
      </w:r>
      <w:r w:rsidR="0059617B" w:rsidRPr="0092397B">
        <w:rPr>
          <w:rFonts w:ascii="Century Gothic" w:hAnsi="Century Gothic"/>
          <w:lang w:val="wo-SN"/>
        </w:rPr>
        <w:t>.</w:t>
      </w:r>
    </w:p>
    <w:p w14:paraId="6B01D05E" w14:textId="0FEAAA54" w:rsidR="00D74BFF" w:rsidRDefault="007F2048" w:rsidP="00D74BFF">
      <w:pPr>
        <w:jc w:val="both"/>
        <w:rPr>
          <w:rFonts w:ascii="Century Gothic" w:hAnsi="Century Gothic"/>
          <w:lang w:val="wo-SN"/>
        </w:rPr>
      </w:pPr>
      <w:r>
        <w:rPr>
          <w:rFonts w:ascii="Century Gothic" w:hAnsi="Century Gothic"/>
          <w:lang w:val="wo-SN"/>
        </w:rPr>
        <w:t xml:space="preserve">                </w:t>
      </w:r>
      <w:r w:rsidR="00D74BFF">
        <w:rPr>
          <w:rFonts w:ascii="Century Gothic" w:hAnsi="Century Gothic"/>
          <w:noProof/>
          <w:lang w:eastAsia="fr-FR"/>
        </w:rPr>
        <mc:AlternateContent>
          <mc:Choice Requires="wpg">
            <w:drawing>
              <wp:inline distT="0" distB="0" distL="0" distR="0" wp14:anchorId="706E4BC9" wp14:editId="69E75F39">
                <wp:extent cx="4876165" cy="5803900"/>
                <wp:effectExtent l="0" t="0" r="635" b="6350"/>
                <wp:docPr id="36" name="Group 36"/>
                <wp:cNvGraphicFramePr/>
                <a:graphic xmlns:a="http://schemas.openxmlformats.org/drawingml/2006/main">
                  <a:graphicData uri="http://schemas.microsoft.com/office/word/2010/wordprocessingGroup">
                    <wpg:wgp>
                      <wpg:cNvGrpSpPr/>
                      <wpg:grpSpPr>
                        <a:xfrm>
                          <a:off x="0" y="0"/>
                          <a:ext cx="4876165" cy="5803900"/>
                          <a:chOff x="0" y="0"/>
                          <a:chExt cx="4876165" cy="6762750"/>
                        </a:xfrm>
                      </wpg:grpSpPr>
                      <pic:pic xmlns:pic="http://schemas.openxmlformats.org/drawingml/2006/picture">
                        <pic:nvPicPr>
                          <pic:cNvPr id="34" name="Picture 7"/>
                          <pic:cNvPicPr/>
                        </pic:nvPicPr>
                        <pic:blipFill>
                          <a:blip r:embed="rId137"/>
                          <a:stretch>
                            <a:fillRect/>
                          </a:stretch>
                        </pic:blipFill>
                        <pic:spPr>
                          <a:xfrm>
                            <a:off x="0" y="0"/>
                            <a:ext cx="4876165" cy="6762750"/>
                          </a:xfrm>
                          <a:prstGeom prst="rect">
                            <a:avLst/>
                          </a:prstGeom>
                        </pic:spPr>
                      </pic:pic>
                      <pic:pic xmlns:pic="http://schemas.openxmlformats.org/drawingml/2006/picture">
                        <pic:nvPicPr>
                          <pic:cNvPr id="35" name="Picture 10"/>
                          <pic:cNvPicPr/>
                        </pic:nvPicPr>
                        <pic:blipFill rotWithShape="1">
                          <a:blip r:embed="rId138">
                            <a:extLst>
                              <a:ext uri="{28A0092B-C50C-407E-A947-70E740481C1C}">
                                <a14:useLocalDpi xmlns:a14="http://schemas.microsoft.com/office/drawing/2010/main" val="0"/>
                              </a:ext>
                            </a:extLst>
                          </a:blip>
                          <a:srcRect l="62947" t="26093" b="11173"/>
                          <a:stretch/>
                        </pic:blipFill>
                        <pic:spPr bwMode="auto">
                          <a:xfrm>
                            <a:off x="133350" y="66675"/>
                            <a:ext cx="1673860" cy="206438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33CF0697" id="Group 36" o:spid="_x0000_s1026" style="width:383.95pt;height:457pt;mso-position-horizontal-relative:char;mso-position-vertical-relative:line" coordsize="48761,67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">
                <v:shape id="Picture 7" o:spid="_x0000_s1027" type="#_x0000_t75" style="position:absolute;width:48761;height:67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">
                  <v:imagedata r:id="rId139" o:title=""/>
                </v:shape>
                <v:shape id="Picture 10" o:spid="_x0000_s1028" type="#_x0000_t75" style="position:absolute;left:1333;top:666;width:16739;height:20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">
                  <v:imagedata r:id="rId140" o:title="" croptop="17100f" cropbottom="7322f" cropleft="41253f"/>
                </v:shape>
                <w10:anchorlock/>
              </v:group>
            </w:pict>
          </mc:Fallback>
        </mc:AlternateContent>
      </w:r>
    </w:p>
    <w:p w14:paraId="389502ED" w14:textId="77777777" w:rsidR="007F2048" w:rsidRPr="004E70A4" w:rsidRDefault="007F2048" w:rsidP="00D74BFF">
      <w:pPr>
        <w:jc w:val="both"/>
        <w:rPr>
          <w:rFonts w:ascii="Century Gothic" w:hAnsi="Century Gothic"/>
          <w:sz w:val="2"/>
          <w:szCs w:val="2"/>
          <w:lang w:val="wo-SN"/>
        </w:rPr>
      </w:pPr>
    </w:p>
    <w:p w14:paraId="7137E2E9" w14:textId="23FD2B53" w:rsidR="003A3202" w:rsidRPr="001F2392" w:rsidRDefault="00A616B6" w:rsidP="001F2392">
      <w:pPr>
        <w:pStyle w:val="Titre2"/>
        <w:rPr>
          <w:rFonts w:ascii="Century Gothic" w:hAnsi="Century Gothic"/>
        </w:rPr>
      </w:pPr>
      <w:bookmarkStart w:id="10" w:name="_Toc189375535"/>
      <w:r>
        <w:rPr>
          <w:rFonts w:ascii="Century Gothic" w:hAnsi="Century Gothic"/>
        </w:rPr>
        <w:t>1</w:t>
      </w:r>
      <w:r w:rsidRPr="001F2392">
        <w:rPr>
          <w:rFonts w:ascii="Century Gothic" w:hAnsi="Century Gothic"/>
        </w:rPr>
        <w:t>.2 Aires</w:t>
      </w:r>
      <w:r w:rsidR="003A3202" w:rsidRPr="001F2392">
        <w:rPr>
          <w:rFonts w:ascii="Century Gothic" w:hAnsi="Century Gothic"/>
        </w:rPr>
        <w:t xml:space="preserve"> Protégées</w:t>
      </w:r>
      <w:bookmarkEnd w:id="10"/>
    </w:p>
    <w:p w14:paraId="52658ADA" w14:textId="2B1989D1" w:rsidR="0012120D" w:rsidRPr="00C61068" w:rsidRDefault="0012120D" w:rsidP="00D74BFF">
      <w:pPr>
        <w:jc w:val="both"/>
        <w:rPr>
          <w:rFonts w:ascii="Century Gothic" w:eastAsia="Times New Roman" w:hAnsi="Century Gothic" w:cs="Arial"/>
          <w:color w:val="101010"/>
          <w:lang w:val="wo-SN" w:eastAsia="wo-SN"/>
        </w:rPr>
      </w:pPr>
      <w:r w:rsidRPr="00C61068">
        <w:rPr>
          <w:rFonts w:ascii="Century Gothic" w:eastAsia="Times New Roman" w:hAnsi="Century Gothic" w:cs="Arial"/>
          <w:color w:val="101010"/>
          <w:lang w:val="wo-SN" w:eastAsia="wo-SN"/>
        </w:rPr>
        <w:t>C’est au cours de la seconde partie du</w:t>
      </w:r>
      <w:r w:rsidR="00D74BFF">
        <w:rPr>
          <w:rFonts w:ascii="Century Gothic" w:eastAsia="Times New Roman" w:hAnsi="Century Gothic" w:cs="Arial"/>
          <w:color w:val="101010"/>
          <w:lang w:val="wo-SN" w:eastAsia="wo-SN"/>
        </w:rPr>
        <w:t xml:space="preserve"> XXe siècle que le nombre et la superficie</w:t>
      </w:r>
      <w:r w:rsidRPr="00C61068">
        <w:rPr>
          <w:rFonts w:ascii="Century Gothic" w:eastAsia="Times New Roman" w:hAnsi="Century Gothic" w:cs="Arial"/>
          <w:color w:val="101010"/>
          <w:lang w:val="wo-SN" w:eastAsia="wo-SN"/>
        </w:rPr>
        <w:t xml:space="preserve"> des aires protégées ont augmenté de manière significative, afin de répondre aux pressions croissantes sur les ressources naturelles, les écosystèmes et les paysages.</w:t>
      </w:r>
    </w:p>
    <w:p w14:paraId="566205F4" w14:textId="63AD2C9A" w:rsidR="00CE4305" w:rsidRDefault="0012120D" w:rsidP="0012120D">
      <w:pPr>
        <w:pStyle w:val="NormalWeb"/>
        <w:shd w:val="clear" w:color="auto" w:fill="FFFFFF"/>
        <w:jc w:val="both"/>
        <w:rPr>
          <w:rFonts w:ascii="Century Gothic" w:hAnsi="Century Gothic" w:cs="Arial"/>
          <w:color w:val="101010"/>
          <w:sz w:val="22"/>
          <w:szCs w:val="22"/>
        </w:rPr>
      </w:pPr>
      <w:r w:rsidRPr="00DB2F0F">
        <w:rPr>
          <w:rFonts w:ascii="Century Gothic" w:hAnsi="Century Gothic" w:cs="Arial"/>
          <w:color w:val="101010"/>
          <w:sz w:val="22"/>
          <w:szCs w:val="22"/>
        </w:rPr>
        <w:t>Aujourd’hui, il existe plus de </w:t>
      </w:r>
      <w:r>
        <w:fldChar w:fldCharType="begin"/>
      </w:r>
      <w:r>
        <w:instrText>HYPERLINK "https://www.protectedplanet.net/en" \t "_blank"</w:instrText>
      </w:r>
      <w:r>
        <w:fldChar w:fldCharType="separate"/>
      </w:r>
      <w:r w:rsidRPr="00DB2F0F">
        <w:rPr>
          <w:rStyle w:val="Lienhypertexte"/>
          <w:rFonts w:ascii="Century Gothic" w:hAnsi="Century Gothic" w:cs="Arial"/>
          <w:b/>
          <w:bCs/>
          <w:sz w:val="22"/>
          <w:szCs w:val="22"/>
        </w:rPr>
        <w:t>265 000 aires protégées</w:t>
      </w:r>
      <w:r>
        <w:fldChar w:fldCharType="end"/>
      </w:r>
      <w:r w:rsidRPr="00DB2F0F">
        <w:rPr>
          <w:rFonts w:ascii="Century Gothic" w:hAnsi="Century Gothic" w:cs="Arial"/>
          <w:color w:val="101010"/>
          <w:sz w:val="22"/>
          <w:szCs w:val="22"/>
        </w:rPr>
        <w:t> établies ou proposées de par le monde, couvrant 15,7 % des terres et 7,7 % des mers.</w:t>
      </w:r>
      <w:r w:rsidR="00CE4305" w:rsidRPr="00CE4305">
        <w:rPr>
          <w:rFonts w:ascii="Century Gothic" w:hAnsi="Century Gothic" w:cs="Arial"/>
          <w:noProof/>
          <w:color w:val="101010"/>
          <w:sz w:val="22"/>
          <w:szCs w:val="22"/>
          <w:lang w:val="fr-FR" w:eastAsia="fr-FR"/>
        </w:rPr>
        <w:t xml:space="preserve"> </w:t>
      </w:r>
      <w:r w:rsidR="00CE4305" w:rsidRPr="00DB2F0F">
        <w:rPr>
          <w:rFonts w:ascii="Century Gothic" w:hAnsi="Century Gothic" w:cs="Arial"/>
          <w:noProof/>
          <w:color w:val="101010"/>
          <w:sz w:val="22"/>
          <w:szCs w:val="22"/>
          <w:lang w:val="fr-FR" w:eastAsia="fr-FR"/>
        </w:rPr>
        <w:drawing>
          <wp:inline distT="0" distB="0" distL="0" distR="0" wp14:anchorId="4AC012E3" wp14:editId="730C1494">
            <wp:extent cx="5760720" cy="1335405"/>
            <wp:effectExtent l="0" t="0" r="0" b="0"/>
            <wp:docPr id="1725525542" name="Image 172552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760720" cy="1335405"/>
                    </a:xfrm>
                    <a:prstGeom prst="rect">
                      <a:avLst/>
                    </a:prstGeom>
                  </pic:spPr>
                </pic:pic>
              </a:graphicData>
            </a:graphic>
          </wp:inline>
        </w:drawing>
      </w:r>
    </w:p>
    <w:p w14:paraId="5A8BA968" w14:textId="5585D4B2" w:rsidR="0012120D" w:rsidRDefault="0012120D" w:rsidP="0012120D">
      <w:pPr>
        <w:pStyle w:val="NormalWeb"/>
        <w:shd w:val="clear" w:color="auto" w:fill="FFFFFF"/>
        <w:jc w:val="both"/>
        <w:rPr>
          <w:rFonts w:ascii="Century Gothic" w:hAnsi="Century Gothic" w:cs="Arial"/>
          <w:color w:val="101010"/>
          <w:sz w:val="22"/>
          <w:szCs w:val="22"/>
        </w:rPr>
      </w:pPr>
      <w:r w:rsidRPr="00DB2F0F">
        <w:rPr>
          <w:rFonts w:ascii="Century Gothic" w:hAnsi="Century Gothic" w:cs="Arial"/>
          <w:color w:val="101010"/>
          <w:sz w:val="22"/>
          <w:szCs w:val="22"/>
        </w:rPr>
        <w:t xml:space="preserve"> </w:t>
      </w:r>
      <w:r w:rsidRPr="00DB2F0F">
        <w:rPr>
          <w:rFonts w:ascii="Century Gothic" w:hAnsi="Century Gothic"/>
          <w:noProof/>
          <w:sz w:val="22"/>
          <w:szCs w:val="22"/>
          <w:lang w:val="fr-FR" w:eastAsia="fr-FR"/>
        </w:rPr>
        <w:drawing>
          <wp:inline distT="0" distB="0" distL="0" distR="0" wp14:anchorId="26E62067" wp14:editId="32F13670">
            <wp:extent cx="5716270" cy="33432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723898" cy="3347736"/>
                    </a:xfrm>
                    <a:prstGeom prst="rect">
                      <a:avLst/>
                    </a:prstGeom>
                    <a:noFill/>
                    <a:ln>
                      <a:noFill/>
                    </a:ln>
                  </pic:spPr>
                </pic:pic>
              </a:graphicData>
            </a:graphic>
          </wp:inline>
        </w:drawing>
      </w:r>
    </w:p>
    <w:p w14:paraId="2FFE85F3" w14:textId="766B8731" w:rsidR="0012120D" w:rsidRPr="0012120D" w:rsidRDefault="0012120D" w:rsidP="0012120D">
      <w:pPr>
        <w:pStyle w:val="NormalWeb"/>
        <w:shd w:val="clear" w:color="auto" w:fill="FFFFFF"/>
        <w:jc w:val="both"/>
        <w:rPr>
          <w:rFonts w:ascii="Century Gothic" w:hAnsi="Century Gothic" w:cs="Arial"/>
          <w:color w:val="101010"/>
          <w:sz w:val="22"/>
          <w:szCs w:val="22"/>
        </w:rPr>
      </w:pPr>
      <w:r w:rsidRPr="00DB2F0F">
        <w:rPr>
          <w:rFonts w:ascii="Century Gothic" w:hAnsi="Century Gothic" w:cs="Arial"/>
          <w:color w:val="101010"/>
          <w:sz w:val="22"/>
          <w:szCs w:val="22"/>
        </w:rPr>
        <w:t>La carte ci-dessous présente la répartition des aires protégées au niveau mondial. Cette répartition évolue constamment à mesure que les pays créent de nouvelles aires protégées. Actuellement plus de 22,5 millions de km</w:t>
      </w:r>
      <w:r w:rsidRPr="00DB2F0F">
        <w:rPr>
          <w:rFonts w:ascii="Century Gothic" w:hAnsi="Century Gothic" w:cs="Arial"/>
          <w:color w:val="101010"/>
          <w:sz w:val="22"/>
          <w:szCs w:val="22"/>
          <w:vertAlign w:val="superscript"/>
        </w:rPr>
        <w:t>2</w:t>
      </w:r>
      <w:r w:rsidRPr="00DB2F0F">
        <w:rPr>
          <w:rFonts w:ascii="Century Gothic" w:hAnsi="Century Gothic" w:cs="Arial"/>
          <w:color w:val="101010"/>
          <w:sz w:val="22"/>
          <w:szCs w:val="22"/>
        </w:rPr>
        <w:t> sur terre et 28,1 millions de km</w:t>
      </w:r>
      <w:r w:rsidRPr="00DB2F0F">
        <w:rPr>
          <w:rFonts w:ascii="Century Gothic" w:hAnsi="Century Gothic" w:cs="Arial"/>
          <w:color w:val="101010"/>
          <w:sz w:val="22"/>
          <w:szCs w:val="22"/>
          <w:vertAlign w:val="superscript"/>
        </w:rPr>
        <w:t>2</w:t>
      </w:r>
      <w:r w:rsidRPr="00DB2F0F">
        <w:rPr>
          <w:rFonts w:ascii="Century Gothic" w:hAnsi="Century Gothic" w:cs="Arial"/>
          <w:color w:val="101010"/>
          <w:sz w:val="22"/>
          <w:szCs w:val="22"/>
        </w:rPr>
        <w:t> en milieux marins et côtiers sont aujourd’hui protégés. Des informations détaillées sur chaque aire protégée sont </w:t>
      </w:r>
      <w:r>
        <w:fldChar w:fldCharType="begin"/>
      </w:r>
      <w:r>
        <w:instrText>HYPERLINK "http://www.protectedplanet.org/" \t "_blank"</w:instrText>
      </w:r>
      <w:r>
        <w:fldChar w:fldCharType="separate"/>
      </w:r>
      <w:r w:rsidRPr="00DB2F0F">
        <w:rPr>
          <w:rStyle w:val="Lienhypertexte"/>
          <w:rFonts w:ascii="Century Gothic" w:hAnsi="Century Gothic" w:cs="Arial"/>
          <w:b/>
          <w:bCs/>
          <w:sz w:val="22"/>
          <w:szCs w:val="22"/>
        </w:rPr>
        <w:t>disponibles sur le site </w:t>
      </w:r>
      <w:r w:rsidRPr="00DB2F0F">
        <w:rPr>
          <w:rStyle w:val="Accentuation"/>
          <w:rFonts w:ascii="Century Gothic" w:eastAsiaTheme="majorEastAsia" w:hAnsi="Century Gothic" w:cs="Arial"/>
          <w:b/>
          <w:bCs/>
          <w:color w:val="0000FF"/>
          <w:sz w:val="22"/>
          <w:szCs w:val="22"/>
          <w:u w:val="single"/>
        </w:rPr>
        <w:t>Protected Planet</w:t>
      </w:r>
      <w:r>
        <w:fldChar w:fldCharType="end"/>
      </w:r>
      <w:r w:rsidRPr="00DB2F0F">
        <w:rPr>
          <w:rFonts w:ascii="Century Gothic" w:hAnsi="Century Gothic" w:cs="Arial"/>
          <w:color w:val="101010"/>
          <w:sz w:val="22"/>
          <w:szCs w:val="22"/>
        </w:rPr>
        <w:t>.</w:t>
      </w:r>
    </w:p>
    <w:p w14:paraId="6A4AC0DC" w14:textId="77777777" w:rsidR="00A4123D" w:rsidRDefault="00A4123D" w:rsidP="00FA36EC">
      <w:pPr>
        <w:spacing w:after="0" w:line="240" w:lineRule="auto"/>
        <w:jc w:val="both"/>
        <w:rPr>
          <w:rFonts w:ascii="Century Gothic" w:hAnsi="Century Gothic"/>
        </w:rPr>
      </w:pPr>
      <w:r w:rsidRPr="00541183">
        <w:rPr>
          <w:rFonts w:ascii="Century Gothic" w:hAnsi="Century Gothic"/>
        </w:rPr>
        <w:t>Les aires protégées en Mauritanie sont cruciales pour plusieurs raisons :</w:t>
      </w:r>
    </w:p>
    <w:p w14:paraId="50D5A46B" w14:textId="1E2D280B" w:rsidR="00A4123D" w:rsidRPr="00541183" w:rsidRDefault="00A4123D" w:rsidP="005625B5">
      <w:pPr>
        <w:pStyle w:val="Paragraphedeliste"/>
        <w:numPr>
          <w:ilvl w:val="0"/>
          <w:numId w:val="4"/>
        </w:numPr>
        <w:jc w:val="both"/>
        <w:rPr>
          <w:rFonts w:ascii="Century Gothic" w:hAnsi="Century Gothic"/>
        </w:rPr>
      </w:pPr>
      <w:r w:rsidRPr="00FA36EC">
        <w:rPr>
          <w:rFonts w:ascii="Century Gothic" w:hAnsi="Century Gothic"/>
          <w:b/>
          <w:bCs/>
        </w:rPr>
        <w:t>Protection de la Biodiversité</w:t>
      </w:r>
      <w:r w:rsidRPr="00541183">
        <w:rPr>
          <w:rFonts w:ascii="Century Gothic" w:hAnsi="Century Gothic"/>
        </w:rPr>
        <w:t xml:space="preserve"> : Elles abritent une multitude d'espèces endommagées par les activités humaines et le changement climatique, servant de refuges contre la dégradation environnementale </w:t>
      </w:r>
      <w:r w:rsidRPr="00541183">
        <w:rPr>
          <w:rStyle w:val="Appelnotedebasdep"/>
          <w:rFonts w:ascii="Century Gothic" w:hAnsi="Century Gothic"/>
        </w:rPr>
        <w:footnoteReference w:id="5"/>
      </w:r>
      <w:r w:rsidR="00A616B6">
        <w:rPr>
          <w:rFonts w:ascii="Century Gothic" w:hAnsi="Century Gothic"/>
        </w:rPr>
        <w:t xml:space="preserve"> </w:t>
      </w:r>
      <w:r w:rsidRPr="00541183">
        <w:rPr>
          <w:rStyle w:val="Appelnotedebasdep"/>
          <w:rFonts w:ascii="Century Gothic" w:hAnsi="Century Gothic"/>
        </w:rPr>
        <w:footnoteReference w:id="6"/>
      </w:r>
      <w:r w:rsidRPr="00541183">
        <w:rPr>
          <w:rFonts w:ascii="Century Gothic" w:hAnsi="Century Gothic"/>
        </w:rPr>
        <w:t>.</w:t>
      </w:r>
    </w:p>
    <w:p w14:paraId="2F117750" w14:textId="77777777" w:rsidR="00A4123D" w:rsidRPr="00541183" w:rsidRDefault="00A4123D" w:rsidP="00A4123D">
      <w:pPr>
        <w:pStyle w:val="Paragraphedeliste"/>
        <w:jc w:val="both"/>
        <w:rPr>
          <w:rFonts w:ascii="Century Gothic" w:hAnsi="Century Gothic"/>
        </w:rPr>
      </w:pPr>
    </w:p>
    <w:p w14:paraId="4C1AF4C1" w14:textId="77777777" w:rsidR="00A4123D" w:rsidRPr="00541183" w:rsidRDefault="00A4123D" w:rsidP="005625B5">
      <w:pPr>
        <w:pStyle w:val="Paragraphedeliste"/>
        <w:numPr>
          <w:ilvl w:val="0"/>
          <w:numId w:val="4"/>
        </w:numPr>
        <w:jc w:val="both"/>
        <w:rPr>
          <w:rFonts w:ascii="Century Gothic" w:hAnsi="Century Gothic"/>
        </w:rPr>
      </w:pPr>
      <w:r w:rsidRPr="00FA36EC">
        <w:rPr>
          <w:rFonts w:ascii="Century Gothic" w:hAnsi="Century Gothic"/>
          <w:b/>
          <w:bCs/>
        </w:rPr>
        <w:t>Régulation Écologique</w:t>
      </w:r>
      <w:r w:rsidRPr="00541183">
        <w:rPr>
          <w:rFonts w:ascii="Century Gothic" w:hAnsi="Century Gothic"/>
        </w:rPr>
        <w:t xml:space="preserve"> : Ces zones aident à maintenir l'équilibre écologique en régulant les cycles de l'eau et en protégeant les ressources halieutiques essentielles pour les communautés locales</w:t>
      </w:r>
      <w:r w:rsidRPr="00541183">
        <w:rPr>
          <w:rStyle w:val="Appelnotedebasdep"/>
          <w:rFonts w:ascii="Century Gothic" w:hAnsi="Century Gothic"/>
        </w:rPr>
        <w:footnoteReference w:id="7"/>
      </w:r>
      <w:r w:rsidRPr="00541183">
        <w:rPr>
          <w:rFonts w:ascii="Century Gothic" w:hAnsi="Century Gothic"/>
        </w:rPr>
        <w:t>.</w:t>
      </w:r>
    </w:p>
    <w:p w14:paraId="412C6EE6" w14:textId="77777777" w:rsidR="00A4123D" w:rsidRPr="00541183" w:rsidRDefault="00A4123D" w:rsidP="00A4123D">
      <w:pPr>
        <w:pStyle w:val="Paragraphedeliste"/>
        <w:jc w:val="both"/>
        <w:rPr>
          <w:rFonts w:ascii="Century Gothic" w:hAnsi="Century Gothic"/>
        </w:rPr>
      </w:pPr>
    </w:p>
    <w:p w14:paraId="60A73EC6" w14:textId="7D6D196D" w:rsidR="00A4123D" w:rsidRPr="00CB7F1D" w:rsidRDefault="00A4123D" w:rsidP="005625B5">
      <w:pPr>
        <w:pStyle w:val="Paragraphedeliste"/>
        <w:numPr>
          <w:ilvl w:val="0"/>
          <w:numId w:val="4"/>
        </w:numPr>
        <w:jc w:val="both"/>
        <w:rPr>
          <w:rFonts w:ascii="Century Gothic" w:hAnsi="Century Gothic"/>
        </w:rPr>
      </w:pPr>
      <w:r w:rsidRPr="00FA36EC">
        <w:rPr>
          <w:rFonts w:ascii="Century Gothic" w:hAnsi="Century Gothic"/>
          <w:b/>
          <w:bCs/>
        </w:rPr>
        <w:t>Adaptation Climatique</w:t>
      </w:r>
      <w:r w:rsidRPr="00541183">
        <w:rPr>
          <w:rFonts w:ascii="Century Gothic" w:hAnsi="Century Gothic"/>
        </w:rPr>
        <w:t xml:space="preserve"> : Les AP offrent des solutions naturelles pour atténuer les impacts du changement climatique, comme la protection des côtes contre l'érosion et la régulation des températures locales grâce à la couverture végétale </w:t>
      </w:r>
      <w:r w:rsidRPr="00541183">
        <w:rPr>
          <w:rStyle w:val="Appelnotedebasdep"/>
          <w:rFonts w:ascii="Century Gothic" w:hAnsi="Century Gothic"/>
        </w:rPr>
        <w:footnoteReference w:id="8"/>
      </w:r>
      <w:r w:rsidRPr="00541183">
        <w:rPr>
          <w:rFonts w:ascii="Century Gothic" w:hAnsi="Century Gothic"/>
        </w:rPr>
        <w:t>.</w:t>
      </w:r>
    </w:p>
    <w:p w14:paraId="0B202E3D" w14:textId="73F7AFB2" w:rsidR="00A4123D" w:rsidRPr="00CB7F1D" w:rsidRDefault="00A4123D" w:rsidP="00B24F8B">
      <w:pPr>
        <w:jc w:val="both"/>
        <w:rPr>
          <w:rFonts w:ascii="Century Gothic" w:hAnsi="Century Gothic"/>
        </w:rPr>
      </w:pPr>
      <w:r>
        <w:rPr>
          <w:rFonts w:ascii="Century Gothic" w:hAnsi="Century Gothic"/>
        </w:rPr>
        <w:t>En décembre 2024, 0,63% de la surface de la terre et 3,70% de surface de la mer en Mauritanie est classé comme aires prot</w:t>
      </w:r>
      <w:r w:rsidR="00AF432F">
        <w:rPr>
          <w:rFonts w:ascii="Century Gothic" w:hAnsi="Century Gothic"/>
        </w:rPr>
        <w:t>é</w:t>
      </w:r>
      <w:r>
        <w:rPr>
          <w:rFonts w:ascii="Century Gothic" w:hAnsi="Century Gothic"/>
        </w:rPr>
        <w:t>gées selon la base des données mondiales sur les A</w:t>
      </w:r>
      <w:r w:rsidR="00C61068">
        <w:rPr>
          <w:rFonts w:ascii="Century Gothic" w:hAnsi="Century Gothic"/>
        </w:rPr>
        <w:t xml:space="preserve">ires </w:t>
      </w:r>
      <w:r>
        <w:rPr>
          <w:rFonts w:ascii="Century Gothic" w:hAnsi="Century Gothic"/>
        </w:rPr>
        <w:t>P</w:t>
      </w:r>
      <w:r w:rsidR="00C61068">
        <w:rPr>
          <w:rFonts w:ascii="Century Gothic" w:hAnsi="Century Gothic"/>
        </w:rPr>
        <w:t>rot</w:t>
      </w:r>
      <w:r w:rsidR="00AF432F">
        <w:rPr>
          <w:rFonts w:ascii="Century Gothic" w:hAnsi="Century Gothic"/>
        </w:rPr>
        <w:t>é</w:t>
      </w:r>
      <w:r w:rsidR="00C61068">
        <w:rPr>
          <w:rFonts w:ascii="Century Gothic" w:hAnsi="Century Gothic"/>
        </w:rPr>
        <w:t>gée</w:t>
      </w:r>
      <w:r>
        <w:rPr>
          <w:rFonts w:ascii="Century Gothic" w:hAnsi="Century Gothic"/>
        </w:rPr>
        <w:t>s (</w:t>
      </w:r>
      <w:r w:rsidRPr="00DE261F">
        <w:rPr>
          <w:rFonts w:ascii="Century Gothic" w:hAnsi="Century Gothic"/>
        </w:rPr>
        <w:t xml:space="preserve">figure </w:t>
      </w:r>
      <w:r w:rsidR="00DE261F" w:rsidRPr="00DE261F">
        <w:rPr>
          <w:rFonts w:ascii="Century Gothic" w:hAnsi="Century Gothic"/>
        </w:rPr>
        <w:t>1</w:t>
      </w:r>
      <w:r w:rsidRPr="00DE261F">
        <w:rPr>
          <w:rFonts w:ascii="Century Gothic" w:hAnsi="Century Gothic"/>
        </w:rPr>
        <w:t>)</w:t>
      </w:r>
      <w:r w:rsidR="00CD4A92">
        <w:rPr>
          <w:rFonts w:ascii="Century Gothic" w:hAnsi="Century Gothic"/>
        </w:rPr>
        <w:t xml:space="preserve">. Mais cette donnée est à reconsidérer compte tenu des informations exactes et actualisées que nous disposons. En effet, </w:t>
      </w:r>
      <w:r w:rsidR="00CD4A92" w:rsidRPr="00CD4A92">
        <w:rPr>
          <w:rFonts w:ascii="Century Gothic" w:hAnsi="Century Gothic"/>
        </w:rPr>
        <w:t>le Parc National du Banc d’Arguin (PNBA), la Réserve Satellite du Cap Blanc (RSCB, sous ges</w:t>
      </w:r>
      <w:r w:rsidR="00CD4A92">
        <w:rPr>
          <w:rFonts w:ascii="Century Gothic" w:hAnsi="Century Gothic"/>
        </w:rPr>
        <w:t xml:space="preserve">tion du PNBA), </w:t>
      </w:r>
      <w:r w:rsidR="00CD4A92" w:rsidRPr="00CD4A92">
        <w:rPr>
          <w:rFonts w:ascii="Century Gothic" w:hAnsi="Century Gothic"/>
        </w:rPr>
        <w:t>le Parc National du Diawling (PND)</w:t>
      </w:r>
      <w:r w:rsidR="00CD4A92">
        <w:rPr>
          <w:rFonts w:ascii="Century Gothic" w:hAnsi="Century Gothic"/>
        </w:rPr>
        <w:t xml:space="preserve"> et</w:t>
      </w:r>
      <w:r w:rsidR="00B24F8B">
        <w:rPr>
          <w:rFonts w:ascii="Century Gothic" w:hAnsi="Century Gothic"/>
        </w:rPr>
        <w:t xml:space="preserve"> la</w:t>
      </w:r>
      <w:r w:rsidR="00CD4A92">
        <w:rPr>
          <w:rFonts w:ascii="Century Gothic" w:hAnsi="Century Gothic"/>
        </w:rPr>
        <w:t xml:space="preserve"> récente création de la Réserve Naturelle de la Baie de l’Etoile (RNBE) ramène </w:t>
      </w:r>
      <w:r w:rsidR="00B24F8B">
        <w:rPr>
          <w:rFonts w:ascii="Century Gothic" w:hAnsi="Century Gothic"/>
        </w:rPr>
        <w:t xml:space="preserve">la couverture des zones protégées à </w:t>
      </w:r>
      <w:r w:rsidR="00CD4A92" w:rsidRPr="00B24F8B">
        <w:rPr>
          <w:rFonts w:ascii="Century Gothic" w:hAnsi="Century Gothic"/>
        </w:rPr>
        <w:t xml:space="preserve">5,46 % de la zone maritime et côtière (définie comme ZEE, eaux intérieures et partie terrestre du littoral) et place </w:t>
      </w:r>
      <w:r w:rsidR="00B24F8B" w:rsidRPr="00B24F8B">
        <w:rPr>
          <w:rFonts w:ascii="Century Gothic" w:hAnsi="Century Gothic"/>
        </w:rPr>
        <w:t xml:space="preserve">donc </w:t>
      </w:r>
      <w:r w:rsidR="00CD4A92" w:rsidRPr="00B24F8B">
        <w:rPr>
          <w:rFonts w:ascii="Century Gothic" w:hAnsi="Century Gothic"/>
        </w:rPr>
        <w:t>la Mauritanie à un peu plus de la moitie</w:t>
      </w:r>
      <w:r w:rsidR="00B24F8B">
        <w:rPr>
          <w:rFonts w:ascii="Century Gothic" w:hAnsi="Century Gothic"/>
        </w:rPr>
        <w:t>́ de l’atteinte de l’Objectif 11</w:t>
      </w:r>
      <w:r w:rsidR="00CD4A92" w:rsidRPr="00B24F8B">
        <w:rPr>
          <w:rFonts w:ascii="Century Gothic" w:hAnsi="Century Gothic"/>
        </w:rPr>
        <w:t xml:space="preserve"> d’Ai</w:t>
      </w:r>
      <w:r w:rsidR="00CD4A92" w:rsidRPr="00B24F8B">
        <w:rPr>
          <w:rFonts w:ascii="Arial" w:hAnsi="Arial" w:cs="Arial"/>
        </w:rPr>
        <w:t>̈</w:t>
      </w:r>
      <w:r w:rsidR="00B24F8B">
        <w:rPr>
          <w:rFonts w:ascii="Century Gothic" w:hAnsi="Century Gothic"/>
        </w:rPr>
        <w:t>chi.</w:t>
      </w:r>
    </w:p>
    <w:p w14:paraId="6C9A9ABF" w14:textId="77777777" w:rsidR="00A4123D" w:rsidRPr="00325A68" w:rsidRDefault="00A4123D" w:rsidP="00A4123D">
      <w:pPr>
        <w:jc w:val="both"/>
        <w:rPr>
          <w:rFonts w:ascii="Century Gothic" w:hAnsi="Century Gothic"/>
        </w:rPr>
      </w:pPr>
      <w:r w:rsidRPr="00A929FA">
        <w:rPr>
          <w:rFonts w:ascii="Century Gothic" w:hAnsi="Century Gothic"/>
          <w:noProof/>
          <w:lang w:eastAsia="fr-FR"/>
        </w:rPr>
        <w:drawing>
          <wp:inline distT="0" distB="0" distL="0" distR="0" wp14:anchorId="7B3E2BF2" wp14:editId="2FD1AA9D">
            <wp:extent cx="5760720" cy="3077845"/>
            <wp:effectExtent l="0" t="0" r="0" b="825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760720" cy="3077845"/>
                    </a:xfrm>
                    <a:prstGeom prst="rect">
                      <a:avLst/>
                    </a:prstGeom>
                  </pic:spPr>
                </pic:pic>
              </a:graphicData>
            </a:graphic>
          </wp:inline>
        </w:drawing>
      </w:r>
    </w:p>
    <w:p w14:paraId="15DA66C7" w14:textId="389B782B" w:rsidR="00C5001F" w:rsidRDefault="00C5001F" w:rsidP="00C5001F">
      <w:pPr>
        <w:pStyle w:val="Lgende"/>
        <w:jc w:val="both"/>
        <w:rPr>
          <w:lang w:val="en-CA"/>
        </w:rPr>
      </w:pPr>
      <w:bookmarkStart w:id="11" w:name="_Toc189305547"/>
      <w:r w:rsidRPr="00C5001F">
        <w:rPr>
          <w:lang w:val="en-CA"/>
        </w:rPr>
        <w:t xml:space="preserve">Figure </w:t>
      </w:r>
      <w:r>
        <w:fldChar w:fldCharType="begin"/>
      </w:r>
      <w:r w:rsidRPr="00C5001F">
        <w:rPr>
          <w:lang w:val="en-CA"/>
        </w:rPr>
        <w:instrText xml:space="preserve"> SEQ Figure \* ARABIC </w:instrText>
      </w:r>
      <w:r>
        <w:fldChar w:fldCharType="separate"/>
      </w:r>
      <w:r w:rsidR="00DE261F">
        <w:rPr>
          <w:noProof/>
          <w:lang w:val="en-CA"/>
        </w:rPr>
        <w:t>1</w:t>
      </w:r>
      <w:r>
        <w:fldChar w:fldCharType="end"/>
      </w:r>
      <w:r w:rsidRPr="00C5001F">
        <w:rPr>
          <w:lang w:val="en-CA"/>
        </w:rPr>
        <w:t xml:space="preserve"> Mauritania protected areas (sources: United Nations Environment Programme World Conservation Monitoring Centre (UNEP-WCMC); International Union for Conservation of Nature (IUCN))</w:t>
      </w:r>
      <w:bookmarkEnd w:id="11"/>
    </w:p>
    <w:p w14:paraId="2B052C25" w14:textId="77777777" w:rsidR="00CD4A92" w:rsidRPr="00954BA0" w:rsidRDefault="00CD4A92" w:rsidP="00CD4A92">
      <w:pPr>
        <w:rPr>
          <w:lang w:val="en-US"/>
        </w:rPr>
      </w:pPr>
    </w:p>
    <w:p w14:paraId="40C2C3D2" w14:textId="77777777" w:rsidR="003333DB" w:rsidRDefault="003333DB" w:rsidP="003333DB">
      <w:pPr>
        <w:autoSpaceDE w:val="0"/>
        <w:autoSpaceDN w:val="0"/>
        <w:adjustRightInd w:val="0"/>
        <w:spacing w:after="0" w:line="240" w:lineRule="auto"/>
        <w:rPr>
          <w:rFonts w:ascii="LeagueSpartan-Bold" w:hAnsi="LeagueSpartan-Bold" w:cs="LeagueSpartan-Bold"/>
          <w:b/>
          <w:bCs/>
          <w:color w:val="016601"/>
          <w:sz w:val="24"/>
          <w:szCs w:val="24"/>
        </w:rPr>
      </w:pPr>
      <w:r>
        <w:rPr>
          <w:rFonts w:ascii="LeagueSpartan-Bold" w:hAnsi="LeagueSpartan-Bold" w:cs="LeagueSpartan-Bold"/>
          <w:b/>
          <w:bCs/>
          <w:color w:val="016601"/>
          <w:sz w:val="24"/>
          <w:szCs w:val="24"/>
        </w:rPr>
        <w:t>CHIFFRES CLÉS DE LA BIODIVERSITÉ MAURITANIENNE (SNB, 2022-2030)</w:t>
      </w:r>
    </w:p>
    <w:p w14:paraId="0ADF3652" w14:textId="77777777" w:rsidR="003333DB" w:rsidRDefault="003333DB" w:rsidP="003333DB">
      <w:pPr>
        <w:autoSpaceDE w:val="0"/>
        <w:autoSpaceDN w:val="0"/>
        <w:adjustRightInd w:val="0"/>
        <w:spacing w:after="0" w:line="240" w:lineRule="auto"/>
        <w:rPr>
          <w:rFonts w:ascii="LeagueSpartan-Bold" w:hAnsi="LeagueSpartan-Bold" w:cs="LeagueSpartan-Bold"/>
          <w:b/>
          <w:bCs/>
          <w:color w:val="016601"/>
          <w:sz w:val="24"/>
          <w:szCs w:val="24"/>
        </w:rPr>
      </w:pPr>
      <w:r>
        <w:rPr>
          <w:rFonts w:ascii="LeagueSpartan-Bold" w:hAnsi="LeagueSpartan-Bold" w:cs="LeagueSpartan-Bold"/>
          <w:b/>
          <w:bCs/>
          <w:noProof/>
          <w:color w:val="016601"/>
          <w:sz w:val="24"/>
          <w:szCs w:val="24"/>
          <w:lang w:eastAsia="fr-FR"/>
        </w:rPr>
        <mc:AlternateContent>
          <mc:Choice Requires="wps">
            <w:drawing>
              <wp:anchor distT="0" distB="0" distL="114300" distR="114300" simplePos="0" relativeHeight="251695104" behindDoc="0" locked="0" layoutInCell="1" allowOverlap="1" wp14:anchorId="4D1DE754" wp14:editId="198B1B29">
                <wp:simplePos x="0" y="0"/>
                <wp:positionH relativeFrom="column">
                  <wp:posOffset>44750</wp:posOffset>
                </wp:positionH>
                <wp:positionV relativeFrom="paragraph">
                  <wp:posOffset>122576</wp:posOffset>
                </wp:positionV>
                <wp:extent cx="5707464" cy="628022"/>
                <wp:effectExtent l="0" t="0" r="26670" b="19685"/>
                <wp:wrapNone/>
                <wp:docPr id="29" name="Zone de texte 29"/>
                <wp:cNvGraphicFramePr/>
                <a:graphic xmlns:a="http://schemas.openxmlformats.org/drawingml/2006/main">
                  <a:graphicData uri="http://schemas.microsoft.com/office/word/2010/wordprocessingShape">
                    <wps:wsp>
                      <wps:cNvSpPr txBox="1"/>
                      <wps:spPr>
                        <a:xfrm>
                          <a:off x="0" y="0"/>
                          <a:ext cx="5707464" cy="628022"/>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08648DD3" w14:textId="77777777" w:rsidR="0062478D" w:rsidRPr="00BC68A5" w:rsidRDefault="0062478D" w:rsidP="003333DB">
                            <w:pPr>
                              <w:autoSpaceDE w:val="0"/>
                              <w:autoSpaceDN w:val="0"/>
                              <w:adjustRightInd w:val="0"/>
                              <w:spacing w:after="0" w:line="240" w:lineRule="auto"/>
                              <w:rPr>
                                <w:rFonts w:ascii="Century Gothic" w:hAnsi="Century Gothic"/>
                                <w:sz w:val="18"/>
                                <w:szCs w:val="18"/>
                                <w:lang w:val="wo-SN"/>
                              </w:rPr>
                            </w:pPr>
                            <w:r w:rsidRPr="00BC68A5">
                              <w:rPr>
                                <w:rFonts w:ascii="Century Gothic" w:hAnsi="Century Gothic"/>
                                <w:b/>
                                <w:bCs/>
                                <w:color w:val="4472C4" w:themeColor="accent1"/>
                                <w:sz w:val="44"/>
                                <w:szCs w:val="44"/>
                                <w:lang w:val="wo-SN"/>
                              </w:rPr>
                              <w:t>703</w:t>
                            </w:r>
                            <w:r w:rsidRPr="00BC68A5">
                              <w:rPr>
                                <w:rFonts w:ascii="Century Gothic" w:hAnsi="Century Gothic"/>
                                <w:sz w:val="18"/>
                                <w:szCs w:val="18"/>
                                <w:lang w:val="wo-SN"/>
                              </w:rPr>
                              <w:t xml:space="preserve"> espèces de poissons dont 49 figurent sur la liste rouge de l’UICN, classées dans les catégories quasi menacée, vulnérable, en danger et en danger critique d’extinction</w:t>
                            </w:r>
                            <w:r>
                              <w:rPr>
                                <w:rFonts w:ascii="Century Gothic" w:hAnsi="Century Gothic"/>
                                <w:sz w:val="18"/>
                                <w:szCs w:val="18"/>
                                <w:lang w:val="wo-SN"/>
                              </w:rPr>
                              <w:t>.</w:t>
                            </w:r>
                          </w:p>
                          <w:p w14:paraId="14A1809B" w14:textId="77777777" w:rsidR="0062478D" w:rsidRPr="00BC68A5" w:rsidRDefault="0062478D" w:rsidP="003333DB">
                            <w:pPr>
                              <w:rPr>
                                <w:sz w:val="18"/>
                                <w:szCs w:val="18"/>
                                <w:lang w:val="wo-S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1DE754" id="Zone de texte 29" o:spid="_x0000_s1035" type="#_x0000_t202" style="position:absolute;margin-left:3.5pt;margin-top:9.65pt;width:449.4pt;height:49.4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" fillcolor="white [3201]" strokecolor="#5b9bd5 [3208]" strokeweight="1pt">
                <v:textbox>
                  <w:txbxContent>
                    <w:p w14:paraId="08648DD3" w14:textId="77777777" w:rsidR="0062478D" w:rsidRPr="00BC68A5" w:rsidRDefault="0062478D" w:rsidP="003333DB">
                      <w:pPr>
                        <w:autoSpaceDE w:val="0"/>
                        <w:autoSpaceDN w:val="0"/>
                        <w:adjustRightInd w:val="0"/>
                        <w:spacing w:after="0" w:line="240" w:lineRule="auto"/>
                        <w:rPr>
                          <w:rFonts w:ascii="Century Gothic" w:hAnsi="Century Gothic"/>
                          <w:sz w:val="18"/>
                          <w:szCs w:val="18"/>
                          <w:lang w:val="wo-SN"/>
                        </w:rPr>
                      </w:pPr>
                      <w:r w:rsidRPr="00BC68A5">
                        <w:rPr>
                          <w:rFonts w:ascii="Century Gothic" w:hAnsi="Century Gothic"/>
                          <w:b/>
                          <w:bCs/>
                          <w:color w:val="4472C4" w:themeColor="accent1"/>
                          <w:sz w:val="44"/>
                          <w:szCs w:val="44"/>
                          <w:lang w:val="wo-SN"/>
                        </w:rPr>
                        <w:t>703</w:t>
                      </w:r>
                      <w:r w:rsidRPr="00BC68A5">
                        <w:rPr>
                          <w:rFonts w:ascii="Century Gothic" w:hAnsi="Century Gothic"/>
                          <w:sz w:val="18"/>
                          <w:szCs w:val="18"/>
                          <w:lang w:val="wo-SN"/>
                        </w:rPr>
                        <w:t xml:space="preserve"> espèces de poissons dont 49 figurent sur la liste rouge de l’UICN, classées dans les catégories quasi menacée, vulnérable, en danger et en danger critique d’extinction</w:t>
                      </w:r>
                      <w:r>
                        <w:rPr>
                          <w:rFonts w:ascii="Century Gothic" w:hAnsi="Century Gothic"/>
                          <w:sz w:val="18"/>
                          <w:szCs w:val="18"/>
                          <w:lang w:val="wo-SN"/>
                        </w:rPr>
                        <w:t>.</w:t>
                      </w:r>
                    </w:p>
                    <w:p w14:paraId="14A1809B" w14:textId="77777777" w:rsidR="0062478D" w:rsidRPr="00BC68A5" w:rsidRDefault="0062478D" w:rsidP="003333DB">
                      <w:pPr>
                        <w:rPr>
                          <w:sz w:val="18"/>
                          <w:szCs w:val="18"/>
                          <w:lang w:val="wo-SN"/>
                        </w:rPr>
                      </w:pPr>
                    </w:p>
                  </w:txbxContent>
                </v:textbox>
              </v:shape>
            </w:pict>
          </mc:Fallback>
        </mc:AlternateContent>
      </w:r>
    </w:p>
    <w:p w14:paraId="303391E6" w14:textId="77777777" w:rsidR="003333DB" w:rsidRDefault="003333DB" w:rsidP="003333DB">
      <w:pPr>
        <w:autoSpaceDE w:val="0"/>
        <w:autoSpaceDN w:val="0"/>
        <w:adjustRightInd w:val="0"/>
        <w:spacing w:after="0" w:line="240" w:lineRule="auto"/>
        <w:rPr>
          <w:rFonts w:ascii="LeagueSpartan-Bold" w:hAnsi="LeagueSpartan-Bold" w:cs="LeagueSpartan-Bold"/>
          <w:b/>
          <w:bCs/>
          <w:color w:val="016601"/>
          <w:sz w:val="24"/>
          <w:szCs w:val="24"/>
        </w:rPr>
      </w:pPr>
    </w:p>
    <w:p w14:paraId="4571018A" w14:textId="77777777" w:rsidR="003333DB" w:rsidRPr="0012120D" w:rsidRDefault="003333DB" w:rsidP="003333DB">
      <w:pPr>
        <w:autoSpaceDE w:val="0"/>
        <w:autoSpaceDN w:val="0"/>
        <w:adjustRightInd w:val="0"/>
        <w:spacing w:after="0" w:line="240" w:lineRule="auto"/>
        <w:rPr>
          <w:rFonts w:ascii="LeagueSpartan-Bold" w:hAnsi="LeagueSpartan-Bold" w:cs="LeagueSpartan-Bold"/>
          <w:b/>
          <w:bCs/>
          <w:color w:val="016601"/>
          <w:sz w:val="24"/>
          <w:szCs w:val="24"/>
        </w:rPr>
      </w:pPr>
    </w:p>
    <w:p w14:paraId="1B54F4EF" w14:textId="77777777" w:rsidR="003333DB" w:rsidRDefault="003333DB" w:rsidP="003333DB">
      <w:pPr>
        <w:jc w:val="both"/>
        <w:rPr>
          <w:rFonts w:ascii="Century Gothic" w:hAnsi="Century Gothic"/>
          <w:b/>
          <w:bCs/>
          <w:color w:val="4472C4" w:themeColor="accent1"/>
          <w:sz w:val="52"/>
          <w:szCs w:val="52"/>
          <w:lang w:val="wo-SN"/>
        </w:rPr>
      </w:pPr>
      <w:r>
        <w:rPr>
          <w:rFonts w:ascii="Century Gothic" w:hAnsi="Century Gothic"/>
          <w:b/>
          <w:bCs/>
          <w:noProof/>
          <w:color w:val="4472C4" w:themeColor="accent1"/>
          <w:sz w:val="52"/>
          <w:szCs w:val="52"/>
          <w:lang w:eastAsia="fr-FR"/>
        </w:rPr>
        <mc:AlternateContent>
          <mc:Choice Requires="wps">
            <w:drawing>
              <wp:anchor distT="0" distB="0" distL="114300" distR="114300" simplePos="0" relativeHeight="251696128" behindDoc="0" locked="0" layoutInCell="1" allowOverlap="1" wp14:anchorId="33735E6E" wp14:editId="089DAA5F">
                <wp:simplePos x="0" y="0"/>
                <wp:positionH relativeFrom="column">
                  <wp:posOffset>44450</wp:posOffset>
                </wp:positionH>
                <wp:positionV relativeFrom="paragraph">
                  <wp:posOffset>251516</wp:posOffset>
                </wp:positionV>
                <wp:extent cx="5707380" cy="748603"/>
                <wp:effectExtent l="0" t="0" r="26670" b="13970"/>
                <wp:wrapNone/>
                <wp:docPr id="30" name="Zone de texte 30"/>
                <wp:cNvGraphicFramePr/>
                <a:graphic xmlns:a="http://schemas.openxmlformats.org/drawingml/2006/main">
                  <a:graphicData uri="http://schemas.microsoft.com/office/word/2010/wordprocessingShape">
                    <wps:wsp>
                      <wps:cNvSpPr txBox="1"/>
                      <wps:spPr>
                        <a:xfrm>
                          <a:off x="0" y="0"/>
                          <a:ext cx="5707380" cy="748603"/>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12CF64D5" w14:textId="77777777" w:rsidR="0062478D" w:rsidRPr="00D21CEE" w:rsidRDefault="0062478D" w:rsidP="003333DB">
                            <w:pPr>
                              <w:jc w:val="both"/>
                              <w:rPr>
                                <w:rFonts w:ascii="Century Gothic" w:hAnsi="Century Gothic"/>
                                <w:sz w:val="18"/>
                                <w:szCs w:val="18"/>
                                <w:lang w:val="wo-SN"/>
                              </w:rPr>
                            </w:pPr>
                            <w:r w:rsidRPr="00D21CEE">
                              <w:rPr>
                                <w:rFonts w:ascii="Century Gothic" w:hAnsi="Century Gothic"/>
                                <w:b/>
                                <w:bCs/>
                                <w:color w:val="4472C4" w:themeColor="accent1"/>
                                <w:sz w:val="44"/>
                                <w:szCs w:val="44"/>
                                <w:lang w:val="wo-SN"/>
                              </w:rPr>
                              <w:t>30</w:t>
                            </w:r>
                            <w:r w:rsidRPr="00D21CEE">
                              <w:rPr>
                                <w:rFonts w:ascii="Century Gothic" w:hAnsi="Century Gothic"/>
                                <w:sz w:val="18"/>
                                <w:szCs w:val="18"/>
                                <w:lang w:val="wo-SN"/>
                              </w:rPr>
                              <w:t xml:space="preserve"> espèces de mammifères marins (baleines, dauphins) dont 6 classifiées par l’UICN comme menacées d’extinction, vulnérables et en danger, dont le phoque moine qui est menacé d’extinction  </w:t>
                            </w:r>
                          </w:p>
                          <w:p w14:paraId="395C0926" w14:textId="77777777" w:rsidR="0062478D" w:rsidRPr="00D21CEE" w:rsidRDefault="0062478D" w:rsidP="003333DB">
                            <w:pPr>
                              <w:rPr>
                                <w:sz w:val="18"/>
                                <w:szCs w:val="18"/>
                                <w:lang w:val="wo-S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35E6E" id="Zone de texte 30" o:spid="_x0000_s1036" type="#_x0000_t202" style="position:absolute;left:0;text-align:left;margin-left:3.5pt;margin-top:19.8pt;width:449.4pt;height:58.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" fillcolor="white [3201]" strokecolor="#ffc000 [3207]" strokeweight="1pt">
                <v:textbox>
                  <w:txbxContent>
                    <w:p w14:paraId="12CF64D5" w14:textId="77777777" w:rsidR="0062478D" w:rsidRPr="00D21CEE" w:rsidRDefault="0062478D" w:rsidP="003333DB">
                      <w:pPr>
                        <w:jc w:val="both"/>
                        <w:rPr>
                          <w:rFonts w:ascii="Century Gothic" w:hAnsi="Century Gothic"/>
                          <w:sz w:val="18"/>
                          <w:szCs w:val="18"/>
                          <w:lang w:val="wo-SN"/>
                        </w:rPr>
                      </w:pPr>
                      <w:r w:rsidRPr="00D21CEE">
                        <w:rPr>
                          <w:rFonts w:ascii="Century Gothic" w:hAnsi="Century Gothic"/>
                          <w:b/>
                          <w:bCs/>
                          <w:color w:val="4472C4" w:themeColor="accent1"/>
                          <w:sz w:val="44"/>
                          <w:szCs w:val="44"/>
                          <w:lang w:val="wo-SN"/>
                        </w:rPr>
                        <w:t>30</w:t>
                      </w:r>
                      <w:r w:rsidRPr="00D21CEE">
                        <w:rPr>
                          <w:rFonts w:ascii="Century Gothic" w:hAnsi="Century Gothic"/>
                          <w:sz w:val="18"/>
                          <w:szCs w:val="18"/>
                          <w:lang w:val="wo-SN"/>
                        </w:rPr>
                        <w:t xml:space="preserve"> espèces de mammifères marins (baleines, dauphins) dont 6 classifiées par l’UICN comme menacées d’extinction, vulnérables et en danger, dont le phoque moine qui est menacé d’extinction  </w:t>
                      </w:r>
                    </w:p>
                    <w:p w14:paraId="395C0926" w14:textId="77777777" w:rsidR="0062478D" w:rsidRPr="00D21CEE" w:rsidRDefault="0062478D" w:rsidP="003333DB">
                      <w:pPr>
                        <w:rPr>
                          <w:sz w:val="18"/>
                          <w:szCs w:val="18"/>
                          <w:lang w:val="wo-SN"/>
                        </w:rPr>
                      </w:pPr>
                    </w:p>
                  </w:txbxContent>
                </v:textbox>
              </v:shape>
            </w:pict>
          </mc:Fallback>
        </mc:AlternateContent>
      </w:r>
    </w:p>
    <w:p w14:paraId="6BE54416" w14:textId="77777777" w:rsidR="003333DB" w:rsidRDefault="003333DB" w:rsidP="003333DB">
      <w:pPr>
        <w:jc w:val="both"/>
        <w:rPr>
          <w:rFonts w:ascii="Century Gothic" w:hAnsi="Century Gothic"/>
          <w:b/>
          <w:bCs/>
          <w:color w:val="4472C4" w:themeColor="accent1"/>
          <w:sz w:val="52"/>
          <w:szCs w:val="52"/>
          <w:lang w:val="wo-SN"/>
        </w:rPr>
      </w:pPr>
      <w:r>
        <w:rPr>
          <w:rFonts w:ascii="Century Gothic" w:hAnsi="Century Gothic"/>
          <w:b/>
          <w:bCs/>
          <w:noProof/>
          <w:color w:val="4472C4" w:themeColor="accent1"/>
          <w:sz w:val="52"/>
          <w:szCs w:val="52"/>
          <w:lang w:eastAsia="fr-FR"/>
        </w:rPr>
        <mc:AlternateContent>
          <mc:Choice Requires="wps">
            <w:drawing>
              <wp:anchor distT="0" distB="0" distL="114300" distR="114300" simplePos="0" relativeHeight="251697152" behindDoc="0" locked="0" layoutInCell="1" allowOverlap="1" wp14:anchorId="0107F4B2" wp14:editId="239DB403">
                <wp:simplePos x="0" y="0"/>
                <wp:positionH relativeFrom="column">
                  <wp:posOffset>44450</wp:posOffset>
                </wp:positionH>
                <wp:positionV relativeFrom="paragraph">
                  <wp:posOffset>525201</wp:posOffset>
                </wp:positionV>
                <wp:extent cx="5707380" cy="783590"/>
                <wp:effectExtent l="0" t="0" r="26670" b="16510"/>
                <wp:wrapNone/>
                <wp:docPr id="31" name="Zone de texte 31"/>
                <wp:cNvGraphicFramePr/>
                <a:graphic xmlns:a="http://schemas.openxmlformats.org/drawingml/2006/main">
                  <a:graphicData uri="http://schemas.microsoft.com/office/word/2010/wordprocessingShape">
                    <wps:wsp>
                      <wps:cNvSpPr txBox="1"/>
                      <wps:spPr>
                        <a:xfrm>
                          <a:off x="0" y="0"/>
                          <a:ext cx="5707380" cy="78359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AD7B6C2" w14:textId="77777777" w:rsidR="0062478D" w:rsidRPr="00D21CEE" w:rsidRDefault="0062478D" w:rsidP="003333DB">
                            <w:pPr>
                              <w:jc w:val="both"/>
                              <w:rPr>
                                <w:rFonts w:ascii="Century Gothic" w:hAnsi="Century Gothic"/>
                                <w:sz w:val="18"/>
                                <w:szCs w:val="18"/>
                                <w:lang w:val="wo-SN"/>
                              </w:rPr>
                            </w:pPr>
                            <w:r w:rsidRPr="00D21CEE">
                              <w:rPr>
                                <w:rFonts w:ascii="Century Gothic" w:hAnsi="Century Gothic"/>
                                <w:b/>
                                <w:bCs/>
                                <w:color w:val="4472C4" w:themeColor="accent1"/>
                                <w:sz w:val="44"/>
                                <w:szCs w:val="44"/>
                                <w:lang w:val="wo-SN"/>
                              </w:rPr>
                              <w:t>269</w:t>
                            </w:r>
                            <w:r w:rsidRPr="00D21CEE">
                              <w:rPr>
                                <w:rFonts w:ascii="Century Gothic" w:hAnsi="Century Gothic"/>
                                <w:sz w:val="18"/>
                                <w:szCs w:val="18"/>
                                <w:lang w:val="wo-SN"/>
                              </w:rPr>
                              <w:t xml:space="preserve"> espèces d’oiseaux côtiers séjournant dans les parcs nationaux sur le littoral (Parc National du Banc d’Arguin et du Diawling), dont 47 espèces d’oiseaux du large, localisées au niveau des eaux profondes de la zone du talus</w:t>
                            </w:r>
                          </w:p>
                          <w:p w14:paraId="608AF842" w14:textId="77777777" w:rsidR="0062478D" w:rsidRPr="00D21CEE" w:rsidRDefault="0062478D" w:rsidP="003333DB">
                            <w:pPr>
                              <w:rPr>
                                <w:sz w:val="18"/>
                                <w:szCs w:val="18"/>
                                <w:lang w:val="wo-S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07F4B2" id="Zone de texte 31" o:spid="_x0000_s1037" type="#_x0000_t202" style="position:absolute;left:0;text-align:left;margin-left:3.5pt;margin-top:41.35pt;width:449.4pt;height:61.7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" fillcolor="white [3201]" strokecolor="#4472c4 [3204]" strokeweight="1pt">
                <v:textbox>
                  <w:txbxContent>
                    <w:p w14:paraId="1AD7B6C2" w14:textId="77777777" w:rsidR="0062478D" w:rsidRPr="00D21CEE" w:rsidRDefault="0062478D" w:rsidP="003333DB">
                      <w:pPr>
                        <w:jc w:val="both"/>
                        <w:rPr>
                          <w:rFonts w:ascii="Century Gothic" w:hAnsi="Century Gothic"/>
                          <w:sz w:val="18"/>
                          <w:szCs w:val="18"/>
                          <w:lang w:val="wo-SN"/>
                        </w:rPr>
                      </w:pPr>
                      <w:r w:rsidRPr="00D21CEE">
                        <w:rPr>
                          <w:rFonts w:ascii="Century Gothic" w:hAnsi="Century Gothic"/>
                          <w:b/>
                          <w:bCs/>
                          <w:color w:val="4472C4" w:themeColor="accent1"/>
                          <w:sz w:val="44"/>
                          <w:szCs w:val="44"/>
                          <w:lang w:val="wo-SN"/>
                        </w:rPr>
                        <w:t>269</w:t>
                      </w:r>
                      <w:r w:rsidRPr="00D21CEE">
                        <w:rPr>
                          <w:rFonts w:ascii="Century Gothic" w:hAnsi="Century Gothic"/>
                          <w:sz w:val="18"/>
                          <w:szCs w:val="18"/>
                          <w:lang w:val="wo-SN"/>
                        </w:rPr>
                        <w:t xml:space="preserve"> espèces d’oiseaux côtiers séjournant dans les parcs nationaux sur le littoral (Parc National du Banc d’Arguin et du Diawling), dont 47 espèces d’oiseaux du large, localisées au niveau des eaux profondes de la zone du talus</w:t>
                      </w:r>
                    </w:p>
                    <w:p w14:paraId="608AF842" w14:textId="77777777" w:rsidR="0062478D" w:rsidRPr="00D21CEE" w:rsidRDefault="0062478D" w:rsidP="003333DB">
                      <w:pPr>
                        <w:rPr>
                          <w:sz w:val="18"/>
                          <w:szCs w:val="18"/>
                          <w:lang w:val="wo-SN"/>
                        </w:rPr>
                      </w:pPr>
                    </w:p>
                  </w:txbxContent>
                </v:textbox>
              </v:shape>
            </w:pict>
          </mc:Fallback>
        </mc:AlternateContent>
      </w:r>
    </w:p>
    <w:p w14:paraId="5571F7A7" w14:textId="77777777" w:rsidR="003333DB" w:rsidRDefault="003333DB" w:rsidP="003333DB">
      <w:pPr>
        <w:jc w:val="both"/>
        <w:rPr>
          <w:rFonts w:ascii="Century Gothic" w:hAnsi="Century Gothic"/>
          <w:b/>
          <w:bCs/>
          <w:color w:val="4472C4" w:themeColor="accent1"/>
          <w:sz w:val="52"/>
          <w:szCs w:val="52"/>
          <w:lang w:val="wo-SN"/>
        </w:rPr>
      </w:pPr>
    </w:p>
    <w:p w14:paraId="10369EA8" w14:textId="77777777" w:rsidR="003333DB" w:rsidRDefault="003333DB" w:rsidP="003333DB">
      <w:pPr>
        <w:autoSpaceDE w:val="0"/>
        <w:autoSpaceDN w:val="0"/>
        <w:adjustRightInd w:val="0"/>
        <w:spacing w:after="0" w:line="240" w:lineRule="auto"/>
        <w:rPr>
          <w:rFonts w:ascii="Century Gothic" w:hAnsi="Century Gothic"/>
          <w:lang w:val="wo-SN"/>
        </w:rPr>
      </w:pPr>
    </w:p>
    <w:p w14:paraId="1A715678" w14:textId="77777777" w:rsidR="003333DB" w:rsidRDefault="003333DB" w:rsidP="003333DB">
      <w:pPr>
        <w:autoSpaceDE w:val="0"/>
        <w:autoSpaceDN w:val="0"/>
        <w:adjustRightInd w:val="0"/>
        <w:spacing w:after="0" w:line="240" w:lineRule="auto"/>
        <w:rPr>
          <w:rFonts w:ascii="Century Gothic" w:hAnsi="Century Gothic"/>
          <w:lang w:val="wo-SN"/>
        </w:rPr>
      </w:pPr>
      <w:r>
        <w:rPr>
          <w:rFonts w:ascii="Century Gothic" w:hAnsi="Century Gothic"/>
          <w:noProof/>
          <w:lang w:eastAsia="fr-FR"/>
        </w:rPr>
        <mc:AlternateContent>
          <mc:Choice Requires="wps">
            <w:drawing>
              <wp:anchor distT="0" distB="0" distL="114300" distR="114300" simplePos="0" relativeHeight="251698176" behindDoc="0" locked="0" layoutInCell="1" allowOverlap="1" wp14:anchorId="0A44F34A" wp14:editId="740FA516">
                <wp:simplePos x="0" y="0"/>
                <wp:positionH relativeFrom="column">
                  <wp:posOffset>44450</wp:posOffset>
                </wp:positionH>
                <wp:positionV relativeFrom="paragraph">
                  <wp:posOffset>136581</wp:posOffset>
                </wp:positionV>
                <wp:extent cx="5706745" cy="447040"/>
                <wp:effectExtent l="0" t="0" r="27305" b="10160"/>
                <wp:wrapNone/>
                <wp:docPr id="33" name="Zone de texte 33"/>
                <wp:cNvGraphicFramePr/>
                <a:graphic xmlns:a="http://schemas.openxmlformats.org/drawingml/2006/main">
                  <a:graphicData uri="http://schemas.microsoft.com/office/word/2010/wordprocessingShape">
                    <wps:wsp>
                      <wps:cNvSpPr txBox="1"/>
                      <wps:spPr>
                        <a:xfrm>
                          <a:off x="0" y="0"/>
                          <a:ext cx="5706745" cy="447040"/>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4E62D644" w14:textId="77777777" w:rsidR="0062478D" w:rsidRPr="00D21CEE" w:rsidRDefault="0062478D" w:rsidP="003333DB">
                            <w:pPr>
                              <w:autoSpaceDE w:val="0"/>
                              <w:autoSpaceDN w:val="0"/>
                              <w:adjustRightInd w:val="0"/>
                              <w:spacing w:after="0" w:line="240" w:lineRule="auto"/>
                              <w:rPr>
                                <w:rFonts w:ascii="PTSans-Regular" w:hAnsi="PTSans-Regular" w:cs="PTSans-Regular"/>
                                <w:sz w:val="18"/>
                                <w:szCs w:val="18"/>
                              </w:rPr>
                            </w:pPr>
                            <w:r w:rsidRPr="00D21CEE">
                              <w:rPr>
                                <w:rFonts w:ascii="Century Gothic" w:hAnsi="Century Gothic"/>
                                <w:b/>
                                <w:bCs/>
                                <w:color w:val="4472C4" w:themeColor="accent1"/>
                                <w:sz w:val="44"/>
                                <w:szCs w:val="44"/>
                                <w:lang w:val="wo-SN"/>
                              </w:rPr>
                              <w:t>6</w:t>
                            </w:r>
                            <w:r w:rsidRPr="00D21CEE">
                              <w:rPr>
                                <w:rFonts w:ascii="PTSans-Regular" w:hAnsi="PTSans-Regular" w:cs="PTSans-Regular"/>
                                <w:sz w:val="18"/>
                                <w:szCs w:val="18"/>
                              </w:rPr>
                              <w:t xml:space="preserve"> </w:t>
                            </w:r>
                            <w:r w:rsidRPr="00D21CEE">
                              <w:rPr>
                                <w:rFonts w:ascii="Century Gothic" w:hAnsi="Century Gothic"/>
                                <w:sz w:val="18"/>
                                <w:szCs w:val="18"/>
                                <w:lang w:val="wo-SN"/>
                              </w:rPr>
                              <w:t>espèces de tortues marines dont la tortue verte qui figure sur la liste rouge de l’UICN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4F34A" id="Zone de texte 33" o:spid="_x0000_s1038" type="#_x0000_t202" style="position:absolute;margin-left:3.5pt;margin-top:10.75pt;width:449.35pt;height:35.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" fillcolor="white [3201]" strokecolor="#ffc000 [3207]" strokeweight="1pt">
                <v:textbox>
                  <w:txbxContent>
                    <w:p w14:paraId="4E62D644" w14:textId="77777777" w:rsidR="0062478D" w:rsidRPr="00D21CEE" w:rsidRDefault="0062478D" w:rsidP="003333DB">
                      <w:pPr>
                        <w:autoSpaceDE w:val="0"/>
                        <w:autoSpaceDN w:val="0"/>
                        <w:adjustRightInd w:val="0"/>
                        <w:spacing w:after="0" w:line="240" w:lineRule="auto"/>
                        <w:rPr>
                          <w:rFonts w:ascii="PTSans-Regular" w:hAnsi="PTSans-Regular" w:cs="PTSans-Regular"/>
                          <w:sz w:val="18"/>
                          <w:szCs w:val="18"/>
                        </w:rPr>
                      </w:pPr>
                      <w:r w:rsidRPr="00D21CEE">
                        <w:rPr>
                          <w:rFonts w:ascii="Century Gothic" w:hAnsi="Century Gothic"/>
                          <w:b/>
                          <w:bCs/>
                          <w:color w:val="4472C4" w:themeColor="accent1"/>
                          <w:sz w:val="44"/>
                          <w:szCs w:val="44"/>
                          <w:lang w:val="wo-SN"/>
                        </w:rPr>
                        <w:t>6</w:t>
                      </w:r>
                      <w:r w:rsidRPr="00D21CEE">
                        <w:rPr>
                          <w:rFonts w:ascii="PTSans-Regular" w:hAnsi="PTSans-Regular" w:cs="PTSans-Regular"/>
                          <w:sz w:val="18"/>
                          <w:szCs w:val="18"/>
                        </w:rPr>
                        <w:t xml:space="preserve"> </w:t>
                      </w:r>
                      <w:r w:rsidRPr="00D21CEE">
                        <w:rPr>
                          <w:rFonts w:ascii="Century Gothic" w:hAnsi="Century Gothic"/>
                          <w:sz w:val="18"/>
                          <w:szCs w:val="18"/>
                          <w:lang w:val="wo-SN"/>
                        </w:rPr>
                        <w:t>espèces de tortues marines dont la tortue verte qui figure sur la liste rouge de l’UICN</w:t>
                      </w:r>
                    </w:p>
                  </w:txbxContent>
                </v:textbox>
              </v:shape>
            </w:pict>
          </mc:Fallback>
        </mc:AlternateContent>
      </w:r>
    </w:p>
    <w:p w14:paraId="090EFF5B" w14:textId="77777777" w:rsidR="003333DB" w:rsidRDefault="003333DB" w:rsidP="003333DB">
      <w:pPr>
        <w:autoSpaceDE w:val="0"/>
        <w:autoSpaceDN w:val="0"/>
        <w:adjustRightInd w:val="0"/>
        <w:spacing w:after="0" w:line="240" w:lineRule="auto"/>
        <w:rPr>
          <w:rFonts w:ascii="Century Gothic" w:hAnsi="Century Gothic"/>
          <w:lang w:val="wo-SN"/>
        </w:rPr>
      </w:pPr>
    </w:p>
    <w:p w14:paraId="1F66FDA8" w14:textId="77777777" w:rsidR="003333DB" w:rsidRPr="00E114D6" w:rsidRDefault="003333DB" w:rsidP="003333DB">
      <w:pPr>
        <w:autoSpaceDE w:val="0"/>
        <w:autoSpaceDN w:val="0"/>
        <w:adjustRightInd w:val="0"/>
        <w:spacing w:after="0" w:line="240" w:lineRule="auto"/>
        <w:rPr>
          <w:rFonts w:ascii="Century Gothic" w:hAnsi="Century Gothic"/>
          <w:lang w:val="wo-SN"/>
        </w:rPr>
      </w:pPr>
    </w:p>
    <w:p w14:paraId="0A8B9AD7" w14:textId="77777777" w:rsidR="00C3793A" w:rsidRPr="003333DB" w:rsidRDefault="00C3793A" w:rsidP="00A4123D">
      <w:pPr>
        <w:rPr>
          <w:rFonts w:ascii="Century Gothic" w:hAnsi="Century Gothic"/>
          <w:b/>
          <w:bCs/>
          <w:color w:val="4472C4" w:themeColor="accent1"/>
          <w:sz w:val="24"/>
          <w:szCs w:val="24"/>
          <w:lang w:val="wo-SN"/>
        </w:rPr>
      </w:pPr>
    </w:p>
    <w:p w14:paraId="737E7BCB" w14:textId="7811E37A" w:rsidR="00A4123D" w:rsidRPr="001F2392" w:rsidRDefault="00A616B6" w:rsidP="001F2392">
      <w:pPr>
        <w:pStyle w:val="Titre2"/>
        <w:rPr>
          <w:rFonts w:ascii="Century Gothic" w:hAnsi="Century Gothic"/>
        </w:rPr>
      </w:pPr>
      <w:bookmarkStart w:id="12" w:name="_Toc189375536"/>
      <w:r>
        <w:rPr>
          <w:rFonts w:ascii="Century Gothic" w:hAnsi="Century Gothic"/>
        </w:rPr>
        <w:t>1</w:t>
      </w:r>
      <w:r w:rsidRPr="001F2392">
        <w:rPr>
          <w:rFonts w:ascii="Century Gothic" w:hAnsi="Century Gothic"/>
        </w:rPr>
        <w:t>.3 Principales</w:t>
      </w:r>
      <w:r w:rsidR="00A4123D" w:rsidRPr="001F2392">
        <w:rPr>
          <w:rFonts w:ascii="Century Gothic" w:hAnsi="Century Gothic"/>
        </w:rPr>
        <w:t xml:space="preserve"> Aires Protégées</w:t>
      </w:r>
      <w:bookmarkEnd w:id="12"/>
    </w:p>
    <w:p w14:paraId="56600B24" w14:textId="713FA859" w:rsidR="00A4123D" w:rsidRDefault="00A4123D" w:rsidP="00A4123D">
      <w:pPr>
        <w:jc w:val="both"/>
        <w:rPr>
          <w:rFonts w:ascii="Century Gothic" w:hAnsi="Century Gothic"/>
        </w:rPr>
      </w:pPr>
      <w:r w:rsidRPr="00541183">
        <w:rPr>
          <w:rFonts w:ascii="Century Gothic" w:hAnsi="Century Gothic"/>
        </w:rPr>
        <w:t>La Mauritanie possède plusieurs aires protégées, comprenant des parcs nationaux, des réserves naturelles et des sites Ramsar</w:t>
      </w:r>
      <w:r>
        <w:rPr>
          <w:rFonts w:ascii="Century Gothic" w:hAnsi="Century Gothic"/>
        </w:rPr>
        <w:t xml:space="preserve"> (figure </w:t>
      </w:r>
      <w:r w:rsidR="002433B3">
        <w:rPr>
          <w:rFonts w:ascii="Century Gothic" w:hAnsi="Century Gothic"/>
        </w:rPr>
        <w:t>2</w:t>
      </w:r>
      <w:r>
        <w:rPr>
          <w:rFonts w:ascii="Century Gothic" w:hAnsi="Century Gothic"/>
        </w:rPr>
        <w:t>)</w:t>
      </w:r>
      <w:r w:rsidRPr="00541183">
        <w:rPr>
          <w:rFonts w:ascii="Century Gothic" w:hAnsi="Century Gothic"/>
        </w:rPr>
        <w:t>. Ces aires protégées jouent un rôle crucial dans la conservation de la biodiversité et la protection des écosystèmes marins et littoraux en Mauritanie</w:t>
      </w:r>
      <w:r w:rsidRPr="00541183">
        <w:rPr>
          <w:rStyle w:val="Appelnotedebasdep"/>
          <w:rFonts w:ascii="Century Gothic" w:hAnsi="Century Gothic"/>
        </w:rPr>
        <w:footnoteReference w:id="9"/>
      </w:r>
      <w:r w:rsidR="00A616B6">
        <w:rPr>
          <w:rFonts w:ascii="Century Gothic" w:hAnsi="Century Gothic"/>
        </w:rPr>
        <w:t xml:space="preserve"> </w:t>
      </w:r>
      <w:r w:rsidRPr="00541183">
        <w:rPr>
          <w:rStyle w:val="Appelnotedebasdep"/>
          <w:rFonts w:ascii="Century Gothic" w:hAnsi="Century Gothic"/>
        </w:rPr>
        <w:footnoteReference w:id="10"/>
      </w:r>
      <w:r w:rsidR="00A616B6">
        <w:rPr>
          <w:rFonts w:ascii="Century Gothic" w:hAnsi="Century Gothic"/>
        </w:rPr>
        <w:t xml:space="preserve"> </w:t>
      </w:r>
      <w:r w:rsidRPr="00541183">
        <w:rPr>
          <w:rStyle w:val="Appelnotedebasdep"/>
          <w:rFonts w:ascii="Century Gothic" w:hAnsi="Century Gothic"/>
        </w:rPr>
        <w:footnoteReference w:id="11"/>
      </w:r>
      <w:r>
        <w:rPr>
          <w:rFonts w:ascii="Century Gothic" w:hAnsi="Century Gothic"/>
        </w:rPr>
        <w:t xml:space="preserve">(table </w:t>
      </w:r>
      <w:r w:rsidR="00C61068">
        <w:rPr>
          <w:rFonts w:ascii="Century Gothic" w:hAnsi="Century Gothic"/>
        </w:rPr>
        <w:t>1</w:t>
      </w:r>
      <w:r>
        <w:rPr>
          <w:rFonts w:ascii="Century Gothic" w:hAnsi="Century Gothic"/>
        </w:rPr>
        <w:t>)</w:t>
      </w:r>
      <w:r w:rsidRPr="00541183">
        <w:rPr>
          <w:rFonts w:ascii="Century Gothic" w:hAnsi="Century Gothic"/>
        </w:rPr>
        <w:t>.</w:t>
      </w:r>
    </w:p>
    <w:p w14:paraId="3D984051" w14:textId="4DA35BE2" w:rsidR="00A4123D" w:rsidRDefault="00A4123D" w:rsidP="00A4123D">
      <w:pPr>
        <w:jc w:val="both"/>
        <w:rPr>
          <w:rFonts w:ascii="Century Gothic" w:hAnsi="Century Gothic"/>
        </w:rPr>
      </w:pPr>
      <w:r w:rsidRPr="001C5A7A">
        <w:rPr>
          <w:rFonts w:ascii="Century Gothic" w:hAnsi="Century Gothic"/>
          <w:noProof/>
          <w:lang w:eastAsia="fr-FR"/>
        </w:rPr>
        <w:drawing>
          <wp:inline distT="0" distB="0" distL="0" distR="0" wp14:anchorId="073CA594" wp14:editId="173D4092">
            <wp:extent cx="5760720" cy="2187575"/>
            <wp:effectExtent l="0" t="0" r="0"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760720" cy="2187575"/>
                    </a:xfrm>
                    <a:prstGeom prst="rect">
                      <a:avLst/>
                    </a:prstGeom>
                  </pic:spPr>
                </pic:pic>
              </a:graphicData>
            </a:graphic>
          </wp:inline>
        </w:drawing>
      </w:r>
      <w:bookmarkStart w:id="13" w:name="_Toc187175749"/>
    </w:p>
    <w:p w14:paraId="7963BDF2" w14:textId="7405FC15" w:rsidR="003A3202" w:rsidRPr="003A3202" w:rsidRDefault="00DE261F" w:rsidP="003A3202">
      <w:pPr>
        <w:pStyle w:val="Lgende"/>
      </w:pPr>
      <w:bookmarkStart w:id="14" w:name="_Toc189305548"/>
      <w:r>
        <w:t xml:space="preserve">Figure </w:t>
      </w:r>
      <w:fldSimple w:instr=" SEQ Figure \* ARABIC ">
        <w:r>
          <w:rPr>
            <w:noProof/>
          </w:rPr>
          <w:t>2</w:t>
        </w:r>
      </w:fldSimple>
      <w:r>
        <w:t xml:space="preserve"> </w:t>
      </w:r>
      <w:r w:rsidRPr="006D38F3">
        <w:t xml:space="preserve">Les aires </w:t>
      </w:r>
      <w:proofErr w:type="spellStart"/>
      <w:r w:rsidRPr="006D38F3">
        <w:t>protegées</w:t>
      </w:r>
      <w:proofErr w:type="spellEnd"/>
      <w:r w:rsidRPr="006D38F3">
        <w:t xml:space="preserve"> et </w:t>
      </w:r>
      <w:bookmarkEnd w:id="14"/>
      <w:r w:rsidR="00A616B6" w:rsidRPr="006D38F3">
        <w:t>OEC Ms</w:t>
      </w:r>
    </w:p>
    <w:p w14:paraId="2A35E5E3" w14:textId="41E2073D" w:rsidR="00A4123D" w:rsidRPr="00541183" w:rsidRDefault="00DE261F" w:rsidP="00DE261F">
      <w:pPr>
        <w:pStyle w:val="Lgende"/>
        <w:rPr>
          <w:rFonts w:ascii="Century Gothic" w:hAnsi="Century Gothic"/>
        </w:rPr>
      </w:pPr>
      <w:bookmarkStart w:id="15" w:name="_Toc189305533"/>
      <w:bookmarkEnd w:id="13"/>
      <w:r>
        <w:t xml:space="preserve">Table </w:t>
      </w:r>
      <w:fldSimple w:instr=" SEQ Table \* ARABIC ">
        <w:r>
          <w:rPr>
            <w:noProof/>
          </w:rPr>
          <w:t>1</w:t>
        </w:r>
      </w:fldSimple>
      <w:r>
        <w:t xml:space="preserve"> </w:t>
      </w:r>
      <w:r w:rsidRPr="00CB497F">
        <w:t>: Principales Aires Protégées</w:t>
      </w:r>
      <w:bookmarkEnd w:id="15"/>
    </w:p>
    <w:tbl>
      <w:tblPr>
        <w:tblStyle w:val="Grilledutableau"/>
        <w:tblW w:w="0" w:type="auto"/>
        <w:tblLook w:val="04A0" w:firstRow="1" w:lastRow="0" w:firstColumn="1" w:lastColumn="0" w:noHBand="0" w:noVBand="1"/>
      </w:tblPr>
      <w:tblGrid>
        <w:gridCol w:w="2265"/>
        <w:gridCol w:w="2265"/>
        <w:gridCol w:w="2266"/>
        <w:gridCol w:w="2266"/>
      </w:tblGrid>
      <w:tr w:rsidR="00A4123D" w:rsidRPr="00541183" w14:paraId="4B44CE43" w14:textId="77777777" w:rsidTr="00C3793A">
        <w:tc>
          <w:tcPr>
            <w:tcW w:w="2265" w:type="dxa"/>
            <w:shd w:val="clear" w:color="auto" w:fill="70AD47" w:themeFill="accent6"/>
          </w:tcPr>
          <w:p w14:paraId="70C10FAD" w14:textId="77777777" w:rsidR="00A4123D" w:rsidRPr="00C3793A" w:rsidRDefault="00A4123D" w:rsidP="0062478D">
            <w:pPr>
              <w:jc w:val="both"/>
              <w:rPr>
                <w:rFonts w:ascii="Century Gothic" w:hAnsi="Century Gothic"/>
                <w:b/>
                <w:bCs/>
                <w:color w:val="FFFFFF" w:themeColor="background1"/>
              </w:rPr>
            </w:pPr>
            <w:r w:rsidRPr="00C3793A">
              <w:rPr>
                <w:rFonts w:ascii="Century Gothic" w:hAnsi="Century Gothic"/>
                <w:b/>
                <w:bCs/>
                <w:color w:val="FFFFFF" w:themeColor="background1"/>
              </w:rPr>
              <w:t xml:space="preserve">Parc National </w:t>
            </w:r>
          </w:p>
        </w:tc>
        <w:tc>
          <w:tcPr>
            <w:tcW w:w="2265" w:type="dxa"/>
            <w:shd w:val="clear" w:color="auto" w:fill="70AD47" w:themeFill="accent6"/>
          </w:tcPr>
          <w:p w14:paraId="3983545D" w14:textId="77777777" w:rsidR="00A4123D" w:rsidRPr="00C3793A" w:rsidRDefault="00A4123D" w:rsidP="0062478D">
            <w:pPr>
              <w:jc w:val="both"/>
              <w:rPr>
                <w:rFonts w:ascii="Century Gothic" w:hAnsi="Century Gothic"/>
                <w:b/>
                <w:bCs/>
                <w:color w:val="FFFFFF" w:themeColor="background1"/>
              </w:rPr>
            </w:pPr>
            <w:proofErr w:type="spellStart"/>
            <w:r w:rsidRPr="00C3793A">
              <w:rPr>
                <w:rFonts w:ascii="Century Gothic" w:hAnsi="Century Gothic"/>
                <w:b/>
                <w:bCs/>
                <w:color w:val="FFFFFF" w:themeColor="background1"/>
              </w:rPr>
              <w:t>Creation</w:t>
            </w:r>
            <w:proofErr w:type="spellEnd"/>
            <w:r w:rsidRPr="00C3793A">
              <w:rPr>
                <w:rFonts w:ascii="Century Gothic" w:hAnsi="Century Gothic"/>
                <w:b/>
                <w:bCs/>
                <w:color w:val="FFFFFF" w:themeColor="background1"/>
              </w:rPr>
              <w:t xml:space="preserve"> </w:t>
            </w:r>
          </w:p>
        </w:tc>
        <w:tc>
          <w:tcPr>
            <w:tcW w:w="2266" w:type="dxa"/>
            <w:shd w:val="clear" w:color="auto" w:fill="70AD47" w:themeFill="accent6"/>
          </w:tcPr>
          <w:p w14:paraId="7E4838A4" w14:textId="77777777" w:rsidR="00A4123D" w:rsidRPr="00C3793A" w:rsidRDefault="00A4123D" w:rsidP="0062478D">
            <w:pPr>
              <w:jc w:val="both"/>
              <w:rPr>
                <w:rFonts w:ascii="Century Gothic" w:hAnsi="Century Gothic"/>
                <w:b/>
                <w:bCs/>
                <w:color w:val="FFFFFF" w:themeColor="background1"/>
              </w:rPr>
            </w:pPr>
            <w:r w:rsidRPr="00C3793A">
              <w:rPr>
                <w:rFonts w:ascii="Century Gothic" w:hAnsi="Century Gothic"/>
                <w:b/>
                <w:bCs/>
                <w:color w:val="FFFFFF" w:themeColor="background1"/>
              </w:rPr>
              <w:t xml:space="preserve">Superficie </w:t>
            </w:r>
          </w:p>
        </w:tc>
        <w:tc>
          <w:tcPr>
            <w:tcW w:w="2266" w:type="dxa"/>
            <w:shd w:val="clear" w:color="auto" w:fill="70AD47" w:themeFill="accent6"/>
          </w:tcPr>
          <w:p w14:paraId="33B1E902" w14:textId="77777777" w:rsidR="00A4123D" w:rsidRPr="00C3793A" w:rsidRDefault="00A4123D" w:rsidP="0062478D">
            <w:pPr>
              <w:jc w:val="both"/>
              <w:rPr>
                <w:rFonts w:ascii="Century Gothic" w:hAnsi="Century Gothic"/>
                <w:b/>
                <w:bCs/>
                <w:color w:val="FFFFFF" w:themeColor="background1"/>
              </w:rPr>
            </w:pPr>
            <w:r w:rsidRPr="00C3793A">
              <w:rPr>
                <w:rFonts w:ascii="Century Gothic" w:hAnsi="Century Gothic"/>
                <w:b/>
                <w:bCs/>
                <w:color w:val="FFFFFF" w:themeColor="background1"/>
              </w:rPr>
              <w:t xml:space="preserve">Importance </w:t>
            </w:r>
          </w:p>
        </w:tc>
      </w:tr>
      <w:tr w:rsidR="00A4123D" w:rsidRPr="00541183" w14:paraId="6D7A4EDF" w14:textId="77777777" w:rsidTr="0062478D">
        <w:tc>
          <w:tcPr>
            <w:tcW w:w="2265" w:type="dxa"/>
          </w:tcPr>
          <w:p w14:paraId="29A9C6B2" w14:textId="77777777" w:rsidR="00A4123D" w:rsidRPr="00F42355" w:rsidRDefault="00A4123D" w:rsidP="0062478D">
            <w:pPr>
              <w:jc w:val="both"/>
              <w:rPr>
                <w:rFonts w:ascii="Century Gothic" w:hAnsi="Century Gothic"/>
                <w:sz w:val="20"/>
                <w:szCs w:val="20"/>
              </w:rPr>
            </w:pPr>
            <w:r w:rsidRPr="00F42355">
              <w:rPr>
                <w:rFonts w:ascii="Century Gothic" w:hAnsi="Century Gothic"/>
                <w:sz w:val="20"/>
                <w:szCs w:val="20"/>
              </w:rPr>
              <w:t>Parc National du Banc d'Arguin</w:t>
            </w:r>
          </w:p>
        </w:tc>
        <w:tc>
          <w:tcPr>
            <w:tcW w:w="2265" w:type="dxa"/>
          </w:tcPr>
          <w:p w14:paraId="713852C8" w14:textId="77777777" w:rsidR="00A4123D" w:rsidRPr="00F42355" w:rsidRDefault="00A4123D" w:rsidP="0062478D">
            <w:pPr>
              <w:jc w:val="both"/>
              <w:rPr>
                <w:rFonts w:ascii="Century Gothic" w:hAnsi="Century Gothic"/>
                <w:sz w:val="18"/>
                <w:szCs w:val="18"/>
              </w:rPr>
            </w:pPr>
            <w:r w:rsidRPr="00F42355">
              <w:rPr>
                <w:rFonts w:ascii="Century Gothic" w:hAnsi="Century Gothic"/>
                <w:sz w:val="18"/>
                <w:szCs w:val="18"/>
              </w:rPr>
              <w:t>1976</w:t>
            </w:r>
          </w:p>
        </w:tc>
        <w:tc>
          <w:tcPr>
            <w:tcW w:w="2266" w:type="dxa"/>
          </w:tcPr>
          <w:p w14:paraId="18CCC4BC" w14:textId="77777777" w:rsidR="00A4123D" w:rsidRPr="00F42355" w:rsidRDefault="00A4123D" w:rsidP="0062478D">
            <w:pPr>
              <w:jc w:val="both"/>
              <w:rPr>
                <w:rFonts w:ascii="Century Gothic" w:hAnsi="Century Gothic"/>
                <w:sz w:val="18"/>
                <w:szCs w:val="18"/>
              </w:rPr>
            </w:pPr>
            <w:r w:rsidRPr="00F42355">
              <w:rPr>
                <w:rFonts w:ascii="Century Gothic" w:hAnsi="Century Gothic"/>
                <w:sz w:val="18"/>
                <w:szCs w:val="18"/>
              </w:rPr>
              <w:t>1 200 000 hectares</w:t>
            </w:r>
          </w:p>
        </w:tc>
        <w:tc>
          <w:tcPr>
            <w:tcW w:w="2266" w:type="dxa"/>
          </w:tcPr>
          <w:p w14:paraId="02A4205D" w14:textId="77777777" w:rsidR="00A4123D" w:rsidRPr="00F42355" w:rsidRDefault="00A4123D" w:rsidP="0062478D">
            <w:pPr>
              <w:jc w:val="both"/>
              <w:rPr>
                <w:rFonts w:ascii="Century Gothic" w:hAnsi="Century Gothic"/>
                <w:sz w:val="18"/>
                <w:szCs w:val="18"/>
              </w:rPr>
            </w:pPr>
            <w:r w:rsidRPr="00F42355">
              <w:rPr>
                <w:rFonts w:ascii="Century Gothic" w:hAnsi="Century Gothic"/>
                <w:sz w:val="18"/>
                <w:szCs w:val="18"/>
              </w:rPr>
              <w:t>Classé comme site Ramsar en 1982, ce parc est reconnu pour sa biodiversité marine et ses zones humides d'importance internationale. Il sert de refuge à de nombreuses espèces migratrices et est crucial pour la reproduction de la faune marine</w:t>
            </w:r>
            <w:r w:rsidRPr="00F42355">
              <w:rPr>
                <w:rStyle w:val="Appelnotedebasdep"/>
                <w:rFonts w:ascii="Century Gothic" w:hAnsi="Century Gothic"/>
                <w:sz w:val="18"/>
                <w:szCs w:val="18"/>
              </w:rPr>
              <w:footnoteReference w:id="12"/>
            </w:r>
            <w:r w:rsidRPr="00F42355">
              <w:rPr>
                <w:rStyle w:val="Appelnotedebasdep"/>
                <w:rFonts w:ascii="Century Gothic" w:hAnsi="Century Gothic"/>
                <w:sz w:val="18"/>
                <w:szCs w:val="18"/>
              </w:rPr>
              <w:footnoteReference w:id="13"/>
            </w:r>
            <w:r w:rsidRPr="00F42355">
              <w:rPr>
                <w:rStyle w:val="Appelnotedebasdep"/>
                <w:rFonts w:ascii="Century Gothic" w:hAnsi="Century Gothic"/>
                <w:sz w:val="18"/>
                <w:szCs w:val="18"/>
              </w:rPr>
              <w:footnoteReference w:id="14"/>
            </w:r>
            <w:r w:rsidRPr="00F42355">
              <w:rPr>
                <w:rFonts w:ascii="Century Gothic" w:hAnsi="Century Gothic"/>
                <w:sz w:val="18"/>
                <w:szCs w:val="18"/>
              </w:rPr>
              <w:t>.</w:t>
            </w:r>
          </w:p>
        </w:tc>
      </w:tr>
      <w:tr w:rsidR="00A4123D" w:rsidRPr="00541183" w14:paraId="01ABA804" w14:textId="77777777" w:rsidTr="0062478D">
        <w:tc>
          <w:tcPr>
            <w:tcW w:w="2265" w:type="dxa"/>
          </w:tcPr>
          <w:p w14:paraId="0830BEF9" w14:textId="77777777" w:rsidR="00A4123D" w:rsidRPr="00F42355" w:rsidRDefault="00A4123D" w:rsidP="0062478D">
            <w:pPr>
              <w:jc w:val="both"/>
              <w:rPr>
                <w:rFonts w:ascii="Century Gothic" w:hAnsi="Century Gothic"/>
                <w:sz w:val="20"/>
                <w:szCs w:val="20"/>
              </w:rPr>
            </w:pPr>
            <w:r w:rsidRPr="00F42355">
              <w:rPr>
                <w:rFonts w:ascii="Century Gothic" w:hAnsi="Century Gothic"/>
                <w:sz w:val="20"/>
                <w:szCs w:val="20"/>
              </w:rPr>
              <w:t>Parc National du Diawling</w:t>
            </w:r>
          </w:p>
        </w:tc>
        <w:tc>
          <w:tcPr>
            <w:tcW w:w="2265" w:type="dxa"/>
          </w:tcPr>
          <w:p w14:paraId="511B0789" w14:textId="77777777" w:rsidR="00A4123D" w:rsidRPr="00F42355" w:rsidRDefault="00A4123D" w:rsidP="0062478D">
            <w:pPr>
              <w:jc w:val="both"/>
              <w:rPr>
                <w:rFonts w:ascii="Century Gothic" w:hAnsi="Century Gothic"/>
                <w:sz w:val="18"/>
                <w:szCs w:val="18"/>
              </w:rPr>
            </w:pPr>
            <w:r w:rsidRPr="00F42355">
              <w:rPr>
                <w:rFonts w:ascii="Century Gothic" w:hAnsi="Century Gothic"/>
                <w:sz w:val="18"/>
                <w:szCs w:val="18"/>
              </w:rPr>
              <w:t>1991</w:t>
            </w:r>
          </w:p>
          <w:p w14:paraId="14FCEBA3" w14:textId="77777777" w:rsidR="00A4123D" w:rsidRPr="00F42355" w:rsidRDefault="00A4123D" w:rsidP="0062478D">
            <w:pPr>
              <w:jc w:val="both"/>
              <w:rPr>
                <w:rFonts w:ascii="Century Gothic" w:hAnsi="Century Gothic"/>
                <w:sz w:val="18"/>
                <w:szCs w:val="18"/>
              </w:rPr>
            </w:pPr>
          </w:p>
        </w:tc>
        <w:tc>
          <w:tcPr>
            <w:tcW w:w="2266" w:type="dxa"/>
          </w:tcPr>
          <w:p w14:paraId="45E89006" w14:textId="77777777" w:rsidR="00A4123D" w:rsidRPr="00F42355" w:rsidRDefault="00A4123D" w:rsidP="0062478D">
            <w:pPr>
              <w:jc w:val="both"/>
              <w:rPr>
                <w:rFonts w:ascii="Century Gothic" w:hAnsi="Century Gothic"/>
                <w:sz w:val="18"/>
                <w:szCs w:val="18"/>
              </w:rPr>
            </w:pPr>
            <w:r w:rsidRPr="00F42355">
              <w:rPr>
                <w:rFonts w:ascii="Century Gothic" w:hAnsi="Century Gothic"/>
                <w:sz w:val="18"/>
                <w:szCs w:val="18"/>
              </w:rPr>
              <w:t>16 000 hectares</w:t>
            </w:r>
          </w:p>
        </w:tc>
        <w:tc>
          <w:tcPr>
            <w:tcW w:w="2266" w:type="dxa"/>
          </w:tcPr>
          <w:p w14:paraId="05EA1EC9" w14:textId="77777777" w:rsidR="00A4123D" w:rsidRPr="00F42355" w:rsidRDefault="00A4123D" w:rsidP="0062478D">
            <w:pPr>
              <w:jc w:val="both"/>
              <w:rPr>
                <w:rFonts w:ascii="Century Gothic" w:hAnsi="Century Gothic"/>
                <w:sz w:val="18"/>
                <w:szCs w:val="18"/>
              </w:rPr>
            </w:pPr>
            <w:r w:rsidRPr="00F42355">
              <w:rPr>
                <w:rFonts w:ascii="Century Gothic" w:hAnsi="Century Gothic"/>
                <w:sz w:val="18"/>
                <w:szCs w:val="18"/>
              </w:rPr>
              <w:t>Également classé site Ramsar, le Diawling est essentiel pour la conservation des zones humides et abrite une variété d'espèces aviaires et aquatiques</w:t>
            </w:r>
            <w:r w:rsidRPr="00F42355">
              <w:rPr>
                <w:rStyle w:val="Appelnotedebasdep"/>
                <w:rFonts w:ascii="Century Gothic" w:hAnsi="Century Gothic"/>
                <w:sz w:val="18"/>
                <w:szCs w:val="18"/>
              </w:rPr>
              <w:footnoteReference w:id="15"/>
            </w:r>
            <w:r w:rsidRPr="00F42355">
              <w:rPr>
                <w:rStyle w:val="Appelnotedebasdep"/>
                <w:rFonts w:ascii="Century Gothic" w:hAnsi="Century Gothic"/>
                <w:sz w:val="18"/>
                <w:szCs w:val="18"/>
              </w:rPr>
              <w:footnoteReference w:id="16"/>
            </w:r>
            <w:r w:rsidRPr="00F42355">
              <w:rPr>
                <w:rFonts w:ascii="Century Gothic" w:hAnsi="Century Gothic"/>
                <w:sz w:val="18"/>
                <w:szCs w:val="18"/>
              </w:rPr>
              <w:t>.</w:t>
            </w:r>
          </w:p>
        </w:tc>
      </w:tr>
      <w:tr w:rsidR="00A4123D" w:rsidRPr="00541183" w14:paraId="35C3387A" w14:textId="77777777" w:rsidTr="0062478D">
        <w:tc>
          <w:tcPr>
            <w:tcW w:w="2265" w:type="dxa"/>
          </w:tcPr>
          <w:p w14:paraId="31594E43" w14:textId="77777777" w:rsidR="00A4123D" w:rsidRPr="00541183" w:rsidRDefault="00A4123D" w:rsidP="0062478D">
            <w:pPr>
              <w:jc w:val="both"/>
              <w:rPr>
                <w:rFonts w:ascii="Century Gothic" w:hAnsi="Century Gothic"/>
              </w:rPr>
            </w:pPr>
            <w:r w:rsidRPr="00F42355">
              <w:rPr>
                <w:rFonts w:ascii="Century Gothic" w:hAnsi="Century Gothic"/>
                <w:sz w:val="20"/>
                <w:szCs w:val="20"/>
              </w:rPr>
              <w:t>Parc National d'Awleigat</w:t>
            </w:r>
          </w:p>
        </w:tc>
        <w:tc>
          <w:tcPr>
            <w:tcW w:w="6797" w:type="dxa"/>
            <w:gridSpan w:val="3"/>
          </w:tcPr>
          <w:p w14:paraId="4A1C2BA5" w14:textId="77777777" w:rsidR="00A4123D" w:rsidRPr="00F42355" w:rsidRDefault="00A4123D" w:rsidP="0062478D">
            <w:pPr>
              <w:jc w:val="both"/>
              <w:rPr>
                <w:rFonts w:ascii="Century Gothic" w:hAnsi="Century Gothic"/>
                <w:sz w:val="18"/>
                <w:szCs w:val="18"/>
              </w:rPr>
            </w:pPr>
            <w:r w:rsidRPr="00F42355">
              <w:rPr>
                <w:rFonts w:ascii="Century Gothic" w:hAnsi="Century Gothic"/>
                <w:sz w:val="18"/>
                <w:szCs w:val="18"/>
              </w:rPr>
              <w:t>Création, Non spécifiée dans les résultats, mais fait partie des parcs nationaux.</w:t>
            </w:r>
          </w:p>
        </w:tc>
      </w:tr>
      <w:tr w:rsidR="00A4123D" w:rsidRPr="00541183" w14:paraId="46A8B50D" w14:textId="77777777" w:rsidTr="0062478D">
        <w:tc>
          <w:tcPr>
            <w:tcW w:w="2265" w:type="dxa"/>
            <w:shd w:val="clear" w:color="auto" w:fill="70AD47" w:themeFill="accent6"/>
          </w:tcPr>
          <w:p w14:paraId="1D5A6A80" w14:textId="77777777" w:rsidR="00A4123D" w:rsidRPr="00C3793A" w:rsidRDefault="00A4123D" w:rsidP="0062478D">
            <w:pPr>
              <w:jc w:val="both"/>
              <w:rPr>
                <w:rFonts w:ascii="Century Gothic" w:hAnsi="Century Gothic"/>
                <w:b/>
                <w:bCs/>
                <w:color w:val="FFFFFF" w:themeColor="background1"/>
              </w:rPr>
            </w:pPr>
            <w:r w:rsidRPr="00C3793A">
              <w:rPr>
                <w:rFonts w:ascii="Century Gothic" w:hAnsi="Century Gothic"/>
                <w:b/>
                <w:bCs/>
                <w:color w:val="FFFFFF" w:themeColor="background1"/>
              </w:rPr>
              <w:t xml:space="preserve">Reserve naturelle </w:t>
            </w:r>
          </w:p>
        </w:tc>
        <w:tc>
          <w:tcPr>
            <w:tcW w:w="2265" w:type="dxa"/>
            <w:shd w:val="clear" w:color="auto" w:fill="70AD47" w:themeFill="accent6"/>
          </w:tcPr>
          <w:p w14:paraId="30B48399" w14:textId="77777777" w:rsidR="00A4123D" w:rsidRPr="00C3793A" w:rsidRDefault="00A4123D" w:rsidP="0062478D">
            <w:pPr>
              <w:jc w:val="both"/>
              <w:rPr>
                <w:rFonts w:ascii="Century Gothic" w:hAnsi="Century Gothic"/>
                <w:b/>
                <w:bCs/>
                <w:color w:val="FFFFFF" w:themeColor="background1"/>
              </w:rPr>
            </w:pPr>
            <w:proofErr w:type="spellStart"/>
            <w:r w:rsidRPr="00C3793A">
              <w:rPr>
                <w:rFonts w:ascii="Century Gothic" w:hAnsi="Century Gothic"/>
                <w:b/>
                <w:bCs/>
                <w:color w:val="FFFFFF" w:themeColor="background1"/>
              </w:rPr>
              <w:t>Creation</w:t>
            </w:r>
            <w:proofErr w:type="spellEnd"/>
            <w:r w:rsidRPr="00C3793A">
              <w:rPr>
                <w:rFonts w:ascii="Century Gothic" w:hAnsi="Century Gothic"/>
                <w:b/>
                <w:bCs/>
                <w:color w:val="FFFFFF" w:themeColor="background1"/>
              </w:rPr>
              <w:t xml:space="preserve"> </w:t>
            </w:r>
          </w:p>
        </w:tc>
        <w:tc>
          <w:tcPr>
            <w:tcW w:w="2266" w:type="dxa"/>
            <w:shd w:val="clear" w:color="auto" w:fill="70AD47" w:themeFill="accent6"/>
          </w:tcPr>
          <w:p w14:paraId="182948EB" w14:textId="77777777" w:rsidR="00A4123D" w:rsidRPr="00C3793A" w:rsidRDefault="00A4123D" w:rsidP="0062478D">
            <w:pPr>
              <w:jc w:val="both"/>
              <w:rPr>
                <w:rFonts w:ascii="Century Gothic" w:hAnsi="Century Gothic"/>
                <w:b/>
                <w:bCs/>
                <w:color w:val="FFFFFF" w:themeColor="background1"/>
              </w:rPr>
            </w:pPr>
            <w:r w:rsidRPr="00C3793A">
              <w:rPr>
                <w:rFonts w:ascii="Century Gothic" w:hAnsi="Century Gothic"/>
                <w:b/>
                <w:bCs/>
                <w:color w:val="FFFFFF" w:themeColor="background1"/>
              </w:rPr>
              <w:t xml:space="preserve">Superficie </w:t>
            </w:r>
          </w:p>
        </w:tc>
        <w:tc>
          <w:tcPr>
            <w:tcW w:w="2266" w:type="dxa"/>
            <w:shd w:val="clear" w:color="auto" w:fill="70AD47" w:themeFill="accent6"/>
          </w:tcPr>
          <w:p w14:paraId="02DF2C07" w14:textId="77777777" w:rsidR="00A4123D" w:rsidRPr="00C3793A" w:rsidRDefault="00A4123D" w:rsidP="0062478D">
            <w:pPr>
              <w:jc w:val="both"/>
              <w:rPr>
                <w:rFonts w:ascii="Century Gothic" w:hAnsi="Century Gothic"/>
                <w:b/>
                <w:bCs/>
                <w:color w:val="FFFFFF" w:themeColor="background1"/>
              </w:rPr>
            </w:pPr>
            <w:r w:rsidRPr="00C3793A">
              <w:rPr>
                <w:rFonts w:ascii="Century Gothic" w:hAnsi="Century Gothic"/>
                <w:b/>
                <w:bCs/>
                <w:color w:val="FFFFFF" w:themeColor="background1"/>
              </w:rPr>
              <w:t xml:space="preserve">Importance </w:t>
            </w:r>
          </w:p>
        </w:tc>
      </w:tr>
      <w:tr w:rsidR="00A4123D" w:rsidRPr="00541183" w14:paraId="69699195" w14:textId="77777777" w:rsidTr="0062478D">
        <w:tc>
          <w:tcPr>
            <w:tcW w:w="2265" w:type="dxa"/>
          </w:tcPr>
          <w:p w14:paraId="51368984" w14:textId="77777777" w:rsidR="00A4123D" w:rsidRPr="00F42355" w:rsidRDefault="00A4123D" w:rsidP="0062478D">
            <w:pPr>
              <w:jc w:val="both"/>
              <w:rPr>
                <w:rFonts w:ascii="Century Gothic" w:hAnsi="Century Gothic"/>
                <w:sz w:val="20"/>
                <w:szCs w:val="20"/>
              </w:rPr>
            </w:pPr>
            <w:r>
              <w:rPr>
                <w:rFonts w:ascii="Century Gothic" w:hAnsi="Century Gothic"/>
                <w:sz w:val="20"/>
                <w:szCs w:val="20"/>
              </w:rPr>
              <w:t>Réserve Naturelle de la Baie de l’Etoile</w:t>
            </w:r>
          </w:p>
        </w:tc>
        <w:tc>
          <w:tcPr>
            <w:tcW w:w="2265" w:type="dxa"/>
          </w:tcPr>
          <w:p w14:paraId="34467CF9" w14:textId="77777777" w:rsidR="00A4123D" w:rsidRPr="00F42355" w:rsidRDefault="00A4123D" w:rsidP="0062478D">
            <w:pPr>
              <w:jc w:val="both"/>
              <w:rPr>
                <w:rFonts w:ascii="Century Gothic" w:hAnsi="Century Gothic"/>
                <w:sz w:val="18"/>
                <w:szCs w:val="18"/>
              </w:rPr>
            </w:pPr>
            <w:r>
              <w:rPr>
                <w:rFonts w:ascii="Century Gothic" w:hAnsi="Century Gothic"/>
                <w:sz w:val="18"/>
                <w:szCs w:val="18"/>
              </w:rPr>
              <w:t>2024</w:t>
            </w:r>
          </w:p>
        </w:tc>
        <w:tc>
          <w:tcPr>
            <w:tcW w:w="2266" w:type="dxa"/>
          </w:tcPr>
          <w:p w14:paraId="0F352524" w14:textId="77777777" w:rsidR="00A4123D" w:rsidRPr="00F42355" w:rsidRDefault="00A4123D" w:rsidP="0062478D">
            <w:pPr>
              <w:jc w:val="both"/>
              <w:rPr>
                <w:rFonts w:ascii="Century Gothic" w:hAnsi="Century Gothic"/>
                <w:sz w:val="18"/>
                <w:szCs w:val="18"/>
              </w:rPr>
            </w:pPr>
            <w:r>
              <w:rPr>
                <w:rFonts w:ascii="Century Gothic" w:hAnsi="Century Gothic"/>
                <w:sz w:val="18"/>
                <w:szCs w:val="18"/>
              </w:rPr>
              <w:t>1200 hectares</w:t>
            </w:r>
          </w:p>
        </w:tc>
        <w:tc>
          <w:tcPr>
            <w:tcW w:w="2266" w:type="dxa"/>
          </w:tcPr>
          <w:p w14:paraId="04DE90E7" w14:textId="77777777" w:rsidR="00A4123D" w:rsidRPr="00F42355" w:rsidRDefault="00A4123D" w:rsidP="0062478D">
            <w:pPr>
              <w:jc w:val="both"/>
              <w:rPr>
                <w:rFonts w:ascii="Century Gothic" w:hAnsi="Century Gothic"/>
                <w:sz w:val="18"/>
                <w:szCs w:val="18"/>
              </w:rPr>
            </w:pPr>
            <w:r w:rsidRPr="00F42355">
              <w:rPr>
                <w:rFonts w:ascii="Century Gothic" w:hAnsi="Century Gothic"/>
                <w:sz w:val="18"/>
                <w:szCs w:val="18"/>
              </w:rPr>
              <w:t>Protection de la biodiversité</w:t>
            </w:r>
            <w:r>
              <w:rPr>
                <w:rFonts w:ascii="Century Gothic" w:hAnsi="Century Gothic"/>
                <w:sz w:val="18"/>
                <w:szCs w:val="18"/>
              </w:rPr>
              <w:t xml:space="preserve"> marine</w:t>
            </w:r>
            <w:r w:rsidRPr="00F42355">
              <w:rPr>
                <w:rFonts w:ascii="Century Gothic" w:hAnsi="Century Gothic"/>
                <w:sz w:val="18"/>
                <w:szCs w:val="18"/>
              </w:rPr>
              <w:t xml:space="preserve"> et des habitats naturels</w:t>
            </w:r>
          </w:p>
        </w:tc>
      </w:tr>
      <w:tr w:rsidR="00A4123D" w:rsidRPr="00541183" w14:paraId="2DA47A85" w14:textId="77777777" w:rsidTr="0062478D">
        <w:tc>
          <w:tcPr>
            <w:tcW w:w="2265" w:type="dxa"/>
          </w:tcPr>
          <w:p w14:paraId="1202ECA7" w14:textId="14F30458" w:rsidR="00A4123D" w:rsidRDefault="009A052B" w:rsidP="0062478D">
            <w:pPr>
              <w:jc w:val="both"/>
              <w:rPr>
                <w:rFonts w:ascii="Century Gothic" w:hAnsi="Century Gothic"/>
                <w:sz w:val="20"/>
                <w:szCs w:val="20"/>
              </w:rPr>
            </w:pPr>
            <w:r>
              <w:rPr>
                <w:rFonts w:ascii="Century Gothic" w:hAnsi="Century Gothic"/>
                <w:sz w:val="20"/>
                <w:szCs w:val="20"/>
              </w:rPr>
              <w:t>Guelb Richat</w:t>
            </w:r>
          </w:p>
        </w:tc>
        <w:tc>
          <w:tcPr>
            <w:tcW w:w="2265" w:type="dxa"/>
          </w:tcPr>
          <w:p w14:paraId="153D8F3F" w14:textId="77777777" w:rsidR="00A4123D" w:rsidRDefault="00A4123D" w:rsidP="0062478D">
            <w:pPr>
              <w:jc w:val="both"/>
              <w:rPr>
                <w:rFonts w:ascii="Century Gothic" w:hAnsi="Century Gothic"/>
                <w:sz w:val="18"/>
                <w:szCs w:val="18"/>
              </w:rPr>
            </w:pPr>
            <w:r>
              <w:rPr>
                <w:rFonts w:ascii="Century Gothic" w:hAnsi="Century Gothic"/>
                <w:sz w:val="18"/>
                <w:szCs w:val="18"/>
              </w:rPr>
              <w:t>2023</w:t>
            </w:r>
          </w:p>
        </w:tc>
        <w:tc>
          <w:tcPr>
            <w:tcW w:w="2266" w:type="dxa"/>
          </w:tcPr>
          <w:p w14:paraId="75AD2FC9" w14:textId="77777777" w:rsidR="00A4123D" w:rsidRPr="00F42355" w:rsidRDefault="00A4123D" w:rsidP="0062478D">
            <w:pPr>
              <w:jc w:val="both"/>
              <w:rPr>
                <w:rFonts w:ascii="Century Gothic" w:hAnsi="Century Gothic"/>
                <w:sz w:val="18"/>
                <w:szCs w:val="18"/>
              </w:rPr>
            </w:pPr>
            <w:r w:rsidRPr="00F42355">
              <w:rPr>
                <w:rFonts w:ascii="Century Gothic" w:hAnsi="Century Gothic"/>
                <w:sz w:val="18"/>
                <w:szCs w:val="18"/>
              </w:rPr>
              <w:t>2 000 000 hectares</w:t>
            </w:r>
          </w:p>
          <w:p w14:paraId="100F324D" w14:textId="77777777" w:rsidR="00A4123D" w:rsidRDefault="00A4123D" w:rsidP="0062478D">
            <w:pPr>
              <w:jc w:val="both"/>
              <w:rPr>
                <w:rFonts w:ascii="Century Gothic" w:hAnsi="Century Gothic"/>
                <w:sz w:val="18"/>
                <w:szCs w:val="18"/>
              </w:rPr>
            </w:pPr>
          </w:p>
        </w:tc>
        <w:tc>
          <w:tcPr>
            <w:tcW w:w="2266" w:type="dxa"/>
          </w:tcPr>
          <w:p w14:paraId="32096640" w14:textId="77777777" w:rsidR="00A4123D" w:rsidRPr="00F42355" w:rsidRDefault="00A4123D" w:rsidP="0062478D">
            <w:pPr>
              <w:jc w:val="both"/>
              <w:rPr>
                <w:rFonts w:ascii="Century Gothic" w:hAnsi="Century Gothic"/>
                <w:sz w:val="18"/>
                <w:szCs w:val="18"/>
              </w:rPr>
            </w:pPr>
            <w:r>
              <w:rPr>
                <w:rFonts w:ascii="Century Gothic" w:hAnsi="Century Gothic"/>
                <w:sz w:val="18"/>
                <w:szCs w:val="18"/>
              </w:rPr>
              <w:t>Protection des sites naturels et de la biodiversité endémique</w:t>
            </w:r>
          </w:p>
        </w:tc>
      </w:tr>
      <w:tr w:rsidR="00A4123D" w:rsidRPr="00541183" w14:paraId="643E9001" w14:textId="77777777" w:rsidTr="0062478D">
        <w:tc>
          <w:tcPr>
            <w:tcW w:w="2265" w:type="dxa"/>
          </w:tcPr>
          <w:p w14:paraId="19FD0EEB" w14:textId="320F091B" w:rsidR="00A4123D" w:rsidRPr="00F42355" w:rsidRDefault="00A4123D" w:rsidP="00B24F8B">
            <w:pPr>
              <w:jc w:val="both"/>
              <w:rPr>
                <w:rFonts w:ascii="Century Gothic" w:hAnsi="Century Gothic"/>
                <w:sz w:val="20"/>
                <w:szCs w:val="20"/>
              </w:rPr>
            </w:pPr>
            <w:r w:rsidRPr="00F42355">
              <w:rPr>
                <w:rFonts w:ascii="Century Gothic" w:hAnsi="Century Gothic"/>
                <w:sz w:val="20"/>
                <w:szCs w:val="20"/>
              </w:rPr>
              <w:t xml:space="preserve">Réserve Naturelle </w:t>
            </w:r>
            <w:r w:rsidR="00C5226D">
              <w:rPr>
                <w:rFonts w:ascii="Century Gothic" w:hAnsi="Century Gothic"/>
                <w:sz w:val="20"/>
                <w:szCs w:val="20"/>
              </w:rPr>
              <w:t>de Chat TB</w:t>
            </w:r>
            <w:r w:rsidR="00B24F8B">
              <w:rPr>
                <w:rFonts w:ascii="Century Gothic" w:hAnsi="Century Gothic"/>
                <w:sz w:val="20"/>
                <w:szCs w:val="20"/>
              </w:rPr>
              <w:t>oul</w:t>
            </w:r>
          </w:p>
        </w:tc>
        <w:tc>
          <w:tcPr>
            <w:tcW w:w="2265" w:type="dxa"/>
          </w:tcPr>
          <w:p w14:paraId="1C32159B" w14:textId="77777777" w:rsidR="00A4123D" w:rsidRPr="00F42355" w:rsidRDefault="00A4123D" w:rsidP="0062478D">
            <w:pPr>
              <w:jc w:val="both"/>
              <w:rPr>
                <w:rFonts w:ascii="Century Gothic" w:hAnsi="Century Gothic"/>
                <w:sz w:val="18"/>
                <w:szCs w:val="18"/>
              </w:rPr>
            </w:pPr>
            <w:r w:rsidRPr="00F42355">
              <w:rPr>
                <w:rFonts w:ascii="Century Gothic" w:hAnsi="Century Gothic"/>
                <w:sz w:val="18"/>
                <w:szCs w:val="18"/>
              </w:rPr>
              <w:t>1990</w:t>
            </w:r>
          </w:p>
        </w:tc>
        <w:tc>
          <w:tcPr>
            <w:tcW w:w="2266" w:type="dxa"/>
          </w:tcPr>
          <w:p w14:paraId="487392AE" w14:textId="38E5E2FD" w:rsidR="00A4123D" w:rsidRPr="00F42355" w:rsidRDefault="00C5226D" w:rsidP="0062478D">
            <w:pPr>
              <w:jc w:val="both"/>
              <w:rPr>
                <w:rFonts w:ascii="Century Gothic" w:hAnsi="Century Gothic"/>
                <w:sz w:val="18"/>
                <w:szCs w:val="18"/>
              </w:rPr>
            </w:pPr>
            <w:r>
              <w:rPr>
                <w:rFonts w:ascii="Century Gothic" w:hAnsi="Century Gothic"/>
                <w:sz w:val="18"/>
                <w:szCs w:val="18"/>
              </w:rPr>
              <w:t>15500 hectares</w:t>
            </w:r>
          </w:p>
        </w:tc>
        <w:tc>
          <w:tcPr>
            <w:tcW w:w="2266" w:type="dxa"/>
          </w:tcPr>
          <w:p w14:paraId="14CEFFF8" w14:textId="77777777" w:rsidR="00A4123D" w:rsidRPr="00F42355" w:rsidRDefault="00A4123D" w:rsidP="0062478D">
            <w:pPr>
              <w:jc w:val="both"/>
              <w:rPr>
                <w:rFonts w:ascii="Century Gothic" w:hAnsi="Century Gothic"/>
                <w:sz w:val="18"/>
                <w:szCs w:val="18"/>
              </w:rPr>
            </w:pPr>
            <w:r w:rsidRPr="00F42355">
              <w:rPr>
                <w:rFonts w:ascii="Century Gothic" w:hAnsi="Century Gothic"/>
                <w:sz w:val="18"/>
                <w:szCs w:val="18"/>
              </w:rPr>
              <w:t>Protection de la biodiversité et des habitats naturels.</w:t>
            </w:r>
          </w:p>
        </w:tc>
      </w:tr>
      <w:tr w:rsidR="00A4123D" w:rsidRPr="00541183" w14:paraId="6AE1EFA2" w14:textId="77777777" w:rsidTr="0062478D">
        <w:tc>
          <w:tcPr>
            <w:tcW w:w="2265" w:type="dxa"/>
          </w:tcPr>
          <w:p w14:paraId="6CF0D652" w14:textId="77777777" w:rsidR="00A4123D" w:rsidRPr="00F42355" w:rsidRDefault="00A4123D" w:rsidP="0062478D">
            <w:pPr>
              <w:jc w:val="both"/>
              <w:rPr>
                <w:rFonts w:ascii="Century Gothic" w:hAnsi="Century Gothic"/>
                <w:sz w:val="20"/>
                <w:szCs w:val="20"/>
              </w:rPr>
            </w:pPr>
            <w:r w:rsidRPr="00F42355">
              <w:rPr>
                <w:rFonts w:ascii="Century Gothic" w:hAnsi="Century Gothic"/>
                <w:sz w:val="20"/>
                <w:szCs w:val="20"/>
              </w:rPr>
              <w:t>Réserve de Tilemsi</w:t>
            </w:r>
          </w:p>
        </w:tc>
        <w:tc>
          <w:tcPr>
            <w:tcW w:w="2265" w:type="dxa"/>
          </w:tcPr>
          <w:p w14:paraId="6E5AED8A" w14:textId="77777777" w:rsidR="00A4123D" w:rsidRPr="00F42355" w:rsidRDefault="00A4123D" w:rsidP="0062478D">
            <w:pPr>
              <w:jc w:val="both"/>
              <w:rPr>
                <w:rFonts w:ascii="Century Gothic" w:hAnsi="Century Gothic"/>
                <w:sz w:val="18"/>
                <w:szCs w:val="18"/>
              </w:rPr>
            </w:pPr>
            <w:r w:rsidRPr="00F42355">
              <w:rPr>
                <w:rFonts w:ascii="Century Gothic" w:hAnsi="Century Gothic"/>
                <w:sz w:val="18"/>
                <w:szCs w:val="18"/>
              </w:rPr>
              <w:t>1937</w:t>
            </w:r>
          </w:p>
        </w:tc>
        <w:tc>
          <w:tcPr>
            <w:tcW w:w="2266" w:type="dxa"/>
          </w:tcPr>
          <w:p w14:paraId="3157BAC0" w14:textId="77777777" w:rsidR="00A4123D" w:rsidRPr="00F42355" w:rsidRDefault="00A4123D" w:rsidP="0062478D">
            <w:pPr>
              <w:jc w:val="both"/>
              <w:rPr>
                <w:rFonts w:ascii="Century Gothic" w:hAnsi="Century Gothic"/>
                <w:sz w:val="18"/>
                <w:szCs w:val="18"/>
              </w:rPr>
            </w:pPr>
            <w:r w:rsidRPr="00F42355">
              <w:rPr>
                <w:rFonts w:ascii="Century Gothic" w:hAnsi="Century Gothic"/>
                <w:sz w:val="18"/>
                <w:szCs w:val="18"/>
              </w:rPr>
              <w:t>730 000 hectares</w:t>
            </w:r>
          </w:p>
        </w:tc>
        <w:tc>
          <w:tcPr>
            <w:tcW w:w="2266" w:type="dxa"/>
          </w:tcPr>
          <w:p w14:paraId="0DA415B8" w14:textId="77777777" w:rsidR="00A4123D" w:rsidRPr="00F42355" w:rsidRDefault="00A4123D" w:rsidP="0062478D">
            <w:pPr>
              <w:jc w:val="both"/>
              <w:rPr>
                <w:rFonts w:ascii="Century Gothic" w:hAnsi="Century Gothic"/>
                <w:sz w:val="18"/>
                <w:szCs w:val="18"/>
              </w:rPr>
            </w:pPr>
          </w:p>
        </w:tc>
      </w:tr>
      <w:tr w:rsidR="00A4123D" w:rsidRPr="00541183" w14:paraId="180510A1" w14:textId="77777777" w:rsidTr="0062478D">
        <w:tc>
          <w:tcPr>
            <w:tcW w:w="2265" w:type="dxa"/>
          </w:tcPr>
          <w:p w14:paraId="78B3181A" w14:textId="77777777" w:rsidR="00A4123D" w:rsidRPr="00F42355" w:rsidRDefault="00A4123D" w:rsidP="0062478D">
            <w:pPr>
              <w:jc w:val="both"/>
              <w:rPr>
                <w:rFonts w:ascii="Century Gothic" w:hAnsi="Century Gothic"/>
                <w:sz w:val="20"/>
                <w:szCs w:val="20"/>
              </w:rPr>
            </w:pPr>
            <w:r w:rsidRPr="00F42355">
              <w:rPr>
                <w:rFonts w:ascii="Century Gothic" w:hAnsi="Century Gothic"/>
                <w:sz w:val="20"/>
                <w:szCs w:val="20"/>
              </w:rPr>
              <w:t>Réserve d'El Agher</w:t>
            </w:r>
          </w:p>
        </w:tc>
        <w:tc>
          <w:tcPr>
            <w:tcW w:w="2265" w:type="dxa"/>
          </w:tcPr>
          <w:p w14:paraId="09B0A033" w14:textId="77777777" w:rsidR="00A4123D" w:rsidRPr="00F42355" w:rsidRDefault="00A4123D" w:rsidP="0062478D">
            <w:pPr>
              <w:jc w:val="both"/>
              <w:rPr>
                <w:rFonts w:ascii="Century Gothic" w:hAnsi="Century Gothic"/>
                <w:sz w:val="18"/>
                <w:szCs w:val="18"/>
              </w:rPr>
            </w:pPr>
            <w:r w:rsidRPr="00F42355">
              <w:rPr>
                <w:rFonts w:ascii="Century Gothic" w:hAnsi="Century Gothic"/>
                <w:sz w:val="18"/>
                <w:szCs w:val="18"/>
              </w:rPr>
              <w:t>1937</w:t>
            </w:r>
          </w:p>
        </w:tc>
        <w:tc>
          <w:tcPr>
            <w:tcW w:w="2266" w:type="dxa"/>
          </w:tcPr>
          <w:p w14:paraId="57FE76A7" w14:textId="77777777" w:rsidR="00A4123D" w:rsidRPr="00F42355" w:rsidRDefault="00A4123D" w:rsidP="0062478D">
            <w:pPr>
              <w:jc w:val="both"/>
              <w:rPr>
                <w:rFonts w:ascii="Century Gothic" w:hAnsi="Century Gothic"/>
                <w:sz w:val="18"/>
                <w:szCs w:val="18"/>
              </w:rPr>
            </w:pPr>
          </w:p>
        </w:tc>
        <w:tc>
          <w:tcPr>
            <w:tcW w:w="2266" w:type="dxa"/>
          </w:tcPr>
          <w:p w14:paraId="581AD25D" w14:textId="77777777" w:rsidR="00A4123D" w:rsidRPr="00F42355" w:rsidRDefault="00A4123D" w:rsidP="0062478D">
            <w:pPr>
              <w:jc w:val="both"/>
              <w:rPr>
                <w:rFonts w:ascii="Century Gothic" w:hAnsi="Century Gothic"/>
                <w:sz w:val="18"/>
                <w:szCs w:val="18"/>
              </w:rPr>
            </w:pPr>
          </w:p>
        </w:tc>
      </w:tr>
    </w:tbl>
    <w:p w14:paraId="7C906708" w14:textId="77777777" w:rsidR="00A4123D" w:rsidRDefault="00A4123D" w:rsidP="00D21CEE">
      <w:pPr>
        <w:jc w:val="both"/>
        <w:rPr>
          <w:rFonts w:ascii="Century Gothic" w:eastAsiaTheme="majorEastAsia" w:hAnsi="Century Gothic" w:cstheme="majorBidi"/>
          <w:color w:val="2F5496" w:themeColor="accent1" w:themeShade="BF"/>
          <w:lang w:val="wo-SN"/>
        </w:rPr>
      </w:pPr>
    </w:p>
    <w:p w14:paraId="3033BC3F" w14:textId="65A0DA09" w:rsidR="000859AB" w:rsidRPr="001F2392" w:rsidRDefault="00A616B6" w:rsidP="001F2392">
      <w:pPr>
        <w:pStyle w:val="Titre2"/>
        <w:rPr>
          <w:rFonts w:ascii="Century Gothic" w:hAnsi="Century Gothic"/>
        </w:rPr>
      </w:pPr>
      <w:bookmarkStart w:id="16" w:name="_Toc189375537"/>
      <w:r>
        <w:rPr>
          <w:rFonts w:ascii="Century Gothic" w:hAnsi="Century Gothic"/>
        </w:rPr>
        <w:t>1</w:t>
      </w:r>
      <w:r w:rsidRPr="001F2392">
        <w:rPr>
          <w:rFonts w:ascii="Century Gothic" w:hAnsi="Century Gothic"/>
        </w:rPr>
        <w:t>.4 Défis</w:t>
      </w:r>
      <w:r w:rsidR="00D247A1" w:rsidRPr="001F2392">
        <w:rPr>
          <w:rFonts w:ascii="Century Gothic" w:hAnsi="Century Gothic"/>
        </w:rPr>
        <w:t>,</w:t>
      </w:r>
      <w:r w:rsidR="00457729" w:rsidRPr="001F2392">
        <w:rPr>
          <w:rFonts w:ascii="Century Gothic" w:hAnsi="Century Gothic"/>
        </w:rPr>
        <w:t xml:space="preserve"> </w:t>
      </w:r>
      <w:r w:rsidR="00D247A1" w:rsidRPr="001F2392">
        <w:rPr>
          <w:rFonts w:ascii="Century Gothic" w:hAnsi="Century Gothic"/>
        </w:rPr>
        <w:t>E</w:t>
      </w:r>
      <w:r w:rsidR="00457729" w:rsidRPr="001F2392">
        <w:rPr>
          <w:rFonts w:ascii="Century Gothic" w:hAnsi="Century Gothic"/>
        </w:rPr>
        <w:t>njeux</w:t>
      </w:r>
      <w:r w:rsidR="000859AB" w:rsidRPr="001F2392">
        <w:rPr>
          <w:rFonts w:ascii="Century Gothic" w:hAnsi="Century Gothic"/>
        </w:rPr>
        <w:t xml:space="preserve"> </w:t>
      </w:r>
      <w:r w:rsidR="00D247A1" w:rsidRPr="001F2392">
        <w:rPr>
          <w:rFonts w:ascii="Century Gothic" w:hAnsi="Century Gothic"/>
        </w:rPr>
        <w:t xml:space="preserve">et </w:t>
      </w:r>
      <w:r w:rsidR="000859AB" w:rsidRPr="001F2392">
        <w:rPr>
          <w:rFonts w:ascii="Century Gothic" w:hAnsi="Century Gothic"/>
        </w:rPr>
        <w:t>Perspectives</w:t>
      </w:r>
      <w:bookmarkEnd w:id="16"/>
    </w:p>
    <w:p w14:paraId="4BC98F02" w14:textId="559D2625" w:rsidR="000859AB" w:rsidRPr="00DB2F0F" w:rsidRDefault="000859AB" w:rsidP="000859AB">
      <w:pPr>
        <w:jc w:val="both"/>
        <w:rPr>
          <w:rFonts w:ascii="Century Gothic" w:hAnsi="Century Gothic"/>
        </w:rPr>
      </w:pPr>
      <w:r w:rsidRPr="00DB2F0F">
        <w:rPr>
          <w:rFonts w:ascii="Century Gothic" w:hAnsi="Century Gothic"/>
        </w:rPr>
        <w:t>La gestion des aires protégées en Mauritanie</w:t>
      </w:r>
      <w:r w:rsidR="0010144B">
        <w:rPr>
          <w:rFonts w:ascii="Century Gothic" w:hAnsi="Century Gothic"/>
        </w:rPr>
        <w:t xml:space="preserve"> </w:t>
      </w:r>
      <w:r w:rsidRPr="00DB2F0F">
        <w:rPr>
          <w:rFonts w:ascii="Century Gothic" w:hAnsi="Century Gothic"/>
        </w:rPr>
        <w:t>fait face à plusieurs défis</w:t>
      </w:r>
      <w:r w:rsidR="0010144B">
        <w:rPr>
          <w:rFonts w:ascii="Century Gothic" w:hAnsi="Century Gothic"/>
        </w:rPr>
        <w:t xml:space="preserve"> et enjeux</w:t>
      </w:r>
      <w:r w:rsidRPr="00DB2F0F">
        <w:rPr>
          <w:rFonts w:ascii="Century Gothic" w:hAnsi="Century Gothic"/>
        </w:rPr>
        <w:t xml:space="preserve"> notamment :</w:t>
      </w:r>
    </w:p>
    <w:p w14:paraId="0E801C91" w14:textId="3C582252" w:rsidR="000859AB" w:rsidRDefault="000859AB" w:rsidP="005625B5">
      <w:pPr>
        <w:pStyle w:val="Paragraphedeliste"/>
        <w:numPr>
          <w:ilvl w:val="0"/>
          <w:numId w:val="4"/>
        </w:numPr>
        <w:jc w:val="both"/>
        <w:rPr>
          <w:rFonts w:ascii="Century Gothic" w:hAnsi="Century Gothic"/>
        </w:rPr>
      </w:pPr>
      <w:r w:rsidRPr="00FA36EC">
        <w:rPr>
          <w:rFonts w:ascii="Century Gothic" w:hAnsi="Century Gothic"/>
          <w:b/>
          <w:bCs/>
        </w:rPr>
        <w:t>Pression Anthropique</w:t>
      </w:r>
      <w:r w:rsidR="009D6AC0">
        <w:rPr>
          <w:rFonts w:ascii="Century Gothic" w:hAnsi="Century Gothic"/>
          <w:b/>
          <w:bCs/>
        </w:rPr>
        <w:t xml:space="preserve"> </w:t>
      </w:r>
      <w:r w:rsidRPr="00DB2F0F">
        <w:rPr>
          <w:rFonts w:ascii="Century Gothic" w:hAnsi="Century Gothic"/>
        </w:rPr>
        <w:t>: L'urbanisation et l'agriculture intensive menacent ces écosystèmes fragiles.</w:t>
      </w:r>
    </w:p>
    <w:p w14:paraId="1B670C83" w14:textId="77777777" w:rsidR="00D247A1" w:rsidRPr="00DB2F0F" w:rsidRDefault="00D247A1" w:rsidP="00D247A1">
      <w:pPr>
        <w:pStyle w:val="Paragraphedeliste"/>
        <w:jc w:val="both"/>
        <w:rPr>
          <w:rFonts w:ascii="Century Gothic" w:hAnsi="Century Gothic"/>
        </w:rPr>
      </w:pPr>
    </w:p>
    <w:p w14:paraId="5E7C3817" w14:textId="77777777" w:rsidR="00D247A1" w:rsidRDefault="000859AB" w:rsidP="005625B5">
      <w:pPr>
        <w:pStyle w:val="Paragraphedeliste"/>
        <w:numPr>
          <w:ilvl w:val="0"/>
          <w:numId w:val="4"/>
        </w:numPr>
        <w:jc w:val="both"/>
        <w:rPr>
          <w:rFonts w:ascii="Century Gothic" w:hAnsi="Century Gothic"/>
        </w:rPr>
      </w:pPr>
      <w:r w:rsidRPr="00FA36EC">
        <w:rPr>
          <w:rFonts w:ascii="Century Gothic" w:hAnsi="Century Gothic"/>
          <w:b/>
          <w:bCs/>
        </w:rPr>
        <w:t>Intégration Socio-économique</w:t>
      </w:r>
      <w:r w:rsidRPr="00DB2F0F">
        <w:rPr>
          <w:rFonts w:ascii="Century Gothic" w:hAnsi="Century Gothic"/>
        </w:rPr>
        <w:t xml:space="preserve"> : Il est crucial de concilier la protection des aires</w:t>
      </w:r>
      <w:r w:rsidR="00D247A1">
        <w:rPr>
          <w:rFonts w:ascii="Century Gothic" w:hAnsi="Century Gothic"/>
        </w:rPr>
        <w:t xml:space="preserve"> </w:t>
      </w:r>
    </w:p>
    <w:p w14:paraId="63D49C2C" w14:textId="1DD19902" w:rsidR="000859AB" w:rsidRDefault="000859AB" w:rsidP="00D247A1">
      <w:pPr>
        <w:pStyle w:val="Paragraphedeliste"/>
        <w:jc w:val="both"/>
        <w:rPr>
          <w:rFonts w:ascii="Century Gothic" w:hAnsi="Century Gothic"/>
        </w:rPr>
      </w:pPr>
      <w:proofErr w:type="gramStart"/>
      <w:r w:rsidRPr="00D247A1">
        <w:rPr>
          <w:rFonts w:ascii="Century Gothic" w:hAnsi="Century Gothic"/>
        </w:rPr>
        <w:t>avec</w:t>
      </w:r>
      <w:proofErr w:type="gramEnd"/>
      <w:r w:rsidRPr="00D247A1">
        <w:rPr>
          <w:rFonts w:ascii="Century Gothic" w:hAnsi="Century Gothic"/>
        </w:rPr>
        <w:t xml:space="preserve"> les besoins des communautés locales pour éviter la marginalisation</w:t>
      </w:r>
      <w:r w:rsidRPr="00DB2F0F">
        <w:rPr>
          <w:rStyle w:val="Appelnotedebasdep"/>
          <w:rFonts w:ascii="Century Gothic" w:hAnsi="Century Gothic"/>
        </w:rPr>
        <w:footnoteReference w:id="17"/>
      </w:r>
      <w:r w:rsidR="00A13749">
        <w:rPr>
          <w:rFonts w:ascii="Century Gothic" w:hAnsi="Century Gothic"/>
        </w:rPr>
        <w:t xml:space="preserve"> </w:t>
      </w:r>
      <w:r w:rsidRPr="00DB2F0F">
        <w:rPr>
          <w:rStyle w:val="Appelnotedebasdep"/>
          <w:rFonts w:ascii="Century Gothic" w:hAnsi="Century Gothic"/>
        </w:rPr>
        <w:footnoteReference w:id="18"/>
      </w:r>
      <w:r w:rsidRPr="00D247A1">
        <w:rPr>
          <w:rFonts w:ascii="Century Gothic" w:hAnsi="Century Gothic"/>
        </w:rPr>
        <w:t>.</w:t>
      </w:r>
    </w:p>
    <w:p w14:paraId="79782251" w14:textId="77777777" w:rsidR="00D247A1" w:rsidRPr="00D247A1" w:rsidRDefault="00D247A1" w:rsidP="00D247A1">
      <w:pPr>
        <w:pStyle w:val="Paragraphedeliste"/>
        <w:jc w:val="both"/>
        <w:rPr>
          <w:rFonts w:ascii="Century Gothic" w:hAnsi="Century Gothic"/>
        </w:rPr>
      </w:pPr>
    </w:p>
    <w:p w14:paraId="74260037" w14:textId="5E80B1FB" w:rsidR="00457729" w:rsidRPr="00C3793A" w:rsidRDefault="00457729" w:rsidP="005625B5">
      <w:pPr>
        <w:pStyle w:val="Paragraphedeliste"/>
        <w:numPr>
          <w:ilvl w:val="0"/>
          <w:numId w:val="4"/>
        </w:numPr>
        <w:jc w:val="both"/>
        <w:rPr>
          <w:rFonts w:ascii="Century Gothic" w:hAnsi="Century Gothic"/>
          <w:lang w:val="wo-SN"/>
        </w:rPr>
      </w:pPr>
      <w:r w:rsidRPr="00FA36EC">
        <w:rPr>
          <w:rFonts w:ascii="Century Gothic" w:hAnsi="Century Gothic"/>
          <w:b/>
          <w:bCs/>
          <w:lang w:val="wo-SN"/>
        </w:rPr>
        <w:t>Vulnérabilité</w:t>
      </w:r>
      <w:r w:rsidRPr="00C3793A">
        <w:rPr>
          <w:rFonts w:ascii="Century Gothic" w:hAnsi="Century Gothic"/>
          <w:lang w:val="wo-SN"/>
        </w:rPr>
        <w:t xml:space="preserve"> : Les écosystèmes côtiers sont particulièrement sensibles aux pollutions, aux changements climatiques et à l'exploitation non durable des ressources. L'augmentation des activités de pêche et d'exploration pétrolière</w:t>
      </w:r>
      <w:r w:rsidR="00D247A1" w:rsidRPr="00C3793A">
        <w:rPr>
          <w:rFonts w:ascii="Century Gothic" w:hAnsi="Century Gothic"/>
          <w:lang w:val="wo-SN"/>
        </w:rPr>
        <w:t xml:space="preserve"> </w:t>
      </w:r>
      <w:r w:rsidRPr="00C3793A">
        <w:rPr>
          <w:rFonts w:ascii="Century Gothic" w:hAnsi="Century Gothic"/>
          <w:lang w:val="wo-SN"/>
        </w:rPr>
        <w:t>accentue ces menaces</w:t>
      </w:r>
      <w:r w:rsidR="00821255" w:rsidRPr="00C3793A">
        <w:rPr>
          <w:rStyle w:val="Appelnotedebasdep"/>
          <w:rFonts w:ascii="Century Gothic" w:hAnsi="Century Gothic"/>
          <w:lang w:val="wo-SN"/>
        </w:rPr>
        <w:footnoteReference w:id="19"/>
      </w:r>
      <w:r w:rsidR="00821255" w:rsidRPr="00C3793A">
        <w:rPr>
          <w:rFonts w:ascii="Century Gothic" w:hAnsi="Century Gothic"/>
          <w:lang w:val="wo-SN"/>
        </w:rPr>
        <w:t xml:space="preserve"> </w:t>
      </w:r>
      <w:r w:rsidR="00821255" w:rsidRPr="00C3793A">
        <w:rPr>
          <w:rStyle w:val="Appelnotedebasdep"/>
          <w:rFonts w:ascii="Century Gothic" w:hAnsi="Century Gothic"/>
          <w:lang w:val="wo-SN"/>
        </w:rPr>
        <w:footnoteReference w:id="20"/>
      </w:r>
      <w:r w:rsidRPr="00C3793A">
        <w:rPr>
          <w:rFonts w:ascii="Century Gothic" w:hAnsi="Century Gothic"/>
          <w:lang w:val="wo-SN"/>
        </w:rPr>
        <w:t>.</w:t>
      </w:r>
    </w:p>
    <w:p w14:paraId="0A38E30C" w14:textId="77777777" w:rsidR="00D247A1" w:rsidRPr="00FA36EC" w:rsidRDefault="00D247A1" w:rsidP="00D247A1">
      <w:pPr>
        <w:pStyle w:val="Paragraphedeliste"/>
        <w:jc w:val="both"/>
        <w:rPr>
          <w:rFonts w:ascii="Century Gothic" w:hAnsi="Century Gothic"/>
          <w:sz w:val="10"/>
          <w:szCs w:val="10"/>
          <w:highlight w:val="yellow"/>
          <w:lang w:val="wo-SN"/>
        </w:rPr>
      </w:pPr>
    </w:p>
    <w:p w14:paraId="5CDBF1BA" w14:textId="2F7C84C3" w:rsidR="000859AB" w:rsidRPr="00C3793A" w:rsidRDefault="00457729" w:rsidP="005625B5">
      <w:pPr>
        <w:pStyle w:val="Paragraphedeliste"/>
        <w:numPr>
          <w:ilvl w:val="0"/>
          <w:numId w:val="4"/>
        </w:numPr>
        <w:jc w:val="both"/>
        <w:rPr>
          <w:rFonts w:ascii="Century Gothic" w:hAnsi="Century Gothic"/>
          <w:lang w:val="wo-SN"/>
        </w:rPr>
      </w:pPr>
      <w:r w:rsidRPr="00FA36EC">
        <w:rPr>
          <w:rFonts w:ascii="Century Gothic" w:hAnsi="Century Gothic"/>
          <w:b/>
          <w:bCs/>
          <w:lang w:val="wo-SN"/>
        </w:rPr>
        <w:t>Gouvernance</w:t>
      </w:r>
      <w:r w:rsidRPr="00C3793A">
        <w:rPr>
          <w:rFonts w:ascii="Century Gothic" w:hAnsi="Century Gothic"/>
          <w:lang w:val="wo-SN"/>
        </w:rPr>
        <w:t xml:space="preserve"> : La gestion des ressources marines nécessite une approche concertée impliquant divers acteurs, y compris le gouvernement, la société civile et le secteur privé. Des conférences récentes ont souligné l'importance d'une gouvernance efficace pour assurer la durabilité de ces écosystèmes</w:t>
      </w:r>
      <w:r w:rsidR="00821255" w:rsidRPr="00C3793A">
        <w:rPr>
          <w:rStyle w:val="Appelnotedebasdep"/>
          <w:rFonts w:ascii="Century Gothic" w:hAnsi="Century Gothic"/>
          <w:lang w:val="wo-SN"/>
        </w:rPr>
        <w:footnoteReference w:id="21"/>
      </w:r>
      <w:r w:rsidRPr="00C3793A">
        <w:rPr>
          <w:rFonts w:ascii="Century Gothic" w:hAnsi="Century Gothic"/>
          <w:lang w:val="wo-SN"/>
        </w:rPr>
        <w:t>.</w:t>
      </w:r>
    </w:p>
    <w:p w14:paraId="142480D9" w14:textId="228FCEA9" w:rsidR="003A3202" w:rsidRPr="0010144B" w:rsidRDefault="00457729" w:rsidP="0010144B">
      <w:pPr>
        <w:jc w:val="both"/>
        <w:rPr>
          <w:rFonts w:ascii="Century Gothic" w:hAnsi="Century Gothic"/>
        </w:rPr>
      </w:pPr>
      <w:r w:rsidRPr="00C3793A">
        <w:rPr>
          <w:rFonts w:ascii="Century Gothic" w:hAnsi="Century Gothic"/>
          <w:lang w:val="wo-SN"/>
        </w:rPr>
        <w:t>Le secteur des écosystèmes marins et littoraux en Mauritanie est riche en biodiversité mais fait face à de nombreux défis</w:t>
      </w:r>
      <w:r w:rsidR="003F7F84">
        <w:rPr>
          <w:rFonts w:ascii="Century Gothic" w:hAnsi="Century Gothic"/>
          <w:lang w:val="wo-SN"/>
        </w:rPr>
        <w:t xml:space="preserve"> et enjeux</w:t>
      </w:r>
      <w:r w:rsidRPr="00C3793A">
        <w:rPr>
          <w:rFonts w:ascii="Century Gothic" w:hAnsi="Century Gothic"/>
          <w:lang w:val="wo-SN"/>
        </w:rPr>
        <w:t>. La mise en œuvre d'initiatives de conservation et l'amélioration de la gouvernance sont essentielles pour protéger ces ressources vitales pour les générations futures.</w:t>
      </w:r>
      <w:r w:rsidR="000859AB">
        <w:rPr>
          <w:rFonts w:ascii="Century Gothic" w:hAnsi="Century Gothic"/>
          <w:lang w:val="wo-SN"/>
        </w:rPr>
        <w:t xml:space="preserve"> </w:t>
      </w:r>
      <w:r w:rsidR="00874F5F">
        <w:rPr>
          <w:rFonts w:ascii="Century Gothic" w:hAnsi="Century Gothic"/>
        </w:rPr>
        <w:t>B</w:t>
      </w:r>
      <w:r w:rsidR="000859AB" w:rsidRPr="00DB2F0F">
        <w:rPr>
          <w:rFonts w:ascii="Century Gothic" w:hAnsi="Century Gothic"/>
        </w:rPr>
        <w:t>ien que la Mauritanie ait établi des mesures de gestions d'aires protégées, il est essentiel de renforcer les efforts de conservation et d'intégration socio-économique pour garantir la pérennité de ces précieux écosystèmes.</w:t>
      </w:r>
      <w:r w:rsidR="00000000">
        <w:rPr>
          <w:rFonts w:ascii="Century Gothic" w:hAnsi="Century Gothic"/>
          <w:color w:val="FF0000"/>
        </w:rPr>
        <w:pict w14:anchorId="40667EBB">
          <v:rect id="_x0000_i1026" style="width:0;height:1.5pt" o:hralign="center" o:hrstd="t" o:hr="t" fillcolor="#a0a0a0" stroked="f"/>
        </w:pict>
      </w:r>
    </w:p>
    <w:p w14:paraId="7CE08C08" w14:textId="515C80F8" w:rsidR="00821255" w:rsidRPr="00F770FC" w:rsidRDefault="00BF1B72" w:rsidP="005625B5">
      <w:pPr>
        <w:pStyle w:val="Titre1"/>
        <w:numPr>
          <w:ilvl w:val="0"/>
          <w:numId w:val="26"/>
        </w:numPr>
        <w:ind w:left="426" w:hanging="426"/>
        <w:jc w:val="both"/>
        <w:rPr>
          <w:rFonts w:ascii="Century Gothic" w:hAnsi="Century Gothic"/>
          <w:b/>
          <w:bCs/>
          <w:sz w:val="28"/>
          <w:szCs w:val="28"/>
          <w:lang w:val="wo-SN"/>
        </w:rPr>
      </w:pPr>
      <w:bookmarkStart w:id="17" w:name="_Toc189375538"/>
      <w:bookmarkStart w:id="18" w:name="_Toc189326926"/>
      <w:r w:rsidRPr="00F770FC">
        <w:rPr>
          <w:rFonts w:ascii="Century Gothic" w:hAnsi="Century Gothic"/>
          <w:b/>
          <w:bCs/>
          <w:sz w:val="28"/>
          <w:szCs w:val="28"/>
          <w:lang w:val="wo-SN"/>
        </w:rPr>
        <w:t>Les manifestations des changements climatiques</w:t>
      </w:r>
      <w:bookmarkEnd w:id="17"/>
      <w:r w:rsidRPr="00F770FC">
        <w:rPr>
          <w:rFonts w:ascii="Century Gothic" w:hAnsi="Century Gothic"/>
          <w:b/>
          <w:bCs/>
          <w:sz w:val="28"/>
          <w:szCs w:val="28"/>
          <w:lang w:val="wo-SN"/>
        </w:rPr>
        <w:t xml:space="preserve"> </w:t>
      </w:r>
      <w:bookmarkEnd w:id="18"/>
    </w:p>
    <w:p w14:paraId="3F095EA8" w14:textId="302629F9" w:rsidR="00C94764" w:rsidRPr="003A3202" w:rsidRDefault="00821255" w:rsidP="003A3202">
      <w:pPr>
        <w:jc w:val="both"/>
        <w:rPr>
          <w:rFonts w:ascii="Century Gothic" w:hAnsi="Century Gothic"/>
          <w:lang w:val="wo-SN"/>
        </w:rPr>
      </w:pPr>
      <w:r w:rsidRPr="00821255">
        <w:rPr>
          <w:rFonts w:ascii="Century Gothic" w:hAnsi="Century Gothic"/>
          <w:lang w:val="wo-SN"/>
        </w:rPr>
        <w:t xml:space="preserve">Les manifestations des changements climatiques dans le secteur des écosystèmes marins, du littoral et des aires protégées en Mauritanie sont variées et préoccupantes. </w:t>
      </w:r>
    </w:p>
    <w:p w14:paraId="658137A8" w14:textId="4B0B9476" w:rsidR="00C94764" w:rsidRPr="003F7F84" w:rsidRDefault="00A616B6" w:rsidP="00C94764">
      <w:pPr>
        <w:rPr>
          <w:rFonts w:ascii="Century Gothic" w:hAnsi="Century Gothic"/>
          <w:color w:val="4472C4" w:themeColor="accent1"/>
          <w:sz w:val="26"/>
          <w:szCs w:val="26"/>
        </w:rPr>
      </w:pPr>
      <w:r w:rsidRPr="003F7F84">
        <w:rPr>
          <w:rFonts w:ascii="Century Gothic" w:hAnsi="Century Gothic"/>
          <w:color w:val="4472C4" w:themeColor="accent1"/>
          <w:sz w:val="26"/>
          <w:szCs w:val="26"/>
        </w:rPr>
        <w:t>2.1 Éléments</w:t>
      </w:r>
      <w:r w:rsidR="00C94764" w:rsidRPr="003F7F84">
        <w:rPr>
          <w:rFonts w:ascii="Century Gothic" w:hAnsi="Century Gothic"/>
          <w:color w:val="4472C4" w:themeColor="accent1"/>
          <w:sz w:val="26"/>
          <w:szCs w:val="26"/>
        </w:rPr>
        <w:t xml:space="preserve"> de Vulnérabilité</w:t>
      </w:r>
    </w:p>
    <w:p w14:paraId="29412610" w14:textId="185B2AD8" w:rsidR="00C94764" w:rsidRPr="006F7C60" w:rsidRDefault="00C94764" w:rsidP="006F7C60">
      <w:pPr>
        <w:jc w:val="both"/>
        <w:rPr>
          <w:rFonts w:ascii="Century Gothic" w:hAnsi="Century Gothic"/>
          <w:lang w:val="wo-SN"/>
        </w:rPr>
      </w:pPr>
      <w:r w:rsidRPr="006F7C60">
        <w:rPr>
          <w:rFonts w:ascii="Century Gothic" w:hAnsi="Century Gothic"/>
          <w:b/>
          <w:bCs/>
          <w:lang w:val="wo-SN"/>
        </w:rPr>
        <w:t>1. Augmentation des températures :</w:t>
      </w:r>
      <w:r w:rsidRPr="008C5B0D">
        <w:rPr>
          <w:rFonts w:ascii="Century Gothic" w:hAnsi="Century Gothic"/>
        </w:rPr>
        <w:t xml:space="preserve"> Les projections climatiques indiquent une hausse générale des températures, ce qui affecte la faune et la flore locales, notamment les espèces marines qui dépendent de conditions spécifiques pour leur survie.</w:t>
      </w:r>
      <w:r w:rsidR="006F7C60">
        <w:rPr>
          <w:rFonts w:ascii="Century Gothic" w:hAnsi="Century Gothic"/>
        </w:rPr>
        <w:t xml:space="preserve"> </w:t>
      </w:r>
      <w:r w:rsidR="006F7C60" w:rsidRPr="00821255">
        <w:rPr>
          <w:rFonts w:ascii="Century Gothic" w:hAnsi="Century Gothic"/>
          <w:lang w:val="wo-SN"/>
        </w:rPr>
        <w:t>La montée des températures et la modification des régimes de précipitations affectent également les cycles de reproduction et les migrations des espèces marines</w:t>
      </w:r>
      <w:r w:rsidR="006F7C60">
        <w:rPr>
          <w:rStyle w:val="Appelnotedebasdep"/>
          <w:rFonts w:ascii="Century Gothic" w:hAnsi="Century Gothic"/>
          <w:lang w:val="wo-SN"/>
        </w:rPr>
        <w:footnoteReference w:id="22"/>
      </w:r>
      <w:r w:rsidR="006F7C60" w:rsidRPr="00821255">
        <w:rPr>
          <w:rFonts w:ascii="Century Gothic" w:hAnsi="Century Gothic"/>
          <w:lang w:val="wo-SN"/>
        </w:rPr>
        <w:t>.</w:t>
      </w:r>
    </w:p>
    <w:p w14:paraId="01D495AD" w14:textId="77777777" w:rsidR="0013282D" w:rsidRDefault="00C94764" w:rsidP="00AF432F">
      <w:pPr>
        <w:spacing w:after="0"/>
        <w:jc w:val="both"/>
        <w:rPr>
          <w:rFonts w:ascii="Century Gothic" w:hAnsi="Century Gothic"/>
          <w:lang w:val="wo-SN"/>
        </w:rPr>
      </w:pPr>
      <w:r w:rsidRPr="006F7C60">
        <w:rPr>
          <w:rFonts w:ascii="Century Gothic" w:hAnsi="Century Gothic"/>
          <w:b/>
          <w:bCs/>
          <w:lang w:val="wo-SN"/>
        </w:rPr>
        <w:t>2. Modifications des Régimes de Précipitations :</w:t>
      </w:r>
      <w:r w:rsidRPr="008C5B0D">
        <w:rPr>
          <w:rFonts w:ascii="Century Gothic" w:hAnsi="Century Gothic"/>
        </w:rPr>
        <w:t xml:space="preserve"> Les changements dans les schémas de précipitations peuvent entraîner des inondations ou des sécheresses, perturbant ainsi les écosystèmes côtiers et les habitats marins.</w:t>
      </w:r>
      <w:r w:rsidR="006F7C60">
        <w:rPr>
          <w:rFonts w:ascii="Century Gothic" w:hAnsi="Century Gothic"/>
        </w:rPr>
        <w:t xml:space="preserve"> </w:t>
      </w:r>
      <w:r w:rsidR="006F7C60" w:rsidRPr="00821255">
        <w:rPr>
          <w:rFonts w:ascii="Century Gothic" w:hAnsi="Century Gothic"/>
          <w:lang w:val="wo-SN"/>
        </w:rPr>
        <w:t xml:space="preserve">La Mauritanie connaît une diminution des précipitations annuelles pouvant atteindre 11 mm d'ici 2080. Cette situation entraîne une aggravation de la sécheresse, affectant non seulement </w:t>
      </w:r>
    </w:p>
    <w:p w14:paraId="435DFB38" w14:textId="78020DB3" w:rsidR="00C94764" w:rsidRPr="006F7C60" w:rsidRDefault="006F7C60" w:rsidP="00FA36EC">
      <w:pPr>
        <w:spacing w:after="0"/>
        <w:jc w:val="both"/>
        <w:rPr>
          <w:rFonts w:ascii="Century Gothic" w:hAnsi="Century Gothic"/>
          <w:lang w:val="wo-SN"/>
        </w:rPr>
      </w:pPr>
      <w:r w:rsidRPr="00821255">
        <w:rPr>
          <w:rFonts w:ascii="Century Gothic" w:hAnsi="Century Gothic"/>
          <w:lang w:val="wo-SN"/>
        </w:rPr>
        <w:t>l'agriculture mais aussi les écosystèmes côtiers qui dépendent d'un équilibre hydrique stable</w:t>
      </w:r>
      <w:r>
        <w:rPr>
          <w:rStyle w:val="Appelnotedebasdep"/>
          <w:rFonts w:ascii="Century Gothic" w:hAnsi="Century Gothic"/>
          <w:lang w:val="wo-SN"/>
        </w:rPr>
        <w:footnoteReference w:id="23"/>
      </w:r>
      <w:r>
        <w:rPr>
          <w:rFonts w:ascii="Century Gothic" w:hAnsi="Century Gothic"/>
          <w:lang w:val="wo-SN"/>
        </w:rPr>
        <w:t xml:space="preserve"> </w:t>
      </w:r>
      <w:r>
        <w:rPr>
          <w:rStyle w:val="Appelnotedebasdep"/>
          <w:rFonts w:ascii="Century Gothic" w:hAnsi="Century Gothic"/>
          <w:lang w:val="wo-SN"/>
        </w:rPr>
        <w:footnoteReference w:id="24"/>
      </w:r>
      <w:r w:rsidRPr="00821255">
        <w:rPr>
          <w:rFonts w:ascii="Century Gothic" w:hAnsi="Century Gothic"/>
          <w:lang w:val="wo-SN"/>
        </w:rPr>
        <w:t>.</w:t>
      </w:r>
    </w:p>
    <w:p w14:paraId="077B7128" w14:textId="4D809AE9" w:rsidR="00C94764" w:rsidRDefault="00C94764" w:rsidP="00C94764">
      <w:pPr>
        <w:jc w:val="both"/>
        <w:rPr>
          <w:rFonts w:ascii="Century Gothic" w:hAnsi="Century Gothic"/>
        </w:rPr>
      </w:pPr>
      <w:r w:rsidRPr="006F7C60">
        <w:rPr>
          <w:rFonts w:ascii="Century Gothic" w:hAnsi="Century Gothic"/>
          <w:b/>
          <w:bCs/>
          <w:lang w:val="wo-SN"/>
        </w:rPr>
        <w:t>3. Acidification des Océans :</w:t>
      </w:r>
      <w:r w:rsidRPr="008C5B0D">
        <w:rPr>
          <w:rFonts w:ascii="Century Gothic" w:hAnsi="Century Gothic"/>
        </w:rPr>
        <w:t xml:space="preserve"> L'augmentation du dioxyde de carbone dans l'atmosphère provoque une acidification des océans, impactant gravement les coraux et d'autres organismes marins, ce qui menace la biodiversité marine.</w:t>
      </w:r>
    </w:p>
    <w:p w14:paraId="5AAA5CB8" w14:textId="29560CA4" w:rsidR="00C94764" w:rsidRPr="006F7C60" w:rsidRDefault="006F7C60" w:rsidP="006F7C60">
      <w:pPr>
        <w:jc w:val="both"/>
        <w:rPr>
          <w:rFonts w:ascii="Century Gothic" w:eastAsiaTheme="majorEastAsia" w:hAnsi="Century Gothic" w:cstheme="majorBidi"/>
          <w:color w:val="2F5496" w:themeColor="accent1" w:themeShade="BF"/>
          <w:sz w:val="24"/>
          <w:szCs w:val="24"/>
          <w:lang w:val="wo-SN"/>
        </w:rPr>
      </w:pPr>
      <w:r w:rsidRPr="006F7C60">
        <w:rPr>
          <w:rFonts w:ascii="Century Gothic" w:hAnsi="Century Gothic"/>
          <w:b/>
          <w:bCs/>
          <w:lang w:val="wo-SN"/>
        </w:rPr>
        <w:t xml:space="preserve">4. </w:t>
      </w:r>
      <w:r w:rsidR="00C94764" w:rsidRPr="00D44E97">
        <w:rPr>
          <w:rFonts w:ascii="Century Gothic" w:hAnsi="Century Gothic"/>
          <w:b/>
          <w:bCs/>
          <w:lang w:val="wo-SN"/>
        </w:rPr>
        <w:t>Augmentation des niveaux marins :</w:t>
      </w:r>
      <w:r w:rsidR="00C94764" w:rsidRPr="00821255">
        <w:rPr>
          <w:rFonts w:ascii="Century Gothic" w:hAnsi="Century Gothic"/>
          <w:lang w:val="wo-SN"/>
        </w:rPr>
        <w:t xml:space="preserve"> Les projections indiquent que le niveau de la mer pourrait augmenter de 36 cm d'ici 2080, ce qui représente une menace directe pour les communautés côtières, notamment à Nouakchott. Cette élévation peut entraîner l'intrusion d'eau salée dans les voies navigables et les réservoirs d'eau souterraine, compromettant ainsi les ressources en eau douce</w:t>
      </w:r>
      <w:r w:rsidR="00C94764">
        <w:rPr>
          <w:rStyle w:val="Appelnotedebasdep"/>
          <w:rFonts w:ascii="Century Gothic" w:hAnsi="Century Gothic"/>
          <w:lang w:val="wo-SN"/>
        </w:rPr>
        <w:footnoteReference w:id="25"/>
      </w:r>
      <w:r w:rsidR="00C94764">
        <w:rPr>
          <w:rFonts w:ascii="Century Gothic" w:hAnsi="Century Gothic"/>
          <w:lang w:val="wo-SN"/>
        </w:rPr>
        <w:t xml:space="preserve"> </w:t>
      </w:r>
      <w:r w:rsidR="00C94764">
        <w:rPr>
          <w:rStyle w:val="Appelnotedebasdep"/>
          <w:rFonts w:ascii="Century Gothic" w:hAnsi="Century Gothic"/>
          <w:lang w:val="wo-SN"/>
        </w:rPr>
        <w:footnoteReference w:id="26"/>
      </w:r>
      <w:r w:rsidR="00C94764" w:rsidRPr="00821255">
        <w:rPr>
          <w:rFonts w:ascii="Century Gothic" w:hAnsi="Century Gothic"/>
          <w:lang w:val="wo-SN"/>
        </w:rPr>
        <w:t>.</w:t>
      </w:r>
    </w:p>
    <w:p w14:paraId="15B15F0A" w14:textId="6F246E41" w:rsidR="00C94764" w:rsidRPr="006F7C60" w:rsidRDefault="006F7C60" w:rsidP="006F7C60">
      <w:pPr>
        <w:jc w:val="both"/>
        <w:rPr>
          <w:rFonts w:ascii="Century Gothic" w:eastAsiaTheme="majorEastAsia" w:hAnsi="Century Gothic" w:cstheme="majorBidi"/>
          <w:color w:val="2F5496" w:themeColor="accent1" w:themeShade="BF"/>
          <w:sz w:val="24"/>
          <w:szCs w:val="24"/>
          <w:lang w:val="wo-SN"/>
        </w:rPr>
      </w:pPr>
      <w:r w:rsidRPr="006F7C60">
        <w:rPr>
          <w:rFonts w:ascii="Century Gothic" w:hAnsi="Century Gothic"/>
          <w:b/>
          <w:bCs/>
          <w:lang w:val="wo-SN"/>
        </w:rPr>
        <w:t xml:space="preserve">5. </w:t>
      </w:r>
      <w:r w:rsidR="00C94764" w:rsidRPr="00D44E97">
        <w:rPr>
          <w:rFonts w:ascii="Century Gothic" w:hAnsi="Century Gothic"/>
          <w:b/>
          <w:bCs/>
          <w:lang w:val="wo-SN"/>
        </w:rPr>
        <w:t>Erosion accrue :</w:t>
      </w:r>
      <w:r w:rsidR="00C94764" w:rsidRPr="00821255">
        <w:rPr>
          <w:rFonts w:ascii="Century Gothic" w:hAnsi="Century Gothic"/>
          <w:lang w:val="wo-SN"/>
        </w:rPr>
        <w:t xml:space="preserve"> La combinaison de l'élévation du niveau de la mer et des tempêtes plus fréquentes entraîne une érosion significative des côtes. Des zones habitées, sont particulièrement vulnérables à la submersion marine, mettant en péril les infrastructures et les habitations</w:t>
      </w:r>
      <w:r w:rsidR="00C94764">
        <w:rPr>
          <w:rStyle w:val="Appelnotedebasdep"/>
          <w:rFonts w:ascii="Century Gothic" w:hAnsi="Century Gothic"/>
          <w:lang w:val="wo-SN"/>
        </w:rPr>
        <w:footnoteReference w:id="27"/>
      </w:r>
      <w:r w:rsidR="00C94764" w:rsidRPr="00821255">
        <w:rPr>
          <w:rFonts w:ascii="Century Gothic" w:hAnsi="Century Gothic"/>
          <w:lang w:val="wo-SN"/>
        </w:rPr>
        <w:t xml:space="preserve"> </w:t>
      </w:r>
      <w:r w:rsidR="00C94764">
        <w:rPr>
          <w:rStyle w:val="Appelnotedebasdep"/>
          <w:rFonts w:ascii="Century Gothic" w:hAnsi="Century Gothic"/>
          <w:lang w:val="wo-SN"/>
        </w:rPr>
        <w:footnoteReference w:id="28"/>
      </w:r>
      <w:r w:rsidR="00C94764" w:rsidRPr="00821255">
        <w:rPr>
          <w:rFonts w:ascii="Century Gothic" w:hAnsi="Century Gothic"/>
          <w:lang w:val="wo-SN"/>
        </w:rPr>
        <w:t>.</w:t>
      </w:r>
    </w:p>
    <w:p w14:paraId="40C740D2" w14:textId="3C141E1E" w:rsidR="00C94764" w:rsidRPr="006F7C60" w:rsidRDefault="006F7C60" w:rsidP="006F7C60">
      <w:pPr>
        <w:jc w:val="both"/>
        <w:rPr>
          <w:rFonts w:ascii="Century Gothic" w:hAnsi="Century Gothic"/>
          <w:lang w:val="wo-SN"/>
        </w:rPr>
      </w:pPr>
      <w:r>
        <w:rPr>
          <w:rFonts w:ascii="Century Gothic" w:hAnsi="Century Gothic"/>
          <w:b/>
          <w:bCs/>
          <w:lang w:val="wo-SN"/>
        </w:rPr>
        <w:t xml:space="preserve">6. </w:t>
      </w:r>
      <w:r w:rsidR="00C94764" w:rsidRPr="00D44E97">
        <w:rPr>
          <w:rFonts w:ascii="Century Gothic" w:hAnsi="Century Gothic"/>
          <w:b/>
          <w:bCs/>
          <w:lang w:val="wo-SN"/>
        </w:rPr>
        <w:t>Transgressions marines :</w:t>
      </w:r>
      <w:r w:rsidR="00C94764" w:rsidRPr="00821255">
        <w:rPr>
          <w:rFonts w:ascii="Century Gothic" w:hAnsi="Century Gothic"/>
          <w:lang w:val="wo-SN"/>
        </w:rPr>
        <w:t xml:space="preserve"> Des transgressions marines ont déjà envahi le continent sur des centaines de kilomètres, exacerbant les risques d'inondation dans les zones urbaines côtières</w:t>
      </w:r>
      <w:r w:rsidR="00C94764">
        <w:rPr>
          <w:rStyle w:val="Appelnotedebasdep"/>
          <w:rFonts w:ascii="Century Gothic" w:hAnsi="Century Gothic"/>
          <w:lang w:val="wo-SN"/>
        </w:rPr>
        <w:footnoteReference w:id="29"/>
      </w:r>
      <w:r w:rsidR="00C94764" w:rsidRPr="00821255">
        <w:rPr>
          <w:rFonts w:ascii="Century Gothic" w:hAnsi="Century Gothic"/>
          <w:lang w:val="wo-SN"/>
        </w:rPr>
        <w:t xml:space="preserve">. </w:t>
      </w:r>
    </w:p>
    <w:p w14:paraId="25B0CEE5" w14:textId="745EB5D2" w:rsidR="00C94764" w:rsidRPr="003A3202" w:rsidRDefault="00C5001F" w:rsidP="003A3202">
      <w:pPr>
        <w:jc w:val="both"/>
        <w:rPr>
          <w:rFonts w:ascii="Century Gothic" w:eastAsiaTheme="majorEastAsia" w:hAnsi="Century Gothic" w:cstheme="majorBidi"/>
          <w:color w:val="2F5496" w:themeColor="accent1" w:themeShade="BF"/>
          <w:sz w:val="24"/>
          <w:szCs w:val="24"/>
          <w:highlight w:val="yellow"/>
          <w:lang w:val="wo-SN"/>
        </w:rPr>
      </w:pPr>
      <w:r>
        <w:rPr>
          <w:rFonts w:ascii="Century Gothic" w:hAnsi="Century Gothic"/>
          <w:b/>
          <w:bCs/>
          <w:lang w:val="wo-SN"/>
        </w:rPr>
        <w:t xml:space="preserve">7. </w:t>
      </w:r>
      <w:r w:rsidR="00C94764" w:rsidRPr="006F7C60">
        <w:rPr>
          <w:rFonts w:ascii="Century Gothic" w:hAnsi="Century Gothic"/>
          <w:b/>
          <w:bCs/>
          <w:lang w:val="wo-SN"/>
        </w:rPr>
        <w:t>Sécheresse et désertification</w:t>
      </w:r>
      <w:r w:rsidR="006F7C60">
        <w:rPr>
          <w:rFonts w:ascii="Century Gothic" w:hAnsi="Century Gothic"/>
          <w:b/>
          <w:bCs/>
          <w:lang w:val="wo-SN"/>
        </w:rPr>
        <w:t xml:space="preserve"> : </w:t>
      </w:r>
      <w:r w:rsidR="00C94764" w:rsidRPr="006F7C60">
        <w:rPr>
          <w:rFonts w:ascii="Century Gothic" w:hAnsi="Century Gothic"/>
          <w:lang w:val="wo-SN"/>
        </w:rPr>
        <w:t>Les</w:t>
      </w:r>
      <w:r w:rsidR="00C94764" w:rsidRPr="00821255">
        <w:rPr>
          <w:rFonts w:ascii="Century Gothic" w:hAnsi="Century Gothic"/>
          <w:lang w:val="wo-SN"/>
        </w:rPr>
        <w:t xml:space="preserve"> effets combinés du changement climatique contribuent à la désertification, avec une perte de végétation qui favorise l'érosion éolienne et hydrique. Cela impacte également les terres agricoles situées à proximité du littoral</w:t>
      </w:r>
      <w:r w:rsidR="00C94764">
        <w:rPr>
          <w:rStyle w:val="Appelnotedebasdep"/>
          <w:rFonts w:ascii="Century Gothic" w:hAnsi="Century Gothic"/>
          <w:lang w:val="wo-SN"/>
        </w:rPr>
        <w:footnoteReference w:id="30"/>
      </w:r>
      <w:r w:rsidR="00C94764">
        <w:rPr>
          <w:rFonts w:ascii="Century Gothic" w:hAnsi="Century Gothic"/>
          <w:lang w:val="wo-SN"/>
        </w:rPr>
        <w:t xml:space="preserve"> </w:t>
      </w:r>
      <w:r w:rsidR="00C94764">
        <w:rPr>
          <w:rStyle w:val="Appelnotedebasdep"/>
          <w:rFonts w:ascii="Century Gothic" w:hAnsi="Century Gothic"/>
          <w:lang w:val="wo-SN"/>
        </w:rPr>
        <w:footnoteReference w:id="31"/>
      </w:r>
      <w:r w:rsidR="00C94764" w:rsidRPr="00821255">
        <w:rPr>
          <w:rFonts w:ascii="Century Gothic" w:hAnsi="Century Gothic"/>
          <w:lang w:val="wo-SN"/>
        </w:rPr>
        <w:t>.</w:t>
      </w:r>
    </w:p>
    <w:p w14:paraId="496CB044" w14:textId="23625CBE" w:rsidR="00C94764" w:rsidRPr="003A3202" w:rsidRDefault="00C94764" w:rsidP="003A3202">
      <w:pPr>
        <w:jc w:val="both"/>
        <w:rPr>
          <w:rFonts w:ascii="Century Gothic" w:hAnsi="Century Gothic"/>
        </w:rPr>
      </w:pPr>
      <w:r w:rsidRPr="00541183">
        <w:rPr>
          <w:rFonts w:ascii="Century Gothic" w:hAnsi="Century Gothic"/>
        </w:rPr>
        <w:t>Les aires protégées (AP) en Mauritanie, notamment celles situées dans des écosystèmes marins et littoraux, sont de plus en plus confrontées aux défis posés par le changement climatique. Ces zones jouent un rôle essentiel dans la conservation de la biodiversité et l'adaptation aux impacts climatiques, mais leur vulnérabilité nécessite une attention particulière.</w:t>
      </w:r>
    </w:p>
    <w:p w14:paraId="0B253206" w14:textId="493601E0" w:rsidR="00821255" w:rsidRDefault="00821255" w:rsidP="00D126DD">
      <w:pPr>
        <w:jc w:val="both"/>
        <w:rPr>
          <w:rFonts w:ascii="Century Gothic" w:hAnsi="Century Gothic"/>
          <w:lang w:val="wo-SN"/>
        </w:rPr>
      </w:pPr>
      <w:r w:rsidRPr="00FA36EC">
        <w:rPr>
          <w:rFonts w:ascii="Century Gothic" w:hAnsi="Century Gothic"/>
          <w:b/>
          <w:bCs/>
          <w:lang w:val="wo-SN"/>
        </w:rPr>
        <w:t>Les manifestations des changements climatiques</w:t>
      </w:r>
      <w:r w:rsidRPr="00821255">
        <w:rPr>
          <w:rFonts w:ascii="Century Gothic" w:hAnsi="Century Gothic"/>
          <w:lang w:val="wo-SN"/>
        </w:rPr>
        <w:t xml:space="preserve"> en Mauritanie sont alarmantes et nécessitent une attention urgente. Les impacts sur les écosystèmes marins, le littoral et les aires protégées soulignent l'importance d'adopter des stratégies d'adaptation efficaces pour protéger ces ressources vitales et assurer la résilience des communautés côtières face aux défis environnementaux croissants.</w:t>
      </w:r>
    </w:p>
    <w:p w14:paraId="37F2C07F" w14:textId="5C151D59" w:rsidR="006F7C60" w:rsidRPr="00D126DD" w:rsidRDefault="006F7C60" w:rsidP="00FA36EC">
      <w:pPr>
        <w:shd w:val="clear" w:color="auto" w:fill="FBE4D5" w:themeFill="accent2" w:themeFillTint="33"/>
        <w:jc w:val="both"/>
        <w:rPr>
          <w:rFonts w:ascii="Century Gothic" w:hAnsi="Century Gothic"/>
          <w:lang w:val="wo-SN"/>
        </w:rPr>
      </w:pPr>
      <w:r w:rsidRPr="00821255">
        <w:rPr>
          <w:rFonts w:ascii="Century Gothic" w:hAnsi="Century Gothic"/>
          <w:lang w:val="wo-SN"/>
        </w:rPr>
        <w:t>Les changements climatiques perturbent les écosystèmes marins, affectant la température de l'eau et la salinité, ce qui peut nuire aux espèces marines et à leurs habitats. La richesse biologique résultant du phénomène d'upwelling est menacée par ces modifications environnementales</w:t>
      </w:r>
      <w:r>
        <w:rPr>
          <w:rStyle w:val="Appelnotedebasdep"/>
          <w:rFonts w:ascii="Century Gothic" w:hAnsi="Century Gothic"/>
          <w:lang w:val="wo-SN"/>
        </w:rPr>
        <w:footnoteReference w:id="32"/>
      </w:r>
      <w:r>
        <w:rPr>
          <w:rFonts w:ascii="Century Gothic" w:hAnsi="Century Gothic"/>
          <w:lang w:val="wo-SN"/>
        </w:rPr>
        <w:t xml:space="preserve"> </w:t>
      </w:r>
      <w:r>
        <w:rPr>
          <w:rStyle w:val="Appelnotedebasdep"/>
          <w:rFonts w:ascii="Century Gothic" w:hAnsi="Century Gothic"/>
          <w:lang w:val="wo-SN"/>
        </w:rPr>
        <w:footnoteReference w:id="33"/>
      </w:r>
      <w:r w:rsidRPr="00821255">
        <w:rPr>
          <w:rFonts w:ascii="Century Gothic" w:hAnsi="Century Gothic"/>
          <w:lang w:val="wo-SN"/>
        </w:rPr>
        <w:t>.</w:t>
      </w:r>
    </w:p>
    <w:p w14:paraId="65B00DBB" w14:textId="0F586660" w:rsidR="005340E2" w:rsidRPr="00F770FC" w:rsidRDefault="005340E2" w:rsidP="005625B5">
      <w:pPr>
        <w:pStyle w:val="Titre1"/>
        <w:numPr>
          <w:ilvl w:val="0"/>
          <w:numId w:val="26"/>
        </w:numPr>
        <w:ind w:left="567" w:hanging="567"/>
        <w:jc w:val="both"/>
        <w:rPr>
          <w:rFonts w:ascii="Century Gothic" w:hAnsi="Century Gothic"/>
          <w:b/>
          <w:bCs/>
          <w:sz w:val="28"/>
          <w:szCs w:val="28"/>
          <w:lang w:val="wo-SN"/>
        </w:rPr>
      </w:pPr>
      <w:bookmarkStart w:id="19" w:name="_Toc189326927"/>
      <w:bookmarkStart w:id="20" w:name="_Toc189375539"/>
      <w:r w:rsidRPr="00F770FC">
        <w:rPr>
          <w:rFonts w:ascii="Century Gothic" w:hAnsi="Century Gothic"/>
          <w:b/>
          <w:bCs/>
          <w:sz w:val="28"/>
          <w:szCs w:val="28"/>
          <w:lang w:val="wo-SN"/>
        </w:rPr>
        <w:t>Contexte et Justification</w:t>
      </w:r>
      <w:bookmarkEnd w:id="19"/>
      <w:bookmarkEnd w:id="20"/>
    </w:p>
    <w:p w14:paraId="2E0BAC2E" w14:textId="5DD72D3D" w:rsidR="005340E2" w:rsidRPr="00077956" w:rsidRDefault="005340E2" w:rsidP="00DF1579">
      <w:pPr>
        <w:pStyle w:val="NormalWeb"/>
        <w:spacing w:before="0" w:beforeAutospacing="0" w:after="0" w:afterAutospacing="0"/>
        <w:jc w:val="both"/>
        <w:rPr>
          <w:rFonts w:ascii="Century Gothic" w:hAnsi="Century Gothic"/>
          <w:sz w:val="22"/>
          <w:szCs w:val="22"/>
        </w:rPr>
      </w:pPr>
      <w:r w:rsidRPr="00077956">
        <w:rPr>
          <w:rFonts w:ascii="Century Gothic" w:hAnsi="Century Gothic"/>
          <w:sz w:val="22"/>
          <w:szCs w:val="22"/>
        </w:rPr>
        <w:t xml:space="preserve">Dans le cadre de son engagement envers la Convention des Nations Unies sur le changement climatique, la Mauritanie poursuit activement ses efforts pour répondre aux défis posés par les changements climatiques. En ratifiant cette convention, la Mauritanie s'est engagée à réduire ses émissions de gaz à effet de serre (GES) et à contribuer à l'effort mondial pour limiter le réchauffement climatique. L'élaboration de la cinquième communication nationale de la Mauritanie est une étape cruciale dans ce processus, fournissant des informations détaillées sur les conditions propres au pays, ainsi que sur ses priorités et objectifs de développement en lien avec la Stratégie </w:t>
      </w:r>
      <w:r w:rsidR="00D145FD">
        <w:rPr>
          <w:rFonts w:ascii="Century Gothic" w:hAnsi="Century Gothic"/>
          <w:sz w:val="22"/>
          <w:szCs w:val="22"/>
        </w:rPr>
        <w:t xml:space="preserve">nationale </w:t>
      </w:r>
      <w:r w:rsidRPr="00077956">
        <w:rPr>
          <w:rFonts w:ascii="Century Gothic" w:hAnsi="Century Gothic"/>
          <w:sz w:val="22"/>
          <w:szCs w:val="22"/>
        </w:rPr>
        <w:t>de Croissance Accélérée et de Prospérité Partagée (SCAPP) et les stratégies sectorielles.</w:t>
      </w:r>
    </w:p>
    <w:p w14:paraId="0D195739" w14:textId="77777777" w:rsidR="000C5344" w:rsidRPr="00077956" w:rsidRDefault="000C5344" w:rsidP="00DF1579">
      <w:pPr>
        <w:pStyle w:val="NormalWeb"/>
        <w:spacing w:before="0" w:beforeAutospacing="0" w:after="0" w:afterAutospacing="0"/>
        <w:jc w:val="both"/>
        <w:rPr>
          <w:rFonts w:ascii="Century Gothic" w:hAnsi="Century Gothic"/>
          <w:sz w:val="22"/>
          <w:szCs w:val="22"/>
        </w:rPr>
      </w:pPr>
    </w:p>
    <w:p w14:paraId="10D9341C" w14:textId="77777777" w:rsidR="005340E2" w:rsidRPr="00077956" w:rsidRDefault="005340E2" w:rsidP="00DF1579">
      <w:pPr>
        <w:pStyle w:val="NormalWeb"/>
        <w:spacing w:before="0" w:beforeAutospacing="0" w:after="0" w:afterAutospacing="0"/>
        <w:jc w:val="both"/>
        <w:rPr>
          <w:rFonts w:ascii="Century Gothic" w:hAnsi="Century Gothic"/>
          <w:sz w:val="22"/>
          <w:szCs w:val="22"/>
        </w:rPr>
      </w:pPr>
      <w:r w:rsidRPr="00077956">
        <w:rPr>
          <w:rFonts w:ascii="Century Gothic" w:hAnsi="Century Gothic"/>
          <w:sz w:val="22"/>
          <w:szCs w:val="22"/>
        </w:rPr>
        <w:t>Les changements climatiques constituent un défi majeur pour le pays, se manifestant par la récurrence de catastrophes naturelles telles que l'augmentation des températures, les inondations et les sécheresses. Face à ce défi, des modèles numériques ont été développés au niveau international pour simuler l'évolution future du climat, prenant en compte l'impact des énergies fossiles sur le réchauffement climatique.</w:t>
      </w:r>
    </w:p>
    <w:p w14:paraId="77B0D003" w14:textId="77777777" w:rsidR="005340E2" w:rsidRPr="00077956" w:rsidRDefault="005340E2" w:rsidP="00DF1579">
      <w:pPr>
        <w:pStyle w:val="NormalWeb"/>
        <w:spacing w:before="120" w:beforeAutospacing="0" w:after="120" w:afterAutospacing="0"/>
        <w:jc w:val="both"/>
        <w:rPr>
          <w:rFonts w:ascii="Century Gothic" w:hAnsi="Century Gothic"/>
          <w:sz w:val="22"/>
          <w:szCs w:val="22"/>
        </w:rPr>
      </w:pPr>
      <w:r w:rsidRPr="00077956">
        <w:rPr>
          <w:rFonts w:ascii="Century Gothic" w:hAnsi="Century Gothic"/>
          <w:sz w:val="22"/>
          <w:szCs w:val="22"/>
        </w:rPr>
        <w:t>La communication nationale est un outil stratégique pour la Mauritanie, fournissant des informations sur les conditions spécifiques du pays en lien avec les changements climatiques. Elle constitue également une référence pour l'élaboration des politiques nationales et pour renforcer la contribution du pays dans le cadre de la convention internationale sur le climat.</w:t>
      </w:r>
    </w:p>
    <w:p w14:paraId="55290BFC" w14:textId="77777777" w:rsidR="005340E2" w:rsidRPr="00077956" w:rsidRDefault="005340E2" w:rsidP="00DF1579">
      <w:pPr>
        <w:pStyle w:val="NormalWeb"/>
        <w:spacing w:before="120" w:beforeAutospacing="0" w:after="120" w:afterAutospacing="0"/>
        <w:jc w:val="both"/>
        <w:rPr>
          <w:rFonts w:ascii="Century Gothic" w:hAnsi="Century Gothic"/>
          <w:sz w:val="22"/>
          <w:szCs w:val="22"/>
        </w:rPr>
      </w:pPr>
      <w:r w:rsidRPr="00077956">
        <w:rPr>
          <w:rFonts w:ascii="Century Gothic" w:hAnsi="Century Gothic"/>
          <w:sz w:val="22"/>
          <w:szCs w:val="22"/>
        </w:rPr>
        <w:t>L'approfondissement de cette démarche s'inscrit dans la volonté du pays de faire progresser sa part d'énergies renouvelables et d'atteindre, avec un soutien financier adéquat, la neutralité carbone d'ici 2030. Le processus d'élaboration de cette communication implique une concertation entre tous les secteurs concernés, afin de produire un document exhaustif reflétant fidèlement la situation du pays et orientant les politiques futures en matière de climat.</w:t>
      </w:r>
    </w:p>
    <w:p w14:paraId="190B91E8" w14:textId="499EECE8" w:rsidR="009D5C65" w:rsidRPr="00077956" w:rsidRDefault="005340E2" w:rsidP="00DF1579">
      <w:pPr>
        <w:pStyle w:val="NormalWeb"/>
        <w:spacing w:before="120" w:beforeAutospacing="0" w:after="120" w:afterAutospacing="0"/>
        <w:jc w:val="both"/>
        <w:rPr>
          <w:rFonts w:ascii="Century Gothic" w:hAnsi="Century Gothic"/>
          <w:color w:val="ED7D31" w:themeColor="accent2"/>
          <w:sz w:val="22"/>
          <w:szCs w:val="22"/>
        </w:rPr>
      </w:pPr>
      <w:r w:rsidRPr="00077956">
        <w:rPr>
          <w:rFonts w:ascii="Century Gothic" w:hAnsi="Century Gothic" w:cstheme="majorBidi"/>
          <w:sz w:val="22"/>
          <w:szCs w:val="22"/>
        </w:rPr>
        <w:t xml:space="preserve">Les zones humides de Mauritanie, qui incluent des écosystèmes marins et côtiers ainsi que des habitats naturels tels que les lacs, les marais, et les estuaires, jouent un rôle crucial dans la régulation des cycles hydrologiques, la conservation de la biodiversité, et le soutien aux moyens de subsistance des communautés locales. </w:t>
      </w:r>
      <w:r w:rsidRPr="00077956">
        <w:rPr>
          <w:rFonts w:ascii="Century Gothic" w:hAnsi="Century Gothic"/>
          <w:sz w:val="22"/>
          <w:szCs w:val="22"/>
        </w:rPr>
        <w:t xml:space="preserve">Cependant, ces écosystèmes sont particulièrement vulnérables aux effets du changement climatique, notamment les variations des précipitations, l'augmentation des températures, et la montée du niveau de la mer. Dans le cadre de cette cinquiéme communication, il est impératif d'évaluer la vulnérabilité de ces zones humides </w:t>
      </w:r>
      <w:r w:rsidR="00D145FD">
        <w:rPr>
          <w:rFonts w:ascii="Century Gothic" w:hAnsi="Century Gothic"/>
          <w:sz w:val="22"/>
          <w:szCs w:val="22"/>
        </w:rPr>
        <w:t xml:space="preserve">au-delà de leur rôle traité dans la pêche continentale, d’examiner ici leur partition dans la </w:t>
      </w:r>
      <w:r w:rsidR="004947D3">
        <w:rPr>
          <w:rFonts w:ascii="Century Gothic" w:hAnsi="Century Gothic"/>
          <w:sz w:val="22"/>
          <w:szCs w:val="22"/>
        </w:rPr>
        <w:t>conservation de la biodiversité</w:t>
      </w:r>
      <w:r w:rsidR="00D145FD">
        <w:rPr>
          <w:rFonts w:ascii="Century Gothic" w:hAnsi="Century Gothic"/>
          <w:sz w:val="22"/>
          <w:szCs w:val="22"/>
        </w:rPr>
        <w:t xml:space="preserve"> </w:t>
      </w:r>
      <w:r w:rsidRPr="00077956">
        <w:rPr>
          <w:rFonts w:ascii="Century Gothic" w:hAnsi="Century Gothic"/>
          <w:sz w:val="22"/>
          <w:szCs w:val="22"/>
        </w:rPr>
        <w:t>et de proposer des stratégies d'adaptation pour préserver leur intégrité écologique et les services qu'elles fournissent</w:t>
      </w:r>
      <w:r w:rsidRPr="00077956">
        <w:rPr>
          <w:rFonts w:ascii="Century Gothic" w:hAnsi="Century Gothic"/>
          <w:color w:val="ED7D31" w:themeColor="accent2"/>
          <w:sz w:val="22"/>
          <w:szCs w:val="22"/>
        </w:rPr>
        <w:t>.</w:t>
      </w:r>
    </w:p>
    <w:p w14:paraId="3238A57A" w14:textId="43250794" w:rsidR="005340E2" w:rsidRPr="00F770FC" w:rsidRDefault="005340E2" w:rsidP="005625B5">
      <w:pPr>
        <w:pStyle w:val="Titre1"/>
        <w:numPr>
          <w:ilvl w:val="0"/>
          <w:numId w:val="26"/>
        </w:numPr>
        <w:ind w:left="567" w:hanging="567"/>
        <w:jc w:val="both"/>
        <w:rPr>
          <w:rFonts w:ascii="Century Gothic" w:hAnsi="Century Gothic"/>
          <w:b/>
          <w:bCs/>
          <w:sz w:val="28"/>
          <w:szCs w:val="28"/>
          <w:lang w:val="wo-SN"/>
        </w:rPr>
      </w:pPr>
      <w:bookmarkStart w:id="21" w:name="_Toc189326928"/>
      <w:bookmarkStart w:id="22" w:name="_Toc189375540"/>
      <w:r w:rsidRPr="00F770FC">
        <w:rPr>
          <w:rFonts w:ascii="Century Gothic" w:hAnsi="Century Gothic"/>
          <w:b/>
          <w:bCs/>
          <w:sz w:val="28"/>
          <w:szCs w:val="28"/>
          <w:lang w:val="wo-SN"/>
        </w:rPr>
        <w:t xml:space="preserve">Objectifs </w:t>
      </w:r>
      <w:r w:rsidR="003F697C" w:rsidRPr="00F770FC">
        <w:rPr>
          <w:rFonts w:ascii="Century Gothic" w:hAnsi="Century Gothic"/>
          <w:b/>
          <w:bCs/>
          <w:sz w:val="28"/>
          <w:szCs w:val="28"/>
          <w:lang w:val="wo-SN"/>
        </w:rPr>
        <w:t xml:space="preserve">et tâches </w:t>
      </w:r>
      <w:r w:rsidRPr="00F770FC">
        <w:rPr>
          <w:rFonts w:ascii="Century Gothic" w:hAnsi="Century Gothic"/>
          <w:b/>
          <w:bCs/>
          <w:sz w:val="28"/>
          <w:szCs w:val="28"/>
          <w:lang w:val="wo-SN"/>
        </w:rPr>
        <w:t>de l'É</w:t>
      </w:r>
      <w:r w:rsidR="003F697C" w:rsidRPr="00F770FC">
        <w:rPr>
          <w:rFonts w:ascii="Century Gothic" w:hAnsi="Century Gothic"/>
          <w:b/>
          <w:bCs/>
          <w:sz w:val="28"/>
          <w:szCs w:val="28"/>
          <w:lang w:val="wo-SN"/>
        </w:rPr>
        <w:t>valuation</w:t>
      </w:r>
      <w:bookmarkEnd w:id="21"/>
      <w:bookmarkEnd w:id="22"/>
    </w:p>
    <w:p w14:paraId="423112EF" w14:textId="4B2E28D2" w:rsidR="005340E2" w:rsidRPr="00077956" w:rsidRDefault="005340E2" w:rsidP="00DF1579">
      <w:pPr>
        <w:pStyle w:val="NormalWeb"/>
        <w:spacing w:before="120" w:beforeAutospacing="0" w:after="120" w:afterAutospacing="0"/>
        <w:jc w:val="both"/>
        <w:rPr>
          <w:rFonts w:ascii="Century Gothic" w:hAnsi="Century Gothic"/>
          <w:sz w:val="22"/>
          <w:szCs w:val="22"/>
        </w:rPr>
      </w:pPr>
      <w:r w:rsidRPr="00203B3F">
        <w:rPr>
          <w:rFonts w:ascii="Century Gothic" w:hAnsi="Century Gothic"/>
          <w:sz w:val="22"/>
          <w:szCs w:val="22"/>
        </w:rPr>
        <w:t>L'objectif principal</w:t>
      </w:r>
      <w:r w:rsidRPr="00077956">
        <w:rPr>
          <w:rFonts w:ascii="Century Gothic" w:hAnsi="Century Gothic"/>
          <w:sz w:val="22"/>
          <w:szCs w:val="22"/>
        </w:rPr>
        <w:t xml:space="preserve"> de cette étude est d'évaluer la vulnérabilité des </w:t>
      </w:r>
      <w:r w:rsidR="00E052E2">
        <w:rPr>
          <w:rFonts w:ascii="Century Gothic" w:hAnsi="Century Gothic"/>
          <w:sz w:val="22"/>
          <w:szCs w:val="22"/>
        </w:rPr>
        <w:t>ecosystemes marins, Littoral et Aires Protegées</w:t>
      </w:r>
      <w:r w:rsidRPr="00077956">
        <w:rPr>
          <w:rFonts w:ascii="Century Gothic" w:hAnsi="Century Gothic"/>
          <w:sz w:val="22"/>
          <w:szCs w:val="22"/>
        </w:rPr>
        <w:t xml:space="preserve"> en Mauritanie face aux changements climatiques </w:t>
      </w:r>
      <w:r w:rsidR="004947D3">
        <w:rPr>
          <w:rFonts w:ascii="Century Gothic" w:hAnsi="Century Gothic"/>
          <w:sz w:val="22"/>
          <w:szCs w:val="22"/>
        </w:rPr>
        <w:t xml:space="preserve">en lien avec la préservation et conservation de la biodiversité </w:t>
      </w:r>
      <w:r w:rsidRPr="00077956">
        <w:rPr>
          <w:rFonts w:ascii="Century Gothic" w:hAnsi="Century Gothic"/>
          <w:sz w:val="22"/>
          <w:szCs w:val="22"/>
        </w:rPr>
        <w:t xml:space="preserve">et de proposer des stratégies d'adaptation </w:t>
      </w:r>
      <w:r w:rsidR="004947D3">
        <w:rPr>
          <w:rFonts w:ascii="Century Gothic" w:hAnsi="Century Gothic"/>
          <w:sz w:val="22"/>
          <w:szCs w:val="22"/>
        </w:rPr>
        <w:t xml:space="preserve">idoines, </w:t>
      </w:r>
      <w:r w:rsidRPr="00077956">
        <w:rPr>
          <w:rFonts w:ascii="Century Gothic" w:hAnsi="Century Gothic"/>
          <w:sz w:val="22"/>
          <w:szCs w:val="22"/>
        </w:rPr>
        <w:t xml:space="preserve">efficaces et durables. </w:t>
      </w:r>
    </w:p>
    <w:p w14:paraId="6FB03DF4" w14:textId="776A9AE7" w:rsidR="005340E2" w:rsidRPr="00077956" w:rsidRDefault="005340E2" w:rsidP="00DF1579">
      <w:pPr>
        <w:pStyle w:val="NormalWeb"/>
        <w:spacing w:before="120" w:beforeAutospacing="0" w:after="120" w:afterAutospacing="0"/>
        <w:jc w:val="both"/>
        <w:rPr>
          <w:rFonts w:ascii="Century Gothic" w:hAnsi="Century Gothic"/>
          <w:sz w:val="22"/>
          <w:szCs w:val="22"/>
        </w:rPr>
      </w:pPr>
      <w:r w:rsidRPr="00447DF9">
        <w:rPr>
          <w:rFonts w:ascii="Century Gothic" w:hAnsi="Century Gothic"/>
          <w:sz w:val="22"/>
          <w:szCs w:val="22"/>
        </w:rPr>
        <w:t xml:space="preserve">Les </w:t>
      </w:r>
      <w:r w:rsidR="000C5344" w:rsidRPr="00447DF9">
        <w:rPr>
          <w:rFonts w:ascii="Century Gothic" w:hAnsi="Century Gothic"/>
          <w:sz w:val="22"/>
          <w:szCs w:val="22"/>
        </w:rPr>
        <w:t>t</w:t>
      </w:r>
      <w:r w:rsidRPr="00447DF9">
        <w:rPr>
          <w:rFonts w:ascii="Century Gothic" w:hAnsi="Century Gothic"/>
          <w:sz w:val="22"/>
          <w:szCs w:val="22"/>
        </w:rPr>
        <w:t>âches spécifiques</w:t>
      </w:r>
      <w:r w:rsidRPr="00077956">
        <w:rPr>
          <w:rFonts w:ascii="Century Gothic" w:hAnsi="Century Gothic"/>
          <w:sz w:val="22"/>
          <w:szCs w:val="22"/>
        </w:rPr>
        <w:t xml:space="preserve"> sont : </w:t>
      </w:r>
    </w:p>
    <w:p w14:paraId="675D57B5" w14:textId="42AAEE68" w:rsidR="00F11F90" w:rsidRDefault="00F11F90" w:rsidP="00DF1579">
      <w:pPr>
        <w:numPr>
          <w:ilvl w:val="0"/>
          <w:numId w:val="1"/>
        </w:numPr>
        <w:spacing w:after="0" w:line="240" w:lineRule="auto"/>
        <w:ind w:left="714" w:hanging="357"/>
        <w:jc w:val="both"/>
        <w:rPr>
          <w:rFonts w:ascii="Century Gothic" w:eastAsia="Times New Roman" w:hAnsi="Century Gothic" w:cs="Times New Roman"/>
          <w:lang w:val="wo-SN" w:eastAsia="wo-SN"/>
        </w:rPr>
      </w:pPr>
      <w:r w:rsidRPr="00077956">
        <w:rPr>
          <w:rFonts w:ascii="Century Gothic" w:eastAsia="Times New Roman" w:hAnsi="Century Gothic" w:cs="Times New Roman"/>
          <w:lang w:val="wo-SN" w:eastAsia="wo-SN"/>
        </w:rPr>
        <w:t>Présenter le</w:t>
      </w:r>
      <w:r>
        <w:rPr>
          <w:rFonts w:ascii="Century Gothic" w:eastAsia="Times New Roman" w:hAnsi="Century Gothic" w:cs="Times New Roman"/>
          <w:lang w:val="wo-SN" w:eastAsia="wo-SN"/>
        </w:rPr>
        <w:t>s écosystèmes cibles, l</w:t>
      </w:r>
      <w:r w:rsidR="00022F7C">
        <w:rPr>
          <w:rFonts w:ascii="Century Gothic" w:eastAsia="Times New Roman" w:hAnsi="Century Gothic" w:cs="Times New Roman"/>
          <w:lang w:val="wo-SN" w:eastAsia="wo-SN"/>
        </w:rPr>
        <w:t xml:space="preserve">e potentiel de </w:t>
      </w:r>
      <w:r>
        <w:rPr>
          <w:rFonts w:ascii="Century Gothic" w:eastAsia="Times New Roman" w:hAnsi="Century Gothic" w:cs="Times New Roman"/>
          <w:lang w:val="wo-SN" w:eastAsia="wo-SN"/>
        </w:rPr>
        <w:t>biodiversité</w:t>
      </w:r>
      <w:r w:rsidR="00022F7C">
        <w:rPr>
          <w:rFonts w:ascii="Century Gothic" w:eastAsia="Times New Roman" w:hAnsi="Century Gothic" w:cs="Times New Roman"/>
          <w:lang w:val="wo-SN" w:eastAsia="wo-SN"/>
        </w:rPr>
        <w:t>,</w:t>
      </w:r>
      <w:r>
        <w:rPr>
          <w:rFonts w:ascii="Century Gothic" w:eastAsia="Times New Roman" w:hAnsi="Century Gothic" w:cs="Times New Roman"/>
          <w:lang w:val="wo-SN" w:eastAsia="wo-SN"/>
        </w:rPr>
        <w:t xml:space="preserve"> les</w:t>
      </w:r>
      <w:r w:rsidRPr="00077956">
        <w:rPr>
          <w:rFonts w:ascii="Century Gothic" w:eastAsia="Times New Roman" w:hAnsi="Century Gothic" w:cs="Times New Roman"/>
          <w:lang w:val="wo-SN" w:eastAsia="wo-SN"/>
        </w:rPr>
        <w:t xml:space="preserve"> </w:t>
      </w:r>
      <w:r>
        <w:rPr>
          <w:rFonts w:ascii="Century Gothic" w:eastAsia="Times New Roman" w:hAnsi="Century Gothic" w:cs="Times New Roman"/>
          <w:lang w:val="wo-SN" w:eastAsia="wo-SN"/>
        </w:rPr>
        <w:t xml:space="preserve">facteurs climatiques </w:t>
      </w:r>
      <w:r w:rsidR="00022F7C">
        <w:rPr>
          <w:rFonts w:ascii="Century Gothic" w:eastAsia="Times New Roman" w:hAnsi="Century Gothic" w:cs="Times New Roman"/>
          <w:lang w:val="wo-SN" w:eastAsia="wo-SN"/>
        </w:rPr>
        <w:t xml:space="preserve">ambiants et </w:t>
      </w:r>
      <w:r w:rsidRPr="00077956">
        <w:rPr>
          <w:rFonts w:ascii="Century Gothic" w:eastAsia="Times New Roman" w:hAnsi="Century Gothic" w:cs="Times New Roman"/>
          <w:lang w:val="wo-SN" w:eastAsia="wo-SN"/>
        </w:rPr>
        <w:t>cadre</w:t>
      </w:r>
      <w:r w:rsidR="00022F7C">
        <w:rPr>
          <w:rFonts w:ascii="Century Gothic" w:eastAsia="Times New Roman" w:hAnsi="Century Gothic" w:cs="Times New Roman"/>
          <w:lang w:val="wo-SN" w:eastAsia="wo-SN"/>
        </w:rPr>
        <w:t>s</w:t>
      </w:r>
      <w:r w:rsidRPr="00077956">
        <w:rPr>
          <w:rFonts w:ascii="Century Gothic" w:eastAsia="Times New Roman" w:hAnsi="Century Gothic" w:cs="Times New Roman"/>
          <w:lang w:val="wo-SN" w:eastAsia="wo-SN"/>
        </w:rPr>
        <w:t xml:space="preserve"> politique</w:t>
      </w:r>
      <w:r w:rsidR="00022F7C">
        <w:rPr>
          <w:rFonts w:ascii="Century Gothic" w:eastAsia="Times New Roman" w:hAnsi="Century Gothic" w:cs="Times New Roman"/>
          <w:lang w:val="wo-SN" w:eastAsia="wo-SN"/>
        </w:rPr>
        <w:t>s</w:t>
      </w:r>
      <w:r w:rsidRPr="00077956">
        <w:rPr>
          <w:rFonts w:ascii="Century Gothic" w:eastAsia="Times New Roman" w:hAnsi="Century Gothic" w:cs="Times New Roman"/>
          <w:lang w:val="wo-SN" w:eastAsia="wo-SN"/>
        </w:rPr>
        <w:t xml:space="preserve"> et stratégique</w:t>
      </w:r>
      <w:r w:rsidR="00022F7C">
        <w:rPr>
          <w:rFonts w:ascii="Century Gothic" w:eastAsia="Times New Roman" w:hAnsi="Century Gothic" w:cs="Times New Roman"/>
          <w:lang w:val="wo-SN" w:eastAsia="wo-SN"/>
        </w:rPr>
        <w:t>s</w:t>
      </w:r>
      <w:r w:rsidRPr="00077956">
        <w:rPr>
          <w:rFonts w:ascii="Century Gothic" w:eastAsia="Times New Roman" w:hAnsi="Century Gothic" w:cs="Times New Roman"/>
          <w:lang w:val="wo-SN" w:eastAsia="wo-SN"/>
        </w:rPr>
        <w:t xml:space="preserve"> en matière de protection de la biodiversité marine</w:t>
      </w:r>
      <w:r w:rsidR="00022F7C">
        <w:rPr>
          <w:rFonts w:ascii="Century Gothic" w:eastAsia="Times New Roman" w:hAnsi="Century Gothic" w:cs="Times New Roman"/>
          <w:lang w:val="wo-SN" w:eastAsia="wo-SN"/>
        </w:rPr>
        <w:t>, etc.</w:t>
      </w:r>
      <w:r w:rsidRPr="00077956">
        <w:rPr>
          <w:rFonts w:ascii="Century Gothic" w:eastAsia="Times New Roman" w:hAnsi="Century Gothic" w:cs="Times New Roman"/>
          <w:lang w:val="wo-SN" w:eastAsia="wo-SN"/>
        </w:rPr>
        <w:t xml:space="preserve"> </w:t>
      </w:r>
    </w:p>
    <w:p w14:paraId="57459F64" w14:textId="2131FFDD" w:rsidR="005340E2" w:rsidRPr="00077956" w:rsidRDefault="005340E2" w:rsidP="00DF1579">
      <w:pPr>
        <w:numPr>
          <w:ilvl w:val="0"/>
          <w:numId w:val="1"/>
        </w:numPr>
        <w:spacing w:after="0" w:line="240" w:lineRule="auto"/>
        <w:ind w:left="714" w:hanging="357"/>
        <w:jc w:val="both"/>
        <w:rPr>
          <w:rFonts w:ascii="Century Gothic" w:eastAsia="Times New Roman" w:hAnsi="Century Gothic" w:cs="Times New Roman"/>
          <w:lang w:val="wo-SN" w:eastAsia="wo-SN"/>
        </w:rPr>
      </w:pPr>
      <w:r w:rsidRPr="00077956">
        <w:rPr>
          <w:rFonts w:ascii="Century Gothic" w:eastAsia="Times New Roman" w:hAnsi="Century Gothic" w:cs="Times New Roman"/>
          <w:lang w:val="wo-SN" w:eastAsia="wo-SN"/>
        </w:rPr>
        <w:t xml:space="preserve">Présenter le cadre politique et stratégique en matière de protection de la biodiversité marine, côtière et </w:t>
      </w:r>
      <w:r w:rsidR="00260B15">
        <w:rPr>
          <w:rFonts w:ascii="Century Gothic" w:eastAsia="Times New Roman" w:hAnsi="Century Gothic" w:cs="Times New Roman"/>
          <w:lang w:val="wo-SN" w:eastAsia="wo-SN"/>
        </w:rPr>
        <w:t>littorale</w:t>
      </w:r>
      <w:r w:rsidRPr="00077956">
        <w:rPr>
          <w:rFonts w:ascii="Century Gothic" w:eastAsia="Times New Roman" w:hAnsi="Century Gothic" w:cs="Times New Roman"/>
          <w:lang w:val="wo-SN" w:eastAsia="wo-SN"/>
        </w:rPr>
        <w:t xml:space="preserve">, tout en mettant en lien avec les changements climatiques; </w:t>
      </w:r>
    </w:p>
    <w:p w14:paraId="2500B2F2" w14:textId="77777777" w:rsidR="005340E2" w:rsidRPr="00077956" w:rsidRDefault="005340E2" w:rsidP="00DF1579">
      <w:pPr>
        <w:numPr>
          <w:ilvl w:val="0"/>
          <w:numId w:val="1"/>
        </w:numPr>
        <w:spacing w:after="0" w:line="240" w:lineRule="auto"/>
        <w:ind w:left="714" w:hanging="357"/>
        <w:jc w:val="both"/>
        <w:rPr>
          <w:rFonts w:ascii="Century Gothic" w:eastAsia="Times New Roman" w:hAnsi="Century Gothic" w:cs="Times New Roman"/>
          <w:lang w:val="wo-SN" w:eastAsia="wo-SN"/>
        </w:rPr>
      </w:pPr>
      <w:r w:rsidRPr="00077956">
        <w:rPr>
          <w:rFonts w:ascii="Century Gothic" w:eastAsia="Times New Roman" w:hAnsi="Century Gothic" w:cs="Times New Roman"/>
          <w:lang w:val="wo-SN" w:eastAsia="wo-SN"/>
        </w:rPr>
        <w:t>Présenter les facteurs climatiques ; biophysiques et édaphiques relatifs à ces zones de biodiversité puis analyser leurs fluctuations au cours des cinq dernières années, c’est à dire depuis la publication de la quatrième communication nationale sur les changements climatiques (en 2019).</w:t>
      </w:r>
    </w:p>
    <w:p w14:paraId="26DDABCF" w14:textId="77777777" w:rsidR="005340E2" w:rsidRPr="00077956" w:rsidRDefault="005340E2" w:rsidP="00DF1579">
      <w:pPr>
        <w:numPr>
          <w:ilvl w:val="0"/>
          <w:numId w:val="1"/>
        </w:numPr>
        <w:spacing w:after="0" w:line="240" w:lineRule="auto"/>
        <w:ind w:left="714" w:hanging="357"/>
        <w:jc w:val="both"/>
        <w:rPr>
          <w:rFonts w:ascii="Century Gothic" w:eastAsia="Times New Roman" w:hAnsi="Century Gothic" w:cs="Times New Roman"/>
          <w:lang w:val="wo-SN" w:eastAsia="wo-SN"/>
        </w:rPr>
      </w:pPr>
      <w:r w:rsidRPr="00077956">
        <w:rPr>
          <w:rFonts w:ascii="Century Gothic" w:eastAsia="Times New Roman" w:hAnsi="Century Gothic" w:cs="Times New Roman"/>
          <w:lang w:val="wo-SN" w:eastAsia="wo-SN"/>
        </w:rPr>
        <w:t xml:space="preserve">Evaluer la vulnérabilité au changement climatique de chaque biome (désert, mer, lacs, littoral, marres, estuaires, fleuves, forêts, etc.) puis estimer les pertes et préjudices subit par ces zones de biodiversité et les conséquences sur les communautés utilisatrices des ressources. </w:t>
      </w:r>
    </w:p>
    <w:p w14:paraId="6EA3338D" w14:textId="6C85BF1A" w:rsidR="00BF1B72" w:rsidRPr="00C3793A" w:rsidRDefault="005340E2" w:rsidP="00C3793A">
      <w:pPr>
        <w:numPr>
          <w:ilvl w:val="0"/>
          <w:numId w:val="1"/>
        </w:numPr>
        <w:spacing w:after="0" w:line="240" w:lineRule="auto"/>
        <w:ind w:left="714" w:hanging="357"/>
        <w:jc w:val="both"/>
        <w:rPr>
          <w:rFonts w:ascii="Century Gothic" w:eastAsia="Times New Roman" w:hAnsi="Century Gothic" w:cs="Times New Roman"/>
          <w:lang w:val="wo-SN" w:eastAsia="wo-SN"/>
        </w:rPr>
      </w:pPr>
      <w:r w:rsidRPr="00077956">
        <w:rPr>
          <w:rFonts w:ascii="Century Gothic" w:hAnsi="Century Gothic" w:cstheme="majorBidi"/>
          <w:bCs/>
        </w:rPr>
        <w:t xml:space="preserve">Envisager des scénarios d’avenir et proposer des réponses pragmatiques qui sont de nature à réduire les vulnérabilités et </w:t>
      </w:r>
      <w:r w:rsidRPr="00077956">
        <w:rPr>
          <w:rFonts w:ascii="Century Gothic" w:hAnsi="Century Gothic" w:cstheme="majorBidi"/>
          <w:bCs/>
          <w:i/>
          <w:iCs/>
        </w:rPr>
        <w:t>in fine</w:t>
      </w:r>
      <w:r w:rsidRPr="00077956">
        <w:rPr>
          <w:rFonts w:ascii="Century Gothic" w:hAnsi="Century Gothic" w:cstheme="majorBidi"/>
          <w:bCs/>
        </w:rPr>
        <w:t xml:space="preserve"> à accroître leur potentialité de productivité des ressources naturelles. </w:t>
      </w:r>
    </w:p>
    <w:p w14:paraId="03AFF5B4" w14:textId="755E615A" w:rsidR="00666CFF" w:rsidRPr="00666CFF" w:rsidRDefault="00000000" w:rsidP="00666CFF">
      <w:pPr>
        <w:spacing w:after="0" w:line="240" w:lineRule="auto"/>
        <w:jc w:val="both"/>
        <w:rPr>
          <w:rFonts w:ascii="Century Gothic" w:eastAsia="Times New Roman" w:hAnsi="Century Gothic" w:cs="Times New Roman"/>
          <w:sz w:val="24"/>
          <w:szCs w:val="24"/>
          <w:lang w:val="wo-SN" w:eastAsia="wo-SN"/>
        </w:rPr>
      </w:pPr>
      <w:r>
        <w:rPr>
          <w:rFonts w:ascii="Century Gothic" w:hAnsi="Century Gothic"/>
          <w:color w:val="FF0000"/>
        </w:rPr>
        <w:pict w14:anchorId="1071B5F6">
          <v:rect id="_x0000_i1027" style="width:0;height:1.5pt" o:hralign="center" o:hrstd="t" o:hr="t" fillcolor="#a0a0a0" stroked="f"/>
        </w:pict>
      </w:r>
    </w:p>
    <w:p w14:paraId="61740809" w14:textId="77777777" w:rsidR="005340E2" w:rsidRPr="00F770FC" w:rsidRDefault="005340E2" w:rsidP="005625B5">
      <w:pPr>
        <w:pStyle w:val="Titre1"/>
        <w:numPr>
          <w:ilvl w:val="0"/>
          <w:numId w:val="26"/>
        </w:numPr>
        <w:ind w:left="567" w:hanging="567"/>
        <w:jc w:val="both"/>
        <w:rPr>
          <w:rFonts w:ascii="Century Gothic" w:hAnsi="Century Gothic"/>
          <w:b/>
          <w:bCs/>
          <w:sz w:val="28"/>
          <w:szCs w:val="28"/>
          <w:lang w:val="wo-SN"/>
        </w:rPr>
      </w:pPr>
      <w:bookmarkStart w:id="23" w:name="_Toc189326929"/>
      <w:bookmarkStart w:id="24" w:name="_Toc189375541"/>
      <w:r w:rsidRPr="00F770FC">
        <w:rPr>
          <w:rFonts w:ascii="Century Gothic" w:hAnsi="Century Gothic"/>
          <w:b/>
          <w:bCs/>
          <w:sz w:val="28"/>
          <w:szCs w:val="28"/>
          <w:lang w:val="wo-SN"/>
        </w:rPr>
        <w:t>Méthodologie</w:t>
      </w:r>
      <w:bookmarkEnd w:id="23"/>
      <w:bookmarkEnd w:id="24"/>
    </w:p>
    <w:p w14:paraId="4120CBBD" w14:textId="6543FE29" w:rsidR="005340E2" w:rsidRPr="00077956" w:rsidRDefault="005340E2" w:rsidP="003F697C">
      <w:pPr>
        <w:spacing w:after="0" w:line="240" w:lineRule="auto"/>
        <w:ind w:left="426"/>
        <w:jc w:val="both"/>
        <w:rPr>
          <w:rFonts w:ascii="Century Gothic" w:eastAsia="Times New Roman" w:hAnsi="Century Gothic" w:cs="Times New Roman"/>
          <w:lang w:val="wo-SN" w:eastAsia="wo-SN"/>
        </w:rPr>
      </w:pPr>
      <w:r w:rsidRPr="00077956">
        <w:rPr>
          <w:rFonts w:ascii="Century Gothic" w:eastAsia="Times New Roman" w:hAnsi="Century Gothic" w:cs="Times New Roman"/>
          <w:lang w:val="wo-SN" w:eastAsia="wo-SN"/>
        </w:rPr>
        <w:t>La méthodo</w:t>
      </w:r>
      <w:r w:rsidR="00A707AC" w:rsidRPr="00077956">
        <w:rPr>
          <w:rFonts w:ascii="Century Gothic" w:eastAsia="Times New Roman" w:hAnsi="Century Gothic" w:cs="Times New Roman"/>
          <w:lang w:val="wo-SN" w:eastAsia="wo-SN"/>
        </w:rPr>
        <w:t>logie de cette étude se divise</w:t>
      </w:r>
      <w:r w:rsidRPr="00077956">
        <w:rPr>
          <w:rFonts w:ascii="Century Gothic" w:eastAsia="Times New Roman" w:hAnsi="Century Gothic" w:cs="Times New Roman"/>
          <w:lang w:val="wo-SN" w:eastAsia="wo-SN"/>
        </w:rPr>
        <w:t xml:space="preserve"> en </w:t>
      </w:r>
      <w:r w:rsidR="003C744C" w:rsidRPr="00077956">
        <w:rPr>
          <w:rFonts w:ascii="Century Gothic" w:eastAsia="Times New Roman" w:hAnsi="Century Gothic" w:cs="Times New Roman"/>
          <w:lang w:val="wo-SN" w:eastAsia="wo-SN"/>
        </w:rPr>
        <w:t>deux</w:t>
      </w:r>
      <w:r w:rsidRPr="00077956">
        <w:rPr>
          <w:rFonts w:ascii="Century Gothic" w:eastAsia="Times New Roman" w:hAnsi="Century Gothic" w:cs="Times New Roman"/>
          <w:lang w:val="wo-SN" w:eastAsia="wo-SN"/>
        </w:rPr>
        <w:t xml:space="preserve"> sections principales :</w:t>
      </w:r>
    </w:p>
    <w:p w14:paraId="2234E2A9" w14:textId="77777777" w:rsidR="005340E2" w:rsidRPr="00CF704D" w:rsidRDefault="005340E2" w:rsidP="00FA36EC">
      <w:pPr>
        <w:tabs>
          <w:tab w:val="left" w:pos="426"/>
        </w:tabs>
        <w:spacing w:before="120" w:after="0" w:line="240" w:lineRule="auto"/>
        <w:ind w:firstLine="426"/>
        <w:jc w:val="both"/>
        <w:rPr>
          <w:rFonts w:ascii="Century Gothic" w:eastAsia="Times New Roman" w:hAnsi="Century Gothic" w:cs="Times New Roman"/>
          <w:lang w:val="wo-SN" w:eastAsia="wo-SN"/>
        </w:rPr>
      </w:pPr>
      <w:r w:rsidRPr="00CF704D">
        <w:rPr>
          <w:rFonts w:ascii="Century Gothic" w:eastAsia="Times New Roman" w:hAnsi="Century Gothic" w:cs="Times New Roman"/>
          <w:lang w:val="wo-SN" w:eastAsia="wo-SN"/>
        </w:rPr>
        <w:t>Planification de l'Évaluation de la Vulnérabilité et de l'Adaptation :</w:t>
      </w:r>
    </w:p>
    <w:p w14:paraId="61E82E6E" w14:textId="2A9DBCDF" w:rsidR="005340E2" w:rsidRPr="00CF704D" w:rsidRDefault="005340E2" w:rsidP="00FA36EC">
      <w:pPr>
        <w:spacing w:before="120" w:after="120" w:line="240" w:lineRule="auto"/>
        <w:ind w:left="426"/>
        <w:jc w:val="both"/>
        <w:rPr>
          <w:rFonts w:ascii="Century Gothic" w:eastAsia="Times New Roman" w:hAnsi="Century Gothic" w:cs="Times New Roman"/>
          <w:b/>
          <w:bCs/>
          <w:lang w:val="wo-SN" w:eastAsia="wo-SN"/>
        </w:rPr>
      </w:pPr>
      <w:r w:rsidRPr="00CF704D">
        <w:rPr>
          <w:rFonts w:ascii="Century Gothic" w:eastAsia="Times New Roman" w:hAnsi="Century Gothic" w:cs="Times New Roman"/>
          <w:b/>
          <w:bCs/>
          <w:lang w:val="wo-SN" w:eastAsia="wo-SN"/>
        </w:rPr>
        <w:t xml:space="preserve">Étapes Clés </w:t>
      </w:r>
      <w:r w:rsidR="003C744C" w:rsidRPr="00CF704D">
        <w:rPr>
          <w:rFonts w:ascii="Century Gothic" w:eastAsia="Times New Roman" w:hAnsi="Century Gothic" w:cs="Times New Roman"/>
          <w:b/>
          <w:bCs/>
          <w:lang w:val="wo-SN" w:eastAsia="wo-SN"/>
        </w:rPr>
        <w:t xml:space="preserve">: </w:t>
      </w:r>
    </w:p>
    <w:p w14:paraId="234A2547" w14:textId="16C1EA83" w:rsidR="005340E2" w:rsidRPr="00077956" w:rsidRDefault="005340E2" w:rsidP="003F697C">
      <w:pPr>
        <w:numPr>
          <w:ilvl w:val="2"/>
          <w:numId w:val="2"/>
        </w:numPr>
        <w:spacing w:after="0" w:line="240" w:lineRule="auto"/>
        <w:ind w:left="1560" w:hanging="357"/>
        <w:jc w:val="both"/>
        <w:rPr>
          <w:rFonts w:ascii="Century Gothic" w:eastAsia="Times New Roman" w:hAnsi="Century Gothic" w:cs="Times New Roman"/>
          <w:lang w:val="wo-SN" w:eastAsia="wo-SN"/>
        </w:rPr>
      </w:pPr>
      <w:r w:rsidRPr="00077956">
        <w:rPr>
          <w:rFonts w:ascii="Century Gothic" w:eastAsia="Times New Roman" w:hAnsi="Century Gothic" w:cs="Times New Roman"/>
          <w:lang w:val="wo-SN" w:eastAsia="wo-SN"/>
        </w:rPr>
        <w:t>Examen des évaluations antérieures : Analyse des études précédentes</w:t>
      </w:r>
      <w:r w:rsidR="00CF704D">
        <w:rPr>
          <w:rFonts w:ascii="Century Gothic" w:eastAsia="Times New Roman" w:hAnsi="Century Gothic" w:cs="Times New Roman"/>
          <w:lang w:val="wo-SN" w:eastAsia="wo-SN"/>
        </w:rPr>
        <w:t>;</w:t>
      </w:r>
    </w:p>
    <w:p w14:paraId="6E84DD2C" w14:textId="77777777" w:rsidR="005340E2" w:rsidRPr="00077956" w:rsidRDefault="005340E2" w:rsidP="003F697C">
      <w:pPr>
        <w:numPr>
          <w:ilvl w:val="2"/>
          <w:numId w:val="2"/>
        </w:numPr>
        <w:spacing w:after="0" w:line="240" w:lineRule="auto"/>
        <w:ind w:left="1560" w:hanging="357"/>
        <w:jc w:val="both"/>
        <w:rPr>
          <w:rFonts w:ascii="Century Gothic" w:eastAsia="Times New Roman" w:hAnsi="Century Gothic" w:cs="Times New Roman"/>
          <w:lang w:val="wo-SN" w:eastAsia="wo-SN"/>
        </w:rPr>
      </w:pPr>
      <w:r w:rsidRPr="00077956">
        <w:rPr>
          <w:rFonts w:ascii="Century Gothic" w:eastAsia="Times New Roman" w:hAnsi="Century Gothic" w:cs="Times New Roman"/>
          <w:lang w:val="wo-SN" w:eastAsia="wo-SN"/>
        </w:rPr>
        <w:t>Analyse de l'évaluation (facultative : Synthèse des résultats des évaluations passées pour identifier les tendances, les lacunes, et les opportunités d'amélioration.</w:t>
      </w:r>
    </w:p>
    <w:p w14:paraId="7A25CCA7" w14:textId="77777777" w:rsidR="005340E2" w:rsidRPr="00077956" w:rsidRDefault="005340E2" w:rsidP="003F697C">
      <w:pPr>
        <w:numPr>
          <w:ilvl w:val="2"/>
          <w:numId w:val="2"/>
        </w:numPr>
        <w:spacing w:after="0" w:line="240" w:lineRule="auto"/>
        <w:ind w:left="1560" w:hanging="357"/>
        <w:jc w:val="both"/>
        <w:rPr>
          <w:rFonts w:ascii="Century Gothic" w:eastAsia="Times New Roman" w:hAnsi="Century Gothic" w:cs="Times New Roman"/>
          <w:lang w:val="wo-SN" w:eastAsia="wo-SN"/>
        </w:rPr>
      </w:pPr>
      <w:r w:rsidRPr="00077956">
        <w:rPr>
          <w:rFonts w:ascii="Century Gothic" w:eastAsia="Times New Roman" w:hAnsi="Century Gothic" w:cs="Times New Roman"/>
          <w:lang w:val="wo-SN" w:eastAsia="wo-SN"/>
        </w:rPr>
        <w:t>Évaluation des capacités et des contraintes : Identification des ressources disponibles (financières, humaines, techniques) et des contraintes (budget, données).</w:t>
      </w:r>
    </w:p>
    <w:p w14:paraId="1729239F" w14:textId="77777777" w:rsidR="005340E2" w:rsidRPr="00077956" w:rsidRDefault="005340E2" w:rsidP="003F697C">
      <w:pPr>
        <w:numPr>
          <w:ilvl w:val="2"/>
          <w:numId w:val="2"/>
        </w:numPr>
        <w:spacing w:after="0" w:line="240" w:lineRule="auto"/>
        <w:ind w:left="1560" w:hanging="357"/>
        <w:jc w:val="both"/>
        <w:rPr>
          <w:rFonts w:ascii="Century Gothic" w:eastAsia="Times New Roman" w:hAnsi="Century Gothic" w:cs="Times New Roman"/>
          <w:lang w:val="wo-SN" w:eastAsia="wo-SN"/>
        </w:rPr>
      </w:pPr>
      <w:r w:rsidRPr="00077956">
        <w:rPr>
          <w:rFonts w:ascii="Century Gothic" w:eastAsia="Times New Roman" w:hAnsi="Century Gothic" w:cs="Times New Roman"/>
          <w:lang w:val="wo-SN" w:eastAsia="wo-SN"/>
        </w:rPr>
        <w:t>Optimisation de la mise en œuvre : Développement de stratégies méthodologiques pour maximiser l'efficacité de l'évaluation V&amp;A.</w:t>
      </w:r>
    </w:p>
    <w:p w14:paraId="20485578" w14:textId="77777777" w:rsidR="005340E2" w:rsidRPr="00077956" w:rsidRDefault="005340E2" w:rsidP="003F697C">
      <w:pPr>
        <w:numPr>
          <w:ilvl w:val="2"/>
          <w:numId w:val="2"/>
        </w:numPr>
        <w:spacing w:after="0" w:line="240" w:lineRule="auto"/>
        <w:ind w:left="1560" w:hanging="357"/>
        <w:jc w:val="both"/>
        <w:rPr>
          <w:rFonts w:ascii="Century Gothic" w:eastAsia="Times New Roman" w:hAnsi="Century Gothic" w:cs="Times New Roman"/>
          <w:lang w:val="wo-SN" w:eastAsia="wo-SN"/>
        </w:rPr>
      </w:pPr>
      <w:r w:rsidRPr="00077956">
        <w:rPr>
          <w:rFonts w:ascii="Century Gothic" w:eastAsia="Times New Roman" w:hAnsi="Century Gothic" w:cs="Times New Roman"/>
          <w:lang w:val="wo-SN" w:eastAsia="wo-SN"/>
        </w:rPr>
        <w:t>Élaboration d'un plan de mise en œuvre : Développement d’un plan détaillé comprenant un calendrier, les étapes clés, les rôles et responsabilités, ainsi que les ressources nécessaires.</w:t>
      </w:r>
    </w:p>
    <w:p w14:paraId="2E47ADE0" w14:textId="63ECAD0C" w:rsidR="005340E2" w:rsidRPr="00CB50BF" w:rsidRDefault="005340E2" w:rsidP="00FA36EC">
      <w:pPr>
        <w:spacing w:before="120" w:after="120" w:line="240" w:lineRule="auto"/>
        <w:ind w:left="426"/>
        <w:jc w:val="both"/>
        <w:rPr>
          <w:rFonts w:ascii="Century Gothic" w:eastAsia="Times New Roman" w:hAnsi="Century Gothic" w:cs="Times New Roman"/>
          <w:lang w:val="wo-SN" w:eastAsia="wo-SN"/>
        </w:rPr>
      </w:pPr>
      <w:r w:rsidRPr="00CF704D">
        <w:rPr>
          <w:rFonts w:ascii="Century Gothic" w:eastAsia="Times New Roman" w:hAnsi="Century Gothic" w:cs="Times New Roman"/>
          <w:b/>
          <w:bCs/>
          <w:lang w:val="wo-SN" w:eastAsia="wo-SN"/>
        </w:rPr>
        <w:t xml:space="preserve">Sélection des </w:t>
      </w:r>
      <w:r w:rsidR="004947D3" w:rsidRPr="00CF704D">
        <w:rPr>
          <w:rFonts w:ascii="Century Gothic" w:eastAsia="Times New Roman" w:hAnsi="Century Gothic" w:cs="Times New Roman"/>
          <w:b/>
          <w:bCs/>
          <w:lang w:val="wo-SN" w:eastAsia="wo-SN"/>
        </w:rPr>
        <w:t xml:space="preserve">Types de </w:t>
      </w:r>
      <w:r w:rsidRPr="00CF704D">
        <w:rPr>
          <w:rFonts w:ascii="Century Gothic" w:eastAsia="Times New Roman" w:hAnsi="Century Gothic" w:cs="Times New Roman"/>
          <w:b/>
          <w:bCs/>
          <w:lang w:val="wo-SN" w:eastAsia="wo-SN"/>
        </w:rPr>
        <w:t>Cadres de Vulnérabilité et d'Adaptation (V&amp;A)</w:t>
      </w:r>
      <w:r w:rsidRPr="00CF704D">
        <w:rPr>
          <w:rFonts w:ascii="Century Gothic" w:eastAsia="Times New Roman" w:hAnsi="Century Gothic" w:cs="Times New Roman"/>
          <w:lang w:val="wo-SN" w:eastAsia="wo-SN"/>
        </w:rPr>
        <w:t>:</w:t>
      </w:r>
    </w:p>
    <w:p w14:paraId="0EE639A7" w14:textId="77777777" w:rsidR="005340E2" w:rsidRPr="00077956" w:rsidRDefault="005340E2" w:rsidP="005625B5">
      <w:pPr>
        <w:numPr>
          <w:ilvl w:val="2"/>
          <w:numId w:val="25"/>
        </w:numPr>
        <w:spacing w:after="0" w:line="240" w:lineRule="auto"/>
        <w:ind w:left="1560" w:hanging="357"/>
        <w:jc w:val="both"/>
        <w:rPr>
          <w:rFonts w:ascii="Century Gothic" w:eastAsia="Times New Roman" w:hAnsi="Century Gothic" w:cs="Times New Roman"/>
          <w:lang w:val="wo-SN" w:eastAsia="wo-SN"/>
        </w:rPr>
      </w:pPr>
      <w:r w:rsidRPr="00FA36EC">
        <w:rPr>
          <w:rFonts w:ascii="Century Gothic" w:eastAsia="Times New Roman" w:hAnsi="Century Gothic" w:cs="Times New Roman"/>
          <w:b/>
          <w:bCs/>
          <w:color w:val="A20000"/>
          <w:lang w:val="wo-SN" w:eastAsia="wo-SN"/>
        </w:rPr>
        <w:t>Cadres d'Impact</w:t>
      </w:r>
      <w:r w:rsidRPr="00FA36EC">
        <w:rPr>
          <w:rFonts w:ascii="Century Gothic" w:eastAsia="Times New Roman" w:hAnsi="Century Gothic" w:cs="Times New Roman"/>
          <w:color w:val="A20000"/>
          <w:lang w:val="wo-SN" w:eastAsia="wo-SN"/>
        </w:rPr>
        <w:t xml:space="preserve"> </w:t>
      </w:r>
      <w:r w:rsidRPr="00077956">
        <w:rPr>
          <w:rFonts w:ascii="Century Gothic" w:eastAsia="Times New Roman" w:hAnsi="Century Gothic" w:cs="Times New Roman"/>
          <w:lang w:val="wo-SN" w:eastAsia="wo-SN"/>
        </w:rPr>
        <w:t>: Évaluation des impacts climatiques directs sur les différents biomes du pays.</w:t>
      </w:r>
    </w:p>
    <w:p w14:paraId="313E75E3" w14:textId="77777777" w:rsidR="005340E2" w:rsidRPr="00077956" w:rsidRDefault="005340E2" w:rsidP="005625B5">
      <w:pPr>
        <w:numPr>
          <w:ilvl w:val="2"/>
          <w:numId w:val="25"/>
        </w:numPr>
        <w:spacing w:after="0" w:line="240" w:lineRule="auto"/>
        <w:ind w:left="1560" w:hanging="357"/>
        <w:jc w:val="both"/>
        <w:rPr>
          <w:rFonts w:ascii="Century Gothic" w:eastAsia="Times New Roman" w:hAnsi="Century Gothic" w:cs="Times New Roman"/>
          <w:lang w:val="wo-SN" w:eastAsia="wo-SN"/>
        </w:rPr>
      </w:pPr>
      <w:r w:rsidRPr="00FA36EC">
        <w:rPr>
          <w:rFonts w:ascii="Century Gothic" w:eastAsia="Times New Roman" w:hAnsi="Century Gothic" w:cs="Times New Roman"/>
          <w:b/>
          <w:bCs/>
          <w:color w:val="A20000"/>
          <w:lang w:val="wo-SN" w:eastAsia="wo-SN"/>
        </w:rPr>
        <w:t>Cadres d'Adaptation</w:t>
      </w:r>
      <w:r w:rsidRPr="00077956">
        <w:rPr>
          <w:rFonts w:ascii="Century Gothic" w:eastAsia="Times New Roman" w:hAnsi="Century Gothic" w:cs="Times New Roman"/>
          <w:lang w:val="wo-SN" w:eastAsia="wo-SN"/>
        </w:rPr>
        <w:t xml:space="preserve"> : Intégration des stratégies d'adaptation dans la gestion des zones humides.</w:t>
      </w:r>
    </w:p>
    <w:p w14:paraId="443D6479" w14:textId="77777777" w:rsidR="005340E2" w:rsidRPr="00077956" w:rsidRDefault="005340E2" w:rsidP="005625B5">
      <w:pPr>
        <w:numPr>
          <w:ilvl w:val="2"/>
          <w:numId w:val="25"/>
        </w:numPr>
        <w:spacing w:after="0" w:line="240" w:lineRule="auto"/>
        <w:ind w:left="1560" w:hanging="357"/>
        <w:jc w:val="both"/>
        <w:rPr>
          <w:rFonts w:ascii="Century Gothic" w:eastAsia="Times New Roman" w:hAnsi="Century Gothic" w:cs="Times New Roman"/>
          <w:lang w:val="wo-SN" w:eastAsia="wo-SN"/>
        </w:rPr>
      </w:pPr>
      <w:r w:rsidRPr="00FA36EC">
        <w:rPr>
          <w:rFonts w:ascii="Century Gothic" w:eastAsia="Times New Roman" w:hAnsi="Century Gothic" w:cs="Times New Roman"/>
          <w:b/>
          <w:bCs/>
          <w:color w:val="A20000"/>
          <w:lang w:val="wo-SN" w:eastAsia="wo-SN"/>
        </w:rPr>
        <w:t>Cadres Basés sur les Risques</w:t>
      </w:r>
      <w:r w:rsidRPr="00077956">
        <w:rPr>
          <w:rFonts w:ascii="Century Gothic" w:eastAsia="Times New Roman" w:hAnsi="Century Gothic" w:cs="Times New Roman"/>
          <w:lang w:val="wo-SN" w:eastAsia="wo-SN"/>
        </w:rPr>
        <w:t xml:space="preserve"> : Analyse des risques climatiques spécifiques aux zones humides marines, côtières et continentales.</w:t>
      </w:r>
    </w:p>
    <w:p w14:paraId="65AAD4BC" w14:textId="3337C7D0" w:rsidR="005340E2" w:rsidRPr="00077956" w:rsidRDefault="005340E2" w:rsidP="005625B5">
      <w:pPr>
        <w:numPr>
          <w:ilvl w:val="2"/>
          <w:numId w:val="25"/>
        </w:numPr>
        <w:spacing w:after="0" w:line="240" w:lineRule="auto"/>
        <w:ind w:left="1560" w:hanging="357"/>
        <w:jc w:val="both"/>
        <w:rPr>
          <w:rFonts w:ascii="Century Gothic" w:eastAsia="Times New Roman" w:hAnsi="Century Gothic" w:cs="Times New Roman"/>
          <w:lang w:val="wo-SN" w:eastAsia="wo-SN"/>
        </w:rPr>
      </w:pPr>
      <w:r w:rsidRPr="00FA36EC">
        <w:rPr>
          <w:rFonts w:ascii="Century Gothic" w:eastAsia="Times New Roman" w:hAnsi="Century Gothic" w:cs="Times New Roman"/>
          <w:b/>
          <w:bCs/>
          <w:color w:val="A20000"/>
          <w:lang w:val="wo-SN" w:eastAsia="wo-SN"/>
        </w:rPr>
        <w:t>Cadres Locaux et Communautaires</w:t>
      </w:r>
      <w:r w:rsidRPr="00077956">
        <w:rPr>
          <w:rFonts w:ascii="Century Gothic" w:eastAsia="Times New Roman" w:hAnsi="Century Gothic" w:cs="Times New Roman"/>
          <w:lang w:val="wo-SN" w:eastAsia="wo-SN"/>
        </w:rPr>
        <w:t xml:space="preserve"> : Participation des communautés locales à l’évaluation et à l’adaptation.</w:t>
      </w:r>
    </w:p>
    <w:p w14:paraId="74952170" w14:textId="6F21F2E3" w:rsidR="005340E2" w:rsidRPr="00CF704D" w:rsidRDefault="005340E2" w:rsidP="00FA36EC">
      <w:pPr>
        <w:spacing w:before="120" w:after="120" w:line="240" w:lineRule="auto"/>
        <w:ind w:left="426"/>
        <w:jc w:val="both"/>
        <w:rPr>
          <w:rFonts w:ascii="Century Gothic" w:eastAsia="Times New Roman" w:hAnsi="Century Gothic" w:cs="Times New Roman"/>
          <w:lang w:val="wo-SN" w:eastAsia="wo-SN"/>
        </w:rPr>
      </w:pPr>
      <w:r w:rsidRPr="00CF704D">
        <w:rPr>
          <w:rFonts w:ascii="Century Gothic" w:eastAsia="Times New Roman" w:hAnsi="Century Gothic" w:cs="Times New Roman"/>
          <w:b/>
          <w:bCs/>
          <w:lang w:val="wo-SN" w:eastAsia="wo-SN"/>
        </w:rPr>
        <w:t>Les résultats de l'étude incluent</w:t>
      </w:r>
      <w:r w:rsidRPr="00CF704D">
        <w:rPr>
          <w:rFonts w:ascii="Century Gothic" w:eastAsia="Times New Roman" w:hAnsi="Century Gothic" w:cs="Times New Roman"/>
          <w:lang w:val="wo-SN" w:eastAsia="wo-SN"/>
        </w:rPr>
        <w:t xml:space="preserve"> :</w:t>
      </w:r>
    </w:p>
    <w:p w14:paraId="64878495" w14:textId="7FEF19FC" w:rsidR="00C3793A" w:rsidRDefault="00C3793A" w:rsidP="005625B5">
      <w:pPr>
        <w:pStyle w:val="Paragraphedeliste"/>
        <w:numPr>
          <w:ilvl w:val="3"/>
          <w:numId w:val="12"/>
        </w:numPr>
        <w:spacing w:after="0" w:line="240" w:lineRule="auto"/>
        <w:ind w:left="1560"/>
        <w:jc w:val="both"/>
        <w:rPr>
          <w:rFonts w:ascii="Century Gothic" w:eastAsia="Times New Roman" w:hAnsi="Century Gothic" w:cs="Times New Roman"/>
          <w:lang w:val="wo-SN" w:eastAsia="wo-SN"/>
        </w:rPr>
      </w:pPr>
      <w:r>
        <w:rPr>
          <w:rFonts w:ascii="Century Gothic" w:eastAsia="Times New Roman" w:hAnsi="Century Gothic" w:cs="Times New Roman"/>
          <w:lang w:val="wo-SN" w:eastAsia="wo-SN"/>
        </w:rPr>
        <w:t>Une pr</w:t>
      </w:r>
      <w:r w:rsidR="00654DD4">
        <w:rPr>
          <w:rFonts w:ascii="Century Gothic" w:eastAsia="Times New Roman" w:hAnsi="Century Gothic" w:cs="Times New Roman"/>
          <w:lang w:val="wo-SN" w:eastAsia="wo-SN"/>
        </w:rPr>
        <w:t>é</w:t>
      </w:r>
      <w:r>
        <w:rPr>
          <w:rFonts w:ascii="Century Gothic" w:eastAsia="Times New Roman" w:hAnsi="Century Gothic" w:cs="Times New Roman"/>
          <w:lang w:val="wo-SN" w:eastAsia="wo-SN"/>
        </w:rPr>
        <w:t>sention des ecosystemes marins, littoraux, et aires progetés</w:t>
      </w:r>
      <w:r w:rsidR="003333DB">
        <w:rPr>
          <w:rFonts w:ascii="Century Gothic" w:eastAsia="Times New Roman" w:hAnsi="Century Gothic" w:cs="Times New Roman"/>
          <w:lang w:val="wo-SN" w:eastAsia="wo-SN"/>
        </w:rPr>
        <w:t xml:space="preserve"> et les manifestations des changements climatique sur ce secteur;</w:t>
      </w:r>
    </w:p>
    <w:p w14:paraId="50D57675" w14:textId="2D3C7034" w:rsidR="003C744C" w:rsidRPr="00077956" w:rsidRDefault="005340E2" w:rsidP="005625B5">
      <w:pPr>
        <w:pStyle w:val="Paragraphedeliste"/>
        <w:numPr>
          <w:ilvl w:val="3"/>
          <w:numId w:val="12"/>
        </w:numPr>
        <w:spacing w:after="0" w:line="240" w:lineRule="auto"/>
        <w:ind w:left="1560"/>
        <w:jc w:val="both"/>
        <w:rPr>
          <w:rFonts w:ascii="Century Gothic" w:eastAsia="Times New Roman" w:hAnsi="Century Gothic" w:cs="Times New Roman"/>
          <w:lang w:val="wo-SN" w:eastAsia="wo-SN"/>
        </w:rPr>
      </w:pPr>
      <w:r w:rsidRPr="00077956">
        <w:rPr>
          <w:rFonts w:ascii="Century Gothic" w:eastAsia="Times New Roman" w:hAnsi="Century Gothic" w:cs="Times New Roman"/>
          <w:lang w:val="wo-SN" w:eastAsia="wo-SN"/>
        </w:rPr>
        <w:t>la vulnérabilité des zones humides de Mauritanie, entendu ici par catégorie de biome face au changement climatique</w:t>
      </w:r>
      <w:r w:rsidR="00C3793A">
        <w:rPr>
          <w:rFonts w:ascii="Century Gothic" w:eastAsia="Times New Roman" w:hAnsi="Century Gothic" w:cs="Times New Roman"/>
          <w:lang w:val="wo-SN" w:eastAsia="wo-SN"/>
        </w:rPr>
        <w:t>;</w:t>
      </w:r>
    </w:p>
    <w:p w14:paraId="209E267B" w14:textId="405F2253" w:rsidR="003C744C" w:rsidRPr="00077956" w:rsidRDefault="003C744C" w:rsidP="005625B5">
      <w:pPr>
        <w:pStyle w:val="Paragraphedeliste"/>
        <w:numPr>
          <w:ilvl w:val="3"/>
          <w:numId w:val="12"/>
        </w:numPr>
        <w:spacing w:after="0" w:line="240" w:lineRule="auto"/>
        <w:ind w:left="1560"/>
        <w:jc w:val="both"/>
        <w:rPr>
          <w:rFonts w:ascii="Century Gothic" w:eastAsia="Times New Roman" w:hAnsi="Century Gothic" w:cs="Times New Roman"/>
          <w:lang w:val="wo-SN" w:eastAsia="wo-SN"/>
        </w:rPr>
      </w:pPr>
      <w:r w:rsidRPr="00077956">
        <w:rPr>
          <w:rFonts w:ascii="Century Gothic" w:eastAsia="Times New Roman" w:hAnsi="Century Gothic" w:cs="Times New Roman"/>
          <w:lang w:val="wo-SN" w:eastAsia="wo-SN"/>
        </w:rPr>
        <w:t xml:space="preserve">La </w:t>
      </w:r>
      <w:r w:rsidR="005340E2" w:rsidRPr="00077956">
        <w:rPr>
          <w:rFonts w:ascii="Century Gothic" w:eastAsia="Times New Roman" w:hAnsi="Century Gothic" w:cs="Times New Roman"/>
          <w:lang w:val="wo-SN" w:eastAsia="wo-SN"/>
        </w:rPr>
        <w:t>propos</w:t>
      </w:r>
      <w:r w:rsidRPr="00077956">
        <w:rPr>
          <w:rFonts w:ascii="Century Gothic" w:eastAsia="Times New Roman" w:hAnsi="Century Gothic" w:cs="Times New Roman"/>
          <w:lang w:val="wo-SN" w:eastAsia="wo-SN"/>
        </w:rPr>
        <w:t>ition</w:t>
      </w:r>
      <w:r w:rsidR="005340E2" w:rsidRPr="00077956">
        <w:rPr>
          <w:rFonts w:ascii="Century Gothic" w:eastAsia="Times New Roman" w:hAnsi="Century Gothic" w:cs="Times New Roman"/>
          <w:lang w:val="wo-SN" w:eastAsia="wo-SN"/>
        </w:rPr>
        <w:t xml:space="preserve"> des scénarios d’adaptation appuyé</w:t>
      </w:r>
      <w:r w:rsidR="00654DD4">
        <w:rPr>
          <w:rFonts w:ascii="Century Gothic" w:eastAsia="Times New Roman" w:hAnsi="Century Gothic" w:cs="Times New Roman"/>
          <w:lang w:val="wo-SN" w:eastAsia="wo-SN"/>
        </w:rPr>
        <w:t>e</w:t>
      </w:r>
      <w:r w:rsidR="005340E2" w:rsidRPr="00077956">
        <w:rPr>
          <w:rFonts w:ascii="Century Gothic" w:eastAsia="Times New Roman" w:hAnsi="Century Gothic" w:cs="Times New Roman"/>
          <w:lang w:val="wo-SN" w:eastAsia="wo-SN"/>
        </w:rPr>
        <w:t xml:space="preserve"> par des recommandations spécifiques pour renforcer la résilience des écosystèmes humides et des communautés locales</w:t>
      </w:r>
      <w:r w:rsidR="00C3793A">
        <w:rPr>
          <w:rFonts w:ascii="Century Gothic" w:eastAsia="Times New Roman" w:hAnsi="Century Gothic" w:cs="Times New Roman"/>
          <w:lang w:val="wo-SN" w:eastAsia="wo-SN"/>
        </w:rPr>
        <w:t>;</w:t>
      </w:r>
    </w:p>
    <w:p w14:paraId="7160AA9B" w14:textId="146AB5FB" w:rsidR="00CA450E" w:rsidRPr="00077956" w:rsidRDefault="005340E2" w:rsidP="005625B5">
      <w:pPr>
        <w:pStyle w:val="Paragraphedeliste"/>
        <w:numPr>
          <w:ilvl w:val="3"/>
          <w:numId w:val="12"/>
        </w:numPr>
        <w:spacing w:after="0" w:line="240" w:lineRule="auto"/>
        <w:ind w:left="1560"/>
        <w:jc w:val="both"/>
        <w:rPr>
          <w:rFonts w:ascii="Century Gothic" w:eastAsia="Times New Roman" w:hAnsi="Century Gothic" w:cs="Times New Roman"/>
          <w:lang w:val="wo-SN" w:eastAsia="wo-SN"/>
        </w:rPr>
      </w:pPr>
      <w:r w:rsidRPr="00077956">
        <w:rPr>
          <w:rFonts w:ascii="Century Gothic" w:eastAsia="Times New Roman" w:hAnsi="Century Gothic" w:cs="Times New Roman"/>
          <w:lang w:val="wo-SN" w:eastAsia="wo-SN"/>
        </w:rPr>
        <w:t>Un plan d'action pour l'intégration des mesures d'adaptation dans les politiques de gestion des zones humides</w:t>
      </w:r>
      <w:r w:rsidR="003C744C" w:rsidRPr="00077956">
        <w:rPr>
          <w:rFonts w:ascii="Century Gothic" w:eastAsia="Times New Roman" w:hAnsi="Century Gothic" w:cs="Times New Roman"/>
          <w:lang w:val="wo-SN" w:eastAsia="wo-SN"/>
        </w:rPr>
        <w:t>.</w:t>
      </w:r>
    </w:p>
    <w:p w14:paraId="5CD41986" w14:textId="1B030466" w:rsidR="00666CFF" w:rsidRPr="00666CFF" w:rsidRDefault="00000000" w:rsidP="00666CFF">
      <w:pPr>
        <w:spacing w:after="0" w:line="240" w:lineRule="auto"/>
        <w:jc w:val="both"/>
        <w:rPr>
          <w:rFonts w:ascii="Century Gothic" w:eastAsia="Times New Roman" w:hAnsi="Century Gothic" w:cs="Times New Roman"/>
          <w:sz w:val="24"/>
          <w:szCs w:val="24"/>
          <w:lang w:val="wo-SN" w:eastAsia="wo-SN"/>
        </w:rPr>
      </w:pPr>
      <w:r>
        <w:rPr>
          <w:rFonts w:ascii="Century Gothic" w:hAnsi="Century Gothic"/>
          <w:color w:val="FF0000"/>
        </w:rPr>
        <w:pict w14:anchorId="4D784BDC">
          <v:rect id="_x0000_i1028" style="width:0;height:1.5pt" o:hralign="center" o:hrstd="t" o:hr="t" fillcolor="#a0a0a0" stroked="f"/>
        </w:pict>
      </w:r>
    </w:p>
    <w:p w14:paraId="5019D351" w14:textId="42FC4D45" w:rsidR="00B0362C" w:rsidRPr="00F770FC" w:rsidRDefault="00455495" w:rsidP="005625B5">
      <w:pPr>
        <w:pStyle w:val="Titre1"/>
        <w:numPr>
          <w:ilvl w:val="0"/>
          <w:numId w:val="26"/>
        </w:numPr>
        <w:spacing w:after="120"/>
        <w:ind w:left="567" w:hanging="567"/>
        <w:jc w:val="both"/>
        <w:rPr>
          <w:rFonts w:ascii="Century Gothic" w:hAnsi="Century Gothic"/>
          <w:b/>
          <w:bCs/>
          <w:sz w:val="28"/>
          <w:szCs w:val="28"/>
          <w:lang w:val="wo-SN"/>
        </w:rPr>
      </w:pPr>
      <w:bookmarkStart w:id="25" w:name="_Toc189326930"/>
      <w:bookmarkStart w:id="26" w:name="_Toc189375542"/>
      <w:r w:rsidRPr="00F770FC">
        <w:rPr>
          <w:rFonts w:ascii="Century Gothic" w:hAnsi="Century Gothic"/>
          <w:b/>
          <w:bCs/>
          <w:sz w:val="28"/>
          <w:szCs w:val="28"/>
          <w:lang w:val="wo-SN"/>
        </w:rPr>
        <w:t>Cadres Politiques et Stratégiques en Matière de Protection de</w:t>
      </w:r>
      <w:r w:rsidR="003333DB" w:rsidRPr="00F770FC">
        <w:rPr>
          <w:rFonts w:ascii="Century Gothic" w:hAnsi="Century Gothic"/>
          <w:b/>
          <w:bCs/>
          <w:sz w:val="28"/>
          <w:szCs w:val="28"/>
          <w:lang w:val="wo-SN"/>
        </w:rPr>
        <w:t>s Ecosystemes marins, Littoral et Aires protegées</w:t>
      </w:r>
      <w:r w:rsidRPr="00F770FC">
        <w:rPr>
          <w:rFonts w:ascii="Century Gothic" w:hAnsi="Century Gothic"/>
          <w:b/>
          <w:bCs/>
          <w:sz w:val="28"/>
          <w:szCs w:val="28"/>
          <w:lang w:val="wo-SN"/>
        </w:rPr>
        <w:t xml:space="preserve"> en Mauritanie</w:t>
      </w:r>
      <w:bookmarkEnd w:id="25"/>
      <w:bookmarkEnd w:id="26"/>
    </w:p>
    <w:p w14:paraId="7700EA79" w14:textId="4CCBB3E2" w:rsidR="00E22444" w:rsidRDefault="003D4AAF" w:rsidP="003D7CAD">
      <w:pPr>
        <w:pStyle w:val="NormalWeb"/>
        <w:spacing w:before="0" w:beforeAutospacing="0" w:after="0" w:afterAutospacing="0"/>
        <w:ind w:left="1078"/>
        <w:jc w:val="both"/>
        <w:rPr>
          <w:rFonts w:ascii="Century Gothic" w:hAnsi="Century Gothic"/>
          <w:sz w:val="22"/>
          <w:szCs w:val="22"/>
        </w:rPr>
      </w:pPr>
      <w:r w:rsidRPr="00077956">
        <w:rPr>
          <w:rFonts w:ascii="Century Gothic" w:hAnsi="Century Gothic"/>
          <w:sz w:val="22"/>
          <w:szCs w:val="22"/>
        </w:rPr>
        <w:t xml:space="preserve">La Mauritanie, disposant de riches écosystèmes marins, côtiers et continentaux, </w:t>
      </w:r>
      <w:r w:rsidR="003D7CAD">
        <w:rPr>
          <w:rFonts w:ascii="Century Gothic" w:hAnsi="Century Gothic"/>
          <w:sz w:val="22"/>
          <w:szCs w:val="22"/>
        </w:rPr>
        <w:t xml:space="preserve">à travers le Ministere de l’Environnement et du Developpement durable </w:t>
      </w:r>
      <w:r w:rsidRPr="00077956">
        <w:rPr>
          <w:rFonts w:ascii="Century Gothic" w:hAnsi="Century Gothic"/>
          <w:sz w:val="22"/>
          <w:szCs w:val="22"/>
        </w:rPr>
        <w:t>a mis en place plusieurs instruments politiques et stratégiques pour protéger sa biodiversité. Ce cadre repose sur une série de politiques nationales, accords internationaux et actions de conservation visant à préserver la biodiversité, renforcer la résilience face aux impacts climatiques et promouvoir un développement durable.</w:t>
      </w:r>
    </w:p>
    <w:p w14:paraId="3DC0CA41" w14:textId="77777777" w:rsidR="003D7CAD" w:rsidRPr="003D7CAD" w:rsidRDefault="003D7CAD" w:rsidP="003D7CAD">
      <w:pPr>
        <w:pStyle w:val="NormalWeb"/>
        <w:spacing w:before="0" w:beforeAutospacing="0" w:after="0" w:afterAutospacing="0"/>
        <w:ind w:left="1078"/>
        <w:jc w:val="both"/>
        <w:rPr>
          <w:rFonts w:ascii="Century Gothic" w:hAnsi="Century Gothic"/>
          <w:sz w:val="22"/>
          <w:szCs w:val="22"/>
        </w:rPr>
      </w:pPr>
    </w:p>
    <w:p w14:paraId="7CD84568" w14:textId="4D38F086" w:rsidR="00000466" w:rsidRPr="003D7CAD" w:rsidRDefault="001F33E0" w:rsidP="00FA36EC">
      <w:pPr>
        <w:pStyle w:val="Titre2"/>
        <w:ind w:left="567"/>
        <w:rPr>
          <w:rFonts w:ascii="Century Gothic" w:hAnsi="Century Gothic"/>
          <w:kern w:val="0"/>
          <w:lang w:val="wo-SN"/>
          <w14:ligatures w14:val="none"/>
        </w:rPr>
      </w:pPr>
      <w:bookmarkStart w:id="27" w:name="_Toc189375543"/>
      <w:r>
        <w:rPr>
          <w:rFonts w:ascii="Century Gothic" w:hAnsi="Century Gothic"/>
          <w:kern w:val="0"/>
          <w:lang w:val="wo-SN"/>
          <w14:ligatures w14:val="none"/>
        </w:rPr>
        <w:t>6</w:t>
      </w:r>
      <w:r w:rsidR="003D7CAD">
        <w:rPr>
          <w:rFonts w:ascii="Century Gothic" w:hAnsi="Century Gothic"/>
          <w:kern w:val="0"/>
          <w:lang w:val="wo-SN"/>
          <w14:ligatures w14:val="none"/>
        </w:rPr>
        <w:t xml:space="preserve">.1 </w:t>
      </w:r>
      <w:r w:rsidR="003529F5" w:rsidRPr="003D7CAD">
        <w:rPr>
          <w:rFonts w:ascii="Century Gothic" w:hAnsi="Century Gothic"/>
          <w:kern w:val="0"/>
          <w:lang w:val="wo-SN"/>
          <w14:ligatures w14:val="none"/>
        </w:rPr>
        <w:t>Ministère</w:t>
      </w:r>
      <w:r w:rsidR="00E22444" w:rsidRPr="003D7CAD">
        <w:rPr>
          <w:rFonts w:ascii="Century Gothic" w:hAnsi="Century Gothic"/>
          <w:kern w:val="0"/>
          <w:lang w:val="wo-SN"/>
          <w14:ligatures w14:val="none"/>
        </w:rPr>
        <w:t xml:space="preserve"> de l’Environnement et du </w:t>
      </w:r>
      <w:r w:rsidR="003529F5" w:rsidRPr="003D7CAD">
        <w:rPr>
          <w:rFonts w:ascii="Century Gothic" w:hAnsi="Century Gothic"/>
          <w:kern w:val="0"/>
          <w:lang w:val="wo-SN"/>
          <w14:ligatures w14:val="none"/>
        </w:rPr>
        <w:t>Développement</w:t>
      </w:r>
      <w:r w:rsidR="00E22444" w:rsidRPr="003D7CAD">
        <w:rPr>
          <w:rFonts w:ascii="Century Gothic" w:hAnsi="Century Gothic"/>
          <w:kern w:val="0"/>
          <w:lang w:val="wo-SN"/>
          <w14:ligatures w14:val="none"/>
        </w:rPr>
        <w:t xml:space="preserve"> Durable</w:t>
      </w:r>
      <w:bookmarkEnd w:id="27"/>
      <w:r w:rsidR="00E22444" w:rsidRPr="003D7CAD">
        <w:rPr>
          <w:rFonts w:ascii="Century Gothic" w:hAnsi="Century Gothic"/>
          <w:kern w:val="0"/>
          <w:lang w:val="wo-SN"/>
          <w14:ligatures w14:val="none"/>
        </w:rPr>
        <w:t xml:space="preserve"> </w:t>
      </w:r>
    </w:p>
    <w:p w14:paraId="723F7B7D" w14:textId="77777777" w:rsidR="00020274" w:rsidRDefault="00020274" w:rsidP="003F697C">
      <w:pPr>
        <w:pStyle w:val="NormalWeb"/>
        <w:spacing w:before="0" w:beforeAutospacing="0" w:after="0" w:afterAutospacing="0"/>
        <w:ind w:left="1078"/>
        <w:jc w:val="both"/>
        <w:rPr>
          <w:rFonts w:ascii="Century Gothic" w:hAnsi="Century Gothic"/>
          <w:sz w:val="22"/>
          <w:szCs w:val="22"/>
        </w:rPr>
      </w:pPr>
    </w:p>
    <w:p w14:paraId="34657B6A" w14:textId="5299D2F9" w:rsidR="00226744" w:rsidRPr="00077956" w:rsidRDefault="00226744" w:rsidP="003F697C">
      <w:pPr>
        <w:pStyle w:val="NormalWeb"/>
        <w:spacing w:before="0" w:beforeAutospacing="0" w:after="0" w:afterAutospacing="0"/>
        <w:ind w:left="1078"/>
        <w:jc w:val="both"/>
        <w:rPr>
          <w:rFonts w:ascii="Century Gothic" w:hAnsi="Century Gothic"/>
          <w:sz w:val="22"/>
          <w:szCs w:val="22"/>
        </w:rPr>
      </w:pPr>
      <w:r w:rsidRPr="00077956">
        <w:rPr>
          <w:rFonts w:ascii="Century Gothic" w:hAnsi="Century Gothic"/>
          <w:sz w:val="22"/>
          <w:szCs w:val="22"/>
        </w:rPr>
        <w:t xml:space="preserve">Le ministère de l'Environnement et du Développement Durable en Mauritanie a plusieurs missions essentielles pour faire face aux défis environnementaux, notamment </w:t>
      </w:r>
      <w:r w:rsidR="003F697C">
        <w:rPr>
          <w:rFonts w:ascii="Century Gothic" w:hAnsi="Century Gothic"/>
          <w:sz w:val="22"/>
          <w:szCs w:val="22"/>
        </w:rPr>
        <w:t xml:space="preserve">en lien avec les </w:t>
      </w:r>
      <w:r w:rsidRPr="00077956">
        <w:rPr>
          <w:rFonts w:ascii="Century Gothic" w:hAnsi="Century Gothic"/>
          <w:sz w:val="22"/>
          <w:szCs w:val="22"/>
        </w:rPr>
        <w:t>changement</w:t>
      </w:r>
      <w:r w:rsidR="003F697C">
        <w:rPr>
          <w:rFonts w:ascii="Century Gothic" w:hAnsi="Century Gothic"/>
          <w:sz w:val="22"/>
          <w:szCs w:val="22"/>
        </w:rPr>
        <w:t>s</w:t>
      </w:r>
      <w:r w:rsidRPr="00077956">
        <w:rPr>
          <w:rFonts w:ascii="Century Gothic" w:hAnsi="Century Gothic"/>
          <w:sz w:val="22"/>
          <w:szCs w:val="22"/>
        </w:rPr>
        <w:t xml:space="preserve"> climatique</w:t>
      </w:r>
      <w:r w:rsidR="003F697C">
        <w:rPr>
          <w:rFonts w:ascii="Century Gothic" w:hAnsi="Century Gothic"/>
          <w:sz w:val="22"/>
          <w:szCs w:val="22"/>
        </w:rPr>
        <w:t>s</w:t>
      </w:r>
      <w:r w:rsidRPr="00077956">
        <w:rPr>
          <w:rFonts w:ascii="Century Gothic" w:hAnsi="Century Gothic"/>
          <w:sz w:val="22"/>
          <w:szCs w:val="22"/>
        </w:rPr>
        <w:t xml:space="preserve">. </w:t>
      </w:r>
    </w:p>
    <w:p w14:paraId="667A0508" w14:textId="657AD5B5" w:rsidR="00226744" w:rsidRPr="00077956" w:rsidRDefault="00226744" w:rsidP="00F01190">
      <w:pPr>
        <w:pStyle w:val="NormalWeb"/>
        <w:spacing w:after="0"/>
        <w:ind w:left="993"/>
        <w:jc w:val="both"/>
        <w:rPr>
          <w:rFonts w:ascii="Century Gothic" w:hAnsi="Century Gothic"/>
          <w:sz w:val="22"/>
          <w:szCs w:val="22"/>
        </w:rPr>
      </w:pPr>
      <w:r w:rsidRPr="00077956">
        <w:rPr>
          <w:rFonts w:ascii="Century Gothic" w:hAnsi="Century Gothic"/>
          <w:sz w:val="22"/>
          <w:szCs w:val="22"/>
        </w:rPr>
        <w:t>Voici un aperçu des principales missions :</w:t>
      </w:r>
    </w:p>
    <w:p w14:paraId="4CCCAB93" w14:textId="72EBAD2C" w:rsidR="00226744" w:rsidRPr="00F01190" w:rsidRDefault="00020274" w:rsidP="00F01190">
      <w:pPr>
        <w:pStyle w:val="NormalWeb"/>
        <w:spacing w:after="0"/>
        <w:ind w:left="993"/>
        <w:jc w:val="both"/>
        <w:rPr>
          <w:rFonts w:ascii="Century Gothic" w:hAnsi="Century Gothic"/>
          <w:b/>
          <w:bCs/>
          <w:sz w:val="22"/>
          <w:szCs w:val="22"/>
        </w:rPr>
      </w:pPr>
      <w:r>
        <w:rPr>
          <w:rFonts w:ascii="Century Gothic" w:hAnsi="Century Gothic"/>
          <w:noProof/>
          <w:sz w:val="22"/>
          <w:szCs w:val="22"/>
          <w:lang w:val="fr-FR" w:eastAsia="fr-FR"/>
        </w:rPr>
        <mc:AlternateContent>
          <mc:Choice Requires="wps">
            <w:drawing>
              <wp:anchor distT="0" distB="0" distL="114300" distR="114300" simplePos="0" relativeHeight="251683840" behindDoc="0" locked="0" layoutInCell="1" allowOverlap="1" wp14:anchorId="09FBD0DC" wp14:editId="23E2D305">
                <wp:simplePos x="0" y="0"/>
                <wp:positionH relativeFrom="column">
                  <wp:posOffset>1428910</wp:posOffset>
                </wp:positionH>
                <wp:positionV relativeFrom="paragraph">
                  <wp:posOffset>323927</wp:posOffset>
                </wp:positionV>
                <wp:extent cx="4267200" cy="815172"/>
                <wp:effectExtent l="685800" t="95250" r="19050" b="61595"/>
                <wp:wrapNone/>
                <wp:docPr id="41" name="Légende : encadrée à une bordure 41"/>
                <wp:cNvGraphicFramePr/>
                <a:graphic xmlns:a="http://schemas.openxmlformats.org/drawingml/2006/main">
                  <a:graphicData uri="http://schemas.microsoft.com/office/word/2010/wordprocessingShape">
                    <wps:wsp>
                      <wps:cNvSpPr/>
                      <wps:spPr>
                        <a:xfrm>
                          <a:off x="0" y="0"/>
                          <a:ext cx="4267200" cy="815172"/>
                        </a:xfrm>
                        <a:prstGeom prst="accentBorderCallout1">
                          <a:avLst>
                            <a:gd name="adj1" fmla="val 18750"/>
                            <a:gd name="adj2" fmla="val -8333"/>
                            <a:gd name="adj3" fmla="val -11420"/>
                            <a:gd name="adj4" fmla="val -1583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0A3B58" w14:textId="066CE1BC" w:rsidR="0062478D" w:rsidRPr="00447DF9" w:rsidRDefault="0062478D" w:rsidP="005625B5">
                            <w:pPr>
                              <w:pStyle w:val="NormalWeb"/>
                              <w:numPr>
                                <w:ilvl w:val="0"/>
                                <w:numId w:val="21"/>
                              </w:numPr>
                              <w:spacing w:after="0"/>
                              <w:jc w:val="both"/>
                              <w:rPr>
                                <w:rFonts w:ascii="Century Gothic" w:hAnsi="Century Gothic"/>
                                <w:sz w:val="18"/>
                                <w:szCs w:val="18"/>
                              </w:rPr>
                            </w:pPr>
                            <w:r w:rsidRPr="00447DF9">
                              <w:rPr>
                                <w:rFonts w:ascii="Century Gothic" w:hAnsi="Century Gothic"/>
                                <w:sz w:val="18"/>
                                <w:szCs w:val="18"/>
                              </w:rPr>
                              <w:t>Développer des politiques nationales pour la gestion durable des ressources naturelles, y compris la lutte contre la désertification et la protection de la biodiversité.</w:t>
                            </w:r>
                          </w:p>
                          <w:p w14:paraId="7D4D44B9" w14:textId="77777777" w:rsidR="0062478D" w:rsidRPr="00447DF9" w:rsidRDefault="0062478D" w:rsidP="005625B5">
                            <w:pPr>
                              <w:pStyle w:val="NormalWeb"/>
                              <w:numPr>
                                <w:ilvl w:val="0"/>
                                <w:numId w:val="21"/>
                              </w:numPr>
                              <w:spacing w:after="0"/>
                              <w:jc w:val="both"/>
                              <w:rPr>
                                <w:rFonts w:ascii="Century Gothic" w:hAnsi="Century Gothic"/>
                                <w:sz w:val="18"/>
                                <w:szCs w:val="18"/>
                              </w:rPr>
                            </w:pPr>
                            <w:r w:rsidRPr="00447DF9">
                              <w:rPr>
                                <w:rFonts w:ascii="Century Gothic" w:hAnsi="Century Gothic"/>
                                <w:sz w:val="18"/>
                                <w:szCs w:val="18"/>
                              </w:rPr>
                              <w:t>Mettre en œuvre des Plans d’Actions , politiques et strategiques pour l’Environnement.</w:t>
                            </w:r>
                          </w:p>
                          <w:p w14:paraId="2FB2285F" w14:textId="77777777" w:rsidR="0062478D" w:rsidRPr="00447DF9" w:rsidRDefault="0062478D" w:rsidP="00020274">
                            <w:pPr>
                              <w:jc w:val="center"/>
                              <w:rPr>
                                <w:sz w:val="18"/>
                                <w:szCs w:val="18"/>
                                <w:lang w:val="wo-S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FBD0DC"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Légende : encadrée à une bordure 41" o:spid="_x0000_s1039" type="#_x0000_t50" style="position:absolute;left:0;text-align:left;margin-left:112.5pt;margin-top:25.5pt;width:336pt;height:6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" adj="-3421,-2467" fillcolor="#4472c4 [3204]" strokecolor="#1f3763 [1604]" strokeweight="1pt">
                <v:textbox>
                  <w:txbxContent>
                    <w:p w14:paraId="4A0A3B58" w14:textId="066CE1BC" w:rsidR="0062478D" w:rsidRPr="00447DF9" w:rsidRDefault="0062478D" w:rsidP="005625B5">
                      <w:pPr>
                        <w:pStyle w:val="NormalWeb"/>
                        <w:numPr>
                          <w:ilvl w:val="0"/>
                          <w:numId w:val="21"/>
                        </w:numPr>
                        <w:spacing w:after="0"/>
                        <w:jc w:val="both"/>
                        <w:rPr>
                          <w:rFonts w:ascii="Century Gothic" w:hAnsi="Century Gothic"/>
                          <w:sz w:val="18"/>
                          <w:szCs w:val="18"/>
                        </w:rPr>
                      </w:pPr>
                      <w:r w:rsidRPr="00447DF9">
                        <w:rPr>
                          <w:rFonts w:ascii="Century Gothic" w:hAnsi="Century Gothic"/>
                          <w:sz w:val="18"/>
                          <w:szCs w:val="18"/>
                        </w:rPr>
                        <w:t>Développer des politiques nationales pour la gestion durable des ressources naturelles, y compris la lutte contre la désertification et la protection de la biodiversité.</w:t>
                      </w:r>
                    </w:p>
                    <w:p w14:paraId="7D4D44B9" w14:textId="77777777" w:rsidR="0062478D" w:rsidRPr="00447DF9" w:rsidRDefault="0062478D" w:rsidP="005625B5">
                      <w:pPr>
                        <w:pStyle w:val="NormalWeb"/>
                        <w:numPr>
                          <w:ilvl w:val="0"/>
                          <w:numId w:val="21"/>
                        </w:numPr>
                        <w:spacing w:after="0"/>
                        <w:jc w:val="both"/>
                        <w:rPr>
                          <w:rFonts w:ascii="Century Gothic" w:hAnsi="Century Gothic"/>
                          <w:sz w:val="18"/>
                          <w:szCs w:val="18"/>
                        </w:rPr>
                      </w:pPr>
                      <w:r w:rsidRPr="00447DF9">
                        <w:rPr>
                          <w:rFonts w:ascii="Century Gothic" w:hAnsi="Century Gothic"/>
                          <w:sz w:val="18"/>
                          <w:szCs w:val="18"/>
                        </w:rPr>
                        <w:t>Mettre en œuvre des Plans d’Actions , politiques et strategiques pour l’Environnement.</w:t>
                      </w:r>
                    </w:p>
                    <w:p w14:paraId="2FB2285F" w14:textId="77777777" w:rsidR="0062478D" w:rsidRPr="00447DF9" w:rsidRDefault="0062478D" w:rsidP="00020274">
                      <w:pPr>
                        <w:jc w:val="center"/>
                        <w:rPr>
                          <w:sz w:val="18"/>
                          <w:szCs w:val="18"/>
                          <w:lang w:val="wo-SN"/>
                        </w:rPr>
                      </w:pPr>
                    </w:p>
                  </w:txbxContent>
                </v:textbox>
              </v:shape>
            </w:pict>
          </mc:Fallback>
        </mc:AlternateContent>
      </w:r>
      <w:r w:rsidR="00226744" w:rsidRPr="00F01190">
        <w:rPr>
          <w:rFonts w:ascii="Century Gothic" w:hAnsi="Century Gothic"/>
          <w:b/>
          <w:bCs/>
          <w:sz w:val="22"/>
          <w:szCs w:val="22"/>
        </w:rPr>
        <w:t>1. Élaboration et Mise en Œuvre de Politiques Environnementales</w:t>
      </w:r>
    </w:p>
    <w:p w14:paraId="591944FC" w14:textId="77777777" w:rsidR="00020274" w:rsidRDefault="00020274" w:rsidP="00F01190">
      <w:pPr>
        <w:pStyle w:val="NormalWeb"/>
        <w:spacing w:after="0"/>
        <w:ind w:left="993"/>
        <w:jc w:val="both"/>
        <w:rPr>
          <w:rFonts w:ascii="Century Gothic" w:hAnsi="Century Gothic"/>
          <w:b/>
          <w:bCs/>
          <w:sz w:val="22"/>
          <w:szCs w:val="22"/>
        </w:rPr>
      </w:pPr>
    </w:p>
    <w:p w14:paraId="58416FDA" w14:textId="1F59D572" w:rsidR="00020274" w:rsidRDefault="00020274" w:rsidP="00F01190">
      <w:pPr>
        <w:pStyle w:val="NormalWeb"/>
        <w:spacing w:after="0"/>
        <w:ind w:left="993"/>
        <w:jc w:val="both"/>
        <w:rPr>
          <w:rFonts w:ascii="Century Gothic" w:hAnsi="Century Gothic"/>
          <w:b/>
          <w:bCs/>
          <w:sz w:val="22"/>
          <w:szCs w:val="22"/>
        </w:rPr>
      </w:pPr>
    </w:p>
    <w:p w14:paraId="16A50D7B" w14:textId="77777777" w:rsidR="00020274" w:rsidRDefault="00020274" w:rsidP="00020274">
      <w:pPr>
        <w:pStyle w:val="NormalWeb"/>
        <w:spacing w:after="0"/>
        <w:jc w:val="both"/>
        <w:rPr>
          <w:rFonts w:ascii="Century Gothic" w:hAnsi="Century Gothic"/>
          <w:b/>
          <w:bCs/>
          <w:sz w:val="22"/>
          <w:szCs w:val="22"/>
        </w:rPr>
      </w:pPr>
    </w:p>
    <w:p w14:paraId="55DC68C1" w14:textId="10BC18A4" w:rsidR="00226744" w:rsidRDefault="00020274" w:rsidP="00F01190">
      <w:pPr>
        <w:pStyle w:val="NormalWeb"/>
        <w:spacing w:after="0"/>
        <w:ind w:left="993"/>
        <w:jc w:val="both"/>
        <w:rPr>
          <w:rFonts w:ascii="Century Gothic" w:hAnsi="Century Gothic"/>
          <w:b/>
          <w:bCs/>
          <w:sz w:val="22"/>
          <w:szCs w:val="22"/>
        </w:rPr>
      </w:pPr>
      <w:r>
        <w:rPr>
          <w:rFonts w:ascii="Century Gothic" w:hAnsi="Century Gothic"/>
          <w:b/>
          <w:bCs/>
          <w:noProof/>
          <w:sz w:val="22"/>
          <w:szCs w:val="22"/>
          <w:lang w:val="fr-FR" w:eastAsia="fr-FR"/>
        </w:rPr>
        <mc:AlternateContent>
          <mc:Choice Requires="wps">
            <w:drawing>
              <wp:anchor distT="0" distB="0" distL="114300" distR="114300" simplePos="0" relativeHeight="251684864" behindDoc="0" locked="0" layoutInCell="1" allowOverlap="1" wp14:anchorId="3ACC1541" wp14:editId="4FC62036">
                <wp:simplePos x="0" y="0"/>
                <wp:positionH relativeFrom="column">
                  <wp:posOffset>1429957</wp:posOffset>
                </wp:positionH>
                <wp:positionV relativeFrom="paragraph">
                  <wp:posOffset>249967</wp:posOffset>
                </wp:positionV>
                <wp:extent cx="4267200" cy="663400"/>
                <wp:effectExtent l="666750" t="95250" r="19050" b="60960"/>
                <wp:wrapNone/>
                <wp:docPr id="42" name="Légende : encadrée à une bordure 42"/>
                <wp:cNvGraphicFramePr/>
                <a:graphic xmlns:a="http://schemas.openxmlformats.org/drawingml/2006/main">
                  <a:graphicData uri="http://schemas.microsoft.com/office/word/2010/wordprocessingShape">
                    <wps:wsp>
                      <wps:cNvSpPr/>
                      <wps:spPr>
                        <a:xfrm>
                          <a:off x="0" y="0"/>
                          <a:ext cx="4267200" cy="663400"/>
                        </a:xfrm>
                        <a:prstGeom prst="accentBorderCallout1">
                          <a:avLst>
                            <a:gd name="adj1" fmla="val 18750"/>
                            <a:gd name="adj2" fmla="val -8333"/>
                            <a:gd name="adj3" fmla="val -11593"/>
                            <a:gd name="adj4" fmla="val -1543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899E89" w14:textId="7ED7D57B" w:rsidR="0062478D" w:rsidRPr="00020274" w:rsidRDefault="0062478D" w:rsidP="005625B5">
                            <w:pPr>
                              <w:pStyle w:val="NormalWeb"/>
                              <w:numPr>
                                <w:ilvl w:val="0"/>
                                <w:numId w:val="18"/>
                              </w:numPr>
                              <w:spacing w:after="0"/>
                              <w:jc w:val="both"/>
                              <w:rPr>
                                <w:rFonts w:ascii="Century Gothic" w:hAnsi="Century Gothic"/>
                                <w:sz w:val="18"/>
                                <w:szCs w:val="18"/>
                              </w:rPr>
                            </w:pPr>
                            <w:r w:rsidRPr="00020274">
                              <w:rPr>
                                <w:rFonts w:ascii="Century Gothic" w:hAnsi="Century Gothic"/>
                                <w:sz w:val="18"/>
                                <w:szCs w:val="18"/>
                              </w:rPr>
                              <w:t>Gérer les ressources forestières, fauniques et en eau, en assurant leur protection et leur utilisation durable.</w:t>
                            </w:r>
                          </w:p>
                          <w:p w14:paraId="6D4C189E" w14:textId="736E7BA0" w:rsidR="0062478D" w:rsidRPr="00020274" w:rsidRDefault="0062478D" w:rsidP="005625B5">
                            <w:pPr>
                              <w:pStyle w:val="NormalWeb"/>
                              <w:numPr>
                                <w:ilvl w:val="0"/>
                                <w:numId w:val="18"/>
                              </w:numPr>
                              <w:spacing w:after="0"/>
                              <w:jc w:val="both"/>
                              <w:rPr>
                                <w:rFonts w:ascii="Century Gothic" w:hAnsi="Century Gothic"/>
                                <w:sz w:val="18"/>
                                <w:szCs w:val="18"/>
                              </w:rPr>
                            </w:pPr>
                            <w:r w:rsidRPr="00020274">
                              <w:rPr>
                                <w:rFonts w:ascii="Century Gothic" w:hAnsi="Century Gothic"/>
                                <w:sz w:val="18"/>
                                <w:szCs w:val="18"/>
                              </w:rPr>
                              <w:t>Surveiller et contrôler l’exploitation des ressources naturelles pour prévenir les abus et garantir leur durabilité.</w:t>
                            </w:r>
                          </w:p>
                          <w:p w14:paraId="4E52221D" w14:textId="77777777" w:rsidR="0062478D" w:rsidRPr="00020274" w:rsidRDefault="0062478D" w:rsidP="00020274">
                            <w:pPr>
                              <w:jc w:val="center"/>
                              <w:rPr>
                                <w:sz w:val="14"/>
                                <w:szCs w:val="14"/>
                                <w:lang w:val="wo-S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C1541" id="Légende : encadrée à une bordure 42" o:spid="_x0000_s1040" type="#_x0000_t50" style="position:absolute;left:0;text-align:left;margin-left:112.6pt;margin-top:19.7pt;width:336pt;height:5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" adj="-3335,-2504" fillcolor="#4472c4 [3204]" strokecolor="#1f3763 [1604]" strokeweight="1pt">
                <v:textbox>
                  <w:txbxContent>
                    <w:p w14:paraId="70899E89" w14:textId="7ED7D57B" w:rsidR="0062478D" w:rsidRPr="00020274" w:rsidRDefault="0062478D" w:rsidP="005625B5">
                      <w:pPr>
                        <w:pStyle w:val="NormalWeb"/>
                        <w:numPr>
                          <w:ilvl w:val="0"/>
                          <w:numId w:val="18"/>
                        </w:numPr>
                        <w:spacing w:after="0"/>
                        <w:jc w:val="both"/>
                        <w:rPr>
                          <w:rFonts w:ascii="Century Gothic" w:hAnsi="Century Gothic"/>
                          <w:sz w:val="18"/>
                          <w:szCs w:val="18"/>
                        </w:rPr>
                      </w:pPr>
                      <w:r w:rsidRPr="00020274">
                        <w:rPr>
                          <w:rFonts w:ascii="Century Gothic" w:hAnsi="Century Gothic"/>
                          <w:sz w:val="18"/>
                          <w:szCs w:val="18"/>
                        </w:rPr>
                        <w:t>Gérer les ressources forestières, fauniques et en eau, en assurant leur protection et leur utilisation durable.</w:t>
                      </w:r>
                    </w:p>
                    <w:p w14:paraId="6D4C189E" w14:textId="736E7BA0" w:rsidR="0062478D" w:rsidRPr="00020274" w:rsidRDefault="0062478D" w:rsidP="005625B5">
                      <w:pPr>
                        <w:pStyle w:val="NormalWeb"/>
                        <w:numPr>
                          <w:ilvl w:val="0"/>
                          <w:numId w:val="18"/>
                        </w:numPr>
                        <w:spacing w:after="0"/>
                        <w:jc w:val="both"/>
                        <w:rPr>
                          <w:rFonts w:ascii="Century Gothic" w:hAnsi="Century Gothic"/>
                          <w:sz w:val="18"/>
                          <w:szCs w:val="18"/>
                        </w:rPr>
                      </w:pPr>
                      <w:r w:rsidRPr="00020274">
                        <w:rPr>
                          <w:rFonts w:ascii="Century Gothic" w:hAnsi="Century Gothic"/>
                          <w:sz w:val="18"/>
                          <w:szCs w:val="18"/>
                        </w:rPr>
                        <w:t>Surveiller et contrôler l’exploitation des ressources naturelles pour prévenir les abus et garantir leur durabilité.</w:t>
                      </w:r>
                    </w:p>
                    <w:p w14:paraId="4E52221D" w14:textId="77777777" w:rsidR="0062478D" w:rsidRPr="00020274" w:rsidRDefault="0062478D" w:rsidP="00020274">
                      <w:pPr>
                        <w:jc w:val="center"/>
                        <w:rPr>
                          <w:sz w:val="14"/>
                          <w:szCs w:val="14"/>
                          <w:lang w:val="wo-SN"/>
                        </w:rPr>
                      </w:pPr>
                    </w:p>
                  </w:txbxContent>
                </v:textbox>
              </v:shape>
            </w:pict>
          </mc:Fallback>
        </mc:AlternateContent>
      </w:r>
      <w:r w:rsidR="00226744" w:rsidRPr="00F01190">
        <w:rPr>
          <w:rFonts w:ascii="Century Gothic" w:hAnsi="Century Gothic"/>
          <w:b/>
          <w:bCs/>
          <w:sz w:val="22"/>
          <w:szCs w:val="22"/>
        </w:rPr>
        <w:t>2. Gestion des Ressources Naturelles</w:t>
      </w:r>
    </w:p>
    <w:p w14:paraId="1B09F40B" w14:textId="101406E2" w:rsidR="00020274" w:rsidRDefault="00020274" w:rsidP="00F01190">
      <w:pPr>
        <w:pStyle w:val="NormalWeb"/>
        <w:spacing w:after="0"/>
        <w:ind w:left="993"/>
        <w:jc w:val="both"/>
        <w:rPr>
          <w:rFonts w:ascii="Century Gothic" w:hAnsi="Century Gothic"/>
          <w:b/>
          <w:bCs/>
          <w:sz w:val="22"/>
          <w:szCs w:val="22"/>
        </w:rPr>
      </w:pPr>
    </w:p>
    <w:p w14:paraId="3127F933" w14:textId="77777777" w:rsidR="00020274" w:rsidRPr="00F01190" w:rsidRDefault="00020274" w:rsidP="00020274">
      <w:pPr>
        <w:pStyle w:val="NormalWeb"/>
        <w:spacing w:after="0"/>
        <w:jc w:val="both"/>
        <w:rPr>
          <w:rFonts w:ascii="Century Gothic" w:hAnsi="Century Gothic"/>
          <w:b/>
          <w:bCs/>
          <w:sz w:val="22"/>
          <w:szCs w:val="22"/>
        </w:rPr>
      </w:pPr>
    </w:p>
    <w:p w14:paraId="7714D207" w14:textId="3C223799" w:rsidR="00226744" w:rsidRPr="00F01190" w:rsidRDefault="00020274" w:rsidP="00F01190">
      <w:pPr>
        <w:pStyle w:val="NormalWeb"/>
        <w:spacing w:after="0"/>
        <w:ind w:left="993"/>
        <w:jc w:val="both"/>
        <w:rPr>
          <w:rFonts w:ascii="Century Gothic" w:hAnsi="Century Gothic"/>
          <w:b/>
          <w:bCs/>
          <w:sz w:val="22"/>
          <w:szCs w:val="22"/>
        </w:rPr>
      </w:pPr>
      <w:r>
        <w:rPr>
          <w:rFonts w:ascii="Century Gothic" w:hAnsi="Century Gothic"/>
          <w:b/>
          <w:bCs/>
          <w:noProof/>
          <w:sz w:val="22"/>
          <w:szCs w:val="22"/>
          <w:lang w:val="fr-FR" w:eastAsia="fr-FR"/>
        </w:rPr>
        <mc:AlternateContent>
          <mc:Choice Requires="wps">
            <w:drawing>
              <wp:anchor distT="0" distB="0" distL="114300" distR="114300" simplePos="0" relativeHeight="251685888" behindDoc="0" locked="0" layoutInCell="1" allowOverlap="1" wp14:anchorId="07BBB8CC" wp14:editId="7ECE96B3">
                <wp:simplePos x="0" y="0"/>
                <wp:positionH relativeFrom="column">
                  <wp:posOffset>1429957</wp:posOffset>
                </wp:positionH>
                <wp:positionV relativeFrom="paragraph">
                  <wp:posOffset>208734</wp:posOffset>
                </wp:positionV>
                <wp:extent cx="4267200" cy="541773"/>
                <wp:effectExtent l="666750" t="76200" r="19050" b="48895"/>
                <wp:wrapNone/>
                <wp:docPr id="43" name="Légende : encadrée à une bordure 43"/>
                <wp:cNvGraphicFramePr/>
                <a:graphic xmlns:a="http://schemas.openxmlformats.org/drawingml/2006/main">
                  <a:graphicData uri="http://schemas.microsoft.com/office/word/2010/wordprocessingShape">
                    <wps:wsp>
                      <wps:cNvSpPr/>
                      <wps:spPr>
                        <a:xfrm>
                          <a:off x="0" y="0"/>
                          <a:ext cx="4267200" cy="541773"/>
                        </a:xfrm>
                        <a:prstGeom prst="accentBorderCallout1">
                          <a:avLst>
                            <a:gd name="adj1" fmla="val 18750"/>
                            <a:gd name="adj2" fmla="val -8333"/>
                            <a:gd name="adj3" fmla="val -6250"/>
                            <a:gd name="adj4" fmla="val -1534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B479D7" w14:textId="77777777" w:rsidR="0062478D" w:rsidRPr="00020274" w:rsidRDefault="0062478D" w:rsidP="005625B5">
                            <w:pPr>
                              <w:pStyle w:val="NormalWeb"/>
                              <w:numPr>
                                <w:ilvl w:val="0"/>
                                <w:numId w:val="19"/>
                              </w:numPr>
                              <w:spacing w:after="0"/>
                              <w:jc w:val="both"/>
                              <w:rPr>
                                <w:rFonts w:ascii="Century Gothic" w:hAnsi="Century Gothic"/>
                                <w:sz w:val="18"/>
                                <w:szCs w:val="18"/>
                              </w:rPr>
                            </w:pPr>
                            <w:r w:rsidRPr="00020274">
                              <w:rPr>
                                <w:rFonts w:ascii="Century Gothic" w:hAnsi="Century Gothic"/>
                                <w:sz w:val="18"/>
                                <w:szCs w:val="18"/>
                              </w:rPr>
                              <w:t>Informer et sensibiliser le public sur les enjeux environnementaux, y compris le changement climatique, afin de promouvoir des comportements respectueux de l'environnement.</w:t>
                            </w:r>
                          </w:p>
                          <w:p w14:paraId="570738A8" w14:textId="77777777" w:rsidR="0062478D" w:rsidRPr="00020274" w:rsidRDefault="0062478D" w:rsidP="00020274">
                            <w:pPr>
                              <w:jc w:val="center"/>
                              <w:rPr>
                                <w:sz w:val="18"/>
                                <w:szCs w:val="18"/>
                                <w:lang w:val="wo-S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BB8CC" id="Légende : encadrée à une bordure 43" o:spid="_x0000_s1041" type="#_x0000_t50" style="position:absolute;left:0;text-align:left;margin-left:112.6pt;margin-top:16.45pt;width:336pt;height:4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" adj="-3315,-1350" fillcolor="#4472c4 [3204]" strokecolor="#1f3763 [1604]" strokeweight="1pt">
                <v:textbox>
                  <w:txbxContent>
                    <w:p w14:paraId="62B479D7" w14:textId="77777777" w:rsidR="0062478D" w:rsidRPr="00020274" w:rsidRDefault="0062478D" w:rsidP="005625B5">
                      <w:pPr>
                        <w:pStyle w:val="NormalWeb"/>
                        <w:numPr>
                          <w:ilvl w:val="0"/>
                          <w:numId w:val="19"/>
                        </w:numPr>
                        <w:spacing w:after="0"/>
                        <w:jc w:val="both"/>
                        <w:rPr>
                          <w:rFonts w:ascii="Century Gothic" w:hAnsi="Century Gothic"/>
                          <w:sz w:val="18"/>
                          <w:szCs w:val="18"/>
                        </w:rPr>
                      </w:pPr>
                      <w:r w:rsidRPr="00020274">
                        <w:rPr>
                          <w:rFonts w:ascii="Century Gothic" w:hAnsi="Century Gothic"/>
                          <w:sz w:val="18"/>
                          <w:szCs w:val="18"/>
                        </w:rPr>
                        <w:t>Informer et sensibiliser le public sur les enjeux environnementaux, y compris le changement climatique, afin de promouvoir des comportements respectueux de l'environnement.</w:t>
                      </w:r>
                    </w:p>
                    <w:p w14:paraId="570738A8" w14:textId="77777777" w:rsidR="0062478D" w:rsidRPr="00020274" w:rsidRDefault="0062478D" w:rsidP="00020274">
                      <w:pPr>
                        <w:jc w:val="center"/>
                        <w:rPr>
                          <w:sz w:val="18"/>
                          <w:szCs w:val="18"/>
                          <w:lang w:val="wo-SN"/>
                        </w:rPr>
                      </w:pPr>
                    </w:p>
                  </w:txbxContent>
                </v:textbox>
              </v:shape>
            </w:pict>
          </mc:Fallback>
        </mc:AlternateContent>
      </w:r>
      <w:r w:rsidR="00226744" w:rsidRPr="00F01190">
        <w:rPr>
          <w:rFonts w:ascii="Century Gothic" w:hAnsi="Century Gothic"/>
          <w:b/>
          <w:bCs/>
          <w:sz w:val="22"/>
          <w:szCs w:val="22"/>
        </w:rPr>
        <w:t>3. Sensibilisation et Éducation</w:t>
      </w:r>
    </w:p>
    <w:p w14:paraId="6DC96855" w14:textId="46F89C4C" w:rsidR="00020274" w:rsidRDefault="00020274" w:rsidP="00020274">
      <w:pPr>
        <w:pStyle w:val="NormalWeb"/>
        <w:spacing w:after="0"/>
        <w:jc w:val="both"/>
        <w:rPr>
          <w:rFonts w:ascii="Century Gothic" w:hAnsi="Century Gothic"/>
          <w:b/>
          <w:bCs/>
          <w:sz w:val="22"/>
          <w:szCs w:val="22"/>
        </w:rPr>
      </w:pPr>
    </w:p>
    <w:p w14:paraId="4A90E5B4" w14:textId="77777777" w:rsidR="00447DF9" w:rsidRDefault="00447DF9" w:rsidP="00020274">
      <w:pPr>
        <w:pStyle w:val="NormalWeb"/>
        <w:spacing w:after="0"/>
        <w:jc w:val="both"/>
        <w:rPr>
          <w:rFonts w:ascii="Century Gothic" w:hAnsi="Century Gothic"/>
          <w:b/>
          <w:bCs/>
          <w:sz w:val="22"/>
          <w:szCs w:val="22"/>
        </w:rPr>
      </w:pPr>
    </w:p>
    <w:p w14:paraId="72CC85BA" w14:textId="0EABCB62" w:rsidR="00226744" w:rsidRPr="00F01190" w:rsidRDefault="00020274" w:rsidP="00F01190">
      <w:pPr>
        <w:pStyle w:val="NormalWeb"/>
        <w:spacing w:after="0"/>
        <w:ind w:left="993"/>
        <w:jc w:val="both"/>
        <w:rPr>
          <w:rFonts w:ascii="Century Gothic" w:hAnsi="Century Gothic"/>
          <w:b/>
          <w:bCs/>
          <w:sz w:val="22"/>
          <w:szCs w:val="22"/>
        </w:rPr>
      </w:pPr>
      <w:r>
        <w:rPr>
          <w:rFonts w:ascii="Century Gothic" w:hAnsi="Century Gothic"/>
          <w:b/>
          <w:bCs/>
          <w:noProof/>
          <w:sz w:val="22"/>
          <w:szCs w:val="22"/>
          <w:lang w:val="fr-FR" w:eastAsia="fr-FR"/>
        </w:rPr>
        <mc:AlternateContent>
          <mc:Choice Requires="wps">
            <w:drawing>
              <wp:anchor distT="0" distB="0" distL="114300" distR="114300" simplePos="0" relativeHeight="251686912" behindDoc="0" locked="0" layoutInCell="1" allowOverlap="1" wp14:anchorId="4605858A" wp14:editId="56783E1F">
                <wp:simplePos x="0" y="0"/>
                <wp:positionH relativeFrom="column">
                  <wp:posOffset>1373505</wp:posOffset>
                </wp:positionH>
                <wp:positionV relativeFrom="paragraph">
                  <wp:posOffset>226060</wp:posOffset>
                </wp:positionV>
                <wp:extent cx="4324350" cy="825500"/>
                <wp:effectExtent l="609600" t="95250" r="19050" b="50800"/>
                <wp:wrapNone/>
                <wp:docPr id="44" name="Légende : encadrée à une bordure 44"/>
                <wp:cNvGraphicFramePr/>
                <a:graphic xmlns:a="http://schemas.openxmlformats.org/drawingml/2006/main">
                  <a:graphicData uri="http://schemas.microsoft.com/office/word/2010/wordprocessingShape">
                    <wps:wsp>
                      <wps:cNvSpPr/>
                      <wps:spPr>
                        <a:xfrm>
                          <a:off x="0" y="0"/>
                          <a:ext cx="4324350" cy="825500"/>
                        </a:xfrm>
                        <a:prstGeom prst="accentBorderCallout1">
                          <a:avLst>
                            <a:gd name="adj1" fmla="val 18750"/>
                            <a:gd name="adj2" fmla="val -8333"/>
                            <a:gd name="adj3" fmla="val -9907"/>
                            <a:gd name="adj4" fmla="val -1391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A62ED0" w14:textId="77777777" w:rsidR="0062478D" w:rsidRPr="00020274" w:rsidRDefault="0062478D" w:rsidP="005625B5">
                            <w:pPr>
                              <w:pStyle w:val="NormalWeb"/>
                              <w:numPr>
                                <w:ilvl w:val="0"/>
                                <w:numId w:val="20"/>
                              </w:numPr>
                              <w:spacing w:after="0"/>
                              <w:jc w:val="both"/>
                              <w:rPr>
                                <w:rFonts w:ascii="Century Gothic" w:hAnsi="Century Gothic"/>
                                <w:sz w:val="18"/>
                                <w:szCs w:val="18"/>
                              </w:rPr>
                            </w:pPr>
                            <w:r w:rsidRPr="00020274">
                              <w:rPr>
                                <w:rFonts w:ascii="Century Gothic" w:hAnsi="Century Gothic"/>
                                <w:sz w:val="18"/>
                                <w:szCs w:val="18"/>
                              </w:rPr>
                              <w:t>Élaborer des stratégies d’adaptation pour renforcer la résilience des communautés vulnérables face aux impacts du changement climatique.</w:t>
                            </w:r>
                          </w:p>
                          <w:p w14:paraId="555ED4F3" w14:textId="77777777" w:rsidR="0062478D" w:rsidRPr="00020274" w:rsidRDefault="0062478D" w:rsidP="005625B5">
                            <w:pPr>
                              <w:pStyle w:val="NormalWeb"/>
                              <w:numPr>
                                <w:ilvl w:val="0"/>
                                <w:numId w:val="20"/>
                              </w:numPr>
                              <w:spacing w:after="0"/>
                              <w:jc w:val="both"/>
                              <w:rPr>
                                <w:rFonts w:ascii="Century Gothic" w:hAnsi="Century Gothic"/>
                                <w:sz w:val="18"/>
                                <w:szCs w:val="18"/>
                              </w:rPr>
                            </w:pPr>
                            <w:r w:rsidRPr="00020274">
                              <w:rPr>
                                <w:rFonts w:ascii="Century Gothic" w:hAnsi="Century Gothic"/>
                                <w:sz w:val="18"/>
                                <w:szCs w:val="18"/>
                              </w:rPr>
                              <w:t>Intégrer les considérations climatiques dans tous les secteurs du développement national.</w:t>
                            </w:r>
                          </w:p>
                          <w:p w14:paraId="06CC2F5C" w14:textId="77777777" w:rsidR="0062478D" w:rsidRPr="00020274" w:rsidRDefault="0062478D" w:rsidP="00020274">
                            <w:pPr>
                              <w:jc w:val="center"/>
                              <w:rPr>
                                <w:sz w:val="18"/>
                                <w:szCs w:val="18"/>
                                <w:lang w:val="wo-S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5858A" id="Légende : encadrée à une bordure 44" o:spid="_x0000_s1042" type="#_x0000_t50" style="position:absolute;left:0;text-align:left;margin-left:108.15pt;margin-top:17.8pt;width:340.5pt;height: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" adj="-3005,-2140" fillcolor="#4472c4 [3204]" strokecolor="#1f3763 [1604]" strokeweight="1pt">
                <v:textbox>
                  <w:txbxContent>
                    <w:p w14:paraId="6FA62ED0" w14:textId="77777777" w:rsidR="0062478D" w:rsidRPr="00020274" w:rsidRDefault="0062478D" w:rsidP="005625B5">
                      <w:pPr>
                        <w:pStyle w:val="NormalWeb"/>
                        <w:numPr>
                          <w:ilvl w:val="0"/>
                          <w:numId w:val="20"/>
                        </w:numPr>
                        <w:spacing w:after="0"/>
                        <w:jc w:val="both"/>
                        <w:rPr>
                          <w:rFonts w:ascii="Century Gothic" w:hAnsi="Century Gothic"/>
                          <w:sz w:val="18"/>
                          <w:szCs w:val="18"/>
                        </w:rPr>
                      </w:pPr>
                      <w:r w:rsidRPr="00020274">
                        <w:rPr>
                          <w:rFonts w:ascii="Century Gothic" w:hAnsi="Century Gothic"/>
                          <w:sz w:val="18"/>
                          <w:szCs w:val="18"/>
                        </w:rPr>
                        <w:t>Élaborer des stratégies d’adaptation pour renforcer la résilience des communautés vulnérables face aux impacts du changement climatique.</w:t>
                      </w:r>
                    </w:p>
                    <w:p w14:paraId="555ED4F3" w14:textId="77777777" w:rsidR="0062478D" w:rsidRPr="00020274" w:rsidRDefault="0062478D" w:rsidP="005625B5">
                      <w:pPr>
                        <w:pStyle w:val="NormalWeb"/>
                        <w:numPr>
                          <w:ilvl w:val="0"/>
                          <w:numId w:val="20"/>
                        </w:numPr>
                        <w:spacing w:after="0"/>
                        <w:jc w:val="both"/>
                        <w:rPr>
                          <w:rFonts w:ascii="Century Gothic" w:hAnsi="Century Gothic"/>
                          <w:sz w:val="18"/>
                          <w:szCs w:val="18"/>
                        </w:rPr>
                      </w:pPr>
                      <w:r w:rsidRPr="00020274">
                        <w:rPr>
                          <w:rFonts w:ascii="Century Gothic" w:hAnsi="Century Gothic"/>
                          <w:sz w:val="18"/>
                          <w:szCs w:val="18"/>
                        </w:rPr>
                        <w:t>Intégrer les considérations climatiques dans tous les secteurs du développement national.</w:t>
                      </w:r>
                    </w:p>
                    <w:p w14:paraId="06CC2F5C" w14:textId="77777777" w:rsidR="0062478D" w:rsidRPr="00020274" w:rsidRDefault="0062478D" w:rsidP="00020274">
                      <w:pPr>
                        <w:jc w:val="center"/>
                        <w:rPr>
                          <w:sz w:val="18"/>
                          <w:szCs w:val="18"/>
                          <w:lang w:val="wo-SN"/>
                        </w:rPr>
                      </w:pPr>
                    </w:p>
                  </w:txbxContent>
                </v:textbox>
              </v:shape>
            </w:pict>
          </mc:Fallback>
        </mc:AlternateContent>
      </w:r>
      <w:r w:rsidR="00226744" w:rsidRPr="00F01190">
        <w:rPr>
          <w:rFonts w:ascii="Century Gothic" w:hAnsi="Century Gothic"/>
          <w:b/>
          <w:bCs/>
          <w:sz w:val="22"/>
          <w:szCs w:val="22"/>
        </w:rPr>
        <w:t>4. Adaptation au Changement Climatique</w:t>
      </w:r>
    </w:p>
    <w:p w14:paraId="3DAA7D1E" w14:textId="75AE8A2C" w:rsidR="00226744" w:rsidRPr="00F01190" w:rsidRDefault="00020274" w:rsidP="00F01190">
      <w:pPr>
        <w:pStyle w:val="NormalWeb"/>
        <w:spacing w:after="0"/>
        <w:ind w:left="993"/>
        <w:jc w:val="both"/>
        <w:rPr>
          <w:rFonts w:ascii="Century Gothic" w:hAnsi="Century Gothic"/>
          <w:b/>
          <w:bCs/>
          <w:sz w:val="22"/>
          <w:szCs w:val="22"/>
        </w:rPr>
      </w:pPr>
      <w:r>
        <w:rPr>
          <w:rFonts w:ascii="Century Gothic" w:hAnsi="Century Gothic"/>
          <w:b/>
          <w:bCs/>
          <w:noProof/>
          <w:sz w:val="22"/>
          <w:szCs w:val="22"/>
          <w:lang w:val="fr-FR" w:eastAsia="fr-FR"/>
        </w:rPr>
        <mc:AlternateContent>
          <mc:Choice Requires="wps">
            <w:drawing>
              <wp:anchor distT="0" distB="0" distL="114300" distR="114300" simplePos="0" relativeHeight="251687936" behindDoc="0" locked="0" layoutInCell="1" allowOverlap="1" wp14:anchorId="43F7A236" wp14:editId="5DF41715">
                <wp:simplePos x="0" y="0"/>
                <wp:positionH relativeFrom="column">
                  <wp:posOffset>1333660</wp:posOffset>
                </wp:positionH>
                <wp:positionV relativeFrom="paragraph">
                  <wp:posOffset>199537</wp:posOffset>
                </wp:positionV>
                <wp:extent cx="4400550" cy="652305"/>
                <wp:effectExtent l="590550" t="76200" r="19050" b="52705"/>
                <wp:wrapNone/>
                <wp:docPr id="45" name="Légende : encadrée à une bordure 45"/>
                <wp:cNvGraphicFramePr/>
                <a:graphic xmlns:a="http://schemas.openxmlformats.org/drawingml/2006/main">
                  <a:graphicData uri="http://schemas.microsoft.com/office/word/2010/wordprocessingShape">
                    <wps:wsp>
                      <wps:cNvSpPr/>
                      <wps:spPr>
                        <a:xfrm>
                          <a:off x="0" y="0"/>
                          <a:ext cx="4400550" cy="652305"/>
                        </a:xfrm>
                        <a:prstGeom prst="accentBorderCallout1">
                          <a:avLst>
                            <a:gd name="adj1" fmla="val 18750"/>
                            <a:gd name="adj2" fmla="val -8333"/>
                            <a:gd name="adj3" fmla="val -7500"/>
                            <a:gd name="adj4" fmla="val -1329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70C36F" w14:textId="77777777" w:rsidR="0062478D" w:rsidRDefault="0062478D" w:rsidP="005625B5">
                            <w:pPr>
                              <w:pStyle w:val="NormalWeb"/>
                              <w:numPr>
                                <w:ilvl w:val="0"/>
                                <w:numId w:val="22"/>
                              </w:numPr>
                              <w:spacing w:after="0"/>
                              <w:jc w:val="both"/>
                              <w:rPr>
                                <w:rFonts w:ascii="Century Gothic" w:hAnsi="Century Gothic"/>
                                <w:sz w:val="18"/>
                                <w:szCs w:val="18"/>
                              </w:rPr>
                            </w:pPr>
                            <w:r w:rsidRPr="000D6322">
                              <w:rPr>
                                <w:rFonts w:ascii="Century Gothic" w:hAnsi="Century Gothic"/>
                                <w:sz w:val="18"/>
                                <w:szCs w:val="18"/>
                              </w:rPr>
                              <w:t>Protéger les aires protégées et restaurer les écosystèmes dégradés pour préserver la biodiversité.</w:t>
                            </w:r>
                          </w:p>
                          <w:p w14:paraId="569DE7A4" w14:textId="38B601D3" w:rsidR="0062478D" w:rsidRPr="000D6322" w:rsidRDefault="0062478D" w:rsidP="005625B5">
                            <w:pPr>
                              <w:pStyle w:val="NormalWeb"/>
                              <w:numPr>
                                <w:ilvl w:val="0"/>
                                <w:numId w:val="22"/>
                              </w:numPr>
                              <w:spacing w:after="0"/>
                              <w:jc w:val="both"/>
                              <w:rPr>
                                <w:rFonts w:ascii="Century Gothic" w:hAnsi="Century Gothic"/>
                                <w:sz w:val="18"/>
                                <w:szCs w:val="18"/>
                              </w:rPr>
                            </w:pPr>
                            <w:r w:rsidRPr="000D6322">
                              <w:rPr>
                                <w:rFonts w:ascii="Century Gothic" w:hAnsi="Century Gothic"/>
                                <w:sz w:val="18"/>
                                <w:szCs w:val="18"/>
                              </w:rPr>
                              <w:t>Promouvoir des actions de conservation des espèces menacées et de leurs habitats.</w:t>
                            </w:r>
                          </w:p>
                          <w:p w14:paraId="37EB878B" w14:textId="77777777" w:rsidR="0062478D" w:rsidRPr="000D6322" w:rsidRDefault="0062478D" w:rsidP="00020274">
                            <w:pPr>
                              <w:jc w:val="center"/>
                              <w:rPr>
                                <w:sz w:val="18"/>
                                <w:szCs w:val="18"/>
                                <w:lang w:val="wo-S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7A236" id="Légende : encadrée à une bordure 45" o:spid="_x0000_s1043" type="#_x0000_t50" style="position:absolute;left:0;text-align:left;margin-left:105pt;margin-top:15.7pt;width:346.5pt;height:5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" adj="-2872,-1620" fillcolor="#4472c4 [3204]" strokecolor="#1f3763 [1604]" strokeweight="1pt">
                <v:textbox>
                  <w:txbxContent>
                    <w:p w14:paraId="3970C36F" w14:textId="77777777" w:rsidR="0062478D" w:rsidRDefault="0062478D" w:rsidP="005625B5">
                      <w:pPr>
                        <w:pStyle w:val="NormalWeb"/>
                        <w:numPr>
                          <w:ilvl w:val="0"/>
                          <w:numId w:val="22"/>
                        </w:numPr>
                        <w:spacing w:after="0"/>
                        <w:jc w:val="both"/>
                        <w:rPr>
                          <w:rFonts w:ascii="Century Gothic" w:hAnsi="Century Gothic"/>
                          <w:sz w:val="18"/>
                          <w:szCs w:val="18"/>
                        </w:rPr>
                      </w:pPr>
                      <w:r w:rsidRPr="000D6322">
                        <w:rPr>
                          <w:rFonts w:ascii="Century Gothic" w:hAnsi="Century Gothic"/>
                          <w:sz w:val="18"/>
                          <w:szCs w:val="18"/>
                        </w:rPr>
                        <w:t>Protéger les aires protégées et restaurer les écosystèmes dégradés pour préserver la biodiversité.</w:t>
                      </w:r>
                    </w:p>
                    <w:p w14:paraId="569DE7A4" w14:textId="38B601D3" w:rsidR="0062478D" w:rsidRPr="000D6322" w:rsidRDefault="0062478D" w:rsidP="005625B5">
                      <w:pPr>
                        <w:pStyle w:val="NormalWeb"/>
                        <w:numPr>
                          <w:ilvl w:val="0"/>
                          <w:numId w:val="22"/>
                        </w:numPr>
                        <w:spacing w:after="0"/>
                        <w:jc w:val="both"/>
                        <w:rPr>
                          <w:rFonts w:ascii="Century Gothic" w:hAnsi="Century Gothic"/>
                          <w:sz w:val="18"/>
                          <w:szCs w:val="18"/>
                        </w:rPr>
                      </w:pPr>
                      <w:r w:rsidRPr="000D6322">
                        <w:rPr>
                          <w:rFonts w:ascii="Century Gothic" w:hAnsi="Century Gothic"/>
                          <w:sz w:val="18"/>
                          <w:szCs w:val="18"/>
                        </w:rPr>
                        <w:t>Promouvoir des actions de conservation des espèces menacées et de leurs habitats.</w:t>
                      </w:r>
                    </w:p>
                    <w:p w14:paraId="37EB878B" w14:textId="77777777" w:rsidR="0062478D" w:rsidRPr="000D6322" w:rsidRDefault="0062478D" w:rsidP="00020274">
                      <w:pPr>
                        <w:jc w:val="center"/>
                        <w:rPr>
                          <w:sz w:val="18"/>
                          <w:szCs w:val="18"/>
                          <w:lang w:val="wo-SN"/>
                        </w:rPr>
                      </w:pPr>
                    </w:p>
                  </w:txbxContent>
                </v:textbox>
              </v:shape>
            </w:pict>
          </mc:Fallback>
        </mc:AlternateContent>
      </w:r>
      <w:r w:rsidR="00226744" w:rsidRPr="00F01190">
        <w:rPr>
          <w:rFonts w:ascii="Century Gothic" w:hAnsi="Century Gothic"/>
          <w:b/>
          <w:bCs/>
          <w:sz w:val="22"/>
          <w:szCs w:val="22"/>
        </w:rPr>
        <w:t>5. Protection de la Biodiversité</w:t>
      </w:r>
    </w:p>
    <w:p w14:paraId="5805CD54" w14:textId="77777777" w:rsidR="00020274" w:rsidRDefault="00020274" w:rsidP="00F01190">
      <w:pPr>
        <w:pStyle w:val="NormalWeb"/>
        <w:spacing w:after="0"/>
        <w:ind w:left="993"/>
        <w:jc w:val="both"/>
        <w:rPr>
          <w:rFonts w:ascii="Century Gothic" w:hAnsi="Century Gothic"/>
          <w:b/>
          <w:bCs/>
          <w:sz w:val="22"/>
          <w:szCs w:val="22"/>
        </w:rPr>
      </w:pPr>
    </w:p>
    <w:p w14:paraId="323EC129" w14:textId="77D3BE4B" w:rsidR="000D6322" w:rsidRDefault="000D6322" w:rsidP="000D6322">
      <w:pPr>
        <w:pStyle w:val="NormalWeb"/>
        <w:spacing w:after="0"/>
        <w:jc w:val="both"/>
        <w:rPr>
          <w:rFonts w:ascii="Century Gothic" w:hAnsi="Century Gothic"/>
          <w:b/>
          <w:bCs/>
          <w:sz w:val="22"/>
          <w:szCs w:val="22"/>
        </w:rPr>
      </w:pPr>
    </w:p>
    <w:p w14:paraId="063F0CB8" w14:textId="11382CF9" w:rsidR="00226744" w:rsidRPr="00F01190" w:rsidRDefault="000D6322" w:rsidP="00F01190">
      <w:pPr>
        <w:pStyle w:val="NormalWeb"/>
        <w:spacing w:after="0"/>
        <w:ind w:left="993"/>
        <w:jc w:val="both"/>
        <w:rPr>
          <w:rFonts w:ascii="Century Gothic" w:hAnsi="Century Gothic"/>
          <w:b/>
          <w:bCs/>
          <w:sz w:val="22"/>
          <w:szCs w:val="22"/>
        </w:rPr>
      </w:pPr>
      <w:r>
        <w:rPr>
          <w:rFonts w:ascii="Century Gothic" w:hAnsi="Century Gothic"/>
          <w:b/>
          <w:bCs/>
          <w:noProof/>
          <w:sz w:val="22"/>
          <w:szCs w:val="22"/>
          <w:lang w:val="fr-FR" w:eastAsia="fr-FR"/>
        </w:rPr>
        <mc:AlternateContent>
          <mc:Choice Requires="wps">
            <w:drawing>
              <wp:anchor distT="0" distB="0" distL="114300" distR="114300" simplePos="0" relativeHeight="251688960" behindDoc="0" locked="0" layoutInCell="1" allowOverlap="1" wp14:anchorId="7AAB8267" wp14:editId="78266913">
                <wp:simplePos x="0" y="0"/>
                <wp:positionH relativeFrom="column">
                  <wp:posOffset>1335405</wp:posOffset>
                </wp:positionH>
                <wp:positionV relativeFrom="paragraph">
                  <wp:posOffset>296545</wp:posOffset>
                </wp:positionV>
                <wp:extent cx="4400550" cy="806450"/>
                <wp:effectExtent l="571500" t="209550" r="19050" b="50800"/>
                <wp:wrapNone/>
                <wp:docPr id="46" name="Légende : encadrée à une bordure 46"/>
                <wp:cNvGraphicFramePr/>
                <a:graphic xmlns:a="http://schemas.openxmlformats.org/drawingml/2006/main">
                  <a:graphicData uri="http://schemas.microsoft.com/office/word/2010/wordprocessingShape">
                    <wps:wsp>
                      <wps:cNvSpPr/>
                      <wps:spPr>
                        <a:xfrm>
                          <a:off x="0" y="0"/>
                          <a:ext cx="4400550" cy="806450"/>
                        </a:xfrm>
                        <a:prstGeom prst="accentBorderCallout1">
                          <a:avLst>
                            <a:gd name="adj1" fmla="val 18750"/>
                            <a:gd name="adj2" fmla="val -8333"/>
                            <a:gd name="adj3" fmla="val -24429"/>
                            <a:gd name="adj4" fmla="val -1294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220B53" w14:textId="77777777" w:rsidR="0062478D" w:rsidRPr="000D6322" w:rsidRDefault="0062478D" w:rsidP="005625B5">
                            <w:pPr>
                              <w:pStyle w:val="NormalWeb"/>
                              <w:numPr>
                                <w:ilvl w:val="0"/>
                                <w:numId w:val="23"/>
                              </w:numPr>
                              <w:spacing w:after="0"/>
                              <w:jc w:val="both"/>
                              <w:rPr>
                                <w:rFonts w:ascii="Century Gothic" w:hAnsi="Century Gothic"/>
                                <w:sz w:val="18"/>
                                <w:szCs w:val="18"/>
                              </w:rPr>
                            </w:pPr>
                            <w:r w:rsidRPr="000D6322">
                              <w:rPr>
                                <w:rFonts w:ascii="Century Gothic" w:hAnsi="Century Gothic"/>
                                <w:sz w:val="18"/>
                                <w:szCs w:val="18"/>
                              </w:rPr>
                              <w:t>Travailler avec des partenaires internationaux pour mobiliser des ressources financières et techniques nécessaires à la mise en œuvre des politiques environnementales.</w:t>
                            </w:r>
                          </w:p>
                          <w:p w14:paraId="3C1931D7" w14:textId="77777777" w:rsidR="0062478D" w:rsidRPr="000D6322" w:rsidRDefault="0062478D" w:rsidP="005625B5">
                            <w:pPr>
                              <w:pStyle w:val="NormalWeb"/>
                              <w:numPr>
                                <w:ilvl w:val="0"/>
                                <w:numId w:val="23"/>
                              </w:numPr>
                              <w:spacing w:after="0"/>
                              <w:jc w:val="both"/>
                              <w:rPr>
                                <w:rFonts w:ascii="Century Gothic" w:hAnsi="Century Gothic"/>
                                <w:sz w:val="18"/>
                                <w:szCs w:val="18"/>
                              </w:rPr>
                            </w:pPr>
                            <w:r w:rsidRPr="000D6322">
                              <w:rPr>
                                <w:rFonts w:ascii="Century Gothic" w:hAnsi="Century Gothic"/>
                                <w:sz w:val="18"/>
                                <w:szCs w:val="18"/>
                              </w:rPr>
                              <w:t>Participer aux accords internationaux sur l'environnement et le climat.</w:t>
                            </w:r>
                          </w:p>
                          <w:p w14:paraId="447900A9" w14:textId="77777777" w:rsidR="0062478D" w:rsidRPr="000D6322" w:rsidRDefault="0062478D" w:rsidP="000D6322">
                            <w:pPr>
                              <w:jc w:val="center"/>
                              <w:rPr>
                                <w:sz w:val="18"/>
                                <w:szCs w:val="18"/>
                                <w:lang w:val="wo-S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B8267" id="Légende : encadrée à une bordure 46" o:spid="_x0000_s1044" type="#_x0000_t50" style="position:absolute;left:0;text-align:left;margin-left:105.15pt;margin-top:23.35pt;width:346.5pt;height:6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" adj="-2796,-5277" fillcolor="#4472c4 [3204]" strokecolor="#1f3763 [1604]" strokeweight="1pt">
                <v:textbox>
                  <w:txbxContent>
                    <w:p w14:paraId="33220B53" w14:textId="77777777" w:rsidR="0062478D" w:rsidRPr="000D6322" w:rsidRDefault="0062478D" w:rsidP="005625B5">
                      <w:pPr>
                        <w:pStyle w:val="NormalWeb"/>
                        <w:numPr>
                          <w:ilvl w:val="0"/>
                          <w:numId w:val="23"/>
                        </w:numPr>
                        <w:spacing w:after="0"/>
                        <w:jc w:val="both"/>
                        <w:rPr>
                          <w:rFonts w:ascii="Century Gothic" w:hAnsi="Century Gothic"/>
                          <w:sz w:val="18"/>
                          <w:szCs w:val="18"/>
                        </w:rPr>
                      </w:pPr>
                      <w:r w:rsidRPr="000D6322">
                        <w:rPr>
                          <w:rFonts w:ascii="Century Gothic" w:hAnsi="Century Gothic"/>
                          <w:sz w:val="18"/>
                          <w:szCs w:val="18"/>
                        </w:rPr>
                        <w:t>Travailler avec des partenaires internationaux pour mobiliser des ressources financières et techniques nécessaires à la mise en œuvre des politiques environnementales.</w:t>
                      </w:r>
                    </w:p>
                    <w:p w14:paraId="3C1931D7" w14:textId="77777777" w:rsidR="0062478D" w:rsidRPr="000D6322" w:rsidRDefault="0062478D" w:rsidP="005625B5">
                      <w:pPr>
                        <w:pStyle w:val="NormalWeb"/>
                        <w:numPr>
                          <w:ilvl w:val="0"/>
                          <w:numId w:val="23"/>
                        </w:numPr>
                        <w:spacing w:after="0"/>
                        <w:jc w:val="both"/>
                        <w:rPr>
                          <w:rFonts w:ascii="Century Gothic" w:hAnsi="Century Gothic"/>
                          <w:sz w:val="18"/>
                          <w:szCs w:val="18"/>
                        </w:rPr>
                      </w:pPr>
                      <w:r w:rsidRPr="000D6322">
                        <w:rPr>
                          <w:rFonts w:ascii="Century Gothic" w:hAnsi="Century Gothic"/>
                          <w:sz w:val="18"/>
                          <w:szCs w:val="18"/>
                        </w:rPr>
                        <w:t>Participer aux accords internationaux sur l'environnement et le climat.</w:t>
                      </w:r>
                    </w:p>
                    <w:p w14:paraId="447900A9" w14:textId="77777777" w:rsidR="0062478D" w:rsidRPr="000D6322" w:rsidRDefault="0062478D" w:rsidP="000D6322">
                      <w:pPr>
                        <w:jc w:val="center"/>
                        <w:rPr>
                          <w:sz w:val="18"/>
                          <w:szCs w:val="18"/>
                          <w:lang w:val="wo-SN"/>
                        </w:rPr>
                      </w:pPr>
                    </w:p>
                  </w:txbxContent>
                </v:textbox>
              </v:shape>
            </w:pict>
          </mc:Fallback>
        </mc:AlternateContent>
      </w:r>
      <w:r w:rsidR="00226744" w:rsidRPr="00F01190">
        <w:rPr>
          <w:rFonts w:ascii="Century Gothic" w:hAnsi="Century Gothic"/>
          <w:b/>
          <w:bCs/>
          <w:sz w:val="22"/>
          <w:szCs w:val="22"/>
        </w:rPr>
        <w:t>6. Collaboration Internationale</w:t>
      </w:r>
    </w:p>
    <w:p w14:paraId="0792B359" w14:textId="1A33A13B" w:rsidR="000D6322" w:rsidRDefault="000D6322" w:rsidP="00F01190">
      <w:pPr>
        <w:pStyle w:val="NormalWeb"/>
        <w:spacing w:after="0"/>
        <w:ind w:left="993"/>
        <w:jc w:val="both"/>
        <w:rPr>
          <w:rFonts w:ascii="Century Gothic" w:hAnsi="Century Gothic"/>
          <w:b/>
          <w:bCs/>
          <w:sz w:val="22"/>
          <w:szCs w:val="22"/>
        </w:rPr>
      </w:pPr>
    </w:p>
    <w:p w14:paraId="150C0356" w14:textId="00E483C3" w:rsidR="000D6322" w:rsidRDefault="000D6322" w:rsidP="00F01190">
      <w:pPr>
        <w:pStyle w:val="NormalWeb"/>
        <w:spacing w:after="0"/>
        <w:ind w:left="993"/>
        <w:jc w:val="both"/>
        <w:rPr>
          <w:rFonts w:ascii="Century Gothic" w:hAnsi="Century Gothic"/>
          <w:b/>
          <w:bCs/>
          <w:sz w:val="22"/>
          <w:szCs w:val="22"/>
        </w:rPr>
      </w:pPr>
    </w:p>
    <w:p w14:paraId="599F73CE" w14:textId="77777777" w:rsidR="000D6322" w:rsidRDefault="000D6322" w:rsidP="00F01190">
      <w:pPr>
        <w:pStyle w:val="NormalWeb"/>
        <w:spacing w:after="0"/>
        <w:ind w:left="993"/>
        <w:jc w:val="both"/>
        <w:rPr>
          <w:rFonts w:ascii="Century Gothic" w:hAnsi="Century Gothic"/>
          <w:b/>
          <w:bCs/>
          <w:sz w:val="22"/>
          <w:szCs w:val="22"/>
        </w:rPr>
      </w:pPr>
    </w:p>
    <w:p w14:paraId="66E51BAE" w14:textId="050E6A2D" w:rsidR="00226744" w:rsidRPr="00F01190" w:rsidRDefault="000D6322" w:rsidP="00F01190">
      <w:pPr>
        <w:pStyle w:val="NormalWeb"/>
        <w:spacing w:after="0"/>
        <w:ind w:left="993"/>
        <w:jc w:val="both"/>
        <w:rPr>
          <w:rFonts w:ascii="Century Gothic" w:hAnsi="Century Gothic"/>
          <w:b/>
          <w:bCs/>
          <w:sz w:val="22"/>
          <w:szCs w:val="22"/>
        </w:rPr>
      </w:pPr>
      <w:r>
        <w:rPr>
          <w:rFonts w:ascii="Century Gothic" w:hAnsi="Century Gothic"/>
          <w:b/>
          <w:bCs/>
          <w:noProof/>
          <w:sz w:val="22"/>
          <w:szCs w:val="22"/>
          <w:lang w:val="fr-FR" w:eastAsia="fr-FR"/>
        </w:rPr>
        <mc:AlternateContent>
          <mc:Choice Requires="wps">
            <w:drawing>
              <wp:anchor distT="0" distB="0" distL="114300" distR="114300" simplePos="0" relativeHeight="251689984" behindDoc="0" locked="0" layoutInCell="1" allowOverlap="1" wp14:anchorId="7D7E808C" wp14:editId="749A060B">
                <wp:simplePos x="0" y="0"/>
                <wp:positionH relativeFrom="column">
                  <wp:posOffset>1333660</wp:posOffset>
                </wp:positionH>
                <wp:positionV relativeFrom="paragraph">
                  <wp:posOffset>247950</wp:posOffset>
                </wp:positionV>
                <wp:extent cx="4400550" cy="804078"/>
                <wp:effectExtent l="590550" t="95250" r="19050" b="53340"/>
                <wp:wrapNone/>
                <wp:docPr id="47" name="Légende : encadrée à une bordure 47"/>
                <wp:cNvGraphicFramePr/>
                <a:graphic xmlns:a="http://schemas.openxmlformats.org/drawingml/2006/main">
                  <a:graphicData uri="http://schemas.microsoft.com/office/word/2010/wordprocessingShape">
                    <wps:wsp>
                      <wps:cNvSpPr/>
                      <wps:spPr>
                        <a:xfrm>
                          <a:off x="0" y="0"/>
                          <a:ext cx="4400550" cy="804078"/>
                        </a:xfrm>
                        <a:prstGeom prst="accentBorderCallout1">
                          <a:avLst>
                            <a:gd name="adj1" fmla="val 18750"/>
                            <a:gd name="adj2" fmla="val -8333"/>
                            <a:gd name="adj3" fmla="val -10808"/>
                            <a:gd name="adj4" fmla="val -1336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54F6BE" w14:textId="77777777" w:rsidR="0062478D" w:rsidRPr="000D6322" w:rsidRDefault="0062478D" w:rsidP="005625B5">
                            <w:pPr>
                              <w:pStyle w:val="NormalWeb"/>
                              <w:numPr>
                                <w:ilvl w:val="0"/>
                                <w:numId w:val="24"/>
                              </w:numPr>
                              <w:spacing w:after="0"/>
                              <w:jc w:val="both"/>
                              <w:rPr>
                                <w:rFonts w:ascii="Century Gothic" w:hAnsi="Century Gothic"/>
                                <w:sz w:val="18"/>
                                <w:szCs w:val="18"/>
                              </w:rPr>
                            </w:pPr>
                            <w:r w:rsidRPr="000D6322">
                              <w:rPr>
                                <w:rFonts w:ascii="Century Gothic" w:hAnsi="Century Gothic"/>
                                <w:sz w:val="18"/>
                                <w:szCs w:val="18"/>
                              </w:rPr>
                              <w:t>Évaluer régulièrement l'état de l'environnement en Mauritanie pour ajuster les politiques et programmes en fonction des résultats obtenus.</w:t>
                            </w:r>
                          </w:p>
                          <w:p w14:paraId="118AD2A9" w14:textId="77777777" w:rsidR="0062478D" w:rsidRPr="000D6322" w:rsidRDefault="0062478D" w:rsidP="005625B5">
                            <w:pPr>
                              <w:pStyle w:val="NormalWeb"/>
                              <w:numPr>
                                <w:ilvl w:val="0"/>
                                <w:numId w:val="24"/>
                              </w:numPr>
                              <w:spacing w:after="0"/>
                              <w:jc w:val="both"/>
                              <w:rPr>
                                <w:rFonts w:ascii="Century Gothic" w:hAnsi="Century Gothic"/>
                                <w:sz w:val="18"/>
                                <w:szCs w:val="18"/>
                              </w:rPr>
                            </w:pPr>
                            <w:r w:rsidRPr="000D6322">
                              <w:rPr>
                                <w:rFonts w:ascii="Century Gothic" w:hAnsi="Century Gothic"/>
                                <w:sz w:val="18"/>
                                <w:szCs w:val="18"/>
                              </w:rPr>
                              <w:t>Assurer le suivi de l'impact des projets environnementaux sur les écosystèmes et les communautés locales.</w:t>
                            </w:r>
                          </w:p>
                          <w:p w14:paraId="45BC089A" w14:textId="77777777" w:rsidR="0062478D" w:rsidRPr="000D6322" w:rsidRDefault="0062478D" w:rsidP="000D6322">
                            <w:pPr>
                              <w:jc w:val="center"/>
                              <w:rPr>
                                <w:sz w:val="18"/>
                                <w:szCs w:val="18"/>
                                <w:lang w:val="wo-S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E808C" id="Légende : encadrée à une bordure 47" o:spid="_x0000_s1045" type="#_x0000_t50" style="position:absolute;left:0;text-align:left;margin-left:105pt;margin-top:19.5pt;width:346.5pt;height:63.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" adj="-2888,-2335" fillcolor="#4472c4 [3204]" strokecolor="#1f3763 [1604]" strokeweight="1pt">
                <v:textbox>
                  <w:txbxContent>
                    <w:p w14:paraId="7754F6BE" w14:textId="77777777" w:rsidR="0062478D" w:rsidRPr="000D6322" w:rsidRDefault="0062478D" w:rsidP="005625B5">
                      <w:pPr>
                        <w:pStyle w:val="NormalWeb"/>
                        <w:numPr>
                          <w:ilvl w:val="0"/>
                          <w:numId w:val="24"/>
                        </w:numPr>
                        <w:spacing w:after="0"/>
                        <w:jc w:val="both"/>
                        <w:rPr>
                          <w:rFonts w:ascii="Century Gothic" w:hAnsi="Century Gothic"/>
                          <w:sz w:val="18"/>
                          <w:szCs w:val="18"/>
                        </w:rPr>
                      </w:pPr>
                      <w:r w:rsidRPr="000D6322">
                        <w:rPr>
                          <w:rFonts w:ascii="Century Gothic" w:hAnsi="Century Gothic"/>
                          <w:sz w:val="18"/>
                          <w:szCs w:val="18"/>
                        </w:rPr>
                        <w:t>Évaluer régulièrement l'état de l'environnement en Mauritanie pour ajuster les politiques et programmes en fonction des résultats obtenus.</w:t>
                      </w:r>
                    </w:p>
                    <w:p w14:paraId="118AD2A9" w14:textId="77777777" w:rsidR="0062478D" w:rsidRPr="000D6322" w:rsidRDefault="0062478D" w:rsidP="005625B5">
                      <w:pPr>
                        <w:pStyle w:val="NormalWeb"/>
                        <w:numPr>
                          <w:ilvl w:val="0"/>
                          <w:numId w:val="24"/>
                        </w:numPr>
                        <w:spacing w:after="0"/>
                        <w:jc w:val="both"/>
                        <w:rPr>
                          <w:rFonts w:ascii="Century Gothic" w:hAnsi="Century Gothic"/>
                          <w:sz w:val="18"/>
                          <w:szCs w:val="18"/>
                        </w:rPr>
                      </w:pPr>
                      <w:r w:rsidRPr="000D6322">
                        <w:rPr>
                          <w:rFonts w:ascii="Century Gothic" w:hAnsi="Century Gothic"/>
                          <w:sz w:val="18"/>
                          <w:szCs w:val="18"/>
                        </w:rPr>
                        <w:t>Assurer le suivi de l'impact des projets environnementaux sur les écosystèmes et les communautés locales.</w:t>
                      </w:r>
                    </w:p>
                    <w:p w14:paraId="45BC089A" w14:textId="77777777" w:rsidR="0062478D" w:rsidRPr="000D6322" w:rsidRDefault="0062478D" w:rsidP="000D6322">
                      <w:pPr>
                        <w:jc w:val="center"/>
                        <w:rPr>
                          <w:sz w:val="18"/>
                          <w:szCs w:val="18"/>
                          <w:lang w:val="wo-SN"/>
                        </w:rPr>
                      </w:pPr>
                    </w:p>
                  </w:txbxContent>
                </v:textbox>
              </v:shape>
            </w:pict>
          </mc:Fallback>
        </mc:AlternateContent>
      </w:r>
      <w:r w:rsidR="00226744" w:rsidRPr="00F01190">
        <w:rPr>
          <w:rFonts w:ascii="Century Gothic" w:hAnsi="Century Gothic"/>
          <w:b/>
          <w:bCs/>
          <w:sz w:val="22"/>
          <w:szCs w:val="22"/>
        </w:rPr>
        <w:t>7. Suivi et Évaluation</w:t>
      </w:r>
    </w:p>
    <w:p w14:paraId="26722C61" w14:textId="517FE792" w:rsidR="000D6322" w:rsidRDefault="000D6322" w:rsidP="00F01190">
      <w:pPr>
        <w:pStyle w:val="NormalWeb"/>
        <w:spacing w:after="0"/>
        <w:ind w:left="708"/>
        <w:jc w:val="both"/>
        <w:rPr>
          <w:rFonts w:ascii="Century Gothic" w:hAnsi="Century Gothic"/>
          <w:sz w:val="22"/>
          <w:szCs w:val="22"/>
        </w:rPr>
      </w:pPr>
    </w:p>
    <w:p w14:paraId="66A99DB1" w14:textId="6E85D03F" w:rsidR="000D6322" w:rsidRDefault="000D6322" w:rsidP="000D6322">
      <w:pPr>
        <w:pStyle w:val="NormalWeb"/>
        <w:spacing w:after="0"/>
        <w:jc w:val="both"/>
        <w:rPr>
          <w:rFonts w:ascii="Century Gothic" w:hAnsi="Century Gothic"/>
          <w:sz w:val="22"/>
          <w:szCs w:val="22"/>
        </w:rPr>
      </w:pPr>
    </w:p>
    <w:p w14:paraId="1E92E957" w14:textId="77777777" w:rsidR="000D6322" w:rsidRDefault="000D6322" w:rsidP="000D6322">
      <w:pPr>
        <w:pStyle w:val="NormalWeb"/>
        <w:spacing w:after="0"/>
        <w:jc w:val="both"/>
        <w:rPr>
          <w:rFonts w:ascii="Century Gothic" w:hAnsi="Century Gothic"/>
          <w:sz w:val="22"/>
          <w:szCs w:val="22"/>
        </w:rPr>
      </w:pPr>
    </w:p>
    <w:p w14:paraId="2E37FFFA" w14:textId="437488EE" w:rsidR="006250A6" w:rsidRPr="00077956" w:rsidRDefault="006250A6" w:rsidP="00F01190">
      <w:pPr>
        <w:pStyle w:val="NormalWeb"/>
        <w:spacing w:after="0"/>
        <w:ind w:left="708"/>
        <w:jc w:val="both"/>
        <w:rPr>
          <w:rFonts w:ascii="Century Gothic" w:hAnsi="Century Gothic"/>
          <w:sz w:val="22"/>
          <w:szCs w:val="22"/>
        </w:rPr>
      </w:pPr>
      <w:r w:rsidRPr="00077956">
        <w:rPr>
          <w:rFonts w:ascii="Century Gothic" w:hAnsi="Century Gothic"/>
          <w:sz w:val="22"/>
          <w:szCs w:val="22"/>
        </w:rPr>
        <w:t xml:space="preserve">En Juillet 2023, Le </w:t>
      </w:r>
      <w:r w:rsidR="00447DF9">
        <w:rPr>
          <w:rFonts w:ascii="Century Gothic" w:hAnsi="Century Gothic"/>
          <w:sz w:val="22"/>
          <w:szCs w:val="22"/>
        </w:rPr>
        <w:t>M</w:t>
      </w:r>
      <w:r w:rsidRPr="00077956">
        <w:rPr>
          <w:rFonts w:ascii="Century Gothic" w:hAnsi="Century Gothic"/>
          <w:sz w:val="22"/>
          <w:szCs w:val="22"/>
        </w:rPr>
        <w:t xml:space="preserve">inistère de l'Environnement et du Développement Durable a </w:t>
      </w:r>
      <w:r w:rsidR="00A707AC" w:rsidRPr="00077956">
        <w:rPr>
          <w:rFonts w:ascii="Century Gothic" w:hAnsi="Century Gothic"/>
          <w:sz w:val="22"/>
          <w:szCs w:val="22"/>
        </w:rPr>
        <w:t>créé</w:t>
      </w:r>
      <w:r w:rsidRPr="00077956">
        <w:rPr>
          <w:rFonts w:ascii="Century Gothic" w:hAnsi="Century Gothic"/>
          <w:sz w:val="22"/>
          <w:szCs w:val="22"/>
        </w:rPr>
        <w:t xml:space="preserve"> une nouvelle direction dediée </w:t>
      </w:r>
      <w:r w:rsidRPr="00077956">
        <w:rPr>
          <w:rFonts w:ascii="Century Gothic" w:hAnsi="Century Gothic"/>
          <w:b/>
          <w:bCs/>
          <w:sz w:val="22"/>
          <w:szCs w:val="22"/>
        </w:rPr>
        <w:t xml:space="preserve">à la Protection du Littoral, Zones Humides et Aires Protegées (DiLZAP) </w:t>
      </w:r>
      <w:r w:rsidRPr="00077956">
        <w:rPr>
          <w:rFonts w:ascii="Century Gothic" w:hAnsi="Century Gothic"/>
          <w:sz w:val="22"/>
          <w:szCs w:val="22"/>
        </w:rPr>
        <w:t>qui a plusieurs missions clés concernant la protection d</w:t>
      </w:r>
      <w:r w:rsidR="00A707AC" w:rsidRPr="00077956">
        <w:rPr>
          <w:rFonts w:ascii="Century Gothic" w:hAnsi="Century Gothic"/>
          <w:sz w:val="22"/>
          <w:szCs w:val="22"/>
        </w:rPr>
        <w:t>es écosystèmes et paysages littoraux</w:t>
      </w:r>
      <w:r w:rsidRPr="00077956">
        <w:rPr>
          <w:rFonts w:ascii="Century Gothic" w:hAnsi="Century Gothic"/>
          <w:sz w:val="22"/>
          <w:szCs w:val="22"/>
        </w:rPr>
        <w:t xml:space="preserve">, </w:t>
      </w:r>
      <w:r w:rsidR="00A707AC" w:rsidRPr="00077956">
        <w:rPr>
          <w:rFonts w:ascii="Century Gothic" w:hAnsi="Century Gothic"/>
          <w:sz w:val="22"/>
          <w:szCs w:val="22"/>
        </w:rPr>
        <w:t xml:space="preserve">la gestion et la restauration des zones humides et la création de nouvelles </w:t>
      </w:r>
      <w:r w:rsidRPr="00077956">
        <w:rPr>
          <w:rFonts w:ascii="Century Gothic" w:hAnsi="Century Gothic"/>
          <w:sz w:val="22"/>
          <w:szCs w:val="22"/>
        </w:rPr>
        <w:t xml:space="preserve">aires protégées </w:t>
      </w:r>
      <w:r w:rsidR="00A707AC" w:rsidRPr="00077956">
        <w:rPr>
          <w:rFonts w:ascii="Century Gothic" w:hAnsi="Century Gothic"/>
          <w:sz w:val="22"/>
          <w:szCs w:val="22"/>
        </w:rPr>
        <w:t xml:space="preserve">tout en élargissant le réseau existant </w:t>
      </w:r>
      <w:r w:rsidRPr="00077956">
        <w:rPr>
          <w:rFonts w:ascii="Century Gothic" w:hAnsi="Century Gothic"/>
          <w:sz w:val="22"/>
          <w:szCs w:val="22"/>
        </w:rPr>
        <w:t xml:space="preserve">dans le pays. </w:t>
      </w:r>
    </w:p>
    <w:p w14:paraId="642FBDCC" w14:textId="0913CD25" w:rsidR="006250A6" w:rsidRPr="00077956" w:rsidRDefault="006250A6" w:rsidP="00FA36EC">
      <w:pPr>
        <w:pStyle w:val="NormalWeb"/>
        <w:spacing w:before="120" w:beforeAutospacing="0" w:after="120" w:afterAutospacing="0"/>
        <w:ind w:left="709"/>
        <w:jc w:val="both"/>
        <w:rPr>
          <w:rFonts w:ascii="Century Gothic" w:hAnsi="Century Gothic"/>
          <w:sz w:val="22"/>
          <w:szCs w:val="22"/>
        </w:rPr>
      </w:pPr>
      <w:r w:rsidRPr="00077956">
        <w:rPr>
          <w:rFonts w:ascii="Century Gothic" w:hAnsi="Century Gothic"/>
          <w:sz w:val="22"/>
          <w:szCs w:val="22"/>
        </w:rPr>
        <w:t xml:space="preserve">Ces missions sont : </w:t>
      </w:r>
    </w:p>
    <w:p w14:paraId="169120A4" w14:textId="236C0135" w:rsidR="006250A6" w:rsidRPr="00516ECA" w:rsidRDefault="006250A6" w:rsidP="005625B5">
      <w:pPr>
        <w:pStyle w:val="NormalWeb"/>
        <w:numPr>
          <w:ilvl w:val="0"/>
          <w:numId w:val="14"/>
        </w:numPr>
        <w:spacing w:after="0"/>
        <w:ind w:left="567" w:hanging="284"/>
        <w:jc w:val="both"/>
        <w:rPr>
          <w:rFonts w:ascii="Century Gothic" w:hAnsi="Century Gothic"/>
          <w:color w:val="4472C4" w:themeColor="accent1"/>
        </w:rPr>
      </w:pPr>
      <w:r w:rsidRPr="00516ECA">
        <w:rPr>
          <w:rFonts w:ascii="Century Gothic" w:hAnsi="Century Gothic"/>
          <w:color w:val="4472C4" w:themeColor="accent1"/>
        </w:rPr>
        <w:t>Protection du Littoral :</w:t>
      </w:r>
    </w:p>
    <w:p w14:paraId="589DEBC6" w14:textId="40B8B828" w:rsidR="006250A6" w:rsidRPr="00077956" w:rsidRDefault="006250A6" w:rsidP="005625B5">
      <w:pPr>
        <w:pStyle w:val="NormalWeb"/>
        <w:numPr>
          <w:ilvl w:val="3"/>
          <w:numId w:val="13"/>
        </w:numPr>
        <w:spacing w:after="0"/>
        <w:ind w:left="709"/>
        <w:jc w:val="both"/>
        <w:rPr>
          <w:rFonts w:ascii="Century Gothic" w:hAnsi="Century Gothic"/>
          <w:sz w:val="22"/>
          <w:szCs w:val="22"/>
        </w:rPr>
      </w:pPr>
      <w:r w:rsidRPr="00077956">
        <w:rPr>
          <w:rFonts w:ascii="Century Gothic" w:hAnsi="Century Gothic"/>
          <w:sz w:val="22"/>
          <w:szCs w:val="22"/>
        </w:rPr>
        <w:t>Élaborer et mettre en œuvre le Plan Directeur d'Aménagement du Littoral Mauritanien (PDALM), qui vise à gérer durablement les espaces côtiers tout en tenant compte des impacts du changement climatique.</w:t>
      </w:r>
    </w:p>
    <w:p w14:paraId="4A2A5BFA" w14:textId="7AA3D4EB" w:rsidR="006250A6" w:rsidRPr="00077956" w:rsidRDefault="006250A6" w:rsidP="005625B5">
      <w:pPr>
        <w:pStyle w:val="NormalWeb"/>
        <w:numPr>
          <w:ilvl w:val="3"/>
          <w:numId w:val="13"/>
        </w:numPr>
        <w:spacing w:after="0"/>
        <w:ind w:left="709"/>
        <w:jc w:val="both"/>
        <w:rPr>
          <w:rFonts w:ascii="Century Gothic" w:hAnsi="Century Gothic"/>
          <w:sz w:val="22"/>
          <w:szCs w:val="22"/>
        </w:rPr>
      </w:pPr>
      <w:r w:rsidRPr="00077956">
        <w:rPr>
          <w:rFonts w:ascii="Century Gothic" w:hAnsi="Century Gothic"/>
          <w:sz w:val="22"/>
          <w:szCs w:val="22"/>
        </w:rPr>
        <w:t>Promouvoir des solutions naturelles pour la protection du littoral, telles que la végétalisation des dunes et la construction de structures de protection contre l'érosion et les inondations.</w:t>
      </w:r>
    </w:p>
    <w:p w14:paraId="56176BA6" w14:textId="56C6017B" w:rsidR="006250A6" w:rsidRPr="00516ECA" w:rsidRDefault="006250A6" w:rsidP="005625B5">
      <w:pPr>
        <w:pStyle w:val="NormalWeb"/>
        <w:numPr>
          <w:ilvl w:val="0"/>
          <w:numId w:val="14"/>
        </w:numPr>
        <w:spacing w:after="0"/>
        <w:ind w:left="567" w:hanging="284"/>
        <w:jc w:val="both"/>
        <w:rPr>
          <w:rFonts w:ascii="Century Gothic" w:hAnsi="Century Gothic"/>
          <w:color w:val="4472C4" w:themeColor="accent1"/>
        </w:rPr>
      </w:pPr>
      <w:r w:rsidRPr="00516ECA">
        <w:rPr>
          <w:rFonts w:ascii="Century Gothic" w:hAnsi="Century Gothic"/>
          <w:color w:val="4472C4" w:themeColor="accent1"/>
        </w:rPr>
        <w:t>Gestion des Zones Humides :</w:t>
      </w:r>
    </w:p>
    <w:p w14:paraId="5B89935F" w14:textId="276FD2EB" w:rsidR="006250A6" w:rsidRPr="00077956" w:rsidRDefault="006250A6" w:rsidP="005625B5">
      <w:pPr>
        <w:pStyle w:val="NormalWeb"/>
        <w:numPr>
          <w:ilvl w:val="3"/>
          <w:numId w:val="13"/>
        </w:numPr>
        <w:spacing w:after="0"/>
        <w:ind w:left="709"/>
        <w:jc w:val="both"/>
        <w:rPr>
          <w:rFonts w:ascii="Century Gothic" w:hAnsi="Century Gothic"/>
          <w:sz w:val="22"/>
          <w:szCs w:val="22"/>
        </w:rPr>
      </w:pPr>
      <w:r w:rsidRPr="00077956">
        <w:rPr>
          <w:rFonts w:ascii="Century Gothic" w:hAnsi="Century Gothic"/>
          <w:sz w:val="22"/>
          <w:szCs w:val="22"/>
        </w:rPr>
        <w:t>Protéger et restaurer les zones humides, qui jouent un rôle crucial dans la régulation hydrologique et la conservation de la biodiversité.</w:t>
      </w:r>
    </w:p>
    <w:p w14:paraId="1B5B4259" w14:textId="1BF54F6B" w:rsidR="006250A6" w:rsidRPr="00077956" w:rsidRDefault="006250A6" w:rsidP="005625B5">
      <w:pPr>
        <w:pStyle w:val="NormalWeb"/>
        <w:numPr>
          <w:ilvl w:val="3"/>
          <w:numId w:val="13"/>
        </w:numPr>
        <w:spacing w:after="0"/>
        <w:ind w:left="709"/>
        <w:jc w:val="both"/>
        <w:rPr>
          <w:rFonts w:ascii="Century Gothic" w:hAnsi="Century Gothic"/>
          <w:sz w:val="22"/>
          <w:szCs w:val="22"/>
        </w:rPr>
      </w:pPr>
      <w:r w:rsidRPr="00077956">
        <w:rPr>
          <w:rFonts w:ascii="Century Gothic" w:hAnsi="Century Gothic"/>
          <w:sz w:val="22"/>
          <w:szCs w:val="22"/>
        </w:rPr>
        <w:t>Intégrer les préoccupations liées aux zones humides dans les politiques de développement et d'aménagement du territoire.</w:t>
      </w:r>
    </w:p>
    <w:p w14:paraId="170D01B6" w14:textId="25AED67B" w:rsidR="006250A6" w:rsidRPr="00516ECA" w:rsidRDefault="006250A6" w:rsidP="005625B5">
      <w:pPr>
        <w:pStyle w:val="NormalWeb"/>
        <w:numPr>
          <w:ilvl w:val="0"/>
          <w:numId w:val="14"/>
        </w:numPr>
        <w:spacing w:before="0" w:beforeAutospacing="0" w:after="0" w:afterAutospacing="0"/>
        <w:ind w:left="568" w:hanging="284"/>
        <w:jc w:val="both"/>
        <w:rPr>
          <w:rFonts w:ascii="Century Gothic" w:hAnsi="Century Gothic"/>
          <w:color w:val="4472C4" w:themeColor="accent1"/>
        </w:rPr>
      </w:pPr>
      <w:r w:rsidRPr="00516ECA">
        <w:rPr>
          <w:rFonts w:ascii="Century Gothic" w:hAnsi="Century Gothic"/>
          <w:color w:val="4472C4" w:themeColor="accent1"/>
        </w:rPr>
        <w:t>Conservation des Aires Protégées :</w:t>
      </w:r>
    </w:p>
    <w:p w14:paraId="6907717D" w14:textId="05478AB1" w:rsidR="006250A6" w:rsidRPr="00077956" w:rsidRDefault="006250A6" w:rsidP="005625B5">
      <w:pPr>
        <w:pStyle w:val="NormalWeb"/>
        <w:numPr>
          <w:ilvl w:val="3"/>
          <w:numId w:val="13"/>
        </w:numPr>
        <w:spacing w:after="0"/>
        <w:ind w:left="709"/>
        <w:jc w:val="both"/>
        <w:rPr>
          <w:rFonts w:ascii="Century Gothic" w:hAnsi="Century Gothic"/>
          <w:sz w:val="22"/>
          <w:szCs w:val="22"/>
        </w:rPr>
      </w:pPr>
      <w:r w:rsidRPr="00077956">
        <w:rPr>
          <w:rFonts w:ascii="Century Gothic" w:hAnsi="Century Gothic"/>
          <w:sz w:val="22"/>
          <w:szCs w:val="22"/>
        </w:rPr>
        <w:t>Établir et gérer des aires protégées pour préserver la biodiversité et les écosystèmes menacés.</w:t>
      </w:r>
    </w:p>
    <w:p w14:paraId="6FAC40F7" w14:textId="41E45C2C" w:rsidR="006250A6" w:rsidRPr="00077956" w:rsidRDefault="006250A6" w:rsidP="005625B5">
      <w:pPr>
        <w:pStyle w:val="NormalWeb"/>
        <w:numPr>
          <w:ilvl w:val="3"/>
          <w:numId w:val="13"/>
        </w:numPr>
        <w:spacing w:after="0"/>
        <w:ind w:left="709"/>
        <w:jc w:val="both"/>
        <w:rPr>
          <w:rFonts w:ascii="Century Gothic" w:hAnsi="Century Gothic"/>
          <w:sz w:val="22"/>
          <w:szCs w:val="22"/>
        </w:rPr>
      </w:pPr>
      <w:r w:rsidRPr="00077956">
        <w:rPr>
          <w:rFonts w:ascii="Century Gothic" w:hAnsi="Century Gothic"/>
          <w:sz w:val="22"/>
          <w:szCs w:val="22"/>
        </w:rPr>
        <w:t xml:space="preserve"> Collaborer avec des organisations internationales pour renforcer la gestion des aires protégées et promouvoir des initiatives de conservation.</w:t>
      </w:r>
    </w:p>
    <w:p w14:paraId="3E45255D" w14:textId="02A0C1C3" w:rsidR="006250A6" w:rsidRPr="00516ECA" w:rsidRDefault="006250A6" w:rsidP="005625B5">
      <w:pPr>
        <w:pStyle w:val="NormalWeb"/>
        <w:numPr>
          <w:ilvl w:val="0"/>
          <w:numId w:val="14"/>
        </w:numPr>
        <w:spacing w:after="0"/>
        <w:ind w:left="567" w:hanging="284"/>
        <w:jc w:val="both"/>
        <w:rPr>
          <w:rFonts w:ascii="Century Gothic" w:hAnsi="Century Gothic"/>
          <w:color w:val="4472C4" w:themeColor="accent1"/>
        </w:rPr>
      </w:pPr>
      <w:r w:rsidRPr="00516ECA">
        <w:rPr>
          <w:rFonts w:ascii="Century Gothic" w:hAnsi="Century Gothic"/>
          <w:color w:val="4472C4" w:themeColor="accent1"/>
        </w:rPr>
        <w:t>Sensibilisation et Éducation :</w:t>
      </w:r>
    </w:p>
    <w:p w14:paraId="7DB72E55" w14:textId="04E65335" w:rsidR="006250A6" w:rsidRPr="00077956" w:rsidRDefault="006250A6" w:rsidP="005625B5">
      <w:pPr>
        <w:pStyle w:val="NormalWeb"/>
        <w:numPr>
          <w:ilvl w:val="3"/>
          <w:numId w:val="13"/>
        </w:numPr>
        <w:spacing w:after="0"/>
        <w:ind w:left="709"/>
        <w:jc w:val="both"/>
        <w:rPr>
          <w:rFonts w:ascii="Century Gothic" w:hAnsi="Century Gothic"/>
          <w:sz w:val="22"/>
          <w:szCs w:val="22"/>
        </w:rPr>
      </w:pPr>
      <w:r w:rsidRPr="00077956">
        <w:rPr>
          <w:rFonts w:ascii="Century Gothic" w:hAnsi="Century Gothic"/>
          <w:sz w:val="22"/>
          <w:szCs w:val="22"/>
        </w:rPr>
        <w:t>Mener des campagnes de sensibilisation pour informer le public sur l'importance de la protection des écosystèmes côtiers et humides.</w:t>
      </w:r>
    </w:p>
    <w:p w14:paraId="093DDE95" w14:textId="1A8DF473" w:rsidR="006250A6" w:rsidRPr="00077956" w:rsidRDefault="006250A6" w:rsidP="005625B5">
      <w:pPr>
        <w:pStyle w:val="NormalWeb"/>
        <w:numPr>
          <w:ilvl w:val="3"/>
          <w:numId w:val="13"/>
        </w:numPr>
        <w:spacing w:after="0"/>
        <w:ind w:left="709"/>
        <w:jc w:val="both"/>
        <w:rPr>
          <w:rFonts w:ascii="Century Gothic" w:hAnsi="Century Gothic"/>
          <w:sz w:val="22"/>
          <w:szCs w:val="22"/>
        </w:rPr>
      </w:pPr>
      <w:r w:rsidRPr="00077956">
        <w:rPr>
          <w:rFonts w:ascii="Century Gothic" w:hAnsi="Century Gothic"/>
          <w:sz w:val="22"/>
          <w:szCs w:val="22"/>
        </w:rPr>
        <w:t>Former les communautés locales sur les pratiques durables et la gestion des ressources naturelles.</w:t>
      </w:r>
    </w:p>
    <w:p w14:paraId="10ACF0B5" w14:textId="726342A6" w:rsidR="006250A6" w:rsidRPr="00516ECA" w:rsidRDefault="006250A6" w:rsidP="005625B5">
      <w:pPr>
        <w:pStyle w:val="NormalWeb"/>
        <w:numPr>
          <w:ilvl w:val="0"/>
          <w:numId w:val="14"/>
        </w:numPr>
        <w:spacing w:after="0"/>
        <w:ind w:left="567" w:hanging="284"/>
        <w:jc w:val="both"/>
        <w:rPr>
          <w:rFonts w:ascii="Century Gothic" w:hAnsi="Century Gothic"/>
          <w:color w:val="4472C4" w:themeColor="accent1"/>
        </w:rPr>
      </w:pPr>
      <w:r w:rsidRPr="00516ECA">
        <w:rPr>
          <w:rFonts w:ascii="Century Gothic" w:hAnsi="Century Gothic"/>
          <w:color w:val="4472C4" w:themeColor="accent1"/>
        </w:rPr>
        <w:t>Initiatives Récentes</w:t>
      </w:r>
    </w:p>
    <w:p w14:paraId="60584E72" w14:textId="33D1936C" w:rsidR="003A3AAF" w:rsidRPr="00077956" w:rsidRDefault="006250A6" w:rsidP="00F01190">
      <w:pPr>
        <w:pStyle w:val="NormalWeb"/>
        <w:spacing w:after="0"/>
        <w:ind w:left="283"/>
        <w:jc w:val="both"/>
        <w:rPr>
          <w:rFonts w:ascii="Century Gothic" w:hAnsi="Century Gothic"/>
          <w:sz w:val="22"/>
          <w:szCs w:val="22"/>
        </w:rPr>
      </w:pPr>
      <w:r w:rsidRPr="00077956">
        <w:rPr>
          <w:rFonts w:ascii="Century Gothic" w:hAnsi="Century Gothic"/>
          <w:sz w:val="22"/>
          <w:szCs w:val="22"/>
        </w:rPr>
        <w:t xml:space="preserve">Observatoire du Littoral Mauritanien : La création d'un observatoire pour surveiller les risques côtiers, en collaboration avec le projet WACA (West Africa Coastal Areas) </w:t>
      </w:r>
      <w:r w:rsidR="002D1003">
        <w:rPr>
          <w:rFonts w:ascii="Century Gothic" w:hAnsi="Century Gothic"/>
          <w:sz w:val="22"/>
          <w:szCs w:val="22"/>
        </w:rPr>
        <w:t xml:space="preserve">en cours d’exécution </w:t>
      </w:r>
      <w:r w:rsidRPr="00077956">
        <w:rPr>
          <w:rFonts w:ascii="Century Gothic" w:hAnsi="Century Gothic"/>
          <w:sz w:val="22"/>
          <w:szCs w:val="22"/>
        </w:rPr>
        <w:t>qui soutient également le développement durable dans les zones côtières.</w:t>
      </w:r>
    </w:p>
    <w:p w14:paraId="4E90D04E" w14:textId="6633EAE5" w:rsidR="003D4AAF" w:rsidRPr="00516ECA" w:rsidRDefault="003D4AAF" w:rsidP="005625B5">
      <w:pPr>
        <w:pStyle w:val="NormalWeb"/>
        <w:numPr>
          <w:ilvl w:val="0"/>
          <w:numId w:val="14"/>
        </w:numPr>
        <w:spacing w:after="0"/>
        <w:ind w:left="567" w:hanging="284"/>
        <w:jc w:val="both"/>
        <w:rPr>
          <w:rFonts w:ascii="Century Gothic" w:hAnsi="Century Gothic"/>
          <w:color w:val="4472C4" w:themeColor="accent1"/>
        </w:rPr>
      </w:pPr>
      <w:r w:rsidRPr="00516ECA">
        <w:rPr>
          <w:rFonts w:ascii="Century Gothic" w:hAnsi="Century Gothic"/>
          <w:color w:val="4472C4" w:themeColor="accent1"/>
        </w:rPr>
        <w:t>Politiques et Stratégies Nationales</w:t>
      </w:r>
      <w:r w:rsidR="00B14BBE" w:rsidRPr="00516ECA">
        <w:rPr>
          <w:rFonts w:ascii="Century Gothic" w:hAnsi="Century Gothic"/>
          <w:color w:val="4472C4" w:themeColor="accent1"/>
        </w:rPr>
        <w:t>:</w:t>
      </w:r>
    </w:p>
    <w:p w14:paraId="2BBB30CF" w14:textId="5236D94B" w:rsidR="003D4AAF" w:rsidRPr="00F01190" w:rsidRDefault="003D4AAF" w:rsidP="00F01190">
      <w:pPr>
        <w:ind w:left="283"/>
        <w:rPr>
          <w:rFonts w:ascii="Century Gothic" w:eastAsia="Times New Roman" w:hAnsi="Century Gothic" w:cs="Times New Roman"/>
          <w:color w:val="4472C4" w:themeColor="accent1"/>
          <w:lang w:val="wo-SN" w:eastAsia="wo-SN"/>
        </w:rPr>
      </w:pPr>
      <w:r w:rsidRPr="00F01190">
        <w:rPr>
          <w:rFonts w:ascii="Century Gothic" w:eastAsia="Times New Roman" w:hAnsi="Century Gothic" w:cs="Times New Roman"/>
          <w:color w:val="4472C4" w:themeColor="accent1"/>
          <w:lang w:val="wo-SN" w:eastAsia="wo-SN"/>
        </w:rPr>
        <w:t>Stratégie Nationale de Conservation de la Biodiversité (SNCB)</w:t>
      </w:r>
    </w:p>
    <w:p w14:paraId="474C3F87" w14:textId="07855B59" w:rsidR="003D4AAF" w:rsidRPr="00077956" w:rsidRDefault="003D4AAF" w:rsidP="00F01190">
      <w:pPr>
        <w:pStyle w:val="NormalWeb"/>
        <w:spacing w:before="0" w:beforeAutospacing="0" w:after="0" w:afterAutospacing="0"/>
        <w:ind w:left="256"/>
        <w:jc w:val="both"/>
        <w:rPr>
          <w:rFonts w:ascii="Century Gothic" w:hAnsi="Century Gothic"/>
          <w:sz w:val="22"/>
          <w:szCs w:val="22"/>
        </w:rPr>
      </w:pPr>
      <w:r w:rsidRPr="00077956">
        <w:rPr>
          <w:rFonts w:ascii="Century Gothic" w:hAnsi="Century Gothic"/>
          <w:sz w:val="22"/>
          <w:szCs w:val="22"/>
        </w:rPr>
        <w:t xml:space="preserve">La Stratégie Nationale de la Biodiversité, vise à préserver la diversité biologique du pays. Elle s'articule autour de plusieurs axes </w:t>
      </w:r>
      <w:r w:rsidR="000E26B7" w:rsidRPr="00077956">
        <w:rPr>
          <w:rFonts w:ascii="Century Gothic" w:hAnsi="Century Gothic"/>
          <w:sz w:val="22"/>
          <w:szCs w:val="22"/>
        </w:rPr>
        <w:t xml:space="preserve">parmi eux </w:t>
      </w:r>
      <w:r w:rsidRPr="00077956">
        <w:rPr>
          <w:rFonts w:ascii="Century Gothic" w:hAnsi="Century Gothic"/>
          <w:sz w:val="22"/>
          <w:szCs w:val="22"/>
        </w:rPr>
        <w:t>:</w:t>
      </w:r>
    </w:p>
    <w:p w14:paraId="532DFF13" w14:textId="587B31B0" w:rsidR="003D4AAF" w:rsidRPr="00077956" w:rsidRDefault="000E26B7" w:rsidP="005625B5">
      <w:pPr>
        <w:pStyle w:val="NormalWeb"/>
        <w:numPr>
          <w:ilvl w:val="3"/>
          <w:numId w:val="15"/>
        </w:numPr>
        <w:spacing w:before="0" w:beforeAutospacing="0" w:after="0" w:afterAutospacing="0"/>
        <w:ind w:left="616"/>
        <w:jc w:val="both"/>
        <w:rPr>
          <w:rFonts w:ascii="Century Gothic" w:hAnsi="Century Gothic"/>
          <w:sz w:val="22"/>
          <w:szCs w:val="22"/>
        </w:rPr>
      </w:pPr>
      <w:r w:rsidRPr="00077956">
        <w:rPr>
          <w:rFonts w:ascii="Century Gothic" w:hAnsi="Century Gothic"/>
          <w:sz w:val="22"/>
          <w:szCs w:val="22"/>
        </w:rPr>
        <w:t xml:space="preserve">La </w:t>
      </w:r>
      <w:r w:rsidR="003D4AAF" w:rsidRPr="00077956">
        <w:rPr>
          <w:rFonts w:ascii="Century Gothic" w:hAnsi="Century Gothic"/>
          <w:sz w:val="22"/>
          <w:szCs w:val="22"/>
        </w:rPr>
        <w:t>Conservation des Aires Protégées : Mise en place d'aires protégées pour assurer la conservation des écosystèmes et des espèces menacées.</w:t>
      </w:r>
    </w:p>
    <w:p w14:paraId="269F5E5C" w14:textId="77777777" w:rsidR="003D4AAF" w:rsidRPr="00077956" w:rsidRDefault="003D4AAF" w:rsidP="00F01190">
      <w:pPr>
        <w:pStyle w:val="NormalWeb"/>
        <w:spacing w:before="0" w:beforeAutospacing="0" w:after="0" w:afterAutospacing="0"/>
        <w:ind w:left="616"/>
        <w:jc w:val="both"/>
        <w:rPr>
          <w:rFonts w:ascii="Century Gothic" w:hAnsi="Century Gothic"/>
          <w:sz w:val="22"/>
          <w:szCs w:val="22"/>
        </w:rPr>
      </w:pPr>
    </w:p>
    <w:p w14:paraId="70F7A2A3" w14:textId="12C4CABE" w:rsidR="003D4AAF" w:rsidRPr="00077956" w:rsidRDefault="000E26B7" w:rsidP="005625B5">
      <w:pPr>
        <w:pStyle w:val="NormalWeb"/>
        <w:numPr>
          <w:ilvl w:val="3"/>
          <w:numId w:val="15"/>
        </w:numPr>
        <w:spacing w:before="0" w:beforeAutospacing="0" w:after="0" w:afterAutospacing="0"/>
        <w:ind w:left="616" w:right="-284"/>
        <w:jc w:val="both"/>
        <w:rPr>
          <w:rFonts w:ascii="Century Gothic" w:hAnsi="Century Gothic"/>
          <w:sz w:val="22"/>
          <w:szCs w:val="22"/>
        </w:rPr>
      </w:pPr>
      <w:r w:rsidRPr="00077956">
        <w:rPr>
          <w:rFonts w:ascii="Century Gothic" w:hAnsi="Century Gothic"/>
          <w:sz w:val="22"/>
          <w:szCs w:val="22"/>
        </w:rPr>
        <w:t>L’</w:t>
      </w:r>
      <w:r w:rsidR="003D4AAF" w:rsidRPr="00077956">
        <w:rPr>
          <w:rFonts w:ascii="Century Gothic" w:hAnsi="Century Gothic"/>
          <w:sz w:val="22"/>
          <w:szCs w:val="22"/>
        </w:rPr>
        <w:t>Intégration dans les Politiques Publiques : La stratégie encourage l'intégration de la biodiversité dans les politiques sectorielles et la planification économique</w:t>
      </w:r>
      <w:r w:rsidR="0042006B" w:rsidRPr="00077956">
        <w:rPr>
          <w:rStyle w:val="Appelnotedebasdep"/>
          <w:rFonts w:ascii="Century Gothic" w:hAnsi="Century Gothic"/>
          <w:sz w:val="22"/>
          <w:szCs w:val="22"/>
        </w:rPr>
        <w:footnoteReference w:id="34"/>
      </w:r>
      <w:r w:rsidR="0042006B" w:rsidRPr="00077956">
        <w:rPr>
          <w:rStyle w:val="Appelnotedebasdep"/>
          <w:rFonts w:ascii="Century Gothic" w:hAnsi="Century Gothic"/>
          <w:sz w:val="22"/>
          <w:szCs w:val="22"/>
        </w:rPr>
        <w:footnoteReference w:id="35"/>
      </w:r>
      <w:r w:rsidR="009B0256" w:rsidRPr="00077956">
        <w:rPr>
          <w:rFonts w:ascii="Century Gothic" w:hAnsi="Century Gothic"/>
          <w:sz w:val="22"/>
          <w:szCs w:val="22"/>
        </w:rPr>
        <w:t>.</w:t>
      </w:r>
    </w:p>
    <w:p w14:paraId="43304816" w14:textId="77777777" w:rsidR="000E26B7" w:rsidRPr="00077956" w:rsidRDefault="000E26B7" w:rsidP="000E26B7">
      <w:pPr>
        <w:pStyle w:val="NormalWeb"/>
        <w:spacing w:before="0" w:beforeAutospacing="0" w:after="0" w:afterAutospacing="0"/>
        <w:jc w:val="both"/>
        <w:rPr>
          <w:rFonts w:ascii="Century Gothic" w:hAnsi="Century Gothic"/>
          <w:sz w:val="22"/>
          <w:szCs w:val="22"/>
        </w:rPr>
      </w:pPr>
    </w:p>
    <w:p w14:paraId="419B7293" w14:textId="58B8C533" w:rsidR="0010168E" w:rsidRPr="00077956" w:rsidRDefault="000E26B7" w:rsidP="00F01190">
      <w:pPr>
        <w:pStyle w:val="NormalWeb"/>
        <w:spacing w:before="0" w:beforeAutospacing="0" w:after="0" w:afterAutospacing="0"/>
        <w:ind w:left="256"/>
        <w:jc w:val="both"/>
        <w:rPr>
          <w:rFonts w:ascii="Century Gothic" w:hAnsi="Century Gothic"/>
          <w:sz w:val="22"/>
          <w:szCs w:val="22"/>
        </w:rPr>
      </w:pPr>
      <w:r w:rsidRPr="00077956">
        <w:rPr>
          <w:rFonts w:ascii="Century Gothic" w:hAnsi="Century Gothic"/>
          <w:sz w:val="22"/>
          <w:szCs w:val="22"/>
        </w:rPr>
        <w:t>Elle</w:t>
      </w:r>
      <w:r w:rsidR="003D4AAF" w:rsidRPr="00077956">
        <w:rPr>
          <w:rFonts w:ascii="Century Gothic" w:hAnsi="Century Gothic"/>
          <w:sz w:val="22"/>
          <w:szCs w:val="22"/>
        </w:rPr>
        <w:t xml:space="preserve"> vise </w:t>
      </w:r>
      <w:r w:rsidR="00A355AC" w:rsidRPr="00077956">
        <w:rPr>
          <w:rFonts w:ascii="Century Gothic" w:hAnsi="Century Gothic"/>
          <w:sz w:val="22"/>
          <w:szCs w:val="22"/>
        </w:rPr>
        <w:t xml:space="preserve">ainsi </w:t>
      </w:r>
      <w:r w:rsidR="003D4AAF" w:rsidRPr="00077956">
        <w:rPr>
          <w:rFonts w:ascii="Century Gothic" w:hAnsi="Century Gothic"/>
          <w:sz w:val="22"/>
          <w:szCs w:val="22"/>
        </w:rPr>
        <w:t>à protéger et à conserver la biodiversité à travers une gestion durable des écosystèmes. Elle s’appuie sur les principes suivants :</w:t>
      </w:r>
    </w:p>
    <w:p w14:paraId="5766AA6B" w14:textId="2DD4AB40" w:rsidR="003D4AAF" w:rsidRPr="00077956" w:rsidRDefault="003D4AAF" w:rsidP="005625B5">
      <w:pPr>
        <w:pStyle w:val="NormalWeb"/>
        <w:numPr>
          <w:ilvl w:val="3"/>
          <w:numId w:val="15"/>
        </w:numPr>
        <w:spacing w:before="0" w:beforeAutospacing="0" w:after="0" w:afterAutospacing="0"/>
        <w:ind w:left="616"/>
        <w:jc w:val="both"/>
        <w:rPr>
          <w:rFonts w:ascii="Century Gothic" w:hAnsi="Century Gothic"/>
          <w:sz w:val="22"/>
          <w:szCs w:val="22"/>
        </w:rPr>
      </w:pPr>
      <w:r w:rsidRPr="00077956">
        <w:rPr>
          <w:rFonts w:ascii="Century Gothic" w:hAnsi="Century Gothic"/>
          <w:sz w:val="22"/>
          <w:szCs w:val="22"/>
        </w:rPr>
        <w:t>Préservation des habitats naturels : Protection des écosystèmes marins, littoraux et continentaux, y compris les Aires Protégées.</w:t>
      </w:r>
    </w:p>
    <w:p w14:paraId="18A4A829" w14:textId="5F40482E" w:rsidR="003D4AAF" w:rsidRPr="00077956" w:rsidRDefault="003D4AAF" w:rsidP="005625B5">
      <w:pPr>
        <w:pStyle w:val="NormalWeb"/>
        <w:numPr>
          <w:ilvl w:val="3"/>
          <w:numId w:val="15"/>
        </w:numPr>
        <w:spacing w:before="0" w:beforeAutospacing="0" w:after="0" w:afterAutospacing="0"/>
        <w:ind w:left="616"/>
        <w:jc w:val="both"/>
        <w:rPr>
          <w:rFonts w:ascii="Century Gothic" w:hAnsi="Century Gothic"/>
          <w:sz w:val="22"/>
          <w:szCs w:val="22"/>
        </w:rPr>
      </w:pPr>
      <w:r w:rsidRPr="00077956">
        <w:rPr>
          <w:rFonts w:ascii="Century Gothic" w:hAnsi="Century Gothic"/>
          <w:sz w:val="22"/>
          <w:szCs w:val="22"/>
        </w:rPr>
        <w:t>Renforcement des capacités nationales : Formation et sensibilisation des acteurs locaux sur l'importance de la biodiversité et les enjeux du changement climatique.</w:t>
      </w:r>
    </w:p>
    <w:p w14:paraId="7FD3E5D6" w14:textId="553759A7" w:rsidR="003D4AAF" w:rsidRPr="00077956" w:rsidRDefault="003D4AAF" w:rsidP="005625B5">
      <w:pPr>
        <w:pStyle w:val="NormalWeb"/>
        <w:numPr>
          <w:ilvl w:val="3"/>
          <w:numId w:val="15"/>
        </w:numPr>
        <w:spacing w:before="0" w:beforeAutospacing="0" w:after="0" w:afterAutospacing="0"/>
        <w:ind w:left="616"/>
        <w:jc w:val="both"/>
        <w:rPr>
          <w:rFonts w:ascii="Century Gothic" w:hAnsi="Century Gothic"/>
          <w:sz w:val="22"/>
          <w:szCs w:val="22"/>
        </w:rPr>
      </w:pPr>
      <w:r w:rsidRPr="00077956">
        <w:rPr>
          <w:rFonts w:ascii="Century Gothic" w:hAnsi="Century Gothic"/>
          <w:sz w:val="22"/>
          <w:szCs w:val="22"/>
        </w:rPr>
        <w:t>Gestion durable des ressources naturelles : Cette stratégie met l'accent sur l'intégration des préoccupations environnementales dans le développement économique, notamment pour les secteurs de la pêche, de l'agriculture et du tourisme.</w:t>
      </w:r>
    </w:p>
    <w:p w14:paraId="7F2544BD" w14:textId="77777777" w:rsidR="003D4AAF" w:rsidRPr="0010168E" w:rsidRDefault="003D4AAF" w:rsidP="003D4AAF">
      <w:pPr>
        <w:pStyle w:val="NormalWeb"/>
        <w:spacing w:before="0" w:beforeAutospacing="0" w:after="0" w:afterAutospacing="0"/>
        <w:jc w:val="both"/>
        <w:rPr>
          <w:rFonts w:ascii="Century Gothic" w:hAnsi="Century Gothic"/>
        </w:rPr>
      </w:pPr>
    </w:p>
    <w:p w14:paraId="12EC6FA2" w14:textId="43722B8A" w:rsidR="00DC41CD" w:rsidRPr="00F01190" w:rsidRDefault="003D4AAF" w:rsidP="00A355AC">
      <w:pPr>
        <w:rPr>
          <w:rFonts w:ascii="Century Gothic" w:eastAsia="Times New Roman" w:hAnsi="Century Gothic" w:cs="Times New Roman"/>
          <w:color w:val="4472C4" w:themeColor="accent1"/>
          <w:lang w:val="wo-SN" w:eastAsia="wo-SN"/>
        </w:rPr>
      </w:pPr>
      <w:r w:rsidRPr="00F01190">
        <w:rPr>
          <w:rFonts w:ascii="Century Gothic" w:eastAsia="Times New Roman" w:hAnsi="Century Gothic" w:cs="Times New Roman"/>
          <w:color w:val="4472C4" w:themeColor="accent1"/>
          <w:lang w:val="wo-SN" w:eastAsia="wo-SN"/>
        </w:rPr>
        <w:t>Stratégie Nationale de Gestion Intégrée des Zones Côtières (GIZC)</w:t>
      </w:r>
    </w:p>
    <w:p w14:paraId="2FAD9434" w14:textId="76B4D8C2" w:rsidR="003D4AAF" w:rsidRPr="00DB2F0F" w:rsidRDefault="003D4AAF" w:rsidP="00F01190">
      <w:pPr>
        <w:pStyle w:val="NormalWeb"/>
        <w:spacing w:before="0" w:beforeAutospacing="0" w:after="0" w:afterAutospacing="0"/>
        <w:ind w:left="256"/>
        <w:jc w:val="both"/>
        <w:rPr>
          <w:rFonts w:ascii="Century Gothic" w:hAnsi="Century Gothic"/>
          <w:sz w:val="22"/>
          <w:szCs w:val="22"/>
        </w:rPr>
      </w:pPr>
      <w:r w:rsidRPr="00DB2F0F">
        <w:rPr>
          <w:rFonts w:ascii="Century Gothic" w:hAnsi="Century Gothic"/>
          <w:sz w:val="22"/>
          <w:szCs w:val="22"/>
        </w:rPr>
        <w:t>Cette stratégie vise à gérer de manière intégrée les zones côtières, tout en prenant en compte les impacts du changement climatique sur ces zones fragiles. Elle comporte les éléments suivants :</w:t>
      </w:r>
    </w:p>
    <w:p w14:paraId="311B68F5" w14:textId="77777777" w:rsidR="003D4AAF" w:rsidRPr="00DB2F0F" w:rsidRDefault="003D4AAF" w:rsidP="003D4AAF">
      <w:pPr>
        <w:pStyle w:val="NormalWeb"/>
        <w:spacing w:before="0" w:beforeAutospacing="0" w:after="0" w:afterAutospacing="0"/>
        <w:jc w:val="both"/>
        <w:rPr>
          <w:rFonts w:ascii="Century Gothic" w:hAnsi="Century Gothic"/>
          <w:sz w:val="22"/>
          <w:szCs w:val="22"/>
        </w:rPr>
      </w:pPr>
    </w:p>
    <w:p w14:paraId="03963F39" w14:textId="513A0C42" w:rsidR="003D4AAF" w:rsidRPr="00DB2F0F" w:rsidRDefault="003D4AAF" w:rsidP="005625B5">
      <w:pPr>
        <w:pStyle w:val="NormalWeb"/>
        <w:numPr>
          <w:ilvl w:val="3"/>
          <w:numId w:val="15"/>
        </w:numPr>
        <w:spacing w:before="0" w:beforeAutospacing="0" w:after="0" w:afterAutospacing="0"/>
        <w:ind w:left="616"/>
        <w:jc w:val="both"/>
        <w:rPr>
          <w:rFonts w:ascii="Century Gothic" w:hAnsi="Century Gothic"/>
          <w:sz w:val="22"/>
          <w:szCs w:val="22"/>
        </w:rPr>
      </w:pPr>
      <w:r w:rsidRPr="00DB2F0F">
        <w:rPr>
          <w:rFonts w:ascii="Century Gothic" w:hAnsi="Century Gothic"/>
          <w:sz w:val="22"/>
          <w:szCs w:val="22"/>
        </w:rPr>
        <w:t>Protection des écosystèmes littoraux : Les mangroves, les lagunes, et les estuaires sont des zones-clés pour la résilience face à l'élévation du niveau de la mer et aux événements climatiques extrêmes.</w:t>
      </w:r>
    </w:p>
    <w:p w14:paraId="3604145F" w14:textId="77777777" w:rsidR="003D4AAF" w:rsidRPr="00DB2F0F" w:rsidRDefault="003D4AAF" w:rsidP="00F01190">
      <w:pPr>
        <w:pStyle w:val="NormalWeb"/>
        <w:spacing w:before="0" w:beforeAutospacing="0" w:after="0" w:afterAutospacing="0"/>
        <w:ind w:left="616"/>
        <w:jc w:val="both"/>
        <w:rPr>
          <w:rFonts w:ascii="Century Gothic" w:hAnsi="Century Gothic"/>
          <w:sz w:val="22"/>
          <w:szCs w:val="22"/>
        </w:rPr>
      </w:pPr>
    </w:p>
    <w:p w14:paraId="558E4FDC" w14:textId="27258D7E" w:rsidR="003D4AAF" w:rsidRPr="00DB2F0F" w:rsidRDefault="003D4AAF" w:rsidP="005625B5">
      <w:pPr>
        <w:pStyle w:val="NormalWeb"/>
        <w:numPr>
          <w:ilvl w:val="3"/>
          <w:numId w:val="15"/>
        </w:numPr>
        <w:spacing w:before="0" w:beforeAutospacing="0" w:after="0" w:afterAutospacing="0"/>
        <w:ind w:left="616"/>
        <w:jc w:val="both"/>
        <w:rPr>
          <w:rFonts w:ascii="Century Gothic" w:hAnsi="Century Gothic"/>
          <w:sz w:val="22"/>
          <w:szCs w:val="22"/>
        </w:rPr>
      </w:pPr>
      <w:r w:rsidRPr="00DB2F0F">
        <w:rPr>
          <w:rFonts w:ascii="Century Gothic" w:hAnsi="Century Gothic"/>
          <w:sz w:val="22"/>
          <w:szCs w:val="22"/>
        </w:rPr>
        <w:t>Lutte contre l’érosion côtière : Mise en place de projets pour réduire l'érosion et restaurer les habitats littoraux.</w:t>
      </w:r>
    </w:p>
    <w:p w14:paraId="4F9A9279" w14:textId="77777777" w:rsidR="003D4AAF" w:rsidRPr="00DB2F0F" w:rsidRDefault="003D4AAF" w:rsidP="00F01190">
      <w:pPr>
        <w:pStyle w:val="NormalWeb"/>
        <w:spacing w:before="0" w:beforeAutospacing="0" w:after="0" w:afterAutospacing="0"/>
        <w:ind w:left="616"/>
        <w:jc w:val="both"/>
        <w:rPr>
          <w:rFonts w:ascii="Century Gothic" w:hAnsi="Century Gothic"/>
          <w:sz w:val="22"/>
          <w:szCs w:val="22"/>
        </w:rPr>
      </w:pPr>
    </w:p>
    <w:p w14:paraId="77F206D8" w14:textId="2FCF2130" w:rsidR="003D4AAF" w:rsidRPr="00DB2F0F" w:rsidRDefault="003D4AAF" w:rsidP="005625B5">
      <w:pPr>
        <w:pStyle w:val="NormalWeb"/>
        <w:numPr>
          <w:ilvl w:val="3"/>
          <w:numId w:val="15"/>
        </w:numPr>
        <w:spacing w:before="0" w:beforeAutospacing="0" w:after="0" w:afterAutospacing="0"/>
        <w:ind w:left="616"/>
        <w:jc w:val="both"/>
        <w:rPr>
          <w:rFonts w:ascii="Century Gothic" w:hAnsi="Century Gothic"/>
          <w:sz w:val="22"/>
          <w:szCs w:val="22"/>
        </w:rPr>
      </w:pPr>
      <w:r w:rsidRPr="00DB2F0F">
        <w:rPr>
          <w:rFonts w:ascii="Century Gothic" w:hAnsi="Century Gothic"/>
          <w:sz w:val="22"/>
          <w:szCs w:val="22"/>
        </w:rPr>
        <w:t>Planification spatiale : Cette approche vise à définir des zones adaptées pour la conservation, la gestion des ressources naturelles et les activités humaines.</w:t>
      </w:r>
    </w:p>
    <w:p w14:paraId="1AFD72F9" w14:textId="77777777" w:rsidR="003D4AAF" w:rsidRPr="0010168E" w:rsidRDefault="003D4AAF" w:rsidP="003D4AAF">
      <w:pPr>
        <w:pStyle w:val="NormalWeb"/>
        <w:spacing w:before="0" w:beforeAutospacing="0" w:after="0" w:afterAutospacing="0"/>
        <w:jc w:val="both"/>
        <w:rPr>
          <w:rFonts w:ascii="Century Gothic" w:hAnsi="Century Gothic"/>
        </w:rPr>
      </w:pPr>
    </w:p>
    <w:p w14:paraId="352663DC" w14:textId="0DFD2A32" w:rsidR="0010168E" w:rsidRPr="00F01190" w:rsidRDefault="003D4AAF" w:rsidP="00A355AC">
      <w:pPr>
        <w:rPr>
          <w:rFonts w:ascii="Century Gothic" w:eastAsia="Times New Roman" w:hAnsi="Century Gothic" w:cs="Times New Roman"/>
          <w:color w:val="4472C4" w:themeColor="accent1"/>
          <w:lang w:val="wo-SN" w:eastAsia="wo-SN"/>
        </w:rPr>
      </w:pPr>
      <w:r w:rsidRPr="00F01190">
        <w:rPr>
          <w:rFonts w:ascii="Century Gothic" w:eastAsia="Times New Roman" w:hAnsi="Century Gothic" w:cs="Times New Roman"/>
          <w:color w:val="4472C4" w:themeColor="accent1"/>
          <w:lang w:val="wo-SN" w:eastAsia="wo-SN"/>
        </w:rPr>
        <w:t>Plan National d’Adaptation au Changement Climatique (PNA)</w:t>
      </w:r>
    </w:p>
    <w:p w14:paraId="098BE56A" w14:textId="2B435CC4" w:rsidR="003D4AAF" w:rsidRDefault="003D4AAF" w:rsidP="00F01190">
      <w:pPr>
        <w:pStyle w:val="NormalWeb"/>
        <w:spacing w:before="0" w:beforeAutospacing="0" w:after="0" w:afterAutospacing="0"/>
        <w:ind w:left="256"/>
        <w:jc w:val="both"/>
        <w:rPr>
          <w:rFonts w:ascii="Century Gothic" w:hAnsi="Century Gothic"/>
          <w:sz w:val="22"/>
          <w:szCs w:val="22"/>
        </w:rPr>
      </w:pPr>
      <w:r w:rsidRPr="00DB2F0F">
        <w:rPr>
          <w:rFonts w:ascii="Century Gothic" w:hAnsi="Century Gothic"/>
          <w:sz w:val="22"/>
          <w:szCs w:val="22"/>
        </w:rPr>
        <w:t>Le PNA de la Mauritanie, élaboré dans le cadre de la Convention-Cadre des Nations Unies sur les Changements Climatiques (CCNUCC), met l’accent sur l’adaptation aux impacts du changement climatique, notamment pour les écosystèmes vulnérables comme ceux des zones côtières et marines. Les axes principaux incluent :</w:t>
      </w:r>
    </w:p>
    <w:p w14:paraId="524AA2F2" w14:textId="77777777" w:rsidR="009B632D" w:rsidRPr="00DB2F0F" w:rsidRDefault="009B632D" w:rsidP="00F01190">
      <w:pPr>
        <w:pStyle w:val="NormalWeb"/>
        <w:spacing w:before="0" w:beforeAutospacing="0" w:after="0" w:afterAutospacing="0"/>
        <w:ind w:left="256"/>
        <w:jc w:val="both"/>
        <w:rPr>
          <w:rFonts w:ascii="Century Gothic" w:hAnsi="Century Gothic"/>
          <w:sz w:val="22"/>
          <w:szCs w:val="22"/>
        </w:rPr>
      </w:pPr>
    </w:p>
    <w:p w14:paraId="56ECCB8E" w14:textId="742D0A36" w:rsidR="003D4AAF" w:rsidRPr="00DB2F0F" w:rsidRDefault="003D4AAF" w:rsidP="005625B5">
      <w:pPr>
        <w:pStyle w:val="NormalWeb"/>
        <w:numPr>
          <w:ilvl w:val="3"/>
          <w:numId w:val="15"/>
        </w:numPr>
        <w:spacing w:before="0" w:beforeAutospacing="0" w:after="0" w:afterAutospacing="0"/>
        <w:ind w:left="616"/>
        <w:jc w:val="both"/>
        <w:rPr>
          <w:rFonts w:ascii="Century Gothic" w:hAnsi="Century Gothic"/>
          <w:sz w:val="22"/>
          <w:szCs w:val="22"/>
        </w:rPr>
      </w:pPr>
      <w:r w:rsidRPr="00DB2F0F">
        <w:rPr>
          <w:rFonts w:ascii="Century Gothic" w:hAnsi="Century Gothic"/>
          <w:sz w:val="22"/>
          <w:szCs w:val="22"/>
        </w:rPr>
        <w:t>Réduction de la vulnérabilité des écosystèmes marins et côtiers : Renforcer les mécanismes d’adaptation pour les communautés et les écosystèmes vulnérables, y compris les Aires Protégées marines et littorales.</w:t>
      </w:r>
    </w:p>
    <w:p w14:paraId="5549DB54" w14:textId="77777777" w:rsidR="003D4AAF" w:rsidRPr="00DB2F0F" w:rsidRDefault="003D4AAF" w:rsidP="00F01190">
      <w:pPr>
        <w:pStyle w:val="NormalWeb"/>
        <w:spacing w:before="0" w:beforeAutospacing="0" w:after="0" w:afterAutospacing="0"/>
        <w:ind w:left="616"/>
        <w:jc w:val="both"/>
        <w:rPr>
          <w:rFonts w:ascii="Century Gothic" w:hAnsi="Century Gothic"/>
          <w:sz w:val="22"/>
          <w:szCs w:val="22"/>
        </w:rPr>
      </w:pPr>
    </w:p>
    <w:p w14:paraId="0D701011" w14:textId="6117B64E" w:rsidR="003D4AAF" w:rsidRPr="00DB2F0F" w:rsidRDefault="003D4AAF" w:rsidP="005625B5">
      <w:pPr>
        <w:pStyle w:val="NormalWeb"/>
        <w:numPr>
          <w:ilvl w:val="3"/>
          <w:numId w:val="15"/>
        </w:numPr>
        <w:spacing w:before="0" w:beforeAutospacing="0" w:after="0" w:afterAutospacing="0"/>
        <w:ind w:left="616"/>
        <w:jc w:val="both"/>
        <w:rPr>
          <w:rFonts w:ascii="Century Gothic" w:hAnsi="Century Gothic"/>
          <w:sz w:val="22"/>
          <w:szCs w:val="22"/>
        </w:rPr>
      </w:pPr>
      <w:r w:rsidRPr="00DB2F0F">
        <w:rPr>
          <w:rFonts w:ascii="Century Gothic" w:hAnsi="Century Gothic"/>
          <w:sz w:val="22"/>
          <w:szCs w:val="22"/>
        </w:rPr>
        <w:t>Protection de la biodiversité et des ressources naturelles : Protéger les zones de reproduction des espèces marines et renforcer la gestion des aires marines protégées.</w:t>
      </w:r>
    </w:p>
    <w:p w14:paraId="1F251AE5" w14:textId="77777777" w:rsidR="003D4AAF" w:rsidRPr="00DB2F0F" w:rsidRDefault="003D4AAF" w:rsidP="00F01190">
      <w:pPr>
        <w:pStyle w:val="NormalWeb"/>
        <w:spacing w:before="0" w:beforeAutospacing="0" w:after="0" w:afterAutospacing="0"/>
        <w:ind w:left="616"/>
        <w:jc w:val="both"/>
        <w:rPr>
          <w:rFonts w:ascii="Century Gothic" w:hAnsi="Century Gothic"/>
          <w:sz w:val="22"/>
          <w:szCs w:val="22"/>
        </w:rPr>
      </w:pPr>
    </w:p>
    <w:p w14:paraId="6D8577F0" w14:textId="7784D3C4" w:rsidR="003D4AAF" w:rsidRPr="00DB2F0F" w:rsidRDefault="003D4AAF" w:rsidP="005625B5">
      <w:pPr>
        <w:pStyle w:val="NormalWeb"/>
        <w:numPr>
          <w:ilvl w:val="3"/>
          <w:numId w:val="15"/>
        </w:numPr>
        <w:spacing w:before="0" w:beforeAutospacing="0" w:after="0" w:afterAutospacing="0"/>
        <w:ind w:left="616"/>
        <w:jc w:val="both"/>
        <w:rPr>
          <w:rFonts w:ascii="Century Gothic" w:hAnsi="Century Gothic"/>
          <w:sz w:val="22"/>
          <w:szCs w:val="22"/>
        </w:rPr>
      </w:pPr>
      <w:r w:rsidRPr="00DB2F0F">
        <w:rPr>
          <w:rFonts w:ascii="Century Gothic" w:hAnsi="Century Gothic"/>
          <w:sz w:val="22"/>
          <w:szCs w:val="22"/>
        </w:rPr>
        <w:t>Restauration et gestion durable des mangroves : Lutter contre la salinisation, protéger les zones de mangroves et promouvoir leur rôle dans l'atténuation des impacts climatiques (comme l’absorption de CO2 et la protection des côtes contre l’érosion).</w:t>
      </w:r>
    </w:p>
    <w:p w14:paraId="34572D98" w14:textId="77777777" w:rsidR="003D4AAF" w:rsidRPr="0010168E" w:rsidRDefault="003D4AAF" w:rsidP="003D4AAF">
      <w:pPr>
        <w:pStyle w:val="NormalWeb"/>
        <w:spacing w:before="0" w:beforeAutospacing="0" w:after="0" w:afterAutospacing="0"/>
        <w:jc w:val="both"/>
        <w:rPr>
          <w:rFonts w:ascii="Century Gothic" w:hAnsi="Century Gothic"/>
        </w:rPr>
      </w:pPr>
    </w:p>
    <w:p w14:paraId="12DCB8AD" w14:textId="2DF8C4AD" w:rsidR="00DC41CD" w:rsidRPr="00F01190" w:rsidRDefault="003D4AAF" w:rsidP="00A355AC">
      <w:pPr>
        <w:rPr>
          <w:rFonts w:ascii="Century Gothic" w:eastAsia="Times New Roman" w:hAnsi="Century Gothic" w:cs="Times New Roman"/>
          <w:color w:val="4472C4" w:themeColor="accent1"/>
          <w:lang w:val="wo-SN" w:eastAsia="wo-SN"/>
        </w:rPr>
      </w:pPr>
      <w:r w:rsidRPr="00F01190">
        <w:rPr>
          <w:rFonts w:ascii="Century Gothic" w:eastAsia="Times New Roman" w:hAnsi="Century Gothic" w:cs="Times New Roman"/>
          <w:color w:val="4472C4" w:themeColor="accent1"/>
          <w:lang w:val="wo-SN" w:eastAsia="wo-SN"/>
        </w:rPr>
        <w:t>Stratégie Nationale de Développement Durable (SNDD)</w:t>
      </w:r>
    </w:p>
    <w:p w14:paraId="5125B49D" w14:textId="229AF148" w:rsidR="00455495" w:rsidRPr="00DB2F0F" w:rsidRDefault="003D4AAF" w:rsidP="00DC41CD">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La SNDD de la Mauritanie encourage un développement économique et social respectueux de l'environnement. Elle se base sur l’intégration des problématiques de biodiversité dans les politiques sectorielles et soutient l’adoption de pratiques durables dans l’agriculture, la pêche, et l’exploitation des ressources naturelles.</w:t>
      </w:r>
    </w:p>
    <w:p w14:paraId="7D147228" w14:textId="77777777" w:rsidR="00455495" w:rsidRPr="00541183" w:rsidRDefault="00455495" w:rsidP="00DF1579">
      <w:pPr>
        <w:pStyle w:val="NormalWeb"/>
        <w:spacing w:before="0" w:beforeAutospacing="0" w:after="0" w:afterAutospacing="0"/>
        <w:jc w:val="both"/>
        <w:rPr>
          <w:rFonts w:ascii="Century Gothic" w:hAnsi="Century Gothic"/>
        </w:rPr>
      </w:pPr>
    </w:p>
    <w:p w14:paraId="74785420" w14:textId="5C126650" w:rsidR="00CA450E" w:rsidRPr="00F01190" w:rsidRDefault="00455495" w:rsidP="0010168E">
      <w:pPr>
        <w:rPr>
          <w:rFonts w:ascii="Century Gothic" w:eastAsia="Times New Roman" w:hAnsi="Century Gothic" w:cs="Times New Roman"/>
          <w:color w:val="4472C4" w:themeColor="accent1"/>
          <w:lang w:val="wo-SN" w:eastAsia="wo-SN"/>
        </w:rPr>
      </w:pPr>
      <w:r w:rsidRPr="00F01190">
        <w:rPr>
          <w:rFonts w:ascii="Century Gothic" w:eastAsia="Times New Roman" w:hAnsi="Century Gothic" w:cs="Times New Roman"/>
          <w:color w:val="4472C4" w:themeColor="accent1"/>
          <w:lang w:val="wo-SN" w:eastAsia="wo-SN"/>
        </w:rPr>
        <w:t>Plan d'Action National pour l'Environnement (PANE)</w:t>
      </w:r>
    </w:p>
    <w:p w14:paraId="736B0300" w14:textId="4B42F10F" w:rsidR="00455495" w:rsidRPr="00DB2F0F" w:rsidRDefault="00455495" w:rsidP="00DF1579">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Le PANE fournit un cadre cohérent pour la gestion environnementale, incluant des mesures spécifiques pour la biodiversité. Ce plan s'inscrit dans une dynamique plus large de lutte contre la dégradation environnementale et les effets du changement climatique, en promouvant une gouvernance durable</w:t>
      </w:r>
      <w:r w:rsidR="0042006B" w:rsidRPr="00DB2F0F">
        <w:rPr>
          <w:rStyle w:val="Appelnotedebasdep"/>
          <w:rFonts w:ascii="Century Gothic" w:hAnsi="Century Gothic"/>
          <w:sz w:val="22"/>
          <w:szCs w:val="22"/>
        </w:rPr>
        <w:footnoteReference w:id="36"/>
      </w:r>
      <w:r w:rsidR="003333DB">
        <w:rPr>
          <w:rFonts w:ascii="Century Gothic" w:hAnsi="Century Gothic"/>
          <w:sz w:val="22"/>
          <w:szCs w:val="22"/>
        </w:rPr>
        <w:t xml:space="preserve"> </w:t>
      </w:r>
      <w:r w:rsidR="0042006B" w:rsidRPr="00DB2F0F">
        <w:rPr>
          <w:rStyle w:val="Appelnotedebasdep"/>
          <w:rFonts w:ascii="Century Gothic" w:hAnsi="Century Gothic"/>
          <w:sz w:val="22"/>
          <w:szCs w:val="22"/>
        </w:rPr>
        <w:footnoteReference w:id="37"/>
      </w:r>
      <w:r w:rsidR="009B0256" w:rsidRPr="00DB2F0F">
        <w:rPr>
          <w:rFonts w:ascii="Century Gothic" w:hAnsi="Century Gothic"/>
          <w:sz w:val="22"/>
          <w:szCs w:val="22"/>
        </w:rPr>
        <w:t>.</w:t>
      </w:r>
    </w:p>
    <w:p w14:paraId="6B5F0C8F" w14:textId="77777777" w:rsidR="00455495" w:rsidRPr="00541183" w:rsidRDefault="00455495" w:rsidP="00DF1579">
      <w:pPr>
        <w:pStyle w:val="NormalWeb"/>
        <w:spacing w:before="0" w:beforeAutospacing="0" w:after="0" w:afterAutospacing="0"/>
        <w:jc w:val="both"/>
        <w:rPr>
          <w:rFonts w:ascii="Century Gothic" w:hAnsi="Century Gothic"/>
        </w:rPr>
      </w:pPr>
    </w:p>
    <w:p w14:paraId="07E2B761" w14:textId="05056E34" w:rsidR="00CA450E" w:rsidRPr="00F01190" w:rsidRDefault="00455495" w:rsidP="0010168E">
      <w:pPr>
        <w:rPr>
          <w:rFonts w:ascii="Century Gothic" w:eastAsia="Times New Roman" w:hAnsi="Century Gothic" w:cs="Times New Roman"/>
          <w:color w:val="4472C4" w:themeColor="accent1"/>
          <w:lang w:val="wo-SN" w:eastAsia="wo-SN"/>
        </w:rPr>
      </w:pPr>
      <w:r w:rsidRPr="00F01190">
        <w:rPr>
          <w:rFonts w:ascii="Century Gothic" w:eastAsia="Times New Roman" w:hAnsi="Century Gothic" w:cs="Times New Roman"/>
          <w:color w:val="4472C4" w:themeColor="accent1"/>
          <w:lang w:val="wo-SN" w:eastAsia="wo-SN"/>
        </w:rPr>
        <w:t>Stratégie Nationale de Conservation des Zones Humides</w:t>
      </w:r>
    </w:p>
    <w:p w14:paraId="62FA1C95" w14:textId="6ED3A453" w:rsidR="00455495" w:rsidRPr="00DB2F0F" w:rsidRDefault="00455495" w:rsidP="00DF1579">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Cette stratégie cible spécifiquement les zones humides, qui sont cruciales pour la biodiversité marine et côtière. Elle vise à :</w:t>
      </w:r>
    </w:p>
    <w:p w14:paraId="4853F49F" w14:textId="77777777" w:rsidR="009B0256" w:rsidRPr="00DB2F0F" w:rsidRDefault="009B0256" w:rsidP="00DF1579">
      <w:pPr>
        <w:pStyle w:val="NormalWeb"/>
        <w:spacing w:before="0" w:beforeAutospacing="0" w:after="0" w:afterAutospacing="0"/>
        <w:jc w:val="both"/>
        <w:rPr>
          <w:rFonts w:ascii="Century Gothic" w:hAnsi="Century Gothic"/>
          <w:sz w:val="22"/>
          <w:szCs w:val="22"/>
        </w:rPr>
      </w:pPr>
    </w:p>
    <w:p w14:paraId="4233717D" w14:textId="4A95A16D" w:rsidR="009B0256" w:rsidRPr="00DB2F0F" w:rsidRDefault="00455495" w:rsidP="005625B5">
      <w:pPr>
        <w:pStyle w:val="NormalWeb"/>
        <w:numPr>
          <w:ilvl w:val="3"/>
          <w:numId w:val="15"/>
        </w:numPr>
        <w:spacing w:before="0" w:beforeAutospacing="0" w:after="0" w:afterAutospacing="0"/>
        <w:ind w:left="616"/>
        <w:jc w:val="both"/>
        <w:rPr>
          <w:rFonts w:ascii="Century Gothic" w:hAnsi="Century Gothic"/>
          <w:sz w:val="22"/>
          <w:szCs w:val="22"/>
        </w:rPr>
      </w:pPr>
      <w:r w:rsidRPr="00DB2F0F">
        <w:rPr>
          <w:rFonts w:ascii="Century Gothic" w:hAnsi="Century Gothic"/>
          <w:sz w:val="22"/>
          <w:szCs w:val="22"/>
        </w:rPr>
        <w:t>Conserver les écosystèmes fragiles tout en améliorant les conditions de vie des populations locales.</w:t>
      </w:r>
    </w:p>
    <w:p w14:paraId="4CF4EB59" w14:textId="4DF1FDEC" w:rsidR="009B632D" w:rsidRDefault="00455495" w:rsidP="005625B5">
      <w:pPr>
        <w:pStyle w:val="NormalWeb"/>
        <w:numPr>
          <w:ilvl w:val="3"/>
          <w:numId w:val="15"/>
        </w:numPr>
        <w:spacing w:before="0" w:beforeAutospacing="0" w:after="0" w:afterAutospacing="0"/>
        <w:ind w:left="616"/>
        <w:jc w:val="both"/>
        <w:rPr>
          <w:rFonts w:ascii="Century Gothic" w:hAnsi="Century Gothic"/>
          <w:sz w:val="22"/>
          <w:szCs w:val="22"/>
        </w:rPr>
      </w:pPr>
      <w:r w:rsidRPr="00DB2F0F">
        <w:rPr>
          <w:rFonts w:ascii="Century Gothic" w:hAnsi="Century Gothic"/>
          <w:sz w:val="22"/>
          <w:szCs w:val="22"/>
        </w:rPr>
        <w:t>Promouvoir une exploitation durable des ressources naturelles présentes dans ces zones</w:t>
      </w:r>
      <w:r w:rsidR="0042006B" w:rsidRPr="003333DB">
        <w:rPr>
          <w:vertAlign w:val="superscript"/>
        </w:rPr>
        <w:footnoteReference w:id="38"/>
      </w:r>
      <w:r w:rsidR="009B0256" w:rsidRPr="00DB2F0F">
        <w:rPr>
          <w:rFonts w:ascii="Century Gothic" w:hAnsi="Century Gothic"/>
          <w:sz w:val="22"/>
          <w:szCs w:val="22"/>
        </w:rPr>
        <w:t>.</w:t>
      </w:r>
    </w:p>
    <w:p w14:paraId="57A719D4" w14:textId="77777777" w:rsidR="003F7F84" w:rsidRPr="003F7F84" w:rsidRDefault="003F7F84" w:rsidP="003F7F84">
      <w:pPr>
        <w:pStyle w:val="NormalWeb"/>
        <w:spacing w:before="0" w:beforeAutospacing="0" w:after="0" w:afterAutospacing="0"/>
        <w:ind w:left="616"/>
        <w:jc w:val="both"/>
        <w:rPr>
          <w:rFonts w:ascii="Century Gothic" w:hAnsi="Century Gothic"/>
          <w:sz w:val="22"/>
          <w:szCs w:val="22"/>
        </w:rPr>
      </w:pPr>
    </w:p>
    <w:p w14:paraId="7000F558" w14:textId="1E8BDFA8" w:rsidR="00DC41CD" w:rsidRPr="00516ECA" w:rsidRDefault="001F33E0" w:rsidP="00CB5118">
      <w:pPr>
        <w:rPr>
          <w:rFonts w:ascii="Century Gothic" w:eastAsia="Times New Roman" w:hAnsi="Century Gothic" w:cs="Times New Roman"/>
          <w:color w:val="4472C4" w:themeColor="accent1"/>
          <w:sz w:val="24"/>
          <w:szCs w:val="24"/>
          <w:lang w:val="wo-SN" w:eastAsia="wo-SN"/>
        </w:rPr>
      </w:pPr>
      <w:r w:rsidRPr="00516ECA">
        <w:rPr>
          <w:rFonts w:ascii="Century Gothic" w:eastAsia="Times New Roman" w:hAnsi="Century Gothic" w:cs="Times New Roman"/>
          <w:color w:val="4472C4" w:themeColor="accent1"/>
          <w:sz w:val="24"/>
          <w:szCs w:val="24"/>
          <w:lang w:val="wo-SN" w:eastAsia="wo-SN"/>
        </w:rPr>
        <w:t>6</w:t>
      </w:r>
      <w:r w:rsidR="00341D28" w:rsidRPr="00516ECA">
        <w:rPr>
          <w:rFonts w:ascii="Century Gothic" w:eastAsia="Times New Roman" w:hAnsi="Century Gothic" w:cs="Times New Roman"/>
          <w:color w:val="4472C4" w:themeColor="accent1"/>
          <w:sz w:val="24"/>
          <w:szCs w:val="24"/>
          <w:lang w:val="wo-SN" w:eastAsia="wo-SN"/>
        </w:rPr>
        <w:t>.</w:t>
      </w:r>
      <w:r w:rsidR="00826FE9" w:rsidRPr="00516ECA">
        <w:rPr>
          <w:rFonts w:ascii="Century Gothic" w:eastAsia="Times New Roman" w:hAnsi="Century Gothic" w:cs="Times New Roman"/>
          <w:color w:val="4472C4" w:themeColor="accent1"/>
          <w:sz w:val="24"/>
          <w:szCs w:val="24"/>
          <w:lang w:val="wo-SN" w:eastAsia="wo-SN"/>
        </w:rPr>
        <w:t>1.1</w:t>
      </w:r>
      <w:r w:rsidR="00341D28" w:rsidRPr="00516ECA">
        <w:rPr>
          <w:rFonts w:ascii="Century Gothic" w:eastAsia="Times New Roman" w:hAnsi="Century Gothic" w:cs="Times New Roman"/>
          <w:color w:val="4472C4" w:themeColor="accent1"/>
          <w:sz w:val="24"/>
          <w:szCs w:val="24"/>
          <w:lang w:val="wo-SN" w:eastAsia="wo-SN"/>
        </w:rPr>
        <w:t xml:space="preserve"> </w:t>
      </w:r>
      <w:r w:rsidR="00DC41CD" w:rsidRPr="00516ECA">
        <w:rPr>
          <w:rFonts w:ascii="Century Gothic" w:eastAsia="Times New Roman" w:hAnsi="Century Gothic" w:cs="Times New Roman"/>
          <w:color w:val="4472C4" w:themeColor="accent1"/>
          <w:sz w:val="24"/>
          <w:szCs w:val="24"/>
          <w:lang w:val="wo-SN" w:eastAsia="wo-SN"/>
        </w:rPr>
        <w:t>Engagements Internationaux</w:t>
      </w:r>
    </w:p>
    <w:p w14:paraId="20254CBE" w14:textId="085E1047" w:rsidR="00DC41CD" w:rsidRPr="00FA36EC" w:rsidRDefault="00DC41CD" w:rsidP="00A355AC">
      <w:pPr>
        <w:rPr>
          <w:rFonts w:ascii="Century Gothic" w:eastAsia="Times New Roman" w:hAnsi="Century Gothic" w:cs="Times New Roman"/>
          <w:b/>
          <w:bCs/>
          <w:color w:val="4472C4" w:themeColor="accent1"/>
          <w:lang w:val="wo-SN" w:eastAsia="wo-SN"/>
        </w:rPr>
      </w:pPr>
      <w:r w:rsidRPr="00FA36EC">
        <w:rPr>
          <w:rFonts w:ascii="Century Gothic" w:eastAsia="Times New Roman" w:hAnsi="Century Gothic" w:cs="Times New Roman"/>
          <w:b/>
          <w:bCs/>
          <w:color w:val="4472C4" w:themeColor="accent1"/>
          <w:lang w:val="wo-SN" w:eastAsia="wo-SN"/>
        </w:rPr>
        <w:t>A. Accords et Conventions Internationaux</w:t>
      </w:r>
    </w:p>
    <w:p w14:paraId="43EE5E0C" w14:textId="05436918" w:rsidR="00DC41CD" w:rsidRPr="00DB2F0F" w:rsidRDefault="00DC41CD" w:rsidP="005625B5">
      <w:pPr>
        <w:pStyle w:val="NormalWeb"/>
        <w:numPr>
          <w:ilvl w:val="3"/>
          <w:numId w:val="16"/>
        </w:numPr>
        <w:spacing w:before="0" w:beforeAutospacing="0" w:after="0" w:afterAutospacing="0"/>
        <w:ind w:left="630"/>
        <w:jc w:val="both"/>
        <w:rPr>
          <w:rFonts w:ascii="Century Gothic" w:hAnsi="Century Gothic"/>
          <w:sz w:val="22"/>
          <w:szCs w:val="22"/>
        </w:rPr>
      </w:pPr>
      <w:r w:rsidRPr="00DB2F0F">
        <w:rPr>
          <w:rFonts w:ascii="Century Gothic" w:hAnsi="Century Gothic"/>
          <w:b/>
          <w:bCs/>
          <w:sz w:val="22"/>
          <w:szCs w:val="22"/>
        </w:rPr>
        <w:t>Convention sur la Diversité Biologique (CDB)</w:t>
      </w:r>
      <w:r w:rsidRPr="00DB2F0F">
        <w:rPr>
          <w:rFonts w:ascii="Century Gothic" w:hAnsi="Century Gothic"/>
          <w:sz w:val="22"/>
          <w:szCs w:val="22"/>
        </w:rPr>
        <w:t xml:space="preserve"> : La Mauritanie est signataire de la CDB, qui vise à assurer la conservation de la biodiversité, l’utilisation durable de ses composants et le partage équitable des bénéfices. Le pays a intégré ces objectifs dans ses politiques de conservation et dans ses rapports nationaux.</w:t>
      </w:r>
    </w:p>
    <w:p w14:paraId="2A9AC59B" w14:textId="77777777" w:rsidR="00DC41CD" w:rsidRPr="00DB2F0F" w:rsidRDefault="00DC41CD" w:rsidP="00F01190">
      <w:pPr>
        <w:pStyle w:val="NormalWeb"/>
        <w:spacing w:before="0" w:beforeAutospacing="0" w:after="0" w:afterAutospacing="0"/>
        <w:ind w:left="630"/>
        <w:jc w:val="both"/>
        <w:rPr>
          <w:rFonts w:ascii="Century Gothic" w:hAnsi="Century Gothic"/>
          <w:b/>
          <w:bCs/>
          <w:sz w:val="22"/>
          <w:szCs w:val="22"/>
        </w:rPr>
      </w:pPr>
    </w:p>
    <w:p w14:paraId="0E9B9D95" w14:textId="3F19D45B" w:rsidR="00DC41CD" w:rsidRPr="00DB2F0F" w:rsidRDefault="00DC41CD" w:rsidP="005625B5">
      <w:pPr>
        <w:pStyle w:val="NormalWeb"/>
        <w:numPr>
          <w:ilvl w:val="3"/>
          <w:numId w:val="16"/>
        </w:numPr>
        <w:spacing w:before="0" w:beforeAutospacing="0" w:after="0" w:afterAutospacing="0"/>
        <w:ind w:left="630"/>
        <w:jc w:val="both"/>
        <w:rPr>
          <w:rFonts w:ascii="Century Gothic" w:hAnsi="Century Gothic"/>
          <w:sz w:val="22"/>
          <w:szCs w:val="22"/>
        </w:rPr>
      </w:pPr>
      <w:r w:rsidRPr="00DB2F0F">
        <w:rPr>
          <w:rFonts w:ascii="Century Gothic" w:hAnsi="Century Gothic"/>
          <w:b/>
          <w:bCs/>
          <w:sz w:val="22"/>
          <w:szCs w:val="22"/>
        </w:rPr>
        <w:t>Convention-Cadre des Nations Unies sur les Changements Climatiques (CCNUCC)</w:t>
      </w:r>
      <w:r w:rsidRPr="00DB2F0F">
        <w:rPr>
          <w:rFonts w:ascii="Century Gothic" w:hAnsi="Century Gothic"/>
          <w:sz w:val="22"/>
          <w:szCs w:val="22"/>
        </w:rPr>
        <w:t xml:space="preserve"> : La Mauritanie est également signataire de cette convention, s’engageant à mettre en œuvre des actions d’adaptation et d’atténuation pour contrer les effets du changement climatique.</w:t>
      </w:r>
    </w:p>
    <w:p w14:paraId="4EA8F2B1" w14:textId="77777777" w:rsidR="00DC41CD" w:rsidRPr="00DB2F0F" w:rsidRDefault="00DC41CD" w:rsidP="00F01190">
      <w:pPr>
        <w:pStyle w:val="NormalWeb"/>
        <w:spacing w:before="0" w:beforeAutospacing="0" w:after="0" w:afterAutospacing="0"/>
        <w:ind w:left="630"/>
        <w:jc w:val="both"/>
        <w:rPr>
          <w:rFonts w:ascii="Century Gothic" w:hAnsi="Century Gothic"/>
          <w:b/>
          <w:bCs/>
          <w:sz w:val="22"/>
          <w:szCs w:val="22"/>
        </w:rPr>
      </w:pPr>
    </w:p>
    <w:p w14:paraId="02F9218B" w14:textId="4355872B" w:rsidR="00DC41CD" w:rsidRPr="00DB2F0F" w:rsidRDefault="00DC41CD" w:rsidP="005625B5">
      <w:pPr>
        <w:pStyle w:val="NormalWeb"/>
        <w:numPr>
          <w:ilvl w:val="3"/>
          <w:numId w:val="16"/>
        </w:numPr>
        <w:spacing w:before="0" w:beforeAutospacing="0" w:after="0" w:afterAutospacing="0"/>
        <w:ind w:left="630"/>
        <w:jc w:val="both"/>
        <w:rPr>
          <w:rFonts w:ascii="Century Gothic" w:hAnsi="Century Gothic"/>
          <w:sz w:val="22"/>
          <w:szCs w:val="22"/>
        </w:rPr>
      </w:pPr>
      <w:r w:rsidRPr="00DB2F0F">
        <w:rPr>
          <w:rFonts w:ascii="Century Gothic" w:hAnsi="Century Gothic"/>
          <w:b/>
          <w:bCs/>
          <w:sz w:val="22"/>
          <w:szCs w:val="22"/>
        </w:rPr>
        <w:t>Accord de Paris sur le Climat</w:t>
      </w:r>
      <w:r w:rsidRPr="00DB2F0F">
        <w:rPr>
          <w:rFonts w:ascii="Century Gothic" w:hAnsi="Century Gothic"/>
          <w:sz w:val="22"/>
          <w:szCs w:val="22"/>
        </w:rPr>
        <w:t xml:space="preserve"> : La Mauritanie, en tant que partie à l’Accord de Paris, a pris des engagements spécifiques en matière de réduction des émissions de gaz à effet de serre (GES) et de développement de stratégies d’adaptation aux changements climatiques, en particulier dans les zones côtières et marines.</w:t>
      </w:r>
    </w:p>
    <w:p w14:paraId="2A887EC1" w14:textId="77777777" w:rsidR="00DC41CD" w:rsidRPr="0010168E" w:rsidRDefault="00DC41CD" w:rsidP="00DC41CD">
      <w:pPr>
        <w:pStyle w:val="NormalWeb"/>
        <w:spacing w:before="0" w:beforeAutospacing="0" w:after="0" w:afterAutospacing="0"/>
        <w:jc w:val="both"/>
        <w:rPr>
          <w:rFonts w:ascii="Century Gothic" w:hAnsi="Century Gothic"/>
        </w:rPr>
      </w:pPr>
    </w:p>
    <w:p w14:paraId="517380DD" w14:textId="77777777" w:rsidR="00DC41CD" w:rsidRPr="00FA36EC" w:rsidRDefault="00DC41CD" w:rsidP="0010168E">
      <w:pPr>
        <w:rPr>
          <w:rFonts w:ascii="Century Gothic" w:eastAsia="Times New Roman" w:hAnsi="Century Gothic" w:cs="Times New Roman"/>
          <w:b/>
          <w:bCs/>
          <w:color w:val="4472C4" w:themeColor="accent1"/>
          <w:lang w:val="wo-SN" w:eastAsia="wo-SN"/>
        </w:rPr>
      </w:pPr>
      <w:r w:rsidRPr="00FA36EC">
        <w:rPr>
          <w:rFonts w:ascii="Century Gothic" w:eastAsia="Times New Roman" w:hAnsi="Century Gothic" w:cs="Times New Roman"/>
          <w:b/>
          <w:bCs/>
          <w:color w:val="4472C4" w:themeColor="accent1"/>
          <w:lang w:val="wo-SN" w:eastAsia="wo-SN"/>
        </w:rPr>
        <w:t>B. Initiatives Régionales</w:t>
      </w:r>
    </w:p>
    <w:p w14:paraId="57238B74" w14:textId="783B5ACB" w:rsidR="00DC41CD" w:rsidRPr="00DB2F0F" w:rsidRDefault="00DC41CD" w:rsidP="00DC41CD">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La Mauritanie participe activement à des initiatives de coopération régionale, telles que :</w:t>
      </w:r>
    </w:p>
    <w:p w14:paraId="09A9D3EF" w14:textId="77777777" w:rsidR="00DC41CD" w:rsidRPr="00DB2F0F" w:rsidRDefault="00DC41CD" w:rsidP="00DC41CD">
      <w:pPr>
        <w:pStyle w:val="NormalWeb"/>
        <w:spacing w:before="0" w:beforeAutospacing="0" w:after="0" w:afterAutospacing="0"/>
        <w:jc w:val="both"/>
        <w:rPr>
          <w:rFonts w:ascii="Century Gothic" w:hAnsi="Century Gothic"/>
          <w:sz w:val="22"/>
          <w:szCs w:val="22"/>
        </w:rPr>
      </w:pPr>
    </w:p>
    <w:p w14:paraId="533435CA" w14:textId="3F383CE6" w:rsidR="00DC41CD" w:rsidRPr="00F01190" w:rsidRDefault="00DC41CD" w:rsidP="005625B5">
      <w:pPr>
        <w:pStyle w:val="NormalWeb"/>
        <w:numPr>
          <w:ilvl w:val="3"/>
          <w:numId w:val="16"/>
        </w:numPr>
        <w:spacing w:before="0" w:beforeAutospacing="0" w:after="0" w:afterAutospacing="0"/>
        <w:ind w:left="630"/>
        <w:jc w:val="both"/>
        <w:rPr>
          <w:rFonts w:ascii="Century Gothic" w:hAnsi="Century Gothic"/>
          <w:b/>
          <w:bCs/>
          <w:sz w:val="22"/>
          <w:szCs w:val="22"/>
        </w:rPr>
      </w:pPr>
      <w:r w:rsidRPr="00DB2F0F">
        <w:rPr>
          <w:rFonts w:ascii="Century Gothic" w:hAnsi="Century Gothic"/>
          <w:b/>
          <w:bCs/>
          <w:sz w:val="22"/>
          <w:szCs w:val="22"/>
        </w:rPr>
        <w:t>L’Initiative pour la Conservation de la Biodiversité en Afrique de l’Ouest</w:t>
      </w:r>
      <w:r w:rsidRPr="00F01190">
        <w:rPr>
          <w:rFonts w:ascii="Century Gothic" w:hAnsi="Century Gothic"/>
          <w:b/>
          <w:bCs/>
          <w:sz w:val="22"/>
          <w:szCs w:val="22"/>
        </w:rPr>
        <w:t xml:space="preserve"> (ECOWAS) : </w:t>
      </w:r>
      <w:r w:rsidRPr="009B76FE">
        <w:rPr>
          <w:rFonts w:ascii="Century Gothic" w:hAnsi="Century Gothic"/>
          <w:sz w:val="22"/>
          <w:szCs w:val="22"/>
        </w:rPr>
        <w:t>Une collaboration pour la protection des écosystèmes marins et côtiers à l’échelle régionale.</w:t>
      </w:r>
    </w:p>
    <w:p w14:paraId="1500688B" w14:textId="77777777" w:rsidR="00DC41CD" w:rsidRPr="00F01190" w:rsidRDefault="00DC41CD" w:rsidP="00F01190">
      <w:pPr>
        <w:pStyle w:val="NormalWeb"/>
        <w:spacing w:before="0" w:beforeAutospacing="0" w:after="0" w:afterAutospacing="0"/>
        <w:ind w:left="630"/>
        <w:jc w:val="both"/>
        <w:rPr>
          <w:rFonts w:ascii="Century Gothic" w:hAnsi="Century Gothic"/>
          <w:b/>
          <w:bCs/>
          <w:sz w:val="22"/>
          <w:szCs w:val="22"/>
        </w:rPr>
      </w:pPr>
    </w:p>
    <w:p w14:paraId="0F0AFCA5" w14:textId="1C2C190D" w:rsidR="00DC41CD" w:rsidRPr="00CB5118" w:rsidRDefault="00DC41CD" w:rsidP="005625B5">
      <w:pPr>
        <w:pStyle w:val="NormalWeb"/>
        <w:numPr>
          <w:ilvl w:val="3"/>
          <w:numId w:val="16"/>
        </w:numPr>
        <w:spacing w:before="0" w:beforeAutospacing="0" w:after="0" w:afterAutospacing="0"/>
        <w:ind w:left="630"/>
        <w:jc w:val="both"/>
        <w:rPr>
          <w:rFonts w:ascii="Century Gothic" w:hAnsi="Century Gothic"/>
          <w:sz w:val="22"/>
          <w:szCs w:val="22"/>
        </w:rPr>
      </w:pPr>
      <w:r w:rsidRPr="00DB2F0F">
        <w:rPr>
          <w:rFonts w:ascii="Century Gothic" w:hAnsi="Century Gothic"/>
          <w:b/>
          <w:bCs/>
          <w:sz w:val="22"/>
          <w:szCs w:val="22"/>
        </w:rPr>
        <w:t>Le Plan d'Action de la Commission Sous-régionale de Pêche de l'Afrique de l'Ouest (CSRP)</w:t>
      </w:r>
      <w:r w:rsidRPr="00F01190">
        <w:rPr>
          <w:rFonts w:ascii="Century Gothic" w:hAnsi="Century Gothic"/>
          <w:b/>
          <w:bCs/>
          <w:sz w:val="22"/>
          <w:szCs w:val="22"/>
        </w:rPr>
        <w:t xml:space="preserve"> : </w:t>
      </w:r>
      <w:r w:rsidRPr="009B76FE">
        <w:rPr>
          <w:rFonts w:ascii="Century Gothic" w:hAnsi="Century Gothic"/>
          <w:sz w:val="22"/>
          <w:szCs w:val="22"/>
        </w:rPr>
        <w:t>Il s'agit d'un cadre pour la gestion durable des ressources marines et la lutte</w:t>
      </w:r>
      <w:r w:rsidRPr="00DB2F0F">
        <w:rPr>
          <w:rFonts w:ascii="Century Gothic" w:hAnsi="Century Gothic"/>
          <w:sz w:val="22"/>
          <w:szCs w:val="22"/>
        </w:rPr>
        <w:t xml:space="preserve"> contre la surpêche, tout en tenant compte du changement climatique.</w:t>
      </w:r>
    </w:p>
    <w:p w14:paraId="285181ED" w14:textId="77777777" w:rsidR="00DC41CD" w:rsidRPr="00DB2F0F" w:rsidRDefault="00DC41CD" w:rsidP="00DC41CD">
      <w:pPr>
        <w:pStyle w:val="NormalWeb"/>
        <w:spacing w:before="0" w:beforeAutospacing="0" w:after="0" w:afterAutospacing="0"/>
        <w:jc w:val="both"/>
        <w:rPr>
          <w:rFonts w:ascii="Century Gothic" w:hAnsi="Century Gothic"/>
          <w:sz w:val="22"/>
          <w:szCs w:val="22"/>
        </w:rPr>
      </w:pPr>
    </w:p>
    <w:p w14:paraId="3AB2530B" w14:textId="5739315F" w:rsidR="00DC41CD" w:rsidRPr="00516ECA" w:rsidRDefault="00CB5118" w:rsidP="0069214A">
      <w:pPr>
        <w:rPr>
          <w:rFonts w:ascii="Century Gothic" w:eastAsia="Times New Roman" w:hAnsi="Century Gothic" w:cs="Times New Roman"/>
          <w:color w:val="4472C4" w:themeColor="accent1"/>
          <w:lang w:val="wo-SN" w:eastAsia="wo-SN"/>
        </w:rPr>
      </w:pPr>
      <w:r w:rsidRPr="00516ECA">
        <w:rPr>
          <w:rFonts w:ascii="Century Gothic" w:eastAsia="Times New Roman" w:hAnsi="Century Gothic" w:cs="Times New Roman"/>
          <w:color w:val="4472C4" w:themeColor="accent1"/>
          <w:lang w:val="wo-SN" w:eastAsia="wo-SN"/>
        </w:rPr>
        <w:t>C</w:t>
      </w:r>
      <w:r w:rsidR="00DC41CD" w:rsidRPr="00516ECA">
        <w:rPr>
          <w:rFonts w:ascii="Century Gothic" w:eastAsia="Times New Roman" w:hAnsi="Century Gothic" w:cs="Times New Roman"/>
          <w:color w:val="4472C4" w:themeColor="accent1"/>
          <w:lang w:val="wo-SN" w:eastAsia="wo-SN"/>
        </w:rPr>
        <w:t>. Projets de Restauration et Adaptation</w:t>
      </w:r>
    </w:p>
    <w:p w14:paraId="6186E91D" w14:textId="524E4F47" w:rsidR="00DC41CD" w:rsidRPr="00DB2F0F" w:rsidRDefault="00DC41CD" w:rsidP="005625B5">
      <w:pPr>
        <w:pStyle w:val="NormalWeb"/>
        <w:numPr>
          <w:ilvl w:val="3"/>
          <w:numId w:val="16"/>
        </w:numPr>
        <w:spacing w:before="0" w:beforeAutospacing="0" w:after="0" w:afterAutospacing="0"/>
        <w:ind w:left="630"/>
        <w:jc w:val="both"/>
        <w:rPr>
          <w:rFonts w:ascii="Century Gothic" w:hAnsi="Century Gothic"/>
          <w:sz w:val="22"/>
          <w:szCs w:val="22"/>
        </w:rPr>
      </w:pPr>
      <w:r w:rsidRPr="00DB2F0F">
        <w:rPr>
          <w:rFonts w:ascii="Century Gothic" w:hAnsi="Century Gothic"/>
          <w:b/>
          <w:bCs/>
          <w:sz w:val="22"/>
          <w:szCs w:val="22"/>
        </w:rPr>
        <w:t>Projets de Restauration des Mangroves</w:t>
      </w:r>
      <w:r w:rsidRPr="00DB2F0F">
        <w:rPr>
          <w:rFonts w:ascii="Century Gothic" w:hAnsi="Century Gothic"/>
          <w:sz w:val="22"/>
          <w:szCs w:val="22"/>
        </w:rPr>
        <w:t xml:space="preserve"> : Des initiatives de plantation et de protection des mangroves sont en cours pour renforcer leur rôle de protection contre l’érosion côtière et leur capacité à stocker le carbone.</w:t>
      </w:r>
    </w:p>
    <w:p w14:paraId="41054C5F" w14:textId="77777777" w:rsidR="00DC41CD" w:rsidRPr="00DB2F0F" w:rsidRDefault="00DC41CD" w:rsidP="00DC41CD">
      <w:pPr>
        <w:pStyle w:val="NormalWeb"/>
        <w:spacing w:before="0" w:beforeAutospacing="0" w:after="0" w:afterAutospacing="0"/>
        <w:jc w:val="both"/>
        <w:rPr>
          <w:rFonts w:ascii="Century Gothic" w:hAnsi="Century Gothic"/>
          <w:b/>
          <w:bCs/>
          <w:sz w:val="22"/>
          <w:szCs w:val="22"/>
        </w:rPr>
      </w:pPr>
    </w:p>
    <w:p w14:paraId="657E6358" w14:textId="356B1C6E" w:rsidR="00455495" w:rsidRPr="00DB2F0F" w:rsidRDefault="00DC41CD" w:rsidP="005625B5">
      <w:pPr>
        <w:pStyle w:val="NormalWeb"/>
        <w:numPr>
          <w:ilvl w:val="3"/>
          <w:numId w:val="16"/>
        </w:numPr>
        <w:spacing w:before="0" w:beforeAutospacing="0" w:after="0" w:afterAutospacing="0"/>
        <w:ind w:left="630"/>
        <w:jc w:val="both"/>
        <w:rPr>
          <w:rFonts w:ascii="Century Gothic" w:hAnsi="Century Gothic"/>
          <w:sz w:val="22"/>
          <w:szCs w:val="22"/>
        </w:rPr>
      </w:pPr>
      <w:r w:rsidRPr="00DB2F0F">
        <w:rPr>
          <w:rFonts w:ascii="Century Gothic" w:hAnsi="Century Gothic"/>
          <w:b/>
          <w:bCs/>
          <w:sz w:val="22"/>
          <w:szCs w:val="22"/>
        </w:rPr>
        <w:t>Projets d’Adaptation Climatique pour les Communautés Côtières</w:t>
      </w:r>
      <w:r w:rsidRPr="00DB2F0F">
        <w:rPr>
          <w:rFonts w:ascii="Century Gothic" w:hAnsi="Century Gothic"/>
          <w:sz w:val="22"/>
          <w:szCs w:val="22"/>
        </w:rPr>
        <w:t xml:space="preserve"> : Ces projets visent à renforcer la résilience des communautés vulnérables, en particulier les pêcheurs, face à l’élévation du niveau de la mer et à la modification des écosystèmes marins.</w:t>
      </w:r>
    </w:p>
    <w:p w14:paraId="0459EDE2" w14:textId="6037F62B" w:rsidR="00DC41CD" w:rsidRPr="00DB2F0F" w:rsidRDefault="00DC41CD" w:rsidP="00DC41CD">
      <w:pPr>
        <w:pStyle w:val="NormalWeb"/>
        <w:spacing w:before="0" w:beforeAutospacing="0" w:after="0" w:afterAutospacing="0"/>
        <w:jc w:val="both"/>
        <w:rPr>
          <w:rFonts w:ascii="Century Gothic" w:hAnsi="Century Gothic"/>
          <w:sz w:val="22"/>
          <w:szCs w:val="22"/>
        </w:rPr>
      </w:pPr>
    </w:p>
    <w:p w14:paraId="026B1C01" w14:textId="1113B8F2" w:rsidR="00B0362C" w:rsidRPr="00DB2F0F" w:rsidRDefault="00DC41CD" w:rsidP="00DC41CD">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 xml:space="preserve">Le cadre politique et stratégique en Mauritanie pour la protection de la biodiversité, particulièrement marine, </w:t>
      </w:r>
      <w:r w:rsidR="00CB5118">
        <w:rPr>
          <w:rFonts w:ascii="Century Gothic" w:hAnsi="Century Gothic"/>
          <w:sz w:val="22"/>
          <w:szCs w:val="22"/>
        </w:rPr>
        <w:t xml:space="preserve">et </w:t>
      </w:r>
      <w:r w:rsidRPr="00DB2F0F">
        <w:rPr>
          <w:rFonts w:ascii="Century Gothic" w:hAnsi="Century Gothic"/>
          <w:sz w:val="22"/>
          <w:szCs w:val="22"/>
        </w:rPr>
        <w:t xml:space="preserve">côtière est bien ancré dans les politiques nationales et les engagements internationaux du pays. </w:t>
      </w:r>
    </w:p>
    <w:p w14:paraId="366DE849" w14:textId="77777777" w:rsidR="00B0362C" w:rsidRPr="00DB2F0F" w:rsidRDefault="00B0362C" w:rsidP="00DC41CD">
      <w:pPr>
        <w:pStyle w:val="NormalWeb"/>
        <w:spacing w:before="0" w:beforeAutospacing="0" w:after="0" w:afterAutospacing="0"/>
        <w:jc w:val="both"/>
        <w:rPr>
          <w:rFonts w:ascii="Century Gothic" w:hAnsi="Century Gothic"/>
          <w:sz w:val="20"/>
          <w:szCs w:val="20"/>
        </w:rPr>
      </w:pPr>
    </w:p>
    <w:p w14:paraId="0907ACC1" w14:textId="621E108D" w:rsidR="00DC41CD" w:rsidRPr="00DB2F0F" w:rsidRDefault="00DC41CD" w:rsidP="00DC41CD">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Cependant, l’intégration du changement climatique dans ces politiques reste un défi majeur. Les priorités actuelles incluent la gestion durable des ressources marines, la protection des écosystèmes vulnérables comme les mangroves, et le renforcement des capacités locales pour faire face aux impacts du changement climatique. Il est crucial de continuer à lier les objectifs de conservation de la biodiversité aux stratégies d’adaptation et de résilience face aux changements climatiques à l’échelle nationale et régionale.</w:t>
      </w:r>
    </w:p>
    <w:p w14:paraId="311D25A4" w14:textId="77777777" w:rsidR="009B76FE" w:rsidRPr="00DB2F0F" w:rsidRDefault="009B76FE" w:rsidP="00351447">
      <w:pPr>
        <w:pStyle w:val="NormalWeb"/>
        <w:spacing w:before="0" w:beforeAutospacing="0" w:after="0" w:afterAutospacing="0"/>
        <w:jc w:val="both"/>
        <w:rPr>
          <w:rFonts w:ascii="Century Gothic" w:hAnsi="Century Gothic"/>
          <w:sz w:val="22"/>
          <w:szCs w:val="22"/>
        </w:rPr>
      </w:pPr>
    </w:p>
    <w:p w14:paraId="199387AF" w14:textId="770FF4BD" w:rsidR="00216A70" w:rsidRPr="00AC71AD" w:rsidRDefault="001F33E0" w:rsidP="00AC71AD">
      <w:pPr>
        <w:pStyle w:val="Titre2"/>
        <w:rPr>
          <w:rFonts w:ascii="Century Gothic" w:hAnsi="Century Gothic"/>
          <w:b/>
          <w:bCs/>
          <w:lang w:val="wo-SN"/>
        </w:rPr>
      </w:pPr>
      <w:bookmarkStart w:id="28" w:name="_Toc189375544"/>
      <w:r>
        <w:rPr>
          <w:rFonts w:ascii="Century Gothic" w:hAnsi="Century Gothic"/>
          <w:lang w:val="wo-SN"/>
        </w:rPr>
        <w:t>6</w:t>
      </w:r>
      <w:r w:rsidR="00826FE9" w:rsidRPr="00AC71AD">
        <w:rPr>
          <w:rFonts w:ascii="Century Gothic" w:hAnsi="Century Gothic"/>
        </w:rPr>
        <w:t>.2</w:t>
      </w:r>
      <w:r w:rsidR="00DA15A6" w:rsidRPr="00AC71AD">
        <w:rPr>
          <w:rFonts w:ascii="Century Gothic" w:hAnsi="Century Gothic"/>
        </w:rPr>
        <w:t xml:space="preserve">  </w:t>
      </w:r>
      <w:r w:rsidR="00CF55D0" w:rsidRPr="00AC71AD">
        <w:rPr>
          <w:rFonts w:ascii="Century Gothic" w:eastAsia="Times New Roman" w:hAnsi="Century Gothic"/>
        </w:rPr>
        <w:t>V</w:t>
      </w:r>
      <w:r w:rsidR="00216A70" w:rsidRPr="00AC71AD">
        <w:rPr>
          <w:rFonts w:ascii="Century Gothic" w:eastAsia="Times New Roman" w:hAnsi="Century Gothic"/>
        </w:rPr>
        <w:t>ulnérabilité par catégorie de biome face au changement climatique</w:t>
      </w:r>
      <w:r w:rsidR="00216A70" w:rsidRPr="00AC71AD">
        <w:rPr>
          <w:rFonts w:ascii="Century Gothic" w:hAnsi="Century Gothic"/>
          <w:b/>
          <w:bCs/>
          <w:lang w:val="wo-SN"/>
        </w:rPr>
        <w:t>.</w:t>
      </w:r>
      <w:bookmarkEnd w:id="28"/>
    </w:p>
    <w:p w14:paraId="56EADAC0" w14:textId="369B4837" w:rsidR="00216A70" w:rsidRPr="00CE5203" w:rsidRDefault="00216A70" w:rsidP="00CE5203">
      <w:pPr>
        <w:pStyle w:val="NormalWeb"/>
        <w:spacing w:before="0" w:beforeAutospacing="0" w:after="0" w:afterAutospacing="0"/>
        <w:jc w:val="both"/>
        <w:rPr>
          <w:rFonts w:ascii="Century Gothic" w:hAnsi="Century Gothic"/>
          <w:color w:val="FF0000"/>
        </w:rPr>
      </w:pPr>
    </w:p>
    <w:p w14:paraId="4C56A1B3" w14:textId="10EE4B3F" w:rsidR="000E260C" w:rsidRPr="00203B3F" w:rsidRDefault="001F33E0" w:rsidP="00203B3F">
      <w:pPr>
        <w:rPr>
          <w:rFonts w:ascii="Century Gothic" w:eastAsia="Times New Roman" w:hAnsi="Century Gothic" w:cs="Times New Roman"/>
          <w:color w:val="4472C4" w:themeColor="accent1"/>
          <w:sz w:val="24"/>
          <w:szCs w:val="24"/>
          <w:lang w:val="wo-SN" w:eastAsia="wo-SN"/>
        </w:rPr>
      </w:pPr>
      <w:r w:rsidRPr="00211DA2">
        <w:rPr>
          <w:rFonts w:ascii="Century Gothic" w:eastAsia="Times New Roman" w:hAnsi="Century Gothic" w:cs="Times New Roman"/>
          <w:color w:val="4472C4" w:themeColor="accent1"/>
          <w:sz w:val="24"/>
          <w:szCs w:val="24"/>
          <w:lang w:val="wo-SN" w:eastAsia="wo-SN"/>
        </w:rPr>
        <w:t>6</w:t>
      </w:r>
      <w:r w:rsidR="00826FE9" w:rsidRPr="00211DA2">
        <w:rPr>
          <w:rFonts w:ascii="Century Gothic" w:eastAsia="Times New Roman" w:hAnsi="Century Gothic" w:cs="Times New Roman"/>
          <w:color w:val="4472C4" w:themeColor="accent1"/>
          <w:sz w:val="24"/>
          <w:szCs w:val="24"/>
          <w:lang w:val="wo-SN" w:eastAsia="wo-SN"/>
        </w:rPr>
        <w:t xml:space="preserve">.2.1 </w:t>
      </w:r>
      <w:r w:rsidR="000E260C" w:rsidRPr="00211DA2">
        <w:rPr>
          <w:rFonts w:ascii="Century Gothic" w:eastAsia="Times New Roman" w:hAnsi="Century Gothic" w:cs="Times New Roman"/>
          <w:color w:val="4472C4" w:themeColor="accent1"/>
          <w:sz w:val="24"/>
          <w:szCs w:val="24"/>
          <w:lang w:val="wo-SN" w:eastAsia="wo-SN"/>
        </w:rPr>
        <w:t>Facteurs Climatiques, Biophysiques et Édaphiques Relatifs aux Zones de Biodiversité en Mauritanie</w:t>
      </w:r>
    </w:p>
    <w:p w14:paraId="0E459E60" w14:textId="0BD76590" w:rsidR="00CE5203" w:rsidRDefault="00A87F95" w:rsidP="00CE5203">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Caractérisée par une riche</w:t>
      </w:r>
      <w:r w:rsidR="000E260C" w:rsidRPr="00DB2F0F">
        <w:rPr>
          <w:rFonts w:ascii="Century Gothic" w:hAnsi="Century Gothic"/>
          <w:sz w:val="22"/>
          <w:szCs w:val="22"/>
        </w:rPr>
        <w:t xml:space="preserve"> diversité écologique, </w:t>
      </w:r>
      <w:r w:rsidRPr="00DB2F0F">
        <w:rPr>
          <w:rFonts w:ascii="Century Gothic" w:hAnsi="Century Gothic"/>
          <w:sz w:val="22"/>
          <w:szCs w:val="22"/>
        </w:rPr>
        <w:t xml:space="preserve">la Mauritanie </w:t>
      </w:r>
      <w:r w:rsidR="000E260C" w:rsidRPr="00DB2F0F">
        <w:rPr>
          <w:rFonts w:ascii="Century Gothic" w:hAnsi="Century Gothic"/>
          <w:sz w:val="22"/>
          <w:szCs w:val="22"/>
        </w:rPr>
        <w:t>est confrontée à des défis majeurs en matière de biodiversité, exacerbés par les changements climatiques. Les facteurs climatiques, biophysiques et édaphiques jouent un rôle crucial dans la détermination de la santé et de la résilience des écosystèmes.</w:t>
      </w:r>
    </w:p>
    <w:p w14:paraId="61600899" w14:textId="3C36B3C4" w:rsidR="0009359A" w:rsidRDefault="0009359A" w:rsidP="00CE5203">
      <w:pPr>
        <w:pStyle w:val="NormalWeb"/>
        <w:spacing w:before="0" w:beforeAutospacing="0" w:after="0" w:afterAutospacing="0"/>
        <w:jc w:val="both"/>
        <w:rPr>
          <w:rFonts w:ascii="Century Gothic" w:hAnsi="Century Gothic"/>
          <w:sz w:val="22"/>
          <w:szCs w:val="22"/>
        </w:rPr>
      </w:pPr>
    </w:p>
    <w:p w14:paraId="1D5AEF1E" w14:textId="7B00C6AC" w:rsidR="00325A68" w:rsidRPr="0009359A" w:rsidRDefault="0009359A" w:rsidP="00E948BC">
      <w:pPr>
        <w:spacing w:before="100" w:beforeAutospacing="1" w:after="100" w:afterAutospacing="1" w:line="240" w:lineRule="auto"/>
        <w:jc w:val="both"/>
        <w:rPr>
          <w:rFonts w:ascii="Century Gothic" w:eastAsia="Times New Roman" w:hAnsi="Century Gothic" w:cs="Times New Roman"/>
          <w:b/>
          <w:bCs/>
          <w:lang w:val="wo-SN" w:eastAsia="wo-SN"/>
        </w:rPr>
      </w:pPr>
      <w:r w:rsidRPr="0009359A">
        <w:rPr>
          <w:rFonts w:ascii="Century Gothic" w:eastAsia="Times New Roman" w:hAnsi="Century Gothic" w:cs="Times New Roman"/>
          <w:lang w:val="wo-SN" w:eastAsia="wo-SN"/>
        </w:rPr>
        <w:t xml:space="preserve">En 2022, la couverture du sol de la Mauritanie a été observée et répartie dans les catégories suivantes : </w:t>
      </w:r>
      <w:r w:rsidRPr="0009359A">
        <w:rPr>
          <w:rFonts w:ascii="Century Gothic" w:eastAsia="Times New Roman" w:hAnsi="Century Gothic" w:cs="Times New Roman"/>
          <w:b/>
          <w:bCs/>
          <w:lang w:val="wo-SN" w:eastAsia="wo-SN"/>
        </w:rPr>
        <w:t>sol nu, prairie, végétation clairsemée, agriculture, maquis, zone humide, eaux, établissements humains.</w:t>
      </w:r>
      <w:r>
        <w:rPr>
          <w:rFonts w:ascii="Century Gothic" w:eastAsia="Times New Roman" w:hAnsi="Century Gothic" w:cs="Times New Roman"/>
          <w:b/>
          <w:bCs/>
          <w:lang w:val="wo-SN" w:eastAsia="wo-SN"/>
        </w:rPr>
        <w:t xml:space="preserve"> </w:t>
      </w:r>
      <w:r w:rsidRPr="0009359A">
        <w:rPr>
          <w:rFonts w:ascii="Century Gothic" w:eastAsia="Times New Roman" w:hAnsi="Century Gothic" w:cs="Times New Roman"/>
          <w:lang w:val="wo-SN" w:eastAsia="wo-SN"/>
        </w:rPr>
        <w:t>(figure 3)</w:t>
      </w:r>
    </w:p>
    <w:p w14:paraId="53BFCAEA" w14:textId="0E5D6B0C" w:rsidR="00325A68" w:rsidRDefault="00325A68" w:rsidP="00CE5203">
      <w:pPr>
        <w:pStyle w:val="NormalWeb"/>
        <w:spacing w:before="0" w:beforeAutospacing="0" w:after="0" w:afterAutospacing="0"/>
        <w:jc w:val="both"/>
        <w:rPr>
          <w:rFonts w:ascii="Century Gothic" w:hAnsi="Century Gothic"/>
        </w:rPr>
      </w:pPr>
      <w:r w:rsidRPr="00A929FA">
        <w:rPr>
          <w:rFonts w:ascii="Century Gothic" w:hAnsi="Century Gothic"/>
          <w:noProof/>
          <w:lang w:val="fr-FR" w:eastAsia="fr-FR"/>
        </w:rPr>
        <w:drawing>
          <wp:inline distT="0" distB="0" distL="0" distR="0" wp14:anchorId="2950A3C3" wp14:editId="53E6D5D9">
            <wp:extent cx="5760720" cy="3729990"/>
            <wp:effectExtent l="0" t="0" r="0" b="381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760720" cy="3729990"/>
                    </a:xfrm>
                    <a:prstGeom prst="rect">
                      <a:avLst/>
                    </a:prstGeom>
                  </pic:spPr>
                </pic:pic>
              </a:graphicData>
            </a:graphic>
          </wp:inline>
        </w:drawing>
      </w:r>
    </w:p>
    <w:p w14:paraId="7A3DBC60" w14:textId="346C1F76" w:rsidR="00CE5203" w:rsidRDefault="00DE261F" w:rsidP="00DE261F">
      <w:pPr>
        <w:pStyle w:val="Lgende"/>
        <w:rPr>
          <w:lang w:val="en-CA"/>
        </w:rPr>
      </w:pPr>
      <w:bookmarkStart w:id="29" w:name="_Toc189305549"/>
      <w:r w:rsidRPr="00DE261F">
        <w:rPr>
          <w:lang w:val="en-CA"/>
        </w:rPr>
        <w:t xml:space="preserve">Figure </w:t>
      </w:r>
      <w:r>
        <w:fldChar w:fldCharType="begin"/>
      </w:r>
      <w:r w:rsidRPr="00DE261F">
        <w:rPr>
          <w:lang w:val="en-CA"/>
        </w:rPr>
        <w:instrText xml:space="preserve"> SEQ Figure \* ARABIC </w:instrText>
      </w:r>
      <w:r>
        <w:fldChar w:fldCharType="separate"/>
      </w:r>
      <w:r>
        <w:rPr>
          <w:noProof/>
          <w:lang w:val="en-CA"/>
        </w:rPr>
        <w:t>3</w:t>
      </w:r>
      <w:r>
        <w:fldChar w:fldCharType="end"/>
      </w:r>
      <w:r w:rsidRPr="00DE261F">
        <w:rPr>
          <w:lang w:val="en-CA"/>
        </w:rPr>
        <w:t xml:space="preserve"> global land cover (source: ESA)</w:t>
      </w:r>
      <w:bookmarkEnd w:id="29"/>
    </w:p>
    <w:p w14:paraId="167744B3" w14:textId="77777777" w:rsidR="00E948BC" w:rsidRDefault="00E948BC" w:rsidP="00E948BC">
      <w:pPr>
        <w:rPr>
          <w:lang w:val="en-CA"/>
        </w:rPr>
      </w:pPr>
    </w:p>
    <w:p w14:paraId="7893485D" w14:textId="77777777" w:rsidR="00E948BC" w:rsidRPr="00E948BC" w:rsidRDefault="00E948BC" w:rsidP="00E948BC">
      <w:pPr>
        <w:rPr>
          <w:lang w:val="en-CA"/>
        </w:rPr>
      </w:pPr>
    </w:p>
    <w:p w14:paraId="38A0A46D" w14:textId="4B43D753" w:rsidR="00CE5203" w:rsidRPr="00FA36EC" w:rsidRDefault="00CE5203" w:rsidP="00732F37">
      <w:pPr>
        <w:rPr>
          <w:rFonts w:ascii="Century Gothic" w:hAnsi="Century Gothic"/>
          <w:b/>
          <w:bCs/>
          <w:color w:val="4472C4" w:themeColor="accent1"/>
        </w:rPr>
      </w:pPr>
      <w:r w:rsidRPr="00FA36EC">
        <w:rPr>
          <w:rFonts w:ascii="Century Gothic" w:hAnsi="Century Gothic"/>
          <w:b/>
          <w:bCs/>
          <w:color w:val="4472C4" w:themeColor="accent1"/>
        </w:rPr>
        <w:t>A. Facteurs Climatiques</w:t>
      </w:r>
    </w:p>
    <w:p w14:paraId="1C055CE8" w14:textId="3007FB4C" w:rsidR="00DE6724" w:rsidRPr="00DB2F0F" w:rsidRDefault="00DE6724" w:rsidP="00DE6724">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La Mauritanie présente une grande variabilité climatique, divisée en trois zones principales :</w:t>
      </w:r>
    </w:p>
    <w:p w14:paraId="14C9F8E4" w14:textId="77777777" w:rsidR="00DE6724" w:rsidRPr="00DB2F0F" w:rsidRDefault="00DE6724" w:rsidP="005625B5">
      <w:pPr>
        <w:pStyle w:val="NormalWeb"/>
        <w:numPr>
          <w:ilvl w:val="3"/>
          <w:numId w:val="25"/>
        </w:numPr>
        <w:spacing w:before="0" w:beforeAutospacing="0" w:after="0" w:afterAutospacing="0"/>
        <w:ind w:left="798"/>
        <w:jc w:val="both"/>
        <w:rPr>
          <w:rFonts w:ascii="Century Gothic" w:hAnsi="Century Gothic"/>
          <w:sz w:val="22"/>
          <w:szCs w:val="22"/>
        </w:rPr>
      </w:pPr>
      <w:r w:rsidRPr="00DB2F0F">
        <w:rPr>
          <w:rFonts w:ascii="Century Gothic" w:hAnsi="Century Gothic"/>
          <w:sz w:val="22"/>
          <w:szCs w:val="22"/>
        </w:rPr>
        <w:t>Zone Aride : Au nord, avec des précipitations inférieures à 100 mm/an. Ce climat désertique entraîne une forte évaporation et une faible humidité.</w:t>
      </w:r>
    </w:p>
    <w:p w14:paraId="235DF6AE" w14:textId="77777777" w:rsidR="00DE6724" w:rsidRPr="00DB2F0F" w:rsidRDefault="00DE6724" w:rsidP="00CB5118">
      <w:pPr>
        <w:pStyle w:val="NormalWeb"/>
        <w:spacing w:before="0" w:beforeAutospacing="0" w:after="0" w:afterAutospacing="0"/>
        <w:ind w:left="798"/>
        <w:jc w:val="both"/>
        <w:rPr>
          <w:rFonts w:ascii="Century Gothic" w:hAnsi="Century Gothic"/>
          <w:sz w:val="22"/>
          <w:szCs w:val="22"/>
        </w:rPr>
      </w:pPr>
      <w:r w:rsidRPr="00DB2F0F">
        <w:rPr>
          <w:rFonts w:ascii="Century Gothic" w:hAnsi="Century Gothic"/>
          <w:sz w:val="22"/>
          <w:szCs w:val="22"/>
        </w:rPr>
        <w:t xml:space="preserve">  </w:t>
      </w:r>
    </w:p>
    <w:p w14:paraId="66CD3F5C" w14:textId="77777777" w:rsidR="00DE6724" w:rsidRPr="00DB2F0F" w:rsidRDefault="00DE6724" w:rsidP="005625B5">
      <w:pPr>
        <w:pStyle w:val="NormalWeb"/>
        <w:numPr>
          <w:ilvl w:val="3"/>
          <w:numId w:val="25"/>
        </w:numPr>
        <w:spacing w:before="0" w:beforeAutospacing="0" w:after="0" w:afterAutospacing="0"/>
        <w:ind w:left="798"/>
        <w:jc w:val="both"/>
        <w:rPr>
          <w:rFonts w:ascii="Century Gothic" w:hAnsi="Century Gothic"/>
          <w:sz w:val="22"/>
          <w:szCs w:val="22"/>
        </w:rPr>
      </w:pPr>
      <w:r w:rsidRPr="00DB2F0F">
        <w:rPr>
          <w:rFonts w:ascii="Century Gothic" w:hAnsi="Century Gothic"/>
          <w:sz w:val="22"/>
          <w:szCs w:val="22"/>
        </w:rPr>
        <w:t>Zone Sahélienne : Au centre, avec des pluies entre 200 et 300 mm/an. Cette zone est sujette à des sécheresses fréquentes et à des fluctuations saisonnières importantes.</w:t>
      </w:r>
    </w:p>
    <w:p w14:paraId="6B049791" w14:textId="77777777" w:rsidR="00DE6724" w:rsidRPr="00DB2F0F" w:rsidRDefault="00DE6724" w:rsidP="00CB5118">
      <w:pPr>
        <w:pStyle w:val="NormalWeb"/>
        <w:spacing w:before="0" w:beforeAutospacing="0" w:after="0" w:afterAutospacing="0"/>
        <w:ind w:left="798"/>
        <w:jc w:val="both"/>
        <w:rPr>
          <w:rFonts w:ascii="Century Gothic" w:hAnsi="Century Gothic"/>
          <w:sz w:val="22"/>
          <w:szCs w:val="22"/>
        </w:rPr>
      </w:pPr>
    </w:p>
    <w:p w14:paraId="01B50C5D" w14:textId="04B1349B" w:rsidR="007C7225" w:rsidRPr="00DB2F0F" w:rsidRDefault="00DE6724" w:rsidP="005625B5">
      <w:pPr>
        <w:pStyle w:val="NormalWeb"/>
        <w:numPr>
          <w:ilvl w:val="3"/>
          <w:numId w:val="25"/>
        </w:numPr>
        <w:spacing w:before="0" w:beforeAutospacing="0" w:after="0" w:afterAutospacing="0"/>
        <w:ind w:left="798"/>
        <w:jc w:val="both"/>
        <w:rPr>
          <w:rFonts w:ascii="Century Gothic" w:hAnsi="Century Gothic"/>
          <w:sz w:val="22"/>
          <w:szCs w:val="22"/>
        </w:rPr>
      </w:pPr>
      <w:r w:rsidRPr="00DB2F0F">
        <w:rPr>
          <w:rFonts w:ascii="Century Gothic" w:hAnsi="Century Gothic"/>
          <w:sz w:val="22"/>
          <w:szCs w:val="22"/>
        </w:rPr>
        <w:t>Zone Côtière et du Fleuve : Au sud, bénéficiant d'une pluviométrie supérieure à 400 mm/an, mais également vulnérable aux inondations dues à des événements climatiques extrêmes.</w:t>
      </w:r>
    </w:p>
    <w:p w14:paraId="0FE53BC2" w14:textId="18A64104" w:rsidR="00DE6724" w:rsidRPr="00CE2AEB" w:rsidRDefault="00CE5203" w:rsidP="005625B5">
      <w:pPr>
        <w:pStyle w:val="NormalWeb"/>
        <w:numPr>
          <w:ilvl w:val="0"/>
          <w:numId w:val="5"/>
        </w:numPr>
        <w:spacing w:before="0" w:beforeAutospacing="0" w:after="0" w:afterAutospacing="0"/>
        <w:jc w:val="both"/>
        <w:rPr>
          <w:rFonts w:ascii="Century Gothic" w:hAnsi="Century Gothic"/>
        </w:rPr>
      </w:pPr>
      <w:r w:rsidRPr="00CE2AEB">
        <w:rPr>
          <w:rFonts w:ascii="Century Gothic" w:hAnsi="Century Gothic"/>
          <w:b/>
          <w:bCs/>
        </w:rPr>
        <w:t>Température</w:t>
      </w:r>
    </w:p>
    <w:p w14:paraId="34063B73" w14:textId="33B05CCF" w:rsidR="00CE5203" w:rsidRPr="00DB2F0F" w:rsidRDefault="00CE5203" w:rsidP="00CE5203">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La température de l'air et de l'eau est un facteur déterminant pour les écosystèmes marins et littoraux. L'augmentation des températures de l'air et de l'eau peut avoir des effets délétères sur les récifs coralliens, les mangroves et les herbiers marins.</w:t>
      </w:r>
    </w:p>
    <w:p w14:paraId="13B98E53" w14:textId="74DAC663" w:rsidR="00DE6724" w:rsidRDefault="00CE5203" w:rsidP="00CE2AEB">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Les températures de surface de l'océan (TSO) au large de la Mauritanie, notamment dans les zones de pêche, sont sensibles aux variations saisonnières et aux changements à long terme dus au réchauffement climatique.</w:t>
      </w:r>
    </w:p>
    <w:p w14:paraId="510F8799" w14:textId="77777777" w:rsidR="00197515" w:rsidRPr="00DB2F0F" w:rsidRDefault="00197515" w:rsidP="00CE2AEB">
      <w:pPr>
        <w:pStyle w:val="NormalWeb"/>
        <w:spacing w:before="0" w:beforeAutospacing="0" w:after="0" w:afterAutospacing="0"/>
        <w:jc w:val="both"/>
        <w:rPr>
          <w:rFonts w:ascii="Century Gothic" w:hAnsi="Century Gothic"/>
          <w:sz w:val="22"/>
          <w:szCs w:val="22"/>
        </w:rPr>
      </w:pPr>
    </w:p>
    <w:p w14:paraId="60001CF8" w14:textId="04516538" w:rsidR="00CE5203" w:rsidRPr="00CE2AEB" w:rsidRDefault="00CE5203" w:rsidP="005625B5">
      <w:pPr>
        <w:pStyle w:val="NormalWeb"/>
        <w:numPr>
          <w:ilvl w:val="0"/>
          <w:numId w:val="5"/>
        </w:numPr>
        <w:spacing w:before="0" w:beforeAutospacing="0" w:after="0" w:afterAutospacing="0"/>
        <w:jc w:val="both"/>
        <w:rPr>
          <w:rFonts w:ascii="Century Gothic" w:hAnsi="Century Gothic"/>
        </w:rPr>
      </w:pPr>
      <w:r w:rsidRPr="00CE2AEB">
        <w:rPr>
          <w:rFonts w:ascii="Century Gothic" w:hAnsi="Century Gothic"/>
          <w:b/>
          <w:bCs/>
        </w:rPr>
        <w:t>Précipitations</w:t>
      </w:r>
    </w:p>
    <w:p w14:paraId="7F644E80" w14:textId="77777777" w:rsidR="00CE5203" w:rsidRPr="00DB2F0F" w:rsidRDefault="00CE5203" w:rsidP="00CE5203">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Les précipitations en Mauritanie sont généralement faibles, avec une pluviométrie qui varie considérablement d'une région à l'autre. Les zones côtières connaissent des régimes de pluie irréguliers, ce qui influence directement la salinité des estuaires et des lagunes, ainsi que les cycles de reproduction des espèces marines.</w:t>
      </w:r>
    </w:p>
    <w:p w14:paraId="63CBE51E" w14:textId="7930CE13" w:rsidR="00CE5203" w:rsidRPr="00DB2F0F" w:rsidRDefault="00CE5203" w:rsidP="00CE2AEB">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Les fluctuations des précipitations affectent également l'écoulement des rivières et des affluents qui alimentent les zones humides comme le Parc national de Diawling et les lagunes côtières.</w:t>
      </w:r>
    </w:p>
    <w:p w14:paraId="180D8937" w14:textId="77777777" w:rsidR="00CE2AEB" w:rsidRPr="00CE2AEB" w:rsidRDefault="00CE2AEB" w:rsidP="00CE2AEB">
      <w:pPr>
        <w:pStyle w:val="NormalWeb"/>
        <w:spacing w:before="0" w:beforeAutospacing="0" w:after="0" w:afterAutospacing="0"/>
        <w:jc w:val="both"/>
        <w:rPr>
          <w:rFonts w:ascii="Century Gothic" w:hAnsi="Century Gothic"/>
        </w:rPr>
      </w:pPr>
    </w:p>
    <w:p w14:paraId="44A4C731" w14:textId="2D29B522" w:rsidR="00CE5203" w:rsidRPr="00CE2AEB" w:rsidRDefault="00CE5203" w:rsidP="005625B5">
      <w:pPr>
        <w:pStyle w:val="NormalWeb"/>
        <w:numPr>
          <w:ilvl w:val="0"/>
          <w:numId w:val="5"/>
        </w:numPr>
        <w:spacing w:before="0" w:beforeAutospacing="0" w:after="0" w:afterAutospacing="0"/>
        <w:jc w:val="both"/>
        <w:rPr>
          <w:rFonts w:ascii="Century Gothic" w:hAnsi="Century Gothic"/>
        </w:rPr>
      </w:pPr>
      <w:r w:rsidRPr="00CE2AEB">
        <w:rPr>
          <w:rFonts w:ascii="Century Gothic" w:hAnsi="Century Gothic"/>
          <w:b/>
          <w:bCs/>
        </w:rPr>
        <w:t>Vent et Evaporation</w:t>
      </w:r>
    </w:p>
    <w:p w14:paraId="25FB280C" w14:textId="6AFC35DA" w:rsidR="00850C6F" w:rsidRPr="00DB2F0F" w:rsidRDefault="00CE5203" w:rsidP="005B0A06">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Les vents dominants, en particulier les alizés, jouent un rôle crucial dans la circulation océanique et l'upwelling côtier (remontée d'eau profonde riche en nutriments). Ces processus affectent la productivité marine et la biodiversité des écosystèmes côtiers.</w:t>
      </w:r>
    </w:p>
    <w:p w14:paraId="3AACAC27" w14:textId="356A8C20" w:rsidR="00CE5203" w:rsidRDefault="00CE5203" w:rsidP="00CE5203">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L'évaporation est également un facteur clé, en particulier dans les zones côtières et les estuaires où l'eau douce des rivières et des pluies est diluée par l'eau salée, affectant la salinité et les conditions de vie des espèces marines et littorales.</w:t>
      </w:r>
    </w:p>
    <w:p w14:paraId="5BD1D0D9" w14:textId="77777777" w:rsidR="00197515" w:rsidRPr="00DB2F0F" w:rsidRDefault="00197515" w:rsidP="00CE5203">
      <w:pPr>
        <w:pStyle w:val="NormalWeb"/>
        <w:spacing w:before="0" w:beforeAutospacing="0" w:after="0" w:afterAutospacing="0"/>
        <w:jc w:val="both"/>
        <w:rPr>
          <w:rFonts w:ascii="Century Gothic" w:hAnsi="Century Gothic"/>
          <w:sz w:val="22"/>
          <w:szCs w:val="22"/>
        </w:rPr>
      </w:pPr>
    </w:p>
    <w:p w14:paraId="027A4FE5" w14:textId="0444CD1C" w:rsidR="00CE5203" w:rsidRPr="00CE2AEB" w:rsidRDefault="00CE5203" w:rsidP="005625B5">
      <w:pPr>
        <w:pStyle w:val="NormalWeb"/>
        <w:numPr>
          <w:ilvl w:val="0"/>
          <w:numId w:val="5"/>
        </w:numPr>
        <w:spacing w:before="0" w:beforeAutospacing="0" w:after="0" w:afterAutospacing="0"/>
        <w:jc w:val="both"/>
        <w:rPr>
          <w:rFonts w:ascii="Century Gothic" w:hAnsi="Century Gothic"/>
        </w:rPr>
      </w:pPr>
      <w:r w:rsidRPr="00CE2AEB">
        <w:rPr>
          <w:rFonts w:ascii="Century Gothic" w:hAnsi="Century Gothic"/>
          <w:b/>
          <w:bCs/>
        </w:rPr>
        <w:t>Élévation du Niveau de la Mer (ENM)</w:t>
      </w:r>
    </w:p>
    <w:p w14:paraId="1CDC0FAC" w14:textId="15345D5F" w:rsidR="00CE2AEB" w:rsidRDefault="00CE5203" w:rsidP="00CE2AEB">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L'élévation du niveau de la mer constitue une menace directe pour les zones côtières et marines de Mauritanie, en particulier pour les mangroves, les plages et les estuaires. Cela modifie l'équilibre écologique, provoque l'érosion des côtes et augmente la salinisation des terres agricoles et des habitats naturels.</w:t>
      </w:r>
    </w:p>
    <w:p w14:paraId="1B45EDA0" w14:textId="77777777" w:rsidR="00197515" w:rsidRPr="00DB2F0F" w:rsidRDefault="00197515" w:rsidP="00CE2AEB">
      <w:pPr>
        <w:pStyle w:val="NormalWeb"/>
        <w:spacing w:before="0" w:beforeAutospacing="0" w:after="0" w:afterAutospacing="0"/>
        <w:jc w:val="both"/>
        <w:rPr>
          <w:rFonts w:ascii="Century Gothic" w:hAnsi="Century Gothic"/>
          <w:sz w:val="22"/>
          <w:szCs w:val="22"/>
        </w:rPr>
      </w:pPr>
    </w:p>
    <w:p w14:paraId="79830DB1" w14:textId="71B3AE58" w:rsidR="00A21608" w:rsidRPr="00FA36EC" w:rsidRDefault="00CE2AEB" w:rsidP="00732F37">
      <w:pPr>
        <w:rPr>
          <w:rFonts w:ascii="Century Gothic" w:hAnsi="Century Gothic"/>
          <w:b/>
          <w:bCs/>
          <w:color w:val="4472C4" w:themeColor="accent1"/>
        </w:rPr>
      </w:pPr>
      <w:r w:rsidRPr="00FA36EC">
        <w:rPr>
          <w:rFonts w:ascii="Century Gothic" w:hAnsi="Century Gothic"/>
          <w:b/>
          <w:bCs/>
          <w:color w:val="4472C4" w:themeColor="accent1"/>
        </w:rPr>
        <w:t>B</w:t>
      </w:r>
      <w:r w:rsidR="000E260C" w:rsidRPr="00FA36EC">
        <w:rPr>
          <w:rFonts w:ascii="Century Gothic" w:hAnsi="Century Gothic"/>
          <w:b/>
          <w:bCs/>
          <w:color w:val="4472C4" w:themeColor="accent1"/>
        </w:rPr>
        <w:t>. Facteurs Biophysiques</w:t>
      </w:r>
    </w:p>
    <w:p w14:paraId="0EB321D5" w14:textId="77777777" w:rsidR="00CE2AEB" w:rsidRPr="00DB2F0F" w:rsidRDefault="00CE2AEB" w:rsidP="00CE2AEB">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Les écosystèmes mauritaniens sont diversifiés et incluent :</w:t>
      </w:r>
    </w:p>
    <w:p w14:paraId="092598A3" w14:textId="77777777" w:rsidR="00CE2AEB" w:rsidRPr="00DB2F0F" w:rsidRDefault="00CE2AEB" w:rsidP="00CE2AEB">
      <w:pPr>
        <w:pStyle w:val="NormalWeb"/>
        <w:spacing w:before="0" w:beforeAutospacing="0" w:after="0" w:afterAutospacing="0"/>
        <w:jc w:val="both"/>
        <w:rPr>
          <w:rFonts w:ascii="Century Gothic" w:hAnsi="Century Gothic"/>
          <w:sz w:val="22"/>
          <w:szCs w:val="22"/>
        </w:rPr>
      </w:pPr>
    </w:p>
    <w:p w14:paraId="025D57CC" w14:textId="77777777" w:rsidR="00CE2AEB" w:rsidRPr="00DB2F0F" w:rsidRDefault="00CE2AEB" w:rsidP="005625B5">
      <w:pPr>
        <w:pStyle w:val="NormalWeb"/>
        <w:numPr>
          <w:ilvl w:val="3"/>
          <w:numId w:val="25"/>
        </w:numPr>
        <w:spacing w:before="0" w:beforeAutospacing="0" w:after="0" w:afterAutospacing="0"/>
        <w:ind w:left="798"/>
        <w:jc w:val="both"/>
        <w:rPr>
          <w:rFonts w:ascii="Century Gothic" w:hAnsi="Century Gothic"/>
          <w:sz w:val="22"/>
          <w:szCs w:val="22"/>
        </w:rPr>
      </w:pPr>
      <w:r w:rsidRPr="00FA36EC">
        <w:rPr>
          <w:rFonts w:ascii="Century Gothic" w:hAnsi="Century Gothic"/>
          <w:b/>
          <w:bCs/>
          <w:sz w:val="22"/>
          <w:szCs w:val="22"/>
          <w:highlight w:val="yellow"/>
        </w:rPr>
        <w:t>Écosystèmes Sahéliens</w:t>
      </w:r>
      <w:r w:rsidRPr="00DB2F0F">
        <w:rPr>
          <w:rFonts w:ascii="Century Gothic" w:hAnsi="Century Gothic"/>
          <w:sz w:val="22"/>
          <w:szCs w:val="22"/>
        </w:rPr>
        <w:t xml:space="preserve"> : Riches en biodiversité, ces zones sont essentielles pour l'agriculture et le pâturage. Elles subissent cependant une pression accrue due à la déforestation et à l'urbanisation.</w:t>
      </w:r>
    </w:p>
    <w:p w14:paraId="51FDD186" w14:textId="77777777" w:rsidR="00CE2AEB" w:rsidRPr="00DB2F0F" w:rsidRDefault="00CE2AEB" w:rsidP="00F01190">
      <w:pPr>
        <w:pStyle w:val="NormalWeb"/>
        <w:spacing w:before="0" w:beforeAutospacing="0" w:after="0" w:afterAutospacing="0"/>
        <w:ind w:left="798"/>
        <w:jc w:val="both"/>
        <w:rPr>
          <w:rFonts w:ascii="Century Gothic" w:hAnsi="Century Gothic"/>
          <w:sz w:val="22"/>
          <w:szCs w:val="22"/>
        </w:rPr>
      </w:pPr>
    </w:p>
    <w:p w14:paraId="115BE62A" w14:textId="77777777" w:rsidR="00CE2AEB" w:rsidRPr="00DB2F0F" w:rsidRDefault="00CE2AEB" w:rsidP="005625B5">
      <w:pPr>
        <w:pStyle w:val="NormalWeb"/>
        <w:numPr>
          <w:ilvl w:val="3"/>
          <w:numId w:val="25"/>
        </w:numPr>
        <w:spacing w:before="0" w:beforeAutospacing="0" w:after="0" w:afterAutospacing="0"/>
        <w:ind w:left="798"/>
        <w:jc w:val="both"/>
        <w:rPr>
          <w:rFonts w:ascii="Century Gothic" w:hAnsi="Century Gothic"/>
          <w:sz w:val="22"/>
          <w:szCs w:val="22"/>
        </w:rPr>
      </w:pPr>
      <w:r w:rsidRPr="00FA36EC">
        <w:rPr>
          <w:rFonts w:ascii="Century Gothic" w:hAnsi="Century Gothic"/>
          <w:b/>
          <w:bCs/>
          <w:sz w:val="22"/>
          <w:szCs w:val="22"/>
          <w:highlight w:val="cyan"/>
        </w:rPr>
        <w:t>Zones Humides</w:t>
      </w:r>
      <w:r w:rsidRPr="00DB2F0F">
        <w:rPr>
          <w:rFonts w:ascii="Century Gothic" w:hAnsi="Century Gothic"/>
          <w:sz w:val="22"/>
          <w:szCs w:val="22"/>
        </w:rPr>
        <w:t xml:space="preserve"> : Cruciales pour la biodiversité faunique et floristique, ces zones sont menacées par la variabilité des précipitations et les activités humaines.</w:t>
      </w:r>
    </w:p>
    <w:p w14:paraId="0D9993A1" w14:textId="77777777" w:rsidR="00CE2AEB" w:rsidRPr="00DB2F0F" w:rsidRDefault="00CE2AEB" w:rsidP="00F01190">
      <w:pPr>
        <w:pStyle w:val="NormalWeb"/>
        <w:spacing w:before="0" w:beforeAutospacing="0" w:after="0" w:afterAutospacing="0"/>
        <w:ind w:left="798"/>
        <w:jc w:val="both"/>
        <w:rPr>
          <w:rFonts w:ascii="Century Gothic" w:hAnsi="Century Gothic"/>
          <w:sz w:val="22"/>
          <w:szCs w:val="22"/>
        </w:rPr>
      </w:pPr>
    </w:p>
    <w:p w14:paraId="57C14E12" w14:textId="6FD41D6B" w:rsidR="00CE2AEB" w:rsidRPr="00DB2F0F" w:rsidRDefault="00CE2AEB" w:rsidP="005625B5">
      <w:pPr>
        <w:pStyle w:val="NormalWeb"/>
        <w:numPr>
          <w:ilvl w:val="3"/>
          <w:numId w:val="25"/>
        </w:numPr>
        <w:spacing w:before="0" w:beforeAutospacing="0" w:after="0" w:afterAutospacing="0"/>
        <w:ind w:left="798"/>
        <w:jc w:val="both"/>
        <w:rPr>
          <w:rFonts w:ascii="Century Gothic" w:hAnsi="Century Gothic"/>
          <w:sz w:val="22"/>
          <w:szCs w:val="22"/>
        </w:rPr>
      </w:pPr>
      <w:r w:rsidRPr="00FA36EC">
        <w:rPr>
          <w:rFonts w:ascii="Century Gothic" w:hAnsi="Century Gothic"/>
          <w:b/>
          <w:bCs/>
          <w:color w:val="003399"/>
          <w:sz w:val="22"/>
          <w:szCs w:val="22"/>
        </w:rPr>
        <w:t>Écosystèmes Côtiers</w:t>
      </w:r>
      <w:r w:rsidRPr="00FA36EC">
        <w:rPr>
          <w:rFonts w:ascii="Century Gothic" w:hAnsi="Century Gothic"/>
          <w:b/>
          <w:bCs/>
          <w:sz w:val="22"/>
          <w:szCs w:val="22"/>
        </w:rPr>
        <w:t xml:space="preserve"> </w:t>
      </w:r>
      <w:r w:rsidRPr="00DB2F0F">
        <w:rPr>
          <w:rFonts w:ascii="Century Gothic" w:hAnsi="Century Gothic"/>
          <w:sz w:val="22"/>
          <w:szCs w:val="22"/>
        </w:rPr>
        <w:t>: La façade maritime abrite une riche biodiversité marine, mais est menacée par l'érosion côtière et l'élévation du niveau de la mer.</w:t>
      </w:r>
    </w:p>
    <w:p w14:paraId="10954FB8" w14:textId="73C537C4" w:rsidR="007C7225" w:rsidRPr="00DB2F0F" w:rsidRDefault="007C7225" w:rsidP="007C7225">
      <w:pPr>
        <w:pStyle w:val="Paragraphedeliste"/>
        <w:rPr>
          <w:rFonts w:ascii="Century Gothic" w:hAnsi="Century Gothic"/>
          <w:sz w:val="20"/>
          <w:szCs w:val="20"/>
        </w:rPr>
      </w:pPr>
    </w:p>
    <w:p w14:paraId="6FF94499" w14:textId="5DEE4A4E" w:rsidR="001211C0" w:rsidRPr="009B76FE" w:rsidRDefault="001211C0" w:rsidP="00FA36EC">
      <w:pPr>
        <w:ind w:right="-284"/>
        <w:rPr>
          <w:rFonts w:ascii="Century Gothic" w:hAnsi="Century Gothic"/>
        </w:rPr>
      </w:pPr>
      <w:r w:rsidRPr="009B76FE">
        <w:rPr>
          <w:rFonts w:ascii="Century Gothic" w:hAnsi="Century Gothic"/>
        </w:rPr>
        <w:t>De 2001 à 2023, la Mauritanie a perdu un totale de 8,34 k</w:t>
      </w:r>
      <w:r w:rsidR="00922145" w:rsidRPr="009B76FE">
        <w:rPr>
          <w:rFonts w:ascii="Century Gothic" w:hAnsi="Century Gothic"/>
        </w:rPr>
        <w:t>m</w:t>
      </w:r>
      <w:r w:rsidR="00922145" w:rsidRPr="009B76FE">
        <w:rPr>
          <w:rFonts w:ascii="Century Gothic" w:hAnsi="Century Gothic"/>
          <w:vertAlign w:val="superscript"/>
        </w:rPr>
        <w:t>2</w:t>
      </w:r>
      <w:r w:rsidR="000809A2" w:rsidRPr="009B76FE">
        <w:rPr>
          <w:rFonts w:ascii="Century Gothic" w:hAnsi="Century Gothic"/>
        </w:rPr>
        <w:t xml:space="preserve"> de la couverture </w:t>
      </w:r>
      <w:r w:rsidR="00C17261" w:rsidRPr="009B76FE">
        <w:rPr>
          <w:rFonts w:ascii="Century Gothic" w:hAnsi="Century Gothic"/>
        </w:rPr>
        <w:t xml:space="preserve">végétale </w:t>
      </w:r>
      <w:r w:rsidR="00107FD3" w:rsidRPr="009B76FE">
        <w:rPr>
          <w:rFonts w:ascii="Century Gothic" w:hAnsi="Century Gothic"/>
        </w:rPr>
        <w:t>(figure</w:t>
      </w:r>
      <w:r w:rsidR="009B76FE">
        <w:rPr>
          <w:rFonts w:ascii="Century Gothic" w:hAnsi="Century Gothic"/>
        </w:rPr>
        <w:t>4</w:t>
      </w:r>
      <w:r w:rsidR="00107FD3" w:rsidRPr="009B76FE">
        <w:rPr>
          <w:rFonts w:ascii="Century Gothic" w:hAnsi="Century Gothic"/>
        </w:rPr>
        <w:t>).</w:t>
      </w:r>
    </w:p>
    <w:p w14:paraId="17756BBE" w14:textId="2B15B0C9" w:rsidR="00CE2AEB" w:rsidRDefault="001211C0" w:rsidP="00CE2AEB">
      <w:pPr>
        <w:pStyle w:val="NormalWeb"/>
        <w:spacing w:before="0" w:beforeAutospacing="0" w:after="0" w:afterAutospacing="0"/>
        <w:jc w:val="both"/>
        <w:rPr>
          <w:rFonts w:ascii="Century Gothic" w:hAnsi="Century Gothic"/>
        </w:rPr>
      </w:pPr>
      <w:r w:rsidRPr="00A929FA">
        <w:rPr>
          <w:rFonts w:ascii="Century Gothic" w:hAnsi="Century Gothic"/>
          <w:noProof/>
          <w:lang w:val="fr-FR" w:eastAsia="fr-FR"/>
        </w:rPr>
        <w:drawing>
          <wp:inline distT="0" distB="0" distL="0" distR="0" wp14:anchorId="7A2BD586" wp14:editId="59A6B76D">
            <wp:extent cx="5760720" cy="3123565"/>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760720" cy="3123565"/>
                    </a:xfrm>
                    <a:prstGeom prst="rect">
                      <a:avLst/>
                    </a:prstGeom>
                  </pic:spPr>
                </pic:pic>
              </a:graphicData>
            </a:graphic>
          </wp:inline>
        </w:drawing>
      </w:r>
    </w:p>
    <w:p w14:paraId="6D532DEC" w14:textId="4CA8FDFC" w:rsidR="001211C0" w:rsidRPr="009B76FE" w:rsidRDefault="00DE261F" w:rsidP="009B76FE">
      <w:pPr>
        <w:pStyle w:val="Lgende"/>
        <w:rPr>
          <w:rFonts w:ascii="Century Gothic" w:hAnsi="Century Gothic"/>
          <w:lang w:val="en-CA"/>
        </w:rPr>
      </w:pPr>
      <w:bookmarkStart w:id="30" w:name="_Toc189305550"/>
      <w:r w:rsidRPr="00DE261F">
        <w:rPr>
          <w:lang w:val="en-CA"/>
        </w:rPr>
        <w:t xml:space="preserve">Figure </w:t>
      </w:r>
      <w:r>
        <w:fldChar w:fldCharType="begin"/>
      </w:r>
      <w:r w:rsidRPr="00DE261F">
        <w:rPr>
          <w:lang w:val="en-CA"/>
        </w:rPr>
        <w:instrText xml:space="preserve"> SEQ Figure \* ARABIC </w:instrText>
      </w:r>
      <w:r>
        <w:fldChar w:fldCharType="separate"/>
      </w:r>
      <w:r>
        <w:rPr>
          <w:noProof/>
          <w:lang w:val="en-CA"/>
        </w:rPr>
        <w:t>4</w:t>
      </w:r>
      <w:r>
        <w:fldChar w:fldCharType="end"/>
      </w:r>
      <w:r w:rsidRPr="00DE261F">
        <w:rPr>
          <w:lang w:val="en-CA"/>
        </w:rPr>
        <w:t xml:space="preserve"> Trees cover loss (sources: United States Geological Survey (USGS); National Aeronautics and Space Administration (NASA))</w:t>
      </w:r>
      <w:bookmarkEnd w:id="30"/>
    </w:p>
    <w:p w14:paraId="168ECF9C" w14:textId="513CC3E8" w:rsidR="00CE5203" w:rsidRPr="00FA36EC" w:rsidRDefault="00CE5203" w:rsidP="005625B5">
      <w:pPr>
        <w:pStyle w:val="NormalWeb"/>
        <w:numPr>
          <w:ilvl w:val="0"/>
          <w:numId w:val="7"/>
        </w:numPr>
        <w:spacing w:before="0" w:beforeAutospacing="0" w:after="120" w:afterAutospacing="0"/>
        <w:ind w:left="425" w:hanging="425"/>
        <w:jc w:val="both"/>
        <w:rPr>
          <w:rFonts w:ascii="Century Gothic" w:hAnsi="Century Gothic"/>
          <w:b/>
          <w:bCs/>
          <w:sz w:val="22"/>
          <w:szCs w:val="22"/>
        </w:rPr>
      </w:pPr>
      <w:r w:rsidRPr="00FA36EC">
        <w:rPr>
          <w:rFonts w:ascii="Century Gothic" w:hAnsi="Century Gothic"/>
          <w:b/>
          <w:bCs/>
          <w:sz w:val="22"/>
          <w:szCs w:val="22"/>
        </w:rPr>
        <w:t>Biodiversité et Écosystèmes</w:t>
      </w:r>
    </w:p>
    <w:p w14:paraId="7FBF426C" w14:textId="69DC7FDF" w:rsidR="00CE5203" w:rsidRDefault="00CE5203" w:rsidP="00CE5203">
      <w:pPr>
        <w:pStyle w:val="NormalWeb"/>
        <w:spacing w:before="0" w:beforeAutospacing="0" w:after="0" w:afterAutospacing="0"/>
        <w:jc w:val="both"/>
        <w:rPr>
          <w:rFonts w:ascii="Century Gothic" w:hAnsi="Century Gothic"/>
          <w:sz w:val="22"/>
          <w:szCs w:val="22"/>
        </w:rPr>
      </w:pPr>
      <w:r w:rsidRPr="00FA36EC">
        <w:rPr>
          <w:rFonts w:ascii="Century Gothic" w:hAnsi="Century Gothic"/>
          <w:b/>
          <w:bCs/>
          <w:color w:val="A20000"/>
          <w:sz w:val="22"/>
          <w:szCs w:val="22"/>
        </w:rPr>
        <w:t>Écosystèmes marins</w:t>
      </w:r>
      <w:r w:rsidRPr="00FA36EC">
        <w:rPr>
          <w:rFonts w:ascii="Century Gothic" w:hAnsi="Century Gothic"/>
          <w:color w:val="A20000"/>
          <w:sz w:val="22"/>
          <w:szCs w:val="22"/>
        </w:rPr>
        <w:t xml:space="preserve"> </w:t>
      </w:r>
      <w:r w:rsidRPr="00DB2F0F">
        <w:rPr>
          <w:rFonts w:ascii="Century Gothic" w:hAnsi="Century Gothic"/>
          <w:sz w:val="22"/>
          <w:szCs w:val="22"/>
        </w:rPr>
        <w:t>: Les récifs coralliens, les herbiers marins, les bancs de sable et les zones de reproduction des poissons sont essentiels pour la biodiversité et la sécurité alimentaire des populations locales. Les mangroves et les estuaires, par exemple, sont des habitats cruciaux pour de nombreuses espèces de poissons et d'oiseaux migrateurs.</w:t>
      </w:r>
    </w:p>
    <w:p w14:paraId="4B22860C" w14:textId="067D53C1" w:rsidR="00DE054B" w:rsidRDefault="00DE054B" w:rsidP="00CE5203">
      <w:pPr>
        <w:pStyle w:val="NormalWeb"/>
        <w:spacing w:before="0" w:beforeAutospacing="0" w:after="0" w:afterAutospacing="0"/>
        <w:jc w:val="both"/>
        <w:rPr>
          <w:rFonts w:ascii="Century Gothic" w:hAnsi="Century Gothic"/>
          <w:sz w:val="22"/>
          <w:szCs w:val="22"/>
        </w:rPr>
      </w:pPr>
    </w:p>
    <w:p w14:paraId="1102BAFA" w14:textId="16A6D762" w:rsidR="00DE054B" w:rsidRDefault="00DE054B" w:rsidP="00DE054B">
      <w:pPr>
        <w:pStyle w:val="NormalWeb"/>
        <w:spacing w:before="0" w:beforeAutospacing="0" w:after="0" w:afterAutospacing="0"/>
        <w:jc w:val="both"/>
        <w:rPr>
          <w:rFonts w:ascii="Century Gothic" w:hAnsi="Century Gothic"/>
          <w:sz w:val="22"/>
          <w:szCs w:val="22"/>
        </w:rPr>
      </w:pPr>
      <w:r w:rsidRPr="00FA36EC">
        <w:rPr>
          <w:rFonts w:ascii="Century Gothic" w:hAnsi="Century Gothic"/>
          <w:b/>
          <w:bCs/>
          <w:color w:val="A20000"/>
          <w:sz w:val="22"/>
          <w:szCs w:val="22"/>
        </w:rPr>
        <w:t>Écosystèmes littoraux et continentaux</w:t>
      </w:r>
      <w:r w:rsidRPr="00DB2F0F">
        <w:rPr>
          <w:rFonts w:ascii="Century Gothic" w:hAnsi="Century Gothic"/>
          <w:sz w:val="22"/>
          <w:szCs w:val="22"/>
        </w:rPr>
        <w:t xml:space="preserve"> : Les zones humides, les marais salants, et les dunes jouent un rôle clé dans la filtration des eaux et la régulation des habitats côtiers. En outre, la biodiversité des zones de transition entre le fleuve Sénégal et la mer, comme le Parc National de Diawling, est sensible aux variations climatiques.</w:t>
      </w:r>
    </w:p>
    <w:p w14:paraId="2340FED7" w14:textId="0F7D3CE6" w:rsidR="00DE054B" w:rsidRDefault="00DE054B" w:rsidP="00DE054B">
      <w:pPr>
        <w:rPr>
          <w:rFonts w:ascii="Century Gothic" w:eastAsia="Times New Roman" w:hAnsi="Century Gothic" w:cs="Times New Roman"/>
          <w:lang w:val="wo-SN" w:eastAsia="wo-SN"/>
        </w:rPr>
      </w:pPr>
    </w:p>
    <w:p w14:paraId="2F415005" w14:textId="4DE169EB" w:rsidR="00DE054B" w:rsidRPr="00DE054B" w:rsidRDefault="00DE054B" w:rsidP="00F770FC">
      <w:pPr>
        <w:pStyle w:val="NormalWeb"/>
        <w:spacing w:before="0" w:beforeAutospacing="0" w:after="0" w:afterAutospacing="0"/>
        <w:jc w:val="both"/>
        <w:rPr>
          <w:rFonts w:ascii="Century Gothic" w:hAnsi="Century Gothic"/>
        </w:rPr>
      </w:pPr>
      <w:r w:rsidRPr="00DE054B">
        <w:rPr>
          <w:rFonts w:ascii="Century Gothic" w:hAnsi="Century Gothic"/>
        </w:rPr>
        <w:t>En 2015, l'intégrité moyenne de la biodiversité terrestre en Mauritanie était de 80 %, ce qui signifie que l'abondance relative des espèces indigènes a diminué en moyenne de 20 % par rapport à une zone ayant un impact humain minimal</w:t>
      </w:r>
      <w:r>
        <w:rPr>
          <w:rFonts w:ascii="Century Gothic" w:hAnsi="Century Gothic"/>
        </w:rPr>
        <w:t xml:space="preserve"> (figure 5).</w:t>
      </w:r>
    </w:p>
    <w:p w14:paraId="5295FF46" w14:textId="77777777" w:rsidR="00DE054B" w:rsidRPr="00DE054B" w:rsidRDefault="00DE054B" w:rsidP="00DE054B">
      <w:pPr>
        <w:rPr>
          <w:lang w:eastAsia="wo-SN"/>
        </w:rPr>
      </w:pPr>
    </w:p>
    <w:p w14:paraId="6C720758" w14:textId="276A916B" w:rsidR="007C7225" w:rsidRPr="00CE2AEB" w:rsidRDefault="00065B4A" w:rsidP="00CE5203">
      <w:pPr>
        <w:pStyle w:val="NormalWeb"/>
        <w:spacing w:before="0" w:beforeAutospacing="0" w:after="0" w:afterAutospacing="0"/>
        <w:jc w:val="both"/>
        <w:rPr>
          <w:rFonts w:ascii="Century Gothic" w:hAnsi="Century Gothic"/>
        </w:rPr>
      </w:pPr>
      <w:r w:rsidRPr="004F75D4">
        <w:rPr>
          <w:rFonts w:ascii="Century Gothic" w:hAnsi="Century Gothic"/>
          <w:noProof/>
          <w:lang w:val="fr-FR" w:eastAsia="fr-FR"/>
        </w:rPr>
        <w:drawing>
          <wp:inline distT="0" distB="0" distL="0" distR="0" wp14:anchorId="3E598FC9" wp14:editId="6BD7C961">
            <wp:extent cx="5760720" cy="3884930"/>
            <wp:effectExtent l="0" t="0" r="0" b="127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760720" cy="3884930"/>
                    </a:xfrm>
                    <a:prstGeom prst="rect">
                      <a:avLst/>
                    </a:prstGeom>
                  </pic:spPr>
                </pic:pic>
              </a:graphicData>
            </a:graphic>
          </wp:inline>
        </w:drawing>
      </w:r>
    </w:p>
    <w:p w14:paraId="610C7270" w14:textId="07F8AB9E" w:rsidR="00CE5203" w:rsidRPr="00DE054B" w:rsidRDefault="00DE261F" w:rsidP="00DE054B">
      <w:pPr>
        <w:pStyle w:val="Lgende"/>
        <w:rPr>
          <w:rFonts w:ascii="Century Gothic" w:hAnsi="Century Gothic"/>
          <w:sz w:val="20"/>
          <w:szCs w:val="20"/>
          <w:lang w:val="en-CA"/>
        </w:rPr>
      </w:pPr>
      <w:bookmarkStart w:id="31" w:name="_Toc189305551"/>
      <w:r w:rsidRPr="00DE261F">
        <w:rPr>
          <w:lang w:val="en-CA"/>
        </w:rPr>
        <w:t xml:space="preserve">Figure </w:t>
      </w:r>
      <w:r>
        <w:fldChar w:fldCharType="begin"/>
      </w:r>
      <w:r w:rsidRPr="00DE261F">
        <w:rPr>
          <w:lang w:val="en-CA"/>
        </w:rPr>
        <w:instrText xml:space="preserve"> SEQ Figure \* ARABIC </w:instrText>
      </w:r>
      <w:r>
        <w:fldChar w:fldCharType="separate"/>
      </w:r>
      <w:r>
        <w:rPr>
          <w:noProof/>
          <w:lang w:val="en-CA"/>
        </w:rPr>
        <w:t>5</w:t>
      </w:r>
      <w:r>
        <w:fldChar w:fldCharType="end"/>
      </w:r>
      <w:r w:rsidRPr="00DE261F">
        <w:rPr>
          <w:lang w:val="en-CA"/>
        </w:rPr>
        <w:t xml:space="preserve"> Biodiversity Intactness index (source: United Nations Environment Programme World Conservation Monitoring Centre (UNEP-WCMC); Natural History Museum; Commonwealth Scientific and Industrial Research Organisation, Canberra (CSIRO))</w:t>
      </w:r>
      <w:bookmarkEnd w:id="31"/>
    </w:p>
    <w:p w14:paraId="358F185E" w14:textId="253EC275" w:rsidR="00CE5203" w:rsidRPr="00FA36EC" w:rsidRDefault="00CE5203" w:rsidP="005625B5">
      <w:pPr>
        <w:pStyle w:val="NormalWeb"/>
        <w:numPr>
          <w:ilvl w:val="0"/>
          <w:numId w:val="7"/>
        </w:numPr>
        <w:spacing w:before="0" w:beforeAutospacing="0" w:after="0" w:afterAutospacing="0"/>
        <w:ind w:left="426" w:hanging="426"/>
        <w:jc w:val="both"/>
        <w:rPr>
          <w:rFonts w:ascii="Century Gothic" w:hAnsi="Century Gothic"/>
          <w:b/>
          <w:bCs/>
          <w:sz w:val="22"/>
          <w:szCs w:val="22"/>
        </w:rPr>
      </w:pPr>
      <w:r w:rsidRPr="00FA36EC">
        <w:rPr>
          <w:rFonts w:ascii="Century Gothic" w:hAnsi="Century Gothic"/>
          <w:b/>
          <w:bCs/>
          <w:sz w:val="22"/>
          <w:szCs w:val="22"/>
        </w:rPr>
        <w:t>Flux de Nutriments et Productivité</w:t>
      </w:r>
    </w:p>
    <w:p w14:paraId="4DA69448" w14:textId="5FA68F90" w:rsidR="00CE5203" w:rsidRPr="00DB2F0F" w:rsidRDefault="00CE5203" w:rsidP="00CE5203">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Les courants marins et l'upwelling apportent des nutriments dans les zones côtières, favorisant la productivité primaire et la diversité des espèces marines. Les variations dans l'intensité de ces phénomènes peuvent affecter la pêche, un secteur vital pour l’économie du pays.</w:t>
      </w:r>
    </w:p>
    <w:p w14:paraId="0A936899" w14:textId="77777777" w:rsidR="00CE5203" w:rsidRPr="00CE2AEB" w:rsidRDefault="00CE5203" w:rsidP="00CE5203">
      <w:pPr>
        <w:pStyle w:val="NormalWeb"/>
        <w:spacing w:before="0" w:beforeAutospacing="0" w:after="0" w:afterAutospacing="0"/>
        <w:jc w:val="both"/>
        <w:rPr>
          <w:rFonts w:ascii="Century Gothic" w:hAnsi="Century Gothic"/>
        </w:rPr>
      </w:pPr>
    </w:p>
    <w:p w14:paraId="54207246" w14:textId="777A4E25" w:rsidR="00CE5203" w:rsidRPr="00FA36EC" w:rsidRDefault="00CE5203" w:rsidP="005625B5">
      <w:pPr>
        <w:pStyle w:val="NormalWeb"/>
        <w:numPr>
          <w:ilvl w:val="0"/>
          <w:numId w:val="7"/>
        </w:numPr>
        <w:spacing w:before="0" w:beforeAutospacing="0" w:after="0" w:afterAutospacing="0"/>
        <w:ind w:left="426" w:hanging="426"/>
        <w:jc w:val="both"/>
        <w:rPr>
          <w:rFonts w:ascii="Century Gothic" w:hAnsi="Century Gothic"/>
          <w:b/>
          <w:bCs/>
          <w:sz w:val="22"/>
          <w:szCs w:val="22"/>
        </w:rPr>
      </w:pPr>
      <w:r w:rsidRPr="00FA36EC">
        <w:rPr>
          <w:rFonts w:ascii="Century Gothic" w:hAnsi="Century Gothic"/>
          <w:b/>
          <w:bCs/>
          <w:sz w:val="22"/>
          <w:szCs w:val="22"/>
        </w:rPr>
        <w:t>Salinité et Phytoplancton</w:t>
      </w:r>
    </w:p>
    <w:p w14:paraId="0A320AB5" w14:textId="59772116" w:rsidR="00DE054B" w:rsidRDefault="00CE5203" w:rsidP="00DE054B">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Les changements dans la salinité des eaux côtières, influencés par les variations des précipitations et l'élévation du niveau de la mer, peuvent perturber les cycles biologiques du phytoplancton et des espèces marines qui en dépendent.</w:t>
      </w:r>
    </w:p>
    <w:p w14:paraId="4A3D303E" w14:textId="77777777" w:rsidR="00DE054B" w:rsidRDefault="00DE054B" w:rsidP="00DE054B">
      <w:pPr>
        <w:pStyle w:val="NormalWeb"/>
        <w:spacing w:before="0" w:beforeAutospacing="0" w:after="0" w:afterAutospacing="0"/>
        <w:jc w:val="both"/>
        <w:rPr>
          <w:rFonts w:ascii="Century Gothic" w:hAnsi="Century Gothic"/>
          <w:sz w:val="22"/>
          <w:szCs w:val="22"/>
        </w:rPr>
      </w:pPr>
    </w:p>
    <w:p w14:paraId="3F96A7AE" w14:textId="56AE5EE3" w:rsidR="00DE261F" w:rsidRPr="00DB2F0F" w:rsidRDefault="00DE054B" w:rsidP="00DE261F">
      <w:pPr>
        <w:pStyle w:val="Lgende"/>
        <w:rPr>
          <w:rFonts w:ascii="Century Gothic" w:hAnsi="Century Gothic"/>
          <w:sz w:val="22"/>
          <w:szCs w:val="22"/>
        </w:rPr>
      </w:pPr>
      <w:bookmarkStart w:id="32" w:name="_Toc189305534"/>
      <w:r>
        <w:rPr>
          <w:noProof/>
          <w:lang w:eastAsia="fr-FR"/>
        </w:rPr>
        <w:drawing>
          <wp:anchor distT="0" distB="0" distL="114300" distR="114300" simplePos="0" relativeHeight="251701248" behindDoc="0" locked="0" layoutInCell="1" allowOverlap="1" wp14:anchorId="5993F526" wp14:editId="505586F2">
            <wp:simplePos x="0" y="0"/>
            <wp:positionH relativeFrom="column">
              <wp:posOffset>85725</wp:posOffset>
            </wp:positionH>
            <wp:positionV relativeFrom="paragraph">
              <wp:posOffset>331470</wp:posOffset>
            </wp:positionV>
            <wp:extent cx="5589252" cy="2152650"/>
            <wp:effectExtent l="0" t="0" r="0" b="0"/>
            <wp:wrapNone/>
            <wp:docPr id="12" name="Image 12" descr="Effectifs des différents règnes et les estimations effectuées par les scientifiques (ainsi que les marges d'erreur) pour l'ensemble des milieux et pour le milieu marin. © Mora et al., 2011 - Plos Bi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ffectifs des différents règnes et les estimations effectuées par les scientifiques (ainsi que les marges d'erreur) pour l'ensemble des milieux et pour le milieu marin. © Mora et al., 2011 - Plos Biology"/>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589252"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261F">
        <w:t xml:space="preserve">Table </w:t>
      </w:r>
      <w:fldSimple w:instr=" SEQ Table \* ARABIC ">
        <w:r w:rsidR="00DE261F">
          <w:rPr>
            <w:noProof/>
          </w:rPr>
          <w:t>2</w:t>
        </w:r>
      </w:fldSimple>
      <w:r w:rsidR="00DE261F">
        <w:t xml:space="preserve"> </w:t>
      </w:r>
      <w:r w:rsidR="00DE261F" w:rsidRPr="00B235C1">
        <w:t xml:space="preserve">Effectifs des différents règnes et les estimations effectuées par les scientifiques (ainsi que les marges d'erreur) pour l'ensemble des milieux et pour le milieu marin. © Mora et al., 2011 - </w:t>
      </w:r>
      <w:proofErr w:type="spellStart"/>
      <w:r w:rsidR="00DE261F" w:rsidRPr="00B235C1">
        <w:t>Plops</w:t>
      </w:r>
      <w:proofErr w:type="spellEnd"/>
      <w:r w:rsidR="00DE261F" w:rsidRPr="00B235C1">
        <w:t xml:space="preserve"> </w:t>
      </w:r>
      <w:proofErr w:type="spellStart"/>
      <w:r w:rsidR="00DE261F" w:rsidRPr="00B235C1">
        <w:t>Biology</w:t>
      </w:r>
      <w:bookmarkEnd w:id="32"/>
      <w:proofErr w:type="spellEnd"/>
    </w:p>
    <w:p w14:paraId="188393FD" w14:textId="4F49A0E5" w:rsidR="00850C6F" w:rsidRPr="00DB2F0F" w:rsidRDefault="00850C6F" w:rsidP="00850C6F">
      <w:pPr>
        <w:pStyle w:val="NormalWeb"/>
        <w:spacing w:before="0" w:beforeAutospacing="0" w:after="0" w:afterAutospacing="0"/>
        <w:jc w:val="both"/>
        <w:rPr>
          <w:rFonts w:ascii="Century Gothic" w:hAnsi="Century Gothic"/>
          <w:sz w:val="22"/>
          <w:szCs w:val="22"/>
        </w:rPr>
      </w:pPr>
    </w:p>
    <w:p w14:paraId="00FAB811" w14:textId="1B9470B1" w:rsidR="00EC3FDF" w:rsidRDefault="00EC3FDF" w:rsidP="007C7225">
      <w:pPr>
        <w:pStyle w:val="NormalWeb"/>
        <w:spacing w:before="0" w:beforeAutospacing="0" w:after="0" w:afterAutospacing="0"/>
        <w:jc w:val="center"/>
        <w:rPr>
          <w:rFonts w:ascii="Century Gothic" w:hAnsi="Century Gothic"/>
          <w:i/>
          <w:iCs/>
          <w:color w:val="FF0000"/>
        </w:rPr>
      </w:pPr>
    </w:p>
    <w:p w14:paraId="6FA8D831" w14:textId="4478F529" w:rsidR="00CE2AEB" w:rsidRDefault="00CE2AEB" w:rsidP="00CE2AEB">
      <w:pPr>
        <w:pStyle w:val="NormalWeb"/>
        <w:spacing w:before="0" w:beforeAutospacing="0" w:after="0" w:afterAutospacing="0"/>
        <w:jc w:val="both"/>
        <w:rPr>
          <w:rFonts w:ascii="Century Gothic" w:hAnsi="Century Gothic"/>
          <w:color w:val="FF0000"/>
        </w:rPr>
      </w:pPr>
    </w:p>
    <w:p w14:paraId="6F61FA90" w14:textId="47475C27" w:rsidR="00DE054B" w:rsidRDefault="00DE054B" w:rsidP="00CE2AEB">
      <w:pPr>
        <w:pStyle w:val="NormalWeb"/>
        <w:spacing w:before="0" w:beforeAutospacing="0" w:after="0" w:afterAutospacing="0"/>
        <w:jc w:val="both"/>
        <w:rPr>
          <w:rFonts w:ascii="Century Gothic" w:hAnsi="Century Gothic"/>
          <w:color w:val="FF0000"/>
        </w:rPr>
      </w:pPr>
    </w:p>
    <w:p w14:paraId="17A7189D" w14:textId="00680DB7" w:rsidR="00DE054B" w:rsidRDefault="00DE054B" w:rsidP="00CE2AEB">
      <w:pPr>
        <w:pStyle w:val="NormalWeb"/>
        <w:spacing w:before="0" w:beforeAutospacing="0" w:after="0" w:afterAutospacing="0"/>
        <w:jc w:val="both"/>
        <w:rPr>
          <w:rFonts w:ascii="Century Gothic" w:hAnsi="Century Gothic"/>
          <w:color w:val="FF0000"/>
        </w:rPr>
      </w:pPr>
    </w:p>
    <w:p w14:paraId="32E2CE51" w14:textId="4211D30B" w:rsidR="00DE054B" w:rsidRDefault="00DE054B" w:rsidP="00CE2AEB">
      <w:pPr>
        <w:pStyle w:val="NormalWeb"/>
        <w:spacing w:before="0" w:beforeAutospacing="0" w:after="0" w:afterAutospacing="0"/>
        <w:jc w:val="both"/>
        <w:rPr>
          <w:rFonts w:ascii="Century Gothic" w:hAnsi="Century Gothic"/>
          <w:color w:val="FF0000"/>
        </w:rPr>
      </w:pPr>
    </w:p>
    <w:p w14:paraId="40DA1826" w14:textId="09DD4AC4" w:rsidR="00DE054B" w:rsidRDefault="00DE054B" w:rsidP="00CE2AEB">
      <w:pPr>
        <w:pStyle w:val="NormalWeb"/>
        <w:spacing w:before="0" w:beforeAutospacing="0" w:after="0" w:afterAutospacing="0"/>
        <w:jc w:val="both"/>
        <w:rPr>
          <w:rFonts w:ascii="Century Gothic" w:hAnsi="Century Gothic"/>
          <w:color w:val="FF0000"/>
        </w:rPr>
      </w:pPr>
    </w:p>
    <w:p w14:paraId="0989F655" w14:textId="0CBBC60B" w:rsidR="00DE054B" w:rsidRDefault="00DE054B" w:rsidP="00CE2AEB">
      <w:pPr>
        <w:pStyle w:val="NormalWeb"/>
        <w:spacing w:before="0" w:beforeAutospacing="0" w:after="0" w:afterAutospacing="0"/>
        <w:jc w:val="both"/>
        <w:rPr>
          <w:rFonts w:ascii="Century Gothic" w:hAnsi="Century Gothic"/>
          <w:color w:val="FF0000"/>
        </w:rPr>
      </w:pPr>
    </w:p>
    <w:p w14:paraId="03BC4794" w14:textId="77777777" w:rsidR="00CE5203" w:rsidRPr="00FA36EC" w:rsidRDefault="00CE5203" w:rsidP="00732F37">
      <w:pPr>
        <w:rPr>
          <w:rFonts w:ascii="Century Gothic" w:hAnsi="Century Gothic"/>
          <w:b/>
          <w:bCs/>
          <w:color w:val="4472C4" w:themeColor="accent1"/>
        </w:rPr>
      </w:pPr>
      <w:r w:rsidRPr="00FA36EC">
        <w:rPr>
          <w:rFonts w:ascii="Century Gothic" w:hAnsi="Century Gothic"/>
          <w:b/>
          <w:bCs/>
          <w:color w:val="4472C4" w:themeColor="accent1"/>
        </w:rPr>
        <w:t>C. Facteurs Édaphiques</w:t>
      </w:r>
    </w:p>
    <w:p w14:paraId="0C9D371E" w14:textId="77777777" w:rsidR="00CE2AEB" w:rsidRPr="00DB2F0F" w:rsidRDefault="00CE2AEB" w:rsidP="00CE2AEB">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Les caractéristiques du sol influencent directement la productivité des écosystèmes :</w:t>
      </w:r>
    </w:p>
    <w:p w14:paraId="06582117" w14:textId="77777777" w:rsidR="00CE2AEB" w:rsidRPr="00DB2F0F" w:rsidRDefault="00CE2AEB" w:rsidP="00CE2AEB">
      <w:pPr>
        <w:pStyle w:val="NormalWeb"/>
        <w:spacing w:before="0" w:beforeAutospacing="0" w:after="0" w:afterAutospacing="0"/>
        <w:jc w:val="both"/>
        <w:rPr>
          <w:rFonts w:ascii="Century Gothic" w:hAnsi="Century Gothic"/>
          <w:sz w:val="22"/>
          <w:szCs w:val="22"/>
        </w:rPr>
      </w:pPr>
    </w:p>
    <w:p w14:paraId="7DFA22C1" w14:textId="77777777" w:rsidR="00CE2AEB" w:rsidRPr="00DB2F0F" w:rsidRDefault="00CE2AEB" w:rsidP="005625B5">
      <w:pPr>
        <w:pStyle w:val="NormalWeb"/>
        <w:numPr>
          <w:ilvl w:val="3"/>
          <w:numId w:val="25"/>
        </w:numPr>
        <w:spacing w:before="0" w:beforeAutospacing="0" w:after="0" w:afterAutospacing="0"/>
        <w:ind w:left="851"/>
        <w:jc w:val="both"/>
        <w:rPr>
          <w:rFonts w:ascii="Century Gothic" w:hAnsi="Century Gothic"/>
          <w:sz w:val="22"/>
          <w:szCs w:val="22"/>
        </w:rPr>
      </w:pPr>
      <w:r w:rsidRPr="00FA36EC">
        <w:rPr>
          <w:rFonts w:ascii="Century Gothic" w:hAnsi="Century Gothic"/>
          <w:b/>
          <w:bCs/>
          <w:sz w:val="22"/>
          <w:szCs w:val="22"/>
          <w:highlight w:val="yellow"/>
        </w:rPr>
        <w:t>Sol Aride</w:t>
      </w:r>
      <w:r w:rsidRPr="00DB2F0F">
        <w:rPr>
          <w:rFonts w:ascii="Century Gothic" w:hAnsi="Century Gothic"/>
          <w:sz w:val="22"/>
          <w:szCs w:val="22"/>
        </w:rPr>
        <w:t xml:space="preserve"> : Les sols dans les zones désertiques sont souvent pauvres en nutriments et très sensibles à l'érosion éolienne.</w:t>
      </w:r>
    </w:p>
    <w:p w14:paraId="0014372F" w14:textId="77777777" w:rsidR="00CE2AEB" w:rsidRPr="00DB2F0F" w:rsidRDefault="00CE2AEB" w:rsidP="00F01190">
      <w:pPr>
        <w:pStyle w:val="NormalWeb"/>
        <w:spacing w:before="0" w:beforeAutospacing="0" w:after="0" w:afterAutospacing="0"/>
        <w:ind w:left="851"/>
        <w:jc w:val="both"/>
        <w:rPr>
          <w:rFonts w:ascii="Century Gothic" w:hAnsi="Century Gothic"/>
          <w:sz w:val="22"/>
          <w:szCs w:val="22"/>
        </w:rPr>
      </w:pPr>
    </w:p>
    <w:p w14:paraId="2295BD4C" w14:textId="77777777" w:rsidR="00CE2AEB" w:rsidRPr="00DB2F0F" w:rsidRDefault="00CE2AEB" w:rsidP="005625B5">
      <w:pPr>
        <w:pStyle w:val="NormalWeb"/>
        <w:numPr>
          <w:ilvl w:val="3"/>
          <w:numId w:val="25"/>
        </w:numPr>
        <w:spacing w:before="0" w:beforeAutospacing="0" w:after="0" w:afterAutospacing="0"/>
        <w:ind w:left="851"/>
        <w:jc w:val="both"/>
        <w:rPr>
          <w:rFonts w:ascii="Century Gothic" w:hAnsi="Century Gothic"/>
          <w:sz w:val="22"/>
          <w:szCs w:val="22"/>
        </w:rPr>
      </w:pPr>
      <w:r w:rsidRPr="00FA36EC">
        <w:rPr>
          <w:rFonts w:ascii="Century Gothic" w:hAnsi="Century Gothic"/>
          <w:b/>
          <w:bCs/>
          <w:sz w:val="22"/>
          <w:szCs w:val="22"/>
          <w:highlight w:val="yellow"/>
        </w:rPr>
        <w:t>Sol Sahélien</w:t>
      </w:r>
      <w:r w:rsidRPr="00DB2F0F">
        <w:rPr>
          <w:rFonts w:ascii="Century Gothic" w:hAnsi="Century Gothic"/>
          <w:sz w:val="22"/>
          <w:szCs w:val="22"/>
        </w:rPr>
        <w:t xml:space="preserve"> : Ces sols peuvent être plus fertiles mais sont vulnérables à la dégradation due aux pratiques agricoles non durables.</w:t>
      </w:r>
    </w:p>
    <w:p w14:paraId="658BE16D" w14:textId="77777777" w:rsidR="00CE2AEB" w:rsidRPr="00DB2F0F" w:rsidRDefault="00CE2AEB" w:rsidP="00F01190">
      <w:pPr>
        <w:pStyle w:val="NormalWeb"/>
        <w:spacing w:before="0" w:beforeAutospacing="0" w:after="0" w:afterAutospacing="0"/>
        <w:ind w:left="851"/>
        <w:jc w:val="both"/>
        <w:rPr>
          <w:rFonts w:ascii="Century Gothic" w:hAnsi="Century Gothic"/>
          <w:sz w:val="22"/>
          <w:szCs w:val="22"/>
        </w:rPr>
      </w:pPr>
    </w:p>
    <w:p w14:paraId="425411C0" w14:textId="227AA58B" w:rsidR="00CE2AEB" w:rsidRDefault="00CE2AEB" w:rsidP="005625B5">
      <w:pPr>
        <w:pStyle w:val="NormalWeb"/>
        <w:numPr>
          <w:ilvl w:val="3"/>
          <w:numId w:val="25"/>
        </w:numPr>
        <w:spacing w:before="0" w:beforeAutospacing="0" w:after="0" w:afterAutospacing="0"/>
        <w:ind w:left="851"/>
        <w:jc w:val="both"/>
        <w:rPr>
          <w:rFonts w:ascii="Century Gothic" w:hAnsi="Century Gothic"/>
          <w:sz w:val="22"/>
          <w:szCs w:val="22"/>
        </w:rPr>
      </w:pPr>
      <w:r w:rsidRPr="00FA36EC">
        <w:rPr>
          <w:rFonts w:ascii="Century Gothic" w:hAnsi="Century Gothic"/>
          <w:b/>
          <w:bCs/>
          <w:sz w:val="22"/>
          <w:szCs w:val="22"/>
          <w:highlight w:val="yellow"/>
        </w:rPr>
        <w:t>Zones Humides</w:t>
      </w:r>
      <w:r w:rsidRPr="00DB2F0F">
        <w:rPr>
          <w:rFonts w:ascii="Century Gothic" w:hAnsi="Century Gothic"/>
          <w:sz w:val="22"/>
          <w:szCs w:val="22"/>
        </w:rPr>
        <w:t xml:space="preserve"> : Les sols dans ces régions sont généralement riches en matière organique, mais leur santé dépend fortement des régimes de précipitations.</w:t>
      </w:r>
    </w:p>
    <w:p w14:paraId="4C20AF30" w14:textId="187D2F74" w:rsidR="00EC3FDF" w:rsidRPr="00014610" w:rsidRDefault="00014610" w:rsidP="00014610">
      <w:pPr>
        <w:spacing w:before="100" w:beforeAutospacing="1" w:after="100" w:afterAutospacing="1" w:line="240" w:lineRule="auto"/>
        <w:jc w:val="both"/>
        <w:rPr>
          <w:rFonts w:ascii="Century Gothic" w:eastAsia="Times New Roman" w:hAnsi="Century Gothic" w:cs="Times New Roman"/>
          <w:sz w:val="24"/>
          <w:szCs w:val="24"/>
          <w:lang w:eastAsia="fr-FR"/>
        </w:rPr>
      </w:pPr>
      <w:r w:rsidRPr="00014610">
        <w:rPr>
          <w:rFonts w:ascii="Century Gothic" w:eastAsia="Times New Roman" w:hAnsi="Century Gothic" w:cs="Times New Roman"/>
          <w:sz w:val="24"/>
          <w:szCs w:val="24"/>
          <w:lang w:eastAsia="fr-FR"/>
        </w:rPr>
        <w:t xml:space="preserve">En moyenne, au cours des 22 dernières années, la productivité de la végétation en Mauritanie a tendance à augmenter à un rythme de 0,09 % chaque </w:t>
      </w:r>
      <w:proofErr w:type="gramStart"/>
      <w:r w:rsidRPr="00014610">
        <w:rPr>
          <w:rFonts w:ascii="Century Gothic" w:eastAsia="Times New Roman" w:hAnsi="Century Gothic" w:cs="Times New Roman"/>
          <w:sz w:val="24"/>
          <w:szCs w:val="24"/>
          <w:lang w:eastAsia="fr-FR"/>
        </w:rPr>
        <w:t>année.</w:t>
      </w:r>
      <w:r>
        <w:rPr>
          <w:rFonts w:ascii="Century Gothic" w:eastAsia="Times New Roman" w:hAnsi="Century Gothic" w:cs="Times New Roman"/>
          <w:sz w:val="24"/>
          <w:szCs w:val="24"/>
          <w:lang w:eastAsia="fr-FR"/>
        </w:rPr>
        <w:t>(</w:t>
      </w:r>
      <w:proofErr w:type="gramEnd"/>
      <w:r>
        <w:rPr>
          <w:rFonts w:ascii="Century Gothic" w:eastAsia="Times New Roman" w:hAnsi="Century Gothic" w:cs="Times New Roman"/>
          <w:sz w:val="24"/>
          <w:szCs w:val="24"/>
          <w:lang w:eastAsia="fr-FR"/>
        </w:rPr>
        <w:t>figure 6)</w:t>
      </w:r>
    </w:p>
    <w:p w14:paraId="6E31EEA6" w14:textId="007BA107" w:rsidR="00CE2AEB" w:rsidRDefault="00EC3FDF" w:rsidP="00CE5203">
      <w:pPr>
        <w:pStyle w:val="NormalWeb"/>
        <w:spacing w:before="0" w:beforeAutospacing="0" w:after="0" w:afterAutospacing="0"/>
        <w:jc w:val="both"/>
        <w:rPr>
          <w:rFonts w:ascii="Century Gothic" w:hAnsi="Century Gothic"/>
          <w:b/>
          <w:bCs/>
          <w:color w:val="FF0000"/>
        </w:rPr>
      </w:pPr>
      <w:r w:rsidRPr="00282924">
        <w:rPr>
          <w:rFonts w:ascii="Century Gothic" w:hAnsi="Century Gothic"/>
          <w:noProof/>
          <w:lang w:val="fr-FR" w:eastAsia="fr-FR"/>
        </w:rPr>
        <w:drawing>
          <wp:inline distT="0" distB="0" distL="0" distR="0" wp14:anchorId="21DD3681" wp14:editId="7C26E3BA">
            <wp:extent cx="5760720" cy="383032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5760720" cy="3830320"/>
                    </a:xfrm>
                    <a:prstGeom prst="rect">
                      <a:avLst/>
                    </a:prstGeom>
                  </pic:spPr>
                </pic:pic>
              </a:graphicData>
            </a:graphic>
          </wp:inline>
        </w:drawing>
      </w:r>
    </w:p>
    <w:p w14:paraId="74C9479F" w14:textId="4B8AC235" w:rsidR="00DE261F" w:rsidRDefault="00DE261F" w:rsidP="00DE261F">
      <w:pPr>
        <w:pStyle w:val="Lgende"/>
        <w:rPr>
          <w:rFonts w:ascii="Century Gothic" w:hAnsi="Century Gothic"/>
          <w:b/>
          <w:bCs/>
          <w:color w:val="FF0000"/>
        </w:rPr>
      </w:pPr>
      <w:bookmarkStart w:id="33" w:name="_Toc189305552"/>
      <w:r>
        <w:t xml:space="preserve">Figure </w:t>
      </w:r>
      <w:fldSimple w:instr=" SEQ Figure \* ARABIC ">
        <w:r>
          <w:rPr>
            <w:noProof/>
          </w:rPr>
          <w:t>6</w:t>
        </w:r>
      </w:fldSimple>
      <w:r>
        <w:t xml:space="preserve"> </w:t>
      </w:r>
      <w:proofErr w:type="spellStart"/>
      <w:r w:rsidRPr="00AD275F">
        <w:t>Enhanced</w:t>
      </w:r>
      <w:proofErr w:type="spellEnd"/>
      <w:r w:rsidRPr="00AD275F">
        <w:t xml:space="preserve"> </w:t>
      </w:r>
      <w:proofErr w:type="spellStart"/>
      <w:r w:rsidRPr="00AD275F">
        <w:t>Vegetation</w:t>
      </w:r>
      <w:proofErr w:type="spellEnd"/>
      <w:r w:rsidRPr="00AD275F">
        <w:t xml:space="preserve"> Index (</w:t>
      </w:r>
      <w:proofErr w:type="gramStart"/>
      <w:r w:rsidRPr="00AD275F">
        <w:t>source:</w:t>
      </w:r>
      <w:proofErr w:type="gramEnd"/>
      <w:r w:rsidRPr="00AD275F">
        <w:t xml:space="preserve"> National </w:t>
      </w:r>
      <w:proofErr w:type="spellStart"/>
      <w:r w:rsidRPr="00AD275F">
        <w:t>Aeronautics</w:t>
      </w:r>
      <w:proofErr w:type="spellEnd"/>
      <w:r w:rsidRPr="00AD275F">
        <w:t xml:space="preserve"> and </w:t>
      </w:r>
      <w:proofErr w:type="spellStart"/>
      <w:r w:rsidRPr="00AD275F">
        <w:t>Space</w:t>
      </w:r>
      <w:proofErr w:type="spellEnd"/>
      <w:r w:rsidRPr="00AD275F">
        <w:t xml:space="preserve"> Administration (NASA))</w:t>
      </w:r>
      <w:bookmarkEnd w:id="33"/>
    </w:p>
    <w:p w14:paraId="0EBF5D2B" w14:textId="35DC5C0C" w:rsidR="00CE5203" w:rsidRPr="00CE2AEB" w:rsidRDefault="00CE5203" w:rsidP="005625B5">
      <w:pPr>
        <w:pStyle w:val="NormalWeb"/>
        <w:numPr>
          <w:ilvl w:val="0"/>
          <w:numId w:val="6"/>
        </w:numPr>
        <w:spacing w:before="0" w:beforeAutospacing="0" w:after="0" w:afterAutospacing="0"/>
        <w:jc w:val="both"/>
        <w:rPr>
          <w:rFonts w:ascii="Century Gothic" w:hAnsi="Century Gothic"/>
        </w:rPr>
      </w:pPr>
      <w:r w:rsidRPr="00CE2AEB">
        <w:rPr>
          <w:rFonts w:ascii="Century Gothic" w:hAnsi="Century Gothic"/>
        </w:rPr>
        <w:t>Type de Sol et Salinité</w:t>
      </w:r>
    </w:p>
    <w:p w14:paraId="5E6602B3" w14:textId="36D734C0" w:rsidR="00CE5203" w:rsidRPr="00DB2F0F" w:rsidRDefault="00CE5203" w:rsidP="00CE5203">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Les sols des zones côtières, souvent salins, sont influencés par l'intrusion d'eau salée due à l'élévation du niveau de la mer. Cela affecte la végétation des zones littorales et la productivité agricole, particulièrement dans les estuaires et les marais salants.</w:t>
      </w:r>
    </w:p>
    <w:p w14:paraId="0A828331" w14:textId="1A43E3FC" w:rsidR="00CE5203" w:rsidRPr="00DB2F0F" w:rsidRDefault="00CE5203" w:rsidP="00CE5203">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La salinité des sols dans les zones de mangroves et des estuaires peut également limiter la croissance de certaines espèces végétales et la reproduction d'espèces animales.</w:t>
      </w:r>
    </w:p>
    <w:p w14:paraId="4BEFB36F" w14:textId="77777777" w:rsidR="00CE5203" w:rsidRPr="00CE2AEB" w:rsidRDefault="00CE5203" w:rsidP="00CE5203">
      <w:pPr>
        <w:pStyle w:val="NormalWeb"/>
        <w:spacing w:before="0" w:beforeAutospacing="0" w:after="0" w:afterAutospacing="0"/>
        <w:jc w:val="both"/>
        <w:rPr>
          <w:rFonts w:ascii="Century Gothic" w:hAnsi="Century Gothic"/>
        </w:rPr>
      </w:pPr>
    </w:p>
    <w:p w14:paraId="45C391D9" w14:textId="0671FAFF" w:rsidR="00CE5203" w:rsidRPr="00CE2AEB" w:rsidRDefault="00CE5203" w:rsidP="005625B5">
      <w:pPr>
        <w:pStyle w:val="NormalWeb"/>
        <w:numPr>
          <w:ilvl w:val="0"/>
          <w:numId w:val="6"/>
        </w:numPr>
        <w:spacing w:before="0" w:beforeAutospacing="0" w:after="0" w:afterAutospacing="0"/>
        <w:jc w:val="both"/>
        <w:rPr>
          <w:rFonts w:ascii="Century Gothic" w:hAnsi="Century Gothic"/>
        </w:rPr>
      </w:pPr>
      <w:r w:rsidRPr="00CE2AEB">
        <w:rPr>
          <w:rFonts w:ascii="Century Gothic" w:hAnsi="Century Gothic"/>
        </w:rPr>
        <w:t>Disponibilité en Eau Douce</w:t>
      </w:r>
    </w:p>
    <w:p w14:paraId="16232644" w14:textId="46916DE5" w:rsidR="00A21608" w:rsidRPr="00DB2F0F" w:rsidRDefault="00CE5203" w:rsidP="00CE2AEB">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L’approvisionnement en eau douce, essentiel pour les écosystèmes et les activités humaines, dépend des précipitations et des régimes fluviaux. Une diminution des pluies peut exacerber la salinisation des sols et affecter la biodiversité des zones littorales.</w:t>
      </w:r>
    </w:p>
    <w:p w14:paraId="653A9C57" w14:textId="68006A60" w:rsidR="00666CFF" w:rsidRDefault="00666CFF" w:rsidP="00DF1579">
      <w:pPr>
        <w:pStyle w:val="NormalWeb"/>
        <w:spacing w:before="0" w:beforeAutospacing="0" w:after="0" w:afterAutospacing="0"/>
        <w:jc w:val="both"/>
        <w:rPr>
          <w:rFonts w:ascii="Century Gothic" w:hAnsi="Century Gothic"/>
        </w:rPr>
      </w:pPr>
    </w:p>
    <w:p w14:paraId="7DBF8D15" w14:textId="59D9BB2B" w:rsidR="00CE2AEB" w:rsidRPr="00203B3F" w:rsidRDefault="001F33E0" w:rsidP="00203B3F">
      <w:pPr>
        <w:rPr>
          <w:rFonts w:ascii="Century Gothic" w:eastAsia="Times New Roman" w:hAnsi="Century Gothic" w:cs="Times New Roman"/>
          <w:color w:val="4472C4" w:themeColor="accent1"/>
          <w:sz w:val="24"/>
          <w:szCs w:val="24"/>
          <w:lang w:val="wo-SN" w:eastAsia="wo-SN"/>
        </w:rPr>
      </w:pPr>
      <w:bookmarkStart w:id="34" w:name="_Hlk187880350"/>
      <w:r w:rsidRPr="00211DA2">
        <w:rPr>
          <w:rFonts w:ascii="Century Gothic" w:eastAsia="Times New Roman" w:hAnsi="Century Gothic" w:cs="Times New Roman"/>
          <w:color w:val="4472C4" w:themeColor="accent1"/>
          <w:sz w:val="24"/>
          <w:szCs w:val="24"/>
          <w:lang w:val="wo-SN" w:eastAsia="wo-SN"/>
        </w:rPr>
        <w:t>6</w:t>
      </w:r>
      <w:r w:rsidR="00826FE9" w:rsidRPr="00211DA2">
        <w:rPr>
          <w:rFonts w:ascii="Century Gothic" w:eastAsia="Times New Roman" w:hAnsi="Century Gothic" w:cs="Times New Roman"/>
          <w:color w:val="4472C4" w:themeColor="accent1"/>
          <w:sz w:val="24"/>
          <w:szCs w:val="24"/>
          <w:lang w:val="wo-SN" w:eastAsia="wo-SN"/>
        </w:rPr>
        <w:t xml:space="preserve">.2.2 </w:t>
      </w:r>
      <w:r w:rsidR="00074F40" w:rsidRPr="00211DA2">
        <w:rPr>
          <w:rFonts w:ascii="Century Gothic" w:eastAsia="Times New Roman" w:hAnsi="Century Gothic" w:cs="Times New Roman"/>
          <w:color w:val="4472C4" w:themeColor="accent1"/>
          <w:sz w:val="24"/>
          <w:szCs w:val="24"/>
          <w:lang w:val="wo-SN" w:eastAsia="wo-SN"/>
        </w:rPr>
        <w:t xml:space="preserve"> </w:t>
      </w:r>
      <w:bookmarkEnd w:id="34"/>
      <w:r w:rsidR="00A21608" w:rsidRPr="00211DA2">
        <w:rPr>
          <w:rFonts w:ascii="Century Gothic" w:eastAsia="Times New Roman" w:hAnsi="Century Gothic" w:cs="Times New Roman"/>
          <w:color w:val="4472C4" w:themeColor="accent1"/>
          <w:sz w:val="24"/>
          <w:szCs w:val="24"/>
          <w:lang w:val="wo-SN" w:eastAsia="wo-SN"/>
        </w:rPr>
        <w:t>Analyse des Fluctuations Climatologiques, Biophysiques et Édaphiques au Cours des Cinq Dernières Années (2019–2024)</w:t>
      </w:r>
    </w:p>
    <w:p w14:paraId="47020C01" w14:textId="2A14DF19" w:rsidR="00CE5203" w:rsidRPr="00DB2F0F" w:rsidRDefault="000E260C" w:rsidP="00CE5203">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Depuis la publication de la quatrième communication nationale sur les changements climatiques en 2019, plusieurs tendances ont été observées :</w:t>
      </w:r>
    </w:p>
    <w:p w14:paraId="4AA723AE" w14:textId="27C19467" w:rsidR="00A21608" w:rsidRDefault="00A21608" w:rsidP="00CE5203">
      <w:pPr>
        <w:pStyle w:val="NormalWeb"/>
        <w:spacing w:before="0" w:beforeAutospacing="0" w:after="0" w:afterAutospacing="0"/>
        <w:jc w:val="both"/>
        <w:rPr>
          <w:rFonts w:ascii="Century Gothic" w:hAnsi="Century Gothic"/>
        </w:rPr>
      </w:pPr>
    </w:p>
    <w:p w14:paraId="38D3CFCE" w14:textId="3FCBBA63" w:rsidR="00C12506" w:rsidRPr="00FA36EC" w:rsidRDefault="001F33E0" w:rsidP="00325A68">
      <w:pPr>
        <w:rPr>
          <w:rFonts w:ascii="Century Gothic" w:eastAsia="Times New Roman" w:hAnsi="Century Gothic" w:cs="Times New Roman"/>
          <w:b/>
          <w:bCs/>
          <w:color w:val="4472C4" w:themeColor="accent1"/>
          <w:sz w:val="24"/>
          <w:szCs w:val="24"/>
          <w:lang w:val="wo-SN" w:eastAsia="wo-SN"/>
        </w:rPr>
      </w:pPr>
      <w:r w:rsidRPr="00FA36EC">
        <w:rPr>
          <w:rFonts w:ascii="Century Gothic" w:eastAsia="Times New Roman" w:hAnsi="Century Gothic" w:cs="Times New Roman"/>
          <w:b/>
          <w:bCs/>
          <w:color w:val="4472C4" w:themeColor="accent1"/>
          <w:sz w:val="24"/>
          <w:szCs w:val="24"/>
          <w:lang w:val="wo-SN" w:eastAsia="wo-SN"/>
        </w:rPr>
        <w:t>6</w:t>
      </w:r>
      <w:r w:rsidR="00826FE9" w:rsidRPr="00FA36EC">
        <w:rPr>
          <w:rFonts w:ascii="Century Gothic" w:eastAsia="Times New Roman" w:hAnsi="Century Gothic" w:cs="Times New Roman"/>
          <w:b/>
          <w:bCs/>
          <w:color w:val="4472C4" w:themeColor="accent1"/>
          <w:sz w:val="24"/>
          <w:szCs w:val="24"/>
          <w:lang w:val="wo-SN" w:eastAsia="wo-SN"/>
        </w:rPr>
        <w:t xml:space="preserve">.2.2.1 </w:t>
      </w:r>
      <w:r w:rsidR="00765C5C" w:rsidRPr="00FA36EC">
        <w:rPr>
          <w:rFonts w:ascii="Century Gothic" w:eastAsia="Times New Roman" w:hAnsi="Century Gothic" w:cs="Times New Roman"/>
          <w:b/>
          <w:bCs/>
          <w:color w:val="4472C4" w:themeColor="accent1"/>
          <w:sz w:val="24"/>
          <w:szCs w:val="24"/>
          <w:lang w:val="wo-SN" w:eastAsia="wo-SN"/>
        </w:rPr>
        <w:t xml:space="preserve"> </w:t>
      </w:r>
      <w:r w:rsidR="00C12506" w:rsidRPr="00FA36EC">
        <w:rPr>
          <w:rFonts w:ascii="Century Gothic" w:eastAsia="Times New Roman" w:hAnsi="Century Gothic" w:cs="Times New Roman"/>
          <w:b/>
          <w:bCs/>
          <w:color w:val="4472C4" w:themeColor="accent1"/>
          <w:sz w:val="24"/>
          <w:szCs w:val="24"/>
          <w:lang w:val="wo-SN" w:eastAsia="wo-SN"/>
        </w:rPr>
        <w:t xml:space="preserve">Evolution et fluctuation </w:t>
      </w:r>
    </w:p>
    <w:p w14:paraId="12D472A9" w14:textId="75363CDB" w:rsidR="00A21608" w:rsidRPr="00FA36EC" w:rsidRDefault="00A21608" w:rsidP="00E052E2">
      <w:pPr>
        <w:rPr>
          <w:rFonts w:ascii="Century Gothic" w:hAnsi="Century Gothic"/>
          <w:b/>
          <w:bCs/>
          <w:color w:val="A20000"/>
        </w:rPr>
      </w:pPr>
      <w:r w:rsidRPr="00FA36EC">
        <w:rPr>
          <w:rFonts w:ascii="Century Gothic" w:eastAsia="Times New Roman" w:hAnsi="Century Gothic" w:cs="Times New Roman"/>
          <w:b/>
          <w:bCs/>
          <w:color w:val="A20000"/>
          <w:lang w:val="wo-SN" w:eastAsia="wo-SN"/>
        </w:rPr>
        <w:t>A. Évolution des Facteurs Climatiques</w:t>
      </w:r>
    </w:p>
    <w:p w14:paraId="7B3F7151" w14:textId="5497FB4F" w:rsidR="00A21608" w:rsidRPr="009B0256" w:rsidRDefault="00A21608" w:rsidP="005625B5">
      <w:pPr>
        <w:pStyle w:val="NormalWeb"/>
        <w:numPr>
          <w:ilvl w:val="0"/>
          <w:numId w:val="8"/>
        </w:numPr>
        <w:spacing w:before="0" w:beforeAutospacing="0" w:after="0" w:afterAutospacing="0"/>
        <w:jc w:val="both"/>
        <w:rPr>
          <w:rFonts w:ascii="Century Gothic" w:hAnsi="Century Gothic"/>
        </w:rPr>
      </w:pPr>
      <w:r w:rsidRPr="009B0256">
        <w:rPr>
          <w:rFonts w:ascii="Century Gothic" w:hAnsi="Century Gothic"/>
          <w:b/>
          <w:bCs/>
        </w:rPr>
        <w:t>Températures</w:t>
      </w:r>
    </w:p>
    <w:p w14:paraId="03091B19" w14:textId="002DB99C" w:rsidR="007C7225" w:rsidRPr="00E052E2" w:rsidRDefault="00A21608" w:rsidP="00E052E2">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 xml:space="preserve">Depuis la publication de la </w:t>
      </w:r>
      <w:r w:rsidRPr="00DB2F0F">
        <w:rPr>
          <w:rFonts w:ascii="Century Gothic" w:hAnsi="Century Gothic"/>
          <w:b/>
          <w:bCs/>
          <w:sz w:val="22"/>
          <w:szCs w:val="22"/>
        </w:rPr>
        <w:t>quatrième communication nationale sur les changements climatiques (2019)</w:t>
      </w:r>
      <w:r w:rsidRPr="00DB2F0F">
        <w:rPr>
          <w:rFonts w:ascii="Century Gothic" w:hAnsi="Century Gothic"/>
          <w:sz w:val="22"/>
          <w:szCs w:val="22"/>
        </w:rPr>
        <w:t>, les températures moyennes en Mauritanie ont continué d'augmenter, avec des hausses particulièrement marquées pendant les mois d'été. Cette tendance a été observée tant pour les températures de l'air que de l'eau, affectant les écosystèmes marins et littoraux. Les températures de l’eau dans les zones côtières ont montré des pics élevés qui ont eu des conséquences négatives sur la biodiversité, notamment la mortalité du phytoplancton et des espèces marines sensibles à la température.</w:t>
      </w:r>
    </w:p>
    <w:p w14:paraId="5E2F892C" w14:textId="77777777" w:rsidR="00A21608" w:rsidRPr="009B0256" w:rsidRDefault="00A21608" w:rsidP="00A21608">
      <w:pPr>
        <w:pStyle w:val="NormalWeb"/>
        <w:spacing w:before="0" w:beforeAutospacing="0" w:after="0" w:afterAutospacing="0"/>
        <w:jc w:val="both"/>
        <w:rPr>
          <w:rFonts w:ascii="Century Gothic" w:hAnsi="Century Gothic"/>
          <w:b/>
          <w:bCs/>
        </w:rPr>
      </w:pPr>
    </w:p>
    <w:p w14:paraId="60AE39F8" w14:textId="128A04AB" w:rsidR="00A21608" w:rsidRPr="009B0256" w:rsidRDefault="00A21608" w:rsidP="005625B5">
      <w:pPr>
        <w:pStyle w:val="NormalWeb"/>
        <w:numPr>
          <w:ilvl w:val="0"/>
          <w:numId w:val="8"/>
        </w:numPr>
        <w:spacing w:before="0" w:beforeAutospacing="0" w:after="0" w:afterAutospacing="0"/>
        <w:jc w:val="both"/>
        <w:rPr>
          <w:rFonts w:ascii="Century Gothic" w:hAnsi="Century Gothic"/>
        </w:rPr>
      </w:pPr>
      <w:r w:rsidRPr="009B0256">
        <w:rPr>
          <w:rFonts w:ascii="Century Gothic" w:hAnsi="Century Gothic"/>
          <w:b/>
          <w:bCs/>
        </w:rPr>
        <w:t>Précipitations et Sécheresse</w:t>
      </w:r>
    </w:p>
    <w:p w14:paraId="72844B33" w14:textId="03BEFE51" w:rsidR="00A21608" w:rsidRPr="00DB2F0F" w:rsidRDefault="00A21608" w:rsidP="00EC6190">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La Mauritanie a continué d'expérimenter des sécheresses sévères, affectant gravement l'agriculture et les ressources en eau. Les périodes de sécheresse prolongées ont été signalées comme ayant un impact direct sur la sécurité alimentaire</w:t>
      </w:r>
      <w:r w:rsidR="00CE2AEB" w:rsidRPr="00DB2F0F">
        <w:rPr>
          <w:rStyle w:val="Appelnotedebasdep"/>
          <w:rFonts w:ascii="Century Gothic" w:hAnsi="Century Gothic"/>
          <w:sz w:val="22"/>
          <w:szCs w:val="22"/>
        </w:rPr>
        <w:footnoteReference w:id="39"/>
      </w:r>
      <w:r w:rsidR="00E4242C">
        <w:rPr>
          <w:rFonts w:ascii="Century Gothic" w:hAnsi="Century Gothic"/>
          <w:sz w:val="22"/>
          <w:szCs w:val="22"/>
        </w:rPr>
        <w:t xml:space="preserve"> </w:t>
      </w:r>
      <w:r w:rsidR="00601A95" w:rsidRPr="00DB2F0F">
        <w:rPr>
          <w:rStyle w:val="Appelnotedebasdep"/>
          <w:rFonts w:ascii="Century Gothic" w:hAnsi="Century Gothic"/>
          <w:sz w:val="22"/>
          <w:szCs w:val="22"/>
        </w:rPr>
        <w:footnoteReference w:id="40"/>
      </w:r>
      <w:r w:rsidR="009B0256" w:rsidRPr="00DB2F0F">
        <w:rPr>
          <w:rFonts w:ascii="Century Gothic" w:hAnsi="Century Gothic"/>
          <w:sz w:val="22"/>
          <w:szCs w:val="22"/>
        </w:rPr>
        <w:t>.</w:t>
      </w:r>
    </w:p>
    <w:p w14:paraId="1EE72390" w14:textId="77777777" w:rsidR="00EC6190" w:rsidRPr="00DB2F0F" w:rsidRDefault="00EC6190" w:rsidP="00EC6190">
      <w:pPr>
        <w:pStyle w:val="NormalWeb"/>
        <w:spacing w:before="0" w:beforeAutospacing="0" w:after="0" w:afterAutospacing="0"/>
        <w:jc w:val="both"/>
        <w:rPr>
          <w:rFonts w:ascii="Century Gothic" w:hAnsi="Century Gothic"/>
          <w:sz w:val="22"/>
          <w:szCs w:val="22"/>
        </w:rPr>
      </w:pPr>
    </w:p>
    <w:p w14:paraId="7B11BEF2" w14:textId="1FA44D91" w:rsidR="00A21608" w:rsidRPr="00DB2F0F" w:rsidRDefault="00A21608" w:rsidP="00A21608">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Les précipitations ont montré des variations importantes, avec des périodes de sécheresse prolongées entre 2019 et 2024. Certaines années ont été marquées par une faible pluviométrie, ce qui a entraîné une diminution du débit des rivières et une salinisation accrue des estuaires et des zones côtières. L'irrégularité des pluies a affecté les cycles de reproduction de certaines espèces animales et perturbé l'approvisionnement en eau douce des écosystèmes et des populations locales.</w:t>
      </w:r>
    </w:p>
    <w:p w14:paraId="7D408079" w14:textId="1592362D" w:rsidR="007C7225" w:rsidRPr="00FA36EC" w:rsidRDefault="007C7225" w:rsidP="00A21608">
      <w:pPr>
        <w:pStyle w:val="NormalWeb"/>
        <w:spacing w:before="0" w:beforeAutospacing="0" w:after="0" w:afterAutospacing="0"/>
        <w:jc w:val="both"/>
        <w:rPr>
          <w:rFonts w:ascii="Century Gothic" w:hAnsi="Century Gothic"/>
          <w:i/>
          <w:iCs/>
          <w:color w:val="FF0000"/>
          <w:sz w:val="8"/>
          <w:szCs w:val="8"/>
        </w:rPr>
      </w:pPr>
    </w:p>
    <w:p w14:paraId="50549F3E" w14:textId="73072FE6" w:rsidR="00014610" w:rsidRPr="00014610" w:rsidRDefault="00014610" w:rsidP="00014610">
      <w:pPr>
        <w:spacing w:before="100" w:beforeAutospacing="1" w:after="100" w:afterAutospacing="1" w:line="240" w:lineRule="auto"/>
        <w:jc w:val="both"/>
        <w:rPr>
          <w:rFonts w:ascii="Century Gothic" w:eastAsia="Times New Roman" w:hAnsi="Century Gothic" w:cs="Times New Roman"/>
          <w:lang w:val="wo-SN" w:eastAsia="wo-SN"/>
        </w:rPr>
      </w:pPr>
      <w:r w:rsidRPr="00014610">
        <w:rPr>
          <w:rFonts w:ascii="Century Gothic" w:eastAsia="Times New Roman" w:hAnsi="Century Gothic" w:cs="Times New Roman"/>
          <w:lang w:val="wo-SN" w:eastAsia="wo-SN"/>
        </w:rPr>
        <w:t>En 2023, une superficie totale de 2 551 km² de zones brûlées a été détectée en Mauritanie, par rapport à la moyenne annuelle de 2 510 km² durant la période de 2001 à 2022.</w:t>
      </w:r>
      <w:r w:rsidR="00793166">
        <w:rPr>
          <w:rFonts w:ascii="Century Gothic" w:eastAsia="Times New Roman" w:hAnsi="Century Gothic" w:cs="Times New Roman"/>
          <w:lang w:val="wo-SN" w:eastAsia="wo-SN"/>
        </w:rPr>
        <w:t>(figure 7)</w:t>
      </w:r>
    </w:p>
    <w:p w14:paraId="253521AD" w14:textId="77777777" w:rsidR="00014610" w:rsidRPr="00014610" w:rsidRDefault="00014610" w:rsidP="00A21608">
      <w:pPr>
        <w:pStyle w:val="NormalWeb"/>
        <w:spacing w:before="0" w:beforeAutospacing="0" w:after="0" w:afterAutospacing="0"/>
        <w:jc w:val="both"/>
        <w:rPr>
          <w:rFonts w:ascii="Century Gothic" w:hAnsi="Century Gothic"/>
          <w:i/>
          <w:iCs/>
          <w:color w:val="FF0000"/>
          <w:lang w:val="fr-FR"/>
        </w:rPr>
      </w:pPr>
    </w:p>
    <w:p w14:paraId="697330CB" w14:textId="0571E67E" w:rsidR="00107FD3" w:rsidRDefault="00107FD3" w:rsidP="00A21608">
      <w:pPr>
        <w:pStyle w:val="NormalWeb"/>
        <w:spacing w:before="0" w:beforeAutospacing="0" w:after="0" w:afterAutospacing="0"/>
        <w:jc w:val="both"/>
        <w:rPr>
          <w:rFonts w:ascii="Century Gothic" w:hAnsi="Century Gothic"/>
        </w:rPr>
      </w:pPr>
      <w:r w:rsidRPr="004F75D4">
        <w:rPr>
          <w:rFonts w:ascii="Century Gothic" w:hAnsi="Century Gothic"/>
          <w:noProof/>
          <w:lang w:val="fr-FR" w:eastAsia="fr-FR"/>
        </w:rPr>
        <w:drawing>
          <wp:inline distT="0" distB="0" distL="0" distR="0" wp14:anchorId="0CD48357" wp14:editId="7AFB5366">
            <wp:extent cx="5760720" cy="3878580"/>
            <wp:effectExtent l="0" t="0" r="0"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760720" cy="3878580"/>
                    </a:xfrm>
                    <a:prstGeom prst="rect">
                      <a:avLst/>
                    </a:prstGeom>
                  </pic:spPr>
                </pic:pic>
              </a:graphicData>
            </a:graphic>
          </wp:inline>
        </w:drawing>
      </w:r>
    </w:p>
    <w:p w14:paraId="7DA4215F" w14:textId="7708DE02" w:rsidR="00DE261F" w:rsidRPr="00DE261F" w:rsidRDefault="00DE261F" w:rsidP="00DE261F">
      <w:pPr>
        <w:pStyle w:val="Lgende"/>
        <w:rPr>
          <w:rFonts w:ascii="Century Gothic" w:hAnsi="Century Gothic"/>
          <w:lang w:val="en-CA"/>
        </w:rPr>
      </w:pPr>
      <w:bookmarkStart w:id="35" w:name="_Toc189305553"/>
      <w:r w:rsidRPr="00DE261F">
        <w:rPr>
          <w:lang w:val="en-CA"/>
        </w:rPr>
        <w:t xml:space="preserve">Figure </w:t>
      </w:r>
      <w:r>
        <w:fldChar w:fldCharType="begin"/>
      </w:r>
      <w:r w:rsidRPr="00DE261F">
        <w:rPr>
          <w:lang w:val="en-CA"/>
        </w:rPr>
        <w:instrText xml:space="preserve"> SEQ Figure \* ARABIC </w:instrText>
      </w:r>
      <w:r>
        <w:fldChar w:fldCharType="separate"/>
      </w:r>
      <w:r w:rsidRPr="00DE261F">
        <w:rPr>
          <w:noProof/>
          <w:lang w:val="en-CA"/>
        </w:rPr>
        <w:t>7</w:t>
      </w:r>
      <w:r>
        <w:fldChar w:fldCharType="end"/>
      </w:r>
      <w:r w:rsidRPr="00DE261F">
        <w:rPr>
          <w:lang w:val="en-CA"/>
        </w:rPr>
        <w:t xml:space="preserve"> Monthly fire activity (source: National Aeronautics and Space Administration (NASA))</w:t>
      </w:r>
      <w:bookmarkEnd w:id="35"/>
    </w:p>
    <w:p w14:paraId="48E14B9B" w14:textId="6703BB5B" w:rsidR="00A21608" w:rsidRPr="009B0256" w:rsidRDefault="00A21608" w:rsidP="005625B5">
      <w:pPr>
        <w:pStyle w:val="NormalWeb"/>
        <w:numPr>
          <w:ilvl w:val="0"/>
          <w:numId w:val="8"/>
        </w:numPr>
        <w:spacing w:before="0" w:beforeAutospacing="0" w:after="0" w:afterAutospacing="0"/>
        <w:jc w:val="both"/>
        <w:rPr>
          <w:rFonts w:ascii="Century Gothic" w:hAnsi="Century Gothic"/>
        </w:rPr>
      </w:pPr>
      <w:r w:rsidRPr="009B0256">
        <w:rPr>
          <w:rFonts w:ascii="Century Gothic" w:hAnsi="Century Gothic"/>
          <w:b/>
          <w:bCs/>
        </w:rPr>
        <w:t>Élévation du Niveau de la Mer</w:t>
      </w:r>
    </w:p>
    <w:p w14:paraId="70915499" w14:textId="50029118" w:rsidR="00A21608" w:rsidRPr="00DB2F0F" w:rsidRDefault="00A21608" w:rsidP="00A21608">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Des inondations notables ont eu lieu, notamment celles de 2022 qui ont causé des destructions significatives dans plusieurs régions</w:t>
      </w:r>
      <w:r w:rsidR="00EC6190" w:rsidRPr="00DB2F0F">
        <w:rPr>
          <w:rStyle w:val="Appelnotedebasdep"/>
          <w:rFonts w:ascii="Century Gothic" w:hAnsi="Century Gothic"/>
          <w:sz w:val="22"/>
          <w:szCs w:val="22"/>
        </w:rPr>
        <w:footnoteReference w:id="41"/>
      </w:r>
      <w:r w:rsidR="009B0256" w:rsidRPr="00DB2F0F">
        <w:rPr>
          <w:rFonts w:ascii="Century Gothic" w:hAnsi="Century Gothic"/>
          <w:sz w:val="22"/>
          <w:szCs w:val="22"/>
        </w:rPr>
        <w:t>.</w:t>
      </w:r>
      <w:r w:rsidRPr="00DB2F0F">
        <w:rPr>
          <w:rFonts w:ascii="Century Gothic" w:hAnsi="Century Gothic"/>
          <w:sz w:val="22"/>
          <w:szCs w:val="22"/>
        </w:rPr>
        <w:t xml:space="preserve"> Ces événements montrent une augmentation de la variabilité climatique.</w:t>
      </w:r>
    </w:p>
    <w:p w14:paraId="06AE8783" w14:textId="77777777" w:rsidR="00A21608" w:rsidRPr="00DB2F0F" w:rsidRDefault="00A21608" w:rsidP="00A21608">
      <w:pPr>
        <w:pStyle w:val="NormalWeb"/>
        <w:spacing w:before="0" w:beforeAutospacing="0" w:after="0" w:afterAutospacing="0"/>
        <w:jc w:val="both"/>
        <w:rPr>
          <w:rFonts w:ascii="Century Gothic" w:hAnsi="Century Gothic"/>
          <w:sz w:val="22"/>
          <w:szCs w:val="22"/>
        </w:rPr>
      </w:pPr>
    </w:p>
    <w:p w14:paraId="4CEC9BE5" w14:textId="46891DCD" w:rsidR="007C7225" w:rsidRPr="00747D41" w:rsidRDefault="00A21608" w:rsidP="00747D41">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 xml:space="preserve">Les observations récentes confirment une </w:t>
      </w:r>
      <w:r w:rsidRPr="00DB2F0F">
        <w:rPr>
          <w:rFonts w:ascii="Century Gothic" w:hAnsi="Century Gothic"/>
          <w:b/>
          <w:bCs/>
          <w:sz w:val="22"/>
          <w:szCs w:val="22"/>
        </w:rPr>
        <w:t>élévation continue du niveau de la mer</w:t>
      </w:r>
      <w:r w:rsidRPr="00DB2F0F">
        <w:rPr>
          <w:rFonts w:ascii="Century Gothic" w:hAnsi="Century Gothic"/>
          <w:sz w:val="22"/>
          <w:szCs w:val="22"/>
        </w:rPr>
        <w:t>, affectant les zones côtières de la Mauritanie. L’augmentation du niveau de la mer a provoqué l'érosion des côtes, perturbé les écosystèmes littoraux et accéléré la salinisation des sols et des ressources en eau douce. Certaines plages et dunes ont été particulièrement touchées, entraînant la perte de biodiversité et l'atteinte des habitats critiques.</w:t>
      </w:r>
    </w:p>
    <w:p w14:paraId="4DCBA34A" w14:textId="18442A32" w:rsidR="00A21608" w:rsidRPr="009B0256" w:rsidRDefault="00A21608" w:rsidP="00DF1579">
      <w:pPr>
        <w:pStyle w:val="NormalWeb"/>
        <w:spacing w:before="0" w:beforeAutospacing="0" w:after="0" w:afterAutospacing="0"/>
        <w:jc w:val="both"/>
        <w:rPr>
          <w:rFonts w:ascii="Century Gothic" w:hAnsi="Century Gothic"/>
        </w:rPr>
      </w:pPr>
    </w:p>
    <w:p w14:paraId="2BC5F885" w14:textId="77777777" w:rsidR="00A21608" w:rsidRPr="00516ECA" w:rsidRDefault="00A21608" w:rsidP="00E9049E">
      <w:pPr>
        <w:rPr>
          <w:rFonts w:ascii="Century Gothic" w:eastAsia="Times New Roman" w:hAnsi="Century Gothic" w:cs="Times New Roman"/>
          <w:color w:val="4472C4" w:themeColor="accent1"/>
          <w:lang w:val="wo-SN" w:eastAsia="wo-SN"/>
        </w:rPr>
      </w:pPr>
      <w:r w:rsidRPr="00516ECA">
        <w:rPr>
          <w:rFonts w:ascii="Century Gothic" w:eastAsia="Times New Roman" w:hAnsi="Century Gothic" w:cs="Times New Roman"/>
          <w:color w:val="4472C4" w:themeColor="accent1"/>
          <w:lang w:val="wo-SN" w:eastAsia="wo-SN"/>
        </w:rPr>
        <w:t>B. Fluctuations Biophysiques et Édaphiques</w:t>
      </w:r>
    </w:p>
    <w:p w14:paraId="624FEEE8" w14:textId="278FFE11" w:rsidR="00A21608" w:rsidRPr="009B0256" w:rsidRDefault="00A21608" w:rsidP="005625B5">
      <w:pPr>
        <w:pStyle w:val="NormalWeb"/>
        <w:numPr>
          <w:ilvl w:val="0"/>
          <w:numId w:val="9"/>
        </w:numPr>
        <w:spacing w:before="0" w:beforeAutospacing="0" w:after="0" w:afterAutospacing="0"/>
        <w:jc w:val="both"/>
        <w:rPr>
          <w:rFonts w:ascii="Century Gothic" w:hAnsi="Century Gothic"/>
        </w:rPr>
      </w:pPr>
      <w:r w:rsidRPr="009B0256">
        <w:rPr>
          <w:rFonts w:ascii="Century Gothic" w:hAnsi="Century Gothic"/>
          <w:b/>
          <w:bCs/>
        </w:rPr>
        <w:t>Salinité et Biodiversité</w:t>
      </w:r>
    </w:p>
    <w:p w14:paraId="2F8D3730" w14:textId="38426E7D" w:rsidR="00A21608" w:rsidRPr="00DB2F0F" w:rsidRDefault="00A21608" w:rsidP="00A21608">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La salinité a augmenté dans certaines zones côtières et estuaires, en particulier en raison des faibles précipitations et de l’élévation du niveau de la mer. Cela a perturbé les écosystèmes des mangroves, des herbiers marins et des zones humides. Ces changements ont eu un impact direct sur les espèces qui dépendent de ces habitats pour la reproduction et l’alimentation.</w:t>
      </w:r>
    </w:p>
    <w:p w14:paraId="578AFE68" w14:textId="77777777" w:rsidR="00A21608" w:rsidRPr="009B0256" w:rsidRDefault="00A21608" w:rsidP="00A21608">
      <w:pPr>
        <w:pStyle w:val="NormalWeb"/>
        <w:spacing w:before="0" w:beforeAutospacing="0" w:after="0" w:afterAutospacing="0"/>
        <w:jc w:val="both"/>
        <w:rPr>
          <w:rFonts w:ascii="Century Gothic" w:hAnsi="Century Gothic"/>
          <w:b/>
          <w:bCs/>
        </w:rPr>
      </w:pPr>
    </w:p>
    <w:p w14:paraId="0A4ED10C" w14:textId="77777777" w:rsidR="00A21608" w:rsidRPr="009B0256" w:rsidRDefault="00A21608" w:rsidP="005625B5">
      <w:pPr>
        <w:pStyle w:val="NormalWeb"/>
        <w:numPr>
          <w:ilvl w:val="0"/>
          <w:numId w:val="9"/>
        </w:numPr>
        <w:spacing w:before="0" w:beforeAutospacing="0" w:after="0" w:afterAutospacing="0"/>
        <w:jc w:val="both"/>
        <w:rPr>
          <w:rFonts w:ascii="Century Gothic" w:hAnsi="Century Gothic"/>
        </w:rPr>
      </w:pPr>
      <w:r w:rsidRPr="009B0256">
        <w:rPr>
          <w:rFonts w:ascii="Century Gothic" w:hAnsi="Century Gothic"/>
          <w:b/>
          <w:bCs/>
        </w:rPr>
        <w:t>Écosystèmes Littoraux et Productivité Marine</w:t>
      </w:r>
    </w:p>
    <w:p w14:paraId="0CB6771B" w14:textId="66F0D37B" w:rsidR="00A21608" w:rsidRPr="00DB2F0F" w:rsidRDefault="00A21608" w:rsidP="00A21608">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Les fluctuations de la productivité marine ont été observées en raison des changements dans les courants océaniques et des phénomènes d'upwelling. Les zones de pêche, en particulier celles proches du Parc National du Banc d'Arguin, ont souffert de variations dans la concentration de nutriments et de la diminution des stocks de poissons.</w:t>
      </w:r>
    </w:p>
    <w:p w14:paraId="4F03EDB2" w14:textId="77777777" w:rsidR="00A21608" w:rsidRPr="009B0256" w:rsidRDefault="00A21608" w:rsidP="00A21608">
      <w:pPr>
        <w:pStyle w:val="NormalWeb"/>
        <w:spacing w:before="0" w:beforeAutospacing="0" w:after="0" w:afterAutospacing="0"/>
        <w:jc w:val="both"/>
        <w:rPr>
          <w:rFonts w:ascii="Century Gothic" w:hAnsi="Century Gothic"/>
          <w:b/>
          <w:bCs/>
        </w:rPr>
      </w:pPr>
    </w:p>
    <w:p w14:paraId="64C2A9EB" w14:textId="77777777" w:rsidR="00A21608" w:rsidRPr="009B0256" w:rsidRDefault="00A21608" w:rsidP="005625B5">
      <w:pPr>
        <w:pStyle w:val="NormalWeb"/>
        <w:numPr>
          <w:ilvl w:val="0"/>
          <w:numId w:val="9"/>
        </w:numPr>
        <w:spacing w:before="0" w:beforeAutospacing="0" w:after="0" w:afterAutospacing="0"/>
        <w:jc w:val="both"/>
        <w:rPr>
          <w:rFonts w:ascii="Century Gothic" w:hAnsi="Century Gothic"/>
        </w:rPr>
      </w:pPr>
      <w:r w:rsidRPr="009B0256">
        <w:rPr>
          <w:rFonts w:ascii="Century Gothic" w:hAnsi="Century Gothic"/>
          <w:b/>
          <w:bCs/>
        </w:rPr>
        <w:t>Érosion Côtière et Sols Salins</w:t>
      </w:r>
    </w:p>
    <w:p w14:paraId="3C3C1B14" w14:textId="74818469" w:rsidR="00CE5203" w:rsidRPr="00DB2F0F" w:rsidRDefault="00A21608" w:rsidP="00C12506">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L'érosion côtière a affecté plusieurs zones sensibles, notamment autour des mangroves et des lagunes. Les sols salins ont augmenté, ce qui a réduit la capacité de certaines plantes endémiques à se développer, altérant les écosystèmes littoraux. De plus, l'intrusion d'eau salée dans les terres agricoles a nui aux récoltes dans certaines zones de culture.</w:t>
      </w:r>
    </w:p>
    <w:p w14:paraId="0AD76C79" w14:textId="7C021D53" w:rsidR="00DC3B2F" w:rsidRPr="00DB2F0F" w:rsidRDefault="00DC3B2F" w:rsidP="00DC3B2F">
      <w:pPr>
        <w:rPr>
          <w:rFonts w:ascii="Century Gothic" w:hAnsi="Century Gothic"/>
          <w:b/>
          <w:bCs/>
          <w:sz w:val="20"/>
          <w:szCs w:val="20"/>
          <w:lang w:val="wo-SN"/>
        </w:rPr>
      </w:pPr>
    </w:p>
    <w:p w14:paraId="4CFCC679" w14:textId="2C66D97A" w:rsidR="000E260C" w:rsidRPr="00516ECA" w:rsidRDefault="00A616B6" w:rsidP="00DC3B2F">
      <w:pPr>
        <w:rPr>
          <w:rFonts w:ascii="Century Gothic" w:hAnsi="Century Gothic"/>
          <w:color w:val="4472C4" w:themeColor="accent1"/>
          <w:sz w:val="24"/>
          <w:szCs w:val="24"/>
        </w:rPr>
      </w:pPr>
      <w:r w:rsidRPr="00516ECA">
        <w:rPr>
          <w:rFonts w:ascii="Century Gothic" w:hAnsi="Century Gothic"/>
          <w:color w:val="4472C4" w:themeColor="accent1"/>
          <w:sz w:val="24"/>
          <w:szCs w:val="24"/>
        </w:rPr>
        <w:t>6.2.2.2 Impact</w:t>
      </w:r>
      <w:r w:rsidR="000E260C" w:rsidRPr="00516ECA">
        <w:rPr>
          <w:rFonts w:ascii="Century Gothic" w:hAnsi="Century Gothic"/>
          <w:color w:val="4472C4" w:themeColor="accent1"/>
          <w:sz w:val="24"/>
          <w:szCs w:val="24"/>
        </w:rPr>
        <w:t xml:space="preserve"> sur la Biodiversité</w:t>
      </w:r>
    </w:p>
    <w:p w14:paraId="6A75D4AE" w14:textId="77777777" w:rsidR="005E17B6" w:rsidRPr="00FA36EC" w:rsidRDefault="005E17B6" w:rsidP="00DF1579">
      <w:pPr>
        <w:pStyle w:val="NormalWeb"/>
        <w:spacing w:before="0" w:beforeAutospacing="0" w:after="0" w:afterAutospacing="0"/>
        <w:jc w:val="both"/>
        <w:rPr>
          <w:rFonts w:ascii="Century Gothic" w:hAnsi="Century Gothic"/>
          <w:sz w:val="10"/>
          <w:szCs w:val="10"/>
        </w:rPr>
      </w:pPr>
    </w:p>
    <w:p w14:paraId="5B42898A" w14:textId="2E7732C6" w:rsidR="000E260C" w:rsidRPr="00DB2F0F" w:rsidRDefault="000E260C" w:rsidP="005625B5">
      <w:pPr>
        <w:pStyle w:val="NormalWeb"/>
        <w:numPr>
          <w:ilvl w:val="3"/>
          <w:numId w:val="17"/>
        </w:numPr>
        <w:spacing w:before="0" w:beforeAutospacing="0" w:after="0" w:afterAutospacing="0"/>
        <w:ind w:left="426"/>
        <w:jc w:val="both"/>
        <w:rPr>
          <w:rFonts w:ascii="Century Gothic" w:hAnsi="Century Gothic"/>
          <w:sz w:val="22"/>
          <w:szCs w:val="22"/>
        </w:rPr>
      </w:pPr>
      <w:r w:rsidRPr="00DB2F0F">
        <w:rPr>
          <w:rFonts w:ascii="Century Gothic" w:hAnsi="Century Gothic"/>
          <w:sz w:val="22"/>
          <w:szCs w:val="22"/>
        </w:rPr>
        <w:t>Perte de Couverture Végétale : On estime que plus de 40 000 hectares de végétation sont perdus chaque année, exacerbés par les sécheresses et les feux de brousse</w:t>
      </w:r>
      <w:r w:rsidR="00C31DDF" w:rsidRPr="00DB2F0F">
        <w:rPr>
          <w:rStyle w:val="Appelnotedebasdep"/>
          <w:rFonts w:ascii="Century Gothic" w:hAnsi="Century Gothic"/>
          <w:sz w:val="22"/>
          <w:szCs w:val="22"/>
        </w:rPr>
        <w:footnoteReference w:id="42"/>
      </w:r>
      <w:r w:rsidR="009B0256" w:rsidRPr="00DB2F0F">
        <w:rPr>
          <w:rFonts w:ascii="Century Gothic" w:hAnsi="Century Gothic"/>
          <w:sz w:val="22"/>
          <w:szCs w:val="22"/>
        </w:rPr>
        <w:t>.</w:t>
      </w:r>
      <w:r w:rsidRPr="00DB2F0F">
        <w:rPr>
          <w:rFonts w:ascii="Century Gothic" w:hAnsi="Century Gothic"/>
          <w:sz w:val="22"/>
          <w:szCs w:val="22"/>
        </w:rPr>
        <w:t xml:space="preserve"> Cela affecte directement les habitats naturels et les espèces qui en dépendent.</w:t>
      </w:r>
    </w:p>
    <w:p w14:paraId="7C135793" w14:textId="77777777" w:rsidR="005E17B6" w:rsidRPr="00FA36EC" w:rsidRDefault="005E17B6" w:rsidP="00F01190">
      <w:pPr>
        <w:pStyle w:val="NormalWeb"/>
        <w:spacing w:before="0" w:beforeAutospacing="0" w:after="0" w:afterAutospacing="0"/>
        <w:ind w:left="426"/>
        <w:jc w:val="both"/>
        <w:rPr>
          <w:rFonts w:ascii="Century Gothic" w:hAnsi="Century Gothic"/>
          <w:sz w:val="14"/>
          <w:szCs w:val="14"/>
        </w:rPr>
      </w:pPr>
    </w:p>
    <w:p w14:paraId="6F620BE4" w14:textId="288857F6" w:rsidR="000E260C" w:rsidRPr="00DB2F0F" w:rsidRDefault="000E260C" w:rsidP="005625B5">
      <w:pPr>
        <w:pStyle w:val="NormalWeb"/>
        <w:numPr>
          <w:ilvl w:val="3"/>
          <w:numId w:val="17"/>
        </w:numPr>
        <w:spacing w:before="0" w:beforeAutospacing="0" w:after="0" w:afterAutospacing="0"/>
        <w:ind w:left="426"/>
        <w:jc w:val="both"/>
        <w:rPr>
          <w:rFonts w:ascii="Century Gothic" w:hAnsi="Century Gothic"/>
          <w:sz w:val="22"/>
          <w:szCs w:val="22"/>
        </w:rPr>
      </w:pPr>
      <w:r w:rsidRPr="00DB2F0F">
        <w:rPr>
          <w:rFonts w:ascii="Century Gothic" w:hAnsi="Century Gothic"/>
          <w:sz w:val="22"/>
          <w:szCs w:val="22"/>
        </w:rPr>
        <w:t>Dégradation des Zones Humides : Les zones humides subissent une pression accrue due à la variabilité climatique et aux activités humaines, compromettant leur rôle vital dans le soutien à la biodiversité</w:t>
      </w:r>
      <w:r w:rsidR="00C31DDF" w:rsidRPr="00DB2F0F">
        <w:rPr>
          <w:rStyle w:val="Appelnotedebasdep"/>
          <w:rFonts w:ascii="Century Gothic" w:hAnsi="Century Gothic"/>
          <w:sz w:val="22"/>
          <w:szCs w:val="22"/>
        </w:rPr>
        <w:footnoteReference w:id="43"/>
      </w:r>
      <w:r w:rsidR="009B0256" w:rsidRPr="00DB2F0F">
        <w:rPr>
          <w:rFonts w:ascii="Century Gothic" w:hAnsi="Century Gothic"/>
          <w:sz w:val="22"/>
          <w:szCs w:val="22"/>
        </w:rPr>
        <w:t>.</w:t>
      </w:r>
    </w:p>
    <w:p w14:paraId="191EA682" w14:textId="77777777" w:rsidR="007C7225" w:rsidRPr="00541183" w:rsidRDefault="007C7225" w:rsidP="00DF1579">
      <w:pPr>
        <w:pStyle w:val="NormalWeb"/>
        <w:spacing w:before="0" w:beforeAutospacing="0" w:after="0" w:afterAutospacing="0"/>
        <w:jc w:val="both"/>
        <w:rPr>
          <w:rFonts w:ascii="Century Gothic" w:eastAsiaTheme="majorEastAsia" w:hAnsi="Century Gothic" w:cstheme="majorBidi"/>
          <w:color w:val="2F5496" w:themeColor="accent1" w:themeShade="BF"/>
          <w:kern w:val="2"/>
          <w:sz w:val="26"/>
          <w:szCs w:val="26"/>
          <w:lang w:val="fr-FR" w:eastAsia="en-US"/>
          <w14:ligatures w14:val="standardContextual"/>
        </w:rPr>
      </w:pPr>
    </w:p>
    <w:p w14:paraId="05C37135" w14:textId="3A133349" w:rsidR="000E260C" w:rsidRPr="00516ECA" w:rsidRDefault="00A616B6" w:rsidP="00DC3B2F">
      <w:pPr>
        <w:rPr>
          <w:rFonts w:ascii="Century Gothic" w:hAnsi="Century Gothic"/>
          <w:color w:val="4472C4" w:themeColor="accent1"/>
          <w:sz w:val="24"/>
          <w:szCs w:val="24"/>
        </w:rPr>
      </w:pPr>
      <w:r w:rsidRPr="00516ECA">
        <w:rPr>
          <w:rFonts w:ascii="Century Gothic" w:hAnsi="Century Gothic"/>
          <w:color w:val="4472C4" w:themeColor="accent1"/>
          <w:sz w:val="24"/>
          <w:szCs w:val="24"/>
        </w:rPr>
        <w:t>6.2.2.3 Réponses</w:t>
      </w:r>
      <w:r w:rsidR="000E260C" w:rsidRPr="00516ECA">
        <w:rPr>
          <w:rFonts w:ascii="Century Gothic" w:hAnsi="Century Gothic"/>
          <w:color w:val="4472C4" w:themeColor="accent1"/>
          <w:sz w:val="24"/>
          <w:szCs w:val="24"/>
        </w:rPr>
        <w:t xml:space="preserve"> Politiques</w:t>
      </w:r>
    </w:p>
    <w:p w14:paraId="222EC11E" w14:textId="053AE8B2" w:rsidR="000E260C" w:rsidRPr="00DB2F0F" w:rsidRDefault="000E260C" w:rsidP="00DF1579">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Face à ces défis croissants, le gouvernement mauritanien a renforcé ses efforts pour intégrer la biodiversité dans ses politiques environnementales. Des initiatives comme la révision de la stratégie nationale de biodiversité visent à répondre aux impacts du changement climatique tout en protégeant les écosystèmes critiques</w:t>
      </w:r>
      <w:r w:rsidR="00735626" w:rsidRPr="00DB2F0F">
        <w:rPr>
          <w:rStyle w:val="Appelnotedebasdep"/>
          <w:rFonts w:ascii="Century Gothic" w:hAnsi="Century Gothic"/>
          <w:sz w:val="22"/>
          <w:szCs w:val="22"/>
        </w:rPr>
        <w:footnoteReference w:id="44"/>
      </w:r>
      <w:r w:rsidR="00735626" w:rsidRPr="00DB2F0F">
        <w:rPr>
          <w:rStyle w:val="Appelnotedebasdep"/>
          <w:rFonts w:ascii="Century Gothic" w:hAnsi="Century Gothic"/>
          <w:sz w:val="22"/>
          <w:szCs w:val="22"/>
        </w:rPr>
        <w:footnoteReference w:id="45"/>
      </w:r>
      <w:r w:rsidR="009B0256" w:rsidRPr="00DB2F0F">
        <w:rPr>
          <w:rFonts w:ascii="Century Gothic" w:hAnsi="Century Gothic"/>
          <w:sz w:val="22"/>
          <w:szCs w:val="22"/>
        </w:rPr>
        <w:t>.</w:t>
      </w:r>
    </w:p>
    <w:p w14:paraId="580CB6C0" w14:textId="77777777" w:rsidR="006A0D2F" w:rsidRPr="00DB2F0F" w:rsidRDefault="006A0D2F" w:rsidP="00DF1579">
      <w:pPr>
        <w:pStyle w:val="NormalWeb"/>
        <w:spacing w:before="0" w:beforeAutospacing="0" w:after="0" w:afterAutospacing="0"/>
        <w:jc w:val="both"/>
        <w:rPr>
          <w:rFonts w:ascii="Century Gothic" w:hAnsi="Century Gothic"/>
          <w:sz w:val="22"/>
          <w:szCs w:val="22"/>
        </w:rPr>
      </w:pPr>
    </w:p>
    <w:p w14:paraId="5DB45D70" w14:textId="3B1B083E" w:rsidR="00DD7433" w:rsidRPr="00DB2F0F" w:rsidRDefault="000E260C" w:rsidP="00325A68">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En conclusion, les facteurs climatiques, biophysiques et édaphiques en Mauritanie interagissent de manière complexe pour influencer la biodiversité. Les fluctuations observées au cours des cinq dernières années soulignent l'urgence d'adopter des mesures d'adaptation efficaces face aux défis posés par le changement climatique.</w:t>
      </w:r>
    </w:p>
    <w:p w14:paraId="17180878" w14:textId="77777777" w:rsidR="00325A68" w:rsidRPr="00325A68" w:rsidRDefault="00325A68" w:rsidP="00325A68">
      <w:pPr>
        <w:pStyle w:val="NormalWeb"/>
        <w:spacing w:before="0" w:beforeAutospacing="0" w:after="0" w:afterAutospacing="0"/>
        <w:jc w:val="both"/>
        <w:rPr>
          <w:rFonts w:ascii="Century Gothic" w:hAnsi="Century Gothic"/>
        </w:rPr>
      </w:pPr>
    </w:p>
    <w:p w14:paraId="5B404943" w14:textId="22A2879C" w:rsidR="00666CFF" w:rsidRPr="007C7225" w:rsidRDefault="001F33E0" w:rsidP="00FA36EC">
      <w:pPr>
        <w:pStyle w:val="Titre2"/>
        <w:ind w:right="-284"/>
        <w:rPr>
          <w:rFonts w:ascii="Century Gothic" w:hAnsi="Century Gothic"/>
          <w:lang w:val="wo-SN"/>
        </w:rPr>
      </w:pPr>
      <w:bookmarkStart w:id="36" w:name="_Toc189375545"/>
      <w:r>
        <w:rPr>
          <w:rFonts w:ascii="Century Gothic" w:hAnsi="Century Gothic"/>
          <w:lang w:val="wo-SN"/>
        </w:rPr>
        <w:t>6</w:t>
      </w:r>
      <w:r w:rsidR="00765C5C">
        <w:rPr>
          <w:rFonts w:ascii="Century Gothic" w:hAnsi="Century Gothic"/>
          <w:lang w:val="wo-SN"/>
        </w:rPr>
        <w:t xml:space="preserve">.3  </w:t>
      </w:r>
      <w:r w:rsidR="000E260C" w:rsidRPr="007C7225">
        <w:rPr>
          <w:rFonts w:ascii="Century Gothic" w:hAnsi="Century Gothic"/>
          <w:lang w:val="wo-SN"/>
        </w:rPr>
        <w:t xml:space="preserve">Évaluation de la Vulnérabilité au Changement Climatique des Biomes </w:t>
      </w:r>
      <w:bookmarkEnd w:id="36"/>
    </w:p>
    <w:p w14:paraId="6A69622A" w14:textId="77777777" w:rsidR="00B97710" w:rsidRDefault="00B97710" w:rsidP="00B97710">
      <w:pPr>
        <w:pStyle w:val="Titre2"/>
        <w:rPr>
          <w:rFonts w:ascii="Century Gothic" w:hAnsi="Century Gothic"/>
          <w:sz w:val="24"/>
          <w:szCs w:val="24"/>
        </w:rPr>
      </w:pPr>
    </w:p>
    <w:p w14:paraId="5EAA8214" w14:textId="74342F56" w:rsidR="00B97710" w:rsidRPr="00211DA2" w:rsidRDefault="001F33E0" w:rsidP="00211DA2">
      <w:pPr>
        <w:rPr>
          <w:rFonts w:ascii="Century Gothic" w:eastAsia="Times New Roman" w:hAnsi="Century Gothic" w:cs="Times New Roman"/>
          <w:color w:val="4472C4" w:themeColor="accent1"/>
          <w:sz w:val="24"/>
          <w:szCs w:val="24"/>
          <w:lang w:val="wo-SN" w:eastAsia="wo-SN"/>
        </w:rPr>
      </w:pPr>
      <w:r w:rsidRPr="00211DA2">
        <w:rPr>
          <w:rFonts w:ascii="Century Gothic" w:eastAsia="Times New Roman" w:hAnsi="Century Gothic" w:cs="Times New Roman"/>
          <w:color w:val="4472C4" w:themeColor="accent1"/>
          <w:sz w:val="24"/>
          <w:szCs w:val="24"/>
          <w:lang w:val="wo-SN" w:eastAsia="wo-SN"/>
        </w:rPr>
        <w:t>6</w:t>
      </w:r>
      <w:r w:rsidR="00765C5C" w:rsidRPr="00211DA2">
        <w:rPr>
          <w:rFonts w:ascii="Century Gothic" w:eastAsia="Times New Roman" w:hAnsi="Century Gothic" w:cs="Times New Roman"/>
          <w:color w:val="4472C4" w:themeColor="accent1"/>
          <w:sz w:val="24"/>
          <w:szCs w:val="24"/>
          <w:lang w:val="wo-SN" w:eastAsia="wo-SN"/>
        </w:rPr>
        <w:t>.3.1  Evaluation</w:t>
      </w:r>
      <w:r w:rsidR="00B97710" w:rsidRPr="00211DA2">
        <w:rPr>
          <w:rFonts w:ascii="Century Gothic" w:eastAsia="Times New Roman" w:hAnsi="Century Gothic" w:cs="Times New Roman"/>
          <w:color w:val="4472C4" w:themeColor="accent1"/>
          <w:sz w:val="24"/>
          <w:szCs w:val="24"/>
          <w:lang w:val="wo-SN" w:eastAsia="wo-SN"/>
        </w:rPr>
        <w:t xml:space="preserve"> de la </w:t>
      </w:r>
      <w:r w:rsidR="003529F5" w:rsidRPr="00211DA2">
        <w:rPr>
          <w:rFonts w:ascii="Century Gothic" w:eastAsia="Times New Roman" w:hAnsi="Century Gothic" w:cs="Times New Roman"/>
          <w:color w:val="4472C4" w:themeColor="accent1"/>
          <w:sz w:val="24"/>
          <w:szCs w:val="24"/>
          <w:lang w:val="wo-SN" w:eastAsia="wo-SN"/>
        </w:rPr>
        <w:t>vulnérabilité</w:t>
      </w:r>
      <w:r w:rsidR="00B97710" w:rsidRPr="00211DA2">
        <w:rPr>
          <w:rFonts w:ascii="Century Gothic" w:eastAsia="Times New Roman" w:hAnsi="Century Gothic" w:cs="Times New Roman"/>
          <w:color w:val="4472C4" w:themeColor="accent1"/>
          <w:sz w:val="24"/>
          <w:szCs w:val="24"/>
          <w:lang w:val="wo-SN" w:eastAsia="wo-SN"/>
        </w:rPr>
        <w:t xml:space="preserve">, perte et prejudices au changement climatique </w:t>
      </w:r>
    </w:p>
    <w:p w14:paraId="10B31D46" w14:textId="289BB027" w:rsidR="00434919" w:rsidRPr="00DB2F0F" w:rsidRDefault="000809A2" w:rsidP="000809A2">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A</w:t>
      </w:r>
      <w:r w:rsidR="00666CFF" w:rsidRPr="00DB2F0F">
        <w:rPr>
          <w:rFonts w:ascii="Century Gothic" w:hAnsi="Century Gothic"/>
          <w:sz w:val="22"/>
          <w:szCs w:val="22"/>
        </w:rPr>
        <w:t xml:space="preserve">vec ses divers écosystèmes allant des zones désertiques aux zones côtières, maritimes et fluviales, </w:t>
      </w:r>
      <w:r w:rsidRPr="00DB2F0F">
        <w:rPr>
          <w:rFonts w:ascii="Century Gothic" w:hAnsi="Century Gothic"/>
          <w:sz w:val="22"/>
          <w:szCs w:val="22"/>
        </w:rPr>
        <w:t xml:space="preserve">La Mauritanie </w:t>
      </w:r>
      <w:r w:rsidR="00666CFF" w:rsidRPr="00DB2F0F">
        <w:rPr>
          <w:rFonts w:ascii="Century Gothic" w:hAnsi="Century Gothic"/>
          <w:sz w:val="22"/>
          <w:szCs w:val="22"/>
        </w:rPr>
        <w:t xml:space="preserve">fait face à des défis environnementaux majeurs liés au changement climatique. Chaque biome présente une vulnérabilité spécifique aux impacts du changement climatique, et ces impacts ont des répercussions directes sur la biodiversité ainsi que sur les communautés qui dépendent de ces écosystèmes pour leur subsistance. </w:t>
      </w:r>
    </w:p>
    <w:p w14:paraId="2676B80C" w14:textId="2FD299A0" w:rsidR="00601597" w:rsidRPr="00DB2F0F" w:rsidRDefault="00852F58" w:rsidP="00852F58">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Nous présentons c</w:t>
      </w:r>
      <w:r w:rsidR="00434919" w:rsidRPr="00DB2F0F">
        <w:rPr>
          <w:rFonts w:ascii="Century Gothic" w:hAnsi="Century Gothic"/>
          <w:sz w:val="22"/>
          <w:szCs w:val="22"/>
        </w:rPr>
        <w:t>i</w:t>
      </w:r>
      <w:r w:rsidRPr="00DB2F0F">
        <w:rPr>
          <w:rFonts w:ascii="Century Gothic" w:hAnsi="Century Gothic"/>
          <w:sz w:val="22"/>
          <w:szCs w:val="22"/>
        </w:rPr>
        <w:t>-après u</w:t>
      </w:r>
      <w:r w:rsidR="00666CFF" w:rsidRPr="00DB2F0F">
        <w:rPr>
          <w:rFonts w:ascii="Century Gothic" w:hAnsi="Century Gothic"/>
          <w:sz w:val="22"/>
          <w:szCs w:val="22"/>
        </w:rPr>
        <w:t>ne évaluation de la vulnérabilité des différents biomes de la Mauritanie face au changement climatique, ainsi qu'une estimation des pertes et préjudices associés</w:t>
      </w:r>
      <w:r w:rsidR="00434919" w:rsidRPr="00DB2F0F">
        <w:rPr>
          <w:rFonts w:ascii="Century Gothic" w:hAnsi="Century Gothic"/>
          <w:sz w:val="22"/>
          <w:szCs w:val="22"/>
        </w:rPr>
        <w:t xml:space="preserve"> et leurs conséquences sur les communautés utilisatrices des ressources.</w:t>
      </w:r>
    </w:p>
    <w:p w14:paraId="785061C5" w14:textId="77777777" w:rsidR="00B97710" w:rsidRPr="00541183" w:rsidRDefault="00B97710" w:rsidP="00434919">
      <w:pPr>
        <w:pStyle w:val="NormalWeb"/>
        <w:spacing w:before="0" w:beforeAutospacing="0" w:after="0" w:afterAutospacing="0"/>
        <w:jc w:val="both"/>
        <w:rPr>
          <w:rFonts w:ascii="Century Gothic" w:hAnsi="Century Gothic"/>
        </w:rPr>
      </w:pPr>
    </w:p>
    <w:p w14:paraId="0FC4C74E" w14:textId="6FCF51E4" w:rsidR="00A22F8E" w:rsidRPr="00FA36EC" w:rsidRDefault="00666CFF" w:rsidP="009B2BCC">
      <w:pPr>
        <w:rPr>
          <w:rFonts w:ascii="Century Gothic" w:hAnsi="Century Gothic"/>
          <w:b/>
          <w:bCs/>
          <w:color w:val="0033CC"/>
          <w:sz w:val="24"/>
          <w:szCs w:val="24"/>
        </w:rPr>
      </w:pPr>
      <w:r w:rsidRPr="00FA36EC">
        <w:rPr>
          <w:rFonts w:ascii="Century Gothic" w:hAnsi="Century Gothic"/>
          <w:b/>
          <w:bCs/>
          <w:color w:val="0033CC"/>
          <w:sz w:val="24"/>
          <w:szCs w:val="24"/>
        </w:rPr>
        <w:t>1. Biome Désertique (Sahara et Steppes)</w:t>
      </w:r>
    </w:p>
    <w:p w14:paraId="0B89DE08" w14:textId="2246C373" w:rsidR="00666CFF" w:rsidRPr="00FA36EC" w:rsidRDefault="00666CFF" w:rsidP="00666CFF">
      <w:pPr>
        <w:pStyle w:val="NormalWeb"/>
        <w:spacing w:before="0" w:beforeAutospacing="0" w:after="0" w:afterAutospacing="0"/>
        <w:jc w:val="both"/>
        <w:rPr>
          <w:rFonts w:ascii="Century Gothic" w:hAnsi="Century Gothic"/>
          <w:b/>
          <w:bCs/>
          <w:color w:val="4472C4" w:themeColor="accent1"/>
          <w:sz w:val="22"/>
          <w:szCs w:val="22"/>
        </w:rPr>
      </w:pPr>
      <w:r w:rsidRPr="00FA36EC">
        <w:rPr>
          <w:rFonts w:ascii="Century Gothic" w:hAnsi="Century Gothic"/>
          <w:b/>
          <w:bCs/>
          <w:color w:val="4472C4" w:themeColor="accent1"/>
          <w:sz w:val="22"/>
          <w:szCs w:val="22"/>
        </w:rPr>
        <w:t>A. Vulnérabilité au Changement Climatique</w:t>
      </w:r>
    </w:p>
    <w:p w14:paraId="224D63F9" w14:textId="77777777" w:rsidR="00666CFF" w:rsidRDefault="00666CFF" w:rsidP="00666CFF">
      <w:pPr>
        <w:pStyle w:val="NormalWeb"/>
        <w:spacing w:before="0" w:beforeAutospacing="0" w:after="0" w:afterAutospacing="0"/>
        <w:jc w:val="both"/>
        <w:rPr>
          <w:rFonts w:ascii="Century Gothic" w:hAnsi="Century Gothic"/>
          <w:b/>
          <w:bCs/>
          <w:color w:val="FF0000"/>
        </w:rPr>
      </w:pPr>
    </w:p>
    <w:p w14:paraId="43178317" w14:textId="0C0B2314" w:rsidR="00666CFF" w:rsidRPr="00DB2F0F" w:rsidRDefault="00666CFF" w:rsidP="00666CFF">
      <w:pPr>
        <w:pStyle w:val="NormalWeb"/>
        <w:spacing w:before="0" w:beforeAutospacing="0" w:after="0" w:afterAutospacing="0"/>
        <w:jc w:val="both"/>
        <w:rPr>
          <w:rFonts w:ascii="Century Gothic" w:hAnsi="Century Gothic"/>
          <w:sz w:val="22"/>
          <w:szCs w:val="22"/>
        </w:rPr>
      </w:pPr>
      <w:r w:rsidRPr="00DB2F0F">
        <w:rPr>
          <w:rFonts w:ascii="Century Gothic" w:hAnsi="Century Gothic"/>
          <w:b/>
          <w:bCs/>
          <w:sz w:val="22"/>
          <w:szCs w:val="22"/>
        </w:rPr>
        <w:t>Températures élevées</w:t>
      </w:r>
      <w:r w:rsidRPr="00DB2F0F">
        <w:rPr>
          <w:rFonts w:ascii="Century Gothic" w:hAnsi="Century Gothic"/>
          <w:sz w:val="22"/>
          <w:szCs w:val="22"/>
        </w:rPr>
        <w:t xml:space="preserve"> : Le désert mauritanien est caractérisé par des températures extrêmes et une faible pluviométrie. Le réchauffement climatique exacerbe ces conditions, augmentant la fréquence et l'intensité des vagues de chaleur.</w:t>
      </w:r>
    </w:p>
    <w:p w14:paraId="5B41FF79" w14:textId="77777777" w:rsidR="00666CFF" w:rsidRPr="00DB2F0F" w:rsidRDefault="00666CFF" w:rsidP="00666CFF">
      <w:pPr>
        <w:pStyle w:val="NormalWeb"/>
        <w:spacing w:before="0" w:beforeAutospacing="0" w:after="0" w:afterAutospacing="0"/>
        <w:jc w:val="both"/>
        <w:rPr>
          <w:rFonts w:ascii="Century Gothic" w:hAnsi="Century Gothic"/>
          <w:b/>
          <w:bCs/>
          <w:sz w:val="22"/>
          <w:szCs w:val="22"/>
        </w:rPr>
      </w:pPr>
    </w:p>
    <w:p w14:paraId="780CED4F" w14:textId="0E0119A8" w:rsidR="00666CFF" w:rsidRPr="00DB2F0F" w:rsidRDefault="00666CFF" w:rsidP="00666CFF">
      <w:pPr>
        <w:pStyle w:val="NormalWeb"/>
        <w:spacing w:before="0" w:beforeAutospacing="0" w:after="0" w:afterAutospacing="0"/>
        <w:jc w:val="both"/>
        <w:rPr>
          <w:rFonts w:ascii="Century Gothic" w:hAnsi="Century Gothic"/>
          <w:sz w:val="22"/>
          <w:szCs w:val="22"/>
        </w:rPr>
      </w:pPr>
      <w:r w:rsidRPr="00DB2F0F">
        <w:rPr>
          <w:rFonts w:ascii="Century Gothic" w:hAnsi="Century Gothic"/>
          <w:b/>
          <w:bCs/>
          <w:sz w:val="22"/>
          <w:szCs w:val="22"/>
        </w:rPr>
        <w:t>Sécheresse accrue</w:t>
      </w:r>
      <w:r w:rsidRPr="00DB2F0F">
        <w:rPr>
          <w:rFonts w:ascii="Century Gothic" w:hAnsi="Century Gothic"/>
          <w:sz w:val="22"/>
          <w:szCs w:val="22"/>
        </w:rPr>
        <w:t xml:space="preserve"> : Le désert connaît déjà une aridité sévère. Le changement climatique pourrait entraîner des périodes de sécheresse prolongées et des dégradations de l'environnement, entraînant la désertification des terres.</w:t>
      </w:r>
    </w:p>
    <w:p w14:paraId="2F724D67" w14:textId="77777777" w:rsidR="00666CFF" w:rsidRPr="00DB2F0F" w:rsidRDefault="00666CFF" w:rsidP="00666CFF">
      <w:pPr>
        <w:pStyle w:val="NormalWeb"/>
        <w:spacing w:before="0" w:beforeAutospacing="0" w:after="0" w:afterAutospacing="0"/>
        <w:jc w:val="both"/>
        <w:rPr>
          <w:rFonts w:ascii="Century Gothic" w:hAnsi="Century Gothic"/>
          <w:b/>
          <w:bCs/>
          <w:sz w:val="22"/>
          <w:szCs w:val="22"/>
        </w:rPr>
      </w:pPr>
    </w:p>
    <w:p w14:paraId="22F8D561" w14:textId="42D6F4BC" w:rsidR="00666CFF" w:rsidRPr="00DB2F0F" w:rsidRDefault="00666CFF" w:rsidP="00666CFF">
      <w:pPr>
        <w:pStyle w:val="NormalWeb"/>
        <w:spacing w:before="0" w:beforeAutospacing="0" w:after="0" w:afterAutospacing="0"/>
        <w:jc w:val="both"/>
        <w:rPr>
          <w:rFonts w:ascii="Century Gothic" w:hAnsi="Century Gothic"/>
          <w:sz w:val="22"/>
          <w:szCs w:val="22"/>
        </w:rPr>
      </w:pPr>
      <w:r w:rsidRPr="00DB2F0F">
        <w:rPr>
          <w:rFonts w:ascii="Century Gothic" w:hAnsi="Century Gothic"/>
          <w:b/>
          <w:bCs/>
          <w:sz w:val="22"/>
          <w:szCs w:val="22"/>
        </w:rPr>
        <w:t>Érosion éolienne</w:t>
      </w:r>
      <w:r w:rsidRPr="00DB2F0F">
        <w:rPr>
          <w:rFonts w:ascii="Century Gothic" w:hAnsi="Century Gothic"/>
          <w:sz w:val="22"/>
          <w:szCs w:val="22"/>
        </w:rPr>
        <w:t xml:space="preserve"> : L'augmentation de la fréquence des tempêtes de sable et des vents violents pourrait accélérer l’érosion et la perte de sol fertile.</w:t>
      </w:r>
    </w:p>
    <w:p w14:paraId="4B77A351" w14:textId="47C13E28" w:rsidR="007C7225" w:rsidRPr="00DB2F0F" w:rsidRDefault="007C7225" w:rsidP="00666CFF">
      <w:pPr>
        <w:pStyle w:val="NormalWeb"/>
        <w:spacing w:before="0" w:beforeAutospacing="0" w:after="0" w:afterAutospacing="0"/>
        <w:jc w:val="both"/>
        <w:rPr>
          <w:rFonts w:ascii="Century Gothic" w:hAnsi="Century Gothic"/>
          <w:sz w:val="22"/>
          <w:szCs w:val="22"/>
        </w:rPr>
      </w:pPr>
    </w:p>
    <w:p w14:paraId="442CAD44" w14:textId="512F08F8" w:rsidR="005A2A83" w:rsidRDefault="005A2A83" w:rsidP="00666CFF">
      <w:pPr>
        <w:pStyle w:val="NormalWeb"/>
        <w:spacing w:before="0" w:beforeAutospacing="0" w:after="0" w:afterAutospacing="0"/>
        <w:jc w:val="both"/>
        <w:rPr>
          <w:rFonts w:ascii="Century Gothic" w:hAnsi="Century Gothic"/>
          <w:color w:val="FF0000"/>
        </w:rPr>
      </w:pPr>
    </w:p>
    <w:p w14:paraId="1477FDFE" w14:textId="5A57C254" w:rsidR="00E4242C" w:rsidRDefault="00E4242C" w:rsidP="00666CFF">
      <w:pPr>
        <w:pStyle w:val="NormalWeb"/>
        <w:spacing w:before="0" w:beforeAutospacing="0" w:after="0" w:afterAutospacing="0"/>
        <w:jc w:val="both"/>
        <w:rPr>
          <w:rFonts w:ascii="Century Gothic" w:hAnsi="Century Gothic"/>
          <w:color w:val="FF0000"/>
        </w:rPr>
      </w:pPr>
    </w:p>
    <w:p w14:paraId="73C6EE2C" w14:textId="77777777" w:rsidR="00E4242C" w:rsidRDefault="00E4242C" w:rsidP="00666CFF">
      <w:pPr>
        <w:pStyle w:val="NormalWeb"/>
        <w:spacing w:before="0" w:beforeAutospacing="0" w:after="0" w:afterAutospacing="0"/>
        <w:jc w:val="both"/>
        <w:rPr>
          <w:rFonts w:ascii="Century Gothic" w:hAnsi="Century Gothic"/>
          <w:color w:val="FF0000"/>
        </w:rPr>
      </w:pPr>
    </w:p>
    <w:p w14:paraId="3F1EB072" w14:textId="0B1EBB7A" w:rsidR="00666CFF" w:rsidRPr="00FA36EC" w:rsidRDefault="00666CFF" w:rsidP="00666CFF">
      <w:pPr>
        <w:pStyle w:val="NormalWeb"/>
        <w:spacing w:before="0" w:beforeAutospacing="0" w:after="0" w:afterAutospacing="0"/>
        <w:jc w:val="both"/>
        <w:rPr>
          <w:rFonts w:ascii="Century Gothic" w:hAnsi="Century Gothic"/>
          <w:b/>
          <w:bCs/>
          <w:color w:val="4472C4" w:themeColor="accent1"/>
          <w:sz w:val="22"/>
          <w:szCs w:val="22"/>
        </w:rPr>
      </w:pPr>
      <w:r w:rsidRPr="00FA36EC">
        <w:rPr>
          <w:rFonts w:ascii="Century Gothic" w:hAnsi="Century Gothic"/>
          <w:b/>
          <w:bCs/>
          <w:color w:val="4472C4" w:themeColor="accent1"/>
          <w:sz w:val="22"/>
          <w:szCs w:val="22"/>
        </w:rPr>
        <w:t>B. Pertes et Préjudices</w:t>
      </w:r>
    </w:p>
    <w:p w14:paraId="3DC4EFE8" w14:textId="449BF37D" w:rsidR="00666CFF" w:rsidRDefault="00732F37" w:rsidP="00666CFF">
      <w:pPr>
        <w:pStyle w:val="NormalWeb"/>
        <w:spacing w:before="0" w:beforeAutospacing="0" w:after="0" w:afterAutospacing="0"/>
        <w:jc w:val="both"/>
        <w:rPr>
          <w:rFonts w:ascii="Century Gothic" w:hAnsi="Century Gothic"/>
          <w:b/>
          <w:bCs/>
          <w:color w:val="FF0000"/>
        </w:rPr>
      </w:pPr>
      <w:r>
        <w:rPr>
          <w:rFonts w:ascii="Century Gothic" w:hAnsi="Century Gothic"/>
          <w:b/>
          <w:bCs/>
          <w:noProof/>
          <w:lang w:val="fr-FR" w:eastAsia="fr-FR"/>
        </w:rPr>
        <mc:AlternateContent>
          <mc:Choice Requires="wps">
            <w:drawing>
              <wp:anchor distT="0" distB="0" distL="114300" distR="114300" simplePos="0" relativeHeight="251670528" behindDoc="0" locked="0" layoutInCell="1" allowOverlap="1" wp14:anchorId="2152F675" wp14:editId="16BB6193">
                <wp:simplePos x="0" y="0"/>
                <wp:positionH relativeFrom="column">
                  <wp:posOffset>1640205</wp:posOffset>
                </wp:positionH>
                <wp:positionV relativeFrom="paragraph">
                  <wp:posOffset>104245</wp:posOffset>
                </wp:positionV>
                <wp:extent cx="4114800" cy="803275"/>
                <wp:effectExtent l="666750" t="38100" r="19050" b="53975"/>
                <wp:wrapNone/>
                <wp:docPr id="25" name="Légende : encadrée à une bordure 25"/>
                <wp:cNvGraphicFramePr/>
                <a:graphic xmlns:a="http://schemas.openxmlformats.org/drawingml/2006/main">
                  <a:graphicData uri="http://schemas.microsoft.com/office/word/2010/wordprocessingShape">
                    <wps:wsp>
                      <wps:cNvSpPr/>
                      <wps:spPr>
                        <a:xfrm>
                          <a:off x="0" y="0"/>
                          <a:ext cx="4114800" cy="803275"/>
                        </a:xfrm>
                        <a:prstGeom prst="accentBorderCallout1">
                          <a:avLst>
                            <a:gd name="adj1" fmla="val 18750"/>
                            <a:gd name="adj2" fmla="val -8333"/>
                            <a:gd name="adj3" fmla="val 44668"/>
                            <a:gd name="adj4" fmla="val -1595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45DE82" w14:textId="77777777" w:rsidR="0062478D" w:rsidRPr="00732F37" w:rsidRDefault="0062478D" w:rsidP="00732F37">
                            <w:pPr>
                              <w:pStyle w:val="NormalWeb"/>
                              <w:spacing w:before="0" w:beforeAutospacing="0" w:after="0" w:afterAutospacing="0"/>
                              <w:jc w:val="both"/>
                              <w:rPr>
                                <w:rFonts w:ascii="Century Gothic" w:hAnsi="Century Gothic"/>
                                <w:sz w:val="18"/>
                                <w:szCs w:val="18"/>
                              </w:rPr>
                            </w:pPr>
                            <w:r w:rsidRPr="00732F37">
                              <w:rPr>
                                <w:rFonts w:ascii="Century Gothic" w:hAnsi="Century Gothic"/>
                                <w:sz w:val="18"/>
                                <w:szCs w:val="18"/>
                              </w:rPr>
                              <w:t>La faune désertique, comprenant des espèces comme le dromadaire, le fennec et plusieurs types de reptiles, souffre du manque d'eau et des températures extrêmes. Les espèces endémiques et les plantes désertiques sont particulièrement vulnérables à la modification des conditions climatiques.</w:t>
                            </w:r>
                          </w:p>
                          <w:p w14:paraId="490DF64F" w14:textId="77777777" w:rsidR="0062478D" w:rsidRPr="00732F37" w:rsidRDefault="0062478D" w:rsidP="00732F37">
                            <w:pPr>
                              <w:jc w:val="both"/>
                              <w:rPr>
                                <w:sz w:val="16"/>
                                <w:szCs w:val="16"/>
                                <w:lang w:val="wo-S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2F675" id="Légende : encadrée à une bordure 25" o:spid="_x0000_s1046" type="#_x0000_t50" style="position:absolute;left:0;text-align:left;margin-left:129.15pt;margin-top:8.2pt;width:324pt;height:6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" adj="-3447,9648" fillcolor="#4472c4 [3204]" strokecolor="#1f3763 [1604]" strokeweight="1pt">
                <v:textbox>
                  <w:txbxContent>
                    <w:p w14:paraId="3245DE82" w14:textId="77777777" w:rsidR="0062478D" w:rsidRPr="00732F37" w:rsidRDefault="0062478D" w:rsidP="00732F37">
                      <w:pPr>
                        <w:pStyle w:val="NormalWeb"/>
                        <w:spacing w:before="0" w:beforeAutospacing="0" w:after="0" w:afterAutospacing="0"/>
                        <w:jc w:val="both"/>
                        <w:rPr>
                          <w:rFonts w:ascii="Century Gothic" w:hAnsi="Century Gothic"/>
                          <w:sz w:val="18"/>
                          <w:szCs w:val="18"/>
                        </w:rPr>
                      </w:pPr>
                      <w:r w:rsidRPr="00732F37">
                        <w:rPr>
                          <w:rFonts w:ascii="Century Gothic" w:hAnsi="Century Gothic"/>
                          <w:sz w:val="18"/>
                          <w:szCs w:val="18"/>
                        </w:rPr>
                        <w:t>La faune désertique, comprenant des espèces comme le dromadaire, le fennec et plusieurs types de reptiles, souffre du manque d'eau et des températures extrêmes. Les espèces endémiques et les plantes désertiques sont particulièrement vulnérables à la modification des conditions climatiques.</w:t>
                      </w:r>
                    </w:p>
                    <w:p w14:paraId="490DF64F" w14:textId="77777777" w:rsidR="0062478D" w:rsidRPr="00732F37" w:rsidRDefault="0062478D" w:rsidP="00732F37">
                      <w:pPr>
                        <w:jc w:val="both"/>
                        <w:rPr>
                          <w:sz w:val="16"/>
                          <w:szCs w:val="16"/>
                          <w:lang w:val="wo-SN"/>
                        </w:rPr>
                      </w:pPr>
                    </w:p>
                  </w:txbxContent>
                </v:textbox>
                <o:callout v:ext="edit" minusy="t"/>
              </v:shape>
            </w:pict>
          </mc:Fallback>
        </mc:AlternateContent>
      </w:r>
    </w:p>
    <w:p w14:paraId="6FEB1F01" w14:textId="09E8D765" w:rsidR="00732F37" w:rsidRDefault="00732F37" w:rsidP="00732F37">
      <w:pPr>
        <w:pStyle w:val="NormalWeb"/>
        <w:spacing w:before="0" w:beforeAutospacing="0" w:after="0" w:afterAutospacing="0"/>
        <w:jc w:val="both"/>
        <w:rPr>
          <w:rFonts w:ascii="Century Gothic" w:hAnsi="Century Gothic"/>
          <w:b/>
          <w:bCs/>
        </w:rPr>
      </w:pPr>
    </w:p>
    <w:p w14:paraId="75D2B676" w14:textId="56CE4BED" w:rsidR="00732F37" w:rsidRDefault="00732F37" w:rsidP="00732F37">
      <w:pPr>
        <w:pStyle w:val="NormalWeb"/>
        <w:spacing w:before="0" w:beforeAutospacing="0" w:after="0" w:afterAutospacing="0"/>
        <w:jc w:val="both"/>
        <w:rPr>
          <w:rFonts w:ascii="Century Gothic" w:hAnsi="Century Gothic"/>
          <w:b/>
          <w:bCs/>
        </w:rPr>
      </w:pPr>
    </w:p>
    <w:p w14:paraId="1763E6D3" w14:textId="1D5787E1" w:rsidR="00666CFF" w:rsidRPr="00732F37" w:rsidRDefault="00666CFF" w:rsidP="00732F37">
      <w:pPr>
        <w:pStyle w:val="NormalWeb"/>
        <w:spacing w:before="0" w:beforeAutospacing="0" w:after="0" w:afterAutospacing="0"/>
        <w:jc w:val="both"/>
        <w:rPr>
          <w:rFonts w:ascii="Century Gothic" w:hAnsi="Century Gothic"/>
          <w:sz w:val="22"/>
          <w:szCs w:val="22"/>
        </w:rPr>
      </w:pPr>
      <w:r w:rsidRPr="00732F37">
        <w:rPr>
          <w:rFonts w:ascii="Century Gothic" w:hAnsi="Century Gothic"/>
          <w:b/>
          <w:bCs/>
          <w:sz w:val="22"/>
          <w:szCs w:val="22"/>
        </w:rPr>
        <w:t>Biodiversité</w:t>
      </w:r>
      <w:r w:rsidRPr="00732F37">
        <w:rPr>
          <w:rFonts w:ascii="Century Gothic" w:hAnsi="Century Gothic"/>
          <w:sz w:val="22"/>
          <w:szCs w:val="22"/>
        </w:rPr>
        <w:t xml:space="preserve"> </w:t>
      </w:r>
    </w:p>
    <w:p w14:paraId="430F767C" w14:textId="40802294" w:rsidR="00666CFF" w:rsidRPr="009B0256" w:rsidRDefault="00666CFF" w:rsidP="00666CFF">
      <w:pPr>
        <w:pStyle w:val="NormalWeb"/>
        <w:spacing w:before="0" w:beforeAutospacing="0" w:after="0" w:afterAutospacing="0"/>
        <w:jc w:val="both"/>
        <w:rPr>
          <w:rFonts w:ascii="Century Gothic" w:hAnsi="Century Gothic"/>
          <w:b/>
          <w:bCs/>
        </w:rPr>
      </w:pPr>
    </w:p>
    <w:p w14:paraId="17853D80" w14:textId="5B4F853A" w:rsidR="00732F37" w:rsidRDefault="00732F37" w:rsidP="00B97710">
      <w:pPr>
        <w:pStyle w:val="NormalWeb"/>
        <w:spacing w:before="0" w:beforeAutospacing="0" w:after="0" w:afterAutospacing="0"/>
        <w:jc w:val="both"/>
        <w:rPr>
          <w:rFonts w:ascii="Century Gothic" w:hAnsi="Century Gothic"/>
          <w:b/>
          <w:bCs/>
          <w:sz w:val="22"/>
          <w:szCs w:val="22"/>
        </w:rPr>
      </w:pPr>
      <w:r w:rsidRPr="00732F37">
        <w:rPr>
          <w:rFonts w:ascii="Century Gothic" w:hAnsi="Century Gothic"/>
          <w:b/>
          <w:bCs/>
          <w:noProof/>
          <w:sz w:val="22"/>
          <w:szCs w:val="22"/>
          <w:lang w:val="fr-FR" w:eastAsia="fr-FR"/>
        </w:rPr>
        <mc:AlternateContent>
          <mc:Choice Requires="wps">
            <w:drawing>
              <wp:anchor distT="0" distB="0" distL="114300" distR="114300" simplePos="0" relativeHeight="251672576" behindDoc="0" locked="0" layoutInCell="1" allowOverlap="1" wp14:anchorId="2F0D6CCD" wp14:editId="2D9AFF13">
                <wp:simplePos x="0" y="0"/>
                <wp:positionH relativeFrom="column">
                  <wp:posOffset>1642854</wp:posOffset>
                </wp:positionH>
                <wp:positionV relativeFrom="paragraph">
                  <wp:posOffset>133381</wp:posOffset>
                </wp:positionV>
                <wp:extent cx="4124960" cy="690880"/>
                <wp:effectExtent l="742950" t="38100" r="27940" b="52070"/>
                <wp:wrapNone/>
                <wp:docPr id="26" name="Légende : encadrée à une bordure 26"/>
                <wp:cNvGraphicFramePr/>
                <a:graphic xmlns:a="http://schemas.openxmlformats.org/drawingml/2006/main">
                  <a:graphicData uri="http://schemas.microsoft.com/office/word/2010/wordprocessingShape">
                    <wps:wsp>
                      <wps:cNvSpPr/>
                      <wps:spPr>
                        <a:xfrm>
                          <a:off x="0" y="0"/>
                          <a:ext cx="4124960" cy="690880"/>
                        </a:xfrm>
                        <a:prstGeom prst="accentBorderCallout1">
                          <a:avLst>
                            <a:gd name="adj1" fmla="val 18750"/>
                            <a:gd name="adj2" fmla="val -8333"/>
                            <a:gd name="adj3" fmla="val 47542"/>
                            <a:gd name="adj4" fmla="val -1793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91186E" w14:textId="079C062C" w:rsidR="0062478D" w:rsidRPr="00732F37" w:rsidRDefault="0062478D" w:rsidP="00732F37">
                            <w:pPr>
                              <w:jc w:val="both"/>
                              <w:rPr>
                                <w:sz w:val="18"/>
                                <w:szCs w:val="18"/>
                              </w:rPr>
                            </w:pPr>
                            <w:r w:rsidRPr="00732F37">
                              <w:rPr>
                                <w:rFonts w:ascii="Century Gothic" w:hAnsi="Century Gothic"/>
                                <w:sz w:val="18"/>
                                <w:szCs w:val="18"/>
                              </w:rPr>
                              <w:t>Les communautés nomades et pastorales qui dépendent de la végétation et des points d'eau pour le bétail et les cultures subissent de graves impacts, notamment des pertes de bétail, une baisse de la productivité agricole et des migrations forcées.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D6CCD" id="Légende : encadrée à une bordure 26" o:spid="_x0000_s1047" type="#_x0000_t50" style="position:absolute;left:0;text-align:left;margin-left:129.35pt;margin-top:10.5pt;width:324.8pt;height:5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" adj="-3874,10269" fillcolor="#4472c4 [3204]" strokecolor="#1f3763 [1604]" strokeweight="1pt">
                <v:textbox>
                  <w:txbxContent>
                    <w:p w14:paraId="6291186E" w14:textId="079C062C" w:rsidR="0062478D" w:rsidRPr="00732F37" w:rsidRDefault="0062478D" w:rsidP="00732F37">
                      <w:pPr>
                        <w:jc w:val="both"/>
                        <w:rPr>
                          <w:sz w:val="18"/>
                          <w:szCs w:val="18"/>
                        </w:rPr>
                      </w:pPr>
                      <w:r w:rsidRPr="00732F37">
                        <w:rPr>
                          <w:rFonts w:ascii="Century Gothic" w:hAnsi="Century Gothic"/>
                          <w:sz w:val="18"/>
                          <w:szCs w:val="18"/>
                        </w:rPr>
                        <w:t>Les communautés nomades et pastorales qui dépendent de la végétation et des points d'eau pour le bétail et les cultures subissent de graves impacts, notamment des pertes de bétail, une baisse de la productivité agricole et des migrations forcées.</w:t>
                      </w:r>
                    </w:p>
                  </w:txbxContent>
                </v:textbox>
                <o:callout v:ext="edit" minusy="t"/>
              </v:shape>
            </w:pict>
          </mc:Fallback>
        </mc:AlternateContent>
      </w:r>
    </w:p>
    <w:p w14:paraId="0AFDDD0C" w14:textId="1CA75AB5" w:rsidR="00732F37" w:rsidRDefault="00732F37" w:rsidP="00B97710">
      <w:pPr>
        <w:pStyle w:val="NormalWeb"/>
        <w:spacing w:before="0" w:beforeAutospacing="0" w:after="0" w:afterAutospacing="0"/>
        <w:jc w:val="both"/>
        <w:rPr>
          <w:rFonts w:ascii="Century Gothic" w:hAnsi="Century Gothic"/>
          <w:b/>
          <w:bCs/>
          <w:sz w:val="22"/>
          <w:szCs w:val="22"/>
        </w:rPr>
      </w:pPr>
    </w:p>
    <w:p w14:paraId="6BB7FFBA" w14:textId="30A7FD8C" w:rsidR="00732F37" w:rsidRDefault="00732F37" w:rsidP="00B97710">
      <w:pPr>
        <w:pStyle w:val="NormalWeb"/>
        <w:spacing w:before="0" w:beforeAutospacing="0" w:after="0" w:afterAutospacing="0"/>
        <w:jc w:val="both"/>
        <w:rPr>
          <w:rFonts w:ascii="Century Gothic" w:hAnsi="Century Gothic"/>
          <w:b/>
          <w:bCs/>
          <w:sz w:val="22"/>
          <w:szCs w:val="22"/>
        </w:rPr>
      </w:pPr>
    </w:p>
    <w:p w14:paraId="1866BC2E" w14:textId="0DB34156" w:rsidR="00B97710" w:rsidRPr="009B0256" w:rsidRDefault="00666CFF" w:rsidP="00B97710">
      <w:pPr>
        <w:pStyle w:val="NormalWeb"/>
        <w:spacing w:before="0" w:beforeAutospacing="0" w:after="0" w:afterAutospacing="0"/>
        <w:jc w:val="both"/>
        <w:rPr>
          <w:rFonts w:ascii="Century Gothic" w:hAnsi="Century Gothic"/>
        </w:rPr>
      </w:pPr>
      <w:r w:rsidRPr="00732F37">
        <w:rPr>
          <w:rFonts w:ascii="Century Gothic" w:hAnsi="Century Gothic"/>
          <w:b/>
          <w:bCs/>
          <w:sz w:val="22"/>
          <w:szCs w:val="22"/>
        </w:rPr>
        <w:t>Communautés</w:t>
      </w:r>
    </w:p>
    <w:p w14:paraId="3783E5A9" w14:textId="77777777" w:rsidR="00732F37" w:rsidRDefault="00732F37" w:rsidP="007C7225">
      <w:pPr>
        <w:pStyle w:val="NormalWeb"/>
        <w:spacing w:before="0" w:beforeAutospacing="0" w:after="0" w:afterAutospacing="0"/>
        <w:jc w:val="center"/>
        <w:rPr>
          <w:rFonts w:ascii="Century Gothic" w:hAnsi="Century Gothic"/>
          <w:i/>
          <w:iCs/>
          <w:color w:val="FF0000"/>
        </w:rPr>
      </w:pPr>
    </w:p>
    <w:p w14:paraId="75A6656E" w14:textId="77777777" w:rsidR="00732F37" w:rsidRDefault="00732F37" w:rsidP="007C7225">
      <w:pPr>
        <w:pStyle w:val="NormalWeb"/>
        <w:spacing w:before="0" w:beforeAutospacing="0" w:after="0" w:afterAutospacing="0"/>
        <w:jc w:val="center"/>
        <w:rPr>
          <w:rFonts w:ascii="Century Gothic" w:hAnsi="Century Gothic"/>
          <w:i/>
          <w:iCs/>
          <w:color w:val="FF0000"/>
        </w:rPr>
      </w:pPr>
    </w:p>
    <w:p w14:paraId="1B37E88A" w14:textId="77777777" w:rsidR="00DB2F0F" w:rsidRPr="00B97710" w:rsidRDefault="00DB2F0F" w:rsidP="00B97710">
      <w:pPr>
        <w:pStyle w:val="NormalWeb"/>
        <w:spacing w:before="0" w:beforeAutospacing="0" w:after="0" w:afterAutospacing="0"/>
        <w:jc w:val="both"/>
        <w:rPr>
          <w:rFonts w:ascii="Century Gothic" w:hAnsi="Century Gothic"/>
          <w:color w:val="FF0000"/>
        </w:rPr>
      </w:pPr>
    </w:p>
    <w:p w14:paraId="300A7426" w14:textId="0B8E206E" w:rsidR="00636503" w:rsidRPr="00FA36EC" w:rsidRDefault="00666CFF" w:rsidP="00FA36EC">
      <w:pPr>
        <w:rPr>
          <w:rFonts w:ascii="Century Gothic" w:hAnsi="Century Gothic"/>
          <w:b/>
          <w:bCs/>
          <w:color w:val="0033CC"/>
          <w:sz w:val="24"/>
          <w:szCs w:val="24"/>
        </w:rPr>
      </w:pPr>
      <w:r w:rsidRPr="00FA36EC">
        <w:rPr>
          <w:rFonts w:ascii="Century Gothic" w:hAnsi="Century Gothic"/>
          <w:b/>
          <w:bCs/>
          <w:color w:val="0033CC"/>
          <w:sz w:val="24"/>
          <w:szCs w:val="24"/>
        </w:rPr>
        <w:t>2. Biome Marin et Côtier (Zone littorale et zones maritimes)</w:t>
      </w:r>
    </w:p>
    <w:p w14:paraId="64016404" w14:textId="77777777" w:rsidR="00516ECA" w:rsidRDefault="00516ECA" w:rsidP="00732F37">
      <w:pPr>
        <w:pStyle w:val="NormalWeb"/>
        <w:spacing w:before="0" w:beforeAutospacing="0" w:after="0" w:afterAutospacing="0"/>
        <w:jc w:val="both"/>
        <w:rPr>
          <w:rFonts w:ascii="Century Gothic" w:hAnsi="Century Gothic"/>
          <w:color w:val="4472C4" w:themeColor="accent1"/>
          <w:sz w:val="22"/>
          <w:szCs w:val="22"/>
        </w:rPr>
      </w:pPr>
    </w:p>
    <w:p w14:paraId="29974A12" w14:textId="07F1D83D" w:rsidR="00636503" w:rsidRPr="00FA36EC" w:rsidRDefault="00666CFF" w:rsidP="00732F37">
      <w:pPr>
        <w:pStyle w:val="NormalWeb"/>
        <w:spacing w:before="0" w:beforeAutospacing="0" w:after="0" w:afterAutospacing="0"/>
        <w:jc w:val="both"/>
        <w:rPr>
          <w:rFonts w:ascii="Century Gothic" w:hAnsi="Century Gothic"/>
          <w:b/>
          <w:bCs/>
          <w:color w:val="4472C4" w:themeColor="accent1"/>
          <w:sz w:val="22"/>
          <w:szCs w:val="22"/>
        </w:rPr>
      </w:pPr>
      <w:r w:rsidRPr="00FA36EC">
        <w:rPr>
          <w:rFonts w:ascii="Century Gothic" w:hAnsi="Century Gothic"/>
          <w:b/>
          <w:bCs/>
          <w:color w:val="4472C4" w:themeColor="accent1"/>
          <w:sz w:val="22"/>
          <w:szCs w:val="22"/>
        </w:rPr>
        <w:t>A. Vulnérabilité au Changement Climatique</w:t>
      </w:r>
    </w:p>
    <w:p w14:paraId="078BDDCD" w14:textId="1C169678" w:rsidR="00666CFF" w:rsidRPr="00DB2F0F" w:rsidRDefault="00666CFF" w:rsidP="00666CFF">
      <w:pPr>
        <w:pStyle w:val="NormalWeb"/>
        <w:spacing w:before="0" w:beforeAutospacing="0" w:after="0" w:afterAutospacing="0"/>
        <w:jc w:val="both"/>
        <w:rPr>
          <w:rFonts w:ascii="Century Gothic" w:hAnsi="Century Gothic"/>
          <w:sz w:val="22"/>
          <w:szCs w:val="22"/>
        </w:rPr>
      </w:pPr>
      <w:r w:rsidRPr="00DB2F0F">
        <w:rPr>
          <w:rFonts w:ascii="Century Gothic" w:hAnsi="Century Gothic"/>
          <w:b/>
          <w:bCs/>
          <w:sz w:val="22"/>
          <w:szCs w:val="22"/>
        </w:rPr>
        <w:t>Élévation du niveau de la mer</w:t>
      </w:r>
      <w:r w:rsidRPr="00DB2F0F">
        <w:rPr>
          <w:rFonts w:ascii="Century Gothic" w:hAnsi="Century Gothic"/>
          <w:sz w:val="22"/>
          <w:szCs w:val="22"/>
        </w:rPr>
        <w:t xml:space="preserve"> : Les zones côtières de la Mauritanie, notamment autour du Parc National du Banc d'Arguin, sont vulnérables à l'élévation du niveau de la mer, entraînant l'érosion des côtes, la salinisation des terres agricoles et des habitats naturels.</w:t>
      </w:r>
    </w:p>
    <w:p w14:paraId="48AD4DB1" w14:textId="77777777" w:rsidR="00636503" w:rsidRPr="00DB2F0F" w:rsidRDefault="00636503" w:rsidP="00666CFF">
      <w:pPr>
        <w:pStyle w:val="NormalWeb"/>
        <w:spacing w:before="0" w:beforeAutospacing="0" w:after="0" w:afterAutospacing="0"/>
        <w:jc w:val="both"/>
        <w:rPr>
          <w:rFonts w:ascii="Century Gothic" w:hAnsi="Century Gothic"/>
          <w:b/>
          <w:bCs/>
          <w:sz w:val="22"/>
          <w:szCs w:val="22"/>
        </w:rPr>
      </w:pPr>
    </w:p>
    <w:p w14:paraId="1BC8AF68" w14:textId="2C014B2A" w:rsidR="00666CFF" w:rsidRPr="00DB2F0F" w:rsidRDefault="00666CFF" w:rsidP="00666CFF">
      <w:pPr>
        <w:pStyle w:val="NormalWeb"/>
        <w:spacing w:before="0" w:beforeAutospacing="0" w:after="0" w:afterAutospacing="0"/>
        <w:jc w:val="both"/>
        <w:rPr>
          <w:rFonts w:ascii="Century Gothic" w:hAnsi="Century Gothic"/>
          <w:sz w:val="22"/>
          <w:szCs w:val="22"/>
        </w:rPr>
      </w:pPr>
      <w:r w:rsidRPr="00DB2F0F">
        <w:rPr>
          <w:rFonts w:ascii="Century Gothic" w:hAnsi="Century Gothic"/>
          <w:b/>
          <w:bCs/>
          <w:sz w:val="22"/>
          <w:szCs w:val="22"/>
        </w:rPr>
        <w:t>Températures de l’eau</w:t>
      </w:r>
      <w:r w:rsidRPr="00DB2F0F">
        <w:rPr>
          <w:rFonts w:ascii="Century Gothic" w:hAnsi="Century Gothic"/>
          <w:sz w:val="22"/>
          <w:szCs w:val="22"/>
        </w:rPr>
        <w:t xml:space="preserve"> : La montée en température des eaux marines affecte la biodiversité marine, notamment les herbiers marins, les bancs de poissons, et les écosystèmes sensibles comme les mangroves.</w:t>
      </w:r>
    </w:p>
    <w:p w14:paraId="4847EC32" w14:textId="77777777" w:rsidR="00636503" w:rsidRPr="00DB2F0F" w:rsidRDefault="00636503" w:rsidP="00666CFF">
      <w:pPr>
        <w:pStyle w:val="NormalWeb"/>
        <w:spacing w:before="0" w:beforeAutospacing="0" w:after="0" w:afterAutospacing="0"/>
        <w:jc w:val="both"/>
        <w:rPr>
          <w:rFonts w:ascii="Century Gothic" w:hAnsi="Century Gothic"/>
          <w:b/>
          <w:bCs/>
          <w:sz w:val="22"/>
          <w:szCs w:val="22"/>
        </w:rPr>
      </w:pPr>
    </w:p>
    <w:p w14:paraId="7CFDE984" w14:textId="3B8A6B6C" w:rsidR="00666CFF" w:rsidRPr="00DB2F0F" w:rsidRDefault="00666CFF" w:rsidP="00666CFF">
      <w:pPr>
        <w:pStyle w:val="NormalWeb"/>
        <w:spacing w:before="0" w:beforeAutospacing="0" w:after="0" w:afterAutospacing="0"/>
        <w:jc w:val="both"/>
        <w:rPr>
          <w:rFonts w:ascii="Century Gothic" w:hAnsi="Century Gothic"/>
          <w:sz w:val="22"/>
          <w:szCs w:val="22"/>
        </w:rPr>
      </w:pPr>
      <w:r w:rsidRPr="00DB2F0F">
        <w:rPr>
          <w:rFonts w:ascii="Century Gothic" w:hAnsi="Century Gothic"/>
          <w:b/>
          <w:bCs/>
          <w:sz w:val="22"/>
          <w:szCs w:val="22"/>
        </w:rPr>
        <w:t>Acidification des océans</w:t>
      </w:r>
      <w:r w:rsidRPr="00DB2F0F">
        <w:rPr>
          <w:rFonts w:ascii="Century Gothic" w:hAnsi="Century Gothic"/>
          <w:sz w:val="22"/>
          <w:szCs w:val="22"/>
        </w:rPr>
        <w:t xml:space="preserve"> : L’absorption accrue de CO2 par les océans entraîne une acidification qui menace les coquillages, les coraux et les organismes marins.</w:t>
      </w:r>
    </w:p>
    <w:p w14:paraId="62ED8AC7" w14:textId="77777777" w:rsidR="00636503" w:rsidRPr="00DB2F0F" w:rsidRDefault="00636503" w:rsidP="00666CFF">
      <w:pPr>
        <w:pStyle w:val="NormalWeb"/>
        <w:spacing w:before="0" w:beforeAutospacing="0" w:after="0" w:afterAutospacing="0"/>
        <w:jc w:val="both"/>
        <w:rPr>
          <w:rFonts w:ascii="Century Gothic" w:hAnsi="Century Gothic"/>
          <w:b/>
          <w:bCs/>
          <w:sz w:val="22"/>
          <w:szCs w:val="22"/>
        </w:rPr>
      </w:pPr>
    </w:p>
    <w:p w14:paraId="33F46AC2" w14:textId="0A308082" w:rsidR="00666CFF" w:rsidRPr="00DB2F0F" w:rsidRDefault="00666CFF" w:rsidP="00666CFF">
      <w:pPr>
        <w:pStyle w:val="NormalWeb"/>
        <w:spacing w:before="0" w:beforeAutospacing="0" w:after="0" w:afterAutospacing="0"/>
        <w:jc w:val="both"/>
        <w:rPr>
          <w:rFonts w:ascii="Century Gothic" w:hAnsi="Century Gothic"/>
          <w:sz w:val="22"/>
          <w:szCs w:val="22"/>
        </w:rPr>
      </w:pPr>
      <w:r w:rsidRPr="00DB2F0F">
        <w:rPr>
          <w:rFonts w:ascii="Century Gothic" w:hAnsi="Century Gothic"/>
          <w:b/>
          <w:bCs/>
          <w:sz w:val="22"/>
          <w:szCs w:val="22"/>
        </w:rPr>
        <w:t>Phénomènes climatiques extrêmes</w:t>
      </w:r>
      <w:r w:rsidRPr="00DB2F0F">
        <w:rPr>
          <w:rFonts w:ascii="Century Gothic" w:hAnsi="Century Gothic"/>
          <w:sz w:val="22"/>
          <w:szCs w:val="22"/>
        </w:rPr>
        <w:t xml:space="preserve"> : Les tempêtes, les cyclones et les vagues de chaleur océaniques modifient les conditions des écosystèmes marins.</w:t>
      </w:r>
    </w:p>
    <w:p w14:paraId="51D6B081" w14:textId="0952D273" w:rsidR="00636503" w:rsidRPr="009B0256" w:rsidRDefault="00636503" w:rsidP="00666CFF">
      <w:pPr>
        <w:pStyle w:val="NormalWeb"/>
        <w:spacing w:before="0" w:beforeAutospacing="0" w:after="0" w:afterAutospacing="0"/>
        <w:jc w:val="both"/>
        <w:rPr>
          <w:rFonts w:ascii="Century Gothic" w:hAnsi="Century Gothic"/>
        </w:rPr>
      </w:pPr>
    </w:p>
    <w:p w14:paraId="42B06D6B" w14:textId="53F83A4A" w:rsidR="00666CFF" w:rsidRPr="00FA36EC" w:rsidRDefault="00666CFF" w:rsidP="00666CFF">
      <w:pPr>
        <w:pStyle w:val="NormalWeb"/>
        <w:spacing w:before="0" w:beforeAutospacing="0" w:after="0" w:afterAutospacing="0"/>
        <w:jc w:val="both"/>
        <w:rPr>
          <w:rFonts w:ascii="Century Gothic" w:hAnsi="Century Gothic"/>
          <w:b/>
          <w:bCs/>
          <w:color w:val="4472C4" w:themeColor="accent1"/>
          <w:sz w:val="22"/>
          <w:szCs w:val="22"/>
        </w:rPr>
      </w:pPr>
      <w:r w:rsidRPr="00FA36EC">
        <w:rPr>
          <w:rFonts w:ascii="Century Gothic" w:hAnsi="Century Gothic"/>
          <w:b/>
          <w:bCs/>
          <w:color w:val="4472C4" w:themeColor="accent1"/>
          <w:sz w:val="22"/>
          <w:szCs w:val="22"/>
        </w:rPr>
        <w:t>B. Pertes et Préjudices</w:t>
      </w:r>
    </w:p>
    <w:p w14:paraId="4EBC6A98" w14:textId="7DF0A8F8" w:rsidR="00636503" w:rsidRPr="009B0256" w:rsidRDefault="00636503" w:rsidP="00666CFF">
      <w:pPr>
        <w:pStyle w:val="NormalWeb"/>
        <w:spacing w:before="0" w:beforeAutospacing="0" w:after="0" w:afterAutospacing="0"/>
        <w:jc w:val="both"/>
        <w:rPr>
          <w:rFonts w:ascii="Century Gothic" w:hAnsi="Century Gothic"/>
          <w:b/>
          <w:bCs/>
        </w:rPr>
      </w:pPr>
    </w:p>
    <w:p w14:paraId="3A99FBB0" w14:textId="49602E9D" w:rsidR="007C7225" w:rsidRDefault="007C7225" w:rsidP="00666CFF">
      <w:pPr>
        <w:pStyle w:val="NormalWeb"/>
        <w:spacing w:before="0" w:beforeAutospacing="0" w:after="0" w:afterAutospacing="0"/>
        <w:jc w:val="both"/>
        <w:rPr>
          <w:rFonts w:ascii="Century Gothic" w:hAnsi="Century Gothic"/>
          <w:b/>
          <w:bCs/>
        </w:rPr>
      </w:pPr>
      <w:r>
        <w:rPr>
          <w:rFonts w:ascii="Century Gothic" w:hAnsi="Century Gothic"/>
          <w:b/>
          <w:bCs/>
          <w:noProof/>
          <w:lang w:val="fr-FR" w:eastAsia="fr-FR"/>
        </w:rPr>
        <mc:AlternateContent>
          <mc:Choice Requires="wps">
            <w:drawing>
              <wp:anchor distT="0" distB="0" distL="114300" distR="114300" simplePos="0" relativeHeight="251657216" behindDoc="0" locked="0" layoutInCell="1" allowOverlap="1" wp14:anchorId="5EA49B9B" wp14:editId="2E3837FF">
                <wp:simplePos x="0" y="0"/>
                <wp:positionH relativeFrom="column">
                  <wp:posOffset>2302924</wp:posOffset>
                </wp:positionH>
                <wp:positionV relativeFrom="paragraph">
                  <wp:posOffset>17311</wp:posOffset>
                </wp:positionV>
                <wp:extent cx="4038407" cy="696595"/>
                <wp:effectExtent l="876300" t="38100" r="19685" b="65405"/>
                <wp:wrapNone/>
                <wp:docPr id="14" name="Légende : encadrée à une bordure 14"/>
                <wp:cNvGraphicFramePr/>
                <a:graphic xmlns:a="http://schemas.openxmlformats.org/drawingml/2006/main">
                  <a:graphicData uri="http://schemas.microsoft.com/office/word/2010/wordprocessingShape">
                    <wps:wsp>
                      <wps:cNvSpPr/>
                      <wps:spPr>
                        <a:xfrm>
                          <a:off x="0" y="0"/>
                          <a:ext cx="4038407" cy="696595"/>
                        </a:xfrm>
                        <a:prstGeom prst="accentCallout1">
                          <a:avLst>
                            <a:gd name="adj1" fmla="val 18750"/>
                            <a:gd name="adj2" fmla="val -8333"/>
                            <a:gd name="adj3" fmla="val 27941"/>
                            <a:gd name="adj4" fmla="val -2149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02074B" w14:textId="77777777" w:rsidR="0062478D" w:rsidRPr="007C7225" w:rsidRDefault="0062478D" w:rsidP="007C7225">
                            <w:pPr>
                              <w:pStyle w:val="NormalWeb"/>
                              <w:spacing w:before="0" w:beforeAutospacing="0" w:after="0" w:afterAutospacing="0"/>
                              <w:jc w:val="both"/>
                              <w:rPr>
                                <w:rFonts w:ascii="Century Gothic" w:hAnsi="Century Gothic"/>
                                <w:sz w:val="18"/>
                                <w:szCs w:val="18"/>
                              </w:rPr>
                            </w:pPr>
                            <w:r w:rsidRPr="007C7225">
                              <w:rPr>
                                <w:rFonts w:ascii="Century Gothic" w:hAnsi="Century Gothic"/>
                                <w:sz w:val="18"/>
                                <w:szCs w:val="18"/>
                              </w:rPr>
                              <w:t>Les récifs coralliens, bien que moins développés qu'ailleurs dans le monde, sont vulnérables à la montée en température des océans. Les mangroves et les herbiers marins, essentiels pour la biodiversité et la pêche, risquent de disparaître.</w:t>
                            </w:r>
                          </w:p>
                          <w:p w14:paraId="25BDA711" w14:textId="77777777" w:rsidR="0062478D" w:rsidRPr="007C7225" w:rsidRDefault="0062478D" w:rsidP="007C7225">
                            <w:pPr>
                              <w:jc w:val="center"/>
                              <w:rPr>
                                <w:sz w:val="16"/>
                                <w:szCs w:val="16"/>
                                <w:lang w:val="wo-S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A49B9B"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Légende : encadrée à une bordure 14" o:spid="_x0000_s1048" type="#_x0000_t44" style="position:absolute;left:0;text-align:left;margin-left:181.35pt;margin-top:1.35pt;width:318pt;height:54.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" adj="-4642,6035" fillcolor="#4472c4 [3204]" strokecolor="#1f3763 [1604]" strokeweight="1pt">
                <v:textbox>
                  <w:txbxContent>
                    <w:p w14:paraId="0502074B" w14:textId="77777777" w:rsidR="0062478D" w:rsidRPr="007C7225" w:rsidRDefault="0062478D" w:rsidP="007C7225">
                      <w:pPr>
                        <w:pStyle w:val="NormalWeb"/>
                        <w:spacing w:before="0" w:beforeAutospacing="0" w:after="0" w:afterAutospacing="0"/>
                        <w:jc w:val="both"/>
                        <w:rPr>
                          <w:rFonts w:ascii="Century Gothic" w:hAnsi="Century Gothic"/>
                          <w:sz w:val="18"/>
                          <w:szCs w:val="18"/>
                        </w:rPr>
                      </w:pPr>
                      <w:r w:rsidRPr="007C7225">
                        <w:rPr>
                          <w:rFonts w:ascii="Century Gothic" w:hAnsi="Century Gothic"/>
                          <w:sz w:val="18"/>
                          <w:szCs w:val="18"/>
                        </w:rPr>
                        <w:t>Les récifs coralliens, bien que moins développés qu'ailleurs dans le monde, sont vulnérables à la montée en température des océans. Les mangroves et les herbiers marins, essentiels pour la biodiversité et la pêche, risquent de disparaître.</w:t>
                      </w:r>
                    </w:p>
                    <w:p w14:paraId="25BDA711" w14:textId="77777777" w:rsidR="0062478D" w:rsidRPr="007C7225" w:rsidRDefault="0062478D" w:rsidP="007C7225">
                      <w:pPr>
                        <w:jc w:val="center"/>
                        <w:rPr>
                          <w:sz w:val="16"/>
                          <w:szCs w:val="16"/>
                          <w:lang w:val="wo-SN"/>
                        </w:rPr>
                      </w:pPr>
                    </w:p>
                  </w:txbxContent>
                </v:textbox>
                <o:callout v:ext="edit" minusy="t"/>
              </v:shape>
            </w:pict>
          </mc:Fallback>
        </mc:AlternateContent>
      </w:r>
    </w:p>
    <w:p w14:paraId="05626CA7" w14:textId="7E0C04E5" w:rsidR="00666CFF" w:rsidRPr="009B0256" w:rsidRDefault="00103140" w:rsidP="007C7225">
      <w:pPr>
        <w:pStyle w:val="NormalWeb"/>
        <w:spacing w:before="0" w:beforeAutospacing="0" w:after="0" w:afterAutospacing="0"/>
        <w:jc w:val="both"/>
        <w:rPr>
          <w:rFonts w:ascii="Century Gothic" w:hAnsi="Century Gothic"/>
        </w:rPr>
      </w:pPr>
      <w:r>
        <w:rPr>
          <w:rFonts w:ascii="Century Gothic" w:hAnsi="Century Gothic"/>
          <w:b/>
          <w:bCs/>
          <w:sz w:val="22"/>
          <w:szCs w:val="22"/>
        </w:rPr>
        <w:t xml:space="preserve">                  </w:t>
      </w:r>
      <w:r w:rsidR="00666CFF" w:rsidRPr="008B0BCD">
        <w:rPr>
          <w:rFonts w:ascii="Century Gothic" w:hAnsi="Century Gothic"/>
          <w:b/>
          <w:bCs/>
          <w:sz w:val="22"/>
          <w:szCs w:val="22"/>
        </w:rPr>
        <w:t xml:space="preserve">Biodiversité </w:t>
      </w:r>
    </w:p>
    <w:p w14:paraId="46A41F41" w14:textId="77777777" w:rsidR="00636503" w:rsidRPr="009B0256" w:rsidRDefault="00636503" w:rsidP="00666CFF">
      <w:pPr>
        <w:pStyle w:val="NormalWeb"/>
        <w:spacing w:before="0" w:beforeAutospacing="0" w:after="0" w:afterAutospacing="0"/>
        <w:jc w:val="both"/>
        <w:rPr>
          <w:rFonts w:ascii="Century Gothic" w:hAnsi="Century Gothic"/>
          <w:b/>
          <w:bCs/>
        </w:rPr>
      </w:pPr>
    </w:p>
    <w:p w14:paraId="3B520DF3" w14:textId="77777777" w:rsidR="007C7225" w:rsidRDefault="007C7225" w:rsidP="00B97710">
      <w:pPr>
        <w:pStyle w:val="NormalWeb"/>
        <w:spacing w:before="0" w:beforeAutospacing="0" w:after="0" w:afterAutospacing="0"/>
        <w:jc w:val="both"/>
        <w:rPr>
          <w:rFonts w:ascii="Century Gothic" w:hAnsi="Century Gothic"/>
          <w:b/>
          <w:bCs/>
        </w:rPr>
      </w:pPr>
    </w:p>
    <w:p w14:paraId="26FFEEF8" w14:textId="5FB7F043" w:rsidR="007C7225" w:rsidRDefault="00D833E4" w:rsidP="00B97710">
      <w:pPr>
        <w:pStyle w:val="NormalWeb"/>
        <w:spacing w:before="0" w:beforeAutospacing="0" w:after="0" w:afterAutospacing="0"/>
        <w:jc w:val="both"/>
        <w:rPr>
          <w:rFonts w:ascii="Century Gothic" w:hAnsi="Century Gothic"/>
          <w:b/>
          <w:bCs/>
        </w:rPr>
      </w:pPr>
      <w:r>
        <w:rPr>
          <w:rFonts w:ascii="Century Gothic" w:hAnsi="Century Gothic"/>
          <w:b/>
          <w:bCs/>
          <w:noProof/>
          <w:lang w:val="fr-FR" w:eastAsia="fr-FR"/>
        </w:rPr>
        <mc:AlternateContent>
          <mc:Choice Requires="wps">
            <w:drawing>
              <wp:anchor distT="0" distB="0" distL="114300" distR="114300" simplePos="0" relativeHeight="251658240" behindDoc="0" locked="0" layoutInCell="1" allowOverlap="1" wp14:anchorId="2E891561" wp14:editId="3DC8FF0A">
                <wp:simplePos x="0" y="0"/>
                <wp:positionH relativeFrom="column">
                  <wp:posOffset>2304310</wp:posOffset>
                </wp:positionH>
                <wp:positionV relativeFrom="paragraph">
                  <wp:posOffset>113030</wp:posOffset>
                </wp:positionV>
                <wp:extent cx="4034825" cy="673735"/>
                <wp:effectExtent l="952500" t="38100" r="22860" b="50165"/>
                <wp:wrapNone/>
                <wp:docPr id="16" name="Légende : encadrée à une bordure 16"/>
                <wp:cNvGraphicFramePr/>
                <a:graphic xmlns:a="http://schemas.openxmlformats.org/drawingml/2006/main">
                  <a:graphicData uri="http://schemas.microsoft.com/office/word/2010/wordprocessingShape">
                    <wps:wsp>
                      <wps:cNvSpPr/>
                      <wps:spPr>
                        <a:xfrm>
                          <a:off x="0" y="0"/>
                          <a:ext cx="4034825" cy="673735"/>
                        </a:xfrm>
                        <a:prstGeom prst="accentBorderCallout1">
                          <a:avLst>
                            <a:gd name="adj1" fmla="val 18750"/>
                            <a:gd name="adj2" fmla="val -8333"/>
                            <a:gd name="adj3" fmla="val 61709"/>
                            <a:gd name="adj4" fmla="val -2347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13A21E" w14:textId="77777777" w:rsidR="0062478D" w:rsidRPr="00D833E4" w:rsidRDefault="0062478D" w:rsidP="00D833E4">
                            <w:pPr>
                              <w:pStyle w:val="NormalWeb"/>
                              <w:spacing w:before="0" w:beforeAutospacing="0" w:after="0" w:afterAutospacing="0"/>
                              <w:jc w:val="both"/>
                              <w:rPr>
                                <w:rFonts w:ascii="Century Gothic" w:hAnsi="Century Gothic"/>
                                <w:sz w:val="18"/>
                                <w:szCs w:val="18"/>
                              </w:rPr>
                            </w:pPr>
                            <w:r w:rsidRPr="00D833E4">
                              <w:rPr>
                                <w:rFonts w:ascii="Century Gothic" w:hAnsi="Century Gothic"/>
                                <w:sz w:val="18"/>
                                <w:szCs w:val="18"/>
                              </w:rPr>
                              <w:t>Les communautés dépendantes de la pêche subissent des baisses de stocks de poissons, une dégradation des infrastructures côtières (ports, habitations), et la perte de terres agricoles due à la salinisation. Ces impacts peuvent mener à des pertes économiques importantes.</w:t>
                            </w:r>
                          </w:p>
                          <w:p w14:paraId="6C13F93D" w14:textId="77777777" w:rsidR="0062478D" w:rsidRPr="00D833E4" w:rsidRDefault="0062478D" w:rsidP="00D833E4">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91561" id="Légende : encadrée à une bordure 16" o:spid="_x0000_s1049" type="#_x0000_t50" style="position:absolute;left:0;text-align:left;margin-left:181.45pt;margin-top:8.9pt;width:317.7pt;height:5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" adj="-5071,13329" fillcolor="#4472c4 [3204]" strokecolor="#1f3763 [1604]" strokeweight="1pt">
                <v:textbox>
                  <w:txbxContent>
                    <w:p w14:paraId="7713A21E" w14:textId="77777777" w:rsidR="0062478D" w:rsidRPr="00D833E4" w:rsidRDefault="0062478D" w:rsidP="00D833E4">
                      <w:pPr>
                        <w:pStyle w:val="NormalWeb"/>
                        <w:spacing w:before="0" w:beforeAutospacing="0" w:after="0" w:afterAutospacing="0"/>
                        <w:jc w:val="both"/>
                        <w:rPr>
                          <w:rFonts w:ascii="Century Gothic" w:hAnsi="Century Gothic"/>
                          <w:sz w:val="18"/>
                          <w:szCs w:val="18"/>
                        </w:rPr>
                      </w:pPr>
                      <w:r w:rsidRPr="00D833E4">
                        <w:rPr>
                          <w:rFonts w:ascii="Century Gothic" w:hAnsi="Century Gothic"/>
                          <w:sz w:val="18"/>
                          <w:szCs w:val="18"/>
                        </w:rPr>
                        <w:t>Les communautés dépendantes de la pêche subissent des baisses de stocks de poissons, une dégradation des infrastructures côtières (ports, habitations), et la perte de terres agricoles due à la salinisation. Ces impacts peuvent mener à des pertes économiques importantes.</w:t>
                      </w:r>
                    </w:p>
                    <w:p w14:paraId="6C13F93D" w14:textId="77777777" w:rsidR="0062478D" w:rsidRPr="00D833E4" w:rsidRDefault="0062478D" w:rsidP="00D833E4">
                      <w:pPr>
                        <w:jc w:val="center"/>
                        <w:rPr>
                          <w:sz w:val="16"/>
                          <w:szCs w:val="16"/>
                        </w:rPr>
                      </w:pPr>
                    </w:p>
                  </w:txbxContent>
                </v:textbox>
                <o:callout v:ext="edit" minusy="t"/>
              </v:shape>
            </w:pict>
          </mc:Fallback>
        </mc:AlternateContent>
      </w:r>
    </w:p>
    <w:p w14:paraId="012C287E" w14:textId="77777777" w:rsidR="00D833E4" w:rsidRDefault="00D833E4" w:rsidP="00D833E4">
      <w:pPr>
        <w:pStyle w:val="NormalWeb"/>
        <w:spacing w:before="0" w:beforeAutospacing="0" w:after="0" w:afterAutospacing="0"/>
        <w:jc w:val="both"/>
        <w:rPr>
          <w:rFonts w:ascii="Century Gothic" w:hAnsi="Century Gothic"/>
          <w:b/>
          <w:bCs/>
        </w:rPr>
      </w:pPr>
    </w:p>
    <w:p w14:paraId="0179B917" w14:textId="77777777" w:rsidR="00D833E4" w:rsidRDefault="00D833E4" w:rsidP="00D833E4">
      <w:pPr>
        <w:pStyle w:val="NormalWeb"/>
        <w:spacing w:before="0" w:beforeAutospacing="0" w:after="0" w:afterAutospacing="0"/>
        <w:jc w:val="both"/>
        <w:rPr>
          <w:rFonts w:ascii="Century Gothic" w:hAnsi="Century Gothic"/>
          <w:b/>
          <w:bCs/>
        </w:rPr>
      </w:pPr>
    </w:p>
    <w:p w14:paraId="5D929C88" w14:textId="60DA2C2A" w:rsidR="001C492F" w:rsidRPr="008B0BCD" w:rsidRDefault="00666CFF" w:rsidP="00D833E4">
      <w:pPr>
        <w:pStyle w:val="NormalWeb"/>
        <w:spacing w:before="0" w:beforeAutospacing="0" w:after="0" w:afterAutospacing="0"/>
        <w:jc w:val="both"/>
        <w:rPr>
          <w:rFonts w:ascii="Century Gothic" w:hAnsi="Century Gothic"/>
          <w:b/>
          <w:bCs/>
          <w:sz w:val="22"/>
          <w:szCs w:val="22"/>
        </w:rPr>
      </w:pPr>
      <w:r w:rsidRPr="008B0BCD">
        <w:rPr>
          <w:rFonts w:ascii="Century Gothic" w:hAnsi="Century Gothic"/>
          <w:b/>
          <w:bCs/>
          <w:sz w:val="22"/>
          <w:szCs w:val="22"/>
        </w:rPr>
        <w:t xml:space="preserve">Communautés côtières </w:t>
      </w:r>
    </w:p>
    <w:p w14:paraId="747E3504" w14:textId="77777777" w:rsidR="005A2A83" w:rsidRDefault="005A2A83" w:rsidP="007D4DB6">
      <w:pPr>
        <w:rPr>
          <w:rFonts w:ascii="Century Gothic" w:hAnsi="Century Gothic"/>
          <w:b/>
          <w:bCs/>
          <w:sz w:val="24"/>
          <w:szCs w:val="24"/>
        </w:rPr>
      </w:pPr>
    </w:p>
    <w:p w14:paraId="79F2C4C8" w14:textId="078BD05A" w:rsidR="001C492F" w:rsidRPr="00203B3F" w:rsidRDefault="001C492F" w:rsidP="00FA36EC">
      <w:pPr>
        <w:ind w:right="-1276"/>
        <w:rPr>
          <w:rFonts w:ascii="Century Gothic" w:hAnsi="Century Gothic"/>
          <w:color w:val="4472C4" w:themeColor="accent1"/>
          <w:sz w:val="24"/>
          <w:szCs w:val="24"/>
        </w:rPr>
      </w:pPr>
      <w:r w:rsidRPr="00E4242C">
        <w:rPr>
          <w:rFonts w:ascii="Century Gothic" w:hAnsi="Century Gothic"/>
          <w:color w:val="4472C4" w:themeColor="accent1"/>
          <w:sz w:val="24"/>
          <w:szCs w:val="24"/>
        </w:rPr>
        <w:t xml:space="preserve">3. Biome des Estuaires et Zones Humides (Parc National de Diawling, Banc d'Arguin, </w:t>
      </w:r>
      <w:r w:rsidRPr="00FA36EC">
        <w:rPr>
          <w:rFonts w:ascii="Century Gothic" w:hAnsi="Century Gothic"/>
          <w:color w:val="4472C4" w:themeColor="accent1"/>
          <w:sz w:val="20"/>
          <w:szCs w:val="20"/>
        </w:rPr>
        <w:t>etc</w:t>
      </w:r>
      <w:r w:rsidRPr="00E4242C">
        <w:rPr>
          <w:rFonts w:ascii="Century Gothic" w:hAnsi="Century Gothic"/>
          <w:color w:val="4472C4" w:themeColor="accent1"/>
          <w:sz w:val="24"/>
          <w:szCs w:val="24"/>
        </w:rPr>
        <w:t>.)</w:t>
      </w:r>
    </w:p>
    <w:p w14:paraId="4BFD8467" w14:textId="035C5093" w:rsidR="001C492F" w:rsidRPr="00203B3F" w:rsidRDefault="001C492F" w:rsidP="00203B3F">
      <w:pPr>
        <w:pStyle w:val="NormalWeb"/>
        <w:spacing w:before="0" w:beforeAutospacing="0" w:after="0" w:afterAutospacing="0"/>
        <w:jc w:val="both"/>
        <w:rPr>
          <w:rFonts w:ascii="Century Gothic" w:hAnsi="Century Gothic"/>
        </w:rPr>
      </w:pPr>
      <w:r w:rsidRPr="00E4242C">
        <w:rPr>
          <w:rFonts w:ascii="Century Gothic" w:hAnsi="Century Gothic"/>
          <w:color w:val="4472C4" w:themeColor="accent1"/>
          <w:sz w:val="22"/>
          <w:szCs w:val="22"/>
        </w:rPr>
        <w:t>A. Vulnérabilité au Changement Climatique</w:t>
      </w:r>
    </w:p>
    <w:p w14:paraId="04509DC6" w14:textId="19C4C1F9" w:rsidR="001C492F" w:rsidRPr="00203B3F" w:rsidRDefault="001C492F" w:rsidP="00203B3F">
      <w:pPr>
        <w:pStyle w:val="NormalWeb"/>
        <w:spacing w:before="0" w:beforeAutospacing="0" w:after="0" w:afterAutospacing="0"/>
        <w:jc w:val="both"/>
        <w:rPr>
          <w:rFonts w:ascii="Century Gothic" w:hAnsi="Century Gothic"/>
          <w:sz w:val="22"/>
          <w:szCs w:val="22"/>
        </w:rPr>
      </w:pPr>
      <w:r w:rsidRPr="00DB2F0F">
        <w:rPr>
          <w:rFonts w:ascii="Century Gothic" w:hAnsi="Century Gothic"/>
          <w:b/>
          <w:bCs/>
          <w:sz w:val="22"/>
          <w:szCs w:val="22"/>
        </w:rPr>
        <w:t>Inondations et salinisation</w:t>
      </w:r>
      <w:r w:rsidRPr="00DB2F0F">
        <w:rPr>
          <w:rFonts w:ascii="Century Gothic" w:hAnsi="Century Gothic"/>
          <w:sz w:val="22"/>
          <w:szCs w:val="22"/>
        </w:rPr>
        <w:t xml:space="preserve"> : Les estuaires et zones humides, déjà sensibles aux variations du niveau de l’eau, sont particulièrement vulnérables à l'élévation du niveau de la mer et à l’intrusion d'eau salée.</w:t>
      </w:r>
    </w:p>
    <w:p w14:paraId="56121663" w14:textId="547E174C" w:rsidR="001C492F" w:rsidRPr="00DB2F0F" w:rsidRDefault="001C492F" w:rsidP="001C492F">
      <w:pPr>
        <w:pStyle w:val="NormalWeb"/>
        <w:spacing w:before="0" w:beforeAutospacing="0" w:after="0" w:afterAutospacing="0"/>
        <w:jc w:val="both"/>
        <w:rPr>
          <w:rFonts w:ascii="Century Gothic" w:hAnsi="Century Gothic"/>
          <w:sz w:val="22"/>
          <w:szCs w:val="22"/>
        </w:rPr>
      </w:pPr>
      <w:r w:rsidRPr="00DB2F0F">
        <w:rPr>
          <w:rFonts w:ascii="Century Gothic" w:hAnsi="Century Gothic"/>
          <w:b/>
          <w:bCs/>
          <w:sz w:val="22"/>
          <w:szCs w:val="22"/>
        </w:rPr>
        <w:t>Modification des débits fluviaux</w:t>
      </w:r>
      <w:r w:rsidRPr="00DB2F0F">
        <w:rPr>
          <w:rFonts w:ascii="Century Gothic" w:hAnsi="Century Gothic"/>
          <w:sz w:val="22"/>
          <w:szCs w:val="22"/>
        </w:rPr>
        <w:t xml:space="preserve"> : Les changements dans les régimes des précipitations et l’évaporation accrue affectent les débits des rivières, ce qui modifie les niveaux d’eau dans les estuaires.</w:t>
      </w:r>
    </w:p>
    <w:p w14:paraId="67C03A01" w14:textId="77777777" w:rsidR="001C492F" w:rsidRPr="00DB2F0F" w:rsidRDefault="001C492F" w:rsidP="001C492F">
      <w:pPr>
        <w:pStyle w:val="NormalWeb"/>
        <w:spacing w:before="0" w:beforeAutospacing="0" w:after="0" w:afterAutospacing="0"/>
        <w:jc w:val="both"/>
        <w:rPr>
          <w:rFonts w:ascii="Century Gothic" w:hAnsi="Century Gothic"/>
          <w:b/>
          <w:bCs/>
          <w:sz w:val="22"/>
          <w:szCs w:val="22"/>
        </w:rPr>
      </w:pPr>
    </w:p>
    <w:p w14:paraId="0EF1C21D" w14:textId="6E44FD8F" w:rsidR="001C492F" w:rsidRPr="00DB2F0F" w:rsidRDefault="001C492F" w:rsidP="001C492F">
      <w:pPr>
        <w:pStyle w:val="NormalWeb"/>
        <w:spacing w:before="0" w:beforeAutospacing="0" w:after="0" w:afterAutospacing="0"/>
        <w:jc w:val="both"/>
        <w:rPr>
          <w:rFonts w:ascii="Century Gothic" w:hAnsi="Century Gothic"/>
          <w:sz w:val="22"/>
          <w:szCs w:val="22"/>
        </w:rPr>
      </w:pPr>
      <w:r w:rsidRPr="00DB2F0F">
        <w:rPr>
          <w:rFonts w:ascii="Century Gothic" w:hAnsi="Century Gothic"/>
          <w:b/>
          <w:bCs/>
          <w:sz w:val="22"/>
          <w:szCs w:val="22"/>
        </w:rPr>
        <w:t>Perturbation des cycles de reproduction</w:t>
      </w:r>
      <w:r w:rsidRPr="00DB2F0F">
        <w:rPr>
          <w:rFonts w:ascii="Century Gothic" w:hAnsi="Century Gothic"/>
          <w:sz w:val="22"/>
          <w:szCs w:val="22"/>
        </w:rPr>
        <w:t xml:space="preserve"> : Le changement des conditions de salinité et de température impacte la reproduction de nombreuses espèces aquatiques, y compris des poissons migrateurs et des oiseaux.</w:t>
      </w:r>
    </w:p>
    <w:p w14:paraId="42F00EBF" w14:textId="77777777" w:rsidR="00B97710" w:rsidRPr="009B0256" w:rsidRDefault="00B97710" w:rsidP="001C492F">
      <w:pPr>
        <w:pStyle w:val="NormalWeb"/>
        <w:spacing w:before="0" w:beforeAutospacing="0" w:after="0" w:afterAutospacing="0"/>
        <w:jc w:val="both"/>
        <w:rPr>
          <w:rFonts w:ascii="Century Gothic" w:hAnsi="Century Gothic"/>
        </w:rPr>
      </w:pPr>
    </w:p>
    <w:p w14:paraId="6BB08675" w14:textId="668399B1" w:rsidR="001C492F" w:rsidRPr="00E4242C" w:rsidRDefault="001C492F" w:rsidP="001C492F">
      <w:pPr>
        <w:pStyle w:val="NormalWeb"/>
        <w:spacing w:before="0" w:beforeAutospacing="0" w:after="0" w:afterAutospacing="0"/>
        <w:jc w:val="both"/>
        <w:rPr>
          <w:rFonts w:ascii="Century Gothic" w:hAnsi="Century Gothic"/>
          <w:color w:val="4472C4" w:themeColor="accent1"/>
        </w:rPr>
      </w:pPr>
      <w:r w:rsidRPr="00E4242C">
        <w:rPr>
          <w:rFonts w:ascii="Century Gothic" w:hAnsi="Century Gothic"/>
          <w:color w:val="4472C4" w:themeColor="accent1"/>
        </w:rPr>
        <w:t>B. Pertes et Préjudices</w:t>
      </w:r>
    </w:p>
    <w:p w14:paraId="61ABFEF5" w14:textId="77777777" w:rsidR="0045595E" w:rsidRPr="00D833E4" w:rsidRDefault="0045595E" w:rsidP="001C492F">
      <w:pPr>
        <w:pStyle w:val="NormalWeb"/>
        <w:spacing w:before="0" w:beforeAutospacing="0" w:after="0" w:afterAutospacing="0"/>
        <w:jc w:val="both"/>
        <w:rPr>
          <w:rFonts w:ascii="Century Gothic" w:hAnsi="Century Gothic"/>
          <w:b/>
          <w:bCs/>
          <w:color w:val="4472C4" w:themeColor="accent1"/>
        </w:rPr>
      </w:pPr>
    </w:p>
    <w:p w14:paraId="064A5FAC" w14:textId="6CEE890E" w:rsidR="001C492F" w:rsidRPr="009B0256" w:rsidRDefault="005F2A09" w:rsidP="001C492F">
      <w:pPr>
        <w:pStyle w:val="NormalWeb"/>
        <w:spacing w:before="0" w:beforeAutospacing="0" w:after="0" w:afterAutospacing="0"/>
        <w:jc w:val="both"/>
        <w:rPr>
          <w:rFonts w:ascii="Century Gothic" w:hAnsi="Century Gothic"/>
          <w:b/>
          <w:bCs/>
        </w:rPr>
      </w:pPr>
      <w:r>
        <w:rPr>
          <w:rFonts w:ascii="Century Gothic" w:hAnsi="Century Gothic"/>
          <w:b/>
          <w:bCs/>
          <w:noProof/>
          <w:lang w:val="fr-FR" w:eastAsia="fr-FR"/>
        </w:rPr>
        <mc:AlternateContent>
          <mc:Choice Requires="wps">
            <w:drawing>
              <wp:anchor distT="0" distB="0" distL="114300" distR="114300" simplePos="0" relativeHeight="251659264" behindDoc="0" locked="0" layoutInCell="1" allowOverlap="1" wp14:anchorId="2BF0BD02" wp14:editId="62ECEE75">
                <wp:simplePos x="0" y="0"/>
                <wp:positionH relativeFrom="column">
                  <wp:posOffset>2308225</wp:posOffset>
                </wp:positionH>
                <wp:positionV relativeFrom="paragraph">
                  <wp:posOffset>139920</wp:posOffset>
                </wp:positionV>
                <wp:extent cx="3510750" cy="701371"/>
                <wp:effectExtent l="647700" t="38100" r="13970" b="60960"/>
                <wp:wrapNone/>
                <wp:docPr id="17" name="Légende : encadrée à une bordure 17"/>
                <wp:cNvGraphicFramePr/>
                <a:graphic xmlns:a="http://schemas.openxmlformats.org/drawingml/2006/main">
                  <a:graphicData uri="http://schemas.microsoft.com/office/word/2010/wordprocessingShape">
                    <wps:wsp>
                      <wps:cNvSpPr/>
                      <wps:spPr>
                        <a:xfrm>
                          <a:off x="0" y="0"/>
                          <a:ext cx="3510750" cy="701371"/>
                        </a:xfrm>
                        <a:prstGeom prst="accentBorderCallout1">
                          <a:avLst>
                            <a:gd name="adj1" fmla="val 18750"/>
                            <a:gd name="adj2" fmla="val -8333"/>
                            <a:gd name="adj3" fmla="val 48351"/>
                            <a:gd name="adj4" fmla="val -1813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8530FB" w14:textId="77777777" w:rsidR="0062478D" w:rsidRPr="005F2A09" w:rsidRDefault="0062478D" w:rsidP="005F2A09">
                            <w:pPr>
                              <w:pStyle w:val="NormalWeb"/>
                              <w:spacing w:before="0" w:beforeAutospacing="0" w:after="0" w:afterAutospacing="0"/>
                              <w:jc w:val="both"/>
                              <w:rPr>
                                <w:rFonts w:ascii="Century Gothic" w:hAnsi="Century Gothic"/>
                                <w:sz w:val="18"/>
                                <w:szCs w:val="18"/>
                              </w:rPr>
                            </w:pPr>
                            <w:r w:rsidRPr="005F2A09">
                              <w:rPr>
                                <w:rFonts w:ascii="Century Gothic" w:hAnsi="Century Gothic"/>
                                <w:sz w:val="18"/>
                                <w:szCs w:val="18"/>
                              </w:rPr>
                              <w:t>Les zones humides et estuaires, qui abritent une faune variée (oiseaux migrateurs, poissons, etc.), subissent des pertes de biodiversité dues à l’élévation du niveau de la mer, la salinisation et la perte d’habitats.</w:t>
                            </w:r>
                          </w:p>
                          <w:p w14:paraId="57ECCE29" w14:textId="77777777" w:rsidR="0062478D" w:rsidRPr="005F2A09" w:rsidRDefault="0062478D" w:rsidP="005F2A09">
                            <w:pPr>
                              <w:jc w:val="center"/>
                              <w:rPr>
                                <w:sz w:val="16"/>
                                <w:szCs w:val="16"/>
                                <w:lang w:val="wo-S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0BD02" id="Légende : encadrée à une bordure 17" o:spid="_x0000_s1050" type="#_x0000_t50" style="position:absolute;left:0;text-align:left;margin-left:181.75pt;margin-top:11pt;width:276.45pt;height:5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" adj="-3916,10444" fillcolor="#4472c4 [3204]" strokecolor="#1f3763 [1604]" strokeweight="1pt">
                <v:textbox>
                  <w:txbxContent>
                    <w:p w14:paraId="338530FB" w14:textId="77777777" w:rsidR="0062478D" w:rsidRPr="005F2A09" w:rsidRDefault="0062478D" w:rsidP="005F2A09">
                      <w:pPr>
                        <w:pStyle w:val="NormalWeb"/>
                        <w:spacing w:before="0" w:beforeAutospacing="0" w:after="0" w:afterAutospacing="0"/>
                        <w:jc w:val="both"/>
                        <w:rPr>
                          <w:rFonts w:ascii="Century Gothic" w:hAnsi="Century Gothic"/>
                          <w:sz w:val="18"/>
                          <w:szCs w:val="18"/>
                        </w:rPr>
                      </w:pPr>
                      <w:r w:rsidRPr="005F2A09">
                        <w:rPr>
                          <w:rFonts w:ascii="Century Gothic" w:hAnsi="Century Gothic"/>
                          <w:sz w:val="18"/>
                          <w:szCs w:val="18"/>
                        </w:rPr>
                        <w:t>Les zones humides et estuaires, qui abritent une faune variée (oiseaux migrateurs, poissons, etc.), subissent des pertes de biodiversité dues à l’élévation du niveau de la mer, la salinisation et la perte d’habitats.</w:t>
                      </w:r>
                    </w:p>
                    <w:p w14:paraId="57ECCE29" w14:textId="77777777" w:rsidR="0062478D" w:rsidRPr="005F2A09" w:rsidRDefault="0062478D" w:rsidP="005F2A09">
                      <w:pPr>
                        <w:jc w:val="center"/>
                        <w:rPr>
                          <w:sz w:val="16"/>
                          <w:szCs w:val="16"/>
                          <w:lang w:val="wo-SN"/>
                        </w:rPr>
                      </w:pPr>
                    </w:p>
                  </w:txbxContent>
                </v:textbox>
                <o:callout v:ext="edit" minusy="t"/>
              </v:shape>
            </w:pict>
          </mc:Fallback>
        </mc:AlternateContent>
      </w:r>
    </w:p>
    <w:p w14:paraId="78972B5A" w14:textId="0735E2D7" w:rsidR="005F2A09" w:rsidRDefault="005F2A09" w:rsidP="005F2A09">
      <w:pPr>
        <w:pStyle w:val="NormalWeb"/>
        <w:spacing w:before="0" w:beforeAutospacing="0" w:after="0" w:afterAutospacing="0"/>
        <w:jc w:val="both"/>
        <w:rPr>
          <w:rFonts w:ascii="Century Gothic" w:hAnsi="Century Gothic"/>
          <w:b/>
          <w:bCs/>
        </w:rPr>
      </w:pPr>
    </w:p>
    <w:p w14:paraId="6E2331FC" w14:textId="0DA87695" w:rsidR="001C492F" w:rsidRPr="009B0256" w:rsidRDefault="005A2A83" w:rsidP="005F2A09">
      <w:pPr>
        <w:pStyle w:val="NormalWeb"/>
        <w:spacing w:before="0" w:beforeAutospacing="0" w:after="0" w:afterAutospacing="0"/>
        <w:jc w:val="both"/>
        <w:rPr>
          <w:rFonts w:ascii="Century Gothic" w:hAnsi="Century Gothic"/>
        </w:rPr>
      </w:pPr>
      <w:r>
        <w:rPr>
          <w:rFonts w:ascii="Century Gothic" w:hAnsi="Century Gothic"/>
          <w:b/>
          <w:bCs/>
          <w:sz w:val="22"/>
          <w:szCs w:val="22"/>
        </w:rPr>
        <w:t xml:space="preserve">                      </w:t>
      </w:r>
      <w:r w:rsidR="001C492F" w:rsidRPr="008B0BCD">
        <w:rPr>
          <w:rFonts w:ascii="Century Gothic" w:hAnsi="Century Gothic"/>
          <w:b/>
          <w:bCs/>
          <w:sz w:val="22"/>
          <w:szCs w:val="22"/>
        </w:rPr>
        <w:t>Biodiversité</w:t>
      </w:r>
      <w:r w:rsidR="001C492F" w:rsidRPr="009B0256">
        <w:rPr>
          <w:rFonts w:ascii="Century Gothic" w:hAnsi="Century Gothic"/>
        </w:rPr>
        <w:t xml:space="preserve"> </w:t>
      </w:r>
    </w:p>
    <w:p w14:paraId="4304D83B" w14:textId="77B73B42" w:rsidR="001C492F" w:rsidRPr="009B0256" w:rsidRDefault="001C492F" w:rsidP="001C492F">
      <w:pPr>
        <w:pStyle w:val="NormalWeb"/>
        <w:spacing w:before="0" w:beforeAutospacing="0" w:after="0" w:afterAutospacing="0"/>
        <w:jc w:val="both"/>
        <w:rPr>
          <w:rFonts w:ascii="Century Gothic" w:hAnsi="Century Gothic"/>
          <w:b/>
          <w:bCs/>
        </w:rPr>
      </w:pPr>
    </w:p>
    <w:p w14:paraId="742A188A" w14:textId="2790AF75" w:rsidR="005F2A09" w:rsidRDefault="005F2A09" w:rsidP="005F2A09">
      <w:pPr>
        <w:pStyle w:val="NormalWeb"/>
        <w:spacing w:before="0" w:beforeAutospacing="0" w:after="0" w:afterAutospacing="0"/>
        <w:jc w:val="both"/>
        <w:rPr>
          <w:rFonts w:ascii="Century Gothic" w:hAnsi="Century Gothic"/>
          <w:b/>
          <w:bCs/>
        </w:rPr>
      </w:pPr>
    </w:p>
    <w:p w14:paraId="75D07A3A" w14:textId="2A00BB38" w:rsidR="005A2A83" w:rsidRDefault="005A2A83" w:rsidP="005F2A09">
      <w:pPr>
        <w:pStyle w:val="NormalWeb"/>
        <w:spacing w:before="0" w:beforeAutospacing="0" w:after="0" w:afterAutospacing="0"/>
        <w:jc w:val="both"/>
        <w:rPr>
          <w:rFonts w:ascii="Century Gothic" w:hAnsi="Century Gothic"/>
          <w:b/>
          <w:bCs/>
          <w:sz w:val="22"/>
          <w:szCs w:val="22"/>
        </w:rPr>
      </w:pPr>
    </w:p>
    <w:p w14:paraId="1B7EE07D" w14:textId="791B2444" w:rsidR="005A2A83" w:rsidRDefault="005A2A83" w:rsidP="005F2A09">
      <w:pPr>
        <w:pStyle w:val="NormalWeb"/>
        <w:spacing w:before="0" w:beforeAutospacing="0" w:after="0" w:afterAutospacing="0"/>
        <w:jc w:val="both"/>
        <w:rPr>
          <w:rFonts w:ascii="Century Gothic" w:hAnsi="Century Gothic"/>
          <w:b/>
          <w:bCs/>
          <w:sz w:val="22"/>
          <w:szCs w:val="22"/>
        </w:rPr>
      </w:pPr>
      <w:r>
        <w:rPr>
          <w:rFonts w:ascii="Century Gothic" w:hAnsi="Century Gothic"/>
          <w:b/>
          <w:bCs/>
          <w:noProof/>
          <w:lang w:val="fr-FR" w:eastAsia="fr-FR"/>
        </w:rPr>
        <mc:AlternateContent>
          <mc:Choice Requires="wps">
            <w:drawing>
              <wp:anchor distT="0" distB="0" distL="114300" distR="114300" simplePos="0" relativeHeight="251660288" behindDoc="0" locked="0" layoutInCell="1" allowOverlap="1" wp14:anchorId="2D5711BF" wp14:editId="3684F7D0">
                <wp:simplePos x="0" y="0"/>
                <wp:positionH relativeFrom="column">
                  <wp:posOffset>2305685</wp:posOffset>
                </wp:positionH>
                <wp:positionV relativeFrom="paragraph">
                  <wp:posOffset>69960</wp:posOffset>
                </wp:positionV>
                <wp:extent cx="3448685" cy="819785"/>
                <wp:effectExtent l="800100" t="38100" r="18415" b="56515"/>
                <wp:wrapNone/>
                <wp:docPr id="18" name="Légende : encadrée à une bordure 18"/>
                <wp:cNvGraphicFramePr/>
                <a:graphic xmlns:a="http://schemas.openxmlformats.org/drawingml/2006/main">
                  <a:graphicData uri="http://schemas.microsoft.com/office/word/2010/wordprocessingShape">
                    <wps:wsp>
                      <wps:cNvSpPr/>
                      <wps:spPr>
                        <a:xfrm>
                          <a:off x="0" y="0"/>
                          <a:ext cx="3448685" cy="819785"/>
                        </a:xfrm>
                        <a:prstGeom prst="accentBorderCallout1">
                          <a:avLst>
                            <a:gd name="adj1" fmla="val 18750"/>
                            <a:gd name="adj2" fmla="val -8333"/>
                            <a:gd name="adj3" fmla="val 70195"/>
                            <a:gd name="adj4" fmla="val -2301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9E5D65" w14:textId="77777777" w:rsidR="0062478D" w:rsidRPr="005F2A09" w:rsidRDefault="0062478D" w:rsidP="005F2A09">
                            <w:pPr>
                              <w:pStyle w:val="NormalWeb"/>
                              <w:spacing w:before="0" w:beforeAutospacing="0" w:after="0" w:afterAutospacing="0"/>
                              <w:jc w:val="both"/>
                              <w:rPr>
                                <w:rFonts w:ascii="Century Gothic" w:hAnsi="Century Gothic"/>
                                <w:sz w:val="18"/>
                                <w:szCs w:val="18"/>
                              </w:rPr>
                            </w:pPr>
                            <w:r w:rsidRPr="005F2A09">
                              <w:rPr>
                                <w:rFonts w:ascii="Century Gothic" w:hAnsi="Century Gothic"/>
                                <w:sz w:val="18"/>
                                <w:szCs w:val="18"/>
                              </w:rPr>
                              <w:t>Les populations vivant dans ces zones, notamment les pêcheurs et les agriculteurs, souffrent de la perte d'habitat et de la baisse des rendements agricoles et halieutiques. Les déplacements dus à l'inondation ou à la salinisation des terres sont également fréquents.</w:t>
                            </w:r>
                          </w:p>
                          <w:p w14:paraId="141E3E5E" w14:textId="77777777" w:rsidR="0062478D" w:rsidRPr="005F2A09" w:rsidRDefault="0062478D" w:rsidP="005F2A09">
                            <w:pPr>
                              <w:jc w:val="center"/>
                              <w:rPr>
                                <w:sz w:val="16"/>
                                <w:szCs w:val="16"/>
                                <w:lang w:val="wo-S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711BF" id="Légende : encadrée à une bordure 18" o:spid="_x0000_s1051" type="#_x0000_t50" style="position:absolute;left:0;text-align:left;margin-left:181.55pt;margin-top:5.5pt;width:271.55pt;height:6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" adj="-4971,15162" fillcolor="#4472c4 [3204]" strokecolor="#1f3763 [1604]" strokeweight="1pt">
                <v:textbox>
                  <w:txbxContent>
                    <w:p w14:paraId="029E5D65" w14:textId="77777777" w:rsidR="0062478D" w:rsidRPr="005F2A09" w:rsidRDefault="0062478D" w:rsidP="005F2A09">
                      <w:pPr>
                        <w:pStyle w:val="NormalWeb"/>
                        <w:spacing w:before="0" w:beforeAutospacing="0" w:after="0" w:afterAutospacing="0"/>
                        <w:jc w:val="both"/>
                        <w:rPr>
                          <w:rFonts w:ascii="Century Gothic" w:hAnsi="Century Gothic"/>
                          <w:sz w:val="18"/>
                          <w:szCs w:val="18"/>
                        </w:rPr>
                      </w:pPr>
                      <w:r w:rsidRPr="005F2A09">
                        <w:rPr>
                          <w:rFonts w:ascii="Century Gothic" w:hAnsi="Century Gothic"/>
                          <w:sz w:val="18"/>
                          <w:szCs w:val="18"/>
                        </w:rPr>
                        <w:t>Les populations vivant dans ces zones, notamment les pêcheurs et les agriculteurs, souffrent de la perte d'habitat et de la baisse des rendements agricoles et halieutiques. Les déplacements dus à l'inondation ou à la salinisation des terres sont également fréquents.</w:t>
                      </w:r>
                    </w:p>
                    <w:p w14:paraId="141E3E5E" w14:textId="77777777" w:rsidR="0062478D" w:rsidRPr="005F2A09" w:rsidRDefault="0062478D" w:rsidP="005F2A09">
                      <w:pPr>
                        <w:jc w:val="center"/>
                        <w:rPr>
                          <w:sz w:val="16"/>
                          <w:szCs w:val="16"/>
                          <w:lang w:val="wo-SN"/>
                        </w:rPr>
                      </w:pPr>
                    </w:p>
                  </w:txbxContent>
                </v:textbox>
                <o:callout v:ext="edit" minusy="t"/>
              </v:shape>
            </w:pict>
          </mc:Fallback>
        </mc:AlternateContent>
      </w:r>
    </w:p>
    <w:p w14:paraId="04782EC9" w14:textId="77777777" w:rsidR="005A2A83" w:rsidRDefault="005A2A83" w:rsidP="005F2A09">
      <w:pPr>
        <w:pStyle w:val="NormalWeb"/>
        <w:spacing w:before="0" w:beforeAutospacing="0" w:after="0" w:afterAutospacing="0"/>
        <w:jc w:val="both"/>
        <w:rPr>
          <w:rFonts w:ascii="Century Gothic" w:hAnsi="Century Gothic"/>
          <w:b/>
          <w:bCs/>
          <w:sz w:val="22"/>
          <w:szCs w:val="22"/>
        </w:rPr>
      </w:pPr>
    </w:p>
    <w:p w14:paraId="60E79BEE" w14:textId="77777777" w:rsidR="005A2A83" w:rsidRDefault="005A2A83" w:rsidP="005F2A09">
      <w:pPr>
        <w:pStyle w:val="NormalWeb"/>
        <w:spacing w:before="0" w:beforeAutospacing="0" w:after="0" w:afterAutospacing="0"/>
        <w:jc w:val="both"/>
        <w:rPr>
          <w:rFonts w:ascii="Century Gothic" w:hAnsi="Century Gothic"/>
          <w:b/>
          <w:bCs/>
          <w:sz w:val="22"/>
          <w:szCs w:val="22"/>
        </w:rPr>
      </w:pPr>
    </w:p>
    <w:p w14:paraId="6B8BD51F" w14:textId="77777777" w:rsidR="005A2A83" w:rsidRDefault="005A2A83" w:rsidP="005F2A09">
      <w:pPr>
        <w:pStyle w:val="NormalWeb"/>
        <w:spacing w:before="0" w:beforeAutospacing="0" w:after="0" w:afterAutospacing="0"/>
        <w:jc w:val="both"/>
        <w:rPr>
          <w:rFonts w:ascii="Century Gothic" w:hAnsi="Century Gothic"/>
          <w:b/>
          <w:bCs/>
          <w:sz w:val="22"/>
          <w:szCs w:val="22"/>
        </w:rPr>
      </w:pPr>
    </w:p>
    <w:p w14:paraId="7E4EEC10" w14:textId="3055EDAD" w:rsidR="001C492F" w:rsidRPr="005A2A83" w:rsidRDefault="001C492F" w:rsidP="005F2A09">
      <w:pPr>
        <w:pStyle w:val="NormalWeb"/>
        <w:spacing w:before="0" w:beforeAutospacing="0" w:after="0" w:afterAutospacing="0"/>
        <w:jc w:val="both"/>
        <w:rPr>
          <w:rFonts w:ascii="Century Gothic" w:hAnsi="Century Gothic"/>
          <w:b/>
          <w:bCs/>
          <w:sz w:val="22"/>
          <w:szCs w:val="22"/>
        </w:rPr>
      </w:pPr>
      <w:r w:rsidRPr="005A2A83">
        <w:rPr>
          <w:rFonts w:ascii="Century Gothic" w:hAnsi="Century Gothic"/>
          <w:b/>
          <w:bCs/>
          <w:sz w:val="22"/>
          <w:szCs w:val="22"/>
        </w:rPr>
        <w:t xml:space="preserve">Communautés locales </w:t>
      </w:r>
    </w:p>
    <w:p w14:paraId="4EEBD453" w14:textId="77777777" w:rsidR="00BE524F" w:rsidRDefault="00BE524F" w:rsidP="00D6295F">
      <w:pPr>
        <w:rPr>
          <w:rFonts w:ascii="Century Gothic" w:hAnsi="Century Gothic"/>
          <w:b/>
          <w:bCs/>
          <w:sz w:val="24"/>
          <w:szCs w:val="24"/>
        </w:rPr>
      </w:pPr>
    </w:p>
    <w:p w14:paraId="7E3EAD0A" w14:textId="0272EC6E" w:rsidR="001C492F" w:rsidRPr="00E4242C" w:rsidRDefault="00B97710" w:rsidP="00D6295F">
      <w:pPr>
        <w:rPr>
          <w:rFonts w:ascii="Century Gothic" w:hAnsi="Century Gothic"/>
          <w:color w:val="4472C4" w:themeColor="accent1"/>
          <w:sz w:val="24"/>
          <w:szCs w:val="24"/>
        </w:rPr>
      </w:pPr>
      <w:r w:rsidRPr="00E4242C">
        <w:rPr>
          <w:rFonts w:ascii="Century Gothic" w:hAnsi="Century Gothic"/>
          <w:color w:val="4472C4" w:themeColor="accent1"/>
          <w:sz w:val="24"/>
          <w:szCs w:val="24"/>
        </w:rPr>
        <w:t>4</w:t>
      </w:r>
      <w:r w:rsidR="001C492F" w:rsidRPr="00E4242C">
        <w:rPr>
          <w:rFonts w:ascii="Century Gothic" w:hAnsi="Century Gothic"/>
          <w:color w:val="4472C4" w:themeColor="accent1"/>
          <w:sz w:val="24"/>
          <w:szCs w:val="24"/>
        </w:rPr>
        <w:t>. Biome des Lacs et Marais</w:t>
      </w:r>
    </w:p>
    <w:p w14:paraId="0CED7740" w14:textId="5C8BE78B" w:rsidR="001C492F" w:rsidRPr="00FA36EC" w:rsidRDefault="001C492F" w:rsidP="001C492F">
      <w:pPr>
        <w:pStyle w:val="NormalWeb"/>
        <w:spacing w:before="0" w:beforeAutospacing="0" w:after="0" w:afterAutospacing="0"/>
        <w:jc w:val="both"/>
        <w:rPr>
          <w:rFonts w:ascii="Century Gothic" w:hAnsi="Century Gothic"/>
          <w:b/>
          <w:bCs/>
          <w:color w:val="4472C4" w:themeColor="accent1"/>
          <w:sz w:val="22"/>
          <w:szCs w:val="22"/>
        </w:rPr>
      </w:pPr>
      <w:r w:rsidRPr="00FA36EC">
        <w:rPr>
          <w:rFonts w:ascii="Century Gothic" w:hAnsi="Century Gothic"/>
          <w:b/>
          <w:bCs/>
          <w:color w:val="4472C4" w:themeColor="accent1"/>
          <w:sz w:val="22"/>
          <w:szCs w:val="22"/>
        </w:rPr>
        <w:t>A. Vulnérabilité au Changement Climatique</w:t>
      </w:r>
    </w:p>
    <w:p w14:paraId="0BB038B8" w14:textId="77777777" w:rsidR="001C492F" w:rsidRPr="009B0256" w:rsidRDefault="001C492F" w:rsidP="001C492F">
      <w:pPr>
        <w:pStyle w:val="NormalWeb"/>
        <w:spacing w:before="0" w:beforeAutospacing="0" w:after="0" w:afterAutospacing="0"/>
        <w:jc w:val="both"/>
        <w:rPr>
          <w:rFonts w:ascii="Century Gothic" w:hAnsi="Century Gothic"/>
          <w:b/>
          <w:bCs/>
        </w:rPr>
      </w:pPr>
    </w:p>
    <w:p w14:paraId="0D048727" w14:textId="458147E7" w:rsidR="001C492F" w:rsidRPr="00DB2F0F" w:rsidRDefault="001C492F" w:rsidP="001C492F">
      <w:pPr>
        <w:pStyle w:val="NormalWeb"/>
        <w:spacing w:before="0" w:beforeAutospacing="0" w:after="0" w:afterAutospacing="0"/>
        <w:jc w:val="both"/>
        <w:rPr>
          <w:rFonts w:ascii="Century Gothic" w:hAnsi="Century Gothic"/>
          <w:sz w:val="22"/>
          <w:szCs w:val="22"/>
        </w:rPr>
      </w:pPr>
      <w:r w:rsidRPr="00DB2F0F">
        <w:rPr>
          <w:rFonts w:ascii="Century Gothic" w:hAnsi="Century Gothic"/>
          <w:b/>
          <w:bCs/>
          <w:sz w:val="22"/>
          <w:szCs w:val="22"/>
        </w:rPr>
        <w:t>Modification des niveaux d'eau</w:t>
      </w:r>
      <w:r w:rsidRPr="00DB2F0F">
        <w:rPr>
          <w:rFonts w:ascii="Century Gothic" w:hAnsi="Century Gothic"/>
          <w:sz w:val="22"/>
          <w:szCs w:val="22"/>
        </w:rPr>
        <w:t xml:space="preserve"> : Les lacs et marais de la Mauritanie, notamment ceux proches des zones côtières et des estuaires, sont vulnérables aux changements des régimes de précipitations et à l'élévation du niveau de la mer, qui entraînent des inondations ou des périodes de sécheresse.</w:t>
      </w:r>
    </w:p>
    <w:p w14:paraId="3A9E516B" w14:textId="77777777" w:rsidR="00B97710" w:rsidRPr="00DB2F0F" w:rsidRDefault="00B97710" w:rsidP="001C492F">
      <w:pPr>
        <w:pStyle w:val="NormalWeb"/>
        <w:spacing w:before="0" w:beforeAutospacing="0" w:after="0" w:afterAutospacing="0"/>
        <w:jc w:val="both"/>
        <w:rPr>
          <w:rFonts w:ascii="Century Gothic" w:hAnsi="Century Gothic"/>
          <w:b/>
          <w:bCs/>
          <w:sz w:val="22"/>
          <w:szCs w:val="22"/>
        </w:rPr>
      </w:pPr>
    </w:p>
    <w:p w14:paraId="01C19FCA" w14:textId="6BFF4245" w:rsidR="001C492F" w:rsidRPr="00DB2F0F" w:rsidRDefault="001C492F" w:rsidP="001C492F">
      <w:pPr>
        <w:pStyle w:val="NormalWeb"/>
        <w:spacing w:before="0" w:beforeAutospacing="0" w:after="0" w:afterAutospacing="0"/>
        <w:jc w:val="both"/>
        <w:rPr>
          <w:rFonts w:ascii="Century Gothic" w:hAnsi="Century Gothic"/>
          <w:sz w:val="22"/>
          <w:szCs w:val="22"/>
        </w:rPr>
      </w:pPr>
      <w:r w:rsidRPr="00DB2F0F">
        <w:rPr>
          <w:rFonts w:ascii="Century Gothic" w:hAnsi="Century Gothic"/>
          <w:b/>
          <w:bCs/>
          <w:sz w:val="22"/>
          <w:szCs w:val="22"/>
        </w:rPr>
        <w:t>Salinisation</w:t>
      </w:r>
      <w:r w:rsidRPr="00DB2F0F">
        <w:rPr>
          <w:rFonts w:ascii="Century Gothic" w:hAnsi="Century Gothic"/>
          <w:sz w:val="22"/>
          <w:szCs w:val="22"/>
        </w:rPr>
        <w:t xml:space="preserve"> : Comme pour les zones humides, l'intrusion de l'eau salée affecte la composition des écosystèmes aquatiques.</w:t>
      </w:r>
    </w:p>
    <w:p w14:paraId="308876C7" w14:textId="77777777" w:rsidR="001C492F" w:rsidRPr="00DB2F0F" w:rsidRDefault="001C492F" w:rsidP="001C492F">
      <w:pPr>
        <w:pStyle w:val="NormalWeb"/>
        <w:spacing w:before="0" w:beforeAutospacing="0" w:after="0" w:afterAutospacing="0"/>
        <w:jc w:val="both"/>
        <w:rPr>
          <w:rFonts w:ascii="Century Gothic" w:hAnsi="Century Gothic"/>
          <w:sz w:val="22"/>
          <w:szCs w:val="22"/>
        </w:rPr>
      </w:pPr>
    </w:p>
    <w:p w14:paraId="7C1BB9D5" w14:textId="2C580CAC" w:rsidR="001C492F" w:rsidRPr="00FA36EC" w:rsidRDefault="001C492F" w:rsidP="001C492F">
      <w:pPr>
        <w:pStyle w:val="NormalWeb"/>
        <w:spacing w:before="0" w:beforeAutospacing="0" w:after="0" w:afterAutospacing="0"/>
        <w:jc w:val="both"/>
        <w:rPr>
          <w:rFonts w:ascii="Century Gothic" w:hAnsi="Century Gothic"/>
          <w:b/>
          <w:bCs/>
          <w:color w:val="4472C4" w:themeColor="accent1"/>
          <w:sz w:val="22"/>
          <w:szCs w:val="22"/>
        </w:rPr>
      </w:pPr>
      <w:r w:rsidRPr="00FA36EC">
        <w:rPr>
          <w:rFonts w:ascii="Century Gothic" w:hAnsi="Century Gothic"/>
          <w:b/>
          <w:bCs/>
          <w:color w:val="4472C4" w:themeColor="accent1"/>
          <w:sz w:val="22"/>
          <w:szCs w:val="22"/>
        </w:rPr>
        <w:t>B. Pertes et Préjudices</w:t>
      </w:r>
    </w:p>
    <w:p w14:paraId="289035BB" w14:textId="0511CA65" w:rsidR="005F2A09" w:rsidRDefault="005F2A09" w:rsidP="001C492F">
      <w:pPr>
        <w:pStyle w:val="NormalWeb"/>
        <w:spacing w:before="0" w:beforeAutospacing="0" w:after="0" w:afterAutospacing="0"/>
        <w:jc w:val="both"/>
        <w:rPr>
          <w:rFonts w:ascii="Century Gothic" w:hAnsi="Century Gothic"/>
          <w:b/>
          <w:bCs/>
          <w:color w:val="4472C4" w:themeColor="accent1"/>
        </w:rPr>
      </w:pPr>
    </w:p>
    <w:p w14:paraId="4EB51C16" w14:textId="3BCB10AC" w:rsidR="001C492F" w:rsidRPr="00DD7650" w:rsidRDefault="00DD7650" w:rsidP="00DD7650">
      <w:pPr>
        <w:pStyle w:val="NormalWeb"/>
        <w:spacing w:before="0" w:beforeAutospacing="0" w:after="0" w:afterAutospacing="0"/>
        <w:jc w:val="both"/>
        <w:rPr>
          <w:rFonts w:ascii="Century Gothic" w:hAnsi="Century Gothic"/>
          <w:b/>
          <w:bCs/>
        </w:rPr>
      </w:pPr>
      <w:r>
        <w:rPr>
          <w:rFonts w:ascii="Century Gothic" w:hAnsi="Century Gothic"/>
          <w:b/>
          <w:bCs/>
          <w:noProof/>
          <w:lang w:val="fr-FR" w:eastAsia="fr-FR"/>
        </w:rPr>
        <mc:AlternateContent>
          <mc:Choice Requires="wps">
            <w:drawing>
              <wp:anchor distT="0" distB="0" distL="114300" distR="114300" simplePos="0" relativeHeight="251661312" behindDoc="0" locked="0" layoutInCell="1" allowOverlap="1" wp14:anchorId="29CF096C" wp14:editId="2623C353">
                <wp:simplePos x="0" y="0"/>
                <wp:positionH relativeFrom="column">
                  <wp:posOffset>2497565</wp:posOffset>
                </wp:positionH>
                <wp:positionV relativeFrom="paragraph">
                  <wp:posOffset>166867</wp:posOffset>
                </wp:positionV>
                <wp:extent cx="3415362" cy="610760"/>
                <wp:effectExtent l="590550" t="57150" r="13970" b="56515"/>
                <wp:wrapNone/>
                <wp:docPr id="19" name="Légende : encadrée à une bordure 19"/>
                <wp:cNvGraphicFramePr/>
                <a:graphic xmlns:a="http://schemas.openxmlformats.org/drawingml/2006/main">
                  <a:graphicData uri="http://schemas.microsoft.com/office/word/2010/wordprocessingShape">
                    <wps:wsp>
                      <wps:cNvSpPr/>
                      <wps:spPr>
                        <a:xfrm>
                          <a:off x="0" y="0"/>
                          <a:ext cx="3415362" cy="610760"/>
                        </a:xfrm>
                        <a:prstGeom prst="accentBorderCallout1">
                          <a:avLst>
                            <a:gd name="adj1" fmla="val 39828"/>
                            <a:gd name="adj2" fmla="val -8333"/>
                            <a:gd name="adj3" fmla="val -1647"/>
                            <a:gd name="adj4" fmla="val -1716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8752D2" w14:textId="4E01D27C" w:rsidR="0062478D" w:rsidRPr="005F2A09" w:rsidRDefault="0062478D" w:rsidP="005F2A09">
                            <w:pPr>
                              <w:jc w:val="both"/>
                              <w:rPr>
                                <w:sz w:val="18"/>
                                <w:szCs w:val="18"/>
                              </w:rPr>
                            </w:pPr>
                            <w:r w:rsidRPr="005F2A09">
                              <w:rPr>
                                <w:rFonts w:ascii="Century Gothic" w:hAnsi="Century Gothic"/>
                                <w:sz w:val="18"/>
                                <w:szCs w:val="18"/>
                              </w:rPr>
                              <w:t>Les marais et lacs subissent une perte de biodiversité, notamment pour les espèces aquatiques et les oiseaux migrateurs qui dépendent de ces écosystèmes.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F096C" id="Légende : encadrée à une bordure 19" o:spid="_x0000_s1052" type="#_x0000_t50" style="position:absolute;left:0;text-align:left;margin-left:196.65pt;margin-top:13.15pt;width:268.95pt;height:4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" adj="-3707,-356,,8603" fillcolor="#4472c4 [3204]" strokecolor="#1f3763 [1604]" strokeweight="1pt">
                <v:textbox>
                  <w:txbxContent>
                    <w:p w14:paraId="6F8752D2" w14:textId="4E01D27C" w:rsidR="0062478D" w:rsidRPr="005F2A09" w:rsidRDefault="0062478D" w:rsidP="005F2A09">
                      <w:pPr>
                        <w:jc w:val="both"/>
                        <w:rPr>
                          <w:sz w:val="18"/>
                          <w:szCs w:val="18"/>
                        </w:rPr>
                      </w:pPr>
                      <w:r w:rsidRPr="005F2A09">
                        <w:rPr>
                          <w:rFonts w:ascii="Century Gothic" w:hAnsi="Century Gothic"/>
                          <w:sz w:val="18"/>
                          <w:szCs w:val="18"/>
                        </w:rPr>
                        <w:t>Les marais et lacs subissent une perte de biodiversité, notamment pour les espèces aquatiques et les oiseaux migrateurs qui dépendent de ces écosystèmes.</w:t>
                      </w:r>
                    </w:p>
                  </w:txbxContent>
                </v:textbox>
              </v:shape>
            </w:pict>
          </mc:Fallback>
        </mc:AlternateContent>
      </w:r>
      <w:r>
        <w:rPr>
          <w:rFonts w:ascii="Century Gothic" w:hAnsi="Century Gothic"/>
          <w:b/>
          <w:bCs/>
          <w:sz w:val="22"/>
          <w:szCs w:val="22"/>
        </w:rPr>
        <w:t xml:space="preserve">                           </w:t>
      </w:r>
      <w:r w:rsidR="001C492F" w:rsidRPr="008B0BCD">
        <w:rPr>
          <w:rFonts w:ascii="Century Gothic" w:hAnsi="Century Gothic"/>
          <w:b/>
          <w:bCs/>
          <w:sz w:val="22"/>
          <w:szCs w:val="22"/>
        </w:rPr>
        <w:t>Biodiversité</w:t>
      </w:r>
      <w:r w:rsidR="001C492F" w:rsidRPr="009B0256">
        <w:rPr>
          <w:rFonts w:ascii="Century Gothic" w:hAnsi="Century Gothic"/>
        </w:rPr>
        <w:t xml:space="preserve"> </w:t>
      </w:r>
    </w:p>
    <w:p w14:paraId="10FF5BCB" w14:textId="55775CED" w:rsidR="005F2A09" w:rsidRPr="009B0256" w:rsidRDefault="005F2A09" w:rsidP="001C492F">
      <w:pPr>
        <w:pStyle w:val="NormalWeb"/>
        <w:spacing w:before="0" w:beforeAutospacing="0" w:after="0" w:afterAutospacing="0"/>
        <w:jc w:val="both"/>
        <w:rPr>
          <w:rFonts w:ascii="Century Gothic" w:hAnsi="Century Gothic"/>
        </w:rPr>
      </w:pPr>
    </w:p>
    <w:p w14:paraId="0FFFE34D" w14:textId="416C3AEB" w:rsidR="005F2A09" w:rsidRDefault="005F2A09" w:rsidP="001C492F">
      <w:pPr>
        <w:pStyle w:val="NormalWeb"/>
        <w:spacing w:before="0" w:beforeAutospacing="0" w:after="0" w:afterAutospacing="0"/>
        <w:jc w:val="both"/>
        <w:rPr>
          <w:rFonts w:ascii="Century Gothic" w:hAnsi="Century Gothic"/>
          <w:b/>
          <w:bCs/>
        </w:rPr>
      </w:pPr>
    </w:p>
    <w:p w14:paraId="3796F4D5" w14:textId="6A712A8F" w:rsidR="00DD7650" w:rsidRDefault="00DD7650" w:rsidP="001C492F">
      <w:pPr>
        <w:pStyle w:val="NormalWeb"/>
        <w:spacing w:before="0" w:beforeAutospacing="0" w:after="0" w:afterAutospacing="0"/>
        <w:jc w:val="both"/>
        <w:rPr>
          <w:rFonts w:ascii="Century Gothic" w:hAnsi="Century Gothic"/>
          <w:b/>
          <w:bCs/>
          <w:sz w:val="22"/>
          <w:szCs w:val="22"/>
        </w:rPr>
      </w:pPr>
    </w:p>
    <w:p w14:paraId="183CEC0F" w14:textId="29EB512E" w:rsidR="00DD7650" w:rsidRDefault="00DD7650" w:rsidP="001C492F">
      <w:pPr>
        <w:pStyle w:val="NormalWeb"/>
        <w:spacing w:before="0" w:beforeAutospacing="0" w:after="0" w:afterAutospacing="0"/>
        <w:jc w:val="both"/>
        <w:rPr>
          <w:rFonts w:ascii="Century Gothic" w:hAnsi="Century Gothic"/>
          <w:b/>
          <w:bCs/>
          <w:sz w:val="22"/>
          <w:szCs w:val="22"/>
        </w:rPr>
      </w:pPr>
    </w:p>
    <w:p w14:paraId="27710876" w14:textId="439628ED" w:rsidR="00DD7650" w:rsidRDefault="00DD7650" w:rsidP="001C492F">
      <w:pPr>
        <w:pStyle w:val="NormalWeb"/>
        <w:spacing w:before="0" w:beforeAutospacing="0" w:after="0" w:afterAutospacing="0"/>
        <w:jc w:val="both"/>
        <w:rPr>
          <w:rFonts w:ascii="Century Gothic" w:hAnsi="Century Gothic"/>
          <w:b/>
          <w:bCs/>
          <w:sz w:val="22"/>
          <w:szCs w:val="22"/>
        </w:rPr>
      </w:pPr>
      <w:r w:rsidRPr="008B0BCD">
        <w:rPr>
          <w:rFonts w:ascii="Century Gothic" w:hAnsi="Century Gothic"/>
          <w:b/>
          <w:bCs/>
          <w:noProof/>
          <w:sz w:val="22"/>
          <w:szCs w:val="22"/>
          <w:lang w:val="fr-FR" w:eastAsia="fr-FR"/>
        </w:rPr>
        <mc:AlternateContent>
          <mc:Choice Requires="wps">
            <w:drawing>
              <wp:anchor distT="0" distB="0" distL="114300" distR="114300" simplePos="0" relativeHeight="251663360" behindDoc="0" locked="0" layoutInCell="1" allowOverlap="1" wp14:anchorId="72E764D4" wp14:editId="45091C0C">
                <wp:simplePos x="0" y="0"/>
                <wp:positionH relativeFrom="column">
                  <wp:posOffset>2498394</wp:posOffset>
                </wp:positionH>
                <wp:positionV relativeFrom="paragraph">
                  <wp:posOffset>79706</wp:posOffset>
                </wp:positionV>
                <wp:extent cx="3460750" cy="836295"/>
                <wp:effectExtent l="666750" t="38100" r="25400" b="59055"/>
                <wp:wrapNone/>
                <wp:docPr id="20" name="Légende : encadrée à une bordure 20"/>
                <wp:cNvGraphicFramePr/>
                <a:graphic xmlns:a="http://schemas.openxmlformats.org/drawingml/2006/main">
                  <a:graphicData uri="http://schemas.microsoft.com/office/word/2010/wordprocessingShape">
                    <wps:wsp>
                      <wps:cNvSpPr/>
                      <wps:spPr>
                        <a:xfrm>
                          <a:off x="0" y="0"/>
                          <a:ext cx="3460750" cy="836295"/>
                        </a:xfrm>
                        <a:prstGeom prst="accentBorderCallout1">
                          <a:avLst>
                            <a:gd name="adj1" fmla="val 21945"/>
                            <a:gd name="adj2" fmla="val -8333"/>
                            <a:gd name="adj3" fmla="val 46575"/>
                            <a:gd name="adj4" fmla="val -1871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8B7CE4" w14:textId="0BF74D62" w:rsidR="0062478D" w:rsidRPr="005F2A09" w:rsidRDefault="0062478D" w:rsidP="005F2A09">
                            <w:pPr>
                              <w:jc w:val="both"/>
                              <w:rPr>
                                <w:sz w:val="18"/>
                                <w:szCs w:val="18"/>
                              </w:rPr>
                            </w:pPr>
                            <w:r w:rsidRPr="005F2A09">
                              <w:rPr>
                                <w:rFonts w:ascii="Century Gothic" w:hAnsi="Century Gothic"/>
                                <w:sz w:val="18"/>
                                <w:szCs w:val="18"/>
                              </w:rPr>
                              <w:t>Les communautés utilisant ces zones pour la pêche, l’agriculture et la collecte de produits forestiers non ligneux subissent des pertes de ressources et doivent s’adapter à la réduction de la qualité des eaux et de la disponibilité des habitat</w:t>
                            </w:r>
                            <w:r>
                              <w:rPr>
                                <w:rFonts w:ascii="Century Gothic" w:hAnsi="Century Gothic"/>
                                <w:sz w:val="18"/>
                                <w:szCs w:val="1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764D4" id="Légende : encadrée à une bordure 20" o:spid="_x0000_s1053" type="#_x0000_t50" style="position:absolute;left:0;text-align:left;margin-left:196.7pt;margin-top:6.3pt;width:272.5pt;height:6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" adj="-4043,10060,,4740" fillcolor="#4472c4 [3204]" strokecolor="#1f3763 [1604]" strokeweight="1pt">
                <v:textbox>
                  <w:txbxContent>
                    <w:p w14:paraId="6B8B7CE4" w14:textId="0BF74D62" w:rsidR="0062478D" w:rsidRPr="005F2A09" w:rsidRDefault="0062478D" w:rsidP="005F2A09">
                      <w:pPr>
                        <w:jc w:val="both"/>
                        <w:rPr>
                          <w:sz w:val="18"/>
                          <w:szCs w:val="18"/>
                        </w:rPr>
                      </w:pPr>
                      <w:r w:rsidRPr="005F2A09">
                        <w:rPr>
                          <w:rFonts w:ascii="Century Gothic" w:hAnsi="Century Gothic"/>
                          <w:sz w:val="18"/>
                          <w:szCs w:val="18"/>
                        </w:rPr>
                        <w:t>Les communautés utilisant ces zones pour la pêche, l’agriculture et la collecte de produits forestiers non ligneux subissent des pertes de ressources et doivent s’adapter à la réduction de la qualité des eaux et de la disponibilité des habitat</w:t>
                      </w:r>
                      <w:r>
                        <w:rPr>
                          <w:rFonts w:ascii="Century Gothic" w:hAnsi="Century Gothic"/>
                          <w:sz w:val="18"/>
                          <w:szCs w:val="18"/>
                        </w:rPr>
                        <w:t>s.</w:t>
                      </w:r>
                    </w:p>
                  </w:txbxContent>
                </v:textbox>
                <o:callout v:ext="edit" minusy="t"/>
              </v:shape>
            </w:pict>
          </mc:Fallback>
        </mc:AlternateContent>
      </w:r>
    </w:p>
    <w:p w14:paraId="1611F204" w14:textId="497E2FBC" w:rsidR="00DD7650" w:rsidRDefault="00DD7650" w:rsidP="001C492F">
      <w:pPr>
        <w:pStyle w:val="NormalWeb"/>
        <w:spacing w:before="0" w:beforeAutospacing="0" w:after="0" w:afterAutospacing="0"/>
        <w:jc w:val="both"/>
        <w:rPr>
          <w:rFonts w:ascii="Century Gothic" w:hAnsi="Century Gothic"/>
          <w:b/>
          <w:bCs/>
          <w:sz w:val="22"/>
          <w:szCs w:val="22"/>
        </w:rPr>
      </w:pPr>
    </w:p>
    <w:p w14:paraId="2253CB8E" w14:textId="77777777" w:rsidR="005A2A83" w:rsidRDefault="005A2A83" w:rsidP="00DD7650">
      <w:pPr>
        <w:pStyle w:val="NormalWeb"/>
        <w:spacing w:before="0" w:beforeAutospacing="0" w:after="0" w:afterAutospacing="0"/>
        <w:jc w:val="both"/>
        <w:rPr>
          <w:rFonts w:ascii="Century Gothic" w:hAnsi="Century Gothic"/>
          <w:b/>
          <w:bCs/>
          <w:sz w:val="22"/>
          <w:szCs w:val="22"/>
        </w:rPr>
      </w:pPr>
    </w:p>
    <w:p w14:paraId="020F8718" w14:textId="1181316B" w:rsidR="00DD7650" w:rsidRPr="00203B3F" w:rsidRDefault="00103140" w:rsidP="00203B3F">
      <w:pPr>
        <w:pStyle w:val="NormalWeb"/>
        <w:spacing w:before="0" w:beforeAutospacing="0" w:after="0" w:afterAutospacing="0"/>
        <w:jc w:val="both"/>
        <w:rPr>
          <w:rFonts w:ascii="Century Gothic" w:hAnsi="Century Gothic"/>
          <w:b/>
          <w:bCs/>
          <w:sz w:val="22"/>
          <w:szCs w:val="22"/>
        </w:rPr>
      </w:pPr>
      <w:r>
        <w:rPr>
          <w:rFonts w:ascii="Century Gothic" w:hAnsi="Century Gothic"/>
          <w:b/>
          <w:bCs/>
          <w:sz w:val="22"/>
          <w:szCs w:val="22"/>
        </w:rPr>
        <w:t xml:space="preserve">            </w:t>
      </w:r>
      <w:r w:rsidR="001C492F" w:rsidRPr="008B0BCD">
        <w:rPr>
          <w:rFonts w:ascii="Century Gothic" w:hAnsi="Century Gothic"/>
          <w:b/>
          <w:bCs/>
          <w:sz w:val="22"/>
          <w:szCs w:val="22"/>
        </w:rPr>
        <w:t xml:space="preserve">Communautés locales </w:t>
      </w:r>
    </w:p>
    <w:p w14:paraId="669DD8CB" w14:textId="77777777" w:rsidR="00203B3F" w:rsidRDefault="00203B3F" w:rsidP="00DD7650">
      <w:pPr>
        <w:rPr>
          <w:rFonts w:ascii="Century Gothic" w:hAnsi="Century Gothic"/>
          <w:color w:val="4472C4" w:themeColor="accent1"/>
          <w:sz w:val="24"/>
          <w:szCs w:val="24"/>
        </w:rPr>
      </w:pPr>
    </w:p>
    <w:p w14:paraId="2DDB177A" w14:textId="77777777" w:rsidR="00203B3F" w:rsidRDefault="00203B3F" w:rsidP="00DD7650">
      <w:pPr>
        <w:rPr>
          <w:rFonts w:ascii="Century Gothic" w:hAnsi="Century Gothic"/>
          <w:color w:val="4472C4" w:themeColor="accent1"/>
          <w:sz w:val="24"/>
          <w:szCs w:val="24"/>
        </w:rPr>
      </w:pPr>
    </w:p>
    <w:p w14:paraId="4F7829A9" w14:textId="4920737E" w:rsidR="001C492F" w:rsidRPr="00E4242C" w:rsidRDefault="001C492F" w:rsidP="00DD7650">
      <w:pPr>
        <w:rPr>
          <w:rFonts w:ascii="Century Gothic" w:hAnsi="Century Gothic"/>
          <w:color w:val="4472C4" w:themeColor="accent1"/>
          <w:sz w:val="24"/>
          <w:szCs w:val="24"/>
        </w:rPr>
      </w:pPr>
      <w:r w:rsidRPr="00E4242C">
        <w:rPr>
          <w:rFonts w:ascii="Century Gothic" w:hAnsi="Century Gothic"/>
          <w:color w:val="4472C4" w:themeColor="accent1"/>
          <w:sz w:val="24"/>
          <w:szCs w:val="24"/>
        </w:rPr>
        <w:t>4. Biome Fluvial (Fleuve Sénégal)</w:t>
      </w:r>
    </w:p>
    <w:p w14:paraId="2DC313CA" w14:textId="3E6F50B6" w:rsidR="001C492F" w:rsidRPr="00E4242C" w:rsidRDefault="001C492F" w:rsidP="001C492F">
      <w:pPr>
        <w:pStyle w:val="NormalWeb"/>
        <w:spacing w:before="0" w:beforeAutospacing="0" w:after="0" w:afterAutospacing="0"/>
        <w:jc w:val="both"/>
        <w:rPr>
          <w:rFonts w:ascii="Century Gothic" w:hAnsi="Century Gothic"/>
          <w:color w:val="4472C4" w:themeColor="accent1"/>
          <w:sz w:val="22"/>
          <w:szCs w:val="22"/>
        </w:rPr>
      </w:pPr>
      <w:r w:rsidRPr="00E4242C">
        <w:rPr>
          <w:rFonts w:ascii="Century Gothic" w:hAnsi="Century Gothic"/>
          <w:color w:val="4472C4" w:themeColor="accent1"/>
          <w:sz w:val="22"/>
          <w:szCs w:val="22"/>
        </w:rPr>
        <w:t>A. Vulnérabilité au Changement Climatique</w:t>
      </w:r>
    </w:p>
    <w:p w14:paraId="584A566C" w14:textId="77777777" w:rsidR="001C492F" w:rsidRPr="009B0256" w:rsidRDefault="001C492F" w:rsidP="001C492F">
      <w:pPr>
        <w:pStyle w:val="NormalWeb"/>
        <w:spacing w:before="0" w:beforeAutospacing="0" w:after="0" w:afterAutospacing="0"/>
        <w:jc w:val="both"/>
        <w:rPr>
          <w:rFonts w:ascii="Century Gothic" w:hAnsi="Century Gothic"/>
          <w:b/>
          <w:bCs/>
        </w:rPr>
      </w:pPr>
    </w:p>
    <w:p w14:paraId="2FDB0626" w14:textId="4FE3268A" w:rsidR="001C492F" w:rsidRPr="00DB2F0F" w:rsidRDefault="001C492F" w:rsidP="001C492F">
      <w:pPr>
        <w:pStyle w:val="NormalWeb"/>
        <w:spacing w:before="0" w:beforeAutospacing="0" w:after="0" w:afterAutospacing="0"/>
        <w:jc w:val="both"/>
        <w:rPr>
          <w:rFonts w:ascii="Century Gothic" w:hAnsi="Century Gothic"/>
          <w:sz w:val="22"/>
          <w:szCs w:val="22"/>
        </w:rPr>
      </w:pPr>
      <w:r w:rsidRPr="00DB2F0F">
        <w:rPr>
          <w:rFonts w:ascii="Century Gothic" w:hAnsi="Century Gothic"/>
          <w:b/>
          <w:bCs/>
          <w:sz w:val="22"/>
          <w:szCs w:val="22"/>
        </w:rPr>
        <w:t>Régime des précipitations</w:t>
      </w:r>
      <w:r w:rsidRPr="00DB2F0F">
        <w:rPr>
          <w:rFonts w:ascii="Century Gothic" w:hAnsi="Century Gothic"/>
          <w:sz w:val="22"/>
          <w:szCs w:val="22"/>
        </w:rPr>
        <w:t xml:space="preserve"> : Le fleuve Sénégal, source principale d'eau pour une grande partie du pays, est particulièrement vulnérable aux changements des régimes de précipitations. Les sécheresses prolongées ou les crues peuvent affecter le débit du fleuve.</w:t>
      </w:r>
    </w:p>
    <w:p w14:paraId="21185DB9" w14:textId="77777777" w:rsidR="001C492F" w:rsidRPr="00DB2F0F" w:rsidRDefault="001C492F" w:rsidP="001C492F">
      <w:pPr>
        <w:pStyle w:val="NormalWeb"/>
        <w:spacing w:before="0" w:beforeAutospacing="0" w:after="0" w:afterAutospacing="0"/>
        <w:jc w:val="both"/>
        <w:rPr>
          <w:rFonts w:ascii="Century Gothic" w:hAnsi="Century Gothic"/>
          <w:b/>
          <w:bCs/>
          <w:sz w:val="22"/>
          <w:szCs w:val="22"/>
        </w:rPr>
      </w:pPr>
    </w:p>
    <w:p w14:paraId="0087AA83" w14:textId="36E2425B" w:rsidR="001C492F" w:rsidRPr="00DB2F0F" w:rsidRDefault="001C492F" w:rsidP="001C492F">
      <w:pPr>
        <w:pStyle w:val="NormalWeb"/>
        <w:spacing w:before="0" w:beforeAutospacing="0" w:after="0" w:afterAutospacing="0"/>
        <w:jc w:val="both"/>
        <w:rPr>
          <w:rFonts w:ascii="Century Gothic" w:hAnsi="Century Gothic"/>
          <w:sz w:val="22"/>
          <w:szCs w:val="22"/>
        </w:rPr>
      </w:pPr>
      <w:r w:rsidRPr="00DB2F0F">
        <w:rPr>
          <w:rFonts w:ascii="Century Gothic" w:hAnsi="Century Gothic"/>
          <w:b/>
          <w:bCs/>
          <w:sz w:val="22"/>
          <w:szCs w:val="22"/>
        </w:rPr>
        <w:t>Salinisation</w:t>
      </w:r>
      <w:r w:rsidRPr="00DB2F0F">
        <w:rPr>
          <w:rFonts w:ascii="Century Gothic" w:hAnsi="Century Gothic"/>
          <w:sz w:val="22"/>
          <w:szCs w:val="22"/>
        </w:rPr>
        <w:t xml:space="preserve"> : L'élévation du niveau de la mer peut entraîner une salinisation accrue des eaux du fleuve, réduisant la qualité de l'eau pour l'agriculture, la consommation humaine et la faune.</w:t>
      </w:r>
    </w:p>
    <w:p w14:paraId="5900BA32" w14:textId="77777777" w:rsidR="001C492F" w:rsidRPr="009B0256" w:rsidRDefault="001C492F" w:rsidP="001C492F">
      <w:pPr>
        <w:pStyle w:val="NormalWeb"/>
        <w:spacing w:before="0" w:beforeAutospacing="0" w:after="0" w:afterAutospacing="0"/>
        <w:jc w:val="both"/>
        <w:rPr>
          <w:rFonts w:ascii="Century Gothic" w:hAnsi="Century Gothic"/>
        </w:rPr>
      </w:pPr>
    </w:p>
    <w:p w14:paraId="6FA51ABC" w14:textId="3ED052AE" w:rsidR="001C492F" w:rsidRPr="00E4242C" w:rsidRDefault="001C492F" w:rsidP="001C492F">
      <w:pPr>
        <w:pStyle w:val="NormalWeb"/>
        <w:spacing w:before="0" w:beforeAutospacing="0" w:after="0" w:afterAutospacing="0"/>
        <w:jc w:val="both"/>
        <w:rPr>
          <w:rFonts w:ascii="Century Gothic" w:hAnsi="Century Gothic"/>
          <w:color w:val="4472C4" w:themeColor="accent1"/>
        </w:rPr>
      </w:pPr>
      <w:r w:rsidRPr="00E4242C">
        <w:rPr>
          <w:rFonts w:ascii="Century Gothic" w:hAnsi="Century Gothic"/>
          <w:color w:val="4472C4" w:themeColor="accent1"/>
        </w:rPr>
        <w:t>B. Pertes et Préjudices</w:t>
      </w:r>
    </w:p>
    <w:p w14:paraId="29C93E7E" w14:textId="6D9CA224" w:rsidR="001C492F" w:rsidRPr="009B0256" w:rsidRDefault="00CC36ED" w:rsidP="001C492F">
      <w:pPr>
        <w:pStyle w:val="NormalWeb"/>
        <w:spacing w:before="0" w:beforeAutospacing="0" w:after="0" w:afterAutospacing="0"/>
        <w:jc w:val="both"/>
        <w:rPr>
          <w:rFonts w:ascii="Century Gothic" w:hAnsi="Century Gothic"/>
          <w:b/>
          <w:bCs/>
        </w:rPr>
      </w:pPr>
      <w:r>
        <w:rPr>
          <w:rFonts w:ascii="Century Gothic" w:hAnsi="Century Gothic"/>
          <w:b/>
          <w:bCs/>
          <w:noProof/>
          <w:lang w:val="fr-FR" w:eastAsia="fr-FR"/>
        </w:rPr>
        <mc:AlternateContent>
          <mc:Choice Requires="wps">
            <w:drawing>
              <wp:anchor distT="0" distB="0" distL="114300" distR="114300" simplePos="0" relativeHeight="251664384" behindDoc="0" locked="0" layoutInCell="1" allowOverlap="1" wp14:anchorId="05282D85" wp14:editId="0985CA7C">
                <wp:simplePos x="0" y="0"/>
                <wp:positionH relativeFrom="column">
                  <wp:posOffset>2433127</wp:posOffset>
                </wp:positionH>
                <wp:positionV relativeFrom="paragraph">
                  <wp:posOffset>76614</wp:posOffset>
                </wp:positionV>
                <wp:extent cx="3439160" cy="612140"/>
                <wp:effectExtent l="876300" t="38100" r="27940" b="54610"/>
                <wp:wrapNone/>
                <wp:docPr id="21" name="Légende : encadrée à une bordure 21"/>
                <wp:cNvGraphicFramePr/>
                <a:graphic xmlns:a="http://schemas.openxmlformats.org/drawingml/2006/main">
                  <a:graphicData uri="http://schemas.microsoft.com/office/word/2010/wordprocessingShape">
                    <wps:wsp>
                      <wps:cNvSpPr/>
                      <wps:spPr>
                        <a:xfrm>
                          <a:off x="0" y="0"/>
                          <a:ext cx="3439160" cy="612140"/>
                        </a:xfrm>
                        <a:prstGeom prst="accentBorderCallout1">
                          <a:avLst>
                            <a:gd name="adj1" fmla="val 18750"/>
                            <a:gd name="adj2" fmla="val -8333"/>
                            <a:gd name="adj3" fmla="val 67076"/>
                            <a:gd name="adj4" fmla="val -2511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5627E5" w14:textId="70720026" w:rsidR="0062478D" w:rsidRPr="00CC36ED" w:rsidRDefault="0062478D" w:rsidP="00CC36ED">
                            <w:pPr>
                              <w:jc w:val="both"/>
                              <w:rPr>
                                <w:sz w:val="18"/>
                                <w:szCs w:val="18"/>
                              </w:rPr>
                            </w:pPr>
                            <w:r w:rsidRPr="00CC36ED">
                              <w:rPr>
                                <w:rFonts w:ascii="Century Gothic" w:hAnsi="Century Gothic"/>
                                <w:sz w:val="18"/>
                                <w:szCs w:val="18"/>
                              </w:rPr>
                              <w:t>Les écosystèmes fluviaux et les espèces qui en dépendent (poissons, oiseaux) sont menacés par des changements dans la qualité et la quantité d'eau.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282D85" id="Légende : encadrée à une bordure 21" o:spid="_x0000_s1054" type="#_x0000_t50" style="position:absolute;left:0;text-align:left;margin-left:191.6pt;margin-top:6.05pt;width:270.8pt;height:48.2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" adj="-5425,14488" fillcolor="#4472c4 [3204]" strokecolor="#1f3763 [1604]" strokeweight="1pt">
                <v:textbox>
                  <w:txbxContent>
                    <w:p w14:paraId="1A5627E5" w14:textId="70720026" w:rsidR="0062478D" w:rsidRPr="00CC36ED" w:rsidRDefault="0062478D" w:rsidP="00CC36ED">
                      <w:pPr>
                        <w:jc w:val="both"/>
                        <w:rPr>
                          <w:sz w:val="18"/>
                          <w:szCs w:val="18"/>
                        </w:rPr>
                      </w:pPr>
                      <w:r w:rsidRPr="00CC36ED">
                        <w:rPr>
                          <w:rFonts w:ascii="Century Gothic" w:hAnsi="Century Gothic"/>
                          <w:sz w:val="18"/>
                          <w:szCs w:val="18"/>
                        </w:rPr>
                        <w:t>Les écosystèmes fluviaux et les espèces qui en dépendent (poissons, oiseaux) sont menacés par des changements dans la qualité et la quantité d'eau.</w:t>
                      </w:r>
                    </w:p>
                  </w:txbxContent>
                </v:textbox>
                <o:callout v:ext="edit" minusy="t"/>
              </v:shape>
            </w:pict>
          </mc:Fallback>
        </mc:AlternateContent>
      </w:r>
    </w:p>
    <w:p w14:paraId="349C5B67" w14:textId="77777777" w:rsidR="000358AF" w:rsidRDefault="000358AF" w:rsidP="008B0BCD">
      <w:pPr>
        <w:pStyle w:val="NormalWeb"/>
        <w:spacing w:before="0" w:beforeAutospacing="0" w:after="0" w:afterAutospacing="0"/>
        <w:jc w:val="both"/>
        <w:rPr>
          <w:rFonts w:ascii="Century Gothic" w:hAnsi="Century Gothic"/>
          <w:b/>
          <w:bCs/>
          <w:sz w:val="22"/>
          <w:szCs w:val="22"/>
        </w:rPr>
      </w:pPr>
    </w:p>
    <w:p w14:paraId="473A4F46" w14:textId="77777777" w:rsidR="000358AF" w:rsidRDefault="000358AF" w:rsidP="008B0BCD">
      <w:pPr>
        <w:pStyle w:val="NormalWeb"/>
        <w:spacing w:before="0" w:beforeAutospacing="0" w:after="0" w:afterAutospacing="0"/>
        <w:jc w:val="both"/>
        <w:rPr>
          <w:rFonts w:ascii="Century Gothic" w:hAnsi="Century Gothic"/>
          <w:b/>
          <w:bCs/>
          <w:sz w:val="22"/>
          <w:szCs w:val="22"/>
        </w:rPr>
      </w:pPr>
    </w:p>
    <w:p w14:paraId="328817C4" w14:textId="767B72F8" w:rsidR="008B0BCD" w:rsidRPr="009B0256" w:rsidRDefault="000358AF" w:rsidP="008B0BCD">
      <w:pPr>
        <w:pStyle w:val="NormalWeb"/>
        <w:spacing w:before="0" w:beforeAutospacing="0" w:after="0" w:afterAutospacing="0"/>
        <w:jc w:val="both"/>
        <w:rPr>
          <w:rFonts w:ascii="Century Gothic" w:hAnsi="Century Gothic"/>
        </w:rPr>
      </w:pPr>
      <w:r>
        <w:rPr>
          <w:rFonts w:ascii="Century Gothic" w:hAnsi="Century Gothic"/>
          <w:b/>
          <w:bCs/>
          <w:sz w:val="22"/>
          <w:szCs w:val="22"/>
        </w:rPr>
        <w:t xml:space="preserve">                    </w:t>
      </w:r>
      <w:r w:rsidR="001C492F" w:rsidRPr="008B0BCD">
        <w:rPr>
          <w:rFonts w:ascii="Century Gothic" w:hAnsi="Century Gothic"/>
          <w:b/>
          <w:bCs/>
          <w:sz w:val="22"/>
          <w:szCs w:val="22"/>
        </w:rPr>
        <w:t>Biodiversité</w:t>
      </w:r>
      <w:r w:rsidR="001C492F" w:rsidRPr="009B0256">
        <w:rPr>
          <w:rFonts w:ascii="Century Gothic" w:hAnsi="Century Gothic"/>
        </w:rPr>
        <w:t xml:space="preserve"> </w:t>
      </w:r>
    </w:p>
    <w:p w14:paraId="4A1350CF" w14:textId="6E5006D8" w:rsidR="001C492F" w:rsidRPr="009B0256" w:rsidRDefault="001C492F" w:rsidP="001C492F">
      <w:pPr>
        <w:pStyle w:val="NormalWeb"/>
        <w:spacing w:before="0" w:beforeAutospacing="0" w:after="0" w:afterAutospacing="0"/>
        <w:jc w:val="both"/>
        <w:rPr>
          <w:rFonts w:ascii="Century Gothic" w:hAnsi="Century Gothic"/>
          <w:b/>
          <w:bCs/>
        </w:rPr>
      </w:pPr>
    </w:p>
    <w:p w14:paraId="4C880DD7" w14:textId="64AD0EAC" w:rsidR="000358AF" w:rsidRDefault="000358AF" w:rsidP="008B0BCD">
      <w:pPr>
        <w:pStyle w:val="NormalWeb"/>
        <w:spacing w:before="0" w:beforeAutospacing="0" w:after="0" w:afterAutospacing="0"/>
        <w:jc w:val="both"/>
        <w:rPr>
          <w:rFonts w:ascii="Century Gothic" w:hAnsi="Century Gothic"/>
          <w:b/>
          <w:bCs/>
          <w:sz w:val="22"/>
          <w:szCs w:val="22"/>
        </w:rPr>
      </w:pPr>
      <w:r w:rsidRPr="008B0BCD">
        <w:rPr>
          <w:rFonts w:ascii="Century Gothic" w:hAnsi="Century Gothic"/>
          <w:b/>
          <w:bCs/>
          <w:noProof/>
          <w:sz w:val="22"/>
          <w:szCs w:val="22"/>
          <w:lang w:val="fr-FR" w:eastAsia="fr-FR"/>
        </w:rPr>
        <mc:AlternateContent>
          <mc:Choice Requires="wps">
            <w:drawing>
              <wp:anchor distT="0" distB="0" distL="114300" distR="114300" simplePos="0" relativeHeight="251666432" behindDoc="0" locked="0" layoutInCell="1" allowOverlap="1" wp14:anchorId="59919C7B" wp14:editId="6CB5AD84">
                <wp:simplePos x="0" y="0"/>
                <wp:positionH relativeFrom="column">
                  <wp:posOffset>2438593</wp:posOffset>
                </wp:positionH>
                <wp:positionV relativeFrom="paragraph">
                  <wp:posOffset>72142</wp:posOffset>
                </wp:positionV>
                <wp:extent cx="3437255" cy="690880"/>
                <wp:effectExtent l="762000" t="38100" r="10795" b="52070"/>
                <wp:wrapNone/>
                <wp:docPr id="22" name="Légende : encadrée à une bordure 22"/>
                <wp:cNvGraphicFramePr/>
                <a:graphic xmlns:a="http://schemas.openxmlformats.org/drawingml/2006/main">
                  <a:graphicData uri="http://schemas.microsoft.com/office/word/2010/wordprocessingShape">
                    <wps:wsp>
                      <wps:cNvSpPr/>
                      <wps:spPr>
                        <a:xfrm>
                          <a:off x="0" y="0"/>
                          <a:ext cx="3437255" cy="690880"/>
                        </a:xfrm>
                        <a:prstGeom prst="accentBorderCallout1">
                          <a:avLst>
                            <a:gd name="adj1" fmla="val 18750"/>
                            <a:gd name="adj2" fmla="val -8333"/>
                            <a:gd name="adj3" fmla="val 58154"/>
                            <a:gd name="adj4" fmla="val -2169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492615" w14:textId="77777777" w:rsidR="0062478D" w:rsidRPr="008B0BCD" w:rsidRDefault="0062478D" w:rsidP="008B0BCD">
                            <w:pPr>
                              <w:pStyle w:val="NormalWeb"/>
                              <w:spacing w:before="0" w:beforeAutospacing="0" w:after="0" w:afterAutospacing="0"/>
                              <w:jc w:val="both"/>
                              <w:rPr>
                                <w:rFonts w:ascii="Century Gothic" w:hAnsi="Century Gothic"/>
                                <w:sz w:val="18"/>
                                <w:szCs w:val="18"/>
                              </w:rPr>
                            </w:pPr>
                            <w:r w:rsidRPr="008B0BCD">
                              <w:rPr>
                                <w:rFonts w:ascii="Century Gothic" w:hAnsi="Century Gothic"/>
                                <w:sz w:val="18"/>
                                <w:szCs w:val="18"/>
                              </w:rPr>
                              <w:t>Les agriculteurs qui dépendent de l’irrigation du fleuve Sénégal pour leurs cultures font face à des pénuries d'eau, à la salinisation des terres et à une diminution des rendements agricoles.</w:t>
                            </w:r>
                          </w:p>
                          <w:p w14:paraId="16AF66DF" w14:textId="77777777" w:rsidR="0062478D" w:rsidRPr="008B0BCD" w:rsidRDefault="0062478D" w:rsidP="00CC36ED">
                            <w:pPr>
                              <w:jc w:val="center"/>
                              <w:rPr>
                                <w:sz w:val="16"/>
                                <w:szCs w:val="16"/>
                                <w:lang w:val="wo-S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19C7B" id="Légende : encadrée à une bordure 22" o:spid="_x0000_s1055" type="#_x0000_t50" style="position:absolute;left:0;text-align:left;margin-left:192pt;margin-top:5.7pt;width:270.65pt;height:5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" adj="-4687,12561" fillcolor="#4472c4 [3204]" strokecolor="#1f3763 [1604]" strokeweight="1pt">
                <v:textbox>
                  <w:txbxContent>
                    <w:p w14:paraId="36492615" w14:textId="77777777" w:rsidR="0062478D" w:rsidRPr="008B0BCD" w:rsidRDefault="0062478D" w:rsidP="008B0BCD">
                      <w:pPr>
                        <w:pStyle w:val="NormalWeb"/>
                        <w:spacing w:before="0" w:beforeAutospacing="0" w:after="0" w:afterAutospacing="0"/>
                        <w:jc w:val="both"/>
                        <w:rPr>
                          <w:rFonts w:ascii="Century Gothic" w:hAnsi="Century Gothic"/>
                          <w:sz w:val="18"/>
                          <w:szCs w:val="18"/>
                        </w:rPr>
                      </w:pPr>
                      <w:r w:rsidRPr="008B0BCD">
                        <w:rPr>
                          <w:rFonts w:ascii="Century Gothic" w:hAnsi="Century Gothic"/>
                          <w:sz w:val="18"/>
                          <w:szCs w:val="18"/>
                        </w:rPr>
                        <w:t>Les agriculteurs qui dépendent de l’irrigation du fleuve Sénégal pour leurs cultures font face à des pénuries d'eau, à la salinisation des terres et à une diminution des rendements agricoles.</w:t>
                      </w:r>
                    </w:p>
                    <w:p w14:paraId="16AF66DF" w14:textId="77777777" w:rsidR="0062478D" w:rsidRPr="008B0BCD" w:rsidRDefault="0062478D" w:rsidP="00CC36ED">
                      <w:pPr>
                        <w:jc w:val="center"/>
                        <w:rPr>
                          <w:sz w:val="16"/>
                          <w:szCs w:val="16"/>
                          <w:lang w:val="wo-SN"/>
                        </w:rPr>
                      </w:pPr>
                    </w:p>
                  </w:txbxContent>
                </v:textbox>
                <o:callout v:ext="edit" minusy="t"/>
              </v:shape>
            </w:pict>
          </mc:Fallback>
        </mc:AlternateContent>
      </w:r>
    </w:p>
    <w:p w14:paraId="66CDA41F" w14:textId="3EC9F447" w:rsidR="000358AF" w:rsidRDefault="000358AF" w:rsidP="008B0BCD">
      <w:pPr>
        <w:pStyle w:val="NormalWeb"/>
        <w:spacing w:before="0" w:beforeAutospacing="0" w:after="0" w:afterAutospacing="0"/>
        <w:jc w:val="both"/>
        <w:rPr>
          <w:rFonts w:ascii="Century Gothic" w:hAnsi="Century Gothic"/>
          <w:b/>
          <w:bCs/>
          <w:sz w:val="22"/>
          <w:szCs w:val="22"/>
        </w:rPr>
      </w:pPr>
    </w:p>
    <w:p w14:paraId="6F1A5AC1" w14:textId="1921BE88" w:rsidR="000358AF" w:rsidRDefault="000358AF" w:rsidP="008B0BCD">
      <w:pPr>
        <w:pStyle w:val="NormalWeb"/>
        <w:spacing w:before="0" w:beforeAutospacing="0" w:after="0" w:afterAutospacing="0"/>
        <w:jc w:val="both"/>
        <w:rPr>
          <w:rFonts w:ascii="Century Gothic" w:hAnsi="Century Gothic"/>
          <w:b/>
          <w:bCs/>
          <w:sz w:val="22"/>
          <w:szCs w:val="22"/>
        </w:rPr>
      </w:pPr>
    </w:p>
    <w:p w14:paraId="743C921B" w14:textId="23965FE0" w:rsidR="00B97710" w:rsidRPr="009B0256" w:rsidRDefault="001C492F" w:rsidP="008B0BCD">
      <w:pPr>
        <w:pStyle w:val="NormalWeb"/>
        <w:spacing w:before="0" w:beforeAutospacing="0" w:after="0" w:afterAutospacing="0"/>
        <w:jc w:val="both"/>
        <w:rPr>
          <w:rFonts w:ascii="Century Gothic" w:hAnsi="Century Gothic"/>
        </w:rPr>
      </w:pPr>
      <w:r w:rsidRPr="008B0BCD">
        <w:rPr>
          <w:rFonts w:ascii="Century Gothic" w:hAnsi="Century Gothic"/>
          <w:b/>
          <w:bCs/>
          <w:sz w:val="22"/>
          <w:szCs w:val="22"/>
        </w:rPr>
        <w:t>Communautés agricoles</w:t>
      </w:r>
      <w:r w:rsidRPr="009B0256">
        <w:rPr>
          <w:rFonts w:ascii="Century Gothic" w:hAnsi="Century Gothic"/>
        </w:rPr>
        <w:t xml:space="preserve"> </w:t>
      </w:r>
    </w:p>
    <w:p w14:paraId="60541881" w14:textId="77777777" w:rsidR="00DD7650" w:rsidRDefault="00DD7650" w:rsidP="00D6295F">
      <w:pPr>
        <w:rPr>
          <w:rFonts w:ascii="Century Gothic" w:hAnsi="Century Gothic"/>
          <w:b/>
          <w:bCs/>
          <w:color w:val="4472C4" w:themeColor="accent1"/>
          <w:sz w:val="24"/>
          <w:szCs w:val="24"/>
        </w:rPr>
      </w:pPr>
    </w:p>
    <w:p w14:paraId="1472AB1A" w14:textId="444D30C0" w:rsidR="001C492F" w:rsidRPr="00E4242C" w:rsidRDefault="001C492F" w:rsidP="00D6295F">
      <w:pPr>
        <w:rPr>
          <w:rFonts w:ascii="Century Gothic" w:hAnsi="Century Gothic"/>
          <w:color w:val="4472C4" w:themeColor="accent1"/>
          <w:sz w:val="24"/>
          <w:szCs w:val="24"/>
        </w:rPr>
      </w:pPr>
      <w:r w:rsidRPr="00E4242C">
        <w:rPr>
          <w:rFonts w:ascii="Century Gothic" w:hAnsi="Century Gothic"/>
          <w:color w:val="4472C4" w:themeColor="accent1"/>
          <w:sz w:val="24"/>
          <w:szCs w:val="24"/>
        </w:rPr>
        <w:t>5. Biome Forestier (Forêts sahéliennes et brousses)</w:t>
      </w:r>
    </w:p>
    <w:p w14:paraId="69603BB7" w14:textId="5DAEC2C3" w:rsidR="001C492F" w:rsidRPr="00E4242C" w:rsidRDefault="001C492F" w:rsidP="001C492F">
      <w:pPr>
        <w:pStyle w:val="NormalWeb"/>
        <w:spacing w:before="0" w:beforeAutospacing="0" w:after="0" w:afterAutospacing="0"/>
        <w:jc w:val="both"/>
        <w:rPr>
          <w:rFonts w:ascii="Century Gothic" w:hAnsi="Century Gothic"/>
          <w:color w:val="4472C4" w:themeColor="accent1"/>
          <w:sz w:val="22"/>
          <w:szCs w:val="22"/>
        </w:rPr>
      </w:pPr>
      <w:r w:rsidRPr="00E4242C">
        <w:rPr>
          <w:rFonts w:ascii="Century Gothic" w:hAnsi="Century Gothic"/>
          <w:color w:val="4472C4" w:themeColor="accent1"/>
          <w:sz w:val="22"/>
          <w:szCs w:val="22"/>
        </w:rPr>
        <w:t>A. Vulnérabilité au Changement Climatique</w:t>
      </w:r>
    </w:p>
    <w:p w14:paraId="351F671A" w14:textId="77777777" w:rsidR="001C492F" w:rsidRPr="009B0256" w:rsidRDefault="001C492F" w:rsidP="001C492F">
      <w:pPr>
        <w:pStyle w:val="NormalWeb"/>
        <w:spacing w:before="0" w:beforeAutospacing="0" w:after="0" w:afterAutospacing="0"/>
        <w:jc w:val="both"/>
        <w:rPr>
          <w:rFonts w:ascii="Century Gothic" w:hAnsi="Century Gothic"/>
          <w:b/>
          <w:bCs/>
        </w:rPr>
      </w:pPr>
    </w:p>
    <w:p w14:paraId="2BDFDB16" w14:textId="0E1ACC61" w:rsidR="001C492F" w:rsidRPr="00DB2F0F" w:rsidRDefault="001C492F" w:rsidP="001C492F">
      <w:pPr>
        <w:pStyle w:val="NormalWeb"/>
        <w:spacing w:before="0" w:beforeAutospacing="0" w:after="0" w:afterAutospacing="0"/>
        <w:jc w:val="both"/>
        <w:rPr>
          <w:rFonts w:ascii="Century Gothic" w:hAnsi="Century Gothic"/>
          <w:sz w:val="22"/>
          <w:szCs w:val="22"/>
        </w:rPr>
      </w:pPr>
      <w:r w:rsidRPr="00DB2F0F">
        <w:rPr>
          <w:rFonts w:ascii="Century Gothic" w:hAnsi="Century Gothic"/>
          <w:b/>
          <w:bCs/>
          <w:sz w:val="22"/>
          <w:szCs w:val="22"/>
        </w:rPr>
        <w:t>Aridité croissante</w:t>
      </w:r>
      <w:r w:rsidRPr="00DB2F0F">
        <w:rPr>
          <w:rFonts w:ascii="Century Gothic" w:hAnsi="Century Gothic"/>
          <w:sz w:val="22"/>
          <w:szCs w:val="22"/>
        </w:rPr>
        <w:t xml:space="preserve"> : Les forêts sahéliennes de la Mauritanie, comprenant des formations végétales de type savane et arbustes, subissent l’intensification de la sécheresse, ce qui compromet leur régénération.</w:t>
      </w:r>
    </w:p>
    <w:p w14:paraId="2848BA91" w14:textId="77777777" w:rsidR="001C492F" w:rsidRPr="00DB2F0F" w:rsidRDefault="001C492F" w:rsidP="001C492F">
      <w:pPr>
        <w:pStyle w:val="NormalWeb"/>
        <w:spacing w:before="0" w:beforeAutospacing="0" w:after="0" w:afterAutospacing="0"/>
        <w:jc w:val="both"/>
        <w:rPr>
          <w:rFonts w:ascii="Century Gothic" w:hAnsi="Century Gothic"/>
          <w:b/>
          <w:bCs/>
          <w:sz w:val="22"/>
          <w:szCs w:val="22"/>
        </w:rPr>
      </w:pPr>
    </w:p>
    <w:p w14:paraId="45E49B48" w14:textId="10C31D53" w:rsidR="001C492F" w:rsidRPr="00DB2F0F" w:rsidRDefault="001C492F" w:rsidP="001C492F">
      <w:pPr>
        <w:pStyle w:val="NormalWeb"/>
        <w:spacing w:before="0" w:beforeAutospacing="0" w:after="0" w:afterAutospacing="0"/>
        <w:jc w:val="both"/>
        <w:rPr>
          <w:rFonts w:ascii="Century Gothic" w:hAnsi="Century Gothic"/>
          <w:sz w:val="22"/>
          <w:szCs w:val="22"/>
        </w:rPr>
      </w:pPr>
      <w:r w:rsidRPr="00DB2F0F">
        <w:rPr>
          <w:rFonts w:ascii="Century Gothic" w:hAnsi="Century Gothic"/>
          <w:b/>
          <w:bCs/>
          <w:sz w:val="22"/>
          <w:szCs w:val="22"/>
        </w:rPr>
        <w:t>Déforestation et érosion des sols</w:t>
      </w:r>
      <w:r w:rsidRPr="00DB2F0F">
        <w:rPr>
          <w:rFonts w:ascii="Century Gothic" w:hAnsi="Century Gothic"/>
          <w:sz w:val="22"/>
          <w:szCs w:val="22"/>
        </w:rPr>
        <w:t xml:space="preserve"> : La déforestation, associée à des conditions climatiques de plus en plus arides, entraîne une dégradation des sols et une perte de la biodiversité.</w:t>
      </w:r>
    </w:p>
    <w:p w14:paraId="0E9A7FC7" w14:textId="77777777" w:rsidR="001C492F" w:rsidRPr="009B0256" w:rsidRDefault="001C492F" w:rsidP="001C492F">
      <w:pPr>
        <w:pStyle w:val="NormalWeb"/>
        <w:spacing w:before="0" w:beforeAutospacing="0" w:after="0" w:afterAutospacing="0"/>
        <w:jc w:val="both"/>
        <w:rPr>
          <w:rFonts w:ascii="Century Gothic" w:hAnsi="Century Gothic"/>
        </w:rPr>
      </w:pPr>
    </w:p>
    <w:p w14:paraId="6E25ED26" w14:textId="209BA876" w:rsidR="001C492F" w:rsidRPr="00FF0E7B" w:rsidRDefault="001C492F" w:rsidP="001C492F">
      <w:pPr>
        <w:pStyle w:val="NormalWeb"/>
        <w:spacing w:before="0" w:beforeAutospacing="0" w:after="0" w:afterAutospacing="0"/>
        <w:jc w:val="both"/>
        <w:rPr>
          <w:rFonts w:ascii="Century Gothic" w:hAnsi="Century Gothic"/>
          <w:color w:val="4472C4" w:themeColor="accent1"/>
        </w:rPr>
      </w:pPr>
      <w:r w:rsidRPr="00FF0E7B">
        <w:rPr>
          <w:rFonts w:ascii="Century Gothic" w:hAnsi="Century Gothic"/>
          <w:color w:val="4472C4" w:themeColor="accent1"/>
        </w:rPr>
        <w:t>B. Pertes et Préjudices</w:t>
      </w:r>
    </w:p>
    <w:p w14:paraId="2E9EE3F3" w14:textId="77777777" w:rsidR="001C492F" w:rsidRPr="009B0256" w:rsidRDefault="001C492F" w:rsidP="001C492F">
      <w:pPr>
        <w:pStyle w:val="NormalWeb"/>
        <w:spacing w:before="0" w:beforeAutospacing="0" w:after="0" w:afterAutospacing="0"/>
        <w:jc w:val="both"/>
        <w:rPr>
          <w:rFonts w:ascii="Century Gothic" w:hAnsi="Century Gothic"/>
          <w:b/>
          <w:bCs/>
        </w:rPr>
      </w:pPr>
    </w:p>
    <w:p w14:paraId="4007BC65" w14:textId="33E7518D" w:rsidR="001C492F" w:rsidRPr="008B0BCD" w:rsidRDefault="008B0BCD" w:rsidP="008B0BCD">
      <w:pPr>
        <w:pStyle w:val="NormalWeb"/>
        <w:spacing w:before="0" w:beforeAutospacing="0" w:after="0" w:afterAutospacing="0"/>
        <w:jc w:val="both"/>
        <w:rPr>
          <w:rFonts w:ascii="Century Gothic" w:hAnsi="Century Gothic"/>
          <w:b/>
          <w:bCs/>
          <w:sz w:val="22"/>
          <w:szCs w:val="22"/>
        </w:rPr>
      </w:pPr>
      <w:r w:rsidRPr="008B0BCD">
        <w:rPr>
          <w:rFonts w:ascii="Century Gothic" w:hAnsi="Century Gothic"/>
          <w:b/>
          <w:bCs/>
          <w:noProof/>
          <w:sz w:val="22"/>
          <w:szCs w:val="22"/>
          <w:lang w:val="fr-FR" w:eastAsia="fr-FR"/>
        </w:rPr>
        <mc:AlternateContent>
          <mc:Choice Requires="wps">
            <w:drawing>
              <wp:anchor distT="0" distB="0" distL="114300" distR="114300" simplePos="0" relativeHeight="251667456" behindDoc="0" locked="0" layoutInCell="1" allowOverlap="1" wp14:anchorId="2DDE826C" wp14:editId="10CEA32F">
                <wp:simplePos x="0" y="0"/>
                <wp:positionH relativeFrom="column">
                  <wp:posOffset>1971262</wp:posOffset>
                </wp:positionH>
                <wp:positionV relativeFrom="paragraph">
                  <wp:posOffset>57889</wp:posOffset>
                </wp:positionV>
                <wp:extent cx="3785870" cy="719225"/>
                <wp:effectExtent l="952500" t="38100" r="24130" b="62230"/>
                <wp:wrapNone/>
                <wp:docPr id="23" name="Légende : encadrée à une bordure 23"/>
                <wp:cNvGraphicFramePr/>
                <a:graphic xmlns:a="http://schemas.openxmlformats.org/drawingml/2006/main">
                  <a:graphicData uri="http://schemas.microsoft.com/office/word/2010/wordprocessingShape">
                    <wps:wsp>
                      <wps:cNvSpPr/>
                      <wps:spPr>
                        <a:xfrm>
                          <a:off x="0" y="0"/>
                          <a:ext cx="3785870" cy="719225"/>
                        </a:xfrm>
                        <a:prstGeom prst="accentBorderCallout1">
                          <a:avLst>
                            <a:gd name="adj1" fmla="val 18750"/>
                            <a:gd name="adj2" fmla="val -8333"/>
                            <a:gd name="adj3" fmla="val 5278"/>
                            <a:gd name="adj4" fmla="val -2484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5A3D0D" w14:textId="77777777" w:rsidR="0062478D" w:rsidRPr="008B0BCD" w:rsidRDefault="0062478D" w:rsidP="008B0BCD">
                            <w:pPr>
                              <w:pStyle w:val="NormalWeb"/>
                              <w:spacing w:before="0" w:beforeAutospacing="0" w:after="0" w:afterAutospacing="0"/>
                              <w:jc w:val="both"/>
                              <w:rPr>
                                <w:rFonts w:ascii="Century Gothic" w:hAnsi="Century Gothic"/>
                                <w:sz w:val="18"/>
                                <w:szCs w:val="18"/>
                              </w:rPr>
                            </w:pPr>
                            <w:r w:rsidRPr="008B0BCD">
                              <w:rPr>
                                <w:rFonts w:ascii="Century Gothic" w:hAnsi="Century Gothic"/>
                                <w:sz w:val="18"/>
                                <w:szCs w:val="18"/>
                              </w:rPr>
                              <w:t>La déforestation et les sécheresses prolongées nuisent aux espèces végétales et animales de ces écosystèmes. Certaines espèces d’arbres et d'animaux peuvent disparaître en raison des conditions climatiques extrêmes.</w:t>
                            </w:r>
                          </w:p>
                          <w:p w14:paraId="4DC11F91" w14:textId="77777777" w:rsidR="0062478D" w:rsidRPr="008B0BCD" w:rsidRDefault="0062478D" w:rsidP="008B0BCD">
                            <w:pPr>
                              <w:jc w:val="both"/>
                              <w:rPr>
                                <w:sz w:val="16"/>
                                <w:szCs w:val="16"/>
                                <w:lang w:val="wo-S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E826C" id="Légende : encadrée à une bordure 23" o:spid="_x0000_s1056" type="#_x0000_t50" style="position:absolute;left:0;text-align:left;margin-left:155.2pt;margin-top:4.55pt;width:298.1pt;height:5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" adj="-5367,1140" fillcolor="#4472c4 [3204]" strokecolor="#1f3763 [1604]" strokeweight="1pt">
                <v:textbox>
                  <w:txbxContent>
                    <w:p w14:paraId="6C5A3D0D" w14:textId="77777777" w:rsidR="0062478D" w:rsidRPr="008B0BCD" w:rsidRDefault="0062478D" w:rsidP="008B0BCD">
                      <w:pPr>
                        <w:pStyle w:val="NormalWeb"/>
                        <w:spacing w:before="0" w:beforeAutospacing="0" w:after="0" w:afterAutospacing="0"/>
                        <w:jc w:val="both"/>
                        <w:rPr>
                          <w:rFonts w:ascii="Century Gothic" w:hAnsi="Century Gothic"/>
                          <w:sz w:val="18"/>
                          <w:szCs w:val="18"/>
                        </w:rPr>
                      </w:pPr>
                      <w:r w:rsidRPr="008B0BCD">
                        <w:rPr>
                          <w:rFonts w:ascii="Century Gothic" w:hAnsi="Century Gothic"/>
                          <w:sz w:val="18"/>
                          <w:szCs w:val="18"/>
                        </w:rPr>
                        <w:t>La déforestation et les sécheresses prolongées nuisent aux espèces végétales et animales de ces écosystèmes. Certaines espèces d’arbres et d'animaux peuvent disparaître en raison des conditions climatiques extrêmes.</w:t>
                      </w:r>
                    </w:p>
                    <w:p w14:paraId="4DC11F91" w14:textId="77777777" w:rsidR="0062478D" w:rsidRPr="008B0BCD" w:rsidRDefault="0062478D" w:rsidP="008B0BCD">
                      <w:pPr>
                        <w:jc w:val="both"/>
                        <w:rPr>
                          <w:sz w:val="16"/>
                          <w:szCs w:val="16"/>
                          <w:lang w:val="wo-SN"/>
                        </w:rPr>
                      </w:pPr>
                    </w:p>
                  </w:txbxContent>
                </v:textbox>
              </v:shape>
            </w:pict>
          </mc:Fallback>
        </mc:AlternateContent>
      </w:r>
      <w:r w:rsidR="00DD7650">
        <w:rPr>
          <w:rFonts w:ascii="Century Gothic" w:hAnsi="Century Gothic"/>
          <w:b/>
          <w:bCs/>
          <w:sz w:val="22"/>
          <w:szCs w:val="22"/>
        </w:rPr>
        <w:t xml:space="preserve">      </w:t>
      </w:r>
      <w:r w:rsidR="001C492F" w:rsidRPr="008B0BCD">
        <w:rPr>
          <w:rFonts w:ascii="Century Gothic" w:hAnsi="Century Gothic"/>
          <w:b/>
          <w:bCs/>
          <w:sz w:val="22"/>
          <w:szCs w:val="22"/>
        </w:rPr>
        <w:t>Biodiversité</w:t>
      </w:r>
    </w:p>
    <w:p w14:paraId="0FE750B3" w14:textId="4EAF40A1" w:rsidR="001C492F" w:rsidRPr="009B0256" w:rsidRDefault="001C492F" w:rsidP="001C492F">
      <w:pPr>
        <w:pStyle w:val="NormalWeb"/>
        <w:spacing w:before="0" w:beforeAutospacing="0" w:after="0" w:afterAutospacing="0"/>
        <w:jc w:val="both"/>
        <w:rPr>
          <w:rFonts w:ascii="Century Gothic" w:hAnsi="Century Gothic"/>
          <w:b/>
          <w:bCs/>
        </w:rPr>
      </w:pPr>
    </w:p>
    <w:p w14:paraId="322E812E" w14:textId="77777777" w:rsidR="008B0BCD" w:rsidRDefault="008B0BCD" w:rsidP="001C492F">
      <w:pPr>
        <w:pStyle w:val="NormalWeb"/>
        <w:spacing w:before="0" w:beforeAutospacing="0" w:after="0" w:afterAutospacing="0"/>
        <w:jc w:val="both"/>
        <w:rPr>
          <w:rFonts w:ascii="Century Gothic" w:hAnsi="Century Gothic"/>
          <w:b/>
          <w:bCs/>
        </w:rPr>
      </w:pPr>
    </w:p>
    <w:p w14:paraId="56AA6B47" w14:textId="77777777" w:rsidR="008B0BCD" w:rsidRDefault="008B0BCD" w:rsidP="001C492F">
      <w:pPr>
        <w:pStyle w:val="NormalWeb"/>
        <w:spacing w:before="0" w:beforeAutospacing="0" w:after="0" w:afterAutospacing="0"/>
        <w:jc w:val="both"/>
        <w:rPr>
          <w:rFonts w:ascii="Century Gothic" w:hAnsi="Century Gothic"/>
          <w:b/>
          <w:bCs/>
        </w:rPr>
      </w:pPr>
    </w:p>
    <w:p w14:paraId="231F2C79" w14:textId="77777777" w:rsidR="008B0BCD" w:rsidRDefault="008B0BCD" w:rsidP="001C492F">
      <w:pPr>
        <w:pStyle w:val="NormalWeb"/>
        <w:spacing w:before="0" w:beforeAutospacing="0" w:after="0" w:afterAutospacing="0"/>
        <w:jc w:val="both"/>
        <w:rPr>
          <w:rFonts w:ascii="Century Gothic" w:hAnsi="Century Gothic"/>
          <w:b/>
          <w:bCs/>
        </w:rPr>
      </w:pPr>
    </w:p>
    <w:p w14:paraId="19C45D11" w14:textId="101E4541" w:rsidR="008B0BCD" w:rsidRDefault="008B0BCD" w:rsidP="008B0BCD">
      <w:pPr>
        <w:pStyle w:val="NormalWeb"/>
        <w:spacing w:before="0" w:beforeAutospacing="0" w:after="0" w:afterAutospacing="0"/>
        <w:jc w:val="both"/>
        <w:rPr>
          <w:rFonts w:ascii="Century Gothic" w:hAnsi="Century Gothic"/>
          <w:b/>
          <w:bCs/>
        </w:rPr>
      </w:pPr>
      <w:r>
        <w:rPr>
          <w:rFonts w:ascii="Century Gothic" w:hAnsi="Century Gothic"/>
          <w:b/>
          <w:bCs/>
          <w:noProof/>
          <w:lang w:val="fr-FR" w:eastAsia="fr-FR"/>
        </w:rPr>
        <mc:AlternateContent>
          <mc:Choice Requires="wps">
            <w:drawing>
              <wp:anchor distT="0" distB="0" distL="114300" distR="114300" simplePos="0" relativeHeight="251669504" behindDoc="0" locked="0" layoutInCell="1" allowOverlap="1" wp14:anchorId="28498191" wp14:editId="6256E9DC">
                <wp:simplePos x="0" y="0"/>
                <wp:positionH relativeFrom="column">
                  <wp:posOffset>1981725</wp:posOffset>
                </wp:positionH>
                <wp:positionV relativeFrom="paragraph">
                  <wp:posOffset>26642</wp:posOffset>
                </wp:positionV>
                <wp:extent cx="3816350" cy="672465"/>
                <wp:effectExtent l="819150" t="38100" r="12700" b="51435"/>
                <wp:wrapNone/>
                <wp:docPr id="24" name="Légende : encadrée à une bordure 24"/>
                <wp:cNvGraphicFramePr/>
                <a:graphic xmlns:a="http://schemas.openxmlformats.org/drawingml/2006/main">
                  <a:graphicData uri="http://schemas.microsoft.com/office/word/2010/wordprocessingShape">
                    <wps:wsp>
                      <wps:cNvSpPr/>
                      <wps:spPr>
                        <a:xfrm>
                          <a:off x="0" y="0"/>
                          <a:ext cx="3816350" cy="672465"/>
                        </a:xfrm>
                        <a:prstGeom prst="accentBorderCallout1">
                          <a:avLst>
                            <a:gd name="adj1" fmla="val 18750"/>
                            <a:gd name="adj2" fmla="val -8333"/>
                            <a:gd name="adj3" fmla="val 71196"/>
                            <a:gd name="adj4" fmla="val -2145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EBB7E0" w14:textId="77777777" w:rsidR="0062478D" w:rsidRPr="008B0BCD" w:rsidRDefault="0062478D" w:rsidP="008B0BCD">
                            <w:pPr>
                              <w:pStyle w:val="NormalWeb"/>
                              <w:spacing w:before="0" w:beforeAutospacing="0" w:after="0" w:afterAutospacing="0"/>
                              <w:jc w:val="both"/>
                              <w:rPr>
                                <w:rFonts w:ascii="Century Gothic" w:hAnsi="Century Gothic"/>
                                <w:sz w:val="18"/>
                                <w:szCs w:val="18"/>
                              </w:rPr>
                            </w:pPr>
                            <w:r w:rsidRPr="008B0BCD">
                              <w:rPr>
                                <w:rFonts w:ascii="Century Gothic" w:hAnsi="Century Gothic"/>
                                <w:sz w:val="18"/>
                                <w:szCs w:val="18"/>
                              </w:rPr>
                              <w:t>Les communautés rurales qui dépendent de la récolte du bois, du fourrage pour le bétail et des produits forestiers non ligneux voient leur mode de vie perturbé par la réduction de la couverture forestière, la dégradation des sols et la perte de ressources.</w:t>
                            </w:r>
                          </w:p>
                          <w:p w14:paraId="04B0B911" w14:textId="77777777" w:rsidR="0062478D" w:rsidRPr="008B0BCD" w:rsidRDefault="0062478D" w:rsidP="008B0BCD">
                            <w:pPr>
                              <w:jc w:val="both"/>
                              <w:rPr>
                                <w:sz w:val="16"/>
                                <w:szCs w:val="16"/>
                                <w:lang w:val="wo-S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98191" id="Légende : encadrée à une bordure 24" o:spid="_x0000_s1057" type="#_x0000_t50" style="position:absolute;left:0;text-align:left;margin-left:156.05pt;margin-top:2.1pt;width:300.5pt;height:52.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" adj="-4634,15378" fillcolor="#4472c4 [3204]" strokecolor="#1f3763 [1604]" strokeweight="1pt">
                <v:textbox>
                  <w:txbxContent>
                    <w:p w14:paraId="66EBB7E0" w14:textId="77777777" w:rsidR="0062478D" w:rsidRPr="008B0BCD" w:rsidRDefault="0062478D" w:rsidP="008B0BCD">
                      <w:pPr>
                        <w:pStyle w:val="NormalWeb"/>
                        <w:spacing w:before="0" w:beforeAutospacing="0" w:after="0" w:afterAutospacing="0"/>
                        <w:jc w:val="both"/>
                        <w:rPr>
                          <w:rFonts w:ascii="Century Gothic" w:hAnsi="Century Gothic"/>
                          <w:sz w:val="18"/>
                          <w:szCs w:val="18"/>
                        </w:rPr>
                      </w:pPr>
                      <w:r w:rsidRPr="008B0BCD">
                        <w:rPr>
                          <w:rFonts w:ascii="Century Gothic" w:hAnsi="Century Gothic"/>
                          <w:sz w:val="18"/>
                          <w:szCs w:val="18"/>
                        </w:rPr>
                        <w:t>Les communautés rurales qui dépendent de la récolte du bois, du fourrage pour le bétail et des produits forestiers non ligneux voient leur mode de vie perturbé par la réduction de la couverture forestière, la dégradation des sols et la perte de ressources.</w:t>
                      </w:r>
                    </w:p>
                    <w:p w14:paraId="04B0B911" w14:textId="77777777" w:rsidR="0062478D" w:rsidRPr="008B0BCD" w:rsidRDefault="0062478D" w:rsidP="008B0BCD">
                      <w:pPr>
                        <w:jc w:val="both"/>
                        <w:rPr>
                          <w:sz w:val="16"/>
                          <w:szCs w:val="16"/>
                          <w:lang w:val="wo-SN"/>
                        </w:rPr>
                      </w:pPr>
                    </w:p>
                  </w:txbxContent>
                </v:textbox>
                <o:callout v:ext="edit" minusy="t"/>
              </v:shape>
            </w:pict>
          </mc:Fallback>
        </mc:AlternateContent>
      </w:r>
    </w:p>
    <w:p w14:paraId="4A193DC1" w14:textId="7BBCABF8" w:rsidR="008B0BCD" w:rsidRDefault="008B0BCD" w:rsidP="008B0BCD">
      <w:pPr>
        <w:pStyle w:val="NormalWeb"/>
        <w:spacing w:before="0" w:beforeAutospacing="0" w:after="0" w:afterAutospacing="0"/>
        <w:jc w:val="both"/>
        <w:rPr>
          <w:rFonts w:ascii="Century Gothic" w:hAnsi="Century Gothic"/>
          <w:b/>
          <w:bCs/>
        </w:rPr>
      </w:pPr>
    </w:p>
    <w:p w14:paraId="655EA1E5" w14:textId="77777777" w:rsidR="008B0BCD" w:rsidRDefault="008B0BCD" w:rsidP="008B0BCD">
      <w:pPr>
        <w:pStyle w:val="NormalWeb"/>
        <w:spacing w:before="0" w:beforeAutospacing="0" w:after="0" w:afterAutospacing="0"/>
        <w:jc w:val="both"/>
        <w:rPr>
          <w:rFonts w:ascii="Century Gothic" w:hAnsi="Century Gothic"/>
          <w:b/>
          <w:bCs/>
        </w:rPr>
      </w:pPr>
    </w:p>
    <w:p w14:paraId="44BDE6D4" w14:textId="75F897CB" w:rsidR="00DD7650" w:rsidRPr="00DD7650" w:rsidRDefault="001C492F" w:rsidP="00DD7650">
      <w:pPr>
        <w:pStyle w:val="NormalWeb"/>
        <w:spacing w:before="0" w:beforeAutospacing="0" w:after="0" w:afterAutospacing="0"/>
        <w:jc w:val="both"/>
        <w:rPr>
          <w:rFonts w:ascii="Century Gothic" w:hAnsi="Century Gothic"/>
          <w:sz w:val="22"/>
          <w:szCs w:val="22"/>
        </w:rPr>
      </w:pPr>
      <w:r w:rsidRPr="008B0BCD">
        <w:rPr>
          <w:rFonts w:ascii="Century Gothic" w:hAnsi="Century Gothic"/>
          <w:b/>
          <w:bCs/>
          <w:sz w:val="22"/>
          <w:szCs w:val="22"/>
        </w:rPr>
        <w:t>Communautés locales</w:t>
      </w:r>
      <w:r w:rsidRPr="008B0BCD">
        <w:rPr>
          <w:rFonts w:ascii="Century Gothic" w:hAnsi="Century Gothic"/>
          <w:sz w:val="22"/>
          <w:szCs w:val="22"/>
        </w:rPr>
        <w:t xml:space="preserve"> </w:t>
      </w:r>
    </w:p>
    <w:p w14:paraId="21713343" w14:textId="77777777" w:rsidR="00103140" w:rsidRDefault="00103140" w:rsidP="00DD7650">
      <w:pPr>
        <w:rPr>
          <w:rFonts w:ascii="Century Gothic" w:hAnsi="Century Gothic"/>
          <w:b/>
          <w:bCs/>
        </w:rPr>
      </w:pPr>
    </w:p>
    <w:p w14:paraId="68B859DD" w14:textId="77777777" w:rsidR="00203B3F" w:rsidRDefault="00203B3F" w:rsidP="00A616B6">
      <w:pPr>
        <w:rPr>
          <w:rFonts w:ascii="Century Gothic" w:hAnsi="Century Gothic"/>
          <w:color w:val="4472C4" w:themeColor="accent1"/>
          <w:sz w:val="24"/>
          <w:szCs w:val="24"/>
          <w:lang w:val="wo-SN" w:eastAsia="wo-SN"/>
        </w:rPr>
      </w:pPr>
    </w:p>
    <w:p w14:paraId="3A2B3DAE" w14:textId="24519470" w:rsidR="00DD7433" w:rsidRPr="00A616B6" w:rsidRDefault="001F33E0" w:rsidP="00A616B6">
      <w:pPr>
        <w:rPr>
          <w:rFonts w:ascii="Century Gothic" w:hAnsi="Century Gothic"/>
          <w:color w:val="4472C4" w:themeColor="accent1"/>
          <w:sz w:val="24"/>
          <w:szCs w:val="24"/>
          <w:lang w:val="wo-SN" w:eastAsia="wo-SN"/>
        </w:rPr>
      </w:pPr>
      <w:r w:rsidRPr="00A616B6">
        <w:rPr>
          <w:rFonts w:ascii="Century Gothic" w:hAnsi="Century Gothic"/>
          <w:color w:val="4472C4" w:themeColor="accent1"/>
          <w:sz w:val="24"/>
          <w:szCs w:val="24"/>
          <w:lang w:val="wo-SN" w:eastAsia="wo-SN"/>
        </w:rPr>
        <w:t>6</w:t>
      </w:r>
      <w:r w:rsidR="00765C5C" w:rsidRPr="00A616B6">
        <w:rPr>
          <w:rFonts w:ascii="Century Gothic" w:hAnsi="Century Gothic"/>
          <w:color w:val="4472C4" w:themeColor="accent1"/>
          <w:sz w:val="24"/>
          <w:szCs w:val="24"/>
          <w:lang w:val="wo-SN" w:eastAsia="wo-SN"/>
        </w:rPr>
        <w:t xml:space="preserve">.3.2 </w:t>
      </w:r>
      <w:r w:rsidR="003529F5" w:rsidRPr="00A616B6">
        <w:rPr>
          <w:rFonts w:ascii="Century Gothic" w:hAnsi="Century Gothic"/>
          <w:color w:val="4472C4" w:themeColor="accent1"/>
          <w:sz w:val="24"/>
          <w:szCs w:val="24"/>
          <w:lang w:val="wo-SN" w:eastAsia="wo-SN"/>
        </w:rPr>
        <w:t>- Conséquences</w:t>
      </w:r>
      <w:r w:rsidR="000E260C" w:rsidRPr="00A616B6">
        <w:rPr>
          <w:rFonts w:ascii="Century Gothic" w:hAnsi="Century Gothic"/>
          <w:color w:val="4472C4" w:themeColor="accent1"/>
          <w:sz w:val="24"/>
          <w:szCs w:val="24"/>
          <w:lang w:val="wo-SN" w:eastAsia="wo-SN"/>
        </w:rPr>
        <w:t xml:space="preserve"> sur les Communautés Utilisatrices des Ressources</w:t>
      </w:r>
    </w:p>
    <w:p w14:paraId="78E06AA1" w14:textId="2EC0EC05" w:rsidR="000E260C" w:rsidRPr="00DB2F0F" w:rsidRDefault="000E260C" w:rsidP="00DF1579">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Les impacts du changement climatique sur ces biomes ont des répercussions profondes sur les communautés locales :</w:t>
      </w:r>
    </w:p>
    <w:p w14:paraId="37E3870E" w14:textId="77777777" w:rsidR="00DD7433" w:rsidRPr="00DB2F0F" w:rsidRDefault="00DD7433" w:rsidP="00DF1579">
      <w:pPr>
        <w:pStyle w:val="NormalWeb"/>
        <w:spacing w:before="0" w:beforeAutospacing="0" w:after="0" w:afterAutospacing="0"/>
        <w:jc w:val="both"/>
        <w:rPr>
          <w:rFonts w:ascii="Century Gothic" w:hAnsi="Century Gothic"/>
          <w:sz w:val="22"/>
          <w:szCs w:val="22"/>
        </w:rPr>
      </w:pPr>
    </w:p>
    <w:p w14:paraId="285A60B8" w14:textId="176974DC" w:rsidR="000E260C" w:rsidRPr="00DB2F0F" w:rsidRDefault="000E260C" w:rsidP="005625B5">
      <w:pPr>
        <w:pStyle w:val="NormalWeb"/>
        <w:numPr>
          <w:ilvl w:val="0"/>
          <w:numId w:val="10"/>
        </w:numPr>
        <w:spacing w:before="0" w:beforeAutospacing="0" w:after="0" w:afterAutospacing="0"/>
        <w:jc w:val="both"/>
        <w:rPr>
          <w:rFonts w:ascii="Century Gothic" w:hAnsi="Century Gothic"/>
          <w:sz w:val="22"/>
          <w:szCs w:val="22"/>
        </w:rPr>
      </w:pPr>
      <w:r w:rsidRPr="00DB2F0F">
        <w:rPr>
          <w:rFonts w:ascii="Century Gothic" w:hAnsi="Century Gothic"/>
          <w:sz w:val="22"/>
          <w:szCs w:val="22"/>
        </w:rPr>
        <w:t>Insécurité Alimentaire</w:t>
      </w:r>
      <w:r w:rsidR="00601597" w:rsidRPr="00DB2F0F">
        <w:rPr>
          <w:rFonts w:ascii="Century Gothic" w:hAnsi="Century Gothic"/>
          <w:sz w:val="22"/>
          <w:szCs w:val="22"/>
        </w:rPr>
        <w:t xml:space="preserve"> </w:t>
      </w:r>
      <w:r w:rsidRPr="00DB2F0F">
        <w:rPr>
          <w:rFonts w:ascii="Century Gothic" w:hAnsi="Century Gothic"/>
          <w:sz w:val="22"/>
          <w:szCs w:val="22"/>
        </w:rPr>
        <w:t>: La diminution des ressources naturelles entraîne une augmentation de l'insécurité alimentaire, avec un accès réduit aux protéines et micronutriments essentiels</w:t>
      </w:r>
      <w:r w:rsidR="00F66497" w:rsidRPr="00DB2F0F">
        <w:rPr>
          <w:rStyle w:val="Appelnotedebasdep"/>
          <w:rFonts w:ascii="Century Gothic" w:hAnsi="Century Gothic"/>
          <w:sz w:val="22"/>
          <w:szCs w:val="22"/>
        </w:rPr>
        <w:footnoteReference w:id="46"/>
      </w:r>
      <w:r w:rsidR="009B0256" w:rsidRPr="00DB2F0F">
        <w:rPr>
          <w:rFonts w:ascii="Century Gothic" w:hAnsi="Century Gothic"/>
          <w:sz w:val="22"/>
          <w:szCs w:val="22"/>
        </w:rPr>
        <w:t>.</w:t>
      </w:r>
    </w:p>
    <w:p w14:paraId="41B7A178" w14:textId="77777777" w:rsidR="00601597" w:rsidRPr="00DB2F0F" w:rsidRDefault="00601597" w:rsidP="00DF1579">
      <w:pPr>
        <w:pStyle w:val="NormalWeb"/>
        <w:spacing w:before="0" w:beforeAutospacing="0" w:after="0" w:afterAutospacing="0"/>
        <w:jc w:val="both"/>
        <w:rPr>
          <w:rFonts w:ascii="Century Gothic" w:hAnsi="Century Gothic"/>
          <w:sz w:val="22"/>
          <w:szCs w:val="22"/>
        </w:rPr>
      </w:pPr>
    </w:p>
    <w:p w14:paraId="7F69161D" w14:textId="3BC44284" w:rsidR="000E260C" w:rsidRPr="00DB2F0F" w:rsidRDefault="000E260C" w:rsidP="005625B5">
      <w:pPr>
        <w:pStyle w:val="NormalWeb"/>
        <w:numPr>
          <w:ilvl w:val="0"/>
          <w:numId w:val="10"/>
        </w:numPr>
        <w:spacing w:before="0" w:beforeAutospacing="0" w:after="0" w:afterAutospacing="0"/>
        <w:jc w:val="both"/>
        <w:rPr>
          <w:rFonts w:ascii="Century Gothic" w:hAnsi="Century Gothic"/>
          <w:sz w:val="22"/>
          <w:szCs w:val="22"/>
        </w:rPr>
      </w:pPr>
      <w:r w:rsidRPr="00DB2F0F">
        <w:rPr>
          <w:rFonts w:ascii="Century Gothic" w:hAnsi="Century Gothic"/>
          <w:sz w:val="22"/>
          <w:szCs w:val="22"/>
        </w:rPr>
        <w:t>Conflits pour les Ressources : L'épuisement des ressources en eau et en terre cultivable provoque des tensions entre différents groupes d'utilisateurs, exacerbant les conflits locaux</w:t>
      </w:r>
      <w:r w:rsidR="00F66497" w:rsidRPr="00DB2F0F">
        <w:rPr>
          <w:rStyle w:val="Appelnotedebasdep"/>
          <w:rFonts w:ascii="Century Gothic" w:hAnsi="Century Gothic"/>
          <w:sz w:val="22"/>
          <w:szCs w:val="22"/>
        </w:rPr>
        <w:footnoteReference w:id="47"/>
      </w:r>
      <w:r w:rsidR="009B0256" w:rsidRPr="00DB2F0F">
        <w:rPr>
          <w:rFonts w:ascii="Century Gothic" w:hAnsi="Century Gothic"/>
          <w:sz w:val="22"/>
          <w:szCs w:val="22"/>
        </w:rPr>
        <w:t>.</w:t>
      </w:r>
    </w:p>
    <w:p w14:paraId="4E48A2C7" w14:textId="77777777" w:rsidR="00DD7433" w:rsidRPr="00DB2F0F" w:rsidRDefault="00DD7433" w:rsidP="00DF1579">
      <w:pPr>
        <w:pStyle w:val="NormalWeb"/>
        <w:spacing w:before="0" w:beforeAutospacing="0" w:after="0" w:afterAutospacing="0"/>
        <w:jc w:val="both"/>
        <w:rPr>
          <w:rFonts w:ascii="Century Gothic" w:hAnsi="Century Gothic"/>
          <w:sz w:val="22"/>
          <w:szCs w:val="22"/>
        </w:rPr>
      </w:pPr>
    </w:p>
    <w:p w14:paraId="0E3D6BDA" w14:textId="71A28C81" w:rsidR="000E260C" w:rsidRPr="00DB2F0F" w:rsidRDefault="000E260C" w:rsidP="005625B5">
      <w:pPr>
        <w:pStyle w:val="NormalWeb"/>
        <w:numPr>
          <w:ilvl w:val="0"/>
          <w:numId w:val="10"/>
        </w:numPr>
        <w:spacing w:before="0" w:beforeAutospacing="0" w:after="0" w:afterAutospacing="0"/>
        <w:jc w:val="both"/>
        <w:rPr>
          <w:rFonts w:ascii="Century Gothic" w:hAnsi="Century Gothic"/>
          <w:sz w:val="22"/>
          <w:szCs w:val="22"/>
        </w:rPr>
      </w:pPr>
      <w:r w:rsidRPr="00DB2F0F">
        <w:rPr>
          <w:rFonts w:ascii="Century Gothic" w:hAnsi="Century Gothic"/>
          <w:sz w:val="22"/>
          <w:szCs w:val="22"/>
        </w:rPr>
        <w:t>Migration Climatique : Face à ces défis, certaines communautés sont contraintes de migrer vers d'autres régions à la recherche de meilleures conditions de vie, ce qui peut engendrer des tensions dans les nouvelles zones d'accueil.</w:t>
      </w:r>
    </w:p>
    <w:p w14:paraId="43E0F658" w14:textId="77777777" w:rsidR="00DD7433" w:rsidRPr="00DB2F0F" w:rsidRDefault="00DD7433" w:rsidP="00DF1579">
      <w:pPr>
        <w:pStyle w:val="NormalWeb"/>
        <w:spacing w:before="0" w:beforeAutospacing="0" w:after="0" w:afterAutospacing="0"/>
        <w:jc w:val="both"/>
        <w:rPr>
          <w:rFonts w:ascii="Century Gothic" w:hAnsi="Century Gothic"/>
          <w:sz w:val="22"/>
          <w:szCs w:val="22"/>
        </w:rPr>
      </w:pPr>
    </w:p>
    <w:p w14:paraId="6840A649" w14:textId="422DFE2F" w:rsidR="009C34FD" w:rsidRPr="00A616B6" w:rsidRDefault="000E260C" w:rsidP="00A616B6">
      <w:pPr>
        <w:pStyle w:val="NormalWeb"/>
        <w:spacing w:before="0" w:beforeAutospacing="0" w:after="0" w:afterAutospacing="0"/>
        <w:jc w:val="both"/>
        <w:rPr>
          <w:rFonts w:ascii="Century Gothic" w:hAnsi="Century Gothic"/>
          <w:sz w:val="22"/>
          <w:szCs w:val="22"/>
        </w:rPr>
      </w:pPr>
      <w:r w:rsidRPr="00DB2F0F">
        <w:rPr>
          <w:rFonts w:ascii="Century Gothic" w:hAnsi="Century Gothic"/>
          <w:sz w:val="22"/>
          <w:szCs w:val="22"/>
        </w:rPr>
        <w:t>En conclusion, chaque biome en Mauritanie présente une vulnérabilité spécifique au changement climatique, avec des pertes significatives pour la biodiversité et des conséquences graves pour les communautés locales. Il est crucial d'adopter des stratégies d'adaptation efficaces pour atténuer ces impacts et renforcer la résilience des écosystèmes et des populations.</w:t>
      </w:r>
    </w:p>
    <w:p w14:paraId="26DAF674" w14:textId="77777777" w:rsidR="003529F5" w:rsidRDefault="003529F5" w:rsidP="005625B5">
      <w:pPr>
        <w:pStyle w:val="Titre1"/>
        <w:numPr>
          <w:ilvl w:val="0"/>
          <w:numId w:val="26"/>
        </w:numPr>
        <w:jc w:val="both"/>
        <w:rPr>
          <w:rFonts w:ascii="Century Gothic" w:hAnsi="Century Gothic"/>
          <w:sz w:val="26"/>
          <w:szCs w:val="26"/>
          <w:lang w:val="wo-SN"/>
        </w:rPr>
        <w:sectPr w:rsidR="003529F5">
          <w:pgSz w:w="11906" w:h="16838"/>
          <w:pgMar w:top="1417" w:right="1417" w:bottom="1417" w:left="1417" w:header="708" w:footer="708" w:gutter="0"/>
          <w:cols w:space="708"/>
          <w:docGrid w:linePitch="360"/>
        </w:sectPr>
      </w:pPr>
    </w:p>
    <w:p w14:paraId="6D4E32D9" w14:textId="5C00E188" w:rsidR="005B2F1E" w:rsidRPr="009E3472" w:rsidRDefault="005B2F1E" w:rsidP="005625B5">
      <w:pPr>
        <w:pStyle w:val="Titre1"/>
        <w:numPr>
          <w:ilvl w:val="0"/>
          <w:numId w:val="26"/>
        </w:numPr>
        <w:jc w:val="both"/>
        <w:rPr>
          <w:rFonts w:ascii="Century Gothic" w:hAnsi="Century Gothic"/>
          <w:sz w:val="26"/>
          <w:szCs w:val="26"/>
          <w:lang w:val="wo-SN"/>
        </w:rPr>
      </w:pPr>
      <w:bookmarkStart w:id="37" w:name="_Toc189326938"/>
      <w:bookmarkStart w:id="38" w:name="_Toc189375546"/>
      <w:r w:rsidRPr="009E3472">
        <w:rPr>
          <w:rFonts w:ascii="Century Gothic" w:hAnsi="Century Gothic"/>
          <w:sz w:val="26"/>
          <w:szCs w:val="26"/>
          <w:lang w:val="wo-SN"/>
        </w:rPr>
        <w:t>Scénarios d’adaptation appuyé par des recommandations spécifiques pour renforcer la résilience des écosystèmes humides et des communautés locales.</w:t>
      </w:r>
      <w:bookmarkEnd w:id="37"/>
      <w:bookmarkEnd w:id="38"/>
    </w:p>
    <w:p w14:paraId="1C66EF10" w14:textId="77777777" w:rsidR="005B2F1E" w:rsidRPr="00541183" w:rsidRDefault="005B2F1E" w:rsidP="009C34FD">
      <w:pPr>
        <w:pStyle w:val="NormalWeb"/>
        <w:spacing w:before="0" w:beforeAutospacing="0" w:after="0" w:afterAutospacing="0"/>
        <w:jc w:val="both"/>
        <w:rPr>
          <w:rFonts w:ascii="Century Gothic" w:hAnsi="Century Gothic"/>
          <w:color w:val="FF0000"/>
        </w:rPr>
      </w:pPr>
    </w:p>
    <w:p w14:paraId="2B936A45" w14:textId="1108E7B0" w:rsidR="001F1D90" w:rsidRPr="005B2F1E" w:rsidRDefault="001F33E0" w:rsidP="00F42355">
      <w:pPr>
        <w:pStyle w:val="Titre2"/>
        <w:rPr>
          <w:rFonts w:ascii="Century Gothic" w:hAnsi="Century Gothic"/>
          <w:lang w:val="wo-SN"/>
        </w:rPr>
      </w:pPr>
      <w:bookmarkStart w:id="39" w:name="_Toc189375547"/>
      <w:r>
        <w:rPr>
          <w:rFonts w:ascii="Century Gothic" w:hAnsi="Century Gothic"/>
          <w:lang w:val="wo-SN"/>
        </w:rPr>
        <w:t>7</w:t>
      </w:r>
      <w:r w:rsidR="00D9041C">
        <w:rPr>
          <w:rFonts w:ascii="Century Gothic" w:hAnsi="Century Gothic"/>
          <w:lang w:val="wo-SN"/>
        </w:rPr>
        <w:t xml:space="preserve">.1  </w:t>
      </w:r>
      <w:r w:rsidR="001F1D90" w:rsidRPr="005B2F1E">
        <w:rPr>
          <w:rFonts w:ascii="Century Gothic" w:hAnsi="Century Gothic"/>
          <w:lang w:val="wo-SN"/>
        </w:rPr>
        <w:t>Scénarios d’Avenir</w:t>
      </w:r>
      <w:bookmarkEnd w:id="39"/>
      <w:r w:rsidR="001F1D90" w:rsidRPr="005B2F1E">
        <w:rPr>
          <w:rFonts w:ascii="Century Gothic" w:hAnsi="Century Gothic"/>
          <w:lang w:val="wo-SN"/>
        </w:rPr>
        <w:t xml:space="preserve"> </w:t>
      </w:r>
    </w:p>
    <w:p w14:paraId="5160AB56" w14:textId="77777777" w:rsidR="001F1D90" w:rsidRPr="008C5B0D" w:rsidRDefault="001F1D90" w:rsidP="001F1D90">
      <w:pPr>
        <w:pStyle w:val="NormalWeb"/>
        <w:spacing w:before="0" w:beforeAutospacing="0" w:after="0" w:afterAutospacing="0"/>
        <w:jc w:val="both"/>
        <w:rPr>
          <w:rFonts w:ascii="Century Gothic" w:hAnsi="Century Gothic"/>
          <w:sz w:val="22"/>
          <w:szCs w:val="22"/>
        </w:rPr>
      </w:pPr>
    </w:p>
    <w:p w14:paraId="37E677E0" w14:textId="25727BF4" w:rsidR="001F1D90" w:rsidRPr="008C5B0D" w:rsidRDefault="001F1D90" w:rsidP="001F1D90">
      <w:pPr>
        <w:pStyle w:val="NormalWeb"/>
        <w:spacing w:before="0" w:beforeAutospacing="0" w:after="0" w:afterAutospacing="0"/>
        <w:jc w:val="both"/>
        <w:rPr>
          <w:rFonts w:ascii="Century Gothic" w:hAnsi="Century Gothic"/>
          <w:sz w:val="22"/>
          <w:szCs w:val="22"/>
        </w:rPr>
      </w:pPr>
      <w:r w:rsidRPr="008C5B0D">
        <w:rPr>
          <w:rFonts w:ascii="Century Gothic" w:hAnsi="Century Gothic"/>
          <w:sz w:val="22"/>
          <w:szCs w:val="22"/>
        </w:rPr>
        <w:t>La Mauritanie, confrontée à des défis climatiques croissants, doit envisager des scénarios d’avenir pour renforcer la résilience de ses écosystèmes et améliorer la productivité de ses ressources naturelles. Voici une analyse des scénarios potentiels ainsi que des réponses pragmatiques.</w:t>
      </w:r>
    </w:p>
    <w:p w14:paraId="2F74B6BE" w14:textId="77777777" w:rsidR="001F1D90" w:rsidRDefault="001F1D90" w:rsidP="009C34FD">
      <w:pPr>
        <w:pStyle w:val="NormalWeb"/>
        <w:spacing w:before="0" w:beforeAutospacing="0" w:after="0" w:afterAutospacing="0"/>
        <w:jc w:val="both"/>
        <w:rPr>
          <w:rFonts w:ascii="Century Gothic" w:hAnsi="Century Gothic"/>
          <w:color w:val="FF0000"/>
        </w:rPr>
      </w:pPr>
    </w:p>
    <w:p w14:paraId="1A038FB0" w14:textId="61FA192C" w:rsidR="001F1D90" w:rsidRPr="008C5B0D" w:rsidRDefault="00DE261F" w:rsidP="00DE261F">
      <w:pPr>
        <w:pStyle w:val="Lgende"/>
        <w:rPr>
          <w:rFonts w:ascii="Century Gothic" w:hAnsi="Century Gothic"/>
          <w:b/>
          <w:bCs/>
        </w:rPr>
      </w:pPr>
      <w:bookmarkStart w:id="40" w:name="_Toc189305535"/>
      <w:r>
        <w:t xml:space="preserve">Table </w:t>
      </w:r>
      <w:fldSimple w:instr=" SEQ Table \* ARABIC ">
        <w:r>
          <w:rPr>
            <w:noProof/>
          </w:rPr>
          <w:t>3</w:t>
        </w:r>
      </w:fldSimple>
      <w:r>
        <w:t xml:space="preserve"> </w:t>
      </w:r>
      <w:r w:rsidRPr="008F6784">
        <w:t>Tableau des scenarios d’avenir</w:t>
      </w:r>
      <w:bookmarkEnd w:id="40"/>
    </w:p>
    <w:tbl>
      <w:tblPr>
        <w:tblStyle w:val="Grilledutableau"/>
        <w:tblW w:w="14737" w:type="dxa"/>
        <w:tblLook w:val="04A0" w:firstRow="1" w:lastRow="0" w:firstColumn="1" w:lastColumn="0" w:noHBand="0" w:noVBand="1"/>
      </w:tblPr>
      <w:tblGrid>
        <w:gridCol w:w="2046"/>
        <w:gridCol w:w="4470"/>
        <w:gridCol w:w="8221"/>
      </w:tblGrid>
      <w:tr w:rsidR="009B0256" w:rsidRPr="009B0256" w14:paraId="50A0B0A3" w14:textId="77777777" w:rsidTr="003529F5">
        <w:tc>
          <w:tcPr>
            <w:tcW w:w="2046" w:type="dxa"/>
          </w:tcPr>
          <w:p w14:paraId="4A62F392" w14:textId="4C593AD5" w:rsidR="00E443ED" w:rsidRPr="006938C9" w:rsidRDefault="00E443ED" w:rsidP="009C34FD">
            <w:pPr>
              <w:pStyle w:val="NormalWeb"/>
              <w:spacing w:before="0" w:beforeAutospacing="0" w:after="0" w:afterAutospacing="0"/>
              <w:jc w:val="both"/>
              <w:rPr>
                <w:rFonts w:ascii="Century Gothic" w:hAnsi="Century Gothic"/>
                <w:b/>
                <w:bCs/>
                <w:sz w:val="22"/>
                <w:szCs w:val="22"/>
              </w:rPr>
            </w:pPr>
            <w:r w:rsidRPr="006938C9">
              <w:rPr>
                <w:rFonts w:ascii="Century Gothic" w:hAnsi="Century Gothic"/>
                <w:b/>
                <w:bCs/>
                <w:sz w:val="22"/>
                <w:szCs w:val="22"/>
              </w:rPr>
              <w:t>Scénario</w:t>
            </w:r>
          </w:p>
        </w:tc>
        <w:tc>
          <w:tcPr>
            <w:tcW w:w="4470" w:type="dxa"/>
          </w:tcPr>
          <w:p w14:paraId="5127149C" w14:textId="286D82B9" w:rsidR="00E443ED" w:rsidRPr="006938C9" w:rsidRDefault="00E443ED" w:rsidP="009C34FD">
            <w:pPr>
              <w:pStyle w:val="NormalWeb"/>
              <w:spacing w:before="0" w:beforeAutospacing="0" w:after="0" w:afterAutospacing="0"/>
              <w:jc w:val="both"/>
              <w:rPr>
                <w:rFonts w:ascii="Century Gothic" w:hAnsi="Century Gothic"/>
                <w:b/>
                <w:bCs/>
                <w:sz w:val="22"/>
                <w:szCs w:val="22"/>
              </w:rPr>
            </w:pPr>
            <w:r w:rsidRPr="006938C9">
              <w:rPr>
                <w:rFonts w:ascii="Century Gothic" w:hAnsi="Century Gothic"/>
                <w:b/>
                <w:bCs/>
                <w:sz w:val="22"/>
                <w:szCs w:val="22"/>
              </w:rPr>
              <w:t>Caractéristiques</w:t>
            </w:r>
          </w:p>
        </w:tc>
        <w:tc>
          <w:tcPr>
            <w:tcW w:w="8221" w:type="dxa"/>
          </w:tcPr>
          <w:p w14:paraId="634E8614" w14:textId="3079B09F" w:rsidR="00E443ED" w:rsidRPr="006938C9" w:rsidRDefault="00E443ED" w:rsidP="009C34FD">
            <w:pPr>
              <w:pStyle w:val="NormalWeb"/>
              <w:spacing w:before="0" w:beforeAutospacing="0" w:after="0" w:afterAutospacing="0"/>
              <w:jc w:val="both"/>
              <w:rPr>
                <w:rFonts w:ascii="Century Gothic" w:hAnsi="Century Gothic"/>
                <w:b/>
                <w:bCs/>
                <w:sz w:val="22"/>
                <w:szCs w:val="22"/>
              </w:rPr>
            </w:pPr>
            <w:r w:rsidRPr="006938C9">
              <w:rPr>
                <w:rFonts w:ascii="Century Gothic" w:hAnsi="Century Gothic"/>
                <w:b/>
                <w:bCs/>
                <w:sz w:val="22"/>
                <w:szCs w:val="22"/>
              </w:rPr>
              <w:t>Impact</w:t>
            </w:r>
          </w:p>
        </w:tc>
      </w:tr>
      <w:tr w:rsidR="009B0256" w:rsidRPr="009B0256" w14:paraId="69288EA8" w14:textId="77777777" w:rsidTr="003529F5">
        <w:tc>
          <w:tcPr>
            <w:tcW w:w="2046" w:type="dxa"/>
          </w:tcPr>
          <w:p w14:paraId="3FA544EA" w14:textId="28E57D59" w:rsidR="00E443ED" w:rsidRPr="006938C9" w:rsidRDefault="00E443ED" w:rsidP="00E443ED">
            <w:pPr>
              <w:pStyle w:val="NormalWeb"/>
              <w:spacing w:before="0" w:beforeAutospacing="0" w:after="0" w:afterAutospacing="0"/>
              <w:jc w:val="both"/>
              <w:rPr>
                <w:rFonts w:ascii="Century Gothic" w:hAnsi="Century Gothic"/>
                <w:b/>
                <w:bCs/>
                <w:sz w:val="20"/>
                <w:szCs w:val="20"/>
              </w:rPr>
            </w:pPr>
            <w:r w:rsidRPr="006938C9">
              <w:rPr>
                <w:rFonts w:ascii="Century Gothic" w:hAnsi="Century Gothic"/>
                <w:b/>
                <w:bCs/>
                <w:sz w:val="20"/>
                <w:szCs w:val="20"/>
              </w:rPr>
              <w:t xml:space="preserve">Réchauffement et Sécheresse Accrue </w:t>
            </w:r>
          </w:p>
        </w:tc>
        <w:tc>
          <w:tcPr>
            <w:tcW w:w="4470" w:type="dxa"/>
          </w:tcPr>
          <w:p w14:paraId="4251ADD5" w14:textId="5EE94984" w:rsidR="00E443ED" w:rsidRPr="0045595E" w:rsidRDefault="00E443ED" w:rsidP="001F1D90">
            <w:pPr>
              <w:pStyle w:val="NormalWeb"/>
              <w:spacing w:before="0" w:beforeAutospacing="0" w:after="0" w:afterAutospacing="0"/>
              <w:jc w:val="both"/>
              <w:rPr>
                <w:rFonts w:ascii="Century Gothic" w:hAnsi="Century Gothic"/>
                <w:sz w:val="18"/>
                <w:szCs w:val="18"/>
              </w:rPr>
            </w:pPr>
            <w:r w:rsidRPr="0045595E">
              <w:rPr>
                <w:rFonts w:ascii="Century Gothic" w:hAnsi="Century Gothic"/>
                <w:sz w:val="18"/>
                <w:szCs w:val="18"/>
              </w:rPr>
              <w:t>Augmentation continue des températures, réductions significatives des précipitations, sécheresses prolongées, érosion des sols, réduction des débits fluviaux et des niveaux d’eau dans les réservoirs.</w:t>
            </w:r>
          </w:p>
        </w:tc>
        <w:tc>
          <w:tcPr>
            <w:tcW w:w="8221" w:type="dxa"/>
          </w:tcPr>
          <w:p w14:paraId="5286A2A3" w14:textId="21AC43DB" w:rsidR="00E443ED" w:rsidRPr="0045595E" w:rsidRDefault="00E443ED" w:rsidP="009C34FD">
            <w:pPr>
              <w:pStyle w:val="NormalWeb"/>
              <w:spacing w:before="0" w:beforeAutospacing="0" w:after="0" w:afterAutospacing="0"/>
              <w:jc w:val="both"/>
              <w:rPr>
                <w:rFonts w:ascii="Century Gothic" w:hAnsi="Century Gothic"/>
                <w:sz w:val="18"/>
                <w:szCs w:val="18"/>
              </w:rPr>
            </w:pPr>
            <w:r w:rsidRPr="0045595E">
              <w:rPr>
                <w:rFonts w:ascii="Century Gothic" w:hAnsi="Century Gothic"/>
                <w:sz w:val="18"/>
                <w:szCs w:val="18"/>
              </w:rPr>
              <w:t>Les écosystèmes aquatiques (rivières, lacs, marais) souffrent de la salinisation et de la perte de biodiversité. Les zones agricoles se transforment en terres dégradées, l'agriculture de subsistance devient non viable et les ressources halieutiques diminuent, exacerbant les conflits sur l’eau et les ressources naturelles.</w:t>
            </w:r>
          </w:p>
        </w:tc>
      </w:tr>
      <w:tr w:rsidR="009B0256" w:rsidRPr="009B0256" w14:paraId="19DAF612" w14:textId="77777777" w:rsidTr="003529F5">
        <w:tc>
          <w:tcPr>
            <w:tcW w:w="2046" w:type="dxa"/>
          </w:tcPr>
          <w:p w14:paraId="53F5A530" w14:textId="7206F5DE" w:rsidR="00E443ED" w:rsidRPr="006938C9" w:rsidRDefault="00E443ED" w:rsidP="009C34FD">
            <w:pPr>
              <w:pStyle w:val="NormalWeb"/>
              <w:spacing w:before="0" w:beforeAutospacing="0" w:after="0" w:afterAutospacing="0"/>
              <w:jc w:val="both"/>
              <w:rPr>
                <w:rFonts w:ascii="Century Gothic" w:hAnsi="Century Gothic"/>
                <w:b/>
                <w:bCs/>
                <w:sz w:val="20"/>
                <w:szCs w:val="20"/>
              </w:rPr>
            </w:pPr>
            <w:r w:rsidRPr="006938C9">
              <w:rPr>
                <w:rFonts w:ascii="Century Gothic" w:hAnsi="Century Gothic"/>
                <w:b/>
                <w:bCs/>
                <w:sz w:val="20"/>
                <w:szCs w:val="20"/>
              </w:rPr>
              <w:t xml:space="preserve">Changement des Régimes Climatiques avec Pluies Intenses </w:t>
            </w:r>
          </w:p>
        </w:tc>
        <w:tc>
          <w:tcPr>
            <w:tcW w:w="4470" w:type="dxa"/>
          </w:tcPr>
          <w:p w14:paraId="1322CAD5" w14:textId="77777777" w:rsidR="00E443ED" w:rsidRPr="0045595E" w:rsidRDefault="00E443ED" w:rsidP="00E443ED">
            <w:pPr>
              <w:pStyle w:val="NormalWeb"/>
              <w:spacing w:before="0" w:beforeAutospacing="0" w:after="0" w:afterAutospacing="0"/>
              <w:jc w:val="both"/>
              <w:rPr>
                <w:rFonts w:ascii="Century Gothic" w:hAnsi="Century Gothic"/>
                <w:sz w:val="18"/>
                <w:szCs w:val="18"/>
              </w:rPr>
            </w:pPr>
            <w:r w:rsidRPr="0045595E">
              <w:rPr>
                <w:rFonts w:ascii="Century Gothic" w:hAnsi="Century Gothic"/>
                <w:sz w:val="18"/>
                <w:szCs w:val="18"/>
              </w:rPr>
              <w:t>Une augmentation des événements climatiques extrêmes tels que des pluies torrentielles, des inondations périodiques, des crues des fleuves et des érosions des terres agricoles et côtières.</w:t>
            </w:r>
          </w:p>
          <w:p w14:paraId="11CEFA55" w14:textId="77777777" w:rsidR="00E443ED" w:rsidRPr="0045595E" w:rsidRDefault="00E443ED" w:rsidP="009C34FD">
            <w:pPr>
              <w:pStyle w:val="NormalWeb"/>
              <w:spacing w:before="0" w:beforeAutospacing="0" w:after="0" w:afterAutospacing="0"/>
              <w:jc w:val="both"/>
              <w:rPr>
                <w:rFonts w:ascii="Century Gothic" w:hAnsi="Century Gothic"/>
                <w:sz w:val="18"/>
                <w:szCs w:val="18"/>
              </w:rPr>
            </w:pPr>
          </w:p>
        </w:tc>
        <w:tc>
          <w:tcPr>
            <w:tcW w:w="8221" w:type="dxa"/>
          </w:tcPr>
          <w:p w14:paraId="4C6644D4" w14:textId="45519779" w:rsidR="00E443ED" w:rsidRPr="0045595E" w:rsidRDefault="00E443ED" w:rsidP="009C34FD">
            <w:pPr>
              <w:pStyle w:val="NormalWeb"/>
              <w:spacing w:before="0" w:beforeAutospacing="0" w:after="0" w:afterAutospacing="0"/>
              <w:jc w:val="both"/>
              <w:rPr>
                <w:rFonts w:ascii="Century Gothic" w:hAnsi="Century Gothic"/>
                <w:sz w:val="18"/>
                <w:szCs w:val="18"/>
              </w:rPr>
            </w:pPr>
            <w:r w:rsidRPr="0045595E">
              <w:rPr>
                <w:rFonts w:ascii="Century Gothic" w:hAnsi="Century Gothic"/>
                <w:sz w:val="18"/>
                <w:szCs w:val="18"/>
              </w:rPr>
              <w:t>La salinisation des terres agricoles et la dégradation des infrastructures côtières sont exacerbées. Les zones humides et les estuaires pourraient être inondées par l’élévation du niveau de la mer, entraînant une perte de biodiversité. Les populations côtières et agricoles risquent d’être déplacées en raison de la perte de terres cultivables et de l'inondation des infrastructures.</w:t>
            </w:r>
          </w:p>
        </w:tc>
      </w:tr>
      <w:tr w:rsidR="009B0256" w:rsidRPr="009B0256" w14:paraId="68C089CE" w14:textId="77777777" w:rsidTr="003529F5">
        <w:tc>
          <w:tcPr>
            <w:tcW w:w="2046" w:type="dxa"/>
          </w:tcPr>
          <w:p w14:paraId="001EDB2C" w14:textId="6D801941" w:rsidR="00E443ED" w:rsidRPr="006938C9" w:rsidRDefault="00E443ED" w:rsidP="009C34FD">
            <w:pPr>
              <w:pStyle w:val="NormalWeb"/>
              <w:spacing w:before="0" w:beforeAutospacing="0" w:after="0" w:afterAutospacing="0"/>
              <w:jc w:val="both"/>
              <w:rPr>
                <w:rFonts w:ascii="Century Gothic" w:hAnsi="Century Gothic"/>
                <w:b/>
                <w:bCs/>
                <w:sz w:val="20"/>
                <w:szCs w:val="20"/>
              </w:rPr>
            </w:pPr>
            <w:r w:rsidRPr="006938C9">
              <w:rPr>
                <w:rFonts w:ascii="Century Gothic" w:hAnsi="Century Gothic"/>
                <w:b/>
                <w:bCs/>
                <w:sz w:val="20"/>
                <w:szCs w:val="20"/>
              </w:rPr>
              <w:t>Stabilité Relative avec Adaptation Localisée</w:t>
            </w:r>
          </w:p>
        </w:tc>
        <w:tc>
          <w:tcPr>
            <w:tcW w:w="4470" w:type="dxa"/>
          </w:tcPr>
          <w:p w14:paraId="3ACAD72A" w14:textId="28872808" w:rsidR="00E443ED" w:rsidRPr="0045595E" w:rsidRDefault="00E443ED" w:rsidP="00E443ED">
            <w:pPr>
              <w:pStyle w:val="NormalWeb"/>
              <w:spacing w:before="0" w:beforeAutospacing="0" w:after="0" w:afterAutospacing="0"/>
              <w:jc w:val="both"/>
              <w:rPr>
                <w:rFonts w:ascii="Century Gothic" w:hAnsi="Century Gothic"/>
                <w:sz w:val="18"/>
                <w:szCs w:val="18"/>
              </w:rPr>
            </w:pPr>
            <w:r w:rsidRPr="0045595E">
              <w:rPr>
                <w:rFonts w:ascii="Century Gothic" w:hAnsi="Century Gothic"/>
                <w:sz w:val="18"/>
                <w:szCs w:val="18"/>
              </w:rPr>
              <w:t>Les tendances climatiques restent relativement stables, mais des stratégies d’adaptation efficaces sont mises en œuvre à l’échelle locale et nationale pour réduire les impacts négatifs. Les écosystèmes se rétablissent lentement avec une gestion proactive des ressources.</w:t>
            </w:r>
          </w:p>
        </w:tc>
        <w:tc>
          <w:tcPr>
            <w:tcW w:w="8221" w:type="dxa"/>
          </w:tcPr>
          <w:p w14:paraId="12AD383C" w14:textId="0C5F40B3" w:rsidR="00E443ED" w:rsidRPr="0045595E" w:rsidRDefault="00E443ED" w:rsidP="00E443ED">
            <w:pPr>
              <w:pStyle w:val="NormalWeb"/>
              <w:spacing w:before="0" w:beforeAutospacing="0" w:after="0" w:afterAutospacing="0"/>
              <w:jc w:val="both"/>
              <w:rPr>
                <w:rFonts w:ascii="Century Gothic" w:hAnsi="Century Gothic"/>
                <w:sz w:val="18"/>
                <w:szCs w:val="18"/>
              </w:rPr>
            </w:pPr>
            <w:r w:rsidRPr="0045595E">
              <w:rPr>
                <w:rFonts w:ascii="Century Gothic" w:hAnsi="Century Gothic"/>
                <w:sz w:val="18"/>
                <w:szCs w:val="18"/>
              </w:rPr>
              <w:t>Une gestion durable des ressources naturelles et des infrastructures résilientes permettent aux communautés de s'adapter aux changements, en améliorant les rendements agricoles, la productivité halieutique et en réduisant les pertes liées aux phénomènes climatiques extrêmes.</w:t>
            </w:r>
          </w:p>
        </w:tc>
      </w:tr>
      <w:tr w:rsidR="009B0256" w:rsidRPr="009B0256" w14:paraId="761A337A" w14:textId="77777777" w:rsidTr="003529F5">
        <w:tc>
          <w:tcPr>
            <w:tcW w:w="2046" w:type="dxa"/>
          </w:tcPr>
          <w:p w14:paraId="0F4D8F2A" w14:textId="2AB4FEB7" w:rsidR="00E443ED" w:rsidRPr="006938C9" w:rsidRDefault="00E443ED" w:rsidP="009C34FD">
            <w:pPr>
              <w:pStyle w:val="NormalWeb"/>
              <w:spacing w:before="0" w:beforeAutospacing="0" w:after="0" w:afterAutospacing="0"/>
              <w:jc w:val="both"/>
              <w:rPr>
                <w:rFonts w:ascii="Century Gothic" w:hAnsi="Century Gothic"/>
                <w:b/>
                <w:bCs/>
                <w:sz w:val="20"/>
                <w:szCs w:val="20"/>
              </w:rPr>
            </w:pPr>
            <w:r w:rsidRPr="006938C9">
              <w:rPr>
                <w:rFonts w:ascii="Century Gothic" w:hAnsi="Century Gothic"/>
                <w:b/>
                <w:bCs/>
                <w:sz w:val="20"/>
                <w:szCs w:val="20"/>
              </w:rPr>
              <w:t>Innovation et Transition Écologique</w:t>
            </w:r>
          </w:p>
        </w:tc>
        <w:tc>
          <w:tcPr>
            <w:tcW w:w="4470" w:type="dxa"/>
          </w:tcPr>
          <w:p w14:paraId="2D79E825" w14:textId="6DBB5777" w:rsidR="00E443ED" w:rsidRPr="0045595E" w:rsidRDefault="00E443ED" w:rsidP="009C34FD">
            <w:pPr>
              <w:pStyle w:val="NormalWeb"/>
              <w:spacing w:before="0" w:beforeAutospacing="0" w:after="0" w:afterAutospacing="0"/>
              <w:jc w:val="both"/>
              <w:rPr>
                <w:rFonts w:ascii="Century Gothic" w:hAnsi="Century Gothic"/>
                <w:sz w:val="18"/>
                <w:szCs w:val="18"/>
              </w:rPr>
            </w:pPr>
            <w:r w:rsidRPr="0045595E">
              <w:rPr>
                <w:rFonts w:ascii="Century Gothic" w:hAnsi="Century Gothic"/>
                <w:sz w:val="18"/>
                <w:szCs w:val="18"/>
              </w:rPr>
              <w:t>Adoption de technologies vertes, transition vers des pratiques agricoles climato-intelligentes, gestion intégrée des ressources naturelles et une coopération internationale renforcée.</w:t>
            </w:r>
          </w:p>
        </w:tc>
        <w:tc>
          <w:tcPr>
            <w:tcW w:w="8221" w:type="dxa"/>
          </w:tcPr>
          <w:p w14:paraId="38CB9B86" w14:textId="7E4D03E5" w:rsidR="00E443ED" w:rsidRPr="0045595E" w:rsidRDefault="00E443ED" w:rsidP="00E443ED">
            <w:pPr>
              <w:pStyle w:val="NormalWeb"/>
              <w:spacing w:before="0" w:beforeAutospacing="0" w:after="0" w:afterAutospacing="0"/>
              <w:jc w:val="both"/>
              <w:rPr>
                <w:rFonts w:ascii="Century Gothic" w:hAnsi="Century Gothic"/>
                <w:sz w:val="18"/>
                <w:szCs w:val="18"/>
              </w:rPr>
            </w:pPr>
            <w:r w:rsidRPr="0045595E">
              <w:rPr>
                <w:rFonts w:ascii="Century Gothic" w:hAnsi="Century Gothic"/>
                <w:sz w:val="18"/>
                <w:szCs w:val="18"/>
              </w:rPr>
              <w:t>Les écosystèmes et les communautés s’adaptent rapidement aux nouveaux défis climatiques grâce à une meilleure gestion des ressources et une plus grande diversification des sources de revenu. La productivité des ressources naturelles, comme l’agriculture, la pêche et le tourisme, est durablement améliorée, tout en respectant les limites écologiques.</w:t>
            </w:r>
          </w:p>
        </w:tc>
      </w:tr>
    </w:tbl>
    <w:p w14:paraId="233FDD77" w14:textId="77777777" w:rsidR="003529F5" w:rsidRDefault="003529F5" w:rsidP="009C34FD">
      <w:pPr>
        <w:pStyle w:val="NormalWeb"/>
        <w:spacing w:before="0" w:beforeAutospacing="0" w:after="0" w:afterAutospacing="0"/>
        <w:jc w:val="both"/>
        <w:rPr>
          <w:rFonts w:ascii="Century Gothic" w:hAnsi="Century Gothic"/>
          <w:color w:val="FF0000"/>
          <w:lang w:val="fr-FR"/>
        </w:rPr>
        <w:sectPr w:rsidR="003529F5" w:rsidSect="003529F5">
          <w:pgSz w:w="16838" w:h="11906" w:orient="landscape"/>
          <w:pgMar w:top="1418" w:right="1418" w:bottom="1418" w:left="1418" w:header="709" w:footer="709" w:gutter="0"/>
          <w:cols w:space="708"/>
          <w:docGrid w:linePitch="360"/>
        </w:sectPr>
      </w:pPr>
    </w:p>
    <w:p w14:paraId="5A6650EE" w14:textId="392D8B25" w:rsidR="00E443ED" w:rsidRPr="008C5B0D" w:rsidRDefault="00E443ED" w:rsidP="009C34FD">
      <w:pPr>
        <w:pStyle w:val="NormalWeb"/>
        <w:spacing w:before="0" w:beforeAutospacing="0" w:after="0" w:afterAutospacing="0"/>
        <w:jc w:val="both"/>
        <w:rPr>
          <w:rFonts w:ascii="Century Gothic" w:hAnsi="Century Gothic"/>
          <w:color w:val="FF0000"/>
          <w:sz w:val="22"/>
          <w:szCs w:val="22"/>
          <w:lang w:val="fr-FR"/>
        </w:rPr>
      </w:pPr>
    </w:p>
    <w:p w14:paraId="145DF4CB" w14:textId="4F954FAD" w:rsidR="00801971" w:rsidRDefault="00801971" w:rsidP="00801971">
      <w:pPr>
        <w:pStyle w:val="NormalWeb"/>
        <w:spacing w:before="0" w:beforeAutospacing="0" w:after="0" w:afterAutospacing="0"/>
        <w:jc w:val="both"/>
        <w:rPr>
          <w:rFonts w:ascii="Century Gothic" w:hAnsi="Century Gothic"/>
          <w:sz w:val="22"/>
          <w:szCs w:val="22"/>
        </w:rPr>
      </w:pPr>
      <w:r w:rsidRPr="008C5B0D">
        <w:rPr>
          <w:rFonts w:ascii="Century Gothic" w:hAnsi="Century Gothic"/>
          <w:sz w:val="22"/>
          <w:szCs w:val="22"/>
        </w:rPr>
        <w:t>On peut ainsi classer les scenarios en trois, scenario optimiste, moderé et scenario pessimiste.</w:t>
      </w:r>
    </w:p>
    <w:p w14:paraId="2E1E8201" w14:textId="77777777" w:rsidR="00DE261F" w:rsidRPr="008C5B0D" w:rsidRDefault="00DE261F" w:rsidP="00801971">
      <w:pPr>
        <w:pStyle w:val="NormalWeb"/>
        <w:spacing w:before="0" w:beforeAutospacing="0" w:after="0" w:afterAutospacing="0"/>
        <w:jc w:val="both"/>
        <w:rPr>
          <w:rFonts w:ascii="Century Gothic" w:hAnsi="Century Gothic"/>
          <w:sz w:val="22"/>
          <w:szCs w:val="22"/>
        </w:rPr>
      </w:pPr>
    </w:p>
    <w:p w14:paraId="0E179102" w14:textId="4EB139DE" w:rsidR="00801971" w:rsidRDefault="00DE261F" w:rsidP="00DE261F">
      <w:pPr>
        <w:pStyle w:val="Lgende"/>
        <w:rPr>
          <w:rFonts w:ascii="Century Gothic" w:hAnsi="Century Gothic"/>
        </w:rPr>
      </w:pPr>
      <w:bookmarkStart w:id="41" w:name="_Toc189305536"/>
      <w:r>
        <w:t xml:space="preserve">Table </w:t>
      </w:r>
      <w:fldSimple w:instr=" SEQ Table \* ARABIC ">
        <w:r>
          <w:rPr>
            <w:noProof/>
          </w:rPr>
          <w:t>4</w:t>
        </w:r>
      </w:fldSimple>
      <w:r>
        <w:t xml:space="preserve"> </w:t>
      </w:r>
      <w:r w:rsidRPr="00FD77E7">
        <w:t xml:space="preserve">les scenarios en trois, scenario optimiste, </w:t>
      </w:r>
      <w:r w:rsidR="00A616B6" w:rsidRPr="00FD77E7">
        <w:t>modéré</w:t>
      </w:r>
      <w:r w:rsidRPr="00FD77E7">
        <w:t xml:space="preserve"> et scenario pessimiste.</w:t>
      </w:r>
      <w:bookmarkEnd w:id="41"/>
    </w:p>
    <w:tbl>
      <w:tblPr>
        <w:tblStyle w:val="Grilledutableau"/>
        <w:tblW w:w="0" w:type="auto"/>
        <w:tblLook w:val="04A0" w:firstRow="1" w:lastRow="0" w:firstColumn="1" w:lastColumn="0" w:noHBand="0" w:noVBand="1"/>
      </w:tblPr>
      <w:tblGrid>
        <w:gridCol w:w="4531"/>
        <w:gridCol w:w="4531"/>
      </w:tblGrid>
      <w:tr w:rsidR="00801971" w14:paraId="0058342C" w14:textId="77777777" w:rsidTr="00A707AC">
        <w:tc>
          <w:tcPr>
            <w:tcW w:w="4531" w:type="dxa"/>
          </w:tcPr>
          <w:p w14:paraId="7384DCFF" w14:textId="77777777" w:rsidR="00801971" w:rsidRPr="00F42355" w:rsidRDefault="00801971" w:rsidP="00A707AC">
            <w:pPr>
              <w:pStyle w:val="NormalWeb"/>
              <w:spacing w:before="0" w:beforeAutospacing="0" w:after="0" w:afterAutospacing="0"/>
              <w:jc w:val="both"/>
              <w:rPr>
                <w:rFonts w:ascii="Century Gothic" w:hAnsi="Century Gothic"/>
                <w:sz w:val="22"/>
                <w:szCs w:val="22"/>
              </w:rPr>
            </w:pPr>
            <w:r w:rsidRPr="00F42355">
              <w:rPr>
                <w:rFonts w:ascii="Century Gothic" w:hAnsi="Century Gothic"/>
                <w:sz w:val="22"/>
                <w:szCs w:val="22"/>
              </w:rPr>
              <w:t xml:space="preserve">Scenario </w:t>
            </w:r>
          </w:p>
        </w:tc>
        <w:tc>
          <w:tcPr>
            <w:tcW w:w="4531" w:type="dxa"/>
          </w:tcPr>
          <w:p w14:paraId="4B1F06E4" w14:textId="77777777" w:rsidR="00801971" w:rsidRPr="00F42355" w:rsidRDefault="00801971" w:rsidP="00A707AC">
            <w:pPr>
              <w:pStyle w:val="NormalWeb"/>
              <w:spacing w:before="0" w:beforeAutospacing="0" w:after="0" w:afterAutospacing="0"/>
              <w:jc w:val="both"/>
              <w:rPr>
                <w:rFonts w:ascii="Century Gothic" w:hAnsi="Century Gothic"/>
                <w:sz w:val="22"/>
                <w:szCs w:val="22"/>
              </w:rPr>
            </w:pPr>
            <w:r w:rsidRPr="00F42355">
              <w:rPr>
                <w:rFonts w:ascii="Century Gothic" w:hAnsi="Century Gothic"/>
                <w:sz w:val="22"/>
                <w:szCs w:val="22"/>
              </w:rPr>
              <w:t xml:space="preserve">Description </w:t>
            </w:r>
          </w:p>
        </w:tc>
      </w:tr>
      <w:tr w:rsidR="00801971" w14:paraId="272A23BF" w14:textId="77777777" w:rsidTr="00A707AC">
        <w:tc>
          <w:tcPr>
            <w:tcW w:w="4531" w:type="dxa"/>
          </w:tcPr>
          <w:p w14:paraId="52D61935" w14:textId="77777777" w:rsidR="00801971" w:rsidRPr="00F42355" w:rsidRDefault="00801971" w:rsidP="00A707AC">
            <w:pPr>
              <w:pStyle w:val="NormalWeb"/>
              <w:spacing w:before="0" w:beforeAutospacing="0" w:after="0" w:afterAutospacing="0"/>
              <w:jc w:val="both"/>
              <w:rPr>
                <w:rFonts w:ascii="Century Gothic" w:hAnsi="Century Gothic"/>
                <w:sz w:val="20"/>
                <w:szCs w:val="20"/>
              </w:rPr>
            </w:pPr>
            <w:r w:rsidRPr="00F42355">
              <w:rPr>
                <w:rFonts w:ascii="Century Gothic" w:hAnsi="Century Gothic"/>
                <w:sz w:val="20"/>
                <w:szCs w:val="20"/>
              </w:rPr>
              <w:t>Scénario Optimiste (Adaptation Réussie)</w:t>
            </w:r>
          </w:p>
        </w:tc>
        <w:tc>
          <w:tcPr>
            <w:tcW w:w="4531" w:type="dxa"/>
          </w:tcPr>
          <w:p w14:paraId="7A91D9F2" w14:textId="77777777" w:rsidR="00801971" w:rsidRPr="00B01C29" w:rsidRDefault="00801971" w:rsidP="005625B5">
            <w:pPr>
              <w:pStyle w:val="NormalWeb"/>
              <w:numPr>
                <w:ilvl w:val="0"/>
                <w:numId w:val="11"/>
              </w:numPr>
              <w:spacing w:before="0" w:beforeAutospacing="0" w:after="0" w:afterAutospacing="0"/>
              <w:jc w:val="both"/>
              <w:rPr>
                <w:rFonts w:ascii="Century Gothic" w:hAnsi="Century Gothic"/>
                <w:sz w:val="18"/>
                <w:szCs w:val="18"/>
              </w:rPr>
            </w:pPr>
            <w:r w:rsidRPr="00B01C29">
              <w:rPr>
                <w:rFonts w:ascii="Century Gothic" w:hAnsi="Century Gothic"/>
                <w:sz w:val="18"/>
                <w:szCs w:val="18"/>
              </w:rPr>
              <w:t>Mise en œuvre efficace des stratégies d’adaptation, avec un soutien international accru.</w:t>
            </w:r>
          </w:p>
          <w:p w14:paraId="48632362" w14:textId="77777777" w:rsidR="00801971" w:rsidRPr="00B01C29" w:rsidRDefault="00801971" w:rsidP="00A707AC">
            <w:pPr>
              <w:pStyle w:val="NormalWeb"/>
              <w:spacing w:before="0" w:beforeAutospacing="0" w:after="0" w:afterAutospacing="0"/>
              <w:jc w:val="both"/>
              <w:rPr>
                <w:rFonts w:ascii="Century Gothic" w:hAnsi="Century Gothic"/>
                <w:sz w:val="18"/>
                <w:szCs w:val="18"/>
              </w:rPr>
            </w:pPr>
          </w:p>
          <w:p w14:paraId="1E5133DB" w14:textId="77777777" w:rsidR="00801971" w:rsidRPr="00B01C29" w:rsidRDefault="00801971" w:rsidP="005625B5">
            <w:pPr>
              <w:pStyle w:val="NormalWeb"/>
              <w:numPr>
                <w:ilvl w:val="0"/>
                <w:numId w:val="11"/>
              </w:numPr>
              <w:spacing w:before="0" w:beforeAutospacing="0" w:after="0" w:afterAutospacing="0"/>
              <w:jc w:val="both"/>
              <w:rPr>
                <w:rFonts w:ascii="Century Gothic" w:hAnsi="Century Gothic"/>
                <w:sz w:val="18"/>
                <w:szCs w:val="18"/>
              </w:rPr>
            </w:pPr>
            <w:r w:rsidRPr="00B01C29">
              <w:rPr>
                <w:rFonts w:ascii="Century Gothic" w:hAnsi="Century Gothic"/>
                <w:sz w:val="18"/>
                <w:szCs w:val="18"/>
              </w:rPr>
              <w:t>Adoption généralisée de pratiques agricoles durables et de technologies vertes.</w:t>
            </w:r>
          </w:p>
          <w:p w14:paraId="2C3F1673" w14:textId="77777777" w:rsidR="00801971" w:rsidRPr="00B01C29" w:rsidRDefault="00801971" w:rsidP="00A707AC">
            <w:pPr>
              <w:pStyle w:val="NormalWeb"/>
              <w:spacing w:before="0" w:beforeAutospacing="0" w:after="0" w:afterAutospacing="0"/>
              <w:jc w:val="both"/>
              <w:rPr>
                <w:rFonts w:ascii="Century Gothic" w:hAnsi="Century Gothic"/>
                <w:sz w:val="18"/>
                <w:szCs w:val="18"/>
              </w:rPr>
            </w:pPr>
          </w:p>
          <w:p w14:paraId="0B4D14F8" w14:textId="77777777" w:rsidR="00801971" w:rsidRPr="00285935" w:rsidRDefault="00801971" w:rsidP="005625B5">
            <w:pPr>
              <w:pStyle w:val="NormalWeb"/>
              <w:numPr>
                <w:ilvl w:val="0"/>
                <w:numId w:val="11"/>
              </w:numPr>
              <w:spacing w:before="0" w:beforeAutospacing="0" w:after="0" w:afterAutospacing="0"/>
              <w:jc w:val="both"/>
              <w:rPr>
                <w:rFonts w:ascii="Century Gothic" w:hAnsi="Century Gothic"/>
              </w:rPr>
            </w:pPr>
            <w:r w:rsidRPr="00B01C29">
              <w:rPr>
                <w:rFonts w:ascii="Century Gothic" w:hAnsi="Century Gothic"/>
                <w:sz w:val="18"/>
                <w:szCs w:val="18"/>
              </w:rPr>
              <w:t>Renforcement de la gestion intégrée des ressources en eau et des écosystèmes.</w:t>
            </w:r>
          </w:p>
        </w:tc>
      </w:tr>
      <w:tr w:rsidR="00801971" w14:paraId="3C8A7306" w14:textId="77777777" w:rsidTr="00A707AC">
        <w:tc>
          <w:tcPr>
            <w:tcW w:w="4531" w:type="dxa"/>
          </w:tcPr>
          <w:p w14:paraId="16AA0BF7" w14:textId="77777777" w:rsidR="00801971" w:rsidRPr="00F42355" w:rsidRDefault="00801971" w:rsidP="00A707AC">
            <w:pPr>
              <w:pStyle w:val="NormalWeb"/>
              <w:spacing w:before="0" w:beforeAutospacing="0" w:after="0" w:afterAutospacing="0"/>
              <w:jc w:val="both"/>
              <w:rPr>
                <w:rFonts w:ascii="Century Gothic" w:hAnsi="Century Gothic"/>
                <w:sz w:val="20"/>
                <w:szCs w:val="20"/>
              </w:rPr>
            </w:pPr>
            <w:r w:rsidRPr="00F42355">
              <w:rPr>
                <w:rFonts w:ascii="Century Gothic" w:hAnsi="Century Gothic"/>
                <w:sz w:val="20"/>
                <w:szCs w:val="20"/>
              </w:rPr>
              <w:t>2. Scénario Modéré (Adaptation Partielle)</w:t>
            </w:r>
          </w:p>
        </w:tc>
        <w:tc>
          <w:tcPr>
            <w:tcW w:w="4531" w:type="dxa"/>
          </w:tcPr>
          <w:p w14:paraId="1499B157" w14:textId="77777777" w:rsidR="00801971" w:rsidRPr="00B01C29" w:rsidRDefault="00801971" w:rsidP="005625B5">
            <w:pPr>
              <w:pStyle w:val="NormalWeb"/>
              <w:numPr>
                <w:ilvl w:val="0"/>
                <w:numId w:val="11"/>
              </w:numPr>
              <w:spacing w:before="0" w:beforeAutospacing="0" w:after="0" w:afterAutospacing="0"/>
              <w:jc w:val="both"/>
              <w:rPr>
                <w:rFonts w:ascii="Century Gothic" w:hAnsi="Century Gothic"/>
                <w:sz w:val="18"/>
                <w:szCs w:val="18"/>
              </w:rPr>
            </w:pPr>
            <w:r w:rsidRPr="00B01C29">
              <w:rPr>
                <w:rFonts w:ascii="Century Gothic" w:hAnsi="Century Gothic"/>
                <w:sz w:val="18"/>
                <w:szCs w:val="18"/>
              </w:rPr>
              <w:t>Les efforts d’adaptation sont inégaux, avec des avancées dans certaines régions mais stagnation dans d'autres.</w:t>
            </w:r>
          </w:p>
          <w:p w14:paraId="67350954" w14:textId="77777777" w:rsidR="00801971" w:rsidRPr="00B01C29" w:rsidRDefault="00801971" w:rsidP="00F42355">
            <w:pPr>
              <w:pStyle w:val="NormalWeb"/>
              <w:spacing w:before="0" w:beforeAutospacing="0" w:after="0" w:afterAutospacing="0"/>
              <w:ind w:left="720"/>
              <w:jc w:val="both"/>
              <w:rPr>
                <w:rFonts w:ascii="Century Gothic" w:hAnsi="Century Gothic"/>
                <w:sz w:val="18"/>
                <w:szCs w:val="18"/>
              </w:rPr>
            </w:pPr>
          </w:p>
          <w:p w14:paraId="78B3DA97" w14:textId="77777777" w:rsidR="00801971" w:rsidRPr="00B01C29" w:rsidRDefault="00801971" w:rsidP="005625B5">
            <w:pPr>
              <w:pStyle w:val="NormalWeb"/>
              <w:numPr>
                <w:ilvl w:val="0"/>
                <w:numId w:val="11"/>
              </w:numPr>
              <w:spacing w:before="0" w:beforeAutospacing="0" w:after="0" w:afterAutospacing="0"/>
              <w:jc w:val="both"/>
              <w:rPr>
                <w:rFonts w:ascii="Century Gothic" w:hAnsi="Century Gothic"/>
                <w:sz w:val="18"/>
                <w:szCs w:val="18"/>
              </w:rPr>
            </w:pPr>
            <w:r w:rsidRPr="00B01C29">
              <w:rPr>
                <w:rFonts w:ascii="Century Gothic" w:hAnsi="Century Gothic"/>
                <w:sz w:val="18"/>
                <w:szCs w:val="18"/>
              </w:rPr>
              <w:t>Les impacts du changement climatique continuent d'affecter la sécurité alimentaire et l'accès à l'eau.</w:t>
            </w:r>
          </w:p>
          <w:p w14:paraId="26D5D575" w14:textId="77777777" w:rsidR="00801971" w:rsidRPr="00B01C29" w:rsidRDefault="00801971" w:rsidP="00F42355">
            <w:pPr>
              <w:pStyle w:val="NormalWeb"/>
              <w:spacing w:before="0" w:beforeAutospacing="0" w:after="0" w:afterAutospacing="0"/>
              <w:ind w:left="720"/>
              <w:jc w:val="both"/>
              <w:rPr>
                <w:rFonts w:ascii="Century Gothic" w:hAnsi="Century Gothic"/>
                <w:sz w:val="18"/>
                <w:szCs w:val="18"/>
              </w:rPr>
            </w:pPr>
          </w:p>
          <w:p w14:paraId="746AB40E" w14:textId="77777777" w:rsidR="00801971" w:rsidRDefault="00801971" w:rsidP="005625B5">
            <w:pPr>
              <w:pStyle w:val="NormalWeb"/>
              <w:numPr>
                <w:ilvl w:val="0"/>
                <w:numId w:val="11"/>
              </w:numPr>
              <w:spacing w:before="0" w:beforeAutospacing="0" w:after="0" w:afterAutospacing="0"/>
              <w:jc w:val="both"/>
              <w:rPr>
                <w:rFonts w:ascii="Century Gothic" w:hAnsi="Century Gothic"/>
              </w:rPr>
            </w:pPr>
            <w:r w:rsidRPr="00B01C29">
              <w:rPr>
                <w:rFonts w:ascii="Century Gothic" w:hAnsi="Century Gothic"/>
                <w:sz w:val="18"/>
                <w:szCs w:val="18"/>
              </w:rPr>
              <w:t>Les communautés rurales s'adaptent lentement, mais les conflits pour les ressources augmentent.</w:t>
            </w:r>
          </w:p>
        </w:tc>
      </w:tr>
      <w:tr w:rsidR="00801971" w14:paraId="4F35207A" w14:textId="77777777" w:rsidTr="00A707AC">
        <w:tc>
          <w:tcPr>
            <w:tcW w:w="4531" w:type="dxa"/>
          </w:tcPr>
          <w:p w14:paraId="266B836D" w14:textId="77777777" w:rsidR="00801971" w:rsidRPr="00F42355" w:rsidRDefault="00801971" w:rsidP="00A707AC">
            <w:pPr>
              <w:pStyle w:val="NormalWeb"/>
              <w:spacing w:before="0" w:beforeAutospacing="0" w:after="0" w:afterAutospacing="0"/>
              <w:jc w:val="both"/>
              <w:rPr>
                <w:rFonts w:ascii="Century Gothic" w:hAnsi="Century Gothic"/>
                <w:sz w:val="20"/>
                <w:szCs w:val="20"/>
              </w:rPr>
            </w:pPr>
            <w:r w:rsidRPr="00F42355">
              <w:rPr>
                <w:rFonts w:ascii="Century Gothic" w:hAnsi="Century Gothic"/>
                <w:sz w:val="20"/>
                <w:szCs w:val="20"/>
              </w:rPr>
              <w:t>3. Scénario Pessimiste (Échec de l’Adaptation)</w:t>
            </w:r>
          </w:p>
          <w:p w14:paraId="059DA2B3" w14:textId="77777777" w:rsidR="00801971" w:rsidRPr="00F42355" w:rsidRDefault="00801971" w:rsidP="00A707AC">
            <w:pPr>
              <w:pStyle w:val="NormalWeb"/>
              <w:spacing w:before="0" w:beforeAutospacing="0" w:after="0" w:afterAutospacing="0"/>
              <w:jc w:val="both"/>
              <w:rPr>
                <w:rFonts w:ascii="Century Gothic" w:hAnsi="Century Gothic"/>
                <w:sz w:val="20"/>
                <w:szCs w:val="20"/>
              </w:rPr>
            </w:pPr>
          </w:p>
        </w:tc>
        <w:tc>
          <w:tcPr>
            <w:tcW w:w="4531" w:type="dxa"/>
          </w:tcPr>
          <w:p w14:paraId="0B77660D" w14:textId="77777777" w:rsidR="00801971" w:rsidRPr="00B01C29" w:rsidRDefault="00801971" w:rsidP="005625B5">
            <w:pPr>
              <w:pStyle w:val="NormalWeb"/>
              <w:numPr>
                <w:ilvl w:val="0"/>
                <w:numId w:val="11"/>
              </w:numPr>
              <w:spacing w:before="0" w:beforeAutospacing="0" w:after="0" w:afterAutospacing="0"/>
              <w:jc w:val="both"/>
              <w:rPr>
                <w:rFonts w:ascii="Century Gothic" w:hAnsi="Century Gothic"/>
                <w:sz w:val="18"/>
                <w:szCs w:val="18"/>
              </w:rPr>
            </w:pPr>
            <w:r w:rsidRPr="00B01C29">
              <w:rPr>
                <w:rFonts w:ascii="Century Gothic" w:hAnsi="Century Gothic"/>
                <w:sz w:val="18"/>
                <w:szCs w:val="18"/>
              </w:rPr>
              <w:t>Intensification des sécheresses et des inondations, entraînant une perte significative de biodiversité.</w:t>
            </w:r>
          </w:p>
          <w:p w14:paraId="7E92BCF6" w14:textId="77777777" w:rsidR="00801971" w:rsidRPr="00B01C29" w:rsidRDefault="00801971" w:rsidP="00F42355">
            <w:pPr>
              <w:pStyle w:val="NormalWeb"/>
              <w:spacing w:before="0" w:beforeAutospacing="0" w:after="0" w:afterAutospacing="0"/>
              <w:ind w:left="360"/>
              <w:jc w:val="both"/>
              <w:rPr>
                <w:rFonts w:ascii="Century Gothic" w:hAnsi="Century Gothic"/>
                <w:sz w:val="18"/>
                <w:szCs w:val="18"/>
              </w:rPr>
            </w:pPr>
          </w:p>
          <w:p w14:paraId="5D491533" w14:textId="3077FA55" w:rsidR="00801971" w:rsidRDefault="00801971" w:rsidP="005625B5">
            <w:pPr>
              <w:pStyle w:val="NormalWeb"/>
              <w:numPr>
                <w:ilvl w:val="0"/>
                <w:numId w:val="11"/>
              </w:numPr>
              <w:spacing w:before="0" w:beforeAutospacing="0" w:after="0" w:afterAutospacing="0"/>
              <w:jc w:val="both"/>
              <w:rPr>
                <w:rFonts w:ascii="Century Gothic" w:hAnsi="Century Gothic"/>
                <w:sz w:val="18"/>
                <w:szCs w:val="18"/>
              </w:rPr>
            </w:pPr>
            <w:r w:rsidRPr="00B01C29">
              <w:rPr>
                <w:rFonts w:ascii="Century Gothic" w:hAnsi="Century Gothic"/>
                <w:sz w:val="18"/>
                <w:szCs w:val="18"/>
              </w:rPr>
              <w:t>Émigration accrue des populations rurales vers les villes, exacerbant la pression sur les infrastructures urbaines.</w:t>
            </w:r>
          </w:p>
          <w:p w14:paraId="05CB60A1" w14:textId="77777777" w:rsidR="00F42355" w:rsidRPr="00F42355" w:rsidRDefault="00F42355" w:rsidP="00F42355">
            <w:pPr>
              <w:pStyle w:val="NormalWeb"/>
              <w:spacing w:before="0" w:beforeAutospacing="0" w:after="0" w:afterAutospacing="0"/>
              <w:ind w:left="720"/>
              <w:jc w:val="both"/>
              <w:rPr>
                <w:rFonts w:ascii="Century Gothic" w:hAnsi="Century Gothic"/>
                <w:sz w:val="18"/>
                <w:szCs w:val="18"/>
              </w:rPr>
            </w:pPr>
          </w:p>
          <w:p w14:paraId="5A42C965" w14:textId="1C9CB189" w:rsidR="00801971" w:rsidRPr="00F42355" w:rsidRDefault="00801971" w:rsidP="005625B5">
            <w:pPr>
              <w:pStyle w:val="NormalWeb"/>
              <w:numPr>
                <w:ilvl w:val="0"/>
                <w:numId w:val="11"/>
              </w:numPr>
              <w:spacing w:before="0" w:beforeAutospacing="0" w:after="0" w:afterAutospacing="0"/>
              <w:jc w:val="both"/>
              <w:rPr>
                <w:rFonts w:ascii="Century Gothic" w:hAnsi="Century Gothic"/>
                <w:sz w:val="18"/>
                <w:szCs w:val="18"/>
              </w:rPr>
            </w:pPr>
            <w:r w:rsidRPr="00B01C29">
              <w:rPr>
                <w:rFonts w:ascii="Century Gothic" w:hAnsi="Century Gothic"/>
                <w:sz w:val="18"/>
                <w:szCs w:val="18"/>
              </w:rPr>
              <w:t>Dégradation continue des écosystèmes, entraînant une crise alimentaire et économique.</w:t>
            </w:r>
          </w:p>
        </w:tc>
      </w:tr>
    </w:tbl>
    <w:p w14:paraId="5F476750" w14:textId="3E8825BB" w:rsidR="009C34FD" w:rsidRDefault="009C34FD" w:rsidP="00F42355">
      <w:pPr>
        <w:rPr>
          <w:rFonts w:ascii="Century Gothic" w:eastAsiaTheme="majorEastAsia" w:hAnsi="Century Gothic" w:cstheme="majorBidi"/>
          <w:color w:val="2F5496" w:themeColor="accent1" w:themeShade="BF"/>
          <w:kern w:val="2"/>
          <w:sz w:val="26"/>
          <w:szCs w:val="26"/>
          <w:lang w:val="wo-SN"/>
          <w14:ligatures w14:val="standardContextual"/>
        </w:rPr>
      </w:pPr>
    </w:p>
    <w:p w14:paraId="081C4071" w14:textId="3EE0E9CC" w:rsidR="003529F5" w:rsidRDefault="003529F5" w:rsidP="00F42355">
      <w:pPr>
        <w:rPr>
          <w:rFonts w:ascii="Century Gothic" w:eastAsiaTheme="majorEastAsia" w:hAnsi="Century Gothic" w:cstheme="majorBidi"/>
          <w:color w:val="2F5496" w:themeColor="accent1" w:themeShade="BF"/>
          <w:kern w:val="2"/>
          <w:sz w:val="26"/>
          <w:szCs w:val="26"/>
          <w:lang w:val="wo-SN"/>
          <w14:ligatures w14:val="standardContextual"/>
        </w:rPr>
      </w:pPr>
    </w:p>
    <w:p w14:paraId="5575FA2B" w14:textId="30632AB5" w:rsidR="003529F5" w:rsidRDefault="003529F5" w:rsidP="00F42355">
      <w:pPr>
        <w:rPr>
          <w:rFonts w:ascii="Century Gothic" w:eastAsiaTheme="majorEastAsia" w:hAnsi="Century Gothic" w:cstheme="majorBidi"/>
          <w:color w:val="2F5496" w:themeColor="accent1" w:themeShade="BF"/>
          <w:kern w:val="2"/>
          <w:sz w:val="26"/>
          <w:szCs w:val="26"/>
          <w:lang w:val="wo-SN"/>
          <w14:ligatures w14:val="standardContextual"/>
        </w:rPr>
      </w:pPr>
    </w:p>
    <w:p w14:paraId="676A29E8" w14:textId="0DBD35CB" w:rsidR="003529F5" w:rsidRDefault="003529F5" w:rsidP="00F42355">
      <w:pPr>
        <w:rPr>
          <w:rFonts w:ascii="Century Gothic" w:eastAsiaTheme="majorEastAsia" w:hAnsi="Century Gothic" w:cstheme="majorBidi"/>
          <w:color w:val="2F5496" w:themeColor="accent1" w:themeShade="BF"/>
          <w:kern w:val="2"/>
          <w:sz w:val="26"/>
          <w:szCs w:val="26"/>
          <w:lang w:val="wo-SN"/>
          <w14:ligatures w14:val="standardContextual"/>
        </w:rPr>
      </w:pPr>
    </w:p>
    <w:p w14:paraId="2EC57295" w14:textId="16386665" w:rsidR="003529F5" w:rsidRDefault="003529F5" w:rsidP="00F42355">
      <w:pPr>
        <w:rPr>
          <w:rFonts w:ascii="Century Gothic" w:eastAsiaTheme="majorEastAsia" w:hAnsi="Century Gothic" w:cstheme="majorBidi"/>
          <w:color w:val="2F5496" w:themeColor="accent1" w:themeShade="BF"/>
          <w:kern w:val="2"/>
          <w:sz w:val="26"/>
          <w:szCs w:val="26"/>
          <w:lang w:val="wo-SN"/>
          <w14:ligatures w14:val="standardContextual"/>
        </w:rPr>
      </w:pPr>
    </w:p>
    <w:p w14:paraId="0CBCE9A4" w14:textId="2C53273E" w:rsidR="003529F5" w:rsidRDefault="003529F5" w:rsidP="00F42355">
      <w:pPr>
        <w:rPr>
          <w:rFonts w:ascii="Century Gothic" w:eastAsiaTheme="majorEastAsia" w:hAnsi="Century Gothic" w:cstheme="majorBidi"/>
          <w:color w:val="2F5496" w:themeColor="accent1" w:themeShade="BF"/>
          <w:kern w:val="2"/>
          <w:sz w:val="26"/>
          <w:szCs w:val="26"/>
          <w:lang w:val="wo-SN"/>
          <w14:ligatures w14:val="standardContextual"/>
        </w:rPr>
      </w:pPr>
    </w:p>
    <w:p w14:paraId="0D154CBE" w14:textId="0FD07953" w:rsidR="003529F5" w:rsidRDefault="003529F5" w:rsidP="00F42355">
      <w:pPr>
        <w:rPr>
          <w:rFonts w:ascii="Century Gothic" w:eastAsiaTheme="majorEastAsia" w:hAnsi="Century Gothic" w:cstheme="majorBidi"/>
          <w:color w:val="2F5496" w:themeColor="accent1" w:themeShade="BF"/>
          <w:kern w:val="2"/>
          <w:sz w:val="26"/>
          <w:szCs w:val="26"/>
          <w:lang w:val="wo-SN"/>
          <w14:ligatures w14:val="standardContextual"/>
        </w:rPr>
      </w:pPr>
    </w:p>
    <w:p w14:paraId="7FE0EF63" w14:textId="7FF5FC3C" w:rsidR="003529F5" w:rsidRDefault="003529F5" w:rsidP="00F42355">
      <w:pPr>
        <w:rPr>
          <w:rFonts w:ascii="Century Gothic" w:eastAsiaTheme="majorEastAsia" w:hAnsi="Century Gothic" w:cstheme="majorBidi"/>
          <w:color w:val="2F5496" w:themeColor="accent1" w:themeShade="BF"/>
          <w:kern w:val="2"/>
          <w:sz w:val="26"/>
          <w:szCs w:val="26"/>
          <w:lang w:val="wo-SN"/>
          <w14:ligatures w14:val="standardContextual"/>
        </w:rPr>
      </w:pPr>
    </w:p>
    <w:p w14:paraId="1ADA96F7" w14:textId="77777777" w:rsidR="003529F5" w:rsidRPr="00F42355" w:rsidRDefault="003529F5" w:rsidP="00F42355">
      <w:pPr>
        <w:rPr>
          <w:rFonts w:ascii="Century Gothic" w:eastAsiaTheme="majorEastAsia" w:hAnsi="Century Gothic" w:cstheme="majorBidi"/>
          <w:color w:val="2F5496" w:themeColor="accent1" w:themeShade="BF"/>
          <w:kern w:val="2"/>
          <w:sz w:val="26"/>
          <w:szCs w:val="26"/>
          <w:lang w:val="wo-SN"/>
          <w14:ligatures w14:val="standardContextual"/>
        </w:rPr>
      </w:pPr>
    </w:p>
    <w:p w14:paraId="3EE275F5" w14:textId="77777777" w:rsidR="003529F5" w:rsidRDefault="003529F5" w:rsidP="00AA2F69">
      <w:pPr>
        <w:pStyle w:val="Titre2"/>
        <w:rPr>
          <w:rFonts w:ascii="Century Gothic" w:hAnsi="Century Gothic"/>
          <w:lang w:val="wo-SN"/>
        </w:rPr>
        <w:sectPr w:rsidR="003529F5">
          <w:pgSz w:w="11906" w:h="16838"/>
          <w:pgMar w:top="1417" w:right="1417" w:bottom="1417" w:left="1417" w:header="708" w:footer="708" w:gutter="0"/>
          <w:cols w:space="708"/>
          <w:docGrid w:linePitch="360"/>
        </w:sectPr>
      </w:pPr>
    </w:p>
    <w:p w14:paraId="1A4DB8FC" w14:textId="1DACFEB7" w:rsidR="00F42355" w:rsidRPr="002C1BF6" w:rsidRDefault="001F33E0" w:rsidP="002C1BF6">
      <w:pPr>
        <w:pStyle w:val="Titre2"/>
        <w:ind w:left="-851"/>
        <w:rPr>
          <w:rFonts w:ascii="Century Gothic" w:hAnsi="Century Gothic"/>
          <w:b/>
          <w:bCs/>
          <w:lang w:val="wo-SN"/>
        </w:rPr>
      </w:pPr>
      <w:bookmarkStart w:id="42" w:name="_Toc189375548"/>
      <w:r w:rsidRPr="002C1BF6">
        <w:rPr>
          <w:rFonts w:ascii="Century Gothic" w:hAnsi="Century Gothic"/>
          <w:b/>
          <w:bCs/>
          <w:lang w:val="wo-SN"/>
        </w:rPr>
        <w:t>7</w:t>
      </w:r>
      <w:r w:rsidR="00D9041C" w:rsidRPr="002C1BF6">
        <w:rPr>
          <w:rFonts w:ascii="Century Gothic" w:hAnsi="Century Gothic"/>
          <w:b/>
          <w:bCs/>
          <w:lang w:val="wo-SN"/>
        </w:rPr>
        <w:t xml:space="preserve">.2  </w:t>
      </w:r>
      <w:r w:rsidR="00F42355" w:rsidRPr="002C1BF6">
        <w:rPr>
          <w:rFonts w:ascii="Century Gothic" w:hAnsi="Century Gothic"/>
          <w:b/>
          <w:bCs/>
          <w:lang w:val="wo-SN"/>
        </w:rPr>
        <w:t>Réponses Pragmatique pour Réduire les Vulnérabilités  et Accroître la Productivité des Ressources Naturelles</w:t>
      </w:r>
      <w:bookmarkEnd w:id="42"/>
    </w:p>
    <w:p w14:paraId="3DCE7B57" w14:textId="7B8C28B3" w:rsidR="0045250F" w:rsidRPr="005D3120" w:rsidRDefault="00DE261F" w:rsidP="00DE261F">
      <w:pPr>
        <w:pStyle w:val="Lgende"/>
        <w:rPr>
          <w:rFonts w:ascii="Century Gothic" w:hAnsi="Century Gothic"/>
          <w:b/>
          <w:bCs/>
        </w:rPr>
      </w:pPr>
      <w:bookmarkStart w:id="43" w:name="_Toc189305537"/>
      <w:r w:rsidRPr="002C1BF6">
        <w:rPr>
          <w:b/>
          <w:bCs/>
        </w:rPr>
        <w:t xml:space="preserve">Table </w:t>
      </w:r>
      <w:r w:rsidRPr="002C1BF6">
        <w:rPr>
          <w:b/>
          <w:bCs/>
        </w:rPr>
        <w:fldChar w:fldCharType="begin"/>
      </w:r>
      <w:r w:rsidRPr="002C1BF6">
        <w:rPr>
          <w:b/>
          <w:bCs/>
        </w:rPr>
        <w:instrText xml:space="preserve"> SEQ Table \* ARABIC </w:instrText>
      </w:r>
      <w:r w:rsidRPr="002C1BF6">
        <w:rPr>
          <w:b/>
          <w:bCs/>
        </w:rPr>
        <w:fldChar w:fldCharType="separate"/>
      </w:r>
      <w:r w:rsidRPr="002C1BF6">
        <w:rPr>
          <w:b/>
          <w:bCs/>
          <w:noProof/>
        </w:rPr>
        <w:t>5</w:t>
      </w:r>
      <w:r w:rsidRPr="002C1BF6">
        <w:rPr>
          <w:b/>
          <w:bCs/>
          <w:noProof/>
        </w:rPr>
        <w:fldChar w:fldCharType="end"/>
      </w:r>
      <w:r w:rsidRPr="002C1BF6">
        <w:rPr>
          <w:b/>
          <w:bCs/>
        </w:rPr>
        <w:t xml:space="preserve"> Tableau des </w:t>
      </w:r>
      <w:bookmarkEnd w:id="43"/>
      <w:r w:rsidR="00A616B6" w:rsidRPr="002C1BF6">
        <w:rPr>
          <w:b/>
          <w:bCs/>
        </w:rPr>
        <w:t>réponses</w:t>
      </w:r>
    </w:p>
    <w:tbl>
      <w:tblPr>
        <w:tblStyle w:val="Grilledutableau"/>
        <w:tblW w:w="16302" w:type="dxa"/>
        <w:tblInd w:w="-1139" w:type="dxa"/>
        <w:tblLook w:val="04A0" w:firstRow="1" w:lastRow="0" w:firstColumn="1" w:lastColumn="0" w:noHBand="0" w:noVBand="1"/>
      </w:tblPr>
      <w:tblGrid>
        <w:gridCol w:w="1843"/>
        <w:gridCol w:w="3260"/>
        <w:gridCol w:w="11199"/>
      </w:tblGrid>
      <w:tr w:rsidR="009B0256" w:rsidRPr="00F01190" w14:paraId="0928E649" w14:textId="77777777" w:rsidTr="003529F5">
        <w:tc>
          <w:tcPr>
            <w:tcW w:w="1843" w:type="dxa"/>
          </w:tcPr>
          <w:p w14:paraId="15DF852D" w14:textId="2FCD6DDC" w:rsidR="00E443ED" w:rsidRPr="00F01190" w:rsidRDefault="00E443ED" w:rsidP="009C34F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 xml:space="preserve">Reponse pour : </w:t>
            </w:r>
          </w:p>
        </w:tc>
        <w:tc>
          <w:tcPr>
            <w:tcW w:w="3260" w:type="dxa"/>
          </w:tcPr>
          <w:p w14:paraId="3B04CA8B" w14:textId="73CAA9C4" w:rsidR="00E443ED" w:rsidRPr="00F01190" w:rsidRDefault="00E443ED" w:rsidP="009C34F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Objectif</w:t>
            </w:r>
          </w:p>
        </w:tc>
        <w:tc>
          <w:tcPr>
            <w:tcW w:w="11199" w:type="dxa"/>
          </w:tcPr>
          <w:p w14:paraId="41DAFD01" w14:textId="2B087DB0" w:rsidR="00E443ED" w:rsidRPr="00F01190" w:rsidRDefault="00E443ED" w:rsidP="009C34F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 xml:space="preserve">Actions </w:t>
            </w:r>
          </w:p>
        </w:tc>
      </w:tr>
      <w:tr w:rsidR="009B0256" w:rsidRPr="00F01190" w14:paraId="2E8DDA60" w14:textId="77777777" w:rsidTr="003529F5">
        <w:tc>
          <w:tcPr>
            <w:tcW w:w="1843" w:type="dxa"/>
          </w:tcPr>
          <w:p w14:paraId="0117269C" w14:textId="51942000" w:rsidR="00E443ED" w:rsidRPr="00F01190" w:rsidRDefault="00E443ED" w:rsidP="009C34F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le Biome Désertique</w:t>
            </w:r>
          </w:p>
        </w:tc>
        <w:tc>
          <w:tcPr>
            <w:tcW w:w="3260" w:type="dxa"/>
          </w:tcPr>
          <w:p w14:paraId="7030E8F7" w14:textId="3D620252"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Réduire l'impact de la désertification, améliorer la gestion de l'eau et renforcer la résilience des écosystèmes.</w:t>
            </w:r>
          </w:p>
        </w:tc>
        <w:tc>
          <w:tcPr>
            <w:tcW w:w="11199" w:type="dxa"/>
          </w:tcPr>
          <w:p w14:paraId="26149ED1" w14:textId="77777777"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b/>
                <w:bCs/>
                <w:sz w:val="20"/>
                <w:szCs w:val="20"/>
              </w:rPr>
              <w:t>Gestion durable des sols et lutte contre la désertification</w:t>
            </w:r>
            <w:r w:rsidRPr="00F01190">
              <w:rPr>
                <w:rFonts w:ascii="Century Gothic" w:hAnsi="Century Gothic"/>
                <w:sz w:val="20"/>
                <w:szCs w:val="20"/>
              </w:rPr>
              <w:t xml:space="preserve"> :</w:t>
            </w:r>
          </w:p>
          <w:p w14:paraId="001D767F" w14:textId="77777777"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Promouvoir des pratiques agroécologiques telles que la culture en terrasse, le pâturage contrôlé et l'agroforesterie pour lutter contre l’érosion du sol et restaurer la fertilité des sols.</w:t>
            </w:r>
          </w:p>
          <w:p w14:paraId="05578CF4" w14:textId="77777777"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Implanter des haies et des bandes de végétation pour limiter l'érosion éolienne et protéger les terres agricoles.</w:t>
            </w:r>
          </w:p>
          <w:p w14:paraId="0AC72391" w14:textId="77777777"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Protéger et restaurer les zones de dunes et de palmiers pour prévenir l'avancée du désert.</w:t>
            </w:r>
          </w:p>
          <w:p w14:paraId="55D2C4D4" w14:textId="77777777" w:rsidR="00E443ED" w:rsidRPr="00F01190" w:rsidRDefault="00E443ED" w:rsidP="00E443ED">
            <w:pPr>
              <w:pStyle w:val="NormalWeb"/>
              <w:spacing w:before="0" w:beforeAutospacing="0" w:after="0" w:afterAutospacing="0"/>
              <w:jc w:val="both"/>
              <w:rPr>
                <w:rFonts w:ascii="Century Gothic" w:hAnsi="Century Gothic"/>
                <w:b/>
                <w:bCs/>
                <w:sz w:val="20"/>
                <w:szCs w:val="20"/>
              </w:rPr>
            </w:pPr>
          </w:p>
          <w:p w14:paraId="14AC38FF" w14:textId="57619660"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b/>
                <w:bCs/>
                <w:sz w:val="20"/>
                <w:szCs w:val="20"/>
              </w:rPr>
              <w:t>Gestion efficace de l'eau</w:t>
            </w:r>
            <w:r w:rsidRPr="00F01190">
              <w:rPr>
                <w:rFonts w:ascii="Century Gothic" w:hAnsi="Century Gothic"/>
                <w:sz w:val="20"/>
                <w:szCs w:val="20"/>
              </w:rPr>
              <w:t xml:space="preserve"> :</w:t>
            </w:r>
          </w:p>
          <w:p w14:paraId="2E134E97" w14:textId="77777777"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Développer des techniques d’irrigation durable comme l'irrigation goutte-à-goutte ou la récolte de l'eau de pluie pour soutenir l’agriculture et l’élevage.</w:t>
            </w:r>
          </w:p>
          <w:p w14:paraId="35BABEAD" w14:textId="77777777"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Favoriser la réutilisation des eaux usées traitées pour l'agriculture et la foresterie.</w:t>
            </w:r>
          </w:p>
          <w:p w14:paraId="54CD18CC" w14:textId="77777777" w:rsidR="00E443ED" w:rsidRPr="00F01190" w:rsidRDefault="00E443ED" w:rsidP="00E443ED">
            <w:pPr>
              <w:pStyle w:val="NormalWeb"/>
              <w:spacing w:before="0" w:beforeAutospacing="0" w:after="0" w:afterAutospacing="0"/>
              <w:jc w:val="both"/>
              <w:rPr>
                <w:rFonts w:ascii="Century Gothic" w:hAnsi="Century Gothic"/>
                <w:b/>
                <w:bCs/>
                <w:sz w:val="20"/>
                <w:szCs w:val="20"/>
              </w:rPr>
            </w:pPr>
          </w:p>
          <w:p w14:paraId="5831BD70" w14:textId="11D5DEB2"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b/>
                <w:bCs/>
                <w:sz w:val="20"/>
                <w:szCs w:val="20"/>
              </w:rPr>
              <w:t>Renforcement des capacités communautaires</w:t>
            </w:r>
            <w:r w:rsidRPr="00F01190">
              <w:rPr>
                <w:rFonts w:ascii="Century Gothic" w:hAnsi="Century Gothic"/>
                <w:sz w:val="20"/>
                <w:szCs w:val="20"/>
              </w:rPr>
              <w:t xml:space="preserve"> :</w:t>
            </w:r>
          </w:p>
          <w:p w14:paraId="1F6631B6" w14:textId="7B17EC5B" w:rsidR="00E443ED" w:rsidRPr="00F01190" w:rsidRDefault="00E443ED" w:rsidP="00F42355">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Former les communautés à des pratiques agricoles résilientes au climat et à la gestion des ressources naturelles.</w:t>
            </w:r>
          </w:p>
        </w:tc>
      </w:tr>
      <w:tr w:rsidR="009B0256" w:rsidRPr="00F01190" w14:paraId="61D8B234" w14:textId="77777777" w:rsidTr="003529F5">
        <w:tc>
          <w:tcPr>
            <w:tcW w:w="1843" w:type="dxa"/>
          </w:tcPr>
          <w:p w14:paraId="12FF64C0" w14:textId="1FE07CCB" w:rsidR="00E443ED" w:rsidRPr="00F01190" w:rsidRDefault="00E443ED" w:rsidP="009C34F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le Biome Marin et Côtier</w:t>
            </w:r>
          </w:p>
        </w:tc>
        <w:tc>
          <w:tcPr>
            <w:tcW w:w="3260" w:type="dxa"/>
          </w:tcPr>
          <w:p w14:paraId="6AC8E55A" w14:textId="747BFD05"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Protéger les écosystèmes marins et littoraux, maintenir la biodiversité et la productivité halieutique.</w:t>
            </w:r>
          </w:p>
        </w:tc>
        <w:tc>
          <w:tcPr>
            <w:tcW w:w="11199" w:type="dxa"/>
          </w:tcPr>
          <w:p w14:paraId="57DF2E4A" w14:textId="77777777"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b/>
                <w:bCs/>
                <w:sz w:val="20"/>
                <w:szCs w:val="20"/>
              </w:rPr>
              <w:t>Protection et restauration des écosystèmes côtiers</w:t>
            </w:r>
            <w:r w:rsidRPr="00F01190">
              <w:rPr>
                <w:rFonts w:ascii="Century Gothic" w:hAnsi="Century Gothic"/>
                <w:sz w:val="20"/>
                <w:szCs w:val="20"/>
              </w:rPr>
              <w:t xml:space="preserve"> :</w:t>
            </w:r>
          </w:p>
          <w:p w14:paraId="27FFB3FC" w14:textId="77777777"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Créer et renforcer les aires marines protégées, notamment le Parc National du Banc d'Arguin et d’autres zones sensibles aux impacts du changement climatique, pour préserver les récifs coralliens, les herbiers marins et les mangroves.</w:t>
            </w:r>
          </w:p>
          <w:p w14:paraId="17A8A1FE" w14:textId="77777777"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Mettre en œuvre des programmes de régénération des mangroves et des herbiers marins, essentiels pour la biodiversité et comme zones de reproduction pour de nombreuses espèces marines.</w:t>
            </w:r>
          </w:p>
          <w:p w14:paraId="3B5B3FC7" w14:textId="77777777" w:rsidR="00E443ED" w:rsidRPr="00F01190" w:rsidRDefault="00E443ED" w:rsidP="00E443ED">
            <w:pPr>
              <w:pStyle w:val="NormalWeb"/>
              <w:spacing w:before="0" w:beforeAutospacing="0" w:after="0" w:afterAutospacing="0"/>
              <w:jc w:val="both"/>
              <w:rPr>
                <w:rFonts w:ascii="Century Gothic" w:hAnsi="Century Gothic"/>
                <w:b/>
                <w:bCs/>
                <w:sz w:val="20"/>
                <w:szCs w:val="20"/>
              </w:rPr>
            </w:pPr>
          </w:p>
          <w:p w14:paraId="36AA791B" w14:textId="77777777"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b/>
                <w:bCs/>
                <w:sz w:val="20"/>
                <w:szCs w:val="20"/>
              </w:rPr>
              <w:t>Adaptation des infrastructures côtières</w:t>
            </w:r>
            <w:r w:rsidRPr="00F01190">
              <w:rPr>
                <w:rFonts w:ascii="Century Gothic" w:hAnsi="Century Gothic"/>
                <w:sz w:val="20"/>
                <w:szCs w:val="20"/>
              </w:rPr>
              <w:t xml:space="preserve"> :</w:t>
            </w:r>
          </w:p>
          <w:p w14:paraId="44F4C30C" w14:textId="1E30A9B5"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Mettre en place des infrastructures résilientes à la montée du niveau de la mer, comme les digues, les barrières naturelles (mangroves, dunes), et renforcer la surveillance de l’érosion côtière.</w:t>
            </w:r>
          </w:p>
          <w:p w14:paraId="4BEB5873" w14:textId="77777777" w:rsidR="001F1D90" w:rsidRPr="00F01190" w:rsidRDefault="001F1D90" w:rsidP="00E443ED">
            <w:pPr>
              <w:pStyle w:val="NormalWeb"/>
              <w:spacing w:before="0" w:beforeAutospacing="0" w:after="0" w:afterAutospacing="0"/>
              <w:jc w:val="both"/>
              <w:rPr>
                <w:rFonts w:ascii="Century Gothic" w:hAnsi="Century Gothic"/>
                <w:sz w:val="20"/>
                <w:szCs w:val="20"/>
              </w:rPr>
            </w:pPr>
          </w:p>
          <w:p w14:paraId="7CEB6CB6" w14:textId="77777777"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b/>
                <w:bCs/>
                <w:sz w:val="20"/>
                <w:szCs w:val="20"/>
              </w:rPr>
              <w:t>Diversification économique pour les communautés côtières</w:t>
            </w:r>
            <w:r w:rsidRPr="00F01190">
              <w:rPr>
                <w:rFonts w:ascii="Century Gothic" w:hAnsi="Century Gothic"/>
                <w:sz w:val="20"/>
                <w:szCs w:val="20"/>
              </w:rPr>
              <w:t xml:space="preserve"> :</w:t>
            </w:r>
          </w:p>
          <w:p w14:paraId="6EB67BA6" w14:textId="77777777"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Promouvoir des alternatives économiques comme le tourisme durable, la culture de poissons résistants à la chaleur, et des techniques de pêche durables, réduisant la pression sur les stocks halieutiques.</w:t>
            </w:r>
          </w:p>
          <w:p w14:paraId="3813921A" w14:textId="77777777" w:rsidR="00E443ED" w:rsidRPr="00F01190" w:rsidRDefault="00E443ED" w:rsidP="009C34FD">
            <w:pPr>
              <w:pStyle w:val="NormalWeb"/>
              <w:spacing w:before="0" w:beforeAutospacing="0" w:after="0" w:afterAutospacing="0"/>
              <w:jc w:val="both"/>
              <w:rPr>
                <w:rFonts w:ascii="Century Gothic" w:hAnsi="Century Gothic"/>
                <w:sz w:val="20"/>
                <w:szCs w:val="20"/>
              </w:rPr>
            </w:pPr>
          </w:p>
        </w:tc>
      </w:tr>
      <w:tr w:rsidR="009B0256" w:rsidRPr="00F01190" w14:paraId="6769E4A5" w14:textId="77777777" w:rsidTr="003529F5">
        <w:tc>
          <w:tcPr>
            <w:tcW w:w="1843" w:type="dxa"/>
          </w:tcPr>
          <w:p w14:paraId="51396F06" w14:textId="4A420D87" w:rsidR="00E443ED" w:rsidRPr="00F01190" w:rsidRDefault="00E443ED" w:rsidP="009C34F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les Estuaires et Zones Humides</w:t>
            </w:r>
          </w:p>
        </w:tc>
        <w:tc>
          <w:tcPr>
            <w:tcW w:w="3260" w:type="dxa"/>
          </w:tcPr>
          <w:p w14:paraId="236515DE" w14:textId="7BF29FB9"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Préserver les écosystèmes de zones humides et assurer une gestion durable des ressources.</w:t>
            </w:r>
          </w:p>
        </w:tc>
        <w:tc>
          <w:tcPr>
            <w:tcW w:w="11199" w:type="dxa"/>
          </w:tcPr>
          <w:p w14:paraId="048D2154" w14:textId="77777777"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b/>
                <w:bCs/>
                <w:sz w:val="20"/>
                <w:szCs w:val="20"/>
              </w:rPr>
              <w:t>Préservation de la biodiversité</w:t>
            </w:r>
            <w:r w:rsidRPr="00F01190">
              <w:rPr>
                <w:rFonts w:ascii="Century Gothic" w:hAnsi="Century Gothic"/>
                <w:sz w:val="20"/>
                <w:szCs w:val="20"/>
              </w:rPr>
              <w:t xml:space="preserve"> :</w:t>
            </w:r>
          </w:p>
          <w:p w14:paraId="35444079" w14:textId="77777777"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Assurer la gestion intégrée des zones humides, en protégeant les estuaires contre les menaces de salinisation, d’inondation et de pollution, en limitant l’accès humain et les activités nuisibles.</w:t>
            </w:r>
          </w:p>
          <w:p w14:paraId="166A3B33" w14:textId="1EAD097F"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Mettre en place des zones tampons végétales le long des estuaires et des lacs pour minimiser l'impact des inondations et de la salinisation.</w:t>
            </w:r>
          </w:p>
          <w:p w14:paraId="6F521F2E" w14:textId="77777777" w:rsidR="001F1D90" w:rsidRPr="00F01190" w:rsidRDefault="001F1D90" w:rsidP="00E443ED">
            <w:pPr>
              <w:pStyle w:val="NormalWeb"/>
              <w:spacing w:before="0" w:beforeAutospacing="0" w:after="0" w:afterAutospacing="0"/>
              <w:jc w:val="both"/>
              <w:rPr>
                <w:rFonts w:ascii="Century Gothic" w:hAnsi="Century Gothic"/>
                <w:sz w:val="20"/>
                <w:szCs w:val="20"/>
              </w:rPr>
            </w:pPr>
          </w:p>
          <w:p w14:paraId="046DD3D2" w14:textId="77777777"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b/>
                <w:bCs/>
                <w:sz w:val="20"/>
                <w:szCs w:val="20"/>
              </w:rPr>
              <w:t>Suivi des écosystèmes et gestion adaptative</w:t>
            </w:r>
            <w:r w:rsidRPr="00F01190">
              <w:rPr>
                <w:rFonts w:ascii="Century Gothic" w:hAnsi="Century Gothic"/>
                <w:sz w:val="20"/>
                <w:szCs w:val="20"/>
              </w:rPr>
              <w:t xml:space="preserve"> :</w:t>
            </w:r>
          </w:p>
          <w:p w14:paraId="0463CCED" w14:textId="3C8323F1"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Renforcer la surveillance des écosystèmes aquatiques pour détecter les changements dans les flux hydrologiques, la qualité de l’eau et les espèces invasives.</w:t>
            </w:r>
          </w:p>
          <w:p w14:paraId="0E06B4B0" w14:textId="77777777" w:rsidR="001F1D90" w:rsidRPr="00F01190" w:rsidRDefault="001F1D90" w:rsidP="00E443ED">
            <w:pPr>
              <w:pStyle w:val="NormalWeb"/>
              <w:spacing w:before="0" w:beforeAutospacing="0" w:after="0" w:afterAutospacing="0"/>
              <w:jc w:val="both"/>
              <w:rPr>
                <w:rFonts w:ascii="Century Gothic" w:hAnsi="Century Gothic"/>
                <w:sz w:val="20"/>
                <w:szCs w:val="20"/>
              </w:rPr>
            </w:pPr>
          </w:p>
          <w:p w14:paraId="03B944F7" w14:textId="77777777"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b/>
                <w:bCs/>
                <w:sz w:val="20"/>
                <w:szCs w:val="20"/>
              </w:rPr>
              <w:t>Sensibilisation et développement d'activités alternatives</w:t>
            </w:r>
            <w:r w:rsidRPr="00F01190">
              <w:rPr>
                <w:rFonts w:ascii="Century Gothic" w:hAnsi="Century Gothic"/>
                <w:sz w:val="20"/>
                <w:szCs w:val="20"/>
              </w:rPr>
              <w:t xml:space="preserve"> :</w:t>
            </w:r>
          </w:p>
          <w:p w14:paraId="7804B392" w14:textId="4F15099D" w:rsidR="00E443ED" w:rsidRPr="00F01190" w:rsidRDefault="00E443ED" w:rsidP="00E443E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Développer des alternatives économiques pour les communautés locales comme la pisciculture durable, l’agriculture de palétuviers et le tourisme écologique.</w:t>
            </w:r>
          </w:p>
        </w:tc>
      </w:tr>
      <w:tr w:rsidR="009B0256" w:rsidRPr="00F01190" w14:paraId="661FC9CE" w14:textId="77777777" w:rsidTr="003529F5">
        <w:tc>
          <w:tcPr>
            <w:tcW w:w="1843" w:type="dxa"/>
          </w:tcPr>
          <w:p w14:paraId="64756A7A" w14:textId="40E02545" w:rsidR="00E443ED" w:rsidRPr="00F01190" w:rsidRDefault="00E443ED" w:rsidP="009C34F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les Fleuves et les Lacs</w:t>
            </w:r>
          </w:p>
        </w:tc>
        <w:tc>
          <w:tcPr>
            <w:tcW w:w="3260" w:type="dxa"/>
          </w:tcPr>
          <w:p w14:paraId="0782B0AD" w14:textId="5FF0DA60" w:rsidR="00E443ED" w:rsidRPr="00F01190" w:rsidRDefault="00467D17" w:rsidP="009C34F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Améliorer la gestion des ressources en eau et la résilience des écosystèmes fluviaux.</w:t>
            </w:r>
          </w:p>
        </w:tc>
        <w:tc>
          <w:tcPr>
            <w:tcW w:w="11199" w:type="dxa"/>
          </w:tcPr>
          <w:p w14:paraId="34F6FBE6" w14:textId="77777777" w:rsidR="00467D17" w:rsidRPr="00F01190" w:rsidRDefault="00467D17" w:rsidP="00467D17">
            <w:pPr>
              <w:pStyle w:val="NormalWeb"/>
              <w:spacing w:before="0" w:beforeAutospacing="0" w:after="0" w:afterAutospacing="0"/>
              <w:jc w:val="both"/>
              <w:rPr>
                <w:rFonts w:ascii="Century Gothic" w:hAnsi="Century Gothic"/>
                <w:sz w:val="20"/>
                <w:szCs w:val="20"/>
              </w:rPr>
            </w:pPr>
            <w:r w:rsidRPr="00F01190">
              <w:rPr>
                <w:rFonts w:ascii="Century Gothic" w:hAnsi="Century Gothic"/>
                <w:b/>
                <w:bCs/>
                <w:sz w:val="20"/>
                <w:szCs w:val="20"/>
              </w:rPr>
              <w:t>Gestion intégrée de l’eau</w:t>
            </w:r>
            <w:r w:rsidRPr="00F01190">
              <w:rPr>
                <w:rFonts w:ascii="Century Gothic" w:hAnsi="Century Gothic"/>
                <w:sz w:val="20"/>
                <w:szCs w:val="20"/>
              </w:rPr>
              <w:t xml:space="preserve"> :</w:t>
            </w:r>
          </w:p>
          <w:p w14:paraId="022A6FD7" w14:textId="77777777" w:rsidR="00467D17" w:rsidRPr="00F01190" w:rsidRDefault="00467D17" w:rsidP="00467D17">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Renforcer la coopération transfrontalière pour la gestion des bassins fluviaux, en particulier pour le fleuve Sénégal, afin de réguler les flux d’eau et prévenir les conflits liés à l’accès à l’eau.</w:t>
            </w:r>
          </w:p>
          <w:p w14:paraId="311130F2" w14:textId="77777777" w:rsidR="00467D17" w:rsidRPr="00F01190" w:rsidRDefault="00467D17" w:rsidP="00467D17">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Promouvoir des techniques de gestion de l’eau adaptées aux périodes de sécheresse (par exemple, les barrages de rétention d'eau pour stocker les excédents en période de crue).</w:t>
            </w:r>
          </w:p>
          <w:p w14:paraId="078A0C35" w14:textId="77777777" w:rsidR="001F1D90" w:rsidRPr="00F01190" w:rsidRDefault="001F1D90" w:rsidP="00467D17">
            <w:pPr>
              <w:pStyle w:val="NormalWeb"/>
              <w:spacing w:before="0" w:beforeAutospacing="0" w:after="0" w:afterAutospacing="0"/>
              <w:jc w:val="both"/>
              <w:rPr>
                <w:rFonts w:ascii="Century Gothic" w:hAnsi="Century Gothic"/>
                <w:b/>
                <w:bCs/>
                <w:sz w:val="20"/>
                <w:szCs w:val="20"/>
              </w:rPr>
            </w:pPr>
          </w:p>
          <w:p w14:paraId="7B8F8356" w14:textId="324E7923" w:rsidR="00467D17" w:rsidRPr="00F01190" w:rsidRDefault="00467D17" w:rsidP="00467D17">
            <w:pPr>
              <w:pStyle w:val="NormalWeb"/>
              <w:spacing w:before="0" w:beforeAutospacing="0" w:after="0" w:afterAutospacing="0"/>
              <w:jc w:val="both"/>
              <w:rPr>
                <w:rFonts w:ascii="Century Gothic" w:hAnsi="Century Gothic"/>
                <w:sz w:val="20"/>
                <w:szCs w:val="20"/>
              </w:rPr>
            </w:pPr>
            <w:r w:rsidRPr="00F01190">
              <w:rPr>
                <w:rFonts w:ascii="Century Gothic" w:hAnsi="Century Gothic"/>
                <w:b/>
                <w:bCs/>
                <w:sz w:val="20"/>
                <w:szCs w:val="20"/>
              </w:rPr>
              <w:t>Réhabilitation des zones riveraines</w:t>
            </w:r>
            <w:r w:rsidRPr="00F01190">
              <w:rPr>
                <w:rFonts w:ascii="Century Gothic" w:hAnsi="Century Gothic"/>
                <w:sz w:val="20"/>
                <w:szCs w:val="20"/>
              </w:rPr>
              <w:t xml:space="preserve"> :</w:t>
            </w:r>
          </w:p>
          <w:p w14:paraId="4BAE7FC4" w14:textId="56031496" w:rsidR="00467D17" w:rsidRPr="00F01190" w:rsidRDefault="00467D17" w:rsidP="00467D17">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Restaurer les écosystèmes riverains et renforcer la végétation pour limiter l’érosion des berges et protéger les zones de reproduction des poissons.</w:t>
            </w:r>
          </w:p>
          <w:p w14:paraId="4F399555" w14:textId="77777777" w:rsidR="001F1D90" w:rsidRPr="00F01190" w:rsidRDefault="001F1D90" w:rsidP="00467D17">
            <w:pPr>
              <w:pStyle w:val="NormalWeb"/>
              <w:spacing w:before="0" w:beforeAutospacing="0" w:after="0" w:afterAutospacing="0"/>
              <w:jc w:val="both"/>
              <w:rPr>
                <w:rFonts w:ascii="Century Gothic" w:hAnsi="Century Gothic"/>
                <w:sz w:val="20"/>
                <w:szCs w:val="20"/>
              </w:rPr>
            </w:pPr>
          </w:p>
          <w:p w14:paraId="0068500F" w14:textId="77777777" w:rsidR="00467D17" w:rsidRPr="00F01190" w:rsidRDefault="00467D17" w:rsidP="00467D17">
            <w:pPr>
              <w:pStyle w:val="NormalWeb"/>
              <w:spacing w:before="0" w:beforeAutospacing="0" w:after="0" w:afterAutospacing="0"/>
              <w:jc w:val="both"/>
              <w:rPr>
                <w:rFonts w:ascii="Century Gothic" w:hAnsi="Century Gothic"/>
                <w:sz w:val="20"/>
                <w:szCs w:val="20"/>
              </w:rPr>
            </w:pPr>
            <w:r w:rsidRPr="00F01190">
              <w:rPr>
                <w:rFonts w:ascii="Century Gothic" w:hAnsi="Century Gothic"/>
                <w:b/>
                <w:bCs/>
                <w:sz w:val="20"/>
                <w:szCs w:val="20"/>
              </w:rPr>
              <w:t>Systèmes d’alerte précoce et gestion des inondations</w:t>
            </w:r>
            <w:r w:rsidRPr="00F01190">
              <w:rPr>
                <w:rFonts w:ascii="Century Gothic" w:hAnsi="Century Gothic"/>
                <w:sz w:val="20"/>
                <w:szCs w:val="20"/>
              </w:rPr>
              <w:t xml:space="preserve"> :</w:t>
            </w:r>
          </w:p>
          <w:p w14:paraId="3BC094F8" w14:textId="2AEBC202" w:rsidR="00E443ED" w:rsidRPr="00F01190" w:rsidRDefault="00467D17" w:rsidP="00467D17">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Mettre en place des systèmes d'alerte précoce et des infrastructures de gestion des crues pour protéger les communautés riveraines et les terres agricoles.</w:t>
            </w:r>
          </w:p>
        </w:tc>
      </w:tr>
      <w:tr w:rsidR="009B0256" w:rsidRPr="00F01190" w14:paraId="33DCFBCC" w14:textId="77777777" w:rsidTr="003529F5">
        <w:tc>
          <w:tcPr>
            <w:tcW w:w="1843" w:type="dxa"/>
          </w:tcPr>
          <w:p w14:paraId="3BF7DC1A" w14:textId="5EA32470" w:rsidR="00E443ED" w:rsidRPr="00F01190" w:rsidRDefault="00467D17" w:rsidP="009C34F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les Forêts et Zones Sahéliennes</w:t>
            </w:r>
          </w:p>
        </w:tc>
        <w:tc>
          <w:tcPr>
            <w:tcW w:w="3260" w:type="dxa"/>
          </w:tcPr>
          <w:p w14:paraId="2EC39CD8" w14:textId="2016F29A" w:rsidR="00E443ED" w:rsidRPr="00F01190" w:rsidRDefault="00467D17" w:rsidP="009C34FD">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Lutter contre la déforestation, restaurer les terres dégradées et renforcer les capacités d'adaptation des écosystèmes.</w:t>
            </w:r>
          </w:p>
        </w:tc>
        <w:tc>
          <w:tcPr>
            <w:tcW w:w="11199" w:type="dxa"/>
          </w:tcPr>
          <w:p w14:paraId="4C64CA64" w14:textId="77777777" w:rsidR="00467D17" w:rsidRPr="00F01190" w:rsidRDefault="00467D17" w:rsidP="00467D17">
            <w:pPr>
              <w:pStyle w:val="NormalWeb"/>
              <w:spacing w:before="0" w:beforeAutospacing="0" w:after="0" w:afterAutospacing="0"/>
              <w:jc w:val="both"/>
              <w:rPr>
                <w:rFonts w:ascii="Century Gothic" w:hAnsi="Century Gothic"/>
                <w:sz w:val="20"/>
                <w:szCs w:val="20"/>
              </w:rPr>
            </w:pPr>
            <w:r w:rsidRPr="00F01190">
              <w:rPr>
                <w:rFonts w:ascii="Century Gothic" w:hAnsi="Century Gothic"/>
                <w:b/>
                <w:bCs/>
                <w:sz w:val="20"/>
                <w:szCs w:val="20"/>
              </w:rPr>
              <w:t>Reboisement et agroforesterie</w:t>
            </w:r>
            <w:r w:rsidRPr="00F01190">
              <w:rPr>
                <w:rFonts w:ascii="Century Gothic" w:hAnsi="Century Gothic"/>
                <w:sz w:val="20"/>
                <w:szCs w:val="20"/>
              </w:rPr>
              <w:t xml:space="preserve"> :</w:t>
            </w:r>
          </w:p>
          <w:p w14:paraId="51B547E7" w14:textId="77777777" w:rsidR="00467D17" w:rsidRPr="00F01190" w:rsidRDefault="00467D17" w:rsidP="00467D17">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Promouvoir le reboisement, l'agroforesterie et la gestion durable des forêts pour restaurer les terres dégradées, lutter contre la désertification et améliorer la qualité des sols.</w:t>
            </w:r>
          </w:p>
          <w:p w14:paraId="32944023" w14:textId="77777777" w:rsidR="00467D17" w:rsidRPr="00F01190" w:rsidRDefault="00467D17" w:rsidP="00467D17">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Encourager les communautés locales à adopter des pratiques de culture intercalée avec des arbres, qui aident à retenir l'humidité et à protéger les sols contre l'érosion.</w:t>
            </w:r>
          </w:p>
          <w:p w14:paraId="24EE5CFD" w14:textId="77777777" w:rsidR="001F1D90" w:rsidRPr="00F01190" w:rsidRDefault="001F1D90" w:rsidP="00467D17">
            <w:pPr>
              <w:pStyle w:val="NormalWeb"/>
              <w:spacing w:before="0" w:beforeAutospacing="0" w:after="0" w:afterAutospacing="0"/>
              <w:jc w:val="both"/>
              <w:rPr>
                <w:rFonts w:ascii="Century Gothic" w:hAnsi="Century Gothic"/>
                <w:b/>
                <w:bCs/>
                <w:sz w:val="20"/>
                <w:szCs w:val="20"/>
              </w:rPr>
            </w:pPr>
          </w:p>
          <w:p w14:paraId="7C6D42AC" w14:textId="6F22CBB9" w:rsidR="00467D17" w:rsidRPr="00F01190" w:rsidRDefault="00467D17" w:rsidP="00467D17">
            <w:pPr>
              <w:pStyle w:val="NormalWeb"/>
              <w:spacing w:before="0" w:beforeAutospacing="0" w:after="0" w:afterAutospacing="0"/>
              <w:jc w:val="both"/>
              <w:rPr>
                <w:rFonts w:ascii="Century Gothic" w:hAnsi="Century Gothic"/>
                <w:sz w:val="20"/>
                <w:szCs w:val="20"/>
              </w:rPr>
            </w:pPr>
            <w:r w:rsidRPr="00F01190">
              <w:rPr>
                <w:rFonts w:ascii="Century Gothic" w:hAnsi="Century Gothic"/>
                <w:b/>
                <w:bCs/>
                <w:sz w:val="20"/>
                <w:szCs w:val="20"/>
              </w:rPr>
              <w:t>Protection des forêts et lutte contre la déforestation</w:t>
            </w:r>
            <w:r w:rsidRPr="00F01190">
              <w:rPr>
                <w:rFonts w:ascii="Century Gothic" w:hAnsi="Century Gothic"/>
                <w:sz w:val="20"/>
                <w:szCs w:val="20"/>
              </w:rPr>
              <w:t xml:space="preserve"> :</w:t>
            </w:r>
          </w:p>
          <w:p w14:paraId="06A3B706" w14:textId="77777777" w:rsidR="00467D17" w:rsidRPr="00F01190" w:rsidRDefault="00467D17" w:rsidP="00467D17">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Renforcer les politiques de gestion des ressources forestières, notamment la lutte contre l’exploitation illégale du bois et l’introduction de pratiques de récolte durables.</w:t>
            </w:r>
          </w:p>
          <w:p w14:paraId="1EA51835" w14:textId="77777777" w:rsidR="001F1D90" w:rsidRPr="00F01190" w:rsidRDefault="001F1D90" w:rsidP="00467D17">
            <w:pPr>
              <w:pStyle w:val="NormalWeb"/>
              <w:spacing w:before="0" w:beforeAutospacing="0" w:after="0" w:afterAutospacing="0"/>
              <w:jc w:val="both"/>
              <w:rPr>
                <w:rFonts w:ascii="Century Gothic" w:hAnsi="Century Gothic"/>
                <w:b/>
                <w:bCs/>
                <w:sz w:val="20"/>
                <w:szCs w:val="20"/>
              </w:rPr>
            </w:pPr>
          </w:p>
          <w:p w14:paraId="51B12271" w14:textId="67721539" w:rsidR="00467D17" w:rsidRPr="00F01190" w:rsidRDefault="00467D17" w:rsidP="00467D17">
            <w:pPr>
              <w:pStyle w:val="NormalWeb"/>
              <w:spacing w:before="0" w:beforeAutospacing="0" w:after="0" w:afterAutospacing="0"/>
              <w:jc w:val="both"/>
              <w:rPr>
                <w:rFonts w:ascii="Century Gothic" w:hAnsi="Century Gothic"/>
                <w:sz w:val="20"/>
                <w:szCs w:val="20"/>
              </w:rPr>
            </w:pPr>
            <w:r w:rsidRPr="00F01190">
              <w:rPr>
                <w:rFonts w:ascii="Century Gothic" w:hAnsi="Century Gothic"/>
                <w:b/>
                <w:bCs/>
                <w:sz w:val="20"/>
                <w:szCs w:val="20"/>
              </w:rPr>
              <w:t>Renforcement des pratiques de gestion communautaire</w:t>
            </w:r>
            <w:r w:rsidRPr="00F01190">
              <w:rPr>
                <w:rFonts w:ascii="Century Gothic" w:hAnsi="Century Gothic"/>
                <w:sz w:val="20"/>
                <w:szCs w:val="20"/>
              </w:rPr>
              <w:t xml:space="preserve"> :</w:t>
            </w:r>
          </w:p>
          <w:p w14:paraId="2164D21A" w14:textId="2A11E8AA" w:rsidR="00E443ED" w:rsidRPr="00F01190" w:rsidRDefault="00467D17" w:rsidP="00467D17">
            <w:pPr>
              <w:pStyle w:val="NormalWeb"/>
              <w:spacing w:before="0" w:beforeAutospacing="0" w:after="0" w:afterAutospacing="0"/>
              <w:jc w:val="both"/>
              <w:rPr>
                <w:rFonts w:ascii="Century Gothic" w:hAnsi="Century Gothic"/>
                <w:sz w:val="20"/>
                <w:szCs w:val="20"/>
              </w:rPr>
            </w:pPr>
            <w:r w:rsidRPr="00F01190">
              <w:rPr>
                <w:rFonts w:ascii="Century Gothic" w:hAnsi="Century Gothic"/>
                <w:sz w:val="20"/>
                <w:szCs w:val="20"/>
              </w:rPr>
              <w:t>Impliquer les communautés locales dans la gestion des forêts et des ressources naturelles, en leur fournissant des formations sur la gestion durable des forêts et l’agriculture.</w:t>
            </w:r>
          </w:p>
        </w:tc>
      </w:tr>
    </w:tbl>
    <w:p w14:paraId="34F68389" w14:textId="77777777" w:rsidR="003529F5" w:rsidRDefault="003529F5" w:rsidP="00DF1579">
      <w:pPr>
        <w:pStyle w:val="NormalWeb"/>
        <w:spacing w:before="0" w:beforeAutospacing="0" w:after="0" w:afterAutospacing="0"/>
        <w:jc w:val="both"/>
        <w:rPr>
          <w:rFonts w:ascii="Century Gothic" w:hAnsi="Century Gothic"/>
        </w:rPr>
        <w:sectPr w:rsidR="003529F5" w:rsidSect="003529F5">
          <w:pgSz w:w="16838" w:h="11906" w:orient="landscape"/>
          <w:pgMar w:top="1418" w:right="1418" w:bottom="1418" w:left="1418" w:header="709" w:footer="709" w:gutter="0"/>
          <w:cols w:space="708"/>
          <w:docGrid w:linePitch="360"/>
        </w:sectPr>
      </w:pPr>
    </w:p>
    <w:p w14:paraId="0011A590" w14:textId="10D420AF" w:rsidR="00801971" w:rsidRDefault="00801971" w:rsidP="00DF1579">
      <w:pPr>
        <w:pStyle w:val="NormalWeb"/>
        <w:spacing w:before="0" w:beforeAutospacing="0" w:after="0" w:afterAutospacing="0"/>
        <w:jc w:val="both"/>
        <w:rPr>
          <w:rFonts w:ascii="Century Gothic" w:hAnsi="Century Gothic"/>
        </w:rPr>
      </w:pPr>
    </w:p>
    <w:p w14:paraId="35B07DE6" w14:textId="548B1A6A" w:rsidR="00801971" w:rsidRPr="008C5B0D" w:rsidRDefault="00801971" w:rsidP="00801971">
      <w:pPr>
        <w:pStyle w:val="NormalWeb"/>
        <w:spacing w:before="0" w:beforeAutospacing="0" w:after="0" w:afterAutospacing="0"/>
        <w:jc w:val="both"/>
        <w:rPr>
          <w:rFonts w:ascii="Century Gothic" w:hAnsi="Century Gothic"/>
          <w:sz w:val="22"/>
          <w:szCs w:val="22"/>
        </w:rPr>
      </w:pPr>
      <w:r w:rsidRPr="008C5B0D">
        <w:rPr>
          <w:rFonts w:ascii="Century Gothic" w:hAnsi="Century Gothic"/>
          <w:sz w:val="22"/>
          <w:szCs w:val="22"/>
        </w:rPr>
        <w:t xml:space="preserve">Les scénarios d'avenir pour la Mauritanie face au changement climatique dépendent de la mise en œuvre rapide de stratégies d'adaptation efficaces. La diversification des activités économiques, la gestion intégrée des ressources naturelles, l'innovation technologique et la participation active des communautés sont des leviers clés pour réduire les vulnérabilités et augmenter la résilience des écosystèmes et des populations. </w:t>
      </w:r>
    </w:p>
    <w:p w14:paraId="38F99D2F" w14:textId="65C867F6" w:rsidR="00801971" w:rsidRPr="008C5B0D" w:rsidRDefault="00801971" w:rsidP="00801971">
      <w:pPr>
        <w:pStyle w:val="NormalWeb"/>
        <w:spacing w:before="0" w:beforeAutospacing="0" w:after="0" w:afterAutospacing="0"/>
        <w:jc w:val="both"/>
        <w:rPr>
          <w:rFonts w:ascii="Century Gothic" w:hAnsi="Century Gothic"/>
          <w:sz w:val="22"/>
          <w:szCs w:val="22"/>
        </w:rPr>
      </w:pPr>
      <w:r w:rsidRPr="008C5B0D">
        <w:rPr>
          <w:rFonts w:ascii="Century Gothic" w:hAnsi="Century Gothic"/>
          <w:sz w:val="22"/>
          <w:szCs w:val="22"/>
        </w:rPr>
        <w:t>En envisageant ces scénarios d’avenir et en mettant en œuvre ces réponses pragmatiques, la Mauritanie peut réduire sa vulnérabilité face aux changements climatiques tout en améliorant la productivité de ses ressources naturelles. Une approche intégrée qui combine adaptation, conservation et développement durable est essentielle pour assurer un avenir résilient pour le pays et ses populations.</w:t>
      </w:r>
    </w:p>
    <w:p w14:paraId="26A095D1" w14:textId="079F1684" w:rsidR="002E5FF7" w:rsidRPr="008C5B0D" w:rsidRDefault="00801971" w:rsidP="00801971">
      <w:pPr>
        <w:pStyle w:val="NormalWeb"/>
        <w:spacing w:before="0" w:beforeAutospacing="0" w:after="0" w:afterAutospacing="0"/>
        <w:jc w:val="both"/>
        <w:rPr>
          <w:rFonts w:ascii="Century Gothic" w:hAnsi="Century Gothic"/>
          <w:sz w:val="22"/>
          <w:szCs w:val="22"/>
        </w:rPr>
      </w:pPr>
      <w:r w:rsidRPr="008C5B0D">
        <w:rPr>
          <w:rFonts w:ascii="Century Gothic" w:hAnsi="Century Gothic"/>
          <w:sz w:val="22"/>
          <w:szCs w:val="22"/>
        </w:rPr>
        <w:t>La capacité de la Mauritanie à faire face à ces défis sera déterminée par sa volonté de préserver ses ressources naturelles tout en renforçant les capacités d'adaptation des secteurs vulnérables.</w:t>
      </w:r>
    </w:p>
    <w:p w14:paraId="7D2F7F6B" w14:textId="2238384A" w:rsidR="00AA2F69" w:rsidRPr="008C5B0D" w:rsidRDefault="00AA2F69" w:rsidP="00801971">
      <w:pPr>
        <w:pStyle w:val="NormalWeb"/>
        <w:spacing w:before="0" w:beforeAutospacing="0" w:after="0" w:afterAutospacing="0"/>
        <w:jc w:val="both"/>
        <w:rPr>
          <w:rFonts w:ascii="Century Gothic" w:hAnsi="Century Gothic"/>
          <w:sz w:val="22"/>
          <w:szCs w:val="22"/>
        </w:rPr>
      </w:pPr>
    </w:p>
    <w:p w14:paraId="3CCDB0C3" w14:textId="10B479AA" w:rsidR="00AA2F69" w:rsidRPr="00CD5210" w:rsidRDefault="001F33E0" w:rsidP="00AA2F69">
      <w:pPr>
        <w:pStyle w:val="Titre2"/>
        <w:rPr>
          <w:rFonts w:ascii="Century Gothic" w:hAnsi="Century Gothic"/>
          <w:lang w:val="wo-SN"/>
        </w:rPr>
      </w:pPr>
      <w:bookmarkStart w:id="44" w:name="_Toc189375549"/>
      <w:r>
        <w:rPr>
          <w:rFonts w:ascii="Century Gothic" w:hAnsi="Century Gothic"/>
          <w:lang w:val="wo-SN"/>
        </w:rPr>
        <w:t>7</w:t>
      </w:r>
      <w:r w:rsidR="00D9041C">
        <w:rPr>
          <w:rFonts w:ascii="Century Gothic" w:hAnsi="Century Gothic"/>
          <w:lang w:val="wo-SN"/>
        </w:rPr>
        <w:t xml:space="preserve">.3  </w:t>
      </w:r>
      <w:r w:rsidR="00AA2F69" w:rsidRPr="00CD5210">
        <w:rPr>
          <w:rFonts w:ascii="Century Gothic" w:hAnsi="Century Gothic"/>
          <w:lang w:val="wo-SN"/>
        </w:rPr>
        <w:t>Scénarios d’adaptation et des recommandations spécifiques</w:t>
      </w:r>
      <w:bookmarkEnd w:id="44"/>
    </w:p>
    <w:p w14:paraId="3A02FF15" w14:textId="77777777" w:rsidR="00AA2F69" w:rsidRPr="00541183" w:rsidRDefault="00AA2F69" w:rsidP="00AA2F69">
      <w:pPr>
        <w:jc w:val="both"/>
        <w:rPr>
          <w:rFonts w:ascii="Century Gothic" w:hAnsi="Century Gothic"/>
        </w:rPr>
      </w:pPr>
      <w:r w:rsidRPr="00541183">
        <w:rPr>
          <w:rFonts w:ascii="Century Gothic" w:hAnsi="Century Gothic"/>
        </w:rPr>
        <w:t>Les zones humides de Mauritanie, essentielles pour la biodiversité et les services écosystémiques, sont particulièrement vulnérables face aux impacts du changement climatique. Ce</w:t>
      </w:r>
      <w:r>
        <w:rPr>
          <w:rFonts w:ascii="Century Gothic" w:hAnsi="Century Gothic"/>
        </w:rPr>
        <w:t>tte partie</w:t>
      </w:r>
      <w:r w:rsidRPr="00541183">
        <w:rPr>
          <w:rFonts w:ascii="Century Gothic" w:hAnsi="Century Gothic"/>
        </w:rPr>
        <w:t xml:space="preserve"> propose des scénarios d’adaptation et des recommandations spécifiques pour renforcer la résilience des écosystèmes humides et des communautés locales.</w:t>
      </w:r>
    </w:p>
    <w:p w14:paraId="2000A518" w14:textId="1573428F" w:rsidR="00AA2F69" w:rsidRPr="002C1BF6" w:rsidRDefault="00A616B6" w:rsidP="00AA2F69">
      <w:pPr>
        <w:rPr>
          <w:rFonts w:ascii="Century Gothic" w:hAnsi="Century Gothic"/>
          <w:b/>
          <w:bCs/>
          <w:color w:val="4472C4" w:themeColor="accent1"/>
          <w:sz w:val="24"/>
          <w:szCs w:val="24"/>
        </w:rPr>
      </w:pPr>
      <w:r w:rsidRPr="002C1BF6">
        <w:rPr>
          <w:rFonts w:ascii="Century Gothic" w:hAnsi="Century Gothic"/>
          <w:b/>
          <w:bCs/>
          <w:color w:val="4472C4" w:themeColor="accent1"/>
          <w:sz w:val="24"/>
          <w:szCs w:val="24"/>
        </w:rPr>
        <w:t>7.3.1 Scenarios</w:t>
      </w:r>
      <w:r w:rsidR="00AA2F69" w:rsidRPr="002C1BF6">
        <w:rPr>
          <w:rFonts w:ascii="Century Gothic" w:hAnsi="Century Gothic"/>
          <w:b/>
          <w:bCs/>
          <w:color w:val="4472C4" w:themeColor="accent1"/>
          <w:sz w:val="24"/>
          <w:szCs w:val="24"/>
        </w:rPr>
        <w:t xml:space="preserve"> d’adaptation </w:t>
      </w:r>
    </w:p>
    <w:p w14:paraId="53CA42BD" w14:textId="2633B123" w:rsidR="00AA2F69" w:rsidRPr="00541183" w:rsidRDefault="00DE261F" w:rsidP="00DE261F">
      <w:pPr>
        <w:pStyle w:val="Lgende"/>
        <w:rPr>
          <w:rFonts w:ascii="Century Gothic" w:hAnsi="Century Gothic"/>
          <w:b/>
          <w:bCs/>
          <w:sz w:val="24"/>
          <w:szCs w:val="24"/>
        </w:rPr>
      </w:pPr>
      <w:bookmarkStart w:id="45" w:name="_Toc189305538"/>
      <w:r>
        <w:t xml:space="preserve">Table </w:t>
      </w:r>
      <w:fldSimple w:instr=" SEQ Table \* ARABIC ">
        <w:r>
          <w:rPr>
            <w:noProof/>
          </w:rPr>
          <w:t>6</w:t>
        </w:r>
      </w:fldSimple>
      <w:r>
        <w:t xml:space="preserve"> </w:t>
      </w:r>
      <w:r w:rsidRPr="00027D7F">
        <w:t>Scénarios d'Adaptation</w:t>
      </w:r>
      <w:bookmarkEnd w:id="45"/>
    </w:p>
    <w:tbl>
      <w:tblPr>
        <w:tblStyle w:val="Grilledutableau"/>
        <w:tblW w:w="0" w:type="auto"/>
        <w:tblLook w:val="04A0" w:firstRow="1" w:lastRow="0" w:firstColumn="1" w:lastColumn="0" w:noHBand="0" w:noVBand="1"/>
      </w:tblPr>
      <w:tblGrid>
        <w:gridCol w:w="3020"/>
        <w:gridCol w:w="3021"/>
        <w:gridCol w:w="3021"/>
      </w:tblGrid>
      <w:tr w:rsidR="00AA2F69" w:rsidRPr="00541183" w14:paraId="40CDA3F9" w14:textId="77777777" w:rsidTr="00A707AC">
        <w:tc>
          <w:tcPr>
            <w:tcW w:w="3020" w:type="dxa"/>
          </w:tcPr>
          <w:p w14:paraId="116F2F45" w14:textId="77777777" w:rsidR="00AA2F69" w:rsidRPr="00541183" w:rsidRDefault="00AA2F69" w:rsidP="00A707AC">
            <w:pPr>
              <w:jc w:val="both"/>
              <w:rPr>
                <w:rFonts w:ascii="Century Gothic" w:hAnsi="Century Gothic"/>
              </w:rPr>
            </w:pPr>
            <w:r w:rsidRPr="00541183">
              <w:rPr>
                <w:rFonts w:ascii="Century Gothic" w:hAnsi="Century Gothic"/>
              </w:rPr>
              <w:t>Scénario</w:t>
            </w:r>
          </w:p>
        </w:tc>
        <w:tc>
          <w:tcPr>
            <w:tcW w:w="3021" w:type="dxa"/>
          </w:tcPr>
          <w:p w14:paraId="71751F0A" w14:textId="77777777" w:rsidR="00AA2F69" w:rsidRPr="00541183" w:rsidRDefault="00AA2F69" w:rsidP="00A707AC">
            <w:pPr>
              <w:jc w:val="both"/>
              <w:rPr>
                <w:rFonts w:ascii="Century Gothic" w:hAnsi="Century Gothic"/>
              </w:rPr>
            </w:pPr>
            <w:r w:rsidRPr="00541183">
              <w:rPr>
                <w:rFonts w:ascii="Century Gothic" w:hAnsi="Century Gothic"/>
              </w:rPr>
              <w:t>Objectif</w:t>
            </w:r>
          </w:p>
        </w:tc>
        <w:tc>
          <w:tcPr>
            <w:tcW w:w="3021" w:type="dxa"/>
          </w:tcPr>
          <w:p w14:paraId="3534AC95" w14:textId="77777777" w:rsidR="00AA2F69" w:rsidRPr="00541183" w:rsidRDefault="00AA2F69" w:rsidP="00A707AC">
            <w:pPr>
              <w:jc w:val="both"/>
              <w:rPr>
                <w:rFonts w:ascii="Century Gothic" w:hAnsi="Century Gothic"/>
              </w:rPr>
            </w:pPr>
            <w:r w:rsidRPr="00541183">
              <w:rPr>
                <w:rFonts w:ascii="Century Gothic" w:hAnsi="Century Gothic"/>
              </w:rPr>
              <w:t xml:space="preserve">Actions </w:t>
            </w:r>
          </w:p>
        </w:tc>
      </w:tr>
      <w:tr w:rsidR="00AA2F69" w:rsidRPr="00541183" w14:paraId="4FA306CB" w14:textId="77777777" w:rsidTr="00A707AC">
        <w:tc>
          <w:tcPr>
            <w:tcW w:w="3020" w:type="dxa"/>
          </w:tcPr>
          <w:p w14:paraId="2C186B1D" w14:textId="77777777" w:rsidR="00AA2F69" w:rsidRPr="00F42355" w:rsidRDefault="00AA2F69" w:rsidP="00A707AC">
            <w:pPr>
              <w:jc w:val="both"/>
              <w:rPr>
                <w:rFonts w:ascii="Century Gothic" w:hAnsi="Century Gothic"/>
                <w:sz w:val="20"/>
                <w:szCs w:val="20"/>
              </w:rPr>
            </w:pPr>
            <w:r w:rsidRPr="00F42355">
              <w:rPr>
                <w:rFonts w:ascii="Century Gothic" w:hAnsi="Century Gothic"/>
                <w:sz w:val="20"/>
                <w:szCs w:val="20"/>
              </w:rPr>
              <w:t>Restauration et Réhabilitation des Zones Humides</w:t>
            </w:r>
          </w:p>
        </w:tc>
        <w:tc>
          <w:tcPr>
            <w:tcW w:w="3021" w:type="dxa"/>
          </w:tcPr>
          <w:p w14:paraId="3FD20157" w14:textId="77777777" w:rsidR="00AA2F69" w:rsidRPr="00F42355" w:rsidRDefault="00AA2F69" w:rsidP="00A707AC">
            <w:pPr>
              <w:jc w:val="both"/>
              <w:rPr>
                <w:rFonts w:ascii="Century Gothic" w:hAnsi="Century Gothic"/>
                <w:sz w:val="18"/>
                <w:szCs w:val="18"/>
              </w:rPr>
            </w:pPr>
            <w:r w:rsidRPr="00F42355">
              <w:rPr>
                <w:rFonts w:ascii="Century Gothic" w:hAnsi="Century Gothic"/>
                <w:sz w:val="18"/>
                <w:szCs w:val="18"/>
              </w:rPr>
              <w:t>Restaurer les écosystèmes dégradés pour améliorer leur capacité à fournir des services écosystémiques.</w:t>
            </w:r>
          </w:p>
          <w:p w14:paraId="768A3D38" w14:textId="77777777" w:rsidR="00AA2F69" w:rsidRPr="00F42355" w:rsidRDefault="00AA2F69" w:rsidP="00A707AC">
            <w:pPr>
              <w:jc w:val="both"/>
              <w:rPr>
                <w:rFonts w:ascii="Century Gothic" w:hAnsi="Century Gothic"/>
                <w:sz w:val="18"/>
                <w:szCs w:val="18"/>
              </w:rPr>
            </w:pPr>
          </w:p>
        </w:tc>
        <w:tc>
          <w:tcPr>
            <w:tcW w:w="3021" w:type="dxa"/>
          </w:tcPr>
          <w:p w14:paraId="305B8CA6" w14:textId="77777777" w:rsidR="00AA2F69" w:rsidRPr="00F42355" w:rsidRDefault="00AA2F69" w:rsidP="005625B5">
            <w:pPr>
              <w:pStyle w:val="Paragraphedeliste"/>
              <w:numPr>
                <w:ilvl w:val="0"/>
                <w:numId w:val="4"/>
              </w:numPr>
              <w:jc w:val="both"/>
              <w:rPr>
                <w:rFonts w:ascii="Century Gothic" w:hAnsi="Century Gothic"/>
                <w:sz w:val="18"/>
                <w:szCs w:val="18"/>
              </w:rPr>
            </w:pPr>
            <w:r w:rsidRPr="00F42355">
              <w:rPr>
                <w:rFonts w:ascii="Century Gothic" w:hAnsi="Century Gothic"/>
                <w:sz w:val="18"/>
                <w:szCs w:val="18"/>
              </w:rPr>
              <w:t>Mettre en œuvre des projets de reboisement et de restauration d'habitats.</w:t>
            </w:r>
          </w:p>
          <w:p w14:paraId="432F8728" w14:textId="77777777" w:rsidR="00AA2F69" w:rsidRPr="00F42355" w:rsidRDefault="00AA2F69" w:rsidP="00A707AC">
            <w:pPr>
              <w:jc w:val="both"/>
              <w:rPr>
                <w:rFonts w:ascii="Century Gothic" w:hAnsi="Century Gothic"/>
                <w:sz w:val="18"/>
                <w:szCs w:val="18"/>
              </w:rPr>
            </w:pPr>
            <w:r w:rsidRPr="00F42355">
              <w:rPr>
                <w:rFonts w:ascii="Century Gothic" w:hAnsi="Century Gothic"/>
                <w:sz w:val="18"/>
                <w:szCs w:val="18"/>
              </w:rPr>
              <w:t xml:space="preserve">  </w:t>
            </w:r>
          </w:p>
          <w:p w14:paraId="1160F4FB" w14:textId="77777777" w:rsidR="00AA2F69" w:rsidRPr="00F42355" w:rsidRDefault="00AA2F69" w:rsidP="005625B5">
            <w:pPr>
              <w:pStyle w:val="Paragraphedeliste"/>
              <w:numPr>
                <w:ilvl w:val="0"/>
                <w:numId w:val="4"/>
              </w:numPr>
              <w:jc w:val="both"/>
              <w:rPr>
                <w:rFonts w:ascii="Century Gothic" w:hAnsi="Century Gothic"/>
                <w:sz w:val="18"/>
                <w:szCs w:val="18"/>
              </w:rPr>
            </w:pPr>
            <w:r w:rsidRPr="00F42355">
              <w:rPr>
                <w:rFonts w:ascii="Century Gothic" w:hAnsi="Century Gothic"/>
                <w:sz w:val="18"/>
                <w:szCs w:val="18"/>
              </w:rPr>
              <w:t>Éliminer les espèces envahissantes qui nuisent à la biodiversité locale.</w:t>
            </w:r>
          </w:p>
        </w:tc>
      </w:tr>
      <w:tr w:rsidR="00AA2F69" w:rsidRPr="00541183" w14:paraId="061FDDAA" w14:textId="77777777" w:rsidTr="00A707AC">
        <w:tc>
          <w:tcPr>
            <w:tcW w:w="3020" w:type="dxa"/>
          </w:tcPr>
          <w:p w14:paraId="3C4869C5" w14:textId="77777777" w:rsidR="00AA2F69" w:rsidRPr="00F42355" w:rsidRDefault="00AA2F69" w:rsidP="00A707AC">
            <w:pPr>
              <w:jc w:val="both"/>
              <w:rPr>
                <w:rFonts w:ascii="Century Gothic" w:hAnsi="Century Gothic"/>
                <w:sz w:val="20"/>
                <w:szCs w:val="20"/>
              </w:rPr>
            </w:pPr>
            <w:r w:rsidRPr="00F42355">
              <w:rPr>
                <w:rFonts w:ascii="Century Gothic" w:hAnsi="Century Gothic"/>
                <w:sz w:val="20"/>
                <w:szCs w:val="20"/>
              </w:rPr>
              <w:t>Gestion Durable des Ressources</w:t>
            </w:r>
          </w:p>
        </w:tc>
        <w:tc>
          <w:tcPr>
            <w:tcW w:w="3021" w:type="dxa"/>
          </w:tcPr>
          <w:p w14:paraId="410E841B" w14:textId="77777777" w:rsidR="00AA2F69" w:rsidRPr="00F42355" w:rsidRDefault="00AA2F69" w:rsidP="00A707AC">
            <w:pPr>
              <w:jc w:val="both"/>
              <w:rPr>
                <w:rFonts w:ascii="Century Gothic" w:hAnsi="Century Gothic"/>
                <w:sz w:val="18"/>
                <w:szCs w:val="18"/>
              </w:rPr>
            </w:pPr>
            <w:r w:rsidRPr="00F42355">
              <w:rPr>
                <w:rFonts w:ascii="Century Gothic" w:hAnsi="Century Gothic"/>
                <w:sz w:val="18"/>
                <w:szCs w:val="18"/>
              </w:rPr>
              <w:t>Assurer l'utilisation durable des ressources naturelles tout en préservant la biodiversité.</w:t>
            </w:r>
          </w:p>
        </w:tc>
        <w:tc>
          <w:tcPr>
            <w:tcW w:w="3021" w:type="dxa"/>
          </w:tcPr>
          <w:p w14:paraId="64EEDBF8" w14:textId="77777777" w:rsidR="00AA2F69" w:rsidRPr="00F42355" w:rsidRDefault="00AA2F69" w:rsidP="005625B5">
            <w:pPr>
              <w:pStyle w:val="Paragraphedeliste"/>
              <w:numPr>
                <w:ilvl w:val="0"/>
                <w:numId w:val="4"/>
              </w:numPr>
              <w:jc w:val="both"/>
              <w:rPr>
                <w:rFonts w:ascii="Century Gothic" w:hAnsi="Century Gothic"/>
                <w:sz w:val="18"/>
                <w:szCs w:val="18"/>
              </w:rPr>
            </w:pPr>
            <w:r w:rsidRPr="00F42355">
              <w:rPr>
                <w:rFonts w:ascii="Century Gothic" w:hAnsi="Century Gothic"/>
                <w:sz w:val="18"/>
                <w:szCs w:val="18"/>
              </w:rPr>
              <w:t>Établir des plans de gestion participatifs impliquant les communautés locales.</w:t>
            </w:r>
          </w:p>
          <w:p w14:paraId="3A79A2F8" w14:textId="77777777" w:rsidR="00AA2F69" w:rsidRPr="00F42355" w:rsidRDefault="00AA2F69" w:rsidP="00A707AC">
            <w:pPr>
              <w:jc w:val="both"/>
              <w:rPr>
                <w:rFonts w:ascii="Century Gothic" w:hAnsi="Century Gothic"/>
                <w:sz w:val="18"/>
                <w:szCs w:val="18"/>
              </w:rPr>
            </w:pPr>
          </w:p>
          <w:p w14:paraId="676DD0D1" w14:textId="77777777" w:rsidR="00AA2F69" w:rsidRPr="00F42355" w:rsidRDefault="00AA2F69" w:rsidP="005625B5">
            <w:pPr>
              <w:pStyle w:val="Paragraphedeliste"/>
              <w:numPr>
                <w:ilvl w:val="0"/>
                <w:numId w:val="4"/>
              </w:numPr>
              <w:jc w:val="both"/>
              <w:rPr>
                <w:rFonts w:ascii="Century Gothic" w:hAnsi="Century Gothic"/>
                <w:sz w:val="18"/>
                <w:szCs w:val="18"/>
              </w:rPr>
            </w:pPr>
            <w:r w:rsidRPr="00F42355">
              <w:rPr>
                <w:rFonts w:ascii="Century Gothic" w:hAnsi="Century Gothic"/>
                <w:sz w:val="18"/>
                <w:szCs w:val="18"/>
              </w:rPr>
              <w:t>Promouvoir des pratiques agricoles durables qui minimisent l'impact sur les zones humides.</w:t>
            </w:r>
          </w:p>
          <w:p w14:paraId="7AF0E220" w14:textId="77777777" w:rsidR="00AA2F69" w:rsidRPr="00F42355" w:rsidRDefault="00AA2F69" w:rsidP="00A707AC">
            <w:pPr>
              <w:jc w:val="both"/>
              <w:rPr>
                <w:rFonts w:ascii="Century Gothic" w:hAnsi="Century Gothic"/>
                <w:sz w:val="18"/>
                <w:szCs w:val="18"/>
              </w:rPr>
            </w:pPr>
          </w:p>
        </w:tc>
      </w:tr>
      <w:tr w:rsidR="00AA2F69" w:rsidRPr="00541183" w14:paraId="2FC76EED" w14:textId="77777777" w:rsidTr="00A707AC">
        <w:tc>
          <w:tcPr>
            <w:tcW w:w="3020" w:type="dxa"/>
          </w:tcPr>
          <w:p w14:paraId="0F8775F0" w14:textId="77777777" w:rsidR="00AA2F69" w:rsidRPr="00F42355" w:rsidRDefault="00AA2F69" w:rsidP="00A707AC">
            <w:pPr>
              <w:jc w:val="both"/>
              <w:rPr>
                <w:rFonts w:ascii="Century Gothic" w:hAnsi="Century Gothic"/>
                <w:sz w:val="20"/>
                <w:szCs w:val="20"/>
              </w:rPr>
            </w:pPr>
            <w:r w:rsidRPr="00F42355">
              <w:rPr>
                <w:rFonts w:ascii="Century Gothic" w:hAnsi="Century Gothic"/>
                <w:sz w:val="20"/>
                <w:szCs w:val="20"/>
              </w:rPr>
              <w:t>Amélioration de la Résilience des Communautés Locales</w:t>
            </w:r>
          </w:p>
        </w:tc>
        <w:tc>
          <w:tcPr>
            <w:tcW w:w="3021" w:type="dxa"/>
          </w:tcPr>
          <w:p w14:paraId="5AC42DFC" w14:textId="77777777" w:rsidR="00AA2F69" w:rsidRPr="00F42355" w:rsidRDefault="00AA2F69" w:rsidP="00A707AC">
            <w:pPr>
              <w:jc w:val="both"/>
              <w:rPr>
                <w:rFonts w:ascii="Century Gothic" w:hAnsi="Century Gothic"/>
                <w:sz w:val="18"/>
                <w:szCs w:val="18"/>
              </w:rPr>
            </w:pPr>
            <w:r w:rsidRPr="00F42355">
              <w:rPr>
                <w:rFonts w:ascii="Century Gothic" w:hAnsi="Century Gothic"/>
                <w:sz w:val="18"/>
                <w:szCs w:val="18"/>
              </w:rPr>
              <w:t>Renforcer la capacité d'adaptation des populations vivant autour des zones humides.</w:t>
            </w:r>
          </w:p>
        </w:tc>
        <w:tc>
          <w:tcPr>
            <w:tcW w:w="3021" w:type="dxa"/>
          </w:tcPr>
          <w:p w14:paraId="3325066C" w14:textId="77777777" w:rsidR="00AA2F69" w:rsidRPr="00F42355" w:rsidRDefault="00AA2F69" w:rsidP="005625B5">
            <w:pPr>
              <w:pStyle w:val="Paragraphedeliste"/>
              <w:numPr>
                <w:ilvl w:val="0"/>
                <w:numId w:val="4"/>
              </w:numPr>
              <w:jc w:val="both"/>
              <w:rPr>
                <w:rFonts w:ascii="Century Gothic" w:hAnsi="Century Gothic"/>
                <w:sz w:val="18"/>
                <w:szCs w:val="18"/>
              </w:rPr>
            </w:pPr>
            <w:r w:rsidRPr="00F42355">
              <w:rPr>
                <w:rFonts w:ascii="Century Gothic" w:hAnsi="Century Gothic"/>
                <w:sz w:val="18"/>
                <w:szCs w:val="18"/>
              </w:rPr>
              <w:t>Organiser des formations sur les pratiques de gestion durable et l'utilisation efficace des ressources.</w:t>
            </w:r>
          </w:p>
          <w:p w14:paraId="2E7429F6" w14:textId="77777777" w:rsidR="00AA2F69" w:rsidRPr="00F42355" w:rsidRDefault="00AA2F69" w:rsidP="00A707AC">
            <w:pPr>
              <w:jc w:val="both"/>
              <w:rPr>
                <w:rFonts w:ascii="Century Gothic" w:hAnsi="Century Gothic"/>
                <w:sz w:val="18"/>
                <w:szCs w:val="18"/>
              </w:rPr>
            </w:pPr>
          </w:p>
          <w:p w14:paraId="397A9C35" w14:textId="77777777" w:rsidR="00AA2F69" w:rsidRPr="00F42355" w:rsidRDefault="00AA2F69" w:rsidP="005625B5">
            <w:pPr>
              <w:pStyle w:val="Paragraphedeliste"/>
              <w:numPr>
                <w:ilvl w:val="0"/>
                <w:numId w:val="4"/>
              </w:numPr>
              <w:jc w:val="both"/>
              <w:rPr>
                <w:rFonts w:ascii="Century Gothic" w:hAnsi="Century Gothic"/>
                <w:sz w:val="18"/>
                <w:szCs w:val="18"/>
              </w:rPr>
            </w:pPr>
            <w:r w:rsidRPr="00F42355">
              <w:rPr>
                <w:rFonts w:ascii="Century Gothic" w:hAnsi="Century Gothic"/>
                <w:sz w:val="18"/>
                <w:szCs w:val="18"/>
              </w:rPr>
              <w:t>Développer des systèmes d'alerte précoce pour prévenir les événements climatiques extrêmes.</w:t>
            </w:r>
          </w:p>
        </w:tc>
      </w:tr>
      <w:tr w:rsidR="00AA2F69" w:rsidRPr="00541183" w14:paraId="40B03A34" w14:textId="77777777" w:rsidTr="00A707AC">
        <w:tc>
          <w:tcPr>
            <w:tcW w:w="3020" w:type="dxa"/>
          </w:tcPr>
          <w:p w14:paraId="10F7537E" w14:textId="77777777" w:rsidR="00AA2F69" w:rsidRPr="00F42355" w:rsidRDefault="00AA2F69" w:rsidP="00A707AC">
            <w:pPr>
              <w:jc w:val="both"/>
              <w:rPr>
                <w:rFonts w:ascii="Century Gothic" w:hAnsi="Century Gothic"/>
                <w:sz w:val="20"/>
                <w:szCs w:val="20"/>
              </w:rPr>
            </w:pPr>
            <w:r w:rsidRPr="00F42355">
              <w:rPr>
                <w:rFonts w:ascii="Century Gothic" w:hAnsi="Century Gothic"/>
                <w:sz w:val="20"/>
                <w:szCs w:val="20"/>
              </w:rPr>
              <w:t>Suivi et Évaluation</w:t>
            </w:r>
          </w:p>
          <w:p w14:paraId="7B4AB0A2" w14:textId="77777777" w:rsidR="00AA2F69" w:rsidRPr="00F42355" w:rsidRDefault="00AA2F69" w:rsidP="00A707AC">
            <w:pPr>
              <w:jc w:val="both"/>
              <w:rPr>
                <w:rFonts w:ascii="Century Gothic" w:hAnsi="Century Gothic"/>
                <w:sz w:val="20"/>
                <w:szCs w:val="20"/>
              </w:rPr>
            </w:pPr>
          </w:p>
        </w:tc>
        <w:tc>
          <w:tcPr>
            <w:tcW w:w="3021" w:type="dxa"/>
          </w:tcPr>
          <w:p w14:paraId="7B6728F7" w14:textId="77777777" w:rsidR="00AA2F69" w:rsidRPr="00F42355" w:rsidRDefault="00AA2F69" w:rsidP="00A707AC">
            <w:pPr>
              <w:jc w:val="both"/>
              <w:rPr>
                <w:rFonts w:ascii="Century Gothic" w:hAnsi="Century Gothic"/>
                <w:sz w:val="18"/>
                <w:szCs w:val="18"/>
              </w:rPr>
            </w:pPr>
            <w:r w:rsidRPr="00F42355">
              <w:rPr>
                <w:rFonts w:ascii="Century Gothic" w:hAnsi="Century Gothic"/>
                <w:sz w:val="18"/>
                <w:szCs w:val="18"/>
              </w:rPr>
              <w:t>Assurer une gestion adaptative basée sur les données scientifiques et l'expérience locale.</w:t>
            </w:r>
          </w:p>
          <w:p w14:paraId="3F9B7E25" w14:textId="77777777" w:rsidR="00AA2F69" w:rsidRPr="00F42355" w:rsidRDefault="00AA2F69" w:rsidP="00A707AC">
            <w:pPr>
              <w:jc w:val="both"/>
              <w:rPr>
                <w:rFonts w:ascii="Century Gothic" w:hAnsi="Century Gothic"/>
                <w:sz w:val="18"/>
                <w:szCs w:val="18"/>
              </w:rPr>
            </w:pPr>
          </w:p>
        </w:tc>
        <w:tc>
          <w:tcPr>
            <w:tcW w:w="3021" w:type="dxa"/>
          </w:tcPr>
          <w:p w14:paraId="4B43395E" w14:textId="77777777" w:rsidR="00AA2F69" w:rsidRPr="00F42355" w:rsidRDefault="00AA2F69" w:rsidP="005625B5">
            <w:pPr>
              <w:pStyle w:val="Paragraphedeliste"/>
              <w:numPr>
                <w:ilvl w:val="0"/>
                <w:numId w:val="4"/>
              </w:numPr>
              <w:jc w:val="both"/>
              <w:rPr>
                <w:rFonts w:ascii="Century Gothic" w:hAnsi="Century Gothic"/>
                <w:sz w:val="18"/>
                <w:szCs w:val="18"/>
              </w:rPr>
            </w:pPr>
            <w:r w:rsidRPr="00F42355">
              <w:rPr>
                <w:rFonts w:ascii="Century Gothic" w:hAnsi="Century Gothic"/>
                <w:sz w:val="18"/>
                <w:szCs w:val="18"/>
              </w:rPr>
              <w:t>Mettre en place un système de surveillance pour évaluer l'état des zones humides et l'efficacité des mesures d'adaptation.</w:t>
            </w:r>
          </w:p>
          <w:p w14:paraId="6CFCA283" w14:textId="77777777" w:rsidR="00AA2F69" w:rsidRPr="00F42355" w:rsidRDefault="00AA2F69" w:rsidP="00A707AC">
            <w:pPr>
              <w:jc w:val="both"/>
              <w:rPr>
                <w:rFonts w:ascii="Century Gothic" w:hAnsi="Century Gothic"/>
                <w:sz w:val="18"/>
                <w:szCs w:val="18"/>
              </w:rPr>
            </w:pPr>
          </w:p>
          <w:p w14:paraId="32F373DA" w14:textId="77777777" w:rsidR="00AA2F69" w:rsidRPr="00F42355" w:rsidRDefault="00AA2F69" w:rsidP="005625B5">
            <w:pPr>
              <w:pStyle w:val="Paragraphedeliste"/>
              <w:numPr>
                <w:ilvl w:val="0"/>
                <w:numId w:val="4"/>
              </w:numPr>
              <w:jc w:val="both"/>
              <w:rPr>
                <w:rFonts w:ascii="Century Gothic" w:hAnsi="Century Gothic"/>
                <w:sz w:val="18"/>
                <w:szCs w:val="18"/>
              </w:rPr>
            </w:pPr>
            <w:r w:rsidRPr="00F42355">
              <w:rPr>
                <w:rFonts w:ascii="Century Gothic" w:hAnsi="Century Gothic"/>
                <w:sz w:val="18"/>
                <w:szCs w:val="18"/>
              </w:rPr>
              <w:t>Impliquer les communautés dans le suivi afin de renforcer leur engagement.</w:t>
            </w:r>
          </w:p>
        </w:tc>
      </w:tr>
    </w:tbl>
    <w:p w14:paraId="43B5A5B9" w14:textId="77777777" w:rsidR="00AA2F69" w:rsidRPr="00541183" w:rsidRDefault="00AA2F69" w:rsidP="00AA2F69">
      <w:pPr>
        <w:jc w:val="both"/>
        <w:rPr>
          <w:rFonts w:ascii="Century Gothic" w:hAnsi="Century Gothic"/>
        </w:rPr>
      </w:pPr>
    </w:p>
    <w:p w14:paraId="2AA372F7" w14:textId="7775584E" w:rsidR="00AA2F69" w:rsidRPr="008A35AF" w:rsidRDefault="00A616B6" w:rsidP="00AA2F69">
      <w:pPr>
        <w:rPr>
          <w:rFonts w:ascii="Century Gothic" w:hAnsi="Century Gothic"/>
          <w:color w:val="4472C4" w:themeColor="accent1"/>
        </w:rPr>
      </w:pPr>
      <w:r w:rsidRPr="008A35AF">
        <w:rPr>
          <w:rFonts w:ascii="Century Gothic" w:hAnsi="Century Gothic"/>
          <w:color w:val="4472C4" w:themeColor="accent1"/>
        </w:rPr>
        <w:t>7.3.2 Recommandations</w:t>
      </w:r>
      <w:r w:rsidR="00AA2F69" w:rsidRPr="008A35AF">
        <w:rPr>
          <w:rFonts w:ascii="Century Gothic" w:hAnsi="Century Gothic"/>
          <w:color w:val="4472C4" w:themeColor="accent1"/>
        </w:rPr>
        <w:t xml:space="preserve"> Spécifiques</w:t>
      </w:r>
    </w:p>
    <w:p w14:paraId="5B7E2F84" w14:textId="77777777" w:rsidR="00AA2F69" w:rsidRDefault="00AA2F69" w:rsidP="005625B5">
      <w:pPr>
        <w:pStyle w:val="Paragraphedeliste"/>
        <w:numPr>
          <w:ilvl w:val="0"/>
          <w:numId w:val="3"/>
        </w:numPr>
        <w:jc w:val="both"/>
        <w:rPr>
          <w:rFonts w:ascii="Century Gothic" w:hAnsi="Century Gothic"/>
        </w:rPr>
      </w:pPr>
      <w:r w:rsidRPr="00541183">
        <w:rPr>
          <w:rFonts w:ascii="Century Gothic" w:hAnsi="Century Gothic"/>
        </w:rPr>
        <w:t>Renforcement Institutionnel : Créer un cadre réglementaire clair pour la protection et la gestion des zones humides, intégrant les enjeux climatiques dans toutes les politiques environnementales.</w:t>
      </w:r>
    </w:p>
    <w:p w14:paraId="16DDE76B" w14:textId="77777777" w:rsidR="008C5B0D" w:rsidRPr="00541183" w:rsidRDefault="008C5B0D" w:rsidP="008C5B0D">
      <w:pPr>
        <w:pStyle w:val="Paragraphedeliste"/>
        <w:jc w:val="both"/>
        <w:rPr>
          <w:rFonts w:ascii="Century Gothic" w:hAnsi="Century Gothic"/>
        </w:rPr>
      </w:pPr>
    </w:p>
    <w:p w14:paraId="6074C19A" w14:textId="77777777" w:rsidR="00AA2F69" w:rsidRPr="00541183" w:rsidRDefault="00AA2F69" w:rsidP="005625B5">
      <w:pPr>
        <w:pStyle w:val="Paragraphedeliste"/>
        <w:numPr>
          <w:ilvl w:val="0"/>
          <w:numId w:val="3"/>
        </w:numPr>
        <w:jc w:val="both"/>
        <w:rPr>
          <w:rFonts w:ascii="Century Gothic" w:hAnsi="Century Gothic"/>
        </w:rPr>
      </w:pPr>
      <w:r w:rsidRPr="00541183">
        <w:rPr>
          <w:rFonts w:ascii="Century Gothic" w:hAnsi="Century Gothic"/>
        </w:rPr>
        <w:t>Sensibilisation et Éducation : Lancer des campagnes de sensibilisation sur l'importance des zones humides pour la biodiversité et le bien-être humain, ciblant à la fois les communautés locales et le grand public.</w:t>
      </w:r>
    </w:p>
    <w:p w14:paraId="5A03C3D1" w14:textId="77777777" w:rsidR="008C5B0D" w:rsidRDefault="008C5B0D" w:rsidP="008C5B0D">
      <w:pPr>
        <w:pStyle w:val="Paragraphedeliste"/>
        <w:jc w:val="both"/>
        <w:rPr>
          <w:rFonts w:ascii="Century Gothic" w:hAnsi="Century Gothic"/>
        </w:rPr>
      </w:pPr>
    </w:p>
    <w:p w14:paraId="3CCA6D72" w14:textId="77777777" w:rsidR="00AA2F69" w:rsidRPr="00541183" w:rsidRDefault="00AA2F69" w:rsidP="005625B5">
      <w:pPr>
        <w:pStyle w:val="Paragraphedeliste"/>
        <w:numPr>
          <w:ilvl w:val="0"/>
          <w:numId w:val="3"/>
        </w:numPr>
        <w:jc w:val="both"/>
        <w:rPr>
          <w:rFonts w:ascii="Century Gothic" w:hAnsi="Century Gothic"/>
        </w:rPr>
      </w:pPr>
      <w:r w:rsidRPr="00541183">
        <w:rPr>
          <w:rFonts w:ascii="Century Gothic" w:hAnsi="Century Gothic"/>
        </w:rPr>
        <w:t>Collaboration Intersectorielle : Favoriser la collaboration entre différents secteurs (agriculture, pêche, urbanisme) pour assurer une approche intégrée dans la gestion des ressources naturelles.</w:t>
      </w:r>
    </w:p>
    <w:p w14:paraId="5D7C21DC" w14:textId="77777777" w:rsidR="008C5B0D" w:rsidRDefault="008C5B0D" w:rsidP="008C5B0D">
      <w:pPr>
        <w:pStyle w:val="Paragraphedeliste"/>
        <w:jc w:val="both"/>
        <w:rPr>
          <w:rFonts w:ascii="Century Gothic" w:hAnsi="Century Gothic"/>
        </w:rPr>
      </w:pPr>
    </w:p>
    <w:p w14:paraId="672973A9" w14:textId="77777777" w:rsidR="00AA2F69" w:rsidRPr="00541183" w:rsidRDefault="00AA2F69" w:rsidP="005625B5">
      <w:pPr>
        <w:pStyle w:val="Paragraphedeliste"/>
        <w:numPr>
          <w:ilvl w:val="0"/>
          <w:numId w:val="3"/>
        </w:numPr>
        <w:jc w:val="both"/>
        <w:rPr>
          <w:rFonts w:ascii="Century Gothic" w:hAnsi="Century Gothic"/>
        </w:rPr>
      </w:pPr>
      <w:r w:rsidRPr="00541183">
        <w:rPr>
          <w:rFonts w:ascii="Century Gothic" w:hAnsi="Century Gothic"/>
        </w:rPr>
        <w:t>Financement Durable : Explorer de nouvelles sources de financement, y compris les mécanismes internationaux comme REDD+ ou le Fonds Vert pour le Climat, pour soutenir les initiatives de conservation et d'adaptation.</w:t>
      </w:r>
    </w:p>
    <w:p w14:paraId="0D68226A" w14:textId="194FA24A" w:rsidR="003529F5" w:rsidRPr="00541183" w:rsidRDefault="00AA2F69" w:rsidP="004A5301">
      <w:pPr>
        <w:jc w:val="both"/>
        <w:rPr>
          <w:rFonts w:ascii="Century Gothic" w:hAnsi="Century Gothic"/>
        </w:rPr>
      </w:pPr>
      <w:r w:rsidRPr="00541183">
        <w:rPr>
          <w:rFonts w:ascii="Century Gothic" w:hAnsi="Century Gothic"/>
        </w:rPr>
        <w:t>Les scénarios d’adaptation proposés visent à renforcer la résilience des zones humides mauritaniennes face au changement climatique tout en soutenant les communautés locales qui dépendent de ces écosystèmes. En mettant en œuvre ces recommandations, il est possible d'assurer une gestion durable qui préserve à la fois la biodiversité et le bien-être humain.</w:t>
      </w:r>
    </w:p>
    <w:p w14:paraId="39D57DF4" w14:textId="77777777" w:rsidR="00636503" w:rsidRDefault="00000000" w:rsidP="0080294E">
      <w:pPr>
        <w:jc w:val="both"/>
        <w:rPr>
          <w:rFonts w:ascii="Century Gothic" w:hAnsi="Century Gothic"/>
          <w:color w:val="FF0000"/>
        </w:rPr>
      </w:pPr>
      <w:r>
        <w:rPr>
          <w:rFonts w:ascii="Century Gothic" w:hAnsi="Century Gothic"/>
          <w:color w:val="FF0000"/>
        </w:rPr>
        <w:pict w14:anchorId="4E4DCDEF">
          <v:rect id="_x0000_i1029" style="width:0;height:1.5pt" o:hralign="center" o:bullet="t" o:hrstd="t" o:hr="t" fillcolor="#a0a0a0" stroked="f"/>
        </w:pict>
      </w:r>
    </w:p>
    <w:p w14:paraId="608C30A8" w14:textId="004817C2" w:rsidR="005B2F1E" w:rsidRPr="009E3472" w:rsidRDefault="005B2F1E" w:rsidP="005625B5">
      <w:pPr>
        <w:pStyle w:val="Titre1"/>
        <w:numPr>
          <w:ilvl w:val="0"/>
          <w:numId w:val="26"/>
        </w:numPr>
        <w:jc w:val="both"/>
        <w:rPr>
          <w:rFonts w:ascii="Century Gothic" w:hAnsi="Century Gothic"/>
          <w:sz w:val="26"/>
          <w:szCs w:val="26"/>
          <w:lang w:val="wo-SN"/>
        </w:rPr>
      </w:pPr>
      <w:bookmarkStart w:id="46" w:name="_Toc189326942"/>
      <w:bookmarkStart w:id="47" w:name="_Toc189375550"/>
      <w:r w:rsidRPr="009E3472">
        <w:rPr>
          <w:rFonts w:ascii="Century Gothic" w:hAnsi="Century Gothic"/>
          <w:sz w:val="26"/>
          <w:szCs w:val="26"/>
          <w:lang w:val="wo-SN"/>
        </w:rPr>
        <w:t>Plan d'action pour l'intégration des mesures d'adaptation dans les politiques de gestion des zones humides</w:t>
      </w:r>
      <w:bookmarkEnd w:id="46"/>
      <w:bookmarkEnd w:id="47"/>
    </w:p>
    <w:p w14:paraId="166E8B5D" w14:textId="77777777" w:rsidR="003529F5" w:rsidRPr="003529F5" w:rsidRDefault="003529F5" w:rsidP="003529F5">
      <w:pPr>
        <w:rPr>
          <w:lang w:val="wo-SN"/>
        </w:rPr>
      </w:pPr>
    </w:p>
    <w:p w14:paraId="547D1484" w14:textId="01B006B8" w:rsidR="00606EF7" w:rsidRPr="006938C9" w:rsidRDefault="001F33E0" w:rsidP="006938C9">
      <w:pPr>
        <w:pStyle w:val="Titre2"/>
        <w:rPr>
          <w:rFonts w:ascii="Century Gothic" w:hAnsi="Century Gothic"/>
          <w:lang w:val="wo-SN"/>
        </w:rPr>
      </w:pPr>
      <w:bookmarkStart w:id="48" w:name="_Toc189375551"/>
      <w:r>
        <w:rPr>
          <w:rFonts w:ascii="Century Gothic" w:hAnsi="Century Gothic"/>
          <w:lang w:val="wo-SN"/>
        </w:rPr>
        <w:t>8</w:t>
      </w:r>
      <w:r w:rsidR="00606EF7">
        <w:rPr>
          <w:rFonts w:ascii="Century Gothic" w:hAnsi="Century Gothic"/>
          <w:lang w:val="wo-SN"/>
        </w:rPr>
        <w:t xml:space="preserve">.1  </w:t>
      </w:r>
      <w:r w:rsidR="005340E2" w:rsidRPr="005B2F1E">
        <w:rPr>
          <w:rFonts w:ascii="Century Gothic" w:hAnsi="Century Gothic"/>
          <w:lang w:val="wo-SN"/>
        </w:rPr>
        <w:t>Stratégies d'Adaptation</w:t>
      </w:r>
      <w:bookmarkEnd w:id="48"/>
    </w:p>
    <w:p w14:paraId="7E2BD534" w14:textId="77777777" w:rsidR="008C5B0D" w:rsidRPr="008C5B0D" w:rsidRDefault="008C5B0D" w:rsidP="00DF1579">
      <w:pPr>
        <w:jc w:val="both"/>
        <w:rPr>
          <w:rFonts w:ascii="Century Gothic" w:hAnsi="Century Gothic"/>
          <w:sz w:val="20"/>
          <w:szCs w:val="20"/>
        </w:rPr>
      </w:pPr>
    </w:p>
    <w:p w14:paraId="54F0CEB1" w14:textId="7165410A" w:rsidR="005340E2" w:rsidRPr="00541183" w:rsidRDefault="005340E2" w:rsidP="00DF1579">
      <w:pPr>
        <w:jc w:val="both"/>
        <w:rPr>
          <w:rFonts w:ascii="Century Gothic" w:hAnsi="Century Gothic"/>
        </w:rPr>
      </w:pPr>
      <w:r w:rsidRPr="00541183">
        <w:rPr>
          <w:rFonts w:ascii="Century Gothic" w:hAnsi="Century Gothic"/>
        </w:rPr>
        <w:t>Pour renforcer la résilience des aires protégées face au changement climatique, plusieurs stratégies peuvent être mises en œuvre :</w:t>
      </w:r>
    </w:p>
    <w:p w14:paraId="7D7FA0F6" w14:textId="660D81F3" w:rsidR="005340E2" w:rsidRPr="00541183" w:rsidRDefault="005340E2" w:rsidP="00DF1579">
      <w:pPr>
        <w:jc w:val="both"/>
        <w:rPr>
          <w:rFonts w:ascii="Century Gothic" w:hAnsi="Century Gothic"/>
        </w:rPr>
      </w:pPr>
      <w:r w:rsidRPr="00541183">
        <w:rPr>
          <w:rFonts w:ascii="Century Gothic" w:hAnsi="Century Gothic"/>
        </w:rPr>
        <w:t>1. Suivi et Évaluation</w:t>
      </w:r>
      <w:r w:rsidR="004E70A4">
        <w:rPr>
          <w:rFonts w:ascii="Century Gothic" w:hAnsi="Century Gothic"/>
        </w:rPr>
        <w:t xml:space="preserve"> </w:t>
      </w:r>
      <w:r w:rsidRPr="00541183">
        <w:rPr>
          <w:rFonts w:ascii="Century Gothic" w:hAnsi="Century Gothic"/>
        </w:rPr>
        <w:t>: Mettre en place un système de suivi inclusif pour évaluer régulièrement l'impact du changement climatique sur la biodiversité dans ces zones.</w:t>
      </w:r>
    </w:p>
    <w:p w14:paraId="02D0597B" w14:textId="1EED7BA8" w:rsidR="005340E2" w:rsidRPr="00541183" w:rsidRDefault="005340E2" w:rsidP="00DF1579">
      <w:pPr>
        <w:jc w:val="both"/>
        <w:rPr>
          <w:rFonts w:ascii="Century Gothic" w:hAnsi="Century Gothic"/>
        </w:rPr>
      </w:pPr>
      <w:r w:rsidRPr="00541183">
        <w:rPr>
          <w:rFonts w:ascii="Century Gothic" w:hAnsi="Century Gothic"/>
        </w:rPr>
        <w:t>2. Sensibilisation des Communautés</w:t>
      </w:r>
      <w:r w:rsidR="000B2977" w:rsidRPr="00541183">
        <w:rPr>
          <w:rFonts w:ascii="Century Gothic" w:hAnsi="Century Gothic"/>
        </w:rPr>
        <w:t xml:space="preserve"> </w:t>
      </w:r>
      <w:r w:rsidRPr="00541183">
        <w:rPr>
          <w:rFonts w:ascii="Century Gothic" w:hAnsi="Century Gothic"/>
        </w:rPr>
        <w:t>: Informer et former les populations locales sur les effets du changement climatique et sur la manière dont elles peuvent contribuer à la protection de ces écosystèmes.</w:t>
      </w:r>
    </w:p>
    <w:p w14:paraId="027154CE" w14:textId="15D28383" w:rsidR="005340E2" w:rsidRPr="00541183" w:rsidRDefault="005340E2" w:rsidP="00DF1579">
      <w:pPr>
        <w:jc w:val="both"/>
        <w:rPr>
          <w:rFonts w:ascii="Century Gothic" w:hAnsi="Century Gothic"/>
        </w:rPr>
      </w:pPr>
      <w:r w:rsidRPr="00541183">
        <w:rPr>
          <w:rFonts w:ascii="Century Gothic" w:hAnsi="Century Gothic"/>
        </w:rPr>
        <w:t>3. Politiques Intégrées</w:t>
      </w:r>
      <w:r w:rsidR="000B2977" w:rsidRPr="00541183">
        <w:rPr>
          <w:rFonts w:ascii="Century Gothic" w:hAnsi="Century Gothic"/>
        </w:rPr>
        <w:t xml:space="preserve"> </w:t>
      </w:r>
      <w:r w:rsidRPr="00541183">
        <w:rPr>
          <w:rFonts w:ascii="Century Gothic" w:hAnsi="Century Gothic"/>
        </w:rPr>
        <w:t>: Élaborer des politiques qui intègrent la gestion des aires protégées avec des stratégies d'adaptation au changement climatique, assurant une approche holistique pour protéger ces ressources vitales.</w:t>
      </w:r>
    </w:p>
    <w:p w14:paraId="57AF848E" w14:textId="7F8C5B3C" w:rsidR="00636503" w:rsidRPr="00541183" w:rsidRDefault="005340E2" w:rsidP="006938C9">
      <w:pPr>
        <w:jc w:val="both"/>
        <w:rPr>
          <w:rFonts w:ascii="Century Gothic" w:hAnsi="Century Gothic"/>
        </w:rPr>
      </w:pPr>
      <w:r w:rsidRPr="00541183">
        <w:rPr>
          <w:rFonts w:ascii="Century Gothic" w:hAnsi="Century Gothic"/>
        </w:rPr>
        <w:t>En conclusion, bien que les aires protégées en Mauritanie soient confrontées à des défis considérables dus au changement climatique, elles restent essentielles pour la conservation de la biodiversité et l'adaptation aux impacts environnementaux. Des efforts concertés sont nécessaires pour renforcer leur résilience et assurer leur efficacité face à ces menaces croissantes.</w:t>
      </w:r>
    </w:p>
    <w:p w14:paraId="3E12C6E6" w14:textId="31313BF8" w:rsidR="00606EF7" w:rsidRPr="006938C9" w:rsidRDefault="00A616B6" w:rsidP="006938C9">
      <w:pPr>
        <w:pStyle w:val="Titre2"/>
        <w:rPr>
          <w:rFonts w:ascii="Century Gothic" w:hAnsi="Century Gothic"/>
          <w:lang w:val="wo-SN"/>
        </w:rPr>
      </w:pPr>
      <w:bookmarkStart w:id="49" w:name="_Toc189375552"/>
      <w:r>
        <w:rPr>
          <w:rFonts w:ascii="Century Gothic" w:hAnsi="Century Gothic"/>
        </w:rPr>
        <w:t>8</w:t>
      </w:r>
      <w:r>
        <w:rPr>
          <w:rFonts w:ascii="Century Gothic" w:hAnsi="Century Gothic"/>
          <w:lang w:val="wo-SN"/>
        </w:rPr>
        <w:t>.2 Plan</w:t>
      </w:r>
      <w:r w:rsidR="00BC4413" w:rsidRPr="00CD5210">
        <w:rPr>
          <w:rFonts w:ascii="Century Gothic" w:hAnsi="Century Gothic"/>
          <w:lang w:val="wo-SN"/>
        </w:rPr>
        <w:t xml:space="preserve"> d'Action pour l'Intégration des Mesures d'Adaptation</w:t>
      </w:r>
      <w:r w:rsidR="0018014C" w:rsidRPr="00CD5210">
        <w:rPr>
          <w:rFonts w:ascii="Century Gothic" w:hAnsi="Century Gothic"/>
          <w:lang w:val="wo-SN"/>
        </w:rPr>
        <w:t xml:space="preserve"> (PAIMA)</w:t>
      </w:r>
      <w:bookmarkEnd w:id="49"/>
    </w:p>
    <w:p w14:paraId="7F3C6FC3" w14:textId="6AAE611F" w:rsidR="008003C3" w:rsidRPr="00541183" w:rsidRDefault="008003C3" w:rsidP="00DF1579">
      <w:pPr>
        <w:jc w:val="both"/>
        <w:rPr>
          <w:rFonts w:ascii="Century Gothic" w:hAnsi="Century Gothic"/>
        </w:rPr>
      </w:pPr>
      <w:r w:rsidRPr="00541183">
        <w:rPr>
          <w:rFonts w:ascii="Century Gothic" w:hAnsi="Century Gothic"/>
        </w:rPr>
        <w:t xml:space="preserve">Pour intégrer efficacement les mesures d'adaptation aux politiques de gestion des zones humides </w:t>
      </w:r>
      <w:r w:rsidR="006846A9" w:rsidRPr="00541183">
        <w:rPr>
          <w:rFonts w:ascii="Century Gothic" w:hAnsi="Century Gothic"/>
        </w:rPr>
        <w:t xml:space="preserve">et aires </w:t>
      </w:r>
      <w:r w:rsidR="00625D64" w:rsidRPr="00541183">
        <w:rPr>
          <w:rFonts w:ascii="Century Gothic" w:hAnsi="Century Gothic"/>
        </w:rPr>
        <w:t>protégées</w:t>
      </w:r>
      <w:r w:rsidR="006846A9" w:rsidRPr="00541183">
        <w:rPr>
          <w:rFonts w:ascii="Century Gothic" w:hAnsi="Century Gothic"/>
        </w:rPr>
        <w:t xml:space="preserve"> </w:t>
      </w:r>
      <w:r w:rsidRPr="00541183">
        <w:rPr>
          <w:rFonts w:ascii="Century Gothic" w:hAnsi="Century Gothic"/>
        </w:rPr>
        <w:t xml:space="preserve">en Mauritanie, un plan d'action structuré est nécessaire. Ce plan doit s'appuyer sur des stratégies existantes tout en tenant compte des défis spécifiques liés au changement climatique. </w:t>
      </w:r>
    </w:p>
    <w:p w14:paraId="4C988513" w14:textId="09ACA1DD" w:rsidR="008003C3" w:rsidRPr="00541183" w:rsidRDefault="008003C3" w:rsidP="00DF1579">
      <w:pPr>
        <w:jc w:val="both"/>
        <w:rPr>
          <w:rFonts w:ascii="Century Gothic" w:hAnsi="Century Gothic"/>
        </w:rPr>
      </w:pPr>
      <w:r w:rsidRPr="00541183">
        <w:rPr>
          <w:rFonts w:ascii="Century Gothic" w:hAnsi="Century Gothic"/>
        </w:rPr>
        <w:t>Objectifs Généraux</w:t>
      </w:r>
      <w:r w:rsidR="00BC4413" w:rsidRPr="00541183">
        <w:rPr>
          <w:rFonts w:ascii="Century Gothic" w:hAnsi="Century Gothic"/>
        </w:rPr>
        <w:t xml:space="preserve"> du plan </w:t>
      </w:r>
    </w:p>
    <w:p w14:paraId="0B212739" w14:textId="3ED0BFC6" w:rsidR="00C91B22" w:rsidRPr="00541183" w:rsidRDefault="008003C3" w:rsidP="005625B5">
      <w:pPr>
        <w:pStyle w:val="Paragraphedeliste"/>
        <w:numPr>
          <w:ilvl w:val="0"/>
          <w:numId w:val="3"/>
        </w:numPr>
        <w:jc w:val="both"/>
        <w:rPr>
          <w:rFonts w:ascii="Century Gothic" w:hAnsi="Century Gothic"/>
        </w:rPr>
      </w:pPr>
      <w:r w:rsidRPr="00541183">
        <w:rPr>
          <w:rFonts w:ascii="Century Gothic" w:hAnsi="Century Gothic"/>
        </w:rPr>
        <w:t>Renforcer la résilience des zones humides</w:t>
      </w:r>
      <w:r w:rsidR="00C91B22" w:rsidRPr="00541183">
        <w:rPr>
          <w:rFonts w:ascii="Century Gothic" w:hAnsi="Century Gothic"/>
        </w:rPr>
        <w:t xml:space="preserve"> et aires </w:t>
      </w:r>
      <w:r w:rsidR="00625D64" w:rsidRPr="00541183">
        <w:rPr>
          <w:rFonts w:ascii="Century Gothic" w:hAnsi="Century Gothic"/>
        </w:rPr>
        <w:t>protégées</w:t>
      </w:r>
      <w:r w:rsidRPr="00541183">
        <w:rPr>
          <w:rFonts w:ascii="Century Gothic" w:hAnsi="Century Gothic"/>
        </w:rPr>
        <w:t xml:space="preserve"> face au changement climatique.</w:t>
      </w:r>
    </w:p>
    <w:p w14:paraId="3192F5E1" w14:textId="77777777" w:rsidR="00C91B22" w:rsidRPr="00541183" w:rsidRDefault="00C91B22" w:rsidP="00DF1579">
      <w:pPr>
        <w:pStyle w:val="Paragraphedeliste"/>
        <w:jc w:val="both"/>
        <w:rPr>
          <w:rFonts w:ascii="Century Gothic" w:hAnsi="Century Gothic"/>
        </w:rPr>
      </w:pPr>
    </w:p>
    <w:p w14:paraId="6C1D08C3" w14:textId="77777777" w:rsidR="00C91B22" w:rsidRPr="00541183" w:rsidRDefault="008003C3" w:rsidP="005625B5">
      <w:pPr>
        <w:pStyle w:val="Paragraphedeliste"/>
        <w:numPr>
          <w:ilvl w:val="0"/>
          <w:numId w:val="3"/>
        </w:numPr>
        <w:jc w:val="both"/>
        <w:rPr>
          <w:rFonts w:ascii="Century Gothic" w:hAnsi="Century Gothic"/>
        </w:rPr>
      </w:pPr>
      <w:r w:rsidRPr="00541183">
        <w:rPr>
          <w:rFonts w:ascii="Century Gothic" w:hAnsi="Century Gothic"/>
        </w:rPr>
        <w:t>Assurer une gestion durable des ressources naturelles.</w:t>
      </w:r>
    </w:p>
    <w:p w14:paraId="30E624A4" w14:textId="77777777" w:rsidR="00C91B22" w:rsidRPr="00541183" w:rsidRDefault="00C91B22" w:rsidP="00DF1579">
      <w:pPr>
        <w:pStyle w:val="Paragraphedeliste"/>
        <w:jc w:val="both"/>
        <w:rPr>
          <w:rFonts w:ascii="Century Gothic" w:hAnsi="Century Gothic"/>
        </w:rPr>
      </w:pPr>
    </w:p>
    <w:p w14:paraId="1D7540BE" w14:textId="6959DCC7" w:rsidR="008003C3" w:rsidRPr="00541183" w:rsidRDefault="008003C3" w:rsidP="005625B5">
      <w:pPr>
        <w:pStyle w:val="Paragraphedeliste"/>
        <w:numPr>
          <w:ilvl w:val="0"/>
          <w:numId w:val="3"/>
        </w:numPr>
        <w:jc w:val="both"/>
        <w:rPr>
          <w:rFonts w:ascii="Century Gothic" w:hAnsi="Century Gothic"/>
        </w:rPr>
      </w:pPr>
      <w:r w:rsidRPr="00541183">
        <w:rPr>
          <w:rFonts w:ascii="Century Gothic" w:hAnsi="Century Gothic"/>
        </w:rPr>
        <w:t>Améliorer le bien-être des communautés locales dépendantes des zones humides</w:t>
      </w:r>
      <w:r w:rsidR="00C91B22" w:rsidRPr="00541183">
        <w:rPr>
          <w:rFonts w:ascii="Century Gothic" w:hAnsi="Century Gothic"/>
        </w:rPr>
        <w:t xml:space="preserve"> et des Aires </w:t>
      </w:r>
      <w:r w:rsidR="00625D64" w:rsidRPr="00541183">
        <w:rPr>
          <w:rFonts w:ascii="Century Gothic" w:hAnsi="Century Gothic"/>
        </w:rPr>
        <w:t>Protégées</w:t>
      </w:r>
      <w:r w:rsidRPr="00541183">
        <w:rPr>
          <w:rFonts w:ascii="Century Gothic" w:hAnsi="Century Gothic"/>
        </w:rPr>
        <w:t>.</w:t>
      </w:r>
    </w:p>
    <w:p w14:paraId="5BBCC71B" w14:textId="1A20E054" w:rsidR="006846A9" w:rsidRPr="00541183" w:rsidRDefault="006846A9" w:rsidP="00DF1579">
      <w:pPr>
        <w:jc w:val="both"/>
        <w:rPr>
          <w:rFonts w:ascii="Century Gothic" w:hAnsi="Century Gothic"/>
        </w:rPr>
      </w:pPr>
      <w:r w:rsidRPr="00541183">
        <w:rPr>
          <w:rFonts w:ascii="Century Gothic" w:hAnsi="Century Gothic"/>
        </w:rPr>
        <w:t>Ce plan d'action vise à intégrer efficacement les mesures d'adaptation dans les politiques de gestion des zones humides en Mauritanie. En renforçant la gouvernance, en impliquant les communautés locales et en assurant un suivi rigoureux, il est possible de protéger ces écosystèmes vitaux tout en améliorant le bien-être des populations qui en dépendent. L'engagement collectif et le soutien financier seront essentiels pour garantir le succès de ces initiatives.</w:t>
      </w:r>
    </w:p>
    <w:p w14:paraId="7051A095" w14:textId="77777777" w:rsidR="003529F5" w:rsidRDefault="003529F5" w:rsidP="00DF1579">
      <w:pPr>
        <w:pStyle w:val="Lgende"/>
        <w:jc w:val="both"/>
        <w:rPr>
          <w:rFonts w:ascii="Century Gothic" w:hAnsi="Century Gothic"/>
        </w:rPr>
        <w:sectPr w:rsidR="003529F5">
          <w:pgSz w:w="11906" w:h="16838"/>
          <w:pgMar w:top="1417" w:right="1417" w:bottom="1417" w:left="1417" w:header="708" w:footer="708" w:gutter="0"/>
          <w:cols w:space="708"/>
          <w:docGrid w:linePitch="360"/>
        </w:sectPr>
      </w:pPr>
      <w:bookmarkStart w:id="50" w:name="_Toc187175752"/>
    </w:p>
    <w:p w14:paraId="7A4ABDEB" w14:textId="0396CFDB" w:rsidR="0018014C" w:rsidRPr="003529F5" w:rsidRDefault="00DE261F" w:rsidP="00DE261F">
      <w:pPr>
        <w:pStyle w:val="Lgende"/>
        <w:rPr>
          <w:rFonts w:ascii="Century Gothic" w:hAnsi="Century Gothic"/>
          <w:b/>
          <w:bCs/>
          <w:sz w:val="22"/>
          <w:szCs w:val="22"/>
        </w:rPr>
      </w:pPr>
      <w:bookmarkStart w:id="51" w:name="_Toc189305539"/>
      <w:bookmarkEnd w:id="50"/>
      <w:r>
        <w:t xml:space="preserve">Table </w:t>
      </w:r>
      <w:fldSimple w:instr=" SEQ Table \* ARABIC ">
        <w:r>
          <w:rPr>
            <w:noProof/>
          </w:rPr>
          <w:t>7</w:t>
        </w:r>
      </w:fldSimple>
      <w:r>
        <w:t xml:space="preserve"> </w:t>
      </w:r>
      <w:r w:rsidRPr="000B0B91">
        <w:t>PAIMA</w:t>
      </w:r>
      <w:bookmarkEnd w:id="51"/>
    </w:p>
    <w:tbl>
      <w:tblPr>
        <w:tblStyle w:val="Grilledutableau"/>
        <w:tblW w:w="15163" w:type="dxa"/>
        <w:tblLook w:val="04A0" w:firstRow="1" w:lastRow="0" w:firstColumn="1" w:lastColumn="0" w:noHBand="0" w:noVBand="1"/>
      </w:tblPr>
      <w:tblGrid>
        <w:gridCol w:w="2235"/>
        <w:gridCol w:w="5698"/>
        <w:gridCol w:w="3119"/>
        <w:gridCol w:w="4111"/>
      </w:tblGrid>
      <w:tr w:rsidR="00BC4413" w:rsidRPr="00541183" w14:paraId="05A17A65" w14:textId="77777777" w:rsidTr="003529F5">
        <w:tc>
          <w:tcPr>
            <w:tcW w:w="2235" w:type="dxa"/>
          </w:tcPr>
          <w:p w14:paraId="431FB7BB" w14:textId="0B5FDDE0" w:rsidR="00BC4413" w:rsidRPr="00541183" w:rsidRDefault="008A35AF" w:rsidP="00DF1579">
            <w:pPr>
              <w:jc w:val="both"/>
              <w:rPr>
                <w:rFonts w:ascii="Century Gothic" w:hAnsi="Century Gothic"/>
              </w:rPr>
            </w:pPr>
            <w:r>
              <w:rPr>
                <w:rFonts w:ascii="Century Gothic" w:hAnsi="Century Gothic"/>
              </w:rPr>
              <w:t xml:space="preserve">Axes </w:t>
            </w:r>
          </w:p>
        </w:tc>
        <w:tc>
          <w:tcPr>
            <w:tcW w:w="5698" w:type="dxa"/>
          </w:tcPr>
          <w:p w14:paraId="32D85E12" w14:textId="76A86C9C" w:rsidR="00BC4413" w:rsidRPr="003529F5" w:rsidRDefault="00BC4413" w:rsidP="00DF1579">
            <w:pPr>
              <w:jc w:val="both"/>
              <w:rPr>
                <w:rFonts w:ascii="Century Gothic" w:hAnsi="Century Gothic"/>
                <w:b/>
                <w:bCs/>
              </w:rPr>
            </w:pPr>
            <w:r w:rsidRPr="003529F5">
              <w:rPr>
                <w:rFonts w:ascii="Century Gothic" w:hAnsi="Century Gothic"/>
                <w:b/>
                <w:bCs/>
              </w:rPr>
              <w:t xml:space="preserve">Action </w:t>
            </w:r>
          </w:p>
        </w:tc>
        <w:tc>
          <w:tcPr>
            <w:tcW w:w="3119" w:type="dxa"/>
          </w:tcPr>
          <w:p w14:paraId="319DA9EA" w14:textId="1978292B" w:rsidR="00BC4413" w:rsidRPr="003529F5" w:rsidRDefault="00BC4413" w:rsidP="00DF1579">
            <w:pPr>
              <w:jc w:val="both"/>
              <w:rPr>
                <w:rFonts w:ascii="Century Gothic" w:hAnsi="Century Gothic"/>
                <w:b/>
                <w:bCs/>
              </w:rPr>
            </w:pPr>
            <w:r w:rsidRPr="003529F5">
              <w:rPr>
                <w:rFonts w:ascii="Century Gothic" w:hAnsi="Century Gothic"/>
                <w:b/>
                <w:bCs/>
              </w:rPr>
              <w:t xml:space="preserve">Responsable </w:t>
            </w:r>
          </w:p>
        </w:tc>
        <w:tc>
          <w:tcPr>
            <w:tcW w:w="4111" w:type="dxa"/>
          </w:tcPr>
          <w:p w14:paraId="088C3387" w14:textId="7DC2D7D7" w:rsidR="00BC4413" w:rsidRPr="003529F5" w:rsidRDefault="00CC35A1" w:rsidP="00DF1579">
            <w:pPr>
              <w:jc w:val="both"/>
              <w:rPr>
                <w:rFonts w:ascii="Century Gothic" w:hAnsi="Century Gothic"/>
                <w:b/>
                <w:bCs/>
              </w:rPr>
            </w:pPr>
            <w:r w:rsidRPr="003529F5">
              <w:rPr>
                <w:rFonts w:ascii="Century Gothic" w:hAnsi="Century Gothic"/>
                <w:b/>
                <w:bCs/>
              </w:rPr>
              <w:t>Recommandations</w:t>
            </w:r>
            <w:r w:rsidR="00BC4413" w:rsidRPr="003529F5">
              <w:rPr>
                <w:rFonts w:ascii="Century Gothic" w:hAnsi="Century Gothic"/>
                <w:b/>
                <w:bCs/>
              </w:rPr>
              <w:t xml:space="preserve"> </w:t>
            </w:r>
          </w:p>
        </w:tc>
      </w:tr>
      <w:tr w:rsidR="00BC4413" w:rsidRPr="00541183" w14:paraId="2D806A0E" w14:textId="77777777" w:rsidTr="003529F5">
        <w:tc>
          <w:tcPr>
            <w:tcW w:w="2235" w:type="dxa"/>
          </w:tcPr>
          <w:p w14:paraId="1EE11896" w14:textId="5770AFE7" w:rsidR="00BC4413" w:rsidRPr="003529F5" w:rsidRDefault="00BC4413" w:rsidP="00DF1579">
            <w:pPr>
              <w:jc w:val="both"/>
              <w:rPr>
                <w:rFonts w:ascii="Century Gothic" w:hAnsi="Century Gothic"/>
                <w:b/>
                <w:bCs/>
                <w:sz w:val="20"/>
                <w:szCs w:val="20"/>
              </w:rPr>
            </w:pPr>
            <w:r w:rsidRPr="003529F5">
              <w:rPr>
                <w:rFonts w:ascii="Century Gothic" w:hAnsi="Century Gothic"/>
                <w:b/>
                <w:bCs/>
                <w:sz w:val="20"/>
                <w:szCs w:val="20"/>
              </w:rPr>
              <w:t>Évaluation et Diagnostic</w:t>
            </w:r>
          </w:p>
        </w:tc>
        <w:tc>
          <w:tcPr>
            <w:tcW w:w="5698" w:type="dxa"/>
          </w:tcPr>
          <w:p w14:paraId="3C78E631" w14:textId="7385524D" w:rsidR="00BC4413" w:rsidRPr="003529F5" w:rsidRDefault="00BC4413" w:rsidP="00DF1579">
            <w:pPr>
              <w:jc w:val="both"/>
              <w:rPr>
                <w:rFonts w:ascii="Century Gothic" w:hAnsi="Century Gothic"/>
                <w:sz w:val="20"/>
                <w:szCs w:val="20"/>
              </w:rPr>
            </w:pPr>
            <w:r w:rsidRPr="003529F5">
              <w:rPr>
                <w:rFonts w:ascii="Century Gothic" w:hAnsi="Century Gothic"/>
                <w:sz w:val="20"/>
                <w:szCs w:val="20"/>
              </w:rPr>
              <w:t>Réaliser une évaluation exhaustive de l'état actuel des zones humides, en identifiant les menaces liées au changement climatique et les besoins des communautés locales.</w:t>
            </w:r>
          </w:p>
        </w:tc>
        <w:tc>
          <w:tcPr>
            <w:tcW w:w="3119" w:type="dxa"/>
          </w:tcPr>
          <w:p w14:paraId="0523CC62" w14:textId="4DA6EA0A" w:rsidR="00BC4413" w:rsidRPr="003529F5" w:rsidRDefault="00BC4413" w:rsidP="00DF1579">
            <w:pPr>
              <w:jc w:val="both"/>
              <w:rPr>
                <w:rFonts w:ascii="Century Gothic" w:hAnsi="Century Gothic"/>
                <w:sz w:val="20"/>
                <w:szCs w:val="20"/>
              </w:rPr>
            </w:pPr>
            <w:r w:rsidRPr="003529F5">
              <w:rPr>
                <w:rFonts w:ascii="Century Gothic" w:hAnsi="Century Gothic"/>
                <w:sz w:val="20"/>
                <w:szCs w:val="20"/>
              </w:rPr>
              <w:t>Ministère de l’Environnement, agences locales, ONG.</w:t>
            </w:r>
          </w:p>
        </w:tc>
        <w:tc>
          <w:tcPr>
            <w:tcW w:w="4111" w:type="dxa"/>
          </w:tcPr>
          <w:p w14:paraId="49647244" w14:textId="77777777" w:rsidR="00BC4413" w:rsidRPr="003529F5" w:rsidRDefault="00BC4413" w:rsidP="00DF1579">
            <w:pPr>
              <w:jc w:val="both"/>
              <w:rPr>
                <w:rFonts w:ascii="Century Gothic" w:hAnsi="Century Gothic"/>
                <w:sz w:val="20"/>
                <w:szCs w:val="20"/>
              </w:rPr>
            </w:pPr>
          </w:p>
        </w:tc>
      </w:tr>
      <w:tr w:rsidR="00BC4413" w:rsidRPr="00541183" w14:paraId="3C6B56C9" w14:textId="77777777" w:rsidTr="003529F5">
        <w:tc>
          <w:tcPr>
            <w:tcW w:w="2235" w:type="dxa"/>
          </w:tcPr>
          <w:p w14:paraId="32715C46" w14:textId="06D9C629" w:rsidR="00BC4413" w:rsidRPr="003529F5" w:rsidRDefault="00BC4413" w:rsidP="00DF1579">
            <w:pPr>
              <w:jc w:val="both"/>
              <w:rPr>
                <w:rFonts w:ascii="Century Gothic" w:hAnsi="Century Gothic"/>
                <w:b/>
                <w:bCs/>
                <w:sz w:val="20"/>
                <w:szCs w:val="20"/>
              </w:rPr>
            </w:pPr>
            <w:r w:rsidRPr="003529F5">
              <w:rPr>
                <w:rFonts w:ascii="Century Gothic" w:hAnsi="Century Gothic"/>
                <w:b/>
                <w:bCs/>
                <w:sz w:val="20"/>
                <w:szCs w:val="20"/>
              </w:rPr>
              <w:t>Renforcement de la Gouvernance</w:t>
            </w:r>
          </w:p>
        </w:tc>
        <w:tc>
          <w:tcPr>
            <w:tcW w:w="5698" w:type="dxa"/>
          </w:tcPr>
          <w:p w14:paraId="0DA5EF3B" w14:textId="77777777" w:rsidR="00BC4413" w:rsidRPr="003529F5" w:rsidRDefault="00BC4413" w:rsidP="00DF1579">
            <w:pPr>
              <w:jc w:val="both"/>
              <w:rPr>
                <w:rFonts w:ascii="Century Gothic" w:hAnsi="Century Gothic"/>
                <w:sz w:val="20"/>
                <w:szCs w:val="20"/>
              </w:rPr>
            </w:pPr>
            <w:r w:rsidRPr="003529F5">
              <w:rPr>
                <w:rFonts w:ascii="Century Gothic" w:hAnsi="Century Gothic"/>
                <w:sz w:val="20"/>
                <w:szCs w:val="20"/>
              </w:rPr>
              <w:t>Établir un cadre réglementaire clair pour la gestion des zones humides, intégrant les mesures d'adaptation au changement climatique.</w:t>
            </w:r>
          </w:p>
          <w:p w14:paraId="41EDC451" w14:textId="77777777" w:rsidR="00BC4413" w:rsidRPr="003529F5" w:rsidRDefault="00BC4413" w:rsidP="00DF1579">
            <w:pPr>
              <w:jc w:val="both"/>
              <w:rPr>
                <w:rFonts w:ascii="Century Gothic" w:hAnsi="Century Gothic"/>
                <w:sz w:val="20"/>
                <w:szCs w:val="20"/>
              </w:rPr>
            </w:pPr>
          </w:p>
        </w:tc>
        <w:tc>
          <w:tcPr>
            <w:tcW w:w="3119" w:type="dxa"/>
          </w:tcPr>
          <w:p w14:paraId="37483EA6" w14:textId="77777777" w:rsidR="00BC4413" w:rsidRPr="003529F5" w:rsidRDefault="00BC4413" w:rsidP="00DF1579">
            <w:pPr>
              <w:jc w:val="both"/>
              <w:rPr>
                <w:rFonts w:ascii="Century Gothic" w:hAnsi="Century Gothic"/>
                <w:sz w:val="20"/>
                <w:szCs w:val="20"/>
              </w:rPr>
            </w:pPr>
            <w:r w:rsidRPr="003529F5">
              <w:rPr>
                <w:rFonts w:ascii="Century Gothic" w:hAnsi="Century Gothic"/>
                <w:sz w:val="20"/>
                <w:szCs w:val="20"/>
              </w:rPr>
              <w:t>Gouvernement mauritanien, autorités locales.</w:t>
            </w:r>
          </w:p>
          <w:p w14:paraId="59913DED" w14:textId="77777777" w:rsidR="00BC4413" w:rsidRPr="003529F5" w:rsidRDefault="00BC4413" w:rsidP="00DF1579">
            <w:pPr>
              <w:jc w:val="both"/>
              <w:rPr>
                <w:rFonts w:ascii="Century Gothic" w:hAnsi="Century Gothic"/>
                <w:sz w:val="20"/>
                <w:szCs w:val="20"/>
              </w:rPr>
            </w:pPr>
          </w:p>
        </w:tc>
        <w:tc>
          <w:tcPr>
            <w:tcW w:w="4111" w:type="dxa"/>
          </w:tcPr>
          <w:p w14:paraId="34019985" w14:textId="77EF5C3F" w:rsidR="00BC4413" w:rsidRPr="003529F5" w:rsidRDefault="00BC4413" w:rsidP="00DF1579">
            <w:pPr>
              <w:jc w:val="both"/>
              <w:rPr>
                <w:rFonts w:ascii="Century Gothic" w:hAnsi="Century Gothic"/>
                <w:sz w:val="20"/>
                <w:szCs w:val="20"/>
              </w:rPr>
            </w:pPr>
            <w:r w:rsidRPr="003529F5">
              <w:rPr>
                <w:rFonts w:ascii="Century Gothic" w:hAnsi="Century Gothic"/>
                <w:sz w:val="20"/>
                <w:szCs w:val="20"/>
              </w:rPr>
              <w:t>Impliquer les communautés locales dans le processus décisionnel pour garantir que leurs besoins et connaissances soient pris en compte.</w:t>
            </w:r>
          </w:p>
        </w:tc>
      </w:tr>
      <w:tr w:rsidR="00BC4413" w:rsidRPr="00541183" w14:paraId="14665C24" w14:textId="77777777" w:rsidTr="003529F5">
        <w:tc>
          <w:tcPr>
            <w:tcW w:w="2235" w:type="dxa"/>
          </w:tcPr>
          <w:p w14:paraId="7CED4431" w14:textId="28F558CC" w:rsidR="00BC4413" w:rsidRPr="003529F5" w:rsidRDefault="009B0638" w:rsidP="00DF1579">
            <w:pPr>
              <w:jc w:val="both"/>
              <w:rPr>
                <w:rFonts w:ascii="Century Gothic" w:hAnsi="Century Gothic"/>
                <w:b/>
                <w:bCs/>
                <w:sz w:val="20"/>
                <w:szCs w:val="20"/>
              </w:rPr>
            </w:pPr>
            <w:r w:rsidRPr="003529F5">
              <w:rPr>
                <w:rFonts w:ascii="Century Gothic" w:hAnsi="Century Gothic"/>
                <w:b/>
                <w:bCs/>
                <w:sz w:val="20"/>
                <w:szCs w:val="20"/>
              </w:rPr>
              <w:t>Mise en Œuvre de Plans de Gestion Participatifs</w:t>
            </w:r>
          </w:p>
        </w:tc>
        <w:tc>
          <w:tcPr>
            <w:tcW w:w="5698" w:type="dxa"/>
          </w:tcPr>
          <w:p w14:paraId="355E1093" w14:textId="1E9415C6" w:rsidR="00BC4413" w:rsidRPr="003529F5" w:rsidRDefault="009B0638" w:rsidP="00DF1579">
            <w:pPr>
              <w:jc w:val="both"/>
              <w:rPr>
                <w:rFonts w:ascii="Century Gothic" w:hAnsi="Century Gothic"/>
                <w:sz w:val="20"/>
                <w:szCs w:val="20"/>
              </w:rPr>
            </w:pPr>
            <w:r w:rsidRPr="003529F5">
              <w:rPr>
                <w:rFonts w:ascii="Century Gothic" w:hAnsi="Century Gothic"/>
                <w:sz w:val="20"/>
                <w:szCs w:val="20"/>
              </w:rPr>
              <w:t>Développer et mettre en œuvre des plans de gestion participatifs pour chaque zone humide, tenant compte des spécificités écologiques et socio-économiques.</w:t>
            </w:r>
          </w:p>
        </w:tc>
        <w:tc>
          <w:tcPr>
            <w:tcW w:w="3119" w:type="dxa"/>
          </w:tcPr>
          <w:p w14:paraId="74AEAC25" w14:textId="1FE15E61" w:rsidR="00BC4413" w:rsidRPr="003529F5" w:rsidRDefault="009B0638" w:rsidP="00DF1579">
            <w:pPr>
              <w:jc w:val="both"/>
              <w:rPr>
                <w:rFonts w:ascii="Century Gothic" w:hAnsi="Century Gothic"/>
                <w:sz w:val="20"/>
                <w:szCs w:val="20"/>
              </w:rPr>
            </w:pPr>
            <w:r w:rsidRPr="003529F5">
              <w:rPr>
                <w:rFonts w:ascii="Century Gothic" w:hAnsi="Century Gothic"/>
                <w:sz w:val="20"/>
                <w:szCs w:val="20"/>
              </w:rPr>
              <w:t>Comités locaux de gestion, ONG, experts en environnement.</w:t>
            </w:r>
          </w:p>
        </w:tc>
        <w:tc>
          <w:tcPr>
            <w:tcW w:w="4111" w:type="dxa"/>
          </w:tcPr>
          <w:p w14:paraId="77B101EF" w14:textId="77777777" w:rsidR="009B0638" w:rsidRPr="003529F5" w:rsidRDefault="009B0638" w:rsidP="00DF1579">
            <w:pPr>
              <w:jc w:val="both"/>
              <w:rPr>
                <w:rFonts w:ascii="Century Gothic" w:hAnsi="Century Gothic"/>
                <w:sz w:val="20"/>
                <w:szCs w:val="20"/>
              </w:rPr>
            </w:pPr>
            <w:r w:rsidRPr="003529F5">
              <w:rPr>
                <w:rFonts w:ascii="Century Gothic" w:hAnsi="Century Gothic"/>
                <w:sz w:val="20"/>
                <w:szCs w:val="20"/>
              </w:rPr>
              <w:t>Inclure des mesures spécifiques pour la restauration et la protection des habitats critiques.</w:t>
            </w:r>
          </w:p>
          <w:p w14:paraId="6C0EF1FD" w14:textId="77777777" w:rsidR="00BC4413" w:rsidRPr="003529F5" w:rsidRDefault="00BC4413" w:rsidP="00DF1579">
            <w:pPr>
              <w:jc w:val="both"/>
              <w:rPr>
                <w:rFonts w:ascii="Century Gothic" w:hAnsi="Century Gothic"/>
                <w:sz w:val="20"/>
                <w:szCs w:val="20"/>
              </w:rPr>
            </w:pPr>
          </w:p>
        </w:tc>
      </w:tr>
      <w:tr w:rsidR="00BC4413" w:rsidRPr="00541183" w14:paraId="093A47E8" w14:textId="77777777" w:rsidTr="003529F5">
        <w:tc>
          <w:tcPr>
            <w:tcW w:w="2235" w:type="dxa"/>
          </w:tcPr>
          <w:p w14:paraId="35E993D7" w14:textId="04925736" w:rsidR="00BC4413" w:rsidRPr="003529F5" w:rsidRDefault="009B0638" w:rsidP="00DF1579">
            <w:pPr>
              <w:jc w:val="both"/>
              <w:rPr>
                <w:rFonts w:ascii="Century Gothic" w:hAnsi="Century Gothic"/>
                <w:b/>
                <w:bCs/>
                <w:sz w:val="20"/>
                <w:szCs w:val="20"/>
              </w:rPr>
            </w:pPr>
            <w:r w:rsidRPr="003529F5">
              <w:rPr>
                <w:rFonts w:ascii="Century Gothic" w:hAnsi="Century Gothic"/>
                <w:b/>
                <w:bCs/>
                <w:sz w:val="20"/>
                <w:szCs w:val="20"/>
              </w:rPr>
              <w:t>Sensibilisation et Formation</w:t>
            </w:r>
          </w:p>
        </w:tc>
        <w:tc>
          <w:tcPr>
            <w:tcW w:w="5698" w:type="dxa"/>
          </w:tcPr>
          <w:p w14:paraId="774A0543" w14:textId="77777777" w:rsidR="009B0638" w:rsidRPr="003529F5" w:rsidRDefault="009B0638" w:rsidP="00DF1579">
            <w:pPr>
              <w:jc w:val="both"/>
              <w:rPr>
                <w:rFonts w:ascii="Century Gothic" w:hAnsi="Century Gothic"/>
                <w:sz w:val="20"/>
                <w:szCs w:val="20"/>
              </w:rPr>
            </w:pPr>
            <w:r w:rsidRPr="003529F5">
              <w:rPr>
                <w:rFonts w:ascii="Century Gothic" w:hAnsi="Century Gothic"/>
                <w:sz w:val="20"/>
                <w:szCs w:val="20"/>
              </w:rPr>
              <w:t>Organiser des campagnes de sensibilisation sur l'importance des zones humides et les impacts du changement climatique.</w:t>
            </w:r>
          </w:p>
          <w:p w14:paraId="5CD972E0" w14:textId="77777777" w:rsidR="00BC4413" w:rsidRPr="003529F5" w:rsidRDefault="00BC4413" w:rsidP="00DF1579">
            <w:pPr>
              <w:jc w:val="both"/>
              <w:rPr>
                <w:rFonts w:ascii="Century Gothic" w:hAnsi="Century Gothic"/>
                <w:sz w:val="20"/>
                <w:szCs w:val="20"/>
              </w:rPr>
            </w:pPr>
          </w:p>
        </w:tc>
        <w:tc>
          <w:tcPr>
            <w:tcW w:w="3119" w:type="dxa"/>
          </w:tcPr>
          <w:p w14:paraId="6A12D704" w14:textId="77777777" w:rsidR="009B0638" w:rsidRPr="003529F5" w:rsidRDefault="009B0638" w:rsidP="00DF1579">
            <w:pPr>
              <w:jc w:val="both"/>
              <w:rPr>
                <w:rFonts w:ascii="Century Gothic" w:hAnsi="Century Gothic"/>
                <w:sz w:val="20"/>
                <w:szCs w:val="20"/>
              </w:rPr>
            </w:pPr>
            <w:r w:rsidRPr="003529F5">
              <w:rPr>
                <w:rFonts w:ascii="Century Gothic" w:hAnsi="Century Gothic"/>
                <w:sz w:val="20"/>
                <w:szCs w:val="20"/>
              </w:rPr>
              <w:t>ONG, autorités locales, écoles.</w:t>
            </w:r>
          </w:p>
          <w:p w14:paraId="1D18D810" w14:textId="77777777" w:rsidR="00BC4413" w:rsidRPr="003529F5" w:rsidRDefault="00BC4413" w:rsidP="00DF1579">
            <w:pPr>
              <w:jc w:val="both"/>
              <w:rPr>
                <w:rFonts w:ascii="Century Gothic" w:hAnsi="Century Gothic"/>
                <w:sz w:val="20"/>
                <w:szCs w:val="20"/>
              </w:rPr>
            </w:pPr>
          </w:p>
        </w:tc>
        <w:tc>
          <w:tcPr>
            <w:tcW w:w="4111" w:type="dxa"/>
          </w:tcPr>
          <w:p w14:paraId="7E48C043" w14:textId="77777777" w:rsidR="009B0638" w:rsidRPr="003529F5" w:rsidRDefault="009B0638" w:rsidP="00DF1579">
            <w:pPr>
              <w:jc w:val="both"/>
              <w:rPr>
                <w:rFonts w:ascii="Century Gothic" w:hAnsi="Century Gothic"/>
                <w:sz w:val="20"/>
                <w:szCs w:val="20"/>
              </w:rPr>
            </w:pPr>
            <w:r w:rsidRPr="003529F5">
              <w:rPr>
                <w:rFonts w:ascii="Century Gothic" w:hAnsi="Century Gothic"/>
                <w:sz w:val="20"/>
                <w:szCs w:val="20"/>
              </w:rPr>
              <w:t>Former les communautés sur les pratiques durables et les techniques d'adaptation.</w:t>
            </w:r>
          </w:p>
          <w:p w14:paraId="5D25ABBD" w14:textId="77777777" w:rsidR="00BC4413" w:rsidRPr="003529F5" w:rsidRDefault="00BC4413" w:rsidP="00DF1579">
            <w:pPr>
              <w:jc w:val="both"/>
              <w:rPr>
                <w:rFonts w:ascii="Century Gothic" w:hAnsi="Century Gothic"/>
                <w:sz w:val="20"/>
                <w:szCs w:val="20"/>
              </w:rPr>
            </w:pPr>
          </w:p>
        </w:tc>
      </w:tr>
      <w:tr w:rsidR="009B0638" w:rsidRPr="00541183" w14:paraId="253D4120" w14:textId="77777777" w:rsidTr="003529F5">
        <w:tc>
          <w:tcPr>
            <w:tcW w:w="2235" w:type="dxa"/>
          </w:tcPr>
          <w:p w14:paraId="25AE40BF" w14:textId="0A4889BE" w:rsidR="009B0638" w:rsidRPr="003529F5" w:rsidRDefault="009B0638" w:rsidP="00DF1579">
            <w:pPr>
              <w:jc w:val="both"/>
              <w:rPr>
                <w:rFonts w:ascii="Century Gothic" w:hAnsi="Century Gothic"/>
                <w:b/>
                <w:bCs/>
                <w:sz w:val="20"/>
                <w:szCs w:val="20"/>
              </w:rPr>
            </w:pPr>
            <w:r w:rsidRPr="003529F5">
              <w:rPr>
                <w:rFonts w:ascii="Century Gothic" w:hAnsi="Century Gothic"/>
                <w:b/>
                <w:bCs/>
                <w:sz w:val="20"/>
                <w:szCs w:val="20"/>
              </w:rPr>
              <w:t>Suivi et Évaluation</w:t>
            </w:r>
          </w:p>
        </w:tc>
        <w:tc>
          <w:tcPr>
            <w:tcW w:w="5698" w:type="dxa"/>
          </w:tcPr>
          <w:p w14:paraId="28F6987C" w14:textId="505D10F4" w:rsidR="009B0638" w:rsidRPr="003529F5" w:rsidRDefault="009B0638" w:rsidP="00DF1579">
            <w:pPr>
              <w:jc w:val="both"/>
              <w:rPr>
                <w:rFonts w:ascii="Century Gothic" w:hAnsi="Century Gothic"/>
                <w:sz w:val="20"/>
                <w:szCs w:val="20"/>
              </w:rPr>
            </w:pPr>
            <w:r w:rsidRPr="003529F5">
              <w:rPr>
                <w:rFonts w:ascii="Century Gothic" w:hAnsi="Century Gothic"/>
                <w:sz w:val="20"/>
                <w:szCs w:val="20"/>
              </w:rPr>
              <w:t>Mettre en place un système de suivi pour évaluer l'efficacité des mesures d'adaptation mises en œuvre.</w:t>
            </w:r>
          </w:p>
        </w:tc>
        <w:tc>
          <w:tcPr>
            <w:tcW w:w="3119" w:type="dxa"/>
          </w:tcPr>
          <w:p w14:paraId="7C61772B" w14:textId="00B43B6A" w:rsidR="009B0638" w:rsidRPr="003529F5" w:rsidRDefault="009B0638" w:rsidP="00DF1579">
            <w:pPr>
              <w:jc w:val="both"/>
              <w:rPr>
                <w:rFonts w:ascii="Century Gothic" w:hAnsi="Century Gothic"/>
                <w:sz w:val="20"/>
                <w:szCs w:val="20"/>
              </w:rPr>
            </w:pPr>
            <w:r w:rsidRPr="003529F5">
              <w:rPr>
                <w:rFonts w:ascii="Century Gothic" w:hAnsi="Century Gothic"/>
                <w:sz w:val="20"/>
                <w:szCs w:val="20"/>
              </w:rPr>
              <w:t>Ministère de l’Environnement, agences de recherche</w:t>
            </w:r>
            <w:r w:rsidR="003D0EF8" w:rsidRPr="003529F5">
              <w:rPr>
                <w:rFonts w:ascii="Century Gothic" w:hAnsi="Century Gothic"/>
                <w:sz w:val="20"/>
                <w:szCs w:val="20"/>
              </w:rPr>
              <w:t>, ONG.</w:t>
            </w:r>
          </w:p>
          <w:p w14:paraId="17449043" w14:textId="77777777" w:rsidR="009B0638" w:rsidRPr="003529F5" w:rsidRDefault="009B0638" w:rsidP="00DF1579">
            <w:pPr>
              <w:jc w:val="both"/>
              <w:rPr>
                <w:rFonts w:ascii="Century Gothic" w:hAnsi="Century Gothic"/>
                <w:sz w:val="20"/>
                <w:szCs w:val="20"/>
              </w:rPr>
            </w:pPr>
          </w:p>
        </w:tc>
        <w:tc>
          <w:tcPr>
            <w:tcW w:w="4111" w:type="dxa"/>
          </w:tcPr>
          <w:p w14:paraId="3C5F0B32" w14:textId="0F4BDDE2" w:rsidR="009B0638" w:rsidRPr="003529F5" w:rsidRDefault="009B0638" w:rsidP="00DF1579">
            <w:pPr>
              <w:jc w:val="both"/>
              <w:rPr>
                <w:rFonts w:ascii="Century Gothic" w:hAnsi="Century Gothic"/>
                <w:sz w:val="20"/>
                <w:szCs w:val="20"/>
              </w:rPr>
            </w:pPr>
            <w:r w:rsidRPr="003529F5">
              <w:rPr>
                <w:rFonts w:ascii="Century Gothic" w:hAnsi="Century Gothic"/>
                <w:sz w:val="20"/>
                <w:szCs w:val="20"/>
              </w:rPr>
              <w:t>Utiliser des indicateurs clairs pour mesurer les progrès réalisés dans la conservation et la gestion durable.</w:t>
            </w:r>
          </w:p>
        </w:tc>
      </w:tr>
      <w:tr w:rsidR="009B0638" w:rsidRPr="00541183" w14:paraId="30BA0B12" w14:textId="77777777" w:rsidTr="003529F5">
        <w:tc>
          <w:tcPr>
            <w:tcW w:w="2235" w:type="dxa"/>
          </w:tcPr>
          <w:p w14:paraId="161103B1" w14:textId="0EB4D679" w:rsidR="009B0638" w:rsidRPr="003529F5" w:rsidRDefault="009B0638" w:rsidP="00DF1579">
            <w:pPr>
              <w:jc w:val="both"/>
              <w:rPr>
                <w:rFonts w:ascii="Century Gothic" w:hAnsi="Century Gothic"/>
                <w:b/>
                <w:bCs/>
                <w:sz w:val="20"/>
                <w:szCs w:val="20"/>
              </w:rPr>
            </w:pPr>
            <w:r w:rsidRPr="003529F5">
              <w:rPr>
                <w:rFonts w:ascii="Century Gothic" w:hAnsi="Century Gothic"/>
                <w:b/>
                <w:bCs/>
                <w:sz w:val="20"/>
                <w:szCs w:val="20"/>
              </w:rPr>
              <w:t>Financement Durable</w:t>
            </w:r>
          </w:p>
          <w:p w14:paraId="429B7CCD" w14:textId="77777777" w:rsidR="009B0638" w:rsidRPr="003529F5" w:rsidRDefault="009B0638" w:rsidP="00DF1579">
            <w:pPr>
              <w:jc w:val="both"/>
              <w:rPr>
                <w:rFonts w:ascii="Century Gothic" w:hAnsi="Century Gothic"/>
                <w:b/>
                <w:bCs/>
                <w:sz w:val="20"/>
                <w:szCs w:val="20"/>
              </w:rPr>
            </w:pPr>
          </w:p>
        </w:tc>
        <w:tc>
          <w:tcPr>
            <w:tcW w:w="5698" w:type="dxa"/>
          </w:tcPr>
          <w:p w14:paraId="620FA13B" w14:textId="1D580AAE" w:rsidR="009B0638" w:rsidRPr="003529F5" w:rsidRDefault="009B0638" w:rsidP="003D0EF8">
            <w:pPr>
              <w:jc w:val="both"/>
              <w:rPr>
                <w:rFonts w:ascii="Century Gothic" w:hAnsi="Century Gothic"/>
                <w:sz w:val="20"/>
                <w:szCs w:val="20"/>
              </w:rPr>
            </w:pPr>
            <w:r w:rsidRPr="003529F5">
              <w:rPr>
                <w:rFonts w:ascii="Century Gothic" w:hAnsi="Century Gothic"/>
                <w:sz w:val="20"/>
                <w:szCs w:val="20"/>
              </w:rPr>
              <w:t>Explorer diverses sources de financement pour soutenir les initiatives d'adaptation dans les zones humides (ex : fonds internationaux, partenariats public-privé).</w:t>
            </w:r>
          </w:p>
        </w:tc>
        <w:tc>
          <w:tcPr>
            <w:tcW w:w="3119" w:type="dxa"/>
          </w:tcPr>
          <w:p w14:paraId="1305862A" w14:textId="77777777" w:rsidR="009B0638" w:rsidRPr="003529F5" w:rsidRDefault="009B0638" w:rsidP="00DF1579">
            <w:pPr>
              <w:jc w:val="both"/>
              <w:rPr>
                <w:rFonts w:ascii="Century Gothic" w:hAnsi="Century Gothic"/>
                <w:sz w:val="20"/>
                <w:szCs w:val="20"/>
              </w:rPr>
            </w:pPr>
            <w:r w:rsidRPr="003529F5">
              <w:rPr>
                <w:rFonts w:ascii="Century Gothic" w:hAnsi="Century Gothic"/>
                <w:sz w:val="20"/>
                <w:szCs w:val="20"/>
              </w:rPr>
              <w:t>Ministère de l’Économie, ONG.</w:t>
            </w:r>
          </w:p>
          <w:p w14:paraId="0CA94FB2" w14:textId="77777777" w:rsidR="009B0638" w:rsidRPr="003529F5" w:rsidRDefault="009B0638" w:rsidP="00DF1579">
            <w:pPr>
              <w:jc w:val="both"/>
              <w:rPr>
                <w:rFonts w:ascii="Century Gothic" w:hAnsi="Century Gothic"/>
                <w:sz w:val="20"/>
                <w:szCs w:val="20"/>
              </w:rPr>
            </w:pPr>
          </w:p>
        </w:tc>
        <w:tc>
          <w:tcPr>
            <w:tcW w:w="4111" w:type="dxa"/>
          </w:tcPr>
          <w:p w14:paraId="56630B6C" w14:textId="66155AB4" w:rsidR="009B0638" w:rsidRPr="003529F5" w:rsidRDefault="009B0638" w:rsidP="00DF1579">
            <w:pPr>
              <w:jc w:val="both"/>
              <w:rPr>
                <w:rFonts w:ascii="Century Gothic" w:hAnsi="Century Gothic"/>
                <w:sz w:val="20"/>
                <w:szCs w:val="20"/>
              </w:rPr>
            </w:pPr>
            <w:r w:rsidRPr="003529F5">
              <w:rPr>
                <w:rFonts w:ascii="Century Gothic" w:hAnsi="Century Gothic"/>
                <w:sz w:val="20"/>
                <w:szCs w:val="20"/>
              </w:rPr>
              <w:t>Élaborer des propositions de projets attractives pour mobiliser les financements nécessaires.</w:t>
            </w:r>
          </w:p>
        </w:tc>
      </w:tr>
      <w:tr w:rsidR="009B0638" w:rsidRPr="00541183" w14:paraId="52E157E3" w14:textId="77777777" w:rsidTr="003529F5">
        <w:tc>
          <w:tcPr>
            <w:tcW w:w="2235" w:type="dxa"/>
          </w:tcPr>
          <w:p w14:paraId="3185443F" w14:textId="75004867" w:rsidR="009B0638" w:rsidRPr="003529F5" w:rsidRDefault="009B0638" w:rsidP="00DF1579">
            <w:pPr>
              <w:jc w:val="both"/>
              <w:rPr>
                <w:rFonts w:ascii="Century Gothic" w:hAnsi="Century Gothic"/>
                <w:b/>
                <w:bCs/>
                <w:sz w:val="20"/>
                <w:szCs w:val="20"/>
              </w:rPr>
            </w:pPr>
            <w:r w:rsidRPr="003529F5">
              <w:rPr>
                <w:rFonts w:ascii="Century Gothic" w:hAnsi="Century Gothic"/>
                <w:b/>
                <w:bCs/>
                <w:sz w:val="20"/>
                <w:szCs w:val="20"/>
              </w:rPr>
              <w:t>Collaboration Intersectorielle</w:t>
            </w:r>
          </w:p>
        </w:tc>
        <w:tc>
          <w:tcPr>
            <w:tcW w:w="5698" w:type="dxa"/>
          </w:tcPr>
          <w:p w14:paraId="6098059E" w14:textId="1FF7048D" w:rsidR="009B0638" w:rsidRPr="003529F5" w:rsidRDefault="009B0638" w:rsidP="00DF1579">
            <w:pPr>
              <w:jc w:val="both"/>
              <w:rPr>
                <w:rFonts w:ascii="Century Gothic" w:hAnsi="Century Gothic"/>
                <w:sz w:val="20"/>
                <w:szCs w:val="20"/>
              </w:rPr>
            </w:pPr>
            <w:r w:rsidRPr="003529F5">
              <w:rPr>
                <w:rFonts w:ascii="Century Gothic" w:hAnsi="Century Gothic"/>
                <w:sz w:val="20"/>
                <w:szCs w:val="20"/>
              </w:rPr>
              <w:t>Promouvoir la collaboration entre différents secteurs (agriculture, pêche, urbanisme) pour une approche intégrée dans la gestion des zones humides.</w:t>
            </w:r>
          </w:p>
        </w:tc>
        <w:tc>
          <w:tcPr>
            <w:tcW w:w="3119" w:type="dxa"/>
          </w:tcPr>
          <w:p w14:paraId="431C6B58" w14:textId="3E501FA1" w:rsidR="009B0638" w:rsidRPr="003529F5" w:rsidRDefault="009B0638" w:rsidP="00DF1579">
            <w:pPr>
              <w:jc w:val="both"/>
              <w:rPr>
                <w:rFonts w:ascii="Century Gothic" w:hAnsi="Century Gothic"/>
                <w:sz w:val="20"/>
                <w:szCs w:val="20"/>
              </w:rPr>
            </w:pPr>
            <w:r w:rsidRPr="003529F5">
              <w:rPr>
                <w:rFonts w:ascii="Century Gothic" w:hAnsi="Century Gothic"/>
                <w:sz w:val="20"/>
                <w:szCs w:val="20"/>
              </w:rPr>
              <w:t>Divers ministères concernés, agences environnementales.</w:t>
            </w:r>
          </w:p>
        </w:tc>
        <w:tc>
          <w:tcPr>
            <w:tcW w:w="4111" w:type="dxa"/>
          </w:tcPr>
          <w:p w14:paraId="3A6DBAB9" w14:textId="77777777" w:rsidR="009B0638" w:rsidRPr="003529F5" w:rsidRDefault="009B0638" w:rsidP="00DF1579">
            <w:pPr>
              <w:jc w:val="both"/>
              <w:rPr>
                <w:rFonts w:ascii="Century Gothic" w:hAnsi="Century Gothic"/>
                <w:sz w:val="20"/>
                <w:szCs w:val="20"/>
              </w:rPr>
            </w:pPr>
            <w:r w:rsidRPr="003529F5">
              <w:rPr>
                <w:rFonts w:ascii="Century Gothic" w:hAnsi="Century Gothic"/>
                <w:sz w:val="20"/>
                <w:szCs w:val="20"/>
              </w:rPr>
              <w:t>Créer un comité intersectoriel chargé de coordonner les efforts liés à la gestion des zones humides.</w:t>
            </w:r>
          </w:p>
          <w:p w14:paraId="344EECDB" w14:textId="77777777" w:rsidR="009B0638" w:rsidRPr="003529F5" w:rsidRDefault="009B0638" w:rsidP="00DF1579">
            <w:pPr>
              <w:jc w:val="both"/>
              <w:rPr>
                <w:rFonts w:ascii="Century Gothic" w:hAnsi="Century Gothic"/>
                <w:sz w:val="20"/>
                <w:szCs w:val="20"/>
              </w:rPr>
            </w:pPr>
          </w:p>
        </w:tc>
      </w:tr>
    </w:tbl>
    <w:p w14:paraId="09754901" w14:textId="77777777" w:rsidR="003529F5" w:rsidRDefault="003529F5" w:rsidP="00DF1579">
      <w:pPr>
        <w:jc w:val="both"/>
        <w:rPr>
          <w:rFonts w:ascii="Century Gothic" w:hAnsi="Century Gothic"/>
        </w:rPr>
        <w:sectPr w:rsidR="003529F5" w:rsidSect="003529F5">
          <w:pgSz w:w="16838" w:h="11906" w:orient="landscape"/>
          <w:pgMar w:top="1418" w:right="1418" w:bottom="1418" w:left="1418" w:header="709" w:footer="709" w:gutter="0"/>
          <w:cols w:space="708"/>
          <w:docGrid w:linePitch="360"/>
        </w:sectPr>
      </w:pPr>
    </w:p>
    <w:p w14:paraId="377A9C62" w14:textId="6DB3E979" w:rsidR="0062761C" w:rsidRPr="000277BA" w:rsidRDefault="007201F5" w:rsidP="000277BA">
      <w:pPr>
        <w:pStyle w:val="Titre1"/>
        <w:numPr>
          <w:ilvl w:val="0"/>
          <w:numId w:val="26"/>
        </w:numPr>
        <w:spacing w:before="120" w:after="120"/>
        <w:ind w:hanging="720"/>
        <w:jc w:val="both"/>
        <w:rPr>
          <w:rFonts w:ascii="Century Gothic" w:hAnsi="Century Gothic"/>
          <w:b/>
          <w:bCs/>
          <w:sz w:val="26"/>
          <w:szCs w:val="26"/>
          <w:lang w:val="wo-SN"/>
        </w:rPr>
      </w:pPr>
      <w:bookmarkStart w:id="52" w:name="_Toc189326945"/>
      <w:bookmarkStart w:id="53" w:name="_Toc189375553"/>
      <w:r w:rsidRPr="000277BA">
        <w:rPr>
          <w:rFonts w:ascii="Century Gothic" w:hAnsi="Century Gothic"/>
          <w:b/>
          <w:bCs/>
          <w:sz w:val="26"/>
          <w:szCs w:val="26"/>
          <w:lang w:val="wo-SN"/>
        </w:rPr>
        <w:t>References</w:t>
      </w:r>
      <w:bookmarkEnd w:id="52"/>
      <w:bookmarkEnd w:id="53"/>
      <w:r w:rsidRPr="000277BA">
        <w:rPr>
          <w:rFonts w:ascii="Century Gothic" w:hAnsi="Century Gothic"/>
          <w:b/>
          <w:bCs/>
          <w:sz w:val="26"/>
          <w:szCs w:val="26"/>
          <w:lang w:val="wo-SN"/>
        </w:rPr>
        <w:t> </w:t>
      </w:r>
    </w:p>
    <w:p w14:paraId="26E859D4" w14:textId="2E140E36" w:rsidR="008A35AF" w:rsidRDefault="008A35AF" w:rsidP="006A1C9E">
      <w:pPr>
        <w:pStyle w:val="NormalWeb"/>
        <w:spacing w:before="0" w:beforeAutospacing="0" w:after="0" w:afterAutospacing="0"/>
        <w:jc w:val="both"/>
        <w:rPr>
          <w:rFonts w:ascii="Century Gothic" w:hAnsi="Century Gothic"/>
          <w:sz w:val="22"/>
          <w:szCs w:val="22"/>
        </w:rPr>
      </w:pPr>
      <w:r w:rsidRPr="008A35AF">
        <w:rPr>
          <w:rFonts w:ascii="Century Gothic" w:hAnsi="Century Gothic"/>
          <w:sz w:val="22"/>
          <w:szCs w:val="22"/>
        </w:rPr>
        <w:t>[1]</w:t>
      </w:r>
      <w:hyperlink r:id="rId151" w:history="1">
        <w:r w:rsidR="0041229B" w:rsidRPr="003F3463">
          <w:rPr>
            <w:rStyle w:val="Lienhypertexte"/>
            <w:rFonts w:ascii="Century Gothic" w:hAnsi="Century Gothic"/>
            <w:sz w:val="22"/>
            <w:szCs w:val="22"/>
          </w:rPr>
          <w:t>https://www.cbd.int/doc/meetings/mar/ebsa-sea-01/other/ebsa-sea-01-submission-mauritania-template-03-en.pdf</w:t>
        </w:r>
      </w:hyperlink>
    </w:p>
    <w:p w14:paraId="5271F9BE" w14:textId="77777777" w:rsidR="0041229B" w:rsidRPr="008A35AF" w:rsidRDefault="0041229B" w:rsidP="006A1C9E">
      <w:pPr>
        <w:pStyle w:val="NormalWeb"/>
        <w:spacing w:before="0" w:beforeAutospacing="0" w:after="0" w:afterAutospacing="0"/>
        <w:jc w:val="both"/>
        <w:rPr>
          <w:rFonts w:ascii="Century Gothic" w:hAnsi="Century Gothic"/>
          <w:sz w:val="22"/>
          <w:szCs w:val="22"/>
        </w:rPr>
      </w:pPr>
    </w:p>
    <w:p w14:paraId="2BB0BF5E" w14:textId="5F028A8A" w:rsidR="008A35AF" w:rsidRPr="008A35AF" w:rsidRDefault="008A35AF" w:rsidP="006A1C9E">
      <w:pPr>
        <w:pStyle w:val="NormalWeb"/>
        <w:spacing w:before="0" w:beforeAutospacing="0" w:after="0" w:afterAutospacing="0"/>
        <w:jc w:val="both"/>
        <w:rPr>
          <w:rFonts w:ascii="Century Gothic" w:hAnsi="Century Gothic"/>
          <w:sz w:val="22"/>
          <w:szCs w:val="22"/>
        </w:rPr>
      </w:pPr>
      <w:r w:rsidRPr="008A35AF">
        <w:rPr>
          <w:rFonts w:ascii="Century Gothic" w:hAnsi="Century Gothic"/>
          <w:sz w:val="22"/>
          <w:szCs w:val="22"/>
        </w:rPr>
        <w:t>[2]</w:t>
      </w:r>
      <w:hyperlink r:id="rId152" w:history="1">
        <w:r w:rsidR="0041229B" w:rsidRPr="003F3463">
          <w:rPr>
            <w:rStyle w:val="Lienhypertexte"/>
            <w:rFonts w:ascii="Century Gothic" w:hAnsi="Century Gothic"/>
            <w:sz w:val="22"/>
            <w:szCs w:val="22"/>
          </w:rPr>
          <w:t>https://www.imrop.mr/document/biodiversite-des-ecosystemes-benthiques-du-plateau-continental-et-du-talus-de-la-mauritanie/</w:t>
        </w:r>
      </w:hyperlink>
    </w:p>
    <w:p w14:paraId="45D316BF" w14:textId="77777777" w:rsidR="0041229B" w:rsidRDefault="0041229B" w:rsidP="006A1C9E">
      <w:pPr>
        <w:pStyle w:val="NormalWeb"/>
        <w:spacing w:before="0" w:beforeAutospacing="0" w:after="0" w:afterAutospacing="0"/>
        <w:jc w:val="both"/>
        <w:rPr>
          <w:rFonts w:ascii="Century Gothic" w:hAnsi="Century Gothic"/>
          <w:sz w:val="22"/>
          <w:szCs w:val="22"/>
        </w:rPr>
      </w:pPr>
    </w:p>
    <w:p w14:paraId="080711B4" w14:textId="7986DCD7" w:rsidR="008A35AF" w:rsidRPr="008A35AF" w:rsidRDefault="008A35AF" w:rsidP="006A1C9E">
      <w:pPr>
        <w:pStyle w:val="NormalWeb"/>
        <w:spacing w:before="0" w:beforeAutospacing="0" w:after="0" w:afterAutospacing="0"/>
        <w:jc w:val="both"/>
        <w:rPr>
          <w:rFonts w:ascii="Century Gothic" w:hAnsi="Century Gothic"/>
          <w:sz w:val="22"/>
          <w:szCs w:val="22"/>
        </w:rPr>
      </w:pPr>
      <w:r w:rsidRPr="008A35AF">
        <w:rPr>
          <w:rFonts w:ascii="Century Gothic" w:hAnsi="Century Gothic"/>
          <w:sz w:val="22"/>
          <w:szCs w:val="22"/>
        </w:rPr>
        <w:t xml:space="preserve">[3] </w:t>
      </w:r>
      <w:hyperlink r:id="rId153" w:history="1">
        <w:r w:rsidRPr="008A35AF">
          <w:rPr>
            <w:rFonts w:ascii="Century Gothic" w:hAnsi="Century Gothic"/>
            <w:sz w:val="22"/>
            <w:szCs w:val="22"/>
          </w:rPr>
          <w:t>https://www.cbd.int/doc/world/mr/mr-nr-04-fr.pdf</w:t>
        </w:r>
      </w:hyperlink>
    </w:p>
    <w:p w14:paraId="3498436F" w14:textId="77777777" w:rsidR="0041229B" w:rsidRDefault="0041229B" w:rsidP="006A1C9E">
      <w:pPr>
        <w:pStyle w:val="NormalWeb"/>
        <w:spacing w:before="0" w:beforeAutospacing="0" w:after="0" w:afterAutospacing="0"/>
        <w:jc w:val="both"/>
        <w:rPr>
          <w:rFonts w:ascii="Century Gothic" w:hAnsi="Century Gothic"/>
          <w:sz w:val="22"/>
          <w:szCs w:val="22"/>
        </w:rPr>
      </w:pPr>
    </w:p>
    <w:p w14:paraId="222EB0BC" w14:textId="1ACFBC93" w:rsidR="008A35AF" w:rsidRPr="008A35AF" w:rsidRDefault="008A35AF" w:rsidP="006A1C9E">
      <w:pPr>
        <w:pStyle w:val="NormalWeb"/>
        <w:spacing w:before="0" w:beforeAutospacing="0" w:after="0" w:afterAutospacing="0"/>
        <w:jc w:val="both"/>
        <w:rPr>
          <w:rFonts w:ascii="Century Gothic" w:hAnsi="Century Gothic"/>
          <w:sz w:val="22"/>
          <w:szCs w:val="22"/>
        </w:rPr>
      </w:pPr>
      <w:r w:rsidRPr="008A35AF">
        <w:rPr>
          <w:rFonts w:ascii="Century Gothic" w:hAnsi="Century Gothic"/>
          <w:sz w:val="22"/>
          <w:szCs w:val="22"/>
        </w:rPr>
        <w:t>[4]</w:t>
      </w:r>
      <w:hyperlink r:id="rId154" w:history="1">
        <w:r w:rsidR="0041229B" w:rsidRPr="003F3463">
          <w:rPr>
            <w:rStyle w:val="Lienhypertexte"/>
            <w:rFonts w:ascii="Century Gothic" w:hAnsi="Century Gothic"/>
            <w:sz w:val="22"/>
            <w:szCs w:val="22"/>
          </w:rPr>
          <w:t>https://www.afd.fr/fr/carte-des-projets/soutien-la-biodiversite-cotiere-et-marine-du-banc-darguin-en-mauritanie</w:t>
        </w:r>
      </w:hyperlink>
    </w:p>
    <w:p w14:paraId="059116D1" w14:textId="77777777" w:rsidR="0041229B" w:rsidRDefault="0041229B" w:rsidP="006A1C9E">
      <w:pPr>
        <w:pStyle w:val="NormalWeb"/>
        <w:spacing w:before="0" w:beforeAutospacing="0" w:after="0" w:afterAutospacing="0"/>
        <w:jc w:val="both"/>
        <w:rPr>
          <w:rFonts w:ascii="Century Gothic" w:hAnsi="Century Gothic"/>
          <w:sz w:val="22"/>
          <w:szCs w:val="22"/>
        </w:rPr>
      </w:pPr>
    </w:p>
    <w:p w14:paraId="6511E840" w14:textId="505FC839" w:rsidR="008A35AF" w:rsidRPr="008A35AF" w:rsidRDefault="008A35AF" w:rsidP="006A1C9E">
      <w:pPr>
        <w:pStyle w:val="NormalWeb"/>
        <w:spacing w:before="0" w:beforeAutospacing="0" w:after="0" w:afterAutospacing="0"/>
        <w:jc w:val="both"/>
        <w:rPr>
          <w:rFonts w:ascii="Century Gothic" w:hAnsi="Century Gothic"/>
          <w:sz w:val="22"/>
          <w:szCs w:val="22"/>
        </w:rPr>
      </w:pPr>
      <w:r w:rsidRPr="008A35AF">
        <w:rPr>
          <w:rFonts w:ascii="Century Gothic" w:hAnsi="Century Gothic"/>
          <w:sz w:val="22"/>
          <w:szCs w:val="22"/>
        </w:rPr>
        <w:t>[5] https://www.giz.de/en/worldwide/62897.html</w:t>
      </w:r>
    </w:p>
    <w:p w14:paraId="671D6DD1" w14:textId="77777777" w:rsidR="0041229B" w:rsidRDefault="0041229B" w:rsidP="006A1C9E">
      <w:pPr>
        <w:pStyle w:val="NormalWeb"/>
        <w:spacing w:before="0" w:beforeAutospacing="0" w:after="0" w:afterAutospacing="0"/>
        <w:jc w:val="both"/>
        <w:rPr>
          <w:rFonts w:ascii="Century Gothic" w:hAnsi="Century Gothic"/>
          <w:sz w:val="22"/>
          <w:szCs w:val="22"/>
        </w:rPr>
      </w:pPr>
    </w:p>
    <w:p w14:paraId="75CE204F" w14:textId="4E4022D1" w:rsidR="0062761C" w:rsidRPr="008A35AF" w:rsidRDefault="0062761C" w:rsidP="006A1C9E">
      <w:pPr>
        <w:pStyle w:val="NormalWeb"/>
        <w:spacing w:before="0" w:beforeAutospacing="0" w:after="0" w:afterAutospacing="0"/>
        <w:jc w:val="both"/>
        <w:rPr>
          <w:rFonts w:ascii="Century Gothic" w:hAnsi="Century Gothic"/>
          <w:sz w:val="22"/>
          <w:szCs w:val="22"/>
        </w:rPr>
      </w:pPr>
      <w:r w:rsidRPr="008A35AF">
        <w:rPr>
          <w:rFonts w:ascii="Century Gothic" w:hAnsi="Century Gothic"/>
          <w:sz w:val="22"/>
          <w:szCs w:val="22"/>
        </w:rPr>
        <w:t>[</w:t>
      </w:r>
      <w:r w:rsidR="008A35AF" w:rsidRPr="008A35AF">
        <w:rPr>
          <w:rFonts w:ascii="Century Gothic" w:hAnsi="Century Gothic"/>
          <w:sz w:val="22"/>
          <w:szCs w:val="22"/>
        </w:rPr>
        <w:t>6</w:t>
      </w:r>
      <w:r w:rsidRPr="008A35AF">
        <w:rPr>
          <w:rFonts w:ascii="Century Gothic" w:hAnsi="Century Gothic"/>
          <w:sz w:val="22"/>
          <w:szCs w:val="22"/>
        </w:rPr>
        <w:t>]https://bacomab.org/actualites/evenements/conference-enjeux-gestion-biodiversite-marine-cotiere-mauritanie/</w:t>
      </w:r>
    </w:p>
    <w:p w14:paraId="0B5F228D" w14:textId="77777777" w:rsidR="0041229B" w:rsidRDefault="0041229B" w:rsidP="006A1C9E">
      <w:pPr>
        <w:pStyle w:val="NormalWeb"/>
        <w:spacing w:before="0" w:beforeAutospacing="0" w:after="0" w:afterAutospacing="0"/>
        <w:jc w:val="both"/>
        <w:rPr>
          <w:rFonts w:ascii="Century Gothic" w:hAnsi="Century Gothic"/>
          <w:sz w:val="22"/>
          <w:szCs w:val="22"/>
        </w:rPr>
      </w:pPr>
    </w:p>
    <w:p w14:paraId="768D74BD" w14:textId="6F0AC61C" w:rsidR="0062761C" w:rsidRPr="008A35AF" w:rsidRDefault="0062761C" w:rsidP="006A1C9E">
      <w:pPr>
        <w:pStyle w:val="NormalWeb"/>
        <w:spacing w:before="0" w:beforeAutospacing="0" w:after="0" w:afterAutospacing="0"/>
        <w:jc w:val="both"/>
        <w:rPr>
          <w:rFonts w:ascii="Century Gothic" w:hAnsi="Century Gothic"/>
          <w:sz w:val="22"/>
          <w:szCs w:val="22"/>
        </w:rPr>
      </w:pPr>
      <w:r w:rsidRPr="008A35AF">
        <w:rPr>
          <w:rFonts w:ascii="Century Gothic" w:hAnsi="Century Gothic"/>
          <w:sz w:val="22"/>
          <w:szCs w:val="22"/>
        </w:rPr>
        <w:t>[7] https://www.imrop.mr/ecosysteme/</w:t>
      </w:r>
    </w:p>
    <w:p w14:paraId="0405D715" w14:textId="77777777" w:rsidR="0041229B" w:rsidRDefault="0041229B" w:rsidP="006A1C9E">
      <w:pPr>
        <w:pStyle w:val="NormalWeb"/>
        <w:spacing w:before="0" w:beforeAutospacing="0" w:after="0" w:afterAutospacing="0"/>
        <w:jc w:val="both"/>
        <w:rPr>
          <w:rFonts w:ascii="Century Gothic" w:hAnsi="Century Gothic"/>
          <w:sz w:val="22"/>
          <w:szCs w:val="22"/>
        </w:rPr>
      </w:pPr>
    </w:p>
    <w:p w14:paraId="65973A41" w14:textId="155DE5A8" w:rsidR="00B33978" w:rsidRPr="008A35AF" w:rsidRDefault="0062761C" w:rsidP="006A1C9E">
      <w:pPr>
        <w:pStyle w:val="NormalWeb"/>
        <w:spacing w:before="0" w:beforeAutospacing="0" w:after="0" w:afterAutospacing="0"/>
        <w:jc w:val="both"/>
        <w:rPr>
          <w:rFonts w:ascii="Century Gothic" w:hAnsi="Century Gothic"/>
          <w:sz w:val="22"/>
          <w:szCs w:val="22"/>
        </w:rPr>
      </w:pPr>
      <w:r w:rsidRPr="008A35AF">
        <w:rPr>
          <w:rFonts w:ascii="Century Gothic" w:hAnsi="Century Gothic"/>
          <w:sz w:val="22"/>
          <w:szCs w:val="22"/>
        </w:rPr>
        <w:t>[8]</w:t>
      </w:r>
      <w:hyperlink r:id="rId155" w:history="1">
        <w:r w:rsidR="0041229B" w:rsidRPr="003F3463">
          <w:rPr>
            <w:rStyle w:val="Lienhypertexte"/>
            <w:rFonts w:ascii="Century Gothic" w:hAnsi="Century Gothic"/>
            <w:sz w:val="22"/>
            <w:szCs w:val="22"/>
          </w:rPr>
          <w:t>http://www.environnement.gov.mr/fr/index.php/accueil/actualite/494-la-mauritanie-a-brillamment-cloture-sa-participation-a-la-cop29-en-mettant-a-l-honneur-son-engagement-en-faveur-de-la-protection-de-la-biodiversite</w:t>
        </w:r>
      </w:hyperlink>
    </w:p>
    <w:p w14:paraId="2B3CC2C6" w14:textId="77777777" w:rsidR="0041229B" w:rsidRDefault="0041229B" w:rsidP="006A1C9E">
      <w:pPr>
        <w:pStyle w:val="NormalWeb"/>
        <w:spacing w:before="0" w:beforeAutospacing="0" w:after="0" w:afterAutospacing="0"/>
        <w:jc w:val="both"/>
        <w:rPr>
          <w:rFonts w:ascii="Century Gothic" w:hAnsi="Century Gothic"/>
          <w:sz w:val="22"/>
          <w:szCs w:val="22"/>
        </w:rPr>
      </w:pPr>
    </w:p>
    <w:p w14:paraId="75A2C27A" w14:textId="6F18F35A" w:rsidR="00B33978" w:rsidRPr="008A35AF" w:rsidRDefault="00B33978" w:rsidP="006A1C9E">
      <w:pPr>
        <w:pStyle w:val="NormalWeb"/>
        <w:spacing w:before="0" w:beforeAutospacing="0" w:after="0" w:afterAutospacing="0"/>
        <w:jc w:val="both"/>
        <w:rPr>
          <w:rFonts w:ascii="Century Gothic" w:hAnsi="Century Gothic"/>
          <w:sz w:val="22"/>
          <w:szCs w:val="22"/>
        </w:rPr>
      </w:pPr>
      <w:r w:rsidRPr="008A35AF">
        <w:rPr>
          <w:rFonts w:ascii="Century Gothic" w:hAnsi="Century Gothic"/>
          <w:sz w:val="22"/>
          <w:szCs w:val="22"/>
        </w:rPr>
        <w:t>[</w:t>
      </w:r>
      <w:r w:rsidR="008A35AF" w:rsidRPr="008A35AF">
        <w:rPr>
          <w:rFonts w:ascii="Century Gothic" w:hAnsi="Century Gothic"/>
          <w:sz w:val="22"/>
          <w:szCs w:val="22"/>
        </w:rPr>
        <w:t>9</w:t>
      </w:r>
      <w:r w:rsidRPr="008A35AF">
        <w:rPr>
          <w:rFonts w:ascii="Century Gothic" w:hAnsi="Century Gothic"/>
          <w:sz w:val="22"/>
          <w:szCs w:val="22"/>
        </w:rPr>
        <w:t>] https://agrica.de/wp-content/uploads/2021/02/CRP_Mauritania_FR_20210208.pdf</w:t>
      </w:r>
    </w:p>
    <w:p w14:paraId="55A4F619" w14:textId="77777777" w:rsidR="0041229B" w:rsidRDefault="0041229B" w:rsidP="006A1C9E">
      <w:pPr>
        <w:pStyle w:val="NormalWeb"/>
        <w:spacing w:before="0" w:beforeAutospacing="0" w:after="0" w:afterAutospacing="0"/>
        <w:jc w:val="both"/>
        <w:rPr>
          <w:rFonts w:ascii="Century Gothic" w:hAnsi="Century Gothic"/>
          <w:sz w:val="22"/>
          <w:szCs w:val="22"/>
        </w:rPr>
      </w:pPr>
    </w:p>
    <w:p w14:paraId="000BAD9F" w14:textId="5509022A" w:rsidR="00B33978" w:rsidRPr="008A35AF" w:rsidRDefault="00B33978" w:rsidP="006A1C9E">
      <w:pPr>
        <w:pStyle w:val="NormalWeb"/>
        <w:spacing w:before="0" w:beforeAutospacing="0" w:after="0" w:afterAutospacing="0"/>
        <w:jc w:val="both"/>
        <w:rPr>
          <w:rFonts w:ascii="Century Gothic" w:hAnsi="Century Gothic"/>
          <w:sz w:val="22"/>
          <w:szCs w:val="22"/>
        </w:rPr>
      </w:pPr>
      <w:r w:rsidRPr="008A35AF">
        <w:rPr>
          <w:rFonts w:ascii="Century Gothic" w:hAnsi="Century Gothic"/>
          <w:sz w:val="22"/>
          <w:szCs w:val="22"/>
        </w:rPr>
        <w:t>[1</w:t>
      </w:r>
      <w:r w:rsidR="008A35AF" w:rsidRPr="008A35AF">
        <w:rPr>
          <w:rFonts w:ascii="Century Gothic" w:hAnsi="Century Gothic"/>
          <w:sz w:val="22"/>
          <w:szCs w:val="22"/>
        </w:rPr>
        <w:t>0</w:t>
      </w:r>
      <w:r w:rsidRPr="008A35AF">
        <w:rPr>
          <w:rFonts w:ascii="Century Gothic" w:hAnsi="Century Gothic"/>
          <w:sz w:val="22"/>
          <w:szCs w:val="22"/>
        </w:rPr>
        <w:t>] http://www.geoecotrop.be/uploads/publications/pub_381_14.pdf</w:t>
      </w:r>
    </w:p>
    <w:p w14:paraId="7C1528EF" w14:textId="77777777" w:rsidR="0041229B" w:rsidRDefault="0041229B" w:rsidP="006A1C9E">
      <w:pPr>
        <w:pStyle w:val="NormalWeb"/>
        <w:spacing w:before="0" w:beforeAutospacing="0" w:after="0" w:afterAutospacing="0"/>
        <w:jc w:val="both"/>
        <w:rPr>
          <w:rFonts w:ascii="Century Gothic" w:hAnsi="Century Gothic"/>
          <w:sz w:val="22"/>
          <w:szCs w:val="22"/>
        </w:rPr>
      </w:pPr>
    </w:p>
    <w:p w14:paraId="5B10646F" w14:textId="34820C0D" w:rsidR="00B33978" w:rsidRPr="008A35AF" w:rsidRDefault="00B33978" w:rsidP="006A1C9E">
      <w:pPr>
        <w:pStyle w:val="NormalWeb"/>
        <w:spacing w:before="0" w:beforeAutospacing="0" w:after="0" w:afterAutospacing="0"/>
        <w:jc w:val="both"/>
        <w:rPr>
          <w:rFonts w:ascii="Century Gothic" w:hAnsi="Century Gothic"/>
          <w:sz w:val="22"/>
          <w:szCs w:val="22"/>
        </w:rPr>
      </w:pPr>
      <w:r w:rsidRPr="008A35AF">
        <w:rPr>
          <w:rFonts w:ascii="Century Gothic" w:hAnsi="Century Gothic"/>
          <w:sz w:val="22"/>
          <w:szCs w:val="22"/>
        </w:rPr>
        <w:t>[1</w:t>
      </w:r>
      <w:r w:rsidR="008A35AF" w:rsidRPr="008A35AF">
        <w:rPr>
          <w:rFonts w:ascii="Century Gothic" w:hAnsi="Century Gothic"/>
          <w:sz w:val="22"/>
          <w:szCs w:val="22"/>
        </w:rPr>
        <w:t>1</w:t>
      </w:r>
      <w:r w:rsidRPr="008A35AF">
        <w:rPr>
          <w:rFonts w:ascii="Century Gothic" w:hAnsi="Century Gothic"/>
          <w:sz w:val="22"/>
          <w:szCs w:val="22"/>
        </w:rPr>
        <w:t>] https://unfccc.int/resource/docs/napa/mau01f.pdf</w:t>
      </w:r>
    </w:p>
    <w:p w14:paraId="1C33C778" w14:textId="77777777" w:rsidR="0041229B" w:rsidRDefault="0041229B" w:rsidP="006A1C9E">
      <w:pPr>
        <w:pStyle w:val="NormalWeb"/>
        <w:spacing w:before="0" w:beforeAutospacing="0" w:after="0" w:afterAutospacing="0"/>
        <w:jc w:val="both"/>
        <w:rPr>
          <w:rFonts w:ascii="Century Gothic" w:hAnsi="Century Gothic"/>
          <w:sz w:val="22"/>
          <w:szCs w:val="22"/>
        </w:rPr>
      </w:pPr>
    </w:p>
    <w:p w14:paraId="1EE9CE98" w14:textId="7F89AEEA" w:rsidR="00B33978" w:rsidRPr="008A35AF" w:rsidRDefault="00B33978" w:rsidP="006A1C9E">
      <w:pPr>
        <w:pStyle w:val="NormalWeb"/>
        <w:spacing w:before="0" w:beforeAutospacing="0" w:after="0" w:afterAutospacing="0"/>
        <w:jc w:val="both"/>
        <w:rPr>
          <w:rFonts w:ascii="Century Gothic" w:hAnsi="Century Gothic"/>
          <w:sz w:val="22"/>
          <w:szCs w:val="22"/>
        </w:rPr>
      </w:pPr>
      <w:r w:rsidRPr="008A35AF">
        <w:rPr>
          <w:rFonts w:ascii="Century Gothic" w:hAnsi="Century Gothic"/>
          <w:sz w:val="22"/>
          <w:szCs w:val="22"/>
        </w:rPr>
        <w:t>[1</w:t>
      </w:r>
      <w:r w:rsidR="008A35AF" w:rsidRPr="008A35AF">
        <w:rPr>
          <w:rFonts w:ascii="Century Gothic" w:hAnsi="Century Gothic"/>
          <w:sz w:val="22"/>
          <w:szCs w:val="22"/>
        </w:rPr>
        <w:t>2</w:t>
      </w:r>
      <w:r w:rsidRPr="008A35AF">
        <w:rPr>
          <w:rFonts w:ascii="Century Gothic" w:hAnsi="Century Gothic"/>
          <w:sz w:val="22"/>
          <w:szCs w:val="22"/>
        </w:rPr>
        <w:t>]http://www.environnement.gov.mr/fr/index.php/pages/changement-climatique-et-resilience</w:t>
      </w:r>
    </w:p>
    <w:p w14:paraId="5A56FAFF" w14:textId="77777777" w:rsidR="0041229B" w:rsidRDefault="0041229B" w:rsidP="006A1C9E">
      <w:pPr>
        <w:pStyle w:val="NormalWeb"/>
        <w:spacing w:before="0" w:beforeAutospacing="0" w:after="0" w:afterAutospacing="0"/>
        <w:jc w:val="both"/>
        <w:rPr>
          <w:rFonts w:ascii="Century Gothic" w:hAnsi="Century Gothic"/>
          <w:sz w:val="22"/>
          <w:szCs w:val="22"/>
        </w:rPr>
      </w:pPr>
    </w:p>
    <w:p w14:paraId="0AA75D49" w14:textId="0977F74D" w:rsidR="00B33978" w:rsidRPr="008A35AF" w:rsidRDefault="00B33978" w:rsidP="006A1C9E">
      <w:pPr>
        <w:pStyle w:val="NormalWeb"/>
        <w:spacing w:before="0" w:beforeAutospacing="0" w:after="0" w:afterAutospacing="0"/>
        <w:jc w:val="both"/>
        <w:rPr>
          <w:rFonts w:ascii="Century Gothic" w:hAnsi="Century Gothic"/>
          <w:sz w:val="22"/>
          <w:szCs w:val="22"/>
        </w:rPr>
      </w:pPr>
      <w:r w:rsidRPr="008A35AF">
        <w:rPr>
          <w:rFonts w:ascii="Century Gothic" w:hAnsi="Century Gothic"/>
          <w:sz w:val="22"/>
          <w:szCs w:val="22"/>
        </w:rPr>
        <w:t>[</w:t>
      </w:r>
      <w:r w:rsidR="008A35AF" w:rsidRPr="008A35AF">
        <w:rPr>
          <w:rFonts w:ascii="Century Gothic" w:hAnsi="Century Gothic"/>
          <w:sz w:val="22"/>
          <w:szCs w:val="22"/>
        </w:rPr>
        <w:t>13</w:t>
      </w:r>
      <w:r w:rsidRPr="008A35AF">
        <w:rPr>
          <w:rFonts w:ascii="Century Gothic" w:hAnsi="Century Gothic"/>
          <w:sz w:val="22"/>
          <w:szCs w:val="22"/>
        </w:rPr>
        <w:t>] https://perspective.usherbrooke.ca/bilan/servlet/BMAnalyse/3372</w:t>
      </w:r>
    </w:p>
    <w:p w14:paraId="3BB19673" w14:textId="77777777" w:rsidR="0041229B" w:rsidRDefault="0041229B" w:rsidP="006A1C9E">
      <w:pPr>
        <w:pStyle w:val="NormalWeb"/>
        <w:spacing w:before="0" w:beforeAutospacing="0" w:after="0" w:afterAutospacing="0"/>
        <w:jc w:val="both"/>
        <w:rPr>
          <w:rFonts w:ascii="Century Gothic" w:hAnsi="Century Gothic"/>
          <w:sz w:val="22"/>
          <w:szCs w:val="22"/>
        </w:rPr>
      </w:pPr>
    </w:p>
    <w:p w14:paraId="46C9D043" w14:textId="55E7E10D" w:rsidR="00B33978" w:rsidRPr="008A35AF" w:rsidRDefault="00B33978" w:rsidP="006A1C9E">
      <w:pPr>
        <w:pStyle w:val="NormalWeb"/>
        <w:spacing w:before="0" w:beforeAutospacing="0" w:after="0" w:afterAutospacing="0"/>
        <w:jc w:val="both"/>
        <w:rPr>
          <w:rFonts w:ascii="Century Gothic" w:hAnsi="Century Gothic"/>
          <w:sz w:val="22"/>
          <w:szCs w:val="22"/>
        </w:rPr>
      </w:pPr>
      <w:r w:rsidRPr="008A35AF">
        <w:rPr>
          <w:rFonts w:ascii="Century Gothic" w:hAnsi="Century Gothic"/>
          <w:sz w:val="22"/>
          <w:szCs w:val="22"/>
        </w:rPr>
        <w:t>[</w:t>
      </w:r>
      <w:r w:rsidR="008A35AF" w:rsidRPr="008A35AF">
        <w:rPr>
          <w:rFonts w:ascii="Century Gothic" w:hAnsi="Century Gothic"/>
          <w:sz w:val="22"/>
          <w:szCs w:val="22"/>
        </w:rPr>
        <w:t>14</w:t>
      </w:r>
      <w:r w:rsidRPr="008A35AF">
        <w:rPr>
          <w:rFonts w:ascii="Century Gothic" w:hAnsi="Century Gothic"/>
          <w:sz w:val="22"/>
          <w:szCs w:val="22"/>
        </w:rPr>
        <w:t>] https://theses.fr/2023ULILA020</w:t>
      </w:r>
    </w:p>
    <w:p w14:paraId="50880421" w14:textId="77777777" w:rsidR="0041229B" w:rsidRDefault="0041229B" w:rsidP="006A1C9E">
      <w:pPr>
        <w:pStyle w:val="NormalWeb"/>
        <w:spacing w:before="0" w:beforeAutospacing="0" w:after="0" w:afterAutospacing="0"/>
        <w:jc w:val="both"/>
        <w:rPr>
          <w:rFonts w:ascii="Century Gothic" w:hAnsi="Century Gothic"/>
          <w:sz w:val="22"/>
          <w:szCs w:val="22"/>
        </w:rPr>
      </w:pPr>
    </w:p>
    <w:p w14:paraId="47478124" w14:textId="26E594BE" w:rsidR="00B33978" w:rsidRPr="008A35AF" w:rsidRDefault="00B33978" w:rsidP="006A1C9E">
      <w:pPr>
        <w:pStyle w:val="NormalWeb"/>
        <w:spacing w:before="0" w:beforeAutospacing="0" w:after="0" w:afterAutospacing="0"/>
        <w:jc w:val="both"/>
        <w:rPr>
          <w:rFonts w:ascii="Century Gothic" w:hAnsi="Century Gothic"/>
          <w:sz w:val="22"/>
          <w:szCs w:val="22"/>
        </w:rPr>
      </w:pPr>
      <w:r w:rsidRPr="008A35AF">
        <w:rPr>
          <w:rFonts w:ascii="Century Gothic" w:hAnsi="Century Gothic"/>
          <w:sz w:val="22"/>
          <w:szCs w:val="22"/>
        </w:rPr>
        <w:t>[</w:t>
      </w:r>
      <w:r w:rsidR="008A35AF" w:rsidRPr="008A35AF">
        <w:rPr>
          <w:rFonts w:ascii="Century Gothic" w:hAnsi="Century Gothic"/>
          <w:sz w:val="22"/>
          <w:szCs w:val="22"/>
        </w:rPr>
        <w:t>15</w:t>
      </w:r>
      <w:r w:rsidRPr="008A35AF">
        <w:rPr>
          <w:rFonts w:ascii="Century Gothic" w:hAnsi="Century Gothic"/>
          <w:sz w:val="22"/>
          <w:szCs w:val="22"/>
        </w:rPr>
        <w:t>] https://www.fao.org/faolex/results/details/fr/c/LEX-FAOC220324/</w:t>
      </w:r>
    </w:p>
    <w:p w14:paraId="5EE9E0DB" w14:textId="77777777" w:rsidR="0062761C" w:rsidRDefault="0062761C" w:rsidP="006A1C9E">
      <w:pPr>
        <w:pStyle w:val="NormalWeb"/>
        <w:spacing w:before="0" w:beforeAutospacing="0" w:after="0" w:afterAutospacing="0"/>
        <w:jc w:val="both"/>
        <w:rPr>
          <w:rFonts w:ascii="Century Gothic" w:hAnsi="Century Gothic"/>
          <w:sz w:val="22"/>
          <w:szCs w:val="22"/>
        </w:rPr>
      </w:pPr>
    </w:p>
    <w:p w14:paraId="13253A27" w14:textId="5673F1C0" w:rsidR="00402947" w:rsidRPr="001C4517" w:rsidRDefault="00402947"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[1</w:t>
      </w:r>
      <w:r w:rsidR="00505227">
        <w:rPr>
          <w:rFonts w:ascii="Century Gothic" w:hAnsi="Century Gothic"/>
          <w:sz w:val="22"/>
          <w:szCs w:val="22"/>
        </w:rPr>
        <w:t>6</w:t>
      </w:r>
      <w:r w:rsidRPr="001C4517">
        <w:rPr>
          <w:rFonts w:ascii="Century Gothic" w:hAnsi="Century Gothic"/>
          <w:sz w:val="22"/>
          <w:szCs w:val="22"/>
        </w:rPr>
        <w:t>]</w:t>
      </w:r>
      <w:hyperlink r:id="rId156" w:history="1">
        <w:r w:rsidR="001C4517" w:rsidRPr="001C4517">
          <w:rPr>
            <w:rStyle w:val="Lienhypertexte"/>
            <w:rFonts w:ascii="Century Gothic" w:hAnsi="Century Gothic"/>
            <w:color w:val="auto"/>
            <w:sz w:val="22"/>
            <w:szCs w:val="22"/>
          </w:rPr>
          <w:t>https://www.undp.org/fr/mauritania/actualites/la-biodiversite-une-richesse-strategique-pour-la-mauritanie</w:t>
        </w:r>
      </w:hyperlink>
    </w:p>
    <w:p w14:paraId="1D14799D"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4A85F1A5" w14:textId="47F59152" w:rsidR="001C4517" w:rsidRPr="001C4517" w:rsidRDefault="001C4517"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17</w:t>
      </w:r>
      <w:r w:rsidRPr="001C4517">
        <w:rPr>
          <w:rFonts w:ascii="Century Gothic" w:hAnsi="Century Gothic"/>
          <w:sz w:val="22"/>
          <w:szCs w:val="22"/>
        </w:rPr>
        <w:t>]</w:t>
      </w:r>
      <w:hyperlink r:id="rId157" w:history="1">
        <w:r w:rsidR="00AA1C59" w:rsidRPr="00E77B71">
          <w:rPr>
            <w:rStyle w:val="Lienhypertexte"/>
            <w:rFonts w:ascii="Century Gothic" w:hAnsi="Century Gothic"/>
            <w:sz w:val="22"/>
            <w:szCs w:val="22"/>
          </w:rPr>
          <w:t>https://mr.chmcbd.net/sites/mr/files/202206/Strat%C3%A9gie%20Nationale%20de%20la%20Biodiversit%C3%A9%20de%20la%20Mauritanie.pdf</w:t>
        </w:r>
      </w:hyperlink>
    </w:p>
    <w:p w14:paraId="25FAB11B" w14:textId="1D690F35" w:rsidR="001C4517" w:rsidRPr="001C4517" w:rsidRDefault="001C4517" w:rsidP="006A1C9E">
      <w:pPr>
        <w:pStyle w:val="NormalWeb"/>
        <w:spacing w:before="0" w:beforeAutospacing="0" w:after="0" w:afterAutospacing="0"/>
        <w:jc w:val="both"/>
        <w:rPr>
          <w:rFonts w:ascii="Century Gothic" w:hAnsi="Century Gothic"/>
          <w:sz w:val="22"/>
          <w:szCs w:val="22"/>
        </w:rPr>
      </w:pPr>
    </w:p>
    <w:p w14:paraId="18C38633" w14:textId="0254CF84" w:rsidR="001C4517" w:rsidRPr="001C4517" w:rsidRDefault="001C4517"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18</w:t>
      </w:r>
      <w:r w:rsidRPr="001C4517">
        <w:rPr>
          <w:rFonts w:ascii="Century Gothic" w:hAnsi="Century Gothic"/>
          <w:sz w:val="22"/>
          <w:szCs w:val="22"/>
        </w:rPr>
        <w:t xml:space="preserve">] </w:t>
      </w:r>
      <w:hyperlink r:id="rId158" w:history="1">
        <w:r w:rsidRPr="001C4517">
          <w:rPr>
            <w:rStyle w:val="Lienhypertexte"/>
            <w:rFonts w:ascii="Century Gothic" w:hAnsi="Century Gothic"/>
            <w:color w:val="auto"/>
            <w:sz w:val="22"/>
            <w:szCs w:val="22"/>
          </w:rPr>
          <w:t>https://www.cbd.int/doc/world/mr/mr-nbsap-v2-fr.pdf</w:t>
        </w:r>
      </w:hyperlink>
    </w:p>
    <w:p w14:paraId="232006B4"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1EADE8CE" w14:textId="1FEB1546" w:rsidR="001C4517" w:rsidRPr="001C4517" w:rsidRDefault="001C4517"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19</w:t>
      </w:r>
      <w:r w:rsidRPr="001C4517">
        <w:rPr>
          <w:rFonts w:ascii="Century Gothic" w:hAnsi="Century Gothic"/>
          <w:sz w:val="22"/>
          <w:szCs w:val="22"/>
        </w:rPr>
        <w:t>]</w:t>
      </w:r>
      <w:hyperlink r:id="rId159" w:history="1">
        <w:r w:rsidRPr="001C4517">
          <w:rPr>
            <w:rStyle w:val="Lienhypertexte"/>
            <w:rFonts w:ascii="Century Gothic" w:hAnsi="Century Gothic"/>
            <w:color w:val="auto"/>
            <w:sz w:val="22"/>
            <w:szCs w:val="22"/>
          </w:rPr>
          <w:t>https://esahub-rris.rcmrd.org/sites/default/files/2019-10/NBSAP%20Mauritanie_0.pdf</w:t>
        </w:r>
      </w:hyperlink>
      <w:r w:rsidRPr="001C4517">
        <w:rPr>
          <w:rFonts w:ascii="Century Gothic" w:hAnsi="Century Gothic"/>
          <w:sz w:val="22"/>
          <w:szCs w:val="22"/>
        </w:rPr>
        <w:t xml:space="preserve"> </w:t>
      </w:r>
    </w:p>
    <w:p w14:paraId="0BA78581"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627DBB98" w14:textId="43B8D0BA" w:rsidR="00402947" w:rsidRPr="001C4517" w:rsidRDefault="00402947"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20</w:t>
      </w:r>
      <w:r w:rsidRPr="001C4517">
        <w:rPr>
          <w:rFonts w:ascii="Century Gothic" w:hAnsi="Century Gothic"/>
          <w:sz w:val="22"/>
          <w:szCs w:val="22"/>
        </w:rPr>
        <w:t>]</w:t>
      </w:r>
      <w:hyperlink r:id="rId160" w:history="1">
        <w:r w:rsidRPr="001C4517">
          <w:rPr>
            <w:rStyle w:val="Lienhypertexte"/>
            <w:rFonts w:ascii="Century Gothic" w:hAnsi="Century Gothic"/>
            <w:color w:val="auto"/>
            <w:sz w:val="22"/>
            <w:szCs w:val="22"/>
          </w:rPr>
          <w:t>https://rsis.ramsar.org/RISapp/files/41361735/documents/MR250_descr211014.pdf</w:t>
        </w:r>
      </w:hyperlink>
    </w:p>
    <w:p w14:paraId="1B4C0405"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6BAA7B78" w14:textId="6C9DE7BA" w:rsidR="001C4517" w:rsidRPr="001C4517" w:rsidRDefault="00402947"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21</w:t>
      </w:r>
      <w:r w:rsidRPr="001C4517">
        <w:rPr>
          <w:rFonts w:ascii="Century Gothic" w:hAnsi="Century Gothic"/>
          <w:sz w:val="22"/>
          <w:szCs w:val="22"/>
        </w:rPr>
        <w:t>]</w:t>
      </w:r>
      <w:hyperlink r:id="rId161" w:history="1">
        <w:r w:rsidRPr="001C4517">
          <w:rPr>
            <w:rStyle w:val="Lienhypertexte"/>
            <w:rFonts w:ascii="Century Gothic" w:hAnsi="Century Gothic"/>
            <w:color w:val="auto"/>
            <w:sz w:val="22"/>
            <w:szCs w:val="22"/>
          </w:rPr>
          <w:t>http://www.environnement.gov.mr/fr/index.php/accueil/actualite/448-atelier-de-restitution-de-la-strategie-nationale-de-la-biodiversite-un-engagement-fort-pour-la-protection-et-la-resilience-ecologique-de-la-mauritanie</w:t>
        </w:r>
      </w:hyperlink>
    </w:p>
    <w:p w14:paraId="1FD62782"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3F055685" w14:textId="3D2B4307" w:rsidR="00434919" w:rsidRPr="001C4517" w:rsidRDefault="00434919"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22</w:t>
      </w:r>
      <w:r w:rsidRPr="001C4517">
        <w:rPr>
          <w:rFonts w:ascii="Century Gothic" w:hAnsi="Century Gothic"/>
          <w:sz w:val="22"/>
          <w:szCs w:val="22"/>
        </w:rPr>
        <w:t>]</w:t>
      </w:r>
      <w:hyperlink r:id="rId162" w:history="1">
        <w:r w:rsidR="001C4517" w:rsidRPr="001C4517">
          <w:rPr>
            <w:rStyle w:val="Lienhypertexte"/>
            <w:rFonts w:ascii="Century Gothic" w:hAnsi="Century Gothic"/>
            <w:color w:val="auto"/>
            <w:sz w:val="22"/>
            <w:szCs w:val="22"/>
          </w:rPr>
          <w:t>https://documents1.worldbank.org/curated/en/099072423105059709/pdf/P17926605a759a055096540224f679aa053.pdf</w:t>
        </w:r>
      </w:hyperlink>
    </w:p>
    <w:p w14:paraId="12A331A2"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4AD4FF43" w14:textId="27DD3A8F" w:rsidR="00434919" w:rsidRPr="001C4517" w:rsidRDefault="00434919"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23</w:t>
      </w:r>
      <w:r w:rsidRPr="001C4517">
        <w:rPr>
          <w:rFonts w:ascii="Century Gothic" w:hAnsi="Century Gothic"/>
          <w:sz w:val="22"/>
          <w:szCs w:val="22"/>
        </w:rPr>
        <w:t xml:space="preserve">] </w:t>
      </w:r>
      <w:hyperlink r:id="rId163" w:history="1">
        <w:r w:rsidR="001C4517" w:rsidRPr="001C4517">
          <w:rPr>
            <w:rStyle w:val="Lienhypertexte"/>
            <w:rFonts w:ascii="Century Gothic" w:hAnsi="Century Gothic"/>
            <w:color w:val="auto"/>
            <w:sz w:val="22"/>
            <w:szCs w:val="22"/>
          </w:rPr>
          <w:t>https://unfccc.int/sites/default/files/resource/mrtnc3.pdf</w:t>
        </w:r>
      </w:hyperlink>
    </w:p>
    <w:p w14:paraId="147A28BC"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27B593F5" w14:textId="0D43F23C" w:rsidR="001C4517" w:rsidRPr="001C4517" w:rsidRDefault="001C4517"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24</w:t>
      </w:r>
      <w:r w:rsidRPr="001C4517">
        <w:rPr>
          <w:rFonts w:ascii="Century Gothic" w:hAnsi="Century Gothic"/>
          <w:sz w:val="22"/>
          <w:szCs w:val="22"/>
        </w:rPr>
        <w:t>] https://www.mediaterre.org/afrique-ouest/actu,20180111163136.html</w:t>
      </w:r>
    </w:p>
    <w:p w14:paraId="3C0574EA"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386302DC" w14:textId="1CC9BA04" w:rsidR="001C4517" w:rsidRPr="001C4517" w:rsidRDefault="001C4517"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25</w:t>
      </w:r>
      <w:r w:rsidRPr="001C4517">
        <w:rPr>
          <w:rFonts w:ascii="Century Gothic" w:hAnsi="Century Gothic"/>
          <w:sz w:val="22"/>
          <w:szCs w:val="22"/>
        </w:rPr>
        <w:t xml:space="preserve">] </w:t>
      </w:r>
      <w:hyperlink r:id="rId164" w:history="1">
        <w:r w:rsidRPr="001C4517">
          <w:rPr>
            <w:rStyle w:val="Lienhypertexte"/>
            <w:rFonts w:ascii="Century Gothic" w:hAnsi="Century Gothic"/>
            <w:color w:val="auto"/>
            <w:sz w:val="22"/>
            <w:szCs w:val="22"/>
          </w:rPr>
          <w:t>https://www.alliance-sahel.org/actualites/mauritanie-agri-resilience/</w:t>
        </w:r>
      </w:hyperlink>
    </w:p>
    <w:p w14:paraId="2F749CF1"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68518A19" w14:textId="67BAE7CB" w:rsidR="00434919" w:rsidRPr="001C4517" w:rsidRDefault="00434919"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26</w:t>
      </w:r>
      <w:r w:rsidRPr="001C4517">
        <w:rPr>
          <w:rFonts w:ascii="Century Gothic" w:hAnsi="Century Gothic"/>
          <w:sz w:val="22"/>
          <w:szCs w:val="22"/>
        </w:rPr>
        <w:t xml:space="preserve">] </w:t>
      </w:r>
      <w:hyperlink r:id="rId165" w:history="1">
        <w:r w:rsidR="001C4517" w:rsidRPr="001C4517">
          <w:rPr>
            <w:rStyle w:val="Lienhypertexte"/>
            <w:rFonts w:ascii="Century Gothic" w:hAnsi="Century Gothic"/>
            <w:color w:val="auto"/>
            <w:sz w:val="22"/>
            <w:szCs w:val="22"/>
          </w:rPr>
          <w:t>https://www.cbd.int/doc/world/mr/mr-nr-05-fr.pdf</w:t>
        </w:r>
      </w:hyperlink>
    </w:p>
    <w:p w14:paraId="5DBF5207"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1B2BDC57" w14:textId="30F8B2E9" w:rsidR="00434919" w:rsidRPr="001C4517" w:rsidRDefault="00434919"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7E7C2E">
        <w:rPr>
          <w:rFonts w:ascii="Century Gothic" w:hAnsi="Century Gothic"/>
          <w:sz w:val="22"/>
          <w:szCs w:val="22"/>
        </w:rPr>
        <w:t>2</w:t>
      </w:r>
      <w:r w:rsidR="00505227">
        <w:rPr>
          <w:rFonts w:ascii="Century Gothic" w:hAnsi="Century Gothic"/>
          <w:sz w:val="22"/>
          <w:szCs w:val="22"/>
        </w:rPr>
        <w:t>7</w:t>
      </w:r>
      <w:r w:rsidRPr="001C4517">
        <w:rPr>
          <w:rFonts w:ascii="Century Gothic" w:hAnsi="Century Gothic"/>
          <w:sz w:val="22"/>
          <w:szCs w:val="22"/>
        </w:rPr>
        <w:t xml:space="preserve">] </w:t>
      </w:r>
      <w:hyperlink r:id="rId166" w:history="1">
        <w:r w:rsidR="001C4517" w:rsidRPr="001C4517">
          <w:rPr>
            <w:rStyle w:val="Lienhypertexte"/>
            <w:rFonts w:ascii="Century Gothic" w:hAnsi="Century Gothic"/>
            <w:color w:val="auto"/>
            <w:sz w:val="22"/>
            <w:szCs w:val="22"/>
          </w:rPr>
          <w:t>https://rsis.ramsar.org/RISapp/files/RISrep/MR250RIS_2309_fr.pdf</w:t>
        </w:r>
      </w:hyperlink>
    </w:p>
    <w:p w14:paraId="59E77606"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7CB0C7B9" w14:textId="64D7772D" w:rsidR="00434919" w:rsidRPr="001C4517" w:rsidRDefault="00434919"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28</w:t>
      </w:r>
      <w:r w:rsidRPr="001C4517">
        <w:rPr>
          <w:rFonts w:ascii="Century Gothic" w:hAnsi="Century Gothic"/>
          <w:sz w:val="22"/>
          <w:szCs w:val="22"/>
        </w:rPr>
        <w:t>]</w:t>
      </w:r>
      <w:hyperlink r:id="rId167" w:history="1">
        <w:r w:rsidR="001C4517" w:rsidRPr="001C4517">
          <w:rPr>
            <w:rStyle w:val="Lienhypertexte"/>
            <w:rFonts w:ascii="Century Gothic" w:hAnsi="Century Gothic"/>
            <w:color w:val="auto"/>
            <w:sz w:val="22"/>
            <w:szCs w:val="22"/>
          </w:rPr>
          <w:t>https://unfccc.int/sites/default/files/NDC/2022-06/CDN-actualis%C3%A9%202021_%20Mauritania.pdf</w:t>
        </w:r>
      </w:hyperlink>
    </w:p>
    <w:p w14:paraId="2885A39F"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24EB0769" w14:textId="10959851" w:rsidR="00434919" w:rsidRPr="001C4517" w:rsidRDefault="00434919"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29</w:t>
      </w:r>
      <w:r w:rsidRPr="001C4517">
        <w:rPr>
          <w:rFonts w:ascii="Century Gothic" w:hAnsi="Century Gothic"/>
          <w:sz w:val="22"/>
          <w:szCs w:val="22"/>
        </w:rPr>
        <w:t xml:space="preserve">] </w:t>
      </w:r>
      <w:hyperlink r:id="rId168" w:history="1">
        <w:r w:rsidR="001C4517" w:rsidRPr="001C4517">
          <w:rPr>
            <w:rStyle w:val="Lienhypertexte"/>
            <w:rFonts w:ascii="Century Gothic" w:hAnsi="Century Gothic"/>
            <w:color w:val="auto"/>
            <w:sz w:val="22"/>
            <w:szCs w:val="22"/>
          </w:rPr>
          <w:t>https://www.fao.org/4/i3825e/i3825e42.pdf</w:t>
        </w:r>
      </w:hyperlink>
    </w:p>
    <w:p w14:paraId="1A0C8B7D"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0EB236DF" w14:textId="7647DE7F" w:rsidR="008035F9" w:rsidRPr="001C4517" w:rsidRDefault="00434919" w:rsidP="002C1BF6">
      <w:pPr>
        <w:rPr>
          <w:rFonts w:ascii="Century Gothic" w:hAnsi="Century Gothic"/>
          <w:lang w:val="wo-SN"/>
        </w:rPr>
      </w:pPr>
      <w:r w:rsidRPr="001C4517">
        <w:rPr>
          <w:rFonts w:ascii="Century Gothic" w:hAnsi="Century Gothic"/>
          <w:lang w:val="wo-SN"/>
        </w:rPr>
        <w:t>[</w:t>
      </w:r>
      <w:r w:rsidR="00505227">
        <w:rPr>
          <w:rFonts w:ascii="Century Gothic" w:hAnsi="Century Gothic"/>
          <w:lang w:val="wo-SN"/>
        </w:rPr>
        <w:t>30</w:t>
      </w:r>
      <w:r w:rsidRPr="001C4517">
        <w:rPr>
          <w:rFonts w:ascii="Century Gothic" w:hAnsi="Century Gothic"/>
          <w:lang w:val="wo-SN"/>
        </w:rPr>
        <w:t>]</w:t>
      </w:r>
      <w:hyperlink r:id="rId169" w:history="1">
        <w:r w:rsidR="00F01190" w:rsidRPr="00E31C1F">
          <w:rPr>
            <w:rStyle w:val="Lienhypertexte"/>
            <w:rFonts w:ascii="Century Gothic" w:hAnsi="Century Gothic"/>
            <w:lang w:val="wo-SN"/>
          </w:rPr>
          <w:t>https://reliefweb.int/report/mauritania/en-prelude-la-cop29-et-la-cop16-une-mission-de-haut-niveau-appelle-soutenir-la-mauritanie-et-les-pays-du-sahel-vulnerables-au-changement-climatique-et-linsecurite-alimentaire</w:t>
        </w:r>
      </w:hyperlink>
      <w:r w:rsidR="00F01190" w:rsidRPr="00F01190">
        <w:rPr>
          <w:lang w:val="wo-SN"/>
        </w:rPr>
        <w:t xml:space="preserve"> </w:t>
      </w:r>
    </w:p>
    <w:p w14:paraId="65EFC2B4" w14:textId="0BCDF859" w:rsidR="008035F9" w:rsidRPr="001C4517" w:rsidRDefault="008035F9"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31</w:t>
      </w:r>
      <w:r w:rsidRPr="001C4517">
        <w:rPr>
          <w:rFonts w:ascii="Century Gothic" w:hAnsi="Century Gothic"/>
          <w:sz w:val="22"/>
          <w:szCs w:val="22"/>
        </w:rPr>
        <w:t>]</w:t>
      </w:r>
      <w:hyperlink r:id="rId170" w:history="1">
        <w:r w:rsidR="001C4517" w:rsidRPr="001C4517">
          <w:rPr>
            <w:rStyle w:val="Lienhypertexte"/>
            <w:rFonts w:ascii="Century Gothic" w:hAnsi="Century Gothic"/>
            <w:color w:val="auto"/>
            <w:sz w:val="22"/>
            <w:szCs w:val="22"/>
          </w:rPr>
          <w:t>https://documents1.worldbank.org/curated/fr/629391527741169250/pdf/Mauritanie-Plan-de-la-Gestion-des-Zones-Cotieres-Integre-Cout-de-la-Degradation-de-lEnvironnement-Cote.pdf</w:t>
        </w:r>
      </w:hyperlink>
    </w:p>
    <w:p w14:paraId="76AEB854"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3A0D6E59" w14:textId="5A4FC67F" w:rsidR="008035F9" w:rsidRPr="001C4517" w:rsidRDefault="008035F9"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32</w:t>
      </w:r>
      <w:r w:rsidRPr="001C4517">
        <w:rPr>
          <w:rFonts w:ascii="Century Gothic" w:hAnsi="Century Gothic"/>
          <w:sz w:val="22"/>
          <w:szCs w:val="22"/>
        </w:rPr>
        <w:t>]</w:t>
      </w:r>
      <w:hyperlink r:id="rId171" w:history="1">
        <w:r w:rsidR="001C4517" w:rsidRPr="001C4517">
          <w:rPr>
            <w:rStyle w:val="Lienhypertexte"/>
            <w:rFonts w:ascii="Century Gothic" w:hAnsi="Century Gothic"/>
            <w:color w:val="auto"/>
            <w:sz w:val="22"/>
            <w:szCs w:val="22"/>
          </w:rPr>
          <w:t>https://iucn.org/our-work/projects/amelioration-de-la-resilience-au-changement-climatique-des-zones-humides-de</w:t>
        </w:r>
      </w:hyperlink>
    </w:p>
    <w:p w14:paraId="548EE957"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1DD6F1F7" w14:textId="13E66FBA" w:rsidR="008035F9" w:rsidRPr="001C4517" w:rsidRDefault="008035F9"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33</w:t>
      </w:r>
      <w:r w:rsidRPr="001C4517">
        <w:rPr>
          <w:rFonts w:ascii="Century Gothic" w:hAnsi="Century Gothic"/>
          <w:sz w:val="22"/>
          <w:szCs w:val="22"/>
        </w:rPr>
        <w:t xml:space="preserve">] </w:t>
      </w:r>
      <w:hyperlink r:id="rId172" w:history="1">
        <w:r w:rsidR="001C4517" w:rsidRPr="001C4517">
          <w:rPr>
            <w:rStyle w:val="Lienhypertexte"/>
            <w:rFonts w:ascii="Century Gothic" w:hAnsi="Century Gothic"/>
            <w:color w:val="auto"/>
            <w:sz w:val="22"/>
            <w:szCs w:val="22"/>
          </w:rPr>
          <w:t>https://mauritania.un.org/fr/158063-changement-climatique-la-mauritanie-et-le-hcr-s%E2%80%99engagent-ensemble-et-appellent-%C3%A0-redoubler-d</w:t>
        </w:r>
      </w:hyperlink>
    </w:p>
    <w:p w14:paraId="7178CEFF"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4B5D2726" w14:textId="6790D5C7" w:rsidR="008035F9" w:rsidRPr="001C4517" w:rsidRDefault="008035F9"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34</w:t>
      </w:r>
      <w:r w:rsidRPr="001C4517">
        <w:rPr>
          <w:rFonts w:ascii="Century Gothic" w:hAnsi="Century Gothic"/>
          <w:sz w:val="22"/>
          <w:szCs w:val="22"/>
        </w:rPr>
        <w:t>]</w:t>
      </w:r>
      <w:hyperlink r:id="rId173" w:history="1">
        <w:r w:rsidR="001C4517" w:rsidRPr="001C4517">
          <w:rPr>
            <w:rStyle w:val="Lienhypertexte"/>
            <w:rFonts w:ascii="Century Gothic" w:hAnsi="Century Gothic"/>
            <w:color w:val="auto"/>
            <w:sz w:val="22"/>
            <w:szCs w:val="22"/>
          </w:rPr>
          <w:t>https://www.gefieo.org/sites/default/files/documents/scce-biomes-approach-paper-fre.pdf</w:t>
        </w:r>
      </w:hyperlink>
    </w:p>
    <w:p w14:paraId="327B2AD1"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4FB3B226" w14:textId="36FF3E01" w:rsidR="008035F9" w:rsidRPr="001C4517" w:rsidRDefault="008035F9"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505227">
        <w:rPr>
          <w:rFonts w:ascii="Century Gothic" w:hAnsi="Century Gothic"/>
          <w:sz w:val="22"/>
          <w:szCs w:val="22"/>
        </w:rPr>
        <w:t>35</w:t>
      </w:r>
      <w:r w:rsidRPr="001C4517">
        <w:rPr>
          <w:rFonts w:ascii="Century Gothic" w:hAnsi="Century Gothic"/>
          <w:sz w:val="22"/>
          <w:szCs w:val="22"/>
        </w:rPr>
        <w:t>]</w:t>
      </w:r>
      <w:hyperlink r:id="rId174" w:history="1">
        <w:r w:rsidR="001C4517" w:rsidRPr="001C4517">
          <w:rPr>
            <w:rStyle w:val="Lienhypertexte"/>
            <w:rFonts w:ascii="Century Gothic" w:hAnsi="Century Gothic"/>
            <w:color w:val="auto"/>
            <w:sz w:val="22"/>
            <w:szCs w:val="22"/>
          </w:rPr>
          <w:t>https://www.unhcr.org/fr/actualites/stories/le-rechauffement-climatique-menace-les-moyens-de-subsistance-des-refugies</w:t>
        </w:r>
      </w:hyperlink>
    </w:p>
    <w:p w14:paraId="72138812" w14:textId="77777777" w:rsidR="001C4517" w:rsidRPr="001C4517" w:rsidRDefault="001C4517" w:rsidP="006A1C9E">
      <w:pPr>
        <w:pStyle w:val="NormalWeb"/>
        <w:spacing w:before="0" w:beforeAutospacing="0" w:after="0" w:afterAutospacing="0"/>
        <w:jc w:val="both"/>
        <w:rPr>
          <w:rFonts w:ascii="Century Gothic" w:hAnsi="Century Gothic"/>
          <w:sz w:val="22"/>
          <w:szCs w:val="22"/>
        </w:rPr>
      </w:pPr>
    </w:p>
    <w:p w14:paraId="6A2115FE" w14:textId="03FCF388" w:rsidR="004E0AC7" w:rsidRPr="001C4517" w:rsidRDefault="007201F5" w:rsidP="006A1C9E">
      <w:pPr>
        <w:jc w:val="both"/>
        <w:rPr>
          <w:rFonts w:ascii="Century Gothic" w:hAnsi="Century Gothic"/>
          <w:lang w:val="wo-SN"/>
        </w:rPr>
      </w:pPr>
      <w:r w:rsidRPr="001C4517">
        <w:rPr>
          <w:rFonts w:ascii="Century Gothic" w:hAnsi="Century Gothic"/>
          <w:lang w:val="wo-SN"/>
        </w:rPr>
        <w:t>[</w:t>
      </w:r>
      <w:r w:rsidR="00505227">
        <w:rPr>
          <w:rFonts w:ascii="Century Gothic" w:hAnsi="Century Gothic"/>
          <w:lang w:val="wo-SN"/>
        </w:rPr>
        <w:t>36</w:t>
      </w:r>
      <w:r w:rsidRPr="001C4517">
        <w:rPr>
          <w:rFonts w:ascii="Century Gothic" w:hAnsi="Century Gothic"/>
          <w:lang w:val="wo-SN"/>
        </w:rPr>
        <w:t xml:space="preserve">] </w:t>
      </w:r>
      <w:hyperlink r:id="rId175" w:history="1">
        <w:r w:rsidR="004E0AC7" w:rsidRPr="001C4517">
          <w:rPr>
            <w:rFonts w:ascii="Century Gothic" w:hAnsi="Century Gothic"/>
            <w:lang w:val="wo-SN"/>
          </w:rPr>
          <w:t>https://mr.chm-cbd.net/fr/zones-protegees</w:t>
        </w:r>
      </w:hyperlink>
    </w:p>
    <w:p w14:paraId="7642585A" w14:textId="2E7D6DDC" w:rsidR="007201F5" w:rsidRPr="001C4517" w:rsidRDefault="007201F5" w:rsidP="006A1C9E">
      <w:pPr>
        <w:jc w:val="both"/>
        <w:rPr>
          <w:rFonts w:ascii="Century Gothic" w:hAnsi="Century Gothic"/>
          <w:lang w:val="wo-SN"/>
        </w:rPr>
      </w:pPr>
      <w:r w:rsidRPr="001C4517">
        <w:rPr>
          <w:rFonts w:ascii="Century Gothic" w:hAnsi="Century Gothic"/>
          <w:lang w:val="wo-SN"/>
        </w:rPr>
        <w:t>[</w:t>
      </w:r>
      <w:r w:rsidR="00505227">
        <w:rPr>
          <w:rFonts w:ascii="Century Gothic" w:hAnsi="Century Gothic"/>
          <w:lang w:val="wo-SN"/>
        </w:rPr>
        <w:t>3</w:t>
      </w:r>
      <w:r w:rsidR="00017AF9">
        <w:rPr>
          <w:rFonts w:ascii="Century Gothic" w:hAnsi="Century Gothic"/>
          <w:lang w:val="wo-SN"/>
        </w:rPr>
        <w:t>7</w:t>
      </w:r>
      <w:r w:rsidRPr="001C4517">
        <w:rPr>
          <w:rFonts w:ascii="Century Gothic" w:hAnsi="Century Gothic"/>
          <w:lang w:val="wo-SN"/>
        </w:rPr>
        <w:t>] https://www.fao.org/4/x6886f/x6886f08.htm</w:t>
      </w:r>
    </w:p>
    <w:p w14:paraId="1F1AB160" w14:textId="33ABF951" w:rsidR="007201F5" w:rsidRPr="001C4517" w:rsidRDefault="007201F5" w:rsidP="006A1C9E">
      <w:pPr>
        <w:jc w:val="both"/>
        <w:rPr>
          <w:rFonts w:ascii="Century Gothic" w:hAnsi="Century Gothic"/>
          <w:lang w:val="wo-SN"/>
        </w:rPr>
      </w:pPr>
      <w:r w:rsidRPr="001C4517">
        <w:rPr>
          <w:rFonts w:ascii="Century Gothic" w:hAnsi="Century Gothic"/>
          <w:lang w:val="wo-SN"/>
        </w:rPr>
        <w:t>[</w:t>
      </w:r>
      <w:r w:rsidR="00505227">
        <w:rPr>
          <w:rFonts w:ascii="Century Gothic" w:hAnsi="Century Gothic"/>
          <w:lang w:val="wo-SN"/>
        </w:rPr>
        <w:t>3</w:t>
      </w:r>
      <w:r w:rsidR="00017AF9">
        <w:rPr>
          <w:rFonts w:ascii="Century Gothic" w:hAnsi="Century Gothic"/>
          <w:lang w:val="wo-SN"/>
        </w:rPr>
        <w:t>8</w:t>
      </w:r>
      <w:r w:rsidRPr="001C4517">
        <w:rPr>
          <w:rFonts w:ascii="Century Gothic" w:hAnsi="Century Gothic"/>
          <w:lang w:val="wo-SN"/>
        </w:rPr>
        <w:t>]https://www.cbd.int/doc/meetings/mar/ebsa-sea-01/other/ebsa-sea-01-submission-mauritania-template-01-en.pdf</w:t>
      </w:r>
    </w:p>
    <w:p w14:paraId="5E13837E" w14:textId="56A01FCB" w:rsidR="007201F5" w:rsidRPr="001C4517" w:rsidRDefault="007201F5" w:rsidP="006A1C9E">
      <w:pPr>
        <w:jc w:val="both"/>
        <w:rPr>
          <w:rFonts w:ascii="Century Gothic" w:hAnsi="Century Gothic"/>
          <w:lang w:val="wo-SN"/>
        </w:rPr>
      </w:pPr>
      <w:r w:rsidRPr="001C4517">
        <w:rPr>
          <w:rFonts w:ascii="Century Gothic" w:hAnsi="Century Gothic"/>
          <w:lang w:val="wo-SN"/>
        </w:rPr>
        <w:t>[</w:t>
      </w:r>
      <w:r w:rsidR="00017AF9">
        <w:rPr>
          <w:rFonts w:ascii="Century Gothic" w:hAnsi="Century Gothic"/>
          <w:lang w:val="wo-SN"/>
        </w:rPr>
        <w:t>39</w:t>
      </w:r>
      <w:r w:rsidRPr="001C4517">
        <w:rPr>
          <w:rFonts w:ascii="Century Gothic" w:hAnsi="Century Gothic"/>
          <w:lang w:val="wo-SN"/>
        </w:rPr>
        <w:t>]https://iucn.org/fr/resources/publication/evaluation-de-lefficacite-des-aires-protegees-parcs-et-reserves-de-mauritanie</w:t>
      </w:r>
    </w:p>
    <w:p w14:paraId="20A3E91D" w14:textId="43B73D04" w:rsidR="00332287" w:rsidRPr="001C4517" w:rsidRDefault="007201F5" w:rsidP="006A1C9E">
      <w:pPr>
        <w:jc w:val="both"/>
        <w:rPr>
          <w:rFonts w:ascii="Century Gothic" w:hAnsi="Century Gothic"/>
          <w:lang w:val="wo-SN"/>
        </w:rPr>
      </w:pPr>
      <w:r w:rsidRPr="001C4517">
        <w:rPr>
          <w:rFonts w:ascii="Century Gothic" w:hAnsi="Century Gothic"/>
          <w:lang w:val="wo-SN"/>
        </w:rPr>
        <w:t>[</w:t>
      </w:r>
      <w:r w:rsidR="00505227">
        <w:rPr>
          <w:rFonts w:ascii="Century Gothic" w:hAnsi="Century Gothic"/>
          <w:lang w:val="wo-SN"/>
        </w:rPr>
        <w:t>4</w:t>
      </w:r>
      <w:r w:rsidR="00017AF9">
        <w:rPr>
          <w:rFonts w:ascii="Century Gothic" w:hAnsi="Century Gothic"/>
          <w:lang w:val="wo-SN"/>
        </w:rPr>
        <w:t>0</w:t>
      </w:r>
      <w:r w:rsidRPr="001C4517">
        <w:rPr>
          <w:rFonts w:ascii="Century Gothic" w:hAnsi="Century Gothic"/>
          <w:lang w:val="wo-SN"/>
        </w:rPr>
        <w:t>]</w:t>
      </w:r>
      <w:hyperlink r:id="rId176" w:history="1">
        <w:r w:rsidR="001C4517" w:rsidRPr="001C4517">
          <w:rPr>
            <w:rStyle w:val="Lienhypertexte"/>
            <w:rFonts w:ascii="Century Gothic" w:hAnsi="Century Gothic"/>
            <w:color w:val="auto"/>
            <w:lang w:val="wo-SN"/>
          </w:rPr>
          <w:t>https://iiab.me/kiwix/content/wikipedia_fr_all_maxi_2022-09/A/Liste_des_aires_prot%C3%A9g%C3%A9es_de_Mauritanie</w:t>
        </w:r>
      </w:hyperlink>
    </w:p>
    <w:p w14:paraId="26A766CB" w14:textId="62932AD3" w:rsidR="00332287" w:rsidRPr="001C4517" w:rsidRDefault="00332287" w:rsidP="006A1C9E">
      <w:pPr>
        <w:jc w:val="both"/>
        <w:rPr>
          <w:rFonts w:ascii="Century Gothic" w:hAnsi="Century Gothic"/>
          <w:lang w:val="wo-SN"/>
        </w:rPr>
      </w:pPr>
      <w:r w:rsidRPr="001C4517">
        <w:rPr>
          <w:rFonts w:ascii="Century Gothic" w:hAnsi="Century Gothic"/>
          <w:lang w:val="wo-SN"/>
        </w:rPr>
        <w:t>[</w:t>
      </w:r>
      <w:r w:rsidR="00505227">
        <w:rPr>
          <w:rFonts w:ascii="Century Gothic" w:hAnsi="Century Gothic"/>
          <w:lang w:val="wo-SN"/>
        </w:rPr>
        <w:t>4</w:t>
      </w:r>
      <w:r w:rsidR="00017AF9">
        <w:rPr>
          <w:rFonts w:ascii="Century Gothic" w:hAnsi="Century Gothic"/>
          <w:lang w:val="wo-SN"/>
        </w:rPr>
        <w:t>1</w:t>
      </w:r>
      <w:r w:rsidRPr="001C4517">
        <w:rPr>
          <w:rFonts w:ascii="Century Gothic" w:hAnsi="Century Gothic"/>
          <w:lang w:val="wo-SN"/>
        </w:rPr>
        <w:t>]http://www.environnement.gov.mr/fr/index.php/accueil/actualite/494-la-mauritanie-a-brillamment-cloture-sa-participation-a-la-cop29-en-mettant-a-l-honneur-son-engagement-en-faveur-de-la-protection-de-la-biodiversite</w:t>
      </w:r>
    </w:p>
    <w:p w14:paraId="6E55447E" w14:textId="76CD581F" w:rsidR="00332287" w:rsidRPr="001C4517" w:rsidRDefault="00332287" w:rsidP="006A1C9E">
      <w:pPr>
        <w:jc w:val="both"/>
        <w:rPr>
          <w:rFonts w:ascii="Century Gothic" w:hAnsi="Century Gothic"/>
          <w:lang w:val="wo-SN"/>
        </w:rPr>
      </w:pPr>
      <w:r w:rsidRPr="001C4517">
        <w:rPr>
          <w:rFonts w:ascii="Century Gothic" w:hAnsi="Century Gothic"/>
          <w:lang w:val="wo-SN"/>
        </w:rPr>
        <w:t>[</w:t>
      </w:r>
      <w:r w:rsidR="00505227">
        <w:rPr>
          <w:rFonts w:ascii="Century Gothic" w:hAnsi="Century Gothic"/>
          <w:lang w:val="wo-SN"/>
        </w:rPr>
        <w:t>4</w:t>
      </w:r>
      <w:r w:rsidR="00017AF9">
        <w:rPr>
          <w:rFonts w:ascii="Century Gothic" w:hAnsi="Century Gothic"/>
          <w:lang w:val="wo-SN"/>
        </w:rPr>
        <w:t>2</w:t>
      </w:r>
      <w:r w:rsidRPr="001C4517">
        <w:rPr>
          <w:rFonts w:ascii="Century Gothic" w:hAnsi="Century Gothic"/>
          <w:lang w:val="wo-SN"/>
        </w:rPr>
        <w:t>] https://portals.iucn.org/library/sites/library/files/documents/Bulletin-NS-vol26-002-Fr.pdf</w:t>
      </w:r>
    </w:p>
    <w:p w14:paraId="286D0242" w14:textId="17C794F3" w:rsidR="002376A5" w:rsidRPr="001C4517" w:rsidRDefault="00332287" w:rsidP="006A1C9E">
      <w:pPr>
        <w:jc w:val="both"/>
        <w:rPr>
          <w:rFonts w:ascii="Century Gothic" w:hAnsi="Century Gothic"/>
          <w:lang w:val="wo-SN"/>
        </w:rPr>
      </w:pPr>
      <w:r w:rsidRPr="001C4517">
        <w:rPr>
          <w:rFonts w:ascii="Century Gothic" w:hAnsi="Century Gothic"/>
          <w:lang w:val="wo-SN"/>
        </w:rPr>
        <w:t>[</w:t>
      </w:r>
      <w:r w:rsidR="00505227">
        <w:rPr>
          <w:rFonts w:ascii="Century Gothic" w:hAnsi="Century Gothic"/>
          <w:lang w:val="wo-SN"/>
        </w:rPr>
        <w:t>4</w:t>
      </w:r>
      <w:r w:rsidR="00017AF9">
        <w:rPr>
          <w:rFonts w:ascii="Century Gothic" w:hAnsi="Century Gothic"/>
          <w:lang w:val="wo-SN"/>
        </w:rPr>
        <w:t>3</w:t>
      </w:r>
      <w:r w:rsidRPr="001C4517">
        <w:rPr>
          <w:rFonts w:ascii="Century Gothic" w:hAnsi="Century Gothic"/>
          <w:lang w:val="wo-SN"/>
        </w:rPr>
        <w:t xml:space="preserve">] </w:t>
      </w:r>
      <w:hyperlink r:id="rId177" w:history="1">
        <w:r w:rsidRPr="001C4517">
          <w:rPr>
            <w:rFonts w:ascii="Century Gothic" w:hAnsi="Century Gothic"/>
            <w:lang w:val="wo-SN"/>
          </w:rPr>
          <w:t>https://bacomab.org/nos-beneficiaires/</w:t>
        </w:r>
      </w:hyperlink>
    </w:p>
    <w:p w14:paraId="08737FC4" w14:textId="374C0F04" w:rsidR="002376A5" w:rsidRPr="001C4517" w:rsidRDefault="002376A5" w:rsidP="006A1C9E">
      <w:pPr>
        <w:jc w:val="both"/>
        <w:rPr>
          <w:rFonts w:ascii="Century Gothic" w:hAnsi="Century Gothic"/>
          <w:lang w:val="wo-SN"/>
        </w:rPr>
      </w:pPr>
      <w:r w:rsidRPr="001C4517">
        <w:rPr>
          <w:rFonts w:ascii="Century Gothic" w:hAnsi="Century Gothic"/>
          <w:lang w:val="wo-SN"/>
        </w:rPr>
        <w:t>[</w:t>
      </w:r>
      <w:r w:rsidR="007E7C2E">
        <w:rPr>
          <w:rFonts w:ascii="Century Gothic" w:hAnsi="Century Gothic"/>
          <w:lang w:val="wo-SN"/>
        </w:rPr>
        <w:t>4</w:t>
      </w:r>
      <w:r w:rsidR="00017AF9">
        <w:rPr>
          <w:rFonts w:ascii="Century Gothic" w:hAnsi="Century Gothic"/>
          <w:lang w:val="wo-SN"/>
        </w:rPr>
        <w:t>4</w:t>
      </w:r>
      <w:r w:rsidRPr="001C4517">
        <w:rPr>
          <w:rFonts w:ascii="Century Gothic" w:hAnsi="Century Gothic"/>
          <w:lang w:val="wo-SN"/>
        </w:rPr>
        <w:t>] https://edepot.wur.nl/382360</w:t>
      </w:r>
    </w:p>
    <w:p w14:paraId="51F93408" w14:textId="3210EED3" w:rsidR="002376A5" w:rsidRPr="001C4517" w:rsidRDefault="002376A5" w:rsidP="006A1C9E">
      <w:pPr>
        <w:jc w:val="both"/>
        <w:rPr>
          <w:rFonts w:ascii="Century Gothic" w:hAnsi="Century Gothic"/>
          <w:lang w:val="wo-SN"/>
        </w:rPr>
      </w:pPr>
      <w:r w:rsidRPr="001C4517">
        <w:rPr>
          <w:rFonts w:ascii="Century Gothic" w:hAnsi="Century Gothic"/>
          <w:lang w:val="wo-SN"/>
        </w:rPr>
        <w:t>[</w:t>
      </w:r>
      <w:r w:rsidR="00505227">
        <w:rPr>
          <w:rFonts w:ascii="Century Gothic" w:hAnsi="Century Gothic"/>
          <w:lang w:val="wo-SN"/>
        </w:rPr>
        <w:t>4</w:t>
      </w:r>
      <w:r w:rsidR="00017AF9">
        <w:rPr>
          <w:rFonts w:ascii="Century Gothic" w:hAnsi="Century Gothic"/>
          <w:lang w:val="wo-SN"/>
        </w:rPr>
        <w:t>5</w:t>
      </w:r>
      <w:r w:rsidRPr="001C4517">
        <w:rPr>
          <w:rFonts w:ascii="Century Gothic" w:hAnsi="Century Gothic"/>
          <w:lang w:val="wo-SN"/>
        </w:rPr>
        <w:t>] https://unfccc.int/resource/docs/napa/mau01f.pdf</w:t>
      </w:r>
    </w:p>
    <w:p w14:paraId="604DE8BA" w14:textId="05E90986" w:rsidR="002376A5" w:rsidRPr="001C4517" w:rsidRDefault="002376A5" w:rsidP="006A1C9E">
      <w:pPr>
        <w:jc w:val="both"/>
        <w:rPr>
          <w:rFonts w:ascii="Century Gothic" w:hAnsi="Century Gothic"/>
          <w:lang w:val="wo-SN"/>
        </w:rPr>
      </w:pPr>
      <w:r w:rsidRPr="001C4517">
        <w:rPr>
          <w:rFonts w:ascii="Century Gothic" w:hAnsi="Century Gothic"/>
          <w:lang w:val="wo-SN"/>
        </w:rPr>
        <w:t>[</w:t>
      </w:r>
      <w:r w:rsidR="00017AF9">
        <w:rPr>
          <w:rFonts w:ascii="Century Gothic" w:hAnsi="Century Gothic"/>
          <w:lang w:val="wo-SN"/>
        </w:rPr>
        <w:t>46</w:t>
      </w:r>
      <w:r w:rsidRPr="001C4517">
        <w:rPr>
          <w:rFonts w:ascii="Century Gothic" w:hAnsi="Century Gothic"/>
          <w:lang w:val="wo-SN"/>
        </w:rPr>
        <w:t>]http://www.environnement.gov.mr/fr/images/strategies/Strategie_Nationale_de_Conservation_des_Zones_Humides.pdf</w:t>
      </w:r>
    </w:p>
    <w:p w14:paraId="27E60EE6" w14:textId="5E52E368" w:rsidR="002376A5" w:rsidRPr="001C4517" w:rsidRDefault="002376A5" w:rsidP="006A1C9E">
      <w:pPr>
        <w:jc w:val="both"/>
        <w:rPr>
          <w:rFonts w:ascii="Century Gothic" w:hAnsi="Century Gothic"/>
          <w:lang w:val="wo-SN"/>
        </w:rPr>
      </w:pPr>
      <w:r w:rsidRPr="001C4517">
        <w:rPr>
          <w:rFonts w:ascii="Century Gothic" w:hAnsi="Century Gothic"/>
          <w:lang w:val="wo-SN"/>
        </w:rPr>
        <w:t>[</w:t>
      </w:r>
      <w:r w:rsidR="00017AF9">
        <w:rPr>
          <w:rFonts w:ascii="Century Gothic" w:hAnsi="Century Gothic"/>
          <w:lang w:val="wo-SN"/>
        </w:rPr>
        <w:t>47</w:t>
      </w:r>
      <w:r w:rsidRPr="001C4517">
        <w:rPr>
          <w:rFonts w:ascii="Century Gothic" w:hAnsi="Century Gothic"/>
          <w:lang w:val="wo-SN"/>
        </w:rPr>
        <w:t>] https://www.angmv-mr.com/reunion-avec-les-experts-de-l-uicn/</w:t>
      </w:r>
    </w:p>
    <w:p w14:paraId="3FD6538A" w14:textId="73DEC69A" w:rsidR="002376A5" w:rsidRPr="001C4517" w:rsidRDefault="002376A5" w:rsidP="006A1C9E">
      <w:pPr>
        <w:jc w:val="both"/>
        <w:rPr>
          <w:rFonts w:ascii="Century Gothic" w:hAnsi="Century Gothic"/>
          <w:lang w:val="wo-SN"/>
        </w:rPr>
      </w:pPr>
      <w:r w:rsidRPr="001C4517">
        <w:rPr>
          <w:rFonts w:ascii="Century Gothic" w:hAnsi="Century Gothic"/>
          <w:lang w:val="wo-SN"/>
        </w:rPr>
        <w:t>[</w:t>
      </w:r>
      <w:r w:rsidR="00017AF9">
        <w:rPr>
          <w:rFonts w:ascii="Century Gothic" w:hAnsi="Century Gothic"/>
          <w:lang w:val="wo-SN"/>
        </w:rPr>
        <w:t>48</w:t>
      </w:r>
      <w:r w:rsidRPr="001C4517">
        <w:rPr>
          <w:rFonts w:ascii="Century Gothic" w:hAnsi="Century Gothic"/>
          <w:lang w:val="wo-SN"/>
        </w:rPr>
        <w:t>] https://www.fao.org/faolex/results/details/en/c/LEX-FAOC188807/</w:t>
      </w:r>
    </w:p>
    <w:p w14:paraId="1C4FA1A3" w14:textId="17C6B19C" w:rsidR="002376A5" w:rsidRPr="001C4517" w:rsidRDefault="002376A5" w:rsidP="006A1C9E">
      <w:pPr>
        <w:jc w:val="both"/>
        <w:rPr>
          <w:rFonts w:ascii="Century Gothic" w:hAnsi="Century Gothic"/>
          <w:lang w:val="wo-SN"/>
        </w:rPr>
      </w:pPr>
      <w:r w:rsidRPr="001C4517">
        <w:rPr>
          <w:rFonts w:ascii="Century Gothic" w:hAnsi="Century Gothic"/>
          <w:lang w:val="wo-SN"/>
        </w:rPr>
        <w:t>[</w:t>
      </w:r>
      <w:r w:rsidR="00017AF9">
        <w:rPr>
          <w:rFonts w:ascii="Century Gothic" w:hAnsi="Century Gothic"/>
          <w:lang w:val="wo-SN"/>
        </w:rPr>
        <w:t>49</w:t>
      </w:r>
      <w:r w:rsidRPr="001C4517">
        <w:rPr>
          <w:rFonts w:ascii="Century Gothic" w:hAnsi="Century Gothic"/>
          <w:lang w:val="wo-SN"/>
        </w:rPr>
        <w:t>] https://www.afdb.org/sites/default/files/nies_mise_en_defens_beribavatt.pdf</w:t>
      </w:r>
    </w:p>
    <w:p w14:paraId="7CB0E0D4" w14:textId="3F6BC29A" w:rsidR="000756EC" w:rsidRPr="001C4517" w:rsidRDefault="002376A5" w:rsidP="006A1C9E">
      <w:pPr>
        <w:jc w:val="both"/>
        <w:rPr>
          <w:rFonts w:ascii="Century Gothic" w:hAnsi="Century Gothic"/>
          <w:lang w:val="wo-SN"/>
        </w:rPr>
      </w:pPr>
      <w:r w:rsidRPr="001C4517">
        <w:rPr>
          <w:rFonts w:ascii="Century Gothic" w:hAnsi="Century Gothic"/>
          <w:lang w:val="wo-SN"/>
        </w:rPr>
        <w:t>[</w:t>
      </w:r>
      <w:r w:rsidR="00505227">
        <w:rPr>
          <w:rFonts w:ascii="Century Gothic" w:hAnsi="Century Gothic"/>
          <w:lang w:val="wo-SN"/>
        </w:rPr>
        <w:t>5</w:t>
      </w:r>
      <w:r w:rsidR="00017AF9">
        <w:rPr>
          <w:rFonts w:ascii="Century Gothic" w:hAnsi="Century Gothic"/>
          <w:lang w:val="wo-SN"/>
        </w:rPr>
        <w:t>0</w:t>
      </w:r>
      <w:r w:rsidRPr="001C4517">
        <w:rPr>
          <w:rFonts w:ascii="Century Gothic" w:hAnsi="Century Gothic"/>
          <w:lang w:val="wo-SN"/>
        </w:rPr>
        <w:t>] https://beta.mr/docs/word/TdRs_Strategie_de_communication_3.docx</w:t>
      </w:r>
    </w:p>
    <w:p w14:paraId="28AE2BD0" w14:textId="653B302E" w:rsidR="000756EC" w:rsidRPr="001C4517" w:rsidRDefault="000756EC" w:rsidP="002C1BF6">
      <w:pPr>
        <w:ind w:right="-709"/>
        <w:jc w:val="both"/>
        <w:rPr>
          <w:rFonts w:ascii="Century Gothic" w:hAnsi="Century Gothic"/>
          <w:lang w:val="wo-SN"/>
        </w:rPr>
      </w:pPr>
      <w:r w:rsidRPr="001C4517">
        <w:rPr>
          <w:rFonts w:ascii="Century Gothic" w:hAnsi="Century Gothic"/>
          <w:lang w:val="wo-SN"/>
        </w:rPr>
        <w:t>[</w:t>
      </w:r>
      <w:r w:rsidR="00505227">
        <w:rPr>
          <w:rFonts w:ascii="Century Gothic" w:hAnsi="Century Gothic"/>
          <w:lang w:val="wo-SN"/>
        </w:rPr>
        <w:t>5</w:t>
      </w:r>
      <w:r w:rsidR="00017AF9">
        <w:rPr>
          <w:rFonts w:ascii="Century Gothic" w:hAnsi="Century Gothic"/>
          <w:lang w:val="wo-SN"/>
        </w:rPr>
        <w:t>1</w:t>
      </w:r>
      <w:r w:rsidRPr="001C4517">
        <w:rPr>
          <w:rFonts w:ascii="Century Gothic" w:hAnsi="Century Gothic"/>
          <w:lang w:val="wo-SN"/>
        </w:rPr>
        <w:t>]https://iucn.org/sites/default/files/import/downloads/parcc_cc_pas_communities_fr.pdf</w:t>
      </w:r>
    </w:p>
    <w:p w14:paraId="3CD39BB6" w14:textId="5FE02C92" w:rsidR="000756EC" w:rsidRPr="001C4517" w:rsidRDefault="000756EC" w:rsidP="006A1C9E">
      <w:pPr>
        <w:jc w:val="both"/>
        <w:rPr>
          <w:rFonts w:ascii="Century Gothic" w:hAnsi="Century Gothic"/>
          <w:lang w:val="wo-SN"/>
        </w:rPr>
      </w:pPr>
      <w:r w:rsidRPr="001C4517">
        <w:rPr>
          <w:rFonts w:ascii="Century Gothic" w:hAnsi="Century Gothic"/>
          <w:lang w:val="wo-SN"/>
        </w:rPr>
        <w:t>[</w:t>
      </w:r>
      <w:r w:rsidR="00505227">
        <w:rPr>
          <w:rFonts w:ascii="Century Gothic" w:hAnsi="Century Gothic"/>
          <w:lang w:val="wo-SN"/>
        </w:rPr>
        <w:t>5</w:t>
      </w:r>
      <w:r w:rsidR="00017AF9">
        <w:rPr>
          <w:rFonts w:ascii="Century Gothic" w:hAnsi="Century Gothic"/>
          <w:lang w:val="wo-SN"/>
        </w:rPr>
        <w:t>2</w:t>
      </w:r>
      <w:r w:rsidRPr="001C4517">
        <w:rPr>
          <w:rFonts w:ascii="Century Gothic" w:hAnsi="Century Gothic"/>
          <w:lang w:val="wo-SN"/>
        </w:rPr>
        <w:t>]http://parcc.protectedplanet.net/system/comfy/cms/files/files/000/000/164/original/PARCC_FR_WEB.pdf</w:t>
      </w:r>
    </w:p>
    <w:p w14:paraId="1D096418" w14:textId="3C8FE8C3" w:rsidR="000756EC" w:rsidRPr="001C4517" w:rsidRDefault="000756EC" w:rsidP="002C1BF6">
      <w:pPr>
        <w:ind w:right="-142"/>
        <w:jc w:val="both"/>
        <w:rPr>
          <w:rFonts w:ascii="Century Gothic" w:hAnsi="Century Gothic"/>
          <w:lang w:val="wo-SN"/>
        </w:rPr>
      </w:pPr>
      <w:r w:rsidRPr="001C4517">
        <w:rPr>
          <w:rFonts w:ascii="Century Gothic" w:hAnsi="Century Gothic"/>
          <w:lang w:val="wo-SN"/>
        </w:rPr>
        <w:t>[</w:t>
      </w:r>
      <w:r w:rsidR="00505227">
        <w:rPr>
          <w:rFonts w:ascii="Century Gothic" w:hAnsi="Century Gothic"/>
          <w:lang w:val="wo-SN"/>
        </w:rPr>
        <w:t>5</w:t>
      </w:r>
      <w:r w:rsidR="00017AF9">
        <w:rPr>
          <w:rFonts w:ascii="Century Gothic" w:hAnsi="Century Gothic"/>
          <w:lang w:val="wo-SN"/>
        </w:rPr>
        <w:t>3</w:t>
      </w:r>
      <w:r w:rsidRPr="001C4517">
        <w:rPr>
          <w:rFonts w:ascii="Century Gothic" w:hAnsi="Century Gothic"/>
          <w:lang w:val="wo-SN"/>
        </w:rPr>
        <w:t>]https://www.fao.org/forestryfao/292770a57890bfbed897c1b0d1de4b6cffe7bc.pdf</w:t>
      </w:r>
    </w:p>
    <w:p w14:paraId="6DA5075A" w14:textId="18ABD60E" w:rsidR="006846A9" w:rsidRPr="001C4517" w:rsidRDefault="000756EC" w:rsidP="006A1C9E">
      <w:pPr>
        <w:jc w:val="both"/>
        <w:rPr>
          <w:rFonts w:ascii="Century Gothic" w:hAnsi="Century Gothic"/>
          <w:lang w:val="wo-SN"/>
        </w:rPr>
      </w:pPr>
      <w:r w:rsidRPr="001C4517">
        <w:rPr>
          <w:rFonts w:ascii="Century Gothic" w:hAnsi="Century Gothic"/>
          <w:lang w:val="wo-SN"/>
        </w:rPr>
        <w:t>[</w:t>
      </w:r>
      <w:r w:rsidR="00505227">
        <w:rPr>
          <w:rFonts w:ascii="Century Gothic" w:hAnsi="Century Gothic"/>
          <w:lang w:val="wo-SN"/>
        </w:rPr>
        <w:t>5</w:t>
      </w:r>
      <w:r w:rsidR="00017AF9">
        <w:rPr>
          <w:rFonts w:ascii="Century Gothic" w:hAnsi="Century Gothic"/>
          <w:lang w:val="wo-SN"/>
        </w:rPr>
        <w:t>4</w:t>
      </w:r>
      <w:r w:rsidRPr="001C4517">
        <w:rPr>
          <w:rFonts w:ascii="Century Gothic" w:hAnsi="Century Gothic"/>
          <w:lang w:val="wo-SN"/>
        </w:rPr>
        <w:t>] https://www.fao.org/fishery/fr/openasfa/761154a5-295f-47f1-bf0d-a3a730ff3019</w:t>
      </w:r>
    </w:p>
    <w:p w14:paraId="566C8220" w14:textId="07015002" w:rsidR="006846A9" w:rsidRPr="001C4517" w:rsidRDefault="006846A9" w:rsidP="006A1C9E">
      <w:pPr>
        <w:jc w:val="both"/>
        <w:rPr>
          <w:rFonts w:ascii="Century Gothic" w:hAnsi="Century Gothic"/>
          <w:lang w:val="wo-SN"/>
        </w:rPr>
      </w:pPr>
      <w:r w:rsidRPr="001C4517">
        <w:rPr>
          <w:rFonts w:ascii="Century Gothic" w:hAnsi="Century Gothic"/>
          <w:lang w:val="wo-SN"/>
        </w:rPr>
        <w:t>[</w:t>
      </w:r>
      <w:r w:rsidR="007E7C2E">
        <w:rPr>
          <w:rFonts w:ascii="Century Gothic" w:hAnsi="Century Gothic"/>
          <w:lang w:val="wo-SN"/>
        </w:rPr>
        <w:t>5</w:t>
      </w:r>
      <w:r w:rsidR="00017AF9">
        <w:rPr>
          <w:rFonts w:ascii="Century Gothic" w:hAnsi="Century Gothic"/>
          <w:lang w:val="wo-SN"/>
        </w:rPr>
        <w:t>5</w:t>
      </w:r>
      <w:r w:rsidRPr="001C4517">
        <w:rPr>
          <w:rFonts w:ascii="Century Gothic" w:hAnsi="Century Gothic"/>
          <w:lang w:val="wo-SN"/>
        </w:rPr>
        <w:t>] https://unfccc.int/resource/docs/napa/mau01f.pdf</w:t>
      </w:r>
    </w:p>
    <w:p w14:paraId="4BC6DCDF" w14:textId="0E0CC820" w:rsidR="00C91B22" w:rsidRPr="001C4517" w:rsidRDefault="006846A9" w:rsidP="006A1C9E">
      <w:pPr>
        <w:jc w:val="both"/>
        <w:rPr>
          <w:rFonts w:ascii="Century Gothic" w:hAnsi="Century Gothic"/>
          <w:lang w:val="wo-SN"/>
        </w:rPr>
      </w:pPr>
      <w:r w:rsidRPr="001C4517">
        <w:rPr>
          <w:rFonts w:ascii="Century Gothic" w:hAnsi="Century Gothic"/>
          <w:lang w:val="wo-SN"/>
        </w:rPr>
        <w:t>[</w:t>
      </w:r>
      <w:r w:rsidR="00017AF9">
        <w:rPr>
          <w:rFonts w:ascii="Century Gothic" w:hAnsi="Century Gothic"/>
          <w:lang w:val="wo-SN"/>
        </w:rPr>
        <w:t>56</w:t>
      </w:r>
      <w:r w:rsidRPr="001C4517">
        <w:rPr>
          <w:rFonts w:ascii="Century Gothic" w:hAnsi="Century Gothic"/>
          <w:lang w:val="wo-SN"/>
        </w:rPr>
        <w:t xml:space="preserve">] </w:t>
      </w:r>
      <w:hyperlink r:id="rId178" w:history="1">
        <w:r w:rsidR="00C91B22" w:rsidRPr="001C4517">
          <w:rPr>
            <w:rFonts w:ascii="Century Gothic" w:hAnsi="Century Gothic"/>
            <w:lang w:val="wo-SN"/>
          </w:rPr>
          <w:t>https://dev-chm.cbd.int/doc/world/mr/mr-nbsap-v2-fr.pdf</w:t>
        </w:r>
      </w:hyperlink>
    </w:p>
    <w:p w14:paraId="62A3582B" w14:textId="03E325C4" w:rsidR="00C91B22" w:rsidRPr="001C4517" w:rsidRDefault="00C91B22" w:rsidP="006A1C9E">
      <w:pPr>
        <w:jc w:val="both"/>
        <w:rPr>
          <w:rFonts w:ascii="Century Gothic" w:hAnsi="Century Gothic"/>
          <w:lang w:val="wo-SN"/>
        </w:rPr>
      </w:pPr>
      <w:r w:rsidRPr="001C4517">
        <w:rPr>
          <w:rFonts w:ascii="Century Gothic" w:hAnsi="Century Gothic"/>
          <w:lang w:val="wo-SN"/>
        </w:rPr>
        <w:t>[</w:t>
      </w:r>
      <w:r w:rsidR="00017AF9">
        <w:rPr>
          <w:rFonts w:ascii="Century Gothic" w:hAnsi="Century Gothic"/>
          <w:lang w:val="wo-SN"/>
        </w:rPr>
        <w:t>57</w:t>
      </w:r>
      <w:r w:rsidRPr="001C4517">
        <w:rPr>
          <w:rFonts w:ascii="Century Gothic" w:hAnsi="Century Gothic"/>
          <w:lang w:val="wo-SN"/>
        </w:rPr>
        <w:t>] https://faolex.fao.org/docs/pdf/Mau188807.pdf</w:t>
      </w:r>
    </w:p>
    <w:p w14:paraId="0579FDFE" w14:textId="2FBAF927" w:rsidR="00C91B22" w:rsidRPr="001C4517" w:rsidRDefault="00C91B22" w:rsidP="006A1C9E">
      <w:pPr>
        <w:jc w:val="both"/>
        <w:rPr>
          <w:rFonts w:ascii="Century Gothic" w:hAnsi="Century Gothic"/>
          <w:lang w:val="wo-SN"/>
        </w:rPr>
      </w:pPr>
      <w:r w:rsidRPr="001C4517">
        <w:rPr>
          <w:rFonts w:ascii="Century Gothic" w:hAnsi="Century Gothic"/>
          <w:lang w:val="wo-SN"/>
        </w:rPr>
        <w:t>[</w:t>
      </w:r>
      <w:r w:rsidR="00017AF9">
        <w:rPr>
          <w:rFonts w:ascii="Century Gothic" w:hAnsi="Century Gothic"/>
          <w:lang w:val="wo-SN"/>
        </w:rPr>
        <w:t>58</w:t>
      </w:r>
      <w:r w:rsidRPr="001C4517">
        <w:rPr>
          <w:rFonts w:ascii="Century Gothic" w:hAnsi="Century Gothic"/>
          <w:lang w:val="wo-SN"/>
        </w:rPr>
        <w:t xml:space="preserve">] </w:t>
      </w:r>
      <w:hyperlink r:id="rId179" w:history="1">
        <w:r w:rsidRPr="001C4517">
          <w:rPr>
            <w:rFonts w:ascii="Century Gothic" w:hAnsi="Century Gothic"/>
            <w:lang w:val="wo-SN"/>
          </w:rPr>
          <w:t>https://dev-chm.cbd.int/doc/world/mr/mr-nbsap-v2-fr.pdf</w:t>
        </w:r>
      </w:hyperlink>
    </w:p>
    <w:p w14:paraId="4A238445" w14:textId="5B97D373" w:rsidR="001C4517" w:rsidRPr="001C4517" w:rsidRDefault="001C4517" w:rsidP="006A1C9E">
      <w:pPr>
        <w:pStyle w:val="NormalWeb"/>
        <w:spacing w:before="0" w:beforeAutospacing="0" w:after="0" w:afterAutospacing="0"/>
        <w:jc w:val="both"/>
        <w:rPr>
          <w:rFonts w:ascii="Century Gothic" w:hAnsi="Century Gothic"/>
          <w:sz w:val="22"/>
          <w:szCs w:val="22"/>
        </w:rPr>
      </w:pPr>
      <w:r w:rsidRPr="001C4517">
        <w:rPr>
          <w:rFonts w:ascii="Century Gothic" w:hAnsi="Century Gothic"/>
          <w:sz w:val="22"/>
          <w:szCs w:val="22"/>
        </w:rPr>
        <w:t>[</w:t>
      </w:r>
      <w:r w:rsidR="00017AF9">
        <w:rPr>
          <w:rFonts w:ascii="Century Gothic" w:hAnsi="Century Gothic"/>
          <w:sz w:val="22"/>
          <w:szCs w:val="22"/>
        </w:rPr>
        <w:t>59</w:t>
      </w:r>
      <w:r w:rsidRPr="001C4517">
        <w:rPr>
          <w:rFonts w:ascii="Century Gothic" w:hAnsi="Century Gothic"/>
          <w:sz w:val="22"/>
          <w:szCs w:val="22"/>
        </w:rPr>
        <w:t>]https://www.afdb.org/sites/default/files/documents/publications/banque_africaine_de_developpement_-_cadre_strategique_sur_le_changement_climatique_-_strategie_2021-2030.pdf</w:t>
      </w:r>
    </w:p>
    <w:p w14:paraId="133DFAB0" w14:textId="77777777" w:rsidR="00C91B22" w:rsidRDefault="00C91B22" w:rsidP="006A1C9E">
      <w:pPr>
        <w:jc w:val="both"/>
        <w:rPr>
          <w:rFonts w:ascii="Century Gothic" w:hAnsi="Century Gothic"/>
          <w:lang w:val="wo-SN"/>
        </w:rPr>
      </w:pPr>
    </w:p>
    <w:p w14:paraId="6DA33D30" w14:textId="77777777" w:rsidR="008F2269" w:rsidRDefault="008F2269" w:rsidP="006A1C9E">
      <w:pPr>
        <w:jc w:val="both"/>
        <w:rPr>
          <w:rFonts w:ascii="Century Gothic" w:hAnsi="Century Gothic"/>
          <w:lang w:val="wo-SN"/>
        </w:rPr>
      </w:pPr>
    </w:p>
    <w:p w14:paraId="0D14B5FB" w14:textId="77777777" w:rsidR="008F2269" w:rsidRDefault="008F2269" w:rsidP="006A1C9E">
      <w:pPr>
        <w:jc w:val="both"/>
        <w:rPr>
          <w:rFonts w:ascii="Century Gothic" w:hAnsi="Century Gothic"/>
          <w:lang w:val="wo-SN"/>
        </w:rPr>
      </w:pPr>
    </w:p>
    <w:p w14:paraId="0F2A66D1" w14:textId="77777777" w:rsidR="008F2269" w:rsidRDefault="008F2269" w:rsidP="006A1C9E">
      <w:pPr>
        <w:jc w:val="both"/>
        <w:rPr>
          <w:rFonts w:ascii="Century Gothic" w:hAnsi="Century Gothic"/>
          <w:lang w:val="wo-SN"/>
        </w:rPr>
      </w:pPr>
    </w:p>
    <w:p w14:paraId="5343BC82" w14:textId="77777777" w:rsidR="008F2269" w:rsidRDefault="008F2269" w:rsidP="006A1C9E">
      <w:pPr>
        <w:jc w:val="both"/>
        <w:rPr>
          <w:rFonts w:ascii="Century Gothic" w:hAnsi="Century Gothic"/>
          <w:lang w:val="wo-SN"/>
        </w:rPr>
      </w:pPr>
    </w:p>
    <w:p w14:paraId="1969AF64" w14:textId="77777777" w:rsidR="008F2269" w:rsidRPr="004E687C" w:rsidRDefault="008F2269" w:rsidP="008F2269">
      <w:pPr>
        <w:rPr>
          <w:lang w:val="wo-SN"/>
        </w:rPr>
      </w:pPr>
    </w:p>
    <w:tbl>
      <w:tblPr>
        <w:tblpPr w:leftFromText="141" w:rightFromText="141" w:vertAnchor="text" w:horzAnchor="margin" w:tblpY="-302"/>
        <w:tblW w:w="9062" w:type="dxa"/>
        <w:tblCellMar>
          <w:left w:w="10" w:type="dxa"/>
          <w:right w:w="10" w:type="dxa"/>
        </w:tblCellMar>
        <w:tblLook w:val="0000" w:firstRow="0" w:lastRow="0" w:firstColumn="0" w:lastColumn="0" w:noHBand="0" w:noVBand="0"/>
      </w:tblPr>
      <w:tblGrid>
        <w:gridCol w:w="3020"/>
        <w:gridCol w:w="3021"/>
        <w:gridCol w:w="3021"/>
      </w:tblGrid>
      <w:tr w:rsidR="008F2269" w:rsidRPr="00275D3E" w14:paraId="4B6EAC3B" w14:textId="77777777" w:rsidTr="002D1362">
        <w:trPr>
          <w:trHeight w:val="966"/>
        </w:trPr>
        <w:tc>
          <w:tcPr>
            <w:tcW w:w="3020" w:type="dxa"/>
            <w:tcBorders>
              <w:bottom w:val="single" w:sz="18" w:space="0" w:color="2F5496"/>
            </w:tcBorders>
            <w:shd w:val="clear" w:color="auto" w:fill="auto"/>
            <w:tcMar>
              <w:top w:w="0" w:type="dxa"/>
              <w:left w:w="108" w:type="dxa"/>
              <w:bottom w:w="0" w:type="dxa"/>
              <w:right w:w="108" w:type="dxa"/>
            </w:tcMar>
          </w:tcPr>
          <w:p w14:paraId="067A601B" w14:textId="77777777" w:rsidR="008F2269" w:rsidRPr="004E687C" w:rsidRDefault="008F2269" w:rsidP="002D1362">
            <w:pPr>
              <w:spacing w:after="0"/>
              <w:rPr>
                <w:rFonts w:cstheme="minorHAnsi"/>
                <w:lang w:val="wo-SN"/>
              </w:rPr>
            </w:pPr>
            <w:r w:rsidRPr="004E687C">
              <w:rPr>
                <w:rFonts w:cstheme="minorHAnsi"/>
                <w:b/>
                <w:noProof/>
                <w:color w:val="555555"/>
                <w:sz w:val="28"/>
                <w:szCs w:val="28"/>
                <w:lang w:val="wo-SN" w:eastAsia="fr-FR"/>
              </w:rPr>
              <w:t xml:space="preserve"> </w:t>
            </w:r>
          </w:p>
          <w:p w14:paraId="1FC597F2" w14:textId="77777777" w:rsidR="008F2269" w:rsidRPr="004E687C" w:rsidRDefault="008F2269" w:rsidP="002D1362">
            <w:pPr>
              <w:spacing w:after="0"/>
              <w:rPr>
                <w:rFonts w:cstheme="minorHAnsi"/>
                <w:lang w:val="wo-SN"/>
              </w:rPr>
            </w:pPr>
          </w:p>
        </w:tc>
        <w:tc>
          <w:tcPr>
            <w:tcW w:w="3021" w:type="dxa"/>
            <w:tcBorders>
              <w:bottom w:val="single" w:sz="18" w:space="0" w:color="2F5496"/>
            </w:tcBorders>
            <w:shd w:val="clear" w:color="auto" w:fill="auto"/>
            <w:tcMar>
              <w:top w:w="0" w:type="dxa"/>
              <w:left w:w="108" w:type="dxa"/>
              <w:bottom w:w="0" w:type="dxa"/>
              <w:right w:w="108" w:type="dxa"/>
            </w:tcMar>
          </w:tcPr>
          <w:p w14:paraId="7A62D1DD" w14:textId="77777777" w:rsidR="008F2269" w:rsidRPr="004E687C" w:rsidRDefault="008F2269" w:rsidP="002D1362">
            <w:pPr>
              <w:spacing w:after="0"/>
              <w:jc w:val="center"/>
              <w:rPr>
                <w:rFonts w:cstheme="minorHAnsi"/>
                <w:sz w:val="28"/>
                <w:szCs w:val="28"/>
                <w:lang w:val="wo-SN"/>
              </w:rPr>
            </w:pPr>
            <w:r w:rsidRPr="004E687C">
              <w:rPr>
                <w:rFonts w:cstheme="minorHAnsi"/>
                <w:noProof/>
                <w:color w:val="4472C4"/>
                <w:sz w:val="28"/>
                <w:szCs w:val="28"/>
                <w:lang w:val="wo-SN" w:eastAsia="fr-FR"/>
              </w:rPr>
              <w:t xml:space="preserve">  </w:t>
            </w:r>
          </w:p>
        </w:tc>
        <w:tc>
          <w:tcPr>
            <w:tcW w:w="3021" w:type="dxa"/>
            <w:tcBorders>
              <w:bottom w:val="single" w:sz="18" w:space="0" w:color="2F5496"/>
            </w:tcBorders>
            <w:shd w:val="clear" w:color="auto" w:fill="auto"/>
            <w:tcMar>
              <w:top w:w="0" w:type="dxa"/>
              <w:left w:w="108" w:type="dxa"/>
              <w:bottom w:w="0" w:type="dxa"/>
              <w:right w:w="108" w:type="dxa"/>
            </w:tcMar>
          </w:tcPr>
          <w:p w14:paraId="3C19F8E8" w14:textId="77777777" w:rsidR="008F2269" w:rsidRPr="004E687C" w:rsidRDefault="008F2269" w:rsidP="002D1362">
            <w:pPr>
              <w:spacing w:after="0"/>
              <w:jc w:val="right"/>
              <w:rPr>
                <w:rFonts w:cstheme="minorHAnsi"/>
                <w:sz w:val="28"/>
                <w:szCs w:val="28"/>
                <w:lang w:val="wo-SN"/>
              </w:rPr>
            </w:pPr>
            <w:r w:rsidRPr="004E687C">
              <w:rPr>
                <w:rFonts w:cstheme="minorHAnsi"/>
                <w:noProof/>
                <w:color w:val="4472C4"/>
                <w:sz w:val="28"/>
                <w:szCs w:val="28"/>
                <w:lang w:val="wo-SN" w:eastAsia="fr-FR"/>
              </w:rPr>
              <w:t xml:space="preserve">  </w:t>
            </w:r>
          </w:p>
        </w:tc>
      </w:tr>
    </w:tbl>
    <w:p w14:paraId="6FD22601" w14:textId="77777777" w:rsidR="008F2269" w:rsidRPr="00FF34DC" w:rsidRDefault="008F2269" w:rsidP="008F2269">
      <w:pPr>
        <w:jc w:val="center"/>
        <w:rPr>
          <w:rFonts w:ascii="Times New Roman" w:hAnsi="Times New Roman" w:cs="Times New Roman"/>
          <w:b/>
          <w:bCs/>
          <w:sz w:val="28"/>
          <w:szCs w:val="28"/>
        </w:rPr>
      </w:pPr>
      <w:bookmarkStart w:id="54" w:name="_Hlk166954844"/>
      <w:bookmarkEnd w:id="54"/>
      <w:r w:rsidRPr="00FF34DC">
        <w:rPr>
          <w:rFonts w:ascii="Times New Roman" w:hAnsi="Times New Roman" w:cs="Times New Roman"/>
          <w:b/>
          <w:bCs/>
          <w:sz w:val="28"/>
          <w:szCs w:val="28"/>
        </w:rPr>
        <w:t>République Islamique de Mauritanie</w:t>
      </w:r>
    </w:p>
    <w:p w14:paraId="6C08D4A5" w14:textId="77777777" w:rsidR="008F2269" w:rsidRPr="00FF34DC" w:rsidRDefault="008F2269" w:rsidP="008F2269">
      <w:pPr>
        <w:jc w:val="center"/>
        <w:rPr>
          <w:rFonts w:ascii="Times New Roman" w:hAnsi="Times New Roman" w:cs="Times New Roman"/>
          <w:b/>
          <w:bCs/>
        </w:rPr>
      </w:pPr>
      <w:r w:rsidRPr="00FF34DC">
        <w:rPr>
          <w:rFonts w:ascii="Times New Roman" w:hAnsi="Times New Roman" w:cs="Times New Roman"/>
          <w:b/>
          <w:bCs/>
        </w:rPr>
        <w:t>Honneur-Fraternité-Justice</w:t>
      </w:r>
    </w:p>
    <w:p w14:paraId="29D2A784" w14:textId="77777777" w:rsidR="008F2269" w:rsidRPr="00FF34DC" w:rsidRDefault="008F2269" w:rsidP="008F2269">
      <w:pPr>
        <w:jc w:val="center"/>
        <w:rPr>
          <w:rFonts w:ascii="Times New Roman" w:hAnsi="Times New Roman" w:cs="Times New Roman"/>
          <w:sz w:val="28"/>
          <w:szCs w:val="28"/>
        </w:rPr>
      </w:pPr>
      <w:r w:rsidRPr="00FF34DC">
        <w:rPr>
          <w:rFonts w:ascii="Times New Roman" w:hAnsi="Times New Roman" w:cs="Times New Roman"/>
          <w:noProof/>
          <w:lang w:eastAsia="fr-FR"/>
        </w:rPr>
        <w:drawing>
          <wp:inline distT="0" distB="0" distL="0" distR="0" wp14:anchorId="28BBF493" wp14:editId="4DA2659F">
            <wp:extent cx="983615" cy="789234"/>
            <wp:effectExtent l="0" t="0" r="6985" b="0"/>
            <wp:docPr id="421058367" name="Image 1" descr="Sceau de la Mauritani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eau de la Mauritanie — Wikipédia"/>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052499" cy="844505"/>
                    </a:xfrm>
                    <a:prstGeom prst="rect">
                      <a:avLst/>
                    </a:prstGeom>
                    <a:noFill/>
                    <a:ln>
                      <a:noFill/>
                    </a:ln>
                  </pic:spPr>
                </pic:pic>
              </a:graphicData>
            </a:graphic>
          </wp:inline>
        </w:drawing>
      </w:r>
    </w:p>
    <w:p w14:paraId="11714A3F" w14:textId="77777777" w:rsidR="008F2269" w:rsidRPr="00EE70BA" w:rsidRDefault="008F2269" w:rsidP="008F2269">
      <w:pPr>
        <w:jc w:val="center"/>
        <w:rPr>
          <w:rFonts w:ascii="Times New Roman" w:hAnsi="Times New Roman" w:cs="Times New Roman"/>
          <w:b/>
          <w:bCs/>
          <w:sz w:val="32"/>
          <w:szCs w:val="32"/>
        </w:rPr>
      </w:pPr>
      <w:r w:rsidRPr="00EE70BA">
        <w:rPr>
          <w:rFonts w:ascii="Times New Roman" w:hAnsi="Times New Roman" w:cs="Times New Roman"/>
          <w:b/>
          <w:bCs/>
          <w:sz w:val="32"/>
          <w:szCs w:val="32"/>
        </w:rPr>
        <w:t>Ministère de l’Environnement et du Développement Durable</w:t>
      </w:r>
    </w:p>
    <w:p w14:paraId="423A1DD1" w14:textId="77777777" w:rsidR="008F2269" w:rsidRPr="00EE70BA" w:rsidRDefault="008F2269" w:rsidP="00E36571">
      <w:pPr>
        <w:spacing w:after="0"/>
        <w:jc w:val="center"/>
        <w:rPr>
          <w:rFonts w:ascii="Times New Roman" w:hAnsi="Times New Roman" w:cs="Times New Roman"/>
          <w:b/>
          <w:bCs/>
          <w:sz w:val="32"/>
          <w:szCs w:val="32"/>
        </w:rPr>
      </w:pPr>
      <w:r w:rsidRPr="00EE70BA">
        <w:rPr>
          <w:rFonts w:ascii="Times New Roman" w:hAnsi="Times New Roman" w:cs="Times New Roman"/>
          <w:b/>
          <w:bCs/>
          <w:sz w:val="32"/>
          <w:szCs w:val="32"/>
        </w:rPr>
        <w:t>Direction du Climat et de l’Economie Verte</w:t>
      </w:r>
    </w:p>
    <w:p w14:paraId="4A96A6FA" w14:textId="77777777" w:rsidR="008F2269" w:rsidRPr="000277BA" w:rsidRDefault="008F2269" w:rsidP="008F2269">
      <w:pPr>
        <w:rPr>
          <w:rFonts w:cstheme="minorHAnsi"/>
          <w:sz w:val="2"/>
          <w:szCs w:val="2"/>
        </w:rPr>
      </w:pPr>
    </w:p>
    <w:p w14:paraId="1090ACAD" w14:textId="77777777" w:rsidR="008F2269" w:rsidRPr="00E36571" w:rsidRDefault="008F2269" w:rsidP="008F2269">
      <w:pPr>
        <w:spacing w:after="0" w:line="240" w:lineRule="auto"/>
        <w:jc w:val="center"/>
        <w:rPr>
          <w:rFonts w:cstheme="minorHAnsi"/>
          <w:b/>
          <w:caps/>
          <w:color w:val="000000"/>
          <w:sz w:val="24"/>
          <w:szCs w:val="24"/>
        </w:rPr>
      </w:pPr>
      <w:r w:rsidRPr="00E36571">
        <w:rPr>
          <w:rFonts w:cstheme="minorHAnsi"/>
          <w:b/>
          <w:caps/>
          <w:color w:val="000000"/>
          <w:sz w:val="24"/>
          <w:szCs w:val="24"/>
        </w:rPr>
        <w:t xml:space="preserve">UNITE DE GESTION DE LA CINQUIEME COMMUNICATION NATIONALE </w:t>
      </w:r>
    </w:p>
    <w:p w14:paraId="16C14DE8" w14:textId="186634F7" w:rsidR="008F2269" w:rsidRPr="00E36571" w:rsidRDefault="008F2269" w:rsidP="000277BA">
      <w:pPr>
        <w:jc w:val="center"/>
        <w:rPr>
          <w:rFonts w:cstheme="minorHAnsi"/>
          <w:b/>
          <w:caps/>
          <w:color w:val="000000"/>
          <w:sz w:val="24"/>
          <w:szCs w:val="24"/>
        </w:rPr>
      </w:pPr>
      <w:r w:rsidRPr="00E36571">
        <w:rPr>
          <w:rFonts w:cstheme="minorHAnsi"/>
          <w:b/>
          <w:caps/>
          <w:color w:val="000000"/>
          <w:sz w:val="24"/>
          <w:szCs w:val="24"/>
        </w:rPr>
        <w:t xml:space="preserve">SUR LES CHANGEMENTS CLIMATIQUES </w:t>
      </w:r>
    </w:p>
    <w:p w14:paraId="6D70E39B" w14:textId="3B973BD6" w:rsidR="008F2269" w:rsidRPr="00A826F3" w:rsidRDefault="00F06A9E" w:rsidP="00733B7D">
      <w:pPr>
        <w:spacing w:after="0"/>
        <w:ind w:left="-426" w:right="-851" w:firstLine="426"/>
        <w:jc w:val="center"/>
        <w:rPr>
          <w:rFonts w:cstheme="minorHAnsi"/>
          <w:b/>
          <w:bCs/>
          <w:color w:val="0070C0"/>
          <w:spacing w:val="-10"/>
          <w:kern w:val="28"/>
          <w:sz w:val="36"/>
          <w:szCs w:val="36"/>
        </w:rPr>
      </w:pPr>
      <w:r w:rsidRPr="00A826F3">
        <w:rPr>
          <w:rFonts w:cstheme="minorHAnsi"/>
          <w:b/>
          <w:bCs/>
          <w:spacing w:val="-10"/>
          <w:kern w:val="28"/>
          <w:sz w:val="36"/>
          <w:szCs w:val="36"/>
        </w:rPr>
        <w:t>Chapitre 3 :</w:t>
      </w:r>
      <w:r w:rsidR="008F2269" w:rsidRPr="00A826F3">
        <w:rPr>
          <w:rFonts w:ascii="Berlin Sans FB" w:hAnsi="Berlin Sans FB"/>
          <w:b/>
          <w:caps/>
          <w:sz w:val="36"/>
          <w:szCs w:val="36"/>
        </w:rPr>
        <w:t xml:space="preserve"> </w:t>
      </w:r>
      <w:r w:rsidR="008F2269" w:rsidRPr="00A826F3">
        <w:rPr>
          <w:rFonts w:cstheme="minorHAnsi"/>
          <w:b/>
          <w:bCs/>
          <w:spacing w:val="-10"/>
          <w:kern w:val="28"/>
          <w:sz w:val="36"/>
          <w:szCs w:val="36"/>
        </w:rPr>
        <w:t>Evaluation de la Vulnérabilité et Adaptation aux changements climatiques</w:t>
      </w:r>
      <w:r w:rsidR="008F2269" w:rsidRPr="00A826F3">
        <w:rPr>
          <w:rFonts w:cstheme="minorHAnsi"/>
          <w:b/>
          <w:bCs/>
          <w:color w:val="0070C0"/>
          <w:spacing w:val="-10"/>
          <w:kern w:val="28"/>
          <w:sz w:val="36"/>
          <w:szCs w:val="36"/>
        </w:rPr>
        <w:t xml:space="preserve"> d</w:t>
      </w:r>
      <w:r w:rsidR="00733B7D" w:rsidRPr="00A826F3">
        <w:rPr>
          <w:rFonts w:cstheme="minorHAnsi"/>
          <w:b/>
          <w:bCs/>
          <w:color w:val="0070C0"/>
          <w:spacing w:val="-10"/>
          <w:kern w:val="28"/>
          <w:sz w:val="36"/>
          <w:szCs w:val="36"/>
        </w:rPr>
        <w:t>u</w:t>
      </w:r>
      <w:r w:rsidR="008F2269" w:rsidRPr="00A826F3">
        <w:rPr>
          <w:rFonts w:cstheme="minorHAnsi"/>
          <w:b/>
          <w:bCs/>
          <w:color w:val="0070C0"/>
          <w:spacing w:val="-10"/>
          <w:kern w:val="28"/>
          <w:sz w:val="36"/>
          <w:szCs w:val="36"/>
        </w:rPr>
        <w:t xml:space="preserve"> </w:t>
      </w:r>
      <w:r w:rsidR="008F2269" w:rsidRPr="00733B7D">
        <w:rPr>
          <w:rFonts w:cstheme="minorHAnsi"/>
          <w:b/>
          <w:bCs/>
          <w:color w:val="0070C0"/>
          <w:spacing w:val="-10"/>
          <w:kern w:val="28"/>
          <w:sz w:val="36"/>
          <w:szCs w:val="36"/>
        </w:rPr>
        <w:t>Secteur</w:t>
      </w:r>
      <w:r w:rsidR="00733B7D">
        <w:rPr>
          <w:rFonts w:cstheme="minorHAnsi"/>
          <w:b/>
          <w:bCs/>
          <w:color w:val="0070C0"/>
          <w:spacing w:val="-10"/>
          <w:kern w:val="28"/>
          <w:sz w:val="36"/>
          <w:szCs w:val="36"/>
        </w:rPr>
        <w:t xml:space="preserve"> : </w:t>
      </w:r>
      <w:r w:rsidR="008F2269" w:rsidRPr="00733B7D">
        <w:rPr>
          <w:rFonts w:cstheme="minorHAnsi"/>
          <w:b/>
          <w:bCs/>
          <w:color w:val="0070C0"/>
          <w:spacing w:val="-10"/>
          <w:kern w:val="28"/>
          <w:sz w:val="36"/>
          <w:szCs w:val="36"/>
        </w:rPr>
        <w:t xml:space="preserve">Eaux </w:t>
      </w:r>
      <w:r w:rsidR="008F2269" w:rsidRPr="00A826F3">
        <w:rPr>
          <w:rFonts w:cstheme="minorHAnsi"/>
          <w:b/>
          <w:bCs/>
          <w:color w:val="0070C0"/>
          <w:spacing w:val="-10"/>
          <w:kern w:val="28"/>
          <w:sz w:val="36"/>
          <w:szCs w:val="36"/>
        </w:rPr>
        <w:t xml:space="preserve">de Surface, Barrages et Lacs) </w:t>
      </w:r>
    </w:p>
    <w:p w14:paraId="570A3E1E" w14:textId="77777777" w:rsidR="008F2269" w:rsidRPr="000277BA" w:rsidRDefault="008F2269" w:rsidP="008F2269">
      <w:pPr>
        <w:rPr>
          <w:rFonts w:cstheme="minorHAnsi"/>
          <w:b/>
          <w:sz w:val="2"/>
          <w:szCs w:val="2"/>
        </w:rPr>
      </w:pPr>
    </w:p>
    <w:p w14:paraId="10B6A8E5" w14:textId="77777777" w:rsidR="008F2269" w:rsidRPr="00A826F3" w:rsidRDefault="008F2269" w:rsidP="00E36571">
      <w:pPr>
        <w:spacing w:after="0"/>
        <w:jc w:val="center"/>
        <w:rPr>
          <w:rFonts w:ascii="Calibri" w:hAnsi="Calibri" w:cs="Calibri"/>
          <w:sz w:val="24"/>
          <w:szCs w:val="24"/>
        </w:rPr>
      </w:pPr>
      <w:r w:rsidRPr="00A826F3">
        <w:rPr>
          <w:rFonts w:ascii="Calibri" w:hAnsi="Calibri" w:cs="Calibri"/>
          <w:sz w:val="24"/>
          <w:szCs w:val="24"/>
        </w:rPr>
        <w:t>28 Octobre 2024</w:t>
      </w:r>
    </w:p>
    <w:p w14:paraId="4A7A00E7" w14:textId="77777777" w:rsidR="008F2269" w:rsidRPr="00A826F3" w:rsidRDefault="008F2269" w:rsidP="00E36571">
      <w:pPr>
        <w:spacing w:after="0"/>
        <w:jc w:val="center"/>
        <w:rPr>
          <w:rFonts w:ascii="Calibri" w:hAnsi="Calibri" w:cs="Calibri"/>
          <w:sz w:val="32"/>
          <w:szCs w:val="32"/>
        </w:rPr>
      </w:pPr>
      <w:r w:rsidRPr="00A826F3">
        <w:rPr>
          <w:rFonts w:ascii="Calibri" w:hAnsi="Calibri" w:cs="Calibri"/>
          <w:sz w:val="32"/>
          <w:szCs w:val="32"/>
        </w:rPr>
        <w:t xml:space="preserve">Consultant :  </w:t>
      </w:r>
      <w:r w:rsidRPr="00A826F3">
        <w:rPr>
          <w:rFonts w:ascii="Calibri" w:hAnsi="Calibri" w:cs="Calibri"/>
          <w:b/>
          <w:bCs/>
          <w:sz w:val="32"/>
          <w:szCs w:val="32"/>
        </w:rPr>
        <w:t>Djibril Sarr</w:t>
      </w:r>
      <w:r w:rsidRPr="00A826F3">
        <w:rPr>
          <w:rFonts w:ascii="Calibri" w:hAnsi="Calibri" w:cs="Calibri"/>
          <w:sz w:val="32"/>
          <w:szCs w:val="32"/>
        </w:rPr>
        <w:t xml:space="preserve"> </w:t>
      </w:r>
    </w:p>
    <w:p w14:paraId="45818219" w14:textId="77777777" w:rsidR="008F2269" w:rsidRPr="00A826F3" w:rsidRDefault="008F2269" w:rsidP="00E36571">
      <w:pPr>
        <w:spacing w:after="0"/>
        <w:jc w:val="center"/>
        <w:rPr>
          <w:rFonts w:ascii="Calibri" w:hAnsi="Calibri" w:cs="Calibri"/>
          <w:sz w:val="28"/>
          <w:szCs w:val="28"/>
        </w:rPr>
      </w:pPr>
      <w:r w:rsidRPr="00A826F3">
        <w:rPr>
          <w:rFonts w:ascii="Calibri" w:hAnsi="Calibri" w:cs="Calibri"/>
          <w:sz w:val="28"/>
          <w:szCs w:val="28"/>
        </w:rPr>
        <w:t>Tel : 221 22 15 98 38</w:t>
      </w:r>
    </w:p>
    <w:p w14:paraId="1468CD4E" w14:textId="77777777" w:rsidR="008F2269" w:rsidRPr="00A826F3" w:rsidRDefault="008F2269" w:rsidP="008F2269">
      <w:pPr>
        <w:jc w:val="center"/>
        <w:rPr>
          <w:rFonts w:ascii="Calibri" w:hAnsi="Calibri" w:cs="Calibri"/>
          <w:sz w:val="28"/>
          <w:szCs w:val="28"/>
        </w:rPr>
      </w:pPr>
      <w:r w:rsidRPr="00A826F3">
        <w:rPr>
          <w:rFonts w:ascii="Calibri" w:hAnsi="Calibri" w:cs="Calibri"/>
          <w:sz w:val="28"/>
          <w:szCs w:val="28"/>
        </w:rPr>
        <w:t>Email : sdjibrilsarr2003@yahoo.fr</w:t>
      </w:r>
    </w:p>
    <w:p w14:paraId="122A3B01" w14:textId="77777777" w:rsidR="008F2269" w:rsidRPr="00BE7A39" w:rsidRDefault="008F2269" w:rsidP="008F2269">
      <w:pPr>
        <w:jc w:val="center"/>
        <w:rPr>
          <w:rFonts w:cstheme="minorHAnsi"/>
          <w:noProof/>
          <w:lang w:eastAsia="fr-FR"/>
        </w:rPr>
      </w:pPr>
    </w:p>
    <w:p w14:paraId="79265CC4" w14:textId="77777777" w:rsidR="008F2269" w:rsidRDefault="008F2269" w:rsidP="008F2269">
      <w:pPr>
        <w:jc w:val="center"/>
        <w:rPr>
          <w:rFonts w:cstheme="minorHAnsi"/>
          <w:noProof/>
          <w:lang w:eastAsia="fr-FR"/>
        </w:rPr>
      </w:pPr>
    </w:p>
    <w:p w14:paraId="4FC1CF60" w14:textId="77777777" w:rsidR="008F2269" w:rsidRPr="00BE7A39" w:rsidRDefault="008F2269" w:rsidP="008F2269">
      <w:pPr>
        <w:pStyle w:val="Titre1"/>
        <w:spacing w:after="240"/>
        <w:jc w:val="center"/>
        <w:rPr>
          <w:rFonts w:asciiTheme="minorHAnsi" w:hAnsiTheme="minorHAnsi" w:cstheme="minorHAnsi"/>
          <w:bCs/>
          <w:i/>
          <w:color w:val="auto"/>
          <w:sz w:val="22"/>
          <w:szCs w:val="22"/>
        </w:rPr>
      </w:pPr>
      <w:bookmarkStart w:id="55" w:name="_Toc47874618"/>
      <w:bookmarkStart w:id="56" w:name="_Toc51854341"/>
      <w:bookmarkStart w:id="57" w:name="_Toc51930333"/>
      <w:bookmarkStart w:id="58" w:name="_Toc57057422"/>
      <w:bookmarkStart w:id="59" w:name="_Toc180318660"/>
      <w:r w:rsidRPr="00BE7A39">
        <w:rPr>
          <w:rFonts w:asciiTheme="minorHAnsi" w:hAnsiTheme="minorHAnsi" w:cstheme="minorHAnsi"/>
          <w:i/>
          <w:color w:val="auto"/>
          <w:sz w:val="22"/>
          <w:szCs w:val="22"/>
        </w:rPr>
        <w:t>RESUME EXECUTIF</w:t>
      </w:r>
      <w:bookmarkEnd w:id="55"/>
      <w:bookmarkEnd w:id="56"/>
      <w:bookmarkEnd w:id="57"/>
      <w:bookmarkEnd w:id="58"/>
      <w:bookmarkEnd w:id="59"/>
    </w:p>
    <w:p w14:paraId="593D7F99" w14:textId="77777777" w:rsidR="008F2269" w:rsidRPr="00830C5C" w:rsidRDefault="008F2269" w:rsidP="008F2269">
      <w:pPr>
        <w:pStyle w:val="Default"/>
        <w:spacing w:line="259" w:lineRule="auto"/>
        <w:jc w:val="both"/>
        <w:rPr>
          <w:rFonts w:asciiTheme="minorHAnsi" w:hAnsiTheme="minorHAnsi" w:cstheme="minorHAnsi"/>
          <w:bCs/>
          <w:i/>
          <w:color w:val="auto"/>
          <w:sz w:val="22"/>
          <w:szCs w:val="22"/>
        </w:rPr>
      </w:pPr>
      <w:r w:rsidRPr="00830C5C">
        <w:rPr>
          <w:rFonts w:eastAsia="Verdana" w:cstheme="minorHAnsi"/>
          <w:i/>
          <w:iCs/>
          <w:sz w:val="22"/>
          <w:szCs w:val="22"/>
        </w:rPr>
        <w:t>La Mauritanie est un pays confronté depuis les années 1970 à une péjoration climatique qui se manifeste par de graves sécheresses, une augmentation des températures, des baisses des volumes d’eau annuels dans les bassins versants, de fortes pressions sur les ressources naturelles aggravant la dégradation généralisée de tous les écosystèmes</w:t>
      </w:r>
      <w:r w:rsidRPr="00AF201E">
        <w:rPr>
          <w:rFonts w:eastAsia="Verdana" w:cstheme="minorHAnsi"/>
          <w:i/>
          <w:iCs/>
          <w:color w:val="auto"/>
          <w:sz w:val="22"/>
          <w:szCs w:val="22"/>
        </w:rPr>
        <w:t xml:space="preserve">. </w:t>
      </w:r>
      <w:r w:rsidRPr="00AF201E">
        <w:rPr>
          <w:rFonts w:asciiTheme="minorHAnsi" w:hAnsiTheme="minorHAnsi" w:cstheme="minorHAnsi"/>
          <w:bCs/>
          <w:color w:val="auto"/>
          <w:sz w:val="22"/>
          <w:szCs w:val="22"/>
        </w:rPr>
        <w:t xml:space="preserve">En réponse à cette situation, la Mauritanie a mis en œuvre plusieurs politiques, plans, programmes et projets d’adaptation pour relever les défis de la pauvreté et de l’avancée de la désertification qui menacent les moyens de subsistance de communautés rurales et urbaines. </w:t>
      </w:r>
      <w:r w:rsidRPr="00AF201E">
        <w:rPr>
          <w:rFonts w:asciiTheme="minorHAnsi" w:hAnsiTheme="minorHAnsi" w:cstheme="minorHAnsi"/>
          <w:bCs/>
          <w:i/>
          <w:color w:val="auto"/>
          <w:sz w:val="22"/>
          <w:szCs w:val="22"/>
        </w:rPr>
        <w:t>D</w:t>
      </w:r>
      <w:r w:rsidRPr="00830C5C">
        <w:rPr>
          <w:rFonts w:asciiTheme="minorHAnsi" w:hAnsiTheme="minorHAnsi" w:cstheme="minorHAnsi"/>
          <w:bCs/>
          <w:i/>
          <w:color w:val="auto"/>
          <w:sz w:val="22"/>
          <w:szCs w:val="22"/>
        </w:rPr>
        <w:t xml:space="preserve">ans ce cadre, elle bénéficie actuellement avec l’appui du Programme des Nations Unies pour l’Environnement </w:t>
      </w:r>
      <w:r>
        <w:rPr>
          <w:rFonts w:asciiTheme="minorHAnsi" w:hAnsiTheme="minorHAnsi" w:cstheme="minorHAnsi"/>
          <w:bCs/>
          <w:i/>
          <w:color w:val="auto"/>
          <w:sz w:val="22"/>
          <w:szCs w:val="22"/>
        </w:rPr>
        <w:t>(PNUE) et du fonds Mondial pour l’Environnement (FEM ou</w:t>
      </w:r>
      <w:r w:rsidRPr="00830C5C">
        <w:rPr>
          <w:rFonts w:asciiTheme="minorHAnsi" w:hAnsiTheme="minorHAnsi" w:cstheme="minorHAnsi"/>
          <w:bCs/>
          <w:i/>
          <w:color w:val="auto"/>
          <w:sz w:val="22"/>
          <w:szCs w:val="22"/>
        </w:rPr>
        <w:t xml:space="preserve"> </w:t>
      </w:r>
      <w:r>
        <w:rPr>
          <w:rFonts w:asciiTheme="minorHAnsi" w:hAnsiTheme="minorHAnsi" w:cstheme="minorHAnsi"/>
          <w:bCs/>
          <w:i/>
          <w:color w:val="auto"/>
          <w:sz w:val="22"/>
          <w:szCs w:val="22"/>
        </w:rPr>
        <w:t xml:space="preserve">GEF) </w:t>
      </w:r>
      <w:r w:rsidRPr="00830C5C">
        <w:rPr>
          <w:rFonts w:asciiTheme="minorHAnsi" w:hAnsiTheme="minorHAnsi" w:cstheme="minorHAnsi"/>
          <w:bCs/>
          <w:i/>
          <w:color w:val="auto"/>
          <w:sz w:val="22"/>
          <w:szCs w:val="22"/>
        </w:rPr>
        <w:t>p</w:t>
      </w:r>
      <w:r>
        <w:rPr>
          <w:rFonts w:asciiTheme="minorHAnsi" w:hAnsiTheme="minorHAnsi" w:cstheme="minorHAnsi"/>
          <w:bCs/>
          <w:i/>
          <w:color w:val="auto"/>
          <w:sz w:val="22"/>
          <w:szCs w:val="22"/>
        </w:rPr>
        <w:t>our la formulation de stratégie d’Evaluation et</w:t>
      </w:r>
      <w:r w:rsidRPr="00830C5C">
        <w:rPr>
          <w:rFonts w:asciiTheme="minorHAnsi" w:hAnsiTheme="minorHAnsi" w:cstheme="minorHAnsi"/>
          <w:bCs/>
          <w:i/>
          <w:color w:val="auto"/>
          <w:sz w:val="22"/>
          <w:szCs w:val="22"/>
        </w:rPr>
        <w:t xml:space="preserve"> d’</w:t>
      </w:r>
      <w:r>
        <w:rPr>
          <w:rFonts w:asciiTheme="minorHAnsi" w:hAnsiTheme="minorHAnsi" w:cstheme="minorHAnsi"/>
          <w:bCs/>
          <w:i/>
          <w:color w:val="auto"/>
          <w:sz w:val="22"/>
          <w:szCs w:val="22"/>
        </w:rPr>
        <w:t>A</w:t>
      </w:r>
      <w:r w:rsidRPr="00830C5C">
        <w:rPr>
          <w:rFonts w:asciiTheme="minorHAnsi" w:hAnsiTheme="minorHAnsi" w:cstheme="minorHAnsi"/>
          <w:bCs/>
          <w:i/>
          <w:color w:val="auto"/>
          <w:sz w:val="22"/>
          <w:szCs w:val="22"/>
        </w:rPr>
        <w:t>daptation au</w:t>
      </w:r>
      <w:r>
        <w:rPr>
          <w:rFonts w:asciiTheme="minorHAnsi" w:hAnsiTheme="minorHAnsi" w:cstheme="minorHAnsi"/>
          <w:bCs/>
          <w:i/>
          <w:color w:val="auto"/>
          <w:sz w:val="22"/>
          <w:szCs w:val="22"/>
        </w:rPr>
        <w:t>x</w:t>
      </w:r>
      <w:r w:rsidRPr="00830C5C">
        <w:rPr>
          <w:rFonts w:asciiTheme="minorHAnsi" w:hAnsiTheme="minorHAnsi" w:cstheme="minorHAnsi"/>
          <w:bCs/>
          <w:i/>
          <w:color w:val="auto"/>
          <w:sz w:val="22"/>
          <w:szCs w:val="22"/>
        </w:rPr>
        <w:t xml:space="preserve"> changement</w:t>
      </w:r>
      <w:r>
        <w:rPr>
          <w:rFonts w:asciiTheme="minorHAnsi" w:hAnsiTheme="minorHAnsi" w:cstheme="minorHAnsi"/>
          <w:bCs/>
          <w:i/>
          <w:color w:val="auto"/>
          <w:sz w:val="22"/>
          <w:szCs w:val="22"/>
        </w:rPr>
        <w:t>s</w:t>
      </w:r>
      <w:r w:rsidRPr="00830C5C">
        <w:rPr>
          <w:rFonts w:asciiTheme="minorHAnsi" w:hAnsiTheme="minorHAnsi" w:cstheme="minorHAnsi"/>
          <w:bCs/>
          <w:i/>
          <w:color w:val="auto"/>
          <w:sz w:val="22"/>
          <w:szCs w:val="22"/>
        </w:rPr>
        <w:t xml:space="preserve"> climatique</w:t>
      </w:r>
      <w:r>
        <w:rPr>
          <w:rFonts w:asciiTheme="minorHAnsi" w:hAnsiTheme="minorHAnsi" w:cstheme="minorHAnsi"/>
          <w:bCs/>
          <w:i/>
          <w:color w:val="auto"/>
          <w:sz w:val="22"/>
          <w:szCs w:val="22"/>
        </w:rPr>
        <w:t>s</w:t>
      </w:r>
      <w:r w:rsidRPr="00830C5C">
        <w:rPr>
          <w:rFonts w:asciiTheme="minorHAnsi" w:hAnsiTheme="minorHAnsi" w:cstheme="minorHAnsi"/>
          <w:bCs/>
          <w:i/>
          <w:color w:val="auto"/>
          <w:sz w:val="22"/>
          <w:szCs w:val="22"/>
        </w:rPr>
        <w:t xml:space="preserve"> afin d’améliorer la résilience des communautés</w:t>
      </w:r>
      <w:r>
        <w:rPr>
          <w:rFonts w:asciiTheme="minorHAnsi" w:hAnsiTheme="minorHAnsi" w:cstheme="minorHAnsi"/>
          <w:bCs/>
          <w:i/>
          <w:color w:val="auto"/>
          <w:sz w:val="22"/>
          <w:szCs w:val="22"/>
        </w:rPr>
        <w:t>, des zones agroécologiques</w:t>
      </w:r>
      <w:r w:rsidRPr="00830C5C">
        <w:rPr>
          <w:rFonts w:asciiTheme="minorHAnsi" w:hAnsiTheme="minorHAnsi" w:cstheme="minorHAnsi"/>
          <w:bCs/>
          <w:i/>
          <w:color w:val="auto"/>
          <w:sz w:val="22"/>
          <w:szCs w:val="22"/>
        </w:rPr>
        <w:t xml:space="preserve"> vulnérables.  Plus spécifiquement l’objectif dudit appui consiste à </w:t>
      </w:r>
      <w:r>
        <w:rPr>
          <w:rFonts w:asciiTheme="minorHAnsi" w:hAnsiTheme="minorHAnsi" w:cstheme="minorHAnsi"/>
          <w:bCs/>
          <w:i/>
          <w:color w:val="auto"/>
          <w:sz w:val="22"/>
          <w:szCs w:val="22"/>
        </w:rPr>
        <w:t>rédiger la Cinquième Communication</w:t>
      </w:r>
      <w:r w:rsidRPr="00830C5C">
        <w:rPr>
          <w:rFonts w:asciiTheme="minorHAnsi" w:hAnsiTheme="minorHAnsi" w:cstheme="minorHAnsi"/>
          <w:bCs/>
          <w:i/>
          <w:color w:val="auto"/>
          <w:sz w:val="22"/>
          <w:szCs w:val="22"/>
        </w:rPr>
        <w:t xml:space="preserve"> </w:t>
      </w:r>
      <w:r>
        <w:rPr>
          <w:rFonts w:asciiTheme="minorHAnsi" w:hAnsiTheme="minorHAnsi" w:cstheme="minorHAnsi"/>
          <w:bCs/>
          <w:i/>
          <w:color w:val="auto"/>
          <w:sz w:val="22"/>
          <w:szCs w:val="22"/>
        </w:rPr>
        <w:t>N</w:t>
      </w:r>
      <w:r w:rsidRPr="00830C5C">
        <w:rPr>
          <w:rFonts w:asciiTheme="minorHAnsi" w:hAnsiTheme="minorHAnsi" w:cstheme="minorHAnsi"/>
          <w:bCs/>
          <w:i/>
          <w:color w:val="auto"/>
          <w:sz w:val="22"/>
          <w:szCs w:val="22"/>
        </w:rPr>
        <w:t>ational</w:t>
      </w:r>
      <w:r>
        <w:rPr>
          <w:rFonts w:asciiTheme="minorHAnsi" w:hAnsiTheme="minorHAnsi" w:cstheme="minorHAnsi"/>
          <w:bCs/>
          <w:i/>
          <w:color w:val="auto"/>
          <w:sz w:val="22"/>
          <w:szCs w:val="22"/>
        </w:rPr>
        <w:t>e (CN5)</w:t>
      </w:r>
      <w:r w:rsidRPr="00830C5C">
        <w:rPr>
          <w:rFonts w:asciiTheme="minorHAnsi" w:hAnsiTheme="minorHAnsi" w:cstheme="minorHAnsi"/>
          <w:bCs/>
          <w:i/>
          <w:color w:val="auto"/>
          <w:sz w:val="22"/>
          <w:szCs w:val="22"/>
        </w:rPr>
        <w:t xml:space="preserve"> </w:t>
      </w:r>
      <w:r>
        <w:rPr>
          <w:rFonts w:asciiTheme="minorHAnsi" w:hAnsiTheme="minorHAnsi" w:cstheme="minorHAnsi"/>
          <w:bCs/>
          <w:i/>
          <w:color w:val="auto"/>
          <w:sz w:val="22"/>
          <w:szCs w:val="22"/>
        </w:rPr>
        <w:t>d’évaluation de la vulnérabilité/</w:t>
      </w:r>
      <w:r w:rsidRPr="00830C5C">
        <w:rPr>
          <w:rFonts w:asciiTheme="minorHAnsi" w:hAnsiTheme="minorHAnsi" w:cstheme="minorHAnsi"/>
          <w:bCs/>
          <w:i/>
          <w:color w:val="auto"/>
          <w:sz w:val="22"/>
          <w:szCs w:val="22"/>
        </w:rPr>
        <w:t>adaptation au</w:t>
      </w:r>
      <w:r>
        <w:rPr>
          <w:rFonts w:asciiTheme="minorHAnsi" w:hAnsiTheme="minorHAnsi" w:cstheme="minorHAnsi"/>
          <w:bCs/>
          <w:i/>
          <w:color w:val="auto"/>
          <w:sz w:val="22"/>
          <w:szCs w:val="22"/>
        </w:rPr>
        <w:t>x</w:t>
      </w:r>
      <w:r w:rsidRPr="00830C5C">
        <w:rPr>
          <w:rFonts w:asciiTheme="minorHAnsi" w:hAnsiTheme="minorHAnsi" w:cstheme="minorHAnsi"/>
          <w:bCs/>
          <w:i/>
          <w:color w:val="auto"/>
          <w:sz w:val="22"/>
          <w:szCs w:val="22"/>
        </w:rPr>
        <w:t xml:space="preserve"> changement</w:t>
      </w:r>
      <w:r>
        <w:rPr>
          <w:rFonts w:asciiTheme="minorHAnsi" w:hAnsiTheme="minorHAnsi" w:cstheme="minorHAnsi"/>
          <w:bCs/>
          <w:i/>
          <w:color w:val="auto"/>
          <w:sz w:val="22"/>
          <w:szCs w:val="22"/>
        </w:rPr>
        <w:t>s</w:t>
      </w:r>
      <w:r w:rsidRPr="00830C5C">
        <w:rPr>
          <w:rFonts w:asciiTheme="minorHAnsi" w:hAnsiTheme="minorHAnsi" w:cstheme="minorHAnsi"/>
          <w:bCs/>
          <w:i/>
          <w:color w:val="auto"/>
          <w:sz w:val="22"/>
          <w:szCs w:val="22"/>
        </w:rPr>
        <w:t xml:space="preserve"> climatique</w:t>
      </w:r>
      <w:r>
        <w:rPr>
          <w:rFonts w:asciiTheme="minorHAnsi" w:hAnsiTheme="minorHAnsi" w:cstheme="minorHAnsi"/>
          <w:bCs/>
          <w:i/>
          <w:color w:val="auto"/>
          <w:sz w:val="22"/>
          <w:szCs w:val="22"/>
        </w:rPr>
        <w:t>s.</w:t>
      </w:r>
      <w:r w:rsidRPr="00830C5C">
        <w:rPr>
          <w:rFonts w:asciiTheme="minorHAnsi" w:hAnsiTheme="minorHAnsi" w:cstheme="minorHAnsi"/>
          <w:bCs/>
          <w:i/>
          <w:color w:val="auto"/>
          <w:sz w:val="22"/>
          <w:szCs w:val="22"/>
        </w:rPr>
        <w:t xml:space="preserve"> </w:t>
      </w:r>
    </w:p>
    <w:p w14:paraId="2754F5BD" w14:textId="77777777" w:rsidR="008F2269" w:rsidRDefault="008F2269" w:rsidP="008F2269">
      <w:pPr>
        <w:jc w:val="both"/>
        <w:rPr>
          <w:rFonts w:cstheme="minorHAnsi"/>
          <w:bCs/>
        </w:rPr>
      </w:pPr>
      <w:r>
        <w:rPr>
          <w:rFonts w:cstheme="minorHAnsi"/>
          <w:bCs/>
          <w:i/>
        </w:rPr>
        <w:t xml:space="preserve">Le présent relatif </w:t>
      </w:r>
      <w:r w:rsidRPr="00830C5C">
        <w:rPr>
          <w:rFonts w:cstheme="minorHAnsi"/>
          <w:bCs/>
          <w:i/>
        </w:rPr>
        <w:t xml:space="preserve">à l’évaluation des lacunes et des besoins de la stratégie nationale d’accès durable à l’eau et l’assainissement en lien avec les enjeux de l’adaptation au changement climatique </w:t>
      </w:r>
      <w:r>
        <w:rPr>
          <w:rFonts w:cstheme="minorHAnsi"/>
          <w:bCs/>
          <w:i/>
        </w:rPr>
        <w:t xml:space="preserve">est articulé </w:t>
      </w:r>
      <w:r w:rsidRPr="00AF201E">
        <w:rPr>
          <w:rFonts w:cstheme="minorHAnsi"/>
          <w:bCs/>
          <w:i/>
        </w:rPr>
        <w:t xml:space="preserve">en </w:t>
      </w:r>
      <w:proofErr w:type="gramStart"/>
      <w:r w:rsidRPr="00A149B2">
        <w:rPr>
          <w:rFonts w:cstheme="minorHAnsi"/>
          <w:bCs/>
        </w:rPr>
        <w:t>organisé</w:t>
      </w:r>
      <w:proofErr w:type="gramEnd"/>
      <w:r w:rsidRPr="00A149B2">
        <w:rPr>
          <w:rFonts w:cstheme="minorHAnsi"/>
          <w:bCs/>
        </w:rPr>
        <w:t xml:space="preserve"> en 8 chapitres outre l’introduction : </w:t>
      </w:r>
    </w:p>
    <w:p w14:paraId="01640F62" w14:textId="77777777" w:rsidR="008F2269" w:rsidRPr="005825CF" w:rsidRDefault="008F2269" w:rsidP="008F2269">
      <w:pPr>
        <w:pStyle w:val="Paragraphedeliste"/>
        <w:numPr>
          <w:ilvl w:val="0"/>
          <w:numId w:val="143"/>
        </w:numPr>
        <w:suppressAutoHyphens/>
        <w:autoSpaceDN w:val="0"/>
        <w:spacing w:line="240" w:lineRule="auto"/>
        <w:jc w:val="both"/>
        <w:textAlignment w:val="baseline"/>
        <w:rPr>
          <w:rFonts w:cstheme="minorHAnsi"/>
          <w:bCs/>
        </w:rPr>
      </w:pPr>
      <w:r w:rsidRPr="005825CF">
        <w:rPr>
          <w:rFonts w:cstheme="minorHAnsi"/>
          <w:bCs/>
        </w:rPr>
        <w:t xml:space="preserve">Compréhension des TDR du livrable, </w:t>
      </w:r>
    </w:p>
    <w:p w14:paraId="76AECD28" w14:textId="77777777" w:rsidR="008F2269" w:rsidRDefault="008F2269" w:rsidP="008F2269">
      <w:pPr>
        <w:pStyle w:val="Paragraphedeliste"/>
        <w:numPr>
          <w:ilvl w:val="0"/>
          <w:numId w:val="143"/>
        </w:numPr>
        <w:suppressAutoHyphens/>
        <w:autoSpaceDN w:val="0"/>
        <w:spacing w:line="240" w:lineRule="auto"/>
        <w:jc w:val="both"/>
        <w:textAlignment w:val="baseline"/>
        <w:rPr>
          <w:rFonts w:cstheme="minorHAnsi"/>
          <w:bCs/>
        </w:rPr>
      </w:pPr>
      <w:r w:rsidRPr="005825CF">
        <w:rPr>
          <w:rFonts w:cstheme="minorHAnsi"/>
          <w:bCs/>
        </w:rPr>
        <w:t xml:space="preserve">Objectifs et Approche méthodologique ; </w:t>
      </w:r>
    </w:p>
    <w:p w14:paraId="2B017E54" w14:textId="77777777" w:rsidR="008F2269" w:rsidRDefault="008F2269" w:rsidP="008F2269">
      <w:pPr>
        <w:pStyle w:val="Paragraphedeliste"/>
        <w:numPr>
          <w:ilvl w:val="0"/>
          <w:numId w:val="143"/>
        </w:numPr>
        <w:suppressAutoHyphens/>
        <w:autoSpaceDN w:val="0"/>
        <w:spacing w:line="240" w:lineRule="auto"/>
        <w:jc w:val="both"/>
        <w:textAlignment w:val="baseline"/>
        <w:rPr>
          <w:rFonts w:cstheme="minorHAnsi"/>
          <w:bCs/>
        </w:rPr>
      </w:pPr>
      <w:r w:rsidRPr="005825CF">
        <w:rPr>
          <w:rFonts w:cstheme="minorHAnsi"/>
          <w:bCs/>
        </w:rPr>
        <w:t xml:space="preserve">Présentation du secteur des ressources en eau ; </w:t>
      </w:r>
    </w:p>
    <w:p w14:paraId="73583933" w14:textId="77777777" w:rsidR="008F2269" w:rsidRDefault="008F2269" w:rsidP="008F2269">
      <w:pPr>
        <w:pStyle w:val="Paragraphedeliste"/>
        <w:numPr>
          <w:ilvl w:val="0"/>
          <w:numId w:val="143"/>
        </w:numPr>
        <w:suppressAutoHyphens/>
        <w:autoSpaceDN w:val="0"/>
        <w:spacing w:line="240" w:lineRule="auto"/>
        <w:jc w:val="both"/>
        <w:textAlignment w:val="baseline"/>
        <w:rPr>
          <w:rFonts w:cstheme="minorHAnsi"/>
          <w:bCs/>
        </w:rPr>
      </w:pPr>
      <w:r w:rsidRPr="005825CF">
        <w:rPr>
          <w:rFonts w:cstheme="minorHAnsi"/>
          <w:bCs/>
        </w:rPr>
        <w:t xml:space="preserve">Etat des lieux, </w:t>
      </w:r>
    </w:p>
    <w:p w14:paraId="1A974DD2" w14:textId="77777777" w:rsidR="008F2269" w:rsidRDefault="008F2269" w:rsidP="008F2269">
      <w:pPr>
        <w:pStyle w:val="Paragraphedeliste"/>
        <w:numPr>
          <w:ilvl w:val="0"/>
          <w:numId w:val="143"/>
        </w:numPr>
        <w:suppressAutoHyphens/>
        <w:autoSpaceDN w:val="0"/>
        <w:spacing w:line="240" w:lineRule="auto"/>
        <w:jc w:val="both"/>
        <w:textAlignment w:val="baseline"/>
        <w:rPr>
          <w:rFonts w:cstheme="minorHAnsi"/>
          <w:bCs/>
        </w:rPr>
      </w:pPr>
      <w:r w:rsidRPr="005825CF">
        <w:rPr>
          <w:rFonts w:cstheme="minorHAnsi"/>
          <w:bCs/>
        </w:rPr>
        <w:t xml:space="preserve">Exposition des résultats stratégiques 2 clés aux risques climatiques (Sources : CDN, Profil climatique du Programme-Pays FVC, CN4, PPE, SNADEA), </w:t>
      </w:r>
    </w:p>
    <w:p w14:paraId="3991212B" w14:textId="77777777" w:rsidR="008F2269" w:rsidRDefault="008F2269" w:rsidP="008F2269">
      <w:pPr>
        <w:pStyle w:val="Paragraphedeliste"/>
        <w:numPr>
          <w:ilvl w:val="0"/>
          <w:numId w:val="143"/>
        </w:numPr>
        <w:suppressAutoHyphens/>
        <w:autoSpaceDN w:val="0"/>
        <w:spacing w:line="240" w:lineRule="auto"/>
        <w:jc w:val="both"/>
        <w:textAlignment w:val="baseline"/>
        <w:rPr>
          <w:rFonts w:cstheme="minorHAnsi"/>
          <w:bCs/>
        </w:rPr>
      </w:pPr>
      <w:r w:rsidRPr="005825CF">
        <w:rPr>
          <w:rFonts w:cstheme="minorHAnsi"/>
          <w:bCs/>
        </w:rPr>
        <w:t>Mesures, activités ou initiatives en cours ou programmées p</w:t>
      </w:r>
      <w:r>
        <w:rPr>
          <w:rFonts w:cstheme="minorHAnsi"/>
          <w:bCs/>
        </w:rPr>
        <w:t>our faire face aux enjeux du CC</w:t>
      </w:r>
      <w:r w:rsidRPr="005825CF">
        <w:rPr>
          <w:rFonts w:cstheme="minorHAnsi"/>
          <w:bCs/>
        </w:rPr>
        <w:t xml:space="preserve">, </w:t>
      </w:r>
    </w:p>
    <w:p w14:paraId="0FB24B16" w14:textId="77777777" w:rsidR="008F2269" w:rsidRDefault="008F2269" w:rsidP="008F2269">
      <w:pPr>
        <w:pStyle w:val="Paragraphedeliste"/>
        <w:numPr>
          <w:ilvl w:val="0"/>
          <w:numId w:val="143"/>
        </w:numPr>
        <w:suppressAutoHyphens/>
        <w:autoSpaceDN w:val="0"/>
        <w:spacing w:line="240" w:lineRule="auto"/>
        <w:jc w:val="both"/>
        <w:textAlignment w:val="baseline"/>
        <w:rPr>
          <w:rFonts w:cstheme="minorHAnsi"/>
          <w:bCs/>
        </w:rPr>
      </w:pPr>
      <w:r w:rsidRPr="005825CF">
        <w:rPr>
          <w:rFonts w:cstheme="minorHAnsi"/>
          <w:bCs/>
        </w:rPr>
        <w:t xml:space="preserve">Lacunes et Besoins pour faire face au Changement Climatique,  </w:t>
      </w:r>
    </w:p>
    <w:p w14:paraId="45F74403" w14:textId="77777777" w:rsidR="008F2269" w:rsidRPr="005825CF" w:rsidRDefault="008F2269" w:rsidP="008F2269">
      <w:pPr>
        <w:pStyle w:val="Paragraphedeliste"/>
        <w:numPr>
          <w:ilvl w:val="0"/>
          <w:numId w:val="143"/>
        </w:numPr>
        <w:suppressAutoHyphens/>
        <w:autoSpaceDN w:val="0"/>
        <w:spacing w:line="240" w:lineRule="auto"/>
        <w:jc w:val="both"/>
        <w:textAlignment w:val="baseline"/>
        <w:rPr>
          <w:rFonts w:cstheme="minorHAnsi"/>
          <w:bCs/>
        </w:rPr>
      </w:pPr>
      <w:r w:rsidRPr="005825CF">
        <w:rPr>
          <w:rFonts w:cstheme="minorHAnsi"/>
          <w:bCs/>
        </w:rPr>
        <w:t>Exposition et vulnérabilité des ressources en eau de surface face au Changement Climatique en fin Conclusions et Recommandations.</w:t>
      </w:r>
    </w:p>
    <w:p w14:paraId="39F909B2" w14:textId="77777777" w:rsidR="008F2269" w:rsidRDefault="008F2269" w:rsidP="008F2269">
      <w:pPr>
        <w:pStyle w:val="Default"/>
        <w:spacing w:line="259" w:lineRule="auto"/>
        <w:jc w:val="both"/>
        <w:rPr>
          <w:rFonts w:asciiTheme="minorHAnsi" w:hAnsiTheme="minorHAnsi" w:cstheme="minorHAnsi"/>
          <w:bCs/>
          <w:i/>
          <w:color w:val="auto"/>
          <w:sz w:val="22"/>
          <w:szCs w:val="22"/>
        </w:rPr>
      </w:pPr>
      <w:r>
        <w:rPr>
          <w:rFonts w:eastAsia="Verdana" w:cstheme="minorHAnsi"/>
          <w:i/>
          <w:iCs/>
          <w:sz w:val="22"/>
          <w:szCs w:val="22"/>
        </w:rPr>
        <w:t>En Mauritanie</w:t>
      </w:r>
      <w:r w:rsidRPr="008D1F23">
        <w:rPr>
          <w:rFonts w:eastAsia="Verdana" w:cstheme="minorHAnsi"/>
          <w:i/>
          <w:iCs/>
          <w:sz w:val="22"/>
          <w:szCs w:val="22"/>
        </w:rPr>
        <w:t>, la disponibilité en eau a été de tout temps une variable essentielle de l'aménagement du territoire, compte tenu que cette ressource</w:t>
      </w:r>
      <w:r>
        <w:rPr>
          <w:rFonts w:eastAsia="Verdana" w:cstheme="minorHAnsi"/>
          <w:i/>
          <w:iCs/>
          <w:sz w:val="22"/>
          <w:szCs w:val="22"/>
        </w:rPr>
        <w:t xml:space="preserve"> rare et très inégalement répartie</w:t>
      </w:r>
      <w:r w:rsidRPr="008D1F23">
        <w:rPr>
          <w:rFonts w:eastAsia="Verdana" w:cstheme="minorHAnsi"/>
          <w:i/>
          <w:iCs/>
          <w:sz w:val="22"/>
          <w:szCs w:val="22"/>
        </w:rPr>
        <w:t xml:space="preserve"> intervient au niveau de tous les secteurs de développement économique et social. </w:t>
      </w:r>
      <w:r w:rsidRPr="008D1F23">
        <w:rPr>
          <w:rFonts w:asciiTheme="minorHAnsi" w:hAnsiTheme="minorHAnsi" w:cstheme="minorHAnsi"/>
          <w:bCs/>
          <w:i/>
          <w:color w:val="auto"/>
          <w:sz w:val="22"/>
          <w:szCs w:val="22"/>
        </w:rPr>
        <w:t>L’agriculture utilise à e</w:t>
      </w:r>
      <w:r>
        <w:rPr>
          <w:rFonts w:asciiTheme="minorHAnsi" w:hAnsiTheme="minorHAnsi" w:cstheme="minorHAnsi"/>
          <w:bCs/>
          <w:i/>
          <w:color w:val="auto"/>
          <w:sz w:val="22"/>
          <w:szCs w:val="22"/>
        </w:rPr>
        <w:t xml:space="preserve">lle seule </w:t>
      </w:r>
      <w:r w:rsidRPr="00AF201E">
        <w:rPr>
          <w:rFonts w:asciiTheme="minorHAnsi" w:hAnsiTheme="minorHAnsi" w:cstheme="minorHAnsi"/>
          <w:bCs/>
          <w:i/>
          <w:color w:val="auto"/>
          <w:sz w:val="22"/>
          <w:szCs w:val="22"/>
        </w:rPr>
        <w:t xml:space="preserve">1,5 </w:t>
      </w:r>
      <w:r w:rsidRPr="008D1F23">
        <w:rPr>
          <w:rFonts w:asciiTheme="minorHAnsi" w:hAnsiTheme="minorHAnsi" w:cstheme="minorHAnsi"/>
          <w:bCs/>
          <w:i/>
          <w:color w:val="auto"/>
          <w:sz w:val="22"/>
          <w:szCs w:val="22"/>
        </w:rPr>
        <w:t>Milliards m</w:t>
      </w:r>
      <w:r w:rsidRPr="008D1F23">
        <w:rPr>
          <w:rFonts w:asciiTheme="minorHAnsi" w:hAnsiTheme="minorHAnsi" w:cstheme="minorHAnsi"/>
          <w:bCs/>
          <w:i/>
          <w:color w:val="auto"/>
          <w:sz w:val="22"/>
          <w:szCs w:val="22"/>
          <w:vertAlign w:val="superscript"/>
        </w:rPr>
        <w:t>3</w:t>
      </w:r>
      <w:r w:rsidRPr="008D1F23">
        <w:rPr>
          <w:rFonts w:asciiTheme="minorHAnsi" w:hAnsiTheme="minorHAnsi" w:cstheme="minorHAnsi"/>
          <w:bCs/>
          <w:i/>
          <w:color w:val="auto"/>
          <w:sz w:val="22"/>
          <w:szCs w:val="22"/>
        </w:rPr>
        <w:t> (soit 88% dont environ 5% pour les productions animales), 0,15 milliards de m</w:t>
      </w:r>
      <w:r w:rsidRPr="008D1F23">
        <w:rPr>
          <w:rFonts w:asciiTheme="minorHAnsi" w:hAnsiTheme="minorHAnsi" w:cstheme="minorHAnsi"/>
          <w:bCs/>
          <w:i/>
          <w:color w:val="auto"/>
          <w:sz w:val="22"/>
          <w:szCs w:val="22"/>
          <w:vertAlign w:val="superscript"/>
        </w:rPr>
        <w:t>3</w:t>
      </w:r>
      <w:r w:rsidRPr="008D1F23">
        <w:rPr>
          <w:rFonts w:asciiTheme="minorHAnsi" w:hAnsiTheme="minorHAnsi" w:cstheme="minorHAnsi"/>
          <w:bCs/>
          <w:i/>
          <w:color w:val="auto"/>
          <w:sz w:val="22"/>
          <w:szCs w:val="22"/>
        </w:rPr>
        <w:t xml:space="preserve"> aux usages domestiques (9%) et environ 0,5 milliards de m</w:t>
      </w:r>
      <w:r w:rsidRPr="008D1F23">
        <w:rPr>
          <w:rFonts w:asciiTheme="minorHAnsi" w:hAnsiTheme="minorHAnsi" w:cstheme="minorHAnsi"/>
          <w:bCs/>
          <w:i/>
          <w:color w:val="auto"/>
          <w:sz w:val="22"/>
          <w:szCs w:val="22"/>
          <w:vertAlign w:val="superscript"/>
        </w:rPr>
        <w:t>3</w:t>
      </w:r>
      <w:r w:rsidRPr="008D1F23">
        <w:rPr>
          <w:rFonts w:asciiTheme="minorHAnsi" w:hAnsiTheme="minorHAnsi" w:cstheme="minorHAnsi"/>
          <w:bCs/>
          <w:i/>
          <w:color w:val="auto"/>
          <w:sz w:val="22"/>
          <w:szCs w:val="22"/>
        </w:rPr>
        <w:t xml:space="preserve"> aux mines et à l’industrie (3%). </w:t>
      </w:r>
      <w:r>
        <w:rPr>
          <w:rFonts w:asciiTheme="minorHAnsi" w:hAnsiTheme="minorHAnsi" w:cstheme="minorHAnsi"/>
          <w:bCs/>
          <w:i/>
          <w:color w:val="auto"/>
          <w:sz w:val="22"/>
          <w:szCs w:val="22"/>
        </w:rPr>
        <w:t xml:space="preserve">La demande croît rapidement dans tous les secteurs et </w:t>
      </w:r>
      <w:r w:rsidRPr="008D1F23">
        <w:rPr>
          <w:rFonts w:asciiTheme="minorHAnsi" w:hAnsiTheme="minorHAnsi" w:cstheme="minorHAnsi"/>
          <w:bCs/>
          <w:i/>
          <w:color w:val="auto"/>
          <w:sz w:val="22"/>
          <w:szCs w:val="22"/>
        </w:rPr>
        <w:t>dépasse la capacité de renouvellement annuelle des nappes valorisées et de la ressource en général. Ainsi, la réalisation de très grands investissements pour alimentation de Nouakchott à partir du fleuve Sénégal (Aftout Essahli) et des forages à</w:t>
      </w:r>
      <w:r w:rsidRPr="008D1F23">
        <w:rPr>
          <w:rFonts w:cstheme="minorHAnsi"/>
          <w:i/>
          <w:sz w:val="22"/>
          <w:szCs w:val="22"/>
        </w:rPr>
        <w:t xml:space="preserve"> </w:t>
      </w:r>
      <w:r w:rsidRPr="008D1F23">
        <w:rPr>
          <w:rFonts w:asciiTheme="minorHAnsi" w:hAnsiTheme="minorHAnsi" w:cstheme="minorHAnsi"/>
          <w:bCs/>
          <w:i/>
          <w:color w:val="auto"/>
          <w:sz w:val="22"/>
          <w:szCs w:val="22"/>
        </w:rPr>
        <w:t>l’intérieur du pays</w:t>
      </w:r>
      <w:r>
        <w:rPr>
          <w:rFonts w:asciiTheme="minorHAnsi" w:hAnsiTheme="minorHAnsi" w:cstheme="minorHAnsi"/>
          <w:bCs/>
          <w:i/>
          <w:color w:val="auto"/>
          <w:sz w:val="22"/>
          <w:szCs w:val="22"/>
        </w:rPr>
        <w:t xml:space="preserve"> (Dhar de Néma, Idini, Boulanouar</w:t>
      </w:r>
      <w:r w:rsidRPr="00DC3D84">
        <w:rPr>
          <w:rFonts w:asciiTheme="minorHAnsi" w:hAnsiTheme="minorHAnsi" w:cstheme="minorHAnsi"/>
          <w:bCs/>
          <w:i/>
          <w:color w:val="auto"/>
          <w:sz w:val="22"/>
          <w:szCs w:val="22"/>
        </w:rPr>
        <w:t>Fatououmar@86</w:t>
      </w:r>
      <w:r>
        <w:rPr>
          <w:rFonts w:asciiTheme="minorHAnsi" w:hAnsiTheme="minorHAnsi" w:cstheme="minorHAnsi"/>
          <w:bCs/>
          <w:i/>
          <w:color w:val="auto"/>
          <w:sz w:val="22"/>
          <w:szCs w:val="22"/>
        </w:rPr>
        <w:t>, etc.) engagés</w:t>
      </w:r>
      <w:r w:rsidRPr="008D1F23">
        <w:rPr>
          <w:rFonts w:asciiTheme="minorHAnsi" w:hAnsiTheme="minorHAnsi" w:cstheme="minorHAnsi"/>
          <w:bCs/>
          <w:i/>
          <w:color w:val="auto"/>
          <w:sz w:val="22"/>
          <w:szCs w:val="22"/>
        </w:rPr>
        <w:t xml:space="preserve"> par le Gouvernement a été nécessaire pour répondre </w:t>
      </w:r>
      <w:r>
        <w:rPr>
          <w:rFonts w:asciiTheme="minorHAnsi" w:hAnsiTheme="minorHAnsi" w:cstheme="minorHAnsi"/>
          <w:bCs/>
          <w:i/>
          <w:color w:val="auto"/>
          <w:sz w:val="22"/>
          <w:szCs w:val="22"/>
        </w:rPr>
        <w:t>à la situation</w:t>
      </w:r>
      <w:r w:rsidRPr="008D1F23">
        <w:rPr>
          <w:rFonts w:asciiTheme="minorHAnsi" w:hAnsiTheme="minorHAnsi" w:cstheme="minorHAnsi"/>
          <w:bCs/>
          <w:i/>
          <w:color w:val="auto"/>
          <w:sz w:val="22"/>
          <w:szCs w:val="22"/>
        </w:rPr>
        <w:t xml:space="preserve">. </w:t>
      </w:r>
    </w:p>
    <w:p w14:paraId="21F5CD01" w14:textId="77777777" w:rsidR="008F2269" w:rsidRDefault="008F2269" w:rsidP="008F2269">
      <w:pPr>
        <w:pStyle w:val="Default"/>
        <w:spacing w:line="259" w:lineRule="auto"/>
        <w:jc w:val="both"/>
        <w:rPr>
          <w:rFonts w:eastAsia="Verdana" w:cstheme="minorHAnsi"/>
          <w:i/>
          <w:iCs/>
          <w:sz w:val="22"/>
          <w:szCs w:val="22"/>
        </w:rPr>
      </w:pPr>
      <w:r w:rsidRPr="008D1F23">
        <w:rPr>
          <w:rFonts w:asciiTheme="minorHAnsi" w:hAnsiTheme="minorHAnsi" w:cstheme="minorHAnsi"/>
          <w:bCs/>
          <w:i/>
          <w:color w:val="auto"/>
          <w:sz w:val="22"/>
          <w:szCs w:val="22"/>
        </w:rPr>
        <w:t xml:space="preserve"> </w:t>
      </w:r>
      <w:r w:rsidRPr="008D1F23">
        <w:rPr>
          <w:rFonts w:eastAsia="Verdana" w:cstheme="minorHAnsi"/>
          <w:i/>
          <w:iCs/>
          <w:sz w:val="22"/>
          <w:szCs w:val="22"/>
        </w:rPr>
        <w:t xml:space="preserve">Le cheptel mauritanien est estimé à 1,6 million de bovins, 16 millions d’ovins et caprins, et 200 000 asins et équins, cantonnés essentiellement sur le tiers sud du pays, et 1,4 million de camelins nomadisant dans tout le pays. Les ressources en eau de surface, en </w:t>
      </w:r>
      <w:r>
        <w:rPr>
          <w:rFonts w:eastAsia="Verdana" w:cstheme="minorHAnsi"/>
          <w:i/>
          <w:iCs/>
          <w:sz w:val="22"/>
          <w:szCs w:val="22"/>
        </w:rPr>
        <w:t>particulier le fleuve Sénégal,</w:t>
      </w:r>
      <w:r w:rsidRPr="008D1F23">
        <w:rPr>
          <w:rFonts w:eastAsia="Verdana" w:cstheme="minorHAnsi"/>
          <w:i/>
          <w:iCs/>
          <w:sz w:val="22"/>
          <w:szCs w:val="22"/>
        </w:rPr>
        <w:t xml:space="preserve"> les </w:t>
      </w:r>
      <w:r>
        <w:rPr>
          <w:rFonts w:eastAsia="Verdana" w:cstheme="minorHAnsi"/>
          <w:i/>
          <w:iCs/>
          <w:sz w:val="22"/>
          <w:szCs w:val="22"/>
        </w:rPr>
        <w:t xml:space="preserve">lacs (naturels ou artificiels), les </w:t>
      </w:r>
      <w:r w:rsidRPr="008D1F23">
        <w:rPr>
          <w:rFonts w:eastAsia="Verdana" w:cstheme="minorHAnsi"/>
          <w:i/>
          <w:iCs/>
          <w:sz w:val="22"/>
          <w:szCs w:val="22"/>
        </w:rPr>
        <w:t>mares</w:t>
      </w:r>
      <w:r>
        <w:rPr>
          <w:rFonts w:eastAsia="Verdana" w:cstheme="minorHAnsi"/>
          <w:i/>
          <w:iCs/>
          <w:sz w:val="22"/>
          <w:szCs w:val="22"/>
        </w:rPr>
        <w:t xml:space="preserve"> </w:t>
      </w:r>
      <w:r w:rsidRPr="008D1F23">
        <w:rPr>
          <w:rFonts w:eastAsia="Verdana" w:cstheme="minorHAnsi"/>
          <w:i/>
          <w:iCs/>
          <w:sz w:val="22"/>
          <w:szCs w:val="22"/>
        </w:rPr>
        <w:t xml:space="preserve">temporaires ou permanentes aménagées ou non constituent environ 75% des sources d’approvisionnement en eau du cheptel, devant les eaux souterraines. </w:t>
      </w:r>
      <w:r>
        <w:rPr>
          <w:rFonts w:eastAsia="Verdana" w:cstheme="minorHAnsi"/>
          <w:i/>
          <w:iCs/>
          <w:sz w:val="22"/>
          <w:szCs w:val="22"/>
        </w:rPr>
        <w:t xml:space="preserve">Face à </w:t>
      </w:r>
      <w:r w:rsidRPr="008D1F23">
        <w:rPr>
          <w:rFonts w:eastAsia="Verdana" w:cstheme="minorHAnsi"/>
          <w:i/>
          <w:iCs/>
          <w:sz w:val="22"/>
          <w:szCs w:val="22"/>
        </w:rPr>
        <w:t>un nombre limité d’ouvrages hydrauliques spécifiquement pastoraux, le cheptel partage le plus souvent les points d’eau pastoraux avec les usages humains.</w:t>
      </w:r>
    </w:p>
    <w:p w14:paraId="6DC662F2" w14:textId="77777777" w:rsidR="008F2269" w:rsidRDefault="008F2269" w:rsidP="008F2269">
      <w:pPr>
        <w:pStyle w:val="Default"/>
        <w:spacing w:line="259" w:lineRule="auto"/>
        <w:jc w:val="both"/>
        <w:rPr>
          <w:rFonts w:eastAsia="Verdana" w:cstheme="minorHAnsi"/>
          <w:i/>
          <w:iCs/>
          <w:sz w:val="22"/>
          <w:szCs w:val="22"/>
        </w:rPr>
      </w:pPr>
      <w:r w:rsidRPr="00340815">
        <w:rPr>
          <w:rFonts w:eastAsia="Verdana" w:cstheme="minorHAnsi"/>
          <w:i/>
          <w:iCs/>
          <w:sz w:val="22"/>
          <w:szCs w:val="22"/>
        </w:rPr>
        <w:t>L’urbanisation désordonnée et sans considération de la disponibilité des ressources en eau a eu pour effet la multiplication de la demande d’infrastructures d’eau potable, souvent satisfaite sans prise en compte des critères de densité de la population et de viabilité des infrastructures. Il en a résulté la multiplication, notamment durant les années 1990, de forages et de réseaux d’adduction d’eau en zones semi-urbaine et rurale. La non-prise en compte des charges récurrentes de l’entretien des ouvrages d’exhaure et des réseaux de distribution engendra souvent leur arrêt au bout de quelques années et la nécessité d’investir dans de nouveaux ouvrages et réseaux.</w:t>
      </w:r>
    </w:p>
    <w:p w14:paraId="6ECED7F8" w14:textId="77777777" w:rsidR="008F2269" w:rsidRPr="00AF201E" w:rsidRDefault="008F2269" w:rsidP="008F2269">
      <w:pPr>
        <w:pStyle w:val="Default"/>
        <w:spacing w:line="259" w:lineRule="auto"/>
        <w:jc w:val="both"/>
        <w:rPr>
          <w:rFonts w:eastAsia="Verdana" w:cstheme="minorHAnsi"/>
          <w:i/>
          <w:iCs/>
          <w:color w:val="auto"/>
          <w:sz w:val="22"/>
          <w:szCs w:val="22"/>
        </w:rPr>
      </w:pPr>
      <w:r w:rsidRPr="00340815">
        <w:rPr>
          <w:rFonts w:eastAsia="Verdana" w:cstheme="minorHAnsi"/>
          <w:i/>
          <w:iCs/>
          <w:sz w:val="22"/>
          <w:szCs w:val="22"/>
        </w:rPr>
        <w:t xml:space="preserve">La promotion de l’assainissement individuel en milieu rural et semi-urbain est portée par l’Assainissement Total Piloté par la Communauté (ATPC), qui a permis depuis 2009 d’éradiquer la défécation à l’air libre dans environ 2 500 localités des 7 500 éligibles, représentant près de 930 000 personnes. Cependant, le pourcentage de ménages déféquant à l’air libre reste élevé à 35 % en 2014 selon les Enquêtes Permanentes sur les Conditions de Vie (EPCV), dont 58 % en milieu rural et 12 % en milieu urbain. Le taux d’équipement en latrines amélioré des ménages n’est pas connu précisément, mais devrait se situer autour de 45%, alors qu’il était prévu à 52% en 2015 dans </w:t>
      </w:r>
      <w:r w:rsidRPr="00AF201E">
        <w:rPr>
          <w:rFonts w:eastAsia="Verdana" w:cstheme="minorHAnsi"/>
          <w:i/>
          <w:iCs/>
          <w:color w:val="auto"/>
          <w:sz w:val="22"/>
          <w:szCs w:val="22"/>
        </w:rPr>
        <w:t>la Stratégie pour le Développement de l’Eau et de l’Assainissement (SDEA).</w:t>
      </w:r>
    </w:p>
    <w:p w14:paraId="10404141" w14:textId="77777777" w:rsidR="008F2269" w:rsidRPr="00BE7A39" w:rsidRDefault="008F2269" w:rsidP="008F2269">
      <w:pPr>
        <w:autoSpaceDE w:val="0"/>
        <w:autoSpaceDN w:val="0"/>
        <w:adjustRightInd w:val="0"/>
        <w:spacing w:after="0" w:line="240" w:lineRule="auto"/>
        <w:jc w:val="both"/>
        <w:rPr>
          <w:rFonts w:eastAsia="Verdana" w:cstheme="minorHAnsi"/>
          <w:i/>
          <w:iCs/>
        </w:rPr>
      </w:pPr>
      <w:r w:rsidRPr="00BE7A39">
        <w:rPr>
          <w:rFonts w:eastAsia="Verdana" w:cstheme="minorHAnsi"/>
          <w:i/>
          <w:iCs/>
        </w:rPr>
        <w:t>En termes d’assainissement autonome public, le taux d’équipement moyen des établissements de soins en milieu rural et semi-urbain s’établit à 47% en 2015 et à 33% pour les écoles (dont 23% en milieu rural et 67% en milieu urbain et péri-urbain). Par ailleurs, la gestion informelle et non contrôlée des boues de vidange des fosses est généralisée, à part l’action des camions vidangeurs de l’Office National de</w:t>
      </w:r>
      <w:r>
        <w:rPr>
          <w:rFonts w:eastAsia="Verdana" w:cstheme="minorHAnsi"/>
          <w:i/>
          <w:iCs/>
        </w:rPr>
        <w:t xml:space="preserve"> </w:t>
      </w:r>
      <w:r w:rsidRPr="00BE7A39">
        <w:rPr>
          <w:rFonts w:eastAsia="Verdana" w:cstheme="minorHAnsi"/>
          <w:i/>
          <w:iCs/>
        </w:rPr>
        <w:t>l’Assainissement (ONAS) dans la capitale, et il n’existe aucune station de dépotage contrôlée des boues de vidange dans le pays en 2015.</w:t>
      </w:r>
    </w:p>
    <w:p w14:paraId="0C140D58" w14:textId="77777777" w:rsidR="008F2269" w:rsidRDefault="008F2269" w:rsidP="008F2269">
      <w:pPr>
        <w:autoSpaceDE w:val="0"/>
        <w:autoSpaceDN w:val="0"/>
        <w:adjustRightInd w:val="0"/>
        <w:spacing w:after="0" w:line="240" w:lineRule="auto"/>
        <w:jc w:val="both"/>
        <w:rPr>
          <w:rFonts w:eastAsia="Verdana" w:cstheme="minorHAnsi"/>
          <w:i/>
          <w:iCs/>
        </w:rPr>
      </w:pPr>
      <w:r w:rsidRPr="00624173">
        <w:rPr>
          <w:rFonts w:eastAsia="Verdana" w:cstheme="minorHAnsi"/>
          <w:i/>
          <w:iCs/>
        </w:rPr>
        <w:t>Au titre des instruments de politique de planification et de programmation il y a lieu de souligner</w:t>
      </w:r>
      <w:r>
        <w:rPr>
          <w:rFonts w:eastAsia="Verdana" w:cstheme="minorHAnsi"/>
          <w:i/>
          <w:iCs/>
        </w:rPr>
        <w:t xml:space="preserve"> : </w:t>
      </w:r>
      <w:r w:rsidRPr="00624173">
        <w:rPr>
          <w:rFonts w:eastAsia="Verdana" w:cstheme="minorHAnsi"/>
          <w:i/>
          <w:iCs/>
        </w:rPr>
        <w:t>La Stratégie de Croissance Accélérée pour la Prosp</w:t>
      </w:r>
      <w:r>
        <w:rPr>
          <w:rFonts w:eastAsia="Verdana" w:cstheme="minorHAnsi"/>
          <w:i/>
          <w:iCs/>
        </w:rPr>
        <w:t>érité Partagée SCAPP (2016-2030</w:t>
      </w:r>
      <w:r w:rsidRPr="00624173">
        <w:rPr>
          <w:rFonts w:eastAsia="Verdana" w:cstheme="minorHAnsi"/>
          <w:i/>
          <w:iCs/>
        </w:rPr>
        <w:t>) qui est le principal référentiel de</w:t>
      </w:r>
      <w:r>
        <w:rPr>
          <w:rFonts w:eastAsia="Verdana" w:cstheme="minorHAnsi"/>
          <w:i/>
          <w:iCs/>
        </w:rPr>
        <w:t xml:space="preserve"> </w:t>
      </w:r>
      <w:r w:rsidRPr="00624173">
        <w:rPr>
          <w:rFonts w:eastAsia="Verdana" w:cstheme="minorHAnsi"/>
          <w:i/>
          <w:iCs/>
        </w:rPr>
        <w:t>tous les se</w:t>
      </w:r>
      <w:r>
        <w:rPr>
          <w:rFonts w:eastAsia="Verdana" w:cstheme="minorHAnsi"/>
          <w:i/>
          <w:iCs/>
        </w:rPr>
        <w:t>cteurs de développement du pays</w:t>
      </w:r>
      <w:r w:rsidRPr="00624173">
        <w:rPr>
          <w:rFonts w:eastAsia="Verdana" w:cstheme="minorHAnsi"/>
          <w:i/>
          <w:iCs/>
        </w:rPr>
        <w:t xml:space="preserve">. La SCAPP traite de la question des ressources en eau au sein du levier 3 dans le chantier d’une meilleure gouvernance gouvernementale sous l’angle de la politique intégrée d’exploitation des écosystèmes, la préservation et valorisation des ressources et la protection des villes côtières contre les risques d’incursion marine et les inondations. </w:t>
      </w:r>
    </w:p>
    <w:p w14:paraId="78509B51" w14:textId="77777777" w:rsidR="008F2269" w:rsidRDefault="008F2269" w:rsidP="008F2269">
      <w:pPr>
        <w:autoSpaceDE w:val="0"/>
        <w:autoSpaceDN w:val="0"/>
        <w:adjustRightInd w:val="0"/>
        <w:spacing w:after="0" w:line="240" w:lineRule="auto"/>
        <w:jc w:val="both"/>
        <w:rPr>
          <w:rFonts w:eastAsia="Verdana" w:cstheme="minorHAnsi"/>
          <w:i/>
          <w:iCs/>
        </w:rPr>
      </w:pPr>
      <w:r w:rsidRPr="00624173">
        <w:rPr>
          <w:rFonts w:eastAsia="Verdana" w:cstheme="minorHAnsi"/>
          <w:i/>
          <w:iCs/>
        </w:rPr>
        <w:t>La Stratégie Nationale d’Accès Durable à l’Eau et à l’Assainissement (SNADEA 2017-2030)</w:t>
      </w:r>
      <w:r>
        <w:rPr>
          <w:rFonts w:eastAsia="Verdana" w:cstheme="minorHAnsi"/>
          <w:i/>
          <w:iCs/>
        </w:rPr>
        <w:t xml:space="preserve"> actualisée pour la période 2022-203</w:t>
      </w:r>
      <w:r w:rsidRPr="00624173">
        <w:rPr>
          <w:rFonts w:eastAsia="Verdana" w:cstheme="minorHAnsi"/>
          <w:i/>
          <w:iCs/>
        </w:rPr>
        <w:t xml:space="preserve"> est </w:t>
      </w:r>
      <w:r>
        <w:rPr>
          <w:rFonts w:eastAsia="Verdana" w:cstheme="minorHAnsi"/>
          <w:i/>
          <w:iCs/>
        </w:rPr>
        <w:t>structur</w:t>
      </w:r>
      <w:r w:rsidRPr="00624173">
        <w:rPr>
          <w:rFonts w:eastAsia="Verdana" w:cstheme="minorHAnsi"/>
          <w:i/>
          <w:iCs/>
        </w:rPr>
        <w:t xml:space="preserve">ée en 5 axes (Connaître, mobiliser et protéger les ressources en eau, Améliorer l’accès à l’assainissement, Améliorer l’accès à l’eau potable ; Améliorer l’accès à l’assainissement et </w:t>
      </w:r>
      <w:r w:rsidRPr="00AF201E">
        <w:rPr>
          <w:rFonts w:eastAsia="Verdana" w:cstheme="minorHAnsi"/>
          <w:i/>
          <w:iCs/>
        </w:rPr>
        <w:t>A</w:t>
      </w:r>
      <w:r w:rsidRPr="00624173">
        <w:rPr>
          <w:rFonts w:eastAsia="Verdana" w:cstheme="minorHAnsi"/>
          <w:i/>
          <w:iCs/>
        </w:rPr>
        <w:t xml:space="preserve">méliorer la gouvernance du secteur. </w:t>
      </w:r>
    </w:p>
    <w:p w14:paraId="47637507" w14:textId="77777777" w:rsidR="008F2269" w:rsidRPr="003967D3" w:rsidRDefault="008F2269" w:rsidP="008F2269">
      <w:pPr>
        <w:autoSpaceDE w:val="0"/>
        <w:autoSpaceDN w:val="0"/>
        <w:adjustRightInd w:val="0"/>
        <w:spacing w:after="0" w:line="240" w:lineRule="auto"/>
        <w:jc w:val="both"/>
        <w:rPr>
          <w:rFonts w:eastAsia="Verdana" w:cstheme="minorHAnsi"/>
          <w:i/>
          <w:iCs/>
        </w:rPr>
      </w:pPr>
      <w:r w:rsidRPr="00BE7A39">
        <w:rPr>
          <w:rFonts w:eastAsia="Verdana" w:cstheme="minorHAnsi"/>
          <w:i/>
          <w:iCs/>
        </w:rPr>
        <w:t>En termes de résultats d’analyse des stratégies, on observe que</w:t>
      </w:r>
      <w:r w:rsidRPr="003967D3">
        <w:rPr>
          <w:rFonts w:eastAsia="Verdana" w:cstheme="minorHAnsi"/>
          <w:i/>
          <w:iCs/>
        </w:rPr>
        <w:t xml:space="preserve"> </w:t>
      </w:r>
      <w:r w:rsidRPr="007D6E08">
        <w:rPr>
          <w:rFonts w:eastAsia="Verdana" w:cstheme="minorHAnsi"/>
          <w:i/>
          <w:iCs/>
        </w:rPr>
        <w:t>s</w:t>
      </w:r>
      <w:r w:rsidRPr="003967D3">
        <w:rPr>
          <w:rFonts w:eastAsia="Verdana" w:cstheme="minorHAnsi"/>
          <w:i/>
          <w:iCs/>
        </w:rPr>
        <w:t>elon le Programme Pays Mauritanie/FVC (PPM, version finale, mai 2020), les tendances climatiques observées en Mauritanie entre 1945 et 2010 sur 11 stations synoptiques montrent un réchauffemen</w:t>
      </w:r>
      <w:r>
        <w:rPr>
          <w:rFonts w:eastAsia="Verdana" w:cstheme="minorHAnsi"/>
          <w:i/>
          <w:iCs/>
        </w:rPr>
        <w:t xml:space="preserve">t </w:t>
      </w:r>
      <w:r w:rsidRPr="003967D3">
        <w:rPr>
          <w:rFonts w:eastAsia="Verdana" w:cstheme="minorHAnsi"/>
          <w:i/>
          <w:iCs/>
        </w:rPr>
        <w:t xml:space="preserve">et   une baisse drastique des pluies. </w:t>
      </w:r>
    </w:p>
    <w:p w14:paraId="4D8D5819" w14:textId="77777777" w:rsidR="008F2269" w:rsidRDefault="008F2269" w:rsidP="008F2269">
      <w:pPr>
        <w:autoSpaceDE w:val="0"/>
        <w:autoSpaceDN w:val="0"/>
        <w:adjustRightInd w:val="0"/>
        <w:spacing w:after="0" w:line="240" w:lineRule="auto"/>
        <w:jc w:val="both"/>
        <w:rPr>
          <w:rFonts w:eastAsia="Verdana" w:cstheme="minorHAnsi"/>
          <w:i/>
          <w:iCs/>
        </w:rPr>
      </w:pPr>
      <w:r w:rsidRPr="003967D3">
        <w:rPr>
          <w:rFonts w:eastAsia="Verdana" w:cstheme="minorHAnsi"/>
          <w:i/>
          <w:iCs/>
        </w:rPr>
        <w:t xml:space="preserve">Ces tendances se présentent  par des températures en hausse, par des vagues de chaleur et de froid ainsi que la sécheresse, une baisse générale des précipitations de l’ordre de 10 à 15% avec les conséquences imprévisibles sur l’agriculture, la santé et le bien-être des populations ; mais aussi par des retards et par des variations des intensités des pluies, des hausses de température ayant une incidence directe sur la nappe phréatique (épuisement des ressources)et les eaux de surface : baisse des volumes d’eau écoulés annuels (fleuve, lacs, mares, tamourts, etc.) et assèchements de plans d’eau de surface. </w:t>
      </w:r>
    </w:p>
    <w:p w14:paraId="427986A8" w14:textId="77777777" w:rsidR="008F2269" w:rsidRPr="003967D3" w:rsidRDefault="008F2269" w:rsidP="008F2269">
      <w:pPr>
        <w:autoSpaceDE w:val="0"/>
        <w:autoSpaceDN w:val="0"/>
        <w:adjustRightInd w:val="0"/>
        <w:spacing w:after="0" w:line="240" w:lineRule="auto"/>
        <w:jc w:val="both"/>
        <w:rPr>
          <w:rFonts w:eastAsia="Verdana" w:cstheme="minorHAnsi"/>
          <w:i/>
          <w:iCs/>
        </w:rPr>
      </w:pPr>
      <w:r>
        <w:rPr>
          <w:rFonts w:eastAsia="Verdana" w:cstheme="minorHAnsi"/>
          <w:i/>
          <w:iCs/>
        </w:rPr>
        <w:t>Ces conséquences imprévisibles</w:t>
      </w:r>
      <w:r w:rsidRPr="003967D3">
        <w:rPr>
          <w:rFonts w:eastAsia="Verdana" w:cstheme="minorHAnsi"/>
          <w:i/>
          <w:iCs/>
        </w:rPr>
        <w:t xml:space="preserve"> se traduisent par des inondations dévastatrices dues à des pluies diluviennes</w:t>
      </w:r>
      <w:r>
        <w:rPr>
          <w:rFonts w:eastAsia="Verdana" w:cstheme="minorHAnsi"/>
          <w:i/>
          <w:iCs/>
        </w:rPr>
        <w:t xml:space="preserve"> sur toutes les Wilayas</w:t>
      </w:r>
      <w:r w:rsidRPr="003967D3">
        <w:rPr>
          <w:rFonts w:eastAsia="Verdana" w:cstheme="minorHAnsi"/>
          <w:i/>
          <w:iCs/>
        </w:rPr>
        <w:t>. Dans la partie continentale, les risques d’ensablement des villes et villages, cumulées aux sécheresses, induisent la concentration des populations autour des zones humides, l’atomisation des établissements humains le long des axes routiers et le développement de l’exode rural vers les grandes villes, des impacts sur les ressources naturelles comportent la régression du couvert végétal ligneux et herbacé, sur la pêche océanique et  la pêche continentale (fleuve Sénégal et mares) entrainant des pertes de production, des assèchements de cours d’eau  et même parfois la disparition des métiers, enfin sur la santé sous l’angle de la situation nutritionnelle et des pathologi</w:t>
      </w:r>
      <w:r>
        <w:rPr>
          <w:rFonts w:eastAsia="Verdana" w:cstheme="minorHAnsi"/>
          <w:i/>
          <w:iCs/>
        </w:rPr>
        <w:t>es nutritionnelles des enfant</w:t>
      </w:r>
      <w:r w:rsidRPr="00817252">
        <w:rPr>
          <w:rFonts w:eastAsia="Verdana" w:cstheme="minorHAnsi"/>
          <w:i/>
          <w:iCs/>
        </w:rPr>
        <w:t>s</w:t>
      </w:r>
      <w:r w:rsidRPr="00817252">
        <w:rPr>
          <w:rFonts w:eastAsia="Verdana" w:cstheme="minorHAnsi"/>
          <w:i/>
          <w:iCs/>
          <w:color w:val="FF0000"/>
        </w:rPr>
        <w:t>.</w:t>
      </w:r>
    </w:p>
    <w:p w14:paraId="4B2FB120" w14:textId="77777777" w:rsidR="008F2269" w:rsidRPr="009A1C03" w:rsidRDefault="008F2269" w:rsidP="008F2269">
      <w:pPr>
        <w:pStyle w:val="Paragraphedeliste"/>
        <w:numPr>
          <w:ilvl w:val="0"/>
          <w:numId w:val="112"/>
        </w:numPr>
        <w:suppressAutoHyphens/>
        <w:autoSpaceDN w:val="0"/>
        <w:spacing w:before="240" w:after="0" w:line="240" w:lineRule="auto"/>
        <w:jc w:val="both"/>
        <w:textAlignment w:val="baseline"/>
        <w:rPr>
          <w:rFonts w:eastAsia="Verdana" w:cstheme="minorHAnsi"/>
          <w:b/>
          <w:bCs/>
          <w:i/>
          <w:iCs/>
        </w:rPr>
      </w:pPr>
      <w:r w:rsidRPr="009A1C03">
        <w:rPr>
          <w:rFonts w:eastAsia="Verdana" w:cstheme="minorHAnsi"/>
          <w:b/>
          <w:bCs/>
          <w:i/>
          <w:iCs/>
        </w:rPr>
        <w:t>Pour y remédier, les projets d’adaptation en lien avec le CC programmés dans le secteur de l’eau par la CDN 2015.  Pour les eaux de surface, ces projets se présentent comme suit :</w:t>
      </w:r>
    </w:p>
    <w:p w14:paraId="7FAAE725" w14:textId="77777777" w:rsidR="008F2269" w:rsidRPr="00FF5880" w:rsidRDefault="008F2269" w:rsidP="008F2269">
      <w:pPr>
        <w:pStyle w:val="Paragraphedeliste"/>
        <w:numPr>
          <w:ilvl w:val="0"/>
          <w:numId w:val="142"/>
        </w:numPr>
        <w:suppressAutoHyphens/>
        <w:autoSpaceDE w:val="0"/>
        <w:autoSpaceDN w:val="0"/>
        <w:adjustRightInd w:val="0"/>
        <w:spacing w:after="0" w:line="240" w:lineRule="auto"/>
        <w:ind w:left="357" w:hanging="357"/>
        <w:contextualSpacing w:val="0"/>
        <w:jc w:val="both"/>
        <w:textAlignment w:val="baseline"/>
        <w:rPr>
          <w:rFonts w:eastAsia="Verdana" w:cstheme="minorHAnsi"/>
          <w:i/>
          <w:iCs/>
        </w:rPr>
      </w:pPr>
      <w:r w:rsidRPr="00FF5880">
        <w:rPr>
          <w:rFonts w:eastAsia="Verdana" w:cstheme="minorHAnsi"/>
          <w:i/>
          <w:iCs/>
        </w:rPr>
        <w:t>La réalisation du projet d’AEP de la zone Nord du pays</w:t>
      </w:r>
      <w:r>
        <w:rPr>
          <w:rFonts w:eastAsia="Verdana" w:cstheme="minorHAnsi"/>
          <w:i/>
          <w:iCs/>
        </w:rPr>
        <w:t xml:space="preserve"> à partir du fleuve</w:t>
      </w:r>
      <w:r w:rsidRPr="00FF5880">
        <w:rPr>
          <w:rFonts w:eastAsia="Verdana" w:cstheme="minorHAnsi"/>
          <w:i/>
          <w:iCs/>
        </w:rPr>
        <w:t xml:space="preserve"> Sénégal ; </w:t>
      </w:r>
    </w:p>
    <w:p w14:paraId="5A72846E"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La réalisation du barrage de Tarf Elmehroud dans la Moughataa de Tintane au Hodh El Gharbi ;</w:t>
      </w:r>
    </w:p>
    <w:p w14:paraId="764F51E4"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La réalisation de bassins de rétention.</w:t>
      </w:r>
    </w:p>
    <w:p w14:paraId="5C05812D"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La réalisation des projets de dessalement pour les zones côtières et autres ;</w:t>
      </w:r>
    </w:p>
    <w:p w14:paraId="5A39842C"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La réalisation d’Assainissement (eaux usées et pluviales) de la ville de Nouakchott ; Rosso ; Kaédi ; Kiffa ; Nouadhibou, Néma, Aioun, Timbédra ; Akjoujt, Atar ;</w:t>
      </w:r>
    </w:p>
    <w:p w14:paraId="6B906A3E"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L’aménagement du bassin versant de l’Oued Ketchi et du Lac d’Aleg ;</w:t>
      </w:r>
    </w:p>
    <w:p w14:paraId="1E48B9B2" w14:textId="77777777" w:rsidR="008F2269" w:rsidRPr="000E692A" w:rsidRDefault="008F2269" w:rsidP="008F2269">
      <w:pPr>
        <w:pStyle w:val="Default"/>
        <w:numPr>
          <w:ilvl w:val="0"/>
          <w:numId w:val="142"/>
        </w:numPr>
        <w:jc w:val="both"/>
        <w:rPr>
          <w:rFonts w:eastAsia="Verdana" w:cstheme="minorHAnsi"/>
          <w:i/>
          <w:iCs/>
        </w:rPr>
      </w:pPr>
      <w:r w:rsidRPr="005825CF">
        <w:rPr>
          <w:rFonts w:asciiTheme="minorHAnsi" w:eastAsia="Verdana" w:hAnsiTheme="minorHAnsi" w:cstheme="minorHAnsi"/>
          <w:i/>
          <w:iCs/>
          <w:color w:val="auto"/>
          <w:sz w:val="22"/>
          <w:szCs w:val="22"/>
        </w:rPr>
        <w:t>Le</w:t>
      </w:r>
      <w:r w:rsidRPr="00FF5880">
        <w:rPr>
          <w:rFonts w:eastAsia="Verdana" w:cstheme="minorHAnsi"/>
          <w:i/>
          <w:iCs/>
        </w:rPr>
        <w:t xml:space="preserve"> renforcement de l’AEP de centres urbains.</w:t>
      </w:r>
    </w:p>
    <w:p w14:paraId="6708AE2A" w14:textId="77777777" w:rsidR="008F2269" w:rsidRPr="005825CF" w:rsidRDefault="008F2269" w:rsidP="008F2269">
      <w:pPr>
        <w:pStyle w:val="Paragraphedeliste"/>
        <w:numPr>
          <w:ilvl w:val="0"/>
          <w:numId w:val="112"/>
        </w:numPr>
        <w:suppressAutoHyphens/>
        <w:autoSpaceDN w:val="0"/>
        <w:spacing w:before="240" w:after="0" w:line="240" w:lineRule="auto"/>
        <w:jc w:val="both"/>
        <w:textAlignment w:val="baseline"/>
        <w:rPr>
          <w:rFonts w:eastAsia="Verdana" w:cstheme="minorHAnsi"/>
          <w:b/>
          <w:bCs/>
          <w:i/>
          <w:iCs/>
        </w:rPr>
      </w:pPr>
      <w:r w:rsidRPr="005825CF">
        <w:rPr>
          <w:rFonts w:eastAsia="Verdana" w:cstheme="minorHAnsi"/>
          <w:b/>
          <w:bCs/>
          <w:i/>
          <w:iCs/>
        </w:rPr>
        <w:t>Les principaux projets à mettre en œuvre par la SCAPP sont, notamment :</w:t>
      </w:r>
    </w:p>
    <w:p w14:paraId="530E6C8E"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Le Projet AEP Guérou et Kiffa à partir du fleuve Sénégal ;</w:t>
      </w:r>
    </w:p>
    <w:p w14:paraId="6B67619E"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Le Projet AEP Boghé-Aleg-Magtaa Lahjar à partir du fleuve Sénégal ;</w:t>
      </w:r>
    </w:p>
    <w:p w14:paraId="7818E906"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Le Projet AEP Aioun-Djiguenni à partir de la nappe du DHAR ;</w:t>
      </w:r>
    </w:p>
    <w:p w14:paraId="6EB08A7B"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Le projet Assainissement de la ville de Nouakchott (eaux pluviales) ;</w:t>
      </w:r>
    </w:p>
    <w:p w14:paraId="05BD81E7" w14:textId="77777777" w:rsidR="008F2269" w:rsidRPr="00FF5880" w:rsidRDefault="008F2269" w:rsidP="008F2269">
      <w:pPr>
        <w:pStyle w:val="Default"/>
        <w:numPr>
          <w:ilvl w:val="0"/>
          <w:numId w:val="142"/>
        </w:numPr>
        <w:jc w:val="both"/>
        <w:rPr>
          <w:rFonts w:eastAsia="Verdana" w:cstheme="minorHAnsi"/>
          <w:i/>
          <w:iCs/>
        </w:rPr>
      </w:pPr>
      <w:r w:rsidRPr="005825CF">
        <w:rPr>
          <w:rFonts w:asciiTheme="minorHAnsi" w:eastAsia="Verdana" w:hAnsiTheme="minorHAnsi" w:cstheme="minorHAnsi"/>
          <w:i/>
          <w:iCs/>
          <w:color w:val="auto"/>
          <w:sz w:val="22"/>
          <w:szCs w:val="22"/>
        </w:rPr>
        <w:t>Le Projet</w:t>
      </w:r>
      <w:r w:rsidRPr="00FF5880">
        <w:rPr>
          <w:rFonts w:eastAsia="Verdana" w:cstheme="minorHAnsi"/>
          <w:i/>
          <w:iCs/>
        </w:rPr>
        <w:t xml:space="preserve"> Assainissement de la ville de Nouadhibou ;</w:t>
      </w:r>
    </w:p>
    <w:p w14:paraId="522D4013" w14:textId="77777777" w:rsidR="008F2269" w:rsidRPr="005825CF" w:rsidRDefault="008F2269" w:rsidP="008F2269">
      <w:pPr>
        <w:pStyle w:val="Paragraphedeliste"/>
        <w:numPr>
          <w:ilvl w:val="0"/>
          <w:numId w:val="112"/>
        </w:numPr>
        <w:suppressAutoHyphens/>
        <w:autoSpaceDN w:val="0"/>
        <w:spacing w:before="240" w:after="0" w:line="240" w:lineRule="auto"/>
        <w:jc w:val="both"/>
        <w:textAlignment w:val="baseline"/>
        <w:rPr>
          <w:rFonts w:eastAsia="Verdana" w:cstheme="minorHAnsi"/>
          <w:b/>
          <w:bCs/>
          <w:i/>
          <w:iCs/>
        </w:rPr>
      </w:pPr>
      <w:r w:rsidRPr="005825CF">
        <w:rPr>
          <w:rFonts w:eastAsia="Verdana" w:cstheme="minorHAnsi"/>
          <w:b/>
          <w:bCs/>
          <w:i/>
          <w:iCs/>
        </w:rPr>
        <w:t xml:space="preserve">La SNADEA comporte </w:t>
      </w:r>
      <w:proofErr w:type="spellStart"/>
      <w:r w:rsidRPr="005825CF">
        <w:rPr>
          <w:rFonts w:eastAsia="Verdana" w:cstheme="minorHAnsi"/>
          <w:b/>
          <w:bCs/>
          <w:i/>
          <w:iCs/>
        </w:rPr>
        <w:t>trente trois</w:t>
      </w:r>
      <w:proofErr w:type="spellEnd"/>
      <w:r w:rsidRPr="005825CF">
        <w:rPr>
          <w:rFonts w:eastAsia="Verdana" w:cstheme="minorHAnsi"/>
          <w:b/>
          <w:bCs/>
          <w:i/>
          <w:iCs/>
        </w:rPr>
        <w:t xml:space="preserve"> (33) projets (point 3.2 et Annexe1 cadre harmonisé). </w:t>
      </w:r>
    </w:p>
    <w:p w14:paraId="2D000BD8" w14:textId="77777777" w:rsidR="008F2269" w:rsidRPr="009A5586"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FF5880">
        <w:rPr>
          <w:rFonts w:asciiTheme="minorHAnsi" w:eastAsia="Verdana" w:hAnsiTheme="minorHAnsi" w:cstheme="minorHAnsi"/>
          <w:i/>
          <w:iCs/>
          <w:color w:val="auto"/>
          <w:sz w:val="22"/>
          <w:szCs w:val="22"/>
        </w:rPr>
        <w:t>Le Programme Prioritaire 1 (PP1) lancé en janvier 2020 pour 25 mesures et actions couvrent les domaines essentiels pour les populations et le développement économique et social du pays. Pour consolider ce programme, un nouveau Progr</w:t>
      </w:r>
      <w:r>
        <w:rPr>
          <w:rFonts w:asciiTheme="minorHAnsi" w:eastAsia="Verdana" w:hAnsiTheme="minorHAnsi" w:cstheme="minorHAnsi"/>
          <w:i/>
          <w:iCs/>
          <w:color w:val="auto"/>
          <w:sz w:val="22"/>
          <w:szCs w:val="22"/>
        </w:rPr>
        <w:t xml:space="preserve">amme Prioritaire Elargi (PPE) de Son Excellence le </w:t>
      </w:r>
      <w:r w:rsidRPr="009A5586">
        <w:rPr>
          <w:rFonts w:asciiTheme="minorHAnsi" w:eastAsia="Verdana" w:hAnsiTheme="minorHAnsi" w:cstheme="minorHAnsi"/>
          <w:i/>
          <w:iCs/>
          <w:color w:val="auto"/>
          <w:sz w:val="22"/>
          <w:szCs w:val="22"/>
        </w:rPr>
        <w:t>Président de la République a été annoncé en septembre 2020 pour une période de 30 mois. De ce programme articulé en six axes, on retient pour le secteur de l’eau les mesures suivantes :</w:t>
      </w:r>
    </w:p>
    <w:p w14:paraId="75D3295E"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La construction de barrages : 172 Mio MRU en cours dans Programme prioritaire 1 (PP1) ;</w:t>
      </w:r>
    </w:p>
    <w:p w14:paraId="40E6FB6D"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La construction de seuils (PPE 2020-2022) : 90 Mio MRU en cours dans Programme prioritaire 1 (PP1) ;</w:t>
      </w:r>
    </w:p>
    <w:p w14:paraId="78485D3C"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La construction de 30 bassins de rétention des eaux pluviales (PPE 2020-2022) : 100 Mio MRU programmés, (Financement à rechercher) ; </w:t>
      </w:r>
    </w:p>
    <w:p w14:paraId="0B2DC26F"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 xml:space="preserve">La construction de barrages et seuils de ralentissement : 100 Mio MRU programmés, (Financement à rechercher) ; </w:t>
      </w:r>
    </w:p>
    <w:p w14:paraId="7588C4B5" w14:textId="77777777" w:rsidR="008F2269" w:rsidRPr="009A5586" w:rsidRDefault="008F2269" w:rsidP="008F2269">
      <w:pPr>
        <w:pStyle w:val="Default"/>
        <w:numPr>
          <w:ilvl w:val="0"/>
          <w:numId w:val="142"/>
        </w:numPr>
        <w:jc w:val="both"/>
        <w:rPr>
          <w:rFonts w:eastAsia="Verdana" w:cstheme="minorHAnsi"/>
          <w:i/>
          <w:iCs/>
        </w:rPr>
      </w:pPr>
      <w:r w:rsidRPr="005825CF">
        <w:rPr>
          <w:rFonts w:asciiTheme="minorHAnsi" w:eastAsia="Verdana" w:hAnsiTheme="minorHAnsi" w:cstheme="minorHAnsi"/>
          <w:i/>
          <w:iCs/>
          <w:color w:val="auto"/>
          <w:sz w:val="22"/>
          <w:szCs w:val="22"/>
        </w:rPr>
        <w:t>Le curage et recalibrage de trois axes hydrauliques le long de la vallée (PPE 2020-2022) : 300 Mio MRU programmés</w:t>
      </w:r>
      <w:r w:rsidRPr="009A5586">
        <w:rPr>
          <w:rFonts w:eastAsia="Verdana" w:cstheme="minorHAnsi"/>
          <w:i/>
          <w:iCs/>
        </w:rPr>
        <w:t xml:space="preserve">, (Financement à rechercher). </w:t>
      </w:r>
    </w:p>
    <w:p w14:paraId="1AEF504A" w14:textId="77777777" w:rsidR="008F2269" w:rsidRPr="009A1C03" w:rsidRDefault="008F2269" w:rsidP="008F2269">
      <w:pPr>
        <w:pStyle w:val="Default"/>
        <w:numPr>
          <w:ilvl w:val="0"/>
          <w:numId w:val="110"/>
        </w:numPr>
        <w:jc w:val="both"/>
        <w:rPr>
          <w:rFonts w:asciiTheme="minorHAnsi" w:eastAsia="Verdana" w:hAnsiTheme="minorHAnsi" w:cstheme="minorHAnsi"/>
          <w:b/>
          <w:bCs/>
          <w:i/>
          <w:iCs/>
          <w:color w:val="auto"/>
          <w:sz w:val="22"/>
          <w:szCs w:val="22"/>
        </w:rPr>
      </w:pPr>
      <w:r w:rsidRPr="009A1C03">
        <w:rPr>
          <w:rFonts w:asciiTheme="minorHAnsi" w:eastAsia="Verdana" w:hAnsiTheme="minorHAnsi" w:cstheme="minorHAnsi"/>
          <w:b/>
          <w:bCs/>
          <w:i/>
          <w:iCs/>
          <w:color w:val="auto"/>
          <w:sz w:val="22"/>
          <w:szCs w:val="22"/>
        </w:rPr>
        <w:t>Dans ce même cadre, la déclaration de la Politique Générale du Premier Ministre le 06 septembre 2020 prévoit les mesures suivantes :</w:t>
      </w:r>
    </w:p>
    <w:p w14:paraId="69E7D629"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Le lancement d’un nouveau projet visant la sécurisation, l’extension des installations de l’Aftout Essahli et la remise en état du système d’alimentation en eau potable de Nouakchott à partir d’Idini, (Financement à rechercher) ;</w:t>
      </w:r>
    </w:p>
    <w:p w14:paraId="7E0FD455" w14:textId="77777777" w:rsidR="008F2269" w:rsidRPr="009A5586" w:rsidRDefault="008F2269" w:rsidP="008F2269">
      <w:pPr>
        <w:pStyle w:val="Default"/>
        <w:numPr>
          <w:ilvl w:val="0"/>
          <w:numId w:val="142"/>
        </w:numPr>
        <w:jc w:val="both"/>
        <w:rPr>
          <w:rFonts w:eastAsia="Verdana" w:cstheme="minorHAnsi"/>
          <w:i/>
          <w:iCs/>
        </w:rPr>
      </w:pPr>
      <w:r w:rsidRPr="005825CF">
        <w:rPr>
          <w:rFonts w:asciiTheme="minorHAnsi" w:eastAsia="Verdana" w:hAnsiTheme="minorHAnsi" w:cstheme="minorHAnsi"/>
          <w:i/>
          <w:iCs/>
          <w:color w:val="auto"/>
          <w:sz w:val="22"/>
          <w:szCs w:val="22"/>
        </w:rPr>
        <w:t>Installation d'une centrale thermique de 5 MGW à Beninajii pour sécuriser l’approvisionnement en eau de la ville de Nouakchott par le réseau de l’Aftout Essahli (PPE 2020-2022) : 100 Mio MRU</w:t>
      </w:r>
      <w:r w:rsidRPr="009A5586">
        <w:rPr>
          <w:rFonts w:eastAsia="Verdana" w:cstheme="minorHAnsi"/>
          <w:i/>
          <w:iCs/>
        </w:rPr>
        <w:t xml:space="preserve"> programmés (Financement à rechercher) ;</w:t>
      </w:r>
    </w:p>
    <w:p w14:paraId="4051C13B" w14:textId="77777777" w:rsidR="008F2269" w:rsidRDefault="008F2269" w:rsidP="008F2269">
      <w:pPr>
        <w:autoSpaceDE w:val="0"/>
        <w:autoSpaceDN w:val="0"/>
        <w:adjustRightInd w:val="0"/>
        <w:spacing w:after="0" w:line="240" w:lineRule="auto"/>
        <w:jc w:val="both"/>
        <w:rPr>
          <w:rFonts w:eastAsia="Verdana" w:cstheme="minorHAnsi"/>
          <w:i/>
          <w:iCs/>
        </w:rPr>
      </w:pPr>
    </w:p>
    <w:p w14:paraId="1B6ED41F" w14:textId="77777777" w:rsidR="008F2269" w:rsidRPr="00FF164E" w:rsidRDefault="008F2269" w:rsidP="008F2269">
      <w:pPr>
        <w:autoSpaceDE w:val="0"/>
        <w:autoSpaceDN w:val="0"/>
        <w:adjustRightInd w:val="0"/>
        <w:spacing w:after="0" w:line="240" w:lineRule="auto"/>
        <w:jc w:val="both"/>
        <w:rPr>
          <w:rFonts w:eastAsia="Verdana" w:cstheme="minorHAnsi"/>
          <w:i/>
          <w:iCs/>
        </w:rPr>
      </w:pPr>
      <w:r w:rsidRPr="00FF164E">
        <w:rPr>
          <w:rFonts w:eastAsia="Verdana" w:cstheme="minorHAnsi"/>
          <w:i/>
          <w:iCs/>
        </w:rPr>
        <w:t xml:space="preserve">Quant aux lacunes et besoins de la SNADEA pour faire face aux enjeux du CC, on souligne notamment :  </w:t>
      </w:r>
    </w:p>
    <w:p w14:paraId="05CC5B05"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 xml:space="preserve">La nécessité de renforcer l’état des connaissances des ressources en eau de surface ; </w:t>
      </w:r>
    </w:p>
    <w:p w14:paraId="0BCC734F"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Aux plans juridique et institutionnel, il y’a lieu de clarifier les textes juridiques afin d’assainir les chevauchements juridiques intersectoriels ;</w:t>
      </w:r>
    </w:p>
    <w:p w14:paraId="3D7062C9"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Au plan du management caractérisé en particulier par des pertes techniques et commerciales, des efforts doivent être déployés pour assurer une meilleure gestion des ressources ;</w:t>
      </w:r>
    </w:p>
    <w:p w14:paraId="1B8A7EA1" w14:textId="77777777" w:rsidR="008F2269" w:rsidRPr="005825CF" w:rsidRDefault="008F2269" w:rsidP="008F2269">
      <w:pPr>
        <w:pStyle w:val="Default"/>
        <w:numPr>
          <w:ilvl w:val="0"/>
          <w:numId w:val="142"/>
        </w:numPr>
        <w:jc w:val="both"/>
        <w:rPr>
          <w:rFonts w:asciiTheme="minorHAnsi" w:eastAsia="Verdana" w:hAnsiTheme="minorHAnsi" w:cstheme="minorHAnsi"/>
          <w:i/>
          <w:iCs/>
          <w:color w:val="auto"/>
          <w:sz w:val="22"/>
          <w:szCs w:val="22"/>
        </w:rPr>
      </w:pPr>
      <w:r w:rsidRPr="005825CF">
        <w:rPr>
          <w:rFonts w:asciiTheme="minorHAnsi" w:eastAsia="Verdana" w:hAnsiTheme="minorHAnsi" w:cstheme="minorHAnsi"/>
          <w:i/>
          <w:iCs/>
          <w:color w:val="auto"/>
          <w:sz w:val="22"/>
          <w:szCs w:val="22"/>
        </w:rPr>
        <w:t>Au plan des risques d’impacts du CC sur l’assainissement, non pris en compte dans la SNADEA, des efforts de capacitation des acteurs du secteur sont nécessaires ;</w:t>
      </w:r>
    </w:p>
    <w:p w14:paraId="2B28B683" w14:textId="77777777" w:rsidR="008F2269" w:rsidRPr="001F50E0" w:rsidRDefault="008F2269" w:rsidP="008F2269">
      <w:pPr>
        <w:pStyle w:val="Default"/>
        <w:numPr>
          <w:ilvl w:val="0"/>
          <w:numId w:val="142"/>
        </w:numPr>
        <w:jc w:val="both"/>
        <w:rPr>
          <w:rFonts w:eastAsia="Verdana" w:cstheme="minorHAnsi"/>
          <w:i/>
          <w:iCs/>
        </w:rPr>
      </w:pPr>
      <w:r w:rsidRPr="005825CF">
        <w:rPr>
          <w:rFonts w:asciiTheme="minorHAnsi" w:eastAsia="Verdana" w:hAnsiTheme="minorHAnsi" w:cstheme="minorHAnsi"/>
          <w:i/>
          <w:iCs/>
          <w:color w:val="auto"/>
          <w:sz w:val="22"/>
          <w:szCs w:val="22"/>
        </w:rPr>
        <w:t>Au plan du suivi-évaluation, pierre angulaire de toute politique de développent, le secteur doit y a</w:t>
      </w:r>
      <w:r w:rsidRPr="001F50E0">
        <w:rPr>
          <w:rFonts w:eastAsia="Verdana" w:cstheme="minorHAnsi"/>
          <w:i/>
          <w:iCs/>
        </w:rPr>
        <w:t>pporter plus d’attention ;</w:t>
      </w:r>
    </w:p>
    <w:p w14:paraId="53EE9921" w14:textId="77777777" w:rsidR="008F2269" w:rsidRPr="003967D3" w:rsidRDefault="008F2269" w:rsidP="008F2269">
      <w:pPr>
        <w:autoSpaceDE w:val="0"/>
        <w:autoSpaceDN w:val="0"/>
        <w:adjustRightInd w:val="0"/>
        <w:spacing w:after="0" w:line="240" w:lineRule="auto"/>
        <w:jc w:val="both"/>
        <w:rPr>
          <w:rFonts w:eastAsia="Verdana" w:cstheme="minorHAnsi"/>
          <w:i/>
          <w:iCs/>
        </w:rPr>
      </w:pPr>
      <w:r w:rsidRPr="003967D3">
        <w:rPr>
          <w:rFonts w:eastAsia="Verdana" w:cstheme="minorHAnsi"/>
          <w:i/>
          <w:iCs/>
        </w:rPr>
        <w:t>Enfin des recommandations ont été formulées autour de deux axes, à savoir, (i) le renforcement des capacités, planification, mise en œuvre et de suivi et (ii) le processus</w:t>
      </w:r>
      <w:r>
        <w:rPr>
          <w:rFonts w:eastAsia="Verdana" w:cstheme="minorHAnsi"/>
          <w:i/>
          <w:iCs/>
        </w:rPr>
        <w:t xml:space="preserve"> climat et ressources en eau : </w:t>
      </w:r>
    </w:p>
    <w:p w14:paraId="03756327" w14:textId="77777777" w:rsidR="008F2269" w:rsidRPr="005825CF" w:rsidRDefault="008F2269" w:rsidP="008F2269">
      <w:pPr>
        <w:pStyle w:val="Paragraphedeliste"/>
        <w:numPr>
          <w:ilvl w:val="0"/>
          <w:numId w:val="112"/>
        </w:numPr>
        <w:suppressAutoHyphens/>
        <w:autoSpaceDN w:val="0"/>
        <w:spacing w:before="240" w:after="0" w:line="240" w:lineRule="auto"/>
        <w:jc w:val="both"/>
        <w:textAlignment w:val="baseline"/>
        <w:rPr>
          <w:rFonts w:eastAsia="Verdana" w:cstheme="minorHAnsi"/>
          <w:b/>
          <w:bCs/>
          <w:i/>
          <w:iCs/>
        </w:rPr>
      </w:pPr>
      <w:r w:rsidRPr="005825CF">
        <w:rPr>
          <w:rFonts w:eastAsia="Verdana" w:cstheme="minorHAnsi"/>
          <w:b/>
          <w:bCs/>
          <w:i/>
          <w:iCs/>
        </w:rPr>
        <w:t>Renforcement des capacités de planification, de mise en œuvre et de suivi :</w:t>
      </w:r>
    </w:p>
    <w:p w14:paraId="496992AE" w14:textId="77777777" w:rsidR="008F2269" w:rsidRPr="003967D3" w:rsidRDefault="008F2269" w:rsidP="008F2269">
      <w:pPr>
        <w:pStyle w:val="Default"/>
        <w:numPr>
          <w:ilvl w:val="0"/>
          <w:numId w:val="142"/>
        </w:numPr>
        <w:jc w:val="both"/>
        <w:rPr>
          <w:rFonts w:eastAsia="Verdana" w:cstheme="minorHAnsi"/>
          <w:i/>
          <w:iCs/>
        </w:rPr>
      </w:pPr>
      <w:r w:rsidRPr="003967D3">
        <w:rPr>
          <w:rFonts w:eastAsia="Verdana" w:cstheme="minorHAnsi"/>
          <w:i/>
          <w:iCs/>
        </w:rPr>
        <w:t xml:space="preserve">Assurer une meilleure connaissance des ressources en eau de surface et souterraine ; </w:t>
      </w:r>
    </w:p>
    <w:p w14:paraId="722CE9EF" w14:textId="77777777" w:rsidR="008F2269" w:rsidRPr="005825CF" w:rsidRDefault="008F2269" w:rsidP="008F2269">
      <w:pPr>
        <w:pStyle w:val="Default"/>
        <w:numPr>
          <w:ilvl w:val="0"/>
          <w:numId w:val="142"/>
        </w:numPr>
        <w:jc w:val="both"/>
        <w:rPr>
          <w:rFonts w:eastAsia="Verdana" w:cstheme="minorHAnsi"/>
          <w:i/>
          <w:iCs/>
        </w:rPr>
      </w:pPr>
      <w:r w:rsidRPr="005825CF">
        <w:rPr>
          <w:rFonts w:eastAsia="Verdana" w:cstheme="minorHAnsi"/>
          <w:i/>
          <w:iCs/>
        </w:rPr>
        <w:t>En coordination avec les ministères compétents comme le Ministère de l’Economie et des Finances, appuyer l’intégration des priorités mises en avant dans la Communication Nationale et autres stratégies climatiques nationales dans la stratégie sectorielle en matière d’eau et assainissement. Dans ce cadre, il y’a lieu de renforcer le mécanisme national de coordination piloté par le MEDD (CNEDD</w:t>
      </w:r>
      <w:r w:rsidRPr="005825CF">
        <w:rPr>
          <w:iCs/>
        </w:rPr>
        <w:footnoteReference w:id="48"/>
      </w:r>
      <w:r w:rsidRPr="005825CF">
        <w:rPr>
          <w:rFonts w:eastAsia="Verdana" w:cstheme="minorHAnsi"/>
          <w:i/>
          <w:iCs/>
        </w:rPr>
        <w:t xml:space="preserve"> et ses démembrements) afin d’encourager un dialogue de proximité entre les ministères responsables de l’environnement/du climat, de l’eau, de l’énergie, de l’agriculture, de l’élevage, de la planification, etc.</w:t>
      </w:r>
      <w:r w:rsidRPr="0068431F">
        <w:rPr>
          <w:rFonts w:eastAsia="Verdana" w:cstheme="minorHAnsi"/>
          <w:i/>
          <w:iCs/>
        </w:rPr>
        <w:t xml:space="preserve"> ;</w:t>
      </w:r>
    </w:p>
    <w:p w14:paraId="40177607" w14:textId="77777777" w:rsidR="008F2269" w:rsidRDefault="008F2269" w:rsidP="008F2269">
      <w:pPr>
        <w:pStyle w:val="Default"/>
        <w:numPr>
          <w:ilvl w:val="0"/>
          <w:numId w:val="142"/>
        </w:numPr>
        <w:jc w:val="both"/>
        <w:rPr>
          <w:rFonts w:eastAsia="Verdana" w:cstheme="minorHAnsi"/>
          <w:i/>
          <w:iCs/>
        </w:rPr>
      </w:pPr>
      <w:r w:rsidRPr="003967D3">
        <w:rPr>
          <w:rFonts w:eastAsia="Verdana" w:cstheme="minorHAnsi"/>
          <w:i/>
          <w:iCs/>
        </w:rPr>
        <w:t>Appuyer la recherche universitaire et les collaborations avec des institutions publiques et privées qui investissent dans des infrastructures et des technologies dites « sans regret », à l’épreuve du changement climatique et spécifiques au secteur de l’eau et assainissement ;</w:t>
      </w:r>
    </w:p>
    <w:p w14:paraId="5F17BC4A" w14:textId="77777777" w:rsidR="008F2269" w:rsidRPr="0068431F" w:rsidRDefault="008F2269" w:rsidP="008F2269">
      <w:pPr>
        <w:pStyle w:val="Default"/>
        <w:numPr>
          <w:ilvl w:val="0"/>
          <w:numId w:val="142"/>
        </w:numPr>
        <w:jc w:val="both"/>
        <w:rPr>
          <w:rFonts w:eastAsia="Verdana" w:cstheme="minorHAnsi"/>
          <w:i/>
          <w:iCs/>
        </w:rPr>
      </w:pPr>
      <w:r w:rsidRPr="0068431F">
        <w:rPr>
          <w:rFonts w:eastAsia="Verdana" w:cstheme="minorHAnsi"/>
          <w:i/>
          <w:iCs/>
        </w:rPr>
        <w:t>L’amélioration de divers instruments de gouvernance du secteur : (i) La mise en place et vulgarisation de la bonne gouvernance de l’eau et de l’assainissement au plan juridique, institutionnel, technique, (ii) L’élaboration concertée d’une Stratégie Nationale des Zones Humides et (iii) La mise en place d’un Système d’Information Intégré sur l’Eau (SIIE) ;</w:t>
      </w:r>
    </w:p>
    <w:p w14:paraId="2C9F433E" w14:textId="77777777" w:rsidR="008F2269" w:rsidRPr="005825CF" w:rsidRDefault="008F2269" w:rsidP="008F2269">
      <w:pPr>
        <w:pStyle w:val="Paragraphedeliste"/>
        <w:numPr>
          <w:ilvl w:val="0"/>
          <w:numId w:val="112"/>
        </w:numPr>
        <w:suppressAutoHyphens/>
        <w:autoSpaceDN w:val="0"/>
        <w:spacing w:before="240" w:after="0" w:line="240" w:lineRule="auto"/>
        <w:jc w:val="both"/>
        <w:textAlignment w:val="baseline"/>
        <w:rPr>
          <w:rFonts w:eastAsia="Verdana" w:cstheme="minorHAnsi"/>
          <w:b/>
          <w:bCs/>
          <w:i/>
          <w:iCs/>
        </w:rPr>
      </w:pPr>
      <w:r w:rsidRPr="005825CF">
        <w:rPr>
          <w:rFonts w:eastAsia="Verdana" w:cstheme="minorHAnsi"/>
          <w:b/>
          <w:bCs/>
          <w:i/>
          <w:iCs/>
        </w:rPr>
        <w:t>Processus du changement climatique et ressources en eau :</w:t>
      </w:r>
    </w:p>
    <w:p w14:paraId="74E36BA0" w14:textId="77777777" w:rsidR="008F2269" w:rsidRPr="003967D3" w:rsidRDefault="008F2269" w:rsidP="008F2269">
      <w:pPr>
        <w:pStyle w:val="Default"/>
        <w:numPr>
          <w:ilvl w:val="0"/>
          <w:numId w:val="142"/>
        </w:numPr>
        <w:jc w:val="both"/>
        <w:rPr>
          <w:rFonts w:eastAsia="Verdana" w:cstheme="minorHAnsi"/>
          <w:i/>
          <w:iCs/>
        </w:rPr>
      </w:pPr>
      <w:r w:rsidRPr="003967D3">
        <w:rPr>
          <w:rFonts w:eastAsia="Verdana" w:cstheme="minorHAnsi"/>
          <w:i/>
          <w:iCs/>
        </w:rPr>
        <w:t>Doter le pays de projections climatiques à une échelle plus adéquate pour établir des critères et développer un ensemble de priorités en matière d’interventions dans les secteurs de l’eau et de l’assainissement ;</w:t>
      </w:r>
    </w:p>
    <w:p w14:paraId="53A4CB9D" w14:textId="77777777" w:rsidR="008F2269" w:rsidRPr="003967D3" w:rsidRDefault="008F2269" w:rsidP="008F2269">
      <w:pPr>
        <w:pStyle w:val="Default"/>
        <w:numPr>
          <w:ilvl w:val="0"/>
          <w:numId w:val="142"/>
        </w:numPr>
        <w:jc w:val="both"/>
        <w:rPr>
          <w:rFonts w:eastAsia="Verdana" w:cstheme="minorHAnsi"/>
          <w:i/>
          <w:iCs/>
        </w:rPr>
      </w:pPr>
      <w:r w:rsidRPr="003967D3">
        <w:rPr>
          <w:rFonts w:eastAsia="Verdana" w:cstheme="minorHAnsi"/>
          <w:i/>
          <w:iCs/>
        </w:rPr>
        <w:t xml:space="preserve">Mieux investir dans l’expansion de réseaux d’observation hydrologique et météorologique, de sorte que des données climatiques soient disponibles et partagées pour mieux éclairer les décisions </w:t>
      </w:r>
      <w:r>
        <w:rPr>
          <w:rFonts w:eastAsia="Verdana" w:cstheme="minorHAnsi"/>
          <w:i/>
          <w:iCs/>
        </w:rPr>
        <w:t xml:space="preserve">à prendre </w:t>
      </w:r>
      <w:r w:rsidRPr="003967D3">
        <w:rPr>
          <w:rFonts w:eastAsia="Verdana" w:cstheme="minorHAnsi"/>
          <w:i/>
          <w:iCs/>
        </w:rPr>
        <w:t>dans le secteur de l’eau ;</w:t>
      </w:r>
    </w:p>
    <w:p w14:paraId="742434DA" w14:textId="77777777" w:rsidR="008F2269" w:rsidRPr="003967D3" w:rsidRDefault="008F2269" w:rsidP="008F2269">
      <w:pPr>
        <w:pStyle w:val="Default"/>
        <w:numPr>
          <w:ilvl w:val="0"/>
          <w:numId w:val="142"/>
        </w:numPr>
        <w:jc w:val="both"/>
        <w:rPr>
          <w:rFonts w:eastAsia="Verdana" w:cstheme="minorHAnsi"/>
          <w:i/>
          <w:iCs/>
        </w:rPr>
      </w:pPr>
      <w:r w:rsidRPr="003967D3">
        <w:rPr>
          <w:rFonts w:eastAsia="Verdana" w:cstheme="minorHAnsi"/>
          <w:i/>
          <w:iCs/>
        </w:rPr>
        <w:t xml:space="preserve">Élaborer des stratégies d’adaptation à l’échelle des régions et des bassins, afin de maximiser l’efficacité </w:t>
      </w:r>
      <w:r>
        <w:rPr>
          <w:rFonts w:eastAsia="Verdana" w:cstheme="minorHAnsi"/>
          <w:i/>
          <w:iCs/>
        </w:rPr>
        <w:t xml:space="preserve">de l’évaluation de la vulnérabilité et </w:t>
      </w:r>
      <w:r w:rsidRPr="003967D3">
        <w:rPr>
          <w:rFonts w:eastAsia="Verdana" w:cstheme="minorHAnsi"/>
          <w:i/>
          <w:iCs/>
        </w:rPr>
        <w:t>des mesures d’adaptation ;</w:t>
      </w:r>
    </w:p>
    <w:p w14:paraId="2C0C81D6" w14:textId="77777777" w:rsidR="008F2269" w:rsidRPr="003967D3" w:rsidRDefault="008F2269" w:rsidP="008F2269">
      <w:pPr>
        <w:pStyle w:val="Default"/>
        <w:numPr>
          <w:ilvl w:val="0"/>
          <w:numId w:val="142"/>
        </w:numPr>
        <w:jc w:val="both"/>
        <w:rPr>
          <w:rFonts w:eastAsia="Verdana" w:cstheme="minorHAnsi"/>
          <w:i/>
          <w:iCs/>
        </w:rPr>
      </w:pPr>
      <w:r w:rsidRPr="003967D3">
        <w:rPr>
          <w:rFonts w:eastAsia="Verdana" w:cstheme="minorHAnsi"/>
          <w:i/>
          <w:iCs/>
        </w:rPr>
        <w:t>La protection de l’eau doit figurer dans l’ensemble des mesures et plans relatifs au</w:t>
      </w:r>
      <w:r>
        <w:rPr>
          <w:rFonts w:eastAsia="Verdana" w:cstheme="minorHAnsi"/>
          <w:i/>
          <w:iCs/>
        </w:rPr>
        <w:t xml:space="preserve"> </w:t>
      </w:r>
      <w:proofErr w:type="gramStart"/>
      <w:r>
        <w:rPr>
          <w:rFonts w:eastAsia="Verdana" w:cstheme="minorHAnsi"/>
          <w:i/>
          <w:iCs/>
        </w:rPr>
        <w:t>CC;</w:t>
      </w:r>
      <w:proofErr w:type="gramEnd"/>
      <w:r w:rsidRPr="003967D3">
        <w:rPr>
          <w:rFonts w:eastAsia="Verdana" w:cstheme="minorHAnsi"/>
          <w:i/>
          <w:iCs/>
        </w:rPr>
        <w:t xml:space="preserve"> </w:t>
      </w:r>
    </w:p>
    <w:p w14:paraId="76DDC548" w14:textId="77777777" w:rsidR="008F2269" w:rsidRPr="003967D3" w:rsidRDefault="008F2269" w:rsidP="008F2269">
      <w:pPr>
        <w:pStyle w:val="Default"/>
        <w:numPr>
          <w:ilvl w:val="0"/>
          <w:numId w:val="142"/>
        </w:numPr>
        <w:jc w:val="both"/>
        <w:rPr>
          <w:rFonts w:eastAsia="Verdana" w:cstheme="minorHAnsi"/>
          <w:i/>
          <w:iCs/>
        </w:rPr>
      </w:pPr>
      <w:r w:rsidRPr="003967D3">
        <w:rPr>
          <w:rFonts w:eastAsia="Verdana" w:cstheme="minorHAnsi"/>
          <w:i/>
          <w:iCs/>
        </w:rPr>
        <w:t>Renforcer les capacités et sensibiliser à une gestion adaptative de l’eau, y compris à l’importance et aux avantages d’une coopération transfrontalière</w:t>
      </w:r>
      <w:r>
        <w:rPr>
          <w:rFonts w:eastAsia="Verdana" w:cstheme="minorHAnsi"/>
          <w:i/>
          <w:iCs/>
        </w:rPr>
        <w:t xml:space="preserve"> (Mali, Mauritanie et Sénégal), </w:t>
      </w:r>
      <w:r w:rsidRPr="003967D3">
        <w:rPr>
          <w:rFonts w:eastAsia="Verdana" w:cstheme="minorHAnsi"/>
          <w:i/>
          <w:iCs/>
        </w:rPr>
        <w:t>afin de garantir l’efficacité des accords et des mécanismes de suivi, ainsi que des solutions d’adaptation au changement climatique ;</w:t>
      </w:r>
    </w:p>
    <w:p w14:paraId="34E6537E" w14:textId="77777777" w:rsidR="008F2269" w:rsidRPr="003967D3" w:rsidRDefault="008F2269" w:rsidP="008F2269">
      <w:pPr>
        <w:pStyle w:val="Default"/>
        <w:numPr>
          <w:ilvl w:val="0"/>
          <w:numId w:val="142"/>
        </w:numPr>
        <w:jc w:val="both"/>
        <w:rPr>
          <w:rFonts w:eastAsia="Verdana" w:cstheme="minorHAnsi"/>
          <w:i/>
          <w:iCs/>
        </w:rPr>
      </w:pPr>
      <w:r w:rsidRPr="003967D3">
        <w:rPr>
          <w:rFonts w:eastAsia="Verdana" w:cstheme="minorHAnsi"/>
          <w:i/>
          <w:iCs/>
        </w:rPr>
        <w:t xml:space="preserve">Renforcer les modalités de financement par des fonds pour le climat, nouveaux ou existants, qui favorisent le financement d’approches intégrées pour un renforcement des capacités de résilience au changement climatique par une gouvernance et une gestion améliorée de </w:t>
      </w:r>
      <w:r>
        <w:rPr>
          <w:rFonts w:eastAsia="Verdana" w:cstheme="minorHAnsi"/>
          <w:i/>
          <w:iCs/>
        </w:rPr>
        <w:t>l’eau.</w:t>
      </w:r>
    </w:p>
    <w:p w14:paraId="031DD7D4" w14:textId="77777777" w:rsidR="008F2269" w:rsidRDefault="008F2269" w:rsidP="008F2269">
      <w:pPr>
        <w:spacing w:after="0" w:line="240" w:lineRule="auto"/>
        <w:jc w:val="both"/>
        <w:rPr>
          <w:rFonts w:cstheme="minorHAnsi"/>
          <w:i/>
          <w:iCs/>
        </w:rPr>
      </w:pPr>
    </w:p>
    <w:bookmarkStart w:id="60" w:name="_Toc47874619" w:displacedByCustomXml="next"/>
    <w:bookmarkStart w:id="61" w:name="_Toc51854342" w:displacedByCustomXml="next"/>
    <w:bookmarkStart w:id="62" w:name="_Toc51930334" w:displacedByCustomXml="next"/>
    <w:sdt>
      <w:sdtPr>
        <w:rPr>
          <w:rFonts w:asciiTheme="minorHAnsi" w:eastAsiaTheme="minorHAnsi" w:hAnsiTheme="minorHAnsi" w:cstheme="minorBidi"/>
          <w:b/>
          <w:bCs/>
          <w:color w:val="auto"/>
          <w:sz w:val="22"/>
          <w:szCs w:val="22"/>
          <w:lang w:eastAsia="en-US"/>
        </w:rPr>
        <w:id w:val="-765461383"/>
        <w:docPartObj>
          <w:docPartGallery w:val="Table of Contents"/>
          <w:docPartUnique/>
        </w:docPartObj>
      </w:sdtPr>
      <w:sdtEndPr>
        <w:rPr>
          <w:b w:val="0"/>
          <w:bCs w:val="0"/>
        </w:rPr>
      </w:sdtEndPr>
      <w:sdtContent>
        <w:p w14:paraId="2AED8555" w14:textId="77777777" w:rsidR="008F2269" w:rsidRDefault="008F2269" w:rsidP="008F2269">
          <w:pPr>
            <w:pStyle w:val="En-ttedetabledesmatires"/>
          </w:pPr>
          <w:r>
            <w:t>Table des matières</w:t>
          </w:r>
        </w:p>
        <w:p w14:paraId="7520D2E3" w14:textId="77777777" w:rsidR="008F2269" w:rsidRDefault="008F2269" w:rsidP="008F2269">
          <w:pPr>
            <w:pStyle w:val="TM1"/>
            <w:rPr>
              <w:rFonts w:eastAsiaTheme="minorEastAsia"/>
              <w:lang w:eastAsia="fr-FR"/>
            </w:rPr>
          </w:pPr>
          <w:r>
            <w:rPr>
              <w:rFonts w:cstheme="minorHAnsi"/>
            </w:rPr>
            <w:fldChar w:fldCharType="begin"/>
          </w:r>
          <w:r>
            <w:instrText xml:space="preserve"> TOC \o "1-3" \h \z \u </w:instrText>
          </w:r>
          <w:r>
            <w:rPr>
              <w:rFonts w:cstheme="minorHAnsi"/>
            </w:rPr>
            <w:fldChar w:fldCharType="separate"/>
          </w:r>
          <w:hyperlink w:anchor="_Toc180318660" w:history="1">
            <w:r w:rsidRPr="00A8440F">
              <w:rPr>
                <w:rStyle w:val="Lienhypertexte"/>
              </w:rPr>
              <w:t>RESUME EXECUTIF</w:t>
            </w:r>
            <w:r>
              <w:rPr>
                <w:webHidden/>
              </w:rPr>
              <w:tab/>
            </w:r>
            <w:r>
              <w:rPr>
                <w:webHidden/>
              </w:rPr>
              <w:fldChar w:fldCharType="begin"/>
            </w:r>
            <w:r>
              <w:rPr>
                <w:webHidden/>
              </w:rPr>
              <w:instrText xml:space="preserve"> PAGEREF _Toc180318660 \h </w:instrText>
            </w:r>
            <w:r>
              <w:rPr>
                <w:webHidden/>
              </w:rPr>
            </w:r>
            <w:r>
              <w:rPr>
                <w:webHidden/>
              </w:rPr>
              <w:fldChar w:fldCharType="separate"/>
            </w:r>
            <w:r>
              <w:rPr>
                <w:webHidden/>
              </w:rPr>
              <w:t>2</w:t>
            </w:r>
            <w:r>
              <w:rPr>
                <w:webHidden/>
              </w:rPr>
              <w:fldChar w:fldCharType="end"/>
            </w:r>
          </w:hyperlink>
        </w:p>
        <w:p w14:paraId="07474A7A" w14:textId="77777777" w:rsidR="008F2269" w:rsidRDefault="008F2269" w:rsidP="008F2269">
          <w:pPr>
            <w:pStyle w:val="TM1"/>
            <w:rPr>
              <w:rFonts w:eastAsiaTheme="minorEastAsia"/>
              <w:lang w:eastAsia="fr-FR"/>
            </w:rPr>
          </w:pPr>
          <w:hyperlink w:anchor="_Toc180318661" w:history="1">
            <w:r w:rsidRPr="00A8440F">
              <w:rPr>
                <w:rStyle w:val="Lienhypertexte"/>
              </w:rPr>
              <w:t>LISTE DES ABREVIATIONS ET ACRONYMES</w:t>
            </w:r>
            <w:r>
              <w:rPr>
                <w:webHidden/>
              </w:rPr>
              <w:tab/>
            </w:r>
            <w:r>
              <w:rPr>
                <w:webHidden/>
              </w:rPr>
              <w:fldChar w:fldCharType="begin"/>
            </w:r>
            <w:r>
              <w:rPr>
                <w:webHidden/>
              </w:rPr>
              <w:instrText xml:space="preserve"> PAGEREF _Toc180318661 \h </w:instrText>
            </w:r>
            <w:r>
              <w:rPr>
                <w:webHidden/>
              </w:rPr>
            </w:r>
            <w:r>
              <w:rPr>
                <w:webHidden/>
              </w:rPr>
              <w:fldChar w:fldCharType="separate"/>
            </w:r>
            <w:r>
              <w:rPr>
                <w:webHidden/>
              </w:rPr>
              <w:t>7</w:t>
            </w:r>
            <w:r>
              <w:rPr>
                <w:webHidden/>
              </w:rPr>
              <w:fldChar w:fldCharType="end"/>
            </w:r>
          </w:hyperlink>
        </w:p>
        <w:p w14:paraId="5500CF1C" w14:textId="77777777" w:rsidR="008F2269" w:rsidRDefault="008F2269" w:rsidP="008F2269">
          <w:pPr>
            <w:pStyle w:val="TM1"/>
            <w:rPr>
              <w:rFonts w:eastAsiaTheme="minorEastAsia"/>
              <w:lang w:eastAsia="fr-FR"/>
            </w:rPr>
          </w:pPr>
          <w:hyperlink w:anchor="_Toc180318662" w:history="1">
            <w:r w:rsidRPr="00A8440F">
              <w:rPr>
                <w:rStyle w:val="Lienhypertexte"/>
              </w:rPr>
              <w:t>INTRODUCTION</w:t>
            </w:r>
            <w:r>
              <w:rPr>
                <w:webHidden/>
              </w:rPr>
              <w:tab/>
            </w:r>
            <w:r>
              <w:rPr>
                <w:webHidden/>
              </w:rPr>
              <w:fldChar w:fldCharType="begin"/>
            </w:r>
            <w:r>
              <w:rPr>
                <w:webHidden/>
              </w:rPr>
              <w:instrText xml:space="preserve"> PAGEREF _Toc180318662 \h </w:instrText>
            </w:r>
            <w:r>
              <w:rPr>
                <w:webHidden/>
              </w:rPr>
            </w:r>
            <w:r>
              <w:rPr>
                <w:webHidden/>
              </w:rPr>
              <w:fldChar w:fldCharType="separate"/>
            </w:r>
            <w:r>
              <w:rPr>
                <w:webHidden/>
              </w:rPr>
              <w:t>10</w:t>
            </w:r>
            <w:r>
              <w:rPr>
                <w:webHidden/>
              </w:rPr>
              <w:fldChar w:fldCharType="end"/>
            </w:r>
          </w:hyperlink>
        </w:p>
        <w:p w14:paraId="1B164622" w14:textId="77777777" w:rsidR="008F2269" w:rsidRPr="009F3B6D" w:rsidRDefault="008F2269" w:rsidP="008F2269">
          <w:pPr>
            <w:pStyle w:val="TM1"/>
            <w:rPr>
              <w:rFonts w:eastAsiaTheme="minorEastAsia"/>
              <w:lang w:eastAsia="fr-FR"/>
            </w:rPr>
          </w:pPr>
          <w:hyperlink w:anchor="_Toc180318663" w:history="1">
            <w:r w:rsidRPr="009F3B6D">
              <w:rPr>
                <w:rStyle w:val="Lienhypertexte"/>
              </w:rPr>
              <w:t>CHAPITRE 1 : COMPREHENSION DES TERMES DE REFERENCE</w:t>
            </w:r>
            <w:r w:rsidRPr="009F3B6D">
              <w:rPr>
                <w:webHidden/>
              </w:rPr>
              <w:tab/>
            </w:r>
            <w:r w:rsidRPr="009F3B6D">
              <w:rPr>
                <w:webHidden/>
              </w:rPr>
              <w:fldChar w:fldCharType="begin"/>
            </w:r>
            <w:r w:rsidRPr="009F3B6D">
              <w:rPr>
                <w:webHidden/>
              </w:rPr>
              <w:instrText xml:space="preserve"> PAGEREF _Toc180318663 \h </w:instrText>
            </w:r>
            <w:r w:rsidRPr="009F3B6D">
              <w:rPr>
                <w:webHidden/>
              </w:rPr>
            </w:r>
            <w:r w:rsidRPr="009F3B6D">
              <w:rPr>
                <w:webHidden/>
              </w:rPr>
              <w:fldChar w:fldCharType="separate"/>
            </w:r>
            <w:r>
              <w:rPr>
                <w:webHidden/>
              </w:rPr>
              <w:t>12</w:t>
            </w:r>
            <w:r w:rsidRPr="009F3B6D">
              <w:rPr>
                <w:webHidden/>
              </w:rPr>
              <w:fldChar w:fldCharType="end"/>
            </w:r>
          </w:hyperlink>
        </w:p>
        <w:p w14:paraId="408D3B7A" w14:textId="77777777" w:rsidR="008F2269" w:rsidRPr="009F3B6D" w:rsidRDefault="008F2269" w:rsidP="008F2269">
          <w:pPr>
            <w:pStyle w:val="TM2"/>
            <w:rPr>
              <w:rFonts w:eastAsiaTheme="minorEastAsia"/>
              <w:lang w:eastAsia="fr-FR"/>
            </w:rPr>
          </w:pPr>
          <w:hyperlink w:anchor="_Toc180318664" w:history="1">
            <w:r w:rsidRPr="009F3B6D">
              <w:rPr>
                <w:rStyle w:val="Lienhypertexte"/>
                <w:b/>
              </w:rPr>
              <w:t>CHAPITRE 2.  OBJECTIFS ET APPROCHE METHODOLOGIQUE</w:t>
            </w:r>
            <w:r w:rsidRPr="009F3B6D">
              <w:rPr>
                <w:webHidden/>
              </w:rPr>
              <w:tab/>
            </w:r>
            <w:r w:rsidRPr="009F3B6D">
              <w:rPr>
                <w:webHidden/>
              </w:rPr>
              <w:fldChar w:fldCharType="begin"/>
            </w:r>
            <w:r w:rsidRPr="009F3B6D">
              <w:rPr>
                <w:webHidden/>
              </w:rPr>
              <w:instrText xml:space="preserve"> PAGEREF _Toc180318664 \h </w:instrText>
            </w:r>
            <w:r w:rsidRPr="009F3B6D">
              <w:rPr>
                <w:webHidden/>
              </w:rPr>
            </w:r>
            <w:r w:rsidRPr="009F3B6D">
              <w:rPr>
                <w:webHidden/>
              </w:rPr>
              <w:fldChar w:fldCharType="separate"/>
            </w:r>
            <w:r>
              <w:rPr>
                <w:webHidden/>
              </w:rPr>
              <w:t>13</w:t>
            </w:r>
            <w:r w:rsidRPr="009F3B6D">
              <w:rPr>
                <w:webHidden/>
              </w:rPr>
              <w:fldChar w:fldCharType="end"/>
            </w:r>
          </w:hyperlink>
        </w:p>
        <w:p w14:paraId="052F88D9" w14:textId="77777777" w:rsidR="008F2269" w:rsidRPr="009F3B6D" w:rsidRDefault="008F2269" w:rsidP="008F2269">
          <w:pPr>
            <w:pStyle w:val="TM2"/>
            <w:rPr>
              <w:rFonts w:eastAsiaTheme="minorEastAsia"/>
              <w:lang w:eastAsia="fr-FR"/>
            </w:rPr>
          </w:pPr>
          <w:hyperlink w:anchor="_Toc180318665" w:history="1">
            <w:r w:rsidRPr="009F3B6D">
              <w:rPr>
                <w:rStyle w:val="Lienhypertexte"/>
              </w:rPr>
              <w:t>2.1Objectifs de la consultation</w:t>
            </w:r>
            <w:r w:rsidRPr="009F3B6D">
              <w:rPr>
                <w:webHidden/>
              </w:rPr>
              <w:tab/>
            </w:r>
            <w:r w:rsidRPr="009F3B6D">
              <w:rPr>
                <w:webHidden/>
              </w:rPr>
              <w:fldChar w:fldCharType="begin"/>
            </w:r>
            <w:r w:rsidRPr="009F3B6D">
              <w:rPr>
                <w:webHidden/>
              </w:rPr>
              <w:instrText xml:space="preserve"> PAGEREF _Toc180318665 \h </w:instrText>
            </w:r>
            <w:r w:rsidRPr="009F3B6D">
              <w:rPr>
                <w:webHidden/>
              </w:rPr>
            </w:r>
            <w:r w:rsidRPr="009F3B6D">
              <w:rPr>
                <w:webHidden/>
              </w:rPr>
              <w:fldChar w:fldCharType="separate"/>
            </w:r>
            <w:r>
              <w:rPr>
                <w:webHidden/>
              </w:rPr>
              <w:t>13</w:t>
            </w:r>
            <w:r w:rsidRPr="009F3B6D">
              <w:rPr>
                <w:webHidden/>
              </w:rPr>
              <w:fldChar w:fldCharType="end"/>
            </w:r>
          </w:hyperlink>
        </w:p>
        <w:p w14:paraId="0BA191ED" w14:textId="77777777" w:rsidR="008F2269" w:rsidRPr="009F3B6D" w:rsidRDefault="008F2269" w:rsidP="008F2269">
          <w:pPr>
            <w:pStyle w:val="TM2"/>
            <w:rPr>
              <w:rFonts w:eastAsiaTheme="minorEastAsia"/>
              <w:lang w:eastAsia="fr-FR"/>
            </w:rPr>
          </w:pPr>
          <w:hyperlink w:anchor="_Toc180318666" w:history="1">
            <w:r w:rsidRPr="009F3B6D">
              <w:rPr>
                <w:rStyle w:val="Lienhypertexte"/>
                <w:rFonts w:ascii="Calibri" w:eastAsia="Calibri" w:hAnsi="Calibri" w:cs="Times New Roman"/>
              </w:rPr>
              <w:t>2.2. Méthodologie proposée.</w:t>
            </w:r>
            <w:r w:rsidRPr="009F3B6D">
              <w:rPr>
                <w:webHidden/>
              </w:rPr>
              <w:tab/>
            </w:r>
            <w:r w:rsidRPr="009F3B6D">
              <w:rPr>
                <w:webHidden/>
              </w:rPr>
              <w:fldChar w:fldCharType="begin"/>
            </w:r>
            <w:r w:rsidRPr="009F3B6D">
              <w:rPr>
                <w:webHidden/>
              </w:rPr>
              <w:instrText xml:space="preserve"> PAGEREF _Toc180318666 \h </w:instrText>
            </w:r>
            <w:r w:rsidRPr="009F3B6D">
              <w:rPr>
                <w:webHidden/>
              </w:rPr>
            </w:r>
            <w:r w:rsidRPr="009F3B6D">
              <w:rPr>
                <w:webHidden/>
              </w:rPr>
              <w:fldChar w:fldCharType="separate"/>
            </w:r>
            <w:r>
              <w:rPr>
                <w:webHidden/>
              </w:rPr>
              <w:t>13</w:t>
            </w:r>
            <w:r w:rsidRPr="009F3B6D">
              <w:rPr>
                <w:webHidden/>
              </w:rPr>
              <w:fldChar w:fldCharType="end"/>
            </w:r>
          </w:hyperlink>
        </w:p>
        <w:p w14:paraId="5067E133" w14:textId="77777777" w:rsidR="008F2269" w:rsidRPr="009F3B6D" w:rsidRDefault="008F2269" w:rsidP="008F2269">
          <w:pPr>
            <w:pStyle w:val="TM2"/>
            <w:rPr>
              <w:rFonts w:eastAsiaTheme="minorEastAsia"/>
              <w:lang w:eastAsia="fr-FR"/>
            </w:rPr>
          </w:pPr>
          <w:hyperlink w:anchor="_Toc180318668" w:history="1">
            <w:r w:rsidRPr="009F3B6D">
              <w:rPr>
                <w:rStyle w:val="Lienhypertexte"/>
              </w:rPr>
              <w:t>2.3</w:t>
            </w:r>
            <w:r>
              <w:rPr>
                <w:rFonts w:eastAsiaTheme="minorEastAsia"/>
                <w:lang w:eastAsia="fr-FR"/>
              </w:rPr>
              <w:t xml:space="preserve"> </w:t>
            </w:r>
            <w:r w:rsidRPr="009F3B6D">
              <w:rPr>
                <w:rStyle w:val="Lienhypertexte"/>
              </w:rPr>
              <w:t xml:space="preserve">Clarification de certains concepts en lien avec les changements climatiques    </w:t>
            </w:r>
            <w:r w:rsidRPr="009F3B6D">
              <w:rPr>
                <w:webHidden/>
              </w:rPr>
              <w:tab/>
            </w:r>
            <w:r w:rsidRPr="009F3B6D">
              <w:rPr>
                <w:webHidden/>
              </w:rPr>
              <w:fldChar w:fldCharType="begin"/>
            </w:r>
            <w:r w:rsidRPr="009F3B6D">
              <w:rPr>
                <w:webHidden/>
              </w:rPr>
              <w:instrText xml:space="preserve"> PAGEREF _Toc180318668 \h </w:instrText>
            </w:r>
            <w:r w:rsidRPr="009F3B6D">
              <w:rPr>
                <w:webHidden/>
              </w:rPr>
            </w:r>
            <w:r w:rsidRPr="009F3B6D">
              <w:rPr>
                <w:webHidden/>
              </w:rPr>
              <w:fldChar w:fldCharType="separate"/>
            </w:r>
            <w:r>
              <w:rPr>
                <w:webHidden/>
              </w:rPr>
              <w:t>15</w:t>
            </w:r>
            <w:r w:rsidRPr="009F3B6D">
              <w:rPr>
                <w:webHidden/>
              </w:rPr>
              <w:fldChar w:fldCharType="end"/>
            </w:r>
          </w:hyperlink>
        </w:p>
        <w:p w14:paraId="3C3752E5" w14:textId="77777777" w:rsidR="008F2269" w:rsidRPr="009F3B6D" w:rsidRDefault="008F2269" w:rsidP="008F2269">
          <w:pPr>
            <w:pStyle w:val="TM2"/>
            <w:rPr>
              <w:rFonts w:eastAsiaTheme="minorEastAsia"/>
              <w:lang w:eastAsia="fr-FR"/>
            </w:rPr>
          </w:pPr>
          <w:hyperlink w:anchor="_Toc180318671" w:history="1">
            <w:r w:rsidRPr="009F3B6D">
              <w:rPr>
                <w:rStyle w:val="Lienhypertexte"/>
                <w:b/>
                <w:bCs/>
              </w:rPr>
              <w:t>CHAPITRE 3 : PRESENTATION DU SECTEUR</w:t>
            </w:r>
            <w:r w:rsidRPr="009F3B6D">
              <w:rPr>
                <w:webHidden/>
              </w:rPr>
              <w:tab/>
              <w:t>19</w:t>
            </w:r>
          </w:hyperlink>
        </w:p>
        <w:p w14:paraId="3173EE37" w14:textId="77777777" w:rsidR="008F2269" w:rsidRPr="009F3B6D" w:rsidRDefault="008F2269" w:rsidP="008F2269">
          <w:pPr>
            <w:pStyle w:val="TM2"/>
            <w:rPr>
              <w:rFonts w:eastAsiaTheme="minorEastAsia"/>
              <w:lang w:eastAsia="fr-FR"/>
            </w:rPr>
          </w:pPr>
          <w:hyperlink w:anchor="_Toc180318672" w:history="1">
            <w:r w:rsidRPr="009F3B6D">
              <w:rPr>
                <w:rStyle w:val="Lienhypertexte"/>
              </w:rPr>
              <w:t>3.1 L’importance du secteur dans les économies nationales et rurales</w:t>
            </w:r>
            <w:r w:rsidRPr="009F3B6D">
              <w:rPr>
                <w:webHidden/>
              </w:rPr>
              <w:tab/>
              <w:t>19</w:t>
            </w:r>
          </w:hyperlink>
        </w:p>
        <w:p w14:paraId="47867159" w14:textId="77777777" w:rsidR="008F2269" w:rsidRPr="009F3B6D" w:rsidRDefault="008F2269" w:rsidP="008F2269">
          <w:pPr>
            <w:pStyle w:val="TM2"/>
          </w:pPr>
          <w:hyperlink w:anchor="_Toc180318673" w:history="1">
            <w:r w:rsidRPr="009F3B6D">
              <w:rPr>
                <w:rStyle w:val="Lienhypertexte"/>
              </w:rPr>
              <w:t>3.2</w:t>
            </w:r>
            <w:r>
              <w:rPr>
                <w:rFonts w:eastAsiaTheme="minorEastAsia"/>
                <w:lang w:eastAsia="fr-FR"/>
              </w:rPr>
              <w:t xml:space="preserve"> </w:t>
            </w:r>
            <w:r w:rsidRPr="009F3B6D">
              <w:rPr>
                <w:rStyle w:val="Lienhypertexte"/>
              </w:rPr>
              <w:t>Les principaux instruments politiques de planification et de programmation</w:t>
            </w:r>
            <w:r w:rsidRPr="009F3B6D">
              <w:rPr>
                <w:webHidden/>
              </w:rPr>
              <w:tab/>
              <w:t>20</w:t>
            </w:r>
          </w:hyperlink>
        </w:p>
        <w:p w14:paraId="0BB7341C" w14:textId="77777777" w:rsidR="008F2269" w:rsidRPr="009F3B6D" w:rsidRDefault="008F2269" w:rsidP="008F2269">
          <w:r w:rsidRPr="009F3B6D">
            <w:t xml:space="preserve">     3.3  Le cadre normatif……………………………………………………………………………………………………………..21</w:t>
          </w:r>
        </w:p>
        <w:p w14:paraId="0E56C24F" w14:textId="77777777" w:rsidR="008F2269" w:rsidRPr="003C2FED" w:rsidRDefault="008F2269" w:rsidP="008F2269">
          <w:pPr>
            <w:pStyle w:val="TM1"/>
            <w:rPr>
              <w:rFonts w:eastAsiaTheme="minorEastAsia"/>
              <w:lang w:eastAsia="fr-FR"/>
            </w:rPr>
          </w:pPr>
          <w:hyperlink w:anchor="_Toc180318674" w:history="1">
            <w:r w:rsidRPr="003C2FED">
              <w:rPr>
                <w:rStyle w:val="Lienhypertexte"/>
              </w:rPr>
              <w:t>CHAPITRE 4 – ETAT DES LIEUX DU SECTEUR DE L’EAU ET DE L’ASSAINISSEMENT.</w:t>
            </w:r>
            <w:r w:rsidRPr="003C2FED">
              <w:rPr>
                <w:webHidden/>
              </w:rPr>
              <w:tab/>
            </w:r>
            <w:r w:rsidRPr="003C2FED">
              <w:rPr>
                <w:webHidden/>
              </w:rPr>
              <w:fldChar w:fldCharType="begin"/>
            </w:r>
            <w:r w:rsidRPr="003C2FED">
              <w:rPr>
                <w:webHidden/>
              </w:rPr>
              <w:instrText xml:space="preserve"> PAGEREF _Toc180318674 \h </w:instrText>
            </w:r>
            <w:r w:rsidRPr="003C2FED">
              <w:rPr>
                <w:webHidden/>
              </w:rPr>
            </w:r>
            <w:r w:rsidRPr="003C2FED">
              <w:rPr>
                <w:webHidden/>
              </w:rPr>
              <w:fldChar w:fldCharType="separate"/>
            </w:r>
            <w:r>
              <w:rPr>
                <w:webHidden/>
              </w:rPr>
              <w:t>23</w:t>
            </w:r>
            <w:r w:rsidRPr="003C2FED">
              <w:rPr>
                <w:webHidden/>
              </w:rPr>
              <w:fldChar w:fldCharType="end"/>
            </w:r>
          </w:hyperlink>
        </w:p>
        <w:p w14:paraId="316903A7" w14:textId="77777777" w:rsidR="008F2269" w:rsidRPr="009F3B6D" w:rsidRDefault="008F2269" w:rsidP="008F2269">
          <w:pPr>
            <w:pStyle w:val="TM2"/>
            <w:rPr>
              <w:rFonts w:eastAsiaTheme="minorEastAsia"/>
              <w:lang w:eastAsia="fr-FR"/>
            </w:rPr>
          </w:pPr>
          <w:hyperlink w:anchor="_Toc180318675" w:history="1">
            <w:r w:rsidRPr="009F3B6D">
              <w:rPr>
                <w:rStyle w:val="Lienhypertexte"/>
              </w:rPr>
              <w:t>4.1 Accès à l’eau</w:t>
            </w:r>
            <w:r w:rsidRPr="009F3B6D">
              <w:rPr>
                <w:webHidden/>
              </w:rPr>
              <w:tab/>
            </w:r>
            <w:r w:rsidRPr="009F3B6D">
              <w:rPr>
                <w:webHidden/>
              </w:rPr>
              <w:fldChar w:fldCharType="begin"/>
            </w:r>
            <w:r w:rsidRPr="009F3B6D">
              <w:rPr>
                <w:webHidden/>
              </w:rPr>
              <w:instrText xml:space="preserve"> PAGEREF _Toc180318675 \h </w:instrText>
            </w:r>
            <w:r w:rsidRPr="009F3B6D">
              <w:rPr>
                <w:webHidden/>
              </w:rPr>
            </w:r>
            <w:r w:rsidRPr="009F3B6D">
              <w:rPr>
                <w:webHidden/>
              </w:rPr>
              <w:fldChar w:fldCharType="separate"/>
            </w:r>
            <w:r>
              <w:rPr>
                <w:webHidden/>
              </w:rPr>
              <w:t>23</w:t>
            </w:r>
            <w:r w:rsidRPr="009F3B6D">
              <w:rPr>
                <w:webHidden/>
              </w:rPr>
              <w:fldChar w:fldCharType="end"/>
            </w:r>
          </w:hyperlink>
        </w:p>
        <w:p w14:paraId="24BDE4ED" w14:textId="77777777" w:rsidR="008F2269" w:rsidRPr="009F3B6D" w:rsidRDefault="008F2269" w:rsidP="008F2269">
          <w:pPr>
            <w:pStyle w:val="TM2"/>
            <w:rPr>
              <w:rFonts w:eastAsiaTheme="minorEastAsia"/>
              <w:lang w:eastAsia="fr-FR"/>
            </w:rPr>
          </w:pPr>
          <w:hyperlink w:anchor="_Toc180318676" w:history="1">
            <w:r w:rsidRPr="009F3B6D">
              <w:rPr>
                <w:rStyle w:val="Lienhypertexte"/>
              </w:rPr>
              <w:t>4.2 Accès à l’assainissement des eaux pluviales</w:t>
            </w:r>
            <w:r w:rsidRPr="009F3B6D">
              <w:rPr>
                <w:webHidden/>
              </w:rPr>
              <w:tab/>
            </w:r>
            <w:r w:rsidRPr="009F3B6D">
              <w:rPr>
                <w:webHidden/>
              </w:rPr>
              <w:fldChar w:fldCharType="begin"/>
            </w:r>
            <w:r w:rsidRPr="009F3B6D">
              <w:rPr>
                <w:webHidden/>
              </w:rPr>
              <w:instrText xml:space="preserve"> PAGEREF _Toc180318676 \h </w:instrText>
            </w:r>
            <w:r w:rsidRPr="009F3B6D">
              <w:rPr>
                <w:webHidden/>
              </w:rPr>
            </w:r>
            <w:r w:rsidRPr="009F3B6D">
              <w:rPr>
                <w:webHidden/>
              </w:rPr>
              <w:fldChar w:fldCharType="separate"/>
            </w:r>
            <w:r>
              <w:rPr>
                <w:webHidden/>
              </w:rPr>
              <w:t>24</w:t>
            </w:r>
            <w:r w:rsidRPr="009F3B6D">
              <w:rPr>
                <w:webHidden/>
              </w:rPr>
              <w:fldChar w:fldCharType="end"/>
            </w:r>
          </w:hyperlink>
        </w:p>
        <w:p w14:paraId="240427F9" w14:textId="77777777" w:rsidR="008F2269" w:rsidRPr="009F3B6D" w:rsidRDefault="008F2269" w:rsidP="008F2269">
          <w:pPr>
            <w:pStyle w:val="TM2"/>
            <w:rPr>
              <w:rFonts w:eastAsiaTheme="minorEastAsia"/>
              <w:lang w:eastAsia="fr-FR"/>
            </w:rPr>
          </w:pPr>
          <w:hyperlink w:anchor="_Toc180318677" w:history="1">
            <w:r w:rsidRPr="009F3B6D">
              <w:rPr>
                <w:rStyle w:val="Lienhypertexte"/>
              </w:rPr>
              <w:t>4.3Les Atouts</w:t>
            </w:r>
            <w:r w:rsidRPr="009F3B6D">
              <w:rPr>
                <w:webHidden/>
              </w:rPr>
              <w:tab/>
            </w:r>
            <w:r w:rsidRPr="009F3B6D">
              <w:rPr>
                <w:webHidden/>
              </w:rPr>
              <w:fldChar w:fldCharType="begin"/>
            </w:r>
            <w:r w:rsidRPr="009F3B6D">
              <w:rPr>
                <w:webHidden/>
              </w:rPr>
              <w:instrText xml:space="preserve"> PAGEREF _Toc180318677 \h </w:instrText>
            </w:r>
            <w:r w:rsidRPr="009F3B6D">
              <w:rPr>
                <w:webHidden/>
              </w:rPr>
            </w:r>
            <w:r w:rsidRPr="009F3B6D">
              <w:rPr>
                <w:webHidden/>
              </w:rPr>
              <w:fldChar w:fldCharType="separate"/>
            </w:r>
            <w:r>
              <w:rPr>
                <w:webHidden/>
              </w:rPr>
              <w:t>24</w:t>
            </w:r>
            <w:r w:rsidRPr="009F3B6D">
              <w:rPr>
                <w:webHidden/>
              </w:rPr>
              <w:fldChar w:fldCharType="end"/>
            </w:r>
          </w:hyperlink>
        </w:p>
        <w:p w14:paraId="4E7E470F" w14:textId="77777777" w:rsidR="008F2269" w:rsidRPr="009F3B6D" w:rsidRDefault="008F2269" w:rsidP="008F2269">
          <w:pPr>
            <w:pStyle w:val="TM2"/>
            <w:rPr>
              <w:rFonts w:eastAsiaTheme="minorEastAsia"/>
              <w:lang w:eastAsia="fr-FR"/>
            </w:rPr>
          </w:pPr>
          <w:hyperlink w:anchor="_Toc180318678" w:history="1">
            <w:r w:rsidRPr="009F3B6D">
              <w:rPr>
                <w:rStyle w:val="Lienhypertexte"/>
              </w:rPr>
              <w:t>4.4Les Contraintes</w:t>
            </w:r>
            <w:r w:rsidRPr="009F3B6D">
              <w:rPr>
                <w:webHidden/>
              </w:rPr>
              <w:tab/>
            </w:r>
            <w:r w:rsidRPr="009F3B6D">
              <w:rPr>
                <w:webHidden/>
              </w:rPr>
              <w:fldChar w:fldCharType="begin"/>
            </w:r>
            <w:r w:rsidRPr="009F3B6D">
              <w:rPr>
                <w:webHidden/>
              </w:rPr>
              <w:instrText xml:space="preserve"> PAGEREF _Toc180318678 \h </w:instrText>
            </w:r>
            <w:r w:rsidRPr="009F3B6D">
              <w:rPr>
                <w:webHidden/>
              </w:rPr>
            </w:r>
            <w:r w:rsidRPr="009F3B6D">
              <w:rPr>
                <w:webHidden/>
              </w:rPr>
              <w:fldChar w:fldCharType="separate"/>
            </w:r>
            <w:r>
              <w:rPr>
                <w:webHidden/>
              </w:rPr>
              <w:t>25</w:t>
            </w:r>
            <w:r w:rsidRPr="009F3B6D">
              <w:rPr>
                <w:webHidden/>
              </w:rPr>
              <w:fldChar w:fldCharType="end"/>
            </w:r>
          </w:hyperlink>
        </w:p>
        <w:p w14:paraId="5D78EEDA" w14:textId="77777777" w:rsidR="008F2269" w:rsidRPr="009F3B6D" w:rsidRDefault="008F2269" w:rsidP="008F2269">
          <w:pPr>
            <w:pStyle w:val="TM2"/>
            <w:rPr>
              <w:rFonts w:eastAsiaTheme="minorEastAsia"/>
              <w:lang w:eastAsia="fr-FR"/>
            </w:rPr>
          </w:pPr>
          <w:hyperlink w:anchor="_Toc180318679" w:history="1">
            <w:r w:rsidRPr="009F3B6D">
              <w:rPr>
                <w:rStyle w:val="Lienhypertexte"/>
                <w:bCs/>
              </w:rPr>
              <w:t>4.5</w:t>
            </w:r>
            <w:r>
              <w:rPr>
                <w:rFonts w:eastAsiaTheme="minorEastAsia"/>
                <w:lang w:eastAsia="fr-FR"/>
              </w:rPr>
              <w:t xml:space="preserve"> </w:t>
            </w:r>
            <w:r w:rsidRPr="009F3B6D">
              <w:rPr>
                <w:rStyle w:val="Lienhypertexte"/>
                <w:bCs/>
              </w:rPr>
              <w:t>Besoins et appui à la mise en œuvre</w:t>
            </w:r>
            <w:r w:rsidRPr="009F3B6D">
              <w:rPr>
                <w:webHidden/>
              </w:rPr>
              <w:tab/>
            </w:r>
            <w:r w:rsidRPr="009F3B6D">
              <w:rPr>
                <w:webHidden/>
              </w:rPr>
              <w:fldChar w:fldCharType="begin"/>
            </w:r>
            <w:r w:rsidRPr="009F3B6D">
              <w:rPr>
                <w:webHidden/>
              </w:rPr>
              <w:instrText xml:space="preserve"> PAGEREF _Toc180318679 \h </w:instrText>
            </w:r>
            <w:r w:rsidRPr="009F3B6D">
              <w:rPr>
                <w:webHidden/>
              </w:rPr>
            </w:r>
            <w:r w:rsidRPr="009F3B6D">
              <w:rPr>
                <w:webHidden/>
              </w:rPr>
              <w:fldChar w:fldCharType="separate"/>
            </w:r>
            <w:r>
              <w:rPr>
                <w:webHidden/>
              </w:rPr>
              <w:t>25</w:t>
            </w:r>
            <w:r w:rsidRPr="009F3B6D">
              <w:rPr>
                <w:webHidden/>
              </w:rPr>
              <w:fldChar w:fldCharType="end"/>
            </w:r>
          </w:hyperlink>
        </w:p>
        <w:p w14:paraId="03700A53" w14:textId="77777777" w:rsidR="008F2269" w:rsidRPr="009F3B6D" w:rsidRDefault="008F2269" w:rsidP="008F2269">
          <w:pPr>
            <w:pStyle w:val="TM1"/>
            <w:rPr>
              <w:rFonts w:eastAsiaTheme="minorEastAsia"/>
              <w:lang w:eastAsia="fr-FR"/>
            </w:rPr>
          </w:pPr>
          <w:hyperlink w:anchor="_Toc180318680" w:history="1">
            <w:r w:rsidRPr="000E309C">
              <w:rPr>
                <w:rStyle w:val="Lienhypertexte"/>
              </w:rPr>
              <w:t>CHAPITRE 5. EXPOSITION DES RESULTATS STRATEGIQUES</w:t>
            </w:r>
            <w:r w:rsidRPr="000E309C">
              <w:rPr>
                <w:rStyle w:val="Lienhypertexte"/>
                <w:vertAlign w:val="superscript"/>
              </w:rPr>
              <w:t>2</w:t>
            </w:r>
            <w:r w:rsidRPr="000E309C">
              <w:rPr>
                <w:rStyle w:val="Lienhypertexte"/>
              </w:rPr>
              <w:t>CLES AUX RISQUES CLIMATIQUES</w:t>
            </w:r>
            <w:r w:rsidRPr="009F3B6D">
              <w:rPr>
                <w:rStyle w:val="Lienhypertexte"/>
              </w:rPr>
              <w:t xml:space="preserve"> (Sources : CDN, Profil climatique du Programme-Pays FVC, CN4, PPE, PNPRC, PCRHC¨*)</w:t>
            </w:r>
            <w:r w:rsidRPr="009F3B6D">
              <w:rPr>
                <w:webHidden/>
              </w:rPr>
              <w:tab/>
            </w:r>
            <w:r w:rsidRPr="009F3B6D">
              <w:rPr>
                <w:webHidden/>
              </w:rPr>
              <w:fldChar w:fldCharType="begin"/>
            </w:r>
            <w:r w:rsidRPr="009F3B6D">
              <w:rPr>
                <w:webHidden/>
              </w:rPr>
              <w:instrText xml:space="preserve"> PAGEREF _Toc180318680 \h </w:instrText>
            </w:r>
            <w:r w:rsidRPr="009F3B6D">
              <w:rPr>
                <w:webHidden/>
              </w:rPr>
            </w:r>
            <w:r w:rsidRPr="009F3B6D">
              <w:rPr>
                <w:webHidden/>
              </w:rPr>
              <w:fldChar w:fldCharType="separate"/>
            </w:r>
            <w:r>
              <w:rPr>
                <w:webHidden/>
              </w:rPr>
              <w:t>27</w:t>
            </w:r>
            <w:r w:rsidRPr="009F3B6D">
              <w:rPr>
                <w:webHidden/>
              </w:rPr>
              <w:fldChar w:fldCharType="end"/>
            </w:r>
          </w:hyperlink>
        </w:p>
        <w:p w14:paraId="7C48BF8E" w14:textId="77777777" w:rsidR="008F2269" w:rsidRPr="004522F1" w:rsidRDefault="008F2269" w:rsidP="008F2269">
          <w:pPr>
            <w:pStyle w:val="TM1"/>
            <w:rPr>
              <w:rFonts w:eastAsiaTheme="minorEastAsia"/>
              <w:lang w:eastAsia="fr-FR"/>
            </w:rPr>
          </w:pPr>
          <w:hyperlink w:anchor="_Toc180318682" w:history="1">
            <w:r w:rsidRPr="004522F1">
              <w:rPr>
                <w:rStyle w:val="Lienhypertexte"/>
              </w:rPr>
              <w:t>CHAPITRE 6. MESURES, ACTIVITES OU INITIATIVES EN COURS OU PROGRAMMEES POUR FAIRE FACE AUX ENJEUX DU CC</w:t>
            </w:r>
            <w:r w:rsidRPr="004522F1">
              <w:rPr>
                <w:webHidden/>
              </w:rPr>
              <w:tab/>
            </w:r>
            <w:r w:rsidRPr="004522F1">
              <w:rPr>
                <w:webHidden/>
              </w:rPr>
              <w:fldChar w:fldCharType="begin"/>
            </w:r>
            <w:r w:rsidRPr="004522F1">
              <w:rPr>
                <w:webHidden/>
              </w:rPr>
              <w:instrText xml:space="preserve"> PAGEREF _Toc180318682 \h </w:instrText>
            </w:r>
            <w:r w:rsidRPr="004522F1">
              <w:rPr>
                <w:webHidden/>
              </w:rPr>
            </w:r>
            <w:r w:rsidRPr="004522F1">
              <w:rPr>
                <w:webHidden/>
              </w:rPr>
              <w:fldChar w:fldCharType="separate"/>
            </w:r>
            <w:r>
              <w:rPr>
                <w:webHidden/>
              </w:rPr>
              <w:t>34</w:t>
            </w:r>
            <w:r w:rsidRPr="004522F1">
              <w:rPr>
                <w:webHidden/>
              </w:rPr>
              <w:fldChar w:fldCharType="end"/>
            </w:r>
          </w:hyperlink>
        </w:p>
        <w:p w14:paraId="0DE9ADA4" w14:textId="77777777" w:rsidR="008F2269" w:rsidRPr="009F3B6D" w:rsidRDefault="008F2269" w:rsidP="008F2269">
          <w:pPr>
            <w:pStyle w:val="TM2"/>
            <w:rPr>
              <w:rFonts w:eastAsiaTheme="minorEastAsia"/>
              <w:lang w:eastAsia="fr-FR"/>
            </w:rPr>
          </w:pPr>
          <w:hyperlink w:anchor="_Toc180318683" w:history="1">
            <w:r w:rsidRPr="009F3B6D">
              <w:rPr>
                <w:rStyle w:val="Lienhypertexte"/>
              </w:rPr>
              <w:t>6.1Contribution Déterminée au niveau National de 2015</w:t>
            </w:r>
            <w:r w:rsidRPr="009F3B6D">
              <w:rPr>
                <w:webHidden/>
              </w:rPr>
              <w:tab/>
            </w:r>
            <w:r w:rsidRPr="009F3B6D">
              <w:rPr>
                <w:webHidden/>
              </w:rPr>
              <w:fldChar w:fldCharType="begin"/>
            </w:r>
            <w:r w:rsidRPr="009F3B6D">
              <w:rPr>
                <w:webHidden/>
              </w:rPr>
              <w:instrText xml:space="preserve"> PAGEREF _Toc180318683 \h </w:instrText>
            </w:r>
            <w:r w:rsidRPr="009F3B6D">
              <w:rPr>
                <w:webHidden/>
              </w:rPr>
            </w:r>
            <w:r w:rsidRPr="009F3B6D">
              <w:rPr>
                <w:webHidden/>
              </w:rPr>
              <w:fldChar w:fldCharType="separate"/>
            </w:r>
            <w:r>
              <w:rPr>
                <w:webHidden/>
              </w:rPr>
              <w:t>34</w:t>
            </w:r>
            <w:r w:rsidRPr="009F3B6D">
              <w:rPr>
                <w:webHidden/>
              </w:rPr>
              <w:fldChar w:fldCharType="end"/>
            </w:r>
          </w:hyperlink>
        </w:p>
        <w:p w14:paraId="58B71437" w14:textId="77777777" w:rsidR="008F2269" w:rsidRPr="009F3B6D" w:rsidRDefault="008F2269" w:rsidP="008F2269">
          <w:pPr>
            <w:pStyle w:val="TM2"/>
            <w:rPr>
              <w:rFonts w:eastAsiaTheme="minorEastAsia"/>
              <w:lang w:eastAsia="fr-FR"/>
            </w:rPr>
          </w:pPr>
          <w:hyperlink w:anchor="_Toc180318684" w:history="1">
            <w:r w:rsidRPr="009F3B6D">
              <w:rPr>
                <w:rStyle w:val="Lienhypertexte"/>
              </w:rPr>
              <w:t>6.2Quatrième Communication Nationale (CN4, 2019)</w:t>
            </w:r>
            <w:r w:rsidRPr="009F3B6D">
              <w:rPr>
                <w:webHidden/>
              </w:rPr>
              <w:tab/>
            </w:r>
            <w:r w:rsidRPr="009F3B6D">
              <w:rPr>
                <w:webHidden/>
              </w:rPr>
              <w:fldChar w:fldCharType="begin"/>
            </w:r>
            <w:r w:rsidRPr="009F3B6D">
              <w:rPr>
                <w:webHidden/>
              </w:rPr>
              <w:instrText xml:space="preserve"> PAGEREF _Toc180318684 \h </w:instrText>
            </w:r>
            <w:r w:rsidRPr="009F3B6D">
              <w:rPr>
                <w:webHidden/>
              </w:rPr>
            </w:r>
            <w:r w:rsidRPr="009F3B6D">
              <w:rPr>
                <w:webHidden/>
              </w:rPr>
              <w:fldChar w:fldCharType="separate"/>
            </w:r>
            <w:r>
              <w:rPr>
                <w:webHidden/>
              </w:rPr>
              <w:t>34</w:t>
            </w:r>
            <w:r w:rsidRPr="009F3B6D">
              <w:rPr>
                <w:webHidden/>
              </w:rPr>
              <w:fldChar w:fldCharType="end"/>
            </w:r>
          </w:hyperlink>
        </w:p>
        <w:p w14:paraId="028F5F32" w14:textId="77777777" w:rsidR="008F2269" w:rsidRPr="009F3B6D" w:rsidRDefault="008F2269" w:rsidP="008F2269">
          <w:pPr>
            <w:pStyle w:val="TM2"/>
            <w:rPr>
              <w:rFonts w:eastAsiaTheme="minorEastAsia"/>
              <w:lang w:eastAsia="fr-FR"/>
            </w:rPr>
          </w:pPr>
          <w:hyperlink w:anchor="_Toc180318685" w:history="1">
            <w:r w:rsidRPr="009F3B6D">
              <w:rPr>
                <w:rStyle w:val="Lienhypertexte"/>
              </w:rPr>
              <w:t>6.3Le Programme Pays Mauritanie/Fonds Vert Climat (PPM/FVC)</w:t>
            </w:r>
            <w:r w:rsidRPr="009F3B6D">
              <w:rPr>
                <w:webHidden/>
              </w:rPr>
              <w:tab/>
            </w:r>
            <w:r w:rsidRPr="009F3B6D">
              <w:rPr>
                <w:webHidden/>
              </w:rPr>
              <w:fldChar w:fldCharType="begin"/>
            </w:r>
            <w:r w:rsidRPr="009F3B6D">
              <w:rPr>
                <w:webHidden/>
              </w:rPr>
              <w:instrText xml:space="preserve"> PAGEREF _Toc180318685 \h </w:instrText>
            </w:r>
            <w:r w:rsidRPr="009F3B6D">
              <w:rPr>
                <w:webHidden/>
              </w:rPr>
            </w:r>
            <w:r w:rsidRPr="009F3B6D">
              <w:rPr>
                <w:webHidden/>
              </w:rPr>
              <w:fldChar w:fldCharType="separate"/>
            </w:r>
            <w:r>
              <w:rPr>
                <w:webHidden/>
              </w:rPr>
              <w:t>34</w:t>
            </w:r>
            <w:r w:rsidRPr="009F3B6D">
              <w:rPr>
                <w:webHidden/>
              </w:rPr>
              <w:fldChar w:fldCharType="end"/>
            </w:r>
          </w:hyperlink>
        </w:p>
        <w:p w14:paraId="5143B324" w14:textId="77777777" w:rsidR="008F2269" w:rsidRPr="009F3B6D" w:rsidRDefault="008F2269" w:rsidP="008F2269">
          <w:pPr>
            <w:pStyle w:val="TM2"/>
            <w:rPr>
              <w:rFonts w:eastAsiaTheme="minorEastAsia"/>
              <w:lang w:eastAsia="fr-FR"/>
            </w:rPr>
          </w:pPr>
          <w:hyperlink w:anchor="_Toc180318686" w:history="1">
            <w:r w:rsidRPr="009F3B6D">
              <w:rPr>
                <w:rStyle w:val="Lienhypertexte"/>
              </w:rPr>
              <w:t>6.4La stratégie de croissance accélérée et de prospérité partagée (SCAPP)</w:t>
            </w:r>
            <w:r w:rsidRPr="009F3B6D">
              <w:rPr>
                <w:webHidden/>
              </w:rPr>
              <w:tab/>
            </w:r>
            <w:r w:rsidRPr="009F3B6D">
              <w:rPr>
                <w:webHidden/>
              </w:rPr>
              <w:fldChar w:fldCharType="begin"/>
            </w:r>
            <w:r w:rsidRPr="009F3B6D">
              <w:rPr>
                <w:webHidden/>
              </w:rPr>
              <w:instrText xml:space="preserve"> PAGEREF _Toc180318686 \h </w:instrText>
            </w:r>
            <w:r w:rsidRPr="009F3B6D">
              <w:rPr>
                <w:webHidden/>
              </w:rPr>
            </w:r>
            <w:r w:rsidRPr="009F3B6D">
              <w:rPr>
                <w:webHidden/>
              </w:rPr>
              <w:fldChar w:fldCharType="separate"/>
            </w:r>
            <w:r>
              <w:rPr>
                <w:webHidden/>
              </w:rPr>
              <w:t>35</w:t>
            </w:r>
            <w:r w:rsidRPr="009F3B6D">
              <w:rPr>
                <w:webHidden/>
              </w:rPr>
              <w:fldChar w:fldCharType="end"/>
            </w:r>
          </w:hyperlink>
        </w:p>
        <w:p w14:paraId="2D3C4BD7" w14:textId="77777777" w:rsidR="008F2269" w:rsidRPr="009F3B6D" w:rsidRDefault="008F2269" w:rsidP="008F2269">
          <w:pPr>
            <w:pStyle w:val="TM2"/>
            <w:rPr>
              <w:rFonts w:eastAsiaTheme="minorEastAsia"/>
              <w:lang w:eastAsia="fr-FR"/>
            </w:rPr>
          </w:pPr>
          <w:hyperlink w:anchor="_Toc180318687" w:history="1">
            <w:r w:rsidRPr="009F3B6D">
              <w:rPr>
                <w:rStyle w:val="Lienhypertexte"/>
              </w:rPr>
              <w:t>6.5</w:t>
            </w:r>
            <w:r>
              <w:rPr>
                <w:rFonts w:eastAsiaTheme="minorEastAsia"/>
                <w:lang w:eastAsia="fr-FR"/>
              </w:rPr>
              <w:t xml:space="preserve"> </w:t>
            </w:r>
            <w:r w:rsidRPr="009F3B6D">
              <w:rPr>
                <w:rStyle w:val="Lienhypertexte"/>
              </w:rPr>
              <w:t>La SNADEA horizon 2030</w:t>
            </w:r>
            <w:r w:rsidRPr="009F3B6D">
              <w:rPr>
                <w:webHidden/>
              </w:rPr>
              <w:tab/>
            </w:r>
            <w:r w:rsidRPr="009F3B6D">
              <w:rPr>
                <w:webHidden/>
              </w:rPr>
              <w:fldChar w:fldCharType="begin"/>
            </w:r>
            <w:r w:rsidRPr="009F3B6D">
              <w:rPr>
                <w:webHidden/>
              </w:rPr>
              <w:instrText xml:space="preserve"> PAGEREF _Toc180318687 \h </w:instrText>
            </w:r>
            <w:r w:rsidRPr="009F3B6D">
              <w:rPr>
                <w:webHidden/>
              </w:rPr>
            </w:r>
            <w:r w:rsidRPr="009F3B6D">
              <w:rPr>
                <w:webHidden/>
              </w:rPr>
              <w:fldChar w:fldCharType="separate"/>
            </w:r>
            <w:r>
              <w:rPr>
                <w:webHidden/>
              </w:rPr>
              <w:t>35</w:t>
            </w:r>
            <w:r w:rsidRPr="009F3B6D">
              <w:rPr>
                <w:webHidden/>
              </w:rPr>
              <w:fldChar w:fldCharType="end"/>
            </w:r>
          </w:hyperlink>
        </w:p>
        <w:p w14:paraId="7D3646D3" w14:textId="77777777" w:rsidR="008F2269" w:rsidRPr="009F3B6D" w:rsidRDefault="008F2269" w:rsidP="008F2269">
          <w:pPr>
            <w:pStyle w:val="TM2"/>
          </w:pPr>
          <w:hyperlink w:anchor="_Toc180318689" w:history="1">
            <w:r w:rsidRPr="009F3B6D">
              <w:rPr>
                <w:rStyle w:val="Lienhypertexte"/>
              </w:rPr>
              <w:t>6.6</w:t>
            </w:r>
            <w:r>
              <w:rPr>
                <w:rFonts w:eastAsiaTheme="minorEastAsia"/>
                <w:lang w:eastAsia="fr-FR"/>
              </w:rPr>
              <w:t xml:space="preserve"> </w:t>
            </w:r>
            <w:r w:rsidRPr="009F3B6D">
              <w:rPr>
                <w:rStyle w:val="Lienhypertexte"/>
              </w:rPr>
              <w:t>Le Programme Prioritaire Elargi de son Excellence le Président de la République (2020-2022)</w:t>
            </w:r>
          </w:hyperlink>
          <w:r w:rsidRPr="009F3B6D">
            <w:t>…………………………………………………………………………………………………………………………………………….42</w:t>
          </w:r>
        </w:p>
        <w:p w14:paraId="2648170C" w14:textId="77777777" w:rsidR="008F2269" w:rsidRPr="009F3B6D" w:rsidRDefault="008F2269" w:rsidP="008F2269">
          <w:pPr>
            <w:pStyle w:val="Titre2"/>
            <w:rPr>
              <w:rFonts w:ascii="Calibri" w:eastAsia="Calibri" w:hAnsi="Calibri" w:cstheme="minorHAnsi"/>
              <w:b/>
              <w:bCs/>
              <w:i/>
              <w:iCs/>
              <w:color w:val="auto"/>
              <w:sz w:val="22"/>
              <w:szCs w:val="22"/>
            </w:rPr>
          </w:pPr>
          <w:r w:rsidRPr="009F3B6D">
            <w:rPr>
              <w:rStyle w:val="Lienhypertexte"/>
              <w:rFonts w:asciiTheme="minorHAnsi" w:eastAsiaTheme="minorHAnsi" w:hAnsiTheme="minorHAnsi" w:cstheme="minorHAnsi"/>
              <w:noProof/>
              <w:color w:val="auto"/>
              <w:sz w:val="22"/>
              <w:szCs w:val="22"/>
            </w:rPr>
            <w:t xml:space="preserve">  6.7</w:t>
          </w:r>
          <w:r w:rsidRPr="009F3B6D">
            <w:t xml:space="preserve"> </w:t>
          </w:r>
          <w:r w:rsidRPr="009F3B6D">
            <w:rPr>
              <w:rFonts w:asciiTheme="minorHAnsi" w:hAnsiTheme="minorHAnsi" w:cstheme="minorHAnsi"/>
              <w:color w:val="auto"/>
              <w:sz w:val="22"/>
              <w:szCs w:val="22"/>
            </w:rPr>
            <w:t>Le Plan National de Prévention des Risques Climatiques (2021-203</w:t>
          </w:r>
          <w:r w:rsidRPr="009F3B6D">
            <w:rPr>
              <w:rFonts w:ascii="Calibri" w:eastAsia="Calibri" w:hAnsi="Calibri" w:cstheme="minorHAnsi"/>
              <w:i/>
              <w:iCs/>
              <w:color w:val="auto"/>
              <w:sz w:val="22"/>
              <w:szCs w:val="22"/>
            </w:rPr>
            <w:t>0)…. ………………………………43</w:t>
          </w:r>
        </w:p>
        <w:p w14:paraId="36A8EDB8" w14:textId="77777777" w:rsidR="008F2269" w:rsidRPr="009F3B6D" w:rsidRDefault="008F2269" w:rsidP="008F2269">
          <w:pPr>
            <w:pStyle w:val="TM1"/>
            <w:rPr>
              <w:rFonts w:eastAsiaTheme="minorEastAsia"/>
              <w:lang w:eastAsia="fr-FR"/>
            </w:rPr>
          </w:pPr>
          <w:r w:rsidRPr="009F3B6D">
            <w:t xml:space="preserve">  </w:t>
          </w:r>
          <w:hyperlink w:anchor="_Toc180318691" w:history="1">
            <w:r w:rsidRPr="009F3B6D">
              <w:rPr>
                <w:rStyle w:val="Lienhypertexte"/>
              </w:rPr>
              <w:t>CHAPITRE 7. LACUNES ET BESOINS POUR FAIRE FACE AU CHANGEMENT CLIMATIQUE</w:t>
            </w:r>
            <w:r w:rsidRPr="009F3B6D">
              <w:rPr>
                <w:webHidden/>
              </w:rPr>
              <w:tab/>
            </w:r>
            <w:r w:rsidRPr="009F3B6D">
              <w:rPr>
                <w:webHidden/>
              </w:rPr>
              <w:fldChar w:fldCharType="begin"/>
            </w:r>
            <w:r w:rsidRPr="009F3B6D">
              <w:rPr>
                <w:webHidden/>
              </w:rPr>
              <w:instrText xml:space="preserve"> PAGEREF _Toc180318691 \h </w:instrText>
            </w:r>
            <w:r w:rsidRPr="009F3B6D">
              <w:rPr>
                <w:webHidden/>
              </w:rPr>
            </w:r>
            <w:r w:rsidRPr="009F3B6D">
              <w:rPr>
                <w:webHidden/>
              </w:rPr>
              <w:fldChar w:fldCharType="separate"/>
            </w:r>
            <w:r>
              <w:rPr>
                <w:webHidden/>
              </w:rPr>
              <w:t>44</w:t>
            </w:r>
            <w:r w:rsidRPr="009F3B6D">
              <w:rPr>
                <w:webHidden/>
              </w:rPr>
              <w:fldChar w:fldCharType="end"/>
            </w:r>
          </w:hyperlink>
        </w:p>
        <w:p w14:paraId="09B474D4" w14:textId="77777777" w:rsidR="008F2269" w:rsidRPr="009F3B6D" w:rsidRDefault="008F2269" w:rsidP="008F2269">
          <w:pPr>
            <w:pStyle w:val="TM2"/>
            <w:rPr>
              <w:rFonts w:eastAsiaTheme="minorEastAsia"/>
              <w:lang w:eastAsia="fr-FR"/>
            </w:rPr>
          </w:pPr>
          <w:hyperlink w:anchor="_Toc180318692" w:history="1">
            <w:r w:rsidRPr="009F3B6D">
              <w:rPr>
                <w:rStyle w:val="Lienhypertexte"/>
              </w:rPr>
              <w:t>7.1 Connaissance des ressources en eau</w:t>
            </w:r>
            <w:r w:rsidRPr="009F3B6D">
              <w:rPr>
                <w:webHidden/>
              </w:rPr>
              <w:tab/>
            </w:r>
            <w:r w:rsidRPr="009F3B6D">
              <w:rPr>
                <w:webHidden/>
              </w:rPr>
              <w:fldChar w:fldCharType="begin"/>
            </w:r>
            <w:r w:rsidRPr="009F3B6D">
              <w:rPr>
                <w:webHidden/>
              </w:rPr>
              <w:instrText xml:space="preserve"> PAGEREF _Toc180318692 \h </w:instrText>
            </w:r>
            <w:r w:rsidRPr="009F3B6D">
              <w:rPr>
                <w:webHidden/>
              </w:rPr>
            </w:r>
            <w:r w:rsidRPr="009F3B6D">
              <w:rPr>
                <w:webHidden/>
              </w:rPr>
              <w:fldChar w:fldCharType="separate"/>
            </w:r>
            <w:r>
              <w:rPr>
                <w:webHidden/>
              </w:rPr>
              <w:t>44</w:t>
            </w:r>
            <w:r w:rsidRPr="009F3B6D">
              <w:rPr>
                <w:webHidden/>
              </w:rPr>
              <w:fldChar w:fldCharType="end"/>
            </w:r>
          </w:hyperlink>
        </w:p>
        <w:p w14:paraId="6AF29958" w14:textId="77777777" w:rsidR="008F2269" w:rsidRPr="009F3B6D" w:rsidRDefault="008F2269" w:rsidP="008F2269">
          <w:pPr>
            <w:pStyle w:val="TM2"/>
            <w:rPr>
              <w:rFonts w:eastAsiaTheme="minorEastAsia"/>
              <w:lang w:eastAsia="fr-FR"/>
            </w:rPr>
          </w:pPr>
          <w:hyperlink w:anchor="_Toc180318693" w:history="1">
            <w:r w:rsidRPr="009F3B6D">
              <w:rPr>
                <w:rStyle w:val="Lienhypertexte"/>
              </w:rPr>
              <w:t>7.2 Gestion aux plans juridique et institutionnel</w:t>
            </w:r>
            <w:r w:rsidRPr="009F3B6D">
              <w:rPr>
                <w:webHidden/>
              </w:rPr>
              <w:tab/>
            </w:r>
            <w:r w:rsidRPr="009F3B6D">
              <w:rPr>
                <w:webHidden/>
              </w:rPr>
              <w:fldChar w:fldCharType="begin"/>
            </w:r>
            <w:r w:rsidRPr="009F3B6D">
              <w:rPr>
                <w:webHidden/>
              </w:rPr>
              <w:instrText xml:space="preserve"> PAGEREF _Toc180318693 \h </w:instrText>
            </w:r>
            <w:r w:rsidRPr="009F3B6D">
              <w:rPr>
                <w:webHidden/>
              </w:rPr>
            </w:r>
            <w:r w:rsidRPr="009F3B6D">
              <w:rPr>
                <w:webHidden/>
              </w:rPr>
              <w:fldChar w:fldCharType="separate"/>
            </w:r>
            <w:r>
              <w:rPr>
                <w:webHidden/>
              </w:rPr>
              <w:t>44</w:t>
            </w:r>
            <w:r w:rsidRPr="009F3B6D">
              <w:rPr>
                <w:webHidden/>
              </w:rPr>
              <w:fldChar w:fldCharType="end"/>
            </w:r>
          </w:hyperlink>
        </w:p>
        <w:p w14:paraId="77F1A4E0" w14:textId="77777777" w:rsidR="008F2269" w:rsidRPr="009F3B6D" w:rsidRDefault="008F2269" w:rsidP="008F2269">
          <w:pPr>
            <w:pStyle w:val="TM2"/>
            <w:rPr>
              <w:rFonts w:eastAsiaTheme="minorEastAsia"/>
              <w:lang w:eastAsia="fr-FR"/>
            </w:rPr>
          </w:pPr>
          <w:hyperlink w:anchor="_Toc180318694" w:history="1">
            <w:r w:rsidRPr="009F3B6D">
              <w:rPr>
                <w:rStyle w:val="Lienhypertexte"/>
              </w:rPr>
              <w:t>7.3 Au plan du management</w:t>
            </w:r>
            <w:r w:rsidRPr="009F3B6D">
              <w:rPr>
                <w:webHidden/>
              </w:rPr>
              <w:tab/>
            </w:r>
            <w:r w:rsidRPr="009F3B6D">
              <w:rPr>
                <w:webHidden/>
              </w:rPr>
              <w:fldChar w:fldCharType="begin"/>
            </w:r>
            <w:r w:rsidRPr="009F3B6D">
              <w:rPr>
                <w:webHidden/>
              </w:rPr>
              <w:instrText xml:space="preserve"> PAGEREF _Toc180318694 \h </w:instrText>
            </w:r>
            <w:r w:rsidRPr="009F3B6D">
              <w:rPr>
                <w:webHidden/>
              </w:rPr>
            </w:r>
            <w:r w:rsidRPr="009F3B6D">
              <w:rPr>
                <w:webHidden/>
              </w:rPr>
              <w:fldChar w:fldCharType="separate"/>
            </w:r>
            <w:r>
              <w:rPr>
                <w:webHidden/>
              </w:rPr>
              <w:t>44</w:t>
            </w:r>
            <w:r w:rsidRPr="009F3B6D">
              <w:rPr>
                <w:webHidden/>
              </w:rPr>
              <w:fldChar w:fldCharType="end"/>
            </w:r>
          </w:hyperlink>
        </w:p>
        <w:p w14:paraId="0C4F1266" w14:textId="77777777" w:rsidR="008F2269" w:rsidRPr="009F3B6D" w:rsidRDefault="008F2269" w:rsidP="008F2269">
          <w:pPr>
            <w:pStyle w:val="TM2"/>
            <w:rPr>
              <w:rFonts w:eastAsiaTheme="minorEastAsia"/>
              <w:lang w:eastAsia="fr-FR"/>
            </w:rPr>
          </w:pPr>
          <w:hyperlink w:anchor="_Toc180318695" w:history="1">
            <w:r w:rsidRPr="009F3B6D">
              <w:rPr>
                <w:rStyle w:val="Lienhypertexte"/>
              </w:rPr>
              <w:t>7.4Gestion des données sur les ressources en eau</w:t>
            </w:r>
            <w:r w:rsidRPr="009F3B6D">
              <w:rPr>
                <w:webHidden/>
              </w:rPr>
              <w:tab/>
            </w:r>
            <w:r w:rsidRPr="009F3B6D">
              <w:rPr>
                <w:webHidden/>
              </w:rPr>
              <w:fldChar w:fldCharType="begin"/>
            </w:r>
            <w:r w:rsidRPr="009F3B6D">
              <w:rPr>
                <w:webHidden/>
              </w:rPr>
              <w:instrText xml:space="preserve"> PAGEREF _Toc180318695 \h </w:instrText>
            </w:r>
            <w:r w:rsidRPr="009F3B6D">
              <w:rPr>
                <w:webHidden/>
              </w:rPr>
            </w:r>
            <w:r w:rsidRPr="009F3B6D">
              <w:rPr>
                <w:webHidden/>
              </w:rPr>
              <w:fldChar w:fldCharType="separate"/>
            </w:r>
            <w:r>
              <w:rPr>
                <w:webHidden/>
              </w:rPr>
              <w:t>45</w:t>
            </w:r>
            <w:r w:rsidRPr="009F3B6D">
              <w:rPr>
                <w:webHidden/>
              </w:rPr>
              <w:fldChar w:fldCharType="end"/>
            </w:r>
          </w:hyperlink>
        </w:p>
        <w:p w14:paraId="5081919E" w14:textId="77777777" w:rsidR="008F2269" w:rsidRPr="009F3B6D" w:rsidRDefault="008F2269" w:rsidP="008F2269">
          <w:pPr>
            <w:pStyle w:val="TM2"/>
            <w:rPr>
              <w:rFonts w:eastAsiaTheme="minorEastAsia"/>
              <w:lang w:eastAsia="fr-FR"/>
            </w:rPr>
          </w:pPr>
          <w:hyperlink w:anchor="_Toc180318696" w:history="1">
            <w:r w:rsidRPr="009F3B6D">
              <w:rPr>
                <w:rStyle w:val="Lienhypertexte"/>
              </w:rPr>
              <w:t>7.5</w:t>
            </w:r>
            <w:r>
              <w:rPr>
                <w:rFonts w:eastAsiaTheme="minorEastAsia"/>
                <w:lang w:eastAsia="fr-FR"/>
              </w:rPr>
              <w:t xml:space="preserve"> </w:t>
            </w:r>
            <w:r w:rsidRPr="009F3B6D">
              <w:rPr>
                <w:rStyle w:val="Lienhypertexte"/>
              </w:rPr>
              <w:t>Gestion des risques d’impacts</w:t>
            </w:r>
            <w:r w:rsidRPr="009F3B6D">
              <w:rPr>
                <w:webHidden/>
              </w:rPr>
              <w:tab/>
            </w:r>
            <w:r w:rsidRPr="009F3B6D">
              <w:rPr>
                <w:webHidden/>
              </w:rPr>
              <w:fldChar w:fldCharType="begin"/>
            </w:r>
            <w:r w:rsidRPr="009F3B6D">
              <w:rPr>
                <w:webHidden/>
              </w:rPr>
              <w:instrText xml:space="preserve"> PAGEREF _Toc180318696 \h </w:instrText>
            </w:r>
            <w:r w:rsidRPr="009F3B6D">
              <w:rPr>
                <w:webHidden/>
              </w:rPr>
            </w:r>
            <w:r w:rsidRPr="009F3B6D">
              <w:rPr>
                <w:webHidden/>
              </w:rPr>
              <w:fldChar w:fldCharType="separate"/>
            </w:r>
            <w:r>
              <w:rPr>
                <w:webHidden/>
              </w:rPr>
              <w:t>45</w:t>
            </w:r>
            <w:r w:rsidRPr="009F3B6D">
              <w:rPr>
                <w:webHidden/>
              </w:rPr>
              <w:fldChar w:fldCharType="end"/>
            </w:r>
          </w:hyperlink>
        </w:p>
        <w:p w14:paraId="15BC4DF1" w14:textId="77777777" w:rsidR="008F2269" w:rsidRPr="009F3B6D" w:rsidRDefault="008F2269" w:rsidP="008F2269">
          <w:pPr>
            <w:pStyle w:val="TM2"/>
            <w:rPr>
              <w:rFonts w:eastAsiaTheme="minorEastAsia"/>
              <w:lang w:eastAsia="fr-FR"/>
            </w:rPr>
          </w:pPr>
          <w:hyperlink w:anchor="_Toc180318697" w:history="1">
            <w:r w:rsidRPr="009F3B6D">
              <w:rPr>
                <w:rStyle w:val="Lienhypertexte"/>
              </w:rPr>
              <w:t>7.6</w:t>
            </w:r>
            <w:r>
              <w:rPr>
                <w:rFonts w:eastAsiaTheme="minorEastAsia"/>
                <w:lang w:eastAsia="fr-FR"/>
              </w:rPr>
              <w:t xml:space="preserve"> </w:t>
            </w:r>
            <w:r w:rsidRPr="009F3B6D">
              <w:rPr>
                <w:rStyle w:val="Lienhypertexte"/>
              </w:rPr>
              <w:t>Amélioration du suivi-évaluation</w:t>
            </w:r>
            <w:r w:rsidRPr="009F3B6D">
              <w:rPr>
                <w:webHidden/>
              </w:rPr>
              <w:tab/>
            </w:r>
            <w:r w:rsidRPr="009F3B6D">
              <w:rPr>
                <w:webHidden/>
              </w:rPr>
              <w:fldChar w:fldCharType="begin"/>
            </w:r>
            <w:r w:rsidRPr="009F3B6D">
              <w:rPr>
                <w:webHidden/>
              </w:rPr>
              <w:instrText xml:space="preserve"> PAGEREF _Toc180318697 \h </w:instrText>
            </w:r>
            <w:r w:rsidRPr="009F3B6D">
              <w:rPr>
                <w:webHidden/>
              </w:rPr>
            </w:r>
            <w:r w:rsidRPr="009F3B6D">
              <w:rPr>
                <w:webHidden/>
              </w:rPr>
              <w:fldChar w:fldCharType="separate"/>
            </w:r>
            <w:r>
              <w:rPr>
                <w:webHidden/>
              </w:rPr>
              <w:t>45</w:t>
            </w:r>
            <w:r w:rsidRPr="009F3B6D">
              <w:rPr>
                <w:webHidden/>
              </w:rPr>
              <w:fldChar w:fldCharType="end"/>
            </w:r>
          </w:hyperlink>
        </w:p>
        <w:p w14:paraId="7406CD78" w14:textId="77777777" w:rsidR="008F2269" w:rsidRPr="009F3B6D" w:rsidRDefault="008F2269" w:rsidP="008F2269">
          <w:pPr>
            <w:pStyle w:val="TM2"/>
            <w:rPr>
              <w:rFonts w:eastAsiaTheme="minorEastAsia"/>
              <w:lang w:eastAsia="fr-FR"/>
            </w:rPr>
          </w:pPr>
          <w:hyperlink w:anchor="_Toc180318698" w:history="1">
            <w:r w:rsidRPr="009F3B6D">
              <w:rPr>
                <w:rStyle w:val="Lienhypertexte"/>
              </w:rPr>
              <w:t>7.7</w:t>
            </w:r>
            <w:r>
              <w:rPr>
                <w:rStyle w:val="Lienhypertexte"/>
              </w:rPr>
              <w:t xml:space="preserve"> </w:t>
            </w:r>
            <w:r w:rsidRPr="009F3B6D">
              <w:rPr>
                <w:rStyle w:val="Lienhypertexte"/>
              </w:rPr>
              <w:t>L’amélioration de la Gouvernance du Secteur dans le cadre du changement climatique</w:t>
            </w:r>
            <w:r w:rsidRPr="009F3B6D">
              <w:rPr>
                <w:webHidden/>
              </w:rPr>
              <w:tab/>
            </w:r>
            <w:r w:rsidRPr="009F3B6D">
              <w:rPr>
                <w:webHidden/>
              </w:rPr>
              <w:fldChar w:fldCharType="begin"/>
            </w:r>
            <w:r w:rsidRPr="009F3B6D">
              <w:rPr>
                <w:webHidden/>
              </w:rPr>
              <w:instrText xml:space="preserve"> PAGEREF _Toc180318698 \h </w:instrText>
            </w:r>
            <w:r w:rsidRPr="009F3B6D">
              <w:rPr>
                <w:webHidden/>
              </w:rPr>
            </w:r>
            <w:r w:rsidRPr="009F3B6D">
              <w:rPr>
                <w:webHidden/>
              </w:rPr>
              <w:fldChar w:fldCharType="separate"/>
            </w:r>
            <w:r>
              <w:rPr>
                <w:webHidden/>
              </w:rPr>
              <w:t>46</w:t>
            </w:r>
            <w:r w:rsidRPr="009F3B6D">
              <w:rPr>
                <w:webHidden/>
              </w:rPr>
              <w:fldChar w:fldCharType="end"/>
            </w:r>
          </w:hyperlink>
        </w:p>
        <w:p w14:paraId="44057A44" w14:textId="77777777" w:rsidR="008F2269" w:rsidRPr="009F3B6D" w:rsidRDefault="008F2269" w:rsidP="008F2269">
          <w:pPr>
            <w:pStyle w:val="TM1"/>
            <w:rPr>
              <w:rFonts w:eastAsiaTheme="minorEastAsia"/>
              <w:lang w:eastAsia="fr-FR"/>
            </w:rPr>
          </w:pPr>
          <w:hyperlink w:anchor="_Toc180318699" w:history="1">
            <w:r w:rsidRPr="009F3B6D">
              <w:rPr>
                <w:rStyle w:val="Lienhypertexte"/>
              </w:rPr>
              <w:t>CHAPITRE 8. EXPOSITION ET VULNERABILITE DES RESSOURCES EN EAU DE SURFACE FACE AU CHANGEMENT CLIMATIQUE EN RAPPORT AVEC LES AUTRES SECTEURS.</w:t>
            </w:r>
            <w:r w:rsidRPr="009F3B6D">
              <w:rPr>
                <w:webHidden/>
              </w:rPr>
              <w:tab/>
            </w:r>
            <w:r w:rsidRPr="009F3B6D">
              <w:rPr>
                <w:webHidden/>
              </w:rPr>
              <w:fldChar w:fldCharType="begin"/>
            </w:r>
            <w:r w:rsidRPr="009F3B6D">
              <w:rPr>
                <w:webHidden/>
              </w:rPr>
              <w:instrText xml:space="preserve"> PAGEREF _Toc180318699 \h </w:instrText>
            </w:r>
            <w:r w:rsidRPr="009F3B6D">
              <w:rPr>
                <w:webHidden/>
              </w:rPr>
            </w:r>
            <w:r w:rsidRPr="009F3B6D">
              <w:rPr>
                <w:webHidden/>
              </w:rPr>
              <w:fldChar w:fldCharType="separate"/>
            </w:r>
            <w:r>
              <w:rPr>
                <w:webHidden/>
              </w:rPr>
              <w:t>48</w:t>
            </w:r>
            <w:r w:rsidRPr="009F3B6D">
              <w:rPr>
                <w:webHidden/>
              </w:rPr>
              <w:fldChar w:fldCharType="end"/>
            </w:r>
          </w:hyperlink>
        </w:p>
        <w:p w14:paraId="21305E58" w14:textId="77777777" w:rsidR="008F2269" w:rsidRPr="009F3B6D" w:rsidRDefault="008F2269" w:rsidP="008F2269">
          <w:pPr>
            <w:pStyle w:val="TM2"/>
            <w:rPr>
              <w:rFonts w:eastAsiaTheme="minorEastAsia"/>
              <w:lang w:eastAsia="fr-FR"/>
            </w:rPr>
          </w:pPr>
          <w:hyperlink w:anchor="_Toc180318700" w:history="1">
            <w:r w:rsidRPr="009F3B6D">
              <w:rPr>
                <w:rStyle w:val="Lienhypertexte"/>
              </w:rPr>
              <w:t>8.1   Facteurs climatiques</w:t>
            </w:r>
            <w:r w:rsidRPr="009F3B6D">
              <w:rPr>
                <w:webHidden/>
              </w:rPr>
              <w:tab/>
            </w:r>
            <w:r w:rsidRPr="009F3B6D">
              <w:rPr>
                <w:webHidden/>
              </w:rPr>
              <w:fldChar w:fldCharType="begin"/>
            </w:r>
            <w:r w:rsidRPr="009F3B6D">
              <w:rPr>
                <w:webHidden/>
              </w:rPr>
              <w:instrText xml:space="preserve"> PAGEREF _Toc180318700 \h </w:instrText>
            </w:r>
            <w:r w:rsidRPr="009F3B6D">
              <w:rPr>
                <w:webHidden/>
              </w:rPr>
            </w:r>
            <w:r w:rsidRPr="009F3B6D">
              <w:rPr>
                <w:webHidden/>
              </w:rPr>
              <w:fldChar w:fldCharType="separate"/>
            </w:r>
            <w:r>
              <w:rPr>
                <w:webHidden/>
              </w:rPr>
              <w:t>48</w:t>
            </w:r>
            <w:r w:rsidRPr="009F3B6D">
              <w:rPr>
                <w:webHidden/>
              </w:rPr>
              <w:fldChar w:fldCharType="end"/>
            </w:r>
          </w:hyperlink>
        </w:p>
        <w:p w14:paraId="57A00F10" w14:textId="77777777" w:rsidR="008F2269" w:rsidRPr="009F3B6D" w:rsidRDefault="008F2269" w:rsidP="008F2269">
          <w:pPr>
            <w:pStyle w:val="TM2"/>
            <w:rPr>
              <w:rFonts w:eastAsiaTheme="minorEastAsia"/>
              <w:lang w:eastAsia="fr-FR"/>
            </w:rPr>
          </w:pPr>
          <w:hyperlink w:anchor="_Toc180318701" w:history="1">
            <w:r w:rsidRPr="009F3B6D">
              <w:rPr>
                <w:rStyle w:val="Lienhypertexte"/>
              </w:rPr>
              <w:t>8.2 Evaluation des risques du changement climatique prévu par secteur.</w:t>
            </w:r>
            <w:r w:rsidRPr="009F3B6D">
              <w:rPr>
                <w:webHidden/>
              </w:rPr>
              <w:tab/>
              <w:t>50</w:t>
            </w:r>
          </w:hyperlink>
        </w:p>
        <w:p w14:paraId="326EC263" w14:textId="77777777" w:rsidR="008F2269" w:rsidRPr="009F3B6D" w:rsidRDefault="008F2269" w:rsidP="008F2269">
          <w:pPr>
            <w:pStyle w:val="TM1"/>
            <w:rPr>
              <w:rFonts w:eastAsiaTheme="minorEastAsia"/>
              <w:lang w:eastAsia="fr-FR"/>
            </w:rPr>
          </w:pPr>
          <w:hyperlink w:anchor="_Toc180318702" w:history="1">
            <w:r w:rsidRPr="009F3B6D">
              <w:rPr>
                <w:rStyle w:val="Lienhypertexte"/>
              </w:rPr>
              <w:t>CONCLUSION ET RECOMMANDATIONS.</w:t>
            </w:r>
            <w:r w:rsidRPr="009F3B6D">
              <w:rPr>
                <w:webHidden/>
              </w:rPr>
              <w:tab/>
            </w:r>
            <w:r w:rsidRPr="009F3B6D">
              <w:rPr>
                <w:webHidden/>
              </w:rPr>
              <w:fldChar w:fldCharType="begin"/>
            </w:r>
            <w:r w:rsidRPr="009F3B6D">
              <w:rPr>
                <w:webHidden/>
              </w:rPr>
              <w:instrText xml:space="preserve"> PAGEREF _Toc180318702 \h </w:instrText>
            </w:r>
            <w:r w:rsidRPr="009F3B6D">
              <w:rPr>
                <w:webHidden/>
              </w:rPr>
            </w:r>
            <w:r w:rsidRPr="009F3B6D">
              <w:rPr>
                <w:webHidden/>
              </w:rPr>
              <w:fldChar w:fldCharType="separate"/>
            </w:r>
            <w:r>
              <w:rPr>
                <w:webHidden/>
              </w:rPr>
              <w:t>52</w:t>
            </w:r>
            <w:r w:rsidRPr="009F3B6D">
              <w:rPr>
                <w:webHidden/>
              </w:rPr>
              <w:fldChar w:fldCharType="end"/>
            </w:r>
          </w:hyperlink>
        </w:p>
        <w:p w14:paraId="5E24272E" w14:textId="77777777" w:rsidR="008F2269" w:rsidRPr="009F3B6D" w:rsidRDefault="008F2269" w:rsidP="008F2269">
          <w:pPr>
            <w:pStyle w:val="TM1"/>
            <w:rPr>
              <w:rFonts w:eastAsiaTheme="minorEastAsia"/>
              <w:lang w:eastAsia="fr-FR"/>
            </w:rPr>
          </w:pPr>
          <w:hyperlink w:anchor="_Toc180318703" w:history="1">
            <w:r w:rsidRPr="009F3B6D">
              <w:rPr>
                <w:rStyle w:val="Lienhypertexte"/>
              </w:rPr>
              <w:t>ANNEXES</w:t>
            </w:r>
            <w:r w:rsidRPr="009F3B6D">
              <w:rPr>
                <w:webHidden/>
              </w:rPr>
              <w:tab/>
            </w:r>
            <w:r w:rsidRPr="009F3B6D">
              <w:rPr>
                <w:webHidden/>
              </w:rPr>
              <w:fldChar w:fldCharType="begin"/>
            </w:r>
            <w:r w:rsidRPr="009F3B6D">
              <w:rPr>
                <w:webHidden/>
              </w:rPr>
              <w:instrText xml:space="preserve"> PAGEREF _Toc180318703 \h </w:instrText>
            </w:r>
            <w:r w:rsidRPr="009F3B6D">
              <w:rPr>
                <w:webHidden/>
              </w:rPr>
            </w:r>
            <w:r w:rsidRPr="009F3B6D">
              <w:rPr>
                <w:webHidden/>
              </w:rPr>
              <w:fldChar w:fldCharType="separate"/>
            </w:r>
            <w:r>
              <w:rPr>
                <w:webHidden/>
              </w:rPr>
              <w:t>55</w:t>
            </w:r>
            <w:r w:rsidRPr="009F3B6D">
              <w:rPr>
                <w:webHidden/>
              </w:rPr>
              <w:fldChar w:fldCharType="end"/>
            </w:r>
          </w:hyperlink>
        </w:p>
        <w:p w14:paraId="2BFFFA09" w14:textId="77777777" w:rsidR="008F2269" w:rsidRPr="009F3B6D" w:rsidRDefault="008F2269" w:rsidP="008F2269">
          <w:pPr>
            <w:pStyle w:val="TM2"/>
            <w:rPr>
              <w:rFonts w:eastAsiaTheme="minorEastAsia"/>
              <w:lang w:eastAsia="fr-FR"/>
            </w:rPr>
          </w:pPr>
          <w:hyperlink w:anchor="_Toc180318704" w:history="1">
            <w:r w:rsidRPr="009F3B6D">
              <w:rPr>
                <w:rStyle w:val="Lienhypertexte"/>
              </w:rPr>
              <w:t xml:space="preserve">Annexe 1 : Tableau 2 Cadre harmonisé d’Analyse des stratégies/plans sectoriels face aux enjeux du </w:t>
            </w:r>
            <w:r w:rsidRPr="009F3B6D">
              <w:rPr>
                <w:rStyle w:val="Lienhypertexte"/>
                <w:i/>
              </w:rPr>
              <w:t>changement climatique</w:t>
            </w:r>
            <w:r w:rsidRPr="009F3B6D">
              <w:rPr>
                <w:webHidden/>
              </w:rPr>
              <w:tab/>
            </w:r>
            <w:r w:rsidRPr="009F3B6D">
              <w:rPr>
                <w:webHidden/>
              </w:rPr>
              <w:fldChar w:fldCharType="begin"/>
            </w:r>
            <w:r w:rsidRPr="009F3B6D">
              <w:rPr>
                <w:webHidden/>
              </w:rPr>
              <w:instrText xml:space="preserve"> PAGEREF _Toc180318704 \h </w:instrText>
            </w:r>
            <w:r w:rsidRPr="009F3B6D">
              <w:rPr>
                <w:webHidden/>
              </w:rPr>
            </w:r>
            <w:r w:rsidRPr="009F3B6D">
              <w:rPr>
                <w:webHidden/>
              </w:rPr>
              <w:fldChar w:fldCharType="separate"/>
            </w:r>
            <w:r>
              <w:rPr>
                <w:webHidden/>
              </w:rPr>
              <w:t>55</w:t>
            </w:r>
            <w:r w:rsidRPr="009F3B6D">
              <w:rPr>
                <w:webHidden/>
              </w:rPr>
              <w:fldChar w:fldCharType="end"/>
            </w:r>
          </w:hyperlink>
        </w:p>
        <w:p w14:paraId="1627FB72" w14:textId="77777777" w:rsidR="008F2269" w:rsidRPr="009F3B6D" w:rsidRDefault="008F2269" w:rsidP="008F2269">
          <w:pPr>
            <w:pStyle w:val="TM2"/>
            <w:rPr>
              <w:rFonts w:eastAsiaTheme="minorEastAsia"/>
              <w:lang w:eastAsia="fr-FR"/>
            </w:rPr>
          </w:pPr>
          <w:hyperlink w:anchor="_Toc180318705" w:history="1">
            <w:r w:rsidRPr="009F3B6D">
              <w:rPr>
                <w:rStyle w:val="Lienhypertexte"/>
              </w:rPr>
              <w:t>Annexe 2 : La liste des personnes/institutions consultées</w:t>
            </w:r>
            <w:r w:rsidRPr="009F3B6D">
              <w:rPr>
                <w:webHidden/>
              </w:rPr>
              <w:tab/>
            </w:r>
            <w:r w:rsidRPr="009F3B6D">
              <w:rPr>
                <w:webHidden/>
              </w:rPr>
              <w:fldChar w:fldCharType="begin"/>
            </w:r>
            <w:r w:rsidRPr="009F3B6D">
              <w:rPr>
                <w:webHidden/>
              </w:rPr>
              <w:instrText xml:space="preserve"> PAGEREF _Toc180318705 \h </w:instrText>
            </w:r>
            <w:r w:rsidRPr="009F3B6D">
              <w:rPr>
                <w:webHidden/>
              </w:rPr>
            </w:r>
            <w:r w:rsidRPr="009F3B6D">
              <w:rPr>
                <w:webHidden/>
              </w:rPr>
              <w:fldChar w:fldCharType="separate"/>
            </w:r>
            <w:r>
              <w:rPr>
                <w:webHidden/>
              </w:rPr>
              <w:t>75</w:t>
            </w:r>
            <w:r w:rsidRPr="009F3B6D">
              <w:rPr>
                <w:webHidden/>
              </w:rPr>
              <w:fldChar w:fldCharType="end"/>
            </w:r>
          </w:hyperlink>
        </w:p>
        <w:p w14:paraId="16E60588" w14:textId="77777777" w:rsidR="008F2269" w:rsidRPr="009F3B6D" w:rsidRDefault="008F2269" w:rsidP="008F2269">
          <w:pPr>
            <w:pStyle w:val="TM2"/>
            <w:rPr>
              <w:rFonts w:eastAsiaTheme="minorEastAsia"/>
              <w:lang w:eastAsia="fr-FR"/>
            </w:rPr>
          </w:pPr>
          <w:hyperlink w:anchor="_Toc180318706" w:history="1">
            <w:r w:rsidRPr="009F3B6D">
              <w:rPr>
                <w:rStyle w:val="Lienhypertexte"/>
              </w:rPr>
              <w:t>Annexe 3 : Liste des tableaux</w:t>
            </w:r>
            <w:r w:rsidRPr="009F3B6D">
              <w:rPr>
                <w:webHidden/>
              </w:rPr>
              <w:tab/>
            </w:r>
            <w:r w:rsidRPr="009F3B6D">
              <w:rPr>
                <w:webHidden/>
              </w:rPr>
              <w:fldChar w:fldCharType="begin"/>
            </w:r>
            <w:r w:rsidRPr="009F3B6D">
              <w:rPr>
                <w:webHidden/>
              </w:rPr>
              <w:instrText xml:space="preserve"> PAGEREF _Toc180318706 \h </w:instrText>
            </w:r>
            <w:r w:rsidRPr="009F3B6D">
              <w:rPr>
                <w:webHidden/>
              </w:rPr>
            </w:r>
            <w:r w:rsidRPr="009F3B6D">
              <w:rPr>
                <w:webHidden/>
              </w:rPr>
              <w:fldChar w:fldCharType="separate"/>
            </w:r>
            <w:r>
              <w:rPr>
                <w:webHidden/>
              </w:rPr>
              <w:t>75</w:t>
            </w:r>
            <w:r w:rsidRPr="009F3B6D">
              <w:rPr>
                <w:webHidden/>
              </w:rPr>
              <w:fldChar w:fldCharType="end"/>
            </w:r>
          </w:hyperlink>
        </w:p>
        <w:p w14:paraId="116EDFF7" w14:textId="77777777" w:rsidR="008F2269" w:rsidRPr="009F3B6D" w:rsidRDefault="008F2269" w:rsidP="008F2269">
          <w:pPr>
            <w:pStyle w:val="TM2"/>
            <w:rPr>
              <w:rFonts w:eastAsiaTheme="minorEastAsia"/>
              <w:lang w:eastAsia="fr-FR"/>
            </w:rPr>
          </w:pPr>
          <w:hyperlink w:anchor="_Toc180318707" w:history="1">
            <w:r w:rsidRPr="009F3B6D">
              <w:rPr>
                <w:rStyle w:val="Lienhypertexte"/>
              </w:rPr>
              <w:t>Annexe 4 Liste des figures</w:t>
            </w:r>
            <w:r w:rsidRPr="009F3B6D">
              <w:rPr>
                <w:webHidden/>
              </w:rPr>
              <w:tab/>
            </w:r>
            <w:r w:rsidRPr="009F3B6D">
              <w:rPr>
                <w:webHidden/>
              </w:rPr>
              <w:fldChar w:fldCharType="begin"/>
            </w:r>
            <w:r w:rsidRPr="009F3B6D">
              <w:rPr>
                <w:webHidden/>
              </w:rPr>
              <w:instrText xml:space="preserve"> PAGEREF _Toc180318707 \h </w:instrText>
            </w:r>
            <w:r w:rsidRPr="009F3B6D">
              <w:rPr>
                <w:webHidden/>
              </w:rPr>
            </w:r>
            <w:r w:rsidRPr="009F3B6D">
              <w:rPr>
                <w:webHidden/>
              </w:rPr>
              <w:fldChar w:fldCharType="separate"/>
            </w:r>
            <w:r>
              <w:rPr>
                <w:webHidden/>
              </w:rPr>
              <w:t>75</w:t>
            </w:r>
            <w:r w:rsidRPr="009F3B6D">
              <w:rPr>
                <w:webHidden/>
              </w:rPr>
              <w:fldChar w:fldCharType="end"/>
            </w:r>
          </w:hyperlink>
        </w:p>
        <w:p w14:paraId="6592CAFD" w14:textId="77777777" w:rsidR="008F2269" w:rsidRPr="009F3B6D" w:rsidRDefault="008F2269" w:rsidP="008F2269">
          <w:pPr>
            <w:pStyle w:val="TM2"/>
            <w:rPr>
              <w:rFonts w:eastAsiaTheme="minorEastAsia"/>
              <w:lang w:eastAsia="fr-FR"/>
            </w:rPr>
          </w:pPr>
          <w:hyperlink w:anchor="_Toc180318708" w:history="1">
            <w:r w:rsidRPr="009F3B6D">
              <w:rPr>
                <w:rStyle w:val="Lienhypertexte"/>
              </w:rPr>
              <w:t>Annexe 5 : Bibliographie</w:t>
            </w:r>
            <w:r w:rsidRPr="009F3B6D">
              <w:rPr>
                <w:webHidden/>
              </w:rPr>
              <w:tab/>
            </w:r>
            <w:r w:rsidRPr="009F3B6D">
              <w:rPr>
                <w:webHidden/>
              </w:rPr>
              <w:fldChar w:fldCharType="begin"/>
            </w:r>
            <w:r w:rsidRPr="009F3B6D">
              <w:rPr>
                <w:webHidden/>
              </w:rPr>
              <w:instrText xml:space="preserve"> PAGEREF _Toc180318708 \h </w:instrText>
            </w:r>
            <w:r w:rsidRPr="009F3B6D">
              <w:rPr>
                <w:webHidden/>
              </w:rPr>
            </w:r>
            <w:r w:rsidRPr="009F3B6D">
              <w:rPr>
                <w:webHidden/>
              </w:rPr>
              <w:fldChar w:fldCharType="separate"/>
            </w:r>
            <w:r>
              <w:rPr>
                <w:webHidden/>
              </w:rPr>
              <w:t>76</w:t>
            </w:r>
            <w:r w:rsidRPr="009F3B6D">
              <w:rPr>
                <w:webHidden/>
              </w:rPr>
              <w:fldChar w:fldCharType="end"/>
            </w:r>
          </w:hyperlink>
        </w:p>
        <w:p w14:paraId="4B8237F5" w14:textId="77777777" w:rsidR="008F2269" w:rsidRDefault="008F2269" w:rsidP="008F2269">
          <w:r>
            <w:rPr>
              <w:b/>
              <w:bCs/>
            </w:rPr>
            <w:fldChar w:fldCharType="end"/>
          </w:r>
        </w:p>
      </w:sdtContent>
    </w:sdt>
    <w:p w14:paraId="5DA988FF" w14:textId="77777777" w:rsidR="008F2269" w:rsidRDefault="008F2269" w:rsidP="008F2269"/>
    <w:p w14:paraId="4BF9740E" w14:textId="77777777" w:rsidR="008F2269" w:rsidRPr="00E17BE5" w:rsidRDefault="008F2269" w:rsidP="008F2269">
      <w:pPr>
        <w:pStyle w:val="Titre1"/>
        <w:spacing w:after="240"/>
        <w:jc w:val="center"/>
        <w:rPr>
          <w:rFonts w:asciiTheme="minorHAnsi" w:hAnsiTheme="minorHAnsi" w:cstheme="minorHAnsi"/>
          <w:color w:val="auto"/>
          <w:sz w:val="20"/>
          <w:szCs w:val="20"/>
        </w:rPr>
      </w:pPr>
      <w:bookmarkStart w:id="63" w:name="_Toc57057423"/>
      <w:bookmarkStart w:id="64" w:name="_Toc180318661"/>
      <w:r w:rsidRPr="00BE7A39">
        <w:rPr>
          <w:rFonts w:asciiTheme="minorHAnsi" w:hAnsiTheme="minorHAnsi" w:cstheme="minorHAnsi"/>
          <w:color w:val="auto"/>
          <w:sz w:val="20"/>
          <w:szCs w:val="20"/>
        </w:rPr>
        <w:t>LISTE DES ABREVIATIONS ET ACRONYMES</w:t>
      </w:r>
      <w:bookmarkEnd w:id="63"/>
      <w:bookmarkEnd w:id="64"/>
    </w:p>
    <w:tbl>
      <w:tblPr>
        <w:tblStyle w:val="Grilledutableau"/>
        <w:tblW w:w="8944" w:type="dxa"/>
        <w:tblLook w:val="04A0" w:firstRow="1" w:lastRow="0" w:firstColumn="1" w:lastColumn="0" w:noHBand="0" w:noVBand="1"/>
      </w:tblPr>
      <w:tblGrid>
        <w:gridCol w:w="1148"/>
        <w:gridCol w:w="7796"/>
      </w:tblGrid>
      <w:tr w:rsidR="008F2269" w:rsidRPr="00BE7A39" w14:paraId="7A236A04" w14:textId="77777777" w:rsidTr="002D1362">
        <w:tc>
          <w:tcPr>
            <w:tcW w:w="1148" w:type="dxa"/>
          </w:tcPr>
          <w:p w14:paraId="3BE6199F" w14:textId="77777777" w:rsidR="008F2269" w:rsidRPr="002139E2" w:rsidRDefault="008F2269" w:rsidP="002D1362">
            <w:pPr>
              <w:rPr>
                <w:rFonts w:cstheme="minorHAnsi"/>
                <w:color w:val="000000"/>
                <w:sz w:val="20"/>
                <w:szCs w:val="20"/>
              </w:rPr>
            </w:pPr>
            <w:r w:rsidRPr="002139E2">
              <w:rPr>
                <w:rFonts w:cstheme="minorHAnsi"/>
                <w:color w:val="000000"/>
                <w:sz w:val="20"/>
                <w:szCs w:val="20"/>
              </w:rPr>
              <w:t>ACMAD</w:t>
            </w:r>
          </w:p>
        </w:tc>
        <w:tc>
          <w:tcPr>
            <w:tcW w:w="7796" w:type="dxa"/>
          </w:tcPr>
          <w:p w14:paraId="0571CF1E" w14:textId="77777777" w:rsidR="008F2269" w:rsidRPr="002139E2" w:rsidRDefault="008F2269" w:rsidP="002D1362">
            <w:pPr>
              <w:ind w:left="1416" w:hanging="1416"/>
              <w:rPr>
                <w:rFonts w:cstheme="minorHAnsi"/>
                <w:color w:val="000000"/>
                <w:sz w:val="20"/>
                <w:szCs w:val="20"/>
              </w:rPr>
            </w:pPr>
            <w:r w:rsidRPr="002139E2">
              <w:rPr>
                <w:rFonts w:cstheme="minorHAnsi"/>
                <w:color w:val="000000"/>
                <w:sz w:val="20"/>
                <w:szCs w:val="20"/>
              </w:rPr>
              <w:t>Centre Africain pour les Applications Météorologiques au Développement</w:t>
            </w:r>
          </w:p>
        </w:tc>
      </w:tr>
      <w:tr w:rsidR="008F2269" w:rsidRPr="00BE7A39" w14:paraId="3AACA30C" w14:textId="77777777" w:rsidTr="002D1362">
        <w:tc>
          <w:tcPr>
            <w:tcW w:w="1148" w:type="dxa"/>
          </w:tcPr>
          <w:p w14:paraId="3BA71D87" w14:textId="77777777" w:rsidR="008F2269" w:rsidRPr="002139E2" w:rsidRDefault="008F2269" w:rsidP="002D1362">
            <w:pPr>
              <w:rPr>
                <w:rFonts w:cstheme="minorHAnsi"/>
                <w:color w:val="000000"/>
                <w:sz w:val="20"/>
                <w:szCs w:val="20"/>
              </w:rPr>
            </w:pPr>
            <w:r w:rsidRPr="002139E2">
              <w:rPr>
                <w:rFonts w:cstheme="minorHAnsi"/>
                <w:color w:val="000000"/>
                <w:sz w:val="20"/>
                <w:szCs w:val="20"/>
              </w:rPr>
              <w:t xml:space="preserve"> AEP</w:t>
            </w:r>
          </w:p>
        </w:tc>
        <w:tc>
          <w:tcPr>
            <w:tcW w:w="7796" w:type="dxa"/>
          </w:tcPr>
          <w:p w14:paraId="1524AA79" w14:textId="77777777" w:rsidR="008F2269" w:rsidRPr="002139E2" w:rsidRDefault="008F2269" w:rsidP="002D1362">
            <w:pPr>
              <w:rPr>
                <w:rFonts w:cstheme="minorHAnsi"/>
                <w:color w:val="000000"/>
                <w:sz w:val="20"/>
                <w:szCs w:val="20"/>
              </w:rPr>
            </w:pPr>
            <w:r w:rsidRPr="002139E2">
              <w:rPr>
                <w:rFonts w:cstheme="minorHAnsi"/>
                <w:color w:val="000000"/>
                <w:sz w:val="20"/>
                <w:szCs w:val="20"/>
              </w:rPr>
              <w:t>Adduction d’Eau Potable</w:t>
            </w:r>
          </w:p>
        </w:tc>
      </w:tr>
      <w:tr w:rsidR="008F2269" w:rsidRPr="00BE7A39" w14:paraId="558C7832" w14:textId="77777777" w:rsidTr="002D1362">
        <w:tc>
          <w:tcPr>
            <w:tcW w:w="1148" w:type="dxa"/>
          </w:tcPr>
          <w:p w14:paraId="0BF7DAF4" w14:textId="77777777" w:rsidR="008F2269" w:rsidRPr="002139E2" w:rsidRDefault="008F2269" w:rsidP="002D1362">
            <w:pPr>
              <w:rPr>
                <w:rFonts w:cstheme="minorHAnsi"/>
                <w:color w:val="000000"/>
                <w:sz w:val="20"/>
                <w:szCs w:val="20"/>
              </w:rPr>
            </w:pPr>
            <w:r w:rsidRPr="00E52224">
              <w:rPr>
                <w:rFonts w:cstheme="minorHAnsi"/>
                <w:color w:val="000000"/>
                <w:sz w:val="18"/>
                <w:szCs w:val="18"/>
              </w:rPr>
              <w:t>AGRHYMET</w:t>
            </w:r>
          </w:p>
        </w:tc>
        <w:tc>
          <w:tcPr>
            <w:tcW w:w="7796" w:type="dxa"/>
          </w:tcPr>
          <w:p w14:paraId="3E978314" w14:textId="77777777" w:rsidR="008F2269" w:rsidRPr="002139E2" w:rsidRDefault="008F2269" w:rsidP="002D1362">
            <w:pPr>
              <w:ind w:left="1416" w:right="-104" w:hanging="1416"/>
              <w:rPr>
                <w:rFonts w:cstheme="minorHAnsi"/>
                <w:color w:val="000000"/>
                <w:sz w:val="20"/>
                <w:szCs w:val="20"/>
              </w:rPr>
            </w:pPr>
            <w:r w:rsidRPr="00E52224">
              <w:rPr>
                <w:rFonts w:cstheme="minorHAnsi"/>
                <w:color w:val="000000"/>
                <w:sz w:val="18"/>
                <w:szCs w:val="18"/>
              </w:rPr>
              <w:t>Centre régional de Formation et d'Application en Agrométéorologie et Hydrologie Opérationnelle</w:t>
            </w:r>
          </w:p>
        </w:tc>
      </w:tr>
      <w:tr w:rsidR="008F2269" w:rsidRPr="00BE7A39" w14:paraId="47F35A07" w14:textId="77777777" w:rsidTr="002D1362">
        <w:tc>
          <w:tcPr>
            <w:tcW w:w="1148" w:type="dxa"/>
          </w:tcPr>
          <w:p w14:paraId="08EBFF84" w14:textId="77777777" w:rsidR="008F2269" w:rsidRPr="00BE7A39" w:rsidRDefault="008F2269" w:rsidP="002D1362">
            <w:pPr>
              <w:spacing w:line="23" w:lineRule="atLeast"/>
              <w:rPr>
                <w:rFonts w:cstheme="minorHAnsi"/>
                <w:color w:val="000000"/>
                <w:sz w:val="20"/>
                <w:szCs w:val="20"/>
              </w:rPr>
            </w:pPr>
            <w:r w:rsidRPr="00BE7A39">
              <w:rPr>
                <w:rFonts w:cstheme="minorHAnsi"/>
                <w:color w:val="000000"/>
                <w:sz w:val="20"/>
                <w:szCs w:val="20"/>
              </w:rPr>
              <w:t>AMCC1</w:t>
            </w:r>
          </w:p>
        </w:tc>
        <w:tc>
          <w:tcPr>
            <w:tcW w:w="7796" w:type="dxa"/>
          </w:tcPr>
          <w:p w14:paraId="60B62D43" w14:textId="77777777" w:rsidR="008F2269" w:rsidRPr="00BE7A39" w:rsidRDefault="008F2269" w:rsidP="002D1362">
            <w:pPr>
              <w:spacing w:line="23" w:lineRule="atLeast"/>
              <w:rPr>
                <w:rFonts w:cstheme="minorHAnsi"/>
                <w:iCs/>
                <w:sz w:val="20"/>
                <w:szCs w:val="20"/>
              </w:rPr>
            </w:pPr>
            <w:r w:rsidRPr="00BE7A39">
              <w:rPr>
                <w:rFonts w:cstheme="minorHAnsi"/>
                <w:color w:val="000000"/>
                <w:sz w:val="20"/>
                <w:szCs w:val="20"/>
              </w:rPr>
              <w:t xml:space="preserve">Alliance Mondiale contre le Changement Climatique 1 </w:t>
            </w:r>
          </w:p>
        </w:tc>
      </w:tr>
      <w:tr w:rsidR="008F2269" w:rsidRPr="00BE7A39" w14:paraId="5067FB90" w14:textId="77777777" w:rsidTr="002D1362">
        <w:tc>
          <w:tcPr>
            <w:tcW w:w="1148" w:type="dxa"/>
          </w:tcPr>
          <w:p w14:paraId="5DD18D97" w14:textId="77777777" w:rsidR="008F2269" w:rsidRPr="00BE7A39" w:rsidRDefault="008F2269" w:rsidP="002D1362">
            <w:pPr>
              <w:spacing w:line="23" w:lineRule="atLeast"/>
              <w:rPr>
                <w:rFonts w:cstheme="minorHAnsi"/>
                <w:color w:val="000000"/>
                <w:sz w:val="20"/>
                <w:szCs w:val="20"/>
              </w:rPr>
            </w:pPr>
            <w:r w:rsidRPr="00BE7A39">
              <w:rPr>
                <w:rFonts w:cstheme="minorHAnsi"/>
                <w:color w:val="000000"/>
                <w:sz w:val="20"/>
                <w:szCs w:val="20"/>
              </w:rPr>
              <w:t>ANESP</w:t>
            </w:r>
          </w:p>
        </w:tc>
        <w:tc>
          <w:tcPr>
            <w:tcW w:w="7796" w:type="dxa"/>
          </w:tcPr>
          <w:p w14:paraId="4B31CBE5" w14:textId="77777777" w:rsidR="008F2269" w:rsidRPr="00BE7A39" w:rsidRDefault="008F2269" w:rsidP="002D1362">
            <w:pPr>
              <w:spacing w:line="23" w:lineRule="atLeast"/>
              <w:rPr>
                <w:rFonts w:cstheme="minorHAnsi"/>
                <w:color w:val="000000"/>
                <w:sz w:val="20"/>
                <w:szCs w:val="20"/>
              </w:rPr>
            </w:pPr>
            <w:r w:rsidRPr="00BE7A39">
              <w:rPr>
                <w:rFonts w:cstheme="minorHAnsi"/>
                <w:color w:val="000000"/>
                <w:sz w:val="20"/>
                <w:szCs w:val="20"/>
              </w:rPr>
              <w:t>Agence Nationale pour les Etudes et le Suivi des Projets</w:t>
            </w:r>
          </w:p>
        </w:tc>
      </w:tr>
      <w:tr w:rsidR="008F2269" w:rsidRPr="00BE7A39" w14:paraId="5F645D34" w14:textId="77777777" w:rsidTr="002D1362">
        <w:tc>
          <w:tcPr>
            <w:tcW w:w="1148" w:type="dxa"/>
          </w:tcPr>
          <w:p w14:paraId="402AA851" w14:textId="77777777" w:rsidR="008F2269" w:rsidRPr="00BE7A39" w:rsidRDefault="008F2269" w:rsidP="002D1362">
            <w:pPr>
              <w:spacing w:line="23" w:lineRule="atLeast"/>
              <w:rPr>
                <w:rFonts w:cstheme="minorHAnsi"/>
                <w:color w:val="000000"/>
                <w:sz w:val="20"/>
                <w:szCs w:val="20"/>
              </w:rPr>
            </w:pPr>
            <w:r w:rsidRPr="00BE7A39">
              <w:rPr>
                <w:rFonts w:cstheme="minorHAnsi"/>
                <w:color w:val="000000"/>
                <w:sz w:val="20"/>
                <w:szCs w:val="20"/>
              </w:rPr>
              <w:t>APAUS</w:t>
            </w:r>
          </w:p>
        </w:tc>
        <w:tc>
          <w:tcPr>
            <w:tcW w:w="7796" w:type="dxa"/>
          </w:tcPr>
          <w:p w14:paraId="3F87FF92" w14:textId="77777777" w:rsidR="008F2269" w:rsidRPr="00BE7A39" w:rsidRDefault="008F2269" w:rsidP="002D1362">
            <w:pPr>
              <w:spacing w:line="23" w:lineRule="atLeast"/>
              <w:rPr>
                <w:rFonts w:cstheme="minorHAnsi"/>
                <w:color w:val="000000"/>
                <w:sz w:val="20"/>
                <w:szCs w:val="20"/>
              </w:rPr>
            </w:pPr>
            <w:r w:rsidRPr="00BE7A39">
              <w:rPr>
                <w:rFonts w:cstheme="minorHAnsi"/>
                <w:color w:val="000000"/>
                <w:sz w:val="20"/>
                <w:szCs w:val="20"/>
              </w:rPr>
              <w:t>Autorité Permanente d’Accès Universel aux Services de base</w:t>
            </w:r>
          </w:p>
        </w:tc>
      </w:tr>
      <w:tr w:rsidR="008F2269" w:rsidRPr="00BE7A39" w14:paraId="6B3F072B" w14:textId="77777777" w:rsidTr="002D1362">
        <w:tc>
          <w:tcPr>
            <w:tcW w:w="1148" w:type="dxa"/>
          </w:tcPr>
          <w:p w14:paraId="28587393"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ATPC</w:t>
            </w:r>
          </w:p>
        </w:tc>
        <w:tc>
          <w:tcPr>
            <w:tcW w:w="7796" w:type="dxa"/>
          </w:tcPr>
          <w:p w14:paraId="6456A684"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Assainissement Total Piloté par la Communauté</w:t>
            </w:r>
          </w:p>
        </w:tc>
      </w:tr>
      <w:tr w:rsidR="008F2269" w:rsidRPr="00BE7A39" w14:paraId="471701A5" w14:textId="77777777" w:rsidTr="002D1362">
        <w:tc>
          <w:tcPr>
            <w:tcW w:w="1148" w:type="dxa"/>
          </w:tcPr>
          <w:p w14:paraId="6C02E811"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BAD</w:t>
            </w:r>
          </w:p>
        </w:tc>
        <w:tc>
          <w:tcPr>
            <w:tcW w:w="7796" w:type="dxa"/>
          </w:tcPr>
          <w:p w14:paraId="468DC04C"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Banque Africaine pour le Développement</w:t>
            </w:r>
          </w:p>
        </w:tc>
      </w:tr>
      <w:tr w:rsidR="008F2269" w:rsidRPr="00BE7A39" w14:paraId="321C9234" w14:textId="77777777" w:rsidTr="002D1362">
        <w:tc>
          <w:tcPr>
            <w:tcW w:w="1148" w:type="dxa"/>
          </w:tcPr>
          <w:p w14:paraId="58A6EF35" w14:textId="77777777" w:rsidR="008F2269" w:rsidRPr="00BE7A39" w:rsidRDefault="008F2269" w:rsidP="002D1362">
            <w:pPr>
              <w:spacing w:line="23" w:lineRule="atLeast"/>
              <w:rPr>
                <w:rFonts w:cstheme="minorHAnsi"/>
                <w:iCs/>
                <w:sz w:val="20"/>
                <w:szCs w:val="20"/>
              </w:rPr>
            </w:pPr>
            <w:r w:rsidRPr="00E63ED0">
              <w:rPr>
                <w:rFonts w:cstheme="minorHAnsi"/>
                <w:iCs/>
                <w:sz w:val="20"/>
                <w:szCs w:val="20"/>
              </w:rPr>
              <w:t>BADIHA</w:t>
            </w:r>
          </w:p>
        </w:tc>
        <w:tc>
          <w:tcPr>
            <w:tcW w:w="7796" w:type="dxa"/>
          </w:tcPr>
          <w:p w14:paraId="17339D0C" w14:textId="77777777" w:rsidR="008F2269" w:rsidRPr="00BE7A39" w:rsidRDefault="008F2269" w:rsidP="002D1362">
            <w:pPr>
              <w:spacing w:line="23" w:lineRule="atLeast"/>
              <w:rPr>
                <w:rFonts w:cstheme="minorHAnsi"/>
                <w:iCs/>
                <w:sz w:val="20"/>
                <w:szCs w:val="20"/>
              </w:rPr>
            </w:pPr>
            <w:r w:rsidRPr="00E63ED0">
              <w:rPr>
                <w:rFonts w:cstheme="minorHAnsi"/>
                <w:iCs/>
                <w:sz w:val="20"/>
                <w:szCs w:val="20"/>
              </w:rPr>
              <w:t>Base de données Intégrées pour l’Hydraulique et l’Assainissement</w:t>
            </w:r>
          </w:p>
        </w:tc>
      </w:tr>
      <w:tr w:rsidR="008F2269" w:rsidRPr="00BE7A39" w14:paraId="08484121" w14:textId="77777777" w:rsidTr="002D1362">
        <w:tc>
          <w:tcPr>
            <w:tcW w:w="1148" w:type="dxa"/>
          </w:tcPr>
          <w:p w14:paraId="0D219B40"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BE</w:t>
            </w:r>
          </w:p>
        </w:tc>
        <w:tc>
          <w:tcPr>
            <w:tcW w:w="7796" w:type="dxa"/>
          </w:tcPr>
          <w:p w14:paraId="5D4DAF3B"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Bureau d’Etudes</w:t>
            </w:r>
          </w:p>
        </w:tc>
      </w:tr>
      <w:tr w:rsidR="008F2269" w:rsidRPr="00BE7A39" w14:paraId="781A1873" w14:textId="77777777" w:rsidTr="002D1362">
        <w:tc>
          <w:tcPr>
            <w:tcW w:w="1148" w:type="dxa"/>
          </w:tcPr>
          <w:p w14:paraId="56F74888"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BID</w:t>
            </w:r>
          </w:p>
        </w:tc>
        <w:tc>
          <w:tcPr>
            <w:tcW w:w="7796" w:type="dxa"/>
          </w:tcPr>
          <w:p w14:paraId="67A6766D"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Banque Islamique de Développement</w:t>
            </w:r>
          </w:p>
        </w:tc>
      </w:tr>
      <w:tr w:rsidR="008F2269" w:rsidRPr="00BE7A39" w14:paraId="4153EC77" w14:textId="77777777" w:rsidTr="002D1362">
        <w:tc>
          <w:tcPr>
            <w:tcW w:w="1148" w:type="dxa"/>
          </w:tcPr>
          <w:p w14:paraId="1C28E05A"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BM</w:t>
            </w:r>
          </w:p>
        </w:tc>
        <w:tc>
          <w:tcPr>
            <w:tcW w:w="7796" w:type="dxa"/>
          </w:tcPr>
          <w:p w14:paraId="673397D0"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Banque Mondiale</w:t>
            </w:r>
          </w:p>
        </w:tc>
      </w:tr>
      <w:tr w:rsidR="008F2269" w:rsidRPr="00BE7A39" w14:paraId="00048643" w14:textId="77777777" w:rsidTr="002D1362">
        <w:tc>
          <w:tcPr>
            <w:tcW w:w="1148" w:type="dxa"/>
          </w:tcPr>
          <w:p w14:paraId="4BA36C45"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BP</w:t>
            </w:r>
          </w:p>
        </w:tc>
        <w:tc>
          <w:tcPr>
            <w:tcW w:w="7796" w:type="dxa"/>
          </w:tcPr>
          <w:p w14:paraId="577D6124"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Branchement Particulier</w:t>
            </w:r>
          </w:p>
        </w:tc>
      </w:tr>
      <w:tr w:rsidR="008F2269" w:rsidRPr="00BE7A39" w14:paraId="44E78909" w14:textId="77777777" w:rsidTr="002D1362">
        <w:tc>
          <w:tcPr>
            <w:tcW w:w="1148" w:type="dxa"/>
          </w:tcPr>
          <w:p w14:paraId="489F6632"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BPO</w:t>
            </w:r>
          </w:p>
        </w:tc>
        <w:tc>
          <w:tcPr>
            <w:tcW w:w="7796" w:type="dxa"/>
          </w:tcPr>
          <w:p w14:paraId="26206C4D"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Budget Programme par Objectif</w:t>
            </w:r>
          </w:p>
        </w:tc>
      </w:tr>
      <w:tr w:rsidR="008F2269" w:rsidRPr="00BE7A39" w14:paraId="315E9D06" w14:textId="77777777" w:rsidTr="002D1362">
        <w:tc>
          <w:tcPr>
            <w:tcW w:w="1148" w:type="dxa"/>
          </w:tcPr>
          <w:p w14:paraId="0180E78E"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CC</w:t>
            </w:r>
          </w:p>
        </w:tc>
        <w:tc>
          <w:tcPr>
            <w:tcW w:w="7796" w:type="dxa"/>
          </w:tcPr>
          <w:p w14:paraId="493FD86D"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Changement Climatique</w:t>
            </w:r>
          </w:p>
        </w:tc>
      </w:tr>
      <w:tr w:rsidR="008F2269" w:rsidRPr="00BE7A39" w14:paraId="1ECBBDE0" w14:textId="77777777" w:rsidTr="002D1362">
        <w:tc>
          <w:tcPr>
            <w:tcW w:w="1148" w:type="dxa"/>
          </w:tcPr>
          <w:p w14:paraId="15BAC2CD"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CCNUCC</w:t>
            </w:r>
          </w:p>
        </w:tc>
        <w:tc>
          <w:tcPr>
            <w:tcW w:w="7796" w:type="dxa"/>
          </w:tcPr>
          <w:p w14:paraId="38D00139"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Convention Cadre des Nations Unies sur le Changement Climatique</w:t>
            </w:r>
          </w:p>
        </w:tc>
      </w:tr>
      <w:tr w:rsidR="008F2269" w:rsidRPr="00BE7A39" w14:paraId="14260967" w14:textId="77777777" w:rsidTr="002D1362">
        <w:tc>
          <w:tcPr>
            <w:tcW w:w="1148" w:type="dxa"/>
          </w:tcPr>
          <w:p w14:paraId="09400FDF"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CDMT</w:t>
            </w:r>
          </w:p>
        </w:tc>
        <w:tc>
          <w:tcPr>
            <w:tcW w:w="7796" w:type="dxa"/>
          </w:tcPr>
          <w:p w14:paraId="79AD9B26"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Cadre de Dépenses à Moyen Terme</w:t>
            </w:r>
          </w:p>
        </w:tc>
      </w:tr>
      <w:tr w:rsidR="008F2269" w:rsidRPr="00BE7A39" w14:paraId="3804513E" w14:textId="77777777" w:rsidTr="002D1362">
        <w:tc>
          <w:tcPr>
            <w:tcW w:w="1148" w:type="dxa"/>
          </w:tcPr>
          <w:p w14:paraId="12436CFE"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CDN</w:t>
            </w:r>
          </w:p>
        </w:tc>
        <w:tc>
          <w:tcPr>
            <w:tcW w:w="7796" w:type="dxa"/>
          </w:tcPr>
          <w:p w14:paraId="3FB90512"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Contribution Déterminée au niveau National</w:t>
            </w:r>
          </w:p>
        </w:tc>
      </w:tr>
      <w:tr w:rsidR="008F2269" w:rsidRPr="00BE7A39" w14:paraId="43DF15A6" w14:textId="77777777" w:rsidTr="002D1362">
        <w:tc>
          <w:tcPr>
            <w:tcW w:w="1148" w:type="dxa"/>
          </w:tcPr>
          <w:p w14:paraId="18AD78DD"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CNE</w:t>
            </w:r>
          </w:p>
        </w:tc>
        <w:tc>
          <w:tcPr>
            <w:tcW w:w="7796" w:type="dxa"/>
          </w:tcPr>
          <w:p w14:paraId="520278BF"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Comité National de l’Eau</w:t>
            </w:r>
          </w:p>
        </w:tc>
      </w:tr>
      <w:tr w:rsidR="008F2269" w:rsidRPr="00BE7A39" w14:paraId="1C625DB3" w14:textId="77777777" w:rsidTr="002D1362">
        <w:tc>
          <w:tcPr>
            <w:tcW w:w="1148" w:type="dxa"/>
          </w:tcPr>
          <w:p w14:paraId="604E481C" w14:textId="77777777" w:rsidR="008F2269" w:rsidRPr="00BE7A39" w:rsidRDefault="008F2269" w:rsidP="002D1362">
            <w:pPr>
              <w:spacing w:line="23" w:lineRule="atLeast"/>
              <w:rPr>
                <w:rFonts w:cstheme="minorHAnsi"/>
                <w:iCs/>
                <w:sz w:val="20"/>
                <w:szCs w:val="20"/>
              </w:rPr>
            </w:pPr>
            <w:r>
              <w:rPr>
                <w:rFonts w:cstheme="minorHAnsi"/>
                <w:iCs/>
                <w:sz w:val="20"/>
                <w:szCs w:val="20"/>
              </w:rPr>
              <w:t>CNEDD</w:t>
            </w:r>
          </w:p>
        </w:tc>
        <w:tc>
          <w:tcPr>
            <w:tcW w:w="7796" w:type="dxa"/>
          </w:tcPr>
          <w:p w14:paraId="36314CF7" w14:textId="77777777" w:rsidR="008F2269" w:rsidRPr="00BE7A39" w:rsidRDefault="008F2269" w:rsidP="002D1362">
            <w:pPr>
              <w:spacing w:line="23" w:lineRule="atLeast"/>
              <w:rPr>
                <w:rFonts w:cstheme="minorHAnsi"/>
                <w:iCs/>
                <w:sz w:val="20"/>
                <w:szCs w:val="20"/>
              </w:rPr>
            </w:pPr>
            <w:r>
              <w:rPr>
                <w:rFonts w:cstheme="minorHAnsi"/>
                <w:iCs/>
                <w:sz w:val="20"/>
                <w:szCs w:val="20"/>
              </w:rPr>
              <w:t>Comité National Environnement et Développement Durable</w:t>
            </w:r>
          </w:p>
        </w:tc>
      </w:tr>
      <w:tr w:rsidR="008F2269" w:rsidRPr="00BE7A39" w14:paraId="13852007" w14:textId="77777777" w:rsidTr="002D1362">
        <w:tc>
          <w:tcPr>
            <w:tcW w:w="1148" w:type="dxa"/>
          </w:tcPr>
          <w:p w14:paraId="04B157D3"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CNEPACC</w:t>
            </w:r>
          </w:p>
        </w:tc>
        <w:tc>
          <w:tcPr>
            <w:tcW w:w="7796" w:type="dxa"/>
          </w:tcPr>
          <w:p w14:paraId="2282EB2F"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 xml:space="preserve">Cellule Nationale des Experts  </w:t>
            </w:r>
          </w:p>
        </w:tc>
      </w:tr>
      <w:tr w:rsidR="008F2269" w:rsidRPr="00BE7A39" w14:paraId="1AEA4E33" w14:textId="77777777" w:rsidTr="002D1362">
        <w:tc>
          <w:tcPr>
            <w:tcW w:w="1148" w:type="dxa"/>
          </w:tcPr>
          <w:p w14:paraId="752A57A0"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CN</w:t>
            </w:r>
          </w:p>
        </w:tc>
        <w:tc>
          <w:tcPr>
            <w:tcW w:w="7796" w:type="dxa"/>
          </w:tcPr>
          <w:p w14:paraId="74707FF8"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Communication Nationale</w:t>
            </w:r>
          </w:p>
        </w:tc>
      </w:tr>
      <w:tr w:rsidR="008F2269" w:rsidRPr="00BE7A39" w14:paraId="44A24A69" w14:textId="77777777" w:rsidTr="002D1362">
        <w:tc>
          <w:tcPr>
            <w:tcW w:w="1148" w:type="dxa"/>
          </w:tcPr>
          <w:p w14:paraId="29C6ACCE"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CN4</w:t>
            </w:r>
          </w:p>
        </w:tc>
        <w:tc>
          <w:tcPr>
            <w:tcW w:w="7796" w:type="dxa"/>
          </w:tcPr>
          <w:p w14:paraId="45E0301B"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Quatrième Communication Nationale</w:t>
            </w:r>
          </w:p>
        </w:tc>
      </w:tr>
      <w:tr w:rsidR="008F2269" w:rsidRPr="00BE7A39" w14:paraId="715D996D" w14:textId="77777777" w:rsidTr="002D1362">
        <w:tc>
          <w:tcPr>
            <w:tcW w:w="1148" w:type="dxa"/>
          </w:tcPr>
          <w:p w14:paraId="210D6661"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CNRE</w:t>
            </w:r>
          </w:p>
        </w:tc>
        <w:tc>
          <w:tcPr>
            <w:tcW w:w="7796" w:type="dxa"/>
          </w:tcPr>
          <w:p w14:paraId="1A1D4E9D"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 xml:space="preserve">Centre National des Ressources en Eau </w:t>
            </w:r>
          </w:p>
        </w:tc>
      </w:tr>
      <w:tr w:rsidR="008F2269" w:rsidRPr="00BE7A39" w14:paraId="6E5C8E28" w14:textId="77777777" w:rsidTr="002D1362">
        <w:tc>
          <w:tcPr>
            <w:tcW w:w="1148" w:type="dxa"/>
          </w:tcPr>
          <w:p w14:paraId="2ED3D3E0" w14:textId="77777777" w:rsidR="008F2269" w:rsidRPr="00BE7A39" w:rsidRDefault="008F2269" w:rsidP="002D1362">
            <w:pPr>
              <w:spacing w:line="23" w:lineRule="atLeast"/>
              <w:rPr>
                <w:rFonts w:cstheme="minorHAnsi"/>
                <w:iCs/>
                <w:sz w:val="20"/>
                <w:szCs w:val="20"/>
              </w:rPr>
            </w:pPr>
            <w:r w:rsidRPr="00F21087">
              <w:rPr>
                <w:rFonts w:cstheme="minorHAnsi"/>
                <w:iCs/>
                <w:sz w:val="20"/>
                <w:szCs w:val="20"/>
              </w:rPr>
              <w:t>COVACC</w:t>
            </w:r>
          </w:p>
        </w:tc>
        <w:tc>
          <w:tcPr>
            <w:tcW w:w="7796" w:type="dxa"/>
          </w:tcPr>
          <w:p w14:paraId="0F73F3CC" w14:textId="77777777" w:rsidR="008F2269" w:rsidRPr="00BE7A39" w:rsidRDefault="008F2269" w:rsidP="002D1362">
            <w:pPr>
              <w:ind w:left="1416" w:hanging="1416"/>
              <w:rPr>
                <w:rFonts w:cstheme="minorHAnsi"/>
                <w:iCs/>
                <w:sz w:val="20"/>
                <w:szCs w:val="20"/>
              </w:rPr>
            </w:pPr>
            <w:r w:rsidRPr="00F21087">
              <w:rPr>
                <w:rFonts w:cstheme="minorHAnsi"/>
                <w:iCs/>
                <w:sz w:val="20"/>
                <w:szCs w:val="20"/>
              </w:rPr>
              <w:t>Centre Opérationnel de Veille, d’Alerte et de Conduite de Crise</w:t>
            </w:r>
          </w:p>
        </w:tc>
      </w:tr>
      <w:tr w:rsidR="008F2269" w:rsidRPr="00BE7A39" w14:paraId="78B89EBB" w14:textId="77777777" w:rsidTr="002D1362">
        <w:tc>
          <w:tcPr>
            <w:tcW w:w="1148" w:type="dxa"/>
          </w:tcPr>
          <w:p w14:paraId="6FC68572"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CPCNE</w:t>
            </w:r>
          </w:p>
        </w:tc>
        <w:tc>
          <w:tcPr>
            <w:tcW w:w="7796" w:type="dxa"/>
          </w:tcPr>
          <w:p w14:paraId="2DFA5C6D"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Comité Permanent du Comité National de l’Eau</w:t>
            </w:r>
          </w:p>
        </w:tc>
      </w:tr>
      <w:tr w:rsidR="008F2269" w:rsidRPr="00BE7A39" w14:paraId="59AB4D73" w14:textId="77777777" w:rsidTr="002D1362">
        <w:tc>
          <w:tcPr>
            <w:tcW w:w="1148" w:type="dxa"/>
          </w:tcPr>
          <w:p w14:paraId="5DAE63AB"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CPDN</w:t>
            </w:r>
          </w:p>
        </w:tc>
        <w:tc>
          <w:tcPr>
            <w:tcW w:w="7796" w:type="dxa"/>
          </w:tcPr>
          <w:p w14:paraId="06327B27"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Contribution Prédéterminée au niveau National</w:t>
            </w:r>
          </w:p>
        </w:tc>
      </w:tr>
      <w:tr w:rsidR="008F2269" w:rsidRPr="00BE7A39" w14:paraId="2A27EBB8" w14:textId="77777777" w:rsidTr="002D1362">
        <w:tc>
          <w:tcPr>
            <w:tcW w:w="1148" w:type="dxa"/>
          </w:tcPr>
          <w:p w14:paraId="1BC71D28"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CRE</w:t>
            </w:r>
          </w:p>
        </w:tc>
        <w:tc>
          <w:tcPr>
            <w:tcW w:w="7796" w:type="dxa"/>
          </w:tcPr>
          <w:p w14:paraId="40B63BFB"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Comité Régional de l’Eau</w:t>
            </w:r>
          </w:p>
        </w:tc>
      </w:tr>
      <w:tr w:rsidR="008F2269" w:rsidRPr="00BE7A39" w14:paraId="2E433921" w14:textId="77777777" w:rsidTr="002D1362">
        <w:tc>
          <w:tcPr>
            <w:tcW w:w="1148" w:type="dxa"/>
          </w:tcPr>
          <w:p w14:paraId="588ABC06"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CSLP</w:t>
            </w:r>
          </w:p>
        </w:tc>
        <w:tc>
          <w:tcPr>
            <w:tcW w:w="7796" w:type="dxa"/>
          </w:tcPr>
          <w:p w14:paraId="5D5C0546" w14:textId="77777777" w:rsidR="008F2269" w:rsidRPr="00BE7A39" w:rsidRDefault="008F2269" w:rsidP="002D1362">
            <w:pPr>
              <w:spacing w:line="23" w:lineRule="atLeast"/>
              <w:rPr>
                <w:rFonts w:cstheme="minorHAnsi"/>
                <w:iCs/>
                <w:sz w:val="20"/>
                <w:szCs w:val="20"/>
              </w:rPr>
            </w:pPr>
            <w:r w:rsidRPr="00BE7A39">
              <w:rPr>
                <w:rFonts w:cstheme="minorHAnsi"/>
                <w:bCs/>
                <w:sz w:val="20"/>
                <w:szCs w:val="20"/>
              </w:rPr>
              <w:t>Cadre Stratégique de la Lutte contre la Pauvreté</w:t>
            </w:r>
          </w:p>
        </w:tc>
      </w:tr>
      <w:tr w:rsidR="008F2269" w:rsidRPr="00BE7A39" w14:paraId="07E46A93" w14:textId="77777777" w:rsidTr="002D1362">
        <w:tc>
          <w:tcPr>
            <w:tcW w:w="1148" w:type="dxa"/>
          </w:tcPr>
          <w:p w14:paraId="63F373A3" w14:textId="77777777" w:rsidR="008F2269" w:rsidRPr="00BE7A39" w:rsidRDefault="008F2269" w:rsidP="002D1362">
            <w:pPr>
              <w:spacing w:line="23" w:lineRule="atLeast"/>
              <w:rPr>
                <w:rFonts w:cstheme="minorHAnsi"/>
                <w:iCs/>
                <w:sz w:val="20"/>
                <w:szCs w:val="20"/>
              </w:rPr>
            </w:pPr>
            <w:r>
              <w:rPr>
                <w:rFonts w:cstheme="minorHAnsi"/>
                <w:iCs/>
                <w:sz w:val="20"/>
                <w:szCs w:val="20"/>
              </w:rPr>
              <w:t>DA</w:t>
            </w:r>
          </w:p>
        </w:tc>
        <w:tc>
          <w:tcPr>
            <w:tcW w:w="7796" w:type="dxa"/>
          </w:tcPr>
          <w:p w14:paraId="0DA82D74" w14:textId="77777777" w:rsidR="008F2269" w:rsidRPr="00BE7A39" w:rsidRDefault="008F2269" w:rsidP="002D1362">
            <w:pPr>
              <w:spacing w:line="23" w:lineRule="atLeast"/>
              <w:rPr>
                <w:rFonts w:cstheme="minorHAnsi"/>
                <w:bCs/>
                <w:sz w:val="20"/>
                <w:szCs w:val="20"/>
              </w:rPr>
            </w:pPr>
            <w:r>
              <w:rPr>
                <w:rFonts w:cstheme="minorHAnsi"/>
                <w:bCs/>
                <w:sz w:val="20"/>
                <w:szCs w:val="20"/>
              </w:rPr>
              <w:t xml:space="preserve">Direction de </w:t>
            </w:r>
            <w:r w:rsidRPr="00BE7A39">
              <w:rPr>
                <w:rFonts w:cstheme="minorHAnsi"/>
                <w:iCs/>
                <w:sz w:val="20"/>
                <w:szCs w:val="20"/>
              </w:rPr>
              <w:t>l’Assainissement</w:t>
            </w:r>
          </w:p>
        </w:tc>
      </w:tr>
      <w:tr w:rsidR="008F2269" w:rsidRPr="00BE7A39" w14:paraId="562FE9BC" w14:textId="77777777" w:rsidTr="002D1362">
        <w:tc>
          <w:tcPr>
            <w:tcW w:w="1148" w:type="dxa"/>
          </w:tcPr>
          <w:p w14:paraId="60D93C0D" w14:textId="77777777" w:rsidR="008F2269" w:rsidRDefault="008F2269" w:rsidP="002D1362">
            <w:pPr>
              <w:spacing w:line="23" w:lineRule="atLeast"/>
              <w:rPr>
                <w:rFonts w:cstheme="minorHAnsi"/>
                <w:iCs/>
                <w:sz w:val="20"/>
                <w:szCs w:val="20"/>
              </w:rPr>
            </w:pPr>
            <w:r w:rsidRPr="001B562E">
              <w:rPr>
                <w:rFonts w:cstheme="minorHAnsi"/>
                <w:bCs/>
              </w:rPr>
              <w:t>DAAF</w:t>
            </w:r>
          </w:p>
        </w:tc>
        <w:tc>
          <w:tcPr>
            <w:tcW w:w="7796" w:type="dxa"/>
          </w:tcPr>
          <w:p w14:paraId="08E1B6D6" w14:textId="77777777" w:rsidR="008F2269" w:rsidRDefault="008F2269" w:rsidP="002D1362">
            <w:pPr>
              <w:spacing w:line="23" w:lineRule="atLeast"/>
              <w:rPr>
                <w:rFonts w:cstheme="minorHAnsi"/>
                <w:bCs/>
                <w:sz w:val="20"/>
                <w:szCs w:val="20"/>
              </w:rPr>
            </w:pPr>
            <w:r w:rsidRPr="001B562E">
              <w:rPr>
                <w:rFonts w:cstheme="minorHAnsi"/>
                <w:bCs/>
              </w:rPr>
              <w:t xml:space="preserve"> Direction des Affaires</w:t>
            </w:r>
            <w:r>
              <w:rPr>
                <w:rFonts w:cstheme="minorHAnsi"/>
                <w:bCs/>
              </w:rPr>
              <w:t xml:space="preserve"> A</w:t>
            </w:r>
            <w:r w:rsidRPr="001B562E">
              <w:rPr>
                <w:rFonts w:cstheme="minorHAnsi"/>
                <w:bCs/>
              </w:rPr>
              <w:t xml:space="preserve">dministrative et </w:t>
            </w:r>
            <w:r>
              <w:rPr>
                <w:rFonts w:cstheme="minorHAnsi"/>
                <w:bCs/>
              </w:rPr>
              <w:t xml:space="preserve">Financière  </w:t>
            </w:r>
          </w:p>
        </w:tc>
      </w:tr>
      <w:tr w:rsidR="008F2269" w:rsidRPr="00BE7A39" w14:paraId="74B7AD55" w14:textId="77777777" w:rsidTr="002D1362">
        <w:tc>
          <w:tcPr>
            <w:tcW w:w="1148" w:type="dxa"/>
          </w:tcPr>
          <w:p w14:paraId="0726C1C5" w14:textId="77777777" w:rsidR="008F2269" w:rsidRDefault="008F2269" w:rsidP="002D1362">
            <w:pPr>
              <w:spacing w:line="23" w:lineRule="atLeast"/>
              <w:rPr>
                <w:rFonts w:cstheme="minorHAnsi"/>
                <w:iCs/>
                <w:sz w:val="20"/>
                <w:szCs w:val="20"/>
              </w:rPr>
            </w:pPr>
            <w:r w:rsidRPr="001B562E">
              <w:rPr>
                <w:rFonts w:cstheme="minorHAnsi"/>
                <w:bCs/>
              </w:rPr>
              <w:t>DCS</w:t>
            </w:r>
          </w:p>
        </w:tc>
        <w:tc>
          <w:tcPr>
            <w:tcW w:w="7796" w:type="dxa"/>
          </w:tcPr>
          <w:p w14:paraId="74E44854" w14:textId="77777777" w:rsidR="008F2269" w:rsidRDefault="008F2269" w:rsidP="002D1362">
            <w:pPr>
              <w:spacing w:line="23" w:lineRule="atLeast"/>
              <w:rPr>
                <w:rFonts w:cstheme="minorHAnsi"/>
                <w:bCs/>
                <w:sz w:val="20"/>
                <w:szCs w:val="20"/>
              </w:rPr>
            </w:pPr>
            <w:r w:rsidRPr="001B562E">
              <w:rPr>
                <w:rFonts w:cstheme="minorHAnsi"/>
                <w:bCs/>
              </w:rPr>
              <w:t xml:space="preserve">Direction en charge du </w:t>
            </w:r>
            <w:r>
              <w:rPr>
                <w:rFonts w:cstheme="minorHAnsi"/>
                <w:bCs/>
              </w:rPr>
              <w:t>C</w:t>
            </w:r>
            <w:r w:rsidRPr="001B562E">
              <w:rPr>
                <w:rFonts w:cstheme="minorHAnsi"/>
                <w:bCs/>
              </w:rPr>
              <w:t xml:space="preserve">ontrôle et du </w:t>
            </w:r>
            <w:r>
              <w:rPr>
                <w:rFonts w:cstheme="minorHAnsi"/>
                <w:bCs/>
              </w:rPr>
              <w:t>Suivi</w:t>
            </w:r>
          </w:p>
        </w:tc>
      </w:tr>
      <w:tr w:rsidR="008F2269" w:rsidRPr="00BE7A39" w14:paraId="6D8C4FE9" w14:textId="77777777" w:rsidTr="002D1362">
        <w:tc>
          <w:tcPr>
            <w:tcW w:w="1148" w:type="dxa"/>
          </w:tcPr>
          <w:p w14:paraId="45818898" w14:textId="77777777" w:rsidR="008F2269" w:rsidRPr="001B562E" w:rsidRDefault="008F2269" w:rsidP="002D1362">
            <w:pPr>
              <w:spacing w:line="23" w:lineRule="atLeast"/>
              <w:rPr>
                <w:rFonts w:cstheme="minorHAnsi"/>
                <w:bCs/>
              </w:rPr>
            </w:pPr>
            <w:r w:rsidRPr="001B562E">
              <w:rPr>
                <w:rFonts w:cstheme="minorHAnsi"/>
                <w:bCs/>
              </w:rPr>
              <w:t>DCQE</w:t>
            </w:r>
          </w:p>
        </w:tc>
        <w:tc>
          <w:tcPr>
            <w:tcW w:w="7796" w:type="dxa"/>
          </w:tcPr>
          <w:p w14:paraId="15620CA8" w14:textId="77777777" w:rsidR="008F2269" w:rsidRPr="001B562E" w:rsidRDefault="008F2269" w:rsidP="002D1362">
            <w:pPr>
              <w:spacing w:line="23" w:lineRule="atLeast"/>
              <w:rPr>
                <w:rFonts w:cstheme="minorHAnsi"/>
                <w:bCs/>
              </w:rPr>
            </w:pPr>
            <w:r w:rsidRPr="001B562E">
              <w:rPr>
                <w:rFonts w:cstheme="minorHAnsi"/>
                <w:bCs/>
              </w:rPr>
              <w:t>Direction du Co</w:t>
            </w:r>
            <w:r>
              <w:rPr>
                <w:rFonts w:cstheme="minorHAnsi"/>
                <w:bCs/>
              </w:rPr>
              <w:t xml:space="preserve">ntrôle de la Qualité de l’Eau </w:t>
            </w:r>
          </w:p>
        </w:tc>
      </w:tr>
      <w:tr w:rsidR="008F2269" w:rsidRPr="00BE7A39" w14:paraId="568DFE86" w14:textId="77777777" w:rsidTr="002D1362">
        <w:tc>
          <w:tcPr>
            <w:tcW w:w="1148" w:type="dxa"/>
          </w:tcPr>
          <w:p w14:paraId="3AE29767"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DH</w:t>
            </w:r>
          </w:p>
        </w:tc>
        <w:tc>
          <w:tcPr>
            <w:tcW w:w="7796" w:type="dxa"/>
          </w:tcPr>
          <w:p w14:paraId="21D72AB4"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Direction de l’Hydraulique</w:t>
            </w:r>
          </w:p>
        </w:tc>
      </w:tr>
      <w:tr w:rsidR="008F2269" w:rsidRPr="00BE7A39" w14:paraId="63D7D050" w14:textId="77777777" w:rsidTr="002D1362">
        <w:tc>
          <w:tcPr>
            <w:tcW w:w="1148" w:type="dxa"/>
          </w:tcPr>
          <w:p w14:paraId="206A514B"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DHB</w:t>
            </w:r>
          </w:p>
        </w:tc>
        <w:tc>
          <w:tcPr>
            <w:tcW w:w="7796" w:type="dxa"/>
          </w:tcPr>
          <w:p w14:paraId="29BD7254"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Direction de l’Hydrologie et des Barrages</w:t>
            </w:r>
          </w:p>
        </w:tc>
      </w:tr>
      <w:tr w:rsidR="008F2269" w:rsidRPr="00BE7A39" w14:paraId="6F0A9C34" w14:textId="77777777" w:rsidTr="002D1362">
        <w:tc>
          <w:tcPr>
            <w:tcW w:w="1148" w:type="dxa"/>
          </w:tcPr>
          <w:p w14:paraId="695F780F"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DIR</w:t>
            </w:r>
          </w:p>
        </w:tc>
        <w:tc>
          <w:tcPr>
            <w:tcW w:w="7796" w:type="dxa"/>
          </w:tcPr>
          <w:p w14:paraId="0E8DBFFA"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Direction des Infrastructures Routières</w:t>
            </w:r>
          </w:p>
        </w:tc>
      </w:tr>
      <w:tr w:rsidR="008F2269" w:rsidRPr="00BE7A39" w14:paraId="55BE964E" w14:textId="77777777" w:rsidTr="002D1362">
        <w:tc>
          <w:tcPr>
            <w:tcW w:w="1148" w:type="dxa"/>
          </w:tcPr>
          <w:p w14:paraId="0517748D"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DRHA</w:t>
            </w:r>
          </w:p>
        </w:tc>
        <w:tc>
          <w:tcPr>
            <w:tcW w:w="7796" w:type="dxa"/>
          </w:tcPr>
          <w:p w14:paraId="6FDEE9DC"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Direction Régionale de l’Hydraulique et de l’Assainissement</w:t>
            </w:r>
          </w:p>
        </w:tc>
      </w:tr>
      <w:tr w:rsidR="008F2269" w:rsidRPr="00BE7A39" w14:paraId="42E6CAC6" w14:textId="77777777" w:rsidTr="002D1362">
        <w:tc>
          <w:tcPr>
            <w:tcW w:w="1148" w:type="dxa"/>
          </w:tcPr>
          <w:p w14:paraId="0B991212" w14:textId="77777777" w:rsidR="008F2269" w:rsidRPr="00BE7A39" w:rsidRDefault="008F2269" w:rsidP="002D1362">
            <w:pPr>
              <w:spacing w:line="23" w:lineRule="atLeast"/>
              <w:rPr>
                <w:rFonts w:cstheme="minorHAnsi"/>
                <w:iCs/>
                <w:sz w:val="20"/>
                <w:szCs w:val="20"/>
              </w:rPr>
            </w:pPr>
            <w:r>
              <w:rPr>
                <w:rFonts w:cstheme="minorHAnsi"/>
                <w:iCs/>
                <w:sz w:val="20"/>
                <w:szCs w:val="20"/>
              </w:rPr>
              <w:t>D</w:t>
            </w:r>
            <w:r w:rsidRPr="00BE7A39">
              <w:rPr>
                <w:rFonts w:cstheme="minorHAnsi"/>
                <w:iCs/>
                <w:sz w:val="20"/>
                <w:szCs w:val="20"/>
              </w:rPr>
              <w:t>PC</w:t>
            </w:r>
          </w:p>
        </w:tc>
        <w:tc>
          <w:tcPr>
            <w:tcW w:w="7796" w:type="dxa"/>
          </w:tcPr>
          <w:p w14:paraId="0A56E6F4"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Direction de la Programmation et de la Coopération</w:t>
            </w:r>
          </w:p>
        </w:tc>
      </w:tr>
      <w:tr w:rsidR="008F2269" w:rsidRPr="00BE7A39" w14:paraId="4C5A1251" w14:textId="77777777" w:rsidTr="002D1362">
        <w:tc>
          <w:tcPr>
            <w:tcW w:w="1148" w:type="dxa"/>
          </w:tcPr>
          <w:p w14:paraId="2AFDE73F"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DSP</w:t>
            </w:r>
          </w:p>
        </w:tc>
        <w:tc>
          <w:tcPr>
            <w:tcW w:w="7796" w:type="dxa"/>
          </w:tcPr>
          <w:p w14:paraId="699D2324"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Délégation du Service Public</w:t>
            </w:r>
          </w:p>
        </w:tc>
      </w:tr>
      <w:tr w:rsidR="008F2269" w:rsidRPr="00BE7A39" w14:paraId="32BA5E0A" w14:textId="77777777" w:rsidTr="002D1362">
        <w:tc>
          <w:tcPr>
            <w:tcW w:w="1148" w:type="dxa"/>
          </w:tcPr>
          <w:p w14:paraId="367D7908"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EBT</w:t>
            </w:r>
          </w:p>
        </w:tc>
        <w:tc>
          <w:tcPr>
            <w:tcW w:w="7796" w:type="dxa"/>
          </w:tcPr>
          <w:p w14:paraId="0698E5F3"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Evaluation des Besoins en Technologie</w:t>
            </w:r>
          </w:p>
        </w:tc>
      </w:tr>
      <w:tr w:rsidR="008F2269" w:rsidRPr="00BE7A39" w14:paraId="773A76BB" w14:textId="77777777" w:rsidTr="002D1362">
        <w:tc>
          <w:tcPr>
            <w:tcW w:w="1148" w:type="dxa"/>
          </w:tcPr>
          <w:p w14:paraId="32B67967"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EPCV</w:t>
            </w:r>
          </w:p>
        </w:tc>
        <w:tc>
          <w:tcPr>
            <w:tcW w:w="7796" w:type="dxa"/>
          </w:tcPr>
          <w:p w14:paraId="1D5C411B"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Enquête Permanente sur les Conditions de Vie</w:t>
            </w:r>
          </w:p>
        </w:tc>
      </w:tr>
      <w:tr w:rsidR="008F2269" w:rsidRPr="00BE7A39" w14:paraId="4AD28879" w14:textId="77777777" w:rsidTr="002D1362">
        <w:tc>
          <w:tcPr>
            <w:tcW w:w="1148" w:type="dxa"/>
          </w:tcPr>
          <w:p w14:paraId="18E9E08B"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FVC</w:t>
            </w:r>
          </w:p>
        </w:tc>
        <w:tc>
          <w:tcPr>
            <w:tcW w:w="7796" w:type="dxa"/>
          </w:tcPr>
          <w:p w14:paraId="5F57EAAB"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Fonds Vert Climat</w:t>
            </w:r>
          </w:p>
        </w:tc>
      </w:tr>
      <w:tr w:rsidR="008F2269" w:rsidRPr="00BE7A39" w14:paraId="17AC2945" w14:textId="77777777" w:rsidTr="002D1362">
        <w:tc>
          <w:tcPr>
            <w:tcW w:w="1148" w:type="dxa"/>
          </w:tcPr>
          <w:p w14:paraId="09CA6872"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GES</w:t>
            </w:r>
          </w:p>
        </w:tc>
        <w:tc>
          <w:tcPr>
            <w:tcW w:w="7796" w:type="dxa"/>
          </w:tcPr>
          <w:p w14:paraId="351592C4"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Gaz à Effets de Serre</w:t>
            </w:r>
          </w:p>
        </w:tc>
      </w:tr>
      <w:tr w:rsidR="008F2269" w:rsidRPr="00BE7A39" w14:paraId="38705D10" w14:textId="77777777" w:rsidTr="002D1362">
        <w:tc>
          <w:tcPr>
            <w:tcW w:w="1148" w:type="dxa"/>
          </w:tcPr>
          <w:p w14:paraId="42B7FB28"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GCF</w:t>
            </w:r>
          </w:p>
        </w:tc>
        <w:tc>
          <w:tcPr>
            <w:tcW w:w="7796" w:type="dxa"/>
          </w:tcPr>
          <w:p w14:paraId="272B0520"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Green Climate Fund</w:t>
            </w:r>
          </w:p>
        </w:tc>
      </w:tr>
      <w:tr w:rsidR="008F2269" w:rsidRPr="00BE7A39" w14:paraId="26F34F30" w14:textId="77777777" w:rsidTr="002D1362">
        <w:tc>
          <w:tcPr>
            <w:tcW w:w="1148" w:type="dxa"/>
          </w:tcPr>
          <w:p w14:paraId="49AF10BE"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GIEC</w:t>
            </w:r>
          </w:p>
        </w:tc>
        <w:tc>
          <w:tcPr>
            <w:tcW w:w="7796" w:type="dxa"/>
          </w:tcPr>
          <w:p w14:paraId="5C22325F"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Groupe d’experts Inter-gouvernemental sur l’Evolution du Climat</w:t>
            </w:r>
          </w:p>
        </w:tc>
      </w:tr>
      <w:tr w:rsidR="008F2269" w:rsidRPr="00BE7A39" w14:paraId="7267D581" w14:textId="77777777" w:rsidTr="002D1362">
        <w:tc>
          <w:tcPr>
            <w:tcW w:w="1148" w:type="dxa"/>
          </w:tcPr>
          <w:p w14:paraId="5F31B4C2"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GIRE</w:t>
            </w:r>
          </w:p>
        </w:tc>
        <w:tc>
          <w:tcPr>
            <w:tcW w:w="7796" w:type="dxa"/>
          </w:tcPr>
          <w:p w14:paraId="10F06BE4"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Gestion Intégrée des Ressources en Eau</w:t>
            </w:r>
          </w:p>
        </w:tc>
      </w:tr>
      <w:tr w:rsidR="008F2269" w:rsidRPr="00BE7A39" w14:paraId="76AEEF7C" w14:textId="77777777" w:rsidTr="002D1362">
        <w:tc>
          <w:tcPr>
            <w:tcW w:w="1148" w:type="dxa"/>
          </w:tcPr>
          <w:p w14:paraId="1476A13D" w14:textId="77777777" w:rsidR="008F2269" w:rsidRPr="00BE7A39" w:rsidRDefault="008F2269" w:rsidP="002D1362">
            <w:pPr>
              <w:autoSpaceDE w:val="0"/>
              <w:adjustRightInd w:val="0"/>
              <w:spacing w:line="276" w:lineRule="auto"/>
              <w:jc w:val="both"/>
              <w:rPr>
                <w:rFonts w:cstheme="minorHAnsi"/>
                <w:iCs/>
                <w:sz w:val="20"/>
                <w:szCs w:val="20"/>
              </w:rPr>
            </w:pPr>
            <w:r w:rsidRPr="00BE7A39">
              <w:rPr>
                <w:rFonts w:cstheme="minorHAnsi"/>
                <w:iCs/>
                <w:sz w:val="20"/>
                <w:szCs w:val="20"/>
              </w:rPr>
              <w:t>IGMV</w:t>
            </w:r>
          </w:p>
        </w:tc>
        <w:tc>
          <w:tcPr>
            <w:tcW w:w="7796" w:type="dxa"/>
          </w:tcPr>
          <w:p w14:paraId="26145FE1" w14:textId="77777777" w:rsidR="008F2269" w:rsidRPr="00BE7A39" w:rsidRDefault="008F2269" w:rsidP="002D1362">
            <w:pPr>
              <w:autoSpaceDE w:val="0"/>
              <w:adjustRightInd w:val="0"/>
              <w:spacing w:line="276" w:lineRule="auto"/>
              <w:jc w:val="both"/>
              <w:rPr>
                <w:rFonts w:cstheme="minorHAnsi"/>
                <w:iCs/>
                <w:sz w:val="20"/>
                <w:szCs w:val="20"/>
              </w:rPr>
            </w:pPr>
            <w:r w:rsidRPr="00BE7A39">
              <w:rPr>
                <w:rFonts w:cstheme="minorHAnsi"/>
                <w:iCs/>
                <w:sz w:val="20"/>
                <w:szCs w:val="20"/>
              </w:rPr>
              <w:t>Initiative de la Grande Muraille Verte</w:t>
            </w:r>
          </w:p>
        </w:tc>
      </w:tr>
      <w:tr w:rsidR="008F2269" w:rsidRPr="00BE7A39" w14:paraId="751C0DFD" w14:textId="77777777" w:rsidTr="002D1362">
        <w:tc>
          <w:tcPr>
            <w:tcW w:w="1148" w:type="dxa"/>
          </w:tcPr>
          <w:p w14:paraId="30266374" w14:textId="77777777" w:rsidR="008F2269" w:rsidRPr="00BE7A39" w:rsidRDefault="008F2269" w:rsidP="002D1362">
            <w:pPr>
              <w:autoSpaceDE w:val="0"/>
              <w:adjustRightInd w:val="0"/>
              <w:spacing w:line="276" w:lineRule="auto"/>
              <w:jc w:val="both"/>
              <w:rPr>
                <w:rFonts w:cstheme="minorHAnsi"/>
                <w:iCs/>
                <w:sz w:val="20"/>
                <w:szCs w:val="20"/>
              </w:rPr>
            </w:pPr>
            <w:r>
              <w:rPr>
                <w:rFonts w:cstheme="minorHAnsi"/>
                <w:iCs/>
                <w:sz w:val="20"/>
                <w:szCs w:val="20"/>
              </w:rPr>
              <w:t>MAJESSC</w:t>
            </w:r>
          </w:p>
        </w:tc>
        <w:tc>
          <w:tcPr>
            <w:tcW w:w="7796" w:type="dxa"/>
          </w:tcPr>
          <w:p w14:paraId="4BC23946" w14:textId="77777777" w:rsidR="008F2269" w:rsidRPr="00BE7A39" w:rsidRDefault="008F2269" w:rsidP="002D1362">
            <w:pPr>
              <w:autoSpaceDE w:val="0"/>
              <w:adjustRightInd w:val="0"/>
              <w:spacing w:line="276" w:lineRule="auto"/>
              <w:jc w:val="both"/>
              <w:rPr>
                <w:rFonts w:cstheme="minorHAnsi"/>
                <w:iCs/>
                <w:sz w:val="20"/>
                <w:szCs w:val="20"/>
              </w:rPr>
            </w:pPr>
            <w:r>
              <w:rPr>
                <w:rFonts w:cstheme="minorHAnsi"/>
                <w:iCs/>
                <w:sz w:val="20"/>
                <w:szCs w:val="20"/>
              </w:rPr>
              <w:t>Ministère de l’Autonomisation des Jeunes, de l’Emploi, des Sports et du Service Civique</w:t>
            </w:r>
          </w:p>
        </w:tc>
      </w:tr>
      <w:tr w:rsidR="008F2269" w:rsidRPr="00BE7A39" w14:paraId="2E0C757C" w14:textId="77777777" w:rsidTr="002D1362">
        <w:tc>
          <w:tcPr>
            <w:tcW w:w="1148" w:type="dxa"/>
          </w:tcPr>
          <w:p w14:paraId="5051A1C3"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MA</w:t>
            </w:r>
            <w:r>
              <w:rPr>
                <w:rFonts w:cstheme="minorHAnsi"/>
                <w:iCs/>
                <w:sz w:val="20"/>
                <w:szCs w:val="20"/>
              </w:rPr>
              <w:t>SA</w:t>
            </w:r>
          </w:p>
        </w:tc>
        <w:tc>
          <w:tcPr>
            <w:tcW w:w="7796" w:type="dxa"/>
          </w:tcPr>
          <w:p w14:paraId="66B7A39C"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Ministère de l’Agriculture</w:t>
            </w:r>
            <w:r>
              <w:rPr>
                <w:rFonts w:cstheme="minorHAnsi"/>
                <w:iCs/>
                <w:sz w:val="20"/>
                <w:szCs w:val="20"/>
              </w:rPr>
              <w:t xml:space="preserve"> et de la Souveraineté Alimentaire</w:t>
            </w:r>
          </w:p>
        </w:tc>
      </w:tr>
      <w:tr w:rsidR="008F2269" w:rsidRPr="00BE7A39" w14:paraId="56DF65E7" w14:textId="77777777" w:rsidTr="002D1362">
        <w:tc>
          <w:tcPr>
            <w:tcW w:w="1148" w:type="dxa"/>
          </w:tcPr>
          <w:p w14:paraId="2F03D969" w14:textId="77777777" w:rsidR="008F2269" w:rsidRPr="00BE7A39" w:rsidRDefault="008F2269" w:rsidP="002D1362">
            <w:pPr>
              <w:spacing w:line="23" w:lineRule="atLeast"/>
              <w:rPr>
                <w:rFonts w:cstheme="minorHAnsi"/>
                <w:iCs/>
                <w:sz w:val="20"/>
                <w:szCs w:val="20"/>
              </w:rPr>
            </w:pPr>
            <w:r>
              <w:rPr>
                <w:rFonts w:cstheme="minorHAnsi"/>
                <w:iCs/>
                <w:sz w:val="20"/>
                <w:szCs w:val="20"/>
              </w:rPr>
              <w:t>M</w:t>
            </w:r>
            <w:r w:rsidRPr="00BE7A39">
              <w:rPr>
                <w:rFonts w:cstheme="minorHAnsi"/>
                <w:iCs/>
                <w:sz w:val="20"/>
                <w:szCs w:val="20"/>
              </w:rPr>
              <w:t>E</w:t>
            </w:r>
          </w:p>
        </w:tc>
        <w:tc>
          <w:tcPr>
            <w:tcW w:w="7796" w:type="dxa"/>
          </w:tcPr>
          <w:p w14:paraId="41B84FEF"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Ministère de l’Agriculture et de l’Elevage</w:t>
            </w:r>
          </w:p>
        </w:tc>
      </w:tr>
      <w:tr w:rsidR="008F2269" w:rsidRPr="00BE7A39" w14:paraId="1F9F563A" w14:textId="77777777" w:rsidTr="002D1362">
        <w:tc>
          <w:tcPr>
            <w:tcW w:w="1148" w:type="dxa"/>
          </w:tcPr>
          <w:p w14:paraId="53554634"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MAED</w:t>
            </w:r>
          </w:p>
        </w:tc>
        <w:tc>
          <w:tcPr>
            <w:tcW w:w="7796" w:type="dxa"/>
          </w:tcPr>
          <w:p w14:paraId="09731954"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Ministère des Affaires Economiques et du Développement</w:t>
            </w:r>
          </w:p>
        </w:tc>
      </w:tr>
      <w:tr w:rsidR="008F2269" w:rsidRPr="00BE7A39" w14:paraId="27F9DED7" w14:textId="77777777" w:rsidTr="002D1362">
        <w:tc>
          <w:tcPr>
            <w:tcW w:w="1148" w:type="dxa"/>
          </w:tcPr>
          <w:p w14:paraId="3EBBB714"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MASEF</w:t>
            </w:r>
          </w:p>
        </w:tc>
        <w:tc>
          <w:tcPr>
            <w:tcW w:w="7796" w:type="dxa"/>
          </w:tcPr>
          <w:p w14:paraId="426B4319"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Ministère des Affaires Sociale, de l’Enfance et de la Famille</w:t>
            </w:r>
          </w:p>
        </w:tc>
      </w:tr>
      <w:tr w:rsidR="008F2269" w:rsidRPr="00BE7A39" w14:paraId="410BDCFB" w14:textId="77777777" w:rsidTr="002D1362">
        <w:tc>
          <w:tcPr>
            <w:tcW w:w="1148" w:type="dxa"/>
          </w:tcPr>
          <w:p w14:paraId="37E69FE5"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MEDD</w:t>
            </w:r>
          </w:p>
        </w:tc>
        <w:tc>
          <w:tcPr>
            <w:tcW w:w="7796" w:type="dxa"/>
          </w:tcPr>
          <w:p w14:paraId="2590DA1A"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Ministère de l’Environnement et du Développement Durable</w:t>
            </w:r>
          </w:p>
        </w:tc>
      </w:tr>
      <w:tr w:rsidR="008F2269" w:rsidRPr="00BE7A39" w14:paraId="3D4C133A" w14:textId="77777777" w:rsidTr="002D1362">
        <w:tc>
          <w:tcPr>
            <w:tcW w:w="1148" w:type="dxa"/>
          </w:tcPr>
          <w:p w14:paraId="7F29523C"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MHA</w:t>
            </w:r>
          </w:p>
        </w:tc>
        <w:tc>
          <w:tcPr>
            <w:tcW w:w="7796" w:type="dxa"/>
          </w:tcPr>
          <w:p w14:paraId="6F44CBD1"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Ministère de l’Hydraulique et de l’Assainissement</w:t>
            </w:r>
          </w:p>
        </w:tc>
      </w:tr>
      <w:tr w:rsidR="008F2269" w:rsidRPr="00BE7A39" w14:paraId="6ADD88CF" w14:textId="77777777" w:rsidTr="002D1362">
        <w:tc>
          <w:tcPr>
            <w:tcW w:w="1148" w:type="dxa"/>
          </w:tcPr>
          <w:p w14:paraId="2A8A6D1E"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MHE</w:t>
            </w:r>
          </w:p>
        </w:tc>
        <w:tc>
          <w:tcPr>
            <w:tcW w:w="7796" w:type="dxa"/>
          </w:tcPr>
          <w:p w14:paraId="1B88D199"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Ministère de l’Hydraulique et de l’Energie</w:t>
            </w:r>
          </w:p>
        </w:tc>
      </w:tr>
      <w:tr w:rsidR="008F2269" w:rsidRPr="00BE7A39" w14:paraId="66FBCBB3" w14:textId="77777777" w:rsidTr="002D1362">
        <w:tc>
          <w:tcPr>
            <w:tcW w:w="1148" w:type="dxa"/>
          </w:tcPr>
          <w:p w14:paraId="4FD6702C"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MHUAT</w:t>
            </w:r>
          </w:p>
        </w:tc>
        <w:tc>
          <w:tcPr>
            <w:tcW w:w="7796" w:type="dxa"/>
          </w:tcPr>
          <w:p w14:paraId="709A354D"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Ministère de l’Habitat, de l’Urbanisme et de l’Aménagement du Territoire</w:t>
            </w:r>
          </w:p>
        </w:tc>
      </w:tr>
      <w:tr w:rsidR="008F2269" w:rsidRPr="00BE7A39" w14:paraId="158D60AF" w14:textId="77777777" w:rsidTr="002D1362">
        <w:tc>
          <w:tcPr>
            <w:tcW w:w="1148" w:type="dxa"/>
          </w:tcPr>
          <w:p w14:paraId="64C26E43"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MIDEC</w:t>
            </w:r>
          </w:p>
        </w:tc>
        <w:tc>
          <w:tcPr>
            <w:tcW w:w="7796" w:type="dxa"/>
          </w:tcPr>
          <w:p w14:paraId="120CF12F"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Ministère de l’Intérieur et de la</w:t>
            </w:r>
            <w:r>
              <w:rPr>
                <w:rFonts w:cstheme="minorHAnsi"/>
                <w:iCs/>
                <w:sz w:val="20"/>
                <w:szCs w:val="20"/>
              </w:rPr>
              <w:t xml:space="preserve"> Décentralisation  </w:t>
            </w:r>
          </w:p>
        </w:tc>
      </w:tr>
      <w:tr w:rsidR="008F2269" w:rsidRPr="00BE7A39" w14:paraId="283D369C" w14:textId="77777777" w:rsidTr="002D1362">
        <w:tc>
          <w:tcPr>
            <w:tcW w:w="1148" w:type="dxa"/>
          </w:tcPr>
          <w:p w14:paraId="6BC2CD6C"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MI</w:t>
            </w:r>
            <w:r>
              <w:rPr>
                <w:rFonts w:cstheme="minorHAnsi"/>
                <w:iCs/>
                <w:sz w:val="20"/>
                <w:szCs w:val="20"/>
              </w:rPr>
              <w:t>P</w:t>
            </w:r>
            <w:r w:rsidRPr="00BE7A39">
              <w:rPr>
                <w:rFonts w:cstheme="minorHAnsi"/>
                <w:iCs/>
                <w:sz w:val="20"/>
                <w:szCs w:val="20"/>
              </w:rPr>
              <w:t>D</w:t>
            </w:r>
            <w:r>
              <w:rPr>
                <w:rFonts w:cstheme="minorHAnsi"/>
                <w:iCs/>
                <w:sz w:val="20"/>
                <w:szCs w:val="20"/>
              </w:rPr>
              <w:t>DL</w:t>
            </w:r>
          </w:p>
        </w:tc>
        <w:tc>
          <w:tcPr>
            <w:tcW w:w="7796" w:type="dxa"/>
          </w:tcPr>
          <w:p w14:paraId="2B4F9CC0"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Ministère de l’Intérieur et de la</w:t>
            </w:r>
            <w:r>
              <w:rPr>
                <w:rFonts w:cstheme="minorHAnsi"/>
                <w:iCs/>
                <w:sz w:val="20"/>
                <w:szCs w:val="20"/>
              </w:rPr>
              <w:t xml:space="preserve"> Promotion de la</w:t>
            </w:r>
            <w:r w:rsidRPr="00BE7A39">
              <w:rPr>
                <w:rFonts w:cstheme="minorHAnsi"/>
                <w:iCs/>
                <w:sz w:val="20"/>
                <w:szCs w:val="20"/>
              </w:rPr>
              <w:t xml:space="preserve"> Décentralisation</w:t>
            </w:r>
            <w:r>
              <w:rPr>
                <w:rFonts w:cstheme="minorHAnsi"/>
                <w:iCs/>
                <w:sz w:val="20"/>
                <w:szCs w:val="20"/>
              </w:rPr>
              <w:t xml:space="preserve"> et du Développement Local</w:t>
            </w:r>
          </w:p>
        </w:tc>
      </w:tr>
      <w:tr w:rsidR="008F2269" w:rsidRPr="00BE7A39" w14:paraId="486AF4C6" w14:textId="77777777" w:rsidTr="002D1362">
        <w:tc>
          <w:tcPr>
            <w:tcW w:w="1148" w:type="dxa"/>
          </w:tcPr>
          <w:p w14:paraId="4F64D5BD"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MPEM</w:t>
            </w:r>
          </w:p>
        </w:tc>
        <w:tc>
          <w:tcPr>
            <w:tcW w:w="7796" w:type="dxa"/>
          </w:tcPr>
          <w:p w14:paraId="6A68900B"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Ministère des Pêches et de l’Economie Maritime</w:t>
            </w:r>
          </w:p>
        </w:tc>
      </w:tr>
      <w:tr w:rsidR="008F2269" w:rsidRPr="00BE7A39" w14:paraId="61FAEEBE" w14:textId="77777777" w:rsidTr="002D1362">
        <w:tc>
          <w:tcPr>
            <w:tcW w:w="1148" w:type="dxa"/>
          </w:tcPr>
          <w:p w14:paraId="4A3D36A8" w14:textId="77777777" w:rsidR="008F2269" w:rsidRPr="00BE7A39" w:rsidRDefault="008F2269" w:rsidP="002D1362">
            <w:pPr>
              <w:spacing w:line="23" w:lineRule="atLeast"/>
              <w:rPr>
                <w:rFonts w:cstheme="minorHAnsi"/>
                <w:iCs/>
                <w:sz w:val="20"/>
                <w:szCs w:val="20"/>
              </w:rPr>
            </w:pPr>
            <w:r>
              <w:rPr>
                <w:rFonts w:cstheme="minorHAnsi"/>
                <w:iCs/>
                <w:sz w:val="20"/>
                <w:szCs w:val="20"/>
              </w:rPr>
              <w:t>MET</w:t>
            </w:r>
          </w:p>
        </w:tc>
        <w:tc>
          <w:tcPr>
            <w:tcW w:w="7796" w:type="dxa"/>
          </w:tcPr>
          <w:p w14:paraId="2966A5FF" w14:textId="77777777" w:rsidR="008F2269" w:rsidRPr="00BE7A39" w:rsidRDefault="008F2269" w:rsidP="002D1362">
            <w:pPr>
              <w:spacing w:line="23" w:lineRule="atLeast"/>
              <w:rPr>
                <w:rFonts w:cstheme="minorHAnsi"/>
                <w:iCs/>
                <w:sz w:val="20"/>
                <w:szCs w:val="20"/>
              </w:rPr>
            </w:pPr>
            <w:r>
              <w:rPr>
                <w:rFonts w:cstheme="minorHAnsi"/>
                <w:iCs/>
                <w:sz w:val="20"/>
                <w:szCs w:val="20"/>
              </w:rPr>
              <w:t>Ministère de l’Equipement et des Transports</w:t>
            </w:r>
          </w:p>
        </w:tc>
      </w:tr>
      <w:tr w:rsidR="008F2269" w:rsidRPr="00BE7A39" w14:paraId="1043405F" w14:textId="77777777" w:rsidTr="002D1362">
        <w:tc>
          <w:tcPr>
            <w:tcW w:w="1148" w:type="dxa"/>
          </w:tcPr>
          <w:p w14:paraId="72A5D752" w14:textId="77777777" w:rsidR="008F2269" w:rsidRPr="00BE7A39" w:rsidRDefault="008F2269" w:rsidP="002D1362">
            <w:pPr>
              <w:spacing w:line="23" w:lineRule="atLeast"/>
              <w:rPr>
                <w:rFonts w:cstheme="minorHAnsi"/>
                <w:iCs/>
                <w:sz w:val="20"/>
                <w:szCs w:val="20"/>
              </w:rPr>
            </w:pPr>
            <w:r>
              <w:rPr>
                <w:rFonts w:cstheme="minorHAnsi"/>
                <w:iCs/>
                <w:sz w:val="20"/>
                <w:szCs w:val="20"/>
              </w:rPr>
              <w:t>MPIMP</w:t>
            </w:r>
          </w:p>
        </w:tc>
        <w:tc>
          <w:tcPr>
            <w:tcW w:w="7796" w:type="dxa"/>
          </w:tcPr>
          <w:p w14:paraId="5F425EFF" w14:textId="77777777" w:rsidR="008F2269" w:rsidRPr="00BE7A39" w:rsidRDefault="008F2269" w:rsidP="002D1362">
            <w:pPr>
              <w:spacing w:line="23" w:lineRule="atLeast"/>
              <w:rPr>
                <w:rFonts w:cstheme="minorHAnsi"/>
                <w:iCs/>
                <w:sz w:val="20"/>
                <w:szCs w:val="20"/>
              </w:rPr>
            </w:pPr>
            <w:r>
              <w:rPr>
                <w:rFonts w:cstheme="minorHAnsi"/>
                <w:iCs/>
                <w:sz w:val="20"/>
                <w:szCs w:val="20"/>
              </w:rPr>
              <w:t>Ministère de la Pêche, des Infrastructures Maritimes et Portuaires</w:t>
            </w:r>
          </w:p>
        </w:tc>
      </w:tr>
      <w:tr w:rsidR="008F2269" w:rsidRPr="00BE7A39" w14:paraId="7BF3F6D2" w14:textId="77777777" w:rsidTr="002D1362">
        <w:tc>
          <w:tcPr>
            <w:tcW w:w="1148" w:type="dxa"/>
          </w:tcPr>
          <w:p w14:paraId="7F0926EB"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MRU</w:t>
            </w:r>
          </w:p>
        </w:tc>
        <w:tc>
          <w:tcPr>
            <w:tcW w:w="7796" w:type="dxa"/>
          </w:tcPr>
          <w:p w14:paraId="1D26FE3C"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Nouvelle Unité Monétaire</w:t>
            </w:r>
          </w:p>
        </w:tc>
      </w:tr>
      <w:tr w:rsidR="008F2269" w:rsidRPr="00BE7A39" w14:paraId="5E07DEC0" w14:textId="77777777" w:rsidTr="002D1362">
        <w:tc>
          <w:tcPr>
            <w:tcW w:w="1148" w:type="dxa"/>
          </w:tcPr>
          <w:p w14:paraId="5950CAE0"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MS</w:t>
            </w:r>
          </w:p>
        </w:tc>
        <w:tc>
          <w:tcPr>
            <w:tcW w:w="7796" w:type="dxa"/>
          </w:tcPr>
          <w:p w14:paraId="0B83E57F"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Ministère de la Santé</w:t>
            </w:r>
          </w:p>
        </w:tc>
      </w:tr>
      <w:tr w:rsidR="008F2269" w:rsidRPr="00BE7A39" w14:paraId="5C708D27" w14:textId="77777777" w:rsidTr="002D1362">
        <w:tc>
          <w:tcPr>
            <w:tcW w:w="1148" w:type="dxa"/>
          </w:tcPr>
          <w:p w14:paraId="6EF94CA1"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ODD</w:t>
            </w:r>
          </w:p>
        </w:tc>
        <w:tc>
          <w:tcPr>
            <w:tcW w:w="7796" w:type="dxa"/>
          </w:tcPr>
          <w:p w14:paraId="6CFDB75E"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Objectifs du Développement Durable</w:t>
            </w:r>
          </w:p>
        </w:tc>
      </w:tr>
      <w:tr w:rsidR="008F2269" w:rsidRPr="00BE7A39" w14:paraId="50B140E5" w14:textId="77777777" w:rsidTr="002D1362">
        <w:tc>
          <w:tcPr>
            <w:tcW w:w="1148" w:type="dxa"/>
          </w:tcPr>
          <w:p w14:paraId="64E402AF"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OMD</w:t>
            </w:r>
          </w:p>
        </w:tc>
        <w:tc>
          <w:tcPr>
            <w:tcW w:w="7796" w:type="dxa"/>
          </w:tcPr>
          <w:p w14:paraId="1A47D489"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Objectifs du Millénaire pour le Développement</w:t>
            </w:r>
          </w:p>
        </w:tc>
      </w:tr>
      <w:tr w:rsidR="008F2269" w:rsidRPr="00BE7A39" w14:paraId="4088944B" w14:textId="77777777" w:rsidTr="002D1362">
        <w:tc>
          <w:tcPr>
            <w:tcW w:w="1148" w:type="dxa"/>
          </w:tcPr>
          <w:p w14:paraId="3B1362B7"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OMVS</w:t>
            </w:r>
          </w:p>
        </w:tc>
        <w:tc>
          <w:tcPr>
            <w:tcW w:w="7796" w:type="dxa"/>
          </w:tcPr>
          <w:p w14:paraId="71BED1EE"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Organisation pour la Mise en Valeur du fleuve Sénégal</w:t>
            </w:r>
          </w:p>
        </w:tc>
      </w:tr>
      <w:tr w:rsidR="008F2269" w:rsidRPr="00BE7A39" w14:paraId="1095BC95" w14:textId="77777777" w:rsidTr="002D1362">
        <w:tc>
          <w:tcPr>
            <w:tcW w:w="1148" w:type="dxa"/>
          </w:tcPr>
          <w:p w14:paraId="52ADCC66"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ONAS</w:t>
            </w:r>
          </w:p>
        </w:tc>
        <w:tc>
          <w:tcPr>
            <w:tcW w:w="7796" w:type="dxa"/>
          </w:tcPr>
          <w:p w14:paraId="70874602"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Office National de l’Assainissement</w:t>
            </w:r>
          </w:p>
        </w:tc>
      </w:tr>
      <w:tr w:rsidR="008F2269" w:rsidRPr="00BE7A39" w14:paraId="1423209A" w14:textId="77777777" w:rsidTr="002D1362">
        <w:tc>
          <w:tcPr>
            <w:tcW w:w="1148" w:type="dxa"/>
          </w:tcPr>
          <w:p w14:paraId="5B704B5C"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ONG</w:t>
            </w:r>
          </w:p>
        </w:tc>
        <w:tc>
          <w:tcPr>
            <w:tcW w:w="7796" w:type="dxa"/>
          </w:tcPr>
          <w:p w14:paraId="7E080134"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Organisation Non Gouvernementale</w:t>
            </w:r>
          </w:p>
        </w:tc>
      </w:tr>
      <w:tr w:rsidR="008F2269" w:rsidRPr="00BE7A39" w14:paraId="026ED9B0" w14:textId="77777777" w:rsidTr="002D1362">
        <w:tc>
          <w:tcPr>
            <w:tcW w:w="1148" w:type="dxa"/>
          </w:tcPr>
          <w:p w14:paraId="22A67F66"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ONS</w:t>
            </w:r>
          </w:p>
        </w:tc>
        <w:tc>
          <w:tcPr>
            <w:tcW w:w="7796" w:type="dxa"/>
          </w:tcPr>
          <w:p w14:paraId="68724285"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Office National de la Statistique</w:t>
            </w:r>
          </w:p>
        </w:tc>
      </w:tr>
      <w:tr w:rsidR="008F2269" w:rsidRPr="00BE7A39" w14:paraId="5C98BD0D" w14:textId="77777777" w:rsidTr="002D1362">
        <w:tc>
          <w:tcPr>
            <w:tcW w:w="1148" w:type="dxa"/>
          </w:tcPr>
          <w:p w14:paraId="71A1E198"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ONSER</w:t>
            </w:r>
          </w:p>
        </w:tc>
        <w:tc>
          <w:tcPr>
            <w:tcW w:w="7796" w:type="dxa"/>
          </w:tcPr>
          <w:p w14:paraId="6A5867F3"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Office National des Services d’Eau en Milieu Rural</w:t>
            </w:r>
          </w:p>
        </w:tc>
      </w:tr>
      <w:tr w:rsidR="008F2269" w:rsidRPr="00BE7A39" w14:paraId="11245CE7" w14:textId="77777777" w:rsidTr="002D1362">
        <w:tc>
          <w:tcPr>
            <w:tcW w:w="1148" w:type="dxa"/>
          </w:tcPr>
          <w:p w14:paraId="6A998B83"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OSC</w:t>
            </w:r>
          </w:p>
        </w:tc>
        <w:tc>
          <w:tcPr>
            <w:tcW w:w="7796" w:type="dxa"/>
          </w:tcPr>
          <w:p w14:paraId="1F8A2118"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Organisation de la Société Civile</w:t>
            </w:r>
          </w:p>
        </w:tc>
      </w:tr>
      <w:tr w:rsidR="008F2269" w:rsidRPr="00BE7A39" w14:paraId="14AE1EE8" w14:textId="77777777" w:rsidTr="002D1362">
        <w:tc>
          <w:tcPr>
            <w:tcW w:w="1148" w:type="dxa"/>
          </w:tcPr>
          <w:p w14:paraId="3B0CD2D3"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PAN/LCD</w:t>
            </w:r>
          </w:p>
        </w:tc>
        <w:tc>
          <w:tcPr>
            <w:tcW w:w="7796" w:type="dxa"/>
          </w:tcPr>
          <w:p w14:paraId="7600B860"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Plan d’Action National de Lutte Contre la Désertification</w:t>
            </w:r>
          </w:p>
        </w:tc>
      </w:tr>
      <w:tr w:rsidR="008F2269" w:rsidRPr="00BE7A39" w14:paraId="1368A0CB" w14:textId="77777777" w:rsidTr="002D1362">
        <w:tc>
          <w:tcPr>
            <w:tcW w:w="1148" w:type="dxa"/>
          </w:tcPr>
          <w:p w14:paraId="76E470A3"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PDA</w:t>
            </w:r>
          </w:p>
        </w:tc>
        <w:tc>
          <w:tcPr>
            <w:tcW w:w="7796" w:type="dxa"/>
          </w:tcPr>
          <w:p w14:paraId="34C20C8F"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Plan Directeur de l’Assainissement</w:t>
            </w:r>
          </w:p>
        </w:tc>
      </w:tr>
      <w:tr w:rsidR="008F2269" w:rsidRPr="00BE7A39" w14:paraId="6ABFB66F" w14:textId="77777777" w:rsidTr="002D1362">
        <w:tc>
          <w:tcPr>
            <w:tcW w:w="1148" w:type="dxa"/>
          </w:tcPr>
          <w:p w14:paraId="2FED533B"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PDDO</w:t>
            </w:r>
          </w:p>
        </w:tc>
        <w:tc>
          <w:tcPr>
            <w:tcW w:w="7796" w:type="dxa"/>
          </w:tcPr>
          <w:p w14:paraId="3E9EBCD9" w14:textId="77777777" w:rsidR="008F2269" w:rsidRPr="00BE7A39" w:rsidRDefault="008F2269" w:rsidP="002D1362">
            <w:pPr>
              <w:spacing w:line="23" w:lineRule="atLeast"/>
              <w:rPr>
                <w:rFonts w:cstheme="minorHAnsi"/>
                <w:iCs/>
                <w:sz w:val="20"/>
                <w:szCs w:val="20"/>
              </w:rPr>
            </w:pPr>
            <w:r w:rsidRPr="00BE7A39">
              <w:rPr>
                <w:rFonts w:cstheme="minorHAnsi"/>
                <w:iCs/>
                <w:sz w:val="20"/>
                <w:szCs w:val="20"/>
              </w:rPr>
              <w:t>Programme de Développement Durable des Oasis</w:t>
            </w:r>
          </w:p>
        </w:tc>
      </w:tr>
      <w:tr w:rsidR="008F2269" w:rsidRPr="00BE7A39" w14:paraId="6AD320CB" w14:textId="77777777" w:rsidTr="002D1362">
        <w:tc>
          <w:tcPr>
            <w:tcW w:w="1148" w:type="dxa"/>
          </w:tcPr>
          <w:p w14:paraId="57C6A5DA"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PIB</w:t>
            </w:r>
          </w:p>
        </w:tc>
        <w:tc>
          <w:tcPr>
            <w:tcW w:w="7796" w:type="dxa"/>
          </w:tcPr>
          <w:p w14:paraId="7AD57AC0"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Produit Intérieur Brut</w:t>
            </w:r>
          </w:p>
        </w:tc>
      </w:tr>
      <w:tr w:rsidR="008F2269" w:rsidRPr="00BE7A39" w14:paraId="7895950D" w14:textId="77777777" w:rsidTr="002D1362">
        <w:tc>
          <w:tcPr>
            <w:tcW w:w="1148" w:type="dxa"/>
          </w:tcPr>
          <w:p w14:paraId="409DEE21"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PM</w:t>
            </w:r>
          </w:p>
        </w:tc>
        <w:tc>
          <w:tcPr>
            <w:tcW w:w="7796" w:type="dxa"/>
          </w:tcPr>
          <w:p w14:paraId="05C52E80"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Premier Ministre</w:t>
            </w:r>
          </w:p>
        </w:tc>
      </w:tr>
      <w:tr w:rsidR="008F2269" w:rsidRPr="00BE7A39" w14:paraId="0A452B73" w14:textId="77777777" w:rsidTr="002D1362">
        <w:tc>
          <w:tcPr>
            <w:tcW w:w="1148" w:type="dxa"/>
          </w:tcPr>
          <w:p w14:paraId="1D84088A"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PNA</w:t>
            </w:r>
          </w:p>
        </w:tc>
        <w:tc>
          <w:tcPr>
            <w:tcW w:w="7796" w:type="dxa"/>
          </w:tcPr>
          <w:p w14:paraId="6D485080"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Plan National d’Adaptation</w:t>
            </w:r>
          </w:p>
        </w:tc>
      </w:tr>
      <w:tr w:rsidR="008F2269" w:rsidRPr="00BE7A39" w14:paraId="4DD064C9" w14:textId="77777777" w:rsidTr="002D1362">
        <w:tc>
          <w:tcPr>
            <w:tcW w:w="1148" w:type="dxa"/>
          </w:tcPr>
          <w:p w14:paraId="1AA09274"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PNAGE</w:t>
            </w:r>
          </w:p>
        </w:tc>
        <w:tc>
          <w:tcPr>
            <w:tcW w:w="7796" w:type="dxa"/>
          </w:tcPr>
          <w:p w14:paraId="1D1F1E0C"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Plan National d’Aménagement et de Gestion de l’Eau</w:t>
            </w:r>
          </w:p>
        </w:tc>
      </w:tr>
      <w:tr w:rsidR="008F2269" w:rsidRPr="00BE7A39" w14:paraId="740405F0" w14:textId="77777777" w:rsidTr="002D1362">
        <w:tc>
          <w:tcPr>
            <w:tcW w:w="1148" w:type="dxa"/>
          </w:tcPr>
          <w:p w14:paraId="4EB75639"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PNDA</w:t>
            </w:r>
          </w:p>
        </w:tc>
        <w:tc>
          <w:tcPr>
            <w:tcW w:w="7796" w:type="dxa"/>
          </w:tcPr>
          <w:p w14:paraId="6A73B56D"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Plan National pour le Développement de l’Agriculture</w:t>
            </w:r>
          </w:p>
        </w:tc>
      </w:tr>
      <w:tr w:rsidR="008F2269" w:rsidRPr="00BE7A39" w14:paraId="4CF937DA" w14:textId="77777777" w:rsidTr="002D1362">
        <w:tc>
          <w:tcPr>
            <w:tcW w:w="1148" w:type="dxa"/>
          </w:tcPr>
          <w:p w14:paraId="5964C53E"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PNDE</w:t>
            </w:r>
          </w:p>
        </w:tc>
        <w:tc>
          <w:tcPr>
            <w:tcW w:w="7796" w:type="dxa"/>
          </w:tcPr>
          <w:p w14:paraId="09EFBB83"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Plan National pour le Développement de l’Elevage</w:t>
            </w:r>
          </w:p>
        </w:tc>
      </w:tr>
      <w:tr w:rsidR="008F2269" w:rsidRPr="00BE7A39" w14:paraId="60A4C6E1" w14:textId="77777777" w:rsidTr="002D1362">
        <w:tc>
          <w:tcPr>
            <w:tcW w:w="1148" w:type="dxa"/>
          </w:tcPr>
          <w:p w14:paraId="0FE086EE"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PNISER</w:t>
            </w:r>
          </w:p>
        </w:tc>
        <w:tc>
          <w:tcPr>
            <w:tcW w:w="7796" w:type="dxa"/>
          </w:tcPr>
          <w:p w14:paraId="33A51F0B"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Programme National Intégré pour le Secteur de l’Eau en milieu Rural</w:t>
            </w:r>
          </w:p>
        </w:tc>
      </w:tr>
      <w:tr w:rsidR="008F2269" w:rsidRPr="00BE7A39" w14:paraId="421724BB" w14:textId="77777777" w:rsidTr="002D1362">
        <w:tc>
          <w:tcPr>
            <w:tcW w:w="1148" w:type="dxa"/>
          </w:tcPr>
          <w:p w14:paraId="2C6E966F"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PPE</w:t>
            </w:r>
          </w:p>
        </w:tc>
        <w:tc>
          <w:tcPr>
            <w:tcW w:w="7796" w:type="dxa"/>
          </w:tcPr>
          <w:p w14:paraId="298DDAFF"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Programme Prioritaire Elargi</w:t>
            </w:r>
          </w:p>
        </w:tc>
      </w:tr>
      <w:tr w:rsidR="008F2269" w:rsidRPr="00BE7A39" w14:paraId="31C6777C" w14:textId="77777777" w:rsidTr="002D1362">
        <w:tc>
          <w:tcPr>
            <w:tcW w:w="1148" w:type="dxa"/>
          </w:tcPr>
          <w:p w14:paraId="0CE8E757"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PPM/FVC</w:t>
            </w:r>
          </w:p>
        </w:tc>
        <w:tc>
          <w:tcPr>
            <w:tcW w:w="7796" w:type="dxa"/>
          </w:tcPr>
          <w:p w14:paraId="5DFF9A11" w14:textId="77777777" w:rsidR="008F2269" w:rsidRPr="00BE7A39" w:rsidRDefault="008F2269" w:rsidP="002D1362">
            <w:pPr>
              <w:pStyle w:val="Default"/>
              <w:spacing w:line="276" w:lineRule="auto"/>
              <w:rPr>
                <w:rFonts w:asciiTheme="minorHAnsi" w:hAnsiTheme="minorHAnsi" w:cstheme="minorHAnsi"/>
                <w:iCs/>
                <w:color w:val="auto"/>
                <w:sz w:val="20"/>
                <w:szCs w:val="20"/>
              </w:rPr>
            </w:pPr>
            <w:r w:rsidRPr="00BE7A39">
              <w:rPr>
                <w:rFonts w:asciiTheme="minorHAnsi" w:hAnsiTheme="minorHAnsi" w:cstheme="minorHAnsi"/>
                <w:iCs/>
                <w:color w:val="auto"/>
                <w:sz w:val="20"/>
                <w:szCs w:val="20"/>
              </w:rPr>
              <w:t>Programme Pays Mauritanie/Fonds Vert Climat</w:t>
            </w:r>
          </w:p>
        </w:tc>
      </w:tr>
      <w:tr w:rsidR="008F2269" w:rsidRPr="00BE7A39" w14:paraId="684FA8D7" w14:textId="77777777" w:rsidTr="002D1362">
        <w:tc>
          <w:tcPr>
            <w:tcW w:w="1148" w:type="dxa"/>
          </w:tcPr>
          <w:p w14:paraId="25E2ACCF"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PPP</w:t>
            </w:r>
          </w:p>
        </w:tc>
        <w:tc>
          <w:tcPr>
            <w:tcW w:w="7796" w:type="dxa"/>
          </w:tcPr>
          <w:p w14:paraId="040C5619"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Partenariat Public Privé</w:t>
            </w:r>
          </w:p>
        </w:tc>
      </w:tr>
      <w:tr w:rsidR="008F2269" w:rsidRPr="00BE7A39" w14:paraId="07D42183" w14:textId="77777777" w:rsidTr="002D1362">
        <w:tc>
          <w:tcPr>
            <w:tcW w:w="1148" w:type="dxa"/>
          </w:tcPr>
          <w:p w14:paraId="530D1CF1"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PFT</w:t>
            </w:r>
          </w:p>
        </w:tc>
        <w:tc>
          <w:tcPr>
            <w:tcW w:w="7796" w:type="dxa"/>
          </w:tcPr>
          <w:p w14:paraId="391C256A"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Point Focal Thématique</w:t>
            </w:r>
          </w:p>
        </w:tc>
      </w:tr>
      <w:tr w:rsidR="008F2269" w:rsidRPr="00BE7A39" w14:paraId="44012660" w14:textId="77777777" w:rsidTr="002D1362">
        <w:tc>
          <w:tcPr>
            <w:tcW w:w="1148" w:type="dxa"/>
          </w:tcPr>
          <w:p w14:paraId="7016556F"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PTF</w:t>
            </w:r>
          </w:p>
        </w:tc>
        <w:tc>
          <w:tcPr>
            <w:tcW w:w="7796" w:type="dxa"/>
          </w:tcPr>
          <w:p w14:paraId="23D88208"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Partenaire Technique Financier</w:t>
            </w:r>
          </w:p>
        </w:tc>
      </w:tr>
      <w:tr w:rsidR="008F2269" w:rsidRPr="00BE7A39" w14:paraId="5C1E7DCF" w14:textId="77777777" w:rsidTr="002D1362">
        <w:tc>
          <w:tcPr>
            <w:tcW w:w="1148" w:type="dxa"/>
          </w:tcPr>
          <w:p w14:paraId="7B2A16ED" w14:textId="77777777" w:rsidR="008F2269" w:rsidRPr="00BE7A39" w:rsidRDefault="008F2269" w:rsidP="002D1362">
            <w:pPr>
              <w:spacing w:line="276" w:lineRule="auto"/>
              <w:rPr>
                <w:rFonts w:cstheme="minorHAnsi"/>
                <w:iCs/>
                <w:sz w:val="20"/>
                <w:szCs w:val="20"/>
              </w:rPr>
            </w:pPr>
            <w:r>
              <w:rPr>
                <w:rFonts w:cstheme="minorHAnsi"/>
                <w:iCs/>
                <w:sz w:val="20"/>
                <w:szCs w:val="20"/>
              </w:rPr>
              <w:t>RCP</w:t>
            </w:r>
          </w:p>
        </w:tc>
        <w:tc>
          <w:tcPr>
            <w:tcW w:w="7796" w:type="dxa"/>
          </w:tcPr>
          <w:p w14:paraId="18BE6B13" w14:textId="77777777" w:rsidR="008F2269" w:rsidRPr="00BE7A39" w:rsidRDefault="008F2269" w:rsidP="002D1362">
            <w:pPr>
              <w:spacing w:line="276" w:lineRule="auto"/>
              <w:rPr>
                <w:rFonts w:cstheme="minorHAnsi"/>
                <w:iCs/>
                <w:sz w:val="20"/>
                <w:szCs w:val="20"/>
              </w:rPr>
            </w:pPr>
            <w:r>
              <w:rPr>
                <w:rFonts w:cstheme="minorHAnsi"/>
                <w:iCs/>
                <w:sz w:val="20"/>
                <w:szCs w:val="20"/>
              </w:rPr>
              <w:t>Représentative Concentration Pathways</w:t>
            </w:r>
          </w:p>
        </w:tc>
      </w:tr>
      <w:tr w:rsidR="008F2269" w:rsidRPr="00BE7A39" w14:paraId="1EF12E61" w14:textId="77777777" w:rsidTr="002D1362">
        <w:tc>
          <w:tcPr>
            <w:tcW w:w="1148" w:type="dxa"/>
          </w:tcPr>
          <w:p w14:paraId="18CD5A19"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RGPH</w:t>
            </w:r>
          </w:p>
        </w:tc>
        <w:tc>
          <w:tcPr>
            <w:tcW w:w="7796" w:type="dxa"/>
          </w:tcPr>
          <w:p w14:paraId="19063A24"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Recensement Général de la Population et de l’Habitat</w:t>
            </w:r>
          </w:p>
        </w:tc>
      </w:tr>
      <w:tr w:rsidR="008F2269" w:rsidRPr="00BE7A39" w14:paraId="3D5FFAB7" w14:textId="77777777" w:rsidTr="002D1362">
        <w:tc>
          <w:tcPr>
            <w:tcW w:w="1148" w:type="dxa"/>
          </w:tcPr>
          <w:p w14:paraId="258CF4AA"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SAP</w:t>
            </w:r>
          </w:p>
        </w:tc>
        <w:tc>
          <w:tcPr>
            <w:tcW w:w="7796" w:type="dxa"/>
          </w:tcPr>
          <w:p w14:paraId="2B92E4CB"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Système d’Alerte Précoce</w:t>
            </w:r>
          </w:p>
        </w:tc>
      </w:tr>
      <w:tr w:rsidR="008F2269" w:rsidRPr="00BE7A39" w14:paraId="6CDBD7FD" w14:textId="77777777" w:rsidTr="002D1362">
        <w:tc>
          <w:tcPr>
            <w:tcW w:w="1148" w:type="dxa"/>
          </w:tcPr>
          <w:p w14:paraId="26221673"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SC</w:t>
            </w:r>
          </w:p>
        </w:tc>
        <w:tc>
          <w:tcPr>
            <w:tcW w:w="7796" w:type="dxa"/>
          </w:tcPr>
          <w:p w14:paraId="04C3F6B3"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Société Civile</w:t>
            </w:r>
          </w:p>
        </w:tc>
      </w:tr>
      <w:tr w:rsidR="008F2269" w:rsidRPr="00BE7A39" w14:paraId="7C8B0820" w14:textId="77777777" w:rsidTr="002D1362">
        <w:tc>
          <w:tcPr>
            <w:tcW w:w="1148" w:type="dxa"/>
          </w:tcPr>
          <w:p w14:paraId="48F9F022"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SAGE</w:t>
            </w:r>
          </w:p>
        </w:tc>
        <w:tc>
          <w:tcPr>
            <w:tcW w:w="7796" w:type="dxa"/>
          </w:tcPr>
          <w:p w14:paraId="377E1F7E"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Schéma d’Aménagement et de Gestion de l’Eau</w:t>
            </w:r>
          </w:p>
        </w:tc>
      </w:tr>
      <w:tr w:rsidR="008F2269" w:rsidRPr="00BE7A39" w14:paraId="3614865D" w14:textId="77777777" w:rsidTr="002D1362">
        <w:tc>
          <w:tcPr>
            <w:tcW w:w="1148" w:type="dxa"/>
          </w:tcPr>
          <w:p w14:paraId="7CC3AE47"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SDEA</w:t>
            </w:r>
          </w:p>
        </w:tc>
        <w:tc>
          <w:tcPr>
            <w:tcW w:w="7796" w:type="dxa"/>
          </w:tcPr>
          <w:p w14:paraId="7A01E754"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Stratégie de Développement du Secteur de l’Eau et de l’Assainissement</w:t>
            </w:r>
          </w:p>
        </w:tc>
      </w:tr>
      <w:tr w:rsidR="008F2269" w:rsidRPr="00BE7A39" w14:paraId="2F555AA8" w14:textId="77777777" w:rsidTr="002D1362">
        <w:tc>
          <w:tcPr>
            <w:tcW w:w="1148" w:type="dxa"/>
          </w:tcPr>
          <w:p w14:paraId="4C737992"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SDAGE</w:t>
            </w:r>
          </w:p>
        </w:tc>
        <w:tc>
          <w:tcPr>
            <w:tcW w:w="7796" w:type="dxa"/>
          </w:tcPr>
          <w:p w14:paraId="050BC370"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Schéma Directeur d’Aménagement et de Gestion de l’Eau</w:t>
            </w:r>
          </w:p>
        </w:tc>
      </w:tr>
      <w:tr w:rsidR="008F2269" w:rsidRPr="00BE7A39" w14:paraId="393DFFC6" w14:textId="77777777" w:rsidTr="002D1362">
        <w:tc>
          <w:tcPr>
            <w:tcW w:w="1148" w:type="dxa"/>
          </w:tcPr>
          <w:p w14:paraId="7883B6FE"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SDSR</w:t>
            </w:r>
          </w:p>
        </w:tc>
        <w:tc>
          <w:tcPr>
            <w:tcW w:w="7796" w:type="dxa"/>
          </w:tcPr>
          <w:p w14:paraId="701037EA"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Stratégie de Développement du Secteur Rural</w:t>
            </w:r>
          </w:p>
        </w:tc>
      </w:tr>
      <w:tr w:rsidR="008F2269" w:rsidRPr="00BE7A39" w14:paraId="513A10E3" w14:textId="77777777" w:rsidTr="002D1362">
        <w:tc>
          <w:tcPr>
            <w:tcW w:w="1148" w:type="dxa"/>
          </w:tcPr>
          <w:p w14:paraId="1A8A1AD6"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SIIE</w:t>
            </w:r>
          </w:p>
        </w:tc>
        <w:tc>
          <w:tcPr>
            <w:tcW w:w="7796" w:type="dxa"/>
          </w:tcPr>
          <w:p w14:paraId="3F34374B"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Système d’Information Intégré sur l’Eau</w:t>
            </w:r>
          </w:p>
        </w:tc>
      </w:tr>
      <w:tr w:rsidR="008F2269" w:rsidRPr="00BE7A39" w14:paraId="05CDC2CA" w14:textId="77777777" w:rsidTr="002D1362">
        <w:tc>
          <w:tcPr>
            <w:tcW w:w="1148" w:type="dxa"/>
          </w:tcPr>
          <w:p w14:paraId="3BA6A9BC"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SNA</w:t>
            </w:r>
          </w:p>
        </w:tc>
        <w:tc>
          <w:tcPr>
            <w:tcW w:w="7796" w:type="dxa"/>
          </w:tcPr>
          <w:p w14:paraId="03CA5FE7"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Stratégie Nationale de l’Assainissement</w:t>
            </w:r>
          </w:p>
        </w:tc>
      </w:tr>
      <w:tr w:rsidR="008F2269" w:rsidRPr="00BE7A39" w14:paraId="0552A9ED" w14:textId="77777777" w:rsidTr="002D1362">
        <w:tc>
          <w:tcPr>
            <w:tcW w:w="1148" w:type="dxa"/>
          </w:tcPr>
          <w:p w14:paraId="41B676C1"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SNADEA</w:t>
            </w:r>
          </w:p>
        </w:tc>
        <w:tc>
          <w:tcPr>
            <w:tcW w:w="7796" w:type="dxa"/>
          </w:tcPr>
          <w:p w14:paraId="0FF6ACDF"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Stratégie Nationale pour un Accès Durable à l’Eau et à l’Assainissement</w:t>
            </w:r>
          </w:p>
        </w:tc>
      </w:tr>
      <w:tr w:rsidR="008F2269" w:rsidRPr="00BE7A39" w14:paraId="51EB71D0" w14:textId="77777777" w:rsidTr="002D1362">
        <w:tc>
          <w:tcPr>
            <w:tcW w:w="1148" w:type="dxa"/>
          </w:tcPr>
          <w:p w14:paraId="4F4DA471"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SNAT</w:t>
            </w:r>
          </w:p>
        </w:tc>
        <w:tc>
          <w:tcPr>
            <w:tcW w:w="7796" w:type="dxa"/>
          </w:tcPr>
          <w:p w14:paraId="70AA577E"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Schéma National d’Aménagement du Territoire</w:t>
            </w:r>
          </w:p>
        </w:tc>
      </w:tr>
      <w:tr w:rsidR="008F2269" w:rsidRPr="00BE7A39" w14:paraId="149A220E" w14:textId="77777777" w:rsidTr="002D1362">
        <w:tc>
          <w:tcPr>
            <w:tcW w:w="1148" w:type="dxa"/>
          </w:tcPr>
          <w:p w14:paraId="507A07E9"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SNDD</w:t>
            </w:r>
          </w:p>
        </w:tc>
        <w:tc>
          <w:tcPr>
            <w:tcW w:w="7796" w:type="dxa"/>
          </w:tcPr>
          <w:p w14:paraId="748E5D31"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Stratégie Nationale de Développement Durable</w:t>
            </w:r>
          </w:p>
        </w:tc>
      </w:tr>
      <w:tr w:rsidR="008F2269" w:rsidRPr="00BE7A39" w14:paraId="033E755A" w14:textId="77777777" w:rsidTr="002D1362">
        <w:tc>
          <w:tcPr>
            <w:tcW w:w="1148" w:type="dxa"/>
          </w:tcPr>
          <w:p w14:paraId="7819334C"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SNDE</w:t>
            </w:r>
          </w:p>
        </w:tc>
        <w:tc>
          <w:tcPr>
            <w:tcW w:w="7796" w:type="dxa"/>
          </w:tcPr>
          <w:p w14:paraId="79D1DDFF"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Société Nationale de l’Eau</w:t>
            </w:r>
          </w:p>
        </w:tc>
      </w:tr>
      <w:tr w:rsidR="008F2269" w:rsidRPr="00BE7A39" w14:paraId="4D05574E" w14:textId="77777777" w:rsidTr="002D1362">
        <w:tc>
          <w:tcPr>
            <w:tcW w:w="1148" w:type="dxa"/>
          </w:tcPr>
          <w:p w14:paraId="0E28BEF6"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SNEDD</w:t>
            </w:r>
          </w:p>
        </w:tc>
        <w:tc>
          <w:tcPr>
            <w:tcW w:w="7796" w:type="dxa"/>
          </w:tcPr>
          <w:p w14:paraId="4C329EDD"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Stratégie Nationale de l’Environnement et du Développement Durable</w:t>
            </w:r>
          </w:p>
        </w:tc>
      </w:tr>
      <w:tr w:rsidR="008F2269" w:rsidRPr="00BE7A39" w14:paraId="71108FC5" w14:textId="77777777" w:rsidTr="002D1362">
        <w:tc>
          <w:tcPr>
            <w:tcW w:w="1148" w:type="dxa"/>
          </w:tcPr>
          <w:p w14:paraId="60F32F10"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SNFP</w:t>
            </w:r>
          </w:p>
        </w:tc>
        <w:tc>
          <w:tcPr>
            <w:tcW w:w="7796" w:type="dxa"/>
          </w:tcPr>
          <w:p w14:paraId="6C616FF2"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 xml:space="preserve">Société Nationale des Forages et Puits  </w:t>
            </w:r>
          </w:p>
        </w:tc>
      </w:tr>
      <w:tr w:rsidR="008F2269" w:rsidRPr="00BE7A39" w14:paraId="225C3514" w14:textId="77777777" w:rsidTr="002D1362">
        <w:tc>
          <w:tcPr>
            <w:tcW w:w="1148" w:type="dxa"/>
          </w:tcPr>
          <w:p w14:paraId="23687852"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SNSA</w:t>
            </w:r>
          </w:p>
        </w:tc>
        <w:tc>
          <w:tcPr>
            <w:tcW w:w="7796" w:type="dxa"/>
          </w:tcPr>
          <w:p w14:paraId="79DCB016"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 xml:space="preserve">Stratégie Nationale de Sécurité Alimentaire </w:t>
            </w:r>
          </w:p>
        </w:tc>
      </w:tr>
      <w:tr w:rsidR="008F2269" w:rsidRPr="00BE7A39" w14:paraId="4CE5B550" w14:textId="77777777" w:rsidTr="002D1362">
        <w:tc>
          <w:tcPr>
            <w:tcW w:w="1148" w:type="dxa"/>
          </w:tcPr>
          <w:p w14:paraId="466D081F" w14:textId="77777777" w:rsidR="008F2269" w:rsidRPr="00BE7A39" w:rsidRDefault="008F2269" w:rsidP="002D1362">
            <w:pPr>
              <w:spacing w:line="276" w:lineRule="auto"/>
              <w:rPr>
                <w:rFonts w:cstheme="minorHAnsi"/>
                <w:iCs/>
                <w:sz w:val="20"/>
                <w:szCs w:val="20"/>
              </w:rPr>
            </w:pPr>
            <w:proofErr w:type="spellStart"/>
            <w:r w:rsidRPr="00BE7A39">
              <w:rPr>
                <w:rFonts w:cstheme="minorHAnsi"/>
                <w:iCs/>
                <w:sz w:val="20"/>
                <w:szCs w:val="20"/>
              </w:rPr>
              <w:t>TdR</w:t>
            </w:r>
            <w:proofErr w:type="spellEnd"/>
          </w:p>
        </w:tc>
        <w:tc>
          <w:tcPr>
            <w:tcW w:w="7796" w:type="dxa"/>
          </w:tcPr>
          <w:p w14:paraId="5FDD6E84"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Termes de Référence</w:t>
            </w:r>
          </w:p>
        </w:tc>
      </w:tr>
      <w:tr w:rsidR="008F2269" w:rsidRPr="00BE7A39" w14:paraId="69043A74" w14:textId="77777777" w:rsidTr="002D1362">
        <w:tc>
          <w:tcPr>
            <w:tcW w:w="1148" w:type="dxa"/>
          </w:tcPr>
          <w:p w14:paraId="2369A577"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UE</w:t>
            </w:r>
          </w:p>
        </w:tc>
        <w:tc>
          <w:tcPr>
            <w:tcW w:w="7796" w:type="dxa"/>
          </w:tcPr>
          <w:p w14:paraId="26FD932F"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Union Européenne</w:t>
            </w:r>
          </w:p>
        </w:tc>
      </w:tr>
      <w:tr w:rsidR="008F2269" w:rsidRPr="00BE7A39" w14:paraId="47FA87ED" w14:textId="77777777" w:rsidTr="002D1362">
        <w:tc>
          <w:tcPr>
            <w:tcW w:w="1148" w:type="dxa"/>
          </w:tcPr>
          <w:p w14:paraId="62435FD0"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UM</w:t>
            </w:r>
          </w:p>
        </w:tc>
        <w:tc>
          <w:tcPr>
            <w:tcW w:w="7796" w:type="dxa"/>
          </w:tcPr>
          <w:p w14:paraId="4DBF8913" w14:textId="77777777" w:rsidR="008F2269" w:rsidRPr="00BE7A39" w:rsidRDefault="008F2269" w:rsidP="002D1362">
            <w:pPr>
              <w:spacing w:line="276" w:lineRule="auto"/>
              <w:rPr>
                <w:rFonts w:cstheme="minorHAnsi"/>
                <w:iCs/>
                <w:sz w:val="20"/>
                <w:szCs w:val="20"/>
              </w:rPr>
            </w:pPr>
            <w:r w:rsidRPr="00BE7A39">
              <w:rPr>
                <w:rFonts w:cstheme="minorHAnsi"/>
                <w:iCs/>
                <w:sz w:val="20"/>
                <w:szCs w:val="20"/>
              </w:rPr>
              <w:t>Unité Monétaire</w:t>
            </w:r>
          </w:p>
        </w:tc>
      </w:tr>
      <w:tr w:rsidR="008F2269" w:rsidRPr="00BE7A39" w14:paraId="4D9BAE2F" w14:textId="77777777" w:rsidTr="002D1362">
        <w:tc>
          <w:tcPr>
            <w:tcW w:w="1148" w:type="dxa"/>
          </w:tcPr>
          <w:p w14:paraId="713D69C2" w14:textId="77777777" w:rsidR="008F2269" w:rsidRPr="00BE7A39" w:rsidRDefault="008F2269" w:rsidP="002D1362">
            <w:pPr>
              <w:spacing w:line="276" w:lineRule="auto"/>
              <w:rPr>
                <w:rFonts w:cstheme="minorHAnsi"/>
                <w:iCs/>
                <w:sz w:val="20"/>
                <w:szCs w:val="20"/>
              </w:rPr>
            </w:pPr>
            <w:r>
              <w:rPr>
                <w:rFonts w:cstheme="minorHAnsi"/>
              </w:rPr>
              <w:t>ZAE</w:t>
            </w:r>
          </w:p>
        </w:tc>
        <w:tc>
          <w:tcPr>
            <w:tcW w:w="7796" w:type="dxa"/>
          </w:tcPr>
          <w:p w14:paraId="5C0F2F6F" w14:textId="77777777" w:rsidR="008F2269" w:rsidRPr="00BE7A39" w:rsidRDefault="008F2269" w:rsidP="002D1362">
            <w:pPr>
              <w:spacing w:line="276" w:lineRule="auto"/>
              <w:rPr>
                <w:rFonts w:cstheme="minorHAnsi"/>
                <w:iCs/>
                <w:sz w:val="20"/>
                <w:szCs w:val="20"/>
              </w:rPr>
            </w:pPr>
            <w:r>
              <w:rPr>
                <w:rFonts w:cstheme="minorHAnsi"/>
              </w:rPr>
              <w:t xml:space="preserve">Zones Agroécologiques </w:t>
            </w:r>
          </w:p>
        </w:tc>
      </w:tr>
    </w:tbl>
    <w:p w14:paraId="68761A63" w14:textId="77777777" w:rsidR="008F2269" w:rsidRPr="00BE7A39" w:rsidRDefault="008F2269" w:rsidP="008F2269">
      <w:pPr>
        <w:autoSpaceDE w:val="0"/>
        <w:autoSpaceDN w:val="0"/>
        <w:adjustRightInd w:val="0"/>
        <w:spacing w:after="0" w:line="240" w:lineRule="auto"/>
        <w:jc w:val="both"/>
        <w:rPr>
          <w:rFonts w:cstheme="minorHAnsi"/>
          <w:i/>
        </w:rPr>
      </w:pPr>
    </w:p>
    <w:p w14:paraId="15DF3596" w14:textId="77777777" w:rsidR="008F2269" w:rsidRPr="004305E8" w:rsidRDefault="008F2269" w:rsidP="008F2269">
      <w:pPr>
        <w:pStyle w:val="Titre1"/>
        <w:spacing w:before="0"/>
        <w:rPr>
          <w:rFonts w:asciiTheme="minorHAnsi" w:hAnsiTheme="minorHAnsi" w:cstheme="minorHAnsi"/>
        </w:rPr>
      </w:pPr>
      <w:bookmarkStart w:id="65" w:name="_Toc180318662"/>
      <w:bookmarkStart w:id="66" w:name="_Toc47874621"/>
      <w:bookmarkStart w:id="67" w:name="_Toc51930336"/>
      <w:bookmarkStart w:id="68" w:name="_Toc47874631"/>
      <w:bookmarkStart w:id="69" w:name="_Toc51854353"/>
      <w:bookmarkEnd w:id="62"/>
      <w:bookmarkEnd w:id="61"/>
      <w:bookmarkEnd w:id="60"/>
      <w:r w:rsidRPr="00BE7A39">
        <w:rPr>
          <w:rFonts w:asciiTheme="minorHAnsi" w:hAnsiTheme="minorHAnsi" w:cstheme="minorHAnsi"/>
          <w:color w:val="auto"/>
          <w:sz w:val="22"/>
          <w:szCs w:val="22"/>
        </w:rPr>
        <w:t>NTRODUCTION</w:t>
      </w:r>
      <w:bookmarkEnd w:id="65"/>
    </w:p>
    <w:p w14:paraId="2F178B5E" w14:textId="77777777" w:rsidR="008F2269" w:rsidRPr="00024F25" w:rsidRDefault="008F2269" w:rsidP="008F2269">
      <w:pPr>
        <w:pStyle w:val="NormalWeb"/>
        <w:jc w:val="both"/>
        <w:rPr>
          <w:rFonts w:asciiTheme="minorHAnsi" w:hAnsiTheme="minorHAnsi" w:cstheme="minorHAnsi"/>
          <w:sz w:val="22"/>
          <w:szCs w:val="22"/>
        </w:rPr>
      </w:pPr>
      <w:r>
        <w:rPr>
          <w:rFonts w:asciiTheme="minorHAnsi" w:hAnsiTheme="minorHAnsi" w:cstheme="minorHAnsi"/>
          <w:sz w:val="22"/>
          <w:szCs w:val="22"/>
        </w:rPr>
        <w:t>Selon Agrica 2021, l</w:t>
      </w:r>
      <w:r w:rsidRPr="00024F25">
        <w:rPr>
          <w:rFonts w:asciiTheme="minorHAnsi" w:hAnsiTheme="minorHAnsi" w:cstheme="minorHAnsi"/>
          <w:sz w:val="22"/>
          <w:szCs w:val="22"/>
        </w:rPr>
        <w:t>a Mauritanie peut être divisée en trois gran</w:t>
      </w:r>
      <w:r>
        <w:rPr>
          <w:rFonts w:asciiTheme="minorHAnsi" w:hAnsiTheme="minorHAnsi" w:cstheme="minorHAnsi"/>
          <w:sz w:val="22"/>
          <w:szCs w:val="22"/>
        </w:rPr>
        <w:t>des zones agroécologiques (ZAE</w:t>
      </w:r>
      <w:r w:rsidRPr="00024F25">
        <w:rPr>
          <w:rFonts w:asciiTheme="minorHAnsi" w:hAnsiTheme="minorHAnsi" w:cstheme="minorHAnsi"/>
          <w:sz w:val="22"/>
          <w:szCs w:val="22"/>
        </w:rPr>
        <w:t>) : désertique, aride</w:t>
      </w:r>
      <w:r>
        <w:rPr>
          <w:rFonts w:asciiTheme="minorHAnsi" w:hAnsiTheme="minorHAnsi" w:cstheme="minorHAnsi"/>
          <w:sz w:val="22"/>
          <w:szCs w:val="22"/>
        </w:rPr>
        <w:t xml:space="preserve"> (voir flèche la plus nordique)</w:t>
      </w:r>
      <w:r w:rsidRPr="00024F25">
        <w:rPr>
          <w:rFonts w:asciiTheme="minorHAnsi" w:hAnsiTheme="minorHAnsi" w:cstheme="minorHAnsi"/>
          <w:sz w:val="22"/>
          <w:szCs w:val="22"/>
        </w:rPr>
        <w:t xml:space="preserve"> / sahélienne et semi-aride</w:t>
      </w:r>
      <w:r>
        <w:rPr>
          <w:rFonts w:asciiTheme="minorHAnsi" w:hAnsiTheme="minorHAnsi" w:cstheme="minorHAnsi"/>
          <w:sz w:val="22"/>
          <w:szCs w:val="22"/>
        </w:rPr>
        <w:t xml:space="preserve"> (deuxième flèche vers le sud)</w:t>
      </w:r>
      <w:r w:rsidRPr="00024F25">
        <w:rPr>
          <w:rFonts w:asciiTheme="minorHAnsi" w:hAnsiTheme="minorHAnsi" w:cstheme="minorHAnsi"/>
          <w:sz w:val="22"/>
          <w:szCs w:val="22"/>
        </w:rPr>
        <w:t xml:space="preserve"> / savane soudanienne</w:t>
      </w:r>
      <w:r>
        <w:rPr>
          <w:rFonts w:asciiTheme="minorHAnsi" w:hAnsiTheme="minorHAnsi" w:cstheme="minorHAnsi"/>
          <w:sz w:val="22"/>
          <w:szCs w:val="22"/>
        </w:rPr>
        <w:t xml:space="preserve"> (flèche indiquant la zone restreinte au sud du pays)</w:t>
      </w:r>
      <w:r w:rsidRPr="00024F25">
        <w:rPr>
          <w:rFonts w:asciiTheme="minorHAnsi" w:hAnsiTheme="minorHAnsi" w:cstheme="minorHAnsi"/>
          <w:sz w:val="22"/>
          <w:szCs w:val="22"/>
        </w:rPr>
        <w:t>. Dans son ensemble, la Mauritanie a des ressources en eau douce très limitées, à l’exception du fleuve Sénégal, qui coule le long de la</w:t>
      </w:r>
      <w:r>
        <w:rPr>
          <w:rFonts w:asciiTheme="minorHAnsi" w:hAnsiTheme="minorHAnsi" w:cstheme="minorHAnsi"/>
          <w:sz w:val="22"/>
          <w:szCs w:val="22"/>
        </w:rPr>
        <w:t xml:space="preserve"> </w:t>
      </w:r>
      <w:r w:rsidRPr="00024F25">
        <w:rPr>
          <w:rFonts w:asciiTheme="minorHAnsi" w:hAnsiTheme="minorHAnsi" w:cstheme="minorHAnsi"/>
          <w:sz w:val="22"/>
          <w:szCs w:val="22"/>
        </w:rPr>
        <w:t>frontière avec le Sénégal. Son flux pérenne assure à des millions de personnes de l’eau douce, des terres cultivables, des pâturages et du poisson en Mauritanie, au Sénégal et au Mali. Des événements climatiques extrêmes comme les fortes précipitations et les sécheresses graves devraient s’intensifier dans le contexte du changement climatique, ce qui souligne la nécessité pour le pays de se doter de stratégies d’adaptation afin de protéger la biodiversité et de préserver les écosystèmes fragiles et leurs services.</w:t>
      </w:r>
    </w:p>
    <w:p w14:paraId="354A60C1" w14:textId="77777777" w:rsidR="008F2269" w:rsidRDefault="008F2269" w:rsidP="008F2269">
      <w:pPr>
        <w:rPr>
          <w:rFonts w:cstheme="minorHAnsi"/>
        </w:rPr>
      </w:pPr>
    </w:p>
    <w:p w14:paraId="016E8A28" w14:textId="77777777" w:rsidR="008F2269" w:rsidRDefault="008F2269" w:rsidP="008F2269">
      <w:pPr>
        <w:ind w:left="993"/>
        <w:rPr>
          <w:rFonts w:cstheme="minorHAnsi"/>
        </w:rPr>
      </w:pPr>
      <w:r>
        <w:rPr>
          <w:noProof/>
          <w:lang w:eastAsia="fr-FR"/>
        </w:rPr>
        <w:drawing>
          <wp:inline distT="0" distB="0" distL="0" distR="0" wp14:anchorId="6A2163C5" wp14:editId="1DFD62B2">
            <wp:extent cx="4006850" cy="3397348"/>
            <wp:effectExtent l="0" t="0" r="0" b="0"/>
            <wp:docPr id="1480424006" name="Image 1480424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1"/>
                    <a:srcRect l="54433" t="36043" r="19794" b="21497"/>
                    <a:stretch/>
                  </pic:blipFill>
                  <pic:spPr bwMode="auto">
                    <a:xfrm>
                      <a:off x="0" y="0"/>
                      <a:ext cx="4038124" cy="3423865"/>
                    </a:xfrm>
                    <a:prstGeom prst="rect">
                      <a:avLst/>
                    </a:prstGeom>
                    <a:ln>
                      <a:noFill/>
                    </a:ln>
                    <a:extLst>
                      <a:ext uri="{53640926-AAD7-44D8-BBD7-CCE9431645EC}">
                        <a14:shadowObscured xmlns:a14="http://schemas.microsoft.com/office/drawing/2010/main"/>
                      </a:ext>
                    </a:extLst>
                  </pic:spPr>
                </pic:pic>
              </a:graphicData>
            </a:graphic>
          </wp:inline>
        </w:drawing>
      </w:r>
    </w:p>
    <w:p w14:paraId="08B6E34C" w14:textId="77777777" w:rsidR="008F2269" w:rsidRDefault="008F2269" w:rsidP="008F2269">
      <w:pPr>
        <w:rPr>
          <w:rFonts w:cstheme="minorHAnsi"/>
        </w:rPr>
      </w:pPr>
      <w:r w:rsidRPr="00CB4DFF">
        <w:rPr>
          <w:rFonts w:cstheme="minorHAnsi"/>
        </w:rPr>
        <w:t>Figure 1</w:t>
      </w:r>
      <w:r>
        <w:rPr>
          <w:rFonts w:cstheme="minorHAnsi"/>
        </w:rPr>
        <w:t> : Agrica 2021</w:t>
      </w:r>
      <w:r w:rsidRPr="00CB4DFF">
        <w:rPr>
          <w:rFonts w:cstheme="minorHAnsi"/>
        </w:rPr>
        <w:t xml:space="preserve"> : Carte topographique de la Mauritanie avec zones agroécologiques</w:t>
      </w:r>
    </w:p>
    <w:bookmarkEnd w:id="66"/>
    <w:bookmarkEnd w:id="67"/>
    <w:p w14:paraId="6B3A8804" w14:textId="77777777" w:rsidR="008F2269" w:rsidRPr="008F077C" w:rsidRDefault="008F2269" w:rsidP="008F2269">
      <w:pPr>
        <w:pStyle w:val="Default"/>
        <w:spacing w:before="240"/>
        <w:jc w:val="both"/>
        <w:rPr>
          <w:rFonts w:asciiTheme="minorHAnsi" w:hAnsiTheme="minorHAnsi" w:cstheme="minorHAnsi"/>
          <w:bCs/>
          <w:color w:val="auto"/>
          <w:sz w:val="22"/>
          <w:szCs w:val="22"/>
        </w:rPr>
      </w:pPr>
      <w:r w:rsidRPr="008F077C">
        <w:rPr>
          <w:rFonts w:asciiTheme="minorHAnsi" w:hAnsiTheme="minorHAnsi" w:cstheme="minorHAnsi"/>
          <w:bCs/>
          <w:color w:val="auto"/>
          <w:sz w:val="22"/>
          <w:szCs w:val="22"/>
        </w:rPr>
        <w:t>D’après le dernier rapport du Groupe International Experts Changements</w:t>
      </w:r>
      <w:r>
        <w:rPr>
          <w:rFonts w:asciiTheme="minorHAnsi" w:hAnsiTheme="minorHAnsi" w:cstheme="minorHAnsi"/>
          <w:bCs/>
          <w:color w:val="auto"/>
          <w:sz w:val="22"/>
          <w:szCs w:val="22"/>
        </w:rPr>
        <w:t xml:space="preserve"> </w:t>
      </w:r>
      <w:r w:rsidRPr="008F077C">
        <w:rPr>
          <w:rFonts w:asciiTheme="minorHAnsi" w:hAnsiTheme="minorHAnsi" w:cstheme="minorHAnsi"/>
          <w:bCs/>
          <w:color w:val="auto"/>
          <w:sz w:val="22"/>
          <w:szCs w:val="22"/>
        </w:rPr>
        <w:t>Climatiques (GIEC), la Mauritanie est située dans une des six régions du monde</w:t>
      </w:r>
      <w:r>
        <w:rPr>
          <w:rFonts w:asciiTheme="minorHAnsi" w:hAnsiTheme="minorHAnsi" w:cstheme="minorHAnsi"/>
          <w:bCs/>
          <w:color w:val="auto"/>
          <w:sz w:val="22"/>
          <w:szCs w:val="22"/>
        </w:rPr>
        <w:t xml:space="preserve"> </w:t>
      </w:r>
      <w:r w:rsidRPr="008F077C">
        <w:rPr>
          <w:rFonts w:asciiTheme="minorHAnsi" w:hAnsiTheme="minorHAnsi" w:cstheme="minorHAnsi"/>
          <w:bCs/>
          <w:color w:val="auto"/>
          <w:sz w:val="22"/>
          <w:szCs w:val="22"/>
        </w:rPr>
        <w:t>qui seront les plus affectées par les impacts du réchauffement climatique.</w:t>
      </w:r>
    </w:p>
    <w:p w14:paraId="3F80E9A4" w14:textId="77777777" w:rsidR="008F2269" w:rsidRDefault="008F2269" w:rsidP="008F2269">
      <w:pPr>
        <w:pStyle w:val="Default"/>
        <w:spacing w:before="240"/>
        <w:jc w:val="both"/>
        <w:rPr>
          <w:rFonts w:asciiTheme="minorHAnsi" w:hAnsiTheme="minorHAnsi" w:cstheme="minorHAnsi"/>
          <w:bCs/>
          <w:color w:val="auto"/>
          <w:sz w:val="22"/>
          <w:szCs w:val="22"/>
        </w:rPr>
      </w:pPr>
      <w:r w:rsidRPr="008F077C">
        <w:rPr>
          <w:rFonts w:asciiTheme="minorHAnsi" w:hAnsiTheme="minorHAnsi" w:cstheme="minorHAnsi"/>
          <w:bCs/>
          <w:color w:val="auto"/>
          <w:sz w:val="22"/>
          <w:szCs w:val="22"/>
        </w:rPr>
        <w:t>L’anticipation de l’évolution du climat sur la base des scénarios du GIEC adaptés à</w:t>
      </w:r>
      <w:r>
        <w:rPr>
          <w:rFonts w:asciiTheme="minorHAnsi" w:hAnsiTheme="minorHAnsi" w:cstheme="minorHAnsi"/>
          <w:bCs/>
          <w:color w:val="auto"/>
          <w:sz w:val="22"/>
          <w:szCs w:val="22"/>
        </w:rPr>
        <w:t xml:space="preserve"> </w:t>
      </w:r>
      <w:r w:rsidRPr="008F077C">
        <w:rPr>
          <w:rFonts w:asciiTheme="minorHAnsi" w:hAnsiTheme="minorHAnsi" w:cstheme="minorHAnsi"/>
          <w:bCs/>
          <w:color w:val="auto"/>
          <w:sz w:val="22"/>
          <w:szCs w:val="22"/>
        </w:rPr>
        <w:t>la Mauritanie montrent pour 2050, une augmentation des températures moyennes</w:t>
      </w:r>
      <w:r>
        <w:rPr>
          <w:rFonts w:asciiTheme="minorHAnsi" w:hAnsiTheme="minorHAnsi" w:cstheme="minorHAnsi"/>
          <w:bCs/>
          <w:color w:val="auto"/>
          <w:sz w:val="22"/>
          <w:szCs w:val="22"/>
        </w:rPr>
        <w:t xml:space="preserve"> </w:t>
      </w:r>
      <w:r w:rsidRPr="008F077C">
        <w:rPr>
          <w:rFonts w:asciiTheme="minorHAnsi" w:hAnsiTheme="minorHAnsi" w:cstheme="minorHAnsi"/>
          <w:bCs/>
          <w:color w:val="auto"/>
          <w:sz w:val="22"/>
          <w:szCs w:val="22"/>
        </w:rPr>
        <w:t>de l’ordre de 1,5 à 2°C inégalement répartie dans le pays et pour l’horizon 2100,</w:t>
      </w:r>
      <w:r>
        <w:rPr>
          <w:rFonts w:asciiTheme="minorHAnsi" w:hAnsiTheme="minorHAnsi" w:cstheme="minorHAnsi"/>
          <w:bCs/>
          <w:color w:val="auto"/>
          <w:sz w:val="22"/>
          <w:szCs w:val="22"/>
        </w:rPr>
        <w:t xml:space="preserve"> </w:t>
      </w:r>
      <w:r w:rsidRPr="008F077C">
        <w:rPr>
          <w:rFonts w:asciiTheme="minorHAnsi" w:hAnsiTheme="minorHAnsi" w:cstheme="minorHAnsi"/>
          <w:bCs/>
          <w:color w:val="auto"/>
          <w:sz w:val="22"/>
          <w:szCs w:val="22"/>
        </w:rPr>
        <w:t>une élévation des températures moyennes allant d’environ 2°C à Nouadhibou à</w:t>
      </w:r>
      <w:r>
        <w:rPr>
          <w:rFonts w:asciiTheme="minorHAnsi" w:hAnsiTheme="minorHAnsi" w:cstheme="minorHAnsi"/>
          <w:bCs/>
          <w:color w:val="auto"/>
          <w:sz w:val="22"/>
          <w:szCs w:val="22"/>
        </w:rPr>
        <w:t xml:space="preserve"> </w:t>
      </w:r>
      <w:r w:rsidRPr="008F077C">
        <w:rPr>
          <w:rFonts w:asciiTheme="minorHAnsi" w:hAnsiTheme="minorHAnsi" w:cstheme="minorHAnsi"/>
          <w:bCs/>
          <w:color w:val="auto"/>
          <w:sz w:val="22"/>
          <w:szCs w:val="22"/>
        </w:rPr>
        <w:t>plus de 3,5°C dans l’est du pays, et jusqu’à 4,5 °C dans le sud des wilayas de</w:t>
      </w:r>
      <w:r>
        <w:rPr>
          <w:rFonts w:asciiTheme="minorHAnsi" w:hAnsiTheme="minorHAnsi" w:cstheme="minorHAnsi"/>
          <w:bCs/>
          <w:color w:val="auto"/>
          <w:sz w:val="22"/>
          <w:szCs w:val="22"/>
        </w:rPr>
        <w:t xml:space="preserve"> </w:t>
      </w:r>
      <w:r w:rsidRPr="008F077C">
        <w:rPr>
          <w:rFonts w:asciiTheme="minorHAnsi" w:hAnsiTheme="minorHAnsi" w:cstheme="minorHAnsi"/>
          <w:bCs/>
          <w:color w:val="auto"/>
          <w:sz w:val="22"/>
          <w:szCs w:val="22"/>
        </w:rPr>
        <w:t>l’Assaba et de Guidimakha.</w:t>
      </w:r>
    </w:p>
    <w:p w14:paraId="4F901544" w14:textId="77777777" w:rsidR="008F2269" w:rsidRPr="00BE7A39" w:rsidRDefault="008F2269" w:rsidP="008F2269">
      <w:pPr>
        <w:pStyle w:val="Default"/>
        <w:spacing w:before="240" w:after="160" w:line="259" w:lineRule="auto"/>
        <w:jc w:val="both"/>
        <w:rPr>
          <w:rFonts w:asciiTheme="minorHAnsi" w:hAnsiTheme="minorHAnsi" w:cstheme="minorHAnsi"/>
          <w:bCs/>
          <w:color w:val="auto"/>
          <w:sz w:val="22"/>
          <w:szCs w:val="22"/>
        </w:rPr>
      </w:pPr>
      <w:r w:rsidRPr="00BE7A39">
        <w:rPr>
          <w:rFonts w:asciiTheme="minorHAnsi" w:hAnsiTheme="minorHAnsi" w:cstheme="minorHAnsi"/>
          <w:bCs/>
          <w:color w:val="auto"/>
          <w:sz w:val="22"/>
          <w:szCs w:val="22"/>
        </w:rPr>
        <w:t>A l’instar des pays du Sahel, la Mauritanie est confrontée depuis les années 1970 à une péjoration climatique sans précédent. Ce</w:t>
      </w:r>
      <w:r>
        <w:rPr>
          <w:rFonts w:asciiTheme="minorHAnsi" w:hAnsiTheme="minorHAnsi" w:cstheme="minorHAnsi"/>
          <w:bCs/>
          <w:color w:val="auto"/>
          <w:sz w:val="22"/>
          <w:szCs w:val="22"/>
        </w:rPr>
        <w:t xml:space="preserve">lle-ci, </w:t>
      </w:r>
      <w:r w:rsidRPr="00BE7A39">
        <w:rPr>
          <w:rFonts w:asciiTheme="minorHAnsi" w:hAnsiTheme="minorHAnsi" w:cstheme="minorHAnsi"/>
          <w:bCs/>
          <w:color w:val="auto"/>
          <w:sz w:val="22"/>
          <w:szCs w:val="22"/>
        </w:rPr>
        <w:t>se manifeste par de graves sécheresses, une augmentation des températures, des baisses des volumes d’eau annuels dans les bassins versants, de fortes pressions sur les ressources naturelles aggravant la dégradation généralisée de tous les écosystèmes.</w:t>
      </w:r>
    </w:p>
    <w:p w14:paraId="658C9FA0" w14:textId="77777777" w:rsidR="008F2269" w:rsidRPr="00BE7A39" w:rsidRDefault="008F2269" w:rsidP="008F2269">
      <w:pPr>
        <w:jc w:val="lowKashida"/>
        <w:rPr>
          <w:rFonts w:eastAsia="Calibri" w:cstheme="minorHAnsi"/>
          <w:noProof/>
          <w:color w:val="000000"/>
        </w:rPr>
      </w:pPr>
      <w:r>
        <w:rPr>
          <w:rFonts w:eastAsia="Calibri" w:cstheme="minorHAnsi"/>
          <w:noProof/>
          <w:color w:val="000000"/>
        </w:rPr>
        <w:t>Ainsi, l</w:t>
      </w:r>
      <w:r w:rsidRPr="00BE7A39">
        <w:rPr>
          <w:rFonts w:eastAsia="Calibri" w:cstheme="minorHAnsi"/>
          <w:noProof/>
          <w:color w:val="000000"/>
        </w:rPr>
        <w:t>es change</w:t>
      </w:r>
      <w:r>
        <w:rPr>
          <w:rFonts w:eastAsia="Calibri" w:cstheme="minorHAnsi"/>
          <w:noProof/>
          <w:color w:val="000000"/>
        </w:rPr>
        <w:t xml:space="preserve">ments climatiques dans le pays </w:t>
      </w:r>
      <w:r w:rsidRPr="00BE7A39">
        <w:rPr>
          <w:rFonts w:eastAsia="Calibri" w:cstheme="minorHAnsi"/>
          <w:noProof/>
          <w:color w:val="000000"/>
        </w:rPr>
        <w:t>se manifestent à travers : (i) une désertification accrue, (</w:t>
      </w:r>
      <w:r>
        <w:rPr>
          <w:rFonts w:eastAsia="Calibri" w:cstheme="minorHAnsi"/>
          <w:noProof/>
          <w:color w:val="000000"/>
        </w:rPr>
        <w:t>i</w:t>
      </w:r>
      <w:r w:rsidRPr="00BE7A39">
        <w:rPr>
          <w:rFonts w:eastAsia="Calibri" w:cstheme="minorHAnsi"/>
          <w:noProof/>
          <w:color w:val="000000"/>
        </w:rPr>
        <w:t>i) une baisse de la productivité des cultures , (ii</w:t>
      </w:r>
      <w:r>
        <w:rPr>
          <w:rFonts w:eastAsia="Calibri" w:cstheme="minorHAnsi"/>
          <w:noProof/>
          <w:color w:val="000000"/>
        </w:rPr>
        <w:t>i</w:t>
      </w:r>
      <w:r w:rsidRPr="00BE7A39">
        <w:rPr>
          <w:rFonts w:eastAsia="Calibri" w:cstheme="minorHAnsi"/>
          <w:noProof/>
          <w:color w:val="000000"/>
        </w:rPr>
        <w:t>) une détérioratio</w:t>
      </w:r>
      <w:r>
        <w:rPr>
          <w:rFonts w:eastAsia="Calibri" w:cstheme="minorHAnsi"/>
          <w:noProof/>
          <w:color w:val="000000"/>
        </w:rPr>
        <w:t>n du secteur de l’élevage , (iv</w:t>
      </w:r>
      <w:r w:rsidRPr="00BE7A39">
        <w:rPr>
          <w:rFonts w:eastAsia="Calibri" w:cstheme="minorHAnsi"/>
          <w:noProof/>
          <w:color w:val="000000"/>
        </w:rPr>
        <w:t>) une dégra</w:t>
      </w:r>
      <w:r>
        <w:rPr>
          <w:rFonts w:eastAsia="Calibri" w:cstheme="minorHAnsi"/>
          <w:noProof/>
          <w:color w:val="000000"/>
        </w:rPr>
        <w:t>dation des ressources en eau, (</w:t>
      </w:r>
      <w:r w:rsidRPr="00BE7A39">
        <w:rPr>
          <w:rFonts w:eastAsia="Calibri" w:cstheme="minorHAnsi"/>
          <w:noProof/>
          <w:color w:val="000000"/>
        </w:rPr>
        <w:t xml:space="preserve">v) une augmentation de l’incidence de la pauvreté, surtout dans le milieu rural </w:t>
      </w:r>
      <w:r>
        <w:rPr>
          <w:rFonts w:eastAsia="Calibri" w:cstheme="minorHAnsi"/>
          <w:noProof/>
          <w:color w:val="000000"/>
        </w:rPr>
        <w:t>qu</w:t>
      </w:r>
      <w:r w:rsidRPr="00DE37CE">
        <w:rPr>
          <w:rFonts w:eastAsia="Calibri" w:cstheme="minorHAnsi"/>
          <w:noProof/>
          <w:color w:val="000000" w:themeColor="text1"/>
        </w:rPr>
        <w:t>i</w:t>
      </w:r>
      <w:r>
        <w:rPr>
          <w:rFonts w:eastAsia="Calibri" w:cstheme="minorHAnsi"/>
          <w:noProof/>
          <w:color w:val="000000"/>
        </w:rPr>
        <w:t xml:space="preserve"> </w:t>
      </w:r>
      <w:r w:rsidRPr="00BE7A39">
        <w:rPr>
          <w:rFonts w:eastAsia="Calibri" w:cstheme="minorHAnsi"/>
          <w:noProof/>
          <w:color w:val="000000"/>
        </w:rPr>
        <w:t>représente plus de 60% de la population totale, (v</w:t>
      </w:r>
      <w:r>
        <w:rPr>
          <w:rFonts w:eastAsia="Calibri" w:cstheme="minorHAnsi"/>
          <w:noProof/>
          <w:color w:val="000000"/>
        </w:rPr>
        <w:t>i</w:t>
      </w:r>
      <w:r w:rsidRPr="00BE7A39">
        <w:rPr>
          <w:rFonts w:eastAsia="Calibri" w:cstheme="minorHAnsi"/>
          <w:noProof/>
          <w:color w:val="000000"/>
        </w:rPr>
        <w:t>) une  réduction du volume des eaux de surface et la baisse du niveau piézométrique des eaux souterraines, (vi</w:t>
      </w:r>
      <w:r>
        <w:rPr>
          <w:rFonts w:eastAsia="Calibri" w:cstheme="minorHAnsi"/>
          <w:noProof/>
          <w:color w:val="000000"/>
        </w:rPr>
        <w:t>i</w:t>
      </w:r>
      <w:r w:rsidRPr="00BE7A39">
        <w:rPr>
          <w:rFonts w:eastAsia="Calibri" w:cstheme="minorHAnsi"/>
          <w:noProof/>
          <w:color w:val="000000"/>
        </w:rPr>
        <w:t>) un raccourcissement de la durée moyenne des périodes de croissance végétative et l’exposition accrue des plantes au stress hydrique, (vii</w:t>
      </w:r>
      <w:r>
        <w:rPr>
          <w:rFonts w:eastAsia="Calibri" w:cstheme="minorHAnsi"/>
          <w:noProof/>
          <w:color w:val="000000"/>
        </w:rPr>
        <w:t>i</w:t>
      </w:r>
      <w:r w:rsidRPr="00BE7A39">
        <w:rPr>
          <w:rFonts w:eastAsia="Calibri" w:cstheme="minorHAnsi"/>
          <w:noProof/>
          <w:color w:val="000000"/>
        </w:rPr>
        <w:t>) une  faible croissanc</w:t>
      </w:r>
      <w:r>
        <w:rPr>
          <w:rFonts w:eastAsia="Calibri" w:cstheme="minorHAnsi"/>
          <w:noProof/>
          <w:color w:val="000000"/>
        </w:rPr>
        <w:t>e de la biomasse végétale, (ix</w:t>
      </w:r>
      <w:r w:rsidRPr="00BE7A39">
        <w:rPr>
          <w:rFonts w:eastAsia="Calibri" w:cstheme="minorHAnsi"/>
          <w:noProof/>
          <w:color w:val="000000"/>
        </w:rPr>
        <w:t>) une  réduction des potentialités p</w:t>
      </w:r>
      <w:r>
        <w:rPr>
          <w:rFonts w:eastAsia="Calibri" w:cstheme="minorHAnsi"/>
          <w:noProof/>
          <w:color w:val="000000"/>
        </w:rPr>
        <w:t>roductives des écosystèmes et (</w:t>
      </w:r>
      <w:r w:rsidRPr="00BE7A39">
        <w:rPr>
          <w:rFonts w:eastAsia="Calibri" w:cstheme="minorHAnsi"/>
          <w:noProof/>
          <w:color w:val="000000"/>
        </w:rPr>
        <w:t>x) une diminution des terres arables due à leur dégradation.</w:t>
      </w:r>
    </w:p>
    <w:p w14:paraId="5ED4B9BB" w14:textId="77777777" w:rsidR="008F2269" w:rsidRPr="00BE7A39" w:rsidRDefault="008F2269" w:rsidP="008F2269">
      <w:pPr>
        <w:pStyle w:val="Default"/>
        <w:spacing w:after="160" w:line="259" w:lineRule="auto"/>
        <w:jc w:val="both"/>
        <w:rPr>
          <w:rFonts w:asciiTheme="minorHAnsi" w:eastAsia="Calibri" w:hAnsiTheme="minorHAnsi" w:cstheme="minorHAnsi"/>
          <w:noProof/>
          <w:color w:val="auto"/>
          <w:sz w:val="22"/>
          <w:szCs w:val="22"/>
        </w:rPr>
      </w:pPr>
      <w:r w:rsidRPr="00BE7A39">
        <w:rPr>
          <w:rFonts w:asciiTheme="minorHAnsi" w:eastAsia="Calibri" w:hAnsiTheme="minorHAnsi" w:cstheme="minorHAnsi"/>
          <w:noProof/>
          <w:color w:val="auto"/>
          <w:sz w:val="22"/>
          <w:szCs w:val="22"/>
        </w:rPr>
        <w:t>Selon le rapport de la Contribution</w:t>
      </w:r>
      <w:r>
        <w:rPr>
          <w:rFonts w:asciiTheme="minorHAnsi" w:eastAsia="Calibri" w:hAnsiTheme="minorHAnsi" w:cstheme="minorHAnsi"/>
          <w:noProof/>
          <w:color w:val="auto"/>
          <w:sz w:val="22"/>
          <w:szCs w:val="22"/>
        </w:rPr>
        <w:t xml:space="preserve"> Déterminée Nationale 2015 (CDN, </w:t>
      </w:r>
      <w:r w:rsidRPr="00BE7A39">
        <w:rPr>
          <w:rFonts w:asciiTheme="minorHAnsi" w:eastAsia="Calibri" w:hAnsiTheme="minorHAnsi" w:cstheme="minorHAnsi"/>
          <w:noProof/>
          <w:color w:val="auto"/>
          <w:sz w:val="22"/>
          <w:szCs w:val="22"/>
        </w:rPr>
        <w:t xml:space="preserve">2015) qui renferme les engagements du pays, les secteurs les plus vulnérables </w:t>
      </w:r>
      <w:r>
        <w:rPr>
          <w:rFonts w:asciiTheme="minorHAnsi" w:eastAsia="Calibri" w:hAnsiTheme="minorHAnsi" w:cstheme="minorHAnsi"/>
          <w:noProof/>
          <w:color w:val="auto"/>
          <w:sz w:val="22"/>
          <w:szCs w:val="22"/>
        </w:rPr>
        <w:t xml:space="preserve">sont </w:t>
      </w:r>
      <w:r w:rsidRPr="00BE7A39">
        <w:rPr>
          <w:rFonts w:asciiTheme="minorHAnsi" w:eastAsia="Calibri" w:hAnsiTheme="minorHAnsi" w:cstheme="minorHAnsi"/>
          <w:noProof/>
          <w:color w:val="auto"/>
          <w:sz w:val="22"/>
          <w:szCs w:val="22"/>
        </w:rPr>
        <w:t xml:space="preserve">(i) l’Agriculture, (ii) l’Elevage, (iii) les ressources naturelles (flore et faune), (iv) les Ressources en eau, (v) Pêches, (vi) l’Habitat, l’Urbanisme </w:t>
      </w:r>
      <w:r>
        <w:rPr>
          <w:rFonts w:asciiTheme="minorHAnsi" w:eastAsia="Calibri" w:hAnsiTheme="minorHAnsi" w:cstheme="minorHAnsi"/>
          <w:noProof/>
          <w:color w:val="auto"/>
          <w:sz w:val="22"/>
          <w:szCs w:val="22"/>
        </w:rPr>
        <w:t xml:space="preserve">et l’Aménagement du Territoire et </w:t>
      </w:r>
      <w:r w:rsidRPr="00BE7A39">
        <w:rPr>
          <w:rFonts w:asciiTheme="minorHAnsi" w:eastAsia="Calibri" w:hAnsiTheme="minorHAnsi" w:cstheme="minorHAnsi"/>
          <w:noProof/>
          <w:color w:val="auto"/>
          <w:sz w:val="22"/>
          <w:szCs w:val="22"/>
        </w:rPr>
        <w:t>(vii) la Santé.</w:t>
      </w:r>
    </w:p>
    <w:p w14:paraId="21E61766" w14:textId="77777777" w:rsidR="008F2269" w:rsidRPr="00BE7A39" w:rsidRDefault="008F2269" w:rsidP="008F2269">
      <w:pPr>
        <w:pStyle w:val="Default"/>
        <w:spacing w:after="160" w:line="259" w:lineRule="auto"/>
        <w:jc w:val="both"/>
        <w:rPr>
          <w:rFonts w:asciiTheme="minorHAnsi" w:hAnsiTheme="minorHAnsi" w:cstheme="minorHAnsi"/>
          <w:bCs/>
          <w:color w:val="auto"/>
          <w:sz w:val="22"/>
          <w:szCs w:val="22"/>
        </w:rPr>
      </w:pPr>
      <w:r w:rsidRPr="00BE7A39">
        <w:rPr>
          <w:rFonts w:asciiTheme="minorHAnsi" w:hAnsiTheme="minorHAnsi" w:cstheme="minorHAnsi"/>
          <w:bCs/>
          <w:color w:val="auto"/>
          <w:sz w:val="22"/>
          <w:szCs w:val="22"/>
        </w:rPr>
        <w:t xml:space="preserve">En réponse à </w:t>
      </w:r>
      <w:r>
        <w:rPr>
          <w:rFonts w:asciiTheme="minorHAnsi" w:hAnsiTheme="minorHAnsi" w:cstheme="minorHAnsi"/>
          <w:bCs/>
          <w:color w:val="auto"/>
          <w:sz w:val="22"/>
          <w:szCs w:val="22"/>
        </w:rPr>
        <w:t xml:space="preserve">cette situation, </w:t>
      </w:r>
      <w:r w:rsidRPr="00BE7A39">
        <w:rPr>
          <w:rFonts w:asciiTheme="minorHAnsi" w:hAnsiTheme="minorHAnsi" w:cstheme="minorHAnsi"/>
          <w:bCs/>
          <w:color w:val="auto"/>
          <w:sz w:val="22"/>
          <w:szCs w:val="22"/>
        </w:rPr>
        <w:t xml:space="preserve">la Mauritanie a mis en œuvre plusieurs politiques, </w:t>
      </w:r>
      <w:r>
        <w:rPr>
          <w:rFonts w:asciiTheme="minorHAnsi" w:hAnsiTheme="minorHAnsi" w:cstheme="minorHAnsi"/>
          <w:bCs/>
          <w:color w:val="auto"/>
          <w:sz w:val="22"/>
          <w:szCs w:val="22"/>
        </w:rPr>
        <w:t xml:space="preserve">plans, </w:t>
      </w:r>
      <w:r w:rsidRPr="00BE7A39">
        <w:rPr>
          <w:rFonts w:asciiTheme="minorHAnsi" w:hAnsiTheme="minorHAnsi" w:cstheme="minorHAnsi"/>
          <w:bCs/>
          <w:color w:val="auto"/>
          <w:sz w:val="22"/>
          <w:szCs w:val="22"/>
        </w:rPr>
        <w:t>programmes</w:t>
      </w:r>
      <w:r>
        <w:rPr>
          <w:rFonts w:asciiTheme="minorHAnsi" w:hAnsiTheme="minorHAnsi" w:cstheme="minorHAnsi"/>
          <w:bCs/>
          <w:color w:val="auto"/>
          <w:sz w:val="22"/>
          <w:szCs w:val="22"/>
        </w:rPr>
        <w:t xml:space="preserve"> et projets d’adaptation </w:t>
      </w:r>
      <w:r w:rsidRPr="00BE7A39">
        <w:rPr>
          <w:rFonts w:asciiTheme="minorHAnsi" w:hAnsiTheme="minorHAnsi" w:cstheme="minorHAnsi"/>
          <w:bCs/>
          <w:color w:val="auto"/>
          <w:sz w:val="22"/>
          <w:szCs w:val="22"/>
        </w:rPr>
        <w:t xml:space="preserve">pour relever les défis de la pauvreté et de l’avancée de la désertification qui menacent les </w:t>
      </w:r>
      <w:r>
        <w:rPr>
          <w:rFonts w:asciiTheme="minorHAnsi" w:hAnsiTheme="minorHAnsi" w:cstheme="minorHAnsi"/>
          <w:bCs/>
          <w:color w:val="auto"/>
          <w:sz w:val="22"/>
          <w:szCs w:val="22"/>
        </w:rPr>
        <w:t xml:space="preserve">moyens de </w:t>
      </w:r>
      <w:r w:rsidRPr="00BE7A39">
        <w:rPr>
          <w:rFonts w:asciiTheme="minorHAnsi" w:hAnsiTheme="minorHAnsi" w:cstheme="minorHAnsi"/>
          <w:bCs/>
          <w:color w:val="auto"/>
          <w:sz w:val="22"/>
          <w:szCs w:val="22"/>
        </w:rPr>
        <w:t>subsistance de communautés rurales</w:t>
      </w:r>
      <w:r>
        <w:rPr>
          <w:rFonts w:asciiTheme="minorHAnsi" w:hAnsiTheme="minorHAnsi" w:cstheme="minorHAnsi"/>
          <w:bCs/>
          <w:color w:val="auto"/>
          <w:sz w:val="22"/>
          <w:szCs w:val="22"/>
        </w:rPr>
        <w:t xml:space="preserve"> et urbaines</w:t>
      </w:r>
      <w:r w:rsidRPr="00BE7A39">
        <w:rPr>
          <w:rFonts w:asciiTheme="minorHAnsi" w:hAnsiTheme="minorHAnsi" w:cstheme="minorHAnsi"/>
          <w:bCs/>
          <w:color w:val="auto"/>
          <w:sz w:val="22"/>
          <w:szCs w:val="22"/>
        </w:rPr>
        <w:t>.</w:t>
      </w:r>
    </w:p>
    <w:p w14:paraId="131C5D14" w14:textId="77777777" w:rsidR="008F2269" w:rsidRPr="00BE7A39" w:rsidRDefault="008F2269" w:rsidP="008F2269">
      <w:pPr>
        <w:pStyle w:val="Default"/>
        <w:spacing w:after="160" w:line="259" w:lineRule="auto"/>
        <w:jc w:val="both"/>
        <w:rPr>
          <w:rFonts w:asciiTheme="minorHAnsi" w:hAnsiTheme="minorHAnsi" w:cstheme="minorHAnsi"/>
          <w:bCs/>
          <w:color w:val="auto"/>
          <w:sz w:val="22"/>
          <w:szCs w:val="22"/>
        </w:rPr>
      </w:pPr>
      <w:r>
        <w:rPr>
          <w:rFonts w:asciiTheme="minorHAnsi" w:hAnsiTheme="minorHAnsi" w:cstheme="minorHAnsi"/>
          <w:bCs/>
          <w:color w:val="auto"/>
          <w:sz w:val="22"/>
          <w:szCs w:val="22"/>
        </w:rPr>
        <w:t>Dans ce cadre, elle bénéficie actuellement avec l’</w:t>
      </w:r>
      <w:r w:rsidRPr="00BE7A39">
        <w:rPr>
          <w:rFonts w:asciiTheme="minorHAnsi" w:hAnsiTheme="minorHAnsi" w:cstheme="minorHAnsi"/>
          <w:bCs/>
          <w:color w:val="auto"/>
          <w:sz w:val="22"/>
          <w:szCs w:val="22"/>
        </w:rPr>
        <w:t>appui du Programme des Nations Unies pour l’Environnement (ONU environnement</w:t>
      </w:r>
      <w:r>
        <w:rPr>
          <w:rFonts w:asciiTheme="minorHAnsi" w:hAnsiTheme="minorHAnsi" w:cstheme="minorHAnsi"/>
          <w:bCs/>
          <w:color w:val="auto"/>
          <w:sz w:val="22"/>
          <w:szCs w:val="22"/>
        </w:rPr>
        <w:t>)</w:t>
      </w:r>
      <w:r w:rsidRPr="00BE7A39">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 xml:space="preserve">d’un financement du Fonds vert Climat pour </w:t>
      </w:r>
      <w:r w:rsidRPr="00BE7A39">
        <w:rPr>
          <w:rFonts w:asciiTheme="minorHAnsi" w:hAnsiTheme="minorHAnsi" w:cstheme="minorHAnsi"/>
          <w:bCs/>
          <w:color w:val="auto"/>
          <w:sz w:val="22"/>
          <w:szCs w:val="22"/>
        </w:rPr>
        <w:t xml:space="preserve">la </w:t>
      </w:r>
      <w:r>
        <w:rPr>
          <w:rFonts w:asciiTheme="minorHAnsi" w:hAnsiTheme="minorHAnsi" w:cstheme="minorHAnsi"/>
          <w:bCs/>
          <w:color w:val="auto"/>
          <w:sz w:val="22"/>
          <w:szCs w:val="22"/>
        </w:rPr>
        <w:t xml:space="preserve">formulation de </w:t>
      </w:r>
      <w:r w:rsidRPr="00BE7A39">
        <w:rPr>
          <w:rFonts w:asciiTheme="minorHAnsi" w:hAnsiTheme="minorHAnsi" w:cstheme="minorHAnsi"/>
          <w:bCs/>
          <w:color w:val="auto"/>
          <w:sz w:val="22"/>
          <w:szCs w:val="22"/>
        </w:rPr>
        <w:t xml:space="preserve">stratégies d’adaptation au changement climatique </w:t>
      </w:r>
      <w:r>
        <w:rPr>
          <w:rFonts w:asciiTheme="minorHAnsi" w:hAnsiTheme="minorHAnsi" w:cstheme="minorHAnsi"/>
          <w:bCs/>
          <w:color w:val="auto"/>
          <w:sz w:val="22"/>
          <w:szCs w:val="22"/>
        </w:rPr>
        <w:t>afin d’</w:t>
      </w:r>
      <w:r w:rsidRPr="00BE7A39">
        <w:rPr>
          <w:rFonts w:asciiTheme="minorHAnsi" w:hAnsiTheme="minorHAnsi" w:cstheme="minorHAnsi"/>
          <w:bCs/>
          <w:color w:val="auto"/>
          <w:sz w:val="22"/>
          <w:szCs w:val="22"/>
        </w:rPr>
        <w:t>améliorer la résilience des communautés vulnérables.</w:t>
      </w:r>
      <w:r>
        <w:rPr>
          <w:rFonts w:asciiTheme="minorHAnsi" w:hAnsiTheme="minorHAnsi" w:cstheme="minorHAnsi"/>
          <w:bCs/>
          <w:color w:val="auto"/>
          <w:sz w:val="22"/>
          <w:szCs w:val="22"/>
        </w:rPr>
        <w:t xml:space="preserve">  Plus spécifiquement</w:t>
      </w:r>
      <w:r w:rsidRPr="00DE37CE">
        <w:rPr>
          <w:rFonts w:asciiTheme="minorHAnsi" w:hAnsiTheme="minorHAnsi" w:cstheme="minorHAnsi"/>
          <w:bCs/>
          <w:color w:val="000000" w:themeColor="text1"/>
          <w:sz w:val="22"/>
          <w:szCs w:val="22"/>
        </w:rPr>
        <w:t>,</w:t>
      </w:r>
      <w:r>
        <w:rPr>
          <w:rFonts w:asciiTheme="minorHAnsi" w:hAnsiTheme="minorHAnsi" w:cstheme="minorHAnsi"/>
          <w:bCs/>
          <w:color w:val="auto"/>
          <w:sz w:val="22"/>
          <w:szCs w:val="22"/>
        </w:rPr>
        <w:t xml:space="preserve"> l’objectif dudit appui consiste à formuler le</w:t>
      </w:r>
      <w:r w:rsidRPr="00BE7A39">
        <w:rPr>
          <w:rFonts w:asciiTheme="minorHAnsi" w:hAnsiTheme="minorHAnsi" w:cstheme="minorHAnsi"/>
          <w:bCs/>
          <w:color w:val="auto"/>
          <w:sz w:val="22"/>
          <w:szCs w:val="22"/>
        </w:rPr>
        <w:t xml:space="preserve"> plan national d’adaptation au changement climatique</w:t>
      </w:r>
      <w:r>
        <w:rPr>
          <w:rFonts w:asciiTheme="minorHAnsi" w:hAnsiTheme="minorHAnsi" w:cstheme="minorHAnsi"/>
          <w:bCs/>
          <w:color w:val="auto"/>
          <w:sz w:val="22"/>
          <w:szCs w:val="22"/>
        </w:rPr>
        <w:t xml:space="preserve"> (PNA)</w:t>
      </w:r>
      <w:r w:rsidRPr="00BE7A39">
        <w:rPr>
          <w:rFonts w:asciiTheme="minorHAnsi" w:hAnsiTheme="minorHAnsi" w:cstheme="minorHAnsi"/>
          <w:bCs/>
          <w:color w:val="auto"/>
          <w:sz w:val="22"/>
          <w:szCs w:val="22"/>
        </w:rPr>
        <w:t>.</w:t>
      </w:r>
    </w:p>
    <w:p w14:paraId="422B8482" w14:textId="77777777" w:rsidR="008F2269" w:rsidRDefault="008F2269" w:rsidP="008F2269">
      <w:pPr>
        <w:pStyle w:val="Default"/>
        <w:spacing w:after="160" w:line="259" w:lineRule="auto"/>
        <w:jc w:val="both"/>
        <w:rPr>
          <w:rFonts w:asciiTheme="minorHAnsi" w:hAnsiTheme="minorHAnsi" w:cstheme="minorHAnsi"/>
          <w:bCs/>
          <w:color w:val="auto"/>
          <w:sz w:val="22"/>
          <w:szCs w:val="22"/>
        </w:rPr>
      </w:pPr>
      <w:r w:rsidRPr="008F4C42">
        <w:rPr>
          <w:rFonts w:asciiTheme="minorHAnsi" w:hAnsiTheme="minorHAnsi" w:cstheme="minorHAnsi"/>
          <w:b/>
          <w:color w:val="auto"/>
          <w:sz w:val="22"/>
          <w:szCs w:val="22"/>
        </w:rPr>
        <w:t>Les objectifs spécifiques</w:t>
      </w:r>
      <w:r>
        <w:rPr>
          <w:rFonts w:asciiTheme="minorHAnsi" w:hAnsiTheme="minorHAnsi" w:cstheme="minorHAnsi"/>
          <w:bCs/>
          <w:color w:val="auto"/>
          <w:sz w:val="22"/>
          <w:szCs w:val="22"/>
        </w:rPr>
        <w:t xml:space="preserve">, qui font l’objet de la consultation dans le cadre des politiques d’adaptation au changement climatique couvrent divers livrables ventilés comme suit : </w:t>
      </w:r>
    </w:p>
    <w:p w14:paraId="1A874A91" w14:textId="77777777" w:rsidR="008F2269" w:rsidRPr="00A605AD" w:rsidRDefault="008F2269" w:rsidP="008F2269">
      <w:pPr>
        <w:pStyle w:val="Default"/>
        <w:numPr>
          <w:ilvl w:val="0"/>
          <w:numId w:val="102"/>
        </w:numPr>
        <w:spacing w:after="160" w:line="259" w:lineRule="auto"/>
        <w:jc w:val="both"/>
        <w:rPr>
          <w:rFonts w:asciiTheme="minorHAnsi" w:hAnsiTheme="minorHAnsi" w:cstheme="minorHAnsi"/>
          <w:sz w:val="22"/>
          <w:szCs w:val="22"/>
        </w:rPr>
      </w:pPr>
      <w:r w:rsidRPr="00A605AD">
        <w:rPr>
          <w:rFonts w:asciiTheme="minorHAnsi" w:hAnsiTheme="minorHAnsi" w:cstheme="minorHAnsi"/>
          <w:sz w:val="22"/>
          <w:szCs w:val="22"/>
        </w:rPr>
        <w:t>Evaluer les lacunes et les besoins de toutes les stratégies, politiques, plans, programmes sectoriels</w:t>
      </w:r>
      <w:r>
        <w:rPr>
          <w:rFonts w:asciiTheme="minorHAnsi" w:hAnsiTheme="minorHAnsi" w:cstheme="minorHAnsi"/>
          <w:sz w:val="22"/>
          <w:szCs w:val="22"/>
        </w:rPr>
        <w:t> ;</w:t>
      </w:r>
    </w:p>
    <w:p w14:paraId="53446043" w14:textId="77777777" w:rsidR="008F2269" w:rsidRPr="00A605AD" w:rsidRDefault="008F2269" w:rsidP="008F2269">
      <w:pPr>
        <w:pStyle w:val="Default"/>
        <w:numPr>
          <w:ilvl w:val="0"/>
          <w:numId w:val="103"/>
        </w:numPr>
        <w:spacing w:after="160" w:line="259" w:lineRule="auto"/>
        <w:jc w:val="both"/>
        <w:rPr>
          <w:rFonts w:asciiTheme="minorHAnsi" w:hAnsiTheme="minorHAnsi" w:cstheme="minorHAnsi"/>
          <w:sz w:val="22"/>
          <w:szCs w:val="22"/>
        </w:rPr>
      </w:pPr>
      <w:r w:rsidRPr="00A605AD">
        <w:rPr>
          <w:rFonts w:asciiTheme="minorHAnsi" w:hAnsiTheme="minorHAnsi" w:cstheme="minorHAnsi"/>
          <w:sz w:val="22"/>
          <w:szCs w:val="22"/>
        </w:rPr>
        <w:t xml:space="preserve">Identifier et évaluer les obstacles aux stratégies d’adaptation au changement climatique, aux politiques, aux plans et à la mise en œuvre des projets ; et anticiper les obstacles potentiels au processus du PNA. Élaborer une stratégie visant à remédier aux obstacles identifiés sur la base des enseignements tirés du PANA, de la CDN et d’autres processus sectoriels pertinents liés au changement </w:t>
      </w:r>
      <w:r>
        <w:rPr>
          <w:rFonts w:asciiTheme="minorHAnsi" w:hAnsiTheme="minorHAnsi" w:cstheme="minorHAnsi"/>
          <w:sz w:val="22"/>
          <w:szCs w:val="22"/>
        </w:rPr>
        <w:t>climatique ;</w:t>
      </w:r>
    </w:p>
    <w:p w14:paraId="012DBE0A" w14:textId="77777777" w:rsidR="008F2269" w:rsidRPr="00A605AD" w:rsidRDefault="008F2269" w:rsidP="008F2269">
      <w:pPr>
        <w:pStyle w:val="Default"/>
        <w:numPr>
          <w:ilvl w:val="0"/>
          <w:numId w:val="103"/>
        </w:numPr>
        <w:spacing w:after="160" w:line="259" w:lineRule="auto"/>
        <w:jc w:val="both"/>
        <w:rPr>
          <w:rFonts w:asciiTheme="minorHAnsi" w:hAnsiTheme="minorHAnsi" w:cstheme="minorHAnsi"/>
          <w:sz w:val="22"/>
          <w:szCs w:val="22"/>
        </w:rPr>
      </w:pPr>
      <w:r w:rsidRPr="00A605AD">
        <w:rPr>
          <w:rFonts w:asciiTheme="minorHAnsi" w:hAnsiTheme="minorHAnsi" w:cstheme="minorHAnsi"/>
          <w:sz w:val="22"/>
          <w:szCs w:val="22"/>
        </w:rPr>
        <w:t>Elaborer et mettre en œuvre une stratégie pour l’examen périodique des politiques, stratégies et plans sectoriels et intersectoriels, y compris l’intég</w:t>
      </w:r>
      <w:r>
        <w:rPr>
          <w:rFonts w:asciiTheme="minorHAnsi" w:hAnsiTheme="minorHAnsi" w:cstheme="minorHAnsi"/>
          <w:sz w:val="22"/>
          <w:szCs w:val="22"/>
        </w:rPr>
        <w:t>ration, de manière itérative</w:t>
      </w:r>
      <w:r w:rsidRPr="00A605AD">
        <w:rPr>
          <w:rFonts w:asciiTheme="minorHAnsi" w:hAnsiTheme="minorHAnsi" w:cstheme="minorHAnsi"/>
          <w:sz w:val="22"/>
          <w:szCs w:val="22"/>
        </w:rPr>
        <w:t>: (i) des informations actualisées sur le climat; (ii) les enseignements tirés de l’intégration préalable du changement climatique dans ces stratégies et plans; (iii) les enseignements tirés de la mise en œuvre préalable de ces politiques, stratégies et plans; et (iv) les connaissances générées par les programmes de recherche et d’études à long terme mis en œuvre dans le cadre de la Composante 3.</w:t>
      </w:r>
    </w:p>
    <w:p w14:paraId="52E034FD" w14:textId="77777777" w:rsidR="008F2269" w:rsidRPr="00BE7A39" w:rsidRDefault="008F2269" w:rsidP="008F2269">
      <w:pPr>
        <w:pStyle w:val="Default"/>
        <w:spacing w:after="160" w:line="259" w:lineRule="auto"/>
        <w:jc w:val="both"/>
        <w:rPr>
          <w:rFonts w:asciiTheme="minorHAnsi" w:hAnsiTheme="minorHAnsi" w:cstheme="minorHAnsi"/>
          <w:bCs/>
          <w:color w:val="auto"/>
          <w:sz w:val="22"/>
          <w:szCs w:val="22"/>
        </w:rPr>
      </w:pPr>
      <w:r w:rsidRPr="00BE7A39">
        <w:rPr>
          <w:rFonts w:asciiTheme="minorHAnsi" w:hAnsiTheme="minorHAnsi" w:cstheme="minorHAnsi"/>
          <w:bCs/>
          <w:color w:val="auto"/>
          <w:sz w:val="22"/>
          <w:szCs w:val="22"/>
        </w:rPr>
        <w:t xml:space="preserve">Pour atteindre ces objectifs </w:t>
      </w:r>
      <w:r w:rsidRPr="00471ED6">
        <w:rPr>
          <w:rFonts w:asciiTheme="minorHAnsi" w:hAnsiTheme="minorHAnsi" w:cstheme="minorHAnsi"/>
          <w:bCs/>
          <w:color w:val="auto"/>
          <w:sz w:val="22"/>
          <w:szCs w:val="22"/>
        </w:rPr>
        <w:t>des consultants</w:t>
      </w:r>
      <w:r w:rsidRPr="00CB4DFF">
        <w:rPr>
          <w:rFonts w:asciiTheme="minorHAnsi" w:hAnsiTheme="minorHAnsi" w:cstheme="minorHAnsi"/>
          <w:bCs/>
          <w:color w:val="FF0000"/>
          <w:sz w:val="22"/>
          <w:szCs w:val="22"/>
        </w:rPr>
        <w:t xml:space="preserve"> </w:t>
      </w:r>
      <w:r w:rsidRPr="00BE7A39">
        <w:rPr>
          <w:rFonts w:asciiTheme="minorHAnsi" w:hAnsiTheme="minorHAnsi" w:cstheme="minorHAnsi"/>
          <w:bCs/>
          <w:color w:val="auto"/>
          <w:sz w:val="22"/>
          <w:szCs w:val="22"/>
        </w:rPr>
        <w:t xml:space="preserve">ont été commis dans les domaines (i) des Ressources en eau, (ii) de l’Agriculture, (iii) de l’Elevage, (iv) des Ressources Naturelles (flore et faune), (v) des Pêches, (vi) de l’Urbanisme et de l’Aménagement du Territoire, (vii) de la Santé, </w:t>
      </w:r>
      <w:r>
        <w:rPr>
          <w:rFonts w:asciiTheme="minorHAnsi" w:hAnsiTheme="minorHAnsi" w:cstheme="minorHAnsi"/>
          <w:bCs/>
          <w:color w:val="auto"/>
          <w:sz w:val="22"/>
          <w:szCs w:val="22"/>
        </w:rPr>
        <w:t xml:space="preserve">et </w:t>
      </w:r>
      <w:r w:rsidRPr="00BE7A39">
        <w:rPr>
          <w:rFonts w:asciiTheme="minorHAnsi" w:hAnsiTheme="minorHAnsi" w:cstheme="minorHAnsi"/>
          <w:bCs/>
          <w:color w:val="auto"/>
          <w:sz w:val="22"/>
          <w:szCs w:val="22"/>
        </w:rPr>
        <w:t>(viii) du</w:t>
      </w:r>
      <w:r>
        <w:rPr>
          <w:rFonts w:asciiTheme="minorHAnsi" w:hAnsiTheme="minorHAnsi" w:cstheme="minorHAnsi"/>
          <w:bCs/>
          <w:color w:val="auto"/>
          <w:sz w:val="22"/>
          <w:szCs w:val="22"/>
        </w:rPr>
        <w:t xml:space="preserve"> Genre.</w:t>
      </w:r>
    </w:p>
    <w:p w14:paraId="7E5D9FF4" w14:textId="77777777" w:rsidR="008F2269" w:rsidRPr="00BE7A39" w:rsidRDefault="008F2269" w:rsidP="008F2269">
      <w:pPr>
        <w:pStyle w:val="Default"/>
        <w:spacing w:after="160" w:line="259" w:lineRule="auto"/>
        <w:jc w:val="both"/>
        <w:rPr>
          <w:rFonts w:asciiTheme="minorHAnsi" w:hAnsiTheme="minorHAnsi" w:cstheme="minorHAnsi"/>
          <w:bCs/>
          <w:color w:val="auto"/>
          <w:sz w:val="22"/>
          <w:szCs w:val="22"/>
        </w:rPr>
      </w:pPr>
      <w:r w:rsidRPr="00BE7A39">
        <w:rPr>
          <w:rFonts w:asciiTheme="minorHAnsi" w:hAnsiTheme="minorHAnsi" w:cstheme="minorHAnsi"/>
          <w:bCs/>
          <w:color w:val="auto"/>
          <w:sz w:val="22"/>
          <w:szCs w:val="22"/>
        </w:rPr>
        <w:t xml:space="preserve">Le livrable 1 </w:t>
      </w:r>
      <w:r>
        <w:rPr>
          <w:rFonts w:asciiTheme="minorHAnsi" w:hAnsiTheme="minorHAnsi" w:cstheme="minorHAnsi"/>
          <w:bCs/>
          <w:color w:val="auto"/>
          <w:sz w:val="22"/>
          <w:szCs w:val="22"/>
        </w:rPr>
        <w:t xml:space="preserve">qui fait l’objet du présent rapport, est consacré à évaluer les lacunes et besoins </w:t>
      </w:r>
      <w:r w:rsidRPr="00BE7A39">
        <w:rPr>
          <w:rFonts w:asciiTheme="minorHAnsi" w:hAnsiTheme="minorHAnsi" w:cstheme="minorHAnsi"/>
          <w:bCs/>
          <w:color w:val="auto"/>
          <w:sz w:val="22"/>
          <w:szCs w:val="22"/>
        </w:rPr>
        <w:t>de la stratégie nationale d’accès durable à l’eau et l’assainissement en lien </w:t>
      </w:r>
      <w:r w:rsidRPr="00BE7A39">
        <w:rPr>
          <w:rFonts w:asciiTheme="minorHAnsi" w:hAnsiTheme="minorHAnsi" w:cstheme="minorHAnsi"/>
          <w:color w:val="auto"/>
          <w:sz w:val="22"/>
          <w:szCs w:val="22"/>
        </w:rPr>
        <w:t>avec les enjeux de l’adaptation au changement climatique</w:t>
      </w:r>
      <w:r>
        <w:rPr>
          <w:rFonts w:asciiTheme="minorHAnsi" w:hAnsiTheme="minorHAnsi" w:cstheme="minorHAnsi"/>
          <w:bCs/>
          <w:color w:val="auto"/>
          <w:sz w:val="22"/>
          <w:szCs w:val="22"/>
        </w:rPr>
        <w:t xml:space="preserve">. </w:t>
      </w:r>
    </w:p>
    <w:p w14:paraId="68CE5B55" w14:textId="77777777" w:rsidR="008F2269" w:rsidRPr="00A149B2" w:rsidRDefault="008F2269" w:rsidP="008F2269">
      <w:pPr>
        <w:jc w:val="both"/>
        <w:rPr>
          <w:rFonts w:cstheme="minorHAnsi"/>
          <w:bCs/>
        </w:rPr>
      </w:pPr>
      <w:r w:rsidRPr="00A149B2">
        <w:rPr>
          <w:rFonts w:cstheme="minorHAnsi"/>
          <w:bCs/>
        </w:rPr>
        <w:t>Le livrable est organisé en 8 chapitres outre l’introduction : (i) Compréhension des TDR du livrable , (II) Objectifs et</w:t>
      </w:r>
      <w:r w:rsidRPr="00BE7A39">
        <w:rPr>
          <w:rFonts w:cstheme="minorHAnsi"/>
          <w:bCs/>
        </w:rPr>
        <w:t xml:space="preserve"> </w:t>
      </w:r>
      <w:r w:rsidRPr="00A149B2">
        <w:rPr>
          <w:rFonts w:cstheme="minorHAnsi"/>
          <w:bCs/>
        </w:rPr>
        <w:t>Approche méthodologique ; (iii) Présentation du secteur des ressources en eau ; (iv) Etat des lieux, (v ) Exposition des résultats stratégiques2clés aux risques climatiques (Sources : CDN, Profil climatique du Programme-Pays FVC, CN4, PPE), (vi) Mesures, activités ou initiatives en cours ou programmées pour faire face aux enjeux du CC , (vii) Lacune</w:t>
      </w:r>
      <w:r>
        <w:rPr>
          <w:rFonts w:cstheme="minorHAnsi"/>
          <w:bCs/>
        </w:rPr>
        <w:t xml:space="preserve">s et Besoins pour faire face au </w:t>
      </w:r>
      <w:r w:rsidRPr="00A149B2">
        <w:rPr>
          <w:rFonts w:cstheme="minorHAnsi"/>
          <w:bCs/>
        </w:rPr>
        <w:t xml:space="preserve">Changement Climatique, </w:t>
      </w:r>
      <w:r>
        <w:rPr>
          <w:rFonts w:cstheme="minorHAnsi"/>
          <w:bCs/>
        </w:rPr>
        <w:t xml:space="preserve"> </w:t>
      </w:r>
      <w:r w:rsidRPr="00A149B2">
        <w:rPr>
          <w:rFonts w:cstheme="minorHAnsi"/>
          <w:bCs/>
        </w:rPr>
        <w:t>(viii) Exposition et vulnérabilité des ressources en eau de surface face au Changement Climatique en fin Conclusions et Recommandations.</w:t>
      </w:r>
    </w:p>
    <w:p w14:paraId="4F92CA48" w14:textId="77777777" w:rsidR="008F2269" w:rsidRPr="00BE7A39" w:rsidRDefault="008F2269" w:rsidP="008F2269">
      <w:pPr>
        <w:pStyle w:val="Default"/>
        <w:spacing w:before="120" w:after="120" w:line="276" w:lineRule="auto"/>
        <w:jc w:val="both"/>
        <w:outlineLvl w:val="0"/>
        <w:rPr>
          <w:rFonts w:asciiTheme="minorHAnsi" w:hAnsiTheme="minorHAnsi" w:cstheme="minorHAnsi"/>
          <w:b/>
          <w:color w:val="auto"/>
          <w:sz w:val="22"/>
          <w:szCs w:val="22"/>
        </w:rPr>
      </w:pPr>
      <w:r>
        <w:rPr>
          <w:rFonts w:asciiTheme="minorHAnsi" w:hAnsiTheme="minorHAnsi" w:cstheme="minorHAnsi"/>
          <w:b/>
          <w:bCs/>
          <w:color w:val="auto"/>
          <w:sz w:val="22"/>
          <w:szCs w:val="22"/>
        </w:rPr>
        <w:t xml:space="preserve"> </w:t>
      </w:r>
      <w:bookmarkStart w:id="70" w:name="_Toc57057426"/>
      <w:bookmarkStart w:id="71" w:name="_Toc175564474"/>
      <w:bookmarkStart w:id="72" w:name="_Toc180318663"/>
      <w:r>
        <w:rPr>
          <w:rFonts w:asciiTheme="minorHAnsi" w:hAnsiTheme="minorHAnsi" w:cstheme="minorHAnsi"/>
          <w:b/>
          <w:color w:val="auto"/>
          <w:sz w:val="22"/>
          <w:szCs w:val="22"/>
        </w:rPr>
        <w:t>CHAPITRE 1</w:t>
      </w:r>
      <w:r w:rsidRPr="00BE7A39">
        <w:rPr>
          <w:rFonts w:asciiTheme="minorHAnsi" w:hAnsiTheme="minorHAnsi" w:cstheme="minorHAnsi"/>
          <w:b/>
          <w:color w:val="auto"/>
          <w:sz w:val="22"/>
          <w:szCs w:val="22"/>
        </w:rPr>
        <w:t> : COMPREHENSION DES TERMES DE REFERENCE</w:t>
      </w:r>
      <w:bookmarkEnd w:id="70"/>
      <w:bookmarkEnd w:id="71"/>
      <w:bookmarkEnd w:id="72"/>
    </w:p>
    <w:p w14:paraId="4D671667" w14:textId="77777777" w:rsidR="008F2269" w:rsidRPr="00C71F12" w:rsidRDefault="008F2269" w:rsidP="008F2269">
      <w:pPr>
        <w:pStyle w:val="Default"/>
        <w:spacing w:after="16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 xml:space="preserve">Face aux manifestations du changement climatique </w:t>
      </w:r>
      <w:r w:rsidRPr="00C71F12">
        <w:rPr>
          <w:rFonts w:asciiTheme="minorHAnsi" w:hAnsiTheme="minorHAnsi"/>
          <w:bCs/>
          <w:color w:val="auto"/>
          <w:sz w:val="22"/>
          <w:szCs w:val="22"/>
        </w:rPr>
        <w:t xml:space="preserve">à l’origine d’importants impacts négatifs, </w:t>
      </w:r>
      <w:r w:rsidRPr="00C71F12">
        <w:rPr>
          <w:rFonts w:asciiTheme="minorHAnsi" w:hAnsiTheme="minorHAnsi"/>
          <w:color w:val="auto"/>
          <w:sz w:val="22"/>
          <w:szCs w:val="22"/>
        </w:rPr>
        <w:t>les pouvoirs publics ont déjà déployé des efforts louables visant à traiter les questions d’environnement, de développement durable et de changement climatique.</w:t>
      </w:r>
    </w:p>
    <w:p w14:paraId="06D35CFD" w14:textId="77777777" w:rsidR="008F2269" w:rsidRPr="00C71F12" w:rsidRDefault="008F2269" w:rsidP="008F2269">
      <w:pPr>
        <w:pStyle w:val="Default"/>
        <w:spacing w:after="16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 xml:space="preserve">Ces efforts sont restés cependant limités en raison de leur horizon d’intervention dans le court terme, du faible </w:t>
      </w:r>
      <w:r w:rsidRPr="00C71F12">
        <w:rPr>
          <w:rFonts w:asciiTheme="minorHAnsi" w:hAnsiTheme="minorHAnsi"/>
          <w:color w:val="auto"/>
          <w:sz w:val="22"/>
          <w:szCs w:val="22"/>
        </w:rPr>
        <w:t>accès aux financements et connaissances pouvant servir à éclairer et renforcer les processus de planification résilients au climat et de faibles capacités techniques pour mettre en œuvre des politiques, stratégies et plans favorisant l'adaptation au changement climatique.</w:t>
      </w:r>
    </w:p>
    <w:p w14:paraId="75A31B24" w14:textId="77777777" w:rsidR="008F2269" w:rsidRPr="00C71F12" w:rsidRDefault="008F2269" w:rsidP="008F2269">
      <w:pPr>
        <w:pStyle w:val="Default"/>
        <w:spacing w:after="160" w:line="259" w:lineRule="auto"/>
        <w:jc w:val="both"/>
        <w:rPr>
          <w:rFonts w:asciiTheme="minorHAnsi" w:hAnsiTheme="minorHAnsi"/>
          <w:color w:val="auto"/>
          <w:sz w:val="22"/>
          <w:szCs w:val="22"/>
        </w:rPr>
      </w:pPr>
      <w:r w:rsidRPr="00C71F12">
        <w:rPr>
          <w:rFonts w:asciiTheme="minorHAnsi" w:hAnsiTheme="minorHAnsi" w:cstheme="minorHAnsi"/>
          <w:bCs/>
          <w:color w:val="auto"/>
          <w:sz w:val="22"/>
          <w:szCs w:val="22"/>
        </w:rPr>
        <w:t xml:space="preserve">Dans ce cadre, de nouveaux efforts porteurs de changement de paradigme sont portés par </w:t>
      </w:r>
      <w:r w:rsidRPr="00C71F12">
        <w:rPr>
          <w:rFonts w:asciiTheme="minorHAnsi" w:hAnsiTheme="minorHAnsi"/>
          <w:color w:val="auto"/>
          <w:sz w:val="22"/>
          <w:szCs w:val="22"/>
        </w:rPr>
        <w:t xml:space="preserve">le Programme de Préparation et de Soutien du </w:t>
      </w:r>
      <w:r>
        <w:rPr>
          <w:rFonts w:asciiTheme="minorHAnsi" w:hAnsiTheme="minorHAnsi"/>
          <w:color w:val="auto"/>
          <w:sz w:val="22"/>
          <w:szCs w:val="22"/>
        </w:rPr>
        <w:t>Programme des Nations-Unies pour l’Environnement (PNUE) et du Fond Mondial pour l’Environnement (FEM/GEF</w:t>
      </w:r>
      <w:r w:rsidRPr="00C71F12">
        <w:rPr>
          <w:rFonts w:asciiTheme="minorHAnsi" w:hAnsiTheme="minorHAnsi"/>
          <w:color w:val="auto"/>
          <w:sz w:val="22"/>
          <w:szCs w:val="22"/>
        </w:rPr>
        <w:t>)</w:t>
      </w:r>
      <w:r w:rsidRPr="00286BFF">
        <w:rPr>
          <w:rFonts w:asciiTheme="minorHAnsi" w:hAnsiTheme="minorHAnsi"/>
          <w:color w:val="FF0000"/>
          <w:sz w:val="22"/>
          <w:szCs w:val="22"/>
        </w:rPr>
        <w:t>.</w:t>
      </w:r>
      <w:r w:rsidRPr="00EA338E">
        <w:rPr>
          <w:rFonts w:asciiTheme="minorHAnsi" w:hAnsiTheme="minorHAnsi"/>
          <w:color w:val="auto"/>
          <w:sz w:val="22"/>
          <w:szCs w:val="22"/>
        </w:rPr>
        <w:t xml:space="preserve"> Ceux-ci </w:t>
      </w:r>
      <w:r w:rsidRPr="00C71F12">
        <w:rPr>
          <w:rFonts w:asciiTheme="minorHAnsi" w:hAnsiTheme="minorHAnsi"/>
          <w:color w:val="auto"/>
          <w:sz w:val="22"/>
          <w:szCs w:val="22"/>
        </w:rPr>
        <w:t xml:space="preserve">devraient se traduire par des mesures flexibles à </w:t>
      </w:r>
      <w:r w:rsidRPr="00C71F12">
        <w:rPr>
          <w:rFonts w:asciiTheme="minorHAnsi" w:hAnsiTheme="minorHAnsi" w:cstheme="minorHAnsi"/>
          <w:bCs/>
          <w:color w:val="auto"/>
          <w:sz w:val="22"/>
          <w:szCs w:val="22"/>
        </w:rPr>
        <w:t>court, moyen et long terme partant d’une démarche de planification qui intègre des connaissances scientifiques améliorées et l’incertitude inhérente au changement climatique en vue d’améliorer</w:t>
      </w:r>
      <w:r w:rsidRPr="00C71F12">
        <w:rPr>
          <w:rFonts w:asciiTheme="minorHAnsi" w:hAnsiTheme="minorHAnsi"/>
          <w:color w:val="auto"/>
          <w:sz w:val="22"/>
          <w:szCs w:val="22"/>
        </w:rPr>
        <w:t xml:space="preserve"> la résilience des communautés vulnérables.</w:t>
      </w:r>
    </w:p>
    <w:p w14:paraId="0D552DFD" w14:textId="77777777" w:rsidR="008F2269" w:rsidRDefault="008F2269" w:rsidP="008F2269">
      <w:pPr>
        <w:pStyle w:val="Default"/>
        <w:spacing w:after="160" w:line="259" w:lineRule="auto"/>
        <w:jc w:val="both"/>
        <w:rPr>
          <w:rFonts w:asciiTheme="minorHAnsi" w:hAnsiTheme="minorHAnsi" w:cstheme="minorHAnsi"/>
          <w:bCs/>
          <w:color w:val="auto"/>
          <w:sz w:val="22"/>
          <w:szCs w:val="22"/>
        </w:rPr>
      </w:pPr>
      <w:r w:rsidRPr="00C71F12">
        <w:rPr>
          <w:rFonts w:asciiTheme="minorHAnsi" w:hAnsiTheme="minorHAnsi"/>
          <w:color w:val="auto"/>
          <w:sz w:val="22"/>
          <w:szCs w:val="22"/>
        </w:rPr>
        <w:t xml:space="preserve">Ainsi, la présente mission a pour objet </w:t>
      </w:r>
      <w:r>
        <w:rPr>
          <w:rFonts w:asciiTheme="minorHAnsi" w:hAnsiTheme="minorHAnsi"/>
          <w:color w:val="auto"/>
          <w:sz w:val="22"/>
          <w:szCs w:val="22"/>
        </w:rPr>
        <w:t xml:space="preserve">dans un premier temps de décrire la vulnérabilité au changement climatique du secteur tant au plan de la disponibilité de la ressource ; sa distribution et manque dans le pays et à travers les secteurs socioéconomiques ; sa qualité ; avant  </w:t>
      </w:r>
      <w:r w:rsidRPr="00C71F12">
        <w:rPr>
          <w:rFonts w:asciiTheme="minorHAnsi" w:hAnsiTheme="minorHAnsi"/>
          <w:color w:val="auto"/>
          <w:sz w:val="22"/>
          <w:szCs w:val="22"/>
        </w:rPr>
        <w:t>de proposer des mesures en vue d’améliorer la résilience des ressources en eau face aux enjeux du changement climatique, partant d’</w:t>
      </w:r>
      <w:r w:rsidRPr="00C71F12">
        <w:rPr>
          <w:rFonts w:asciiTheme="minorHAnsi" w:hAnsiTheme="minorHAnsi" w:cstheme="minorHAnsi"/>
          <w:bCs/>
          <w:color w:val="auto"/>
          <w:sz w:val="22"/>
          <w:szCs w:val="22"/>
        </w:rPr>
        <w:t xml:space="preserve">une lecture méthodologique de la SNADEA et divers cadres de planification associés au niveau national. </w:t>
      </w:r>
    </w:p>
    <w:p w14:paraId="17D20AC5" w14:textId="77777777" w:rsidR="008F2269" w:rsidRDefault="008F2269" w:rsidP="008F2269">
      <w:pPr>
        <w:pStyle w:val="Default"/>
        <w:spacing w:before="120" w:after="120" w:line="276" w:lineRule="auto"/>
        <w:jc w:val="both"/>
        <w:outlineLvl w:val="1"/>
        <w:rPr>
          <w:rFonts w:asciiTheme="minorHAnsi" w:hAnsiTheme="minorHAnsi" w:cstheme="minorHAnsi"/>
          <w:b/>
          <w:color w:val="auto"/>
          <w:sz w:val="22"/>
          <w:szCs w:val="22"/>
        </w:rPr>
      </w:pPr>
      <w:bookmarkStart w:id="73" w:name="_Toc51930338"/>
      <w:bookmarkStart w:id="74" w:name="_Toc57057427"/>
      <w:bookmarkStart w:id="75" w:name="_Toc175564475"/>
      <w:bookmarkStart w:id="76" w:name="_Toc180318664"/>
      <w:r>
        <w:rPr>
          <w:rFonts w:asciiTheme="minorHAnsi" w:hAnsiTheme="minorHAnsi" w:cstheme="minorHAnsi"/>
          <w:b/>
          <w:color w:val="auto"/>
          <w:sz w:val="22"/>
          <w:szCs w:val="22"/>
        </w:rPr>
        <w:t>CHAPITRE 2</w:t>
      </w:r>
      <w:r w:rsidRPr="00BE7A39">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OBJECTIFS ET A</w:t>
      </w:r>
      <w:r w:rsidRPr="00BE7A39">
        <w:rPr>
          <w:rFonts w:asciiTheme="minorHAnsi" w:hAnsiTheme="minorHAnsi" w:cstheme="minorHAnsi"/>
          <w:b/>
          <w:color w:val="auto"/>
          <w:sz w:val="22"/>
          <w:szCs w:val="22"/>
        </w:rPr>
        <w:t xml:space="preserve">PPROCHE </w:t>
      </w:r>
      <w:bookmarkEnd w:id="73"/>
      <w:r w:rsidRPr="00BE7A39">
        <w:rPr>
          <w:rFonts w:asciiTheme="minorHAnsi" w:hAnsiTheme="minorHAnsi" w:cstheme="minorHAnsi"/>
          <w:b/>
          <w:color w:val="auto"/>
          <w:sz w:val="22"/>
          <w:szCs w:val="22"/>
        </w:rPr>
        <w:t>METHODOLOGIQUE</w:t>
      </w:r>
      <w:bookmarkEnd w:id="74"/>
      <w:bookmarkEnd w:id="75"/>
      <w:bookmarkEnd w:id="76"/>
      <w:r w:rsidRPr="00BE7A39">
        <w:rPr>
          <w:rFonts w:asciiTheme="minorHAnsi" w:hAnsiTheme="minorHAnsi" w:cstheme="minorHAnsi"/>
          <w:b/>
          <w:color w:val="auto"/>
          <w:sz w:val="22"/>
          <w:szCs w:val="22"/>
        </w:rPr>
        <w:t> </w:t>
      </w:r>
    </w:p>
    <w:p w14:paraId="6FF3E275" w14:textId="77777777" w:rsidR="008F2269" w:rsidRPr="006D0FE7" w:rsidRDefault="008F2269" w:rsidP="008F2269">
      <w:pPr>
        <w:pStyle w:val="Paragraphedeliste"/>
        <w:numPr>
          <w:ilvl w:val="1"/>
          <w:numId w:val="116"/>
        </w:numPr>
        <w:suppressAutoHyphens/>
        <w:autoSpaceDN w:val="0"/>
        <w:spacing w:line="240" w:lineRule="auto"/>
        <w:jc w:val="both"/>
        <w:textAlignment w:val="baseline"/>
        <w:outlineLvl w:val="1"/>
        <w:rPr>
          <w:b/>
        </w:rPr>
      </w:pPr>
      <w:bookmarkStart w:id="77" w:name="_Toc175564476"/>
      <w:bookmarkStart w:id="78" w:name="_Toc180318665"/>
      <w:r w:rsidRPr="006D0FE7">
        <w:rPr>
          <w:b/>
        </w:rPr>
        <w:t>Objectifs de la consultation</w:t>
      </w:r>
      <w:bookmarkEnd w:id="77"/>
      <w:bookmarkEnd w:id="78"/>
    </w:p>
    <w:p w14:paraId="7A4399DD" w14:textId="77777777" w:rsidR="008F2269" w:rsidRPr="00701264" w:rsidRDefault="008F2269" w:rsidP="008F2269">
      <w:pPr>
        <w:jc w:val="both"/>
      </w:pPr>
      <w:r w:rsidRPr="00701264">
        <w:rPr>
          <w:rStyle w:val="Policepardfaut1"/>
        </w:rPr>
        <w:t>L’objectif global de la mission consiste appuyer l’Unité de Gestion du Projet dans le processus de formulation du plan national d’adaptation au changement climatique.</w:t>
      </w:r>
    </w:p>
    <w:p w14:paraId="0E729AC4" w14:textId="77777777" w:rsidR="008F2269" w:rsidRPr="00701264" w:rsidRDefault="008F2269" w:rsidP="008F2269">
      <w:pPr>
        <w:jc w:val="both"/>
        <w:rPr>
          <w:rStyle w:val="Policepardfaut1"/>
        </w:rPr>
      </w:pPr>
      <w:r w:rsidRPr="00701264">
        <w:rPr>
          <w:rStyle w:val="Policepardfaut1"/>
        </w:rPr>
        <w:t>Les objectifs spécifiques des prestations requises, consistent à :</w:t>
      </w:r>
      <w:r>
        <w:rPr>
          <w:rStyle w:val="Policepardfaut1"/>
        </w:rPr>
        <w:t xml:space="preserve"> </w:t>
      </w:r>
    </w:p>
    <w:p w14:paraId="5DA7FED5" w14:textId="77777777" w:rsidR="008F2269" w:rsidRPr="00701264" w:rsidRDefault="008F2269" w:rsidP="008F2269">
      <w:pPr>
        <w:pStyle w:val="Paragraphedeliste"/>
        <w:numPr>
          <w:ilvl w:val="0"/>
          <w:numId w:val="100"/>
        </w:numPr>
        <w:suppressAutoHyphens/>
        <w:autoSpaceDN w:val="0"/>
        <w:ind w:left="360"/>
        <w:jc w:val="both"/>
        <w:textAlignment w:val="baseline"/>
      </w:pPr>
      <w:r w:rsidRPr="00701264">
        <w:t xml:space="preserve">Evaluer les lacunes et les besoins en </w:t>
      </w:r>
      <w:r>
        <w:t xml:space="preserve">eau ; visiter les </w:t>
      </w:r>
      <w:r w:rsidRPr="00701264">
        <w:t xml:space="preserve">stratégies </w:t>
      </w:r>
      <w:r>
        <w:t xml:space="preserve">pour mesurer l’état de la ressource, la prise en compte du changement climatique et présenter les solutions d’adaptation </w:t>
      </w:r>
      <w:r w:rsidRPr="00701264">
        <w:t xml:space="preserve">pour </w:t>
      </w:r>
      <w:r>
        <w:t>une meilleure distribution de la denrée aux besoins de la consommation humaine et le besoin des différents secteurs socioéconomiques du pays au titre du</w:t>
      </w:r>
      <w:r w:rsidRPr="00701264">
        <w:t xml:space="preserve"> processus </w:t>
      </w:r>
      <w:r>
        <w:t>de préparation de la Cinquième Communication Nationale</w:t>
      </w:r>
      <w:r w:rsidRPr="00701264">
        <w:t xml:space="preserve"> et établir un système pour leurs examens périodiques.</w:t>
      </w:r>
    </w:p>
    <w:p w14:paraId="10E822F9" w14:textId="77777777" w:rsidR="008F2269" w:rsidRPr="00701264" w:rsidRDefault="008F2269" w:rsidP="008F2269">
      <w:pPr>
        <w:pStyle w:val="Paragraphedeliste"/>
        <w:numPr>
          <w:ilvl w:val="0"/>
          <w:numId w:val="100"/>
        </w:numPr>
        <w:suppressAutoHyphens/>
        <w:autoSpaceDN w:val="0"/>
        <w:ind w:left="360"/>
        <w:jc w:val="both"/>
        <w:textAlignment w:val="baseline"/>
      </w:pPr>
      <w:r w:rsidRPr="00701264">
        <w:t>Renforcer les capacités des parties prenantes sur l’intégration des changements climatiques dans les politiques/plans/programmes de développement sectoriel</w:t>
      </w:r>
    </w:p>
    <w:p w14:paraId="34926C05" w14:textId="77777777" w:rsidR="008F2269" w:rsidRPr="00701264" w:rsidRDefault="008F2269" w:rsidP="008F2269">
      <w:pPr>
        <w:pStyle w:val="Paragraphedeliste"/>
        <w:numPr>
          <w:ilvl w:val="0"/>
          <w:numId w:val="100"/>
        </w:numPr>
        <w:suppressAutoHyphens/>
        <w:autoSpaceDN w:val="0"/>
        <w:ind w:left="360"/>
        <w:jc w:val="both"/>
        <w:textAlignment w:val="baseline"/>
      </w:pPr>
      <w:r w:rsidRPr="00701264">
        <w:t xml:space="preserve">Contribuer à la mobilisation des financements pour la mise en œuvre des projets d’adaptation priorisés à l’issue </w:t>
      </w:r>
      <w:r>
        <w:t>de la Cinquième Communication Nationale</w:t>
      </w:r>
      <w:r w:rsidRPr="00701264">
        <w:t>.</w:t>
      </w:r>
    </w:p>
    <w:p w14:paraId="7046D32E" w14:textId="77777777" w:rsidR="008F2269" w:rsidRPr="00BE47BC" w:rsidRDefault="008F2269" w:rsidP="008F2269">
      <w:pPr>
        <w:pStyle w:val="Paragraphedeliste"/>
        <w:numPr>
          <w:ilvl w:val="0"/>
          <w:numId w:val="100"/>
        </w:numPr>
        <w:suppressAutoHyphens/>
        <w:autoSpaceDN w:val="0"/>
        <w:ind w:left="360"/>
        <w:jc w:val="both"/>
        <w:textAlignment w:val="baseline"/>
      </w:pPr>
      <w:r w:rsidRPr="00701264">
        <w:t xml:space="preserve">Produire et appuyer la vulgarisation </w:t>
      </w:r>
      <w:r>
        <w:t>de la Cinquième Communication Nationale</w:t>
      </w:r>
      <w:r w:rsidRPr="00701264">
        <w:t xml:space="preserve"> basé</w:t>
      </w:r>
      <w:r>
        <w:t>e</w:t>
      </w:r>
      <w:r w:rsidRPr="00701264">
        <w:t xml:space="preserve"> sur les priorités d'adaptation sectorielles et infranationales au moyen d'un vaste processus de consultations des parties prenantes</w:t>
      </w:r>
    </w:p>
    <w:p w14:paraId="682083F8" w14:textId="77777777" w:rsidR="008F2269" w:rsidRPr="00373FC3" w:rsidRDefault="008F2269" w:rsidP="008F2269">
      <w:pPr>
        <w:pStyle w:val="Titre2"/>
        <w:rPr>
          <w:rFonts w:ascii="Calibri" w:eastAsia="Calibri" w:hAnsi="Calibri" w:cs="Times New Roman"/>
          <w:bCs/>
          <w:color w:val="auto"/>
          <w:sz w:val="22"/>
          <w:szCs w:val="22"/>
        </w:rPr>
      </w:pPr>
      <w:bookmarkStart w:id="79" w:name="_Toc175564477"/>
      <w:bookmarkStart w:id="80" w:name="_Toc180318666"/>
      <w:r w:rsidRPr="00373FC3">
        <w:rPr>
          <w:rFonts w:ascii="Calibri" w:eastAsia="Calibri" w:hAnsi="Calibri" w:cs="Times New Roman"/>
          <w:color w:val="auto"/>
          <w:sz w:val="22"/>
          <w:szCs w:val="22"/>
        </w:rPr>
        <w:t>2.2. Méthodologie proposée.</w:t>
      </w:r>
      <w:bookmarkEnd w:id="79"/>
      <w:bookmarkEnd w:id="80"/>
    </w:p>
    <w:p w14:paraId="4273AF77" w14:textId="77777777" w:rsidR="008F2269" w:rsidRDefault="008F2269" w:rsidP="008F2269">
      <w:pPr>
        <w:jc w:val="both"/>
        <w:rPr>
          <w:rFonts w:eastAsiaTheme="minorEastAsia"/>
          <w:lang w:bidi="en-US"/>
        </w:rPr>
      </w:pPr>
      <w:r w:rsidRPr="001F17D6">
        <w:rPr>
          <w:rFonts w:eastAsiaTheme="minorEastAsia"/>
          <w:lang w:bidi="en-US"/>
        </w:rPr>
        <w:t xml:space="preserve">La méthodologie </w:t>
      </w:r>
      <w:r>
        <w:rPr>
          <w:rFonts w:eastAsiaTheme="minorEastAsia"/>
          <w:lang w:bidi="en-US"/>
        </w:rPr>
        <w:t xml:space="preserve">proposée </w:t>
      </w:r>
      <w:r w:rsidRPr="001F17D6">
        <w:rPr>
          <w:rFonts w:eastAsiaTheme="minorEastAsia"/>
          <w:lang w:bidi="en-US"/>
        </w:rPr>
        <w:t>consiste à mobiliser une expertise en appui au département pour élaborer un vrai diagnostic de la vulnérabilité</w:t>
      </w:r>
      <w:r>
        <w:rPr>
          <w:rFonts w:eastAsiaTheme="minorEastAsia"/>
          <w:lang w:bidi="en-US"/>
        </w:rPr>
        <w:t>/adaptation</w:t>
      </w:r>
      <w:r w:rsidRPr="001F17D6">
        <w:rPr>
          <w:rFonts w:eastAsiaTheme="minorEastAsia"/>
          <w:lang w:bidi="en-US"/>
        </w:rPr>
        <w:t xml:space="preserve"> d</w:t>
      </w:r>
      <w:r>
        <w:rPr>
          <w:rFonts w:eastAsiaTheme="minorEastAsia"/>
          <w:lang w:bidi="en-US"/>
        </w:rPr>
        <w:t>es Secteurs de l’Eau, de l’Agriculture, de l’Elevage, des Pêches, de la Socio-Economie</w:t>
      </w:r>
    </w:p>
    <w:p w14:paraId="6B1F310F" w14:textId="77777777" w:rsidR="008F2269" w:rsidRDefault="008F2269" w:rsidP="008F2269">
      <w:pPr>
        <w:jc w:val="both"/>
        <w:rPr>
          <w:rFonts w:eastAsiaTheme="minorEastAsia"/>
          <w:lang w:bidi="en-US"/>
        </w:rPr>
      </w:pPr>
      <w:r>
        <w:rPr>
          <w:rFonts w:eastAsiaTheme="minorEastAsia"/>
          <w:lang w:bidi="en-US"/>
        </w:rPr>
        <w:t>Les eaux de surface comprennent les eaux pluviales, les eaux des cours d’eau et des plans d’eau ainsi que celles de la nappe alluviale (recharge annuelle lors des crues)</w:t>
      </w:r>
      <w:r w:rsidRPr="001F17D6">
        <w:rPr>
          <w:rFonts w:eastAsiaTheme="minorEastAsia"/>
          <w:lang w:bidi="en-US"/>
        </w:rPr>
        <w:t xml:space="preserve"> et p</w:t>
      </w:r>
      <w:r>
        <w:rPr>
          <w:rFonts w:eastAsiaTheme="minorEastAsia"/>
          <w:lang w:bidi="en-US"/>
        </w:rPr>
        <w:t>roposer un plan d’action adapté.</w:t>
      </w:r>
    </w:p>
    <w:p w14:paraId="26A9FB92" w14:textId="77777777" w:rsidR="008F2269" w:rsidRDefault="008F2269" w:rsidP="008F2269">
      <w:pPr>
        <w:jc w:val="both"/>
        <w:rPr>
          <w:rFonts w:eastAsiaTheme="minorEastAsia"/>
          <w:lang w:bidi="en-US"/>
        </w:rPr>
      </w:pPr>
      <w:r w:rsidRPr="00BA1BC0">
        <w:rPr>
          <w:rFonts w:eastAsiaTheme="minorEastAsia"/>
          <w:lang w:bidi="en-US"/>
        </w:rPr>
        <w:t xml:space="preserve"> </w:t>
      </w:r>
      <w:r>
        <w:rPr>
          <w:rFonts w:eastAsiaTheme="minorEastAsia"/>
          <w:lang w:bidi="en-US"/>
        </w:rPr>
        <w:t xml:space="preserve">Ce rapport est relatif au Sou- </w:t>
      </w:r>
      <w:r w:rsidRPr="001F17D6">
        <w:rPr>
          <w:rFonts w:eastAsiaTheme="minorEastAsia"/>
          <w:lang w:bidi="en-US"/>
        </w:rPr>
        <w:t>Secteur</w:t>
      </w:r>
      <w:r>
        <w:rPr>
          <w:rFonts w:eastAsiaTheme="minorEastAsia"/>
          <w:lang w:bidi="en-US"/>
        </w:rPr>
        <w:t xml:space="preserve"> de l’Eau de Surface (notamment les eaux de surface, barrages et lacs) mais s’ouvre aux eaux souterraines.</w:t>
      </w:r>
    </w:p>
    <w:p w14:paraId="6224D1E6" w14:textId="77777777" w:rsidR="008F2269" w:rsidRPr="00993FBB" w:rsidRDefault="008F2269" w:rsidP="008F2269">
      <w:pPr>
        <w:spacing w:line="240" w:lineRule="auto"/>
        <w:rPr>
          <w:b/>
          <w:bCs/>
          <w:i/>
          <w:iCs/>
        </w:rPr>
      </w:pPr>
      <w:r w:rsidRPr="00993FBB">
        <w:rPr>
          <w:b/>
          <w:bCs/>
          <w:i/>
          <w:iCs/>
        </w:rPr>
        <w:t>Revue documentaire</w:t>
      </w:r>
    </w:p>
    <w:p w14:paraId="399557CC" w14:textId="77777777" w:rsidR="008F2269" w:rsidRDefault="008F2269" w:rsidP="008F2269">
      <w:pPr>
        <w:spacing w:line="240" w:lineRule="auto"/>
        <w:jc w:val="both"/>
      </w:pPr>
      <w:r>
        <w:t xml:space="preserve">La revue documentaire s’oriente sur la  collecte  de  documents et supports accessibles sur les différentes sous forme de documents physiques et/ou électroniques et des données modélisées relatifs à la vulnérabilité – adaptation aux changements climatiques dans le pays ou en dehors La liste bibliographique jointe   en annexe n’est qu’une partie des documents consultés pour donner priorité aux publications relatives au, pays ensuite au Sahel et des Institutions existantes au niveau mondial qui disposent de plus de moyens et d’outils de l’Intelligence Artificielle (IA). </w:t>
      </w:r>
    </w:p>
    <w:p w14:paraId="3155EE86" w14:textId="77777777" w:rsidR="008F2269" w:rsidRPr="00937740" w:rsidRDefault="008F2269" w:rsidP="008F2269">
      <w:pPr>
        <w:spacing w:line="240" w:lineRule="auto"/>
        <w:rPr>
          <w:b/>
          <w:bCs/>
          <w:i/>
          <w:iCs/>
        </w:rPr>
      </w:pPr>
      <w:r>
        <w:rPr>
          <w:b/>
          <w:bCs/>
          <w:i/>
          <w:iCs/>
        </w:rPr>
        <w:t>P</w:t>
      </w:r>
      <w:r w:rsidRPr="00993FBB">
        <w:rPr>
          <w:b/>
          <w:bCs/>
          <w:i/>
          <w:iCs/>
        </w:rPr>
        <w:t>rocessus de cons</w:t>
      </w:r>
      <w:r>
        <w:rPr>
          <w:b/>
          <w:bCs/>
          <w:i/>
          <w:iCs/>
        </w:rPr>
        <w:t xml:space="preserve">ultation des parties prenantes </w:t>
      </w:r>
      <w:r>
        <w:tab/>
      </w:r>
    </w:p>
    <w:p w14:paraId="48AC541C" w14:textId="77777777" w:rsidR="008F2269" w:rsidRDefault="008F2269" w:rsidP="008F2269">
      <w:pPr>
        <w:spacing w:line="240" w:lineRule="auto"/>
        <w:jc w:val="both"/>
      </w:pPr>
      <w:r>
        <w:t>Les entretiens ont ciblé d’abord le Point Focal et les autres Responsables du Ministère de l’Hydraulique et de l’Habitat. Ensuite, d’autres partenaires ont été consultés quand leurs calendriers le permettaient.</w:t>
      </w:r>
    </w:p>
    <w:p w14:paraId="16239050" w14:textId="77777777" w:rsidR="008F2269" w:rsidRPr="00DE422F" w:rsidRDefault="008F2269" w:rsidP="008F2269">
      <w:pPr>
        <w:spacing w:line="240" w:lineRule="auto"/>
        <w:rPr>
          <w:b/>
          <w:bCs/>
          <w:i/>
          <w:iCs/>
        </w:rPr>
      </w:pPr>
      <w:r>
        <w:t xml:space="preserve"> </w:t>
      </w:r>
      <w:r w:rsidRPr="00DE422F">
        <w:rPr>
          <w:b/>
          <w:bCs/>
          <w:i/>
          <w:iCs/>
        </w:rPr>
        <w:t>Elaboration du livrable</w:t>
      </w:r>
    </w:p>
    <w:p w14:paraId="6D64143E" w14:textId="77777777" w:rsidR="008F2269" w:rsidRDefault="008F2269" w:rsidP="008F2269">
      <w:pPr>
        <w:spacing w:line="240" w:lineRule="auto"/>
        <w:jc w:val="both"/>
      </w:pPr>
      <w:r>
        <w:t>Le livrable est le fruit de l’exploitation de documents pertinents publiés sur le secteur de l’eau et orientés vers la vulnérabilité /adaptation en Mauritanie et en dehors notamment sur le changement climatique.</w:t>
      </w:r>
    </w:p>
    <w:p w14:paraId="33697DCB" w14:textId="77777777" w:rsidR="008F2269" w:rsidRDefault="008F2269" w:rsidP="008F2269">
      <w:pPr>
        <w:pStyle w:val="Default"/>
        <w:spacing w:after="16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La méthodologie déroulée s’appuie sur la logique d’un cadre harmonisé d’analyse, axé sur les résultats clés attendus de la stratégie en cours du secteur des ressources en eau</w:t>
      </w:r>
      <w:r>
        <w:rPr>
          <w:rFonts w:asciiTheme="minorHAnsi" w:hAnsiTheme="minorHAnsi" w:cstheme="minorHAnsi"/>
          <w:bCs/>
          <w:color w:val="auto"/>
          <w:sz w:val="22"/>
          <w:szCs w:val="22"/>
        </w:rPr>
        <w:t xml:space="preserve"> : Stratégie Nationale pour un Accès Durable à l’Eau et l’Assainissement </w:t>
      </w:r>
      <w:r w:rsidRPr="00C71F12">
        <w:rPr>
          <w:rFonts w:asciiTheme="minorHAnsi" w:hAnsiTheme="minorHAnsi" w:cstheme="minorHAnsi"/>
          <w:bCs/>
          <w:color w:val="auto"/>
          <w:sz w:val="22"/>
          <w:szCs w:val="22"/>
        </w:rPr>
        <w:t>(SNADEA, Horizons 2030)</w:t>
      </w:r>
      <w:r>
        <w:rPr>
          <w:rFonts w:asciiTheme="minorHAnsi" w:hAnsiTheme="minorHAnsi" w:cstheme="minorHAnsi"/>
          <w:bCs/>
          <w:color w:val="auto"/>
          <w:sz w:val="22"/>
          <w:szCs w:val="22"/>
        </w:rPr>
        <w:t xml:space="preserve">, la Stratégie pour la Croissance Accélérée et la Prospérité Partagée (SCAPP, </w:t>
      </w:r>
      <w:r w:rsidRPr="00C71F12">
        <w:rPr>
          <w:rFonts w:asciiTheme="minorHAnsi" w:hAnsiTheme="minorHAnsi" w:cstheme="minorHAnsi"/>
          <w:bCs/>
          <w:color w:val="auto"/>
          <w:sz w:val="22"/>
          <w:szCs w:val="22"/>
        </w:rPr>
        <w:t>Horizons 2030)</w:t>
      </w:r>
      <w:r>
        <w:rPr>
          <w:rFonts w:asciiTheme="minorHAnsi" w:hAnsiTheme="minorHAnsi" w:cstheme="minorHAnsi"/>
          <w:bCs/>
          <w:color w:val="auto"/>
          <w:sz w:val="22"/>
          <w:szCs w:val="22"/>
        </w:rPr>
        <w:t xml:space="preserve">,  et d’autres rapports relatifs aux Contributions Nationales Déterminées (CDN), aux quatre Communications Nationales sur le Changement Climatiques, les Objectifs de  Développement Durable (ODD, </w:t>
      </w:r>
      <w:r w:rsidRPr="00C71F12">
        <w:rPr>
          <w:rFonts w:asciiTheme="minorHAnsi" w:hAnsiTheme="minorHAnsi" w:cstheme="minorHAnsi"/>
          <w:bCs/>
          <w:color w:val="auto"/>
          <w:sz w:val="22"/>
          <w:szCs w:val="22"/>
        </w:rPr>
        <w:t>Horizons 2030</w:t>
      </w:r>
      <w:r>
        <w:rPr>
          <w:rFonts w:asciiTheme="minorHAnsi" w:hAnsiTheme="minorHAnsi" w:cstheme="minorHAnsi"/>
          <w:bCs/>
          <w:color w:val="auto"/>
          <w:sz w:val="22"/>
          <w:szCs w:val="22"/>
        </w:rPr>
        <w:t>, et autres stratégies, plans d’actions, rapports, programmes et projets</w:t>
      </w:r>
      <w:r w:rsidRPr="00C71F12">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 xml:space="preserve">qui ont intégré le secteur de l’eau. </w:t>
      </w:r>
      <w:r w:rsidRPr="00C71F12">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L</w:t>
      </w:r>
      <w:r w:rsidRPr="00C71F12">
        <w:rPr>
          <w:rFonts w:asciiTheme="minorHAnsi" w:hAnsiTheme="minorHAnsi" w:cstheme="minorHAnsi"/>
          <w:bCs/>
          <w:color w:val="auto"/>
          <w:sz w:val="22"/>
          <w:szCs w:val="22"/>
        </w:rPr>
        <w:t>e cadre combine les résultats à la fois de la revue documentaire,</w:t>
      </w:r>
      <w:r>
        <w:rPr>
          <w:rFonts w:asciiTheme="minorHAnsi" w:hAnsiTheme="minorHAnsi" w:cstheme="minorHAnsi"/>
          <w:bCs/>
          <w:color w:val="auto"/>
          <w:sz w:val="22"/>
          <w:szCs w:val="22"/>
        </w:rPr>
        <w:t xml:space="preserve"> </w:t>
      </w:r>
      <w:r w:rsidRPr="00C71F12">
        <w:rPr>
          <w:rFonts w:asciiTheme="minorHAnsi" w:hAnsiTheme="minorHAnsi" w:cstheme="minorHAnsi"/>
          <w:bCs/>
          <w:color w:val="auto"/>
          <w:sz w:val="22"/>
          <w:szCs w:val="22"/>
        </w:rPr>
        <w:t>l’analyse des données collectées, la formulation de propositions et mesures pour faire face aux enjeux du changement climatique (voir le cadre harmonisé d’analyse en annexe 1).</w:t>
      </w:r>
    </w:p>
    <w:p w14:paraId="710BA48B" w14:textId="77777777" w:rsidR="008F2269" w:rsidRPr="00C71F12" w:rsidRDefault="008F2269" w:rsidP="008F2269">
      <w:pPr>
        <w:ind w:right="-142"/>
        <w:rPr>
          <w:rFonts w:cstheme="minorHAnsi"/>
          <w:bCs/>
          <w:i/>
          <w:color w:val="000000" w:themeColor="text1"/>
          <w:u w:val="single"/>
        </w:rPr>
      </w:pPr>
      <w:bookmarkStart w:id="81" w:name="_Toc57057428"/>
      <w:r w:rsidRPr="00E726D4">
        <w:rPr>
          <w:rFonts w:cstheme="minorHAnsi"/>
          <w:color w:val="000000" w:themeColor="text1"/>
          <w:u w:val="single"/>
        </w:rPr>
        <w:t>Tableau 1 :</w:t>
      </w:r>
      <w:r>
        <w:rPr>
          <w:rFonts w:cstheme="minorHAnsi"/>
          <w:color w:val="000000" w:themeColor="text1"/>
          <w:u w:val="single"/>
        </w:rPr>
        <w:t xml:space="preserve"> </w:t>
      </w:r>
      <w:r w:rsidRPr="00E726D4">
        <w:rPr>
          <w:rFonts w:cstheme="minorHAnsi"/>
          <w:color w:val="000000" w:themeColor="text1"/>
          <w:u w:val="single"/>
        </w:rPr>
        <w:t xml:space="preserve">Cadre harmonisé d’analyse des stratégies/plans sectoriels face aux enjeux du </w:t>
      </w:r>
      <w:r>
        <w:rPr>
          <w:rFonts w:cstheme="minorHAnsi"/>
          <w:color w:val="000000" w:themeColor="text1"/>
          <w:u w:val="single"/>
        </w:rPr>
        <w:t>c</w:t>
      </w:r>
      <w:r w:rsidRPr="00E726D4">
        <w:rPr>
          <w:rFonts w:cstheme="minorHAnsi"/>
          <w:iCs/>
          <w:color w:val="000000" w:themeColor="text1"/>
          <w:u w:val="single"/>
        </w:rPr>
        <w:t>hangement climatique</w:t>
      </w:r>
      <w:bookmarkEnd w:id="81"/>
      <w:r w:rsidRPr="00E726D4">
        <w:rPr>
          <w:rFonts w:cstheme="minorHAnsi"/>
          <w:bCs/>
          <w:i/>
          <w:color w:val="000000" w:themeColor="text1"/>
          <w:u w:val="single"/>
        </w:rPr>
        <w:t xml:space="preserve"> </w:t>
      </w:r>
    </w:p>
    <w:tbl>
      <w:tblPr>
        <w:tblStyle w:val="Grilledutableau"/>
        <w:tblW w:w="9072" w:type="dxa"/>
        <w:tblInd w:w="-5" w:type="dxa"/>
        <w:tblLook w:val="04A0" w:firstRow="1" w:lastRow="0" w:firstColumn="1" w:lastColumn="0" w:noHBand="0" w:noVBand="1"/>
      </w:tblPr>
      <w:tblGrid>
        <w:gridCol w:w="2127"/>
        <w:gridCol w:w="2126"/>
        <w:gridCol w:w="2835"/>
        <w:gridCol w:w="1984"/>
      </w:tblGrid>
      <w:tr w:rsidR="008F2269" w:rsidRPr="000B14A4" w:rsidDel="005F3909" w14:paraId="53AB75B6" w14:textId="77777777" w:rsidTr="002D1362">
        <w:trPr>
          <w:cantSplit/>
          <w:trHeight w:val="335"/>
        </w:trPr>
        <w:tc>
          <w:tcPr>
            <w:tcW w:w="2127" w:type="dxa"/>
            <w:vMerge w:val="restart"/>
            <w:shd w:val="clear" w:color="auto" w:fill="auto"/>
            <w:vAlign w:val="center"/>
          </w:tcPr>
          <w:p w14:paraId="66B4537E" w14:textId="77777777" w:rsidR="008F2269" w:rsidRPr="000B14A4" w:rsidRDefault="008F2269" w:rsidP="002D1362">
            <w:pPr>
              <w:jc w:val="center"/>
              <w:rPr>
                <w:rFonts w:cstheme="minorHAnsi"/>
                <w:b/>
                <w:color w:val="000000" w:themeColor="text1"/>
                <w:sz w:val="18"/>
                <w:szCs w:val="18"/>
              </w:rPr>
            </w:pPr>
            <w:r w:rsidRPr="000B14A4">
              <w:rPr>
                <w:rFonts w:cstheme="minorHAnsi"/>
                <w:b/>
                <w:color w:val="000000" w:themeColor="text1"/>
                <w:sz w:val="18"/>
                <w:szCs w:val="18"/>
              </w:rPr>
              <w:t>Objectifs et résultats clés de la SNADEA</w:t>
            </w:r>
          </w:p>
          <w:p w14:paraId="2EF3F14D" w14:textId="77777777" w:rsidR="008F2269" w:rsidRPr="000B14A4" w:rsidRDefault="008F2269" w:rsidP="002D1362">
            <w:pPr>
              <w:jc w:val="center"/>
              <w:rPr>
                <w:rFonts w:cstheme="minorHAnsi"/>
                <w:bCs/>
                <w:i/>
                <w:iCs/>
                <w:color w:val="000000" w:themeColor="text1"/>
                <w:sz w:val="18"/>
                <w:szCs w:val="18"/>
              </w:rPr>
            </w:pPr>
            <w:r w:rsidRPr="000B14A4">
              <w:rPr>
                <w:rFonts w:cstheme="minorHAnsi"/>
                <w:bCs/>
                <w:i/>
                <w:iCs/>
                <w:color w:val="000000" w:themeColor="text1"/>
                <w:sz w:val="18"/>
                <w:szCs w:val="18"/>
              </w:rPr>
              <w:t>(Source : Stratégie ou programme sectoriel en cours)</w:t>
            </w:r>
          </w:p>
        </w:tc>
        <w:tc>
          <w:tcPr>
            <w:tcW w:w="6945" w:type="dxa"/>
            <w:gridSpan w:val="3"/>
            <w:tcBorders>
              <w:bottom w:val="single" w:sz="4" w:space="0" w:color="auto"/>
            </w:tcBorders>
            <w:shd w:val="clear" w:color="auto" w:fill="auto"/>
            <w:vAlign w:val="center"/>
          </w:tcPr>
          <w:p w14:paraId="5F7CD95C" w14:textId="77777777" w:rsidR="008F2269" w:rsidRPr="000B14A4" w:rsidDel="005F3909" w:rsidRDefault="008F2269" w:rsidP="002D1362">
            <w:pPr>
              <w:jc w:val="center"/>
              <w:rPr>
                <w:rFonts w:cstheme="minorHAnsi"/>
                <w:b/>
                <w:color w:val="000000" w:themeColor="text1"/>
                <w:sz w:val="18"/>
                <w:szCs w:val="18"/>
              </w:rPr>
            </w:pPr>
            <w:r w:rsidRPr="000B14A4">
              <w:rPr>
                <w:rFonts w:cstheme="minorHAnsi"/>
                <w:b/>
                <w:color w:val="000000" w:themeColor="text1"/>
                <w:sz w:val="18"/>
                <w:szCs w:val="18"/>
              </w:rPr>
              <w:t>Analyse des enjeux climatiques et besoins</w:t>
            </w:r>
          </w:p>
        </w:tc>
      </w:tr>
      <w:tr w:rsidR="008F2269" w:rsidRPr="000B14A4" w14:paraId="2738DA98" w14:textId="77777777" w:rsidTr="002D1362">
        <w:trPr>
          <w:cantSplit/>
          <w:trHeight w:val="800"/>
        </w:trPr>
        <w:tc>
          <w:tcPr>
            <w:tcW w:w="2127" w:type="dxa"/>
            <w:vMerge/>
            <w:tcBorders>
              <w:right w:val="single" w:sz="4" w:space="0" w:color="auto"/>
            </w:tcBorders>
            <w:shd w:val="clear" w:color="auto" w:fill="auto"/>
            <w:textDirection w:val="btLr"/>
            <w:vAlign w:val="center"/>
          </w:tcPr>
          <w:p w14:paraId="73CFB868" w14:textId="77777777" w:rsidR="008F2269" w:rsidRPr="000B14A4" w:rsidRDefault="008F2269" w:rsidP="002D1362">
            <w:pPr>
              <w:jc w:val="center"/>
              <w:rPr>
                <w:rFonts w:cstheme="minorHAnsi"/>
                <w:b/>
                <w:color w:val="000000" w:themeColor="text1"/>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2E26033" w14:textId="77777777" w:rsidR="008F2269" w:rsidRPr="000B14A4" w:rsidRDefault="008F2269" w:rsidP="002D1362">
            <w:pPr>
              <w:jc w:val="center"/>
              <w:rPr>
                <w:rFonts w:cstheme="minorHAnsi"/>
                <w:sz w:val="18"/>
                <w:szCs w:val="18"/>
              </w:rPr>
            </w:pPr>
            <w:r w:rsidRPr="000B14A4">
              <w:rPr>
                <w:rFonts w:cstheme="minorHAnsi"/>
                <w:sz w:val="18"/>
                <w:szCs w:val="18"/>
              </w:rPr>
              <w:t>Principaux déterminants à l’exposition aux risques climatiques</w:t>
            </w:r>
          </w:p>
          <w:p w14:paraId="41914617" w14:textId="77777777" w:rsidR="008F2269" w:rsidRPr="000B14A4" w:rsidRDefault="008F2269" w:rsidP="002D1362">
            <w:pPr>
              <w:jc w:val="center"/>
              <w:rPr>
                <w:rFonts w:cstheme="minorHAnsi"/>
                <w:sz w:val="18"/>
                <w:szCs w:val="18"/>
              </w:rPr>
            </w:pPr>
            <w:r>
              <w:rPr>
                <w:rFonts w:cstheme="minorHAnsi"/>
                <w:sz w:val="18"/>
                <w:szCs w:val="18"/>
              </w:rPr>
              <w:t>(</w:t>
            </w:r>
            <w:r w:rsidRPr="000B14A4">
              <w:rPr>
                <w:rFonts w:cstheme="minorHAnsi"/>
                <w:sz w:val="18"/>
                <w:szCs w:val="18"/>
              </w:rPr>
              <w:t>CDN, CN et autres)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3AB7B9" w14:textId="77777777" w:rsidR="008F2269" w:rsidRPr="000B14A4" w:rsidRDefault="008F2269" w:rsidP="002D1362">
            <w:pPr>
              <w:ind w:left="-24" w:right="-108"/>
              <w:jc w:val="center"/>
              <w:rPr>
                <w:rFonts w:cstheme="minorHAnsi"/>
                <w:sz w:val="18"/>
                <w:szCs w:val="18"/>
              </w:rPr>
            </w:pPr>
            <w:r w:rsidRPr="000B14A4">
              <w:rPr>
                <w:rFonts w:cstheme="minorHAnsi"/>
                <w:sz w:val="18"/>
                <w:szCs w:val="18"/>
              </w:rPr>
              <w:t>Mesures, activités en cours ou programmée</w:t>
            </w:r>
            <w:r>
              <w:rPr>
                <w:rFonts w:cstheme="minorHAnsi"/>
                <w:sz w:val="18"/>
                <w:szCs w:val="18"/>
              </w:rPr>
              <w:t xml:space="preserve">s pour faire face au </w:t>
            </w:r>
            <w:r w:rsidRPr="000B14A4">
              <w:rPr>
                <w:rFonts w:cstheme="minorHAnsi"/>
                <w:sz w:val="18"/>
                <w:szCs w:val="18"/>
              </w:rPr>
              <w:t>CC</w:t>
            </w:r>
          </w:p>
          <w:p w14:paraId="50A71D1B" w14:textId="77777777" w:rsidR="008F2269" w:rsidRPr="000B14A4" w:rsidRDefault="008F2269" w:rsidP="002D1362">
            <w:pPr>
              <w:ind w:left="-103" w:right="-108"/>
              <w:jc w:val="center"/>
              <w:rPr>
                <w:rFonts w:cstheme="minorHAnsi"/>
                <w:sz w:val="18"/>
                <w:szCs w:val="18"/>
              </w:rPr>
            </w:pPr>
            <w:r w:rsidRPr="000B14A4">
              <w:rPr>
                <w:rFonts w:cstheme="minorHAnsi"/>
                <w:sz w:val="18"/>
                <w:szCs w:val="18"/>
              </w:rPr>
              <w:t>(Source : stratégies sectorielles, CDN,</w:t>
            </w:r>
            <w:r>
              <w:rPr>
                <w:rFonts w:cstheme="minorHAnsi"/>
                <w:sz w:val="18"/>
                <w:szCs w:val="18"/>
              </w:rPr>
              <w:t xml:space="preserve"> etc.</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6147A0A" w14:textId="77777777" w:rsidR="008F2269" w:rsidRPr="000B14A4" w:rsidRDefault="008F2269" w:rsidP="002D1362">
            <w:pPr>
              <w:jc w:val="center"/>
              <w:rPr>
                <w:rFonts w:cstheme="minorHAnsi"/>
                <w:sz w:val="18"/>
                <w:szCs w:val="18"/>
              </w:rPr>
            </w:pPr>
            <w:r w:rsidRPr="000B14A4">
              <w:rPr>
                <w:rFonts w:cstheme="minorHAnsi"/>
                <w:sz w:val="18"/>
                <w:szCs w:val="18"/>
              </w:rPr>
              <w:t>Lacunes et besoins pour l’adaptation au CC</w:t>
            </w:r>
            <w:r w:rsidRPr="009B630F">
              <w:rPr>
                <w:sz w:val="18"/>
                <w:szCs w:val="18"/>
                <w:vertAlign w:val="superscript"/>
              </w:rPr>
              <w:footnoteReference w:id="49"/>
            </w:r>
            <w:r w:rsidRPr="000B14A4">
              <w:rPr>
                <w:rFonts w:cstheme="minorHAnsi"/>
                <w:sz w:val="18"/>
                <w:szCs w:val="18"/>
              </w:rPr>
              <w:t xml:space="preserve"> en lien avec </w:t>
            </w:r>
            <w:r>
              <w:rPr>
                <w:rFonts w:cstheme="minorHAnsi"/>
                <w:sz w:val="18"/>
                <w:szCs w:val="18"/>
              </w:rPr>
              <w:t>la CN5</w:t>
            </w:r>
          </w:p>
          <w:p w14:paraId="4A9A9452" w14:textId="77777777" w:rsidR="008F2269" w:rsidRPr="000B14A4" w:rsidRDefault="008F2269" w:rsidP="002D1362">
            <w:pPr>
              <w:ind w:left="-107" w:right="-106"/>
              <w:jc w:val="center"/>
              <w:rPr>
                <w:rFonts w:cstheme="minorHAnsi"/>
                <w:sz w:val="18"/>
                <w:szCs w:val="18"/>
              </w:rPr>
            </w:pPr>
            <w:r w:rsidRPr="000B14A4">
              <w:rPr>
                <w:rFonts w:cstheme="minorHAnsi"/>
                <w:sz w:val="18"/>
                <w:szCs w:val="18"/>
              </w:rPr>
              <w:t>(Source : expert sectoriel)</w:t>
            </w:r>
          </w:p>
        </w:tc>
      </w:tr>
      <w:tr w:rsidR="008F2269" w:rsidRPr="000B14A4" w14:paraId="47140677" w14:textId="77777777" w:rsidTr="002D1362">
        <w:tc>
          <w:tcPr>
            <w:tcW w:w="2127" w:type="dxa"/>
            <w:shd w:val="clear" w:color="auto" w:fill="auto"/>
            <w:vAlign w:val="center"/>
          </w:tcPr>
          <w:p w14:paraId="4B26B3AA" w14:textId="77777777" w:rsidR="008F2269" w:rsidRPr="000B14A4" w:rsidRDefault="008F2269" w:rsidP="002D1362">
            <w:pPr>
              <w:ind w:right="-115"/>
              <w:rPr>
                <w:rFonts w:cstheme="minorHAnsi"/>
                <w:b/>
                <w:color w:val="000000" w:themeColor="text1"/>
                <w:sz w:val="18"/>
                <w:szCs w:val="18"/>
              </w:rPr>
            </w:pPr>
            <w:r w:rsidRPr="000B14A4">
              <w:rPr>
                <w:rFonts w:cstheme="minorHAnsi"/>
                <w:b/>
                <w:color w:val="000000" w:themeColor="text1"/>
                <w:sz w:val="18"/>
                <w:szCs w:val="18"/>
              </w:rPr>
              <w:t>Objectif stratégique 1</w:t>
            </w:r>
          </w:p>
        </w:tc>
        <w:tc>
          <w:tcPr>
            <w:tcW w:w="6945" w:type="dxa"/>
            <w:gridSpan w:val="3"/>
            <w:tcBorders>
              <w:top w:val="single" w:sz="4" w:space="0" w:color="auto"/>
            </w:tcBorders>
            <w:shd w:val="clear" w:color="auto" w:fill="B4C6E7" w:themeFill="accent1" w:themeFillTint="66"/>
          </w:tcPr>
          <w:p w14:paraId="26C74E4F" w14:textId="77777777" w:rsidR="008F2269" w:rsidRPr="000B14A4" w:rsidRDefault="008F2269" w:rsidP="002D1362">
            <w:pPr>
              <w:rPr>
                <w:rFonts w:cstheme="minorHAnsi"/>
                <w:color w:val="FF0000"/>
                <w:sz w:val="18"/>
                <w:szCs w:val="18"/>
              </w:rPr>
            </w:pPr>
          </w:p>
        </w:tc>
      </w:tr>
      <w:tr w:rsidR="008F2269" w:rsidRPr="000B14A4" w14:paraId="131917DC" w14:textId="77777777" w:rsidTr="002D1362">
        <w:tc>
          <w:tcPr>
            <w:tcW w:w="2127" w:type="dxa"/>
            <w:shd w:val="clear" w:color="auto" w:fill="auto"/>
            <w:vAlign w:val="center"/>
          </w:tcPr>
          <w:p w14:paraId="6648CDEF" w14:textId="77777777" w:rsidR="008F2269" w:rsidRPr="000B14A4" w:rsidRDefault="008F2269" w:rsidP="002D1362">
            <w:pPr>
              <w:ind w:right="-252"/>
              <w:rPr>
                <w:rFonts w:cstheme="minorHAnsi"/>
                <w:i/>
                <w:color w:val="000000" w:themeColor="text1"/>
                <w:sz w:val="18"/>
                <w:szCs w:val="18"/>
              </w:rPr>
            </w:pPr>
            <w:r w:rsidRPr="000B14A4">
              <w:rPr>
                <w:rFonts w:cstheme="minorHAnsi"/>
                <w:i/>
                <w:color w:val="000000" w:themeColor="text1"/>
                <w:sz w:val="18"/>
                <w:szCs w:val="18"/>
              </w:rPr>
              <w:t>Résultat clé attendu 1.1, etc.</w:t>
            </w:r>
          </w:p>
        </w:tc>
        <w:tc>
          <w:tcPr>
            <w:tcW w:w="2126" w:type="dxa"/>
          </w:tcPr>
          <w:p w14:paraId="12112756" w14:textId="77777777" w:rsidR="008F2269" w:rsidRPr="000B14A4" w:rsidRDefault="008F2269" w:rsidP="002D1362">
            <w:pPr>
              <w:rPr>
                <w:rFonts w:cstheme="minorHAnsi"/>
                <w:color w:val="FF0000"/>
                <w:sz w:val="18"/>
                <w:szCs w:val="18"/>
              </w:rPr>
            </w:pPr>
          </w:p>
        </w:tc>
        <w:tc>
          <w:tcPr>
            <w:tcW w:w="2835" w:type="dxa"/>
          </w:tcPr>
          <w:p w14:paraId="371EDC18" w14:textId="77777777" w:rsidR="008F2269" w:rsidRPr="000B14A4" w:rsidRDefault="008F2269" w:rsidP="002D1362">
            <w:pPr>
              <w:rPr>
                <w:rFonts w:cstheme="minorHAnsi"/>
                <w:color w:val="FF0000"/>
                <w:sz w:val="18"/>
                <w:szCs w:val="18"/>
              </w:rPr>
            </w:pPr>
          </w:p>
        </w:tc>
        <w:tc>
          <w:tcPr>
            <w:tcW w:w="1984" w:type="dxa"/>
          </w:tcPr>
          <w:p w14:paraId="35EE53FE" w14:textId="77777777" w:rsidR="008F2269" w:rsidRPr="000B14A4" w:rsidRDefault="008F2269" w:rsidP="002D1362">
            <w:pPr>
              <w:rPr>
                <w:rFonts w:cstheme="minorHAnsi"/>
                <w:color w:val="FF0000"/>
                <w:sz w:val="18"/>
                <w:szCs w:val="18"/>
              </w:rPr>
            </w:pPr>
          </w:p>
        </w:tc>
      </w:tr>
    </w:tbl>
    <w:p w14:paraId="44B50B91" w14:textId="77777777" w:rsidR="008F2269" w:rsidRDefault="008F2269" w:rsidP="008F2269">
      <w:pPr>
        <w:jc w:val="both"/>
        <w:rPr>
          <w:rFonts w:eastAsiaTheme="minorEastAsia"/>
          <w:lang w:bidi="en-US"/>
        </w:rPr>
      </w:pPr>
      <w:bookmarkStart w:id="82" w:name="_Toc57057429"/>
      <w:bookmarkStart w:id="83" w:name="_Toc57134593"/>
    </w:p>
    <w:p w14:paraId="70899FCD" w14:textId="77777777" w:rsidR="008F2269" w:rsidRPr="001F17D6" w:rsidRDefault="008F2269" w:rsidP="008F2269">
      <w:pPr>
        <w:jc w:val="both"/>
        <w:rPr>
          <w:rFonts w:eastAsiaTheme="minorEastAsia"/>
          <w:lang w:bidi="en-US"/>
        </w:rPr>
      </w:pPr>
      <w:r w:rsidRPr="001F17D6">
        <w:rPr>
          <w:rFonts w:eastAsiaTheme="minorEastAsia"/>
          <w:lang w:bidi="en-US"/>
        </w:rPr>
        <w:t>Pour ce faire, il est obligatoire de tenir des réunions d’informations avec toutes les parties prenantes afin de bien mener et d’une manière concertée cette mission.</w:t>
      </w:r>
    </w:p>
    <w:p w14:paraId="6AC46B6A" w14:textId="77777777" w:rsidR="008F2269" w:rsidRPr="001F17D6" w:rsidRDefault="008F2269" w:rsidP="008F2269">
      <w:pPr>
        <w:rPr>
          <w:rFonts w:eastAsiaTheme="minorEastAsia"/>
          <w:lang w:bidi="en-US"/>
        </w:rPr>
      </w:pPr>
      <w:r w:rsidRPr="001F17D6">
        <w:rPr>
          <w:rFonts w:eastAsiaTheme="minorEastAsia"/>
          <w:lang w:bidi="en-US"/>
        </w:rPr>
        <w:t>L’intervention repose sur six étapes déclinées comme suit :</w:t>
      </w:r>
    </w:p>
    <w:p w14:paraId="0C59A9BD" w14:textId="77777777" w:rsidR="008F2269" w:rsidRPr="001F17D6" w:rsidRDefault="008F2269" w:rsidP="008F2269">
      <w:pPr>
        <w:pStyle w:val="Paragraphedeliste"/>
        <w:numPr>
          <w:ilvl w:val="0"/>
          <w:numId w:val="144"/>
        </w:numPr>
        <w:spacing w:after="0" w:line="240" w:lineRule="auto"/>
        <w:jc w:val="both"/>
      </w:pPr>
      <w:r w:rsidRPr="001F17D6">
        <w:t>La tenue d’une réunion d’information avec les parties prenantes</w:t>
      </w:r>
      <w:r>
        <w:t>, C</w:t>
      </w:r>
      <w:r w:rsidRPr="001F17D6">
        <w:t xml:space="preserve">oordinateur du Programme, </w:t>
      </w:r>
      <w:r>
        <w:t>M</w:t>
      </w:r>
      <w:r w:rsidRPr="001F17D6">
        <w:t xml:space="preserve">inistère </w:t>
      </w:r>
      <w:r>
        <w:t>de l’Hydraulique et de l’Assainissement</w:t>
      </w:r>
      <w:r w:rsidRPr="001F17D6">
        <w:t xml:space="preserve">, </w:t>
      </w:r>
      <w:r>
        <w:t xml:space="preserve">les </w:t>
      </w:r>
      <w:r w:rsidRPr="001F17D6">
        <w:t xml:space="preserve">personnes ressources de </w:t>
      </w:r>
      <w:r>
        <w:t>des autres Départements</w:t>
      </w:r>
      <w:r w:rsidRPr="001F17D6">
        <w:t xml:space="preserve">, …. </w:t>
      </w:r>
      <w:r>
        <w:t>e</w:t>
      </w:r>
      <w:r w:rsidRPr="001F17D6">
        <w:t>tc. ;</w:t>
      </w:r>
    </w:p>
    <w:p w14:paraId="66D15E3F" w14:textId="77777777" w:rsidR="008F2269" w:rsidRPr="001F17D6" w:rsidRDefault="008F2269" w:rsidP="008F2269">
      <w:pPr>
        <w:pStyle w:val="Paragraphedeliste"/>
        <w:numPr>
          <w:ilvl w:val="0"/>
          <w:numId w:val="144"/>
        </w:numPr>
        <w:spacing w:after="0" w:line="240" w:lineRule="auto"/>
        <w:jc w:val="both"/>
      </w:pPr>
      <w:r w:rsidRPr="001F17D6">
        <w:t>L’identification des parties prenantes impliquées dans le secteur et collecte des informations sur les changements climatiques, les données climatiques sur le secteur ;</w:t>
      </w:r>
    </w:p>
    <w:p w14:paraId="091985A2" w14:textId="77777777" w:rsidR="008F2269" w:rsidRPr="001F17D6" w:rsidRDefault="008F2269" w:rsidP="008F2269">
      <w:pPr>
        <w:pStyle w:val="Paragraphedeliste"/>
        <w:numPr>
          <w:ilvl w:val="0"/>
          <w:numId w:val="144"/>
        </w:numPr>
        <w:spacing w:after="0" w:line="240" w:lineRule="auto"/>
        <w:jc w:val="both"/>
      </w:pPr>
      <w:r w:rsidRPr="001F17D6">
        <w:t>La réalisation d’un diagnostic participatif de la vulnérabilité du secteur</w:t>
      </w:r>
    </w:p>
    <w:p w14:paraId="33285D29" w14:textId="77777777" w:rsidR="008F2269" w:rsidRPr="001F17D6" w:rsidRDefault="008F2269" w:rsidP="008F2269">
      <w:pPr>
        <w:pStyle w:val="Paragraphedeliste"/>
        <w:numPr>
          <w:ilvl w:val="0"/>
          <w:numId w:val="144"/>
        </w:numPr>
        <w:spacing w:after="0" w:line="240" w:lineRule="auto"/>
        <w:jc w:val="both"/>
      </w:pPr>
      <w:r w:rsidRPr="001F17D6">
        <w:t xml:space="preserve"> Collecter les données et les informations ;</w:t>
      </w:r>
    </w:p>
    <w:p w14:paraId="2E8AC869" w14:textId="77777777" w:rsidR="008F2269" w:rsidRPr="001F17D6" w:rsidRDefault="008F2269" w:rsidP="008F2269">
      <w:pPr>
        <w:pStyle w:val="Paragraphedeliste"/>
        <w:numPr>
          <w:ilvl w:val="0"/>
          <w:numId w:val="144"/>
        </w:numPr>
        <w:spacing w:after="0" w:line="240" w:lineRule="auto"/>
        <w:jc w:val="both"/>
      </w:pPr>
      <w:r w:rsidRPr="001F17D6">
        <w:t>Identifier et analyser les forces, faiblesses, contraintes, opportunités et menaces ;</w:t>
      </w:r>
    </w:p>
    <w:p w14:paraId="1D3727CF" w14:textId="77777777" w:rsidR="008F2269" w:rsidRPr="001F17D6" w:rsidRDefault="008F2269" w:rsidP="008F2269">
      <w:pPr>
        <w:pStyle w:val="Paragraphedeliste"/>
        <w:numPr>
          <w:ilvl w:val="0"/>
          <w:numId w:val="144"/>
        </w:numPr>
        <w:spacing w:after="0" w:line="240" w:lineRule="auto"/>
        <w:jc w:val="both"/>
      </w:pPr>
      <w:r w:rsidRPr="001F17D6">
        <w:t xml:space="preserve">Traitement des informations et données collectées, l’analyse des résultats et la production du livrable (rapport final) décrivant </w:t>
      </w:r>
      <w:r>
        <w:t xml:space="preserve">la vulnérabilité/adaptation du Secteur, </w:t>
      </w:r>
      <w:r w:rsidRPr="001F17D6">
        <w:t>les résultats obtenus et les recommandations.</w:t>
      </w:r>
    </w:p>
    <w:p w14:paraId="67FEE47F" w14:textId="77777777" w:rsidR="008F2269" w:rsidRDefault="008F2269" w:rsidP="008F2269">
      <w:pPr>
        <w:pStyle w:val="Paragraphedeliste"/>
        <w:spacing w:line="480" w:lineRule="auto"/>
        <w:ind w:left="360"/>
        <w:jc w:val="both"/>
        <w:outlineLvl w:val="1"/>
        <w:rPr>
          <w:rFonts w:cstheme="minorHAnsi"/>
          <w:b/>
        </w:rPr>
      </w:pPr>
      <w:bookmarkStart w:id="84" w:name="_Toc180318667"/>
      <w:bookmarkStart w:id="85" w:name="_Toc57057430"/>
      <w:bookmarkEnd w:id="82"/>
      <w:bookmarkEnd w:id="83"/>
      <w:r>
        <w:rPr>
          <w:rFonts w:cstheme="minorHAnsi"/>
          <w:b/>
        </w:rPr>
        <w:t>NB : Certains projets connus au niveau des eaux souterraines figurent dans le livrable.</w:t>
      </w:r>
      <w:bookmarkEnd w:id="84"/>
    </w:p>
    <w:p w14:paraId="3890D419" w14:textId="77777777" w:rsidR="008F2269" w:rsidRDefault="008F2269" w:rsidP="008F2269">
      <w:pPr>
        <w:pStyle w:val="Paragraphedeliste"/>
        <w:numPr>
          <w:ilvl w:val="1"/>
          <w:numId w:val="120"/>
        </w:numPr>
        <w:suppressAutoHyphens/>
        <w:autoSpaceDN w:val="0"/>
        <w:spacing w:after="120" w:line="240" w:lineRule="auto"/>
        <w:ind w:left="0" w:firstLine="0"/>
        <w:jc w:val="both"/>
        <w:textAlignment w:val="baseline"/>
        <w:outlineLvl w:val="1"/>
        <w:rPr>
          <w:rFonts w:cstheme="minorHAnsi"/>
          <w:b/>
        </w:rPr>
      </w:pPr>
      <w:bookmarkStart w:id="86" w:name="_Toc175564478"/>
      <w:bookmarkStart w:id="87" w:name="_Toc180318668"/>
      <w:r w:rsidRPr="00E31958">
        <w:rPr>
          <w:rFonts w:cstheme="minorHAnsi"/>
          <w:b/>
        </w:rPr>
        <w:t>Clarification de certains concepts</w:t>
      </w:r>
      <w:bookmarkEnd w:id="86"/>
      <w:r>
        <w:rPr>
          <w:rFonts w:cstheme="minorHAnsi"/>
          <w:b/>
        </w:rPr>
        <w:t xml:space="preserve"> en lien avec les changements climatiques. Ces concepts sont fournis pour que vous en faites usage dans votre évaluation de la vulnérabilité du secteur au CC….</w:t>
      </w:r>
      <w:bookmarkEnd w:id="87"/>
    </w:p>
    <w:p w14:paraId="27259581" w14:textId="77777777" w:rsidR="008F2269" w:rsidRPr="006E2E42" w:rsidRDefault="008F2269" w:rsidP="008F2269">
      <w:pPr>
        <w:jc w:val="both"/>
        <w:rPr>
          <w:rFonts w:cstheme="minorHAnsi"/>
          <w:b/>
        </w:rPr>
      </w:pPr>
      <w:bookmarkStart w:id="88" w:name="_Toc176164629"/>
      <w:r w:rsidRPr="006E2E42">
        <w:t>Les pertes et préjudices représentent la manifestation réell</w:t>
      </w:r>
      <w:r>
        <w:t xml:space="preserve">e et/ou potentielle des impacts climatiques </w:t>
      </w:r>
      <w:r w:rsidRPr="006E2E42">
        <w:t>qui influent négativement les systèmes humains et naturels.</w:t>
      </w:r>
      <w:bookmarkEnd w:id="88"/>
    </w:p>
    <w:p w14:paraId="67E54835" w14:textId="77777777" w:rsidR="008F2269" w:rsidRDefault="008F2269" w:rsidP="008F2269">
      <w:pPr>
        <w:spacing w:line="240" w:lineRule="auto"/>
        <w:jc w:val="both"/>
        <w:rPr>
          <w:rFonts w:eastAsia="Calibri" w:cs="Times New Roman"/>
        </w:rPr>
      </w:pPr>
      <w:r w:rsidRPr="00735401">
        <w:rPr>
          <w:rFonts w:eastAsia="Calibri" w:cs="Times New Roman"/>
          <w:b/>
          <w:bCs/>
        </w:rPr>
        <w:t>Les « préjudices »</w:t>
      </w:r>
      <w:r w:rsidRPr="009F56D3">
        <w:rPr>
          <w:rFonts w:eastAsia="Calibri" w:cs="Times New Roman"/>
        </w:rPr>
        <w:t xml:space="preserve"> peuvent être considérés comme des impacts négatifs qui peuvent être</w:t>
      </w:r>
      <w:r>
        <w:rPr>
          <w:rFonts w:eastAsia="Calibri" w:cs="Times New Roman"/>
        </w:rPr>
        <w:t xml:space="preserve"> </w:t>
      </w:r>
      <w:r w:rsidRPr="009F56D3">
        <w:rPr>
          <w:rFonts w:eastAsia="Calibri" w:cs="Times New Roman"/>
        </w:rPr>
        <w:t>réparés ou restaurés (tels que les dommages au toit d'un bâtiment dus à une tempête ou les</w:t>
      </w:r>
      <w:r>
        <w:rPr>
          <w:rFonts w:eastAsia="Calibri" w:cs="Times New Roman"/>
        </w:rPr>
        <w:t xml:space="preserve"> </w:t>
      </w:r>
      <w:r w:rsidRPr="009F56D3">
        <w:rPr>
          <w:rFonts w:eastAsia="Calibri" w:cs="Times New Roman"/>
        </w:rPr>
        <w:t>dommages dus à un ouragan subis par une mangrove côtière et affectant des villages).</w:t>
      </w:r>
      <w:r>
        <w:rPr>
          <w:rFonts w:eastAsia="Calibri" w:cs="Times New Roman"/>
        </w:rPr>
        <w:t xml:space="preserve"> </w:t>
      </w:r>
    </w:p>
    <w:p w14:paraId="62100AFE" w14:textId="77777777" w:rsidR="008F2269" w:rsidRPr="00BA6B0F" w:rsidRDefault="008F2269" w:rsidP="008F2269">
      <w:pPr>
        <w:jc w:val="both"/>
        <w:rPr>
          <w:rFonts w:eastAsia="Calibri" w:cs="Times New Roman"/>
        </w:rPr>
      </w:pPr>
      <w:r w:rsidRPr="00735401">
        <w:rPr>
          <w:rFonts w:eastAsia="Calibri" w:cs="Times New Roman"/>
          <w:b/>
          <w:bCs/>
        </w:rPr>
        <w:t>Les « pertes »</w:t>
      </w:r>
      <w:r w:rsidRPr="009F56D3">
        <w:rPr>
          <w:rFonts w:eastAsia="Calibri" w:cs="Times New Roman"/>
        </w:rPr>
        <w:t xml:space="preserve"> peuvent être caractérisées comme des impacts </w:t>
      </w:r>
      <w:r>
        <w:rPr>
          <w:rFonts w:eastAsia="Calibri" w:cs="Times New Roman"/>
        </w:rPr>
        <w:t xml:space="preserve">négatifs qui ne peuvent pas être </w:t>
      </w:r>
      <w:r w:rsidRPr="009F56D3">
        <w:rPr>
          <w:rFonts w:eastAsia="Calibri" w:cs="Times New Roman"/>
        </w:rPr>
        <w:t>réparés ou restaurés (comme la perte de sources d'eau douce géologique liée à la fonte des</w:t>
      </w:r>
      <w:r>
        <w:rPr>
          <w:rFonts w:eastAsia="Calibri" w:cs="Times New Roman"/>
        </w:rPr>
        <w:t xml:space="preserve"> </w:t>
      </w:r>
      <w:r w:rsidRPr="009F56D3">
        <w:rPr>
          <w:rFonts w:eastAsia="Calibri" w:cs="Times New Roman"/>
        </w:rPr>
        <w:t>glaciers ou à la désertification, ou la perte d’éléments cultur</w:t>
      </w:r>
      <w:r>
        <w:rPr>
          <w:rFonts w:eastAsia="Calibri" w:cs="Times New Roman"/>
        </w:rPr>
        <w:t xml:space="preserve">els ou du patrimoine associée au </w:t>
      </w:r>
      <w:r w:rsidRPr="009F56D3">
        <w:rPr>
          <w:rFonts w:eastAsia="Calibri" w:cs="Times New Roman"/>
        </w:rPr>
        <w:t>déplacement d’une population en dehors de zones devenues inhospitalières au fil du temps</w:t>
      </w:r>
      <w:r>
        <w:rPr>
          <w:rFonts w:eastAsia="Calibri" w:cs="Times New Roman"/>
        </w:rPr>
        <w:t xml:space="preserve"> </w:t>
      </w:r>
      <w:r w:rsidRPr="00BA6B0F">
        <w:rPr>
          <w:rFonts w:eastAsia="Calibri" w:cs="Times New Roman"/>
        </w:rPr>
        <w:t>ove côtière e</w:t>
      </w:r>
      <w:r>
        <w:rPr>
          <w:rFonts w:eastAsia="Calibri" w:cs="Times New Roman"/>
        </w:rPr>
        <w:t>t affectant des villages) Les « </w:t>
      </w:r>
      <w:r w:rsidRPr="00BA6B0F">
        <w:rPr>
          <w:rFonts w:eastAsia="Calibri" w:cs="Times New Roman"/>
        </w:rPr>
        <w:t>pertes » peuvent être caractérisées comme des impacts négatifs qui ne peuvent pas être</w:t>
      </w:r>
      <w:r>
        <w:rPr>
          <w:rFonts w:eastAsia="Calibri" w:cs="Times New Roman"/>
        </w:rPr>
        <w:t xml:space="preserve"> </w:t>
      </w:r>
      <w:r w:rsidRPr="00BA6B0F">
        <w:rPr>
          <w:rFonts w:eastAsia="Calibri" w:cs="Times New Roman"/>
        </w:rPr>
        <w:t>réparés ou restaurés (comme la perte de sources d'eau douce géologique liée à la fonte des</w:t>
      </w:r>
      <w:r>
        <w:rPr>
          <w:rFonts w:eastAsia="Calibri" w:cs="Times New Roman"/>
        </w:rPr>
        <w:t xml:space="preserve"> </w:t>
      </w:r>
      <w:r w:rsidRPr="00BA6B0F">
        <w:rPr>
          <w:rFonts w:eastAsia="Calibri" w:cs="Times New Roman"/>
        </w:rPr>
        <w:t>glaciers ou à la désertification, ou la perte d’éléments culturels ou du patrimoine associée au</w:t>
      </w:r>
      <w:r>
        <w:rPr>
          <w:rFonts w:eastAsia="Calibri" w:cs="Times New Roman"/>
        </w:rPr>
        <w:t xml:space="preserve"> </w:t>
      </w:r>
      <w:r w:rsidRPr="00BA6B0F">
        <w:rPr>
          <w:rFonts w:eastAsia="Calibri" w:cs="Times New Roman"/>
        </w:rPr>
        <w:t>déplacement d’une population en dehors de zones devenues inhospitalières au fil du temps</w:t>
      </w:r>
      <w:r>
        <w:rPr>
          <w:rFonts w:eastAsia="Calibri" w:cs="Times New Roman"/>
        </w:rPr>
        <w:t xml:space="preserve"> </w:t>
      </w:r>
      <w:r w:rsidRPr="00BA6B0F">
        <w:rPr>
          <w:rFonts w:eastAsia="Calibri" w:cs="Times New Roman"/>
        </w:rPr>
        <w:t>avec les changements climatiques).</w:t>
      </w:r>
    </w:p>
    <w:p w14:paraId="1C82A823" w14:textId="77777777" w:rsidR="008F2269" w:rsidRDefault="008F2269" w:rsidP="008F2269">
      <w:pPr>
        <w:rPr>
          <w:rFonts w:eastAsia="Calibri" w:cs="Times New Roman"/>
        </w:rPr>
      </w:pPr>
      <w:bookmarkStart w:id="89" w:name="_Hlk176872171"/>
      <w:r w:rsidRPr="00BA6B0F">
        <w:rPr>
          <w:rFonts w:eastAsia="Calibri" w:cs="Times New Roman"/>
        </w:rPr>
        <w:t>Figure</w:t>
      </w:r>
      <w:r>
        <w:rPr>
          <w:rFonts w:eastAsia="Calibri" w:cs="Times New Roman"/>
        </w:rPr>
        <w:t xml:space="preserve"> 2</w:t>
      </w:r>
      <w:r w:rsidRPr="00BA6B0F">
        <w:rPr>
          <w:rFonts w:eastAsia="Calibri" w:cs="Times New Roman"/>
        </w:rPr>
        <w:t xml:space="preserve"> : Bases conceptuelles de l'adaptation et de l'atténuation</w:t>
      </w:r>
      <w:r>
        <w:rPr>
          <w:rFonts w:eastAsia="Calibri" w:cs="Times New Roman"/>
        </w:rPr>
        <w:t xml:space="preserve"> </w:t>
      </w:r>
      <w:r w:rsidRPr="009F56D3">
        <w:rPr>
          <w:rFonts w:eastAsia="Calibri" w:cs="Times New Roman"/>
        </w:rPr>
        <w:t>avec les changements climatiques).</w:t>
      </w:r>
    </w:p>
    <w:p w14:paraId="5B7915D6" w14:textId="77777777" w:rsidR="008F2269" w:rsidRPr="009F56D3" w:rsidRDefault="008F2269" w:rsidP="008F2269">
      <w:pPr>
        <w:spacing w:line="480" w:lineRule="auto"/>
        <w:outlineLvl w:val="1"/>
        <w:rPr>
          <w:rFonts w:ascii="Calibri" w:hAnsi="Calibri" w:cstheme="minorHAnsi"/>
          <w:b/>
        </w:rPr>
      </w:pPr>
      <w:bookmarkStart w:id="90" w:name="_Toc175564479"/>
      <w:bookmarkStart w:id="91" w:name="_Toc176164630"/>
      <w:bookmarkStart w:id="92" w:name="_Toc176768858"/>
      <w:bookmarkStart w:id="93" w:name="_Toc180229537"/>
      <w:bookmarkStart w:id="94" w:name="_Toc180318669"/>
      <w:bookmarkEnd w:id="89"/>
      <w:r w:rsidRPr="009F56D3">
        <w:rPr>
          <w:rFonts w:cstheme="minorHAnsi"/>
          <w:bCs/>
          <w:noProof/>
          <w:lang w:eastAsia="fr-FR"/>
        </w:rPr>
        <w:drawing>
          <wp:inline distT="0" distB="0" distL="0" distR="0" wp14:anchorId="1CC0103F" wp14:editId="0F3C029A">
            <wp:extent cx="5142015" cy="2196934"/>
            <wp:effectExtent l="0" t="0" r="1905" b="0"/>
            <wp:docPr id="455430559" name="Image 455430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6186" t="29444" r="40618" b="7579"/>
                    <a:stretch/>
                  </pic:blipFill>
                  <pic:spPr bwMode="auto">
                    <a:xfrm>
                      <a:off x="0" y="0"/>
                      <a:ext cx="5143078" cy="2197388"/>
                    </a:xfrm>
                    <a:prstGeom prst="rect">
                      <a:avLst/>
                    </a:prstGeom>
                    <a:ln>
                      <a:noFill/>
                    </a:ln>
                    <a:extLst>
                      <a:ext uri="{53640926-AAD7-44D8-BBD7-CCE9431645EC}">
                        <a14:shadowObscured xmlns:a14="http://schemas.microsoft.com/office/drawing/2010/main"/>
                      </a:ext>
                    </a:extLst>
                  </pic:spPr>
                </pic:pic>
              </a:graphicData>
            </a:graphic>
          </wp:inline>
        </w:drawing>
      </w:r>
      <w:bookmarkEnd w:id="90"/>
      <w:bookmarkEnd w:id="91"/>
      <w:bookmarkEnd w:id="92"/>
      <w:bookmarkEnd w:id="93"/>
      <w:bookmarkEnd w:id="94"/>
    </w:p>
    <w:p w14:paraId="4F47ABC0" w14:textId="77777777" w:rsidR="008F2269" w:rsidRPr="00E30D70" w:rsidRDefault="008F2269" w:rsidP="008F2269">
      <w:pPr>
        <w:rPr>
          <w:rFonts w:cstheme="minorHAnsi"/>
          <w:bCs/>
        </w:rPr>
      </w:pPr>
      <w:r w:rsidRPr="008F4C42">
        <w:rPr>
          <w:rFonts w:cstheme="minorHAnsi"/>
          <w:b/>
        </w:rPr>
        <w:t>Des relations dynamiques entre vulnérabilité et adaptation</w:t>
      </w:r>
      <w:r w:rsidRPr="00E30D70">
        <w:rPr>
          <w:rFonts w:cstheme="minorHAnsi"/>
          <w:bCs/>
        </w:rPr>
        <w:t>.</w:t>
      </w:r>
    </w:p>
    <w:p w14:paraId="0B94CC01" w14:textId="77777777" w:rsidR="008F2269" w:rsidRDefault="008F2269" w:rsidP="008F2269">
      <w:pPr>
        <w:jc w:val="both"/>
        <w:rPr>
          <w:rFonts w:cstheme="minorHAnsi"/>
          <w:bCs/>
        </w:rPr>
      </w:pPr>
      <w:r w:rsidRPr="00E30D70">
        <w:rPr>
          <w:rFonts w:cstheme="minorHAnsi"/>
          <w:bCs/>
        </w:rPr>
        <w:t>L’essence même de l’analyse de la vulnérabilité d’un système est de comprendre comment ce dernier fonctionne (quels risques ? Quels enjeux ? Quelles régulations sont nécessaires ?), pour ensuite envisager des scénarios d’avenir et proposer des réponses pragmatiques. En retour, la mise en œuvre de stratégies d’adaptation a pour but de réduire la vulnérabilité du territoire aux risques naturels sur le long terme.</w:t>
      </w:r>
    </w:p>
    <w:p w14:paraId="66630160" w14:textId="77777777" w:rsidR="008F2269" w:rsidRPr="00A27564" w:rsidRDefault="008F2269" w:rsidP="008F2269">
      <w:pPr>
        <w:rPr>
          <w:rFonts w:cstheme="minorHAnsi"/>
          <w:b/>
        </w:rPr>
      </w:pPr>
      <w:r w:rsidRPr="00A27564">
        <w:rPr>
          <w:rFonts w:cstheme="minorHAnsi"/>
          <w:b/>
        </w:rPr>
        <w:t xml:space="preserve">La capacité d’adaptation </w:t>
      </w:r>
    </w:p>
    <w:p w14:paraId="7F38B6DC" w14:textId="77777777" w:rsidR="008F2269" w:rsidRDefault="008F2269" w:rsidP="008F2269">
      <w:pPr>
        <w:jc w:val="both"/>
        <w:rPr>
          <w:rFonts w:cstheme="minorHAnsi"/>
          <w:bCs/>
        </w:rPr>
      </w:pPr>
      <w:r w:rsidRPr="00A27564">
        <w:rPr>
          <w:rFonts w:cstheme="minorHAnsi"/>
          <w:bCs/>
        </w:rPr>
        <w:t>« Ensemble des capacités, des ressources et des institutions d’un pays ou d’une région lui</w:t>
      </w:r>
      <w:r>
        <w:rPr>
          <w:rFonts w:cstheme="minorHAnsi"/>
          <w:bCs/>
        </w:rPr>
        <w:t xml:space="preserve"> </w:t>
      </w:r>
      <w:r w:rsidRPr="00A27564">
        <w:rPr>
          <w:rFonts w:cstheme="minorHAnsi"/>
          <w:bCs/>
        </w:rPr>
        <w:t>permettant de mettre en œuvre des mesures d’adaptation efficaces » (GIEC, 2008). (1) Les</w:t>
      </w:r>
      <w:r>
        <w:rPr>
          <w:rFonts w:cstheme="minorHAnsi"/>
          <w:bCs/>
        </w:rPr>
        <w:t xml:space="preserve"> </w:t>
      </w:r>
      <w:r w:rsidRPr="00A27564">
        <w:rPr>
          <w:rFonts w:cstheme="minorHAnsi"/>
          <w:bCs/>
        </w:rPr>
        <w:t>compétences, connaissances et ressources nécessaires pour s’acquitter d’une fonction. (2)</w:t>
      </w:r>
    </w:p>
    <w:p w14:paraId="3DCC00D8" w14:textId="77777777" w:rsidR="008F2269" w:rsidRDefault="008F2269" w:rsidP="008F2269">
      <w:pPr>
        <w:jc w:val="both"/>
        <w:rPr>
          <w:rFonts w:cstheme="minorHAnsi"/>
          <w:bCs/>
        </w:rPr>
      </w:pPr>
      <w:r w:rsidRPr="006C14CE">
        <w:rPr>
          <w:rFonts w:cstheme="minorHAnsi"/>
          <w:bCs/>
        </w:rPr>
        <w:t>« Accroître la capacité d'adaptation fait partie des stratégies d'adaptation, et un système avec</w:t>
      </w:r>
      <w:r>
        <w:rPr>
          <w:rFonts w:cstheme="minorHAnsi"/>
          <w:bCs/>
        </w:rPr>
        <w:t xml:space="preserve"> </w:t>
      </w:r>
      <w:r w:rsidRPr="006C14CE">
        <w:rPr>
          <w:rFonts w:cstheme="minorHAnsi"/>
          <w:bCs/>
        </w:rPr>
        <w:t>de nombreuses options d'adaptation a généralement une plus grande capacité de s'adapter</w:t>
      </w:r>
      <w:r>
        <w:rPr>
          <w:rFonts w:cstheme="minorHAnsi"/>
          <w:bCs/>
        </w:rPr>
        <w:t xml:space="preserve"> </w:t>
      </w:r>
      <w:r w:rsidRPr="006C14CE">
        <w:rPr>
          <w:rFonts w:cstheme="minorHAnsi"/>
          <w:bCs/>
        </w:rPr>
        <w:t>qu'un système n'en ayant que peu ou pas. Certains pensent que la capacité d'adaptation peut</w:t>
      </w:r>
      <w:r>
        <w:rPr>
          <w:rFonts w:cstheme="minorHAnsi"/>
          <w:bCs/>
        </w:rPr>
        <w:t xml:space="preserve"> </w:t>
      </w:r>
      <w:r w:rsidRPr="006C14CE">
        <w:rPr>
          <w:rFonts w:cstheme="minorHAnsi"/>
          <w:bCs/>
        </w:rPr>
        <w:t>être vue comme un potentiel d'adaptation et, lorsque la capacité d'adaptation est utilisée à</w:t>
      </w:r>
      <w:r>
        <w:rPr>
          <w:rFonts w:cstheme="minorHAnsi"/>
          <w:bCs/>
        </w:rPr>
        <w:t xml:space="preserve"> </w:t>
      </w:r>
      <w:r w:rsidRPr="006C14CE">
        <w:rPr>
          <w:rFonts w:cstheme="minorHAnsi"/>
          <w:bCs/>
        </w:rPr>
        <w:t>cette fin, la vulnérabilité s'en trouve réduite ».</w:t>
      </w:r>
    </w:p>
    <w:p w14:paraId="56494019" w14:textId="77777777" w:rsidR="008F2269" w:rsidRPr="00735401" w:rsidRDefault="008F2269" w:rsidP="008F2269">
      <w:pPr>
        <w:rPr>
          <w:rFonts w:cstheme="minorHAnsi"/>
          <w:b/>
        </w:rPr>
      </w:pPr>
      <w:r w:rsidRPr="00735401">
        <w:rPr>
          <w:rFonts w:cstheme="minorHAnsi"/>
          <w:b/>
        </w:rPr>
        <w:t>La vulnérabilité :</w:t>
      </w:r>
    </w:p>
    <w:p w14:paraId="532CF2EC" w14:textId="77777777" w:rsidR="008F2269" w:rsidRPr="00E30D70" w:rsidRDefault="008F2269" w:rsidP="008F2269">
      <w:pPr>
        <w:jc w:val="both"/>
        <w:rPr>
          <w:rFonts w:cstheme="minorHAnsi"/>
          <w:bCs/>
        </w:rPr>
      </w:pPr>
      <w:r w:rsidRPr="00E30D70">
        <w:rPr>
          <w:rFonts w:cstheme="minorHAnsi"/>
          <w:bCs/>
        </w:rPr>
        <w:t>« Mesure dans laquelle un système est sensible – ou incapable de faire face – aux effets</w:t>
      </w:r>
      <w:r>
        <w:rPr>
          <w:rFonts w:cstheme="minorHAnsi"/>
          <w:bCs/>
        </w:rPr>
        <w:t xml:space="preserve"> </w:t>
      </w:r>
      <w:r w:rsidRPr="00E30D70">
        <w:rPr>
          <w:rFonts w:cstheme="minorHAnsi"/>
          <w:bCs/>
        </w:rPr>
        <w:t>défavorables des changements climatiques, y compris la variabilité du climat et les</w:t>
      </w:r>
      <w:r>
        <w:rPr>
          <w:rFonts w:cstheme="minorHAnsi"/>
          <w:bCs/>
        </w:rPr>
        <w:t xml:space="preserve"> </w:t>
      </w:r>
      <w:r w:rsidRPr="00E30D70">
        <w:rPr>
          <w:rFonts w:cstheme="minorHAnsi"/>
          <w:bCs/>
        </w:rPr>
        <w:t>phénomènes extrêmes. La vulnérabilité est fonction de la nature, de l’ampleur et du rythme</w:t>
      </w:r>
      <w:r>
        <w:rPr>
          <w:rFonts w:cstheme="minorHAnsi"/>
          <w:bCs/>
        </w:rPr>
        <w:t xml:space="preserve"> de</w:t>
      </w:r>
      <w:r w:rsidRPr="00E30D70">
        <w:rPr>
          <w:rFonts w:cstheme="minorHAnsi"/>
          <w:bCs/>
        </w:rPr>
        <w:t xml:space="preserve"> l’évolution et de la variation du climat à laquelle le système considéré est exposé, de la</w:t>
      </w:r>
      <w:r>
        <w:rPr>
          <w:rFonts w:cstheme="minorHAnsi"/>
          <w:bCs/>
        </w:rPr>
        <w:t xml:space="preserve"> </w:t>
      </w:r>
      <w:r w:rsidRPr="00E30D70">
        <w:rPr>
          <w:rFonts w:cstheme="minorHAnsi"/>
          <w:bCs/>
        </w:rPr>
        <w:t>sensibilité de ce système et de sa capacité d’adaptation » (Définition du GIEC, 2008).</w:t>
      </w:r>
    </w:p>
    <w:p w14:paraId="7E701A87" w14:textId="77777777" w:rsidR="008F2269" w:rsidRPr="00735401" w:rsidRDefault="008F2269" w:rsidP="008F2269">
      <w:pPr>
        <w:rPr>
          <w:rFonts w:cstheme="minorHAnsi"/>
          <w:bCs/>
        </w:rPr>
      </w:pPr>
      <w:r w:rsidRPr="00735401">
        <w:rPr>
          <w:rFonts w:cstheme="minorHAnsi"/>
          <w:bCs/>
        </w:rPr>
        <w:t>Figure</w:t>
      </w:r>
      <w:r>
        <w:rPr>
          <w:rFonts w:cstheme="minorHAnsi"/>
          <w:bCs/>
        </w:rPr>
        <w:t xml:space="preserve"> 3</w:t>
      </w:r>
      <w:r w:rsidRPr="00735401">
        <w:rPr>
          <w:rFonts w:cstheme="minorHAnsi"/>
          <w:bCs/>
        </w:rPr>
        <w:t xml:space="preserve"> : Les déterminants de la vulnérabilité</w:t>
      </w:r>
    </w:p>
    <w:p w14:paraId="2DB6A23B" w14:textId="77777777" w:rsidR="008F2269" w:rsidRDefault="008F2269" w:rsidP="008F2269">
      <w:pPr>
        <w:pStyle w:val="Paragraphedeliste"/>
        <w:ind w:left="0"/>
        <w:jc w:val="both"/>
        <w:outlineLvl w:val="1"/>
        <w:rPr>
          <w:rFonts w:cstheme="minorHAnsi"/>
          <w:b/>
        </w:rPr>
      </w:pPr>
      <w:bookmarkStart w:id="95" w:name="_Toc175564480"/>
      <w:bookmarkStart w:id="96" w:name="_Toc176164631"/>
      <w:bookmarkStart w:id="97" w:name="_Toc176768859"/>
      <w:bookmarkStart w:id="98" w:name="_Toc180229538"/>
      <w:bookmarkStart w:id="99" w:name="_Toc180318670"/>
      <w:r>
        <w:rPr>
          <w:noProof/>
          <w:lang w:eastAsia="fr-FR"/>
        </w:rPr>
        <w:drawing>
          <wp:inline distT="0" distB="0" distL="0" distR="0" wp14:anchorId="0C3C8CE3" wp14:editId="09F5AA1F">
            <wp:extent cx="4251366" cy="2208810"/>
            <wp:effectExtent l="0" t="0" r="0" b="1270"/>
            <wp:docPr id="734311511" name="Image 73431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0"/>
                    <a:srcRect l="13196" t="24206" r="12989" b="7579"/>
                    <a:stretch/>
                  </pic:blipFill>
                  <pic:spPr bwMode="auto">
                    <a:xfrm>
                      <a:off x="0" y="0"/>
                      <a:ext cx="4252244" cy="2209266"/>
                    </a:xfrm>
                    <a:prstGeom prst="rect">
                      <a:avLst/>
                    </a:prstGeom>
                    <a:ln>
                      <a:noFill/>
                    </a:ln>
                    <a:extLst>
                      <a:ext uri="{53640926-AAD7-44D8-BBD7-CCE9431645EC}">
                        <a14:shadowObscured xmlns:a14="http://schemas.microsoft.com/office/drawing/2010/main"/>
                      </a:ext>
                    </a:extLst>
                  </pic:spPr>
                </pic:pic>
              </a:graphicData>
            </a:graphic>
          </wp:inline>
        </w:drawing>
      </w:r>
      <w:bookmarkEnd w:id="95"/>
      <w:bookmarkEnd w:id="96"/>
      <w:bookmarkEnd w:id="97"/>
      <w:bookmarkEnd w:id="98"/>
      <w:bookmarkEnd w:id="99"/>
    </w:p>
    <w:p w14:paraId="527A8E92" w14:textId="77777777" w:rsidR="008F2269" w:rsidRDefault="008F2269" w:rsidP="008F2269">
      <w:pPr>
        <w:jc w:val="both"/>
        <w:rPr>
          <w:rFonts w:cstheme="minorHAnsi"/>
          <w:bCs/>
        </w:rPr>
      </w:pPr>
      <w:r w:rsidRPr="00735401">
        <w:rPr>
          <w:rFonts w:cstheme="minorHAnsi"/>
          <w:bCs/>
        </w:rPr>
        <w:t xml:space="preserve">« </w:t>
      </w:r>
      <w:r w:rsidRPr="00177261">
        <w:rPr>
          <w:rFonts w:cstheme="minorHAnsi"/>
          <w:b/>
        </w:rPr>
        <w:t>La vulnérabilité</w:t>
      </w:r>
      <w:r w:rsidRPr="00735401">
        <w:rPr>
          <w:rFonts w:cstheme="minorHAnsi"/>
          <w:bCs/>
        </w:rPr>
        <w:t xml:space="preserve"> présente donc à la fois une dimension externe</w:t>
      </w:r>
      <w:r>
        <w:rPr>
          <w:rFonts w:cstheme="minorHAnsi"/>
          <w:bCs/>
        </w:rPr>
        <w:t xml:space="preserve"> (l’exposition au climat) et caractéristiques</w:t>
      </w:r>
      <w:r w:rsidRPr="00735401">
        <w:rPr>
          <w:rFonts w:cstheme="minorHAnsi"/>
          <w:bCs/>
        </w:rPr>
        <w:t xml:space="preserve"> internes au système étudié (la sensibilité et la capacité d’adaptation) » (C’est</w:t>
      </w:r>
      <w:r>
        <w:rPr>
          <w:rFonts w:cstheme="minorHAnsi"/>
          <w:bCs/>
        </w:rPr>
        <w:t xml:space="preserve"> </w:t>
      </w:r>
      <w:r w:rsidRPr="00735401">
        <w:rPr>
          <w:rFonts w:cstheme="minorHAnsi"/>
          <w:bCs/>
        </w:rPr>
        <w:t xml:space="preserve">ce qui différencie la sensibilité de la vulnérabilité ; la sensibilité ne tient pas compte de l’effet modérateur de l’adaptation, alors que la vulnérabilité peut être vue comme les impacts subis une fois l’adaptation mise en œuvre (figure </w:t>
      </w:r>
      <w:r>
        <w:rPr>
          <w:rFonts w:cstheme="minorHAnsi"/>
          <w:bCs/>
        </w:rPr>
        <w:t>3 ci-dessus</w:t>
      </w:r>
      <w:r w:rsidRPr="00735401">
        <w:rPr>
          <w:rFonts w:cstheme="minorHAnsi"/>
          <w:bCs/>
        </w:rPr>
        <w:t>).</w:t>
      </w:r>
    </w:p>
    <w:p w14:paraId="42BC4869" w14:textId="77777777" w:rsidR="008F2269" w:rsidRPr="00177261" w:rsidRDefault="008F2269" w:rsidP="008F2269">
      <w:pPr>
        <w:jc w:val="both"/>
        <w:rPr>
          <w:rFonts w:cstheme="minorHAnsi"/>
          <w:b/>
        </w:rPr>
      </w:pPr>
      <w:r w:rsidRPr="00177261">
        <w:rPr>
          <w:rFonts w:cstheme="minorHAnsi"/>
          <w:b/>
        </w:rPr>
        <w:t>La capacité d’adaptation :</w:t>
      </w:r>
    </w:p>
    <w:p w14:paraId="4C32C806" w14:textId="77777777" w:rsidR="008F2269" w:rsidRDefault="008F2269" w:rsidP="008F2269">
      <w:pPr>
        <w:jc w:val="both"/>
        <w:rPr>
          <w:rFonts w:cstheme="minorHAnsi"/>
          <w:bCs/>
        </w:rPr>
      </w:pPr>
      <w:r w:rsidRPr="00177261">
        <w:rPr>
          <w:rFonts w:cstheme="minorHAnsi"/>
          <w:bCs/>
        </w:rPr>
        <w:t>« Ensemble des capacités, des ressources et des institutions d’un pays ou d’une région lui</w:t>
      </w:r>
      <w:r>
        <w:rPr>
          <w:rFonts w:cstheme="minorHAnsi"/>
          <w:bCs/>
        </w:rPr>
        <w:t xml:space="preserve"> </w:t>
      </w:r>
      <w:r w:rsidRPr="00177261">
        <w:rPr>
          <w:rFonts w:cstheme="minorHAnsi"/>
          <w:bCs/>
        </w:rPr>
        <w:t>permettant de mettre en œuvre des mesures d’adaptation efficaces » (GIEC, 2008). (1) Les</w:t>
      </w:r>
      <w:r>
        <w:rPr>
          <w:rFonts w:cstheme="minorHAnsi"/>
          <w:bCs/>
        </w:rPr>
        <w:t xml:space="preserve"> </w:t>
      </w:r>
      <w:r w:rsidRPr="00177261">
        <w:rPr>
          <w:rFonts w:cstheme="minorHAnsi"/>
          <w:bCs/>
        </w:rPr>
        <w:t>compétences, connaissances et ressources nécessaires pour s’acquitter d’une fonction. (2)</w:t>
      </w:r>
    </w:p>
    <w:p w14:paraId="53306CE3" w14:textId="77777777" w:rsidR="008F2269" w:rsidRPr="00735401" w:rsidRDefault="008F2269" w:rsidP="008F2269">
      <w:pPr>
        <w:jc w:val="both"/>
        <w:rPr>
          <w:rFonts w:cstheme="minorHAnsi"/>
          <w:bCs/>
        </w:rPr>
      </w:pPr>
      <w:r w:rsidRPr="00B34BBC">
        <w:rPr>
          <w:rFonts w:cstheme="minorHAnsi"/>
          <w:bCs/>
        </w:rPr>
        <w:t>« Accroître la capacité d'adaptation fait partie des stratégies d'adaptation, et un système avec</w:t>
      </w:r>
      <w:r>
        <w:rPr>
          <w:rFonts w:cstheme="minorHAnsi"/>
          <w:bCs/>
        </w:rPr>
        <w:t xml:space="preserve"> </w:t>
      </w:r>
      <w:r w:rsidRPr="00B34BBC">
        <w:rPr>
          <w:rFonts w:cstheme="minorHAnsi"/>
          <w:bCs/>
        </w:rPr>
        <w:t>de nombreuses options d'adaptation a généralement une plus grande capacité de s'adapter</w:t>
      </w:r>
      <w:r>
        <w:rPr>
          <w:rFonts w:cstheme="minorHAnsi"/>
          <w:bCs/>
        </w:rPr>
        <w:t xml:space="preserve"> </w:t>
      </w:r>
      <w:r w:rsidRPr="00B34BBC">
        <w:rPr>
          <w:rFonts w:cstheme="minorHAnsi"/>
          <w:bCs/>
        </w:rPr>
        <w:t>qu'un système n'en ayant que peu ou pas. Certains pensent que la capacité d'adaptation peut</w:t>
      </w:r>
      <w:r>
        <w:rPr>
          <w:rFonts w:cstheme="minorHAnsi"/>
          <w:bCs/>
        </w:rPr>
        <w:t xml:space="preserve"> </w:t>
      </w:r>
      <w:r w:rsidRPr="00B34BBC">
        <w:rPr>
          <w:rFonts w:cstheme="minorHAnsi"/>
          <w:bCs/>
        </w:rPr>
        <w:t>être vue comme un potentiel d'adaptation et, lorsque la capacité d'adaptation est utilisée à</w:t>
      </w:r>
      <w:r>
        <w:rPr>
          <w:rFonts w:cstheme="minorHAnsi"/>
          <w:bCs/>
        </w:rPr>
        <w:t xml:space="preserve"> </w:t>
      </w:r>
      <w:r w:rsidRPr="00B34BBC">
        <w:rPr>
          <w:rFonts w:cstheme="minorHAnsi"/>
          <w:bCs/>
        </w:rPr>
        <w:t>cette fin, la vulnérabilité s'en trouve réduite ».</w:t>
      </w:r>
    </w:p>
    <w:p w14:paraId="03CE3116" w14:textId="77777777" w:rsidR="008F2269" w:rsidRDefault="008F2269" w:rsidP="008F2269">
      <w:pPr>
        <w:jc w:val="both"/>
        <w:rPr>
          <w:rFonts w:cstheme="minorHAnsi"/>
          <w:bCs/>
        </w:rPr>
      </w:pPr>
      <w:r w:rsidRPr="00177261">
        <w:rPr>
          <w:rFonts w:cstheme="minorHAnsi"/>
          <w:bCs/>
        </w:rPr>
        <w:t>Ensemble de moyens (financiers et humains, techniques, administratifs, sociaux, économiques et scientifiques) mis en place en vue d’accomplir un objectif déterminé.</w:t>
      </w:r>
    </w:p>
    <w:p w14:paraId="183DCCB2" w14:textId="77777777" w:rsidR="008F2269" w:rsidRPr="00177261" w:rsidRDefault="008F2269" w:rsidP="008F2269">
      <w:pPr>
        <w:jc w:val="both"/>
        <w:rPr>
          <w:rFonts w:cstheme="minorHAnsi"/>
          <w:bCs/>
        </w:rPr>
      </w:pPr>
      <w:r w:rsidRPr="00177261">
        <w:rPr>
          <w:rFonts w:cstheme="minorHAnsi"/>
          <w:bCs/>
        </w:rPr>
        <w:t xml:space="preserve"> Les</w:t>
      </w:r>
      <w:r>
        <w:rPr>
          <w:rFonts w:cstheme="minorHAnsi"/>
          <w:bCs/>
        </w:rPr>
        <w:t xml:space="preserve"> </w:t>
      </w:r>
      <w:r w:rsidRPr="00177261">
        <w:rPr>
          <w:rFonts w:cstheme="minorHAnsi"/>
          <w:bCs/>
        </w:rPr>
        <w:t>termes de « capacité d'adaptation » et « d'adaptation », même s'ils sont liés, sont bien</w:t>
      </w:r>
      <w:r>
        <w:rPr>
          <w:rFonts w:cstheme="minorHAnsi"/>
          <w:bCs/>
        </w:rPr>
        <w:t xml:space="preserve"> </w:t>
      </w:r>
      <w:r w:rsidRPr="00177261">
        <w:rPr>
          <w:rFonts w:cstheme="minorHAnsi"/>
          <w:bCs/>
        </w:rPr>
        <w:t>distincts dans la documentation sur le CC. La capacité d'adaptation est une caractéristique</w:t>
      </w:r>
      <w:r>
        <w:rPr>
          <w:rFonts w:cstheme="minorHAnsi"/>
          <w:bCs/>
        </w:rPr>
        <w:t xml:space="preserve"> </w:t>
      </w:r>
      <w:r w:rsidRPr="00177261">
        <w:rPr>
          <w:rFonts w:cstheme="minorHAnsi"/>
          <w:bCs/>
        </w:rPr>
        <w:t>d'un système qui indique son aptitude à s'adapter efficacement au changement (figure 4). Un</w:t>
      </w:r>
      <w:r>
        <w:rPr>
          <w:rFonts w:cstheme="minorHAnsi"/>
          <w:bCs/>
        </w:rPr>
        <w:t xml:space="preserve"> </w:t>
      </w:r>
      <w:r w:rsidRPr="00177261">
        <w:rPr>
          <w:rFonts w:cstheme="minorHAnsi"/>
          <w:bCs/>
        </w:rPr>
        <w:t>système doté d'une grande capacité d'adaptation serait capable de faire face aux</w:t>
      </w:r>
      <w:r>
        <w:rPr>
          <w:rFonts w:cstheme="minorHAnsi"/>
          <w:bCs/>
        </w:rPr>
        <w:t xml:space="preserve"> </w:t>
      </w:r>
      <w:r w:rsidRPr="00177261">
        <w:rPr>
          <w:rFonts w:cstheme="minorHAnsi"/>
          <w:bCs/>
        </w:rPr>
        <w:t>changements du climat, et peut-être même d'en tirer profit, alors qu'un système de faible</w:t>
      </w:r>
      <w:r>
        <w:rPr>
          <w:rFonts w:cstheme="minorHAnsi"/>
          <w:bCs/>
        </w:rPr>
        <w:t xml:space="preserve"> </w:t>
      </w:r>
      <w:r w:rsidRPr="00177261">
        <w:rPr>
          <w:rFonts w:cstheme="minorHAnsi"/>
          <w:bCs/>
        </w:rPr>
        <w:t>capacité d'adaptation serait plus susceptible de souffrir des mêmes changements.</w:t>
      </w:r>
    </w:p>
    <w:p w14:paraId="15E288E1" w14:textId="77777777" w:rsidR="008F2269" w:rsidRDefault="008F2269" w:rsidP="008F2269">
      <w:pPr>
        <w:jc w:val="both"/>
        <w:rPr>
          <w:rFonts w:cstheme="minorHAnsi"/>
          <w:bCs/>
        </w:rPr>
      </w:pPr>
      <w:r w:rsidRPr="00CB4DFF">
        <w:rPr>
          <w:rFonts w:cstheme="minorHAnsi"/>
          <w:b/>
        </w:rPr>
        <w:t>L'adaptation</w:t>
      </w:r>
      <w:r w:rsidRPr="00177261">
        <w:rPr>
          <w:rFonts w:cstheme="minorHAnsi"/>
          <w:bCs/>
        </w:rPr>
        <w:t>, quant à elle, se rapporte à un processus ou à une action spécifique.</w:t>
      </w:r>
    </w:p>
    <w:p w14:paraId="2EA9ECC4" w14:textId="77777777" w:rsidR="008F2269" w:rsidRPr="00177261" w:rsidRDefault="008F2269" w:rsidP="008F2269">
      <w:pPr>
        <w:rPr>
          <w:rFonts w:cstheme="minorHAnsi"/>
          <w:bCs/>
        </w:rPr>
      </w:pPr>
      <w:r>
        <w:rPr>
          <w:noProof/>
          <w:lang w:eastAsia="fr-FR"/>
        </w:rPr>
        <w:t xml:space="preserve">    Figure 4 : </w:t>
      </w:r>
      <w:r w:rsidRPr="009C2FEE">
        <w:rPr>
          <w:noProof/>
          <w:lang w:eastAsia="fr-FR"/>
        </w:rPr>
        <w:t>Fonctions de la vulnérabilité</w:t>
      </w:r>
      <w:r w:rsidRPr="00491E3E">
        <w:rPr>
          <w:noProof/>
          <w:sz w:val="20"/>
          <w:szCs w:val="20"/>
          <w:lang w:eastAsia="fr-FR"/>
        </w:rPr>
        <w:t xml:space="preserve"> </w:t>
      </w:r>
      <w:r w:rsidRPr="00491E3E">
        <w:rPr>
          <w:noProof/>
          <w:sz w:val="20"/>
          <w:szCs w:val="20"/>
          <w:lang w:eastAsia="fr-FR"/>
        </w:rPr>
        <w:drawing>
          <wp:inline distT="0" distB="0" distL="0" distR="0" wp14:anchorId="308C2FF2" wp14:editId="0D1811BC">
            <wp:extent cx="5878282" cy="2802576"/>
            <wp:effectExtent l="0" t="0" r="8255" b="0"/>
            <wp:docPr id="1683446451" name="Image 1683446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2"/>
                    <a:srcRect l="15258" t="24573" r="11959" b="13446"/>
                    <a:stretch/>
                  </pic:blipFill>
                  <pic:spPr bwMode="auto">
                    <a:xfrm>
                      <a:off x="0" y="0"/>
                      <a:ext cx="5879499" cy="2803156"/>
                    </a:xfrm>
                    <a:prstGeom prst="rect">
                      <a:avLst/>
                    </a:prstGeom>
                    <a:ln>
                      <a:noFill/>
                    </a:ln>
                    <a:extLst>
                      <a:ext uri="{53640926-AAD7-44D8-BBD7-CCE9431645EC}">
                        <a14:shadowObscured xmlns:a14="http://schemas.microsoft.com/office/drawing/2010/main"/>
                      </a:ext>
                    </a:extLst>
                  </pic:spPr>
                </pic:pic>
              </a:graphicData>
            </a:graphic>
          </wp:inline>
        </w:drawing>
      </w:r>
    </w:p>
    <w:p w14:paraId="47ECEA8D" w14:textId="77777777" w:rsidR="008F2269" w:rsidRPr="001B12CA" w:rsidRDefault="008F2269" w:rsidP="008F2269">
      <w:pPr>
        <w:spacing w:after="0" w:line="240" w:lineRule="auto"/>
        <w:jc w:val="both"/>
        <w:rPr>
          <w:rFonts w:eastAsia="Times New Roman" w:cstheme="minorHAnsi"/>
          <w:lang w:eastAsia="fr-FR"/>
        </w:rPr>
      </w:pPr>
      <w:r w:rsidRPr="001B12CA">
        <w:rPr>
          <w:rFonts w:eastAsia="Times New Roman" w:cstheme="minorHAnsi"/>
          <w:lang w:eastAsia="fr-FR"/>
        </w:rPr>
        <w:t xml:space="preserve">Indice mondial d’adaptation de l’Université de Notre Dame (ND GAIN) </w:t>
      </w:r>
    </w:p>
    <w:p w14:paraId="66EF0AC6" w14:textId="77777777" w:rsidR="008F2269" w:rsidRPr="001B12CA" w:rsidRDefault="008F2269" w:rsidP="008F2269">
      <w:pPr>
        <w:spacing w:after="0" w:line="240" w:lineRule="auto"/>
        <w:jc w:val="both"/>
        <w:rPr>
          <w:rFonts w:eastAsia="Times New Roman" w:cstheme="minorHAnsi"/>
          <w:lang w:eastAsia="fr-FR"/>
        </w:rPr>
      </w:pPr>
      <w:proofErr w:type="gramStart"/>
      <w:r w:rsidRPr="001B12CA">
        <w:rPr>
          <w:rFonts w:eastAsia="Times New Roman" w:cstheme="minorHAnsi"/>
          <w:lang w:eastAsia="fr-FR"/>
        </w:rPr>
        <w:t>http</w:t>
      </w:r>
      <w:proofErr w:type="gramEnd"/>
      <w:r w:rsidRPr="001B12CA">
        <w:rPr>
          <w:rFonts w:eastAsia="Times New Roman" w:cstheme="minorHAnsi"/>
          <w:lang w:eastAsia="fr-FR"/>
        </w:rPr>
        <w:t>:// index gain.org, données disponibles en ligne.</w:t>
      </w:r>
    </w:p>
    <w:p w14:paraId="7B7D28D0" w14:textId="77777777" w:rsidR="008F2269" w:rsidRPr="001B12CA" w:rsidRDefault="008F2269" w:rsidP="008F2269">
      <w:pPr>
        <w:spacing w:after="0" w:line="240" w:lineRule="auto"/>
        <w:jc w:val="both"/>
        <w:rPr>
          <w:rFonts w:eastAsia="Times New Roman" w:cstheme="minorHAnsi"/>
          <w:lang w:eastAsia="fr-FR"/>
        </w:rPr>
      </w:pPr>
    </w:p>
    <w:p w14:paraId="0B93C06E" w14:textId="77777777" w:rsidR="008F2269" w:rsidRDefault="008F2269" w:rsidP="008F2269">
      <w:pPr>
        <w:spacing w:after="0" w:line="240" w:lineRule="auto"/>
        <w:jc w:val="both"/>
        <w:rPr>
          <w:rFonts w:eastAsia="Times New Roman" w:cstheme="minorHAnsi"/>
          <w:lang w:eastAsia="fr-FR"/>
        </w:rPr>
      </w:pPr>
      <w:r>
        <w:rPr>
          <w:rFonts w:eastAsia="Times New Roman" w:cstheme="minorHAnsi"/>
          <w:lang w:eastAsia="fr-FR"/>
        </w:rPr>
        <w:t xml:space="preserve">ND-GAIN. </w:t>
      </w:r>
      <w:r w:rsidRPr="001B12CA">
        <w:rPr>
          <w:rFonts w:eastAsia="Times New Roman" w:cstheme="minorHAnsi"/>
          <w:lang w:eastAsia="fr-FR"/>
        </w:rPr>
        <w:t>L’indice de pays est composé de deux dimensions :</w:t>
      </w:r>
    </w:p>
    <w:p w14:paraId="3E4A0205" w14:textId="77777777" w:rsidR="008F2269" w:rsidRDefault="008F2269" w:rsidP="008F2269">
      <w:pPr>
        <w:spacing w:after="0" w:line="240" w:lineRule="auto"/>
        <w:jc w:val="both"/>
        <w:rPr>
          <w:rFonts w:eastAsia="Times New Roman" w:cstheme="minorHAnsi"/>
          <w:lang w:eastAsia="fr-FR"/>
        </w:rPr>
      </w:pPr>
      <w:r w:rsidRPr="001B12CA">
        <w:rPr>
          <w:rFonts w:eastAsia="Times New Roman" w:cstheme="minorHAnsi"/>
          <w:lang w:eastAsia="fr-FR"/>
        </w:rPr>
        <w:br/>
        <w:t xml:space="preserve"> 1. </w:t>
      </w:r>
      <w:r w:rsidRPr="001B12CA">
        <w:rPr>
          <w:rFonts w:eastAsia="Times New Roman" w:cstheme="minorHAnsi"/>
          <w:b/>
          <w:bCs/>
          <w:lang w:eastAsia="fr-FR"/>
        </w:rPr>
        <w:t>L’indice de vulnérabilité</w:t>
      </w:r>
      <w:r w:rsidRPr="001B12CA">
        <w:rPr>
          <w:rFonts w:eastAsia="Times New Roman" w:cstheme="minorHAnsi"/>
          <w:lang w:eastAsia="fr-FR"/>
        </w:rPr>
        <w:t xml:space="preserve"> mesure l’exposition, la sensibilité et la capacité d’un</w:t>
      </w:r>
      <w:r>
        <w:rPr>
          <w:rFonts w:eastAsia="Times New Roman" w:cstheme="minorHAnsi"/>
          <w:lang w:eastAsia="fr-FR"/>
        </w:rPr>
        <w:t xml:space="preserve"> </w:t>
      </w:r>
      <w:r w:rsidRPr="001B12CA">
        <w:rPr>
          <w:rFonts w:eastAsia="Times New Roman" w:cstheme="minorHAnsi"/>
          <w:lang w:eastAsia="fr-FR"/>
        </w:rPr>
        <w:t>pays à s’adapter à l’impact du changement climatique. ND-GAIN mesure la</w:t>
      </w:r>
      <w:r>
        <w:rPr>
          <w:rFonts w:eastAsia="Times New Roman" w:cstheme="minorHAnsi"/>
          <w:lang w:eastAsia="fr-FR"/>
        </w:rPr>
        <w:t xml:space="preserve"> </w:t>
      </w:r>
      <w:r w:rsidRPr="001B12CA">
        <w:rPr>
          <w:rFonts w:eastAsia="Times New Roman" w:cstheme="minorHAnsi"/>
          <w:lang w:eastAsia="fr-FR"/>
        </w:rPr>
        <w:t>vulnérabilité globale en considérant six secteurs vitaux - alimentation, eau,</w:t>
      </w:r>
      <w:r>
        <w:rPr>
          <w:rFonts w:eastAsia="Times New Roman" w:cstheme="minorHAnsi"/>
          <w:lang w:eastAsia="fr-FR"/>
        </w:rPr>
        <w:t xml:space="preserve"> </w:t>
      </w:r>
      <w:r w:rsidRPr="001B12CA">
        <w:rPr>
          <w:rFonts w:eastAsia="Times New Roman" w:cstheme="minorHAnsi"/>
          <w:lang w:eastAsia="fr-FR"/>
        </w:rPr>
        <w:t>santé, services écosystémiques, habitat humain et infrastructure.</w:t>
      </w:r>
    </w:p>
    <w:p w14:paraId="383C4D4A" w14:textId="77777777" w:rsidR="008F2269" w:rsidRDefault="008F2269" w:rsidP="008F2269">
      <w:pPr>
        <w:spacing w:after="0" w:line="240" w:lineRule="auto"/>
        <w:jc w:val="both"/>
        <w:rPr>
          <w:rFonts w:ascii="Arial" w:eastAsia="Times New Roman" w:hAnsi="Arial" w:cs="Arial"/>
          <w:lang w:eastAsia="fr-FR"/>
        </w:rPr>
      </w:pPr>
      <w:r w:rsidRPr="001B12CA">
        <w:rPr>
          <w:rFonts w:eastAsia="Times New Roman" w:cstheme="minorHAnsi"/>
          <w:lang w:eastAsia="fr-FR"/>
        </w:rPr>
        <w:br/>
        <w:t xml:space="preserve"> 2. </w:t>
      </w:r>
      <w:r w:rsidRPr="001B12CA">
        <w:rPr>
          <w:rFonts w:eastAsia="Times New Roman" w:cstheme="minorHAnsi"/>
          <w:b/>
          <w:bCs/>
          <w:lang w:eastAsia="fr-FR"/>
        </w:rPr>
        <w:t xml:space="preserve">L’indice de préparation </w:t>
      </w:r>
      <w:r w:rsidRPr="001B12CA">
        <w:rPr>
          <w:rFonts w:eastAsia="Times New Roman" w:cstheme="minorHAnsi"/>
          <w:lang w:eastAsia="fr-FR"/>
        </w:rPr>
        <w:t>mesure la capacité d’un pays à tirer parti des</w:t>
      </w:r>
      <w:r>
        <w:rPr>
          <w:rFonts w:eastAsia="Times New Roman" w:cstheme="minorHAnsi"/>
          <w:lang w:eastAsia="fr-FR"/>
        </w:rPr>
        <w:t xml:space="preserve"> </w:t>
      </w:r>
      <w:r w:rsidRPr="001B12CA">
        <w:rPr>
          <w:rFonts w:eastAsia="Times New Roman" w:cstheme="minorHAnsi"/>
          <w:lang w:eastAsia="fr-FR"/>
        </w:rPr>
        <w:t>investissements et à les convertir en mesures d’adaptation. ND-GAIN</w:t>
      </w:r>
      <w:r>
        <w:rPr>
          <w:rFonts w:eastAsia="Times New Roman" w:cstheme="minorHAnsi"/>
          <w:lang w:eastAsia="fr-FR"/>
        </w:rPr>
        <w:t xml:space="preserve"> </w:t>
      </w:r>
      <w:r w:rsidRPr="001B12CA">
        <w:rPr>
          <w:rFonts w:eastAsia="Times New Roman" w:cstheme="minorHAnsi"/>
          <w:lang w:eastAsia="fr-FR"/>
        </w:rPr>
        <w:t>mesure l’état de préparation global en tenant compte de trois éléments</w:t>
      </w:r>
      <w:r>
        <w:rPr>
          <w:rFonts w:eastAsia="Times New Roman" w:cstheme="minorHAnsi"/>
          <w:lang w:eastAsia="fr-FR"/>
        </w:rPr>
        <w:t xml:space="preserve"> </w:t>
      </w:r>
      <w:r w:rsidRPr="001B12CA">
        <w:rPr>
          <w:rFonts w:eastAsia="Times New Roman" w:cstheme="minorHAnsi"/>
          <w:lang w:eastAsia="fr-FR"/>
        </w:rPr>
        <w:t>:</w:t>
      </w:r>
      <w:r>
        <w:rPr>
          <w:rFonts w:eastAsia="Times New Roman" w:cstheme="minorHAnsi"/>
          <w:lang w:eastAsia="fr-FR"/>
        </w:rPr>
        <w:t xml:space="preserve"> (i) </w:t>
      </w:r>
      <w:r w:rsidRPr="001B12CA">
        <w:rPr>
          <w:rFonts w:eastAsia="Times New Roman" w:cstheme="minorHAnsi"/>
          <w:lang w:eastAsia="fr-FR"/>
        </w:rPr>
        <w:t xml:space="preserve">l’état de préparation économique, </w:t>
      </w:r>
      <w:r>
        <w:rPr>
          <w:rFonts w:eastAsia="Times New Roman" w:cstheme="minorHAnsi"/>
          <w:lang w:eastAsia="fr-FR"/>
        </w:rPr>
        <w:t xml:space="preserve">(ii) </w:t>
      </w:r>
      <w:r w:rsidRPr="001B12CA">
        <w:rPr>
          <w:rFonts w:eastAsia="Times New Roman" w:cstheme="minorHAnsi"/>
          <w:lang w:eastAsia="fr-FR"/>
        </w:rPr>
        <w:t>l’état de préparation à la gouvernance et</w:t>
      </w:r>
      <w:r w:rsidRPr="001B12CA">
        <w:rPr>
          <w:rFonts w:eastAsia="Times New Roman" w:cstheme="minorHAnsi"/>
          <w:lang w:eastAsia="fr-FR"/>
        </w:rPr>
        <w:br/>
      </w:r>
      <w:r>
        <w:rPr>
          <w:rFonts w:eastAsia="Times New Roman" w:cstheme="minorHAnsi"/>
          <w:lang w:eastAsia="fr-FR"/>
        </w:rPr>
        <w:t>(iii)</w:t>
      </w:r>
      <w:r w:rsidRPr="001B12CA">
        <w:rPr>
          <w:rFonts w:eastAsia="Times New Roman" w:cstheme="minorHAnsi"/>
          <w:lang w:eastAsia="fr-FR"/>
        </w:rPr>
        <w:t>l’état de préparation sociale</w:t>
      </w:r>
      <w:r w:rsidRPr="001B12CA">
        <w:rPr>
          <w:rFonts w:ascii="Arial" w:eastAsia="Times New Roman" w:hAnsi="Arial" w:cs="Arial"/>
          <w:lang w:eastAsia="fr-FR"/>
        </w:rPr>
        <w:t>.</w:t>
      </w:r>
    </w:p>
    <w:p w14:paraId="7C6DD0B1" w14:textId="77777777" w:rsidR="008F2269" w:rsidRDefault="008F2269" w:rsidP="008F2269">
      <w:pPr>
        <w:spacing w:after="0" w:line="240" w:lineRule="auto"/>
        <w:jc w:val="both"/>
        <w:rPr>
          <w:rFonts w:ascii="Arial" w:eastAsia="Times New Roman" w:hAnsi="Arial" w:cs="Arial"/>
          <w:lang w:eastAsia="fr-FR"/>
        </w:rPr>
      </w:pPr>
    </w:p>
    <w:p w14:paraId="1BEC1B14" w14:textId="77777777" w:rsidR="008F2269" w:rsidRPr="00B712E0" w:rsidRDefault="008F2269" w:rsidP="008F2269">
      <w:pPr>
        <w:spacing w:after="0" w:line="240" w:lineRule="auto"/>
        <w:jc w:val="both"/>
        <w:rPr>
          <w:rFonts w:eastAsia="Times New Roman" w:cstheme="minorHAnsi"/>
          <w:lang w:eastAsia="fr-FR"/>
        </w:rPr>
      </w:pPr>
      <w:r w:rsidRPr="001B12CA">
        <w:rPr>
          <w:rFonts w:eastAsia="Times New Roman" w:cstheme="minorHAnsi"/>
          <w:lang w:eastAsia="fr-FR"/>
        </w:rPr>
        <w:t>Ta</w:t>
      </w:r>
      <w:r>
        <w:rPr>
          <w:rFonts w:eastAsia="Times New Roman" w:cstheme="minorHAnsi"/>
          <w:lang w:eastAsia="fr-FR"/>
        </w:rPr>
        <w:t>bleau 2 : Indice de vulnérabilité</w:t>
      </w:r>
    </w:p>
    <w:tbl>
      <w:tblPr>
        <w:tblStyle w:val="Grilledutableau"/>
        <w:tblW w:w="0" w:type="auto"/>
        <w:tblLook w:val="04A0" w:firstRow="1" w:lastRow="0" w:firstColumn="1" w:lastColumn="0" w:noHBand="0" w:noVBand="1"/>
      </w:tblPr>
      <w:tblGrid>
        <w:gridCol w:w="1275"/>
        <w:gridCol w:w="2406"/>
        <w:gridCol w:w="2375"/>
        <w:gridCol w:w="2445"/>
      </w:tblGrid>
      <w:tr w:rsidR="008F2269" w14:paraId="647F77B9" w14:textId="77777777" w:rsidTr="002D1362">
        <w:tc>
          <w:tcPr>
            <w:tcW w:w="1275" w:type="dxa"/>
            <w:vAlign w:val="center"/>
          </w:tcPr>
          <w:p w14:paraId="4BD77CA5" w14:textId="77777777" w:rsidR="008F2269" w:rsidRPr="001B12CA" w:rsidRDefault="008F2269" w:rsidP="002D1362">
            <w:pPr>
              <w:jc w:val="center"/>
              <w:rPr>
                <w:rFonts w:eastAsia="Times New Roman" w:cstheme="minorHAnsi"/>
                <w:b/>
                <w:bCs/>
                <w:sz w:val="20"/>
                <w:szCs w:val="20"/>
                <w:lang w:eastAsia="fr-FR"/>
              </w:rPr>
            </w:pPr>
            <w:r w:rsidRPr="001B12CA">
              <w:rPr>
                <w:rFonts w:eastAsia="Times New Roman" w:cstheme="minorHAnsi"/>
                <w:b/>
                <w:bCs/>
                <w:sz w:val="20"/>
                <w:szCs w:val="20"/>
                <w:lang w:eastAsia="fr-FR"/>
              </w:rPr>
              <w:t>Secteur</w:t>
            </w:r>
          </w:p>
        </w:tc>
        <w:tc>
          <w:tcPr>
            <w:tcW w:w="2406" w:type="dxa"/>
            <w:vAlign w:val="center"/>
          </w:tcPr>
          <w:p w14:paraId="24D5B07E" w14:textId="77777777" w:rsidR="008F2269" w:rsidRPr="001B12CA" w:rsidRDefault="008F2269" w:rsidP="002D1362">
            <w:pPr>
              <w:jc w:val="center"/>
              <w:rPr>
                <w:rFonts w:eastAsia="Times New Roman" w:cstheme="minorHAnsi"/>
                <w:b/>
                <w:bCs/>
                <w:sz w:val="20"/>
                <w:szCs w:val="20"/>
                <w:lang w:eastAsia="fr-FR"/>
              </w:rPr>
            </w:pPr>
            <w:r w:rsidRPr="001B12CA">
              <w:rPr>
                <w:rFonts w:eastAsia="Times New Roman" w:cstheme="minorHAnsi"/>
                <w:b/>
                <w:bCs/>
                <w:sz w:val="20"/>
                <w:szCs w:val="20"/>
                <w:lang w:eastAsia="fr-FR"/>
              </w:rPr>
              <w:t>Composante</w:t>
            </w:r>
            <w:r>
              <w:rPr>
                <w:rFonts w:eastAsia="Times New Roman" w:cstheme="minorHAnsi"/>
                <w:b/>
                <w:bCs/>
                <w:sz w:val="20"/>
                <w:szCs w:val="20"/>
                <w:lang w:eastAsia="fr-FR"/>
              </w:rPr>
              <w:t xml:space="preserve"> </w:t>
            </w:r>
            <w:r w:rsidRPr="001B12CA">
              <w:rPr>
                <w:rFonts w:eastAsia="Times New Roman" w:cstheme="minorHAnsi"/>
                <w:b/>
                <w:bCs/>
                <w:sz w:val="20"/>
                <w:szCs w:val="20"/>
                <w:lang w:eastAsia="fr-FR"/>
              </w:rPr>
              <w:t>d’exposition</w:t>
            </w:r>
          </w:p>
        </w:tc>
        <w:tc>
          <w:tcPr>
            <w:tcW w:w="2375" w:type="dxa"/>
            <w:vAlign w:val="center"/>
          </w:tcPr>
          <w:p w14:paraId="34E0907D" w14:textId="77777777" w:rsidR="008F2269" w:rsidRPr="001B12CA" w:rsidRDefault="008F2269" w:rsidP="002D1362">
            <w:pPr>
              <w:ind w:hanging="104"/>
              <w:rPr>
                <w:rFonts w:eastAsia="Times New Roman" w:cstheme="minorHAnsi"/>
                <w:b/>
                <w:bCs/>
                <w:sz w:val="20"/>
                <w:szCs w:val="20"/>
                <w:lang w:eastAsia="fr-FR"/>
              </w:rPr>
            </w:pPr>
            <w:r w:rsidRPr="001B12CA">
              <w:rPr>
                <w:rFonts w:eastAsia="Times New Roman" w:cstheme="minorHAnsi"/>
                <w:b/>
                <w:bCs/>
                <w:sz w:val="20"/>
                <w:szCs w:val="20"/>
                <w:lang w:eastAsia="fr-FR"/>
              </w:rPr>
              <w:t>Composante de sensibilité</w:t>
            </w:r>
          </w:p>
        </w:tc>
        <w:tc>
          <w:tcPr>
            <w:tcW w:w="2445" w:type="dxa"/>
          </w:tcPr>
          <w:p w14:paraId="2613E686" w14:textId="77777777" w:rsidR="008F2269" w:rsidRPr="001B12CA" w:rsidRDefault="008F2269" w:rsidP="002D1362">
            <w:pPr>
              <w:jc w:val="both"/>
              <w:rPr>
                <w:rFonts w:eastAsia="Times New Roman" w:cstheme="minorHAnsi"/>
                <w:b/>
                <w:bCs/>
                <w:sz w:val="20"/>
                <w:szCs w:val="20"/>
                <w:lang w:eastAsia="fr-FR"/>
              </w:rPr>
            </w:pPr>
            <w:r w:rsidRPr="001B12CA">
              <w:rPr>
                <w:rFonts w:eastAsia="Times New Roman" w:cstheme="minorHAnsi"/>
                <w:b/>
                <w:bCs/>
                <w:sz w:val="20"/>
                <w:szCs w:val="20"/>
                <w:lang w:eastAsia="fr-FR"/>
              </w:rPr>
              <w:t>Composante de capacité d’Adaptation</w:t>
            </w:r>
          </w:p>
        </w:tc>
      </w:tr>
      <w:tr w:rsidR="008F2269" w14:paraId="795E1737" w14:textId="77777777" w:rsidTr="002D1362">
        <w:tc>
          <w:tcPr>
            <w:tcW w:w="1275" w:type="dxa"/>
            <w:vMerge w:val="restart"/>
            <w:vAlign w:val="center"/>
          </w:tcPr>
          <w:p w14:paraId="0920D445" w14:textId="77777777" w:rsidR="008F2269" w:rsidRPr="00DD4E9D" w:rsidRDefault="008F2269" w:rsidP="002D1362">
            <w:pPr>
              <w:rPr>
                <w:rFonts w:eastAsia="Times New Roman" w:cstheme="minorHAnsi"/>
                <w:sz w:val="20"/>
                <w:szCs w:val="20"/>
                <w:lang w:eastAsia="fr-FR"/>
              </w:rPr>
            </w:pPr>
            <w:r w:rsidRPr="009046CC">
              <w:rPr>
                <w:rFonts w:eastAsia="Times New Roman" w:cstheme="minorHAnsi"/>
                <w:sz w:val="20"/>
                <w:szCs w:val="20"/>
                <w:lang w:eastAsia="fr-FR"/>
              </w:rPr>
              <w:t>Aliments</w:t>
            </w:r>
          </w:p>
        </w:tc>
        <w:tc>
          <w:tcPr>
            <w:tcW w:w="2406" w:type="dxa"/>
          </w:tcPr>
          <w:p w14:paraId="4B7C094C" w14:textId="77777777" w:rsidR="008F2269" w:rsidRPr="00DD4E9D" w:rsidRDefault="008F2269" w:rsidP="002D1362">
            <w:pPr>
              <w:jc w:val="both"/>
              <w:rPr>
                <w:rFonts w:eastAsia="Times New Roman" w:cstheme="minorHAnsi"/>
                <w:sz w:val="20"/>
                <w:szCs w:val="20"/>
                <w:lang w:eastAsia="fr-FR"/>
              </w:rPr>
            </w:pPr>
            <w:r w:rsidRPr="009046CC">
              <w:rPr>
                <w:rFonts w:eastAsia="Times New Roman" w:cstheme="minorHAnsi"/>
                <w:sz w:val="20"/>
                <w:szCs w:val="20"/>
                <w:lang w:eastAsia="fr-FR"/>
              </w:rPr>
              <w:t>Changement projeté</w:t>
            </w:r>
            <w:r>
              <w:rPr>
                <w:rFonts w:eastAsia="Times New Roman" w:cstheme="minorHAnsi"/>
                <w:sz w:val="20"/>
                <w:szCs w:val="20"/>
                <w:lang w:eastAsia="fr-FR"/>
              </w:rPr>
              <w:t xml:space="preserve"> </w:t>
            </w:r>
            <w:r w:rsidRPr="009046CC">
              <w:rPr>
                <w:rFonts w:eastAsia="Times New Roman" w:cstheme="minorHAnsi"/>
                <w:sz w:val="20"/>
                <w:szCs w:val="20"/>
                <w:lang w:eastAsia="fr-FR"/>
              </w:rPr>
              <w:t>des rendements</w:t>
            </w:r>
            <w:r>
              <w:rPr>
                <w:rFonts w:eastAsia="Times New Roman" w:cstheme="minorHAnsi"/>
                <w:sz w:val="20"/>
                <w:szCs w:val="20"/>
                <w:lang w:eastAsia="fr-FR"/>
              </w:rPr>
              <w:t xml:space="preserve"> </w:t>
            </w:r>
            <w:r w:rsidRPr="009046CC">
              <w:rPr>
                <w:rFonts w:eastAsia="Times New Roman" w:cstheme="minorHAnsi"/>
                <w:sz w:val="20"/>
                <w:szCs w:val="20"/>
                <w:lang w:eastAsia="fr-FR"/>
              </w:rPr>
              <w:t>céréaliers d’exposition</w:t>
            </w:r>
          </w:p>
        </w:tc>
        <w:tc>
          <w:tcPr>
            <w:tcW w:w="2375" w:type="dxa"/>
          </w:tcPr>
          <w:p w14:paraId="707D8538" w14:textId="77777777" w:rsidR="008F2269" w:rsidRPr="002E3673" w:rsidRDefault="008F2269" w:rsidP="002D1362">
            <w:pPr>
              <w:jc w:val="both"/>
              <w:rPr>
                <w:rFonts w:eastAsia="Times New Roman" w:cstheme="minorHAnsi"/>
                <w:sz w:val="20"/>
                <w:szCs w:val="20"/>
                <w:lang w:eastAsia="fr-FR"/>
              </w:rPr>
            </w:pPr>
            <w:r w:rsidRPr="009046CC">
              <w:rPr>
                <w:rFonts w:eastAsia="Times New Roman" w:cstheme="minorHAnsi"/>
                <w:sz w:val="20"/>
                <w:szCs w:val="20"/>
                <w:lang w:eastAsia="fr-FR"/>
              </w:rPr>
              <w:t>Dépendance aux</w:t>
            </w:r>
            <w:r>
              <w:rPr>
                <w:rFonts w:eastAsia="Times New Roman" w:cstheme="minorHAnsi"/>
                <w:sz w:val="20"/>
                <w:szCs w:val="20"/>
                <w:lang w:eastAsia="fr-FR"/>
              </w:rPr>
              <w:t xml:space="preserve"> </w:t>
            </w:r>
            <w:r w:rsidRPr="009046CC">
              <w:rPr>
                <w:rFonts w:eastAsia="Times New Roman" w:cstheme="minorHAnsi"/>
                <w:sz w:val="20"/>
                <w:szCs w:val="20"/>
                <w:lang w:eastAsia="fr-FR"/>
              </w:rPr>
              <w:t>importations</w:t>
            </w:r>
            <w:r>
              <w:rPr>
                <w:rFonts w:eastAsia="Times New Roman" w:cstheme="minorHAnsi"/>
                <w:sz w:val="20"/>
                <w:szCs w:val="20"/>
                <w:lang w:eastAsia="fr-FR"/>
              </w:rPr>
              <w:t xml:space="preserve"> </w:t>
            </w:r>
            <w:r w:rsidRPr="009046CC">
              <w:rPr>
                <w:rFonts w:eastAsia="Times New Roman" w:cstheme="minorHAnsi"/>
                <w:sz w:val="20"/>
                <w:szCs w:val="20"/>
                <w:lang w:eastAsia="fr-FR"/>
              </w:rPr>
              <w:t>alimentaires</w:t>
            </w:r>
          </w:p>
        </w:tc>
        <w:tc>
          <w:tcPr>
            <w:tcW w:w="2445" w:type="dxa"/>
          </w:tcPr>
          <w:p w14:paraId="1A6CA2AB" w14:textId="77777777" w:rsidR="008F2269" w:rsidRPr="009046CC" w:rsidRDefault="008F2269" w:rsidP="002D1362">
            <w:pPr>
              <w:jc w:val="both"/>
              <w:rPr>
                <w:rFonts w:eastAsia="Times New Roman" w:cstheme="minorHAnsi"/>
                <w:sz w:val="20"/>
                <w:szCs w:val="20"/>
                <w:lang w:eastAsia="fr-FR"/>
              </w:rPr>
            </w:pPr>
            <w:r w:rsidRPr="009046CC">
              <w:rPr>
                <w:rFonts w:eastAsia="Times New Roman" w:cstheme="minorHAnsi"/>
                <w:sz w:val="20"/>
                <w:szCs w:val="20"/>
                <w:lang w:eastAsia="fr-FR"/>
              </w:rPr>
              <w:t>Capacité agricole</w:t>
            </w:r>
          </w:p>
          <w:p w14:paraId="54A92E32" w14:textId="77777777" w:rsidR="008F2269" w:rsidRPr="002E3673" w:rsidRDefault="008F2269" w:rsidP="002D1362">
            <w:pPr>
              <w:ind w:right="-71"/>
              <w:rPr>
                <w:rFonts w:eastAsia="Times New Roman" w:cstheme="minorHAnsi"/>
                <w:sz w:val="20"/>
                <w:szCs w:val="20"/>
                <w:lang w:eastAsia="fr-FR"/>
              </w:rPr>
            </w:pPr>
            <w:r w:rsidRPr="009046CC">
              <w:rPr>
                <w:rFonts w:eastAsia="Times New Roman" w:cstheme="minorHAnsi"/>
                <w:sz w:val="20"/>
                <w:szCs w:val="20"/>
                <w:lang w:eastAsia="fr-FR"/>
              </w:rPr>
              <w:t>(Fertilisation, utilisation</w:t>
            </w:r>
            <w:r>
              <w:rPr>
                <w:rFonts w:eastAsia="Times New Roman" w:cstheme="minorHAnsi"/>
                <w:sz w:val="20"/>
                <w:szCs w:val="20"/>
                <w:lang w:eastAsia="fr-FR"/>
              </w:rPr>
              <w:t xml:space="preserve"> </w:t>
            </w:r>
            <w:r w:rsidRPr="009046CC">
              <w:rPr>
                <w:rFonts w:eastAsia="Times New Roman" w:cstheme="minorHAnsi"/>
                <w:sz w:val="20"/>
                <w:szCs w:val="20"/>
                <w:lang w:eastAsia="fr-FR"/>
              </w:rPr>
              <w:t>de tracteurs, irrigation...)</w:t>
            </w:r>
          </w:p>
        </w:tc>
      </w:tr>
      <w:tr w:rsidR="008F2269" w14:paraId="5DD41DA0" w14:textId="77777777" w:rsidTr="002D1362">
        <w:tc>
          <w:tcPr>
            <w:tcW w:w="1275" w:type="dxa"/>
            <w:vMerge/>
            <w:vAlign w:val="center"/>
          </w:tcPr>
          <w:p w14:paraId="29AD9E21" w14:textId="77777777" w:rsidR="008F2269" w:rsidRPr="00DD4E9D" w:rsidRDefault="008F2269" w:rsidP="002D1362">
            <w:pPr>
              <w:rPr>
                <w:rFonts w:eastAsia="Times New Roman" w:cstheme="minorHAnsi"/>
                <w:b/>
                <w:bCs/>
                <w:sz w:val="20"/>
                <w:szCs w:val="20"/>
                <w:lang w:eastAsia="fr-FR"/>
              </w:rPr>
            </w:pPr>
          </w:p>
        </w:tc>
        <w:tc>
          <w:tcPr>
            <w:tcW w:w="2406" w:type="dxa"/>
          </w:tcPr>
          <w:p w14:paraId="0498294A" w14:textId="77777777" w:rsidR="008F2269" w:rsidRPr="00DD4E9D" w:rsidRDefault="008F2269" w:rsidP="002D1362">
            <w:pPr>
              <w:jc w:val="both"/>
              <w:rPr>
                <w:rFonts w:eastAsia="Times New Roman" w:cstheme="minorHAnsi"/>
                <w:sz w:val="20"/>
                <w:szCs w:val="20"/>
                <w:lang w:eastAsia="fr-FR"/>
              </w:rPr>
            </w:pPr>
            <w:r w:rsidRPr="009046CC">
              <w:rPr>
                <w:rFonts w:eastAsia="Times New Roman" w:cstheme="minorHAnsi"/>
                <w:sz w:val="20"/>
                <w:szCs w:val="20"/>
                <w:lang w:eastAsia="fr-FR"/>
              </w:rPr>
              <w:t>Changement</w:t>
            </w:r>
            <w:r>
              <w:rPr>
                <w:rFonts w:eastAsia="Times New Roman" w:cstheme="minorHAnsi"/>
                <w:sz w:val="20"/>
                <w:szCs w:val="20"/>
                <w:lang w:eastAsia="fr-FR"/>
              </w:rPr>
              <w:t xml:space="preserve"> démographique projeté</w:t>
            </w:r>
          </w:p>
        </w:tc>
        <w:tc>
          <w:tcPr>
            <w:tcW w:w="2375" w:type="dxa"/>
          </w:tcPr>
          <w:p w14:paraId="5C74B26E" w14:textId="77777777" w:rsidR="008F2269" w:rsidRPr="00DD4E9D" w:rsidRDefault="008F2269" w:rsidP="002D1362">
            <w:pPr>
              <w:jc w:val="both"/>
              <w:rPr>
                <w:rFonts w:eastAsia="Times New Roman" w:cstheme="minorHAnsi"/>
                <w:b/>
                <w:bCs/>
                <w:sz w:val="20"/>
                <w:szCs w:val="20"/>
                <w:lang w:eastAsia="fr-FR"/>
              </w:rPr>
            </w:pPr>
            <w:r w:rsidRPr="009046CC">
              <w:rPr>
                <w:rFonts w:eastAsia="Times New Roman" w:cstheme="minorHAnsi"/>
                <w:sz w:val="20"/>
                <w:szCs w:val="20"/>
                <w:lang w:eastAsia="fr-FR"/>
              </w:rPr>
              <w:t>Population rurale</w:t>
            </w:r>
          </w:p>
        </w:tc>
        <w:tc>
          <w:tcPr>
            <w:tcW w:w="2445" w:type="dxa"/>
          </w:tcPr>
          <w:p w14:paraId="03EE08CC" w14:textId="77777777" w:rsidR="008F2269" w:rsidRPr="00DD4E9D" w:rsidRDefault="008F2269" w:rsidP="002D1362">
            <w:pPr>
              <w:jc w:val="both"/>
              <w:rPr>
                <w:rFonts w:eastAsia="Times New Roman" w:cstheme="minorHAnsi"/>
                <w:b/>
                <w:bCs/>
                <w:sz w:val="20"/>
                <w:szCs w:val="20"/>
                <w:lang w:eastAsia="fr-FR"/>
              </w:rPr>
            </w:pPr>
            <w:r w:rsidRPr="009046CC">
              <w:rPr>
                <w:rFonts w:eastAsia="Times New Roman" w:cstheme="minorHAnsi"/>
                <w:sz w:val="20"/>
                <w:szCs w:val="20"/>
                <w:lang w:eastAsia="fr-FR"/>
              </w:rPr>
              <w:t>Malnutrition</w:t>
            </w:r>
            <w:r>
              <w:rPr>
                <w:rFonts w:eastAsia="Times New Roman" w:cstheme="minorHAnsi"/>
                <w:sz w:val="20"/>
                <w:szCs w:val="20"/>
                <w:lang w:eastAsia="fr-FR"/>
              </w:rPr>
              <w:t xml:space="preserve"> </w:t>
            </w:r>
            <w:r w:rsidRPr="009046CC">
              <w:rPr>
                <w:rFonts w:eastAsia="Times New Roman" w:cstheme="minorHAnsi"/>
                <w:sz w:val="20"/>
                <w:szCs w:val="20"/>
                <w:lang w:eastAsia="fr-FR"/>
              </w:rPr>
              <w:t>infantile</w:t>
            </w:r>
          </w:p>
        </w:tc>
      </w:tr>
      <w:tr w:rsidR="008F2269" w14:paraId="093F7B00" w14:textId="77777777" w:rsidTr="002D1362">
        <w:tc>
          <w:tcPr>
            <w:tcW w:w="1275" w:type="dxa"/>
            <w:vMerge w:val="restart"/>
            <w:vAlign w:val="center"/>
          </w:tcPr>
          <w:p w14:paraId="2D8160B6" w14:textId="77777777" w:rsidR="008F2269" w:rsidRPr="00DD4E9D" w:rsidRDefault="008F2269" w:rsidP="002D1362">
            <w:pPr>
              <w:rPr>
                <w:rFonts w:eastAsia="Times New Roman" w:cstheme="minorHAnsi"/>
                <w:b/>
                <w:bCs/>
                <w:sz w:val="20"/>
                <w:szCs w:val="20"/>
                <w:lang w:eastAsia="fr-FR"/>
              </w:rPr>
            </w:pPr>
            <w:r w:rsidRPr="00DD4E9D">
              <w:rPr>
                <w:rFonts w:eastAsia="Times New Roman" w:cstheme="minorHAnsi"/>
                <w:sz w:val="20"/>
                <w:szCs w:val="20"/>
                <w:lang w:eastAsia="fr-FR"/>
              </w:rPr>
              <w:t>Eau</w:t>
            </w:r>
          </w:p>
        </w:tc>
        <w:tc>
          <w:tcPr>
            <w:tcW w:w="2406" w:type="dxa"/>
          </w:tcPr>
          <w:p w14:paraId="5767FAEF" w14:textId="77777777" w:rsidR="008F2269" w:rsidRPr="002E3673" w:rsidRDefault="008F2269" w:rsidP="002D1362">
            <w:pPr>
              <w:jc w:val="both"/>
              <w:rPr>
                <w:rFonts w:eastAsia="Times New Roman" w:cstheme="minorHAnsi"/>
                <w:sz w:val="20"/>
                <w:szCs w:val="20"/>
                <w:lang w:eastAsia="fr-FR"/>
              </w:rPr>
            </w:pPr>
            <w:r w:rsidRPr="002F3ABA">
              <w:rPr>
                <w:rFonts w:eastAsia="Times New Roman" w:cstheme="minorHAnsi"/>
                <w:sz w:val="20"/>
                <w:szCs w:val="20"/>
                <w:lang w:eastAsia="fr-FR"/>
              </w:rPr>
              <w:t>Changement projeté</w:t>
            </w:r>
            <w:r>
              <w:rPr>
                <w:rFonts w:eastAsia="Times New Roman" w:cstheme="minorHAnsi"/>
                <w:sz w:val="20"/>
                <w:szCs w:val="20"/>
                <w:lang w:eastAsia="fr-FR"/>
              </w:rPr>
              <w:t xml:space="preserve"> </w:t>
            </w:r>
            <w:r w:rsidRPr="002F3ABA">
              <w:rPr>
                <w:rFonts w:eastAsia="Times New Roman" w:cstheme="minorHAnsi"/>
                <w:sz w:val="20"/>
                <w:szCs w:val="20"/>
                <w:lang w:eastAsia="fr-FR"/>
              </w:rPr>
              <w:t>du ruissellement</w:t>
            </w:r>
            <w:r>
              <w:rPr>
                <w:rFonts w:eastAsia="Times New Roman" w:cstheme="minorHAnsi"/>
                <w:sz w:val="20"/>
                <w:szCs w:val="20"/>
                <w:lang w:eastAsia="fr-FR"/>
              </w:rPr>
              <w:t xml:space="preserve"> </w:t>
            </w:r>
            <w:r w:rsidRPr="002F3ABA">
              <w:rPr>
                <w:rFonts w:eastAsia="Times New Roman" w:cstheme="minorHAnsi"/>
                <w:sz w:val="20"/>
                <w:szCs w:val="20"/>
                <w:lang w:eastAsia="fr-FR"/>
              </w:rPr>
              <w:t>annuel</w:t>
            </w:r>
          </w:p>
        </w:tc>
        <w:tc>
          <w:tcPr>
            <w:tcW w:w="2375" w:type="dxa"/>
          </w:tcPr>
          <w:p w14:paraId="4B129457" w14:textId="77777777" w:rsidR="008F2269" w:rsidRPr="002F3ABA" w:rsidRDefault="008F2269" w:rsidP="002D1362">
            <w:pPr>
              <w:jc w:val="both"/>
              <w:rPr>
                <w:rFonts w:eastAsia="Times New Roman" w:cstheme="minorHAnsi"/>
                <w:sz w:val="20"/>
                <w:szCs w:val="20"/>
                <w:lang w:eastAsia="fr-FR"/>
              </w:rPr>
            </w:pPr>
            <w:r w:rsidRPr="002F3ABA">
              <w:rPr>
                <w:rFonts w:eastAsia="Times New Roman" w:cstheme="minorHAnsi"/>
                <w:sz w:val="20"/>
                <w:szCs w:val="20"/>
                <w:lang w:eastAsia="fr-FR"/>
              </w:rPr>
              <w:t>Taux de prélèvement</w:t>
            </w:r>
          </w:p>
          <w:p w14:paraId="22D1AE91" w14:textId="77777777" w:rsidR="008F2269" w:rsidRPr="00DD4E9D" w:rsidRDefault="008F2269" w:rsidP="002D1362">
            <w:pPr>
              <w:jc w:val="both"/>
              <w:rPr>
                <w:rFonts w:eastAsia="Times New Roman" w:cstheme="minorHAnsi"/>
                <w:b/>
                <w:bCs/>
                <w:sz w:val="20"/>
                <w:szCs w:val="20"/>
                <w:lang w:eastAsia="fr-FR"/>
              </w:rPr>
            </w:pPr>
            <w:proofErr w:type="gramStart"/>
            <w:r w:rsidRPr="002F3ABA">
              <w:rPr>
                <w:rFonts w:eastAsia="Times New Roman" w:cstheme="minorHAnsi"/>
                <w:sz w:val="20"/>
                <w:szCs w:val="20"/>
                <w:lang w:eastAsia="fr-FR"/>
              </w:rPr>
              <w:t>d'eau</w:t>
            </w:r>
            <w:proofErr w:type="gramEnd"/>
            <w:r w:rsidRPr="002F3ABA">
              <w:rPr>
                <w:rFonts w:eastAsia="Times New Roman" w:cstheme="minorHAnsi"/>
                <w:sz w:val="20"/>
                <w:szCs w:val="20"/>
                <w:lang w:eastAsia="fr-FR"/>
              </w:rPr>
              <w:t xml:space="preserve"> douce</w:t>
            </w:r>
          </w:p>
        </w:tc>
        <w:tc>
          <w:tcPr>
            <w:tcW w:w="2445" w:type="dxa"/>
          </w:tcPr>
          <w:p w14:paraId="6122A5CC" w14:textId="77777777" w:rsidR="008F2269" w:rsidRPr="00DD4E9D" w:rsidRDefault="008F2269" w:rsidP="002D1362">
            <w:pPr>
              <w:rPr>
                <w:rFonts w:eastAsia="Times New Roman" w:cstheme="minorHAnsi"/>
                <w:b/>
                <w:bCs/>
                <w:sz w:val="20"/>
                <w:szCs w:val="20"/>
                <w:lang w:eastAsia="fr-FR"/>
              </w:rPr>
            </w:pPr>
            <w:r>
              <w:rPr>
                <w:rFonts w:eastAsia="Times New Roman" w:cstheme="minorHAnsi"/>
                <w:sz w:val="20"/>
                <w:szCs w:val="20"/>
                <w:lang w:eastAsia="fr-FR"/>
              </w:rPr>
              <w:t>A</w:t>
            </w:r>
            <w:r w:rsidRPr="002F3ABA">
              <w:rPr>
                <w:rFonts w:eastAsia="Times New Roman" w:cstheme="minorHAnsi"/>
                <w:sz w:val="20"/>
                <w:szCs w:val="20"/>
                <w:lang w:eastAsia="fr-FR"/>
              </w:rPr>
              <w:t>ccès à de l'eau potable</w:t>
            </w:r>
            <w:r>
              <w:rPr>
                <w:rFonts w:eastAsia="Times New Roman" w:cstheme="minorHAnsi"/>
                <w:sz w:val="20"/>
                <w:szCs w:val="20"/>
                <w:lang w:eastAsia="fr-FR"/>
              </w:rPr>
              <w:t xml:space="preserve"> fiable</w:t>
            </w:r>
          </w:p>
        </w:tc>
      </w:tr>
      <w:tr w:rsidR="008F2269" w14:paraId="3DA04374" w14:textId="77777777" w:rsidTr="002D1362">
        <w:tc>
          <w:tcPr>
            <w:tcW w:w="1275" w:type="dxa"/>
            <w:vMerge/>
            <w:vAlign w:val="center"/>
          </w:tcPr>
          <w:p w14:paraId="635E5416" w14:textId="77777777" w:rsidR="008F2269" w:rsidRPr="00DD4E9D" w:rsidRDefault="008F2269" w:rsidP="002D1362">
            <w:pPr>
              <w:rPr>
                <w:rFonts w:eastAsia="Times New Roman" w:cstheme="minorHAnsi"/>
                <w:b/>
                <w:bCs/>
                <w:sz w:val="20"/>
                <w:szCs w:val="20"/>
                <w:lang w:eastAsia="fr-FR"/>
              </w:rPr>
            </w:pPr>
          </w:p>
        </w:tc>
        <w:tc>
          <w:tcPr>
            <w:tcW w:w="2406" w:type="dxa"/>
          </w:tcPr>
          <w:p w14:paraId="34CCCCD3" w14:textId="77777777" w:rsidR="008F2269" w:rsidRPr="002E3673" w:rsidRDefault="008F2269" w:rsidP="002D1362">
            <w:pPr>
              <w:jc w:val="both"/>
              <w:rPr>
                <w:rFonts w:eastAsia="Times New Roman" w:cstheme="minorHAnsi"/>
                <w:sz w:val="20"/>
                <w:szCs w:val="20"/>
                <w:lang w:eastAsia="fr-FR"/>
              </w:rPr>
            </w:pPr>
            <w:r w:rsidRPr="002F3ABA">
              <w:rPr>
                <w:rFonts w:eastAsia="Times New Roman" w:cstheme="minorHAnsi"/>
                <w:sz w:val="20"/>
                <w:szCs w:val="20"/>
                <w:lang w:eastAsia="fr-FR"/>
              </w:rPr>
              <w:t>Changement projeté</w:t>
            </w:r>
            <w:r>
              <w:rPr>
                <w:rFonts w:eastAsia="Times New Roman" w:cstheme="minorHAnsi"/>
                <w:sz w:val="20"/>
                <w:szCs w:val="20"/>
                <w:lang w:eastAsia="fr-FR"/>
              </w:rPr>
              <w:t xml:space="preserve"> </w:t>
            </w:r>
            <w:r w:rsidRPr="002F3ABA">
              <w:rPr>
                <w:rFonts w:eastAsia="Times New Roman" w:cstheme="minorHAnsi"/>
                <w:sz w:val="20"/>
                <w:szCs w:val="20"/>
                <w:lang w:eastAsia="fr-FR"/>
              </w:rPr>
              <w:t>de la recharge annuelle</w:t>
            </w:r>
            <w:r>
              <w:rPr>
                <w:rFonts w:eastAsia="Times New Roman" w:cstheme="minorHAnsi"/>
                <w:sz w:val="20"/>
                <w:szCs w:val="20"/>
                <w:lang w:eastAsia="fr-FR"/>
              </w:rPr>
              <w:t xml:space="preserve"> </w:t>
            </w:r>
            <w:r w:rsidRPr="002F3ABA">
              <w:rPr>
                <w:rFonts w:eastAsia="Times New Roman" w:cstheme="minorHAnsi"/>
                <w:sz w:val="20"/>
                <w:szCs w:val="20"/>
                <w:lang w:eastAsia="fr-FR"/>
              </w:rPr>
              <w:t>des eaux souterraines</w:t>
            </w:r>
          </w:p>
        </w:tc>
        <w:tc>
          <w:tcPr>
            <w:tcW w:w="2375" w:type="dxa"/>
          </w:tcPr>
          <w:p w14:paraId="2FDA85A8" w14:textId="77777777" w:rsidR="008F2269" w:rsidRPr="002E3673" w:rsidRDefault="008F2269" w:rsidP="002D1362">
            <w:pPr>
              <w:jc w:val="both"/>
              <w:rPr>
                <w:rFonts w:eastAsia="Times New Roman" w:cstheme="minorHAnsi"/>
                <w:sz w:val="20"/>
                <w:szCs w:val="20"/>
                <w:lang w:eastAsia="fr-FR"/>
              </w:rPr>
            </w:pPr>
            <w:r w:rsidRPr="002F3ABA">
              <w:rPr>
                <w:rFonts w:eastAsia="Times New Roman" w:cstheme="minorHAnsi"/>
                <w:sz w:val="20"/>
                <w:szCs w:val="20"/>
                <w:lang w:eastAsia="fr-FR"/>
              </w:rPr>
              <w:t>Rapport de</w:t>
            </w:r>
            <w:r>
              <w:rPr>
                <w:rFonts w:eastAsia="Times New Roman" w:cstheme="minorHAnsi"/>
                <w:sz w:val="20"/>
                <w:szCs w:val="20"/>
                <w:lang w:eastAsia="fr-FR"/>
              </w:rPr>
              <w:t xml:space="preserve"> </w:t>
            </w:r>
            <w:r w:rsidRPr="002F3ABA">
              <w:rPr>
                <w:rFonts w:eastAsia="Times New Roman" w:cstheme="minorHAnsi"/>
                <w:sz w:val="20"/>
                <w:szCs w:val="20"/>
                <w:lang w:eastAsia="fr-FR"/>
              </w:rPr>
              <w:t>dépendance à l'eau</w:t>
            </w:r>
          </w:p>
        </w:tc>
        <w:tc>
          <w:tcPr>
            <w:tcW w:w="2445" w:type="dxa"/>
          </w:tcPr>
          <w:p w14:paraId="6D46510D" w14:textId="77777777" w:rsidR="008F2269" w:rsidRPr="00DD4E9D" w:rsidRDefault="008F2269" w:rsidP="002D1362">
            <w:pPr>
              <w:jc w:val="both"/>
              <w:rPr>
                <w:rFonts w:eastAsia="Times New Roman" w:cstheme="minorHAnsi"/>
                <w:b/>
                <w:bCs/>
                <w:sz w:val="20"/>
                <w:szCs w:val="20"/>
                <w:lang w:eastAsia="fr-FR"/>
              </w:rPr>
            </w:pPr>
            <w:r>
              <w:rPr>
                <w:rFonts w:eastAsia="Times New Roman" w:cstheme="minorHAnsi"/>
                <w:sz w:val="20"/>
                <w:szCs w:val="20"/>
                <w:lang w:eastAsia="fr-FR"/>
              </w:rPr>
              <w:t>Capacité du barrage</w:t>
            </w:r>
          </w:p>
        </w:tc>
      </w:tr>
      <w:tr w:rsidR="008F2269" w14:paraId="61024039" w14:textId="77777777" w:rsidTr="002D1362">
        <w:tc>
          <w:tcPr>
            <w:tcW w:w="1275" w:type="dxa"/>
            <w:vAlign w:val="center"/>
          </w:tcPr>
          <w:p w14:paraId="484889FD" w14:textId="77777777" w:rsidR="008F2269" w:rsidRPr="00DD4E9D" w:rsidRDefault="008F2269" w:rsidP="002D1362">
            <w:pPr>
              <w:rPr>
                <w:rFonts w:eastAsia="Times New Roman" w:cstheme="minorHAnsi"/>
                <w:b/>
                <w:bCs/>
                <w:sz w:val="20"/>
                <w:szCs w:val="20"/>
                <w:lang w:eastAsia="fr-FR"/>
              </w:rPr>
            </w:pPr>
            <w:r w:rsidRPr="00DD4E9D">
              <w:rPr>
                <w:rFonts w:eastAsia="Times New Roman" w:cstheme="minorHAnsi"/>
                <w:sz w:val="20"/>
                <w:szCs w:val="20"/>
                <w:lang w:eastAsia="fr-FR"/>
              </w:rPr>
              <w:t>Santé</w:t>
            </w:r>
          </w:p>
        </w:tc>
        <w:tc>
          <w:tcPr>
            <w:tcW w:w="2406" w:type="dxa"/>
          </w:tcPr>
          <w:p w14:paraId="21E28860" w14:textId="77777777" w:rsidR="008F2269" w:rsidRPr="002E3673" w:rsidRDefault="008F2269" w:rsidP="002D1362">
            <w:pPr>
              <w:rPr>
                <w:rFonts w:eastAsia="Times New Roman" w:cstheme="minorHAnsi"/>
                <w:sz w:val="20"/>
                <w:szCs w:val="20"/>
                <w:lang w:eastAsia="fr-FR"/>
              </w:rPr>
            </w:pPr>
            <w:r w:rsidRPr="002E3673">
              <w:rPr>
                <w:rFonts w:eastAsia="Times New Roman" w:cstheme="minorHAnsi"/>
                <w:sz w:val="20"/>
                <w:szCs w:val="20"/>
                <w:lang w:eastAsia="fr-FR"/>
              </w:rPr>
              <w:t>Changement prévu de la</w:t>
            </w:r>
          </w:p>
          <w:p w14:paraId="0A96A012" w14:textId="77777777" w:rsidR="008F2269" w:rsidRPr="002E3673" w:rsidRDefault="008F2269" w:rsidP="002D1362">
            <w:pPr>
              <w:rPr>
                <w:rFonts w:eastAsia="Times New Roman" w:cstheme="minorHAnsi"/>
                <w:sz w:val="20"/>
                <w:szCs w:val="20"/>
                <w:lang w:eastAsia="fr-FR"/>
              </w:rPr>
            </w:pPr>
            <w:r w:rsidRPr="002E3673">
              <w:rPr>
                <w:rFonts w:eastAsia="Times New Roman" w:cstheme="minorHAnsi"/>
                <w:sz w:val="20"/>
                <w:szCs w:val="20"/>
                <w:lang w:eastAsia="fr-FR"/>
              </w:rPr>
              <w:t>Capacité de production</w:t>
            </w:r>
          </w:p>
          <w:p w14:paraId="4F879A2B" w14:textId="77777777" w:rsidR="008F2269" w:rsidRPr="002E3673" w:rsidRDefault="008F2269" w:rsidP="002D1362">
            <w:pPr>
              <w:rPr>
                <w:rFonts w:eastAsia="Times New Roman" w:cstheme="minorHAnsi"/>
                <w:sz w:val="20"/>
                <w:szCs w:val="20"/>
                <w:lang w:eastAsia="fr-FR"/>
              </w:rPr>
            </w:pPr>
            <w:proofErr w:type="gramStart"/>
            <w:r w:rsidRPr="002E3673">
              <w:rPr>
                <w:rFonts w:eastAsia="Times New Roman" w:cstheme="minorHAnsi"/>
                <w:sz w:val="20"/>
                <w:szCs w:val="20"/>
                <w:lang w:eastAsia="fr-FR"/>
              </w:rPr>
              <w:t>hydroélectriqu</w:t>
            </w:r>
            <w:r>
              <w:rPr>
                <w:rFonts w:eastAsia="Times New Roman" w:cstheme="minorHAnsi"/>
                <w:sz w:val="20"/>
                <w:szCs w:val="20"/>
                <w:lang w:eastAsia="fr-FR"/>
              </w:rPr>
              <w:t>e</w:t>
            </w:r>
            <w:proofErr w:type="gramEnd"/>
          </w:p>
        </w:tc>
        <w:tc>
          <w:tcPr>
            <w:tcW w:w="2375" w:type="dxa"/>
          </w:tcPr>
          <w:p w14:paraId="20325657" w14:textId="77777777" w:rsidR="008F2269" w:rsidRPr="002E3673" w:rsidRDefault="008F2269" w:rsidP="002D1362">
            <w:pPr>
              <w:jc w:val="both"/>
              <w:rPr>
                <w:rFonts w:eastAsia="Times New Roman" w:cstheme="minorHAnsi"/>
                <w:sz w:val="20"/>
                <w:szCs w:val="20"/>
                <w:lang w:eastAsia="fr-FR"/>
              </w:rPr>
            </w:pPr>
            <w:r w:rsidRPr="002E3673">
              <w:rPr>
                <w:rFonts w:eastAsia="Times New Roman" w:cstheme="minorHAnsi"/>
                <w:sz w:val="20"/>
                <w:szCs w:val="20"/>
                <w:lang w:eastAsia="fr-FR"/>
              </w:rPr>
              <w:t>Dépendance</w:t>
            </w:r>
            <w:r>
              <w:rPr>
                <w:rFonts w:eastAsia="Times New Roman" w:cstheme="minorHAnsi"/>
                <w:sz w:val="20"/>
                <w:szCs w:val="20"/>
                <w:lang w:eastAsia="fr-FR"/>
              </w:rPr>
              <w:t xml:space="preserve"> à l'énergie </w:t>
            </w:r>
            <w:r w:rsidRPr="002E3673">
              <w:rPr>
                <w:rFonts w:eastAsia="Times New Roman" w:cstheme="minorHAnsi"/>
                <w:sz w:val="20"/>
                <w:szCs w:val="20"/>
                <w:lang w:eastAsia="fr-FR"/>
              </w:rPr>
              <w:t>importée</w:t>
            </w:r>
          </w:p>
        </w:tc>
        <w:tc>
          <w:tcPr>
            <w:tcW w:w="2445" w:type="dxa"/>
          </w:tcPr>
          <w:p w14:paraId="4626FE9A" w14:textId="77777777" w:rsidR="008F2269" w:rsidRPr="00DD4E9D" w:rsidRDefault="008F2269" w:rsidP="002D1362">
            <w:pPr>
              <w:jc w:val="both"/>
              <w:rPr>
                <w:rFonts w:eastAsia="Times New Roman" w:cstheme="minorHAnsi"/>
                <w:b/>
                <w:bCs/>
                <w:sz w:val="20"/>
                <w:szCs w:val="20"/>
                <w:lang w:eastAsia="fr-FR"/>
              </w:rPr>
            </w:pPr>
            <w:r w:rsidRPr="009046CC">
              <w:rPr>
                <w:rFonts w:eastAsia="Times New Roman" w:cstheme="minorHAnsi"/>
                <w:sz w:val="20"/>
                <w:szCs w:val="20"/>
                <w:lang w:eastAsia="fr-FR"/>
              </w:rPr>
              <w:t>Accès à l'électricité</w:t>
            </w:r>
          </w:p>
        </w:tc>
      </w:tr>
      <w:tr w:rsidR="008F2269" w14:paraId="785AE48D" w14:textId="77777777" w:rsidTr="002D1362">
        <w:tc>
          <w:tcPr>
            <w:tcW w:w="1275" w:type="dxa"/>
            <w:vMerge w:val="restart"/>
            <w:vAlign w:val="center"/>
          </w:tcPr>
          <w:p w14:paraId="2E66A23A" w14:textId="77777777" w:rsidR="008F2269" w:rsidRPr="00DD4E9D" w:rsidRDefault="008F2269" w:rsidP="002D1362">
            <w:pPr>
              <w:rPr>
                <w:rFonts w:eastAsia="Times New Roman" w:cstheme="minorHAnsi"/>
                <w:b/>
                <w:bCs/>
                <w:sz w:val="20"/>
                <w:szCs w:val="20"/>
                <w:lang w:eastAsia="fr-FR"/>
              </w:rPr>
            </w:pPr>
            <w:r w:rsidRPr="00DD4E9D">
              <w:rPr>
                <w:rFonts w:eastAsia="Times New Roman" w:cstheme="minorHAnsi"/>
                <w:sz w:val="20"/>
                <w:szCs w:val="20"/>
                <w:lang w:eastAsia="fr-FR"/>
              </w:rPr>
              <w:t>Service de l’écosystème</w:t>
            </w:r>
          </w:p>
        </w:tc>
        <w:tc>
          <w:tcPr>
            <w:tcW w:w="2406" w:type="dxa"/>
          </w:tcPr>
          <w:p w14:paraId="326A448B" w14:textId="77777777" w:rsidR="008F2269" w:rsidRPr="00DD4E9D" w:rsidRDefault="008F2269" w:rsidP="002D1362">
            <w:pPr>
              <w:jc w:val="both"/>
              <w:rPr>
                <w:rFonts w:eastAsia="Times New Roman" w:cstheme="minorHAnsi"/>
                <w:b/>
                <w:bCs/>
                <w:sz w:val="20"/>
                <w:szCs w:val="20"/>
                <w:lang w:eastAsia="fr-FR"/>
              </w:rPr>
            </w:pPr>
            <w:r w:rsidRPr="00DD4E9D">
              <w:rPr>
                <w:rFonts w:eastAsia="Times New Roman" w:cstheme="minorHAnsi"/>
                <w:sz w:val="20"/>
                <w:szCs w:val="20"/>
                <w:lang w:eastAsia="fr-FR"/>
              </w:rPr>
              <w:t>Changement projeté</w:t>
            </w:r>
            <w:r>
              <w:rPr>
                <w:rFonts w:eastAsia="Times New Roman" w:cstheme="minorHAnsi"/>
                <w:sz w:val="20"/>
                <w:szCs w:val="20"/>
                <w:lang w:eastAsia="fr-FR"/>
              </w:rPr>
              <w:t xml:space="preserve"> </w:t>
            </w:r>
            <w:r w:rsidRPr="00DD4E9D">
              <w:rPr>
                <w:rFonts w:eastAsia="Times New Roman" w:cstheme="minorHAnsi"/>
                <w:sz w:val="20"/>
                <w:szCs w:val="20"/>
                <w:lang w:eastAsia="fr-FR"/>
              </w:rPr>
              <w:t>de la distribution</w:t>
            </w:r>
            <w:r>
              <w:rPr>
                <w:rFonts w:eastAsia="Times New Roman" w:cstheme="minorHAnsi"/>
                <w:sz w:val="20"/>
                <w:szCs w:val="20"/>
                <w:lang w:eastAsia="fr-FR"/>
              </w:rPr>
              <w:t xml:space="preserve"> </w:t>
            </w:r>
            <w:r w:rsidRPr="00DD4E9D">
              <w:rPr>
                <w:rFonts w:eastAsia="Times New Roman" w:cstheme="minorHAnsi"/>
                <w:sz w:val="20"/>
                <w:szCs w:val="20"/>
                <w:lang w:eastAsia="fr-FR"/>
              </w:rPr>
              <w:t>des biomes</w:t>
            </w:r>
          </w:p>
        </w:tc>
        <w:tc>
          <w:tcPr>
            <w:tcW w:w="2375" w:type="dxa"/>
          </w:tcPr>
          <w:p w14:paraId="31D44830" w14:textId="77777777" w:rsidR="008F2269" w:rsidRPr="00DD4E9D" w:rsidRDefault="008F2269" w:rsidP="002D1362">
            <w:pPr>
              <w:jc w:val="both"/>
              <w:rPr>
                <w:rFonts w:eastAsia="Times New Roman" w:cstheme="minorHAnsi"/>
                <w:b/>
                <w:bCs/>
                <w:sz w:val="20"/>
                <w:szCs w:val="20"/>
                <w:lang w:eastAsia="fr-FR"/>
              </w:rPr>
            </w:pPr>
            <w:r>
              <w:rPr>
                <w:rFonts w:eastAsia="Times New Roman" w:cstheme="minorHAnsi"/>
                <w:sz w:val="20"/>
                <w:szCs w:val="20"/>
                <w:lang w:eastAsia="fr-FR"/>
              </w:rPr>
              <w:t>Dépendance au capital naturel</w:t>
            </w:r>
          </w:p>
        </w:tc>
        <w:tc>
          <w:tcPr>
            <w:tcW w:w="2445" w:type="dxa"/>
          </w:tcPr>
          <w:p w14:paraId="37E21C0D" w14:textId="77777777" w:rsidR="008F2269" w:rsidRPr="00DD4E9D" w:rsidRDefault="008F2269" w:rsidP="002D1362">
            <w:pPr>
              <w:jc w:val="both"/>
              <w:rPr>
                <w:rFonts w:eastAsia="Times New Roman" w:cstheme="minorHAnsi"/>
                <w:b/>
                <w:bCs/>
                <w:sz w:val="20"/>
                <w:szCs w:val="20"/>
                <w:lang w:eastAsia="fr-FR"/>
              </w:rPr>
            </w:pPr>
            <w:r w:rsidRPr="002E3673">
              <w:rPr>
                <w:rFonts w:eastAsia="Times New Roman" w:cstheme="minorHAnsi"/>
                <w:sz w:val="20"/>
                <w:szCs w:val="20"/>
                <w:lang w:eastAsia="fr-FR"/>
              </w:rPr>
              <w:t>Biomes protégés</w:t>
            </w:r>
          </w:p>
        </w:tc>
      </w:tr>
      <w:tr w:rsidR="008F2269" w14:paraId="61799C4E" w14:textId="77777777" w:rsidTr="002D1362">
        <w:tc>
          <w:tcPr>
            <w:tcW w:w="1275" w:type="dxa"/>
            <w:vMerge/>
          </w:tcPr>
          <w:p w14:paraId="51FF0083" w14:textId="77777777" w:rsidR="008F2269" w:rsidRPr="00DD4E9D" w:rsidRDefault="008F2269" w:rsidP="002D1362">
            <w:pPr>
              <w:jc w:val="both"/>
              <w:rPr>
                <w:rFonts w:eastAsia="Times New Roman" w:cstheme="minorHAnsi"/>
                <w:b/>
                <w:bCs/>
                <w:sz w:val="20"/>
                <w:szCs w:val="20"/>
                <w:lang w:eastAsia="fr-FR"/>
              </w:rPr>
            </w:pPr>
          </w:p>
        </w:tc>
        <w:tc>
          <w:tcPr>
            <w:tcW w:w="2406" w:type="dxa"/>
          </w:tcPr>
          <w:p w14:paraId="3EC39534" w14:textId="77777777" w:rsidR="008F2269" w:rsidRPr="00DD4E9D" w:rsidRDefault="008F2269" w:rsidP="002D1362">
            <w:pPr>
              <w:jc w:val="both"/>
              <w:rPr>
                <w:rFonts w:eastAsia="Times New Roman" w:cstheme="minorHAnsi"/>
                <w:b/>
                <w:bCs/>
                <w:sz w:val="20"/>
                <w:szCs w:val="20"/>
                <w:lang w:eastAsia="fr-FR"/>
              </w:rPr>
            </w:pPr>
            <w:r w:rsidRPr="00DD4E9D">
              <w:rPr>
                <w:rFonts w:eastAsia="Times New Roman" w:cstheme="minorHAnsi"/>
                <w:sz w:val="20"/>
                <w:szCs w:val="20"/>
                <w:lang w:eastAsia="fr-FR"/>
              </w:rPr>
              <w:t>Changement projeté</w:t>
            </w:r>
            <w:r>
              <w:rPr>
                <w:rFonts w:eastAsia="Times New Roman" w:cstheme="minorHAnsi"/>
                <w:sz w:val="20"/>
                <w:szCs w:val="20"/>
                <w:lang w:eastAsia="fr-FR"/>
              </w:rPr>
              <w:t xml:space="preserve"> </w:t>
            </w:r>
            <w:r w:rsidRPr="00DD4E9D">
              <w:rPr>
                <w:rFonts w:eastAsia="Times New Roman" w:cstheme="minorHAnsi"/>
                <w:sz w:val="20"/>
                <w:szCs w:val="20"/>
                <w:lang w:eastAsia="fr-FR"/>
              </w:rPr>
              <w:t>de la biodiversité</w:t>
            </w:r>
            <w:r>
              <w:rPr>
                <w:rFonts w:eastAsia="Times New Roman" w:cstheme="minorHAnsi"/>
                <w:sz w:val="20"/>
                <w:szCs w:val="20"/>
                <w:lang w:eastAsia="fr-FR"/>
              </w:rPr>
              <w:t xml:space="preserve"> </w:t>
            </w:r>
            <w:r w:rsidRPr="00DD4E9D">
              <w:rPr>
                <w:rFonts w:eastAsia="Times New Roman" w:cstheme="minorHAnsi"/>
                <w:sz w:val="20"/>
                <w:szCs w:val="20"/>
                <w:lang w:eastAsia="fr-FR"/>
              </w:rPr>
              <w:t>marine</w:t>
            </w:r>
          </w:p>
        </w:tc>
        <w:tc>
          <w:tcPr>
            <w:tcW w:w="2375" w:type="dxa"/>
          </w:tcPr>
          <w:p w14:paraId="703FD024" w14:textId="77777777" w:rsidR="008F2269" w:rsidRPr="00DD4E9D" w:rsidRDefault="008F2269" w:rsidP="002D1362">
            <w:pPr>
              <w:jc w:val="both"/>
              <w:rPr>
                <w:rFonts w:eastAsia="Times New Roman" w:cstheme="minorHAnsi"/>
                <w:sz w:val="20"/>
                <w:szCs w:val="20"/>
                <w:lang w:eastAsia="fr-FR"/>
              </w:rPr>
            </w:pPr>
            <w:r w:rsidRPr="00DD4E9D">
              <w:rPr>
                <w:rFonts w:eastAsia="Times New Roman" w:cstheme="minorHAnsi"/>
                <w:sz w:val="20"/>
                <w:szCs w:val="20"/>
                <w:lang w:eastAsia="fr-FR"/>
              </w:rPr>
              <w:t>Empreinte</w:t>
            </w:r>
          </w:p>
          <w:p w14:paraId="5B20F6A1" w14:textId="0D9247BC" w:rsidR="008F2269" w:rsidRPr="00DD4E9D" w:rsidRDefault="00046230" w:rsidP="002D1362">
            <w:pPr>
              <w:jc w:val="both"/>
              <w:rPr>
                <w:rFonts w:eastAsia="Times New Roman" w:cstheme="minorHAnsi"/>
                <w:b/>
                <w:bCs/>
                <w:sz w:val="20"/>
                <w:szCs w:val="20"/>
                <w:lang w:eastAsia="fr-FR"/>
              </w:rPr>
            </w:pPr>
            <w:r>
              <w:rPr>
                <w:rFonts w:eastAsia="Times New Roman" w:cstheme="minorHAnsi"/>
                <w:sz w:val="20"/>
                <w:szCs w:val="20"/>
                <w:lang w:eastAsia="fr-FR"/>
              </w:rPr>
              <w:t>Biologique</w:t>
            </w:r>
            <w:r w:rsidR="008F2269" w:rsidRPr="00DD4E9D">
              <w:rPr>
                <w:rFonts w:eastAsia="Times New Roman" w:cstheme="minorHAnsi"/>
                <w:b/>
                <w:bCs/>
                <w:sz w:val="20"/>
                <w:szCs w:val="20"/>
                <w:lang w:eastAsia="fr-FR"/>
              </w:rPr>
              <w:t xml:space="preserve"> </w:t>
            </w:r>
          </w:p>
        </w:tc>
        <w:tc>
          <w:tcPr>
            <w:tcW w:w="2445" w:type="dxa"/>
          </w:tcPr>
          <w:p w14:paraId="1AA25A94" w14:textId="77777777" w:rsidR="008F2269" w:rsidRPr="00DD4E9D" w:rsidRDefault="008F2269" w:rsidP="002D1362">
            <w:pPr>
              <w:jc w:val="both"/>
              <w:rPr>
                <w:rFonts w:eastAsia="Times New Roman" w:cstheme="minorHAnsi"/>
                <w:b/>
                <w:bCs/>
                <w:sz w:val="20"/>
                <w:szCs w:val="20"/>
                <w:lang w:eastAsia="fr-FR"/>
              </w:rPr>
            </w:pPr>
            <w:r w:rsidRPr="002E3673">
              <w:rPr>
                <w:rFonts w:eastAsia="Times New Roman" w:cstheme="minorHAnsi"/>
                <w:sz w:val="20"/>
                <w:szCs w:val="20"/>
                <w:lang w:eastAsia="fr-FR"/>
              </w:rPr>
              <w:t>Engagement dans les conventions internationales sur l’environnement</w:t>
            </w:r>
          </w:p>
        </w:tc>
      </w:tr>
      <w:tr w:rsidR="008F2269" w14:paraId="64C21F56" w14:textId="77777777" w:rsidTr="002D1362">
        <w:tc>
          <w:tcPr>
            <w:tcW w:w="1275" w:type="dxa"/>
            <w:vMerge w:val="restart"/>
            <w:vAlign w:val="center"/>
          </w:tcPr>
          <w:p w14:paraId="116E538D" w14:textId="77777777" w:rsidR="008F2269" w:rsidRPr="00DD4E9D" w:rsidRDefault="008F2269" w:rsidP="002D1362">
            <w:pPr>
              <w:rPr>
                <w:rFonts w:eastAsia="Times New Roman" w:cstheme="minorHAnsi"/>
                <w:b/>
                <w:bCs/>
                <w:sz w:val="20"/>
                <w:szCs w:val="20"/>
                <w:lang w:eastAsia="fr-FR"/>
              </w:rPr>
            </w:pPr>
            <w:r w:rsidRPr="00DD4E9D">
              <w:rPr>
                <w:rFonts w:eastAsia="Times New Roman" w:cstheme="minorHAnsi"/>
                <w:sz w:val="20"/>
                <w:szCs w:val="20"/>
                <w:lang w:eastAsia="fr-FR"/>
              </w:rPr>
              <w:t>Eau</w:t>
            </w:r>
          </w:p>
        </w:tc>
        <w:tc>
          <w:tcPr>
            <w:tcW w:w="2406" w:type="dxa"/>
          </w:tcPr>
          <w:p w14:paraId="5087FB53" w14:textId="77777777" w:rsidR="008F2269" w:rsidRPr="00DD4E9D" w:rsidRDefault="008F2269" w:rsidP="002D1362">
            <w:pPr>
              <w:jc w:val="both"/>
              <w:rPr>
                <w:rFonts w:eastAsia="Times New Roman" w:cstheme="minorHAnsi"/>
                <w:b/>
                <w:bCs/>
                <w:sz w:val="20"/>
                <w:szCs w:val="20"/>
                <w:lang w:eastAsia="fr-FR"/>
              </w:rPr>
            </w:pPr>
            <w:r w:rsidRPr="002E3673">
              <w:rPr>
                <w:rFonts w:eastAsia="Times New Roman" w:cstheme="minorHAnsi"/>
                <w:sz w:val="20"/>
                <w:szCs w:val="20"/>
                <w:lang w:eastAsia="fr-FR"/>
              </w:rPr>
              <w:t>Changement projeté</w:t>
            </w:r>
            <w:r>
              <w:rPr>
                <w:rFonts w:eastAsia="Times New Roman" w:cstheme="minorHAnsi"/>
                <w:sz w:val="20"/>
                <w:szCs w:val="20"/>
                <w:lang w:eastAsia="fr-FR"/>
              </w:rPr>
              <w:t xml:space="preserve"> </w:t>
            </w:r>
            <w:r w:rsidRPr="002E3673">
              <w:rPr>
                <w:rFonts w:eastAsia="Times New Roman" w:cstheme="minorHAnsi"/>
                <w:sz w:val="20"/>
                <w:szCs w:val="20"/>
                <w:lang w:eastAsia="fr-FR"/>
              </w:rPr>
              <w:t>de la période chaude</w:t>
            </w:r>
          </w:p>
        </w:tc>
        <w:tc>
          <w:tcPr>
            <w:tcW w:w="2375" w:type="dxa"/>
          </w:tcPr>
          <w:p w14:paraId="0BC17459" w14:textId="77777777" w:rsidR="008F2269" w:rsidRPr="00DD4E9D" w:rsidRDefault="008F2269" w:rsidP="002D1362">
            <w:pPr>
              <w:jc w:val="both"/>
              <w:rPr>
                <w:rFonts w:eastAsia="Times New Roman" w:cstheme="minorHAnsi"/>
                <w:sz w:val="20"/>
                <w:szCs w:val="20"/>
                <w:lang w:eastAsia="fr-FR"/>
              </w:rPr>
            </w:pPr>
            <w:r w:rsidRPr="00DD4E9D">
              <w:rPr>
                <w:rFonts w:eastAsia="Times New Roman" w:cstheme="minorHAnsi"/>
                <w:sz w:val="20"/>
                <w:szCs w:val="20"/>
                <w:lang w:eastAsia="fr-FR"/>
              </w:rPr>
              <w:t>Concentration</w:t>
            </w:r>
          </w:p>
          <w:p w14:paraId="179941F7" w14:textId="3FD6BC28" w:rsidR="008F2269" w:rsidRPr="00DD4E9D" w:rsidRDefault="00046230" w:rsidP="002D1362">
            <w:pPr>
              <w:jc w:val="both"/>
              <w:rPr>
                <w:rFonts w:eastAsia="Times New Roman" w:cstheme="minorHAnsi"/>
                <w:b/>
                <w:bCs/>
                <w:sz w:val="20"/>
                <w:szCs w:val="20"/>
                <w:lang w:eastAsia="fr-FR"/>
              </w:rPr>
            </w:pPr>
            <w:r w:rsidRPr="00DD4E9D">
              <w:rPr>
                <w:rFonts w:eastAsia="Times New Roman" w:cstheme="minorHAnsi"/>
                <w:sz w:val="20"/>
                <w:szCs w:val="20"/>
                <w:lang w:eastAsia="fr-FR"/>
              </w:rPr>
              <w:t>Urbaine</w:t>
            </w:r>
          </w:p>
        </w:tc>
        <w:tc>
          <w:tcPr>
            <w:tcW w:w="2445" w:type="dxa"/>
          </w:tcPr>
          <w:p w14:paraId="6D846D14" w14:textId="77777777" w:rsidR="008F2269" w:rsidRPr="002E3673" w:rsidRDefault="008F2269" w:rsidP="002D1362">
            <w:pPr>
              <w:jc w:val="both"/>
              <w:rPr>
                <w:rFonts w:eastAsia="Times New Roman" w:cstheme="minorHAnsi"/>
                <w:sz w:val="20"/>
                <w:szCs w:val="20"/>
                <w:lang w:eastAsia="fr-FR"/>
              </w:rPr>
            </w:pPr>
            <w:r w:rsidRPr="002E3673">
              <w:rPr>
                <w:rFonts w:eastAsia="Times New Roman" w:cstheme="minorHAnsi"/>
                <w:sz w:val="20"/>
                <w:szCs w:val="20"/>
                <w:lang w:eastAsia="fr-FR"/>
              </w:rPr>
              <w:t>Qualité des infrastructures</w:t>
            </w:r>
          </w:p>
          <w:p w14:paraId="0C599BFE" w14:textId="2BFD2199" w:rsidR="008F2269" w:rsidRPr="007647D1" w:rsidRDefault="00046230" w:rsidP="002D1362">
            <w:pPr>
              <w:jc w:val="both"/>
              <w:rPr>
                <w:rFonts w:eastAsia="Times New Roman" w:cstheme="minorHAnsi"/>
                <w:sz w:val="20"/>
                <w:szCs w:val="20"/>
                <w:lang w:eastAsia="fr-FR"/>
              </w:rPr>
            </w:pPr>
            <w:r w:rsidRPr="002E3673">
              <w:rPr>
                <w:rFonts w:eastAsia="Times New Roman" w:cstheme="minorHAnsi"/>
                <w:sz w:val="20"/>
                <w:szCs w:val="20"/>
                <w:lang w:eastAsia="fr-FR"/>
              </w:rPr>
              <w:t>Commerciales</w:t>
            </w:r>
            <w:r w:rsidR="008F2269" w:rsidRPr="002E3673">
              <w:rPr>
                <w:rFonts w:eastAsia="Times New Roman" w:cstheme="minorHAnsi"/>
                <w:sz w:val="20"/>
                <w:szCs w:val="20"/>
                <w:lang w:eastAsia="fr-FR"/>
              </w:rPr>
              <w:t xml:space="preserve"> et liées au</w:t>
            </w:r>
            <w:r w:rsidR="008F2269">
              <w:rPr>
                <w:rFonts w:eastAsia="Times New Roman" w:cstheme="minorHAnsi"/>
                <w:sz w:val="20"/>
                <w:szCs w:val="20"/>
                <w:lang w:eastAsia="fr-FR"/>
              </w:rPr>
              <w:t xml:space="preserve"> </w:t>
            </w:r>
            <w:r w:rsidR="008F2269" w:rsidRPr="002E3673">
              <w:rPr>
                <w:rFonts w:eastAsia="Times New Roman" w:cstheme="minorHAnsi"/>
                <w:sz w:val="20"/>
                <w:szCs w:val="20"/>
                <w:lang w:eastAsia="fr-FR"/>
              </w:rPr>
              <w:t>transport</w:t>
            </w:r>
          </w:p>
        </w:tc>
      </w:tr>
      <w:tr w:rsidR="008F2269" w14:paraId="2C68390A" w14:textId="77777777" w:rsidTr="002D1362">
        <w:tc>
          <w:tcPr>
            <w:tcW w:w="1275" w:type="dxa"/>
            <w:vMerge/>
            <w:vAlign w:val="center"/>
          </w:tcPr>
          <w:p w14:paraId="06390BB3" w14:textId="77777777" w:rsidR="008F2269" w:rsidRPr="00DD4E9D" w:rsidRDefault="008F2269" w:rsidP="002D1362">
            <w:pPr>
              <w:rPr>
                <w:rFonts w:eastAsia="Times New Roman" w:cstheme="minorHAnsi"/>
                <w:b/>
                <w:bCs/>
                <w:sz w:val="20"/>
                <w:szCs w:val="20"/>
                <w:lang w:eastAsia="fr-FR"/>
              </w:rPr>
            </w:pPr>
          </w:p>
        </w:tc>
        <w:tc>
          <w:tcPr>
            <w:tcW w:w="2406" w:type="dxa"/>
          </w:tcPr>
          <w:p w14:paraId="55828341" w14:textId="77777777" w:rsidR="008F2269" w:rsidRPr="00DD4E9D" w:rsidRDefault="008F2269" w:rsidP="002D1362">
            <w:pPr>
              <w:jc w:val="both"/>
              <w:rPr>
                <w:rFonts w:eastAsia="Times New Roman" w:cstheme="minorHAnsi"/>
                <w:b/>
                <w:bCs/>
                <w:sz w:val="20"/>
                <w:szCs w:val="20"/>
                <w:lang w:eastAsia="fr-FR"/>
              </w:rPr>
            </w:pPr>
            <w:r w:rsidRPr="002E3673">
              <w:rPr>
                <w:rFonts w:eastAsia="Times New Roman" w:cstheme="minorHAnsi"/>
                <w:sz w:val="20"/>
                <w:szCs w:val="20"/>
                <w:lang w:eastAsia="fr-FR"/>
              </w:rPr>
              <w:t>Changement projeté</w:t>
            </w:r>
            <w:r>
              <w:rPr>
                <w:rFonts w:eastAsia="Times New Roman" w:cstheme="minorHAnsi"/>
                <w:sz w:val="20"/>
                <w:szCs w:val="20"/>
                <w:lang w:eastAsia="fr-FR"/>
              </w:rPr>
              <w:t xml:space="preserve"> </w:t>
            </w:r>
            <w:r w:rsidRPr="002E3673">
              <w:rPr>
                <w:rFonts w:eastAsia="Times New Roman" w:cstheme="minorHAnsi"/>
                <w:sz w:val="20"/>
                <w:szCs w:val="20"/>
                <w:lang w:eastAsia="fr-FR"/>
              </w:rPr>
              <w:t>du risque d'inondation</w:t>
            </w:r>
          </w:p>
        </w:tc>
        <w:tc>
          <w:tcPr>
            <w:tcW w:w="2375" w:type="dxa"/>
          </w:tcPr>
          <w:p w14:paraId="0AF23B6B" w14:textId="77777777" w:rsidR="008F2269" w:rsidRPr="00DD4E9D" w:rsidRDefault="008F2269" w:rsidP="002D1362">
            <w:pPr>
              <w:jc w:val="both"/>
              <w:rPr>
                <w:rFonts w:eastAsia="Times New Roman" w:cstheme="minorHAnsi"/>
                <w:b/>
                <w:bCs/>
                <w:sz w:val="20"/>
                <w:szCs w:val="20"/>
                <w:lang w:eastAsia="fr-FR"/>
              </w:rPr>
            </w:pPr>
            <w:r w:rsidRPr="002E3673">
              <w:rPr>
                <w:rFonts w:eastAsia="Times New Roman" w:cstheme="minorHAnsi"/>
                <w:sz w:val="20"/>
                <w:szCs w:val="20"/>
                <w:lang w:eastAsia="fr-FR"/>
              </w:rPr>
              <w:t>Rapport</w:t>
            </w:r>
            <w:r>
              <w:rPr>
                <w:rFonts w:eastAsia="Times New Roman" w:cstheme="minorHAnsi"/>
                <w:sz w:val="20"/>
                <w:szCs w:val="20"/>
                <w:lang w:eastAsia="fr-FR"/>
              </w:rPr>
              <w:t xml:space="preserve"> </w:t>
            </w:r>
            <w:r w:rsidRPr="002E3673">
              <w:rPr>
                <w:rFonts w:eastAsia="Times New Roman" w:cstheme="minorHAnsi"/>
                <w:sz w:val="20"/>
                <w:szCs w:val="20"/>
                <w:lang w:eastAsia="fr-FR"/>
              </w:rPr>
              <w:t>de dépendance</w:t>
            </w:r>
            <w:r>
              <w:rPr>
                <w:rFonts w:eastAsia="Times New Roman" w:cstheme="minorHAnsi"/>
                <w:sz w:val="20"/>
                <w:szCs w:val="20"/>
                <w:lang w:eastAsia="fr-FR"/>
              </w:rPr>
              <w:t xml:space="preserve"> </w:t>
            </w:r>
            <w:r w:rsidRPr="002E3673">
              <w:rPr>
                <w:rFonts w:eastAsia="Times New Roman" w:cstheme="minorHAnsi"/>
                <w:sz w:val="20"/>
                <w:szCs w:val="20"/>
                <w:lang w:eastAsia="fr-FR"/>
              </w:rPr>
              <w:t>de l'âge</w:t>
            </w:r>
          </w:p>
        </w:tc>
        <w:tc>
          <w:tcPr>
            <w:tcW w:w="2445" w:type="dxa"/>
          </w:tcPr>
          <w:p w14:paraId="09DE3371" w14:textId="77777777" w:rsidR="008F2269" w:rsidRPr="00DD4E9D" w:rsidRDefault="008F2269" w:rsidP="002D1362">
            <w:pPr>
              <w:jc w:val="both"/>
              <w:rPr>
                <w:rFonts w:eastAsia="Times New Roman" w:cstheme="minorHAnsi"/>
                <w:b/>
                <w:bCs/>
                <w:sz w:val="20"/>
                <w:szCs w:val="20"/>
                <w:lang w:eastAsia="fr-FR"/>
              </w:rPr>
            </w:pPr>
            <w:r w:rsidRPr="007647D1">
              <w:rPr>
                <w:rFonts w:eastAsia="Times New Roman" w:cstheme="minorHAnsi"/>
                <w:sz w:val="20"/>
                <w:szCs w:val="20"/>
                <w:lang w:eastAsia="fr-FR"/>
              </w:rPr>
              <w:t>Capacité du barrage</w:t>
            </w:r>
          </w:p>
        </w:tc>
      </w:tr>
      <w:tr w:rsidR="008F2269" w14:paraId="316A1A01" w14:textId="77777777" w:rsidTr="002D1362">
        <w:tc>
          <w:tcPr>
            <w:tcW w:w="1275" w:type="dxa"/>
            <w:vMerge w:val="restart"/>
            <w:vAlign w:val="center"/>
          </w:tcPr>
          <w:p w14:paraId="3560F6F2" w14:textId="77777777" w:rsidR="008F2269" w:rsidRPr="00DD4E9D" w:rsidRDefault="008F2269" w:rsidP="002D1362">
            <w:pPr>
              <w:rPr>
                <w:rFonts w:eastAsia="Times New Roman" w:cstheme="minorHAnsi"/>
                <w:b/>
                <w:bCs/>
                <w:sz w:val="20"/>
                <w:szCs w:val="20"/>
                <w:lang w:eastAsia="fr-FR"/>
              </w:rPr>
            </w:pPr>
            <w:r w:rsidRPr="00DD4E9D">
              <w:rPr>
                <w:rFonts w:eastAsia="Times New Roman" w:cstheme="minorHAnsi"/>
                <w:sz w:val="20"/>
                <w:szCs w:val="20"/>
                <w:lang w:eastAsia="fr-FR"/>
              </w:rPr>
              <w:t>Santé</w:t>
            </w:r>
          </w:p>
        </w:tc>
        <w:tc>
          <w:tcPr>
            <w:tcW w:w="2406" w:type="dxa"/>
          </w:tcPr>
          <w:p w14:paraId="63EE723C" w14:textId="77777777" w:rsidR="008F2269" w:rsidRPr="007647D1" w:rsidRDefault="008F2269" w:rsidP="002D1362">
            <w:pPr>
              <w:jc w:val="both"/>
              <w:rPr>
                <w:rFonts w:eastAsia="Times New Roman" w:cstheme="minorHAnsi"/>
                <w:sz w:val="20"/>
                <w:szCs w:val="20"/>
                <w:lang w:eastAsia="fr-FR"/>
              </w:rPr>
            </w:pPr>
            <w:r w:rsidRPr="007647D1">
              <w:rPr>
                <w:rFonts w:eastAsia="Times New Roman" w:cstheme="minorHAnsi"/>
                <w:sz w:val="20"/>
                <w:szCs w:val="20"/>
                <w:lang w:eastAsia="fr-FR"/>
              </w:rPr>
              <w:t>Changement prévu des</w:t>
            </w:r>
            <w:r>
              <w:rPr>
                <w:rFonts w:eastAsia="Times New Roman" w:cstheme="minorHAnsi"/>
                <w:sz w:val="20"/>
                <w:szCs w:val="20"/>
                <w:lang w:eastAsia="fr-FR"/>
              </w:rPr>
              <w:t xml:space="preserve"> </w:t>
            </w:r>
            <w:r w:rsidRPr="007647D1">
              <w:rPr>
                <w:rFonts w:eastAsia="Times New Roman" w:cstheme="minorHAnsi"/>
                <w:sz w:val="20"/>
                <w:szCs w:val="20"/>
                <w:lang w:eastAsia="fr-FR"/>
              </w:rPr>
              <w:t>décès causés par des</w:t>
            </w:r>
          </w:p>
          <w:p w14:paraId="4DA15D36" w14:textId="77777777" w:rsidR="008F2269" w:rsidRPr="007647D1" w:rsidRDefault="008F2269" w:rsidP="002D1362">
            <w:pPr>
              <w:jc w:val="both"/>
              <w:rPr>
                <w:rFonts w:eastAsia="Times New Roman" w:cstheme="minorHAnsi"/>
                <w:sz w:val="20"/>
                <w:szCs w:val="20"/>
                <w:lang w:eastAsia="fr-FR"/>
              </w:rPr>
            </w:pPr>
            <w:r w:rsidRPr="007647D1">
              <w:rPr>
                <w:rFonts w:eastAsia="Times New Roman" w:cstheme="minorHAnsi"/>
                <w:sz w:val="20"/>
                <w:szCs w:val="20"/>
                <w:lang w:eastAsia="fr-FR"/>
              </w:rPr>
              <w:t>Maladies induites par le</w:t>
            </w:r>
          </w:p>
          <w:p w14:paraId="4281AC4C" w14:textId="28FEC6F8" w:rsidR="008F2269" w:rsidRPr="00DD4E9D" w:rsidRDefault="00046230" w:rsidP="002D1362">
            <w:pPr>
              <w:jc w:val="both"/>
              <w:rPr>
                <w:rFonts w:eastAsia="Times New Roman" w:cstheme="minorHAnsi"/>
                <w:b/>
                <w:bCs/>
                <w:sz w:val="20"/>
                <w:szCs w:val="20"/>
                <w:lang w:eastAsia="fr-FR"/>
              </w:rPr>
            </w:pPr>
            <w:r w:rsidRPr="007647D1">
              <w:rPr>
                <w:rFonts w:eastAsia="Times New Roman" w:cstheme="minorHAnsi"/>
                <w:sz w:val="20"/>
                <w:szCs w:val="20"/>
                <w:lang w:eastAsia="fr-FR"/>
              </w:rPr>
              <w:t>Changement</w:t>
            </w:r>
            <w:r w:rsidR="008F2269" w:rsidRPr="007647D1">
              <w:rPr>
                <w:rFonts w:eastAsia="Times New Roman" w:cstheme="minorHAnsi"/>
                <w:sz w:val="20"/>
                <w:szCs w:val="20"/>
                <w:lang w:eastAsia="fr-FR"/>
              </w:rPr>
              <w:t xml:space="preserve"> climatique</w:t>
            </w:r>
          </w:p>
        </w:tc>
        <w:tc>
          <w:tcPr>
            <w:tcW w:w="2375" w:type="dxa"/>
          </w:tcPr>
          <w:p w14:paraId="03BBA49F" w14:textId="77777777" w:rsidR="008F2269" w:rsidRPr="002F3ABA" w:rsidRDefault="008F2269" w:rsidP="002D1362">
            <w:pPr>
              <w:jc w:val="both"/>
              <w:rPr>
                <w:rFonts w:eastAsia="Times New Roman" w:cstheme="minorHAnsi"/>
                <w:sz w:val="20"/>
                <w:szCs w:val="20"/>
                <w:lang w:eastAsia="fr-FR"/>
              </w:rPr>
            </w:pPr>
            <w:r>
              <w:rPr>
                <w:rFonts w:eastAsia="Times New Roman" w:cstheme="minorHAnsi"/>
                <w:sz w:val="20"/>
                <w:szCs w:val="20"/>
                <w:lang w:eastAsia="fr-FR"/>
              </w:rPr>
              <w:t xml:space="preserve"> </w:t>
            </w:r>
            <w:r w:rsidRPr="002F3ABA">
              <w:rPr>
                <w:rFonts w:eastAsia="Times New Roman" w:cstheme="minorHAnsi"/>
                <w:sz w:val="20"/>
                <w:szCs w:val="20"/>
                <w:lang w:eastAsia="fr-FR"/>
              </w:rPr>
              <w:t>Dépendance à l'égard</w:t>
            </w:r>
            <w:r>
              <w:rPr>
                <w:rFonts w:eastAsia="Times New Roman" w:cstheme="minorHAnsi"/>
                <w:sz w:val="20"/>
                <w:szCs w:val="20"/>
                <w:lang w:eastAsia="fr-FR"/>
              </w:rPr>
              <w:t xml:space="preserve"> </w:t>
            </w:r>
            <w:r w:rsidRPr="002F3ABA">
              <w:rPr>
                <w:rFonts w:eastAsia="Times New Roman" w:cstheme="minorHAnsi"/>
                <w:sz w:val="20"/>
                <w:szCs w:val="20"/>
                <w:lang w:eastAsia="fr-FR"/>
              </w:rPr>
              <w:t>de ressources externes</w:t>
            </w:r>
            <w:r>
              <w:rPr>
                <w:rFonts w:eastAsia="Times New Roman" w:cstheme="minorHAnsi"/>
                <w:sz w:val="20"/>
                <w:szCs w:val="20"/>
                <w:lang w:eastAsia="fr-FR"/>
              </w:rPr>
              <w:t xml:space="preserve"> pour les services de la santé</w:t>
            </w:r>
          </w:p>
        </w:tc>
        <w:tc>
          <w:tcPr>
            <w:tcW w:w="2445" w:type="dxa"/>
          </w:tcPr>
          <w:p w14:paraId="50A72667" w14:textId="77777777" w:rsidR="008F2269" w:rsidRPr="002F3ABA" w:rsidRDefault="008F2269" w:rsidP="002D1362">
            <w:pPr>
              <w:jc w:val="both"/>
              <w:rPr>
                <w:rFonts w:eastAsia="Times New Roman" w:cstheme="minorHAnsi"/>
                <w:sz w:val="20"/>
                <w:szCs w:val="20"/>
                <w:lang w:eastAsia="fr-FR"/>
              </w:rPr>
            </w:pPr>
            <w:r>
              <w:rPr>
                <w:rFonts w:eastAsia="Times New Roman" w:cstheme="minorHAnsi"/>
                <w:sz w:val="20"/>
                <w:szCs w:val="20"/>
                <w:lang w:eastAsia="fr-FR"/>
              </w:rPr>
              <w:t>P</w:t>
            </w:r>
            <w:r w:rsidRPr="002F3ABA">
              <w:rPr>
                <w:rFonts w:eastAsia="Times New Roman" w:cstheme="minorHAnsi"/>
                <w:sz w:val="20"/>
                <w:szCs w:val="20"/>
                <w:lang w:eastAsia="fr-FR"/>
              </w:rPr>
              <w:t>ersonnel médical</w:t>
            </w:r>
          </w:p>
          <w:p w14:paraId="37791190" w14:textId="77777777" w:rsidR="008F2269" w:rsidRPr="002F3ABA" w:rsidRDefault="008F2269" w:rsidP="002D1362">
            <w:pPr>
              <w:jc w:val="both"/>
              <w:rPr>
                <w:rFonts w:eastAsia="Times New Roman" w:cstheme="minorHAnsi"/>
                <w:sz w:val="20"/>
                <w:szCs w:val="20"/>
                <w:lang w:eastAsia="fr-FR"/>
              </w:rPr>
            </w:pPr>
            <w:r w:rsidRPr="002F3ABA">
              <w:rPr>
                <w:rFonts w:eastAsia="Times New Roman" w:cstheme="minorHAnsi"/>
                <w:sz w:val="20"/>
                <w:szCs w:val="20"/>
                <w:lang w:eastAsia="fr-FR"/>
              </w:rPr>
              <w:t>(Médecins, infirmières</w:t>
            </w:r>
          </w:p>
          <w:p w14:paraId="3AA39A7A" w14:textId="5123F082" w:rsidR="008F2269" w:rsidRPr="007647D1" w:rsidRDefault="008F2269" w:rsidP="002D1362">
            <w:pPr>
              <w:jc w:val="both"/>
              <w:rPr>
                <w:rFonts w:eastAsia="Times New Roman" w:cstheme="minorHAnsi"/>
                <w:sz w:val="20"/>
                <w:szCs w:val="20"/>
                <w:lang w:eastAsia="fr-FR"/>
              </w:rPr>
            </w:pPr>
            <w:proofErr w:type="gramStart"/>
            <w:r w:rsidRPr="002F3ABA">
              <w:rPr>
                <w:rFonts w:eastAsia="Times New Roman" w:cstheme="minorHAnsi"/>
                <w:sz w:val="20"/>
                <w:szCs w:val="20"/>
                <w:lang w:eastAsia="fr-FR"/>
              </w:rPr>
              <w:t>et</w:t>
            </w:r>
            <w:proofErr w:type="gramEnd"/>
            <w:r w:rsidRPr="002F3ABA">
              <w:rPr>
                <w:rFonts w:eastAsia="Times New Roman" w:cstheme="minorHAnsi"/>
                <w:sz w:val="20"/>
                <w:szCs w:val="20"/>
                <w:lang w:eastAsia="fr-FR"/>
              </w:rPr>
              <w:t xml:space="preserve"> </w:t>
            </w:r>
            <w:r w:rsidR="00046230" w:rsidRPr="002F3ABA">
              <w:rPr>
                <w:rFonts w:eastAsia="Times New Roman" w:cstheme="minorHAnsi"/>
                <w:sz w:val="20"/>
                <w:szCs w:val="20"/>
                <w:lang w:eastAsia="fr-FR"/>
              </w:rPr>
              <w:t>sage-femmes</w:t>
            </w:r>
          </w:p>
        </w:tc>
      </w:tr>
      <w:tr w:rsidR="008F2269" w14:paraId="28232BC6" w14:textId="77777777" w:rsidTr="002D1362">
        <w:tc>
          <w:tcPr>
            <w:tcW w:w="1275" w:type="dxa"/>
            <w:vMerge/>
          </w:tcPr>
          <w:p w14:paraId="4E74707A" w14:textId="77777777" w:rsidR="008F2269" w:rsidRPr="00DD4E9D" w:rsidRDefault="008F2269" w:rsidP="002D1362">
            <w:pPr>
              <w:jc w:val="both"/>
              <w:rPr>
                <w:rFonts w:eastAsia="Times New Roman" w:cstheme="minorHAnsi"/>
                <w:b/>
                <w:bCs/>
                <w:sz w:val="20"/>
                <w:szCs w:val="20"/>
                <w:lang w:eastAsia="fr-FR"/>
              </w:rPr>
            </w:pPr>
          </w:p>
        </w:tc>
        <w:tc>
          <w:tcPr>
            <w:tcW w:w="2406" w:type="dxa"/>
          </w:tcPr>
          <w:p w14:paraId="640BE989" w14:textId="77777777" w:rsidR="008F2269" w:rsidRPr="007647D1" w:rsidRDefault="008F2269" w:rsidP="002D1362">
            <w:pPr>
              <w:jc w:val="both"/>
              <w:rPr>
                <w:rFonts w:eastAsia="Times New Roman" w:cstheme="minorHAnsi"/>
                <w:sz w:val="20"/>
                <w:szCs w:val="20"/>
                <w:lang w:eastAsia="fr-FR"/>
              </w:rPr>
            </w:pPr>
            <w:r w:rsidRPr="007647D1">
              <w:rPr>
                <w:rFonts w:eastAsia="Times New Roman" w:cstheme="minorHAnsi"/>
                <w:sz w:val="20"/>
                <w:szCs w:val="20"/>
                <w:lang w:eastAsia="fr-FR"/>
              </w:rPr>
              <w:t>Changement projeté de</w:t>
            </w:r>
            <w:r>
              <w:rPr>
                <w:rFonts w:eastAsia="Times New Roman" w:cstheme="minorHAnsi"/>
                <w:sz w:val="20"/>
                <w:szCs w:val="20"/>
                <w:lang w:eastAsia="fr-FR"/>
              </w:rPr>
              <w:t xml:space="preserve"> </w:t>
            </w:r>
            <w:r w:rsidRPr="007647D1">
              <w:rPr>
                <w:rFonts w:eastAsia="Times New Roman" w:cstheme="minorHAnsi"/>
                <w:sz w:val="20"/>
                <w:szCs w:val="20"/>
                <w:lang w:eastAsia="fr-FR"/>
              </w:rPr>
              <w:t>la durée de la saison de</w:t>
            </w:r>
          </w:p>
          <w:p w14:paraId="380B1838" w14:textId="77777777" w:rsidR="008F2269" w:rsidRPr="007647D1" w:rsidRDefault="008F2269" w:rsidP="002D1362">
            <w:pPr>
              <w:jc w:val="both"/>
              <w:rPr>
                <w:rFonts w:eastAsia="Times New Roman" w:cstheme="minorHAnsi"/>
                <w:sz w:val="20"/>
                <w:szCs w:val="20"/>
                <w:lang w:eastAsia="fr-FR"/>
              </w:rPr>
            </w:pPr>
            <w:r w:rsidRPr="007647D1">
              <w:rPr>
                <w:rFonts w:eastAsia="Times New Roman" w:cstheme="minorHAnsi"/>
                <w:sz w:val="20"/>
                <w:szCs w:val="20"/>
                <w:lang w:eastAsia="fr-FR"/>
              </w:rPr>
              <w:t>Transmission des maladies</w:t>
            </w:r>
          </w:p>
          <w:p w14:paraId="1CACE1F4" w14:textId="77777777" w:rsidR="008F2269" w:rsidRPr="00DD4E9D" w:rsidRDefault="008F2269" w:rsidP="002D1362">
            <w:pPr>
              <w:jc w:val="both"/>
              <w:rPr>
                <w:rFonts w:eastAsia="Times New Roman" w:cstheme="minorHAnsi"/>
                <w:b/>
                <w:bCs/>
                <w:sz w:val="20"/>
                <w:szCs w:val="20"/>
                <w:lang w:eastAsia="fr-FR"/>
              </w:rPr>
            </w:pPr>
            <w:proofErr w:type="gramStart"/>
            <w:r w:rsidRPr="007647D1">
              <w:rPr>
                <w:rFonts w:eastAsia="Times New Roman" w:cstheme="minorHAnsi"/>
                <w:sz w:val="20"/>
                <w:szCs w:val="20"/>
                <w:lang w:eastAsia="fr-FR"/>
              </w:rPr>
              <w:t>à</w:t>
            </w:r>
            <w:proofErr w:type="gramEnd"/>
            <w:r w:rsidRPr="007647D1">
              <w:rPr>
                <w:rFonts w:eastAsia="Times New Roman" w:cstheme="minorHAnsi"/>
                <w:sz w:val="20"/>
                <w:szCs w:val="20"/>
                <w:lang w:eastAsia="fr-FR"/>
              </w:rPr>
              <w:t xml:space="preserve"> transmission vectorielle</w:t>
            </w:r>
          </w:p>
        </w:tc>
        <w:tc>
          <w:tcPr>
            <w:tcW w:w="2375" w:type="dxa"/>
          </w:tcPr>
          <w:p w14:paraId="2F651DAA" w14:textId="77777777" w:rsidR="008F2269" w:rsidRPr="007647D1" w:rsidRDefault="008F2269" w:rsidP="002D1362">
            <w:pPr>
              <w:jc w:val="both"/>
              <w:rPr>
                <w:rFonts w:eastAsia="Times New Roman" w:cstheme="minorHAnsi"/>
                <w:sz w:val="20"/>
                <w:szCs w:val="20"/>
                <w:lang w:eastAsia="fr-FR"/>
              </w:rPr>
            </w:pPr>
            <w:r w:rsidRPr="007647D1">
              <w:rPr>
                <w:rFonts w:eastAsia="Times New Roman" w:cstheme="minorHAnsi"/>
                <w:sz w:val="20"/>
                <w:szCs w:val="20"/>
                <w:lang w:eastAsia="fr-FR"/>
              </w:rPr>
              <w:t>Dépendance à l'égard</w:t>
            </w:r>
            <w:r>
              <w:rPr>
                <w:rFonts w:eastAsia="Times New Roman" w:cstheme="minorHAnsi"/>
                <w:sz w:val="20"/>
                <w:szCs w:val="20"/>
                <w:lang w:eastAsia="fr-FR"/>
              </w:rPr>
              <w:t xml:space="preserve"> </w:t>
            </w:r>
            <w:r w:rsidRPr="007647D1">
              <w:rPr>
                <w:rFonts w:eastAsia="Times New Roman" w:cstheme="minorHAnsi"/>
                <w:sz w:val="20"/>
                <w:szCs w:val="20"/>
                <w:lang w:eastAsia="fr-FR"/>
              </w:rPr>
              <w:t>de ressources externes</w:t>
            </w:r>
            <w:r>
              <w:rPr>
                <w:rFonts w:eastAsia="Times New Roman" w:cstheme="minorHAnsi"/>
                <w:sz w:val="20"/>
                <w:szCs w:val="20"/>
                <w:lang w:eastAsia="fr-FR"/>
              </w:rPr>
              <w:t xml:space="preserve"> </w:t>
            </w:r>
            <w:r w:rsidRPr="007647D1">
              <w:rPr>
                <w:rFonts w:eastAsia="Times New Roman" w:cstheme="minorHAnsi"/>
                <w:sz w:val="20"/>
                <w:szCs w:val="20"/>
                <w:lang w:eastAsia="fr-FR"/>
              </w:rPr>
              <w:t>pour les services</w:t>
            </w:r>
            <w:r>
              <w:rPr>
                <w:rFonts w:eastAsia="Times New Roman" w:cstheme="minorHAnsi"/>
                <w:sz w:val="20"/>
                <w:szCs w:val="20"/>
                <w:lang w:eastAsia="fr-FR"/>
              </w:rPr>
              <w:t xml:space="preserve"> </w:t>
            </w:r>
            <w:r w:rsidRPr="007647D1">
              <w:rPr>
                <w:rFonts w:eastAsia="Times New Roman" w:cstheme="minorHAnsi"/>
                <w:sz w:val="20"/>
                <w:szCs w:val="20"/>
                <w:lang w:eastAsia="fr-FR"/>
              </w:rPr>
              <w:t>de santé</w:t>
            </w:r>
          </w:p>
        </w:tc>
        <w:tc>
          <w:tcPr>
            <w:tcW w:w="2445" w:type="dxa"/>
          </w:tcPr>
          <w:p w14:paraId="552FDC4C" w14:textId="77777777" w:rsidR="008F2269" w:rsidRPr="00DD4E9D" w:rsidRDefault="008F2269" w:rsidP="002D1362">
            <w:pPr>
              <w:jc w:val="both"/>
              <w:rPr>
                <w:rFonts w:eastAsia="Times New Roman" w:cstheme="minorHAnsi"/>
                <w:b/>
                <w:bCs/>
                <w:sz w:val="20"/>
                <w:szCs w:val="20"/>
                <w:lang w:eastAsia="fr-FR"/>
              </w:rPr>
            </w:pPr>
            <w:r w:rsidRPr="007647D1">
              <w:rPr>
                <w:rFonts w:eastAsia="Times New Roman" w:cstheme="minorHAnsi"/>
                <w:sz w:val="20"/>
                <w:szCs w:val="20"/>
                <w:lang w:eastAsia="fr-FR"/>
              </w:rPr>
              <w:t>Accès à des installations</w:t>
            </w:r>
            <w:r>
              <w:rPr>
                <w:rFonts w:eastAsia="Times New Roman" w:cstheme="minorHAnsi"/>
                <w:sz w:val="20"/>
                <w:szCs w:val="20"/>
                <w:lang w:eastAsia="fr-FR"/>
              </w:rPr>
              <w:t xml:space="preserve"> </w:t>
            </w:r>
            <w:r w:rsidRPr="007647D1">
              <w:rPr>
                <w:rFonts w:eastAsia="Times New Roman" w:cstheme="minorHAnsi"/>
                <w:sz w:val="20"/>
                <w:szCs w:val="20"/>
                <w:lang w:eastAsia="fr-FR"/>
              </w:rPr>
              <w:t>sanitaires améliorées</w:t>
            </w:r>
          </w:p>
        </w:tc>
      </w:tr>
    </w:tbl>
    <w:p w14:paraId="68530E70" w14:textId="77777777" w:rsidR="008F2269" w:rsidRDefault="008F2269" w:rsidP="008F2269">
      <w:pPr>
        <w:spacing w:after="0" w:line="240" w:lineRule="auto"/>
        <w:jc w:val="both"/>
        <w:rPr>
          <w:rFonts w:eastAsia="Times New Roman" w:cstheme="minorHAnsi"/>
          <w:sz w:val="20"/>
          <w:szCs w:val="20"/>
          <w:lang w:eastAsia="fr-FR"/>
        </w:rPr>
      </w:pPr>
      <w:r>
        <w:rPr>
          <w:rFonts w:eastAsia="Times New Roman" w:cstheme="minorHAnsi"/>
          <w:sz w:val="20"/>
          <w:szCs w:val="20"/>
          <w:lang w:eastAsia="fr-FR"/>
        </w:rPr>
        <w:t>Source : FAO et al. « Module</w:t>
      </w:r>
      <w:r w:rsidRPr="007647D1">
        <w:rPr>
          <w:rFonts w:eastAsia="Times New Roman" w:cstheme="minorHAnsi"/>
          <w:sz w:val="20"/>
          <w:szCs w:val="20"/>
          <w:lang w:eastAsia="fr-FR"/>
        </w:rPr>
        <w:t xml:space="preserve"> 8.2: indices</w:t>
      </w:r>
      <w:r>
        <w:rPr>
          <w:rFonts w:eastAsia="Times New Roman" w:cstheme="minorHAnsi"/>
          <w:sz w:val="20"/>
          <w:szCs w:val="20"/>
          <w:lang w:eastAsia="fr-FR"/>
        </w:rPr>
        <w:t xml:space="preserve"> </w:t>
      </w:r>
      <w:r w:rsidRPr="007647D1">
        <w:rPr>
          <w:rFonts w:eastAsia="Times New Roman" w:cstheme="minorHAnsi"/>
          <w:sz w:val="20"/>
          <w:szCs w:val="20"/>
          <w:lang w:eastAsia="fr-FR"/>
        </w:rPr>
        <w:t>de vulnérabilité</w:t>
      </w:r>
      <w:r>
        <w:rPr>
          <w:rFonts w:eastAsia="Times New Roman" w:cstheme="minorHAnsi"/>
          <w:sz w:val="20"/>
          <w:szCs w:val="20"/>
          <w:lang w:eastAsia="fr-FR"/>
        </w:rPr>
        <w:t> »</w:t>
      </w:r>
    </w:p>
    <w:p w14:paraId="555DD1C7" w14:textId="77777777" w:rsidR="008F2269" w:rsidRDefault="008F2269" w:rsidP="008F2269">
      <w:pPr>
        <w:spacing w:after="0" w:line="240" w:lineRule="auto"/>
        <w:jc w:val="both"/>
        <w:rPr>
          <w:rFonts w:eastAsia="Times New Roman" w:cstheme="minorHAnsi"/>
          <w:sz w:val="20"/>
          <w:szCs w:val="20"/>
          <w:lang w:eastAsia="fr-FR"/>
        </w:rPr>
      </w:pPr>
    </w:p>
    <w:p w14:paraId="0B459923" w14:textId="77777777" w:rsidR="008F2269" w:rsidRPr="007647D1" w:rsidRDefault="008F2269" w:rsidP="008F2269">
      <w:pPr>
        <w:spacing w:after="0" w:line="240" w:lineRule="auto"/>
        <w:jc w:val="both"/>
        <w:rPr>
          <w:rFonts w:eastAsia="Times New Roman" w:cstheme="minorHAnsi"/>
          <w:sz w:val="20"/>
          <w:szCs w:val="20"/>
          <w:lang w:eastAsia="fr-FR"/>
        </w:rPr>
      </w:pPr>
      <w:r>
        <w:rPr>
          <w:rFonts w:eastAsia="Times New Roman" w:cstheme="minorHAnsi"/>
          <w:sz w:val="20"/>
          <w:szCs w:val="20"/>
          <w:lang w:eastAsia="fr-FR"/>
        </w:rPr>
        <w:t>Tableau 3 : Composants et indicateurs des indices de la vulnérabilité</w:t>
      </w:r>
    </w:p>
    <w:tbl>
      <w:tblPr>
        <w:tblStyle w:val="Grilledutableau"/>
        <w:tblW w:w="0" w:type="auto"/>
        <w:tblLook w:val="04A0" w:firstRow="1" w:lastRow="0" w:firstColumn="1" w:lastColumn="0" w:noHBand="0" w:noVBand="1"/>
      </w:tblPr>
      <w:tblGrid>
        <w:gridCol w:w="1813"/>
        <w:gridCol w:w="1797"/>
        <w:gridCol w:w="2199"/>
        <w:gridCol w:w="1132"/>
        <w:gridCol w:w="1522"/>
        <w:gridCol w:w="7"/>
      </w:tblGrid>
      <w:tr w:rsidR="008F2269" w14:paraId="3D31C944" w14:textId="77777777" w:rsidTr="002D1362">
        <w:tc>
          <w:tcPr>
            <w:tcW w:w="1813" w:type="dxa"/>
          </w:tcPr>
          <w:p w14:paraId="08107F07" w14:textId="77777777" w:rsidR="008F2269" w:rsidRPr="00D87781" w:rsidRDefault="008F2269" w:rsidP="002D1362">
            <w:pPr>
              <w:jc w:val="both"/>
              <w:rPr>
                <w:rFonts w:eastAsia="Times New Roman" w:cstheme="minorHAnsi"/>
                <w:b/>
                <w:bCs/>
                <w:sz w:val="20"/>
                <w:szCs w:val="20"/>
                <w:lang w:eastAsia="fr-FR"/>
              </w:rPr>
            </w:pPr>
            <w:r w:rsidRPr="00D87781">
              <w:rPr>
                <w:rFonts w:eastAsia="Times New Roman" w:cstheme="minorHAnsi"/>
                <w:b/>
                <w:bCs/>
                <w:sz w:val="20"/>
                <w:szCs w:val="20"/>
                <w:lang w:eastAsia="fr-FR"/>
              </w:rPr>
              <w:t>Composant</w:t>
            </w:r>
          </w:p>
        </w:tc>
        <w:tc>
          <w:tcPr>
            <w:tcW w:w="6657" w:type="dxa"/>
            <w:gridSpan w:val="5"/>
          </w:tcPr>
          <w:p w14:paraId="7BE5E291" w14:textId="77777777" w:rsidR="008F2269" w:rsidRDefault="008F2269" w:rsidP="002D1362">
            <w:pPr>
              <w:jc w:val="center"/>
              <w:rPr>
                <w:rFonts w:ascii="Times New Roman" w:eastAsia="Times New Roman" w:hAnsi="Times New Roman" w:cs="Times New Roman"/>
                <w:sz w:val="24"/>
                <w:szCs w:val="24"/>
                <w:lang w:eastAsia="fr-FR"/>
              </w:rPr>
            </w:pPr>
            <w:r w:rsidRPr="00D87781">
              <w:rPr>
                <w:rFonts w:eastAsia="Times New Roman" w:cstheme="minorHAnsi"/>
                <w:b/>
                <w:bCs/>
                <w:sz w:val="20"/>
                <w:szCs w:val="20"/>
                <w:lang w:eastAsia="fr-FR"/>
              </w:rPr>
              <w:t>Indicateurs</w:t>
            </w:r>
          </w:p>
        </w:tc>
      </w:tr>
      <w:tr w:rsidR="008F2269" w14:paraId="43E73B32" w14:textId="77777777" w:rsidTr="002D1362">
        <w:tc>
          <w:tcPr>
            <w:tcW w:w="1813" w:type="dxa"/>
          </w:tcPr>
          <w:p w14:paraId="3A030175" w14:textId="77777777" w:rsidR="008F2269" w:rsidRPr="00D87781" w:rsidRDefault="008F2269" w:rsidP="002D1362">
            <w:pPr>
              <w:jc w:val="both"/>
              <w:rPr>
                <w:rFonts w:eastAsia="Times New Roman" w:cstheme="minorHAnsi"/>
                <w:sz w:val="20"/>
                <w:szCs w:val="20"/>
                <w:lang w:eastAsia="fr-FR"/>
              </w:rPr>
            </w:pPr>
            <w:r w:rsidRPr="00D87781">
              <w:rPr>
                <w:rFonts w:eastAsia="Times New Roman" w:cstheme="minorHAnsi"/>
                <w:sz w:val="20"/>
                <w:szCs w:val="20"/>
                <w:lang w:eastAsia="fr-FR"/>
              </w:rPr>
              <w:t>Préparation</w:t>
            </w:r>
          </w:p>
          <w:p w14:paraId="205BB17C" w14:textId="6ACE91F3" w:rsidR="008F2269" w:rsidRPr="00D87781" w:rsidRDefault="00046230" w:rsidP="002D1362">
            <w:pPr>
              <w:jc w:val="both"/>
              <w:rPr>
                <w:rFonts w:eastAsia="Times New Roman" w:cstheme="minorHAnsi"/>
                <w:sz w:val="20"/>
                <w:szCs w:val="20"/>
                <w:lang w:eastAsia="fr-FR"/>
              </w:rPr>
            </w:pPr>
            <w:r w:rsidRPr="00D87781">
              <w:rPr>
                <w:rFonts w:eastAsia="Times New Roman" w:cstheme="minorHAnsi"/>
                <w:sz w:val="20"/>
                <w:szCs w:val="20"/>
                <w:lang w:eastAsia="fr-FR"/>
              </w:rPr>
              <w:t>Économique</w:t>
            </w:r>
          </w:p>
        </w:tc>
        <w:tc>
          <w:tcPr>
            <w:tcW w:w="6657" w:type="dxa"/>
            <w:gridSpan w:val="5"/>
          </w:tcPr>
          <w:p w14:paraId="78B49C90" w14:textId="77777777" w:rsidR="008F2269" w:rsidRDefault="008F2269" w:rsidP="002D1362">
            <w:pPr>
              <w:jc w:val="center"/>
              <w:rPr>
                <w:rFonts w:ascii="Times New Roman" w:eastAsia="Times New Roman" w:hAnsi="Times New Roman" w:cs="Times New Roman"/>
                <w:sz w:val="24"/>
                <w:szCs w:val="24"/>
                <w:lang w:eastAsia="fr-FR"/>
              </w:rPr>
            </w:pPr>
            <w:r w:rsidRPr="00D87781">
              <w:rPr>
                <w:rFonts w:eastAsia="Times New Roman" w:cstheme="minorHAnsi"/>
                <w:sz w:val="20"/>
                <w:szCs w:val="20"/>
                <w:lang w:eastAsia="fr-FR"/>
              </w:rPr>
              <w:t>Affaires et business</w:t>
            </w:r>
          </w:p>
        </w:tc>
      </w:tr>
      <w:tr w:rsidR="008F2269" w14:paraId="1BEEFADF" w14:textId="77777777" w:rsidTr="002D1362">
        <w:trPr>
          <w:gridAfter w:val="1"/>
          <w:wAfter w:w="7" w:type="dxa"/>
        </w:trPr>
        <w:tc>
          <w:tcPr>
            <w:tcW w:w="1813" w:type="dxa"/>
          </w:tcPr>
          <w:p w14:paraId="18D6C2CF" w14:textId="77777777" w:rsidR="008F2269" w:rsidRPr="00D87781" w:rsidRDefault="008F2269" w:rsidP="002D1362">
            <w:pPr>
              <w:jc w:val="both"/>
              <w:rPr>
                <w:rFonts w:eastAsia="Times New Roman" w:cstheme="minorHAnsi"/>
                <w:sz w:val="20"/>
                <w:szCs w:val="20"/>
                <w:lang w:eastAsia="fr-FR"/>
              </w:rPr>
            </w:pPr>
            <w:r w:rsidRPr="00D87781">
              <w:rPr>
                <w:rFonts w:eastAsia="Times New Roman" w:cstheme="minorHAnsi"/>
                <w:sz w:val="20"/>
                <w:szCs w:val="20"/>
                <w:lang w:eastAsia="fr-FR"/>
              </w:rPr>
              <w:t>Préparation</w:t>
            </w:r>
            <w:r>
              <w:rPr>
                <w:rFonts w:eastAsia="Times New Roman" w:cstheme="minorHAnsi"/>
                <w:sz w:val="20"/>
                <w:szCs w:val="20"/>
                <w:lang w:eastAsia="fr-FR"/>
              </w:rPr>
              <w:t xml:space="preserve"> </w:t>
            </w:r>
            <w:r w:rsidRPr="00D87781">
              <w:rPr>
                <w:rFonts w:eastAsia="Times New Roman" w:cstheme="minorHAnsi"/>
                <w:sz w:val="20"/>
                <w:szCs w:val="20"/>
                <w:lang w:eastAsia="fr-FR"/>
              </w:rPr>
              <w:t>à la gouvernance</w:t>
            </w:r>
          </w:p>
        </w:tc>
        <w:tc>
          <w:tcPr>
            <w:tcW w:w="1797" w:type="dxa"/>
          </w:tcPr>
          <w:p w14:paraId="01FC4A48" w14:textId="77777777" w:rsidR="008F2269" w:rsidRPr="00D87781" w:rsidRDefault="008F2269" w:rsidP="002D1362">
            <w:pPr>
              <w:ind w:right="-176" w:hanging="87"/>
              <w:jc w:val="both"/>
              <w:rPr>
                <w:rFonts w:eastAsia="Times New Roman" w:cstheme="minorHAnsi"/>
                <w:sz w:val="20"/>
                <w:szCs w:val="20"/>
                <w:lang w:eastAsia="fr-FR"/>
              </w:rPr>
            </w:pPr>
            <w:r w:rsidRPr="00D87781">
              <w:rPr>
                <w:rFonts w:eastAsia="Times New Roman" w:cstheme="minorHAnsi"/>
                <w:sz w:val="20"/>
                <w:szCs w:val="20"/>
                <w:lang w:eastAsia="fr-FR"/>
              </w:rPr>
              <w:t>Stabilité politique</w:t>
            </w:r>
            <w:r>
              <w:rPr>
                <w:rFonts w:eastAsia="Times New Roman" w:cstheme="minorHAnsi"/>
                <w:sz w:val="20"/>
                <w:szCs w:val="20"/>
                <w:lang w:eastAsia="fr-FR"/>
              </w:rPr>
              <w:t xml:space="preserve"> </w:t>
            </w:r>
            <w:r w:rsidRPr="00D87781">
              <w:rPr>
                <w:rFonts w:eastAsia="Times New Roman" w:cstheme="minorHAnsi"/>
                <w:sz w:val="20"/>
                <w:szCs w:val="20"/>
                <w:lang w:eastAsia="fr-FR"/>
              </w:rPr>
              <w:t>et absence</w:t>
            </w:r>
            <w:r>
              <w:rPr>
                <w:rFonts w:eastAsia="Times New Roman" w:cstheme="minorHAnsi"/>
                <w:sz w:val="20"/>
                <w:szCs w:val="20"/>
                <w:lang w:eastAsia="fr-FR"/>
              </w:rPr>
              <w:t xml:space="preserve"> </w:t>
            </w:r>
            <w:r w:rsidRPr="00D87781">
              <w:rPr>
                <w:rFonts w:eastAsia="Times New Roman" w:cstheme="minorHAnsi"/>
                <w:sz w:val="20"/>
                <w:szCs w:val="20"/>
                <w:lang w:eastAsia="fr-FR"/>
              </w:rPr>
              <w:t>de violence</w:t>
            </w:r>
          </w:p>
        </w:tc>
        <w:tc>
          <w:tcPr>
            <w:tcW w:w="2199" w:type="dxa"/>
          </w:tcPr>
          <w:p w14:paraId="46BA5FC8" w14:textId="77777777" w:rsidR="008F2269" w:rsidRPr="00D87781" w:rsidRDefault="008F2269" w:rsidP="002D1362">
            <w:pPr>
              <w:ind w:right="-102"/>
              <w:rPr>
                <w:rFonts w:eastAsia="Times New Roman" w:cstheme="minorHAnsi"/>
                <w:sz w:val="20"/>
                <w:szCs w:val="20"/>
                <w:lang w:eastAsia="fr-FR"/>
              </w:rPr>
            </w:pPr>
            <w:r w:rsidRPr="00D87781">
              <w:rPr>
                <w:rFonts w:eastAsia="Times New Roman" w:cstheme="minorHAnsi"/>
                <w:sz w:val="20"/>
                <w:szCs w:val="20"/>
                <w:lang w:eastAsia="fr-FR"/>
              </w:rPr>
              <w:t>Contrôle</w:t>
            </w:r>
            <w:r>
              <w:rPr>
                <w:rFonts w:eastAsia="Times New Roman" w:cstheme="minorHAnsi"/>
                <w:sz w:val="20"/>
                <w:szCs w:val="20"/>
                <w:lang w:eastAsia="fr-FR"/>
              </w:rPr>
              <w:t xml:space="preserve"> </w:t>
            </w:r>
            <w:r w:rsidRPr="00D87781">
              <w:rPr>
                <w:rFonts w:eastAsia="Times New Roman" w:cstheme="minorHAnsi"/>
                <w:sz w:val="20"/>
                <w:szCs w:val="20"/>
                <w:lang w:eastAsia="fr-FR"/>
              </w:rPr>
              <w:t>de la corruption</w:t>
            </w:r>
          </w:p>
        </w:tc>
        <w:tc>
          <w:tcPr>
            <w:tcW w:w="1132" w:type="dxa"/>
          </w:tcPr>
          <w:p w14:paraId="76F95B44" w14:textId="77777777" w:rsidR="008F2269" w:rsidRPr="00BC47E0" w:rsidRDefault="008F2269" w:rsidP="002D1362">
            <w:pPr>
              <w:ind w:right="-216"/>
              <w:rPr>
                <w:rFonts w:eastAsia="Times New Roman" w:cstheme="minorHAnsi"/>
                <w:sz w:val="20"/>
                <w:szCs w:val="20"/>
                <w:lang w:eastAsia="fr-FR"/>
              </w:rPr>
            </w:pPr>
            <w:r w:rsidRPr="00BC47E0">
              <w:rPr>
                <w:rFonts w:eastAsia="Times New Roman" w:cstheme="minorHAnsi"/>
                <w:sz w:val="20"/>
                <w:szCs w:val="20"/>
                <w:lang w:eastAsia="fr-FR"/>
              </w:rPr>
              <w:t>Etat de droit</w:t>
            </w:r>
          </w:p>
        </w:tc>
        <w:tc>
          <w:tcPr>
            <w:tcW w:w="1522" w:type="dxa"/>
          </w:tcPr>
          <w:p w14:paraId="572F27DA" w14:textId="77777777" w:rsidR="008F2269" w:rsidRPr="00BC47E0" w:rsidRDefault="008F2269" w:rsidP="002D1362">
            <w:pPr>
              <w:jc w:val="both"/>
              <w:rPr>
                <w:rFonts w:eastAsia="Times New Roman" w:cstheme="minorHAnsi"/>
                <w:sz w:val="20"/>
                <w:szCs w:val="20"/>
                <w:lang w:eastAsia="fr-FR"/>
              </w:rPr>
            </w:pPr>
            <w:r w:rsidRPr="00BC47E0">
              <w:rPr>
                <w:rFonts w:eastAsia="Times New Roman" w:cstheme="minorHAnsi"/>
                <w:sz w:val="20"/>
                <w:szCs w:val="20"/>
                <w:lang w:eastAsia="fr-FR"/>
              </w:rPr>
              <w:t>Qualité de la</w:t>
            </w:r>
          </w:p>
          <w:p w14:paraId="4718C29E" w14:textId="11C2189B" w:rsidR="008F2269" w:rsidRDefault="00046230" w:rsidP="002D1362">
            <w:pPr>
              <w:jc w:val="both"/>
              <w:rPr>
                <w:rFonts w:ascii="Times New Roman" w:eastAsia="Times New Roman" w:hAnsi="Times New Roman" w:cs="Times New Roman"/>
                <w:sz w:val="24"/>
                <w:szCs w:val="24"/>
                <w:lang w:eastAsia="fr-FR"/>
              </w:rPr>
            </w:pPr>
            <w:r w:rsidRPr="00BC47E0">
              <w:rPr>
                <w:rFonts w:eastAsia="Times New Roman" w:cstheme="minorHAnsi"/>
                <w:sz w:val="20"/>
                <w:szCs w:val="20"/>
                <w:lang w:eastAsia="fr-FR"/>
              </w:rPr>
              <w:t>Réglementation</w:t>
            </w:r>
          </w:p>
        </w:tc>
      </w:tr>
      <w:tr w:rsidR="008F2269" w14:paraId="79F8EA12" w14:textId="77777777" w:rsidTr="002D1362">
        <w:trPr>
          <w:gridAfter w:val="1"/>
          <w:wAfter w:w="7" w:type="dxa"/>
        </w:trPr>
        <w:tc>
          <w:tcPr>
            <w:tcW w:w="1813" w:type="dxa"/>
          </w:tcPr>
          <w:p w14:paraId="3A1AFDD3" w14:textId="77777777" w:rsidR="008F2269" w:rsidRPr="00D87781" w:rsidRDefault="008F2269" w:rsidP="002D1362">
            <w:pPr>
              <w:jc w:val="both"/>
              <w:rPr>
                <w:rFonts w:eastAsia="Times New Roman" w:cstheme="minorHAnsi"/>
                <w:sz w:val="20"/>
                <w:szCs w:val="20"/>
                <w:lang w:eastAsia="fr-FR"/>
              </w:rPr>
            </w:pPr>
            <w:r w:rsidRPr="00D87781">
              <w:rPr>
                <w:rFonts w:eastAsia="Times New Roman" w:cstheme="minorHAnsi"/>
                <w:sz w:val="20"/>
                <w:szCs w:val="20"/>
                <w:lang w:eastAsia="fr-FR"/>
              </w:rPr>
              <w:t>Préparation</w:t>
            </w:r>
            <w:r>
              <w:rPr>
                <w:rFonts w:eastAsia="Times New Roman" w:cstheme="minorHAnsi"/>
                <w:sz w:val="20"/>
                <w:szCs w:val="20"/>
                <w:lang w:eastAsia="fr-FR"/>
              </w:rPr>
              <w:t xml:space="preserve"> </w:t>
            </w:r>
            <w:r w:rsidRPr="00D87781">
              <w:rPr>
                <w:rFonts w:eastAsia="Times New Roman" w:cstheme="minorHAnsi"/>
                <w:sz w:val="20"/>
                <w:szCs w:val="20"/>
                <w:lang w:eastAsia="fr-FR"/>
              </w:rPr>
              <w:t>sociale</w:t>
            </w:r>
          </w:p>
        </w:tc>
        <w:tc>
          <w:tcPr>
            <w:tcW w:w="1797" w:type="dxa"/>
          </w:tcPr>
          <w:p w14:paraId="38886610" w14:textId="77777777" w:rsidR="008F2269" w:rsidRDefault="008F2269" w:rsidP="002D1362">
            <w:pPr>
              <w:jc w:val="both"/>
              <w:rPr>
                <w:rFonts w:ascii="Times New Roman" w:eastAsia="Times New Roman" w:hAnsi="Times New Roman" w:cs="Times New Roman"/>
                <w:sz w:val="24"/>
                <w:szCs w:val="24"/>
                <w:lang w:eastAsia="fr-FR"/>
              </w:rPr>
            </w:pPr>
            <w:r w:rsidRPr="00D87781">
              <w:rPr>
                <w:rFonts w:eastAsia="Times New Roman" w:cstheme="minorHAnsi"/>
                <w:sz w:val="20"/>
                <w:szCs w:val="20"/>
                <w:lang w:eastAsia="fr-FR"/>
              </w:rPr>
              <w:t>Inégalité sociale</w:t>
            </w:r>
          </w:p>
        </w:tc>
        <w:tc>
          <w:tcPr>
            <w:tcW w:w="2199" w:type="dxa"/>
          </w:tcPr>
          <w:p w14:paraId="63C0488E" w14:textId="77777777" w:rsidR="008F2269" w:rsidRPr="00B712E0" w:rsidRDefault="008F2269" w:rsidP="002D1362">
            <w:pPr>
              <w:jc w:val="both"/>
              <w:rPr>
                <w:rFonts w:eastAsia="Times New Roman" w:cstheme="minorHAnsi"/>
                <w:sz w:val="20"/>
                <w:szCs w:val="20"/>
                <w:lang w:eastAsia="fr-FR"/>
              </w:rPr>
            </w:pPr>
            <w:r>
              <w:rPr>
                <w:rFonts w:eastAsia="Times New Roman" w:cstheme="minorHAnsi"/>
                <w:sz w:val="20"/>
                <w:szCs w:val="20"/>
                <w:lang w:eastAsia="fr-FR"/>
              </w:rPr>
              <w:t xml:space="preserve">Infrastructure </w:t>
            </w:r>
            <w:r w:rsidRPr="00D87781">
              <w:rPr>
                <w:rFonts w:eastAsia="Times New Roman" w:cstheme="minorHAnsi"/>
                <w:sz w:val="20"/>
                <w:szCs w:val="20"/>
                <w:lang w:eastAsia="fr-FR"/>
              </w:rPr>
              <w:t>des T</w:t>
            </w:r>
            <w:r>
              <w:rPr>
                <w:rFonts w:eastAsia="Times New Roman" w:cstheme="minorHAnsi"/>
                <w:sz w:val="20"/>
                <w:szCs w:val="20"/>
                <w:lang w:eastAsia="fr-FR"/>
              </w:rPr>
              <w:t>echnologies de l’Information et de la Communication (</w:t>
            </w:r>
            <w:proofErr w:type="spellStart"/>
            <w:r>
              <w:rPr>
                <w:rFonts w:eastAsia="Times New Roman" w:cstheme="minorHAnsi"/>
                <w:sz w:val="20"/>
                <w:szCs w:val="20"/>
                <w:lang w:eastAsia="fr-FR"/>
              </w:rPr>
              <w:t>T</w:t>
            </w:r>
            <w:r w:rsidRPr="00D87781">
              <w:rPr>
                <w:rFonts w:eastAsia="Times New Roman" w:cstheme="minorHAnsi"/>
                <w:sz w:val="20"/>
                <w:szCs w:val="20"/>
                <w:lang w:eastAsia="fr-FR"/>
              </w:rPr>
              <w:t>IC</w:t>
            </w:r>
            <w:r>
              <w:rPr>
                <w:rFonts w:eastAsia="Times New Roman" w:cstheme="minorHAnsi"/>
                <w:sz w:val="20"/>
                <w:szCs w:val="20"/>
                <w:lang w:eastAsia="fr-FR"/>
              </w:rPr>
              <w:t>s</w:t>
            </w:r>
            <w:proofErr w:type="spellEnd"/>
            <w:r>
              <w:rPr>
                <w:rFonts w:eastAsia="Times New Roman" w:cstheme="minorHAnsi"/>
                <w:sz w:val="20"/>
                <w:szCs w:val="20"/>
                <w:lang w:eastAsia="fr-FR"/>
              </w:rPr>
              <w:t>)</w:t>
            </w:r>
          </w:p>
        </w:tc>
        <w:tc>
          <w:tcPr>
            <w:tcW w:w="1132" w:type="dxa"/>
          </w:tcPr>
          <w:p w14:paraId="62AC5A22" w14:textId="77777777" w:rsidR="008F2269" w:rsidRDefault="008F2269" w:rsidP="002D1362">
            <w:pPr>
              <w:jc w:val="both"/>
              <w:rPr>
                <w:rFonts w:ascii="Times New Roman" w:eastAsia="Times New Roman" w:hAnsi="Times New Roman" w:cs="Times New Roman"/>
                <w:sz w:val="24"/>
                <w:szCs w:val="24"/>
                <w:lang w:eastAsia="fr-FR"/>
              </w:rPr>
            </w:pPr>
            <w:r w:rsidRPr="00BC47E0">
              <w:rPr>
                <w:rFonts w:eastAsia="Times New Roman" w:cstheme="minorHAnsi"/>
                <w:sz w:val="20"/>
                <w:szCs w:val="20"/>
                <w:lang w:eastAsia="fr-FR"/>
              </w:rPr>
              <w:t>Education</w:t>
            </w:r>
          </w:p>
        </w:tc>
        <w:tc>
          <w:tcPr>
            <w:tcW w:w="1522" w:type="dxa"/>
          </w:tcPr>
          <w:p w14:paraId="090AAF6F" w14:textId="77777777" w:rsidR="008F2269" w:rsidRDefault="008F2269" w:rsidP="002D1362">
            <w:pPr>
              <w:jc w:val="both"/>
              <w:rPr>
                <w:rFonts w:ascii="Times New Roman" w:eastAsia="Times New Roman" w:hAnsi="Times New Roman" w:cs="Times New Roman"/>
                <w:sz w:val="24"/>
                <w:szCs w:val="24"/>
                <w:lang w:eastAsia="fr-FR"/>
              </w:rPr>
            </w:pPr>
            <w:r w:rsidRPr="00BC47E0">
              <w:rPr>
                <w:rFonts w:eastAsia="Times New Roman" w:cstheme="minorHAnsi"/>
                <w:sz w:val="20"/>
                <w:szCs w:val="20"/>
                <w:lang w:eastAsia="fr-FR"/>
              </w:rPr>
              <w:t>Innovation</w:t>
            </w:r>
          </w:p>
        </w:tc>
      </w:tr>
    </w:tbl>
    <w:p w14:paraId="5D38AFF2" w14:textId="77777777" w:rsidR="008F2269" w:rsidRDefault="008F2269" w:rsidP="008F2269">
      <w:pPr>
        <w:spacing w:after="0" w:line="240" w:lineRule="auto"/>
        <w:jc w:val="both"/>
        <w:rPr>
          <w:rFonts w:eastAsia="Times New Roman" w:cstheme="minorHAnsi"/>
          <w:sz w:val="20"/>
          <w:szCs w:val="20"/>
          <w:lang w:eastAsia="fr-FR"/>
        </w:rPr>
      </w:pPr>
      <w:r>
        <w:rPr>
          <w:rFonts w:eastAsia="Times New Roman" w:cstheme="minorHAnsi"/>
          <w:sz w:val="20"/>
          <w:szCs w:val="20"/>
          <w:lang w:eastAsia="fr-FR"/>
        </w:rPr>
        <w:t>Source : FAO et al. « Module</w:t>
      </w:r>
      <w:r w:rsidRPr="007647D1">
        <w:rPr>
          <w:rFonts w:eastAsia="Times New Roman" w:cstheme="minorHAnsi"/>
          <w:sz w:val="20"/>
          <w:szCs w:val="20"/>
          <w:lang w:eastAsia="fr-FR"/>
        </w:rPr>
        <w:t xml:space="preserve"> 8.2: indices</w:t>
      </w:r>
      <w:r>
        <w:rPr>
          <w:rFonts w:eastAsia="Times New Roman" w:cstheme="minorHAnsi"/>
          <w:sz w:val="20"/>
          <w:szCs w:val="20"/>
          <w:lang w:eastAsia="fr-FR"/>
        </w:rPr>
        <w:t xml:space="preserve"> </w:t>
      </w:r>
      <w:r w:rsidRPr="007647D1">
        <w:rPr>
          <w:rFonts w:eastAsia="Times New Roman" w:cstheme="minorHAnsi"/>
          <w:sz w:val="20"/>
          <w:szCs w:val="20"/>
          <w:lang w:eastAsia="fr-FR"/>
        </w:rPr>
        <w:t>de vulnérabilité</w:t>
      </w:r>
      <w:r>
        <w:rPr>
          <w:rFonts w:eastAsia="Times New Roman" w:cstheme="minorHAnsi"/>
          <w:sz w:val="20"/>
          <w:szCs w:val="20"/>
          <w:lang w:eastAsia="fr-FR"/>
        </w:rPr>
        <w:t> »</w:t>
      </w:r>
    </w:p>
    <w:p w14:paraId="62C2B70C" w14:textId="77777777" w:rsidR="008F2269" w:rsidRDefault="008F2269" w:rsidP="008F2269">
      <w:pPr>
        <w:spacing w:after="0" w:line="240" w:lineRule="auto"/>
        <w:jc w:val="both"/>
        <w:rPr>
          <w:rFonts w:eastAsia="Times New Roman" w:cstheme="minorHAnsi"/>
          <w:sz w:val="20"/>
          <w:szCs w:val="20"/>
          <w:lang w:eastAsia="fr-FR"/>
        </w:rPr>
      </w:pPr>
    </w:p>
    <w:p w14:paraId="62F522EC" w14:textId="77777777" w:rsidR="008F2269" w:rsidRPr="00BC47E0" w:rsidRDefault="008F2269" w:rsidP="008F2269">
      <w:pPr>
        <w:spacing w:after="0" w:line="240" w:lineRule="auto"/>
        <w:jc w:val="both"/>
        <w:rPr>
          <w:rFonts w:ascii="Calibri" w:eastAsia="Times New Roman" w:hAnsi="Calibri" w:cs="Calibri"/>
          <w:b/>
          <w:bCs/>
          <w:lang w:eastAsia="fr-FR"/>
        </w:rPr>
      </w:pPr>
      <w:r w:rsidRPr="00BC47E0">
        <w:rPr>
          <w:rFonts w:ascii="Calibri" w:eastAsia="Times New Roman" w:hAnsi="Calibri" w:cs="Calibri"/>
          <w:b/>
          <w:bCs/>
          <w:lang w:eastAsia="fr-FR"/>
        </w:rPr>
        <w:t>Indice mondial de risque climatique de German Watch (IRC)</w:t>
      </w:r>
    </w:p>
    <w:p w14:paraId="71499039" w14:textId="77777777" w:rsidR="008F2269" w:rsidRPr="00BC47E0" w:rsidRDefault="008F2269" w:rsidP="008F2269">
      <w:pPr>
        <w:jc w:val="both"/>
        <w:rPr>
          <w:rFonts w:cstheme="minorHAnsi"/>
        </w:rPr>
      </w:pPr>
      <w:r w:rsidRPr="00BC47E0">
        <w:rPr>
          <w:rFonts w:cstheme="minorHAnsi"/>
        </w:rPr>
        <w:t>L'indice mesure les impacts des événements météorologiques et des événements climatologiques à la fois en termes de pertes économiques directes et de décès.</w:t>
      </w:r>
    </w:p>
    <w:p w14:paraId="2E2EC867" w14:textId="77777777" w:rsidR="008F2269" w:rsidRPr="00BC47E0" w:rsidRDefault="008F2269" w:rsidP="008F2269">
      <w:pPr>
        <w:spacing w:after="0" w:line="240" w:lineRule="auto"/>
        <w:jc w:val="both"/>
        <w:rPr>
          <w:rFonts w:cstheme="minorHAnsi"/>
        </w:rPr>
      </w:pPr>
      <w:r w:rsidRPr="00BC47E0">
        <w:rPr>
          <w:rFonts w:cstheme="minorHAnsi"/>
        </w:rPr>
        <w:t>L'IRC est calculé comme un classement moyen des pays dans quatre catégories :</w:t>
      </w:r>
    </w:p>
    <w:p w14:paraId="53CAEE42" w14:textId="77777777" w:rsidR="008F2269" w:rsidRPr="00BC47E0" w:rsidRDefault="008F2269" w:rsidP="008F2269">
      <w:pPr>
        <w:pStyle w:val="Paragraphedeliste"/>
        <w:numPr>
          <w:ilvl w:val="0"/>
          <w:numId w:val="149"/>
        </w:numPr>
        <w:suppressAutoHyphens/>
        <w:autoSpaceDN w:val="0"/>
        <w:spacing w:line="240" w:lineRule="auto"/>
        <w:jc w:val="both"/>
        <w:textAlignment w:val="baseline"/>
        <w:rPr>
          <w:rFonts w:cstheme="minorHAnsi"/>
        </w:rPr>
      </w:pPr>
      <w:r w:rsidRPr="00BC47E0">
        <w:rPr>
          <w:rFonts w:cstheme="minorHAnsi"/>
        </w:rPr>
        <w:t>Le nombre de décès,</w:t>
      </w:r>
    </w:p>
    <w:p w14:paraId="2B2347D3" w14:textId="77777777" w:rsidR="008F2269" w:rsidRPr="00BC47E0" w:rsidRDefault="008F2269" w:rsidP="008F2269">
      <w:pPr>
        <w:pStyle w:val="Paragraphedeliste"/>
        <w:numPr>
          <w:ilvl w:val="0"/>
          <w:numId w:val="149"/>
        </w:numPr>
        <w:suppressAutoHyphens/>
        <w:autoSpaceDN w:val="0"/>
        <w:spacing w:line="240" w:lineRule="auto"/>
        <w:jc w:val="both"/>
        <w:textAlignment w:val="baseline"/>
        <w:rPr>
          <w:rFonts w:cstheme="minorHAnsi"/>
        </w:rPr>
      </w:pPr>
      <w:r w:rsidRPr="00BC47E0">
        <w:rPr>
          <w:rFonts w:cstheme="minorHAnsi"/>
        </w:rPr>
        <w:t>Décès pour 100 000 habitants,</w:t>
      </w:r>
    </w:p>
    <w:p w14:paraId="03872812" w14:textId="77777777" w:rsidR="008F2269" w:rsidRPr="00BC47E0" w:rsidRDefault="008F2269" w:rsidP="008F2269">
      <w:pPr>
        <w:pStyle w:val="Paragraphedeliste"/>
        <w:numPr>
          <w:ilvl w:val="0"/>
          <w:numId w:val="149"/>
        </w:numPr>
        <w:suppressAutoHyphens/>
        <w:autoSpaceDN w:val="0"/>
        <w:spacing w:line="240" w:lineRule="auto"/>
        <w:jc w:val="both"/>
        <w:textAlignment w:val="baseline"/>
        <w:rPr>
          <w:rFonts w:cstheme="minorHAnsi"/>
        </w:rPr>
      </w:pPr>
      <w:r w:rsidRPr="00BC47E0">
        <w:rPr>
          <w:rFonts w:cstheme="minorHAnsi"/>
        </w:rPr>
        <w:t>Pertes totales en millions de dollars US,</w:t>
      </w:r>
    </w:p>
    <w:p w14:paraId="7318F9C7" w14:textId="77777777" w:rsidR="008F2269" w:rsidRPr="00BC47E0" w:rsidRDefault="008F2269" w:rsidP="008F2269">
      <w:pPr>
        <w:pStyle w:val="Paragraphedeliste"/>
        <w:numPr>
          <w:ilvl w:val="0"/>
          <w:numId w:val="149"/>
        </w:numPr>
        <w:suppressAutoHyphens/>
        <w:autoSpaceDN w:val="0"/>
        <w:spacing w:line="240" w:lineRule="auto"/>
        <w:jc w:val="both"/>
        <w:textAlignment w:val="baseline"/>
        <w:rPr>
          <w:rFonts w:cstheme="minorHAnsi"/>
        </w:rPr>
      </w:pPr>
      <w:r w:rsidRPr="00BC47E0">
        <w:rPr>
          <w:rFonts w:cstheme="minorHAnsi"/>
        </w:rPr>
        <w:t>Pertes par unité de PIB en %.</w:t>
      </w:r>
    </w:p>
    <w:p w14:paraId="20332CD3" w14:textId="77777777" w:rsidR="008F2269" w:rsidRDefault="008F2269" w:rsidP="008F2269">
      <w:pPr>
        <w:jc w:val="both"/>
        <w:rPr>
          <w:rFonts w:cstheme="minorHAnsi"/>
        </w:rPr>
      </w:pPr>
      <w:r w:rsidRPr="00BC47E0">
        <w:rPr>
          <w:rFonts w:cstheme="minorHAnsi"/>
        </w:rPr>
        <w:t>L'indice de risque climatique à long terme mesure le degré d'exposition et est calculé</w:t>
      </w:r>
      <w:r>
        <w:rPr>
          <w:rFonts w:cstheme="minorHAnsi"/>
        </w:rPr>
        <w:t xml:space="preserve"> sur les bases de </w:t>
      </w:r>
      <w:r w:rsidRPr="00BC47E0">
        <w:rPr>
          <w:rFonts w:cstheme="minorHAnsi"/>
        </w:rPr>
        <w:t>données annuelles</w:t>
      </w:r>
      <w:r>
        <w:rPr>
          <w:rFonts w:cstheme="minorHAnsi"/>
        </w:rPr>
        <w:t xml:space="preserve"> </w:t>
      </w:r>
      <w:r w:rsidRPr="00BC47E0">
        <w:rPr>
          <w:rFonts w:cstheme="minorHAnsi"/>
        </w:rPr>
        <w:t>moyennes.</w:t>
      </w:r>
    </w:p>
    <w:p w14:paraId="664B52EC" w14:textId="77777777" w:rsidR="008F2269" w:rsidRDefault="008F2269" w:rsidP="008F2269">
      <w:pPr>
        <w:jc w:val="both"/>
        <w:rPr>
          <w:rFonts w:cstheme="minorHAnsi"/>
        </w:rPr>
      </w:pPr>
      <w:r>
        <w:rPr>
          <w:rFonts w:cstheme="minorHAnsi"/>
        </w:rPr>
        <w:t>Le rapport annuel 2023 du Programme des Nations-Unies pour le Développement (PNUD) en Mauritanie publié en mars 2024, le bilan des Ressources Cadre de la Coopération 2018-2024 se présente comme suit :</w:t>
      </w:r>
    </w:p>
    <w:p w14:paraId="3115E092" w14:textId="77777777" w:rsidR="00BF330E" w:rsidRDefault="00BF330E" w:rsidP="008F2269">
      <w:pPr>
        <w:jc w:val="both"/>
        <w:rPr>
          <w:rFonts w:cstheme="minorHAnsi"/>
        </w:rPr>
      </w:pPr>
    </w:p>
    <w:p w14:paraId="70CBF1D3" w14:textId="77777777" w:rsidR="00BF330E" w:rsidRDefault="00BF330E" w:rsidP="008F2269">
      <w:pPr>
        <w:jc w:val="both"/>
        <w:rPr>
          <w:rFonts w:cstheme="minorHAnsi"/>
        </w:rPr>
      </w:pPr>
    </w:p>
    <w:p w14:paraId="72B91161" w14:textId="77777777" w:rsidR="008F2269" w:rsidRDefault="008F2269" w:rsidP="008F2269">
      <w:pPr>
        <w:jc w:val="both"/>
        <w:rPr>
          <w:rFonts w:cstheme="minorHAnsi"/>
        </w:rPr>
      </w:pPr>
      <w:r>
        <w:rPr>
          <w:rFonts w:cstheme="minorHAnsi"/>
        </w:rPr>
        <w:t>Tableau 4 : Bilan des ressources cadre de la coopération 2018-2023 en Mauritanie</w:t>
      </w:r>
    </w:p>
    <w:tbl>
      <w:tblPr>
        <w:tblStyle w:val="Grilledutableau"/>
        <w:tblW w:w="9039" w:type="dxa"/>
        <w:tblLayout w:type="fixed"/>
        <w:tblLook w:val="04A0" w:firstRow="1" w:lastRow="0" w:firstColumn="1" w:lastColumn="0" w:noHBand="0" w:noVBand="1"/>
      </w:tblPr>
      <w:tblGrid>
        <w:gridCol w:w="6487"/>
        <w:gridCol w:w="2552"/>
      </w:tblGrid>
      <w:tr w:rsidR="008F2269" w14:paraId="05171621" w14:textId="77777777" w:rsidTr="002D1362">
        <w:tc>
          <w:tcPr>
            <w:tcW w:w="6487" w:type="dxa"/>
          </w:tcPr>
          <w:p w14:paraId="40DCBAC9" w14:textId="77777777" w:rsidR="008F2269" w:rsidRPr="00B12817" w:rsidRDefault="008F2269" w:rsidP="002D1362">
            <w:pPr>
              <w:jc w:val="both"/>
              <w:rPr>
                <w:rFonts w:cstheme="minorHAnsi"/>
                <w:b/>
                <w:bCs/>
                <w:sz w:val="20"/>
                <w:szCs w:val="20"/>
              </w:rPr>
            </w:pPr>
            <w:r w:rsidRPr="00B12817">
              <w:rPr>
                <w:rFonts w:cstheme="minorHAnsi"/>
                <w:b/>
                <w:bCs/>
                <w:sz w:val="20"/>
                <w:szCs w:val="20"/>
              </w:rPr>
              <w:t>Données</w:t>
            </w:r>
          </w:p>
        </w:tc>
        <w:tc>
          <w:tcPr>
            <w:tcW w:w="2552" w:type="dxa"/>
          </w:tcPr>
          <w:p w14:paraId="6EF6974B" w14:textId="77777777" w:rsidR="008F2269" w:rsidRPr="00B12817" w:rsidRDefault="008F2269" w:rsidP="002D1362">
            <w:pPr>
              <w:jc w:val="both"/>
              <w:rPr>
                <w:rFonts w:cstheme="minorHAnsi"/>
                <w:b/>
                <w:bCs/>
                <w:sz w:val="20"/>
                <w:szCs w:val="20"/>
              </w:rPr>
            </w:pPr>
            <w:r w:rsidRPr="00B12817">
              <w:rPr>
                <w:rFonts w:cstheme="minorHAnsi"/>
                <w:b/>
                <w:bCs/>
                <w:sz w:val="20"/>
                <w:szCs w:val="20"/>
              </w:rPr>
              <w:t>Paramètres</w:t>
            </w:r>
          </w:p>
        </w:tc>
      </w:tr>
      <w:tr w:rsidR="008F2269" w14:paraId="1F45D790" w14:textId="77777777" w:rsidTr="002D1362">
        <w:tc>
          <w:tcPr>
            <w:tcW w:w="6487" w:type="dxa"/>
          </w:tcPr>
          <w:p w14:paraId="61B8A975" w14:textId="77777777" w:rsidR="008F2269" w:rsidRPr="00B12817" w:rsidRDefault="008F2269" w:rsidP="002D1362">
            <w:pPr>
              <w:jc w:val="both"/>
              <w:rPr>
                <w:rFonts w:cstheme="minorHAnsi"/>
                <w:sz w:val="20"/>
                <w:szCs w:val="20"/>
              </w:rPr>
            </w:pPr>
            <w:r w:rsidRPr="00B12817">
              <w:rPr>
                <w:rFonts w:cstheme="minorHAnsi"/>
                <w:sz w:val="20"/>
                <w:szCs w:val="20"/>
              </w:rPr>
              <w:t>Population</w:t>
            </w:r>
          </w:p>
        </w:tc>
        <w:tc>
          <w:tcPr>
            <w:tcW w:w="2552" w:type="dxa"/>
          </w:tcPr>
          <w:p w14:paraId="0449D38F" w14:textId="77777777" w:rsidR="008F2269" w:rsidRPr="00B12817" w:rsidRDefault="008F2269" w:rsidP="002D1362">
            <w:pPr>
              <w:jc w:val="both"/>
              <w:rPr>
                <w:rFonts w:cstheme="minorHAnsi"/>
                <w:sz w:val="20"/>
                <w:szCs w:val="20"/>
              </w:rPr>
            </w:pPr>
            <w:r w:rsidRPr="00B12817">
              <w:rPr>
                <w:rFonts w:cstheme="minorHAnsi"/>
                <w:sz w:val="20"/>
                <w:szCs w:val="20"/>
              </w:rPr>
              <w:t>4.5 Millions d’habitants</w:t>
            </w:r>
          </w:p>
        </w:tc>
      </w:tr>
      <w:tr w:rsidR="008F2269" w14:paraId="5F2D96B0" w14:textId="77777777" w:rsidTr="002D1362">
        <w:tc>
          <w:tcPr>
            <w:tcW w:w="6487" w:type="dxa"/>
          </w:tcPr>
          <w:p w14:paraId="556B7525" w14:textId="77777777" w:rsidR="008F2269" w:rsidRPr="00B12817" w:rsidRDefault="008F2269" w:rsidP="002D1362">
            <w:pPr>
              <w:jc w:val="both"/>
              <w:rPr>
                <w:rFonts w:cstheme="minorHAnsi"/>
                <w:sz w:val="20"/>
                <w:szCs w:val="20"/>
              </w:rPr>
            </w:pPr>
            <w:r w:rsidRPr="00B12817">
              <w:rPr>
                <w:rFonts w:cstheme="minorHAnsi"/>
                <w:sz w:val="20"/>
                <w:szCs w:val="20"/>
              </w:rPr>
              <w:t>Superficie</w:t>
            </w:r>
          </w:p>
        </w:tc>
        <w:tc>
          <w:tcPr>
            <w:tcW w:w="2552" w:type="dxa"/>
          </w:tcPr>
          <w:p w14:paraId="1679F15F" w14:textId="77777777" w:rsidR="008F2269" w:rsidRPr="00B12817" w:rsidRDefault="008F2269" w:rsidP="002D1362">
            <w:pPr>
              <w:jc w:val="both"/>
              <w:rPr>
                <w:rFonts w:cstheme="minorHAnsi"/>
                <w:sz w:val="20"/>
                <w:szCs w:val="20"/>
              </w:rPr>
            </w:pPr>
            <w:r w:rsidRPr="00B12817">
              <w:rPr>
                <w:rFonts w:cstheme="minorHAnsi"/>
                <w:sz w:val="20"/>
                <w:szCs w:val="20"/>
              </w:rPr>
              <w:t>1 030 000 km</w:t>
            </w:r>
            <w:r w:rsidRPr="00B12817">
              <w:rPr>
                <w:rFonts w:cstheme="minorHAnsi"/>
                <w:sz w:val="20"/>
                <w:szCs w:val="20"/>
                <w:vertAlign w:val="superscript"/>
              </w:rPr>
              <w:t>2</w:t>
            </w:r>
          </w:p>
        </w:tc>
      </w:tr>
      <w:tr w:rsidR="008F2269" w14:paraId="077CCA18" w14:textId="77777777" w:rsidTr="002D1362">
        <w:tc>
          <w:tcPr>
            <w:tcW w:w="6487" w:type="dxa"/>
          </w:tcPr>
          <w:p w14:paraId="72FABB38" w14:textId="77777777" w:rsidR="008F2269" w:rsidRPr="00B12817" w:rsidRDefault="008F2269" w:rsidP="002D1362">
            <w:pPr>
              <w:jc w:val="both"/>
              <w:rPr>
                <w:rFonts w:cstheme="minorHAnsi"/>
                <w:sz w:val="20"/>
                <w:szCs w:val="20"/>
              </w:rPr>
            </w:pPr>
            <w:r w:rsidRPr="00B12817">
              <w:rPr>
                <w:rFonts w:cstheme="minorHAnsi"/>
                <w:sz w:val="20"/>
                <w:szCs w:val="20"/>
              </w:rPr>
              <w:t>Espérance de vie</w:t>
            </w:r>
          </w:p>
        </w:tc>
        <w:tc>
          <w:tcPr>
            <w:tcW w:w="2552" w:type="dxa"/>
          </w:tcPr>
          <w:p w14:paraId="17ED5905" w14:textId="77777777" w:rsidR="008F2269" w:rsidRPr="00B12817" w:rsidRDefault="008F2269" w:rsidP="002D1362">
            <w:pPr>
              <w:jc w:val="both"/>
              <w:rPr>
                <w:rFonts w:cstheme="minorHAnsi"/>
                <w:sz w:val="20"/>
                <w:szCs w:val="20"/>
              </w:rPr>
            </w:pPr>
            <w:r w:rsidRPr="00B12817">
              <w:rPr>
                <w:rFonts w:cstheme="minorHAnsi"/>
                <w:sz w:val="20"/>
                <w:szCs w:val="20"/>
              </w:rPr>
              <w:t>64 ans</w:t>
            </w:r>
          </w:p>
        </w:tc>
      </w:tr>
      <w:tr w:rsidR="008F2269" w14:paraId="611041EE" w14:textId="77777777" w:rsidTr="002D1362">
        <w:tc>
          <w:tcPr>
            <w:tcW w:w="6487" w:type="dxa"/>
          </w:tcPr>
          <w:p w14:paraId="5961B3D0" w14:textId="77777777" w:rsidR="008F2269" w:rsidRPr="00B12817" w:rsidRDefault="008F2269" w:rsidP="002D1362">
            <w:pPr>
              <w:jc w:val="both"/>
              <w:rPr>
                <w:rFonts w:cstheme="minorHAnsi"/>
                <w:sz w:val="20"/>
                <w:szCs w:val="20"/>
              </w:rPr>
            </w:pPr>
            <w:r w:rsidRPr="00B12817">
              <w:rPr>
                <w:rFonts w:cstheme="minorHAnsi"/>
                <w:sz w:val="20"/>
                <w:szCs w:val="20"/>
              </w:rPr>
              <w:t>Indice de fécondité</w:t>
            </w:r>
          </w:p>
        </w:tc>
        <w:tc>
          <w:tcPr>
            <w:tcW w:w="2552" w:type="dxa"/>
          </w:tcPr>
          <w:p w14:paraId="143C1C24" w14:textId="77777777" w:rsidR="008F2269" w:rsidRPr="00B12817" w:rsidRDefault="008F2269" w:rsidP="002D1362">
            <w:pPr>
              <w:jc w:val="both"/>
              <w:rPr>
                <w:rFonts w:cstheme="minorHAnsi"/>
                <w:sz w:val="20"/>
                <w:szCs w:val="20"/>
              </w:rPr>
            </w:pPr>
            <w:r w:rsidRPr="00B12817">
              <w:rPr>
                <w:rFonts w:cstheme="minorHAnsi"/>
                <w:sz w:val="20"/>
                <w:szCs w:val="20"/>
              </w:rPr>
              <w:t>4.3 enfants/femme</w:t>
            </w:r>
          </w:p>
        </w:tc>
      </w:tr>
      <w:tr w:rsidR="008F2269" w14:paraId="26A88B47" w14:textId="77777777" w:rsidTr="002D1362">
        <w:tc>
          <w:tcPr>
            <w:tcW w:w="6487" w:type="dxa"/>
          </w:tcPr>
          <w:p w14:paraId="47BE31C9" w14:textId="77777777" w:rsidR="008F2269" w:rsidRPr="00B12817" w:rsidRDefault="008F2269" w:rsidP="002D1362">
            <w:pPr>
              <w:jc w:val="both"/>
              <w:rPr>
                <w:rFonts w:cstheme="minorHAnsi"/>
                <w:sz w:val="20"/>
                <w:szCs w:val="20"/>
              </w:rPr>
            </w:pPr>
            <w:r w:rsidRPr="00B12817">
              <w:rPr>
                <w:rFonts w:cstheme="minorHAnsi"/>
                <w:sz w:val="20"/>
                <w:szCs w:val="20"/>
              </w:rPr>
              <w:t>Demande céréalière produite au niveau national</w:t>
            </w:r>
          </w:p>
        </w:tc>
        <w:tc>
          <w:tcPr>
            <w:tcW w:w="2552" w:type="dxa"/>
          </w:tcPr>
          <w:p w14:paraId="6688BC31" w14:textId="77777777" w:rsidR="008F2269" w:rsidRPr="00B12817" w:rsidRDefault="008F2269" w:rsidP="002D1362">
            <w:pPr>
              <w:jc w:val="both"/>
              <w:rPr>
                <w:rFonts w:cstheme="minorHAnsi"/>
                <w:sz w:val="20"/>
                <w:szCs w:val="20"/>
              </w:rPr>
            </w:pPr>
            <w:r w:rsidRPr="00B12817">
              <w:rPr>
                <w:rFonts w:cstheme="minorHAnsi"/>
                <w:sz w:val="20"/>
                <w:szCs w:val="20"/>
              </w:rPr>
              <w:t>30 %</w:t>
            </w:r>
          </w:p>
        </w:tc>
      </w:tr>
      <w:tr w:rsidR="008F2269" w14:paraId="500CD4B5" w14:textId="77777777" w:rsidTr="002D1362">
        <w:tc>
          <w:tcPr>
            <w:tcW w:w="6487" w:type="dxa"/>
          </w:tcPr>
          <w:p w14:paraId="2AF3F6B7" w14:textId="77777777" w:rsidR="008F2269" w:rsidRPr="00B12817" w:rsidRDefault="008F2269" w:rsidP="002D1362">
            <w:pPr>
              <w:jc w:val="both"/>
              <w:rPr>
                <w:rFonts w:cstheme="minorHAnsi"/>
                <w:sz w:val="20"/>
                <w:szCs w:val="20"/>
              </w:rPr>
            </w:pPr>
            <w:r w:rsidRPr="00B12817">
              <w:rPr>
                <w:rFonts w:cstheme="minorHAnsi"/>
                <w:sz w:val="20"/>
                <w:szCs w:val="20"/>
              </w:rPr>
              <w:t>Taux de pauvreté</w:t>
            </w:r>
          </w:p>
        </w:tc>
        <w:tc>
          <w:tcPr>
            <w:tcW w:w="2552" w:type="dxa"/>
          </w:tcPr>
          <w:p w14:paraId="6C4C8EBD" w14:textId="77777777" w:rsidR="008F2269" w:rsidRPr="00B12817" w:rsidRDefault="008F2269" w:rsidP="002D1362">
            <w:pPr>
              <w:jc w:val="both"/>
              <w:rPr>
                <w:rFonts w:cstheme="minorHAnsi"/>
                <w:sz w:val="20"/>
                <w:szCs w:val="20"/>
              </w:rPr>
            </w:pPr>
            <w:r w:rsidRPr="00B12817">
              <w:rPr>
                <w:rFonts w:cstheme="minorHAnsi"/>
                <w:sz w:val="20"/>
                <w:szCs w:val="20"/>
              </w:rPr>
              <w:t>28.20 %</w:t>
            </w:r>
          </w:p>
        </w:tc>
      </w:tr>
      <w:tr w:rsidR="008F2269" w14:paraId="2BDDFD28" w14:textId="77777777" w:rsidTr="002D1362">
        <w:tc>
          <w:tcPr>
            <w:tcW w:w="6487" w:type="dxa"/>
          </w:tcPr>
          <w:p w14:paraId="1748FAE6" w14:textId="77777777" w:rsidR="008F2269" w:rsidRPr="00B12817" w:rsidRDefault="008F2269" w:rsidP="002D1362">
            <w:pPr>
              <w:jc w:val="both"/>
              <w:rPr>
                <w:rFonts w:cstheme="minorHAnsi"/>
                <w:sz w:val="20"/>
                <w:szCs w:val="20"/>
              </w:rPr>
            </w:pPr>
            <w:r w:rsidRPr="00B12817">
              <w:rPr>
                <w:rFonts w:cstheme="minorHAnsi"/>
                <w:sz w:val="20"/>
                <w:szCs w:val="20"/>
              </w:rPr>
              <w:t>Taux de malnutrition aiguë globale (MAG)</w:t>
            </w:r>
          </w:p>
        </w:tc>
        <w:tc>
          <w:tcPr>
            <w:tcW w:w="2552" w:type="dxa"/>
          </w:tcPr>
          <w:p w14:paraId="65CE068B" w14:textId="77777777" w:rsidR="008F2269" w:rsidRPr="00B12817" w:rsidRDefault="008F2269" w:rsidP="002D1362">
            <w:pPr>
              <w:jc w:val="both"/>
              <w:rPr>
                <w:rFonts w:cstheme="minorHAnsi"/>
                <w:sz w:val="20"/>
                <w:szCs w:val="20"/>
              </w:rPr>
            </w:pPr>
            <w:r w:rsidRPr="00B12817">
              <w:rPr>
                <w:rFonts w:cstheme="minorHAnsi"/>
                <w:sz w:val="20"/>
                <w:szCs w:val="20"/>
              </w:rPr>
              <w:t>11.1 %</w:t>
            </w:r>
          </w:p>
        </w:tc>
      </w:tr>
      <w:tr w:rsidR="008F2269" w14:paraId="4D18F22A" w14:textId="77777777" w:rsidTr="002D1362">
        <w:tc>
          <w:tcPr>
            <w:tcW w:w="6487" w:type="dxa"/>
          </w:tcPr>
          <w:p w14:paraId="7E45A844" w14:textId="77777777" w:rsidR="008F2269" w:rsidRPr="00B12817" w:rsidRDefault="008F2269" w:rsidP="002D1362">
            <w:pPr>
              <w:jc w:val="both"/>
              <w:rPr>
                <w:rFonts w:cstheme="minorHAnsi"/>
                <w:sz w:val="20"/>
                <w:szCs w:val="20"/>
              </w:rPr>
            </w:pPr>
            <w:r w:rsidRPr="00B12817">
              <w:rPr>
                <w:rFonts w:cstheme="minorHAnsi"/>
                <w:sz w:val="20"/>
                <w:szCs w:val="20"/>
              </w:rPr>
              <w:t>Ressources cadre de la coopération 2018-2023</w:t>
            </w:r>
          </w:p>
        </w:tc>
        <w:tc>
          <w:tcPr>
            <w:tcW w:w="2552" w:type="dxa"/>
          </w:tcPr>
          <w:p w14:paraId="51553682" w14:textId="77777777" w:rsidR="008F2269" w:rsidRPr="00B12817" w:rsidRDefault="008F2269" w:rsidP="002D1362">
            <w:pPr>
              <w:jc w:val="both"/>
              <w:rPr>
                <w:rFonts w:cstheme="minorHAnsi"/>
                <w:sz w:val="20"/>
                <w:szCs w:val="20"/>
              </w:rPr>
            </w:pPr>
            <w:r w:rsidRPr="00B12817">
              <w:rPr>
                <w:rFonts w:cstheme="minorHAnsi"/>
                <w:sz w:val="20"/>
                <w:szCs w:val="20"/>
              </w:rPr>
              <w:t>645.6 Millions USD</w:t>
            </w:r>
          </w:p>
        </w:tc>
      </w:tr>
      <w:tr w:rsidR="008F2269" w14:paraId="50FE8080" w14:textId="77777777" w:rsidTr="002D1362">
        <w:tc>
          <w:tcPr>
            <w:tcW w:w="6487" w:type="dxa"/>
          </w:tcPr>
          <w:p w14:paraId="510F2666" w14:textId="77777777" w:rsidR="008F2269" w:rsidRPr="00B12817" w:rsidRDefault="008F2269" w:rsidP="002D1362">
            <w:pPr>
              <w:jc w:val="both"/>
              <w:rPr>
                <w:rFonts w:cstheme="minorHAnsi"/>
                <w:sz w:val="20"/>
                <w:szCs w:val="20"/>
              </w:rPr>
            </w:pPr>
            <w:r w:rsidRPr="00B12817">
              <w:rPr>
                <w:rFonts w:cstheme="minorHAnsi"/>
                <w:sz w:val="20"/>
                <w:szCs w:val="20"/>
              </w:rPr>
              <w:t>Personnes réfugiées ou en demande d’asile</w:t>
            </w:r>
          </w:p>
        </w:tc>
        <w:tc>
          <w:tcPr>
            <w:tcW w:w="2552" w:type="dxa"/>
          </w:tcPr>
          <w:p w14:paraId="4D40FB88" w14:textId="77777777" w:rsidR="008F2269" w:rsidRPr="00B12817" w:rsidRDefault="008F2269" w:rsidP="002D1362">
            <w:pPr>
              <w:jc w:val="both"/>
              <w:rPr>
                <w:rFonts w:cstheme="minorHAnsi"/>
                <w:sz w:val="20"/>
                <w:szCs w:val="20"/>
              </w:rPr>
            </w:pPr>
            <w:r w:rsidRPr="00B12817">
              <w:rPr>
                <w:rFonts w:cstheme="minorHAnsi"/>
                <w:sz w:val="20"/>
                <w:szCs w:val="20"/>
              </w:rPr>
              <w:t>112 021</w:t>
            </w:r>
          </w:p>
        </w:tc>
      </w:tr>
      <w:tr w:rsidR="008F2269" w14:paraId="079C930E" w14:textId="77777777" w:rsidTr="002D1362">
        <w:tc>
          <w:tcPr>
            <w:tcW w:w="6487" w:type="dxa"/>
          </w:tcPr>
          <w:p w14:paraId="4E947E26" w14:textId="77777777" w:rsidR="008F2269" w:rsidRPr="00B12817" w:rsidRDefault="008F2269" w:rsidP="002D1362">
            <w:pPr>
              <w:jc w:val="both"/>
              <w:rPr>
                <w:rFonts w:cstheme="minorHAnsi"/>
                <w:sz w:val="20"/>
                <w:szCs w:val="20"/>
              </w:rPr>
            </w:pPr>
            <w:r w:rsidRPr="00B12817">
              <w:rPr>
                <w:rFonts w:cstheme="minorHAnsi"/>
                <w:sz w:val="20"/>
                <w:szCs w:val="20"/>
              </w:rPr>
              <w:t>Indice de risque climatique</w:t>
            </w:r>
          </w:p>
        </w:tc>
        <w:tc>
          <w:tcPr>
            <w:tcW w:w="2552" w:type="dxa"/>
          </w:tcPr>
          <w:p w14:paraId="31B854DE" w14:textId="77777777" w:rsidR="008F2269" w:rsidRPr="00B12817" w:rsidRDefault="008F2269" w:rsidP="002D1362">
            <w:pPr>
              <w:jc w:val="both"/>
              <w:rPr>
                <w:rFonts w:cstheme="minorHAnsi"/>
                <w:sz w:val="20"/>
                <w:szCs w:val="20"/>
              </w:rPr>
            </w:pPr>
            <w:r w:rsidRPr="00B12817">
              <w:rPr>
                <w:rFonts w:cstheme="minorHAnsi"/>
                <w:sz w:val="20"/>
                <w:szCs w:val="20"/>
              </w:rPr>
              <w:t>63</w:t>
            </w:r>
          </w:p>
        </w:tc>
      </w:tr>
    </w:tbl>
    <w:p w14:paraId="1CC241BA" w14:textId="77777777" w:rsidR="008F2269" w:rsidRPr="00B12817" w:rsidRDefault="008F2269" w:rsidP="008F2269">
      <w:pPr>
        <w:jc w:val="both"/>
        <w:rPr>
          <w:rFonts w:cstheme="minorHAnsi"/>
          <w:sz w:val="20"/>
          <w:szCs w:val="20"/>
        </w:rPr>
      </w:pPr>
      <w:r w:rsidRPr="00B12817">
        <w:rPr>
          <w:rFonts w:cstheme="minorHAnsi"/>
          <w:sz w:val="20"/>
          <w:szCs w:val="20"/>
        </w:rPr>
        <w:t>Source :</w:t>
      </w:r>
      <w:r>
        <w:rPr>
          <w:rFonts w:cstheme="minorHAnsi"/>
          <w:sz w:val="20"/>
          <w:szCs w:val="20"/>
        </w:rPr>
        <w:t xml:space="preserve"> PNUD, rapport annuel des Nations-Unies en Mauritanie en 2023.</w:t>
      </w:r>
    </w:p>
    <w:p w14:paraId="6360348A" w14:textId="77777777" w:rsidR="008F2269" w:rsidRPr="003B04F7" w:rsidRDefault="008F2269" w:rsidP="008F2269">
      <w:pPr>
        <w:jc w:val="both"/>
        <w:rPr>
          <w:rFonts w:cstheme="minorHAnsi"/>
          <w:b/>
          <w:bCs/>
        </w:rPr>
      </w:pPr>
      <w:r w:rsidRPr="003B04F7">
        <w:rPr>
          <w:rFonts w:cstheme="minorHAnsi"/>
          <w:b/>
          <w:bCs/>
        </w:rPr>
        <w:t>Indice de gestion des risques (INFORM)</w:t>
      </w:r>
    </w:p>
    <w:p w14:paraId="7CCC8645" w14:textId="77777777" w:rsidR="008F2269" w:rsidRPr="00BC47E0" w:rsidRDefault="008F2269" w:rsidP="008F2269">
      <w:pPr>
        <w:jc w:val="both"/>
        <w:rPr>
          <w:rFonts w:cstheme="minorHAnsi"/>
        </w:rPr>
      </w:pPr>
      <w:r w:rsidRPr="00BC47E0">
        <w:rPr>
          <w:rFonts w:cstheme="minorHAnsi"/>
        </w:rPr>
        <w:t>INFORM est un ensemble de données permettant d'évaluer les crises et les catastrophes, la</w:t>
      </w:r>
      <w:r>
        <w:rPr>
          <w:rFonts w:cstheme="minorHAnsi"/>
        </w:rPr>
        <w:t xml:space="preserve"> </w:t>
      </w:r>
      <w:r w:rsidRPr="00BC47E0">
        <w:rPr>
          <w:rFonts w:cstheme="minorHAnsi"/>
        </w:rPr>
        <w:t>probabilité de leur survenance et leur impact probable.</w:t>
      </w:r>
      <w:r>
        <w:rPr>
          <w:rFonts w:cstheme="minorHAnsi"/>
        </w:rPr>
        <w:t xml:space="preserve"> </w:t>
      </w:r>
      <w:r w:rsidRPr="00BC47E0">
        <w:rPr>
          <w:rFonts w:cstheme="minorHAnsi"/>
        </w:rPr>
        <w:t>Il mesure 3 dimensions : 1. Vulnérabilité, 2. Dangers et exposition, 3. Capacité d'adaptation.</w:t>
      </w:r>
      <w:r>
        <w:rPr>
          <w:rFonts w:cstheme="minorHAnsi"/>
        </w:rPr>
        <w:t xml:space="preserve"> </w:t>
      </w:r>
      <w:r w:rsidRPr="00BC47E0">
        <w:rPr>
          <w:rFonts w:cstheme="minorHAnsi"/>
        </w:rPr>
        <w:t>Exemple d'indicateurs :</w:t>
      </w:r>
    </w:p>
    <w:p w14:paraId="4D47F3BC" w14:textId="77777777" w:rsidR="008F2269" w:rsidRDefault="008F2269" w:rsidP="008F2269">
      <w:pPr>
        <w:pStyle w:val="Paragraphedeliste"/>
        <w:numPr>
          <w:ilvl w:val="0"/>
          <w:numId w:val="125"/>
        </w:numPr>
        <w:suppressAutoHyphens/>
        <w:autoSpaceDN w:val="0"/>
        <w:spacing w:line="240" w:lineRule="auto"/>
        <w:jc w:val="both"/>
        <w:textAlignment w:val="baseline"/>
        <w:rPr>
          <w:rFonts w:cstheme="minorHAnsi"/>
        </w:rPr>
      </w:pPr>
      <w:r w:rsidRPr="003B04F7">
        <w:rPr>
          <w:rFonts w:cstheme="minorHAnsi"/>
        </w:rPr>
        <w:t>Exposition physique aux inondations, aux cyclon</w:t>
      </w:r>
      <w:r>
        <w:rPr>
          <w:rFonts w:cstheme="minorHAnsi"/>
        </w:rPr>
        <w:t>es tropicaux et à la sécheresse ;</w:t>
      </w:r>
    </w:p>
    <w:p w14:paraId="5C5E5813" w14:textId="77777777" w:rsidR="008F2269" w:rsidRDefault="008F2269" w:rsidP="008F2269">
      <w:pPr>
        <w:pStyle w:val="Paragraphedeliste"/>
        <w:numPr>
          <w:ilvl w:val="0"/>
          <w:numId w:val="125"/>
        </w:numPr>
        <w:suppressAutoHyphens/>
        <w:autoSpaceDN w:val="0"/>
        <w:spacing w:line="240" w:lineRule="auto"/>
        <w:jc w:val="both"/>
        <w:textAlignment w:val="baseline"/>
        <w:rPr>
          <w:rFonts w:cstheme="minorHAnsi"/>
        </w:rPr>
      </w:pPr>
      <w:r w:rsidRPr="003B04F7">
        <w:rPr>
          <w:rFonts w:cstheme="minorHAnsi"/>
        </w:rPr>
        <w:t>Personnes touchées par la sécheresse</w:t>
      </w:r>
      <w:r>
        <w:rPr>
          <w:rFonts w:cstheme="minorHAnsi"/>
        </w:rPr>
        <w:t> ;</w:t>
      </w:r>
    </w:p>
    <w:p w14:paraId="2A65B682" w14:textId="77777777" w:rsidR="008F2269" w:rsidRDefault="008F2269" w:rsidP="008F2269">
      <w:pPr>
        <w:pStyle w:val="Paragraphedeliste"/>
        <w:numPr>
          <w:ilvl w:val="0"/>
          <w:numId w:val="125"/>
        </w:numPr>
        <w:suppressAutoHyphens/>
        <w:autoSpaceDN w:val="0"/>
        <w:spacing w:line="240" w:lineRule="auto"/>
        <w:jc w:val="both"/>
        <w:textAlignment w:val="baseline"/>
        <w:rPr>
          <w:rFonts w:cstheme="minorHAnsi"/>
        </w:rPr>
      </w:pPr>
      <w:r w:rsidRPr="003B04F7">
        <w:rPr>
          <w:rFonts w:cstheme="minorHAnsi"/>
        </w:rPr>
        <w:t>Fréquence des épisodes de sécheresse</w:t>
      </w:r>
      <w:r>
        <w:rPr>
          <w:rFonts w:cstheme="minorHAnsi"/>
        </w:rPr>
        <w:t> ;</w:t>
      </w:r>
    </w:p>
    <w:p w14:paraId="1B175865" w14:textId="77777777" w:rsidR="008F2269" w:rsidRDefault="008F2269" w:rsidP="008F2269">
      <w:pPr>
        <w:pStyle w:val="Paragraphedeliste"/>
        <w:numPr>
          <w:ilvl w:val="0"/>
          <w:numId w:val="125"/>
        </w:numPr>
        <w:suppressAutoHyphens/>
        <w:autoSpaceDN w:val="0"/>
        <w:spacing w:line="240" w:lineRule="auto"/>
        <w:jc w:val="both"/>
        <w:textAlignment w:val="baseline"/>
        <w:rPr>
          <w:rFonts w:cstheme="minorHAnsi"/>
        </w:rPr>
      </w:pPr>
      <w:r w:rsidRPr="003B04F7">
        <w:rPr>
          <w:rFonts w:cstheme="minorHAnsi"/>
        </w:rPr>
        <w:t>Probabilité de sécheresse agricole</w:t>
      </w:r>
      <w:r>
        <w:rPr>
          <w:rFonts w:cstheme="minorHAnsi"/>
        </w:rPr>
        <w:t> ;</w:t>
      </w:r>
    </w:p>
    <w:p w14:paraId="69A6D2E3" w14:textId="77777777" w:rsidR="008F2269" w:rsidRDefault="008F2269" w:rsidP="008F2269">
      <w:pPr>
        <w:pStyle w:val="Paragraphedeliste"/>
        <w:numPr>
          <w:ilvl w:val="0"/>
          <w:numId w:val="125"/>
        </w:numPr>
        <w:suppressAutoHyphens/>
        <w:autoSpaceDN w:val="0"/>
        <w:spacing w:line="240" w:lineRule="auto"/>
        <w:jc w:val="both"/>
        <w:textAlignment w:val="baseline"/>
        <w:rPr>
          <w:rFonts w:cstheme="minorHAnsi"/>
        </w:rPr>
      </w:pPr>
      <w:r w:rsidRPr="003B04F7">
        <w:rPr>
          <w:rFonts w:cstheme="minorHAnsi"/>
        </w:rPr>
        <w:t>Sécurité alimentaire</w:t>
      </w:r>
      <w:r>
        <w:rPr>
          <w:rFonts w:cstheme="minorHAnsi"/>
        </w:rPr>
        <w:t> ;</w:t>
      </w:r>
    </w:p>
    <w:p w14:paraId="3FF53125" w14:textId="77777777" w:rsidR="008F2269" w:rsidRDefault="008F2269" w:rsidP="008F2269">
      <w:pPr>
        <w:pStyle w:val="Paragraphedeliste"/>
        <w:numPr>
          <w:ilvl w:val="0"/>
          <w:numId w:val="125"/>
        </w:numPr>
        <w:suppressAutoHyphens/>
        <w:autoSpaceDN w:val="0"/>
        <w:spacing w:line="240" w:lineRule="auto"/>
        <w:jc w:val="both"/>
        <w:textAlignment w:val="baseline"/>
        <w:rPr>
          <w:rFonts w:cstheme="minorHAnsi"/>
        </w:rPr>
      </w:pPr>
      <w:r w:rsidRPr="003B04F7">
        <w:rPr>
          <w:rFonts w:cstheme="minorHAnsi"/>
        </w:rPr>
        <w:t>Mortalité infantile</w:t>
      </w:r>
      <w:r>
        <w:rPr>
          <w:rFonts w:cstheme="minorHAnsi"/>
        </w:rPr>
        <w:t> ;</w:t>
      </w:r>
    </w:p>
    <w:p w14:paraId="3C6B3ABF" w14:textId="77777777" w:rsidR="008F2269" w:rsidRDefault="008F2269" w:rsidP="008F2269">
      <w:pPr>
        <w:pStyle w:val="Paragraphedeliste"/>
        <w:numPr>
          <w:ilvl w:val="0"/>
          <w:numId w:val="125"/>
        </w:numPr>
        <w:suppressAutoHyphens/>
        <w:autoSpaceDN w:val="0"/>
        <w:spacing w:line="240" w:lineRule="auto"/>
        <w:jc w:val="both"/>
        <w:textAlignment w:val="baseline"/>
        <w:rPr>
          <w:rFonts w:cstheme="minorHAnsi"/>
        </w:rPr>
      </w:pPr>
      <w:r w:rsidRPr="003B04F7">
        <w:rPr>
          <w:rFonts w:cstheme="minorHAnsi"/>
        </w:rPr>
        <w:t>Développement humain</w:t>
      </w:r>
      <w:r>
        <w:rPr>
          <w:rFonts w:cstheme="minorHAnsi"/>
        </w:rPr>
        <w:t>.</w:t>
      </w:r>
    </w:p>
    <w:p w14:paraId="78B99736" w14:textId="77777777" w:rsidR="008F2269" w:rsidRPr="009C34B6" w:rsidRDefault="008F2269" w:rsidP="008F2269">
      <w:pPr>
        <w:rPr>
          <w:rFonts w:eastAsia="Times New Roman" w:cstheme="minorHAnsi"/>
          <w:lang w:eastAsia="fr-FR"/>
        </w:rPr>
      </w:pPr>
      <w:r w:rsidRPr="009C34B6">
        <w:rPr>
          <w:rFonts w:eastAsia="Times New Roman" w:cstheme="minorHAnsi"/>
          <w:lang w:eastAsia="fr-FR"/>
        </w:rPr>
        <w:t xml:space="preserve">L'analyse de la </w:t>
      </w:r>
      <w:r w:rsidRPr="009C34B6">
        <w:rPr>
          <w:rFonts w:eastAsia="Times New Roman" w:cstheme="minorHAnsi"/>
          <w:b/>
          <w:bCs/>
          <w:lang w:eastAsia="fr-FR"/>
        </w:rPr>
        <w:t>vulnérabilité</w:t>
      </w:r>
      <w:r w:rsidRPr="009C34B6">
        <w:rPr>
          <w:rFonts w:eastAsia="Times New Roman" w:cstheme="minorHAnsi"/>
          <w:lang w:eastAsia="fr-FR"/>
        </w:rPr>
        <w:t xml:space="preserve"> s'appuie sur une description de l'impact du dommage selon différents critères : sensibilité au dommage, degré de dépendance, la transférabilité, qui </w:t>
      </w:r>
      <w:r w:rsidRPr="009C34B6">
        <w:rPr>
          <w:rFonts w:eastAsia="Times New Roman" w:cstheme="minorHAnsi"/>
          <w:b/>
          <w:bCs/>
          <w:lang w:eastAsia="fr-FR"/>
        </w:rPr>
        <w:t>mesure</w:t>
      </w:r>
      <w:r w:rsidRPr="009C34B6">
        <w:rPr>
          <w:rFonts w:eastAsia="Times New Roman" w:cstheme="minorHAnsi"/>
          <w:lang w:eastAsia="fr-FR"/>
        </w:rPr>
        <w:t xml:space="preserve"> la capacité d'adaptation et la résilience, qui </w:t>
      </w:r>
      <w:r w:rsidRPr="009C34B6">
        <w:rPr>
          <w:rFonts w:eastAsia="Times New Roman" w:cstheme="minorHAnsi"/>
          <w:b/>
          <w:bCs/>
          <w:lang w:eastAsia="fr-FR"/>
        </w:rPr>
        <w:t>mesure</w:t>
      </w:r>
      <w:r w:rsidRPr="009C34B6">
        <w:rPr>
          <w:rFonts w:eastAsia="Times New Roman" w:cstheme="minorHAnsi"/>
          <w:lang w:eastAsia="fr-FR"/>
        </w:rPr>
        <w:t xml:space="preserve"> la capacité de cicatrisation après l'événement.2 juil. 2024</w:t>
      </w:r>
      <w:r>
        <w:rPr>
          <w:rFonts w:eastAsia="Times New Roman" w:cstheme="minorHAnsi"/>
          <w:lang w:eastAsia="fr-FR"/>
        </w:rPr>
        <w:t>.</w:t>
      </w:r>
    </w:p>
    <w:p w14:paraId="02EAED0E" w14:textId="77777777" w:rsidR="008F2269" w:rsidRPr="00153563" w:rsidRDefault="008F2269" w:rsidP="008F2269">
      <w:pPr>
        <w:pStyle w:val="Paragraphedeliste"/>
        <w:spacing w:after="240"/>
        <w:ind w:left="0"/>
        <w:contextualSpacing w:val="0"/>
        <w:jc w:val="both"/>
        <w:outlineLvl w:val="1"/>
        <w:rPr>
          <w:rFonts w:cstheme="minorHAnsi"/>
          <w:b/>
          <w:bCs/>
        </w:rPr>
      </w:pPr>
      <w:bookmarkStart w:id="100" w:name="_Toc180318671"/>
      <w:r w:rsidRPr="00153563">
        <w:rPr>
          <w:rFonts w:cstheme="minorHAnsi"/>
          <w:b/>
          <w:bCs/>
        </w:rPr>
        <w:t>CHAPITRE 3 : PRESENTATION DU SECTEUR</w:t>
      </w:r>
      <w:bookmarkEnd w:id="85"/>
      <w:bookmarkEnd w:id="100"/>
    </w:p>
    <w:p w14:paraId="0994DE13" w14:textId="77777777" w:rsidR="008F2269" w:rsidRPr="00BE7A39" w:rsidRDefault="008F2269" w:rsidP="008F2269">
      <w:pPr>
        <w:pStyle w:val="Titre2"/>
        <w:spacing w:before="120" w:line="240" w:lineRule="auto"/>
        <w:rPr>
          <w:rFonts w:asciiTheme="minorHAnsi" w:eastAsiaTheme="minorHAnsi" w:hAnsiTheme="minorHAnsi" w:cstheme="minorHAnsi"/>
          <w:bCs/>
          <w:color w:val="auto"/>
          <w:sz w:val="22"/>
          <w:szCs w:val="22"/>
        </w:rPr>
      </w:pPr>
      <w:bookmarkStart w:id="101" w:name="_Toc47874629"/>
      <w:bookmarkStart w:id="102" w:name="_Toc51930343"/>
      <w:bookmarkStart w:id="103" w:name="_Toc57057431"/>
      <w:bookmarkStart w:id="104" w:name="_Toc180318672"/>
      <w:r>
        <w:rPr>
          <w:rFonts w:asciiTheme="minorHAnsi" w:eastAsiaTheme="minorHAnsi" w:hAnsiTheme="minorHAnsi" w:cstheme="minorHAnsi"/>
          <w:color w:val="auto"/>
          <w:sz w:val="22"/>
          <w:szCs w:val="22"/>
        </w:rPr>
        <w:t xml:space="preserve">3.1 </w:t>
      </w:r>
      <w:r w:rsidRPr="00BE7A39">
        <w:rPr>
          <w:rFonts w:asciiTheme="minorHAnsi" w:eastAsiaTheme="minorHAnsi" w:hAnsiTheme="minorHAnsi" w:cstheme="minorHAnsi"/>
          <w:color w:val="auto"/>
          <w:sz w:val="22"/>
          <w:szCs w:val="22"/>
        </w:rPr>
        <w:t>L’importance du secteur dans les économies nationales et rurales</w:t>
      </w:r>
      <w:bookmarkEnd w:id="101"/>
      <w:bookmarkEnd w:id="102"/>
      <w:bookmarkEnd w:id="103"/>
      <w:bookmarkEnd w:id="104"/>
    </w:p>
    <w:p w14:paraId="2F1823EC" w14:textId="77777777" w:rsidR="008F2269" w:rsidRPr="00C71F12" w:rsidRDefault="008F2269" w:rsidP="008F2269">
      <w:pPr>
        <w:pStyle w:val="Default"/>
        <w:spacing w:before="240" w:after="16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 xml:space="preserve">La disponibilité en eau a été de tout temps en Mauritanie une contrainte essentielle de l'aménagement du territoire. L'eau intervient dans </w:t>
      </w:r>
      <w:r>
        <w:rPr>
          <w:rFonts w:asciiTheme="minorHAnsi" w:hAnsiTheme="minorHAnsi" w:cstheme="minorHAnsi"/>
          <w:bCs/>
          <w:color w:val="auto"/>
          <w:sz w:val="22"/>
          <w:szCs w:val="22"/>
        </w:rPr>
        <w:t xml:space="preserve">tous </w:t>
      </w:r>
      <w:r w:rsidRPr="00C71F12">
        <w:rPr>
          <w:rFonts w:asciiTheme="minorHAnsi" w:hAnsiTheme="minorHAnsi" w:cstheme="minorHAnsi"/>
          <w:bCs/>
          <w:color w:val="auto"/>
          <w:sz w:val="22"/>
          <w:szCs w:val="22"/>
        </w:rPr>
        <w:t>les secteurs de développement économique. L’agriculture, l’élevage et les mines représentent plus de 30 % du PIB et sont très fortement dépendants de l'eau et des infrastructures hydrauliques. Actuellement, de nombreuses incertitudes subsistent sur les taux de couverture et taux de desserte en eau potable (population, taux de croissance, fonctionnalité des ouvrages, inventaires à compléter…etc.). Les statistiques montrent que plus de 80 % des localités ont moins de 500 habitants, dont environ 46 % ont moins de 150 habitants. Dans de telles conditions, il est difficile d’améliorer la rétention scolaire, l’accès à l’eau potable et à la santé. De surcroit, le Schéma National d’Aménagement du Territoire (SNAT) n’est pas encore approuvé.</w:t>
      </w:r>
    </w:p>
    <w:p w14:paraId="4C26D4DD" w14:textId="77777777" w:rsidR="008F2269" w:rsidRPr="00C71F12" w:rsidRDefault="008F2269" w:rsidP="008F2269">
      <w:pPr>
        <w:pStyle w:val="Default"/>
        <w:spacing w:after="16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Selon la SNEDD (2017-2021), les besoins annuels en eau, toutes utilisations comprises, ont fortement augmenté passant de 0,677 milliards de m</w:t>
      </w:r>
      <w:r w:rsidRPr="00FF79E1">
        <w:rPr>
          <w:rFonts w:asciiTheme="minorHAnsi" w:hAnsiTheme="minorHAnsi" w:cstheme="minorHAnsi"/>
          <w:bCs/>
          <w:color w:val="auto"/>
          <w:sz w:val="22"/>
          <w:szCs w:val="22"/>
          <w:vertAlign w:val="superscript"/>
        </w:rPr>
        <w:t>3</w:t>
      </w:r>
      <w:r w:rsidRPr="00C71F12">
        <w:rPr>
          <w:rFonts w:asciiTheme="minorHAnsi" w:hAnsiTheme="minorHAnsi" w:cstheme="minorHAnsi"/>
          <w:bCs/>
          <w:color w:val="auto"/>
          <w:sz w:val="22"/>
          <w:szCs w:val="22"/>
        </w:rPr>
        <w:t xml:space="preserve"> en 2000 (FAO, 2005) à environ 1,7 milliards de m</w:t>
      </w:r>
      <w:r w:rsidRPr="00FF79E1">
        <w:rPr>
          <w:rFonts w:asciiTheme="minorHAnsi" w:hAnsiTheme="minorHAnsi" w:cstheme="minorHAnsi"/>
          <w:bCs/>
          <w:color w:val="auto"/>
          <w:sz w:val="22"/>
          <w:szCs w:val="22"/>
          <w:vertAlign w:val="superscript"/>
        </w:rPr>
        <w:t>3</w:t>
      </w:r>
      <w:r w:rsidRPr="00C71F12">
        <w:rPr>
          <w:rFonts w:asciiTheme="minorHAnsi" w:hAnsiTheme="minorHAnsi" w:cstheme="minorHAnsi"/>
          <w:bCs/>
          <w:color w:val="auto"/>
          <w:sz w:val="22"/>
          <w:szCs w:val="22"/>
        </w:rPr>
        <w:t xml:space="preserve"> des prélèvements d’eaux de surface et souterraine au niveau national d’après le MHA (2012). </w:t>
      </w:r>
    </w:p>
    <w:p w14:paraId="08C0FF76" w14:textId="77777777" w:rsidR="008F2269" w:rsidRPr="00C71F12" w:rsidRDefault="008F2269" w:rsidP="008F2269">
      <w:pPr>
        <w:pStyle w:val="Default"/>
        <w:spacing w:before="240" w:after="16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 xml:space="preserve">L’agriculture utilise à elle seule </w:t>
      </w:r>
      <w:r w:rsidRPr="00EA338E">
        <w:rPr>
          <w:rFonts w:asciiTheme="minorHAnsi" w:hAnsiTheme="minorHAnsi" w:cstheme="minorHAnsi"/>
          <w:bCs/>
          <w:color w:val="auto"/>
          <w:sz w:val="22"/>
          <w:szCs w:val="22"/>
        </w:rPr>
        <w:t xml:space="preserve">1,5 </w:t>
      </w:r>
      <w:r w:rsidRPr="00C71F12">
        <w:rPr>
          <w:rFonts w:asciiTheme="minorHAnsi" w:hAnsiTheme="minorHAnsi" w:cstheme="minorHAnsi"/>
          <w:bCs/>
          <w:color w:val="auto"/>
          <w:sz w:val="22"/>
          <w:szCs w:val="22"/>
        </w:rPr>
        <w:t>Milliards m</w:t>
      </w:r>
      <w:r w:rsidRPr="00FF79E1">
        <w:rPr>
          <w:rFonts w:asciiTheme="minorHAnsi" w:hAnsiTheme="minorHAnsi" w:cstheme="minorHAnsi"/>
          <w:bCs/>
          <w:color w:val="auto"/>
          <w:sz w:val="22"/>
          <w:szCs w:val="22"/>
          <w:vertAlign w:val="superscript"/>
        </w:rPr>
        <w:t>3</w:t>
      </w:r>
      <w:r w:rsidRPr="00C71F12">
        <w:rPr>
          <w:rFonts w:asciiTheme="minorHAnsi" w:hAnsiTheme="minorHAnsi" w:cstheme="minorHAnsi"/>
          <w:bCs/>
          <w:color w:val="auto"/>
          <w:sz w:val="22"/>
          <w:szCs w:val="22"/>
        </w:rPr>
        <w:t> (soit 88% dont environ 5% pour les productions animales), 0,15 milliards de m</w:t>
      </w:r>
      <w:r w:rsidRPr="00FF79E1">
        <w:rPr>
          <w:rFonts w:asciiTheme="minorHAnsi" w:hAnsiTheme="minorHAnsi" w:cstheme="minorHAnsi"/>
          <w:bCs/>
          <w:color w:val="auto"/>
          <w:sz w:val="22"/>
          <w:szCs w:val="22"/>
          <w:vertAlign w:val="superscript"/>
        </w:rPr>
        <w:t>3</w:t>
      </w:r>
      <w:r w:rsidRPr="00C71F12">
        <w:rPr>
          <w:rFonts w:asciiTheme="minorHAnsi" w:hAnsiTheme="minorHAnsi" w:cstheme="minorHAnsi"/>
          <w:bCs/>
          <w:color w:val="auto"/>
          <w:sz w:val="22"/>
          <w:szCs w:val="22"/>
        </w:rPr>
        <w:t xml:space="preserve"> aux usages domestiques (9%) et environ 0,5 milliards de m</w:t>
      </w:r>
      <w:r w:rsidRPr="00FF79E1">
        <w:rPr>
          <w:rFonts w:asciiTheme="minorHAnsi" w:hAnsiTheme="minorHAnsi" w:cstheme="minorHAnsi"/>
          <w:bCs/>
          <w:color w:val="auto"/>
          <w:sz w:val="22"/>
          <w:szCs w:val="22"/>
          <w:vertAlign w:val="superscript"/>
        </w:rPr>
        <w:t>3</w:t>
      </w:r>
      <w:r w:rsidRPr="00C71F12">
        <w:rPr>
          <w:rFonts w:asciiTheme="minorHAnsi" w:hAnsiTheme="minorHAnsi" w:cstheme="minorHAnsi"/>
          <w:bCs/>
          <w:color w:val="auto"/>
          <w:sz w:val="22"/>
          <w:szCs w:val="22"/>
        </w:rPr>
        <w:t xml:space="preserve"> aux mines et à l’industrie (3%). Cette augmentation de la demande dépasse la capacité de renouvellement annuelle des nappes valorisées et de la ressource en général. Ainsi, la réalisation de très grands </w:t>
      </w:r>
      <w:r>
        <w:rPr>
          <w:rFonts w:asciiTheme="minorHAnsi" w:hAnsiTheme="minorHAnsi" w:cstheme="minorHAnsi"/>
          <w:bCs/>
          <w:color w:val="auto"/>
          <w:sz w:val="22"/>
          <w:szCs w:val="22"/>
        </w:rPr>
        <w:t xml:space="preserve">investissements </w:t>
      </w:r>
      <w:r w:rsidRPr="00C71F12">
        <w:rPr>
          <w:rFonts w:asciiTheme="minorHAnsi" w:hAnsiTheme="minorHAnsi" w:cstheme="minorHAnsi"/>
          <w:bCs/>
          <w:color w:val="auto"/>
          <w:sz w:val="22"/>
          <w:szCs w:val="22"/>
        </w:rPr>
        <w:t>pour alimentation de Nouakchott à partir du fleuve Sénégal</w:t>
      </w:r>
      <w:r w:rsidRPr="00FF79E1">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w:t>
      </w:r>
      <w:r w:rsidRPr="00C71F12">
        <w:rPr>
          <w:rFonts w:asciiTheme="minorHAnsi" w:hAnsiTheme="minorHAnsi" w:cstheme="minorHAnsi"/>
          <w:bCs/>
          <w:color w:val="auto"/>
          <w:sz w:val="22"/>
          <w:szCs w:val="22"/>
        </w:rPr>
        <w:t>Aftout Essahli</w:t>
      </w:r>
      <w:r>
        <w:rPr>
          <w:rFonts w:asciiTheme="minorHAnsi" w:hAnsiTheme="minorHAnsi" w:cstheme="minorHAnsi"/>
          <w:bCs/>
          <w:color w:val="auto"/>
          <w:sz w:val="22"/>
          <w:szCs w:val="22"/>
        </w:rPr>
        <w:t xml:space="preserve">) et des </w:t>
      </w:r>
      <w:r w:rsidRPr="00C71F12">
        <w:rPr>
          <w:rFonts w:asciiTheme="minorHAnsi" w:hAnsiTheme="minorHAnsi" w:cstheme="minorHAnsi"/>
          <w:bCs/>
          <w:color w:val="auto"/>
          <w:sz w:val="22"/>
          <w:szCs w:val="22"/>
        </w:rPr>
        <w:t>forages à</w:t>
      </w:r>
      <w:r w:rsidRPr="00BE7A39">
        <w:rPr>
          <w:rFonts w:cstheme="minorHAnsi"/>
        </w:rPr>
        <w:t xml:space="preserve"> </w:t>
      </w:r>
      <w:r>
        <w:rPr>
          <w:rFonts w:asciiTheme="minorHAnsi" w:hAnsiTheme="minorHAnsi" w:cstheme="minorHAnsi"/>
          <w:bCs/>
          <w:color w:val="auto"/>
          <w:sz w:val="22"/>
          <w:szCs w:val="22"/>
        </w:rPr>
        <w:t>l’intérieur du pays</w:t>
      </w:r>
      <w:r w:rsidRPr="00C71F12">
        <w:rPr>
          <w:rFonts w:asciiTheme="minorHAnsi" w:hAnsiTheme="minorHAnsi" w:cstheme="minorHAnsi"/>
          <w:bCs/>
          <w:color w:val="auto"/>
          <w:sz w:val="22"/>
          <w:szCs w:val="22"/>
        </w:rPr>
        <w:t xml:space="preserve"> par le Gouvernement a été nécessaire pour répondre aux demandes croissantes.  </w:t>
      </w:r>
    </w:p>
    <w:p w14:paraId="6F151380" w14:textId="77777777" w:rsidR="008F2269" w:rsidRDefault="008F2269" w:rsidP="008F2269">
      <w:pPr>
        <w:pStyle w:val="Default"/>
        <w:spacing w:before="240"/>
        <w:jc w:val="both"/>
        <w:rPr>
          <w:rFonts w:asciiTheme="minorHAnsi" w:hAnsiTheme="minorHAnsi" w:cstheme="minorHAnsi"/>
          <w:bCs/>
          <w:color w:val="auto"/>
          <w:sz w:val="22"/>
          <w:szCs w:val="22"/>
        </w:rPr>
      </w:pPr>
      <w:r w:rsidRPr="00D1120C">
        <w:rPr>
          <w:rFonts w:asciiTheme="minorHAnsi" w:hAnsiTheme="minorHAnsi" w:cstheme="minorHAnsi"/>
          <w:bCs/>
          <w:color w:val="auto"/>
          <w:sz w:val="22"/>
          <w:szCs w:val="22"/>
        </w:rPr>
        <w:t>Le service de l’eau dans les 2 200 localités de plus de 150 habitants du pays</w:t>
      </w:r>
      <w:r>
        <w:rPr>
          <w:rFonts w:asciiTheme="minorHAnsi" w:hAnsiTheme="minorHAnsi" w:cstheme="minorHAnsi"/>
          <w:bCs/>
          <w:color w:val="auto"/>
          <w:sz w:val="22"/>
          <w:szCs w:val="22"/>
        </w:rPr>
        <w:t xml:space="preserve"> </w:t>
      </w:r>
      <w:r w:rsidRPr="00D1120C">
        <w:rPr>
          <w:rFonts w:asciiTheme="minorHAnsi" w:hAnsiTheme="minorHAnsi" w:cstheme="minorHAnsi"/>
          <w:bCs/>
          <w:color w:val="auto"/>
          <w:sz w:val="22"/>
          <w:szCs w:val="22"/>
        </w:rPr>
        <w:t xml:space="preserve">équipées de points d’eau modernes en 2021 est assuré en </w:t>
      </w:r>
      <w:r>
        <w:rPr>
          <w:rFonts w:asciiTheme="minorHAnsi" w:hAnsiTheme="minorHAnsi" w:cstheme="minorHAnsi"/>
          <w:bCs/>
          <w:color w:val="auto"/>
          <w:sz w:val="22"/>
          <w:szCs w:val="22"/>
        </w:rPr>
        <w:t>D</w:t>
      </w:r>
      <w:r w:rsidRPr="00D1120C">
        <w:rPr>
          <w:rFonts w:asciiTheme="minorHAnsi" w:hAnsiTheme="minorHAnsi" w:cstheme="minorHAnsi"/>
          <w:bCs/>
          <w:color w:val="auto"/>
          <w:sz w:val="22"/>
          <w:szCs w:val="22"/>
        </w:rPr>
        <w:t xml:space="preserve">élégation de </w:t>
      </w:r>
      <w:r>
        <w:rPr>
          <w:rFonts w:asciiTheme="minorHAnsi" w:hAnsiTheme="minorHAnsi" w:cstheme="minorHAnsi"/>
          <w:bCs/>
          <w:color w:val="auto"/>
          <w:sz w:val="22"/>
          <w:szCs w:val="22"/>
        </w:rPr>
        <w:t>S</w:t>
      </w:r>
      <w:r w:rsidRPr="00D1120C">
        <w:rPr>
          <w:rFonts w:asciiTheme="minorHAnsi" w:hAnsiTheme="minorHAnsi" w:cstheme="minorHAnsi"/>
          <w:bCs/>
          <w:color w:val="auto"/>
          <w:sz w:val="22"/>
          <w:szCs w:val="22"/>
        </w:rPr>
        <w:t>ervice</w:t>
      </w:r>
      <w:r>
        <w:rPr>
          <w:rFonts w:asciiTheme="minorHAnsi" w:hAnsiTheme="minorHAnsi" w:cstheme="minorHAnsi"/>
          <w:bCs/>
          <w:color w:val="auto"/>
          <w:sz w:val="22"/>
          <w:szCs w:val="22"/>
        </w:rPr>
        <w:t xml:space="preserve"> P</w:t>
      </w:r>
      <w:r w:rsidRPr="00D1120C">
        <w:rPr>
          <w:rFonts w:asciiTheme="minorHAnsi" w:hAnsiTheme="minorHAnsi" w:cstheme="minorHAnsi"/>
          <w:bCs/>
          <w:color w:val="auto"/>
          <w:sz w:val="22"/>
          <w:szCs w:val="22"/>
        </w:rPr>
        <w:t>ublic (DSP) dans 5% des cas. L’ONSER assure la gestion du service par</w:t>
      </w:r>
      <w:r>
        <w:rPr>
          <w:rFonts w:asciiTheme="minorHAnsi" w:hAnsiTheme="minorHAnsi" w:cstheme="minorHAnsi"/>
          <w:bCs/>
          <w:color w:val="auto"/>
          <w:sz w:val="22"/>
          <w:szCs w:val="22"/>
        </w:rPr>
        <w:t xml:space="preserve"> </w:t>
      </w:r>
      <w:r w:rsidRPr="00D1120C">
        <w:rPr>
          <w:rFonts w:asciiTheme="minorHAnsi" w:hAnsiTheme="minorHAnsi" w:cstheme="minorHAnsi"/>
          <w:bCs/>
          <w:color w:val="auto"/>
          <w:sz w:val="22"/>
          <w:szCs w:val="22"/>
        </w:rPr>
        <w:t>l’intermédiaire de gérants privés dans 47% des cas, et le reste en gestion par la</w:t>
      </w:r>
      <w:r>
        <w:rPr>
          <w:rFonts w:asciiTheme="minorHAnsi" w:hAnsiTheme="minorHAnsi" w:cstheme="minorHAnsi"/>
          <w:bCs/>
          <w:color w:val="auto"/>
          <w:sz w:val="22"/>
          <w:szCs w:val="22"/>
        </w:rPr>
        <w:t xml:space="preserve"> </w:t>
      </w:r>
      <w:r w:rsidRPr="00D1120C">
        <w:rPr>
          <w:rFonts w:asciiTheme="minorHAnsi" w:hAnsiTheme="minorHAnsi" w:cstheme="minorHAnsi"/>
          <w:bCs/>
          <w:color w:val="auto"/>
          <w:sz w:val="22"/>
          <w:szCs w:val="22"/>
        </w:rPr>
        <w:t>communauté ou privée, en dehors du suivi et contrôle de l’état dans ce cas.</w:t>
      </w:r>
    </w:p>
    <w:p w14:paraId="169A1A33" w14:textId="77777777" w:rsidR="008F2269" w:rsidRPr="00D1120C" w:rsidRDefault="008F2269" w:rsidP="008F2269">
      <w:pPr>
        <w:pStyle w:val="Default"/>
        <w:spacing w:before="240"/>
        <w:jc w:val="both"/>
        <w:rPr>
          <w:rFonts w:asciiTheme="minorHAnsi" w:hAnsiTheme="minorHAnsi" w:cstheme="minorHAnsi"/>
          <w:bCs/>
          <w:color w:val="auto"/>
          <w:sz w:val="22"/>
          <w:szCs w:val="22"/>
        </w:rPr>
      </w:pPr>
      <w:r w:rsidRPr="00D1120C">
        <w:rPr>
          <w:rFonts w:asciiTheme="minorHAnsi" w:hAnsiTheme="minorHAnsi" w:cstheme="minorHAnsi"/>
          <w:bCs/>
          <w:color w:val="auto"/>
          <w:sz w:val="22"/>
          <w:szCs w:val="22"/>
        </w:rPr>
        <w:t>Les modalités de gestion du service de l’eau en milieu rural sont également</w:t>
      </w:r>
      <w:r>
        <w:rPr>
          <w:rFonts w:asciiTheme="minorHAnsi" w:hAnsiTheme="minorHAnsi" w:cstheme="minorHAnsi"/>
          <w:bCs/>
          <w:color w:val="auto"/>
          <w:sz w:val="22"/>
          <w:szCs w:val="22"/>
        </w:rPr>
        <w:t xml:space="preserve"> </w:t>
      </w:r>
      <w:r w:rsidRPr="00D1120C">
        <w:rPr>
          <w:rFonts w:asciiTheme="minorHAnsi" w:hAnsiTheme="minorHAnsi" w:cstheme="minorHAnsi"/>
          <w:bCs/>
          <w:color w:val="auto"/>
          <w:sz w:val="22"/>
          <w:szCs w:val="22"/>
        </w:rPr>
        <w:t>clarifiées dans le Code de l’Eau de 2022 en termes juridiques et opérationnels,</w:t>
      </w:r>
      <w:r>
        <w:rPr>
          <w:rFonts w:asciiTheme="minorHAnsi" w:hAnsiTheme="minorHAnsi" w:cstheme="minorHAnsi"/>
          <w:bCs/>
          <w:color w:val="auto"/>
          <w:sz w:val="22"/>
          <w:szCs w:val="22"/>
        </w:rPr>
        <w:t xml:space="preserve"> </w:t>
      </w:r>
      <w:r w:rsidRPr="00D1120C">
        <w:rPr>
          <w:rFonts w:asciiTheme="minorHAnsi" w:hAnsiTheme="minorHAnsi" w:cstheme="minorHAnsi"/>
          <w:bCs/>
          <w:color w:val="auto"/>
          <w:sz w:val="22"/>
          <w:szCs w:val="22"/>
        </w:rPr>
        <w:t>avec le développement attendu de la DSP sous contrôle de l’Etat et de l’Autorité</w:t>
      </w:r>
      <w:r>
        <w:rPr>
          <w:rFonts w:asciiTheme="minorHAnsi" w:hAnsiTheme="minorHAnsi" w:cstheme="minorHAnsi"/>
          <w:bCs/>
          <w:color w:val="auto"/>
          <w:sz w:val="22"/>
          <w:szCs w:val="22"/>
        </w:rPr>
        <w:t xml:space="preserve"> </w:t>
      </w:r>
      <w:r w:rsidRPr="00D1120C">
        <w:rPr>
          <w:rFonts w:asciiTheme="minorHAnsi" w:hAnsiTheme="minorHAnsi" w:cstheme="minorHAnsi"/>
          <w:bCs/>
          <w:color w:val="auto"/>
          <w:sz w:val="22"/>
          <w:szCs w:val="22"/>
        </w:rPr>
        <w:t>de Régulation en application de la Loi sur les Partenariats Publics Privés de 2017</w:t>
      </w:r>
      <w:r>
        <w:rPr>
          <w:rFonts w:asciiTheme="minorHAnsi" w:hAnsiTheme="minorHAnsi" w:cstheme="minorHAnsi"/>
          <w:bCs/>
          <w:color w:val="auto"/>
          <w:sz w:val="22"/>
          <w:szCs w:val="22"/>
        </w:rPr>
        <w:t xml:space="preserve"> </w:t>
      </w:r>
      <w:r w:rsidRPr="00D1120C">
        <w:rPr>
          <w:rFonts w:asciiTheme="minorHAnsi" w:hAnsiTheme="minorHAnsi" w:cstheme="minorHAnsi"/>
          <w:bCs/>
          <w:color w:val="auto"/>
          <w:sz w:val="22"/>
          <w:szCs w:val="22"/>
        </w:rPr>
        <w:t>modifiée en 2021. La tarification du service de l’eau devrait également être</w:t>
      </w:r>
      <w:r>
        <w:rPr>
          <w:rFonts w:asciiTheme="minorHAnsi" w:hAnsiTheme="minorHAnsi" w:cstheme="minorHAnsi"/>
          <w:bCs/>
          <w:color w:val="auto"/>
          <w:sz w:val="22"/>
          <w:szCs w:val="22"/>
        </w:rPr>
        <w:t xml:space="preserve"> </w:t>
      </w:r>
      <w:r w:rsidRPr="00D1120C">
        <w:rPr>
          <w:rFonts w:asciiTheme="minorHAnsi" w:hAnsiTheme="minorHAnsi" w:cstheme="minorHAnsi"/>
          <w:bCs/>
          <w:color w:val="auto"/>
          <w:sz w:val="22"/>
          <w:szCs w:val="22"/>
        </w:rPr>
        <w:t>clarifiée compte tenu des écarts importants du prix du service dans le milieu rural</w:t>
      </w:r>
      <w:r>
        <w:rPr>
          <w:rFonts w:asciiTheme="minorHAnsi" w:hAnsiTheme="minorHAnsi" w:cstheme="minorHAnsi"/>
          <w:bCs/>
          <w:color w:val="auto"/>
          <w:sz w:val="22"/>
          <w:szCs w:val="22"/>
        </w:rPr>
        <w:t xml:space="preserve"> </w:t>
      </w:r>
      <w:r w:rsidRPr="00D1120C">
        <w:rPr>
          <w:rFonts w:asciiTheme="minorHAnsi" w:hAnsiTheme="minorHAnsi" w:cstheme="minorHAnsi"/>
          <w:bCs/>
          <w:color w:val="auto"/>
          <w:sz w:val="22"/>
          <w:szCs w:val="22"/>
        </w:rPr>
        <w:t>et entre le milieu rural et urbain.</w:t>
      </w:r>
    </w:p>
    <w:p w14:paraId="30EBE461" w14:textId="77777777" w:rsidR="008F2269" w:rsidRPr="00C71F12" w:rsidRDefault="008F2269" w:rsidP="008F2269">
      <w:pPr>
        <w:pStyle w:val="Default"/>
        <w:spacing w:before="240"/>
        <w:jc w:val="both"/>
        <w:rPr>
          <w:rFonts w:asciiTheme="minorHAnsi" w:hAnsiTheme="minorHAnsi" w:cstheme="minorHAnsi"/>
          <w:bCs/>
          <w:color w:val="auto"/>
          <w:sz w:val="22"/>
          <w:szCs w:val="22"/>
        </w:rPr>
      </w:pPr>
      <w:r w:rsidRPr="00D1120C">
        <w:rPr>
          <w:rFonts w:asciiTheme="minorHAnsi" w:hAnsiTheme="minorHAnsi" w:cstheme="minorHAnsi"/>
          <w:bCs/>
          <w:color w:val="auto"/>
          <w:sz w:val="22"/>
          <w:szCs w:val="22"/>
        </w:rPr>
        <w:t>Pour les plus de 100 villes et localités périphériques raccordées gérées par la</w:t>
      </w:r>
      <w:r>
        <w:rPr>
          <w:rFonts w:asciiTheme="minorHAnsi" w:hAnsiTheme="minorHAnsi" w:cstheme="minorHAnsi"/>
          <w:bCs/>
          <w:color w:val="auto"/>
          <w:sz w:val="22"/>
          <w:szCs w:val="22"/>
        </w:rPr>
        <w:t xml:space="preserve"> </w:t>
      </w:r>
      <w:r w:rsidRPr="00D1120C">
        <w:rPr>
          <w:rFonts w:asciiTheme="minorHAnsi" w:hAnsiTheme="minorHAnsi" w:cstheme="minorHAnsi"/>
          <w:bCs/>
          <w:color w:val="auto"/>
          <w:sz w:val="22"/>
          <w:szCs w:val="22"/>
        </w:rPr>
        <w:t>Société Nationale d’Eau (SNDE) en milieu urbain, malgré les améliorations dans la</w:t>
      </w:r>
      <w:r>
        <w:rPr>
          <w:rFonts w:asciiTheme="minorHAnsi" w:hAnsiTheme="minorHAnsi" w:cstheme="minorHAnsi"/>
          <w:bCs/>
          <w:color w:val="auto"/>
          <w:sz w:val="22"/>
          <w:szCs w:val="22"/>
        </w:rPr>
        <w:t xml:space="preserve"> </w:t>
      </w:r>
      <w:r w:rsidRPr="00D1120C">
        <w:rPr>
          <w:rFonts w:asciiTheme="minorHAnsi" w:hAnsiTheme="minorHAnsi" w:cstheme="minorHAnsi"/>
          <w:bCs/>
          <w:color w:val="auto"/>
          <w:sz w:val="22"/>
          <w:szCs w:val="22"/>
        </w:rPr>
        <w:t>capitale, les pertes techniques commerciales, fragilisent le développement du</w:t>
      </w:r>
      <w:r>
        <w:rPr>
          <w:rFonts w:asciiTheme="minorHAnsi" w:hAnsiTheme="minorHAnsi" w:cstheme="minorHAnsi"/>
          <w:bCs/>
          <w:color w:val="auto"/>
          <w:sz w:val="22"/>
          <w:szCs w:val="22"/>
        </w:rPr>
        <w:t xml:space="preserve"> </w:t>
      </w:r>
      <w:r w:rsidRPr="00D1120C">
        <w:rPr>
          <w:rFonts w:asciiTheme="minorHAnsi" w:hAnsiTheme="minorHAnsi" w:cstheme="minorHAnsi"/>
          <w:bCs/>
          <w:color w:val="auto"/>
          <w:sz w:val="22"/>
          <w:szCs w:val="22"/>
        </w:rPr>
        <w:t>service de l’eau. Par ailleurs, la SNDE est productrice d’eau en milieu rural en tant</w:t>
      </w:r>
      <w:r>
        <w:rPr>
          <w:rFonts w:asciiTheme="minorHAnsi" w:hAnsiTheme="minorHAnsi" w:cstheme="minorHAnsi"/>
          <w:bCs/>
          <w:color w:val="auto"/>
          <w:sz w:val="22"/>
          <w:szCs w:val="22"/>
        </w:rPr>
        <w:t xml:space="preserve"> </w:t>
      </w:r>
      <w:r w:rsidRPr="00D1120C">
        <w:rPr>
          <w:rFonts w:asciiTheme="minorHAnsi" w:hAnsiTheme="minorHAnsi" w:cstheme="minorHAnsi"/>
          <w:bCs/>
          <w:color w:val="auto"/>
          <w:sz w:val="22"/>
          <w:szCs w:val="22"/>
        </w:rPr>
        <w:t>que gestionnaire des stations de pompage et traitement sur le fleuve Sénégal, à</w:t>
      </w:r>
      <w:r>
        <w:rPr>
          <w:rFonts w:asciiTheme="minorHAnsi" w:hAnsiTheme="minorHAnsi" w:cstheme="minorHAnsi"/>
          <w:bCs/>
          <w:color w:val="auto"/>
          <w:sz w:val="22"/>
          <w:szCs w:val="22"/>
        </w:rPr>
        <w:t xml:space="preserve"> </w:t>
      </w:r>
      <w:r w:rsidRPr="00D1120C">
        <w:rPr>
          <w:rFonts w:asciiTheme="minorHAnsi" w:hAnsiTheme="minorHAnsi" w:cstheme="minorHAnsi"/>
          <w:bCs/>
          <w:color w:val="auto"/>
          <w:sz w:val="22"/>
          <w:szCs w:val="22"/>
        </w:rPr>
        <w:t>partir du barrage de Foum Gleita et des eaux captées du Dhar de Néma</w:t>
      </w:r>
      <w:r>
        <w:rPr>
          <w:rFonts w:asciiTheme="minorHAnsi" w:hAnsiTheme="minorHAnsi" w:cstheme="minorHAnsi"/>
          <w:bCs/>
          <w:color w:val="auto"/>
          <w:sz w:val="22"/>
          <w:szCs w:val="22"/>
        </w:rPr>
        <w:t xml:space="preserve"> (eaux souterraines)</w:t>
      </w:r>
      <w:r w:rsidRPr="00D1120C">
        <w:rPr>
          <w:rFonts w:asciiTheme="minorHAnsi" w:hAnsiTheme="minorHAnsi" w:cstheme="minorHAnsi"/>
          <w:bCs/>
          <w:color w:val="auto"/>
          <w:sz w:val="22"/>
          <w:szCs w:val="22"/>
        </w:rPr>
        <w:t>.</w:t>
      </w:r>
      <w:r>
        <w:rPr>
          <w:rFonts w:asciiTheme="minorHAnsi" w:hAnsiTheme="minorHAnsi" w:cstheme="minorHAnsi"/>
          <w:bCs/>
          <w:color w:val="auto"/>
          <w:sz w:val="22"/>
          <w:szCs w:val="22"/>
        </w:rPr>
        <w:t xml:space="preserve"> </w:t>
      </w:r>
      <w:r w:rsidRPr="00C71F12">
        <w:rPr>
          <w:rFonts w:asciiTheme="minorHAnsi" w:hAnsiTheme="minorHAnsi" w:cstheme="minorHAnsi"/>
          <w:bCs/>
          <w:color w:val="auto"/>
          <w:sz w:val="22"/>
          <w:szCs w:val="22"/>
        </w:rPr>
        <w:t>Les eaux souterraines alimentent l’essentiel des localités du milieu rural et semi-urbain et la majorité des capitales régionales, pour 20% des prélèvements, contre 70% pour l’agriculture essentiellement en zone oasienne, et 9% pour l’élevage. L’industrie minière représente environ 1% des prélèvements des eaux souterraines.</w:t>
      </w:r>
    </w:p>
    <w:p w14:paraId="64A52C83" w14:textId="77777777" w:rsidR="008F2269" w:rsidRPr="00C71F12" w:rsidRDefault="008F2269" w:rsidP="008F2269">
      <w:pPr>
        <w:pStyle w:val="Default"/>
        <w:spacing w:before="240" w:after="16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La surface agricole exploitée à partir des barrages et digues était d’environ 16 000 ha en 2012 soit 27% du potentiel estimé à environ 60 000 ha. Les prélèvements actuels d’une centaine de millions de m</w:t>
      </w:r>
      <w:r w:rsidRPr="00FF79E1">
        <w:rPr>
          <w:rFonts w:asciiTheme="minorHAnsi" w:hAnsiTheme="minorHAnsi" w:cstheme="minorHAnsi"/>
          <w:bCs/>
          <w:color w:val="auto"/>
          <w:sz w:val="22"/>
          <w:szCs w:val="22"/>
          <w:vertAlign w:val="superscript"/>
        </w:rPr>
        <w:t>3</w:t>
      </w:r>
      <w:r w:rsidRPr="00C71F12">
        <w:rPr>
          <w:rFonts w:asciiTheme="minorHAnsi" w:hAnsiTheme="minorHAnsi" w:cstheme="minorHAnsi"/>
          <w:bCs/>
          <w:color w:val="auto"/>
          <w:sz w:val="22"/>
          <w:szCs w:val="22"/>
        </w:rPr>
        <w:t xml:space="preserve"> d’eau par an pour la culture du mil, sorgho et maïs, représentent 12% du volume mobilisable estimé à 850 millions de m</w:t>
      </w:r>
      <w:r w:rsidRPr="00FF79E1">
        <w:rPr>
          <w:rFonts w:asciiTheme="minorHAnsi" w:hAnsiTheme="minorHAnsi" w:cstheme="minorHAnsi"/>
          <w:bCs/>
          <w:color w:val="auto"/>
          <w:sz w:val="22"/>
          <w:szCs w:val="22"/>
          <w:vertAlign w:val="superscript"/>
        </w:rPr>
        <w:t>3</w:t>
      </w:r>
      <w:r w:rsidRPr="00C71F12">
        <w:rPr>
          <w:rFonts w:asciiTheme="minorHAnsi" w:hAnsiTheme="minorHAnsi" w:cstheme="minorHAnsi"/>
          <w:bCs/>
          <w:color w:val="auto"/>
          <w:sz w:val="22"/>
          <w:szCs w:val="22"/>
        </w:rPr>
        <w:t>. Le seul projet d’irrigation important à partir des eaux de barrages concerne le projet sucrier actuellement mis en œuvre à partir de la retenue de Foum Gleïta prévu sur environ 17 000 ha. Enfin, les systèmes oasiens</w:t>
      </w:r>
      <w:r>
        <w:rPr>
          <w:rFonts w:asciiTheme="minorHAnsi" w:hAnsiTheme="minorHAnsi" w:cstheme="minorHAnsi"/>
          <w:bCs/>
          <w:color w:val="auto"/>
          <w:sz w:val="22"/>
          <w:szCs w:val="22"/>
        </w:rPr>
        <w:t xml:space="preserve"> (eaux souterraines)</w:t>
      </w:r>
      <w:r w:rsidRPr="00C71F12">
        <w:rPr>
          <w:rFonts w:asciiTheme="minorHAnsi" w:hAnsiTheme="minorHAnsi" w:cstheme="minorHAnsi"/>
          <w:bCs/>
          <w:color w:val="auto"/>
          <w:sz w:val="22"/>
          <w:szCs w:val="22"/>
        </w:rPr>
        <w:t xml:space="preserve"> exploitent environ 5.500 ha de palmier dattier en association avec des cultures maraîchères et fourragères, pour un potentiel estimé à 16 000 ha.</w:t>
      </w:r>
    </w:p>
    <w:p w14:paraId="2FA97E2C" w14:textId="77777777" w:rsidR="008F2269" w:rsidRPr="00C71F12" w:rsidRDefault="008F2269" w:rsidP="008F2269">
      <w:pPr>
        <w:pStyle w:val="Default"/>
        <w:spacing w:before="240" w:after="16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Les ressources en eau du fleuve Sénégal seraient exploitables sur environ 62 000 hectares aménagés pour l’agriculture irriguée, dont seulement 22 000 seraient actuellement exploités, soit 16% du potentiel exploitable estimé à 135 000 ha. Les prélèvements actuels ne représenteraient que 20% de la ressource potentielle exploitable par la Mauritanie à partir du fleuve à l’horizon 2025 selon l’OMVS.</w:t>
      </w:r>
    </w:p>
    <w:p w14:paraId="145A3CFF" w14:textId="77777777" w:rsidR="008F2269" w:rsidRPr="00C71F12" w:rsidRDefault="008F2269" w:rsidP="008F2269">
      <w:pPr>
        <w:pStyle w:val="Default"/>
        <w:spacing w:before="240" w:after="16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 xml:space="preserve">Le cheptel mauritanien est estimé à 1,6 million de bovins, 16 millions d’ovins et caprins, et 200 000 </w:t>
      </w:r>
      <w:r>
        <w:rPr>
          <w:rFonts w:asciiTheme="minorHAnsi" w:hAnsiTheme="minorHAnsi" w:cstheme="minorHAnsi"/>
          <w:bCs/>
          <w:color w:val="auto"/>
          <w:sz w:val="22"/>
          <w:szCs w:val="22"/>
        </w:rPr>
        <w:t>a</w:t>
      </w:r>
      <w:r w:rsidRPr="00C71F12">
        <w:rPr>
          <w:rFonts w:asciiTheme="minorHAnsi" w:hAnsiTheme="minorHAnsi" w:cstheme="minorHAnsi"/>
          <w:bCs/>
          <w:color w:val="auto"/>
          <w:sz w:val="22"/>
          <w:szCs w:val="22"/>
        </w:rPr>
        <w:t>sins et équins, cantonnés essentiellement sur le tiers sud du pays, et 1,4 million de camelins nomadisant dans tout le pays. Les ressources en eau de surface, en particulier le fleuve Sénégal et les mares temporaires ou permanentes aménagées ou non constituent environ 75% des sources d’approvisionnement en eau du cheptel, devant les eaux souterraines. Il existe un nombre limité d’ouvrages hydrauliques spécifiquement pastoraux, le cheptel partageant le plus souvent les points d’eau pastoraux avec les usages humains.</w:t>
      </w:r>
    </w:p>
    <w:p w14:paraId="64E2C266" w14:textId="77777777" w:rsidR="008F2269" w:rsidRPr="00C71F12" w:rsidRDefault="008F2269" w:rsidP="008F2269">
      <w:pPr>
        <w:pStyle w:val="Default"/>
        <w:spacing w:before="120" w:after="12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L’urbanisation désordonnée et sans considération de la disponibilité des ressources en eau a eu pour effet la multiplication de la demande d’infrastructures d’eau potable, souvent satisfaite sans prise en compte des critères de densité de la population et de viabilité des infrastructures. Il en a résulté la multiplication, notamment durant les années 1990, de forages et de réseaux d’adduction d’eau en</w:t>
      </w:r>
      <w:r w:rsidRPr="00BE7A39">
        <w:rPr>
          <w:rFonts w:eastAsia="Verdana" w:cstheme="minorHAnsi"/>
        </w:rPr>
        <w:t xml:space="preserve"> </w:t>
      </w:r>
      <w:r w:rsidRPr="00C71F12">
        <w:rPr>
          <w:rFonts w:asciiTheme="minorHAnsi" w:hAnsiTheme="minorHAnsi" w:cstheme="minorHAnsi"/>
          <w:bCs/>
          <w:color w:val="auto"/>
          <w:sz w:val="22"/>
          <w:szCs w:val="22"/>
        </w:rPr>
        <w:t>zones semi-urbaine et rurale. La non-prise en compte des charges récurrentes de l’entretien des ouvrages d’exhaure et des réseaux de distribution engendra souvent leur arrêt au bout de quelques années et la nécessité d’investir dans de nouveaux ouvrages et réseaux.</w:t>
      </w:r>
    </w:p>
    <w:p w14:paraId="6A48B2FF" w14:textId="77777777" w:rsidR="008F2269" w:rsidRPr="00C71F12" w:rsidRDefault="008F2269" w:rsidP="008F2269">
      <w:pPr>
        <w:pStyle w:val="Default"/>
        <w:spacing w:before="240" w:after="16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Selon la Banque Mondiale, la raréfaction de l’eau exacerbée par le changement climatique pourrait amener certaines régions à accuser un recul du PIB de l’ordre de 6 %.</w:t>
      </w:r>
    </w:p>
    <w:p w14:paraId="0207C8B7" w14:textId="77777777" w:rsidR="008F2269" w:rsidRPr="00C71F12" w:rsidRDefault="008F2269" w:rsidP="008F2269">
      <w:pPr>
        <w:pStyle w:val="Default"/>
        <w:spacing w:before="120" w:after="12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La promotion de l’assainissement individuel en milieu rural et semi-urbain est portée par l’Assainissement Total Piloté par la Communauté (ATPC), qui a permis depuis 2009 d’éradiquer la défécation à l’air libre dans environ 2 500 localités des 7 500 éligibles, représentant près de 930 000 personnes. Cependant, le pourcentage de ménages déféquant à l’air libre reste élevé à 35 % en 2014 selon les Enquêtes Permanentes sur les Conditions de Vie (EPCV), dont 58 % en milieu rural et 12 % en milieu urbain. Le taux d’équipement en latrines amélioré des ménages n’est pas connu précisément, mais devrait se situer autour de 45%, alors qu’il était prévu à 52% en 2015 dans la SDEA.</w:t>
      </w:r>
    </w:p>
    <w:p w14:paraId="7FABD36B" w14:textId="77777777" w:rsidR="008F2269" w:rsidRPr="00C71F12" w:rsidRDefault="008F2269" w:rsidP="008F2269">
      <w:pPr>
        <w:pStyle w:val="Default"/>
        <w:spacing w:before="120" w:after="12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En termes d’assainissement autonome public, le taux d’équipement moyen des établissements de soins en milieu rural et semi-urbain s’établit à 47% en 2015 et à 33% pour les écoles (dont 23% en milieu rural et 67% en milieu urbain et péri-urbain). Par ailleurs, la gestion informelle et non contrôlée des boues de vidange des fosses est généralisée, à part l’action des camions vidangeurs de l’Office National de l’Assainissement (ONAS) dans la capitale, et il n’existe aucune station de dépotage contrôlée des boues de vidange dans le pays en 2015.</w:t>
      </w:r>
    </w:p>
    <w:p w14:paraId="7DDA9FE3" w14:textId="77777777" w:rsidR="008F2269" w:rsidRPr="000F2AF3" w:rsidRDefault="008F2269" w:rsidP="008F2269">
      <w:pPr>
        <w:pStyle w:val="Titre2"/>
        <w:numPr>
          <w:ilvl w:val="1"/>
          <w:numId w:val="104"/>
        </w:numPr>
        <w:ind w:left="426"/>
        <w:rPr>
          <w:rFonts w:asciiTheme="minorHAnsi" w:eastAsiaTheme="minorHAnsi" w:hAnsiTheme="minorHAnsi" w:cstheme="minorHAnsi"/>
          <w:bCs/>
          <w:color w:val="auto"/>
          <w:sz w:val="22"/>
          <w:szCs w:val="22"/>
        </w:rPr>
      </w:pPr>
      <w:bookmarkStart w:id="105" w:name="_Toc57057432"/>
      <w:bookmarkStart w:id="106" w:name="_Toc180318673"/>
      <w:bookmarkStart w:id="107" w:name="_Toc47874630"/>
      <w:bookmarkStart w:id="108" w:name="_Toc51930344"/>
      <w:r w:rsidRPr="00BE7A39">
        <w:rPr>
          <w:rFonts w:asciiTheme="minorHAnsi" w:eastAsiaTheme="minorHAnsi" w:hAnsiTheme="minorHAnsi" w:cstheme="minorHAnsi"/>
          <w:color w:val="auto"/>
          <w:sz w:val="22"/>
          <w:szCs w:val="22"/>
        </w:rPr>
        <w:t xml:space="preserve">Les </w:t>
      </w:r>
      <w:r>
        <w:rPr>
          <w:rFonts w:asciiTheme="minorHAnsi" w:eastAsiaTheme="minorHAnsi" w:hAnsiTheme="minorHAnsi" w:cstheme="minorHAnsi"/>
          <w:color w:val="auto"/>
          <w:sz w:val="22"/>
          <w:szCs w:val="22"/>
        </w:rPr>
        <w:t xml:space="preserve">principaux </w:t>
      </w:r>
      <w:r w:rsidRPr="00BE7A39">
        <w:rPr>
          <w:rFonts w:asciiTheme="minorHAnsi" w:eastAsiaTheme="minorHAnsi" w:hAnsiTheme="minorHAnsi" w:cstheme="minorHAnsi"/>
          <w:color w:val="auto"/>
          <w:sz w:val="22"/>
          <w:szCs w:val="22"/>
        </w:rPr>
        <w:t>instruments politiques de planification et de programmation</w:t>
      </w:r>
      <w:bookmarkEnd w:id="105"/>
      <w:bookmarkEnd w:id="106"/>
    </w:p>
    <w:p w14:paraId="4734CD83" w14:textId="77777777" w:rsidR="008F2269" w:rsidRPr="00477BA5" w:rsidRDefault="008F2269" w:rsidP="008F2269">
      <w:pPr>
        <w:pStyle w:val="Paragraphedeliste"/>
        <w:numPr>
          <w:ilvl w:val="0"/>
          <w:numId w:val="114"/>
        </w:numPr>
        <w:suppressAutoHyphens/>
        <w:autoSpaceDN w:val="0"/>
        <w:spacing w:before="240" w:line="240" w:lineRule="auto"/>
        <w:ind w:left="426"/>
        <w:textAlignment w:val="baseline"/>
        <w:rPr>
          <w:rFonts w:cstheme="minorHAnsi"/>
          <w:b/>
          <w:bCs/>
        </w:rPr>
      </w:pPr>
      <w:r w:rsidRPr="00477BA5">
        <w:rPr>
          <w:rFonts w:cstheme="minorHAnsi"/>
          <w:b/>
          <w:bCs/>
        </w:rPr>
        <w:t>LA SCAP</w:t>
      </w:r>
      <w:r>
        <w:rPr>
          <w:rFonts w:cstheme="minorHAnsi"/>
          <w:b/>
          <w:bCs/>
        </w:rPr>
        <w:t>P</w:t>
      </w:r>
      <w:r w:rsidRPr="00477BA5">
        <w:rPr>
          <w:rFonts w:cstheme="minorHAnsi"/>
          <w:b/>
          <w:bCs/>
        </w:rPr>
        <w:t xml:space="preserve"> </w:t>
      </w:r>
    </w:p>
    <w:p w14:paraId="4FBCF2C8" w14:textId="77777777" w:rsidR="008F2269" w:rsidRPr="00153563" w:rsidRDefault="008F2269" w:rsidP="008F2269">
      <w:pPr>
        <w:pStyle w:val="Default"/>
        <w:spacing w:after="160" w:line="259" w:lineRule="auto"/>
        <w:jc w:val="both"/>
        <w:rPr>
          <w:rFonts w:asciiTheme="minorHAnsi" w:hAnsiTheme="minorHAnsi" w:cstheme="minorHAnsi"/>
          <w:b/>
          <w:bCs/>
          <w:color w:val="auto"/>
          <w:sz w:val="22"/>
          <w:szCs w:val="22"/>
        </w:rPr>
      </w:pPr>
      <w:r w:rsidRPr="00C71F12">
        <w:rPr>
          <w:rFonts w:asciiTheme="minorHAnsi" w:hAnsiTheme="minorHAnsi" w:cstheme="minorHAnsi"/>
          <w:bCs/>
          <w:color w:val="auto"/>
          <w:sz w:val="22"/>
          <w:szCs w:val="22"/>
        </w:rPr>
        <w:t>Au titre des instruments de politique de planification et de programmation</w:t>
      </w:r>
      <w:r w:rsidRPr="00CE27CC">
        <w:rPr>
          <w:rFonts w:asciiTheme="minorHAnsi" w:hAnsiTheme="minorHAnsi" w:cstheme="minorHAnsi"/>
          <w:bCs/>
          <w:color w:val="auto"/>
          <w:sz w:val="22"/>
          <w:szCs w:val="22"/>
        </w:rPr>
        <w:t>,</w:t>
      </w:r>
      <w:r w:rsidRPr="00C71F12">
        <w:rPr>
          <w:rFonts w:asciiTheme="minorHAnsi" w:hAnsiTheme="minorHAnsi" w:cstheme="minorHAnsi"/>
          <w:bCs/>
          <w:color w:val="auto"/>
          <w:sz w:val="22"/>
          <w:szCs w:val="22"/>
        </w:rPr>
        <w:t xml:space="preserve"> il y a lieu de souligner la Stratégie de Croissance Accélérée pour la Prospérité Partagée SCAPP (2016-2030) qui est le principal référentiel de tous les secteurs de développement du pays</w:t>
      </w:r>
      <w:r w:rsidRPr="00153563">
        <w:rPr>
          <w:rFonts w:asciiTheme="minorHAnsi" w:hAnsiTheme="minorHAnsi" w:cstheme="minorHAnsi"/>
          <w:bCs/>
          <w:color w:val="auto"/>
          <w:sz w:val="22"/>
          <w:szCs w:val="22"/>
        </w:rPr>
        <w:t xml:space="preserve">. </w:t>
      </w:r>
      <w:r w:rsidRPr="00153563">
        <w:rPr>
          <w:rFonts w:asciiTheme="minorHAnsi" w:hAnsiTheme="minorHAnsi" w:cstheme="minorHAnsi"/>
          <w:b/>
          <w:bCs/>
          <w:color w:val="auto"/>
          <w:sz w:val="22"/>
          <w:szCs w:val="22"/>
        </w:rPr>
        <w:t>La prise en compte du CC dans cette stratégie est faible car les risques et les menaces et les conséquences des dommages et leurs solutions durables dans le temps ne sont pas pris en compte.</w:t>
      </w:r>
    </w:p>
    <w:p w14:paraId="1EBAB47B" w14:textId="77777777" w:rsidR="008F2269" w:rsidRDefault="008F2269" w:rsidP="008F2269">
      <w:pPr>
        <w:pStyle w:val="Default"/>
        <w:spacing w:after="16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La SCAPP traite de la question des ressources en eau au sein du levier 3 dans le chantier d’une meilleure gouvernance sous l’angle de la politique intégrée d’exploitation des écosystèmes, la préservation et valorisation des ressources et la protection des villes côtières contre les risques d’incursion marine et les inondations.</w:t>
      </w:r>
    </w:p>
    <w:p w14:paraId="7BAA93A5" w14:textId="77777777" w:rsidR="008F2269" w:rsidRDefault="008F2269" w:rsidP="008F2269">
      <w:pPr>
        <w:pStyle w:val="Paragraphedeliste"/>
        <w:numPr>
          <w:ilvl w:val="0"/>
          <w:numId w:val="114"/>
        </w:numPr>
        <w:suppressAutoHyphens/>
        <w:autoSpaceDN w:val="0"/>
        <w:spacing w:before="240" w:line="240" w:lineRule="auto"/>
        <w:ind w:left="426"/>
        <w:textAlignment w:val="baseline"/>
        <w:rPr>
          <w:rFonts w:cstheme="minorHAnsi"/>
          <w:b/>
          <w:bCs/>
        </w:rPr>
      </w:pPr>
      <w:r w:rsidRPr="005D03B0">
        <w:rPr>
          <w:rFonts w:cstheme="minorHAnsi"/>
          <w:b/>
          <w:bCs/>
        </w:rPr>
        <w:t>LA SNADEA HORIZONS 2030</w:t>
      </w:r>
      <w:r w:rsidRPr="00382422">
        <w:rPr>
          <w:rFonts w:cstheme="minorHAnsi"/>
          <w:b/>
          <w:bCs/>
        </w:rPr>
        <w:t xml:space="preserve">  </w:t>
      </w:r>
    </w:p>
    <w:p w14:paraId="59EF0D49" w14:textId="77777777" w:rsidR="008F2269" w:rsidRPr="00153563" w:rsidRDefault="008F2269" w:rsidP="008F2269">
      <w:pPr>
        <w:pStyle w:val="Default"/>
        <w:spacing w:after="160" w:line="259" w:lineRule="auto"/>
        <w:jc w:val="both"/>
        <w:rPr>
          <w:rFonts w:asciiTheme="minorHAnsi" w:hAnsiTheme="minorHAnsi" w:cstheme="minorHAnsi"/>
          <w:b/>
          <w:bCs/>
          <w:color w:val="auto"/>
          <w:sz w:val="22"/>
          <w:szCs w:val="22"/>
        </w:rPr>
      </w:pPr>
      <w:r w:rsidRPr="00153563">
        <w:rPr>
          <w:rFonts w:asciiTheme="minorHAnsi" w:hAnsiTheme="minorHAnsi" w:cstheme="minorHAnsi"/>
          <w:b/>
          <w:bCs/>
          <w:color w:val="auto"/>
          <w:sz w:val="22"/>
          <w:szCs w:val="22"/>
        </w:rPr>
        <w:t xml:space="preserve">La prise en compte du CC dans cette stratégie </w:t>
      </w:r>
      <w:r w:rsidRPr="002135B2">
        <w:rPr>
          <w:rFonts w:asciiTheme="minorHAnsi" w:hAnsiTheme="minorHAnsi" w:cstheme="minorHAnsi"/>
          <w:b/>
          <w:bCs/>
          <w:color w:val="auto"/>
          <w:sz w:val="22"/>
          <w:szCs w:val="22"/>
        </w:rPr>
        <w:t xml:space="preserve">est² </w:t>
      </w:r>
      <w:r w:rsidRPr="00153563">
        <w:rPr>
          <w:rFonts w:asciiTheme="minorHAnsi" w:hAnsiTheme="minorHAnsi" w:cstheme="minorHAnsi"/>
          <w:b/>
          <w:bCs/>
          <w:color w:val="auto"/>
          <w:sz w:val="22"/>
          <w:szCs w:val="22"/>
        </w:rPr>
        <w:t>diluée dans d’autres activités et n’est pas mesurable ainsi les risques et les me</w:t>
      </w:r>
      <w:r>
        <w:rPr>
          <w:rFonts w:asciiTheme="minorHAnsi" w:hAnsiTheme="minorHAnsi" w:cstheme="minorHAnsi"/>
          <w:b/>
          <w:bCs/>
          <w:color w:val="auto"/>
          <w:sz w:val="22"/>
          <w:szCs w:val="22"/>
        </w:rPr>
        <w:t>naces</w:t>
      </w:r>
      <w:r w:rsidRPr="00153563">
        <w:rPr>
          <w:rFonts w:asciiTheme="minorHAnsi" w:hAnsiTheme="minorHAnsi" w:cstheme="minorHAnsi"/>
          <w:b/>
          <w:bCs/>
          <w:color w:val="auto"/>
          <w:sz w:val="22"/>
          <w:szCs w:val="22"/>
        </w:rPr>
        <w:t>, les conséquences des dommages et leurs solutions durable</w:t>
      </w:r>
      <w:r>
        <w:rPr>
          <w:rFonts w:asciiTheme="minorHAnsi" w:hAnsiTheme="minorHAnsi" w:cstheme="minorHAnsi"/>
          <w:b/>
          <w:bCs/>
          <w:color w:val="auto"/>
          <w:sz w:val="22"/>
          <w:szCs w:val="22"/>
        </w:rPr>
        <w:t>s</w:t>
      </w:r>
      <w:r w:rsidRPr="00153563">
        <w:rPr>
          <w:rFonts w:asciiTheme="minorHAnsi" w:hAnsiTheme="minorHAnsi" w:cstheme="minorHAnsi"/>
          <w:b/>
          <w:bCs/>
          <w:color w:val="auto"/>
          <w:sz w:val="22"/>
          <w:szCs w:val="22"/>
        </w:rPr>
        <w:t xml:space="preserve"> dans le temps ne sont pas pris en compte.</w:t>
      </w:r>
    </w:p>
    <w:p w14:paraId="42DD9C89" w14:textId="77777777" w:rsidR="008F2269" w:rsidRPr="00153563" w:rsidRDefault="008F2269" w:rsidP="008F2269">
      <w:pPr>
        <w:jc w:val="both"/>
        <w:rPr>
          <w:rFonts w:cstheme="minorHAnsi"/>
        </w:rPr>
      </w:pPr>
      <w:r w:rsidRPr="00153563">
        <w:rPr>
          <w:rFonts w:cstheme="minorHAnsi"/>
          <w:b/>
          <w:bCs/>
        </w:rPr>
        <w:t>Si tel était le cas, la présente crise de l’eau potable et l’évacuation des eaux usées pluviale</w:t>
      </w:r>
      <w:r>
        <w:rPr>
          <w:rFonts w:cstheme="minorHAnsi"/>
          <w:b/>
          <w:bCs/>
        </w:rPr>
        <w:t>s</w:t>
      </w:r>
      <w:r w:rsidRPr="00153563">
        <w:rPr>
          <w:rFonts w:cstheme="minorHAnsi"/>
          <w:b/>
          <w:bCs/>
        </w:rPr>
        <w:t xml:space="preserve"> ne se poseraient pas dans toutes les Wilayas de façon durable en 2024 notamment dans la Wilaya de Nouakchott ainsi que les délestages. </w:t>
      </w:r>
    </w:p>
    <w:p w14:paraId="4ACB06A4" w14:textId="77777777" w:rsidR="008F2269" w:rsidRPr="00866AB2" w:rsidRDefault="008F2269" w:rsidP="008F2269">
      <w:pPr>
        <w:rPr>
          <w:rFonts w:cstheme="minorHAnsi"/>
        </w:rPr>
      </w:pPr>
      <w:r>
        <w:rPr>
          <w:rFonts w:cstheme="minorHAnsi"/>
          <w:b/>
        </w:rPr>
        <w:t xml:space="preserve">3.3. </w:t>
      </w:r>
      <w:r w:rsidRPr="00866AB2">
        <w:rPr>
          <w:rFonts w:cstheme="minorHAnsi"/>
          <w:b/>
        </w:rPr>
        <w:t xml:space="preserve"> </w:t>
      </w:r>
      <w:bookmarkStart w:id="109" w:name="_Toc57057433"/>
      <w:bookmarkEnd w:id="107"/>
      <w:bookmarkEnd w:id="108"/>
      <w:r w:rsidRPr="00866AB2">
        <w:rPr>
          <w:rFonts w:cstheme="minorHAnsi"/>
          <w:b/>
        </w:rPr>
        <w:t>Le cadre normatif et institutionnel</w:t>
      </w:r>
      <w:bookmarkEnd w:id="109"/>
      <w:r w:rsidRPr="00866AB2">
        <w:rPr>
          <w:rFonts w:cstheme="minorHAnsi"/>
          <w:b/>
        </w:rPr>
        <w:t xml:space="preserve">  </w:t>
      </w:r>
    </w:p>
    <w:p w14:paraId="69CA975E" w14:textId="77777777" w:rsidR="008F2269" w:rsidRDefault="008F2269" w:rsidP="008F2269">
      <w:pPr>
        <w:pStyle w:val="Default"/>
        <w:spacing w:before="120" w:after="120"/>
        <w:jc w:val="both"/>
        <w:rPr>
          <w:rFonts w:asciiTheme="minorHAnsi" w:hAnsiTheme="minorHAnsi" w:cstheme="minorHAnsi"/>
          <w:bCs/>
          <w:color w:val="auto"/>
          <w:sz w:val="22"/>
          <w:szCs w:val="22"/>
        </w:rPr>
      </w:pPr>
      <w:r w:rsidRPr="001B562E">
        <w:rPr>
          <w:rFonts w:asciiTheme="minorHAnsi" w:hAnsiTheme="minorHAnsi" w:cstheme="minorHAnsi"/>
          <w:bCs/>
          <w:color w:val="auto"/>
          <w:sz w:val="22"/>
          <w:szCs w:val="22"/>
        </w:rPr>
        <w:t>Le Ministère de l’Hydraulique et de l’Assainissement (MHA) est le principal acteur</w:t>
      </w:r>
      <w:r>
        <w:rPr>
          <w:rFonts w:asciiTheme="minorHAnsi" w:hAnsiTheme="minorHAnsi" w:cstheme="minorHAnsi"/>
          <w:bCs/>
          <w:color w:val="auto"/>
          <w:sz w:val="22"/>
          <w:szCs w:val="22"/>
        </w:rPr>
        <w:t xml:space="preserve"> </w:t>
      </w:r>
      <w:r w:rsidRPr="001B562E">
        <w:rPr>
          <w:rFonts w:asciiTheme="minorHAnsi" w:hAnsiTheme="minorHAnsi" w:cstheme="minorHAnsi"/>
          <w:bCs/>
          <w:color w:val="auto"/>
          <w:sz w:val="22"/>
          <w:szCs w:val="22"/>
        </w:rPr>
        <w:t>institutionnel du secteur. Il est appuyé par ses Directions Nationales techniques</w:t>
      </w:r>
      <w:r>
        <w:rPr>
          <w:rFonts w:asciiTheme="minorHAnsi" w:hAnsiTheme="minorHAnsi" w:cstheme="minorHAnsi"/>
          <w:bCs/>
          <w:color w:val="auto"/>
          <w:sz w:val="22"/>
          <w:szCs w:val="22"/>
        </w:rPr>
        <w:t xml:space="preserve"> :  la </w:t>
      </w:r>
      <w:r w:rsidRPr="001B562E">
        <w:rPr>
          <w:rFonts w:asciiTheme="minorHAnsi" w:hAnsiTheme="minorHAnsi" w:cstheme="minorHAnsi"/>
          <w:bCs/>
          <w:color w:val="auto"/>
          <w:sz w:val="22"/>
          <w:szCs w:val="22"/>
        </w:rPr>
        <w:t xml:space="preserve">Direction de l’Hydraulique </w:t>
      </w:r>
      <w:r>
        <w:rPr>
          <w:rFonts w:asciiTheme="minorHAnsi" w:hAnsiTheme="minorHAnsi" w:cstheme="minorHAnsi"/>
          <w:bCs/>
          <w:color w:val="auto"/>
          <w:sz w:val="22"/>
          <w:szCs w:val="22"/>
        </w:rPr>
        <w:t>(</w:t>
      </w:r>
      <w:r w:rsidRPr="001B562E">
        <w:rPr>
          <w:rFonts w:asciiTheme="minorHAnsi" w:hAnsiTheme="minorHAnsi" w:cstheme="minorHAnsi"/>
          <w:bCs/>
          <w:color w:val="auto"/>
          <w:sz w:val="22"/>
          <w:szCs w:val="22"/>
        </w:rPr>
        <w:t>DH</w:t>
      </w:r>
      <w:r>
        <w:rPr>
          <w:rFonts w:asciiTheme="minorHAnsi" w:hAnsiTheme="minorHAnsi" w:cstheme="minorHAnsi"/>
          <w:bCs/>
          <w:color w:val="auto"/>
          <w:sz w:val="22"/>
          <w:szCs w:val="22"/>
        </w:rPr>
        <w:t xml:space="preserve">), la </w:t>
      </w:r>
      <w:r w:rsidRPr="001B562E">
        <w:rPr>
          <w:rFonts w:asciiTheme="minorHAnsi" w:hAnsiTheme="minorHAnsi" w:cstheme="minorHAnsi"/>
          <w:bCs/>
          <w:color w:val="auto"/>
          <w:sz w:val="22"/>
          <w:szCs w:val="22"/>
        </w:rPr>
        <w:t>Direction d</w:t>
      </w:r>
      <w:r>
        <w:rPr>
          <w:rFonts w:asciiTheme="minorHAnsi" w:hAnsiTheme="minorHAnsi" w:cstheme="minorHAnsi"/>
          <w:bCs/>
          <w:color w:val="auto"/>
          <w:sz w:val="22"/>
          <w:szCs w:val="22"/>
        </w:rPr>
        <w:t>e l’Hydrologie et des barrages (</w:t>
      </w:r>
      <w:r w:rsidRPr="001B562E">
        <w:rPr>
          <w:rFonts w:asciiTheme="minorHAnsi" w:hAnsiTheme="minorHAnsi" w:cstheme="minorHAnsi"/>
          <w:bCs/>
          <w:color w:val="auto"/>
          <w:sz w:val="22"/>
          <w:szCs w:val="22"/>
        </w:rPr>
        <w:t>DHB</w:t>
      </w:r>
      <w:r>
        <w:rPr>
          <w:rFonts w:asciiTheme="minorHAnsi" w:hAnsiTheme="minorHAnsi" w:cstheme="minorHAnsi"/>
          <w:bCs/>
          <w:color w:val="auto"/>
          <w:sz w:val="22"/>
          <w:szCs w:val="22"/>
        </w:rPr>
        <w:t>),</w:t>
      </w:r>
      <w:r w:rsidRPr="001B562E">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la Direction de l’Assainissement (</w:t>
      </w:r>
      <w:r w:rsidRPr="001B562E">
        <w:rPr>
          <w:rFonts w:asciiTheme="minorHAnsi" w:hAnsiTheme="minorHAnsi" w:cstheme="minorHAnsi"/>
          <w:bCs/>
          <w:color w:val="auto"/>
          <w:sz w:val="22"/>
          <w:szCs w:val="22"/>
        </w:rPr>
        <w:t>DA</w:t>
      </w:r>
      <w:r>
        <w:rPr>
          <w:rFonts w:asciiTheme="minorHAnsi" w:hAnsiTheme="minorHAnsi" w:cstheme="minorHAnsi"/>
          <w:bCs/>
          <w:color w:val="auto"/>
          <w:sz w:val="22"/>
          <w:szCs w:val="22"/>
        </w:rPr>
        <w:t>),</w:t>
      </w:r>
      <w:r w:rsidRPr="001B562E">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l</w:t>
      </w:r>
      <w:r w:rsidRPr="001B562E">
        <w:rPr>
          <w:rFonts w:asciiTheme="minorHAnsi" w:hAnsiTheme="minorHAnsi" w:cstheme="minorHAnsi"/>
          <w:bCs/>
          <w:color w:val="auto"/>
          <w:sz w:val="22"/>
          <w:szCs w:val="22"/>
        </w:rPr>
        <w:t>a Direction de la Planification et de la</w:t>
      </w:r>
      <w:r>
        <w:rPr>
          <w:rFonts w:asciiTheme="minorHAnsi" w:hAnsiTheme="minorHAnsi" w:cstheme="minorHAnsi"/>
          <w:bCs/>
          <w:color w:val="auto"/>
          <w:sz w:val="22"/>
          <w:szCs w:val="22"/>
        </w:rPr>
        <w:t xml:space="preserve"> Coopération (</w:t>
      </w:r>
      <w:r w:rsidRPr="001B562E">
        <w:rPr>
          <w:rFonts w:asciiTheme="minorHAnsi" w:hAnsiTheme="minorHAnsi" w:cstheme="minorHAnsi"/>
          <w:bCs/>
          <w:color w:val="auto"/>
          <w:sz w:val="22"/>
          <w:szCs w:val="22"/>
        </w:rPr>
        <w:t>DPC</w:t>
      </w:r>
      <w:r>
        <w:rPr>
          <w:rFonts w:asciiTheme="minorHAnsi" w:hAnsiTheme="minorHAnsi" w:cstheme="minorHAnsi"/>
          <w:bCs/>
          <w:color w:val="auto"/>
          <w:sz w:val="22"/>
          <w:szCs w:val="22"/>
        </w:rPr>
        <w:t>)</w:t>
      </w:r>
      <w:r w:rsidRPr="001B562E">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l</w:t>
      </w:r>
      <w:r w:rsidRPr="001B562E">
        <w:rPr>
          <w:rFonts w:asciiTheme="minorHAnsi" w:hAnsiTheme="minorHAnsi" w:cstheme="minorHAnsi"/>
          <w:bCs/>
          <w:color w:val="auto"/>
          <w:sz w:val="22"/>
          <w:szCs w:val="22"/>
        </w:rPr>
        <w:t xml:space="preserve">a Direction en charge du </w:t>
      </w:r>
      <w:r>
        <w:rPr>
          <w:rFonts w:asciiTheme="minorHAnsi" w:hAnsiTheme="minorHAnsi" w:cstheme="minorHAnsi"/>
          <w:bCs/>
          <w:color w:val="auto"/>
          <w:sz w:val="22"/>
          <w:szCs w:val="22"/>
        </w:rPr>
        <w:t>C</w:t>
      </w:r>
      <w:r w:rsidRPr="001B562E">
        <w:rPr>
          <w:rFonts w:asciiTheme="minorHAnsi" w:hAnsiTheme="minorHAnsi" w:cstheme="minorHAnsi"/>
          <w:bCs/>
          <w:color w:val="auto"/>
          <w:sz w:val="22"/>
          <w:szCs w:val="22"/>
        </w:rPr>
        <w:t xml:space="preserve">ontrôle et du </w:t>
      </w:r>
      <w:r>
        <w:rPr>
          <w:rFonts w:asciiTheme="minorHAnsi" w:hAnsiTheme="minorHAnsi" w:cstheme="minorHAnsi"/>
          <w:bCs/>
          <w:color w:val="auto"/>
          <w:sz w:val="22"/>
          <w:szCs w:val="22"/>
        </w:rPr>
        <w:t>Suivi (</w:t>
      </w:r>
      <w:r w:rsidRPr="001B562E">
        <w:rPr>
          <w:rFonts w:asciiTheme="minorHAnsi" w:hAnsiTheme="minorHAnsi" w:cstheme="minorHAnsi"/>
          <w:bCs/>
          <w:color w:val="auto"/>
          <w:sz w:val="22"/>
          <w:szCs w:val="22"/>
        </w:rPr>
        <w:t>DCS</w:t>
      </w:r>
      <w:r>
        <w:rPr>
          <w:rFonts w:asciiTheme="minorHAnsi" w:hAnsiTheme="minorHAnsi" w:cstheme="minorHAnsi"/>
          <w:bCs/>
          <w:color w:val="auto"/>
          <w:sz w:val="22"/>
          <w:szCs w:val="22"/>
        </w:rPr>
        <w:t>)</w:t>
      </w:r>
      <w:r w:rsidRPr="001B562E">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l</w:t>
      </w:r>
      <w:r w:rsidRPr="001B562E">
        <w:rPr>
          <w:rFonts w:asciiTheme="minorHAnsi" w:hAnsiTheme="minorHAnsi" w:cstheme="minorHAnsi"/>
          <w:bCs/>
          <w:color w:val="auto"/>
          <w:sz w:val="22"/>
          <w:szCs w:val="22"/>
        </w:rPr>
        <w:t>a</w:t>
      </w:r>
      <w:r>
        <w:rPr>
          <w:rFonts w:asciiTheme="minorHAnsi" w:hAnsiTheme="minorHAnsi" w:cstheme="minorHAnsi"/>
          <w:bCs/>
          <w:color w:val="auto"/>
          <w:sz w:val="22"/>
          <w:szCs w:val="22"/>
        </w:rPr>
        <w:t xml:space="preserve"> </w:t>
      </w:r>
      <w:r w:rsidRPr="001B562E">
        <w:rPr>
          <w:rFonts w:asciiTheme="minorHAnsi" w:hAnsiTheme="minorHAnsi" w:cstheme="minorHAnsi"/>
          <w:bCs/>
          <w:color w:val="auto"/>
          <w:sz w:val="22"/>
          <w:szCs w:val="22"/>
        </w:rPr>
        <w:t>Direction du Co</w:t>
      </w:r>
      <w:r>
        <w:rPr>
          <w:rFonts w:asciiTheme="minorHAnsi" w:hAnsiTheme="minorHAnsi" w:cstheme="minorHAnsi"/>
          <w:bCs/>
          <w:color w:val="auto"/>
          <w:sz w:val="22"/>
          <w:szCs w:val="22"/>
        </w:rPr>
        <w:t>ntrôle de la Qualité de l’Eau (</w:t>
      </w:r>
      <w:r w:rsidRPr="001B562E">
        <w:rPr>
          <w:rFonts w:asciiTheme="minorHAnsi" w:hAnsiTheme="minorHAnsi" w:cstheme="minorHAnsi"/>
          <w:bCs/>
          <w:color w:val="auto"/>
          <w:sz w:val="22"/>
          <w:szCs w:val="22"/>
        </w:rPr>
        <w:t>DCQE</w:t>
      </w:r>
      <w:r>
        <w:rPr>
          <w:rFonts w:asciiTheme="minorHAnsi" w:hAnsiTheme="minorHAnsi" w:cstheme="minorHAnsi"/>
          <w:bCs/>
          <w:color w:val="auto"/>
          <w:sz w:val="22"/>
          <w:szCs w:val="22"/>
        </w:rPr>
        <w:t>)</w:t>
      </w:r>
      <w:r w:rsidRPr="001B562E">
        <w:rPr>
          <w:rFonts w:asciiTheme="minorHAnsi" w:hAnsiTheme="minorHAnsi" w:cstheme="minorHAnsi"/>
          <w:bCs/>
          <w:color w:val="auto"/>
          <w:sz w:val="22"/>
          <w:szCs w:val="22"/>
        </w:rPr>
        <w:t>, la Direction des Affaires</w:t>
      </w:r>
      <w:r>
        <w:rPr>
          <w:rFonts w:asciiTheme="minorHAnsi" w:hAnsiTheme="minorHAnsi" w:cstheme="minorHAnsi"/>
          <w:bCs/>
          <w:color w:val="auto"/>
          <w:sz w:val="22"/>
          <w:szCs w:val="22"/>
        </w:rPr>
        <w:t xml:space="preserve"> A</w:t>
      </w:r>
      <w:r w:rsidRPr="001B562E">
        <w:rPr>
          <w:rFonts w:asciiTheme="minorHAnsi" w:hAnsiTheme="minorHAnsi" w:cstheme="minorHAnsi"/>
          <w:bCs/>
          <w:color w:val="auto"/>
          <w:sz w:val="22"/>
          <w:szCs w:val="22"/>
        </w:rPr>
        <w:t xml:space="preserve">dministrative et </w:t>
      </w:r>
      <w:r>
        <w:rPr>
          <w:rFonts w:asciiTheme="minorHAnsi" w:hAnsiTheme="minorHAnsi" w:cstheme="minorHAnsi"/>
          <w:bCs/>
          <w:color w:val="auto"/>
          <w:sz w:val="22"/>
          <w:szCs w:val="22"/>
        </w:rPr>
        <w:t>Financière (</w:t>
      </w:r>
      <w:r w:rsidRPr="001B562E">
        <w:rPr>
          <w:rFonts w:asciiTheme="minorHAnsi" w:hAnsiTheme="minorHAnsi" w:cstheme="minorHAnsi"/>
          <w:bCs/>
          <w:color w:val="auto"/>
          <w:sz w:val="22"/>
          <w:szCs w:val="22"/>
        </w:rPr>
        <w:t>DAAF</w:t>
      </w:r>
      <w:r>
        <w:rPr>
          <w:rFonts w:asciiTheme="minorHAnsi" w:hAnsiTheme="minorHAnsi" w:cstheme="minorHAnsi"/>
          <w:bCs/>
          <w:color w:val="auto"/>
          <w:sz w:val="22"/>
          <w:szCs w:val="22"/>
        </w:rPr>
        <w:t>), ses Directions Régionales (</w:t>
      </w:r>
      <w:r w:rsidRPr="001B562E">
        <w:rPr>
          <w:rFonts w:asciiTheme="minorHAnsi" w:hAnsiTheme="minorHAnsi" w:cstheme="minorHAnsi"/>
          <w:bCs/>
          <w:color w:val="auto"/>
          <w:sz w:val="22"/>
          <w:szCs w:val="22"/>
        </w:rPr>
        <w:t>DRHA</w:t>
      </w:r>
      <w:r>
        <w:rPr>
          <w:rFonts w:asciiTheme="minorHAnsi" w:hAnsiTheme="minorHAnsi" w:cstheme="minorHAnsi"/>
          <w:bCs/>
          <w:color w:val="auto"/>
          <w:sz w:val="22"/>
          <w:szCs w:val="22"/>
        </w:rPr>
        <w:t>)</w:t>
      </w:r>
      <w:r w:rsidRPr="001B562E">
        <w:rPr>
          <w:rFonts w:asciiTheme="minorHAnsi" w:hAnsiTheme="minorHAnsi" w:cstheme="minorHAnsi"/>
          <w:bCs/>
          <w:color w:val="auto"/>
          <w:sz w:val="22"/>
          <w:szCs w:val="22"/>
        </w:rPr>
        <w:t>, et les</w:t>
      </w:r>
      <w:r>
        <w:rPr>
          <w:rFonts w:asciiTheme="minorHAnsi" w:hAnsiTheme="minorHAnsi" w:cstheme="minorHAnsi"/>
          <w:bCs/>
          <w:color w:val="auto"/>
          <w:sz w:val="22"/>
          <w:szCs w:val="22"/>
        </w:rPr>
        <w:t xml:space="preserve"> </w:t>
      </w:r>
      <w:r w:rsidRPr="001B562E">
        <w:rPr>
          <w:rFonts w:asciiTheme="minorHAnsi" w:hAnsiTheme="minorHAnsi" w:cstheme="minorHAnsi"/>
          <w:bCs/>
          <w:color w:val="auto"/>
          <w:sz w:val="22"/>
          <w:szCs w:val="22"/>
        </w:rPr>
        <w:t>établissements sous tutelle</w:t>
      </w:r>
      <w:r>
        <w:rPr>
          <w:rFonts w:asciiTheme="minorHAnsi" w:hAnsiTheme="minorHAnsi" w:cstheme="minorHAnsi"/>
          <w:bCs/>
          <w:color w:val="auto"/>
          <w:sz w:val="22"/>
          <w:szCs w:val="22"/>
        </w:rPr>
        <w:t>.</w:t>
      </w:r>
      <w:r w:rsidRPr="001B562E">
        <w:rPr>
          <w:rFonts w:asciiTheme="minorHAnsi" w:hAnsiTheme="minorHAnsi" w:cstheme="minorHAnsi"/>
          <w:bCs/>
          <w:color w:val="auto"/>
          <w:sz w:val="22"/>
          <w:szCs w:val="22"/>
        </w:rPr>
        <w:t xml:space="preserve"> </w:t>
      </w:r>
    </w:p>
    <w:p w14:paraId="1C1DF087" w14:textId="77777777" w:rsidR="008F2269" w:rsidRDefault="008F2269" w:rsidP="008F2269">
      <w:pPr>
        <w:pStyle w:val="Default"/>
        <w:spacing w:before="120" w:after="120"/>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Les organismes sous tutelle ou sous contrat sont : la Société Nationale de l’Eau (SNDE), l’Office Natio</w:t>
      </w:r>
      <w:r>
        <w:rPr>
          <w:rFonts w:asciiTheme="minorHAnsi" w:hAnsiTheme="minorHAnsi" w:cstheme="minorHAnsi"/>
          <w:bCs/>
          <w:color w:val="auto"/>
          <w:sz w:val="22"/>
          <w:szCs w:val="22"/>
        </w:rPr>
        <w:t xml:space="preserve">nal de </w:t>
      </w:r>
      <w:r w:rsidRPr="00C71F12">
        <w:rPr>
          <w:rFonts w:asciiTheme="minorHAnsi" w:hAnsiTheme="minorHAnsi" w:cstheme="minorHAnsi"/>
          <w:bCs/>
          <w:color w:val="auto"/>
          <w:sz w:val="22"/>
          <w:szCs w:val="22"/>
        </w:rPr>
        <w:t xml:space="preserve">l’Assainissement (ONAS), le Centre National des Ressources en Eau (CNRE), la Société </w:t>
      </w:r>
      <w:r>
        <w:rPr>
          <w:rFonts w:asciiTheme="minorHAnsi" w:hAnsiTheme="minorHAnsi" w:cstheme="minorHAnsi"/>
          <w:bCs/>
          <w:color w:val="auto"/>
          <w:sz w:val="22"/>
          <w:szCs w:val="22"/>
        </w:rPr>
        <w:t>Nationale des Forages et Puits (SNFP) et l’Office National</w:t>
      </w:r>
      <w:r w:rsidRPr="00C71F12">
        <w:rPr>
          <w:rFonts w:asciiTheme="minorHAnsi" w:hAnsiTheme="minorHAnsi" w:cstheme="minorHAnsi"/>
          <w:bCs/>
          <w:color w:val="auto"/>
          <w:sz w:val="22"/>
          <w:szCs w:val="22"/>
        </w:rPr>
        <w:t xml:space="preserve"> du Secteur de</w:t>
      </w:r>
      <w:r>
        <w:rPr>
          <w:rFonts w:asciiTheme="minorHAnsi" w:hAnsiTheme="minorHAnsi" w:cstheme="minorHAnsi"/>
          <w:bCs/>
          <w:color w:val="auto"/>
          <w:sz w:val="22"/>
          <w:szCs w:val="22"/>
        </w:rPr>
        <w:t xml:space="preserve"> l’Eau en milieu Rural (ONSER).</w:t>
      </w:r>
    </w:p>
    <w:p w14:paraId="43A13CCA" w14:textId="77777777" w:rsidR="008F2269" w:rsidRPr="00C71F12" w:rsidRDefault="008F2269" w:rsidP="008F2269">
      <w:pPr>
        <w:pStyle w:val="Default"/>
        <w:spacing w:before="120" w:after="12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Le Ministère de l’Environnement et du Développement Durable (MEDD), le Ministère de l’Agriculture</w:t>
      </w:r>
      <w:r>
        <w:rPr>
          <w:rFonts w:asciiTheme="minorHAnsi" w:hAnsiTheme="minorHAnsi" w:cstheme="minorHAnsi"/>
          <w:bCs/>
          <w:color w:val="auto"/>
          <w:sz w:val="22"/>
          <w:szCs w:val="22"/>
        </w:rPr>
        <w:t xml:space="preserve"> et de la Souveraineté Alimentaire</w:t>
      </w:r>
      <w:r w:rsidRPr="00C71F12">
        <w:rPr>
          <w:rFonts w:asciiTheme="minorHAnsi" w:hAnsiTheme="minorHAnsi" w:cstheme="minorHAnsi"/>
          <w:bCs/>
          <w:color w:val="auto"/>
          <w:sz w:val="22"/>
          <w:szCs w:val="22"/>
        </w:rPr>
        <w:t xml:space="preserve"> (MA</w:t>
      </w:r>
      <w:r>
        <w:rPr>
          <w:rFonts w:asciiTheme="minorHAnsi" w:hAnsiTheme="minorHAnsi" w:cstheme="minorHAnsi"/>
          <w:bCs/>
          <w:color w:val="auto"/>
          <w:sz w:val="22"/>
          <w:szCs w:val="22"/>
        </w:rPr>
        <w:t>SA</w:t>
      </w:r>
      <w:r w:rsidRPr="00C71F12">
        <w:rPr>
          <w:rFonts w:asciiTheme="minorHAnsi" w:hAnsiTheme="minorHAnsi" w:cstheme="minorHAnsi"/>
          <w:bCs/>
          <w:color w:val="auto"/>
          <w:sz w:val="22"/>
          <w:szCs w:val="22"/>
        </w:rPr>
        <w:t>), le Ministère de l’Elevage (ME) et le Ministère de la Santé (MS) sont également des acteurs sectoriels importants. Il existe cependant des chevauchements de compétences avec le MHA, notamment pour i) le sous-secteur lié aux barrages (DHB /M</w:t>
      </w:r>
      <w:r>
        <w:rPr>
          <w:rFonts w:asciiTheme="minorHAnsi" w:hAnsiTheme="minorHAnsi" w:cstheme="minorHAnsi"/>
          <w:bCs/>
          <w:color w:val="auto"/>
          <w:sz w:val="22"/>
          <w:szCs w:val="22"/>
        </w:rPr>
        <w:t>H</w:t>
      </w:r>
      <w:r w:rsidRPr="00C71F12">
        <w:rPr>
          <w:rFonts w:asciiTheme="minorHAnsi" w:hAnsiTheme="minorHAnsi" w:cstheme="minorHAnsi"/>
          <w:bCs/>
          <w:color w:val="auto"/>
          <w:sz w:val="22"/>
          <w:szCs w:val="22"/>
        </w:rPr>
        <w:t>A) ; ii) la réalisation d’inventaires, le contrôle qualitatif des ressources en eau et la police de l’eau (MHA / MEDD) ; et iii) pour la gestion domaniale des ouvrages d’hydraulique</w:t>
      </w:r>
      <w:r>
        <w:rPr>
          <w:rFonts w:asciiTheme="minorHAnsi" w:hAnsiTheme="minorHAnsi" w:cstheme="minorHAnsi"/>
          <w:bCs/>
          <w:color w:val="auto"/>
          <w:sz w:val="22"/>
          <w:szCs w:val="22"/>
        </w:rPr>
        <w:t xml:space="preserve">s </w:t>
      </w:r>
      <w:r w:rsidRPr="00C71F12">
        <w:rPr>
          <w:rFonts w:asciiTheme="minorHAnsi" w:hAnsiTheme="minorHAnsi" w:cstheme="minorHAnsi"/>
          <w:bCs/>
          <w:color w:val="auto"/>
          <w:sz w:val="22"/>
          <w:szCs w:val="22"/>
        </w:rPr>
        <w:t>pastorale</w:t>
      </w:r>
      <w:r>
        <w:rPr>
          <w:rFonts w:asciiTheme="minorHAnsi" w:hAnsiTheme="minorHAnsi" w:cstheme="minorHAnsi"/>
          <w:bCs/>
          <w:color w:val="auto"/>
          <w:sz w:val="22"/>
          <w:szCs w:val="22"/>
        </w:rPr>
        <w:t>s</w:t>
      </w:r>
      <w:r w:rsidRPr="00C71F12">
        <w:rPr>
          <w:rFonts w:asciiTheme="minorHAnsi" w:hAnsiTheme="minorHAnsi" w:cstheme="minorHAnsi"/>
          <w:bCs/>
          <w:color w:val="auto"/>
          <w:sz w:val="22"/>
          <w:szCs w:val="22"/>
        </w:rPr>
        <w:t xml:space="preserve"> entre le ME et le MHA.</w:t>
      </w:r>
    </w:p>
    <w:p w14:paraId="1BA5F1BE" w14:textId="77777777" w:rsidR="008F2269" w:rsidRPr="00C71F12" w:rsidRDefault="008F2269" w:rsidP="008F2269">
      <w:pPr>
        <w:pStyle w:val="Default"/>
        <w:spacing w:before="120" w:after="12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De nombreux autres acteurs non étatiques, dont des Agences de Développement (APAUS, Tadamoun remplacée par TAAZOUR, ANESP…), ONG, bureaux d’études et Entreprises interviennent dans la réalisation d’ouvrages hydrauliques souvent en dehors de la maîtrise d’ouvrage du MHA, donc sans que ce dernier n’ait l’assurance du respect des norm</w:t>
      </w:r>
      <w:r>
        <w:rPr>
          <w:rFonts w:asciiTheme="minorHAnsi" w:hAnsiTheme="minorHAnsi" w:cstheme="minorHAnsi"/>
          <w:bCs/>
          <w:color w:val="auto"/>
          <w:sz w:val="22"/>
          <w:szCs w:val="22"/>
        </w:rPr>
        <w:t>es et de la programmation.</w:t>
      </w:r>
    </w:p>
    <w:p w14:paraId="4837D021" w14:textId="77777777" w:rsidR="008F2269" w:rsidRDefault="008F2269" w:rsidP="008F2269">
      <w:pPr>
        <w:pStyle w:val="Default"/>
        <w:spacing w:before="120" w:after="120" w:line="259" w:lineRule="auto"/>
        <w:jc w:val="both"/>
        <w:rPr>
          <w:rFonts w:asciiTheme="minorHAnsi" w:hAnsiTheme="minorHAnsi" w:cstheme="minorHAnsi"/>
          <w:bCs/>
          <w:color w:val="auto"/>
          <w:sz w:val="22"/>
          <w:szCs w:val="22"/>
        </w:rPr>
      </w:pPr>
      <w:r w:rsidRPr="00C71F12">
        <w:rPr>
          <w:rFonts w:asciiTheme="minorHAnsi" w:hAnsiTheme="minorHAnsi" w:cstheme="minorHAnsi"/>
          <w:bCs/>
          <w:color w:val="auto"/>
          <w:sz w:val="22"/>
          <w:szCs w:val="22"/>
        </w:rPr>
        <w:t xml:space="preserve">La mise en place du Conseil National de l’Eau (CNE), de son comité permanent (CPCNE) et des Comités Régionaux de l’Eau (CRE) constituent des cadres de concertation, aux niveaux central et régional, entre les différents acteurs et institutions intervenant dans le secteur de l’eau et de l’assainissement (secteur public, collectivités locales, Organisations Non Gouvernementales (ONGs), secteur privé, associations) afin d’améliorer la gouvernance et d’établir une meilleure coordination sectorielle. </w:t>
      </w:r>
    </w:p>
    <w:p w14:paraId="20384E1E" w14:textId="77777777" w:rsidR="008F2269" w:rsidRPr="00C71F12" w:rsidRDefault="008F2269" w:rsidP="008F2269">
      <w:pPr>
        <w:pStyle w:val="Default"/>
        <w:spacing w:before="120" w:after="120"/>
        <w:jc w:val="both"/>
        <w:rPr>
          <w:rFonts w:asciiTheme="minorHAnsi" w:hAnsiTheme="minorHAnsi" w:cstheme="minorHAnsi"/>
          <w:bCs/>
          <w:color w:val="auto"/>
          <w:sz w:val="22"/>
          <w:szCs w:val="22"/>
        </w:rPr>
      </w:pPr>
      <w:r w:rsidRPr="00E61325">
        <w:rPr>
          <w:rFonts w:asciiTheme="minorHAnsi" w:hAnsiTheme="minorHAnsi" w:cstheme="minorHAnsi"/>
          <w:bCs/>
          <w:color w:val="auto"/>
          <w:sz w:val="22"/>
          <w:szCs w:val="22"/>
        </w:rPr>
        <w:t>Le Code de l’Eau en cours de mise à jour en 2022 confie au MHA les missions</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d’organisation générale et permanente des réseaux de collecte, de traitement et</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exploitation des mesures et données sur l’eau qui portent sur les aspects</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quantitatifs et qualitatifs des eaux superficielles et des eaux souterraines.</w:t>
      </w:r>
    </w:p>
    <w:p w14:paraId="2B199D5B" w14:textId="77777777" w:rsidR="008F2269" w:rsidRPr="00E61325" w:rsidRDefault="008F2269" w:rsidP="008F2269">
      <w:pPr>
        <w:pStyle w:val="Default"/>
        <w:spacing w:before="120" w:after="120"/>
        <w:jc w:val="both"/>
        <w:rPr>
          <w:rFonts w:asciiTheme="minorHAnsi" w:hAnsiTheme="minorHAnsi" w:cstheme="minorHAnsi"/>
          <w:bCs/>
          <w:color w:val="auto"/>
          <w:sz w:val="22"/>
          <w:szCs w:val="22"/>
        </w:rPr>
      </w:pPr>
      <w:r w:rsidRPr="00E61325">
        <w:rPr>
          <w:rFonts w:asciiTheme="minorHAnsi" w:hAnsiTheme="minorHAnsi" w:cstheme="minorHAnsi"/>
          <w:bCs/>
          <w:color w:val="auto"/>
          <w:sz w:val="22"/>
          <w:szCs w:val="22"/>
        </w:rPr>
        <w:t>Le Code de l’eau est cohérent avec le Code de l’Assainissement en cours</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d’élaboration en 2022 et les Codes des autres secteurs concernés (Code pastoral,</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Code de l’hygiène, Code de l’Environnement). Quelques décrets d’application</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restent à promulguer et quelques chevauchements entre les différents Codes</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restent à traiter.</w:t>
      </w:r>
    </w:p>
    <w:p w14:paraId="10B67857" w14:textId="77777777" w:rsidR="008F2269" w:rsidRPr="00E61325" w:rsidRDefault="008F2269" w:rsidP="008F2269">
      <w:pPr>
        <w:pStyle w:val="Default"/>
        <w:spacing w:before="120" w:after="120"/>
        <w:jc w:val="both"/>
        <w:rPr>
          <w:rFonts w:asciiTheme="minorHAnsi" w:hAnsiTheme="minorHAnsi" w:cstheme="minorHAnsi"/>
          <w:bCs/>
          <w:color w:val="auto"/>
          <w:sz w:val="22"/>
          <w:szCs w:val="22"/>
        </w:rPr>
      </w:pPr>
      <w:r w:rsidRPr="00E61325">
        <w:rPr>
          <w:rFonts w:asciiTheme="minorHAnsi" w:hAnsiTheme="minorHAnsi" w:cstheme="minorHAnsi"/>
          <w:bCs/>
          <w:color w:val="auto"/>
          <w:sz w:val="22"/>
          <w:szCs w:val="22"/>
        </w:rPr>
        <w:t>Pas moins de 6 autres stratégies relatives à i) l’assainissement liquide, ii) la</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promotion de l’hygiène, iii) le développement sanitaire, iv) le développement</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Durable,</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v) le développement du secteur rural, vi) la conservation des Zones</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Humides, comporte des aspects transversaux liés à l’eau et à l’assainissement.</w:t>
      </w:r>
    </w:p>
    <w:p w14:paraId="433351A2" w14:textId="77777777" w:rsidR="008F2269" w:rsidRPr="00E61325" w:rsidRDefault="008F2269" w:rsidP="008F2269">
      <w:pPr>
        <w:pStyle w:val="Default"/>
        <w:spacing w:before="120" w:after="120"/>
        <w:jc w:val="both"/>
        <w:rPr>
          <w:rFonts w:asciiTheme="minorHAnsi" w:hAnsiTheme="minorHAnsi" w:cstheme="minorHAnsi"/>
          <w:bCs/>
          <w:color w:val="auto"/>
          <w:sz w:val="22"/>
          <w:szCs w:val="22"/>
        </w:rPr>
      </w:pPr>
      <w:r w:rsidRPr="00E61325">
        <w:rPr>
          <w:rFonts w:asciiTheme="minorHAnsi" w:hAnsiTheme="minorHAnsi" w:cstheme="minorHAnsi"/>
          <w:bCs/>
          <w:color w:val="auto"/>
          <w:sz w:val="22"/>
          <w:szCs w:val="22"/>
        </w:rPr>
        <w:t>La programmation et la coordination intersectorielle pour une mise en œuvre</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cohérente des différentes stratégies constituent des enjeux majeurs pour le</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secteur.</w:t>
      </w:r>
    </w:p>
    <w:p w14:paraId="22CF9E40" w14:textId="77777777" w:rsidR="008F2269" w:rsidRPr="00E61325" w:rsidRDefault="008F2269" w:rsidP="008F2269">
      <w:pPr>
        <w:pStyle w:val="Default"/>
        <w:spacing w:before="120" w:after="120"/>
        <w:jc w:val="both"/>
        <w:rPr>
          <w:rFonts w:asciiTheme="minorHAnsi" w:hAnsiTheme="minorHAnsi" w:cstheme="minorHAnsi"/>
          <w:bCs/>
          <w:color w:val="auto"/>
          <w:sz w:val="22"/>
          <w:szCs w:val="22"/>
        </w:rPr>
      </w:pPr>
      <w:r w:rsidRPr="00E61325">
        <w:rPr>
          <w:rFonts w:asciiTheme="minorHAnsi" w:hAnsiTheme="minorHAnsi" w:cstheme="minorHAnsi"/>
          <w:bCs/>
          <w:color w:val="auto"/>
          <w:sz w:val="22"/>
          <w:szCs w:val="22"/>
        </w:rPr>
        <w:t>En termes de gouvernance environnementale, l’ancrage institutionnel s’est</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renforcé depuis la création du Ministère en charge de l’Environnement et du</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 xml:space="preserve">Développement Durable </w:t>
      </w:r>
      <w:r>
        <w:rPr>
          <w:rFonts w:asciiTheme="minorHAnsi" w:hAnsiTheme="minorHAnsi" w:cstheme="minorHAnsi"/>
          <w:bCs/>
          <w:color w:val="auto"/>
          <w:sz w:val="22"/>
          <w:szCs w:val="22"/>
        </w:rPr>
        <w:t>(</w:t>
      </w:r>
      <w:r w:rsidRPr="00E61325">
        <w:rPr>
          <w:rFonts w:asciiTheme="minorHAnsi" w:hAnsiTheme="minorHAnsi" w:cstheme="minorHAnsi"/>
          <w:bCs/>
          <w:color w:val="auto"/>
          <w:sz w:val="22"/>
          <w:szCs w:val="22"/>
        </w:rPr>
        <w:t>MEDD</w:t>
      </w:r>
      <w:r>
        <w:rPr>
          <w:rFonts w:asciiTheme="minorHAnsi" w:hAnsiTheme="minorHAnsi" w:cstheme="minorHAnsi"/>
          <w:bCs/>
          <w:color w:val="auto"/>
          <w:sz w:val="22"/>
          <w:szCs w:val="22"/>
        </w:rPr>
        <w:t>)</w:t>
      </w:r>
      <w:r w:rsidRPr="00E61325">
        <w:rPr>
          <w:rFonts w:asciiTheme="minorHAnsi" w:hAnsiTheme="minorHAnsi" w:cstheme="minorHAnsi"/>
          <w:bCs/>
          <w:color w:val="auto"/>
          <w:sz w:val="22"/>
          <w:szCs w:val="22"/>
        </w:rPr>
        <w:t>. La politique environnementale est définie par la</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stratégie nationale de développement durable (SNDD) et son plan d’action</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opérationnel : le PANE, approuvé en 2006, qui vise à une meilleure intégration de</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l’environnement et du développement durable dans les politiques sectorielles. La</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législation et règlementation environnementale s’est par ailleurs renforcée ces</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dernières années par la ratification de plusieurs accords multilatéraux</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environnementaux.</w:t>
      </w:r>
    </w:p>
    <w:p w14:paraId="11F6D465" w14:textId="77777777" w:rsidR="008F2269" w:rsidRPr="005D5FCA" w:rsidRDefault="008F2269" w:rsidP="008F2269">
      <w:pPr>
        <w:pStyle w:val="Default"/>
        <w:spacing w:before="120" w:after="120"/>
        <w:jc w:val="both"/>
        <w:rPr>
          <w:rFonts w:asciiTheme="minorHAnsi" w:hAnsiTheme="minorHAnsi" w:cstheme="minorHAnsi"/>
          <w:bCs/>
          <w:color w:val="auto"/>
          <w:sz w:val="22"/>
          <w:szCs w:val="22"/>
        </w:rPr>
      </w:pPr>
      <w:r w:rsidRPr="00E61325">
        <w:rPr>
          <w:rFonts w:asciiTheme="minorHAnsi" w:hAnsiTheme="minorHAnsi" w:cstheme="minorHAnsi"/>
          <w:bCs/>
          <w:color w:val="auto"/>
          <w:sz w:val="22"/>
          <w:szCs w:val="22"/>
        </w:rPr>
        <w:t>Une douzaine de bailleurs institutionnels contribuent financièrement au secteur,</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dont le FADES, la BAD, la BID, le FKDEA, le FSD, la Banque mondiale, le PNUD,</w:t>
      </w:r>
      <w:r>
        <w:rPr>
          <w:rFonts w:asciiTheme="minorHAnsi" w:hAnsiTheme="minorHAnsi" w:cstheme="minorHAnsi"/>
          <w:bCs/>
          <w:color w:val="auto"/>
          <w:sz w:val="22"/>
          <w:szCs w:val="22"/>
        </w:rPr>
        <w:t xml:space="preserve"> </w:t>
      </w:r>
      <w:r w:rsidRPr="00E61325">
        <w:rPr>
          <w:rFonts w:asciiTheme="minorHAnsi" w:hAnsiTheme="minorHAnsi" w:cstheme="minorHAnsi"/>
          <w:bCs/>
          <w:color w:val="auto"/>
          <w:sz w:val="22"/>
          <w:szCs w:val="22"/>
        </w:rPr>
        <w:t>l’UE et l’AFD, les services de coopération chinois, espagnol, hollandais, turc...</w:t>
      </w:r>
      <w:r w:rsidRPr="005D5FCA">
        <w:rPr>
          <w:rFonts w:asciiTheme="minorHAnsi" w:hAnsiTheme="minorHAnsi" w:cstheme="minorHAnsi"/>
          <w:bCs/>
          <w:color w:val="auto"/>
          <w:sz w:val="22"/>
          <w:szCs w:val="22"/>
        </w:rPr>
        <w:t>Le cadre juridique est également soutenu par 10 décrets et d’une circulaire venu</w:t>
      </w:r>
      <w:r>
        <w:rPr>
          <w:rFonts w:asciiTheme="minorHAnsi" w:hAnsiTheme="minorHAnsi" w:cstheme="minorHAnsi"/>
          <w:bCs/>
          <w:color w:val="auto"/>
          <w:sz w:val="22"/>
          <w:szCs w:val="22"/>
        </w:rPr>
        <w:t xml:space="preserve">e </w:t>
      </w:r>
      <w:r w:rsidRPr="005D5FCA">
        <w:rPr>
          <w:rFonts w:asciiTheme="minorHAnsi" w:hAnsiTheme="minorHAnsi" w:cstheme="minorHAnsi"/>
          <w:bCs/>
          <w:color w:val="auto"/>
          <w:sz w:val="22"/>
          <w:szCs w:val="22"/>
        </w:rPr>
        <w:t>appuyer l’application du code de l’eau et une circulaire du Premier Ministre, il s’agit notamment :</w:t>
      </w:r>
    </w:p>
    <w:p w14:paraId="453EE3AF" w14:textId="77777777" w:rsidR="008F2269" w:rsidRPr="005D5FCA" w:rsidRDefault="008F2269" w:rsidP="008F2269">
      <w:pPr>
        <w:pStyle w:val="Default"/>
        <w:numPr>
          <w:ilvl w:val="0"/>
          <w:numId w:val="108"/>
        </w:numPr>
        <w:spacing w:before="240" w:after="160" w:line="259" w:lineRule="auto"/>
        <w:contextualSpacing/>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De la circulaire n°04 du 18 octobre 2014, pour la coordination en matière de programmation des infrastructures d’eau et assainissement ;</w:t>
      </w:r>
    </w:p>
    <w:p w14:paraId="18B184DF" w14:textId="77777777" w:rsidR="008F2269" w:rsidRPr="005D5FCA" w:rsidRDefault="008F2269" w:rsidP="008F2269">
      <w:pPr>
        <w:pStyle w:val="Default"/>
        <w:numPr>
          <w:ilvl w:val="0"/>
          <w:numId w:val="108"/>
        </w:numPr>
        <w:spacing w:before="240" w:after="160" w:line="259" w:lineRule="auto"/>
        <w:contextualSpacing/>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Le décret n° 2011-027 du 14 février 2011 modifiant certaines dispositions du décret n° 2008-187 ci-dessous cité ;</w:t>
      </w:r>
    </w:p>
    <w:p w14:paraId="6D431FBF" w14:textId="77777777" w:rsidR="008F2269" w:rsidRPr="005D5FCA" w:rsidRDefault="008F2269" w:rsidP="008F2269">
      <w:pPr>
        <w:pStyle w:val="Default"/>
        <w:numPr>
          <w:ilvl w:val="0"/>
          <w:numId w:val="108"/>
        </w:numPr>
        <w:spacing w:before="240" w:after="160" w:line="259" w:lineRule="auto"/>
        <w:contextualSpacing/>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Du décret n° 2008-187 du 19 octobre 2008, fixant les attributions du Ministre de l’Hydraulique et de l’Assainissement et l’organisation de l’Administration Centrale de son Département ;</w:t>
      </w:r>
    </w:p>
    <w:p w14:paraId="4325E031" w14:textId="77777777" w:rsidR="008F2269" w:rsidRPr="005D5FCA" w:rsidRDefault="008F2269" w:rsidP="008F2269">
      <w:pPr>
        <w:pStyle w:val="Default"/>
        <w:numPr>
          <w:ilvl w:val="0"/>
          <w:numId w:val="108"/>
        </w:numPr>
        <w:spacing w:before="240" w:after="160" w:line="259" w:lineRule="auto"/>
        <w:contextualSpacing/>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Du décret n° 2007-008, du 9 janvier 2007 fixant les conditions de mise en œuvre des mesures de limitations ou de suspension provisoire ou définitive des usages de l’eau ;</w:t>
      </w:r>
    </w:p>
    <w:p w14:paraId="1F1690BE" w14:textId="77777777" w:rsidR="008F2269" w:rsidRPr="005D5FCA" w:rsidRDefault="008F2269" w:rsidP="008F2269">
      <w:pPr>
        <w:pStyle w:val="Default"/>
        <w:numPr>
          <w:ilvl w:val="0"/>
          <w:numId w:val="108"/>
        </w:numPr>
        <w:spacing w:before="240" w:after="160" w:line="259" w:lineRule="auto"/>
        <w:contextualSpacing/>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Du décret n° 2008-070, relatif à la durée et aux conditions d’exercice de la délégation de la distribution d’eau potable à la SNDE ;</w:t>
      </w:r>
    </w:p>
    <w:p w14:paraId="3FBB93CD" w14:textId="77777777" w:rsidR="008F2269" w:rsidRPr="005D5FCA" w:rsidRDefault="008F2269" w:rsidP="008F2269">
      <w:pPr>
        <w:pStyle w:val="Default"/>
        <w:numPr>
          <w:ilvl w:val="0"/>
          <w:numId w:val="108"/>
        </w:numPr>
        <w:spacing w:before="240" w:after="160" w:line="259" w:lineRule="auto"/>
        <w:contextualSpacing/>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Du décret n° 2007-009, du 9 janvier 2007 portant création du Conseil National de l’Eau (CNE) et déterminant ses modalités d’organisation ;</w:t>
      </w:r>
    </w:p>
    <w:p w14:paraId="1A2203F4" w14:textId="77777777" w:rsidR="008F2269" w:rsidRPr="005D5FCA" w:rsidRDefault="008F2269" w:rsidP="008F2269">
      <w:pPr>
        <w:pStyle w:val="Default"/>
        <w:numPr>
          <w:ilvl w:val="0"/>
          <w:numId w:val="108"/>
        </w:numPr>
        <w:spacing w:before="240" w:after="160" w:line="259" w:lineRule="auto"/>
        <w:contextualSpacing/>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Du décret n° 2007-047 du 12 février 2007, portant conditions de création de zone de sauvegarde stratégique de la ressource en eau ;</w:t>
      </w:r>
    </w:p>
    <w:p w14:paraId="25FE715F" w14:textId="77777777" w:rsidR="008F2269" w:rsidRPr="005D5FCA" w:rsidRDefault="008F2269" w:rsidP="008F2269">
      <w:pPr>
        <w:pStyle w:val="Default"/>
        <w:numPr>
          <w:ilvl w:val="0"/>
          <w:numId w:val="108"/>
        </w:numPr>
        <w:spacing w:before="240" w:after="160" w:line="259" w:lineRule="auto"/>
        <w:contextualSpacing/>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Du décret n° 2007-096, du 13 avril 2007 relatif aux critères de la domesticité de l’usage de l’eau ;</w:t>
      </w:r>
    </w:p>
    <w:p w14:paraId="2D501929" w14:textId="77777777" w:rsidR="008F2269" w:rsidRPr="005D5FCA" w:rsidRDefault="008F2269" w:rsidP="008F2269">
      <w:pPr>
        <w:pStyle w:val="Default"/>
        <w:numPr>
          <w:ilvl w:val="0"/>
          <w:numId w:val="108"/>
        </w:numPr>
        <w:spacing w:before="240" w:after="160" w:line="259" w:lineRule="auto"/>
        <w:contextualSpacing/>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Du décret n° 2007-107 du 13 avril 2007 relatif aux conditions et aux seuils de délégation de service public de l’eau ;</w:t>
      </w:r>
    </w:p>
    <w:p w14:paraId="74E216F4" w14:textId="77777777" w:rsidR="008F2269" w:rsidRPr="005D5FCA" w:rsidRDefault="008F2269" w:rsidP="008F2269">
      <w:pPr>
        <w:pStyle w:val="Default"/>
        <w:numPr>
          <w:ilvl w:val="0"/>
          <w:numId w:val="108"/>
        </w:numPr>
        <w:spacing w:before="240" w:after="160" w:line="259" w:lineRule="auto"/>
        <w:contextualSpacing/>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Du décret n° 2007-036, du 25 janvier 2005 fixant les règles d’organisation du corps chargé de la recherche, de la constatation et de la répression des infractions au Code de l’Eau</w:t>
      </w:r>
    </w:p>
    <w:p w14:paraId="20977F69" w14:textId="77777777" w:rsidR="008F2269" w:rsidRDefault="008F2269" w:rsidP="008F2269">
      <w:pPr>
        <w:pStyle w:val="Default"/>
        <w:numPr>
          <w:ilvl w:val="0"/>
          <w:numId w:val="108"/>
        </w:numPr>
        <w:spacing w:before="240" w:after="160" w:line="259" w:lineRule="auto"/>
        <w:contextualSpacing/>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Du décret n° 2002-020 du 31 mars 2002, instituant les redevances de paiement en eau.</w:t>
      </w:r>
    </w:p>
    <w:p w14:paraId="6EFFA0DB" w14:textId="77777777" w:rsidR="008F2269" w:rsidRPr="00705C6E" w:rsidRDefault="008F2269" w:rsidP="008F2269">
      <w:pPr>
        <w:pStyle w:val="Default"/>
        <w:spacing w:before="240" w:after="160" w:line="259" w:lineRule="auto"/>
        <w:ind w:left="357"/>
        <w:contextualSpacing/>
        <w:jc w:val="both"/>
        <w:rPr>
          <w:rFonts w:asciiTheme="minorHAnsi" w:hAnsiTheme="minorHAnsi" w:cstheme="minorHAnsi"/>
          <w:bCs/>
          <w:color w:val="auto"/>
          <w:sz w:val="22"/>
          <w:szCs w:val="22"/>
        </w:rPr>
      </w:pPr>
    </w:p>
    <w:p w14:paraId="5FCAD6DC" w14:textId="77777777" w:rsidR="008F2269" w:rsidRPr="005D5FCA" w:rsidRDefault="008F2269" w:rsidP="008F2269">
      <w:pPr>
        <w:pStyle w:val="Default"/>
        <w:spacing w:after="120" w:line="259" w:lineRule="auto"/>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Au titre des principes du Droit international, la Mauritanie a ratifié des conventions internationales qui contiennent des dispositions concernant l’eau. On peut en citer :</w:t>
      </w:r>
    </w:p>
    <w:p w14:paraId="03A1A5F2" w14:textId="77777777" w:rsidR="008F2269" w:rsidRPr="005D5FCA"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La convention des zones humides d’importances internationales (Ramsar, 1971) ;</w:t>
      </w:r>
    </w:p>
    <w:p w14:paraId="6B67D73B" w14:textId="77777777" w:rsidR="008F2269" w:rsidRPr="005D5FCA"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La Convention Cadre des Nations Unies sur les changements climatiques (CCNCC) ;</w:t>
      </w:r>
    </w:p>
    <w:p w14:paraId="09B8D39F" w14:textId="77777777" w:rsidR="008F2269" w:rsidRPr="005D5FCA"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La Convention de Paris du 17 juin 1994 sur la lutte contre la désertification dans les pays gravement touchés par la sécheresse et/ou la désertification, en particulier en Afrique ;</w:t>
      </w:r>
    </w:p>
    <w:p w14:paraId="129B1E81" w14:textId="77777777" w:rsidR="008F2269" w:rsidRPr="005D5FCA"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La Convention portant création de l'organisation pour la mise en valeur du Fleuve Sénégal (OMVS) signée à Nouakchott, le 11 mars 1972 ;</w:t>
      </w:r>
    </w:p>
    <w:p w14:paraId="63EE06FD" w14:textId="77777777" w:rsidR="008F2269" w:rsidRPr="005D5FCA"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La Charte des Eaux du Fleuve Sénégal adoptée en mai 2002.</w:t>
      </w:r>
    </w:p>
    <w:p w14:paraId="3D8F06BB" w14:textId="77777777" w:rsidR="008F2269" w:rsidRDefault="008F2269" w:rsidP="008F2269">
      <w:pPr>
        <w:pStyle w:val="Default"/>
        <w:spacing w:before="240" w:after="160" w:line="259" w:lineRule="auto"/>
        <w:jc w:val="both"/>
        <w:rPr>
          <w:rFonts w:asciiTheme="minorHAnsi" w:hAnsiTheme="minorHAnsi" w:cstheme="minorHAnsi"/>
          <w:bCs/>
          <w:color w:val="auto"/>
          <w:sz w:val="22"/>
          <w:szCs w:val="22"/>
        </w:rPr>
      </w:pPr>
      <w:r w:rsidRPr="005D5FCA">
        <w:rPr>
          <w:rFonts w:asciiTheme="minorHAnsi" w:hAnsiTheme="minorHAnsi" w:cstheme="minorHAnsi"/>
          <w:bCs/>
          <w:color w:val="auto"/>
          <w:sz w:val="22"/>
          <w:szCs w:val="22"/>
        </w:rPr>
        <w:t>Tous ces textes adoptés montrent les engagements du pays à doter le secteur d’instruments nationaux, régionaux et internationaux pour accompagner les évolutions rapides dans le domaine.</w:t>
      </w:r>
    </w:p>
    <w:p w14:paraId="33020036" w14:textId="77777777" w:rsidR="008F2269" w:rsidRPr="005447E7" w:rsidRDefault="008F2269" w:rsidP="008F2269">
      <w:pPr>
        <w:pStyle w:val="Default"/>
        <w:spacing w:before="240"/>
        <w:jc w:val="both"/>
        <w:outlineLvl w:val="0"/>
        <w:rPr>
          <w:rFonts w:asciiTheme="minorHAnsi" w:hAnsiTheme="minorHAnsi" w:cstheme="minorHAnsi"/>
          <w:b/>
          <w:color w:val="auto"/>
          <w:sz w:val="22"/>
          <w:szCs w:val="22"/>
        </w:rPr>
      </w:pPr>
      <w:bookmarkStart w:id="110" w:name="_Toc180318674"/>
      <w:r>
        <w:rPr>
          <w:rFonts w:asciiTheme="minorHAnsi" w:hAnsiTheme="minorHAnsi" w:cstheme="minorHAnsi"/>
          <w:b/>
          <w:color w:val="auto"/>
          <w:sz w:val="22"/>
          <w:szCs w:val="22"/>
        </w:rPr>
        <w:t xml:space="preserve">CHAPITRE </w:t>
      </w:r>
      <w:r w:rsidRPr="005447E7">
        <w:rPr>
          <w:rFonts w:asciiTheme="minorHAnsi" w:hAnsiTheme="minorHAnsi" w:cstheme="minorHAnsi"/>
          <w:b/>
          <w:color w:val="auto"/>
          <w:sz w:val="22"/>
          <w:szCs w:val="22"/>
        </w:rPr>
        <w:t>4 – ETAT DES LIEUX DU SECTEUR DE L’EAU ET DE L’ASSAINISSEMENT.</w:t>
      </w:r>
      <w:bookmarkEnd w:id="110"/>
      <w:r w:rsidRPr="005447E7">
        <w:rPr>
          <w:rFonts w:asciiTheme="minorHAnsi" w:hAnsiTheme="minorHAnsi" w:cstheme="minorHAnsi"/>
          <w:b/>
          <w:color w:val="auto"/>
          <w:sz w:val="22"/>
          <w:szCs w:val="22"/>
        </w:rPr>
        <w:t xml:space="preserve">  </w:t>
      </w:r>
    </w:p>
    <w:p w14:paraId="6ECEEE02" w14:textId="77777777" w:rsidR="008F2269" w:rsidRPr="00D47D8A" w:rsidRDefault="008F2269" w:rsidP="008F2269">
      <w:pPr>
        <w:pStyle w:val="Default"/>
        <w:spacing w:before="120" w:after="120"/>
        <w:jc w:val="both"/>
        <w:outlineLvl w:val="1"/>
        <w:rPr>
          <w:rFonts w:asciiTheme="minorHAnsi" w:hAnsiTheme="minorHAnsi" w:cstheme="minorHAnsi"/>
          <w:b/>
          <w:color w:val="auto"/>
          <w:sz w:val="22"/>
          <w:szCs w:val="22"/>
        </w:rPr>
      </w:pPr>
      <w:bookmarkStart w:id="111" w:name="_Toc180318675"/>
      <w:r>
        <w:rPr>
          <w:rFonts w:asciiTheme="minorHAnsi" w:hAnsiTheme="minorHAnsi" w:cstheme="minorHAnsi"/>
          <w:b/>
          <w:color w:val="auto"/>
          <w:sz w:val="22"/>
          <w:szCs w:val="22"/>
        </w:rPr>
        <w:t xml:space="preserve">4.1 </w:t>
      </w:r>
      <w:r w:rsidRPr="00D47D8A">
        <w:rPr>
          <w:rFonts w:asciiTheme="minorHAnsi" w:hAnsiTheme="minorHAnsi" w:cstheme="minorHAnsi"/>
          <w:b/>
          <w:color w:val="auto"/>
          <w:sz w:val="22"/>
          <w:szCs w:val="22"/>
        </w:rPr>
        <w:t>Accès à l’eau</w:t>
      </w:r>
      <w:bookmarkEnd w:id="111"/>
    </w:p>
    <w:p w14:paraId="138DAD21" w14:textId="77777777" w:rsidR="008F2269" w:rsidRPr="00D47D8A" w:rsidRDefault="008F2269" w:rsidP="008F2269">
      <w:pPr>
        <w:pStyle w:val="Default"/>
        <w:spacing w:before="120"/>
        <w:jc w:val="both"/>
        <w:rPr>
          <w:rFonts w:asciiTheme="minorHAnsi" w:hAnsiTheme="minorHAnsi" w:cstheme="minorHAnsi"/>
          <w:bCs/>
          <w:color w:val="auto"/>
          <w:sz w:val="22"/>
          <w:szCs w:val="22"/>
        </w:rPr>
      </w:pPr>
      <w:r w:rsidRPr="00D47D8A">
        <w:rPr>
          <w:rFonts w:asciiTheme="minorHAnsi" w:hAnsiTheme="minorHAnsi" w:cstheme="minorHAnsi"/>
          <w:bCs/>
          <w:color w:val="auto"/>
          <w:sz w:val="22"/>
          <w:szCs w:val="22"/>
        </w:rPr>
        <w:t>Environ 600 millions de m3 d’eau sont mobilisés annuellement pour les différents</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usages de l’eau, dont plus des trois quarts pour l’agriculture et moins de 12%</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pour l’alimentation en eau potable (AEP). En ordre de grandeur, les prélèvements</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sont estimés pour moitié sur le fleuve Sénégal, un quart pour les autres eaux de</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surface continentale et un q</w:t>
      </w:r>
      <w:r>
        <w:rPr>
          <w:rFonts w:asciiTheme="minorHAnsi" w:hAnsiTheme="minorHAnsi" w:cstheme="minorHAnsi"/>
          <w:bCs/>
          <w:color w:val="auto"/>
          <w:sz w:val="22"/>
          <w:szCs w:val="22"/>
        </w:rPr>
        <w:t>uart pour les eaux souterraines</w:t>
      </w:r>
      <w:r w:rsidRPr="00D47D8A">
        <w:rPr>
          <w:rFonts w:asciiTheme="minorHAnsi" w:hAnsiTheme="minorHAnsi" w:cstheme="minorHAnsi"/>
          <w:bCs/>
          <w:color w:val="auto"/>
          <w:sz w:val="22"/>
          <w:szCs w:val="22"/>
        </w:rPr>
        <w:t>.</w:t>
      </w:r>
    </w:p>
    <w:p w14:paraId="3D377BC4" w14:textId="77777777" w:rsidR="008F2269" w:rsidRPr="00D47D8A" w:rsidRDefault="008F2269" w:rsidP="008F2269">
      <w:pPr>
        <w:pStyle w:val="Default"/>
        <w:spacing w:before="120" w:after="120"/>
        <w:jc w:val="both"/>
        <w:rPr>
          <w:rFonts w:asciiTheme="minorHAnsi" w:hAnsiTheme="minorHAnsi" w:cstheme="minorHAnsi"/>
          <w:bCs/>
          <w:color w:val="auto"/>
          <w:sz w:val="22"/>
          <w:szCs w:val="22"/>
        </w:rPr>
      </w:pPr>
      <w:r w:rsidRPr="00D47D8A">
        <w:rPr>
          <w:rFonts w:asciiTheme="minorHAnsi" w:hAnsiTheme="minorHAnsi" w:cstheme="minorHAnsi"/>
          <w:bCs/>
          <w:color w:val="auto"/>
          <w:sz w:val="22"/>
          <w:szCs w:val="22"/>
        </w:rPr>
        <w:t>Les eaux souterraines alimentent l’essentiel des localités du milieu rural et la</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majorité des capitales régionales, pour 20% des prélèvements, contre 70% pour</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l’agriculture, et 9% pour l’élevage. L’industrie minière représente environ 1% des</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pré</w:t>
      </w:r>
      <w:r>
        <w:rPr>
          <w:rFonts w:asciiTheme="minorHAnsi" w:hAnsiTheme="minorHAnsi" w:cstheme="minorHAnsi"/>
          <w:bCs/>
          <w:color w:val="auto"/>
          <w:sz w:val="22"/>
          <w:szCs w:val="22"/>
        </w:rPr>
        <w:t>lèvements des eaux souterraines</w:t>
      </w:r>
      <w:r w:rsidRPr="00D47D8A">
        <w:rPr>
          <w:rFonts w:asciiTheme="minorHAnsi" w:hAnsiTheme="minorHAnsi" w:cstheme="minorHAnsi"/>
          <w:bCs/>
          <w:color w:val="auto"/>
          <w:sz w:val="22"/>
          <w:szCs w:val="22"/>
        </w:rPr>
        <w:t>.</w:t>
      </w:r>
    </w:p>
    <w:p w14:paraId="1493F190" w14:textId="77777777" w:rsidR="008F2269" w:rsidRDefault="008F2269" w:rsidP="008F2269">
      <w:pPr>
        <w:pStyle w:val="Default"/>
        <w:spacing w:before="120" w:after="120"/>
        <w:jc w:val="both"/>
        <w:rPr>
          <w:rFonts w:asciiTheme="minorHAnsi" w:hAnsiTheme="minorHAnsi" w:cstheme="minorHAnsi"/>
          <w:bCs/>
          <w:color w:val="auto"/>
          <w:sz w:val="22"/>
          <w:szCs w:val="22"/>
        </w:rPr>
      </w:pPr>
      <w:r w:rsidRPr="00D47D8A">
        <w:rPr>
          <w:rFonts w:asciiTheme="minorHAnsi" w:hAnsiTheme="minorHAnsi" w:cstheme="minorHAnsi"/>
          <w:bCs/>
          <w:color w:val="auto"/>
          <w:sz w:val="22"/>
          <w:szCs w:val="22"/>
        </w:rPr>
        <w:t>Les prélèvements sur les eaux de surface pour l’AEP augmentent, à partir de</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projets structurants desservant de nombreuses villes et localités rurales du pays,</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à partir du fleuve (AEP Gouraye-Sélibaby en service, AEP Sélibaby-Kiffa à l’étude,</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axe Boghé – Aleg – Sang</w:t>
      </w:r>
      <w:r>
        <w:rPr>
          <w:rFonts w:asciiTheme="minorHAnsi" w:hAnsiTheme="minorHAnsi" w:cstheme="minorHAnsi"/>
          <w:bCs/>
          <w:color w:val="auto"/>
          <w:sz w:val="22"/>
          <w:szCs w:val="22"/>
        </w:rPr>
        <w:t>a</w:t>
      </w:r>
      <w:r w:rsidRPr="00D47D8A">
        <w:rPr>
          <w:rFonts w:asciiTheme="minorHAnsi" w:hAnsiTheme="minorHAnsi" w:cstheme="minorHAnsi"/>
          <w:bCs/>
          <w:color w:val="auto"/>
          <w:sz w:val="22"/>
          <w:szCs w:val="22"/>
        </w:rPr>
        <w:t>rafa à l’étude, et le projet d’AEP de la Zone Nord)</w:t>
      </w:r>
      <w:r>
        <w:rPr>
          <w:rFonts w:asciiTheme="minorHAnsi" w:hAnsiTheme="minorHAnsi" w:cstheme="minorHAnsi"/>
          <w:bCs/>
          <w:color w:val="auto"/>
          <w:sz w:val="22"/>
          <w:szCs w:val="22"/>
        </w:rPr>
        <w:t xml:space="preserve"> à pâtir du fleuve, </w:t>
      </w:r>
      <w:r w:rsidRPr="00D47D8A">
        <w:rPr>
          <w:rFonts w:asciiTheme="minorHAnsi" w:hAnsiTheme="minorHAnsi" w:cstheme="minorHAnsi"/>
          <w:bCs/>
          <w:color w:val="auto"/>
          <w:sz w:val="22"/>
          <w:szCs w:val="22"/>
        </w:rPr>
        <w:t>à</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partir de barrage</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(barrage de Foum Gleita)</w:t>
      </w:r>
      <w:r>
        <w:rPr>
          <w:rFonts w:asciiTheme="minorHAnsi" w:hAnsiTheme="minorHAnsi" w:cstheme="minorHAnsi"/>
          <w:bCs/>
          <w:color w:val="auto"/>
          <w:sz w:val="22"/>
          <w:szCs w:val="22"/>
        </w:rPr>
        <w:t xml:space="preserve"> Projet Aftout Chargui</w:t>
      </w:r>
      <w:r w:rsidRPr="00D47D8A">
        <w:rPr>
          <w:rFonts w:asciiTheme="minorHAnsi" w:hAnsiTheme="minorHAnsi" w:cstheme="minorHAnsi"/>
          <w:bCs/>
          <w:color w:val="auto"/>
          <w:sz w:val="22"/>
          <w:szCs w:val="22"/>
        </w:rPr>
        <w:t xml:space="preserve">. </w:t>
      </w:r>
    </w:p>
    <w:p w14:paraId="0AA6CF3F" w14:textId="77777777" w:rsidR="008F2269" w:rsidRDefault="008F2269" w:rsidP="008F2269">
      <w:pPr>
        <w:pStyle w:val="Default"/>
        <w:spacing w:before="120" w:after="120"/>
        <w:jc w:val="both"/>
        <w:rPr>
          <w:rFonts w:asciiTheme="minorHAnsi" w:hAnsiTheme="minorHAnsi" w:cstheme="minorHAnsi"/>
          <w:bCs/>
          <w:color w:val="auto"/>
          <w:sz w:val="22"/>
          <w:szCs w:val="22"/>
        </w:rPr>
      </w:pPr>
      <w:r w:rsidRPr="00D47D8A">
        <w:rPr>
          <w:rFonts w:asciiTheme="minorHAnsi" w:hAnsiTheme="minorHAnsi" w:cstheme="minorHAnsi"/>
          <w:bCs/>
          <w:color w:val="auto"/>
          <w:sz w:val="22"/>
          <w:szCs w:val="22"/>
        </w:rPr>
        <w:t>Pour les eaux souterraines, à noter</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également le champ captant du Dhar de Néma à l’Est du pays qui couvre les deux</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 xml:space="preserve">Hodhs à l’Est du pays. </w:t>
      </w:r>
    </w:p>
    <w:p w14:paraId="3C6964A0" w14:textId="77777777" w:rsidR="008F2269" w:rsidRPr="00D47D8A" w:rsidRDefault="008F2269" w:rsidP="008F2269">
      <w:pPr>
        <w:pStyle w:val="Default"/>
        <w:spacing w:before="120" w:after="120"/>
        <w:jc w:val="both"/>
        <w:rPr>
          <w:rFonts w:asciiTheme="minorHAnsi" w:hAnsiTheme="minorHAnsi" w:cstheme="minorHAnsi"/>
          <w:bCs/>
          <w:color w:val="auto"/>
          <w:sz w:val="22"/>
          <w:szCs w:val="22"/>
        </w:rPr>
      </w:pPr>
      <w:r w:rsidRPr="00D47D8A">
        <w:rPr>
          <w:rFonts w:asciiTheme="minorHAnsi" w:hAnsiTheme="minorHAnsi" w:cstheme="minorHAnsi"/>
          <w:bCs/>
          <w:color w:val="auto"/>
          <w:sz w:val="22"/>
          <w:szCs w:val="22"/>
        </w:rPr>
        <w:t>Le dessalement des eaux de mer pour les localités du</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littoral est également en développement.</w:t>
      </w:r>
    </w:p>
    <w:p w14:paraId="32462591" w14:textId="77777777" w:rsidR="008F2269" w:rsidRDefault="008F2269" w:rsidP="008F2269">
      <w:pPr>
        <w:pStyle w:val="Default"/>
        <w:jc w:val="both"/>
        <w:rPr>
          <w:rFonts w:asciiTheme="minorHAnsi" w:hAnsiTheme="minorHAnsi" w:cstheme="minorHAnsi"/>
          <w:bCs/>
          <w:color w:val="auto"/>
          <w:sz w:val="22"/>
          <w:szCs w:val="22"/>
        </w:rPr>
      </w:pPr>
      <w:r w:rsidRPr="00D47D8A">
        <w:rPr>
          <w:rFonts w:asciiTheme="minorHAnsi" w:hAnsiTheme="minorHAnsi" w:cstheme="minorHAnsi"/>
          <w:bCs/>
          <w:color w:val="auto"/>
          <w:sz w:val="22"/>
          <w:szCs w:val="22"/>
        </w:rPr>
        <w:t>Les Directives d’intervention pour l’AEP en milieu rural élaborées en 2016</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retiennent l’exhaure solaire comme source d’énergie sous réserve de satisfaction</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des besoins en eau et disponibilité de la ressource, et réservent le fonçage de</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puits à l’élevage ou le maraichage. Elles fixent par ailleurs la priorité</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d’intervention de l’Etat pour les localités de plus de 150 habitants non desservis,</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les localités de moins de 150 habitants pouvant disposer d’une infrastructure</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partagée si elle dessert au moins 150 personnes. Entre 150 et 300 habitants, le</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Poste d’Eau équipé d’une borne fontaine (BF) est la norme, et l’Adduction d’Eau</w:t>
      </w:r>
      <w:r>
        <w:rPr>
          <w:rFonts w:asciiTheme="minorHAnsi" w:hAnsiTheme="minorHAnsi" w:cstheme="minorHAnsi"/>
          <w:bCs/>
          <w:color w:val="auto"/>
          <w:sz w:val="22"/>
          <w:szCs w:val="22"/>
        </w:rPr>
        <w:t xml:space="preserve"> </w:t>
      </w:r>
      <w:r w:rsidRPr="00D47D8A">
        <w:rPr>
          <w:rFonts w:asciiTheme="minorHAnsi" w:hAnsiTheme="minorHAnsi" w:cstheme="minorHAnsi"/>
          <w:bCs/>
          <w:color w:val="auto"/>
          <w:sz w:val="22"/>
          <w:szCs w:val="22"/>
        </w:rPr>
        <w:t>Potable à partir de 300 habitants, desservant des branchements particuliers (BP).</w:t>
      </w:r>
    </w:p>
    <w:p w14:paraId="481C048A" w14:textId="77777777" w:rsidR="008F2269" w:rsidRDefault="008F2269" w:rsidP="008F2269">
      <w:pPr>
        <w:pStyle w:val="Default"/>
        <w:jc w:val="both"/>
        <w:rPr>
          <w:rFonts w:asciiTheme="minorHAnsi" w:hAnsiTheme="minorHAnsi" w:cstheme="minorHAnsi"/>
          <w:bCs/>
          <w:color w:val="auto"/>
          <w:sz w:val="22"/>
          <w:szCs w:val="22"/>
        </w:rPr>
      </w:pPr>
    </w:p>
    <w:p w14:paraId="75E70C4E" w14:textId="77777777" w:rsidR="008F2269" w:rsidRDefault="008F2269" w:rsidP="008F2269">
      <w:pPr>
        <w:pStyle w:val="Default"/>
        <w:spacing w:before="120" w:after="120"/>
        <w:jc w:val="both"/>
        <w:outlineLvl w:val="1"/>
        <w:rPr>
          <w:rFonts w:asciiTheme="minorHAnsi" w:hAnsiTheme="minorHAnsi" w:cstheme="minorHAnsi"/>
          <w:b/>
          <w:color w:val="auto"/>
          <w:sz w:val="22"/>
          <w:szCs w:val="22"/>
        </w:rPr>
      </w:pPr>
      <w:bookmarkStart w:id="112" w:name="_Toc180318676"/>
      <w:r>
        <w:rPr>
          <w:rFonts w:asciiTheme="minorHAnsi" w:hAnsiTheme="minorHAnsi" w:cstheme="minorHAnsi"/>
          <w:b/>
          <w:color w:val="auto"/>
          <w:sz w:val="22"/>
          <w:szCs w:val="22"/>
        </w:rPr>
        <w:t xml:space="preserve">4.2 </w:t>
      </w:r>
      <w:r w:rsidRPr="00D47D8A">
        <w:rPr>
          <w:rFonts w:asciiTheme="minorHAnsi" w:hAnsiTheme="minorHAnsi" w:cstheme="minorHAnsi"/>
          <w:b/>
          <w:color w:val="auto"/>
          <w:sz w:val="22"/>
          <w:szCs w:val="22"/>
        </w:rPr>
        <w:t>Accès à l’</w:t>
      </w:r>
      <w:r>
        <w:rPr>
          <w:rFonts w:asciiTheme="minorHAnsi" w:hAnsiTheme="minorHAnsi" w:cstheme="minorHAnsi"/>
          <w:b/>
          <w:color w:val="auto"/>
          <w:sz w:val="22"/>
          <w:szCs w:val="22"/>
        </w:rPr>
        <w:t>assainissement des eaux pluviales</w:t>
      </w:r>
      <w:bookmarkEnd w:id="112"/>
    </w:p>
    <w:p w14:paraId="3BCFF4F0" w14:textId="77777777" w:rsidR="008F2269" w:rsidRDefault="008F2269" w:rsidP="008F2269">
      <w:pPr>
        <w:pStyle w:val="Default"/>
        <w:jc w:val="both"/>
        <w:rPr>
          <w:rFonts w:asciiTheme="minorHAnsi" w:hAnsiTheme="minorHAnsi" w:cstheme="minorHAnsi"/>
          <w:bCs/>
          <w:color w:val="auto"/>
          <w:sz w:val="22"/>
          <w:szCs w:val="22"/>
        </w:rPr>
      </w:pPr>
      <w:r w:rsidRPr="00251D82">
        <w:rPr>
          <w:rFonts w:asciiTheme="minorHAnsi" w:hAnsiTheme="minorHAnsi" w:cstheme="minorHAnsi"/>
          <w:bCs/>
          <w:color w:val="auto"/>
          <w:sz w:val="22"/>
          <w:szCs w:val="22"/>
        </w:rPr>
        <w:t xml:space="preserve">Les eaux pluviales des principales villes du pays ne sont </w:t>
      </w:r>
      <w:r>
        <w:rPr>
          <w:rFonts w:asciiTheme="minorHAnsi" w:hAnsiTheme="minorHAnsi" w:cstheme="minorHAnsi"/>
          <w:bCs/>
          <w:color w:val="auto"/>
          <w:sz w:val="22"/>
          <w:szCs w:val="22"/>
        </w:rPr>
        <w:t>partiellement</w:t>
      </w:r>
      <w:r w:rsidRPr="00251D82">
        <w:rPr>
          <w:rFonts w:asciiTheme="minorHAnsi" w:hAnsiTheme="minorHAnsi" w:cstheme="minorHAnsi"/>
          <w:bCs/>
          <w:color w:val="auto"/>
          <w:sz w:val="22"/>
          <w:szCs w:val="22"/>
        </w:rPr>
        <w:t xml:space="preserve"> collectées </w:t>
      </w:r>
      <w:r>
        <w:rPr>
          <w:rFonts w:asciiTheme="minorHAnsi" w:hAnsiTheme="minorHAnsi" w:cstheme="minorHAnsi"/>
          <w:bCs/>
          <w:color w:val="auto"/>
          <w:sz w:val="22"/>
          <w:szCs w:val="22"/>
        </w:rPr>
        <w:t xml:space="preserve">et </w:t>
      </w:r>
      <w:r w:rsidRPr="00251D82">
        <w:rPr>
          <w:rFonts w:asciiTheme="minorHAnsi" w:hAnsiTheme="minorHAnsi" w:cstheme="minorHAnsi"/>
          <w:bCs/>
          <w:color w:val="auto"/>
          <w:sz w:val="22"/>
          <w:szCs w:val="22"/>
        </w:rPr>
        <w:t>traitées</w:t>
      </w:r>
      <w:r>
        <w:rPr>
          <w:rFonts w:asciiTheme="minorHAnsi" w:hAnsiTheme="minorHAnsi" w:cstheme="minorHAnsi"/>
          <w:bCs/>
          <w:color w:val="auto"/>
          <w:sz w:val="22"/>
          <w:szCs w:val="22"/>
        </w:rPr>
        <w:t> : les routes bitumées sont les cibles</w:t>
      </w:r>
      <w:r w:rsidRPr="00251D82">
        <w:rPr>
          <w:rFonts w:asciiTheme="minorHAnsi" w:hAnsiTheme="minorHAnsi" w:cstheme="minorHAnsi"/>
          <w:bCs/>
          <w:color w:val="auto"/>
          <w:sz w:val="22"/>
          <w:szCs w:val="22"/>
        </w:rPr>
        <w:t>. La priorité concerne la capitale, très vulnérable aux inondations malgré</w:t>
      </w:r>
      <w:r>
        <w:rPr>
          <w:rFonts w:asciiTheme="minorHAnsi" w:hAnsiTheme="minorHAnsi" w:cstheme="minorHAnsi"/>
          <w:bCs/>
          <w:color w:val="auto"/>
          <w:sz w:val="22"/>
          <w:szCs w:val="22"/>
        </w:rPr>
        <w:t xml:space="preserve"> </w:t>
      </w:r>
      <w:r w:rsidRPr="00251D82">
        <w:rPr>
          <w:rFonts w:asciiTheme="minorHAnsi" w:hAnsiTheme="minorHAnsi" w:cstheme="minorHAnsi"/>
          <w:bCs/>
          <w:color w:val="auto"/>
          <w:sz w:val="22"/>
          <w:szCs w:val="22"/>
        </w:rPr>
        <w:t>une pluviométrie faible, avec un renforcement récent par la réalisation d’une 1ere</w:t>
      </w:r>
      <w:r>
        <w:rPr>
          <w:rFonts w:asciiTheme="minorHAnsi" w:hAnsiTheme="minorHAnsi" w:cstheme="minorHAnsi"/>
          <w:bCs/>
          <w:color w:val="auto"/>
          <w:sz w:val="22"/>
          <w:szCs w:val="22"/>
        </w:rPr>
        <w:t xml:space="preserve"> </w:t>
      </w:r>
      <w:r w:rsidRPr="00251D82">
        <w:rPr>
          <w:rFonts w:asciiTheme="minorHAnsi" w:hAnsiTheme="minorHAnsi" w:cstheme="minorHAnsi"/>
          <w:bCs/>
          <w:color w:val="auto"/>
          <w:sz w:val="22"/>
          <w:szCs w:val="22"/>
        </w:rPr>
        <w:t>tranche de travaux (30 km de conduite de collecte et d’évacuation avec une</w:t>
      </w:r>
      <w:r>
        <w:rPr>
          <w:rFonts w:asciiTheme="minorHAnsi" w:hAnsiTheme="minorHAnsi" w:cstheme="minorHAnsi"/>
          <w:bCs/>
          <w:color w:val="auto"/>
          <w:sz w:val="22"/>
          <w:szCs w:val="22"/>
        </w:rPr>
        <w:t xml:space="preserve"> </w:t>
      </w:r>
      <w:r w:rsidRPr="00251D82">
        <w:rPr>
          <w:rFonts w:asciiTheme="minorHAnsi" w:hAnsiTheme="minorHAnsi" w:cstheme="minorHAnsi"/>
          <w:bCs/>
          <w:color w:val="auto"/>
          <w:sz w:val="22"/>
          <w:szCs w:val="22"/>
        </w:rPr>
        <w:t>station de rejet). Les villes de Rosso, Kiffa, Atar et Sélibaby, également</w:t>
      </w:r>
      <w:r>
        <w:rPr>
          <w:rFonts w:asciiTheme="minorHAnsi" w:hAnsiTheme="minorHAnsi" w:cstheme="minorHAnsi"/>
          <w:bCs/>
          <w:color w:val="auto"/>
          <w:sz w:val="22"/>
          <w:szCs w:val="22"/>
        </w:rPr>
        <w:t xml:space="preserve"> </w:t>
      </w:r>
      <w:r w:rsidRPr="00251D82">
        <w:rPr>
          <w:rFonts w:asciiTheme="minorHAnsi" w:hAnsiTheme="minorHAnsi" w:cstheme="minorHAnsi"/>
          <w:bCs/>
          <w:color w:val="auto"/>
          <w:sz w:val="22"/>
          <w:szCs w:val="22"/>
        </w:rPr>
        <w:t>vulnérables aux inondations, sont également prioritaires.</w:t>
      </w:r>
    </w:p>
    <w:p w14:paraId="33F4648B" w14:textId="77777777" w:rsidR="008F2269" w:rsidRDefault="008F2269" w:rsidP="008F2269">
      <w:pPr>
        <w:pStyle w:val="Default"/>
        <w:spacing w:before="240"/>
        <w:jc w:val="both"/>
        <w:rPr>
          <w:rFonts w:asciiTheme="minorHAnsi" w:hAnsiTheme="minorHAnsi" w:cstheme="minorHAnsi"/>
          <w:bCs/>
          <w:color w:val="auto"/>
          <w:sz w:val="22"/>
          <w:szCs w:val="22"/>
        </w:rPr>
      </w:pPr>
      <w:r>
        <w:rPr>
          <w:rFonts w:asciiTheme="minorHAnsi" w:hAnsiTheme="minorHAnsi" w:cstheme="minorHAnsi"/>
          <w:bCs/>
          <w:color w:val="auto"/>
          <w:sz w:val="22"/>
          <w:szCs w:val="22"/>
        </w:rPr>
        <w:t>En milieu urbain des camions citernes sont mobilisés pour pomper et évacuer les eaux hors des villes. Nouakchott dispose en partie d’hydro-cureuses renforcées par les camions citernes.</w:t>
      </w:r>
    </w:p>
    <w:p w14:paraId="41C1FBAB" w14:textId="77777777" w:rsidR="008F2269" w:rsidRDefault="008F2269" w:rsidP="008F2269">
      <w:pPr>
        <w:pStyle w:val="Default"/>
        <w:spacing w:before="240"/>
        <w:jc w:val="both"/>
        <w:rPr>
          <w:rFonts w:asciiTheme="minorHAnsi" w:hAnsiTheme="minorHAnsi" w:cstheme="minorHAnsi"/>
          <w:bCs/>
          <w:color w:val="auto"/>
          <w:sz w:val="22"/>
          <w:szCs w:val="22"/>
        </w:rPr>
      </w:pPr>
      <w:r>
        <w:rPr>
          <w:rFonts w:asciiTheme="minorHAnsi" w:hAnsiTheme="minorHAnsi" w:cstheme="minorHAnsi"/>
          <w:bCs/>
          <w:color w:val="auto"/>
          <w:sz w:val="22"/>
          <w:szCs w:val="22"/>
        </w:rPr>
        <w:t>En milieu rural, des motopompes et des stations sont installées pour évacuer les eaux lors des inondations.</w:t>
      </w:r>
    </w:p>
    <w:p w14:paraId="49E09A6C" w14:textId="77777777" w:rsidR="008F2269" w:rsidRDefault="008F2269" w:rsidP="008F2269">
      <w:pPr>
        <w:pStyle w:val="Default"/>
        <w:numPr>
          <w:ilvl w:val="1"/>
          <w:numId w:val="100"/>
        </w:numPr>
        <w:spacing w:before="120" w:after="120"/>
        <w:ind w:left="522" w:hanging="522"/>
        <w:jc w:val="both"/>
        <w:outlineLvl w:val="1"/>
        <w:rPr>
          <w:rFonts w:asciiTheme="minorHAnsi" w:hAnsiTheme="minorHAnsi" w:cstheme="minorHAnsi"/>
          <w:b/>
          <w:color w:val="auto"/>
          <w:sz w:val="22"/>
          <w:szCs w:val="22"/>
        </w:rPr>
      </w:pPr>
      <w:bookmarkStart w:id="113" w:name="_Toc180318677"/>
      <w:r>
        <w:rPr>
          <w:rFonts w:asciiTheme="minorHAnsi" w:hAnsiTheme="minorHAnsi" w:cstheme="minorHAnsi"/>
          <w:b/>
          <w:color w:val="auto"/>
          <w:sz w:val="22"/>
          <w:szCs w:val="22"/>
        </w:rPr>
        <w:t xml:space="preserve">Les </w:t>
      </w:r>
      <w:r w:rsidRPr="00101760">
        <w:rPr>
          <w:rFonts w:asciiTheme="minorHAnsi" w:hAnsiTheme="minorHAnsi" w:cstheme="minorHAnsi"/>
          <w:b/>
          <w:color w:val="auto"/>
          <w:sz w:val="22"/>
          <w:szCs w:val="22"/>
        </w:rPr>
        <w:t>Atouts</w:t>
      </w:r>
      <w:bookmarkEnd w:id="113"/>
    </w:p>
    <w:p w14:paraId="48911021" w14:textId="77777777" w:rsidR="008F2269" w:rsidRPr="006F4103" w:rsidRDefault="008F2269" w:rsidP="008F2269">
      <w:pPr>
        <w:pStyle w:val="Default"/>
        <w:spacing w:before="120" w:after="120"/>
        <w:jc w:val="both"/>
        <w:rPr>
          <w:rFonts w:asciiTheme="minorHAnsi" w:hAnsiTheme="minorHAnsi" w:cstheme="minorHAnsi"/>
          <w:bCs/>
          <w:color w:val="auto"/>
          <w:sz w:val="22"/>
          <w:szCs w:val="22"/>
        </w:rPr>
      </w:pPr>
      <w:r w:rsidRPr="006F4103">
        <w:rPr>
          <w:rFonts w:asciiTheme="minorHAnsi" w:hAnsiTheme="minorHAnsi" w:cstheme="minorHAnsi"/>
          <w:bCs/>
          <w:color w:val="auto"/>
          <w:sz w:val="22"/>
          <w:szCs w:val="22"/>
        </w:rPr>
        <w:t>Les atouts relevés pour le secteur sont notamment les suivants :</w:t>
      </w:r>
    </w:p>
    <w:p w14:paraId="0024953D" w14:textId="77777777" w:rsidR="008F2269" w:rsidRPr="006F4103"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6F4103">
        <w:rPr>
          <w:rFonts w:asciiTheme="minorHAnsi" w:hAnsiTheme="minorHAnsi" w:cstheme="minorHAnsi"/>
          <w:bCs/>
          <w:color w:val="auto"/>
          <w:sz w:val="22"/>
          <w:szCs w:val="22"/>
        </w:rPr>
        <w:t>Le secteur de l’eau et de l’assainissement reste une priorité majeure de la politique de développement du pays, en lien avec les Objectifs de Développement Durable (ODD) de 2030, la Stratégie de Croissance Accélérée et de Prospérité Partagée (SCAPP) et la Contribution Nationale Déterminée et révisée (CDN) pour la même échéance ;</w:t>
      </w:r>
    </w:p>
    <w:p w14:paraId="167DF112" w14:textId="77777777" w:rsidR="008F2269" w:rsidRPr="006F4103"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6F4103">
        <w:rPr>
          <w:rFonts w:asciiTheme="minorHAnsi" w:hAnsiTheme="minorHAnsi" w:cstheme="minorHAnsi"/>
          <w:bCs/>
          <w:color w:val="auto"/>
          <w:sz w:val="22"/>
          <w:szCs w:val="22"/>
        </w:rPr>
        <w:t>Le cadre institutionnel et réglementaire général est globalement adapté aux enjeux sectoriels suite à la mise à jour du Code de l’Eau et l’élaboration du code de l’Assainissement et au renforcement attendu du corpus juridique à l’échéance 2022 ;</w:t>
      </w:r>
    </w:p>
    <w:p w14:paraId="789603F2" w14:textId="77777777" w:rsidR="008F2269" w:rsidRPr="006F4103"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6F4103">
        <w:rPr>
          <w:rFonts w:asciiTheme="minorHAnsi" w:hAnsiTheme="minorHAnsi" w:cstheme="minorHAnsi"/>
          <w:bCs/>
          <w:color w:val="auto"/>
          <w:sz w:val="22"/>
          <w:szCs w:val="22"/>
        </w:rPr>
        <w:t>Le Plan Directeur National d’Aménagement et de Gestion Intégrée des Eaux prévu dans le Code de l’Eau devrait être élaboré avant 2030. Il permettra de préciser les besoins en eau pour les différents usages et de fixer les règles d’exploitation du domaine patrimonial hydraulique pour chaque usage ;</w:t>
      </w:r>
    </w:p>
    <w:p w14:paraId="2E226344" w14:textId="77777777" w:rsidR="008F2269" w:rsidRPr="006F4103"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6F4103">
        <w:rPr>
          <w:rFonts w:asciiTheme="minorHAnsi" w:hAnsiTheme="minorHAnsi" w:cstheme="minorHAnsi"/>
          <w:bCs/>
          <w:color w:val="auto"/>
          <w:sz w:val="22"/>
          <w:szCs w:val="22"/>
        </w:rPr>
        <w:t>Le cadre stratégique sectoriel « satellite » (développement rural, élevage, hygiène et assainissement, environnement) est mis à jour jusqu’en 2025 ;</w:t>
      </w:r>
    </w:p>
    <w:p w14:paraId="7846F999" w14:textId="77777777" w:rsidR="008F2269" w:rsidRPr="006F4103"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6F4103">
        <w:rPr>
          <w:rFonts w:asciiTheme="minorHAnsi" w:hAnsiTheme="minorHAnsi" w:cstheme="minorHAnsi"/>
          <w:bCs/>
          <w:color w:val="auto"/>
          <w:sz w:val="22"/>
          <w:szCs w:val="22"/>
        </w:rPr>
        <w:t>Des progrès significatifs ont été accomplis en termes d’accès à l’eau et l’assainissement, portés par l’accroissement des taux de raccordement des populations pour l’AEP et par la mise en œuvre de l’approche de l’Assainissement Total Par la Communauté – ATPC dans le milieu rural ;</w:t>
      </w:r>
    </w:p>
    <w:p w14:paraId="55E250E0" w14:textId="77777777" w:rsidR="008F2269" w:rsidRPr="006F4103"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6F4103">
        <w:rPr>
          <w:rFonts w:asciiTheme="minorHAnsi" w:hAnsiTheme="minorHAnsi" w:cstheme="minorHAnsi"/>
          <w:bCs/>
          <w:color w:val="auto"/>
          <w:sz w:val="22"/>
          <w:szCs w:val="22"/>
        </w:rPr>
        <w:t>Des investissements importants pour l’accès à l’eau et l’assainissement dans la capitale sont réalisés et devraient se renforcer dans les prochaines années ;</w:t>
      </w:r>
    </w:p>
    <w:p w14:paraId="66458999" w14:textId="77777777" w:rsidR="008F2269" w:rsidRPr="006F4103"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6F4103">
        <w:rPr>
          <w:rFonts w:asciiTheme="minorHAnsi" w:hAnsiTheme="minorHAnsi" w:cstheme="minorHAnsi"/>
          <w:bCs/>
          <w:color w:val="auto"/>
          <w:sz w:val="22"/>
          <w:szCs w:val="22"/>
        </w:rPr>
        <w:t>La prise en charge de l’assainissement et des eaux de surface est intégrée dans l’action sectorielle ;</w:t>
      </w:r>
    </w:p>
    <w:p w14:paraId="14BCA5D3" w14:textId="77777777" w:rsidR="008F2269"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6F4103">
        <w:rPr>
          <w:rFonts w:asciiTheme="minorHAnsi" w:hAnsiTheme="minorHAnsi" w:cstheme="minorHAnsi"/>
          <w:bCs/>
          <w:color w:val="auto"/>
          <w:sz w:val="22"/>
          <w:szCs w:val="22"/>
        </w:rPr>
        <w:t xml:space="preserve">L’élaboration de Directives pour les interventions sectorielles est en cours ;  </w:t>
      </w:r>
    </w:p>
    <w:p w14:paraId="24325111" w14:textId="77777777" w:rsidR="008F2269" w:rsidRPr="006F4103" w:rsidRDefault="008F2269" w:rsidP="008F2269">
      <w:pPr>
        <w:pStyle w:val="Default"/>
        <w:numPr>
          <w:ilvl w:val="0"/>
          <w:numId w:val="108"/>
        </w:numPr>
        <w:ind w:left="357" w:hanging="357"/>
        <w:jc w:val="both"/>
        <w:rPr>
          <w:rFonts w:asciiTheme="minorHAnsi" w:hAnsiTheme="minorHAnsi" w:cstheme="minorHAnsi"/>
          <w:bCs/>
          <w:color w:val="auto"/>
          <w:sz w:val="22"/>
          <w:szCs w:val="22"/>
        </w:rPr>
      </w:pPr>
      <w:r>
        <w:rPr>
          <w:rFonts w:asciiTheme="minorHAnsi" w:hAnsiTheme="minorHAnsi" w:cstheme="minorHAnsi"/>
          <w:bCs/>
          <w:color w:val="auto"/>
          <w:sz w:val="22"/>
          <w:szCs w:val="22"/>
        </w:rPr>
        <w:t>L</w:t>
      </w:r>
      <w:r w:rsidRPr="006F4103">
        <w:rPr>
          <w:rFonts w:asciiTheme="minorHAnsi" w:hAnsiTheme="minorHAnsi" w:cstheme="minorHAnsi"/>
          <w:bCs/>
          <w:color w:val="auto"/>
          <w:sz w:val="22"/>
          <w:szCs w:val="22"/>
        </w:rPr>
        <w:t>a gestion déléguée des réseaux en milieu rural et semi urbain non subventionnée est en cours de développement ; il est promu par la nouvelle Loi PPP ;</w:t>
      </w:r>
    </w:p>
    <w:p w14:paraId="395CC29B" w14:textId="77777777" w:rsidR="008F2269" w:rsidRPr="006F4103"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6F4103">
        <w:rPr>
          <w:rFonts w:asciiTheme="minorHAnsi" w:hAnsiTheme="minorHAnsi" w:cstheme="minorHAnsi"/>
          <w:bCs/>
          <w:color w:val="auto"/>
          <w:sz w:val="22"/>
          <w:szCs w:val="22"/>
        </w:rPr>
        <w:t>La prise en compte des enjeux liés au développement durable et au réchauffement climatique est appuyée au niveau de l’Etat, en particulier par le développement du pompage solaire ;</w:t>
      </w:r>
    </w:p>
    <w:p w14:paraId="36A28E73" w14:textId="77777777" w:rsidR="008F2269" w:rsidRPr="006F4103"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6F4103">
        <w:rPr>
          <w:rFonts w:asciiTheme="minorHAnsi" w:hAnsiTheme="minorHAnsi" w:cstheme="minorHAnsi"/>
          <w:bCs/>
          <w:color w:val="auto"/>
          <w:sz w:val="22"/>
          <w:szCs w:val="22"/>
        </w:rPr>
        <w:t>Le cadre de concertation intersectoriel existe aux niveaux central et régional ;</w:t>
      </w:r>
    </w:p>
    <w:p w14:paraId="153F98F6" w14:textId="77777777" w:rsidR="008F2269" w:rsidRPr="006F4103"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6F4103">
        <w:rPr>
          <w:rFonts w:asciiTheme="minorHAnsi" w:hAnsiTheme="minorHAnsi" w:cstheme="minorHAnsi"/>
          <w:bCs/>
          <w:color w:val="auto"/>
          <w:sz w:val="22"/>
          <w:szCs w:val="22"/>
        </w:rPr>
        <w:t>Les partenaires techniques et financiers augmentent et appuient le secteur depuis de nombreuses années et sur la durée.</w:t>
      </w:r>
    </w:p>
    <w:p w14:paraId="43DBDE46" w14:textId="77777777" w:rsidR="008F2269" w:rsidRDefault="008F2269" w:rsidP="008F2269">
      <w:pPr>
        <w:pStyle w:val="Default"/>
        <w:numPr>
          <w:ilvl w:val="1"/>
          <w:numId w:val="100"/>
        </w:numPr>
        <w:spacing w:before="120" w:after="120"/>
        <w:jc w:val="both"/>
        <w:outlineLvl w:val="1"/>
        <w:rPr>
          <w:rFonts w:asciiTheme="minorHAnsi" w:hAnsiTheme="minorHAnsi" w:cstheme="minorHAnsi"/>
          <w:b/>
          <w:color w:val="auto"/>
          <w:sz w:val="22"/>
          <w:szCs w:val="22"/>
        </w:rPr>
      </w:pPr>
      <w:bookmarkStart w:id="114" w:name="_Toc180318678"/>
      <w:r>
        <w:rPr>
          <w:rFonts w:asciiTheme="minorHAnsi" w:hAnsiTheme="minorHAnsi" w:cstheme="minorHAnsi"/>
          <w:b/>
          <w:color w:val="auto"/>
          <w:sz w:val="22"/>
          <w:szCs w:val="22"/>
        </w:rPr>
        <w:t xml:space="preserve">Les </w:t>
      </w:r>
      <w:r w:rsidRPr="00101760">
        <w:rPr>
          <w:rFonts w:asciiTheme="minorHAnsi" w:hAnsiTheme="minorHAnsi" w:cstheme="minorHAnsi"/>
          <w:b/>
          <w:color w:val="auto"/>
          <w:sz w:val="22"/>
          <w:szCs w:val="22"/>
        </w:rPr>
        <w:t>Contraintes</w:t>
      </w:r>
      <w:bookmarkEnd w:id="114"/>
    </w:p>
    <w:p w14:paraId="64EAF327" w14:textId="77777777" w:rsidR="008F2269" w:rsidRPr="00E142F6" w:rsidRDefault="008F2269" w:rsidP="008F2269">
      <w:pPr>
        <w:spacing w:before="120" w:after="120" w:line="240" w:lineRule="auto"/>
        <w:rPr>
          <w:rFonts w:eastAsia="Calibri" w:cstheme="minorHAnsi"/>
          <w:bCs/>
        </w:rPr>
      </w:pPr>
      <w:bookmarkStart w:id="115" w:name="_Toc176164641"/>
      <w:bookmarkStart w:id="116" w:name="_Toc51854354"/>
      <w:bookmarkStart w:id="117" w:name="_Toc51930346"/>
      <w:bookmarkStart w:id="118" w:name="_Toc57057435"/>
      <w:bookmarkEnd w:id="68"/>
      <w:bookmarkEnd w:id="69"/>
      <w:r w:rsidRPr="00E142F6">
        <w:rPr>
          <w:rFonts w:eastAsia="Calibri" w:cstheme="minorHAnsi"/>
          <w:bCs/>
        </w:rPr>
        <w:t>Les principales contraintes relevées pour le secteur sont les suivantes :</w:t>
      </w:r>
      <w:bookmarkEnd w:id="115"/>
    </w:p>
    <w:p w14:paraId="247F0333" w14:textId="77777777" w:rsidR="008F2269" w:rsidRPr="000B6D38" w:rsidRDefault="008F2269" w:rsidP="008F2269">
      <w:pPr>
        <w:pStyle w:val="Default"/>
        <w:numPr>
          <w:ilvl w:val="0"/>
          <w:numId w:val="108"/>
        </w:numPr>
        <w:ind w:left="357" w:hanging="357"/>
        <w:jc w:val="both"/>
        <w:rPr>
          <w:rFonts w:asciiTheme="minorHAnsi" w:hAnsiTheme="minorHAnsi" w:cstheme="minorHAnsi"/>
          <w:bCs/>
          <w:color w:val="auto"/>
          <w:sz w:val="22"/>
          <w:szCs w:val="22"/>
        </w:rPr>
      </w:pPr>
      <w:bookmarkStart w:id="119" w:name="_Toc176164642"/>
      <w:r w:rsidRPr="000B6D38">
        <w:rPr>
          <w:rFonts w:asciiTheme="minorHAnsi" w:hAnsiTheme="minorHAnsi" w:cstheme="minorHAnsi"/>
          <w:bCs/>
          <w:color w:val="auto"/>
          <w:sz w:val="22"/>
          <w:szCs w:val="22"/>
        </w:rPr>
        <w:t>Des chevauchements juridiques sur les compétences des différentes institutions restent à lever ; ils nuisent à la mise en œuvre des stratégies nationales ;</w:t>
      </w:r>
      <w:bookmarkEnd w:id="119"/>
    </w:p>
    <w:p w14:paraId="37AA81D0" w14:textId="77777777" w:rsidR="008F2269" w:rsidRPr="000B6D38"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0B6D38">
        <w:rPr>
          <w:rFonts w:asciiTheme="minorHAnsi" w:hAnsiTheme="minorHAnsi" w:cstheme="minorHAnsi"/>
          <w:bCs/>
          <w:color w:val="auto"/>
          <w:sz w:val="22"/>
          <w:szCs w:val="22"/>
        </w:rPr>
        <w:t>Le MHA n’assume pas son rôle de maîtrise d’ouvrage sur l’ensemble des interventions sectorielles et les collectivités locales n’assurent pas leur leadership en termes de maîtrise d’ouvrage autorisé par la Loi sur la décentralisation.</w:t>
      </w:r>
    </w:p>
    <w:p w14:paraId="2342CA94" w14:textId="77777777" w:rsidR="008F2269" w:rsidRPr="000B6D38"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0B6D38">
        <w:rPr>
          <w:rFonts w:asciiTheme="minorHAnsi" w:hAnsiTheme="minorHAnsi" w:cstheme="minorHAnsi"/>
          <w:bCs/>
          <w:color w:val="auto"/>
          <w:sz w:val="22"/>
          <w:szCs w:val="22"/>
        </w:rPr>
        <w:t>Les outils de programmation et suivi budgétaire (de type BPO et CDMT) qui doivent être portés par la Direction de la Planification et de la Coopération (DPC) ne sont pas encore en place ;</w:t>
      </w:r>
    </w:p>
    <w:p w14:paraId="54624437" w14:textId="77777777" w:rsidR="008F2269" w:rsidRPr="000B6D38"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0B6D38">
        <w:rPr>
          <w:rFonts w:asciiTheme="minorHAnsi" w:hAnsiTheme="minorHAnsi" w:cstheme="minorHAnsi"/>
          <w:bCs/>
          <w:color w:val="auto"/>
          <w:sz w:val="22"/>
          <w:szCs w:val="22"/>
        </w:rPr>
        <w:t>Les capacités nationales sectorielles restent faibles, en particulier pour le secteur public, le secteur privé s’étant renforcé ces dernières années ;</w:t>
      </w:r>
    </w:p>
    <w:p w14:paraId="58DFD183" w14:textId="77777777" w:rsidR="008F2269" w:rsidRPr="000B6D38" w:rsidRDefault="008F2269" w:rsidP="008F2269">
      <w:pPr>
        <w:pStyle w:val="Default"/>
        <w:numPr>
          <w:ilvl w:val="0"/>
          <w:numId w:val="108"/>
        </w:numPr>
        <w:ind w:left="357" w:hanging="357"/>
        <w:jc w:val="both"/>
        <w:rPr>
          <w:rFonts w:asciiTheme="minorHAnsi" w:hAnsiTheme="minorHAnsi" w:cstheme="minorHAnsi"/>
          <w:bCs/>
          <w:color w:val="auto"/>
          <w:sz w:val="22"/>
          <w:szCs w:val="22"/>
        </w:rPr>
      </w:pPr>
      <w:r w:rsidRPr="000B6D38">
        <w:rPr>
          <w:rFonts w:asciiTheme="minorHAnsi" w:hAnsiTheme="minorHAnsi" w:cstheme="minorHAnsi"/>
          <w:bCs/>
          <w:color w:val="auto"/>
          <w:sz w:val="22"/>
          <w:szCs w:val="22"/>
        </w:rPr>
        <w:t>L’instabilité des institutions : Changements</w:t>
      </w:r>
      <w:r>
        <w:rPr>
          <w:rFonts w:asciiTheme="minorHAnsi" w:hAnsiTheme="minorHAnsi" w:cstheme="minorHAnsi"/>
          <w:bCs/>
          <w:color w:val="auto"/>
          <w:sz w:val="22"/>
          <w:szCs w:val="22"/>
        </w:rPr>
        <w:t xml:space="preserve"> fréquents</w:t>
      </w:r>
      <w:r w:rsidRPr="000B6D38">
        <w:rPr>
          <w:rFonts w:asciiTheme="minorHAnsi" w:hAnsiTheme="minorHAnsi" w:cstheme="minorHAnsi"/>
          <w:bCs/>
          <w:color w:val="auto"/>
          <w:sz w:val="22"/>
          <w:szCs w:val="22"/>
        </w:rPr>
        <w:t xml:space="preserve"> de noms</w:t>
      </w:r>
      <w:r>
        <w:rPr>
          <w:rFonts w:asciiTheme="minorHAnsi" w:hAnsiTheme="minorHAnsi" w:cstheme="minorHAnsi"/>
          <w:bCs/>
          <w:color w:val="auto"/>
          <w:sz w:val="22"/>
          <w:szCs w:val="22"/>
        </w:rPr>
        <w:t xml:space="preserve"> des institutions</w:t>
      </w:r>
      <w:r w:rsidRPr="000B6D38">
        <w:rPr>
          <w:rFonts w:asciiTheme="minorHAnsi" w:hAnsiTheme="minorHAnsi" w:cstheme="minorHAnsi"/>
          <w:bCs/>
          <w:color w:val="auto"/>
          <w:sz w:val="22"/>
          <w:szCs w:val="22"/>
        </w:rPr>
        <w:t xml:space="preserve"> et/ou de Titulaires au niveau du Cabinet au cours de l’année.</w:t>
      </w:r>
    </w:p>
    <w:p w14:paraId="1D757F22" w14:textId="77777777" w:rsidR="008F2269" w:rsidRPr="00757BEF" w:rsidRDefault="008F2269" w:rsidP="008F2269">
      <w:pPr>
        <w:pStyle w:val="Paragraphedeliste"/>
        <w:jc w:val="both"/>
      </w:pPr>
    </w:p>
    <w:p w14:paraId="3F9B0E73" w14:textId="77777777" w:rsidR="008F2269" w:rsidRDefault="008F2269" w:rsidP="008F2269">
      <w:pPr>
        <w:pStyle w:val="Paragraphedeliste"/>
        <w:numPr>
          <w:ilvl w:val="1"/>
          <w:numId w:val="100"/>
        </w:numPr>
        <w:suppressAutoHyphens/>
        <w:autoSpaceDN w:val="0"/>
        <w:spacing w:line="240" w:lineRule="auto"/>
        <w:textAlignment w:val="baseline"/>
        <w:outlineLvl w:val="1"/>
        <w:rPr>
          <w:b/>
          <w:bCs/>
        </w:rPr>
      </w:pPr>
      <w:bookmarkStart w:id="120" w:name="_Toc180318679"/>
      <w:r>
        <w:rPr>
          <w:b/>
          <w:bCs/>
        </w:rPr>
        <w:t>Besoins et appui à la mise en œuvre</w:t>
      </w:r>
      <w:bookmarkEnd w:id="120"/>
    </w:p>
    <w:p w14:paraId="3A86161D" w14:textId="77777777" w:rsidR="008F2269" w:rsidRDefault="008F2269" w:rsidP="008F2269">
      <w:pPr>
        <w:pStyle w:val="Paragraphedeliste"/>
        <w:ind w:left="520"/>
        <w:rPr>
          <w:b/>
          <w:bCs/>
        </w:rPr>
      </w:pPr>
    </w:p>
    <w:p w14:paraId="450B2330" w14:textId="77777777" w:rsidR="008F2269" w:rsidRDefault="008F2269" w:rsidP="008F2269">
      <w:pPr>
        <w:pStyle w:val="Paragraphedeliste"/>
        <w:spacing w:after="120"/>
        <w:ind w:left="0"/>
        <w:contextualSpacing w:val="0"/>
        <w:rPr>
          <w:rFonts w:cstheme="minorHAnsi"/>
        </w:rPr>
      </w:pPr>
      <w:r w:rsidRPr="00E92552">
        <w:rPr>
          <w:rFonts w:cstheme="minorHAnsi"/>
        </w:rPr>
        <w:t>Selon la CDN 2021,</w:t>
      </w:r>
      <w:r>
        <w:rPr>
          <w:rFonts w:cstheme="minorHAnsi"/>
        </w:rPr>
        <w:t xml:space="preserve"> les besoins et appui à la mise en œuvre comprennent :</w:t>
      </w:r>
    </w:p>
    <w:p w14:paraId="5751BB4F" w14:textId="77777777" w:rsidR="008F2269" w:rsidRPr="000B6D38" w:rsidRDefault="008F2269" w:rsidP="008F2269">
      <w:pPr>
        <w:rPr>
          <w:rFonts w:cstheme="minorHAnsi"/>
          <w:b/>
          <w:bCs/>
          <w:i/>
          <w:iCs/>
        </w:rPr>
      </w:pPr>
      <w:r w:rsidRPr="000B6D38">
        <w:rPr>
          <w:rFonts w:cstheme="minorHAnsi"/>
          <w:b/>
          <w:bCs/>
          <w:i/>
          <w:iCs/>
        </w:rPr>
        <w:t>Besoins institutionnels, législatifs</w:t>
      </w:r>
      <w:r>
        <w:rPr>
          <w:rFonts w:cstheme="minorHAnsi"/>
          <w:b/>
          <w:bCs/>
          <w:i/>
          <w:iCs/>
        </w:rPr>
        <w:t>,</w:t>
      </w:r>
      <w:r w:rsidRPr="000B6D38">
        <w:rPr>
          <w:rFonts w:cstheme="minorHAnsi"/>
          <w:b/>
          <w:bCs/>
          <w:i/>
          <w:iCs/>
        </w:rPr>
        <w:t xml:space="preserve"> </w:t>
      </w:r>
      <w:r>
        <w:rPr>
          <w:rFonts w:cstheme="minorHAnsi"/>
          <w:b/>
          <w:bCs/>
          <w:i/>
          <w:iCs/>
        </w:rPr>
        <w:t xml:space="preserve">normatifs </w:t>
      </w:r>
      <w:r w:rsidRPr="000B6D38">
        <w:rPr>
          <w:rFonts w:cstheme="minorHAnsi"/>
          <w:b/>
          <w:bCs/>
          <w:i/>
          <w:iCs/>
        </w:rPr>
        <w:t xml:space="preserve">et </w:t>
      </w:r>
      <w:r>
        <w:rPr>
          <w:rFonts w:cstheme="minorHAnsi"/>
          <w:b/>
          <w:bCs/>
          <w:i/>
          <w:iCs/>
        </w:rPr>
        <w:t xml:space="preserve">de </w:t>
      </w:r>
      <w:r w:rsidRPr="000B6D38">
        <w:rPr>
          <w:rFonts w:cstheme="minorHAnsi"/>
          <w:b/>
          <w:bCs/>
          <w:i/>
          <w:iCs/>
        </w:rPr>
        <w:t>gouvernance</w:t>
      </w:r>
    </w:p>
    <w:p w14:paraId="758B9B7D" w14:textId="77777777" w:rsidR="008F2269" w:rsidRPr="00096E85" w:rsidRDefault="008F2269" w:rsidP="008F2269">
      <w:pPr>
        <w:pStyle w:val="Paragraphedeliste"/>
        <w:numPr>
          <w:ilvl w:val="0"/>
          <w:numId w:val="108"/>
        </w:numPr>
        <w:suppressAutoHyphens/>
        <w:autoSpaceDN w:val="0"/>
        <w:spacing w:line="240" w:lineRule="auto"/>
        <w:jc w:val="both"/>
        <w:textAlignment w:val="baseline"/>
        <w:rPr>
          <w:rFonts w:cstheme="minorHAnsi"/>
        </w:rPr>
      </w:pPr>
      <w:r w:rsidRPr="00096E85">
        <w:rPr>
          <w:rFonts w:cstheme="minorHAnsi"/>
        </w:rPr>
        <w:t>Au niveau institutionnel, les lacunes sont (i) la faible implication des acteurs clés dans la</w:t>
      </w:r>
      <w:r>
        <w:rPr>
          <w:rFonts w:cstheme="minorHAnsi"/>
        </w:rPr>
        <w:t xml:space="preserve"> </w:t>
      </w:r>
      <w:r w:rsidRPr="00096E85">
        <w:rPr>
          <w:rFonts w:cstheme="minorHAnsi"/>
        </w:rPr>
        <w:t>mise en œuvre de l’accord de Paris (ii) le manque de clarté dans le partage des rôles et</w:t>
      </w:r>
      <w:r>
        <w:rPr>
          <w:rFonts w:cstheme="minorHAnsi"/>
        </w:rPr>
        <w:t xml:space="preserve"> </w:t>
      </w:r>
      <w:r w:rsidRPr="00096E85">
        <w:rPr>
          <w:rFonts w:cstheme="minorHAnsi"/>
        </w:rPr>
        <w:t>responsabilités entres les différents intervenants aux différents niveaux créant parfois des</w:t>
      </w:r>
      <w:r>
        <w:rPr>
          <w:rFonts w:cstheme="minorHAnsi"/>
        </w:rPr>
        <w:t xml:space="preserve"> </w:t>
      </w:r>
      <w:r w:rsidRPr="00096E85">
        <w:rPr>
          <w:rFonts w:cstheme="minorHAnsi"/>
        </w:rPr>
        <w:t>conflits institutionnels latents (iii) l’insuffisance des actions de formation, d’information et de</w:t>
      </w:r>
      <w:r>
        <w:rPr>
          <w:rFonts w:cstheme="minorHAnsi"/>
        </w:rPr>
        <w:t xml:space="preserve"> </w:t>
      </w:r>
      <w:r w:rsidRPr="00096E85">
        <w:rPr>
          <w:rFonts w:cstheme="minorHAnsi"/>
        </w:rPr>
        <w:t>sensibilisation sur le climat. Ces lacunes requièrent d’intervenir sur (i) la sensibilisation et la</w:t>
      </w:r>
      <w:r>
        <w:rPr>
          <w:rFonts w:cstheme="minorHAnsi"/>
        </w:rPr>
        <w:t xml:space="preserve"> </w:t>
      </w:r>
      <w:r w:rsidRPr="00096E85">
        <w:rPr>
          <w:rFonts w:cstheme="minorHAnsi"/>
        </w:rPr>
        <w:t>responsabilisation de tous les acteurs (ii) l’amélioration de la collaboration entre les acteurs à</w:t>
      </w:r>
      <w:r>
        <w:rPr>
          <w:rFonts w:cstheme="minorHAnsi"/>
        </w:rPr>
        <w:t xml:space="preserve"> </w:t>
      </w:r>
      <w:r w:rsidRPr="00096E85">
        <w:rPr>
          <w:rFonts w:cstheme="minorHAnsi"/>
        </w:rPr>
        <w:t>tous les niveaux (iii) l’amélioration et l’intensification des programmes de sensibilisation du</w:t>
      </w:r>
      <w:r>
        <w:rPr>
          <w:rFonts w:cstheme="minorHAnsi"/>
        </w:rPr>
        <w:t xml:space="preserve"> public sur le climat ;</w:t>
      </w:r>
    </w:p>
    <w:p w14:paraId="07D909CB" w14:textId="77777777" w:rsidR="008F2269" w:rsidRPr="00096E85" w:rsidRDefault="008F2269" w:rsidP="008F2269">
      <w:pPr>
        <w:pStyle w:val="Paragraphedeliste"/>
        <w:numPr>
          <w:ilvl w:val="0"/>
          <w:numId w:val="108"/>
        </w:numPr>
        <w:suppressAutoHyphens/>
        <w:autoSpaceDN w:val="0"/>
        <w:spacing w:line="240" w:lineRule="auto"/>
        <w:jc w:val="both"/>
        <w:textAlignment w:val="baseline"/>
        <w:rPr>
          <w:rFonts w:cstheme="minorHAnsi"/>
        </w:rPr>
      </w:pPr>
      <w:r w:rsidRPr="00096E85">
        <w:rPr>
          <w:rFonts w:cstheme="minorHAnsi"/>
        </w:rPr>
        <w:t>Le pays dispose maintenant de points focaux climat officiellement désignés au niveau de</w:t>
      </w:r>
      <w:r>
        <w:rPr>
          <w:rFonts w:cstheme="minorHAnsi"/>
        </w:rPr>
        <w:t xml:space="preserve"> </w:t>
      </w:r>
      <w:r w:rsidRPr="00096E85">
        <w:rPr>
          <w:rFonts w:cstheme="minorHAnsi"/>
        </w:rPr>
        <w:t>chaque département sectoriel ainsi que de points focaux genre. Ces points focaux ont été au</w:t>
      </w:r>
      <w:r>
        <w:rPr>
          <w:rFonts w:cstheme="minorHAnsi"/>
        </w:rPr>
        <w:t xml:space="preserve"> </w:t>
      </w:r>
      <w:r w:rsidRPr="00096E85">
        <w:rPr>
          <w:rFonts w:cstheme="minorHAnsi"/>
        </w:rPr>
        <w:t>centre des consultations et des concertations menées au cours du processus d’actualisation</w:t>
      </w:r>
      <w:r>
        <w:rPr>
          <w:rFonts w:cstheme="minorHAnsi"/>
        </w:rPr>
        <w:t xml:space="preserve"> </w:t>
      </w:r>
      <w:r w:rsidRPr="00096E85">
        <w:rPr>
          <w:rFonts w:cstheme="minorHAnsi"/>
        </w:rPr>
        <w:t>de la CDN 2021. Le MEDD a été restructurée ce qui a permis d’avoir une</w:t>
      </w:r>
      <w:r>
        <w:rPr>
          <w:rFonts w:cstheme="minorHAnsi"/>
        </w:rPr>
        <w:t xml:space="preserve"> Direction de l’Economie Verte et du Climat ;</w:t>
      </w:r>
    </w:p>
    <w:p w14:paraId="2C595C22" w14:textId="77777777" w:rsidR="008F2269" w:rsidRPr="00096E85" w:rsidRDefault="008F2269" w:rsidP="008F2269">
      <w:pPr>
        <w:pStyle w:val="Paragraphedeliste"/>
        <w:numPr>
          <w:ilvl w:val="0"/>
          <w:numId w:val="108"/>
        </w:numPr>
        <w:suppressAutoHyphens/>
        <w:autoSpaceDN w:val="0"/>
        <w:spacing w:line="240" w:lineRule="auto"/>
        <w:jc w:val="both"/>
        <w:textAlignment w:val="baseline"/>
        <w:rPr>
          <w:rFonts w:cstheme="minorHAnsi"/>
        </w:rPr>
      </w:pPr>
      <w:r w:rsidRPr="00096E85">
        <w:rPr>
          <w:rFonts w:cstheme="minorHAnsi"/>
        </w:rPr>
        <w:t>Des projets Readiness dans le programme pays d’accès au financement du FVC sont</w:t>
      </w:r>
      <w:r>
        <w:rPr>
          <w:rFonts w:cstheme="minorHAnsi"/>
        </w:rPr>
        <w:t xml:space="preserve"> </w:t>
      </w:r>
      <w:r w:rsidRPr="00096E85">
        <w:rPr>
          <w:rFonts w:cstheme="minorHAnsi"/>
        </w:rPr>
        <w:t>prévus pour renforcer les capacités institutionnels, scientifiques et techniques de certains</w:t>
      </w:r>
      <w:r>
        <w:rPr>
          <w:rFonts w:cstheme="minorHAnsi"/>
        </w:rPr>
        <w:t xml:space="preserve"> </w:t>
      </w:r>
      <w:r w:rsidRPr="00096E85">
        <w:rPr>
          <w:rFonts w:cstheme="minorHAnsi"/>
        </w:rPr>
        <w:t>acteurs spécifiques pour renforcer la gouvernance de la politique climat du pays</w:t>
      </w:r>
      <w:r>
        <w:rPr>
          <w:rFonts w:cstheme="minorHAnsi"/>
        </w:rPr>
        <w:t xml:space="preserve"> </w:t>
      </w:r>
      <w:r w:rsidRPr="00096E85">
        <w:rPr>
          <w:rFonts w:cstheme="minorHAnsi"/>
        </w:rPr>
        <w:t>(mét</w:t>
      </w:r>
      <w:r>
        <w:rPr>
          <w:rFonts w:cstheme="minorHAnsi"/>
        </w:rPr>
        <w:t xml:space="preserve">éorologie et données </w:t>
      </w:r>
      <w:r w:rsidRPr="00096E85">
        <w:rPr>
          <w:rFonts w:cstheme="minorHAnsi"/>
        </w:rPr>
        <w:t>climatiques, ressources en eau, secte</w:t>
      </w:r>
      <w:r>
        <w:rPr>
          <w:rFonts w:cstheme="minorHAnsi"/>
        </w:rPr>
        <w:t>ur privé, société civile, etc.) ;</w:t>
      </w:r>
    </w:p>
    <w:p w14:paraId="7B303E58" w14:textId="77777777" w:rsidR="008F2269" w:rsidRDefault="008F2269" w:rsidP="008F2269">
      <w:pPr>
        <w:pStyle w:val="Paragraphedeliste"/>
        <w:numPr>
          <w:ilvl w:val="0"/>
          <w:numId w:val="108"/>
        </w:numPr>
        <w:suppressAutoHyphens/>
        <w:autoSpaceDN w:val="0"/>
        <w:spacing w:line="240" w:lineRule="auto"/>
        <w:jc w:val="both"/>
        <w:textAlignment w:val="baseline"/>
        <w:rPr>
          <w:rFonts w:cstheme="minorHAnsi"/>
        </w:rPr>
      </w:pPr>
      <w:r w:rsidRPr="00096E85">
        <w:rPr>
          <w:rFonts w:cstheme="minorHAnsi"/>
        </w:rPr>
        <w:t>Le projet CBIT pour la mise en œuvre et l’opérationnalisation du système MNV permettra,</w:t>
      </w:r>
      <w:r>
        <w:rPr>
          <w:rFonts w:cstheme="minorHAnsi"/>
        </w:rPr>
        <w:t xml:space="preserve"> </w:t>
      </w:r>
      <w:r w:rsidRPr="00096E85">
        <w:rPr>
          <w:rFonts w:cstheme="minorHAnsi"/>
        </w:rPr>
        <w:t>par ailleurs et entre autres résultats attendus, de clarifier les responsabilités des acteurs</w:t>
      </w:r>
      <w:r>
        <w:rPr>
          <w:rFonts w:cstheme="minorHAnsi"/>
        </w:rPr>
        <w:t xml:space="preserve"> </w:t>
      </w:r>
      <w:r w:rsidRPr="00096E85">
        <w:rPr>
          <w:rFonts w:cstheme="minorHAnsi"/>
        </w:rPr>
        <w:t>notamment les départements ministériels autres que le MEDD dans la mise en œuvre de la</w:t>
      </w:r>
      <w:r>
        <w:rPr>
          <w:rFonts w:cstheme="minorHAnsi"/>
        </w:rPr>
        <w:t xml:space="preserve"> CDN ;</w:t>
      </w:r>
    </w:p>
    <w:p w14:paraId="04D4A671" w14:textId="77777777" w:rsidR="008F2269" w:rsidRDefault="008F2269" w:rsidP="008F2269">
      <w:pPr>
        <w:pStyle w:val="Paragraphedeliste"/>
        <w:numPr>
          <w:ilvl w:val="0"/>
          <w:numId w:val="108"/>
        </w:numPr>
        <w:suppressAutoHyphens/>
        <w:autoSpaceDN w:val="0"/>
        <w:spacing w:line="240" w:lineRule="auto"/>
        <w:jc w:val="both"/>
        <w:textAlignment w:val="baseline"/>
        <w:rPr>
          <w:rFonts w:cstheme="minorHAnsi"/>
        </w:rPr>
      </w:pPr>
      <w:r w:rsidRPr="00D110F9">
        <w:rPr>
          <w:rFonts w:cstheme="minorHAnsi"/>
        </w:rPr>
        <w:t>Les évaluations des besoins en transfert de technologies ont été réalisées en 2017. Elles ont</w:t>
      </w:r>
      <w:r>
        <w:rPr>
          <w:rFonts w:cstheme="minorHAnsi"/>
        </w:rPr>
        <w:t xml:space="preserve"> </w:t>
      </w:r>
      <w:r w:rsidRPr="00D110F9">
        <w:rPr>
          <w:rFonts w:cstheme="minorHAnsi"/>
        </w:rPr>
        <w:t>conduit à l’identification de deux secteurs prioritaires pour l’adaptation (agriculture, parcours</w:t>
      </w:r>
      <w:r>
        <w:rPr>
          <w:rFonts w:cstheme="minorHAnsi"/>
        </w:rPr>
        <w:t xml:space="preserve"> </w:t>
      </w:r>
      <w:r w:rsidRPr="00D110F9">
        <w:rPr>
          <w:rFonts w:cstheme="minorHAnsi"/>
        </w:rPr>
        <w:t>et forêts) et deux secteurs prioritaires pour l’atténuation (énergie et déchets), les besoins</w:t>
      </w:r>
      <w:r>
        <w:rPr>
          <w:rFonts w:cstheme="minorHAnsi"/>
        </w:rPr>
        <w:t xml:space="preserve"> relatifs </w:t>
      </w:r>
      <w:r w:rsidRPr="00D110F9">
        <w:rPr>
          <w:rFonts w:cstheme="minorHAnsi"/>
        </w:rPr>
        <w:t>l’introduction et la maîtrise des technologies innovantes dans ces secteurs sont</w:t>
      </w:r>
      <w:r>
        <w:rPr>
          <w:rFonts w:cstheme="minorHAnsi"/>
        </w:rPr>
        <w:t xml:space="preserve"> </w:t>
      </w:r>
      <w:r w:rsidRPr="00D110F9">
        <w:rPr>
          <w:rFonts w:cstheme="minorHAnsi"/>
        </w:rPr>
        <w:t>détaillés dans le tableau suivant. Elles devront être mises à jour au regard des nouvelles</w:t>
      </w:r>
      <w:r>
        <w:rPr>
          <w:rFonts w:cstheme="minorHAnsi"/>
        </w:rPr>
        <w:t xml:space="preserve"> </w:t>
      </w:r>
      <w:r w:rsidRPr="00D110F9">
        <w:rPr>
          <w:rFonts w:cstheme="minorHAnsi"/>
        </w:rPr>
        <w:t>options d’atténuation et d’adaptation retenues dans la CDN 2021-2030 actualisée.</w:t>
      </w:r>
    </w:p>
    <w:p w14:paraId="6D01E2E3" w14:textId="77777777" w:rsidR="008F2269" w:rsidRPr="00EA4B1C" w:rsidRDefault="008F2269" w:rsidP="008F2269">
      <w:pPr>
        <w:pStyle w:val="Paragraphedeliste"/>
        <w:ind w:left="360"/>
        <w:jc w:val="both"/>
        <w:rPr>
          <w:rFonts w:cstheme="minorHAnsi"/>
        </w:rPr>
      </w:pPr>
    </w:p>
    <w:p w14:paraId="7C6A1440" w14:textId="77777777" w:rsidR="008F2269" w:rsidRPr="00D110F9" w:rsidRDefault="008F2269" w:rsidP="008F2269">
      <w:pPr>
        <w:pStyle w:val="Paragraphedeliste"/>
        <w:ind w:left="0" w:right="-142"/>
        <w:rPr>
          <w:rFonts w:cstheme="minorHAnsi"/>
          <w:b/>
          <w:bCs/>
          <w:i/>
          <w:iCs/>
        </w:rPr>
      </w:pPr>
      <w:r w:rsidRPr="00D110F9">
        <w:rPr>
          <w:rFonts w:cstheme="minorHAnsi"/>
          <w:b/>
          <w:bCs/>
          <w:i/>
          <w:iCs/>
        </w:rPr>
        <w:t>Besoins en transfert de technologies</w:t>
      </w:r>
    </w:p>
    <w:p w14:paraId="0C97C9C6" w14:textId="77777777" w:rsidR="008F2269" w:rsidRDefault="008F2269" w:rsidP="008F2269">
      <w:pPr>
        <w:rPr>
          <w:rFonts w:cstheme="minorHAnsi"/>
        </w:rPr>
      </w:pPr>
      <w:r w:rsidRPr="00096E85">
        <w:rPr>
          <w:rFonts w:cstheme="minorHAnsi"/>
        </w:rPr>
        <w:t xml:space="preserve">Les évaluations des besoins en transfert de technologies ont </w:t>
      </w:r>
      <w:r>
        <w:rPr>
          <w:rFonts w:cstheme="minorHAnsi"/>
        </w:rPr>
        <w:t xml:space="preserve">été réalisées en 2017. Elles ont </w:t>
      </w:r>
      <w:r w:rsidRPr="00096E85">
        <w:rPr>
          <w:rFonts w:cstheme="minorHAnsi"/>
        </w:rPr>
        <w:t>conduit à l’identification de deux secteurs prioritaires pour l’adaptation (agriculture, parcours</w:t>
      </w:r>
      <w:r>
        <w:rPr>
          <w:rFonts w:cstheme="minorHAnsi"/>
        </w:rPr>
        <w:t xml:space="preserve"> et </w:t>
      </w:r>
      <w:r w:rsidRPr="00096E85">
        <w:rPr>
          <w:rFonts w:cstheme="minorHAnsi"/>
        </w:rPr>
        <w:t>forêts) et deux secteurs prioritaires pour l’atténuation (énergie et déchets), les besoins</w:t>
      </w:r>
      <w:r>
        <w:rPr>
          <w:rFonts w:cstheme="minorHAnsi"/>
        </w:rPr>
        <w:t xml:space="preserve"> </w:t>
      </w:r>
      <w:r w:rsidRPr="00096E85">
        <w:rPr>
          <w:rFonts w:cstheme="minorHAnsi"/>
        </w:rPr>
        <w:t>relatifs à l’introduction et la maîtrise des technologies innovantes dans ces secteurs sont</w:t>
      </w:r>
      <w:r>
        <w:rPr>
          <w:rFonts w:cstheme="minorHAnsi"/>
        </w:rPr>
        <w:t xml:space="preserve"> </w:t>
      </w:r>
      <w:r w:rsidRPr="00096E85">
        <w:rPr>
          <w:rFonts w:cstheme="minorHAnsi"/>
        </w:rPr>
        <w:t>détaillés dans le tableau suivant. Elles devront être mises à jour au regard des nouvelles</w:t>
      </w:r>
      <w:r>
        <w:rPr>
          <w:rFonts w:cstheme="minorHAnsi"/>
        </w:rPr>
        <w:t xml:space="preserve"> </w:t>
      </w:r>
      <w:r w:rsidRPr="00096E85">
        <w:rPr>
          <w:rFonts w:cstheme="minorHAnsi"/>
        </w:rPr>
        <w:t>options d’atténuation et d’adaptation retenues dans la CDN 2021-2030 actualisée.</w:t>
      </w:r>
    </w:p>
    <w:p w14:paraId="36246169" w14:textId="77777777" w:rsidR="008F2269" w:rsidRPr="00D110F9" w:rsidRDefault="008F2269" w:rsidP="008F2269">
      <w:pPr>
        <w:pStyle w:val="Paragraphedeliste"/>
        <w:ind w:left="0"/>
        <w:rPr>
          <w:rFonts w:cstheme="minorHAnsi"/>
          <w:b/>
          <w:bCs/>
          <w:i/>
          <w:iCs/>
        </w:rPr>
      </w:pPr>
      <w:r w:rsidRPr="00D110F9">
        <w:rPr>
          <w:rFonts w:cstheme="minorHAnsi"/>
          <w:b/>
          <w:bCs/>
          <w:i/>
          <w:iCs/>
        </w:rPr>
        <w:t xml:space="preserve">Besoins </w:t>
      </w:r>
      <w:r>
        <w:rPr>
          <w:rFonts w:cstheme="minorHAnsi"/>
          <w:b/>
          <w:bCs/>
          <w:i/>
          <w:iCs/>
        </w:rPr>
        <w:t>financiers</w:t>
      </w:r>
    </w:p>
    <w:p w14:paraId="2CB9C0A1" w14:textId="77777777" w:rsidR="008F2269" w:rsidRPr="00EA4B1C" w:rsidRDefault="008F2269" w:rsidP="008F2269">
      <w:pPr>
        <w:rPr>
          <w:rFonts w:cstheme="minorHAnsi"/>
        </w:rPr>
      </w:pPr>
      <w:r w:rsidRPr="00EA4B1C">
        <w:rPr>
          <w:rFonts w:cstheme="minorHAnsi"/>
        </w:rPr>
        <w:t>Récapitulatif des besoins en financements de la CDN</w:t>
      </w:r>
    </w:p>
    <w:p w14:paraId="6D1F9EE7" w14:textId="77777777" w:rsidR="008F2269" w:rsidRPr="00EA4B1C" w:rsidRDefault="008F2269" w:rsidP="008F2269">
      <w:pPr>
        <w:spacing w:after="0" w:line="240" w:lineRule="auto"/>
        <w:ind w:firstLine="709"/>
        <w:rPr>
          <w:rFonts w:cstheme="minorHAnsi"/>
        </w:rPr>
      </w:pPr>
      <w:r w:rsidRPr="00EA4B1C">
        <w:rPr>
          <w:rFonts w:cstheme="minorHAnsi"/>
        </w:rPr>
        <w:t xml:space="preserve">Tableau </w:t>
      </w:r>
      <w:r>
        <w:rPr>
          <w:rFonts w:cstheme="minorHAnsi"/>
        </w:rPr>
        <w:t xml:space="preserve">5 </w:t>
      </w:r>
      <w:r w:rsidRPr="00EA4B1C">
        <w:rPr>
          <w:rFonts w:cstheme="minorHAnsi"/>
        </w:rPr>
        <w:t>: Récapitulatif des besoins en financements de la CDN</w:t>
      </w:r>
      <w:r>
        <w:rPr>
          <w:rFonts w:cstheme="minorHAnsi"/>
        </w:rPr>
        <w:t xml:space="preserve"> 2021</w:t>
      </w:r>
    </w:p>
    <w:tbl>
      <w:tblPr>
        <w:tblStyle w:val="Grilledutableau"/>
        <w:tblW w:w="8826" w:type="dxa"/>
        <w:tblInd w:w="-5" w:type="dxa"/>
        <w:tblLook w:val="04A0" w:firstRow="1" w:lastRow="0" w:firstColumn="1" w:lastColumn="0" w:noHBand="0" w:noVBand="1"/>
      </w:tblPr>
      <w:tblGrid>
        <w:gridCol w:w="4253"/>
        <w:gridCol w:w="1502"/>
        <w:gridCol w:w="1375"/>
        <w:gridCol w:w="1696"/>
      </w:tblGrid>
      <w:tr w:rsidR="008F2269" w14:paraId="3794F7FC" w14:textId="77777777" w:rsidTr="002D1362">
        <w:trPr>
          <w:trHeight w:val="439"/>
        </w:trPr>
        <w:tc>
          <w:tcPr>
            <w:tcW w:w="4253" w:type="dxa"/>
            <w:vAlign w:val="center"/>
          </w:tcPr>
          <w:p w14:paraId="711FE985" w14:textId="77777777" w:rsidR="008F2269" w:rsidRPr="00470889" w:rsidRDefault="008F2269" w:rsidP="002D1362">
            <w:pPr>
              <w:rPr>
                <w:rFonts w:cstheme="minorHAnsi"/>
                <w:b/>
                <w:bCs/>
                <w:sz w:val="20"/>
                <w:szCs w:val="20"/>
              </w:rPr>
            </w:pPr>
            <w:r w:rsidRPr="00470889">
              <w:rPr>
                <w:rFonts w:cstheme="minorHAnsi"/>
                <w:b/>
                <w:bCs/>
                <w:sz w:val="20"/>
                <w:szCs w:val="20"/>
              </w:rPr>
              <w:t>Domaines CDN</w:t>
            </w:r>
          </w:p>
        </w:tc>
        <w:tc>
          <w:tcPr>
            <w:tcW w:w="1502" w:type="dxa"/>
          </w:tcPr>
          <w:p w14:paraId="704E78D7" w14:textId="77777777" w:rsidR="008F2269" w:rsidRPr="00470889" w:rsidRDefault="008F2269" w:rsidP="002D1362">
            <w:pPr>
              <w:rPr>
                <w:rFonts w:cstheme="minorHAnsi"/>
                <w:b/>
                <w:bCs/>
                <w:sz w:val="20"/>
                <w:szCs w:val="20"/>
              </w:rPr>
            </w:pPr>
            <w:r w:rsidRPr="00470889">
              <w:rPr>
                <w:rFonts w:cstheme="minorHAnsi"/>
                <w:b/>
                <w:bCs/>
                <w:sz w:val="20"/>
                <w:szCs w:val="20"/>
              </w:rPr>
              <w:t>Financements</w:t>
            </w:r>
          </w:p>
          <w:p w14:paraId="0D7ED51B" w14:textId="77777777" w:rsidR="008F2269" w:rsidRPr="00470889" w:rsidRDefault="008F2269" w:rsidP="002D1362">
            <w:pPr>
              <w:rPr>
                <w:rFonts w:cstheme="minorHAnsi"/>
                <w:b/>
                <w:bCs/>
                <w:sz w:val="20"/>
                <w:szCs w:val="20"/>
              </w:rPr>
            </w:pPr>
            <w:r w:rsidRPr="00470889">
              <w:rPr>
                <w:rFonts w:cstheme="minorHAnsi"/>
                <w:b/>
                <w:bCs/>
                <w:sz w:val="20"/>
                <w:szCs w:val="20"/>
              </w:rPr>
              <w:t>Inconditionnels</w:t>
            </w:r>
          </w:p>
          <w:p w14:paraId="55C2302B" w14:textId="77777777" w:rsidR="008F2269" w:rsidRPr="00470889" w:rsidRDefault="008F2269" w:rsidP="002D1362">
            <w:pPr>
              <w:rPr>
                <w:rFonts w:cstheme="minorHAnsi"/>
                <w:b/>
                <w:bCs/>
                <w:sz w:val="20"/>
                <w:szCs w:val="20"/>
              </w:rPr>
            </w:pPr>
          </w:p>
        </w:tc>
        <w:tc>
          <w:tcPr>
            <w:tcW w:w="1375" w:type="dxa"/>
          </w:tcPr>
          <w:p w14:paraId="15BEC6C7" w14:textId="77777777" w:rsidR="008F2269" w:rsidRPr="00470889" w:rsidRDefault="008F2269" w:rsidP="002D1362">
            <w:pPr>
              <w:rPr>
                <w:rFonts w:cstheme="minorHAnsi"/>
                <w:b/>
                <w:bCs/>
                <w:sz w:val="20"/>
                <w:szCs w:val="20"/>
              </w:rPr>
            </w:pPr>
            <w:r w:rsidRPr="00470889">
              <w:rPr>
                <w:rFonts w:cstheme="minorHAnsi"/>
                <w:b/>
                <w:bCs/>
                <w:sz w:val="20"/>
                <w:szCs w:val="20"/>
              </w:rPr>
              <w:t>Financements</w:t>
            </w:r>
          </w:p>
          <w:p w14:paraId="52DC7C03" w14:textId="77777777" w:rsidR="008F2269" w:rsidRPr="00470889" w:rsidRDefault="008F2269" w:rsidP="002D1362">
            <w:pPr>
              <w:rPr>
                <w:rFonts w:cstheme="minorHAnsi"/>
                <w:b/>
                <w:bCs/>
                <w:sz w:val="20"/>
                <w:szCs w:val="20"/>
              </w:rPr>
            </w:pPr>
            <w:r w:rsidRPr="00470889">
              <w:rPr>
                <w:rFonts w:cstheme="minorHAnsi"/>
                <w:b/>
                <w:bCs/>
                <w:sz w:val="20"/>
                <w:szCs w:val="20"/>
              </w:rPr>
              <w:t>Conditionnels</w:t>
            </w:r>
          </w:p>
          <w:p w14:paraId="6F8E5003" w14:textId="77777777" w:rsidR="008F2269" w:rsidRPr="00470889" w:rsidRDefault="008F2269" w:rsidP="002D1362">
            <w:pPr>
              <w:rPr>
                <w:rFonts w:cstheme="minorHAnsi"/>
                <w:b/>
                <w:bCs/>
                <w:sz w:val="20"/>
                <w:szCs w:val="20"/>
              </w:rPr>
            </w:pPr>
          </w:p>
        </w:tc>
        <w:tc>
          <w:tcPr>
            <w:tcW w:w="1696" w:type="dxa"/>
          </w:tcPr>
          <w:p w14:paraId="41A06386" w14:textId="77777777" w:rsidR="008F2269" w:rsidRPr="00470889" w:rsidRDefault="008F2269" w:rsidP="002D1362">
            <w:pPr>
              <w:ind w:right="-110"/>
              <w:rPr>
                <w:rFonts w:cstheme="minorHAnsi"/>
                <w:b/>
                <w:bCs/>
                <w:sz w:val="20"/>
                <w:szCs w:val="20"/>
              </w:rPr>
            </w:pPr>
            <w:r w:rsidRPr="00470889">
              <w:rPr>
                <w:rFonts w:cstheme="minorHAnsi"/>
                <w:b/>
                <w:bCs/>
                <w:sz w:val="20"/>
                <w:szCs w:val="20"/>
              </w:rPr>
              <w:t>Total par Domaine</w:t>
            </w:r>
          </w:p>
          <w:p w14:paraId="4116DCD4" w14:textId="77777777" w:rsidR="008F2269" w:rsidRPr="00470889" w:rsidRDefault="008F2269" w:rsidP="002D1362">
            <w:pPr>
              <w:rPr>
                <w:rFonts w:cstheme="minorHAnsi"/>
                <w:b/>
                <w:bCs/>
                <w:sz w:val="20"/>
                <w:szCs w:val="20"/>
              </w:rPr>
            </w:pPr>
            <w:r w:rsidRPr="00470889">
              <w:rPr>
                <w:rFonts w:cstheme="minorHAnsi"/>
                <w:b/>
                <w:bCs/>
                <w:sz w:val="20"/>
                <w:szCs w:val="20"/>
              </w:rPr>
              <w:t>En million de $US</w:t>
            </w:r>
          </w:p>
          <w:p w14:paraId="25227FFE" w14:textId="77777777" w:rsidR="008F2269" w:rsidRPr="00470889" w:rsidRDefault="008F2269" w:rsidP="002D1362">
            <w:pPr>
              <w:rPr>
                <w:rFonts w:cstheme="minorHAnsi"/>
                <w:b/>
                <w:bCs/>
                <w:sz w:val="20"/>
                <w:szCs w:val="20"/>
              </w:rPr>
            </w:pPr>
          </w:p>
        </w:tc>
      </w:tr>
      <w:tr w:rsidR="008F2269" w14:paraId="4E0AB13C" w14:textId="77777777" w:rsidTr="002D1362">
        <w:trPr>
          <w:trHeight w:val="267"/>
        </w:trPr>
        <w:tc>
          <w:tcPr>
            <w:tcW w:w="4253" w:type="dxa"/>
          </w:tcPr>
          <w:p w14:paraId="68FA47AD" w14:textId="77777777" w:rsidR="008F2269" w:rsidRPr="00470889" w:rsidRDefault="008F2269" w:rsidP="002D1362">
            <w:pPr>
              <w:rPr>
                <w:rFonts w:cstheme="minorHAnsi"/>
                <w:sz w:val="20"/>
                <w:szCs w:val="20"/>
              </w:rPr>
            </w:pPr>
            <w:r w:rsidRPr="00470889">
              <w:rPr>
                <w:rFonts w:cstheme="minorHAnsi"/>
                <w:sz w:val="20"/>
                <w:szCs w:val="20"/>
              </w:rPr>
              <w:t xml:space="preserve">Atténuation  </w:t>
            </w:r>
          </w:p>
        </w:tc>
        <w:tc>
          <w:tcPr>
            <w:tcW w:w="1502" w:type="dxa"/>
          </w:tcPr>
          <w:p w14:paraId="649C9C79" w14:textId="77777777" w:rsidR="008F2269" w:rsidRPr="00470889" w:rsidRDefault="008F2269" w:rsidP="002D1362">
            <w:pPr>
              <w:jc w:val="right"/>
              <w:rPr>
                <w:rFonts w:cstheme="minorHAnsi"/>
                <w:sz w:val="20"/>
                <w:szCs w:val="20"/>
              </w:rPr>
            </w:pPr>
            <w:r w:rsidRPr="00470889">
              <w:rPr>
                <w:rFonts w:cstheme="minorHAnsi"/>
                <w:sz w:val="20"/>
                <w:szCs w:val="20"/>
              </w:rPr>
              <w:t>635</w:t>
            </w:r>
          </w:p>
        </w:tc>
        <w:tc>
          <w:tcPr>
            <w:tcW w:w="1375" w:type="dxa"/>
          </w:tcPr>
          <w:p w14:paraId="672BCBFC" w14:textId="77777777" w:rsidR="008F2269" w:rsidRPr="00470889" w:rsidRDefault="008F2269" w:rsidP="002D1362">
            <w:pPr>
              <w:jc w:val="right"/>
              <w:rPr>
                <w:rFonts w:cstheme="minorHAnsi"/>
                <w:sz w:val="20"/>
                <w:szCs w:val="20"/>
              </w:rPr>
            </w:pPr>
            <w:r w:rsidRPr="00470889">
              <w:rPr>
                <w:rFonts w:cstheme="minorHAnsi"/>
                <w:sz w:val="20"/>
                <w:szCs w:val="20"/>
              </w:rPr>
              <w:t>33620</w:t>
            </w:r>
          </w:p>
        </w:tc>
        <w:tc>
          <w:tcPr>
            <w:tcW w:w="1696" w:type="dxa"/>
          </w:tcPr>
          <w:p w14:paraId="163D7052" w14:textId="77777777" w:rsidR="008F2269" w:rsidRPr="00470889" w:rsidRDefault="008F2269" w:rsidP="002D1362">
            <w:pPr>
              <w:jc w:val="right"/>
              <w:rPr>
                <w:rFonts w:cstheme="minorHAnsi"/>
                <w:sz w:val="20"/>
                <w:szCs w:val="20"/>
              </w:rPr>
            </w:pPr>
            <w:r w:rsidRPr="00470889">
              <w:rPr>
                <w:rFonts w:cstheme="minorHAnsi"/>
                <w:sz w:val="20"/>
                <w:szCs w:val="20"/>
              </w:rPr>
              <w:t>34255</w:t>
            </w:r>
          </w:p>
        </w:tc>
      </w:tr>
      <w:tr w:rsidR="008F2269" w14:paraId="79E306DE" w14:textId="77777777" w:rsidTr="002D1362">
        <w:tc>
          <w:tcPr>
            <w:tcW w:w="4253" w:type="dxa"/>
          </w:tcPr>
          <w:p w14:paraId="0B3E3486" w14:textId="77777777" w:rsidR="008F2269" w:rsidRPr="00470889" w:rsidRDefault="008F2269" w:rsidP="002D1362">
            <w:pPr>
              <w:rPr>
                <w:rFonts w:cstheme="minorHAnsi"/>
                <w:sz w:val="20"/>
                <w:szCs w:val="20"/>
              </w:rPr>
            </w:pPr>
            <w:r w:rsidRPr="00470889">
              <w:rPr>
                <w:rFonts w:cstheme="minorHAnsi"/>
                <w:sz w:val="20"/>
                <w:szCs w:val="20"/>
              </w:rPr>
              <w:t xml:space="preserve">Adaptation </w:t>
            </w:r>
          </w:p>
        </w:tc>
        <w:tc>
          <w:tcPr>
            <w:tcW w:w="1502" w:type="dxa"/>
          </w:tcPr>
          <w:p w14:paraId="6C71B778" w14:textId="77777777" w:rsidR="008F2269" w:rsidRPr="00470889" w:rsidRDefault="008F2269" w:rsidP="002D1362">
            <w:pPr>
              <w:jc w:val="right"/>
              <w:rPr>
                <w:rFonts w:cstheme="minorHAnsi"/>
                <w:sz w:val="20"/>
                <w:szCs w:val="20"/>
              </w:rPr>
            </w:pPr>
            <w:r w:rsidRPr="00470889">
              <w:rPr>
                <w:rFonts w:cstheme="minorHAnsi"/>
                <w:sz w:val="20"/>
                <w:szCs w:val="20"/>
              </w:rPr>
              <w:t xml:space="preserve">451,83 </w:t>
            </w:r>
          </w:p>
        </w:tc>
        <w:tc>
          <w:tcPr>
            <w:tcW w:w="1375" w:type="dxa"/>
          </w:tcPr>
          <w:p w14:paraId="619858AC" w14:textId="77777777" w:rsidR="008F2269" w:rsidRPr="00470889" w:rsidRDefault="008F2269" w:rsidP="002D1362">
            <w:pPr>
              <w:jc w:val="right"/>
              <w:rPr>
                <w:rFonts w:cstheme="minorHAnsi"/>
                <w:sz w:val="20"/>
                <w:szCs w:val="20"/>
              </w:rPr>
            </w:pPr>
            <w:r w:rsidRPr="00470889">
              <w:rPr>
                <w:rFonts w:cstheme="minorHAnsi"/>
                <w:sz w:val="20"/>
                <w:szCs w:val="20"/>
              </w:rPr>
              <w:t>10174,63</w:t>
            </w:r>
          </w:p>
        </w:tc>
        <w:tc>
          <w:tcPr>
            <w:tcW w:w="1696" w:type="dxa"/>
          </w:tcPr>
          <w:p w14:paraId="2C8EB5D9" w14:textId="77777777" w:rsidR="008F2269" w:rsidRPr="00470889" w:rsidRDefault="008F2269" w:rsidP="002D1362">
            <w:pPr>
              <w:jc w:val="right"/>
              <w:rPr>
                <w:rFonts w:cstheme="minorHAnsi"/>
                <w:sz w:val="20"/>
                <w:szCs w:val="20"/>
              </w:rPr>
            </w:pPr>
            <w:r w:rsidRPr="00470889">
              <w:rPr>
                <w:rFonts w:cstheme="minorHAnsi"/>
                <w:sz w:val="20"/>
                <w:szCs w:val="20"/>
              </w:rPr>
              <w:t>10626,46</w:t>
            </w:r>
          </w:p>
        </w:tc>
      </w:tr>
      <w:tr w:rsidR="008F2269" w14:paraId="19DE656A" w14:textId="77777777" w:rsidTr="002D1362">
        <w:trPr>
          <w:trHeight w:val="160"/>
        </w:trPr>
        <w:tc>
          <w:tcPr>
            <w:tcW w:w="4253" w:type="dxa"/>
          </w:tcPr>
          <w:p w14:paraId="158B65F7" w14:textId="77777777" w:rsidR="008F2269" w:rsidRPr="00470889" w:rsidRDefault="008F2269" w:rsidP="002D1362">
            <w:pPr>
              <w:jc w:val="both"/>
              <w:rPr>
                <w:rFonts w:cstheme="minorHAnsi"/>
                <w:sz w:val="20"/>
                <w:szCs w:val="20"/>
              </w:rPr>
            </w:pPr>
            <w:r w:rsidRPr="00470889">
              <w:rPr>
                <w:rFonts w:cstheme="minorHAnsi"/>
                <w:sz w:val="20"/>
                <w:szCs w:val="20"/>
              </w:rPr>
              <w:t>Intégration genre et jeunesse</w:t>
            </w:r>
          </w:p>
        </w:tc>
        <w:tc>
          <w:tcPr>
            <w:tcW w:w="1502" w:type="dxa"/>
          </w:tcPr>
          <w:p w14:paraId="1FD37D30" w14:textId="77777777" w:rsidR="008F2269" w:rsidRPr="00470889" w:rsidRDefault="008F2269" w:rsidP="002D1362">
            <w:pPr>
              <w:ind w:firstLine="708"/>
              <w:rPr>
                <w:rFonts w:cstheme="minorHAnsi"/>
                <w:sz w:val="20"/>
                <w:szCs w:val="20"/>
              </w:rPr>
            </w:pPr>
          </w:p>
        </w:tc>
        <w:tc>
          <w:tcPr>
            <w:tcW w:w="1375" w:type="dxa"/>
          </w:tcPr>
          <w:p w14:paraId="0F7666B8" w14:textId="77777777" w:rsidR="008F2269" w:rsidRPr="00470889" w:rsidRDefault="008F2269" w:rsidP="002D1362">
            <w:pPr>
              <w:jc w:val="right"/>
              <w:rPr>
                <w:rFonts w:cstheme="minorHAnsi"/>
                <w:sz w:val="20"/>
                <w:szCs w:val="20"/>
              </w:rPr>
            </w:pPr>
            <w:r w:rsidRPr="00470889">
              <w:rPr>
                <w:rFonts w:cstheme="minorHAnsi"/>
                <w:sz w:val="20"/>
                <w:szCs w:val="20"/>
              </w:rPr>
              <w:t>45,183</w:t>
            </w:r>
          </w:p>
        </w:tc>
        <w:tc>
          <w:tcPr>
            <w:tcW w:w="1696" w:type="dxa"/>
          </w:tcPr>
          <w:p w14:paraId="4C4F50DF" w14:textId="77777777" w:rsidR="008F2269" w:rsidRPr="00470889" w:rsidRDefault="008F2269" w:rsidP="002D1362">
            <w:pPr>
              <w:jc w:val="right"/>
              <w:rPr>
                <w:rFonts w:cstheme="minorHAnsi"/>
                <w:sz w:val="20"/>
                <w:szCs w:val="20"/>
              </w:rPr>
            </w:pPr>
            <w:r w:rsidRPr="00470889">
              <w:rPr>
                <w:rFonts w:cstheme="minorHAnsi"/>
                <w:sz w:val="20"/>
                <w:szCs w:val="20"/>
              </w:rPr>
              <w:t>1017,463</w:t>
            </w:r>
          </w:p>
        </w:tc>
      </w:tr>
      <w:tr w:rsidR="008F2269" w14:paraId="1CF45D27" w14:textId="77777777" w:rsidTr="002D1362">
        <w:trPr>
          <w:trHeight w:val="96"/>
        </w:trPr>
        <w:tc>
          <w:tcPr>
            <w:tcW w:w="4253" w:type="dxa"/>
          </w:tcPr>
          <w:p w14:paraId="03E5444A" w14:textId="77777777" w:rsidR="008F2269" w:rsidRPr="00470889" w:rsidRDefault="008F2269" w:rsidP="002D1362">
            <w:pPr>
              <w:jc w:val="both"/>
              <w:rPr>
                <w:rFonts w:cstheme="minorHAnsi"/>
                <w:sz w:val="20"/>
                <w:szCs w:val="20"/>
              </w:rPr>
            </w:pPr>
            <w:r w:rsidRPr="00470889">
              <w:rPr>
                <w:rFonts w:cstheme="minorHAnsi"/>
                <w:sz w:val="20"/>
                <w:szCs w:val="20"/>
              </w:rPr>
              <w:t>Emplois et Education</w:t>
            </w:r>
          </w:p>
        </w:tc>
        <w:tc>
          <w:tcPr>
            <w:tcW w:w="1502" w:type="dxa"/>
          </w:tcPr>
          <w:p w14:paraId="0D7987E1" w14:textId="77777777" w:rsidR="008F2269" w:rsidRPr="00470889" w:rsidRDefault="008F2269" w:rsidP="002D1362">
            <w:pPr>
              <w:ind w:firstLine="708"/>
              <w:rPr>
                <w:rFonts w:cstheme="minorHAnsi"/>
                <w:sz w:val="20"/>
                <w:szCs w:val="20"/>
              </w:rPr>
            </w:pPr>
            <w:r w:rsidRPr="00470889">
              <w:rPr>
                <w:rFonts w:cstheme="minorHAnsi"/>
                <w:sz w:val="20"/>
                <w:szCs w:val="20"/>
              </w:rPr>
              <w:t xml:space="preserve">- </w:t>
            </w:r>
          </w:p>
        </w:tc>
        <w:tc>
          <w:tcPr>
            <w:tcW w:w="1375" w:type="dxa"/>
          </w:tcPr>
          <w:p w14:paraId="0A5E70AC" w14:textId="77777777" w:rsidR="008F2269" w:rsidRPr="00470889" w:rsidRDefault="008F2269" w:rsidP="002D1362">
            <w:pPr>
              <w:jc w:val="right"/>
              <w:rPr>
                <w:rFonts w:cstheme="minorHAnsi"/>
                <w:sz w:val="20"/>
                <w:szCs w:val="20"/>
              </w:rPr>
            </w:pPr>
            <w:r w:rsidRPr="00470889">
              <w:rPr>
                <w:rFonts w:cstheme="minorHAnsi"/>
                <w:sz w:val="20"/>
                <w:szCs w:val="20"/>
              </w:rPr>
              <w:t>337,75</w:t>
            </w:r>
          </w:p>
        </w:tc>
        <w:tc>
          <w:tcPr>
            <w:tcW w:w="1696" w:type="dxa"/>
          </w:tcPr>
          <w:p w14:paraId="64153738" w14:textId="77777777" w:rsidR="008F2269" w:rsidRPr="00470889" w:rsidRDefault="008F2269" w:rsidP="002D1362">
            <w:pPr>
              <w:jc w:val="right"/>
              <w:rPr>
                <w:rFonts w:cstheme="minorHAnsi"/>
                <w:sz w:val="20"/>
                <w:szCs w:val="20"/>
              </w:rPr>
            </w:pPr>
            <w:r w:rsidRPr="00470889">
              <w:rPr>
                <w:rFonts w:cstheme="minorHAnsi"/>
                <w:sz w:val="20"/>
                <w:szCs w:val="20"/>
              </w:rPr>
              <w:t>337,75</w:t>
            </w:r>
          </w:p>
        </w:tc>
      </w:tr>
      <w:tr w:rsidR="008F2269" w14:paraId="1222DC9C" w14:textId="77777777" w:rsidTr="002D1362">
        <w:trPr>
          <w:trHeight w:val="82"/>
        </w:trPr>
        <w:tc>
          <w:tcPr>
            <w:tcW w:w="4253" w:type="dxa"/>
          </w:tcPr>
          <w:p w14:paraId="65A653AB" w14:textId="77777777" w:rsidR="008F2269" w:rsidRPr="00470889" w:rsidRDefault="008F2269" w:rsidP="002D1362">
            <w:pPr>
              <w:jc w:val="both"/>
              <w:rPr>
                <w:rFonts w:cstheme="minorHAnsi"/>
                <w:sz w:val="20"/>
                <w:szCs w:val="20"/>
              </w:rPr>
            </w:pPr>
            <w:r w:rsidRPr="00470889">
              <w:rPr>
                <w:rFonts w:cstheme="minorHAnsi"/>
                <w:sz w:val="20"/>
                <w:szCs w:val="20"/>
              </w:rPr>
              <w:t>Renforcement des</w:t>
            </w:r>
            <w:r>
              <w:rPr>
                <w:rFonts w:cstheme="minorHAnsi"/>
                <w:sz w:val="20"/>
                <w:szCs w:val="20"/>
              </w:rPr>
              <w:t xml:space="preserve"> </w:t>
            </w:r>
            <w:r w:rsidRPr="00470889">
              <w:rPr>
                <w:rFonts w:cstheme="minorHAnsi"/>
                <w:sz w:val="20"/>
                <w:szCs w:val="20"/>
              </w:rPr>
              <w:t>Capacités</w:t>
            </w:r>
          </w:p>
        </w:tc>
        <w:tc>
          <w:tcPr>
            <w:tcW w:w="1502" w:type="dxa"/>
          </w:tcPr>
          <w:p w14:paraId="38E4B14C" w14:textId="77777777" w:rsidR="008F2269" w:rsidRPr="00470889" w:rsidRDefault="008F2269" w:rsidP="002D1362">
            <w:pPr>
              <w:ind w:firstLine="708"/>
              <w:rPr>
                <w:rFonts w:cstheme="minorHAnsi"/>
                <w:sz w:val="20"/>
                <w:szCs w:val="20"/>
              </w:rPr>
            </w:pPr>
            <w:r w:rsidRPr="00470889">
              <w:rPr>
                <w:rFonts w:cstheme="minorHAnsi"/>
                <w:sz w:val="20"/>
                <w:szCs w:val="20"/>
              </w:rPr>
              <w:t xml:space="preserve">- </w:t>
            </w:r>
          </w:p>
        </w:tc>
        <w:tc>
          <w:tcPr>
            <w:tcW w:w="1375" w:type="dxa"/>
          </w:tcPr>
          <w:p w14:paraId="387272D9" w14:textId="77777777" w:rsidR="008F2269" w:rsidRPr="00470889" w:rsidRDefault="008F2269" w:rsidP="002D1362">
            <w:pPr>
              <w:jc w:val="right"/>
              <w:rPr>
                <w:rFonts w:cstheme="minorHAnsi"/>
                <w:sz w:val="20"/>
                <w:szCs w:val="20"/>
              </w:rPr>
            </w:pPr>
            <w:r w:rsidRPr="00470889">
              <w:rPr>
                <w:rFonts w:cstheme="minorHAnsi"/>
                <w:sz w:val="20"/>
                <w:szCs w:val="20"/>
              </w:rPr>
              <w:t>279,37</w:t>
            </w:r>
          </w:p>
        </w:tc>
        <w:tc>
          <w:tcPr>
            <w:tcW w:w="1696" w:type="dxa"/>
          </w:tcPr>
          <w:p w14:paraId="19ACB831" w14:textId="77777777" w:rsidR="008F2269" w:rsidRPr="00470889" w:rsidRDefault="008F2269" w:rsidP="002D1362">
            <w:pPr>
              <w:jc w:val="right"/>
              <w:rPr>
                <w:rFonts w:cstheme="minorHAnsi"/>
                <w:sz w:val="20"/>
                <w:szCs w:val="20"/>
              </w:rPr>
            </w:pPr>
            <w:r w:rsidRPr="00470889">
              <w:rPr>
                <w:rFonts w:cstheme="minorHAnsi"/>
                <w:sz w:val="20"/>
                <w:szCs w:val="20"/>
              </w:rPr>
              <w:t>279,37</w:t>
            </w:r>
          </w:p>
        </w:tc>
      </w:tr>
      <w:tr w:rsidR="008F2269" w14:paraId="1C481F03" w14:textId="77777777" w:rsidTr="002D1362">
        <w:tc>
          <w:tcPr>
            <w:tcW w:w="4253" w:type="dxa"/>
          </w:tcPr>
          <w:p w14:paraId="5E7617F9" w14:textId="77777777" w:rsidR="008F2269" w:rsidRPr="00470889" w:rsidRDefault="008F2269" w:rsidP="002D1362">
            <w:pPr>
              <w:ind w:left="-69" w:right="-184"/>
              <w:rPr>
                <w:rFonts w:cstheme="minorHAnsi"/>
                <w:sz w:val="20"/>
                <w:szCs w:val="20"/>
              </w:rPr>
            </w:pPr>
            <w:r w:rsidRPr="00470889">
              <w:rPr>
                <w:rFonts w:cstheme="minorHAnsi"/>
                <w:sz w:val="20"/>
                <w:szCs w:val="20"/>
              </w:rPr>
              <w:t>Mise en place et</w:t>
            </w:r>
            <w:r>
              <w:rPr>
                <w:rFonts w:cstheme="minorHAnsi"/>
                <w:sz w:val="20"/>
                <w:szCs w:val="20"/>
              </w:rPr>
              <w:t xml:space="preserve"> </w:t>
            </w:r>
            <w:r w:rsidRPr="00470889">
              <w:rPr>
                <w:rFonts w:cstheme="minorHAnsi"/>
                <w:sz w:val="20"/>
                <w:szCs w:val="20"/>
              </w:rPr>
              <w:t>Opérationnalisation</w:t>
            </w:r>
            <w:r>
              <w:rPr>
                <w:rFonts w:cstheme="minorHAnsi"/>
                <w:sz w:val="20"/>
                <w:szCs w:val="20"/>
              </w:rPr>
              <w:t xml:space="preserve"> d</w:t>
            </w:r>
            <w:r w:rsidRPr="00470889">
              <w:rPr>
                <w:rFonts w:cstheme="minorHAnsi"/>
                <w:sz w:val="20"/>
                <w:szCs w:val="20"/>
              </w:rPr>
              <w:t>u système de</w:t>
            </w:r>
            <w:r>
              <w:rPr>
                <w:rFonts w:cstheme="minorHAnsi"/>
                <w:sz w:val="20"/>
                <w:szCs w:val="20"/>
              </w:rPr>
              <w:t xml:space="preserve"> </w:t>
            </w:r>
            <w:r w:rsidRPr="00470889">
              <w:rPr>
                <w:rFonts w:cstheme="minorHAnsi"/>
                <w:sz w:val="20"/>
                <w:szCs w:val="20"/>
              </w:rPr>
              <w:t>Mesure, vérification</w:t>
            </w:r>
            <w:r>
              <w:rPr>
                <w:rFonts w:cstheme="minorHAnsi"/>
                <w:sz w:val="20"/>
                <w:szCs w:val="20"/>
              </w:rPr>
              <w:t xml:space="preserve"> </w:t>
            </w:r>
            <w:r w:rsidRPr="00470889">
              <w:rPr>
                <w:rFonts w:cstheme="minorHAnsi"/>
                <w:sz w:val="20"/>
                <w:szCs w:val="20"/>
              </w:rPr>
              <w:t xml:space="preserve">Et </w:t>
            </w:r>
            <w:r>
              <w:rPr>
                <w:rFonts w:cstheme="minorHAnsi"/>
                <w:sz w:val="20"/>
                <w:szCs w:val="20"/>
              </w:rPr>
              <w:t xml:space="preserve">de </w:t>
            </w:r>
            <w:r w:rsidRPr="00470889">
              <w:rPr>
                <w:rFonts w:cstheme="minorHAnsi"/>
                <w:sz w:val="20"/>
                <w:szCs w:val="20"/>
              </w:rPr>
              <w:t>notification</w:t>
            </w:r>
          </w:p>
        </w:tc>
        <w:tc>
          <w:tcPr>
            <w:tcW w:w="1502" w:type="dxa"/>
          </w:tcPr>
          <w:p w14:paraId="73829A59" w14:textId="77777777" w:rsidR="008F2269" w:rsidRPr="00470889" w:rsidRDefault="008F2269" w:rsidP="002D1362">
            <w:pPr>
              <w:ind w:firstLine="708"/>
              <w:rPr>
                <w:rFonts w:cstheme="minorHAnsi"/>
                <w:sz w:val="20"/>
                <w:szCs w:val="20"/>
              </w:rPr>
            </w:pPr>
          </w:p>
        </w:tc>
        <w:tc>
          <w:tcPr>
            <w:tcW w:w="1375" w:type="dxa"/>
          </w:tcPr>
          <w:p w14:paraId="746841F0" w14:textId="77777777" w:rsidR="008F2269" w:rsidRPr="00470889" w:rsidRDefault="008F2269" w:rsidP="002D1362">
            <w:pPr>
              <w:rPr>
                <w:rFonts w:cstheme="minorHAnsi"/>
                <w:sz w:val="20"/>
                <w:szCs w:val="20"/>
              </w:rPr>
            </w:pPr>
          </w:p>
        </w:tc>
        <w:tc>
          <w:tcPr>
            <w:tcW w:w="1696" w:type="dxa"/>
            <w:vAlign w:val="center"/>
          </w:tcPr>
          <w:p w14:paraId="5EB68CE5" w14:textId="77777777" w:rsidR="008F2269" w:rsidRPr="00470889" w:rsidRDefault="008F2269" w:rsidP="002D1362">
            <w:pPr>
              <w:jc w:val="right"/>
              <w:rPr>
                <w:rFonts w:cstheme="minorHAnsi"/>
                <w:sz w:val="20"/>
                <w:szCs w:val="20"/>
              </w:rPr>
            </w:pPr>
            <w:r w:rsidRPr="00470889">
              <w:rPr>
                <w:rFonts w:cstheme="minorHAnsi"/>
                <w:sz w:val="20"/>
                <w:szCs w:val="20"/>
              </w:rPr>
              <w:t>46561,226</w:t>
            </w:r>
          </w:p>
        </w:tc>
      </w:tr>
      <w:tr w:rsidR="008F2269" w14:paraId="4077F98C" w14:textId="77777777" w:rsidTr="002D1362">
        <w:tc>
          <w:tcPr>
            <w:tcW w:w="4253" w:type="dxa"/>
          </w:tcPr>
          <w:p w14:paraId="15DA6632" w14:textId="77777777" w:rsidR="008F2269" w:rsidRPr="00470889" w:rsidRDefault="008F2269" w:rsidP="002D1362">
            <w:pPr>
              <w:ind w:firstLine="708"/>
              <w:jc w:val="center"/>
              <w:rPr>
                <w:rFonts w:cstheme="minorHAnsi"/>
                <w:sz w:val="20"/>
                <w:szCs w:val="20"/>
              </w:rPr>
            </w:pPr>
            <w:r w:rsidRPr="00470889">
              <w:rPr>
                <w:rFonts w:cstheme="minorHAnsi"/>
                <w:sz w:val="20"/>
                <w:szCs w:val="20"/>
              </w:rPr>
              <w:t>Total</w:t>
            </w:r>
          </w:p>
        </w:tc>
        <w:tc>
          <w:tcPr>
            <w:tcW w:w="1502" w:type="dxa"/>
          </w:tcPr>
          <w:p w14:paraId="768F572A" w14:textId="77777777" w:rsidR="008F2269" w:rsidRPr="00470889" w:rsidRDefault="008F2269" w:rsidP="002D1362">
            <w:pPr>
              <w:jc w:val="right"/>
              <w:rPr>
                <w:rFonts w:cstheme="minorHAnsi"/>
                <w:sz w:val="20"/>
                <w:szCs w:val="20"/>
              </w:rPr>
            </w:pPr>
            <w:r w:rsidRPr="00470889">
              <w:rPr>
                <w:rFonts w:cstheme="minorHAnsi"/>
                <w:sz w:val="20"/>
                <w:szCs w:val="20"/>
              </w:rPr>
              <w:t>1132,013</w:t>
            </w:r>
          </w:p>
        </w:tc>
        <w:tc>
          <w:tcPr>
            <w:tcW w:w="1375" w:type="dxa"/>
          </w:tcPr>
          <w:p w14:paraId="740FDFA4" w14:textId="77777777" w:rsidR="008F2269" w:rsidRPr="00470889" w:rsidRDefault="008F2269" w:rsidP="002D1362">
            <w:pPr>
              <w:jc w:val="right"/>
              <w:rPr>
                <w:rFonts w:cstheme="minorHAnsi"/>
                <w:sz w:val="20"/>
                <w:szCs w:val="20"/>
              </w:rPr>
            </w:pPr>
            <w:r w:rsidRPr="00470889">
              <w:rPr>
                <w:rFonts w:cstheme="minorHAnsi"/>
                <w:sz w:val="20"/>
                <w:szCs w:val="20"/>
              </w:rPr>
              <w:t>1,263 650</w:t>
            </w:r>
          </w:p>
        </w:tc>
        <w:tc>
          <w:tcPr>
            <w:tcW w:w="1696" w:type="dxa"/>
          </w:tcPr>
          <w:p w14:paraId="20037A4F" w14:textId="77777777" w:rsidR="008F2269" w:rsidRPr="00470889" w:rsidRDefault="008F2269" w:rsidP="002D1362">
            <w:pPr>
              <w:jc w:val="right"/>
              <w:rPr>
                <w:rFonts w:cstheme="minorHAnsi"/>
                <w:sz w:val="20"/>
                <w:szCs w:val="20"/>
              </w:rPr>
            </w:pPr>
            <w:r w:rsidRPr="00470889">
              <w:rPr>
                <w:rFonts w:cstheme="minorHAnsi"/>
                <w:sz w:val="20"/>
                <w:szCs w:val="20"/>
              </w:rPr>
              <w:t>1,263 650</w:t>
            </w:r>
          </w:p>
        </w:tc>
      </w:tr>
    </w:tbl>
    <w:p w14:paraId="55AD4953" w14:textId="77777777" w:rsidR="008F2269" w:rsidRPr="00FA0FF9" w:rsidRDefault="008F2269" w:rsidP="008F2269">
      <w:pPr>
        <w:ind w:left="851"/>
        <w:rPr>
          <w:rFonts w:cstheme="minorHAnsi"/>
          <w:sz w:val="20"/>
          <w:szCs w:val="20"/>
        </w:rPr>
      </w:pPr>
      <w:r w:rsidRPr="00FA0FF9">
        <w:rPr>
          <w:rFonts w:cstheme="minorHAnsi"/>
          <w:sz w:val="20"/>
          <w:szCs w:val="20"/>
        </w:rPr>
        <w:t>Source : CDN 2021.</w:t>
      </w:r>
    </w:p>
    <w:p w14:paraId="73E2CA58" w14:textId="77777777" w:rsidR="008F2269" w:rsidRPr="008F4C42" w:rsidRDefault="008F2269" w:rsidP="008F2269">
      <w:pPr>
        <w:rPr>
          <w:rFonts w:cstheme="minorHAnsi"/>
          <w:b/>
        </w:rPr>
      </w:pPr>
      <w:bookmarkStart w:id="121" w:name="_Toc176164643"/>
      <w:r w:rsidRPr="008F4C42">
        <w:rPr>
          <w:rFonts w:cstheme="minorHAnsi"/>
          <w:b/>
        </w:rPr>
        <w:t>Schéma de financement</w:t>
      </w:r>
      <w:bookmarkEnd w:id="121"/>
    </w:p>
    <w:p w14:paraId="5E797FF6" w14:textId="77777777" w:rsidR="008F2269" w:rsidRPr="00310847" w:rsidRDefault="008F2269" w:rsidP="008F2269">
      <w:pPr>
        <w:jc w:val="both"/>
        <w:rPr>
          <w:rFonts w:cstheme="minorHAnsi"/>
          <w:bCs/>
        </w:rPr>
      </w:pPr>
      <w:bookmarkStart w:id="122" w:name="_Toc176164644"/>
      <w:r w:rsidRPr="00310847">
        <w:rPr>
          <w:rFonts w:cstheme="minorHAnsi"/>
          <w:bCs/>
        </w:rPr>
        <w:t>En Mauritanie, il n’y a pas de système de financement entièrement dédié au changement climatique. Certaines institutions internationales des niveaux multilatéral et bilatéral interviennent dans le cadre du renforcement de la résilience au climat en Mauritanie. Il s’agit de projets/programmes qui interviennent au niveau des secteurs primaires.</w:t>
      </w:r>
      <w:bookmarkEnd w:id="122"/>
    </w:p>
    <w:p w14:paraId="762EF314" w14:textId="77777777" w:rsidR="008F2269" w:rsidRPr="00310847" w:rsidRDefault="008F2269" w:rsidP="008F2269">
      <w:pPr>
        <w:jc w:val="both"/>
        <w:rPr>
          <w:rFonts w:cstheme="minorHAnsi"/>
          <w:bCs/>
        </w:rPr>
      </w:pPr>
      <w:bookmarkStart w:id="123" w:name="_Toc176164645"/>
      <w:r w:rsidRPr="00310847">
        <w:rPr>
          <w:rFonts w:cstheme="minorHAnsi"/>
          <w:bCs/>
        </w:rPr>
        <w:t>Le pays bénéficie aussi de la possibilité de financements au niveau des fonds environnementaux spécifiques (fonds d’adaptation, fonds vert pour le climat, FEM, etc.).</w:t>
      </w:r>
      <w:bookmarkEnd w:id="123"/>
    </w:p>
    <w:p w14:paraId="023049FE" w14:textId="77777777" w:rsidR="008F2269" w:rsidRPr="00310847" w:rsidRDefault="008F2269" w:rsidP="008F2269">
      <w:pPr>
        <w:spacing w:after="0" w:line="240" w:lineRule="auto"/>
        <w:jc w:val="both"/>
        <w:rPr>
          <w:rFonts w:cstheme="minorHAnsi"/>
          <w:bCs/>
        </w:rPr>
      </w:pPr>
      <w:bookmarkStart w:id="124" w:name="_Toc176164646"/>
      <w:r w:rsidRPr="00310847">
        <w:rPr>
          <w:rFonts w:cstheme="minorHAnsi"/>
          <w:bCs/>
        </w:rPr>
        <w:t>Le financement climat provient des ressources mobilisées par la sphère publique c'est-à-dire l’État, ses PTF et d’autres intervenants dans le domaine du développement tels que les ONG, les opérateurs et le système financier international. Bien qu’une analyse approfondie ne soit pas disponible, il faut relever qu’il existe une forte dépendance vis-à-vis des ressources extérieures pour les actions climatiques</w:t>
      </w:r>
      <w:r>
        <w:rPr>
          <w:rFonts w:cstheme="minorHAnsi"/>
          <w:bCs/>
        </w:rPr>
        <w:t> :</w:t>
      </w:r>
      <w:bookmarkEnd w:id="124"/>
    </w:p>
    <w:p w14:paraId="11935557" w14:textId="77777777" w:rsidR="008F2269" w:rsidRPr="00F20CB9" w:rsidRDefault="008F2269" w:rsidP="008F2269">
      <w:pPr>
        <w:pStyle w:val="Paragraphedeliste"/>
        <w:numPr>
          <w:ilvl w:val="0"/>
          <w:numId w:val="150"/>
        </w:numPr>
        <w:suppressAutoHyphens/>
        <w:autoSpaceDN w:val="0"/>
        <w:spacing w:line="240" w:lineRule="auto"/>
        <w:jc w:val="both"/>
        <w:textAlignment w:val="baseline"/>
        <w:rPr>
          <w:rFonts w:cstheme="minorHAnsi"/>
          <w:bCs/>
        </w:rPr>
      </w:pPr>
      <w:bookmarkStart w:id="125" w:name="_Toc176164647"/>
      <w:r w:rsidRPr="00F20CB9">
        <w:rPr>
          <w:rFonts w:cstheme="minorHAnsi"/>
          <w:bCs/>
        </w:rPr>
        <w:t>Financement de l’Etat – Le budget de l’Etat est focalisé sur le fonctionnement des administrations, les aménagements et l’entretien des infrastructures. Certaines activités présentant un caractère spécial (commercialisation des récoltes, approvisionnement en intrants, travaux d’aménagement, etc.) sont financées.</w:t>
      </w:r>
      <w:bookmarkEnd w:id="125"/>
    </w:p>
    <w:p w14:paraId="5C3DA9B2" w14:textId="77777777" w:rsidR="008F2269" w:rsidRPr="00F20CB9" w:rsidRDefault="008F2269" w:rsidP="008F2269">
      <w:pPr>
        <w:pStyle w:val="Paragraphedeliste"/>
        <w:numPr>
          <w:ilvl w:val="0"/>
          <w:numId w:val="150"/>
        </w:numPr>
        <w:suppressAutoHyphens/>
        <w:autoSpaceDN w:val="0"/>
        <w:spacing w:line="240" w:lineRule="auto"/>
        <w:jc w:val="both"/>
        <w:textAlignment w:val="baseline"/>
        <w:rPr>
          <w:rFonts w:cstheme="minorHAnsi"/>
          <w:bCs/>
        </w:rPr>
      </w:pPr>
      <w:bookmarkStart w:id="126" w:name="_Toc176164648"/>
      <w:r w:rsidRPr="00F20CB9">
        <w:rPr>
          <w:rFonts w:cstheme="minorHAnsi"/>
          <w:bCs/>
        </w:rPr>
        <w:t>Financement des Partenaires Techniques et Financiers –Nonobstant les efforts consentis, la coordination entre les PTF mériterait d’être renforcée pour assurer un impact plus important à plus long terme.</w:t>
      </w:r>
      <w:bookmarkEnd w:id="126"/>
    </w:p>
    <w:p w14:paraId="44A40042" w14:textId="77777777" w:rsidR="008F2269" w:rsidRPr="00F20CB9" w:rsidRDefault="008F2269" w:rsidP="008F2269">
      <w:pPr>
        <w:pStyle w:val="Paragraphedeliste"/>
        <w:numPr>
          <w:ilvl w:val="0"/>
          <w:numId w:val="150"/>
        </w:numPr>
        <w:suppressAutoHyphens/>
        <w:autoSpaceDN w:val="0"/>
        <w:spacing w:line="240" w:lineRule="auto"/>
        <w:jc w:val="both"/>
        <w:textAlignment w:val="baseline"/>
        <w:rPr>
          <w:rFonts w:cstheme="minorHAnsi"/>
          <w:bCs/>
        </w:rPr>
      </w:pPr>
      <w:bookmarkStart w:id="127" w:name="_Toc176164649"/>
      <w:r w:rsidRPr="00F20CB9">
        <w:rPr>
          <w:rFonts w:cstheme="minorHAnsi"/>
          <w:bCs/>
        </w:rPr>
        <w:t>Le Fond vert climat (GCF, pour Green Climate Fund) dans le cadre d’un projet de préparation du pays au financement climatique Fond vert climat (Readiness) un programme pays a été élaboré, il a permis de présenter un portefeuille de projets assortis de mesures d’accompagnement – Readiness pour consolider les capacités nationales dans l’élaboration de projets bancables éligibles aux financements climatiques.</w:t>
      </w:r>
      <w:bookmarkEnd w:id="127"/>
    </w:p>
    <w:p w14:paraId="62AAC1B6" w14:textId="77777777" w:rsidR="008F2269" w:rsidRPr="00F20CB9" w:rsidRDefault="008F2269" w:rsidP="008F2269">
      <w:pPr>
        <w:pStyle w:val="Paragraphedeliste"/>
        <w:numPr>
          <w:ilvl w:val="0"/>
          <w:numId w:val="150"/>
        </w:numPr>
        <w:suppressAutoHyphens/>
        <w:autoSpaceDN w:val="0"/>
        <w:spacing w:line="240" w:lineRule="auto"/>
        <w:jc w:val="both"/>
        <w:textAlignment w:val="baseline"/>
        <w:rPr>
          <w:rFonts w:cstheme="minorHAnsi"/>
          <w:bCs/>
        </w:rPr>
      </w:pPr>
      <w:bookmarkStart w:id="128" w:name="_Toc176164650"/>
      <w:r w:rsidRPr="00F20CB9">
        <w:rPr>
          <w:rFonts w:cstheme="minorHAnsi"/>
          <w:bCs/>
        </w:rPr>
        <w:t>Financement des opérateurs et investisseurs privés- le secteur privé est très peu présent dans le financement climat. Une préparation du secteur à ce domaine est prévue dans le programme GCF du pays pour renforcer les capacités des entrepreneurs mauritaniens et leur permettre d’élaborer des investissements éligibles aux financements climatiques.</w:t>
      </w:r>
      <w:bookmarkEnd w:id="128"/>
    </w:p>
    <w:p w14:paraId="4BD645DF" w14:textId="77777777" w:rsidR="008F2269" w:rsidRDefault="008F2269" w:rsidP="008F2269">
      <w:pPr>
        <w:pStyle w:val="Paragraphedeliste"/>
        <w:numPr>
          <w:ilvl w:val="0"/>
          <w:numId w:val="150"/>
        </w:numPr>
        <w:suppressAutoHyphens/>
        <w:autoSpaceDN w:val="0"/>
        <w:spacing w:line="240" w:lineRule="auto"/>
        <w:jc w:val="both"/>
        <w:textAlignment w:val="baseline"/>
      </w:pPr>
      <w:r>
        <w:t>Système financier national : Le système financier existant est caractérisé par une faible contribution du système bancaire au financement du développement en général et du secteur rural, en particulier</w:t>
      </w:r>
    </w:p>
    <w:p w14:paraId="76436548" w14:textId="77777777" w:rsidR="008F2269" w:rsidRDefault="008F2269" w:rsidP="008F2269">
      <w:pPr>
        <w:pStyle w:val="Paragraphedeliste"/>
        <w:numPr>
          <w:ilvl w:val="0"/>
          <w:numId w:val="150"/>
        </w:numPr>
        <w:suppressAutoHyphens/>
        <w:autoSpaceDN w:val="0"/>
        <w:spacing w:line="240" w:lineRule="auto"/>
        <w:jc w:val="both"/>
        <w:textAlignment w:val="baseline"/>
      </w:pPr>
      <w:r>
        <w:t>Système fiscal national : Il y a une absence de mécanismes s’appuyant sur la génération de ressources fiscales pour financer les actions climatiques dans le pays. Un renforcement de capacités dans ce domaine est fortement souhaité afin de contribuer à la mobilisation de ressources financières nationales pour des actions climat dans le pays.</w:t>
      </w:r>
    </w:p>
    <w:p w14:paraId="1291833B" w14:textId="77777777" w:rsidR="008F2269" w:rsidRPr="00C0664D" w:rsidRDefault="008F2269" w:rsidP="008F2269">
      <w:pPr>
        <w:pStyle w:val="Paragraphedeliste"/>
        <w:numPr>
          <w:ilvl w:val="0"/>
          <w:numId w:val="150"/>
        </w:numPr>
        <w:suppressAutoHyphens/>
        <w:autoSpaceDN w:val="0"/>
        <w:spacing w:line="240" w:lineRule="auto"/>
        <w:jc w:val="both"/>
        <w:textAlignment w:val="baseline"/>
        <w:rPr>
          <w:b/>
          <w:bCs/>
        </w:rPr>
      </w:pPr>
      <w:bookmarkStart w:id="129" w:name="_Toc176164651"/>
      <w:r w:rsidRPr="00E100B8">
        <w:rPr>
          <w:rFonts w:cstheme="minorHAnsi"/>
          <w:bCs/>
        </w:rPr>
        <w:t xml:space="preserve">Marchés internationaux : </w:t>
      </w:r>
      <w:r w:rsidRPr="00E100B8">
        <w:rPr>
          <w:bCs/>
        </w:rPr>
        <w:t>La Mauritanie entend recourir à la coopération volontaire au titre de l’article 6 de l’Accord de Paris pour attein</w:t>
      </w:r>
      <w:r>
        <w:rPr>
          <w:bCs/>
        </w:rPr>
        <w:t xml:space="preserve">dre une partie de son objectif </w:t>
      </w:r>
      <w:r w:rsidRPr="00E100B8">
        <w:rPr>
          <w:bCs/>
        </w:rPr>
        <w:t>d’atténuation en utilisant les mécanismes de l’utilisation du carbone (transformative carbonasse facility). Dans ce cadre, le pays envisage d’utiliser ces outils dans le développement et la gestion des projets NAMA sous le mécanisme MDP.</w:t>
      </w:r>
      <w:bookmarkEnd w:id="129"/>
    </w:p>
    <w:p w14:paraId="73641C83" w14:textId="77777777" w:rsidR="008F2269" w:rsidRPr="008F4C42" w:rsidRDefault="008F2269" w:rsidP="008F2269">
      <w:pPr>
        <w:pStyle w:val="Titre1"/>
        <w:spacing w:before="120" w:after="120"/>
        <w:jc w:val="both"/>
        <w:rPr>
          <w:rFonts w:asciiTheme="minorHAnsi" w:hAnsiTheme="minorHAnsi" w:cstheme="minorHAnsi"/>
          <w:b/>
          <w:bCs/>
          <w:color w:val="auto"/>
          <w:sz w:val="22"/>
          <w:szCs w:val="22"/>
        </w:rPr>
      </w:pPr>
      <w:bookmarkStart w:id="130" w:name="_Toc180318680"/>
      <w:r w:rsidRPr="00BE7A39">
        <w:rPr>
          <w:rFonts w:asciiTheme="minorHAnsi" w:hAnsiTheme="minorHAnsi" w:cstheme="minorHAnsi"/>
          <w:color w:val="auto"/>
          <w:sz w:val="22"/>
          <w:szCs w:val="22"/>
        </w:rPr>
        <w:t xml:space="preserve">CHAPITRE </w:t>
      </w:r>
      <w:r>
        <w:rPr>
          <w:rFonts w:asciiTheme="minorHAnsi" w:hAnsiTheme="minorHAnsi" w:cstheme="minorHAnsi"/>
          <w:color w:val="auto"/>
          <w:sz w:val="22"/>
          <w:szCs w:val="22"/>
        </w:rPr>
        <w:t>5</w:t>
      </w:r>
      <w:r w:rsidRPr="00BE7A39">
        <w:rPr>
          <w:rFonts w:asciiTheme="minorHAnsi" w:hAnsiTheme="minorHAnsi" w:cstheme="minorHAnsi"/>
          <w:color w:val="auto"/>
          <w:sz w:val="22"/>
          <w:szCs w:val="22"/>
        </w:rPr>
        <w:t>. EXPOSITION DES RESULTATS STRATEGIQUES</w:t>
      </w:r>
      <w:r w:rsidRPr="00BE7A39">
        <w:rPr>
          <w:rFonts w:asciiTheme="minorHAnsi" w:hAnsiTheme="minorHAnsi" w:cstheme="minorHAnsi"/>
          <w:color w:val="auto"/>
          <w:sz w:val="22"/>
          <w:szCs w:val="22"/>
          <w:vertAlign w:val="superscript"/>
        </w:rPr>
        <w:t>2</w:t>
      </w:r>
      <w:r w:rsidRPr="00BE7A39">
        <w:rPr>
          <w:rFonts w:asciiTheme="minorHAnsi" w:hAnsiTheme="minorHAnsi" w:cstheme="minorHAnsi"/>
          <w:color w:val="auto"/>
          <w:sz w:val="22"/>
          <w:szCs w:val="22"/>
        </w:rPr>
        <w:t xml:space="preserve">CLES AUX RISQUES CLIMATIQUES </w:t>
      </w:r>
      <w:r w:rsidRPr="008F4C42">
        <w:rPr>
          <w:rFonts w:asciiTheme="minorHAnsi" w:hAnsiTheme="minorHAnsi" w:cstheme="minorHAnsi"/>
          <w:color w:val="auto"/>
          <w:sz w:val="22"/>
          <w:szCs w:val="22"/>
        </w:rPr>
        <w:t>(Sources : CDN, Profil climatique du Programme-Pays FVC, CN4, PPE, PNPRC, PCRHC¨*)</w:t>
      </w:r>
      <w:bookmarkEnd w:id="116"/>
      <w:bookmarkEnd w:id="117"/>
      <w:bookmarkEnd w:id="118"/>
      <w:bookmarkEnd w:id="130"/>
    </w:p>
    <w:p w14:paraId="62A6C2A0" w14:textId="77777777" w:rsidR="008F2269" w:rsidRPr="00CB4DFF" w:rsidRDefault="008F2269" w:rsidP="008F2269">
      <w:pPr>
        <w:spacing w:after="0"/>
        <w:jc w:val="both"/>
      </w:pPr>
      <w:r>
        <w:t xml:space="preserve">La CDN actualisée 2021-2030, sur vulnérabilité/impacts, pour l’Eau et l’Assainissement, a retenu les principaux domaines suivants :  </w:t>
      </w:r>
    </w:p>
    <w:p w14:paraId="328569D7" w14:textId="77777777" w:rsidR="008F2269" w:rsidRPr="00CB4DFF" w:rsidRDefault="008F2269" w:rsidP="008F2269">
      <w:pPr>
        <w:autoSpaceDE w:val="0"/>
        <w:autoSpaceDN w:val="0"/>
        <w:adjustRightInd w:val="0"/>
        <w:spacing w:after="0" w:line="240" w:lineRule="auto"/>
        <w:ind w:firstLine="142"/>
        <w:jc w:val="both"/>
        <w:rPr>
          <w:rFonts w:cstheme="minorHAnsi"/>
          <w:bCs/>
        </w:rPr>
      </w:pPr>
      <w:r w:rsidRPr="00CB4DFF">
        <w:rPr>
          <w:rFonts w:cstheme="minorHAnsi"/>
          <w:bCs/>
        </w:rPr>
        <w:t>• Dégradation des ressources en eau</w:t>
      </w:r>
      <w:r>
        <w:rPr>
          <w:rFonts w:cstheme="minorHAnsi"/>
          <w:bCs/>
        </w:rPr>
        <w:t xml:space="preserve"> </w:t>
      </w:r>
      <w:r w:rsidRPr="00CB4DFF">
        <w:rPr>
          <w:rFonts w:cstheme="minorHAnsi"/>
          <w:bCs/>
        </w:rPr>
        <w:t>(qualité et quantité)</w:t>
      </w:r>
    </w:p>
    <w:p w14:paraId="433A1E4B" w14:textId="77777777" w:rsidR="008F2269" w:rsidRPr="00CB4DFF" w:rsidRDefault="008F2269" w:rsidP="008F2269">
      <w:pPr>
        <w:autoSpaceDE w:val="0"/>
        <w:autoSpaceDN w:val="0"/>
        <w:adjustRightInd w:val="0"/>
        <w:spacing w:after="0" w:line="240" w:lineRule="auto"/>
        <w:ind w:firstLine="142"/>
        <w:jc w:val="both"/>
        <w:rPr>
          <w:rFonts w:cstheme="minorHAnsi"/>
          <w:bCs/>
        </w:rPr>
      </w:pPr>
      <w:r w:rsidRPr="00CB4DFF">
        <w:rPr>
          <w:rFonts w:cstheme="minorHAnsi"/>
          <w:bCs/>
        </w:rPr>
        <w:t>• Baisse du niveau piézométrique</w:t>
      </w:r>
    </w:p>
    <w:p w14:paraId="27A8FE23" w14:textId="77777777" w:rsidR="008F2269" w:rsidRPr="00CB4DFF" w:rsidRDefault="008F2269" w:rsidP="008F2269">
      <w:pPr>
        <w:autoSpaceDE w:val="0"/>
        <w:autoSpaceDN w:val="0"/>
        <w:adjustRightInd w:val="0"/>
        <w:spacing w:after="0" w:line="240" w:lineRule="auto"/>
        <w:ind w:firstLine="142"/>
        <w:jc w:val="both"/>
        <w:rPr>
          <w:rFonts w:cstheme="minorHAnsi"/>
          <w:bCs/>
        </w:rPr>
      </w:pPr>
      <w:r w:rsidRPr="00CB4DFF">
        <w:rPr>
          <w:rFonts w:cstheme="minorHAnsi"/>
          <w:bCs/>
        </w:rPr>
        <w:t>• Dér</w:t>
      </w:r>
      <w:r>
        <w:rPr>
          <w:rFonts w:cstheme="minorHAnsi"/>
          <w:bCs/>
        </w:rPr>
        <w:t>è</w:t>
      </w:r>
      <w:r w:rsidRPr="00CB4DFF">
        <w:rPr>
          <w:rFonts w:cstheme="minorHAnsi"/>
          <w:bCs/>
        </w:rPr>
        <w:t>gl</w:t>
      </w:r>
      <w:r>
        <w:rPr>
          <w:rFonts w:cstheme="minorHAnsi"/>
          <w:bCs/>
        </w:rPr>
        <w:t>e</w:t>
      </w:r>
      <w:r w:rsidRPr="00CB4DFF">
        <w:rPr>
          <w:rFonts w:cstheme="minorHAnsi"/>
          <w:bCs/>
        </w:rPr>
        <w:t>ment du régime des oueds</w:t>
      </w:r>
    </w:p>
    <w:p w14:paraId="192A44DB" w14:textId="77777777" w:rsidR="008F2269" w:rsidRPr="008F4C42" w:rsidRDefault="008F2269" w:rsidP="008F2269">
      <w:pPr>
        <w:pStyle w:val="Titre1"/>
        <w:keepNext w:val="0"/>
        <w:keepLines w:val="0"/>
        <w:autoSpaceDE w:val="0"/>
        <w:autoSpaceDN w:val="0"/>
        <w:adjustRightInd w:val="0"/>
        <w:spacing w:before="0" w:line="240" w:lineRule="auto"/>
        <w:ind w:firstLine="142"/>
        <w:jc w:val="both"/>
        <w:rPr>
          <w:rFonts w:asciiTheme="minorHAnsi" w:eastAsiaTheme="minorHAnsi" w:hAnsiTheme="minorHAnsi" w:cstheme="minorHAnsi"/>
          <w:b/>
          <w:color w:val="auto"/>
          <w:sz w:val="22"/>
          <w:szCs w:val="22"/>
        </w:rPr>
      </w:pPr>
      <w:bookmarkStart w:id="131" w:name="_Toc180229549"/>
      <w:bookmarkStart w:id="132" w:name="_Toc180318681"/>
      <w:r w:rsidRPr="008F4C42">
        <w:rPr>
          <w:rFonts w:asciiTheme="minorHAnsi" w:eastAsiaTheme="minorHAnsi" w:hAnsiTheme="minorHAnsi" w:cstheme="minorHAnsi"/>
          <w:color w:val="auto"/>
          <w:sz w:val="22"/>
          <w:szCs w:val="22"/>
        </w:rPr>
        <w:t>• Sécheresses</w:t>
      </w:r>
      <w:bookmarkEnd w:id="131"/>
      <w:bookmarkEnd w:id="132"/>
    </w:p>
    <w:p w14:paraId="05A04B9F" w14:textId="77777777" w:rsidR="008F2269" w:rsidRDefault="008F2269" w:rsidP="008F2269">
      <w:pPr>
        <w:autoSpaceDE w:val="0"/>
        <w:autoSpaceDN w:val="0"/>
        <w:adjustRightInd w:val="0"/>
        <w:spacing w:after="0" w:line="240" w:lineRule="auto"/>
        <w:ind w:firstLine="142"/>
        <w:jc w:val="both"/>
        <w:rPr>
          <w:rFonts w:cstheme="minorHAnsi"/>
          <w:bCs/>
        </w:rPr>
      </w:pPr>
      <w:r w:rsidRPr="00CB4DFF">
        <w:rPr>
          <w:rFonts w:cstheme="minorHAnsi"/>
          <w:bCs/>
        </w:rPr>
        <w:t>• Inondations</w:t>
      </w:r>
    </w:p>
    <w:p w14:paraId="7181BFDE" w14:textId="77777777" w:rsidR="008F2269" w:rsidRDefault="008F2269" w:rsidP="008F2269">
      <w:pPr>
        <w:autoSpaceDE w:val="0"/>
        <w:autoSpaceDN w:val="0"/>
        <w:adjustRightInd w:val="0"/>
        <w:spacing w:after="120" w:line="240" w:lineRule="auto"/>
        <w:ind w:firstLine="142"/>
        <w:jc w:val="both"/>
        <w:rPr>
          <w:rFonts w:cstheme="minorHAnsi"/>
          <w:bCs/>
        </w:rPr>
      </w:pPr>
      <w:r w:rsidRPr="00CB4DFF">
        <w:rPr>
          <w:rFonts w:cstheme="minorHAnsi"/>
          <w:bCs/>
        </w:rPr>
        <w:t>• Dégradation des systèmes</w:t>
      </w:r>
      <w:r>
        <w:rPr>
          <w:rFonts w:cstheme="minorHAnsi"/>
          <w:bCs/>
        </w:rPr>
        <w:t xml:space="preserve"> </w:t>
      </w:r>
      <w:r w:rsidRPr="00CB4DFF">
        <w:rPr>
          <w:rFonts w:cstheme="minorHAnsi"/>
          <w:bCs/>
        </w:rPr>
        <w:t>d’assainissement (autonomes ou</w:t>
      </w:r>
      <w:r>
        <w:rPr>
          <w:rFonts w:cstheme="minorHAnsi"/>
          <w:bCs/>
        </w:rPr>
        <w:t xml:space="preserve"> connectés).</w:t>
      </w:r>
    </w:p>
    <w:p w14:paraId="19AA8ED4" w14:textId="77777777" w:rsidR="008F2269" w:rsidRPr="00E22DC8" w:rsidRDefault="008F2269" w:rsidP="008F2269">
      <w:pPr>
        <w:jc w:val="both"/>
      </w:pPr>
      <w:r>
        <w:rPr>
          <w:rFonts w:cstheme="minorHAnsi"/>
          <w:bCs/>
        </w:rPr>
        <w:t xml:space="preserve">D’après, la CDN actualisée 2021 </w:t>
      </w:r>
      <w:r>
        <w:t>d</w:t>
      </w:r>
      <w:r w:rsidRPr="00E22DC8">
        <w:t>es sécheresses plus fréquentes, plus longues et plus sévères contribuent à un processus intense de désertification, exerçant une pression supplémentaire dans les oasis extrêmement fragiles du Sahara et déplaçant les conditions dé</w:t>
      </w:r>
      <w:r>
        <w:t xml:space="preserve">sertiques plus au sud, menaçant </w:t>
      </w:r>
      <w:r w:rsidRPr="00E22DC8">
        <w:t>les terres très fragiles et les plus fertiles du pays dans la région sahélienne et le Fleuve Sénégal.</w:t>
      </w:r>
    </w:p>
    <w:p w14:paraId="3F361323" w14:textId="77777777" w:rsidR="008F2269" w:rsidRPr="00E22DC8" w:rsidRDefault="008F2269" w:rsidP="008F2269">
      <w:pPr>
        <w:spacing w:after="120" w:line="240" w:lineRule="auto"/>
        <w:jc w:val="both"/>
      </w:pPr>
      <w:r w:rsidRPr="00E22DC8">
        <w:t>Une étude du Centre d'observation et de science des ressources de la Terre (EROS) de 2016 des États-Unis G</w:t>
      </w:r>
      <w:r>
        <w:t>e</w:t>
      </w:r>
      <w:r w:rsidRPr="00E22DC8">
        <w:t>ological Survey (USGS) sur l'utilisation des terres et l'occupation de</w:t>
      </w:r>
      <w:r>
        <w:t xml:space="preserve">s sols en Afrique de l'Ouest : </w:t>
      </w:r>
      <w:proofErr w:type="spellStart"/>
      <w:r>
        <w:t>cf</w:t>
      </w:r>
      <w:proofErr w:type="spellEnd"/>
      <w:r>
        <w:t xml:space="preserve"> Comité Inter-Etats de </w:t>
      </w:r>
      <w:r w:rsidRPr="00E22DC8">
        <w:t>L</w:t>
      </w:r>
      <w:r>
        <w:t xml:space="preserve">utte contre la </w:t>
      </w:r>
      <w:r w:rsidRPr="00E22DC8">
        <w:t>S</w:t>
      </w:r>
      <w:r>
        <w:t xml:space="preserve">écheresse au </w:t>
      </w:r>
      <w:r w:rsidRPr="00E22DC8">
        <w:t>S</w:t>
      </w:r>
      <w:r>
        <w:t>ahel (CILSS</w:t>
      </w:r>
      <w:r w:rsidRPr="00E22DC8">
        <w:t xml:space="preserve"> 2016) a mis en évidence un fort processus de désertification en Mauritanie entre 1975 et 2013. </w:t>
      </w:r>
    </w:p>
    <w:p w14:paraId="1889016E" w14:textId="77777777" w:rsidR="008F2269" w:rsidRPr="000609B3" w:rsidRDefault="008F2269" w:rsidP="008F2269">
      <w:pPr>
        <w:spacing w:before="120" w:after="120"/>
        <w:contextualSpacing/>
        <w:jc w:val="both"/>
      </w:pPr>
      <w:r w:rsidRPr="00E22DC8">
        <w:t xml:space="preserve">Au cours de cette période, les deux types de couvert végétal naturel les plus répandus et les pâturages importants, la steppe et la savane sahélienne à herbes courtes, ont été affectés par les pertes les plus importantes en termes de superficie. Près de 19 000 km2 de steppe ont été perdus entre 1975 et 2000, et plus de 15 000 km2 entre 2000 et 2013. Pour la savane sahélienne à herbes courtes, ces chiffres s'élèvent à plus de 12 000 km2 de 1975 à 2000 </w:t>
      </w:r>
      <w:r>
        <w:t>et près de 11 000 km2 de 2000 à 2013</w:t>
      </w:r>
      <w:r w:rsidRPr="00E22DC8">
        <w:t>.</w:t>
      </w:r>
    </w:p>
    <w:p w14:paraId="5B089906" w14:textId="77777777" w:rsidR="008F2269" w:rsidRDefault="008F2269" w:rsidP="008F2269">
      <w:pPr>
        <w:autoSpaceDE w:val="0"/>
        <w:autoSpaceDN w:val="0"/>
        <w:adjustRightInd w:val="0"/>
        <w:spacing w:before="120" w:after="120"/>
        <w:contextualSpacing/>
        <w:jc w:val="both"/>
        <w:rPr>
          <w:rFonts w:cstheme="minorHAnsi"/>
          <w:bCs/>
        </w:rPr>
      </w:pPr>
      <w:r w:rsidRPr="005D5FCA">
        <w:rPr>
          <w:rFonts w:cstheme="minorHAnsi"/>
          <w:bCs/>
        </w:rPr>
        <w:t xml:space="preserve">Jusque-là, les impacts des changements climatiques </w:t>
      </w:r>
      <w:r>
        <w:rPr>
          <w:rFonts w:cstheme="minorHAnsi"/>
          <w:bCs/>
        </w:rPr>
        <w:t xml:space="preserve">qui </w:t>
      </w:r>
      <w:r w:rsidRPr="005D5FCA">
        <w:rPr>
          <w:rFonts w:cstheme="minorHAnsi"/>
          <w:bCs/>
        </w:rPr>
        <w:t xml:space="preserve">affectent tous les secteurs de l’économie sont appréciés selon des jugements d’experts </w:t>
      </w:r>
      <w:r>
        <w:rPr>
          <w:rFonts w:cstheme="minorHAnsi"/>
          <w:bCs/>
        </w:rPr>
        <w:t xml:space="preserve">ou sur la base de </w:t>
      </w:r>
      <w:r w:rsidRPr="005D5FCA">
        <w:rPr>
          <w:rFonts w:cstheme="minorHAnsi"/>
          <w:bCs/>
        </w:rPr>
        <w:t xml:space="preserve">l’exploitation des données générales </w:t>
      </w:r>
      <w:r>
        <w:rPr>
          <w:rFonts w:cstheme="minorHAnsi"/>
          <w:bCs/>
        </w:rPr>
        <w:t xml:space="preserve">issues de MCG </w:t>
      </w:r>
      <w:r w:rsidRPr="005D5FCA">
        <w:rPr>
          <w:rFonts w:cstheme="minorHAnsi"/>
          <w:bCs/>
        </w:rPr>
        <w:t>fournies par le Groupe International des Experts du Climat (GIEC).</w:t>
      </w:r>
      <w:r>
        <w:rPr>
          <w:rFonts w:cstheme="minorHAnsi"/>
          <w:bCs/>
        </w:rPr>
        <w:t xml:space="preserve"> </w:t>
      </w:r>
    </w:p>
    <w:p w14:paraId="73E360A1" w14:textId="77777777" w:rsidR="008F2269" w:rsidRPr="004939C0" w:rsidRDefault="008F2269" w:rsidP="008F2269">
      <w:pPr>
        <w:spacing w:before="120" w:after="120"/>
        <w:contextualSpacing/>
        <w:jc w:val="both"/>
        <w:rPr>
          <w:szCs w:val="21"/>
          <w:lang w:eastAsia="fr-FR"/>
        </w:rPr>
      </w:pPr>
      <w:bookmarkStart w:id="133" w:name="_Toc75280193"/>
      <w:bookmarkStart w:id="134" w:name="_Toc75607959"/>
      <w:bookmarkStart w:id="135" w:name="_Toc76298633"/>
      <w:bookmarkStart w:id="136" w:name="_Toc76479056"/>
      <w:r>
        <w:rPr>
          <w:szCs w:val="21"/>
          <w:lang w:eastAsia="fr-FR"/>
        </w:rPr>
        <w:t>« En 2013, les communautés les plus touchées par la catastrophe sont celles de la Commune de Moudjéria où 40 % des familles ont perdu leur foyer selon le Croissant Rouge Mauritanien » rapporte Relief web du 01 octobre 2013.</w:t>
      </w:r>
      <w:bookmarkEnd w:id="133"/>
      <w:bookmarkEnd w:id="134"/>
      <w:bookmarkEnd w:id="135"/>
      <w:bookmarkEnd w:id="136"/>
    </w:p>
    <w:p w14:paraId="74FEFE71" w14:textId="77777777" w:rsidR="008F2269" w:rsidRPr="009451DA" w:rsidRDefault="008F2269" w:rsidP="008F2269">
      <w:pPr>
        <w:spacing w:before="120" w:after="120"/>
        <w:contextualSpacing/>
        <w:jc w:val="both"/>
        <w:rPr>
          <w:rFonts w:cstheme="minorHAnsi"/>
        </w:rPr>
      </w:pPr>
      <w:bookmarkStart w:id="137" w:name="_Toc75280194"/>
      <w:bookmarkStart w:id="138" w:name="_Toc75607960"/>
      <w:bookmarkStart w:id="139" w:name="_Toc76298634"/>
      <w:bookmarkStart w:id="140" w:name="_Toc76479057"/>
      <w:r w:rsidRPr="004939C0">
        <w:rPr>
          <w:szCs w:val="21"/>
          <w:lang w:eastAsia="fr-FR"/>
        </w:rPr>
        <w:t xml:space="preserve">Dans la Wilaya du Hodh El Gharbi, </w:t>
      </w:r>
      <w:r>
        <w:rPr>
          <w:szCs w:val="21"/>
          <w:lang w:eastAsia="fr-FR"/>
        </w:rPr>
        <w:t>dans la zone de Tamchakett</w:t>
      </w:r>
      <w:r w:rsidRPr="004939C0">
        <w:rPr>
          <w:szCs w:val="21"/>
          <w:lang w:eastAsia="fr-FR"/>
        </w:rPr>
        <w:t> :</w:t>
      </w:r>
      <w:bookmarkEnd w:id="137"/>
      <w:bookmarkEnd w:id="138"/>
      <w:bookmarkEnd w:id="139"/>
      <w:bookmarkEnd w:id="140"/>
      <w:r>
        <w:rPr>
          <w:szCs w:val="21"/>
          <w:lang w:eastAsia="fr-FR"/>
        </w:rPr>
        <w:t xml:space="preserve"> cf. Agrer et al. «4 Pôles du Nord : </w:t>
      </w:r>
      <w:r w:rsidRPr="009451DA">
        <w:rPr>
          <w:szCs w:val="21"/>
          <w:lang w:eastAsia="fr-FR"/>
        </w:rPr>
        <w:t>Livrables 3 et 4</w:t>
      </w:r>
      <w:r>
        <w:rPr>
          <w:szCs w:val="21"/>
          <w:lang w:eastAsia="fr-FR"/>
        </w:rPr>
        <w:t xml:space="preserve"> </w:t>
      </w:r>
      <w:r w:rsidRPr="009451DA">
        <w:rPr>
          <w:szCs w:val="21"/>
          <w:lang w:eastAsia="fr-FR"/>
        </w:rPr>
        <w:t>Rapport « </w:t>
      </w:r>
      <w:r>
        <w:rPr>
          <w:szCs w:val="21"/>
          <w:lang w:eastAsia="fr-FR"/>
        </w:rPr>
        <w:t xml:space="preserve">Analyse du risque climatique » </w:t>
      </w:r>
      <w:r w:rsidRPr="009451DA">
        <w:rPr>
          <w:szCs w:val="21"/>
          <w:lang w:eastAsia="fr-FR"/>
        </w:rPr>
        <w:t>Version finale</w:t>
      </w:r>
      <w:r>
        <w:rPr>
          <w:szCs w:val="21"/>
          <w:lang w:eastAsia="fr-FR"/>
        </w:rPr>
        <w:t>, juin 2021 :</w:t>
      </w:r>
    </w:p>
    <w:p w14:paraId="75741BED" w14:textId="77777777" w:rsidR="008F2269" w:rsidRPr="00F70466" w:rsidRDefault="008F2269" w:rsidP="008F2269">
      <w:pPr>
        <w:pStyle w:val="Paragraphedeliste"/>
        <w:numPr>
          <w:ilvl w:val="0"/>
          <w:numId w:val="108"/>
        </w:numPr>
        <w:suppressAutoHyphens/>
        <w:autoSpaceDN w:val="0"/>
        <w:spacing w:before="120" w:after="120" w:line="240" w:lineRule="auto"/>
        <w:jc w:val="both"/>
        <w:textAlignment w:val="baseline"/>
      </w:pPr>
      <w:bookmarkStart w:id="141" w:name="_Toc70427604"/>
      <w:r>
        <w:t>E</w:t>
      </w:r>
      <w:r w:rsidRPr="00F70466">
        <w:t>n 2004, le barrage de Koukry à Sava a été endommagé par les inondations avec disparition</w:t>
      </w:r>
      <w:r>
        <w:t>s importantes</w:t>
      </w:r>
      <w:r w:rsidRPr="00F70466">
        <w:t xml:space="preserve"> de bétail et de matériels</w:t>
      </w:r>
      <w:bookmarkEnd w:id="141"/>
      <w:r w:rsidRPr="00F70466">
        <w:t> ;</w:t>
      </w:r>
    </w:p>
    <w:p w14:paraId="02603C14" w14:textId="77777777" w:rsidR="008F2269" w:rsidRPr="00F70466" w:rsidRDefault="008F2269" w:rsidP="008F2269">
      <w:pPr>
        <w:pStyle w:val="Paragraphedeliste"/>
        <w:numPr>
          <w:ilvl w:val="0"/>
          <w:numId w:val="108"/>
        </w:numPr>
        <w:suppressAutoHyphens/>
        <w:autoSpaceDN w:val="0"/>
        <w:spacing w:before="120" w:after="120" w:line="240" w:lineRule="auto"/>
        <w:jc w:val="both"/>
        <w:textAlignment w:val="baseline"/>
      </w:pPr>
      <w:bookmarkStart w:id="142" w:name="_Toc70427605"/>
      <w:r>
        <w:t>L</w:t>
      </w:r>
      <w:r w:rsidRPr="00F70466">
        <w:t>es barrages de Toueïmirt, Sogueni et Boutleyhniya ont subi des dégâts</w:t>
      </w:r>
      <w:r>
        <w:t xml:space="preserve"> lourds</w:t>
      </w:r>
      <w:r w:rsidRPr="00F70466">
        <w:t xml:space="preserve"> avec les crues de 2018 et 2019.</w:t>
      </w:r>
      <w:bookmarkEnd w:id="142"/>
    </w:p>
    <w:p w14:paraId="40ED6AD0" w14:textId="77777777" w:rsidR="008F2269" w:rsidRDefault="008F2269" w:rsidP="008F2269">
      <w:pPr>
        <w:spacing w:before="120" w:after="120"/>
        <w:ind w:right="-284"/>
        <w:contextualSpacing/>
      </w:pPr>
      <w:proofErr w:type="gramStart"/>
      <w:r>
        <w:t>NB:</w:t>
      </w:r>
      <w:proofErr w:type="gramEnd"/>
      <w:r>
        <w:t xml:space="preserve"> Les inondations lourdes de conséquences dans la zone de Tintane ont été relatées ci-dessus en </w:t>
      </w:r>
      <w:r w:rsidRPr="006F7F17">
        <w:rPr>
          <w:sz w:val="20"/>
          <w:szCs w:val="20"/>
        </w:rPr>
        <w:t>2007</w:t>
      </w:r>
      <w:r>
        <w:t>.</w:t>
      </w:r>
    </w:p>
    <w:p w14:paraId="6F277319" w14:textId="77777777" w:rsidR="008F2269" w:rsidRDefault="008F2269" w:rsidP="008F2269">
      <w:pPr>
        <w:spacing w:before="120" w:after="120"/>
        <w:ind w:right="-142"/>
        <w:contextualSpacing/>
      </w:pPr>
    </w:p>
    <w:p w14:paraId="57776624" w14:textId="77777777" w:rsidR="008F2269" w:rsidRPr="00E64869" w:rsidRDefault="008F2269" w:rsidP="008F2269">
      <w:r w:rsidRPr="008F4C42">
        <w:rPr>
          <w:bCs/>
        </w:rPr>
        <w:t>C</w:t>
      </w:r>
      <w:r>
        <w:rPr>
          <w:bCs/>
        </w:rPr>
        <w:t>onclusion.</w:t>
      </w:r>
      <w:r w:rsidRPr="00E64869">
        <w:tab/>
      </w:r>
    </w:p>
    <w:p w14:paraId="1A9647D3" w14:textId="77777777" w:rsidR="008F2269" w:rsidRDefault="008F2269" w:rsidP="008F2269">
      <w:pPr>
        <w:jc w:val="both"/>
      </w:pPr>
      <w:r>
        <w:t xml:space="preserve">Selon </w:t>
      </w:r>
      <w:proofErr w:type="gramStart"/>
      <w:r>
        <w:t>amp.lepoint</w:t>
      </w:r>
      <w:proofErr w:type="gramEnd"/>
      <w:r>
        <w:t xml:space="preserve"> (septembre 2020) « les inondations qui ont frappé indifféremment les villes et les campagnes de la côte atlantique à l’Ethiopie et la Somalie sont dues à la fois du fait de la concentration des populations, de l’imperméabilisation des sols et de la lacune dans la planification urbaine.</w:t>
      </w:r>
    </w:p>
    <w:p w14:paraId="124E2DD7" w14:textId="77777777" w:rsidR="008F2269" w:rsidRDefault="008F2269" w:rsidP="008F2269">
      <w:pPr>
        <w:jc w:val="both"/>
      </w:pPr>
      <w:r>
        <w:t xml:space="preserve"> Les inondations de 2020, pour exceptionnelles qu’elles soient, s’inscrivent par ailleurs dans un contexte de recrudescence de ces phénomènes sur toute l’Afrique de l’Ouest depuis une quinzaine d’années, recrudescence attribuable à l’effet conjugué de l’intensification pluviométrique et  des changements d’usage des terres : </w:t>
      </w:r>
      <w:proofErr w:type="spellStart"/>
      <w:r>
        <w:t>cf</w:t>
      </w:r>
      <w:proofErr w:type="spellEnd"/>
      <w:r>
        <w:t xml:space="preserve">  étude menée par l’Institut  des Géoscience de l’Environnement montrant que sur les affluents du fleuve Niger, la crue décennale des années 1960 a dorénavant une chance sur deux de se produire tous les ans alors que la pluviométrie annuelle actuelle reste inférieure à ce qu’elle était durant cette période humide».</w:t>
      </w:r>
      <w:r w:rsidRPr="002135ED">
        <w:t xml:space="preserve"> </w:t>
      </w:r>
      <w:r w:rsidRPr="0052725E">
        <w:t>Selon</w:t>
      </w:r>
      <w:r>
        <w:t xml:space="preserve"> </w:t>
      </w:r>
      <w:r w:rsidRPr="0052725E">
        <w:t>GUEYE (2006, p.3), la Mauritanie renoue depuis quelques années avec une pluviométrie de</w:t>
      </w:r>
      <w:r>
        <w:t xml:space="preserve"> </w:t>
      </w:r>
      <w:r w:rsidRPr="0052725E">
        <w:t xml:space="preserve">plus en plus importante. Surtout après les pluies hivernales de 2002 qui eurent le plus </w:t>
      </w:r>
      <w:r>
        <w:t>mauvais</w:t>
      </w:r>
      <w:r w:rsidRPr="0052725E">
        <w:t xml:space="preserve"> effet sur le monde rural et le cheptel en particulier, les intempéries aux conséquences</w:t>
      </w:r>
      <w:r>
        <w:t xml:space="preserve"> </w:t>
      </w:r>
      <w:r w:rsidRPr="0052725E">
        <w:t>néfastes de l'année dernière et les derniers orages meurtriers qui viennent de s'abattre sur certaines localités du Brakna et du Trarza fin juillet 2006</w:t>
      </w:r>
      <w:r>
        <w:t>.</w:t>
      </w:r>
    </w:p>
    <w:p w14:paraId="5C414FD2" w14:textId="77777777" w:rsidR="008F2269" w:rsidRDefault="008F2269" w:rsidP="008F2269">
      <w:pPr>
        <w:jc w:val="both"/>
      </w:pPr>
      <w:r>
        <w:t>En 2007, des pluies diluviennes sont tombées dans certaines Wilayas du pays occasionnant des pertes très lourdes.</w:t>
      </w:r>
    </w:p>
    <w:p w14:paraId="50A00667" w14:textId="77777777" w:rsidR="008F2269" w:rsidRDefault="008F2269" w:rsidP="008F2269">
      <w:pPr>
        <w:jc w:val="both"/>
      </w:pPr>
      <w:r>
        <w:t>Selon la Seconde Communication Nationale (2008) sur les CC, dans la Wilaya du Brakna, plusieurs plaines d’inondations ont été submergées par les eaux en Septembre 2007. La cote maximale instantanée lue à l’échelle de Boghé a été de 7.78 m le 22 septembre 2007. Les superficies inondées ont avoisiné 6 000 ha dont 3 000 ha ont été contigus au Casier Pilote de Boghé (CPB). Le CPB devra faire recours au pompage pour drainer les eaux dans les rizières et effectuer la moisson à la période optimale car le retrait des eaux de la crue sera lent.</w:t>
      </w:r>
    </w:p>
    <w:p w14:paraId="26227277" w14:textId="77777777" w:rsidR="008F2269" w:rsidRPr="00A27F79" w:rsidRDefault="008F2269" w:rsidP="008F2269">
      <w:pPr>
        <w:jc w:val="both"/>
      </w:pPr>
      <w:r w:rsidRPr="00CA5877">
        <w:t>T</w:t>
      </w:r>
      <w:r w:rsidRPr="00A27F79">
        <w:t>intane (750 km à l’est de Nouakchott</w:t>
      </w:r>
      <w:proofErr w:type="gramStart"/>
      <w:r w:rsidRPr="00A27F79">
        <w:t>):</w:t>
      </w:r>
      <w:proofErr w:type="gramEnd"/>
      <w:r w:rsidRPr="00A27F79">
        <w:t xml:space="preserve"> Selon Relief</w:t>
      </w:r>
      <w:r>
        <w:t xml:space="preserve"> </w:t>
      </w:r>
      <w:r w:rsidRPr="00A27F79">
        <w:t>Web « rapport d’évaluation rapide de la sécurité alimentaire nutritionnelle suite aux inondations de Tintane (Wilaya du Hodh El Gharbi), 14 août 2007 », des pluies diluviennes se sont abattues entre les 06 et le 08 août ont occasionné l’inondation de la ville causant la mort de 2 personnes et endommageant toutes les infrastructures publiques et privées. La zone inondée représente les ¾ de la superficie habitée par les populations, 2 500 familles soit 12 500 personnes seraient affectées.</w:t>
      </w:r>
    </w:p>
    <w:p w14:paraId="128DF8EE" w14:textId="77777777" w:rsidR="008F2269" w:rsidRPr="009E0953" w:rsidRDefault="008F2269" w:rsidP="008F2269">
      <w:pPr>
        <w:jc w:val="both"/>
      </w:pPr>
      <w:r w:rsidRPr="00D51583">
        <w:rPr>
          <w:b/>
          <w:bCs/>
        </w:rPr>
        <w:t>Dans le domaine de nutrition et de la santé</w:t>
      </w:r>
      <w:r w:rsidRPr="009E0953">
        <w:t>, même si les dispositions en place (approvisionnement en eau potable, construction de latrines, installation des postes de santé, etc.) ont permis de maîtriser le risque d'épidémies de diarrhée et autres maladies véhiculées par l'eau, les risques induits d'un accroissement de la malnutrition ne sont pas à écarter</w:t>
      </w:r>
      <w:r>
        <w:t> »</w:t>
      </w:r>
      <w:r w:rsidRPr="009E0953">
        <w:t xml:space="preserve">. </w:t>
      </w:r>
    </w:p>
    <w:p w14:paraId="6B9370B0" w14:textId="77777777" w:rsidR="008F2269" w:rsidRDefault="008F2269" w:rsidP="008F2269">
      <w:pPr>
        <w:spacing w:after="120"/>
        <w:jc w:val="both"/>
      </w:pPr>
      <w:r>
        <w:t>Le rapport de Relief Web du 17 septembre 2007 « sécheresse et inondation en Mauritanie » portait le nombre de sinistrés à 3 500 familles et indiquait que 3 écoles sur huit subsistaient.</w:t>
      </w:r>
    </w:p>
    <w:p w14:paraId="125712EA" w14:textId="77777777" w:rsidR="008F2269" w:rsidRDefault="008F2269" w:rsidP="008F2269">
      <w:pPr>
        <w:spacing w:after="120"/>
        <w:jc w:val="both"/>
      </w:pPr>
      <w:r w:rsidRPr="00F573CE">
        <w:t>Selon le rapport du GRDR « inondations en Mauritanie du Sud : le bassin du fleuve Sénégal face aux aléas du changement climatique », dans la nuit du 09 juillet 2007, les habitants de M’Bout (Wilaya du Gorgol) ont été réveillés par de fortes pluies accompagnées de vents violents : 691 ménages ont été sinis</w:t>
      </w:r>
      <w:r>
        <w:t>trés et des maisons englouties.</w:t>
      </w:r>
    </w:p>
    <w:p w14:paraId="317D61F7" w14:textId="77777777" w:rsidR="008F2269" w:rsidRDefault="008F2269" w:rsidP="008F2269">
      <w:pPr>
        <w:spacing w:after="120"/>
        <w:jc w:val="both"/>
      </w:pPr>
      <w:r w:rsidRPr="00F573CE">
        <w:t>Selon le rapport « la gestion et la prévention des inondations en Mauritanie : retour d’expériences du Groupe de Recherche pour le Développement Rural (GRDR) « Dans la vallée, des pluies orageuses sont tombées entre le 30 août et le 02 septembre</w:t>
      </w:r>
      <w:r>
        <w:t xml:space="preserve"> 2007</w:t>
      </w:r>
      <w:r w:rsidRPr="00F573CE">
        <w:t>.</w:t>
      </w:r>
      <w:r>
        <w:t xml:space="preserve"> Les impacts des pluies se sont </w:t>
      </w:r>
      <w:r w:rsidRPr="00F573CE">
        <w:t>particulièrement fait ressentir à Kaédi (Wilaya du Gorgol) où le PPG2 a été intégralement inondé suite à la rupture de la digue de protection ; dans la Commune de Boghé (Wilaya du Brakna) la surface détruite représente 15 % des périmètres rizicoles semés.</w:t>
      </w:r>
    </w:p>
    <w:p w14:paraId="32241B18" w14:textId="77777777" w:rsidR="008F2269" w:rsidRPr="005C16CA" w:rsidRDefault="008F2269" w:rsidP="008F2269">
      <w:pPr>
        <w:spacing w:after="120"/>
        <w:jc w:val="both"/>
        <w:rPr>
          <w:szCs w:val="21"/>
          <w:lang w:eastAsia="fr-FR"/>
        </w:rPr>
      </w:pPr>
      <w:r>
        <w:rPr>
          <w:szCs w:val="21"/>
          <w:lang w:eastAsia="fr-FR"/>
        </w:rPr>
        <w:t>Selon le rapport d’évaluation du RRC de mai 2014, « </w:t>
      </w:r>
      <w:r w:rsidRPr="009E0CDA">
        <w:rPr>
          <w:szCs w:val="21"/>
          <w:lang w:eastAsia="fr-FR"/>
        </w:rPr>
        <w:t>en matière d’infrastructure</w:t>
      </w:r>
      <w:r>
        <w:rPr>
          <w:szCs w:val="21"/>
          <w:lang w:eastAsia="fr-FR"/>
        </w:rPr>
        <w:t>s</w:t>
      </w:r>
      <w:r w:rsidRPr="009E0CDA">
        <w:rPr>
          <w:szCs w:val="21"/>
          <w:lang w:eastAsia="fr-FR"/>
        </w:rPr>
        <w:t>, il faut noter que</w:t>
      </w:r>
      <w:r>
        <w:rPr>
          <w:szCs w:val="21"/>
          <w:lang w:eastAsia="fr-FR"/>
        </w:rPr>
        <w:t xml:space="preserve"> depuis les inondations de 2008 </w:t>
      </w:r>
      <w:r w:rsidRPr="009E0CDA">
        <w:rPr>
          <w:szCs w:val="21"/>
          <w:lang w:eastAsia="fr-FR"/>
        </w:rPr>
        <w:t>et 2009, plusieurs dizaines d’écoles sont détruites annuellement par</w:t>
      </w:r>
      <w:r>
        <w:rPr>
          <w:szCs w:val="21"/>
          <w:lang w:eastAsia="fr-FR"/>
        </w:rPr>
        <w:t xml:space="preserve"> les inondations dans plusieurs </w:t>
      </w:r>
      <w:r w:rsidRPr="009E0CDA">
        <w:rPr>
          <w:szCs w:val="21"/>
          <w:lang w:eastAsia="fr-FR"/>
        </w:rPr>
        <w:t>villes, et beaucoup sont laissées à l’abandon entièrement ou partiell</w:t>
      </w:r>
      <w:r>
        <w:rPr>
          <w:szCs w:val="21"/>
          <w:lang w:eastAsia="fr-FR"/>
        </w:rPr>
        <w:t xml:space="preserve">ement. En 2013, les inondations </w:t>
      </w:r>
      <w:r w:rsidRPr="009E0CDA">
        <w:rPr>
          <w:szCs w:val="21"/>
          <w:lang w:eastAsia="fr-FR"/>
        </w:rPr>
        <w:t>auraient détruit 66 écoles et donc privé 25.358 élèves de rentrée scol</w:t>
      </w:r>
      <w:r>
        <w:rPr>
          <w:szCs w:val="21"/>
          <w:lang w:eastAsia="fr-FR"/>
        </w:rPr>
        <w:t xml:space="preserve">aire en octobre. </w:t>
      </w:r>
      <w:r w:rsidRPr="00945336">
        <w:rPr>
          <w:szCs w:val="21"/>
          <w:lang w:eastAsia="fr-FR"/>
        </w:rPr>
        <w:t>En conséquence, les enseignants s</w:t>
      </w:r>
      <w:r>
        <w:rPr>
          <w:szCs w:val="21"/>
          <w:lang w:eastAsia="fr-FR"/>
        </w:rPr>
        <w:t xml:space="preserve">e retrouvent face à des classes </w:t>
      </w:r>
      <w:r w:rsidRPr="00945336">
        <w:rPr>
          <w:szCs w:val="21"/>
          <w:lang w:eastAsia="fr-FR"/>
        </w:rPr>
        <w:t>de 120 élèves alors que la moyenn</w:t>
      </w:r>
      <w:r>
        <w:rPr>
          <w:szCs w:val="21"/>
          <w:lang w:eastAsia="fr-FR"/>
        </w:rPr>
        <w:t xml:space="preserve">e nationale est de 36. Les élèves ont </w:t>
      </w:r>
      <w:r w:rsidRPr="009E0CDA">
        <w:rPr>
          <w:szCs w:val="21"/>
          <w:lang w:eastAsia="fr-FR"/>
        </w:rPr>
        <w:t>été replacés dans d’autres écoles</w:t>
      </w:r>
      <w:r>
        <w:rPr>
          <w:szCs w:val="21"/>
          <w:lang w:eastAsia="fr-FR"/>
        </w:rPr>
        <w:t xml:space="preserve"> poussant à l’abandon des classes des élèves ne pouvant pas effectuer des déplacements sur de longues distances »</w:t>
      </w:r>
      <w:r w:rsidRPr="009E0CDA">
        <w:rPr>
          <w:szCs w:val="21"/>
          <w:lang w:eastAsia="fr-FR"/>
        </w:rPr>
        <w:t>.</w:t>
      </w:r>
    </w:p>
    <w:p w14:paraId="2E3043CF" w14:textId="77777777" w:rsidR="008F2269" w:rsidRDefault="008F2269" w:rsidP="008F2269">
      <w:pPr>
        <w:spacing w:after="120"/>
        <w:jc w:val="both"/>
      </w:pPr>
      <w:r w:rsidRPr="009B1D4D">
        <w:t>Selon « l’étude de la vulnérabilité et Plan d’adaptation de la Région de Nouakchott face au changement climatique –Mai 2019 » par Acterra environment climate, en 2012 une pluie de 50 mm avait entrainé une inondation importante de la ville de Nouakchott</w:t>
      </w:r>
      <w:r>
        <w:t>.</w:t>
      </w:r>
    </w:p>
    <w:p w14:paraId="0CA618BF" w14:textId="77777777" w:rsidR="008F2269" w:rsidRPr="004939C0" w:rsidRDefault="008F2269" w:rsidP="008F2269">
      <w:pPr>
        <w:spacing w:after="120"/>
        <w:jc w:val="both"/>
        <w:rPr>
          <w:szCs w:val="21"/>
          <w:lang w:eastAsia="fr-FR"/>
        </w:rPr>
      </w:pPr>
      <w:r>
        <w:rPr>
          <w:szCs w:val="21"/>
          <w:lang w:eastAsia="fr-FR"/>
        </w:rPr>
        <w:t xml:space="preserve"> « En 2013, les communautés les plus touchées par la catastrophe sont celles de la Commune de Moudjéria où 40 % des familles ont perdu leur foyer selon le Croissant Rouge Mauritanien » rapporte Reliefweb du 01 octobre 2013.</w:t>
      </w:r>
    </w:p>
    <w:p w14:paraId="5B1001DF" w14:textId="77777777" w:rsidR="008F2269" w:rsidRDefault="008F2269" w:rsidP="008F2269">
      <w:pPr>
        <w:spacing w:after="120"/>
        <w:jc w:val="both"/>
      </w:pPr>
      <w:r>
        <w:t>Selon Relief web du 01 octobre 2013 « la Mauritanie se relève d’inondation sans précédent », en effet, les fortes pluies qui se sont abattues depuis la mi-août à Nouakchott dans six Wilayas du pays ont engendré des dommages « sans précédent » d’après la Direction Générale de la Protection Civile.</w:t>
      </w:r>
    </w:p>
    <w:p w14:paraId="1024A17B" w14:textId="77777777" w:rsidR="008F2269" w:rsidRDefault="008F2269" w:rsidP="008F2269">
      <w:pPr>
        <w:spacing w:after="120"/>
        <w:jc w:val="both"/>
      </w:pPr>
      <w:r>
        <w:t xml:space="preserve">Le même rapport </w:t>
      </w:r>
      <w:r>
        <w:rPr>
          <w:szCs w:val="21"/>
          <w:lang w:eastAsia="fr-FR"/>
        </w:rPr>
        <w:t>« l’</w:t>
      </w:r>
      <w:r w:rsidRPr="00012A53">
        <w:rPr>
          <w:szCs w:val="21"/>
          <w:lang w:eastAsia="fr-FR"/>
        </w:rPr>
        <w:t>étude de la vulnérabilité</w:t>
      </w:r>
      <w:r>
        <w:rPr>
          <w:szCs w:val="21"/>
          <w:lang w:eastAsia="fr-FR"/>
        </w:rPr>
        <w:t xml:space="preserve"> </w:t>
      </w:r>
      <w:r w:rsidRPr="00012A53">
        <w:rPr>
          <w:szCs w:val="21"/>
          <w:lang w:eastAsia="fr-FR"/>
        </w:rPr>
        <w:t>et Plan d’adaptation</w:t>
      </w:r>
      <w:r>
        <w:rPr>
          <w:szCs w:val="21"/>
          <w:lang w:eastAsia="fr-FR"/>
        </w:rPr>
        <w:t xml:space="preserve"> </w:t>
      </w:r>
      <w:r w:rsidRPr="00012A53">
        <w:rPr>
          <w:szCs w:val="21"/>
          <w:lang w:eastAsia="fr-FR"/>
        </w:rPr>
        <w:t>de la Région</w:t>
      </w:r>
      <w:r>
        <w:rPr>
          <w:szCs w:val="21"/>
          <w:lang w:eastAsia="fr-FR"/>
        </w:rPr>
        <w:t xml:space="preserve"> </w:t>
      </w:r>
      <w:r w:rsidRPr="00012A53">
        <w:rPr>
          <w:szCs w:val="21"/>
          <w:lang w:eastAsia="fr-FR"/>
        </w:rPr>
        <w:t>de Nouakchott face au changement climatique –Mai 2019 »</w:t>
      </w:r>
      <w:r>
        <w:rPr>
          <w:szCs w:val="21"/>
          <w:lang w:eastAsia="fr-FR"/>
        </w:rPr>
        <w:t xml:space="preserve"> par Acterra environment climate » décrivait la situation de 2013 comme suit :</w:t>
      </w:r>
    </w:p>
    <w:p w14:paraId="68539A83" w14:textId="77777777" w:rsidR="008F2269" w:rsidRDefault="008F2269" w:rsidP="008F2269">
      <w:pPr>
        <w:jc w:val="both"/>
        <w:rPr>
          <w:szCs w:val="21"/>
          <w:lang w:eastAsia="fr-FR"/>
        </w:rPr>
      </w:pPr>
      <w:r>
        <w:rPr>
          <w:szCs w:val="21"/>
          <w:lang w:eastAsia="fr-FR"/>
        </w:rPr>
        <w:t>« </w:t>
      </w:r>
      <w:r w:rsidRPr="00BE5DE1">
        <w:rPr>
          <w:szCs w:val="21"/>
          <w:lang w:eastAsia="fr-FR"/>
        </w:rPr>
        <w:t>Après une saison de pluies intenses (certaines régions de la Mauritanie ont connu des pluies supérieures à 30 % de la moyenne), la ville de Nouakchott a été sous les eaux avec des conséquences extrêmement importantes.</w:t>
      </w:r>
    </w:p>
    <w:p w14:paraId="6A5B8195" w14:textId="77777777" w:rsidR="008F2269" w:rsidRDefault="008F2269" w:rsidP="008F2269">
      <w:pPr>
        <w:jc w:val="both"/>
        <w:rPr>
          <w:szCs w:val="21"/>
          <w:lang w:eastAsia="fr-FR"/>
        </w:rPr>
      </w:pPr>
      <w:r w:rsidRPr="00BE5DE1">
        <w:rPr>
          <w:szCs w:val="21"/>
          <w:lang w:eastAsia="fr-FR"/>
        </w:rPr>
        <w:t xml:space="preserve"> </w:t>
      </w:r>
      <w:r w:rsidRPr="002E4906">
        <w:rPr>
          <w:szCs w:val="21"/>
          <w:lang w:eastAsia="fr-FR"/>
        </w:rPr>
        <w:t xml:space="preserve">Le quartier </w:t>
      </w:r>
      <w:r>
        <w:rPr>
          <w:szCs w:val="21"/>
          <w:lang w:eastAsia="fr-FR"/>
        </w:rPr>
        <w:t>Société de Construction et de Gestion Immobilière</w:t>
      </w:r>
      <w:r w:rsidRPr="002E4906">
        <w:rPr>
          <w:szCs w:val="21"/>
          <w:lang w:eastAsia="fr-FR"/>
        </w:rPr>
        <w:t xml:space="preserve"> </w:t>
      </w:r>
      <w:r>
        <w:rPr>
          <w:szCs w:val="21"/>
          <w:lang w:eastAsia="fr-FR"/>
        </w:rPr>
        <w:t>(</w:t>
      </w:r>
      <w:r w:rsidRPr="002E4906">
        <w:rPr>
          <w:szCs w:val="21"/>
          <w:lang w:eastAsia="fr-FR"/>
        </w:rPr>
        <w:t>S</w:t>
      </w:r>
      <w:r>
        <w:rPr>
          <w:szCs w:val="21"/>
          <w:lang w:eastAsia="fr-FR"/>
        </w:rPr>
        <w:t xml:space="preserve">OCOGIM) </w:t>
      </w:r>
      <w:r w:rsidRPr="002E4906">
        <w:rPr>
          <w:szCs w:val="21"/>
          <w:lang w:eastAsia="fr-FR"/>
        </w:rPr>
        <w:t>PS a été créé au début des années 1980 dans une zone de dépressions salées où les c</w:t>
      </w:r>
      <w:r>
        <w:rPr>
          <w:szCs w:val="21"/>
          <w:lang w:eastAsia="fr-FR"/>
        </w:rPr>
        <w:t>o</w:t>
      </w:r>
      <w:r w:rsidRPr="002E4906">
        <w:rPr>
          <w:szCs w:val="21"/>
          <w:lang w:eastAsia="fr-FR"/>
        </w:rPr>
        <w:t>tes, par endroits, sont négatives (-0,2 m dans les zones basses). Le quartier couvr</w:t>
      </w:r>
      <w:r>
        <w:rPr>
          <w:szCs w:val="21"/>
          <w:lang w:eastAsia="fr-FR"/>
        </w:rPr>
        <w:t>ait</w:t>
      </w:r>
      <w:r w:rsidRPr="002E4906">
        <w:rPr>
          <w:szCs w:val="21"/>
          <w:lang w:eastAsia="fr-FR"/>
        </w:rPr>
        <w:t xml:space="preserve"> une superficie de 37 ha et comptait environ 7.000 habitants en 2009 mais seulement 4.000 en 2013 (Source : B</w:t>
      </w:r>
      <w:r>
        <w:rPr>
          <w:szCs w:val="21"/>
          <w:lang w:eastAsia="fr-FR"/>
        </w:rPr>
        <w:t>ureau Maghrébin d’Etudes et de Contrôle (B</w:t>
      </w:r>
      <w:r w:rsidRPr="002E4906">
        <w:rPr>
          <w:szCs w:val="21"/>
          <w:lang w:eastAsia="fr-FR"/>
        </w:rPr>
        <w:t>MEC</w:t>
      </w:r>
      <w:r>
        <w:rPr>
          <w:szCs w:val="21"/>
          <w:lang w:eastAsia="fr-FR"/>
        </w:rPr>
        <w:t>) en 2013</w:t>
      </w:r>
      <w:r w:rsidRPr="002E4906">
        <w:rPr>
          <w:szCs w:val="21"/>
          <w:lang w:eastAsia="fr-FR"/>
        </w:rPr>
        <w:t xml:space="preserve">. </w:t>
      </w:r>
    </w:p>
    <w:p w14:paraId="538723D8" w14:textId="77777777" w:rsidR="008F2269" w:rsidRDefault="008F2269" w:rsidP="008F2269">
      <w:pPr>
        <w:jc w:val="both"/>
        <w:rPr>
          <w:szCs w:val="21"/>
          <w:lang w:eastAsia="fr-FR"/>
        </w:rPr>
      </w:pPr>
      <w:r w:rsidRPr="00913FAE">
        <w:rPr>
          <w:szCs w:val="21"/>
          <w:lang w:eastAsia="fr-FR"/>
        </w:rPr>
        <w:t>Le quartier a été inondé à 95% et déserté en partie par sa population. On enregistr</w:t>
      </w:r>
      <w:r>
        <w:rPr>
          <w:szCs w:val="21"/>
          <w:lang w:eastAsia="fr-FR"/>
        </w:rPr>
        <w:t>ait</w:t>
      </w:r>
      <w:r w:rsidRPr="00913FAE">
        <w:rPr>
          <w:szCs w:val="21"/>
          <w:lang w:eastAsia="fr-FR"/>
        </w:rPr>
        <w:t xml:space="preserve"> un taux d'abandon d'environ 40%. Les risques d'électrocution </w:t>
      </w:r>
      <w:r>
        <w:rPr>
          <w:szCs w:val="21"/>
          <w:lang w:eastAsia="fr-FR"/>
        </w:rPr>
        <w:t>étaient</w:t>
      </w:r>
      <w:r w:rsidRPr="00913FAE">
        <w:rPr>
          <w:szCs w:val="21"/>
          <w:lang w:eastAsia="fr-FR"/>
        </w:rPr>
        <w:t xml:space="preserve"> très élevés à cause de la présence de câbles électriques souterrains. S’y ajou</w:t>
      </w:r>
      <w:r>
        <w:rPr>
          <w:szCs w:val="21"/>
          <w:lang w:eastAsia="fr-FR"/>
        </w:rPr>
        <w:t>tai</w:t>
      </w:r>
      <w:r w:rsidRPr="00913FAE">
        <w:rPr>
          <w:szCs w:val="21"/>
          <w:lang w:eastAsia="fr-FR"/>
        </w:rPr>
        <w:t>ent des nuisances olfactives, la prolifération des moustiques (forte prévalence du paludisme) et des maladies d'origine hydrique</w:t>
      </w:r>
      <w:r>
        <w:rPr>
          <w:szCs w:val="21"/>
          <w:lang w:eastAsia="fr-FR"/>
        </w:rPr>
        <w:t>.</w:t>
      </w:r>
    </w:p>
    <w:p w14:paraId="0276F2D5" w14:textId="77777777" w:rsidR="008F2269" w:rsidRPr="00BE5DE1" w:rsidRDefault="008F2269" w:rsidP="008F2269">
      <w:pPr>
        <w:jc w:val="both"/>
        <w:rPr>
          <w:szCs w:val="21"/>
          <w:lang w:eastAsia="fr-FR"/>
        </w:rPr>
      </w:pPr>
      <w:r w:rsidRPr="001377FA">
        <w:rPr>
          <w:b/>
          <w:bCs/>
          <w:szCs w:val="21"/>
          <w:lang w:eastAsia="fr-FR"/>
        </w:rPr>
        <w:t>En termes d’infrastructures publiques</w:t>
      </w:r>
      <w:r w:rsidRPr="002E4906">
        <w:rPr>
          <w:szCs w:val="21"/>
          <w:lang w:eastAsia="fr-FR"/>
        </w:rPr>
        <w:t>, la S</w:t>
      </w:r>
      <w:r>
        <w:rPr>
          <w:szCs w:val="21"/>
          <w:lang w:eastAsia="fr-FR"/>
        </w:rPr>
        <w:t>OCOGIM</w:t>
      </w:r>
      <w:r w:rsidRPr="002E4906">
        <w:rPr>
          <w:szCs w:val="21"/>
          <w:lang w:eastAsia="fr-FR"/>
        </w:rPr>
        <w:t xml:space="preserve"> PS dispos</w:t>
      </w:r>
      <w:r>
        <w:rPr>
          <w:szCs w:val="21"/>
          <w:lang w:eastAsia="fr-FR"/>
        </w:rPr>
        <w:t>ait</w:t>
      </w:r>
      <w:r w:rsidRPr="002E4906">
        <w:rPr>
          <w:szCs w:val="21"/>
          <w:lang w:eastAsia="fr-FR"/>
        </w:rPr>
        <w:t xml:space="preserve"> d’une mosquée, d’une école et d’un commissariat de police</w:t>
      </w:r>
      <w:r>
        <w:rPr>
          <w:szCs w:val="21"/>
          <w:lang w:eastAsia="fr-FR"/>
        </w:rPr>
        <w:t>.</w:t>
      </w:r>
    </w:p>
    <w:p w14:paraId="284E954B" w14:textId="77777777" w:rsidR="008F2269" w:rsidRDefault="008F2269" w:rsidP="008F2269">
      <w:pPr>
        <w:jc w:val="both"/>
        <w:rPr>
          <w:szCs w:val="21"/>
          <w:lang w:eastAsia="fr-FR"/>
        </w:rPr>
      </w:pPr>
      <w:r>
        <w:rPr>
          <w:szCs w:val="21"/>
          <w:lang w:eastAsia="fr-FR"/>
        </w:rPr>
        <w:t xml:space="preserve">« Malgré les moyens mis en place pour le drainage des eaux en plusieurs endroits de la ville, l’eau était stagnante et devenait sale. Ce pompage visait à évacuer les eaux usées et stagnantes et à réduire les risques de maladies liées à l’eau : </w:t>
      </w:r>
      <w:proofErr w:type="spellStart"/>
      <w:r>
        <w:rPr>
          <w:szCs w:val="21"/>
          <w:lang w:eastAsia="fr-FR"/>
        </w:rPr>
        <w:t>cf</w:t>
      </w:r>
      <w:proofErr w:type="spellEnd"/>
      <w:r>
        <w:rPr>
          <w:szCs w:val="21"/>
          <w:lang w:eastAsia="fr-FR"/>
        </w:rPr>
        <w:t xml:space="preserve"> Reliefweb du 01 octobre 2013 ».</w:t>
      </w:r>
    </w:p>
    <w:p w14:paraId="69C235C3" w14:textId="77777777" w:rsidR="008F2269" w:rsidRDefault="008F2269" w:rsidP="008F2269">
      <w:pPr>
        <w:jc w:val="both"/>
        <w:rPr>
          <w:szCs w:val="21"/>
          <w:lang w:eastAsia="fr-FR"/>
        </w:rPr>
      </w:pPr>
      <w:r w:rsidRPr="00BE5DE1">
        <w:rPr>
          <w:szCs w:val="21"/>
          <w:lang w:eastAsia="fr-FR"/>
        </w:rPr>
        <w:t>Au plan national, l’une des conséquences de la crise a été un besoin en aide alimentaire, notamment parce que des troupeaux entiers ont été perdu</w:t>
      </w:r>
      <w:r>
        <w:rPr>
          <w:szCs w:val="21"/>
          <w:lang w:eastAsia="fr-FR"/>
        </w:rPr>
        <w:t>s</w:t>
      </w:r>
      <w:r w:rsidRPr="00BE5DE1">
        <w:rPr>
          <w:szCs w:val="21"/>
          <w:lang w:eastAsia="fr-FR"/>
        </w:rPr>
        <w:t>, la Mauritanie manquait ainsi de lait de chèvre, source d’alimentation importante des enfants en bas-âge.</w:t>
      </w:r>
    </w:p>
    <w:p w14:paraId="5A9570AD" w14:textId="77777777" w:rsidR="008F2269" w:rsidRPr="00BE5DE1" w:rsidRDefault="008F2269" w:rsidP="008F2269">
      <w:pPr>
        <w:jc w:val="both"/>
        <w:rPr>
          <w:szCs w:val="21"/>
          <w:lang w:eastAsia="fr-FR"/>
        </w:rPr>
      </w:pPr>
      <w:r w:rsidRPr="00BE5DE1">
        <w:rPr>
          <w:szCs w:val="21"/>
          <w:lang w:eastAsia="fr-FR"/>
        </w:rPr>
        <w:t>Ainsi, 5600 personnes auraient été directement affectées par les inondations selon le croissant rouge à Nouakchott, 2300 ont été déplacées pour une dizaine de morts selon le Bureau de la Coordination des Affaires Humanitaires (OCHA). Il y aurait eu plus de 500 maisons effondrées et emportées, des marchés, des centres de santé</w:t>
      </w:r>
      <w:r>
        <w:rPr>
          <w:szCs w:val="21"/>
          <w:lang w:eastAsia="fr-FR"/>
        </w:rPr>
        <w:t xml:space="preserve"> </w:t>
      </w:r>
      <w:r w:rsidRPr="00BE5DE1">
        <w:rPr>
          <w:szCs w:val="21"/>
          <w:lang w:eastAsia="fr-FR"/>
        </w:rPr>
        <w:t>ont été partiellement détruits. Les routes étaient inaccessibles et des quartiers entiers de la capitale étaient inaccessible</w:t>
      </w:r>
      <w:r>
        <w:rPr>
          <w:szCs w:val="21"/>
          <w:lang w:eastAsia="fr-FR"/>
        </w:rPr>
        <w:t>s</w:t>
      </w:r>
      <w:r w:rsidRPr="00BE5DE1">
        <w:rPr>
          <w:szCs w:val="21"/>
          <w:lang w:eastAsia="fr-FR"/>
        </w:rPr>
        <w:t xml:space="preserve"> plusieurs jours</w:t>
      </w:r>
      <w:r>
        <w:rPr>
          <w:szCs w:val="21"/>
          <w:lang w:eastAsia="fr-FR"/>
        </w:rPr>
        <w:t xml:space="preserve"> »</w:t>
      </w:r>
      <w:r w:rsidRPr="00BE5DE1">
        <w:rPr>
          <w:szCs w:val="21"/>
          <w:lang w:eastAsia="fr-FR"/>
        </w:rPr>
        <w:t>.</w:t>
      </w:r>
    </w:p>
    <w:p w14:paraId="321079D6" w14:textId="77777777" w:rsidR="008F2269" w:rsidRPr="009C0B09" w:rsidRDefault="008F2269" w:rsidP="008F2269">
      <w:pPr>
        <w:jc w:val="both"/>
        <w:rPr>
          <w:szCs w:val="21"/>
          <w:lang w:eastAsia="fr-FR"/>
        </w:rPr>
      </w:pPr>
      <w:r w:rsidRPr="009C0B09">
        <w:rPr>
          <w:szCs w:val="21"/>
          <w:lang w:eastAsia="fr-FR"/>
        </w:rPr>
        <w:t xml:space="preserve">Selon le rapport de la Banque Africaine de </w:t>
      </w:r>
      <w:r>
        <w:rPr>
          <w:szCs w:val="21"/>
          <w:lang w:eastAsia="fr-FR"/>
        </w:rPr>
        <w:t>D</w:t>
      </w:r>
      <w:r w:rsidRPr="009C0B09">
        <w:rPr>
          <w:szCs w:val="21"/>
          <w:lang w:eastAsia="fr-FR"/>
        </w:rPr>
        <w:t>éveloppement</w:t>
      </w:r>
      <w:r>
        <w:rPr>
          <w:szCs w:val="21"/>
          <w:lang w:eastAsia="fr-FR"/>
        </w:rPr>
        <w:t xml:space="preserve"> (BAD)</w:t>
      </w:r>
      <w:r w:rsidRPr="009C0B09">
        <w:rPr>
          <w:szCs w:val="21"/>
          <w:lang w:eastAsia="fr-FR"/>
        </w:rPr>
        <w:t xml:space="preserve"> 2019</w:t>
      </w:r>
      <w:r>
        <w:rPr>
          <w:szCs w:val="21"/>
          <w:lang w:eastAsia="fr-FR"/>
        </w:rPr>
        <w:t xml:space="preserve"> « aide humanitaire d’urgence aux victimes des inondations de la Wilaya du Guidimakha, octobre 2019 »</w:t>
      </w:r>
      <w:r w:rsidRPr="009C0B09">
        <w:rPr>
          <w:szCs w:val="21"/>
          <w:lang w:eastAsia="fr-FR"/>
        </w:rPr>
        <w:t>, « le régime</w:t>
      </w:r>
      <w:r>
        <w:rPr>
          <w:szCs w:val="21"/>
          <w:lang w:eastAsia="fr-FR"/>
        </w:rPr>
        <w:t xml:space="preserve"> de pluies</w:t>
      </w:r>
      <w:r w:rsidRPr="009C0B09">
        <w:rPr>
          <w:szCs w:val="21"/>
          <w:lang w:eastAsia="fr-FR"/>
        </w:rPr>
        <w:t xml:space="preserve"> de</w:t>
      </w:r>
      <w:r>
        <w:rPr>
          <w:szCs w:val="21"/>
          <w:lang w:eastAsia="fr-FR"/>
        </w:rPr>
        <w:t xml:space="preserve"> </w:t>
      </w:r>
      <w:r w:rsidRPr="009C0B09">
        <w:rPr>
          <w:szCs w:val="21"/>
          <w:lang w:eastAsia="fr-FR"/>
        </w:rPr>
        <w:t>cette année a été spécialement irrégulier dans les régions du sud et su</w:t>
      </w:r>
      <w:r>
        <w:rPr>
          <w:szCs w:val="21"/>
          <w:lang w:eastAsia="fr-FR"/>
        </w:rPr>
        <w:t>d</w:t>
      </w:r>
      <w:r w:rsidRPr="009C0B09">
        <w:rPr>
          <w:szCs w:val="21"/>
          <w:lang w:eastAsia="fr-FR"/>
        </w:rPr>
        <w:t>-est du pays</w:t>
      </w:r>
      <w:r>
        <w:rPr>
          <w:szCs w:val="21"/>
          <w:lang w:eastAsia="fr-FR"/>
        </w:rPr>
        <w:t xml:space="preserve"> </w:t>
      </w:r>
      <w:r w:rsidRPr="009C0B09">
        <w:rPr>
          <w:szCs w:val="21"/>
          <w:lang w:eastAsia="fr-FR"/>
        </w:rPr>
        <w:t>(Guidimakha, Gorgol, Hodh Echarghi et Hodh El Gharbi).</w:t>
      </w:r>
    </w:p>
    <w:p w14:paraId="3D1ECA2E" w14:textId="77777777" w:rsidR="008F2269" w:rsidRPr="009C0B09" w:rsidRDefault="008F2269" w:rsidP="008F2269">
      <w:pPr>
        <w:jc w:val="both"/>
        <w:rPr>
          <w:szCs w:val="21"/>
          <w:lang w:eastAsia="fr-FR"/>
        </w:rPr>
      </w:pPr>
      <w:r w:rsidRPr="009C0B09">
        <w:rPr>
          <w:szCs w:val="21"/>
          <w:lang w:eastAsia="fr-FR"/>
        </w:rPr>
        <w:t>Après les premières pluies à la suite de la période de soudure caractéristique de la saison sèche, une longue pause pluviométrique a été observée pendant un mois et demi. Cette discontinuité a créé le surpâturage des premières pousses d’herbes et a affaibli d’abord le cheptel de la région.</w:t>
      </w:r>
    </w:p>
    <w:p w14:paraId="613F0C78" w14:textId="77777777" w:rsidR="008F2269" w:rsidRPr="009C0B09" w:rsidRDefault="008F2269" w:rsidP="008F2269">
      <w:pPr>
        <w:jc w:val="both"/>
        <w:rPr>
          <w:szCs w:val="21"/>
          <w:lang w:eastAsia="fr-FR"/>
        </w:rPr>
      </w:pPr>
      <w:r w:rsidRPr="009C0B09">
        <w:rPr>
          <w:szCs w:val="21"/>
          <w:lang w:eastAsia="fr-FR"/>
        </w:rPr>
        <w:t>Ensuite, des pluies diluviennes se sont abattues sur plusieurs localités des régions sud et sud</w:t>
      </w:r>
      <w:r w:rsidRPr="009C0B09">
        <w:rPr>
          <w:rFonts w:ascii="Arial" w:eastAsia="Times New Roman" w:hAnsi="Arial" w:cs="Arial"/>
          <w:sz w:val="23"/>
          <w:szCs w:val="23"/>
          <w:lang w:eastAsia="fr-FR"/>
        </w:rPr>
        <w:t>-</w:t>
      </w:r>
      <w:r>
        <w:rPr>
          <w:szCs w:val="21"/>
          <w:lang w:eastAsia="fr-FR"/>
        </w:rPr>
        <w:t xml:space="preserve"> </w:t>
      </w:r>
      <w:r w:rsidRPr="009C0B09">
        <w:rPr>
          <w:szCs w:val="21"/>
          <w:lang w:eastAsia="fr-FR"/>
        </w:rPr>
        <w:t>est entre le 24 et le 26 août 2019. En effet, notamment sur la ville de Sélibaby où la pluviométrie a atteint, en seulement 2</w:t>
      </w:r>
      <w:r w:rsidRPr="004A15D5">
        <w:rPr>
          <w:b/>
          <w:szCs w:val="21"/>
          <w:lang w:eastAsia="fr-FR"/>
        </w:rPr>
        <w:t>4 heures</w:t>
      </w:r>
      <w:r w:rsidRPr="009C0B09">
        <w:rPr>
          <w:szCs w:val="21"/>
          <w:lang w:eastAsia="fr-FR"/>
        </w:rPr>
        <w:t xml:space="preserve">, </w:t>
      </w:r>
      <w:r w:rsidRPr="004A15D5">
        <w:rPr>
          <w:b/>
          <w:szCs w:val="21"/>
          <w:lang w:eastAsia="fr-FR"/>
        </w:rPr>
        <w:t>300 millimètres</w:t>
      </w:r>
      <w:r>
        <w:rPr>
          <w:szCs w:val="21"/>
          <w:lang w:eastAsia="fr-FR"/>
        </w:rPr>
        <w:t xml:space="preserve">, soit l’équivalent </w:t>
      </w:r>
      <w:r w:rsidRPr="009C0B09">
        <w:rPr>
          <w:szCs w:val="21"/>
          <w:lang w:eastAsia="fr-FR"/>
        </w:rPr>
        <w:t xml:space="preserve">de </w:t>
      </w:r>
      <w:r>
        <w:rPr>
          <w:szCs w:val="21"/>
          <w:lang w:eastAsia="fr-FR"/>
        </w:rPr>
        <w:t>plus</w:t>
      </w:r>
      <w:r w:rsidRPr="009C0B09">
        <w:rPr>
          <w:szCs w:val="21"/>
          <w:lang w:eastAsia="fr-FR"/>
        </w:rPr>
        <w:t xml:space="preserve"> que la moitié de la précipitation annuelle moyenne. Les fortes pluies en combinaison avec la nature escarpée du territoire, ont généré un ruissellement de </w:t>
      </w:r>
      <w:r>
        <w:rPr>
          <w:szCs w:val="21"/>
          <w:lang w:eastAsia="fr-FR"/>
        </w:rPr>
        <w:t>caractère</w:t>
      </w:r>
      <w:r w:rsidRPr="009C0B09">
        <w:rPr>
          <w:szCs w:val="21"/>
          <w:lang w:eastAsia="fr-FR"/>
        </w:rPr>
        <w:t xml:space="preserve"> torrentiel qui a causé des pertes de vies humaines et d’importants dégâts matériels. En effet, selon les </w:t>
      </w:r>
      <w:r>
        <w:rPr>
          <w:szCs w:val="21"/>
          <w:lang w:eastAsia="fr-FR"/>
        </w:rPr>
        <w:t>autorités</w:t>
      </w:r>
      <w:r w:rsidRPr="009C0B09">
        <w:rPr>
          <w:szCs w:val="21"/>
          <w:lang w:eastAsia="fr-FR"/>
        </w:rPr>
        <w:t>, 6 personnes ont perdu la vie par noyade</w:t>
      </w:r>
      <w:r>
        <w:rPr>
          <w:szCs w:val="21"/>
          <w:lang w:eastAsia="fr-FR"/>
        </w:rPr>
        <w:t>.</w:t>
      </w:r>
    </w:p>
    <w:p w14:paraId="4ACE358E" w14:textId="77777777" w:rsidR="008F2269" w:rsidRDefault="008F2269" w:rsidP="008F2269">
      <w:pPr>
        <w:jc w:val="both"/>
        <w:rPr>
          <w:szCs w:val="21"/>
          <w:lang w:eastAsia="fr-FR"/>
        </w:rPr>
      </w:pPr>
      <w:r w:rsidRPr="009C0B09">
        <w:rPr>
          <w:szCs w:val="21"/>
          <w:lang w:eastAsia="fr-FR"/>
        </w:rPr>
        <w:t>En conclusion, 20.000 ménages ont été affectés par une forme ou une autre, avec pour la plupart une perte de la quasi</w:t>
      </w:r>
      <w:r w:rsidRPr="009C0B09">
        <w:rPr>
          <w:rFonts w:ascii="Arial" w:eastAsia="Times New Roman" w:hAnsi="Arial" w:cs="Arial"/>
          <w:sz w:val="23"/>
          <w:szCs w:val="23"/>
          <w:lang w:eastAsia="fr-FR"/>
        </w:rPr>
        <w:t>-</w:t>
      </w:r>
      <w:r w:rsidRPr="009C0B09">
        <w:rPr>
          <w:szCs w:val="21"/>
          <w:lang w:eastAsia="fr-FR"/>
        </w:rPr>
        <w:t>totalité ou d’une grande partie de leurs moyens de subsistance.</w:t>
      </w:r>
    </w:p>
    <w:p w14:paraId="63E959E2" w14:textId="77777777" w:rsidR="008F2269" w:rsidRPr="009C0B09" w:rsidRDefault="008F2269" w:rsidP="008F2269">
      <w:pPr>
        <w:rPr>
          <w:szCs w:val="21"/>
          <w:lang w:eastAsia="fr-FR"/>
        </w:rPr>
      </w:pPr>
      <w:r w:rsidRPr="009C0B09">
        <w:rPr>
          <w:szCs w:val="21"/>
          <w:lang w:eastAsia="fr-FR"/>
        </w:rPr>
        <w:t>Les dégradations occasionnées par les inondations exceptionnelles se sont traduites par</w:t>
      </w:r>
      <w:r>
        <w:rPr>
          <w:szCs w:val="21"/>
          <w:lang w:eastAsia="fr-FR"/>
        </w:rPr>
        <w:t xml:space="preserve"> </w:t>
      </w:r>
      <w:r w:rsidRPr="009C0B09">
        <w:rPr>
          <w:szCs w:val="21"/>
          <w:lang w:eastAsia="fr-FR"/>
        </w:rPr>
        <w:t>:</w:t>
      </w:r>
    </w:p>
    <w:p w14:paraId="0A2A1004" w14:textId="77777777" w:rsidR="008F2269" w:rsidRPr="00C57F51" w:rsidRDefault="008F2269" w:rsidP="008F2269">
      <w:pPr>
        <w:pStyle w:val="Paragraphedeliste"/>
        <w:numPr>
          <w:ilvl w:val="0"/>
          <w:numId w:val="114"/>
        </w:numPr>
        <w:suppressAutoHyphens/>
        <w:autoSpaceDN w:val="0"/>
        <w:spacing w:line="240" w:lineRule="auto"/>
        <w:jc w:val="both"/>
        <w:textAlignment w:val="baseline"/>
      </w:pPr>
      <w:r w:rsidRPr="00C57F51">
        <w:t>La destruction totale ou partiale d’environ 2.000 constructions, tant précaires comme solides, principalement à usage d’habitation mais aussi à des fins socioéconomiques ;</w:t>
      </w:r>
    </w:p>
    <w:p w14:paraId="0AB525ED" w14:textId="77777777" w:rsidR="008F2269" w:rsidRPr="00C57F51" w:rsidRDefault="008F2269" w:rsidP="008F2269">
      <w:pPr>
        <w:pStyle w:val="Paragraphedeliste"/>
        <w:numPr>
          <w:ilvl w:val="0"/>
          <w:numId w:val="114"/>
        </w:numPr>
        <w:suppressAutoHyphens/>
        <w:autoSpaceDN w:val="0"/>
        <w:spacing w:line="240" w:lineRule="auto"/>
        <w:jc w:val="both"/>
        <w:textAlignment w:val="baseline"/>
      </w:pPr>
      <w:r w:rsidRPr="00C57F51">
        <w:t>Des pertes en bétail estimées à plusieurs milliers de têtes, principalement des bovins ;</w:t>
      </w:r>
    </w:p>
    <w:p w14:paraId="627C989D" w14:textId="77777777" w:rsidR="008F2269" w:rsidRDefault="008F2269" w:rsidP="008F2269">
      <w:pPr>
        <w:pStyle w:val="Paragraphedeliste"/>
        <w:numPr>
          <w:ilvl w:val="0"/>
          <w:numId w:val="114"/>
        </w:numPr>
        <w:suppressAutoHyphens/>
        <w:autoSpaceDN w:val="0"/>
        <w:spacing w:line="240" w:lineRule="auto"/>
        <w:jc w:val="both"/>
        <w:textAlignment w:val="baseline"/>
      </w:pPr>
      <w:r w:rsidRPr="00C57F51">
        <w:t>Des pertes capitales en matière de biens de consommation stockés dans les magasins des régions touchées ;</w:t>
      </w:r>
    </w:p>
    <w:p w14:paraId="60F79C9E" w14:textId="77777777" w:rsidR="008F2269" w:rsidRDefault="008F2269" w:rsidP="008F2269">
      <w:pPr>
        <w:pStyle w:val="Paragraphedeliste"/>
        <w:numPr>
          <w:ilvl w:val="0"/>
          <w:numId w:val="114"/>
        </w:numPr>
        <w:suppressAutoHyphens/>
        <w:autoSpaceDN w:val="0"/>
        <w:spacing w:line="240" w:lineRule="auto"/>
        <w:jc w:val="both"/>
        <w:textAlignment w:val="baseline"/>
      </w:pPr>
      <w:r w:rsidRPr="00C57F51">
        <w:t>Des pertes dans la future campagne agricole qui n’ont pas encore pu être estimées ;</w:t>
      </w:r>
    </w:p>
    <w:p w14:paraId="16405495" w14:textId="77777777" w:rsidR="008F2269" w:rsidRDefault="008F2269" w:rsidP="008F2269">
      <w:pPr>
        <w:pStyle w:val="Paragraphedeliste"/>
        <w:numPr>
          <w:ilvl w:val="0"/>
          <w:numId w:val="114"/>
        </w:numPr>
        <w:suppressAutoHyphens/>
        <w:autoSpaceDN w:val="0"/>
        <w:spacing w:line="240" w:lineRule="auto"/>
        <w:jc w:val="both"/>
        <w:textAlignment w:val="baseline"/>
      </w:pPr>
      <w:r w:rsidRPr="00C57F51">
        <w:t>La destruction d’un pont reliant la ville de Sélibaby, la plus affectée, à la ville de Kaédi et le reste du pays ;</w:t>
      </w:r>
    </w:p>
    <w:p w14:paraId="3CF9A348" w14:textId="77777777" w:rsidR="008F2269" w:rsidRPr="00C57F51" w:rsidRDefault="008F2269" w:rsidP="008F2269">
      <w:pPr>
        <w:pStyle w:val="Paragraphedeliste"/>
        <w:numPr>
          <w:ilvl w:val="0"/>
          <w:numId w:val="114"/>
        </w:numPr>
        <w:suppressAutoHyphens/>
        <w:autoSpaceDN w:val="0"/>
        <w:spacing w:line="240" w:lineRule="auto"/>
        <w:jc w:val="both"/>
        <w:textAlignment w:val="baseline"/>
      </w:pPr>
      <w:r w:rsidRPr="00C57F51">
        <w:t xml:space="preserve">Des axes de communication devenus impraticables, rendant le déplacement entre </w:t>
      </w:r>
      <w:r>
        <w:t>villages très difficile.</w:t>
      </w:r>
    </w:p>
    <w:p w14:paraId="4FF9E21D" w14:textId="77777777" w:rsidR="008F2269" w:rsidRDefault="008F2269" w:rsidP="008F2269">
      <w:pPr>
        <w:jc w:val="both"/>
        <w:rPr>
          <w:szCs w:val="21"/>
        </w:rPr>
      </w:pPr>
      <w:r>
        <w:rPr>
          <w:szCs w:val="21"/>
        </w:rPr>
        <w:t>Selon le rapport de l’Organisation Internationale de la Migration (OIM) du 26 septembre au 06 octobre 2019 et en compléments d’informations, ces inondations ont provoqué d’importants dégâts humains et matériels : 6 personnes mortes, 41 187 personnes affectées dans 5 371 ménages, et une perte considérable de bétail (Conseil Régional, Septembre 2019).</w:t>
      </w:r>
    </w:p>
    <w:p w14:paraId="40644E06" w14:textId="77777777" w:rsidR="008F2269" w:rsidRPr="009C0B09" w:rsidRDefault="008F2269" w:rsidP="008F2269">
      <w:pPr>
        <w:jc w:val="both"/>
        <w:rPr>
          <w:szCs w:val="21"/>
          <w:lang w:eastAsia="fr-FR"/>
        </w:rPr>
      </w:pPr>
      <w:r>
        <w:rPr>
          <w:szCs w:val="21"/>
        </w:rPr>
        <w:t>Le 01 septembre 2020, la Wilaya du Hodh Echargui a</w:t>
      </w:r>
      <w:r>
        <w:rPr>
          <w:rStyle w:val="rich-text-section"/>
        </w:rPr>
        <w:t xml:space="preserve"> connu des pluies diluviennes qui ont dépassé la barrière de 100 mm dans certaines zones. Les villes de Bassiknou, Adel Begrou, Amourj notamment et Néma, la capitale de la région ont été très impactées.</w:t>
      </w:r>
    </w:p>
    <w:p w14:paraId="63120DB3" w14:textId="77777777" w:rsidR="008F2269" w:rsidRDefault="008F2269" w:rsidP="008F2269">
      <w:pPr>
        <w:jc w:val="both"/>
        <w:rPr>
          <w:rStyle w:val="rich-text-section"/>
        </w:rPr>
      </w:pPr>
      <w:r>
        <w:rPr>
          <w:rStyle w:val="rich-text-section"/>
        </w:rPr>
        <w:t>Le bilan a été très lourd en dégâts matériels, au niveau des infrastructures telles que les routes, les ponts, les digues de protection, les marchés, les sources d'approvisionnement en eau, en plus de la destruction d'une grande partie des stocks alimentaires familiaux.</w:t>
      </w:r>
    </w:p>
    <w:p w14:paraId="46A47DD8" w14:textId="77777777" w:rsidR="008F2269" w:rsidRDefault="008F2269" w:rsidP="008F2269">
      <w:pPr>
        <w:jc w:val="both"/>
        <w:rPr>
          <w:rStyle w:val="rich-text-section"/>
        </w:rPr>
      </w:pPr>
      <w:r>
        <w:rPr>
          <w:rStyle w:val="rich-text-section"/>
        </w:rPr>
        <w:t xml:space="preserve">De même, les quartiers dépressionnaires de Nouakchott et Rosso ont été inondés. </w:t>
      </w:r>
    </w:p>
    <w:p w14:paraId="2F7C9DF0" w14:textId="77777777" w:rsidR="008F2269" w:rsidRDefault="008F2269" w:rsidP="008F2269">
      <w:pPr>
        <w:jc w:val="both"/>
        <w:rPr>
          <w:lang w:eastAsia="fr-FR"/>
        </w:rPr>
      </w:pPr>
      <w:r>
        <w:rPr>
          <w:rStyle w:val="rich-text-section"/>
        </w:rPr>
        <w:t>Selon la Dépêche « Entre le 01 et à 2 août 2022, la ville de Boghé a été fortement inondée par une pluie diluvienne de 150 mm, a ravagé plusieurs quartiers. Ces dégâts été signalés dans plusieurs villages. Pour évacuer les eaux, 7 stations de pompages ont été installées : avec 300 m3/h (4 unités) et 150 m3/h (3 unités).</w:t>
      </w:r>
    </w:p>
    <w:p w14:paraId="5AC3CB30" w14:textId="77777777" w:rsidR="008F2269" w:rsidRDefault="008F2269" w:rsidP="008F2269">
      <w:pPr>
        <w:spacing w:after="0" w:line="240" w:lineRule="auto"/>
      </w:pPr>
      <w:r>
        <w:t>La zone aride du pays n’a pas été épargnée par les inondations dévastatrices notamment en Adrar et au Tagant :</w:t>
      </w:r>
    </w:p>
    <w:p w14:paraId="2456E9D3" w14:textId="77777777" w:rsidR="008F2269" w:rsidRPr="009451DA" w:rsidRDefault="008F2269" w:rsidP="008F2269">
      <w:pPr>
        <w:jc w:val="both"/>
        <w:rPr>
          <w:rFonts w:cstheme="minorHAnsi"/>
        </w:rPr>
      </w:pPr>
      <w:r w:rsidRPr="004939C0">
        <w:rPr>
          <w:szCs w:val="21"/>
          <w:lang w:eastAsia="fr-FR"/>
        </w:rPr>
        <w:t xml:space="preserve">Dans la Wilaya </w:t>
      </w:r>
      <w:r>
        <w:rPr>
          <w:szCs w:val="21"/>
          <w:lang w:eastAsia="fr-FR"/>
        </w:rPr>
        <w:t>de l’Adrar, dans la zone d’Atar-Aoujeft</w:t>
      </w:r>
      <w:r w:rsidRPr="004939C0">
        <w:rPr>
          <w:szCs w:val="21"/>
          <w:lang w:eastAsia="fr-FR"/>
        </w:rPr>
        <w:t> :</w:t>
      </w:r>
      <w:r>
        <w:rPr>
          <w:szCs w:val="21"/>
          <w:lang w:eastAsia="fr-FR"/>
        </w:rPr>
        <w:t xml:space="preserve"> </w:t>
      </w:r>
      <w:proofErr w:type="spellStart"/>
      <w:r>
        <w:rPr>
          <w:szCs w:val="21"/>
          <w:lang w:eastAsia="fr-FR"/>
        </w:rPr>
        <w:t>cf</w:t>
      </w:r>
      <w:proofErr w:type="spellEnd"/>
      <w:r>
        <w:rPr>
          <w:szCs w:val="21"/>
          <w:lang w:eastAsia="fr-FR"/>
        </w:rPr>
        <w:t xml:space="preserve"> Agrer et al. «4 Pôles du Nord : </w:t>
      </w:r>
      <w:r w:rsidRPr="009451DA">
        <w:rPr>
          <w:szCs w:val="21"/>
          <w:lang w:eastAsia="fr-FR"/>
        </w:rPr>
        <w:t>Livrables 3 et 4</w:t>
      </w:r>
      <w:r>
        <w:rPr>
          <w:szCs w:val="21"/>
          <w:lang w:eastAsia="fr-FR"/>
        </w:rPr>
        <w:t xml:space="preserve"> </w:t>
      </w:r>
      <w:r w:rsidRPr="009451DA">
        <w:rPr>
          <w:szCs w:val="21"/>
          <w:lang w:eastAsia="fr-FR"/>
        </w:rPr>
        <w:t>Rapport « </w:t>
      </w:r>
      <w:r>
        <w:rPr>
          <w:szCs w:val="21"/>
          <w:lang w:eastAsia="fr-FR"/>
        </w:rPr>
        <w:t xml:space="preserve">Analyse du risque climatique » </w:t>
      </w:r>
      <w:r w:rsidRPr="009451DA">
        <w:rPr>
          <w:szCs w:val="21"/>
          <w:lang w:eastAsia="fr-FR"/>
        </w:rPr>
        <w:t>Version finale</w:t>
      </w:r>
      <w:r>
        <w:rPr>
          <w:szCs w:val="21"/>
          <w:lang w:eastAsia="fr-FR"/>
        </w:rPr>
        <w:t>, juin 2021 :</w:t>
      </w:r>
    </w:p>
    <w:p w14:paraId="35550105" w14:textId="77777777" w:rsidR="008F2269" w:rsidRDefault="008F2269" w:rsidP="008F2269">
      <w:pPr>
        <w:pStyle w:val="Paragraphedeliste"/>
        <w:numPr>
          <w:ilvl w:val="0"/>
          <w:numId w:val="114"/>
        </w:numPr>
        <w:suppressAutoHyphens/>
        <w:autoSpaceDN w:val="0"/>
        <w:spacing w:line="240" w:lineRule="auto"/>
        <w:jc w:val="both"/>
        <w:textAlignment w:val="baseline"/>
      </w:pPr>
      <w:r w:rsidRPr="002F443F">
        <w:t>En 2003</w:t>
      </w:r>
      <w:r>
        <w:t xml:space="preserve"> des pertes </w:t>
      </w:r>
      <w:r w:rsidRPr="002F443F">
        <w:t>avec 5 cas de vies humaines et 1000 pieds de palmiers emportés ;</w:t>
      </w:r>
    </w:p>
    <w:p w14:paraId="1914ED98" w14:textId="77777777" w:rsidR="008F2269" w:rsidRPr="002F443F" w:rsidRDefault="008F2269" w:rsidP="008F2269">
      <w:pPr>
        <w:pStyle w:val="Paragraphedeliste"/>
        <w:numPr>
          <w:ilvl w:val="0"/>
          <w:numId w:val="114"/>
        </w:numPr>
        <w:suppressAutoHyphens/>
        <w:autoSpaceDN w:val="0"/>
        <w:spacing w:line="240" w:lineRule="auto"/>
        <w:jc w:val="both"/>
        <w:textAlignment w:val="baseline"/>
      </w:pPr>
      <w:r w:rsidRPr="002F443F">
        <w:t xml:space="preserve">En 2010 </w:t>
      </w:r>
      <w:r>
        <w:t xml:space="preserve">des dommages </w:t>
      </w:r>
      <w:r w:rsidRPr="002F443F">
        <w:t>avec des pertes matérielles très importantes ;</w:t>
      </w:r>
    </w:p>
    <w:p w14:paraId="52EB8C5A" w14:textId="77777777" w:rsidR="008F2269" w:rsidRDefault="008F2269" w:rsidP="008F2269">
      <w:pPr>
        <w:pStyle w:val="Paragraphedeliste"/>
        <w:numPr>
          <w:ilvl w:val="0"/>
          <w:numId w:val="114"/>
        </w:numPr>
        <w:suppressAutoHyphens/>
        <w:autoSpaceDN w:val="0"/>
        <w:spacing w:line="240" w:lineRule="auto"/>
        <w:jc w:val="both"/>
        <w:textAlignment w:val="baseline"/>
      </w:pPr>
      <w:r>
        <w:t xml:space="preserve">Le </w:t>
      </w:r>
      <w:r w:rsidRPr="002F443F">
        <w:t>31-08-2017 la localité de Timinit (20 km d’Aoujeft ou 110 km d’Atar) a été éprouvé</w:t>
      </w:r>
      <w:r>
        <w:t>e</w:t>
      </w:r>
      <w:r w:rsidRPr="002F443F">
        <w:t xml:space="preserve"> par des inondations</w:t>
      </w:r>
      <w:r>
        <w:t>.</w:t>
      </w:r>
      <w:r w:rsidRPr="002F443F">
        <w:t xml:space="preserve"> Les pluies et les inondations qui ont suivi ont entraîné des dégâts matériels au niveau du village en plus du fait que le ruissellement a fauché la partie traversant le village de la route Atar – Tidjikdja ».</w:t>
      </w:r>
    </w:p>
    <w:p w14:paraId="31743203" w14:textId="77777777" w:rsidR="008F2269" w:rsidRPr="00692BF7" w:rsidRDefault="008F2269" w:rsidP="008F2269">
      <w:pPr>
        <w:pStyle w:val="Paragraphedeliste"/>
        <w:numPr>
          <w:ilvl w:val="0"/>
          <w:numId w:val="114"/>
        </w:numPr>
        <w:suppressAutoHyphens/>
        <w:autoSpaceDN w:val="0"/>
        <w:spacing w:line="240" w:lineRule="auto"/>
        <w:jc w:val="both"/>
        <w:textAlignment w:val="baseline"/>
      </w:pPr>
      <w:r>
        <w:t>En</w:t>
      </w:r>
      <w:r w:rsidRPr="002F443F">
        <w:t xml:space="preserve"> 2019</w:t>
      </w:r>
      <w:r>
        <w:t xml:space="preserve">, </w:t>
      </w:r>
      <w:r w:rsidRPr="002F443F">
        <w:t>les</w:t>
      </w:r>
      <w:r>
        <w:t xml:space="preserve"> pluies diluviennes ont causé </w:t>
      </w:r>
      <w:r w:rsidRPr="002F443F">
        <w:t>des dégâts significatifs sur le nouveau barrage de l’oued Séguélil : mortalité de palmiers-dattiers par engorgement en amont, stress hydride des palmiers</w:t>
      </w:r>
      <w:r>
        <w:t>-dattiers</w:t>
      </w:r>
      <w:r w:rsidRPr="002F443F">
        <w:t xml:space="preserve"> en aval.</w:t>
      </w:r>
      <w:r>
        <w:t> </w:t>
      </w:r>
    </w:p>
    <w:p w14:paraId="51AF6459" w14:textId="77777777" w:rsidR="008F2269" w:rsidRDefault="008F2269" w:rsidP="008F2269">
      <w:pPr>
        <w:ind w:left="708"/>
        <w:jc w:val="both"/>
        <w:rPr>
          <w:szCs w:val="21"/>
          <w:lang w:eastAsia="fr-FR"/>
        </w:rPr>
      </w:pPr>
      <w:r w:rsidRPr="004939C0">
        <w:rPr>
          <w:szCs w:val="21"/>
          <w:lang w:eastAsia="fr-FR"/>
        </w:rPr>
        <w:t>Dans la Wilaya d</w:t>
      </w:r>
      <w:r>
        <w:rPr>
          <w:szCs w:val="21"/>
          <w:lang w:eastAsia="fr-FR"/>
        </w:rPr>
        <w:t xml:space="preserve">u Tagant, des inondations </w:t>
      </w:r>
      <w:r w:rsidRPr="004939C0">
        <w:rPr>
          <w:szCs w:val="21"/>
          <w:lang w:eastAsia="fr-FR"/>
        </w:rPr>
        <w:t>dévastatr</w:t>
      </w:r>
      <w:r>
        <w:rPr>
          <w:szCs w:val="21"/>
          <w:lang w:eastAsia="fr-FR"/>
        </w:rPr>
        <w:t>ices ont occasionné des dégâts </w:t>
      </w:r>
      <w:r w:rsidRPr="004939C0">
        <w:rPr>
          <w:szCs w:val="21"/>
          <w:lang w:eastAsia="fr-FR"/>
        </w:rPr>
        <w:t>importants emportant des palmiers, bouchant les puits dans les lits d’oueds, détruisant des seuils en gabions et des barrages notamment le long de l’oued Tidjikja</w:t>
      </w:r>
      <w:r>
        <w:rPr>
          <w:szCs w:val="21"/>
          <w:lang w:eastAsia="fr-FR"/>
        </w:rPr>
        <w:t xml:space="preserve"> et les oueds de la Tamourt en Naaj.</w:t>
      </w:r>
    </w:p>
    <w:p w14:paraId="10C20EDC" w14:textId="77777777" w:rsidR="008F2269" w:rsidRPr="00D07FB2" w:rsidRDefault="008F2269" w:rsidP="008F2269">
      <w:pPr>
        <w:rPr>
          <w:rFonts w:cstheme="minorHAnsi"/>
          <w:b/>
          <w:bCs/>
        </w:rPr>
      </w:pPr>
      <w:r w:rsidRPr="00D07FB2">
        <w:rPr>
          <w:rFonts w:cstheme="minorHAnsi"/>
          <w:b/>
          <w:bCs/>
        </w:rPr>
        <w:t>PCRHC¨* : Plan de Contingence Régional de la Wilaya du Hodh Ech Chargui : 2022-2024.</w:t>
      </w:r>
    </w:p>
    <w:p w14:paraId="7FC0CBF5" w14:textId="77777777" w:rsidR="008F2269" w:rsidRDefault="008F2269" w:rsidP="008F2269">
      <w:pPr>
        <w:jc w:val="both"/>
        <w:rPr>
          <w:rFonts w:cstheme="minorHAnsi"/>
          <w:bCs/>
        </w:rPr>
      </w:pPr>
      <w:r>
        <w:rPr>
          <w:rFonts w:cstheme="minorHAnsi"/>
          <w:bCs/>
        </w:rPr>
        <w:t>Dans le cadre des activités de l’Organisation Internationale de la Migration a publié en 2022 </w:t>
      </w:r>
      <w:r w:rsidRPr="00DF0862">
        <w:rPr>
          <w:rFonts w:cstheme="minorHAnsi"/>
          <w:bCs/>
        </w:rPr>
        <w:t>«</w:t>
      </w:r>
      <w:r>
        <w:rPr>
          <w:rFonts w:cstheme="minorHAnsi"/>
          <w:bCs/>
        </w:rPr>
        <w:t xml:space="preserve"> Plan de Contingence Régional de la Wilaya du Hodh Ech Ghargui /</w:t>
      </w:r>
      <w:r w:rsidRPr="00DF0862">
        <w:rPr>
          <w:rFonts w:cstheme="minorHAnsi"/>
          <w:bCs/>
        </w:rPr>
        <w:t>Analyse des risques de vulnérabilités sur les aléas naturels dans la Moughataa Bassikounou</w:t>
      </w:r>
      <w:r>
        <w:rPr>
          <w:rFonts w:cstheme="minorHAnsi"/>
          <w:bCs/>
        </w:rPr>
        <w:t xml:space="preserve"> » donnant certains critères de la vulnérabilité. Les critères établis pour 10 villages </w:t>
      </w:r>
      <w:r w:rsidRPr="007825B2">
        <w:rPr>
          <w:rFonts w:cstheme="minorHAnsi"/>
          <w:bCs/>
        </w:rPr>
        <w:t>(Lemghayss, Bouglingala, Ehssey Lebyadh, Lagdaf, Medalla, Kindierla,</w:t>
      </w:r>
      <w:r>
        <w:rPr>
          <w:rFonts w:cstheme="minorHAnsi"/>
          <w:bCs/>
        </w:rPr>
        <w:t xml:space="preserve"> </w:t>
      </w:r>
      <w:r w:rsidRPr="007825B2">
        <w:rPr>
          <w:rFonts w:cstheme="minorHAnsi"/>
          <w:bCs/>
        </w:rPr>
        <w:t>Boyziya, R’ken, Ehel Ahmedou et Bir Elbarka)</w:t>
      </w:r>
      <w:r>
        <w:rPr>
          <w:rFonts w:cstheme="minorHAnsi"/>
          <w:bCs/>
        </w:rPr>
        <w:t xml:space="preserve">. </w:t>
      </w:r>
      <w:r w:rsidRPr="007825B2">
        <w:rPr>
          <w:rFonts w:cstheme="minorHAnsi"/>
          <w:bCs/>
        </w:rPr>
        <w:t>Les informations ont été collectées auprès d’informateurs clés (représentants des comités villageois / chefs de villages) au moyen d’un questionnaire structuré</w:t>
      </w:r>
      <w:r>
        <w:rPr>
          <w:rFonts w:cstheme="minorHAnsi"/>
          <w:bCs/>
        </w:rPr>
        <w:t>.</w:t>
      </w:r>
    </w:p>
    <w:p w14:paraId="78D7069D" w14:textId="77777777" w:rsidR="008F2269" w:rsidRDefault="008F2269" w:rsidP="008F2269">
      <w:pPr>
        <w:spacing w:after="0"/>
        <w:rPr>
          <w:rFonts w:cstheme="minorHAnsi"/>
          <w:bCs/>
        </w:rPr>
      </w:pPr>
      <w:r>
        <w:rPr>
          <w:rFonts w:cstheme="minorHAnsi"/>
          <w:bCs/>
        </w:rPr>
        <w:t>Ces critères sont comme suit :</w:t>
      </w:r>
    </w:p>
    <w:p w14:paraId="6C25BF0D" w14:textId="77777777" w:rsidR="008F2269" w:rsidRPr="00C05E3B" w:rsidRDefault="008F2269" w:rsidP="008F2269">
      <w:pPr>
        <w:pStyle w:val="Paragraphedeliste"/>
        <w:numPr>
          <w:ilvl w:val="0"/>
          <w:numId w:val="146"/>
        </w:numPr>
        <w:suppressAutoHyphens/>
        <w:autoSpaceDN w:val="0"/>
        <w:spacing w:after="0" w:line="240" w:lineRule="auto"/>
        <w:ind w:left="426" w:hanging="295"/>
        <w:textAlignment w:val="baseline"/>
        <w:rPr>
          <w:rFonts w:cstheme="minorHAnsi"/>
          <w:bCs/>
        </w:rPr>
      </w:pPr>
      <w:r w:rsidRPr="00C05E3B">
        <w:rPr>
          <w:rFonts w:cstheme="minorHAnsi"/>
          <w:bCs/>
        </w:rPr>
        <w:t>Les communautés les plus exposées aux catastrophes, aux feux de brousse, aux sécheresses, aux inondations, aux maladies,</w:t>
      </w:r>
    </w:p>
    <w:p w14:paraId="7F1F4609" w14:textId="77777777" w:rsidR="008F2269" w:rsidRPr="00C05E3B" w:rsidRDefault="008F2269" w:rsidP="008F2269">
      <w:pPr>
        <w:pStyle w:val="Paragraphedeliste"/>
        <w:numPr>
          <w:ilvl w:val="0"/>
          <w:numId w:val="146"/>
        </w:numPr>
        <w:suppressAutoHyphens/>
        <w:autoSpaceDN w:val="0"/>
        <w:spacing w:after="0" w:line="240" w:lineRule="auto"/>
        <w:ind w:left="426" w:hanging="295"/>
        <w:textAlignment w:val="baseline"/>
        <w:rPr>
          <w:rFonts w:cstheme="minorHAnsi"/>
          <w:bCs/>
        </w:rPr>
      </w:pPr>
      <w:r w:rsidRPr="00C05E3B">
        <w:rPr>
          <w:rFonts w:cstheme="minorHAnsi"/>
          <w:bCs/>
        </w:rPr>
        <w:t>L’ampleur des catastrophes récentes dans les villages,</w:t>
      </w:r>
    </w:p>
    <w:p w14:paraId="6DCED242" w14:textId="77777777" w:rsidR="008F2269" w:rsidRPr="00C05E3B" w:rsidRDefault="008F2269" w:rsidP="008F2269">
      <w:pPr>
        <w:pStyle w:val="Paragraphedeliste"/>
        <w:numPr>
          <w:ilvl w:val="0"/>
          <w:numId w:val="146"/>
        </w:numPr>
        <w:suppressAutoHyphens/>
        <w:autoSpaceDN w:val="0"/>
        <w:spacing w:after="0" w:line="240" w:lineRule="auto"/>
        <w:ind w:left="426" w:hanging="295"/>
        <w:textAlignment w:val="baseline"/>
        <w:rPr>
          <w:rFonts w:cstheme="minorHAnsi"/>
          <w:bCs/>
        </w:rPr>
      </w:pPr>
      <w:r w:rsidRPr="00C05E3B">
        <w:rPr>
          <w:rFonts w:cstheme="minorHAnsi"/>
          <w:bCs/>
        </w:rPr>
        <w:t>La fréquence et les dommages causés aux personnes et au bétail dans les villages,</w:t>
      </w:r>
    </w:p>
    <w:p w14:paraId="32652C15" w14:textId="77777777" w:rsidR="008F2269" w:rsidRPr="00C05E3B" w:rsidRDefault="008F2269" w:rsidP="008F2269">
      <w:pPr>
        <w:pStyle w:val="Paragraphedeliste"/>
        <w:numPr>
          <w:ilvl w:val="0"/>
          <w:numId w:val="146"/>
        </w:numPr>
        <w:suppressAutoHyphens/>
        <w:autoSpaceDN w:val="0"/>
        <w:spacing w:after="0" w:line="240" w:lineRule="auto"/>
        <w:ind w:left="426" w:hanging="295"/>
        <w:textAlignment w:val="baseline"/>
        <w:rPr>
          <w:rFonts w:cstheme="minorHAnsi"/>
          <w:bCs/>
        </w:rPr>
      </w:pPr>
      <w:r w:rsidRPr="00C05E3B">
        <w:rPr>
          <w:rFonts w:cstheme="minorHAnsi"/>
          <w:bCs/>
        </w:rPr>
        <w:t>La capacité de résilience pendant les périodes de sécheresse,</w:t>
      </w:r>
    </w:p>
    <w:p w14:paraId="6E58F014" w14:textId="77777777" w:rsidR="008F2269" w:rsidRPr="00C05E3B" w:rsidRDefault="008F2269" w:rsidP="008F2269">
      <w:pPr>
        <w:pStyle w:val="Paragraphedeliste"/>
        <w:numPr>
          <w:ilvl w:val="0"/>
          <w:numId w:val="146"/>
        </w:numPr>
        <w:suppressAutoHyphens/>
        <w:autoSpaceDN w:val="0"/>
        <w:spacing w:after="0" w:line="240" w:lineRule="auto"/>
        <w:ind w:left="426" w:hanging="295"/>
        <w:textAlignment w:val="baseline"/>
        <w:rPr>
          <w:rFonts w:cstheme="minorHAnsi"/>
          <w:bCs/>
        </w:rPr>
      </w:pPr>
      <w:r w:rsidRPr="00C05E3B">
        <w:rPr>
          <w:rFonts w:cstheme="minorHAnsi"/>
          <w:bCs/>
        </w:rPr>
        <w:t>L’existence de couloirs de transhumance,</w:t>
      </w:r>
    </w:p>
    <w:p w14:paraId="64FF0FEC" w14:textId="77777777" w:rsidR="008F2269" w:rsidRPr="00C05E3B" w:rsidRDefault="008F2269" w:rsidP="008F2269">
      <w:pPr>
        <w:pStyle w:val="Paragraphedeliste"/>
        <w:numPr>
          <w:ilvl w:val="0"/>
          <w:numId w:val="146"/>
        </w:numPr>
        <w:suppressAutoHyphens/>
        <w:autoSpaceDN w:val="0"/>
        <w:spacing w:after="0" w:line="240" w:lineRule="auto"/>
        <w:ind w:left="426" w:hanging="295"/>
        <w:textAlignment w:val="baseline"/>
        <w:rPr>
          <w:rFonts w:cstheme="minorHAnsi"/>
          <w:bCs/>
        </w:rPr>
      </w:pPr>
      <w:r w:rsidRPr="00C05E3B">
        <w:rPr>
          <w:rFonts w:cstheme="minorHAnsi"/>
          <w:bCs/>
        </w:rPr>
        <w:t>L’existence de comités villageois et leur expérience en matière de réponse aux catastrophes,</w:t>
      </w:r>
    </w:p>
    <w:p w14:paraId="2812B6DD" w14:textId="77777777" w:rsidR="008F2269" w:rsidRPr="00C05E3B" w:rsidRDefault="008F2269" w:rsidP="008F2269">
      <w:pPr>
        <w:pStyle w:val="Paragraphedeliste"/>
        <w:numPr>
          <w:ilvl w:val="0"/>
          <w:numId w:val="146"/>
        </w:numPr>
        <w:suppressAutoHyphens/>
        <w:autoSpaceDN w:val="0"/>
        <w:spacing w:after="120" w:line="240" w:lineRule="auto"/>
        <w:ind w:left="425" w:hanging="295"/>
        <w:textAlignment w:val="baseline"/>
        <w:rPr>
          <w:rFonts w:cstheme="minorHAnsi"/>
          <w:bCs/>
        </w:rPr>
      </w:pPr>
      <w:r w:rsidRPr="00C05E3B">
        <w:rPr>
          <w:rFonts w:cstheme="minorHAnsi"/>
          <w:bCs/>
        </w:rPr>
        <w:t>Le nombre de populations affectées et de personnes déplacées, et les lacunes critiques dans la coordination et la réponse au niveau régional.</w:t>
      </w:r>
    </w:p>
    <w:p w14:paraId="70FE05DD" w14:textId="77777777" w:rsidR="008F2269" w:rsidRDefault="008F2269" w:rsidP="00090C68">
      <w:pPr>
        <w:spacing w:after="80"/>
        <w:rPr>
          <w:rFonts w:cstheme="minorHAnsi"/>
          <w:bCs/>
        </w:rPr>
      </w:pPr>
      <w:r>
        <w:rPr>
          <w:rFonts w:cstheme="minorHAnsi"/>
          <w:bCs/>
        </w:rPr>
        <w:t>Les résultats des types d’évènements les plus courants sont :</w:t>
      </w:r>
    </w:p>
    <w:p w14:paraId="5C33D75C" w14:textId="77777777" w:rsidR="008F2269" w:rsidRPr="00C05E3B" w:rsidRDefault="008F2269" w:rsidP="008F2269">
      <w:pPr>
        <w:pStyle w:val="Paragraphedeliste"/>
        <w:numPr>
          <w:ilvl w:val="0"/>
          <w:numId w:val="147"/>
        </w:numPr>
        <w:suppressAutoHyphens/>
        <w:autoSpaceDN w:val="0"/>
        <w:spacing w:after="0" w:line="240" w:lineRule="auto"/>
        <w:textAlignment w:val="baseline"/>
        <w:rPr>
          <w:rFonts w:cstheme="minorHAnsi"/>
          <w:bCs/>
        </w:rPr>
      </w:pPr>
      <w:r w:rsidRPr="00C05E3B">
        <w:rPr>
          <w:rFonts w:cstheme="minorHAnsi"/>
          <w:bCs/>
        </w:rPr>
        <w:t>Fréquences des feux de brousse : 100 %</w:t>
      </w:r>
    </w:p>
    <w:p w14:paraId="4BD9C9CD" w14:textId="77777777" w:rsidR="008F2269" w:rsidRPr="00C05E3B" w:rsidRDefault="008F2269" w:rsidP="008F2269">
      <w:pPr>
        <w:pStyle w:val="Paragraphedeliste"/>
        <w:numPr>
          <w:ilvl w:val="0"/>
          <w:numId w:val="147"/>
        </w:numPr>
        <w:suppressAutoHyphens/>
        <w:autoSpaceDN w:val="0"/>
        <w:spacing w:after="0" w:line="240" w:lineRule="auto"/>
        <w:textAlignment w:val="baseline"/>
        <w:rPr>
          <w:rFonts w:cstheme="minorHAnsi"/>
          <w:bCs/>
        </w:rPr>
      </w:pPr>
      <w:r w:rsidRPr="00C05E3B">
        <w:rPr>
          <w:rFonts w:cstheme="minorHAnsi"/>
          <w:bCs/>
        </w:rPr>
        <w:t>Fréquences des sécheresses : 100 %</w:t>
      </w:r>
    </w:p>
    <w:p w14:paraId="7D1F8E18" w14:textId="77777777" w:rsidR="008F2269" w:rsidRPr="00BA320B" w:rsidRDefault="008F2269" w:rsidP="008F2269">
      <w:pPr>
        <w:pStyle w:val="Paragraphedeliste"/>
        <w:numPr>
          <w:ilvl w:val="0"/>
          <w:numId w:val="147"/>
        </w:numPr>
        <w:suppressAutoHyphens/>
        <w:autoSpaceDN w:val="0"/>
        <w:spacing w:after="0" w:line="240" w:lineRule="auto"/>
        <w:textAlignment w:val="baseline"/>
        <w:rPr>
          <w:rFonts w:cstheme="minorHAnsi"/>
          <w:bCs/>
        </w:rPr>
      </w:pPr>
      <w:r>
        <w:rPr>
          <w:rFonts w:cstheme="minorHAnsi"/>
          <w:bCs/>
        </w:rPr>
        <w:t>Fréquences des températures extrêmes (jusqu’à 50 °C) : 100 %</w:t>
      </w:r>
    </w:p>
    <w:p w14:paraId="3E9B19A4" w14:textId="77777777" w:rsidR="008F2269" w:rsidRPr="00803C64" w:rsidRDefault="008F2269" w:rsidP="008F2269">
      <w:pPr>
        <w:pStyle w:val="Paragraphedeliste"/>
        <w:numPr>
          <w:ilvl w:val="0"/>
          <w:numId w:val="147"/>
        </w:numPr>
        <w:suppressAutoHyphens/>
        <w:autoSpaceDN w:val="0"/>
        <w:spacing w:after="0" w:line="240" w:lineRule="auto"/>
        <w:textAlignment w:val="baseline"/>
        <w:rPr>
          <w:rFonts w:cstheme="minorHAnsi"/>
          <w:bCs/>
        </w:rPr>
      </w:pPr>
      <w:r>
        <w:rPr>
          <w:rFonts w:cstheme="minorHAnsi"/>
          <w:bCs/>
        </w:rPr>
        <w:t xml:space="preserve">Fréquences des inondations </w:t>
      </w:r>
      <w:r w:rsidRPr="00803C64">
        <w:rPr>
          <w:rFonts w:cstheme="minorHAnsi"/>
          <w:bCs/>
        </w:rPr>
        <w:t>: 1</w:t>
      </w:r>
      <w:r>
        <w:rPr>
          <w:rFonts w:cstheme="minorHAnsi"/>
          <w:bCs/>
        </w:rPr>
        <w:t>9</w:t>
      </w:r>
      <w:r w:rsidRPr="00803C64">
        <w:rPr>
          <w:rFonts w:cstheme="minorHAnsi"/>
          <w:bCs/>
        </w:rPr>
        <w:t>0 %</w:t>
      </w:r>
    </w:p>
    <w:p w14:paraId="5F338A35" w14:textId="77777777" w:rsidR="008F2269" w:rsidRPr="00BA320B" w:rsidRDefault="008F2269" w:rsidP="008F2269">
      <w:pPr>
        <w:pStyle w:val="Paragraphedeliste"/>
        <w:numPr>
          <w:ilvl w:val="0"/>
          <w:numId w:val="147"/>
        </w:numPr>
        <w:suppressAutoHyphens/>
        <w:autoSpaceDN w:val="0"/>
        <w:spacing w:after="0" w:line="240" w:lineRule="auto"/>
        <w:textAlignment w:val="baseline"/>
        <w:rPr>
          <w:rFonts w:cstheme="minorHAnsi"/>
          <w:bCs/>
        </w:rPr>
      </w:pPr>
      <w:r>
        <w:rPr>
          <w:rFonts w:cstheme="minorHAnsi"/>
          <w:bCs/>
        </w:rPr>
        <w:t>Autres : 70 %.</w:t>
      </w:r>
    </w:p>
    <w:p w14:paraId="574A0718" w14:textId="77777777" w:rsidR="008F2269" w:rsidRDefault="008F2269" w:rsidP="008F2269">
      <w:pPr>
        <w:rPr>
          <w:rFonts w:cstheme="minorHAnsi"/>
          <w:bCs/>
        </w:rPr>
      </w:pPr>
      <w:r>
        <w:rPr>
          <w:rFonts w:cstheme="minorHAnsi"/>
          <w:bCs/>
        </w:rPr>
        <w:t>NB : les vents violents sont inclus dans autres et méritent d’être pris à part entière.</w:t>
      </w:r>
    </w:p>
    <w:p w14:paraId="4DFEF684" w14:textId="77777777" w:rsidR="008F2269" w:rsidRPr="009615CD" w:rsidRDefault="008F2269" w:rsidP="008F2269">
      <w:pPr>
        <w:spacing w:after="0"/>
        <w:jc w:val="both"/>
        <w:rPr>
          <w:rFonts w:cstheme="minorHAnsi"/>
          <w:bCs/>
        </w:rPr>
      </w:pPr>
      <w:r>
        <w:rPr>
          <w:rFonts w:cstheme="minorHAnsi"/>
          <w:bCs/>
        </w:rPr>
        <w:t>En effet, « le plan de contingence de la Wilaya du Hodh EChargui » mis à jour par le Ministère de l’Intérieur et de la Décentralisation (MIDEC) en novembre 2022 avec les soutiens de l’Union Européenne (UE) et l’Organisation Internationale de la Migration (OIM) a révélé qu’en mai 2022 : « l</w:t>
      </w:r>
      <w:r w:rsidRPr="009615CD">
        <w:rPr>
          <w:rFonts w:cstheme="minorHAnsi"/>
          <w:bCs/>
        </w:rPr>
        <w:t>es vents forts suivis des intempéries endommagent, détruisent des maisons et causent des</w:t>
      </w:r>
      <w:r>
        <w:rPr>
          <w:rFonts w:cstheme="minorHAnsi"/>
          <w:bCs/>
        </w:rPr>
        <w:t xml:space="preserve"> </w:t>
      </w:r>
      <w:r w:rsidRPr="009615CD">
        <w:rPr>
          <w:rFonts w:cstheme="minorHAnsi"/>
          <w:bCs/>
        </w:rPr>
        <w:t xml:space="preserve">pertes de tête de bétails. </w:t>
      </w:r>
      <w:r w:rsidRPr="009615CD">
        <w:rPr>
          <w:rFonts w:cstheme="minorHAnsi"/>
          <w:b/>
        </w:rPr>
        <w:t xml:space="preserve">En mai 2022, les vents violents ont </w:t>
      </w:r>
      <w:r>
        <w:rPr>
          <w:rFonts w:cstheme="minorHAnsi"/>
          <w:b/>
        </w:rPr>
        <w:t xml:space="preserve">occasionné </w:t>
      </w:r>
      <w:r w:rsidRPr="009615CD">
        <w:rPr>
          <w:rFonts w:cstheme="minorHAnsi"/>
          <w:b/>
        </w:rPr>
        <w:t xml:space="preserve">149 </w:t>
      </w:r>
      <w:r>
        <w:rPr>
          <w:rFonts w:cstheme="minorHAnsi"/>
          <w:b/>
        </w:rPr>
        <w:t>sans-abris</w:t>
      </w:r>
      <w:r w:rsidRPr="009615CD">
        <w:rPr>
          <w:rFonts w:cstheme="minorHAnsi"/>
          <w:b/>
        </w:rPr>
        <w:t>, endommagés 69</w:t>
      </w:r>
      <w:r>
        <w:rPr>
          <w:rFonts w:cstheme="minorHAnsi"/>
          <w:b/>
        </w:rPr>
        <w:t xml:space="preserve"> maisons</w:t>
      </w:r>
      <w:r w:rsidRPr="009615CD">
        <w:rPr>
          <w:rFonts w:cstheme="minorHAnsi"/>
          <w:b/>
        </w:rPr>
        <w:t>, emporté</w:t>
      </w:r>
      <w:r>
        <w:rPr>
          <w:rFonts w:cstheme="minorHAnsi"/>
          <w:b/>
        </w:rPr>
        <w:t xml:space="preserve"> </w:t>
      </w:r>
      <w:r w:rsidRPr="009615CD">
        <w:rPr>
          <w:rFonts w:cstheme="minorHAnsi"/>
          <w:b/>
        </w:rPr>
        <w:t>1532 têtes de bétails et affecté 197 ménages pour un total de 1 182 individus affectés</w:t>
      </w:r>
      <w:r>
        <w:rPr>
          <w:rFonts w:cstheme="minorHAnsi"/>
          <w:b/>
        </w:rPr>
        <w:t> »</w:t>
      </w:r>
      <w:r w:rsidRPr="009615CD">
        <w:rPr>
          <w:rFonts w:cstheme="minorHAnsi"/>
          <w:b/>
        </w:rPr>
        <w:t>.</w:t>
      </w:r>
    </w:p>
    <w:p w14:paraId="4943F4C7" w14:textId="77777777" w:rsidR="008F2269" w:rsidRPr="004A6085" w:rsidRDefault="008F2269" w:rsidP="008F2269">
      <w:pPr>
        <w:spacing w:after="0"/>
        <w:rPr>
          <w:rFonts w:cstheme="minorHAnsi"/>
          <w:b/>
          <w:sz w:val="20"/>
          <w:szCs w:val="20"/>
        </w:rPr>
      </w:pPr>
      <w:r>
        <w:rPr>
          <w:rFonts w:cstheme="minorHAnsi"/>
          <w:b/>
          <w:sz w:val="20"/>
          <w:szCs w:val="20"/>
        </w:rPr>
        <w:t>NB : Ces vents ont causé</w:t>
      </w:r>
      <w:r w:rsidRPr="004A6085">
        <w:rPr>
          <w:rFonts w:cstheme="minorHAnsi"/>
          <w:b/>
          <w:sz w:val="20"/>
          <w:szCs w:val="20"/>
        </w:rPr>
        <w:t xml:space="preserve"> des dommages avant l’installation de la saison des pluies.</w:t>
      </w:r>
    </w:p>
    <w:p w14:paraId="4F12536E" w14:textId="77777777" w:rsidR="008F2269" w:rsidRPr="000414F6" w:rsidRDefault="008F2269" w:rsidP="008F2269">
      <w:pPr>
        <w:spacing w:after="0"/>
        <w:rPr>
          <w:rFonts w:cstheme="minorHAnsi"/>
          <w:bCs/>
        </w:rPr>
      </w:pPr>
      <w:r w:rsidRPr="000414F6">
        <w:rPr>
          <w:rFonts w:cstheme="minorHAnsi"/>
          <w:bCs/>
        </w:rPr>
        <w:t>Le tableau synoptique du plan de contingence est renseigné comme suit :</w:t>
      </w:r>
    </w:p>
    <w:p w14:paraId="0D177456" w14:textId="77777777" w:rsidR="008F2269" w:rsidRPr="006A4A73" w:rsidRDefault="008F2269" w:rsidP="008F2269">
      <w:pPr>
        <w:spacing w:after="0" w:line="240" w:lineRule="auto"/>
        <w:rPr>
          <w:rFonts w:cstheme="minorHAnsi"/>
          <w:b/>
        </w:rPr>
      </w:pPr>
      <w:r w:rsidRPr="000414F6">
        <w:rPr>
          <w:rFonts w:cstheme="minorHAnsi"/>
          <w:b/>
        </w:rPr>
        <w:t>Eléments</w:t>
      </w:r>
      <w:r w:rsidRPr="000414F6">
        <w:rPr>
          <w:rFonts w:cstheme="minorHAnsi"/>
          <w:b/>
        </w:rPr>
        <w:tab/>
      </w:r>
      <w:r w:rsidRPr="000414F6">
        <w:rPr>
          <w:rFonts w:cstheme="minorHAnsi"/>
          <w:b/>
        </w:rPr>
        <w:tab/>
      </w:r>
      <w:r w:rsidRPr="000414F6">
        <w:rPr>
          <w:rFonts w:cstheme="minorHAnsi"/>
          <w:b/>
        </w:rPr>
        <w:tab/>
      </w:r>
      <w:r w:rsidRPr="000414F6">
        <w:rPr>
          <w:rFonts w:cstheme="minorHAnsi"/>
          <w:b/>
        </w:rPr>
        <w:tab/>
      </w:r>
      <w:r w:rsidRPr="000414F6">
        <w:rPr>
          <w:rFonts w:cstheme="minorHAnsi"/>
          <w:b/>
        </w:rPr>
        <w:tab/>
      </w:r>
      <w:r w:rsidRPr="000414F6">
        <w:rPr>
          <w:rFonts w:cstheme="minorHAnsi"/>
          <w:b/>
        </w:rPr>
        <w:tab/>
        <w:t>Valeurs</w:t>
      </w:r>
    </w:p>
    <w:p w14:paraId="57D6C4C2" w14:textId="77777777" w:rsidR="008F2269" w:rsidRPr="000414F6" w:rsidRDefault="008F2269" w:rsidP="008F2269">
      <w:pPr>
        <w:spacing w:after="0" w:line="240" w:lineRule="auto"/>
        <w:rPr>
          <w:rFonts w:cstheme="minorHAnsi"/>
          <w:bCs/>
        </w:rPr>
      </w:pPr>
      <w:r w:rsidRPr="000414F6">
        <w:rPr>
          <w:rFonts w:cstheme="minorHAnsi"/>
          <w:bCs/>
        </w:rPr>
        <w:t>Types de risques Feux de brousse</w:t>
      </w:r>
    </w:p>
    <w:p w14:paraId="6547252F" w14:textId="77777777" w:rsidR="008F2269" w:rsidRPr="000414F6" w:rsidRDefault="008F2269" w:rsidP="008F2269">
      <w:pPr>
        <w:spacing w:after="0" w:line="240" w:lineRule="auto"/>
        <w:rPr>
          <w:rFonts w:cstheme="minorHAnsi"/>
          <w:bCs/>
        </w:rPr>
      </w:pPr>
      <w:r w:rsidRPr="000414F6">
        <w:rPr>
          <w:rFonts w:cstheme="minorHAnsi"/>
          <w:bCs/>
        </w:rPr>
        <w:t>Inondation</w:t>
      </w:r>
    </w:p>
    <w:p w14:paraId="756A6CB0" w14:textId="77777777" w:rsidR="008F2269" w:rsidRPr="000414F6" w:rsidRDefault="008F2269" w:rsidP="008F2269">
      <w:pPr>
        <w:spacing w:after="0" w:line="240" w:lineRule="auto"/>
        <w:rPr>
          <w:rFonts w:cstheme="minorHAnsi"/>
          <w:bCs/>
        </w:rPr>
      </w:pPr>
      <w:r w:rsidRPr="000414F6">
        <w:rPr>
          <w:rFonts w:cstheme="minorHAnsi"/>
          <w:bCs/>
        </w:rPr>
        <w:t>Sécheresse (Insécurité alimentaire)</w:t>
      </w:r>
    </w:p>
    <w:p w14:paraId="0ED89C5E" w14:textId="77777777" w:rsidR="008F2269" w:rsidRPr="000414F6" w:rsidRDefault="008F2269" w:rsidP="008F2269">
      <w:pPr>
        <w:spacing w:after="0" w:line="240" w:lineRule="auto"/>
        <w:rPr>
          <w:rFonts w:cstheme="minorHAnsi"/>
          <w:bCs/>
        </w:rPr>
      </w:pPr>
      <w:r w:rsidRPr="000414F6">
        <w:rPr>
          <w:rFonts w:cstheme="minorHAnsi"/>
          <w:bCs/>
        </w:rPr>
        <w:t>Epidémie</w:t>
      </w:r>
    </w:p>
    <w:p w14:paraId="26F38284" w14:textId="77777777" w:rsidR="008F2269" w:rsidRPr="000414F6" w:rsidRDefault="008F2269" w:rsidP="008F2269">
      <w:pPr>
        <w:spacing w:after="0" w:line="240" w:lineRule="auto"/>
        <w:rPr>
          <w:rFonts w:cstheme="minorHAnsi"/>
          <w:b/>
        </w:rPr>
      </w:pPr>
      <w:r w:rsidRPr="000414F6">
        <w:rPr>
          <w:rFonts w:cstheme="minorHAnsi"/>
          <w:b/>
        </w:rPr>
        <w:t>Estimations des potentielles victimes :</w:t>
      </w:r>
    </w:p>
    <w:p w14:paraId="66E2B68D" w14:textId="77777777" w:rsidR="008F2269" w:rsidRPr="000414F6" w:rsidRDefault="008F2269" w:rsidP="008F2269">
      <w:pPr>
        <w:spacing w:after="0" w:line="240" w:lineRule="auto"/>
        <w:rPr>
          <w:rFonts w:cstheme="minorHAnsi"/>
          <w:bCs/>
        </w:rPr>
      </w:pPr>
      <w:r w:rsidRPr="000414F6">
        <w:rPr>
          <w:rFonts w:cstheme="minorHAnsi"/>
          <w:bCs/>
        </w:rPr>
        <w:t>Feux de brousse</w:t>
      </w:r>
      <w:r>
        <w:rPr>
          <w:rFonts w:cstheme="minorHAnsi"/>
          <w:bCs/>
        </w:rPr>
        <w:tab/>
      </w:r>
      <w:r>
        <w:rPr>
          <w:rFonts w:cstheme="minorHAnsi"/>
          <w:bCs/>
        </w:rPr>
        <w:tab/>
      </w:r>
      <w:r>
        <w:rPr>
          <w:rFonts w:cstheme="minorHAnsi"/>
          <w:bCs/>
        </w:rPr>
        <w:tab/>
      </w:r>
      <w:r>
        <w:rPr>
          <w:rFonts w:cstheme="minorHAnsi"/>
          <w:bCs/>
        </w:rPr>
        <w:tab/>
      </w:r>
      <w:r>
        <w:rPr>
          <w:rFonts w:cstheme="minorHAnsi"/>
          <w:bCs/>
        </w:rPr>
        <w:tab/>
      </w:r>
      <w:r w:rsidRPr="000414F6">
        <w:rPr>
          <w:rFonts w:cstheme="minorHAnsi"/>
          <w:bCs/>
        </w:rPr>
        <w:t xml:space="preserve"> 8 000 ménages ou 48 000 personnes</w:t>
      </w:r>
    </w:p>
    <w:p w14:paraId="22822CB2" w14:textId="77777777" w:rsidR="008F2269" w:rsidRPr="000414F6" w:rsidRDefault="008F2269" w:rsidP="008F2269">
      <w:pPr>
        <w:spacing w:after="0" w:line="240" w:lineRule="auto"/>
        <w:rPr>
          <w:rFonts w:cstheme="minorHAnsi"/>
          <w:bCs/>
        </w:rPr>
      </w:pPr>
      <w:r w:rsidRPr="000414F6">
        <w:rPr>
          <w:rFonts w:cstheme="minorHAnsi"/>
          <w:bCs/>
        </w:rPr>
        <w:t>Inondation</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sidRPr="000414F6">
        <w:rPr>
          <w:rFonts w:cstheme="minorHAnsi"/>
          <w:bCs/>
        </w:rPr>
        <w:t xml:space="preserve"> 8 400 ménages ou 50 400 personnes</w:t>
      </w:r>
    </w:p>
    <w:p w14:paraId="76F96A99" w14:textId="77777777" w:rsidR="008F2269" w:rsidRPr="000414F6" w:rsidRDefault="008F2269" w:rsidP="008F2269">
      <w:pPr>
        <w:spacing w:after="0" w:line="240" w:lineRule="auto"/>
        <w:rPr>
          <w:rFonts w:cstheme="minorHAnsi"/>
          <w:bCs/>
        </w:rPr>
      </w:pPr>
      <w:r w:rsidRPr="000414F6">
        <w:rPr>
          <w:rFonts w:cstheme="minorHAnsi"/>
          <w:bCs/>
        </w:rPr>
        <w:t xml:space="preserve">Sécheresse (Insécurité alimentaire) </w:t>
      </w:r>
      <w:r>
        <w:rPr>
          <w:rFonts w:cstheme="minorHAnsi"/>
          <w:bCs/>
        </w:rPr>
        <w:tab/>
      </w:r>
      <w:r>
        <w:rPr>
          <w:rFonts w:cstheme="minorHAnsi"/>
          <w:bCs/>
        </w:rPr>
        <w:tab/>
      </w:r>
      <w:r>
        <w:rPr>
          <w:rFonts w:cstheme="minorHAnsi"/>
          <w:bCs/>
        </w:rPr>
        <w:tab/>
      </w:r>
      <w:r w:rsidRPr="000414F6">
        <w:rPr>
          <w:rFonts w:cstheme="minorHAnsi"/>
          <w:bCs/>
        </w:rPr>
        <w:t>15 835 ménages ou 95 000 personnes</w:t>
      </w:r>
    </w:p>
    <w:p w14:paraId="597B69CA" w14:textId="77777777" w:rsidR="008F2269" w:rsidRDefault="008F2269" w:rsidP="008F2269">
      <w:pPr>
        <w:spacing w:after="0" w:line="240" w:lineRule="auto"/>
        <w:rPr>
          <w:rFonts w:cstheme="minorHAnsi"/>
          <w:bCs/>
        </w:rPr>
      </w:pPr>
      <w:r w:rsidRPr="000414F6">
        <w:rPr>
          <w:rFonts w:cstheme="minorHAnsi"/>
          <w:bCs/>
        </w:rPr>
        <w:t xml:space="preserve">Epidémie </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sidRPr="000414F6">
        <w:rPr>
          <w:rFonts w:cstheme="minorHAnsi"/>
          <w:bCs/>
        </w:rPr>
        <w:t xml:space="preserve">71 776 ménages ou 430 </w:t>
      </w:r>
      <w:r>
        <w:rPr>
          <w:rFonts w:cstheme="minorHAnsi"/>
          <w:bCs/>
        </w:rPr>
        <w:t>656</w:t>
      </w:r>
      <w:r w:rsidRPr="000414F6">
        <w:rPr>
          <w:rFonts w:cstheme="minorHAnsi"/>
          <w:bCs/>
        </w:rPr>
        <w:t xml:space="preserve"> personnes</w:t>
      </w:r>
    </w:p>
    <w:p w14:paraId="6E964E1C" w14:textId="77777777" w:rsidR="008F2269" w:rsidRPr="000414F6" w:rsidRDefault="008F2269" w:rsidP="008F2269">
      <w:pPr>
        <w:spacing w:after="0" w:line="240" w:lineRule="auto"/>
        <w:rPr>
          <w:rFonts w:cstheme="minorHAnsi"/>
          <w:b/>
        </w:rPr>
      </w:pPr>
      <w:r w:rsidRPr="000414F6">
        <w:rPr>
          <w:rFonts w:cstheme="minorHAnsi"/>
          <w:b/>
        </w:rPr>
        <w:t>Principaux acteurs de la préparation et réponse :</w:t>
      </w:r>
    </w:p>
    <w:p w14:paraId="173F7F50" w14:textId="77777777" w:rsidR="008F2269" w:rsidRPr="000414F6" w:rsidRDefault="008F2269" w:rsidP="008F2269">
      <w:pPr>
        <w:spacing w:after="0" w:line="240" w:lineRule="auto"/>
        <w:rPr>
          <w:rFonts w:cstheme="minorHAnsi"/>
          <w:bCs/>
        </w:rPr>
      </w:pPr>
      <w:r w:rsidRPr="000414F6">
        <w:rPr>
          <w:rFonts w:cstheme="minorHAnsi"/>
          <w:bCs/>
        </w:rPr>
        <w:t xml:space="preserve">Village </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sidRPr="000414F6">
        <w:rPr>
          <w:rFonts w:cstheme="minorHAnsi"/>
          <w:bCs/>
        </w:rPr>
        <w:t>Comité villageois/chefs de village</w:t>
      </w:r>
    </w:p>
    <w:p w14:paraId="7A03CC58" w14:textId="77777777" w:rsidR="008F2269" w:rsidRPr="000414F6" w:rsidRDefault="008F2269" w:rsidP="008F2269">
      <w:pPr>
        <w:spacing w:after="0" w:line="240" w:lineRule="auto"/>
        <w:rPr>
          <w:rFonts w:cstheme="minorHAnsi"/>
          <w:bCs/>
        </w:rPr>
      </w:pPr>
      <w:r w:rsidRPr="000414F6">
        <w:rPr>
          <w:rFonts w:cstheme="minorHAnsi"/>
          <w:bCs/>
        </w:rPr>
        <w:t>Relais communautaires</w:t>
      </w:r>
    </w:p>
    <w:p w14:paraId="7EC33337" w14:textId="77777777" w:rsidR="008F2269" w:rsidRPr="000414F6" w:rsidRDefault="008F2269" w:rsidP="008F2269">
      <w:pPr>
        <w:spacing w:after="0" w:line="240" w:lineRule="auto"/>
        <w:rPr>
          <w:rFonts w:cstheme="minorHAnsi"/>
          <w:bCs/>
        </w:rPr>
      </w:pPr>
      <w:r w:rsidRPr="000414F6">
        <w:rPr>
          <w:rFonts w:cstheme="minorHAnsi"/>
          <w:bCs/>
        </w:rPr>
        <w:t xml:space="preserve">Commune </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sidRPr="000414F6">
        <w:rPr>
          <w:rFonts w:cstheme="minorHAnsi"/>
          <w:bCs/>
        </w:rPr>
        <w:t>Maires</w:t>
      </w:r>
    </w:p>
    <w:p w14:paraId="2190D0E0" w14:textId="77777777" w:rsidR="008F2269" w:rsidRPr="000414F6" w:rsidRDefault="008F2269" w:rsidP="008F2269">
      <w:pPr>
        <w:spacing w:after="0" w:line="240" w:lineRule="auto"/>
        <w:rPr>
          <w:rFonts w:cstheme="minorHAnsi"/>
          <w:bCs/>
        </w:rPr>
      </w:pPr>
      <w:r w:rsidRPr="000414F6">
        <w:rPr>
          <w:rFonts w:cstheme="minorHAnsi"/>
          <w:bCs/>
        </w:rPr>
        <w:t>Département</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sidRPr="000414F6">
        <w:rPr>
          <w:rFonts w:cstheme="minorHAnsi"/>
          <w:bCs/>
        </w:rPr>
        <w:t xml:space="preserve"> Hakem</w:t>
      </w:r>
    </w:p>
    <w:p w14:paraId="4BA9D9A5" w14:textId="77777777" w:rsidR="008F2269" w:rsidRDefault="008F2269" w:rsidP="008F2269">
      <w:pPr>
        <w:spacing w:after="0" w:line="240" w:lineRule="auto"/>
        <w:rPr>
          <w:rFonts w:cstheme="minorHAnsi"/>
          <w:bCs/>
        </w:rPr>
      </w:pPr>
      <w:r>
        <w:rPr>
          <w:rFonts w:cstheme="minorHAnsi"/>
          <w:bCs/>
        </w:rPr>
        <w:t xml:space="preserve">Région </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 xml:space="preserve">Wali </w:t>
      </w:r>
      <w:r>
        <w:rPr>
          <w:rFonts w:cstheme="minorHAnsi"/>
          <w:bCs/>
        </w:rPr>
        <w:tab/>
      </w:r>
      <w:r>
        <w:rPr>
          <w:rFonts w:cstheme="minorHAnsi"/>
          <w:bCs/>
        </w:rPr>
        <w:tab/>
      </w:r>
      <w:r>
        <w:rPr>
          <w:rFonts w:cstheme="minorHAnsi"/>
          <w:bCs/>
        </w:rPr>
        <w:tab/>
      </w:r>
      <w:r>
        <w:rPr>
          <w:rFonts w:cstheme="minorHAnsi"/>
          <w:bCs/>
        </w:rPr>
        <w:tab/>
      </w:r>
    </w:p>
    <w:p w14:paraId="4E0F7897" w14:textId="77777777" w:rsidR="008F2269" w:rsidRPr="000414F6" w:rsidRDefault="008F2269" w:rsidP="008F2269">
      <w:pPr>
        <w:spacing w:after="0" w:line="240" w:lineRule="auto"/>
        <w:rPr>
          <w:rFonts w:cstheme="minorHAnsi"/>
          <w:bCs/>
        </w:rPr>
      </w:pPr>
      <w:r w:rsidRPr="000414F6">
        <w:rPr>
          <w:rFonts w:cstheme="minorHAnsi"/>
          <w:bCs/>
        </w:rPr>
        <w:t>Comité Régional de gestion des</w:t>
      </w:r>
      <w:r>
        <w:rPr>
          <w:rFonts w:cstheme="minorHAnsi"/>
          <w:bCs/>
        </w:rPr>
        <w:t xml:space="preserve"> urgences </w:t>
      </w:r>
    </w:p>
    <w:p w14:paraId="4292170A" w14:textId="77777777" w:rsidR="008F2269" w:rsidRPr="000414F6" w:rsidRDefault="008F2269" w:rsidP="008F2269">
      <w:pPr>
        <w:spacing w:after="0" w:line="240" w:lineRule="auto"/>
        <w:rPr>
          <w:rFonts w:cstheme="minorHAnsi"/>
          <w:b/>
        </w:rPr>
      </w:pPr>
      <w:r w:rsidRPr="000414F6">
        <w:rPr>
          <w:rFonts w:cstheme="minorHAnsi"/>
          <w:b/>
        </w:rPr>
        <w:t>Coûts estimatifs de la préparation et réponse :</w:t>
      </w:r>
    </w:p>
    <w:p w14:paraId="798AC0D5" w14:textId="77777777" w:rsidR="008F2269" w:rsidRPr="000414F6" w:rsidRDefault="008F2269" w:rsidP="008F2269">
      <w:pPr>
        <w:spacing w:after="0" w:line="240" w:lineRule="auto"/>
        <w:rPr>
          <w:rFonts w:cstheme="minorHAnsi"/>
          <w:bCs/>
        </w:rPr>
      </w:pPr>
      <w:r w:rsidRPr="000414F6">
        <w:rPr>
          <w:rFonts w:cstheme="minorHAnsi"/>
          <w:bCs/>
        </w:rPr>
        <w:t>Feux de brousse</w:t>
      </w:r>
      <w:r>
        <w:rPr>
          <w:rFonts w:cstheme="minorHAnsi"/>
          <w:bCs/>
        </w:rPr>
        <w:tab/>
      </w:r>
      <w:r>
        <w:rPr>
          <w:rFonts w:cstheme="minorHAnsi"/>
          <w:bCs/>
        </w:rPr>
        <w:tab/>
      </w:r>
      <w:r>
        <w:rPr>
          <w:rFonts w:cstheme="minorHAnsi"/>
          <w:bCs/>
        </w:rPr>
        <w:tab/>
      </w:r>
      <w:r>
        <w:rPr>
          <w:rFonts w:cstheme="minorHAnsi"/>
          <w:bCs/>
        </w:rPr>
        <w:tab/>
      </w:r>
      <w:r>
        <w:rPr>
          <w:rFonts w:cstheme="minorHAnsi"/>
          <w:bCs/>
        </w:rPr>
        <w:tab/>
      </w:r>
      <w:r w:rsidRPr="000414F6">
        <w:rPr>
          <w:rFonts w:cstheme="minorHAnsi"/>
          <w:bCs/>
        </w:rPr>
        <w:t xml:space="preserve"> 2,</w:t>
      </w:r>
      <w:r>
        <w:rPr>
          <w:rFonts w:cstheme="minorHAnsi"/>
          <w:bCs/>
        </w:rPr>
        <w:t xml:space="preserve"> </w:t>
      </w:r>
      <w:r w:rsidRPr="000414F6">
        <w:rPr>
          <w:rFonts w:cstheme="minorHAnsi"/>
          <w:bCs/>
        </w:rPr>
        <w:t>302,265.00 USD</w:t>
      </w:r>
    </w:p>
    <w:p w14:paraId="5B14A24A" w14:textId="77777777" w:rsidR="008F2269" w:rsidRPr="000414F6" w:rsidRDefault="008F2269" w:rsidP="008F2269">
      <w:pPr>
        <w:spacing w:after="0" w:line="240" w:lineRule="auto"/>
        <w:rPr>
          <w:rFonts w:cstheme="minorHAnsi"/>
          <w:bCs/>
        </w:rPr>
      </w:pPr>
      <w:r w:rsidRPr="000414F6">
        <w:rPr>
          <w:rFonts w:cstheme="minorHAnsi"/>
          <w:bCs/>
        </w:rPr>
        <w:t xml:space="preserve">Inondation </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 xml:space="preserve"> </w:t>
      </w:r>
      <w:r w:rsidRPr="000414F6">
        <w:rPr>
          <w:rFonts w:cstheme="minorHAnsi"/>
          <w:bCs/>
        </w:rPr>
        <w:t>3,</w:t>
      </w:r>
      <w:r>
        <w:rPr>
          <w:rFonts w:cstheme="minorHAnsi"/>
          <w:bCs/>
        </w:rPr>
        <w:t xml:space="preserve"> </w:t>
      </w:r>
      <w:r w:rsidRPr="000414F6">
        <w:rPr>
          <w:rFonts w:cstheme="minorHAnsi"/>
          <w:bCs/>
        </w:rPr>
        <w:t>503,805.00 USD</w:t>
      </w:r>
    </w:p>
    <w:p w14:paraId="41A2D4EA" w14:textId="77777777" w:rsidR="008F2269" w:rsidRPr="000414F6" w:rsidRDefault="008F2269" w:rsidP="008F2269">
      <w:pPr>
        <w:spacing w:after="0" w:line="240" w:lineRule="auto"/>
        <w:rPr>
          <w:rFonts w:cstheme="minorHAnsi"/>
          <w:bCs/>
        </w:rPr>
      </w:pPr>
      <w:r w:rsidRPr="000414F6">
        <w:rPr>
          <w:rFonts w:cstheme="minorHAnsi"/>
          <w:bCs/>
        </w:rPr>
        <w:t xml:space="preserve">Sécheresse (Insécurité alimentaire) </w:t>
      </w:r>
      <w:r>
        <w:rPr>
          <w:rFonts w:cstheme="minorHAnsi"/>
          <w:bCs/>
        </w:rPr>
        <w:tab/>
      </w:r>
      <w:r>
        <w:rPr>
          <w:rFonts w:cstheme="minorHAnsi"/>
          <w:bCs/>
        </w:rPr>
        <w:tab/>
      </w:r>
      <w:r>
        <w:rPr>
          <w:rFonts w:cstheme="minorHAnsi"/>
          <w:bCs/>
        </w:rPr>
        <w:tab/>
        <w:t xml:space="preserve"> </w:t>
      </w:r>
      <w:r w:rsidRPr="000414F6">
        <w:rPr>
          <w:rFonts w:cstheme="minorHAnsi"/>
          <w:bCs/>
        </w:rPr>
        <w:t>8,</w:t>
      </w:r>
      <w:r>
        <w:rPr>
          <w:rFonts w:cstheme="minorHAnsi"/>
          <w:bCs/>
        </w:rPr>
        <w:t xml:space="preserve"> </w:t>
      </w:r>
      <w:r w:rsidRPr="000414F6">
        <w:rPr>
          <w:rFonts w:cstheme="minorHAnsi"/>
          <w:bCs/>
        </w:rPr>
        <w:t>737,186.00 USD</w:t>
      </w:r>
    </w:p>
    <w:p w14:paraId="1ECEDB4B" w14:textId="77777777" w:rsidR="008F2269" w:rsidRPr="000414F6" w:rsidRDefault="008F2269" w:rsidP="008F2269">
      <w:pPr>
        <w:spacing w:after="0" w:line="240" w:lineRule="auto"/>
        <w:rPr>
          <w:rFonts w:cstheme="minorHAnsi"/>
          <w:b/>
        </w:rPr>
      </w:pPr>
      <w:r>
        <w:rPr>
          <w:rFonts w:cstheme="minorHAnsi"/>
          <w:b/>
        </w:rPr>
        <w:t xml:space="preserve">Total </w:t>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t>14</w:t>
      </w:r>
      <w:r w:rsidRPr="000414F6">
        <w:rPr>
          <w:rFonts w:cstheme="minorHAnsi"/>
          <w:b/>
        </w:rPr>
        <w:t>,</w:t>
      </w:r>
      <w:r>
        <w:rPr>
          <w:rFonts w:cstheme="minorHAnsi"/>
          <w:b/>
        </w:rPr>
        <w:t xml:space="preserve"> </w:t>
      </w:r>
      <w:r w:rsidRPr="000414F6">
        <w:rPr>
          <w:rFonts w:cstheme="minorHAnsi"/>
          <w:b/>
        </w:rPr>
        <w:t>543,256.00 USD</w:t>
      </w:r>
    </w:p>
    <w:p w14:paraId="00BF8E43" w14:textId="77777777" w:rsidR="008F2269" w:rsidRDefault="008F2269" w:rsidP="008F2269">
      <w:pPr>
        <w:rPr>
          <w:rFonts w:cstheme="minorHAnsi"/>
          <w:b/>
        </w:rPr>
      </w:pPr>
    </w:p>
    <w:p w14:paraId="4FC154CA" w14:textId="77777777" w:rsidR="008F2269" w:rsidRPr="00970C8D" w:rsidRDefault="008F2269" w:rsidP="008F2269">
      <w:pPr>
        <w:jc w:val="both"/>
      </w:pPr>
      <w:r w:rsidRPr="00E22DC8">
        <w:t>L’analyse de la variabilité climatique (</w:t>
      </w:r>
      <w:proofErr w:type="spellStart"/>
      <w:r w:rsidRPr="00E22DC8">
        <w:t>cf</w:t>
      </w:r>
      <w:proofErr w:type="spellEnd"/>
      <w:r w:rsidRPr="00E22DC8">
        <w:t xml:space="preserve"> CN4 en 2019), basée sur la normale de référence (1961-1990) fait ressortir des périodes de sécheresses saisonnières en augmentation et la pluviométrie en régression dans les différentes zones du pays. Aussi, la tendance climatique mondiale selon les modèles de circulation générale (CCMA, ECHAM4 et HadCM3) prévoit une hausse de température de 1.5°-2°</w:t>
      </w:r>
      <w:r>
        <w:t>C</w:t>
      </w:r>
      <w:r w:rsidRPr="00E22DC8">
        <w:t xml:space="preserve"> à l’horizon 2050 et de 4°- 6°</w:t>
      </w:r>
      <w:r>
        <w:t>C</w:t>
      </w:r>
      <w:r w:rsidRPr="00E22DC8">
        <w:t xml:space="preserve"> à l’horizon 2100 et une diminution des pluies allant entre 25% et 30%, respectivement aux horizons</w:t>
      </w:r>
      <w:r>
        <w:t xml:space="preserve"> 2050 et 2100.</w:t>
      </w:r>
    </w:p>
    <w:p w14:paraId="46DEA8EB" w14:textId="77777777" w:rsidR="008F2269" w:rsidRPr="006F742A" w:rsidRDefault="008F2269" w:rsidP="008F2269">
      <w:pPr>
        <w:rPr>
          <w:rFonts w:cstheme="minorHAnsi"/>
          <w:b/>
        </w:rPr>
      </w:pPr>
      <w:r w:rsidRPr="006F742A">
        <w:rPr>
          <w:rFonts w:cstheme="minorHAnsi"/>
          <w:b/>
        </w:rPr>
        <w:t>Pour l’horizon 2050</w:t>
      </w:r>
    </w:p>
    <w:p w14:paraId="67031503" w14:textId="77777777" w:rsidR="008F2269" w:rsidRPr="004C310D" w:rsidRDefault="008F2269" w:rsidP="00090C68">
      <w:pPr>
        <w:spacing w:after="0"/>
        <w:jc w:val="both"/>
      </w:pPr>
      <w:r w:rsidRPr="005D5FCA">
        <w:rPr>
          <w:rFonts w:cstheme="minorHAnsi"/>
          <w:bCs/>
        </w:rPr>
        <w:t xml:space="preserve">L’évolution anticipée des températures prévoit pour l’horizon 2050 une </w:t>
      </w:r>
      <w:r w:rsidRPr="004C310D">
        <w:t>augmentation générale de la température avec un maximum de plus de 2°C dans le nord-est, une augmentation des températures de plus de 2°C dans la majeure partie du territoire, hormis le littoral sud.</w:t>
      </w:r>
    </w:p>
    <w:p w14:paraId="7C4A0587" w14:textId="77777777" w:rsidR="008F2269" w:rsidRPr="004C310D" w:rsidRDefault="008F2269" w:rsidP="008F2269">
      <w:pPr>
        <w:spacing w:after="120"/>
        <w:jc w:val="both"/>
      </w:pPr>
      <w:r w:rsidRPr="004C310D">
        <w:t>Les quantités de pluie, à l’horizon 2050, devraient connaître une régression de l’ordre de 20% par rapport à la normale de référence (1961-1990). Cependant, signalons une grande différence dans cette régression entre les sorties de l’ECHAM4 et celles du HADCM3.</w:t>
      </w:r>
    </w:p>
    <w:p w14:paraId="3EC30C65" w14:textId="77777777" w:rsidR="008F2269" w:rsidRPr="0087216E" w:rsidRDefault="008F2269" w:rsidP="008F2269">
      <w:pPr>
        <w:spacing w:after="120"/>
        <w:rPr>
          <w:rFonts w:cstheme="minorHAnsi"/>
          <w:b/>
        </w:rPr>
      </w:pPr>
      <w:r w:rsidRPr="0087216E">
        <w:rPr>
          <w:rFonts w:cstheme="minorHAnsi"/>
          <w:b/>
        </w:rPr>
        <w:t>Pour l’horizon 2100</w:t>
      </w:r>
    </w:p>
    <w:p w14:paraId="5BBF5E60" w14:textId="77777777" w:rsidR="008F2269" w:rsidRPr="005D5FCA" w:rsidRDefault="008F2269" w:rsidP="008F2269">
      <w:pPr>
        <w:spacing w:after="120"/>
        <w:rPr>
          <w:rFonts w:cstheme="minorHAnsi"/>
          <w:bCs/>
        </w:rPr>
      </w:pPr>
      <w:r w:rsidRPr="005D5FCA">
        <w:rPr>
          <w:rFonts w:cstheme="minorHAnsi"/>
          <w:bCs/>
        </w:rPr>
        <w:t>Une forte élévation des températures est prévue avec l’hypothèse forte de plus 4,5 °C dans le sud des wilayas de l’Assaba et de Guidimak</w:t>
      </w:r>
      <w:r>
        <w:rPr>
          <w:rFonts w:cstheme="minorHAnsi"/>
          <w:bCs/>
        </w:rPr>
        <w:t>h</w:t>
      </w:r>
      <w:r w:rsidRPr="005D5FCA">
        <w:rPr>
          <w:rFonts w:cstheme="minorHAnsi"/>
          <w:bCs/>
        </w:rPr>
        <w:t>a, et un réchauffement de plus de 3,5°C dans l’est du pays</w:t>
      </w:r>
      <w:r>
        <w:rPr>
          <w:rFonts w:cstheme="minorHAnsi"/>
          <w:bCs/>
        </w:rPr>
        <w:t>.</w:t>
      </w:r>
    </w:p>
    <w:p w14:paraId="579460FD" w14:textId="77777777" w:rsidR="008F2269" w:rsidRPr="005D5FCA" w:rsidRDefault="008F2269" w:rsidP="008F2269">
      <w:pPr>
        <w:spacing w:after="120"/>
        <w:rPr>
          <w:rFonts w:cstheme="minorHAnsi"/>
          <w:bCs/>
        </w:rPr>
      </w:pPr>
      <w:r w:rsidRPr="005D5FCA">
        <w:rPr>
          <w:rFonts w:cstheme="minorHAnsi"/>
          <w:bCs/>
        </w:rPr>
        <w:t>Les tendances prédisent des précipitations à la régression en général sauf pour l’E</w:t>
      </w:r>
      <w:r>
        <w:rPr>
          <w:rFonts w:cstheme="minorHAnsi"/>
          <w:bCs/>
        </w:rPr>
        <w:t xml:space="preserve">CHAM4 dans le nord-est du pays. </w:t>
      </w:r>
    </w:p>
    <w:p w14:paraId="7259BB20" w14:textId="77777777" w:rsidR="008F2269" w:rsidRPr="005D5FCA" w:rsidRDefault="008F2269" w:rsidP="008F2269">
      <w:pPr>
        <w:spacing w:after="120"/>
        <w:jc w:val="both"/>
        <w:rPr>
          <w:rFonts w:cstheme="minorHAnsi"/>
          <w:bCs/>
        </w:rPr>
      </w:pPr>
      <w:r>
        <w:rPr>
          <w:rFonts w:cstheme="minorHAnsi"/>
          <w:bCs/>
        </w:rPr>
        <w:t>Aussi, s</w:t>
      </w:r>
      <w:r w:rsidRPr="00680FDD">
        <w:rPr>
          <w:rFonts w:cstheme="minorHAnsi"/>
          <w:bCs/>
        </w:rPr>
        <w:t>elon le GIEC (2008), les précipitations extrêmes génératrices de crues représentent un risque pour les infrastructures de l’eau. Pendant les crues, les installations de traitement de l’eau et des eaux usées sont souvent hors service, laissant la population sans protection sanitaire, en particulier dans les pays en développement, où les niveaux de santé sont inférieurs et la teneur des eaux usées en agents pathogènes e</w:t>
      </w:r>
      <w:r>
        <w:rPr>
          <w:rFonts w:cstheme="minorHAnsi"/>
          <w:bCs/>
        </w:rPr>
        <w:t xml:space="preserve">st supérieure (Jiménez, 2003). Avec cette </w:t>
      </w:r>
      <w:r w:rsidRPr="005D5FCA">
        <w:rPr>
          <w:rFonts w:cstheme="minorHAnsi"/>
          <w:bCs/>
        </w:rPr>
        <w:t xml:space="preserve">augmentation des précipitations dans les villes </w:t>
      </w:r>
      <w:r>
        <w:rPr>
          <w:rFonts w:cstheme="minorHAnsi"/>
          <w:bCs/>
        </w:rPr>
        <w:t xml:space="preserve">on </w:t>
      </w:r>
      <w:r w:rsidRPr="005D5FCA">
        <w:rPr>
          <w:rFonts w:cstheme="minorHAnsi"/>
          <w:bCs/>
        </w:rPr>
        <w:t xml:space="preserve">pourrait compromettre la performance des réseaux d’assainissement ; des surcharges incontrôlées pourraient introduire des polluants microbiens et chimiques dans les ressources en eau. Plusieurs études ont montré que la transmission d’entéropathogènes résistants à la chloration, notamment le </w:t>
      </w:r>
      <w:r w:rsidRPr="00FB3321">
        <w:rPr>
          <w:rFonts w:cstheme="minorHAnsi"/>
          <w:bCs/>
          <w:i/>
          <w:iCs/>
        </w:rPr>
        <w:t>Cryptosporidium,</w:t>
      </w:r>
      <w:r w:rsidRPr="005D5FCA">
        <w:rPr>
          <w:rFonts w:cstheme="minorHAnsi"/>
          <w:bCs/>
        </w:rPr>
        <w:t xml:space="preserve"> est plus élevée pendant la saison des pluies (Nchito et al., 1998 ; Kang et al., 2001).</w:t>
      </w:r>
    </w:p>
    <w:p w14:paraId="776CA612" w14:textId="77777777" w:rsidR="008F2269" w:rsidRPr="005D5FCA" w:rsidRDefault="008F2269" w:rsidP="008F2269">
      <w:pPr>
        <w:jc w:val="both"/>
        <w:rPr>
          <w:rFonts w:cstheme="minorHAnsi"/>
          <w:bCs/>
        </w:rPr>
      </w:pPr>
      <w:r>
        <w:rPr>
          <w:rFonts w:cstheme="minorHAnsi"/>
          <w:bCs/>
        </w:rPr>
        <w:t>Quant aux vagues de chaleur (CN4, 2019), les</w:t>
      </w:r>
      <w:r w:rsidRPr="005D5FCA">
        <w:rPr>
          <w:rFonts w:cstheme="minorHAnsi"/>
          <w:bCs/>
        </w:rPr>
        <w:t xml:space="preserve"> séries climatiques mettent en évidence l’accroissement de cet indicateur en Mauritanie quand bien même 6 stations montrent une tendance de faible diminution des vagues de chaleur sans signification statistique. Le maximum d’augmentation des vagues de chaleur est observé à Rosso, avec 5 journées par décennie, suivi d’Aioun, avec 3 journées, et de Kiffa, avec 2 journées. La station de Zouérate présente le maximum de tendance à la diminution des vagues de chaleur, avec environ 1 journée par décennie (il faut noter que cette station manque d’homogénéité des données climatiques suite au transfert de la station de F’dérik à environ </w:t>
      </w:r>
      <w:r w:rsidRPr="00AF201E">
        <w:rPr>
          <w:rFonts w:cstheme="minorHAnsi"/>
          <w:bCs/>
        </w:rPr>
        <w:t>30</w:t>
      </w:r>
      <w:r w:rsidRPr="005D5FCA">
        <w:rPr>
          <w:rFonts w:cstheme="minorHAnsi"/>
          <w:bCs/>
        </w:rPr>
        <w:t xml:space="preserve"> km). </w:t>
      </w:r>
    </w:p>
    <w:p w14:paraId="1E2BECAA" w14:textId="77777777" w:rsidR="008F2269" w:rsidRPr="00BE7A39" w:rsidRDefault="008F2269" w:rsidP="008F2269">
      <w:pPr>
        <w:pStyle w:val="Titre1"/>
        <w:spacing w:before="0" w:after="240"/>
        <w:jc w:val="both"/>
        <w:rPr>
          <w:rFonts w:asciiTheme="minorHAnsi" w:hAnsiTheme="minorHAnsi" w:cstheme="minorHAnsi"/>
          <w:color w:val="auto"/>
          <w:sz w:val="22"/>
          <w:szCs w:val="22"/>
        </w:rPr>
      </w:pPr>
      <w:bookmarkStart w:id="143" w:name="_Toc47874633"/>
      <w:bookmarkStart w:id="144" w:name="_Toc51854355"/>
      <w:bookmarkStart w:id="145" w:name="_Toc51930347"/>
      <w:bookmarkStart w:id="146" w:name="_Toc57057436"/>
      <w:bookmarkStart w:id="147" w:name="_Toc180318682"/>
      <w:r w:rsidRPr="00BE7A39">
        <w:rPr>
          <w:rFonts w:asciiTheme="minorHAnsi" w:hAnsiTheme="minorHAnsi" w:cstheme="minorHAnsi"/>
          <w:color w:val="auto"/>
          <w:sz w:val="22"/>
          <w:szCs w:val="22"/>
        </w:rPr>
        <w:t xml:space="preserve">CHAPITRE </w:t>
      </w:r>
      <w:r>
        <w:rPr>
          <w:rFonts w:asciiTheme="minorHAnsi" w:hAnsiTheme="minorHAnsi" w:cstheme="minorHAnsi"/>
          <w:color w:val="auto"/>
          <w:sz w:val="22"/>
          <w:szCs w:val="22"/>
        </w:rPr>
        <w:t>6</w:t>
      </w:r>
      <w:r w:rsidRPr="00BE7A39">
        <w:rPr>
          <w:rFonts w:asciiTheme="minorHAnsi" w:hAnsiTheme="minorHAnsi" w:cstheme="minorHAnsi"/>
          <w:color w:val="auto"/>
          <w:sz w:val="22"/>
          <w:szCs w:val="22"/>
        </w:rPr>
        <w:t>. MESURES, ACTIVITES OU INITIATIVES EN COURS OU PROGRAMMEES POUR FAIRE FACE AUX ENJEUX DU CC</w:t>
      </w:r>
      <w:bookmarkEnd w:id="143"/>
      <w:bookmarkEnd w:id="144"/>
      <w:bookmarkEnd w:id="145"/>
      <w:bookmarkEnd w:id="146"/>
      <w:bookmarkEnd w:id="147"/>
      <w:r w:rsidRPr="00BE7A39">
        <w:rPr>
          <w:rFonts w:asciiTheme="minorHAnsi" w:hAnsiTheme="minorHAnsi" w:cstheme="minorHAnsi"/>
          <w:color w:val="auto"/>
          <w:sz w:val="22"/>
          <w:szCs w:val="22"/>
        </w:rPr>
        <w:t xml:space="preserve"> </w:t>
      </w:r>
    </w:p>
    <w:p w14:paraId="1622ED6F" w14:textId="77777777" w:rsidR="008F2269" w:rsidRPr="005D5FCA" w:rsidRDefault="008F2269" w:rsidP="008F2269">
      <w:pPr>
        <w:autoSpaceDE w:val="0"/>
        <w:autoSpaceDN w:val="0"/>
        <w:adjustRightInd w:val="0"/>
        <w:jc w:val="both"/>
        <w:rPr>
          <w:rFonts w:cstheme="minorHAnsi"/>
          <w:bCs/>
        </w:rPr>
      </w:pPr>
      <w:r w:rsidRPr="005D5FCA">
        <w:rPr>
          <w:rFonts w:cstheme="minorHAnsi"/>
          <w:bCs/>
        </w:rPr>
        <w:t xml:space="preserve">Les mesures, activités ou initiatives de référence ont été identifiées, d’une part, à partir de l’exploitation des politiques, plans et programmes de référence </w:t>
      </w:r>
      <w:r>
        <w:rPr>
          <w:rFonts w:cstheme="minorHAnsi"/>
          <w:bCs/>
        </w:rPr>
        <w:t xml:space="preserve">pilotés par le MEDD, </w:t>
      </w:r>
      <w:r w:rsidRPr="005D5FCA">
        <w:rPr>
          <w:rFonts w:cstheme="minorHAnsi"/>
          <w:bCs/>
        </w:rPr>
        <w:t>à savoir l</w:t>
      </w:r>
      <w:r>
        <w:rPr>
          <w:rFonts w:cstheme="minorHAnsi"/>
          <w:bCs/>
        </w:rPr>
        <w:t>es</w:t>
      </w:r>
      <w:r w:rsidRPr="005D5FCA">
        <w:rPr>
          <w:rFonts w:cstheme="minorHAnsi"/>
          <w:bCs/>
        </w:rPr>
        <w:t xml:space="preserve"> CDN, les CN, </w:t>
      </w:r>
      <w:r>
        <w:rPr>
          <w:rFonts w:cstheme="minorHAnsi"/>
          <w:bCs/>
        </w:rPr>
        <w:t>PPM/FVC, d’une part</w:t>
      </w:r>
      <w:r w:rsidRPr="006134C8">
        <w:rPr>
          <w:rFonts w:cstheme="minorHAnsi"/>
          <w:bCs/>
        </w:rPr>
        <w:t xml:space="preserve"> ; </w:t>
      </w:r>
      <w:r>
        <w:rPr>
          <w:rFonts w:cstheme="minorHAnsi"/>
          <w:bCs/>
        </w:rPr>
        <w:t xml:space="preserve">et </w:t>
      </w:r>
      <w:r w:rsidRPr="005D5FCA">
        <w:rPr>
          <w:rFonts w:cstheme="minorHAnsi"/>
          <w:bCs/>
        </w:rPr>
        <w:t xml:space="preserve">les mesures d’adaptation </w:t>
      </w:r>
      <w:r>
        <w:rPr>
          <w:rFonts w:cstheme="minorHAnsi"/>
          <w:bCs/>
        </w:rPr>
        <w:t>i</w:t>
      </w:r>
      <w:r w:rsidRPr="005D5FCA">
        <w:rPr>
          <w:rFonts w:cstheme="minorHAnsi"/>
          <w:bCs/>
        </w:rPr>
        <w:t>mplicite au changement climatique portées par la SCAPP, la SNADEA et le Programme élargi du Président de la République (TAAHOUDATY)</w:t>
      </w:r>
      <w:r>
        <w:rPr>
          <w:rFonts w:cstheme="minorHAnsi"/>
          <w:bCs/>
        </w:rPr>
        <w:t>, d’autre part.</w:t>
      </w:r>
    </w:p>
    <w:p w14:paraId="54FB6D3A" w14:textId="77777777" w:rsidR="008F2269" w:rsidRPr="00090C68" w:rsidRDefault="008F2269" w:rsidP="00090C68">
      <w:pPr>
        <w:pStyle w:val="Titre2"/>
        <w:numPr>
          <w:ilvl w:val="0"/>
          <w:numId w:val="117"/>
        </w:numPr>
        <w:spacing w:before="0" w:after="160"/>
        <w:rPr>
          <w:rFonts w:asciiTheme="minorHAnsi" w:eastAsiaTheme="minorHAnsi" w:hAnsiTheme="minorHAnsi" w:cstheme="minorHAnsi"/>
          <w:b/>
          <w:bCs/>
          <w:color w:val="auto"/>
          <w:sz w:val="22"/>
          <w:szCs w:val="22"/>
        </w:rPr>
      </w:pPr>
      <w:bookmarkStart w:id="148" w:name="_Toc57057437"/>
      <w:bookmarkStart w:id="149" w:name="_Toc180318683"/>
      <w:r w:rsidRPr="00090C68">
        <w:rPr>
          <w:rFonts w:asciiTheme="minorHAnsi" w:eastAsiaTheme="minorHAnsi" w:hAnsiTheme="minorHAnsi" w:cstheme="minorHAnsi"/>
          <w:b/>
          <w:bCs/>
          <w:color w:val="auto"/>
          <w:sz w:val="22"/>
          <w:szCs w:val="22"/>
        </w:rPr>
        <w:t>Contribution Déterminée au niveau National de 2015</w:t>
      </w:r>
      <w:bookmarkEnd w:id="148"/>
      <w:bookmarkEnd w:id="149"/>
    </w:p>
    <w:p w14:paraId="4C9A22DC" w14:textId="77777777" w:rsidR="008F2269" w:rsidRPr="00BE7A39" w:rsidRDefault="008F2269" w:rsidP="008F2269">
      <w:pPr>
        <w:autoSpaceDE w:val="0"/>
        <w:autoSpaceDN w:val="0"/>
        <w:adjustRightInd w:val="0"/>
        <w:jc w:val="both"/>
        <w:rPr>
          <w:rFonts w:cstheme="minorHAnsi"/>
          <w:bCs/>
        </w:rPr>
      </w:pPr>
      <w:r w:rsidRPr="00BE7A39">
        <w:rPr>
          <w:rFonts w:cstheme="minorHAnsi"/>
          <w:bCs/>
        </w:rPr>
        <w:t>Les projets d’adaptation en lien avec le CC programmés dans le secteur de l’eau par la CDN</w:t>
      </w:r>
      <w:r>
        <w:rPr>
          <w:rFonts w:cstheme="minorHAnsi"/>
          <w:bCs/>
        </w:rPr>
        <w:t> :</w:t>
      </w:r>
    </w:p>
    <w:p w14:paraId="50383520" w14:textId="77777777" w:rsidR="008F2269" w:rsidRPr="00996696" w:rsidRDefault="008F2269" w:rsidP="008F2269">
      <w:pPr>
        <w:pStyle w:val="Paragraphedeliste"/>
        <w:numPr>
          <w:ilvl w:val="0"/>
          <w:numId w:val="109"/>
        </w:numPr>
        <w:suppressAutoHyphens/>
        <w:autoSpaceDE w:val="0"/>
        <w:autoSpaceDN w:val="0"/>
        <w:adjustRightInd w:val="0"/>
        <w:jc w:val="both"/>
        <w:textAlignment w:val="baseline"/>
        <w:rPr>
          <w:rFonts w:cstheme="minorHAnsi"/>
          <w:bCs/>
        </w:rPr>
      </w:pPr>
      <w:r w:rsidRPr="00996696">
        <w:rPr>
          <w:rFonts w:cstheme="minorHAnsi"/>
          <w:bCs/>
        </w:rPr>
        <w:t>La réalisation de 300 sondages dont 150 à des profondeurs supérieures à 200 m pour l’exploration des aquifères, transformables en forages d’exploitation et/ou en piézomètres ;</w:t>
      </w:r>
    </w:p>
    <w:p w14:paraId="175AF959" w14:textId="77777777" w:rsidR="008F2269" w:rsidRPr="00996696" w:rsidRDefault="008F2269" w:rsidP="008F2269">
      <w:pPr>
        <w:pStyle w:val="Paragraphedeliste"/>
        <w:numPr>
          <w:ilvl w:val="0"/>
          <w:numId w:val="109"/>
        </w:numPr>
        <w:suppressAutoHyphens/>
        <w:autoSpaceDE w:val="0"/>
        <w:autoSpaceDN w:val="0"/>
        <w:adjustRightInd w:val="0"/>
        <w:jc w:val="both"/>
        <w:textAlignment w:val="baseline"/>
        <w:rPr>
          <w:rFonts w:cstheme="minorHAnsi"/>
          <w:bCs/>
        </w:rPr>
      </w:pPr>
      <w:r w:rsidRPr="00996696">
        <w:rPr>
          <w:rFonts w:cstheme="minorHAnsi"/>
          <w:bCs/>
        </w:rPr>
        <w:t xml:space="preserve">La réalisation du projet d’AEP de la zone Nord du pays ; </w:t>
      </w:r>
    </w:p>
    <w:p w14:paraId="181C9451" w14:textId="77777777" w:rsidR="008F2269" w:rsidRPr="00996696" w:rsidRDefault="008F2269" w:rsidP="008F2269">
      <w:pPr>
        <w:pStyle w:val="Paragraphedeliste"/>
        <w:numPr>
          <w:ilvl w:val="0"/>
          <w:numId w:val="109"/>
        </w:numPr>
        <w:suppressAutoHyphens/>
        <w:autoSpaceDE w:val="0"/>
        <w:autoSpaceDN w:val="0"/>
        <w:adjustRightInd w:val="0"/>
        <w:jc w:val="both"/>
        <w:textAlignment w:val="baseline"/>
        <w:rPr>
          <w:rFonts w:cstheme="minorHAnsi"/>
          <w:bCs/>
        </w:rPr>
      </w:pPr>
      <w:r w:rsidRPr="00996696">
        <w:rPr>
          <w:rFonts w:cstheme="minorHAnsi"/>
          <w:bCs/>
        </w:rPr>
        <w:t>La réalisation du barrage de Tarf Elmehroud dans la Moughataa de Tintane au Hodh El Gharbi ;</w:t>
      </w:r>
    </w:p>
    <w:p w14:paraId="1B7297C2" w14:textId="77777777" w:rsidR="008F2269" w:rsidRPr="00996696" w:rsidRDefault="008F2269" w:rsidP="008F2269">
      <w:pPr>
        <w:pStyle w:val="Paragraphedeliste"/>
        <w:numPr>
          <w:ilvl w:val="0"/>
          <w:numId w:val="109"/>
        </w:numPr>
        <w:suppressAutoHyphens/>
        <w:autoSpaceDE w:val="0"/>
        <w:autoSpaceDN w:val="0"/>
        <w:adjustRightInd w:val="0"/>
        <w:jc w:val="both"/>
        <w:textAlignment w:val="baseline"/>
        <w:rPr>
          <w:rFonts w:cstheme="minorHAnsi"/>
          <w:bCs/>
        </w:rPr>
      </w:pPr>
      <w:r w:rsidRPr="00996696">
        <w:rPr>
          <w:rFonts w:cstheme="minorHAnsi"/>
          <w:bCs/>
        </w:rPr>
        <w:t>La réalisation de bassins de rétention.</w:t>
      </w:r>
    </w:p>
    <w:p w14:paraId="1634A706" w14:textId="77777777" w:rsidR="008F2269" w:rsidRPr="00996696" w:rsidRDefault="008F2269" w:rsidP="008F2269">
      <w:pPr>
        <w:pStyle w:val="Paragraphedeliste"/>
        <w:numPr>
          <w:ilvl w:val="0"/>
          <w:numId w:val="109"/>
        </w:numPr>
        <w:suppressAutoHyphens/>
        <w:autoSpaceDE w:val="0"/>
        <w:autoSpaceDN w:val="0"/>
        <w:adjustRightInd w:val="0"/>
        <w:jc w:val="both"/>
        <w:textAlignment w:val="baseline"/>
        <w:rPr>
          <w:rFonts w:cstheme="minorHAnsi"/>
          <w:bCs/>
        </w:rPr>
      </w:pPr>
      <w:r w:rsidRPr="00996696">
        <w:rPr>
          <w:rFonts w:cstheme="minorHAnsi"/>
          <w:bCs/>
        </w:rPr>
        <w:t>La réalisation de 2000 AEP dans le milieu rural équipés en solaire ;</w:t>
      </w:r>
    </w:p>
    <w:p w14:paraId="7CF857D5" w14:textId="77777777" w:rsidR="008F2269" w:rsidRPr="00996696" w:rsidRDefault="008F2269" w:rsidP="008F2269">
      <w:pPr>
        <w:pStyle w:val="Paragraphedeliste"/>
        <w:numPr>
          <w:ilvl w:val="0"/>
          <w:numId w:val="109"/>
        </w:numPr>
        <w:suppressAutoHyphens/>
        <w:autoSpaceDE w:val="0"/>
        <w:autoSpaceDN w:val="0"/>
        <w:adjustRightInd w:val="0"/>
        <w:jc w:val="both"/>
        <w:textAlignment w:val="baseline"/>
        <w:rPr>
          <w:rFonts w:cstheme="minorHAnsi"/>
          <w:bCs/>
        </w:rPr>
      </w:pPr>
      <w:r w:rsidRPr="00996696">
        <w:rPr>
          <w:rFonts w:cstheme="minorHAnsi"/>
          <w:bCs/>
        </w:rPr>
        <w:t>La réalisation de l’AEP de Kiffa ;</w:t>
      </w:r>
    </w:p>
    <w:p w14:paraId="5E4E9198" w14:textId="77777777" w:rsidR="008F2269" w:rsidRPr="00996696" w:rsidRDefault="008F2269" w:rsidP="008F2269">
      <w:pPr>
        <w:pStyle w:val="Paragraphedeliste"/>
        <w:numPr>
          <w:ilvl w:val="0"/>
          <w:numId w:val="109"/>
        </w:numPr>
        <w:suppressAutoHyphens/>
        <w:autoSpaceDE w:val="0"/>
        <w:autoSpaceDN w:val="0"/>
        <w:adjustRightInd w:val="0"/>
        <w:jc w:val="both"/>
        <w:textAlignment w:val="baseline"/>
        <w:rPr>
          <w:rFonts w:cstheme="minorHAnsi"/>
          <w:bCs/>
        </w:rPr>
      </w:pPr>
      <w:r w:rsidRPr="00996696">
        <w:rPr>
          <w:rFonts w:cstheme="minorHAnsi"/>
          <w:bCs/>
        </w:rPr>
        <w:t>La réalisation des projets de dessalement pour les zones côtières et autres ;</w:t>
      </w:r>
    </w:p>
    <w:p w14:paraId="073460F2" w14:textId="77777777" w:rsidR="008F2269" w:rsidRPr="00996696" w:rsidRDefault="008F2269" w:rsidP="008F2269">
      <w:pPr>
        <w:pStyle w:val="Paragraphedeliste"/>
        <w:numPr>
          <w:ilvl w:val="0"/>
          <w:numId w:val="109"/>
        </w:numPr>
        <w:suppressAutoHyphens/>
        <w:autoSpaceDE w:val="0"/>
        <w:autoSpaceDN w:val="0"/>
        <w:adjustRightInd w:val="0"/>
        <w:jc w:val="both"/>
        <w:textAlignment w:val="baseline"/>
        <w:rPr>
          <w:rFonts w:cstheme="minorHAnsi"/>
          <w:bCs/>
        </w:rPr>
      </w:pPr>
      <w:r w:rsidRPr="00996696">
        <w:rPr>
          <w:rFonts w:cstheme="minorHAnsi"/>
          <w:bCs/>
        </w:rPr>
        <w:t>La réalisation d’Assainissement (eaux usées et pluviales) de la ville de Nouakchott ; Rosso ; Kaédi ; Kiffa ; Nouadhibou, Néma, Aioun, Timbédra ; Akjoujt, Atar ;</w:t>
      </w:r>
    </w:p>
    <w:p w14:paraId="7F77C687" w14:textId="77777777" w:rsidR="008F2269" w:rsidRPr="00996696" w:rsidRDefault="008F2269" w:rsidP="008F2269">
      <w:pPr>
        <w:pStyle w:val="Paragraphedeliste"/>
        <w:numPr>
          <w:ilvl w:val="0"/>
          <w:numId w:val="109"/>
        </w:numPr>
        <w:suppressAutoHyphens/>
        <w:autoSpaceDE w:val="0"/>
        <w:autoSpaceDN w:val="0"/>
        <w:adjustRightInd w:val="0"/>
        <w:jc w:val="both"/>
        <w:textAlignment w:val="baseline"/>
        <w:rPr>
          <w:rFonts w:cstheme="minorHAnsi"/>
          <w:bCs/>
        </w:rPr>
      </w:pPr>
      <w:r w:rsidRPr="00996696">
        <w:rPr>
          <w:rFonts w:cstheme="minorHAnsi"/>
          <w:bCs/>
        </w:rPr>
        <w:t>L’aménagement du bassin versant de l’Oued Ketchi et du Lac d’Aleg ;</w:t>
      </w:r>
    </w:p>
    <w:p w14:paraId="31082619" w14:textId="77777777" w:rsidR="008F2269" w:rsidRPr="00996696" w:rsidRDefault="008F2269" w:rsidP="008F2269">
      <w:pPr>
        <w:pStyle w:val="Paragraphedeliste"/>
        <w:numPr>
          <w:ilvl w:val="0"/>
          <w:numId w:val="109"/>
        </w:numPr>
        <w:suppressAutoHyphens/>
        <w:autoSpaceDE w:val="0"/>
        <w:autoSpaceDN w:val="0"/>
        <w:adjustRightInd w:val="0"/>
        <w:jc w:val="both"/>
        <w:textAlignment w:val="baseline"/>
        <w:rPr>
          <w:rFonts w:cstheme="minorHAnsi"/>
          <w:bCs/>
        </w:rPr>
      </w:pPr>
      <w:r w:rsidRPr="00996696">
        <w:rPr>
          <w:rFonts w:cstheme="minorHAnsi"/>
          <w:bCs/>
        </w:rPr>
        <w:t>Le renforcement de l’AEP de centres urbains.</w:t>
      </w:r>
    </w:p>
    <w:p w14:paraId="20AA6D11" w14:textId="77777777" w:rsidR="008F2269" w:rsidRPr="005D5FCA" w:rsidRDefault="008F2269" w:rsidP="008F2269">
      <w:pPr>
        <w:autoSpaceDE w:val="0"/>
        <w:autoSpaceDN w:val="0"/>
        <w:adjustRightInd w:val="0"/>
        <w:jc w:val="both"/>
        <w:rPr>
          <w:rFonts w:cstheme="minorHAnsi"/>
          <w:bCs/>
        </w:rPr>
      </w:pPr>
      <w:r w:rsidRPr="005D5FCA">
        <w:rPr>
          <w:rFonts w:cstheme="minorHAnsi"/>
          <w:bCs/>
        </w:rPr>
        <w:t xml:space="preserve">Les besoins financiers pour la réalisation </w:t>
      </w:r>
      <w:r>
        <w:rPr>
          <w:rFonts w:cstheme="minorHAnsi"/>
          <w:bCs/>
        </w:rPr>
        <w:t xml:space="preserve">de ces projets </w:t>
      </w:r>
      <w:r w:rsidRPr="005D5FCA">
        <w:rPr>
          <w:rFonts w:cstheme="minorHAnsi"/>
          <w:bCs/>
        </w:rPr>
        <w:t>sont estimés à :</w:t>
      </w:r>
    </w:p>
    <w:p w14:paraId="4526F2CD" w14:textId="77777777" w:rsidR="008F2269" w:rsidRPr="00BE7A39" w:rsidRDefault="008F2269" w:rsidP="008F2269">
      <w:pPr>
        <w:pStyle w:val="Paragraphedeliste"/>
        <w:numPr>
          <w:ilvl w:val="0"/>
          <w:numId w:val="109"/>
        </w:numPr>
        <w:suppressAutoHyphens/>
        <w:autoSpaceDE w:val="0"/>
        <w:autoSpaceDN w:val="0"/>
        <w:adjustRightInd w:val="0"/>
        <w:jc w:val="both"/>
        <w:textAlignment w:val="baseline"/>
        <w:rPr>
          <w:rFonts w:cstheme="minorHAnsi"/>
        </w:rPr>
      </w:pPr>
      <w:r w:rsidRPr="008D0606">
        <w:rPr>
          <w:rFonts w:cstheme="minorHAnsi"/>
          <w:b/>
        </w:rPr>
        <w:t>450 Millions</w:t>
      </w:r>
      <w:r w:rsidRPr="005E1A96">
        <w:rPr>
          <w:rFonts w:cstheme="minorHAnsi"/>
        </w:rPr>
        <w:t xml:space="preserve"> </w:t>
      </w:r>
      <w:r>
        <w:rPr>
          <w:rFonts w:cstheme="minorHAnsi"/>
        </w:rPr>
        <w:t xml:space="preserve">de </w:t>
      </w:r>
      <w:r w:rsidRPr="005E1A96">
        <w:rPr>
          <w:rFonts w:cstheme="minorHAnsi"/>
        </w:rPr>
        <w:t>Dollars US</w:t>
      </w:r>
      <w:r>
        <w:rPr>
          <w:rFonts w:cstheme="minorHAnsi"/>
        </w:rPr>
        <w:t> (</w:t>
      </w:r>
      <w:r w:rsidRPr="005E1A96">
        <w:rPr>
          <w:rFonts w:cstheme="minorHAnsi"/>
        </w:rPr>
        <w:t>2015-2020</w:t>
      </w:r>
      <w:r>
        <w:rPr>
          <w:rFonts w:cstheme="minorHAnsi"/>
        </w:rPr>
        <w:t>).</w:t>
      </w:r>
    </w:p>
    <w:p w14:paraId="023D8336" w14:textId="77777777" w:rsidR="008F2269" w:rsidRPr="007225A7" w:rsidRDefault="008F2269" w:rsidP="008F2269">
      <w:pPr>
        <w:pStyle w:val="Paragraphedeliste"/>
        <w:numPr>
          <w:ilvl w:val="0"/>
          <w:numId w:val="109"/>
        </w:numPr>
        <w:suppressAutoHyphens/>
        <w:autoSpaceDE w:val="0"/>
        <w:autoSpaceDN w:val="0"/>
        <w:adjustRightInd w:val="0"/>
        <w:jc w:val="both"/>
        <w:textAlignment w:val="baseline"/>
        <w:rPr>
          <w:rFonts w:cstheme="minorHAnsi"/>
        </w:rPr>
      </w:pPr>
      <w:r w:rsidRPr="008D0606">
        <w:rPr>
          <w:rFonts w:cstheme="minorHAnsi"/>
          <w:b/>
        </w:rPr>
        <w:t>1 500 Millions</w:t>
      </w:r>
      <w:r>
        <w:rPr>
          <w:rFonts w:cstheme="minorHAnsi"/>
        </w:rPr>
        <w:t xml:space="preserve"> de </w:t>
      </w:r>
      <w:r w:rsidRPr="005E1A96">
        <w:rPr>
          <w:rFonts w:cstheme="minorHAnsi"/>
        </w:rPr>
        <w:t>Dol</w:t>
      </w:r>
      <w:r>
        <w:rPr>
          <w:rFonts w:cstheme="minorHAnsi"/>
        </w:rPr>
        <w:t>lars US (2020-2030).</w:t>
      </w:r>
    </w:p>
    <w:p w14:paraId="0CDF4ED7" w14:textId="77777777" w:rsidR="008F2269" w:rsidRPr="007225A7" w:rsidRDefault="008F2269" w:rsidP="008F2269">
      <w:pPr>
        <w:ind w:left="142"/>
        <w:jc w:val="both"/>
        <w:rPr>
          <w:rFonts w:cstheme="minorHAnsi"/>
          <w:b/>
          <w:bCs/>
        </w:rPr>
      </w:pPr>
      <w:r w:rsidRPr="007225A7">
        <w:rPr>
          <w:rFonts w:cstheme="minorHAnsi"/>
          <w:b/>
          <w:bCs/>
        </w:rPr>
        <w:t>Pour l’Eau &amp; Assainissement la CDN 202</w:t>
      </w:r>
      <w:r>
        <w:rPr>
          <w:rFonts w:cstheme="minorHAnsi"/>
          <w:b/>
          <w:bCs/>
        </w:rPr>
        <w:t>1-2030</w:t>
      </w:r>
      <w:r w:rsidRPr="007225A7">
        <w:rPr>
          <w:rFonts w:cstheme="minorHAnsi"/>
          <w:b/>
          <w:bCs/>
        </w:rPr>
        <w:t xml:space="preserve"> actualisée a prévu 4112,24 D</w:t>
      </w:r>
      <w:r>
        <w:rPr>
          <w:rFonts w:cstheme="minorHAnsi"/>
          <w:b/>
          <w:bCs/>
        </w:rPr>
        <w:t xml:space="preserve">ollars US sur un montant total de 46 561.226 Dollars US et pour l’Adaptation 10 626.48 </w:t>
      </w:r>
      <w:r w:rsidRPr="007225A7">
        <w:rPr>
          <w:rFonts w:cstheme="minorHAnsi"/>
          <w:b/>
          <w:bCs/>
        </w:rPr>
        <w:t>D</w:t>
      </w:r>
      <w:r>
        <w:rPr>
          <w:rFonts w:cstheme="minorHAnsi"/>
          <w:b/>
          <w:bCs/>
        </w:rPr>
        <w:t>ollars US représentant 31 % du montant alloué à l’atténuation.</w:t>
      </w:r>
    </w:p>
    <w:p w14:paraId="6DE045A1" w14:textId="77777777" w:rsidR="008F2269" w:rsidRPr="00B95139" w:rsidRDefault="008F2269" w:rsidP="00090C68">
      <w:pPr>
        <w:pStyle w:val="Titre2"/>
        <w:numPr>
          <w:ilvl w:val="1"/>
          <w:numId w:val="117"/>
        </w:numPr>
        <w:spacing w:before="0" w:after="160"/>
        <w:ind w:left="709"/>
        <w:rPr>
          <w:rFonts w:asciiTheme="minorHAnsi" w:eastAsiaTheme="minorHAnsi" w:hAnsiTheme="minorHAnsi" w:cstheme="minorHAnsi"/>
          <w:bCs/>
          <w:color w:val="auto"/>
          <w:sz w:val="22"/>
          <w:szCs w:val="22"/>
        </w:rPr>
      </w:pPr>
      <w:bookmarkStart w:id="150" w:name="_Toc57057438"/>
      <w:bookmarkStart w:id="151" w:name="_Toc180318684"/>
      <w:r w:rsidRPr="00B95139">
        <w:rPr>
          <w:rFonts w:asciiTheme="minorHAnsi" w:eastAsiaTheme="minorHAnsi" w:hAnsiTheme="minorHAnsi" w:cstheme="minorHAnsi"/>
          <w:color w:val="auto"/>
          <w:sz w:val="22"/>
          <w:szCs w:val="22"/>
        </w:rPr>
        <w:t>Quatrième Communication</w:t>
      </w:r>
      <w:r>
        <w:rPr>
          <w:rFonts w:asciiTheme="minorHAnsi" w:eastAsiaTheme="minorHAnsi" w:hAnsiTheme="minorHAnsi" w:cstheme="minorHAnsi"/>
          <w:color w:val="auto"/>
          <w:sz w:val="22"/>
          <w:szCs w:val="22"/>
        </w:rPr>
        <w:t xml:space="preserve"> Nationale (CN4, </w:t>
      </w:r>
      <w:r w:rsidRPr="00B95139">
        <w:rPr>
          <w:rFonts w:asciiTheme="minorHAnsi" w:eastAsiaTheme="minorHAnsi" w:hAnsiTheme="minorHAnsi" w:cstheme="minorHAnsi"/>
          <w:color w:val="auto"/>
          <w:sz w:val="22"/>
          <w:szCs w:val="22"/>
        </w:rPr>
        <w:t>201</w:t>
      </w:r>
      <w:r>
        <w:rPr>
          <w:rFonts w:asciiTheme="minorHAnsi" w:eastAsiaTheme="minorHAnsi" w:hAnsiTheme="minorHAnsi" w:cstheme="minorHAnsi"/>
          <w:color w:val="auto"/>
          <w:sz w:val="22"/>
          <w:szCs w:val="22"/>
        </w:rPr>
        <w:t>9</w:t>
      </w:r>
      <w:r w:rsidRPr="00B95139">
        <w:rPr>
          <w:rFonts w:asciiTheme="minorHAnsi" w:eastAsiaTheme="minorHAnsi" w:hAnsiTheme="minorHAnsi" w:cstheme="minorHAnsi"/>
          <w:color w:val="auto"/>
          <w:sz w:val="22"/>
          <w:szCs w:val="22"/>
        </w:rPr>
        <w:t>)</w:t>
      </w:r>
      <w:bookmarkEnd w:id="150"/>
      <w:bookmarkEnd w:id="151"/>
    </w:p>
    <w:p w14:paraId="4FDC12CF" w14:textId="77777777" w:rsidR="008F2269" w:rsidRPr="005D5FCA" w:rsidRDefault="008F2269" w:rsidP="008F2269">
      <w:pPr>
        <w:pStyle w:val="Paragraphedeliste"/>
        <w:numPr>
          <w:ilvl w:val="0"/>
          <w:numId w:val="109"/>
        </w:numPr>
        <w:suppressAutoHyphens/>
        <w:autoSpaceDE w:val="0"/>
        <w:autoSpaceDN w:val="0"/>
        <w:adjustRightInd w:val="0"/>
        <w:jc w:val="both"/>
        <w:textAlignment w:val="baseline"/>
        <w:rPr>
          <w:rFonts w:cstheme="minorHAnsi"/>
        </w:rPr>
      </w:pPr>
      <w:r w:rsidRPr="005D5FCA">
        <w:rPr>
          <w:rFonts w:cstheme="minorHAnsi"/>
        </w:rPr>
        <w:t>La réalisation de 300 sondages dont 150 à des profondeurs supérieures à 200 m pour l’exploration des aquifères, transformables en forages d’exploitation et/ou en piézomètres ;</w:t>
      </w:r>
    </w:p>
    <w:p w14:paraId="48CA7E51" w14:textId="77777777" w:rsidR="008F2269" w:rsidRPr="005D5FCA" w:rsidRDefault="008F2269" w:rsidP="008F2269">
      <w:pPr>
        <w:pStyle w:val="Paragraphedeliste"/>
        <w:numPr>
          <w:ilvl w:val="0"/>
          <w:numId w:val="109"/>
        </w:numPr>
        <w:suppressAutoHyphens/>
        <w:autoSpaceDE w:val="0"/>
        <w:autoSpaceDN w:val="0"/>
        <w:adjustRightInd w:val="0"/>
        <w:jc w:val="both"/>
        <w:textAlignment w:val="baseline"/>
        <w:rPr>
          <w:rFonts w:cstheme="minorHAnsi"/>
        </w:rPr>
      </w:pPr>
      <w:r w:rsidRPr="005D5FCA">
        <w:rPr>
          <w:rFonts w:cstheme="minorHAnsi"/>
        </w:rPr>
        <w:t xml:space="preserve">La réalisation du projet d’AEP de la zone Nord du pays ; </w:t>
      </w:r>
    </w:p>
    <w:p w14:paraId="1B5CD194" w14:textId="77777777" w:rsidR="008F2269" w:rsidRPr="005D5FCA" w:rsidRDefault="008F2269" w:rsidP="008F2269">
      <w:pPr>
        <w:pStyle w:val="Paragraphedeliste"/>
        <w:numPr>
          <w:ilvl w:val="0"/>
          <w:numId w:val="109"/>
        </w:numPr>
        <w:suppressAutoHyphens/>
        <w:autoSpaceDE w:val="0"/>
        <w:autoSpaceDN w:val="0"/>
        <w:adjustRightInd w:val="0"/>
        <w:jc w:val="both"/>
        <w:textAlignment w:val="baseline"/>
        <w:rPr>
          <w:rFonts w:cstheme="minorHAnsi"/>
        </w:rPr>
      </w:pPr>
      <w:r w:rsidRPr="005D5FCA">
        <w:rPr>
          <w:rFonts w:cstheme="minorHAnsi"/>
        </w:rPr>
        <w:t>La réalisation du barrage de Tarf Elmehroud dans la Moughataa de Tintane au Hodh Gharbi ;</w:t>
      </w:r>
    </w:p>
    <w:p w14:paraId="52E0E0AC" w14:textId="77777777" w:rsidR="008F2269" w:rsidRDefault="008F2269" w:rsidP="008F2269">
      <w:pPr>
        <w:pStyle w:val="Paragraphedeliste"/>
        <w:numPr>
          <w:ilvl w:val="0"/>
          <w:numId w:val="109"/>
        </w:numPr>
        <w:suppressAutoHyphens/>
        <w:autoSpaceDE w:val="0"/>
        <w:autoSpaceDN w:val="0"/>
        <w:adjustRightInd w:val="0"/>
        <w:jc w:val="both"/>
        <w:textAlignment w:val="baseline"/>
        <w:rPr>
          <w:rFonts w:cstheme="minorHAnsi"/>
        </w:rPr>
      </w:pPr>
      <w:r w:rsidRPr="005D5FCA">
        <w:rPr>
          <w:rFonts w:cstheme="minorHAnsi"/>
        </w:rPr>
        <w:t>La réalisation de bassins de rétention.</w:t>
      </w:r>
    </w:p>
    <w:p w14:paraId="18181262" w14:textId="77777777" w:rsidR="008F2269" w:rsidRPr="00E74537" w:rsidRDefault="008F2269" w:rsidP="008F2269">
      <w:pPr>
        <w:ind w:left="142"/>
        <w:jc w:val="both"/>
        <w:rPr>
          <w:rFonts w:cstheme="minorHAnsi"/>
        </w:rPr>
      </w:pPr>
      <w:r w:rsidRPr="00E74537">
        <w:rPr>
          <w:rFonts w:cstheme="minorHAnsi"/>
        </w:rPr>
        <w:t>NB : Les priorités du secteur dans la CDN 2015 ont été reconduites dans la NC</w:t>
      </w:r>
      <w:r>
        <w:rPr>
          <w:rFonts w:cstheme="minorHAnsi"/>
        </w:rPr>
        <w:t>4.</w:t>
      </w:r>
    </w:p>
    <w:p w14:paraId="6E8602A7" w14:textId="77777777" w:rsidR="008F2269" w:rsidRPr="00B95139" w:rsidRDefault="008F2269" w:rsidP="00090C68">
      <w:pPr>
        <w:pStyle w:val="Titre2"/>
        <w:numPr>
          <w:ilvl w:val="1"/>
          <w:numId w:val="117"/>
        </w:numPr>
        <w:spacing w:before="0" w:after="160"/>
        <w:ind w:left="709"/>
        <w:rPr>
          <w:rFonts w:asciiTheme="minorHAnsi" w:eastAsiaTheme="minorHAnsi" w:hAnsiTheme="minorHAnsi" w:cstheme="minorHAnsi"/>
          <w:bCs/>
          <w:color w:val="auto"/>
          <w:sz w:val="22"/>
          <w:szCs w:val="22"/>
        </w:rPr>
      </w:pPr>
      <w:bookmarkStart w:id="152" w:name="_Toc57057439"/>
      <w:bookmarkStart w:id="153" w:name="_Toc180318685"/>
      <w:r w:rsidRPr="00B95139">
        <w:rPr>
          <w:rFonts w:asciiTheme="minorHAnsi" w:eastAsiaTheme="minorHAnsi" w:hAnsiTheme="minorHAnsi" w:cstheme="minorHAnsi"/>
          <w:color w:val="auto"/>
          <w:sz w:val="22"/>
          <w:szCs w:val="22"/>
        </w:rPr>
        <w:t>Le Programme Pays Mauritanie/Fonds Vert Climat (PPM/FVC)</w:t>
      </w:r>
      <w:bookmarkEnd w:id="152"/>
      <w:bookmarkEnd w:id="153"/>
    </w:p>
    <w:p w14:paraId="2620C4B2" w14:textId="77777777" w:rsidR="008F2269" w:rsidRPr="00BE7A39" w:rsidRDefault="008F2269" w:rsidP="008F2269">
      <w:pPr>
        <w:jc w:val="both"/>
        <w:rPr>
          <w:rFonts w:eastAsia="Calibri" w:cstheme="minorHAnsi"/>
        </w:rPr>
      </w:pPr>
      <w:r w:rsidRPr="00BE7A39">
        <w:rPr>
          <w:rFonts w:eastAsia="Calibri" w:cstheme="minorHAnsi"/>
        </w:rPr>
        <w:t xml:space="preserve">Le programme pays de la Mauritanie (PPM) </w:t>
      </w:r>
      <w:r>
        <w:rPr>
          <w:rFonts w:eastAsia="Calibri" w:cstheme="minorHAnsi"/>
        </w:rPr>
        <w:t xml:space="preserve">soumis </w:t>
      </w:r>
      <w:r w:rsidRPr="00BE7A39">
        <w:rPr>
          <w:rFonts w:eastAsia="Calibri" w:cstheme="minorHAnsi"/>
        </w:rPr>
        <w:t>au Fonds Vert pour le Climat (GCF</w:t>
      </w:r>
      <w:r>
        <w:rPr>
          <w:rFonts w:eastAsia="Calibri" w:cstheme="minorHAnsi"/>
        </w:rPr>
        <w:t xml:space="preserve">) met en exergue les besoins de financement pour les mesures </w:t>
      </w:r>
      <w:r w:rsidRPr="00BE7A39">
        <w:rPr>
          <w:rFonts w:eastAsia="Calibri" w:cstheme="minorHAnsi"/>
        </w:rPr>
        <w:t>d’atténuation des émissions de gaz à effet de serre et d’adaptation au changement climatique</w:t>
      </w:r>
      <w:r>
        <w:rPr>
          <w:rFonts w:eastAsia="Calibri" w:cstheme="minorHAnsi"/>
        </w:rPr>
        <w:t xml:space="preserve"> pour </w:t>
      </w:r>
      <w:r w:rsidRPr="00BE7A39">
        <w:rPr>
          <w:rFonts w:eastAsia="Calibri" w:cstheme="minorHAnsi"/>
        </w:rPr>
        <w:t>les six prochaines années (2020-2025).</w:t>
      </w:r>
    </w:p>
    <w:p w14:paraId="5226963D" w14:textId="77777777" w:rsidR="008F2269" w:rsidRPr="00BE7A39" w:rsidRDefault="008F2269" w:rsidP="008F2269">
      <w:pPr>
        <w:jc w:val="both"/>
        <w:rPr>
          <w:rFonts w:cstheme="minorHAnsi"/>
        </w:rPr>
      </w:pPr>
      <w:r w:rsidRPr="001377FA">
        <w:rPr>
          <w:rFonts w:cstheme="minorHAnsi"/>
          <w:b/>
          <w:bCs/>
          <w:color w:val="0066CC"/>
        </w:rPr>
        <w:t>Les projets retenus en lien avec l’adaptation au CC dans les secteurs de l’eau et de l’assainissement sont</w:t>
      </w:r>
      <w:r w:rsidRPr="00BE7A39">
        <w:rPr>
          <w:rFonts w:cstheme="minorHAnsi"/>
        </w:rPr>
        <w:t> :</w:t>
      </w:r>
    </w:p>
    <w:p w14:paraId="2D5E7721" w14:textId="77777777" w:rsidR="008F2269" w:rsidRPr="009E0A26" w:rsidRDefault="008F2269" w:rsidP="008F2269">
      <w:pPr>
        <w:pStyle w:val="Paragraphedeliste"/>
        <w:numPr>
          <w:ilvl w:val="0"/>
          <w:numId w:val="87"/>
        </w:numPr>
        <w:shd w:val="clear" w:color="auto" w:fill="C5D3FF"/>
        <w:suppressAutoHyphens/>
        <w:autoSpaceDN w:val="0"/>
        <w:spacing w:after="0" w:line="240" w:lineRule="auto"/>
        <w:ind w:left="499" w:hanging="357"/>
        <w:contextualSpacing w:val="0"/>
        <w:jc w:val="both"/>
        <w:textAlignment w:val="baseline"/>
        <w:rPr>
          <w:rFonts w:cstheme="minorHAnsi"/>
        </w:rPr>
      </w:pPr>
      <w:r w:rsidRPr="00BE7A39">
        <w:rPr>
          <w:rFonts w:cstheme="minorHAnsi"/>
        </w:rPr>
        <w:t xml:space="preserve">Renforcer la sécurité en eau pour les communautés vivant dans les écosystèmes montagneux de l’Adrar </w:t>
      </w:r>
      <w:r>
        <w:rPr>
          <w:rFonts w:cstheme="minorHAnsi"/>
        </w:rPr>
        <w:t>(PPM 2020-2025)</w:t>
      </w:r>
      <w:r w:rsidRPr="00BE7A39">
        <w:rPr>
          <w:rFonts w:cstheme="minorHAnsi"/>
        </w:rPr>
        <w:t xml:space="preserve"> : 10 Mio $US </w:t>
      </w:r>
      <w:r>
        <w:rPr>
          <w:rFonts w:cstheme="minorHAnsi"/>
        </w:rPr>
        <w:t>(Financement à rechercher)</w:t>
      </w:r>
      <w:r w:rsidRPr="00BE7A39">
        <w:rPr>
          <w:rFonts w:cstheme="minorHAnsi"/>
        </w:rPr>
        <w:t>.</w:t>
      </w:r>
    </w:p>
    <w:p w14:paraId="1C0D0615" w14:textId="77777777" w:rsidR="008F2269" w:rsidRDefault="008F2269" w:rsidP="008F2269">
      <w:pPr>
        <w:pStyle w:val="Paragraphedeliste"/>
        <w:shd w:val="clear" w:color="auto" w:fill="C5D3FF"/>
        <w:spacing w:after="0"/>
        <w:ind w:left="499"/>
        <w:contextualSpacing w:val="0"/>
        <w:jc w:val="both"/>
        <w:rPr>
          <w:rFonts w:cstheme="minorHAnsi"/>
        </w:rPr>
      </w:pPr>
      <w:r w:rsidRPr="00BE7A39">
        <w:rPr>
          <w:rFonts w:cstheme="minorHAnsi"/>
        </w:rPr>
        <w:t xml:space="preserve">Le projet vise à renforcer la sécurisation de l’approvisionnement en eau en vue d’accroître la résilience des communautés </w:t>
      </w:r>
      <w:r>
        <w:rPr>
          <w:rFonts w:cstheme="minorHAnsi"/>
        </w:rPr>
        <w:t>ciblées.</w:t>
      </w:r>
    </w:p>
    <w:p w14:paraId="3AAF05FB" w14:textId="77777777" w:rsidR="008F2269" w:rsidRPr="00BE7A39" w:rsidRDefault="008F2269" w:rsidP="008F2269">
      <w:pPr>
        <w:pStyle w:val="Paragraphedeliste"/>
        <w:numPr>
          <w:ilvl w:val="0"/>
          <w:numId w:val="87"/>
        </w:numPr>
        <w:shd w:val="clear" w:color="auto" w:fill="C5D3FF"/>
        <w:suppressAutoHyphens/>
        <w:autoSpaceDN w:val="0"/>
        <w:spacing w:after="0" w:line="240" w:lineRule="auto"/>
        <w:ind w:left="499" w:hanging="357"/>
        <w:contextualSpacing w:val="0"/>
        <w:jc w:val="both"/>
        <w:textAlignment w:val="baseline"/>
        <w:rPr>
          <w:rFonts w:cstheme="minorHAnsi"/>
        </w:rPr>
      </w:pPr>
      <w:r w:rsidRPr="00BE7A39">
        <w:rPr>
          <w:rFonts w:cstheme="minorHAnsi"/>
        </w:rPr>
        <w:t xml:space="preserve">Développement Intégré de l’Agriculture et de l’Élevage en Zones Pluviales (PPM, 2020-2025) : 50 </w:t>
      </w:r>
      <w:r w:rsidRPr="00F85EE6">
        <w:rPr>
          <w:rFonts w:cstheme="minorHAnsi"/>
        </w:rPr>
        <w:t>Mio</w:t>
      </w:r>
      <w:r w:rsidRPr="00BE7A39">
        <w:rPr>
          <w:rFonts w:cstheme="minorHAnsi"/>
        </w:rPr>
        <w:t xml:space="preserve"> $US programmés dont 21 Mio $US </w:t>
      </w:r>
      <w:r>
        <w:rPr>
          <w:rFonts w:cstheme="minorHAnsi"/>
        </w:rPr>
        <w:t xml:space="preserve">avec le FVC et </w:t>
      </w:r>
      <w:r w:rsidRPr="00BE7A39">
        <w:rPr>
          <w:rFonts w:cstheme="minorHAnsi"/>
        </w:rPr>
        <w:t xml:space="preserve">29 Mio $US </w:t>
      </w:r>
      <w:r>
        <w:rPr>
          <w:rFonts w:cstheme="minorHAnsi"/>
        </w:rPr>
        <w:t>dont le partenaire est à rechercher</w:t>
      </w:r>
      <w:r w:rsidRPr="00BE7A39">
        <w:rPr>
          <w:rFonts w:cstheme="minorHAnsi"/>
        </w:rPr>
        <w:t>.</w:t>
      </w:r>
    </w:p>
    <w:p w14:paraId="67854A6B" w14:textId="77777777" w:rsidR="008F2269" w:rsidRPr="00BE7A39" w:rsidRDefault="008F2269" w:rsidP="008F2269">
      <w:pPr>
        <w:pStyle w:val="Paragraphedeliste"/>
        <w:shd w:val="clear" w:color="auto" w:fill="C5D3FF"/>
        <w:spacing w:after="0"/>
        <w:ind w:left="499"/>
        <w:contextualSpacing w:val="0"/>
        <w:jc w:val="both"/>
        <w:rPr>
          <w:rFonts w:cstheme="minorHAnsi"/>
        </w:rPr>
      </w:pPr>
      <w:r w:rsidRPr="00BE7A39">
        <w:rPr>
          <w:rFonts w:cstheme="minorHAnsi"/>
        </w:rPr>
        <w:t>Le projet vise à renforcer le cadre stratégique de gestion intégrée et durable des terres dégradées et des ressources en eau en vue d’améliorer la résilience des systèmes de production agricole et animale en milieu aride.</w:t>
      </w:r>
    </w:p>
    <w:p w14:paraId="7F84DBB6" w14:textId="77777777" w:rsidR="008F2269" w:rsidRPr="003D6029" w:rsidRDefault="008F2269" w:rsidP="008F2269">
      <w:pPr>
        <w:pStyle w:val="Paragraphedeliste"/>
        <w:numPr>
          <w:ilvl w:val="0"/>
          <w:numId w:val="87"/>
        </w:numPr>
        <w:shd w:val="clear" w:color="auto" w:fill="C5D3FF"/>
        <w:suppressAutoHyphens/>
        <w:autoSpaceDN w:val="0"/>
        <w:spacing w:after="120" w:line="240" w:lineRule="auto"/>
        <w:ind w:left="499" w:hanging="357"/>
        <w:contextualSpacing w:val="0"/>
        <w:jc w:val="both"/>
        <w:textAlignment w:val="baseline"/>
        <w:rPr>
          <w:rFonts w:cstheme="minorHAnsi"/>
        </w:rPr>
      </w:pPr>
      <w:r w:rsidRPr="00BE7A39">
        <w:rPr>
          <w:rFonts w:cstheme="minorHAnsi"/>
        </w:rPr>
        <w:t xml:space="preserve">Gestion résiliente au changement climatique de l'approvisionnement en eau et des ressources dans les Wilayas de Hodh El Chargui, Hodh El Gharbi, Assaba et Tagant (PPM, 2020-2025) : 23 Mio $US programmés : 22 Mio $US </w:t>
      </w:r>
      <w:r>
        <w:rPr>
          <w:rFonts w:cstheme="minorHAnsi"/>
        </w:rPr>
        <w:t xml:space="preserve">avec le FVC et </w:t>
      </w:r>
      <w:r w:rsidRPr="00BE7A39">
        <w:rPr>
          <w:rFonts w:cstheme="minorHAnsi"/>
        </w:rPr>
        <w:t xml:space="preserve">1 Mio $US </w:t>
      </w:r>
      <w:r>
        <w:rPr>
          <w:rFonts w:cstheme="minorHAnsi"/>
        </w:rPr>
        <w:t>(Partenaire à rechercher)</w:t>
      </w:r>
      <w:r w:rsidRPr="00BE7A39">
        <w:rPr>
          <w:rFonts w:cstheme="minorHAnsi"/>
        </w:rPr>
        <w:t>.</w:t>
      </w:r>
      <w:r>
        <w:rPr>
          <w:rFonts w:cstheme="minorHAnsi"/>
        </w:rPr>
        <w:t xml:space="preserve"> </w:t>
      </w:r>
      <w:r w:rsidRPr="003D6029">
        <w:rPr>
          <w:rFonts w:cstheme="minorHAnsi"/>
        </w:rPr>
        <w:t>Le projet vise la recharge des aquifères et gestion durable des sols ainsi que la gestion adaptative des ressources et de la demande en eau.</w:t>
      </w:r>
    </w:p>
    <w:p w14:paraId="26EDC416" w14:textId="77777777" w:rsidR="008F2269" w:rsidRPr="00C22EF0" w:rsidRDefault="008F2269" w:rsidP="00090C68">
      <w:pPr>
        <w:pStyle w:val="Titre2"/>
        <w:numPr>
          <w:ilvl w:val="1"/>
          <w:numId w:val="117"/>
        </w:numPr>
        <w:spacing w:before="0" w:after="160"/>
        <w:ind w:left="709"/>
        <w:rPr>
          <w:rFonts w:asciiTheme="minorHAnsi" w:eastAsiaTheme="minorHAnsi" w:hAnsiTheme="minorHAnsi" w:cstheme="minorHAnsi"/>
          <w:bCs/>
          <w:color w:val="auto"/>
          <w:sz w:val="22"/>
          <w:szCs w:val="22"/>
        </w:rPr>
      </w:pPr>
      <w:r>
        <w:rPr>
          <w:rFonts w:asciiTheme="minorHAnsi" w:eastAsiaTheme="minorHAnsi" w:hAnsiTheme="minorHAnsi" w:cstheme="minorHAnsi"/>
          <w:color w:val="auto"/>
          <w:sz w:val="22"/>
          <w:szCs w:val="22"/>
        </w:rPr>
        <w:t xml:space="preserve"> </w:t>
      </w:r>
      <w:bookmarkStart w:id="154" w:name="_Toc57057440"/>
      <w:bookmarkStart w:id="155" w:name="_Toc180318686"/>
      <w:r w:rsidRPr="00C22EF0">
        <w:rPr>
          <w:rFonts w:asciiTheme="minorHAnsi" w:eastAsiaTheme="minorHAnsi" w:hAnsiTheme="minorHAnsi" w:cstheme="minorHAnsi"/>
          <w:color w:val="auto"/>
          <w:sz w:val="22"/>
          <w:szCs w:val="22"/>
        </w:rPr>
        <w:t>La stratégie de croissance accélérée et de prospérité partagée (SCAPP)</w:t>
      </w:r>
      <w:bookmarkEnd w:id="154"/>
      <w:bookmarkEnd w:id="155"/>
      <w:r w:rsidRPr="00C22EF0">
        <w:rPr>
          <w:rFonts w:asciiTheme="minorHAnsi" w:eastAsiaTheme="minorHAnsi" w:hAnsiTheme="minorHAnsi" w:cstheme="minorHAnsi"/>
          <w:color w:val="auto"/>
          <w:sz w:val="22"/>
          <w:szCs w:val="22"/>
        </w:rPr>
        <w:t xml:space="preserve">  </w:t>
      </w:r>
    </w:p>
    <w:p w14:paraId="0A885A49" w14:textId="77777777" w:rsidR="008F2269" w:rsidRPr="00BE7A39" w:rsidRDefault="008F2269" w:rsidP="008F2269">
      <w:pPr>
        <w:shd w:val="clear" w:color="auto" w:fill="C5D3FF"/>
        <w:ind w:left="142"/>
        <w:jc w:val="both"/>
        <w:rPr>
          <w:rFonts w:cstheme="minorHAnsi"/>
        </w:rPr>
      </w:pPr>
      <w:r w:rsidRPr="00BE7A39">
        <w:rPr>
          <w:rFonts w:cstheme="minorHAnsi"/>
        </w:rPr>
        <w:t xml:space="preserve">Les principaux projets </w:t>
      </w:r>
      <w:r>
        <w:rPr>
          <w:rFonts w:cstheme="minorHAnsi"/>
        </w:rPr>
        <w:t>retenus pour les eaux de surface sont :</w:t>
      </w:r>
    </w:p>
    <w:p w14:paraId="2BFC5147" w14:textId="77777777" w:rsidR="008F2269" w:rsidRPr="00BE7A39" w:rsidRDefault="008F2269" w:rsidP="008F2269">
      <w:pPr>
        <w:pStyle w:val="Paragraphedeliste"/>
        <w:numPr>
          <w:ilvl w:val="0"/>
          <w:numId w:val="87"/>
        </w:numPr>
        <w:shd w:val="clear" w:color="auto" w:fill="C5D3FF"/>
        <w:suppressAutoHyphens/>
        <w:autoSpaceDN w:val="0"/>
        <w:ind w:left="499" w:hanging="357"/>
        <w:jc w:val="both"/>
        <w:textAlignment w:val="baseline"/>
        <w:rPr>
          <w:rFonts w:cstheme="minorHAnsi"/>
        </w:rPr>
      </w:pPr>
      <w:r w:rsidRPr="00BE7A39">
        <w:rPr>
          <w:rFonts w:cstheme="minorHAnsi"/>
        </w:rPr>
        <w:t>Le Projet AEP Guérou et Kiffa à partir du fleuve Sénégal ;</w:t>
      </w:r>
    </w:p>
    <w:p w14:paraId="09C6D176" w14:textId="77777777" w:rsidR="008F2269" w:rsidRPr="00BE7A39" w:rsidRDefault="008F2269" w:rsidP="008F2269">
      <w:pPr>
        <w:pStyle w:val="Paragraphedeliste"/>
        <w:numPr>
          <w:ilvl w:val="0"/>
          <w:numId w:val="87"/>
        </w:numPr>
        <w:shd w:val="clear" w:color="auto" w:fill="C5D3FF"/>
        <w:suppressAutoHyphens/>
        <w:autoSpaceDN w:val="0"/>
        <w:ind w:left="499" w:hanging="357"/>
        <w:jc w:val="both"/>
        <w:textAlignment w:val="baseline"/>
        <w:rPr>
          <w:rFonts w:cstheme="minorHAnsi"/>
        </w:rPr>
      </w:pPr>
      <w:r w:rsidRPr="00BE7A39">
        <w:rPr>
          <w:rFonts w:cstheme="minorHAnsi"/>
        </w:rPr>
        <w:t>Le Projet AEP Boghé-Aleg-Magtaa Lehjar à partir du fleuve Sénégal ;</w:t>
      </w:r>
    </w:p>
    <w:p w14:paraId="2B5E45FA" w14:textId="77777777" w:rsidR="008F2269" w:rsidRPr="00BE7A39" w:rsidRDefault="008F2269" w:rsidP="008F2269">
      <w:pPr>
        <w:pStyle w:val="Paragraphedeliste"/>
        <w:numPr>
          <w:ilvl w:val="0"/>
          <w:numId w:val="87"/>
        </w:numPr>
        <w:shd w:val="clear" w:color="auto" w:fill="C5D3FF"/>
        <w:suppressAutoHyphens/>
        <w:autoSpaceDN w:val="0"/>
        <w:ind w:left="499" w:hanging="357"/>
        <w:jc w:val="both"/>
        <w:textAlignment w:val="baseline"/>
        <w:rPr>
          <w:rFonts w:cstheme="minorHAnsi"/>
        </w:rPr>
      </w:pPr>
      <w:r w:rsidRPr="00BE7A39">
        <w:rPr>
          <w:rFonts w:cstheme="minorHAnsi"/>
        </w:rPr>
        <w:t>Le projet Assainissement de la ville de Nouakchott (eaux pluviales) ;</w:t>
      </w:r>
    </w:p>
    <w:p w14:paraId="5AAF64CE" w14:textId="77777777" w:rsidR="008F2269" w:rsidRPr="00BE7A39" w:rsidRDefault="008F2269" w:rsidP="008F2269">
      <w:pPr>
        <w:pStyle w:val="Paragraphedeliste"/>
        <w:numPr>
          <w:ilvl w:val="0"/>
          <w:numId w:val="87"/>
        </w:numPr>
        <w:shd w:val="clear" w:color="auto" w:fill="C5D3FF"/>
        <w:suppressAutoHyphens/>
        <w:autoSpaceDN w:val="0"/>
        <w:ind w:left="499" w:hanging="357"/>
        <w:jc w:val="both"/>
        <w:textAlignment w:val="baseline"/>
        <w:rPr>
          <w:rFonts w:cstheme="minorHAnsi"/>
        </w:rPr>
      </w:pPr>
      <w:r w:rsidRPr="00BE7A39">
        <w:rPr>
          <w:rFonts w:cstheme="minorHAnsi"/>
        </w:rPr>
        <w:t>Le projet Assainissement de la ville de Nouakchott (eaux usées) ;</w:t>
      </w:r>
    </w:p>
    <w:p w14:paraId="15BB1CA3" w14:textId="77777777" w:rsidR="008F2269" w:rsidRPr="00BE7A39" w:rsidRDefault="008F2269" w:rsidP="008F2269">
      <w:pPr>
        <w:pStyle w:val="Paragraphedeliste"/>
        <w:numPr>
          <w:ilvl w:val="0"/>
          <w:numId w:val="87"/>
        </w:numPr>
        <w:shd w:val="clear" w:color="auto" w:fill="C5D3FF"/>
        <w:suppressAutoHyphens/>
        <w:autoSpaceDN w:val="0"/>
        <w:ind w:left="499" w:hanging="357"/>
        <w:jc w:val="both"/>
        <w:textAlignment w:val="baseline"/>
        <w:rPr>
          <w:rFonts w:cstheme="minorHAnsi"/>
        </w:rPr>
      </w:pPr>
      <w:r w:rsidRPr="00BE7A39">
        <w:rPr>
          <w:rFonts w:cstheme="minorHAnsi"/>
        </w:rPr>
        <w:t>Le Projet Assainissement de la ville de Nouadhibou (eaux pluviales) ;</w:t>
      </w:r>
    </w:p>
    <w:p w14:paraId="46465EF9" w14:textId="77777777" w:rsidR="008F2269" w:rsidRDefault="008F2269" w:rsidP="008F2269">
      <w:pPr>
        <w:pStyle w:val="Paragraphedeliste"/>
        <w:numPr>
          <w:ilvl w:val="0"/>
          <w:numId w:val="87"/>
        </w:numPr>
        <w:shd w:val="clear" w:color="auto" w:fill="C5D3FF"/>
        <w:suppressAutoHyphens/>
        <w:autoSpaceDN w:val="0"/>
        <w:ind w:left="499" w:hanging="357"/>
        <w:jc w:val="both"/>
        <w:textAlignment w:val="baseline"/>
        <w:rPr>
          <w:rFonts w:cstheme="minorHAnsi"/>
        </w:rPr>
      </w:pPr>
      <w:r w:rsidRPr="00BE7A39">
        <w:rPr>
          <w:rFonts w:cstheme="minorHAnsi"/>
        </w:rPr>
        <w:t>L’assainissement familial par l’approche ATPC.</w:t>
      </w:r>
    </w:p>
    <w:p w14:paraId="14B6546C" w14:textId="77777777" w:rsidR="008F2269" w:rsidRPr="00E41CAA" w:rsidRDefault="008F2269" w:rsidP="008F2269">
      <w:pPr>
        <w:spacing w:after="120"/>
        <w:jc w:val="both"/>
        <w:rPr>
          <w:rFonts w:cstheme="minorHAnsi"/>
        </w:rPr>
      </w:pPr>
      <w:r w:rsidRPr="00893E52">
        <w:rPr>
          <w:rFonts w:cstheme="minorHAnsi"/>
          <w:shd w:val="clear" w:color="auto" w:fill="C5D3FF"/>
        </w:rPr>
        <w:t xml:space="preserve">Le coût de l’intervention dans le secteur de l’hydraulique et de l’Assainissement à l’horizon 2020 est estimé à environ </w:t>
      </w:r>
      <w:r w:rsidRPr="00893E52">
        <w:rPr>
          <w:rFonts w:cstheme="minorHAnsi"/>
          <w:b/>
          <w:shd w:val="clear" w:color="auto" w:fill="C5D3FF"/>
        </w:rPr>
        <w:t>350 milliards</w:t>
      </w:r>
      <w:r w:rsidRPr="00893E52">
        <w:rPr>
          <w:rFonts w:cstheme="minorHAnsi"/>
          <w:shd w:val="clear" w:color="auto" w:fill="C5D3FF"/>
        </w:rPr>
        <w:t xml:space="preserve"> d’ouguiyas, dont </w:t>
      </w:r>
      <w:r w:rsidRPr="00893E52">
        <w:rPr>
          <w:rFonts w:cstheme="minorHAnsi"/>
          <w:b/>
          <w:shd w:val="clear" w:color="auto" w:fill="C5D3FF"/>
        </w:rPr>
        <w:t>135 milliards</w:t>
      </w:r>
      <w:r w:rsidRPr="00893E52">
        <w:rPr>
          <w:rFonts w:cstheme="minorHAnsi"/>
          <w:shd w:val="clear" w:color="auto" w:fill="C5D3FF"/>
        </w:rPr>
        <w:t xml:space="preserve"> sont disponibles et le reste du financement </w:t>
      </w:r>
      <w:r w:rsidRPr="00893E52">
        <w:rPr>
          <w:rFonts w:cstheme="minorHAnsi"/>
          <w:b/>
          <w:shd w:val="clear" w:color="auto" w:fill="C5D3FF"/>
        </w:rPr>
        <w:t>215 milliards</w:t>
      </w:r>
      <w:r w:rsidRPr="00893E52">
        <w:rPr>
          <w:rFonts w:cstheme="minorHAnsi"/>
          <w:shd w:val="clear" w:color="auto" w:fill="C5D3FF"/>
        </w:rPr>
        <w:t xml:space="preserve"> d’ouguiyas est à rechercher (Plan d’actions prioritaires, SCAPP 2016-2020). </w:t>
      </w:r>
    </w:p>
    <w:p w14:paraId="31D15E2B" w14:textId="77777777" w:rsidR="008F2269" w:rsidRPr="00C15636" w:rsidRDefault="008F2269" w:rsidP="00090C68">
      <w:pPr>
        <w:pStyle w:val="Titre2"/>
        <w:numPr>
          <w:ilvl w:val="1"/>
          <w:numId w:val="117"/>
        </w:numPr>
        <w:spacing w:before="0" w:after="160"/>
        <w:ind w:left="709"/>
        <w:rPr>
          <w:rFonts w:asciiTheme="minorHAnsi" w:eastAsiaTheme="minorHAnsi" w:hAnsiTheme="minorHAnsi" w:cstheme="minorHAnsi"/>
          <w:bCs/>
          <w:color w:val="auto"/>
          <w:sz w:val="22"/>
          <w:szCs w:val="22"/>
        </w:rPr>
      </w:pPr>
      <w:bookmarkStart w:id="156" w:name="_Toc57057441"/>
      <w:bookmarkStart w:id="157" w:name="_Toc180318687"/>
      <w:r w:rsidRPr="00C15636">
        <w:rPr>
          <w:rFonts w:asciiTheme="minorHAnsi" w:eastAsiaTheme="minorHAnsi" w:hAnsiTheme="minorHAnsi" w:cstheme="minorHAnsi"/>
          <w:color w:val="auto"/>
          <w:sz w:val="22"/>
          <w:szCs w:val="22"/>
        </w:rPr>
        <w:t>L</w:t>
      </w:r>
      <w:r>
        <w:rPr>
          <w:rFonts w:asciiTheme="minorHAnsi" w:eastAsiaTheme="minorHAnsi" w:hAnsiTheme="minorHAnsi" w:cstheme="minorHAnsi"/>
          <w:color w:val="auto"/>
          <w:sz w:val="22"/>
          <w:szCs w:val="22"/>
        </w:rPr>
        <w:t>a</w:t>
      </w:r>
      <w:r w:rsidRPr="00C15636">
        <w:rPr>
          <w:rFonts w:asciiTheme="minorHAnsi" w:eastAsiaTheme="minorHAnsi" w:hAnsiTheme="minorHAnsi" w:cstheme="minorHAnsi"/>
          <w:color w:val="auto"/>
          <w:sz w:val="22"/>
          <w:szCs w:val="22"/>
        </w:rPr>
        <w:t xml:space="preserve"> SNADEA </w:t>
      </w:r>
      <w:r>
        <w:rPr>
          <w:rFonts w:asciiTheme="minorHAnsi" w:eastAsiaTheme="minorHAnsi" w:hAnsiTheme="minorHAnsi" w:cstheme="minorHAnsi"/>
          <w:color w:val="auto"/>
          <w:sz w:val="22"/>
          <w:szCs w:val="22"/>
        </w:rPr>
        <w:t>horizon</w:t>
      </w:r>
      <w:r w:rsidRPr="00C15636">
        <w:rPr>
          <w:rFonts w:asciiTheme="minorHAnsi" w:eastAsiaTheme="minorHAnsi" w:hAnsiTheme="minorHAnsi" w:cstheme="minorHAnsi"/>
          <w:color w:val="auto"/>
          <w:sz w:val="22"/>
          <w:szCs w:val="22"/>
        </w:rPr>
        <w:t xml:space="preserve"> 2030</w:t>
      </w:r>
      <w:bookmarkEnd w:id="156"/>
      <w:bookmarkEnd w:id="157"/>
    </w:p>
    <w:p w14:paraId="48167488" w14:textId="77777777" w:rsidR="008F2269" w:rsidRDefault="008F2269" w:rsidP="008F2269">
      <w:pPr>
        <w:spacing w:after="120"/>
        <w:jc w:val="both"/>
        <w:rPr>
          <w:rFonts w:eastAsia="Verdana" w:cstheme="minorHAnsi"/>
        </w:rPr>
      </w:pPr>
      <w:r w:rsidRPr="00624173">
        <w:rPr>
          <w:rFonts w:eastAsia="Verdana" w:cstheme="minorHAnsi"/>
        </w:rPr>
        <w:t>La Stratégie Nationale d’Accès Durable à l’Eau et à l’Assainissement (SNADEA 2017-2030</w:t>
      </w:r>
      <w:r>
        <w:rPr>
          <w:rFonts w:eastAsia="Verdana" w:cstheme="minorHAnsi"/>
        </w:rPr>
        <w:t xml:space="preserve"> actualisée pour 2022-2030</w:t>
      </w:r>
      <w:r w:rsidRPr="00624173">
        <w:rPr>
          <w:rFonts w:eastAsia="Verdana" w:cstheme="minorHAnsi"/>
        </w:rPr>
        <w:t>)</w:t>
      </w:r>
      <w:r>
        <w:rPr>
          <w:rFonts w:eastAsia="Verdana" w:cstheme="minorHAnsi"/>
        </w:rPr>
        <w:t xml:space="preserve"> </w:t>
      </w:r>
      <w:r w:rsidRPr="00624173">
        <w:rPr>
          <w:rFonts w:eastAsia="Verdana" w:cstheme="minorHAnsi"/>
        </w:rPr>
        <w:t xml:space="preserve">met l’accent sur la connaissance et la mobilisation des eaux de surface pour tous les usages (AEP, développement agricole et élevage), le suivi des ressources en eau souterraines et de surface, le cadrage normatif des interventions dans le domaine de l’hydraulique et de l’assainissement et le développement des capacités des différentes directions techniques du Ministère. </w:t>
      </w:r>
    </w:p>
    <w:p w14:paraId="2081683D" w14:textId="77777777" w:rsidR="008F2269" w:rsidRPr="008F4C42" w:rsidRDefault="008F2269" w:rsidP="008F2269">
      <w:pPr>
        <w:pStyle w:val="Paragraphedeliste"/>
        <w:numPr>
          <w:ilvl w:val="2"/>
          <w:numId w:val="117"/>
        </w:numPr>
        <w:suppressAutoHyphens/>
        <w:autoSpaceDN w:val="0"/>
        <w:spacing w:after="120" w:line="240" w:lineRule="auto"/>
        <w:ind w:left="851" w:hanging="851"/>
        <w:jc w:val="both"/>
        <w:textAlignment w:val="baseline"/>
        <w:rPr>
          <w:rFonts w:eastAsia="Verdana" w:cstheme="minorHAnsi"/>
          <w:b/>
          <w:bCs/>
        </w:rPr>
      </w:pPr>
      <w:r w:rsidRPr="008F4C42">
        <w:rPr>
          <w:rFonts w:eastAsia="Verdana" w:cstheme="minorHAnsi"/>
          <w:b/>
          <w:bCs/>
        </w:rPr>
        <w:t>SNADEA 2017-2021</w:t>
      </w:r>
    </w:p>
    <w:p w14:paraId="1F88B60B" w14:textId="77777777" w:rsidR="008F2269" w:rsidRDefault="008F2269" w:rsidP="008F2269">
      <w:pPr>
        <w:shd w:val="clear" w:color="auto" w:fill="DEEAF6" w:themeFill="accent5" w:themeFillTint="33"/>
        <w:spacing w:after="120"/>
        <w:jc w:val="both"/>
        <w:rPr>
          <w:rFonts w:eastAsia="Verdana" w:cstheme="minorHAnsi"/>
        </w:rPr>
      </w:pPr>
      <w:r w:rsidRPr="00624173">
        <w:rPr>
          <w:rFonts w:eastAsia="Verdana" w:cstheme="minorHAnsi"/>
        </w:rPr>
        <w:t>La Stratégie Nationale d’Accès Durable à l’Eau et à l’Assainissement (SNADEA 2017-2030)</w:t>
      </w:r>
      <w:r>
        <w:rPr>
          <w:rFonts w:eastAsia="Verdana" w:cstheme="minorHAnsi"/>
        </w:rPr>
        <w:t xml:space="preserve"> </w:t>
      </w:r>
      <w:r w:rsidRPr="00624173">
        <w:rPr>
          <w:rFonts w:eastAsia="Verdana" w:cstheme="minorHAnsi"/>
        </w:rPr>
        <w:t xml:space="preserve">met l’accent sur la connaissance et la mobilisation des eaux de surface pour tous les usages (AEP, développement agricole et élevage), le suivi des ressources en eau souterraines et de surface, le cadrage normatif des interventions dans le domaine de l’hydraulique et de l’assainissement et le développement des capacités des différentes directions techniques du Ministère. </w:t>
      </w:r>
    </w:p>
    <w:p w14:paraId="5ABC7B38" w14:textId="77777777" w:rsidR="008F2269" w:rsidRDefault="008F2269" w:rsidP="008F2269">
      <w:pPr>
        <w:shd w:val="clear" w:color="auto" w:fill="DEEAF6" w:themeFill="accent5" w:themeFillTint="33"/>
        <w:spacing w:after="120"/>
        <w:jc w:val="both"/>
        <w:rPr>
          <w:rFonts w:cstheme="minorHAnsi"/>
          <w:bCs/>
        </w:rPr>
      </w:pPr>
      <w:r w:rsidRPr="00C31E63">
        <w:rPr>
          <w:rFonts w:cstheme="minorHAnsi"/>
          <w:bCs/>
        </w:rPr>
        <w:t>La SNADEA comporte</w:t>
      </w:r>
      <w:r w:rsidRPr="00C8489E">
        <w:rPr>
          <w:rFonts w:cstheme="minorHAnsi"/>
          <w:bCs/>
          <w:color w:val="FF0000"/>
        </w:rPr>
        <w:t xml:space="preserve"> </w:t>
      </w:r>
      <w:r w:rsidRPr="00C31E63">
        <w:rPr>
          <w:rFonts w:cstheme="minorHAnsi"/>
          <w:bCs/>
        </w:rPr>
        <w:t xml:space="preserve">trente et trois (33) projets (Voir point 3.2 et </w:t>
      </w:r>
      <w:r>
        <w:rPr>
          <w:rFonts w:cstheme="minorHAnsi"/>
          <w:bCs/>
        </w:rPr>
        <w:t xml:space="preserve">Annexe 1 : </w:t>
      </w:r>
      <w:r w:rsidRPr="00C31E63">
        <w:rPr>
          <w:rFonts w:cstheme="minorHAnsi"/>
          <w:bCs/>
        </w:rPr>
        <w:t>Cadre harmonisé d’Analyse des stratégies/plans sectoriels face aux enjeux du changement climatique</w:t>
      </w:r>
      <w:r>
        <w:rPr>
          <w:rFonts w:cstheme="minorHAnsi"/>
          <w:bCs/>
        </w:rPr>
        <w:t>).</w:t>
      </w:r>
    </w:p>
    <w:p w14:paraId="0BCFE82B" w14:textId="77777777" w:rsidR="008F2269" w:rsidRPr="00BE7A39" w:rsidRDefault="008F2269" w:rsidP="008F2269">
      <w:pPr>
        <w:shd w:val="clear" w:color="auto" w:fill="DEEAF6" w:themeFill="accent5" w:themeFillTint="33"/>
        <w:jc w:val="both"/>
        <w:rPr>
          <w:rFonts w:eastAsia="Calibri" w:cstheme="minorHAnsi"/>
          <w:b/>
          <w:color w:val="000000" w:themeColor="text1"/>
        </w:rPr>
      </w:pPr>
      <w:r w:rsidRPr="00893E52">
        <w:rPr>
          <w:rFonts w:eastAsia="Verdana" w:cstheme="minorHAnsi"/>
          <w:b/>
          <w:bCs/>
          <w:color w:val="000099"/>
        </w:rPr>
        <w:t>Elle est structurée en 5 axes </w:t>
      </w:r>
      <w:r>
        <w:rPr>
          <w:rFonts w:eastAsia="Verdana" w:cstheme="minorHAnsi"/>
        </w:rPr>
        <w:t xml:space="preserve">: (i) </w:t>
      </w:r>
      <w:r w:rsidRPr="00624173">
        <w:rPr>
          <w:rFonts w:eastAsia="Verdana" w:cstheme="minorHAnsi"/>
        </w:rPr>
        <w:t>Connaître, mobiliser et protéger les ressources en</w:t>
      </w:r>
      <w:r>
        <w:rPr>
          <w:rFonts w:eastAsia="Verdana" w:cstheme="minorHAnsi"/>
        </w:rPr>
        <w:t xml:space="preserve"> eau ; (ii) </w:t>
      </w:r>
      <w:r w:rsidRPr="00624173">
        <w:rPr>
          <w:rFonts w:eastAsia="Verdana" w:cstheme="minorHAnsi"/>
        </w:rPr>
        <w:t xml:space="preserve">Améliorer l’accès à </w:t>
      </w:r>
      <w:r>
        <w:rPr>
          <w:rFonts w:eastAsia="Verdana" w:cstheme="minorHAnsi"/>
        </w:rPr>
        <w:t xml:space="preserve">l’eau potable ; (iii) </w:t>
      </w:r>
      <w:r w:rsidRPr="00624173">
        <w:rPr>
          <w:rFonts w:eastAsia="Verdana" w:cstheme="minorHAnsi"/>
        </w:rPr>
        <w:t>Améliorer l’accès à l’</w:t>
      </w:r>
      <w:r>
        <w:rPr>
          <w:rFonts w:eastAsia="Verdana" w:cstheme="minorHAnsi"/>
        </w:rPr>
        <w:t>assainissement ; (iv) A</w:t>
      </w:r>
      <w:r w:rsidRPr="00624173">
        <w:rPr>
          <w:rFonts w:eastAsia="Verdana" w:cstheme="minorHAnsi"/>
        </w:rPr>
        <w:t>mélio</w:t>
      </w:r>
      <w:r>
        <w:rPr>
          <w:rFonts w:eastAsia="Verdana" w:cstheme="minorHAnsi"/>
        </w:rPr>
        <w:t>rer la Gouvernance du secteur et (v) A</w:t>
      </w:r>
      <w:r w:rsidRPr="00624173">
        <w:rPr>
          <w:rFonts w:eastAsia="Verdana" w:cstheme="minorHAnsi"/>
        </w:rPr>
        <w:t>méliorer la</w:t>
      </w:r>
      <w:r w:rsidRPr="00BE7A39">
        <w:rPr>
          <w:rFonts w:eastAsia="Calibri" w:cstheme="minorHAnsi"/>
          <w:b/>
          <w:color w:val="000000" w:themeColor="text1"/>
        </w:rPr>
        <w:t xml:space="preserve"> </w:t>
      </w:r>
      <w:r w:rsidRPr="00624173">
        <w:rPr>
          <w:rFonts w:eastAsia="Calibri" w:cstheme="minorHAnsi"/>
          <w:color w:val="000000" w:themeColor="text1"/>
        </w:rPr>
        <w:t>gouvernance du secteur</w:t>
      </w:r>
      <w:r>
        <w:rPr>
          <w:rFonts w:eastAsia="Calibri" w:cstheme="minorHAnsi"/>
          <w:color w:val="000000" w:themeColor="text1"/>
        </w:rPr>
        <w:t>.</w:t>
      </w:r>
    </w:p>
    <w:p w14:paraId="420A5E69" w14:textId="77777777" w:rsidR="008F2269" w:rsidRPr="00CA6132" w:rsidRDefault="008F2269" w:rsidP="008F2269">
      <w:pPr>
        <w:rPr>
          <w:rFonts w:cstheme="minorHAnsi"/>
          <w:b/>
          <w:bCs/>
        </w:rPr>
      </w:pPr>
      <w:r w:rsidRPr="00CA6132">
        <w:rPr>
          <w:rFonts w:cstheme="minorHAnsi"/>
          <w:b/>
        </w:rPr>
        <w:t xml:space="preserve">L’axe 1 : Connaître, suivre et protéger les ressources en eau </w:t>
      </w:r>
    </w:p>
    <w:p w14:paraId="22D4C31B" w14:textId="77777777" w:rsidR="008F2269" w:rsidRPr="0035552D" w:rsidRDefault="008F2269" w:rsidP="008F2269">
      <w:pPr>
        <w:pStyle w:val="Default"/>
        <w:numPr>
          <w:ilvl w:val="0"/>
          <w:numId w:val="89"/>
        </w:numPr>
        <w:ind w:left="470" w:hanging="357"/>
        <w:jc w:val="both"/>
        <w:rPr>
          <w:rFonts w:asciiTheme="minorHAnsi" w:eastAsia="Verdana" w:hAnsiTheme="minorHAnsi" w:cstheme="minorHAnsi"/>
          <w:color w:val="auto"/>
          <w:sz w:val="22"/>
          <w:szCs w:val="22"/>
        </w:rPr>
      </w:pPr>
      <w:r w:rsidRPr="0035552D">
        <w:rPr>
          <w:rFonts w:asciiTheme="minorHAnsi" w:eastAsia="Verdana" w:hAnsiTheme="minorHAnsi" w:cstheme="minorHAnsi"/>
          <w:color w:val="auto"/>
          <w:sz w:val="22"/>
          <w:szCs w:val="22"/>
        </w:rPr>
        <w:t xml:space="preserve">Résultat R1.1 - la connaissance sur les ressources en eau de surface est améliorée. </w:t>
      </w:r>
    </w:p>
    <w:p w14:paraId="574D97EF" w14:textId="77777777" w:rsidR="008F2269" w:rsidRPr="0035552D" w:rsidRDefault="008F2269" w:rsidP="008F2269">
      <w:pPr>
        <w:pStyle w:val="Default"/>
        <w:numPr>
          <w:ilvl w:val="0"/>
          <w:numId w:val="89"/>
        </w:numPr>
        <w:ind w:left="470" w:hanging="357"/>
        <w:jc w:val="both"/>
        <w:rPr>
          <w:rFonts w:asciiTheme="minorHAnsi" w:eastAsia="Verdana" w:hAnsiTheme="minorHAnsi" w:cstheme="minorHAnsi"/>
          <w:color w:val="auto"/>
          <w:sz w:val="22"/>
          <w:szCs w:val="22"/>
        </w:rPr>
      </w:pPr>
      <w:r w:rsidRPr="0035552D">
        <w:rPr>
          <w:rFonts w:asciiTheme="minorHAnsi" w:eastAsia="Verdana" w:hAnsiTheme="minorHAnsi" w:cstheme="minorHAnsi"/>
          <w:color w:val="auto"/>
          <w:sz w:val="22"/>
          <w:szCs w:val="22"/>
        </w:rPr>
        <w:t>Résultat R1.2 - le suivi et la protection des ressources en eau de surface sont amélioré</w:t>
      </w:r>
      <w:r w:rsidRPr="00A30DE9">
        <w:rPr>
          <w:rFonts w:asciiTheme="minorHAnsi" w:eastAsia="Verdana" w:hAnsiTheme="minorHAnsi" w:cstheme="minorHAnsi"/>
          <w:color w:val="auto"/>
          <w:sz w:val="22"/>
          <w:szCs w:val="22"/>
        </w:rPr>
        <w:t>s</w:t>
      </w:r>
      <w:r>
        <w:rPr>
          <w:rFonts w:asciiTheme="minorHAnsi" w:eastAsia="Verdana" w:hAnsiTheme="minorHAnsi" w:cstheme="minorHAnsi"/>
          <w:color w:val="auto"/>
          <w:sz w:val="22"/>
          <w:szCs w:val="22"/>
        </w:rPr>
        <w:t xml:space="preserve"> </w:t>
      </w:r>
      <w:r w:rsidRPr="00A30DE9">
        <w:rPr>
          <w:rFonts w:asciiTheme="minorHAnsi" w:eastAsia="Verdana" w:hAnsiTheme="minorHAnsi" w:cstheme="minorHAnsi"/>
          <w:color w:val="auto"/>
          <w:sz w:val="22"/>
          <w:szCs w:val="22"/>
        </w:rPr>
        <w:t xml:space="preserve">et </w:t>
      </w:r>
      <w:r w:rsidRPr="0035552D">
        <w:rPr>
          <w:rFonts w:asciiTheme="minorHAnsi" w:eastAsia="Verdana" w:hAnsiTheme="minorHAnsi" w:cstheme="minorHAnsi"/>
          <w:color w:val="auto"/>
          <w:sz w:val="22"/>
          <w:szCs w:val="22"/>
        </w:rPr>
        <w:t xml:space="preserve">étudiés. </w:t>
      </w:r>
    </w:p>
    <w:p w14:paraId="56CA7D58" w14:textId="77777777" w:rsidR="008F2269" w:rsidRPr="0035552D" w:rsidRDefault="008F2269" w:rsidP="008F2269">
      <w:pPr>
        <w:pStyle w:val="Default"/>
        <w:numPr>
          <w:ilvl w:val="0"/>
          <w:numId w:val="89"/>
        </w:numPr>
        <w:ind w:left="470" w:hanging="357"/>
        <w:jc w:val="both"/>
        <w:rPr>
          <w:rFonts w:asciiTheme="minorHAnsi" w:eastAsia="Verdana" w:hAnsiTheme="minorHAnsi" w:cstheme="minorHAnsi"/>
          <w:color w:val="auto"/>
          <w:sz w:val="22"/>
          <w:szCs w:val="22"/>
        </w:rPr>
      </w:pPr>
      <w:r w:rsidRPr="0035552D">
        <w:rPr>
          <w:rFonts w:asciiTheme="minorHAnsi" w:eastAsia="Verdana" w:hAnsiTheme="minorHAnsi" w:cstheme="minorHAnsi"/>
          <w:color w:val="auto"/>
          <w:sz w:val="22"/>
          <w:szCs w:val="22"/>
        </w:rPr>
        <w:t xml:space="preserve">Résultat R1.3 : la connaissance des </w:t>
      </w:r>
      <w:r>
        <w:rPr>
          <w:rFonts w:asciiTheme="minorHAnsi" w:eastAsia="Verdana" w:hAnsiTheme="minorHAnsi" w:cstheme="minorHAnsi"/>
          <w:color w:val="auto"/>
          <w:sz w:val="22"/>
          <w:szCs w:val="22"/>
        </w:rPr>
        <w:t>eaux souterraines est améliorée.</w:t>
      </w:r>
    </w:p>
    <w:p w14:paraId="31378AC9" w14:textId="77777777" w:rsidR="008F2269" w:rsidRPr="009D2758" w:rsidRDefault="008F2269" w:rsidP="008F2269">
      <w:pPr>
        <w:pStyle w:val="Default"/>
        <w:numPr>
          <w:ilvl w:val="0"/>
          <w:numId w:val="89"/>
        </w:numPr>
        <w:spacing w:after="120"/>
        <w:ind w:left="470" w:hanging="357"/>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Résultat R1.4 : le suivi et la protection des e</w:t>
      </w:r>
      <w:r>
        <w:rPr>
          <w:rFonts w:asciiTheme="minorHAnsi" w:eastAsia="Verdana" w:hAnsiTheme="minorHAnsi" w:cstheme="minorHAnsi"/>
          <w:color w:val="auto"/>
          <w:sz w:val="22"/>
          <w:szCs w:val="22"/>
        </w:rPr>
        <w:t>aux souterraines sont améliorés</w:t>
      </w:r>
      <w:r w:rsidRPr="009D2758">
        <w:rPr>
          <w:rFonts w:asciiTheme="minorHAnsi" w:eastAsia="Verdana" w:hAnsiTheme="minorHAnsi" w:cstheme="minorHAnsi"/>
          <w:color w:val="auto"/>
          <w:sz w:val="22"/>
          <w:szCs w:val="22"/>
        </w:rPr>
        <w:t>.</w:t>
      </w:r>
    </w:p>
    <w:p w14:paraId="3AD4177D" w14:textId="77777777" w:rsidR="008F2269" w:rsidRPr="00CA6132" w:rsidRDefault="008F2269" w:rsidP="008F2269">
      <w:pPr>
        <w:rPr>
          <w:rFonts w:cstheme="minorHAnsi"/>
          <w:b/>
        </w:rPr>
      </w:pPr>
      <w:r w:rsidRPr="00CA6132">
        <w:rPr>
          <w:rFonts w:cstheme="minorHAnsi"/>
          <w:b/>
        </w:rPr>
        <w:t>L’axe 2 : Donner accès à l’eau potable au plus grand nombre </w:t>
      </w:r>
    </w:p>
    <w:p w14:paraId="7595E169" w14:textId="77777777" w:rsidR="008F2269" w:rsidRPr="00BE7A39" w:rsidRDefault="008F2269" w:rsidP="008F2269">
      <w:pPr>
        <w:pStyle w:val="Default"/>
        <w:spacing w:after="160" w:line="259" w:lineRule="auto"/>
        <w:jc w:val="both"/>
        <w:rPr>
          <w:rFonts w:asciiTheme="minorHAnsi" w:eastAsia="Calibri" w:hAnsiTheme="minorHAnsi" w:cstheme="minorHAnsi"/>
          <w:color w:val="auto"/>
          <w:sz w:val="22"/>
          <w:szCs w:val="22"/>
        </w:rPr>
      </w:pPr>
      <w:r w:rsidRPr="00BE7A39">
        <w:rPr>
          <w:rFonts w:asciiTheme="minorHAnsi" w:eastAsia="Calibri" w:hAnsiTheme="minorHAnsi" w:cstheme="minorHAnsi"/>
          <w:color w:val="auto"/>
          <w:sz w:val="22"/>
          <w:szCs w:val="22"/>
        </w:rPr>
        <w:t xml:space="preserve">Les résultats clés visant le renforcement de la résilience </w:t>
      </w:r>
      <w:r w:rsidRPr="00BE7A39">
        <w:rPr>
          <w:rFonts w:asciiTheme="minorHAnsi" w:hAnsiTheme="minorHAnsi" w:cstheme="minorHAnsi"/>
        </w:rPr>
        <w:t>au CC</w:t>
      </w:r>
      <w:r>
        <w:rPr>
          <w:rFonts w:asciiTheme="minorHAnsi" w:eastAsia="Calibri" w:hAnsiTheme="minorHAnsi" w:cstheme="minorHAnsi"/>
          <w:color w:val="auto"/>
          <w:sz w:val="22"/>
          <w:szCs w:val="22"/>
        </w:rPr>
        <w:t xml:space="preserve"> sont </w:t>
      </w:r>
      <w:r w:rsidRPr="00BE7A39">
        <w:rPr>
          <w:rFonts w:asciiTheme="minorHAnsi" w:eastAsia="Calibri" w:hAnsiTheme="minorHAnsi" w:cstheme="minorHAnsi"/>
          <w:color w:val="auto"/>
          <w:sz w:val="22"/>
          <w:szCs w:val="22"/>
        </w:rPr>
        <w:t>:</w:t>
      </w:r>
    </w:p>
    <w:p w14:paraId="11F57288" w14:textId="77777777" w:rsidR="008F2269" w:rsidRPr="009D2758" w:rsidRDefault="008F2269" w:rsidP="008F2269">
      <w:pPr>
        <w:pStyle w:val="Default"/>
        <w:numPr>
          <w:ilvl w:val="0"/>
          <w:numId w:val="89"/>
        </w:numPr>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R2.1 Le taux de desserte en eau potable des localités rurales de plus de 150 habitants est porté à 100 % :</w:t>
      </w:r>
    </w:p>
    <w:p w14:paraId="103788C7" w14:textId="77777777" w:rsidR="008F2269" w:rsidRPr="009D2758" w:rsidRDefault="008F2269" w:rsidP="008F2269">
      <w:pPr>
        <w:pStyle w:val="Default"/>
        <w:numPr>
          <w:ilvl w:val="0"/>
          <w:numId w:val="89"/>
        </w:numPr>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R2.2 Le taux de raccordement des localités rurales de plus de 600 habitants est porté à 100 % :</w:t>
      </w:r>
    </w:p>
    <w:p w14:paraId="3D86E4B4" w14:textId="77777777" w:rsidR="008F2269" w:rsidRPr="009D2758" w:rsidRDefault="008F2269" w:rsidP="008F2269">
      <w:pPr>
        <w:pStyle w:val="Default"/>
        <w:numPr>
          <w:ilvl w:val="0"/>
          <w:numId w:val="89"/>
        </w:numPr>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R2.3 Tous les établissements de soins et scolaires des localités équipées d’une AEP disposent d’eau potable :</w:t>
      </w:r>
    </w:p>
    <w:p w14:paraId="7B009FE2" w14:textId="77777777" w:rsidR="008F2269" w:rsidRPr="009D2758" w:rsidRDefault="008F2269" w:rsidP="008F2269">
      <w:pPr>
        <w:pStyle w:val="Default"/>
        <w:numPr>
          <w:ilvl w:val="0"/>
          <w:numId w:val="89"/>
        </w:numPr>
        <w:spacing w:after="120"/>
        <w:ind w:left="470" w:hanging="357"/>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R2.4 Le taux de raccordement en milieu urbain est porté à 100 % :</w:t>
      </w:r>
    </w:p>
    <w:p w14:paraId="6202A0C7" w14:textId="77777777" w:rsidR="008F2269" w:rsidRPr="00CA6132" w:rsidRDefault="008F2269" w:rsidP="008F2269">
      <w:pPr>
        <w:rPr>
          <w:rFonts w:cstheme="minorHAnsi"/>
          <w:b/>
        </w:rPr>
      </w:pPr>
      <w:r w:rsidRPr="00CA6132">
        <w:rPr>
          <w:rFonts w:cstheme="minorHAnsi"/>
          <w:b/>
        </w:rPr>
        <w:t>L’axe 3 : Améliorer l’accès à l’eau pour l’agriculture et l’élevage </w:t>
      </w:r>
    </w:p>
    <w:p w14:paraId="19DEDFEA" w14:textId="77777777" w:rsidR="008F2269" w:rsidRPr="00BE7A39" w:rsidRDefault="008F2269" w:rsidP="008F2269">
      <w:pPr>
        <w:pStyle w:val="Default"/>
        <w:ind w:left="470" w:hanging="357"/>
        <w:contextualSpacing/>
        <w:jc w:val="both"/>
        <w:rPr>
          <w:rFonts w:asciiTheme="minorHAnsi" w:eastAsia="Calibri" w:hAnsiTheme="minorHAnsi" w:cstheme="minorHAnsi"/>
          <w:color w:val="auto"/>
          <w:sz w:val="22"/>
          <w:szCs w:val="22"/>
        </w:rPr>
      </w:pPr>
      <w:r w:rsidRPr="00BE7A39">
        <w:rPr>
          <w:rFonts w:asciiTheme="minorHAnsi" w:eastAsia="Calibri" w:hAnsiTheme="minorHAnsi" w:cstheme="minorHAnsi"/>
          <w:color w:val="auto"/>
          <w:sz w:val="22"/>
          <w:szCs w:val="22"/>
        </w:rPr>
        <w:t>Les résultats clés intégrant la résilience au CC sont comme suit :</w:t>
      </w:r>
    </w:p>
    <w:p w14:paraId="1640E3E2" w14:textId="77777777" w:rsidR="008F2269" w:rsidRPr="009D2758" w:rsidRDefault="008F2269" w:rsidP="008F2269">
      <w:pPr>
        <w:pStyle w:val="Default"/>
        <w:numPr>
          <w:ilvl w:val="0"/>
          <w:numId w:val="89"/>
        </w:numPr>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R3.2 Les eaux de surface sont mobilisées pour mettre en culture 47 000 hectares supplémentaires ;</w:t>
      </w:r>
    </w:p>
    <w:p w14:paraId="527320B4" w14:textId="77777777" w:rsidR="008F2269" w:rsidRPr="009D2758" w:rsidRDefault="008F2269" w:rsidP="008F2269">
      <w:pPr>
        <w:pStyle w:val="Default"/>
        <w:numPr>
          <w:ilvl w:val="0"/>
          <w:numId w:val="89"/>
        </w:numPr>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R3.4 La réalisation de 600 forages pastoraux : 18 600 Mio UM programmés (Financement à rechercher) ;</w:t>
      </w:r>
    </w:p>
    <w:p w14:paraId="25BA7DCC" w14:textId="77777777" w:rsidR="008F2269" w:rsidRPr="00CA6132" w:rsidRDefault="008F2269" w:rsidP="008F2269">
      <w:pPr>
        <w:spacing w:after="0" w:line="240" w:lineRule="auto"/>
        <w:rPr>
          <w:rFonts w:cstheme="minorHAnsi"/>
          <w:b/>
        </w:rPr>
      </w:pPr>
      <w:r w:rsidRPr="00CA6132">
        <w:rPr>
          <w:rFonts w:cstheme="minorHAnsi"/>
          <w:b/>
        </w:rPr>
        <w:t>L’axe 4 : Améliorer l’accès à l’assainissement liquide et l’hygiène </w:t>
      </w:r>
    </w:p>
    <w:p w14:paraId="7E78BDDE" w14:textId="77777777" w:rsidR="008F2269" w:rsidRPr="009D2758" w:rsidRDefault="008F2269" w:rsidP="008F2269">
      <w:pPr>
        <w:pStyle w:val="Default"/>
        <w:numPr>
          <w:ilvl w:val="0"/>
          <w:numId w:val="89"/>
        </w:numPr>
        <w:spacing w:after="160" w:line="259" w:lineRule="auto"/>
        <w:ind w:left="470" w:right="-284"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R4.4 En milieu urbain, le taux de collecte et de traitement des boues de vidange est porté à 50 % ;</w:t>
      </w:r>
    </w:p>
    <w:p w14:paraId="7918E7C7"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 xml:space="preserve">R4.5 Réalisation des réseaux d’assainissement et les stations de traitement de Nouakchott, Nouadhibou et Rosso ; </w:t>
      </w:r>
    </w:p>
    <w:p w14:paraId="4B80C07E"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R4.6 Dans les zones urbaines raccordables à l’assainissement collectif, le taux de raccordement au réseau de collecte des eaux pluviales est porté à 50 % ;</w:t>
      </w:r>
    </w:p>
    <w:p w14:paraId="25657DB6" w14:textId="77777777" w:rsidR="008F2269" w:rsidRPr="00CA6132" w:rsidRDefault="008F2269" w:rsidP="008F2269">
      <w:pPr>
        <w:spacing w:after="0" w:line="240" w:lineRule="auto"/>
        <w:rPr>
          <w:rFonts w:cstheme="minorHAnsi"/>
          <w:b/>
        </w:rPr>
      </w:pPr>
      <w:r w:rsidRPr="00CA6132">
        <w:rPr>
          <w:rFonts w:cstheme="minorHAnsi"/>
          <w:b/>
        </w:rPr>
        <w:t xml:space="preserve">L’axe 5 : Améliorer la gouvernance du secteur </w:t>
      </w:r>
    </w:p>
    <w:p w14:paraId="41948416"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Clarifier les compétences des Institutions sectorielles et des organismes sous tutelle du MHA ;</w:t>
      </w:r>
    </w:p>
    <w:p w14:paraId="799C1914"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Mettre à jour le Code de l'eau et élaborer les décrets d'application ;</w:t>
      </w:r>
    </w:p>
    <w:p w14:paraId="747B1357"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Elaborer un Code de l’assainissement et élaborer les décrets d'application ;</w:t>
      </w:r>
    </w:p>
    <w:p w14:paraId="30A1F335"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Elaborer un Code de l’hygiène et élaborer les décrets d'application ;</w:t>
      </w:r>
    </w:p>
    <w:p w14:paraId="4FFC02CF"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Etablir des normes fixant les modalités d'intervention sectorielles et les inscrire dans un cadre réglementaire ;</w:t>
      </w:r>
    </w:p>
    <w:p w14:paraId="12048EC7"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 xml:space="preserve">Elaborer le Plan National d'Aménagement et de Gestion de l'Eau (PNAGE) et les Schémas d’Aménagement et Gestion de l’Eau (SAGE) déclinés du Schéma Directeur d’Aménagement et Gestion de l’Eau (SDAGE) (bassin du fleuve Sénégal et cours d’eau nationaux) pour tous les secteurs connexes à l’eau. Le PNAGE devrait permettre la coordination intersectorielle pour jeter la base d’un développement durable dans un contexte de changement climatique bien installé dans le pays. La stratégie de gestion intégrée des ressources en eau (GIRE), le Plan National des Barrages et le Plan National d’Alimentation en eau du secteur minier et des industries sont prévus pour être parmi ses composantes. </w:t>
      </w:r>
    </w:p>
    <w:p w14:paraId="53E61805"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Mobiliser les partenaires techniques et financiers et assurer une concertation régulière et soutenue ;</w:t>
      </w:r>
    </w:p>
    <w:p w14:paraId="3D346CB4"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Etablir et diffuser des guides techniques sectoriels ;</w:t>
      </w:r>
    </w:p>
    <w:p w14:paraId="1F3B1D05"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Développer l'appui-conseil aux communes, autorités locales, opérateurs publics et privés.</w:t>
      </w:r>
    </w:p>
    <w:p w14:paraId="39D5044F"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La promotion de la réhabilitation et la gestion intégrée et durable des zones humides, résilientes aux effets du CC.</w:t>
      </w:r>
    </w:p>
    <w:p w14:paraId="3C132D15" w14:textId="77777777" w:rsidR="008F2269" w:rsidRPr="001F34D9"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Le développement d’une base de données hydrologique intersectorielle à partir de Base de données Intégrées pour l’Hydraulique et l’Assainissement (BADIHA), base de données en cours d’élaboration au MHA.</w:t>
      </w:r>
    </w:p>
    <w:p w14:paraId="46B54510" w14:textId="77777777" w:rsidR="008F2269" w:rsidRPr="008F4C42" w:rsidRDefault="008F2269" w:rsidP="008F2269">
      <w:pPr>
        <w:pStyle w:val="Paragraphedeliste"/>
        <w:numPr>
          <w:ilvl w:val="2"/>
          <w:numId w:val="117"/>
        </w:numPr>
        <w:suppressAutoHyphens/>
        <w:autoSpaceDN w:val="0"/>
        <w:spacing w:line="240" w:lineRule="auto"/>
        <w:jc w:val="both"/>
        <w:textAlignment w:val="baseline"/>
        <w:rPr>
          <w:rFonts w:eastAsia="Verdana" w:cstheme="minorHAnsi"/>
          <w:b/>
          <w:bCs/>
        </w:rPr>
      </w:pPr>
      <w:r w:rsidRPr="008F4C42">
        <w:rPr>
          <w:rFonts w:eastAsia="Verdana" w:cstheme="minorHAnsi"/>
          <w:b/>
          <w:bCs/>
        </w:rPr>
        <w:t xml:space="preserve">SNADEA 2022-2030 : </w:t>
      </w:r>
    </w:p>
    <w:p w14:paraId="332746C3" w14:textId="77777777" w:rsidR="008F2269" w:rsidRDefault="008F2269" w:rsidP="008F2269">
      <w:pPr>
        <w:jc w:val="both"/>
        <w:rPr>
          <w:rFonts w:cstheme="minorHAnsi"/>
          <w:bCs/>
        </w:rPr>
      </w:pPr>
      <w:r w:rsidRPr="00C31E63">
        <w:rPr>
          <w:rFonts w:cstheme="minorHAnsi"/>
          <w:bCs/>
        </w:rPr>
        <w:t>La SNADEA</w:t>
      </w:r>
      <w:r>
        <w:rPr>
          <w:rFonts w:cstheme="minorHAnsi"/>
          <w:bCs/>
        </w:rPr>
        <w:t xml:space="preserve"> (2022-2030)</w:t>
      </w:r>
      <w:r w:rsidRPr="00C31E63">
        <w:rPr>
          <w:rFonts w:cstheme="minorHAnsi"/>
          <w:bCs/>
        </w:rPr>
        <w:t xml:space="preserve"> comporte</w:t>
      </w:r>
      <w:r w:rsidRPr="00B60533">
        <w:rPr>
          <w:rFonts w:cstheme="minorHAnsi"/>
          <w:bCs/>
        </w:rPr>
        <w:t xml:space="preserve"> plus de 80</w:t>
      </w:r>
      <w:r w:rsidRPr="00C31E63">
        <w:rPr>
          <w:rFonts w:cstheme="minorHAnsi"/>
          <w:bCs/>
        </w:rPr>
        <w:t xml:space="preserve"> </w:t>
      </w:r>
      <w:r>
        <w:rPr>
          <w:rFonts w:cstheme="minorHAnsi"/>
          <w:bCs/>
        </w:rPr>
        <w:t>actions (</w:t>
      </w:r>
      <w:r w:rsidRPr="00C31E63">
        <w:rPr>
          <w:rFonts w:cstheme="minorHAnsi"/>
          <w:bCs/>
        </w:rPr>
        <w:t xml:space="preserve">Voir point 3.2 et </w:t>
      </w:r>
      <w:r>
        <w:rPr>
          <w:rFonts w:cstheme="minorHAnsi"/>
          <w:bCs/>
        </w:rPr>
        <w:t xml:space="preserve">Annexe 1 : </w:t>
      </w:r>
      <w:r w:rsidRPr="00C31E63">
        <w:rPr>
          <w:rFonts w:cstheme="minorHAnsi"/>
          <w:bCs/>
        </w:rPr>
        <w:t>Cadre harmonisé d’Analyse des stratégies/plans sectoriels face aux enjeux du changement climatique</w:t>
      </w:r>
      <w:r>
        <w:rPr>
          <w:rFonts w:cstheme="minorHAnsi"/>
          <w:bCs/>
        </w:rPr>
        <w:t>).</w:t>
      </w:r>
    </w:p>
    <w:p w14:paraId="04D2796A" w14:textId="77777777" w:rsidR="008F2269" w:rsidRDefault="008F2269" w:rsidP="008F2269">
      <w:pPr>
        <w:jc w:val="both"/>
        <w:rPr>
          <w:rFonts w:eastAsia="Verdana" w:cstheme="minorHAnsi"/>
        </w:rPr>
      </w:pPr>
      <w:r w:rsidRPr="000543DD">
        <w:rPr>
          <w:rFonts w:eastAsia="Verdana" w:cstheme="minorHAnsi"/>
        </w:rPr>
        <w:t>Elle est développée en 4 axes stratégiques d’intervention, à savoir la gestion des</w:t>
      </w:r>
      <w:r>
        <w:rPr>
          <w:rFonts w:eastAsia="Verdana" w:cstheme="minorHAnsi"/>
        </w:rPr>
        <w:t xml:space="preserve"> ressources en eau (axe </w:t>
      </w:r>
      <w:r w:rsidRPr="000543DD">
        <w:rPr>
          <w:rFonts w:eastAsia="Verdana" w:cstheme="minorHAnsi"/>
        </w:rPr>
        <w:t>1), l’accès à l’eau (axe 2</w:t>
      </w:r>
      <w:r>
        <w:rPr>
          <w:rFonts w:eastAsia="Verdana" w:cstheme="minorHAnsi"/>
        </w:rPr>
        <w:t>)</w:t>
      </w:r>
      <w:r w:rsidRPr="000543DD">
        <w:rPr>
          <w:rFonts w:eastAsia="Verdana" w:cstheme="minorHAnsi"/>
        </w:rPr>
        <w:t>, l’assainissement (axe 3) et la</w:t>
      </w:r>
      <w:r>
        <w:rPr>
          <w:rFonts w:eastAsia="Verdana" w:cstheme="minorHAnsi"/>
        </w:rPr>
        <w:t xml:space="preserve"> </w:t>
      </w:r>
      <w:r w:rsidRPr="000543DD">
        <w:rPr>
          <w:rFonts w:eastAsia="Verdana" w:cstheme="minorHAnsi"/>
        </w:rPr>
        <w:t>gouvernance sectorielle (axe 4). La résilience au changement climatique sera</w:t>
      </w:r>
      <w:r>
        <w:rPr>
          <w:rFonts w:eastAsia="Verdana" w:cstheme="minorHAnsi"/>
        </w:rPr>
        <w:t xml:space="preserve"> </w:t>
      </w:r>
      <w:r w:rsidRPr="000543DD">
        <w:rPr>
          <w:rFonts w:eastAsia="Verdana" w:cstheme="minorHAnsi"/>
        </w:rPr>
        <w:t>intégrée de manière transversale et comprendra des éléments de réduction des</w:t>
      </w:r>
      <w:r>
        <w:rPr>
          <w:rFonts w:eastAsia="Verdana" w:cstheme="minorHAnsi"/>
        </w:rPr>
        <w:t xml:space="preserve"> </w:t>
      </w:r>
      <w:r w:rsidRPr="000543DD">
        <w:rPr>
          <w:rFonts w:eastAsia="Verdana" w:cstheme="minorHAnsi"/>
        </w:rPr>
        <w:t>risques de catastrophes, d´atténuation et d’adaptation au changement climatique,</w:t>
      </w:r>
      <w:r>
        <w:rPr>
          <w:rFonts w:eastAsia="Verdana" w:cstheme="minorHAnsi"/>
        </w:rPr>
        <w:t xml:space="preserve"> </w:t>
      </w:r>
      <w:r w:rsidRPr="000543DD">
        <w:rPr>
          <w:rFonts w:eastAsia="Verdana" w:cstheme="minorHAnsi"/>
        </w:rPr>
        <w:t>à chaque fois que les données ou les connaissances disponibles le permettent. Ces</w:t>
      </w:r>
      <w:r>
        <w:rPr>
          <w:rFonts w:eastAsia="Verdana" w:cstheme="minorHAnsi"/>
        </w:rPr>
        <w:t xml:space="preserve"> </w:t>
      </w:r>
      <w:r w:rsidRPr="000543DD">
        <w:rPr>
          <w:rFonts w:eastAsia="Verdana" w:cstheme="minorHAnsi"/>
        </w:rPr>
        <w:t>axes sont traduits en Objectifs Spécifiques (OS) comme suit :</w:t>
      </w:r>
    </w:p>
    <w:p w14:paraId="1988916E" w14:textId="77777777" w:rsidR="008F2269" w:rsidRDefault="008F2269" w:rsidP="008F2269">
      <w:pPr>
        <w:pStyle w:val="Paragraphedeliste"/>
        <w:numPr>
          <w:ilvl w:val="0"/>
          <w:numId w:val="127"/>
        </w:numPr>
        <w:suppressAutoHyphens/>
        <w:autoSpaceDN w:val="0"/>
        <w:spacing w:line="240" w:lineRule="auto"/>
        <w:jc w:val="both"/>
        <w:textAlignment w:val="baseline"/>
        <w:rPr>
          <w:rFonts w:eastAsia="Verdana" w:cstheme="minorHAnsi"/>
        </w:rPr>
      </w:pPr>
      <w:r w:rsidRPr="000543DD">
        <w:rPr>
          <w:rFonts w:eastAsia="Verdana" w:cstheme="minorHAnsi"/>
        </w:rPr>
        <w:t>OS 1 : instaurer une gestion intégrée des ressources en eau</w:t>
      </w:r>
      <w:r>
        <w:rPr>
          <w:rFonts w:eastAsia="Verdana" w:cstheme="minorHAnsi"/>
        </w:rPr>
        <w:t> ;</w:t>
      </w:r>
    </w:p>
    <w:p w14:paraId="273FEC19" w14:textId="77777777" w:rsidR="008F2269" w:rsidRDefault="008F2269" w:rsidP="008F2269">
      <w:pPr>
        <w:pStyle w:val="Paragraphedeliste"/>
        <w:numPr>
          <w:ilvl w:val="0"/>
          <w:numId w:val="127"/>
        </w:numPr>
        <w:suppressAutoHyphens/>
        <w:autoSpaceDN w:val="0"/>
        <w:spacing w:line="240" w:lineRule="auto"/>
        <w:jc w:val="both"/>
        <w:textAlignment w:val="baseline"/>
        <w:rPr>
          <w:rFonts w:eastAsia="Verdana" w:cstheme="minorHAnsi"/>
        </w:rPr>
      </w:pPr>
      <w:r w:rsidRPr="000543DD">
        <w:rPr>
          <w:rFonts w:eastAsia="Verdana" w:cstheme="minorHAnsi"/>
        </w:rPr>
        <w:t>OS 2 : Améliorer l’accès à l’eau pour tous les usages</w:t>
      </w:r>
      <w:r>
        <w:rPr>
          <w:rFonts w:eastAsia="Verdana" w:cstheme="minorHAnsi"/>
        </w:rPr>
        <w:t> ;</w:t>
      </w:r>
    </w:p>
    <w:p w14:paraId="5A514B54" w14:textId="77777777" w:rsidR="008F2269" w:rsidRDefault="008F2269" w:rsidP="008F2269">
      <w:pPr>
        <w:pStyle w:val="Paragraphedeliste"/>
        <w:numPr>
          <w:ilvl w:val="0"/>
          <w:numId w:val="127"/>
        </w:numPr>
        <w:suppressAutoHyphens/>
        <w:autoSpaceDN w:val="0"/>
        <w:spacing w:line="240" w:lineRule="auto"/>
        <w:jc w:val="both"/>
        <w:textAlignment w:val="baseline"/>
        <w:rPr>
          <w:rFonts w:eastAsia="Verdana" w:cstheme="minorHAnsi"/>
        </w:rPr>
      </w:pPr>
      <w:r w:rsidRPr="000543DD">
        <w:rPr>
          <w:rFonts w:eastAsia="Verdana" w:cstheme="minorHAnsi"/>
        </w:rPr>
        <w:t>OS 3 : Améliorer l’accès à l’assainissement</w:t>
      </w:r>
      <w:r>
        <w:rPr>
          <w:rFonts w:eastAsia="Verdana" w:cstheme="minorHAnsi"/>
        </w:rPr>
        <w:t> ;</w:t>
      </w:r>
    </w:p>
    <w:p w14:paraId="7BC3C3F5" w14:textId="77777777" w:rsidR="008F2269" w:rsidRDefault="008F2269" w:rsidP="008F2269">
      <w:pPr>
        <w:pStyle w:val="Paragraphedeliste"/>
        <w:numPr>
          <w:ilvl w:val="0"/>
          <w:numId w:val="127"/>
        </w:numPr>
        <w:suppressAutoHyphens/>
        <w:autoSpaceDN w:val="0"/>
        <w:spacing w:line="240" w:lineRule="auto"/>
        <w:jc w:val="both"/>
        <w:textAlignment w:val="baseline"/>
        <w:rPr>
          <w:rFonts w:eastAsia="Verdana" w:cstheme="minorHAnsi"/>
        </w:rPr>
      </w:pPr>
      <w:r w:rsidRPr="000543DD">
        <w:rPr>
          <w:rFonts w:eastAsia="Verdana" w:cstheme="minorHAnsi"/>
        </w:rPr>
        <w:t>OS 4 : Accro</w:t>
      </w:r>
      <w:r>
        <w:rPr>
          <w:rFonts w:eastAsia="Verdana" w:cstheme="minorHAnsi"/>
        </w:rPr>
        <w:t>î</w:t>
      </w:r>
      <w:r w:rsidRPr="000543DD">
        <w:rPr>
          <w:rFonts w:eastAsia="Verdana" w:cstheme="minorHAnsi"/>
        </w:rPr>
        <w:t>tre la durabilité, l’efficience et les investissements du secteur</w:t>
      </w:r>
      <w:r>
        <w:rPr>
          <w:rFonts w:eastAsia="Verdana" w:cstheme="minorHAnsi"/>
        </w:rPr>
        <w:t>.</w:t>
      </w:r>
    </w:p>
    <w:p w14:paraId="2041842B" w14:textId="77777777" w:rsidR="008F2269" w:rsidRPr="000543DD" w:rsidRDefault="008F2269" w:rsidP="008F2269">
      <w:pPr>
        <w:jc w:val="both"/>
        <w:rPr>
          <w:rFonts w:eastAsia="Verdana" w:cstheme="minorHAnsi"/>
        </w:rPr>
      </w:pPr>
      <w:r w:rsidRPr="000543DD">
        <w:rPr>
          <w:rFonts w:eastAsia="Verdana" w:cstheme="minorHAnsi"/>
        </w:rPr>
        <w:t>D’une manière générale, la stratégie 2030 évolue par rapport aux précédentes</w:t>
      </w:r>
      <w:r>
        <w:rPr>
          <w:rFonts w:eastAsia="Verdana" w:cstheme="minorHAnsi"/>
        </w:rPr>
        <w:t xml:space="preserve"> </w:t>
      </w:r>
      <w:r w:rsidRPr="000543DD">
        <w:rPr>
          <w:rFonts w:eastAsia="Verdana" w:cstheme="minorHAnsi"/>
        </w:rPr>
        <w:t>stratégies sectorielles dans le sens d’une plus grande prise en compte :</w:t>
      </w:r>
    </w:p>
    <w:p w14:paraId="0C782A55" w14:textId="77777777" w:rsidR="008F2269" w:rsidRDefault="008F2269" w:rsidP="008F2269">
      <w:pPr>
        <w:pStyle w:val="Paragraphedeliste"/>
        <w:numPr>
          <w:ilvl w:val="0"/>
          <w:numId w:val="131"/>
        </w:numPr>
        <w:suppressAutoHyphens/>
        <w:autoSpaceDN w:val="0"/>
        <w:spacing w:line="240" w:lineRule="auto"/>
        <w:jc w:val="both"/>
        <w:textAlignment w:val="baseline"/>
        <w:rPr>
          <w:rFonts w:eastAsia="Verdana" w:cstheme="minorHAnsi"/>
        </w:rPr>
      </w:pPr>
      <w:r w:rsidRPr="000543DD">
        <w:rPr>
          <w:rFonts w:eastAsia="Verdana" w:cstheme="minorHAnsi"/>
        </w:rPr>
        <w:t>De la connaissance, de la protection et de la mobilisation des eaux de surface</w:t>
      </w:r>
      <w:r>
        <w:rPr>
          <w:rFonts w:eastAsia="Verdana" w:cstheme="minorHAnsi"/>
        </w:rPr>
        <w:t xml:space="preserve"> </w:t>
      </w:r>
      <w:r w:rsidRPr="000543DD">
        <w:rPr>
          <w:rFonts w:eastAsia="Verdana" w:cstheme="minorHAnsi"/>
        </w:rPr>
        <w:t>pour tous les usages (AEP, développement agricole, élevage et industrie) ;</w:t>
      </w:r>
    </w:p>
    <w:p w14:paraId="78FCC801" w14:textId="77777777" w:rsidR="008F2269" w:rsidRDefault="008F2269" w:rsidP="008F2269">
      <w:pPr>
        <w:pStyle w:val="Paragraphedeliste"/>
        <w:numPr>
          <w:ilvl w:val="0"/>
          <w:numId w:val="131"/>
        </w:numPr>
        <w:suppressAutoHyphens/>
        <w:autoSpaceDN w:val="0"/>
        <w:spacing w:line="240" w:lineRule="auto"/>
        <w:jc w:val="both"/>
        <w:textAlignment w:val="baseline"/>
        <w:rPr>
          <w:rFonts w:eastAsia="Verdana" w:cstheme="minorHAnsi"/>
        </w:rPr>
      </w:pPr>
      <w:r w:rsidRPr="000543DD">
        <w:rPr>
          <w:rFonts w:eastAsia="Verdana" w:cstheme="minorHAnsi"/>
        </w:rPr>
        <w:t>De la connaissance, du suivi et de la protection des ressources en eau</w:t>
      </w:r>
      <w:r>
        <w:rPr>
          <w:rFonts w:eastAsia="Verdana" w:cstheme="minorHAnsi"/>
        </w:rPr>
        <w:t xml:space="preserve"> </w:t>
      </w:r>
      <w:r w:rsidRPr="000543DD">
        <w:rPr>
          <w:rFonts w:eastAsia="Verdana" w:cstheme="minorHAnsi"/>
        </w:rPr>
        <w:t>souterraines et de surface ;</w:t>
      </w:r>
    </w:p>
    <w:p w14:paraId="1491D95C" w14:textId="77777777" w:rsidR="008F2269" w:rsidRPr="000543DD" w:rsidRDefault="008F2269" w:rsidP="008F2269">
      <w:pPr>
        <w:pStyle w:val="Paragraphedeliste"/>
        <w:numPr>
          <w:ilvl w:val="0"/>
          <w:numId w:val="131"/>
        </w:numPr>
        <w:suppressAutoHyphens/>
        <w:autoSpaceDN w:val="0"/>
        <w:spacing w:line="240" w:lineRule="auto"/>
        <w:jc w:val="both"/>
        <w:textAlignment w:val="baseline"/>
        <w:rPr>
          <w:rFonts w:eastAsia="Verdana" w:cstheme="minorHAnsi"/>
        </w:rPr>
      </w:pPr>
      <w:r w:rsidRPr="000543DD">
        <w:rPr>
          <w:rFonts w:eastAsia="Verdana" w:cstheme="minorHAnsi"/>
        </w:rPr>
        <w:t>D’un cadrage normatif des interventions dans le domaine de l’hydraulique et</w:t>
      </w:r>
      <w:r>
        <w:rPr>
          <w:rFonts w:eastAsia="Verdana" w:cstheme="minorHAnsi"/>
        </w:rPr>
        <w:t xml:space="preserve"> </w:t>
      </w:r>
      <w:r w:rsidRPr="000543DD">
        <w:rPr>
          <w:rFonts w:eastAsia="Verdana" w:cstheme="minorHAnsi"/>
        </w:rPr>
        <w:t>de l’assainissement ;</w:t>
      </w:r>
    </w:p>
    <w:p w14:paraId="3A4C4FCD" w14:textId="77777777" w:rsidR="008F2269" w:rsidRPr="000543DD" w:rsidRDefault="008F2269" w:rsidP="008F2269">
      <w:pPr>
        <w:pStyle w:val="Paragraphedeliste"/>
        <w:numPr>
          <w:ilvl w:val="0"/>
          <w:numId w:val="131"/>
        </w:numPr>
        <w:suppressAutoHyphens/>
        <w:autoSpaceDN w:val="0"/>
        <w:spacing w:line="240" w:lineRule="auto"/>
        <w:jc w:val="both"/>
        <w:textAlignment w:val="baseline"/>
        <w:rPr>
          <w:rFonts w:eastAsia="Verdana" w:cstheme="minorHAnsi"/>
        </w:rPr>
      </w:pPr>
      <w:r w:rsidRPr="000543DD">
        <w:rPr>
          <w:rFonts w:eastAsia="Verdana" w:cstheme="minorHAnsi"/>
        </w:rPr>
        <w:t>De la résilience du secteur au changement climatique ;</w:t>
      </w:r>
    </w:p>
    <w:p w14:paraId="1C9E39DA" w14:textId="77777777" w:rsidR="008F2269" w:rsidRPr="000543DD" w:rsidRDefault="008F2269" w:rsidP="008F2269">
      <w:pPr>
        <w:pStyle w:val="Paragraphedeliste"/>
        <w:numPr>
          <w:ilvl w:val="0"/>
          <w:numId w:val="131"/>
        </w:numPr>
        <w:suppressAutoHyphens/>
        <w:autoSpaceDN w:val="0"/>
        <w:spacing w:line="240" w:lineRule="auto"/>
        <w:jc w:val="both"/>
        <w:textAlignment w:val="baseline"/>
        <w:rPr>
          <w:rFonts w:eastAsia="Verdana" w:cstheme="minorHAnsi"/>
        </w:rPr>
      </w:pPr>
      <w:r w:rsidRPr="000543DD">
        <w:rPr>
          <w:rFonts w:eastAsia="Verdana" w:cstheme="minorHAnsi"/>
        </w:rPr>
        <w:t>Du développement des capacités des différentes directions techniques du</w:t>
      </w:r>
      <w:r>
        <w:rPr>
          <w:rFonts w:eastAsia="Verdana" w:cstheme="minorHAnsi"/>
        </w:rPr>
        <w:t xml:space="preserve"> </w:t>
      </w:r>
      <w:r w:rsidRPr="000543DD">
        <w:rPr>
          <w:rFonts w:eastAsia="Verdana" w:cstheme="minorHAnsi"/>
        </w:rPr>
        <w:t>Ministère.</w:t>
      </w:r>
    </w:p>
    <w:p w14:paraId="7D1E1385" w14:textId="77777777" w:rsidR="008F2269" w:rsidRDefault="008F2269" w:rsidP="008F2269">
      <w:pPr>
        <w:jc w:val="both"/>
        <w:rPr>
          <w:rFonts w:eastAsia="Verdana" w:cstheme="minorHAnsi"/>
        </w:rPr>
      </w:pPr>
      <w:r w:rsidRPr="00A36E4C">
        <w:rPr>
          <w:rFonts w:eastAsia="Verdana" w:cstheme="minorHAnsi"/>
          <w:b/>
          <w:bCs/>
        </w:rPr>
        <w:t>Résultats attendus pour l’OS 1</w:t>
      </w:r>
      <w:r w:rsidRPr="00A36BEE">
        <w:rPr>
          <w:rFonts w:eastAsia="Verdana" w:cstheme="minorHAnsi"/>
        </w:rPr>
        <w:t xml:space="preserve"> : instaurer une gestion intégrée des ressources en eau la connaissance sur les ressources en eau de surface est améliorée par la réalisation ; i) d’un inventaire détaillé des zones humides continentales du pays, lacs, mares, barrages, digues…, permettant de préciser leur rôle sur le plan écologique et pour le développement des activités socioéconomiques qu’ils génèrent et ii) d’un atlas hydrologique de Mauritanie pour disposer des données hydrologiques de base ainsi que les usages de l’eau sur l’ensemble des bassins versants de Mauritanie. L’ouvrage servira de base pour l’identification de sites potentiels de retenues et barrages et pour les études hydrologiques des ouvrages. Il devra être cohérent avec le Plan Directeur d’Aménagement et de Gestion des Eaux intégré dans l’OS 4.</w:t>
      </w:r>
    </w:p>
    <w:p w14:paraId="05DFBF6B" w14:textId="77777777" w:rsidR="008F2269" w:rsidRDefault="008F2269" w:rsidP="008F2269">
      <w:pPr>
        <w:jc w:val="both"/>
        <w:rPr>
          <w:rFonts w:eastAsia="Verdana" w:cstheme="minorHAnsi"/>
        </w:rPr>
      </w:pPr>
      <w:r w:rsidRPr="00A36BEE">
        <w:rPr>
          <w:rFonts w:eastAsia="Verdana" w:cstheme="minorHAnsi"/>
        </w:rPr>
        <w:t>.</w:t>
      </w:r>
      <w:r w:rsidRPr="00A36BEE">
        <w:rPr>
          <w:rFonts w:eastAsia="Verdana" w:cstheme="minorHAnsi"/>
          <w:b/>
          <w:bCs/>
        </w:rPr>
        <w:t>Résultat R1.2</w:t>
      </w:r>
      <w:r w:rsidRPr="00A36BEE">
        <w:rPr>
          <w:rFonts w:eastAsia="Verdana" w:cstheme="minorHAnsi"/>
        </w:rPr>
        <w:t xml:space="preserve"> - le suivi et la protection des ressources en eau de surface sont</w:t>
      </w:r>
      <w:r>
        <w:rPr>
          <w:rFonts w:eastAsia="Verdana" w:cstheme="minorHAnsi"/>
        </w:rPr>
        <w:t xml:space="preserve"> </w:t>
      </w:r>
      <w:r w:rsidRPr="00A36BEE">
        <w:rPr>
          <w:rFonts w:eastAsia="Verdana" w:cstheme="minorHAnsi"/>
        </w:rPr>
        <w:t>améliorés par i) la mise en place d’un r</w:t>
      </w:r>
      <w:r>
        <w:rPr>
          <w:rFonts w:eastAsia="Verdana" w:cstheme="minorHAnsi"/>
        </w:rPr>
        <w:t xml:space="preserve">éseau hydrométrique de suivi par </w:t>
      </w:r>
      <w:r w:rsidRPr="00A36BEE">
        <w:rPr>
          <w:rFonts w:eastAsia="Verdana" w:cstheme="minorHAnsi"/>
        </w:rPr>
        <w:t>télémétrie des eaux de surface sur 15 sites stratégiques ; ii) le développement</w:t>
      </w:r>
      <w:r>
        <w:rPr>
          <w:rFonts w:eastAsia="Verdana" w:cstheme="minorHAnsi"/>
        </w:rPr>
        <w:t xml:space="preserve"> </w:t>
      </w:r>
      <w:r w:rsidRPr="00A36BEE">
        <w:rPr>
          <w:rFonts w:eastAsia="Verdana" w:cstheme="minorHAnsi"/>
        </w:rPr>
        <w:t>d’une base de données hydrologique intersectorielle iii) l’étude et l’établissement</w:t>
      </w:r>
      <w:r>
        <w:rPr>
          <w:rFonts w:eastAsia="Verdana" w:cstheme="minorHAnsi"/>
        </w:rPr>
        <w:t xml:space="preserve"> </w:t>
      </w:r>
      <w:r w:rsidRPr="00A36BEE">
        <w:rPr>
          <w:rFonts w:eastAsia="Verdana" w:cstheme="minorHAnsi"/>
        </w:rPr>
        <w:t>des périmètres de protection des zones de captage des eaux de surface (10</w:t>
      </w:r>
      <w:r>
        <w:rPr>
          <w:rFonts w:eastAsia="Verdana" w:cstheme="minorHAnsi"/>
        </w:rPr>
        <w:t xml:space="preserve"> </w:t>
      </w:r>
      <w:r w:rsidRPr="00A36BEE">
        <w:rPr>
          <w:rFonts w:eastAsia="Verdana" w:cstheme="minorHAnsi"/>
        </w:rPr>
        <w:t>sites) ; iv) l’élaboration d’un schéma d'aménagement des ressources en eau du</w:t>
      </w:r>
      <w:r>
        <w:rPr>
          <w:rFonts w:eastAsia="Verdana" w:cstheme="minorHAnsi"/>
        </w:rPr>
        <w:t xml:space="preserve"> </w:t>
      </w:r>
      <w:r w:rsidRPr="00A36BEE">
        <w:rPr>
          <w:rFonts w:eastAsia="Verdana" w:cstheme="minorHAnsi"/>
        </w:rPr>
        <w:t>bassin versant du barrage de Foum Gleita ; v) l’étude de la recharge artificielle</w:t>
      </w:r>
      <w:r>
        <w:rPr>
          <w:rFonts w:eastAsia="Verdana" w:cstheme="minorHAnsi"/>
        </w:rPr>
        <w:t xml:space="preserve"> </w:t>
      </w:r>
      <w:r w:rsidRPr="00A36BEE">
        <w:rPr>
          <w:rFonts w:eastAsia="Verdana" w:cstheme="minorHAnsi"/>
        </w:rPr>
        <w:t>des nappes sur des bassins versants expérimentaux, sur 10 sites en zones arides</w:t>
      </w:r>
      <w:r>
        <w:rPr>
          <w:rFonts w:eastAsia="Verdana" w:cstheme="minorHAnsi"/>
        </w:rPr>
        <w:t xml:space="preserve"> </w:t>
      </w:r>
      <w:r w:rsidRPr="00A36BEE">
        <w:rPr>
          <w:rFonts w:eastAsia="Verdana" w:cstheme="minorHAnsi"/>
        </w:rPr>
        <w:t>et semi-arides (seuils, barrages souterrains) ; vi) la réalisation des</w:t>
      </w:r>
      <w:r>
        <w:rPr>
          <w:rFonts w:eastAsia="Verdana" w:cstheme="minorHAnsi"/>
        </w:rPr>
        <w:t xml:space="preserve"> </w:t>
      </w:r>
      <w:r w:rsidRPr="00A36BEE">
        <w:rPr>
          <w:rFonts w:eastAsia="Verdana" w:cstheme="minorHAnsi"/>
        </w:rPr>
        <w:t>aménagements de recharge de nappe sur les 10 sites étudiés.</w:t>
      </w:r>
    </w:p>
    <w:p w14:paraId="73BF2723" w14:textId="77777777" w:rsidR="008F2269" w:rsidRDefault="008F2269" w:rsidP="008F2269">
      <w:pPr>
        <w:jc w:val="both"/>
        <w:rPr>
          <w:rFonts w:eastAsia="Verdana" w:cstheme="minorHAnsi"/>
        </w:rPr>
      </w:pPr>
      <w:r w:rsidRPr="00A36E4C">
        <w:rPr>
          <w:rFonts w:eastAsia="Verdana" w:cstheme="minorHAnsi"/>
          <w:b/>
          <w:bCs/>
        </w:rPr>
        <w:t>Résultat R1.3</w:t>
      </w:r>
      <w:r w:rsidRPr="00A36BEE">
        <w:rPr>
          <w:rFonts w:eastAsia="Verdana" w:cstheme="minorHAnsi"/>
        </w:rPr>
        <w:t xml:space="preserve"> : la connaissance des eaux souterraines est améliorée par i) la</w:t>
      </w:r>
      <w:r>
        <w:rPr>
          <w:rFonts w:eastAsia="Verdana" w:cstheme="minorHAnsi"/>
        </w:rPr>
        <w:t xml:space="preserve"> </w:t>
      </w:r>
      <w:r w:rsidRPr="00A36BEE">
        <w:rPr>
          <w:rFonts w:eastAsia="Verdana" w:cstheme="minorHAnsi"/>
        </w:rPr>
        <w:t>réalisation d’études hydrogéologiques régionales à partir d’une synthèse des</w:t>
      </w:r>
      <w:r>
        <w:rPr>
          <w:rFonts w:eastAsia="Verdana" w:cstheme="minorHAnsi"/>
        </w:rPr>
        <w:t xml:space="preserve"> </w:t>
      </w:r>
      <w:r w:rsidRPr="00A36BEE">
        <w:rPr>
          <w:rFonts w:eastAsia="Verdana" w:cstheme="minorHAnsi"/>
        </w:rPr>
        <w:t>données collectées depuis 15 ans par la mobilisation des ressources en eau</w:t>
      </w:r>
      <w:r>
        <w:rPr>
          <w:rFonts w:eastAsia="Verdana" w:cstheme="minorHAnsi"/>
        </w:rPr>
        <w:t xml:space="preserve"> </w:t>
      </w:r>
      <w:r w:rsidRPr="00A36BEE">
        <w:rPr>
          <w:rFonts w:eastAsia="Verdana" w:cstheme="minorHAnsi"/>
        </w:rPr>
        <w:t>souterraines ; ii) la réalisation de forages de reconnaissance dans des zones non</w:t>
      </w:r>
      <w:r>
        <w:rPr>
          <w:rFonts w:eastAsia="Verdana" w:cstheme="minorHAnsi"/>
        </w:rPr>
        <w:t xml:space="preserve"> </w:t>
      </w:r>
      <w:r w:rsidRPr="00A36BEE">
        <w:rPr>
          <w:rFonts w:eastAsia="Verdana" w:cstheme="minorHAnsi"/>
        </w:rPr>
        <w:t>ou peu connues, à savoir le bassin de Taoudeni (5 forages), l’Aouker (10 forages),</w:t>
      </w:r>
      <w:r>
        <w:rPr>
          <w:rFonts w:eastAsia="Verdana" w:cstheme="minorHAnsi"/>
        </w:rPr>
        <w:t xml:space="preserve"> </w:t>
      </w:r>
      <w:r w:rsidRPr="00A36BEE">
        <w:rPr>
          <w:rFonts w:eastAsia="Verdana" w:cstheme="minorHAnsi"/>
        </w:rPr>
        <w:t>les grès d’Aioun (6 forages).</w:t>
      </w:r>
    </w:p>
    <w:p w14:paraId="074D5D8F" w14:textId="77777777" w:rsidR="008F2269" w:rsidRDefault="008F2269" w:rsidP="008F2269">
      <w:pPr>
        <w:jc w:val="both"/>
        <w:rPr>
          <w:rFonts w:eastAsia="Verdana" w:cstheme="minorHAnsi"/>
        </w:rPr>
      </w:pPr>
      <w:r w:rsidRPr="00A36E4C">
        <w:rPr>
          <w:rFonts w:eastAsia="Verdana" w:cstheme="minorHAnsi"/>
          <w:b/>
          <w:bCs/>
        </w:rPr>
        <w:t>Résultat R1.4</w:t>
      </w:r>
      <w:r w:rsidRPr="00A36E4C">
        <w:rPr>
          <w:rFonts w:eastAsia="Verdana" w:cstheme="minorHAnsi"/>
        </w:rPr>
        <w:t xml:space="preserve"> : le suivi et la protection des eaux souterraines sont améliorés</w:t>
      </w:r>
      <w:r>
        <w:rPr>
          <w:rFonts w:eastAsia="Verdana" w:cstheme="minorHAnsi"/>
        </w:rPr>
        <w:t xml:space="preserve"> </w:t>
      </w:r>
      <w:r w:rsidRPr="00A36E4C">
        <w:rPr>
          <w:rFonts w:eastAsia="Verdana" w:cstheme="minorHAnsi"/>
        </w:rPr>
        <w:t>par i) le renforcement du réseau des piézomètres existants (50 piézomètres) et</w:t>
      </w:r>
      <w:r>
        <w:rPr>
          <w:rFonts w:eastAsia="Verdana" w:cstheme="minorHAnsi"/>
        </w:rPr>
        <w:t xml:space="preserve"> </w:t>
      </w:r>
      <w:r w:rsidRPr="00A36E4C">
        <w:rPr>
          <w:rFonts w:eastAsia="Verdana" w:cstheme="minorHAnsi"/>
        </w:rPr>
        <w:t>leur équipement en systèmes de suivi par télémétrie ; ii) l’élaboration des</w:t>
      </w:r>
      <w:r>
        <w:rPr>
          <w:rFonts w:eastAsia="Verdana" w:cstheme="minorHAnsi"/>
        </w:rPr>
        <w:t xml:space="preserve"> </w:t>
      </w:r>
      <w:r w:rsidRPr="00A36E4C">
        <w:rPr>
          <w:rFonts w:eastAsia="Verdana" w:cstheme="minorHAnsi"/>
        </w:rPr>
        <w:t>modèles hydrodynamiques de la nappe phréatique de Nouakchott pour étudier sa</w:t>
      </w:r>
      <w:r>
        <w:rPr>
          <w:rFonts w:eastAsia="Verdana" w:cstheme="minorHAnsi"/>
        </w:rPr>
        <w:t xml:space="preserve"> </w:t>
      </w:r>
      <w:r w:rsidRPr="00A36E4C">
        <w:rPr>
          <w:rFonts w:eastAsia="Verdana" w:cstheme="minorHAnsi"/>
        </w:rPr>
        <w:t>vulnérabilité face aux risques d’inondation et des intrusions marines, et des</w:t>
      </w:r>
      <w:r>
        <w:rPr>
          <w:rFonts w:eastAsia="Verdana" w:cstheme="minorHAnsi"/>
        </w:rPr>
        <w:t xml:space="preserve"> </w:t>
      </w:r>
      <w:r w:rsidRPr="00A36E4C">
        <w:rPr>
          <w:rFonts w:eastAsia="Verdana" w:cstheme="minorHAnsi"/>
        </w:rPr>
        <w:t>nappes des grès d’Aioun, du Trarza , Boulanouar, B</w:t>
      </w:r>
      <w:r>
        <w:rPr>
          <w:rFonts w:eastAsia="Verdana" w:cstheme="minorHAnsi"/>
        </w:rPr>
        <w:t>é</w:t>
      </w:r>
      <w:r w:rsidRPr="00A36E4C">
        <w:rPr>
          <w:rFonts w:eastAsia="Verdana" w:cstheme="minorHAnsi"/>
        </w:rPr>
        <w:t>nichab et Dhar) pour anticiper</w:t>
      </w:r>
      <w:r>
        <w:rPr>
          <w:rFonts w:eastAsia="Verdana" w:cstheme="minorHAnsi"/>
        </w:rPr>
        <w:t xml:space="preserve"> </w:t>
      </w:r>
      <w:r w:rsidRPr="00A36E4C">
        <w:rPr>
          <w:rFonts w:eastAsia="Verdana" w:cstheme="minorHAnsi"/>
        </w:rPr>
        <w:t>l’évolution de leur exploitation ; iii) la délimitation et la mise en place des</w:t>
      </w:r>
      <w:r>
        <w:rPr>
          <w:rFonts w:eastAsia="Verdana" w:cstheme="minorHAnsi"/>
        </w:rPr>
        <w:t xml:space="preserve"> </w:t>
      </w:r>
      <w:r w:rsidRPr="00A36E4C">
        <w:rPr>
          <w:rFonts w:eastAsia="Verdana" w:cstheme="minorHAnsi"/>
        </w:rPr>
        <w:t>périmètres de protection de 25 champs captant exploités.</w:t>
      </w:r>
    </w:p>
    <w:p w14:paraId="3E0AE388" w14:textId="77777777" w:rsidR="008F2269" w:rsidRPr="00A36E4C" w:rsidRDefault="008F2269" w:rsidP="008F2269">
      <w:pPr>
        <w:jc w:val="both"/>
        <w:rPr>
          <w:rFonts w:eastAsia="Verdana" w:cstheme="minorHAnsi"/>
          <w:b/>
          <w:bCs/>
        </w:rPr>
      </w:pPr>
      <w:r w:rsidRPr="00A36E4C">
        <w:rPr>
          <w:rFonts w:eastAsia="Verdana" w:cstheme="minorHAnsi"/>
          <w:b/>
          <w:bCs/>
        </w:rPr>
        <w:t>Résultats attendus pour l’OS 2 : Améliorer l’accès à l’eau pour tous les usages</w:t>
      </w:r>
    </w:p>
    <w:p w14:paraId="42C7B52B" w14:textId="77777777" w:rsidR="008F2269" w:rsidRPr="00A36E4C" w:rsidRDefault="008F2269" w:rsidP="008F2269">
      <w:pPr>
        <w:spacing w:after="0" w:line="240" w:lineRule="auto"/>
        <w:contextualSpacing/>
        <w:jc w:val="both"/>
        <w:rPr>
          <w:rFonts w:eastAsia="Verdana" w:cstheme="minorHAnsi"/>
        </w:rPr>
      </w:pPr>
      <w:r w:rsidRPr="00A36E4C">
        <w:rPr>
          <w:rFonts w:eastAsia="Verdana" w:cstheme="minorHAnsi"/>
        </w:rPr>
        <w:t>Les résultats attendus et les actions à mettre en œuvre jusqu’en 2030 pour l’accès à</w:t>
      </w:r>
      <w:r>
        <w:rPr>
          <w:rFonts w:eastAsia="Verdana" w:cstheme="minorHAnsi"/>
        </w:rPr>
        <w:t xml:space="preserve"> </w:t>
      </w:r>
      <w:r w:rsidRPr="00A36E4C">
        <w:rPr>
          <w:rFonts w:eastAsia="Verdana" w:cstheme="minorHAnsi"/>
        </w:rPr>
        <w:t>l’eau potable sont partagés en un volet « rural », et un volet « urbain », concernant</w:t>
      </w:r>
      <w:r>
        <w:rPr>
          <w:rFonts w:eastAsia="Verdana" w:cstheme="minorHAnsi"/>
        </w:rPr>
        <w:t xml:space="preserve"> </w:t>
      </w:r>
      <w:r w:rsidRPr="00A36E4C">
        <w:rPr>
          <w:rFonts w:eastAsia="Verdana" w:cstheme="minorHAnsi"/>
        </w:rPr>
        <w:t>l’opérateur national. Les grands projets dits « structurants », mobilisant de grandes</w:t>
      </w:r>
      <w:r>
        <w:rPr>
          <w:rFonts w:eastAsia="Verdana" w:cstheme="minorHAnsi"/>
        </w:rPr>
        <w:t xml:space="preserve"> </w:t>
      </w:r>
      <w:r w:rsidRPr="00A36E4C">
        <w:rPr>
          <w:rFonts w:eastAsia="Verdana" w:cstheme="minorHAnsi"/>
        </w:rPr>
        <w:t>ressources en eau patrimoniales et les projets « classiques » mobilisant localement les</w:t>
      </w:r>
      <w:r>
        <w:rPr>
          <w:rFonts w:eastAsia="Verdana" w:cstheme="minorHAnsi"/>
        </w:rPr>
        <w:t xml:space="preserve"> </w:t>
      </w:r>
      <w:r w:rsidRPr="00A36E4C">
        <w:rPr>
          <w:rFonts w:eastAsia="Verdana" w:cstheme="minorHAnsi"/>
        </w:rPr>
        <w:t>eaux souterraines sont également distingués. Afin d’assurer la résilience de ces projets et</w:t>
      </w:r>
      <w:r>
        <w:rPr>
          <w:rFonts w:eastAsia="Verdana" w:cstheme="minorHAnsi"/>
        </w:rPr>
        <w:t xml:space="preserve"> </w:t>
      </w:r>
      <w:r w:rsidRPr="00A36E4C">
        <w:rPr>
          <w:rFonts w:eastAsia="Verdana" w:cstheme="minorHAnsi"/>
        </w:rPr>
        <w:t>des communautés bénéficiaires, face au changement climatique les études nécessaires</w:t>
      </w:r>
      <w:r>
        <w:rPr>
          <w:rFonts w:eastAsia="Verdana" w:cstheme="minorHAnsi"/>
        </w:rPr>
        <w:t xml:space="preserve"> </w:t>
      </w:r>
      <w:r w:rsidRPr="00A36E4C">
        <w:rPr>
          <w:rFonts w:eastAsia="Verdana" w:cstheme="minorHAnsi"/>
        </w:rPr>
        <w:t>seront menées lors de la phase de préparation de ces investissements.</w:t>
      </w:r>
    </w:p>
    <w:p w14:paraId="027E0785" w14:textId="77777777" w:rsidR="008F2269" w:rsidRPr="00A36E4C" w:rsidRDefault="008F2269" w:rsidP="008F2269">
      <w:pPr>
        <w:spacing w:after="0" w:line="240" w:lineRule="auto"/>
        <w:contextualSpacing/>
        <w:jc w:val="both"/>
        <w:rPr>
          <w:rFonts w:eastAsia="Verdana" w:cstheme="minorHAnsi"/>
        </w:rPr>
      </w:pPr>
      <w:r>
        <w:rPr>
          <w:rFonts w:eastAsia="Verdana" w:cstheme="minorHAnsi"/>
        </w:rPr>
        <w:t xml:space="preserve"> </w:t>
      </w:r>
      <w:r w:rsidRPr="00A36E4C">
        <w:rPr>
          <w:rFonts w:eastAsia="Verdana" w:cstheme="minorHAnsi"/>
          <w:b/>
          <w:bCs/>
        </w:rPr>
        <w:t>Résultat R2.1</w:t>
      </w:r>
      <w:r w:rsidRPr="00A36E4C">
        <w:rPr>
          <w:rFonts w:eastAsia="Verdana" w:cstheme="minorHAnsi"/>
        </w:rPr>
        <w:t xml:space="preserve"> : le taux de desserte en eau potable des localités rurales de plus</w:t>
      </w:r>
      <w:r>
        <w:rPr>
          <w:rFonts w:eastAsia="Verdana" w:cstheme="minorHAnsi"/>
        </w:rPr>
        <w:t xml:space="preserve"> </w:t>
      </w:r>
      <w:r w:rsidRPr="00A36E4C">
        <w:rPr>
          <w:rFonts w:eastAsia="Verdana" w:cstheme="minorHAnsi"/>
        </w:rPr>
        <w:t>de 150 habitants est porté à 100 %. Pour atteindre ce résultat, trois types</w:t>
      </w:r>
      <w:r>
        <w:rPr>
          <w:rFonts w:eastAsia="Verdana" w:cstheme="minorHAnsi"/>
        </w:rPr>
        <w:t xml:space="preserve"> </w:t>
      </w:r>
      <w:r w:rsidRPr="00A36E4C">
        <w:rPr>
          <w:rFonts w:eastAsia="Verdana" w:cstheme="minorHAnsi"/>
        </w:rPr>
        <w:t>d’intervention sont nécessaires ; i) l’équipement entre 2015 et 2030 de 3</w:t>
      </w:r>
      <w:r>
        <w:rPr>
          <w:rFonts w:eastAsia="Verdana" w:cstheme="minorHAnsi"/>
        </w:rPr>
        <w:t> </w:t>
      </w:r>
      <w:r w:rsidRPr="00A36E4C">
        <w:rPr>
          <w:rFonts w:eastAsia="Verdana" w:cstheme="minorHAnsi"/>
        </w:rPr>
        <w:t>000</w:t>
      </w:r>
      <w:r>
        <w:rPr>
          <w:rFonts w:eastAsia="Verdana" w:cstheme="minorHAnsi"/>
        </w:rPr>
        <w:t xml:space="preserve"> </w:t>
      </w:r>
      <w:r w:rsidRPr="00A36E4C">
        <w:rPr>
          <w:rFonts w:eastAsia="Verdana" w:cstheme="minorHAnsi"/>
        </w:rPr>
        <w:t>localités rurales de plus de 150 habitants non desservies hors projet structurant ;</w:t>
      </w:r>
      <w:r>
        <w:rPr>
          <w:rFonts w:eastAsia="Verdana" w:cstheme="minorHAnsi"/>
        </w:rPr>
        <w:t xml:space="preserve"> </w:t>
      </w:r>
      <w:r w:rsidRPr="00A36E4C">
        <w:rPr>
          <w:rFonts w:eastAsia="Verdana" w:cstheme="minorHAnsi"/>
        </w:rPr>
        <w:t>ii) l’équipement de 500 localités rurales à partir des projets structurants, iii) la</w:t>
      </w:r>
      <w:r>
        <w:rPr>
          <w:rFonts w:eastAsia="Verdana" w:cstheme="minorHAnsi"/>
        </w:rPr>
        <w:t xml:space="preserve"> </w:t>
      </w:r>
      <w:r w:rsidRPr="00A36E4C">
        <w:rPr>
          <w:rFonts w:eastAsia="Verdana" w:cstheme="minorHAnsi"/>
        </w:rPr>
        <w:t>réhabilitation ou la mise aux normes de 700 systèmes d’AEP existants, et iv) le</w:t>
      </w:r>
      <w:r>
        <w:rPr>
          <w:rFonts w:eastAsia="Verdana" w:cstheme="minorHAnsi"/>
        </w:rPr>
        <w:t xml:space="preserve"> </w:t>
      </w:r>
      <w:r w:rsidRPr="00A36E4C">
        <w:rPr>
          <w:rFonts w:eastAsia="Verdana" w:cstheme="minorHAnsi"/>
        </w:rPr>
        <w:t>développement des branchements privés y compris par subvention pour les</w:t>
      </w:r>
      <w:r>
        <w:rPr>
          <w:rFonts w:eastAsia="Verdana" w:cstheme="minorHAnsi"/>
        </w:rPr>
        <w:t xml:space="preserve"> </w:t>
      </w:r>
      <w:r w:rsidRPr="00A36E4C">
        <w:rPr>
          <w:rFonts w:eastAsia="Verdana" w:cstheme="minorHAnsi"/>
        </w:rPr>
        <w:t>ménages les plus pauvres, dont le coût est intégré dans les projets en cours et à</w:t>
      </w:r>
      <w:r>
        <w:rPr>
          <w:rFonts w:eastAsia="Verdana" w:cstheme="minorHAnsi"/>
        </w:rPr>
        <w:t xml:space="preserve"> </w:t>
      </w:r>
      <w:r w:rsidRPr="00A36E4C">
        <w:rPr>
          <w:rFonts w:eastAsia="Verdana" w:cstheme="minorHAnsi"/>
        </w:rPr>
        <w:t>venir.</w:t>
      </w:r>
    </w:p>
    <w:p w14:paraId="37F32513" w14:textId="77777777" w:rsidR="008F2269" w:rsidRPr="00A36E4C" w:rsidRDefault="008F2269" w:rsidP="008F2269">
      <w:pPr>
        <w:spacing w:after="0" w:line="240" w:lineRule="auto"/>
        <w:contextualSpacing/>
        <w:jc w:val="both"/>
        <w:rPr>
          <w:rFonts w:eastAsia="Verdana" w:cstheme="minorHAnsi"/>
        </w:rPr>
      </w:pPr>
      <w:r w:rsidRPr="00A36E4C">
        <w:rPr>
          <w:rFonts w:eastAsia="Verdana" w:cstheme="minorHAnsi"/>
          <w:b/>
          <w:bCs/>
        </w:rPr>
        <w:t>Résultat R2.2</w:t>
      </w:r>
      <w:r w:rsidRPr="00A36E4C">
        <w:rPr>
          <w:rFonts w:eastAsia="Verdana" w:cstheme="minorHAnsi"/>
        </w:rPr>
        <w:t xml:space="preserve"> Tous les établissements de soins et scolaires des localités équipées</w:t>
      </w:r>
      <w:r>
        <w:rPr>
          <w:rFonts w:eastAsia="Verdana" w:cstheme="minorHAnsi"/>
        </w:rPr>
        <w:t xml:space="preserve"> </w:t>
      </w:r>
      <w:r w:rsidRPr="00A36E4C">
        <w:rPr>
          <w:rFonts w:eastAsia="Verdana" w:cstheme="minorHAnsi"/>
        </w:rPr>
        <w:t>d’une AEP disposent d’eau potable. Ce résultat met en avant la nécessité de</w:t>
      </w:r>
      <w:r>
        <w:rPr>
          <w:rFonts w:eastAsia="Verdana" w:cstheme="minorHAnsi"/>
        </w:rPr>
        <w:t xml:space="preserve"> </w:t>
      </w:r>
      <w:r w:rsidRPr="00A36E4C">
        <w:rPr>
          <w:rFonts w:eastAsia="Verdana" w:cstheme="minorHAnsi"/>
        </w:rPr>
        <w:t>raccorder aux systèmes d’AEP les écoles, les postes et les centres de santé du</w:t>
      </w:r>
      <w:r>
        <w:rPr>
          <w:rFonts w:eastAsia="Verdana" w:cstheme="minorHAnsi"/>
        </w:rPr>
        <w:t xml:space="preserve"> </w:t>
      </w:r>
      <w:r w:rsidRPr="00A36E4C">
        <w:rPr>
          <w:rFonts w:eastAsia="Verdana" w:cstheme="minorHAnsi"/>
        </w:rPr>
        <w:t>pays. Le cout des interventions est intégré aux projets en cours et à venir.</w:t>
      </w:r>
    </w:p>
    <w:p w14:paraId="05E226BF" w14:textId="77777777" w:rsidR="008F2269" w:rsidRPr="00A36BEE" w:rsidRDefault="008F2269" w:rsidP="008F2269">
      <w:pPr>
        <w:spacing w:after="0" w:line="240" w:lineRule="auto"/>
        <w:contextualSpacing/>
        <w:jc w:val="both"/>
        <w:rPr>
          <w:rFonts w:eastAsia="Verdana" w:cstheme="minorHAnsi"/>
        </w:rPr>
      </w:pPr>
      <w:r w:rsidRPr="00D8672C">
        <w:rPr>
          <w:rFonts w:eastAsia="Verdana" w:cstheme="minorHAnsi"/>
          <w:b/>
          <w:bCs/>
        </w:rPr>
        <w:t>Résultat R2.3</w:t>
      </w:r>
      <w:r w:rsidRPr="00A36E4C">
        <w:rPr>
          <w:rFonts w:eastAsia="Verdana" w:cstheme="minorHAnsi"/>
        </w:rPr>
        <w:t xml:space="preserve"> : Le taux de raccordement en milieu urbain est porté à 100% par</w:t>
      </w:r>
      <w:r>
        <w:rPr>
          <w:rFonts w:eastAsia="Verdana" w:cstheme="minorHAnsi"/>
        </w:rPr>
        <w:t xml:space="preserve"> </w:t>
      </w:r>
      <w:r w:rsidRPr="00A36E4C">
        <w:rPr>
          <w:rFonts w:eastAsia="Verdana" w:cstheme="minorHAnsi"/>
        </w:rPr>
        <w:t>le renforcement des ressources en eau mobilisées, dont les eaux de mer pour</w:t>
      </w:r>
      <w:r>
        <w:rPr>
          <w:rFonts w:eastAsia="Verdana" w:cstheme="minorHAnsi"/>
        </w:rPr>
        <w:t xml:space="preserve"> </w:t>
      </w:r>
      <w:r w:rsidRPr="00A36E4C">
        <w:rPr>
          <w:rFonts w:eastAsia="Verdana" w:cstheme="minorHAnsi"/>
        </w:rPr>
        <w:t>Nouakchott et Nouadhibou, l’extension des réseaux d’AEP et la réalisation de</w:t>
      </w:r>
      <w:r>
        <w:rPr>
          <w:rFonts w:eastAsia="Verdana" w:cstheme="minorHAnsi"/>
        </w:rPr>
        <w:t xml:space="preserve"> </w:t>
      </w:r>
      <w:r w:rsidRPr="00A36E4C">
        <w:rPr>
          <w:rFonts w:eastAsia="Verdana" w:cstheme="minorHAnsi"/>
        </w:rPr>
        <w:t>branchements particuliers, le cas échéant subventionnés, notamment dans les</w:t>
      </w:r>
      <w:r>
        <w:rPr>
          <w:rFonts w:eastAsia="Verdana" w:cstheme="minorHAnsi"/>
        </w:rPr>
        <w:t xml:space="preserve"> </w:t>
      </w:r>
      <w:r w:rsidRPr="00A36E4C">
        <w:rPr>
          <w:rFonts w:eastAsia="Verdana" w:cstheme="minorHAnsi"/>
        </w:rPr>
        <w:t>zones périphériques.</w:t>
      </w:r>
    </w:p>
    <w:p w14:paraId="4FF51386" w14:textId="77777777" w:rsidR="008F2269" w:rsidRDefault="008F2269" w:rsidP="008F2269">
      <w:pPr>
        <w:pStyle w:val="Default"/>
        <w:contextualSpacing/>
        <w:jc w:val="both"/>
        <w:rPr>
          <w:rFonts w:asciiTheme="minorHAnsi" w:eastAsia="Verdana" w:hAnsiTheme="minorHAnsi" w:cstheme="minorHAnsi"/>
          <w:color w:val="auto"/>
          <w:sz w:val="22"/>
          <w:szCs w:val="22"/>
        </w:rPr>
      </w:pPr>
      <w:r w:rsidRPr="00D8672C">
        <w:rPr>
          <w:rFonts w:asciiTheme="minorHAnsi" w:eastAsia="Verdana" w:hAnsiTheme="minorHAnsi" w:cstheme="minorHAnsi"/>
          <w:color w:val="auto"/>
          <w:sz w:val="22"/>
          <w:szCs w:val="22"/>
        </w:rPr>
        <w:t>En ce qui concerne l’accès à l’eau pour les autres usages que l’eau potable, les résultats</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attendus sont largement liés aux interventions de la Direction de l’Hydrologie et des</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Barrages et des Départements concernés. Le plan d’action est divisé en une composante</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 aménagements hydro-agricoles » et une composante « aménagements hydro</w:t>
      </w:r>
      <w:r>
        <w:rPr>
          <w:rFonts w:asciiTheme="minorHAnsi" w:eastAsia="Verdana" w:hAnsiTheme="minorHAnsi" w:cstheme="minorHAnsi"/>
          <w:color w:val="auto"/>
          <w:sz w:val="22"/>
          <w:szCs w:val="22"/>
        </w:rPr>
        <w:t>-</w:t>
      </w:r>
      <w:r w:rsidRPr="00D8672C">
        <w:rPr>
          <w:rFonts w:asciiTheme="minorHAnsi" w:eastAsia="Verdana" w:hAnsiTheme="minorHAnsi" w:cstheme="minorHAnsi"/>
          <w:color w:val="auto"/>
          <w:sz w:val="22"/>
          <w:szCs w:val="22"/>
        </w:rPr>
        <w:t>pastoraux</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 Les modalités de gestion et de partage de l’eau entre les utilisateurs</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devront être précisées par bassin versant/aquifère donné.</w:t>
      </w:r>
    </w:p>
    <w:p w14:paraId="07FAE6FB" w14:textId="77777777" w:rsidR="008F2269" w:rsidRPr="00893E52" w:rsidRDefault="008F2269" w:rsidP="008F2269">
      <w:pPr>
        <w:pStyle w:val="Default"/>
        <w:contextualSpacing/>
        <w:jc w:val="both"/>
        <w:rPr>
          <w:rFonts w:asciiTheme="minorHAnsi" w:eastAsia="Verdana" w:hAnsiTheme="minorHAnsi" w:cstheme="minorHAnsi"/>
          <w:color w:val="auto"/>
          <w:sz w:val="14"/>
          <w:szCs w:val="14"/>
        </w:rPr>
      </w:pPr>
    </w:p>
    <w:p w14:paraId="3F7BE2DB" w14:textId="77777777" w:rsidR="008F2269" w:rsidRPr="00D8672C" w:rsidRDefault="008F2269" w:rsidP="008F2269">
      <w:pPr>
        <w:pStyle w:val="Default"/>
        <w:contextualSpacing/>
        <w:jc w:val="both"/>
        <w:outlineLvl w:val="0"/>
        <w:rPr>
          <w:rFonts w:asciiTheme="minorHAnsi" w:eastAsia="Verdana" w:hAnsiTheme="minorHAnsi" w:cstheme="minorHAnsi"/>
          <w:color w:val="auto"/>
          <w:sz w:val="22"/>
          <w:szCs w:val="22"/>
        </w:rPr>
      </w:pPr>
      <w:bookmarkStart w:id="158" w:name="_Toc180229556"/>
      <w:bookmarkStart w:id="159" w:name="_Toc180318688"/>
      <w:r w:rsidRPr="00D8672C">
        <w:rPr>
          <w:rFonts w:asciiTheme="minorHAnsi" w:eastAsia="Verdana" w:hAnsiTheme="minorHAnsi" w:cstheme="minorHAnsi"/>
          <w:color w:val="auto"/>
          <w:sz w:val="22"/>
          <w:szCs w:val="22"/>
        </w:rPr>
        <w:t>Les résultats attendus pour le volet « hydro-agricole » sont les suivants.</w:t>
      </w:r>
      <w:bookmarkEnd w:id="158"/>
      <w:bookmarkEnd w:id="159"/>
    </w:p>
    <w:p w14:paraId="0EBAC3D4" w14:textId="77777777" w:rsidR="008F2269" w:rsidRPr="00893E52" w:rsidRDefault="008F2269" w:rsidP="008F2269">
      <w:pPr>
        <w:pStyle w:val="Default"/>
        <w:contextualSpacing/>
        <w:jc w:val="both"/>
        <w:rPr>
          <w:rFonts w:asciiTheme="minorHAnsi" w:eastAsia="Verdana" w:hAnsiTheme="minorHAnsi" w:cstheme="minorHAnsi"/>
          <w:color w:val="auto"/>
          <w:sz w:val="16"/>
          <w:szCs w:val="16"/>
        </w:rPr>
      </w:pPr>
    </w:p>
    <w:p w14:paraId="2DF74E72" w14:textId="77777777" w:rsidR="008F2269" w:rsidRDefault="008F2269" w:rsidP="008F2269">
      <w:pPr>
        <w:pStyle w:val="Default"/>
        <w:contextualSpacing/>
        <w:jc w:val="both"/>
        <w:rPr>
          <w:rFonts w:asciiTheme="minorHAnsi" w:eastAsia="Verdana" w:hAnsiTheme="minorHAnsi" w:cstheme="minorHAnsi"/>
          <w:color w:val="auto"/>
          <w:sz w:val="22"/>
          <w:szCs w:val="22"/>
        </w:rPr>
      </w:pPr>
      <w:r w:rsidRPr="00D8672C">
        <w:rPr>
          <w:rFonts w:asciiTheme="minorHAnsi" w:eastAsia="Verdana" w:hAnsiTheme="minorHAnsi" w:cstheme="minorHAnsi"/>
          <w:b/>
          <w:bCs/>
          <w:color w:val="auto"/>
          <w:sz w:val="22"/>
          <w:szCs w:val="22"/>
        </w:rPr>
        <w:t>Résultat R2.6</w:t>
      </w:r>
      <w:r w:rsidRPr="00D8672C">
        <w:rPr>
          <w:rFonts w:asciiTheme="minorHAnsi" w:eastAsia="Verdana" w:hAnsiTheme="minorHAnsi" w:cstheme="minorHAnsi"/>
          <w:color w:val="auto"/>
          <w:sz w:val="22"/>
          <w:szCs w:val="22"/>
        </w:rPr>
        <w:t xml:space="preserve"> : Les études pour la réhabilitation et la réalisation des</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aménagements de surface sont réalisées, à savoir ; i) les études de réhabilitation</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de 300 aménagements (périmètres et barrages) existants ; iii) l’étude de 100</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nouveaux barrages/digues et aménagements et iv) l’étude du potentiel</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d'aménagement des zones oasiennes.</w:t>
      </w:r>
    </w:p>
    <w:p w14:paraId="03892843" w14:textId="77777777" w:rsidR="008F2269" w:rsidRPr="00D8672C" w:rsidRDefault="008F2269" w:rsidP="008F2269">
      <w:pPr>
        <w:pStyle w:val="Default"/>
        <w:contextualSpacing/>
        <w:jc w:val="both"/>
        <w:rPr>
          <w:rFonts w:asciiTheme="minorHAnsi" w:eastAsia="Verdana" w:hAnsiTheme="minorHAnsi" w:cstheme="minorHAnsi"/>
          <w:color w:val="auto"/>
          <w:sz w:val="22"/>
          <w:szCs w:val="22"/>
        </w:rPr>
      </w:pPr>
    </w:p>
    <w:p w14:paraId="3FDA3256" w14:textId="77777777" w:rsidR="008F2269" w:rsidRDefault="008F2269" w:rsidP="008F2269">
      <w:pPr>
        <w:pStyle w:val="Default"/>
        <w:contextualSpacing/>
        <w:jc w:val="both"/>
        <w:rPr>
          <w:rFonts w:asciiTheme="minorHAnsi" w:eastAsia="Verdana" w:hAnsiTheme="minorHAnsi" w:cstheme="minorHAnsi"/>
          <w:color w:val="auto"/>
          <w:sz w:val="22"/>
          <w:szCs w:val="22"/>
        </w:rPr>
      </w:pPr>
      <w:r w:rsidRPr="00D8672C">
        <w:rPr>
          <w:rFonts w:asciiTheme="minorHAnsi" w:eastAsia="Verdana" w:hAnsiTheme="minorHAnsi" w:cstheme="minorHAnsi"/>
          <w:b/>
          <w:bCs/>
          <w:color w:val="auto"/>
          <w:sz w:val="22"/>
          <w:szCs w:val="22"/>
        </w:rPr>
        <w:t>Résultat R2.7</w:t>
      </w:r>
      <w:r w:rsidRPr="00D8672C">
        <w:rPr>
          <w:rFonts w:asciiTheme="minorHAnsi" w:eastAsia="Verdana" w:hAnsiTheme="minorHAnsi" w:cstheme="minorHAnsi"/>
          <w:color w:val="auto"/>
          <w:sz w:val="22"/>
          <w:szCs w:val="22"/>
        </w:rPr>
        <w:t xml:space="preserve"> : Les eaux de surface sont mobilisées pour développer l’agriculture</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irriguée. La part du MHA prévue dans la SNADEA comprend la réalisation i) de 60</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petits barrages pour environ 12 000 hectares irrigués et ii) de 6 barrages pour</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environ 6 000 ha irrigués.</w:t>
      </w:r>
    </w:p>
    <w:p w14:paraId="30C9D639" w14:textId="77777777" w:rsidR="008F2269" w:rsidRDefault="008F2269" w:rsidP="008F2269">
      <w:pPr>
        <w:pStyle w:val="Default"/>
        <w:contextualSpacing/>
        <w:jc w:val="both"/>
        <w:rPr>
          <w:rFonts w:asciiTheme="minorHAnsi" w:eastAsia="Verdana" w:hAnsiTheme="minorHAnsi" w:cstheme="minorHAnsi"/>
          <w:color w:val="auto"/>
          <w:sz w:val="22"/>
          <w:szCs w:val="22"/>
        </w:rPr>
      </w:pPr>
    </w:p>
    <w:p w14:paraId="4A2C1F66" w14:textId="77777777" w:rsidR="008F2269" w:rsidRDefault="008F2269" w:rsidP="008F2269">
      <w:pPr>
        <w:pStyle w:val="Default"/>
        <w:contextualSpacing/>
        <w:jc w:val="both"/>
        <w:rPr>
          <w:rFonts w:asciiTheme="minorHAnsi" w:eastAsia="Verdana" w:hAnsiTheme="minorHAnsi" w:cstheme="minorHAnsi"/>
          <w:color w:val="auto"/>
          <w:sz w:val="22"/>
          <w:szCs w:val="22"/>
        </w:rPr>
      </w:pPr>
      <w:r w:rsidRPr="00D8672C">
        <w:rPr>
          <w:rFonts w:asciiTheme="minorHAnsi" w:eastAsia="Verdana" w:hAnsiTheme="minorHAnsi" w:cstheme="minorHAnsi"/>
          <w:color w:val="auto"/>
          <w:sz w:val="22"/>
          <w:szCs w:val="22"/>
        </w:rPr>
        <w:t>Les résultats attendus pour le volet « hydro-pastoral » sont les suivants.</w:t>
      </w:r>
    </w:p>
    <w:p w14:paraId="19BD6BF7" w14:textId="77777777" w:rsidR="008F2269" w:rsidRPr="00D8672C" w:rsidRDefault="008F2269" w:rsidP="008F2269">
      <w:pPr>
        <w:pStyle w:val="Default"/>
        <w:contextualSpacing/>
        <w:jc w:val="both"/>
        <w:rPr>
          <w:rFonts w:asciiTheme="minorHAnsi" w:eastAsia="Verdana" w:hAnsiTheme="minorHAnsi" w:cstheme="minorHAnsi"/>
          <w:color w:val="auto"/>
          <w:sz w:val="22"/>
          <w:szCs w:val="22"/>
        </w:rPr>
      </w:pPr>
    </w:p>
    <w:p w14:paraId="12E3A964" w14:textId="77777777" w:rsidR="008F2269" w:rsidRDefault="008F2269" w:rsidP="008F2269">
      <w:pPr>
        <w:pStyle w:val="Default"/>
        <w:contextualSpacing/>
        <w:jc w:val="both"/>
        <w:rPr>
          <w:rFonts w:asciiTheme="minorHAnsi" w:eastAsia="Verdana" w:hAnsiTheme="minorHAnsi" w:cstheme="minorHAnsi"/>
          <w:color w:val="auto"/>
          <w:sz w:val="22"/>
          <w:szCs w:val="22"/>
        </w:rPr>
      </w:pPr>
      <w:r w:rsidRPr="00D8672C">
        <w:rPr>
          <w:rFonts w:asciiTheme="minorHAnsi" w:eastAsia="Verdana" w:hAnsiTheme="minorHAnsi" w:cstheme="minorHAnsi"/>
          <w:color w:val="auto"/>
          <w:sz w:val="22"/>
          <w:szCs w:val="22"/>
        </w:rPr>
        <w:t>.</w:t>
      </w:r>
      <w:r w:rsidRPr="00D8672C">
        <w:rPr>
          <w:rFonts w:asciiTheme="minorHAnsi" w:eastAsia="Verdana" w:hAnsiTheme="minorHAnsi" w:cstheme="minorHAnsi"/>
          <w:b/>
          <w:bCs/>
          <w:color w:val="auto"/>
          <w:sz w:val="22"/>
          <w:szCs w:val="22"/>
        </w:rPr>
        <w:t xml:space="preserve"> Résultat R2.8</w:t>
      </w:r>
      <w:r w:rsidRPr="00D8672C">
        <w:rPr>
          <w:rFonts w:asciiTheme="minorHAnsi" w:eastAsia="Verdana" w:hAnsiTheme="minorHAnsi" w:cstheme="minorHAnsi"/>
          <w:color w:val="auto"/>
          <w:sz w:val="22"/>
          <w:szCs w:val="22"/>
        </w:rPr>
        <w:t xml:space="preserve"> : Les ouvrages et ressources en eau à usage pastoral sont mieux</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connus par la réalisation 1) de l’inventaire des points d’eau pastoraux existants,</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2) de l’étude du potentiel des ressources en eaux mobilisables pour la mise en</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valeur des zones de pâturage.</w:t>
      </w:r>
    </w:p>
    <w:p w14:paraId="42E61FD2" w14:textId="77777777" w:rsidR="008F2269" w:rsidRPr="00D8672C" w:rsidRDefault="008F2269" w:rsidP="008F2269">
      <w:pPr>
        <w:pStyle w:val="Default"/>
        <w:contextualSpacing/>
        <w:jc w:val="both"/>
        <w:rPr>
          <w:rFonts w:asciiTheme="minorHAnsi" w:eastAsia="Verdana" w:hAnsiTheme="minorHAnsi" w:cstheme="minorHAnsi"/>
          <w:color w:val="auto"/>
          <w:sz w:val="22"/>
          <w:szCs w:val="22"/>
        </w:rPr>
      </w:pPr>
      <w:r w:rsidRPr="006828C9">
        <w:rPr>
          <w:rFonts w:asciiTheme="minorHAnsi" w:eastAsia="Verdana" w:hAnsiTheme="minorHAnsi" w:cstheme="minorHAnsi"/>
          <w:b/>
          <w:bCs/>
          <w:color w:val="auto"/>
          <w:sz w:val="22"/>
          <w:szCs w:val="22"/>
        </w:rPr>
        <w:t>Résultat R2.9</w:t>
      </w:r>
      <w:r w:rsidRPr="00D8672C">
        <w:rPr>
          <w:rFonts w:asciiTheme="minorHAnsi" w:eastAsia="Verdana" w:hAnsiTheme="minorHAnsi" w:cstheme="minorHAnsi"/>
          <w:color w:val="auto"/>
          <w:sz w:val="22"/>
          <w:szCs w:val="22"/>
        </w:rPr>
        <w:t xml:space="preserve"> - 400 points d'eau pastoraux sont réalisés ou réhabilités, par i) la</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réalisation de 160 postes d’eau pastoraux, ii) la réhabilitation de 150 postes d’eau</w:t>
      </w:r>
      <w:r>
        <w:rPr>
          <w:rFonts w:asciiTheme="minorHAnsi" w:eastAsia="Verdana" w:hAnsiTheme="minorHAnsi" w:cstheme="minorHAnsi"/>
          <w:color w:val="auto"/>
          <w:sz w:val="22"/>
          <w:szCs w:val="22"/>
        </w:rPr>
        <w:t xml:space="preserve"> pastoraux</w:t>
      </w:r>
      <w:r w:rsidRPr="00D8672C">
        <w:rPr>
          <w:rFonts w:asciiTheme="minorHAnsi" w:eastAsia="Verdana" w:hAnsiTheme="minorHAnsi" w:cstheme="minorHAnsi"/>
          <w:color w:val="auto"/>
          <w:sz w:val="22"/>
          <w:szCs w:val="22"/>
        </w:rPr>
        <w:t xml:space="preserve"> et iii) le surcreusement ou la réalisation de 90 mares. Les</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investissements sont répartis en fonction de l‘importance et des besoins en eau du</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cheptel dans les différentes wilayas à l’horizon 2030, sur la base des objectifs de</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la SDSR en termes de production de viande bovine.</w:t>
      </w:r>
    </w:p>
    <w:p w14:paraId="115F8180" w14:textId="77777777" w:rsidR="008F2269" w:rsidRDefault="008F2269" w:rsidP="008F2269">
      <w:pPr>
        <w:pStyle w:val="Default"/>
        <w:contextualSpacing/>
        <w:jc w:val="both"/>
        <w:rPr>
          <w:rFonts w:asciiTheme="minorHAnsi" w:eastAsia="Verdana" w:hAnsiTheme="minorHAnsi" w:cstheme="minorHAnsi"/>
          <w:color w:val="auto"/>
          <w:sz w:val="22"/>
          <w:szCs w:val="22"/>
        </w:rPr>
      </w:pPr>
      <w:r w:rsidRPr="006828C9">
        <w:rPr>
          <w:rFonts w:asciiTheme="minorHAnsi" w:eastAsia="Verdana" w:hAnsiTheme="minorHAnsi" w:cstheme="minorHAnsi"/>
          <w:b/>
          <w:bCs/>
          <w:color w:val="auto"/>
          <w:sz w:val="22"/>
          <w:szCs w:val="22"/>
        </w:rPr>
        <w:t>Résultat R2.10</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attendu pour l’industrie est centré sur le secteur minier et</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comprend i) une étude des ressources en eau de la zone nord du pays (Tiris –</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Adrar et Tagant), ii) une étude globale sur les besoins de l’industrie dans le pays à</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l’horizon 2030 et iii) la réalisation de 20 forages de reconnaissance spécifiques</w:t>
      </w:r>
      <w:r>
        <w:rPr>
          <w:rFonts w:asciiTheme="minorHAnsi" w:eastAsia="Verdana" w:hAnsiTheme="minorHAnsi" w:cstheme="minorHAnsi"/>
          <w:color w:val="auto"/>
          <w:sz w:val="22"/>
          <w:szCs w:val="22"/>
        </w:rPr>
        <w:t xml:space="preserve"> </w:t>
      </w:r>
      <w:r w:rsidRPr="00D8672C">
        <w:rPr>
          <w:rFonts w:asciiTheme="minorHAnsi" w:eastAsia="Verdana" w:hAnsiTheme="minorHAnsi" w:cstheme="minorHAnsi"/>
          <w:color w:val="auto"/>
          <w:sz w:val="22"/>
          <w:szCs w:val="22"/>
        </w:rPr>
        <w:t>aux besoins industriels.</w:t>
      </w:r>
    </w:p>
    <w:p w14:paraId="17F7C68C" w14:textId="77777777" w:rsidR="008F2269" w:rsidRPr="00893E52" w:rsidRDefault="008F2269" w:rsidP="008F2269">
      <w:pPr>
        <w:pStyle w:val="Default"/>
        <w:contextualSpacing/>
        <w:jc w:val="both"/>
        <w:rPr>
          <w:rFonts w:asciiTheme="minorHAnsi" w:eastAsia="Verdana" w:hAnsiTheme="minorHAnsi" w:cstheme="minorHAnsi"/>
          <w:color w:val="FF0000"/>
          <w:sz w:val="14"/>
          <w:szCs w:val="14"/>
        </w:rPr>
      </w:pPr>
    </w:p>
    <w:p w14:paraId="1788A16F" w14:textId="77777777" w:rsidR="008F2269" w:rsidRPr="006828C9" w:rsidRDefault="008F2269" w:rsidP="008F2269">
      <w:pPr>
        <w:pStyle w:val="Default"/>
        <w:spacing w:after="120"/>
        <w:jc w:val="both"/>
        <w:rPr>
          <w:rFonts w:asciiTheme="minorHAnsi" w:eastAsia="Verdana" w:hAnsiTheme="minorHAnsi" w:cstheme="minorHAnsi"/>
          <w:color w:val="auto"/>
          <w:sz w:val="22"/>
          <w:szCs w:val="22"/>
        </w:rPr>
      </w:pPr>
      <w:r w:rsidRPr="00C84BAB">
        <w:rPr>
          <w:rFonts w:asciiTheme="minorHAnsi" w:eastAsia="Verdana" w:hAnsiTheme="minorHAnsi" w:cstheme="minorHAnsi"/>
          <w:b/>
          <w:bCs/>
          <w:color w:val="auto"/>
          <w:sz w:val="22"/>
          <w:szCs w:val="22"/>
        </w:rPr>
        <w:t>Résultats attendus pour l’OS 3</w:t>
      </w:r>
      <w:r w:rsidRPr="006828C9">
        <w:rPr>
          <w:rFonts w:asciiTheme="minorHAnsi" w:eastAsia="Verdana" w:hAnsiTheme="minorHAnsi" w:cstheme="minorHAnsi"/>
          <w:color w:val="auto"/>
          <w:sz w:val="22"/>
          <w:szCs w:val="22"/>
        </w:rPr>
        <w:t xml:space="preserve"> : </w:t>
      </w:r>
      <w:r w:rsidRPr="00C84BAB">
        <w:rPr>
          <w:rFonts w:asciiTheme="minorHAnsi" w:eastAsia="Verdana" w:hAnsiTheme="minorHAnsi" w:cstheme="minorHAnsi"/>
          <w:b/>
          <w:bCs/>
          <w:color w:val="auto"/>
          <w:sz w:val="22"/>
          <w:szCs w:val="22"/>
        </w:rPr>
        <w:t>Améliorer l’accès à l’assainissement</w:t>
      </w:r>
      <w:r>
        <w:rPr>
          <w:rFonts w:asciiTheme="minorHAnsi" w:eastAsia="Verdana" w:hAnsiTheme="minorHAnsi" w:cstheme="minorHAnsi"/>
          <w:b/>
          <w:bCs/>
          <w:color w:val="auto"/>
          <w:sz w:val="22"/>
          <w:szCs w:val="22"/>
        </w:rPr>
        <w:t> :</w:t>
      </w:r>
    </w:p>
    <w:p w14:paraId="6FA5D81E" w14:textId="77777777" w:rsidR="008F2269" w:rsidRPr="006828C9" w:rsidRDefault="008F2269" w:rsidP="008F2269">
      <w:pPr>
        <w:pStyle w:val="Default"/>
        <w:contextualSpacing/>
        <w:jc w:val="both"/>
        <w:rPr>
          <w:rFonts w:asciiTheme="minorHAnsi" w:eastAsia="Verdana" w:hAnsiTheme="minorHAnsi" w:cstheme="minorHAnsi"/>
          <w:color w:val="auto"/>
          <w:sz w:val="22"/>
          <w:szCs w:val="22"/>
        </w:rPr>
      </w:pPr>
      <w:r w:rsidRPr="006828C9">
        <w:rPr>
          <w:rFonts w:asciiTheme="minorHAnsi" w:eastAsia="Verdana" w:hAnsiTheme="minorHAnsi" w:cstheme="minorHAnsi"/>
          <w:color w:val="auto"/>
          <w:sz w:val="22"/>
          <w:szCs w:val="22"/>
        </w:rPr>
        <w:t>La mise en œuvre de l’axe stratégique n°3 vise à améliorer l’accès à</w:t>
      </w:r>
      <w:r>
        <w:rPr>
          <w:rFonts w:asciiTheme="minorHAnsi" w:eastAsia="Verdana" w:hAnsiTheme="minorHAnsi" w:cstheme="minorHAnsi"/>
          <w:color w:val="auto"/>
          <w:sz w:val="22"/>
          <w:szCs w:val="22"/>
        </w:rPr>
        <w:t xml:space="preserve"> </w:t>
      </w:r>
      <w:r w:rsidRPr="006828C9">
        <w:rPr>
          <w:rFonts w:asciiTheme="minorHAnsi" w:eastAsia="Verdana" w:hAnsiTheme="minorHAnsi" w:cstheme="minorHAnsi"/>
          <w:color w:val="auto"/>
          <w:sz w:val="22"/>
          <w:szCs w:val="22"/>
        </w:rPr>
        <w:t>l’assainissement pour l’ensemble de la population du pays, en tenant compte des</w:t>
      </w:r>
      <w:r>
        <w:rPr>
          <w:rFonts w:asciiTheme="minorHAnsi" w:eastAsia="Verdana" w:hAnsiTheme="minorHAnsi" w:cstheme="minorHAnsi"/>
          <w:color w:val="auto"/>
          <w:sz w:val="22"/>
          <w:szCs w:val="22"/>
        </w:rPr>
        <w:t xml:space="preserve"> </w:t>
      </w:r>
      <w:r w:rsidRPr="006828C9">
        <w:rPr>
          <w:rFonts w:asciiTheme="minorHAnsi" w:eastAsia="Verdana" w:hAnsiTheme="minorHAnsi" w:cstheme="minorHAnsi"/>
          <w:color w:val="auto"/>
          <w:sz w:val="22"/>
          <w:szCs w:val="22"/>
        </w:rPr>
        <w:t>disparités régionales d’accès au service mises en évidence dans l’état des lieux</w:t>
      </w:r>
      <w:r>
        <w:rPr>
          <w:rFonts w:asciiTheme="minorHAnsi" w:eastAsia="Verdana" w:hAnsiTheme="minorHAnsi" w:cstheme="minorHAnsi"/>
          <w:color w:val="auto"/>
          <w:sz w:val="22"/>
          <w:szCs w:val="22"/>
        </w:rPr>
        <w:t xml:space="preserve"> </w:t>
      </w:r>
      <w:r w:rsidRPr="006828C9">
        <w:rPr>
          <w:rFonts w:asciiTheme="minorHAnsi" w:eastAsia="Verdana" w:hAnsiTheme="minorHAnsi" w:cstheme="minorHAnsi"/>
          <w:color w:val="auto"/>
          <w:sz w:val="22"/>
          <w:szCs w:val="22"/>
        </w:rPr>
        <w:t>pour 2015. Elle vise également à améliorer l’hygiène de la population par la</w:t>
      </w:r>
      <w:r>
        <w:rPr>
          <w:rFonts w:asciiTheme="minorHAnsi" w:eastAsia="Verdana" w:hAnsiTheme="minorHAnsi" w:cstheme="minorHAnsi"/>
          <w:color w:val="auto"/>
          <w:sz w:val="22"/>
          <w:szCs w:val="22"/>
        </w:rPr>
        <w:t xml:space="preserve"> </w:t>
      </w:r>
      <w:r w:rsidRPr="006828C9">
        <w:rPr>
          <w:rFonts w:asciiTheme="minorHAnsi" w:eastAsia="Verdana" w:hAnsiTheme="minorHAnsi" w:cstheme="minorHAnsi"/>
          <w:color w:val="auto"/>
          <w:sz w:val="22"/>
          <w:szCs w:val="22"/>
        </w:rPr>
        <w:t>promotion de la construction et de l’utilisation d’équipements d’assainissement</w:t>
      </w:r>
      <w:r>
        <w:rPr>
          <w:rFonts w:asciiTheme="minorHAnsi" w:eastAsia="Verdana" w:hAnsiTheme="minorHAnsi" w:cstheme="minorHAnsi"/>
          <w:color w:val="auto"/>
          <w:sz w:val="22"/>
          <w:szCs w:val="22"/>
        </w:rPr>
        <w:t xml:space="preserve"> </w:t>
      </w:r>
      <w:r w:rsidRPr="006828C9">
        <w:rPr>
          <w:rFonts w:asciiTheme="minorHAnsi" w:eastAsia="Verdana" w:hAnsiTheme="minorHAnsi" w:cstheme="minorHAnsi"/>
          <w:color w:val="auto"/>
          <w:sz w:val="22"/>
          <w:szCs w:val="22"/>
        </w:rPr>
        <w:t>durables adaptés au contexte rural et périurbain, et la promotion du lavage des</w:t>
      </w:r>
      <w:r>
        <w:rPr>
          <w:rFonts w:asciiTheme="minorHAnsi" w:eastAsia="Verdana" w:hAnsiTheme="minorHAnsi" w:cstheme="minorHAnsi"/>
          <w:color w:val="auto"/>
          <w:sz w:val="22"/>
          <w:szCs w:val="22"/>
        </w:rPr>
        <w:t xml:space="preserve"> </w:t>
      </w:r>
      <w:r w:rsidRPr="006828C9">
        <w:rPr>
          <w:rFonts w:asciiTheme="minorHAnsi" w:eastAsia="Verdana" w:hAnsiTheme="minorHAnsi" w:cstheme="minorHAnsi"/>
          <w:color w:val="auto"/>
          <w:sz w:val="22"/>
          <w:szCs w:val="22"/>
        </w:rPr>
        <w:t>mains au savon, comme de la conservation de l’eau hors de sources de</w:t>
      </w:r>
      <w:r>
        <w:rPr>
          <w:rFonts w:asciiTheme="minorHAnsi" w:eastAsia="Verdana" w:hAnsiTheme="minorHAnsi" w:cstheme="minorHAnsi"/>
          <w:color w:val="auto"/>
          <w:sz w:val="22"/>
          <w:szCs w:val="22"/>
        </w:rPr>
        <w:t xml:space="preserve"> </w:t>
      </w:r>
      <w:r w:rsidRPr="006828C9">
        <w:rPr>
          <w:rFonts w:asciiTheme="minorHAnsi" w:eastAsia="Verdana" w:hAnsiTheme="minorHAnsi" w:cstheme="minorHAnsi"/>
          <w:color w:val="auto"/>
          <w:sz w:val="22"/>
          <w:szCs w:val="22"/>
        </w:rPr>
        <w:t>contamination. Le plan d’action est divisé en une composante « assainissement</w:t>
      </w:r>
      <w:r>
        <w:rPr>
          <w:rFonts w:asciiTheme="minorHAnsi" w:eastAsia="Verdana" w:hAnsiTheme="minorHAnsi" w:cstheme="minorHAnsi"/>
          <w:color w:val="auto"/>
          <w:sz w:val="22"/>
          <w:szCs w:val="22"/>
        </w:rPr>
        <w:t xml:space="preserve"> </w:t>
      </w:r>
      <w:r w:rsidRPr="006828C9">
        <w:rPr>
          <w:rFonts w:asciiTheme="minorHAnsi" w:eastAsia="Verdana" w:hAnsiTheme="minorHAnsi" w:cstheme="minorHAnsi"/>
          <w:color w:val="auto"/>
          <w:sz w:val="22"/>
          <w:szCs w:val="22"/>
        </w:rPr>
        <w:t>autonome » et une composante « assainissement collectif ».</w:t>
      </w:r>
    </w:p>
    <w:p w14:paraId="4860EAF6" w14:textId="77777777" w:rsidR="008F2269" w:rsidRPr="006828C9" w:rsidRDefault="008F2269" w:rsidP="008F2269">
      <w:pPr>
        <w:pStyle w:val="Default"/>
        <w:contextualSpacing/>
        <w:jc w:val="both"/>
        <w:rPr>
          <w:rFonts w:asciiTheme="minorHAnsi" w:eastAsia="Verdana" w:hAnsiTheme="minorHAnsi" w:cstheme="minorHAnsi"/>
          <w:color w:val="auto"/>
          <w:sz w:val="22"/>
          <w:szCs w:val="22"/>
        </w:rPr>
      </w:pPr>
      <w:r w:rsidRPr="006828C9">
        <w:rPr>
          <w:rFonts w:asciiTheme="minorHAnsi" w:eastAsia="Verdana" w:hAnsiTheme="minorHAnsi" w:cstheme="minorHAnsi"/>
          <w:color w:val="auto"/>
          <w:sz w:val="22"/>
          <w:szCs w:val="22"/>
        </w:rPr>
        <w:t>Les résultats attendus et les priorités pour le volet « assainissement autonome » sont les</w:t>
      </w:r>
      <w:r>
        <w:rPr>
          <w:rFonts w:asciiTheme="minorHAnsi" w:eastAsia="Verdana" w:hAnsiTheme="minorHAnsi" w:cstheme="minorHAnsi"/>
          <w:color w:val="auto"/>
          <w:sz w:val="22"/>
          <w:szCs w:val="22"/>
        </w:rPr>
        <w:t xml:space="preserve"> </w:t>
      </w:r>
      <w:r w:rsidRPr="006828C9">
        <w:rPr>
          <w:rFonts w:asciiTheme="minorHAnsi" w:eastAsia="Verdana" w:hAnsiTheme="minorHAnsi" w:cstheme="minorHAnsi"/>
          <w:color w:val="auto"/>
          <w:sz w:val="22"/>
          <w:szCs w:val="22"/>
        </w:rPr>
        <w:t>suivants</w:t>
      </w:r>
      <w:r>
        <w:rPr>
          <w:rFonts w:asciiTheme="minorHAnsi" w:eastAsia="Verdana" w:hAnsiTheme="minorHAnsi" w:cstheme="minorHAnsi"/>
          <w:color w:val="auto"/>
          <w:sz w:val="22"/>
          <w:szCs w:val="22"/>
        </w:rPr>
        <w:t> :</w:t>
      </w:r>
    </w:p>
    <w:p w14:paraId="4922C725" w14:textId="77777777" w:rsidR="008F2269" w:rsidRPr="00893E52" w:rsidRDefault="008F2269" w:rsidP="008F2269">
      <w:pPr>
        <w:pStyle w:val="Default"/>
        <w:contextualSpacing/>
        <w:jc w:val="both"/>
        <w:rPr>
          <w:rFonts w:asciiTheme="minorHAnsi" w:eastAsia="Verdana" w:hAnsiTheme="minorHAnsi" w:cstheme="minorHAnsi"/>
          <w:color w:val="auto"/>
          <w:sz w:val="14"/>
          <w:szCs w:val="14"/>
        </w:rPr>
      </w:pPr>
    </w:p>
    <w:p w14:paraId="563E9FDF" w14:textId="77777777" w:rsidR="008F2269" w:rsidRPr="006828C9" w:rsidRDefault="008F2269" w:rsidP="008F2269">
      <w:pPr>
        <w:pStyle w:val="Default"/>
        <w:contextualSpacing/>
        <w:jc w:val="both"/>
        <w:rPr>
          <w:rFonts w:asciiTheme="minorHAnsi" w:eastAsia="Verdana" w:hAnsiTheme="minorHAnsi" w:cstheme="minorHAnsi"/>
          <w:color w:val="auto"/>
          <w:sz w:val="22"/>
          <w:szCs w:val="22"/>
        </w:rPr>
      </w:pPr>
      <w:r w:rsidRPr="00C84BAB">
        <w:rPr>
          <w:rFonts w:asciiTheme="minorHAnsi" w:eastAsia="Verdana" w:hAnsiTheme="minorHAnsi" w:cstheme="minorHAnsi"/>
          <w:b/>
          <w:bCs/>
          <w:color w:val="auto"/>
          <w:sz w:val="22"/>
          <w:szCs w:val="22"/>
        </w:rPr>
        <w:t>Résultat R3.1</w:t>
      </w:r>
      <w:r w:rsidRPr="006828C9">
        <w:rPr>
          <w:rFonts w:asciiTheme="minorHAnsi" w:eastAsia="Verdana" w:hAnsiTheme="minorHAnsi" w:cstheme="minorHAnsi"/>
          <w:color w:val="auto"/>
          <w:sz w:val="22"/>
          <w:szCs w:val="22"/>
        </w:rPr>
        <w:t xml:space="preserve"> - le taux d'équipement en latrines améliorées est porté à 100 %</w:t>
      </w:r>
      <w:r>
        <w:rPr>
          <w:rFonts w:asciiTheme="minorHAnsi" w:eastAsia="Verdana" w:hAnsiTheme="minorHAnsi" w:cstheme="minorHAnsi"/>
          <w:color w:val="auto"/>
          <w:sz w:val="22"/>
          <w:szCs w:val="22"/>
        </w:rPr>
        <w:t xml:space="preserve"> </w:t>
      </w:r>
      <w:r w:rsidRPr="006828C9">
        <w:rPr>
          <w:rFonts w:asciiTheme="minorHAnsi" w:eastAsia="Verdana" w:hAnsiTheme="minorHAnsi" w:cstheme="minorHAnsi"/>
          <w:color w:val="auto"/>
          <w:sz w:val="22"/>
          <w:szCs w:val="22"/>
        </w:rPr>
        <w:t>par la mise en œuvre de l’ATPC en milieu rural et</w:t>
      </w:r>
      <w:r>
        <w:rPr>
          <w:rFonts w:asciiTheme="minorHAnsi" w:eastAsia="Verdana" w:hAnsiTheme="minorHAnsi" w:cstheme="minorHAnsi"/>
          <w:color w:val="auto"/>
          <w:sz w:val="22"/>
          <w:szCs w:val="22"/>
        </w:rPr>
        <w:t xml:space="preserve"> dans le milieu et péri-urbain.</w:t>
      </w:r>
    </w:p>
    <w:p w14:paraId="3B880827" w14:textId="77777777" w:rsidR="008F2269" w:rsidRPr="006828C9" w:rsidRDefault="008F2269" w:rsidP="008F2269">
      <w:pPr>
        <w:pStyle w:val="Default"/>
        <w:contextualSpacing/>
        <w:jc w:val="both"/>
        <w:rPr>
          <w:rFonts w:asciiTheme="minorHAnsi" w:eastAsia="Verdana" w:hAnsiTheme="minorHAnsi" w:cstheme="minorHAnsi"/>
          <w:color w:val="auto"/>
          <w:sz w:val="22"/>
          <w:szCs w:val="22"/>
        </w:rPr>
      </w:pPr>
      <w:r w:rsidRPr="00C84BAB">
        <w:rPr>
          <w:rFonts w:asciiTheme="minorHAnsi" w:eastAsia="Verdana" w:hAnsiTheme="minorHAnsi" w:cstheme="minorHAnsi"/>
          <w:b/>
          <w:bCs/>
          <w:color w:val="auto"/>
          <w:sz w:val="22"/>
          <w:szCs w:val="22"/>
        </w:rPr>
        <w:t>Résultat R3.2</w:t>
      </w:r>
      <w:r w:rsidRPr="006828C9">
        <w:rPr>
          <w:rFonts w:asciiTheme="minorHAnsi" w:eastAsia="Verdana" w:hAnsiTheme="minorHAnsi" w:cstheme="minorHAnsi"/>
          <w:color w:val="auto"/>
          <w:sz w:val="22"/>
          <w:szCs w:val="22"/>
        </w:rPr>
        <w:t xml:space="preserve"> - Tous les équipements d’assainissement autonomes privés</w:t>
      </w:r>
      <w:r>
        <w:rPr>
          <w:rFonts w:asciiTheme="minorHAnsi" w:eastAsia="Verdana" w:hAnsiTheme="minorHAnsi" w:cstheme="minorHAnsi"/>
          <w:color w:val="auto"/>
          <w:sz w:val="22"/>
          <w:szCs w:val="22"/>
        </w:rPr>
        <w:t xml:space="preserve"> </w:t>
      </w:r>
      <w:r w:rsidRPr="006828C9">
        <w:rPr>
          <w:rFonts w:asciiTheme="minorHAnsi" w:eastAsia="Verdana" w:hAnsiTheme="minorHAnsi" w:cstheme="minorHAnsi"/>
          <w:color w:val="auto"/>
          <w:sz w:val="22"/>
          <w:szCs w:val="22"/>
        </w:rPr>
        <w:t>disposent d’un accès au savon et à l'eau. Ce résultat est pris en compte par la</w:t>
      </w:r>
      <w:r>
        <w:rPr>
          <w:rFonts w:asciiTheme="minorHAnsi" w:eastAsia="Verdana" w:hAnsiTheme="minorHAnsi" w:cstheme="minorHAnsi"/>
          <w:color w:val="auto"/>
          <w:sz w:val="22"/>
          <w:szCs w:val="22"/>
        </w:rPr>
        <w:t xml:space="preserve"> </w:t>
      </w:r>
      <w:r w:rsidRPr="006828C9">
        <w:rPr>
          <w:rFonts w:asciiTheme="minorHAnsi" w:eastAsia="Verdana" w:hAnsiTheme="minorHAnsi" w:cstheme="minorHAnsi"/>
          <w:color w:val="auto"/>
          <w:sz w:val="22"/>
          <w:szCs w:val="22"/>
        </w:rPr>
        <w:t>mise en œuvre de l’ATPC et de campagnes de sensibilisation de masse annuelles</w:t>
      </w:r>
      <w:r>
        <w:rPr>
          <w:rFonts w:asciiTheme="minorHAnsi" w:eastAsia="Verdana" w:hAnsiTheme="minorHAnsi" w:cstheme="minorHAnsi"/>
          <w:color w:val="auto"/>
          <w:sz w:val="22"/>
          <w:szCs w:val="22"/>
        </w:rPr>
        <w:t xml:space="preserve"> </w:t>
      </w:r>
      <w:r w:rsidRPr="006828C9">
        <w:rPr>
          <w:rFonts w:asciiTheme="minorHAnsi" w:eastAsia="Verdana" w:hAnsiTheme="minorHAnsi" w:cstheme="minorHAnsi"/>
          <w:color w:val="auto"/>
          <w:sz w:val="22"/>
          <w:szCs w:val="22"/>
        </w:rPr>
        <w:t>pour la promotion des latrines améliorées et du lavage des mains à l’eau et au</w:t>
      </w:r>
      <w:r>
        <w:rPr>
          <w:rFonts w:asciiTheme="minorHAnsi" w:eastAsia="Verdana" w:hAnsiTheme="minorHAnsi" w:cstheme="minorHAnsi"/>
          <w:color w:val="auto"/>
          <w:sz w:val="22"/>
          <w:szCs w:val="22"/>
        </w:rPr>
        <w:t xml:space="preserve"> </w:t>
      </w:r>
      <w:r w:rsidRPr="006828C9">
        <w:rPr>
          <w:rFonts w:asciiTheme="minorHAnsi" w:eastAsia="Verdana" w:hAnsiTheme="minorHAnsi" w:cstheme="minorHAnsi"/>
          <w:color w:val="auto"/>
          <w:sz w:val="22"/>
          <w:szCs w:val="22"/>
        </w:rPr>
        <w:t>savon.</w:t>
      </w:r>
    </w:p>
    <w:p w14:paraId="6CAD8759" w14:textId="77777777" w:rsidR="008F2269" w:rsidRPr="006828C9" w:rsidRDefault="008F2269" w:rsidP="008F2269">
      <w:pPr>
        <w:pStyle w:val="Default"/>
        <w:contextualSpacing/>
        <w:jc w:val="both"/>
        <w:rPr>
          <w:rFonts w:asciiTheme="minorHAnsi" w:eastAsia="Verdana" w:hAnsiTheme="minorHAnsi" w:cstheme="minorHAnsi"/>
          <w:color w:val="auto"/>
          <w:sz w:val="22"/>
          <w:szCs w:val="22"/>
        </w:rPr>
      </w:pPr>
      <w:r w:rsidRPr="00C84BAB">
        <w:rPr>
          <w:rFonts w:asciiTheme="minorHAnsi" w:eastAsia="Verdana" w:hAnsiTheme="minorHAnsi" w:cstheme="minorHAnsi"/>
          <w:b/>
          <w:bCs/>
          <w:color w:val="auto"/>
          <w:sz w:val="22"/>
          <w:szCs w:val="22"/>
        </w:rPr>
        <w:t>Résultat R3.3</w:t>
      </w:r>
      <w:r w:rsidRPr="006828C9">
        <w:rPr>
          <w:rFonts w:asciiTheme="minorHAnsi" w:eastAsia="Verdana" w:hAnsiTheme="minorHAnsi" w:cstheme="minorHAnsi"/>
          <w:color w:val="auto"/>
          <w:sz w:val="22"/>
          <w:szCs w:val="22"/>
        </w:rPr>
        <w:t xml:space="preserve"> - Tous les établissements scolaires et de santé, les marchés, les</w:t>
      </w:r>
      <w:r>
        <w:rPr>
          <w:rFonts w:asciiTheme="minorHAnsi" w:eastAsia="Verdana" w:hAnsiTheme="minorHAnsi" w:cstheme="minorHAnsi"/>
          <w:color w:val="auto"/>
          <w:sz w:val="22"/>
          <w:szCs w:val="22"/>
        </w:rPr>
        <w:t xml:space="preserve"> </w:t>
      </w:r>
      <w:r w:rsidRPr="006828C9">
        <w:rPr>
          <w:rFonts w:asciiTheme="minorHAnsi" w:eastAsia="Verdana" w:hAnsiTheme="minorHAnsi" w:cstheme="minorHAnsi"/>
          <w:color w:val="auto"/>
          <w:sz w:val="22"/>
          <w:szCs w:val="22"/>
        </w:rPr>
        <w:t>gares routières et autres lieux publics sont équipés de latrines aux normes et</w:t>
      </w:r>
      <w:r>
        <w:rPr>
          <w:rFonts w:asciiTheme="minorHAnsi" w:eastAsia="Verdana" w:hAnsiTheme="minorHAnsi" w:cstheme="minorHAnsi"/>
          <w:color w:val="auto"/>
          <w:sz w:val="22"/>
          <w:szCs w:val="22"/>
        </w:rPr>
        <w:t xml:space="preserve"> </w:t>
      </w:r>
      <w:r w:rsidRPr="006828C9">
        <w:rPr>
          <w:rFonts w:asciiTheme="minorHAnsi" w:eastAsia="Verdana" w:hAnsiTheme="minorHAnsi" w:cstheme="minorHAnsi"/>
          <w:color w:val="auto"/>
          <w:sz w:val="22"/>
          <w:szCs w:val="22"/>
        </w:rPr>
        <w:t>fonctionnelles.</w:t>
      </w:r>
    </w:p>
    <w:p w14:paraId="582E5099" w14:textId="77777777" w:rsidR="008F2269" w:rsidRPr="00C84BAB" w:rsidRDefault="008F2269" w:rsidP="008F2269">
      <w:pPr>
        <w:pStyle w:val="Default"/>
        <w:contextualSpacing/>
        <w:jc w:val="both"/>
        <w:rPr>
          <w:rFonts w:asciiTheme="minorHAnsi" w:eastAsia="Verdana" w:hAnsiTheme="minorHAnsi" w:cstheme="minorHAnsi"/>
          <w:color w:val="auto"/>
          <w:sz w:val="22"/>
          <w:szCs w:val="22"/>
        </w:rPr>
      </w:pPr>
      <w:r w:rsidRPr="00C84BAB">
        <w:rPr>
          <w:rFonts w:asciiTheme="minorHAnsi" w:eastAsia="Verdana" w:hAnsiTheme="minorHAnsi" w:cstheme="minorHAnsi"/>
          <w:color w:val="auto"/>
          <w:sz w:val="22"/>
          <w:szCs w:val="22"/>
        </w:rPr>
        <w:t>Les résultats attendus et priorités pour le volet « assainissement collectif » sont les</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suivants.</w:t>
      </w:r>
    </w:p>
    <w:p w14:paraId="03D6F3BF" w14:textId="77777777" w:rsidR="008F2269" w:rsidRDefault="008F2269" w:rsidP="008F2269">
      <w:pPr>
        <w:pStyle w:val="Default"/>
        <w:contextualSpacing/>
        <w:jc w:val="both"/>
        <w:rPr>
          <w:rFonts w:asciiTheme="minorHAnsi" w:eastAsia="Verdana" w:hAnsiTheme="minorHAnsi" w:cstheme="minorHAnsi"/>
          <w:color w:val="auto"/>
          <w:sz w:val="22"/>
          <w:szCs w:val="22"/>
        </w:rPr>
      </w:pPr>
      <w:r w:rsidRPr="00C84BAB">
        <w:rPr>
          <w:rFonts w:asciiTheme="minorHAnsi" w:eastAsia="Verdana" w:hAnsiTheme="minorHAnsi" w:cstheme="minorHAnsi"/>
          <w:b/>
          <w:bCs/>
          <w:color w:val="auto"/>
          <w:sz w:val="22"/>
          <w:szCs w:val="22"/>
        </w:rPr>
        <w:t>Résultat R3.4</w:t>
      </w:r>
      <w:r w:rsidRPr="00C84BAB">
        <w:rPr>
          <w:rFonts w:asciiTheme="minorHAnsi" w:eastAsia="Verdana" w:hAnsiTheme="minorHAnsi" w:cstheme="minorHAnsi"/>
          <w:color w:val="auto"/>
          <w:sz w:val="22"/>
          <w:szCs w:val="22"/>
        </w:rPr>
        <w:t xml:space="preserve"> - En milieu urbain, le taux de collecte et de traitement des boues</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de vidange est porté à 50 %. Ce résultat nécessite en ordre de priorité : 1) la</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réalisation d’une étude sur l’organisation de la vidange des boues pour</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Nouakchott, Nouadhibou, Kiffa, Ka</w:t>
      </w:r>
      <w:r>
        <w:rPr>
          <w:rFonts w:asciiTheme="minorHAnsi" w:eastAsia="Verdana" w:hAnsiTheme="minorHAnsi" w:cstheme="minorHAnsi"/>
          <w:color w:val="auto"/>
          <w:sz w:val="22"/>
          <w:szCs w:val="22"/>
        </w:rPr>
        <w:t xml:space="preserve">édi et Rosso. ; 2) </w:t>
      </w:r>
      <w:r w:rsidRPr="00C84BAB">
        <w:rPr>
          <w:rFonts w:asciiTheme="minorHAnsi" w:eastAsia="Verdana" w:hAnsiTheme="minorHAnsi" w:cstheme="minorHAnsi"/>
          <w:color w:val="auto"/>
          <w:sz w:val="22"/>
          <w:szCs w:val="22"/>
        </w:rPr>
        <w:t>la mise en place d’un système</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de collecte et de traitement des eaux usées ainsi que la réalisation des stations de</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dépotage et traitement des boues à Nouakchott, Nouadhibou et Rosso.</w:t>
      </w:r>
    </w:p>
    <w:p w14:paraId="6851AB05" w14:textId="77777777" w:rsidR="008F2269" w:rsidRPr="00C84BAB" w:rsidRDefault="008F2269" w:rsidP="008F2269">
      <w:pPr>
        <w:pStyle w:val="Default"/>
        <w:contextualSpacing/>
        <w:jc w:val="both"/>
        <w:rPr>
          <w:rFonts w:asciiTheme="minorHAnsi" w:eastAsia="Verdana" w:hAnsiTheme="minorHAnsi" w:cstheme="minorHAnsi"/>
          <w:color w:val="auto"/>
          <w:sz w:val="22"/>
          <w:szCs w:val="22"/>
        </w:rPr>
      </w:pPr>
      <w:r w:rsidRPr="00C84BAB">
        <w:rPr>
          <w:rFonts w:asciiTheme="minorHAnsi" w:eastAsia="Verdana" w:hAnsiTheme="minorHAnsi" w:cstheme="minorHAnsi"/>
          <w:b/>
          <w:bCs/>
          <w:color w:val="auto"/>
          <w:sz w:val="22"/>
          <w:szCs w:val="22"/>
        </w:rPr>
        <w:t>Résultat R3.5</w:t>
      </w:r>
      <w:r w:rsidRPr="00C84BAB">
        <w:rPr>
          <w:rFonts w:asciiTheme="minorHAnsi" w:eastAsia="Verdana" w:hAnsiTheme="minorHAnsi" w:cstheme="minorHAnsi"/>
          <w:color w:val="auto"/>
          <w:sz w:val="22"/>
          <w:szCs w:val="22"/>
        </w:rPr>
        <w:t xml:space="preserve"> – Tous les chefs-lieux de wilayas disposent d’un Plan Directeur</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d’Assainissement (PDA). Ce résultat nécessite en ordre de priorité : 1) la</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réalisation des études pour les villes d’Atar, Tidjikja, Sélibaby et Zouérate,</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2)</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l’actualisation des PDA des villes de Néma, Aioun, Kiffa, Kaédi et Rosso selon</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l’approche d’assainissement inclusif. Par ailleurs, les réseaux de collecte et station</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de traitement des eaux usées des zones raccordables définies dans les PDA de</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Nouakchott et Nouadhibou sont réalisés. La priorité donnée à Nouakchott et</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Nouadhibou devrait permettre d’atteindre un objectif de 50% de taux de collecte</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en 2030, puisque les deux villes concentrent près de 80% de la population des</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villes de plus de 25 000 habitants prévus comme raccordables à un système</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d’assainissement collectif.</w:t>
      </w:r>
    </w:p>
    <w:p w14:paraId="201AC758" w14:textId="77777777" w:rsidR="008F2269" w:rsidRPr="00C84BAB" w:rsidRDefault="008F2269" w:rsidP="008F2269">
      <w:pPr>
        <w:pStyle w:val="Default"/>
        <w:contextualSpacing/>
        <w:jc w:val="both"/>
        <w:rPr>
          <w:rFonts w:asciiTheme="minorHAnsi" w:eastAsia="Verdana" w:hAnsiTheme="minorHAnsi" w:cstheme="minorHAnsi"/>
          <w:color w:val="auto"/>
          <w:sz w:val="22"/>
          <w:szCs w:val="22"/>
        </w:rPr>
      </w:pPr>
      <w:r w:rsidRPr="00C84BAB">
        <w:rPr>
          <w:rFonts w:asciiTheme="minorHAnsi" w:eastAsia="Verdana" w:hAnsiTheme="minorHAnsi" w:cstheme="minorHAnsi"/>
          <w:b/>
          <w:bCs/>
          <w:color w:val="auto"/>
          <w:sz w:val="22"/>
          <w:szCs w:val="22"/>
        </w:rPr>
        <w:t>Résultat R3.6</w:t>
      </w:r>
      <w:r w:rsidRPr="00C84BAB">
        <w:rPr>
          <w:rFonts w:asciiTheme="minorHAnsi" w:eastAsia="Verdana" w:hAnsiTheme="minorHAnsi" w:cstheme="minorHAnsi"/>
          <w:color w:val="auto"/>
          <w:sz w:val="22"/>
          <w:szCs w:val="22"/>
        </w:rPr>
        <w:t xml:space="preserve"> - Les réseaux de collecte et traitement (bassins d’orage) des eaux</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pluviales de Nouakchott, Kiffa, Rosso, Tintane et Atar sont réalisés, pour une</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longueur de réseau de l’ordre de 80 km, portant le taux de raccordement au</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réseau de collecte des eaux pluviales à au moins 50 %.</w:t>
      </w:r>
    </w:p>
    <w:p w14:paraId="3E5E3D5B" w14:textId="77777777" w:rsidR="008F2269" w:rsidRDefault="008F2269" w:rsidP="008F2269">
      <w:pPr>
        <w:pStyle w:val="Default"/>
        <w:contextualSpacing/>
        <w:jc w:val="both"/>
        <w:rPr>
          <w:rFonts w:asciiTheme="minorHAnsi" w:eastAsia="Verdana" w:hAnsiTheme="minorHAnsi" w:cstheme="minorHAnsi"/>
          <w:color w:val="auto"/>
          <w:sz w:val="22"/>
          <w:szCs w:val="22"/>
        </w:rPr>
      </w:pPr>
      <w:r w:rsidRPr="00C84BAB">
        <w:rPr>
          <w:rFonts w:asciiTheme="minorHAnsi" w:eastAsia="Verdana" w:hAnsiTheme="minorHAnsi" w:cstheme="minorHAnsi"/>
          <w:b/>
          <w:bCs/>
          <w:color w:val="auto"/>
          <w:sz w:val="22"/>
          <w:szCs w:val="22"/>
        </w:rPr>
        <w:t>Résultat R3.7</w:t>
      </w:r>
      <w:r w:rsidRPr="00C84BAB">
        <w:rPr>
          <w:rFonts w:asciiTheme="minorHAnsi" w:eastAsia="Verdana" w:hAnsiTheme="minorHAnsi" w:cstheme="minorHAnsi"/>
          <w:color w:val="auto"/>
          <w:sz w:val="22"/>
          <w:szCs w:val="22"/>
        </w:rPr>
        <w:t xml:space="preserve"> - 50% des eaux usées traitées de Nouakchott et Nouadhibou sont</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réutilisées par 1) la réalisation d’une étude sur la réutilisation des eaux traitées</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préalable et 2) l’accompagnement de trois projets pilote de réutilisation des eaux</w:t>
      </w:r>
      <w:r>
        <w:rPr>
          <w:rFonts w:asciiTheme="minorHAnsi" w:eastAsia="Verdana" w:hAnsiTheme="minorHAnsi" w:cstheme="minorHAnsi"/>
          <w:color w:val="auto"/>
          <w:sz w:val="22"/>
          <w:szCs w:val="22"/>
        </w:rPr>
        <w:t xml:space="preserve"> </w:t>
      </w:r>
      <w:r w:rsidRPr="00C84BAB">
        <w:rPr>
          <w:rFonts w:asciiTheme="minorHAnsi" w:eastAsia="Verdana" w:hAnsiTheme="minorHAnsi" w:cstheme="minorHAnsi"/>
          <w:color w:val="auto"/>
          <w:sz w:val="22"/>
          <w:szCs w:val="22"/>
        </w:rPr>
        <w:t>usées dans les villes concernées par l’assainissement collectif à l’horizon 2030.</w:t>
      </w:r>
    </w:p>
    <w:p w14:paraId="4064A35A" w14:textId="77777777" w:rsidR="008F2269" w:rsidRPr="00893E52" w:rsidRDefault="008F2269" w:rsidP="008F2269">
      <w:pPr>
        <w:pStyle w:val="Default"/>
        <w:contextualSpacing/>
        <w:jc w:val="both"/>
        <w:rPr>
          <w:rFonts w:asciiTheme="minorHAnsi" w:eastAsia="Verdana" w:hAnsiTheme="minorHAnsi" w:cstheme="minorHAnsi"/>
          <w:color w:val="auto"/>
          <w:sz w:val="12"/>
          <w:szCs w:val="12"/>
        </w:rPr>
      </w:pPr>
    </w:p>
    <w:p w14:paraId="6FDB7E9F" w14:textId="77777777" w:rsidR="008F2269" w:rsidRPr="00F33957" w:rsidRDefault="008F2269" w:rsidP="008F2269">
      <w:pPr>
        <w:pStyle w:val="Default"/>
        <w:contextualSpacing/>
        <w:jc w:val="both"/>
        <w:rPr>
          <w:rFonts w:asciiTheme="minorHAnsi" w:eastAsia="Verdana" w:hAnsiTheme="minorHAnsi" w:cstheme="minorHAnsi"/>
          <w:b/>
          <w:bCs/>
          <w:color w:val="auto"/>
          <w:sz w:val="22"/>
          <w:szCs w:val="22"/>
        </w:rPr>
      </w:pPr>
      <w:r w:rsidRPr="00F33957">
        <w:rPr>
          <w:rFonts w:asciiTheme="minorHAnsi" w:eastAsia="Verdana" w:hAnsiTheme="minorHAnsi" w:cstheme="minorHAnsi"/>
          <w:b/>
          <w:bCs/>
          <w:color w:val="auto"/>
          <w:sz w:val="22"/>
          <w:szCs w:val="22"/>
        </w:rPr>
        <w:t>Résultats attendus pour l’OS 4 : Accro</w:t>
      </w:r>
      <w:r>
        <w:rPr>
          <w:rFonts w:asciiTheme="minorHAnsi" w:eastAsia="Verdana" w:hAnsiTheme="minorHAnsi" w:cstheme="minorHAnsi"/>
          <w:b/>
          <w:bCs/>
          <w:color w:val="auto"/>
          <w:sz w:val="22"/>
          <w:szCs w:val="22"/>
        </w:rPr>
        <w:t>î</w:t>
      </w:r>
      <w:r w:rsidRPr="00F33957">
        <w:rPr>
          <w:rFonts w:asciiTheme="minorHAnsi" w:eastAsia="Verdana" w:hAnsiTheme="minorHAnsi" w:cstheme="minorHAnsi"/>
          <w:b/>
          <w:bCs/>
          <w:color w:val="auto"/>
          <w:sz w:val="22"/>
          <w:szCs w:val="22"/>
        </w:rPr>
        <w:t>tre la durabilité, l’efficience et les investissements du secteur</w:t>
      </w:r>
    </w:p>
    <w:p w14:paraId="52958C2D" w14:textId="77777777" w:rsidR="008F2269" w:rsidRPr="00F33957" w:rsidRDefault="008F2269" w:rsidP="008F2269">
      <w:pPr>
        <w:pStyle w:val="Default"/>
        <w:contextualSpacing/>
        <w:jc w:val="both"/>
        <w:rPr>
          <w:rFonts w:asciiTheme="minorHAnsi" w:eastAsia="Verdana" w:hAnsiTheme="minorHAnsi" w:cstheme="minorHAnsi"/>
          <w:color w:val="auto"/>
          <w:sz w:val="22"/>
          <w:szCs w:val="22"/>
        </w:rPr>
      </w:pPr>
      <w:r w:rsidRPr="00F33957">
        <w:rPr>
          <w:rFonts w:asciiTheme="minorHAnsi" w:eastAsia="Verdana" w:hAnsiTheme="minorHAnsi" w:cstheme="minorHAnsi"/>
          <w:b/>
          <w:bCs/>
          <w:color w:val="auto"/>
          <w:sz w:val="22"/>
          <w:szCs w:val="22"/>
        </w:rPr>
        <w:t>Résultat R4.1</w:t>
      </w:r>
      <w:r w:rsidRPr="00F33957">
        <w:rPr>
          <w:rFonts w:asciiTheme="minorHAnsi" w:eastAsia="Verdana" w:hAnsiTheme="minorHAnsi" w:cstheme="minorHAnsi"/>
          <w:color w:val="auto"/>
          <w:sz w:val="22"/>
          <w:szCs w:val="22"/>
        </w:rPr>
        <w:t xml:space="preserve"> – Le cadre institutionnel, légal et règlementaire devrait être</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clarifié et renforcé par i) la clarification des compétences des Institutions</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sectorielles et des organismes sous tutelle du MHA, notamment de la SNDE et</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l’ONSER, ii) la mise à jour du Code de l'eau, l’élaboration du Code de</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l’assainissement et la promulgation des décrets d'application ; iii) l’établissement</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ou le renforcement de Directives pour l’AEP, l’assainissement, les aménagements</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hydrauliques agro-pastoraux, en y intégrant les enjeux liés au changement</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climatique.</w:t>
      </w:r>
    </w:p>
    <w:p w14:paraId="4E2F8246" w14:textId="77777777" w:rsidR="008F2269" w:rsidRPr="00F33957" w:rsidRDefault="008F2269" w:rsidP="008F2269">
      <w:pPr>
        <w:pStyle w:val="Default"/>
        <w:contextualSpacing/>
        <w:jc w:val="both"/>
        <w:rPr>
          <w:rFonts w:asciiTheme="minorHAnsi" w:eastAsia="Verdana" w:hAnsiTheme="minorHAnsi" w:cstheme="minorHAnsi"/>
          <w:color w:val="auto"/>
          <w:sz w:val="22"/>
          <w:szCs w:val="22"/>
        </w:rPr>
      </w:pPr>
      <w:r w:rsidRPr="00F33957">
        <w:rPr>
          <w:rFonts w:asciiTheme="minorHAnsi" w:eastAsia="Verdana" w:hAnsiTheme="minorHAnsi" w:cstheme="minorHAnsi"/>
          <w:b/>
          <w:bCs/>
          <w:color w:val="auto"/>
          <w:sz w:val="22"/>
          <w:szCs w:val="22"/>
        </w:rPr>
        <w:t>Résultat R4.2</w:t>
      </w:r>
      <w:r w:rsidRPr="00F33957">
        <w:rPr>
          <w:rFonts w:asciiTheme="minorHAnsi" w:eastAsia="Verdana" w:hAnsiTheme="minorHAnsi" w:cstheme="minorHAnsi"/>
          <w:color w:val="auto"/>
          <w:sz w:val="22"/>
          <w:szCs w:val="22"/>
        </w:rPr>
        <w:t xml:space="preserve"> – La planification sectorielle devrait être renforcée par</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l’élaboration du Plan Directeur National d’Aménagement et de Gestion Intégrée</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des Eaux, des schémas directeurs régionaux d’AEP en milieu rural, des schémas</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directeurs nationaux pour les barrages et l’alimentation en eau du secteur minier</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et des Schémas d’Aménagement et de Gestion des Eaux (SAGE) pour les sous</w:t>
      </w:r>
      <w:r>
        <w:rPr>
          <w:rFonts w:asciiTheme="minorHAnsi" w:eastAsia="Verdana" w:hAnsiTheme="minorHAnsi" w:cstheme="minorHAnsi"/>
          <w:color w:val="auto"/>
          <w:sz w:val="22"/>
          <w:szCs w:val="22"/>
        </w:rPr>
        <w:t>-</w:t>
      </w:r>
      <w:r w:rsidRPr="00F33957">
        <w:rPr>
          <w:rFonts w:asciiTheme="minorHAnsi" w:eastAsia="Verdana" w:hAnsiTheme="minorHAnsi" w:cstheme="minorHAnsi"/>
          <w:color w:val="auto"/>
          <w:sz w:val="22"/>
          <w:szCs w:val="22"/>
        </w:rPr>
        <w:t>bassins</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versants du fleuve Sénégal coté Mauritanie. Ces schémas seront déclinés</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du Schéma Directeur d’Aménagement et de Gestion des Eaux du Fleuve (SDAGE)</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réalisé dans le cadre de l’OMVS. Le lien entre les différents éléments de la</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planification sectorielle et leur tutelle est présenté en annexe 1.</w:t>
      </w:r>
    </w:p>
    <w:p w14:paraId="0FA58ECD" w14:textId="77777777" w:rsidR="008F2269" w:rsidRPr="00F33957" w:rsidRDefault="008F2269" w:rsidP="008F2269">
      <w:pPr>
        <w:pStyle w:val="Default"/>
        <w:contextualSpacing/>
        <w:jc w:val="both"/>
        <w:rPr>
          <w:rFonts w:asciiTheme="minorHAnsi" w:eastAsia="Verdana" w:hAnsiTheme="minorHAnsi" w:cstheme="minorHAnsi"/>
          <w:color w:val="auto"/>
          <w:sz w:val="22"/>
          <w:szCs w:val="22"/>
        </w:rPr>
      </w:pPr>
      <w:r w:rsidRPr="00F33957">
        <w:rPr>
          <w:rFonts w:asciiTheme="minorHAnsi" w:eastAsia="Verdana" w:hAnsiTheme="minorHAnsi" w:cstheme="minorHAnsi"/>
          <w:b/>
          <w:bCs/>
          <w:color w:val="auto"/>
          <w:sz w:val="22"/>
          <w:szCs w:val="22"/>
        </w:rPr>
        <w:t>Résultat R4.3</w:t>
      </w:r>
      <w:r w:rsidRPr="00F33957">
        <w:rPr>
          <w:rFonts w:asciiTheme="minorHAnsi" w:eastAsia="Verdana" w:hAnsiTheme="minorHAnsi" w:cstheme="minorHAnsi"/>
          <w:color w:val="auto"/>
          <w:sz w:val="22"/>
          <w:szCs w:val="22"/>
        </w:rPr>
        <w:t xml:space="preserve"> – La programmation sectorielle sera renforcée par l’élaboration et</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la mise en œuvre des Cadres de Dépenses à Moyens Termes (CDMT) de Budget</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Programmes par Objectifs (BPO), et par l’Etablissement de contrats-programm</w:t>
      </w:r>
      <w:r>
        <w:rPr>
          <w:rFonts w:asciiTheme="minorHAnsi" w:eastAsia="Verdana" w:hAnsiTheme="minorHAnsi" w:cstheme="minorHAnsi"/>
          <w:color w:val="auto"/>
          <w:sz w:val="22"/>
          <w:szCs w:val="22"/>
        </w:rPr>
        <w:t>e</w:t>
      </w:r>
      <w:r w:rsidRPr="00F33957">
        <w:t xml:space="preserve"> </w:t>
      </w:r>
      <w:r w:rsidRPr="00F33957">
        <w:rPr>
          <w:rFonts w:asciiTheme="minorHAnsi" w:eastAsia="Verdana" w:hAnsiTheme="minorHAnsi" w:cstheme="minorHAnsi"/>
          <w:color w:val="auto"/>
          <w:sz w:val="22"/>
          <w:szCs w:val="22"/>
        </w:rPr>
        <w:t>avec les Etablissements sous tutelle.</w:t>
      </w:r>
    </w:p>
    <w:p w14:paraId="5D63FA01" w14:textId="77777777" w:rsidR="008F2269" w:rsidRPr="00F33957" w:rsidRDefault="008F2269" w:rsidP="008F2269">
      <w:pPr>
        <w:pStyle w:val="Default"/>
        <w:contextualSpacing/>
        <w:jc w:val="both"/>
        <w:rPr>
          <w:rFonts w:asciiTheme="minorHAnsi" w:eastAsia="Verdana" w:hAnsiTheme="minorHAnsi" w:cstheme="minorHAnsi"/>
          <w:color w:val="auto"/>
          <w:sz w:val="22"/>
          <w:szCs w:val="22"/>
        </w:rPr>
      </w:pPr>
      <w:r w:rsidRPr="00F33957">
        <w:rPr>
          <w:rFonts w:asciiTheme="minorHAnsi" w:eastAsia="Verdana" w:hAnsiTheme="minorHAnsi" w:cstheme="minorHAnsi"/>
          <w:b/>
          <w:bCs/>
          <w:color w:val="auto"/>
          <w:sz w:val="22"/>
          <w:szCs w:val="22"/>
        </w:rPr>
        <w:t>Résultat R4.4</w:t>
      </w:r>
      <w:r w:rsidRPr="00F33957">
        <w:rPr>
          <w:rFonts w:asciiTheme="minorHAnsi" w:eastAsia="Verdana" w:hAnsiTheme="minorHAnsi" w:cstheme="minorHAnsi"/>
          <w:color w:val="auto"/>
          <w:sz w:val="22"/>
          <w:szCs w:val="22"/>
        </w:rPr>
        <w:t xml:space="preserve"> – La coordination et le suivi des interventions sectorielles seront</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appuyées par la signature de conventions systématiques de délégation de maîtrise</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d’ouvrage avec les opérateurs, le développement et l’actualisation des bases de</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données sectorielles et la mise en place d’un système de suivi-évaluation de la</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mise en œuvre de la SNADEA jusqu’en 2030.</w:t>
      </w:r>
    </w:p>
    <w:p w14:paraId="5F7AE6A8" w14:textId="77777777" w:rsidR="008F2269" w:rsidRPr="00F33957" w:rsidRDefault="008F2269" w:rsidP="008F2269">
      <w:pPr>
        <w:pStyle w:val="Default"/>
        <w:contextualSpacing/>
        <w:jc w:val="both"/>
        <w:rPr>
          <w:rFonts w:asciiTheme="minorHAnsi" w:eastAsia="Verdana" w:hAnsiTheme="minorHAnsi" w:cstheme="minorHAnsi"/>
          <w:color w:val="auto"/>
          <w:sz w:val="22"/>
          <w:szCs w:val="22"/>
        </w:rPr>
      </w:pPr>
      <w:r w:rsidRPr="00F33957">
        <w:rPr>
          <w:rFonts w:asciiTheme="minorHAnsi" w:eastAsia="Verdana" w:hAnsiTheme="minorHAnsi" w:cstheme="minorHAnsi"/>
          <w:b/>
          <w:bCs/>
          <w:color w:val="auto"/>
          <w:sz w:val="22"/>
          <w:szCs w:val="22"/>
        </w:rPr>
        <w:t>Résultat R4.5</w:t>
      </w:r>
      <w:r w:rsidRPr="00F33957">
        <w:rPr>
          <w:rFonts w:asciiTheme="minorHAnsi" w:eastAsia="Verdana" w:hAnsiTheme="minorHAnsi" w:cstheme="minorHAnsi"/>
          <w:color w:val="auto"/>
          <w:sz w:val="22"/>
          <w:szCs w:val="22"/>
        </w:rPr>
        <w:t xml:space="preserve"> – La concertation avec les collectivités territoriales, les</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communautés locales et les acteurs du secteur sera renforcée par la</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redynamisation du cadre intersectoriel d’échange existant (CNE, CRE…),</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l’organisation d’une revue sectorielle annuelle et la diffusion d’informations et de</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documentation notamment via le site du MHA et des plateformes sectorielles, et la</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mobilisation régulière des partenaires techniques et financiers.</w:t>
      </w:r>
    </w:p>
    <w:p w14:paraId="08EFA343" w14:textId="77777777" w:rsidR="008F2269" w:rsidRPr="00F33957" w:rsidRDefault="008F2269" w:rsidP="008F2269">
      <w:pPr>
        <w:pStyle w:val="Default"/>
        <w:contextualSpacing/>
        <w:jc w:val="both"/>
        <w:rPr>
          <w:rFonts w:asciiTheme="minorHAnsi" w:eastAsia="Verdana" w:hAnsiTheme="minorHAnsi" w:cstheme="minorHAnsi"/>
          <w:color w:val="auto"/>
          <w:sz w:val="22"/>
          <w:szCs w:val="22"/>
        </w:rPr>
      </w:pPr>
      <w:r w:rsidRPr="00F33957">
        <w:rPr>
          <w:rFonts w:asciiTheme="minorHAnsi" w:eastAsia="Verdana" w:hAnsiTheme="minorHAnsi" w:cstheme="minorHAnsi"/>
          <w:b/>
          <w:bCs/>
          <w:color w:val="auto"/>
          <w:sz w:val="22"/>
          <w:szCs w:val="22"/>
        </w:rPr>
        <w:t>Résultat R4.6</w:t>
      </w:r>
      <w:r w:rsidRPr="00F33957">
        <w:rPr>
          <w:rFonts w:asciiTheme="minorHAnsi" w:eastAsia="Verdana" w:hAnsiTheme="minorHAnsi" w:cstheme="minorHAnsi"/>
          <w:color w:val="auto"/>
          <w:sz w:val="22"/>
          <w:szCs w:val="22"/>
        </w:rPr>
        <w:t xml:space="preserve"> – La durabilité et l’équitabilité de l’accès à l’eau et</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l’assainissement seront visés dans i) la mise en place de contrats de Délégation de</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Service Public de l’Eau (DSP) en particulier milieu rural dans le cadre de</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Partenariats Publics et Privés (PPP); ii) le renforcement des capacités des</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professionnels et des praticiens du secteur (résilience au changement climatique</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du secteur, technologies innovantes adaptées au changement climatique, suivi</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technique et financier des délégataires, etc.) et iii) le renforcement de l’implication</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du secteur privé, des acteurs régionaux, communaux et de la Société Civile.</w:t>
      </w:r>
    </w:p>
    <w:p w14:paraId="6C56E7DA" w14:textId="77777777" w:rsidR="008F2269" w:rsidRPr="00F33957" w:rsidRDefault="008F2269" w:rsidP="008F2269">
      <w:pPr>
        <w:pStyle w:val="Default"/>
        <w:contextualSpacing/>
        <w:jc w:val="both"/>
        <w:rPr>
          <w:rFonts w:asciiTheme="minorHAnsi" w:eastAsia="Verdana" w:hAnsiTheme="minorHAnsi" w:cstheme="minorHAnsi"/>
          <w:color w:val="auto"/>
          <w:sz w:val="22"/>
          <w:szCs w:val="22"/>
        </w:rPr>
      </w:pPr>
      <w:r w:rsidRPr="00F33957">
        <w:rPr>
          <w:rFonts w:asciiTheme="minorHAnsi" w:eastAsia="Verdana" w:hAnsiTheme="minorHAnsi" w:cstheme="minorHAnsi"/>
          <w:color w:val="auto"/>
          <w:sz w:val="22"/>
          <w:szCs w:val="22"/>
        </w:rPr>
        <w:t>Par ailleurs, la réalisation des Notices et Etudes d’Impact Environnemental et</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Social (EIES) et la mise en œuvre de Plans de Gestion Environnemental et Social</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(PGES) pour tout projet sectoriel assujetti à l'évaluation environnementale en</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coordination avec les services du MEDD permettra de prendre en compte ces</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enjeux en lien avec le changement climatique.</w:t>
      </w:r>
    </w:p>
    <w:p w14:paraId="5D097DF8" w14:textId="77777777" w:rsidR="008F2269" w:rsidRDefault="008F2269" w:rsidP="008F2269">
      <w:pPr>
        <w:pStyle w:val="Default"/>
        <w:contextualSpacing/>
        <w:jc w:val="both"/>
        <w:rPr>
          <w:rFonts w:asciiTheme="minorHAnsi" w:eastAsia="Verdana" w:hAnsiTheme="minorHAnsi" w:cstheme="minorHAnsi"/>
          <w:color w:val="auto"/>
          <w:sz w:val="22"/>
          <w:szCs w:val="22"/>
        </w:rPr>
      </w:pPr>
      <w:r w:rsidRPr="00810D02">
        <w:rPr>
          <w:rFonts w:asciiTheme="minorHAnsi" w:eastAsia="Verdana" w:hAnsiTheme="minorHAnsi" w:cstheme="minorHAnsi"/>
          <w:b/>
          <w:bCs/>
          <w:color w:val="auto"/>
          <w:sz w:val="22"/>
          <w:szCs w:val="22"/>
        </w:rPr>
        <w:t>Résultat R4.7</w:t>
      </w:r>
      <w:r w:rsidRPr="00F33957">
        <w:rPr>
          <w:rFonts w:asciiTheme="minorHAnsi" w:eastAsia="Verdana" w:hAnsiTheme="minorHAnsi" w:cstheme="minorHAnsi"/>
          <w:color w:val="auto"/>
          <w:sz w:val="22"/>
          <w:szCs w:val="22"/>
        </w:rPr>
        <w:t xml:space="preserve"> – L’atteinte des objectifs de la SNADEA nécessite i) l’élaboration et</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la mise en œuvre d’un plan de développement des capacités du MHA, ii)</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l’élaboration et la diffusion de guides techniques sectoriels, ainsi que le</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développement d’une offre de formation sur les métiers de l'eau, de</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l'assainissement et de l’environnement en lien avec l’Université de Nouakchott, ce</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qui suppose que le cadre normatif soit mis en place.</w:t>
      </w:r>
    </w:p>
    <w:p w14:paraId="503282F6" w14:textId="77777777" w:rsidR="008F2269" w:rsidRDefault="008F2269" w:rsidP="008F2269">
      <w:pPr>
        <w:pStyle w:val="Default"/>
        <w:contextualSpacing/>
        <w:jc w:val="both"/>
        <w:rPr>
          <w:rFonts w:asciiTheme="minorHAnsi" w:eastAsia="Verdana" w:hAnsiTheme="minorHAnsi" w:cstheme="minorHAnsi"/>
          <w:color w:val="auto"/>
          <w:sz w:val="22"/>
          <w:szCs w:val="22"/>
        </w:rPr>
      </w:pPr>
      <w:r>
        <w:rPr>
          <w:rFonts w:asciiTheme="minorHAnsi" w:eastAsia="Verdana" w:hAnsiTheme="minorHAnsi" w:cstheme="minorHAnsi"/>
          <w:color w:val="auto"/>
          <w:sz w:val="22"/>
          <w:szCs w:val="22"/>
        </w:rPr>
        <w:t xml:space="preserve"> Il y a lieu de noter un </w:t>
      </w:r>
      <w:r w:rsidRPr="007D097B">
        <w:rPr>
          <w:rFonts w:asciiTheme="minorHAnsi" w:eastAsia="Verdana" w:hAnsiTheme="minorHAnsi" w:cstheme="minorHAnsi"/>
          <w:b/>
          <w:bCs/>
          <w:color w:val="auto"/>
          <w:sz w:val="22"/>
          <w:szCs w:val="22"/>
        </w:rPr>
        <w:t>cinquième axe</w:t>
      </w:r>
      <w:r>
        <w:rPr>
          <w:rFonts w:asciiTheme="minorHAnsi" w:eastAsia="Verdana" w:hAnsiTheme="minorHAnsi" w:cstheme="minorHAnsi"/>
          <w:color w:val="auto"/>
          <w:sz w:val="22"/>
          <w:szCs w:val="22"/>
        </w:rPr>
        <w:t xml:space="preserve"> intégré dans l’OS 4 et relatif à la Gouvernance du Secteur qui se décline en huit</w:t>
      </w:r>
      <w:r w:rsidRPr="007F6056">
        <w:rPr>
          <w:rFonts w:asciiTheme="minorHAnsi" w:eastAsia="Verdana" w:hAnsiTheme="minorHAnsi" w:cstheme="minorHAnsi"/>
          <w:color w:val="auto"/>
          <w:sz w:val="22"/>
          <w:szCs w:val="22"/>
        </w:rPr>
        <w:t xml:space="preserve"> résultats sont attendus pour l’amélioration de la Gouvernance sectorielle, liés au</w:t>
      </w:r>
      <w:r>
        <w:rPr>
          <w:rFonts w:asciiTheme="minorHAnsi" w:eastAsia="Verdana" w:hAnsiTheme="minorHAnsi" w:cstheme="minorHAnsi"/>
          <w:color w:val="auto"/>
          <w:sz w:val="22"/>
          <w:szCs w:val="22"/>
        </w:rPr>
        <w:t xml:space="preserve"> </w:t>
      </w:r>
      <w:r w:rsidRPr="007F6056">
        <w:rPr>
          <w:rFonts w:asciiTheme="minorHAnsi" w:eastAsia="Verdana" w:hAnsiTheme="minorHAnsi" w:cstheme="minorHAnsi"/>
          <w:color w:val="auto"/>
          <w:sz w:val="22"/>
          <w:szCs w:val="22"/>
        </w:rPr>
        <w:t>cadre d’intervention sectoriel (R.5.1), à l’efficience du MHA dans ses missions de maître</w:t>
      </w:r>
      <w:r>
        <w:rPr>
          <w:rFonts w:asciiTheme="minorHAnsi" w:eastAsia="Verdana" w:hAnsiTheme="minorHAnsi" w:cstheme="minorHAnsi"/>
          <w:color w:val="auto"/>
          <w:sz w:val="22"/>
          <w:szCs w:val="22"/>
        </w:rPr>
        <w:t xml:space="preserve"> </w:t>
      </w:r>
      <w:r w:rsidRPr="007F6056">
        <w:rPr>
          <w:rFonts w:asciiTheme="minorHAnsi" w:eastAsia="Verdana" w:hAnsiTheme="minorHAnsi" w:cstheme="minorHAnsi"/>
          <w:color w:val="auto"/>
          <w:sz w:val="22"/>
          <w:szCs w:val="22"/>
        </w:rPr>
        <w:t>d’ouvrage (R.5.2 à R.5.5) au renforcement de l’équité et la durabilité de l’accès au</w:t>
      </w:r>
      <w:r>
        <w:rPr>
          <w:rFonts w:asciiTheme="minorHAnsi" w:eastAsia="Verdana" w:hAnsiTheme="minorHAnsi" w:cstheme="minorHAnsi"/>
          <w:color w:val="auto"/>
          <w:sz w:val="22"/>
          <w:szCs w:val="22"/>
        </w:rPr>
        <w:t xml:space="preserve"> </w:t>
      </w:r>
      <w:r w:rsidRPr="007F6056">
        <w:rPr>
          <w:rFonts w:asciiTheme="minorHAnsi" w:eastAsia="Verdana" w:hAnsiTheme="minorHAnsi" w:cstheme="minorHAnsi"/>
          <w:color w:val="auto"/>
          <w:sz w:val="22"/>
          <w:szCs w:val="22"/>
        </w:rPr>
        <w:t xml:space="preserve">service public de l’eau et l’assainissement (R.5.6 </w:t>
      </w:r>
      <w:r>
        <w:rPr>
          <w:rFonts w:asciiTheme="minorHAnsi" w:eastAsia="Verdana" w:hAnsiTheme="minorHAnsi" w:cstheme="minorHAnsi"/>
          <w:color w:val="auto"/>
          <w:sz w:val="22"/>
          <w:szCs w:val="22"/>
        </w:rPr>
        <w:t>à</w:t>
      </w:r>
      <w:r w:rsidRPr="007F6056">
        <w:rPr>
          <w:rFonts w:asciiTheme="minorHAnsi" w:eastAsia="Verdana" w:hAnsiTheme="minorHAnsi" w:cstheme="minorHAnsi"/>
          <w:color w:val="auto"/>
          <w:sz w:val="22"/>
          <w:szCs w:val="22"/>
        </w:rPr>
        <w:t xml:space="preserve"> R.5.</w:t>
      </w:r>
      <w:r>
        <w:rPr>
          <w:rFonts w:asciiTheme="minorHAnsi" w:eastAsia="Verdana" w:hAnsiTheme="minorHAnsi" w:cstheme="minorHAnsi"/>
          <w:color w:val="auto"/>
          <w:sz w:val="22"/>
          <w:szCs w:val="22"/>
        </w:rPr>
        <w:t>8</w:t>
      </w:r>
      <w:r w:rsidRPr="007F6056">
        <w:rPr>
          <w:rFonts w:asciiTheme="minorHAnsi" w:eastAsia="Verdana" w:hAnsiTheme="minorHAnsi" w:cstheme="minorHAnsi"/>
          <w:color w:val="auto"/>
          <w:sz w:val="22"/>
          <w:szCs w:val="22"/>
        </w:rPr>
        <w:t>).</w:t>
      </w:r>
      <w:r>
        <w:rPr>
          <w:rFonts w:asciiTheme="minorHAnsi" w:eastAsia="Verdana" w:hAnsiTheme="minorHAnsi" w:cstheme="minorHAnsi"/>
          <w:color w:val="auto"/>
          <w:sz w:val="22"/>
          <w:szCs w:val="22"/>
        </w:rPr>
        <w:t xml:space="preserve"> Pour apporter plus de clarté au texte les R5.8 sont détaillés ci-dessous : </w:t>
      </w:r>
    </w:p>
    <w:p w14:paraId="3CD6F87A" w14:textId="77777777" w:rsidR="008F2269" w:rsidRDefault="008F2269" w:rsidP="008F2269">
      <w:pPr>
        <w:pStyle w:val="Default"/>
        <w:contextualSpacing/>
        <w:jc w:val="both"/>
        <w:rPr>
          <w:rFonts w:asciiTheme="minorHAnsi" w:eastAsia="Verdana" w:hAnsiTheme="minorHAnsi" w:cstheme="minorHAnsi"/>
          <w:color w:val="auto"/>
          <w:sz w:val="22"/>
          <w:szCs w:val="22"/>
        </w:rPr>
      </w:pPr>
      <w:r w:rsidRPr="007D097B">
        <w:rPr>
          <w:rFonts w:asciiTheme="minorHAnsi" w:eastAsia="Verdana" w:hAnsiTheme="minorHAnsi" w:cstheme="minorHAnsi"/>
          <w:b/>
          <w:bCs/>
          <w:color w:val="auto"/>
          <w:sz w:val="22"/>
          <w:szCs w:val="22"/>
        </w:rPr>
        <w:t>R5.1</w:t>
      </w:r>
      <w:r w:rsidRPr="007D097B">
        <w:rPr>
          <w:rFonts w:asciiTheme="minorHAnsi" w:eastAsia="Verdana" w:hAnsiTheme="minorHAnsi" w:cstheme="minorHAnsi"/>
          <w:color w:val="auto"/>
          <w:sz w:val="22"/>
          <w:szCs w:val="22"/>
        </w:rPr>
        <w:t xml:space="preserve"> Le cadre</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institutionnel, légal</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et réglementaire</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sectoriel est clarifié</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et renforcé</w:t>
      </w:r>
      <w:r>
        <w:rPr>
          <w:rFonts w:asciiTheme="minorHAnsi" w:eastAsia="Verdana" w:hAnsiTheme="minorHAnsi" w:cstheme="minorHAnsi"/>
          <w:color w:val="auto"/>
          <w:sz w:val="22"/>
          <w:szCs w:val="22"/>
        </w:rPr>
        <w:t xml:space="preserve"> :1) </w:t>
      </w:r>
      <w:r w:rsidRPr="0064075E">
        <w:rPr>
          <w:rFonts w:asciiTheme="minorHAnsi" w:eastAsia="Verdana" w:hAnsiTheme="minorHAnsi" w:cstheme="minorHAnsi"/>
          <w:color w:val="auto"/>
          <w:sz w:val="22"/>
          <w:szCs w:val="22"/>
        </w:rPr>
        <w:t>Clarifier les compétences des Institutions sectorielles</w:t>
      </w:r>
      <w:r>
        <w:rPr>
          <w:rFonts w:asciiTheme="minorHAnsi" w:eastAsia="Verdana" w:hAnsiTheme="minorHAnsi" w:cstheme="minorHAnsi"/>
          <w:color w:val="auto"/>
          <w:sz w:val="22"/>
          <w:szCs w:val="22"/>
        </w:rPr>
        <w:t xml:space="preserve"> </w:t>
      </w:r>
      <w:r w:rsidRPr="0064075E">
        <w:rPr>
          <w:rFonts w:asciiTheme="minorHAnsi" w:eastAsia="Verdana" w:hAnsiTheme="minorHAnsi" w:cstheme="minorHAnsi"/>
          <w:color w:val="auto"/>
          <w:sz w:val="22"/>
          <w:szCs w:val="22"/>
        </w:rPr>
        <w:t>et des organismes sous tutelle du MHA</w:t>
      </w:r>
      <w:r>
        <w:rPr>
          <w:rFonts w:asciiTheme="minorHAnsi" w:eastAsia="Verdana" w:hAnsiTheme="minorHAnsi" w:cstheme="minorHAnsi"/>
          <w:color w:val="auto"/>
          <w:sz w:val="22"/>
          <w:szCs w:val="22"/>
        </w:rPr>
        <w:t xml:space="preserve">, 2) </w:t>
      </w:r>
      <w:r w:rsidRPr="0064075E">
        <w:rPr>
          <w:rFonts w:asciiTheme="minorHAnsi" w:eastAsia="Verdana" w:hAnsiTheme="minorHAnsi" w:cstheme="minorHAnsi"/>
          <w:color w:val="auto"/>
          <w:sz w:val="22"/>
          <w:szCs w:val="22"/>
        </w:rPr>
        <w:t>Mettre à jour le Code de l'eau et élaborer les décrets</w:t>
      </w:r>
      <w:r>
        <w:rPr>
          <w:rFonts w:asciiTheme="minorHAnsi" w:eastAsia="Verdana" w:hAnsiTheme="minorHAnsi" w:cstheme="minorHAnsi"/>
          <w:color w:val="auto"/>
          <w:sz w:val="22"/>
          <w:szCs w:val="22"/>
        </w:rPr>
        <w:t xml:space="preserve"> </w:t>
      </w:r>
      <w:r w:rsidRPr="0064075E">
        <w:rPr>
          <w:rFonts w:asciiTheme="minorHAnsi" w:eastAsia="Verdana" w:hAnsiTheme="minorHAnsi" w:cstheme="minorHAnsi"/>
          <w:color w:val="auto"/>
          <w:sz w:val="22"/>
          <w:szCs w:val="22"/>
        </w:rPr>
        <w:t>d'application</w:t>
      </w:r>
      <w:r>
        <w:rPr>
          <w:rFonts w:asciiTheme="minorHAnsi" w:eastAsia="Verdana" w:hAnsiTheme="minorHAnsi" w:cstheme="minorHAnsi"/>
          <w:color w:val="auto"/>
          <w:sz w:val="22"/>
          <w:szCs w:val="22"/>
        </w:rPr>
        <w:t>, 3)</w:t>
      </w:r>
      <w:r w:rsidRPr="0064075E">
        <w:t xml:space="preserve"> </w:t>
      </w:r>
      <w:r w:rsidRPr="0064075E">
        <w:rPr>
          <w:rFonts w:asciiTheme="minorHAnsi" w:eastAsia="Verdana" w:hAnsiTheme="minorHAnsi" w:cstheme="minorHAnsi"/>
          <w:color w:val="auto"/>
          <w:sz w:val="22"/>
          <w:szCs w:val="22"/>
        </w:rPr>
        <w:t>Elaborer un Code de l’assainissement</w:t>
      </w:r>
      <w:r>
        <w:rPr>
          <w:rFonts w:asciiTheme="minorHAnsi" w:eastAsia="Verdana" w:hAnsiTheme="minorHAnsi" w:cstheme="minorHAnsi"/>
          <w:color w:val="auto"/>
          <w:sz w:val="22"/>
          <w:szCs w:val="22"/>
        </w:rPr>
        <w:t xml:space="preserve"> et 4)</w:t>
      </w:r>
      <w:r w:rsidRPr="0064075E">
        <w:t xml:space="preserve"> </w:t>
      </w:r>
      <w:r w:rsidRPr="0064075E">
        <w:rPr>
          <w:rFonts w:asciiTheme="minorHAnsi" w:eastAsia="Verdana" w:hAnsiTheme="minorHAnsi" w:cstheme="minorHAnsi"/>
          <w:color w:val="auto"/>
          <w:sz w:val="22"/>
          <w:szCs w:val="22"/>
        </w:rPr>
        <w:t>Etablir des normes fixant les modalités d'intervention</w:t>
      </w:r>
      <w:r>
        <w:rPr>
          <w:rFonts w:asciiTheme="minorHAnsi" w:eastAsia="Verdana" w:hAnsiTheme="minorHAnsi" w:cstheme="minorHAnsi"/>
          <w:color w:val="auto"/>
          <w:sz w:val="22"/>
          <w:szCs w:val="22"/>
        </w:rPr>
        <w:t xml:space="preserve"> </w:t>
      </w:r>
      <w:r w:rsidRPr="0064075E">
        <w:rPr>
          <w:rFonts w:asciiTheme="minorHAnsi" w:eastAsia="Verdana" w:hAnsiTheme="minorHAnsi" w:cstheme="minorHAnsi"/>
          <w:color w:val="auto"/>
          <w:sz w:val="22"/>
          <w:szCs w:val="22"/>
        </w:rPr>
        <w:t>sectorielles et les inscrire dans un cadre réglementaire</w:t>
      </w:r>
      <w:r>
        <w:rPr>
          <w:rFonts w:asciiTheme="minorHAnsi" w:eastAsia="Verdana" w:hAnsiTheme="minorHAnsi" w:cstheme="minorHAnsi"/>
          <w:color w:val="auto"/>
          <w:sz w:val="22"/>
          <w:szCs w:val="22"/>
        </w:rPr>
        <w:t> ;</w:t>
      </w:r>
    </w:p>
    <w:p w14:paraId="1E072362" w14:textId="77777777" w:rsidR="008F2269" w:rsidRDefault="008F2269" w:rsidP="008F2269">
      <w:pPr>
        <w:pStyle w:val="Default"/>
        <w:contextualSpacing/>
        <w:jc w:val="both"/>
        <w:rPr>
          <w:rFonts w:asciiTheme="minorHAnsi" w:eastAsia="Verdana" w:hAnsiTheme="minorHAnsi" w:cstheme="minorHAnsi"/>
          <w:color w:val="auto"/>
          <w:sz w:val="22"/>
          <w:szCs w:val="22"/>
        </w:rPr>
      </w:pPr>
      <w:r w:rsidRPr="007D097B">
        <w:rPr>
          <w:rFonts w:asciiTheme="minorHAnsi" w:eastAsia="Verdana" w:hAnsiTheme="minorHAnsi" w:cstheme="minorHAnsi"/>
          <w:b/>
          <w:bCs/>
          <w:color w:val="auto"/>
          <w:sz w:val="22"/>
          <w:szCs w:val="22"/>
        </w:rPr>
        <w:t>R5.2</w:t>
      </w:r>
      <w:r w:rsidRPr="007D097B">
        <w:rPr>
          <w:rFonts w:asciiTheme="minorHAnsi" w:eastAsia="Verdana" w:hAnsiTheme="minorHAnsi" w:cstheme="minorHAnsi"/>
          <w:color w:val="auto"/>
          <w:sz w:val="22"/>
          <w:szCs w:val="22"/>
        </w:rPr>
        <w:t xml:space="preserve"> la planification</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stratégique</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sectorielle est</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renforcée</w:t>
      </w:r>
      <w:r>
        <w:rPr>
          <w:rFonts w:asciiTheme="minorHAnsi" w:eastAsia="Verdana" w:hAnsiTheme="minorHAnsi" w:cstheme="minorHAnsi"/>
          <w:color w:val="auto"/>
          <w:sz w:val="22"/>
          <w:szCs w:val="22"/>
        </w:rPr>
        <w:t xml:space="preserve"> 1) </w:t>
      </w:r>
      <w:r w:rsidRPr="0064075E">
        <w:rPr>
          <w:rFonts w:asciiTheme="minorHAnsi" w:eastAsia="Verdana" w:hAnsiTheme="minorHAnsi" w:cstheme="minorHAnsi"/>
          <w:color w:val="auto"/>
          <w:sz w:val="22"/>
          <w:szCs w:val="22"/>
        </w:rPr>
        <w:t>Établir le Plan National des Barrages</w:t>
      </w:r>
      <w:r>
        <w:rPr>
          <w:rFonts w:asciiTheme="minorHAnsi" w:eastAsia="Verdana" w:hAnsiTheme="minorHAnsi" w:cstheme="minorHAnsi"/>
          <w:color w:val="auto"/>
          <w:sz w:val="22"/>
          <w:szCs w:val="22"/>
        </w:rPr>
        <w:t xml:space="preserve">, 2) </w:t>
      </w:r>
      <w:r w:rsidRPr="0064075E">
        <w:rPr>
          <w:rFonts w:asciiTheme="minorHAnsi" w:eastAsia="Verdana" w:hAnsiTheme="minorHAnsi" w:cstheme="minorHAnsi"/>
          <w:color w:val="auto"/>
          <w:sz w:val="22"/>
          <w:szCs w:val="22"/>
        </w:rPr>
        <w:t>Etablir un Plan National d’Alimentation en eau du</w:t>
      </w:r>
      <w:r>
        <w:rPr>
          <w:rFonts w:asciiTheme="minorHAnsi" w:eastAsia="Verdana" w:hAnsiTheme="minorHAnsi" w:cstheme="minorHAnsi"/>
          <w:color w:val="auto"/>
          <w:sz w:val="22"/>
          <w:szCs w:val="22"/>
        </w:rPr>
        <w:t xml:space="preserve"> </w:t>
      </w:r>
      <w:r w:rsidRPr="0064075E">
        <w:rPr>
          <w:rFonts w:asciiTheme="minorHAnsi" w:eastAsia="Verdana" w:hAnsiTheme="minorHAnsi" w:cstheme="minorHAnsi"/>
          <w:color w:val="auto"/>
          <w:sz w:val="22"/>
          <w:szCs w:val="22"/>
        </w:rPr>
        <w:t>secteur minier et des industries</w:t>
      </w:r>
      <w:r>
        <w:rPr>
          <w:rFonts w:asciiTheme="minorHAnsi" w:eastAsia="Verdana" w:hAnsiTheme="minorHAnsi" w:cstheme="minorHAnsi"/>
          <w:color w:val="auto"/>
          <w:sz w:val="22"/>
          <w:szCs w:val="22"/>
        </w:rPr>
        <w:t xml:space="preserve"> et 3).  </w:t>
      </w:r>
      <w:r w:rsidRPr="00BE33BA">
        <w:rPr>
          <w:rFonts w:asciiTheme="minorHAnsi" w:eastAsia="Verdana" w:hAnsiTheme="minorHAnsi" w:cstheme="minorHAnsi"/>
          <w:color w:val="auto"/>
          <w:sz w:val="22"/>
          <w:szCs w:val="22"/>
        </w:rPr>
        <w:t>Etablir le Plan National d'Aménagement et de Gestion</w:t>
      </w:r>
      <w:r>
        <w:rPr>
          <w:rFonts w:asciiTheme="minorHAnsi" w:eastAsia="Verdana" w:hAnsiTheme="minorHAnsi" w:cstheme="minorHAnsi"/>
          <w:color w:val="auto"/>
          <w:sz w:val="22"/>
          <w:szCs w:val="22"/>
        </w:rPr>
        <w:t xml:space="preserve"> </w:t>
      </w:r>
      <w:r w:rsidRPr="00BE33BA">
        <w:rPr>
          <w:rFonts w:asciiTheme="minorHAnsi" w:eastAsia="Verdana" w:hAnsiTheme="minorHAnsi" w:cstheme="minorHAnsi"/>
          <w:color w:val="auto"/>
          <w:sz w:val="22"/>
          <w:szCs w:val="22"/>
        </w:rPr>
        <w:t>de l'Eau et les SAGE déclinés du SDAGE du fleuve</w:t>
      </w:r>
      <w:r>
        <w:rPr>
          <w:rFonts w:asciiTheme="minorHAnsi" w:eastAsia="Verdana" w:hAnsiTheme="minorHAnsi" w:cstheme="minorHAnsi"/>
          <w:color w:val="auto"/>
          <w:sz w:val="22"/>
          <w:szCs w:val="22"/>
        </w:rPr>
        <w:t xml:space="preserve"> </w:t>
      </w:r>
      <w:r w:rsidRPr="00BE33BA">
        <w:rPr>
          <w:rFonts w:asciiTheme="minorHAnsi" w:eastAsia="Verdana" w:hAnsiTheme="minorHAnsi" w:cstheme="minorHAnsi"/>
          <w:color w:val="auto"/>
          <w:sz w:val="22"/>
          <w:szCs w:val="22"/>
        </w:rPr>
        <w:t>Sénégal</w:t>
      </w:r>
      <w:r>
        <w:rPr>
          <w:rFonts w:asciiTheme="minorHAnsi" w:eastAsia="Verdana" w:hAnsiTheme="minorHAnsi" w:cstheme="minorHAnsi"/>
          <w:color w:val="auto"/>
          <w:sz w:val="22"/>
          <w:szCs w:val="22"/>
        </w:rPr>
        <w:t> ;</w:t>
      </w:r>
    </w:p>
    <w:p w14:paraId="12E52FE2" w14:textId="77777777" w:rsidR="008F2269" w:rsidRDefault="008F2269" w:rsidP="008F2269">
      <w:pPr>
        <w:pStyle w:val="Default"/>
        <w:contextualSpacing/>
        <w:jc w:val="both"/>
        <w:rPr>
          <w:rFonts w:asciiTheme="minorHAnsi" w:eastAsia="Verdana" w:hAnsiTheme="minorHAnsi" w:cstheme="minorHAnsi"/>
          <w:color w:val="auto"/>
          <w:sz w:val="22"/>
          <w:szCs w:val="22"/>
        </w:rPr>
      </w:pPr>
      <w:r w:rsidRPr="007D097B">
        <w:rPr>
          <w:rFonts w:asciiTheme="minorHAnsi" w:eastAsia="Verdana" w:hAnsiTheme="minorHAnsi" w:cstheme="minorHAnsi"/>
          <w:b/>
          <w:bCs/>
          <w:color w:val="auto"/>
          <w:sz w:val="22"/>
          <w:szCs w:val="22"/>
        </w:rPr>
        <w:t>R5.3</w:t>
      </w:r>
      <w:r w:rsidRPr="007D097B">
        <w:rPr>
          <w:rFonts w:asciiTheme="minorHAnsi" w:eastAsia="Verdana" w:hAnsiTheme="minorHAnsi" w:cstheme="minorHAnsi"/>
          <w:color w:val="auto"/>
          <w:sz w:val="22"/>
          <w:szCs w:val="22"/>
        </w:rPr>
        <w:t xml:space="preserve"> Le MHA assure</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une programmation</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efficiente du secteur</w:t>
      </w:r>
      <w:r>
        <w:rPr>
          <w:rFonts w:asciiTheme="minorHAnsi" w:eastAsia="Verdana" w:hAnsiTheme="minorHAnsi" w:cstheme="minorHAnsi"/>
          <w:color w:val="auto"/>
          <w:sz w:val="22"/>
          <w:szCs w:val="22"/>
        </w:rPr>
        <w:t xml:space="preserve"> : 1) </w:t>
      </w:r>
      <w:r w:rsidRPr="00BE33BA">
        <w:rPr>
          <w:rFonts w:asciiTheme="minorHAnsi" w:eastAsia="Verdana" w:hAnsiTheme="minorHAnsi" w:cstheme="minorHAnsi"/>
          <w:color w:val="auto"/>
          <w:sz w:val="22"/>
          <w:szCs w:val="22"/>
        </w:rPr>
        <w:t>Élaborer et mettre en œuvre le cadre de</w:t>
      </w:r>
      <w:r>
        <w:rPr>
          <w:rFonts w:asciiTheme="minorHAnsi" w:eastAsia="Verdana" w:hAnsiTheme="minorHAnsi" w:cstheme="minorHAnsi"/>
          <w:color w:val="auto"/>
          <w:sz w:val="22"/>
          <w:szCs w:val="22"/>
        </w:rPr>
        <w:t xml:space="preserve"> </w:t>
      </w:r>
      <w:r w:rsidRPr="00BE33BA">
        <w:rPr>
          <w:rFonts w:asciiTheme="minorHAnsi" w:eastAsia="Verdana" w:hAnsiTheme="minorHAnsi" w:cstheme="minorHAnsi"/>
          <w:color w:val="auto"/>
          <w:sz w:val="22"/>
          <w:szCs w:val="22"/>
        </w:rPr>
        <w:t>programmation des investissements (BPO/CDMT)</w:t>
      </w:r>
      <w:r>
        <w:rPr>
          <w:rFonts w:asciiTheme="minorHAnsi" w:eastAsia="Verdana" w:hAnsiTheme="minorHAnsi" w:cstheme="minorHAnsi"/>
          <w:color w:val="auto"/>
          <w:sz w:val="22"/>
          <w:szCs w:val="22"/>
        </w:rPr>
        <w:t>, 2</w:t>
      </w:r>
      <w:r w:rsidRPr="00BE33BA">
        <w:t xml:space="preserve"> </w:t>
      </w:r>
      <w:r w:rsidRPr="00BE33BA">
        <w:rPr>
          <w:rFonts w:asciiTheme="minorHAnsi" w:eastAsia="Verdana" w:hAnsiTheme="minorHAnsi" w:cstheme="minorHAnsi"/>
          <w:color w:val="auto"/>
          <w:sz w:val="22"/>
          <w:szCs w:val="22"/>
        </w:rPr>
        <w:t>Appuyer la mise en place de Schémas Directeurs</w:t>
      </w:r>
      <w:r>
        <w:rPr>
          <w:rFonts w:asciiTheme="minorHAnsi" w:eastAsia="Verdana" w:hAnsiTheme="minorHAnsi" w:cstheme="minorHAnsi"/>
          <w:color w:val="auto"/>
          <w:sz w:val="22"/>
          <w:szCs w:val="22"/>
        </w:rPr>
        <w:t xml:space="preserve"> </w:t>
      </w:r>
      <w:r w:rsidRPr="00BE33BA">
        <w:rPr>
          <w:rFonts w:asciiTheme="minorHAnsi" w:eastAsia="Verdana" w:hAnsiTheme="minorHAnsi" w:cstheme="minorHAnsi"/>
          <w:color w:val="auto"/>
          <w:sz w:val="22"/>
          <w:szCs w:val="22"/>
        </w:rPr>
        <w:t>Régionaux (9) et de Plans communaux Hydraulique et</w:t>
      </w:r>
      <w:r>
        <w:rPr>
          <w:rFonts w:asciiTheme="minorHAnsi" w:eastAsia="Verdana" w:hAnsiTheme="minorHAnsi" w:cstheme="minorHAnsi"/>
          <w:color w:val="auto"/>
          <w:sz w:val="22"/>
          <w:szCs w:val="22"/>
        </w:rPr>
        <w:t xml:space="preserve"> </w:t>
      </w:r>
      <w:r w:rsidRPr="00BE33BA">
        <w:rPr>
          <w:rFonts w:asciiTheme="minorHAnsi" w:eastAsia="Verdana" w:hAnsiTheme="minorHAnsi" w:cstheme="minorHAnsi"/>
          <w:color w:val="auto"/>
          <w:sz w:val="22"/>
          <w:szCs w:val="22"/>
        </w:rPr>
        <w:t>Assainissement (PCHA) (150)</w:t>
      </w:r>
      <w:r>
        <w:rPr>
          <w:rFonts w:asciiTheme="minorHAnsi" w:eastAsia="Verdana" w:hAnsiTheme="minorHAnsi" w:cstheme="minorHAnsi"/>
          <w:color w:val="auto"/>
          <w:sz w:val="22"/>
          <w:szCs w:val="22"/>
        </w:rPr>
        <w:t xml:space="preserve"> et 3) </w:t>
      </w:r>
      <w:r w:rsidRPr="00BE33BA">
        <w:rPr>
          <w:rFonts w:asciiTheme="minorHAnsi" w:eastAsia="Verdana" w:hAnsiTheme="minorHAnsi" w:cstheme="minorHAnsi"/>
          <w:color w:val="auto"/>
          <w:sz w:val="22"/>
          <w:szCs w:val="22"/>
        </w:rPr>
        <w:t>Actualiser et mettre à jour les bases de données du</w:t>
      </w:r>
      <w:r>
        <w:rPr>
          <w:rFonts w:asciiTheme="minorHAnsi" w:eastAsia="Verdana" w:hAnsiTheme="minorHAnsi" w:cstheme="minorHAnsi"/>
          <w:color w:val="auto"/>
          <w:sz w:val="22"/>
          <w:szCs w:val="22"/>
        </w:rPr>
        <w:t xml:space="preserve"> </w:t>
      </w:r>
      <w:r w:rsidRPr="00BE33BA">
        <w:rPr>
          <w:rFonts w:asciiTheme="minorHAnsi" w:eastAsia="Verdana" w:hAnsiTheme="minorHAnsi" w:cstheme="minorHAnsi"/>
          <w:color w:val="auto"/>
          <w:sz w:val="22"/>
          <w:szCs w:val="22"/>
        </w:rPr>
        <w:t>MHA (expertise biennale)</w:t>
      </w:r>
      <w:r>
        <w:rPr>
          <w:rFonts w:asciiTheme="minorHAnsi" w:eastAsia="Verdana" w:hAnsiTheme="minorHAnsi" w:cstheme="minorHAnsi"/>
          <w:color w:val="auto"/>
          <w:sz w:val="22"/>
          <w:szCs w:val="22"/>
        </w:rPr>
        <w:t xml:space="preserve"> ;</w:t>
      </w:r>
    </w:p>
    <w:p w14:paraId="7D6ABD4D" w14:textId="77777777" w:rsidR="008F2269" w:rsidRDefault="008F2269" w:rsidP="008F2269">
      <w:pPr>
        <w:pStyle w:val="Default"/>
        <w:contextualSpacing/>
        <w:jc w:val="both"/>
        <w:rPr>
          <w:rFonts w:asciiTheme="minorHAnsi" w:eastAsia="Verdana" w:hAnsiTheme="minorHAnsi" w:cstheme="minorHAnsi"/>
          <w:color w:val="auto"/>
          <w:sz w:val="22"/>
          <w:szCs w:val="22"/>
        </w:rPr>
      </w:pPr>
      <w:r w:rsidRPr="007D097B">
        <w:rPr>
          <w:rFonts w:asciiTheme="minorHAnsi" w:eastAsia="Verdana" w:hAnsiTheme="minorHAnsi" w:cstheme="minorHAnsi"/>
          <w:b/>
          <w:bCs/>
          <w:color w:val="auto"/>
          <w:sz w:val="22"/>
          <w:szCs w:val="22"/>
        </w:rPr>
        <w:t>R5.4</w:t>
      </w:r>
      <w:r w:rsidRPr="007D097B">
        <w:rPr>
          <w:rFonts w:asciiTheme="minorHAnsi" w:eastAsia="Verdana" w:hAnsiTheme="minorHAnsi" w:cstheme="minorHAnsi"/>
          <w:color w:val="auto"/>
          <w:sz w:val="22"/>
          <w:szCs w:val="22"/>
        </w:rPr>
        <w:t xml:space="preserve"> Le MHA assure</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une coordination</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efficiente et un suivi</w:t>
      </w:r>
      <w:r>
        <w:rPr>
          <w:rFonts w:asciiTheme="minorHAnsi" w:eastAsia="Verdana" w:hAnsiTheme="minorHAnsi" w:cstheme="minorHAnsi"/>
          <w:color w:val="auto"/>
          <w:sz w:val="22"/>
          <w:szCs w:val="22"/>
        </w:rPr>
        <w:t>-</w:t>
      </w:r>
      <w:r w:rsidRPr="007D097B">
        <w:rPr>
          <w:rFonts w:asciiTheme="minorHAnsi" w:eastAsia="Verdana" w:hAnsiTheme="minorHAnsi" w:cstheme="minorHAnsi"/>
          <w:color w:val="auto"/>
          <w:sz w:val="22"/>
          <w:szCs w:val="22"/>
        </w:rPr>
        <w:t>évaluation</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soutenu</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des interventions</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sectorielles</w:t>
      </w:r>
      <w:r>
        <w:rPr>
          <w:rFonts w:asciiTheme="minorHAnsi" w:eastAsia="Verdana" w:hAnsiTheme="minorHAnsi" w:cstheme="minorHAnsi"/>
          <w:color w:val="auto"/>
          <w:sz w:val="22"/>
          <w:szCs w:val="22"/>
        </w:rPr>
        <w:t> : 1)</w:t>
      </w:r>
      <w:r w:rsidRPr="00BE33BA">
        <w:t xml:space="preserve"> </w:t>
      </w:r>
      <w:r w:rsidRPr="00BE33BA">
        <w:rPr>
          <w:rFonts w:asciiTheme="minorHAnsi" w:eastAsia="Verdana" w:hAnsiTheme="minorHAnsi" w:cstheme="minorHAnsi"/>
          <w:color w:val="auto"/>
          <w:sz w:val="22"/>
          <w:szCs w:val="22"/>
        </w:rPr>
        <w:t>Établir des conventions de délégation de maîtrise</w:t>
      </w:r>
      <w:r>
        <w:rPr>
          <w:rFonts w:asciiTheme="minorHAnsi" w:eastAsia="Verdana" w:hAnsiTheme="minorHAnsi" w:cstheme="minorHAnsi"/>
          <w:color w:val="auto"/>
          <w:sz w:val="22"/>
          <w:szCs w:val="22"/>
        </w:rPr>
        <w:t xml:space="preserve"> </w:t>
      </w:r>
      <w:r w:rsidRPr="00BE33BA">
        <w:rPr>
          <w:rFonts w:asciiTheme="minorHAnsi" w:eastAsia="Verdana" w:hAnsiTheme="minorHAnsi" w:cstheme="minorHAnsi"/>
          <w:color w:val="auto"/>
          <w:sz w:val="22"/>
          <w:szCs w:val="22"/>
        </w:rPr>
        <w:t>d'ouvrage</w:t>
      </w:r>
      <w:r>
        <w:rPr>
          <w:rFonts w:asciiTheme="minorHAnsi" w:eastAsia="Verdana" w:hAnsiTheme="minorHAnsi" w:cstheme="minorHAnsi"/>
          <w:color w:val="auto"/>
          <w:sz w:val="22"/>
          <w:szCs w:val="22"/>
        </w:rPr>
        <w:t xml:space="preserve">, 2) </w:t>
      </w:r>
      <w:r w:rsidRPr="00BE33BA">
        <w:rPr>
          <w:rFonts w:asciiTheme="minorHAnsi" w:eastAsia="Verdana" w:hAnsiTheme="minorHAnsi" w:cstheme="minorHAnsi"/>
          <w:color w:val="auto"/>
          <w:sz w:val="22"/>
          <w:szCs w:val="22"/>
        </w:rPr>
        <w:t>Établir des contrats-programme avec les Entreprises</w:t>
      </w:r>
      <w:r>
        <w:rPr>
          <w:rFonts w:asciiTheme="minorHAnsi" w:eastAsia="Verdana" w:hAnsiTheme="minorHAnsi" w:cstheme="minorHAnsi"/>
          <w:color w:val="auto"/>
          <w:sz w:val="22"/>
          <w:szCs w:val="22"/>
        </w:rPr>
        <w:t xml:space="preserve"> </w:t>
      </w:r>
      <w:r w:rsidRPr="00BE33BA">
        <w:rPr>
          <w:rFonts w:asciiTheme="minorHAnsi" w:eastAsia="Verdana" w:hAnsiTheme="minorHAnsi" w:cstheme="minorHAnsi"/>
          <w:color w:val="auto"/>
          <w:sz w:val="22"/>
          <w:szCs w:val="22"/>
        </w:rPr>
        <w:t>publiques (SNDE, SNFP, ONAS et l'ONSER)</w:t>
      </w:r>
      <w:r>
        <w:rPr>
          <w:rFonts w:asciiTheme="minorHAnsi" w:eastAsia="Verdana" w:hAnsiTheme="minorHAnsi" w:cstheme="minorHAnsi"/>
          <w:color w:val="auto"/>
          <w:sz w:val="22"/>
          <w:szCs w:val="22"/>
        </w:rPr>
        <w:t xml:space="preserve">, 3) </w:t>
      </w:r>
      <w:r w:rsidRPr="00BE33BA">
        <w:rPr>
          <w:rFonts w:asciiTheme="minorHAnsi" w:eastAsia="Verdana" w:hAnsiTheme="minorHAnsi" w:cstheme="minorHAnsi"/>
          <w:color w:val="auto"/>
          <w:sz w:val="22"/>
          <w:szCs w:val="22"/>
        </w:rPr>
        <w:t>Mettre en œuvre le plan de développement de</w:t>
      </w:r>
      <w:r>
        <w:rPr>
          <w:rFonts w:asciiTheme="minorHAnsi" w:eastAsia="Verdana" w:hAnsiTheme="minorHAnsi" w:cstheme="minorHAnsi"/>
          <w:color w:val="auto"/>
          <w:sz w:val="22"/>
          <w:szCs w:val="22"/>
        </w:rPr>
        <w:t xml:space="preserve"> </w:t>
      </w:r>
      <w:r w:rsidRPr="00BE33BA">
        <w:rPr>
          <w:rFonts w:asciiTheme="minorHAnsi" w:eastAsia="Verdana" w:hAnsiTheme="minorHAnsi" w:cstheme="minorHAnsi"/>
          <w:color w:val="auto"/>
          <w:sz w:val="22"/>
          <w:szCs w:val="22"/>
        </w:rPr>
        <w:t>l'ONSER</w:t>
      </w:r>
      <w:r>
        <w:rPr>
          <w:rFonts w:asciiTheme="minorHAnsi" w:eastAsia="Verdana" w:hAnsiTheme="minorHAnsi" w:cstheme="minorHAnsi"/>
          <w:color w:val="auto"/>
          <w:sz w:val="22"/>
          <w:szCs w:val="22"/>
        </w:rPr>
        <w:t xml:space="preserve">, et 4) </w:t>
      </w:r>
      <w:r w:rsidRPr="00BE33BA">
        <w:rPr>
          <w:rFonts w:asciiTheme="minorHAnsi" w:eastAsia="Verdana" w:hAnsiTheme="minorHAnsi" w:cstheme="minorHAnsi"/>
          <w:color w:val="auto"/>
          <w:sz w:val="22"/>
          <w:szCs w:val="22"/>
        </w:rPr>
        <w:t>Mettre en place un système de suivi-évaluation du</w:t>
      </w:r>
      <w:r>
        <w:rPr>
          <w:rFonts w:asciiTheme="minorHAnsi" w:eastAsia="Verdana" w:hAnsiTheme="minorHAnsi" w:cstheme="minorHAnsi"/>
          <w:color w:val="auto"/>
          <w:sz w:val="22"/>
          <w:szCs w:val="22"/>
        </w:rPr>
        <w:t xml:space="preserve"> </w:t>
      </w:r>
      <w:r w:rsidRPr="00BE33BA">
        <w:rPr>
          <w:rFonts w:asciiTheme="minorHAnsi" w:eastAsia="Verdana" w:hAnsiTheme="minorHAnsi" w:cstheme="minorHAnsi"/>
          <w:color w:val="auto"/>
          <w:sz w:val="22"/>
          <w:szCs w:val="22"/>
        </w:rPr>
        <w:t>service de l'eau et de l'assainissement (collecte et</w:t>
      </w:r>
      <w:r>
        <w:rPr>
          <w:rFonts w:asciiTheme="minorHAnsi" w:eastAsia="Verdana" w:hAnsiTheme="minorHAnsi" w:cstheme="minorHAnsi"/>
          <w:color w:val="auto"/>
          <w:sz w:val="22"/>
          <w:szCs w:val="22"/>
        </w:rPr>
        <w:t xml:space="preserve"> </w:t>
      </w:r>
      <w:r w:rsidRPr="00BE33BA">
        <w:rPr>
          <w:rFonts w:asciiTheme="minorHAnsi" w:eastAsia="Verdana" w:hAnsiTheme="minorHAnsi" w:cstheme="minorHAnsi"/>
          <w:color w:val="auto"/>
          <w:sz w:val="22"/>
          <w:szCs w:val="22"/>
        </w:rPr>
        <w:t>traitement des données</w:t>
      </w:r>
      <w:r>
        <w:rPr>
          <w:rFonts w:asciiTheme="minorHAnsi" w:eastAsia="Verdana" w:hAnsiTheme="minorHAnsi" w:cstheme="minorHAnsi"/>
          <w:color w:val="auto"/>
          <w:sz w:val="22"/>
          <w:szCs w:val="22"/>
        </w:rPr>
        <w:t>) ;</w:t>
      </w:r>
    </w:p>
    <w:p w14:paraId="02ED28C4" w14:textId="77777777" w:rsidR="008F2269" w:rsidRDefault="008F2269" w:rsidP="008F2269">
      <w:pPr>
        <w:pStyle w:val="Default"/>
        <w:jc w:val="both"/>
        <w:rPr>
          <w:rFonts w:asciiTheme="minorHAnsi" w:eastAsia="Verdana" w:hAnsiTheme="minorHAnsi" w:cstheme="minorHAnsi"/>
          <w:color w:val="auto"/>
          <w:sz w:val="22"/>
          <w:szCs w:val="22"/>
        </w:rPr>
      </w:pPr>
      <w:r w:rsidRPr="007D097B">
        <w:rPr>
          <w:rFonts w:asciiTheme="minorHAnsi" w:eastAsia="Verdana" w:hAnsiTheme="minorHAnsi" w:cstheme="minorHAnsi"/>
          <w:b/>
          <w:bCs/>
          <w:color w:val="auto"/>
          <w:sz w:val="22"/>
          <w:szCs w:val="22"/>
        </w:rPr>
        <w:t>R5.5</w:t>
      </w:r>
      <w:r w:rsidRPr="007D097B">
        <w:rPr>
          <w:rFonts w:asciiTheme="minorHAnsi" w:eastAsia="Verdana" w:hAnsiTheme="minorHAnsi" w:cstheme="minorHAnsi"/>
          <w:color w:val="auto"/>
          <w:sz w:val="22"/>
          <w:szCs w:val="22"/>
        </w:rPr>
        <w:t xml:space="preserve"> Le MHA assure</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une concertation</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soutenue avec</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l’ensemble des</w:t>
      </w:r>
      <w:r>
        <w:rPr>
          <w:rFonts w:asciiTheme="minorHAnsi" w:eastAsia="Verdana" w:hAnsiTheme="minorHAnsi" w:cstheme="minorHAnsi"/>
          <w:color w:val="auto"/>
          <w:sz w:val="22"/>
          <w:szCs w:val="22"/>
        </w:rPr>
        <w:t xml:space="preserve"> acteurs du secteur : 1)</w:t>
      </w:r>
      <w:r w:rsidRPr="00A5492D">
        <w:t xml:space="preserve"> </w:t>
      </w:r>
      <w:r w:rsidRPr="00A5492D">
        <w:rPr>
          <w:rFonts w:asciiTheme="minorHAnsi" w:eastAsia="Verdana" w:hAnsiTheme="minorHAnsi" w:cstheme="minorHAnsi"/>
          <w:color w:val="auto"/>
          <w:sz w:val="22"/>
          <w:szCs w:val="22"/>
        </w:rPr>
        <w:t>Redynamiser le cadre intersectoriel pour l'eau,</w:t>
      </w:r>
      <w:r>
        <w:rPr>
          <w:rFonts w:asciiTheme="minorHAnsi" w:eastAsia="Verdana" w:hAnsiTheme="minorHAnsi" w:cstheme="minorHAnsi"/>
          <w:color w:val="auto"/>
          <w:sz w:val="22"/>
          <w:szCs w:val="22"/>
        </w:rPr>
        <w:t xml:space="preserve"> </w:t>
      </w:r>
      <w:r w:rsidRPr="00A5492D">
        <w:rPr>
          <w:rFonts w:asciiTheme="minorHAnsi" w:eastAsia="Verdana" w:hAnsiTheme="minorHAnsi" w:cstheme="minorHAnsi"/>
          <w:color w:val="auto"/>
          <w:sz w:val="22"/>
          <w:szCs w:val="22"/>
        </w:rPr>
        <w:t>l'assainissement, l'hygiène et l'environnement</w:t>
      </w:r>
      <w:r>
        <w:rPr>
          <w:rFonts w:asciiTheme="minorHAnsi" w:eastAsia="Verdana" w:hAnsiTheme="minorHAnsi" w:cstheme="minorHAnsi"/>
          <w:color w:val="auto"/>
          <w:sz w:val="22"/>
          <w:szCs w:val="22"/>
        </w:rPr>
        <w:t xml:space="preserve"> </w:t>
      </w:r>
      <w:r w:rsidRPr="00A5492D">
        <w:rPr>
          <w:rFonts w:asciiTheme="minorHAnsi" w:eastAsia="Verdana" w:hAnsiTheme="minorHAnsi" w:cstheme="minorHAnsi"/>
          <w:color w:val="auto"/>
          <w:sz w:val="22"/>
          <w:szCs w:val="22"/>
        </w:rPr>
        <w:t>(CNE/CRE/CTE/REPAM) (4 réunions annuelles)</w:t>
      </w:r>
      <w:r>
        <w:rPr>
          <w:rFonts w:asciiTheme="minorHAnsi" w:eastAsia="Verdana" w:hAnsiTheme="minorHAnsi" w:cstheme="minorHAnsi"/>
          <w:color w:val="auto"/>
          <w:sz w:val="22"/>
          <w:szCs w:val="22"/>
        </w:rPr>
        <w:t xml:space="preserve">, 2) </w:t>
      </w:r>
      <w:r w:rsidRPr="00A5492D">
        <w:rPr>
          <w:rFonts w:asciiTheme="minorHAnsi" w:eastAsia="Verdana" w:hAnsiTheme="minorHAnsi" w:cstheme="minorHAnsi"/>
          <w:color w:val="auto"/>
          <w:sz w:val="22"/>
          <w:szCs w:val="22"/>
        </w:rPr>
        <w:t>Appuyer la concertation intersectorielle pour la mise</w:t>
      </w:r>
      <w:r>
        <w:rPr>
          <w:rFonts w:asciiTheme="minorHAnsi" w:eastAsia="Verdana" w:hAnsiTheme="minorHAnsi" w:cstheme="minorHAnsi"/>
          <w:color w:val="auto"/>
          <w:sz w:val="22"/>
          <w:szCs w:val="22"/>
        </w:rPr>
        <w:t xml:space="preserve"> </w:t>
      </w:r>
      <w:r w:rsidRPr="00A5492D">
        <w:rPr>
          <w:rFonts w:asciiTheme="minorHAnsi" w:eastAsia="Verdana" w:hAnsiTheme="minorHAnsi" w:cstheme="minorHAnsi"/>
          <w:color w:val="auto"/>
          <w:sz w:val="22"/>
          <w:szCs w:val="22"/>
        </w:rPr>
        <w:t>en œuvre des stratégies y compris l'OMVS (3</w:t>
      </w:r>
      <w:r>
        <w:rPr>
          <w:rFonts w:asciiTheme="minorHAnsi" w:eastAsia="Verdana" w:hAnsiTheme="minorHAnsi" w:cstheme="minorHAnsi"/>
          <w:color w:val="auto"/>
          <w:sz w:val="22"/>
          <w:szCs w:val="22"/>
        </w:rPr>
        <w:t xml:space="preserve"> </w:t>
      </w:r>
      <w:r w:rsidRPr="00A5492D">
        <w:rPr>
          <w:rFonts w:asciiTheme="minorHAnsi" w:eastAsia="Verdana" w:hAnsiTheme="minorHAnsi" w:cstheme="minorHAnsi"/>
          <w:color w:val="auto"/>
          <w:sz w:val="22"/>
          <w:szCs w:val="22"/>
        </w:rPr>
        <w:t>réunions annuelles</w:t>
      </w:r>
      <w:r>
        <w:rPr>
          <w:rFonts w:asciiTheme="minorHAnsi" w:eastAsia="Verdana" w:hAnsiTheme="minorHAnsi" w:cstheme="minorHAnsi"/>
          <w:color w:val="auto"/>
          <w:sz w:val="22"/>
          <w:szCs w:val="22"/>
        </w:rPr>
        <w:t xml:space="preserve">), 3) </w:t>
      </w:r>
      <w:r w:rsidRPr="00A5492D">
        <w:rPr>
          <w:rFonts w:asciiTheme="minorHAnsi" w:eastAsia="Verdana" w:hAnsiTheme="minorHAnsi" w:cstheme="minorHAnsi"/>
          <w:color w:val="auto"/>
          <w:sz w:val="22"/>
          <w:szCs w:val="22"/>
        </w:rPr>
        <w:t>Diffuser l'information, et organiser une revue chaque</w:t>
      </w:r>
      <w:r>
        <w:rPr>
          <w:rFonts w:asciiTheme="minorHAnsi" w:eastAsia="Verdana" w:hAnsiTheme="minorHAnsi" w:cstheme="minorHAnsi"/>
          <w:color w:val="auto"/>
          <w:sz w:val="22"/>
          <w:szCs w:val="22"/>
        </w:rPr>
        <w:t xml:space="preserve"> </w:t>
      </w:r>
      <w:r w:rsidRPr="00A5492D">
        <w:rPr>
          <w:rFonts w:asciiTheme="minorHAnsi" w:eastAsia="Verdana" w:hAnsiTheme="minorHAnsi" w:cstheme="minorHAnsi"/>
          <w:color w:val="auto"/>
          <w:sz w:val="22"/>
          <w:szCs w:val="22"/>
        </w:rPr>
        <w:t>année</w:t>
      </w:r>
      <w:r>
        <w:rPr>
          <w:rFonts w:asciiTheme="minorHAnsi" w:eastAsia="Verdana" w:hAnsiTheme="minorHAnsi" w:cstheme="minorHAnsi"/>
          <w:color w:val="auto"/>
          <w:sz w:val="22"/>
          <w:szCs w:val="22"/>
        </w:rPr>
        <w:t xml:space="preserve"> et 4) </w:t>
      </w:r>
      <w:r w:rsidRPr="00A5492D">
        <w:rPr>
          <w:rFonts w:asciiTheme="minorHAnsi" w:eastAsia="Verdana" w:hAnsiTheme="minorHAnsi" w:cstheme="minorHAnsi"/>
          <w:color w:val="auto"/>
          <w:sz w:val="22"/>
          <w:szCs w:val="22"/>
        </w:rPr>
        <w:t>Mobiliser les partenaires financiers et assurer une</w:t>
      </w:r>
      <w:r>
        <w:rPr>
          <w:rFonts w:asciiTheme="minorHAnsi" w:eastAsia="Verdana" w:hAnsiTheme="minorHAnsi" w:cstheme="minorHAnsi"/>
          <w:color w:val="auto"/>
          <w:sz w:val="22"/>
          <w:szCs w:val="22"/>
        </w:rPr>
        <w:t xml:space="preserve"> </w:t>
      </w:r>
      <w:r w:rsidRPr="00A5492D">
        <w:rPr>
          <w:rFonts w:asciiTheme="minorHAnsi" w:eastAsia="Verdana" w:hAnsiTheme="minorHAnsi" w:cstheme="minorHAnsi"/>
          <w:color w:val="auto"/>
          <w:sz w:val="22"/>
          <w:szCs w:val="22"/>
        </w:rPr>
        <w:t>concertation soutenue (4 réunions annuelles)</w:t>
      </w:r>
      <w:r>
        <w:rPr>
          <w:rFonts w:asciiTheme="minorHAnsi" w:eastAsia="Verdana" w:hAnsiTheme="minorHAnsi" w:cstheme="minorHAnsi"/>
          <w:color w:val="auto"/>
          <w:sz w:val="22"/>
          <w:szCs w:val="22"/>
        </w:rPr>
        <w:t> ;</w:t>
      </w:r>
    </w:p>
    <w:p w14:paraId="5F4188FF" w14:textId="77777777" w:rsidR="008F2269" w:rsidRDefault="008F2269" w:rsidP="008F2269">
      <w:pPr>
        <w:pStyle w:val="Default"/>
        <w:jc w:val="both"/>
        <w:rPr>
          <w:rFonts w:asciiTheme="minorHAnsi" w:eastAsia="Verdana" w:hAnsiTheme="minorHAnsi" w:cstheme="minorHAnsi"/>
          <w:color w:val="auto"/>
          <w:sz w:val="22"/>
          <w:szCs w:val="22"/>
        </w:rPr>
      </w:pPr>
      <w:r w:rsidRPr="007D097B">
        <w:rPr>
          <w:rFonts w:asciiTheme="minorHAnsi" w:eastAsia="Verdana" w:hAnsiTheme="minorHAnsi" w:cstheme="minorHAnsi"/>
          <w:b/>
          <w:bCs/>
          <w:color w:val="auto"/>
          <w:sz w:val="22"/>
          <w:szCs w:val="22"/>
        </w:rPr>
        <w:t>R5.6</w:t>
      </w:r>
      <w:r w:rsidRPr="007D097B">
        <w:rPr>
          <w:rFonts w:asciiTheme="minorHAnsi" w:eastAsia="Verdana" w:hAnsiTheme="minorHAnsi" w:cstheme="minorHAnsi"/>
          <w:color w:val="auto"/>
          <w:sz w:val="22"/>
          <w:szCs w:val="22"/>
        </w:rPr>
        <w:t xml:space="preserve"> L'accès à l'eau</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et de</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l'assainissement est</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accessible à tous, de</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manière équitable et</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durable pour</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l'environnement</w:t>
      </w:r>
      <w:r>
        <w:rPr>
          <w:rFonts w:asciiTheme="minorHAnsi" w:eastAsia="Verdana" w:hAnsiTheme="minorHAnsi" w:cstheme="minorHAnsi"/>
          <w:color w:val="auto"/>
          <w:sz w:val="22"/>
          <w:szCs w:val="22"/>
        </w:rPr>
        <w:t xml:space="preserve"> : 1) </w:t>
      </w:r>
      <w:r w:rsidRPr="00A5492D">
        <w:rPr>
          <w:rFonts w:asciiTheme="minorHAnsi" w:eastAsia="Verdana" w:hAnsiTheme="minorHAnsi" w:cstheme="minorHAnsi"/>
          <w:color w:val="auto"/>
          <w:sz w:val="22"/>
          <w:szCs w:val="22"/>
        </w:rPr>
        <w:t>Réaliser une EIES et mettre en œuvre un PGES pour</w:t>
      </w:r>
      <w:r>
        <w:rPr>
          <w:rFonts w:asciiTheme="minorHAnsi" w:eastAsia="Verdana" w:hAnsiTheme="minorHAnsi" w:cstheme="minorHAnsi"/>
          <w:color w:val="auto"/>
          <w:sz w:val="22"/>
          <w:szCs w:val="22"/>
        </w:rPr>
        <w:t xml:space="preserve"> </w:t>
      </w:r>
      <w:r w:rsidRPr="00A5492D">
        <w:rPr>
          <w:rFonts w:asciiTheme="minorHAnsi" w:eastAsia="Verdana" w:hAnsiTheme="minorHAnsi" w:cstheme="minorHAnsi"/>
          <w:color w:val="auto"/>
          <w:sz w:val="22"/>
          <w:szCs w:val="22"/>
        </w:rPr>
        <w:t>tout projet sectoriel assujetti à l'évaluation</w:t>
      </w:r>
      <w:r>
        <w:rPr>
          <w:rFonts w:asciiTheme="minorHAnsi" w:eastAsia="Verdana" w:hAnsiTheme="minorHAnsi" w:cstheme="minorHAnsi"/>
          <w:color w:val="auto"/>
          <w:sz w:val="22"/>
          <w:szCs w:val="22"/>
        </w:rPr>
        <w:t xml:space="preserve"> </w:t>
      </w:r>
      <w:r w:rsidRPr="00A5492D">
        <w:rPr>
          <w:rFonts w:asciiTheme="minorHAnsi" w:eastAsia="Verdana" w:hAnsiTheme="minorHAnsi" w:cstheme="minorHAnsi"/>
          <w:color w:val="auto"/>
          <w:sz w:val="22"/>
          <w:szCs w:val="22"/>
        </w:rPr>
        <w:t>environnementale en coordination avec les services du</w:t>
      </w:r>
      <w:r>
        <w:rPr>
          <w:rFonts w:asciiTheme="minorHAnsi" w:eastAsia="Verdana" w:hAnsiTheme="minorHAnsi" w:cstheme="minorHAnsi"/>
          <w:color w:val="auto"/>
          <w:sz w:val="22"/>
          <w:szCs w:val="22"/>
        </w:rPr>
        <w:t xml:space="preserve"> </w:t>
      </w:r>
      <w:r w:rsidRPr="00A5492D">
        <w:rPr>
          <w:rFonts w:asciiTheme="minorHAnsi" w:eastAsia="Verdana" w:hAnsiTheme="minorHAnsi" w:cstheme="minorHAnsi"/>
          <w:color w:val="auto"/>
          <w:sz w:val="22"/>
          <w:szCs w:val="22"/>
        </w:rPr>
        <w:t>MEDD</w:t>
      </w:r>
      <w:r>
        <w:rPr>
          <w:rFonts w:asciiTheme="minorHAnsi" w:eastAsia="Verdana" w:hAnsiTheme="minorHAnsi" w:cstheme="minorHAnsi"/>
          <w:color w:val="auto"/>
          <w:sz w:val="22"/>
          <w:szCs w:val="22"/>
        </w:rPr>
        <w:t xml:space="preserve">, 2) </w:t>
      </w:r>
      <w:r w:rsidRPr="00A5492D">
        <w:rPr>
          <w:rFonts w:asciiTheme="minorHAnsi" w:eastAsia="Verdana" w:hAnsiTheme="minorHAnsi" w:cstheme="minorHAnsi"/>
          <w:color w:val="auto"/>
          <w:sz w:val="22"/>
          <w:szCs w:val="22"/>
        </w:rPr>
        <w:t>Définir les périmètres d'intervention pour la gestion du</w:t>
      </w:r>
      <w:r>
        <w:rPr>
          <w:rFonts w:asciiTheme="minorHAnsi" w:eastAsia="Verdana" w:hAnsiTheme="minorHAnsi" w:cstheme="minorHAnsi"/>
          <w:color w:val="auto"/>
          <w:sz w:val="22"/>
          <w:szCs w:val="22"/>
        </w:rPr>
        <w:t xml:space="preserve"> </w:t>
      </w:r>
      <w:r w:rsidRPr="00A5492D">
        <w:rPr>
          <w:rFonts w:asciiTheme="minorHAnsi" w:eastAsia="Verdana" w:hAnsiTheme="minorHAnsi" w:cstheme="minorHAnsi"/>
          <w:color w:val="auto"/>
          <w:sz w:val="22"/>
          <w:szCs w:val="22"/>
        </w:rPr>
        <w:t>service de l'eau (SNDE, ONSER, Délégataires) et</w:t>
      </w:r>
      <w:r>
        <w:rPr>
          <w:rFonts w:asciiTheme="minorHAnsi" w:eastAsia="Verdana" w:hAnsiTheme="minorHAnsi" w:cstheme="minorHAnsi"/>
          <w:color w:val="auto"/>
          <w:sz w:val="22"/>
          <w:szCs w:val="22"/>
        </w:rPr>
        <w:t xml:space="preserve"> </w:t>
      </w:r>
      <w:r w:rsidRPr="00A5492D">
        <w:rPr>
          <w:rFonts w:asciiTheme="minorHAnsi" w:eastAsia="Verdana" w:hAnsiTheme="minorHAnsi" w:cstheme="minorHAnsi"/>
          <w:color w:val="auto"/>
          <w:sz w:val="22"/>
          <w:szCs w:val="22"/>
        </w:rPr>
        <w:t>harmoniser les modèles de gestion du service</w:t>
      </w:r>
      <w:r>
        <w:rPr>
          <w:rFonts w:asciiTheme="minorHAnsi" w:eastAsia="Verdana" w:hAnsiTheme="minorHAnsi" w:cstheme="minorHAnsi"/>
          <w:color w:val="auto"/>
          <w:sz w:val="22"/>
          <w:szCs w:val="22"/>
        </w:rPr>
        <w:t xml:space="preserve">, 3) </w:t>
      </w:r>
      <w:r w:rsidRPr="00A5492D">
        <w:rPr>
          <w:rFonts w:asciiTheme="minorHAnsi" w:eastAsia="Verdana" w:hAnsiTheme="minorHAnsi" w:cstheme="minorHAnsi"/>
          <w:color w:val="auto"/>
          <w:sz w:val="22"/>
          <w:szCs w:val="22"/>
        </w:rPr>
        <w:t>Établir une tarification des services de l'eau et de</w:t>
      </w:r>
      <w:r>
        <w:rPr>
          <w:rFonts w:asciiTheme="minorHAnsi" w:eastAsia="Verdana" w:hAnsiTheme="minorHAnsi" w:cstheme="minorHAnsi"/>
          <w:color w:val="auto"/>
          <w:sz w:val="22"/>
          <w:szCs w:val="22"/>
        </w:rPr>
        <w:t xml:space="preserve"> </w:t>
      </w:r>
      <w:r w:rsidRPr="00A5492D">
        <w:rPr>
          <w:rFonts w:asciiTheme="minorHAnsi" w:eastAsia="Verdana" w:hAnsiTheme="minorHAnsi" w:cstheme="minorHAnsi"/>
          <w:color w:val="auto"/>
          <w:sz w:val="22"/>
          <w:szCs w:val="22"/>
        </w:rPr>
        <w:t>l'assainissement équitable et durable</w:t>
      </w:r>
      <w:r>
        <w:rPr>
          <w:rFonts w:asciiTheme="minorHAnsi" w:eastAsia="Verdana" w:hAnsiTheme="minorHAnsi" w:cstheme="minorHAnsi"/>
          <w:color w:val="auto"/>
          <w:sz w:val="22"/>
          <w:szCs w:val="22"/>
        </w:rPr>
        <w:t xml:space="preserve"> et 4)</w:t>
      </w:r>
      <w:r w:rsidRPr="00A5492D">
        <w:t xml:space="preserve"> </w:t>
      </w:r>
      <w:r w:rsidRPr="00A5492D">
        <w:rPr>
          <w:rFonts w:asciiTheme="minorHAnsi" w:eastAsia="Verdana" w:hAnsiTheme="minorHAnsi" w:cstheme="minorHAnsi"/>
          <w:color w:val="auto"/>
          <w:sz w:val="22"/>
          <w:szCs w:val="22"/>
        </w:rPr>
        <w:t>Appuyer une régulation globale du secteur par l'ARE</w:t>
      </w:r>
      <w:r>
        <w:rPr>
          <w:rFonts w:asciiTheme="minorHAnsi" w:eastAsia="Verdana" w:hAnsiTheme="minorHAnsi" w:cstheme="minorHAnsi"/>
          <w:color w:val="auto"/>
          <w:sz w:val="22"/>
          <w:szCs w:val="22"/>
        </w:rPr>
        <w:t> ;</w:t>
      </w:r>
    </w:p>
    <w:p w14:paraId="70317567" w14:textId="77777777" w:rsidR="008F2269" w:rsidRDefault="008F2269" w:rsidP="008F2269">
      <w:pPr>
        <w:pStyle w:val="Default"/>
        <w:jc w:val="both"/>
        <w:rPr>
          <w:rFonts w:asciiTheme="minorHAnsi" w:eastAsia="Verdana" w:hAnsiTheme="minorHAnsi" w:cstheme="minorHAnsi"/>
          <w:color w:val="auto"/>
          <w:sz w:val="22"/>
          <w:szCs w:val="22"/>
        </w:rPr>
      </w:pPr>
      <w:r w:rsidRPr="007D097B">
        <w:rPr>
          <w:rFonts w:asciiTheme="minorHAnsi" w:eastAsia="Verdana" w:hAnsiTheme="minorHAnsi" w:cstheme="minorHAnsi"/>
          <w:b/>
          <w:bCs/>
          <w:color w:val="auto"/>
          <w:sz w:val="22"/>
          <w:szCs w:val="22"/>
        </w:rPr>
        <w:t>R5.7</w:t>
      </w:r>
      <w:r w:rsidRPr="007D097B">
        <w:rPr>
          <w:rFonts w:asciiTheme="minorHAnsi" w:eastAsia="Verdana" w:hAnsiTheme="minorHAnsi" w:cstheme="minorHAnsi"/>
          <w:color w:val="auto"/>
          <w:sz w:val="22"/>
          <w:szCs w:val="22"/>
        </w:rPr>
        <w:t xml:space="preserve"> L'implication</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des responsables et</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bénéficiaires des</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services publics est</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renforcée</w:t>
      </w:r>
      <w:r>
        <w:rPr>
          <w:rFonts w:asciiTheme="minorHAnsi" w:eastAsia="Verdana" w:hAnsiTheme="minorHAnsi" w:cstheme="minorHAnsi"/>
          <w:color w:val="auto"/>
          <w:sz w:val="22"/>
          <w:szCs w:val="22"/>
        </w:rPr>
        <w:t xml:space="preserve"> : 1) </w:t>
      </w:r>
      <w:r w:rsidRPr="00A5492D">
        <w:rPr>
          <w:rFonts w:asciiTheme="minorHAnsi" w:eastAsia="Verdana" w:hAnsiTheme="minorHAnsi" w:cstheme="minorHAnsi"/>
          <w:color w:val="auto"/>
          <w:sz w:val="22"/>
          <w:szCs w:val="22"/>
        </w:rPr>
        <w:t>Promouvoir la décentralisation (MOA décentralisée de</w:t>
      </w:r>
      <w:r>
        <w:rPr>
          <w:rFonts w:asciiTheme="minorHAnsi" w:eastAsia="Verdana" w:hAnsiTheme="minorHAnsi" w:cstheme="minorHAnsi"/>
          <w:color w:val="auto"/>
          <w:sz w:val="22"/>
          <w:szCs w:val="22"/>
        </w:rPr>
        <w:t xml:space="preserve"> </w:t>
      </w:r>
      <w:r w:rsidRPr="00A5492D">
        <w:rPr>
          <w:rFonts w:asciiTheme="minorHAnsi" w:eastAsia="Verdana" w:hAnsiTheme="minorHAnsi" w:cstheme="minorHAnsi"/>
          <w:color w:val="auto"/>
          <w:sz w:val="22"/>
          <w:szCs w:val="22"/>
        </w:rPr>
        <w:t>projets AEP et assainissement et transfert de MOA)</w:t>
      </w:r>
      <w:r>
        <w:rPr>
          <w:rFonts w:asciiTheme="minorHAnsi" w:eastAsia="Verdana" w:hAnsiTheme="minorHAnsi" w:cstheme="minorHAnsi"/>
          <w:color w:val="auto"/>
          <w:sz w:val="22"/>
          <w:szCs w:val="22"/>
        </w:rPr>
        <w:t xml:space="preserve">, 2) </w:t>
      </w:r>
      <w:r w:rsidRPr="00A5492D">
        <w:rPr>
          <w:rFonts w:asciiTheme="minorHAnsi" w:eastAsia="Verdana" w:hAnsiTheme="minorHAnsi" w:cstheme="minorHAnsi"/>
          <w:color w:val="auto"/>
          <w:sz w:val="22"/>
          <w:szCs w:val="22"/>
        </w:rPr>
        <w:t>Renforcer le partenariat public-privé pour</w:t>
      </w:r>
      <w:r>
        <w:rPr>
          <w:rFonts w:asciiTheme="minorHAnsi" w:eastAsia="Verdana" w:hAnsiTheme="minorHAnsi" w:cstheme="minorHAnsi"/>
          <w:color w:val="auto"/>
          <w:sz w:val="22"/>
          <w:szCs w:val="22"/>
        </w:rPr>
        <w:t xml:space="preserve"> </w:t>
      </w:r>
      <w:r w:rsidRPr="00A5492D">
        <w:rPr>
          <w:rFonts w:asciiTheme="minorHAnsi" w:eastAsia="Verdana" w:hAnsiTheme="minorHAnsi" w:cstheme="minorHAnsi"/>
          <w:color w:val="auto"/>
          <w:sz w:val="22"/>
          <w:szCs w:val="22"/>
        </w:rPr>
        <w:t>l'investissement et la gestion dans le service public de</w:t>
      </w:r>
      <w:r>
        <w:rPr>
          <w:rFonts w:asciiTheme="minorHAnsi" w:eastAsia="Verdana" w:hAnsiTheme="minorHAnsi" w:cstheme="minorHAnsi"/>
          <w:color w:val="auto"/>
          <w:sz w:val="22"/>
          <w:szCs w:val="22"/>
        </w:rPr>
        <w:t xml:space="preserve"> </w:t>
      </w:r>
      <w:r w:rsidRPr="00A5492D">
        <w:rPr>
          <w:rFonts w:asciiTheme="minorHAnsi" w:eastAsia="Verdana" w:hAnsiTheme="minorHAnsi" w:cstheme="minorHAnsi"/>
          <w:color w:val="auto"/>
          <w:sz w:val="22"/>
          <w:szCs w:val="22"/>
        </w:rPr>
        <w:t>l'eau et à l'assainissement</w:t>
      </w:r>
      <w:r>
        <w:rPr>
          <w:rFonts w:asciiTheme="minorHAnsi" w:eastAsia="Verdana" w:hAnsiTheme="minorHAnsi" w:cstheme="minorHAnsi"/>
          <w:color w:val="auto"/>
          <w:sz w:val="22"/>
          <w:szCs w:val="22"/>
        </w:rPr>
        <w:t xml:space="preserve"> et 3) </w:t>
      </w:r>
      <w:r w:rsidRPr="00683863">
        <w:rPr>
          <w:rFonts w:asciiTheme="minorHAnsi" w:eastAsia="Verdana" w:hAnsiTheme="minorHAnsi" w:cstheme="minorHAnsi"/>
          <w:color w:val="auto"/>
          <w:sz w:val="22"/>
          <w:szCs w:val="22"/>
        </w:rPr>
        <w:t>Renforcer l'implication des communes et des OSC</w:t>
      </w:r>
      <w:r>
        <w:rPr>
          <w:rFonts w:asciiTheme="minorHAnsi" w:eastAsia="Verdana" w:hAnsiTheme="minorHAnsi" w:cstheme="minorHAnsi"/>
          <w:color w:val="auto"/>
          <w:sz w:val="22"/>
          <w:szCs w:val="22"/>
        </w:rPr>
        <w:t xml:space="preserve"> </w:t>
      </w:r>
      <w:r w:rsidRPr="00683863">
        <w:rPr>
          <w:rFonts w:asciiTheme="minorHAnsi" w:eastAsia="Verdana" w:hAnsiTheme="minorHAnsi" w:cstheme="minorHAnsi"/>
          <w:color w:val="auto"/>
          <w:sz w:val="22"/>
          <w:szCs w:val="22"/>
        </w:rPr>
        <w:t>dans la régulation locale du service public</w:t>
      </w:r>
      <w:r>
        <w:rPr>
          <w:rFonts w:asciiTheme="minorHAnsi" w:eastAsia="Verdana" w:hAnsiTheme="minorHAnsi" w:cstheme="minorHAnsi"/>
          <w:color w:val="auto"/>
          <w:sz w:val="22"/>
          <w:szCs w:val="22"/>
        </w:rPr>
        <w:t> ;</w:t>
      </w:r>
    </w:p>
    <w:p w14:paraId="3471EE4C" w14:textId="77777777" w:rsidR="008F2269" w:rsidRDefault="008F2269" w:rsidP="008F2269">
      <w:pPr>
        <w:pStyle w:val="Default"/>
        <w:jc w:val="both"/>
        <w:rPr>
          <w:rFonts w:asciiTheme="minorHAnsi" w:eastAsia="Verdana" w:hAnsiTheme="minorHAnsi" w:cstheme="minorHAnsi"/>
          <w:color w:val="auto"/>
          <w:sz w:val="22"/>
          <w:szCs w:val="22"/>
        </w:rPr>
      </w:pPr>
      <w:r w:rsidRPr="007D097B">
        <w:rPr>
          <w:rFonts w:asciiTheme="minorHAnsi" w:eastAsia="Verdana" w:hAnsiTheme="minorHAnsi" w:cstheme="minorHAnsi"/>
          <w:b/>
          <w:bCs/>
          <w:color w:val="auto"/>
          <w:sz w:val="22"/>
          <w:szCs w:val="22"/>
        </w:rPr>
        <w:t>R5.8</w:t>
      </w:r>
      <w:r w:rsidRPr="007D097B">
        <w:rPr>
          <w:rFonts w:asciiTheme="minorHAnsi" w:eastAsia="Verdana" w:hAnsiTheme="minorHAnsi" w:cstheme="minorHAnsi"/>
          <w:color w:val="auto"/>
          <w:sz w:val="22"/>
          <w:szCs w:val="22"/>
        </w:rPr>
        <w:t xml:space="preserve"> La capacité des</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acteurs publics et</w:t>
      </w:r>
      <w:r>
        <w:rPr>
          <w:rFonts w:asciiTheme="minorHAnsi" w:eastAsia="Verdana" w:hAnsiTheme="minorHAnsi" w:cstheme="minorHAnsi"/>
          <w:color w:val="auto"/>
          <w:sz w:val="22"/>
          <w:szCs w:val="22"/>
        </w:rPr>
        <w:t xml:space="preserve"> </w:t>
      </w:r>
      <w:r w:rsidRPr="007D097B">
        <w:rPr>
          <w:rFonts w:asciiTheme="minorHAnsi" w:eastAsia="Verdana" w:hAnsiTheme="minorHAnsi" w:cstheme="minorHAnsi"/>
          <w:color w:val="auto"/>
          <w:sz w:val="22"/>
          <w:szCs w:val="22"/>
        </w:rPr>
        <w:t>privés est renforcée</w:t>
      </w:r>
      <w:r>
        <w:rPr>
          <w:rFonts w:asciiTheme="minorHAnsi" w:eastAsia="Verdana" w:hAnsiTheme="minorHAnsi" w:cstheme="minorHAnsi"/>
          <w:color w:val="auto"/>
          <w:sz w:val="22"/>
          <w:szCs w:val="22"/>
        </w:rPr>
        <w:t xml:space="preserve"> : 1) </w:t>
      </w:r>
      <w:r w:rsidRPr="00683863">
        <w:rPr>
          <w:rFonts w:asciiTheme="minorHAnsi" w:eastAsia="Verdana" w:hAnsiTheme="minorHAnsi" w:cstheme="minorHAnsi"/>
          <w:color w:val="auto"/>
          <w:sz w:val="22"/>
          <w:szCs w:val="22"/>
        </w:rPr>
        <w:t>Etablir et mettre en œuvre un plan de développement</w:t>
      </w:r>
      <w:r>
        <w:rPr>
          <w:rFonts w:asciiTheme="minorHAnsi" w:eastAsia="Verdana" w:hAnsiTheme="minorHAnsi" w:cstheme="minorHAnsi"/>
          <w:color w:val="auto"/>
          <w:sz w:val="22"/>
          <w:szCs w:val="22"/>
        </w:rPr>
        <w:t xml:space="preserve"> </w:t>
      </w:r>
      <w:r w:rsidRPr="00683863">
        <w:rPr>
          <w:rFonts w:asciiTheme="minorHAnsi" w:eastAsia="Verdana" w:hAnsiTheme="minorHAnsi" w:cstheme="minorHAnsi"/>
          <w:color w:val="auto"/>
          <w:sz w:val="22"/>
          <w:szCs w:val="22"/>
        </w:rPr>
        <w:t>des capacités du MHA (PDC)</w:t>
      </w:r>
      <w:r>
        <w:rPr>
          <w:rFonts w:asciiTheme="minorHAnsi" w:eastAsia="Verdana" w:hAnsiTheme="minorHAnsi" w:cstheme="minorHAnsi"/>
          <w:color w:val="auto"/>
          <w:sz w:val="22"/>
          <w:szCs w:val="22"/>
        </w:rPr>
        <w:t xml:space="preserve">, 2) </w:t>
      </w:r>
      <w:r w:rsidRPr="00683863">
        <w:rPr>
          <w:rFonts w:asciiTheme="minorHAnsi" w:eastAsia="Verdana" w:hAnsiTheme="minorHAnsi" w:cstheme="minorHAnsi"/>
          <w:color w:val="auto"/>
          <w:sz w:val="22"/>
          <w:szCs w:val="22"/>
        </w:rPr>
        <w:t>Etablir et diffuser des guides techniques sectoriels</w:t>
      </w:r>
      <w:r>
        <w:rPr>
          <w:rFonts w:asciiTheme="minorHAnsi" w:eastAsia="Verdana" w:hAnsiTheme="minorHAnsi" w:cstheme="minorHAnsi"/>
          <w:color w:val="auto"/>
          <w:sz w:val="22"/>
          <w:szCs w:val="22"/>
        </w:rPr>
        <w:t>, 3)</w:t>
      </w:r>
      <w:r w:rsidRPr="00683863">
        <w:t xml:space="preserve"> </w:t>
      </w:r>
      <w:r w:rsidRPr="00683863">
        <w:rPr>
          <w:rFonts w:asciiTheme="minorHAnsi" w:eastAsia="Verdana" w:hAnsiTheme="minorHAnsi" w:cstheme="minorHAnsi"/>
          <w:color w:val="auto"/>
          <w:sz w:val="22"/>
          <w:szCs w:val="22"/>
        </w:rPr>
        <w:t>Développer l'appui-conseil aux communes, autorités</w:t>
      </w:r>
      <w:r>
        <w:rPr>
          <w:rFonts w:asciiTheme="minorHAnsi" w:eastAsia="Verdana" w:hAnsiTheme="minorHAnsi" w:cstheme="minorHAnsi"/>
          <w:color w:val="auto"/>
          <w:sz w:val="22"/>
          <w:szCs w:val="22"/>
        </w:rPr>
        <w:t xml:space="preserve"> </w:t>
      </w:r>
      <w:r w:rsidRPr="00683863">
        <w:rPr>
          <w:rFonts w:asciiTheme="minorHAnsi" w:eastAsia="Verdana" w:hAnsiTheme="minorHAnsi" w:cstheme="minorHAnsi"/>
          <w:color w:val="auto"/>
          <w:sz w:val="22"/>
          <w:szCs w:val="22"/>
        </w:rPr>
        <w:t>locales, opérateurs privés et publics</w:t>
      </w:r>
      <w:r>
        <w:rPr>
          <w:rFonts w:asciiTheme="minorHAnsi" w:eastAsia="Verdana" w:hAnsiTheme="minorHAnsi" w:cstheme="minorHAnsi"/>
          <w:color w:val="auto"/>
          <w:sz w:val="22"/>
          <w:szCs w:val="22"/>
        </w:rPr>
        <w:t xml:space="preserve"> et 4) </w:t>
      </w:r>
      <w:r w:rsidRPr="00683863">
        <w:rPr>
          <w:rFonts w:asciiTheme="minorHAnsi" w:eastAsia="Verdana" w:hAnsiTheme="minorHAnsi" w:cstheme="minorHAnsi"/>
          <w:color w:val="auto"/>
          <w:sz w:val="22"/>
          <w:szCs w:val="22"/>
        </w:rPr>
        <w:t>Développer une offre de formation sur les métiers de</w:t>
      </w:r>
      <w:r>
        <w:rPr>
          <w:rFonts w:asciiTheme="minorHAnsi" w:eastAsia="Verdana" w:hAnsiTheme="minorHAnsi" w:cstheme="minorHAnsi"/>
          <w:color w:val="auto"/>
          <w:sz w:val="22"/>
          <w:szCs w:val="22"/>
        </w:rPr>
        <w:t xml:space="preserve"> </w:t>
      </w:r>
      <w:r w:rsidRPr="00683863">
        <w:rPr>
          <w:rFonts w:asciiTheme="minorHAnsi" w:eastAsia="Verdana" w:hAnsiTheme="minorHAnsi" w:cstheme="minorHAnsi"/>
          <w:color w:val="auto"/>
          <w:sz w:val="22"/>
          <w:szCs w:val="22"/>
        </w:rPr>
        <w:t>l'eau, de l'assainissement et de l'environnement en</w:t>
      </w:r>
      <w:r>
        <w:rPr>
          <w:rFonts w:asciiTheme="minorHAnsi" w:eastAsia="Verdana" w:hAnsiTheme="minorHAnsi" w:cstheme="minorHAnsi"/>
          <w:color w:val="auto"/>
          <w:sz w:val="22"/>
          <w:szCs w:val="22"/>
        </w:rPr>
        <w:t xml:space="preserve"> </w:t>
      </w:r>
      <w:r w:rsidRPr="00683863">
        <w:rPr>
          <w:rFonts w:asciiTheme="minorHAnsi" w:eastAsia="Verdana" w:hAnsiTheme="minorHAnsi" w:cstheme="minorHAnsi"/>
          <w:color w:val="auto"/>
          <w:sz w:val="22"/>
          <w:szCs w:val="22"/>
        </w:rPr>
        <w:t>lien avec l’Université des Sciences de Technologies et</w:t>
      </w:r>
      <w:r>
        <w:rPr>
          <w:rFonts w:asciiTheme="minorHAnsi" w:eastAsia="Verdana" w:hAnsiTheme="minorHAnsi" w:cstheme="minorHAnsi"/>
          <w:color w:val="auto"/>
          <w:sz w:val="22"/>
          <w:szCs w:val="22"/>
        </w:rPr>
        <w:t xml:space="preserve"> </w:t>
      </w:r>
      <w:r w:rsidRPr="00683863">
        <w:rPr>
          <w:rFonts w:asciiTheme="minorHAnsi" w:eastAsia="Verdana" w:hAnsiTheme="minorHAnsi" w:cstheme="minorHAnsi"/>
          <w:color w:val="auto"/>
          <w:sz w:val="22"/>
          <w:szCs w:val="22"/>
        </w:rPr>
        <w:t>de Médecine (USTM)</w:t>
      </w:r>
      <w:r>
        <w:rPr>
          <w:rFonts w:asciiTheme="minorHAnsi" w:eastAsia="Verdana" w:hAnsiTheme="minorHAnsi" w:cstheme="minorHAnsi"/>
          <w:color w:val="auto"/>
          <w:sz w:val="22"/>
          <w:szCs w:val="22"/>
        </w:rPr>
        <w:t>.</w:t>
      </w:r>
    </w:p>
    <w:p w14:paraId="11CFB972" w14:textId="77777777" w:rsidR="008F2269" w:rsidRPr="0064075E" w:rsidRDefault="008F2269" w:rsidP="008F2269">
      <w:pPr>
        <w:pStyle w:val="Default"/>
        <w:contextualSpacing/>
        <w:jc w:val="both"/>
        <w:rPr>
          <w:rFonts w:asciiTheme="minorHAnsi" w:eastAsia="Verdana" w:hAnsiTheme="minorHAnsi" w:cstheme="minorHAnsi"/>
          <w:b/>
          <w:bCs/>
          <w:color w:val="auto"/>
          <w:sz w:val="22"/>
          <w:szCs w:val="22"/>
        </w:rPr>
      </w:pPr>
      <w:r w:rsidRPr="00F33957">
        <w:rPr>
          <w:rFonts w:asciiTheme="minorHAnsi" w:eastAsia="Verdana" w:hAnsiTheme="minorHAnsi" w:cstheme="minorHAnsi"/>
          <w:color w:val="auto"/>
          <w:sz w:val="22"/>
          <w:szCs w:val="22"/>
        </w:rPr>
        <w:t xml:space="preserve"> </w:t>
      </w:r>
      <w:r w:rsidRPr="0064075E">
        <w:rPr>
          <w:rFonts w:asciiTheme="minorHAnsi" w:eastAsia="Verdana" w:hAnsiTheme="minorHAnsi" w:cstheme="minorHAnsi"/>
          <w:b/>
          <w:bCs/>
          <w:color w:val="auto"/>
          <w:sz w:val="22"/>
          <w:szCs w:val="22"/>
        </w:rPr>
        <w:t>Montant estimatif des investissements</w:t>
      </w:r>
    </w:p>
    <w:p w14:paraId="690A0A1A" w14:textId="77777777" w:rsidR="008F2269" w:rsidRDefault="008F2269" w:rsidP="008F2269">
      <w:pPr>
        <w:pStyle w:val="Default"/>
        <w:contextualSpacing/>
        <w:jc w:val="both"/>
        <w:rPr>
          <w:rFonts w:asciiTheme="minorHAnsi" w:eastAsia="Verdana" w:hAnsiTheme="minorHAnsi" w:cstheme="minorHAnsi"/>
          <w:color w:val="auto"/>
          <w:sz w:val="22"/>
          <w:szCs w:val="22"/>
        </w:rPr>
      </w:pPr>
      <w:r w:rsidRPr="00F33957">
        <w:rPr>
          <w:rFonts w:asciiTheme="minorHAnsi" w:eastAsia="Verdana" w:hAnsiTheme="minorHAnsi" w:cstheme="minorHAnsi"/>
          <w:color w:val="auto"/>
          <w:sz w:val="22"/>
          <w:szCs w:val="22"/>
        </w:rPr>
        <w:t>Le montant global d’investissement entre 20</w:t>
      </w:r>
      <w:r>
        <w:rPr>
          <w:rFonts w:asciiTheme="minorHAnsi" w:eastAsia="Verdana" w:hAnsiTheme="minorHAnsi" w:cstheme="minorHAnsi"/>
          <w:color w:val="auto"/>
          <w:sz w:val="22"/>
          <w:szCs w:val="22"/>
        </w:rPr>
        <w:t>22</w:t>
      </w:r>
      <w:r w:rsidRPr="00F33957">
        <w:rPr>
          <w:rFonts w:asciiTheme="minorHAnsi" w:eastAsia="Verdana" w:hAnsiTheme="minorHAnsi" w:cstheme="minorHAnsi"/>
          <w:color w:val="auto"/>
          <w:sz w:val="22"/>
          <w:szCs w:val="22"/>
        </w:rPr>
        <w:t xml:space="preserve"> et 2030 est évalué à environ</w:t>
      </w:r>
      <w:r>
        <w:rPr>
          <w:rFonts w:asciiTheme="minorHAnsi" w:eastAsia="Verdana" w:hAnsiTheme="minorHAnsi" w:cstheme="minorHAnsi"/>
          <w:color w:val="auto"/>
          <w:sz w:val="22"/>
          <w:szCs w:val="22"/>
        </w:rPr>
        <w:t xml:space="preserve"> 64 220 millions de MRU </w:t>
      </w:r>
      <w:r w:rsidRPr="00F33957">
        <w:rPr>
          <w:rFonts w:asciiTheme="minorHAnsi" w:eastAsia="Verdana" w:hAnsiTheme="minorHAnsi" w:cstheme="minorHAnsi"/>
          <w:color w:val="auto"/>
          <w:sz w:val="22"/>
          <w:szCs w:val="22"/>
        </w:rPr>
        <w:t>(environ 1 530 millions d’euros / 1 760 millions de USD)</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dont 59,4 % pour l’Approvisionnement en eau potable, 14,4 % pour l’agriculture,</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l’élevage et l’industrie (hors part périmètres irrigués dépendant du département</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de l’agriculture), 24,3 % pour l’assainissement, 0,8 % pour la GIRE et 1,2% pour</w:t>
      </w:r>
      <w:r>
        <w:rPr>
          <w:rFonts w:asciiTheme="minorHAnsi" w:eastAsia="Verdana" w:hAnsiTheme="minorHAnsi" w:cstheme="minorHAnsi"/>
          <w:color w:val="auto"/>
          <w:sz w:val="22"/>
          <w:szCs w:val="22"/>
        </w:rPr>
        <w:t xml:space="preserve"> </w:t>
      </w:r>
      <w:r w:rsidRPr="00F33957">
        <w:rPr>
          <w:rFonts w:asciiTheme="minorHAnsi" w:eastAsia="Verdana" w:hAnsiTheme="minorHAnsi" w:cstheme="minorHAnsi"/>
          <w:color w:val="auto"/>
          <w:sz w:val="22"/>
          <w:szCs w:val="22"/>
        </w:rPr>
        <w:t>la gouvernance sectorielle.</w:t>
      </w:r>
      <w:r>
        <w:rPr>
          <w:rFonts w:asciiTheme="minorHAnsi" w:eastAsia="Verdana" w:hAnsiTheme="minorHAnsi" w:cstheme="minorHAnsi"/>
          <w:color w:val="auto"/>
          <w:sz w:val="22"/>
          <w:szCs w:val="22"/>
        </w:rPr>
        <w:t xml:space="preserve"> </w:t>
      </w:r>
    </w:p>
    <w:p w14:paraId="4132706C" w14:textId="77777777" w:rsidR="008F2269" w:rsidRPr="009D2758" w:rsidRDefault="008F2269" w:rsidP="008F2269">
      <w:pPr>
        <w:pStyle w:val="Default"/>
        <w:contextualSpacing/>
        <w:jc w:val="both"/>
        <w:rPr>
          <w:rFonts w:asciiTheme="minorHAnsi" w:eastAsia="Verdana" w:hAnsiTheme="minorHAnsi" w:cstheme="minorHAnsi"/>
          <w:color w:val="auto"/>
          <w:sz w:val="22"/>
          <w:szCs w:val="22"/>
        </w:rPr>
      </w:pPr>
    </w:p>
    <w:p w14:paraId="470FA511" w14:textId="77777777" w:rsidR="008F2269" w:rsidRPr="00090C68" w:rsidRDefault="008F2269" w:rsidP="00090C68">
      <w:pPr>
        <w:pStyle w:val="Titre2"/>
        <w:numPr>
          <w:ilvl w:val="1"/>
          <w:numId w:val="117"/>
        </w:numPr>
        <w:spacing w:before="0" w:after="160"/>
        <w:ind w:left="567" w:hanging="425"/>
        <w:rPr>
          <w:rFonts w:asciiTheme="minorHAnsi" w:eastAsiaTheme="minorHAnsi" w:hAnsiTheme="minorHAnsi" w:cstheme="minorHAnsi"/>
          <w:b/>
          <w:bCs/>
          <w:color w:val="auto"/>
          <w:sz w:val="22"/>
          <w:szCs w:val="22"/>
        </w:rPr>
      </w:pPr>
      <w:bookmarkStart w:id="160" w:name="_Toc57057442"/>
      <w:bookmarkStart w:id="161" w:name="_Toc180318689"/>
      <w:r w:rsidRPr="00090C68">
        <w:rPr>
          <w:rFonts w:asciiTheme="minorHAnsi" w:eastAsiaTheme="minorHAnsi" w:hAnsiTheme="minorHAnsi" w:cstheme="minorHAnsi"/>
          <w:b/>
          <w:bCs/>
          <w:color w:val="auto"/>
          <w:sz w:val="22"/>
          <w:szCs w:val="22"/>
        </w:rPr>
        <w:t>Le Programme Prioritaire Elargi de son Excellence le Président de la République (2020-2022)</w:t>
      </w:r>
      <w:bookmarkEnd w:id="160"/>
      <w:bookmarkEnd w:id="161"/>
    </w:p>
    <w:p w14:paraId="3E3C621B" w14:textId="77777777" w:rsidR="008F2269" w:rsidRPr="00BE7A39" w:rsidRDefault="008F2269" w:rsidP="008F2269">
      <w:pPr>
        <w:jc w:val="both"/>
        <w:rPr>
          <w:rFonts w:cstheme="minorHAnsi"/>
        </w:rPr>
      </w:pPr>
      <w:r>
        <w:rPr>
          <w:rFonts w:cstheme="minorHAnsi"/>
        </w:rPr>
        <w:t xml:space="preserve">Suite au </w:t>
      </w:r>
      <w:r w:rsidRPr="00BE7A39">
        <w:rPr>
          <w:rFonts w:cstheme="minorHAnsi"/>
        </w:rPr>
        <w:t>Programme Prioritaire 1</w:t>
      </w:r>
      <w:r>
        <w:rPr>
          <w:rFonts w:cstheme="minorHAnsi"/>
        </w:rPr>
        <w:t xml:space="preserve"> </w:t>
      </w:r>
      <w:r w:rsidRPr="00BE7A39">
        <w:rPr>
          <w:rFonts w:cstheme="minorHAnsi"/>
        </w:rPr>
        <w:t>(PP1)</w:t>
      </w:r>
      <w:r w:rsidRPr="00BE7A39">
        <w:rPr>
          <w:rFonts w:cstheme="minorHAnsi"/>
          <w:i/>
        </w:rPr>
        <w:t xml:space="preserve"> </w:t>
      </w:r>
      <w:r w:rsidRPr="00BE7A39">
        <w:rPr>
          <w:rFonts w:cstheme="minorHAnsi"/>
        </w:rPr>
        <w:t xml:space="preserve">lancé en janvier 2020 pour 25 mesures et actions </w:t>
      </w:r>
      <w:r>
        <w:rPr>
          <w:rFonts w:cstheme="minorHAnsi"/>
        </w:rPr>
        <w:t xml:space="preserve">qui </w:t>
      </w:r>
      <w:r w:rsidRPr="00BE7A39">
        <w:rPr>
          <w:rFonts w:cstheme="minorHAnsi"/>
        </w:rPr>
        <w:t>couvrent les domaines ess</w:t>
      </w:r>
      <w:r>
        <w:rPr>
          <w:rFonts w:cstheme="minorHAnsi"/>
        </w:rPr>
        <w:t xml:space="preserve">entiels pour </w:t>
      </w:r>
      <w:r w:rsidRPr="00BE7A39">
        <w:rPr>
          <w:rFonts w:cstheme="minorHAnsi"/>
        </w:rPr>
        <w:t>le développement économ</w:t>
      </w:r>
      <w:r>
        <w:rPr>
          <w:rFonts w:cstheme="minorHAnsi"/>
        </w:rPr>
        <w:t xml:space="preserve">ique et social, un nouveau </w:t>
      </w:r>
      <w:r w:rsidRPr="00BE7A39">
        <w:rPr>
          <w:rFonts w:cstheme="minorHAnsi"/>
        </w:rPr>
        <w:t>Progr</w:t>
      </w:r>
      <w:r>
        <w:rPr>
          <w:rFonts w:cstheme="minorHAnsi"/>
        </w:rPr>
        <w:t>amme Prioritaire Elargi (PPE) de Son Excellence le</w:t>
      </w:r>
      <w:r w:rsidRPr="00BE7A39">
        <w:rPr>
          <w:rFonts w:cstheme="minorHAnsi"/>
        </w:rPr>
        <w:t xml:space="preserve"> Président </w:t>
      </w:r>
      <w:r>
        <w:rPr>
          <w:rFonts w:cstheme="minorHAnsi"/>
        </w:rPr>
        <w:t xml:space="preserve">de la République </w:t>
      </w:r>
      <w:r w:rsidRPr="00BE7A39">
        <w:rPr>
          <w:rFonts w:cstheme="minorHAnsi"/>
        </w:rPr>
        <w:t xml:space="preserve">annoncé en septembre </w:t>
      </w:r>
      <w:r>
        <w:rPr>
          <w:rFonts w:cstheme="minorHAnsi"/>
        </w:rPr>
        <w:t xml:space="preserve">2020 pour une période de 30 mois est articulé </w:t>
      </w:r>
      <w:r w:rsidRPr="00BE7A39">
        <w:rPr>
          <w:rFonts w:cstheme="minorHAnsi"/>
        </w:rPr>
        <w:t>autour de six axes : (i) Développement d'infrastructures de soutien à la croissance;</w:t>
      </w:r>
      <w:r>
        <w:rPr>
          <w:rFonts w:cstheme="minorHAnsi"/>
        </w:rPr>
        <w:t xml:space="preserve"> </w:t>
      </w:r>
      <w:r w:rsidRPr="00BE7A39">
        <w:rPr>
          <w:rFonts w:cstheme="minorHAnsi"/>
        </w:rPr>
        <w:t>(ii) Amélioration de l'offre sociale et soutien à la demande;</w:t>
      </w:r>
      <w:r>
        <w:rPr>
          <w:rFonts w:cstheme="minorHAnsi"/>
        </w:rPr>
        <w:t xml:space="preserve"> </w:t>
      </w:r>
      <w:r w:rsidRPr="00BE7A39">
        <w:rPr>
          <w:rFonts w:cstheme="minorHAnsi"/>
        </w:rPr>
        <w:t>(iii) valorisation du potentiel des secteurs productifs et accélération de l'atteinte de l'autosuffisance alimentaire;</w:t>
      </w:r>
      <w:r>
        <w:rPr>
          <w:rFonts w:cstheme="minorHAnsi"/>
        </w:rPr>
        <w:t xml:space="preserve"> </w:t>
      </w:r>
      <w:r w:rsidRPr="00BE7A39">
        <w:rPr>
          <w:rFonts w:cstheme="minorHAnsi"/>
        </w:rPr>
        <w:t>(iv) Appui au secteur privé (formel et informel); (v) Reboisement, Création d'Emplois</w:t>
      </w:r>
      <w:r>
        <w:rPr>
          <w:rFonts w:cstheme="minorHAnsi"/>
        </w:rPr>
        <w:t> ;</w:t>
      </w:r>
      <w:r w:rsidRPr="00BE7A39">
        <w:rPr>
          <w:rFonts w:cstheme="minorHAnsi"/>
        </w:rPr>
        <w:t xml:space="preserve"> (vi) Gouvernance et mise en œuvre du programme.</w:t>
      </w:r>
    </w:p>
    <w:p w14:paraId="2D8C72FC" w14:textId="77777777" w:rsidR="008F2269" w:rsidRPr="00BE7A39" w:rsidRDefault="008F2269" w:rsidP="008F2269">
      <w:pPr>
        <w:jc w:val="both"/>
        <w:rPr>
          <w:rFonts w:cstheme="minorHAnsi"/>
        </w:rPr>
      </w:pPr>
      <w:r w:rsidRPr="00BE7A39">
        <w:rPr>
          <w:rFonts w:cstheme="minorHAnsi"/>
        </w:rPr>
        <w:t xml:space="preserve">Dans les secteurs de l’approvisionnement en eau potable, de l’assainissement et de l’irrigation, les projets de renforcement de la résilience au CC retenus </w:t>
      </w:r>
      <w:r>
        <w:rPr>
          <w:rFonts w:cstheme="minorHAnsi"/>
        </w:rPr>
        <w:t>sont articulés comme suit :</w:t>
      </w:r>
    </w:p>
    <w:p w14:paraId="00240AD6"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La construction de barrages : 172 Mio MRU en cours dans Programme prioritaire 1 (PP1) ;</w:t>
      </w:r>
    </w:p>
    <w:p w14:paraId="01C06CB1"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 xml:space="preserve">  La construction de seuils (PPE 2020-2022) : 90 Mio MRU en cours dans Programme prioritaire 1 (PP1) ;</w:t>
      </w:r>
    </w:p>
    <w:p w14:paraId="4E167793"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La construction de 30 bassins de rétention des eaux pluviales (PPE 2020-2022) : 100 Mio MRU programmés, (Financement à rechercher) ; </w:t>
      </w:r>
    </w:p>
    <w:p w14:paraId="4EF6303C"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 xml:space="preserve">La construction de barrages et seuils de ralentissement : 100 Mio MRU programmés, (Financement à rechercher) ; </w:t>
      </w:r>
    </w:p>
    <w:p w14:paraId="55A552A6"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 xml:space="preserve">Le curage et recalibrage de trois axes hydrauliques le long de la vallée (PPE 2020-2022) : 300 Mio MRU programmés, (Financement à rechercher). </w:t>
      </w:r>
    </w:p>
    <w:p w14:paraId="426096E0" w14:textId="77777777" w:rsidR="008F2269" w:rsidRPr="002209B2" w:rsidRDefault="008F2269" w:rsidP="008F2269">
      <w:pPr>
        <w:jc w:val="both"/>
        <w:rPr>
          <w:rFonts w:cstheme="minorHAnsi"/>
        </w:rPr>
      </w:pPr>
      <w:r w:rsidRPr="002209B2">
        <w:rPr>
          <w:rFonts w:cstheme="minorHAnsi"/>
        </w:rPr>
        <w:t>Dans ce même cadre, la d</w:t>
      </w:r>
      <w:r w:rsidRPr="002209B2">
        <w:rPr>
          <w:rFonts w:cstheme="minorHAnsi"/>
          <w:bCs/>
        </w:rPr>
        <w:t xml:space="preserve">éclaration de la Politique Générale du Premier Ministre </w:t>
      </w:r>
      <w:r>
        <w:rPr>
          <w:rFonts w:cstheme="minorHAnsi"/>
          <w:bCs/>
        </w:rPr>
        <w:t>le 06 septembre</w:t>
      </w:r>
      <w:r w:rsidRPr="002209B2">
        <w:rPr>
          <w:rFonts w:cstheme="minorHAnsi"/>
          <w:bCs/>
        </w:rPr>
        <w:t xml:space="preserve"> 2020</w:t>
      </w:r>
      <w:r>
        <w:rPr>
          <w:rFonts w:cstheme="minorHAnsi"/>
          <w:bCs/>
        </w:rPr>
        <w:t xml:space="preserve"> prévoit les mesures suivantes :</w:t>
      </w:r>
    </w:p>
    <w:p w14:paraId="0E88F0C9"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Les phases du projet DHAR relatives à l’alimentation de plusieurs localités dans les deux Hodhs situées sur les axes de Timbédra-Aweinat Zbill-Aioun et de Timbédra-Djiguenni, la ville de Oualata et la zone de Bougadoum, Biri Bavatt, Bousta et Mabrouk, (Financement à rechercher</w:t>
      </w:r>
      <w:r>
        <w:rPr>
          <w:rFonts w:asciiTheme="minorHAnsi" w:eastAsia="Verdana" w:hAnsiTheme="minorHAnsi" w:cstheme="minorHAnsi"/>
          <w:color w:val="auto"/>
          <w:sz w:val="22"/>
          <w:szCs w:val="22"/>
        </w:rPr>
        <w:t xml:space="preserve">) ; </w:t>
      </w:r>
    </w:p>
    <w:p w14:paraId="368A0797"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L’alimentation en eau potable de douze localités du Guidimakha et de l’Assaba à partir du fleuve, (Financement à rechercher) ;</w:t>
      </w:r>
    </w:p>
    <w:p w14:paraId="68520B03"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 xml:space="preserve"> Le démarrage du Projet Sectoriel Eau et Assainissement qui bénéficiera à 473.000 personnes dans les Wilayas du Hodh Chargui, Hodh El-Gharbi, Assaba, Guidimakha et Gorgol</w:t>
      </w:r>
      <w:r>
        <w:rPr>
          <w:rFonts w:asciiTheme="minorHAnsi" w:eastAsia="Verdana" w:hAnsiTheme="minorHAnsi" w:cstheme="minorHAnsi"/>
          <w:color w:val="auto"/>
          <w:sz w:val="22"/>
          <w:szCs w:val="22"/>
        </w:rPr>
        <w:t xml:space="preserve"> </w:t>
      </w:r>
      <w:r w:rsidRPr="009D2758">
        <w:rPr>
          <w:rFonts w:asciiTheme="minorHAnsi" w:eastAsia="Verdana" w:hAnsiTheme="minorHAnsi" w:cstheme="minorHAnsi"/>
          <w:color w:val="auto"/>
          <w:sz w:val="22"/>
          <w:szCs w:val="22"/>
        </w:rPr>
        <w:t>(Financement à rechercher)</w:t>
      </w:r>
      <w:r>
        <w:rPr>
          <w:rFonts w:asciiTheme="minorHAnsi" w:eastAsia="Verdana" w:hAnsiTheme="minorHAnsi" w:cstheme="minorHAnsi"/>
          <w:color w:val="auto"/>
          <w:sz w:val="22"/>
          <w:szCs w:val="22"/>
        </w:rPr>
        <w:t xml:space="preserve"> ; </w:t>
      </w:r>
    </w:p>
    <w:p w14:paraId="2E7D6628"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 xml:space="preserve"> Le lancement d’un nouveau projet de renforcement de l’alimentation en eau potable de Nouadhibou à partir de Boulenouar, (Financement à rechercher) ;</w:t>
      </w:r>
    </w:p>
    <w:p w14:paraId="1BC4CDDF"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Le lancement d’un nouveau projet visant la sécurisation, l’extension des installations de l’Aftout Essahli et la remise en état du système d’alimentation en eau potable de Nouakchott à partir d’Idini, (Financement à rechercher)</w:t>
      </w:r>
      <w:r>
        <w:rPr>
          <w:rFonts w:asciiTheme="minorHAnsi" w:eastAsia="Verdana" w:hAnsiTheme="minorHAnsi" w:cstheme="minorHAnsi"/>
          <w:color w:val="auto"/>
          <w:sz w:val="22"/>
          <w:szCs w:val="22"/>
        </w:rPr>
        <w:t> ;</w:t>
      </w:r>
    </w:p>
    <w:p w14:paraId="681AA679" w14:textId="77777777" w:rsidR="008F2269"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Installation d'une centrale thermique de 5MGW à Beninajii pour sécuriser l’approvisionnement en eau de la ville de Nouakchott par le réseau de l’Aftout Essahli (PPE 2020-2022)</w:t>
      </w:r>
      <w:r>
        <w:rPr>
          <w:rFonts w:asciiTheme="minorHAnsi" w:eastAsia="Verdana" w:hAnsiTheme="minorHAnsi" w:cstheme="minorHAnsi"/>
          <w:color w:val="auto"/>
          <w:sz w:val="22"/>
          <w:szCs w:val="22"/>
        </w:rPr>
        <w:t xml:space="preserve"> : </w:t>
      </w:r>
      <w:r w:rsidRPr="009D2758">
        <w:rPr>
          <w:rFonts w:asciiTheme="minorHAnsi" w:eastAsia="Verdana" w:hAnsiTheme="minorHAnsi" w:cstheme="minorHAnsi"/>
          <w:color w:val="auto"/>
          <w:sz w:val="22"/>
          <w:szCs w:val="22"/>
        </w:rPr>
        <w:t>100 Mio MRU programmés (Financement à rechercher)</w:t>
      </w:r>
      <w:r>
        <w:rPr>
          <w:rFonts w:asciiTheme="minorHAnsi" w:eastAsia="Verdana" w:hAnsiTheme="minorHAnsi" w:cstheme="minorHAnsi"/>
          <w:color w:val="auto"/>
          <w:sz w:val="22"/>
          <w:szCs w:val="22"/>
        </w:rPr>
        <w:t>.</w:t>
      </w:r>
      <w:r>
        <w:rPr>
          <w:rFonts w:asciiTheme="minorHAnsi" w:hAnsiTheme="minorHAnsi" w:cstheme="minorHAnsi"/>
          <w:bCs/>
          <w:color w:val="auto"/>
          <w:sz w:val="22"/>
          <w:szCs w:val="22"/>
        </w:rPr>
        <w:t xml:space="preserve">de son Excellence le Président de la République </w:t>
      </w:r>
      <w:r w:rsidRPr="00B95139">
        <w:rPr>
          <w:rFonts w:asciiTheme="minorHAnsi" w:hAnsiTheme="minorHAnsi" w:cstheme="minorHAnsi"/>
          <w:bCs/>
          <w:color w:val="auto"/>
          <w:sz w:val="22"/>
          <w:szCs w:val="22"/>
        </w:rPr>
        <w:t>(2020-2022)</w:t>
      </w:r>
      <w:r>
        <w:rPr>
          <w:rFonts w:asciiTheme="minorHAnsi" w:hAnsiTheme="minorHAnsi" w:cstheme="minorHAnsi"/>
          <w:bCs/>
          <w:color w:val="auto"/>
          <w:sz w:val="22"/>
          <w:szCs w:val="22"/>
        </w:rPr>
        <w:t>.</w:t>
      </w:r>
    </w:p>
    <w:p w14:paraId="61714E37" w14:textId="77777777" w:rsidR="008F2269" w:rsidRPr="00090C68" w:rsidRDefault="008F2269" w:rsidP="00090C68">
      <w:pPr>
        <w:pStyle w:val="Titre2"/>
        <w:numPr>
          <w:ilvl w:val="1"/>
          <w:numId w:val="117"/>
        </w:numPr>
        <w:spacing w:before="0" w:after="160"/>
        <w:ind w:left="567" w:hanging="425"/>
        <w:rPr>
          <w:rFonts w:asciiTheme="minorHAnsi" w:eastAsiaTheme="minorHAnsi" w:hAnsiTheme="minorHAnsi" w:cstheme="minorHAnsi"/>
          <w:b/>
          <w:bCs/>
          <w:color w:val="auto"/>
          <w:sz w:val="22"/>
          <w:szCs w:val="22"/>
        </w:rPr>
      </w:pPr>
      <w:bookmarkStart w:id="162" w:name="_Toc180318690"/>
      <w:r w:rsidRPr="00090C68">
        <w:rPr>
          <w:rFonts w:asciiTheme="minorHAnsi" w:eastAsiaTheme="minorHAnsi" w:hAnsiTheme="minorHAnsi" w:cstheme="minorHAnsi"/>
          <w:b/>
          <w:bCs/>
          <w:color w:val="auto"/>
          <w:sz w:val="22"/>
          <w:szCs w:val="22"/>
        </w:rPr>
        <w:t>Le Plan National de Prévention des Risques Climatiques (2021-2030)</w:t>
      </w:r>
      <w:bookmarkEnd w:id="162"/>
    </w:p>
    <w:p w14:paraId="52D28126" w14:textId="77777777" w:rsidR="008F2269" w:rsidRPr="004A64F0" w:rsidRDefault="008F2269" w:rsidP="008F2269">
      <w:pPr>
        <w:autoSpaceDE w:val="0"/>
        <w:autoSpaceDN w:val="0"/>
        <w:adjustRightInd w:val="0"/>
        <w:spacing w:line="240" w:lineRule="auto"/>
        <w:jc w:val="both"/>
        <w:rPr>
          <w:rFonts w:eastAsia="Verdana" w:cstheme="minorHAnsi"/>
        </w:rPr>
      </w:pPr>
      <w:r w:rsidRPr="009B415E">
        <w:rPr>
          <w:rFonts w:ascii="Calibri" w:eastAsia="Calibri" w:hAnsi="Calibri" w:cstheme="minorHAnsi"/>
          <w:b/>
          <w:bCs/>
          <w:i/>
          <w:iCs/>
        </w:rPr>
        <w:t xml:space="preserve"> </w:t>
      </w:r>
      <w:r w:rsidRPr="00E07220">
        <w:rPr>
          <w:rFonts w:ascii="Calibri" w:eastAsia="Calibri" w:hAnsi="Calibri" w:cstheme="minorHAnsi"/>
          <w:b/>
          <w:bCs/>
        </w:rPr>
        <w:t>Le Plan National de Prévention des Risques Climatiques</w:t>
      </w:r>
      <w:r>
        <w:rPr>
          <w:rFonts w:ascii="Calibri" w:eastAsia="Calibri" w:hAnsi="Calibri" w:cstheme="minorHAnsi"/>
          <w:b/>
          <w:bCs/>
        </w:rPr>
        <w:t xml:space="preserve"> </w:t>
      </w:r>
      <w:r w:rsidRPr="00E07220">
        <w:rPr>
          <w:rFonts w:ascii="Calibri" w:eastAsia="Calibri" w:hAnsi="Calibri" w:cstheme="minorHAnsi"/>
          <w:b/>
          <w:bCs/>
        </w:rPr>
        <w:t>(PNPRC) sur</w:t>
      </w:r>
      <w:r w:rsidRPr="004A64F0">
        <w:rPr>
          <w:rFonts w:eastAsia="Verdana" w:cstheme="minorHAnsi"/>
        </w:rPr>
        <w:t xml:space="preserve"> la période 2021-2030 prend en compte les orientations stratégiques du Cadre d'action de Sendai pour la réduction des risques de catastrophe (2015-2030), d’une part, et du Programme d’action africain adapté du cadre susmentionné aux priorités du continent, d’autre part. Il vise à augmenter durablement et à long terme la résilience du pays face aux changements climatiques et aux risques associés. </w:t>
      </w:r>
    </w:p>
    <w:p w14:paraId="70B18198" w14:textId="77777777" w:rsidR="008F2269" w:rsidRPr="00EF1060" w:rsidRDefault="008F2269" w:rsidP="008F2269">
      <w:pPr>
        <w:spacing w:line="240" w:lineRule="auto"/>
        <w:rPr>
          <w:bCs/>
          <w:strike/>
          <w:kern w:val="28"/>
        </w:rPr>
      </w:pPr>
      <w:r>
        <w:rPr>
          <w:rFonts w:cstheme="minorHAnsi"/>
          <w:bCs/>
        </w:rPr>
        <w:t>Le PNPRC repose sur 4 axes stratégiques déclinés en résultats :</w:t>
      </w:r>
    </w:p>
    <w:p w14:paraId="64C5888C" w14:textId="77777777" w:rsidR="008F2269" w:rsidRPr="009031CB" w:rsidRDefault="008F2269" w:rsidP="008F2269">
      <w:pPr>
        <w:spacing w:after="0"/>
        <w:rPr>
          <w:rFonts w:cstheme="minorHAnsi"/>
          <w:b/>
          <w:bCs/>
          <w:strike/>
        </w:rPr>
      </w:pPr>
      <w:r w:rsidRPr="009031CB">
        <w:rPr>
          <w:rFonts w:cstheme="minorHAnsi"/>
          <w:b/>
          <w:bCs/>
        </w:rPr>
        <w:t xml:space="preserve">Axe stratégique 1 : </w:t>
      </w:r>
      <w:r w:rsidRPr="009031CB">
        <w:rPr>
          <w:rFonts w:cstheme="minorHAnsi"/>
        </w:rPr>
        <w:t>Améliorer la connaissance des risques-impacts de la variabilité et du changement climatique</w:t>
      </w:r>
      <w:r w:rsidRPr="009031CB">
        <w:rPr>
          <w:rFonts w:cstheme="minorHAnsi"/>
          <w:strike/>
        </w:rPr>
        <w:t>.</w:t>
      </w:r>
    </w:p>
    <w:p w14:paraId="09144518" w14:textId="77777777" w:rsidR="008F2269" w:rsidRPr="00CC17BA" w:rsidRDefault="008F2269" w:rsidP="008F2269">
      <w:pPr>
        <w:tabs>
          <w:tab w:val="left" w:pos="426"/>
        </w:tabs>
        <w:autoSpaceDE w:val="0"/>
        <w:adjustRightInd w:val="0"/>
        <w:spacing w:before="240" w:after="120"/>
        <w:ind w:left="426"/>
        <w:jc w:val="both"/>
        <w:rPr>
          <w:rFonts w:cstheme="minorHAnsi"/>
          <w:strike/>
          <w:shd w:val="clear" w:color="auto" w:fill="FFF2CC" w:themeFill="accent4" w:themeFillTint="33"/>
        </w:rPr>
      </w:pPr>
      <w:r>
        <w:rPr>
          <w:rFonts w:cstheme="minorHAnsi"/>
          <w:b/>
          <w:bCs/>
        </w:rPr>
        <w:t xml:space="preserve">Cible : </w:t>
      </w:r>
      <w:r w:rsidRPr="00587A6A">
        <w:rPr>
          <w:rFonts w:cstheme="minorHAnsi"/>
        </w:rPr>
        <w:t xml:space="preserve">A l’horizon 2030 les décideurs publics, privés, associatifs et les communautés disposent d’une meilleure </w:t>
      </w:r>
      <w:r w:rsidRPr="00CC17BA">
        <w:rPr>
          <w:rFonts w:cstheme="minorHAnsi"/>
        </w:rPr>
        <w:t>connaissance des risques climatiques et prennent des mesures pour les atténuer.</w:t>
      </w:r>
    </w:p>
    <w:p w14:paraId="69AB6236" w14:textId="77777777" w:rsidR="008F2269" w:rsidRDefault="008F2269" w:rsidP="008F2269">
      <w:pPr>
        <w:pStyle w:val="Paragraphedeliste"/>
        <w:spacing w:after="0"/>
        <w:rPr>
          <w:rFonts w:cstheme="minorHAnsi"/>
        </w:rPr>
      </w:pPr>
      <w:r w:rsidRPr="008071E7">
        <w:rPr>
          <w:rFonts w:cstheme="minorHAnsi"/>
          <w:b/>
          <w:bCs/>
        </w:rPr>
        <w:t xml:space="preserve">Résultat 1.1 : </w:t>
      </w:r>
      <w:r w:rsidRPr="008071E7">
        <w:rPr>
          <w:rFonts w:cstheme="minorHAnsi"/>
        </w:rPr>
        <w:t>Les risques-impacts de la variabilité et du changement climatique sont mieux appréhendés pour améliorer la résilience et orienter la prise de décision adéquate</w:t>
      </w:r>
      <w:r>
        <w:rPr>
          <w:rFonts w:cstheme="minorHAnsi"/>
        </w:rPr>
        <w:t> ;</w:t>
      </w:r>
    </w:p>
    <w:p w14:paraId="6EE3B02B" w14:textId="77777777" w:rsidR="008F2269" w:rsidRPr="000F7F2D" w:rsidRDefault="008F2269" w:rsidP="008F2269">
      <w:pPr>
        <w:pStyle w:val="Paragraphedeliste"/>
        <w:spacing w:after="120"/>
        <w:rPr>
          <w:rFonts w:cstheme="minorHAnsi"/>
        </w:rPr>
      </w:pPr>
      <w:r w:rsidRPr="008071E7">
        <w:rPr>
          <w:rFonts w:cstheme="minorHAnsi"/>
          <w:b/>
          <w:bCs/>
        </w:rPr>
        <w:t xml:space="preserve">Résultat 1.2 : </w:t>
      </w:r>
      <w:r w:rsidRPr="008071E7">
        <w:rPr>
          <w:rFonts w:cstheme="minorHAnsi"/>
        </w:rPr>
        <w:t>La communication est soutenue pour une meilleure prévention et atténuation des risques climatiques.</w:t>
      </w:r>
    </w:p>
    <w:p w14:paraId="2FEA59CF" w14:textId="77777777" w:rsidR="008F2269" w:rsidRPr="00DF5C54" w:rsidRDefault="008F2269" w:rsidP="008F2269">
      <w:pPr>
        <w:rPr>
          <w:rFonts w:cstheme="minorHAnsi"/>
        </w:rPr>
      </w:pPr>
      <w:r w:rsidRPr="009031CB">
        <w:rPr>
          <w:rFonts w:cstheme="minorHAnsi"/>
          <w:b/>
          <w:bCs/>
        </w:rPr>
        <w:t xml:space="preserve">Axe stratégique 2 : </w:t>
      </w:r>
      <w:r w:rsidRPr="009031CB">
        <w:rPr>
          <w:rFonts w:cstheme="minorHAnsi"/>
        </w:rPr>
        <w:t>Renforcer la gouvernance des risques climatiques aux niveaux central et régional</w:t>
      </w:r>
    </w:p>
    <w:p w14:paraId="4C841B29" w14:textId="77777777" w:rsidR="008F2269" w:rsidRPr="008F4C42" w:rsidRDefault="008F2269" w:rsidP="008F2269">
      <w:pPr>
        <w:tabs>
          <w:tab w:val="left" w:pos="426"/>
        </w:tabs>
        <w:autoSpaceDE w:val="0"/>
        <w:adjustRightInd w:val="0"/>
        <w:spacing w:after="120"/>
        <w:jc w:val="both"/>
        <w:rPr>
          <w:rFonts w:cstheme="minorHAnsi"/>
          <w:b/>
          <w:bCs/>
        </w:rPr>
      </w:pPr>
      <w:r w:rsidRPr="008F4C42">
        <w:rPr>
          <w:rFonts w:cstheme="minorHAnsi"/>
          <w:b/>
          <w:bCs/>
        </w:rPr>
        <w:t>Cibles : </w:t>
      </w:r>
    </w:p>
    <w:p w14:paraId="0312E03F" w14:textId="77777777" w:rsidR="008F2269" w:rsidRPr="00435A1F" w:rsidRDefault="008F2269" w:rsidP="008F2269">
      <w:pPr>
        <w:pStyle w:val="Paragraphedeliste"/>
        <w:numPr>
          <w:ilvl w:val="0"/>
          <w:numId w:val="151"/>
        </w:numPr>
        <w:tabs>
          <w:tab w:val="left" w:pos="426"/>
        </w:tabs>
        <w:autoSpaceDE w:val="0"/>
        <w:autoSpaceDN w:val="0"/>
        <w:adjustRightInd w:val="0"/>
        <w:spacing w:after="120" w:line="240" w:lineRule="auto"/>
        <w:contextualSpacing w:val="0"/>
        <w:jc w:val="both"/>
        <w:rPr>
          <w:rFonts w:cstheme="minorHAnsi"/>
          <w:strike/>
          <w:shd w:val="clear" w:color="auto" w:fill="FFF2CC" w:themeFill="accent4" w:themeFillTint="33"/>
        </w:rPr>
      </w:pPr>
      <w:r w:rsidRPr="00435A1F">
        <w:rPr>
          <w:rFonts w:cstheme="minorHAnsi"/>
        </w:rPr>
        <w:t>Cadres institutionnel</w:t>
      </w:r>
      <w:r>
        <w:rPr>
          <w:rFonts w:cstheme="minorHAnsi"/>
        </w:rPr>
        <w:t>s</w:t>
      </w:r>
      <w:r w:rsidRPr="00435A1F">
        <w:rPr>
          <w:rFonts w:cstheme="minorHAnsi"/>
        </w:rPr>
        <w:t>, règlementaires et juridiques en rapport avec les risques climatiques adoptés ;</w:t>
      </w:r>
    </w:p>
    <w:p w14:paraId="06317707" w14:textId="77777777" w:rsidR="008F2269" w:rsidRPr="000F7F2D" w:rsidRDefault="008F2269" w:rsidP="008F2269">
      <w:pPr>
        <w:pStyle w:val="Paragraphedeliste"/>
        <w:numPr>
          <w:ilvl w:val="0"/>
          <w:numId w:val="151"/>
        </w:numPr>
        <w:tabs>
          <w:tab w:val="left" w:pos="426"/>
        </w:tabs>
        <w:autoSpaceDE w:val="0"/>
        <w:autoSpaceDN w:val="0"/>
        <w:adjustRightInd w:val="0"/>
        <w:spacing w:after="120" w:line="240" w:lineRule="auto"/>
        <w:contextualSpacing w:val="0"/>
        <w:jc w:val="both"/>
        <w:rPr>
          <w:rFonts w:cstheme="minorHAnsi"/>
          <w:strike/>
          <w:shd w:val="clear" w:color="auto" w:fill="FFF2CC" w:themeFill="accent4" w:themeFillTint="33"/>
        </w:rPr>
      </w:pPr>
      <w:r w:rsidRPr="00435A1F">
        <w:rPr>
          <w:rFonts w:cstheme="minorHAnsi"/>
        </w:rPr>
        <w:t>Des ressources financiè</w:t>
      </w:r>
      <w:r>
        <w:rPr>
          <w:rFonts w:cstheme="minorHAnsi"/>
        </w:rPr>
        <w:t xml:space="preserve">res sont mobilisées </w:t>
      </w:r>
      <w:r w:rsidRPr="00435A1F">
        <w:rPr>
          <w:rFonts w:cstheme="minorHAnsi"/>
        </w:rPr>
        <w:t>pour soutenir la prise en charge de la prévention des risques climatiques.</w:t>
      </w:r>
    </w:p>
    <w:p w14:paraId="32B00C7B" w14:textId="77777777" w:rsidR="008F2269" w:rsidRDefault="008F2269" w:rsidP="008F2269">
      <w:pPr>
        <w:pStyle w:val="Paragraphedeliste"/>
        <w:ind w:left="0"/>
        <w:jc w:val="both"/>
        <w:rPr>
          <w:rFonts w:cstheme="minorHAnsi"/>
        </w:rPr>
      </w:pPr>
      <w:r w:rsidRPr="008071E7">
        <w:rPr>
          <w:rFonts w:cstheme="minorHAnsi"/>
          <w:b/>
          <w:bCs/>
        </w:rPr>
        <w:t xml:space="preserve">Résultat 2.1 : </w:t>
      </w:r>
      <w:r w:rsidRPr="008071E7">
        <w:rPr>
          <w:rFonts w:cstheme="minorHAnsi"/>
        </w:rPr>
        <w:t>Les cadres politique, institutionnel et normatif de la gestion des risques climatiques sont renforcés et permettent aux secteurs d’assumer leurs responsabilités selon les principes de la transparence et de la redevabilité.</w:t>
      </w:r>
    </w:p>
    <w:p w14:paraId="26DB995A" w14:textId="77777777" w:rsidR="008F2269" w:rsidRDefault="008F2269" w:rsidP="008F2269">
      <w:pPr>
        <w:pStyle w:val="Paragraphedeliste"/>
        <w:jc w:val="both"/>
        <w:rPr>
          <w:rFonts w:cstheme="minorHAnsi"/>
        </w:rPr>
      </w:pPr>
    </w:p>
    <w:p w14:paraId="5196D1A5" w14:textId="77777777" w:rsidR="008F2269" w:rsidRDefault="008F2269" w:rsidP="008F2269">
      <w:pPr>
        <w:pStyle w:val="Paragraphedeliste"/>
        <w:ind w:left="0"/>
        <w:jc w:val="both"/>
        <w:rPr>
          <w:rFonts w:cstheme="minorHAnsi"/>
        </w:rPr>
      </w:pPr>
      <w:r w:rsidRPr="00781CF9">
        <w:rPr>
          <w:rFonts w:cstheme="minorHAnsi"/>
          <w:b/>
          <w:bCs/>
        </w:rPr>
        <w:t xml:space="preserve">Cible : </w:t>
      </w:r>
      <w:r w:rsidRPr="00781CF9">
        <w:rPr>
          <w:rFonts w:cstheme="minorHAnsi"/>
        </w:rPr>
        <w:t>D’ici 2030, 5% des investissements publics, privés et communautaires sont protégés par des politiques de transfert de risques</w:t>
      </w:r>
      <w:r w:rsidRPr="00781CF9">
        <w:rPr>
          <w:rStyle w:val="Appelnotedebasdep"/>
          <w:rFonts w:cstheme="minorHAnsi"/>
        </w:rPr>
        <w:footnoteReference w:id="50"/>
      </w:r>
      <w:r w:rsidRPr="00781CF9">
        <w:rPr>
          <w:rFonts w:cstheme="minorHAnsi"/>
        </w:rPr>
        <w:t> ;</w:t>
      </w:r>
    </w:p>
    <w:p w14:paraId="21F59520" w14:textId="77777777" w:rsidR="008F2269" w:rsidRDefault="008F2269" w:rsidP="008F2269">
      <w:pPr>
        <w:pStyle w:val="Paragraphedeliste"/>
        <w:ind w:left="0"/>
        <w:jc w:val="both"/>
        <w:rPr>
          <w:rFonts w:cstheme="minorHAnsi"/>
        </w:rPr>
      </w:pPr>
      <w:r w:rsidRPr="008071E7">
        <w:rPr>
          <w:rFonts w:cstheme="minorHAnsi"/>
          <w:b/>
          <w:bCs/>
        </w:rPr>
        <w:t xml:space="preserve">Résultat 2.2 : </w:t>
      </w:r>
      <w:r w:rsidRPr="008071E7">
        <w:rPr>
          <w:rFonts w:cstheme="minorHAnsi"/>
        </w:rPr>
        <w:t>Les secteurs intègrent/renforcent la dimension des risques climatiques dans leurs systèmes de planification et de budgétisation.</w:t>
      </w:r>
    </w:p>
    <w:p w14:paraId="6566B740" w14:textId="77777777" w:rsidR="008F2269" w:rsidRPr="009031CB" w:rsidRDefault="008F2269" w:rsidP="008F2269">
      <w:pPr>
        <w:jc w:val="both"/>
        <w:rPr>
          <w:rFonts w:cstheme="minorHAnsi"/>
          <w:b/>
          <w:bCs/>
        </w:rPr>
      </w:pPr>
      <w:r w:rsidRPr="009031CB">
        <w:rPr>
          <w:rFonts w:cstheme="minorHAnsi"/>
          <w:b/>
          <w:bCs/>
        </w:rPr>
        <w:t xml:space="preserve">Axe stratégique 3 : </w:t>
      </w:r>
      <w:r w:rsidRPr="009031CB">
        <w:rPr>
          <w:rFonts w:cstheme="minorHAnsi"/>
        </w:rPr>
        <w:t>Développer et utiliser des mécanismes financiers durables et innovants afin d’accroitre la résilience des communautés et institutions et réduire les facteurs des risques climatiques et catastrophes.</w:t>
      </w:r>
    </w:p>
    <w:p w14:paraId="30910F28" w14:textId="77777777" w:rsidR="008F2269" w:rsidRPr="00C364BB" w:rsidRDefault="008F2269" w:rsidP="008F2269">
      <w:pPr>
        <w:pStyle w:val="Paragraphedeliste"/>
        <w:ind w:left="0"/>
        <w:jc w:val="both"/>
        <w:rPr>
          <w:bCs/>
        </w:rPr>
      </w:pPr>
      <w:r w:rsidRPr="008071E7">
        <w:rPr>
          <w:rFonts w:cstheme="minorHAnsi"/>
          <w:b/>
          <w:bCs/>
        </w:rPr>
        <w:t xml:space="preserve">Résultat 3.1 : </w:t>
      </w:r>
      <w:r w:rsidRPr="008071E7">
        <w:rPr>
          <w:rFonts w:cstheme="minorHAnsi"/>
        </w:rPr>
        <w:t>Les fonds de prévention et gestion des risques climatiques mobilisés par l’Etat et ses partenaires augmentent substantiellement</w:t>
      </w:r>
    </w:p>
    <w:p w14:paraId="47FF4381" w14:textId="77777777" w:rsidR="008F2269" w:rsidRPr="008071E7" w:rsidRDefault="008F2269" w:rsidP="008F2269">
      <w:pPr>
        <w:pStyle w:val="Paragraphedeliste"/>
        <w:ind w:left="0"/>
        <w:jc w:val="both"/>
        <w:rPr>
          <w:rFonts w:cstheme="minorHAnsi"/>
          <w:b/>
          <w:bCs/>
          <w:strike/>
        </w:rPr>
      </w:pPr>
      <w:r w:rsidRPr="008071E7">
        <w:rPr>
          <w:rFonts w:cstheme="minorHAnsi"/>
          <w:b/>
          <w:bCs/>
        </w:rPr>
        <w:t xml:space="preserve">Résultat 3.2 : </w:t>
      </w:r>
      <w:r w:rsidRPr="008071E7">
        <w:rPr>
          <w:rFonts w:cstheme="minorHAnsi"/>
        </w:rPr>
        <w:t>Des assurances risques de désastres sont développées et accessibles aux catégories vulnérables aux risques climatiques et catastrophes</w:t>
      </w:r>
    </w:p>
    <w:p w14:paraId="26CD7AC4" w14:textId="77777777" w:rsidR="008F2269" w:rsidRPr="008071E7" w:rsidRDefault="008F2269" w:rsidP="008F2269">
      <w:pPr>
        <w:contextualSpacing/>
        <w:jc w:val="both"/>
        <w:rPr>
          <w:rFonts w:cstheme="minorHAnsi"/>
          <w:strike/>
        </w:rPr>
      </w:pPr>
      <w:r w:rsidRPr="009B415E">
        <w:rPr>
          <w:rFonts w:cstheme="minorHAnsi"/>
          <w:b/>
          <w:bCs/>
        </w:rPr>
        <w:t>Axe stratégique 4</w:t>
      </w:r>
      <w:r w:rsidRPr="00C364BB">
        <w:rPr>
          <w:rFonts w:cstheme="minorHAnsi"/>
          <w:b/>
          <w:bCs/>
        </w:rPr>
        <w:t xml:space="preserve"> :</w:t>
      </w:r>
      <w:r>
        <w:rPr>
          <w:rFonts w:cstheme="minorHAnsi"/>
          <w:b/>
          <w:bCs/>
        </w:rPr>
        <w:t xml:space="preserve"> </w:t>
      </w:r>
      <w:r w:rsidRPr="008071E7">
        <w:rPr>
          <w:rFonts w:cstheme="minorHAnsi"/>
        </w:rPr>
        <w:t>Assurer efficacement la prévention, la préparation, la réponse et le relèvement rapide poste aléas/ catastrophe à travers le renforcement des capacités techniques, matérielles et financières des institutions nationales, départementales, communales et locales</w:t>
      </w:r>
      <w:r>
        <w:rPr>
          <w:rFonts w:cstheme="minorHAnsi"/>
        </w:rPr>
        <w:t>.</w:t>
      </w:r>
    </w:p>
    <w:p w14:paraId="33EB6EF2" w14:textId="77777777" w:rsidR="008F2269" w:rsidRDefault="008F2269" w:rsidP="008F2269">
      <w:pPr>
        <w:pStyle w:val="Paragraphedeliste"/>
        <w:numPr>
          <w:ilvl w:val="0"/>
          <w:numId w:val="121"/>
        </w:numPr>
        <w:suppressAutoHyphens/>
        <w:autoSpaceDN w:val="0"/>
        <w:spacing w:line="240" w:lineRule="auto"/>
        <w:jc w:val="both"/>
        <w:textAlignment w:val="baseline"/>
      </w:pPr>
      <w:r w:rsidRPr="008071E7">
        <w:rPr>
          <w:rFonts w:cstheme="minorHAnsi"/>
          <w:b/>
          <w:bCs/>
        </w:rPr>
        <w:t xml:space="preserve">Résultat 4.1 : </w:t>
      </w:r>
      <w:r w:rsidRPr="008071E7">
        <w:rPr>
          <w:rFonts w:cstheme="minorHAnsi"/>
        </w:rPr>
        <w:t>Les institutions nationales et locales en charge de la prévention, réponse aux urgences ont les capacités techniques et financières leur permettant de prévenir, d’élaborer et mettre en œuvre leurs activités de planification des urgences et de relèvement en tenant compte du genre</w:t>
      </w:r>
    </w:p>
    <w:p w14:paraId="6A0C072A" w14:textId="77777777" w:rsidR="008F2269" w:rsidRDefault="008F2269" w:rsidP="008F2269">
      <w:pPr>
        <w:pStyle w:val="Paragraphedeliste"/>
        <w:numPr>
          <w:ilvl w:val="0"/>
          <w:numId w:val="121"/>
        </w:numPr>
        <w:suppressAutoHyphens/>
        <w:autoSpaceDN w:val="0"/>
        <w:spacing w:line="240" w:lineRule="auto"/>
        <w:jc w:val="both"/>
        <w:textAlignment w:val="baseline"/>
      </w:pPr>
      <w:r w:rsidRPr="0073302D">
        <w:rPr>
          <w:rFonts w:cstheme="minorHAnsi"/>
          <w:b/>
          <w:bCs/>
        </w:rPr>
        <w:t xml:space="preserve">Résultat 4.2 : </w:t>
      </w:r>
      <w:r w:rsidRPr="0073302D">
        <w:rPr>
          <w:rFonts w:cstheme="minorHAnsi"/>
        </w:rPr>
        <w:t>L’implication des volontaires et des ONGs pour les interventions d’urgence et de relèvement est régularisée au sein du PNPRC</w:t>
      </w:r>
    </w:p>
    <w:p w14:paraId="6A7BBA82" w14:textId="77777777" w:rsidR="008F2269" w:rsidRPr="00BC0832" w:rsidRDefault="008F2269" w:rsidP="008F2269">
      <w:pPr>
        <w:shd w:val="clear" w:color="auto" w:fill="FBE4D5" w:themeFill="accent2" w:themeFillTint="33"/>
        <w:spacing w:line="240" w:lineRule="auto"/>
        <w:jc w:val="both"/>
        <w:rPr>
          <w:strike/>
        </w:rPr>
      </w:pPr>
      <w:r>
        <w:t xml:space="preserve">Quant aux </w:t>
      </w:r>
      <w:r w:rsidRPr="00DF521C">
        <w:t>victimes des inondations</w:t>
      </w:r>
      <w:r>
        <w:t xml:space="preserve">, entre 1984 et septembre 2013, il ressort que leur nombre a </w:t>
      </w:r>
      <w:r w:rsidRPr="00BC0832">
        <w:t>augmenté, de 3 000 en septembre 1984, atteignant 53 620 en août 2007</w:t>
      </w:r>
      <w:r>
        <w:t xml:space="preserve"> </w:t>
      </w:r>
      <w:r w:rsidRPr="00BC0832">
        <w:t>et 70 000 en septembre 2013</w:t>
      </w:r>
      <w:r>
        <w:t xml:space="preserve"> (</w:t>
      </w:r>
      <w:r w:rsidRPr="00DF521C">
        <w:t>base de données EM-DAT de l’Université catholique de Louvain et du CSA)</w:t>
      </w:r>
      <w:r>
        <w:t>.</w:t>
      </w:r>
    </w:p>
    <w:p w14:paraId="27AF0EC8" w14:textId="77777777" w:rsidR="008F2269" w:rsidRPr="00090C68" w:rsidRDefault="008F2269" w:rsidP="008F2269">
      <w:pPr>
        <w:pStyle w:val="Titre1"/>
        <w:jc w:val="both"/>
        <w:rPr>
          <w:rFonts w:asciiTheme="minorHAnsi" w:eastAsiaTheme="minorHAnsi" w:hAnsiTheme="minorHAnsi" w:cstheme="minorHAnsi"/>
          <w:b/>
          <w:bCs/>
          <w:color w:val="auto"/>
          <w:sz w:val="22"/>
          <w:szCs w:val="22"/>
        </w:rPr>
      </w:pPr>
      <w:bookmarkStart w:id="163" w:name="_Toc47874634"/>
      <w:bookmarkStart w:id="164" w:name="_Toc51854356"/>
      <w:bookmarkStart w:id="165" w:name="_Toc51930348"/>
      <w:bookmarkStart w:id="166" w:name="_Toc57057443"/>
      <w:bookmarkStart w:id="167" w:name="_Toc180318691"/>
      <w:r w:rsidRPr="00090C68">
        <w:rPr>
          <w:rFonts w:asciiTheme="minorHAnsi" w:eastAsiaTheme="minorHAnsi" w:hAnsiTheme="minorHAnsi" w:cstheme="minorHAnsi"/>
          <w:b/>
          <w:bCs/>
          <w:color w:val="auto"/>
          <w:sz w:val="22"/>
          <w:szCs w:val="22"/>
        </w:rPr>
        <w:t>CHAPITRE 7. LACUNES ET BESOINS POUR FAIRE FACE AU CHANGEMENT CLIMATIQUE</w:t>
      </w:r>
      <w:bookmarkEnd w:id="163"/>
      <w:bookmarkEnd w:id="164"/>
      <w:bookmarkEnd w:id="165"/>
      <w:bookmarkEnd w:id="166"/>
      <w:bookmarkEnd w:id="167"/>
    </w:p>
    <w:p w14:paraId="01D6C44F" w14:textId="77777777" w:rsidR="008F2269" w:rsidRPr="00090C68" w:rsidRDefault="008F2269" w:rsidP="008F2269">
      <w:pPr>
        <w:pStyle w:val="Titre2"/>
        <w:jc w:val="both"/>
        <w:rPr>
          <w:rFonts w:asciiTheme="minorHAnsi" w:eastAsiaTheme="minorHAnsi" w:hAnsiTheme="minorHAnsi" w:cstheme="minorHAnsi"/>
          <w:b/>
          <w:bCs/>
          <w:color w:val="auto"/>
          <w:sz w:val="22"/>
          <w:szCs w:val="22"/>
        </w:rPr>
      </w:pPr>
      <w:bookmarkStart w:id="168" w:name="_Toc57057444"/>
      <w:bookmarkStart w:id="169" w:name="_Toc180318692"/>
      <w:r w:rsidRPr="00090C68">
        <w:rPr>
          <w:rFonts w:asciiTheme="minorHAnsi" w:eastAsiaTheme="minorHAnsi" w:hAnsiTheme="minorHAnsi" w:cstheme="minorHAnsi"/>
          <w:b/>
          <w:bCs/>
          <w:color w:val="auto"/>
          <w:sz w:val="22"/>
          <w:szCs w:val="22"/>
        </w:rPr>
        <w:t>7.1 Connaissance des ressources en eau</w:t>
      </w:r>
      <w:bookmarkEnd w:id="168"/>
      <w:bookmarkEnd w:id="169"/>
      <w:r w:rsidRPr="00090C68">
        <w:rPr>
          <w:rFonts w:asciiTheme="minorHAnsi" w:eastAsiaTheme="minorHAnsi" w:hAnsiTheme="minorHAnsi" w:cstheme="minorHAnsi"/>
          <w:b/>
          <w:bCs/>
          <w:color w:val="auto"/>
          <w:sz w:val="22"/>
          <w:szCs w:val="22"/>
        </w:rPr>
        <w:t xml:space="preserve"> </w:t>
      </w:r>
    </w:p>
    <w:p w14:paraId="2735C046" w14:textId="77777777" w:rsidR="008F2269" w:rsidRDefault="008F2269" w:rsidP="008F2269">
      <w:pPr>
        <w:jc w:val="both"/>
        <w:rPr>
          <w:rFonts w:cstheme="minorHAnsi"/>
          <w:bCs/>
        </w:rPr>
      </w:pPr>
      <w:r w:rsidRPr="008C2A07">
        <w:rPr>
          <w:rFonts w:cstheme="minorHAnsi"/>
          <w:bCs/>
        </w:rPr>
        <w:t>La faible connaissance des ressources en eau de surface et souterraine, constitue une lacune majeure. Pour gérer durablement ces ressources</w:t>
      </w:r>
      <w:r>
        <w:rPr>
          <w:rFonts w:cstheme="minorHAnsi"/>
          <w:bCs/>
        </w:rPr>
        <w:t xml:space="preserve">, </w:t>
      </w:r>
      <w:r w:rsidRPr="008C2A07">
        <w:rPr>
          <w:rFonts w:cstheme="minorHAnsi"/>
          <w:bCs/>
        </w:rPr>
        <w:t>la SNADEA dans son axe 1 prévoit des mesures pour combler ces lacunes</w:t>
      </w:r>
      <w:r>
        <w:rPr>
          <w:rFonts w:cstheme="minorHAnsi"/>
          <w:bCs/>
        </w:rPr>
        <w:t xml:space="preserve"> en vue d’identifier les zones propices à l’approvisionnement durable en eau et mieux gérer les ressources en général.</w:t>
      </w:r>
    </w:p>
    <w:p w14:paraId="541E1266" w14:textId="77777777" w:rsidR="008F2269" w:rsidRPr="00202A7B" w:rsidRDefault="008F2269" w:rsidP="008F2269">
      <w:pPr>
        <w:jc w:val="both"/>
      </w:pPr>
      <w:r w:rsidRPr="00202A7B">
        <w:rPr>
          <w:rFonts w:cstheme="minorHAnsi"/>
        </w:rPr>
        <w:t>A cet effet,</w:t>
      </w:r>
      <w:r>
        <w:rPr>
          <w:rFonts w:cstheme="minorHAnsi"/>
        </w:rPr>
        <w:t xml:space="preserve"> il est urgent d’équiper</w:t>
      </w:r>
      <w:r w:rsidRPr="00202A7B">
        <w:rPr>
          <w:rFonts w:cstheme="minorHAnsi"/>
        </w:rPr>
        <w:t xml:space="preserve"> les </w:t>
      </w:r>
      <w:r>
        <w:rPr>
          <w:rFonts w:cstheme="minorHAnsi"/>
        </w:rPr>
        <w:t xml:space="preserve">principaux </w:t>
      </w:r>
      <w:r w:rsidRPr="00202A7B">
        <w:rPr>
          <w:rFonts w:cstheme="minorHAnsi"/>
        </w:rPr>
        <w:t>cours d’eau et les nappes exploités</w:t>
      </w:r>
      <w:r>
        <w:rPr>
          <w:rFonts w:cstheme="minorHAnsi"/>
        </w:rPr>
        <w:t xml:space="preserve"> par l’implantation de réseaux </w:t>
      </w:r>
      <w:r w:rsidRPr="00202A7B">
        <w:rPr>
          <w:rFonts w:cstheme="minorHAnsi"/>
        </w:rPr>
        <w:t>suivis réguli</w:t>
      </w:r>
      <w:r>
        <w:rPr>
          <w:rFonts w:cstheme="minorHAnsi"/>
        </w:rPr>
        <w:t>èrement :</w:t>
      </w:r>
      <w:r w:rsidRPr="00202A7B">
        <w:rPr>
          <w:rFonts w:cstheme="minorHAnsi"/>
        </w:rPr>
        <w:t xml:space="preserve"> </w:t>
      </w:r>
      <w:r>
        <w:rPr>
          <w:rFonts w:cstheme="minorHAnsi"/>
        </w:rPr>
        <w:t xml:space="preserve">  100 pluviomètres,</w:t>
      </w:r>
      <w:r w:rsidRPr="00202A7B">
        <w:rPr>
          <w:rFonts w:cstheme="minorHAnsi"/>
        </w:rPr>
        <w:t xml:space="preserve"> 80 stations hydrologiques dont 20 stations pour les jaugeages, 200 piézomètres et </w:t>
      </w:r>
      <w:r>
        <w:rPr>
          <w:rFonts w:cstheme="minorHAnsi"/>
        </w:rPr>
        <w:t xml:space="preserve">la protection de </w:t>
      </w:r>
      <w:r w:rsidRPr="00202A7B">
        <w:rPr>
          <w:rFonts w:cstheme="minorHAnsi"/>
        </w:rPr>
        <w:t>50 champs capant</w:t>
      </w:r>
      <w:r>
        <w:rPr>
          <w:rFonts w:cstheme="minorHAnsi"/>
        </w:rPr>
        <w:t xml:space="preserve"> pour la collecte et l’archivage des données brutes et traitées.</w:t>
      </w:r>
    </w:p>
    <w:p w14:paraId="20B4C326" w14:textId="77777777" w:rsidR="008F2269" w:rsidRPr="00090C68" w:rsidRDefault="008F2269" w:rsidP="00090C68">
      <w:pPr>
        <w:pStyle w:val="Titre2"/>
        <w:jc w:val="both"/>
        <w:rPr>
          <w:rFonts w:asciiTheme="minorHAnsi" w:eastAsiaTheme="minorHAnsi" w:hAnsiTheme="minorHAnsi" w:cstheme="minorHAnsi"/>
          <w:b/>
          <w:bCs/>
          <w:color w:val="auto"/>
          <w:sz w:val="22"/>
          <w:szCs w:val="22"/>
        </w:rPr>
      </w:pPr>
      <w:bookmarkStart w:id="170" w:name="_Toc57057445"/>
      <w:bookmarkStart w:id="171" w:name="_Toc180318693"/>
      <w:r w:rsidRPr="00090C68">
        <w:rPr>
          <w:rFonts w:asciiTheme="minorHAnsi" w:eastAsiaTheme="minorHAnsi" w:hAnsiTheme="minorHAnsi" w:cstheme="minorHAnsi"/>
          <w:b/>
          <w:bCs/>
          <w:color w:val="auto"/>
          <w:sz w:val="22"/>
          <w:szCs w:val="22"/>
        </w:rPr>
        <w:t>7.2 Gestion aux plans juridique et institutionnel</w:t>
      </w:r>
      <w:bookmarkEnd w:id="170"/>
      <w:bookmarkEnd w:id="171"/>
    </w:p>
    <w:p w14:paraId="51AF5874" w14:textId="77777777" w:rsidR="008F2269" w:rsidRPr="00BE7A39" w:rsidRDefault="008F2269" w:rsidP="008F2269">
      <w:pPr>
        <w:jc w:val="both"/>
        <w:rPr>
          <w:rFonts w:cstheme="minorHAnsi"/>
          <w:color w:val="000000"/>
        </w:rPr>
      </w:pPr>
      <w:r w:rsidRPr="00C44D53">
        <w:rPr>
          <w:rFonts w:cstheme="minorHAnsi"/>
          <w:color w:val="000000"/>
        </w:rPr>
        <w:t xml:space="preserve">Le MHA n’assume pas pleinement son rôle de maîtrise d’ouvrage sur l’ensemble </w:t>
      </w:r>
      <w:r>
        <w:rPr>
          <w:rFonts w:cstheme="minorHAnsi"/>
          <w:color w:val="000000"/>
        </w:rPr>
        <w:t>des interventions sectorielles.</w:t>
      </w:r>
      <w:r w:rsidRPr="00C44D53">
        <w:rPr>
          <w:rFonts w:cstheme="minorHAnsi"/>
          <w:color w:val="000000"/>
        </w:rPr>
        <w:t xml:space="preserve"> Aussi, les collectivités locales n’assurent pas leur leadership en termes de maîtrise d’ouvrage autorisé par la Loi sur la décentralisation en raison des chevauchements de compétence. (SNADEA </w:t>
      </w:r>
      <w:r>
        <w:rPr>
          <w:rFonts w:cstheme="minorHAnsi"/>
          <w:color w:val="000000"/>
        </w:rPr>
        <w:t xml:space="preserve">à l’horizon </w:t>
      </w:r>
      <w:r w:rsidRPr="00C44D53">
        <w:rPr>
          <w:rFonts w:cstheme="minorHAnsi"/>
          <w:color w:val="000000"/>
        </w:rPr>
        <w:t>2030).</w:t>
      </w:r>
    </w:p>
    <w:p w14:paraId="4EE13733" w14:textId="77777777" w:rsidR="008F2269" w:rsidRPr="00090C68" w:rsidRDefault="008F2269" w:rsidP="00090C68">
      <w:pPr>
        <w:pStyle w:val="Titre2"/>
        <w:jc w:val="both"/>
        <w:rPr>
          <w:rFonts w:asciiTheme="minorHAnsi" w:eastAsiaTheme="minorHAnsi" w:hAnsiTheme="minorHAnsi" w:cstheme="minorHAnsi"/>
          <w:b/>
          <w:bCs/>
          <w:color w:val="auto"/>
          <w:sz w:val="22"/>
          <w:szCs w:val="22"/>
        </w:rPr>
      </w:pPr>
      <w:bookmarkStart w:id="172" w:name="_Toc57057446"/>
      <w:r w:rsidRPr="00090C68">
        <w:rPr>
          <w:rFonts w:asciiTheme="minorHAnsi" w:eastAsiaTheme="minorHAnsi" w:hAnsiTheme="minorHAnsi" w:cstheme="minorHAnsi"/>
          <w:b/>
          <w:bCs/>
          <w:color w:val="auto"/>
          <w:sz w:val="22"/>
          <w:szCs w:val="22"/>
        </w:rPr>
        <w:t xml:space="preserve"> </w:t>
      </w:r>
      <w:bookmarkStart w:id="173" w:name="_Toc180318694"/>
      <w:r w:rsidRPr="00090C68">
        <w:rPr>
          <w:rFonts w:asciiTheme="minorHAnsi" w:eastAsiaTheme="minorHAnsi" w:hAnsiTheme="minorHAnsi" w:cstheme="minorHAnsi"/>
          <w:b/>
          <w:bCs/>
          <w:color w:val="auto"/>
          <w:sz w:val="22"/>
          <w:szCs w:val="22"/>
        </w:rPr>
        <w:t>7.3 Au plan du management</w:t>
      </w:r>
      <w:bookmarkEnd w:id="172"/>
      <w:bookmarkEnd w:id="173"/>
    </w:p>
    <w:p w14:paraId="310F904C" w14:textId="77777777" w:rsidR="008F2269" w:rsidRDefault="008F2269" w:rsidP="008F2269">
      <w:pPr>
        <w:jc w:val="both"/>
        <w:rPr>
          <w:rFonts w:cstheme="minorHAnsi"/>
          <w:color w:val="000000"/>
        </w:rPr>
      </w:pPr>
      <w:r w:rsidRPr="00C44D53">
        <w:rPr>
          <w:rFonts w:cstheme="minorHAnsi"/>
          <w:color w:val="000000"/>
        </w:rPr>
        <w:t>Les capacités nationales sectorielles restent faibles, en particulier pour le secteur public</w:t>
      </w:r>
      <w:r>
        <w:rPr>
          <w:rFonts w:cstheme="minorHAnsi"/>
          <w:color w:val="000000"/>
        </w:rPr>
        <w:t xml:space="preserve">. </w:t>
      </w:r>
      <w:r w:rsidRPr="00C44D53">
        <w:rPr>
          <w:rFonts w:cstheme="minorHAnsi"/>
          <w:color w:val="000000"/>
        </w:rPr>
        <w:t>Les outils de programmation et suivi budgétaire (BPO et CDMT) programmés dans la SDEA 2015 ne sont pas en place et n’ont pas été réalisés (SNADEA</w:t>
      </w:r>
      <w:r>
        <w:rPr>
          <w:rFonts w:cstheme="minorHAnsi"/>
          <w:color w:val="000000"/>
        </w:rPr>
        <w:t xml:space="preserve"> 2017-2030</w:t>
      </w:r>
      <w:r w:rsidRPr="00C44D53">
        <w:rPr>
          <w:rFonts w:cstheme="minorHAnsi"/>
          <w:color w:val="000000"/>
        </w:rPr>
        <w:t xml:space="preserve">). A ces lacunes, suite à nos investigations, il s’ajoute que la fonction suivi et évaluation </w:t>
      </w:r>
      <w:r>
        <w:rPr>
          <w:rFonts w:cstheme="minorHAnsi"/>
          <w:color w:val="000000"/>
        </w:rPr>
        <w:t xml:space="preserve">du département </w:t>
      </w:r>
      <w:r w:rsidRPr="00C44D53">
        <w:rPr>
          <w:rFonts w:cstheme="minorHAnsi"/>
          <w:color w:val="000000"/>
        </w:rPr>
        <w:t>n’est pas opérationnelle. </w:t>
      </w:r>
    </w:p>
    <w:p w14:paraId="3D1F753F" w14:textId="77777777" w:rsidR="008F2269" w:rsidRPr="00090C68" w:rsidRDefault="008F2269" w:rsidP="008F2269">
      <w:pPr>
        <w:pStyle w:val="Titre2"/>
        <w:numPr>
          <w:ilvl w:val="1"/>
          <w:numId w:val="118"/>
        </w:numPr>
        <w:spacing w:before="0" w:after="160"/>
        <w:ind w:left="284"/>
        <w:jc w:val="both"/>
        <w:rPr>
          <w:rFonts w:asciiTheme="minorHAnsi" w:eastAsiaTheme="minorHAnsi" w:hAnsiTheme="minorHAnsi" w:cstheme="minorHAnsi"/>
          <w:b/>
          <w:bCs/>
          <w:color w:val="auto"/>
          <w:sz w:val="22"/>
          <w:szCs w:val="22"/>
        </w:rPr>
      </w:pPr>
      <w:bookmarkStart w:id="174" w:name="_Toc57057447"/>
      <w:bookmarkStart w:id="175" w:name="_Toc180318695"/>
      <w:r w:rsidRPr="00090C68">
        <w:rPr>
          <w:rFonts w:asciiTheme="minorHAnsi" w:eastAsiaTheme="minorHAnsi" w:hAnsiTheme="minorHAnsi" w:cstheme="minorHAnsi"/>
          <w:b/>
          <w:bCs/>
          <w:color w:val="auto"/>
          <w:sz w:val="22"/>
          <w:szCs w:val="22"/>
        </w:rPr>
        <w:t>Gestion des données sur les ressources en eau</w:t>
      </w:r>
      <w:bookmarkEnd w:id="174"/>
      <w:bookmarkEnd w:id="175"/>
      <w:r w:rsidRPr="00090C68">
        <w:rPr>
          <w:rFonts w:asciiTheme="minorHAnsi" w:eastAsiaTheme="minorHAnsi" w:hAnsiTheme="minorHAnsi" w:cstheme="minorHAnsi"/>
          <w:b/>
          <w:bCs/>
          <w:color w:val="auto"/>
          <w:sz w:val="22"/>
          <w:szCs w:val="22"/>
        </w:rPr>
        <w:t xml:space="preserve"> </w:t>
      </w:r>
    </w:p>
    <w:p w14:paraId="7AE1D038" w14:textId="77777777" w:rsidR="008F2269" w:rsidRDefault="008F2269" w:rsidP="008F2269">
      <w:pPr>
        <w:jc w:val="both"/>
        <w:rPr>
          <w:rFonts w:cstheme="minorHAnsi"/>
          <w:color w:val="000000"/>
        </w:rPr>
      </w:pPr>
      <w:r>
        <w:rPr>
          <w:rFonts w:cstheme="minorHAnsi"/>
          <w:color w:val="000000"/>
        </w:rPr>
        <w:t>Sur le plan des données des ressources en eau, on souligne notamment diverses lacunes que sont :</w:t>
      </w:r>
    </w:p>
    <w:p w14:paraId="43FDE87C"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Les ressources en eau restent mal connues aussi bien aux niveaux des eaux de surface et souterraine</w:t>
      </w:r>
      <w:r>
        <w:rPr>
          <w:rFonts w:asciiTheme="minorHAnsi" w:eastAsia="Verdana" w:hAnsiTheme="minorHAnsi" w:cstheme="minorHAnsi"/>
          <w:color w:val="auto"/>
          <w:sz w:val="22"/>
          <w:szCs w:val="22"/>
        </w:rPr>
        <w:t xml:space="preserve"> (</w:t>
      </w:r>
      <w:proofErr w:type="spellStart"/>
      <w:r w:rsidRPr="009D2758">
        <w:rPr>
          <w:rFonts w:asciiTheme="minorHAnsi" w:eastAsia="Verdana" w:hAnsiTheme="minorHAnsi" w:cstheme="minorHAnsi"/>
          <w:color w:val="auto"/>
          <w:sz w:val="22"/>
          <w:szCs w:val="22"/>
        </w:rPr>
        <w:t>cf</w:t>
      </w:r>
      <w:proofErr w:type="spellEnd"/>
      <w:r w:rsidRPr="009D2758">
        <w:rPr>
          <w:rFonts w:asciiTheme="minorHAnsi" w:eastAsia="Verdana" w:hAnsiTheme="minorHAnsi" w:cstheme="minorHAnsi"/>
          <w:color w:val="auto"/>
          <w:sz w:val="22"/>
          <w:szCs w:val="22"/>
        </w:rPr>
        <w:t xml:space="preserve"> SNADEA 2017-2020</w:t>
      </w:r>
      <w:r>
        <w:rPr>
          <w:rFonts w:asciiTheme="minorHAnsi" w:eastAsia="Verdana" w:hAnsiTheme="minorHAnsi" w:cstheme="minorHAnsi"/>
          <w:color w:val="auto"/>
          <w:sz w:val="22"/>
          <w:szCs w:val="22"/>
        </w:rPr>
        <w:t>)</w:t>
      </w:r>
      <w:r w:rsidRPr="009D2758">
        <w:rPr>
          <w:rFonts w:asciiTheme="minorHAnsi" w:eastAsia="Verdana" w:hAnsiTheme="minorHAnsi" w:cstheme="minorHAnsi"/>
          <w:color w:val="auto"/>
          <w:sz w:val="22"/>
          <w:szCs w:val="22"/>
        </w:rPr>
        <w:t xml:space="preserve">.  </w:t>
      </w:r>
    </w:p>
    <w:p w14:paraId="7ECCA580"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 xml:space="preserve">Faiblesses des données sur l’accès à l’eau potable et à l’assainissement en milieu rural et semi-urbain. </w:t>
      </w:r>
    </w:p>
    <w:p w14:paraId="0BF61225"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Faible maitrise des données sur les pertes techniques et commerciales</w:t>
      </w:r>
      <w:r>
        <w:rPr>
          <w:rFonts w:asciiTheme="minorHAnsi" w:eastAsia="Verdana" w:hAnsiTheme="minorHAnsi" w:cstheme="minorHAnsi"/>
          <w:color w:val="auto"/>
          <w:sz w:val="22"/>
          <w:szCs w:val="22"/>
        </w:rPr>
        <w:t xml:space="preserve"> (</w:t>
      </w:r>
      <w:r w:rsidRPr="009D2758">
        <w:rPr>
          <w:rFonts w:asciiTheme="minorHAnsi" w:eastAsia="Verdana" w:hAnsiTheme="minorHAnsi" w:cstheme="minorHAnsi"/>
          <w:color w:val="auto"/>
          <w:sz w:val="22"/>
          <w:szCs w:val="22"/>
        </w:rPr>
        <w:t>SNADEA 2017-2020</w:t>
      </w:r>
      <w:r>
        <w:rPr>
          <w:rFonts w:asciiTheme="minorHAnsi" w:eastAsia="Verdana" w:hAnsiTheme="minorHAnsi" w:cstheme="minorHAnsi"/>
          <w:color w:val="auto"/>
          <w:sz w:val="22"/>
          <w:szCs w:val="22"/>
        </w:rPr>
        <w:t>)</w:t>
      </w:r>
      <w:r w:rsidRPr="009D2758">
        <w:rPr>
          <w:rFonts w:asciiTheme="minorHAnsi" w:eastAsia="Verdana" w:hAnsiTheme="minorHAnsi" w:cstheme="minorHAnsi"/>
          <w:color w:val="auto"/>
          <w:sz w:val="22"/>
          <w:szCs w:val="22"/>
        </w:rPr>
        <w:t>.</w:t>
      </w:r>
    </w:p>
    <w:p w14:paraId="7A22C59E"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La méconnaissance de l’évolution du climat et l’inadéquation des scenarii climatiques basé</w:t>
      </w:r>
      <w:r w:rsidRPr="001933F9">
        <w:rPr>
          <w:rFonts w:asciiTheme="minorHAnsi" w:eastAsia="Verdana" w:hAnsiTheme="minorHAnsi" w:cstheme="minorHAnsi"/>
          <w:color w:val="auto"/>
          <w:sz w:val="22"/>
          <w:szCs w:val="22"/>
        </w:rPr>
        <w:t>s</w:t>
      </w:r>
      <w:r w:rsidRPr="002741AA">
        <w:rPr>
          <w:rFonts w:asciiTheme="minorHAnsi" w:eastAsia="Verdana" w:hAnsiTheme="minorHAnsi" w:cstheme="minorHAnsi"/>
          <w:color w:val="FF0000"/>
          <w:sz w:val="22"/>
          <w:szCs w:val="22"/>
        </w:rPr>
        <w:t xml:space="preserve"> </w:t>
      </w:r>
      <w:r w:rsidRPr="009D2758">
        <w:rPr>
          <w:rFonts w:asciiTheme="minorHAnsi" w:eastAsia="Verdana" w:hAnsiTheme="minorHAnsi" w:cstheme="minorHAnsi"/>
          <w:color w:val="auto"/>
          <w:sz w:val="22"/>
          <w:szCs w:val="22"/>
        </w:rPr>
        <w:t>sur les modèles globaux ne permettent pas de mettre en place des mesures pertinentes d’adaptation au changement climatique.</w:t>
      </w:r>
    </w:p>
    <w:p w14:paraId="230436BC"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La faible densité des réseaux d’observations et de mesures en météo (11 stations terrestres et 2 marines</w:t>
      </w:r>
      <w:r>
        <w:rPr>
          <w:rFonts w:asciiTheme="minorHAnsi" w:eastAsia="Verdana" w:hAnsiTheme="minorHAnsi" w:cstheme="minorHAnsi"/>
          <w:color w:val="auto"/>
          <w:sz w:val="22"/>
          <w:szCs w:val="22"/>
        </w:rPr>
        <w:t>) ;</w:t>
      </w:r>
      <w:r w:rsidRPr="009D2758">
        <w:rPr>
          <w:rFonts w:asciiTheme="minorHAnsi" w:eastAsia="Verdana" w:hAnsiTheme="minorHAnsi" w:cstheme="minorHAnsi"/>
          <w:color w:val="auto"/>
          <w:sz w:val="22"/>
          <w:szCs w:val="22"/>
        </w:rPr>
        <w:t xml:space="preserve"> en hydrologie</w:t>
      </w:r>
      <w:r>
        <w:rPr>
          <w:rFonts w:asciiTheme="minorHAnsi" w:eastAsia="Verdana" w:hAnsiTheme="minorHAnsi" w:cstheme="minorHAnsi"/>
          <w:color w:val="auto"/>
          <w:sz w:val="22"/>
          <w:szCs w:val="22"/>
        </w:rPr>
        <w:t xml:space="preserve">, 3 sur la vallée du fleuve ; </w:t>
      </w:r>
      <w:r w:rsidRPr="009D2758">
        <w:rPr>
          <w:rFonts w:asciiTheme="minorHAnsi" w:eastAsia="Verdana" w:hAnsiTheme="minorHAnsi" w:cstheme="minorHAnsi"/>
          <w:color w:val="auto"/>
          <w:sz w:val="22"/>
          <w:szCs w:val="22"/>
        </w:rPr>
        <w:t>eaux souterraines</w:t>
      </w:r>
      <w:r>
        <w:rPr>
          <w:rFonts w:asciiTheme="minorHAnsi" w:eastAsia="Verdana" w:hAnsiTheme="minorHAnsi" w:cstheme="minorHAnsi"/>
          <w:color w:val="auto"/>
          <w:sz w:val="22"/>
          <w:szCs w:val="22"/>
        </w:rPr>
        <w:t xml:space="preserve">, </w:t>
      </w:r>
      <w:r w:rsidRPr="009D2758">
        <w:rPr>
          <w:rFonts w:asciiTheme="minorHAnsi" w:eastAsia="Verdana" w:hAnsiTheme="minorHAnsi" w:cstheme="minorHAnsi"/>
          <w:color w:val="auto"/>
          <w:sz w:val="22"/>
          <w:szCs w:val="22"/>
        </w:rPr>
        <w:t>3 champs captant suivis : Boulanouar, Benichab et Idini)</w:t>
      </w:r>
      <w:r>
        <w:rPr>
          <w:rFonts w:asciiTheme="minorHAnsi" w:eastAsia="Verdana" w:hAnsiTheme="minorHAnsi" w:cstheme="minorHAnsi"/>
          <w:color w:val="auto"/>
          <w:sz w:val="22"/>
          <w:szCs w:val="22"/>
        </w:rPr>
        <w:t xml:space="preserve"> / </w:t>
      </w:r>
      <w:r w:rsidRPr="009D2758">
        <w:rPr>
          <w:rFonts w:asciiTheme="minorHAnsi" w:eastAsia="Verdana" w:hAnsiTheme="minorHAnsi" w:cstheme="minorHAnsi"/>
          <w:color w:val="auto"/>
          <w:sz w:val="22"/>
          <w:szCs w:val="22"/>
        </w:rPr>
        <w:t>SNADEA 2017-20</w:t>
      </w:r>
      <w:r w:rsidRPr="00AF201E">
        <w:rPr>
          <w:rFonts w:asciiTheme="minorHAnsi" w:eastAsia="Verdana" w:hAnsiTheme="minorHAnsi" w:cstheme="minorHAnsi"/>
          <w:color w:val="auto"/>
          <w:sz w:val="22"/>
          <w:szCs w:val="22"/>
        </w:rPr>
        <w:t>3</w:t>
      </w:r>
      <w:r w:rsidRPr="009D2758">
        <w:rPr>
          <w:rFonts w:asciiTheme="minorHAnsi" w:eastAsia="Verdana" w:hAnsiTheme="minorHAnsi" w:cstheme="minorHAnsi"/>
          <w:color w:val="auto"/>
          <w:sz w:val="22"/>
          <w:szCs w:val="22"/>
        </w:rPr>
        <w:t>0.</w:t>
      </w:r>
    </w:p>
    <w:p w14:paraId="73B49958"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L’inadaptation des stations et des équipements pour le traitement des données et les archives numériques.</w:t>
      </w:r>
    </w:p>
    <w:p w14:paraId="726BB702" w14:textId="77777777" w:rsidR="008F2269" w:rsidRPr="009D2758"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La méconnaissance de l’état du réseau liée aux inventaires périodiques des ouvrages hydrauliques arrêtés depuis plusieurs années </w:t>
      </w:r>
      <w:r>
        <w:rPr>
          <w:rFonts w:asciiTheme="minorHAnsi" w:eastAsia="Verdana" w:hAnsiTheme="minorHAnsi" w:cstheme="minorHAnsi"/>
          <w:color w:val="auto"/>
          <w:sz w:val="22"/>
          <w:szCs w:val="22"/>
        </w:rPr>
        <w:t>(</w:t>
      </w:r>
      <w:r w:rsidRPr="009D2758">
        <w:rPr>
          <w:rFonts w:asciiTheme="minorHAnsi" w:eastAsia="Verdana" w:hAnsiTheme="minorHAnsi" w:cstheme="minorHAnsi"/>
          <w:color w:val="auto"/>
          <w:sz w:val="22"/>
          <w:szCs w:val="22"/>
        </w:rPr>
        <w:t>SNADEA 2017-20</w:t>
      </w:r>
      <w:r w:rsidRPr="001933F9">
        <w:rPr>
          <w:rFonts w:asciiTheme="minorHAnsi" w:eastAsia="Verdana" w:hAnsiTheme="minorHAnsi" w:cstheme="minorHAnsi"/>
          <w:color w:val="auto"/>
          <w:sz w:val="22"/>
          <w:szCs w:val="22"/>
        </w:rPr>
        <w:t>3</w:t>
      </w:r>
      <w:r w:rsidRPr="009D2758">
        <w:rPr>
          <w:rFonts w:asciiTheme="minorHAnsi" w:eastAsia="Verdana" w:hAnsiTheme="minorHAnsi" w:cstheme="minorHAnsi"/>
          <w:color w:val="auto"/>
          <w:sz w:val="22"/>
          <w:szCs w:val="22"/>
        </w:rPr>
        <w:t>0</w:t>
      </w:r>
      <w:r>
        <w:rPr>
          <w:rFonts w:asciiTheme="minorHAnsi" w:eastAsia="Verdana" w:hAnsiTheme="minorHAnsi" w:cstheme="minorHAnsi"/>
          <w:color w:val="auto"/>
          <w:sz w:val="22"/>
          <w:szCs w:val="22"/>
        </w:rPr>
        <w:t>)</w:t>
      </w:r>
      <w:r w:rsidRPr="009D2758">
        <w:rPr>
          <w:rFonts w:asciiTheme="minorHAnsi" w:eastAsia="Verdana" w:hAnsiTheme="minorHAnsi" w:cstheme="minorHAnsi"/>
          <w:color w:val="auto"/>
          <w:sz w:val="22"/>
          <w:szCs w:val="22"/>
        </w:rPr>
        <w:t>.</w:t>
      </w:r>
    </w:p>
    <w:p w14:paraId="2958B340" w14:textId="77777777" w:rsidR="008F2269" w:rsidRPr="00090C68" w:rsidRDefault="008F2269" w:rsidP="008F2269">
      <w:pPr>
        <w:pStyle w:val="Titre2"/>
        <w:numPr>
          <w:ilvl w:val="1"/>
          <w:numId w:val="118"/>
        </w:numPr>
        <w:spacing w:before="0" w:after="160"/>
        <w:ind w:left="284"/>
        <w:jc w:val="both"/>
        <w:rPr>
          <w:rFonts w:asciiTheme="minorHAnsi" w:eastAsiaTheme="minorHAnsi" w:hAnsiTheme="minorHAnsi" w:cstheme="minorHAnsi"/>
          <w:b/>
          <w:bCs/>
          <w:color w:val="auto"/>
          <w:sz w:val="22"/>
          <w:szCs w:val="22"/>
        </w:rPr>
      </w:pPr>
      <w:bookmarkStart w:id="176" w:name="_Toc57057449"/>
      <w:bookmarkStart w:id="177" w:name="_Toc180318696"/>
      <w:r w:rsidRPr="00090C68">
        <w:rPr>
          <w:rFonts w:asciiTheme="minorHAnsi" w:eastAsiaTheme="minorHAnsi" w:hAnsiTheme="minorHAnsi" w:cstheme="minorHAnsi"/>
          <w:b/>
          <w:bCs/>
          <w:color w:val="auto"/>
          <w:sz w:val="22"/>
          <w:szCs w:val="22"/>
        </w:rPr>
        <w:t>Gestion des risques d’impacts</w:t>
      </w:r>
      <w:bookmarkEnd w:id="176"/>
      <w:bookmarkEnd w:id="177"/>
    </w:p>
    <w:p w14:paraId="4AE16AE7" w14:textId="77777777" w:rsidR="008F2269" w:rsidRDefault="008F2269" w:rsidP="008F2269">
      <w:pPr>
        <w:jc w:val="both"/>
        <w:rPr>
          <w:rFonts w:ascii="Calibri" w:eastAsia="Calibri" w:hAnsi="Calibri" w:cstheme="minorHAnsi"/>
          <w:bCs/>
          <w:iCs/>
        </w:rPr>
      </w:pPr>
      <w:r w:rsidRPr="00E2404A">
        <w:rPr>
          <w:rFonts w:ascii="Calibri" w:eastAsia="Calibri" w:hAnsi="Calibri" w:cstheme="minorHAnsi"/>
          <w:bCs/>
          <w:iCs/>
        </w:rPr>
        <w:t xml:space="preserve">Les impacts des risques climatiques futurs </w:t>
      </w:r>
      <w:r>
        <w:rPr>
          <w:rFonts w:ascii="Calibri" w:eastAsia="Calibri" w:hAnsi="Calibri" w:cstheme="minorHAnsi"/>
          <w:bCs/>
          <w:iCs/>
        </w:rPr>
        <w:t xml:space="preserve">sur les ressources en eau </w:t>
      </w:r>
      <w:r w:rsidRPr="00E2404A">
        <w:rPr>
          <w:rFonts w:ascii="Calibri" w:eastAsia="Calibri" w:hAnsi="Calibri" w:cstheme="minorHAnsi"/>
          <w:bCs/>
          <w:iCs/>
        </w:rPr>
        <w:t xml:space="preserve">ne sont pas pris en compte dans les processus de planification et partant l’évaluation des coûts d'investissements. </w:t>
      </w:r>
      <w:r>
        <w:rPr>
          <w:rFonts w:ascii="Calibri" w:eastAsia="Calibri" w:hAnsi="Calibri" w:cstheme="minorHAnsi"/>
          <w:bCs/>
          <w:iCs/>
        </w:rPr>
        <w:t>Aussi, la</w:t>
      </w:r>
      <w:r w:rsidRPr="00D41942">
        <w:rPr>
          <w:rFonts w:ascii="Calibri" w:eastAsia="Calibri" w:hAnsi="Calibri" w:cstheme="minorHAnsi"/>
          <w:bCs/>
          <w:iCs/>
        </w:rPr>
        <w:t xml:space="preserve"> SNADEA ne prend pas en compte les enjeux du changement clim</w:t>
      </w:r>
      <w:r>
        <w:rPr>
          <w:rFonts w:ascii="Calibri" w:eastAsia="Calibri" w:hAnsi="Calibri" w:cstheme="minorHAnsi"/>
          <w:bCs/>
          <w:iCs/>
        </w:rPr>
        <w:t xml:space="preserve">atique et de l’assainissement. </w:t>
      </w:r>
      <w:r w:rsidRPr="00E2404A">
        <w:rPr>
          <w:rFonts w:ascii="Calibri" w:eastAsia="Calibri" w:hAnsi="Calibri" w:cstheme="minorHAnsi"/>
          <w:bCs/>
          <w:iCs/>
        </w:rPr>
        <w:t>Par conséquent, un renforcement des capacités des acteurs du secteur est nécessaire pour prendre en compte les risques climatiques liés à la gestion durable des ressources en eau</w:t>
      </w:r>
      <w:r>
        <w:rPr>
          <w:rFonts w:ascii="Calibri" w:eastAsia="Calibri" w:hAnsi="Calibri" w:cstheme="minorHAnsi"/>
          <w:bCs/>
          <w:iCs/>
        </w:rPr>
        <w:t xml:space="preserve">. </w:t>
      </w:r>
    </w:p>
    <w:p w14:paraId="44CEF2CA" w14:textId="77777777" w:rsidR="008F2269" w:rsidRDefault="008F2269" w:rsidP="008F2269">
      <w:pPr>
        <w:jc w:val="both"/>
        <w:rPr>
          <w:rFonts w:ascii="Calibri" w:eastAsia="Calibri" w:hAnsi="Calibri" w:cstheme="minorHAnsi"/>
          <w:bCs/>
          <w:iCs/>
        </w:rPr>
      </w:pPr>
      <w:r>
        <w:rPr>
          <w:rFonts w:ascii="Calibri" w:eastAsia="Calibri" w:hAnsi="Calibri" w:cstheme="minorHAnsi"/>
          <w:bCs/>
          <w:iCs/>
        </w:rPr>
        <w:t>La CDN 2021-2030 actualisée a ciblé les programmes prioritaires comme suit :</w:t>
      </w:r>
      <w:r w:rsidRPr="00E2404A">
        <w:rPr>
          <w:rFonts w:ascii="Calibri" w:eastAsia="Calibri" w:hAnsi="Calibri" w:cstheme="minorHAnsi"/>
          <w:bCs/>
          <w:iCs/>
        </w:rPr>
        <w:t xml:space="preserve"> </w:t>
      </w:r>
    </w:p>
    <w:p w14:paraId="5245052D" w14:textId="77777777" w:rsidR="008F2269" w:rsidRPr="00CB4DFF" w:rsidRDefault="008F2269" w:rsidP="008F2269">
      <w:pPr>
        <w:spacing w:after="0" w:line="240" w:lineRule="auto"/>
        <w:jc w:val="both"/>
        <w:rPr>
          <w:rFonts w:ascii="Calibri" w:eastAsia="Calibri" w:hAnsi="Calibri" w:cstheme="minorHAnsi"/>
          <w:bCs/>
          <w:iCs/>
        </w:rPr>
      </w:pPr>
      <w:r w:rsidRPr="00CB4DFF">
        <w:rPr>
          <w:rFonts w:ascii="Calibri" w:eastAsia="Calibri" w:hAnsi="Calibri" w:cstheme="minorHAnsi"/>
          <w:bCs/>
          <w:iCs/>
        </w:rPr>
        <w:t>• Amélioration de l’accès à l’eau pour au moins 10 villes et 100 villages</w:t>
      </w:r>
      <w:r>
        <w:rPr>
          <w:rFonts w:ascii="Calibri" w:eastAsia="Calibri" w:hAnsi="Calibri" w:cstheme="minorHAnsi"/>
          <w:bCs/>
          <w:iCs/>
        </w:rPr>
        <w:t> ;</w:t>
      </w:r>
    </w:p>
    <w:p w14:paraId="3CE4685D" w14:textId="77777777" w:rsidR="008F2269" w:rsidRDefault="008F2269" w:rsidP="008F2269">
      <w:pPr>
        <w:spacing w:after="0" w:line="240" w:lineRule="auto"/>
        <w:jc w:val="both"/>
        <w:rPr>
          <w:rFonts w:ascii="Calibri" w:eastAsia="Calibri" w:hAnsi="Calibri" w:cstheme="minorHAnsi"/>
          <w:bCs/>
          <w:iCs/>
        </w:rPr>
      </w:pPr>
      <w:r w:rsidRPr="00CB4DFF">
        <w:rPr>
          <w:rFonts w:ascii="Calibri" w:eastAsia="Calibri" w:hAnsi="Calibri" w:cstheme="minorHAnsi"/>
          <w:bCs/>
          <w:iCs/>
        </w:rPr>
        <w:t xml:space="preserve">• Assainissement des villes à haut </w:t>
      </w:r>
      <w:r>
        <w:rPr>
          <w:rFonts w:ascii="Calibri" w:eastAsia="Calibri" w:hAnsi="Calibri" w:cstheme="minorHAnsi"/>
          <w:bCs/>
          <w:iCs/>
        </w:rPr>
        <w:t xml:space="preserve">risque d’inondation (Nouakchott, </w:t>
      </w:r>
      <w:r w:rsidRPr="00CB4DFF">
        <w:rPr>
          <w:rFonts w:ascii="Calibri" w:eastAsia="Calibri" w:hAnsi="Calibri" w:cstheme="minorHAnsi"/>
          <w:bCs/>
          <w:iCs/>
        </w:rPr>
        <w:t>Nouadhibou, Rosso, Atar et Kaédi)</w:t>
      </w:r>
      <w:r>
        <w:rPr>
          <w:rFonts w:ascii="Calibri" w:eastAsia="Calibri" w:hAnsi="Calibri" w:cstheme="minorHAnsi"/>
          <w:bCs/>
          <w:iCs/>
        </w:rPr>
        <w:t> ;</w:t>
      </w:r>
    </w:p>
    <w:p w14:paraId="21848989" w14:textId="77777777" w:rsidR="008F2269" w:rsidRPr="00CB4DFF" w:rsidRDefault="008F2269" w:rsidP="008F2269">
      <w:pPr>
        <w:spacing w:after="120" w:line="240" w:lineRule="auto"/>
        <w:jc w:val="both"/>
        <w:rPr>
          <w:rFonts w:ascii="Calibri" w:eastAsia="Calibri" w:hAnsi="Calibri" w:cstheme="minorHAnsi"/>
          <w:bCs/>
          <w:iCs/>
        </w:rPr>
      </w:pPr>
      <w:r w:rsidRPr="00CB4DFF">
        <w:rPr>
          <w:rFonts w:ascii="Calibri" w:eastAsia="Calibri" w:hAnsi="Calibri" w:cstheme="minorHAnsi"/>
          <w:bCs/>
          <w:iCs/>
        </w:rPr>
        <w:t xml:space="preserve">• Assainissement écologique et valorisation et réutilisations des boues de vidange </w:t>
      </w:r>
      <w:r>
        <w:rPr>
          <w:rFonts w:ascii="Calibri" w:eastAsia="Calibri" w:hAnsi="Calibri" w:cstheme="minorHAnsi"/>
          <w:bCs/>
          <w:iCs/>
        </w:rPr>
        <w:t xml:space="preserve">sur </w:t>
      </w:r>
      <w:r w:rsidRPr="00CB4DFF">
        <w:rPr>
          <w:rFonts w:ascii="Calibri" w:eastAsia="Calibri" w:hAnsi="Calibri" w:cstheme="minorHAnsi"/>
          <w:bCs/>
          <w:iCs/>
        </w:rPr>
        <w:t>10 sites</w:t>
      </w:r>
      <w:r>
        <w:rPr>
          <w:rFonts w:ascii="Calibri" w:eastAsia="Calibri" w:hAnsi="Calibri" w:cstheme="minorHAnsi"/>
          <w:bCs/>
          <w:iCs/>
        </w:rPr>
        <w:t>.</w:t>
      </w:r>
    </w:p>
    <w:p w14:paraId="749D06C3" w14:textId="77777777" w:rsidR="008F2269" w:rsidRPr="00090C68" w:rsidRDefault="008F2269" w:rsidP="00090C68">
      <w:pPr>
        <w:pStyle w:val="Titre2"/>
        <w:numPr>
          <w:ilvl w:val="1"/>
          <w:numId w:val="118"/>
        </w:numPr>
        <w:spacing w:before="0" w:after="160"/>
        <w:ind w:left="284"/>
        <w:jc w:val="both"/>
        <w:rPr>
          <w:rFonts w:asciiTheme="minorHAnsi" w:eastAsiaTheme="minorHAnsi" w:hAnsiTheme="minorHAnsi" w:cstheme="minorHAnsi"/>
          <w:b/>
          <w:bCs/>
          <w:color w:val="auto"/>
          <w:sz w:val="22"/>
          <w:szCs w:val="22"/>
        </w:rPr>
      </w:pPr>
      <w:bookmarkStart w:id="178" w:name="_Toc57057451"/>
      <w:bookmarkStart w:id="179" w:name="_Toc180318697"/>
      <w:r w:rsidRPr="00090C68">
        <w:rPr>
          <w:rFonts w:asciiTheme="minorHAnsi" w:eastAsiaTheme="minorHAnsi" w:hAnsiTheme="minorHAnsi" w:cstheme="minorHAnsi"/>
          <w:b/>
          <w:bCs/>
          <w:color w:val="auto"/>
          <w:sz w:val="22"/>
          <w:szCs w:val="22"/>
        </w:rPr>
        <w:t>Amélioration du suivi-évaluation</w:t>
      </w:r>
      <w:bookmarkEnd w:id="178"/>
      <w:bookmarkEnd w:id="179"/>
    </w:p>
    <w:p w14:paraId="4719574F" w14:textId="77777777" w:rsidR="008F2269" w:rsidRDefault="008F2269" w:rsidP="008F2269">
      <w:pPr>
        <w:spacing w:after="0" w:line="240" w:lineRule="auto"/>
        <w:jc w:val="both"/>
        <w:rPr>
          <w:rFonts w:cstheme="minorHAnsi"/>
          <w:color w:val="000000"/>
        </w:rPr>
      </w:pPr>
      <w:r>
        <w:rPr>
          <w:rFonts w:cstheme="minorHAnsi"/>
          <w:color w:val="000000"/>
        </w:rPr>
        <w:t xml:space="preserve">Il y a lieu de noter la faiblesse du suivi-évaluation au niveau du secteur. Par conséquent, il est nécessaire d’améliorer rapidement et significativement cet aspect pour disposer d’informations utiles en phase avec la mise en œuvre des stratégies. </w:t>
      </w:r>
    </w:p>
    <w:p w14:paraId="32373DE7" w14:textId="77777777" w:rsidR="008F2269" w:rsidRPr="00CB4DFF" w:rsidRDefault="008F2269" w:rsidP="008F2269">
      <w:pPr>
        <w:spacing w:after="0" w:line="240" w:lineRule="auto"/>
        <w:jc w:val="both"/>
        <w:rPr>
          <w:rFonts w:cstheme="minorHAnsi"/>
          <w:color w:val="000000"/>
        </w:rPr>
      </w:pPr>
      <w:r>
        <w:rPr>
          <w:rFonts w:cstheme="minorHAnsi"/>
          <w:color w:val="000000"/>
        </w:rPr>
        <w:t>La gestion efficiente de risque de catastrophes devra couvrir :</w:t>
      </w:r>
    </w:p>
    <w:p w14:paraId="0C4E9658" w14:textId="77777777" w:rsidR="008F2269" w:rsidRDefault="008F2269" w:rsidP="008F2269">
      <w:pPr>
        <w:spacing w:after="0" w:line="240" w:lineRule="auto"/>
        <w:jc w:val="both"/>
        <w:rPr>
          <w:rFonts w:cstheme="minorHAnsi"/>
          <w:color w:val="000000"/>
        </w:rPr>
      </w:pPr>
      <w:r w:rsidRPr="00CB4DFF">
        <w:rPr>
          <w:rFonts w:cstheme="minorHAnsi"/>
          <w:color w:val="000000"/>
        </w:rPr>
        <w:t>▪ Mise en place de systèmes d’alerte précoce</w:t>
      </w:r>
      <w:r>
        <w:rPr>
          <w:rFonts w:cstheme="minorHAnsi"/>
          <w:color w:val="000000"/>
        </w:rPr>
        <w:t xml:space="preserve"> avec équipements adaptés et large diffusion des résultats  </w:t>
      </w:r>
    </w:p>
    <w:p w14:paraId="3DEA7620" w14:textId="77777777" w:rsidR="008F2269" w:rsidRPr="00CB4DFF" w:rsidRDefault="008F2269" w:rsidP="008F2269">
      <w:pPr>
        <w:spacing w:after="0" w:line="240" w:lineRule="auto"/>
        <w:jc w:val="both"/>
        <w:rPr>
          <w:rFonts w:cstheme="minorHAnsi"/>
          <w:color w:val="000000"/>
        </w:rPr>
      </w:pPr>
      <w:r>
        <w:rPr>
          <w:rFonts w:cstheme="minorHAnsi"/>
          <w:color w:val="000000"/>
        </w:rPr>
        <w:t xml:space="preserve">  </w:t>
      </w:r>
      <w:proofErr w:type="gramStart"/>
      <w:r>
        <w:rPr>
          <w:rFonts w:cstheme="minorHAnsi"/>
          <w:color w:val="000000"/>
        </w:rPr>
        <w:t>à</w:t>
      </w:r>
      <w:proofErr w:type="gramEnd"/>
      <w:r>
        <w:rPr>
          <w:rFonts w:cstheme="minorHAnsi"/>
          <w:color w:val="000000"/>
        </w:rPr>
        <w:t xml:space="preserve"> temps ;</w:t>
      </w:r>
    </w:p>
    <w:p w14:paraId="66C28064" w14:textId="77777777" w:rsidR="008F2269" w:rsidRPr="00CB4DFF" w:rsidRDefault="008F2269" w:rsidP="008F2269">
      <w:pPr>
        <w:spacing w:after="0" w:line="240" w:lineRule="auto"/>
        <w:ind w:left="284" w:hanging="284"/>
        <w:jc w:val="both"/>
        <w:rPr>
          <w:rFonts w:cstheme="minorHAnsi"/>
          <w:color w:val="000000"/>
        </w:rPr>
      </w:pPr>
      <w:r w:rsidRPr="00CB4DFF">
        <w:rPr>
          <w:rFonts w:cstheme="minorHAnsi"/>
          <w:color w:val="000000"/>
        </w:rPr>
        <w:t>▪ Zonage des</w:t>
      </w:r>
      <w:r>
        <w:rPr>
          <w:rFonts w:cstheme="minorHAnsi"/>
          <w:color w:val="000000"/>
        </w:rPr>
        <w:t xml:space="preserve"> risques et de la vulnérabilité ;</w:t>
      </w:r>
    </w:p>
    <w:p w14:paraId="4EC46334" w14:textId="77777777" w:rsidR="008F2269" w:rsidRPr="00CB4DFF" w:rsidRDefault="008F2269" w:rsidP="008F2269">
      <w:pPr>
        <w:spacing w:after="0" w:line="240" w:lineRule="auto"/>
        <w:ind w:left="284" w:hanging="284"/>
        <w:jc w:val="both"/>
        <w:rPr>
          <w:rFonts w:cstheme="minorHAnsi"/>
          <w:color w:val="000000"/>
        </w:rPr>
      </w:pPr>
      <w:r w:rsidRPr="00CB4DFF">
        <w:rPr>
          <w:rFonts w:cstheme="minorHAnsi"/>
          <w:color w:val="000000"/>
        </w:rPr>
        <w:t>▪ Diversification des</w:t>
      </w:r>
      <w:r>
        <w:rPr>
          <w:rFonts w:cstheme="minorHAnsi"/>
          <w:color w:val="000000"/>
        </w:rPr>
        <w:t xml:space="preserve"> sources d’approvisionnement</w:t>
      </w:r>
      <w:r w:rsidRPr="00CB4DFF">
        <w:rPr>
          <w:rFonts w:cstheme="minorHAnsi"/>
          <w:color w:val="000000"/>
        </w:rPr>
        <w:t xml:space="preserve"> ressources en eau</w:t>
      </w:r>
      <w:r>
        <w:rPr>
          <w:rFonts w:cstheme="minorHAnsi"/>
          <w:color w:val="000000"/>
        </w:rPr>
        <w:t xml:space="preserve">, y compris la mer ; </w:t>
      </w:r>
    </w:p>
    <w:p w14:paraId="5F1EAACA" w14:textId="77777777" w:rsidR="008F2269" w:rsidRPr="00CB4DFF" w:rsidRDefault="008F2269" w:rsidP="008F2269">
      <w:pPr>
        <w:spacing w:after="0" w:line="240" w:lineRule="auto"/>
        <w:ind w:left="284" w:hanging="284"/>
        <w:jc w:val="both"/>
        <w:rPr>
          <w:rFonts w:cstheme="minorHAnsi"/>
          <w:color w:val="000000"/>
        </w:rPr>
      </w:pPr>
      <w:r w:rsidRPr="00CB4DFF">
        <w:rPr>
          <w:rFonts w:cstheme="minorHAnsi"/>
          <w:color w:val="000000"/>
        </w:rPr>
        <w:t>▪</w:t>
      </w:r>
      <w:r>
        <w:rPr>
          <w:rFonts w:cstheme="minorHAnsi"/>
          <w:color w:val="000000"/>
        </w:rPr>
        <w:t xml:space="preserve"> Amélioration du drainage des eaux avec des réseaux efficaces et entretenus ;</w:t>
      </w:r>
    </w:p>
    <w:p w14:paraId="368AEC9D" w14:textId="77777777" w:rsidR="008F2269" w:rsidRPr="00CB4DFF" w:rsidRDefault="008F2269" w:rsidP="008F2269">
      <w:pPr>
        <w:spacing w:after="0" w:line="240" w:lineRule="auto"/>
        <w:ind w:left="284" w:hanging="284"/>
        <w:jc w:val="both"/>
        <w:rPr>
          <w:rFonts w:cstheme="minorHAnsi"/>
          <w:color w:val="000000"/>
        </w:rPr>
      </w:pPr>
      <w:r w:rsidRPr="00CB4DFF">
        <w:rPr>
          <w:rFonts w:cstheme="minorHAnsi"/>
          <w:color w:val="000000"/>
        </w:rPr>
        <w:t>▪ Construction d’abris contre les inondations</w:t>
      </w:r>
      <w:r>
        <w:rPr>
          <w:rFonts w:cstheme="minorHAnsi"/>
          <w:color w:val="000000"/>
        </w:rPr>
        <w:t xml:space="preserve"> et les vents violents</w:t>
      </w:r>
      <w:r w:rsidRPr="00CB4DFF">
        <w:rPr>
          <w:rFonts w:cstheme="minorHAnsi"/>
          <w:color w:val="000000"/>
        </w:rPr>
        <w:t>.</w:t>
      </w:r>
    </w:p>
    <w:p w14:paraId="0AA405BA" w14:textId="77777777" w:rsidR="008F2269" w:rsidRPr="00CB4DFF" w:rsidRDefault="008F2269" w:rsidP="008F2269">
      <w:pPr>
        <w:spacing w:after="0" w:line="240" w:lineRule="auto"/>
        <w:ind w:left="284" w:hanging="284"/>
        <w:jc w:val="both"/>
        <w:rPr>
          <w:rFonts w:cstheme="minorHAnsi"/>
          <w:color w:val="000000"/>
        </w:rPr>
      </w:pPr>
      <w:r w:rsidRPr="00CB4DFF">
        <w:rPr>
          <w:rFonts w:cstheme="minorHAnsi"/>
          <w:color w:val="000000"/>
        </w:rPr>
        <w:t>▪ Normes de construction</w:t>
      </w:r>
      <w:r>
        <w:rPr>
          <w:rFonts w:cstheme="minorHAnsi"/>
          <w:color w:val="000000"/>
        </w:rPr>
        <w:t>, maintenance, entretien ;</w:t>
      </w:r>
    </w:p>
    <w:p w14:paraId="517C5702" w14:textId="77777777" w:rsidR="008F2269" w:rsidRPr="00CB4DFF" w:rsidRDefault="008F2269" w:rsidP="008F2269">
      <w:pPr>
        <w:spacing w:after="0" w:line="240" w:lineRule="auto"/>
        <w:ind w:left="284" w:hanging="284"/>
        <w:jc w:val="both"/>
        <w:rPr>
          <w:rFonts w:cstheme="minorHAnsi"/>
          <w:color w:val="000000"/>
        </w:rPr>
      </w:pPr>
      <w:r w:rsidRPr="00CB4DFF">
        <w:rPr>
          <w:rFonts w:cstheme="minorHAnsi"/>
          <w:color w:val="000000"/>
        </w:rPr>
        <w:t>▪ Gestion des te</w:t>
      </w:r>
      <w:r>
        <w:rPr>
          <w:rFonts w:cstheme="minorHAnsi"/>
          <w:color w:val="000000"/>
        </w:rPr>
        <w:t>mpêtes et des eaux d’évacuation dans des milieux récepteurs sains ;</w:t>
      </w:r>
    </w:p>
    <w:p w14:paraId="2A22C889" w14:textId="77777777" w:rsidR="008F2269" w:rsidRPr="00BE7A39" w:rsidRDefault="008F2269" w:rsidP="008F2269">
      <w:pPr>
        <w:spacing w:after="120" w:line="240" w:lineRule="auto"/>
        <w:ind w:left="284" w:hanging="284"/>
        <w:jc w:val="both"/>
        <w:rPr>
          <w:rFonts w:cstheme="minorHAnsi"/>
          <w:color w:val="000000"/>
        </w:rPr>
      </w:pPr>
      <w:r w:rsidRPr="00CB4DFF">
        <w:rPr>
          <w:rFonts w:cstheme="minorHAnsi"/>
          <w:color w:val="000000"/>
        </w:rPr>
        <w:t>▪ Amélioration des transports et des infrastructures routières</w:t>
      </w:r>
      <w:r>
        <w:rPr>
          <w:rFonts w:cstheme="minorHAnsi"/>
          <w:color w:val="000000"/>
        </w:rPr>
        <w:t xml:space="preserve"> pour assurer la fluidité de la circulation</w:t>
      </w:r>
      <w:r w:rsidRPr="00CB4DFF">
        <w:rPr>
          <w:rFonts w:cstheme="minorHAnsi"/>
          <w:color w:val="000000"/>
        </w:rPr>
        <w:t>.</w:t>
      </w:r>
    </w:p>
    <w:p w14:paraId="1373FD53" w14:textId="77777777" w:rsidR="008F2269" w:rsidRPr="00090C68" w:rsidRDefault="008F2269" w:rsidP="00090C68">
      <w:pPr>
        <w:pStyle w:val="Titre2"/>
        <w:numPr>
          <w:ilvl w:val="1"/>
          <w:numId w:val="118"/>
        </w:numPr>
        <w:spacing w:before="0" w:after="160"/>
        <w:ind w:left="284"/>
        <w:jc w:val="both"/>
        <w:rPr>
          <w:rFonts w:asciiTheme="minorHAnsi" w:eastAsiaTheme="minorHAnsi" w:hAnsiTheme="minorHAnsi" w:cstheme="minorHAnsi"/>
          <w:b/>
          <w:bCs/>
          <w:color w:val="auto"/>
          <w:sz w:val="22"/>
          <w:szCs w:val="22"/>
        </w:rPr>
      </w:pPr>
      <w:bookmarkStart w:id="180" w:name="_Toc180318698"/>
      <w:r w:rsidRPr="00090C68">
        <w:rPr>
          <w:rFonts w:asciiTheme="minorHAnsi" w:eastAsiaTheme="minorHAnsi" w:hAnsiTheme="minorHAnsi" w:cstheme="minorHAnsi"/>
          <w:b/>
          <w:bCs/>
          <w:color w:val="auto"/>
          <w:sz w:val="22"/>
          <w:szCs w:val="22"/>
        </w:rPr>
        <w:t>L’amélioration de la Gouvernance du Secteur dans le cadre du changement climatique</w:t>
      </w:r>
      <w:bookmarkEnd w:id="180"/>
    </w:p>
    <w:p w14:paraId="63CA0C8D" w14:textId="77777777" w:rsidR="008F2269" w:rsidRPr="00EE31D0" w:rsidRDefault="008F2269" w:rsidP="008F2269">
      <w:pPr>
        <w:pStyle w:val="Default"/>
        <w:spacing w:after="80" w:line="259" w:lineRule="auto"/>
        <w:jc w:val="both"/>
        <w:rPr>
          <w:rFonts w:asciiTheme="minorHAnsi" w:hAnsiTheme="minorHAnsi" w:cstheme="minorHAnsi"/>
          <w:color w:val="auto"/>
          <w:sz w:val="22"/>
          <w:szCs w:val="22"/>
        </w:rPr>
      </w:pPr>
      <w:r w:rsidRPr="00EE31D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Ces besoins mentionnés sont retenus par </w:t>
      </w:r>
      <w:r w:rsidRPr="00EE31D0">
        <w:rPr>
          <w:rFonts w:asciiTheme="minorHAnsi" w:hAnsiTheme="minorHAnsi" w:cstheme="minorHAnsi"/>
          <w:color w:val="auto"/>
          <w:sz w:val="22"/>
          <w:szCs w:val="22"/>
        </w:rPr>
        <w:t>la SNADEA</w:t>
      </w:r>
      <w:r>
        <w:rPr>
          <w:rFonts w:asciiTheme="minorHAnsi" w:hAnsiTheme="minorHAnsi" w:cstheme="minorHAnsi"/>
          <w:color w:val="auto"/>
          <w:sz w:val="22"/>
          <w:szCs w:val="22"/>
        </w:rPr>
        <w:t> :</w:t>
      </w:r>
    </w:p>
    <w:p w14:paraId="59506E4A" w14:textId="77777777" w:rsidR="008F2269" w:rsidRPr="009D2758" w:rsidRDefault="008F2269" w:rsidP="008F2269">
      <w:pPr>
        <w:pStyle w:val="Default"/>
        <w:numPr>
          <w:ilvl w:val="0"/>
          <w:numId w:val="89"/>
        </w:numPr>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La mise en place et vulgarisation de la bonne gouvernance de l’eau et de l’assainissement au plan juridique, institutionnel, technique, financier, économique, environnemental et social ;</w:t>
      </w:r>
    </w:p>
    <w:p w14:paraId="7DA3EA64" w14:textId="77777777" w:rsidR="008F2269" w:rsidRDefault="008F2269" w:rsidP="008F2269">
      <w:pPr>
        <w:pStyle w:val="Default"/>
        <w:numPr>
          <w:ilvl w:val="0"/>
          <w:numId w:val="89"/>
        </w:numPr>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 xml:space="preserve"> L’élaboration concertée d’une Stratégie Nationale des Zones Humides</w:t>
      </w:r>
      <w:r>
        <w:rPr>
          <w:rFonts w:asciiTheme="minorHAnsi" w:eastAsia="Verdana" w:hAnsiTheme="minorHAnsi" w:cstheme="minorHAnsi"/>
          <w:color w:val="auto"/>
          <w:sz w:val="22"/>
          <w:szCs w:val="22"/>
        </w:rPr>
        <w:t> :</w:t>
      </w:r>
      <w:r w:rsidRPr="009D2758">
        <w:rPr>
          <w:rFonts w:asciiTheme="minorHAnsi" w:eastAsia="Verdana" w:hAnsiTheme="minorHAnsi" w:cstheme="minorHAnsi"/>
          <w:color w:val="auto"/>
          <w:sz w:val="22"/>
          <w:szCs w:val="22"/>
        </w:rPr>
        <w:t xml:space="preserve"> </w:t>
      </w:r>
    </w:p>
    <w:p w14:paraId="1463F28B" w14:textId="77777777" w:rsidR="008F2269" w:rsidRPr="00D616E1" w:rsidRDefault="008F2269" w:rsidP="008F2269">
      <w:pPr>
        <w:pStyle w:val="Default"/>
        <w:numPr>
          <w:ilvl w:val="0"/>
          <w:numId w:val="89"/>
        </w:numPr>
        <w:ind w:left="470" w:hanging="357"/>
        <w:contextualSpacing/>
        <w:jc w:val="both"/>
        <w:rPr>
          <w:rFonts w:asciiTheme="minorHAnsi" w:hAnsiTheme="minorHAnsi" w:cstheme="minorHAnsi"/>
          <w:color w:val="auto"/>
          <w:sz w:val="22"/>
          <w:szCs w:val="22"/>
        </w:rPr>
      </w:pPr>
      <w:r w:rsidRPr="009D2758">
        <w:rPr>
          <w:rFonts w:asciiTheme="minorHAnsi" w:eastAsia="Verdana" w:hAnsiTheme="minorHAnsi" w:cstheme="minorHAnsi"/>
          <w:color w:val="auto"/>
          <w:sz w:val="22"/>
          <w:szCs w:val="22"/>
        </w:rPr>
        <w:t>La mise en place d’un Système d’Information Intégré sur l’Eau (SIIE)</w:t>
      </w:r>
      <w:r>
        <w:rPr>
          <w:rFonts w:asciiTheme="minorHAnsi" w:eastAsia="Verdana" w:hAnsiTheme="minorHAnsi" w:cstheme="minorHAnsi"/>
          <w:color w:val="auto"/>
          <w:sz w:val="22"/>
          <w:szCs w:val="22"/>
        </w:rPr>
        <w:t>.</w:t>
      </w:r>
    </w:p>
    <w:p w14:paraId="595C8DD8" w14:textId="77777777" w:rsidR="008F2269" w:rsidRPr="002A3F51" w:rsidRDefault="008F2269" w:rsidP="008F2269">
      <w:pPr>
        <w:pStyle w:val="Default"/>
        <w:spacing w:after="160" w:line="259" w:lineRule="auto"/>
        <w:contextualSpacing/>
        <w:jc w:val="both"/>
        <w:rPr>
          <w:rFonts w:asciiTheme="minorHAnsi" w:eastAsia="Verdana" w:hAnsiTheme="minorHAnsi" w:cstheme="minorHAnsi"/>
          <w:color w:val="auto"/>
          <w:sz w:val="2"/>
          <w:szCs w:val="2"/>
        </w:rPr>
      </w:pPr>
    </w:p>
    <w:p w14:paraId="4EBA7F05" w14:textId="77777777" w:rsidR="008F2269" w:rsidRPr="00F52752" w:rsidRDefault="008F2269" w:rsidP="008F2269">
      <w:pPr>
        <w:rPr>
          <w:b/>
        </w:rPr>
      </w:pPr>
      <w:r>
        <w:rPr>
          <w:b/>
        </w:rPr>
        <w:t xml:space="preserve">Inondations et </w:t>
      </w:r>
      <w:r w:rsidRPr="00F52752">
        <w:rPr>
          <w:b/>
        </w:rPr>
        <w:t>dégâts en Mauritanie : saison des pluies 2024</w:t>
      </w:r>
    </w:p>
    <w:p w14:paraId="63A7BDB4" w14:textId="77777777" w:rsidR="008F2269" w:rsidRDefault="008F2269" w:rsidP="008F2269">
      <w:pPr>
        <w:jc w:val="both"/>
        <w:rPr>
          <w:szCs w:val="21"/>
          <w:lang w:eastAsia="fr-FR"/>
        </w:rPr>
      </w:pPr>
      <w:r w:rsidRPr="00DF1CCB">
        <w:rPr>
          <w:b/>
          <w:szCs w:val="21"/>
          <w:lang w:eastAsia="fr-FR"/>
        </w:rPr>
        <w:t>En 2024,</w:t>
      </w:r>
      <w:r>
        <w:rPr>
          <w:szCs w:val="21"/>
          <w:lang w:eastAsia="fr-FR"/>
        </w:rPr>
        <w:t xml:space="preserve"> des inondations très destructrices ont été observées dans plus Wilayas et le bassin du fleuve Sénégal a connu des inondations historiques à partir du mois d’août occasionnant des dommages sur les biens mobiliers et immobiliers (les infrastructures, les habitats, les routes, les petits barrages en terre, les ponts, et sur le bétail), l’aménagement de sites de relogement des populations affectées par les inondations de leurs localités. Des missions ministérielles élargies aux autres partenaires sont constitués pour s’enquérir de la situation, apporter le message de soutien du Gouvernement, écouter les victimes, évaluer les besoins en vue d’acheminer les moyens nécessaires pour les soutenir : </w:t>
      </w:r>
      <w:proofErr w:type="spellStart"/>
      <w:r>
        <w:rPr>
          <w:szCs w:val="21"/>
          <w:lang w:eastAsia="fr-FR"/>
        </w:rPr>
        <w:t>cf</w:t>
      </w:r>
      <w:proofErr w:type="spellEnd"/>
      <w:r>
        <w:rPr>
          <w:szCs w:val="21"/>
          <w:lang w:eastAsia="fr-FR"/>
        </w:rPr>
        <w:t xml:space="preserve"> AMI et CRIDEM et Sahara Médias d’août à octobre 2024.</w:t>
      </w:r>
    </w:p>
    <w:p w14:paraId="352588E5" w14:textId="77777777" w:rsidR="008F2269" w:rsidRDefault="008F2269" w:rsidP="008F2269">
      <w:pPr>
        <w:jc w:val="both"/>
        <w:rPr>
          <w:szCs w:val="21"/>
          <w:lang w:eastAsia="fr-FR"/>
        </w:rPr>
      </w:pPr>
      <w:r>
        <w:rPr>
          <w:szCs w:val="21"/>
          <w:lang w:eastAsia="fr-FR"/>
        </w:rPr>
        <w:t xml:space="preserve">De même, dans les autres zones agroécologiques (aride, littoral), des dégâts importants ont été enregistrés sur les localités, les infrastructures, les habitats, les routes, les petits barrages en terre, les ponts, et sur le bétail : </w:t>
      </w:r>
      <w:proofErr w:type="spellStart"/>
      <w:r>
        <w:rPr>
          <w:szCs w:val="21"/>
          <w:lang w:eastAsia="fr-FR"/>
        </w:rPr>
        <w:t>cf</w:t>
      </w:r>
      <w:proofErr w:type="spellEnd"/>
      <w:r>
        <w:rPr>
          <w:szCs w:val="21"/>
          <w:lang w:eastAsia="fr-FR"/>
        </w:rPr>
        <w:t xml:space="preserve"> AMI et CRIDEM et Sahara Médias de juin à octobre 2024.</w:t>
      </w:r>
    </w:p>
    <w:p w14:paraId="7C017F3F" w14:textId="77777777" w:rsidR="008F2269" w:rsidRDefault="008F2269" w:rsidP="008F2269">
      <w:pPr>
        <w:jc w:val="both"/>
      </w:pPr>
    </w:p>
    <w:p w14:paraId="607B8DB8" w14:textId="77777777" w:rsidR="008F2269" w:rsidRDefault="008F2269" w:rsidP="008F2269">
      <w:pPr>
        <w:jc w:val="both"/>
      </w:pPr>
      <w:r>
        <w:t>Durant la période de la troisième décade de septembre à la première période d’octobre 2024, de fortes pluies sont tombées dans le haut bassin du fleuve Sénégal : cf. Bulletin Régional Hydrologique de la Brigade des Ressources en Eau de Saint-Louis du Sénégal.</w:t>
      </w:r>
    </w:p>
    <w:p w14:paraId="7EF8B32B" w14:textId="77777777" w:rsidR="008F2269" w:rsidRDefault="008F2269" w:rsidP="008F2269">
      <w:pPr>
        <w:ind w:right="-142"/>
        <w:jc w:val="both"/>
      </w:pPr>
      <w:r>
        <w:t>Une première onde de crue s’est propagée en aval dépassant les cotes d’alerte au niveau des stations limnimétriques disposant de longues séries d’observations à Bakel (10 m), Matam (8 m), et Podor (5 m).</w:t>
      </w:r>
    </w:p>
    <w:p w14:paraId="25FE64F8" w14:textId="77777777" w:rsidR="008F2269" w:rsidRDefault="008F2269" w:rsidP="008F2269">
      <w:pPr>
        <w:jc w:val="both"/>
      </w:pPr>
      <w:r>
        <w:t>A Bakel, la hauteur maximale secondaire observée a été de 10.26 m le 23 septembre à 08 h ; à Matam 8.69 m le 29 septembre à 08 h), et à Podor 5.31 m le 03 octobre à 08 h.</w:t>
      </w:r>
    </w:p>
    <w:p w14:paraId="2B744ABF" w14:textId="77777777" w:rsidR="008F2269" w:rsidRDefault="008F2269" w:rsidP="008F2269">
      <w:pPr>
        <w:jc w:val="both"/>
      </w:pPr>
      <w:r>
        <w:t xml:space="preserve">La poursuite des pluies a, après une courte période d’accalmie, a provoqué une seconde onde de crue plus importante et s’est propagée en aval dépassant les maxi enregistrées précédemment dans les mêmes stations limnimétriques. </w:t>
      </w:r>
    </w:p>
    <w:p w14:paraId="27645442" w14:textId="77777777" w:rsidR="008F2269" w:rsidRDefault="008F2269" w:rsidP="008F2269">
      <w:pPr>
        <w:jc w:val="both"/>
      </w:pPr>
      <w:r w:rsidRPr="00DD2B6C">
        <w:rPr>
          <w:b/>
        </w:rPr>
        <w:t>A Bakel, la hauteur maximale principale observée a été de 11.66 m le 15 octobre à 08 h</w:t>
      </w:r>
      <w:r>
        <w:t xml:space="preserve"> ; à Matam </w:t>
      </w:r>
      <w:r w:rsidRPr="00093AAA">
        <w:t>8.81 m le 17 octobre à 08 h), et à Podor 5.60 m le 17 octobre à 08 h.</w:t>
      </w:r>
    </w:p>
    <w:p w14:paraId="4F013DC5" w14:textId="77777777" w:rsidR="008F2269" w:rsidRDefault="008F2269" w:rsidP="008F2269">
      <w:pPr>
        <w:jc w:val="both"/>
      </w:pPr>
      <w:r>
        <w:t xml:space="preserve">A Matam </w:t>
      </w:r>
      <w:r w:rsidRPr="00093AAA">
        <w:t>8.85 m le 18 octobre à 08 h), et à Podor 5.61 m le 18 octobre à 08 h </w:t>
      </w:r>
      <w:r>
        <w:t>: arrêt de la montée des eaux à Bakel le 15 octobre, la décrue été amorcée le 16 octobre, le plan d’eau à 08</w:t>
      </w:r>
      <w:r w:rsidRPr="00D0629A">
        <w:t xml:space="preserve"> </w:t>
      </w:r>
      <w:r>
        <w:t>heures a été de 11. 59 m et la lecture du 18 octobre à 08 h a été de 11.28 m.</w:t>
      </w:r>
    </w:p>
    <w:p w14:paraId="7DAB8794" w14:textId="77777777" w:rsidR="008F2269" w:rsidRDefault="008F2269" w:rsidP="008F2269">
      <w:pPr>
        <w:jc w:val="both"/>
      </w:pPr>
      <w:r>
        <w:t xml:space="preserve">Les 20 et 21 octobre 2024 à 08 h à Bakel, les lectures ont été de 10.79 m et 10.39 m soit une baisse de 40 cm ; à Matam elles ont été de </w:t>
      </w:r>
      <w:r w:rsidRPr="004A1EF9">
        <w:rPr>
          <w:b/>
        </w:rPr>
        <w:t>8.90 m et 8.91 m</w:t>
      </w:r>
      <w:r>
        <w:t xml:space="preserve"> soit une montée de 1cm ; à Podor aux mêmes dates, elles ont été de </w:t>
      </w:r>
      <w:r w:rsidRPr="004A1EF9">
        <w:rPr>
          <w:b/>
        </w:rPr>
        <w:t>5.64 m et 5.65 m</w:t>
      </w:r>
      <w:r>
        <w:t xml:space="preserve"> soit une montée de 1 cm.</w:t>
      </w:r>
    </w:p>
    <w:p w14:paraId="387D30E0" w14:textId="77777777" w:rsidR="008F2269" w:rsidRDefault="008F2269" w:rsidP="008F2269">
      <w:pPr>
        <w:jc w:val="both"/>
      </w:pPr>
      <w:r>
        <w:t xml:space="preserve">Le 22 octobre 2024 à 08 h à Bakel, la lecture a été de 9.94 m soit une baisse de 45 cm ; à Matam, elle a été de </w:t>
      </w:r>
      <w:r w:rsidRPr="004A1EF9">
        <w:rPr>
          <w:b/>
        </w:rPr>
        <w:t>8.</w:t>
      </w:r>
      <w:r>
        <w:rPr>
          <w:b/>
        </w:rPr>
        <w:t>88</w:t>
      </w:r>
      <w:r w:rsidRPr="004A1EF9">
        <w:rPr>
          <w:b/>
        </w:rPr>
        <w:t xml:space="preserve"> m </w:t>
      </w:r>
      <w:r>
        <w:t xml:space="preserve">soit une baisse de 2cm ; à Podor, elle a été de </w:t>
      </w:r>
      <w:r w:rsidRPr="004A1EF9">
        <w:rPr>
          <w:b/>
        </w:rPr>
        <w:t>5.6</w:t>
      </w:r>
      <w:r>
        <w:rPr>
          <w:b/>
        </w:rPr>
        <w:t>7</w:t>
      </w:r>
      <w:r w:rsidRPr="004A1EF9">
        <w:rPr>
          <w:b/>
        </w:rPr>
        <w:t xml:space="preserve"> m </w:t>
      </w:r>
      <w:r>
        <w:t>soit une montée de 1 cm.</w:t>
      </w:r>
    </w:p>
    <w:p w14:paraId="35C8E1CF" w14:textId="77777777" w:rsidR="008F2269" w:rsidRDefault="008F2269" w:rsidP="008F2269">
      <w:pPr>
        <w:tabs>
          <w:tab w:val="left" w:pos="1380"/>
        </w:tabs>
        <w:jc w:val="both"/>
      </w:pPr>
      <w:r>
        <w:t>En dehors de Bakel, les hauteurs d’eau dépassent encore les cotes d’alertes à Matam et Podor.</w:t>
      </w:r>
      <w:r>
        <w:tab/>
      </w:r>
    </w:p>
    <w:p w14:paraId="768B9345" w14:textId="77777777" w:rsidR="008F2269" w:rsidRDefault="008F2269" w:rsidP="008F2269">
      <w:pPr>
        <w:jc w:val="both"/>
      </w:pPr>
      <w:r>
        <w:t xml:space="preserve">Le 23 octobre 2024 à 08 h à Bakel, la lecture a été de 9.57 m soit une baisse de 37 cm ; à Matam, elle a été de </w:t>
      </w:r>
      <w:r w:rsidRPr="004A1EF9">
        <w:rPr>
          <w:b/>
        </w:rPr>
        <w:t xml:space="preserve">8.90 m </w:t>
      </w:r>
      <w:r>
        <w:t xml:space="preserve">soit une baisse de 1 cm ; à Podor, elle a été de </w:t>
      </w:r>
      <w:r w:rsidRPr="004A1EF9">
        <w:rPr>
          <w:b/>
        </w:rPr>
        <w:t>5.6</w:t>
      </w:r>
      <w:r>
        <w:rPr>
          <w:b/>
        </w:rPr>
        <w:t>6</w:t>
      </w:r>
      <w:r w:rsidRPr="004A1EF9">
        <w:rPr>
          <w:b/>
        </w:rPr>
        <w:t xml:space="preserve"> m </w:t>
      </w:r>
      <w:r>
        <w:t>soit une montée de 1 cm.</w:t>
      </w:r>
    </w:p>
    <w:p w14:paraId="639DAC6F" w14:textId="77777777" w:rsidR="008F2269" w:rsidRDefault="008F2269" w:rsidP="008F2269">
      <w:pPr>
        <w:tabs>
          <w:tab w:val="left" w:pos="1380"/>
        </w:tabs>
        <w:jc w:val="both"/>
      </w:pPr>
      <w:r>
        <w:t>En dehors de Bakel, les hauteurs d’eau dépassent encore les cotes d’alertes à Matam et Podor.</w:t>
      </w:r>
      <w:r>
        <w:tab/>
      </w:r>
    </w:p>
    <w:p w14:paraId="32ED0D98" w14:textId="77777777" w:rsidR="008F2269" w:rsidRPr="00122F33" w:rsidRDefault="008F2269" w:rsidP="008F2269">
      <w:pPr>
        <w:tabs>
          <w:tab w:val="left" w:pos="1380"/>
        </w:tabs>
        <w:jc w:val="both"/>
      </w:pPr>
      <w:r w:rsidRPr="00D0629A">
        <w:rPr>
          <w:b/>
        </w:rPr>
        <w:t xml:space="preserve">NB : </w:t>
      </w:r>
      <w:r>
        <w:rPr>
          <w:b/>
        </w:rPr>
        <w:t xml:space="preserve">  L</w:t>
      </w:r>
      <w:r w:rsidRPr="00D0629A">
        <w:rPr>
          <w:b/>
        </w:rPr>
        <w:t xml:space="preserve">e modèle </w:t>
      </w:r>
      <w:r>
        <w:rPr>
          <w:b/>
        </w:rPr>
        <w:t>de prévision hydrologique employé par l’OMVS fix</w:t>
      </w:r>
      <w:r w:rsidRPr="00D0629A">
        <w:rPr>
          <w:b/>
        </w:rPr>
        <w:t xml:space="preserve">e </w:t>
      </w:r>
      <w:r>
        <w:rPr>
          <w:b/>
        </w:rPr>
        <w:t>la date du</w:t>
      </w:r>
      <w:r w:rsidRPr="00D0629A">
        <w:rPr>
          <w:b/>
        </w:rPr>
        <w:t xml:space="preserve"> 05 septembre</w:t>
      </w:r>
      <w:r>
        <w:rPr>
          <w:b/>
        </w:rPr>
        <w:t xml:space="preserve"> pour l’observation</w:t>
      </w:r>
      <w:r w:rsidRPr="00D0629A">
        <w:rPr>
          <w:b/>
        </w:rPr>
        <w:t xml:space="preserve"> de la pointe de la crue annuelle à Bakel.</w:t>
      </w:r>
    </w:p>
    <w:p w14:paraId="4B2F4FF1" w14:textId="77777777" w:rsidR="008F2269" w:rsidRPr="00D0629A" w:rsidRDefault="008F2269" w:rsidP="008F2269">
      <w:pPr>
        <w:jc w:val="both"/>
        <w:rPr>
          <w:b/>
        </w:rPr>
      </w:pPr>
      <w:r>
        <w:rPr>
          <w:b/>
        </w:rPr>
        <w:t>Les hautes – eaux de 2024 observées sont en retard car la montée des eaux continue à Matam et Podor.</w:t>
      </w:r>
    </w:p>
    <w:p w14:paraId="711AB494" w14:textId="77777777" w:rsidR="008F2269" w:rsidRDefault="008F2269" w:rsidP="008F2269">
      <w:pPr>
        <w:jc w:val="both"/>
      </w:pPr>
      <w:r>
        <w:t>Des inondations très dévastatrices ont été enregistrées en 2024 en Mauritanie, surtout dans les parties sud des Wilaya du Guidimakha, du Gorgol, du Brakna et du Trarza.</w:t>
      </w:r>
    </w:p>
    <w:p w14:paraId="288E7E6A" w14:textId="77777777" w:rsidR="008F2269" w:rsidRDefault="008F2269" w:rsidP="008F2269">
      <w:pPr>
        <w:jc w:val="both"/>
      </w:pPr>
      <w:r>
        <w:t xml:space="preserve">Selon les alertes de l’OMVS, </w:t>
      </w:r>
      <w:proofErr w:type="spellStart"/>
      <w:r>
        <w:t>cf</w:t>
      </w:r>
      <w:proofErr w:type="spellEnd"/>
      <w:r>
        <w:t xml:space="preserve"> cridem du 18 octobre 2024 des villes Mauritaniennes sérieusement menacées par la crue du fleuve Sénégal : « les villes Mauritaniennes situées sur la rive du fleuve les plus menacées sont Kaédi, Boghé, Lexeïba 2, Tékane et Jedrel Mohguen qui sont désormais dans la zone rouge.</w:t>
      </w:r>
    </w:p>
    <w:p w14:paraId="7D946AAB" w14:textId="77777777" w:rsidR="008F2269" w:rsidRDefault="008F2269" w:rsidP="008F2269">
      <w:pPr>
        <w:jc w:val="both"/>
      </w:pPr>
      <w:r>
        <w:t>D’autres villes et villages en danger sont dans la zone orange.  Si les données climatiques récentes montrent une tendance à la baisse dans certains cours d’eau du Mali ; une hausse est notée dans d’autres zones-- situées à la frontière entre la Mauritanie et le Sénégal ». </w:t>
      </w:r>
    </w:p>
    <w:p w14:paraId="41CD0ADF" w14:textId="77777777" w:rsidR="008F2269" w:rsidRDefault="008F2269" w:rsidP="008F2269">
      <w:pPr>
        <w:spacing w:after="0"/>
        <w:jc w:val="both"/>
      </w:pPr>
      <w:r>
        <w:t xml:space="preserve">Des dégâts lourds y ont été observés : ruptures des trafics terrestres, localités, </w:t>
      </w:r>
      <w:proofErr w:type="spellStart"/>
      <w:r>
        <w:t>champs</w:t>
      </w:r>
      <w:proofErr w:type="spellEnd"/>
      <w:r>
        <w:t xml:space="preserve"> traditionnels et périmètres irrigués, maisons inondées, écroulées, des villages historiques menacés de disparition, le bétail enclavé et des pâturages submergés par les eaux du fleuve.</w:t>
      </w:r>
    </w:p>
    <w:p w14:paraId="7226E473" w14:textId="77777777" w:rsidR="008F2269" w:rsidRDefault="008F2269" w:rsidP="008F2269">
      <w:pPr>
        <w:spacing w:after="0"/>
        <w:jc w:val="both"/>
      </w:pPr>
      <w:r>
        <w:t>L’accès à l’eau potable est difficile là où les eaux ont été polluées par les inondations.</w:t>
      </w:r>
    </w:p>
    <w:p w14:paraId="59170F01" w14:textId="77777777" w:rsidR="008F2269" w:rsidRDefault="008F2269" w:rsidP="008F2269">
      <w:pPr>
        <w:jc w:val="both"/>
      </w:pPr>
      <w:r>
        <w:t>Des foyers de paludisme ont été déclarés dans certaines localités.</w:t>
      </w:r>
    </w:p>
    <w:p w14:paraId="64A783AF" w14:textId="77777777" w:rsidR="008F2269" w:rsidRDefault="008F2269" w:rsidP="008F2269">
      <w:pPr>
        <w:spacing w:after="0"/>
        <w:jc w:val="both"/>
      </w:pPr>
      <w:r>
        <w:t>Des Délégation du Comité Ministériel chargé de la réponse aux urgences se sont rendues sur le terrain pour sensibiliser les populations affectées et distribuer des aides : kits alimentaires ou paniers (riz, sucre et huile), unités d’hébergement équipées de matelas, de couvertures et de moustiquaires, produits de nettoyage et de stérilisation, cash transferts.</w:t>
      </w:r>
    </w:p>
    <w:p w14:paraId="0973C71D" w14:textId="77777777" w:rsidR="008F2269" w:rsidRDefault="008F2269" w:rsidP="008F2269">
      <w:pPr>
        <w:jc w:val="both"/>
      </w:pPr>
      <w:r>
        <w:t>Des populations ont été recasées dans des lieux aménagés et non inondables ; des camions citernes distribuent de l’eau potable.</w:t>
      </w:r>
    </w:p>
    <w:p w14:paraId="39AA64A6" w14:textId="77777777" w:rsidR="008F2269" w:rsidRDefault="008F2269" w:rsidP="008F2269">
      <w:pPr>
        <w:spacing w:before="120" w:after="0"/>
        <w:jc w:val="both"/>
      </w:pPr>
      <w:r>
        <w:t>Au plan de l’assainissement, des motopompes ont été installées dans certaines localités inondées pour évacuer rapidement les eaux du fleuve.</w:t>
      </w:r>
    </w:p>
    <w:p w14:paraId="58E40839" w14:textId="77777777" w:rsidR="008F2269" w:rsidRDefault="008F2269" w:rsidP="008F2269">
      <w:pPr>
        <w:spacing w:after="0"/>
        <w:jc w:val="both"/>
      </w:pPr>
      <w:r>
        <w:t>Au plan médical, des laboratoires et des ambulances ont été acheminés sur le terrain pour intensifier plus efficacement les activités.</w:t>
      </w:r>
    </w:p>
    <w:p w14:paraId="3F1C5D55" w14:textId="77777777" w:rsidR="008F2269" w:rsidRDefault="008F2269" w:rsidP="008F2269">
      <w:pPr>
        <w:tabs>
          <w:tab w:val="left" w:pos="2805"/>
        </w:tabs>
        <w:spacing w:after="120"/>
        <w:jc w:val="both"/>
      </w:pPr>
      <w:r>
        <w:t>Depuis quelques années, la Mauritanie est confrontée à des inondations historiques et dévastatrices notamment dans le bassin du fleuve Sénégal.</w:t>
      </w:r>
    </w:p>
    <w:p w14:paraId="3E354B90" w14:textId="77777777" w:rsidR="008F2269" w:rsidRDefault="008F2269" w:rsidP="008F2269">
      <w:pPr>
        <w:spacing w:after="0"/>
        <w:jc w:val="both"/>
      </w:pPr>
      <w:r>
        <w:t xml:space="preserve">Des solutions d’urgence ont été préconisées mais ne suffisent pas pour couvrir les besoins alimentaires des sinistrés pour une longue période. </w:t>
      </w:r>
    </w:p>
    <w:p w14:paraId="1DA0AA4F" w14:textId="77777777" w:rsidR="008F2269" w:rsidRDefault="008F2269" w:rsidP="008F2269">
      <w:pPr>
        <w:spacing w:after="0"/>
        <w:jc w:val="both"/>
      </w:pPr>
      <w:r>
        <w:t xml:space="preserve">De gros investissements sont indispensables pour assurer la souveraineté alimentaire du Pays. </w:t>
      </w:r>
    </w:p>
    <w:p w14:paraId="37B247C1" w14:textId="77777777" w:rsidR="008F2269" w:rsidRDefault="008F2269" w:rsidP="008F2269">
      <w:pPr>
        <w:spacing w:after="0"/>
        <w:jc w:val="both"/>
      </w:pPr>
      <w:r>
        <w:t>Compte tenu des dégâts immenses observés, des solutions durables doivent être planifiées dans le cadre d’une stratégie dans le cadre de partenariat-public-privé en vue de répondre plus efficacement aux situations d’urgence à temps.</w:t>
      </w:r>
    </w:p>
    <w:p w14:paraId="4D7793A6" w14:textId="77777777" w:rsidR="008F2269" w:rsidRDefault="008F2269" w:rsidP="008F2269">
      <w:pPr>
        <w:pStyle w:val="Default"/>
        <w:spacing w:after="160" w:line="259" w:lineRule="auto"/>
        <w:contextualSpacing/>
        <w:jc w:val="both"/>
        <w:rPr>
          <w:rFonts w:asciiTheme="minorHAnsi" w:eastAsia="Verdana" w:hAnsiTheme="minorHAnsi" w:cstheme="minorHAnsi"/>
          <w:color w:val="auto"/>
          <w:sz w:val="22"/>
          <w:szCs w:val="22"/>
        </w:rPr>
      </w:pPr>
    </w:p>
    <w:p w14:paraId="7F682DA7" w14:textId="77777777" w:rsidR="008F2269" w:rsidRDefault="008F2269" w:rsidP="008F2269">
      <w:pPr>
        <w:pStyle w:val="Titre1"/>
        <w:spacing w:before="0" w:after="160"/>
        <w:rPr>
          <w:rFonts w:asciiTheme="minorHAnsi" w:hAnsiTheme="minorHAnsi" w:cstheme="minorHAnsi"/>
          <w:color w:val="auto"/>
          <w:sz w:val="22"/>
          <w:szCs w:val="22"/>
        </w:rPr>
      </w:pPr>
      <w:bookmarkStart w:id="181" w:name="_Toc180318699"/>
      <w:r w:rsidRPr="00090C68">
        <w:rPr>
          <w:rFonts w:asciiTheme="minorHAnsi" w:hAnsiTheme="minorHAnsi" w:cstheme="minorHAnsi"/>
          <w:b/>
          <w:bCs/>
          <w:color w:val="auto"/>
          <w:sz w:val="22"/>
          <w:szCs w:val="22"/>
        </w:rPr>
        <w:t>CHAPITRE 8.</w:t>
      </w:r>
      <w:r w:rsidRPr="00BE7A39">
        <w:rPr>
          <w:rFonts w:asciiTheme="minorHAnsi" w:hAnsiTheme="minorHAnsi" w:cstheme="minorHAnsi"/>
          <w:color w:val="auto"/>
          <w:sz w:val="22"/>
          <w:szCs w:val="22"/>
        </w:rPr>
        <w:t xml:space="preserve"> </w:t>
      </w:r>
      <w:r w:rsidRPr="00090C68">
        <w:rPr>
          <w:rFonts w:asciiTheme="minorHAnsi" w:hAnsiTheme="minorHAnsi" w:cstheme="minorHAnsi"/>
          <w:b/>
          <w:bCs/>
          <w:color w:val="auto"/>
          <w:sz w:val="22"/>
          <w:szCs w:val="22"/>
        </w:rPr>
        <w:t>EXPOSITION ET VULNERABILITE DES RESSOURCES EN EAU DE SURFACE FACE AU CHANGEMENT CLIMATIQUE EN RAPPORT AVEC LES AUTRES SECTEURS</w:t>
      </w:r>
      <w:r>
        <w:rPr>
          <w:rFonts w:asciiTheme="minorHAnsi" w:hAnsiTheme="minorHAnsi" w:cstheme="minorHAnsi"/>
          <w:color w:val="auto"/>
          <w:sz w:val="22"/>
          <w:szCs w:val="22"/>
        </w:rPr>
        <w:t>.</w:t>
      </w:r>
      <w:bookmarkEnd w:id="181"/>
    </w:p>
    <w:p w14:paraId="5AAC6484" w14:textId="77777777" w:rsidR="008F2269" w:rsidRPr="00090C68" w:rsidRDefault="008F2269" w:rsidP="008F2269">
      <w:pPr>
        <w:pStyle w:val="Titre2"/>
        <w:rPr>
          <w:rFonts w:asciiTheme="minorHAnsi" w:hAnsiTheme="minorHAnsi" w:cstheme="minorHAnsi"/>
          <w:b/>
          <w:bCs/>
          <w:color w:val="auto"/>
          <w:kern w:val="0"/>
          <w:sz w:val="22"/>
          <w:szCs w:val="22"/>
          <w14:ligatures w14:val="none"/>
        </w:rPr>
      </w:pPr>
      <w:bookmarkStart w:id="182" w:name="_Toc180318700"/>
      <w:r w:rsidRPr="00090C68">
        <w:rPr>
          <w:rFonts w:asciiTheme="minorHAnsi" w:hAnsiTheme="minorHAnsi" w:cstheme="minorHAnsi"/>
          <w:b/>
          <w:bCs/>
          <w:color w:val="auto"/>
          <w:kern w:val="0"/>
          <w:sz w:val="22"/>
          <w:szCs w:val="22"/>
          <w14:ligatures w14:val="none"/>
        </w:rPr>
        <w:t>8.1   Facteurs climatiques</w:t>
      </w:r>
      <w:bookmarkEnd w:id="182"/>
    </w:p>
    <w:p w14:paraId="2298F7BE" w14:textId="77777777" w:rsidR="008F2269" w:rsidRPr="00421CCD" w:rsidRDefault="008F2269" w:rsidP="008F2269">
      <w:pPr>
        <w:spacing w:after="0" w:line="240" w:lineRule="auto"/>
        <w:rPr>
          <w:rFonts w:cstheme="minorHAnsi"/>
        </w:rPr>
      </w:pPr>
      <w:r w:rsidRPr="00421CCD">
        <w:rPr>
          <w:rFonts w:cstheme="minorHAnsi"/>
        </w:rPr>
        <w:t>Selon Agrica</w:t>
      </w:r>
      <w:r>
        <w:rPr>
          <w:rFonts w:cstheme="minorHAnsi"/>
        </w:rPr>
        <w:t xml:space="preserve"> « Profil de</w:t>
      </w:r>
      <w:r w:rsidRPr="00024F25">
        <w:rPr>
          <w:rFonts w:cstheme="minorHAnsi"/>
        </w:rPr>
        <w:t xml:space="preserve"> risques </w:t>
      </w:r>
      <w:r>
        <w:rPr>
          <w:rFonts w:cstheme="minorHAnsi"/>
        </w:rPr>
        <w:t>climatique en Mauritanie,</w:t>
      </w:r>
      <w:r w:rsidRPr="00421CCD">
        <w:rPr>
          <w:rFonts w:cstheme="minorHAnsi"/>
        </w:rPr>
        <w:t xml:space="preserve"> </w:t>
      </w:r>
      <w:r>
        <w:rPr>
          <w:rFonts w:cstheme="minorHAnsi"/>
        </w:rPr>
        <w:t xml:space="preserve">août </w:t>
      </w:r>
      <w:r w:rsidRPr="00421CCD">
        <w:rPr>
          <w:rFonts w:cstheme="minorHAnsi"/>
        </w:rPr>
        <w:t>2021</w:t>
      </w:r>
      <w:r>
        <w:rPr>
          <w:rFonts w:cstheme="minorHAnsi"/>
        </w:rPr>
        <w:t> »</w:t>
      </w:r>
      <w:r w:rsidRPr="00421CCD">
        <w:rPr>
          <w:rFonts w:cstheme="minorHAnsi"/>
        </w:rPr>
        <w:t>, les changements climatiques prévus sont comme suivis :</w:t>
      </w:r>
    </w:p>
    <w:p w14:paraId="6164FB0E" w14:textId="77777777" w:rsidR="008F2269" w:rsidRPr="00866D54" w:rsidRDefault="008F2269" w:rsidP="008F2269">
      <w:pPr>
        <w:pStyle w:val="Paragraphedeliste"/>
        <w:numPr>
          <w:ilvl w:val="0"/>
          <w:numId w:val="119"/>
        </w:numPr>
        <w:suppressAutoHyphens/>
        <w:autoSpaceDN w:val="0"/>
        <w:spacing w:line="240" w:lineRule="auto"/>
        <w:textAlignment w:val="baseline"/>
        <w:rPr>
          <w:rFonts w:cstheme="minorHAnsi"/>
          <w:b/>
          <w:bCs/>
        </w:rPr>
      </w:pPr>
      <w:r w:rsidRPr="00866D54">
        <w:rPr>
          <w:rFonts w:cstheme="minorHAnsi"/>
          <w:b/>
          <w:bCs/>
        </w:rPr>
        <w:t>Augmentation des températures</w:t>
      </w:r>
    </w:p>
    <w:p w14:paraId="7A00296A" w14:textId="77777777" w:rsidR="008F2269" w:rsidRPr="00421CCD" w:rsidRDefault="008F2269" w:rsidP="008F2269">
      <w:pPr>
        <w:pStyle w:val="Paragraphedeliste"/>
        <w:jc w:val="both"/>
        <w:rPr>
          <w:rFonts w:cstheme="minorHAnsi"/>
        </w:rPr>
      </w:pPr>
      <w:r w:rsidRPr="00421CCD">
        <w:rPr>
          <w:rFonts w:cstheme="minorHAnsi"/>
        </w:rPr>
        <w:t>En réaction à la hausse des concentrations en gaz à effet de serre (GES), la température de l'air en Mauritanie devrait augmenter de 2,0 °C à 4,5 °C (fourchette très probable) d'ici à 2080 par rapport à l'année 1876, en fonction des différen</w:t>
      </w:r>
      <w:r>
        <w:rPr>
          <w:rFonts w:cstheme="minorHAnsi"/>
        </w:rPr>
        <w:t>ts scénarios d'émissions de GES</w:t>
      </w:r>
      <w:r w:rsidRPr="00421CCD">
        <w:rPr>
          <w:rFonts w:cstheme="minorHAnsi"/>
        </w:rPr>
        <w:t>. Par rapport aux niveaux préindustriels, la médiane des hausses de température des modèles climatiques en Mauritanie atteint environ 2,1 °C en 2030, 2,3 °C en 2050 et 2,5 °C en 2080 en vertu du scénario de réduction des émissions RCP2.6. Pour le scénario d'émissions moyennes à élevées (RCP6.0).</w:t>
      </w:r>
    </w:p>
    <w:p w14:paraId="7341C5D6" w14:textId="77777777" w:rsidR="008F2269" w:rsidRPr="00866D54" w:rsidRDefault="008F2269" w:rsidP="008F2269">
      <w:pPr>
        <w:pStyle w:val="Paragraphedeliste"/>
        <w:numPr>
          <w:ilvl w:val="0"/>
          <w:numId w:val="119"/>
        </w:numPr>
        <w:suppressAutoHyphens/>
        <w:autoSpaceDN w:val="0"/>
        <w:spacing w:line="240" w:lineRule="auto"/>
        <w:textAlignment w:val="baseline"/>
        <w:rPr>
          <w:rFonts w:cstheme="minorHAnsi"/>
          <w:b/>
          <w:bCs/>
        </w:rPr>
      </w:pPr>
      <w:r w:rsidRPr="00866D54">
        <w:rPr>
          <w:rFonts w:cstheme="minorHAnsi"/>
          <w:b/>
          <w:bCs/>
        </w:rPr>
        <w:t>Journées très chaudes</w:t>
      </w:r>
    </w:p>
    <w:p w14:paraId="3D4F862C" w14:textId="77777777" w:rsidR="008F2269" w:rsidRDefault="008F2269" w:rsidP="008F2269">
      <w:pPr>
        <w:pStyle w:val="Paragraphedeliste"/>
        <w:jc w:val="both"/>
        <w:rPr>
          <w:rFonts w:cstheme="minorHAnsi"/>
        </w:rPr>
      </w:pPr>
      <w:r w:rsidRPr="00421CCD">
        <w:rPr>
          <w:rFonts w:cstheme="minorHAnsi"/>
        </w:rPr>
        <w:t>Parallèlement à la hausse des températures annuelles moyennes, le nombre de journées très chaudes par an (journées durant lesquelles la température maximale d</w:t>
      </w:r>
      <w:r>
        <w:rPr>
          <w:rFonts w:cstheme="minorHAnsi"/>
        </w:rPr>
        <w:t>épasse 35 °C) devrait augmenter.</w:t>
      </w:r>
      <w:r w:rsidRPr="00421CCD">
        <w:rPr>
          <w:rFonts w:cstheme="minorHAnsi"/>
        </w:rPr>
        <w:t xml:space="preserve"> En vertu du scénario des émissions moyennes à élevées RCP6.0, la médiane de l'ensemble multi-modèles (moyenne sur l'ensemble du pays) prévoit 18 journées très chaudes supplémentaires par an en 2030 par rapport à 2000, 27 en 2050 et 49 en 2080. Dans certaines parties du pays, particulièrement dans le sud-ouest de la Mauritanie, ceci équivaut à environ 300 journées très chaudes par an d'ici à 2080.</w:t>
      </w:r>
    </w:p>
    <w:p w14:paraId="2EDB2153" w14:textId="77777777" w:rsidR="008F2269" w:rsidRPr="00421CCD" w:rsidRDefault="008F2269" w:rsidP="008F2269">
      <w:pPr>
        <w:pStyle w:val="Paragraphedeliste"/>
        <w:jc w:val="both"/>
        <w:rPr>
          <w:rFonts w:cstheme="minorHAnsi"/>
        </w:rPr>
      </w:pPr>
    </w:p>
    <w:p w14:paraId="279A30BD" w14:textId="77777777" w:rsidR="008F2269" w:rsidRPr="00866D54" w:rsidRDefault="008F2269" w:rsidP="008F2269">
      <w:pPr>
        <w:pStyle w:val="Paragraphedeliste"/>
        <w:numPr>
          <w:ilvl w:val="0"/>
          <w:numId w:val="119"/>
        </w:numPr>
        <w:suppressAutoHyphens/>
        <w:autoSpaceDN w:val="0"/>
        <w:spacing w:line="240" w:lineRule="auto"/>
        <w:textAlignment w:val="baseline"/>
        <w:rPr>
          <w:rFonts w:cstheme="minorHAnsi"/>
          <w:b/>
          <w:bCs/>
        </w:rPr>
      </w:pPr>
      <w:r w:rsidRPr="00866D54">
        <w:rPr>
          <w:rFonts w:cstheme="minorHAnsi"/>
          <w:b/>
          <w:bCs/>
        </w:rPr>
        <w:t>Elévation du niveau de la mer</w:t>
      </w:r>
    </w:p>
    <w:p w14:paraId="614C965A" w14:textId="77777777" w:rsidR="008F2269" w:rsidRDefault="008F2269" w:rsidP="008F2269">
      <w:pPr>
        <w:pStyle w:val="Paragraphedeliste"/>
        <w:jc w:val="both"/>
        <w:rPr>
          <w:rFonts w:cstheme="minorHAnsi"/>
        </w:rPr>
      </w:pPr>
      <w:r w:rsidRPr="00421CCD">
        <w:rPr>
          <w:rFonts w:cstheme="minorHAnsi"/>
        </w:rPr>
        <w:t>Suite à la hausse des températures dans le monde, le niveau de la mer devrait augmenter a</w:t>
      </w:r>
      <w:r>
        <w:rPr>
          <w:rFonts w:cstheme="minorHAnsi"/>
        </w:rPr>
        <w:t xml:space="preserve">u large des côtes de Mauritanie. </w:t>
      </w:r>
      <w:r w:rsidRPr="00421CCD">
        <w:rPr>
          <w:rFonts w:cstheme="minorHAnsi"/>
        </w:rPr>
        <w:t>Jusqu’en 2050, les deux scénarios considérés prévoient des niveaux similaires de la mer. En vertu du RCP6.0, la médiane des modèles climatiques prévoit une montée du niveau de la mer de 10 cm en 2030, de 19 cm en 2050 et de 36 cm en 2080 par rapport aux niveaux de 2000. Cette augmentation présente une menace pour les communautés côtières de Mauritanie et pourrait entraîner l’intrusion d’eau salée dans les voies navigables côtières et le</w:t>
      </w:r>
      <w:r>
        <w:rPr>
          <w:rFonts w:cstheme="minorHAnsi"/>
        </w:rPr>
        <w:t>s réservoirs d'eau souterraine.</w:t>
      </w:r>
    </w:p>
    <w:p w14:paraId="5230F6C7" w14:textId="77777777" w:rsidR="008F2269" w:rsidRPr="00866D54" w:rsidRDefault="008F2269" w:rsidP="008F2269">
      <w:pPr>
        <w:pStyle w:val="Paragraphedeliste"/>
        <w:numPr>
          <w:ilvl w:val="0"/>
          <w:numId w:val="119"/>
        </w:numPr>
        <w:suppressAutoHyphens/>
        <w:autoSpaceDN w:val="0"/>
        <w:spacing w:line="240" w:lineRule="auto"/>
        <w:jc w:val="both"/>
        <w:textAlignment w:val="baseline"/>
        <w:rPr>
          <w:rFonts w:cstheme="minorHAnsi"/>
          <w:b/>
          <w:bCs/>
        </w:rPr>
      </w:pPr>
      <w:r w:rsidRPr="00866D54">
        <w:rPr>
          <w:rFonts w:cstheme="minorHAnsi"/>
          <w:b/>
          <w:bCs/>
        </w:rPr>
        <w:t>Précipitations</w:t>
      </w:r>
    </w:p>
    <w:p w14:paraId="3B780257" w14:textId="77777777" w:rsidR="008F2269" w:rsidRPr="00421CCD" w:rsidRDefault="008F2269" w:rsidP="008F2269">
      <w:pPr>
        <w:pStyle w:val="Paragraphedeliste"/>
        <w:jc w:val="both"/>
        <w:rPr>
          <w:rFonts w:cstheme="minorHAnsi"/>
        </w:rPr>
      </w:pPr>
      <w:r w:rsidRPr="00421CCD">
        <w:rPr>
          <w:rFonts w:cstheme="minorHAnsi"/>
        </w:rPr>
        <w:t>Les projections des précipitations sont moins certaines que les projections des températures en raison de la variabilité naturel</w:t>
      </w:r>
      <w:r>
        <w:rPr>
          <w:rFonts w:cstheme="minorHAnsi"/>
        </w:rPr>
        <w:t>le élevée d'une année à l'autre.</w:t>
      </w:r>
      <w:r w:rsidRPr="00421CCD">
        <w:rPr>
          <w:rFonts w:cstheme="minorHAnsi"/>
        </w:rPr>
        <w:t xml:space="preserve"> Parmi les quatre modèles climatiques sur lesquels s'appuie cette analyse, deux modèles ne prévoient aucun changement des précipitations annuelles moyennes en Mauritanie, et deux modèles prévoient une baisse en vertu du RCP6.0. En vertu du RCP2.6, un modèle prévoit une augmentation, un autre une baisse, et deux modèles aucun changement. La médiane des projections des modèles pour RCP2.6 montre une légère hausse des précipitations de 6 mm par an d’ici à 2080, tandis que la médiane des projections des modèles pour RCP6.0 indique une baisse des précipitations de 11 mm d’ici à 2080 par rapport à l’année 2000.</w:t>
      </w:r>
    </w:p>
    <w:p w14:paraId="05FE997A" w14:textId="77777777" w:rsidR="008F2269" w:rsidRPr="00866D54" w:rsidRDefault="008F2269" w:rsidP="008F2269">
      <w:pPr>
        <w:pStyle w:val="Paragraphedeliste"/>
        <w:numPr>
          <w:ilvl w:val="0"/>
          <w:numId w:val="119"/>
        </w:numPr>
        <w:suppressAutoHyphens/>
        <w:autoSpaceDN w:val="0"/>
        <w:spacing w:line="240" w:lineRule="auto"/>
        <w:jc w:val="both"/>
        <w:textAlignment w:val="baseline"/>
        <w:rPr>
          <w:rFonts w:cstheme="minorHAnsi"/>
          <w:b/>
          <w:bCs/>
        </w:rPr>
      </w:pPr>
      <w:r w:rsidRPr="00866D54">
        <w:rPr>
          <w:rFonts w:cstheme="minorHAnsi"/>
          <w:b/>
          <w:bCs/>
        </w:rPr>
        <w:t>Fortes Précipitations</w:t>
      </w:r>
    </w:p>
    <w:p w14:paraId="135296F1" w14:textId="77777777" w:rsidR="008F2269" w:rsidRPr="00421CCD" w:rsidRDefault="008F2269" w:rsidP="008F2269">
      <w:pPr>
        <w:pStyle w:val="Paragraphedeliste"/>
        <w:jc w:val="both"/>
        <w:rPr>
          <w:rFonts w:cstheme="minorHAnsi"/>
        </w:rPr>
      </w:pPr>
      <w:r w:rsidRPr="00421CCD">
        <w:rPr>
          <w:rFonts w:cstheme="minorHAnsi"/>
        </w:rPr>
        <w:t xml:space="preserve">En réaction au réchauffement climatique, les épisodes de fortes précipitations devraient redoubler d'intensité dans de nombreuses parties du monde sachant que, </w:t>
      </w:r>
      <w:r>
        <w:rPr>
          <w:rFonts w:cstheme="minorHAnsi"/>
        </w:rPr>
        <w:t>lorsque l'atmosp</w:t>
      </w:r>
      <w:r w:rsidRPr="00421CCD">
        <w:rPr>
          <w:rFonts w:cstheme="minorHAnsi"/>
        </w:rPr>
        <w:t>hère est plus chaude, sa capacité de rétention de vapeur d'eau augmente. Le nombre de journées de fortes précipitations devrait également augmenter. Toutefois, cette tendance ne se retrouve pas dans les projections climatiques pour la Mauritanie, les modèles climatiques prévoyant une baisse du nombre de jours de fortes précipitations, de 7 jours par an en 2000 à 6 jours par an en 2080 en vertu du RCP6.0. En vertu du RCP2.6, aucun changement n’est prévu.</w:t>
      </w:r>
    </w:p>
    <w:p w14:paraId="6275692D" w14:textId="77777777" w:rsidR="008F2269" w:rsidRPr="00866D54" w:rsidRDefault="008F2269" w:rsidP="008F2269">
      <w:pPr>
        <w:pStyle w:val="Paragraphedeliste"/>
        <w:numPr>
          <w:ilvl w:val="0"/>
          <w:numId w:val="119"/>
        </w:numPr>
        <w:suppressAutoHyphens/>
        <w:autoSpaceDN w:val="0"/>
        <w:spacing w:line="240" w:lineRule="auto"/>
        <w:jc w:val="both"/>
        <w:textAlignment w:val="baseline"/>
        <w:rPr>
          <w:rFonts w:cstheme="minorHAnsi"/>
          <w:b/>
          <w:bCs/>
        </w:rPr>
      </w:pPr>
      <w:r w:rsidRPr="00866D54">
        <w:rPr>
          <w:rFonts w:cstheme="minorHAnsi"/>
          <w:b/>
          <w:bCs/>
        </w:rPr>
        <w:t>Humidité du sol</w:t>
      </w:r>
    </w:p>
    <w:p w14:paraId="4D50C414" w14:textId="77777777" w:rsidR="008F2269" w:rsidRPr="00421CCD" w:rsidRDefault="008F2269" w:rsidP="008F2269">
      <w:pPr>
        <w:pStyle w:val="Paragraphedeliste"/>
        <w:jc w:val="both"/>
        <w:rPr>
          <w:rFonts w:cstheme="minorHAnsi"/>
        </w:rPr>
      </w:pPr>
      <w:r w:rsidRPr="00421CCD">
        <w:rPr>
          <w:rFonts w:cstheme="minorHAnsi"/>
        </w:rPr>
        <w:t xml:space="preserve">L'humidité du sol est un indicateur important de sécheresse. Outre les paramètres du sol, cet indicateur dépend à la fois des précipitations et de l'évapotranspiration et, donc, aussi de la température puisque la hausse des températures entraîne une augmentation de l'évapotranspiration potentielle. La moyenne annuelle des projections d'humidité du sol sur 1 mètre pour la Mauritanie montre une hausse minimale en vertu du RCP2.6 et une baisse de 5 % en vertu du RCP6.0 d’ici à 2080 par rapport à l’année 2000 </w:t>
      </w:r>
      <w:r>
        <w:rPr>
          <w:rFonts w:cstheme="minorHAnsi"/>
        </w:rPr>
        <w:t xml:space="preserve"> </w:t>
      </w:r>
      <w:r w:rsidRPr="00421CCD">
        <w:rPr>
          <w:rFonts w:cstheme="minorHAnsi"/>
        </w:rPr>
        <w:t xml:space="preserve"> Cependant, si l’on observe les différents modèles sur lesquels s’appuie cette analyse, on note une variabilité élevée d’une année à l’autre et une incertitude de modélisation, certains modèles prévoyant une augmentation et d’autres prévoyant une baisse de l’humidité du sol. Une tendance claire n’a donc pas pu être identifiée.</w:t>
      </w:r>
    </w:p>
    <w:p w14:paraId="2E7F2036" w14:textId="77777777" w:rsidR="008F2269" w:rsidRPr="00866D54" w:rsidRDefault="008F2269" w:rsidP="008F2269">
      <w:pPr>
        <w:pStyle w:val="Paragraphedeliste"/>
        <w:numPr>
          <w:ilvl w:val="0"/>
          <w:numId w:val="119"/>
        </w:numPr>
        <w:suppressAutoHyphens/>
        <w:autoSpaceDN w:val="0"/>
        <w:spacing w:line="240" w:lineRule="auto"/>
        <w:jc w:val="both"/>
        <w:textAlignment w:val="baseline"/>
        <w:rPr>
          <w:rFonts w:cstheme="minorHAnsi"/>
          <w:b/>
          <w:bCs/>
        </w:rPr>
      </w:pPr>
      <w:r w:rsidRPr="00866D54">
        <w:rPr>
          <w:rFonts w:cstheme="minorHAnsi"/>
          <w:b/>
          <w:bCs/>
        </w:rPr>
        <w:t>Évapotranspiration potentielle</w:t>
      </w:r>
    </w:p>
    <w:p w14:paraId="5E039580" w14:textId="77777777" w:rsidR="008F2269" w:rsidRPr="00421CCD" w:rsidRDefault="008F2269" w:rsidP="008F2269">
      <w:pPr>
        <w:pStyle w:val="Paragraphedeliste"/>
        <w:jc w:val="both"/>
        <w:rPr>
          <w:rFonts w:cstheme="minorHAnsi"/>
        </w:rPr>
      </w:pPr>
      <w:r w:rsidRPr="00421CCD">
        <w:rPr>
          <w:rFonts w:cstheme="minorHAnsi"/>
        </w:rPr>
        <w:t>L'évapotranspiration potentielle est la quantité d'eau qui s'évaporerait si les ressources en eaux de surface et en eaux souterraines étaient suffisantes. Sachant que l'air, lorsqu'il est plus chaud, contient davantage de vapeur d'eau, le réchauffement climatique devrait entraîner une augmentation de l'évapotranspiration potentielle dans la plupart des régions du monde.</w:t>
      </w:r>
    </w:p>
    <w:p w14:paraId="4A8B4031" w14:textId="77777777" w:rsidR="008F2269" w:rsidRPr="00421CCD" w:rsidRDefault="008F2269" w:rsidP="008F2269">
      <w:pPr>
        <w:pStyle w:val="Paragraphedeliste"/>
        <w:jc w:val="both"/>
        <w:rPr>
          <w:rFonts w:cstheme="minorHAnsi"/>
        </w:rPr>
      </w:pPr>
      <w:r w:rsidRPr="00421CCD">
        <w:rPr>
          <w:rFonts w:cstheme="minorHAnsi"/>
        </w:rPr>
        <w:t xml:space="preserve">Conformément à ces prévisions, les projections hydrologiques de la Mauritanie prévoient une hausse plus forte de l'évapotranspiration potentielle en vertu du RCP6.0 qu'en vertu du RCP2.6 </w:t>
      </w:r>
      <w:r>
        <w:rPr>
          <w:rFonts w:cstheme="minorHAnsi"/>
        </w:rPr>
        <w:t>En</w:t>
      </w:r>
      <w:r w:rsidRPr="00421CCD">
        <w:rPr>
          <w:rFonts w:cstheme="minorHAnsi"/>
        </w:rPr>
        <w:t xml:space="preserve"> vertu du RCP6.0, l'évapotranspiration potentielle augmenterait de 2,3 % en 2030, de 3,6 % en 2050 et de 6,2 % en 2080 par rapport aux niveaux de 2000.</w:t>
      </w:r>
    </w:p>
    <w:p w14:paraId="5B2A78D5" w14:textId="77777777" w:rsidR="008F2269" w:rsidRPr="00090C68" w:rsidRDefault="008F2269" w:rsidP="00090C68">
      <w:pPr>
        <w:pStyle w:val="Titre2"/>
        <w:rPr>
          <w:rFonts w:asciiTheme="minorHAnsi" w:hAnsiTheme="minorHAnsi" w:cstheme="minorHAnsi"/>
          <w:b/>
          <w:bCs/>
          <w:color w:val="auto"/>
          <w:kern w:val="0"/>
          <w:sz w:val="22"/>
          <w:szCs w:val="22"/>
          <w14:ligatures w14:val="none"/>
        </w:rPr>
      </w:pPr>
      <w:r w:rsidRPr="00090C68">
        <w:rPr>
          <w:rFonts w:asciiTheme="minorHAnsi" w:hAnsiTheme="minorHAnsi" w:cstheme="minorHAnsi"/>
          <w:b/>
          <w:bCs/>
          <w:color w:val="auto"/>
          <w:kern w:val="0"/>
          <w:sz w:val="22"/>
          <w:szCs w:val="22"/>
          <w14:ligatures w14:val="none"/>
        </w:rPr>
        <w:t xml:space="preserve">  </w:t>
      </w:r>
      <w:bookmarkStart w:id="183" w:name="_Toc180318701"/>
      <w:r w:rsidRPr="00090C68">
        <w:rPr>
          <w:rFonts w:asciiTheme="minorHAnsi" w:hAnsiTheme="minorHAnsi" w:cstheme="minorHAnsi"/>
          <w:b/>
          <w:bCs/>
          <w:color w:val="auto"/>
          <w:kern w:val="0"/>
          <w:sz w:val="22"/>
          <w:szCs w:val="22"/>
          <w14:ligatures w14:val="none"/>
        </w:rPr>
        <w:t>8.2 Evaluation des risques du changement climatique prévues par secteur.</w:t>
      </w:r>
      <w:bookmarkEnd w:id="183"/>
    </w:p>
    <w:p w14:paraId="076A65D7" w14:textId="77777777" w:rsidR="008F2269" w:rsidRDefault="008F2269" w:rsidP="008F2269">
      <w:pPr>
        <w:rPr>
          <w:rFonts w:cstheme="minorHAnsi"/>
        </w:rPr>
      </w:pPr>
      <w:r w:rsidRPr="00421CCD">
        <w:rPr>
          <w:rFonts w:cstheme="minorHAnsi"/>
        </w:rPr>
        <w:t xml:space="preserve"> Selon Agrica</w:t>
      </w:r>
      <w:r>
        <w:rPr>
          <w:rFonts w:cstheme="minorHAnsi"/>
        </w:rPr>
        <w:t xml:space="preserve"> </w:t>
      </w:r>
      <w:r w:rsidRPr="00421CCD">
        <w:rPr>
          <w:rFonts w:cstheme="minorHAnsi"/>
        </w:rPr>
        <w:t>2021, les changements climatiques prévus</w:t>
      </w:r>
      <w:r>
        <w:rPr>
          <w:rFonts w:cstheme="minorHAnsi"/>
        </w:rPr>
        <w:t xml:space="preserve"> par secteur </w:t>
      </w:r>
      <w:r w:rsidRPr="00421CCD">
        <w:rPr>
          <w:rFonts w:cstheme="minorHAnsi"/>
        </w:rPr>
        <w:t>sont comme suivis :</w:t>
      </w:r>
    </w:p>
    <w:p w14:paraId="5D93A744" w14:textId="77777777" w:rsidR="008F2269" w:rsidRPr="00FD50C9" w:rsidRDefault="008F2269" w:rsidP="008F2269">
      <w:pPr>
        <w:spacing w:after="120"/>
        <w:rPr>
          <w:rFonts w:cstheme="minorHAnsi"/>
          <w:b/>
          <w:bCs/>
        </w:rPr>
      </w:pPr>
      <w:r w:rsidRPr="00FD50C9">
        <w:rPr>
          <w:rFonts w:cstheme="minorHAnsi"/>
          <w:b/>
          <w:bCs/>
        </w:rPr>
        <w:t>Ressources en eau</w:t>
      </w:r>
    </w:p>
    <w:p w14:paraId="0484D504" w14:textId="77777777" w:rsidR="008F2269" w:rsidRDefault="008F2269" w:rsidP="008F2269">
      <w:pPr>
        <w:jc w:val="both"/>
        <w:rPr>
          <w:rFonts w:cstheme="minorHAnsi"/>
        </w:rPr>
      </w:pPr>
      <w:r w:rsidRPr="00421CCD">
        <w:rPr>
          <w:rFonts w:cstheme="minorHAnsi"/>
        </w:rPr>
        <w:t>Les projections actuelles de di</w:t>
      </w:r>
      <w:r>
        <w:rPr>
          <w:rFonts w:cstheme="minorHAnsi"/>
        </w:rPr>
        <w:t xml:space="preserve">sponibilité en eau en Mauritanie </w:t>
      </w:r>
      <w:r w:rsidRPr="00421CCD">
        <w:rPr>
          <w:rFonts w:cstheme="minorHAnsi"/>
        </w:rPr>
        <w:t>présentent de fortes incertitudes dans les deux scénario</w:t>
      </w:r>
      <w:r>
        <w:rPr>
          <w:rFonts w:cstheme="minorHAnsi"/>
        </w:rPr>
        <w:t>s d’émis</w:t>
      </w:r>
      <w:r w:rsidRPr="00421CCD">
        <w:rPr>
          <w:rFonts w:cstheme="minorHAnsi"/>
        </w:rPr>
        <w:t>sions de GES. En partant de l'hypothèse d'un niveau de population</w:t>
      </w:r>
      <w:r>
        <w:rPr>
          <w:rFonts w:cstheme="minorHAnsi"/>
        </w:rPr>
        <w:t xml:space="preserve"> </w:t>
      </w:r>
      <w:r w:rsidRPr="00421CCD">
        <w:rPr>
          <w:rFonts w:cstheme="minorHAnsi"/>
        </w:rPr>
        <w:t>constant, la médiane des projections de l'ensemble multi-modèles</w:t>
      </w:r>
      <w:r>
        <w:rPr>
          <w:rFonts w:cstheme="minorHAnsi"/>
        </w:rPr>
        <w:t xml:space="preserve">  </w:t>
      </w:r>
      <w:r w:rsidRPr="00421CCD">
        <w:rPr>
          <w:rFonts w:cstheme="minorHAnsi"/>
        </w:rPr>
        <w:t>suggère qu</w:t>
      </w:r>
      <w:r>
        <w:rPr>
          <w:rFonts w:cstheme="minorHAnsi"/>
        </w:rPr>
        <w:t>e la disponibilité de l'eau par habitant  en Maurita</w:t>
      </w:r>
      <w:r w:rsidRPr="00421CCD">
        <w:rPr>
          <w:rFonts w:cstheme="minorHAnsi"/>
        </w:rPr>
        <w:t>nie ne changerait que légèrement d'ici à la fin du siècle quel que</w:t>
      </w:r>
      <w:r>
        <w:rPr>
          <w:rFonts w:cstheme="minorHAnsi"/>
        </w:rPr>
        <w:t xml:space="preserve"> </w:t>
      </w:r>
      <w:r w:rsidRPr="00421CCD">
        <w:rPr>
          <w:rFonts w:cstheme="minorHAnsi"/>
        </w:rPr>
        <w:t>soit le scénario En revanche, si l'on tient compte de</w:t>
      </w:r>
      <w:r>
        <w:rPr>
          <w:rFonts w:cstheme="minorHAnsi"/>
        </w:rPr>
        <w:t xml:space="preserve"> </w:t>
      </w:r>
      <w:r w:rsidRPr="00421CCD">
        <w:rPr>
          <w:rFonts w:cstheme="minorHAnsi"/>
        </w:rPr>
        <w:t>la croissance démographique telle qu'elle est estimée dans les</w:t>
      </w:r>
      <w:r>
        <w:rPr>
          <w:rFonts w:cstheme="minorHAnsi"/>
        </w:rPr>
        <w:t xml:space="preserve"> </w:t>
      </w:r>
      <w:r w:rsidRPr="00421CCD">
        <w:rPr>
          <w:rFonts w:cstheme="minorHAnsi"/>
        </w:rPr>
        <w:t>projections</w:t>
      </w:r>
      <w:r>
        <w:rPr>
          <w:rFonts w:cstheme="minorHAnsi"/>
        </w:rPr>
        <w:t xml:space="preserve"> </w:t>
      </w:r>
      <w:r w:rsidRPr="00421CCD">
        <w:rPr>
          <w:rFonts w:cstheme="minorHAnsi"/>
        </w:rPr>
        <w:t xml:space="preserve"> SSP2, la dispo</w:t>
      </w:r>
      <w:r>
        <w:rPr>
          <w:rFonts w:cstheme="minorHAnsi"/>
        </w:rPr>
        <w:t>nibilité de l'eau par habitant</w:t>
      </w:r>
      <w:r w:rsidRPr="00421CCD">
        <w:rPr>
          <w:rFonts w:cstheme="minorHAnsi"/>
        </w:rPr>
        <w:t xml:space="preserve"> en</w:t>
      </w:r>
      <w:r>
        <w:rPr>
          <w:rFonts w:cstheme="minorHAnsi"/>
        </w:rPr>
        <w:t xml:space="preserve"> </w:t>
      </w:r>
      <w:r w:rsidRPr="00421CCD">
        <w:rPr>
          <w:rFonts w:cstheme="minorHAnsi"/>
        </w:rPr>
        <w:t>Mauritanie devrait baisser de 71 % en vertu du RCP2.6 et de 77 %</w:t>
      </w:r>
      <w:r>
        <w:rPr>
          <w:rFonts w:cstheme="minorHAnsi"/>
        </w:rPr>
        <w:t xml:space="preserve"> </w:t>
      </w:r>
      <w:r w:rsidRPr="00421CCD">
        <w:rPr>
          <w:rFonts w:cstheme="minorHAnsi"/>
        </w:rPr>
        <w:t>en vertu du RCP6.0 d'ici à 208</w:t>
      </w:r>
      <w:r>
        <w:rPr>
          <w:rFonts w:cstheme="minorHAnsi"/>
        </w:rPr>
        <w:t>0 par rapport à l'année 2000.</w:t>
      </w:r>
    </w:p>
    <w:p w14:paraId="76ECB0D9" w14:textId="77777777" w:rsidR="008F2269" w:rsidRPr="00421CCD" w:rsidRDefault="008F2269" w:rsidP="008F2269">
      <w:pPr>
        <w:jc w:val="both"/>
        <w:rPr>
          <w:rFonts w:cstheme="minorHAnsi"/>
        </w:rPr>
      </w:pPr>
      <w:r w:rsidRPr="00421CCD">
        <w:rPr>
          <w:rFonts w:cstheme="minorHAnsi"/>
        </w:rPr>
        <w:t>Même si ce déclin est principalement dû à la croissance</w:t>
      </w:r>
      <w:r>
        <w:rPr>
          <w:rFonts w:cstheme="minorHAnsi"/>
        </w:rPr>
        <w:t xml:space="preserve"> </w:t>
      </w:r>
      <w:r w:rsidRPr="00421CCD">
        <w:rPr>
          <w:rFonts w:cstheme="minorHAnsi"/>
        </w:rPr>
        <w:t>démographique et non au changement climatique, il souligne</w:t>
      </w:r>
      <w:r>
        <w:rPr>
          <w:rFonts w:cstheme="minorHAnsi"/>
        </w:rPr>
        <w:t xml:space="preserve"> </w:t>
      </w:r>
      <w:r w:rsidRPr="00421CCD">
        <w:rPr>
          <w:rFonts w:cstheme="minorHAnsi"/>
        </w:rPr>
        <w:t>combien il est urgent d'investir dans des mesures et technologies</w:t>
      </w:r>
      <w:r>
        <w:rPr>
          <w:rFonts w:cstheme="minorHAnsi"/>
        </w:rPr>
        <w:t xml:space="preserve"> </w:t>
      </w:r>
      <w:r w:rsidRPr="00421CCD">
        <w:rPr>
          <w:rFonts w:cstheme="minorHAnsi"/>
        </w:rPr>
        <w:t>d'économie d'eau pour la consommation future au-delà de 2030.</w:t>
      </w:r>
    </w:p>
    <w:p w14:paraId="71497016" w14:textId="77777777" w:rsidR="008F2269" w:rsidRDefault="008F2269" w:rsidP="008F2269">
      <w:pPr>
        <w:jc w:val="both"/>
        <w:rPr>
          <w:rFonts w:cstheme="minorHAnsi"/>
        </w:rPr>
      </w:pPr>
      <w:r w:rsidRPr="00421CCD">
        <w:rPr>
          <w:rFonts w:cstheme="minorHAnsi"/>
        </w:rPr>
        <w:t>Les projections de disponibilité de l'eau de pluie varient en</w:t>
      </w:r>
      <w:r>
        <w:rPr>
          <w:rFonts w:cstheme="minorHAnsi"/>
        </w:rPr>
        <w:t xml:space="preserve"> </w:t>
      </w:r>
      <w:r w:rsidRPr="00421CCD">
        <w:rPr>
          <w:rFonts w:cstheme="minorHAnsi"/>
        </w:rPr>
        <w:t>fonction de la région et du scénario</w:t>
      </w:r>
      <w:r>
        <w:rPr>
          <w:rFonts w:cstheme="minorHAnsi"/>
        </w:rPr>
        <w:t>.</w:t>
      </w:r>
      <w:r w:rsidRPr="00421CCD">
        <w:rPr>
          <w:rFonts w:cstheme="minorHAnsi"/>
        </w:rPr>
        <w:t xml:space="preserve"> Conformément</w:t>
      </w:r>
      <w:r>
        <w:rPr>
          <w:rFonts w:cstheme="minorHAnsi"/>
        </w:rPr>
        <w:t xml:space="preserve"> </w:t>
      </w:r>
      <w:r w:rsidRPr="00421CCD">
        <w:rPr>
          <w:rFonts w:cstheme="minorHAnsi"/>
        </w:rPr>
        <w:t>aux projections relatives aux précipitations, la disponibilité de</w:t>
      </w:r>
      <w:r>
        <w:rPr>
          <w:rFonts w:cstheme="minorHAnsi"/>
        </w:rPr>
        <w:t xml:space="preserve"> </w:t>
      </w:r>
      <w:r w:rsidRPr="00421CCD">
        <w:rPr>
          <w:rFonts w:cstheme="minorHAnsi"/>
        </w:rPr>
        <w:t>l'eau devrait augmenter dans des parties de l’ouest, du centre</w:t>
      </w:r>
      <w:r>
        <w:rPr>
          <w:rFonts w:cstheme="minorHAnsi"/>
        </w:rPr>
        <w:t xml:space="preserve"> </w:t>
      </w:r>
      <w:r w:rsidRPr="00421CCD">
        <w:rPr>
          <w:rFonts w:cstheme="minorHAnsi"/>
        </w:rPr>
        <w:t>et du nord-est de la Mauritanie en vertu du RCP2.6. Cependant,</w:t>
      </w:r>
      <w:r>
        <w:rPr>
          <w:rFonts w:cstheme="minorHAnsi"/>
        </w:rPr>
        <w:t xml:space="preserve"> </w:t>
      </w:r>
      <w:r w:rsidRPr="00421CCD">
        <w:rPr>
          <w:rFonts w:cstheme="minorHAnsi"/>
        </w:rPr>
        <w:t>en vertu du RCP6.0, les modèles concordent peu concernant les</w:t>
      </w:r>
      <w:r>
        <w:rPr>
          <w:rFonts w:cstheme="minorHAnsi"/>
        </w:rPr>
        <w:t xml:space="preserve"> </w:t>
      </w:r>
      <w:r w:rsidRPr="00421CCD">
        <w:rPr>
          <w:rFonts w:cstheme="minorHAnsi"/>
        </w:rPr>
        <w:t>baisses de précipitations de près de 30 % prévues pour le sud de</w:t>
      </w:r>
      <w:r>
        <w:rPr>
          <w:rFonts w:cstheme="minorHAnsi"/>
        </w:rPr>
        <w:t xml:space="preserve"> </w:t>
      </w:r>
      <w:r w:rsidRPr="00421CCD">
        <w:rPr>
          <w:rFonts w:cstheme="minorHAnsi"/>
        </w:rPr>
        <w:t>la Mauritanie. L’augmentation de la disponibilité de l'eau prévue</w:t>
      </w:r>
      <w:r>
        <w:rPr>
          <w:rFonts w:cstheme="minorHAnsi"/>
        </w:rPr>
        <w:t xml:space="preserve"> </w:t>
      </w:r>
      <w:r w:rsidRPr="00421CCD">
        <w:rPr>
          <w:rFonts w:cstheme="minorHAnsi"/>
        </w:rPr>
        <w:t>en vertu du RCP2.6 est basée sur l’hypothèse d’un niveau de</w:t>
      </w:r>
      <w:r>
        <w:rPr>
          <w:rFonts w:cstheme="minorHAnsi"/>
        </w:rPr>
        <w:t xml:space="preserve"> </w:t>
      </w:r>
      <w:r w:rsidRPr="00421CCD">
        <w:rPr>
          <w:rFonts w:cstheme="minorHAnsi"/>
        </w:rPr>
        <w:t>population constant. Ainsi, les mesures d'économie d'eau vont</w:t>
      </w:r>
      <w:r>
        <w:rPr>
          <w:rFonts w:cstheme="minorHAnsi"/>
        </w:rPr>
        <w:t xml:space="preserve"> </w:t>
      </w:r>
      <w:r w:rsidRPr="00421CCD">
        <w:rPr>
          <w:rFonts w:cstheme="minorHAnsi"/>
        </w:rPr>
        <w:t>devenir de plus en plus importa</w:t>
      </w:r>
      <w:r>
        <w:rPr>
          <w:rFonts w:cstheme="minorHAnsi"/>
        </w:rPr>
        <w:t>ntes pour la population maurita</w:t>
      </w:r>
      <w:r w:rsidRPr="00421CCD">
        <w:rPr>
          <w:rFonts w:cstheme="minorHAnsi"/>
        </w:rPr>
        <w:t>nienne qui connaît une croissance rapid</w:t>
      </w:r>
      <w:r>
        <w:rPr>
          <w:rFonts w:cstheme="minorHAnsi"/>
        </w:rPr>
        <w:t xml:space="preserve">e </w:t>
      </w:r>
      <w:r w:rsidRPr="00A93B8F">
        <w:rPr>
          <w:rFonts w:cstheme="minorHAnsi"/>
        </w:rPr>
        <w:t>La Mauritanie est soumise à de fortes variations saisonnières et</w:t>
      </w:r>
      <w:r>
        <w:rPr>
          <w:rFonts w:cstheme="minorHAnsi"/>
        </w:rPr>
        <w:t xml:space="preserve"> </w:t>
      </w:r>
      <w:r w:rsidRPr="00A93B8F">
        <w:rPr>
          <w:rFonts w:cstheme="minorHAnsi"/>
        </w:rPr>
        <w:t>annuelles des précipitations a</w:t>
      </w:r>
      <w:r>
        <w:rPr>
          <w:rFonts w:cstheme="minorHAnsi"/>
        </w:rPr>
        <w:t>insi qu’à des sécheresses récur</w:t>
      </w:r>
      <w:r w:rsidRPr="00A93B8F">
        <w:rPr>
          <w:rFonts w:cstheme="minorHAnsi"/>
        </w:rPr>
        <w:t>rentes, ce qui constitue des problème</w:t>
      </w:r>
      <w:r>
        <w:rPr>
          <w:rFonts w:cstheme="minorHAnsi"/>
        </w:rPr>
        <w:t xml:space="preserve">s majeurs pour la production agricole. </w:t>
      </w:r>
    </w:p>
    <w:p w14:paraId="295DF48E" w14:textId="77777777" w:rsidR="008F2269" w:rsidRDefault="008F2269" w:rsidP="008F2269">
      <w:pPr>
        <w:jc w:val="both"/>
        <w:rPr>
          <w:rFonts w:cstheme="minorHAnsi"/>
        </w:rPr>
      </w:pPr>
      <w:r w:rsidRPr="00A93B8F">
        <w:rPr>
          <w:rFonts w:cstheme="minorHAnsi"/>
        </w:rPr>
        <w:t>Le pays a été frappé par des sécheresses</w:t>
      </w:r>
      <w:r>
        <w:rPr>
          <w:rFonts w:cstheme="minorHAnsi"/>
        </w:rPr>
        <w:t xml:space="preserve"> </w:t>
      </w:r>
      <w:r w:rsidRPr="00A93B8F">
        <w:rPr>
          <w:rFonts w:cstheme="minorHAnsi"/>
        </w:rPr>
        <w:t xml:space="preserve">répétées dans les années 1970 </w:t>
      </w:r>
      <w:r>
        <w:rPr>
          <w:rFonts w:cstheme="minorHAnsi"/>
        </w:rPr>
        <w:t xml:space="preserve">et 1980 alors que les précipitations déclinaient. </w:t>
      </w:r>
      <w:r w:rsidRPr="00A93B8F">
        <w:rPr>
          <w:rFonts w:cstheme="minorHAnsi"/>
        </w:rPr>
        <w:t>Cette baisse des précipitations a entraîné</w:t>
      </w:r>
      <w:r>
        <w:rPr>
          <w:rFonts w:cstheme="minorHAnsi"/>
        </w:rPr>
        <w:t xml:space="preserve"> </w:t>
      </w:r>
      <w:r w:rsidRPr="00A93B8F">
        <w:rPr>
          <w:rFonts w:cstheme="minorHAnsi"/>
        </w:rPr>
        <w:t>une réduction massive des ressources en eau et de la végétation,</w:t>
      </w:r>
      <w:r>
        <w:rPr>
          <w:rFonts w:cstheme="minorHAnsi"/>
        </w:rPr>
        <w:t xml:space="preserve"> </w:t>
      </w:r>
      <w:r w:rsidRPr="00A93B8F">
        <w:rPr>
          <w:rFonts w:cstheme="minorHAnsi"/>
        </w:rPr>
        <w:t>aggravant la dégradation des terres et la désertification qui ont</w:t>
      </w:r>
      <w:r>
        <w:rPr>
          <w:rFonts w:cstheme="minorHAnsi"/>
        </w:rPr>
        <w:t xml:space="preserve"> </w:t>
      </w:r>
      <w:r w:rsidRPr="00A93B8F">
        <w:rPr>
          <w:rFonts w:cstheme="minorHAnsi"/>
        </w:rPr>
        <w:t>provoqué à leur tour la perte de terres cultivables et la réduction</w:t>
      </w:r>
      <w:r>
        <w:rPr>
          <w:rFonts w:cstheme="minorHAnsi"/>
        </w:rPr>
        <w:t xml:space="preserve"> </w:t>
      </w:r>
      <w:r w:rsidRPr="00A93B8F">
        <w:rPr>
          <w:rFonts w:cstheme="minorHAnsi"/>
        </w:rPr>
        <w:t>de la production agricole, ainsi que la perte des pâturages et</w:t>
      </w:r>
      <w:r>
        <w:rPr>
          <w:rFonts w:cstheme="minorHAnsi"/>
        </w:rPr>
        <w:t xml:space="preserve"> l’épuisement du bétail. </w:t>
      </w:r>
      <w:r w:rsidRPr="00A93B8F">
        <w:rPr>
          <w:rFonts w:cstheme="minorHAnsi"/>
        </w:rPr>
        <w:t>Les taux de pauvreté ont augmenté</w:t>
      </w:r>
      <w:r>
        <w:rPr>
          <w:rFonts w:cstheme="minorHAnsi"/>
        </w:rPr>
        <w:t xml:space="preserve"> </w:t>
      </w:r>
      <w:r w:rsidRPr="00A93B8F">
        <w:rPr>
          <w:rFonts w:cstheme="minorHAnsi"/>
        </w:rPr>
        <w:t>en flèche au sein des communautés rurales déjà vulnérables et</w:t>
      </w:r>
      <w:r>
        <w:rPr>
          <w:rFonts w:cstheme="minorHAnsi"/>
        </w:rPr>
        <w:t xml:space="preserve"> </w:t>
      </w:r>
      <w:r w:rsidRPr="00A93B8F">
        <w:rPr>
          <w:rFonts w:cstheme="minorHAnsi"/>
        </w:rPr>
        <w:t>entraîné un exode de mas</w:t>
      </w:r>
      <w:r>
        <w:rPr>
          <w:rFonts w:cstheme="minorHAnsi"/>
        </w:rPr>
        <w:t>se vers les centres urbains</w:t>
      </w:r>
      <w:r w:rsidRPr="00A93B8F">
        <w:rPr>
          <w:rFonts w:cstheme="minorHAnsi"/>
        </w:rPr>
        <w:t>. Alors</w:t>
      </w:r>
      <w:r>
        <w:rPr>
          <w:rFonts w:cstheme="minorHAnsi"/>
        </w:rPr>
        <w:t xml:space="preserve"> </w:t>
      </w:r>
      <w:r w:rsidRPr="00A93B8F">
        <w:rPr>
          <w:rFonts w:cstheme="minorHAnsi"/>
        </w:rPr>
        <w:t>qu’en 1980 27 % seulement de la population mauritanienne était</w:t>
      </w:r>
      <w:r>
        <w:rPr>
          <w:rFonts w:cstheme="minorHAnsi"/>
        </w:rPr>
        <w:t xml:space="preserve"> </w:t>
      </w:r>
      <w:r w:rsidRPr="00A93B8F">
        <w:rPr>
          <w:rFonts w:cstheme="minorHAnsi"/>
        </w:rPr>
        <w:t>urbaine, ce taux a plus que doublé pour atteindre 55 % en 2019</w:t>
      </w:r>
      <w:r>
        <w:rPr>
          <w:rFonts w:cstheme="minorHAnsi"/>
        </w:rPr>
        <w:t xml:space="preserve"> entre</w:t>
      </w:r>
      <w:r w:rsidRPr="00A93B8F">
        <w:rPr>
          <w:rFonts w:cstheme="minorHAnsi"/>
        </w:rPr>
        <w:t xml:space="preserve"> agriculteurs / agri</w:t>
      </w:r>
      <w:r>
        <w:rPr>
          <w:rFonts w:cstheme="minorHAnsi"/>
        </w:rPr>
        <w:t>culteurs et éleveurs / éleveur</w:t>
      </w:r>
      <w:r w:rsidRPr="00A93B8F">
        <w:rPr>
          <w:rFonts w:cstheme="minorHAnsi"/>
        </w:rPr>
        <w:t>s</w:t>
      </w:r>
      <w:r>
        <w:rPr>
          <w:rFonts w:cstheme="minorHAnsi"/>
        </w:rPr>
        <w:t>.</w:t>
      </w:r>
    </w:p>
    <w:p w14:paraId="147BA91B" w14:textId="77777777" w:rsidR="008F2269" w:rsidRPr="00421CCD" w:rsidRDefault="008F2269" w:rsidP="008F2269">
      <w:pPr>
        <w:jc w:val="both"/>
        <w:rPr>
          <w:rFonts w:cstheme="minorHAnsi"/>
        </w:rPr>
      </w:pPr>
      <w:r w:rsidRPr="00A93B8F">
        <w:rPr>
          <w:rFonts w:cstheme="minorHAnsi"/>
        </w:rPr>
        <w:t>Même si</w:t>
      </w:r>
      <w:r>
        <w:rPr>
          <w:rFonts w:cstheme="minorHAnsi"/>
        </w:rPr>
        <w:t xml:space="preserve"> </w:t>
      </w:r>
      <w:r w:rsidRPr="00A93B8F">
        <w:rPr>
          <w:rFonts w:cstheme="minorHAnsi"/>
        </w:rPr>
        <w:t>les quantités annuelles totales des précipitations ont à nouveau</w:t>
      </w:r>
      <w:r>
        <w:rPr>
          <w:rFonts w:cstheme="minorHAnsi"/>
        </w:rPr>
        <w:t xml:space="preserve"> </w:t>
      </w:r>
      <w:r w:rsidRPr="00A93B8F">
        <w:rPr>
          <w:rFonts w:cstheme="minorHAnsi"/>
        </w:rPr>
        <w:t>augmenté dans les années 1990, elles restent inférieures à la</w:t>
      </w:r>
      <w:r>
        <w:rPr>
          <w:rFonts w:cstheme="minorHAnsi"/>
        </w:rPr>
        <w:t xml:space="preserve"> </w:t>
      </w:r>
      <w:r w:rsidRPr="00A93B8F">
        <w:rPr>
          <w:rFonts w:cstheme="minorHAnsi"/>
        </w:rPr>
        <w:t xml:space="preserve">moyenne nationale du siècle </w:t>
      </w:r>
      <w:r>
        <w:rPr>
          <w:rFonts w:cstheme="minorHAnsi"/>
        </w:rPr>
        <w:t>passé avec les sécheresses ulté</w:t>
      </w:r>
      <w:r w:rsidRPr="00A93B8F">
        <w:rPr>
          <w:rFonts w:cstheme="minorHAnsi"/>
        </w:rPr>
        <w:t>rieures de</w:t>
      </w:r>
      <w:r>
        <w:rPr>
          <w:rFonts w:cstheme="minorHAnsi"/>
        </w:rPr>
        <w:t xml:space="preserve"> 2005, 2008, 2010 et 2012. </w:t>
      </w:r>
      <w:r w:rsidRPr="00A93B8F">
        <w:rPr>
          <w:rFonts w:cstheme="minorHAnsi"/>
        </w:rPr>
        <w:t>Dans l’ensemble,</w:t>
      </w:r>
      <w:r>
        <w:rPr>
          <w:rFonts w:cstheme="minorHAnsi"/>
        </w:rPr>
        <w:t xml:space="preserve"> </w:t>
      </w:r>
      <w:r w:rsidRPr="00A93B8F">
        <w:rPr>
          <w:rFonts w:cstheme="minorHAnsi"/>
        </w:rPr>
        <w:t>les ressources en eau douce de la Mauritanie sont distribuées de</w:t>
      </w:r>
      <w:r>
        <w:rPr>
          <w:rFonts w:cstheme="minorHAnsi"/>
        </w:rPr>
        <w:t xml:space="preserve"> </w:t>
      </w:r>
      <w:r w:rsidRPr="00A93B8F">
        <w:rPr>
          <w:rFonts w:cstheme="minorHAnsi"/>
        </w:rPr>
        <w:t>manière inégale, concentrées le long de la frontière sud, laissant</w:t>
      </w:r>
      <w:r>
        <w:rPr>
          <w:rFonts w:cstheme="minorHAnsi"/>
        </w:rPr>
        <w:t xml:space="preserve"> </w:t>
      </w:r>
      <w:r w:rsidRPr="00A93B8F">
        <w:rPr>
          <w:rFonts w:cstheme="minorHAnsi"/>
        </w:rPr>
        <w:t>la population croissante du pays en manque d’eau et en situation</w:t>
      </w:r>
      <w:r>
        <w:rPr>
          <w:rFonts w:cstheme="minorHAnsi"/>
        </w:rPr>
        <w:t xml:space="preserve"> </w:t>
      </w:r>
      <w:r w:rsidRPr="00A93B8F">
        <w:rPr>
          <w:rFonts w:cstheme="minorHAnsi"/>
        </w:rPr>
        <w:t>de rivalité par rapport à cette ressource limitée</w:t>
      </w:r>
    </w:p>
    <w:p w14:paraId="67132927" w14:textId="77777777" w:rsidR="008F2269" w:rsidRPr="00FD50C9" w:rsidRDefault="008F2269" w:rsidP="008F2269">
      <w:pPr>
        <w:rPr>
          <w:b/>
          <w:bCs/>
        </w:rPr>
      </w:pPr>
      <w:r w:rsidRPr="00FD50C9">
        <w:rPr>
          <w:b/>
          <w:bCs/>
        </w:rPr>
        <w:t>Agriculture</w:t>
      </w:r>
    </w:p>
    <w:p w14:paraId="651EADC9" w14:textId="77777777" w:rsidR="008F2269" w:rsidRDefault="008F2269" w:rsidP="008F2269">
      <w:pPr>
        <w:jc w:val="both"/>
      </w:pPr>
      <w:r>
        <w:t>Les petits (es) exploitants (es) mauritaniens (</w:t>
      </w:r>
      <w:proofErr w:type="spellStart"/>
      <w:r>
        <w:t>nes</w:t>
      </w:r>
      <w:proofErr w:type="spellEnd"/>
      <w:r>
        <w:t>) sont de plus en plus confrontés à l'incertitude et à la variabilité des conditions météorologiques qui résultent du changement climatique.</w:t>
      </w:r>
    </w:p>
    <w:p w14:paraId="64FDD215" w14:textId="77777777" w:rsidR="008F2269" w:rsidRDefault="008F2269" w:rsidP="008F2269">
      <w:pPr>
        <w:jc w:val="both"/>
      </w:pPr>
      <w:r>
        <w:t>Comme les cultures sont principalement pluviales, les rendements dépendent beaucoup de la disponibilité en eau de pluie, et elles sont sujettes à la sécheresse. Or, la durée et l'intensité de la saison des pluies sont de plus en plus imprévisibles, et la disponibilité et l'utilisation d'équipements d'irrigation restent limitées : en 2004, moins de 10 % du potentiel d’irrigation de 250 000 hectares, 0,6 % de l’ensemble des terres cultivées du pays était équipé de systèmes d’irrigation. La principale culture irriguée est le riz, outre le maïs, le sorgho et les légumes   Au centre et au nord de la Mauritanie en particulier, les sols sont sableux et pauvres en nutriments, ce qui complique l’irrigation et la production agricole.</w:t>
      </w:r>
    </w:p>
    <w:p w14:paraId="78715634" w14:textId="77777777" w:rsidR="008F2269" w:rsidRPr="00783536" w:rsidRDefault="008F2269" w:rsidP="008F2269">
      <w:pPr>
        <w:jc w:val="both"/>
        <w:rPr>
          <w:b/>
          <w:bCs/>
        </w:rPr>
      </w:pPr>
      <w:r w:rsidRPr="00783536">
        <w:rPr>
          <w:b/>
          <w:bCs/>
        </w:rPr>
        <w:t>Ecosystèmes</w:t>
      </w:r>
    </w:p>
    <w:p w14:paraId="2F04FC48" w14:textId="77777777" w:rsidR="008F2269" w:rsidRDefault="008F2269" w:rsidP="008F2269">
      <w:pPr>
        <w:jc w:val="both"/>
      </w:pPr>
      <w:r>
        <w:t>Le changement climatique devrait avoir une influence significative sur l'écologie et sur la distribution des écosystèmes tropicaux, même si l'ampleur, le niveau et l'orientation de ces changements sont incertains   Avec la hausse des températures et l'augmentation de la fréquence et de l'intensité des sécheresses, les zones humides et les réseaux fluviaux risquent de plus en plus d’être modifiés en d'autres écosystèmes, avec de nouvelles populations végétales et une perte d’habitat pour la faune. La hausse des températures et la recrudescence des épisodes de sécheresse pourraient également influencer le renouvellement des systèmes forestiers tout en augmentant le risque d'implantation d'espèces invasives, le tout au détriment des écosystèmes. Outre ces facteurs climatiques, la faible productivité agricole et la croissance démographique risquent de motiver l’expansion agricole qui se traduira par l’augmentation de la déforestation, de la dégradation des terres et des incendies de forêts, qui auront des impacts sur la biodiversité animale et végétale.</w:t>
      </w:r>
    </w:p>
    <w:p w14:paraId="6D4F2581" w14:textId="77777777" w:rsidR="008F2269" w:rsidRDefault="008F2269" w:rsidP="008F2269">
      <w:pPr>
        <w:jc w:val="both"/>
      </w:pPr>
      <w:proofErr w:type="spellStart"/>
      <w:proofErr w:type="gramStart"/>
      <w:r>
        <w:t>lI</w:t>
      </w:r>
      <w:proofErr w:type="spellEnd"/>
      <w:proofErr w:type="gramEnd"/>
      <w:r>
        <w:t xml:space="preserve"> est important de garder à l'esprit que les projections des modèles excluent les impacts des activités humaines sur la biodiversité telles que l'utilisation des terres, qui ont déjà causé des pertes de biodiversité significatives au niveau mondial et qui devraient en rester les principales responsables à l'avenir. Au cours des dernières années, la végétation de la Mauritanie a subi de nombreuses perturbations dues à la pression démographique et à la hausse de la demande en pâturages, en bois de feu et en terres agricoles, qui ont mené à des taux importants de déforestation. Le pays a perdu 86 000 ha de couvert forestier de 2001 à 2016, ce qui correspond à une baisse de 28 %.</w:t>
      </w:r>
    </w:p>
    <w:p w14:paraId="105EAD6B" w14:textId="77777777" w:rsidR="008F2269" w:rsidRPr="00FD50C9" w:rsidRDefault="008F2269" w:rsidP="008F2269">
      <w:pPr>
        <w:jc w:val="both"/>
        <w:rPr>
          <w:b/>
          <w:bCs/>
        </w:rPr>
      </w:pPr>
      <w:r w:rsidRPr="00FD50C9">
        <w:rPr>
          <w:b/>
          <w:bCs/>
        </w:rPr>
        <w:t>Infrastructure</w:t>
      </w:r>
      <w:r>
        <w:rPr>
          <w:b/>
          <w:bCs/>
        </w:rPr>
        <w:t>s</w:t>
      </w:r>
    </w:p>
    <w:p w14:paraId="1B2F968C" w14:textId="77777777" w:rsidR="008F2269" w:rsidRDefault="008F2269" w:rsidP="008F2269">
      <w:pPr>
        <w:jc w:val="both"/>
      </w:pPr>
      <w:r>
        <w:t>Le changement climatique devrait avoir un impact significatif sur les infrastructures de la Mauritanie à cause de la multiplication d'événements climatiques extrêmes. La hausse des précipitations peut entraîner l'inondation de routes, tandis que la hausse des températures peut provoquer des fissures et des dégradations plus rapides sur les routes, les ponts et les structures de protection. Cela nécessitera des réparations précoces et entraînera des frais d’entretien et de réparations plus élevés. La quasi-absence de transport de voyageurs par rail et le faible nombre d'installations aéroportuaires renforcent la dépendance de la Mauritanie à l'égard du transport routier. Le pays, qui dispose seulement de 2 743 km de routes pavées. Tandis que certaines routes deviennent impraticables durant la saison des pluies, isolant les villages et les communautés rurales, d’autres sont assombries par la dérive du sable durant la saison sèche. Il faudra donc investir dans des réseaux routiers résistants au climat et sûrs.</w:t>
      </w:r>
    </w:p>
    <w:p w14:paraId="0BAF46F0" w14:textId="77777777" w:rsidR="008F2269" w:rsidRDefault="008F2269" w:rsidP="008F2269">
      <w:pPr>
        <w:jc w:val="both"/>
      </w:pPr>
      <w:r>
        <w:t xml:space="preserve">Les épisodes météorologiques extrêmes ont également des effets dévastateurs sur les lieux d'implantation humaine et sur les sites de production économique, particulièrement dans les zones urbaines à forte densité de population comme Nouakchott et/ou Nouadhibou. Les lieux d'implantation humaine informels sont particulièrement vulnérables aux événements météorologiques extrêmes : les habitations de fortune sont souvent bâties dans des lieux géographiques instables, comme les pentes abruptes ou les berges des fleuves, où les inondations peuvent entraîner la destruction des habitations, la contamination de l'eau, des blessures ou des décès. Leurs habitants (es) ont généralement </w:t>
      </w:r>
      <w:proofErr w:type="gramStart"/>
      <w:r>
        <w:t>une faible capacité</w:t>
      </w:r>
      <w:proofErr w:type="gramEnd"/>
      <w:r>
        <w:t xml:space="preserve"> d'adaptation à de tels événements en raison de leur niveau de pauvreté important et du manque d'infrastructures permettant de réduire les risques. Par exemple, les fortes précipitations durant la saison des pluies de 2019 ont provoqué des inondations dans la région de Guidimakha au sud de la Mauritanie, touchant 33 600 personnes. La ville de Sélibaby a été particulièrement touchée : les maisons, les marchés et les infrastructures ont été endommagés, et l’approvisionnement en eau et en énergie interrompu. Les inondations et les épisodes de sécheresse pèseront également sur la production d'hydroélectricité.</w:t>
      </w:r>
    </w:p>
    <w:p w14:paraId="5E412300" w14:textId="77777777" w:rsidR="008F2269" w:rsidRDefault="008F2269" w:rsidP="008F2269">
      <w:pPr>
        <w:jc w:val="both"/>
      </w:pPr>
      <w:r>
        <w:t xml:space="preserve">Malgré la hausse probable du risque de détérioration des infrastructures, il est difficile de prévoir avec précision le lieu exact et l'ampleur de l'exposition à de tels phénomènes. Par exemple, les projections de crue des fleuves sont sujettes à un niveau d'incertitude important, largement lié à l'incertitude qui entoure les projections de précipitations et leur distribution spatiale, et donc les épisodes d'inondations.  </w:t>
      </w:r>
    </w:p>
    <w:p w14:paraId="03E8B196" w14:textId="77777777" w:rsidR="008F2269" w:rsidRDefault="008F2269" w:rsidP="008F2269">
      <w:pPr>
        <w:jc w:val="both"/>
      </w:pPr>
      <w:r>
        <w:t>Face à la forte augmentation de l'exposition du PIB aux vagues de chaleur d’environ 6 % en 2000 à 25 % (RCP2.6) et 35 % (RCP6.0) d’ici à 2080, il est recommandé aux planificateurs des politiques publiques de commencer à identifier les activités et les sites de production économique sensibles à la chaleur et à intégrer des stratégies d'adaptation au changement climatique, par exemple, des systèmes de refroidissement solaires améliorés, des matériaux  d'isolation « toit froid » ou le passage au travail de nuit .</w:t>
      </w:r>
    </w:p>
    <w:p w14:paraId="10F18144" w14:textId="77777777" w:rsidR="008F2269" w:rsidRPr="00227122" w:rsidRDefault="008F2269" w:rsidP="008F2269">
      <w:pPr>
        <w:pStyle w:val="Default"/>
        <w:contextualSpacing/>
        <w:jc w:val="both"/>
        <w:rPr>
          <w:rFonts w:asciiTheme="minorHAnsi" w:hAnsiTheme="minorHAnsi" w:cstheme="minorHAnsi"/>
          <w:b/>
          <w:bCs/>
          <w:color w:val="auto"/>
          <w:sz w:val="22"/>
          <w:szCs w:val="22"/>
        </w:rPr>
      </w:pPr>
      <w:r w:rsidRPr="00227122">
        <w:rPr>
          <w:rFonts w:asciiTheme="minorHAnsi" w:hAnsiTheme="minorHAnsi" w:cstheme="minorHAnsi"/>
          <w:b/>
          <w:bCs/>
          <w:color w:val="auto"/>
          <w:sz w:val="22"/>
          <w:szCs w:val="22"/>
        </w:rPr>
        <w:t>Santé humaine</w:t>
      </w:r>
    </w:p>
    <w:p w14:paraId="1BF8C2E8" w14:textId="77777777" w:rsidR="008F2269" w:rsidRPr="00CB4DFF" w:rsidRDefault="008F2269" w:rsidP="008F2269">
      <w:pPr>
        <w:pStyle w:val="Default"/>
        <w:contextualSpacing/>
        <w:jc w:val="both"/>
        <w:rPr>
          <w:rFonts w:asciiTheme="minorHAnsi" w:hAnsiTheme="minorHAnsi" w:cstheme="minorHAnsi"/>
          <w:color w:val="auto"/>
          <w:sz w:val="22"/>
          <w:szCs w:val="22"/>
        </w:rPr>
      </w:pPr>
      <w:r w:rsidRPr="00CB4DFF">
        <w:rPr>
          <w:rFonts w:asciiTheme="minorHAnsi" w:hAnsiTheme="minorHAnsi" w:cstheme="minorHAnsi"/>
          <w:color w:val="auto"/>
          <w:sz w:val="22"/>
          <w:szCs w:val="22"/>
        </w:rPr>
        <w:t>Le changement climatique menace le secteur de la santé et de</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l'assainissement en raison de la fréquence accrue des vagues de</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chaleur, des inondations, des sécheresses et des tempêtes. Les</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principaux enjeux sanitaires en Mauritanie sont la morbidité et la</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mortalité résultant des maladies à vecteur telles que le paludisme,</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des maladies d'origine hydri</w:t>
      </w:r>
      <w:r>
        <w:rPr>
          <w:rFonts w:asciiTheme="minorHAnsi" w:hAnsiTheme="minorHAnsi" w:cstheme="minorHAnsi"/>
          <w:color w:val="auto"/>
          <w:sz w:val="22"/>
          <w:szCs w:val="22"/>
        </w:rPr>
        <w:t>que liées à des événements météo</w:t>
      </w:r>
      <w:r w:rsidRPr="00CB4DFF">
        <w:rPr>
          <w:rFonts w:asciiTheme="minorHAnsi" w:hAnsiTheme="minorHAnsi" w:cstheme="minorHAnsi"/>
          <w:color w:val="auto"/>
          <w:sz w:val="22"/>
          <w:szCs w:val="22"/>
        </w:rPr>
        <w:t>rologiques extrêmes (inondations, etc.) telles que la diarrhée et</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le choléra, ainsi que des maladies respiratoires, de la tuberculose</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 xml:space="preserve">et du SIDA </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 xml:space="preserve"> Le changement climatique pourrait avoir des</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répercussions sur l'approvisionnement en nourriture et en eau,</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qui pourraient accroître le risque de malnutrition, de famine et</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des décès qui y sont liés. Beaucoup de ces problèmes risquent</w:t>
      </w:r>
      <w:r>
        <w:rPr>
          <w:rFonts w:asciiTheme="minorHAnsi" w:hAnsiTheme="minorHAnsi" w:cstheme="minorHAnsi"/>
          <w:color w:val="auto"/>
          <w:sz w:val="22"/>
          <w:szCs w:val="22"/>
        </w:rPr>
        <w:t xml:space="preserve"> de </w:t>
      </w:r>
      <w:r w:rsidRPr="00CB4DFF">
        <w:rPr>
          <w:rFonts w:asciiTheme="minorHAnsi" w:hAnsiTheme="minorHAnsi" w:cstheme="minorHAnsi"/>
          <w:color w:val="auto"/>
          <w:sz w:val="22"/>
          <w:szCs w:val="22"/>
        </w:rPr>
        <w:t>s’aggraver sous l’effet du changement climatique. D’après</w:t>
      </w:r>
      <w:r>
        <w:rPr>
          <w:rFonts w:asciiTheme="minorHAnsi" w:hAnsiTheme="minorHAnsi" w:cstheme="minorHAnsi"/>
          <w:color w:val="auto"/>
          <w:sz w:val="22"/>
          <w:szCs w:val="22"/>
        </w:rPr>
        <w:t>. L</w:t>
      </w:r>
      <w:r w:rsidRPr="00CB4DFF">
        <w:rPr>
          <w:rFonts w:asciiTheme="minorHAnsi" w:hAnsiTheme="minorHAnsi" w:cstheme="minorHAnsi"/>
          <w:color w:val="auto"/>
          <w:sz w:val="22"/>
          <w:szCs w:val="22"/>
        </w:rPr>
        <w:t>’OMS, on estime à 174 000 le nombre de cas de paludisme en</w:t>
      </w:r>
      <w:r>
        <w:rPr>
          <w:rFonts w:asciiTheme="minorHAnsi" w:hAnsiTheme="minorHAnsi" w:cstheme="minorHAnsi"/>
          <w:color w:val="auto"/>
          <w:sz w:val="22"/>
          <w:szCs w:val="22"/>
        </w:rPr>
        <w:t xml:space="preserve"> Mauritanie en 2018. </w:t>
      </w:r>
      <w:r w:rsidRPr="00CB4DFF">
        <w:rPr>
          <w:rFonts w:asciiTheme="minorHAnsi" w:hAnsiTheme="minorHAnsi" w:cstheme="minorHAnsi"/>
          <w:color w:val="auto"/>
          <w:sz w:val="22"/>
          <w:szCs w:val="22"/>
        </w:rPr>
        <w:t>Le changement climatique devrait avoir</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un impact sur les périodes de transmission du paludisme et la</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portée géographique des maladies à vecteur : en Mauritanie, le</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risque de paludisme devrait décliner en raison de la hausse des</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températures</w:t>
      </w:r>
      <w:r>
        <w:rPr>
          <w:rFonts w:asciiTheme="minorHAnsi" w:hAnsiTheme="minorHAnsi" w:cstheme="minorHAnsi"/>
          <w:color w:val="auto"/>
          <w:sz w:val="22"/>
          <w:szCs w:val="22"/>
        </w:rPr>
        <w:t>.</w:t>
      </w:r>
      <w:r w:rsidRPr="00CB4DFF">
        <w:rPr>
          <w:rFonts w:asciiTheme="minorHAnsi" w:hAnsiTheme="minorHAnsi" w:cstheme="minorHAnsi"/>
          <w:color w:val="auto"/>
          <w:sz w:val="22"/>
          <w:szCs w:val="22"/>
        </w:rPr>
        <w:t xml:space="preserve"> Cependant, certaines régions risquent d’y être</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plus vulnérables notamment à cause de la fréquence accrue des</w:t>
      </w:r>
      <w:r>
        <w:rPr>
          <w:rFonts w:asciiTheme="minorHAnsi" w:hAnsiTheme="minorHAnsi" w:cstheme="minorHAnsi"/>
          <w:color w:val="auto"/>
          <w:sz w:val="22"/>
          <w:szCs w:val="22"/>
        </w:rPr>
        <w:t xml:space="preserve"> inondations</w:t>
      </w:r>
      <w:r w:rsidRPr="00CB4DFF">
        <w:rPr>
          <w:rFonts w:asciiTheme="minorHAnsi" w:hAnsiTheme="minorHAnsi" w:cstheme="minorHAnsi"/>
          <w:color w:val="auto"/>
          <w:sz w:val="22"/>
          <w:szCs w:val="22"/>
        </w:rPr>
        <w:t>. Le changement climatique menace également</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la sécurité alimentaire, entraînant un risque de malnutrition, en</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particulier pour les agriculteurs et agricultrices de subsistance.</w:t>
      </w:r>
    </w:p>
    <w:p w14:paraId="3159F069" w14:textId="77777777" w:rsidR="008F2269" w:rsidRDefault="008F2269" w:rsidP="008F2269">
      <w:pPr>
        <w:pStyle w:val="Default"/>
        <w:contextualSpacing/>
        <w:jc w:val="both"/>
        <w:rPr>
          <w:rFonts w:asciiTheme="minorHAnsi" w:hAnsiTheme="minorHAnsi" w:cstheme="minorHAnsi"/>
          <w:color w:val="auto"/>
          <w:sz w:val="22"/>
          <w:szCs w:val="22"/>
        </w:rPr>
      </w:pPr>
      <w:r w:rsidRPr="00CB4DFF">
        <w:rPr>
          <w:rFonts w:asciiTheme="minorHAnsi" w:hAnsiTheme="minorHAnsi" w:cstheme="minorHAnsi"/>
          <w:color w:val="auto"/>
          <w:sz w:val="22"/>
          <w:szCs w:val="22"/>
        </w:rPr>
        <w:t>La malnutrition chronique est généralement élevée (19,6 %) et</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pourrait augmenter à cause des conséquences liées à la pandémie</w:t>
      </w:r>
      <w:r>
        <w:rPr>
          <w:rFonts w:asciiTheme="minorHAnsi" w:hAnsiTheme="minorHAnsi" w:cstheme="minorHAnsi"/>
          <w:color w:val="auto"/>
          <w:sz w:val="22"/>
          <w:szCs w:val="22"/>
        </w:rPr>
        <w:t xml:space="preserve"> de COVID-19. </w:t>
      </w:r>
      <w:r w:rsidRPr="00CB4DFF">
        <w:rPr>
          <w:rFonts w:asciiTheme="minorHAnsi" w:hAnsiTheme="minorHAnsi" w:cstheme="minorHAnsi"/>
          <w:color w:val="auto"/>
          <w:sz w:val="22"/>
          <w:szCs w:val="22"/>
        </w:rPr>
        <w:t>D’après l’OMS, plus de 900 000 personnes ont</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été confrontées à l’insécurité alimentaire en juin 2020, ce qui</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représente une hausse de 48 % en six mois</w:t>
      </w:r>
      <w:r>
        <w:rPr>
          <w:rFonts w:asciiTheme="minorHAnsi" w:hAnsiTheme="minorHAnsi" w:cstheme="minorHAnsi"/>
          <w:color w:val="auto"/>
          <w:sz w:val="22"/>
          <w:szCs w:val="22"/>
        </w:rPr>
        <w:t>.</w:t>
      </w:r>
      <w:r w:rsidRPr="00CB4DFF">
        <w:rPr>
          <w:rFonts w:asciiTheme="minorHAnsi" w:hAnsiTheme="minorHAnsi" w:cstheme="minorHAnsi"/>
          <w:color w:val="auto"/>
          <w:sz w:val="22"/>
          <w:szCs w:val="22"/>
        </w:rPr>
        <w:t xml:space="preserve"> </w:t>
      </w:r>
    </w:p>
    <w:p w14:paraId="6268B379" w14:textId="77777777" w:rsidR="008F2269" w:rsidRPr="00CB4DFF" w:rsidRDefault="008F2269" w:rsidP="008F2269">
      <w:pPr>
        <w:pStyle w:val="Default"/>
        <w:contextualSpacing/>
        <w:jc w:val="both"/>
        <w:rPr>
          <w:rFonts w:asciiTheme="minorHAnsi" w:hAnsiTheme="minorHAnsi" w:cstheme="minorHAnsi"/>
          <w:color w:val="auto"/>
          <w:sz w:val="22"/>
          <w:szCs w:val="22"/>
        </w:rPr>
      </w:pPr>
      <w:r w:rsidRPr="00CB4DFF">
        <w:rPr>
          <w:rFonts w:asciiTheme="minorHAnsi" w:hAnsiTheme="minorHAnsi" w:cstheme="minorHAnsi"/>
          <w:color w:val="auto"/>
          <w:sz w:val="22"/>
          <w:szCs w:val="22"/>
        </w:rPr>
        <w:t>La hausse des températures entraînera une fréquence accrue des</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vagues de chaleur en Mauritanie et donc une recrudescence de</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la mortalité associée à la chaleur. En vertu du RCP6.0, la part de</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la population affectée par au moins une vague de chaleur par an</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devrait augmenter, passan</w:t>
      </w:r>
      <w:r>
        <w:rPr>
          <w:rFonts w:asciiTheme="minorHAnsi" w:hAnsiTheme="minorHAnsi" w:cstheme="minorHAnsi"/>
          <w:color w:val="auto"/>
          <w:sz w:val="22"/>
          <w:szCs w:val="22"/>
        </w:rPr>
        <w:t xml:space="preserve">t de 6 % en 2000 à 34 % en 2080. </w:t>
      </w:r>
      <w:r w:rsidRPr="00CB4DFF">
        <w:rPr>
          <w:rFonts w:asciiTheme="minorHAnsi" w:hAnsiTheme="minorHAnsi" w:cstheme="minorHAnsi"/>
          <w:color w:val="auto"/>
          <w:sz w:val="22"/>
          <w:szCs w:val="22"/>
        </w:rPr>
        <w:t>En outre, en vertu du RCP6.0, la mortalité liée à la chaleur</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risque d’être multipliée par plus de trois vers la fin du siècle par</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rapport aux niveaux de 2000, en passant de 2 à environ 7 décès</w:t>
      </w:r>
      <w:r>
        <w:rPr>
          <w:rFonts w:asciiTheme="minorHAnsi" w:hAnsiTheme="minorHAnsi" w:cstheme="minorHAnsi"/>
          <w:color w:val="auto"/>
          <w:sz w:val="22"/>
          <w:szCs w:val="22"/>
        </w:rPr>
        <w:t xml:space="preserve"> par an pour 100 000 habitants (e</w:t>
      </w:r>
      <w:r w:rsidRPr="00CB4DFF">
        <w:rPr>
          <w:rFonts w:asciiTheme="minorHAnsi" w:hAnsiTheme="minorHAnsi" w:cstheme="minorHAnsi"/>
          <w:color w:val="auto"/>
          <w:sz w:val="22"/>
          <w:szCs w:val="22"/>
        </w:rPr>
        <w:t>s</w:t>
      </w:r>
      <w:r>
        <w:rPr>
          <w:rFonts w:asciiTheme="minorHAnsi" w:hAnsiTheme="minorHAnsi" w:cstheme="minorHAnsi"/>
          <w:color w:val="auto"/>
          <w:sz w:val="22"/>
          <w:szCs w:val="22"/>
        </w:rPr>
        <w:t>)</w:t>
      </w:r>
      <w:r w:rsidRPr="00CB4DFF">
        <w:rPr>
          <w:rFonts w:asciiTheme="minorHAnsi" w:hAnsiTheme="minorHAnsi" w:cstheme="minorHAnsi"/>
          <w:color w:val="auto"/>
          <w:sz w:val="22"/>
          <w:szCs w:val="22"/>
        </w:rPr>
        <w:t xml:space="preserve"> d’ici à 2080, si aucune mesure</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d'adaptation aux conditions plus chaudes n'est pris</w:t>
      </w:r>
      <w:r>
        <w:rPr>
          <w:rFonts w:asciiTheme="minorHAnsi" w:hAnsiTheme="minorHAnsi" w:cstheme="minorHAnsi"/>
          <w:color w:val="auto"/>
          <w:sz w:val="22"/>
          <w:szCs w:val="22"/>
        </w:rPr>
        <w:t>e</w:t>
      </w:r>
      <w:r w:rsidRPr="00CB4DFF">
        <w:rPr>
          <w:rFonts w:asciiTheme="minorHAnsi" w:hAnsiTheme="minorHAnsi" w:cstheme="minorHAnsi"/>
          <w:color w:val="auto"/>
          <w:sz w:val="22"/>
          <w:szCs w:val="22"/>
        </w:rPr>
        <w:t>.</w:t>
      </w:r>
    </w:p>
    <w:p w14:paraId="65BA2629" w14:textId="77777777" w:rsidR="008F2269" w:rsidRDefault="008F2269" w:rsidP="008F2269">
      <w:pPr>
        <w:pStyle w:val="Default"/>
        <w:contextualSpacing/>
        <w:jc w:val="both"/>
        <w:rPr>
          <w:rFonts w:asciiTheme="minorHAnsi" w:hAnsiTheme="minorHAnsi" w:cstheme="minorHAnsi"/>
          <w:color w:val="auto"/>
          <w:sz w:val="22"/>
          <w:szCs w:val="22"/>
        </w:rPr>
      </w:pPr>
      <w:r w:rsidRPr="00CB4DFF">
        <w:rPr>
          <w:rFonts w:asciiTheme="minorHAnsi" w:hAnsiTheme="minorHAnsi" w:cstheme="minorHAnsi"/>
          <w:color w:val="auto"/>
          <w:sz w:val="22"/>
          <w:szCs w:val="22"/>
        </w:rPr>
        <w:t>En vertu du RCP2.6, la mortalité associée à la chaleur devrait</w:t>
      </w:r>
      <w:r>
        <w:rPr>
          <w:rFonts w:asciiTheme="minorHAnsi" w:hAnsiTheme="minorHAnsi" w:cstheme="minorHAnsi"/>
          <w:color w:val="auto"/>
          <w:sz w:val="22"/>
          <w:szCs w:val="22"/>
        </w:rPr>
        <w:t xml:space="preserve"> </w:t>
      </w:r>
      <w:r w:rsidRPr="00CB4DFF">
        <w:rPr>
          <w:rFonts w:asciiTheme="minorHAnsi" w:hAnsiTheme="minorHAnsi" w:cstheme="minorHAnsi"/>
          <w:color w:val="auto"/>
          <w:sz w:val="22"/>
          <w:szCs w:val="22"/>
        </w:rPr>
        <w:t>s’élever à 4 morts pour 100 00</w:t>
      </w:r>
      <w:r>
        <w:rPr>
          <w:rFonts w:asciiTheme="minorHAnsi" w:hAnsiTheme="minorHAnsi" w:cstheme="minorHAnsi"/>
          <w:color w:val="auto"/>
          <w:sz w:val="22"/>
          <w:szCs w:val="22"/>
        </w:rPr>
        <w:t>0 personnes par an d’ici à 2080</w:t>
      </w:r>
    </w:p>
    <w:p w14:paraId="3156E0BE" w14:textId="77777777" w:rsidR="008F2269" w:rsidRDefault="008F2269" w:rsidP="008F2269">
      <w:pPr>
        <w:pStyle w:val="Default"/>
        <w:contextualSpacing/>
        <w:jc w:val="both"/>
        <w:rPr>
          <w:rFonts w:asciiTheme="minorHAnsi" w:hAnsiTheme="minorHAnsi" w:cstheme="minorHAnsi"/>
          <w:color w:val="auto"/>
          <w:sz w:val="22"/>
          <w:szCs w:val="22"/>
        </w:rPr>
      </w:pPr>
    </w:p>
    <w:p w14:paraId="6CF89770" w14:textId="77777777" w:rsidR="008F2269" w:rsidRDefault="008F2269" w:rsidP="008F2269">
      <w:pPr>
        <w:pStyle w:val="Default"/>
        <w:contextualSpacing/>
        <w:jc w:val="both"/>
        <w:rPr>
          <w:rFonts w:asciiTheme="minorHAnsi" w:hAnsiTheme="minorHAnsi" w:cstheme="minorHAnsi"/>
          <w:color w:val="auto"/>
          <w:sz w:val="22"/>
          <w:szCs w:val="22"/>
        </w:rPr>
      </w:pPr>
    </w:p>
    <w:p w14:paraId="17D6894B" w14:textId="77777777" w:rsidR="008F2269" w:rsidRPr="00090C68" w:rsidRDefault="008F2269" w:rsidP="00090C68">
      <w:pPr>
        <w:pStyle w:val="Titre2"/>
        <w:rPr>
          <w:rFonts w:asciiTheme="minorHAnsi" w:hAnsiTheme="minorHAnsi" w:cstheme="minorHAnsi"/>
          <w:b/>
          <w:bCs/>
          <w:color w:val="auto"/>
          <w:sz w:val="22"/>
          <w:szCs w:val="22"/>
        </w:rPr>
      </w:pPr>
      <w:bookmarkStart w:id="184" w:name="_Toc57057452"/>
      <w:bookmarkStart w:id="185" w:name="_Toc57134615"/>
      <w:bookmarkStart w:id="186" w:name="_Toc180318702"/>
      <w:r w:rsidRPr="00090C68">
        <w:rPr>
          <w:rFonts w:asciiTheme="minorHAnsi" w:hAnsiTheme="minorHAnsi" w:cstheme="minorHAnsi"/>
          <w:b/>
          <w:bCs/>
          <w:color w:val="auto"/>
          <w:kern w:val="0"/>
          <w:sz w:val="22"/>
          <w:szCs w:val="22"/>
          <w14:ligatures w14:val="none"/>
        </w:rPr>
        <w:t>CONCLUSION ET RECOMMANDATIONS.</w:t>
      </w:r>
      <w:bookmarkEnd w:id="184"/>
      <w:bookmarkEnd w:id="185"/>
      <w:bookmarkEnd w:id="186"/>
    </w:p>
    <w:p w14:paraId="1C5DC16A" w14:textId="77777777" w:rsidR="008F2269" w:rsidRPr="00BE7A39" w:rsidRDefault="008F2269" w:rsidP="008F2269">
      <w:pPr>
        <w:pStyle w:val="Default"/>
        <w:spacing w:after="160" w:line="259" w:lineRule="auto"/>
        <w:jc w:val="both"/>
        <w:rPr>
          <w:rFonts w:asciiTheme="minorHAnsi" w:hAnsiTheme="minorHAnsi" w:cstheme="minorHAnsi"/>
          <w:color w:val="auto"/>
          <w:sz w:val="22"/>
          <w:szCs w:val="22"/>
        </w:rPr>
      </w:pPr>
      <w:bookmarkStart w:id="187" w:name="_Toc51854362"/>
      <w:bookmarkStart w:id="188" w:name="_Toc51930354"/>
      <w:r w:rsidRPr="00BE7A39">
        <w:rPr>
          <w:rFonts w:asciiTheme="minorHAnsi" w:hAnsiTheme="minorHAnsi" w:cstheme="minorHAnsi"/>
          <w:color w:val="auto"/>
          <w:sz w:val="22"/>
          <w:szCs w:val="22"/>
        </w:rPr>
        <w:t>En Mauritanie, les facteurs climatiques les plus fréquents dans le pays sont : les sécheresses récurrentes, les vagues de chaleur, l’augmentation des températures et les inondations subites dont certaines observées dans la zone désertique.</w:t>
      </w:r>
    </w:p>
    <w:p w14:paraId="53D1B7B4" w14:textId="77777777" w:rsidR="008F2269" w:rsidRDefault="008F2269" w:rsidP="008F2269">
      <w:pPr>
        <w:pStyle w:val="Default"/>
        <w:spacing w:after="160" w:line="259" w:lineRule="auto"/>
        <w:jc w:val="both"/>
        <w:rPr>
          <w:rFonts w:asciiTheme="minorHAnsi" w:hAnsiTheme="minorHAnsi" w:cstheme="minorHAnsi"/>
          <w:color w:val="auto"/>
          <w:sz w:val="22"/>
          <w:szCs w:val="22"/>
        </w:rPr>
      </w:pPr>
      <w:r w:rsidRPr="00BE7A39">
        <w:rPr>
          <w:rFonts w:asciiTheme="minorHAnsi" w:hAnsiTheme="minorHAnsi" w:cstheme="minorHAnsi"/>
          <w:color w:val="auto"/>
          <w:sz w:val="22"/>
          <w:szCs w:val="22"/>
        </w:rPr>
        <w:t>Les femmes, les enfants et les personnes âgées sont les plus exposés notamment en milieu rural et les bidonvilles où les conditions de vie sont difficiles : pauvreté, analphabétisme, insalubrité, habitats précaires.</w:t>
      </w:r>
    </w:p>
    <w:p w14:paraId="2F815713" w14:textId="77777777" w:rsidR="008F2269" w:rsidRPr="00BE7A39" w:rsidRDefault="008F2269" w:rsidP="008F2269">
      <w:pPr>
        <w:pStyle w:val="Default"/>
        <w:spacing w:after="160" w:line="259" w:lineRule="auto"/>
        <w:jc w:val="both"/>
        <w:rPr>
          <w:rFonts w:asciiTheme="minorHAnsi" w:hAnsiTheme="minorHAnsi" w:cstheme="minorHAnsi"/>
          <w:color w:val="auto"/>
          <w:sz w:val="22"/>
          <w:szCs w:val="22"/>
        </w:rPr>
      </w:pPr>
      <w:r w:rsidRPr="00D52309">
        <w:rPr>
          <w:rFonts w:asciiTheme="minorHAnsi" w:hAnsiTheme="minorHAnsi" w:cstheme="minorHAnsi"/>
          <w:color w:val="auto"/>
          <w:sz w:val="22"/>
          <w:szCs w:val="22"/>
        </w:rPr>
        <w:t>Indispensable à la survie des écosystèmes, de la biodiversité,</w:t>
      </w:r>
      <w:r>
        <w:rPr>
          <w:rFonts w:cstheme="minorHAnsi"/>
        </w:rPr>
        <w:t xml:space="preserve"> </w:t>
      </w:r>
      <w:r w:rsidRPr="00D52309">
        <w:rPr>
          <w:rFonts w:asciiTheme="minorHAnsi" w:hAnsiTheme="minorHAnsi" w:cstheme="minorHAnsi"/>
          <w:color w:val="auto"/>
          <w:sz w:val="22"/>
          <w:szCs w:val="22"/>
        </w:rPr>
        <w:t>de l’économie et de la société tout</w:t>
      </w:r>
      <w:r>
        <w:rPr>
          <w:rFonts w:asciiTheme="minorHAnsi" w:hAnsiTheme="minorHAnsi" w:cstheme="minorHAnsi"/>
          <w:color w:val="auto"/>
          <w:sz w:val="22"/>
          <w:szCs w:val="22"/>
        </w:rPr>
        <w:t>e</w:t>
      </w:r>
      <w:r>
        <w:rPr>
          <w:rFonts w:cstheme="minorHAnsi"/>
        </w:rPr>
        <w:t xml:space="preserve"> entière, l’eau douce est l’une </w:t>
      </w:r>
      <w:r w:rsidRPr="00D52309">
        <w:rPr>
          <w:rFonts w:asciiTheme="minorHAnsi" w:hAnsiTheme="minorHAnsi" w:cstheme="minorHAnsi"/>
          <w:color w:val="auto"/>
          <w:sz w:val="22"/>
          <w:szCs w:val="22"/>
        </w:rPr>
        <w:t>des ressources les plus précieuse</w:t>
      </w:r>
      <w:r>
        <w:rPr>
          <w:rFonts w:cstheme="minorHAnsi"/>
        </w:rPr>
        <w:t>s qui doit être gérée dans le cadre d’une approche GIRE entre les différentes parties prenantes.</w:t>
      </w:r>
    </w:p>
    <w:p w14:paraId="0FF62FD9" w14:textId="77777777" w:rsidR="008F2269" w:rsidRPr="00BE7A39" w:rsidRDefault="008F2269" w:rsidP="008F2269">
      <w:pPr>
        <w:jc w:val="both"/>
        <w:rPr>
          <w:rFonts w:cstheme="minorHAnsi"/>
        </w:rPr>
      </w:pPr>
      <w:r w:rsidRPr="00BE7A39">
        <w:rPr>
          <w:rFonts w:cstheme="minorHAnsi"/>
        </w:rPr>
        <w:t xml:space="preserve">Les différentes parties prenantes du </w:t>
      </w:r>
      <w:r>
        <w:rPr>
          <w:rFonts w:cstheme="minorHAnsi"/>
        </w:rPr>
        <w:t>processus CN5 d</w:t>
      </w:r>
      <w:r w:rsidRPr="00BE7A39">
        <w:rPr>
          <w:rFonts w:cstheme="minorHAnsi"/>
        </w:rPr>
        <w:t xml:space="preserve">oivent </w:t>
      </w:r>
      <w:r>
        <w:rPr>
          <w:rFonts w:cstheme="minorHAnsi"/>
        </w:rPr>
        <w:t xml:space="preserve">œuvrer en harmonie à moyen et </w:t>
      </w:r>
      <w:proofErr w:type="gramStart"/>
      <w:r>
        <w:rPr>
          <w:rFonts w:cstheme="minorHAnsi"/>
        </w:rPr>
        <w:t>long termes</w:t>
      </w:r>
      <w:proofErr w:type="gramEnd"/>
      <w:r>
        <w:rPr>
          <w:rFonts w:cstheme="minorHAnsi"/>
        </w:rPr>
        <w:t xml:space="preserve"> afin de </w:t>
      </w:r>
      <w:r w:rsidRPr="00BE7A39">
        <w:rPr>
          <w:rFonts w:cstheme="minorHAnsi"/>
        </w:rPr>
        <w:t>ma</w:t>
      </w:r>
      <w:r>
        <w:rPr>
          <w:rFonts w:cstheme="minorHAnsi"/>
        </w:rPr>
        <w:t>î</w:t>
      </w:r>
      <w:r w:rsidRPr="00BE7A39">
        <w:rPr>
          <w:rFonts w:cstheme="minorHAnsi"/>
        </w:rPr>
        <w:t xml:space="preserve">triser les différents cycles de la gestion </w:t>
      </w:r>
      <w:r>
        <w:rPr>
          <w:rFonts w:cstheme="minorHAnsi"/>
        </w:rPr>
        <w:t>des ressources en eau face aux enjeux du changement climatique.</w:t>
      </w:r>
    </w:p>
    <w:p w14:paraId="7296574B" w14:textId="77777777" w:rsidR="008F2269" w:rsidRDefault="008F2269" w:rsidP="008F2269">
      <w:pPr>
        <w:jc w:val="both"/>
        <w:rPr>
          <w:rFonts w:cstheme="minorHAnsi"/>
        </w:rPr>
      </w:pPr>
      <w:r>
        <w:rPr>
          <w:rFonts w:cstheme="minorHAnsi"/>
        </w:rPr>
        <w:t xml:space="preserve">En effet, les scenarii climatiques </w:t>
      </w:r>
      <w:r w:rsidRPr="00BE7A39">
        <w:rPr>
          <w:rFonts w:cstheme="minorHAnsi"/>
        </w:rPr>
        <w:t>indique</w:t>
      </w:r>
      <w:r>
        <w:rPr>
          <w:rFonts w:cstheme="minorHAnsi"/>
        </w:rPr>
        <w:t>nt</w:t>
      </w:r>
      <w:r w:rsidRPr="00BE7A39">
        <w:rPr>
          <w:rFonts w:cstheme="minorHAnsi"/>
        </w:rPr>
        <w:t xml:space="preserve"> une demande en eau </w:t>
      </w:r>
      <w:r>
        <w:rPr>
          <w:rFonts w:cstheme="minorHAnsi"/>
        </w:rPr>
        <w:t xml:space="preserve">élevée </w:t>
      </w:r>
      <w:r w:rsidRPr="00BE7A39">
        <w:rPr>
          <w:rFonts w:cstheme="minorHAnsi"/>
        </w:rPr>
        <w:t xml:space="preserve">et un risque de pollution </w:t>
      </w:r>
      <w:r>
        <w:rPr>
          <w:rFonts w:cstheme="minorHAnsi"/>
        </w:rPr>
        <w:t xml:space="preserve">accrue </w:t>
      </w:r>
      <w:r w:rsidRPr="00BE7A39">
        <w:rPr>
          <w:rFonts w:cstheme="minorHAnsi"/>
        </w:rPr>
        <w:t>par insuffisance d’assainissement</w:t>
      </w:r>
      <w:r>
        <w:rPr>
          <w:rFonts w:cstheme="minorHAnsi"/>
        </w:rPr>
        <w:t>.</w:t>
      </w:r>
      <w:r w:rsidRPr="00BE7A39">
        <w:rPr>
          <w:rFonts w:cstheme="minorHAnsi"/>
        </w:rPr>
        <w:t xml:space="preserve"> </w:t>
      </w:r>
      <w:r>
        <w:rPr>
          <w:rFonts w:cstheme="minorHAnsi"/>
        </w:rPr>
        <w:t>Aussi, l</w:t>
      </w:r>
      <w:r w:rsidRPr="00BE7A39">
        <w:rPr>
          <w:rFonts w:cstheme="minorHAnsi"/>
        </w:rPr>
        <w:t xml:space="preserve">a mobilisation du potentiel renouvelable annuellement de la ressource va devenir de plus en plus chère. </w:t>
      </w:r>
      <w:r>
        <w:rPr>
          <w:rFonts w:cstheme="minorHAnsi"/>
        </w:rPr>
        <w:t>Par conséquent, d</w:t>
      </w:r>
      <w:r w:rsidRPr="00BE7A39">
        <w:rPr>
          <w:rFonts w:cstheme="minorHAnsi"/>
        </w:rPr>
        <w:t>es mesures de réduction de la demande (technologies m</w:t>
      </w:r>
      <w:r>
        <w:rPr>
          <w:rFonts w:cstheme="minorHAnsi"/>
        </w:rPr>
        <w:t xml:space="preserve">oins consommatrice de l’eau), </w:t>
      </w:r>
      <w:r w:rsidRPr="00BE7A39">
        <w:rPr>
          <w:rFonts w:cstheme="minorHAnsi"/>
        </w:rPr>
        <w:t xml:space="preserve">de traitement et de recyclage des eaux usées sont fortement indiquées pour que l’eau reste une ressource de qualité et accessible </w:t>
      </w:r>
      <w:r>
        <w:rPr>
          <w:rFonts w:cstheme="minorHAnsi"/>
        </w:rPr>
        <w:t>à toute la population et à tous</w:t>
      </w:r>
      <w:r w:rsidRPr="00BE7A39">
        <w:rPr>
          <w:rFonts w:cstheme="minorHAnsi"/>
        </w:rPr>
        <w:t xml:space="preserve"> secteurs productifs</w:t>
      </w:r>
      <w:r>
        <w:rPr>
          <w:rFonts w:cstheme="minorHAnsi"/>
        </w:rPr>
        <w:t xml:space="preserve"> notamment</w:t>
      </w:r>
      <w:r w:rsidRPr="00BE7A39">
        <w:rPr>
          <w:rFonts w:cstheme="minorHAnsi"/>
        </w:rPr>
        <w:t>.</w:t>
      </w:r>
      <w:r>
        <w:rPr>
          <w:rFonts w:cstheme="minorHAnsi"/>
        </w:rPr>
        <w:t xml:space="preserve"> </w:t>
      </w:r>
    </w:p>
    <w:p w14:paraId="0C9FD2AF" w14:textId="77777777" w:rsidR="008F2269" w:rsidRPr="00D52309" w:rsidRDefault="008F2269" w:rsidP="008F2269">
      <w:pPr>
        <w:jc w:val="both"/>
        <w:rPr>
          <w:rFonts w:cstheme="minorHAnsi"/>
        </w:rPr>
      </w:pPr>
      <w:r w:rsidRPr="00D52309">
        <w:rPr>
          <w:rFonts w:cstheme="minorHAnsi"/>
        </w:rPr>
        <w:t>Les méthodes de gestion axées s</w:t>
      </w:r>
      <w:r>
        <w:rPr>
          <w:rFonts w:cstheme="minorHAnsi"/>
        </w:rPr>
        <w:t xml:space="preserve">ur l’analyse des risques et les </w:t>
      </w:r>
      <w:r w:rsidRPr="00D52309">
        <w:rPr>
          <w:rFonts w:cstheme="minorHAnsi"/>
        </w:rPr>
        <w:t>écosystèmes, qui garantissent la par</w:t>
      </w:r>
      <w:r>
        <w:rPr>
          <w:rFonts w:cstheme="minorHAnsi"/>
        </w:rPr>
        <w:t xml:space="preserve">ticipation éclairée et efficace </w:t>
      </w:r>
      <w:r w:rsidRPr="00D52309">
        <w:rPr>
          <w:rFonts w:cstheme="minorHAnsi"/>
        </w:rPr>
        <w:t>des personnes affectées, ouvren</w:t>
      </w:r>
      <w:r>
        <w:rPr>
          <w:rFonts w:cstheme="minorHAnsi"/>
        </w:rPr>
        <w:t xml:space="preserve">t la voie à des solutions dites </w:t>
      </w:r>
      <w:r w:rsidRPr="00D52309">
        <w:rPr>
          <w:rFonts w:cstheme="minorHAnsi"/>
        </w:rPr>
        <w:t>« à faibles regrets</w:t>
      </w:r>
      <w:r>
        <w:rPr>
          <w:rFonts w:cstheme="minorHAnsi"/>
        </w:rPr>
        <w:t xml:space="preserve"> </w:t>
      </w:r>
      <w:r w:rsidRPr="00D52309">
        <w:rPr>
          <w:rFonts w:cstheme="minorHAnsi"/>
        </w:rPr>
        <w:t>» ou «</w:t>
      </w:r>
      <w:r>
        <w:rPr>
          <w:rFonts w:cstheme="minorHAnsi"/>
        </w:rPr>
        <w:t xml:space="preserve"> </w:t>
      </w:r>
      <w:r w:rsidRPr="00D52309">
        <w:rPr>
          <w:rFonts w:cstheme="minorHAnsi"/>
        </w:rPr>
        <w:t>sans regrets</w:t>
      </w:r>
      <w:r>
        <w:rPr>
          <w:rFonts w:cstheme="minorHAnsi"/>
        </w:rPr>
        <w:t xml:space="preserve"> </w:t>
      </w:r>
      <w:r w:rsidRPr="00D52309">
        <w:rPr>
          <w:rFonts w:cstheme="minorHAnsi"/>
        </w:rPr>
        <w:t>»</w:t>
      </w:r>
      <w:r>
        <w:rPr>
          <w:rFonts w:cstheme="minorHAnsi"/>
        </w:rPr>
        <w:t xml:space="preserve">, adaptables en fonction </w:t>
      </w:r>
      <w:r w:rsidRPr="00D52309">
        <w:rPr>
          <w:rFonts w:cstheme="minorHAnsi"/>
        </w:rPr>
        <w:t>de l’évolution des conditions so</w:t>
      </w:r>
      <w:r>
        <w:rPr>
          <w:rFonts w:cstheme="minorHAnsi"/>
        </w:rPr>
        <w:t xml:space="preserve">us-jacentes. S’il est essentiel </w:t>
      </w:r>
      <w:r w:rsidRPr="00D52309">
        <w:rPr>
          <w:rFonts w:cstheme="minorHAnsi"/>
        </w:rPr>
        <w:t>de renforcer la capacité de r</w:t>
      </w:r>
      <w:r>
        <w:rPr>
          <w:rFonts w:cstheme="minorHAnsi"/>
        </w:rPr>
        <w:t xml:space="preserve">ésilience des écosystèmes d’eau </w:t>
      </w:r>
      <w:r w:rsidRPr="00D52309">
        <w:rPr>
          <w:rFonts w:cstheme="minorHAnsi"/>
        </w:rPr>
        <w:t>douce pour l’adaptation nécessa</w:t>
      </w:r>
      <w:r>
        <w:rPr>
          <w:rFonts w:cstheme="minorHAnsi"/>
        </w:rPr>
        <w:t xml:space="preserve">ire dès maintenant, c’est aussi </w:t>
      </w:r>
      <w:r w:rsidRPr="00D52309">
        <w:rPr>
          <w:rFonts w:cstheme="minorHAnsi"/>
        </w:rPr>
        <w:t xml:space="preserve">un impératif moral envers les </w:t>
      </w:r>
      <w:r>
        <w:rPr>
          <w:rFonts w:cstheme="minorHAnsi"/>
        </w:rPr>
        <w:t xml:space="preserve">générations futures qui ne sont </w:t>
      </w:r>
      <w:r w:rsidRPr="00D52309">
        <w:rPr>
          <w:rFonts w:cstheme="minorHAnsi"/>
        </w:rPr>
        <w:t>pas responsables de la crise climatique dont elles hériteront.</w:t>
      </w:r>
    </w:p>
    <w:p w14:paraId="6A622F8E" w14:textId="77777777" w:rsidR="008F2269" w:rsidRPr="00B525C1" w:rsidRDefault="008F2269" w:rsidP="008F2269">
      <w:pPr>
        <w:jc w:val="both"/>
        <w:rPr>
          <w:rFonts w:cstheme="minorHAnsi"/>
        </w:rPr>
      </w:pPr>
      <w:r>
        <w:rPr>
          <w:rFonts w:cstheme="minorHAnsi"/>
        </w:rPr>
        <w:t xml:space="preserve">A cet effet, différentes recommandations, qui touchent au renforcement des capacités, d’une part ; et au processus climat-ressources en eau, d’autre part ; s’articulent comme suit : </w:t>
      </w:r>
    </w:p>
    <w:p w14:paraId="53C74C54" w14:textId="77777777" w:rsidR="008F2269" w:rsidRPr="007C2FBE" w:rsidRDefault="008F2269" w:rsidP="008F2269">
      <w:pPr>
        <w:pStyle w:val="Paragraphedeliste"/>
        <w:numPr>
          <w:ilvl w:val="0"/>
          <w:numId w:val="106"/>
        </w:numPr>
        <w:suppressAutoHyphens/>
        <w:autoSpaceDE w:val="0"/>
        <w:autoSpaceDN w:val="0"/>
        <w:adjustRightInd w:val="0"/>
        <w:jc w:val="both"/>
        <w:textAlignment w:val="baseline"/>
        <w:rPr>
          <w:rFonts w:eastAsia="Roboto-Bold" w:cstheme="minorHAnsi"/>
          <w:b/>
          <w:bCs/>
        </w:rPr>
      </w:pPr>
      <w:r w:rsidRPr="007C2FBE">
        <w:rPr>
          <w:rFonts w:eastAsia="Roboto-Bold" w:cstheme="minorHAnsi"/>
          <w:b/>
          <w:bCs/>
        </w:rPr>
        <w:t>Renforcement des capacités de planification, de mise en œuvre et de suivi</w:t>
      </w:r>
    </w:p>
    <w:p w14:paraId="1FC80204" w14:textId="77777777" w:rsidR="008F2269" w:rsidRPr="007C2FBE" w:rsidRDefault="008F2269" w:rsidP="008F2269">
      <w:pPr>
        <w:pStyle w:val="Default"/>
        <w:numPr>
          <w:ilvl w:val="0"/>
          <w:numId w:val="89"/>
        </w:numPr>
        <w:spacing w:after="160" w:line="259" w:lineRule="auto"/>
        <w:ind w:left="471"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 xml:space="preserve">Assurer une meilleure connaissance des ressources en eau de surface et souterraine pour gérer durablement ces ressources face aux </w:t>
      </w:r>
      <w:r>
        <w:rPr>
          <w:rFonts w:asciiTheme="minorHAnsi" w:eastAsia="Verdana" w:hAnsiTheme="minorHAnsi" w:cstheme="minorHAnsi"/>
          <w:color w:val="auto"/>
          <w:sz w:val="22"/>
          <w:szCs w:val="22"/>
        </w:rPr>
        <w:t>enjeux du changement climatique ;</w:t>
      </w:r>
    </w:p>
    <w:p w14:paraId="57022294" w14:textId="77777777" w:rsidR="008F2269" w:rsidRDefault="008F2269" w:rsidP="008F2269">
      <w:pPr>
        <w:pStyle w:val="Default"/>
        <w:numPr>
          <w:ilvl w:val="0"/>
          <w:numId w:val="89"/>
        </w:numPr>
        <w:spacing w:after="160" w:line="259" w:lineRule="auto"/>
        <w:ind w:left="471" w:hanging="357"/>
        <w:contextualSpacing/>
        <w:jc w:val="both"/>
        <w:rPr>
          <w:rFonts w:asciiTheme="minorHAnsi" w:eastAsia="Verdana" w:hAnsiTheme="minorHAnsi" w:cstheme="minorHAnsi"/>
          <w:color w:val="auto"/>
          <w:sz w:val="22"/>
          <w:szCs w:val="22"/>
        </w:rPr>
      </w:pPr>
      <w:r w:rsidRPr="0068431F">
        <w:rPr>
          <w:rFonts w:asciiTheme="minorHAnsi" w:eastAsia="Verdana" w:hAnsiTheme="minorHAnsi" w:cstheme="minorHAnsi"/>
          <w:color w:val="auto"/>
          <w:sz w:val="22"/>
          <w:szCs w:val="22"/>
        </w:rPr>
        <w:t xml:space="preserve">En coordination avec les ministères compétents comme le Ministère des finances, appuyer l’intégration des priorités mises en avant dans </w:t>
      </w:r>
      <w:r>
        <w:rPr>
          <w:rFonts w:asciiTheme="minorHAnsi" w:eastAsia="Verdana" w:hAnsiTheme="minorHAnsi" w:cstheme="minorHAnsi"/>
          <w:color w:val="auto"/>
          <w:sz w:val="22"/>
          <w:szCs w:val="22"/>
        </w:rPr>
        <w:t>la CN5</w:t>
      </w:r>
      <w:r w:rsidRPr="0068431F">
        <w:rPr>
          <w:rFonts w:asciiTheme="minorHAnsi" w:eastAsia="Verdana" w:hAnsiTheme="minorHAnsi" w:cstheme="minorHAnsi"/>
          <w:color w:val="auto"/>
          <w:sz w:val="22"/>
          <w:szCs w:val="22"/>
        </w:rPr>
        <w:t xml:space="preserve"> et autres stratégies climatiques nationales dans la stratégie sectorielle en matière d’eau et assainissement. Dans ce cadre, il y’a lieu de renforcer le mécanisme national de coordination piloté par le MEDD (CNED</w:t>
      </w:r>
      <w:r>
        <w:rPr>
          <w:rFonts w:asciiTheme="minorHAnsi" w:eastAsia="Verdana" w:hAnsiTheme="minorHAnsi" w:cstheme="minorHAnsi"/>
          <w:color w:val="auto"/>
          <w:sz w:val="22"/>
          <w:szCs w:val="22"/>
        </w:rPr>
        <w:t>D</w:t>
      </w:r>
      <w:r w:rsidRPr="0068431F">
        <w:rPr>
          <w:rStyle w:val="Appelnotedebasdep"/>
          <w:rFonts w:asciiTheme="minorHAnsi" w:eastAsia="Verdana" w:hAnsiTheme="minorHAnsi" w:cstheme="minorHAnsi"/>
          <w:color w:val="auto"/>
          <w:sz w:val="22"/>
          <w:szCs w:val="22"/>
        </w:rPr>
        <w:footnoteReference w:id="51"/>
      </w:r>
      <w:r w:rsidRPr="0068431F">
        <w:rPr>
          <w:rFonts w:asciiTheme="minorHAnsi" w:eastAsia="Verdana" w:hAnsiTheme="minorHAnsi" w:cstheme="minorHAnsi"/>
          <w:color w:val="auto"/>
          <w:sz w:val="22"/>
          <w:szCs w:val="22"/>
        </w:rPr>
        <w:t xml:space="preserve"> et ses démembrements) afin d’encourager un dialogue de proximité entre les ministères responsables de l’environnement/du climat, de l’eau, de l’énergie, de l’agriculture, de la planification, e</w:t>
      </w:r>
      <w:r w:rsidRPr="009C6B01">
        <w:rPr>
          <w:rFonts w:asciiTheme="minorHAnsi" w:eastAsia="Verdana" w:hAnsiTheme="minorHAnsi" w:cstheme="minorHAnsi"/>
          <w:color w:val="auto"/>
          <w:sz w:val="22"/>
          <w:szCs w:val="22"/>
        </w:rPr>
        <w:t>t</w:t>
      </w:r>
      <w:r w:rsidRPr="0068431F">
        <w:rPr>
          <w:rFonts w:asciiTheme="minorHAnsi" w:eastAsia="Verdana" w:hAnsiTheme="minorHAnsi" w:cstheme="minorHAnsi"/>
          <w:color w:val="auto"/>
          <w:sz w:val="22"/>
          <w:szCs w:val="22"/>
        </w:rPr>
        <w:t>c.</w:t>
      </w:r>
      <w:r>
        <w:rPr>
          <w:rFonts w:asciiTheme="minorHAnsi" w:eastAsia="Verdana" w:hAnsiTheme="minorHAnsi" w:cstheme="minorHAnsi"/>
          <w:color w:val="auto"/>
          <w:sz w:val="22"/>
          <w:szCs w:val="22"/>
        </w:rPr>
        <w:t> </w:t>
      </w:r>
      <w:r w:rsidRPr="009C6B01">
        <w:rPr>
          <w:rFonts w:asciiTheme="minorHAnsi" w:eastAsia="Verdana" w:hAnsiTheme="minorHAnsi" w:cstheme="minorHAnsi"/>
          <w:color w:val="auto"/>
          <w:sz w:val="22"/>
          <w:szCs w:val="22"/>
        </w:rPr>
        <w:t>;</w:t>
      </w:r>
    </w:p>
    <w:p w14:paraId="07F55A6A" w14:textId="77777777" w:rsidR="008F2269" w:rsidRPr="0015668F" w:rsidRDefault="008F2269" w:rsidP="008F2269">
      <w:pPr>
        <w:pStyle w:val="Default"/>
        <w:numPr>
          <w:ilvl w:val="0"/>
          <w:numId w:val="89"/>
        </w:numPr>
        <w:spacing w:after="160" w:line="259" w:lineRule="auto"/>
        <w:ind w:left="471" w:hanging="357"/>
        <w:contextualSpacing/>
        <w:jc w:val="both"/>
        <w:rPr>
          <w:rFonts w:asciiTheme="minorHAnsi" w:eastAsia="Verdana" w:hAnsiTheme="minorHAnsi" w:cstheme="minorHAnsi"/>
          <w:color w:val="auto"/>
          <w:sz w:val="22"/>
          <w:szCs w:val="22"/>
        </w:rPr>
      </w:pPr>
      <w:r w:rsidRPr="0015668F">
        <w:rPr>
          <w:rFonts w:asciiTheme="minorHAnsi" w:eastAsia="Verdana" w:hAnsiTheme="minorHAnsi" w:cstheme="minorHAnsi"/>
          <w:color w:val="auto"/>
          <w:sz w:val="22"/>
          <w:szCs w:val="22"/>
        </w:rPr>
        <w:t>Améliore</w:t>
      </w:r>
      <w:r>
        <w:rPr>
          <w:rFonts w:asciiTheme="minorHAnsi" w:eastAsia="Verdana" w:hAnsiTheme="minorHAnsi" w:cstheme="minorHAnsi"/>
          <w:color w:val="auto"/>
          <w:sz w:val="22"/>
          <w:szCs w:val="22"/>
        </w:rPr>
        <w:t>r</w:t>
      </w:r>
      <w:r w:rsidRPr="0015668F">
        <w:rPr>
          <w:rFonts w:asciiTheme="minorHAnsi" w:eastAsia="Verdana" w:hAnsiTheme="minorHAnsi" w:cstheme="minorHAnsi"/>
          <w:color w:val="auto"/>
          <w:sz w:val="22"/>
          <w:szCs w:val="22"/>
        </w:rPr>
        <w:t xml:space="preserve"> divers instruments de gouvernance du secteur : (i) La mise en place et vulgarisation de la bonne gouvernance de l’eau et de l’assainissement au plan juridique, institutionnel, technique, (ii) L’élaboration concertée d’une Stratégie Nationale des Zones Humides et (iii) La mise en place d’un Système d’Information Intégré sur l’Eau (SIIE) ;</w:t>
      </w:r>
    </w:p>
    <w:p w14:paraId="6A9A5565" w14:textId="77777777" w:rsidR="008F2269" w:rsidRPr="007C2FBE" w:rsidRDefault="008F2269" w:rsidP="008F2269">
      <w:pPr>
        <w:pStyle w:val="Default"/>
        <w:numPr>
          <w:ilvl w:val="0"/>
          <w:numId w:val="89"/>
        </w:numPr>
        <w:spacing w:after="160" w:line="259" w:lineRule="auto"/>
        <w:ind w:left="471"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Appuyer la recherche universitaire et les collaborations avec des institutions publiques et privées qui investissent dans des infrastructures et des technologies dites « sans regret », à l’épreuve du changement climatique et spécifiques au sec</w:t>
      </w:r>
      <w:r>
        <w:rPr>
          <w:rFonts w:asciiTheme="minorHAnsi" w:eastAsia="Verdana" w:hAnsiTheme="minorHAnsi" w:cstheme="minorHAnsi"/>
          <w:color w:val="auto"/>
          <w:sz w:val="22"/>
          <w:szCs w:val="22"/>
        </w:rPr>
        <w:t>teur de l’eau et assainissement</w:t>
      </w:r>
      <w:r w:rsidRPr="00665F67">
        <w:rPr>
          <w:rFonts w:asciiTheme="minorHAnsi" w:eastAsia="Verdana" w:hAnsiTheme="minorHAnsi" w:cstheme="minorHAnsi"/>
          <w:color w:val="FF0000"/>
          <w:sz w:val="22"/>
          <w:szCs w:val="22"/>
        </w:rPr>
        <w:t> </w:t>
      </w:r>
      <w:r w:rsidRPr="009C6B01">
        <w:rPr>
          <w:rFonts w:asciiTheme="minorHAnsi" w:eastAsia="Verdana" w:hAnsiTheme="minorHAnsi" w:cstheme="minorHAnsi"/>
          <w:color w:val="auto"/>
          <w:sz w:val="22"/>
          <w:szCs w:val="22"/>
        </w:rPr>
        <w:t>;</w:t>
      </w:r>
    </w:p>
    <w:p w14:paraId="3DCAE912" w14:textId="77777777" w:rsidR="008F2269" w:rsidRPr="0015668F" w:rsidRDefault="008F2269" w:rsidP="008F2269">
      <w:pPr>
        <w:pStyle w:val="Default"/>
        <w:numPr>
          <w:ilvl w:val="0"/>
          <w:numId w:val="89"/>
        </w:numPr>
        <w:spacing w:after="160" w:line="259" w:lineRule="auto"/>
        <w:ind w:left="471"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Au moment de cibler des financements multilatéraux, bilatéraux et d’autres sources de financement, s’assurer que les pro</w:t>
      </w:r>
      <w:r>
        <w:rPr>
          <w:rFonts w:asciiTheme="minorHAnsi" w:eastAsia="Verdana" w:hAnsiTheme="minorHAnsi" w:cstheme="minorHAnsi"/>
          <w:color w:val="auto"/>
          <w:sz w:val="22"/>
          <w:szCs w:val="22"/>
        </w:rPr>
        <w:t xml:space="preserve">positions prennent en compte </w:t>
      </w:r>
      <w:r w:rsidRPr="009D2758">
        <w:rPr>
          <w:rFonts w:asciiTheme="minorHAnsi" w:eastAsia="Verdana" w:hAnsiTheme="minorHAnsi" w:cstheme="minorHAnsi"/>
          <w:color w:val="auto"/>
          <w:sz w:val="22"/>
          <w:szCs w:val="22"/>
        </w:rPr>
        <w:t xml:space="preserve">question de l’eau selon une approche intersectorielle comprenant l’assainissement (notamment la gestion des eaux usées), l’hygiène, la santé, l’agriculture, l’énergie et l’industrie, ainsi que les écosystèmes. </w:t>
      </w:r>
    </w:p>
    <w:p w14:paraId="2C5C282A" w14:textId="77777777" w:rsidR="008F2269" w:rsidRPr="007C2FBE" w:rsidRDefault="008F2269" w:rsidP="008F2269">
      <w:pPr>
        <w:pStyle w:val="Paragraphedeliste"/>
        <w:numPr>
          <w:ilvl w:val="0"/>
          <w:numId w:val="106"/>
        </w:numPr>
        <w:suppressAutoHyphens/>
        <w:autoSpaceDE w:val="0"/>
        <w:autoSpaceDN w:val="0"/>
        <w:adjustRightInd w:val="0"/>
        <w:jc w:val="both"/>
        <w:textAlignment w:val="baseline"/>
        <w:rPr>
          <w:rFonts w:eastAsia="Roboto-Bold" w:cstheme="minorHAnsi"/>
          <w:b/>
          <w:bCs/>
        </w:rPr>
      </w:pPr>
      <w:r w:rsidRPr="00387D7B">
        <w:rPr>
          <w:rFonts w:eastAsia="Roboto-Bold" w:cstheme="minorHAnsi"/>
          <w:b/>
          <w:bCs/>
        </w:rPr>
        <w:t>P</w:t>
      </w:r>
      <w:r>
        <w:rPr>
          <w:rFonts w:eastAsia="Roboto-Bold" w:cstheme="minorHAnsi"/>
          <w:b/>
          <w:bCs/>
        </w:rPr>
        <w:t xml:space="preserve">rocessus </w:t>
      </w:r>
      <w:r w:rsidRPr="00387D7B">
        <w:rPr>
          <w:rFonts w:eastAsia="Roboto-Bold" w:cstheme="minorHAnsi"/>
          <w:b/>
          <w:bCs/>
        </w:rPr>
        <w:t>climat e</w:t>
      </w:r>
      <w:r>
        <w:rPr>
          <w:rFonts w:eastAsia="Roboto-Bold" w:cstheme="minorHAnsi"/>
          <w:b/>
          <w:bCs/>
        </w:rPr>
        <w:t xml:space="preserve">t </w:t>
      </w:r>
      <w:r w:rsidRPr="00387D7B">
        <w:rPr>
          <w:rFonts w:eastAsia="Roboto-Bold" w:cstheme="minorHAnsi"/>
          <w:b/>
          <w:bCs/>
        </w:rPr>
        <w:t>ressources en eau</w:t>
      </w:r>
    </w:p>
    <w:p w14:paraId="667D97D1" w14:textId="77777777" w:rsidR="008F2269" w:rsidRPr="007C2FBE"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Doter le pays de projections climatiques à une échelle plus adéquate pour établir des critères et développer un ensemble de priorités en matière d’interventions dans les secteurs de l’eau et de l’assainissement</w:t>
      </w:r>
      <w:r>
        <w:rPr>
          <w:rFonts w:asciiTheme="minorHAnsi" w:eastAsia="Verdana" w:hAnsiTheme="minorHAnsi" w:cstheme="minorHAnsi"/>
          <w:color w:val="auto"/>
          <w:sz w:val="22"/>
          <w:szCs w:val="22"/>
        </w:rPr>
        <w:t> </w:t>
      </w:r>
      <w:r w:rsidRPr="004113DD">
        <w:rPr>
          <w:rFonts w:asciiTheme="minorHAnsi" w:eastAsia="Verdana" w:hAnsiTheme="minorHAnsi" w:cstheme="minorHAnsi"/>
          <w:color w:val="auto"/>
          <w:sz w:val="22"/>
          <w:szCs w:val="22"/>
        </w:rPr>
        <w:t>;</w:t>
      </w:r>
    </w:p>
    <w:p w14:paraId="7B360E7B" w14:textId="77777777" w:rsidR="008F2269" w:rsidRPr="007C2FBE"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Tout en continuant à encourager le perfectionnement des projections en matière de changement climatique et la régionalisation des données climatiques pertinentes, aider à vaincre les « différences d’observations » en finançant l’expansion de rés</w:t>
      </w:r>
      <w:r w:rsidRPr="00944D5B">
        <w:rPr>
          <w:rFonts w:asciiTheme="minorHAnsi" w:eastAsia="Verdana" w:hAnsiTheme="minorHAnsi" w:cstheme="minorHAnsi"/>
          <w:color w:val="auto"/>
          <w:sz w:val="22"/>
          <w:szCs w:val="22"/>
        </w:rPr>
        <w:t>ea</w:t>
      </w:r>
      <w:r w:rsidRPr="009D2758">
        <w:rPr>
          <w:rFonts w:asciiTheme="minorHAnsi" w:eastAsia="Verdana" w:hAnsiTheme="minorHAnsi" w:cstheme="minorHAnsi"/>
          <w:color w:val="auto"/>
          <w:sz w:val="22"/>
          <w:szCs w:val="22"/>
        </w:rPr>
        <w:t xml:space="preserve">ux d’observation hydrologique et météorologique, de sorte que des données climatiques soient disponibles et partagées pour mieux éclairer les décisions </w:t>
      </w:r>
      <w:r>
        <w:rPr>
          <w:rFonts w:asciiTheme="minorHAnsi" w:eastAsia="Verdana" w:hAnsiTheme="minorHAnsi" w:cstheme="minorHAnsi"/>
          <w:color w:val="auto"/>
          <w:sz w:val="22"/>
          <w:szCs w:val="22"/>
        </w:rPr>
        <w:t>dans le secteur de l’eau </w:t>
      </w:r>
      <w:r w:rsidRPr="00944D5B">
        <w:rPr>
          <w:rFonts w:asciiTheme="minorHAnsi" w:eastAsia="Verdana" w:hAnsiTheme="minorHAnsi" w:cstheme="minorHAnsi"/>
          <w:color w:val="auto"/>
          <w:sz w:val="22"/>
          <w:szCs w:val="22"/>
        </w:rPr>
        <w:t>;</w:t>
      </w:r>
    </w:p>
    <w:p w14:paraId="63D6718D" w14:textId="77777777" w:rsidR="008F2269" w:rsidRPr="007C2FBE"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Élaborer des stratégies d’adaptation à l’échelle des régions et des bassins, afin de maximiser l’efficacité des mesures d’adaptation</w:t>
      </w:r>
      <w:r>
        <w:rPr>
          <w:rFonts w:asciiTheme="minorHAnsi" w:eastAsia="Verdana" w:hAnsiTheme="minorHAnsi" w:cstheme="minorHAnsi"/>
          <w:color w:val="auto"/>
          <w:sz w:val="22"/>
          <w:szCs w:val="22"/>
        </w:rPr>
        <w:t> </w:t>
      </w:r>
      <w:r w:rsidRPr="004113DD">
        <w:rPr>
          <w:rFonts w:asciiTheme="minorHAnsi" w:eastAsia="Verdana" w:hAnsiTheme="minorHAnsi" w:cstheme="minorHAnsi"/>
          <w:color w:val="auto"/>
          <w:sz w:val="22"/>
          <w:szCs w:val="22"/>
        </w:rPr>
        <w:t>;</w:t>
      </w:r>
    </w:p>
    <w:p w14:paraId="34CF2B94" w14:textId="77777777" w:rsidR="008F2269"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 xml:space="preserve">La protection de l’eau doit figurer dans l’ensemble des mesures et plans relatifs au changement climatique, et notamment dans </w:t>
      </w:r>
      <w:r>
        <w:rPr>
          <w:rFonts w:asciiTheme="minorHAnsi" w:eastAsia="Verdana" w:hAnsiTheme="minorHAnsi" w:cstheme="minorHAnsi"/>
          <w:color w:val="auto"/>
          <w:sz w:val="22"/>
          <w:szCs w:val="22"/>
        </w:rPr>
        <w:t>les stratégies de développement </w:t>
      </w:r>
      <w:r w:rsidRPr="004113DD">
        <w:rPr>
          <w:rFonts w:asciiTheme="minorHAnsi" w:eastAsia="Verdana" w:hAnsiTheme="minorHAnsi" w:cstheme="minorHAnsi"/>
          <w:color w:val="auto"/>
          <w:sz w:val="22"/>
          <w:szCs w:val="22"/>
        </w:rPr>
        <w:t>;</w:t>
      </w:r>
    </w:p>
    <w:p w14:paraId="0AC7A230" w14:textId="77777777" w:rsidR="008F2269" w:rsidRPr="00874010"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Pr>
          <w:rFonts w:asciiTheme="minorHAnsi" w:eastAsia="Verdana" w:hAnsiTheme="minorHAnsi" w:cstheme="minorHAnsi"/>
          <w:color w:val="auto"/>
          <w:sz w:val="22"/>
          <w:szCs w:val="22"/>
        </w:rPr>
        <w:t>C</w:t>
      </w:r>
      <w:r w:rsidRPr="00874010">
        <w:rPr>
          <w:rFonts w:asciiTheme="minorHAnsi" w:eastAsia="Verdana" w:hAnsiTheme="minorHAnsi" w:cstheme="minorHAnsi"/>
          <w:color w:val="auto"/>
          <w:sz w:val="22"/>
          <w:szCs w:val="22"/>
        </w:rPr>
        <w:t>ompte tenu de leur potentiel important dans l’adaptation, les interventions dans le domaine de l’assainissement doivent ég</w:t>
      </w:r>
      <w:r>
        <w:rPr>
          <w:rFonts w:asciiTheme="minorHAnsi" w:eastAsia="Verdana" w:hAnsiTheme="minorHAnsi" w:cstheme="minorHAnsi"/>
          <w:color w:val="auto"/>
          <w:sz w:val="22"/>
          <w:szCs w:val="22"/>
        </w:rPr>
        <w:t>alement être prises en compte</w:t>
      </w:r>
      <w:r w:rsidRPr="00665F67">
        <w:rPr>
          <w:rFonts w:asciiTheme="minorHAnsi" w:eastAsia="Verdana" w:hAnsiTheme="minorHAnsi" w:cstheme="minorHAnsi"/>
          <w:color w:val="FF0000"/>
          <w:sz w:val="22"/>
          <w:szCs w:val="22"/>
        </w:rPr>
        <w:t> </w:t>
      </w:r>
      <w:r w:rsidRPr="004113DD">
        <w:rPr>
          <w:rFonts w:asciiTheme="minorHAnsi" w:eastAsia="Verdana" w:hAnsiTheme="minorHAnsi" w:cstheme="minorHAnsi"/>
          <w:color w:val="auto"/>
          <w:sz w:val="22"/>
          <w:szCs w:val="22"/>
        </w:rPr>
        <w:t>;</w:t>
      </w:r>
      <w:r w:rsidRPr="00665F67">
        <w:rPr>
          <w:rFonts w:asciiTheme="minorHAnsi" w:eastAsia="Verdana" w:hAnsiTheme="minorHAnsi" w:cstheme="minorHAnsi"/>
          <w:color w:val="FF0000"/>
          <w:sz w:val="22"/>
          <w:szCs w:val="22"/>
        </w:rPr>
        <w:t xml:space="preserve"> </w:t>
      </w:r>
    </w:p>
    <w:p w14:paraId="27A5C19D" w14:textId="77777777" w:rsidR="008F2269" w:rsidRPr="007C2FBE"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Encourager l’innovation, favoriser le renforcement des capacités et sensibiliser à une gestion adaptative de l’eau, y compris à l’importance et aux avantages d’une coopération transfrontalière afin de garantir l’efficacité des accords et des mécanismes de suivi, ainsi que des solutions d’adaptation au changement climatique</w:t>
      </w:r>
      <w:r>
        <w:rPr>
          <w:rFonts w:asciiTheme="minorHAnsi" w:eastAsia="Verdana" w:hAnsiTheme="minorHAnsi" w:cstheme="minorHAnsi"/>
          <w:color w:val="auto"/>
          <w:sz w:val="22"/>
          <w:szCs w:val="22"/>
        </w:rPr>
        <w:t> </w:t>
      </w:r>
      <w:r w:rsidRPr="004113DD">
        <w:rPr>
          <w:rFonts w:asciiTheme="minorHAnsi" w:eastAsia="Verdana" w:hAnsiTheme="minorHAnsi" w:cstheme="minorHAnsi"/>
          <w:color w:val="auto"/>
          <w:sz w:val="22"/>
          <w:szCs w:val="22"/>
        </w:rPr>
        <w:t>;</w:t>
      </w:r>
    </w:p>
    <w:p w14:paraId="1D016407" w14:textId="77777777" w:rsidR="008F2269" w:rsidRPr="007C2FBE" w:rsidRDefault="008F2269" w:rsidP="008F2269">
      <w:pPr>
        <w:pStyle w:val="Default"/>
        <w:numPr>
          <w:ilvl w:val="0"/>
          <w:numId w:val="89"/>
        </w:numPr>
        <w:spacing w:after="160" w:line="259" w:lineRule="auto"/>
        <w:ind w:left="470" w:hanging="357"/>
        <w:contextualSpacing/>
        <w:jc w:val="both"/>
        <w:rPr>
          <w:rFonts w:asciiTheme="minorHAnsi" w:eastAsia="Verdana" w:hAnsiTheme="minorHAnsi" w:cstheme="minorHAnsi"/>
          <w:color w:val="auto"/>
          <w:sz w:val="22"/>
          <w:szCs w:val="22"/>
        </w:rPr>
      </w:pPr>
      <w:r w:rsidRPr="009D2758">
        <w:rPr>
          <w:rFonts w:asciiTheme="minorHAnsi" w:eastAsia="Verdana" w:hAnsiTheme="minorHAnsi" w:cstheme="minorHAnsi"/>
          <w:color w:val="auto"/>
          <w:sz w:val="22"/>
          <w:szCs w:val="22"/>
        </w:rPr>
        <w:t>Renforcer les modalités de financement par des fonds pour le climat, nouveaux ou existants, qui favorisent le financement d’approches intégrées pour un renforcement des capacités de résilience au changement climatique par une gouvernance et une gestion améliorée de l’eau.</w:t>
      </w:r>
    </w:p>
    <w:bookmarkEnd w:id="187"/>
    <w:bookmarkEnd w:id="188"/>
    <w:p w14:paraId="596718AA" w14:textId="77777777" w:rsidR="008F2269" w:rsidRPr="00BE7A39" w:rsidRDefault="008F2269" w:rsidP="008F2269">
      <w:pPr>
        <w:rPr>
          <w:rFonts w:cstheme="minorHAnsi"/>
        </w:rPr>
      </w:pPr>
    </w:p>
    <w:p w14:paraId="632A0D78" w14:textId="77777777" w:rsidR="008F2269" w:rsidRPr="00BE7A39" w:rsidRDefault="008F2269" w:rsidP="008F2269">
      <w:pPr>
        <w:rPr>
          <w:rFonts w:cstheme="minorHAnsi"/>
        </w:rPr>
      </w:pPr>
    </w:p>
    <w:p w14:paraId="5F539B05" w14:textId="77777777" w:rsidR="008F2269" w:rsidRPr="00BE7A39" w:rsidRDefault="008F2269" w:rsidP="008F2269">
      <w:pPr>
        <w:rPr>
          <w:rFonts w:cstheme="minorHAnsi"/>
        </w:rPr>
        <w:sectPr w:rsidR="008F2269" w:rsidRPr="00BE7A39" w:rsidSect="008F2269">
          <w:headerReference w:type="default" r:id="rId183"/>
          <w:footerReference w:type="default" r:id="rId184"/>
          <w:pgSz w:w="11906" w:h="16838" w:code="9"/>
          <w:pgMar w:top="1417" w:right="1417" w:bottom="1417" w:left="1417" w:header="709" w:footer="709" w:gutter="0"/>
          <w:cols w:space="708"/>
          <w:docGrid w:linePitch="360"/>
        </w:sectPr>
      </w:pPr>
    </w:p>
    <w:p w14:paraId="256EF445" w14:textId="77777777" w:rsidR="008F2269" w:rsidRPr="00BE7A39" w:rsidRDefault="008F2269" w:rsidP="008F2269">
      <w:pPr>
        <w:pStyle w:val="Titre1"/>
        <w:jc w:val="center"/>
        <w:rPr>
          <w:rFonts w:asciiTheme="minorHAnsi" w:hAnsiTheme="minorHAnsi" w:cstheme="minorHAnsi"/>
          <w:color w:val="auto"/>
          <w:sz w:val="22"/>
          <w:szCs w:val="22"/>
        </w:rPr>
      </w:pPr>
      <w:bookmarkStart w:id="189" w:name="_Toc57057453"/>
      <w:bookmarkStart w:id="190" w:name="_Toc180318703"/>
      <w:r>
        <w:rPr>
          <w:rFonts w:asciiTheme="minorHAnsi" w:hAnsiTheme="minorHAnsi" w:cstheme="minorHAnsi"/>
          <w:color w:val="auto"/>
          <w:sz w:val="22"/>
          <w:szCs w:val="22"/>
        </w:rPr>
        <w:t>ANNEXES</w:t>
      </w:r>
      <w:bookmarkEnd w:id="189"/>
      <w:bookmarkEnd w:id="190"/>
    </w:p>
    <w:p w14:paraId="2C9DD2A9" w14:textId="77777777" w:rsidR="008F2269" w:rsidRPr="00652A90" w:rsidRDefault="008F2269" w:rsidP="008F2269">
      <w:pPr>
        <w:pStyle w:val="Titre2"/>
        <w:jc w:val="center"/>
        <w:rPr>
          <w:rFonts w:asciiTheme="minorHAnsi" w:hAnsiTheme="minorHAnsi" w:cstheme="minorHAnsi"/>
          <w:i/>
          <w:color w:val="auto"/>
          <w:sz w:val="22"/>
          <w:szCs w:val="22"/>
        </w:rPr>
      </w:pPr>
      <w:bookmarkStart w:id="191" w:name="_Toc57057454"/>
      <w:bookmarkStart w:id="192" w:name="_Toc180318704"/>
      <w:bookmarkStart w:id="193" w:name="_Toc47874642"/>
      <w:bookmarkStart w:id="194" w:name="_Toc51930357"/>
      <w:bookmarkStart w:id="195" w:name="_Toc47874643"/>
      <w:bookmarkStart w:id="196" w:name="_Toc51854366"/>
      <w:r w:rsidRPr="00652A90">
        <w:rPr>
          <w:rFonts w:asciiTheme="minorHAnsi" w:hAnsiTheme="minorHAnsi" w:cstheme="minorHAnsi"/>
          <w:color w:val="auto"/>
          <w:sz w:val="22"/>
          <w:szCs w:val="22"/>
        </w:rPr>
        <w:t xml:space="preserve">Annexe 1 : Tableau 2 Cadre harmonisé d’Analyse des stratégies/plans sectoriels face aux enjeux du </w:t>
      </w:r>
      <w:r w:rsidRPr="00652A90">
        <w:rPr>
          <w:rFonts w:asciiTheme="minorHAnsi" w:hAnsiTheme="minorHAnsi" w:cstheme="minorHAnsi"/>
          <w:i/>
          <w:color w:val="auto"/>
          <w:sz w:val="22"/>
          <w:szCs w:val="22"/>
        </w:rPr>
        <w:t>changement climatique</w:t>
      </w:r>
      <w:bookmarkEnd w:id="191"/>
      <w:bookmarkEnd w:id="192"/>
    </w:p>
    <w:p w14:paraId="3DA75DD5" w14:textId="77777777" w:rsidR="008F2269" w:rsidRPr="006E4F35" w:rsidRDefault="008F2269" w:rsidP="008F2269">
      <w:pPr>
        <w:spacing w:after="0"/>
        <w:jc w:val="both"/>
        <w:rPr>
          <w:rFonts w:cstheme="minorHAnsi"/>
          <w:b/>
          <w:bCs/>
          <w:i/>
        </w:rPr>
      </w:pPr>
    </w:p>
    <w:tbl>
      <w:tblPr>
        <w:tblStyle w:val="Grilledutableau"/>
        <w:tblW w:w="14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402"/>
        <w:gridCol w:w="5387"/>
        <w:gridCol w:w="2556"/>
      </w:tblGrid>
      <w:tr w:rsidR="008F2269" w:rsidRPr="00BE7A39" w14:paraId="7BDE3E0C" w14:textId="77777777" w:rsidTr="002D1362">
        <w:trPr>
          <w:trHeight w:val="1180"/>
        </w:trPr>
        <w:tc>
          <w:tcPr>
            <w:tcW w:w="14175" w:type="dxa"/>
            <w:gridSpan w:val="4"/>
          </w:tcPr>
          <w:p w14:paraId="58C7964F" w14:textId="77777777" w:rsidR="008F2269" w:rsidRPr="00BE7A39" w:rsidRDefault="008F2269" w:rsidP="002D1362">
            <w:pPr>
              <w:shd w:val="clear" w:color="auto" w:fill="BFBFBF" w:themeFill="background1" w:themeFillShade="BF"/>
              <w:autoSpaceDE w:val="0"/>
              <w:adjustRightInd w:val="0"/>
              <w:jc w:val="both"/>
              <w:rPr>
                <w:rFonts w:cstheme="minorHAnsi"/>
                <w:i/>
                <w:sz w:val="20"/>
                <w:szCs w:val="20"/>
              </w:rPr>
            </w:pPr>
            <w:r w:rsidRPr="00BE7A39">
              <w:rPr>
                <w:rFonts w:cstheme="minorHAnsi"/>
                <w:bCs/>
                <w:i/>
                <w:sz w:val="20"/>
                <w:szCs w:val="20"/>
              </w:rPr>
              <w:t>Cette analyse est à lier avec l’évaluation itérative des besoins en matière de développement et des facteurs de vulnérabilité au climat</w:t>
            </w:r>
            <w:r w:rsidRPr="00BE7A39">
              <w:rPr>
                <w:rFonts w:cstheme="minorHAnsi"/>
                <w:i/>
                <w:sz w:val="20"/>
                <w:szCs w:val="20"/>
              </w:rPr>
              <w:t xml:space="preserve"> (Page 56 du Guide PNA/CCNUCC) /Cf., réunion de cadrage tenue avec l’équipe des experts). L’objectif visé consiste à identifier les principaux objectifs et politiques de développement afin de cerner les risques pour les investissements en la matière ainsi que les opportunités éventuelles que le changement climatique peut faire naître. L’un des résultats importants de ces travaux sera le lancement ou le renforcement des efforts visant à protéger les principales mesures de développement contre le risque climatique </w:t>
            </w:r>
            <w:r w:rsidRPr="00BE7A39">
              <w:rPr>
                <w:rFonts w:cstheme="minorHAnsi"/>
                <w:i/>
                <w:iCs/>
                <w:sz w:val="20"/>
                <w:szCs w:val="20"/>
              </w:rPr>
              <w:t>(</w:t>
            </w:r>
            <w:proofErr w:type="spellStart"/>
            <w:r w:rsidRPr="00BE7A39">
              <w:rPr>
                <w:rFonts w:cstheme="minorHAnsi"/>
                <w:i/>
                <w:iCs/>
                <w:sz w:val="20"/>
                <w:szCs w:val="20"/>
              </w:rPr>
              <w:t>climate</w:t>
            </w:r>
            <w:proofErr w:type="spellEnd"/>
            <w:r w:rsidRPr="00BE7A39">
              <w:rPr>
                <w:rFonts w:cstheme="minorHAnsi"/>
                <w:i/>
                <w:iCs/>
                <w:sz w:val="20"/>
                <w:szCs w:val="20"/>
              </w:rPr>
              <w:t xml:space="preserve"> </w:t>
            </w:r>
            <w:proofErr w:type="spellStart"/>
            <w:r w:rsidRPr="00BE7A39">
              <w:rPr>
                <w:rFonts w:cstheme="minorHAnsi"/>
                <w:i/>
                <w:iCs/>
                <w:sz w:val="20"/>
                <w:szCs w:val="20"/>
              </w:rPr>
              <w:t>proofing</w:t>
            </w:r>
            <w:proofErr w:type="spellEnd"/>
            <w:r w:rsidRPr="00BE7A39">
              <w:rPr>
                <w:rFonts w:cstheme="minorHAnsi"/>
                <w:i/>
                <w:sz w:val="20"/>
                <w:szCs w:val="20"/>
              </w:rPr>
              <w:t>).</w:t>
            </w:r>
          </w:p>
        </w:tc>
      </w:tr>
      <w:tr w:rsidR="008F2269" w:rsidRPr="00F21087" w:rsidDel="005F3909" w14:paraId="5455AE23" w14:textId="77777777" w:rsidTr="002D1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5"/>
        </w:trPr>
        <w:tc>
          <w:tcPr>
            <w:tcW w:w="2830" w:type="dxa"/>
            <w:vMerge w:val="restart"/>
            <w:shd w:val="clear" w:color="auto" w:fill="C5E0B3" w:themeFill="accent6" w:themeFillTint="66"/>
            <w:vAlign w:val="center"/>
          </w:tcPr>
          <w:p w14:paraId="17FF3B09" w14:textId="77777777" w:rsidR="008F2269" w:rsidRPr="00F21087" w:rsidRDefault="008F2269" w:rsidP="002D1362">
            <w:pPr>
              <w:jc w:val="center"/>
              <w:rPr>
                <w:rFonts w:cstheme="minorHAnsi"/>
                <w:b/>
                <w:sz w:val="14"/>
                <w:szCs w:val="14"/>
              </w:rPr>
            </w:pPr>
            <w:r w:rsidRPr="00F21087">
              <w:rPr>
                <w:rFonts w:cstheme="minorHAnsi"/>
                <w:b/>
                <w:sz w:val="14"/>
                <w:szCs w:val="14"/>
              </w:rPr>
              <w:t>Objectifs et résultats clés attendus</w:t>
            </w:r>
          </w:p>
        </w:tc>
        <w:tc>
          <w:tcPr>
            <w:tcW w:w="11345" w:type="dxa"/>
            <w:gridSpan w:val="3"/>
            <w:shd w:val="clear" w:color="auto" w:fill="FFE599" w:themeFill="accent4" w:themeFillTint="66"/>
            <w:vAlign w:val="center"/>
          </w:tcPr>
          <w:p w14:paraId="358898AB" w14:textId="77777777" w:rsidR="008F2269" w:rsidRPr="00F21087" w:rsidDel="005F3909" w:rsidRDefault="008F2269" w:rsidP="002D1362">
            <w:pPr>
              <w:jc w:val="center"/>
              <w:rPr>
                <w:rFonts w:cstheme="minorHAnsi"/>
                <w:b/>
                <w:sz w:val="14"/>
                <w:szCs w:val="14"/>
              </w:rPr>
            </w:pPr>
            <w:r w:rsidRPr="00F21087">
              <w:rPr>
                <w:rFonts w:cstheme="minorHAnsi"/>
                <w:b/>
                <w:sz w:val="14"/>
                <w:szCs w:val="14"/>
              </w:rPr>
              <w:t>Analyse des enjeux climatiques et besoins</w:t>
            </w:r>
          </w:p>
        </w:tc>
      </w:tr>
      <w:tr w:rsidR="008F2269" w:rsidRPr="00F21087" w14:paraId="1D1B8FE0" w14:textId="77777777" w:rsidTr="002D1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34"/>
        </w:trPr>
        <w:tc>
          <w:tcPr>
            <w:tcW w:w="2830" w:type="dxa"/>
            <w:vMerge/>
            <w:shd w:val="clear" w:color="auto" w:fill="C5E0B3" w:themeFill="accent6" w:themeFillTint="66"/>
            <w:textDirection w:val="btLr"/>
            <w:vAlign w:val="center"/>
          </w:tcPr>
          <w:p w14:paraId="760662A2" w14:textId="77777777" w:rsidR="008F2269" w:rsidRPr="00F21087" w:rsidRDefault="008F2269" w:rsidP="002D1362">
            <w:pPr>
              <w:jc w:val="center"/>
              <w:rPr>
                <w:rFonts w:cstheme="minorHAnsi"/>
                <w:b/>
                <w:sz w:val="14"/>
                <w:szCs w:val="14"/>
              </w:rPr>
            </w:pPr>
          </w:p>
        </w:tc>
        <w:tc>
          <w:tcPr>
            <w:tcW w:w="3402" w:type="dxa"/>
            <w:shd w:val="clear" w:color="auto" w:fill="FFE599" w:themeFill="accent4" w:themeFillTint="66"/>
          </w:tcPr>
          <w:p w14:paraId="6E02CC99" w14:textId="77777777" w:rsidR="008F2269" w:rsidRPr="00F21087" w:rsidRDefault="008F2269" w:rsidP="002D1362">
            <w:pPr>
              <w:jc w:val="center"/>
              <w:rPr>
                <w:rFonts w:cstheme="minorHAnsi"/>
                <w:b/>
                <w:sz w:val="14"/>
                <w:szCs w:val="14"/>
              </w:rPr>
            </w:pPr>
            <w:r w:rsidRPr="00F21087">
              <w:rPr>
                <w:rFonts w:cstheme="minorHAnsi"/>
                <w:b/>
                <w:sz w:val="14"/>
                <w:szCs w:val="14"/>
              </w:rPr>
              <w:t>Principaux déterminants à l’exposition aux risques climatiques</w:t>
            </w:r>
          </w:p>
          <w:p w14:paraId="7C6FEB36" w14:textId="77777777" w:rsidR="008F2269" w:rsidRPr="00F21087" w:rsidRDefault="008F2269" w:rsidP="002D1362">
            <w:pPr>
              <w:jc w:val="center"/>
              <w:rPr>
                <w:rFonts w:cstheme="minorHAnsi"/>
                <w:sz w:val="14"/>
                <w:szCs w:val="14"/>
              </w:rPr>
            </w:pPr>
            <w:r w:rsidRPr="00F21087">
              <w:rPr>
                <w:rFonts w:cstheme="minorHAnsi"/>
                <w:sz w:val="14"/>
                <w:szCs w:val="14"/>
              </w:rPr>
              <w:t>(Décrire brièvement la nature des risques climatiques et la vulnérabilité. La partie narrative devra développer davantage ces paramètres)</w:t>
            </w:r>
          </w:p>
        </w:tc>
        <w:tc>
          <w:tcPr>
            <w:tcW w:w="5387" w:type="dxa"/>
            <w:shd w:val="clear" w:color="auto" w:fill="FFE599" w:themeFill="accent4" w:themeFillTint="66"/>
          </w:tcPr>
          <w:p w14:paraId="6C9F6A87" w14:textId="77777777" w:rsidR="008F2269" w:rsidRPr="00F21087" w:rsidRDefault="008F2269" w:rsidP="002D1362">
            <w:pPr>
              <w:ind w:left="-24" w:right="-108"/>
              <w:jc w:val="center"/>
              <w:rPr>
                <w:rFonts w:cstheme="minorHAnsi"/>
                <w:b/>
                <w:sz w:val="14"/>
                <w:szCs w:val="14"/>
              </w:rPr>
            </w:pPr>
            <w:r w:rsidRPr="00F21087">
              <w:rPr>
                <w:rFonts w:cstheme="minorHAnsi"/>
                <w:b/>
                <w:sz w:val="14"/>
                <w:szCs w:val="14"/>
              </w:rPr>
              <w:t>Mesures, activités ou initiatives en cours ou programmées pour faire face aux enjeux du CC</w:t>
            </w:r>
          </w:p>
          <w:p w14:paraId="3AC6BD3F" w14:textId="77777777" w:rsidR="008F2269" w:rsidRPr="00F21087" w:rsidRDefault="008F2269" w:rsidP="002D1362">
            <w:pPr>
              <w:jc w:val="center"/>
              <w:rPr>
                <w:rFonts w:cstheme="minorHAnsi"/>
                <w:b/>
                <w:sz w:val="14"/>
                <w:szCs w:val="14"/>
              </w:rPr>
            </w:pPr>
            <w:r w:rsidRPr="00F21087">
              <w:rPr>
                <w:rFonts w:cstheme="minorHAnsi"/>
                <w:sz w:val="14"/>
                <w:szCs w:val="14"/>
              </w:rPr>
              <w:t xml:space="preserve"> (Décrire brièvement ces mesures. La partie narrative devra développer davantage ces paramètres)</w:t>
            </w:r>
          </w:p>
        </w:tc>
        <w:tc>
          <w:tcPr>
            <w:tcW w:w="2556" w:type="dxa"/>
            <w:shd w:val="clear" w:color="auto" w:fill="FFE599" w:themeFill="accent4" w:themeFillTint="66"/>
          </w:tcPr>
          <w:p w14:paraId="7556EBA1" w14:textId="77777777" w:rsidR="008F2269" w:rsidRPr="00F21087" w:rsidRDefault="008F2269" w:rsidP="002D1362">
            <w:pPr>
              <w:jc w:val="center"/>
              <w:rPr>
                <w:rFonts w:cstheme="minorHAnsi"/>
                <w:b/>
                <w:sz w:val="14"/>
                <w:szCs w:val="14"/>
              </w:rPr>
            </w:pPr>
            <w:r w:rsidRPr="00F21087">
              <w:rPr>
                <w:rFonts w:cstheme="minorHAnsi"/>
                <w:b/>
                <w:sz w:val="14"/>
                <w:szCs w:val="14"/>
              </w:rPr>
              <w:t>Lacunes et besoins pour l’adaptation au CC</w:t>
            </w:r>
            <w:r w:rsidRPr="00F21087">
              <w:rPr>
                <w:rStyle w:val="Appelnotedebasdep"/>
                <w:rFonts w:cstheme="minorHAnsi"/>
                <w:b/>
                <w:sz w:val="16"/>
                <w:szCs w:val="16"/>
              </w:rPr>
              <w:footnoteReference w:id="52"/>
            </w:r>
            <w:r w:rsidRPr="00F21087">
              <w:rPr>
                <w:rFonts w:cstheme="minorHAnsi"/>
                <w:b/>
                <w:sz w:val="14"/>
                <w:szCs w:val="14"/>
              </w:rPr>
              <w:t xml:space="preserve"> en lien avec la CN5</w:t>
            </w:r>
          </w:p>
          <w:p w14:paraId="229A8636" w14:textId="77777777" w:rsidR="008F2269" w:rsidRPr="00F21087" w:rsidRDefault="008F2269" w:rsidP="002D1362">
            <w:pPr>
              <w:jc w:val="center"/>
              <w:rPr>
                <w:rFonts w:cstheme="minorHAnsi"/>
                <w:b/>
                <w:sz w:val="14"/>
                <w:szCs w:val="14"/>
              </w:rPr>
            </w:pPr>
            <w:r w:rsidRPr="00F21087">
              <w:rPr>
                <w:rFonts w:cstheme="minorHAnsi"/>
                <w:sz w:val="14"/>
                <w:szCs w:val="14"/>
              </w:rPr>
              <w:t>(Description brève. La partie narrative devra expliquer davantage ces paramètres)</w:t>
            </w:r>
          </w:p>
        </w:tc>
      </w:tr>
      <w:tr w:rsidR="008F2269" w:rsidRPr="00F21087" w14:paraId="37B896B6" w14:textId="77777777" w:rsidTr="002D1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0" w:type="dxa"/>
            <w:shd w:val="clear" w:color="auto" w:fill="C5E0B3" w:themeFill="accent6" w:themeFillTint="66"/>
            <w:vAlign w:val="center"/>
          </w:tcPr>
          <w:p w14:paraId="456B3813" w14:textId="77777777" w:rsidR="008F2269" w:rsidRPr="00F21087" w:rsidRDefault="008F2269" w:rsidP="002D1362">
            <w:pPr>
              <w:rPr>
                <w:rFonts w:cstheme="minorHAnsi"/>
                <w:b/>
                <w:sz w:val="14"/>
                <w:szCs w:val="14"/>
              </w:rPr>
            </w:pPr>
            <w:r w:rsidRPr="00F21087">
              <w:rPr>
                <w:rFonts w:cstheme="minorHAnsi"/>
                <w:b/>
                <w:sz w:val="14"/>
                <w:szCs w:val="14"/>
              </w:rPr>
              <w:t>Axe 2</w:t>
            </w:r>
          </w:p>
        </w:tc>
        <w:tc>
          <w:tcPr>
            <w:tcW w:w="11345" w:type="dxa"/>
            <w:gridSpan w:val="3"/>
            <w:shd w:val="clear" w:color="auto" w:fill="C5E0B3" w:themeFill="accent6" w:themeFillTint="66"/>
          </w:tcPr>
          <w:p w14:paraId="3D53177B" w14:textId="77777777" w:rsidR="008F2269" w:rsidRPr="00F21087" w:rsidRDefault="008F2269" w:rsidP="002D1362">
            <w:pPr>
              <w:rPr>
                <w:rFonts w:cstheme="minorHAnsi"/>
                <w:sz w:val="14"/>
                <w:szCs w:val="14"/>
              </w:rPr>
            </w:pPr>
            <w:r w:rsidRPr="00F21087">
              <w:rPr>
                <w:rFonts w:cstheme="minorHAnsi"/>
                <w:b/>
                <w:sz w:val="14"/>
                <w:szCs w:val="14"/>
              </w:rPr>
              <w:t>Donner accès à l’eau potable au plus grand nombre </w:t>
            </w:r>
          </w:p>
        </w:tc>
      </w:tr>
      <w:tr w:rsidR="008F2269" w:rsidRPr="00F21087" w14:paraId="341BF4B2" w14:textId="77777777" w:rsidTr="002D1362">
        <w:trPr>
          <w:trHeight w:val="2112"/>
        </w:trPr>
        <w:tc>
          <w:tcPr>
            <w:tcW w:w="2830" w:type="dxa"/>
            <w:shd w:val="clear" w:color="auto" w:fill="C5E0B3" w:themeFill="accent6" w:themeFillTint="66"/>
            <w:vAlign w:val="center"/>
          </w:tcPr>
          <w:p w14:paraId="3F7A9377" w14:textId="77777777" w:rsidR="008F2269" w:rsidRPr="00F21087" w:rsidRDefault="008F2269" w:rsidP="002D1362">
            <w:pPr>
              <w:jc w:val="both"/>
              <w:rPr>
                <w:rFonts w:cstheme="minorHAnsi"/>
                <w:bCs/>
                <w:sz w:val="14"/>
                <w:szCs w:val="14"/>
              </w:rPr>
            </w:pPr>
            <w:r w:rsidRPr="00F21087">
              <w:rPr>
                <w:rFonts w:cstheme="minorHAnsi"/>
                <w:bCs/>
                <w:sz w:val="14"/>
                <w:szCs w:val="14"/>
              </w:rPr>
              <w:t>Résultat 2.1 : Le taux de desserte en eau potable dans les localités urbaines et semi-urbaines est porté à 100%.</w:t>
            </w:r>
          </w:p>
        </w:tc>
        <w:tc>
          <w:tcPr>
            <w:tcW w:w="3402" w:type="dxa"/>
            <w:vMerge w:val="restart"/>
          </w:tcPr>
          <w:p w14:paraId="5C7823C8" w14:textId="77777777" w:rsidR="008F2269" w:rsidRPr="00F21087" w:rsidRDefault="008F2269" w:rsidP="002D1362">
            <w:pPr>
              <w:shd w:val="clear" w:color="auto" w:fill="DEEAF6" w:themeFill="accent5" w:themeFillTint="33"/>
              <w:autoSpaceDE w:val="0"/>
              <w:autoSpaceDN w:val="0"/>
              <w:adjustRightInd w:val="0"/>
              <w:jc w:val="center"/>
              <w:rPr>
                <w:rFonts w:cstheme="minorHAnsi"/>
                <w:color w:val="000000"/>
                <w:sz w:val="14"/>
                <w:szCs w:val="14"/>
              </w:rPr>
            </w:pPr>
            <w:r w:rsidRPr="00F21087">
              <w:rPr>
                <w:rFonts w:cstheme="minorHAnsi"/>
                <w:bCs/>
                <w:sz w:val="14"/>
                <w:szCs w:val="14"/>
              </w:rPr>
              <w:t xml:space="preserve">Source : </w:t>
            </w:r>
            <w:r w:rsidRPr="00F21087">
              <w:rPr>
                <w:rFonts w:cstheme="minorHAnsi"/>
                <w:color w:val="000000"/>
                <w:sz w:val="14"/>
                <w:szCs w:val="14"/>
              </w:rPr>
              <w:t>CDN, 2015.</w:t>
            </w:r>
          </w:p>
          <w:p w14:paraId="08018A8C" w14:textId="77777777" w:rsidR="008F2269" w:rsidRPr="00F21087" w:rsidRDefault="008F2269" w:rsidP="002D1362">
            <w:pPr>
              <w:autoSpaceDE w:val="0"/>
              <w:autoSpaceDN w:val="0"/>
              <w:adjustRightInd w:val="0"/>
              <w:jc w:val="both"/>
              <w:rPr>
                <w:rFonts w:cstheme="minorHAnsi"/>
                <w:color w:val="000000"/>
                <w:sz w:val="14"/>
                <w:szCs w:val="14"/>
              </w:rPr>
            </w:pPr>
          </w:p>
          <w:p w14:paraId="3E2CDD00" w14:textId="77777777" w:rsidR="008F2269" w:rsidRPr="00F21087" w:rsidRDefault="008F2269" w:rsidP="002D1362">
            <w:pPr>
              <w:autoSpaceDE w:val="0"/>
              <w:autoSpaceDN w:val="0"/>
              <w:adjustRightInd w:val="0"/>
              <w:jc w:val="both"/>
              <w:rPr>
                <w:rFonts w:cstheme="minorHAnsi"/>
                <w:color w:val="000000"/>
                <w:sz w:val="14"/>
                <w:szCs w:val="14"/>
              </w:rPr>
            </w:pPr>
            <w:r w:rsidRPr="00F21087">
              <w:rPr>
                <w:rFonts w:cstheme="minorHAnsi"/>
                <w:color w:val="000000"/>
                <w:sz w:val="14"/>
                <w:szCs w:val="14"/>
              </w:rPr>
              <w:t xml:space="preserve">Les Impacts des changements climatiques sur les ressources en eau seront significatifs et se traduiront par une baisse générale des ressources en eau de l’ordre de 10 à 15%, avec pour conséquences : </w:t>
            </w:r>
          </w:p>
          <w:p w14:paraId="5A270F0F" w14:textId="77777777" w:rsidR="008F2269" w:rsidRPr="00F21087" w:rsidRDefault="008F2269" w:rsidP="002D1362">
            <w:pPr>
              <w:autoSpaceDE w:val="0"/>
              <w:adjustRightInd w:val="0"/>
              <w:jc w:val="both"/>
              <w:rPr>
                <w:rFonts w:cstheme="minorHAnsi"/>
                <w:color w:val="000000"/>
                <w:sz w:val="14"/>
                <w:szCs w:val="14"/>
              </w:rPr>
            </w:pPr>
          </w:p>
          <w:p w14:paraId="277985EC" w14:textId="77777777" w:rsidR="008F2269" w:rsidRPr="00F21087" w:rsidRDefault="008F2269" w:rsidP="008F2269">
            <w:pPr>
              <w:pStyle w:val="Paragraphedeliste"/>
              <w:numPr>
                <w:ilvl w:val="0"/>
                <w:numId w:val="90"/>
              </w:numPr>
              <w:suppressAutoHyphens/>
              <w:autoSpaceDE w:val="0"/>
              <w:autoSpaceDN w:val="0"/>
              <w:adjustRightInd w:val="0"/>
              <w:ind w:left="454" w:hanging="454"/>
              <w:jc w:val="both"/>
              <w:textAlignment w:val="baseline"/>
              <w:rPr>
                <w:rFonts w:cstheme="minorHAnsi"/>
                <w:color w:val="000000"/>
                <w:sz w:val="14"/>
                <w:szCs w:val="14"/>
              </w:rPr>
            </w:pPr>
            <w:r w:rsidRPr="00F21087">
              <w:rPr>
                <w:rFonts w:cstheme="minorHAnsi"/>
                <w:color w:val="000000"/>
                <w:sz w:val="14"/>
                <w:szCs w:val="14"/>
              </w:rPr>
              <w:t xml:space="preserve">Une baisse des ruissellements d’environ 10% entre 2000 et 2020, </w:t>
            </w:r>
          </w:p>
          <w:p w14:paraId="7C136F8B" w14:textId="77777777" w:rsidR="008F2269" w:rsidRPr="00F21087" w:rsidRDefault="008F2269" w:rsidP="008F2269">
            <w:pPr>
              <w:pStyle w:val="Paragraphedeliste"/>
              <w:numPr>
                <w:ilvl w:val="0"/>
                <w:numId w:val="90"/>
              </w:numPr>
              <w:suppressAutoHyphens/>
              <w:autoSpaceDE w:val="0"/>
              <w:autoSpaceDN w:val="0"/>
              <w:adjustRightInd w:val="0"/>
              <w:ind w:left="454" w:hanging="454"/>
              <w:jc w:val="both"/>
              <w:textAlignment w:val="baseline"/>
              <w:rPr>
                <w:rFonts w:cstheme="minorHAnsi"/>
                <w:color w:val="000000"/>
                <w:sz w:val="14"/>
                <w:szCs w:val="14"/>
              </w:rPr>
            </w:pPr>
            <w:r w:rsidRPr="00F21087">
              <w:rPr>
                <w:rFonts w:cstheme="minorHAnsi"/>
                <w:color w:val="000000"/>
                <w:sz w:val="14"/>
                <w:szCs w:val="14"/>
              </w:rPr>
              <w:t xml:space="preserve">Une augmentation de l’évapotranspiration et une dégradation de la qualité des eaux, </w:t>
            </w:r>
          </w:p>
          <w:p w14:paraId="10AB2C46" w14:textId="77777777" w:rsidR="008F2269" w:rsidRPr="00F21087" w:rsidRDefault="008F2269" w:rsidP="008F2269">
            <w:pPr>
              <w:pStyle w:val="Paragraphedeliste"/>
              <w:numPr>
                <w:ilvl w:val="0"/>
                <w:numId w:val="90"/>
              </w:numPr>
              <w:suppressAutoHyphens/>
              <w:autoSpaceDE w:val="0"/>
              <w:autoSpaceDN w:val="0"/>
              <w:adjustRightInd w:val="0"/>
              <w:ind w:left="454" w:hanging="454"/>
              <w:jc w:val="both"/>
              <w:textAlignment w:val="baseline"/>
              <w:rPr>
                <w:rFonts w:cstheme="minorHAnsi"/>
                <w:color w:val="000000"/>
                <w:sz w:val="14"/>
                <w:szCs w:val="14"/>
              </w:rPr>
            </w:pPr>
            <w:r w:rsidRPr="00F21087">
              <w:rPr>
                <w:rFonts w:cstheme="minorHAnsi"/>
                <w:color w:val="000000"/>
                <w:sz w:val="14"/>
                <w:szCs w:val="14"/>
              </w:rPr>
              <w:t>Une baisse des niveaux piézométriques et l’accroissement de la salinité des eaux en zones côtières et dans les aquifères discontinus surexploités actuellement</w:t>
            </w:r>
          </w:p>
          <w:p w14:paraId="11CE27D0" w14:textId="77777777" w:rsidR="008F2269" w:rsidRPr="00F21087" w:rsidRDefault="008F2269" w:rsidP="008F2269">
            <w:pPr>
              <w:pStyle w:val="Paragraphedeliste"/>
              <w:numPr>
                <w:ilvl w:val="0"/>
                <w:numId w:val="90"/>
              </w:numPr>
              <w:suppressAutoHyphens/>
              <w:autoSpaceDE w:val="0"/>
              <w:autoSpaceDN w:val="0"/>
              <w:adjustRightInd w:val="0"/>
              <w:ind w:left="454" w:hanging="454"/>
              <w:jc w:val="both"/>
              <w:textAlignment w:val="baseline"/>
              <w:rPr>
                <w:rFonts w:cstheme="minorHAnsi"/>
                <w:color w:val="000000"/>
                <w:sz w:val="14"/>
                <w:szCs w:val="14"/>
              </w:rPr>
            </w:pPr>
            <w:r w:rsidRPr="00F21087">
              <w:rPr>
                <w:rFonts w:cstheme="minorHAnsi"/>
                <w:color w:val="000000"/>
                <w:sz w:val="14"/>
                <w:szCs w:val="14"/>
              </w:rPr>
              <w:t xml:space="preserve">Un dérèglement du régime des oueds et une réduction de la capacité de remplissage des barrages à cause des précipitations concentrées et l’envasement accéléré par érosion hydrique dans les bassins versants fortement dénudés ; </w:t>
            </w:r>
          </w:p>
          <w:p w14:paraId="2CDA1AC0" w14:textId="77777777" w:rsidR="008F2269" w:rsidRPr="00F21087" w:rsidRDefault="008F2269" w:rsidP="008F2269">
            <w:pPr>
              <w:pStyle w:val="Paragraphedeliste"/>
              <w:numPr>
                <w:ilvl w:val="0"/>
                <w:numId w:val="90"/>
              </w:numPr>
              <w:suppressAutoHyphens/>
              <w:autoSpaceDE w:val="0"/>
              <w:autoSpaceDN w:val="0"/>
              <w:adjustRightInd w:val="0"/>
              <w:ind w:left="454" w:hanging="454"/>
              <w:jc w:val="both"/>
              <w:textAlignment w:val="baseline"/>
              <w:rPr>
                <w:rFonts w:cstheme="minorHAnsi"/>
                <w:color w:val="000000"/>
                <w:sz w:val="14"/>
                <w:szCs w:val="14"/>
              </w:rPr>
            </w:pPr>
            <w:r w:rsidRPr="00F21087">
              <w:rPr>
                <w:rFonts w:cstheme="minorHAnsi"/>
                <w:color w:val="000000"/>
                <w:sz w:val="14"/>
                <w:szCs w:val="14"/>
              </w:rPr>
              <w:t>Des eaux de surface plus chaudes, moins aérées, à débits plus réduits et donc une réduction de leurs pouvoirs de dilution et de biodégradation de certaines pollutions, etc.</w:t>
            </w:r>
          </w:p>
        </w:tc>
        <w:tc>
          <w:tcPr>
            <w:tcW w:w="5387" w:type="dxa"/>
          </w:tcPr>
          <w:p w14:paraId="4640F677" w14:textId="77777777" w:rsidR="008F2269" w:rsidRPr="00F21087" w:rsidRDefault="008F2269" w:rsidP="002D1362">
            <w:pPr>
              <w:shd w:val="clear" w:color="auto" w:fill="DEEAF6" w:themeFill="accent5" w:themeFillTint="33"/>
              <w:jc w:val="center"/>
              <w:rPr>
                <w:rFonts w:cstheme="minorHAnsi"/>
                <w:bCs/>
                <w:sz w:val="14"/>
                <w:szCs w:val="14"/>
              </w:rPr>
            </w:pPr>
            <w:r w:rsidRPr="00F21087">
              <w:rPr>
                <w:rFonts w:cstheme="minorHAnsi"/>
                <w:bCs/>
                <w:sz w:val="14"/>
                <w:szCs w:val="14"/>
              </w:rPr>
              <w:t>(SNADEA 2017-2030)</w:t>
            </w:r>
          </w:p>
          <w:p w14:paraId="453C0E58" w14:textId="77777777" w:rsidR="008F2269" w:rsidRPr="00F21087" w:rsidRDefault="008F2269" w:rsidP="002D1362">
            <w:pPr>
              <w:pStyle w:val="Paragraphedeliste"/>
              <w:ind w:left="360"/>
              <w:jc w:val="both"/>
              <w:rPr>
                <w:rFonts w:cstheme="minorHAnsi"/>
                <w:bCs/>
                <w:sz w:val="14"/>
                <w:szCs w:val="14"/>
              </w:rPr>
            </w:pPr>
          </w:p>
          <w:p w14:paraId="2BFF1B04" w14:textId="77777777" w:rsidR="008F2269" w:rsidRPr="00F21087" w:rsidRDefault="008F2269" w:rsidP="008F2269">
            <w:pPr>
              <w:pStyle w:val="Paragraphedeliste"/>
              <w:numPr>
                <w:ilvl w:val="0"/>
                <w:numId w:val="91"/>
              </w:numPr>
              <w:suppressAutoHyphens/>
              <w:autoSpaceDN w:val="0"/>
              <w:jc w:val="both"/>
              <w:textAlignment w:val="baseline"/>
              <w:rPr>
                <w:rFonts w:cstheme="minorHAnsi"/>
                <w:bCs/>
                <w:sz w:val="14"/>
                <w:szCs w:val="14"/>
              </w:rPr>
            </w:pPr>
            <w:r w:rsidRPr="00F21087">
              <w:rPr>
                <w:rFonts w:cstheme="minorHAnsi"/>
                <w:bCs/>
                <w:sz w:val="14"/>
                <w:szCs w:val="14"/>
              </w:rPr>
              <w:t xml:space="preserve">Equiper en AEP/poste d'eau ou renforcer 2 580 localités de plus de 150 habitants. </w:t>
            </w:r>
            <w:r w:rsidRPr="00F21087">
              <w:rPr>
                <w:rFonts w:cstheme="minorHAnsi"/>
                <w:color w:val="000000"/>
                <w:sz w:val="14"/>
                <w:szCs w:val="14"/>
              </w:rPr>
              <w:t xml:space="preserve">Financement à rechercher : </w:t>
            </w:r>
            <w:r w:rsidRPr="00F21087">
              <w:rPr>
                <w:rFonts w:cstheme="minorHAnsi"/>
                <w:sz w:val="14"/>
                <w:szCs w:val="14"/>
              </w:rPr>
              <w:t xml:space="preserve">7.678 </w:t>
            </w:r>
            <w:proofErr w:type="spellStart"/>
            <w:r w:rsidRPr="00F21087">
              <w:rPr>
                <w:rFonts w:cstheme="minorHAnsi"/>
                <w:sz w:val="14"/>
                <w:szCs w:val="14"/>
              </w:rPr>
              <w:t>MioMRU</w:t>
            </w:r>
            <w:proofErr w:type="spellEnd"/>
            <w:r w:rsidRPr="00F21087">
              <w:rPr>
                <w:rFonts w:cstheme="minorHAnsi"/>
                <w:sz w:val="14"/>
                <w:szCs w:val="14"/>
              </w:rPr>
              <w:t>.</w:t>
            </w:r>
          </w:p>
          <w:p w14:paraId="74BC2225" w14:textId="77777777" w:rsidR="008F2269" w:rsidRPr="00F21087" w:rsidRDefault="008F2269" w:rsidP="002D1362">
            <w:pPr>
              <w:jc w:val="both"/>
              <w:rPr>
                <w:rFonts w:cstheme="minorHAnsi"/>
                <w:bCs/>
                <w:sz w:val="14"/>
                <w:szCs w:val="14"/>
              </w:rPr>
            </w:pPr>
          </w:p>
          <w:p w14:paraId="7076E065" w14:textId="77777777" w:rsidR="008F2269" w:rsidRPr="00F21087" w:rsidRDefault="008F2269" w:rsidP="008F2269">
            <w:pPr>
              <w:pStyle w:val="Paragraphedeliste"/>
              <w:numPr>
                <w:ilvl w:val="0"/>
                <w:numId w:val="91"/>
              </w:numPr>
              <w:suppressAutoHyphens/>
              <w:autoSpaceDN w:val="0"/>
              <w:jc w:val="both"/>
              <w:textAlignment w:val="baseline"/>
              <w:rPr>
                <w:rFonts w:cstheme="minorHAnsi"/>
                <w:bCs/>
                <w:sz w:val="14"/>
                <w:szCs w:val="14"/>
              </w:rPr>
            </w:pPr>
            <w:r w:rsidRPr="00F21087">
              <w:rPr>
                <w:rFonts w:cstheme="minorHAnsi"/>
                <w:bCs/>
                <w:sz w:val="14"/>
                <w:szCs w:val="14"/>
              </w:rPr>
              <w:t>Mettre aux normes 686 AEP ou postes d'eau existants (passage au solair</w:t>
            </w:r>
            <w:r>
              <w:rPr>
                <w:rFonts w:cstheme="minorHAnsi"/>
                <w:bCs/>
                <w:sz w:val="14"/>
                <w:szCs w:val="14"/>
              </w:rPr>
              <w:t xml:space="preserve">e).  </w:t>
            </w:r>
            <w:r w:rsidRPr="00F21087">
              <w:rPr>
                <w:rFonts w:cstheme="minorHAnsi"/>
                <w:bCs/>
                <w:sz w:val="14"/>
                <w:szCs w:val="14"/>
              </w:rPr>
              <w:t>Financement à rechercher : 17.640 MMRU.</w:t>
            </w:r>
          </w:p>
        </w:tc>
        <w:tc>
          <w:tcPr>
            <w:tcW w:w="2556" w:type="dxa"/>
            <w:vMerge w:val="restart"/>
          </w:tcPr>
          <w:p w14:paraId="1B8B85BE" w14:textId="77777777" w:rsidR="008F2269" w:rsidRPr="00F21087" w:rsidRDefault="008F2269" w:rsidP="002D1362">
            <w:pPr>
              <w:jc w:val="center"/>
              <w:rPr>
                <w:rFonts w:cstheme="minorHAnsi"/>
                <w:b/>
                <w:bCs/>
                <w:sz w:val="14"/>
                <w:szCs w:val="14"/>
              </w:rPr>
            </w:pPr>
            <w:r w:rsidRPr="00F21087">
              <w:rPr>
                <w:rFonts w:cstheme="minorHAnsi"/>
                <w:b/>
                <w:bCs/>
                <w:sz w:val="14"/>
                <w:szCs w:val="14"/>
                <w:shd w:val="clear" w:color="auto" w:fill="DEEAF6" w:themeFill="accent5" w:themeFillTint="33"/>
              </w:rPr>
              <w:t>Lacunes / Besoins</w:t>
            </w:r>
          </w:p>
          <w:p w14:paraId="52969806" w14:textId="77777777" w:rsidR="008F2269" w:rsidRPr="00F21087" w:rsidRDefault="008F2269" w:rsidP="002D1362">
            <w:pPr>
              <w:jc w:val="both"/>
              <w:rPr>
                <w:rFonts w:cstheme="minorHAnsi"/>
                <w:bCs/>
                <w:sz w:val="14"/>
                <w:szCs w:val="14"/>
              </w:rPr>
            </w:pPr>
          </w:p>
          <w:p w14:paraId="7652FB63" w14:textId="77777777" w:rsidR="008F2269" w:rsidRPr="00F21087" w:rsidRDefault="008F2269" w:rsidP="002D1362">
            <w:pPr>
              <w:jc w:val="both"/>
              <w:rPr>
                <w:rFonts w:cstheme="minorHAnsi"/>
                <w:bCs/>
                <w:sz w:val="14"/>
                <w:szCs w:val="14"/>
              </w:rPr>
            </w:pPr>
            <w:r w:rsidRPr="00F21087">
              <w:rPr>
                <w:rFonts w:cstheme="minorHAnsi"/>
                <w:bCs/>
                <w:sz w:val="14"/>
                <w:szCs w:val="14"/>
              </w:rPr>
              <w:t xml:space="preserve">La faible connaissance des ressources en eau de surface et souterraine, constitue une lacune majeure. Pour gérer durablement ces ressources la SNADEA dans son axe 1 prévoit des mesures pour combler ces lacunes. </w:t>
            </w:r>
          </w:p>
          <w:p w14:paraId="688303AB" w14:textId="77777777" w:rsidR="008F2269" w:rsidRPr="00F21087" w:rsidRDefault="008F2269" w:rsidP="002D1362">
            <w:pPr>
              <w:jc w:val="both"/>
              <w:rPr>
                <w:rFonts w:cstheme="minorHAnsi"/>
                <w:bCs/>
                <w:sz w:val="14"/>
                <w:szCs w:val="14"/>
              </w:rPr>
            </w:pPr>
          </w:p>
          <w:p w14:paraId="053096F5" w14:textId="77777777" w:rsidR="008F2269" w:rsidRPr="00F21087" w:rsidRDefault="008F2269" w:rsidP="002D1362">
            <w:pPr>
              <w:contextualSpacing/>
              <w:jc w:val="both"/>
              <w:rPr>
                <w:rFonts w:cstheme="minorHAnsi"/>
                <w:bCs/>
                <w:sz w:val="14"/>
                <w:szCs w:val="14"/>
              </w:rPr>
            </w:pPr>
            <w:r w:rsidRPr="00F21087">
              <w:rPr>
                <w:rFonts w:cstheme="minorHAnsi"/>
                <w:bCs/>
                <w:sz w:val="14"/>
                <w:szCs w:val="14"/>
              </w:rPr>
              <w:t>Les impacts des risques climatiques futurs ne sont pas pris en compte dans les processus de planification et partant l’évaluation des coûts d'investissements. Par conséquent, un renforcement des capacités des acteurs du secteur est nécessaire pour prendre en compte les risques climatiques liés à la gestion durable des ressources en eau et la mobilisation des ressources auprès de diverses fenêtres disponibles comme le FVC.</w:t>
            </w:r>
          </w:p>
        </w:tc>
      </w:tr>
      <w:tr w:rsidR="008F2269" w:rsidRPr="00F21087" w14:paraId="506CD790" w14:textId="77777777" w:rsidTr="002D1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1"/>
        </w:trPr>
        <w:tc>
          <w:tcPr>
            <w:tcW w:w="2830" w:type="dxa"/>
            <w:shd w:val="clear" w:color="auto" w:fill="C5E0B3" w:themeFill="accent6" w:themeFillTint="66"/>
          </w:tcPr>
          <w:p w14:paraId="2F871347" w14:textId="77777777" w:rsidR="008F2269" w:rsidRPr="00F21087" w:rsidRDefault="008F2269" w:rsidP="002D1362">
            <w:pPr>
              <w:jc w:val="both"/>
              <w:rPr>
                <w:rFonts w:cstheme="minorHAnsi"/>
                <w:bCs/>
                <w:sz w:val="14"/>
                <w:szCs w:val="14"/>
              </w:rPr>
            </w:pPr>
            <w:r w:rsidRPr="00F21087">
              <w:rPr>
                <w:rFonts w:cstheme="minorHAnsi"/>
                <w:bCs/>
                <w:sz w:val="14"/>
                <w:szCs w:val="14"/>
              </w:rPr>
              <w:t>Résultat 2.2 : Le taux de raccordement des localités rurales de plus de 600 habitants est porté à 100 %.</w:t>
            </w:r>
          </w:p>
        </w:tc>
        <w:tc>
          <w:tcPr>
            <w:tcW w:w="3402" w:type="dxa"/>
            <w:vMerge/>
          </w:tcPr>
          <w:p w14:paraId="6BFB50A0" w14:textId="77777777" w:rsidR="008F2269" w:rsidRPr="00F21087" w:rsidRDefault="008F2269" w:rsidP="008F2269">
            <w:pPr>
              <w:pStyle w:val="Paragraphedeliste"/>
              <w:numPr>
                <w:ilvl w:val="0"/>
                <w:numId w:val="88"/>
              </w:numPr>
              <w:suppressAutoHyphens/>
              <w:autoSpaceDN w:val="0"/>
              <w:ind w:left="360"/>
              <w:jc w:val="both"/>
              <w:textAlignment w:val="baseline"/>
              <w:rPr>
                <w:rFonts w:cstheme="minorHAnsi"/>
                <w:sz w:val="14"/>
                <w:szCs w:val="14"/>
              </w:rPr>
            </w:pPr>
          </w:p>
        </w:tc>
        <w:tc>
          <w:tcPr>
            <w:tcW w:w="5387" w:type="dxa"/>
          </w:tcPr>
          <w:p w14:paraId="2350EF0E" w14:textId="77777777" w:rsidR="008F2269" w:rsidRPr="00F21087" w:rsidRDefault="008F2269" w:rsidP="002D1362">
            <w:pPr>
              <w:shd w:val="clear" w:color="auto" w:fill="DEEAF6" w:themeFill="accent5" w:themeFillTint="33"/>
              <w:jc w:val="center"/>
              <w:rPr>
                <w:rFonts w:eastAsia="Calibri" w:cstheme="minorHAnsi"/>
                <w:bCs/>
                <w:sz w:val="14"/>
                <w:szCs w:val="14"/>
              </w:rPr>
            </w:pPr>
            <w:r w:rsidRPr="00F21087">
              <w:rPr>
                <w:rFonts w:eastAsia="Calibri" w:cstheme="minorHAnsi"/>
                <w:bCs/>
                <w:sz w:val="14"/>
                <w:szCs w:val="14"/>
              </w:rPr>
              <w:t>SNADEA 2017-2030</w:t>
            </w:r>
          </w:p>
          <w:p w14:paraId="72EFB956" w14:textId="77777777" w:rsidR="008F2269" w:rsidRPr="00F21087" w:rsidRDefault="008F2269" w:rsidP="002D1362">
            <w:pPr>
              <w:jc w:val="both"/>
              <w:rPr>
                <w:rFonts w:eastAsia="Calibri" w:cstheme="minorHAnsi"/>
                <w:bCs/>
                <w:sz w:val="14"/>
                <w:szCs w:val="14"/>
              </w:rPr>
            </w:pPr>
          </w:p>
          <w:p w14:paraId="71A5FC7E" w14:textId="77777777" w:rsidR="008F2269" w:rsidRPr="00F21087" w:rsidRDefault="008F2269" w:rsidP="008F2269">
            <w:pPr>
              <w:pStyle w:val="Paragraphedeliste"/>
              <w:numPr>
                <w:ilvl w:val="0"/>
                <w:numId w:val="92"/>
              </w:numPr>
              <w:suppressAutoHyphens/>
              <w:autoSpaceDN w:val="0"/>
              <w:jc w:val="both"/>
              <w:textAlignment w:val="baseline"/>
              <w:rPr>
                <w:rFonts w:cstheme="minorHAnsi"/>
                <w:bCs/>
                <w:sz w:val="14"/>
                <w:szCs w:val="14"/>
              </w:rPr>
            </w:pPr>
            <w:r w:rsidRPr="00F21087">
              <w:rPr>
                <w:rFonts w:cstheme="minorHAnsi"/>
                <w:bCs/>
                <w:sz w:val="14"/>
                <w:szCs w:val="14"/>
              </w:rPr>
              <w:t xml:space="preserve">Réaliser des extensions de réseaux dans 120 localités. Financement à rechercher : 3.150 </w:t>
            </w:r>
            <w:proofErr w:type="spellStart"/>
            <w:r w:rsidRPr="00F21087">
              <w:rPr>
                <w:rFonts w:cstheme="minorHAnsi"/>
                <w:bCs/>
                <w:sz w:val="14"/>
                <w:szCs w:val="14"/>
              </w:rPr>
              <w:t>MioMRU</w:t>
            </w:r>
            <w:proofErr w:type="spellEnd"/>
            <w:r w:rsidRPr="00F21087">
              <w:rPr>
                <w:rFonts w:cstheme="minorHAnsi"/>
                <w:bCs/>
                <w:sz w:val="14"/>
                <w:szCs w:val="14"/>
              </w:rPr>
              <w:t>.</w:t>
            </w:r>
          </w:p>
          <w:p w14:paraId="07D46F7A" w14:textId="77777777" w:rsidR="008F2269" w:rsidRPr="00F21087" w:rsidRDefault="008F2269" w:rsidP="002D1362">
            <w:pPr>
              <w:pStyle w:val="Paragraphedeliste"/>
              <w:ind w:left="360"/>
              <w:jc w:val="both"/>
              <w:rPr>
                <w:rFonts w:cstheme="minorHAnsi"/>
                <w:bCs/>
                <w:sz w:val="14"/>
                <w:szCs w:val="14"/>
              </w:rPr>
            </w:pPr>
          </w:p>
          <w:p w14:paraId="7BC55EFA" w14:textId="77777777" w:rsidR="008F2269" w:rsidRPr="00F21087" w:rsidRDefault="008F2269" w:rsidP="008F2269">
            <w:pPr>
              <w:pStyle w:val="Paragraphedeliste"/>
              <w:numPr>
                <w:ilvl w:val="0"/>
                <w:numId w:val="92"/>
              </w:numPr>
              <w:suppressAutoHyphens/>
              <w:autoSpaceDN w:val="0"/>
              <w:jc w:val="both"/>
              <w:textAlignment w:val="baseline"/>
              <w:rPr>
                <w:rFonts w:cstheme="minorHAnsi"/>
                <w:bCs/>
                <w:sz w:val="14"/>
                <w:szCs w:val="14"/>
              </w:rPr>
            </w:pPr>
            <w:r w:rsidRPr="00F21087">
              <w:rPr>
                <w:rFonts w:cstheme="minorHAnsi"/>
                <w:bCs/>
                <w:sz w:val="14"/>
                <w:szCs w:val="14"/>
              </w:rPr>
              <w:t xml:space="preserve">Réaliser 60.000 branchements subventionnés à 50%, y compris extensions. Financement à rechercher : 1.350 </w:t>
            </w:r>
            <w:proofErr w:type="spellStart"/>
            <w:r w:rsidRPr="00F21087">
              <w:rPr>
                <w:rFonts w:cstheme="minorHAnsi"/>
                <w:bCs/>
                <w:sz w:val="14"/>
                <w:szCs w:val="14"/>
              </w:rPr>
              <w:t>MioMRU</w:t>
            </w:r>
            <w:proofErr w:type="spellEnd"/>
            <w:r w:rsidRPr="00F21087">
              <w:rPr>
                <w:rFonts w:cstheme="minorHAnsi"/>
                <w:bCs/>
                <w:sz w:val="14"/>
                <w:szCs w:val="14"/>
              </w:rPr>
              <w:t>.</w:t>
            </w:r>
          </w:p>
          <w:p w14:paraId="5DD99DD8" w14:textId="77777777" w:rsidR="008F2269" w:rsidRPr="00F21087" w:rsidRDefault="008F2269" w:rsidP="002D1362">
            <w:pPr>
              <w:autoSpaceDE w:val="0"/>
              <w:autoSpaceDN w:val="0"/>
              <w:adjustRightInd w:val="0"/>
              <w:jc w:val="both"/>
              <w:rPr>
                <w:rFonts w:eastAsia="Calibri" w:cstheme="minorHAnsi"/>
                <w:bCs/>
                <w:sz w:val="14"/>
                <w:szCs w:val="14"/>
              </w:rPr>
            </w:pPr>
          </w:p>
          <w:p w14:paraId="00895F95" w14:textId="77777777" w:rsidR="008F2269" w:rsidRPr="00F21087" w:rsidRDefault="008F2269" w:rsidP="002D1362">
            <w:pPr>
              <w:shd w:val="clear" w:color="auto" w:fill="DEEAF6" w:themeFill="accent5" w:themeFillTint="33"/>
              <w:autoSpaceDE w:val="0"/>
              <w:autoSpaceDN w:val="0"/>
              <w:adjustRightInd w:val="0"/>
              <w:jc w:val="center"/>
              <w:rPr>
                <w:rFonts w:eastAsia="Calibri" w:cstheme="minorHAnsi"/>
                <w:bCs/>
                <w:sz w:val="14"/>
                <w:szCs w:val="14"/>
              </w:rPr>
            </w:pPr>
            <w:r w:rsidRPr="00F21087">
              <w:rPr>
                <w:rFonts w:eastAsia="Calibri" w:cstheme="minorHAnsi"/>
                <w:bCs/>
                <w:sz w:val="14"/>
                <w:szCs w:val="14"/>
              </w:rPr>
              <w:t>CDN 2015</w:t>
            </w:r>
          </w:p>
          <w:p w14:paraId="31249120" w14:textId="77777777" w:rsidR="008F2269" w:rsidRPr="00F21087" w:rsidRDefault="008F2269" w:rsidP="008F2269">
            <w:pPr>
              <w:pStyle w:val="Paragraphedeliste"/>
              <w:numPr>
                <w:ilvl w:val="0"/>
                <w:numId w:val="92"/>
              </w:numPr>
              <w:suppressAutoHyphens/>
              <w:autoSpaceDN w:val="0"/>
              <w:jc w:val="both"/>
              <w:textAlignment w:val="baseline"/>
              <w:rPr>
                <w:rFonts w:cstheme="minorHAnsi"/>
                <w:bCs/>
                <w:sz w:val="14"/>
                <w:szCs w:val="14"/>
              </w:rPr>
            </w:pPr>
            <w:r w:rsidRPr="00F21087">
              <w:rPr>
                <w:rFonts w:cstheme="minorHAnsi"/>
                <w:bCs/>
                <w:sz w:val="14"/>
                <w:szCs w:val="14"/>
              </w:rPr>
              <w:t xml:space="preserve">Réaliser 2000 AEP dans le milieu rural équipées en solaire. </w:t>
            </w:r>
          </w:p>
        </w:tc>
        <w:tc>
          <w:tcPr>
            <w:tcW w:w="2556" w:type="dxa"/>
            <w:vMerge/>
          </w:tcPr>
          <w:p w14:paraId="62E042BA" w14:textId="77777777" w:rsidR="008F2269" w:rsidRPr="00F21087" w:rsidRDefault="008F2269" w:rsidP="002D1362">
            <w:pPr>
              <w:pStyle w:val="Paragraphedeliste"/>
              <w:ind w:left="360"/>
              <w:jc w:val="both"/>
              <w:rPr>
                <w:rFonts w:cstheme="minorHAnsi"/>
                <w:bCs/>
                <w:sz w:val="14"/>
                <w:szCs w:val="14"/>
              </w:rPr>
            </w:pPr>
          </w:p>
        </w:tc>
      </w:tr>
      <w:tr w:rsidR="008F2269" w:rsidRPr="00F21087" w14:paraId="09267EEA" w14:textId="77777777" w:rsidTr="002D1362">
        <w:trPr>
          <w:trHeight w:val="705"/>
        </w:trPr>
        <w:tc>
          <w:tcPr>
            <w:tcW w:w="2830" w:type="dxa"/>
            <w:shd w:val="clear" w:color="auto" w:fill="C5E0B3" w:themeFill="accent6" w:themeFillTint="66"/>
            <w:vAlign w:val="center"/>
          </w:tcPr>
          <w:p w14:paraId="7A968660" w14:textId="77777777" w:rsidR="008F2269" w:rsidRPr="00F21087" w:rsidRDefault="008F2269" w:rsidP="002D1362">
            <w:pPr>
              <w:jc w:val="both"/>
              <w:rPr>
                <w:rFonts w:cstheme="minorHAnsi"/>
                <w:bCs/>
                <w:sz w:val="14"/>
                <w:szCs w:val="14"/>
              </w:rPr>
            </w:pPr>
            <w:r w:rsidRPr="00F21087">
              <w:rPr>
                <w:rFonts w:cstheme="minorHAnsi"/>
                <w:bCs/>
                <w:sz w:val="14"/>
                <w:szCs w:val="14"/>
              </w:rPr>
              <w:t>Résultat 2.3 : Tous les établissements de soins et scolaires des localités équipées d’une AEP disposent d’eau potable</w:t>
            </w:r>
          </w:p>
        </w:tc>
        <w:tc>
          <w:tcPr>
            <w:tcW w:w="3402" w:type="dxa"/>
            <w:vMerge/>
          </w:tcPr>
          <w:p w14:paraId="7BAE139F" w14:textId="77777777" w:rsidR="008F2269" w:rsidRPr="00F21087" w:rsidRDefault="008F2269" w:rsidP="008F2269">
            <w:pPr>
              <w:pStyle w:val="Paragraphedeliste"/>
              <w:numPr>
                <w:ilvl w:val="0"/>
                <w:numId w:val="88"/>
              </w:numPr>
              <w:suppressAutoHyphens/>
              <w:autoSpaceDN w:val="0"/>
              <w:ind w:left="360"/>
              <w:jc w:val="both"/>
              <w:textAlignment w:val="baseline"/>
              <w:rPr>
                <w:rFonts w:cstheme="minorHAnsi"/>
                <w:sz w:val="14"/>
                <w:szCs w:val="14"/>
              </w:rPr>
            </w:pPr>
          </w:p>
        </w:tc>
        <w:tc>
          <w:tcPr>
            <w:tcW w:w="5387" w:type="dxa"/>
          </w:tcPr>
          <w:p w14:paraId="6033B99D" w14:textId="77777777" w:rsidR="008F2269" w:rsidRPr="00F21087" w:rsidRDefault="008F2269" w:rsidP="002D1362">
            <w:pPr>
              <w:shd w:val="clear" w:color="auto" w:fill="DEEAF6" w:themeFill="accent5" w:themeFillTint="33"/>
              <w:autoSpaceDE w:val="0"/>
              <w:autoSpaceDN w:val="0"/>
              <w:adjustRightInd w:val="0"/>
              <w:jc w:val="center"/>
              <w:rPr>
                <w:rFonts w:eastAsia="Calibri" w:cstheme="minorHAnsi"/>
                <w:bCs/>
                <w:sz w:val="14"/>
                <w:szCs w:val="14"/>
              </w:rPr>
            </w:pPr>
            <w:r w:rsidRPr="00F21087">
              <w:rPr>
                <w:rFonts w:cstheme="minorHAnsi"/>
                <w:bCs/>
                <w:sz w:val="14"/>
                <w:szCs w:val="14"/>
              </w:rPr>
              <w:t>SNA</w:t>
            </w:r>
            <w:r w:rsidRPr="00F21087">
              <w:rPr>
                <w:rFonts w:eastAsia="Calibri" w:cstheme="minorHAnsi"/>
                <w:bCs/>
                <w:sz w:val="14"/>
                <w:szCs w:val="14"/>
              </w:rPr>
              <w:t>DEA 2017-2030</w:t>
            </w:r>
          </w:p>
          <w:p w14:paraId="3B64A9CE" w14:textId="77777777" w:rsidR="008F2269" w:rsidRPr="00F21087" w:rsidRDefault="008F2269" w:rsidP="008F2269">
            <w:pPr>
              <w:pStyle w:val="Paragraphedeliste"/>
              <w:numPr>
                <w:ilvl w:val="0"/>
                <w:numId w:val="92"/>
              </w:numPr>
              <w:suppressAutoHyphens/>
              <w:autoSpaceDE w:val="0"/>
              <w:autoSpaceDN w:val="0"/>
              <w:adjustRightInd w:val="0"/>
              <w:jc w:val="both"/>
              <w:textAlignment w:val="baseline"/>
              <w:rPr>
                <w:rFonts w:cstheme="minorHAnsi"/>
                <w:bCs/>
                <w:sz w:val="14"/>
                <w:szCs w:val="14"/>
              </w:rPr>
            </w:pPr>
            <w:r w:rsidRPr="00F21087">
              <w:rPr>
                <w:rFonts w:cstheme="minorHAnsi"/>
                <w:bCs/>
                <w:sz w:val="14"/>
                <w:szCs w:val="14"/>
              </w:rPr>
              <w:t>Équiper en eau potable 400 postes et centres de santé. PM : données manquantes.</w:t>
            </w:r>
          </w:p>
          <w:p w14:paraId="1FD321A6" w14:textId="77777777" w:rsidR="008F2269" w:rsidRPr="00F21087" w:rsidRDefault="008F2269" w:rsidP="008F2269">
            <w:pPr>
              <w:pStyle w:val="Paragraphedeliste"/>
              <w:numPr>
                <w:ilvl w:val="0"/>
                <w:numId w:val="92"/>
              </w:numPr>
              <w:suppressAutoHyphens/>
              <w:autoSpaceDE w:val="0"/>
              <w:autoSpaceDN w:val="0"/>
              <w:adjustRightInd w:val="0"/>
              <w:jc w:val="both"/>
              <w:textAlignment w:val="baseline"/>
              <w:rPr>
                <w:rFonts w:cstheme="minorHAnsi"/>
                <w:bCs/>
                <w:sz w:val="14"/>
                <w:szCs w:val="14"/>
              </w:rPr>
            </w:pPr>
            <w:r w:rsidRPr="00F21087">
              <w:rPr>
                <w:rFonts w:cstheme="minorHAnsi"/>
                <w:bCs/>
                <w:sz w:val="14"/>
                <w:szCs w:val="14"/>
              </w:rPr>
              <w:t>Équiper en eau potable 3.200 écoles. PM : données manquantes.</w:t>
            </w:r>
          </w:p>
        </w:tc>
        <w:tc>
          <w:tcPr>
            <w:tcW w:w="2556" w:type="dxa"/>
            <w:vMerge/>
          </w:tcPr>
          <w:p w14:paraId="01BEA0AB" w14:textId="77777777" w:rsidR="008F2269" w:rsidRPr="00F21087" w:rsidRDefault="008F2269" w:rsidP="008F2269">
            <w:pPr>
              <w:pStyle w:val="Paragraphedeliste"/>
              <w:numPr>
                <w:ilvl w:val="0"/>
                <w:numId w:val="88"/>
              </w:numPr>
              <w:suppressAutoHyphens/>
              <w:autoSpaceDN w:val="0"/>
              <w:ind w:left="360"/>
              <w:jc w:val="both"/>
              <w:textAlignment w:val="baseline"/>
              <w:rPr>
                <w:rFonts w:cstheme="minorHAnsi"/>
                <w:bCs/>
                <w:sz w:val="14"/>
                <w:szCs w:val="14"/>
              </w:rPr>
            </w:pPr>
          </w:p>
        </w:tc>
      </w:tr>
      <w:tr w:rsidR="008F2269" w:rsidRPr="00F21087" w14:paraId="70357DDE" w14:textId="77777777" w:rsidTr="002D1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2830" w:type="dxa"/>
            <w:shd w:val="clear" w:color="auto" w:fill="C5E0B3" w:themeFill="accent6" w:themeFillTint="66"/>
            <w:vAlign w:val="center"/>
          </w:tcPr>
          <w:p w14:paraId="24DF92BB" w14:textId="77777777" w:rsidR="008F2269" w:rsidRPr="00F21087" w:rsidRDefault="008F2269" w:rsidP="002D1362">
            <w:pPr>
              <w:jc w:val="both"/>
              <w:rPr>
                <w:rFonts w:cstheme="minorHAnsi"/>
                <w:bCs/>
                <w:sz w:val="14"/>
                <w:szCs w:val="14"/>
              </w:rPr>
            </w:pPr>
            <w:r w:rsidRPr="00F21087">
              <w:rPr>
                <w:rFonts w:cstheme="minorHAnsi"/>
                <w:bCs/>
                <w:sz w:val="14"/>
                <w:szCs w:val="14"/>
              </w:rPr>
              <w:t xml:space="preserve">Résultat 2.4: Le taux de raccordement en milieu urbain est porté à 100%. </w:t>
            </w:r>
          </w:p>
        </w:tc>
        <w:tc>
          <w:tcPr>
            <w:tcW w:w="3402" w:type="dxa"/>
            <w:vMerge/>
          </w:tcPr>
          <w:p w14:paraId="300CD17D" w14:textId="77777777" w:rsidR="008F2269" w:rsidRPr="00F21087" w:rsidRDefault="008F2269" w:rsidP="008F2269">
            <w:pPr>
              <w:pStyle w:val="Paragraphedeliste"/>
              <w:numPr>
                <w:ilvl w:val="0"/>
                <w:numId w:val="88"/>
              </w:numPr>
              <w:suppressAutoHyphens/>
              <w:autoSpaceDN w:val="0"/>
              <w:ind w:left="360"/>
              <w:jc w:val="both"/>
              <w:textAlignment w:val="baseline"/>
              <w:rPr>
                <w:rFonts w:cstheme="minorHAnsi"/>
                <w:sz w:val="14"/>
                <w:szCs w:val="14"/>
              </w:rPr>
            </w:pPr>
          </w:p>
        </w:tc>
        <w:tc>
          <w:tcPr>
            <w:tcW w:w="5387" w:type="dxa"/>
          </w:tcPr>
          <w:p w14:paraId="76CD7087" w14:textId="77777777" w:rsidR="008F2269" w:rsidRPr="00F21087" w:rsidRDefault="008F2269" w:rsidP="002D1362">
            <w:pPr>
              <w:shd w:val="clear" w:color="auto" w:fill="DEEAF6" w:themeFill="accent5" w:themeFillTint="33"/>
              <w:autoSpaceDE w:val="0"/>
              <w:autoSpaceDN w:val="0"/>
              <w:adjustRightInd w:val="0"/>
              <w:jc w:val="center"/>
              <w:rPr>
                <w:rFonts w:cstheme="minorHAnsi"/>
                <w:bCs/>
                <w:sz w:val="14"/>
                <w:szCs w:val="14"/>
              </w:rPr>
            </w:pPr>
            <w:r w:rsidRPr="00F21087">
              <w:rPr>
                <w:rFonts w:cstheme="minorHAnsi"/>
                <w:bCs/>
                <w:sz w:val="14"/>
                <w:szCs w:val="14"/>
              </w:rPr>
              <w:t>SNADEA 2017-2030</w:t>
            </w:r>
          </w:p>
          <w:p w14:paraId="4262D182" w14:textId="77777777" w:rsidR="008F2269" w:rsidRPr="00F21087" w:rsidRDefault="008F2269" w:rsidP="008F2269">
            <w:pPr>
              <w:pStyle w:val="Paragraphedeliste"/>
              <w:numPr>
                <w:ilvl w:val="0"/>
                <w:numId w:val="92"/>
              </w:numPr>
              <w:suppressAutoHyphens/>
              <w:autoSpaceDE w:val="0"/>
              <w:autoSpaceDN w:val="0"/>
              <w:adjustRightInd w:val="0"/>
              <w:jc w:val="both"/>
              <w:textAlignment w:val="baseline"/>
              <w:rPr>
                <w:rFonts w:cstheme="minorHAnsi"/>
                <w:bCs/>
                <w:sz w:val="14"/>
                <w:szCs w:val="14"/>
              </w:rPr>
            </w:pPr>
            <w:r w:rsidRPr="00F21087">
              <w:rPr>
                <w:rFonts w:cstheme="minorHAnsi"/>
                <w:bCs/>
                <w:sz w:val="14"/>
                <w:szCs w:val="14"/>
              </w:rPr>
              <w:t>Réaliser 150.000 branchements particuliers subventionnés à 50% y compris extensions. Financement à rechercher : 3.560 MMRU.</w:t>
            </w:r>
          </w:p>
          <w:p w14:paraId="640C3E05" w14:textId="77777777" w:rsidR="008F2269" w:rsidRPr="00F21087" w:rsidRDefault="008F2269" w:rsidP="008F2269">
            <w:pPr>
              <w:pStyle w:val="Paragraphedeliste"/>
              <w:numPr>
                <w:ilvl w:val="0"/>
                <w:numId w:val="92"/>
              </w:numPr>
              <w:suppressAutoHyphens/>
              <w:autoSpaceDE w:val="0"/>
              <w:autoSpaceDN w:val="0"/>
              <w:adjustRightInd w:val="0"/>
              <w:jc w:val="both"/>
              <w:textAlignment w:val="baseline"/>
              <w:rPr>
                <w:rFonts w:cstheme="minorHAnsi"/>
                <w:bCs/>
                <w:sz w:val="14"/>
                <w:szCs w:val="14"/>
              </w:rPr>
            </w:pPr>
            <w:r w:rsidRPr="00F21087">
              <w:rPr>
                <w:rFonts w:cstheme="minorHAnsi"/>
                <w:bCs/>
                <w:sz w:val="14"/>
                <w:szCs w:val="14"/>
              </w:rPr>
              <w:t xml:space="preserve">Poursuivre les projets d’AEP structurants (Dhar phase II - Aftout Chargui phase II - Boghé / Aleg / Sangrafa). </w:t>
            </w:r>
          </w:p>
          <w:p w14:paraId="44B41ED5" w14:textId="77777777" w:rsidR="008F2269" w:rsidRPr="00F21087" w:rsidRDefault="008F2269" w:rsidP="002D1362">
            <w:pPr>
              <w:autoSpaceDE w:val="0"/>
              <w:adjustRightInd w:val="0"/>
              <w:ind w:left="360"/>
              <w:jc w:val="both"/>
              <w:rPr>
                <w:rFonts w:cstheme="minorHAnsi"/>
                <w:bCs/>
                <w:sz w:val="14"/>
                <w:szCs w:val="14"/>
              </w:rPr>
            </w:pPr>
            <w:r w:rsidRPr="00F21087">
              <w:rPr>
                <w:rFonts w:cstheme="minorHAnsi"/>
                <w:bCs/>
                <w:sz w:val="14"/>
                <w:szCs w:val="14"/>
              </w:rPr>
              <w:t xml:space="preserve">Financement à rechercher : 77.000 </w:t>
            </w:r>
            <w:proofErr w:type="spellStart"/>
            <w:r w:rsidRPr="00F21087">
              <w:rPr>
                <w:rFonts w:cstheme="minorHAnsi"/>
                <w:bCs/>
                <w:sz w:val="14"/>
                <w:szCs w:val="14"/>
              </w:rPr>
              <w:t>MioMRU</w:t>
            </w:r>
            <w:proofErr w:type="spellEnd"/>
            <w:r w:rsidRPr="00F21087">
              <w:rPr>
                <w:rFonts w:cstheme="minorHAnsi"/>
                <w:bCs/>
                <w:sz w:val="14"/>
                <w:szCs w:val="14"/>
              </w:rPr>
              <w:t>.</w:t>
            </w:r>
          </w:p>
          <w:p w14:paraId="4D0FA320" w14:textId="77777777" w:rsidR="008F2269" w:rsidRPr="00F21087" w:rsidRDefault="008F2269" w:rsidP="008F2269">
            <w:pPr>
              <w:pStyle w:val="Paragraphedeliste"/>
              <w:numPr>
                <w:ilvl w:val="0"/>
                <w:numId w:val="92"/>
              </w:numPr>
              <w:suppressAutoHyphens/>
              <w:autoSpaceDE w:val="0"/>
              <w:autoSpaceDN w:val="0"/>
              <w:adjustRightInd w:val="0"/>
              <w:jc w:val="both"/>
              <w:textAlignment w:val="baseline"/>
              <w:rPr>
                <w:rFonts w:cstheme="minorHAnsi"/>
                <w:bCs/>
                <w:sz w:val="14"/>
                <w:szCs w:val="14"/>
              </w:rPr>
            </w:pPr>
            <w:r w:rsidRPr="00F21087">
              <w:rPr>
                <w:rFonts w:cstheme="minorHAnsi"/>
                <w:bCs/>
                <w:sz w:val="14"/>
                <w:szCs w:val="14"/>
              </w:rPr>
              <w:t xml:space="preserve">Réaliser 60 forages de reconnaissance pour renforcer l'AEP des villes secondaires. </w:t>
            </w:r>
          </w:p>
          <w:p w14:paraId="6BF1E2FB" w14:textId="77777777" w:rsidR="008F2269" w:rsidRPr="00F21087" w:rsidRDefault="008F2269" w:rsidP="002D1362">
            <w:pPr>
              <w:pStyle w:val="Paragraphedeliste"/>
              <w:autoSpaceDE w:val="0"/>
              <w:adjustRightInd w:val="0"/>
              <w:ind w:left="360"/>
              <w:jc w:val="both"/>
              <w:rPr>
                <w:rFonts w:cstheme="minorHAnsi"/>
                <w:bCs/>
                <w:sz w:val="14"/>
                <w:szCs w:val="14"/>
              </w:rPr>
            </w:pPr>
            <w:r w:rsidRPr="00F21087">
              <w:rPr>
                <w:rFonts w:cstheme="minorHAnsi"/>
                <w:bCs/>
                <w:sz w:val="14"/>
                <w:szCs w:val="14"/>
              </w:rPr>
              <w:t xml:space="preserve">Financement à rechercher : 2.300 </w:t>
            </w:r>
            <w:proofErr w:type="spellStart"/>
            <w:r w:rsidRPr="00F21087">
              <w:rPr>
                <w:rFonts w:cstheme="minorHAnsi"/>
                <w:bCs/>
                <w:sz w:val="14"/>
                <w:szCs w:val="14"/>
              </w:rPr>
              <w:t>MioMRU</w:t>
            </w:r>
            <w:proofErr w:type="spellEnd"/>
            <w:r w:rsidRPr="00F21087">
              <w:rPr>
                <w:rFonts w:cstheme="minorHAnsi"/>
                <w:bCs/>
                <w:sz w:val="14"/>
                <w:szCs w:val="14"/>
              </w:rPr>
              <w:t>.</w:t>
            </w:r>
          </w:p>
        </w:tc>
        <w:tc>
          <w:tcPr>
            <w:tcW w:w="2556" w:type="dxa"/>
            <w:vMerge/>
            <w:tcBorders>
              <w:bottom w:val="nil"/>
            </w:tcBorders>
          </w:tcPr>
          <w:p w14:paraId="399DA7A7" w14:textId="77777777" w:rsidR="008F2269" w:rsidRPr="00F21087" w:rsidRDefault="008F2269" w:rsidP="002D1362">
            <w:pPr>
              <w:jc w:val="both"/>
              <w:rPr>
                <w:rFonts w:cstheme="minorHAnsi"/>
                <w:bCs/>
                <w:sz w:val="14"/>
                <w:szCs w:val="14"/>
              </w:rPr>
            </w:pPr>
          </w:p>
        </w:tc>
      </w:tr>
      <w:tr w:rsidR="008F2269" w:rsidRPr="00F21087" w14:paraId="35B8E21D" w14:textId="77777777" w:rsidTr="002D1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679"/>
        </w:trPr>
        <w:tc>
          <w:tcPr>
            <w:tcW w:w="2830" w:type="dxa"/>
            <w:shd w:val="clear" w:color="auto" w:fill="C5E0B3" w:themeFill="accent6" w:themeFillTint="66"/>
            <w:vAlign w:val="center"/>
          </w:tcPr>
          <w:p w14:paraId="4F2AA36F" w14:textId="77777777" w:rsidR="008F2269" w:rsidRPr="00F21087" w:rsidRDefault="008F2269" w:rsidP="002D1362">
            <w:pPr>
              <w:jc w:val="both"/>
              <w:rPr>
                <w:rFonts w:cstheme="minorHAnsi"/>
                <w:bCs/>
                <w:sz w:val="14"/>
                <w:szCs w:val="14"/>
              </w:rPr>
            </w:pPr>
            <w:r w:rsidRPr="00F21087">
              <w:rPr>
                <w:rFonts w:cstheme="minorHAnsi"/>
                <w:bCs/>
                <w:sz w:val="14"/>
                <w:szCs w:val="14"/>
              </w:rPr>
              <w:t xml:space="preserve">Résultat 2.5 : </w:t>
            </w:r>
            <w:r w:rsidRPr="00F21087">
              <w:rPr>
                <w:rFonts w:cstheme="minorHAnsi"/>
                <w:sz w:val="14"/>
                <w:szCs w:val="14"/>
              </w:rPr>
              <w:t>Les grands projets d’AEP « structurants » à partir des eaux de surface sont mis en œuvre :</w:t>
            </w:r>
          </w:p>
          <w:p w14:paraId="31CCC7D8" w14:textId="77777777" w:rsidR="008F2269" w:rsidRPr="00F21087" w:rsidRDefault="008F2269" w:rsidP="002D1362">
            <w:pPr>
              <w:jc w:val="both"/>
              <w:rPr>
                <w:rFonts w:cstheme="minorHAnsi"/>
                <w:sz w:val="14"/>
                <w:szCs w:val="14"/>
              </w:rPr>
            </w:pPr>
          </w:p>
          <w:p w14:paraId="181B803D" w14:textId="77777777" w:rsidR="008F2269" w:rsidRPr="00F21087" w:rsidRDefault="008F2269" w:rsidP="008F2269">
            <w:pPr>
              <w:numPr>
                <w:ilvl w:val="0"/>
                <w:numId w:val="93"/>
              </w:numPr>
              <w:shd w:val="clear" w:color="auto" w:fill="C5E0B3" w:themeFill="accent6" w:themeFillTint="66"/>
              <w:ind w:left="317" w:hanging="317"/>
              <w:contextualSpacing/>
              <w:jc w:val="lowKashida"/>
              <w:rPr>
                <w:rFonts w:cstheme="minorHAnsi"/>
                <w:color w:val="000000"/>
                <w:sz w:val="14"/>
                <w:szCs w:val="14"/>
                <w:lang w:eastAsia="fr-FR"/>
              </w:rPr>
            </w:pPr>
            <w:r w:rsidRPr="00F21087">
              <w:rPr>
                <w:rFonts w:cstheme="minorHAnsi"/>
                <w:color w:val="000000"/>
                <w:sz w:val="14"/>
                <w:szCs w:val="14"/>
                <w:lang w:eastAsia="fr-FR"/>
              </w:rPr>
              <w:t>Aftout</w:t>
            </w:r>
            <w:r w:rsidRPr="00F21087">
              <w:rPr>
                <w:rFonts w:cstheme="minorHAnsi"/>
                <w:color w:val="000000"/>
                <w:sz w:val="10"/>
                <w:szCs w:val="10"/>
                <w:lang w:eastAsia="fr-FR"/>
              </w:rPr>
              <w:t xml:space="preserve"> </w:t>
            </w:r>
            <w:r w:rsidRPr="00F21087">
              <w:rPr>
                <w:rFonts w:cstheme="minorHAnsi"/>
                <w:color w:val="000000"/>
                <w:sz w:val="14"/>
                <w:szCs w:val="14"/>
                <w:lang w:eastAsia="fr-FR"/>
              </w:rPr>
              <w:t>Chargui phase II. AEP de Kiffa.</w:t>
            </w:r>
          </w:p>
          <w:p w14:paraId="721364AC" w14:textId="77777777" w:rsidR="008F2269" w:rsidRPr="00F21087" w:rsidRDefault="008F2269" w:rsidP="008F2269">
            <w:pPr>
              <w:numPr>
                <w:ilvl w:val="0"/>
                <w:numId w:val="93"/>
              </w:numPr>
              <w:shd w:val="clear" w:color="auto" w:fill="C5E0B3" w:themeFill="accent6" w:themeFillTint="66"/>
              <w:ind w:left="317" w:hanging="317"/>
              <w:contextualSpacing/>
              <w:jc w:val="lowKashida"/>
              <w:rPr>
                <w:rFonts w:cstheme="minorHAnsi"/>
                <w:color w:val="000000"/>
                <w:sz w:val="14"/>
                <w:szCs w:val="14"/>
                <w:lang w:val="pt-PT" w:eastAsia="fr-FR"/>
              </w:rPr>
            </w:pPr>
            <w:r w:rsidRPr="00F21087">
              <w:rPr>
                <w:rFonts w:cstheme="minorHAnsi"/>
                <w:color w:val="000000"/>
                <w:sz w:val="14"/>
                <w:szCs w:val="14"/>
                <w:lang w:val="pt-PT" w:eastAsia="fr-FR"/>
              </w:rPr>
              <w:t>AEP de l’axe Boghé – Aleg- Sangarafa.</w:t>
            </w:r>
          </w:p>
          <w:p w14:paraId="6D0A0362" w14:textId="77777777" w:rsidR="008F2269" w:rsidRPr="00F21087" w:rsidRDefault="008F2269" w:rsidP="008F2269">
            <w:pPr>
              <w:numPr>
                <w:ilvl w:val="0"/>
                <w:numId w:val="93"/>
              </w:numPr>
              <w:shd w:val="clear" w:color="auto" w:fill="C5E0B3" w:themeFill="accent6" w:themeFillTint="66"/>
              <w:ind w:left="317" w:hanging="317"/>
              <w:contextualSpacing/>
              <w:jc w:val="lowKashida"/>
              <w:rPr>
                <w:rFonts w:cstheme="minorHAnsi"/>
                <w:color w:val="000000"/>
                <w:sz w:val="14"/>
                <w:szCs w:val="14"/>
                <w:lang w:eastAsia="fr-FR"/>
              </w:rPr>
            </w:pPr>
            <w:r w:rsidRPr="00F21087">
              <w:rPr>
                <w:rFonts w:cstheme="minorHAnsi"/>
                <w:color w:val="000000"/>
                <w:sz w:val="14"/>
                <w:szCs w:val="14"/>
                <w:lang w:eastAsia="fr-FR"/>
              </w:rPr>
              <w:t>L’approvisionnement en eau des wilayas du Nord, (Inchiri, Adrar, Dakhlet Nouadhibou et Tiris Zemmour) intègre les enjeux relatifs à l’AEP aux besoins de l’activité minière (échéance : 2030-2040).</w:t>
            </w:r>
          </w:p>
          <w:p w14:paraId="3430ABD5" w14:textId="77777777" w:rsidR="008F2269" w:rsidRPr="00F21087" w:rsidRDefault="008F2269" w:rsidP="002D1362">
            <w:pPr>
              <w:shd w:val="clear" w:color="auto" w:fill="C5E0B3" w:themeFill="accent6" w:themeFillTint="66"/>
              <w:ind w:left="317"/>
              <w:contextualSpacing/>
              <w:jc w:val="lowKashida"/>
              <w:rPr>
                <w:rFonts w:cstheme="minorHAnsi"/>
                <w:color w:val="000000"/>
                <w:sz w:val="14"/>
                <w:szCs w:val="14"/>
                <w:lang w:eastAsia="fr-FR"/>
              </w:rPr>
            </w:pPr>
          </w:p>
          <w:p w14:paraId="4A3CCD24" w14:textId="77777777" w:rsidR="008F2269" w:rsidRPr="00F21087" w:rsidRDefault="008F2269" w:rsidP="002D1362">
            <w:pPr>
              <w:autoSpaceDE w:val="0"/>
              <w:adjustRightInd w:val="0"/>
              <w:jc w:val="both"/>
              <w:rPr>
                <w:rFonts w:cstheme="minorHAnsi"/>
                <w:sz w:val="14"/>
                <w:szCs w:val="14"/>
              </w:rPr>
            </w:pPr>
            <w:r w:rsidRPr="00F21087">
              <w:rPr>
                <w:rFonts w:cstheme="minorHAnsi"/>
                <w:sz w:val="14"/>
                <w:szCs w:val="14"/>
              </w:rPr>
              <w:t xml:space="preserve">Ce résultat n’est pas dans la </w:t>
            </w:r>
            <w:proofErr w:type="gramStart"/>
            <w:r w:rsidRPr="00F21087">
              <w:rPr>
                <w:rFonts w:cstheme="minorHAnsi"/>
                <w:sz w:val="14"/>
                <w:szCs w:val="14"/>
              </w:rPr>
              <w:t>SNADEA .Voir</w:t>
            </w:r>
            <w:proofErr w:type="gramEnd"/>
            <w:r w:rsidRPr="00F21087">
              <w:rPr>
                <w:rFonts w:cstheme="minorHAnsi"/>
                <w:sz w:val="14"/>
                <w:szCs w:val="14"/>
              </w:rPr>
              <w:t xml:space="preserve"> si on peut intégrer les mesures prévues dans un résultat clé de la SNADEA</w:t>
            </w:r>
          </w:p>
        </w:tc>
        <w:tc>
          <w:tcPr>
            <w:tcW w:w="3402" w:type="dxa"/>
            <w:vMerge/>
          </w:tcPr>
          <w:p w14:paraId="1996B1DA" w14:textId="77777777" w:rsidR="008F2269" w:rsidRPr="00F21087" w:rsidRDefault="008F2269" w:rsidP="008F2269">
            <w:pPr>
              <w:pStyle w:val="Paragraphedeliste"/>
              <w:numPr>
                <w:ilvl w:val="0"/>
                <w:numId w:val="88"/>
              </w:numPr>
              <w:suppressAutoHyphens/>
              <w:autoSpaceDN w:val="0"/>
              <w:ind w:left="360"/>
              <w:jc w:val="both"/>
              <w:textAlignment w:val="baseline"/>
              <w:rPr>
                <w:rFonts w:cstheme="minorHAnsi"/>
                <w:sz w:val="14"/>
                <w:szCs w:val="14"/>
              </w:rPr>
            </w:pPr>
          </w:p>
        </w:tc>
        <w:tc>
          <w:tcPr>
            <w:tcW w:w="5387" w:type="dxa"/>
          </w:tcPr>
          <w:p w14:paraId="4531AE85" w14:textId="77777777" w:rsidR="008F2269" w:rsidRPr="00F21087" w:rsidRDefault="008F2269" w:rsidP="002D1362">
            <w:pPr>
              <w:autoSpaceDE w:val="0"/>
              <w:adjustRightInd w:val="0"/>
              <w:jc w:val="both"/>
              <w:rPr>
                <w:rFonts w:cstheme="minorHAnsi"/>
                <w:bCs/>
                <w:sz w:val="14"/>
                <w:szCs w:val="14"/>
              </w:rPr>
            </w:pPr>
          </w:p>
          <w:p w14:paraId="1E00F23F" w14:textId="77777777" w:rsidR="008F2269" w:rsidRPr="00F21087" w:rsidRDefault="008F2269" w:rsidP="002D1362">
            <w:pPr>
              <w:pStyle w:val="Paragraphedeliste"/>
              <w:shd w:val="clear" w:color="auto" w:fill="DEEAF6" w:themeFill="accent5" w:themeFillTint="33"/>
              <w:ind w:left="360"/>
              <w:jc w:val="center"/>
              <w:rPr>
                <w:rFonts w:cstheme="minorHAnsi"/>
                <w:bCs/>
                <w:sz w:val="14"/>
                <w:szCs w:val="14"/>
              </w:rPr>
            </w:pPr>
            <w:r w:rsidRPr="00F21087">
              <w:rPr>
                <w:rFonts w:cstheme="minorHAnsi"/>
                <w:bCs/>
                <w:sz w:val="14"/>
                <w:szCs w:val="14"/>
              </w:rPr>
              <w:t>Déclaration de politique générale du PM, 06 septembre 2019</w:t>
            </w:r>
          </w:p>
          <w:p w14:paraId="255A0AC5" w14:textId="77777777" w:rsidR="008F2269" w:rsidRPr="00F21087" w:rsidRDefault="008F2269" w:rsidP="008F2269">
            <w:pPr>
              <w:pStyle w:val="Paragraphedeliste"/>
              <w:numPr>
                <w:ilvl w:val="0"/>
                <w:numId w:val="92"/>
              </w:numPr>
              <w:suppressAutoHyphens/>
              <w:autoSpaceDN w:val="0"/>
              <w:jc w:val="both"/>
              <w:textAlignment w:val="baseline"/>
              <w:rPr>
                <w:rFonts w:cstheme="minorHAnsi"/>
                <w:sz w:val="14"/>
                <w:szCs w:val="14"/>
              </w:rPr>
            </w:pPr>
            <w:r w:rsidRPr="00F21087">
              <w:rPr>
                <w:rFonts w:cstheme="minorHAnsi"/>
                <w:bCs/>
                <w:sz w:val="14"/>
                <w:szCs w:val="14"/>
              </w:rPr>
              <w:t xml:space="preserve">Installation d'une centrale thermique de 5MGW à Beninajii pour sécuriser l’approvisionnement en eau de la ville de Nouakchott par le réseau de l’Aftout Essahli. Financement à rechercher : 100 </w:t>
            </w:r>
            <w:proofErr w:type="spellStart"/>
            <w:r w:rsidRPr="00F21087">
              <w:rPr>
                <w:rFonts w:cstheme="minorHAnsi"/>
                <w:bCs/>
                <w:sz w:val="14"/>
                <w:szCs w:val="14"/>
              </w:rPr>
              <w:t>MioMRU</w:t>
            </w:r>
            <w:proofErr w:type="spellEnd"/>
            <w:r w:rsidRPr="00F21087">
              <w:rPr>
                <w:rFonts w:cstheme="minorHAnsi"/>
                <w:bCs/>
                <w:sz w:val="14"/>
                <w:szCs w:val="14"/>
              </w:rPr>
              <w:t>.</w:t>
            </w:r>
          </w:p>
          <w:p w14:paraId="0A5BDDAB" w14:textId="77777777" w:rsidR="008F2269" w:rsidRPr="00F21087" w:rsidRDefault="008F2269" w:rsidP="008F2269">
            <w:pPr>
              <w:pStyle w:val="Paragraphedeliste"/>
              <w:numPr>
                <w:ilvl w:val="0"/>
                <w:numId w:val="92"/>
              </w:numPr>
              <w:suppressAutoHyphens/>
              <w:autoSpaceDN w:val="0"/>
              <w:jc w:val="both"/>
              <w:textAlignment w:val="baseline"/>
              <w:rPr>
                <w:rFonts w:cstheme="minorHAnsi"/>
                <w:sz w:val="14"/>
                <w:szCs w:val="14"/>
              </w:rPr>
            </w:pPr>
            <w:r w:rsidRPr="00F21087">
              <w:rPr>
                <w:rFonts w:cstheme="minorHAnsi"/>
                <w:sz w:val="14"/>
                <w:szCs w:val="14"/>
              </w:rPr>
              <w:t>Alimenter en eau potable la plupart des localités rurales à l’horizon 2025 et l’extension du réseau de la SNDE à l’ensemble des quartiers de Nouakchott. </w:t>
            </w:r>
          </w:p>
          <w:p w14:paraId="0153A225" w14:textId="77777777" w:rsidR="008F2269" w:rsidRPr="00F21087" w:rsidRDefault="008F2269" w:rsidP="008F2269">
            <w:pPr>
              <w:pStyle w:val="Paragraphedeliste"/>
              <w:numPr>
                <w:ilvl w:val="0"/>
                <w:numId w:val="92"/>
              </w:numPr>
              <w:suppressAutoHyphens/>
              <w:autoSpaceDE w:val="0"/>
              <w:autoSpaceDN w:val="0"/>
              <w:adjustRightInd w:val="0"/>
              <w:jc w:val="both"/>
              <w:textAlignment w:val="baseline"/>
              <w:rPr>
                <w:rFonts w:cstheme="minorHAnsi"/>
                <w:sz w:val="14"/>
                <w:szCs w:val="14"/>
              </w:rPr>
            </w:pPr>
            <w:r w:rsidRPr="00F21087">
              <w:rPr>
                <w:rFonts w:cstheme="minorHAnsi"/>
                <w:bCs/>
                <w:sz w:val="14"/>
                <w:szCs w:val="14"/>
              </w:rPr>
              <w:t xml:space="preserve">Projet DHAR pour l’alimentation de localités dans les deux Hodhs situées sur les axes de Timbédra-Aweinat Zbill-Aioun et de Timbédra-Djiguenni, la ville de Oualata et la zone de Bougadoum, Biri Bavatt, Bousta et Mabrouk  </w:t>
            </w:r>
          </w:p>
          <w:p w14:paraId="008021B0" w14:textId="77777777" w:rsidR="008F2269" w:rsidRPr="00F21087" w:rsidRDefault="008F2269" w:rsidP="008F2269">
            <w:pPr>
              <w:pStyle w:val="Paragraphedeliste"/>
              <w:numPr>
                <w:ilvl w:val="0"/>
                <w:numId w:val="92"/>
              </w:numPr>
              <w:suppressAutoHyphens/>
              <w:autoSpaceDE w:val="0"/>
              <w:autoSpaceDN w:val="0"/>
              <w:adjustRightInd w:val="0"/>
              <w:jc w:val="both"/>
              <w:textAlignment w:val="baseline"/>
              <w:rPr>
                <w:rFonts w:cstheme="minorHAnsi"/>
                <w:bCs/>
                <w:sz w:val="14"/>
                <w:szCs w:val="14"/>
              </w:rPr>
            </w:pPr>
            <w:r w:rsidRPr="00F21087">
              <w:rPr>
                <w:rFonts w:cstheme="minorHAnsi"/>
                <w:bCs/>
                <w:sz w:val="14"/>
                <w:szCs w:val="14"/>
              </w:rPr>
              <w:t xml:space="preserve">L’alimentation en eau potable de douze localités du Guidimakha et de l’Assaba à partir du fleuve </w:t>
            </w:r>
          </w:p>
          <w:p w14:paraId="4E9911EA" w14:textId="77777777" w:rsidR="008F2269" w:rsidRPr="00F21087" w:rsidRDefault="008F2269" w:rsidP="008F2269">
            <w:pPr>
              <w:pStyle w:val="Paragraphedeliste"/>
              <w:numPr>
                <w:ilvl w:val="0"/>
                <w:numId w:val="92"/>
              </w:numPr>
              <w:suppressAutoHyphens/>
              <w:autoSpaceDE w:val="0"/>
              <w:autoSpaceDN w:val="0"/>
              <w:adjustRightInd w:val="0"/>
              <w:jc w:val="both"/>
              <w:textAlignment w:val="baseline"/>
              <w:rPr>
                <w:rFonts w:cstheme="minorHAnsi"/>
                <w:bCs/>
                <w:sz w:val="14"/>
                <w:szCs w:val="14"/>
              </w:rPr>
            </w:pPr>
            <w:r w:rsidRPr="00F21087">
              <w:rPr>
                <w:rFonts w:cstheme="minorHAnsi"/>
                <w:bCs/>
                <w:sz w:val="14"/>
                <w:szCs w:val="14"/>
              </w:rPr>
              <w:t xml:space="preserve">Projet Sectoriel Eau et Assainissement qui </w:t>
            </w:r>
            <w:proofErr w:type="gramStart"/>
            <w:r w:rsidRPr="00F21087">
              <w:rPr>
                <w:rFonts w:cstheme="minorHAnsi"/>
                <w:bCs/>
                <w:sz w:val="14"/>
                <w:szCs w:val="14"/>
              </w:rPr>
              <w:t>bénéficiera</w:t>
            </w:r>
            <w:proofErr w:type="gramEnd"/>
            <w:r w:rsidRPr="00F21087">
              <w:rPr>
                <w:rFonts w:cstheme="minorHAnsi"/>
                <w:bCs/>
                <w:sz w:val="14"/>
                <w:szCs w:val="14"/>
              </w:rPr>
              <w:t xml:space="preserve"> à 473.000 personnes dans les Wilayas du Hodh Chargui, Hodh El-Gharbi, Assaba, Guidimakha et Gorgol </w:t>
            </w:r>
          </w:p>
          <w:p w14:paraId="61510D17" w14:textId="77777777" w:rsidR="008F2269" w:rsidRPr="00F21087" w:rsidRDefault="008F2269" w:rsidP="008F2269">
            <w:pPr>
              <w:pStyle w:val="Paragraphedeliste"/>
              <w:numPr>
                <w:ilvl w:val="0"/>
                <w:numId w:val="92"/>
              </w:numPr>
              <w:suppressAutoHyphens/>
              <w:autoSpaceDE w:val="0"/>
              <w:autoSpaceDN w:val="0"/>
              <w:adjustRightInd w:val="0"/>
              <w:jc w:val="both"/>
              <w:textAlignment w:val="baseline"/>
              <w:rPr>
                <w:rFonts w:cstheme="minorHAnsi"/>
                <w:sz w:val="14"/>
                <w:szCs w:val="14"/>
              </w:rPr>
            </w:pPr>
            <w:r w:rsidRPr="00F21087">
              <w:rPr>
                <w:rFonts w:cstheme="minorHAnsi"/>
                <w:bCs/>
                <w:sz w:val="14"/>
                <w:szCs w:val="14"/>
              </w:rPr>
              <w:t>Projet de renforcement de l’alimentation en eau potable de Nouadhibou à partir de Boulenouar.</w:t>
            </w:r>
          </w:p>
          <w:p w14:paraId="7D701D18" w14:textId="77777777" w:rsidR="008F2269" w:rsidRPr="00F21087" w:rsidRDefault="008F2269" w:rsidP="008F2269">
            <w:pPr>
              <w:pStyle w:val="Paragraphedeliste"/>
              <w:numPr>
                <w:ilvl w:val="0"/>
                <w:numId w:val="92"/>
              </w:numPr>
              <w:suppressAutoHyphens/>
              <w:autoSpaceDE w:val="0"/>
              <w:autoSpaceDN w:val="0"/>
              <w:adjustRightInd w:val="0"/>
              <w:jc w:val="both"/>
              <w:textAlignment w:val="baseline"/>
              <w:rPr>
                <w:rFonts w:cstheme="minorHAnsi"/>
                <w:sz w:val="14"/>
                <w:szCs w:val="14"/>
              </w:rPr>
            </w:pPr>
            <w:r w:rsidRPr="00F21087">
              <w:rPr>
                <w:rFonts w:cstheme="minorHAnsi"/>
                <w:bCs/>
                <w:sz w:val="14"/>
                <w:szCs w:val="14"/>
              </w:rPr>
              <w:t>Projet d’extension des installations de l’Aftout Essahli et la remise en état du système d’alimentation en eau potable de Nouakchott à partir d’Idini.</w:t>
            </w:r>
          </w:p>
          <w:p w14:paraId="51191795" w14:textId="77777777" w:rsidR="008F2269" w:rsidRPr="00F21087" w:rsidRDefault="008F2269" w:rsidP="008F2269">
            <w:pPr>
              <w:pStyle w:val="Paragraphedeliste"/>
              <w:numPr>
                <w:ilvl w:val="0"/>
                <w:numId w:val="92"/>
              </w:numPr>
              <w:suppressAutoHyphens/>
              <w:autoSpaceDE w:val="0"/>
              <w:autoSpaceDN w:val="0"/>
              <w:adjustRightInd w:val="0"/>
              <w:jc w:val="both"/>
              <w:textAlignment w:val="baseline"/>
              <w:rPr>
                <w:rFonts w:cstheme="minorHAnsi"/>
                <w:sz w:val="14"/>
                <w:szCs w:val="14"/>
              </w:rPr>
            </w:pPr>
            <w:r w:rsidRPr="00F21087">
              <w:rPr>
                <w:rFonts w:cstheme="minorHAnsi"/>
                <w:sz w:val="14"/>
                <w:szCs w:val="14"/>
              </w:rPr>
              <w:t>Programme Pays 2020-2025 - GCF</w:t>
            </w:r>
          </w:p>
          <w:p w14:paraId="4AAA7E54" w14:textId="77777777" w:rsidR="008F2269" w:rsidRPr="00F21087" w:rsidRDefault="008F2269" w:rsidP="008F2269">
            <w:pPr>
              <w:pStyle w:val="Paragraphedeliste"/>
              <w:numPr>
                <w:ilvl w:val="0"/>
                <w:numId w:val="92"/>
              </w:numPr>
              <w:suppressAutoHyphens/>
              <w:autoSpaceDE w:val="0"/>
              <w:autoSpaceDN w:val="0"/>
              <w:adjustRightInd w:val="0"/>
              <w:jc w:val="both"/>
              <w:textAlignment w:val="baseline"/>
              <w:rPr>
                <w:rFonts w:cstheme="minorHAnsi"/>
                <w:bCs/>
                <w:sz w:val="14"/>
                <w:szCs w:val="14"/>
              </w:rPr>
            </w:pPr>
            <w:r w:rsidRPr="00F21087">
              <w:rPr>
                <w:rFonts w:cstheme="minorHAnsi"/>
                <w:bCs/>
                <w:sz w:val="14"/>
                <w:szCs w:val="14"/>
              </w:rPr>
              <w:t>Gestion résiliente au changement climatique de l'approvisionnement en eau et des ressources dans les Wilayas de Hodh El Chargui, Hodh El Gharbi, Assaba et Tagant. Financement à rechercher : 23 Mo $US (</w:t>
            </w:r>
            <w:r w:rsidRPr="00F21087">
              <w:rPr>
                <w:rFonts w:cstheme="minorHAnsi"/>
                <w:i/>
                <w:sz w:val="14"/>
                <w:szCs w:val="14"/>
              </w:rPr>
              <w:t>Recharge des aquifères et gestion durable des sols Gestion adaptative des ressources et de la demande en eau).</w:t>
            </w:r>
          </w:p>
          <w:p w14:paraId="09BD3622" w14:textId="77777777" w:rsidR="008F2269" w:rsidRPr="00F21087" w:rsidRDefault="008F2269" w:rsidP="002D1362">
            <w:pPr>
              <w:autoSpaceDE w:val="0"/>
              <w:adjustRightInd w:val="0"/>
              <w:ind w:right="113"/>
              <w:jc w:val="both"/>
              <w:rPr>
                <w:rFonts w:cstheme="minorHAnsi"/>
                <w:bCs/>
                <w:sz w:val="14"/>
                <w:szCs w:val="14"/>
              </w:rPr>
            </w:pPr>
          </w:p>
          <w:p w14:paraId="3AD2731E" w14:textId="77777777" w:rsidR="008F2269" w:rsidRPr="00F21087" w:rsidRDefault="008F2269" w:rsidP="002D1362">
            <w:pPr>
              <w:shd w:val="clear" w:color="auto" w:fill="DEEAF6" w:themeFill="accent5" w:themeFillTint="33"/>
              <w:autoSpaceDE w:val="0"/>
              <w:adjustRightInd w:val="0"/>
              <w:ind w:right="113"/>
              <w:jc w:val="center"/>
              <w:rPr>
                <w:rFonts w:cstheme="minorHAnsi"/>
                <w:bCs/>
                <w:sz w:val="14"/>
                <w:szCs w:val="14"/>
              </w:rPr>
            </w:pPr>
            <w:r w:rsidRPr="00F21087">
              <w:rPr>
                <w:rFonts w:cstheme="minorHAnsi"/>
                <w:bCs/>
                <w:sz w:val="14"/>
                <w:szCs w:val="14"/>
              </w:rPr>
              <w:t>SCAPP 2016-2030</w:t>
            </w:r>
          </w:p>
          <w:p w14:paraId="36972BA7" w14:textId="77777777" w:rsidR="008F2269" w:rsidRPr="00F21087" w:rsidRDefault="008F2269" w:rsidP="008F2269">
            <w:pPr>
              <w:pStyle w:val="Paragraphedeliste"/>
              <w:numPr>
                <w:ilvl w:val="0"/>
                <w:numId w:val="94"/>
              </w:numPr>
              <w:suppressAutoHyphens/>
              <w:autoSpaceDE w:val="0"/>
              <w:autoSpaceDN w:val="0"/>
              <w:adjustRightInd w:val="0"/>
              <w:jc w:val="both"/>
              <w:textAlignment w:val="baseline"/>
              <w:rPr>
                <w:rFonts w:cstheme="minorHAnsi"/>
                <w:bCs/>
                <w:sz w:val="14"/>
                <w:szCs w:val="14"/>
              </w:rPr>
            </w:pPr>
            <w:r w:rsidRPr="00F21087">
              <w:rPr>
                <w:rFonts w:cstheme="minorHAnsi"/>
                <w:bCs/>
                <w:sz w:val="14"/>
                <w:szCs w:val="14"/>
              </w:rPr>
              <w:t>Le Projet AEP Boghé-Aleg-Magtaa Lehjar</w:t>
            </w:r>
            <w:r w:rsidRPr="00F21087">
              <w:rPr>
                <w:rFonts w:cstheme="minorHAnsi"/>
                <w:sz w:val="14"/>
                <w:szCs w:val="14"/>
              </w:rPr>
              <w:t>.</w:t>
            </w:r>
          </w:p>
          <w:p w14:paraId="607272C4" w14:textId="77777777" w:rsidR="008F2269" w:rsidRPr="00F21087" w:rsidRDefault="008F2269" w:rsidP="008F2269">
            <w:pPr>
              <w:pStyle w:val="Paragraphedeliste"/>
              <w:numPr>
                <w:ilvl w:val="0"/>
                <w:numId w:val="94"/>
              </w:numPr>
              <w:suppressAutoHyphens/>
              <w:autoSpaceDE w:val="0"/>
              <w:autoSpaceDN w:val="0"/>
              <w:adjustRightInd w:val="0"/>
              <w:jc w:val="both"/>
              <w:textAlignment w:val="baseline"/>
              <w:rPr>
                <w:rFonts w:cstheme="minorHAnsi"/>
                <w:bCs/>
                <w:sz w:val="14"/>
                <w:szCs w:val="14"/>
              </w:rPr>
            </w:pPr>
            <w:proofErr w:type="spellStart"/>
            <w:r w:rsidRPr="00F21087">
              <w:rPr>
                <w:rFonts w:cstheme="minorHAnsi"/>
                <w:bCs/>
                <w:sz w:val="14"/>
                <w:szCs w:val="14"/>
              </w:rPr>
              <w:t>AEPs</w:t>
            </w:r>
            <w:proofErr w:type="spellEnd"/>
            <w:r w:rsidRPr="00F21087">
              <w:rPr>
                <w:rFonts w:cstheme="minorHAnsi"/>
                <w:bCs/>
                <w:sz w:val="14"/>
                <w:szCs w:val="14"/>
              </w:rPr>
              <w:t xml:space="preserve"> résilientes au CC de Kiffa et de Guérou branchées à partir du fleuve Sénégal.</w:t>
            </w:r>
          </w:p>
          <w:p w14:paraId="21A9C5E3" w14:textId="77777777" w:rsidR="008F2269" w:rsidRPr="00F21087" w:rsidRDefault="008F2269" w:rsidP="008F2269">
            <w:pPr>
              <w:pStyle w:val="Paragraphedeliste"/>
              <w:numPr>
                <w:ilvl w:val="0"/>
                <w:numId w:val="94"/>
              </w:numPr>
              <w:suppressAutoHyphens/>
              <w:autoSpaceDE w:val="0"/>
              <w:autoSpaceDN w:val="0"/>
              <w:adjustRightInd w:val="0"/>
              <w:jc w:val="both"/>
              <w:textAlignment w:val="baseline"/>
              <w:rPr>
                <w:rFonts w:cstheme="minorHAnsi"/>
                <w:bCs/>
                <w:sz w:val="14"/>
                <w:szCs w:val="14"/>
              </w:rPr>
            </w:pPr>
            <w:r w:rsidRPr="00F21087">
              <w:rPr>
                <w:rFonts w:cstheme="minorHAnsi"/>
                <w:sz w:val="14"/>
                <w:szCs w:val="14"/>
              </w:rPr>
              <w:t>L’approvisionnement en eau des wilayas du Nord, (Inchiri, Adrar, Dakhlet Nouadhibou et Tiris Zemmour).</w:t>
            </w:r>
          </w:p>
          <w:p w14:paraId="09195289" w14:textId="77777777" w:rsidR="008F2269" w:rsidRPr="00F21087" w:rsidRDefault="008F2269" w:rsidP="002D1362">
            <w:pPr>
              <w:pStyle w:val="Paragraphedeliste"/>
              <w:autoSpaceDE w:val="0"/>
              <w:adjustRightInd w:val="0"/>
              <w:ind w:left="360"/>
              <w:jc w:val="both"/>
              <w:rPr>
                <w:rFonts w:cstheme="minorHAnsi"/>
                <w:bCs/>
                <w:sz w:val="14"/>
                <w:szCs w:val="14"/>
              </w:rPr>
            </w:pPr>
          </w:p>
          <w:p w14:paraId="2B8006AC" w14:textId="77777777" w:rsidR="008F2269" w:rsidRPr="00F21087" w:rsidRDefault="008F2269" w:rsidP="002D1362">
            <w:pPr>
              <w:pStyle w:val="Paragraphedeliste"/>
              <w:rPr>
                <w:rFonts w:cstheme="minorHAnsi"/>
                <w:bCs/>
                <w:sz w:val="14"/>
                <w:szCs w:val="14"/>
              </w:rPr>
            </w:pPr>
          </w:p>
          <w:p w14:paraId="698CB119" w14:textId="77777777" w:rsidR="008F2269" w:rsidRPr="00F21087" w:rsidRDefault="008F2269" w:rsidP="002D1362">
            <w:pPr>
              <w:pStyle w:val="Paragraphedeliste"/>
              <w:rPr>
                <w:rFonts w:cstheme="minorHAnsi"/>
                <w:bCs/>
                <w:sz w:val="14"/>
                <w:szCs w:val="14"/>
              </w:rPr>
            </w:pPr>
          </w:p>
          <w:p w14:paraId="55730A43" w14:textId="77777777" w:rsidR="008F2269" w:rsidRPr="00F21087" w:rsidRDefault="008F2269" w:rsidP="002D1362">
            <w:pPr>
              <w:shd w:val="clear" w:color="auto" w:fill="DEEAF6" w:themeFill="accent5" w:themeFillTint="33"/>
              <w:autoSpaceDE w:val="0"/>
              <w:adjustRightInd w:val="0"/>
              <w:ind w:right="113"/>
              <w:jc w:val="center"/>
              <w:rPr>
                <w:rFonts w:cstheme="minorHAnsi"/>
                <w:sz w:val="14"/>
                <w:szCs w:val="14"/>
              </w:rPr>
            </w:pPr>
            <w:r w:rsidRPr="00F21087">
              <w:rPr>
                <w:rFonts w:cstheme="minorHAnsi"/>
                <w:sz w:val="14"/>
                <w:szCs w:val="14"/>
              </w:rPr>
              <w:t>CDN, 2015</w:t>
            </w:r>
          </w:p>
          <w:p w14:paraId="395D81AF" w14:textId="77777777" w:rsidR="008F2269" w:rsidRPr="00F21087" w:rsidRDefault="008F2269" w:rsidP="008F2269">
            <w:pPr>
              <w:pStyle w:val="Paragraphedeliste"/>
              <w:numPr>
                <w:ilvl w:val="0"/>
                <w:numId w:val="94"/>
              </w:numPr>
              <w:suppressAutoHyphens/>
              <w:autoSpaceDN w:val="0"/>
              <w:jc w:val="both"/>
              <w:textAlignment w:val="baseline"/>
              <w:rPr>
                <w:rFonts w:cstheme="minorHAnsi"/>
                <w:bCs/>
                <w:sz w:val="14"/>
                <w:szCs w:val="14"/>
              </w:rPr>
            </w:pPr>
            <w:r w:rsidRPr="00F21087">
              <w:rPr>
                <w:rFonts w:cstheme="minorHAnsi"/>
                <w:bCs/>
                <w:sz w:val="14"/>
                <w:szCs w:val="14"/>
              </w:rPr>
              <w:t>Réalisation de 300 sondages dont 150 à des profondeurs supérieures à 200 m pour l’exploration des aquifères, transformables en forages d’exploitation et/ou en piézomètres.</w:t>
            </w:r>
          </w:p>
          <w:p w14:paraId="5344EC24" w14:textId="77777777" w:rsidR="008F2269" w:rsidRPr="00F21087" w:rsidRDefault="008F2269" w:rsidP="008F2269">
            <w:pPr>
              <w:pStyle w:val="Paragraphedeliste"/>
              <w:numPr>
                <w:ilvl w:val="0"/>
                <w:numId w:val="94"/>
              </w:numPr>
              <w:suppressAutoHyphens/>
              <w:autoSpaceDE w:val="0"/>
              <w:autoSpaceDN w:val="0"/>
              <w:adjustRightInd w:val="0"/>
              <w:ind w:right="113"/>
              <w:jc w:val="both"/>
              <w:textAlignment w:val="baseline"/>
              <w:rPr>
                <w:rFonts w:cstheme="minorHAnsi"/>
                <w:bCs/>
                <w:sz w:val="14"/>
                <w:szCs w:val="14"/>
              </w:rPr>
            </w:pPr>
            <w:r w:rsidRPr="00F21087">
              <w:rPr>
                <w:rFonts w:cstheme="minorHAnsi"/>
                <w:bCs/>
                <w:sz w:val="14"/>
                <w:szCs w:val="14"/>
              </w:rPr>
              <w:t>Réalisation des projets de dessalement pour les zones côtières et autres.</w:t>
            </w:r>
          </w:p>
        </w:tc>
        <w:tc>
          <w:tcPr>
            <w:tcW w:w="2556" w:type="dxa"/>
            <w:tcBorders>
              <w:top w:val="nil"/>
              <w:bottom w:val="nil"/>
            </w:tcBorders>
          </w:tcPr>
          <w:p w14:paraId="16240B8E" w14:textId="77777777" w:rsidR="008F2269" w:rsidRPr="00F21087" w:rsidRDefault="008F2269" w:rsidP="002D1362">
            <w:pPr>
              <w:jc w:val="both"/>
              <w:rPr>
                <w:rFonts w:cstheme="minorHAnsi"/>
                <w:bCs/>
                <w:sz w:val="14"/>
                <w:szCs w:val="14"/>
              </w:rPr>
            </w:pPr>
          </w:p>
          <w:p w14:paraId="7FDBFE54" w14:textId="77777777" w:rsidR="008F2269" w:rsidRPr="00F21087" w:rsidRDefault="008F2269" w:rsidP="002D1362">
            <w:pPr>
              <w:jc w:val="both"/>
              <w:rPr>
                <w:rFonts w:cstheme="minorHAnsi"/>
                <w:bCs/>
                <w:sz w:val="14"/>
                <w:szCs w:val="14"/>
              </w:rPr>
            </w:pPr>
          </w:p>
        </w:tc>
      </w:tr>
      <w:tr w:rsidR="008F2269" w:rsidRPr="00F21087" w14:paraId="369E43AF" w14:textId="77777777" w:rsidTr="002D1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trPr>
        <w:tc>
          <w:tcPr>
            <w:tcW w:w="2830" w:type="dxa"/>
            <w:shd w:val="clear" w:color="auto" w:fill="C5E0B3" w:themeFill="accent6" w:themeFillTint="66"/>
            <w:vAlign w:val="center"/>
          </w:tcPr>
          <w:p w14:paraId="10C74748" w14:textId="77777777" w:rsidR="008F2269" w:rsidRPr="00F21087" w:rsidRDefault="008F2269" w:rsidP="002D1362">
            <w:pPr>
              <w:rPr>
                <w:rFonts w:cstheme="minorHAnsi"/>
                <w:sz w:val="14"/>
                <w:szCs w:val="14"/>
              </w:rPr>
            </w:pPr>
            <w:r w:rsidRPr="00F21087">
              <w:rPr>
                <w:rFonts w:cstheme="minorHAnsi"/>
                <w:b/>
                <w:bCs/>
                <w:iCs/>
                <w:sz w:val="14"/>
                <w:szCs w:val="14"/>
              </w:rPr>
              <w:t>AXE 3</w:t>
            </w:r>
            <w:r w:rsidRPr="00F21087">
              <w:rPr>
                <w:rFonts w:cstheme="minorHAnsi"/>
                <w:b/>
                <w:bCs/>
                <w:iCs/>
                <w:sz w:val="14"/>
                <w:szCs w:val="14"/>
                <w:shd w:val="clear" w:color="auto" w:fill="70AD47" w:themeFill="accent6"/>
              </w:rPr>
              <w:t xml:space="preserve">      </w:t>
            </w:r>
          </w:p>
        </w:tc>
        <w:tc>
          <w:tcPr>
            <w:tcW w:w="11345" w:type="dxa"/>
            <w:gridSpan w:val="3"/>
            <w:tcBorders>
              <w:top w:val="nil"/>
              <w:bottom w:val="nil"/>
            </w:tcBorders>
            <w:shd w:val="clear" w:color="auto" w:fill="C5E0B3" w:themeFill="accent6" w:themeFillTint="66"/>
          </w:tcPr>
          <w:p w14:paraId="48065957" w14:textId="77777777" w:rsidR="008F2269" w:rsidRPr="00F21087" w:rsidRDefault="008F2269" w:rsidP="002D1362">
            <w:pPr>
              <w:rPr>
                <w:rFonts w:cstheme="minorHAnsi"/>
                <w:bCs/>
                <w:sz w:val="14"/>
                <w:szCs w:val="14"/>
              </w:rPr>
            </w:pPr>
            <w:r w:rsidRPr="00F21087">
              <w:rPr>
                <w:rFonts w:cstheme="minorHAnsi"/>
                <w:b/>
                <w:bCs/>
                <w:iCs/>
                <w:sz w:val="14"/>
                <w:szCs w:val="14"/>
              </w:rPr>
              <w:t>Améliorer l’accès à l’eau pour l’agriculture et l’élevage</w:t>
            </w:r>
          </w:p>
        </w:tc>
      </w:tr>
      <w:tr w:rsidR="008F2269" w:rsidRPr="00F21087" w14:paraId="6E64456D" w14:textId="77777777" w:rsidTr="002D1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1"/>
        </w:trPr>
        <w:tc>
          <w:tcPr>
            <w:tcW w:w="2830" w:type="dxa"/>
            <w:tcBorders>
              <w:bottom w:val="single" w:sz="4" w:space="0" w:color="auto"/>
            </w:tcBorders>
            <w:shd w:val="clear" w:color="auto" w:fill="C5E0B3" w:themeFill="accent6" w:themeFillTint="66"/>
            <w:vAlign w:val="center"/>
          </w:tcPr>
          <w:p w14:paraId="70976BAF" w14:textId="77777777" w:rsidR="008F2269" w:rsidRPr="00F21087" w:rsidRDefault="008F2269" w:rsidP="002D1362">
            <w:pPr>
              <w:autoSpaceDE w:val="0"/>
              <w:autoSpaceDN w:val="0"/>
              <w:adjustRightInd w:val="0"/>
              <w:rPr>
                <w:rFonts w:cstheme="minorHAnsi"/>
                <w:sz w:val="14"/>
                <w:szCs w:val="14"/>
              </w:rPr>
            </w:pPr>
          </w:p>
          <w:p w14:paraId="7C0B13FA" w14:textId="77777777" w:rsidR="008F2269" w:rsidRPr="00F21087" w:rsidRDefault="008F2269" w:rsidP="002D1362">
            <w:pPr>
              <w:autoSpaceDE w:val="0"/>
              <w:autoSpaceDN w:val="0"/>
              <w:adjustRightInd w:val="0"/>
              <w:jc w:val="both"/>
              <w:rPr>
                <w:rFonts w:cstheme="minorHAnsi"/>
                <w:sz w:val="14"/>
                <w:szCs w:val="14"/>
              </w:rPr>
            </w:pPr>
            <w:r w:rsidRPr="00F21087">
              <w:rPr>
                <w:rFonts w:cstheme="minorHAnsi"/>
                <w:bCs/>
                <w:sz w:val="14"/>
                <w:szCs w:val="14"/>
              </w:rPr>
              <w:t xml:space="preserve">Résultat </w:t>
            </w:r>
            <w:r w:rsidRPr="00F21087">
              <w:rPr>
                <w:rFonts w:cstheme="minorHAnsi"/>
                <w:sz w:val="14"/>
                <w:szCs w:val="14"/>
              </w:rPr>
              <w:t>3.2 : Les eaux de surface sont mobilisées pour mettre en cultures 47 000 ha supplémentaires.</w:t>
            </w:r>
          </w:p>
          <w:p w14:paraId="500A6451" w14:textId="77777777" w:rsidR="008F2269" w:rsidRPr="00F21087" w:rsidRDefault="008F2269" w:rsidP="002D1362">
            <w:pPr>
              <w:autoSpaceDE w:val="0"/>
              <w:autoSpaceDN w:val="0"/>
              <w:adjustRightInd w:val="0"/>
              <w:rPr>
                <w:rFonts w:cstheme="minorHAnsi"/>
                <w:sz w:val="14"/>
                <w:szCs w:val="14"/>
              </w:rPr>
            </w:pPr>
          </w:p>
          <w:p w14:paraId="39B75310" w14:textId="77777777" w:rsidR="008F2269" w:rsidRPr="00F21087" w:rsidRDefault="008F2269" w:rsidP="002D1362">
            <w:pPr>
              <w:autoSpaceDE w:val="0"/>
              <w:autoSpaceDN w:val="0"/>
              <w:adjustRightInd w:val="0"/>
              <w:rPr>
                <w:rFonts w:cstheme="minorHAnsi"/>
                <w:sz w:val="14"/>
                <w:szCs w:val="14"/>
              </w:rPr>
            </w:pPr>
          </w:p>
          <w:p w14:paraId="48FA6C45" w14:textId="77777777" w:rsidR="008F2269" w:rsidRPr="00F21087" w:rsidRDefault="008F2269" w:rsidP="002D1362">
            <w:pPr>
              <w:autoSpaceDE w:val="0"/>
              <w:autoSpaceDN w:val="0"/>
              <w:adjustRightInd w:val="0"/>
              <w:rPr>
                <w:rFonts w:cstheme="minorHAnsi"/>
                <w:sz w:val="14"/>
                <w:szCs w:val="14"/>
              </w:rPr>
            </w:pPr>
          </w:p>
          <w:p w14:paraId="4A187CA4" w14:textId="77777777" w:rsidR="008F2269" w:rsidRPr="00F21087" w:rsidRDefault="008F2269" w:rsidP="002D1362">
            <w:pPr>
              <w:autoSpaceDE w:val="0"/>
              <w:autoSpaceDN w:val="0"/>
              <w:adjustRightInd w:val="0"/>
              <w:rPr>
                <w:rFonts w:cstheme="minorHAnsi"/>
                <w:sz w:val="14"/>
                <w:szCs w:val="14"/>
              </w:rPr>
            </w:pPr>
            <w:r w:rsidRPr="00F21087">
              <w:rPr>
                <w:rFonts w:cstheme="minorHAnsi"/>
                <w:sz w:val="14"/>
                <w:szCs w:val="14"/>
              </w:rPr>
              <w:t xml:space="preserve"> </w:t>
            </w:r>
          </w:p>
        </w:tc>
        <w:tc>
          <w:tcPr>
            <w:tcW w:w="3402" w:type="dxa"/>
            <w:vMerge w:val="restart"/>
          </w:tcPr>
          <w:p w14:paraId="287276CC" w14:textId="77777777" w:rsidR="008F2269" w:rsidRPr="00F21087" w:rsidRDefault="008F2269" w:rsidP="002D1362">
            <w:pPr>
              <w:shd w:val="clear" w:color="auto" w:fill="DEEAF6" w:themeFill="accent5" w:themeFillTint="33"/>
              <w:autoSpaceDE w:val="0"/>
              <w:autoSpaceDN w:val="0"/>
              <w:adjustRightInd w:val="0"/>
              <w:jc w:val="center"/>
              <w:rPr>
                <w:rFonts w:cstheme="minorHAnsi"/>
                <w:color w:val="000000"/>
                <w:sz w:val="14"/>
                <w:szCs w:val="14"/>
              </w:rPr>
            </w:pPr>
            <w:r w:rsidRPr="00F21087">
              <w:rPr>
                <w:rFonts w:cstheme="minorHAnsi"/>
                <w:bCs/>
                <w:sz w:val="14"/>
                <w:szCs w:val="14"/>
              </w:rPr>
              <w:t xml:space="preserve">Source : </w:t>
            </w:r>
            <w:r w:rsidRPr="00F21087">
              <w:rPr>
                <w:rFonts w:cstheme="minorHAnsi"/>
                <w:color w:val="000000"/>
                <w:sz w:val="14"/>
                <w:szCs w:val="14"/>
              </w:rPr>
              <w:t>CDN, 2015.</w:t>
            </w:r>
          </w:p>
          <w:p w14:paraId="4A443412" w14:textId="77777777" w:rsidR="008F2269" w:rsidRPr="00F21087" w:rsidRDefault="008F2269" w:rsidP="002D1362">
            <w:pPr>
              <w:autoSpaceDE w:val="0"/>
              <w:autoSpaceDN w:val="0"/>
              <w:adjustRightInd w:val="0"/>
              <w:jc w:val="both"/>
              <w:rPr>
                <w:rFonts w:cstheme="minorHAnsi"/>
                <w:color w:val="000000"/>
                <w:sz w:val="14"/>
                <w:szCs w:val="14"/>
              </w:rPr>
            </w:pPr>
          </w:p>
          <w:p w14:paraId="358E66B7" w14:textId="77777777" w:rsidR="008F2269" w:rsidRPr="00F21087" w:rsidRDefault="008F2269" w:rsidP="002D1362">
            <w:pPr>
              <w:autoSpaceDE w:val="0"/>
              <w:autoSpaceDN w:val="0"/>
              <w:adjustRightInd w:val="0"/>
              <w:jc w:val="both"/>
              <w:rPr>
                <w:rFonts w:cstheme="minorHAnsi"/>
                <w:color w:val="000000"/>
                <w:sz w:val="14"/>
                <w:szCs w:val="14"/>
              </w:rPr>
            </w:pPr>
            <w:r w:rsidRPr="00F21087">
              <w:rPr>
                <w:rFonts w:cstheme="minorHAnsi"/>
                <w:color w:val="000000"/>
                <w:sz w:val="14"/>
                <w:szCs w:val="14"/>
              </w:rPr>
              <w:t xml:space="preserve">Les Impacts des changements climatiques sur les ressources en eau seront significatifs et se traduiront par une baisse générale des ressources en eau de l’ordre de 10 à 15%, avec pour conséquences : </w:t>
            </w:r>
          </w:p>
          <w:p w14:paraId="33073B98" w14:textId="77777777" w:rsidR="008F2269" w:rsidRPr="00F21087" w:rsidRDefault="008F2269" w:rsidP="002D1362">
            <w:pPr>
              <w:autoSpaceDE w:val="0"/>
              <w:adjustRightInd w:val="0"/>
              <w:jc w:val="both"/>
              <w:rPr>
                <w:rFonts w:cstheme="minorHAnsi"/>
                <w:color w:val="000000"/>
                <w:sz w:val="14"/>
                <w:szCs w:val="14"/>
              </w:rPr>
            </w:pPr>
          </w:p>
          <w:p w14:paraId="37860A24" w14:textId="77777777" w:rsidR="008F2269" w:rsidRPr="00F21087" w:rsidRDefault="008F2269" w:rsidP="008F2269">
            <w:pPr>
              <w:pStyle w:val="Paragraphedeliste"/>
              <w:numPr>
                <w:ilvl w:val="0"/>
                <w:numId w:val="90"/>
              </w:numPr>
              <w:suppressAutoHyphens/>
              <w:autoSpaceDE w:val="0"/>
              <w:autoSpaceDN w:val="0"/>
              <w:adjustRightInd w:val="0"/>
              <w:ind w:left="454" w:hanging="454"/>
              <w:jc w:val="both"/>
              <w:textAlignment w:val="baseline"/>
              <w:rPr>
                <w:rFonts w:cstheme="minorHAnsi"/>
                <w:color w:val="000000"/>
                <w:sz w:val="14"/>
                <w:szCs w:val="14"/>
              </w:rPr>
            </w:pPr>
            <w:r w:rsidRPr="00F21087">
              <w:rPr>
                <w:rFonts w:cstheme="minorHAnsi"/>
                <w:color w:val="000000"/>
                <w:sz w:val="14"/>
                <w:szCs w:val="14"/>
              </w:rPr>
              <w:t xml:space="preserve">Une baisse des ruissellements d’environ 10% entre 2000 et 2020, </w:t>
            </w:r>
          </w:p>
          <w:p w14:paraId="2C3FCB57" w14:textId="77777777" w:rsidR="008F2269" w:rsidRPr="00F21087" w:rsidRDefault="008F2269" w:rsidP="008F2269">
            <w:pPr>
              <w:pStyle w:val="Paragraphedeliste"/>
              <w:numPr>
                <w:ilvl w:val="0"/>
                <w:numId w:val="90"/>
              </w:numPr>
              <w:suppressAutoHyphens/>
              <w:autoSpaceDE w:val="0"/>
              <w:autoSpaceDN w:val="0"/>
              <w:adjustRightInd w:val="0"/>
              <w:ind w:left="454" w:hanging="454"/>
              <w:jc w:val="both"/>
              <w:textAlignment w:val="baseline"/>
              <w:rPr>
                <w:rFonts w:cstheme="minorHAnsi"/>
                <w:color w:val="000000"/>
                <w:sz w:val="14"/>
                <w:szCs w:val="14"/>
              </w:rPr>
            </w:pPr>
            <w:r w:rsidRPr="00F21087">
              <w:rPr>
                <w:rFonts w:cstheme="minorHAnsi"/>
                <w:color w:val="000000"/>
                <w:sz w:val="14"/>
                <w:szCs w:val="14"/>
              </w:rPr>
              <w:t xml:space="preserve">Une augmentation de l’évapotranspiration et une dégradation de la qualité des eaux, </w:t>
            </w:r>
          </w:p>
          <w:p w14:paraId="26688E4A" w14:textId="77777777" w:rsidR="008F2269" w:rsidRPr="00F21087" w:rsidRDefault="008F2269" w:rsidP="008F2269">
            <w:pPr>
              <w:pStyle w:val="Paragraphedeliste"/>
              <w:numPr>
                <w:ilvl w:val="0"/>
                <w:numId w:val="90"/>
              </w:numPr>
              <w:suppressAutoHyphens/>
              <w:autoSpaceDE w:val="0"/>
              <w:autoSpaceDN w:val="0"/>
              <w:adjustRightInd w:val="0"/>
              <w:ind w:left="454" w:hanging="454"/>
              <w:jc w:val="both"/>
              <w:textAlignment w:val="baseline"/>
              <w:rPr>
                <w:rFonts w:cstheme="minorHAnsi"/>
                <w:color w:val="000000"/>
                <w:sz w:val="14"/>
                <w:szCs w:val="14"/>
              </w:rPr>
            </w:pPr>
            <w:r w:rsidRPr="00F21087">
              <w:rPr>
                <w:rFonts w:cstheme="minorHAnsi"/>
                <w:color w:val="000000"/>
                <w:sz w:val="14"/>
                <w:szCs w:val="14"/>
              </w:rPr>
              <w:t>Une baisse des niveaux piézométriques et l’accroissement de la salinité des eaux en zones côtières et dans les aquifères discontinus surexploités actuellement</w:t>
            </w:r>
          </w:p>
          <w:p w14:paraId="142783E1" w14:textId="77777777" w:rsidR="008F2269" w:rsidRPr="00F21087" w:rsidRDefault="008F2269" w:rsidP="008F2269">
            <w:pPr>
              <w:pStyle w:val="Paragraphedeliste"/>
              <w:numPr>
                <w:ilvl w:val="0"/>
                <w:numId w:val="90"/>
              </w:numPr>
              <w:suppressAutoHyphens/>
              <w:autoSpaceDE w:val="0"/>
              <w:autoSpaceDN w:val="0"/>
              <w:adjustRightInd w:val="0"/>
              <w:ind w:left="454" w:hanging="454"/>
              <w:jc w:val="both"/>
              <w:textAlignment w:val="baseline"/>
              <w:rPr>
                <w:rFonts w:cstheme="minorHAnsi"/>
                <w:color w:val="000000"/>
                <w:sz w:val="14"/>
                <w:szCs w:val="14"/>
              </w:rPr>
            </w:pPr>
            <w:r w:rsidRPr="00F21087">
              <w:rPr>
                <w:rFonts w:cstheme="minorHAnsi"/>
                <w:color w:val="000000"/>
                <w:sz w:val="14"/>
                <w:szCs w:val="14"/>
              </w:rPr>
              <w:t xml:space="preserve">Un dérèglement du régime des oueds et une réduction de la capacité de remplissage des barrages à cause des précipitations concentrées et l’envasement accéléré par érosion hydrique dans les bassins versants fortement dénudés et, </w:t>
            </w:r>
          </w:p>
          <w:p w14:paraId="4AFAFDCB" w14:textId="77777777" w:rsidR="008F2269" w:rsidRPr="00F21087" w:rsidRDefault="008F2269" w:rsidP="008F2269">
            <w:pPr>
              <w:pStyle w:val="Paragraphedeliste"/>
              <w:numPr>
                <w:ilvl w:val="0"/>
                <w:numId w:val="90"/>
              </w:numPr>
              <w:suppressAutoHyphens/>
              <w:autoSpaceDE w:val="0"/>
              <w:autoSpaceDN w:val="0"/>
              <w:adjustRightInd w:val="0"/>
              <w:ind w:left="454" w:hanging="454"/>
              <w:jc w:val="both"/>
              <w:textAlignment w:val="baseline"/>
              <w:rPr>
                <w:rFonts w:cstheme="minorHAnsi"/>
                <w:color w:val="000000"/>
                <w:sz w:val="14"/>
                <w:szCs w:val="14"/>
              </w:rPr>
            </w:pPr>
            <w:r w:rsidRPr="00F21087">
              <w:rPr>
                <w:rFonts w:cstheme="minorHAnsi"/>
                <w:color w:val="000000"/>
                <w:sz w:val="14"/>
                <w:szCs w:val="14"/>
              </w:rPr>
              <w:t>Des eaux de surface plus chaudes, moins aérées, à débits plus réduits et donc une réduction de leurs pouvoirs de dilution et de biodégradation de certaines pollutions, etc.</w:t>
            </w:r>
          </w:p>
        </w:tc>
        <w:tc>
          <w:tcPr>
            <w:tcW w:w="5387" w:type="dxa"/>
            <w:tcBorders>
              <w:bottom w:val="single" w:sz="4" w:space="0" w:color="auto"/>
            </w:tcBorders>
          </w:tcPr>
          <w:p w14:paraId="19E73149" w14:textId="77777777" w:rsidR="008F2269" w:rsidRPr="00F21087" w:rsidRDefault="008F2269" w:rsidP="002D1362">
            <w:pPr>
              <w:shd w:val="clear" w:color="auto" w:fill="DEEAF6" w:themeFill="accent5" w:themeFillTint="33"/>
              <w:autoSpaceDE w:val="0"/>
              <w:autoSpaceDN w:val="0"/>
              <w:adjustRightInd w:val="0"/>
              <w:jc w:val="center"/>
              <w:rPr>
                <w:rFonts w:cstheme="minorHAnsi"/>
                <w:bCs/>
                <w:sz w:val="14"/>
                <w:szCs w:val="14"/>
              </w:rPr>
            </w:pPr>
            <w:r w:rsidRPr="00F21087">
              <w:rPr>
                <w:rFonts w:cstheme="minorHAnsi"/>
                <w:bCs/>
                <w:sz w:val="14"/>
                <w:szCs w:val="14"/>
              </w:rPr>
              <w:t>SNADEA 2017-2030</w:t>
            </w:r>
          </w:p>
          <w:p w14:paraId="555A7D82" w14:textId="77777777" w:rsidR="008F2269" w:rsidRPr="00F21087" w:rsidRDefault="008F2269" w:rsidP="002D1362">
            <w:pPr>
              <w:jc w:val="both"/>
              <w:rPr>
                <w:rFonts w:cstheme="minorHAnsi"/>
                <w:bCs/>
                <w:sz w:val="14"/>
                <w:szCs w:val="14"/>
              </w:rPr>
            </w:pPr>
          </w:p>
          <w:p w14:paraId="0B8DC2B7" w14:textId="77777777" w:rsidR="008F2269" w:rsidRPr="00F21087" w:rsidRDefault="008F2269" w:rsidP="008F2269">
            <w:pPr>
              <w:pStyle w:val="Paragraphedeliste"/>
              <w:numPr>
                <w:ilvl w:val="0"/>
                <w:numId w:val="95"/>
              </w:numPr>
              <w:suppressAutoHyphens/>
              <w:autoSpaceDN w:val="0"/>
              <w:jc w:val="both"/>
              <w:textAlignment w:val="baseline"/>
              <w:rPr>
                <w:rFonts w:cstheme="minorHAnsi"/>
                <w:bCs/>
                <w:sz w:val="14"/>
                <w:szCs w:val="14"/>
              </w:rPr>
            </w:pPr>
            <w:r w:rsidRPr="00F21087">
              <w:rPr>
                <w:rFonts w:cstheme="minorHAnsi"/>
                <w:bCs/>
                <w:sz w:val="14"/>
                <w:szCs w:val="14"/>
              </w:rPr>
              <w:t>Mettre en exploitation 26.000 ha sur le fleuve. Financement à rechercher : 9.880 Mio MRU.</w:t>
            </w:r>
          </w:p>
          <w:p w14:paraId="58739BD4" w14:textId="77777777" w:rsidR="008F2269" w:rsidRPr="00F21087" w:rsidRDefault="008F2269" w:rsidP="002D1362">
            <w:pPr>
              <w:pStyle w:val="Paragraphedeliste"/>
              <w:ind w:left="360"/>
              <w:jc w:val="both"/>
              <w:rPr>
                <w:rFonts w:cstheme="minorHAnsi"/>
                <w:bCs/>
                <w:sz w:val="14"/>
                <w:szCs w:val="14"/>
              </w:rPr>
            </w:pPr>
          </w:p>
          <w:p w14:paraId="662DFA71" w14:textId="77777777" w:rsidR="008F2269" w:rsidRPr="00F21087" w:rsidRDefault="008F2269" w:rsidP="008F2269">
            <w:pPr>
              <w:pStyle w:val="Paragraphedeliste"/>
              <w:numPr>
                <w:ilvl w:val="0"/>
                <w:numId w:val="95"/>
              </w:numPr>
              <w:suppressAutoHyphens/>
              <w:autoSpaceDN w:val="0"/>
              <w:jc w:val="both"/>
              <w:textAlignment w:val="baseline"/>
              <w:rPr>
                <w:rFonts w:cstheme="minorHAnsi"/>
                <w:bCs/>
                <w:sz w:val="14"/>
                <w:szCs w:val="14"/>
              </w:rPr>
            </w:pPr>
            <w:r w:rsidRPr="00F21087">
              <w:rPr>
                <w:rFonts w:cstheme="minorHAnsi"/>
                <w:bCs/>
                <w:sz w:val="14"/>
                <w:szCs w:val="14"/>
              </w:rPr>
              <w:t xml:space="preserve">Réhabiliter 300 barrages/digues existants et réhabilitation/extension aménagements sur 15.000 ha. Financement à rechercher : 70.330 </w:t>
            </w:r>
            <w:proofErr w:type="spellStart"/>
            <w:r w:rsidRPr="00F21087">
              <w:rPr>
                <w:rFonts w:cstheme="minorHAnsi"/>
                <w:bCs/>
                <w:sz w:val="14"/>
                <w:szCs w:val="14"/>
              </w:rPr>
              <w:t>MioMRU</w:t>
            </w:r>
            <w:proofErr w:type="spellEnd"/>
            <w:r w:rsidRPr="00F21087">
              <w:rPr>
                <w:rFonts w:cstheme="minorHAnsi"/>
                <w:bCs/>
                <w:sz w:val="14"/>
                <w:szCs w:val="14"/>
              </w:rPr>
              <w:t>.</w:t>
            </w:r>
          </w:p>
          <w:p w14:paraId="0CEDA682" w14:textId="77777777" w:rsidR="008F2269" w:rsidRPr="00F21087" w:rsidRDefault="008F2269" w:rsidP="002D1362">
            <w:pPr>
              <w:pStyle w:val="Paragraphedeliste"/>
              <w:rPr>
                <w:rFonts w:cstheme="minorHAnsi"/>
                <w:bCs/>
                <w:sz w:val="14"/>
                <w:szCs w:val="14"/>
              </w:rPr>
            </w:pPr>
          </w:p>
          <w:p w14:paraId="14197A75" w14:textId="77777777" w:rsidR="008F2269" w:rsidRPr="00F21087" w:rsidRDefault="008F2269" w:rsidP="008F2269">
            <w:pPr>
              <w:pStyle w:val="Paragraphedeliste"/>
              <w:numPr>
                <w:ilvl w:val="0"/>
                <w:numId w:val="95"/>
              </w:numPr>
              <w:suppressAutoHyphens/>
              <w:autoSpaceDN w:val="0"/>
              <w:jc w:val="both"/>
              <w:textAlignment w:val="baseline"/>
              <w:rPr>
                <w:rFonts w:cstheme="minorHAnsi"/>
                <w:bCs/>
                <w:sz w:val="14"/>
                <w:szCs w:val="14"/>
              </w:rPr>
            </w:pPr>
            <w:r w:rsidRPr="00F21087">
              <w:rPr>
                <w:rFonts w:cstheme="minorHAnsi"/>
                <w:bCs/>
                <w:sz w:val="14"/>
                <w:szCs w:val="14"/>
              </w:rPr>
              <w:t xml:space="preserve">Réaliser 100 nouveaux barrages /digues et aménager 6000 ha à partir de nouveaux barrages. Financement à rechercher : 27.700 </w:t>
            </w:r>
            <w:proofErr w:type="spellStart"/>
            <w:r w:rsidRPr="00F21087">
              <w:rPr>
                <w:rFonts w:cstheme="minorHAnsi"/>
                <w:bCs/>
                <w:sz w:val="14"/>
                <w:szCs w:val="14"/>
              </w:rPr>
              <w:t>MioMRU</w:t>
            </w:r>
            <w:proofErr w:type="spellEnd"/>
            <w:r w:rsidRPr="00F21087">
              <w:rPr>
                <w:rFonts w:cstheme="minorHAnsi"/>
                <w:bCs/>
                <w:sz w:val="14"/>
                <w:szCs w:val="14"/>
              </w:rPr>
              <w:t>.</w:t>
            </w:r>
          </w:p>
          <w:p w14:paraId="307B9AF2" w14:textId="77777777" w:rsidR="008F2269" w:rsidRPr="00F21087" w:rsidRDefault="008F2269" w:rsidP="002D1362">
            <w:pPr>
              <w:autoSpaceDE w:val="0"/>
              <w:autoSpaceDN w:val="0"/>
              <w:adjustRightInd w:val="0"/>
              <w:jc w:val="both"/>
              <w:rPr>
                <w:rFonts w:cstheme="minorHAnsi"/>
                <w:bCs/>
                <w:sz w:val="14"/>
                <w:szCs w:val="14"/>
              </w:rPr>
            </w:pPr>
          </w:p>
          <w:p w14:paraId="10F3F17C" w14:textId="77777777" w:rsidR="008F2269" w:rsidRPr="00F21087" w:rsidRDefault="008F2269" w:rsidP="002D1362">
            <w:pPr>
              <w:autoSpaceDE w:val="0"/>
              <w:adjustRightInd w:val="0"/>
              <w:jc w:val="both"/>
              <w:rPr>
                <w:rFonts w:cstheme="minorHAnsi"/>
                <w:sz w:val="14"/>
                <w:szCs w:val="14"/>
              </w:rPr>
            </w:pPr>
          </w:p>
          <w:p w14:paraId="7983E508" w14:textId="77777777" w:rsidR="008F2269" w:rsidRPr="00F21087" w:rsidRDefault="008F2269" w:rsidP="002D1362">
            <w:pPr>
              <w:shd w:val="clear" w:color="auto" w:fill="DEEAF6" w:themeFill="accent5" w:themeFillTint="33"/>
              <w:autoSpaceDE w:val="0"/>
              <w:adjustRightInd w:val="0"/>
              <w:jc w:val="center"/>
              <w:rPr>
                <w:rFonts w:cstheme="minorHAnsi"/>
                <w:sz w:val="14"/>
                <w:szCs w:val="14"/>
              </w:rPr>
            </w:pPr>
            <w:r w:rsidRPr="00F21087">
              <w:rPr>
                <w:rFonts w:cstheme="minorHAnsi"/>
                <w:sz w:val="14"/>
                <w:szCs w:val="14"/>
              </w:rPr>
              <w:t>Programme Pays 2020-2025 - GCF</w:t>
            </w:r>
          </w:p>
          <w:p w14:paraId="53F64C95" w14:textId="77777777" w:rsidR="008F2269" w:rsidRPr="00F21087" w:rsidRDefault="008F2269" w:rsidP="002D1362">
            <w:pPr>
              <w:pStyle w:val="Paragraphedeliste"/>
              <w:autoSpaceDE w:val="0"/>
              <w:adjustRightInd w:val="0"/>
              <w:ind w:left="360"/>
              <w:jc w:val="both"/>
              <w:rPr>
                <w:rFonts w:cstheme="minorHAnsi"/>
                <w:bCs/>
                <w:sz w:val="14"/>
                <w:szCs w:val="14"/>
              </w:rPr>
            </w:pPr>
          </w:p>
          <w:p w14:paraId="2AE4C087" w14:textId="77777777" w:rsidR="008F2269" w:rsidRPr="00F21087" w:rsidRDefault="008F2269" w:rsidP="008F2269">
            <w:pPr>
              <w:pStyle w:val="Paragraphedeliste"/>
              <w:numPr>
                <w:ilvl w:val="0"/>
                <w:numId w:val="96"/>
              </w:numPr>
              <w:suppressAutoHyphens/>
              <w:autoSpaceDE w:val="0"/>
              <w:autoSpaceDN w:val="0"/>
              <w:adjustRightInd w:val="0"/>
              <w:jc w:val="both"/>
              <w:textAlignment w:val="baseline"/>
              <w:rPr>
                <w:rFonts w:cstheme="minorHAnsi"/>
                <w:bCs/>
                <w:sz w:val="14"/>
                <w:szCs w:val="14"/>
                <w:lang w:val="en-US"/>
              </w:rPr>
            </w:pPr>
            <w:r w:rsidRPr="00F21087">
              <w:rPr>
                <w:rFonts w:cstheme="minorHAnsi"/>
                <w:bCs/>
                <w:sz w:val="14"/>
                <w:szCs w:val="14"/>
              </w:rPr>
              <w:t>Renforcer la sécurité en eau pour les communautés vivant dans les écosystèmes montagneux de l’Adrar. Financement à rechercher </w:t>
            </w:r>
            <w:r w:rsidRPr="00F21087">
              <w:rPr>
                <w:rFonts w:cstheme="minorHAnsi"/>
                <w:bCs/>
                <w:sz w:val="14"/>
                <w:szCs w:val="14"/>
                <w:lang w:val="en-US"/>
              </w:rPr>
              <w:t>: 10 MM $US.</w:t>
            </w:r>
          </w:p>
          <w:p w14:paraId="24BAD110" w14:textId="77777777" w:rsidR="008F2269" w:rsidRPr="00F21087" w:rsidRDefault="008F2269" w:rsidP="002D1362">
            <w:pPr>
              <w:pStyle w:val="Paragraphedeliste"/>
              <w:autoSpaceDE w:val="0"/>
              <w:adjustRightInd w:val="0"/>
              <w:ind w:left="360"/>
              <w:jc w:val="both"/>
              <w:rPr>
                <w:rFonts w:cstheme="minorHAnsi"/>
                <w:bCs/>
                <w:sz w:val="14"/>
                <w:szCs w:val="14"/>
                <w:lang w:val="en-US"/>
              </w:rPr>
            </w:pPr>
          </w:p>
          <w:p w14:paraId="2DF31A5F" w14:textId="77777777" w:rsidR="008F2269" w:rsidRPr="00F21087" w:rsidRDefault="008F2269" w:rsidP="002D1362">
            <w:pPr>
              <w:shd w:val="clear" w:color="auto" w:fill="DEEAF6" w:themeFill="accent5" w:themeFillTint="33"/>
              <w:autoSpaceDE w:val="0"/>
              <w:autoSpaceDN w:val="0"/>
              <w:adjustRightInd w:val="0"/>
              <w:jc w:val="center"/>
              <w:rPr>
                <w:rFonts w:cstheme="minorHAnsi"/>
                <w:bCs/>
                <w:sz w:val="14"/>
                <w:szCs w:val="14"/>
              </w:rPr>
            </w:pPr>
            <w:r w:rsidRPr="00F21087">
              <w:rPr>
                <w:rFonts w:cstheme="minorHAnsi"/>
                <w:bCs/>
                <w:sz w:val="14"/>
                <w:szCs w:val="14"/>
              </w:rPr>
              <w:t>Programme prioritaire élargi (PPE)/2020-2022</w:t>
            </w:r>
          </w:p>
          <w:p w14:paraId="624773E5" w14:textId="77777777" w:rsidR="008F2269" w:rsidRPr="00F21087" w:rsidRDefault="008F2269" w:rsidP="002D1362">
            <w:pPr>
              <w:autoSpaceDE w:val="0"/>
              <w:autoSpaceDN w:val="0"/>
              <w:adjustRightInd w:val="0"/>
              <w:jc w:val="both"/>
              <w:rPr>
                <w:rFonts w:cstheme="minorHAnsi"/>
                <w:bCs/>
                <w:sz w:val="14"/>
                <w:szCs w:val="14"/>
              </w:rPr>
            </w:pPr>
          </w:p>
          <w:p w14:paraId="6A35F9AC" w14:textId="77777777" w:rsidR="008F2269" w:rsidRPr="00F21087" w:rsidRDefault="008F2269" w:rsidP="008F2269">
            <w:pPr>
              <w:pStyle w:val="Paragraphedeliste"/>
              <w:numPr>
                <w:ilvl w:val="0"/>
                <w:numId w:val="96"/>
              </w:numPr>
              <w:suppressAutoHyphens/>
              <w:autoSpaceDN w:val="0"/>
              <w:jc w:val="both"/>
              <w:textAlignment w:val="baseline"/>
              <w:rPr>
                <w:rFonts w:cstheme="minorHAnsi"/>
                <w:bCs/>
                <w:sz w:val="14"/>
                <w:szCs w:val="14"/>
              </w:rPr>
            </w:pPr>
            <w:r w:rsidRPr="00F21087">
              <w:rPr>
                <w:rFonts w:cstheme="minorHAnsi"/>
                <w:bCs/>
                <w:sz w:val="14"/>
                <w:szCs w:val="14"/>
              </w:rPr>
              <w:t xml:space="preserve">Constructions de barrages lancées en janvier 2020 : 172 </w:t>
            </w:r>
            <w:proofErr w:type="spellStart"/>
            <w:r w:rsidRPr="00F21087">
              <w:rPr>
                <w:rFonts w:cstheme="minorHAnsi"/>
                <w:bCs/>
                <w:sz w:val="14"/>
                <w:szCs w:val="14"/>
              </w:rPr>
              <w:t>MioMRU</w:t>
            </w:r>
            <w:proofErr w:type="spellEnd"/>
            <w:r w:rsidRPr="00F21087">
              <w:rPr>
                <w:rFonts w:cstheme="minorHAnsi"/>
                <w:bCs/>
                <w:sz w:val="14"/>
                <w:szCs w:val="14"/>
              </w:rPr>
              <w:t xml:space="preserve"> (en cours).</w:t>
            </w:r>
          </w:p>
          <w:p w14:paraId="33B82163" w14:textId="77777777" w:rsidR="008F2269" w:rsidRPr="00F21087" w:rsidRDefault="008F2269" w:rsidP="002D1362">
            <w:pPr>
              <w:pStyle w:val="Paragraphedeliste"/>
              <w:ind w:left="360"/>
              <w:jc w:val="both"/>
              <w:rPr>
                <w:rFonts w:cstheme="minorHAnsi"/>
                <w:bCs/>
                <w:sz w:val="14"/>
                <w:szCs w:val="14"/>
              </w:rPr>
            </w:pPr>
          </w:p>
          <w:p w14:paraId="39E5AE01" w14:textId="77777777" w:rsidR="008F2269" w:rsidRPr="00F21087" w:rsidRDefault="008F2269" w:rsidP="008F2269">
            <w:pPr>
              <w:pStyle w:val="Paragraphedeliste"/>
              <w:numPr>
                <w:ilvl w:val="0"/>
                <w:numId w:val="96"/>
              </w:numPr>
              <w:suppressAutoHyphens/>
              <w:autoSpaceDN w:val="0"/>
              <w:jc w:val="both"/>
              <w:textAlignment w:val="baseline"/>
              <w:rPr>
                <w:rFonts w:cstheme="minorHAnsi"/>
                <w:bCs/>
                <w:sz w:val="14"/>
                <w:szCs w:val="14"/>
              </w:rPr>
            </w:pPr>
            <w:r w:rsidRPr="00F21087">
              <w:rPr>
                <w:rFonts w:cstheme="minorHAnsi"/>
                <w:bCs/>
                <w:sz w:val="14"/>
                <w:szCs w:val="14"/>
              </w:rPr>
              <w:t xml:space="preserve">Construction de seuils de ralentissement lancé en janvier 2020. 90 </w:t>
            </w:r>
            <w:proofErr w:type="spellStart"/>
            <w:r w:rsidRPr="00F21087">
              <w:rPr>
                <w:rFonts w:cstheme="minorHAnsi"/>
                <w:bCs/>
                <w:sz w:val="14"/>
                <w:szCs w:val="14"/>
              </w:rPr>
              <w:t>MioMRU</w:t>
            </w:r>
            <w:proofErr w:type="spellEnd"/>
            <w:r w:rsidRPr="00F21087">
              <w:rPr>
                <w:rFonts w:cstheme="minorHAnsi"/>
                <w:bCs/>
                <w:sz w:val="14"/>
                <w:szCs w:val="14"/>
              </w:rPr>
              <w:t xml:space="preserve"> (en cours).</w:t>
            </w:r>
          </w:p>
          <w:p w14:paraId="3B512A70" w14:textId="77777777" w:rsidR="008F2269" w:rsidRPr="00F21087" w:rsidRDefault="008F2269" w:rsidP="008F2269">
            <w:pPr>
              <w:pStyle w:val="Paragraphedeliste"/>
              <w:numPr>
                <w:ilvl w:val="0"/>
                <w:numId w:val="96"/>
              </w:numPr>
              <w:suppressAutoHyphens/>
              <w:autoSpaceDN w:val="0"/>
              <w:jc w:val="both"/>
              <w:textAlignment w:val="baseline"/>
              <w:rPr>
                <w:rFonts w:cstheme="minorHAnsi"/>
                <w:bCs/>
                <w:sz w:val="14"/>
                <w:szCs w:val="14"/>
              </w:rPr>
            </w:pPr>
            <w:r w:rsidRPr="00F21087">
              <w:rPr>
                <w:rFonts w:cstheme="minorHAnsi"/>
                <w:bCs/>
                <w:sz w:val="14"/>
                <w:szCs w:val="14"/>
              </w:rPr>
              <w:t xml:space="preserve">Construction de barrages et seuils de ralentissement. Financement à rechercher : 100 </w:t>
            </w:r>
            <w:proofErr w:type="spellStart"/>
            <w:r w:rsidRPr="00F21087">
              <w:rPr>
                <w:rFonts w:cstheme="minorHAnsi"/>
                <w:bCs/>
                <w:sz w:val="14"/>
                <w:szCs w:val="14"/>
              </w:rPr>
              <w:t>MioMRU</w:t>
            </w:r>
            <w:proofErr w:type="spellEnd"/>
            <w:r w:rsidRPr="00F21087">
              <w:rPr>
                <w:rFonts w:cstheme="minorHAnsi"/>
                <w:bCs/>
                <w:sz w:val="14"/>
                <w:szCs w:val="14"/>
              </w:rPr>
              <w:t xml:space="preserve"> </w:t>
            </w:r>
          </w:p>
          <w:p w14:paraId="33D5EEDE" w14:textId="77777777" w:rsidR="008F2269" w:rsidRPr="00F21087" w:rsidRDefault="008F2269" w:rsidP="002D1362">
            <w:pPr>
              <w:jc w:val="both"/>
              <w:rPr>
                <w:rFonts w:cstheme="minorHAnsi"/>
                <w:bCs/>
                <w:sz w:val="14"/>
                <w:szCs w:val="14"/>
              </w:rPr>
            </w:pPr>
          </w:p>
          <w:p w14:paraId="31398EDE" w14:textId="77777777" w:rsidR="008F2269" w:rsidRPr="00F21087" w:rsidRDefault="008F2269" w:rsidP="008F2269">
            <w:pPr>
              <w:pStyle w:val="Paragraphedeliste"/>
              <w:numPr>
                <w:ilvl w:val="0"/>
                <w:numId w:val="96"/>
              </w:numPr>
              <w:suppressAutoHyphens/>
              <w:autoSpaceDN w:val="0"/>
              <w:jc w:val="both"/>
              <w:textAlignment w:val="baseline"/>
              <w:rPr>
                <w:rFonts w:cstheme="minorHAnsi"/>
                <w:bCs/>
                <w:sz w:val="14"/>
                <w:szCs w:val="14"/>
              </w:rPr>
            </w:pPr>
            <w:r w:rsidRPr="00F21087">
              <w:rPr>
                <w:rFonts w:cstheme="minorHAnsi"/>
                <w:bCs/>
                <w:sz w:val="14"/>
                <w:szCs w:val="14"/>
              </w:rPr>
              <w:t xml:space="preserve">Curage et recalibrage de trois axes hydrauliques le long de la vallée. Financement à rechercher : 300 </w:t>
            </w:r>
            <w:proofErr w:type="spellStart"/>
            <w:r w:rsidRPr="00F21087">
              <w:rPr>
                <w:rFonts w:cstheme="minorHAnsi"/>
                <w:bCs/>
                <w:sz w:val="14"/>
                <w:szCs w:val="14"/>
              </w:rPr>
              <w:t>MioMRU</w:t>
            </w:r>
            <w:proofErr w:type="spellEnd"/>
            <w:r w:rsidRPr="00F21087">
              <w:rPr>
                <w:rFonts w:cstheme="minorHAnsi"/>
                <w:bCs/>
                <w:sz w:val="14"/>
                <w:szCs w:val="14"/>
              </w:rPr>
              <w:t>.</w:t>
            </w:r>
          </w:p>
        </w:tc>
        <w:tc>
          <w:tcPr>
            <w:tcW w:w="2556" w:type="dxa"/>
            <w:vMerge w:val="restart"/>
            <w:tcBorders>
              <w:top w:val="nil"/>
            </w:tcBorders>
          </w:tcPr>
          <w:p w14:paraId="082ABAC9" w14:textId="77777777" w:rsidR="008F2269" w:rsidRPr="00F21087" w:rsidRDefault="008F2269" w:rsidP="002D1362">
            <w:pPr>
              <w:jc w:val="both"/>
              <w:rPr>
                <w:rFonts w:cstheme="minorHAnsi"/>
                <w:sz w:val="14"/>
                <w:szCs w:val="14"/>
              </w:rPr>
            </w:pPr>
          </w:p>
          <w:p w14:paraId="6A4C6637" w14:textId="77777777" w:rsidR="008F2269" w:rsidRPr="00F21087" w:rsidRDefault="008F2269" w:rsidP="002D1362">
            <w:pPr>
              <w:jc w:val="center"/>
              <w:rPr>
                <w:rFonts w:cstheme="minorHAnsi"/>
                <w:b/>
                <w:bCs/>
                <w:sz w:val="14"/>
                <w:szCs w:val="14"/>
              </w:rPr>
            </w:pPr>
            <w:r w:rsidRPr="00F21087">
              <w:rPr>
                <w:rFonts w:cstheme="minorHAnsi"/>
                <w:b/>
                <w:bCs/>
                <w:sz w:val="14"/>
                <w:szCs w:val="14"/>
                <w:shd w:val="clear" w:color="auto" w:fill="DEEAF6" w:themeFill="accent5" w:themeFillTint="33"/>
              </w:rPr>
              <w:t>Lacunes / Besoins</w:t>
            </w:r>
          </w:p>
          <w:p w14:paraId="0FFA4AD6" w14:textId="77777777" w:rsidR="008F2269" w:rsidRPr="00F21087" w:rsidRDefault="008F2269" w:rsidP="002D1362">
            <w:pPr>
              <w:jc w:val="both"/>
              <w:rPr>
                <w:rFonts w:cstheme="minorHAnsi"/>
                <w:bCs/>
                <w:sz w:val="14"/>
                <w:szCs w:val="14"/>
              </w:rPr>
            </w:pPr>
          </w:p>
          <w:p w14:paraId="1015BB14" w14:textId="77777777" w:rsidR="008F2269" w:rsidRPr="00F21087" w:rsidRDefault="008F2269" w:rsidP="002D1362">
            <w:pPr>
              <w:jc w:val="both"/>
              <w:rPr>
                <w:rFonts w:cstheme="minorHAnsi"/>
                <w:bCs/>
                <w:sz w:val="14"/>
                <w:szCs w:val="14"/>
              </w:rPr>
            </w:pPr>
            <w:r w:rsidRPr="00F21087">
              <w:rPr>
                <w:rFonts w:cstheme="minorHAnsi"/>
                <w:bCs/>
                <w:sz w:val="14"/>
                <w:szCs w:val="14"/>
              </w:rPr>
              <w:t xml:space="preserve">La faible connaissance des ressources en eau de surface et souterraine, constitue une lacune majeure. Pour gérer durablement ces ressources la SNADEA dans son axe 1 prévoit des mesures pour combler ces lacunes. </w:t>
            </w:r>
          </w:p>
          <w:p w14:paraId="2CB69EBF" w14:textId="77777777" w:rsidR="008F2269" w:rsidRPr="00F21087" w:rsidRDefault="008F2269" w:rsidP="002D1362">
            <w:pPr>
              <w:jc w:val="both"/>
              <w:rPr>
                <w:rFonts w:cstheme="minorHAnsi"/>
                <w:bCs/>
                <w:sz w:val="14"/>
                <w:szCs w:val="14"/>
              </w:rPr>
            </w:pPr>
          </w:p>
          <w:p w14:paraId="74F4CCDE" w14:textId="77777777" w:rsidR="008F2269" w:rsidRPr="00F21087" w:rsidRDefault="008F2269" w:rsidP="002D1362">
            <w:pPr>
              <w:jc w:val="both"/>
              <w:rPr>
                <w:rFonts w:cstheme="minorHAnsi"/>
                <w:sz w:val="14"/>
                <w:szCs w:val="14"/>
              </w:rPr>
            </w:pPr>
            <w:r w:rsidRPr="00F21087">
              <w:rPr>
                <w:rFonts w:cstheme="minorHAnsi"/>
                <w:bCs/>
                <w:sz w:val="14"/>
                <w:szCs w:val="14"/>
              </w:rPr>
              <w:t>Les impacts des risques climatiques futurs ne sont pas pris en compte dans les processus de planification et partant l’évaluation des coûts d'investissements. Par conséquent, un renforcement des capacités des acteurs du secteur est nécessaire pour prendre en compte les risques climatiques liés à la gestion durable des ressources en eau et la mobilisation des ressources auprès de diverses fenêtres disponibles comme le FVC.</w:t>
            </w:r>
          </w:p>
        </w:tc>
      </w:tr>
      <w:tr w:rsidR="008F2269" w:rsidRPr="00F21087" w14:paraId="10046079" w14:textId="77777777" w:rsidTr="002D1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2"/>
        </w:trPr>
        <w:tc>
          <w:tcPr>
            <w:tcW w:w="2830" w:type="dxa"/>
            <w:shd w:val="clear" w:color="auto" w:fill="C5E0B3" w:themeFill="accent6" w:themeFillTint="66"/>
            <w:vAlign w:val="center"/>
          </w:tcPr>
          <w:p w14:paraId="17C84C47" w14:textId="77777777" w:rsidR="008F2269" w:rsidRPr="00F21087" w:rsidRDefault="008F2269" w:rsidP="002D1362">
            <w:pPr>
              <w:jc w:val="both"/>
              <w:rPr>
                <w:rFonts w:cstheme="minorHAnsi"/>
                <w:sz w:val="14"/>
                <w:szCs w:val="14"/>
              </w:rPr>
            </w:pPr>
          </w:p>
          <w:p w14:paraId="7A2305FF" w14:textId="77777777" w:rsidR="008F2269" w:rsidRPr="00F21087" w:rsidRDefault="008F2269" w:rsidP="002D1362">
            <w:pPr>
              <w:jc w:val="both"/>
              <w:rPr>
                <w:rFonts w:cstheme="minorHAnsi"/>
                <w:sz w:val="14"/>
                <w:szCs w:val="14"/>
              </w:rPr>
            </w:pPr>
            <w:r w:rsidRPr="00F21087">
              <w:rPr>
                <w:rFonts w:cstheme="minorHAnsi"/>
                <w:bCs/>
                <w:sz w:val="14"/>
                <w:szCs w:val="14"/>
              </w:rPr>
              <w:t xml:space="preserve">Résultat </w:t>
            </w:r>
            <w:r w:rsidRPr="00F21087">
              <w:rPr>
                <w:rFonts w:cstheme="minorHAnsi"/>
                <w:sz w:val="14"/>
                <w:szCs w:val="14"/>
              </w:rPr>
              <w:t xml:space="preserve">3.4 : 600 nouveaux points d'eau pastoraux sont réalisés.  </w:t>
            </w:r>
          </w:p>
        </w:tc>
        <w:tc>
          <w:tcPr>
            <w:tcW w:w="3402" w:type="dxa"/>
            <w:vMerge/>
          </w:tcPr>
          <w:p w14:paraId="2CAA0F69" w14:textId="77777777" w:rsidR="008F2269" w:rsidRPr="00F21087" w:rsidRDefault="008F2269" w:rsidP="002D1362">
            <w:pPr>
              <w:jc w:val="both"/>
              <w:rPr>
                <w:rFonts w:cstheme="minorHAnsi"/>
                <w:sz w:val="14"/>
                <w:szCs w:val="14"/>
              </w:rPr>
            </w:pPr>
          </w:p>
        </w:tc>
        <w:tc>
          <w:tcPr>
            <w:tcW w:w="5387" w:type="dxa"/>
          </w:tcPr>
          <w:p w14:paraId="131DE7B8" w14:textId="77777777" w:rsidR="008F2269" w:rsidRPr="00F21087" w:rsidRDefault="008F2269" w:rsidP="002D1362">
            <w:pPr>
              <w:shd w:val="clear" w:color="auto" w:fill="DEEAF6" w:themeFill="accent5" w:themeFillTint="33"/>
              <w:autoSpaceDE w:val="0"/>
              <w:autoSpaceDN w:val="0"/>
              <w:adjustRightInd w:val="0"/>
              <w:jc w:val="center"/>
              <w:rPr>
                <w:rFonts w:cstheme="minorHAnsi"/>
                <w:bCs/>
                <w:sz w:val="14"/>
                <w:szCs w:val="14"/>
              </w:rPr>
            </w:pPr>
            <w:r w:rsidRPr="00F21087">
              <w:rPr>
                <w:rFonts w:cstheme="minorHAnsi"/>
                <w:bCs/>
                <w:sz w:val="14"/>
                <w:szCs w:val="14"/>
              </w:rPr>
              <w:t>SNADEA 2017-2030</w:t>
            </w:r>
          </w:p>
          <w:p w14:paraId="7D4F36A3" w14:textId="77777777" w:rsidR="008F2269" w:rsidRPr="00F21087" w:rsidRDefault="008F2269" w:rsidP="002D1362">
            <w:pPr>
              <w:pStyle w:val="Paragraphedeliste"/>
              <w:ind w:left="360"/>
              <w:jc w:val="both"/>
              <w:rPr>
                <w:rFonts w:cstheme="minorHAnsi"/>
                <w:bCs/>
                <w:sz w:val="14"/>
                <w:szCs w:val="14"/>
              </w:rPr>
            </w:pPr>
          </w:p>
          <w:p w14:paraId="62EFFF47" w14:textId="77777777" w:rsidR="008F2269" w:rsidRPr="00F21087" w:rsidRDefault="008F2269" w:rsidP="008F2269">
            <w:pPr>
              <w:pStyle w:val="Paragraphedeliste"/>
              <w:numPr>
                <w:ilvl w:val="0"/>
                <w:numId w:val="97"/>
              </w:numPr>
              <w:suppressAutoHyphens/>
              <w:autoSpaceDN w:val="0"/>
              <w:jc w:val="both"/>
              <w:textAlignment w:val="baseline"/>
              <w:rPr>
                <w:rFonts w:cstheme="minorHAnsi"/>
                <w:bCs/>
                <w:sz w:val="14"/>
                <w:szCs w:val="14"/>
              </w:rPr>
            </w:pPr>
            <w:r w:rsidRPr="00F21087">
              <w:rPr>
                <w:rFonts w:cstheme="minorHAnsi"/>
                <w:sz w:val="14"/>
                <w:szCs w:val="14"/>
              </w:rPr>
              <w:t xml:space="preserve">Réalisation de 600 nouveaux points d'eau pastoraux. </w:t>
            </w:r>
            <w:r w:rsidRPr="00F21087">
              <w:rPr>
                <w:rFonts w:cstheme="minorHAnsi"/>
                <w:bCs/>
                <w:sz w:val="14"/>
                <w:szCs w:val="14"/>
              </w:rPr>
              <w:t xml:space="preserve">Financement à rechercher : 18.600 </w:t>
            </w:r>
            <w:proofErr w:type="spellStart"/>
            <w:r w:rsidRPr="00F21087">
              <w:rPr>
                <w:rFonts w:cstheme="minorHAnsi"/>
                <w:bCs/>
                <w:sz w:val="14"/>
                <w:szCs w:val="14"/>
              </w:rPr>
              <w:t>MioMRU</w:t>
            </w:r>
            <w:proofErr w:type="spellEnd"/>
            <w:r w:rsidRPr="00F21087">
              <w:rPr>
                <w:rFonts w:cstheme="minorHAnsi"/>
                <w:bCs/>
                <w:sz w:val="14"/>
                <w:szCs w:val="14"/>
              </w:rPr>
              <w:t xml:space="preserve">. </w:t>
            </w:r>
          </w:p>
        </w:tc>
        <w:tc>
          <w:tcPr>
            <w:tcW w:w="2556" w:type="dxa"/>
            <w:vMerge/>
          </w:tcPr>
          <w:p w14:paraId="2C212E92" w14:textId="77777777" w:rsidR="008F2269" w:rsidRPr="00F21087" w:rsidRDefault="008F2269" w:rsidP="002D1362">
            <w:pPr>
              <w:jc w:val="both"/>
              <w:rPr>
                <w:rFonts w:cstheme="minorHAnsi"/>
                <w:bCs/>
                <w:sz w:val="14"/>
                <w:szCs w:val="14"/>
              </w:rPr>
            </w:pPr>
          </w:p>
        </w:tc>
      </w:tr>
      <w:tr w:rsidR="008F2269" w:rsidRPr="00F21087" w14:paraId="7749B47A" w14:textId="77777777" w:rsidTr="002D1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75" w:type="dxa"/>
            <w:gridSpan w:val="4"/>
            <w:tcBorders>
              <w:left w:val="single" w:sz="4" w:space="0" w:color="auto"/>
              <w:bottom w:val="single" w:sz="4" w:space="0" w:color="auto"/>
              <w:right w:val="single" w:sz="4" w:space="0" w:color="auto"/>
            </w:tcBorders>
            <w:shd w:val="clear" w:color="auto" w:fill="A8D08D" w:themeFill="accent6" w:themeFillTint="99"/>
          </w:tcPr>
          <w:p w14:paraId="12F5B5BC" w14:textId="77777777" w:rsidR="008F2269" w:rsidRPr="00F21087" w:rsidRDefault="008F2269" w:rsidP="002D1362">
            <w:pPr>
              <w:rPr>
                <w:rFonts w:cstheme="minorHAnsi"/>
                <w:b/>
                <w:bCs/>
                <w:iCs/>
                <w:sz w:val="14"/>
                <w:szCs w:val="14"/>
                <w:shd w:val="clear" w:color="auto" w:fill="A8D08D" w:themeFill="accent6" w:themeFillTint="99"/>
              </w:rPr>
            </w:pPr>
            <w:r w:rsidRPr="00F21087">
              <w:rPr>
                <w:rFonts w:cstheme="minorHAnsi"/>
                <w:b/>
                <w:bCs/>
                <w:iCs/>
                <w:sz w:val="14"/>
                <w:szCs w:val="14"/>
                <w:shd w:val="clear" w:color="auto" w:fill="A8D08D" w:themeFill="accent6" w:themeFillTint="99"/>
              </w:rPr>
              <w:t>Objectif stratégique 4                              Améliorer l’accès à l’assainissement liquide et l’hygiène</w:t>
            </w:r>
          </w:p>
        </w:tc>
      </w:tr>
      <w:tr w:rsidR="008F2269" w:rsidRPr="00F21087" w14:paraId="1A5B8BDF" w14:textId="77777777" w:rsidTr="002D1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0" w:type="dxa"/>
            <w:tcBorders>
              <w:top w:val="nil"/>
            </w:tcBorders>
            <w:shd w:val="clear" w:color="auto" w:fill="C5E0B3" w:themeFill="accent6" w:themeFillTint="66"/>
          </w:tcPr>
          <w:p w14:paraId="619D9B96" w14:textId="77777777" w:rsidR="008F2269" w:rsidRPr="00F21087" w:rsidRDefault="008F2269" w:rsidP="002D1362">
            <w:pPr>
              <w:autoSpaceDE w:val="0"/>
              <w:autoSpaceDN w:val="0"/>
              <w:adjustRightInd w:val="0"/>
              <w:jc w:val="both"/>
              <w:rPr>
                <w:rFonts w:cstheme="minorHAnsi"/>
                <w:b/>
                <w:bCs/>
                <w:sz w:val="14"/>
                <w:szCs w:val="14"/>
              </w:rPr>
            </w:pPr>
            <w:r w:rsidRPr="00F21087">
              <w:rPr>
                <w:rFonts w:cstheme="minorHAnsi"/>
                <w:bCs/>
                <w:sz w:val="14"/>
                <w:szCs w:val="14"/>
              </w:rPr>
              <w:t>Résultat 4.4 :</w:t>
            </w:r>
            <w:r w:rsidRPr="00F21087">
              <w:rPr>
                <w:rFonts w:cstheme="minorHAnsi"/>
                <w:b/>
                <w:bCs/>
                <w:sz w:val="14"/>
                <w:szCs w:val="14"/>
              </w:rPr>
              <w:t xml:space="preserve"> </w:t>
            </w:r>
            <w:r w:rsidRPr="00F21087">
              <w:rPr>
                <w:rFonts w:cstheme="minorHAnsi"/>
                <w:bCs/>
                <w:sz w:val="14"/>
                <w:szCs w:val="14"/>
              </w:rPr>
              <w:t>En milieu urbain, le taux de collecte et de traitement des boues de vidange est porté à 50 %.</w:t>
            </w:r>
          </w:p>
          <w:p w14:paraId="7666BFA7" w14:textId="77777777" w:rsidR="008F2269" w:rsidRPr="00F21087" w:rsidRDefault="008F2269" w:rsidP="002D1362">
            <w:pPr>
              <w:autoSpaceDE w:val="0"/>
              <w:autoSpaceDN w:val="0"/>
              <w:adjustRightInd w:val="0"/>
              <w:rPr>
                <w:rFonts w:cstheme="minorHAnsi"/>
                <w:bCs/>
                <w:sz w:val="14"/>
                <w:szCs w:val="14"/>
              </w:rPr>
            </w:pPr>
          </w:p>
        </w:tc>
        <w:tc>
          <w:tcPr>
            <w:tcW w:w="3402" w:type="dxa"/>
            <w:vMerge w:val="restart"/>
            <w:tcBorders>
              <w:top w:val="nil"/>
            </w:tcBorders>
          </w:tcPr>
          <w:p w14:paraId="5ED354AA" w14:textId="77777777" w:rsidR="008F2269" w:rsidRPr="00F21087" w:rsidRDefault="008F2269" w:rsidP="002D1362">
            <w:pPr>
              <w:shd w:val="clear" w:color="auto" w:fill="DEEAF6" w:themeFill="accent5" w:themeFillTint="33"/>
              <w:jc w:val="center"/>
              <w:rPr>
                <w:rFonts w:cstheme="minorHAnsi"/>
                <w:bCs/>
                <w:sz w:val="14"/>
                <w:szCs w:val="14"/>
              </w:rPr>
            </w:pPr>
            <w:r w:rsidRPr="00F21087">
              <w:rPr>
                <w:rFonts w:cstheme="minorHAnsi"/>
                <w:bCs/>
                <w:sz w:val="14"/>
                <w:szCs w:val="14"/>
              </w:rPr>
              <w:t>Source : Le changement climatique et l’eau, GIEC 2008.</w:t>
            </w:r>
          </w:p>
          <w:p w14:paraId="6C63E648" w14:textId="77777777" w:rsidR="008F2269" w:rsidRPr="00F21087" w:rsidRDefault="008F2269" w:rsidP="002D1362">
            <w:pPr>
              <w:jc w:val="both"/>
              <w:rPr>
                <w:rFonts w:cstheme="minorHAnsi"/>
                <w:bCs/>
                <w:sz w:val="14"/>
                <w:szCs w:val="14"/>
              </w:rPr>
            </w:pPr>
          </w:p>
          <w:p w14:paraId="4F8640E8" w14:textId="77777777" w:rsidR="008F2269" w:rsidRPr="00F21087" w:rsidRDefault="008F2269" w:rsidP="002D1362">
            <w:pPr>
              <w:jc w:val="both"/>
              <w:rPr>
                <w:rFonts w:cstheme="minorHAnsi"/>
                <w:bCs/>
                <w:sz w:val="14"/>
                <w:szCs w:val="14"/>
              </w:rPr>
            </w:pPr>
            <w:r w:rsidRPr="00F21087">
              <w:rPr>
                <w:rFonts w:cstheme="minorHAnsi"/>
                <w:bCs/>
                <w:sz w:val="14"/>
                <w:szCs w:val="14"/>
              </w:rPr>
              <w:t xml:space="preserve">Les précipitations extrêmes génératrices de crues représentent un risque pour les infrastructures de l’eau. Pendant les crues, les installations de traitement de l’eau et des eaux usées sont souvent hors service, laissant la population sans protection sanitaire, en particulier dans les pays en développement, où les niveaux de santé sont inférieurs et la teneur des eaux usées en agents pathogènes est supérieure (Jiménez, 2003). </w:t>
            </w:r>
          </w:p>
          <w:p w14:paraId="6C74DBB8" w14:textId="77777777" w:rsidR="008F2269" w:rsidRPr="00F21087" w:rsidRDefault="008F2269" w:rsidP="002D1362">
            <w:pPr>
              <w:jc w:val="both"/>
              <w:rPr>
                <w:rFonts w:cstheme="minorHAnsi"/>
                <w:bCs/>
                <w:sz w:val="14"/>
                <w:szCs w:val="14"/>
              </w:rPr>
            </w:pPr>
            <w:r w:rsidRPr="00F21087">
              <w:rPr>
                <w:rFonts w:cstheme="minorHAnsi"/>
                <w:bCs/>
                <w:sz w:val="14"/>
                <w:szCs w:val="14"/>
              </w:rPr>
              <w:t xml:space="preserve">Une augmentation des précipitations dans les villes pourrait compromettre la performance des réseaux d’assainissement ; des surcharges incontrôlées pourraient introduire des polluants microbiens et chimiques dans les ressources en eau. Plusieurs études ont montré que la transmission d’entéropathogènes résistants à la chloration, notamment le Cryptosporidium, est plus élevée pendant la saison des pluies (Nchito et al., 1998 ; Kang et al., 2001). </w:t>
            </w:r>
          </w:p>
        </w:tc>
        <w:tc>
          <w:tcPr>
            <w:tcW w:w="5387" w:type="dxa"/>
            <w:tcBorders>
              <w:top w:val="nil"/>
            </w:tcBorders>
          </w:tcPr>
          <w:p w14:paraId="5A1E2112" w14:textId="77777777" w:rsidR="008F2269" w:rsidRPr="00F21087" w:rsidRDefault="008F2269" w:rsidP="002D1362">
            <w:pPr>
              <w:shd w:val="clear" w:color="auto" w:fill="DEEAF6" w:themeFill="accent5" w:themeFillTint="33"/>
              <w:autoSpaceDE w:val="0"/>
              <w:autoSpaceDN w:val="0"/>
              <w:adjustRightInd w:val="0"/>
              <w:jc w:val="center"/>
              <w:rPr>
                <w:rFonts w:cstheme="minorHAnsi"/>
                <w:bCs/>
                <w:sz w:val="14"/>
                <w:szCs w:val="14"/>
              </w:rPr>
            </w:pPr>
            <w:r w:rsidRPr="00F21087">
              <w:rPr>
                <w:rFonts w:cstheme="minorHAnsi"/>
                <w:bCs/>
                <w:sz w:val="14"/>
                <w:szCs w:val="14"/>
              </w:rPr>
              <w:t>SNADEA 2017-2030</w:t>
            </w:r>
          </w:p>
          <w:p w14:paraId="50E799DD" w14:textId="77777777" w:rsidR="008F2269" w:rsidRPr="00F21087" w:rsidRDefault="008F2269" w:rsidP="002D1362">
            <w:pPr>
              <w:autoSpaceDE w:val="0"/>
              <w:autoSpaceDN w:val="0"/>
              <w:adjustRightInd w:val="0"/>
              <w:jc w:val="both"/>
              <w:rPr>
                <w:rFonts w:cstheme="minorHAnsi"/>
                <w:bCs/>
                <w:sz w:val="14"/>
                <w:szCs w:val="14"/>
              </w:rPr>
            </w:pPr>
          </w:p>
          <w:p w14:paraId="60068375" w14:textId="77777777" w:rsidR="008F2269" w:rsidRPr="00F21087" w:rsidRDefault="008F2269" w:rsidP="008F2269">
            <w:pPr>
              <w:pStyle w:val="Paragraphedeliste"/>
              <w:numPr>
                <w:ilvl w:val="0"/>
                <w:numId w:val="97"/>
              </w:numPr>
              <w:suppressAutoHyphens/>
              <w:autoSpaceDE w:val="0"/>
              <w:autoSpaceDN w:val="0"/>
              <w:adjustRightInd w:val="0"/>
              <w:jc w:val="both"/>
              <w:textAlignment w:val="baseline"/>
              <w:rPr>
                <w:rFonts w:cstheme="minorHAnsi"/>
                <w:bCs/>
                <w:sz w:val="14"/>
                <w:szCs w:val="14"/>
              </w:rPr>
            </w:pPr>
            <w:r w:rsidRPr="00F21087">
              <w:rPr>
                <w:rFonts w:cstheme="minorHAnsi"/>
                <w:bCs/>
                <w:sz w:val="14"/>
                <w:szCs w:val="14"/>
              </w:rPr>
              <w:t xml:space="preserve">Mise en place du système de collecte, des stations de dépotage et traitement à Nouakchott, Nouadhibou et Rosso. Financement à rechercher : 15 </w:t>
            </w:r>
            <w:proofErr w:type="spellStart"/>
            <w:r w:rsidRPr="00F21087">
              <w:rPr>
                <w:rFonts w:cstheme="minorHAnsi"/>
                <w:bCs/>
                <w:sz w:val="14"/>
                <w:szCs w:val="14"/>
              </w:rPr>
              <w:t>MioMRU</w:t>
            </w:r>
            <w:proofErr w:type="spellEnd"/>
            <w:r w:rsidRPr="00F21087">
              <w:rPr>
                <w:rFonts w:cstheme="minorHAnsi"/>
                <w:bCs/>
                <w:sz w:val="14"/>
                <w:szCs w:val="14"/>
              </w:rPr>
              <w:t>.</w:t>
            </w:r>
          </w:p>
          <w:p w14:paraId="74EE06FA" w14:textId="77777777" w:rsidR="008F2269" w:rsidRPr="00F21087" w:rsidRDefault="008F2269" w:rsidP="002D1362">
            <w:pPr>
              <w:pStyle w:val="Paragraphedeliste"/>
              <w:autoSpaceDE w:val="0"/>
              <w:adjustRightInd w:val="0"/>
              <w:ind w:left="360"/>
              <w:jc w:val="both"/>
              <w:rPr>
                <w:rFonts w:cstheme="minorHAnsi"/>
                <w:bCs/>
                <w:sz w:val="14"/>
                <w:szCs w:val="14"/>
              </w:rPr>
            </w:pPr>
          </w:p>
          <w:p w14:paraId="6A8E9F1A" w14:textId="77777777" w:rsidR="008F2269" w:rsidRPr="00F21087" w:rsidRDefault="008F2269" w:rsidP="002D1362">
            <w:pPr>
              <w:shd w:val="clear" w:color="auto" w:fill="DEEAF6" w:themeFill="accent5" w:themeFillTint="33"/>
              <w:autoSpaceDE w:val="0"/>
              <w:autoSpaceDN w:val="0"/>
              <w:adjustRightInd w:val="0"/>
              <w:jc w:val="center"/>
              <w:rPr>
                <w:rFonts w:cstheme="minorHAnsi"/>
                <w:bCs/>
                <w:sz w:val="14"/>
                <w:szCs w:val="14"/>
              </w:rPr>
            </w:pPr>
            <w:r w:rsidRPr="00F21087">
              <w:rPr>
                <w:rFonts w:cstheme="minorHAnsi"/>
                <w:bCs/>
                <w:sz w:val="14"/>
                <w:szCs w:val="14"/>
              </w:rPr>
              <w:t>Programme prioritaire élargi (PPE)/2020-2022</w:t>
            </w:r>
          </w:p>
          <w:p w14:paraId="7C7A9311" w14:textId="77777777" w:rsidR="008F2269" w:rsidRPr="00F21087" w:rsidRDefault="008F2269" w:rsidP="002D1362">
            <w:pPr>
              <w:pStyle w:val="Paragraphedeliste"/>
              <w:ind w:left="360"/>
              <w:jc w:val="both"/>
              <w:rPr>
                <w:rFonts w:cstheme="minorHAnsi"/>
                <w:bCs/>
                <w:sz w:val="14"/>
                <w:szCs w:val="14"/>
              </w:rPr>
            </w:pPr>
          </w:p>
          <w:p w14:paraId="0568DF3A" w14:textId="77777777" w:rsidR="008F2269" w:rsidRPr="00F21087" w:rsidRDefault="008F2269" w:rsidP="008F2269">
            <w:pPr>
              <w:pStyle w:val="Paragraphedeliste"/>
              <w:numPr>
                <w:ilvl w:val="0"/>
                <w:numId w:val="97"/>
              </w:numPr>
              <w:suppressAutoHyphens/>
              <w:autoSpaceDN w:val="0"/>
              <w:jc w:val="both"/>
              <w:textAlignment w:val="baseline"/>
              <w:rPr>
                <w:rFonts w:cstheme="minorHAnsi"/>
                <w:bCs/>
                <w:sz w:val="14"/>
                <w:szCs w:val="14"/>
              </w:rPr>
            </w:pPr>
            <w:r w:rsidRPr="00F21087">
              <w:rPr>
                <w:rFonts w:cstheme="minorHAnsi"/>
                <w:bCs/>
                <w:sz w:val="14"/>
                <w:szCs w:val="14"/>
              </w:rPr>
              <w:t xml:space="preserve">Construction de 30 bassins de rétention des eaux pluviales (PPE 2020-2022). Financement à rechercher : 100 </w:t>
            </w:r>
            <w:proofErr w:type="spellStart"/>
            <w:r w:rsidRPr="00F21087">
              <w:rPr>
                <w:rFonts w:cstheme="minorHAnsi"/>
                <w:bCs/>
                <w:sz w:val="14"/>
                <w:szCs w:val="14"/>
              </w:rPr>
              <w:t>MioMRU</w:t>
            </w:r>
            <w:proofErr w:type="spellEnd"/>
            <w:r w:rsidRPr="00F21087">
              <w:rPr>
                <w:rFonts w:cstheme="minorHAnsi"/>
                <w:bCs/>
                <w:sz w:val="14"/>
                <w:szCs w:val="14"/>
              </w:rPr>
              <w:t>.</w:t>
            </w:r>
          </w:p>
          <w:p w14:paraId="234864DA" w14:textId="77777777" w:rsidR="008F2269" w:rsidRPr="00F21087" w:rsidRDefault="008F2269" w:rsidP="002D1362">
            <w:pPr>
              <w:rPr>
                <w:rFonts w:cstheme="minorHAnsi"/>
                <w:bCs/>
                <w:sz w:val="14"/>
                <w:szCs w:val="14"/>
              </w:rPr>
            </w:pPr>
          </w:p>
        </w:tc>
        <w:tc>
          <w:tcPr>
            <w:tcW w:w="2556" w:type="dxa"/>
            <w:vMerge w:val="restart"/>
            <w:tcBorders>
              <w:top w:val="nil"/>
            </w:tcBorders>
          </w:tcPr>
          <w:p w14:paraId="2B51BC30" w14:textId="77777777" w:rsidR="008F2269" w:rsidRPr="00F21087" w:rsidRDefault="008F2269" w:rsidP="002D1362">
            <w:pPr>
              <w:shd w:val="clear" w:color="auto" w:fill="DEEAF6" w:themeFill="accent5" w:themeFillTint="33"/>
              <w:jc w:val="center"/>
              <w:rPr>
                <w:rFonts w:cstheme="minorHAnsi"/>
                <w:b/>
                <w:bCs/>
                <w:sz w:val="14"/>
                <w:szCs w:val="14"/>
              </w:rPr>
            </w:pPr>
            <w:r w:rsidRPr="00F21087">
              <w:rPr>
                <w:rFonts w:cstheme="minorHAnsi"/>
                <w:b/>
                <w:bCs/>
                <w:sz w:val="14"/>
                <w:szCs w:val="14"/>
              </w:rPr>
              <w:t>Lacunes / Besoins</w:t>
            </w:r>
          </w:p>
          <w:p w14:paraId="79AD51BB" w14:textId="77777777" w:rsidR="008F2269" w:rsidRPr="00F21087" w:rsidRDefault="008F2269" w:rsidP="002D1362">
            <w:pPr>
              <w:jc w:val="both"/>
              <w:rPr>
                <w:rFonts w:cstheme="minorHAnsi"/>
                <w:bCs/>
                <w:sz w:val="14"/>
                <w:szCs w:val="14"/>
              </w:rPr>
            </w:pPr>
          </w:p>
          <w:p w14:paraId="09255A0A" w14:textId="77777777" w:rsidR="008F2269" w:rsidRPr="00F21087" w:rsidRDefault="008F2269" w:rsidP="002D1362">
            <w:pPr>
              <w:jc w:val="both"/>
              <w:rPr>
                <w:rFonts w:cstheme="minorHAnsi"/>
                <w:bCs/>
                <w:sz w:val="14"/>
                <w:szCs w:val="14"/>
              </w:rPr>
            </w:pPr>
            <w:r w:rsidRPr="00F21087">
              <w:rPr>
                <w:rFonts w:cstheme="minorHAnsi"/>
                <w:bCs/>
                <w:sz w:val="14"/>
                <w:szCs w:val="14"/>
              </w:rPr>
              <w:t xml:space="preserve">La SNADEA ne prend pas en compte les enjeux du changement climatique et de l’assainissement. </w:t>
            </w:r>
          </w:p>
          <w:p w14:paraId="78FBE2B5" w14:textId="77777777" w:rsidR="008F2269" w:rsidRPr="00F21087" w:rsidRDefault="008F2269" w:rsidP="002D1362">
            <w:pPr>
              <w:jc w:val="both"/>
              <w:rPr>
                <w:rFonts w:cstheme="minorHAnsi"/>
                <w:bCs/>
                <w:sz w:val="14"/>
                <w:szCs w:val="14"/>
              </w:rPr>
            </w:pPr>
          </w:p>
          <w:p w14:paraId="723538FB" w14:textId="77777777" w:rsidR="008F2269" w:rsidRPr="00F21087" w:rsidRDefault="008F2269" w:rsidP="002D1362">
            <w:pPr>
              <w:jc w:val="both"/>
              <w:rPr>
                <w:rFonts w:cstheme="minorHAnsi"/>
                <w:bCs/>
                <w:sz w:val="14"/>
                <w:szCs w:val="14"/>
              </w:rPr>
            </w:pPr>
            <w:r w:rsidRPr="00F21087">
              <w:rPr>
                <w:rFonts w:cstheme="minorHAnsi"/>
                <w:bCs/>
                <w:sz w:val="14"/>
                <w:szCs w:val="14"/>
              </w:rPr>
              <w:t xml:space="preserve">Un renforcement des capacités des acteurs est nécessaire pour prendre en compte les risques climatiques mentionnées afin de mieux dimensionner /sécuriser les ouvrages de génie civil, la protection des infrastructures d’habitat et contribuer à la préservation de la santé humaine. </w:t>
            </w:r>
          </w:p>
          <w:p w14:paraId="7ED7DF81" w14:textId="77777777" w:rsidR="008F2269" w:rsidRPr="00F21087" w:rsidRDefault="008F2269" w:rsidP="002D1362">
            <w:pPr>
              <w:jc w:val="both"/>
              <w:rPr>
                <w:rFonts w:cstheme="minorHAnsi"/>
                <w:b/>
                <w:bCs/>
                <w:sz w:val="14"/>
                <w:szCs w:val="14"/>
              </w:rPr>
            </w:pPr>
          </w:p>
          <w:p w14:paraId="3AA64E7A" w14:textId="77777777" w:rsidR="008F2269" w:rsidRPr="00F21087" w:rsidRDefault="008F2269" w:rsidP="002D1362">
            <w:pPr>
              <w:jc w:val="both"/>
              <w:rPr>
                <w:rFonts w:cstheme="minorHAnsi"/>
                <w:bCs/>
                <w:sz w:val="14"/>
                <w:szCs w:val="14"/>
              </w:rPr>
            </w:pPr>
            <w:r w:rsidRPr="00F21087">
              <w:rPr>
                <w:rFonts w:cstheme="minorHAnsi"/>
                <w:bCs/>
                <w:sz w:val="14"/>
                <w:szCs w:val="14"/>
              </w:rPr>
              <w:t xml:space="preserve">La SNADEA n’a pas été explicite sur certains : la vulgarisation de la bonne gouvernance, l’élaboration de stratégies sectorielles et multisectorielles avec les partenaires, la pêche continentale, le système intégré de l’information sur l’eau et la promotion du genre. </w:t>
            </w:r>
          </w:p>
          <w:p w14:paraId="191D667B" w14:textId="77777777" w:rsidR="008F2269" w:rsidRPr="00F21087" w:rsidRDefault="008F2269" w:rsidP="002D1362">
            <w:pPr>
              <w:jc w:val="both"/>
              <w:rPr>
                <w:rFonts w:cstheme="minorHAnsi"/>
                <w:bCs/>
                <w:sz w:val="14"/>
                <w:szCs w:val="14"/>
              </w:rPr>
            </w:pPr>
            <w:r w:rsidRPr="00F21087">
              <w:rPr>
                <w:rFonts w:cstheme="minorHAnsi"/>
                <w:bCs/>
                <w:sz w:val="14"/>
                <w:szCs w:val="14"/>
              </w:rPr>
              <w:t>Des mesures seront prises pour intégrer la vulgarisation de la bonne gouvernance, l’élaboration de stratégies sectorielles et multisectorielles avec les partenaires, la pêche continentale, le système intégré de l’information sur l’eau et la promotion du genre dans la CN5.</w:t>
            </w:r>
          </w:p>
          <w:p w14:paraId="17F12D17" w14:textId="77777777" w:rsidR="008F2269" w:rsidRPr="00F21087" w:rsidRDefault="008F2269" w:rsidP="002D1362">
            <w:pPr>
              <w:jc w:val="both"/>
              <w:rPr>
                <w:rFonts w:cstheme="minorHAnsi"/>
                <w:bCs/>
                <w:sz w:val="14"/>
                <w:szCs w:val="14"/>
              </w:rPr>
            </w:pPr>
          </w:p>
        </w:tc>
      </w:tr>
      <w:tr w:rsidR="008F2269" w:rsidRPr="00F21087" w14:paraId="4BBCD893" w14:textId="77777777" w:rsidTr="002D1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0" w:type="dxa"/>
            <w:tcBorders>
              <w:top w:val="nil"/>
            </w:tcBorders>
            <w:shd w:val="clear" w:color="auto" w:fill="C5E0B3" w:themeFill="accent6" w:themeFillTint="66"/>
          </w:tcPr>
          <w:p w14:paraId="4511AC8C" w14:textId="77777777" w:rsidR="008F2269" w:rsidRPr="00F21087" w:rsidRDefault="008F2269" w:rsidP="002D1362">
            <w:pPr>
              <w:autoSpaceDE w:val="0"/>
              <w:autoSpaceDN w:val="0"/>
              <w:adjustRightInd w:val="0"/>
              <w:jc w:val="both"/>
              <w:rPr>
                <w:rFonts w:cstheme="minorHAnsi"/>
                <w:bCs/>
                <w:sz w:val="14"/>
                <w:szCs w:val="14"/>
              </w:rPr>
            </w:pPr>
            <w:r w:rsidRPr="00F21087">
              <w:rPr>
                <w:rFonts w:cstheme="minorHAnsi"/>
                <w:bCs/>
                <w:sz w:val="14"/>
                <w:szCs w:val="14"/>
              </w:rPr>
              <w:t xml:space="preserve">Résultat 4.5 : Dans les zones urbaines raccordables à l’assainissement collectif, le taux de raccordement au réseau de collecte des eaux usées est porté à 50 % </w:t>
            </w:r>
          </w:p>
        </w:tc>
        <w:tc>
          <w:tcPr>
            <w:tcW w:w="3402" w:type="dxa"/>
            <w:vMerge/>
          </w:tcPr>
          <w:p w14:paraId="52155C16" w14:textId="77777777" w:rsidR="008F2269" w:rsidRPr="00F21087" w:rsidRDefault="008F2269" w:rsidP="008F2269">
            <w:pPr>
              <w:pStyle w:val="Paragraphedeliste"/>
              <w:numPr>
                <w:ilvl w:val="0"/>
                <w:numId w:val="88"/>
              </w:numPr>
              <w:suppressAutoHyphens/>
              <w:autoSpaceDN w:val="0"/>
              <w:ind w:left="360"/>
              <w:jc w:val="both"/>
              <w:textAlignment w:val="baseline"/>
              <w:rPr>
                <w:rFonts w:cstheme="minorHAnsi"/>
                <w:sz w:val="14"/>
                <w:szCs w:val="14"/>
              </w:rPr>
            </w:pPr>
          </w:p>
        </w:tc>
        <w:tc>
          <w:tcPr>
            <w:tcW w:w="5387" w:type="dxa"/>
            <w:tcBorders>
              <w:top w:val="nil"/>
            </w:tcBorders>
          </w:tcPr>
          <w:p w14:paraId="187AA10B" w14:textId="77777777" w:rsidR="008F2269" w:rsidRPr="00F21087" w:rsidRDefault="008F2269" w:rsidP="002D1362">
            <w:pPr>
              <w:pStyle w:val="Paragraphedeliste"/>
              <w:shd w:val="clear" w:color="auto" w:fill="DEEAF6" w:themeFill="accent5" w:themeFillTint="33"/>
              <w:autoSpaceDE w:val="0"/>
              <w:adjustRightInd w:val="0"/>
              <w:ind w:left="360"/>
              <w:jc w:val="center"/>
              <w:rPr>
                <w:rFonts w:cstheme="minorHAnsi"/>
                <w:bCs/>
                <w:sz w:val="14"/>
                <w:szCs w:val="14"/>
              </w:rPr>
            </w:pPr>
            <w:r w:rsidRPr="00F21087">
              <w:rPr>
                <w:rFonts w:cstheme="minorHAnsi"/>
                <w:bCs/>
                <w:sz w:val="14"/>
                <w:szCs w:val="14"/>
              </w:rPr>
              <w:t>SNADEA 2017-2030</w:t>
            </w:r>
          </w:p>
          <w:p w14:paraId="3380EFCC" w14:textId="77777777" w:rsidR="008F2269" w:rsidRPr="00F21087" w:rsidRDefault="008F2269" w:rsidP="002D1362">
            <w:pPr>
              <w:pStyle w:val="Paragraphedeliste"/>
              <w:autoSpaceDE w:val="0"/>
              <w:adjustRightInd w:val="0"/>
              <w:ind w:left="360"/>
              <w:jc w:val="both"/>
              <w:rPr>
                <w:rFonts w:cstheme="minorHAnsi"/>
                <w:bCs/>
                <w:sz w:val="14"/>
                <w:szCs w:val="14"/>
              </w:rPr>
            </w:pPr>
          </w:p>
          <w:p w14:paraId="747C45EA" w14:textId="77777777" w:rsidR="008F2269" w:rsidRPr="00F21087" w:rsidRDefault="008F2269" w:rsidP="008F2269">
            <w:pPr>
              <w:pStyle w:val="Paragraphedeliste"/>
              <w:numPr>
                <w:ilvl w:val="0"/>
                <w:numId w:val="97"/>
              </w:numPr>
              <w:suppressAutoHyphens/>
              <w:autoSpaceDE w:val="0"/>
              <w:autoSpaceDN w:val="0"/>
              <w:adjustRightInd w:val="0"/>
              <w:jc w:val="both"/>
              <w:textAlignment w:val="baseline"/>
              <w:rPr>
                <w:rFonts w:cstheme="minorHAnsi"/>
                <w:bCs/>
                <w:sz w:val="14"/>
                <w:szCs w:val="14"/>
              </w:rPr>
            </w:pPr>
            <w:r w:rsidRPr="00F21087">
              <w:rPr>
                <w:rFonts w:cstheme="minorHAnsi"/>
                <w:bCs/>
                <w:sz w:val="14"/>
                <w:szCs w:val="14"/>
              </w:rPr>
              <w:t>Réalisation de réseaux d’assainissement et stati</w:t>
            </w:r>
            <w:r>
              <w:rPr>
                <w:rFonts w:cstheme="minorHAnsi"/>
                <w:bCs/>
                <w:sz w:val="14"/>
                <w:szCs w:val="14"/>
              </w:rPr>
              <w:t xml:space="preserve">ons de traitement : Nouakchott, </w:t>
            </w:r>
            <w:r w:rsidRPr="00F21087">
              <w:rPr>
                <w:rFonts w:cstheme="minorHAnsi"/>
                <w:bCs/>
                <w:sz w:val="14"/>
                <w:szCs w:val="14"/>
              </w:rPr>
              <w:t xml:space="preserve">Nouadhibou et Rosso. Financement à rechercher : 65.700 </w:t>
            </w:r>
            <w:proofErr w:type="spellStart"/>
            <w:r w:rsidRPr="00F21087">
              <w:rPr>
                <w:rFonts w:cstheme="minorHAnsi"/>
                <w:bCs/>
                <w:sz w:val="14"/>
                <w:szCs w:val="14"/>
              </w:rPr>
              <w:t>MioMRU</w:t>
            </w:r>
            <w:proofErr w:type="spellEnd"/>
            <w:r w:rsidRPr="00F21087">
              <w:rPr>
                <w:rFonts w:cstheme="minorHAnsi"/>
                <w:bCs/>
                <w:sz w:val="14"/>
                <w:szCs w:val="14"/>
              </w:rPr>
              <w:t>.</w:t>
            </w:r>
          </w:p>
        </w:tc>
        <w:tc>
          <w:tcPr>
            <w:tcW w:w="2556" w:type="dxa"/>
            <w:vMerge/>
          </w:tcPr>
          <w:p w14:paraId="5E9315EC" w14:textId="77777777" w:rsidR="008F2269" w:rsidRPr="00F21087" w:rsidRDefault="008F2269" w:rsidP="002D1362">
            <w:pPr>
              <w:pStyle w:val="Paragraphedeliste"/>
              <w:ind w:left="360"/>
              <w:jc w:val="both"/>
              <w:rPr>
                <w:rFonts w:cstheme="minorHAnsi"/>
                <w:bCs/>
                <w:sz w:val="14"/>
                <w:szCs w:val="14"/>
              </w:rPr>
            </w:pPr>
          </w:p>
        </w:tc>
      </w:tr>
      <w:tr w:rsidR="008F2269" w:rsidRPr="00F21087" w14:paraId="508B9956" w14:textId="77777777" w:rsidTr="002D13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0" w:type="dxa"/>
            <w:tcBorders>
              <w:top w:val="nil"/>
            </w:tcBorders>
            <w:shd w:val="clear" w:color="auto" w:fill="C5E0B3" w:themeFill="accent6" w:themeFillTint="66"/>
          </w:tcPr>
          <w:p w14:paraId="26CD5113" w14:textId="77777777" w:rsidR="008F2269" w:rsidRPr="00F21087" w:rsidRDefault="008F2269" w:rsidP="002D1362">
            <w:pPr>
              <w:autoSpaceDE w:val="0"/>
              <w:autoSpaceDN w:val="0"/>
              <w:adjustRightInd w:val="0"/>
              <w:jc w:val="both"/>
              <w:rPr>
                <w:rFonts w:cstheme="minorHAnsi"/>
                <w:b/>
                <w:bCs/>
                <w:sz w:val="14"/>
                <w:szCs w:val="14"/>
              </w:rPr>
            </w:pPr>
          </w:p>
          <w:p w14:paraId="2DAC1F4B" w14:textId="77777777" w:rsidR="008F2269" w:rsidRPr="00F21087" w:rsidRDefault="008F2269" w:rsidP="002D1362">
            <w:pPr>
              <w:autoSpaceDE w:val="0"/>
              <w:autoSpaceDN w:val="0"/>
              <w:adjustRightInd w:val="0"/>
              <w:jc w:val="both"/>
              <w:rPr>
                <w:rFonts w:cstheme="minorHAnsi"/>
                <w:bCs/>
                <w:sz w:val="14"/>
                <w:szCs w:val="14"/>
              </w:rPr>
            </w:pPr>
            <w:r w:rsidRPr="00F21087">
              <w:rPr>
                <w:rFonts w:cstheme="minorHAnsi"/>
                <w:bCs/>
                <w:sz w:val="14"/>
                <w:szCs w:val="14"/>
              </w:rPr>
              <w:t>Résultat 4.6 : Dans les zones urbaines raccordables à l’assainissement pluvial, le taux de raccordement au réseau des eaux pluviales est porté à 50 %.</w:t>
            </w:r>
          </w:p>
          <w:p w14:paraId="3F394E79" w14:textId="77777777" w:rsidR="008F2269" w:rsidRPr="00F21087" w:rsidRDefault="008F2269" w:rsidP="002D1362">
            <w:pPr>
              <w:autoSpaceDE w:val="0"/>
              <w:autoSpaceDN w:val="0"/>
              <w:adjustRightInd w:val="0"/>
              <w:jc w:val="both"/>
              <w:rPr>
                <w:rFonts w:cstheme="minorHAnsi"/>
                <w:b/>
                <w:bCs/>
                <w:sz w:val="14"/>
                <w:szCs w:val="14"/>
              </w:rPr>
            </w:pPr>
          </w:p>
          <w:p w14:paraId="148443B6" w14:textId="77777777" w:rsidR="008F2269" w:rsidRPr="00F21087" w:rsidRDefault="008F2269" w:rsidP="002D1362">
            <w:pPr>
              <w:autoSpaceDE w:val="0"/>
              <w:autoSpaceDN w:val="0"/>
              <w:adjustRightInd w:val="0"/>
              <w:jc w:val="both"/>
              <w:rPr>
                <w:rFonts w:cstheme="minorHAnsi"/>
                <w:b/>
                <w:bCs/>
                <w:sz w:val="14"/>
                <w:szCs w:val="14"/>
              </w:rPr>
            </w:pPr>
          </w:p>
        </w:tc>
        <w:tc>
          <w:tcPr>
            <w:tcW w:w="3402" w:type="dxa"/>
            <w:vMerge/>
          </w:tcPr>
          <w:p w14:paraId="31266919" w14:textId="77777777" w:rsidR="008F2269" w:rsidRPr="00F21087" w:rsidRDefault="008F2269" w:rsidP="008F2269">
            <w:pPr>
              <w:pStyle w:val="Paragraphedeliste"/>
              <w:numPr>
                <w:ilvl w:val="0"/>
                <w:numId w:val="88"/>
              </w:numPr>
              <w:suppressAutoHyphens/>
              <w:autoSpaceDN w:val="0"/>
              <w:ind w:left="360"/>
              <w:jc w:val="both"/>
              <w:textAlignment w:val="baseline"/>
              <w:rPr>
                <w:rFonts w:cstheme="minorHAnsi"/>
                <w:sz w:val="14"/>
                <w:szCs w:val="14"/>
              </w:rPr>
            </w:pPr>
          </w:p>
        </w:tc>
        <w:tc>
          <w:tcPr>
            <w:tcW w:w="5387" w:type="dxa"/>
            <w:tcBorders>
              <w:top w:val="nil"/>
            </w:tcBorders>
          </w:tcPr>
          <w:p w14:paraId="299A9E9A" w14:textId="77777777" w:rsidR="008F2269" w:rsidRPr="00F21087" w:rsidRDefault="008F2269" w:rsidP="002D1362">
            <w:pPr>
              <w:pStyle w:val="Paragraphedeliste"/>
              <w:shd w:val="clear" w:color="auto" w:fill="DEEAF6" w:themeFill="accent5" w:themeFillTint="33"/>
              <w:autoSpaceDE w:val="0"/>
              <w:adjustRightInd w:val="0"/>
              <w:ind w:left="360"/>
              <w:jc w:val="center"/>
              <w:rPr>
                <w:rFonts w:cstheme="minorHAnsi"/>
                <w:bCs/>
                <w:sz w:val="14"/>
                <w:szCs w:val="14"/>
              </w:rPr>
            </w:pPr>
            <w:r w:rsidRPr="00F21087">
              <w:rPr>
                <w:rFonts w:cstheme="minorHAnsi"/>
                <w:bCs/>
                <w:sz w:val="14"/>
                <w:szCs w:val="14"/>
              </w:rPr>
              <w:t>SNADEA 2017-2030</w:t>
            </w:r>
          </w:p>
          <w:p w14:paraId="2BC34E77" w14:textId="77777777" w:rsidR="008F2269" w:rsidRPr="00F21087" w:rsidRDefault="008F2269" w:rsidP="002D1362">
            <w:pPr>
              <w:autoSpaceDE w:val="0"/>
              <w:autoSpaceDN w:val="0"/>
              <w:adjustRightInd w:val="0"/>
              <w:rPr>
                <w:rFonts w:cstheme="minorHAnsi"/>
                <w:bCs/>
                <w:sz w:val="14"/>
                <w:szCs w:val="14"/>
              </w:rPr>
            </w:pPr>
          </w:p>
          <w:p w14:paraId="7EA600DF" w14:textId="77777777" w:rsidR="008F2269" w:rsidRPr="00F21087" w:rsidRDefault="008F2269" w:rsidP="008F2269">
            <w:pPr>
              <w:pStyle w:val="Paragraphedeliste"/>
              <w:numPr>
                <w:ilvl w:val="0"/>
                <w:numId w:val="98"/>
              </w:numPr>
              <w:suppressAutoHyphens/>
              <w:autoSpaceDE w:val="0"/>
              <w:autoSpaceDN w:val="0"/>
              <w:adjustRightInd w:val="0"/>
              <w:jc w:val="both"/>
              <w:textAlignment w:val="baseline"/>
              <w:rPr>
                <w:rFonts w:cstheme="minorHAnsi"/>
                <w:bCs/>
                <w:sz w:val="14"/>
                <w:szCs w:val="14"/>
              </w:rPr>
            </w:pPr>
            <w:r w:rsidRPr="00F21087">
              <w:rPr>
                <w:rFonts w:cstheme="minorHAnsi"/>
                <w:bCs/>
                <w:sz w:val="14"/>
                <w:szCs w:val="14"/>
              </w:rPr>
              <w:t xml:space="preserve">Réalisation de réseaux d’assainissement pluvial de Nouakchott (35 km), Kiffa, Rosso et Tintane (25 km) et autres villes à raccorder au réseau de collecte des eaux pluviales. Financement à rechercher : 13.900 </w:t>
            </w:r>
            <w:proofErr w:type="spellStart"/>
            <w:r w:rsidRPr="00F21087">
              <w:rPr>
                <w:rFonts w:cstheme="minorHAnsi"/>
                <w:bCs/>
                <w:sz w:val="14"/>
                <w:szCs w:val="14"/>
              </w:rPr>
              <w:t>MioMRU</w:t>
            </w:r>
            <w:proofErr w:type="spellEnd"/>
            <w:r w:rsidRPr="00F21087">
              <w:rPr>
                <w:rFonts w:cstheme="minorHAnsi"/>
                <w:bCs/>
                <w:sz w:val="14"/>
                <w:szCs w:val="14"/>
              </w:rPr>
              <w:t>.</w:t>
            </w:r>
          </w:p>
          <w:p w14:paraId="417C5C74" w14:textId="77777777" w:rsidR="008F2269" w:rsidRPr="00F21087" w:rsidRDefault="008F2269" w:rsidP="002D1362">
            <w:pPr>
              <w:autoSpaceDE w:val="0"/>
              <w:autoSpaceDN w:val="0"/>
              <w:adjustRightInd w:val="0"/>
              <w:rPr>
                <w:rFonts w:cstheme="minorHAnsi"/>
                <w:bCs/>
                <w:sz w:val="14"/>
                <w:szCs w:val="14"/>
              </w:rPr>
            </w:pPr>
          </w:p>
        </w:tc>
        <w:tc>
          <w:tcPr>
            <w:tcW w:w="2556" w:type="dxa"/>
            <w:vMerge/>
          </w:tcPr>
          <w:p w14:paraId="5AF3A847" w14:textId="77777777" w:rsidR="008F2269" w:rsidRPr="00F21087" w:rsidRDefault="008F2269" w:rsidP="002D1362">
            <w:pPr>
              <w:jc w:val="both"/>
              <w:rPr>
                <w:rFonts w:cstheme="minorHAnsi"/>
                <w:bCs/>
                <w:sz w:val="14"/>
                <w:szCs w:val="14"/>
              </w:rPr>
            </w:pPr>
          </w:p>
        </w:tc>
      </w:tr>
    </w:tbl>
    <w:bookmarkEnd w:id="193"/>
    <w:bookmarkEnd w:id="194"/>
    <w:bookmarkEnd w:id="195"/>
    <w:bookmarkEnd w:id="196"/>
    <w:p w14:paraId="16866783" w14:textId="77777777" w:rsidR="008F2269" w:rsidRPr="00F21087" w:rsidRDefault="008F2269" w:rsidP="008F2269">
      <w:pPr>
        <w:rPr>
          <w:rFonts w:cstheme="minorHAnsi"/>
          <w:sz w:val="14"/>
          <w:szCs w:val="14"/>
        </w:rPr>
      </w:pPr>
      <w:r w:rsidRPr="00F21087">
        <w:rPr>
          <w:rFonts w:cstheme="minorHAnsi"/>
          <w:b/>
          <w:bCs/>
          <w:sz w:val="16"/>
          <w:szCs w:val="16"/>
        </w:rPr>
        <w:t xml:space="preserve"> </w:t>
      </w:r>
    </w:p>
    <w:tbl>
      <w:tblPr>
        <w:tblStyle w:val="Grilledutableau"/>
        <w:tblW w:w="14175" w:type="dxa"/>
        <w:tblLook w:val="04A0" w:firstRow="1" w:lastRow="0" w:firstColumn="1" w:lastColumn="0" w:noHBand="0" w:noVBand="1"/>
      </w:tblPr>
      <w:tblGrid>
        <w:gridCol w:w="2830"/>
        <w:gridCol w:w="3402"/>
        <w:gridCol w:w="5387"/>
        <w:gridCol w:w="2556"/>
      </w:tblGrid>
      <w:tr w:rsidR="008F2269" w:rsidRPr="00F21087" w:rsidDel="005F3909" w14:paraId="097DD801" w14:textId="77777777" w:rsidTr="002D1362">
        <w:trPr>
          <w:cantSplit/>
          <w:trHeight w:val="335"/>
        </w:trPr>
        <w:tc>
          <w:tcPr>
            <w:tcW w:w="2830" w:type="dxa"/>
            <w:vMerge w:val="restart"/>
            <w:shd w:val="clear" w:color="auto" w:fill="C5E0B3" w:themeFill="accent6" w:themeFillTint="66"/>
            <w:vAlign w:val="center"/>
          </w:tcPr>
          <w:p w14:paraId="3D3DDC50" w14:textId="77777777" w:rsidR="008F2269" w:rsidRPr="00F21087" w:rsidRDefault="008F2269" w:rsidP="002D1362">
            <w:pPr>
              <w:jc w:val="center"/>
              <w:rPr>
                <w:rFonts w:cstheme="minorHAnsi"/>
                <w:b/>
                <w:sz w:val="14"/>
                <w:szCs w:val="14"/>
              </w:rPr>
            </w:pPr>
            <w:r w:rsidRPr="00F21087">
              <w:rPr>
                <w:rFonts w:cstheme="minorHAnsi"/>
                <w:b/>
                <w:sz w:val="14"/>
                <w:szCs w:val="14"/>
              </w:rPr>
              <w:t>Objectifs et résultats clés attendus</w:t>
            </w:r>
          </w:p>
        </w:tc>
        <w:tc>
          <w:tcPr>
            <w:tcW w:w="11345" w:type="dxa"/>
            <w:gridSpan w:val="3"/>
            <w:shd w:val="clear" w:color="auto" w:fill="FFE599" w:themeFill="accent4" w:themeFillTint="66"/>
            <w:vAlign w:val="center"/>
          </w:tcPr>
          <w:p w14:paraId="0939CD18" w14:textId="77777777" w:rsidR="008F2269" w:rsidRPr="00F21087" w:rsidDel="005F3909" w:rsidRDefault="008F2269" w:rsidP="002D1362">
            <w:pPr>
              <w:jc w:val="center"/>
              <w:rPr>
                <w:rFonts w:cstheme="minorHAnsi"/>
                <w:b/>
                <w:sz w:val="14"/>
                <w:szCs w:val="14"/>
              </w:rPr>
            </w:pPr>
            <w:r w:rsidRPr="00F21087">
              <w:rPr>
                <w:rFonts w:cstheme="minorHAnsi"/>
                <w:b/>
                <w:sz w:val="14"/>
                <w:szCs w:val="14"/>
              </w:rPr>
              <w:t>Analyse des enjeux climatiques et besoins du Plan National de Réduction des Risques Climatiques</w:t>
            </w:r>
          </w:p>
        </w:tc>
      </w:tr>
      <w:tr w:rsidR="008F2269" w:rsidRPr="00F21087" w14:paraId="03FD4821" w14:textId="77777777" w:rsidTr="002D1362">
        <w:trPr>
          <w:cantSplit/>
          <w:trHeight w:val="1134"/>
        </w:trPr>
        <w:tc>
          <w:tcPr>
            <w:tcW w:w="2830" w:type="dxa"/>
            <w:vMerge/>
            <w:shd w:val="clear" w:color="auto" w:fill="C5E0B3" w:themeFill="accent6" w:themeFillTint="66"/>
            <w:textDirection w:val="btLr"/>
            <w:vAlign w:val="center"/>
          </w:tcPr>
          <w:p w14:paraId="3BD46060" w14:textId="77777777" w:rsidR="008F2269" w:rsidRPr="00F21087" w:rsidRDefault="008F2269" w:rsidP="002D1362">
            <w:pPr>
              <w:jc w:val="center"/>
              <w:rPr>
                <w:rFonts w:cstheme="minorHAnsi"/>
                <w:b/>
                <w:sz w:val="14"/>
                <w:szCs w:val="14"/>
              </w:rPr>
            </w:pPr>
          </w:p>
        </w:tc>
        <w:tc>
          <w:tcPr>
            <w:tcW w:w="3402" w:type="dxa"/>
            <w:shd w:val="clear" w:color="auto" w:fill="FFE599" w:themeFill="accent4" w:themeFillTint="66"/>
          </w:tcPr>
          <w:p w14:paraId="5D821DB0" w14:textId="77777777" w:rsidR="008F2269" w:rsidRPr="00F21087" w:rsidRDefault="008F2269" w:rsidP="002D1362">
            <w:pPr>
              <w:jc w:val="center"/>
              <w:rPr>
                <w:rFonts w:cstheme="minorHAnsi"/>
                <w:b/>
                <w:sz w:val="14"/>
                <w:szCs w:val="14"/>
              </w:rPr>
            </w:pPr>
            <w:r w:rsidRPr="00F21087">
              <w:rPr>
                <w:rFonts w:cstheme="minorHAnsi"/>
                <w:b/>
                <w:sz w:val="14"/>
                <w:szCs w:val="14"/>
              </w:rPr>
              <w:t>Principaux déterminants à l’exposition aux risques climatiques</w:t>
            </w:r>
          </w:p>
          <w:p w14:paraId="63B9C878" w14:textId="77777777" w:rsidR="008F2269" w:rsidRPr="00F21087" w:rsidRDefault="008F2269" w:rsidP="002D1362">
            <w:pPr>
              <w:jc w:val="center"/>
              <w:rPr>
                <w:rFonts w:cstheme="minorHAnsi"/>
                <w:sz w:val="14"/>
                <w:szCs w:val="14"/>
              </w:rPr>
            </w:pPr>
            <w:r w:rsidRPr="00F21087">
              <w:rPr>
                <w:rFonts w:cstheme="minorHAnsi"/>
                <w:sz w:val="14"/>
                <w:szCs w:val="14"/>
              </w:rPr>
              <w:t>(Décrire brièvement la nature des risques climatiques et la vulnérabilité. La partie narrative devra développer davantage ces paramètres)</w:t>
            </w:r>
          </w:p>
        </w:tc>
        <w:tc>
          <w:tcPr>
            <w:tcW w:w="5387" w:type="dxa"/>
            <w:shd w:val="clear" w:color="auto" w:fill="FFE599" w:themeFill="accent4" w:themeFillTint="66"/>
          </w:tcPr>
          <w:p w14:paraId="694C9422" w14:textId="77777777" w:rsidR="008F2269" w:rsidRPr="00F21087" w:rsidRDefault="008F2269" w:rsidP="002D1362">
            <w:pPr>
              <w:ind w:left="-24" w:right="-108"/>
              <w:jc w:val="center"/>
              <w:rPr>
                <w:rFonts w:cstheme="minorHAnsi"/>
                <w:b/>
                <w:sz w:val="14"/>
                <w:szCs w:val="14"/>
              </w:rPr>
            </w:pPr>
            <w:r w:rsidRPr="00F21087">
              <w:rPr>
                <w:rFonts w:cstheme="minorHAnsi"/>
                <w:b/>
                <w:sz w:val="14"/>
                <w:szCs w:val="14"/>
              </w:rPr>
              <w:t>Mesures, activités ou initiatives en cours ou programmées pour faire face aux enjeux du CC</w:t>
            </w:r>
          </w:p>
          <w:p w14:paraId="39DBD5D0" w14:textId="77777777" w:rsidR="008F2269" w:rsidRPr="00F21087" w:rsidRDefault="008F2269" w:rsidP="002D1362">
            <w:pPr>
              <w:jc w:val="center"/>
              <w:rPr>
                <w:rFonts w:cstheme="minorHAnsi"/>
                <w:b/>
                <w:sz w:val="14"/>
                <w:szCs w:val="14"/>
              </w:rPr>
            </w:pPr>
            <w:r w:rsidRPr="00F21087">
              <w:rPr>
                <w:rFonts w:cstheme="minorHAnsi"/>
                <w:sz w:val="14"/>
                <w:szCs w:val="14"/>
              </w:rPr>
              <w:t xml:space="preserve"> (Décrire brièvement ces mesures. La partie narrative devra développer davantage ces paramètres)</w:t>
            </w:r>
          </w:p>
        </w:tc>
        <w:tc>
          <w:tcPr>
            <w:tcW w:w="2556" w:type="dxa"/>
            <w:shd w:val="clear" w:color="auto" w:fill="FFE599" w:themeFill="accent4" w:themeFillTint="66"/>
          </w:tcPr>
          <w:p w14:paraId="41A650E6" w14:textId="77777777" w:rsidR="008F2269" w:rsidRPr="00F21087" w:rsidRDefault="008F2269" w:rsidP="002D1362">
            <w:pPr>
              <w:jc w:val="center"/>
              <w:rPr>
                <w:rFonts w:cstheme="minorHAnsi"/>
                <w:b/>
                <w:sz w:val="14"/>
                <w:szCs w:val="14"/>
              </w:rPr>
            </w:pPr>
            <w:r w:rsidRPr="00F21087">
              <w:rPr>
                <w:rFonts w:cstheme="minorHAnsi"/>
                <w:b/>
                <w:sz w:val="14"/>
                <w:szCs w:val="14"/>
              </w:rPr>
              <w:t>Lacunes et besoins pour l’adaptation au CC</w:t>
            </w:r>
            <w:r w:rsidRPr="00F21087">
              <w:rPr>
                <w:rStyle w:val="Appelnotedebasdep"/>
                <w:rFonts w:cstheme="minorHAnsi"/>
                <w:b/>
                <w:sz w:val="16"/>
                <w:szCs w:val="16"/>
              </w:rPr>
              <w:footnoteReference w:id="53"/>
            </w:r>
            <w:r w:rsidRPr="00F21087">
              <w:rPr>
                <w:rFonts w:cstheme="minorHAnsi"/>
                <w:b/>
                <w:sz w:val="14"/>
                <w:szCs w:val="14"/>
              </w:rPr>
              <w:t xml:space="preserve"> en lien avec la CN5</w:t>
            </w:r>
          </w:p>
          <w:p w14:paraId="247A5435" w14:textId="77777777" w:rsidR="008F2269" w:rsidRPr="00F21087" w:rsidRDefault="008F2269" w:rsidP="002D1362">
            <w:pPr>
              <w:rPr>
                <w:sz w:val="16"/>
                <w:szCs w:val="16"/>
              </w:rPr>
            </w:pPr>
            <w:r w:rsidRPr="00F21087">
              <w:rPr>
                <w:rFonts w:cstheme="minorHAnsi"/>
                <w:sz w:val="14"/>
                <w:szCs w:val="14"/>
              </w:rPr>
              <w:t>(Description brève. La partie narrative devra expliquer davantage ces paramètres)</w:t>
            </w:r>
          </w:p>
        </w:tc>
      </w:tr>
      <w:tr w:rsidR="008F2269" w:rsidRPr="00F21087" w14:paraId="6DF96436" w14:textId="77777777" w:rsidTr="002D1362">
        <w:tc>
          <w:tcPr>
            <w:tcW w:w="2830" w:type="dxa"/>
            <w:shd w:val="clear" w:color="auto" w:fill="C5E0B3" w:themeFill="accent6" w:themeFillTint="66"/>
            <w:vAlign w:val="center"/>
          </w:tcPr>
          <w:p w14:paraId="26C4C96B" w14:textId="77777777" w:rsidR="008F2269" w:rsidRPr="00F21087" w:rsidRDefault="008F2269" w:rsidP="002D1362">
            <w:pPr>
              <w:rPr>
                <w:rFonts w:cstheme="minorHAnsi"/>
                <w:b/>
                <w:sz w:val="14"/>
                <w:szCs w:val="14"/>
              </w:rPr>
            </w:pPr>
            <w:r w:rsidRPr="00F21087">
              <w:rPr>
                <w:rFonts w:cstheme="minorHAnsi"/>
                <w:b/>
                <w:bCs/>
                <w:sz w:val="14"/>
                <w:szCs w:val="14"/>
              </w:rPr>
              <w:t>Axe stratégique 1</w:t>
            </w:r>
          </w:p>
        </w:tc>
        <w:tc>
          <w:tcPr>
            <w:tcW w:w="11345" w:type="dxa"/>
            <w:gridSpan w:val="3"/>
            <w:shd w:val="clear" w:color="auto" w:fill="C5E0B3" w:themeFill="accent6" w:themeFillTint="66"/>
          </w:tcPr>
          <w:p w14:paraId="666FE6E2" w14:textId="77777777" w:rsidR="008F2269" w:rsidRPr="00F21087" w:rsidRDefault="008F2269" w:rsidP="002D1362">
            <w:pPr>
              <w:ind w:left="360" w:hanging="360"/>
              <w:contextualSpacing/>
              <w:rPr>
                <w:rFonts w:cstheme="minorHAnsi"/>
                <w:b/>
                <w:bCs/>
                <w:strike/>
                <w:sz w:val="14"/>
                <w:szCs w:val="14"/>
              </w:rPr>
            </w:pPr>
            <w:r w:rsidRPr="00F21087">
              <w:rPr>
                <w:rFonts w:cstheme="minorHAnsi"/>
                <w:b/>
                <w:sz w:val="14"/>
                <w:szCs w:val="14"/>
              </w:rPr>
              <w:t xml:space="preserve">  </w:t>
            </w:r>
            <w:r w:rsidRPr="00F21087">
              <w:rPr>
                <w:rFonts w:cstheme="minorHAnsi"/>
                <w:b/>
                <w:bCs/>
                <w:sz w:val="14"/>
                <w:szCs w:val="14"/>
              </w:rPr>
              <w:t>: Améliorer la connaissance des risques-impacts de la variabilité et du changement climatique</w:t>
            </w:r>
            <w:r w:rsidRPr="00F21087">
              <w:rPr>
                <w:rFonts w:cstheme="minorHAnsi"/>
                <w:b/>
                <w:bCs/>
                <w:strike/>
                <w:sz w:val="14"/>
                <w:szCs w:val="14"/>
              </w:rPr>
              <w:t>.</w:t>
            </w:r>
          </w:p>
        </w:tc>
      </w:tr>
      <w:tr w:rsidR="008F2269" w:rsidRPr="00F21087" w14:paraId="203C8702" w14:textId="77777777" w:rsidTr="002D1362">
        <w:trPr>
          <w:trHeight w:val="126"/>
        </w:trPr>
        <w:tc>
          <w:tcPr>
            <w:tcW w:w="2830" w:type="dxa"/>
            <w:shd w:val="clear" w:color="auto" w:fill="C5E0B3" w:themeFill="accent6" w:themeFillTint="66"/>
            <w:vAlign w:val="center"/>
          </w:tcPr>
          <w:p w14:paraId="13864BFA" w14:textId="77777777" w:rsidR="008F2269" w:rsidRPr="004E34E9" w:rsidRDefault="008F2269" w:rsidP="002D1362">
            <w:pPr>
              <w:jc w:val="both"/>
              <w:rPr>
                <w:rFonts w:cstheme="minorHAnsi"/>
                <w:bCs/>
                <w:sz w:val="20"/>
                <w:szCs w:val="20"/>
              </w:rPr>
            </w:pPr>
            <w:r w:rsidRPr="00F21087">
              <w:rPr>
                <w:rFonts w:cstheme="minorHAnsi"/>
                <w:bCs/>
                <w:sz w:val="14"/>
                <w:szCs w:val="14"/>
              </w:rPr>
              <w:t xml:space="preserve"> </w:t>
            </w:r>
            <w:r w:rsidRPr="00A47D80">
              <w:rPr>
                <w:rFonts w:cstheme="minorHAnsi"/>
                <w:sz w:val="14"/>
                <w:szCs w:val="14"/>
              </w:rPr>
              <w:t xml:space="preserve">Résultat 1.1 : Les risques-impacts de la variabilité et du changement climatique sont mieux appréhendés pour améliorer la résilience et orienter la prise de décision </w:t>
            </w:r>
            <w:proofErr w:type="gramStart"/>
            <w:r w:rsidRPr="00A47D80">
              <w:rPr>
                <w:rFonts w:cstheme="minorHAnsi"/>
                <w:sz w:val="14"/>
                <w:szCs w:val="14"/>
              </w:rPr>
              <w:t>adéquate</w:t>
            </w:r>
            <w:r w:rsidRPr="00A47D80">
              <w:rPr>
                <w:sz w:val="14"/>
                <w:szCs w:val="14"/>
              </w:rPr>
              <w:t xml:space="preserve"> </w:t>
            </w:r>
            <w:r w:rsidRPr="00A47D80">
              <w:rPr>
                <w:rFonts w:cstheme="minorHAnsi"/>
                <w:sz w:val="14"/>
                <w:szCs w:val="14"/>
              </w:rPr>
              <w:t>.</w:t>
            </w:r>
            <w:proofErr w:type="gramEnd"/>
          </w:p>
        </w:tc>
        <w:tc>
          <w:tcPr>
            <w:tcW w:w="3402" w:type="dxa"/>
            <w:vMerge w:val="restart"/>
          </w:tcPr>
          <w:p w14:paraId="221D8014" w14:textId="77777777" w:rsidR="008F2269" w:rsidRPr="00F21087" w:rsidRDefault="008F2269" w:rsidP="002D1362">
            <w:pPr>
              <w:shd w:val="clear" w:color="auto" w:fill="DEEAF6" w:themeFill="accent5" w:themeFillTint="33"/>
              <w:autoSpaceDE w:val="0"/>
              <w:autoSpaceDN w:val="0"/>
              <w:adjustRightInd w:val="0"/>
              <w:jc w:val="center"/>
              <w:rPr>
                <w:rFonts w:cstheme="minorHAnsi"/>
                <w:color w:val="000000"/>
                <w:sz w:val="14"/>
                <w:szCs w:val="14"/>
              </w:rPr>
            </w:pPr>
            <w:r w:rsidRPr="00F21087">
              <w:rPr>
                <w:rFonts w:cstheme="minorHAnsi"/>
                <w:bCs/>
                <w:sz w:val="14"/>
                <w:szCs w:val="14"/>
              </w:rPr>
              <w:t xml:space="preserve">Source : </w:t>
            </w:r>
            <w:r w:rsidRPr="00F21087">
              <w:rPr>
                <w:rFonts w:cstheme="minorHAnsi"/>
                <w:color w:val="000000"/>
                <w:sz w:val="14"/>
                <w:szCs w:val="14"/>
              </w:rPr>
              <w:t>PNPRC, 2021-2030.</w:t>
            </w:r>
          </w:p>
          <w:p w14:paraId="60C732F7" w14:textId="77777777" w:rsidR="008F2269" w:rsidRPr="00F21087" w:rsidRDefault="008F2269" w:rsidP="002D1362">
            <w:pPr>
              <w:autoSpaceDE w:val="0"/>
              <w:autoSpaceDN w:val="0"/>
              <w:adjustRightInd w:val="0"/>
              <w:jc w:val="both"/>
              <w:rPr>
                <w:rFonts w:cstheme="minorHAnsi"/>
                <w:color w:val="000000"/>
                <w:sz w:val="14"/>
                <w:szCs w:val="14"/>
              </w:rPr>
            </w:pPr>
          </w:p>
          <w:p w14:paraId="54FB144E" w14:textId="77777777" w:rsidR="008F2269" w:rsidRPr="00F21087" w:rsidRDefault="008F2269" w:rsidP="002D1362">
            <w:pPr>
              <w:autoSpaceDE w:val="0"/>
              <w:autoSpaceDN w:val="0"/>
              <w:adjustRightInd w:val="0"/>
              <w:jc w:val="both"/>
              <w:rPr>
                <w:rFonts w:cstheme="minorHAnsi"/>
                <w:color w:val="000000"/>
                <w:sz w:val="14"/>
                <w:szCs w:val="14"/>
              </w:rPr>
            </w:pPr>
            <w:r w:rsidRPr="00F21087">
              <w:rPr>
                <w:rFonts w:cstheme="minorHAnsi"/>
                <w:color w:val="000000"/>
                <w:sz w:val="14"/>
                <w:szCs w:val="14"/>
              </w:rPr>
              <w:t>A</w:t>
            </w:r>
            <w:r w:rsidRPr="00F21087">
              <w:rPr>
                <w:rFonts w:cstheme="minorHAnsi"/>
                <w:sz w:val="14"/>
                <w:szCs w:val="14"/>
              </w:rPr>
              <w:t xml:space="preserve"> l’horizon 2030 les décideurs publics, privés, associatifs et les communautés disposent d’une meilleure connaissance des risques climatiques et prennent des mesures pour leur prévention et atténuation.</w:t>
            </w:r>
          </w:p>
          <w:p w14:paraId="3F46E7BA" w14:textId="77777777" w:rsidR="008F2269" w:rsidRPr="00F21087" w:rsidRDefault="008F2269" w:rsidP="008F2269">
            <w:pPr>
              <w:pStyle w:val="Paragraphedeliste"/>
              <w:numPr>
                <w:ilvl w:val="0"/>
                <w:numId w:val="98"/>
              </w:numPr>
              <w:suppressAutoHyphens/>
              <w:autoSpaceDE w:val="0"/>
              <w:autoSpaceDN w:val="0"/>
              <w:adjustRightInd w:val="0"/>
              <w:jc w:val="both"/>
              <w:textAlignment w:val="baseline"/>
              <w:rPr>
                <w:rFonts w:cstheme="minorHAnsi"/>
                <w:color w:val="000000"/>
                <w:sz w:val="14"/>
                <w:szCs w:val="14"/>
              </w:rPr>
            </w:pPr>
            <w:r w:rsidRPr="00F21087">
              <w:rPr>
                <w:rFonts w:cstheme="minorHAnsi"/>
                <w:sz w:val="14"/>
                <w:szCs w:val="14"/>
              </w:rPr>
              <w:t>Mettre à l’échelle les données de modélisation climatique à haute résolution couvrant les besoins d’évaluation de la vulnérabilité sectorielle et régionale.</w:t>
            </w:r>
          </w:p>
          <w:p w14:paraId="1E3499EC" w14:textId="77777777" w:rsidR="008F2269" w:rsidRPr="00F21087" w:rsidRDefault="008F2269" w:rsidP="008F2269">
            <w:pPr>
              <w:pStyle w:val="Paragraphedeliste"/>
              <w:numPr>
                <w:ilvl w:val="0"/>
                <w:numId w:val="98"/>
              </w:numPr>
              <w:suppressAutoHyphens/>
              <w:autoSpaceDE w:val="0"/>
              <w:autoSpaceDN w:val="0"/>
              <w:adjustRightInd w:val="0"/>
              <w:jc w:val="both"/>
              <w:textAlignment w:val="baseline"/>
              <w:rPr>
                <w:rFonts w:cstheme="minorHAnsi"/>
                <w:color w:val="000000"/>
                <w:sz w:val="14"/>
                <w:szCs w:val="14"/>
              </w:rPr>
            </w:pPr>
            <w:r w:rsidRPr="00F21087">
              <w:rPr>
                <w:rFonts w:cstheme="minorHAnsi"/>
                <w:sz w:val="14"/>
                <w:szCs w:val="14"/>
              </w:rPr>
              <w:t>Réaliser des études de vulnérabilité complémentaires des écosystèmes continentaux, côtiers/marins et des établissements humains pour cerner les risques climatiques.</w:t>
            </w:r>
          </w:p>
          <w:p w14:paraId="6301B3EC" w14:textId="77777777" w:rsidR="008F2269" w:rsidRPr="00F21087" w:rsidRDefault="008F2269" w:rsidP="002D1362">
            <w:pPr>
              <w:pStyle w:val="Paragraphedeliste"/>
              <w:autoSpaceDE w:val="0"/>
              <w:adjustRightInd w:val="0"/>
              <w:ind w:left="360"/>
              <w:jc w:val="both"/>
              <w:rPr>
                <w:rFonts w:cstheme="minorHAnsi"/>
                <w:color w:val="000000"/>
                <w:sz w:val="14"/>
                <w:szCs w:val="14"/>
              </w:rPr>
            </w:pPr>
          </w:p>
          <w:p w14:paraId="53603F9F" w14:textId="77777777" w:rsidR="008F2269" w:rsidRPr="00F21087" w:rsidRDefault="008F2269" w:rsidP="008F2269">
            <w:pPr>
              <w:pStyle w:val="Paragraphedeliste"/>
              <w:numPr>
                <w:ilvl w:val="0"/>
                <w:numId w:val="98"/>
              </w:numPr>
              <w:suppressAutoHyphens/>
              <w:autoSpaceDE w:val="0"/>
              <w:autoSpaceDN w:val="0"/>
              <w:adjustRightInd w:val="0"/>
              <w:jc w:val="both"/>
              <w:textAlignment w:val="baseline"/>
              <w:rPr>
                <w:rFonts w:cstheme="minorHAnsi"/>
                <w:color w:val="000000"/>
                <w:sz w:val="14"/>
                <w:szCs w:val="14"/>
              </w:rPr>
            </w:pPr>
            <w:r w:rsidRPr="00F21087">
              <w:rPr>
                <w:rFonts w:cstheme="minorHAnsi"/>
                <w:sz w:val="14"/>
                <w:szCs w:val="14"/>
              </w:rPr>
              <w:t>Elaborer et mettre en œuvre une stratégie de sensibilisation et de communication aux risques climatiques en corrélation avec les changements climatiques.</w:t>
            </w:r>
          </w:p>
          <w:p w14:paraId="2E759D44" w14:textId="77777777" w:rsidR="008F2269" w:rsidRPr="00F21087" w:rsidRDefault="008F2269" w:rsidP="002D1362">
            <w:pPr>
              <w:pStyle w:val="Paragraphedeliste"/>
              <w:rPr>
                <w:rFonts w:cstheme="minorHAnsi"/>
                <w:color w:val="000000"/>
                <w:sz w:val="14"/>
                <w:szCs w:val="14"/>
              </w:rPr>
            </w:pPr>
          </w:p>
          <w:p w14:paraId="711EFFC2" w14:textId="77777777" w:rsidR="008F2269" w:rsidRPr="00F21087" w:rsidRDefault="008F2269" w:rsidP="008F2269">
            <w:pPr>
              <w:pStyle w:val="Paragraphedeliste"/>
              <w:numPr>
                <w:ilvl w:val="0"/>
                <w:numId w:val="98"/>
              </w:numPr>
              <w:suppressAutoHyphens/>
              <w:autoSpaceDE w:val="0"/>
              <w:autoSpaceDN w:val="0"/>
              <w:adjustRightInd w:val="0"/>
              <w:jc w:val="both"/>
              <w:textAlignment w:val="baseline"/>
              <w:rPr>
                <w:rFonts w:cstheme="minorHAnsi"/>
                <w:color w:val="000000"/>
                <w:sz w:val="14"/>
                <w:szCs w:val="14"/>
              </w:rPr>
            </w:pPr>
            <w:r w:rsidRPr="00F21087">
              <w:rPr>
                <w:rFonts w:cstheme="minorHAnsi"/>
                <w:sz w:val="14"/>
                <w:szCs w:val="14"/>
              </w:rPr>
              <w:t>Commémorer la Journée internationale de la prévention des catastrophes célébrée le 13 octobre.</w:t>
            </w:r>
          </w:p>
          <w:p w14:paraId="4D46AF4F" w14:textId="77777777" w:rsidR="008F2269" w:rsidRPr="00F21087" w:rsidRDefault="008F2269" w:rsidP="002D1362">
            <w:pPr>
              <w:pStyle w:val="Paragraphedeliste"/>
              <w:rPr>
                <w:rFonts w:cstheme="minorHAnsi"/>
                <w:color w:val="000000"/>
                <w:sz w:val="14"/>
                <w:szCs w:val="14"/>
              </w:rPr>
            </w:pPr>
          </w:p>
          <w:p w14:paraId="2BC05107" w14:textId="77777777" w:rsidR="008F2269" w:rsidRPr="00F21087" w:rsidRDefault="008F2269" w:rsidP="008F2269">
            <w:pPr>
              <w:pStyle w:val="Paragraphedeliste"/>
              <w:numPr>
                <w:ilvl w:val="0"/>
                <w:numId w:val="98"/>
              </w:numPr>
              <w:suppressAutoHyphens/>
              <w:autoSpaceDE w:val="0"/>
              <w:autoSpaceDN w:val="0"/>
              <w:adjustRightInd w:val="0"/>
              <w:jc w:val="both"/>
              <w:textAlignment w:val="baseline"/>
              <w:rPr>
                <w:rFonts w:cstheme="minorHAnsi"/>
                <w:color w:val="000000"/>
                <w:sz w:val="14"/>
                <w:szCs w:val="14"/>
              </w:rPr>
            </w:pPr>
            <w:r w:rsidRPr="00F21087">
              <w:rPr>
                <w:rFonts w:cstheme="minorHAnsi"/>
                <w:sz w:val="14"/>
                <w:szCs w:val="14"/>
              </w:rPr>
              <w:t>Intégrer la RRC dans les systèmes d’éducation et de formation.</w:t>
            </w:r>
          </w:p>
          <w:p w14:paraId="0BF13F88" w14:textId="77777777" w:rsidR="008F2269" w:rsidRPr="00F21087" w:rsidRDefault="008F2269" w:rsidP="002D1362">
            <w:pPr>
              <w:pStyle w:val="Paragraphedeliste"/>
              <w:rPr>
                <w:rFonts w:cstheme="minorHAnsi"/>
                <w:color w:val="000000"/>
                <w:sz w:val="14"/>
                <w:szCs w:val="14"/>
              </w:rPr>
            </w:pPr>
          </w:p>
          <w:p w14:paraId="411EEA8C" w14:textId="77777777" w:rsidR="008F2269" w:rsidRPr="00F21087" w:rsidRDefault="008F2269" w:rsidP="008F2269">
            <w:pPr>
              <w:pStyle w:val="Paragraphedeliste"/>
              <w:numPr>
                <w:ilvl w:val="0"/>
                <w:numId w:val="98"/>
              </w:numPr>
              <w:suppressAutoHyphens/>
              <w:autoSpaceDE w:val="0"/>
              <w:autoSpaceDN w:val="0"/>
              <w:adjustRightInd w:val="0"/>
              <w:jc w:val="both"/>
              <w:textAlignment w:val="baseline"/>
              <w:rPr>
                <w:rFonts w:cstheme="minorHAnsi"/>
                <w:color w:val="000000"/>
                <w:sz w:val="14"/>
                <w:szCs w:val="14"/>
              </w:rPr>
            </w:pPr>
            <w:r w:rsidRPr="00F21087">
              <w:rPr>
                <w:rFonts w:cstheme="minorHAnsi"/>
                <w:sz w:val="14"/>
                <w:szCs w:val="14"/>
              </w:rPr>
              <w:t>Développer, diffuser des guides et former les acteurs publics, privés et associatifs pour une meilleure prise en compte des risques climatiques.</w:t>
            </w:r>
          </w:p>
          <w:p w14:paraId="5A18C1CB" w14:textId="77777777" w:rsidR="008F2269" w:rsidRPr="00F21087" w:rsidRDefault="008F2269" w:rsidP="002D1362">
            <w:pPr>
              <w:pStyle w:val="Paragraphedeliste"/>
              <w:autoSpaceDE w:val="0"/>
              <w:adjustRightInd w:val="0"/>
              <w:ind w:left="360"/>
              <w:jc w:val="both"/>
              <w:rPr>
                <w:rFonts w:cstheme="minorHAnsi"/>
                <w:color w:val="000000"/>
                <w:sz w:val="14"/>
                <w:szCs w:val="14"/>
              </w:rPr>
            </w:pPr>
          </w:p>
        </w:tc>
        <w:tc>
          <w:tcPr>
            <w:tcW w:w="5387" w:type="dxa"/>
          </w:tcPr>
          <w:p w14:paraId="02CF66C9" w14:textId="77777777" w:rsidR="008F2269" w:rsidRPr="00F21087" w:rsidRDefault="008F2269" w:rsidP="002D1362">
            <w:pPr>
              <w:shd w:val="clear" w:color="auto" w:fill="DEEAF6" w:themeFill="accent5" w:themeFillTint="33"/>
              <w:jc w:val="center"/>
              <w:rPr>
                <w:rFonts w:cstheme="minorHAnsi"/>
                <w:bCs/>
                <w:sz w:val="14"/>
                <w:szCs w:val="14"/>
              </w:rPr>
            </w:pPr>
            <w:r w:rsidRPr="00F21087">
              <w:rPr>
                <w:rFonts w:cstheme="minorHAnsi"/>
                <w:bCs/>
                <w:sz w:val="14"/>
                <w:szCs w:val="14"/>
              </w:rPr>
              <w:t xml:space="preserve">Source : </w:t>
            </w:r>
            <w:r w:rsidRPr="00F21087">
              <w:rPr>
                <w:rFonts w:cstheme="minorHAnsi"/>
                <w:color w:val="000000"/>
                <w:sz w:val="14"/>
                <w:szCs w:val="14"/>
              </w:rPr>
              <w:t>PNPRC, 2021-2030</w:t>
            </w:r>
            <w:r w:rsidRPr="00F21087">
              <w:rPr>
                <w:rFonts w:cstheme="minorHAnsi"/>
                <w:bCs/>
                <w:sz w:val="14"/>
                <w:szCs w:val="14"/>
              </w:rPr>
              <w:t xml:space="preserve"> ( </w:t>
            </w:r>
          </w:p>
          <w:p w14:paraId="69A6DEEB" w14:textId="77777777" w:rsidR="008F2269" w:rsidRPr="00F21087" w:rsidRDefault="008F2269" w:rsidP="002D1362">
            <w:pPr>
              <w:pStyle w:val="Paragraphedeliste"/>
              <w:ind w:left="360"/>
              <w:jc w:val="both"/>
              <w:rPr>
                <w:rFonts w:cstheme="minorHAnsi"/>
                <w:bCs/>
                <w:sz w:val="14"/>
                <w:szCs w:val="14"/>
              </w:rPr>
            </w:pPr>
          </w:p>
          <w:p w14:paraId="41C2DC87" w14:textId="77777777" w:rsidR="008F2269" w:rsidRPr="00F21087" w:rsidRDefault="008F2269" w:rsidP="008F2269">
            <w:pPr>
              <w:pStyle w:val="Paragraphedeliste"/>
              <w:numPr>
                <w:ilvl w:val="0"/>
                <w:numId w:val="91"/>
              </w:numPr>
              <w:suppressAutoHyphens/>
              <w:autoSpaceDN w:val="0"/>
              <w:jc w:val="both"/>
              <w:textAlignment w:val="baseline"/>
              <w:rPr>
                <w:rFonts w:cstheme="minorHAnsi"/>
                <w:bCs/>
                <w:sz w:val="14"/>
                <w:szCs w:val="14"/>
              </w:rPr>
            </w:pPr>
            <w:r w:rsidRPr="00F21087">
              <w:rPr>
                <w:rFonts w:cstheme="minorHAnsi"/>
                <w:sz w:val="14"/>
                <w:szCs w:val="14"/>
              </w:rPr>
              <w:t xml:space="preserve">Production des </w:t>
            </w:r>
            <w:r w:rsidRPr="00F21087">
              <w:rPr>
                <w:rFonts w:eastAsia="Times New Roman" w:cstheme="minorHAnsi"/>
                <w:sz w:val="14"/>
                <w:szCs w:val="14"/>
                <w:lang w:val="fr-CA"/>
              </w:rPr>
              <w:t>cartes avec les 4 scenarii RCP (les profils Représentatifs des Concentrations des gaz à effet de serre). Pas de montant</w:t>
            </w:r>
          </w:p>
          <w:p w14:paraId="6B92FAE3" w14:textId="77777777" w:rsidR="008F2269" w:rsidRPr="00F21087" w:rsidRDefault="008F2269" w:rsidP="002D1362">
            <w:pPr>
              <w:jc w:val="both"/>
              <w:rPr>
                <w:rFonts w:cstheme="minorHAnsi"/>
                <w:bCs/>
                <w:sz w:val="14"/>
                <w:szCs w:val="14"/>
              </w:rPr>
            </w:pPr>
          </w:p>
          <w:p w14:paraId="00AFBA20" w14:textId="77777777" w:rsidR="008F2269" w:rsidRPr="00F21087" w:rsidRDefault="008F2269" w:rsidP="008F2269">
            <w:pPr>
              <w:pStyle w:val="Paragraphedeliste"/>
              <w:numPr>
                <w:ilvl w:val="0"/>
                <w:numId w:val="91"/>
              </w:numPr>
              <w:suppressAutoHyphens/>
              <w:autoSpaceDN w:val="0"/>
              <w:jc w:val="both"/>
              <w:textAlignment w:val="baseline"/>
              <w:rPr>
                <w:rFonts w:cstheme="minorHAnsi"/>
                <w:bCs/>
                <w:sz w:val="14"/>
                <w:szCs w:val="14"/>
              </w:rPr>
            </w:pPr>
            <w:r w:rsidRPr="00F21087">
              <w:rPr>
                <w:rFonts w:cstheme="minorHAnsi"/>
                <w:bCs/>
                <w:sz w:val="14"/>
                <w:szCs w:val="14"/>
              </w:rPr>
              <w:t xml:space="preserve">  Fixation du</w:t>
            </w:r>
            <w:r w:rsidRPr="00F21087">
              <w:rPr>
                <w:rFonts w:cstheme="minorHAnsi"/>
                <w:sz w:val="14"/>
                <w:szCs w:val="14"/>
              </w:rPr>
              <w:t xml:space="preserve"> nombre d’études et de références scientifiques de vulnérabilité-impacts. Pas de montant.</w:t>
            </w:r>
          </w:p>
        </w:tc>
        <w:tc>
          <w:tcPr>
            <w:tcW w:w="2556" w:type="dxa"/>
          </w:tcPr>
          <w:p w14:paraId="70840137" w14:textId="77777777" w:rsidR="008F2269" w:rsidRPr="00F21087" w:rsidRDefault="008F2269" w:rsidP="002D1362">
            <w:pPr>
              <w:jc w:val="center"/>
              <w:rPr>
                <w:rFonts w:cstheme="minorHAnsi"/>
                <w:b/>
                <w:sz w:val="14"/>
                <w:szCs w:val="14"/>
              </w:rPr>
            </w:pPr>
            <w:r w:rsidRPr="00F21087">
              <w:rPr>
                <w:rFonts w:cstheme="minorHAnsi"/>
                <w:b/>
                <w:sz w:val="14"/>
                <w:szCs w:val="14"/>
              </w:rPr>
              <w:t>Lacunes et besoins pour l’adaptation au CC</w:t>
            </w:r>
            <w:r w:rsidRPr="00F21087">
              <w:rPr>
                <w:rStyle w:val="Appelnotedebasdep"/>
                <w:rFonts w:cstheme="minorHAnsi"/>
                <w:b/>
                <w:sz w:val="16"/>
                <w:szCs w:val="16"/>
              </w:rPr>
              <w:footnoteReference w:id="54"/>
            </w:r>
            <w:r w:rsidRPr="00F21087">
              <w:rPr>
                <w:rFonts w:cstheme="minorHAnsi"/>
                <w:b/>
                <w:sz w:val="14"/>
                <w:szCs w:val="14"/>
              </w:rPr>
              <w:t xml:space="preserve"> en lien avec la CN5</w:t>
            </w:r>
          </w:p>
          <w:p w14:paraId="132F7F8A" w14:textId="77777777" w:rsidR="008F2269" w:rsidRPr="00F21087" w:rsidRDefault="008F2269" w:rsidP="002D1362">
            <w:pPr>
              <w:rPr>
                <w:sz w:val="16"/>
                <w:szCs w:val="16"/>
              </w:rPr>
            </w:pPr>
            <w:r w:rsidRPr="00F21087">
              <w:rPr>
                <w:rFonts w:cstheme="minorHAnsi"/>
                <w:sz w:val="14"/>
                <w:szCs w:val="14"/>
              </w:rPr>
              <w:t xml:space="preserve"> </w:t>
            </w:r>
            <w:r>
              <w:rPr>
                <w:rFonts w:cstheme="minorHAnsi"/>
                <w:sz w:val="14"/>
                <w:szCs w:val="14"/>
              </w:rPr>
              <w:t>Le PNPRC n’est budgétisé.</w:t>
            </w:r>
          </w:p>
        </w:tc>
      </w:tr>
      <w:tr w:rsidR="008F2269" w:rsidRPr="00F21087" w14:paraId="7195A66E" w14:textId="77777777" w:rsidTr="002D1362">
        <w:trPr>
          <w:trHeight w:val="126"/>
        </w:trPr>
        <w:tc>
          <w:tcPr>
            <w:tcW w:w="2830" w:type="dxa"/>
            <w:shd w:val="clear" w:color="auto" w:fill="C5E0B3" w:themeFill="accent6" w:themeFillTint="66"/>
            <w:vAlign w:val="center"/>
          </w:tcPr>
          <w:p w14:paraId="4D142234" w14:textId="77777777" w:rsidR="008F2269" w:rsidRPr="00F21087" w:rsidRDefault="008F2269" w:rsidP="002D1362">
            <w:pPr>
              <w:jc w:val="both"/>
              <w:rPr>
                <w:rFonts w:cstheme="minorHAnsi"/>
                <w:bCs/>
                <w:sz w:val="14"/>
                <w:szCs w:val="14"/>
              </w:rPr>
            </w:pPr>
          </w:p>
        </w:tc>
        <w:tc>
          <w:tcPr>
            <w:tcW w:w="3402" w:type="dxa"/>
            <w:vMerge/>
          </w:tcPr>
          <w:p w14:paraId="187113DD" w14:textId="77777777" w:rsidR="008F2269" w:rsidRPr="00F21087" w:rsidRDefault="008F2269" w:rsidP="002D1362">
            <w:pPr>
              <w:shd w:val="clear" w:color="auto" w:fill="DEEAF6" w:themeFill="accent5" w:themeFillTint="33"/>
              <w:autoSpaceDE w:val="0"/>
              <w:autoSpaceDN w:val="0"/>
              <w:adjustRightInd w:val="0"/>
              <w:jc w:val="center"/>
              <w:rPr>
                <w:rFonts w:cstheme="minorHAnsi"/>
                <w:bCs/>
                <w:sz w:val="14"/>
                <w:szCs w:val="14"/>
              </w:rPr>
            </w:pPr>
          </w:p>
        </w:tc>
        <w:tc>
          <w:tcPr>
            <w:tcW w:w="5387" w:type="dxa"/>
          </w:tcPr>
          <w:p w14:paraId="4513B923" w14:textId="77777777" w:rsidR="008F2269" w:rsidRPr="00F21087" w:rsidRDefault="008F2269" w:rsidP="002D1362">
            <w:pPr>
              <w:shd w:val="clear" w:color="auto" w:fill="DEEAF6" w:themeFill="accent5" w:themeFillTint="33"/>
              <w:jc w:val="center"/>
              <w:rPr>
                <w:rFonts w:cstheme="minorHAnsi"/>
                <w:bCs/>
                <w:sz w:val="14"/>
                <w:szCs w:val="14"/>
              </w:rPr>
            </w:pPr>
          </w:p>
        </w:tc>
        <w:tc>
          <w:tcPr>
            <w:tcW w:w="2556" w:type="dxa"/>
          </w:tcPr>
          <w:p w14:paraId="20B241DE" w14:textId="77777777" w:rsidR="008F2269" w:rsidRPr="00F21087" w:rsidRDefault="008F2269" w:rsidP="002D1362">
            <w:pPr>
              <w:jc w:val="center"/>
              <w:rPr>
                <w:rFonts w:cstheme="minorHAnsi"/>
                <w:b/>
                <w:sz w:val="14"/>
                <w:szCs w:val="14"/>
              </w:rPr>
            </w:pPr>
          </w:p>
        </w:tc>
      </w:tr>
      <w:tr w:rsidR="008F2269" w:rsidRPr="00F21087" w14:paraId="2D46E5F7" w14:textId="77777777" w:rsidTr="002D1362">
        <w:trPr>
          <w:trHeight w:val="2811"/>
        </w:trPr>
        <w:tc>
          <w:tcPr>
            <w:tcW w:w="2830" w:type="dxa"/>
            <w:shd w:val="clear" w:color="auto" w:fill="C5E0B3" w:themeFill="accent6" w:themeFillTint="66"/>
          </w:tcPr>
          <w:p w14:paraId="151EC06D" w14:textId="77777777" w:rsidR="008F2269" w:rsidRPr="00F21087" w:rsidRDefault="008F2269" w:rsidP="002D1362">
            <w:pPr>
              <w:jc w:val="both"/>
              <w:rPr>
                <w:rFonts w:cstheme="minorHAnsi"/>
                <w:bCs/>
                <w:sz w:val="14"/>
                <w:szCs w:val="14"/>
              </w:rPr>
            </w:pPr>
            <w:r w:rsidRPr="00F21087">
              <w:rPr>
                <w:rFonts w:cstheme="minorHAnsi"/>
                <w:bCs/>
                <w:sz w:val="14"/>
                <w:szCs w:val="14"/>
              </w:rPr>
              <w:t xml:space="preserve"> </w:t>
            </w:r>
          </w:p>
          <w:p w14:paraId="57C8CFD1" w14:textId="77777777" w:rsidR="008F2269" w:rsidRPr="00F21087" w:rsidRDefault="008F2269" w:rsidP="002D1362">
            <w:pPr>
              <w:jc w:val="both"/>
              <w:rPr>
                <w:rFonts w:cstheme="minorHAnsi"/>
                <w:bCs/>
                <w:sz w:val="14"/>
                <w:szCs w:val="14"/>
              </w:rPr>
            </w:pPr>
          </w:p>
          <w:p w14:paraId="4DD963EF" w14:textId="77777777" w:rsidR="008F2269" w:rsidRPr="00F21087" w:rsidRDefault="008F2269" w:rsidP="002D1362">
            <w:pPr>
              <w:jc w:val="both"/>
              <w:rPr>
                <w:rFonts w:cstheme="minorHAnsi"/>
                <w:bCs/>
                <w:sz w:val="14"/>
                <w:szCs w:val="14"/>
              </w:rPr>
            </w:pPr>
          </w:p>
          <w:p w14:paraId="27DBADF4" w14:textId="77777777" w:rsidR="008F2269" w:rsidRPr="00F21087" w:rsidRDefault="008F2269" w:rsidP="002D1362">
            <w:pPr>
              <w:jc w:val="both"/>
              <w:rPr>
                <w:rFonts w:cstheme="minorHAnsi"/>
                <w:bCs/>
                <w:sz w:val="14"/>
                <w:szCs w:val="14"/>
              </w:rPr>
            </w:pPr>
          </w:p>
          <w:p w14:paraId="31AD3339" w14:textId="77777777" w:rsidR="008F2269" w:rsidRPr="00F21087" w:rsidRDefault="008F2269" w:rsidP="002D1362">
            <w:pPr>
              <w:jc w:val="both"/>
              <w:rPr>
                <w:rFonts w:cstheme="minorHAnsi"/>
                <w:bCs/>
                <w:sz w:val="14"/>
                <w:szCs w:val="14"/>
              </w:rPr>
            </w:pPr>
          </w:p>
          <w:p w14:paraId="5C92D36B" w14:textId="77777777" w:rsidR="008F2269" w:rsidRPr="00F21087" w:rsidRDefault="008F2269" w:rsidP="002D1362">
            <w:pPr>
              <w:jc w:val="both"/>
              <w:rPr>
                <w:rFonts w:cstheme="minorHAnsi"/>
                <w:bCs/>
                <w:sz w:val="14"/>
                <w:szCs w:val="14"/>
              </w:rPr>
            </w:pPr>
          </w:p>
          <w:p w14:paraId="07C5952E" w14:textId="77777777" w:rsidR="008F2269" w:rsidRPr="00F21087" w:rsidRDefault="008F2269" w:rsidP="002D1362">
            <w:pPr>
              <w:jc w:val="both"/>
              <w:rPr>
                <w:rFonts w:cstheme="minorHAnsi"/>
                <w:bCs/>
                <w:sz w:val="14"/>
                <w:szCs w:val="14"/>
              </w:rPr>
            </w:pPr>
          </w:p>
          <w:p w14:paraId="41F8A901" w14:textId="77777777" w:rsidR="008F2269" w:rsidRPr="00F21087" w:rsidRDefault="008F2269" w:rsidP="002D1362">
            <w:pPr>
              <w:jc w:val="both"/>
              <w:rPr>
                <w:rFonts w:cstheme="minorHAnsi"/>
                <w:bCs/>
                <w:sz w:val="14"/>
                <w:szCs w:val="14"/>
              </w:rPr>
            </w:pPr>
          </w:p>
          <w:p w14:paraId="7B78540A" w14:textId="77777777" w:rsidR="008F2269" w:rsidRPr="00F21087" w:rsidRDefault="008F2269" w:rsidP="002D1362">
            <w:pPr>
              <w:jc w:val="both"/>
              <w:rPr>
                <w:rFonts w:cstheme="minorHAnsi"/>
                <w:bCs/>
                <w:sz w:val="14"/>
                <w:szCs w:val="14"/>
              </w:rPr>
            </w:pPr>
          </w:p>
          <w:p w14:paraId="523D0B2D" w14:textId="77777777" w:rsidR="008F2269" w:rsidRPr="00F21087" w:rsidRDefault="008F2269" w:rsidP="002D1362">
            <w:pPr>
              <w:jc w:val="both"/>
              <w:rPr>
                <w:rFonts w:cstheme="minorHAnsi"/>
                <w:bCs/>
                <w:sz w:val="14"/>
                <w:szCs w:val="14"/>
              </w:rPr>
            </w:pPr>
          </w:p>
          <w:p w14:paraId="0AE2ADD2" w14:textId="77777777" w:rsidR="008F2269" w:rsidRPr="00F21087" w:rsidRDefault="008F2269" w:rsidP="002D1362">
            <w:pPr>
              <w:jc w:val="both"/>
              <w:rPr>
                <w:rFonts w:cstheme="minorHAnsi"/>
                <w:bCs/>
                <w:sz w:val="14"/>
                <w:szCs w:val="14"/>
              </w:rPr>
            </w:pPr>
          </w:p>
          <w:p w14:paraId="3532F70E" w14:textId="77777777" w:rsidR="008F2269" w:rsidRPr="00F21087" w:rsidRDefault="008F2269" w:rsidP="002D1362">
            <w:pPr>
              <w:jc w:val="both"/>
              <w:rPr>
                <w:rFonts w:cstheme="minorHAnsi"/>
                <w:bCs/>
                <w:sz w:val="14"/>
                <w:szCs w:val="14"/>
              </w:rPr>
            </w:pPr>
          </w:p>
          <w:p w14:paraId="7F3C9C8A" w14:textId="77777777" w:rsidR="008F2269" w:rsidRPr="00F21087" w:rsidRDefault="008F2269" w:rsidP="002D1362">
            <w:pPr>
              <w:jc w:val="both"/>
              <w:rPr>
                <w:rFonts w:cstheme="minorHAnsi"/>
                <w:bCs/>
                <w:sz w:val="14"/>
                <w:szCs w:val="14"/>
              </w:rPr>
            </w:pPr>
          </w:p>
          <w:p w14:paraId="534E4CC6" w14:textId="77777777" w:rsidR="008F2269" w:rsidRPr="00F21087" w:rsidRDefault="008F2269" w:rsidP="002D1362">
            <w:pPr>
              <w:jc w:val="both"/>
              <w:rPr>
                <w:rFonts w:cstheme="minorHAnsi"/>
                <w:bCs/>
                <w:sz w:val="14"/>
                <w:szCs w:val="14"/>
              </w:rPr>
            </w:pPr>
          </w:p>
          <w:p w14:paraId="7DE41E78" w14:textId="77777777" w:rsidR="008F2269" w:rsidRPr="00F21087" w:rsidRDefault="008F2269" w:rsidP="002D1362">
            <w:pPr>
              <w:jc w:val="both"/>
              <w:rPr>
                <w:rFonts w:cstheme="minorHAnsi"/>
                <w:bCs/>
                <w:sz w:val="14"/>
                <w:szCs w:val="14"/>
              </w:rPr>
            </w:pPr>
          </w:p>
        </w:tc>
        <w:tc>
          <w:tcPr>
            <w:tcW w:w="3402" w:type="dxa"/>
            <w:vMerge/>
          </w:tcPr>
          <w:p w14:paraId="3371D9EE" w14:textId="77777777" w:rsidR="008F2269" w:rsidRPr="00F21087" w:rsidRDefault="008F2269" w:rsidP="008F2269">
            <w:pPr>
              <w:pStyle w:val="Paragraphedeliste"/>
              <w:numPr>
                <w:ilvl w:val="0"/>
                <w:numId w:val="88"/>
              </w:numPr>
              <w:suppressAutoHyphens/>
              <w:autoSpaceDN w:val="0"/>
              <w:ind w:left="360"/>
              <w:jc w:val="both"/>
              <w:textAlignment w:val="baseline"/>
              <w:rPr>
                <w:rFonts w:cstheme="minorHAnsi"/>
                <w:sz w:val="14"/>
                <w:szCs w:val="14"/>
              </w:rPr>
            </w:pPr>
          </w:p>
        </w:tc>
        <w:tc>
          <w:tcPr>
            <w:tcW w:w="5387" w:type="dxa"/>
          </w:tcPr>
          <w:p w14:paraId="31C24E83" w14:textId="77777777" w:rsidR="008F2269" w:rsidRPr="00F21087" w:rsidRDefault="008F2269" w:rsidP="002D1362">
            <w:pPr>
              <w:jc w:val="both"/>
              <w:rPr>
                <w:rFonts w:eastAsia="Calibri" w:cstheme="minorHAnsi"/>
                <w:bCs/>
                <w:sz w:val="14"/>
                <w:szCs w:val="14"/>
              </w:rPr>
            </w:pPr>
          </w:p>
          <w:p w14:paraId="064AC345" w14:textId="77777777" w:rsidR="008F2269" w:rsidRPr="00F21087" w:rsidRDefault="008F2269" w:rsidP="002D1362">
            <w:pPr>
              <w:pStyle w:val="Paragraphedeliste"/>
              <w:ind w:left="360"/>
              <w:jc w:val="both"/>
              <w:rPr>
                <w:rFonts w:cstheme="minorHAnsi"/>
                <w:bCs/>
                <w:sz w:val="14"/>
                <w:szCs w:val="14"/>
              </w:rPr>
            </w:pPr>
            <w:r w:rsidRPr="00F21087">
              <w:rPr>
                <w:rFonts w:cstheme="minorHAnsi"/>
                <w:sz w:val="14"/>
                <w:szCs w:val="14"/>
              </w:rPr>
              <w:t>Production de cartes des risques-impacts à haute résolution (3 risques majeurs les plus fréquents : inondation, sécheresse et vague de chaleurs). Pas de montant.</w:t>
            </w:r>
          </w:p>
          <w:p w14:paraId="7D31F312" w14:textId="77777777" w:rsidR="008F2269" w:rsidRPr="00F21087" w:rsidRDefault="008F2269" w:rsidP="002D1362">
            <w:pPr>
              <w:pStyle w:val="Paragraphedeliste"/>
              <w:ind w:left="360"/>
              <w:jc w:val="both"/>
              <w:rPr>
                <w:rFonts w:cstheme="minorHAnsi"/>
                <w:bCs/>
                <w:sz w:val="14"/>
                <w:szCs w:val="14"/>
              </w:rPr>
            </w:pPr>
            <w:r w:rsidRPr="00F21087">
              <w:rPr>
                <w:rFonts w:cstheme="minorHAnsi"/>
                <w:sz w:val="14"/>
                <w:szCs w:val="14"/>
              </w:rPr>
              <w:t>Mise en place d’une base de données multirisque, dynamique, actualisée périodiquement.</w:t>
            </w:r>
            <w:r w:rsidRPr="00F21087">
              <w:rPr>
                <w:rFonts w:cstheme="minorHAnsi"/>
                <w:bCs/>
                <w:sz w:val="14"/>
                <w:szCs w:val="14"/>
              </w:rPr>
              <w:t xml:space="preserve"> </w:t>
            </w:r>
            <w:r w:rsidRPr="00F21087">
              <w:rPr>
                <w:rFonts w:cstheme="minorHAnsi"/>
                <w:sz w:val="14"/>
                <w:szCs w:val="14"/>
              </w:rPr>
              <w:t>Pas de montant.</w:t>
            </w:r>
          </w:p>
          <w:p w14:paraId="004704E9" w14:textId="77777777" w:rsidR="008F2269" w:rsidRPr="00F21087" w:rsidRDefault="008F2269" w:rsidP="008F2269">
            <w:pPr>
              <w:pStyle w:val="Paragraphedeliste"/>
              <w:numPr>
                <w:ilvl w:val="0"/>
                <w:numId w:val="92"/>
              </w:numPr>
              <w:suppressAutoHyphens/>
              <w:autoSpaceDN w:val="0"/>
              <w:jc w:val="both"/>
              <w:textAlignment w:val="baseline"/>
              <w:rPr>
                <w:rFonts w:cstheme="minorHAnsi"/>
                <w:bCs/>
                <w:sz w:val="14"/>
                <w:szCs w:val="14"/>
              </w:rPr>
            </w:pPr>
            <w:r w:rsidRPr="00F21087">
              <w:rPr>
                <w:rFonts w:cstheme="minorHAnsi"/>
                <w:sz w:val="14"/>
                <w:szCs w:val="14"/>
              </w:rPr>
              <w:t>Mise à disposition d’au moins 3 partenariats sous régionaux et régionaux opérationnels (OMVS, ACMAD, AGRHYMET, OMM, etc). Pas de montant.</w:t>
            </w:r>
          </w:p>
          <w:p w14:paraId="3F940C6D" w14:textId="77777777" w:rsidR="008F2269" w:rsidRPr="00F21087" w:rsidRDefault="008F2269" w:rsidP="002D1362">
            <w:pPr>
              <w:autoSpaceDE w:val="0"/>
              <w:autoSpaceDN w:val="0"/>
              <w:adjustRightInd w:val="0"/>
              <w:jc w:val="both"/>
              <w:rPr>
                <w:rFonts w:eastAsia="Calibri" w:cstheme="minorHAnsi"/>
                <w:bCs/>
                <w:sz w:val="14"/>
                <w:szCs w:val="14"/>
              </w:rPr>
            </w:pPr>
          </w:p>
          <w:p w14:paraId="2DAD8AC4" w14:textId="77777777" w:rsidR="008F2269" w:rsidRPr="00F21087" w:rsidRDefault="008F2269" w:rsidP="002D1362">
            <w:pPr>
              <w:pStyle w:val="Paragraphedeliste"/>
              <w:ind w:left="360"/>
              <w:jc w:val="both"/>
              <w:rPr>
                <w:rFonts w:cstheme="minorHAnsi"/>
                <w:bCs/>
                <w:sz w:val="14"/>
                <w:szCs w:val="14"/>
              </w:rPr>
            </w:pPr>
            <w:r w:rsidRPr="00F21087">
              <w:rPr>
                <w:rFonts w:cstheme="minorHAnsi"/>
                <w:bCs/>
                <w:sz w:val="14"/>
                <w:szCs w:val="14"/>
              </w:rPr>
              <w:t xml:space="preserve"> </w:t>
            </w:r>
          </w:p>
        </w:tc>
        <w:tc>
          <w:tcPr>
            <w:tcW w:w="2556" w:type="dxa"/>
          </w:tcPr>
          <w:p w14:paraId="75B148E8" w14:textId="77777777" w:rsidR="008F2269" w:rsidRPr="00F21087" w:rsidRDefault="008F2269" w:rsidP="002D1362">
            <w:pPr>
              <w:rPr>
                <w:sz w:val="16"/>
                <w:szCs w:val="16"/>
              </w:rPr>
            </w:pPr>
            <w:r w:rsidRPr="00F21087">
              <w:rPr>
                <w:rFonts w:cstheme="minorHAnsi"/>
                <w:b/>
                <w:sz w:val="14"/>
                <w:szCs w:val="14"/>
              </w:rPr>
              <w:t xml:space="preserve"> </w:t>
            </w:r>
            <w:r>
              <w:rPr>
                <w:rFonts w:cstheme="minorHAnsi"/>
                <w:sz w:val="14"/>
                <w:szCs w:val="14"/>
              </w:rPr>
              <w:t>Le PNPRC n’est budgétisé.</w:t>
            </w:r>
          </w:p>
        </w:tc>
      </w:tr>
      <w:tr w:rsidR="008F2269" w:rsidRPr="00F21087" w14:paraId="5F2BA779" w14:textId="77777777" w:rsidTr="002D1362">
        <w:trPr>
          <w:trHeight w:val="1136"/>
        </w:trPr>
        <w:tc>
          <w:tcPr>
            <w:tcW w:w="2830" w:type="dxa"/>
            <w:shd w:val="clear" w:color="auto" w:fill="C5E0B3" w:themeFill="accent6" w:themeFillTint="66"/>
            <w:vAlign w:val="center"/>
          </w:tcPr>
          <w:p w14:paraId="13F10DF9" w14:textId="77777777" w:rsidR="008F2269" w:rsidRPr="00F21087" w:rsidRDefault="008F2269" w:rsidP="002D1362">
            <w:pPr>
              <w:jc w:val="both"/>
              <w:rPr>
                <w:rFonts w:cstheme="minorHAnsi"/>
                <w:sz w:val="14"/>
                <w:szCs w:val="14"/>
              </w:rPr>
            </w:pPr>
            <w:r w:rsidRPr="00F21087">
              <w:rPr>
                <w:rFonts w:cstheme="minorHAnsi"/>
                <w:b/>
                <w:bCs/>
                <w:sz w:val="14"/>
                <w:szCs w:val="14"/>
              </w:rPr>
              <w:t xml:space="preserve">Résultat 1.2 : </w:t>
            </w:r>
            <w:r w:rsidRPr="00F21087">
              <w:rPr>
                <w:rFonts w:cstheme="minorHAnsi"/>
                <w:sz w:val="14"/>
                <w:szCs w:val="14"/>
              </w:rPr>
              <w:t>La communication est soutenue pour une meilleure prévention et atténuation des risques climatiques.</w:t>
            </w:r>
          </w:p>
          <w:p w14:paraId="21B1C9BF" w14:textId="77777777" w:rsidR="008F2269" w:rsidRPr="00F21087" w:rsidRDefault="008F2269" w:rsidP="002D1362">
            <w:pPr>
              <w:jc w:val="both"/>
              <w:rPr>
                <w:rFonts w:cstheme="minorHAnsi"/>
                <w:sz w:val="14"/>
                <w:szCs w:val="14"/>
              </w:rPr>
            </w:pPr>
          </w:p>
          <w:p w14:paraId="3C957862" w14:textId="77777777" w:rsidR="008F2269" w:rsidRPr="00F21087" w:rsidRDefault="008F2269" w:rsidP="002D1362">
            <w:pPr>
              <w:jc w:val="both"/>
              <w:rPr>
                <w:rFonts w:cstheme="minorHAnsi"/>
                <w:sz w:val="14"/>
                <w:szCs w:val="14"/>
              </w:rPr>
            </w:pPr>
          </w:p>
          <w:p w14:paraId="4D3812D4" w14:textId="77777777" w:rsidR="008F2269" w:rsidRPr="00F21087" w:rsidRDefault="008F2269" w:rsidP="002D1362">
            <w:pPr>
              <w:jc w:val="both"/>
              <w:rPr>
                <w:rFonts w:cstheme="minorHAnsi"/>
                <w:sz w:val="14"/>
                <w:szCs w:val="14"/>
              </w:rPr>
            </w:pPr>
          </w:p>
          <w:p w14:paraId="7B3736F0" w14:textId="77777777" w:rsidR="008F2269" w:rsidRPr="00F21087" w:rsidRDefault="008F2269" w:rsidP="002D1362">
            <w:pPr>
              <w:jc w:val="both"/>
              <w:rPr>
                <w:rFonts w:cstheme="minorHAnsi"/>
                <w:sz w:val="14"/>
                <w:szCs w:val="14"/>
              </w:rPr>
            </w:pPr>
          </w:p>
          <w:p w14:paraId="104392EC" w14:textId="77777777" w:rsidR="008F2269" w:rsidRPr="00F21087" w:rsidRDefault="008F2269" w:rsidP="002D1362">
            <w:pPr>
              <w:jc w:val="both"/>
              <w:rPr>
                <w:rFonts w:cstheme="minorHAnsi"/>
                <w:bCs/>
                <w:sz w:val="14"/>
                <w:szCs w:val="14"/>
              </w:rPr>
            </w:pPr>
          </w:p>
          <w:p w14:paraId="0B68136C" w14:textId="77777777" w:rsidR="008F2269" w:rsidRPr="00F21087" w:rsidRDefault="008F2269" w:rsidP="002D1362">
            <w:pPr>
              <w:jc w:val="both"/>
              <w:rPr>
                <w:rFonts w:cstheme="minorHAnsi"/>
                <w:bCs/>
                <w:sz w:val="14"/>
                <w:szCs w:val="14"/>
              </w:rPr>
            </w:pPr>
          </w:p>
          <w:p w14:paraId="32BDC5BD" w14:textId="77777777" w:rsidR="008F2269" w:rsidRPr="00F21087" w:rsidRDefault="008F2269" w:rsidP="002D1362">
            <w:pPr>
              <w:jc w:val="both"/>
              <w:rPr>
                <w:rFonts w:cstheme="minorHAnsi"/>
                <w:bCs/>
                <w:sz w:val="14"/>
                <w:szCs w:val="14"/>
              </w:rPr>
            </w:pPr>
          </w:p>
          <w:p w14:paraId="3557C3A5" w14:textId="77777777" w:rsidR="008F2269" w:rsidRPr="00F21087" w:rsidRDefault="008F2269" w:rsidP="002D1362">
            <w:pPr>
              <w:jc w:val="both"/>
              <w:rPr>
                <w:rFonts w:cstheme="minorHAnsi"/>
                <w:bCs/>
                <w:sz w:val="14"/>
                <w:szCs w:val="14"/>
              </w:rPr>
            </w:pPr>
          </w:p>
          <w:p w14:paraId="02F95E92" w14:textId="77777777" w:rsidR="008F2269" w:rsidRPr="00F21087" w:rsidRDefault="008F2269" w:rsidP="002D1362">
            <w:pPr>
              <w:jc w:val="both"/>
              <w:rPr>
                <w:rFonts w:cstheme="minorHAnsi"/>
                <w:bCs/>
                <w:sz w:val="14"/>
                <w:szCs w:val="14"/>
              </w:rPr>
            </w:pPr>
          </w:p>
        </w:tc>
        <w:tc>
          <w:tcPr>
            <w:tcW w:w="3402" w:type="dxa"/>
            <w:vMerge/>
          </w:tcPr>
          <w:p w14:paraId="33ADC169" w14:textId="77777777" w:rsidR="008F2269" w:rsidRPr="00F21087" w:rsidRDefault="008F2269" w:rsidP="008F2269">
            <w:pPr>
              <w:pStyle w:val="Paragraphedeliste"/>
              <w:numPr>
                <w:ilvl w:val="0"/>
                <w:numId w:val="88"/>
              </w:numPr>
              <w:suppressAutoHyphens/>
              <w:autoSpaceDN w:val="0"/>
              <w:ind w:left="360"/>
              <w:jc w:val="both"/>
              <w:textAlignment w:val="baseline"/>
              <w:rPr>
                <w:rFonts w:cstheme="minorHAnsi"/>
                <w:sz w:val="14"/>
                <w:szCs w:val="14"/>
              </w:rPr>
            </w:pPr>
          </w:p>
        </w:tc>
        <w:tc>
          <w:tcPr>
            <w:tcW w:w="5387" w:type="dxa"/>
          </w:tcPr>
          <w:p w14:paraId="2BE19FBB" w14:textId="77777777" w:rsidR="008F2269" w:rsidRPr="00F21087" w:rsidRDefault="008F2269" w:rsidP="002D1362">
            <w:pPr>
              <w:pStyle w:val="Paragraphedeliste"/>
              <w:ind w:left="360"/>
              <w:jc w:val="both"/>
              <w:rPr>
                <w:rFonts w:cstheme="minorHAnsi"/>
                <w:bCs/>
                <w:sz w:val="14"/>
                <w:szCs w:val="14"/>
              </w:rPr>
            </w:pPr>
          </w:p>
          <w:p w14:paraId="09B99776" w14:textId="77777777" w:rsidR="008F2269" w:rsidRPr="00F21087" w:rsidRDefault="008F2269" w:rsidP="008F2269">
            <w:pPr>
              <w:pStyle w:val="Paragraphedeliste"/>
              <w:numPr>
                <w:ilvl w:val="0"/>
                <w:numId w:val="92"/>
              </w:numPr>
              <w:suppressAutoHyphens/>
              <w:autoSpaceDN w:val="0"/>
              <w:jc w:val="both"/>
              <w:textAlignment w:val="baseline"/>
              <w:rPr>
                <w:rFonts w:cstheme="minorHAnsi"/>
                <w:bCs/>
                <w:sz w:val="14"/>
                <w:szCs w:val="14"/>
              </w:rPr>
            </w:pPr>
            <w:r w:rsidRPr="00F21087">
              <w:rPr>
                <w:rFonts w:cstheme="minorHAnsi"/>
                <w:sz w:val="14"/>
                <w:szCs w:val="14"/>
              </w:rPr>
              <w:t>Mise en place d’une stratégie de communication.  Pas de montant.</w:t>
            </w:r>
          </w:p>
          <w:p w14:paraId="2FF44B22" w14:textId="77777777" w:rsidR="008F2269" w:rsidRPr="00F21087" w:rsidRDefault="008F2269" w:rsidP="002D1362">
            <w:pPr>
              <w:pStyle w:val="Paragraphedeliste"/>
              <w:ind w:left="360"/>
              <w:jc w:val="both"/>
              <w:rPr>
                <w:rFonts w:cstheme="minorHAnsi"/>
                <w:bCs/>
                <w:sz w:val="14"/>
                <w:szCs w:val="14"/>
              </w:rPr>
            </w:pPr>
          </w:p>
          <w:p w14:paraId="49F312D8" w14:textId="77777777" w:rsidR="008F2269" w:rsidRPr="00F21087" w:rsidRDefault="008F2269" w:rsidP="008F2269">
            <w:pPr>
              <w:pStyle w:val="Paragraphedeliste"/>
              <w:numPr>
                <w:ilvl w:val="0"/>
                <w:numId w:val="92"/>
              </w:numPr>
              <w:suppressAutoHyphens/>
              <w:autoSpaceDN w:val="0"/>
              <w:spacing w:after="160"/>
              <w:jc w:val="both"/>
              <w:textAlignment w:val="baseline"/>
              <w:rPr>
                <w:rFonts w:cstheme="minorHAnsi"/>
                <w:bCs/>
                <w:sz w:val="14"/>
                <w:szCs w:val="14"/>
              </w:rPr>
            </w:pPr>
            <w:r w:rsidRPr="00F21087">
              <w:rPr>
                <w:rFonts w:cstheme="minorHAnsi"/>
                <w:sz w:val="14"/>
                <w:szCs w:val="14"/>
              </w:rPr>
              <w:t xml:space="preserve">Organisation de la journée internationale des campagnes de commémoration de la prévention des catastrophes.  </w:t>
            </w:r>
          </w:p>
          <w:p w14:paraId="0D26CADA" w14:textId="77777777" w:rsidR="008F2269" w:rsidRPr="00F21087" w:rsidRDefault="008F2269" w:rsidP="002D1362">
            <w:pPr>
              <w:jc w:val="both"/>
              <w:rPr>
                <w:rFonts w:cstheme="minorHAnsi"/>
                <w:bCs/>
                <w:sz w:val="14"/>
                <w:szCs w:val="14"/>
              </w:rPr>
            </w:pPr>
          </w:p>
          <w:p w14:paraId="2440D3A1" w14:textId="77777777" w:rsidR="008F2269" w:rsidRPr="00F21087" w:rsidRDefault="008F2269" w:rsidP="008F2269">
            <w:pPr>
              <w:pStyle w:val="Paragraphedeliste"/>
              <w:numPr>
                <w:ilvl w:val="0"/>
                <w:numId w:val="92"/>
              </w:numPr>
              <w:suppressAutoHyphens/>
              <w:autoSpaceDN w:val="0"/>
              <w:jc w:val="both"/>
              <w:textAlignment w:val="baseline"/>
              <w:rPr>
                <w:rFonts w:cstheme="minorHAnsi"/>
                <w:bCs/>
                <w:sz w:val="14"/>
                <w:szCs w:val="14"/>
              </w:rPr>
            </w:pPr>
            <w:r w:rsidRPr="00F21087">
              <w:rPr>
                <w:rFonts w:cstheme="minorHAnsi"/>
                <w:sz w:val="14"/>
                <w:szCs w:val="14"/>
              </w:rPr>
              <w:t>Organisation de modules sur la RRC enseignés dans les différents ordres d'enseignement (CC, MNV, EVA). Pas de montant.</w:t>
            </w:r>
          </w:p>
          <w:p w14:paraId="6603976F" w14:textId="77777777" w:rsidR="008F2269" w:rsidRPr="00F21087" w:rsidRDefault="008F2269" w:rsidP="008F2269">
            <w:pPr>
              <w:pStyle w:val="Paragraphedeliste"/>
              <w:numPr>
                <w:ilvl w:val="0"/>
                <w:numId w:val="122"/>
              </w:numPr>
              <w:tabs>
                <w:tab w:val="left" w:pos="426"/>
              </w:tabs>
              <w:autoSpaceDE w:val="0"/>
              <w:autoSpaceDN w:val="0"/>
              <w:adjustRightInd w:val="0"/>
              <w:rPr>
                <w:rFonts w:cstheme="minorHAnsi"/>
                <w:strike/>
                <w:sz w:val="14"/>
                <w:szCs w:val="14"/>
              </w:rPr>
            </w:pPr>
            <w:r w:rsidRPr="00F21087">
              <w:rPr>
                <w:rFonts w:cstheme="minorHAnsi"/>
                <w:sz w:val="14"/>
                <w:szCs w:val="14"/>
              </w:rPr>
              <w:t xml:space="preserve"> Nombre d’ateliers de formations ;</w:t>
            </w:r>
          </w:p>
          <w:p w14:paraId="32D57642" w14:textId="77777777" w:rsidR="008F2269" w:rsidRPr="00767E93" w:rsidRDefault="008F2269" w:rsidP="008F2269">
            <w:pPr>
              <w:pStyle w:val="Paragraphedeliste"/>
              <w:numPr>
                <w:ilvl w:val="0"/>
                <w:numId w:val="122"/>
              </w:numPr>
              <w:tabs>
                <w:tab w:val="left" w:pos="426"/>
              </w:tabs>
              <w:autoSpaceDE w:val="0"/>
              <w:autoSpaceDN w:val="0"/>
              <w:adjustRightInd w:val="0"/>
              <w:rPr>
                <w:rFonts w:cstheme="minorHAnsi"/>
                <w:strike/>
                <w:sz w:val="14"/>
                <w:szCs w:val="14"/>
              </w:rPr>
            </w:pPr>
            <w:r w:rsidRPr="00F21087">
              <w:rPr>
                <w:rFonts w:cstheme="minorHAnsi"/>
                <w:sz w:val="14"/>
                <w:szCs w:val="14"/>
              </w:rPr>
              <w:t>Guide sur la prévention des risques climatiques.</w:t>
            </w:r>
          </w:p>
        </w:tc>
        <w:tc>
          <w:tcPr>
            <w:tcW w:w="2556" w:type="dxa"/>
          </w:tcPr>
          <w:p w14:paraId="4226A242" w14:textId="77777777" w:rsidR="008F2269" w:rsidRPr="00F21087" w:rsidRDefault="008F2269" w:rsidP="002D1362">
            <w:pPr>
              <w:rPr>
                <w:sz w:val="16"/>
                <w:szCs w:val="16"/>
              </w:rPr>
            </w:pPr>
            <w:r w:rsidRPr="00F21087">
              <w:rPr>
                <w:rFonts w:cstheme="minorHAnsi"/>
                <w:b/>
                <w:sz w:val="14"/>
                <w:szCs w:val="14"/>
              </w:rPr>
              <w:t xml:space="preserve"> </w:t>
            </w:r>
            <w:r>
              <w:rPr>
                <w:rFonts w:cstheme="minorHAnsi"/>
                <w:sz w:val="14"/>
                <w:szCs w:val="14"/>
              </w:rPr>
              <w:t>Le PNPRC n’est budgétisé.</w:t>
            </w:r>
          </w:p>
        </w:tc>
      </w:tr>
      <w:tr w:rsidR="008F2269" w:rsidRPr="00F21087" w14:paraId="40F02B72" w14:textId="77777777" w:rsidTr="002D1362">
        <w:tc>
          <w:tcPr>
            <w:tcW w:w="2830" w:type="dxa"/>
            <w:shd w:val="clear" w:color="auto" w:fill="C5E0B3" w:themeFill="accent6" w:themeFillTint="66"/>
            <w:vAlign w:val="center"/>
          </w:tcPr>
          <w:p w14:paraId="28C4C392" w14:textId="77777777" w:rsidR="008F2269" w:rsidRPr="00F21087" w:rsidRDefault="008F2269" w:rsidP="002D1362">
            <w:pPr>
              <w:rPr>
                <w:rFonts w:cstheme="minorHAnsi"/>
                <w:b/>
                <w:sz w:val="14"/>
                <w:szCs w:val="14"/>
              </w:rPr>
            </w:pPr>
            <w:r w:rsidRPr="00F21087">
              <w:rPr>
                <w:rFonts w:cstheme="minorHAnsi"/>
                <w:b/>
                <w:bCs/>
                <w:sz w:val="14"/>
                <w:szCs w:val="14"/>
              </w:rPr>
              <w:t>Axe stratégique 2</w:t>
            </w:r>
          </w:p>
        </w:tc>
        <w:tc>
          <w:tcPr>
            <w:tcW w:w="11345" w:type="dxa"/>
            <w:gridSpan w:val="3"/>
            <w:shd w:val="clear" w:color="auto" w:fill="C5E0B3" w:themeFill="accent6" w:themeFillTint="66"/>
          </w:tcPr>
          <w:p w14:paraId="1F8F801F" w14:textId="77777777" w:rsidR="008F2269" w:rsidRPr="00F21087" w:rsidRDefault="008F2269" w:rsidP="002D1362">
            <w:pPr>
              <w:contextualSpacing/>
              <w:rPr>
                <w:rFonts w:cstheme="minorHAnsi"/>
                <w:b/>
                <w:bCs/>
                <w:sz w:val="14"/>
                <w:szCs w:val="14"/>
              </w:rPr>
            </w:pPr>
            <w:r w:rsidRPr="00F21087">
              <w:rPr>
                <w:rFonts w:cstheme="minorHAnsi"/>
                <w:b/>
                <w:bCs/>
                <w:sz w:val="14"/>
                <w:szCs w:val="14"/>
              </w:rPr>
              <w:t xml:space="preserve">: </w:t>
            </w:r>
            <w:r w:rsidRPr="00F21087">
              <w:rPr>
                <w:rFonts w:cstheme="minorHAnsi"/>
                <w:b/>
                <w:sz w:val="14"/>
                <w:szCs w:val="14"/>
              </w:rPr>
              <w:t xml:space="preserve">Renforcer la gouvernance des risques </w:t>
            </w:r>
            <w:r w:rsidRPr="00F21087">
              <w:rPr>
                <w:rFonts w:cstheme="minorHAnsi"/>
                <w:b/>
                <w:bCs/>
                <w:sz w:val="14"/>
                <w:szCs w:val="14"/>
              </w:rPr>
              <w:t>climatiques aux niveaux central et régional</w:t>
            </w:r>
          </w:p>
          <w:p w14:paraId="5F32F50F" w14:textId="77777777" w:rsidR="008F2269" w:rsidRPr="00F21087" w:rsidRDefault="008F2269" w:rsidP="002D1362">
            <w:pPr>
              <w:rPr>
                <w:rFonts w:cstheme="minorHAnsi"/>
                <w:sz w:val="14"/>
                <w:szCs w:val="14"/>
              </w:rPr>
            </w:pPr>
          </w:p>
        </w:tc>
      </w:tr>
      <w:tr w:rsidR="008F2269" w:rsidRPr="00F21087" w14:paraId="0C8B9562" w14:textId="77777777" w:rsidTr="002D1362">
        <w:trPr>
          <w:trHeight w:val="85"/>
        </w:trPr>
        <w:tc>
          <w:tcPr>
            <w:tcW w:w="2830" w:type="dxa"/>
            <w:shd w:val="clear" w:color="auto" w:fill="C5E0B3" w:themeFill="accent6" w:themeFillTint="66"/>
            <w:vAlign w:val="center"/>
          </w:tcPr>
          <w:p w14:paraId="58BF9CF0" w14:textId="77777777" w:rsidR="008F2269" w:rsidRPr="00F21087" w:rsidRDefault="008F2269" w:rsidP="002D1362">
            <w:pPr>
              <w:jc w:val="both"/>
              <w:rPr>
                <w:rFonts w:cstheme="minorHAnsi"/>
                <w:bCs/>
                <w:sz w:val="14"/>
                <w:szCs w:val="14"/>
              </w:rPr>
            </w:pPr>
            <w:r w:rsidRPr="00F21087">
              <w:rPr>
                <w:rFonts w:cstheme="minorHAnsi"/>
                <w:bCs/>
                <w:sz w:val="14"/>
                <w:szCs w:val="14"/>
              </w:rPr>
              <w:t xml:space="preserve">Résultat 2.1 :  </w:t>
            </w:r>
          </w:p>
          <w:p w14:paraId="49F48BF0" w14:textId="77777777" w:rsidR="008F2269" w:rsidRPr="00F21087" w:rsidRDefault="008F2269" w:rsidP="002D1362">
            <w:pPr>
              <w:jc w:val="both"/>
              <w:rPr>
                <w:rFonts w:cstheme="minorHAnsi"/>
                <w:sz w:val="16"/>
                <w:szCs w:val="16"/>
              </w:rPr>
            </w:pPr>
            <w:r w:rsidRPr="00F21087">
              <w:rPr>
                <w:rFonts w:cstheme="minorHAnsi"/>
                <w:bCs/>
                <w:sz w:val="14"/>
                <w:szCs w:val="14"/>
              </w:rPr>
              <w:t>Les cadres politique, institutionnel et normatif de la gestion des risques climatiques sont renforcés et permettent aux secteurs d’assumer leurs responsabilités selon les principes de la transparence et de la redevabilité</w:t>
            </w:r>
            <w:r w:rsidRPr="00F21087">
              <w:rPr>
                <w:rFonts w:cstheme="minorHAnsi"/>
                <w:sz w:val="16"/>
                <w:szCs w:val="16"/>
              </w:rPr>
              <w:t>.</w:t>
            </w:r>
          </w:p>
          <w:p w14:paraId="45A94D7B" w14:textId="77777777" w:rsidR="008F2269" w:rsidRPr="00F21087" w:rsidRDefault="008F2269" w:rsidP="002D1362">
            <w:pPr>
              <w:jc w:val="both"/>
              <w:rPr>
                <w:rFonts w:cstheme="minorHAnsi"/>
                <w:sz w:val="16"/>
                <w:szCs w:val="16"/>
              </w:rPr>
            </w:pPr>
          </w:p>
          <w:p w14:paraId="0B0E329E" w14:textId="77777777" w:rsidR="008F2269" w:rsidRPr="00F21087" w:rsidRDefault="008F2269" w:rsidP="002D1362">
            <w:pPr>
              <w:jc w:val="both"/>
              <w:rPr>
                <w:rFonts w:cstheme="minorHAnsi"/>
                <w:sz w:val="16"/>
                <w:szCs w:val="16"/>
              </w:rPr>
            </w:pPr>
          </w:p>
          <w:p w14:paraId="3AB87D17" w14:textId="77777777" w:rsidR="008F2269" w:rsidRPr="00F21087" w:rsidRDefault="008F2269" w:rsidP="002D1362">
            <w:pPr>
              <w:jc w:val="both"/>
              <w:rPr>
                <w:rFonts w:cstheme="minorHAnsi"/>
                <w:sz w:val="16"/>
                <w:szCs w:val="16"/>
              </w:rPr>
            </w:pPr>
          </w:p>
          <w:p w14:paraId="52A39CD8" w14:textId="77777777" w:rsidR="008F2269" w:rsidRPr="00F21087" w:rsidRDefault="008F2269" w:rsidP="002D1362">
            <w:pPr>
              <w:jc w:val="both"/>
              <w:rPr>
                <w:rFonts w:cstheme="minorHAnsi"/>
                <w:sz w:val="16"/>
                <w:szCs w:val="16"/>
              </w:rPr>
            </w:pPr>
          </w:p>
          <w:p w14:paraId="69C4DADD" w14:textId="77777777" w:rsidR="008F2269" w:rsidRPr="00F21087" w:rsidRDefault="008F2269" w:rsidP="002D1362">
            <w:pPr>
              <w:jc w:val="both"/>
              <w:rPr>
                <w:rFonts w:cstheme="minorHAnsi"/>
                <w:sz w:val="16"/>
                <w:szCs w:val="16"/>
              </w:rPr>
            </w:pPr>
          </w:p>
          <w:p w14:paraId="400D4CAB" w14:textId="77777777" w:rsidR="008F2269" w:rsidRPr="00F21087" w:rsidRDefault="008F2269" w:rsidP="002D1362">
            <w:pPr>
              <w:jc w:val="both"/>
              <w:rPr>
                <w:rFonts w:cstheme="minorHAnsi"/>
                <w:bCs/>
                <w:sz w:val="14"/>
                <w:szCs w:val="14"/>
              </w:rPr>
            </w:pPr>
          </w:p>
          <w:p w14:paraId="594303AD" w14:textId="77777777" w:rsidR="008F2269" w:rsidRPr="00F21087" w:rsidRDefault="008F2269" w:rsidP="002D1362">
            <w:pPr>
              <w:jc w:val="both"/>
              <w:rPr>
                <w:rFonts w:cstheme="minorHAnsi"/>
                <w:bCs/>
                <w:sz w:val="14"/>
                <w:szCs w:val="14"/>
              </w:rPr>
            </w:pPr>
          </w:p>
          <w:p w14:paraId="7AF0EF97" w14:textId="77777777" w:rsidR="008F2269" w:rsidRPr="00F21087" w:rsidRDefault="008F2269" w:rsidP="002D1362">
            <w:pPr>
              <w:jc w:val="both"/>
              <w:rPr>
                <w:rFonts w:cstheme="minorHAnsi"/>
                <w:bCs/>
                <w:sz w:val="14"/>
                <w:szCs w:val="14"/>
              </w:rPr>
            </w:pPr>
          </w:p>
          <w:p w14:paraId="08247BB4" w14:textId="77777777" w:rsidR="008F2269" w:rsidRPr="00F21087" w:rsidRDefault="008F2269" w:rsidP="002D1362">
            <w:pPr>
              <w:jc w:val="both"/>
              <w:rPr>
                <w:rFonts w:cstheme="minorHAnsi"/>
                <w:bCs/>
                <w:sz w:val="14"/>
                <w:szCs w:val="14"/>
              </w:rPr>
            </w:pPr>
          </w:p>
          <w:p w14:paraId="7AAA6800" w14:textId="77777777" w:rsidR="008F2269" w:rsidRPr="00F21087" w:rsidRDefault="008F2269" w:rsidP="002D1362">
            <w:pPr>
              <w:jc w:val="both"/>
              <w:rPr>
                <w:rFonts w:cstheme="minorHAnsi"/>
                <w:bCs/>
                <w:sz w:val="14"/>
                <w:szCs w:val="14"/>
              </w:rPr>
            </w:pPr>
          </w:p>
          <w:p w14:paraId="7664D05E" w14:textId="77777777" w:rsidR="008F2269" w:rsidRPr="00F21087" w:rsidRDefault="008F2269" w:rsidP="002D1362">
            <w:pPr>
              <w:jc w:val="both"/>
              <w:rPr>
                <w:rFonts w:cstheme="minorHAnsi"/>
                <w:bCs/>
                <w:sz w:val="14"/>
                <w:szCs w:val="14"/>
              </w:rPr>
            </w:pPr>
          </w:p>
          <w:p w14:paraId="149A9678" w14:textId="77777777" w:rsidR="008F2269" w:rsidRPr="00F21087" w:rsidRDefault="008F2269" w:rsidP="002D1362">
            <w:pPr>
              <w:jc w:val="both"/>
              <w:rPr>
                <w:rFonts w:cstheme="minorHAnsi"/>
                <w:bCs/>
                <w:sz w:val="14"/>
                <w:szCs w:val="14"/>
              </w:rPr>
            </w:pPr>
          </w:p>
          <w:p w14:paraId="098B37DD" w14:textId="77777777" w:rsidR="008F2269" w:rsidRPr="00F21087" w:rsidRDefault="008F2269" w:rsidP="002D1362">
            <w:pPr>
              <w:jc w:val="both"/>
              <w:rPr>
                <w:rFonts w:cstheme="minorHAnsi"/>
                <w:bCs/>
                <w:sz w:val="14"/>
                <w:szCs w:val="14"/>
              </w:rPr>
            </w:pPr>
          </w:p>
          <w:p w14:paraId="3CEACA97" w14:textId="77777777" w:rsidR="008F2269" w:rsidRPr="00F21087" w:rsidRDefault="008F2269" w:rsidP="002D1362">
            <w:pPr>
              <w:jc w:val="both"/>
              <w:rPr>
                <w:rFonts w:cstheme="minorHAnsi"/>
                <w:bCs/>
                <w:sz w:val="14"/>
                <w:szCs w:val="14"/>
              </w:rPr>
            </w:pPr>
          </w:p>
          <w:p w14:paraId="166ACA44" w14:textId="77777777" w:rsidR="008F2269" w:rsidRPr="00F21087" w:rsidRDefault="008F2269" w:rsidP="002D1362">
            <w:pPr>
              <w:jc w:val="both"/>
              <w:rPr>
                <w:rFonts w:cstheme="minorHAnsi"/>
                <w:bCs/>
                <w:sz w:val="14"/>
                <w:szCs w:val="14"/>
              </w:rPr>
            </w:pPr>
          </w:p>
          <w:p w14:paraId="19DE4A27" w14:textId="77777777" w:rsidR="008F2269" w:rsidRPr="00F21087" w:rsidRDefault="008F2269" w:rsidP="002D1362">
            <w:pPr>
              <w:jc w:val="both"/>
              <w:rPr>
                <w:rFonts w:cstheme="minorHAnsi"/>
                <w:bCs/>
                <w:sz w:val="14"/>
                <w:szCs w:val="14"/>
              </w:rPr>
            </w:pPr>
          </w:p>
          <w:p w14:paraId="7FCF7D86" w14:textId="77777777" w:rsidR="008F2269" w:rsidRPr="00F21087" w:rsidRDefault="008F2269" w:rsidP="002D1362">
            <w:pPr>
              <w:jc w:val="both"/>
              <w:rPr>
                <w:rFonts w:cstheme="minorHAnsi"/>
                <w:bCs/>
                <w:sz w:val="14"/>
                <w:szCs w:val="14"/>
              </w:rPr>
            </w:pPr>
          </w:p>
          <w:p w14:paraId="560F8932" w14:textId="77777777" w:rsidR="008F2269" w:rsidRPr="00F21087" w:rsidRDefault="008F2269" w:rsidP="002D1362">
            <w:pPr>
              <w:jc w:val="both"/>
              <w:rPr>
                <w:rFonts w:cstheme="minorHAnsi"/>
                <w:bCs/>
                <w:sz w:val="14"/>
                <w:szCs w:val="14"/>
              </w:rPr>
            </w:pPr>
          </w:p>
          <w:p w14:paraId="2D0F2566" w14:textId="77777777" w:rsidR="008F2269" w:rsidRPr="00F21087" w:rsidRDefault="008F2269" w:rsidP="002D1362">
            <w:pPr>
              <w:jc w:val="both"/>
              <w:rPr>
                <w:rFonts w:cstheme="minorHAnsi"/>
                <w:bCs/>
                <w:sz w:val="14"/>
                <w:szCs w:val="14"/>
              </w:rPr>
            </w:pPr>
          </w:p>
          <w:p w14:paraId="391A728D" w14:textId="77777777" w:rsidR="008F2269" w:rsidRPr="00F21087" w:rsidRDefault="008F2269" w:rsidP="002D1362">
            <w:pPr>
              <w:jc w:val="both"/>
              <w:rPr>
                <w:rFonts w:cstheme="minorHAnsi"/>
                <w:bCs/>
                <w:sz w:val="14"/>
                <w:szCs w:val="14"/>
              </w:rPr>
            </w:pPr>
          </w:p>
          <w:p w14:paraId="46A9636A" w14:textId="77777777" w:rsidR="008F2269" w:rsidRPr="00F21087" w:rsidRDefault="008F2269" w:rsidP="002D1362">
            <w:pPr>
              <w:jc w:val="both"/>
              <w:rPr>
                <w:rFonts w:cstheme="minorHAnsi"/>
                <w:bCs/>
                <w:sz w:val="14"/>
                <w:szCs w:val="14"/>
              </w:rPr>
            </w:pPr>
          </w:p>
          <w:p w14:paraId="6B57AB54" w14:textId="77777777" w:rsidR="008F2269" w:rsidRPr="00F21087" w:rsidRDefault="008F2269" w:rsidP="002D1362">
            <w:pPr>
              <w:jc w:val="both"/>
              <w:rPr>
                <w:rFonts w:cstheme="minorHAnsi"/>
                <w:bCs/>
                <w:sz w:val="14"/>
                <w:szCs w:val="14"/>
              </w:rPr>
            </w:pPr>
          </w:p>
          <w:p w14:paraId="1D549CD8" w14:textId="77777777" w:rsidR="008F2269" w:rsidRPr="00F21087" w:rsidRDefault="008F2269" w:rsidP="002D1362">
            <w:pPr>
              <w:jc w:val="both"/>
              <w:rPr>
                <w:rFonts w:cstheme="minorHAnsi"/>
                <w:bCs/>
                <w:sz w:val="14"/>
                <w:szCs w:val="14"/>
              </w:rPr>
            </w:pPr>
          </w:p>
          <w:p w14:paraId="5211D087" w14:textId="77777777" w:rsidR="008F2269" w:rsidRPr="00F21087" w:rsidRDefault="008F2269" w:rsidP="002D1362">
            <w:pPr>
              <w:jc w:val="both"/>
              <w:rPr>
                <w:rFonts w:cstheme="minorHAnsi"/>
                <w:bCs/>
                <w:sz w:val="14"/>
                <w:szCs w:val="14"/>
              </w:rPr>
            </w:pPr>
          </w:p>
          <w:p w14:paraId="10799E84" w14:textId="77777777" w:rsidR="008F2269" w:rsidRPr="00F21087" w:rsidRDefault="008F2269" w:rsidP="002D1362">
            <w:pPr>
              <w:jc w:val="both"/>
              <w:rPr>
                <w:rFonts w:cstheme="minorHAnsi"/>
                <w:bCs/>
                <w:sz w:val="14"/>
                <w:szCs w:val="14"/>
              </w:rPr>
            </w:pPr>
          </w:p>
          <w:p w14:paraId="24C2EEC5" w14:textId="77777777" w:rsidR="008F2269" w:rsidRPr="00F21087" w:rsidRDefault="008F2269" w:rsidP="002D1362">
            <w:pPr>
              <w:jc w:val="both"/>
              <w:rPr>
                <w:rFonts w:cstheme="minorHAnsi"/>
                <w:bCs/>
                <w:sz w:val="14"/>
                <w:szCs w:val="14"/>
              </w:rPr>
            </w:pPr>
          </w:p>
          <w:p w14:paraId="654EB39C" w14:textId="77777777" w:rsidR="008F2269" w:rsidRPr="00F21087" w:rsidRDefault="008F2269" w:rsidP="002D1362">
            <w:pPr>
              <w:jc w:val="both"/>
              <w:rPr>
                <w:rFonts w:cstheme="minorHAnsi"/>
                <w:bCs/>
                <w:sz w:val="14"/>
                <w:szCs w:val="14"/>
              </w:rPr>
            </w:pPr>
          </w:p>
          <w:p w14:paraId="174D62C8" w14:textId="77777777" w:rsidR="008F2269" w:rsidRPr="00F21087" w:rsidRDefault="008F2269" w:rsidP="002D1362">
            <w:pPr>
              <w:jc w:val="both"/>
              <w:rPr>
                <w:rFonts w:cstheme="minorHAnsi"/>
                <w:bCs/>
                <w:sz w:val="14"/>
                <w:szCs w:val="14"/>
              </w:rPr>
            </w:pPr>
          </w:p>
          <w:p w14:paraId="0ED356D8" w14:textId="77777777" w:rsidR="008F2269" w:rsidRPr="00F21087" w:rsidRDefault="008F2269" w:rsidP="002D1362">
            <w:pPr>
              <w:jc w:val="both"/>
              <w:rPr>
                <w:rFonts w:cstheme="minorHAnsi"/>
                <w:bCs/>
                <w:sz w:val="14"/>
                <w:szCs w:val="14"/>
              </w:rPr>
            </w:pPr>
          </w:p>
          <w:p w14:paraId="5CB75B2F" w14:textId="77777777" w:rsidR="008F2269" w:rsidRPr="00F21087" w:rsidRDefault="008F2269" w:rsidP="002D1362">
            <w:pPr>
              <w:jc w:val="both"/>
              <w:rPr>
                <w:rFonts w:cstheme="minorHAnsi"/>
                <w:bCs/>
                <w:sz w:val="14"/>
                <w:szCs w:val="14"/>
              </w:rPr>
            </w:pPr>
          </w:p>
          <w:p w14:paraId="0131F531" w14:textId="77777777" w:rsidR="008F2269" w:rsidRPr="00F21087" w:rsidRDefault="008F2269" w:rsidP="002D1362">
            <w:pPr>
              <w:jc w:val="both"/>
              <w:rPr>
                <w:rFonts w:cstheme="minorHAnsi"/>
                <w:bCs/>
                <w:sz w:val="14"/>
                <w:szCs w:val="14"/>
              </w:rPr>
            </w:pPr>
          </w:p>
          <w:p w14:paraId="7498077A" w14:textId="77777777" w:rsidR="008F2269" w:rsidRPr="00F21087" w:rsidRDefault="008F2269" w:rsidP="002D1362">
            <w:pPr>
              <w:jc w:val="both"/>
              <w:rPr>
                <w:rFonts w:cstheme="minorHAnsi"/>
                <w:bCs/>
                <w:sz w:val="14"/>
                <w:szCs w:val="14"/>
              </w:rPr>
            </w:pPr>
          </w:p>
          <w:p w14:paraId="0763D9BF" w14:textId="77777777" w:rsidR="008F2269" w:rsidRPr="00F21087" w:rsidRDefault="008F2269" w:rsidP="002D1362">
            <w:pPr>
              <w:jc w:val="both"/>
              <w:rPr>
                <w:rFonts w:cstheme="minorHAnsi"/>
                <w:bCs/>
                <w:sz w:val="14"/>
                <w:szCs w:val="14"/>
              </w:rPr>
            </w:pPr>
          </w:p>
        </w:tc>
        <w:tc>
          <w:tcPr>
            <w:tcW w:w="3402" w:type="dxa"/>
            <w:vMerge w:val="restart"/>
            <w:vAlign w:val="center"/>
          </w:tcPr>
          <w:p w14:paraId="1CA52E29" w14:textId="77777777" w:rsidR="008F2269" w:rsidRPr="00F21087" w:rsidRDefault="008F2269" w:rsidP="002D1362">
            <w:pPr>
              <w:autoSpaceDE w:val="0"/>
              <w:adjustRightInd w:val="0"/>
              <w:jc w:val="both"/>
              <w:rPr>
                <w:rFonts w:cstheme="minorHAnsi"/>
                <w:sz w:val="14"/>
                <w:szCs w:val="14"/>
              </w:rPr>
            </w:pPr>
          </w:p>
          <w:p w14:paraId="07E89019"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Auditer le CNEDD pour le rendre opérationnel et intégrer les enjeux liés aux changements climatiques (Décret N° 2012-156/PM).</w:t>
            </w:r>
          </w:p>
          <w:p w14:paraId="7FECC135"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bCs/>
                <w:iCs/>
                <w:sz w:val="14"/>
                <w:szCs w:val="14"/>
              </w:rPr>
              <w:t>Mettre à jour la loi-cadre de l’environnement face aux enjeux du changement climatique pour y intégrer en particulier la dimension de prévention des risques climatiques.</w:t>
            </w:r>
          </w:p>
          <w:p w14:paraId="38BCFBF3" w14:textId="77777777" w:rsidR="008F2269" w:rsidRPr="00767E93"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4E34E9">
              <w:rPr>
                <w:rFonts w:cstheme="minorHAnsi"/>
                <w:bCs/>
                <w:iCs/>
                <w:sz w:val="14"/>
                <w:szCs w:val="14"/>
              </w:rPr>
              <w:t>Elaborer et promulguer la loi et ses textes d’application portant régime de la RRC</w:t>
            </w:r>
          </w:p>
          <w:p w14:paraId="451A701F" w14:textId="77777777" w:rsidR="008F2269" w:rsidRPr="00F21087" w:rsidRDefault="008F2269" w:rsidP="002D1362">
            <w:pPr>
              <w:pStyle w:val="Paragraphedeliste"/>
              <w:autoSpaceDE w:val="0"/>
              <w:adjustRightInd w:val="0"/>
              <w:jc w:val="both"/>
              <w:rPr>
                <w:rFonts w:cstheme="minorHAnsi"/>
                <w:sz w:val="14"/>
                <w:szCs w:val="14"/>
              </w:rPr>
            </w:pPr>
            <w:r>
              <w:rPr>
                <w:rFonts w:cstheme="minorHAnsi"/>
                <w:sz w:val="14"/>
                <w:szCs w:val="14"/>
              </w:rPr>
              <w:t>Révisée</w:t>
            </w:r>
            <w:r w:rsidRPr="00F21087">
              <w:rPr>
                <w:rFonts w:cstheme="minorHAnsi"/>
                <w:sz w:val="14"/>
                <w:szCs w:val="14"/>
              </w:rPr>
              <w:t>.</w:t>
            </w:r>
          </w:p>
          <w:p w14:paraId="224C1CBF"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Organiser un plaidoyer de haut niveau pour l’adoption du plan national de prévention des risques climatiques et la loi sur la prévention et l’atténuation des risques climatiques.</w:t>
            </w:r>
          </w:p>
          <w:p w14:paraId="5CF789CD"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Renforcer les capacités techniques de la Commission Environnement de l’Assemblée nationale pour une meilleure appréhension des risques climatiques et leurs impacts.</w:t>
            </w:r>
          </w:p>
          <w:p w14:paraId="1F6E6314" w14:textId="77777777" w:rsidR="008F2269" w:rsidRPr="004E34E9"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Vulgariser le plan national de prévention des risques climatiques (PNPRC)</w:t>
            </w:r>
          </w:p>
          <w:p w14:paraId="68DBB56E" w14:textId="77777777" w:rsidR="008F2269" w:rsidRPr="00F21087" w:rsidRDefault="008F2269" w:rsidP="002D1362">
            <w:pPr>
              <w:autoSpaceDE w:val="0"/>
              <w:adjustRightInd w:val="0"/>
              <w:jc w:val="both"/>
              <w:rPr>
                <w:rFonts w:cstheme="minorHAnsi"/>
                <w:sz w:val="14"/>
                <w:szCs w:val="14"/>
              </w:rPr>
            </w:pPr>
          </w:p>
          <w:p w14:paraId="4FCC1B85"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 xml:space="preserve">Elaborer et diffuser des guides à l’intention des décideurs pour internaliser les enjeux de la RRC. </w:t>
            </w:r>
          </w:p>
          <w:p w14:paraId="64489FFF"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Renforcer les capacités nationales pour l’intégration du risque climatique dans les stratégies sectorielles, plans de développement et les processus de budgétisation (y compris les Régions, les Communes, le secteur privé et la société civile).</w:t>
            </w:r>
          </w:p>
          <w:p w14:paraId="512EDBF1"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Appuyer la prise en compte de la dimension RRC dans les politiques, stratégies et plans sectoriels.</w:t>
            </w:r>
          </w:p>
          <w:p w14:paraId="0DB89262" w14:textId="77777777" w:rsidR="008F2269" w:rsidRPr="00F21087" w:rsidRDefault="008F2269" w:rsidP="002D1362">
            <w:pPr>
              <w:autoSpaceDE w:val="0"/>
              <w:adjustRightInd w:val="0"/>
              <w:jc w:val="both"/>
              <w:rPr>
                <w:rFonts w:cstheme="minorHAnsi"/>
                <w:sz w:val="14"/>
                <w:szCs w:val="14"/>
              </w:rPr>
            </w:pPr>
          </w:p>
          <w:p w14:paraId="7CD4674E" w14:textId="77777777" w:rsidR="008F2269" w:rsidRPr="00F21087" w:rsidRDefault="008F2269" w:rsidP="002D1362">
            <w:pPr>
              <w:autoSpaceDE w:val="0"/>
              <w:adjustRightInd w:val="0"/>
              <w:jc w:val="both"/>
              <w:rPr>
                <w:rFonts w:cstheme="minorHAnsi"/>
                <w:sz w:val="14"/>
                <w:szCs w:val="14"/>
              </w:rPr>
            </w:pPr>
          </w:p>
          <w:p w14:paraId="7B8C13E4" w14:textId="77777777" w:rsidR="008F2269" w:rsidRPr="00F21087" w:rsidRDefault="008F2269" w:rsidP="002D1362">
            <w:pPr>
              <w:autoSpaceDE w:val="0"/>
              <w:adjustRightInd w:val="0"/>
              <w:jc w:val="both"/>
              <w:rPr>
                <w:rFonts w:cstheme="minorHAnsi"/>
                <w:sz w:val="14"/>
                <w:szCs w:val="14"/>
              </w:rPr>
            </w:pPr>
          </w:p>
          <w:p w14:paraId="47E41C12" w14:textId="77777777" w:rsidR="008F2269" w:rsidRPr="00F21087" w:rsidRDefault="008F2269" w:rsidP="002D1362">
            <w:pPr>
              <w:autoSpaceDE w:val="0"/>
              <w:adjustRightInd w:val="0"/>
              <w:jc w:val="both"/>
              <w:rPr>
                <w:rFonts w:cstheme="minorHAnsi"/>
                <w:color w:val="000000"/>
                <w:sz w:val="14"/>
                <w:szCs w:val="14"/>
              </w:rPr>
            </w:pPr>
            <w:r w:rsidRPr="00F21087">
              <w:rPr>
                <w:rFonts w:cstheme="minorHAnsi"/>
                <w:sz w:val="14"/>
                <w:szCs w:val="14"/>
              </w:rPr>
              <w:t xml:space="preserve"> </w:t>
            </w:r>
          </w:p>
        </w:tc>
        <w:tc>
          <w:tcPr>
            <w:tcW w:w="5387" w:type="dxa"/>
          </w:tcPr>
          <w:p w14:paraId="1515BD54" w14:textId="77777777" w:rsidR="008F2269" w:rsidRPr="00F21087" w:rsidRDefault="008F2269" w:rsidP="002D1362">
            <w:pPr>
              <w:shd w:val="clear" w:color="auto" w:fill="DEEAF6" w:themeFill="accent5" w:themeFillTint="33"/>
              <w:autoSpaceDE w:val="0"/>
              <w:autoSpaceDN w:val="0"/>
              <w:adjustRightInd w:val="0"/>
              <w:jc w:val="center"/>
              <w:rPr>
                <w:rFonts w:cstheme="minorHAnsi"/>
                <w:color w:val="000000"/>
                <w:sz w:val="14"/>
                <w:szCs w:val="14"/>
              </w:rPr>
            </w:pPr>
            <w:r w:rsidRPr="00F21087">
              <w:rPr>
                <w:rFonts w:cstheme="minorHAnsi"/>
                <w:bCs/>
                <w:sz w:val="14"/>
                <w:szCs w:val="14"/>
              </w:rPr>
              <w:t xml:space="preserve">Source : </w:t>
            </w:r>
            <w:r w:rsidRPr="00F21087">
              <w:rPr>
                <w:rFonts w:cstheme="minorHAnsi"/>
                <w:color w:val="000000"/>
                <w:sz w:val="14"/>
                <w:szCs w:val="14"/>
              </w:rPr>
              <w:t>PNPRC 2021-2030.</w:t>
            </w:r>
          </w:p>
          <w:p w14:paraId="7E0CEA5F" w14:textId="77777777" w:rsidR="008F2269" w:rsidRPr="00F21087" w:rsidRDefault="008F2269" w:rsidP="002D1362">
            <w:pPr>
              <w:pStyle w:val="Paragraphedeliste"/>
              <w:ind w:left="360"/>
              <w:jc w:val="both"/>
              <w:rPr>
                <w:rFonts w:cstheme="minorHAnsi"/>
                <w:bCs/>
                <w:sz w:val="14"/>
                <w:szCs w:val="14"/>
              </w:rPr>
            </w:pPr>
          </w:p>
          <w:p w14:paraId="50883AD1" w14:textId="77777777" w:rsidR="008F2269" w:rsidRPr="00F21087" w:rsidRDefault="008F2269" w:rsidP="008F2269">
            <w:pPr>
              <w:pStyle w:val="Paragraphedeliste"/>
              <w:numPr>
                <w:ilvl w:val="0"/>
                <w:numId w:val="91"/>
              </w:numPr>
              <w:suppressAutoHyphens/>
              <w:autoSpaceDN w:val="0"/>
              <w:jc w:val="both"/>
              <w:textAlignment w:val="baseline"/>
              <w:rPr>
                <w:rFonts w:cstheme="minorHAnsi"/>
                <w:bCs/>
                <w:sz w:val="14"/>
                <w:szCs w:val="14"/>
              </w:rPr>
            </w:pPr>
            <w:r w:rsidRPr="00F21087">
              <w:rPr>
                <w:rFonts w:cstheme="minorHAnsi"/>
                <w:sz w:val="14"/>
                <w:szCs w:val="14"/>
              </w:rPr>
              <w:t>Révision et opérationnalisation de la CNEDD. Pas de montant.</w:t>
            </w:r>
          </w:p>
          <w:p w14:paraId="15454AF5" w14:textId="77777777" w:rsidR="008F2269" w:rsidRPr="00F21087" w:rsidRDefault="008F2269" w:rsidP="008F2269">
            <w:pPr>
              <w:pStyle w:val="Paragraphedeliste"/>
              <w:numPr>
                <w:ilvl w:val="0"/>
                <w:numId w:val="91"/>
              </w:numPr>
              <w:suppressAutoHyphens/>
              <w:autoSpaceDN w:val="0"/>
              <w:jc w:val="both"/>
              <w:textAlignment w:val="baseline"/>
              <w:rPr>
                <w:rFonts w:cstheme="minorHAnsi"/>
                <w:bCs/>
                <w:sz w:val="14"/>
                <w:szCs w:val="14"/>
              </w:rPr>
            </w:pPr>
            <w:r w:rsidRPr="00F21087">
              <w:rPr>
                <w:rFonts w:cstheme="minorHAnsi"/>
                <w:sz w:val="14"/>
                <w:szCs w:val="14"/>
              </w:rPr>
              <w:t>Révision de la Loi cadre de l’environnement en vue de l’opérationnaliser. Pas de montant.</w:t>
            </w:r>
          </w:p>
          <w:p w14:paraId="1E59431E" w14:textId="77777777" w:rsidR="008F2269" w:rsidRPr="00F21087" w:rsidRDefault="008F2269" w:rsidP="008F2269">
            <w:pPr>
              <w:pStyle w:val="Paragraphedeliste"/>
              <w:numPr>
                <w:ilvl w:val="0"/>
                <w:numId w:val="91"/>
              </w:numPr>
              <w:suppressAutoHyphens/>
              <w:autoSpaceDN w:val="0"/>
              <w:jc w:val="both"/>
              <w:textAlignment w:val="baseline"/>
              <w:rPr>
                <w:rFonts w:cstheme="minorHAnsi"/>
                <w:sz w:val="14"/>
                <w:szCs w:val="14"/>
              </w:rPr>
            </w:pPr>
            <w:r w:rsidRPr="00F21087">
              <w:rPr>
                <w:rFonts w:cstheme="minorHAnsi"/>
                <w:sz w:val="14"/>
                <w:szCs w:val="14"/>
              </w:rPr>
              <w:t>Actualisation du</w:t>
            </w:r>
            <w:r>
              <w:rPr>
                <w:rFonts w:cstheme="minorHAnsi"/>
                <w:sz w:val="14"/>
                <w:szCs w:val="14"/>
              </w:rPr>
              <w:t xml:space="preserve"> cadre normatif</w:t>
            </w:r>
            <w:r w:rsidRPr="00F21087">
              <w:rPr>
                <w:rFonts w:cstheme="minorHAnsi"/>
                <w:sz w:val="14"/>
                <w:szCs w:val="14"/>
              </w:rPr>
              <w:t xml:space="preserve"> et règlementaire qui organise les obligations pour prendre en compte la prévention des risques climatiques. Pas de montant.</w:t>
            </w:r>
          </w:p>
          <w:p w14:paraId="61708C85" w14:textId="77777777" w:rsidR="008F2269" w:rsidRPr="00F21087" w:rsidRDefault="008F2269" w:rsidP="008F2269">
            <w:pPr>
              <w:pStyle w:val="Paragraphedeliste"/>
              <w:numPr>
                <w:ilvl w:val="0"/>
                <w:numId w:val="91"/>
              </w:numPr>
              <w:suppressAutoHyphens/>
              <w:autoSpaceDN w:val="0"/>
              <w:jc w:val="both"/>
              <w:textAlignment w:val="baseline"/>
              <w:rPr>
                <w:rFonts w:cstheme="minorHAnsi"/>
                <w:sz w:val="14"/>
                <w:szCs w:val="14"/>
              </w:rPr>
            </w:pPr>
            <w:r w:rsidRPr="00F21087">
              <w:rPr>
                <w:rFonts w:cstheme="minorHAnsi"/>
                <w:sz w:val="14"/>
                <w:szCs w:val="14"/>
              </w:rPr>
              <w:t xml:space="preserve">Information de toutes les structures administratives (administration, privé, société civile) concernées. Pas de montant. </w:t>
            </w:r>
          </w:p>
          <w:p w14:paraId="35CBB41E" w14:textId="77777777" w:rsidR="008F2269" w:rsidRPr="00F21087" w:rsidRDefault="008F2269" w:rsidP="008F2269">
            <w:pPr>
              <w:pStyle w:val="Paragraphedeliste"/>
              <w:numPr>
                <w:ilvl w:val="0"/>
                <w:numId w:val="91"/>
              </w:numPr>
              <w:suppressAutoHyphens/>
              <w:autoSpaceDN w:val="0"/>
              <w:jc w:val="both"/>
              <w:textAlignment w:val="baseline"/>
              <w:rPr>
                <w:rFonts w:cstheme="minorHAnsi"/>
                <w:sz w:val="14"/>
                <w:szCs w:val="14"/>
              </w:rPr>
            </w:pPr>
            <w:r w:rsidRPr="00F21087">
              <w:rPr>
                <w:rFonts w:cstheme="minorHAnsi"/>
                <w:sz w:val="14"/>
                <w:szCs w:val="14"/>
              </w:rPr>
              <w:t>Connaissance des statistiques des réunions. Pas de montants.</w:t>
            </w:r>
          </w:p>
          <w:p w14:paraId="62C9A8A8" w14:textId="77777777" w:rsidR="008F2269" w:rsidRPr="00F21087" w:rsidRDefault="008F2269" w:rsidP="008F2269">
            <w:pPr>
              <w:pStyle w:val="Paragraphedeliste"/>
              <w:numPr>
                <w:ilvl w:val="0"/>
                <w:numId w:val="91"/>
              </w:numPr>
              <w:suppressAutoHyphens/>
              <w:autoSpaceDN w:val="0"/>
              <w:jc w:val="both"/>
              <w:textAlignment w:val="baseline"/>
              <w:rPr>
                <w:rFonts w:cstheme="minorHAnsi"/>
                <w:sz w:val="14"/>
                <w:szCs w:val="14"/>
              </w:rPr>
            </w:pPr>
            <w:r w:rsidRPr="00F21087">
              <w:rPr>
                <w:rFonts w:cstheme="minorHAnsi"/>
                <w:sz w:val="14"/>
                <w:szCs w:val="14"/>
              </w:rPr>
              <w:t>Recensement des parlementaires renforcés en capacité. Pas de montant.</w:t>
            </w:r>
          </w:p>
          <w:p w14:paraId="6D5812FD" w14:textId="77777777" w:rsidR="008F2269" w:rsidRPr="00F21087" w:rsidRDefault="008F2269" w:rsidP="008F2269">
            <w:pPr>
              <w:pStyle w:val="Paragraphedeliste"/>
              <w:numPr>
                <w:ilvl w:val="0"/>
                <w:numId w:val="91"/>
              </w:numPr>
              <w:suppressAutoHyphens/>
              <w:autoSpaceDN w:val="0"/>
              <w:jc w:val="both"/>
              <w:textAlignment w:val="baseline"/>
              <w:rPr>
                <w:rFonts w:cstheme="minorHAnsi"/>
                <w:sz w:val="14"/>
                <w:szCs w:val="14"/>
              </w:rPr>
            </w:pPr>
            <w:r w:rsidRPr="00F21087">
              <w:rPr>
                <w:rFonts w:cstheme="minorHAnsi"/>
                <w:sz w:val="14"/>
                <w:szCs w:val="14"/>
              </w:rPr>
              <w:t>Collecte du nombre de réunions des parlementaires sur la RRC. Pas de montant.</w:t>
            </w:r>
          </w:p>
          <w:p w14:paraId="66DD6B92" w14:textId="77777777" w:rsidR="008F2269" w:rsidRPr="00F21087" w:rsidRDefault="008F2269" w:rsidP="002D1362">
            <w:pPr>
              <w:jc w:val="both"/>
              <w:rPr>
                <w:rFonts w:cstheme="minorHAnsi"/>
                <w:sz w:val="14"/>
                <w:szCs w:val="14"/>
              </w:rPr>
            </w:pPr>
          </w:p>
          <w:p w14:paraId="57749D06" w14:textId="77777777" w:rsidR="008F2269" w:rsidRPr="00F21087" w:rsidRDefault="008F2269" w:rsidP="002D1362">
            <w:pPr>
              <w:pStyle w:val="Paragraphedeliste"/>
              <w:ind w:left="360"/>
              <w:jc w:val="both"/>
              <w:rPr>
                <w:rFonts w:cstheme="minorHAnsi"/>
                <w:sz w:val="14"/>
                <w:szCs w:val="14"/>
              </w:rPr>
            </w:pPr>
          </w:p>
          <w:p w14:paraId="2FB8D8FB" w14:textId="77777777" w:rsidR="008F2269" w:rsidRPr="00F21087" w:rsidRDefault="008F2269" w:rsidP="002D1362">
            <w:pPr>
              <w:jc w:val="both"/>
              <w:rPr>
                <w:rFonts w:cstheme="minorHAnsi"/>
                <w:bCs/>
                <w:sz w:val="14"/>
                <w:szCs w:val="14"/>
              </w:rPr>
            </w:pPr>
          </w:p>
          <w:p w14:paraId="6168DAF1" w14:textId="77777777" w:rsidR="008F2269" w:rsidRPr="00F21087" w:rsidRDefault="008F2269" w:rsidP="002D1362">
            <w:pPr>
              <w:jc w:val="both"/>
              <w:rPr>
                <w:rFonts w:cstheme="minorHAnsi"/>
                <w:bCs/>
                <w:sz w:val="14"/>
                <w:szCs w:val="14"/>
              </w:rPr>
            </w:pPr>
            <w:r w:rsidRPr="00F21087">
              <w:rPr>
                <w:rFonts w:cstheme="minorHAnsi"/>
                <w:bCs/>
                <w:sz w:val="14"/>
                <w:szCs w:val="14"/>
              </w:rPr>
              <w:t xml:space="preserve"> </w:t>
            </w:r>
          </w:p>
          <w:p w14:paraId="0EA42D84" w14:textId="77777777" w:rsidR="008F2269" w:rsidRPr="00F21087" w:rsidRDefault="008F2269" w:rsidP="002D1362">
            <w:pPr>
              <w:jc w:val="both"/>
              <w:rPr>
                <w:rFonts w:cstheme="minorHAnsi"/>
                <w:bCs/>
                <w:sz w:val="14"/>
                <w:szCs w:val="14"/>
              </w:rPr>
            </w:pPr>
          </w:p>
          <w:p w14:paraId="4B72CBE3" w14:textId="77777777" w:rsidR="008F2269" w:rsidRPr="00F21087" w:rsidRDefault="008F2269" w:rsidP="002D1362">
            <w:pPr>
              <w:jc w:val="both"/>
              <w:rPr>
                <w:rFonts w:cstheme="minorHAnsi"/>
                <w:bCs/>
                <w:sz w:val="14"/>
                <w:szCs w:val="14"/>
              </w:rPr>
            </w:pPr>
          </w:p>
          <w:p w14:paraId="0E04A061" w14:textId="77777777" w:rsidR="008F2269" w:rsidRPr="00F21087" w:rsidRDefault="008F2269" w:rsidP="002D1362">
            <w:pPr>
              <w:jc w:val="both"/>
              <w:rPr>
                <w:rFonts w:cstheme="minorHAnsi"/>
                <w:bCs/>
                <w:sz w:val="14"/>
                <w:szCs w:val="14"/>
              </w:rPr>
            </w:pPr>
          </w:p>
          <w:p w14:paraId="628965B4" w14:textId="77777777" w:rsidR="008F2269" w:rsidRPr="00F21087" w:rsidRDefault="008F2269" w:rsidP="002D1362">
            <w:pPr>
              <w:jc w:val="both"/>
              <w:rPr>
                <w:rFonts w:cstheme="minorHAnsi"/>
                <w:bCs/>
                <w:sz w:val="14"/>
                <w:szCs w:val="14"/>
              </w:rPr>
            </w:pPr>
          </w:p>
          <w:p w14:paraId="4C0F9AA2" w14:textId="77777777" w:rsidR="008F2269" w:rsidRPr="00F21087" w:rsidRDefault="008F2269" w:rsidP="002D1362">
            <w:pPr>
              <w:jc w:val="both"/>
              <w:rPr>
                <w:rFonts w:cstheme="minorHAnsi"/>
                <w:bCs/>
                <w:sz w:val="14"/>
                <w:szCs w:val="14"/>
              </w:rPr>
            </w:pPr>
          </w:p>
        </w:tc>
        <w:tc>
          <w:tcPr>
            <w:tcW w:w="2556" w:type="dxa"/>
          </w:tcPr>
          <w:p w14:paraId="0DAC1671" w14:textId="77777777" w:rsidR="008F2269" w:rsidRPr="00F21087" w:rsidRDefault="008F2269" w:rsidP="002D1362">
            <w:pPr>
              <w:jc w:val="center"/>
              <w:rPr>
                <w:rFonts w:cstheme="minorHAnsi"/>
                <w:b/>
                <w:sz w:val="14"/>
                <w:szCs w:val="14"/>
              </w:rPr>
            </w:pPr>
            <w:r w:rsidRPr="00F21087">
              <w:rPr>
                <w:rFonts w:cstheme="minorHAnsi"/>
                <w:b/>
                <w:sz w:val="14"/>
                <w:szCs w:val="14"/>
              </w:rPr>
              <w:t xml:space="preserve"> </w:t>
            </w:r>
          </w:p>
          <w:p w14:paraId="1DE59B82" w14:textId="77777777" w:rsidR="008F2269" w:rsidRPr="00F21087" w:rsidRDefault="008F2269" w:rsidP="002D1362">
            <w:pPr>
              <w:rPr>
                <w:sz w:val="16"/>
                <w:szCs w:val="16"/>
              </w:rPr>
            </w:pPr>
            <w:r w:rsidRPr="00F21087">
              <w:rPr>
                <w:rFonts w:cstheme="minorHAnsi"/>
                <w:sz w:val="14"/>
                <w:szCs w:val="14"/>
              </w:rPr>
              <w:t xml:space="preserve"> </w:t>
            </w:r>
            <w:r>
              <w:rPr>
                <w:rFonts w:cstheme="minorHAnsi"/>
                <w:sz w:val="14"/>
                <w:szCs w:val="14"/>
              </w:rPr>
              <w:t>Le PNPRC n’est budgétisé.</w:t>
            </w:r>
          </w:p>
        </w:tc>
      </w:tr>
      <w:tr w:rsidR="008F2269" w:rsidRPr="00F21087" w14:paraId="6D621B14" w14:textId="77777777" w:rsidTr="002D1362">
        <w:trPr>
          <w:trHeight w:val="126"/>
        </w:trPr>
        <w:tc>
          <w:tcPr>
            <w:tcW w:w="2830" w:type="dxa"/>
            <w:shd w:val="clear" w:color="auto" w:fill="C5E0B3" w:themeFill="accent6" w:themeFillTint="66"/>
            <w:vAlign w:val="center"/>
          </w:tcPr>
          <w:p w14:paraId="61EE8B32" w14:textId="77777777" w:rsidR="008F2269" w:rsidRPr="00F21087" w:rsidRDefault="008F2269" w:rsidP="002D1362">
            <w:pPr>
              <w:jc w:val="both"/>
              <w:rPr>
                <w:rFonts w:cstheme="minorHAnsi"/>
                <w:bCs/>
                <w:sz w:val="14"/>
                <w:szCs w:val="14"/>
              </w:rPr>
            </w:pPr>
          </w:p>
        </w:tc>
        <w:tc>
          <w:tcPr>
            <w:tcW w:w="3402" w:type="dxa"/>
            <w:vMerge/>
          </w:tcPr>
          <w:p w14:paraId="175ED8A8" w14:textId="77777777" w:rsidR="008F2269" w:rsidRPr="00F21087" w:rsidRDefault="008F2269" w:rsidP="002D1362">
            <w:pPr>
              <w:shd w:val="clear" w:color="auto" w:fill="DEEAF6" w:themeFill="accent5" w:themeFillTint="33"/>
              <w:autoSpaceDE w:val="0"/>
              <w:autoSpaceDN w:val="0"/>
              <w:adjustRightInd w:val="0"/>
              <w:jc w:val="center"/>
              <w:rPr>
                <w:rFonts w:cstheme="minorHAnsi"/>
                <w:color w:val="000000"/>
                <w:sz w:val="14"/>
                <w:szCs w:val="14"/>
              </w:rPr>
            </w:pPr>
          </w:p>
        </w:tc>
        <w:tc>
          <w:tcPr>
            <w:tcW w:w="5387" w:type="dxa"/>
          </w:tcPr>
          <w:p w14:paraId="2CAA5031" w14:textId="77777777" w:rsidR="008F2269" w:rsidRPr="00F21087" w:rsidRDefault="008F2269" w:rsidP="002D1362">
            <w:pPr>
              <w:shd w:val="clear" w:color="auto" w:fill="DEEAF6" w:themeFill="accent5" w:themeFillTint="33"/>
              <w:autoSpaceDE w:val="0"/>
              <w:autoSpaceDN w:val="0"/>
              <w:adjustRightInd w:val="0"/>
              <w:rPr>
                <w:rFonts w:cstheme="minorHAnsi"/>
                <w:bCs/>
                <w:sz w:val="14"/>
                <w:szCs w:val="14"/>
              </w:rPr>
            </w:pPr>
          </w:p>
        </w:tc>
        <w:tc>
          <w:tcPr>
            <w:tcW w:w="2556" w:type="dxa"/>
          </w:tcPr>
          <w:p w14:paraId="1CD33342" w14:textId="77777777" w:rsidR="008F2269" w:rsidRPr="00F21087" w:rsidRDefault="008F2269" w:rsidP="002D1362">
            <w:pPr>
              <w:rPr>
                <w:sz w:val="16"/>
                <w:szCs w:val="16"/>
              </w:rPr>
            </w:pPr>
            <w:r w:rsidRPr="00F21087">
              <w:rPr>
                <w:rFonts w:cstheme="minorHAnsi"/>
                <w:b/>
                <w:sz w:val="14"/>
                <w:szCs w:val="14"/>
              </w:rPr>
              <w:t xml:space="preserve"> </w:t>
            </w:r>
          </w:p>
        </w:tc>
      </w:tr>
      <w:tr w:rsidR="008F2269" w:rsidRPr="00F21087" w14:paraId="7918C4CC" w14:textId="77777777" w:rsidTr="002D1362">
        <w:trPr>
          <w:trHeight w:val="2811"/>
        </w:trPr>
        <w:tc>
          <w:tcPr>
            <w:tcW w:w="2830" w:type="dxa"/>
            <w:shd w:val="clear" w:color="auto" w:fill="C5E0B3" w:themeFill="accent6" w:themeFillTint="66"/>
          </w:tcPr>
          <w:p w14:paraId="67B5BFA1" w14:textId="77777777" w:rsidR="008F2269" w:rsidRPr="00F21087" w:rsidRDefault="008F2269" w:rsidP="002D1362">
            <w:pPr>
              <w:jc w:val="both"/>
              <w:rPr>
                <w:rFonts w:cstheme="minorHAnsi"/>
                <w:color w:val="000000"/>
                <w:sz w:val="14"/>
                <w:szCs w:val="14"/>
              </w:rPr>
            </w:pPr>
            <w:r w:rsidRPr="00F21087">
              <w:rPr>
                <w:rFonts w:cstheme="minorHAnsi"/>
                <w:color w:val="000000"/>
                <w:sz w:val="14"/>
                <w:szCs w:val="14"/>
              </w:rPr>
              <w:t>Résultat 2.2 :</w:t>
            </w:r>
          </w:p>
          <w:p w14:paraId="42857CF2" w14:textId="77777777" w:rsidR="008F2269" w:rsidRPr="00F21087" w:rsidRDefault="008F2269" w:rsidP="002D1362">
            <w:pPr>
              <w:jc w:val="both"/>
              <w:rPr>
                <w:rFonts w:cstheme="minorHAnsi"/>
                <w:color w:val="000000"/>
                <w:sz w:val="14"/>
                <w:szCs w:val="14"/>
              </w:rPr>
            </w:pPr>
            <w:r w:rsidRPr="00F21087">
              <w:rPr>
                <w:rFonts w:cstheme="minorHAnsi"/>
                <w:color w:val="000000"/>
                <w:sz w:val="14"/>
                <w:szCs w:val="14"/>
              </w:rPr>
              <w:t>Les secteurs intègrent/renforcent la dimension des risques climatiques dans leurs systèmes de planification et de budgétisation.</w:t>
            </w:r>
          </w:p>
          <w:p w14:paraId="16173A9D" w14:textId="77777777" w:rsidR="008F2269" w:rsidRPr="00F21087" w:rsidRDefault="008F2269" w:rsidP="002D1362">
            <w:pPr>
              <w:jc w:val="both"/>
              <w:rPr>
                <w:rFonts w:cstheme="minorHAnsi"/>
                <w:bCs/>
                <w:sz w:val="14"/>
                <w:szCs w:val="14"/>
              </w:rPr>
            </w:pPr>
          </w:p>
          <w:p w14:paraId="143065B1" w14:textId="77777777" w:rsidR="008F2269" w:rsidRPr="00F21087" w:rsidRDefault="008F2269" w:rsidP="002D1362">
            <w:pPr>
              <w:jc w:val="both"/>
              <w:rPr>
                <w:rFonts w:cstheme="minorHAnsi"/>
                <w:bCs/>
                <w:sz w:val="14"/>
                <w:szCs w:val="14"/>
              </w:rPr>
            </w:pPr>
          </w:p>
          <w:p w14:paraId="1FB9E3CF" w14:textId="77777777" w:rsidR="008F2269" w:rsidRPr="00F21087" w:rsidRDefault="008F2269" w:rsidP="002D1362">
            <w:pPr>
              <w:jc w:val="both"/>
              <w:rPr>
                <w:rFonts w:cstheme="minorHAnsi"/>
                <w:bCs/>
                <w:sz w:val="14"/>
                <w:szCs w:val="14"/>
              </w:rPr>
            </w:pPr>
          </w:p>
          <w:p w14:paraId="396551FE" w14:textId="77777777" w:rsidR="008F2269" w:rsidRPr="00F21087" w:rsidRDefault="008F2269" w:rsidP="002D1362">
            <w:pPr>
              <w:jc w:val="both"/>
              <w:rPr>
                <w:rFonts w:cstheme="minorHAnsi"/>
                <w:bCs/>
                <w:sz w:val="14"/>
                <w:szCs w:val="14"/>
              </w:rPr>
            </w:pPr>
          </w:p>
          <w:p w14:paraId="7F075649" w14:textId="77777777" w:rsidR="008F2269" w:rsidRPr="00F21087" w:rsidRDefault="008F2269" w:rsidP="002D1362">
            <w:pPr>
              <w:jc w:val="both"/>
              <w:rPr>
                <w:rFonts w:cstheme="minorHAnsi"/>
                <w:bCs/>
                <w:sz w:val="14"/>
                <w:szCs w:val="14"/>
              </w:rPr>
            </w:pPr>
          </w:p>
          <w:p w14:paraId="578626A1" w14:textId="77777777" w:rsidR="008F2269" w:rsidRPr="00F21087" w:rsidRDefault="008F2269" w:rsidP="002D1362">
            <w:pPr>
              <w:jc w:val="both"/>
              <w:rPr>
                <w:rFonts w:cstheme="minorHAnsi"/>
                <w:bCs/>
                <w:sz w:val="14"/>
                <w:szCs w:val="14"/>
              </w:rPr>
            </w:pPr>
          </w:p>
          <w:p w14:paraId="5084CEEC" w14:textId="77777777" w:rsidR="008F2269" w:rsidRPr="00F21087" w:rsidRDefault="008F2269" w:rsidP="002D1362">
            <w:pPr>
              <w:jc w:val="both"/>
              <w:rPr>
                <w:rFonts w:cstheme="minorHAnsi"/>
                <w:bCs/>
                <w:sz w:val="14"/>
                <w:szCs w:val="14"/>
              </w:rPr>
            </w:pPr>
          </w:p>
          <w:p w14:paraId="120304CF" w14:textId="77777777" w:rsidR="008F2269" w:rsidRPr="00F21087" w:rsidRDefault="008F2269" w:rsidP="002D1362">
            <w:pPr>
              <w:jc w:val="both"/>
              <w:rPr>
                <w:rFonts w:cstheme="minorHAnsi"/>
                <w:bCs/>
                <w:sz w:val="14"/>
                <w:szCs w:val="14"/>
              </w:rPr>
            </w:pPr>
          </w:p>
          <w:p w14:paraId="18DC4135" w14:textId="77777777" w:rsidR="008F2269" w:rsidRPr="00F21087" w:rsidRDefault="008F2269" w:rsidP="002D1362">
            <w:pPr>
              <w:jc w:val="both"/>
              <w:rPr>
                <w:rFonts w:cstheme="minorHAnsi"/>
                <w:bCs/>
                <w:sz w:val="14"/>
                <w:szCs w:val="14"/>
              </w:rPr>
            </w:pPr>
          </w:p>
          <w:p w14:paraId="54BE5715" w14:textId="77777777" w:rsidR="008F2269" w:rsidRPr="00F21087" w:rsidRDefault="008F2269" w:rsidP="002D1362">
            <w:pPr>
              <w:jc w:val="both"/>
              <w:rPr>
                <w:rFonts w:cstheme="minorHAnsi"/>
                <w:bCs/>
                <w:sz w:val="14"/>
                <w:szCs w:val="14"/>
              </w:rPr>
            </w:pPr>
          </w:p>
          <w:p w14:paraId="251FAFC0" w14:textId="77777777" w:rsidR="008F2269" w:rsidRPr="00F21087" w:rsidRDefault="008F2269" w:rsidP="002D1362">
            <w:pPr>
              <w:jc w:val="both"/>
              <w:rPr>
                <w:rFonts w:cstheme="minorHAnsi"/>
                <w:bCs/>
                <w:sz w:val="14"/>
                <w:szCs w:val="14"/>
              </w:rPr>
            </w:pPr>
          </w:p>
          <w:p w14:paraId="4BA61A89" w14:textId="77777777" w:rsidR="008F2269" w:rsidRPr="00F21087" w:rsidRDefault="008F2269" w:rsidP="002D1362">
            <w:pPr>
              <w:jc w:val="both"/>
              <w:rPr>
                <w:rFonts w:cstheme="minorHAnsi"/>
                <w:bCs/>
                <w:sz w:val="14"/>
                <w:szCs w:val="14"/>
              </w:rPr>
            </w:pPr>
          </w:p>
          <w:p w14:paraId="3E54E60B" w14:textId="77777777" w:rsidR="008F2269" w:rsidRPr="00F21087" w:rsidRDefault="008F2269" w:rsidP="002D1362">
            <w:pPr>
              <w:jc w:val="both"/>
              <w:rPr>
                <w:rFonts w:cstheme="minorHAnsi"/>
                <w:bCs/>
                <w:sz w:val="14"/>
                <w:szCs w:val="14"/>
              </w:rPr>
            </w:pPr>
          </w:p>
          <w:p w14:paraId="5A09F987" w14:textId="77777777" w:rsidR="008F2269" w:rsidRPr="00F21087" w:rsidRDefault="008F2269" w:rsidP="002D1362">
            <w:pPr>
              <w:jc w:val="both"/>
              <w:rPr>
                <w:rFonts w:cstheme="minorHAnsi"/>
                <w:bCs/>
                <w:sz w:val="14"/>
                <w:szCs w:val="14"/>
              </w:rPr>
            </w:pPr>
          </w:p>
          <w:p w14:paraId="4BB69F76" w14:textId="77777777" w:rsidR="008F2269" w:rsidRPr="00F21087" w:rsidRDefault="008F2269" w:rsidP="002D1362">
            <w:pPr>
              <w:jc w:val="both"/>
              <w:rPr>
                <w:rFonts w:cstheme="minorHAnsi"/>
                <w:bCs/>
                <w:sz w:val="14"/>
                <w:szCs w:val="14"/>
              </w:rPr>
            </w:pPr>
          </w:p>
        </w:tc>
        <w:tc>
          <w:tcPr>
            <w:tcW w:w="3402" w:type="dxa"/>
            <w:vMerge/>
          </w:tcPr>
          <w:p w14:paraId="38104F87" w14:textId="77777777" w:rsidR="008F2269" w:rsidRPr="00F21087" w:rsidRDefault="008F2269" w:rsidP="008F2269">
            <w:pPr>
              <w:pStyle w:val="Paragraphedeliste"/>
              <w:numPr>
                <w:ilvl w:val="0"/>
                <w:numId w:val="88"/>
              </w:numPr>
              <w:suppressAutoHyphens/>
              <w:autoSpaceDN w:val="0"/>
              <w:ind w:left="360"/>
              <w:jc w:val="both"/>
              <w:textAlignment w:val="baseline"/>
              <w:rPr>
                <w:rFonts w:cstheme="minorHAnsi"/>
                <w:sz w:val="14"/>
                <w:szCs w:val="14"/>
              </w:rPr>
            </w:pPr>
          </w:p>
        </w:tc>
        <w:tc>
          <w:tcPr>
            <w:tcW w:w="5387" w:type="dxa"/>
          </w:tcPr>
          <w:p w14:paraId="64C7C9D4" w14:textId="77777777" w:rsidR="008F2269" w:rsidRPr="00F21087" w:rsidRDefault="008F2269" w:rsidP="008F2269">
            <w:pPr>
              <w:pStyle w:val="Paragraphedeliste"/>
              <w:numPr>
                <w:ilvl w:val="0"/>
                <w:numId w:val="92"/>
              </w:numPr>
              <w:suppressAutoHyphens/>
              <w:autoSpaceDN w:val="0"/>
              <w:jc w:val="both"/>
              <w:textAlignment w:val="baseline"/>
              <w:rPr>
                <w:rFonts w:cstheme="minorHAnsi"/>
                <w:bCs/>
                <w:sz w:val="14"/>
                <w:szCs w:val="14"/>
              </w:rPr>
            </w:pPr>
            <w:r w:rsidRPr="00F21087">
              <w:rPr>
                <w:rFonts w:cstheme="minorHAnsi"/>
                <w:bCs/>
                <w:sz w:val="14"/>
                <w:szCs w:val="14"/>
              </w:rPr>
              <w:t>Elaboration des guides des décideurs.  Pas de montants.</w:t>
            </w:r>
          </w:p>
          <w:p w14:paraId="5F96B769" w14:textId="77777777" w:rsidR="008F2269" w:rsidRPr="00F21087" w:rsidRDefault="008F2269" w:rsidP="008F2269">
            <w:pPr>
              <w:pStyle w:val="Paragraphedeliste"/>
              <w:numPr>
                <w:ilvl w:val="0"/>
                <w:numId w:val="92"/>
              </w:numPr>
              <w:suppressAutoHyphens/>
              <w:autoSpaceDN w:val="0"/>
              <w:jc w:val="both"/>
              <w:textAlignment w:val="baseline"/>
              <w:rPr>
                <w:rFonts w:cstheme="minorHAnsi"/>
                <w:bCs/>
                <w:sz w:val="14"/>
                <w:szCs w:val="14"/>
              </w:rPr>
            </w:pPr>
            <w:r w:rsidRPr="00F21087">
              <w:rPr>
                <w:rFonts w:cstheme="minorHAnsi"/>
                <w:bCs/>
                <w:sz w:val="14"/>
                <w:szCs w:val="14"/>
              </w:rPr>
              <w:t>Organisation d’un nombre de séminaires. Pas de montant.</w:t>
            </w:r>
          </w:p>
          <w:p w14:paraId="3407187A" w14:textId="77777777" w:rsidR="008F2269" w:rsidRPr="00F21087" w:rsidRDefault="008F2269" w:rsidP="008F2269">
            <w:pPr>
              <w:pStyle w:val="Paragraphedeliste"/>
              <w:numPr>
                <w:ilvl w:val="0"/>
                <w:numId w:val="92"/>
              </w:numPr>
              <w:suppressAutoHyphens/>
              <w:autoSpaceDN w:val="0"/>
              <w:jc w:val="both"/>
              <w:textAlignment w:val="baseline"/>
              <w:rPr>
                <w:rFonts w:cstheme="minorHAnsi"/>
                <w:bCs/>
                <w:sz w:val="14"/>
                <w:szCs w:val="14"/>
              </w:rPr>
            </w:pPr>
            <w:r w:rsidRPr="00F21087">
              <w:rPr>
                <w:rFonts w:cstheme="minorHAnsi"/>
                <w:bCs/>
                <w:sz w:val="14"/>
                <w:szCs w:val="14"/>
              </w:rPr>
              <w:t>Recensement du nombre de politiques, cadres de planification intégrant la RRC. Pas de montant.</w:t>
            </w:r>
          </w:p>
          <w:p w14:paraId="0F42D84A" w14:textId="77777777" w:rsidR="008F2269" w:rsidRPr="00F21087" w:rsidRDefault="008F2269" w:rsidP="002D1362">
            <w:pPr>
              <w:pStyle w:val="Paragraphedeliste"/>
              <w:ind w:left="360"/>
              <w:jc w:val="both"/>
              <w:rPr>
                <w:rFonts w:cstheme="minorHAnsi"/>
                <w:bCs/>
                <w:sz w:val="14"/>
                <w:szCs w:val="14"/>
              </w:rPr>
            </w:pPr>
          </w:p>
        </w:tc>
        <w:tc>
          <w:tcPr>
            <w:tcW w:w="2556" w:type="dxa"/>
          </w:tcPr>
          <w:p w14:paraId="12704BCD" w14:textId="77777777" w:rsidR="008F2269" w:rsidRPr="00F21087" w:rsidRDefault="008F2269" w:rsidP="002D1362">
            <w:pPr>
              <w:rPr>
                <w:sz w:val="16"/>
                <w:szCs w:val="16"/>
              </w:rPr>
            </w:pPr>
            <w:r w:rsidRPr="00F21087">
              <w:rPr>
                <w:rFonts w:cstheme="minorHAnsi"/>
                <w:b/>
                <w:sz w:val="14"/>
                <w:szCs w:val="14"/>
              </w:rPr>
              <w:t xml:space="preserve"> </w:t>
            </w:r>
            <w:r w:rsidRPr="00F21087">
              <w:rPr>
                <w:rFonts w:cstheme="minorHAnsi"/>
                <w:sz w:val="14"/>
                <w:szCs w:val="14"/>
              </w:rPr>
              <w:t xml:space="preserve"> </w:t>
            </w:r>
          </w:p>
        </w:tc>
      </w:tr>
      <w:tr w:rsidR="008F2269" w:rsidRPr="00F21087" w14:paraId="67284C47" w14:textId="77777777" w:rsidTr="002D1362">
        <w:tc>
          <w:tcPr>
            <w:tcW w:w="2830" w:type="dxa"/>
            <w:shd w:val="clear" w:color="auto" w:fill="C5E0B3" w:themeFill="accent6" w:themeFillTint="66"/>
            <w:vAlign w:val="center"/>
          </w:tcPr>
          <w:p w14:paraId="4642B155" w14:textId="77777777" w:rsidR="008F2269" w:rsidRPr="00F21087" w:rsidRDefault="008F2269" w:rsidP="002D1362">
            <w:pPr>
              <w:rPr>
                <w:rFonts w:cstheme="minorHAnsi"/>
                <w:b/>
                <w:sz w:val="14"/>
                <w:szCs w:val="14"/>
              </w:rPr>
            </w:pPr>
            <w:r w:rsidRPr="00F21087">
              <w:rPr>
                <w:rFonts w:cstheme="minorHAnsi"/>
                <w:b/>
                <w:bCs/>
                <w:sz w:val="14"/>
                <w:szCs w:val="14"/>
              </w:rPr>
              <w:t>Axe stratégique 3</w:t>
            </w:r>
          </w:p>
        </w:tc>
        <w:tc>
          <w:tcPr>
            <w:tcW w:w="11345" w:type="dxa"/>
            <w:gridSpan w:val="3"/>
            <w:shd w:val="clear" w:color="auto" w:fill="C5E0B3" w:themeFill="accent6" w:themeFillTint="66"/>
          </w:tcPr>
          <w:p w14:paraId="0799E106" w14:textId="77777777" w:rsidR="008F2269" w:rsidRPr="00F21087" w:rsidRDefault="008F2269" w:rsidP="002D1362">
            <w:pPr>
              <w:contextualSpacing/>
              <w:rPr>
                <w:rFonts w:cstheme="minorHAnsi"/>
                <w:b/>
                <w:bCs/>
                <w:strike/>
                <w:sz w:val="16"/>
                <w:szCs w:val="16"/>
              </w:rPr>
            </w:pPr>
            <w:r w:rsidRPr="00F21087">
              <w:rPr>
                <w:rFonts w:cstheme="minorHAnsi"/>
                <w:b/>
                <w:bCs/>
                <w:sz w:val="16"/>
                <w:szCs w:val="16"/>
              </w:rPr>
              <w:t>: Développer et utiliser des mécanismes financiers durables et innovants afin d’accroitre la résilience des communautés et institutions et réduire les facteurs des risques climatiques et catastrophes.</w:t>
            </w:r>
          </w:p>
          <w:p w14:paraId="355A602C" w14:textId="77777777" w:rsidR="008F2269" w:rsidRPr="00F21087" w:rsidRDefault="008F2269" w:rsidP="002D1362">
            <w:pPr>
              <w:rPr>
                <w:rFonts w:cstheme="minorHAnsi"/>
                <w:sz w:val="14"/>
                <w:szCs w:val="14"/>
              </w:rPr>
            </w:pPr>
          </w:p>
        </w:tc>
      </w:tr>
      <w:tr w:rsidR="008F2269" w:rsidRPr="00F21087" w14:paraId="13B0149D" w14:textId="77777777" w:rsidTr="002D1362">
        <w:trPr>
          <w:trHeight w:val="85"/>
        </w:trPr>
        <w:tc>
          <w:tcPr>
            <w:tcW w:w="2830" w:type="dxa"/>
            <w:shd w:val="clear" w:color="auto" w:fill="C5E0B3" w:themeFill="accent6" w:themeFillTint="66"/>
            <w:vAlign w:val="center"/>
          </w:tcPr>
          <w:p w14:paraId="100326E6" w14:textId="77777777" w:rsidR="008F2269" w:rsidRPr="00F21087" w:rsidRDefault="008F2269" w:rsidP="002D1362">
            <w:pPr>
              <w:jc w:val="both"/>
              <w:rPr>
                <w:rFonts w:cstheme="minorHAnsi"/>
                <w:bCs/>
                <w:sz w:val="14"/>
                <w:szCs w:val="14"/>
              </w:rPr>
            </w:pPr>
            <w:r w:rsidRPr="00F21087">
              <w:rPr>
                <w:rFonts w:cstheme="minorHAnsi"/>
                <w:bCs/>
                <w:sz w:val="14"/>
                <w:szCs w:val="14"/>
              </w:rPr>
              <w:t xml:space="preserve">Résultat 3.1 :  </w:t>
            </w:r>
          </w:p>
          <w:p w14:paraId="63F7F6A1" w14:textId="77777777" w:rsidR="008F2269" w:rsidRPr="00F21087" w:rsidRDefault="008F2269" w:rsidP="002D1362">
            <w:pPr>
              <w:jc w:val="both"/>
              <w:rPr>
                <w:rFonts w:cstheme="minorHAnsi"/>
                <w:sz w:val="16"/>
                <w:szCs w:val="16"/>
              </w:rPr>
            </w:pPr>
            <w:r w:rsidRPr="00F21087">
              <w:rPr>
                <w:rFonts w:cstheme="minorHAnsi"/>
                <w:bCs/>
                <w:sz w:val="14"/>
                <w:szCs w:val="14"/>
              </w:rPr>
              <w:t>Les cadres politique, institutionnel et normatif de la gestion des risques climatiques sont renforcés et permettent aux secteurs d’assumer leurs responsabilités selon les principes de la transparence et de la redevabilité</w:t>
            </w:r>
            <w:r w:rsidRPr="00F21087">
              <w:rPr>
                <w:rFonts w:cstheme="minorHAnsi"/>
                <w:sz w:val="16"/>
                <w:szCs w:val="16"/>
              </w:rPr>
              <w:t>.</w:t>
            </w:r>
          </w:p>
          <w:p w14:paraId="3ABD7DB8" w14:textId="77777777" w:rsidR="008F2269" w:rsidRPr="00F21087" w:rsidRDefault="008F2269" w:rsidP="002D1362">
            <w:pPr>
              <w:jc w:val="both"/>
              <w:rPr>
                <w:rFonts w:cstheme="minorHAnsi"/>
                <w:sz w:val="16"/>
                <w:szCs w:val="16"/>
              </w:rPr>
            </w:pPr>
          </w:p>
          <w:p w14:paraId="128CBFA8" w14:textId="77777777" w:rsidR="008F2269" w:rsidRPr="00F21087" w:rsidRDefault="008F2269" w:rsidP="002D1362">
            <w:pPr>
              <w:jc w:val="both"/>
              <w:rPr>
                <w:rFonts w:cstheme="minorHAnsi"/>
                <w:sz w:val="16"/>
                <w:szCs w:val="16"/>
              </w:rPr>
            </w:pPr>
          </w:p>
          <w:p w14:paraId="3CA15245" w14:textId="77777777" w:rsidR="008F2269" w:rsidRPr="00F21087" w:rsidRDefault="008F2269" w:rsidP="002D1362">
            <w:pPr>
              <w:jc w:val="both"/>
              <w:rPr>
                <w:rFonts w:cstheme="minorHAnsi"/>
                <w:sz w:val="16"/>
                <w:szCs w:val="16"/>
              </w:rPr>
            </w:pPr>
          </w:p>
          <w:p w14:paraId="13DDEA6D" w14:textId="77777777" w:rsidR="008F2269" w:rsidRPr="00F21087" w:rsidRDefault="008F2269" w:rsidP="002D1362">
            <w:pPr>
              <w:jc w:val="both"/>
              <w:rPr>
                <w:rFonts w:cstheme="minorHAnsi"/>
                <w:sz w:val="16"/>
                <w:szCs w:val="16"/>
              </w:rPr>
            </w:pPr>
          </w:p>
          <w:p w14:paraId="43770468" w14:textId="77777777" w:rsidR="008F2269" w:rsidRPr="00F21087" w:rsidRDefault="008F2269" w:rsidP="002D1362">
            <w:pPr>
              <w:jc w:val="both"/>
              <w:rPr>
                <w:rFonts w:cstheme="minorHAnsi"/>
                <w:sz w:val="16"/>
                <w:szCs w:val="16"/>
              </w:rPr>
            </w:pPr>
          </w:p>
          <w:p w14:paraId="47F0D516" w14:textId="77777777" w:rsidR="008F2269" w:rsidRPr="00F21087" w:rsidRDefault="008F2269" w:rsidP="002D1362">
            <w:pPr>
              <w:jc w:val="both"/>
              <w:rPr>
                <w:rFonts w:cstheme="minorHAnsi"/>
                <w:bCs/>
                <w:sz w:val="14"/>
                <w:szCs w:val="14"/>
              </w:rPr>
            </w:pPr>
          </w:p>
          <w:p w14:paraId="7D2B7585" w14:textId="77777777" w:rsidR="008F2269" w:rsidRPr="00F21087" w:rsidRDefault="008F2269" w:rsidP="002D1362">
            <w:pPr>
              <w:jc w:val="both"/>
              <w:rPr>
                <w:rFonts w:cstheme="minorHAnsi"/>
                <w:bCs/>
                <w:sz w:val="14"/>
                <w:szCs w:val="14"/>
              </w:rPr>
            </w:pPr>
          </w:p>
          <w:p w14:paraId="074868EE" w14:textId="77777777" w:rsidR="008F2269" w:rsidRPr="00F21087" w:rsidRDefault="008F2269" w:rsidP="002D1362">
            <w:pPr>
              <w:jc w:val="both"/>
              <w:rPr>
                <w:rFonts w:cstheme="minorHAnsi"/>
                <w:bCs/>
                <w:sz w:val="14"/>
                <w:szCs w:val="14"/>
              </w:rPr>
            </w:pPr>
          </w:p>
          <w:p w14:paraId="7FEE1E71" w14:textId="77777777" w:rsidR="008F2269" w:rsidRPr="00F21087" w:rsidRDefault="008F2269" w:rsidP="002D1362">
            <w:pPr>
              <w:jc w:val="both"/>
              <w:rPr>
                <w:rFonts w:cstheme="minorHAnsi"/>
                <w:bCs/>
                <w:sz w:val="14"/>
                <w:szCs w:val="14"/>
              </w:rPr>
            </w:pPr>
          </w:p>
          <w:p w14:paraId="6D12C6CA" w14:textId="77777777" w:rsidR="008F2269" w:rsidRPr="00F21087" w:rsidRDefault="008F2269" w:rsidP="002D1362">
            <w:pPr>
              <w:jc w:val="both"/>
              <w:rPr>
                <w:rFonts w:cstheme="minorHAnsi"/>
                <w:bCs/>
                <w:sz w:val="14"/>
                <w:szCs w:val="14"/>
              </w:rPr>
            </w:pPr>
          </w:p>
          <w:p w14:paraId="04612966" w14:textId="77777777" w:rsidR="008F2269" w:rsidRPr="00F21087" w:rsidRDefault="008F2269" w:rsidP="002D1362">
            <w:pPr>
              <w:jc w:val="both"/>
              <w:rPr>
                <w:rFonts w:cstheme="minorHAnsi"/>
                <w:bCs/>
                <w:sz w:val="14"/>
                <w:szCs w:val="14"/>
              </w:rPr>
            </w:pPr>
          </w:p>
          <w:p w14:paraId="1E7DE4D4" w14:textId="77777777" w:rsidR="008F2269" w:rsidRPr="00F21087" w:rsidRDefault="008F2269" w:rsidP="002D1362">
            <w:pPr>
              <w:jc w:val="both"/>
              <w:rPr>
                <w:rFonts w:cstheme="minorHAnsi"/>
                <w:bCs/>
                <w:sz w:val="14"/>
                <w:szCs w:val="14"/>
              </w:rPr>
            </w:pPr>
          </w:p>
          <w:p w14:paraId="5EC06A63" w14:textId="77777777" w:rsidR="008F2269" w:rsidRPr="00F21087" w:rsidRDefault="008F2269" w:rsidP="002D1362">
            <w:pPr>
              <w:jc w:val="both"/>
              <w:rPr>
                <w:rFonts w:cstheme="minorHAnsi"/>
                <w:bCs/>
                <w:sz w:val="14"/>
                <w:szCs w:val="14"/>
              </w:rPr>
            </w:pPr>
          </w:p>
          <w:p w14:paraId="16BE3BD9" w14:textId="77777777" w:rsidR="008F2269" w:rsidRPr="00F21087" w:rsidRDefault="008F2269" w:rsidP="002D1362">
            <w:pPr>
              <w:jc w:val="both"/>
              <w:rPr>
                <w:rFonts w:cstheme="minorHAnsi"/>
                <w:bCs/>
                <w:sz w:val="14"/>
                <w:szCs w:val="14"/>
              </w:rPr>
            </w:pPr>
          </w:p>
          <w:p w14:paraId="1B0AAC2E" w14:textId="77777777" w:rsidR="008F2269" w:rsidRPr="00F21087" w:rsidRDefault="008F2269" w:rsidP="002D1362">
            <w:pPr>
              <w:jc w:val="both"/>
              <w:rPr>
                <w:rFonts w:cstheme="minorHAnsi"/>
                <w:bCs/>
                <w:sz w:val="14"/>
                <w:szCs w:val="14"/>
              </w:rPr>
            </w:pPr>
          </w:p>
          <w:p w14:paraId="037C2AF8" w14:textId="77777777" w:rsidR="008F2269" w:rsidRPr="00F21087" w:rsidRDefault="008F2269" w:rsidP="002D1362">
            <w:pPr>
              <w:jc w:val="both"/>
              <w:rPr>
                <w:rFonts w:cstheme="minorHAnsi"/>
                <w:bCs/>
                <w:sz w:val="14"/>
                <w:szCs w:val="14"/>
              </w:rPr>
            </w:pPr>
          </w:p>
          <w:p w14:paraId="4D891FCB" w14:textId="77777777" w:rsidR="008F2269" w:rsidRPr="00F21087" w:rsidRDefault="008F2269" w:rsidP="002D1362">
            <w:pPr>
              <w:jc w:val="both"/>
              <w:rPr>
                <w:rFonts w:cstheme="minorHAnsi"/>
                <w:bCs/>
                <w:sz w:val="14"/>
                <w:szCs w:val="14"/>
              </w:rPr>
            </w:pPr>
          </w:p>
          <w:p w14:paraId="20959553" w14:textId="77777777" w:rsidR="008F2269" w:rsidRPr="00F21087" w:rsidRDefault="008F2269" w:rsidP="002D1362">
            <w:pPr>
              <w:jc w:val="both"/>
              <w:rPr>
                <w:rFonts w:cstheme="minorHAnsi"/>
                <w:bCs/>
                <w:sz w:val="14"/>
                <w:szCs w:val="14"/>
              </w:rPr>
            </w:pPr>
          </w:p>
          <w:p w14:paraId="258E5E2E" w14:textId="77777777" w:rsidR="008F2269" w:rsidRPr="00F21087" w:rsidRDefault="008F2269" w:rsidP="002D1362">
            <w:pPr>
              <w:jc w:val="both"/>
              <w:rPr>
                <w:rFonts w:cstheme="minorHAnsi"/>
                <w:bCs/>
                <w:sz w:val="14"/>
                <w:szCs w:val="14"/>
              </w:rPr>
            </w:pPr>
          </w:p>
          <w:p w14:paraId="61BFDA0F" w14:textId="77777777" w:rsidR="008F2269" w:rsidRPr="00F21087" w:rsidRDefault="008F2269" w:rsidP="002D1362">
            <w:pPr>
              <w:jc w:val="both"/>
              <w:rPr>
                <w:rFonts w:cstheme="minorHAnsi"/>
                <w:bCs/>
                <w:sz w:val="14"/>
                <w:szCs w:val="14"/>
              </w:rPr>
            </w:pPr>
          </w:p>
          <w:p w14:paraId="181D5901" w14:textId="77777777" w:rsidR="008F2269" w:rsidRPr="00F21087" w:rsidRDefault="008F2269" w:rsidP="002D1362">
            <w:pPr>
              <w:jc w:val="both"/>
              <w:rPr>
                <w:rFonts w:cstheme="minorHAnsi"/>
                <w:bCs/>
                <w:sz w:val="14"/>
                <w:szCs w:val="14"/>
              </w:rPr>
            </w:pPr>
          </w:p>
          <w:p w14:paraId="38EC2FE4" w14:textId="77777777" w:rsidR="008F2269" w:rsidRPr="00F21087" w:rsidRDefault="008F2269" w:rsidP="002D1362">
            <w:pPr>
              <w:jc w:val="both"/>
              <w:rPr>
                <w:rFonts w:cstheme="minorHAnsi"/>
                <w:bCs/>
                <w:sz w:val="14"/>
                <w:szCs w:val="14"/>
              </w:rPr>
            </w:pPr>
          </w:p>
          <w:p w14:paraId="57F5FDF7" w14:textId="77777777" w:rsidR="008F2269" w:rsidRPr="00F21087" w:rsidRDefault="008F2269" w:rsidP="002D1362">
            <w:pPr>
              <w:jc w:val="both"/>
              <w:rPr>
                <w:rFonts w:cstheme="minorHAnsi"/>
                <w:bCs/>
                <w:sz w:val="14"/>
                <w:szCs w:val="14"/>
              </w:rPr>
            </w:pPr>
          </w:p>
          <w:p w14:paraId="131CD928" w14:textId="77777777" w:rsidR="008F2269" w:rsidRPr="00F21087" w:rsidRDefault="008F2269" w:rsidP="002D1362">
            <w:pPr>
              <w:jc w:val="both"/>
              <w:rPr>
                <w:rFonts w:cstheme="minorHAnsi"/>
                <w:bCs/>
                <w:sz w:val="14"/>
                <w:szCs w:val="14"/>
              </w:rPr>
            </w:pPr>
          </w:p>
          <w:p w14:paraId="54C380A3" w14:textId="77777777" w:rsidR="008F2269" w:rsidRPr="00F21087" w:rsidRDefault="008F2269" w:rsidP="002D1362">
            <w:pPr>
              <w:jc w:val="both"/>
              <w:rPr>
                <w:rFonts w:cstheme="minorHAnsi"/>
                <w:bCs/>
                <w:sz w:val="14"/>
                <w:szCs w:val="14"/>
              </w:rPr>
            </w:pPr>
          </w:p>
          <w:p w14:paraId="6B2AD464" w14:textId="77777777" w:rsidR="008F2269" w:rsidRPr="00F21087" w:rsidRDefault="008F2269" w:rsidP="002D1362">
            <w:pPr>
              <w:jc w:val="both"/>
              <w:rPr>
                <w:rFonts w:cstheme="minorHAnsi"/>
                <w:bCs/>
                <w:sz w:val="14"/>
                <w:szCs w:val="14"/>
              </w:rPr>
            </w:pPr>
          </w:p>
          <w:p w14:paraId="6522DEBC" w14:textId="77777777" w:rsidR="008F2269" w:rsidRPr="00F21087" w:rsidRDefault="008F2269" w:rsidP="002D1362">
            <w:pPr>
              <w:jc w:val="both"/>
              <w:rPr>
                <w:rFonts w:cstheme="minorHAnsi"/>
                <w:bCs/>
                <w:sz w:val="14"/>
                <w:szCs w:val="14"/>
              </w:rPr>
            </w:pPr>
          </w:p>
        </w:tc>
        <w:tc>
          <w:tcPr>
            <w:tcW w:w="3402" w:type="dxa"/>
            <w:shd w:val="clear" w:color="auto" w:fill="FFFFFF" w:themeFill="background1"/>
            <w:vAlign w:val="center"/>
          </w:tcPr>
          <w:p w14:paraId="05C7CD68" w14:textId="77777777" w:rsidR="008F2269" w:rsidRPr="00F21087" w:rsidRDefault="008F2269" w:rsidP="002D1362">
            <w:pPr>
              <w:autoSpaceDE w:val="0"/>
              <w:adjustRightInd w:val="0"/>
              <w:jc w:val="both"/>
              <w:rPr>
                <w:rFonts w:cstheme="minorHAnsi"/>
                <w:sz w:val="14"/>
                <w:szCs w:val="14"/>
              </w:rPr>
            </w:pPr>
          </w:p>
          <w:p w14:paraId="5D1FD2F7"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Développer une stratégie nationale de financement pérenne des actions de RRC.</w:t>
            </w:r>
          </w:p>
          <w:p w14:paraId="28ED32CF"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 xml:space="preserve">Mettre en place un fonds national pour la RRC avec des ressources nationales, l’appui des </w:t>
            </w:r>
            <w:proofErr w:type="spellStart"/>
            <w:r w:rsidRPr="00F21087">
              <w:rPr>
                <w:rFonts w:cstheme="minorHAnsi"/>
                <w:sz w:val="14"/>
                <w:szCs w:val="14"/>
              </w:rPr>
              <w:t>PTFs</w:t>
            </w:r>
            <w:proofErr w:type="spellEnd"/>
            <w:r w:rsidRPr="00F21087">
              <w:rPr>
                <w:rFonts w:cstheme="minorHAnsi"/>
                <w:sz w:val="14"/>
                <w:szCs w:val="14"/>
              </w:rPr>
              <w:t xml:space="preserve"> et en définir les modalités de gestion. </w:t>
            </w:r>
          </w:p>
          <w:p w14:paraId="2EC30A50"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Renforcer le mécanisme de solidarité nationale en faveur de la gestion des risques climatiques en mobilisant en priorité les Mauritaniens et Mauritaniennes de la</w:t>
            </w:r>
            <w:r w:rsidRPr="00F21087">
              <w:rPr>
                <w:rFonts w:cstheme="minorHAnsi"/>
                <w:sz w:val="16"/>
                <w:szCs w:val="16"/>
              </w:rPr>
              <w:t xml:space="preserve"> </w:t>
            </w:r>
            <w:r w:rsidRPr="00F21087">
              <w:rPr>
                <w:rFonts w:cstheme="minorHAnsi"/>
                <w:sz w:val="14"/>
                <w:szCs w:val="14"/>
              </w:rPr>
              <w:t>diaspora.</w:t>
            </w:r>
          </w:p>
          <w:p w14:paraId="0B6F741C"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Renforcer les capacités techniques de la Commission Environnement de l’Assemblée nationale pour une meilleure appréhension des risques climatiques et leurs impacts.</w:t>
            </w:r>
          </w:p>
          <w:p w14:paraId="4DC60FDE"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Vulgariser le plan national de prévention des risques climatiques (PNPRC)</w:t>
            </w:r>
          </w:p>
          <w:p w14:paraId="425B8C3E"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 xml:space="preserve">Elaborer et diffuser des guides à l’intention des décideurs pour internaliser les enjeux de la RRC. </w:t>
            </w:r>
          </w:p>
          <w:p w14:paraId="4D200322"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Renforcer les capacités nationales pour l’intégration du risque climatique dans les stratégies sectorielles, plans de développement et les processus de budgétisation (y compris les Régions, les Communes, le secteur privé et la société civile).</w:t>
            </w:r>
          </w:p>
          <w:p w14:paraId="60251CAC"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Appuyer la prise en compte de la dimension RRC dans les politiques, stratégies et plans sectoriels.</w:t>
            </w:r>
          </w:p>
          <w:p w14:paraId="0AC9CCDA" w14:textId="77777777" w:rsidR="008F2269" w:rsidRPr="00F21087" w:rsidRDefault="008F2269" w:rsidP="002D1362">
            <w:pPr>
              <w:autoSpaceDE w:val="0"/>
              <w:adjustRightInd w:val="0"/>
              <w:jc w:val="both"/>
              <w:rPr>
                <w:rFonts w:cstheme="minorHAnsi"/>
                <w:sz w:val="14"/>
                <w:szCs w:val="14"/>
              </w:rPr>
            </w:pPr>
          </w:p>
        </w:tc>
        <w:tc>
          <w:tcPr>
            <w:tcW w:w="5387" w:type="dxa"/>
            <w:shd w:val="clear" w:color="auto" w:fill="FFFFFF" w:themeFill="background1"/>
          </w:tcPr>
          <w:p w14:paraId="7AC47CEA" w14:textId="77777777" w:rsidR="008F2269" w:rsidRPr="00F21087" w:rsidRDefault="008F2269" w:rsidP="002D1362">
            <w:pPr>
              <w:shd w:val="clear" w:color="auto" w:fill="DEEAF6" w:themeFill="accent5" w:themeFillTint="33"/>
              <w:autoSpaceDE w:val="0"/>
              <w:autoSpaceDN w:val="0"/>
              <w:adjustRightInd w:val="0"/>
              <w:jc w:val="center"/>
              <w:rPr>
                <w:rFonts w:eastAsia="Calibri" w:cstheme="minorHAnsi"/>
                <w:sz w:val="14"/>
                <w:szCs w:val="14"/>
              </w:rPr>
            </w:pPr>
            <w:r w:rsidRPr="00F21087">
              <w:rPr>
                <w:rFonts w:eastAsia="Calibri" w:cstheme="minorHAnsi"/>
                <w:sz w:val="14"/>
                <w:szCs w:val="14"/>
              </w:rPr>
              <w:t>Source : PNPRC 2021-2030.</w:t>
            </w:r>
          </w:p>
          <w:p w14:paraId="5EF92646" w14:textId="77777777" w:rsidR="008F2269" w:rsidRPr="00F21087" w:rsidRDefault="008F2269" w:rsidP="002D1362">
            <w:pPr>
              <w:pStyle w:val="Paragraphedeliste"/>
              <w:ind w:left="360"/>
              <w:jc w:val="both"/>
              <w:rPr>
                <w:rFonts w:cstheme="minorHAnsi"/>
                <w:sz w:val="14"/>
                <w:szCs w:val="14"/>
              </w:rPr>
            </w:pPr>
          </w:p>
          <w:p w14:paraId="173E42A5" w14:textId="77777777" w:rsidR="008F2269" w:rsidRPr="00F21087" w:rsidRDefault="008F2269" w:rsidP="008F2269">
            <w:pPr>
              <w:pStyle w:val="Paragraphedeliste"/>
              <w:numPr>
                <w:ilvl w:val="0"/>
                <w:numId w:val="91"/>
              </w:numPr>
              <w:suppressAutoHyphens/>
              <w:autoSpaceDN w:val="0"/>
              <w:jc w:val="both"/>
              <w:textAlignment w:val="baseline"/>
              <w:rPr>
                <w:rFonts w:cstheme="minorHAnsi"/>
                <w:sz w:val="14"/>
                <w:szCs w:val="14"/>
              </w:rPr>
            </w:pPr>
            <w:r w:rsidRPr="00F21087">
              <w:rPr>
                <w:rFonts w:cstheme="minorHAnsi"/>
                <w:sz w:val="14"/>
                <w:szCs w:val="14"/>
              </w:rPr>
              <w:t>Opérationnalisation de la stratégie nationale de financement de la RRC. Pas de montant.</w:t>
            </w:r>
          </w:p>
          <w:p w14:paraId="4A8F670B" w14:textId="77777777" w:rsidR="008F2269" w:rsidRPr="00F21087" w:rsidRDefault="008F2269" w:rsidP="008F2269">
            <w:pPr>
              <w:pStyle w:val="Paragraphedeliste"/>
              <w:numPr>
                <w:ilvl w:val="0"/>
                <w:numId w:val="91"/>
              </w:numPr>
              <w:suppressAutoHyphens/>
              <w:autoSpaceDN w:val="0"/>
              <w:jc w:val="both"/>
              <w:textAlignment w:val="baseline"/>
              <w:rPr>
                <w:rFonts w:cstheme="minorHAnsi"/>
                <w:sz w:val="14"/>
                <w:szCs w:val="14"/>
              </w:rPr>
            </w:pPr>
            <w:r w:rsidRPr="00F21087">
              <w:rPr>
                <w:rFonts w:cstheme="minorHAnsi"/>
                <w:sz w:val="14"/>
                <w:szCs w:val="14"/>
              </w:rPr>
              <w:t>Opérationnalisation du décret portant mise en place du fond</w:t>
            </w:r>
            <w:proofErr w:type="gramStart"/>
            <w:r w:rsidRPr="00F21087">
              <w:rPr>
                <w:rFonts w:cstheme="minorHAnsi"/>
                <w:sz w:val="14"/>
                <w:szCs w:val="14"/>
              </w:rPr>
              <w:t>. .</w:t>
            </w:r>
            <w:proofErr w:type="gramEnd"/>
            <w:r w:rsidRPr="00F21087">
              <w:rPr>
                <w:rFonts w:cstheme="minorHAnsi"/>
                <w:sz w:val="14"/>
                <w:szCs w:val="14"/>
              </w:rPr>
              <w:t xml:space="preserve"> Pas de montant.</w:t>
            </w:r>
          </w:p>
          <w:p w14:paraId="7A70E630" w14:textId="77777777" w:rsidR="008F2269" w:rsidRPr="00F21087" w:rsidRDefault="008F2269" w:rsidP="008F2269">
            <w:pPr>
              <w:pStyle w:val="Paragraphedeliste"/>
              <w:numPr>
                <w:ilvl w:val="0"/>
                <w:numId w:val="91"/>
              </w:numPr>
              <w:suppressAutoHyphens/>
              <w:autoSpaceDN w:val="0"/>
              <w:jc w:val="both"/>
              <w:textAlignment w:val="baseline"/>
              <w:rPr>
                <w:rFonts w:cstheme="minorHAnsi"/>
                <w:sz w:val="14"/>
                <w:szCs w:val="14"/>
              </w:rPr>
            </w:pPr>
            <w:r w:rsidRPr="00F21087">
              <w:rPr>
                <w:rFonts w:cstheme="minorHAnsi"/>
                <w:sz w:val="14"/>
                <w:szCs w:val="14"/>
              </w:rPr>
              <w:t>Dynamisation du Mécanisme de solidarité. Pas de montant.</w:t>
            </w:r>
          </w:p>
          <w:p w14:paraId="583BAD6E" w14:textId="77777777" w:rsidR="008F2269" w:rsidRPr="00F21087" w:rsidRDefault="008F2269" w:rsidP="002D1362">
            <w:pPr>
              <w:jc w:val="both"/>
              <w:rPr>
                <w:rFonts w:eastAsia="Calibri" w:cstheme="minorHAnsi"/>
                <w:sz w:val="14"/>
                <w:szCs w:val="14"/>
              </w:rPr>
            </w:pPr>
            <w:r w:rsidRPr="00F21087">
              <w:rPr>
                <w:rFonts w:eastAsia="Calibri" w:cstheme="minorHAnsi"/>
                <w:sz w:val="14"/>
                <w:szCs w:val="14"/>
              </w:rPr>
              <w:t xml:space="preserve"> </w:t>
            </w:r>
          </w:p>
          <w:p w14:paraId="047947AE" w14:textId="77777777" w:rsidR="008F2269" w:rsidRPr="00F21087" w:rsidRDefault="008F2269" w:rsidP="002D1362">
            <w:pPr>
              <w:pStyle w:val="Paragraphedeliste"/>
              <w:ind w:left="360"/>
              <w:jc w:val="both"/>
              <w:rPr>
                <w:rFonts w:cstheme="minorHAnsi"/>
                <w:sz w:val="14"/>
                <w:szCs w:val="14"/>
              </w:rPr>
            </w:pPr>
          </w:p>
          <w:p w14:paraId="3BBF9535" w14:textId="77777777" w:rsidR="008F2269" w:rsidRPr="00F21087" w:rsidRDefault="008F2269" w:rsidP="002D1362">
            <w:pPr>
              <w:jc w:val="both"/>
              <w:rPr>
                <w:rFonts w:eastAsia="Calibri" w:cstheme="minorHAnsi"/>
                <w:sz w:val="14"/>
                <w:szCs w:val="14"/>
              </w:rPr>
            </w:pPr>
          </w:p>
          <w:p w14:paraId="3FCBF888" w14:textId="77777777" w:rsidR="008F2269" w:rsidRPr="00F21087" w:rsidRDefault="008F2269" w:rsidP="002D1362">
            <w:pPr>
              <w:jc w:val="both"/>
              <w:rPr>
                <w:rFonts w:eastAsia="Calibri" w:cstheme="minorHAnsi"/>
                <w:sz w:val="14"/>
                <w:szCs w:val="14"/>
              </w:rPr>
            </w:pPr>
            <w:r w:rsidRPr="00F21087">
              <w:rPr>
                <w:rFonts w:eastAsia="Calibri" w:cstheme="minorHAnsi"/>
                <w:sz w:val="14"/>
                <w:szCs w:val="14"/>
              </w:rPr>
              <w:t xml:space="preserve"> </w:t>
            </w:r>
          </w:p>
          <w:p w14:paraId="0F0A50ED" w14:textId="77777777" w:rsidR="008F2269" w:rsidRPr="00F21087" w:rsidRDefault="008F2269" w:rsidP="002D1362">
            <w:pPr>
              <w:jc w:val="both"/>
              <w:rPr>
                <w:rFonts w:eastAsia="Calibri" w:cstheme="minorHAnsi"/>
                <w:sz w:val="14"/>
                <w:szCs w:val="14"/>
              </w:rPr>
            </w:pPr>
          </w:p>
          <w:p w14:paraId="19CF4D92" w14:textId="77777777" w:rsidR="008F2269" w:rsidRPr="00F21087" w:rsidRDefault="008F2269" w:rsidP="002D1362">
            <w:pPr>
              <w:jc w:val="both"/>
              <w:rPr>
                <w:rFonts w:eastAsia="Calibri" w:cstheme="minorHAnsi"/>
                <w:sz w:val="14"/>
                <w:szCs w:val="14"/>
              </w:rPr>
            </w:pPr>
          </w:p>
          <w:p w14:paraId="40DF99BA" w14:textId="77777777" w:rsidR="008F2269" w:rsidRPr="00F21087" w:rsidRDefault="008F2269" w:rsidP="002D1362">
            <w:pPr>
              <w:jc w:val="both"/>
              <w:rPr>
                <w:rFonts w:eastAsia="Calibri" w:cstheme="minorHAnsi"/>
                <w:sz w:val="14"/>
                <w:szCs w:val="14"/>
              </w:rPr>
            </w:pPr>
          </w:p>
          <w:p w14:paraId="5D195D8B" w14:textId="77777777" w:rsidR="008F2269" w:rsidRPr="00F21087" w:rsidRDefault="008F2269" w:rsidP="002D1362">
            <w:pPr>
              <w:jc w:val="both"/>
              <w:rPr>
                <w:rFonts w:eastAsia="Calibri" w:cstheme="minorHAnsi"/>
                <w:sz w:val="14"/>
                <w:szCs w:val="14"/>
              </w:rPr>
            </w:pPr>
          </w:p>
          <w:p w14:paraId="312689B2" w14:textId="77777777" w:rsidR="008F2269" w:rsidRPr="00F21087" w:rsidRDefault="008F2269" w:rsidP="002D1362">
            <w:pPr>
              <w:jc w:val="both"/>
              <w:rPr>
                <w:rFonts w:eastAsia="Calibri" w:cstheme="minorHAnsi"/>
                <w:sz w:val="14"/>
                <w:szCs w:val="14"/>
              </w:rPr>
            </w:pPr>
          </w:p>
        </w:tc>
        <w:tc>
          <w:tcPr>
            <w:tcW w:w="2556" w:type="dxa"/>
          </w:tcPr>
          <w:p w14:paraId="2E7D303B" w14:textId="77777777" w:rsidR="008F2269" w:rsidRPr="00F21087" w:rsidRDefault="008F2269" w:rsidP="002D1362">
            <w:pPr>
              <w:jc w:val="center"/>
              <w:rPr>
                <w:sz w:val="16"/>
                <w:szCs w:val="16"/>
              </w:rPr>
            </w:pPr>
            <w:r>
              <w:rPr>
                <w:rFonts w:cstheme="minorHAnsi"/>
                <w:sz w:val="14"/>
                <w:szCs w:val="14"/>
              </w:rPr>
              <w:t>Le PNPRC n’est budgétisé.</w:t>
            </w:r>
            <w:r w:rsidRPr="00F21087">
              <w:rPr>
                <w:rFonts w:cstheme="minorHAnsi"/>
                <w:b/>
                <w:sz w:val="14"/>
                <w:szCs w:val="14"/>
              </w:rPr>
              <w:t xml:space="preserve">   </w:t>
            </w:r>
            <w:r w:rsidRPr="00F21087">
              <w:rPr>
                <w:rFonts w:cstheme="minorHAnsi"/>
                <w:sz w:val="14"/>
                <w:szCs w:val="14"/>
              </w:rPr>
              <w:t xml:space="preserve">  </w:t>
            </w:r>
          </w:p>
        </w:tc>
      </w:tr>
      <w:tr w:rsidR="008F2269" w:rsidRPr="00F21087" w14:paraId="6FE42458" w14:textId="77777777" w:rsidTr="002D1362">
        <w:trPr>
          <w:trHeight w:val="85"/>
        </w:trPr>
        <w:tc>
          <w:tcPr>
            <w:tcW w:w="2830" w:type="dxa"/>
            <w:shd w:val="clear" w:color="auto" w:fill="C5E0B3" w:themeFill="accent6" w:themeFillTint="66"/>
            <w:vAlign w:val="center"/>
          </w:tcPr>
          <w:p w14:paraId="651381F5" w14:textId="77777777" w:rsidR="008F2269" w:rsidRPr="00F21087" w:rsidRDefault="008F2269" w:rsidP="002D1362">
            <w:pPr>
              <w:jc w:val="both"/>
              <w:rPr>
                <w:rFonts w:eastAsia="Calibri" w:cstheme="minorHAnsi"/>
                <w:sz w:val="14"/>
                <w:szCs w:val="14"/>
              </w:rPr>
            </w:pPr>
            <w:r w:rsidRPr="00F21087">
              <w:rPr>
                <w:rFonts w:eastAsia="Calibri" w:cstheme="minorHAnsi"/>
                <w:sz w:val="14"/>
                <w:szCs w:val="14"/>
              </w:rPr>
              <w:t xml:space="preserve">Résultat 3.2 : Des assurances risques de désastres sont développées et accessibles aux catégories vulnérables aux risques climatiques </w:t>
            </w:r>
          </w:p>
          <w:p w14:paraId="386D7350" w14:textId="77777777" w:rsidR="008F2269" w:rsidRPr="00F21087" w:rsidRDefault="008F2269" w:rsidP="002D1362">
            <w:pPr>
              <w:jc w:val="both"/>
              <w:rPr>
                <w:rFonts w:eastAsia="Calibri" w:cstheme="minorHAnsi"/>
                <w:sz w:val="14"/>
                <w:szCs w:val="14"/>
              </w:rPr>
            </w:pPr>
          </w:p>
          <w:p w14:paraId="59ED9FB3" w14:textId="77777777" w:rsidR="008F2269" w:rsidRPr="00F21087" w:rsidRDefault="008F2269" w:rsidP="002D1362">
            <w:pPr>
              <w:jc w:val="both"/>
              <w:rPr>
                <w:rFonts w:eastAsia="Calibri" w:cstheme="minorHAnsi"/>
                <w:sz w:val="14"/>
                <w:szCs w:val="14"/>
              </w:rPr>
            </w:pPr>
          </w:p>
          <w:p w14:paraId="0C14757D" w14:textId="77777777" w:rsidR="008F2269" w:rsidRPr="00F21087" w:rsidRDefault="008F2269" w:rsidP="002D1362">
            <w:pPr>
              <w:jc w:val="both"/>
              <w:rPr>
                <w:rFonts w:eastAsia="Calibri" w:cstheme="minorHAnsi"/>
                <w:sz w:val="14"/>
                <w:szCs w:val="14"/>
              </w:rPr>
            </w:pPr>
          </w:p>
          <w:p w14:paraId="07EBFFA0" w14:textId="77777777" w:rsidR="008F2269" w:rsidRPr="00F21087" w:rsidRDefault="008F2269" w:rsidP="002D1362">
            <w:pPr>
              <w:jc w:val="both"/>
              <w:rPr>
                <w:rFonts w:eastAsia="Calibri" w:cstheme="minorHAnsi"/>
                <w:sz w:val="14"/>
                <w:szCs w:val="14"/>
              </w:rPr>
            </w:pPr>
          </w:p>
          <w:p w14:paraId="03BA4DFB" w14:textId="77777777" w:rsidR="008F2269" w:rsidRPr="00F21087" w:rsidRDefault="008F2269" w:rsidP="002D1362">
            <w:pPr>
              <w:jc w:val="both"/>
              <w:rPr>
                <w:rFonts w:eastAsia="Calibri" w:cstheme="minorHAnsi"/>
                <w:sz w:val="14"/>
                <w:szCs w:val="14"/>
              </w:rPr>
            </w:pPr>
          </w:p>
          <w:p w14:paraId="1D4E5A25" w14:textId="77777777" w:rsidR="008F2269" w:rsidRPr="00F21087" w:rsidRDefault="008F2269" w:rsidP="002D1362">
            <w:pPr>
              <w:jc w:val="both"/>
              <w:rPr>
                <w:rFonts w:eastAsia="Calibri" w:cstheme="minorHAnsi"/>
                <w:sz w:val="14"/>
                <w:szCs w:val="14"/>
              </w:rPr>
            </w:pPr>
          </w:p>
          <w:p w14:paraId="61E50D9D" w14:textId="77777777" w:rsidR="008F2269" w:rsidRPr="00F21087" w:rsidRDefault="008F2269" w:rsidP="002D1362">
            <w:pPr>
              <w:jc w:val="both"/>
              <w:rPr>
                <w:rFonts w:eastAsia="Calibri" w:cstheme="minorHAnsi"/>
                <w:sz w:val="14"/>
                <w:szCs w:val="14"/>
              </w:rPr>
            </w:pPr>
          </w:p>
          <w:p w14:paraId="2B482783" w14:textId="77777777" w:rsidR="008F2269" w:rsidRPr="00F21087" w:rsidRDefault="008F2269" w:rsidP="002D1362">
            <w:pPr>
              <w:jc w:val="both"/>
              <w:rPr>
                <w:rFonts w:eastAsia="Calibri" w:cstheme="minorHAnsi"/>
                <w:sz w:val="14"/>
                <w:szCs w:val="14"/>
              </w:rPr>
            </w:pPr>
          </w:p>
          <w:p w14:paraId="0A20A083" w14:textId="77777777" w:rsidR="008F2269" w:rsidRPr="00F21087" w:rsidRDefault="008F2269" w:rsidP="002D1362">
            <w:pPr>
              <w:jc w:val="both"/>
              <w:rPr>
                <w:rFonts w:eastAsia="Calibri" w:cstheme="minorHAnsi"/>
                <w:sz w:val="14"/>
                <w:szCs w:val="14"/>
              </w:rPr>
            </w:pPr>
          </w:p>
          <w:p w14:paraId="20BA85DA" w14:textId="77777777" w:rsidR="008F2269" w:rsidRPr="00F21087" w:rsidRDefault="008F2269" w:rsidP="002D1362">
            <w:pPr>
              <w:jc w:val="both"/>
              <w:rPr>
                <w:rFonts w:eastAsia="Calibri" w:cstheme="minorHAnsi"/>
                <w:sz w:val="14"/>
                <w:szCs w:val="14"/>
              </w:rPr>
            </w:pPr>
          </w:p>
          <w:p w14:paraId="2EADC1E1" w14:textId="77777777" w:rsidR="008F2269" w:rsidRPr="00F21087" w:rsidRDefault="008F2269" w:rsidP="002D1362">
            <w:pPr>
              <w:jc w:val="both"/>
              <w:rPr>
                <w:rFonts w:eastAsia="Calibri" w:cstheme="minorHAnsi"/>
                <w:sz w:val="14"/>
                <w:szCs w:val="14"/>
              </w:rPr>
            </w:pPr>
          </w:p>
          <w:p w14:paraId="5AF3ABBB" w14:textId="77777777" w:rsidR="008F2269" w:rsidRPr="00F21087" w:rsidRDefault="008F2269" w:rsidP="002D1362">
            <w:pPr>
              <w:jc w:val="both"/>
              <w:rPr>
                <w:rFonts w:eastAsia="Calibri" w:cstheme="minorHAnsi"/>
                <w:sz w:val="14"/>
                <w:szCs w:val="14"/>
              </w:rPr>
            </w:pPr>
          </w:p>
          <w:p w14:paraId="510FFA5A" w14:textId="77777777" w:rsidR="008F2269" w:rsidRPr="00F21087" w:rsidRDefault="008F2269" w:rsidP="002D1362">
            <w:pPr>
              <w:jc w:val="both"/>
              <w:rPr>
                <w:rFonts w:eastAsia="Calibri" w:cstheme="minorHAnsi"/>
                <w:sz w:val="14"/>
                <w:szCs w:val="14"/>
              </w:rPr>
            </w:pPr>
          </w:p>
        </w:tc>
        <w:tc>
          <w:tcPr>
            <w:tcW w:w="3402" w:type="dxa"/>
            <w:shd w:val="clear" w:color="auto" w:fill="FFFFFF" w:themeFill="background1"/>
            <w:vAlign w:val="center"/>
          </w:tcPr>
          <w:p w14:paraId="6D042B3B" w14:textId="77777777" w:rsidR="008F2269" w:rsidRPr="00F21087" w:rsidRDefault="008F2269" w:rsidP="002D1362">
            <w:pPr>
              <w:shd w:val="clear" w:color="auto" w:fill="DEEAF6" w:themeFill="accent5" w:themeFillTint="33"/>
              <w:autoSpaceDE w:val="0"/>
              <w:adjustRightInd w:val="0"/>
              <w:jc w:val="both"/>
              <w:rPr>
                <w:rFonts w:eastAsia="Calibri" w:cstheme="minorHAnsi"/>
                <w:sz w:val="14"/>
                <w:szCs w:val="14"/>
              </w:rPr>
            </w:pPr>
            <w:r>
              <w:rPr>
                <w:rFonts w:eastAsia="Calibri" w:cstheme="minorHAnsi"/>
                <w:sz w:val="14"/>
                <w:szCs w:val="14"/>
              </w:rPr>
              <w:t>Source : PNPRC 2021-2030</w:t>
            </w:r>
          </w:p>
          <w:p w14:paraId="53FB5CC9" w14:textId="77777777" w:rsidR="008F2269" w:rsidRPr="00F21087" w:rsidRDefault="008F2269" w:rsidP="008F2269">
            <w:pPr>
              <w:pStyle w:val="Default"/>
              <w:numPr>
                <w:ilvl w:val="0"/>
                <w:numId w:val="124"/>
              </w:numPr>
              <w:contextualSpacing/>
              <w:jc w:val="both"/>
              <w:rPr>
                <w:rFonts w:asciiTheme="minorHAnsi" w:eastAsia="Calibri" w:hAnsiTheme="minorHAnsi" w:cstheme="minorHAnsi"/>
                <w:color w:val="auto"/>
                <w:sz w:val="14"/>
                <w:szCs w:val="14"/>
              </w:rPr>
            </w:pPr>
            <w:r w:rsidRPr="00F21087">
              <w:rPr>
                <w:rFonts w:asciiTheme="minorHAnsi" w:eastAsia="Calibri" w:hAnsiTheme="minorHAnsi" w:cstheme="minorHAnsi"/>
                <w:color w:val="auto"/>
                <w:sz w:val="14"/>
                <w:szCs w:val="14"/>
              </w:rPr>
              <w:t>Souscrire, selon qu’il convient, les secteurs à une police d’assurance paramétrique</w:t>
            </w:r>
            <w:r w:rsidRPr="00F21087">
              <w:rPr>
                <w:rFonts w:eastAsia="Calibri"/>
                <w:color w:val="auto"/>
                <w:sz w:val="14"/>
                <w:szCs w:val="14"/>
              </w:rPr>
              <w:t xml:space="preserve"> </w:t>
            </w:r>
            <w:r w:rsidRPr="00F21087">
              <w:rPr>
                <w:rFonts w:asciiTheme="minorHAnsi" w:eastAsia="Calibri" w:hAnsiTheme="minorHAnsi" w:cstheme="minorHAnsi"/>
                <w:color w:val="auto"/>
                <w:sz w:val="14"/>
                <w:szCs w:val="14"/>
              </w:rPr>
              <w:t xml:space="preserve">de gestion des catastrophes de </w:t>
            </w:r>
            <w:proofErr w:type="spellStart"/>
            <w:r w:rsidRPr="00F21087">
              <w:rPr>
                <w:rFonts w:asciiTheme="minorHAnsi" w:eastAsia="Calibri" w:hAnsiTheme="minorHAnsi" w:cstheme="minorHAnsi"/>
                <w:color w:val="auto"/>
                <w:sz w:val="14"/>
                <w:szCs w:val="14"/>
              </w:rPr>
              <w:t>African</w:t>
            </w:r>
            <w:proofErr w:type="spellEnd"/>
            <w:r w:rsidRPr="00F21087">
              <w:rPr>
                <w:rFonts w:asciiTheme="minorHAnsi" w:eastAsia="Calibri" w:hAnsiTheme="minorHAnsi" w:cstheme="minorHAnsi"/>
                <w:color w:val="auto"/>
                <w:sz w:val="14"/>
                <w:szCs w:val="14"/>
              </w:rPr>
              <w:t xml:space="preserve"> Risk </w:t>
            </w:r>
            <w:proofErr w:type="spellStart"/>
            <w:r w:rsidRPr="00F21087">
              <w:rPr>
                <w:rFonts w:asciiTheme="minorHAnsi" w:eastAsia="Calibri" w:hAnsiTheme="minorHAnsi" w:cstheme="minorHAnsi"/>
                <w:color w:val="auto"/>
                <w:sz w:val="14"/>
                <w:szCs w:val="14"/>
              </w:rPr>
              <w:t>Capacity</w:t>
            </w:r>
            <w:proofErr w:type="spellEnd"/>
            <w:r w:rsidRPr="00F21087">
              <w:rPr>
                <w:rFonts w:asciiTheme="minorHAnsi" w:eastAsia="Calibri" w:hAnsiTheme="minorHAnsi" w:cstheme="minorHAnsi"/>
                <w:color w:val="auto"/>
                <w:sz w:val="14"/>
                <w:szCs w:val="14"/>
              </w:rPr>
              <w:t xml:space="preserve"> de l’UA en ciblant les régimes prioritaires prioritairement le régime d’assurance « sécheresse »</w:t>
            </w:r>
          </w:p>
          <w:p w14:paraId="6D2369A7"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Mettre en place un système participatif et transparent avec une obligation de rendre compte sur l’utilisation des fonds mobilisés à travers le mécanisme d’assurance paramétrique.</w:t>
            </w:r>
          </w:p>
        </w:tc>
        <w:tc>
          <w:tcPr>
            <w:tcW w:w="5387" w:type="dxa"/>
            <w:shd w:val="clear" w:color="auto" w:fill="FFFFFF" w:themeFill="background1"/>
          </w:tcPr>
          <w:p w14:paraId="02991552" w14:textId="77777777" w:rsidR="008F2269" w:rsidRPr="00F21087" w:rsidRDefault="008F2269" w:rsidP="002D1362">
            <w:pPr>
              <w:shd w:val="clear" w:color="auto" w:fill="DEEAF6" w:themeFill="accent5" w:themeFillTint="33"/>
              <w:autoSpaceDE w:val="0"/>
              <w:autoSpaceDN w:val="0"/>
              <w:adjustRightInd w:val="0"/>
              <w:jc w:val="center"/>
              <w:rPr>
                <w:rFonts w:eastAsia="Calibri" w:cstheme="minorHAnsi"/>
                <w:sz w:val="14"/>
                <w:szCs w:val="14"/>
              </w:rPr>
            </w:pPr>
            <w:r w:rsidRPr="00F21087">
              <w:rPr>
                <w:rFonts w:eastAsia="Calibri" w:cstheme="minorHAnsi"/>
                <w:sz w:val="14"/>
                <w:szCs w:val="14"/>
              </w:rPr>
              <w:t>Source : PNPRC 2021-2030.</w:t>
            </w:r>
          </w:p>
          <w:p w14:paraId="45D3A2C3" w14:textId="77777777" w:rsidR="008F2269" w:rsidRPr="00F21087" w:rsidRDefault="008F2269" w:rsidP="002D1362">
            <w:pPr>
              <w:pStyle w:val="Paragraphedeliste"/>
              <w:ind w:left="360"/>
              <w:jc w:val="both"/>
              <w:rPr>
                <w:rFonts w:cstheme="minorHAnsi"/>
                <w:sz w:val="14"/>
                <w:szCs w:val="14"/>
              </w:rPr>
            </w:pPr>
          </w:p>
          <w:p w14:paraId="6317E09E" w14:textId="77777777" w:rsidR="008F2269" w:rsidRPr="00F21087" w:rsidRDefault="008F2269" w:rsidP="008F2269">
            <w:pPr>
              <w:pStyle w:val="Paragraphedeliste"/>
              <w:numPr>
                <w:ilvl w:val="0"/>
                <w:numId w:val="91"/>
              </w:numPr>
              <w:suppressAutoHyphens/>
              <w:autoSpaceDN w:val="0"/>
              <w:jc w:val="both"/>
              <w:textAlignment w:val="baseline"/>
              <w:rPr>
                <w:rFonts w:cstheme="minorHAnsi"/>
                <w:sz w:val="14"/>
                <w:szCs w:val="14"/>
              </w:rPr>
            </w:pPr>
            <w:r w:rsidRPr="00F21087">
              <w:rPr>
                <w:rFonts w:cstheme="minorHAnsi"/>
                <w:sz w:val="14"/>
                <w:szCs w:val="14"/>
              </w:rPr>
              <w:t xml:space="preserve">Connaissance du nombre de régimes d’assurances pour la RRC. </w:t>
            </w:r>
            <w:r>
              <w:rPr>
                <w:rFonts w:cstheme="minorHAnsi"/>
                <w:sz w:val="14"/>
                <w:szCs w:val="14"/>
              </w:rPr>
              <w:t xml:space="preserve"> </w:t>
            </w:r>
            <w:r w:rsidRPr="00F21087">
              <w:rPr>
                <w:rFonts w:cstheme="minorHAnsi"/>
                <w:sz w:val="14"/>
                <w:szCs w:val="14"/>
              </w:rPr>
              <w:t>Pas de montant.</w:t>
            </w:r>
          </w:p>
          <w:p w14:paraId="2610ECB6" w14:textId="77777777" w:rsidR="008F2269" w:rsidRPr="00F21087" w:rsidRDefault="008F2269" w:rsidP="008F2269">
            <w:pPr>
              <w:pStyle w:val="Paragraphedeliste"/>
              <w:numPr>
                <w:ilvl w:val="0"/>
                <w:numId w:val="91"/>
              </w:numPr>
              <w:suppressAutoHyphens/>
              <w:autoSpaceDN w:val="0"/>
              <w:jc w:val="both"/>
              <w:textAlignment w:val="baseline"/>
              <w:rPr>
                <w:rFonts w:cstheme="minorHAnsi"/>
                <w:sz w:val="14"/>
                <w:szCs w:val="14"/>
              </w:rPr>
            </w:pPr>
            <w:r w:rsidRPr="00F21087">
              <w:rPr>
                <w:rFonts w:cstheme="minorHAnsi"/>
                <w:sz w:val="14"/>
                <w:szCs w:val="14"/>
              </w:rPr>
              <w:t>Fonctionnalité du Mécanisme de solidarité. Pas de montant.</w:t>
            </w:r>
          </w:p>
          <w:p w14:paraId="7255B763" w14:textId="77777777" w:rsidR="008F2269" w:rsidRPr="00F21087" w:rsidRDefault="008F2269" w:rsidP="002D1362">
            <w:pPr>
              <w:jc w:val="both"/>
              <w:rPr>
                <w:rFonts w:eastAsia="Calibri" w:cstheme="minorHAnsi"/>
                <w:sz w:val="14"/>
                <w:szCs w:val="14"/>
              </w:rPr>
            </w:pPr>
          </w:p>
          <w:p w14:paraId="5D6956C9" w14:textId="77777777" w:rsidR="008F2269" w:rsidRPr="00F21087" w:rsidRDefault="008F2269" w:rsidP="002D1362">
            <w:pPr>
              <w:pStyle w:val="Paragraphedeliste"/>
              <w:ind w:left="360"/>
              <w:jc w:val="both"/>
              <w:rPr>
                <w:rFonts w:cstheme="minorHAnsi"/>
                <w:sz w:val="14"/>
                <w:szCs w:val="14"/>
              </w:rPr>
            </w:pPr>
          </w:p>
          <w:p w14:paraId="2D3346BF" w14:textId="77777777" w:rsidR="008F2269" w:rsidRPr="00F21087" w:rsidRDefault="008F2269" w:rsidP="002D1362">
            <w:pPr>
              <w:jc w:val="both"/>
              <w:rPr>
                <w:rFonts w:eastAsia="Calibri" w:cstheme="minorHAnsi"/>
                <w:sz w:val="14"/>
                <w:szCs w:val="14"/>
              </w:rPr>
            </w:pPr>
          </w:p>
          <w:p w14:paraId="232DCC2E" w14:textId="77777777" w:rsidR="008F2269" w:rsidRPr="00F21087" w:rsidRDefault="008F2269" w:rsidP="002D1362">
            <w:pPr>
              <w:jc w:val="both"/>
              <w:rPr>
                <w:rFonts w:eastAsia="Calibri" w:cstheme="minorHAnsi"/>
                <w:sz w:val="14"/>
                <w:szCs w:val="14"/>
              </w:rPr>
            </w:pPr>
            <w:r w:rsidRPr="00F21087">
              <w:rPr>
                <w:rFonts w:eastAsia="Calibri" w:cstheme="minorHAnsi"/>
                <w:sz w:val="14"/>
                <w:szCs w:val="14"/>
              </w:rPr>
              <w:t xml:space="preserve"> </w:t>
            </w:r>
          </w:p>
          <w:p w14:paraId="2EFEBC6E" w14:textId="77777777" w:rsidR="008F2269" w:rsidRPr="00F21087" w:rsidRDefault="008F2269" w:rsidP="002D1362">
            <w:pPr>
              <w:jc w:val="both"/>
              <w:rPr>
                <w:rFonts w:eastAsia="Calibri" w:cstheme="minorHAnsi"/>
                <w:sz w:val="14"/>
                <w:szCs w:val="14"/>
              </w:rPr>
            </w:pPr>
          </w:p>
          <w:p w14:paraId="7D8F98E1" w14:textId="77777777" w:rsidR="008F2269" w:rsidRPr="00F21087" w:rsidRDefault="008F2269" w:rsidP="002D1362">
            <w:pPr>
              <w:jc w:val="both"/>
              <w:rPr>
                <w:rFonts w:eastAsia="Calibri" w:cstheme="minorHAnsi"/>
                <w:sz w:val="14"/>
                <w:szCs w:val="14"/>
              </w:rPr>
            </w:pPr>
          </w:p>
          <w:p w14:paraId="08E8F68A" w14:textId="77777777" w:rsidR="008F2269" w:rsidRPr="00F21087" w:rsidRDefault="008F2269" w:rsidP="002D1362">
            <w:pPr>
              <w:jc w:val="both"/>
              <w:rPr>
                <w:rFonts w:eastAsia="Calibri" w:cstheme="minorHAnsi"/>
                <w:sz w:val="14"/>
                <w:szCs w:val="14"/>
              </w:rPr>
            </w:pPr>
          </w:p>
        </w:tc>
        <w:tc>
          <w:tcPr>
            <w:tcW w:w="2556" w:type="dxa"/>
          </w:tcPr>
          <w:p w14:paraId="6C46B6EA" w14:textId="77777777" w:rsidR="008F2269" w:rsidRPr="00F21087" w:rsidRDefault="008F2269" w:rsidP="002D1362">
            <w:pPr>
              <w:rPr>
                <w:sz w:val="16"/>
                <w:szCs w:val="16"/>
              </w:rPr>
            </w:pPr>
            <w:r w:rsidRPr="00F21087">
              <w:rPr>
                <w:rFonts w:cstheme="minorHAnsi"/>
                <w:b/>
                <w:sz w:val="14"/>
                <w:szCs w:val="14"/>
              </w:rPr>
              <w:t xml:space="preserve"> </w:t>
            </w:r>
            <w:r>
              <w:rPr>
                <w:rFonts w:cstheme="minorHAnsi"/>
                <w:sz w:val="14"/>
                <w:szCs w:val="14"/>
              </w:rPr>
              <w:t>Le PNPRC n’est budgétisé.</w:t>
            </w:r>
          </w:p>
        </w:tc>
      </w:tr>
      <w:tr w:rsidR="008F2269" w:rsidRPr="00F21087" w14:paraId="0E22A1BB" w14:textId="77777777" w:rsidTr="002D1362">
        <w:tc>
          <w:tcPr>
            <w:tcW w:w="2830" w:type="dxa"/>
            <w:shd w:val="clear" w:color="auto" w:fill="C5E0B3" w:themeFill="accent6" w:themeFillTint="66"/>
            <w:vAlign w:val="center"/>
          </w:tcPr>
          <w:p w14:paraId="1E532F32" w14:textId="77777777" w:rsidR="008F2269" w:rsidRPr="00F21087" w:rsidRDefault="008F2269" w:rsidP="002D1362">
            <w:pPr>
              <w:rPr>
                <w:rFonts w:cstheme="minorHAnsi"/>
                <w:b/>
                <w:bCs/>
                <w:sz w:val="14"/>
                <w:szCs w:val="14"/>
              </w:rPr>
            </w:pPr>
            <w:r w:rsidRPr="00F21087">
              <w:rPr>
                <w:rFonts w:cstheme="minorHAnsi"/>
                <w:b/>
                <w:bCs/>
                <w:sz w:val="14"/>
                <w:szCs w:val="14"/>
              </w:rPr>
              <w:t>Axe stratégique 4</w:t>
            </w:r>
          </w:p>
        </w:tc>
        <w:tc>
          <w:tcPr>
            <w:tcW w:w="11345" w:type="dxa"/>
            <w:gridSpan w:val="3"/>
            <w:shd w:val="clear" w:color="auto" w:fill="C5E0B3" w:themeFill="accent6" w:themeFillTint="66"/>
          </w:tcPr>
          <w:p w14:paraId="784641F0" w14:textId="77777777" w:rsidR="008F2269" w:rsidRPr="00F21087" w:rsidRDefault="008F2269" w:rsidP="002D1362">
            <w:pPr>
              <w:contextualSpacing/>
              <w:jc w:val="both"/>
              <w:rPr>
                <w:rFonts w:cstheme="minorHAnsi"/>
                <w:b/>
                <w:bCs/>
                <w:sz w:val="14"/>
                <w:szCs w:val="14"/>
              </w:rPr>
            </w:pPr>
            <w:r w:rsidRPr="00F21087">
              <w:rPr>
                <w:rFonts w:cstheme="minorHAnsi"/>
                <w:b/>
                <w:bCs/>
                <w:sz w:val="14"/>
                <w:szCs w:val="14"/>
              </w:rPr>
              <w:t>: Assurer efficacement la prévention, la préparation, la réponse et le relèvement rapide poste aléas/ catastrophe à travers le renforcement des capacités techniques, matérielles et financières des institutions nationales, départementales, communales et locales</w:t>
            </w:r>
          </w:p>
          <w:p w14:paraId="3A5C9DE8" w14:textId="77777777" w:rsidR="008F2269" w:rsidRPr="00F21087" w:rsidRDefault="008F2269" w:rsidP="002D1362">
            <w:pPr>
              <w:contextualSpacing/>
              <w:jc w:val="both"/>
              <w:rPr>
                <w:rFonts w:cstheme="minorHAnsi"/>
                <w:b/>
                <w:bCs/>
                <w:sz w:val="14"/>
                <w:szCs w:val="14"/>
              </w:rPr>
            </w:pPr>
          </w:p>
        </w:tc>
      </w:tr>
      <w:tr w:rsidR="008F2269" w:rsidRPr="00F21087" w14:paraId="76E12238" w14:textId="77777777" w:rsidTr="002D1362">
        <w:trPr>
          <w:trHeight w:val="85"/>
        </w:trPr>
        <w:tc>
          <w:tcPr>
            <w:tcW w:w="2830" w:type="dxa"/>
            <w:shd w:val="clear" w:color="auto" w:fill="C5E0B3" w:themeFill="accent6" w:themeFillTint="66"/>
            <w:vAlign w:val="center"/>
          </w:tcPr>
          <w:p w14:paraId="61A32B3E" w14:textId="77777777" w:rsidR="008F2269" w:rsidRPr="00F21087" w:rsidRDefault="008F2269" w:rsidP="002D1362">
            <w:pPr>
              <w:jc w:val="both"/>
              <w:rPr>
                <w:rFonts w:cstheme="minorHAnsi"/>
                <w:bCs/>
                <w:sz w:val="14"/>
                <w:szCs w:val="14"/>
              </w:rPr>
            </w:pPr>
            <w:r w:rsidRPr="00F21087">
              <w:rPr>
                <w:rFonts w:cstheme="minorHAnsi"/>
                <w:bCs/>
                <w:sz w:val="14"/>
                <w:szCs w:val="14"/>
              </w:rPr>
              <w:t xml:space="preserve">Résultat 4.1 :  </w:t>
            </w:r>
          </w:p>
          <w:p w14:paraId="4BBEDF16" w14:textId="77777777" w:rsidR="008F2269" w:rsidRPr="00F21087" w:rsidRDefault="008F2269" w:rsidP="002D1362">
            <w:pPr>
              <w:jc w:val="both"/>
              <w:rPr>
                <w:rFonts w:cstheme="minorHAnsi"/>
                <w:sz w:val="14"/>
                <w:szCs w:val="14"/>
              </w:rPr>
            </w:pPr>
            <w:r w:rsidRPr="00F21087">
              <w:rPr>
                <w:rFonts w:cstheme="minorHAnsi"/>
                <w:bCs/>
                <w:sz w:val="14"/>
                <w:szCs w:val="14"/>
              </w:rPr>
              <w:t xml:space="preserve"> </w:t>
            </w:r>
            <w:r w:rsidRPr="00F21087">
              <w:rPr>
                <w:rFonts w:cstheme="minorHAnsi"/>
                <w:sz w:val="14"/>
                <w:szCs w:val="14"/>
              </w:rPr>
              <w:t>Les institutions nationales et locales en charge de la prévention, réponse aux urgences ont les capacités techniques et financières leur permettant de prévenir, d’élaborer et mettre en œuvre leurs activités de planification des urgences et de relèvement en tenant compte du genre</w:t>
            </w:r>
          </w:p>
          <w:p w14:paraId="7481289B" w14:textId="77777777" w:rsidR="008F2269" w:rsidRPr="00F21087" w:rsidRDefault="008F2269" w:rsidP="002D1362">
            <w:pPr>
              <w:jc w:val="both"/>
              <w:rPr>
                <w:rFonts w:cstheme="minorHAnsi"/>
                <w:sz w:val="14"/>
                <w:szCs w:val="14"/>
              </w:rPr>
            </w:pPr>
          </w:p>
          <w:p w14:paraId="19FFA571" w14:textId="77777777" w:rsidR="008F2269" w:rsidRPr="00F21087" w:rsidRDefault="008F2269" w:rsidP="002D1362">
            <w:pPr>
              <w:jc w:val="both"/>
              <w:rPr>
                <w:rFonts w:cstheme="minorHAnsi"/>
                <w:sz w:val="14"/>
                <w:szCs w:val="14"/>
              </w:rPr>
            </w:pPr>
          </w:p>
          <w:p w14:paraId="7F7A9F83" w14:textId="77777777" w:rsidR="008F2269" w:rsidRPr="00F21087" w:rsidRDefault="008F2269" w:rsidP="002D1362">
            <w:pPr>
              <w:jc w:val="both"/>
              <w:rPr>
                <w:rFonts w:cstheme="minorHAnsi"/>
                <w:sz w:val="14"/>
                <w:szCs w:val="14"/>
              </w:rPr>
            </w:pPr>
          </w:p>
          <w:p w14:paraId="1E465F06" w14:textId="77777777" w:rsidR="008F2269" w:rsidRPr="00F21087" w:rsidRDefault="008F2269" w:rsidP="002D1362">
            <w:pPr>
              <w:jc w:val="both"/>
              <w:rPr>
                <w:rFonts w:cstheme="minorHAnsi"/>
                <w:sz w:val="14"/>
                <w:szCs w:val="14"/>
              </w:rPr>
            </w:pPr>
          </w:p>
          <w:p w14:paraId="0CB83B88" w14:textId="77777777" w:rsidR="008F2269" w:rsidRPr="00F21087" w:rsidRDefault="008F2269" w:rsidP="002D1362">
            <w:pPr>
              <w:jc w:val="both"/>
              <w:rPr>
                <w:rFonts w:cstheme="minorHAnsi"/>
                <w:sz w:val="14"/>
                <w:szCs w:val="14"/>
              </w:rPr>
            </w:pPr>
          </w:p>
          <w:p w14:paraId="12D0756D" w14:textId="77777777" w:rsidR="008F2269" w:rsidRPr="00F21087" w:rsidRDefault="008F2269" w:rsidP="002D1362">
            <w:pPr>
              <w:jc w:val="both"/>
              <w:rPr>
                <w:rFonts w:cstheme="minorHAnsi"/>
                <w:bCs/>
                <w:sz w:val="14"/>
                <w:szCs w:val="14"/>
              </w:rPr>
            </w:pPr>
          </w:p>
          <w:p w14:paraId="62357FBB" w14:textId="77777777" w:rsidR="008F2269" w:rsidRPr="00F21087" w:rsidRDefault="008F2269" w:rsidP="002D1362">
            <w:pPr>
              <w:jc w:val="both"/>
              <w:rPr>
                <w:rFonts w:cstheme="minorHAnsi"/>
                <w:bCs/>
                <w:sz w:val="14"/>
                <w:szCs w:val="14"/>
              </w:rPr>
            </w:pPr>
          </w:p>
          <w:p w14:paraId="39721E6C" w14:textId="77777777" w:rsidR="008F2269" w:rsidRPr="00F21087" w:rsidRDefault="008F2269" w:rsidP="002D1362">
            <w:pPr>
              <w:jc w:val="both"/>
              <w:rPr>
                <w:rFonts w:cstheme="minorHAnsi"/>
                <w:bCs/>
                <w:sz w:val="14"/>
                <w:szCs w:val="14"/>
              </w:rPr>
            </w:pPr>
          </w:p>
          <w:p w14:paraId="6A05E7E1" w14:textId="77777777" w:rsidR="008F2269" w:rsidRPr="00F21087" w:rsidRDefault="008F2269" w:rsidP="002D1362">
            <w:pPr>
              <w:jc w:val="both"/>
              <w:rPr>
                <w:rFonts w:cstheme="minorHAnsi"/>
                <w:bCs/>
                <w:sz w:val="14"/>
                <w:szCs w:val="14"/>
              </w:rPr>
            </w:pPr>
          </w:p>
          <w:p w14:paraId="7F9D89FC" w14:textId="77777777" w:rsidR="008F2269" w:rsidRPr="00F21087" w:rsidRDefault="008F2269" w:rsidP="002D1362">
            <w:pPr>
              <w:jc w:val="both"/>
              <w:rPr>
                <w:rFonts w:cstheme="minorHAnsi"/>
                <w:bCs/>
                <w:sz w:val="14"/>
                <w:szCs w:val="14"/>
              </w:rPr>
            </w:pPr>
          </w:p>
          <w:p w14:paraId="59C39449" w14:textId="77777777" w:rsidR="008F2269" w:rsidRPr="00F21087" w:rsidRDefault="008F2269" w:rsidP="002D1362">
            <w:pPr>
              <w:jc w:val="both"/>
              <w:rPr>
                <w:rFonts w:cstheme="minorHAnsi"/>
                <w:bCs/>
                <w:sz w:val="14"/>
                <w:szCs w:val="14"/>
              </w:rPr>
            </w:pPr>
          </w:p>
          <w:p w14:paraId="3F1CAB95" w14:textId="77777777" w:rsidR="008F2269" w:rsidRPr="00F21087" w:rsidRDefault="008F2269" w:rsidP="002D1362">
            <w:pPr>
              <w:jc w:val="both"/>
              <w:rPr>
                <w:rFonts w:cstheme="minorHAnsi"/>
                <w:bCs/>
                <w:sz w:val="14"/>
                <w:szCs w:val="14"/>
              </w:rPr>
            </w:pPr>
          </w:p>
          <w:p w14:paraId="49EF3EA8" w14:textId="77777777" w:rsidR="008F2269" w:rsidRPr="00F21087" w:rsidRDefault="008F2269" w:rsidP="002D1362">
            <w:pPr>
              <w:jc w:val="both"/>
              <w:rPr>
                <w:rFonts w:cstheme="minorHAnsi"/>
                <w:bCs/>
                <w:sz w:val="14"/>
                <w:szCs w:val="14"/>
              </w:rPr>
            </w:pPr>
          </w:p>
          <w:p w14:paraId="7A439077" w14:textId="77777777" w:rsidR="008F2269" w:rsidRPr="00F21087" w:rsidRDefault="008F2269" w:rsidP="002D1362">
            <w:pPr>
              <w:jc w:val="both"/>
              <w:rPr>
                <w:rFonts w:cstheme="minorHAnsi"/>
                <w:bCs/>
                <w:sz w:val="14"/>
                <w:szCs w:val="14"/>
              </w:rPr>
            </w:pPr>
          </w:p>
          <w:p w14:paraId="0D0A127B" w14:textId="77777777" w:rsidR="008F2269" w:rsidRPr="00F21087" w:rsidRDefault="008F2269" w:rsidP="002D1362">
            <w:pPr>
              <w:jc w:val="both"/>
              <w:rPr>
                <w:rFonts w:cstheme="minorHAnsi"/>
                <w:bCs/>
                <w:sz w:val="14"/>
                <w:szCs w:val="14"/>
              </w:rPr>
            </w:pPr>
          </w:p>
          <w:p w14:paraId="5673A5DD" w14:textId="77777777" w:rsidR="008F2269" w:rsidRPr="00F21087" w:rsidRDefault="008F2269" w:rsidP="002D1362">
            <w:pPr>
              <w:jc w:val="both"/>
              <w:rPr>
                <w:rFonts w:cstheme="minorHAnsi"/>
                <w:bCs/>
                <w:sz w:val="14"/>
                <w:szCs w:val="14"/>
              </w:rPr>
            </w:pPr>
          </w:p>
          <w:p w14:paraId="2DAEFD6E" w14:textId="77777777" w:rsidR="008F2269" w:rsidRPr="00F21087" w:rsidRDefault="008F2269" w:rsidP="002D1362">
            <w:pPr>
              <w:jc w:val="both"/>
              <w:rPr>
                <w:rFonts w:cstheme="minorHAnsi"/>
                <w:bCs/>
                <w:sz w:val="14"/>
                <w:szCs w:val="14"/>
              </w:rPr>
            </w:pPr>
          </w:p>
          <w:p w14:paraId="2D3D3F40" w14:textId="77777777" w:rsidR="008F2269" w:rsidRPr="00F21087" w:rsidRDefault="008F2269" w:rsidP="002D1362">
            <w:pPr>
              <w:jc w:val="both"/>
              <w:rPr>
                <w:rFonts w:cstheme="minorHAnsi"/>
                <w:bCs/>
                <w:sz w:val="14"/>
                <w:szCs w:val="14"/>
              </w:rPr>
            </w:pPr>
          </w:p>
          <w:p w14:paraId="21B04F5F" w14:textId="77777777" w:rsidR="008F2269" w:rsidRPr="00F21087" w:rsidRDefault="008F2269" w:rsidP="002D1362">
            <w:pPr>
              <w:jc w:val="both"/>
              <w:rPr>
                <w:rFonts w:cstheme="minorHAnsi"/>
                <w:bCs/>
                <w:sz w:val="14"/>
                <w:szCs w:val="14"/>
              </w:rPr>
            </w:pPr>
          </w:p>
          <w:p w14:paraId="03E1B02E" w14:textId="77777777" w:rsidR="008F2269" w:rsidRPr="00F21087" w:rsidRDefault="008F2269" w:rsidP="002D1362">
            <w:pPr>
              <w:jc w:val="both"/>
              <w:rPr>
                <w:rFonts w:cstheme="minorHAnsi"/>
                <w:bCs/>
                <w:sz w:val="14"/>
                <w:szCs w:val="14"/>
              </w:rPr>
            </w:pPr>
          </w:p>
          <w:p w14:paraId="04307ED3" w14:textId="77777777" w:rsidR="008F2269" w:rsidRPr="00F21087" w:rsidRDefault="008F2269" w:rsidP="002D1362">
            <w:pPr>
              <w:jc w:val="both"/>
              <w:rPr>
                <w:rFonts w:cstheme="minorHAnsi"/>
                <w:bCs/>
                <w:sz w:val="14"/>
                <w:szCs w:val="14"/>
              </w:rPr>
            </w:pPr>
          </w:p>
          <w:p w14:paraId="537E1B46" w14:textId="77777777" w:rsidR="008F2269" w:rsidRPr="00F21087" w:rsidRDefault="008F2269" w:rsidP="002D1362">
            <w:pPr>
              <w:jc w:val="both"/>
              <w:rPr>
                <w:rFonts w:cstheme="minorHAnsi"/>
                <w:bCs/>
                <w:sz w:val="14"/>
                <w:szCs w:val="14"/>
              </w:rPr>
            </w:pPr>
          </w:p>
          <w:p w14:paraId="27E9363B" w14:textId="77777777" w:rsidR="008F2269" w:rsidRPr="00F21087" w:rsidRDefault="008F2269" w:rsidP="002D1362">
            <w:pPr>
              <w:jc w:val="both"/>
              <w:rPr>
                <w:rFonts w:cstheme="minorHAnsi"/>
                <w:bCs/>
                <w:sz w:val="14"/>
                <w:szCs w:val="14"/>
              </w:rPr>
            </w:pPr>
          </w:p>
          <w:p w14:paraId="38D23B31" w14:textId="77777777" w:rsidR="008F2269" w:rsidRPr="00F21087" w:rsidRDefault="008F2269" w:rsidP="002D1362">
            <w:pPr>
              <w:jc w:val="both"/>
              <w:rPr>
                <w:rFonts w:cstheme="minorHAnsi"/>
                <w:bCs/>
                <w:sz w:val="14"/>
                <w:szCs w:val="14"/>
              </w:rPr>
            </w:pPr>
          </w:p>
          <w:p w14:paraId="7435A4C2" w14:textId="77777777" w:rsidR="008F2269" w:rsidRPr="00F21087" w:rsidRDefault="008F2269" w:rsidP="002D1362">
            <w:pPr>
              <w:jc w:val="both"/>
              <w:rPr>
                <w:rFonts w:cstheme="minorHAnsi"/>
                <w:bCs/>
                <w:sz w:val="14"/>
                <w:szCs w:val="14"/>
              </w:rPr>
            </w:pPr>
          </w:p>
          <w:p w14:paraId="48FE9E23" w14:textId="77777777" w:rsidR="008F2269" w:rsidRPr="00F21087" w:rsidRDefault="008F2269" w:rsidP="002D1362">
            <w:pPr>
              <w:jc w:val="both"/>
              <w:rPr>
                <w:rFonts w:cstheme="minorHAnsi"/>
                <w:bCs/>
                <w:sz w:val="14"/>
                <w:szCs w:val="14"/>
              </w:rPr>
            </w:pPr>
          </w:p>
          <w:p w14:paraId="6B0581B3" w14:textId="77777777" w:rsidR="008F2269" w:rsidRPr="00F21087" w:rsidRDefault="008F2269" w:rsidP="002D1362">
            <w:pPr>
              <w:jc w:val="both"/>
              <w:rPr>
                <w:rFonts w:cstheme="minorHAnsi"/>
                <w:bCs/>
                <w:sz w:val="14"/>
                <w:szCs w:val="14"/>
              </w:rPr>
            </w:pPr>
          </w:p>
          <w:p w14:paraId="4D4D99D3" w14:textId="77777777" w:rsidR="008F2269" w:rsidRPr="00F21087" w:rsidRDefault="008F2269" w:rsidP="002D1362">
            <w:pPr>
              <w:jc w:val="both"/>
              <w:rPr>
                <w:rFonts w:cstheme="minorHAnsi"/>
                <w:bCs/>
                <w:sz w:val="14"/>
                <w:szCs w:val="14"/>
              </w:rPr>
            </w:pPr>
          </w:p>
          <w:p w14:paraId="35131FC6" w14:textId="77777777" w:rsidR="008F2269" w:rsidRPr="00F21087" w:rsidRDefault="008F2269" w:rsidP="002D1362">
            <w:pPr>
              <w:jc w:val="both"/>
              <w:rPr>
                <w:rFonts w:cstheme="minorHAnsi"/>
                <w:bCs/>
                <w:sz w:val="14"/>
                <w:szCs w:val="14"/>
              </w:rPr>
            </w:pPr>
          </w:p>
          <w:p w14:paraId="39B6CCE4" w14:textId="77777777" w:rsidR="008F2269" w:rsidRPr="00F21087" w:rsidRDefault="008F2269" w:rsidP="002D1362">
            <w:pPr>
              <w:jc w:val="both"/>
              <w:rPr>
                <w:rFonts w:cstheme="minorHAnsi"/>
                <w:bCs/>
                <w:sz w:val="14"/>
                <w:szCs w:val="14"/>
              </w:rPr>
            </w:pPr>
          </w:p>
          <w:p w14:paraId="34DF1820" w14:textId="77777777" w:rsidR="008F2269" w:rsidRPr="00F21087" w:rsidRDefault="008F2269" w:rsidP="002D1362">
            <w:pPr>
              <w:jc w:val="both"/>
              <w:rPr>
                <w:rFonts w:cstheme="minorHAnsi"/>
                <w:bCs/>
                <w:sz w:val="14"/>
                <w:szCs w:val="14"/>
              </w:rPr>
            </w:pPr>
          </w:p>
          <w:p w14:paraId="6DAD6089" w14:textId="77777777" w:rsidR="008F2269" w:rsidRPr="00F21087" w:rsidRDefault="008F2269" w:rsidP="002D1362">
            <w:pPr>
              <w:jc w:val="both"/>
              <w:rPr>
                <w:rFonts w:cstheme="minorHAnsi"/>
                <w:bCs/>
                <w:sz w:val="14"/>
                <w:szCs w:val="14"/>
              </w:rPr>
            </w:pPr>
          </w:p>
          <w:p w14:paraId="2F5D4A9A" w14:textId="77777777" w:rsidR="008F2269" w:rsidRPr="00F21087" w:rsidRDefault="008F2269" w:rsidP="002D1362">
            <w:pPr>
              <w:jc w:val="both"/>
              <w:rPr>
                <w:rFonts w:cstheme="minorHAnsi"/>
                <w:bCs/>
                <w:sz w:val="14"/>
                <w:szCs w:val="14"/>
              </w:rPr>
            </w:pPr>
          </w:p>
          <w:p w14:paraId="2903BFE7" w14:textId="77777777" w:rsidR="008F2269" w:rsidRPr="00F21087" w:rsidRDefault="008F2269" w:rsidP="002D1362">
            <w:pPr>
              <w:jc w:val="both"/>
              <w:rPr>
                <w:rFonts w:cstheme="minorHAnsi"/>
                <w:bCs/>
                <w:sz w:val="14"/>
                <w:szCs w:val="14"/>
              </w:rPr>
            </w:pPr>
          </w:p>
          <w:p w14:paraId="0FE5BF1D" w14:textId="77777777" w:rsidR="008F2269" w:rsidRPr="00F21087" w:rsidRDefault="008F2269" w:rsidP="002D1362">
            <w:pPr>
              <w:jc w:val="both"/>
              <w:rPr>
                <w:rFonts w:cstheme="minorHAnsi"/>
                <w:bCs/>
                <w:sz w:val="14"/>
                <w:szCs w:val="14"/>
              </w:rPr>
            </w:pPr>
          </w:p>
          <w:p w14:paraId="7BE165DE" w14:textId="77777777" w:rsidR="008F2269" w:rsidRPr="00F21087" w:rsidRDefault="008F2269" w:rsidP="002D1362">
            <w:pPr>
              <w:jc w:val="both"/>
              <w:rPr>
                <w:rFonts w:cstheme="minorHAnsi"/>
                <w:bCs/>
                <w:sz w:val="14"/>
                <w:szCs w:val="14"/>
              </w:rPr>
            </w:pPr>
          </w:p>
          <w:p w14:paraId="110DE78B" w14:textId="77777777" w:rsidR="008F2269" w:rsidRPr="00F21087" w:rsidRDefault="008F2269" w:rsidP="002D1362">
            <w:pPr>
              <w:jc w:val="both"/>
              <w:rPr>
                <w:rFonts w:cstheme="minorHAnsi"/>
                <w:bCs/>
                <w:sz w:val="14"/>
                <w:szCs w:val="14"/>
              </w:rPr>
            </w:pPr>
          </w:p>
          <w:p w14:paraId="5D787691" w14:textId="77777777" w:rsidR="008F2269" w:rsidRPr="00F21087" w:rsidRDefault="008F2269" w:rsidP="002D1362">
            <w:pPr>
              <w:jc w:val="both"/>
              <w:rPr>
                <w:rFonts w:cstheme="minorHAnsi"/>
                <w:bCs/>
                <w:sz w:val="14"/>
                <w:szCs w:val="14"/>
              </w:rPr>
            </w:pPr>
          </w:p>
        </w:tc>
        <w:tc>
          <w:tcPr>
            <w:tcW w:w="3402" w:type="dxa"/>
            <w:vAlign w:val="center"/>
          </w:tcPr>
          <w:p w14:paraId="716985EB" w14:textId="77777777" w:rsidR="008F2269" w:rsidRPr="00F21087" w:rsidRDefault="008F2269" w:rsidP="002D1362">
            <w:pPr>
              <w:autoSpaceDE w:val="0"/>
              <w:adjustRightInd w:val="0"/>
              <w:jc w:val="both"/>
              <w:rPr>
                <w:rFonts w:cstheme="minorHAnsi"/>
                <w:sz w:val="14"/>
                <w:szCs w:val="14"/>
              </w:rPr>
            </w:pPr>
          </w:p>
          <w:p w14:paraId="78438220"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bCs/>
                <w:iCs/>
                <w:sz w:val="14"/>
                <w:szCs w:val="14"/>
              </w:rPr>
            </w:pPr>
            <w:r w:rsidRPr="00F21087">
              <w:rPr>
                <w:rFonts w:cstheme="minorHAnsi"/>
                <w:bCs/>
                <w:iCs/>
                <w:sz w:val="14"/>
                <w:szCs w:val="14"/>
              </w:rPr>
              <w:t xml:space="preserve">Réhabiliter, densifier, moderniser et assurer la maintenance du réseau d’observation météorologique et de télécommunication. </w:t>
            </w:r>
          </w:p>
          <w:p w14:paraId="50E40C45"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bCs/>
                <w:iCs/>
                <w:sz w:val="14"/>
                <w:szCs w:val="14"/>
              </w:rPr>
              <w:t>Acquérir et installer des nouvelles stations hydrologiques, des pluviomètres automatiques et piézomètres et assurer leur suivi et maintenance.</w:t>
            </w:r>
            <w:r w:rsidRPr="00F21087">
              <w:rPr>
                <w:rFonts w:cstheme="minorHAnsi"/>
                <w:sz w:val="14"/>
                <w:szCs w:val="14"/>
              </w:rPr>
              <w:t xml:space="preserve"> </w:t>
            </w:r>
          </w:p>
          <w:p w14:paraId="57B79CA4"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bCs/>
                <w:iCs/>
                <w:sz w:val="14"/>
                <w:szCs w:val="14"/>
              </w:rPr>
              <w:t>Acquérir et installer des moyens de communication performants reliant les wilayas du pays et le centre météo au COVAC de NKC</w:t>
            </w:r>
            <w:r w:rsidRPr="00F21087">
              <w:rPr>
                <w:rFonts w:cstheme="minorHAnsi"/>
                <w:sz w:val="14"/>
                <w:szCs w:val="14"/>
              </w:rPr>
              <w:t>.</w:t>
            </w:r>
          </w:p>
          <w:p w14:paraId="3A0116CC"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bCs/>
                <w:iCs/>
                <w:sz w:val="14"/>
                <w:szCs w:val="14"/>
              </w:rPr>
              <w:t>Prendre en charge l’application smartphone (</w:t>
            </w:r>
            <w:proofErr w:type="spellStart"/>
            <w:r w:rsidRPr="00F21087">
              <w:rPr>
                <w:rFonts w:cstheme="minorHAnsi"/>
                <w:bCs/>
                <w:iCs/>
                <w:sz w:val="14"/>
                <w:szCs w:val="14"/>
              </w:rPr>
              <w:t>signalert</w:t>
            </w:r>
            <w:proofErr w:type="spellEnd"/>
            <w:r w:rsidRPr="00F21087">
              <w:rPr>
                <w:rFonts w:cstheme="minorHAnsi"/>
                <w:bCs/>
                <w:iCs/>
                <w:sz w:val="14"/>
                <w:szCs w:val="14"/>
              </w:rPr>
              <w:t xml:space="preserve">) pour renforcer le COVAC </w:t>
            </w:r>
          </w:p>
          <w:p w14:paraId="56D45411"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 xml:space="preserve">Compléter l’effectif technique nécessaire pour le bon fonctionnement des stations météorologiques et du centre de collecte et de traitement des données de l’ONM.  </w:t>
            </w:r>
          </w:p>
          <w:p w14:paraId="2AAA06B7"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Compléter l’effectif technique nécessaire pour le bon fonctionnement de la direction de l’hydrologie.</w:t>
            </w:r>
          </w:p>
          <w:p w14:paraId="57D05B98"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 xml:space="preserve"> Assurer la formation du personnel de la délégation DGSCGC à travers des simulations de gestion des risques.</w:t>
            </w:r>
          </w:p>
          <w:p w14:paraId="6F56AA23"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Acquérir et installer un radar météorologique pour anticiper l’occurrence des fortes pluies.</w:t>
            </w:r>
          </w:p>
          <w:p w14:paraId="6AC9EB56"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Elaborer et mettre en œuvre un cadre national de relèvement rapide et de reconstruction.</w:t>
            </w:r>
          </w:p>
          <w:p w14:paraId="5F562E5D"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Opérationnaliser et Institutionnaliser le système d’alerte précoce des risques climatiques et catastrophes.</w:t>
            </w:r>
          </w:p>
          <w:p w14:paraId="083D83D3" w14:textId="77777777" w:rsidR="008F2269" w:rsidRPr="00F21087" w:rsidRDefault="008F2269" w:rsidP="002D1362">
            <w:pPr>
              <w:pStyle w:val="Default"/>
              <w:contextualSpacing/>
              <w:rPr>
                <w:rFonts w:asciiTheme="minorHAnsi" w:hAnsiTheme="minorHAnsi" w:cstheme="minorHAnsi"/>
                <w:color w:val="auto"/>
                <w:sz w:val="14"/>
                <w:szCs w:val="14"/>
              </w:rPr>
            </w:pPr>
            <w:r w:rsidRPr="00F21087">
              <w:rPr>
                <w:rFonts w:asciiTheme="minorHAnsi" w:hAnsiTheme="minorHAnsi" w:cstheme="minorHAnsi"/>
                <w:color w:val="auto"/>
                <w:sz w:val="14"/>
                <w:szCs w:val="14"/>
              </w:rPr>
              <w:t>.</w:t>
            </w:r>
          </w:p>
          <w:p w14:paraId="3AF6E78E" w14:textId="77777777" w:rsidR="008F2269" w:rsidRPr="00F21087" w:rsidRDefault="008F2269" w:rsidP="002D1362">
            <w:pPr>
              <w:autoSpaceDE w:val="0"/>
              <w:adjustRightInd w:val="0"/>
              <w:jc w:val="both"/>
              <w:rPr>
                <w:rFonts w:cstheme="minorHAnsi"/>
                <w:sz w:val="14"/>
                <w:szCs w:val="14"/>
              </w:rPr>
            </w:pPr>
          </w:p>
          <w:p w14:paraId="2D1E0B61"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 xml:space="preserve">Elaborer et diffuser des guides à l’intention des décideurs pour internaliser les enjeux de la RRC. </w:t>
            </w:r>
          </w:p>
          <w:p w14:paraId="74A74514"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Renforcer les capacités nationales pour l’intégration du risque climatique dans les stratégies sectorielles, plans de développement et les processus de budgétisation (y compris les Régions, les Communes, le secteur privé et la société civile).</w:t>
            </w:r>
          </w:p>
          <w:p w14:paraId="5011FCFC"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 xml:space="preserve">Appuyer la prise en compte de la dimension RRC dans les politiques, stratégies et plans sectoriels. </w:t>
            </w:r>
          </w:p>
        </w:tc>
        <w:tc>
          <w:tcPr>
            <w:tcW w:w="5387" w:type="dxa"/>
            <w:vAlign w:val="center"/>
          </w:tcPr>
          <w:p w14:paraId="5D233EF7" w14:textId="77777777" w:rsidR="008F2269" w:rsidRPr="00F21087" w:rsidRDefault="008F2269" w:rsidP="008F2269">
            <w:pPr>
              <w:pStyle w:val="Paragraphedeliste"/>
              <w:numPr>
                <w:ilvl w:val="0"/>
                <w:numId w:val="123"/>
              </w:numPr>
              <w:suppressAutoHyphens/>
              <w:autoSpaceDN w:val="0"/>
              <w:jc w:val="both"/>
              <w:textAlignment w:val="baseline"/>
              <w:rPr>
                <w:rFonts w:eastAsia="Times New Roman" w:cstheme="minorHAnsi"/>
                <w:sz w:val="14"/>
                <w:szCs w:val="14"/>
              </w:rPr>
            </w:pPr>
            <w:r w:rsidRPr="00F21087">
              <w:rPr>
                <w:rFonts w:eastAsia="Times New Roman" w:cstheme="minorHAnsi"/>
                <w:sz w:val="14"/>
                <w:szCs w:val="14"/>
              </w:rPr>
              <w:t>15 stations synoptiques réhabilitées et modernisées, 10 stations synoptiques créées, 30 stations agro-météorologiques et 05 stations maritimes créées, 150 pluviomètres automatiques installés, 60 stations toutes sortes régulièrement suivies et maintenues communiquent les données au centre de NKC.</w:t>
            </w:r>
            <w:r w:rsidRPr="00F21087">
              <w:rPr>
                <w:rFonts w:cstheme="minorHAnsi"/>
                <w:sz w:val="14"/>
                <w:szCs w:val="14"/>
              </w:rPr>
              <w:t xml:space="preserve"> Pas de montant.</w:t>
            </w:r>
          </w:p>
          <w:p w14:paraId="2C336764" w14:textId="77777777" w:rsidR="008F2269" w:rsidRPr="00F21087" w:rsidRDefault="008F2269" w:rsidP="008F2269">
            <w:pPr>
              <w:pStyle w:val="Paragraphedeliste"/>
              <w:numPr>
                <w:ilvl w:val="0"/>
                <w:numId w:val="123"/>
              </w:numPr>
              <w:suppressAutoHyphens/>
              <w:autoSpaceDN w:val="0"/>
              <w:jc w:val="both"/>
              <w:textAlignment w:val="baseline"/>
              <w:rPr>
                <w:rFonts w:eastAsia="Times New Roman" w:cstheme="minorHAnsi"/>
                <w:sz w:val="14"/>
                <w:szCs w:val="14"/>
              </w:rPr>
            </w:pPr>
            <w:r w:rsidRPr="00F21087">
              <w:rPr>
                <w:rFonts w:eastAsia="Times New Roman" w:cstheme="minorHAnsi"/>
                <w:sz w:val="14"/>
                <w:szCs w:val="14"/>
              </w:rPr>
              <w:t>80 stations hydrologiques fonctionnelles installées sur l’ensemble du territoire, 150 pluviomètres automatiques installés, 80 stations hydrologiques régulièrement suivies et maintenues communiquent les données à centre hydrologique de NKC ; 200 piézomètres installés et fonctionnels.</w:t>
            </w:r>
            <w:r w:rsidRPr="00F21087">
              <w:rPr>
                <w:rFonts w:cstheme="minorHAnsi"/>
                <w:sz w:val="14"/>
                <w:szCs w:val="14"/>
              </w:rPr>
              <w:t xml:space="preserve"> Pas de montant.</w:t>
            </w:r>
          </w:p>
          <w:p w14:paraId="4B12431D" w14:textId="77777777" w:rsidR="008F2269" w:rsidRPr="00F21087" w:rsidRDefault="008F2269" w:rsidP="008F2269">
            <w:pPr>
              <w:pStyle w:val="Paragraphedeliste"/>
              <w:numPr>
                <w:ilvl w:val="0"/>
                <w:numId w:val="123"/>
              </w:numPr>
              <w:suppressAutoHyphens/>
              <w:autoSpaceDN w:val="0"/>
              <w:jc w:val="both"/>
              <w:textAlignment w:val="baseline"/>
              <w:rPr>
                <w:rFonts w:cstheme="minorHAnsi"/>
                <w:bCs/>
                <w:sz w:val="14"/>
                <w:szCs w:val="14"/>
              </w:rPr>
            </w:pPr>
            <w:r w:rsidRPr="00F21087">
              <w:rPr>
                <w:rFonts w:eastAsia="Times New Roman" w:cstheme="minorHAnsi"/>
                <w:sz w:val="14"/>
                <w:szCs w:val="14"/>
              </w:rPr>
              <w:t>13 wilayas connectées au centre de COVAC de NKC.</w:t>
            </w:r>
            <w:r w:rsidRPr="00F21087">
              <w:rPr>
                <w:rFonts w:cstheme="minorHAnsi"/>
                <w:sz w:val="14"/>
                <w:szCs w:val="14"/>
              </w:rPr>
              <w:t xml:space="preserve"> Pas de montant.</w:t>
            </w:r>
          </w:p>
          <w:p w14:paraId="16A59CEF" w14:textId="77777777" w:rsidR="008F2269" w:rsidRPr="00F21087" w:rsidRDefault="008F2269" w:rsidP="008F2269">
            <w:pPr>
              <w:pStyle w:val="Paragraphedeliste"/>
              <w:numPr>
                <w:ilvl w:val="0"/>
                <w:numId w:val="123"/>
              </w:numPr>
              <w:suppressAutoHyphens/>
              <w:autoSpaceDN w:val="0"/>
              <w:jc w:val="both"/>
              <w:textAlignment w:val="baseline"/>
              <w:rPr>
                <w:rFonts w:cstheme="minorHAnsi"/>
                <w:bCs/>
                <w:sz w:val="14"/>
                <w:szCs w:val="14"/>
              </w:rPr>
            </w:pPr>
            <w:r w:rsidRPr="00F21087">
              <w:rPr>
                <w:rFonts w:eastAsia="Times New Roman" w:cstheme="minorHAnsi"/>
                <w:sz w:val="14"/>
                <w:szCs w:val="14"/>
              </w:rPr>
              <w:t>Application smartphone opérationnelle.</w:t>
            </w:r>
            <w:r w:rsidRPr="00F21087">
              <w:rPr>
                <w:rFonts w:cstheme="minorHAnsi"/>
                <w:sz w:val="14"/>
                <w:szCs w:val="14"/>
              </w:rPr>
              <w:t xml:space="preserve"> Pas de montant.</w:t>
            </w:r>
          </w:p>
          <w:p w14:paraId="6A8237CA" w14:textId="77777777" w:rsidR="008F2269" w:rsidRPr="00F21087" w:rsidRDefault="008F2269" w:rsidP="008F2269">
            <w:pPr>
              <w:pStyle w:val="Paragraphedeliste"/>
              <w:numPr>
                <w:ilvl w:val="0"/>
                <w:numId w:val="123"/>
              </w:numPr>
              <w:suppressAutoHyphens/>
              <w:autoSpaceDN w:val="0"/>
              <w:jc w:val="both"/>
              <w:textAlignment w:val="baseline"/>
              <w:rPr>
                <w:rFonts w:cstheme="minorHAnsi"/>
                <w:bCs/>
                <w:sz w:val="14"/>
                <w:szCs w:val="14"/>
              </w:rPr>
            </w:pPr>
            <w:r w:rsidRPr="00F21087">
              <w:rPr>
                <w:rFonts w:eastAsia="Times New Roman" w:cstheme="minorHAnsi"/>
                <w:sz w:val="14"/>
                <w:szCs w:val="14"/>
              </w:rPr>
              <w:t>120 observateurs, 10 ingénieurs météorologues, 5 ingénieurs agro-météorologues, 20 techniciens météorologues, 32 techniciens agro-météorologues, 10 climatologues, 5 techniciens de maintenance, sont recrutés par l’ONM.</w:t>
            </w:r>
            <w:r w:rsidRPr="00F21087">
              <w:rPr>
                <w:rFonts w:cstheme="minorHAnsi"/>
                <w:sz w:val="14"/>
                <w:szCs w:val="14"/>
              </w:rPr>
              <w:t xml:space="preserve"> Pas de montant.</w:t>
            </w:r>
          </w:p>
          <w:p w14:paraId="20A33EB7" w14:textId="77777777" w:rsidR="008F2269" w:rsidRPr="00F21087" w:rsidRDefault="008F2269" w:rsidP="008F2269">
            <w:pPr>
              <w:pStyle w:val="Paragraphedeliste"/>
              <w:numPr>
                <w:ilvl w:val="0"/>
                <w:numId w:val="123"/>
              </w:numPr>
              <w:suppressAutoHyphens/>
              <w:autoSpaceDN w:val="0"/>
              <w:jc w:val="both"/>
              <w:textAlignment w:val="baseline"/>
              <w:rPr>
                <w:rFonts w:cstheme="minorHAnsi"/>
                <w:bCs/>
                <w:sz w:val="14"/>
                <w:szCs w:val="14"/>
              </w:rPr>
            </w:pPr>
            <w:r w:rsidRPr="00F21087">
              <w:rPr>
                <w:rFonts w:eastAsia="Times New Roman" w:cstheme="minorHAnsi"/>
                <w:sz w:val="14"/>
                <w:szCs w:val="14"/>
                <w:lang w:val="fr-CA"/>
              </w:rPr>
              <w:t>10 ingénieurs, 20 techniciens hydrologues, 5techniciens de maintenance sont recrutés par la direction de l’hydrologie.</w:t>
            </w:r>
            <w:r w:rsidRPr="00F21087">
              <w:rPr>
                <w:rFonts w:cstheme="minorHAnsi"/>
                <w:sz w:val="14"/>
                <w:szCs w:val="14"/>
              </w:rPr>
              <w:t xml:space="preserve"> Pas de montant.</w:t>
            </w:r>
          </w:p>
          <w:p w14:paraId="31A9AF66" w14:textId="77777777" w:rsidR="008F2269" w:rsidRPr="00F21087" w:rsidRDefault="008F2269" w:rsidP="008F2269">
            <w:pPr>
              <w:pStyle w:val="Paragraphedeliste"/>
              <w:numPr>
                <w:ilvl w:val="0"/>
                <w:numId w:val="123"/>
              </w:numPr>
              <w:suppressAutoHyphens/>
              <w:autoSpaceDN w:val="0"/>
              <w:jc w:val="both"/>
              <w:textAlignment w:val="baseline"/>
              <w:rPr>
                <w:rFonts w:cstheme="minorHAnsi"/>
                <w:bCs/>
                <w:sz w:val="14"/>
                <w:szCs w:val="14"/>
              </w:rPr>
            </w:pPr>
            <w:r w:rsidRPr="00F21087">
              <w:rPr>
                <w:rFonts w:eastAsia="Times New Roman" w:cstheme="minorHAnsi"/>
                <w:sz w:val="14"/>
                <w:szCs w:val="14"/>
                <w:lang w:val="fr-CA"/>
              </w:rPr>
              <w:t>Nombre de simulation réalisée par an.</w:t>
            </w:r>
          </w:p>
          <w:p w14:paraId="55BAA961" w14:textId="77777777" w:rsidR="008F2269" w:rsidRPr="00F21087" w:rsidRDefault="008F2269" w:rsidP="008F2269">
            <w:pPr>
              <w:pStyle w:val="Paragraphedeliste"/>
              <w:numPr>
                <w:ilvl w:val="0"/>
                <w:numId w:val="123"/>
              </w:numPr>
              <w:suppressAutoHyphens/>
              <w:autoSpaceDN w:val="0"/>
              <w:jc w:val="both"/>
              <w:textAlignment w:val="baseline"/>
              <w:rPr>
                <w:rFonts w:cstheme="minorHAnsi"/>
                <w:bCs/>
                <w:sz w:val="14"/>
                <w:szCs w:val="14"/>
              </w:rPr>
            </w:pPr>
            <w:r w:rsidRPr="00F21087">
              <w:rPr>
                <w:rFonts w:eastAsia="Times New Roman" w:cstheme="minorHAnsi"/>
                <w:sz w:val="14"/>
                <w:szCs w:val="14"/>
              </w:rPr>
              <w:t>1 radar installé et fonctionnel.</w:t>
            </w:r>
            <w:r w:rsidRPr="00F21087">
              <w:rPr>
                <w:rFonts w:cstheme="minorHAnsi"/>
                <w:sz w:val="14"/>
                <w:szCs w:val="14"/>
              </w:rPr>
              <w:t xml:space="preserve"> Pas de montant. Pas de montant.</w:t>
            </w:r>
          </w:p>
          <w:p w14:paraId="7500D975" w14:textId="77777777" w:rsidR="008F2269" w:rsidRPr="00F21087" w:rsidRDefault="008F2269" w:rsidP="008F2269">
            <w:pPr>
              <w:pStyle w:val="Paragraphedeliste"/>
              <w:numPr>
                <w:ilvl w:val="0"/>
                <w:numId w:val="123"/>
              </w:numPr>
              <w:suppressAutoHyphens/>
              <w:autoSpaceDN w:val="0"/>
              <w:jc w:val="both"/>
              <w:textAlignment w:val="baseline"/>
              <w:rPr>
                <w:rFonts w:cstheme="minorHAnsi"/>
                <w:bCs/>
                <w:sz w:val="14"/>
                <w:szCs w:val="14"/>
              </w:rPr>
            </w:pPr>
            <w:r w:rsidRPr="00F21087">
              <w:rPr>
                <w:rFonts w:cstheme="minorHAnsi"/>
                <w:sz w:val="14"/>
                <w:szCs w:val="14"/>
              </w:rPr>
              <w:t>Cadre national de relèvement élaboré et fonctionnel. Pas de montant.</w:t>
            </w:r>
          </w:p>
          <w:p w14:paraId="3CA35AEF" w14:textId="77777777" w:rsidR="008F2269" w:rsidRPr="00F21087" w:rsidRDefault="008F2269" w:rsidP="008F2269">
            <w:pPr>
              <w:pStyle w:val="Paragraphedeliste"/>
              <w:numPr>
                <w:ilvl w:val="0"/>
                <w:numId w:val="123"/>
              </w:numPr>
              <w:suppressAutoHyphens/>
              <w:autoSpaceDN w:val="0"/>
              <w:jc w:val="both"/>
              <w:textAlignment w:val="baseline"/>
              <w:rPr>
                <w:rFonts w:cstheme="minorHAnsi"/>
                <w:bCs/>
                <w:sz w:val="14"/>
                <w:szCs w:val="14"/>
              </w:rPr>
            </w:pPr>
            <w:r w:rsidRPr="00F21087">
              <w:rPr>
                <w:rFonts w:cstheme="minorHAnsi"/>
                <w:sz w:val="14"/>
                <w:szCs w:val="14"/>
              </w:rPr>
              <w:t>. Rapport d’état des lieux du dispositif d’alerte précoce</w:t>
            </w:r>
          </w:p>
          <w:p w14:paraId="61E45F5C" w14:textId="77777777" w:rsidR="008F2269" w:rsidRPr="00F21087" w:rsidRDefault="008F2269" w:rsidP="008F2269">
            <w:pPr>
              <w:pStyle w:val="Paragraphedeliste"/>
              <w:numPr>
                <w:ilvl w:val="0"/>
                <w:numId w:val="123"/>
              </w:numPr>
              <w:suppressAutoHyphens/>
              <w:autoSpaceDN w:val="0"/>
              <w:jc w:val="both"/>
              <w:textAlignment w:val="baseline"/>
              <w:rPr>
                <w:rFonts w:cstheme="minorHAnsi"/>
                <w:bCs/>
                <w:sz w:val="14"/>
                <w:szCs w:val="14"/>
              </w:rPr>
            </w:pPr>
            <w:r w:rsidRPr="00F21087">
              <w:rPr>
                <w:rFonts w:cstheme="minorHAnsi"/>
                <w:sz w:val="14"/>
                <w:szCs w:val="14"/>
              </w:rPr>
              <w:t>Mécanismes de coordination renforcés. Pas de montant.</w:t>
            </w:r>
          </w:p>
          <w:p w14:paraId="112B32C7" w14:textId="77777777" w:rsidR="008F2269" w:rsidRPr="00F21087" w:rsidRDefault="008F2269" w:rsidP="008F2269">
            <w:pPr>
              <w:pStyle w:val="Paragraphedeliste"/>
              <w:numPr>
                <w:ilvl w:val="0"/>
                <w:numId w:val="123"/>
              </w:numPr>
              <w:suppressAutoHyphens/>
              <w:autoSpaceDN w:val="0"/>
              <w:jc w:val="both"/>
              <w:textAlignment w:val="baseline"/>
              <w:rPr>
                <w:rFonts w:cstheme="minorHAnsi"/>
                <w:bCs/>
                <w:sz w:val="14"/>
                <w:szCs w:val="14"/>
              </w:rPr>
            </w:pPr>
            <w:r w:rsidRPr="00F21087">
              <w:rPr>
                <w:rFonts w:cstheme="minorHAnsi"/>
                <w:sz w:val="14"/>
                <w:szCs w:val="14"/>
              </w:rPr>
              <w:t>Messages d’alerte précoce diffusés à travers des médias adaptés aux différents usagers (décideurs et communautés). Pas de montant.</w:t>
            </w:r>
          </w:p>
        </w:tc>
        <w:tc>
          <w:tcPr>
            <w:tcW w:w="2556" w:type="dxa"/>
          </w:tcPr>
          <w:p w14:paraId="4147B46A" w14:textId="77777777" w:rsidR="008F2269" w:rsidRPr="00F21087" w:rsidRDefault="008F2269" w:rsidP="002D1362">
            <w:pPr>
              <w:rPr>
                <w:sz w:val="16"/>
                <w:szCs w:val="16"/>
              </w:rPr>
            </w:pPr>
            <w:r w:rsidRPr="00F21087">
              <w:rPr>
                <w:rFonts w:cstheme="minorHAnsi"/>
                <w:b/>
                <w:sz w:val="14"/>
                <w:szCs w:val="14"/>
              </w:rPr>
              <w:t xml:space="preserve"> </w:t>
            </w:r>
            <w:r>
              <w:rPr>
                <w:rFonts w:cstheme="minorHAnsi"/>
                <w:sz w:val="14"/>
                <w:szCs w:val="14"/>
              </w:rPr>
              <w:t>Le PNPRC n’est budgétisé.</w:t>
            </w:r>
          </w:p>
        </w:tc>
      </w:tr>
      <w:tr w:rsidR="008F2269" w:rsidRPr="00F21087" w14:paraId="109B0142" w14:textId="77777777" w:rsidTr="002D1362">
        <w:trPr>
          <w:trHeight w:val="85"/>
        </w:trPr>
        <w:tc>
          <w:tcPr>
            <w:tcW w:w="2830" w:type="dxa"/>
            <w:shd w:val="clear" w:color="auto" w:fill="C5E0B3" w:themeFill="accent6" w:themeFillTint="66"/>
            <w:vAlign w:val="center"/>
          </w:tcPr>
          <w:p w14:paraId="35EAA4C6" w14:textId="77777777" w:rsidR="008F2269" w:rsidRPr="00F21087" w:rsidRDefault="008F2269" w:rsidP="002D1362">
            <w:pPr>
              <w:jc w:val="both"/>
              <w:rPr>
                <w:rFonts w:cstheme="minorHAnsi"/>
                <w:bCs/>
                <w:sz w:val="14"/>
                <w:szCs w:val="14"/>
              </w:rPr>
            </w:pPr>
            <w:r w:rsidRPr="00F21087">
              <w:rPr>
                <w:rFonts w:cstheme="minorHAnsi"/>
                <w:bCs/>
                <w:sz w:val="14"/>
                <w:szCs w:val="14"/>
              </w:rPr>
              <w:t xml:space="preserve">Résultat 4.2 :  </w:t>
            </w:r>
          </w:p>
          <w:p w14:paraId="05BFFF19" w14:textId="77777777" w:rsidR="008F2269" w:rsidRPr="00F21087" w:rsidRDefault="008F2269" w:rsidP="002D1362">
            <w:pPr>
              <w:jc w:val="both"/>
              <w:rPr>
                <w:rFonts w:cstheme="minorHAnsi"/>
                <w:sz w:val="14"/>
                <w:szCs w:val="14"/>
              </w:rPr>
            </w:pPr>
            <w:r w:rsidRPr="00F21087">
              <w:rPr>
                <w:rFonts w:cstheme="minorHAnsi"/>
                <w:bCs/>
                <w:sz w:val="14"/>
                <w:szCs w:val="14"/>
              </w:rPr>
              <w:t xml:space="preserve"> </w:t>
            </w:r>
            <w:r w:rsidRPr="00F21087">
              <w:rPr>
                <w:rFonts w:cstheme="minorHAnsi"/>
                <w:sz w:val="14"/>
                <w:szCs w:val="14"/>
              </w:rPr>
              <w:t xml:space="preserve"> </w:t>
            </w:r>
          </w:p>
          <w:p w14:paraId="31AA1A48" w14:textId="77777777" w:rsidR="008F2269" w:rsidRPr="00F21087" w:rsidRDefault="008F2269" w:rsidP="002D1362">
            <w:pPr>
              <w:jc w:val="both"/>
              <w:rPr>
                <w:rFonts w:cstheme="minorHAnsi"/>
                <w:sz w:val="14"/>
                <w:szCs w:val="14"/>
              </w:rPr>
            </w:pPr>
            <w:r w:rsidRPr="00F21087">
              <w:rPr>
                <w:rFonts w:cstheme="minorHAnsi"/>
                <w:sz w:val="14"/>
                <w:szCs w:val="14"/>
              </w:rPr>
              <w:t>L’implication des volontaires et des ONGs pour les interventions d’urgence et de relèvement est régularisée au sein du PNPRC</w:t>
            </w:r>
          </w:p>
          <w:p w14:paraId="65BEF879" w14:textId="77777777" w:rsidR="008F2269" w:rsidRPr="00F21087" w:rsidRDefault="008F2269" w:rsidP="002D1362">
            <w:pPr>
              <w:jc w:val="both"/>
              <w:rPr>
                <w:rFonts w:cstheme="minorHAnsi"/>
                <w:sz w:val="14"/>
                <w:szCs w:val="14"/>
              </w:rPr>
            </w:pPr>
          </w:p>
          <w:p w14:paraId="6A4F1C43" w14:textId="77777777" w:rsidR="008F2269" w:rsidRPr="00F21087" w:rsidRDefault="008F2269" w:rsidP="002D1362">
            <w:pPr>
              <w:jc w:val="both"/>
              <w:rPr>
                <w:rFonts w:cstheme="minorHAnsi"/>
                <w:sz w:val="14"/>
                <w:szCs w:val="14"/>
              </w:rPr>
            </w:pPr>
          </w:p>
          <w:p w14:paraId="77FC1C2A" w14:textId="77777777" w:rsidR="008F2269" w:rsidRPr="00F21087" w:rsidRDefault="008F2269" w:rsidP="002D1362">
            <w:pPr>
              <w:jc w:val="both"/>
              <w:rPr>
                <w:rFonts w:cstheme="minorHAnsi"/>
                <w:sz w:val="14"/>
                <w:szCs w:val="14"/>
              </w:rPr>
            </w:pPr>
          </w:p>
          <w:p w14:paraId="1DD171B1" w14:textId="77777777" w:rsidR="008F2269" w:rsidRPr="00F21087" w:rsidRDefault="008F2269" w:rsidP="002D1362">
            <w:pPr>
              <w:jc w:val="both"/>
              <w:rPr>
                <w:rFonts w:cstheme="minorHAnsi"/>
                <w:sz w:val="14"/>
                <w:szCs w:val="14"/>
              </w:rPr>
            </w:pPr>
          </w:p>
          <w:p w14:paraId="070365A7" w14:textId="77777777" w:rsidR="008F2269" w:rsidRPr="00F21087" w:rsidRDefault="008F2269" w:rsidP="002D1362">
            <w:pPr>
              <w:jc w:val="both"/>
              <w:rPr>
                <w:rFonts w:cstheme="minorHAnsi"/>
                <w:bCs/>
                <w:sz w:val="14"/>
                <w:szCs w:val="14"/>
              </w:rPr>
            </w:pPr>
          </w:p>
          <w:p w14:paraId="285F5CAF" w14:textId="77777777" w:rsidR="008F2269" w:rsidRPr="00F21087" w:rsidRDefault="008F2269" w:rsidP="002D1362">
            <w:pPr>
              <w:jc w:val="both"/>
              <w:rPr>
                <w:rFonts w:cstheme="minorHAnsi"/>
                <w:bCs/>
                <w:sz w:val="14"/>
                <w:szCs w:val="14"/>
              </w:rPr>
            </w:pPr>
          </w:p>
          <w:p w14:paraId="6D737512" w14:textId="77777777" w:rsidR="008F2269" w:rsidRPr="00F21087" w:rsidRDefault="008F2269" w:rsidP="002D1362">
            <w:pPr>
              <w:jc w:val="both"/>
              <w:rPr>
                <w:rFonts w:cstheme="minorHAnsi"/>
                <w:bCs/>
                <w:sz w:val="14"/>
                <w:szCs w:val="14"/>
              </w:rPr>
            </w:pPr>
          </w:p>
          <w:p w14:paraId="015F2908" w14:textId="77777777" w:rsidR="008F2269" w:rsidRPr="00F21087" w:rsidRDefault="008F2269" w:rsidP="002D1362">
            <w:pPr>
              <w:jc w:val="both"/>
              <w:rPr>
                <w:rFonts w:cstheme="minorHAnsi"/>
                <w:bCs/>
                <w:sz w:val="14"/>
                <w:szCs w:val="14"/>
              </w:rPr>
            </w:pPr>
          </w:p>
          <w:p w14:paraId="3AB5C431" w14:textId="77777777" w:rsidR="008F2269" w:rsidRPr="00F21087" w:rsidRDefault="008F2269" w:rsidP="002D1362">
            <w:pPr>
              <w:jc w:val="both"/>
              <w:rPr>
                <w:rFonts w:cstheme="minorHAnsi"/>
                <w:bCs/>
                <w:sz w:val="14"/>
                <w:szCs w:val="14"/>
              </w:rPr>
            </w:pPr>
          </w:p>
        </w:tc>
        <w:tc>
          <w:tcPr>
            <w:tcW w:w="3402" w:type="dxa"/>
            <w:vAlign w:val="center"/>
          </w:tcPr>
          <w:p w14:paraId="6A344CB0" w14:textId="77777777" w:rsidR="008F2269" w:rsidRPr="00F21087" w:rsidRDefault="008F2269" w:rsidP="002D1362">
            <w:pPr>
              <w:autoSpaceDE w:val="0"/>
              <w:adjustRightInd w:val="0"/>
              <w:jc w:val="both"/>
              <w:rPr>
                <w:rFonts w:cstheme="minorHAnsi"/>
                <w:sz w:val="14"/>
                <w:szCs w:val="14"/>
              </w:rPr>
            </w:pPr>
          </w:p>
          <w:p w14:paraId="736EECC7"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bCs/>
                <w:iCs/>
                <w:sz w:val="14"/>
                <w:szCs w:val="14"/>
              </w:rPr>
            </w:pPr>
            <w:r w:rsidRPr="00F21087">
              <w:rPr>
                <w:rFonts w:cstheme="minorHAnsi"/>
                <w:sz w:val="14"/>
                <w:szCs w:val="14"/>
              </w:rPr>
              <w:t>Mettre en place un dispositif efficace et inclusif de gestion des volontaires et organisations non gouvernementales (ONG) au sein du PNPRC qui prend en compte le genre dans la sélection et le déploiement des équipes</w:t>
            </w:r>
            <w:r w:rsidRPr="00F21087">
              <w:rPr>
                <w:rFonts w:cstheme="minorHAnsi"/>
                <w:bCs/>
                <w:iCs/>
                <w:sz w:val="14"/>
                <w:szCs w:val="14"/>
              </w:rPr>
              <w:t xml:space="preserve">. </w:t>
            </w:r>
          </w:p>
          <w:p w14:paraId="017E7D44" w14:textId="77777777" w:rsidR="008F2269" w:rsidRPr="00F21087" w:rsidRDefault="008F2269" w:rsidP="008F2269">
            <w:pPr>
              <w:pStyle w:val="Paragraphedeliste"/>
              <w:numPr>
                <w:ilvl w:val="0"/>
                <w:numId w:val="123"/>
              </w:numPr>
              <w:suppressAutoHyphens/>
              <w:autoSpaceDE w:val="0"/>
              <w:autoSpaceDN w:val="0"/>
              <w:adjustRightInd w:val="0"/>
              <w:jc w:val="both"/>
              <w:textAlignment w:val="baseline"/>
              <w:rPr>
                <w:rFonts w:cstheme="minorHAnsi"/>
                <w:sz w:val="14"/>
                <w:szCs w:val="14"/>
              </w:rPr>
            </w:pPr>
            <w:r w:rsidRPr="00F21087">
              <w:rPr>
                <w:rFonts w:cstheme="minorHAnsi"/>
                <w:sz w:val="14"/>
                <w:szCs w:val="14"/>
              </w:rPr>
              <w:t xml:space="preserve">Sensibiliser les volontaires et ONGs sur l’interprétation et l’utilisation efficiente de l’information météorologique et climatique. </w:t>
            </w:r>
          </w:p>
          <w:p w14:paraId="6C984DA0" w14:textId="77777777" w:rsidR="008F2269" w:rsidRPr="00F21087" w:rsidRDefault="008F2269" w:rsidP="002D1362">
            <w:pPr>
              <w:autoSpaceDE w:val="0"/>
              <w:adjustRightInd w:val="0"/>
              <w:jc w:val="both"/>
              <w:rPr>
                <w:rFonts w:cstheme="minorHAnsi"/>
                <w:color w:val="000000"/>
                <w:sz w:val="14"/>
                <w:szCs w:val="14"/>
              </w:rPr>
            </w:pPr>
          </w:p>
        </w:tc>
        <w:tc>
          <w:tcPr>
            <w:tcW w:w="5387" w:type="dxa"/>
            <w:vAlign w:val="center"/>
          </w:tcPr>
          <w:p w14:paraId="29E6EE9C" w14:textId="77777777" w:rsidR="008F2269" w:rsidRPr="00F21087" w:rsidRDefault="008F2269" w:rsidP="008F2269">
            <w:pPr>
              <w:pStyle w:val="Paragraphedeliste"/>
              <w:numPr>
                <w:ilvl w:val="0"/>
                <w:numId w:val="123"/>
              </w:numPr>
              <w:suppressAutoHyphens/>
              <w:autoSpaceDN w:val="0"/>
              <w:jc w:val="both"/>
              <w:textAlignment w:val="baseline"/>
              <w:rPr>
                <w:rFonts w:cstheme="minorHAnsi"/>
                <w:sz w:val="14"/>
                <w:szCs w:val="14"/>
              </w:rPr>
            </w:pPr>
            <w:r w:rsidRPr="00F21087">
              <w:rPr>
                <w:rFonts w:cstheme="minorHAnsi"/>
                <w:sz w:val="14"/>
                <w:szCs w:val="14"/>
              </w:rPr>
              <w:t>Dispositif des volontaires mis en place. Pas de montant.</w:t>
            </w:r>
          </w:p>
          <w:p w14:paraId="1B5CA2E0" w14:textId="77777777" w:rsidR="008F2269" w:rsidRPr="00F21087" w:rsidRDefault="008F2269" w:rsidP="008F2269">
            <w:pPr>
              <w:pStyle w:val="Paragraphedeliste"/>
              <w:numPr>
                <w:ilvl w:val="0"/>
                <w:numId w:val="123"/>
              </w:numPr>
              <w:suppressAutoHyphens/>
              <w:autoSpaceDN w:val="0"/>
              <w:jc w:val="both"/>
              <w:textAlignment w:val="baseline"/>
              <w:rPr>
                <w:rFonts w:cstheme="minorHAnsi"/>
                <w:sz w:val="14"/>
                <w:szCs w:val="14"/>
              </w:rPr>
            </w:pPr>
            <w:r w:rsidRPr="00F21087">
              <w:rPr>
                <w:rFonts w:eastAsia="Times New Roman" w:cstheme="minorHAnsi"/>
                <w:sz w:val="14"/>
                <w:szCs w:val="14"/>
              </w:rPr>
              <w:t xml:space="preserve"> </w:t>
            </w:r>
            <w:r w:rsidRPr="00F21087">
              <w:rPr>
                <w:rFonts w:cstheme="minorHAnsi"/>
                <w:sz w:val="14"/>
                <w:szCs w:val="14"/>
              </w:rPr>
              <w:t>Nombre d’atelier de sensibilisation. Pas de montant.</w:t>
            </w:r>
          </w:p>
          <w:p w14:paraId="4BE13ACC" w14:textId="77777777" w:rsidR="008F2269" w:rsidRPr="00F21087" w:rsidRDefault="008F2269" w:rsidP="002D1362">
            <w:pPr>
              <w:pStyle w:val="Paragraphedeliste"/>
              <w:jc w:val="both"/>
              <w:rPr>
                <w:rFonts w:cstheme="minorHAnsi"/>
                <w:bCs/>
                <w:sz w:val="14"/>
                <w:szCs w:val="14"/>
              </w:rPr>
            </w:pPr>
          </w:p>
        </w:tc>
        <w:tc>
          <w:tcPr>
            <w:tcW w:w="2556" w:type="dxa"/>
          </w:tcPr>
          <w:p w14:paraId="1A9992A2" w14:textId="77777777" w:rsidR="008F2269" w:rsidRPr="00F21087" w:rsidRDefault="008F2269" w:rsidP="002D1362">
            <w:pPr>
              <w:rPr>
                <w:sz w:val="16"/>
                <w:szCs w:val="16"/>
              </w:rPr>
            </w:pPr>
            <w:r w:rsidRPr="00F21087">
              <w:rPr>
                <w:rFonts w:cstheme="minorHAnsi"/>
                <w:b/>
                <w:sz w:val="14"/>
                <w:szCs w:val="14"/>
              </w:rPr>
              <w:t xml:space="preserve"> </w:t>
            </w:r>
          </w:p>
        </w:tc>
      </w:tr>
    </w:tbl>
    <w:p w14:paraId="258C017E" w14:textId="77777777" w:rsidR="008F2269" w:rsidRDefault="008F2269" w:rsidP="008F2269">
      <w:pPr>
        <w:rPr>
          <w:rFonts w:cstheme="minorHAnsi"/>
          <w:sz w:val="14"/>
          <w:szCs w:val="14"/>
        </w:rPr>
      </w:pPr>
    </w:p>
    <w:p w14:paraId="07220150" w14:textId="77777777" w:rsidR="008F2269" w:rsidRPr="001F4181" w:rsidRDefault="008F2269" w:rsidP="008F2269">
      <w:pPr>
        <w:rPr>
          <w:rFonts w:cstheme="minorHAnsi"/>
          <w:sz w:val="20"/>
          <w:szCs w:val="20"/>
        </w:rPr>
        <w:sectPr w:rsidR="008F2269" w:rsidRPr="001F4181" w:rsidSect="008F2269">
          <w:headerReference w:type="default" r:id="rId185"/>
          <w:type w:val="continuous"/>
          <w:pgSz w:w="16838" w:h="11906" w:orient="landscape" w:code="9"/>
          <w:pgMar w:top="1417" w:right="1417" w:bottom="1417" w:left="1417" w:header="709" w:footer="709" w:gutter="0"/>
          <w:cols w:space="708"/>
          <w:docGrid w:linePitch="360"/>
        </w:sectPr>
      </w:pPr>
      <w:bookmarkStart w:id="197" w:name="_Toc47874644"/>
      <w:bookmarkStart w:id="198" w:name="_Toc51854367"/>
      <w:bookmarkStart w:id="199" w:name="_Toc51930359"/>
    </w:p>
    <w:p w14:paraId="3E9918EE" w14:textId="77777777" w:rsidR="008F2269" w:rsidRDefault="008F2269" w:rsidP="008F2269">
      <w:bookmarkStart w:id="200" w:name="_Toc57057455"/>
    </w:p>
    <w:p w14:paraId="125E2526" w14:textId="77777777" w:rsidR="008F2269" w:rsidRDefault="008F2269" w:rsidP="008F2269">
      <w:pPr>
        <w:jc w:val="both"/>
      </w:pPr>
      <w:r>
        <w:tab/>
      </w:r>
      <w:r>
        <w:tab/>
      </w:r>
      <w:r>
        <w:tab/>
      </w:r>
      <w:r w:rsidRPr="00190D5D">
        <w:t>Tableau 6 : SNADEA 2022 2030</w:t>
      </w:r>
    </w:p>
    <w:p w14:paraId="40C3EF9B" w14:textId="77777777" w:rsidR="008F2269" w:rsidRDefault="008F2269" w:rsidP="008F2269">
      <w:r>
        <w:t xml:space="preserve">Tableau de synthèse : </w:t>
      </w:r>
      <w:r w:rsidRPr="00EC2044">
        <w:t>Objectif spécifique n°</w:t>
      </w:r>
      <w:proofErr w:type="gramStart"/>
      <w:r w:rsidRPr="00EC2044">
        <w:t>1:</w:t>
      </w:r>
      <w:proofErr w:type="gramEnd"/>
      <w:r w:rsidRPr="00EC2044">
        <w:t xml:space="preserve"> instaurer une gestion intégrée des ressources en eau</w:t>
      </w:r>
    </w:p>
    <w:tbl>
      <w:tblPr>
        <w:tblStyle w:val="Grilledutableau"/>
        <w:tblW w:w="0" w:type="auto"/>
        <w:tblLook w:val="04A0" w:firstRow="1" w:lastRow="0" w:firstColumn="1" w:lastColumn="0" w:noHBand="0" w:noVBand="1"/>
      </w:tblPr>
      <w:tblGrid>
        <w:gridCol w:w="1348"/>
        <w:gridCol w:w="788"/>
        <w:gridCol w:w="2395"/>
        <w:gridCol w:w="898"/>
        <w:gridCol w:w="616"/>
        <w:gridCol w:w="1649"/>
        <w:gridCol w:w="1368"/>
      </w:tblGrid>
      <w:tr w:rsidR="008F2269" w14:paraId="66E585E3" w14:textId="77777777" w:rsidTr="002D1362">
        <w:tc>
          <w:tcPr>
            <w:tcW w:w="1372" w:type="dxa"/>
            <w:shd w:val="clear" w:color="auto" w:fill="70AD47" w:themeFill="accent6"/>
          </w:tcPr>
          <w:p w14:paraId="37CBEE1E" w14:textId="77777777" w:rsidR="008F2269" w:rsidRPr="008E4F67" w:rsidRDefault="008F2269" w:rsidP="002D1362">
            <w:pPr>
              <w:jc w:val="both"/>
              <w:rPr>
                <w:b/>
                <w:bCs/>
                <w:sz w:val="20"/>
                <w:szCs w:val="20"/>
              </w:rPr>
            </w:pPr>
            <w:r w:rsidRPr="008E4F67">
              <w:rPr>
                <w:b/>
                <w:bCs/>
                <w:sz w:val="20"/>
                <w:szCs w:val="20"/>
              </w:rPr>
              <w:t>Résultats</w:t>
            </w:r>
          </w:p>
        </w:tc>
        <w:tc>
          <w:tcPr>
            <w:tcW w:w="3736" w:type="dxa"/>
            <w:gridSpan w:val="2"/>
            <w:shd w:val="clear" w:color="auto" w:fill="70AD47" w:themeFill="accent6"/>
          </w:tcPr>
          <w:p w14:paraId="257AC273" w14:textId="77777777" w:rsidR="008F2269" w:rsidRPr="008E4F67" w:rsidRDefault="008F2269" w:rsidP="002D1362">
            <w:pPr>
              <w:jc w:val="both"/>
              <w:rPr>
                <w:b/>
                <w:bCs/>
                <w:sz w:val="20"/>
                <w:szCs w:val="20"/>
              </w:rPr>
            </w:pPr>
            <w:r w:rsidRPr="008E4F67">
              <w:rPr>
                <w:b/>
                <w:bCs/>
                <w:sz w:val="20"/>
                <w:szCs w:val="20"/>
              </w:rPr>
              <w:t xml:space="preserve">              Actions</w:t>
            </w:r>
          </w:p>
        </w:tc>
        <w:tc>
          <w:tcPr>
            <w:tcW w:w="811" w:type="dxa"/>
            <w:shd w:val="clear" w:color="auto" w:fill="70AD47" w:themeFill="accent6"/>
          </w:tcPr>
          <w:p w14:paraId="71828F8A" w14:textId="77777777" w:rsidR="008F2269" w:rsidRPr="008E4F67" w:rsidRDefault="008F2269" w:rsidP="002D1362">
            <w:pPr>
              <w:jc w:val="both"/>
              <w:rPr>
                <w:b/>
                <w:bCs/>
                <w:sz w:val="20"/>
                <w:szCs w:val="20"/>
              </w:rPr>
            </w:pPr>
            <w:r w:rsidRPr="008E4F67">
              <w:rPr>
                <w:b/>
                <w:bCs/>
                <w:sz w:val="20"/>
                <w:szCs w:val="20"/>
              </w:rPr>
              <w:t>Budget</w:t>
            </w:r>
          </w:p>
          <w:p w14:paraId="38C99233" w14:textId="77777777" w:rsidR="008F2269" w:rsidRPr="008E4F67" w:rsidRDefault="008F2269" w:rsidP="002D1362">
            <w:pPr>
              <w:jc w:val="both"/>
              <w:rPr>
                <w:sz w:val="20"/>
                <w:szCs w:val="20"/>
              </w:rPr>
            </w:pPr>
            <w:r w:rsidRPr="008E4F67">
              <w:rPr>
                <w:b/>
                <w:bCs/>
                <w:sz w:val="20"/>
                <w:szCs w:val="20"/>
              </w:rPr>
              <w:t>Indicatif</w:t>
            </w:r>
          </w:p>
          <w:p w14:paraId="27FA8C1D" w14:textId="77777777" w:rsidR="008F2269" w:rsidRPr="008E4F67" w:rsidRDefault="008F2269" w:rsidP="002D1362">
            <w:pPr>
              <w:jc w:val="both"/>
            </w:pPr>
            <w:r w:rsidRPr="008E4F67">
              <w:rPr>
                <w:sz w:val="20"/>
                <w:szCs w:val="20"/>
              </w:rPr>
              <w:t>(MUM)</w:t>
            </w:r>
          </w:p>
        </w:tc>
        <w:tc>
          <w:tcPr>
            <w:tcW w:w="888" w:type="dxa"/>
            <w:shd w:val="clear" w:color="auto" w:fill="70AD47" w:themeFill="accent6"/>
          </w:tcPr>
          <w:p w14:paraId="51DE095A" w14:textId="77777777" w:rsidR="008F2269" w:rsidRPr="008E4F67" w:rsidRDefault="008F2269" w:rsidP="002D1362">
            <w:pPr>
              <w:jc w:val="right"/>
              <w:rPr>
                <w:b/>
                <w:bCs/>
                <w:sz w:val="20"/>
                <w:szCs w:val="20"/>
              </w:rPr>
            </w:pPr>
          </w:p>
        </w:tc>
        <w:tc>
          <w:tcPr>
            <w:tcW w:w="1343" w:type="dxa"/>
            <w:shd w:val="clear" w:color="auto" w:fill="70AD47" w:themeFill="accent6"/>
          </w:tcPr>
          <w:p w14:paraId="4E19B336" w14:textId="77777777" w:rsidR="008F2269" w:rsidRPr="00D44234" w:rsidRDefault="008F2269" w:rsidP="002D1362">
            <w:pPr>
              <w:jc w:val="both"/>
              <w:rPr>
                <w:b/>
                <w:bCs/>
                <w:sz w:val="20"/>
                <w:szCs w:val="20"/>
              </w:rPr>
            </w:pPr>
            <w:r w:rsidRPr="00D44234">
              <w:rPr>
                <w:b/>
                <w:bCs/>
                <w:sz w:val="20"/>
                <w:szCs w:val="20"/>
              </w:rPr>
              <w:t>Priorité Indicateurs activités</w:t>
            </w:r>
          </w:p>
        </w:tc>
        <w:tc>
          <w:tcPr>
            <w:tcW w:w="1138" w:type="dxa"/>
            <w:shd w:val="clear" w:color="auto" w:fill="70AD47" w:themeFill="accent6"/>
          </w:tcPr>
          <w:p w14:paraId="4AFCFF93" w14:textId="77777777" w:rsidR="008F2269" w:rsidRPr="00D44234" w:rsidRDefault="008F2269" w:rsidP="002D1362">
            <w:pPr>
              <w:jc w:val="both"/>
              <w:rPr>
                <w:b/>
                <w:bCs/>
                <w:sz w:val="20"/>
                <w:szCs w:val="20"/>
              </w:rPr>
            </w:pPr>
            <w:r w:rsidRPr="00D44234">
              <w:rPr>
                <w:b/>
                <w:bCs/>
                <w:sz w:val="20"/>
                <w:szCs w:val="20"/>
              </w:rPr>
              <w:t>Indicateurs résultats</w:t>
            </w:r>
          </w:p>
        </w:tc>
      </w:tr>
      <w:tr w:rsidR="008F2269" w14:paraId="10BB8C7D" w14:textId="77777777" w:rsidTr="002D1362">
        <w:tc>
          <w:tcPr>
            <w:tcW w:w="1372" w:type="dxa"/>
            <w:vMerge w:val="restart"/>
            <w:shd w:val="clear" w:color="auto" w:fill="BFBFBF" w:themeFill="background1" w:themeFillShade="BF"/>
          </w:tcPr>
          <w:p w14:paraId="0E4E4D5A" w14:textId="77777777" w:rsidR="008F2269" w:rsidRPr="00F43FCC" w:rsidRDefault="008F2269" w:rsidP="002D1362">
            <w:pPr>
              <w:jc w:val="both"/>
              <w:rPr>
                <w:sz w:val="20"/>
                <w:szCs w:val="20"/>
              </w:rPr>
            </w:pPr>
            <w:r w:rsidRPr="00F43FCC">
              <w:rPr>
                <w:sz w:val="20"/>
                <w:szCs w:val="20"/>
              </w:rPr>
              <w:t>R1.1 - La</w:t>
            </w:r>
          </w:p>
          <w:p w14:paraId="6CFA4125" w14:textId="77777777" w:rsidR="008F2269" w:rsidRPr="00F43FCC" w:rsidRDefault="008F2269" w:rsidP="002D1362">
            <w:pPr>
              <w:jc w:val="both"/>
              <w:rPr>
                <w:sz w:val="20"/>
                <w:szCs w:val="20"/>
              </w:rPr>
            </w:pPr>
            <w:r w:rsidRPr="00F43FCC">
              <w:rPr>
                <w:sz w:val="20"/>
                <w:szCs w:val="20"/>
              </w:rPr>
              <w:t>Connaissance des</w:t>
            </w:r>
          </w:p>
          <w:p w14:paraId="57A22545" w14:textId="77777777" w:rsidR="008F2269" w:rsidRPr="00F43FCC" w:rsidRDefault="008F2269" w:rsidP="002D1362">
            <w:pPr>
              <w:jc w:val="both"/>
              <w:rPr>
                <w:sz w:val="20"/>
                <w:szCs w:val="20"/>
              </w:rPr>
            </w:pPr>
            <w:r w:rsidRPr="00F43FCC">
              <w:rPr>
                <w:sz w:val="20"/>
                <w:szCs w:val="20"/>
              </w:rPr>
              <w:t>Eaux de surface est</w:t>
            </w:r>
          </w:p>
          <w:p w14:paraId="027CB996" w14:textId="77777777" w:rsidR="008F2269" w:rsidRPr="00F43FCC" w:rsidRDefault="008F2269" w:rsidP="002D1362">
            <w:pPr>
              <w:jc w:val="both"/>
              <w:rPr>
                <w:sz w:val="20"/>
                <w:szCs w:val="20"/>
              </w:rPr>
            </w:pPr>
            <w:proofErr w:type="gramStart"/>
            <w:r w:rsidRPr="00F43FCC">
              <w:rPr>
                <w:sz w:val="20"/>
                <w:szCs w:val="20"/>
              </w:rPr>
              <w:t>améliorée</w:t>
            </w:r>
            <w:proofErr w:type="gramEnd"/>
          </w:p>
        </w:tc>
        <w:tc>
          <w:tcPr>
            <w:tcW w:w="691" w:type="dxa"/>
          </w:tcPr>
          <w:p w14:paraId="05E86A17" w14:textId="77777777" w:rsidR="008F2269" w:rsidRPr="004546C9" w:rsidRDefault="008F2269" w:rsidP="002D1362">
            <w:pPr>
              <w:jc w:val="both"/>
              <w:rPr>
                <w:sz w:val="20"/>
                <w:szCs w:val="20"/>
              </w:rPr>
            </w:pPr>
            <w:r w:rsidRPr="004546C9">
              <w:rPr>
                <w:sz w:val="20"/>
                <w:szCs w:val="20"/>
              </w:rPr>
              <w:t>A.1.1.1</w:t>
            </w:r>
          </w:p>
        </w:tc>
        <w:tc>
          <w:tcPr>
            <w:tcW w:w="3045" w:type="dxa"/>
          </w:tcPr>
          <w:p w14:paraId="403AA97B" w14:textId="77777777" w:rsidR="008F2269" w:rsidRPr="004546C9" w:rsidRDefault="008F2269" w:rsidP="002D1362">
            <w:pPr>
              <w:jc w:val="both"/>
              <w:rPr>
                <w:sz w:val="20"/>
                <w:szCs w:val="20"/>
              </w:rPr>
            </w:pPr>
            <w:r w:rsidRPr="004546C9">
              <w:rPr>
                <w:sz w:val="20"/>
                <w:szCs w:val="20"/>
              </w:rPr>
              <w:t>Réaliser un inventaire exhaustif des zones humides</w:t>
            </w:r>
          </w:p>
          <w:p w14:paraId="2584BC33" w14:textId="77777777" w:rsidR="008F2269" w:rsidRPr="004546C9" w:rsidRDefault="008F2269" w:rsidP="002D1362">
            <w:pPr>
              <w:jc w:val="both"/>
              <w:rPr>
                <w:sz w:val="20"/>
                <w:szCs w:val="20"/>
              </w:rPr>
            </w:pPr>
            <w:proofErr w:type="gramStart"/>
            <w:r w:rsidRPr="004546C9">
              <w:rPr>
                <w:sz w:val="20"/>
                <w:szCs w:val="20"/>
              </w:rPr>
              <w:t>naturelles</w:t>
            </w:r>
            <w:proofErr w:type="gramEnd"/>
            <w:r w:rsidRPr="004546C9">
              <w:rPr>
                <w:sz w:val="20"/>
                <w:szCs w:val="20"/>
              </w:rPr>
              <w:t xml:space="preserve"> et artificielles</w:t>
            </w:r>
          </w:p>
        </w:tc>
        <w:tc>
          <w:tcPr>
            <w:tcW w:w="811" w:type="dxa"/>
          </w:tcPr>
          <w:p w14:paraId="7034C9FD" w14:textId="77777777" w:rsidR="008F2269" w:rsidRPr="004546C9" w:rsidRDefault="008F2269" w:rsidP="002D1362">
            <w:pPr>
              <w:jc w:val="both"/>
              <w:rPr>
                <w:sz w:val="20"/>
                <w:szCs w:val="20"/>
              </w:rPr>
            </w:pPr>
            <w:r w:rsidRPr="004546C9">
              <w:rPr>
                <w:sz w:val="20"/>
                <w:szCs w:val="20"/>
              </w:rPr>
              <w:t xml:space="preserve">19,0 </w:t>
            </w:r>
          </w:p>
        </w:tc>
        <w:tc>
          <w:tcPr>
            <w:tcW w:w="888" w:type="dxa"/>
          </w:tcPr>
          <w:p w14:paraId="3435EA78" w14:textId="77777777" w:rsidR="008F2269" w:rsidRPr="004546C9" w:rsidRDefault="008F2269" w:rsidP="002D1362">
            <w:pPr>
              <w:jc w:val="both"/>
              <w:rPr>
                <w:sz w:val="20"/>
                <w:szCs w:val="20"/>
              </w:rPr>
            </w:pPr>
            <w:r w:rsidRPr="004546C9">
              <w:rPr>
                <w:sz w:val="20"/>
                <w:szCs w:val="20"/>
              </w:rPr>
              <w:t>1</w:t>
            </w:r>
          </w:p>
        </w:tc>
        <w:tc>
          <w:tcPr>
            <w:tcW w:w="1343" w:type="dxa"/>
          </w:tcPr>
          <w:p w14:paraId="1370C54E" w14:textId="77777777" w:rsidR="008F2269" w:rsidRPr="004546C9" w:rsidRDefault="008F2269" w:rsidP="002D1362">
            <w:pPr>
              <w:jc w:val="both"/>
              <w:rPr>
                <w:sz w:val="20"/>
                <w:szCs w:val="20"/>
              </w:rPr>
            </w:pPr>
            <w:r w:rsidRPr="004546C9">
              <w:rPr>
                <w:sz w:val="20"/>
                <w:szCs w:val="20"/>
              </w:rPr>
              <w:t xml:space="preserve">% d'avancement </w:t>
            </w:r>
          </w:p>
        </w:tc>
        <w:tc>
          <w:tcPr>
            <w:tcW w:w="1138" w:type="dxa"/>
            <w:vMerge w:val="restart"/>
          </w:tcPr>
          <w:p w14:paraId="684DEE4A" w14:textId="77777777" w:rsidR="008F2269" w:rsidRPr="004546C9" w:rsidRDefault="008F2269" w:rsidP="002D1362">
            <w:pPr>
              <w:jc w:val="both"/>
              <w:rPr>
                <w:sz w:val="20"/>
                <w:szCs w:val="20"/>
              </w:rPr>
            </w:pPr>
            <w:r w:rsidRPr="004546C9">
              <w:rPr>
                <w:sz w:val="20"/>
                <w:szCs w:val="20"/>
              </w:rPr>
              <w:t>% d'avancement</w:t>
            </w:r>
          </w:p>
        </w:tc>
      </w:tr>
      <w:tr w:rsidR="008F2269" w14:paraId="26C7E0E1" w14:textId="77777777" w:rsidTr="002D1362">
        <w:tc>
          <w:tcPr>
            <w:tcW w:w="1372" w:type="dxa"/>
            <w:vMerge/>
            <w:shd w:val="clear" w:color="auto" w:fill="BFBFBF" w:themeFill="background1" w:themeFillShade="BF"/>
          </w:tcPr>
          <w:p w14:paraId="060957B4" w14:textId="77777777" w:rsidR="008F2269" w:rsidRPr="00F43FCC" w:rsidRDefault="008F2269" w:rsidP="002D1362">
            <w:pPr>
              <w:jc w:val="both"/>
              <w:rPr>
                <w:sz w:val="20"/>
                <w:szCs w:val="20"/>
              </w:rPr>
            </w:pPr>
          </w:p>
        </w:tc>
        <w:tc>
          <w:tcPr>
            <w:tcW w:w="691" w:type="dxa"/>
          </w:tcPr>
          <w:p w14:paraId="2F764206" w14:textId="77777777" w:rsidR="008F2269" w:rsidRPr="004546C9" w:rsidRDefault="008F2269" w:rsidP="002D1362">
            <w:pPr>
              <w:jc w:val="both"/>
              <w:rPr>
                <w:sz w:val="20"/>
                <w:szCs w:val="20"/>
              </w:rPr>
            </w:pPr>
            <w:r w:rsidRPr="004546C9">
              <w:rPr>
                <w:sz w:val="20"/>
                <w:szCs w:val="20"/>
              </w:rPr>
              <w:t>A.1.1.2</w:t>
            </w:r>
          </w:p>
        </w:tc>
        <w:tc>
          <w:tcPr>
            <w:tcW w:w="3045" w:type="dxa"/>
          </w:tcPr>
          <w:p w14:paraId="66CFAB68" w14:textId="77777777" w:rsidR="008F2269" w:rsidRPr="004546C9" w:rsidRDefault="008F2269" w:rsidP="002D1362">
            <w:pPr>
              <w:jc w:val="both"/>
              <w:rPr>
                <w:sz w:val="20"/>
                <w:szCs w:val="20"/>
              </w:rPr>
            </w:pPr>
            <w:r w:rsidRPr="004546C9">
              <w:rPr>
                <w:sz w:val="20"/>
                <w:szCs w:val="20"/>
              </w:rPr>
              <w:t>Réaliser un atlas hydrologique de la Mauritanie</w:t>
            </w:r>
          </w:p>
        </w:tc>
        <w:tc>
          <w:tcPr>
            <w:tcW w:w="811" w:type="dxa"/>
          </w:tcPr>
          <w:p w14:paraId="47EF9CB5" w14:textId="77777777" w:rsidR="008F2269" w:rsidRPr="004546C9" w:rsidRDefault="008F2269" w:rsidP="002D1362">
            <w:pPr>
              <w:jc w:val="both"/>
              <w:rPr>
                <w:sz w:val="20"/>
                <w:szCs w:val="20"/>
              </w:rPr>
            </w:pPr>
            <w:r w:rsidRPr="004546C9">
              <w:rPr>
                <w:sz w:val="20"/>
                <w:szCs w:val="20"/>
              </w:rPr>
              <w:t>42,0</w:t>
            </w:r>
          </w:p>
        </w:tc>
        <w:tc>
          <w:tcPr>
            <w:tcW w:w="888" w:type="dxa"/>
          </w:tcPr>
          <w:p w14:paraId="4E5BA31F" w14:textId="77777777" w:rsidR="008F2269" w:rsidRPr="004546C9" w:rsidRDefault="008F2269" w:rsidP="002D1362">
            <w:pPr>
              <w:jc w:val="both"/>
              <w:rPr>
                <w:sz w:val="20"/>
                <w:szCs w:val="20"/>
              </w:rPr>
            </w:pPr>
            <w:r w:rsidRPr="004546C9">
              <w:rPr>
                <w:sz w:val="20"/>
                <w:szCs w:val="20"/>
              </w:rPr>
              <w:t>2</w:t>
            </w:r>
          </w:p>
        </w:tc>
        <w:tc>
          <w:tcPr>
            <w:tcW w:w="1343" w:type="dxa"/>
          </w:tcPr>
          <w:p w14:paraId="2C8DAE29" w14:textId="77777777" w:rsidR="008F2269" w:rsidRPr="004546C9" w:rsidRDefault="008F2269" w:rsidP="002D1362">
            <w:pPr>
              <w:jc w:val="both"/>
              <w:rPr>
                <w:sz w:val="20"/>
                <w:szCs w:val="20"/>
              </w:rPr>
            </w:pPr>
            <w:r w:rsidRPr="004546C9">
              <w:rPr>
                <w:sz w:val="20"/>
                <w:szCs w:val="20"/>
              </w:rPr>
              <w:t>% d'avancement</w:t>
            </w:r>
          </w:p>
        </w:tc>
        <w:tc>
          <w:tcPr>
            <w:tcW w:w="1138" w:type="dxa"/>
            <w:vMerge/>
          </w:tcPr>
          <w:p w14:paraId="525F22D3" w14:textId="77777777" w:rsidR="008F2269" w:rsidRPr="004546C9" w:rsidRDefault="008F2269" w:rsidP="002D1362">
            <w:pPr>
              <w:jc w:val="both"/>
              <w:rPr>
                <w:sz w:val="20"/>
                <w:szCs w:val="20"/>
              </w:rPr>
            </w:pPr>
          </w:p>
        </w:tc>
      </w:tr>
      <w:tr w:rsidR="008F2269" w14:paraId="3252841C" w14:textId="77777777" w:rsidTr="002D1362">
        <w:tc>
          <w:tcPr>
            <w:tcW w:w="1372" w:type="dxa"/>
            <w:vMerge w:val="restart"/>
            <w:shd w:val="clear" w:color="auto" w:fill="BFBFBF" w:themeFill="background1" w:themeFillShade="BF"/>
          </w:tcPr>
          <w:p w14:paraId="5D0AE49D" w14:textId="77777777" w:rsidR="008F2269" w:rsidRPr="00F43FCC" w:rsidRDefault="008F2269" w:rsidP="002D1362">
            <w:pPr>
              <w:jc w:val="both"/>
              <w:rPr>
                <w:sz w:val="20"/>
                <w:szCs w:val="20"/>
              </w:rPr>
            </w:pPr>
            <w:r w:rsidRPr="00F43FCC">
              <w:rPr>
                <w:sz w:val="20"/>
                <w:szCs w:val="20"/>
              </w:rPr>
              <w:t>R1.2 - Le suivi et la protection des</w:t>
            </w:r>
          </w:p>
          <w:p w14:paraId="05F142D1" w14:textId="77777777" w:rsidR="008F2269" w:rsidRPr="00F43FCC" w:rsidRDefault="008F2269" w:rsidP="002D1362">
            <w:pPr>
              <w:jc w:val="both"/>
              <w:rPr>
                <w:sz w:val="20"/>
                <w:szCs w:val="20"/>
              </w:rPr>
            </w:pPr>
            <w:r w:rsidRPr="00F43FCC">
              <w:rPr>
                <w:sz w:val="20"/>
                <w:szCs w:val="20"/>
              </w:rPr>
              <w:t>Eaux de surface</w:t>
            </w:r>
          </w:p>
          <w:p w14:paraId="139CEEFF" w14:textId="77777777" w:rsidR="008F2269" w:rsidRPr="00F43FCC" w:rsidRDefault="008F2269" w:rsidP="002D1362">
            <w:pPr>
              <w:jc w:val="both"/>
              <w:rPr>
                <w:sz w:val="20"/>
                <w:szCs w:val="20"/>
              </w:rPr>
            </w:pPr>
            <w:proofErr w:type="gramStart"/>
            <w:r w:rsidRPr="00F43FCC">
              <w:rPr>
                <w:sz w:val="20"/>
                <w:szCs w:val="20"/>
              </w:rPr>
              <w:t>sont</w:t>
            </w:r>
            <w:proofErr w:type="gramEnd"/>
            <w:r w:rsidRPr="00F43FCC">
              <w:rPr>
                <w:sz w:val="20"/>
                <w:szCs w:val="20"/>
              </w:rPr>
              <w:t xml:space="preserve"> améliorés</w:t>
            </w:r>
          </w:p>
        </w:tc>
        <w:tc>
          <w:tcPr>
            <w:tcW w:w="691" w:type="dxa"/>
          </w:tcPr>
          <w:p w14:paraId="0689606A" w14:textId="77777777" w:rsidR="008F2269" w:rsidRPr="004546C9" w:rsidRDefault="008F2269" w:rsidP="002D1362">
            <w:pPr>
              <w:jc w:val="both"/>
              <w:rPr>
                <w:sz w:val="20"/>
                <w:szCs w:val="20"/>
              </w:rPr>
            </w:pPr>
            <w:r w:rsidRPr="004546C9">
              <w:rPr>
                <w:sz w:val="20"/>
                <w:szCs w:val="20"/>
              </w:rPr>
              <w:t>A.1.2.1</w:t>
            </w:r>
          </w:p>
        </w:tc>
        <w:tc>
          <w:tcPr>
            <w:tcW w:w="3045" w:type="dxa"/>
          </w:tcPr>
          <w:p w14:paraId="5F4489B0" w14:textId="77777777" w:rsidR="008F2269" w:rsidRPr="00375CC8" w:rsidRDefault="008F2269" w:rsidP="002D1362">
            <w:pPr>
              <w:jc w:val="both"/>
              <w:rPr>
                <w:sz w:val="20"/>
                <w:szCs w:val="20"/>
              </w:rPr>
            </w:pPr>
            <w:r w:rsidRPr="00375CC8">
              <w:rPr>
                <w:sz w:val="20"/>
                <w:szCs w:val="20"/>
              </w:rPr>
              <w:t>Mettre en place un réseau hydrométrique (15 stations)</w:t>
            </w:r>
          </w:p>
        </w:tc>
        <w:tc>
          <w:tcPr>
            <w:tcW w:w="811" w:type="dxa"/>
          </w:tcPr>
          <w:p w14:paraId="63631434" w14:textId="77777777" w:rsidR="008F2269" w:rsidRPr="00375CC8" w:rsidRDefault="008F2269" w:rsidP="002D1362">
            <w:pPr>
              <w:jc w:val="both"/>
              <w:rPr>
                <w:sz w:val="20"/>
                <w:szCs w:val="20"/>
              </w:rPr>
            </w:pPr>
            <w:r w:rsidRPr="00375CC8">
              <w:rPr>
                <w:sz w:val="20"/>
                <w:szCs w:val="20"/>
              </w:rPr>
              <w:t>4,0</w:t>
            </w:r>
          </w:p>
        </w:tc>
        <w:tc>
          <w:tcPr>
            <w:tcW w:w="888" w:type="dxa"/>
          </w:tcPr>
          <w:p w14:paraId="6B0B04FA" w14:textId="77777777" w:rsidR="008F2269" w:rsidRPr="00375CC8" w:rsidRDefault="008F2269" w:rsidP="002D1362">
            <w:pPr>
              <w:jc w:val="both"/>
              <w:rPr>
                <w:sz w:val="20"/>
                <w:szCs w:val="20"/>
              </w:rPr>
            </w:pPr>
            <w:r w:rsidRPr="00375CC8">
              <w:rPr>
                <w:sz w:val="20"/>
                <w:szCs w:val="20"/>
              </w:rPr>
              <w:t>1</w:t>
            </w:r>
          </w:p>
        </w:tc>
        <w:tc>
          <w:tcPr>
            <w:tcW w:w="1343" w:type="dxa"/>
          </w:tcPr>
          <w:p w14:paraId="20CACEDA" w14:textId="77777777" w:rsidR="008F2269" w:rsidRPr="00375CC8" w:rsidRDefault="008F2269" w:rsidP="002D1362">
            <w:pPr>
              <w:jc w:val="both"/>
              <w:rPr>
                <w:sz w:val="20"/>
                <w:szCs w:val="20"/>
              </w:rPr>
            </w:pPr>
            <w:r w:rsidRPr="00375CC8">
              <w:rPr>
                <w:sz w:val="20"/>
                <w:szCs w:val="20"/>
              </w:rPr>
              <w:t>Nombre de stations</w:t>
            </w:r>
          </w:p>
          <w:p w14:paraId="1F6E478E" w14:textId="77777777" w:rsidR="008F2269" w:rsidRPr="00375CC8" w:rsidRDefault="008F2269" w:rsidP="002D1362">
            <w:pPr>
              <w:jc w:val="both"/>
              <w:rPr>
                <w:sz w:val="20"/>
                <w:szCs w:val="20"/>
              </w:rPr>
            </w:pPr>
            <w:r w:rsidRPr="00375CC8">
              <w:rPr>
                <w:sz w:val="20"/>
                <w:szCs w:val="20"/>
              </w:rPr>
              <w:t>Installées et</w:t>
            </w:r>
          </w:p>
          <w:p w14:paraId="64BBDB90" w14:textId="77777777" w:rsidR="008F2269" w:rsidRPr="00375CC8" w:rsidRDefault="008F2269" w:rsidP="002D1362">
            <w:pPr>
              <w:jc w:val="both"/>
              <w:rPr>
                <w:sz w:val="20"/>
                <w:szCs w:val="20"/>
              </w:rPr>
            </w:pPr>
            <w:r w:rsidRPr="00375CC8">
              <w:rPr>
                <w:sz w:val="20"/>
                <w:szCs w:val="20"/>
              </w:rPr>
              <w:t>Connectées au</w:t>
            </w:r>
          </w:p>
          <w:p w14:paraId="15E3205F" w14:textId="77777777" w:rsidR="008F2269" w:rsidRPr="00375CC8" w:rsidRDefault="008F2269" w:rsidP="002D1362">
            <w:pPr>
              <w:jc w:val="both"/>
              <w:rPr>
                <w:sz w:val="20"/>
                <w:szCs w:val="20"/>
              </w:rPr>
            </w:pPr>
            <w:r w:rsidRPr="00375CC8">
              <w:rPr>
                <w:sz w:val="20"/>
                <w:szCs w:val="20"/>
              </w:rPr>
              <w:t>CNRE</w:t>
            </w:r>
          </w:p>
        </w:tc>
        <w:tc>
          <w:tcPr>
            <w:tcW w:w="1138" w:type="dxa"/>
            <w:vMerge w:val="restart"/>
          </w:tcPr>
          <w:p w14:paraId="455D960F" w14:textId="77777777" w:rsidR="008F2269" w:rsidRPr="000C63F3" w:rsidRDefault="008F2269" w:rsidP="002D1362">
            <w:pPr>
              <w:rPr>
                <w:sz w:val="20"/>
                <w:szCs w:val="20"/>
              </w:rPr>
            </w:pPr>
            <w:r w:rsidRPr="000C63F3">
              <w:rPr>
                <w:sz w:val="20"/>
                <w:szCs w:val="20"/>
              </w:rPr>
              <w:t>% d'avancement</w:t>
            </w:r>
          </w:p>
        </w:tc>
      </w:tr>
      <w:tr w:rsidR="008F2269" w14:paraId="75768DB7" w14:textId="77777777" w:rsidTr="002D1362">
        <w:tc>
          <w:tcPr>
            <w:tcW w:w="1372" w:type="dxa"/>
            <w:vMerge/>
            <w:shd w:val="clear" w:color="auto" w:fill="BFBFBF" w:themeFill="background1" w:themeFillShade="BF"/>
          </w:tcPr>
          <w:p w14:paraId="22A2E4AA" w14:textId="77777777" w:rsidR="008F2269" w:rsidRPr="00B41044" w:rsidRDefault="008F2269" w:rsidP="002D1362">
            <w:pPr>
              <w:rPr>
                <w:b/>
                <w:bCs/>
              </w:rPr>
            </w:pPr>
          </w:p>
        </w:tc>
        <w:tc>
          <w:tcPr>
            <w:tcW w:w="691" w:type="dxa"/>
          </w:tcPr>
          <w:p w14:paraId="5E2B13F7" w14:textId="77777777" w:rsidR="008F2269" w:rsidRPr="004546C9" w:rsidRDefault="008F2269" w:rsidP="002D1362">
            <w:pPr>
              <w:jc w:val="both"/>
              <w:rPr>
                <w:sz w:val="20"/>
                <w:szCs w:val="20"/>
              </w:rPr>
            </w:pPr>
            <w:r w:rsidRPr="004546C9">
              <w:rPr>
                <w:sz w:val="20"/>
                <w:szCs w:val="20"/>
              </w:rPr>
              <w:t>A.1.2.2</w:t>
            </w:r>
          </w:p>
        </w:tc>
        <w:tc>
          <w:tcPr>
            <w:tcW w:w="3045" w:type="dxa"/>
          </w:tcPr>
          <w:p w14:paraId="35A9CC23" w14:textId="77777777" w:rsidR="008F2269" w:rsidRPr="00375CC8" w:rsidRDefault="008F2269" w:rsidP="002D1362">
            <w:pPr>
              <w:jc w:val="both"/>
              <w:rPr>
                <w:sz w:val="20"/>
                <w:szCs w:val="20"/>
              </w:rPr>
            </w:pPr>
            <w:r w:rsidRPr="00375CC8">
              <w:rPr>
                <w:sz w:val="20"/>
                <w:szCs w:val="20"/>
              </w:rPr>
              <w:t xml:space="preserve">Développer une base de données hydrologique (à partir de </w:t>
            </w:r>
            <w:proofErr w:type="spellStart"/>
            <w:r w:rsidRPr="00375CC8">
              <w:rPr>
                <w:sz w:val="20"/>
                <w:szCs w:val="20"/>
              </w:rPr>
              <w:t>Badiha</w:t>
            </w:r>
            <w:proofErr w:type="spellEnd"/>
            <w:r w:rsidRPr="00375CC8">
              <w:rPr>
                <w:sz w:val="20"/>
                <w:szCs w:val="20"/>
              </w:rPr>
              <w:t>)</w:t>
            </w:r>
          </w:p>
        </w:tc>
        <w:tc>
          <w:tcPr>
            <w:tcW w:w="811" w:type="dxa"/>
          </w:tcPr>
          <w:p w14:paraId="4E0939A6" w14:textId="77777777" w:rsidR="008F2269" w:rsidRPr="00375CC8" w:rsidRDefault="008F2269" w:rsidP="002D1362">
            <w:pPr>
              <w:jc w:val="both"/>
              <w:rPr>
                <w:sz w:val="20"/>
                <w:szCs w:val="20"/>
              </w:rPr>
            </w:pPr>
            <w:r w:rsidRPr="00375CC8">
              <w:rPr>
                <w:sz w:val="20"/>
                <w:szCs w:val="20"/>
              </w:rPr>
              <w:t>21,0</w:t>
            </w:r>
          </w:p>
        </w:tc>
        <w:tc>
          <w:tcPr>
            <w:tcW w:w="888" w:type="dxa"/>
          </w:tcPr>
          <w:p w14:paraId="52F57476" w14:textId="77777777" w:rsidR="008F2269" w:rsidRPr="00375CC8" w:rsidRDefault="008F2269" w:rsidP="002D1362">
            <w:pPr>
              <w:jc w:val="both"/>
              <w:rPr>
                <w:sz w:val="20"/>
                <w:szCs w:val="20"/>
              </w:rPr>
            </w:pPr>
            <w:r w:rsidRPr="00375CC8">
              <w:rPr>
                <w:sz w:val="20"/>
                <w:szCs w:val="20"/>
              </w:rPr>
              <w:t>1</w:t>
            </w:r>
          </w:p>
        </w:tc>
        <w:tc>
          <w:tcPr>
            <w:tcW w:w="1343" w:type="dxa"/>
          </w:tcPr>
          <w:p w14:paraId="2D81C6EF" w14:textId="77777777" w:rsidR="008F2269" w:rsidRPr="00375CC8" w:rsidRDefault="008F2269" w:rsidP="002D1362">
            <w:pPr>
              <w:jc w:val="both"/>
              <w:rPr>
                <w:sz w:val="20"/>
                <w:szCs w:val="20"/>
              </w:rPr>
            </w:pPr>
            <w:r w:rsidRPr="00375CC8">
              <w:rPr>
                <w:sz w:val="20"/>
                <w:szCs w:val="20"/>
              </w:rPr>
              <w:t>% d'avancement</w:t>
            </w:r>
          </w:p>
        </w:tc>
        <w:tc>
          <w:tcPr>
            <w:tcW w:w="1138" w:type="dxa"/>
            <w:vMerge/>
          </w:tcPr>
          <w:p w14:paraId="66B98029" w14:textId="77777777" w:rsidR="008F2269" w:rsidRPr="00B41044" w:rsidRDefault="008F2269" w:rsidP="002D1362">
            <w:pPr>
              <w:rPr>
                <w:b/>
                <w:bCs/>
                <w:sz w:val="20"/>
                <w:szCs w:val="20"/>
              </w:rPr>
            </w:pPr>
          </w:p>
        </w:tc>
      </w:tr>
      <w:tr w:rsidR="008F2269" w14:paraId="69F17536" w14:textId="77777777" w:rsidTr="002D1362">
        <w:tc>
          <w:tcPr>
            <w:tcW w:w="1372" w:type="dxa"/>
            <w:vMerge/>
            <w:shd w:val="clear" w:color="auto" w:fill="BFBFBF" w:themeFill="background1" w:themeFillShade="BF"/>
          </w:tcPr>
          <w:p w14:paraId="6027AA1A" w14:textId="77777777" w:rsidR="008F2269" w:rsidRPr="00B41044" w:rsidRDefault="008F2269" w:rsidP="002D1362">
            <w:pPr>
              <w:rPr>
                <w:b/>
                <w:bCs/>
              </w:rPr>
            </w:pPr>
          </w:p>
        </w:tc>
        <w:tc>
          <w:tcPr>
            <w:tcW w:w="691" w:type="dxa"/>
          </w:tcPr>
          <w:p w14:paraId="6CB594C3" w14:textId="77777777" w:rsidR="008F2269" w:rsidRPr="004546C9" w:rsidRDefault="008F2269" w:rsidP="002D1362">
            <w:pPr>
              <w:jc w:val="both"/>
              <w:rPr>
                <w:sz w:val="20"/>
                <w:szCs w:val="20"/>
              </w:rPr>
            </w:pPr>
            <w:r w:rsidRPr="004546C9">
              <w:rPr>
                <w:sz w:val="20"/>
                <w:szCs w:val="20"/>
              </w:rPr>
              <w:t>A.1.2.3</w:t>
            </w:r>
          </w:p>
        </w:tc>
        <w:tc>
          <w:tcPr>
            <w:tcW w:w="3045" w:type="dxa"/>
          </w:tcPr>
          <w:p w14:paraId="0D18FD92" w14:textId="77777777" w:rsidR="008F2269" w:rsidRPr="00375CC8" w:rsidRDefault="008F2269" w:rsidP="002D1362">
            <w:pPr>
              <w:jc w:val="both"/>
              <w:rPr>
                <w:sz w:val="20"/>
                <w:szCs w:val="20"/>
              </w:rPr>
            </w:pPr>
            <w:r w:rsidRPr="00375CC8">
              <w:rPr>
                <w:sz w:val="20"/>
                <w:szCs w:val="20"/>
              </w:rPr>
              <w:t>Délimiter et mettre en place des périmètres de protection des zones de captage des eaux de surface (10 sites)</w:t>
            </w:r>
          </w:p>
        </w:tc>
        <w:tc>
          <w:tcPr>
            <w:tcW w:w="811" w:type="dxa"/>
          </w:tcPr>
          <w:p w14:paraId="12C47FEA" w14:textId="77777777" w:rsidR="008F2269" w:rsidRPr="00375CC8" w:rsidRDefault="008F2269" w:rsidP="002D1362">
            <w:pPr>
              <w:jc w:val="both"/>
              <w:rPr>
                <w:sz w:val="20"/>
                <w:szCs w:val="20"/>
              </w:rPr>
            </w:pPr>
            <w:r w:rsidRPr="00375CC8">
              <w:rPr>
                <w:sz w:val="20"/>
                <w:szCs w:val="20"/>
              </w:rPr>
              <w:t>17,0</w:t>
            </w:r>
          </w:p>
        </w:tc>
        <w:tc>
          <w:tcPr>
            <w:tcW w:w="888" w:type="dxa"/>
          </w:tcPr>
          <w:p w14:paraId="176BFE7D" w14:textId="77777777" w:rsidR="008F2269" w:rsidRPr="00375CC8" w:rsidRDefault="008F2269" w:rsidP="002D1362">
            <w:pPr>
              <w:jc w:val="both"/>
              <w:rPr>
                <w:sz w:val="20"/>
                <w:szCs w:val="20"/>
              </w:rPr>
            </w:pPr>
            <w:r w:rsidRPr="00375CC8">
              <w:rPr>
                <w:sz w:val="20"/>
                <w:szCs w:val="20"/>
              </w:rPr>
              <w:t>2</w:t>
            </w:r>
          </w:p>
        </w:tc>
        <w:tc>
          <w:tcPr>
            <w:tcW w:w="1343" w:type="dxa"/>
          </w:tcPr>
          <w:p w14:paraId="250ECA05" w14:textId="77777777" w:rsidR="008F2269" w:rsidRPr="00375CC8" w:rsidRDefault="008F2269" w:rsidP="002D1362">
            <w:pPr>
              <w:jc w:val="both"/>
              <w:rPr>
                <w:sz w:val="20"/>
                <w:szCs w:val="20"/>
              </w:rPr>
            </w:pPr>
            <w:r w:rsidRPr="00375CC8">
              <w:rPr>
                <w:sz w:val="20"/>
                <w:szCs w:val="20"/>
              </w:rPr>
              <w:t>Nombre de PP</w:t>
            </w:r>
          </w:p>
          <w:p w14:paraId="4368D5AB" w14:textId="77777777" w:rsidR="008F2269" w:rsidRPr="00375CC8" w:rsidRDefault="008F2269" w:rsidP="002D1362">
            <w:pPr>
              <w:jc w:val="both"/>
              <w:rPr>
                <w:sz w:val="20"/>
                <w:szCs w:val="20"/>
              </w:rPr>
            </w:pPr>
            <w:proofErr w:type="gramStart"/>
            <w:r w:rsidRPr="00375CC8">
              <w:rPr>
                <w:sz w:val="20"/>
                <w:szCs w:val="20"/>
              </w:rPr>
              <w:t>définis</w:t>
            </w:r>
            <w:proofErr w:type="gramEnd"/>
            <w:r w:rsidRPr="00375CC8">
              <w:rPr>
                <w:sz w:val="20"/>
                <w:szCs w:val="20"/>
              </w:rPr>
              <w:t xml:space="preserve"> et validés</w:t>
            </w:r>
          </w:p>
        </w:tc>
        <w:tc>
          <w:tcPr>
            <w:tcW w:w="1138" w:type="dxa"/>
            <w:vMerge/>
          </w:tcPr>
          <w:p w14:paraId="27D9CF46" w14:textId="77777777" w:rsidR="008F2269" w:rsidRPr="00B41044" w:rsidRDefault="008F2269" w:rsidP="002D1362">
            <w:pPr>
              <w:rPr>
                <w:b/>
                <w:bCs/>
                <w:sz w:val="20"/>
                <w:szCs w:val="20"/>
              </w:rPr>
            </w:pPr>
          </w:p>
        </w:tc>
      </w:tr>
      <w:tr w:rsidR="008F2269" w14:paraId="0AA1B4B5" w14:textId="77777777" w:rsidTr="002D1362">
        <w:tc>
          <w:tcPr>
            <w:tcW w:w="1372" w:type="dxa"/>
            <w:vMerge/>
            <w:shd w:val="clear" w:color="auto" w:fill="BFBFBF" w:themeFill="background1" w:themeFillShade="BF"/>
          </w:tcPr>
          <w:p w14:paraId="6F2A8F14" w14:textId="77777777" w:rsidR="008F2269" w:rsidRPr="00B41044" w:rsidRDefault="008F2269" w:rsidP="002D1362">
            <w:pPr>
              <w:rPr>
                <w:b/>
                <w:bCs/>
              </w:rPr>
            </w:pPr>
          </w:p>
        </w:tc>
        <w:tc>
          <w:tcPr>
            <w:tcW w:w="691" w:type="dxa"/>
          </w:tcPr>
          <w:p w14:paraId="4EBFD2C6" w14:textId="77777777" w:rsidR="008F2269" w:rsidRPr="004546C9" w:rsidRDefault="008F2269" w:rsidP="002D1362">
            <w:pPr>
              <w:jc w:val="both"/>
              <w:rPr>
                <w:sz w:val="20"/>
                <w:szCs w:val="20"/>
              </w:rPr>
            </w:pPr>
            <w:r w:rsidRPr="004546C9">
              <w:rPr>
                <w:sz w:val="20"/>
                <w:szCs w:val="20"/>
              </w:rPr>
              <w:t>A.1.2.4</w:t>
            </w:r>
          </w:p>
        </w:tc>
        <w:tc>
          <w:tcPr>
            <w:tcW w:w="3045" w:type="dxa"/>
          </w:tcPr>
          <w:p w14:paraId="3005CDF9" w14:textId="77777777" w:rsidR="008F2269" w:rsidRPr="00D60131" w:rsidRDefault="008F2269" w:rsidP="002D1362">
            <w:pPr>
              <w:rPr>
                <w:sz w:val="20"/>
                <w:szCs w:val="20"/>
              </w:rPr>
            </w:pPr>
            <w:r w:rsidRPr="00D60131">
              <w:rPr>
                <w:sz w:val="20"/>
                <w:szCs w:val="20"/>
              </w:rPr>
              <w:t>Elaborer un schéma d'aménagement des ressources en eau du bassin versant du barrage de Foum Gleita (Réf : Fiche 14 - CCPNCC - composante DHB)</w:t>
            </w:r>
          </w:p>
        </w:tc>
        <w:tc>
          <w:tcPr>
            <w:tcW w:w="811" w:type="dxa"/>
          </w:tcPr>
          <w:p w14:paraId="69BB8D57" w14:textId="77777777" w:rsidR="008F2269" w:rsidRPr="00D60131" w:rsidRDefault="008F2269" w:rsidP="002D1362">
            <w:pPr>
              <w:rPr>
                <w:sz w:val="20"/>
                <w:szCs w:val="20"/>
              </w:rPr>
            </w:pPr>
            <w:r w:rsidRPr="00D60131">
              <w:rPr>
                <w:sz w:val="20"/>
                <w:szCs w:val="20"/>
              </w:rPr>
              <w:t>17,0</w:t>
            </w:r>
          </w:p>
        </w:tc>
        <w:tc>
          <w:tcPr>
            <w:tcW w:w="888" w:type="dxa"/>
          </w:tcPr>
          <w:p w14:paraId="5B2A322C" w14:textId="77777777" w:rsidR="008F2269" w:rsidRPr="00D60131" w:rsidRDefault="008F2269" w:rsidP="002D1362">
            <w:pPr>
              <w:rPr>
                <w:sz w:val="20"/>
                <w:szCs w:val="20"/>
              </w:rPr>
            </w:pPr>
            <w:r w:rsidRPr="00D60131">
              <w:rPr>
                <w:sz w:val="20"/>
                <w:szCs w:val="20"/>
              </w:rPr>
              <w:t>1</w:t>
            </w:r>
          </w:p>
        </w:tc>
        <w:tc>
          <w:tcPr>
            <w:tcW w:w="1343" w:type="dxa"/>
          </w:tcPr>
          <w:p w14:paraId="7CD3AD94" w14:textId="77777777" w:rsidR="008F2269" w:rsidRPr="00D60131" w:rsidRDefault="008F2269" w:rsidP="002D1362">
            <w:pPr>
              <w:rPr>
                <w:sz w:val="20"/>
                <w:szCs w:val="20"/>
              </w:rPr>
            </w:pPr>
            <w:r w:rsidRPr="00D60131">
              <w:rPr>
                <w:sz w:val="20"/>
                <w:szCs w:val="20"/>
              </w:rPr>
              <w:t>% d'avancement</w:t>
            </w:r>
          </w:p>
        </w:tc>
        <w:tc>
          <w:tcPr>
            <w:tcW w:w="1138" w:type="dxa"/>
            <w:vMerge/>
          </w:tcPr>
          <w:p w14:paraId="5FB700AC" w14:textId="77777777" w:rsidR="008F2269" w:rsidRPr="00B41044" w:rsidRDefault="008F2269" w:rsidP="002D1362">
            <w:pPr>
              <w:rPr>
                <w:b/>
                <w:bCs/>
                <w:sz w:val="20"/>
                <w:szCs w:val="20"/>
              </w:rPr>
            </w:pPr>
          </w:p>
        </w:tc>
      </w:tr>
      <w:tr w:rsidR="008F2269" w14:paraId="1C03148D" w14:textId="77777777" w:rsidTr="002D1362">
        <w:tc>
          <w:tcPr>
            <w:tcW w:w="1372" w:type="dxa"/>
            <w:vMerge/>
            <w:shd w:val="clear" w:color="auto" w:fill="BFBFBF" w:themeFill="background1" w:themeFillShade="BF"/>
          </w:tcPr>
          <w:p w14:paraId="789E3EA5" w14:textId="77777777" w:rsidR="008F2269" w:rsidRPr="00B41044" w:rsidRDefault="008F2269" w:rsidP="002D1362">
            <w:pPr>
              <w:rPr>
                <w:b/>
                <w:bCs/>
              </w:rPr>
            </w:pPr>
          </w:p>
        </w:tc>
        <w:tc>
          <w:tcPr>
            <w:tcW w:w="691" w:type="dxa"/>
          </w:tcPr>
          <w:p w14:paraId="69D6374D" w14:textId="77777777" w:rsidR="008F2269" w:rsidRPr="000B6DD7" w:rsidRDefault="008F2269" w:rsidP="002D1362">
            <w:pPr>
              <w:jc w:val="both"/>
              <w:rPr>
                <w:sz w:val="20"/>
                <w:szCs w:val="20"/>
              </w:rPr>
            </w:pPr>
            <w:r w:rsidRPr="000B6DD7">
              <w:rPr>
                <w:sz w:val="20"/>
                <w:szCs w:val="20"/>
              </w:rPr>
              <w:t>A.1.2.5</w:t>
            </w:r>
          </w:p>
        </w:tc>
        <w:tc>
          <w:tcPr>
            <w:tcW w:w="3045" w:type="dxa"/>
          </w:tcPr>
          <w:p w14:paraId="5A146C73" w14:textId="77777777" w:rsidR="008F2269" w:rsidRPr="00D60131" w:rsidRDefault="008F2269" w:rsidP="002D1362">
            <w:pPr>
              <w:rPr>
                <w:sz w:val="20"/>
                <w:szCs w:val="20"/>
              </w:rPr>
            </w:pPr>
            <w:r w:rsidRPr="00D60131">
              <w:rPr>
                <w:sz w:val="20"/>
                <w:szCs w:val="20"/>
              </w:rPr>
              <w:t>Etudier la recharge artificielle des nappes (10 sites)</w:t>
            </w:r>
          </w:p>
        </w:tc>
        <w:tc>
          <w:tcPr>
            <w:tcW w:w="811" w:type="dxa"/>
          </w:tcPr>
          <w:p w14:paraId="5C914BB2" w14:textId="77777777" w:rsidR="008F2269" w:rsidRPr="00D60131" w:rsidRDefault="008F2269" w:rsidP="002D1362">
            <w:pPr>
              <w:rPr>
                <w:sz w:val="20"/>
                <w:szCs w:val="20"/>
              </w:rPr>
            </w:pPr>
            <w:r w:rsidRPr="00D60131">
              <w:rPr>
                <w:sz w:val="20"/>
                <w:szCs w:val="20"/>
              </w:rPr>
              <w:t>26</w:t>
            </w:r>
          </w:p>
          <w:p w14:paraId="4D11D649" w14:textId="77777777" w:rsidR="008F2269" w:rsidRPr="00D60131" w:rsidRDefault="008F2269" w:rsidP="002D1362">
            <w:pPr>
              <w:rPr>
                <w:sz w:val="20"/>
                <w:szCs w:val="20"/>
              </w:rPr>
            </w:pPr>
          </w:p>
        </w:tc>
        <w:tc>
          <w:tcPr>
            <w:tcW w:w="888" w:type="dxa"/>
          </w:tcPr>
          <w:p w14:paraId="40569A91" w14:textId="77777777" w:rsidR="008F2269" w:rsidRPr="00D60131" w:rsidRDefault="008F2269" w:rsidP="002D1362">
            <w:pPr>
              <w:rPr>
                <w:sz w:val="20"/>
                <w:szCs w:val="20"/>
              </w:rPr>
            </w:pPr>
            <w:r w:rsidRPr="00D60131">
              <w:rPr>
                <w:sz w:val="20"/>
                <w:szCs w:val="20"/>
              </w:rPr>
              <w:t>1</w:t>
            </w:r>
          </w:p>
        </w:tc>
        <w:tc>
          <w:tcPr>
            <w:tcW w:w="1343" w:type="dxa"/>
          </w:tcPr>
          <w:p w14:paraId="557483AB" w14:textId="77777777" w:rsidR="008F2269" w:rsidRPr="00D60131" w:rsidRDefault="008F2269" w:rsidP="002D1362">
            <w:pPr>
              <w:rPr>
                <w:sz w:val="20"/>
                <w:szCs w:val="20"/>
              </w:rPr>
            </w:pPr>
            <w:r w:rsidRPr="00D60131">
              <w:rPr>
                <w:sz w:val="20"/>
                <w:szCs w:val="20"/>
              </w:rPr>
              <w:t>Nombre de sites</w:t>
            </w:r>
          </w:p>
          <w:p w14:paraId="71EC0C89" w14:textId="77777777" w:rsidR="008F2269" w:rsidRPr="00D60131" w:rsidRDefault="008F2269" w:rsidP="002D1362">
            <w:pPr>
              <w:rPr>
                <w:sz w:val="20"/>
                <w:szCs w:val="20"/>
              </w:rPr>
            </w:pPr>
            <w:r w:rsidRPr="00D60131">
              <w:rPr>
                <w:sz w:val="20"/>
                <w:szCs w:val="20"/>
              </w:rPr>
              <w:t>Etudiés</w:t>
            </w:r>
          </w:p>
        </w:tc>
        <w:tc>
          <w:tcPr>
            <w:tcW w:w="1138" w:type="dxa"/>
            <w:vMerge/>
          </w:tcPr>
          <w:p w14:paraId="07A9E6AC" w14:textId="77777777" w:rsidR="008F2269" w:rsidRPr="00B41044" w:rsidRDefault="008F2269" w:rsidP="002D1362">
            <w:pPr>
              <w:rPr>
                <w:b/>
                <w:bCs/>
                <w:sz w:val="20"/>
                <w:szCs w:val="20"/>
              </w:rPr>
            </w:pPr>
          </w:p>
        </w:tc>
      </w:tr>
      <w:tr w:rsidR="008F2269" w14:paraId="6618757B" w14:textId="77777777" w:rsidTr="002D1362">
        <w:tc>
          <w:tcPr>
            <w:tcW w:w="1372" w:type="dxa"/>
            <w:vMerge/>
            <w:shd w:val="clear" w:color="auto" w:fill="BFBFBF" w:themeFill="background1" w:themeFillShade="BF"/>
          </w:tcPr>
          <w:p w14:paraId="3D382450" w14:textId="77777777" w:rsidR="008F2269" w:rsidRPr="00B41044" w:rsidRDefault="008F2269" w:rsidP="002D1362">
            <w:pPr>
              <w:rPr>
                <w:b/>
                <w:bCs/>
              </w:rPr>
            </w:pPr>
          </w:p>
        </w:tc>
        <w:tc>
          <w:tcPr>
            <w:tcW w:w="691" w:type="dxa"/>
          </w:tcPr>
          <w:p w14:paraId="2DD5E8A8" w14:textId="77777777" w:rsidR="008F2269" w:rsidRPr="000B6DD7" w:rsidRDefault="008F2269" w:rsidP="002D1362">
            <w:pPr>
              <w:jc w:val="both"/>
              <w:rPr>
                <w:sz w:val="20"/>
                <w:szCs w:val="20"/>
              </w:rPr>
            </w:pPr>
            <w:r w:rsidRPr="000B6DD7">
              <w:rPr>
                <w:sz w:val="20"/>
                <w:szCs w:val="20"/>
              </w:rPr>
              <w:t>A.1.2.6</w:t>
            </w:r>
          </w:p>
        </w:tc>
        <w:tc>
          <w:tcPr>
            <w:tcW w:w="3045" w:type="dxa"/>
          </w:tcPr>
          <w:p w14:paraId="024B3579" w14:textId="77777777" w:rsidR="008F2269" w:rsidRPr="00D60131" w:rsidRDefault="008F2269" w:rsidP="002D1362">
            <w:pPr>
              <w:rPr>
                <w:sz w:val="20"/>
                <w:szCs w:val="20"/>
              </w:rPr>
            </w:pPr>
            <w:r w:rsidRPr="00D60131">
              <w:rPr>
                <w:sz w:val="20"/>
                <w:szCs w:val="20"/>
              </w:rPr>
              <w:t>Réaliser les aménagements de recharge de nappe (10 sites)</w:t>
            </w:r>
          </w:p>
        </w:tc>
        <w:tc>
          <w:tcPr>
            <w:tcW w:w="811" w:type="dxa"/>
          </w:tcPr>
          <w:p w14:paraId="1A4F1E87" w14:textId="77777777" w:rsidR="008F2269" w:rsidRPr="00D60131" w:rsidRDefault="008F2269" w:rsidP="002D1362">
            <w:pPr>
              <w:rPr>
                <w:sz w:val="20"/>
                <w:szCs w:val="20"/>
              </w:rPr>
            </w:pPr>
            <w:r w:rsidRPr="00D60131">
              <w:rPr>
                <w:sz w:val="20"/>
                <w:szCs w:val="20"/>
              </w:rPr>
              <w:t>32</w:t>
            </w:r>
          </w:p>
          <w:p w14:paraId="6852E407" w14:textId="77777777" w:rsidR="008F2269" w:rsidRPr="00D60131" w:rsidRDefault="008F2269" w:rsidP="002D1362">
            <w:pPr>
              <w:rPr>
                <w:sz w:val="20"/>
                <w:szCs w:val="20"/>
              </w:rPr>
            </w:pPr>
          </w:p>
        </w:tc>
        <w:tc>
          <w:tcPr>
            <w:tcW w:w="888" w:type="dxa"/>
          </w:tcPr>
          <w:p w14:paraId="4F02E038" w14:textId="77777777" w:rsidR="008F2269" w:rsidRPr="00D60131" w:rsidRDefault="008F2269" w:rsidP="002D1362">
            <w:pPr>
              <w:rPr>
                <w:sz w:val="20"/>
                <w:szCs w:val="20"/>
              </w:rPr>
            </w:pPr>
            <w:r w:rsidRPr="00D60131">
              <w:rPr>
                <w:sz w:val="20"/>
                <w:szCs w:val="20"/>
              </w:rPr>
              <w:t>3</w:t>
            </w:r>
          </w:p>
        </w:tc>
        <w:tc>
          <w:tcPr>
            <w:tcW w:w="1343" w:type="dxa"/>
          </w:tcPr>
          <w:p w14:paraId="3C60B1F7" w14:textId="77777777" w:rsidR="008F2269" w:rsidRPr="00D60131" w:rsidRDefault="008F2269" w:rsidP="002D1362">
            <w:pPr>
              <w:rPr>
                <w:sz w:val="20"/>
                <w:szCs w:val="20"/>
              </w:rPr>
            </w:pPr>
            <w:r w:rsidRPr="00D60131">
              <w:rPr>
                <w:sz w:val="20"/>
                <w:szCs w:val="20"/>
              </w:rPr>
              <w:t>Nombre</w:t>
            </w:r>
          </w:p>
          <w:p w14:paraId="6498209A" w14:textId="77777777" w:rsidR="008F2269" w:rsidRPr="00D60131" w:rsidRDefault="008F2269" w:rsidP="002D1362">
            <w:pPr>
              <w:rPr>
                <w:sz w:val="20"/>
                <w:szCs w:val="20"/>
              </w:rPr>
            </w:pPr>
            <w:r w:rsidRPr="00D60131">
              <w:rPr>
                <w:sz w:val="20"/>
                <w:szCs w:val="20"/>
              </w:rPr>
              <w:t>D’aménagements</w:t>
            </w:r>
          </w:p>
          <w:p w14:paraId="3B27A5E9" w14:textId="77777777" w:rsidR="008F2269" w:rsidRPr="00D60131" w:rsidRDefault="008F2269" w:rsidP="002D1362">
            <w:pPr>
              <w:rPr>
                <w:sz w:val="20"/>
                <w:szCs w:val="20"/>
              </w:rPr>
            </w:pPr>
            <w:proofErr w:type="gramStart"/>
            <w:r w:rsidRPr="00D60131">
              <w:rPr>
                <w:sz w:val="20"/>
                <w:szCs w:val="20"/>
              </w:rPr>
              <w:t>réalisés</w:t>
            </w:r>
            <w:proofErr w:type="gramEnd"/>
          </w:p>
        </w:tc>
        <w:tc>
          <w:tcPr>
            <w:tcW w:w="1138" w:type="dxa"/>
            <w:vMerge/>
          </w:tcPr>
          <w:p w14:paraId="7B14C00C" w14:textId="77777777" w:rsidR="008F2269" w:rsidRPr="00B41044" w:rsidRDefault="008F2269" w:rsidP="002D1362">
            <w:pPr>
              <w:rPr>
                <w:b/>
                <w:bCs/>
                <w:sz w:val="20"/>
                <w:szCs w:val="20"/>
              </w:rPr>
            </w:pPr>
          </w:p>
        </w:tc>
      </w:tr>
      <w:tr w:rsidR="008F2269" w14:paraId="7589308C" w14:textId="77777777" w:rsidTr="002D1362">
        <w:tc>
          <w:tcPr>
            <w:tcW w:w="1372" w:type="dxa"/>
            <w:vMerge w:val="restart"/>
            <w:shd w:val="clear" w:color="auto" w:fill="BFBFBF" w:themeFill="background1" w:themeFillShade="BF"/>
          </w:tcPr>
          <w:p w14:paraId="535FE9E4" w14:textId="77777777" w:rsidR="008F2269" w:rsidRPr="008263D1" w:rsidRDefault="008F2269" w:rsidP="002D1362">
            <w:pPr>
              <w:jc w:val="both"/>
              <w:rPr>
                <w:sz w:val="20"/>
                <w:szCs w:val="20"/>
              </w:rPr>
            </w:pPr>
            <w:r w:rsidRPr="008263D1">
              <w:rPr>
                <w:sz w:val="20"/>
                <w:szCs w:val="20"/>
              </w:rPr>
              <w:t>R1.3 La</w:t>
            </w:r>
          </w:p>
          <w:p w14:paraId="219CB37C" w14:textId="77777777" w:rsidR="008F2269" w:rsidRPr="008263D1" w:rsidRDefault="008F2269" w:rsidP="002D1362">
            <w:pPr>
              <w:jc w:val="both"/>
              <w:rPr>
                <w:sz w:val="20"/>
                <w:szCs w:val="20"/>
              </w:rPr>
            </w:pPr>
            <w:r w:rsidRPr="008263D1">
              <w:rPr>
                <w:sz w:val="20"/>
                <w:szCs w:val="20"/>
              </w:rPr>
              <w:t>Connaissance des</w:t>
            </w:r>
          </w:p>
          <w:p w14:paraId="139E65DB" w14:textId="77777777" w:rsidR="008F2269" w:rsidRPr="008263D1" w:rsidRDefault="008F2269" w:rsidP="002D1362">
            <w:pPr>
              <w:jc w:val="both"/>
              <w:rPr>
                <w:sz w:val="20"/>
                <w:szCs w:val="20"/>
              </w:rPr>
            </w:pPr>
            <w:r w:rsidRPr="008263D1">
              <w:rPr>
                <w:sz w:val="20"/>
                <w:szCs w:val="20"/>
              </w:rPr>
              <w:t>Eaux souterraines</w:t>
            </w:r>
          </w:p>
          <w:p w14:paraId="3EB632D0" w14:textId="77777777" w:rsidR="008F2269" w:rsidRPr="00B41044" w:rsidRDefault="008F2269" w:rsidP="002D1362">
            <w:pPr>
              <w:jc w:val="both"/>
              <w:rPr>
                <w:b/>
                <w:bCs/>
              </w:rPr>
            </w:pPr>
            <w:proofErr w:type="gramStart"/>
            <w:r w:rsidRPr="008263D1">
              <w:rPr>
                <w:sz w:val="20"/>
                <w:szCs w:val="20"/>
              </w:rPr>
              <w:t>est</w:t>
            </w:r>
            <w:proofErr w:type="gramEnd"/>
            <w:r w:rsidRPr="008263D1">
              <w:rPr>
                <w:sz w:val="20"/>
                <w:szCs w:val="20"/>
              </w:rPr>
              <w:t xml:space="preserve"> améliorée</w:t>
            </w:r>
          </w:p>
        </w:tc>
        <w:tc>
          <w:tcPr>
            <w:tcW w:w="691" w:type="dxa"/>
          </w:tcPr>
          <w:p w14:paraId="6EC82E80" w14:textId="77777777" w:rsidR="008F2269" w:rsidRPr="000B6DD7" w:rsidRDefault="008F2269" w:rsidP="002D1362">
            <w:pPr>
              <w:jc w:val="both"/>
              <w:rPr>
                <w:sz w:val="20"/>
                <w:szCs w:val="20"/>
              </w:rPr>
            </w:pPr>
            <w:r w:rsidRPr="000B6DD7">
              <w:rPr>
                <w:sz w:val="20"/>
                <w:szCs w:val="20"/>
              </w:rPr>
              <w:t>A.1.3.1</w:t>
            </w:r>
          </w:p>
        </w:tc>
        <w:tc>
          <w:tcPr>
            <w:tcW w:w="3045" w:type="dxa"/>
          </w:tcPr>
          <w:p w14:paraId="10ACD5A5" w14:textId="77777777" w:rsidR="008F2269" w:rsidRPr="0046106E" w:rsidRDefault="008F2269" w:rsidP="002D1362">
            <w:pPr>
              <w:rPr>
                <w:sz w:val="20"/>
                <w:szCs w:val="20"/>
              </w:rPr>
            </w:pPr>
            <w:r w:rsidRPr="0046106E">
              <w:rPr>
                <w:sz w:val="20"/>
                <w:szCs w:val="20"/>
              </w:rPr>
              <w:t>Réaliser des études de synthèse hydrogéologiques</w:t>
            </w:r>
          </w:p>
          <w:p w14:paraId="518CD935" w14:textId="77777777" w:rsidR="008F2269" w:rsidRPr="0046106E" w:rsidRDefault="008F2269" w:rsidP="002D1362">
            <w:pPr>
              <w:rPr>
                <w:sz w:val="20"/>
                <w:szCs w:val="20"/>
              </w:rPr>
            </w:pPr>
            <w:proofErr w:type="gramStart"/>
            <w:r w:rsidRPr="0046106E">
              <w:rPr>
                <w:sz w:val="20"/>
                <w:szCs w:val="20"/>
              </w:rPr>
              <w:t>régionales</w:t>
            </w:r>
            <w:proofErr w:type="gramEnd"/>
            <w:r w:rsidRPr="0046106E">
              <w:rPr>
                <w:sz w:val="20"/>
                <w:szCs w:val="20"/>
              </w:rPr>
              <w:t xml:space="preserve"> (3)</w:t>
            </w:r>
          </w:p>
        </w:tc>
        <w:tc>
          <w:tcPr>
            <w:tcW w:w="811" w:type="dxa"/>
          </w:tcPr>
          <w:p w14:paraId="23759DEC" w14:textId="77777777" w:rsidR="008F2269" w:rsidRPr="0046106E" w:rsidRDefault="008F2269" w:rsidP="002D1362">
            <w:pPr>
              <w:rPr>
                <w:sz w:val="20"/>
                <w:szCs w:val="20"/>
              </w:rPr>
            </w:pPr>
            <w:r w:rsidRPr="0046106E">
              <w:rPr>
                <w:sz w:val="20"/>
                <w:szCs w:val="20"/>
              </w:rPr>
              <w:t xml:space="preserve">32 </w:t>
            </w:r>
          </w:p>
          <w:p w14:paraId="72382E23" w14:textId="77777777" w:rsidR="008F2269" w:rsidRPr="0046106E" w:rsidRDefault="008F2269" w:rsidP="002D1362">
            <w:pPr>
              <w:rPr>
                <w:sz w:val="20"/>
                <w:szCs w:val="20"/>
              </w:rPr>
            </w:pPr>
          </w:p>
        </w:tc>
        <w:tc>
          <w:tcPr>
            <w:tcW w:w="888" w:type="dxa"/>
          </w:tcPr>
          <w:p w14:paraId="704EF8E3" w14:textId="77777777" w:rsidR="008F2269" w:rsidRPr="0046106E" w:rsidRDefault="008F2269" w:rsidP="002D1362">
            <w:pPr>
              <w:rPr>
                <w:sz w:val="20"/>
                <w:szCs w:val="20"/>
              </w:rPr>
            </w:pPr>
            <w:r w:rsidRPr="0046106E">
              <w:rPr>
                <w:sz w:val="20"/>
                <w:szCs w:val="20"/>
              </w:rPr>
              <w:t>1</w:t>
            </w:r>
          </w:p>
        </w:tc>
        <w:tc>
          <w:tcPr>
            <w:tcW w:w="1343" w:type="dxa"/>
          </w:tcPr>
          <w:p w14:paraId="20AF0631" w14:textId="77777777" w:rsidR="008F2269" w:rsidRPr="0046106E" w:rsidRDefault="008F2269" w:rsidP="002D1362">
            <w:pPr>
              <w:rPr>
                <w:sz w:val="20"/>
                <w:szCs w:val="20"/>
              </w:rPr>
            </w:pPr>
            <w:r w:rsidRPr="0046106E">
              <w:rPr>
                <w:sz w:val="20"/>
                <w:szCs w:val="20"/>
              </w:rPr>
              <w:t>Nombre d'études</w:t>
            </w:r>
          </w:p>
          <w:p w14:paraId="758D44AA" w14:textId="77777777" w:rsidR="008F2269" w:rsidRPr="0046106E" w:rsidRDefault="008F2269" w:rsidP="002D1362">
            <w:pPr>
              <w:rPr>
                <w:sz w:val="20"/>
                <w:szCs w:val="20"/>
              </w:rPr>
            </w:pPr>
            <w:r w:rsidRPr="0046106E">
              <w:rPr>
                <w:sz w:val="20"/>
                <w:szCs w:val="20"/>
              </w:rPr>
              <w:t>Réalisées/3</w:t>
            </w:r>
          </w:p>
        </w:tc>
        <w:tc>
          <w:tcPr>
            <w:tcW w:w="1138" w:type="dxa"/>
            <w:vMerge w:val="restart"/>
          </w:tcPr>
          <w:p w14:paraId="479016CF" w14:textId="77777777" w:rsidR="008F2269" w:rsidRPr="00B01EA3" w:rsidRDefault="008F2269" w:rsidP="002D1362">
            <w:pPr>
              <w:jc w:val="both"/>
              <w:rPr>
                <w:sz w:val="20"/>
                <w:szCs w:val="20"/>
              </w:rPr>
            </w:pPr>
            <w:r w:rsidRPr="00B01EA3">
              <w:rPr>
                <w:sz w:val="20"/>
                <w:szCs w:val="20"/>
              </w:rPr>
              <w:t>% d'avancement</w:t>
            </w:r>
          </w:p>
          <w:p w14:paraId="7DC7D026" w14:textId="77777777" w:rsidR="008F2269" w:rsidRPr="00B01EA3" w:rsidRDefault="008F2269" w:rsidP="002D1362">
            <w:pPr>
              <w:jc w:val="both"/>
              <w:rPr>
                <w:sz w:val="20"/>
                <w:szCs w:val="20"/>
              </w:rPr>
            </w:pPr>
          </w:p>
        </w:tc>
      </w:tr>
      <w:tr w:rsidR="008F2269" w14:paraId="2D1FBFFA" w14:textId="77777777" w:rsidTr="002D1362">
        <w:tc>
          <w:tcPr>
            <w:tcW w:w="1372" w:type="dxa"/>
            <w:vMerge/>
            <w:tcBorders>
              <w:bottom w:val="single" w:sz="4" w:space="0" w:color="auto"/>
            </w:tcBorders>
            <w:shd w:val="clear" w:color="auto" w:fill="BFBFBF" w:themeFill="background1" w:themeFillShade="BF"/>
          </w:tcPr>
          <w:p w14:paraId="2B1856AF" w14:textId="77777777" w:rsidR="008F2269" w:rsidRPr="00B41044" w:rsidRDefault="008F2269" w:rsidP="002D1362">
            <w:pPr>
              <w:rPr>
                <w:b/>
                <w:bCs/>
              </w:rPr>
            </w:pPr>
          </w:p>
        </w:tc>
        <w:tc>
          <w:tcPr>
            <w:tcW w:w="691" w:type="dxa"/>
          </w:tcPr>
          <w:p w14:paraId="5FC239BC" w14:textId="77777777" w:rsidR="008F2269" w:rsidRPr="000B6DD7" w:rsidRDefault="008F2269" w:rsidP="002D1362">
            <w:pPr>
              <w:jc w:val="both"/>
              <w:rPr>
                <w:sz w:val="20"/>
                <w:szCs w:val="20"/>
              </w:rPr>
            </w:pPr>
            <w:r w:rsidRPr="000B6DD7">
              <w:rPr>
                <w:sz w:val="20"/>
                <w:szCs w:val="20"/>
              </w:rPr>
              <w:t>A.1.3.2</w:t>
            </w:r>
          </w:p>
        </w:tc>
        <w:tc>
          <w:tcPr>
            <w:tcW w:w="3045" w:type="dxa"/>
          </w:tcPr>
          <w:p w14:paraId="392DCA0C" w14:textId="77777777" w:rsidR="008F2269" w:rsidRPr="0046106E" w:rsidRDefault="008F2269" w:rsidP="002D1362">
            <w:pPr>
              <w:rPr>
                <w:sz w:val="20"/>
                <w:szCs w:val="20"/>
              </w:rPr>
            </w:pPr>
            <w:r w:rsidRPr="0046106E">
              <w:rPr>
                <w:sz w:val="20"/>
                <w:szCs w:val="20"/>
              </w:rPr>
              <w:t>Réaliser des forages de reconnaissances dans les zones peu connues (</w:t>
            </w:r>
            <w:proofErr w:type="spellStart"/>
            <w:r w:rsidRPr="0046106E">
              <w:rPr>
                <w:sz w:val="20"/>
                <w:szCs w:val="20"/>
              </w:rPr>
              <w:t>Taoudenit</w:t>
            </w:r>
            <w:proofErr w:type="spellEnd"/>
            <w:r w:rsidRPr="0046106E">
              <w:rPr>
                <w:sz w:val="20"/>
                <w:szCs w:val="20"/>
              </w:rPr>
              <w:t xml:space="preserve"> / 5 – Aouker / 10)</w:t>
            </w:r>
          </w:p>
        </w:tc>
        <w:tc>
          <w:tcPr>
            <w:tcW w:w="811" w:type="dxa"/>
          </w:tcPr>
          <w:p w14:paraId="2CAD05A7" w14:textId="77777777" w:rsidR="008F2269" w:rsidRPr="0046106E" w:rsidRDefault="008F2269" w:rsidP="002D1362">
            <w:pPr>
              <w:rPr>
                <w:sz w:val="20"/>
                <w:szCs w:val="20"/>
              </w:rPr>
            </w:pPr>
            <w:r w:rsidRPr="0046106E">
              <w:rPr>
                <w:sz w:val="20"/>
                <w:szCs w:val="20"/>
              </w:rPr>
              <w:t xml:space="preserve">27 </w:t>
            </w:r>
          </w:p>
          <w:p w14:paraId="04BEA29A" w14:textId="77777777" w:rsidR="008F2269" w:rsidRPr="0046106E" w:rsidRDefault="008F2269" w:rsidP="002D1362">
            <w:pPr>
              <w:rPr>
                <w:sz w:val="20"/>
                <w:szCs w:val="20"/>
              </w:rPr>
            </w:pPr>
          </w:p>
        </w:tc>
        <w:tc>
          <w:tcPr>
            <w:tcW w:w="888" w:type="dxa"/>
          </w:tcPr>
          <w:p w14:paraId="207093A3" w14:textId="77777777" w:rsidR="008F2269" w:rsidRPr="0046106E" w:rsidRDefault="008F2269" w:rsidP="002D1362">
            <w:pPr>
              <w:rPr>
                <w:sz w:val="20"/>
                <w:szCs w:val="20"/>
              </w:rPr>
            </w:pPr>
            <w:r w:rsidRPr="0046106E">
              <w:rPr>
                <w:sz w:val="20"/>
                <w:szCs w:val="20"/>
              </w:rPr>
              <w:t>2</w:t>
            </w:r>
          </w:p>
        </w:tc>
        <w:tc>
          <w:tcPr>
            <w:tcW w:w="1343" w:type="dxa"/>
          </w:tcPr>
          <w:p w14:paraId="19DC95B4" w14:textId="77777777" w:rsidR="008F2269" w:rsidRPr="0046106E" w:rsidRDefault="008F2269" w:rsidP="002D1362">
            <w:pPr>
              <w:rPr>
                <w:sz w:val="20"/>
                <w:szCs w:val="20"/>
              </w:rPr>
            </w:pPr>
            <w:r w:rsidRPr="0046106E">
              <w:rPr>
                <w:sz w:val="20"/>
                <w:szCs w:val="20"/>
              </w:rPr>
              <w:t>Nombre de forages</w:t>
            </w:r>
          </w:p>
          <w:p w14:paraId="3E67EACA" w14:textId="77777777" w:rsidR="008F2269" w:rsidRPr="0046106E" w:rsidRDefault="008F2269" w:rsidP="002D1362">
            <w:pPr>
              <w:rPr>
                <w:sz w:val="20"/>
                <w:szCs w:val="20"/>
              </w:rPr>
            </w:pPr>
            <w:r w:rsidRPr="0046106E">
              <w:rPr>
                <w:sz w:val="20"/>
                <w:szCs w:val="20"/>
              </w:rPr>
              <w:t>Réalisés/15</w:t>
            </w:r>
          </w:p>
        </w:tc>
        <w:tc>
          <w:tcPr>
            <w:tcW w:w="1138" w:type="dxa"/>
            <w:vMerge/>
          </w:tcPr>
          <w:p w14:paraId="33A71D67" w14:textId="77777777" w:rsidR="008F2269" w:rsidRPr="00B01EA3" w:rsidRDefault="008F2269" w:rsidP="002D1362">
            <w:pPr>
              <w:jc w:val="both"/>
              <w:rPr>
                <w:sz w:val="20"/>
                <w:szCs w:val="20"/>
              </w:rPr>
            </w:pPr>
          </w:p>
        </w:tc>
      </w:tr>
      <w:tr w:rsidR="008F2269" w14:paraId="2C6AF7D9" w14:textId="77777777" w:rsidTr="002D1362">
        <w:tc>
          <w:tcPr>
            <w:tcW w:w="1372" w:type="dxa"/>
            <w:vMerge w:val="restart"/>
            <w:tcBorders>
              <w:bottom w:val="single" w:sz="4" w:space="0" w:color="auto"/>
            </w:tcBorders>
            <w:shd w:val="clear" w:color="auto" w:fill="BFBFBF" w:themeFill="background1" w:themeFillShade="BF"/>
          </w:tcPr>
          <w:p w14:paraId="36149F34" w14:textId="77777777" w:rsidR="008F2269" w:rsidRPr="00B41044" w:rsidRDefault="008F2269" w:rsidP="002D1362">
            <w:pPr>
              <w:rPr>
                <w:b/>
                <w:bCs/>
              </w:rPr>
            </w:pPr>
          </w:p>
          <w:p w14:paraId="502C6F5F" w14:textId="77777777" w:rsidR="008F2269" w:rsidRPr="00B41044" w:rsidRDefault="008F2269" w:rsidP="002D1362">
            <w:pPr>
              <w:rPr>
                <w:b/>
                <w:bCs/>
              </w:rPr>
            </w:pPr>
          </w:p>
          <w:p w14:paraId="53B9756A" w14:textId="77777777" w:rsidR="008F2269" w:rsidRPr="008263D1" w:rsidRDefault="008F2269" w:rsidP="002D1362">
            <w:pPr>
              <w:rPr>
                <w:sz w:val="20"/>
                <w:szCs w:val="20"/>
              </w:rPr>
            </w:pPr>
          </w:p>
          <w:p w14:paraId="0CDA3E8D" w14:textId="77777777" w:rsidR="008F2269" w:rsidRPr="008263D1" w:rsidRDefault="008F2269" w:rsidP="002D1362">
            <w:pPr>
              <w:jc w:val="both"/>
              <w:rPr>
                <w:sz w:val="20"/>
                <w:szCs w:val="20"/>
              </w:rPr>
            </w:pPr>
          </w:p>
          <w:p w14:paraId="2B9E4EF0" w14:textId="77777777" w:rsidR="008F2269" w:rsidRPr="008263D1" w:rsidRDefault="008F2269" w:rsidP="002D1362">
            <w:pPr>
              <w:jc w:val="both"/>
              <w:rPr>
                <w:sz w:val="20"/>
                <w:szCs w:val="20"/>
              </w:rPr>
            </w:pPr>
            <w:r w:rsidRPr="008263D1">
              <w:rPr>
                <w:sz w:val="20"/>
                <w:szCs w:val="20"/>
              </w:rPr>
              <w:t>R1.4 Le suivi et là</w:t>
            </w:r>
          </w:p>
          <w:p w14:paraId="73470B00" w14:textId="77777777" w:rsidR="008F2269" w:rsidRPr="008263D1" w:rsidRDefault="008F2269" w:rsidP="002D1362">
            <w:pPr>
              <w:jc w:val="both"/>
              <w:rPr>
                <w:sz w:val="20"/>
                <w:szCs w:val="20"/>
              </w:rPr>
            </w:pPr>
            <w:r w:rsidRPr="008263D1">
              <w:rPr>
                <w:sz w:val="20"/>
                <w:szCs w:val="20"/>
              </w:rPr>
              <w:t>Protection des eaux souterraines</w:t>
            </w:r>
          </w:p>
          <w:p w14:paraId="077DF996" w14:textId="77777777" w:rsidR="008F2269" w:rsidRPr="00B41044" w:rsidRDefault="008F2269" w:rsidP="002D1362">
            <w:pPr>
              <w:jc w:val="both"/>
              <w:rPr>
                <w:b/>
                <w:bCs/>
              </w:rPr>
            </w:pPr>
            <w:proofErr w:type="gramStart"/>
            <w:r w:rsidRPr="008263D1">
              <w:rPr>
                <w:sz w:val="20"/>
                <w:szCs w:val="20"/>
              </w:rPr>
              <w:t>sont</w:t>
            </w:r>
            <w:proofErr w:type="gramEnd"/>
            <w:r w:rsidRPr="008263D1">
              <w:rPr>
                <w:sz w:val="20"/>
                <w:szCs w:val="20"/>
              </w:rPr>
              <w:t xml:space="preserve"> améliorés</w:t>
            </w:r>
          </w:p>
        </w:tc>
        <w:tc>
          <w:tcPr>
            <w:tcW w:w="691" w:type="dxa"/>
          </w:tcPr>
          <w:p w14:paraId="06DCA944" w14:textId="77777777" w:rsidR="008F2269" w:rsidRPr="000B6DD7" w:rsidRDefault="008F2269" w:rsidP="002D1362">
            <w:pPr>
              <w:jc w:val="both"/>
              <w:rPr>
                <w:sz w:val="20"/>
                <w:szCs w:val="20"/>
              </w:rPr>
            </w:pPr>
            <w:r w:rsidRPr="000B6DD7">
              <w:rPr>
                <w:sz w:val="20"/>
                <w:szCs w:val="20"/>
              </w:rPr>
              <w:t>A.1.4.1</w:t>
            </w:r>
          </w:p>
        </w:tc>
        <w:tc>
          <w:tcPr>
            <w:tcW w:w="3045" w:type="dxa"/>
          </w:tcPr>
          <w:p w14:paraId="5A564AE7" w14:textId="77777777" w:rsidR="008F2269" w:rsidRPr="0046106E" w:rsidRDefault="008F2269" w:rsidP="002D1362">
            <w:pPr>
              <w:tabs>
                <w:tab w:val="left" w:pos="917"/>
              </w:tabs>
              <w:rPr>
                <w:sz w:val="20"/>
                <w:szCs w:val="20"/>
              </w:rPr>
            </w:pPr>
            <w:r w:rsidRPr="0046106E">
              <w:rPr>
                <w:sz w:val="20"/>
                <w:szCs w:val="20"/>
              </w:rPr>
              <w:t>Renforcer le réseau des piézomètres existants et assurer</w:t>
            </w:r>
          </w:p>
          <w:p w14:paraId="3B845869" w14:textId="77777777" w:rsidR="008F2269" w:rsidRPr="0046106E" w:rsidRDefault="008F2269" w:rsidP="002D1362">
            <w:pPr>
              <w:tabs>
                <w:tab w:val="left" w:pos="917"/>
              </w:tabs>
              <w:rPr>
                <w:sz w:val="20"/>
                <w:szCs w:val="20"/>
              </w:rPr>
            </w:pPr>
            <w:proofErr w:type="gramStart"/>
            <w:r w:rsidRPr="0046106E">
              <w:rPr>
                <w:sz w:val="20"/>
                <w:szCs w:val="20"/>
              </w:rPr>
              <w:t>son</w:t>
            </w:r>
            <w:proofErr w:type="gramEnd"/>
            <w:r w:rsidRPr="0046106E">
              <w:rPr>
                <w:sz w:val="20"/>
                <w:szCs w:val="20"/>
              </w:rPr>
              <w:t xml:space="preserve"> suivi (50 piézomètres)</w:t>
            </w:r>
          </w:p>
        </w:tc>
        <w:tc>
          <w:tcPr>
            <w:tcW w:w="811" w:type="dxa"/>
          </w:tcPr>
          <w:p w14:paraId="5F407B7A" w14:textId="77777777" w:rsidR="008F2269" w:rsidRPr="0046106E" w:rsidRDefault="008F2269" w:rsidP="002D1362">
            <w:pPr>
              <w:tabs>
                <w:tab w:val="left" w:pos="917"/>
              </w:tabs>
              <w:rPr>
                <w:sz w:val="20"/>
                <w:szCs w:val="20"/>
              </w:rPr>
            </w:pPr>
            <w:r w:rsidRPr="0046106E">
              <w:rPr>
                <w:sz w:val="20"/>
                <w:szCs w:val="20"/>
              </w:rPr>
              <w:t>32</w:t>
            </w:r>
          </w:p>
          <w:p w14:paraId="47CDCE29" w14:textId="77777777" w:rsidR="008F2269" w:rsidRPr="0046106E" w:rsidRDefault="008F2269" w:rsidP="002D1362">
            <w:pPr>
              <w:tabs>
                <w:tab w:val="left" w:pos="917"/>
              </w:tabs>
              <w:rPr>
                <w:sz w:val="20"/>
                <w:szCs w:val="20"/>
              </w:rPr>
            </w:pPr>
          </w:p>
        </w:tc>
        <w:tc>
          <w:tcPr>
            <w:tcW w:w="888" w:type="dxa"/>
          </w:tcPr>
          <w:p w14:paraId="3D6AE8BD" w14:textId="77777777" w:rsidR="008F2269" w:rsidRPr="0046106E" w:rsidRDefault="008F2269" w:rsidP="002D1362">
            <w:pPr>
              <w:tabs>
                <w:tab w:val="left" w:pos="917"/>
              </w:tabs>
              <w:rPr>
                <w:sz w:val="20"/>
                <w:szCs w:val="20"/>
              </w:rPr>
            </w:pPr>
            <w:r w:rsidRPr="0046106E">
              <w:rPr>
                <w:sz w:val="20"/>
                <w:szCs w:val="20"/>
              </w:rPr>
              <w:t>1</w:t>
            </w:r>
          </w:p>
        </w:tc>
        <w:tc>
          <w:tcPr>
            <w:tcW w:w="1343" w:type="dxa"/>
          </w:tcPr>
          <w:p w14:paraId="496F7F70" w14:textId="77777777" w:rsidR="008F2269" w:rsidRPr="0046106E" w:rsidRDefault="008F2269" w:rsidP="002D1362">
            <w:pPr>
              <w:tabs>
                <w:tab w:val="left" w:pos="917"/>
              </w:tabs>
              <w:rPr>
                <w:sz w:val="20"/>
                <w:szCs w:val="20"/>
              </w:rPr>
            </w:pPr>
            <w:r w:rsidRPr="0046106E">
              <w:rPr>
                <w:sz w:val="20"/>
                <w:szCs w:val="20"/>
              </w:rPr>
              <w:t>Nombre de</w:t>
            </w:r>
          </w:p>
          <w:p w14:paraId="5578D14A" w14:textId="77777777" w:rsidR="008F2269" w:rsidRPr="0046106E" w:rsidRDefault="008F2269" w:rsidP="002D1362">
            <w:pPr>
              <w:tabs>
                <w:tab w:val="left" w:pos="917"/>
              </w:tabs>
              <w:rPr>
                <w:sz w:val="20"/>
                <w:szCs w:val="20"/>
              </w:rPr>
            </w:pPr>
            <w:r w:rsidRPr="0046106E">
              <w:rPr>
                <w:sz w:val="20"/>
                <w:szCs w:val="20"/>
              </w:rPr>
              <w:t>Piézomètres</w:t>
            </w:r>
          </w:p>
          <w:p w14:paraId="1701E96A" w14:textId="77777777" w:rsidR="008F2269" w:rsidRPr="0046106E" w:rsidRDefault="008F2269" w:rsidP="002D1362">
            <w:pPr>
              <w:tabs>
                <w:tab w:val="left" w:pos="917"/>
              </w:tabs>
              <w:rPr>
                <w:sz w:val="20"/>
                <w:szCs w:val="20"/>
              </w:rPr>
            </w:pPr>
            <w:r w:rsidRPr="0046106E">
              <w:rPr>
                <w:sz w:val="20"/>
                <w:szCs w:val="20"/>
              </w:rPr>
              <w:t>Installés et</w:t>
            </w:r>
          </w:p>
          <w:p w14:paraId="3F643FB4" w14:textId="77777777" w:rsidR="008F2269" w:rsidRPr="0046106E" w:rsidRDefault="008F2269" w:rsidP="002D1362">
            <w:pPr>
              <w:tabs>
                <w:tab w:val="left" w:pos="917"/>
              </w:tabs>
              <w:rPr>
                <w:sz w:val="20"/>
                <w:szCs w:val="20"/>
              </w:rPr>
            </w:pPr>
            <w:proofErr w:type="gramStart"/>
            <w:r w:rsidRPr="0046106E">
              <w:rPr>
                <w:sz w:val="20"/>
                <w:szCs w:val="20"/>
              </w:rPr>
              <w:t>connectés</w:t>
            </w:r>
            <w:proofErr w:type="gramEnd"/>
            <w:r w:rsidRPr="0046106E">
              <w:rPr>
                <w:sz w:val="20"/>
                <w:szCs w:val="20"/>
              </w:rPr>
              <w:t xml:space="preserve"> au CNRE</w:t>
            </w:r>
          </w:p>
        </w:tc>
        <w:tc>
          <w:tcPr>
            <w:tcW w:w="1138" w:type="dxa"/>
            <w:vMerge w:val="restart"/>
          </w:tcPr>
          <w:p w14:paraId="03ECBF13" w14:textId="77777777" w:rsidR="008F2269" w:rsidRPr="00B01EA3" w:rsidRDefault="008F2269" w:rsidP="002D1362">
            <w:pPr>
              <w:rPr>
                <w:sz w:val="20"/>
                <w:szCs w:val="20"/>
              </w:rPr>
            </w:pPr>
            <w:r w:rsidRPr="00B01EA3">
              <w:rPr>
                <w:sz w:val="20"/>
                <w:szCs w:val="20"/>
              </w:rPr>
              <w:t>% d'avancement</w:t>
            </w:r>
          </w:p>
        </w:tc>
      </w:tr>
      <w:tr w:rsidR="008F2269" w14:paraId="4FFF9795" w14:textId="77777777" w:rsidTr="002D1362">
        <w:tc>
          <w:tcPr>
            <w:tcW w:w="1372" w:type="dxa"/>
            <w:vMerge/>
            <w:tcBorders>
              <w:bottom w:val="single" w:sz="4" w:space="0" w:color="auto"/>
            </w:tcBorders>
            <w:shd w:val="clear" w:color="auto" w:fill="BFBFBF" w:themeFill="background1" w:themeFillShade="BF"/>
          </w:tcPr>
          <w:p w14:paraId="1EB2FF4C" w14:textId="77777777" w:rsidR="008F2269" w:rsidRPr="00B41044" w:rsidRDefault="008F2269" w:rsidP="002D1362">
            <w:pPr>
              <w:rPr>
                <w:b/>
                <w:bCs/>
              </w:rPr>
            </w:pPr>
          </w:p>
        </w:tc>
        <w:tc>
          <w:tcPr>
            <w:tcW w:w="691" w:type="dxa"/>
          </w:tcPr>
          <w:p w14:paraId="53F8DAAE" w14:textId="77777777" w:rsidR="008F2269" w:rsidRPr="008263D1" w:rsidRDefault="008F2269" w:rsidP="002D1362">
            <w:pPr>
              <w:jc w:val="both"/>
              <w:rPr>
                <w:sz w:val="20"/>
                <w:szCs w:val="20"/>
              </w:rPr>
            </w:pPr>
            <w:r w:rsidRPr="008263D1">
              <w:rPr>
                <w:sz w:val="20"/>
                <w:szCs w:val="20"/>
              </w:rPr>
              <w:t>A.1.4.2</w:t>
            </w:r>
          </w:p>
        </w:tc>
        <w:tc>
          <w:tcPr>
            <w:tcW w:w="3045" w:type="dxa"/>
          </w:tcPr>
          <w:p w14:paraId="0CEA1769" w14:textId="77777777" w:rsidR="008F2269" w:rsidRPr="0046106E" w:rsidRDefault="008F2269" w:rsidP="002D1362">
            <w:pPr>
              <w:tabs>
                <w:tab w:val="left" w:pos="917"/>
              </w:tabs>
              <w:rPr>
                <w:sz w:val="20"/>
                <w:szCs w:val="20"/>
              </w:rPr>
            </w:pPr>
            <w:r w:rsidRPr="0046106E">
              <w:rPr>
                <w:sz w:val="20"/>
                <w:szCs w:val="20"/>
              </w:rPr>
              <w:t xml:space="preserve">Elaborer le modèle hydrodynamique de la nappe phréatique de Nouakchott </w:t>
            </w:r>
            <w:proofErr w:type="spellStart"/>
            <w:r w:rsidRPr="0046106E">
              <w:rPr>
                <w:sz w:val="20"/>
                <w:szCs w:val="20"/>
              </w:rPr>
              <w:t>yc</w:t>
            </w:r>
            <w:proofErr w:type="spellEnd"/>
            <w:r w:rsidRPr="0046106E">
              <w:rPr>
                <w:sz w:val="20"/>
                <w:szCs w:val="20"/>
              </w:rPr>
              <w:t xml:space="preserve"> réseau de suivi (Réf : Fiche 12 – CCPNCC- Composante CNRE</w:t>
            </w:r>
          </w:p>
        </w:tc>
        <w:tc>
          <w:tcPr>
            <w:tcW w:w="811" w:type="dxa"/>
          </w:tcPr>
          <w:p w14:paraId="0B90D497" w14:textId="77777777" w:rsidR="008F2269" w:rsidRPr="0046106E" w:rsidRDefault="008F2269" w:rsidP="002D1362">
            <w:pPr>
              <w:tabs>
                <w:tab w:val="left" w:pos="917"/>
              </w:tabs>
              <w:rPr>
                <w:sz w:val="20"/>
                <w:szCs w:val="20"/>
              </w:rPr>
            </w:pPr>
            <w:r w:rsidRPr="0046106E">
              <w:rPr>
                <w:sz w:val="20"/>
                <w:szCs w:val="20"/>
              </w:rPr>
              <w:t>26</w:t>
            </w:r>
          </w:p>
        </w:tc>
        <w:tc>
          <w:tcPr>
            <w:tcW w:w="888" w:type="dxa"/>
          </w:tcPr>
          <w:p w14:paraId="4E38563C" w14:textId="77777777" w:rsidR="008F2269" w:rsidRPr="0046106E" w:rsidRDefault="008F2269" w:rsidP="002D1362">
            <w:pPr>
              <w:tabs>
                <w:tab w:val="left" w:pos="917"/>
              </w:tabs>
              <w:rPr>
                <w:sz w:val="20"/>
                <w:szCs w:val="20"/>
              </w:rPr>
            </w:pPr>
            <w:r w:rsidRPr="0046106E">
              <w:rPr>
                <w:sz w:val="20"/>
                <w:szCs w:val="20"/>
              </w:rPr>
              <w:t>2</w:t>
            </w:r>
          </w:p>
        </w:tc>
        <w:tc>
          <w:tcPr>
            <w:tcW w:w="1343" w:type="dxa"/>
          </w:tcPr>
          <w:p w14:paraId="62510A2C" w14:textId="77777777" w:rsidR="008F2269" w:rsidRPr="0046106E" w:rsidRDefault="008F2269" w:rsidP="002D1362">
            <w:pPr>
              <w:tabs>
                <w:tab w:val="left" w:pos="917"/>
              </w:tabs>
              <w:rPr>
                <w:sz w:val="20"/>
                <w:szCs w:val="20"/>
              </w:rPr>
            </w:pPr>
            <w:r w:rsidRPr="0046106E">
              <w:rPr>
                <w:sz w:val="20"/>
                <w:szCs w:val="20"/>
              </w:rPr>
              <w:t>% d'avancement</w:t>
            </w:r>
          </w:p>
        </w:tc>
        <w:tc>
          <w:tcPr>
            <w:tcW w:w="1138" w:type="dxa"/>
            <w:vMerge/>
          </w:tcPr>
          <w:p w14:paraId="5A0013AC" w14:textId="77777777" w:rsidR="008F2269" w:rsidRPr="00B41044" w:rsidRDefault="008F2269" w:rsidP="002D1362">
            <w:pPr>
              <w:rPr>
                <w:b/>
                <w:bCs/>
                <w:sz w:val="20"/>
                <w:szCs w:val="20"/>
              </w:rPr>
            </w:pPr>
          </w:p>
        </w:tc>
      </w:tr>
      <w:tr w:rsidR="008F2269" w14:paraId="57837238" w14:textId="77777777" w:rsidTr="002D1362">
        <w:tc>
          <w:tcPr>
            <w:tcW w:w="1372" w:type="dxa"/>
            <w:vMerge/>
            <w:tcBorders>
              <w:bottom w:val="single" w:sz="4" w:space="0" w:color="auto"/>
            </w:tcBorders>
            <w:shd w:val="clear" w:color="auto" w:fill="BFBFBF" w:themeFill="background1" w:themeFillShade="BF"/>
          </w:tcPr>
          <w:p w14:paraId="1B6710C3" w14:textId="77777777" w:rsidR="008F2269" w:rsidRPr="00B41044" w:rsidRDefault="008F2269" w:rsidP="002D1362">
            <w:pPr>
              <w:rPr>
                <w:b/>
                <w:bCs/>
              </w:rPr>
            </w:pPr>
          </w:p>
        </w:tc>
        <w:tc>
          <w:tcPr>
            <w:tcW w:w="691" w:type="dxa"/>
          </w:tcPr>
          <w:p w14:paraId="5BFAD650" w14:textId="77777777" w:rsidR="008F2269" w:rsidRPr="008263D1" w:rsidRDefault="008F2269" w:rsidP="002D1362">
            <w:pPr>
              <w:jc w:val="both"/>
              <w:rPr>
                <w:sz w:val="20"/>
                <w:szCs w:val="20"/>
              </w:rPr>
            </w:pPr>
            <w:r w:rsidRPr="008263D1">
              <w:rPr>
                <w:sz w:val="20"/>
                <w:szCs w:val="20"/>
              </w:rPr>
              <w:t>A.1.4.3</w:t>
            </w:r>
          </w:p>
        </w:tc>
        <w:tc>
          <w:tcPr>
            <w:tcW w:w="3045" w:type="dxa"/>
          </w:tcPr>
          <w:p w14:paraId="40FCB439" w14:textId="77777777" w:rsidR="008F2269" w:rsidRPr="00B01EA3" w:rsidRDefault="008F2269" w:rsidP="002D1362">
            <w:pPr>
              <w:tabs>
                <w:tab w:val="left" w:pos="917"/>
              </w:tabs>
              <w:jc w:val="both"/>
              <w:rPr>
                <w:sz w:val="20"/>
                <w:szCs w:val="20"/>
              </w:rPr>
            </w:pPr>
            <w:r w:rsidRPr="00B01EA3">
              <w:rPr>
                <w:sz w:val="20"/>
                <w:szCs w:val="20"/>
              </w:rPr>
              <w:t>Elaborer des modèles hydrodynamiques sur les principaux aquifères continus sollicités (4 aquifères)</w:t>
            </w:r>
          </w:p>
        </w:tc>
        <w:tc>
          <w:tcPr>
            <w:tcW w:w="811" w:type="dxa"/>
          </w:tcPr>
          <w:p w14:paraId="399ABD88" w14:textId="77777777" w:rsidR="008F2269" w:rsidRPr="00B01EA3" w:rsidRDefault="008F2269" w:rsidP="002D1362">
            <w:pPr>
              <w:tabs>
                <w:tab w:val="left" w:pos="917"/>
              </w:tabs>
              <w:jc w:val="both"/>
              <w:rPr>
                <w:sz w:val="20"/>
                <w:szCs w:val="20"/>
              </w:rPr>
            </w:pPr>
            <w:r w:rsidRPr="00B01EA3">
              <w:rPr>
                <w:sz w:val="20"/>
                <w:szCs w:val="20"/>
              </w:rPr>
              <w:t>17</w:t>
            </w:r>
          </w:p>
          <w:p w14:paraId="0065E78C" w14:textId="77777777" w:rsidR="008F2269" w:rsidRPr="00B01EA3" w:rsidRDefault="008F2269" w:rsidP="002D1362">
            <w:pPr>
              <w:tabs>
                <w:tab w:val="left" w:pos="917"/>
              </w:tabs>
              <w:jc w:val="both"/>
              <w:rPr>
                <w:sz w:val="20"/>
                <w:szCs w:val="20"/>
              </w:rPr>
            </w:pPr>
          </w:p>
        </w:tc>
        <w:tc>
          <w:tcPr>
            <w:tcW w:w="888" w:type="dxa"/>
          </w:tcPr>
          <w:p w14:paraId="607090DE" w14:textId="77777777" w:rsidR="008F2269" w:rsidRPr="00B01EA3" w:rsidRDefault="008F2269" w:rsidP="002D1362">
            <w:pPr>
              <w:tabs>
                <w:tab w:val="left" w:pos="917"/>
              </w:tabs>
              <w:jc w:val="both"/>
              <w:rPr>
                <w:sz w:val="20"/>
                <w:szCs w:val="20"/>
              </w:rPr>
            </w:pPr>
            <w:r w:rsidRPr="00B01EA3">
              <w:rPr>
                <w:sz w:val="20"/>
                <w:szCs w:val="20"/>
              </w:rPr>
              <w:t>2</w:t>
            </w:r>
          </w:p>
        </w:tc>
        <w:tc>
          <w:tcPr>
            <w:tcW w:w="1343" w:type="dxa"/>
          </w:tcPr>
          <w:p w14:paraId="59727887" w14:textId="77777777" w:rsidR="008F2269" w:rsidRPr="00B01EA3" w:rsidRDefault="008F2269" w:rsidP="002D1362">
            <w:pPr>
              <w:tabs>
                <w:tab w:val="left" w:pos="917"/>
              </w:tabs>
              <w:jc w:val="both"/>
              <w:rPr>
                <w:sz w:val="20"/>
                <w:szCs w:val="20"/>
              </w:rPr>
            </w:pPr>
            <w:r w:rsidRPr="00B01EA3">
              <w:rPr>
                <w:sz w:val="20"/>
                <w:szCs w:val="20"/>
              </w:rPr>
              <w:t>Nb de modèles</w:t>
            </w:r>
          </w:p>
          <w:p w14:paraId="1786C024" w14:textId="77777777" w:rsidR="008F2269" w:rsidRPr="00B01EA3" w:rsidRDefault="008F2269" w:rsidP="002D1362">
            <w:pPr>
              <w:tabs>
                <w:tab w:val="left" w:pos="917"/>
              </w:tabs>
              <w:jc w:val="both"/>
              <w:rPr>
                <w:sz w:val="20"/>
                <w:szCs w:val="20"/>
              </w:rPr>
            </w:pPr>
            <w:r w:rsidRPr="00B01EA3">
              <w:rPr>
                <w:sz w:val="20"/>
                <w:szCs w:val="20"/>
              </w:rPr>
              <w:t>Réalisés/4</w:t>
            </w:r>
          </w:p>
        </w:tc>
        <w:tc>
          <w:tcPr>
            <w:tcW w:w="1138" w:type="dxa"/>
            <w:vMerge/>
          </w:tcPr>
          <w:p w14:paraId="2785EA8A" w14:textId="77777777" w:rsidR="008F2269" w:rsidRPr="00B41044" w:rsidRDefault="008F2269" w:rsidP="002D1362">
            <w:pPr>
              <w:rPr>
                <w:b/>
                <w:bCs/>
                <w:sz w:val="20"/>
                <w:szCs w:val="20"/>
              </w:rPr>
            </w:pPr>
          </w:p>
        </w:tc>
      </w:tr>
      <w:tr w:rsidR="008F2269" w14:paraId="7DD10604" w14:textId="77777777" w:rsidTr="002D1362">
        <w:tc>
          <w:tcPr>
            <w:tcW w:w="1372" w:type="dxa"/>
            <w:vMerge/>
            <w:tcBorders>
              <w:bottom w:val="single" w:sz="4" w:space="0" w:color="auto"/>
            </w:tcBorders>
            <w:shd w:val="clear" w:color="auto" w:fill="BFBFBF" w:themeFill="background1" w:themeFillShade="BF"/>
          </w:tcPr>
          <w:p w14:paraId="68C1B01F" w14:textId="77777777" w:rsidR="008F2269" w:rsidRPr="00B41044" w:rsidRDefault="008F2269" w:rsidP="002D1362">
            <w:pPr>
              <w:rPr>
                <w:b/>
                <w:bCs/>
              </w:rPr>
            </w:pPr>
          </w:p>
        </w:tc>
        <w:tc>
          <w:tcPr>
            <w:tcW w:w="691" w:type="dxa"/>
          </w:tcPr>
          <w:p w14:paraId="698E9709" w14:textId="77777777" w:rsidR="008F2269" w:rsidRPr="008263D1" w:rsidRDefault="008F2269" w:rsidP="002D1362">
            <w:pPr>
              <w:jc w:val="both"/>
              <w:rPr>
                <w:sz w:val="20"/>
                <w:szCs w:val="20"/>
              </w:rPr>
            </w:pPr>
            <w:r w:rsidRPr="008263D1">
              <w:rPr>
                <w:sz w:val="20"/>
                <w:szCs w:val="20"/>
              </w:rPr>
              <w:t>A.1.4.4</w:t>
            </w:r>
          </w:p>
        </w:tc>
        <w:tc>
          <w:tcPr>
            <w:tcW w:w="3045" w:type="dxa"/>
          </w:tcPr>
          <w:p w14:paraId="1E452530" w14:textId="77777777" w:rsidR="008F2269" w:rsidRPr="00B01EA3" w:rsidRDefault="008F2269" w:rsidP="002D1362">
            <w:pPr>
              <w:tabs>
                <w:tab w:val="left" w:pos="917"/>
              </w:tabs>
              <w:jc w:val="both"/>
              <w:rPr>
                <w:sz w:val="20"/>
                <w:szCs w:val="20"/>
              </w:rPr>
            </w:pPr>
            <w:r w:rsidRPr="00B01EA3">
              <w:rPr>
                <w:sz w:val="20"/>
                <w:szCs w:val="20"/>
              </w:rPr>
              <w:t>Délimiter et mettre les périmètres de protection des champs captant exploités (25)</w:t>
            </w:r>
          </w:p>
        </w:tc>
        <w:tc>
          <w:tcPr>
            <w:tcW w:w="811" w:type="dxa"/>
          </w:tcPr>
          <w:p w14:paraId="5DB07203" w14:textId="77777777" w:rsidR="008F2269" w:rsidRPr="00B01EA3" w:rsidRDefault="008F2269" w:rsidP="002D1362">
            <w:pPr>
              <w:tabs>
                <w:tab w:val="left" w:pos="917"/>
              </w:tabs>
              <w:jc w:val="both"/>
              <w:rPr>
                <w:sz w:val="20"/>
                <w:szCs w:val="20"/>
              </w:rPr>
            </w:pPr>
            <w:r w:rsidRPr="00B01EA3">
              <w:rPr>
                <w:sz w:val="20"/>
                <w:szCs w:val="20"/>
              </w:rPr>
              <w:t>42</w:t>
            </w:r>
          </w:p>
          <w:p w14:paraId="5512B32E" w14:textId="77777777" w:rsidR="008F2269" w:rsidRPr="00B01EA3" w:rsidRDefault="008F2269" w:rsidP="002D1362">
            <w:pPr>
              <w:tabs>
                <w:tab w:val="left" w:pos="917"/>
              </w:tabs>
              <w:jc w:val="both"/>
              <w:rPr>
                <w:sz w:val="20"/>
                <w:szCs w:val="20"/>
              </w:rPr>
            </w:pPr>
          </w:p>
        </w:tc>
        <w:tc>
          <w:tcPr>
            <w:tcW w:w="888" w:type="dxa"/>
          </w:tcPr>
          <w:p w14:paraId="4970E099" w14:textId="77777777" w:rsidR="008F2269" w:rsidRPr="00B01EA3" w:rsidRDefault="008F2269" w:rsidP="002D1362">
            <w:pPr>
              <w:tabs>
                <w:tab w:val="left" w:pos="917"/>
              </w:tabs>
              <w:jc w:val="both"/>
              <w:rPr>
                <w:sz w:val="20"/>
                <w:szCs w:val="20"/>
              </w:rPr>
            </w:pPr>
            <w:r w:rsidRPr="00B01EA3">
              <w:rPr>
                <w:sz w:val="20"/>
                <w:szCs w:val="20"/>
              </w:rPr>
              <w:t>1</w:t>
            </w:r>
          </w:p>
        </w:tc>
        <w:tc>
          <w:tcPr>
            <w:tcW w:w="1343" w:type="dxa"/>
          </w:tcPr>
          <w:p w14:paraId="0A653536" w14:textId="77777777" w:rsidR="008F2269" w:rsidRPr="00B01EA3" w:rsidRDefault="008F2269" w:rsidP="002D1362">
            <w:pPr>
              <w:tabs>
                <w:tab w:val="left" w:pos="917"/>
              </w:tabs>
              <w:jc w:val="both"/>
              <w:rPr>
                <w:sz w:val="20"/>
                <w:szCs w:val="20"/>
              </w:rPr>
            </w:pPr>
            <w:r w:rsidRPr="00B01EA3">
              <w:rPr>
                <w:sz w:val="20"/>
                <w:szCs w:val="20"/>
              </w:rPr>
              <w:t>Nombre de PP</w:t>
            </w:r>
          </w:p>
          <w:p w14:paraId="67B7141C" w14:textId="77777777" w:rsidR="008F2269" w:rsidRPr="00B01EA3" w:rsidRDefault="008F2269" w:rsidP="002D1362">
            <w:pPr>
              <w:tabs>
                <w:tab w:val="left" w:pos="917"/>
              </w:tabs>
              <w:jc w:val="both"/>
              <w:rPr>
                <w:sz w:val="20"/>
                <w:szCs w:val="20"/>
              </w:rPr>
            </w:pPr>
            <w:proofErr w:type="gramStart"/>
            <w:r w:rsidRPr="00B01EA3">
              <w:rPr>
                <w:sz w:val="20"/>
                <w:szCs w:val="20"/>
              </w:rPr>
              <w:t>définis</w:t>
            </w:r>
            <w:proofErr w:type="gramEnd"/>
            <w:r w:rsidRPr="00B01EA3">
              <w:rPr>
                <w:sz w:val="20"/>
                <w:szCs w:val="20"/>
              </w:rPr>
              <w:t xml:space="preserve"> et validés/25</w:t>
            </w:r>
          </w:p>
        </w:tc>
        <w:tc>
          <w:tcPr>
            <w:tcW w:w="1138" w:type="dxa"/>
            <w:vMerge/>
          </w:tcPr>
          <w:p w14:paraId="758B588D" w14:textId="77777777" w:rsidR="008F2269" w:rsidRPr="00B41044" w:rsidRDefault="008F2269" w:rsidP="002D1362">
            <w:pPr>
              <w:rPr>
                <w:b/>
                <w:bCs/>
                <w:sz w:val="20"/>
                <w:szCs w:val="20"/>
              </w:rPr>
            </w:pPr>
          </w:p>
        </w:tc>
      </w:tr>
      <w:tr w:rsidR="008F2269" w14:paraId="4EF17102" w14:textId="77777777" w:rsidTr="002D1362">
        <w:tc>
          <w:tcPr>
            <w:tcW w:w="1372" w:type="dxa"/>
            <w:tcBorders>
              <w:top w:val="single" w:sz="4" w:space="0" w:color="auto"/>
            </w:tcBorders>
            <w:shd w:val="clear" w:color="auto" w:fill="BFBFBF" w:themeFill="background1" w:themeFillShade="BF"/>
          </w:tcPr>
          <w:p w14:paraId="56E0BDC4" w14:textId="77777777" w:rsidR="008F2269" w:rsidRPr="00B41044" w:rsidRDefault="008F2269" w:rsidP="002D1362">
            <w:pPr>
              <w:rPr>
                <w:b/>
                <w:bCs/>
              </w:rPr>
            </w:pPr>
            <w:r w:rsidRPr="00B41044">
              <w:rPr>
                <w:b/>
                <w:bCs/>
              </w:rPr>
              <w:t>Total</w:t>
            </w:r>
          </w:p>
        </w:tc>
        <w:tc>
          <w:tcPr>
            <w:tcW w:w="6778" w:type="dxa"/>
            <w:gridSpan w:val="5"/>
          </w:tcPr>
          <w:p w14:paraId="06DCDADA" w14:textId="77777777" w:rsidR="008F2269" w:rsidRPr="00B41044" w:rsidRDefault="008F2269" w:rsidP="002D1362">
            <w:pPr>
              <w:rPr>
                <w:b/>
                <w:bCs/>
                <w:sz w:val="20"/>
                <w:szCs w:val="20"/>
              </w:rPr>
            </w:pPr>
            <w:r w:rsidRPr="00B41044">
              <w:rPr>
                <w:b/>
                <w:bCs/>
                <w:sz w:val="20"/>
                <w:szCs w:val="20"/>
              </w:rPr>
              <w:t xml:space="preserve">                                                                          </w:t>
            </w:r>
            <w:r>
              <w:rPr>
                <w:b/>
                <w:bCs/>
                <w:sz w:val="20"/>
                <w:szCs w:val="20"/>
              </w:rPr>
              <w:t xml:space="preserve">                   </w:t>
            </w:r>
            <w:r w:rsidRPr="00B41044">
              <w:rPr>
                <w:b/>
                <w:bCs/>
                <w:sz w:val="20"/>
                <w:szCs w:val="20"/>
              </w:rPr>
              <w:t xml:space="preserve"> </w:t>
            </w:r>
            <w:r>
              <w:rPr>
                <w:b/>
                <w:bCs/>
                <w:sz w:val="20"/>
                <w:szCs w:val="20"/>
              </w:rPr>
              <w:t>490</w:t>
            </w:r>
          </w:p>
        </w:tc>
        <w:tc>
          <w:tcPr>
            <w:tcW w:w="1138" w:type="dxa"/>
          </w:tcPr>
          <w:p w14:paraId="61C49E15" w14:textId="77777777" w:rsidR="008F2269" w:rsidRPr="00B41044" w:rsidRDefault="008F2269" w:rsidP="002D1362">
            <w:pPr>
              <w:rPr>
                <w:b/>
                <w:bCs/>
                <w:sz w:val="20"/>
                <w:szCs w:val="20"/>
              </w:rPr>
            </w:pPr>
          </w:p>
        </w:tc>
      </w:tr>
    </w:tbl>
    <w:p w14:paraId="1F892A5A" w14:textId="77777777" w:rsidR="008F2269" w:rsidRDefault="008F2269" w:rsidP="008F2269">
      <w:r>
        <w:t>SNADEA 2022-2030</w:t>
      </w:r>
    </w:p>
    <w:p w14:paraId="6C2A8341" w14:textId="77777777" w:rsidR="008F2269" w:rsidRDefault="008F2269" w:rsidP="008F2269">
      <w:r>
        <w:t xml:space="preserve">Tableau : </w:t>
      </w:r>
      <w:r w:rsidRPr="00EC2044">
        <w:t>Objectif Spécifique n°2a : Améliorer l’accès à l’eau potable pour tous</w:t>
      </w:r>
      <w:r>
        <w:t>.</w:t>
      </w:r>
    </w:p>
    <w:tbl>
      <w:tblPr>
        <w:tblStyle w:val="Grilledutableau"/>
        <w:tblW w:w="9605" w:type="dxa"/>
        <w:tblLayout w:type="fixed"/>
        <w:tblLook w:val="04A0" w:firstRow="1" w:lastRow="0" w:firstColumn="1" w:lastColumn="0" w:noHBand="0" w:noVBand="1"/>
      </w:tblPr>
      <w:tblGrid>
        <w:gridCol w:w="1518"/>
        <w:gridCol w:w="833"/>
        <w:gridCol w:w="2719"/>
        <w:gridCol w:w="992"/>
        <w:gridCol w:w="709"/>
        <w:gridCol w:w="1417"/>
        <w:gridCol w:w="1417"/>
      </w:tblGrid>
      <w:tr w:rsidR="008F2269" w14:paraId="7BAE144A" w14:textId="77777777" w:rsidTr="002D1362">
        <w:tc>
          <w:tcPr>
            <w:tcW w:w="1518" w:type="dxa"/>
            <w:shd w:val="clear" w:color="auto" w:fill="70AD47" w:themeFill="accent6"/>
          </w:tcPr>
          <w:p w14:paraId="35FA362C" w14:textId="77777777" w:rsidR="008F2269" w:rsidRPr="00C97088" w:rsidRDefault="008F2269" w:rsidP="002D1362">
            <w:pPr>
              <w:rPr>
                <w:b/>
                <w:bCs/>
                <w:sz w:val="20"/>
                <w:szCs w:val="20"/>
              </w:rPr>
            </w:pPr>
            <w:r w:rsidRPr="00C97088">
              <w:rPr>
                <w:b/>
                <w:bCs/>
                <w:sz w:val="20"/>
                <w:szCs w:val="20"/>
              </w:rPr>
              <w:t>Résultats</w:t>
            </w:r>
          </w:p>
        </w:tc>
        <w:tc>
          <w:tcPr>
            <w:tcW w:w="3552" w:type="dxa"/>
            <w:gridSpan w:val="2"/>
            <w:shd w:val="clear" w:color="auto" w:fill="70AD47" w:themeFill="accent6"/>
          </w:tcPr>
          <w:p w14:paraId="5AFCFCA4" w14:textId="77777777" w:rsidR="008F2269" w:rsidRPr="00C97088" w:rsidRDefault="008F2269" w:rsidP="002D1362">
            <w:pPr>
              <w:jc w:val="center"/>
              <w:rPr>
                <w:b/>
                <w:bCs/>
                <w:sz w:val="20"/>
                <w:szCs w:val="20"/>
              </w:rPr>
            </w:pPr>
            <w:r w:rsidRPr="00C97088">
              <w:rPr>
                <w:b/>
                <w:bCs/>
                <w:sz w:val="20"/>
                <w:szCs w:val="20"/>
              </w:rPr>
              <w:t>Actions</w:t>
            </w:r>
          </w:p>
        </w:tc>
        <w:tc>
          <w:tcPr>
            <w:tcW w:w="992" w:type="dxa"/>
            <w:shd w:val="clear" w:color="auto" w:fill="70AD47" w:themeFill="accent6"/>
          </w:tcPr>
          <w:p w14:paraId="3675046F" w14:textId="77777777" w:rsidR="008F2269" w:rsidRPr="00C97088" w:rsidRDefault="008F2269" w:rsidP="002D1362">
            <w:pPr>
              <w:rPr>
                <w:b/>
                <w:bCs/>
                <w:sz w:val="20"/>
                <w:szCs w:val="20"/>
              </w:rPr>
            </w:pPr>
            <w:r w:rsidRPr="00C97088">
              <w:rPr>
                <w:b/>
                <w:bCs/>
                <w:sz w:val="20"/>
                <w:szCs w:val="20"/>
              </w:rPr>
              <w:t>Budget</w:t>
            </w:r>
          </w:p>
          <w:p w14:paraId="4237DC88" w14:textId="77777777" w:rsidR="008F2269" w:rsidRPr="00C97088" w:rsidRDefault="008F2269" w:rsidP="002D1362">
            <w:pPr>
              <w:rPr>
                <w:b/>
                <w:bCs/>
                <w:sz w:val="20"/>
                <w:szCs w:val="20"/>
              </w:rPr>
            </w:pPr>
            <w:r w:rsidRPr="00C97088">
              <w:rPr>
                <w:b/>
                <w:bCs/>
                <w:sz w:val="20"/>
                <w:szCs w:val="20"/>
              </w:rPr>
              <w:t>Indicatif</w:t>
            </w:r>
          </w:p>
          <w:p w14:paraId="74142ECF" w14:textId="77777777" w:rsidR="008F2269" w:rsidRPr="00C97088" w:rsidRDefault="008F2269" w:rsidP="002D1362">
            <w:pPr>
              <w:rPr>
                <w:b/>
                <w:bCs/>
                <w:sz w:val="20"/>
                <w:szCs w:val="20"/>
              </w:rPr>
            </w:pPr>
            <w:r w:rsidRPr="00C97088">
              <w:rPr>
                <w:b/>
                <w:bCs/>
                <w:sz w:val="20"/>
                <w:szCs w:val="20"/>
              </w:rPr>
              <w:t xml:space="preserve">(MUM) </w:t>
            </w:r>
          </w:p>
        </w:tc>
        <w:tc>
          <w:tcPr>
            <w:tcW w:w="709" w:type="dxa"/>
            <w:shd w:val="clear" w:color="auto" w:fill="70AD47" w:themeFill="accent6"/>
          </w:tcPr>
          <w:p w14:paraId="4554C07F" w14:textId="77777777" w:rsidR="008F2269" w:rsidRPr="00C97088" w:rsidRDefault="008F2269" w:rsidP="002D1362">
            <w:pPr>
              <w:rPr>
                <w:b/>
                <w:bCs/>
                <w:sz w:val="20"/>
                <w:szCs w:val="20"/>
              </w:rPr>
            </w:pPr>
            <w:r w:rsidRPr="00C97088">
              <w:rPr>
                <w:b/>
                <w:bCs/>
                <w:sz w:val="20"/>
                <w:szCs w:val="20"/>
              </w:rPr>
              <w:t>Priorité</w:t>
            </w:r>
          </w:p>
        </w:tc>
        <w:tc>
          <w:tcPr>
            <w:tcW w:w="1417" w:type="dxa"/>
            <w:shd w:val="clear" w:color="auto" w:fill="70AD47" w:themeFill="accent6"/>
          </w:tcPr>
          <w:p w14:paraId="5F69A75E" w14:textId="77777777" w:rsidR="008F2269" w:rsidRPr="00EB3D1A" w:rsidRDefault="008F2269" w:rsidP="002D1362">
            <w:pPr>
              <w:rPr>
                <w:b/>
                <w:bCs/>
                <w:sz w:val="20"/>
                <w:szCs w:val="20"/>
              </w:rPr>
            </w:pPr>
            <w:r w:rsidRPr="00EB3D1A">
              <w:rPr>
                <w:b/>
                <w:bCs/>
                <w:sz w:val="20"/>
                <w:szCs w:val="20"/>
              </w:rPr>
              <w:t>Indicateurs activités</w:t>
            </w:r>
          </w:p>
        </w:tc>
        <w:tc>
          <w:tcPr>
            <w:tcW w:w="1417" w:type="dxa"/>
            <w:tcBorders>
              <w:bottom w:val="single" w:sz="4" w:space="0" w:color="auto"/>
            </w:tcBorders>
            <w:shd w:val="clear" w:color="auto" w:fill="70AD47" w:themeFill="accent6"/>
          </w:tcPr>
          <w:p w14:paraId="7346BC2E" w14:textId="77777777" w:rsidR="008F2269" w:rsidRPr="00EB3D1A" w:rsidRDefault="008F2269" w:rsidP="002D1362">
            <w:pPr>
              <w:rPr>
                <w:b/>
                <w:bCs/>
                <w:sz w:val="20"/>
                <w:szCs w:val="20"/>
              </w:rPr>
            </w:pPr>
            <w:r w:rsidRPr="00EB3D1A">
              <w:rPr>
                <w:b/>
                <w:bCs/>
                <w:sz w:val="20"/>
                <w:szCs w:val="20"/>
              </w:rPr>
              <w:t>Indicateurs résultats</w:t>
            </w:r>
          </w:p>
        </w:tc>
      </w:tr>
      <w:tr w:rsidR="008F2269" w:rsidRPr="00C97088" w14:paraId="6802A8B2" w14:textId="77777777" w:rsidTr="002D1362">
        <w:tc>
          <w:tcPr>
            <w:tcW w:w="1518" w:type="dxa"/>
            <w:vMerge w:val="restart"/>
          </w:tcPr>
          <w:p w14:paraId="604D4428" w14:textId="77777777" w:rsidR="008F2269" w:rsidRPr="00C97088" w:rsidRDefault="008F2269" w:rsidP="002D1362">
            <w:pPr>
              <w:rPr>
                <w:sz w:val="20"/>
                <w:szCs w:val="20"/>
              </w:rPr>
            </w:pPr>
            <w:r w:rsidRPr="00C97088">
              <w:rPr>
                <w:sz w:val="20"/>
                <w:szCs w:val="20"/>
              </w:rPr>
              <w:t>R2.1 Le taux de desserte en eau potable des localités rurales de plus de 150 habitants est porté à 100 %</w:t>
            </w:r>
          </w:p>
        </w:tc>
        <w:tc>
          <w:tcPr>
            <w:tcW w:w="833" w:type="dxa"/>
          </w:tcPr>
          <w:p w14:paraId="0F3C9451" w14:textId="77777777" w:rsidR="008F2269" w:rsidRPr="00C97088" w:rsidRDefault="008F2269" w:rsidP="002D1362">
            <w:pPr>
              <w:rPr>
                <w:sz w:val="28"/>
                <w:szCs w:val="28"/>
              </w:rPr>
            </w:pPr>
            <w:r w:rsidRPr="00C97088">
              <w:rPr>
                <w:sz w:val="20"/>
                <w:szCs w:val="20"/>
              </w:rPr>
              <w:t>A.2.1.1</w:t>
            </w:r>
          </w:p>
        </w:tc>
        <w:tc>
          <w:tcPr>
            <w:tcW w:w="2719" w:type="dxa"/>
          </w:tcPr>
          <w:p w14:paraId="22129C7A" w14:textId="77777777" w:rsidR="008F2269" w:rsidRPr="00C97088" w:rsidRDefault="008F2269" w:rsidP="002D1362">
            <w:pPr>
              <w:jc w:val="both"/>
              <w:rPr>
                <w:sz w:val="20"/>
                <w:szCs w:val="20"/>
              </w:rPr>
            </w:pPr>
            <w:r w:rsidRPr="00C97088">
              <w:rPr>
                <w:sz w:val="20"/>
                <w:szCs w:val="20"/>
              </w:rPr>
              <w:t xml:space="preserve">Réaliser des PE </w:t>
            </w:r>
            <w:proofErr w:type="gramStart"/>
            <w:r w:rsidRPr="00C97088">
              <w:rPr>
                <w:sz w:val="20"/>
                <w:szCs w:val="20"/>
              </w:rPr>
              <w:t>ou  AEP</w:t>
            </w:r>
            <w:proofErr w:type="gramEnd"/>
            <w:r w:rsidRPr="00C97088">
              <w:rPr>
                <w:sz w:val="20"/>
                <w:szCs w:val="20"/>
              </w:rPr>
              <w:t xml:space="preserve"> </w:t>
            </w:r>
            <w:proofErr w:type="gramStart"/>
            <w:r w:rsidRPr="00C97088">
              <w:rPr>
                <w:sz w:val="20"/>
                <w:szCs w:val="20"/>
              </w:rPr>
              <w:t>pour  3000</w:t>
            </w:r>
            <w:proofErr w:type="gramEnd"/>
            <w:r w:rsidRPr="00C97088">
              <w:rPr>
                <w:sz w:val="20"/>
                <w:szCs w:val="20"/>
              </w:rPr>
              <w:t xml:space="preserve"> localités </w:t>
            </w:r>
            <w:proofErr w:type="gramStart"/>
            <w:r w:rsidRPr="00C97088">
              <w:rPr>
                <w:sz w:val="20"/>
                <w:szCs w:val="20"/>
              </w:rPr>
              <w:t>rurales  de</w:t>
            </w:r>
            <w:proofErr w:type="gramEnd"/>
            <w:r w:rsidRPr="00C97088">
              <w:rPr>
                <w:sz w:val="20"/>
                <w:szCs w:val="20"/>
              </w:rPr>
              <w:t xml:space="preserve"> </w:t>
            </w:r>
            <w:proofErr w:type="gramStart"/>
            <w:r w:rsidRPr="00C97088">
              <w:rPr>
                <w:sz w:val="20"/>
                <w:szCs w:val="20"/>
              </w:rPr>
              <w:t>plus  de</w:t>
            </w:r>
            <w:proofErr w:type="gramEnd"/>
            <w:r w:rsidRPr="00C97088">
              <w:rPr>
                <w:sz w:val="20"/>
                <w:szCs w:val="20"/>
              </w:rPr>
              <w:t xml:space="preserve"> 150 habitants hors projets structurants</w:t>
            </w:r>
          </w:p>
        </w:tc>
        <w:tc>
          <w:tcPr>
            <w:tcW w:w="992" w:type="dxa"/>
          </w:tcPr>
          <w:p w14:paraId="3F09BEE0" w14:textId="77777777" w:rsidR="008F2269" w:rsidRPr="00C97088" w:rsidRDefault="008F2269" w:rsidP="002D1362">
            <w:pPr>
              <w:rPr>
                <w:sz w:val="28"/>
                <w:szCs w:val="28"/>
              </w:rPr>
            </w:pPr>
            <w:r w:rsidRPr="00C97088">
              <w:rPr>
                <w:sz w:val="20"/>
                <w:szCs w:val="20"/>
              </w:rPr>
              <w:t>8 200</w:t>
            </w:r>
          </w:p>
        </w:tc>
        <w:tc>
          <w:tcPr>
            <w:tcW w:w="709" w:type="dxa"/>
          </w:tcPr>
          <w:p w14:paraId="73EC66F2" w14:textId="77777777" w:rsidR="008F2269" w:rsidRPr="00C97088" w:rsidRDefault="008F2269" w:rsidP="002D1362">
            <w:pPr>
              <w:rPr>
                <w:sz w:val="20"/>
                <w:szCs w:val="20"/>
              </w:rPr>
            </w:pPr>
            <w:r w:rsidRPr="00C97088">
              <w:rPr>
                <w:sz w:val="20"/>
                <w:szCs w:val="20"/>
              </w:rPr>
              <w:t>1</w:t>
            </w:r>
          </w:p>
        </w:tc>
        <w:tc>
          <w:tcPr>
            <w:tcW w:w="1417" w:type="dxa"/>
            <w:tcBorders>
              <w:right w:val="single" w:sz="4" w:space="0" w:color="auto"/>
            </w:tcBorders>
          </w:tcPr>
          <w:p w14:paraId="4F364E5F" w14:textId="77777777" w:rsidR="008F2269" w:rsidRPr="00C97088" w:rsidRDefault="008F2269" w:rsidP="002D1362">
            <w:pPr>
              <w:rPr>
                <w:sz w:val="20"/>
                <w:szCs w:val="20"/>
              </w:rPr>
            </w:pPr>
            <w:r w:rsidRPr="00C97088">
              <w:rPr>
                <w:sz w:val="20"/>
                <w:szCs w:val="20"/>
              </w:rPr>
              <w:t>Nbre de localités équipées</w:t>
            </w:r>
          </w:p>
        </w:tc>
        <w:tc>
          <w:tcPr>
            <w:tcW w:w="1417" w:type="dxa"/>
            <w:vMerge w:val="restart"/>
            <w:tcBorders>
              <w:top w:val="single" w:sz="4" w:space="0" w:color="auto"/>
              <w:left w:val="single" w:sz="4" w:space="0" w:color="auto"/>
              <w:bottom w:val="single" w:sz="4" w:space="0" w:color="auto"/>
              <w:right w:val="single" w:sz="4" w:space="0" w:color="auto"/>
            </w:tcBorders>
          </w:tcPr>
          <w:p w14:paraId="7169611C" w14:textId="77777777" w:rsidR="008F2269" w:rsidRPr="00C97088" w:rsidRDefault="008F2269" w:rsidP="002D1362">
            <w:pPr>
              <w:rPr>
                <w:sz w:val="20"/>
                <w:szCs w:val="20"/>
              </w:rPr>
            </w:pPr>
            <w:r w:rsidRPr="00C97088">
              <w:rPr>
                <w:sz w:val="20"/>
                <w:szCs w:val="20"/>
              </w:rPr>
              <w:t>Taux de desserte (indicateur 6.1.1 ODD)</w:t>
            </w:r>
          </w:p>
          <w:p w14:paraId="72BF5DC3" w14:textId="77777777" w:rsidR="008F2269" w:rsidRPr="00C97088" w:rsidRDefault="008F2269" w:rsidP="002D1362">
            <w:pPr>
              <w:rPr>
                <w:sz w:val="20"/>
                <w:szCs w:val="20"/>
              </w:rPr>
            </w:pPr>
          </w:p>
          <w:p w14:paraId="327D05F1" w14:textId="77777777" w:rsidR="008F2269" w:rsidRPr="00C97088" w:rsidRDefault="008F2269" w:rsidP="002D1362">
            <w:pPr>
              <w:rPr>
                <w:sz w:val="20"/>
                <w:szCs w:val="20"/>
              </w:rPr>
            </w:pPr>
          </w:p>
          <w:p w14:paraId="0159AB06" w14:textId="77777777" w:rsidR="008F2269" w:rsidRPr="00C97088" w:rsidRDefault="008F2269" w:rsidP="002D1362">
            <w:pPr>
              <w:rPr>
                <w:sz w:val="20"/>
                <w:szCs w:val="20"/>
              </w:rPr>
            </w:pPr>
          </w:p>
        </w:tc>
      </w:tr>
      <w:tr w:rsidR="008F2269" w:rsidRPr="00C97088" w14:paraId="78124AC6" w14:textId="77777777" w:rsidTr="002D1362">
        <w:tc>
          <w:tcPr>
            <w:tcW w:w="1518" w:type="dxa"/>
            <w:vMerge/>
          </w:tcPr>
          <w:p w14:paraId="490E9240" w14:textId="77777777" w:rsidR="008F2269" w:rsidRPr="00C97088" w:rsidRDefault="008F2269" w:rsidP="002D1362">
            <w:pPr>
              <w:rPr>
                <w:sz w:val="28"/>
                <w:szCs w:val="28"/>
              </w:rPr>
            </w:pPr>
          </w:p>
        </w:tc>
        <w:tc>
          <w:tcPr>
            <w:tcW w:w="833" w:type="dxa"/>
          </w:tcPr>
          <w:p w14:paraId="4F0D8188" w14:textId="77777777" w:rsidR="008F2269" w:rsidRPr="00C97088" w:rsidRDefault="008F2269" w:rsidP="002D1362">
            <w:pPr>
              <w:rPr>
                <w:sz w:val="28"/>
                <w:szCs w:val="28"/>
              </w:rPr>
            </w:pPr>
            <w:r w:rsidRPr="00C97088">
              <w:rPr>
                <w:sz w:val="20"/>
                <w:szCs w:val="20"/>
              </w:rPr>
              <w:t>A.2.1.2</w:t>
            </w:r>
          </w:p>
        </w:tc>
        <w:tc>
          <w:tcPr>
            <w:tcW w:w="2719" w:type="dxa"/>
          </w:tcPr>
          <w:p w14:paraId="542F27E8" w14:textId="77777777" w:rsidR="008F2269" w:rsidRPr="00C97088" w:rsidRDefault="008F2269" w:rsidP="002D1362">
            <w:pPr>
              <w:jc w:val="both"/>
              <w:rPr>
                <w:sz w:val="20"/>
                <w:szCs w:val="20"/>
              </w:rPr>
            </w:pPr>
            <w:r w:rsidRPr="00C97088">
              <w:rPr>
                <w:sz w:val="20"/>
                <w:szCs w:val="20"/>
              </w:rPr>
              <w:t xml:space="preserve">Equiper en AEP ou postes d'eau de 500 localités de plus de 150 habitants par les projets </w:t>
            </w:r>
            <w:proofErr w:type="gramStart"/>
            <w:r w:rsidRPr="00C97088">
              <w:rPr>
                <w:sz w:val="20"/>
                <w:szCs w:val="20"/>
              </w:rPr>
              <w:t>structurants  (</w:t>
            </w:r>
            <w:proofErr w:type="gramEnd"/>
            <w:r w:rsidRPr="00C97088">
              <w:rPr>
                <w:sz w:val="20"/>
                <w:szCs w:val="20"/>
              </w:rPr>
              <w:t xml:space="preserve">part rurale)  </w:t>
            </w:r>
          </w:p>
        </w:tc>
        <w:tc>
          <w:tcPr>
            <w:tcW w:w="992" w:type="dxa"/>
          </w:tcPr>
          <w:p w14:paraId="301ABF88" w14:textId="77777777" w:rsidR="008F2269" w:rsidRPr="00C97088" w:rsidRDefault="008F2269" w:rsidP="002D1362">
            <w:pPr>
              <w:rPr>
                <w:sz w:val="20"/>
                <w:szCs w:val="20"/>
              </w:rPr>
            </w:pPr>
            <w:r w:rsidRPr="00C97088">
              <w:rPr>
                <w:sz w:val="20"/>
                <w:szCs w:val="20"/>
              </w:rPr>
              <w:t>5 700</w:t>
            </w:r>
          </w:p>
        </w:tc>
        <w:tc>
          <w:tcPr>
            <w:tcW w:w="709" w:type="dxa"/>
          </w:tcPr>
          <w:p w14:paraId="0D328C7E" w14:textId="77777777" w:rsidR="008F2269" w:rsidRPr="00C97088" w:rsidRDefault="008F2269" w:rsidP="002D1362">
            <w:pPr>
              <w:rPr>
                <w:sz w:val="28"/>
                <w:szCs w:val="28"/>
              </w:rPr>
            </w:pPr>
            <w:r w:rsidRPr="00C97088">
              <w:rPr>
                <w:sz w:val="20"/>
                <w:szCs w:val="20"/>
              </w:rPr>
              <w:t>1</w:t>
            </w:r>
          </w:p>
        </w:tc>
        <w:tc>
          <w:tcPr>
            <w:tcW w:w="1417" w:type="dxa"/>
            <w:tcBorders>
              <w:right w:val="single" w:sz="4" w:space="0" w:color="auto"/>
            </w:tcBorders>
          </w:tcPr>
          <w:p w14:paraId="67446735" w14:textId="77777777" w:rsidR="008F2269" w:rsidRPr="00C97088" w:rsidRDefault="008F2269" w:rsidP="002D1362">
            <w:pPr>
              <w:rPr>
                <w:sz w:val="28"/>
                <w:szCs w:val="28"/>
              </w:rPr>
            </w:pPr>
            <w:r w:rsidRPr="00C97088">
              <w:rPr>
                <w:sz w:val="20"/>
                <w:szCs w:val="20"/>
              </w:rPr>
              <w:t>Nbre de localités équipées</w:t>
            </w:r>
          </w:p>
        </w:tc>
        <w:tc>
          <w:tcPr>
            <w:tcW w:w="1417" w:type="dxa"/>
            <w:vMerge/>
            <w:tcBorders>
              <w:left w:val="single" w:sz="4" w:space="0" w:color="auto"/>
              <w:bottom w:val="single" w:sz="4" w:space="0" w:color="auto"/>
              <w:right w:val="single" w:sz="4" w:space="0" w:color="auto"/>
            </w:tcBorders>
          </w:tcPr>
          <w:p w14:paraId="46384740" w14:textId="77777777" w:rsidR="008F2269" w:rsidRPr="00C97088" w:rsidRDefault="008F2269" w:rsidP="002D1362">
            <w:pPr>
              <w:rPr>
                <w:sz w:val="28"/>
                <w:szCs w:val="28"/>
              </w:rPr>
            </w:pPr>
          </w:p>
        </w:tc>
      </w:tr>
      <w:tr w:rsidR="008F2269" w:rsidRPr="00C97088" w14:paraId="66E4AA7A" w14:textId="77777777" w:rsidTr="002D1362">
        <w:tc>
          <w:tcPr>
            <w:tcW w:w="1518" w:type="dxa"/>
            <w:vMerge/>
          </w:tcPr>
          <w:p w14:paraId="70CB76AD" w14:textId="77777777" w:rsidR="008F2269" w:rsidRPr="00C97088" w:rsidRDefault="008F2269" w:rsidP="002D1362">
            <w:pPr>
              <w:rPr>
                <w:sz w:val="20"/>
                <w:szCs w:val="20"/>
              </w:rPr>
            </w:pPr>
          </w:p>
        </w:tc>
        <w:tc>
          <w:tcPr>
            <w:tcW w:w="833" w:type="dxa"/>
          </w:tcPr>
          <w:p w14:paraId="4894C8A7" w14:textId="77777777" w:rsidR="008F2269" w:rsidRPr="00C97088" w:rsidRDefault="008F2269" w:rsidP="002D1362">
            <w:pPr>
              <w:rPr>
                <w:sz w:val="20"/>
                <w:szCs w:val="20"/>
              </w:rPr>
            </w:pPr>
            <w:r w:rsidRPr="00C97088">
              <w:rPr>
                <w:sz w:val="20"/>
                <w:szCs w:val="20"/>
              </w:rPr>
              <w:t>A.2.1.3</w:t>
            </w:r>
          </w:p>
        </w:tc>
        <w:tc>
          <w:tcPr>
            <w:tcW w:w="2719" w:type="dxa"/>
          </w:tcPr>
          <w:p w14:paraId="0EE2879C" w14:textId="77777777" w:rsidR="008F2269" w:rsidRPr="00C97088" w:rsidRDefault="008F2269" w:rsidP="002D1362">
            <w:pPr>
              <w:jc w:val="both"/>
              <w:rPr>
                <w:sz w:val="28"/>
                <w:szCs w:val="28"/>
              </w:rPr>
            </w:pPr>
            <w:proofErr w:type="gramStart"/>
            <w:r w:rsidRPr="00C97088">
              <w:rPr>
                <w:sz w:val="20"/>
                <w:szCs w:val="20"/>
              </w:rPr>
              <w:t>Réhabiliter  et</w:t>
            </w:r>
            <w:proofErr w:type="gramEnd"/>
            <w:r w:rsidRPr="00C97088">
              <w:rPr>
                <w:sz w:val="20"/>
                <w:szCs w:val="20"/>
              </w:rPr>
              <w:t xml:space="preserve">/ou mettre aux normes 700 AEP ou postes d’eau existants    </w:t>
            </w:r>
          </w:p>
        </w:tc>
        <w:tc>
          <w:tcPr>
            <w:tcW w:w="992" w:type="dxa"/>
          </w:tcPr>
          <w:p w14:paraId="23793674" w14:textId="77777777" w:rsidR="008F2269" w:rsidRPr="00C97088" w:rsidRDefault="008F2269" w:rsidP="002D1362">
            <w:pPr>
              <w:rPr>
                <w:sz w:val="28"/>
                <w:szCs w:val="28"/>
              </w:rPr>
            </w:pPr>
            <w:r w:rsidRPr="00C97088">
              <w:rPr>
                <w:sz w:val="20"/>
                <w:szCs w:val="20"/>
              </w:rPr>
              <w:t>1 800</w:t>
            </w:r>
          </w:p>
        </w:tc>
        <w:tc>
          <w:tcPr>
            <w:tcW w:w="709" w:type="dxa"/>
          </w:tcPr>
          <w:p w14:paraId="7C2ABE41" w14:textId="77777777" w:rsidR="008F2269" w:rsidRPr="00C97088" w:rsidRDefault="008F2269" w:rsidP="002D1362">
            <w:pPr>
              <w:rPr>
                <w:sz w:val="20"/>
                <w:szCs w:val="20"/>
              </w:rPr>
            </w:pPr>
            <w:r w:rsidRPr="00C97088">
              <w:rPr>
                <w:sz w:val="20"/>
                <w:szCs w:val="20"/>
              </w:rPr>
              <w:t>1</w:t>
            </w:r>
          </w:p>
        </w:tc>
        <w:tc>
          <w:tcPr>
            <w:tcW w:w="1417" w:type="dxa"/>
            <w:tcBorders>
              <w:right w:val="single" w:sz="4" w:space="0" w:color="auto"/>
            </w:tcBorders>
          </w:tcPr>
          <w:p w14:paraId="0ED1B3B6" w14:textId="77777777" w:rsidR="008F2269" w:rsidRPr="00C97088" w:rsidRDefault="008F2269" w:rsidP="002D1362">
            <w:pPr>
              <w:rPr>
                <w:sz w:val="20"/>
                <w:szCs w:val="20"/>
              </w:rPr>
            </w:pPr>
            <w:r w:rsidRPr="00C97088">
              <w:rPr>
                <w:sz w:val="20"/>
                <w:szCs w:val="20"/>
              </w:rPr>
              <w:t>Nbre de systèmes mis aux normes</w:t>
            </w:r>
          </w:p>
        </w:tc>
        <w:tc>
          <w:tcPr>
            <w:tcW w:w="1417" w:type="dxa"/>
            <w:vMerge/>
            <w:tcBorders>
              <w:left w:val="single" w:sz="4" w:space="0" w:color="auto"/>
              <w:bottom w:val="single" w:sz="4" w:space="0" w:color="auto"/>
              <w:right w:val="single" w:sz="4" w:space="0" w:color="auto"/>
            </w:tcBorders>
          </w:tcPr>
          <w:p w14:paraId="1DE7F668" w14:textId="77777777" w:rsidR="008F2269" w:rsidRPr="00C97088" w:rsidRDefault="008F2269" w:rsidP="002D1362">
            <w:pPr>
              <w:rPr>
                <w:sz w:val="20"/>
                <w:szCs w:val="20"/>
              </w:rPr>
            </w:pPr>
          </w:p>
        </w:tc>
      </w:tr>
      <w:tr w:rsidR="008F2269" w:rsidRPr="00C97088" w14:paraId="41634889" w14:textId="77777777" w:rsidTr="002D1362">
        <w:tc>
          <w:tcPr>
            <w:tcW w:w="1518" w:type="dxa"/>
            <w:vMerge/>
          </w:tcPr>
          <w:p w14:paraId="6D6CFB16" w14:textId="77777777" w:rsidR="008F2269" w:rsidRPr="00C97088" w:rsidRDefault="008F2269" w:rsidP="002D1362">
            <w:pPr>
              <w:rPr>
                <w:sz w:val="28"/>
                <w:szCs w:val="28"/>
              </w:rPr>
            </w:pPr>
          </w:p>
        </w:tc>
        <w:tc>
          <w:tcPr>
            <w:tcW w:w="833" w:type="dxa"/>
          </w:tcPr>
          <w:p w14:paraId="08E962FF" w14:textId="77777777" w:rsidR="008F2269" w:rsidRPr="00C97088" w:rsidRDefault="008F2269" w:rsidP="002D1362">
            <w:pPr>
              <w:rPr>
                <w:sz w:val="20"/>
                <w:szCs w:val="20"/>
              </w:rPr>
            </w:pPr>
            <w:r w:rsidRPr="00C97088">
              <w:rPr>
                <w:sz w:val="20"/>
                <w:szCs w:val="20"/>
              </w:rPr>
              <w:t>A.2.1.4</w:t>
            </w:r>
          </w:p>
        </w:tc>
        <w:tc>
          <w:tcPr>
            <w:tcW w:w="2719" w:type="dxa"/>
          </w:tcPr>
          <w:p w14:paraId="7C87889B" w14:textId="77777777" w:rsidR="008F2269" w:rsidRPr="00C97088" w:rsidRDefault="008F2269" w:rsidP="002D1362">
            <w:pPr>
              <w:jc w:val="both"/>
              <w:rPr>
                <w:sz w:val="20"/>
                <w:szCs w:val="20"/>
              </w:rPr>
            </w:pPr>
            <w:proofErr w:type="gramStart"/>
            <w:r w:rsidRPr="00C97088">
              <w:rPr>
                <w:sz w:val="20"/>
                <w:szCs w:val="20"/>
              </w:rPr>
              <w:t>Améliorer  l’accès</w:t>
            </w:r>
            <w:proofErr w:type="gramEnd"/>
            <w:r w:rsidRPr="00C97088">
              <w:rPr>
                <w:sz w:val="20"/>
                <w:szCs w:val="20"/>
              </w:rPr>
              <w:t xml:space="preserve"> du </w:t>
            </w:r>
            <w:proofErr w:type="gramStart"/>
            <w:r w:rsidRPr="00C97088">
              <w:rPr>
                <w:sz w:val="20"/>
                <w:szCs w:val="20"/>
              </w:rPr>
              <w:t>service  de</w:t>
            </w:r>
            <w:proofErr w:type="gramEnd"/>
            <w:r w:rsidRPr="00C97088">
              <w:rPr>
                <w:sz w:val="20"/>
                <w:szCs w:val="20"/>
              </w:rPr>
              <w:t xml:space="preserve"> l’eau à domicile dans toutes les localités de plus de 300 habitants</w:t>
            </w:r>
          </w:p>
        </w:tc>
        <w:tc>
          <w:tcPr>
            <w:tcW w:w="992" w:type="dxa"/>
          </w:tcPr>
          <w:p w14:paraId="76909672" w14:textId="77777777" w:rsidR="008F2269" w:rsidRPr="00C97088" w:rsidRDefault="008F2269" w:rsidP="002D1362">
            <w:pPr>
              <w:rPr>
                <w:sz w:val="28"/>
                <w:szCs w:val="28"/>
              </w:rPr>
            </w:pPr>
            <w:r w:rsidRPr="00C97088">
              <w:rPr>
                <w:sz w:val="20"/>
                <w:szCs w:val="20"/>
              </w:rPr>
              <w:t>PM</w:t>
            </w:r>
          </w:p>
        </w:tc>
        <w:tc>
          <w:tcPr>
            <w:tcW w:w="709" w:type="dxa"/>
          </w:tcPr>
          <w:p w14:paraId="23E8823C" w14:textId="77777777" w:rsidR="008F2269" w:rsidRPr="00C97088" w:rsidRDefault="008F2269" w:rsidP="002D1362">
            <w:pPr>
              <w:rPr>
                <w:sz w:val="20"/>
                <w:szCs w:val="20"/>
              </w:rPr>
            </w:pPr>
            <w:r w:rsidRPr="00C97088">
              <w:rPr>
                <w:sz w:val="20"/>
                <w:szCs w:val="20"/>
              </w:rPr>
              <w:t>1</w:t>
            </w:r>
          </w:p>
        </w:tc>
        <w:tc>
          <w:tcPr>
            <w:tcW w:w="1417" w:type="dxa"/>
            <w:tcBorders>
              <w:right w:val="single" w:sz="4" w:space="0" w:color="auto"/>
            </w:tcBorders>
          </w:tcPr>
          <w:p w14:paraId="29D90427" w14:textId="77777777" w:rsidR="008F2269" w:rsidRPr="00C97088" w:rsidRDefault="008F2269" w:rsidP="002D1362">
            <w:pPr>
              <w:rPr>
                <w:sz w:val="20"/>
                <w:szCs w:val="20"/>
              </w:rPr>
            </w:pPr>
            <w:r w:rsidRPr="00C97088">
              <w:rPr>
                <w:sz w:val="20"/>
                <w:szCs w:val="20"/>
              </w:rPr>
              <w:t>Taux de raccordement</w:t>
            </w:r>
          </w:p>
        </w:tc>
        <w:tc>
          <w:tcPr>
            <w:tcW w:w="1417" w:type="dxa"/>
            <w:vMerge/>
            <w:tcBorders>
              <w:left w:val="single" w:sz="4" w:space="0" w:color="auto"/>
              <w:bottom w:val="single" w:sz="4" w:space="0" w:color="auto"/>
              <w:right w:val="single" w:sz="4" w:space="0" w:color="auto"/>
            </w:tcBorders>
          </w:tcPr>
          <w:p w14:paraId="0581032B" w14:textId="77777777" w:rsidR="008F2269" w:rsidRPr="00C97088" w:rsidRDefault="008F2269" w:rsidP="002D1362">
            <w:pPr>
              <w:rPr>
                <w:sz w:val="28"/>
                <w:szCs w:val="28"/>
              </w:rPr>
            </w:pPr>
          </w:p>
        </w:tc>
      </w:tr>
      <w:tr w:rsidR="008F2269" w:rsidRPr="00C97088" w14:paraId="21F265C3" w14:textId="77777777" w:rsidTr="002D1362">
        <w:tc>
          <w:tcPr>
            <w:tcW w:w="1518" w:type="dxa"/>
            <w:vMerge w:val="restart"/>
          </w:tcPr>
          <w:p w14:paraId="18E2874A" w14:textId="77777777" w:rsidR="008F2269" w:rsidRPr="00C97088" w:rsidRDefault="008F2269" w:rsidP="002D1362">
            <w:pPr>
              <w:rPr>
                <w:sz w:val="20"/>
                <w:szCs w:val="20"/>
              </w:rPr>
            </w:pPr>
            <w:r w:rsidRPr="00C97088">
              <w:rPr>
                <w:sz w:val="20"/>
                <w:szCs w:val="20"/>
              </w:rPr>
              <w:t>R2.2 Le taux de raccordement</w:t>
            </w:r>
          </w:p>
          <w:p w14:paraId="456CDB5A" w14:textId="77777777" w:rsidR="008F2269" w:rsidRPr="00C97088" w:rsidRDefault="008F2269" w:rsidP="002D1362">
            <w:pPr>
              <w:rPr>
                <w:sz w:val="20"/>
                <w:szCs w:val="20"/>
              </w:rPr>
            </w:pPr>
            <w:proofErr w:type="gramStart"/>
            <w:r w:rsidRPr="00C97088">
              <w:rPr>
                <w:sz w:val="20"/>
                <w:szCs w:val="20"/>
              </w:rPr>
              <w:t>des</w:t>
            </w:r>
            <w:proofErr w:type="gramEnd"/>
            <w:r w:rsidRPr="00C97088">
              <w:rPr>
                <w:sz w:val="20"/>
                <w:szCs w:val="20"/>
              </w:rPr>
              <w:t xml:space="preserve"> localités rurales de plus de 600 habitants est porté à 100 %</w:t>
            </w:r>
          </w:p>
        </w:tc>
        <w:tc>
          <w:tcPr>
            <w:tcW w:w="833" w:type="dxa"/>
          </w:tcPr>
          <w:p w14:paraId="7C27F1BF" w14:textId="77777777" w:rsidR="008F2269" w:rsidRPr="00C97088" w:rsidRDefault="008F2269" w:rsidP="002D1362">
            <w:pPr>
              <w:rPr>
                <w:sz w:val="28"/>
                <w:szCs w:val="28"/>
              </w:rPr>
            </w:pPr>
            <w:r w:rsidRPr="00C97088">
              <w:rPr>
                <w:sz w:val="20"/>
                <w:szCs w:val="20"/>
              </w:rPr>
              <w:t>A.2.2.1</w:t>
            </w:r>
          </w:p>
        </w:tc>
        <w:tc>
          <w:tcPr>
            <w:tcW w:w="2719" w:type="dxa"/>
          </w:tcPr>
          <w:p w14:paraId="2372155D" w14:textId="77777777" w:rsidR="008F2269" w:rsidRPr="00C97088" w:rsidRDefault="008F2269" w:rsidP="002D1362">
            <w:pPr>
              <w:jc w:val="both"/>
              <w:rPr>
                <w:sz w:val="28"/>
                <w:szCs w:val="28"/>
              </w:rPr>
            </w:pPr>
            <w:r w:rsidRPr="00C97088">
              <w:rPr>
                <w:sz w:val="20"/>
                <w:szCs w:val="20"/>
              </w:rPr>
              <w:t>Équiper en eau potable 400 postes et centres de santé</w:t>
            </w:r>
          </w:p>
        </w:tc>
        <w:tc>
          <w:tcPr>
            <w:tcW w:w="992" w:type="dxa"/>
          </w:tcPr>
          <w:p w14:paraId="6AAA56B1" w14:textId="77777777" w:rsidR="008F2269" w:rsidRPr="00C97088" w:rsidRDefault="008F2269" w:rsidP="002D1362">
            <w:pPr>
              <w:rPr>
                <w:sz w:val="20"/>
                <w:szCs w:val="20"/>
              </w:rPr>
            </w:pPr>
            <w:r w:rsidRPr="00C97088">
              <w:rPr>
                <w:sz w:val="20"/>
                <w:szCs w:val="20"/>
              </w:rPr>
              <w:t>PM</w:t>
            </w:r>
          </w:p>
        </w:tc>
        <w:tc>
          <w:tcPr>
            <w:tcW w:w="709" w:type="dxa"/>
          </w:tcPr>
          <w:p w14:paraId="23CCB033" w14:textId="77777777" w:rsidR="008F2269" w:rsidRPr="00C97088" w:rsidRDefault="008F2269" w:rsidP="002D1362">
            <w:pPr>
              <w:rPr>
                <w:sz w:val="20"/>
                <w:szCs w:val="20"/>
              </w:rPr>
            </w:pPr>
            <w:r w:rsidRPr="00C97088">
              <w:rPr>
                <w:sz w:val="20"/>
                <w:szCs w:val="20"/>
              </w:rPr>
              <w:t>1</w:t>
            </w:r>
          </w:p>
        </w:tc>
        <w:tc>
          <w:tcPr>
            <w:tcW w:w="1417" w:type="dxa"/>
          </w:tcPr>
          <w:p w14:paraId="7E905D94" w14:textId="77777777" w:rsidR="008F2269" w:rsidRPr="00C97088" w:rsidRDefault="008F2269" w:rsidP="002D1362">
            <w:pPr>
              <w:rPr>
                <w:sz w:val="20"/>
                <w:szCs w:val="20"/>
              </w:rPr>
            </w:pPr>
            <w:r w:rsidRPr="00C97088">
              <w:rPr>
                <w:sz w:val="20"/>
                <w:szCs w:val="20"/>
              </w:rPr>
              <w:t>Nbre de structures de santé équipées</w:t>
            </w:r>
          </w:p>
        </w:tc>
        <w:tc>
          <w:tcPr>
            <w:tcW w:w="1417" w:type="dxa"/>
            <w:vMerge w:val="restart"/>
            <w:tcBorders>
              <w:top w:val="single" w:sz="4" w:space="0" w:color="auto"/>
            </w:tcBorders>
          </w:tcPr>
          <w:p w14:paraId="0362FACB" w14:textId="77777777" w:rsidR="008F2269" w:rsidRPr="00C97088" w:rsidRDefault="008F2269" w:rsidP="002D1362">
            <w:pPr>
              <w:rPr>
                <w:sz w:val="20"/>
                <w:szCs w:val="20"/>
              </w:rPr>
            </w:pPr>
            <w:r w:rsidRPr="00C97088">
              <w:rPr>
                <w:sz w:val="20"/>
                <w:szCs w:val="20"/>
              </w:rPr>
              <w:t>Taux d’équipement (indicateur 6.1.1 ODD)</w:t>
            </w:r>
          </w:p>
          <w:p w14:paraId="073BF353" w14:textId="77777777" w:rsidR="008F2269" w:rsidRPr="00C97088" w:rsidRDefault="008F2269" w:rsidP="002D1362">
            <w:pPr>
              <w:rPr>
                <w:sz w:val="20"/>
                <w:szCs w:val="20"/>
              </w:rPr>
            </w:pPr>
          </w:p>
        </w:tc>
      </w:tr>
      <w:tr w:rsidR="008F2269" w:rsidRPr="00C97088" w14:paraId="27B95D1E" w14:textId="77777777" w:rsidTr="002D1362">
        <w:tc>
          <w:tcPr>
            <w:tcW w:w="1518" w:type="dxa"/>
            <w:vMerge/>
          </w:tcPr>
          <w:p w14:paraId="6B369C90" w14:textId="77777777" w:rsidR="008F2269" w:rsidRPr="00C97088" w:rsidRDefault="008F2269" w:rsidP="002D1362">
            <w:pPr>
              <w:rPr>
                <w:sz w:val="28"/>
                <w:szCs w:val="28"/>
              </w:rPr>
            </w:pPr>
          </w:p>
        </w:tc>
        <w:tc>
          <w:tcPr>
            <w:tcW w:w="833" w:type="dxa"/>
          </w:tcPr>
          <w:p w14:paraId="29213F65" w14:textId="77777777" w:rsidR="008F2269" w:rsidRPr="00C97088" w:rsidRDefault="008F2269" w:rsidP="002D1362">
            <w:pPr>
              <w:rPr>
                <w:sz w:val="28"/>
                <w:szCs w:val="28"/>
              </w:rPr>
            </w:pPr>
            <w:r w:rsidRPr="00C97088">
              <w:rPr>
                <w:sz w:val="20"/>
                <w:szCs w:val="20"/>
              </w:rPr>
              <w:t>A.2.2.2</w:t>
            </w:r>
          </w:p>
        </w:tc>
        <w:tc>
          <w:tcPr>
            <w:tcW w:w="2719" w:type="dxa"/>
          </w:tcPr>
          <w:p w14:paraId="7B89BB90" w14:textId="77777777" w:rsidR="008F2269" w:rsidRPr="00C97088" w:rsidRDefault="008F2269" w:rsidP="002D1362">
            <w:pPr>
              <w:jc w:val="both"/>
              <w:rPr>
                <w:sz w:val="28"/>
                <w:szCs w:val="28"/>
              </w:rPr>
            </w:pPr>
            <w:r w:rsidRPr="00C97088">
              <w:rPr>
                <w:sz w:val="20"/>
                <w:szCs w:val="20"/>
              </w:rPr>
              <w:t>Équiper en eau potable 3.200 écoles</w:t>
            </w:r>
          </w:p>
        </w:tc>
        <w:tc>
          <w:tcPr>
            <w:tcW w:w="992" w:type="dxa"/>
          </w:tcPr>
          <w:p w14:paraId="6DED7427" w14:textId="77777777" w:rsidR="008F2269" w:rsidRPr="00C97088" w:rsidRDefault="008F2269" w:rsidP="002D1362">
            <w:pPr>
              <w:rPr>
                <w:sz w:val="20"/>
                <w:szCs w:val="20"/>
              </w:rPr>
            </w:pPr>
            <w:r w:rsidRPr="00C97088">
              <w:rPr>
                <w:sz w:val="20"/>
                <w:szCs w:val="20"/>
              </w:rPr>
              <w:t>PM</w:t>
            </w:r>
          </w:p>
        </w:tc>
        <w:tc>
          <w:tcPr>
            <w:tcW w:w="709" w:type="dxa"/>
          </w:tcPr>
          <w:p w14:paraId="498DEB49" w14:textId="77777777" w:rsidR="008F2269" w:rsidRPr="00C97088" w:rsidRDefault="008F2269" w:rsidP="002D1362">
            <w:pPr>
              <w:rPr>
                <w:sz w:val="28"/>
                <w:szCs w:val="28"/>
              </w:rPr>
            </w:pPr>
            <w:r w:rsidRPr="00C97088">
              <w:rPr>
                <w:sz w:val="20"/>
                <w:szCs w:val="20"/>
              </w:rPr>
              <w:t>1</w:t>
            </w:r>
          </w:p>
        </w:tc>
        <w:tc>
          <w:tcPr>
            <w:tcW w:w="1417" w:type="dxa"/>
          </w:tcPr>
          <w:p w14:paraId="648837BE" w14:textId="77777777" w:rsidR="008F2269" w:rsidRPr="00C97088" w:rsidRDefault="008F2269" w:rsidP="002D1362">
            <w:pPr>
              <w:rPr>
                <w:sz w:val="28"/>
                <w:szCs w:val="28"/>
              </w:rPr>
            </w:pPr>
            <w:r w:rsidRPr="00C97088">
              <w:rPr>
                <w:sz w:val="20"/>
                <w:szCs w:val="20"/>
              </w:rPr>
              <w:t>Nbre d’écoles équipées</w:t>
            </w:r>
          </w:p>
        </w:tc>
        <w:tc>
          <w:tcPr>
            <w:tcW w:w="1417" w:type="dxa"/>
            <w:vMerge/>
          </w:tcPr>
          <w:p w14:paraId="58CF6743" w14:textId="77777777" w:rsidR="008F2269" w:rsidRPr="00C97088" w:rsidRDefault="008F2269" w:rsidP="002D1362">
            <w:pPr>
              <w:rPr>
                <w:sz w:val="20"/>
                <w:szCs w:val="20"/>
              </w:rPr>
            </w:pPr>
          </w:p>
        </w:tc>
      </w:tr>
      <w:tr w:rsidR="008F2269" w:rsidRPr="00C97088" w14:paraId="1E23057E" w14:textId="77777777" w:rsidTr="002D1362">
        <w:tc>
          <w:tcPr>
            <w:tcW w:w="1518" w:type="dxa"/>
            <w:vMerge w:val="restart"/>
          </w:tcPr>
          <w:p w14:paraId="0D361155" w14:textId="77777777" w:rsidR="008F2269" w:rsidRPr="00C97088" w:rsidRDefault="008F2269" w:rsidP="002D1362">
            <w:pPr>
              <w:rPr>
                <w:sz w:val="20"/>
                <w:szCs w:val="20"/>
              </w:rPr>
            </w:pPr>
            <w:r w:rsidRPr="00C97088">
              <w:rPr>
                <w:sz w:val="20"/>
                <w:szCs w:val="20"/>
              </w:rPr>
              <w:t>R2.3 Le taux de raccordement en milieu urbain est porté à 100 %</w:t>
            </w:r>
          </w:p>
        </w:tc>
        <w:tc>
          <w:tcPr>
            <w:tcW w:w="833" w:type="dxa"/>
          </w:tcPr>
          <w:p w14:paraId="6E439DA7" w14:textId="77777777" w:rsidR="008F2269" w:rsidRPr="00C97088" w:rsidRDefault="008F2269" w:rsidP="002D1362">
            <w:pPr>
              <w:rPr>
                <w:sz w:val="28"/>
                <w:szCs w:val="28"/>
              </w:rPr>
            </w:pPr>
            <w:r w:rsidRPr="00C97088">
              <w:rPr>
                <w:sz w:val="20"/>
                <w:szCs w:val="20"/>
              </w:rPr>
              <w:t>A.2.3.1</w:t>
            </w:r>
          </w:p>
        </w:tc>
        <w:tc>
          <w:tcPr>
            <w:tcW w:w="2719" w:type="dxa"/>
          </w:tcPr>
          <w:p w14:paraId="3303FD37" w14:textId="77777777" w:rsidR="008F2269" w:rsidRPr="00C97088" w:rsidRDefault="008F2269" w:rsidP="002D1362">
            <w:pPr>
              <w:jc w:val="both"/>
              <w:rPr>
                <w:sz w:val="20"/>
                <w:szCs w:val="20"/>
              </w:rPr>
            </w:pPr>
            <w:r w:rsidRPr="00C97088">
              <w:rPr>
                <w:sz w:val="20"/>
                <w:szCs w:val="20"/>
              </w:rPr>
              <w:t>Renforcer l'AEP de 30 villes hors projets structurants (hors Nouadhibou et Nouakchott)</w:t>
            </w:r>
          </w:p>
        </w:tc>
        <w:tc>
          <w:tcPr>
            <w:tcW w:w="992" w:type="dxa"/>
          </w:tcPr>
          <w:p w14:paraId="3B15F009" w14:textId="77777777" w:rsidR="008F2269" w:rsidRPr="00C97088" w:rsidRDefault="008F2269" w:rsidP="002D1362">
            <w:pPr>
              <w:rPr>
                <w:sz w:val="28"/>
                <w:szCs w:val="28"/>
              </w:rPr>
            </w:pPr>
            <w:r w:rsidRPr="00C97088">
              <w:rPr>
                <w:sz w:val="20"/>
                <w:szCs w:val="20"/>
              </w:rPr>
              <w:t>900</w:t>
            </w:r>
          </w:p>
        </w:tc>
        <w:tc>
          <w:tcPr>
            <w:tcW w:w="709" w:type="dxa"/>
          </w:tcPr>
          <w:p w14:paraId="53A666EE" w14:textId="77777777" w:rsidR="008F2269" w:rsidRPr="00C97088" w:rsidRDefault="008F2269" w:rsidP="002D1362">
            <w:pPr>
              <w:rPr>
                <w:sz w:val="20"/>
                <w:szCs w:val="20"/>
              </w:rPr>
            </w:pPr>
            <w:r w:rsidRPr="00C97088">
              <w:rPr>
                <w:sz w:val="20"/>
                <w:szCs w:val="20"/>
              </w:rPr>
              <w:t>1</w:t>
            </w:r>
          </w:p>
        </w:tc>
        <w:tc>
          <w:tcPr>
            <w:tcW w:w="1417" w:type="dxa"/>
          </w:tcPr>
          <w:p w14:paraId="31C79440" w14:textId="77777777" w:rsidR="008F2269" w:rsidRPr="00C97088" w:rsidRDefault="008F2269" w:rsidP="002D1362">
            <w:pPr>
              <w:rPr>
                <w:sz w:val="20"/>
                <w:szCs w:val="20"/>
              </w:rPr>
            </w:pPr>
            <w:r w:rsidRPr="00C97088">
              <w:rPr>
                <w:sz w:val="20"/>
                <w:szCs w:val="20"/>
              </w:rPr>
              <w:t>% investissement</w:t>
            </w:r>
          </w:p>
        </w:tc>
        <w:tc>
          <w:tcPr>
            <w:tcW w:w="1417" w:type="dxa"/>
            <w:vMerge w:val="restart"/>
          </w:tcPr>
          <w:p w14:paraId="508F2248" w14:textId="77777777" w:rsidR="008F2269" w:rsidRPr="00C97088" w:rsidRDefault="008F2269" w:rsidP="002D1362">
            <w:pPr>
              <w:rPr>
                <w:sz w:val="20"/>
                <w:szCs w:val="20"/>
              </w:rPr>
            </w:pPr>
            <w:r w:rsidRPr="00C97088">
              <w:rPr>
                <w:sz w:val="20"/>
                <w:szCs w:val="20"/>
              </w:rPr>
              <w:t>Taux de raccordement en milieu urbain</w:t>
            </w:r>
          </w:p>
        </w:tc>
      </w:tr>
      <w:tr w:rsidR="008F2269" w:rsidRPr="00C97088" w14:paraId="1B4C6D95" w14:textId="77777777" w:rsidTr="002D1362">
        <w:tc>
          <w:tcPr>
            <w:tcW w:w="1518" w:type="dxa"/>
            <w:vMerge/>
          </w:tcPr>
          <w:p w14:paraId="40966460" w14:textId="77777777" w:rsidR="008F2269" w:rsidRPr="00C97088" w:rsidRDefault="008F2269" w:rsidP="002D1362">
            <w:pPr>
              <w:rPr>
                <w:sz w:val="28"/>
                <w:szCs w:val="28"/>
              </w:rPr>
            </w:pPr>
          </w:p>
        </w:tc>
        <w:tc>
          <w:tcPr>
            <w:tcW w:w="833" w:type="dxa"/>
          </w:tcPr>
          <w:p w14:paraId="64959A27" w14:textId="77777777" w:rsidR="008F2269" w:rsidRPr="00C97088" w:rsidRDefault="008F2269" w:rsidP="002D1362">
            <w:pPr>
              <w:rPr>
                <w:sz w:val="28"/>
                <w:szCs w:val="28"/>
              </w:rPr>
            </w:pPr>
            <w:r w:rsidRPr="00C97088">
              <w:rPr>
                <w:sz w:val="20"/>
                <w:szCs w:val="20"/>
              </w:rPr>
              <w:t>A.2.3.2</w:t>
            </w:r>
          </w:p>
        </w:tc>
        <w:tc>
          <w:tcPr>
            <w:tcW w:w="2719" w:type="dxa"/>
          </w:tcPr>
          <w:p w14:paraId="5A47BDDB" w14:textId="77777777" w:rsidR="008F2269" w:rsidRPr="00C97088" w:rsidRDefault="008F2269" w:rsidP="002D1362">
            <w:pPr>
              <w:jc w:val="both"/>
              <w:rPr>
                <w:sz w:val="20"/>
                <w:szCs w:val="20"/>
              </w:rPr>
            </w:pPr>
            <w:r w:rsidRPr="00C97088">
              <w:rPr>
                <w:sz w:val="20"/>
                <w:szCs w:val="20"/>
              </w:rPr>
              <w:t>Renforcer l’AEP de 20 villes par les projets structurants (part urbaine)</w:t>
            </w:r>
          </w:p>
        </w:tc>
        <w:tc>
          <w:tcPr>
            <w:tcW w:w="992" w:type="dxa"/>
          </w:tcPr>
          <w:p w14:paraId="0D4B65C9" w14:textId="77777777" w:rsidR="008F2269" w:rsidRPr="00C97088" w:rsidRDefault="008F2269" w:rsidP="002D1362">
            <w:pPr>
              <w:rPr>
                <w:sz w:val="28"/>
                <w:szCs w:val="28"/>
              </w:rPr>
            </w:pPr>
            <w:r w:rsidRPr="00C97088">
              <w:rPr>
                <w:sz w:val="20"/>
                <w:szCs w:val="20"/>
              </w:rPr>
              <w:t>20 100</w:t>
            </w:r>
          </w:p>
        </w:tc>
        <w:tc>
          <w:tcPr>
            <w:tcW w:w="709" w:type="dxa"/>
          </w:tcPr>
          <w:p w14:paraId="208C80BA" w14:textId="77777777" w:rsidR="008F2269" w:rsidRPr="00C97088" w:rsidRDefault="008F2269" w:rsidP="002D1362">
            <w:pPr>
              <w:rPr>
                <w:sz w:val="28"/>
                <w:szCs w:val="28"/>
              </w:rPr>
            </w:pPr>
            <w:r w:rsidRPr="00C97088">
              <w:rPr>
                <w:sz w:val="20"/>
                <w:szCs w:val="20"/>
              </w:rPr>
              <w:t>1</w:t>
            </w:r>
          </w:p>
        </w:tc>
        <w:tc>
          <w:tcPr>
            <w:tcW w:w="1417" w:type="dxa"/>
          </w:tcPr>
          <w:p w14:paraId="49331598" w14:textId="77777777" w:rsidR="008F2269" w:rsidRPr="00C97088" w:rsidRDefault="008F2269" w:rsidP="002D1362">
            <w:pPr>
              <w:rPr>
                <w:sz w:val="28"/>
                <w:szCs w:val="28"/>
              </w:rPr>
            </w:pPr>
            <w:r w:rsidRPr="00C97088">
              <w:rPr>
                <w:sz w:val="20"/>
                <w:szCs w:val="20"/>
              </w:rPr>
              <w:t>% investissement</w:t>
            </w:r>
          </w:p>
        </w:tc>
        <w:tc>
          <w:tcPr>
            <w:tcW w:w="1417" w:type="dxa"/>
            <w:vMerge/>
          </w:tcPr>
          <w:p w14:paraId="47D040A2" w14:textId="77777777" w:rsidR="008F2269" w:rsidRPr="00C97088" w:rsidRDefault="008F2269" w:rsidP="002D1362">
            <w:pPr>
              <w:rPr>
                <w:sz w:val="28"/>
                <w:szCs w:val="28"/>
              </w:rPr>
            </w:pPr>
          </w:p>
        </w:tc>
      </w:tr>
      <w:tr w:rsidR="008F2269" w:rsidRPr="00C97088" w14:paraId="759C50F7" w14:textId="77777777" w:rsidTr="002D1362">
        <w:tc>
          <w:tcPr>
            <w:tcW w:w="1518" w:type="dxa"/>
            <w:vMerge/>
          </w:tcPr>
          <w:p w14:paraId="5E14A1BA" w14:textId="77777777" w:rsidR="008F2269" w:rsidRPr="00C97088" w:rsidRDefault="008F2269" w:rsidP="002D1362">
            <w:pPr>
              <w:rPr>
                <w:sz w:val="28"/>
                <w:szCs w:val="28"/>
              </w:rPr>
            </w:pPr>
          </w:p>
        </w:tc>
        <w:tc>
          <w:tcPr>
            <w:tcW w:w="833" w:type="dxa"/>
          </w:tcPr>
          <w:p w14:paraId="588D4A0A" w14:textId="77777777" w:rsidR="008F2269" w:rsidRPr="00C97088" w:rsidRDefault="008F2269" w:rsidP="002D1362">
            <w:pPr>
              <w:rPr>
                <w:sz w:val="28"/>
                <w:szCs w:val="28"/>
              </w:rPr>
            </w:pPr>
            <w:r w:rsidRPr="00C97088">
              <w:rPr>
                <w:sz w:val="20"/>
                <w:szCs w:val="20"/>
              </w:rPr>
              <w:t>A.2.3.3</w:t>
            </w:r>
          </w:p>
        </w:tc>
        <w:tc>
          <w:tcPr>
            <w:tcW w:w="2719" w:type="dxa"/>
          </w:tcPr>
          <w:p w14:paraId="3F5E49EF" w14:textId="77777777" w:rsidR="008F2269" w:rsidRPr="00C97088" w:rsidRDefault="008F2269" w:rsidP="002D1362">
            <w:pPr>
              <w:jc w:val="both"/>
              <w:rPr>
                <w:sz w:val="28"/>
                <w:szCs w:val="28"/>
              </w:rPr>
            </w:pPr>
            <w:r w:rsidRPr="00C97088">
              <w:rPr>
                <w:sz w:val="20"/>
                <w:szCs w:val="20"/>
              </w:rPr>
              <w:t>Sécuriser l’AEP de Nouadhibou et Nouakchott par le dessalement</w:t>
            </w:r>
          </w:p>
        </w:tc>
        <w:tc>
          <w:tcPr>
            <w:tcW w:w="992" w:type="dxa"/>
          </w:tcPr>
          <w:p w14:paraId="1F4729AC" w14:textId="77777777" w:rsidR="008F2269" w:rsidRPr="00C97088" w:rsidRDefault="008F2269" w:rsidP="002D1362">
            <w:pPr>
              <w:rPr>
                <w:sz w:val="28"/>
                <w:szCs w:val="28"/>
              </w:rPr>
            </w:pPr>
            <w:r w:rsidRPr="00C97088">
              <w:rPr>
                <w:sz w:val="20"/>
                <w:szCs w:val="20"/>
              </w:rPr>
              <w:t>1 160</w:t>
            </w:r>
          </w:p>
        </w:tc>
        <w:tc>
          <w:tcPr>
            <w:tcW w:w="709" w:type="dxa"/>
          </w:tcPr>
          <w:p w14:paraId="081668C8" w14:textId="77777777" w:rsidR="008F2269" w:rsidRPr="00C97088" w:rsidRDefault="008F2269" w:rsidP="002D1362">
            <w:pPr>
              <w:rPr>
                <w:sz w:val="20"/>
                <w:szCs w:val="20"/>
              </w:rPr>
            </w:pPr>
            <w:r w:rsidRPr="00C97088">
              <w:rPr>
                <w:sz w:val="20"/>
                <w:szCs w:val="20"/>
              </w:rPr>
              <w:t>1</w:t>
            </w:r>
          </w:p>
        </w:tc>
        <w:tc>
          <w:tcPr>
            <w:tcW w:w="1417" w:type="dxa"/>
          </w:tcPr>
          <w:p w14:paraId="5EBE6419" w14:textId="77777777" w:rsidR="008F2269" w:rsidRPr="00C97088" w:rsidRDefault="008F2269" w:rsidP="002D1362">
            <w:pPr>
              <w:rPr>
                <w:sz w:val="28"/>
                <w:szCs w:val="28"/>
              </w:rPr>
            </w:pPr>
            <w:r w:rsidRPr="00C97088">
              <w:rPr>
                <w:sz w:val="20"/>
                <w:szCs w:val="20"/>
              </w:rPr>
              <w:t>% investissement</w:t>
            </w:r>
          </w:p>
        </w:tc>
        <w:tc>
          <w:tcPr>
            <w:tcW w:w="1417" w:type="dxa"/>
            <w:vMerge/>
          </w:tcPr>
          <w:p w14:paraId="4912E9B3" w14:textId="77777777" w:rsidR="008F2269" w:rsidRPr="00C97088" w:rsidRDefault="008F2269" w:rsidP="002D1362">
            <w:pPr>
              <w:rPr>
                <w:sz w:val="28"/>
                <w:szCs w:val="28"/>
              </w:rPr>
            </w:pPr>
          </w:p>
        </w:tc>
      </w:tr>
      <w:tr w:rsidR="008F2269" w:rsidRPr="00C97088" w14:paraId="77B69BFA" w14:textId="77777777" w:rsidTr="002D1362">
        <w:tc>
          <w:tcPr>
            <w:tcW w:w="1518" w:type="dxa"/>
            <w:vMerge/>
          </w:tcPr>
          <w:p w14:paraId="08DB04E0" w14:textId="77777777" w:rsidR="008F2269" w:rsidRPr="00C97088" w:rsidRDefault="008F2269" w:rsidP="002D1362">
            <w:pPr>
              <w:rPr>
                <w:sz w:val="28"/>
                <w:szCs w:val="28"/>
              </w:rPr>
            </w:pPr>
          </w:p>
        </w:tc>
        <w:tc>
          <w:tcPr>
            <w:tcW w:w="833" w:type="dxa"/>
          </w:tcPr>
          <w:p w14:paraId="5556C3A4" w14:textId="77777777" w:rsidR="008F2269" w:rsidRPr="00C97088" w:rsidRDefault="008F2269" w:rsidP="002D1362">
            <w:pPr>
              <w:rPr>
                <w:sz w:val="28"/>
                <w:szCs w:val="28"/>
              </w:rPr>
            </w:pPr>
            <w:r w:rsidRPr="00C97088">
              <w:rPr>
                <w:sz w:val="20"/>
                <w:szCs w:val="20"/>
              </w:rPr>
              <w:t>A.2.3.4</w:t>
            </w:r>
          </w:p>
        </w:tc>
        <w:tc>
          <w:tcPr>
            <w:tcW w:w="2719" w:type="dxa"/>
          </w:tcPr>
          <w:p w14:paraId="7C9C423E" w14:textId="77777777" w:rsidR="008F2269" w:rsidRPr="00C97088" w:rsidRDefault="008F2269" w:rsidP="002D1362">
            <w:pPr>
              <w:jc w:val="both"/>
              <w:rPr>
                <w:sz w:val="20"/>
                <w:szCs w:val="20"/>
              </w:rPr>
            </w:pPr>
            <w:r w:rsidRPr="00C97088">
              <w:rPr>
                <w:sz w:val="20"/>
                <w:szCs w:val="20"/>
              </w:rPr>
              <w:t xml:space="preserve">Renforcer le raccordement des zones périphériques de Nouakchott. </w:t>
            </w:r>
          </w:p>
        </w:tc>
        <w:tc>
          <w:tcPr>
            <w:tcW w:w="992" w:type="dxa"/>
          </w:tcPr>
          <w:p w14:paraId="11A6324C" w14:textId="77777777" w:rsidR="008F2269" w:rsidRPr="00C97088" w:rsidRDefault="008F2269" w:rsidP="002D1362">
            <w:pPr>
              <w:rPr>
                <w:sz w:val="28"/>
                <w:szCs w:val="28"/>
              </w:rPr>
            </w:pPr>
            <w:r w:rsidRPr="00C97088">
              <w:rPr>
                <w:sz w:val="20"/>
                <w:szCs w:val="20"/>
              </w:rPr>
              <w:t>200</w:t>
            </w:r>
          </w:p>
        </w:tc>
        <w:tc>
          <w:tcPr>
            <w:tcW w:w="709" w:type="dxa"/>
          </w:tcPr>
          <w:p w14:paraId="2FE44522" w14:textId="77777777" w:rsidR="008F2269" w:rsidRPr="00C97088" w:rsidRDefault="008F2269" w:rsidP="002D1362">
            <w:pPr>
              <w:rPr>
                <w:sz w:val="28"/>
                <w:szCs w:val="28"/>
              </w:rPr>
            </w:pPr>
            <w:r w:rsidRPr="00C97088">
              <w:rPr>
                <w:sz w:val="20"/>
                <w:szCs w:val="20"/>
              </w:rPr>
              <w:t>1</w:t>
            </w:r>
          </w:p>
        </w:tc>
        <w:tc>
          <w:tcPr>
            <w:tcW w:w="1417" w:type="dxa"/>
          </w:tcPr>
          <w:p w14:paraId="633CF3AE" w14:textId="77777777" w:rsidR="008F2269" w:rsidRPr="00C97088" w:rsidRDefault="008F2269" w:rsidP="002D1362">
            <w:pPr>
              <w:rPr>
                <w:sz w:val="28"/>
                <w:szCs w:val="28"/>
              </w:rPr>
            </w:pPr>
            <w:r w:rsidRPr="00C97088">
              <w:rPr>
                <w:sz w:val="20"/>
                <w:szCs w:val="20"/>
              </w:rPr>
              <w:t>% investissement</w:t>
            </w:r>
          </w:p>
        </w:tc>
        <w:tc>
          <w:tcPr>
            <w:tcW w:w="1417" w:type="dxa"/>
            <w:vMerge/>
          </w:tcPr>
          <w:p w14:paraId="345D3B3E" w14:textId="77777777" w:rsidR="008F2269" w:rsidRPr="00C97088" w:rsidRDefault="008F2269" w:rsidP="002D1362">
            <w:pPr>
              <w:rPr>
                <w:sz w:val="28"/>
                <w:szCs w:val="28"/>
              </w:rPr>
            </w:pPr>
          </w:p>
        </w:tc>
      </w:tr>
      <w:tr w:rsidR="008F2269" w:rsidRPr="00C97088" w14:paraId="2F58E4D2" w14:textId="77777777" w:rsidTr="002D1362">
        <w:tc>
          <w:tcPr>
            <w:tcW w:w="1518" w:type="dxa"/>
            <w:vMerge w:val="restart"/>
          </w:tcPr>
          <w:p w14:paraId="338AB996" w14:textId="77777777" w:rsidR="008F2269" w:rsidRPr="00C97088" w:rsidRDefault="008F2269" w:rsidP="002D1362">
            <w:pPr>
              <w:rPr>
                <w:sz w:val="20"/>
                <w:szCs w:val="20"/>
              </w:rPr>
            </w:pPr>
            <w:proofErr w:type="gramStart"/>
            <w:r w:rsidRPr="00C97088">
              <w:rPr>
                <w:sz w:val="20"/>
                <w:szCs w:val="20"/>
              </w:rPr>
              <w:t>R2.4  Les</w:t>
            </w:r>
            <w:proofErr w:type="gramEnd"/>
            <w:r w:rsidRPr="00C97088">
              <w:rPr>
                <w:sz w:val="20"/>
                <w:szCs w:val="20"/>
              </w:rPr>
              <w:t xml:space="preserve"> pertes techniques et commerciales des AEP sont inférieures à 20 %</w:t>
            </w:r>
          </w:p>
        </w:tc>
        <w:tc>
          <w:tcPr>
            <w:tcW w:w="833" w:type="dxa"/>
          </w:tcPr>
          <w:p w14:paraId="6BFE7B64" w14:textId="77777777" w:rsidR="008F2269" w:rsidRPr="00C97088" w:rsidRDefault="008F2269" w:rsidP="002D1362">
            <w:pPr>
              <w:rPr>
                <w:sz w:val="20"/>
                <w:szCs w:val="20"/>
              </w:rPr>
            </w:pPr>
            <w:r w:rsidRPr="00C97088">
              <w:rPr>
                <w:sz w:val="20"/>
                <w:szCs w:val="20"/>
              </w:rPr>
              <w:t>A.2.4.1</w:t>
            </w:r>
          </w:p>
        </w:tc>
        <w:tc>
          <w:tcPr>
            <w:tcW w:w="2719" w:type="dxa"/>
          </w:tcPr>
          <w:p w14:paraId="1CD0AB9C" w14:textId="77777777" w:rsidR="008F2269" w:rsidRPr="00C97088" w:rsidRDefault="008F2269" w:rsidP="002D1362">
            <w:pPr>
              <w:jc w:val="both"/>
              <w:rPr>
                <w:sz w:val="20"/>
                <w:szCs w:val="20"/>
              </w:rPr>
            </w:pPr>
            <w:r w:rsidRPr="00C97088">
              <w:rPr>
                <w:sz w:val="20"/>
                <w:szCs w:val="20"/>
              </w:rPr>
              <w:t>Réaliser des études d’identification des pertes techniques pour les AEP gérées par la SNDE</w:t>
            </w:r>
          </w:p>
        </w:tc>
        <w:tc>
          <w:tcPr>
            <w:tcW w:w="992" w:type="dxa"/>
          </w:tcPr>
          <w:p w14:paraId="0C5431F4" w14:textId="77777777" w:rsidR="008F2269" w:rsidRPr="00C97088" w:rsidRDefault="008F2269" w:rsidP="002D1362">
            <w:pPr>
              <w:rPr>
                <w:sz w:val="20"/>
                <w:szCs w:val="20"/>
              </w:rPr>
            </w:pPr>
            <w:r w:rsidRPr="00C97088">
              <w:rPr>
                <w:sz w:val="20"/>
                <w:szCs w:val="20"/>
              </w:rPr>
              <w:t>25</w:t>
            </w:r>
          </w:p>
        </w:tc>
        <w:tc>
          <w:tcPr>
            <w:tcW w:w="709" w:type="dxa"/>
          </w:tcPr>
          <w:p w14:paraId="150D0C8C" w14:textId="77777777" w:rsidR="008F2269" w:rsidRPr="00C97088" w:rsidRDefault="008F2269" w:rsidP="002D1362">
            <w:pPr>
              <w:rPr>
                <w:sz w:val="20"/>
                <w:szCs w:val="20"/>
              </w:rPr>
            </w:pPr>
            <w:r w:rsidRPr="00C97088">
              <w:rPr>
                <w:sz w:val="20"/>
                <w:szCs w:val="20"/>
              </w:rPr>
              <w:t>1</w:t>
            </w:r>
          </w:p>
        </w:tc>
        <w:tc>
          <w:tcPr>
            <w:tcW w:w="1417" w:type="dxa"/>
          </w:tcPr>
          <w:p w14:paraId="30A72576" w14:textId="77777777" w:rsidR="008F2269" w:rsidRPr="00C97088" w:rsidRDefault="008F2269" w:rsidP="002D1362">
            <w:pPr>
              <w:rPr>
                <w:sz w:val="20"/>
                <w:szCs w:val="20"/>
              </w:rPr>
            </w:pPr>
            <w:r w:rsidRPr="00C97088">
              <w:rPr>
                <w:sz w:val="20"/>
                <w:szCs w:val="20"/>
              </w:rPr>
              <w:t>Nbre d’études</w:t>
            </w:r>
          </w:p>
        </w:tc>
        <w:tc>
          <w:tcPr>
            <w:tcW w:w="1417" w:type="dxa"/>
            <w:vMerge w:val="restart"/>
          </w:tcPr>
          <w:p w14:paraId="1754E81A" w14:textId="77777777" w:rsidR="008F2269" w:rsidRPr="00C97088" w:rsidRDefault="008F2269" w:rsidP="002D1362">
            <w:pPr>
              <w:jc w:val="both"/>
              <w:rPr>
                <w:sz w:val="20"/>
                <w:szCs w:val="20"/>
              </w:rPr>
            </w:pPr>
            <w:r w:rsidRPr="00C97088">
              <w:rPr>
                <w:sz w:val="20"/>
                <w:szCs w:val="20"/>
              </w:rPr>
              <w:t>Taux de pertes techniques / part commerciales</w:t>
            </w:r>
          </w:p>
        </w:tc>
      </w:tr>
      <w:tr w:rsidR="008F2269" w:rsidRPr="00C97088" w14:paraId="64466D0D" w14:textId="77777777" w:rsidTr="002D1362">
        <w:tc>
          <w:tcPr>
            <w:tcW w:w="1518" w:type="dxa"/>
            <w:vMerge/>
          </w:tcPr>
          <w:p w14:paraId="004F08AF" w14:textId="77777777" w:rsidR="008F2269" w:rsidRPr="00C97088" w:rsidRDefault="008F2269" w:rsidP="002D1362">
            <w:pPr>
              <w:rPr>
                <w:sz w:val="28"/>
                <w:szCs w:val="28"/>
              </w:rPr>
            </w:pPr>
          </w:p>
        </w:tc>
        <w:tc>
          <w:tcPr>
            <w:tcW w:w="833" w:type="dxa"/>
          </w:tcPr>
          <w:p w14:paraId="730CE47B" w14:textId="77777777" w:rsidR="008F2269" w:rsidRPr="00C97088" w:rsidRDefault="008F2269" w:rsidP="002D1362">
            <w:pPr>
              <w:rPr>
                <w:sz w:val="28"/>
                <w:szCs w:val="28"/>
              </w:rPr>
            </w:pPr>
            <w:r w:rsidRPr="00C97088">
              <w:rPr>
                <w:sz w:val="20"/>
                <w:szCs w:val="20"/>
              </w:rPr>
              <w:t>A.2.4.2</w:t>
            </w:r>
          </w:p>
        </w:tc>
        <w:tc>
          <w:tcPr>
            <w:tcW w:w="2719" w:type="dxa"/>
          </w:tcPr>
          <w:p w14:paraId="50A64AC1" w14:textId="77777777" w:rsidR="008F2269" w:rsidRPr="00C97088" w:rsidRDefault="008F2269" w:rsidP="002D1362">
            <w:pPr>
              <w:jc w:val="both"/>
              <w:rPr>
                <w:sz w:val="20"/>
                <w:szCs w:val="20"/>
              </w:rPr>
            </w:pPr>
            <w:r w:rsidRPr="00C97088">
              <w:rPr>
                <w:sz w:val="20"/>
                <w:szCs w:val="20"/>
              </w:rPr>
              <w:t>Réaliser les travaux de réduction des pertes techniques</w:t>
            </w:r>
          </w:p>
        </w:tc>
        <w:tc>
          <w:tcPr>
            <w:tcW w:w="992" w:type="dxa"/>
          </w:tcPr>
          <w:p w14:paraId="168EB0F2" w14:textId="77777777" w:rsidR="008F2269" w:rsidRPr="00C97088" w:rsidRDefault="008F2269" w:rsidP="002D1362">
            <w:pPr>
              <w:rPr>
                <w:sz w:val="20"/>
                <w:szCs w:val="20"/>
              </w:rPr>
            </w:pPr>
            <w:r w:rsidRPr="00C97088">
              <w:rPr>
                <w:sz w:val="20"/>
                <w:szCs w:val="20"/>
              </w:rPr>
              <w:t xml:space="preserve">63 </w:t>
            </w:r>
          </w:p>
        </w:tc>
        <w:tc>
          <w:tcPr>
            <w:tcW w:w="709" w:type="dxa"/>
          </w:tcPr>
          <w:p w14:paraId="7B26FDCA" w14:textId="77777777" w:rsidR="008F2269" w:rsidRPr="00C97088" w:rsidRDefault="008F2269" w:rsidP="002D1362">
            <w:pPr>
              <w:rPr>
                <w:sz w:val="20"/>
                <w:szCs w:val="20"/>
              </w:rPr>
            </w:pPr>
            <w:r w:rsidRPr="00C97088">
              <w:rPr>
                <w:sz w:val="20"/>
                <w:szCs w:val="20"/>
              </w:rPr>
              <w:t>1</w:t>
            </w:r>
          </w:p>
        </w:tc>
        <w:tc>
          <w:tcPr>
            <w:tcW w:w="1417" w:type="dxa"/>
          </w:tcPr>
          <w:p w14:paraId="21E33255" w14:textId="77777777" w:rsidR="008F2269" w:rsidRPr="00C97088" w:rsidRDefault="008F2269" w:rsidP="002D1362">
            <w:pPr>
              <w:rPr>
                <w:sz w:val="20"/>
                <w:szCs w:val="20"/>
              </w:rPr>
            </w:pPr>
            <w:r>
              <w:rPr>
                <w:sz w:val="20"/>
                <w:szCs w:val="20"/>
              </w:rPr>
              <w:t>N</w:t>
            </w:r>
            <w:r w:rsidRPr="00C97088">
              <w:rPr>
                <w:sz w:val="20"/>
                <w:szCs w:val="20"/>
              </w:rPr>
              <w:t>bre de villes concernées</w:t>
            </w:r>
          </w:p>
        </w:tc>
        <w:tc>
          <w:tcPr>
            <w:tcW w:w="1417" w:type="dxa"/>
            <w:vMerge/>
          </w:tcPr>
          <w:p w14:paraId="240EBBC6" w14:textId="77777777" w:rsidR="008F2269" w:rsidRPr="00C97088" w:rsidRDefault="008F2269" w:rsidP="002D1362">
            <w:pPr>
              <w:rPr>
                <w:sz w:val="28"/>
                <w:szCs w:val="28"/>
              </w:rPr>
            </w:pPr>
          </w:p>
        </w:tc>
      </w:tr>
      <w:tr w:rsidR="008F2269" w:rsidRPr="00C97088" w14:paraId="2E621D5D" w14:textId="77777777" w:rsidTr="002D1362">
        <w:tc>
          <w:tcPr>
            <w:tcW w:w="1518" w:type="dxa"/>
            <w:vMerge/>
          </w:tcPr>
          <w:p w14:paraId="7CD2688E" w14:textId="77777777" w:rsidR="008F2269" w:rsidRPr="00C97088" w:rsidRDefault="008F2269" w:rsidP="002D1362">
            <w:pPr>
              <w:rPr>
                <w:sz w:val="28"/>
                <w:szCs w:val="28"/>
              </w:rPr>
            </w:pPr>
          </w:p>
        </w:tc>
        <w:tc>
          <w:tcPr>
            <w:tcW w:w="833" w:type="dxa"/>
          </w:tcPr>
          <w:p w14:paraId="2F0211D0" w14:textId="77777777" w:rsidR="008F2269" w:rsidRPr="00C97088" w:rsidRDefault="008F2269" w:rsidP="002D1362">
            <w:pPr>
              <w:rPr>
                <w:sz w:val="28"/>
                <w:szCs w:val="28"/>
              </w:rPr>
            </w:pPr>
            <w:r w:rsidRPr="00C97088">
              <w:rPr>
                <w:sz w:val="20"/>
                <w:szCs w:val="20"/>
              </w:rPr>
              <w:t>A 2 4.3</w:t>
            </w:r>
          </w:p>
        </w:tc>
        <w:tc>
          <w:tcPr>
            <w:tcW w:w="2719" w:type="dxa"/>
          </w:tcPr>
          <w:p w14:paraId="7D7226B6" w14:textId="77777777" w:rsidR="008F2269" w:rsidRPr="00C97088" w:rsidRDefault="008F2269" w:rsidP="002D1362">
            <w:pPr>
              <w:jc w:val="both"/>
              <w:rPr>
                <w:sz w:val="20"/>
                <w:szCs w:val="20"/>
              </w:rPr>
            </w:pPr>
            <w:r w:rsidRPr="00C97088">
              <w:rPr>
                <w:sz w:val="20"/>
                <w:szCs w:val="20"/>
              </w:rPr>
              <w:t>Réaliser une étude sur la réduction des pertes commerciales de la SNDE</w:t>
            </w:r>
          </w:p>
        </w:tc>
        <w:tc>
          <w:tcPr>
            <w:tcW w:w="992" w:type="dxa"/>
          </w:tcPr>
          <w:p w14:paraId="1F43FF44" w14:textId="77777777" w:rsidR="008F2269" w:rsidRPr="00C97088" w:rsidRDefault="008F2269" w:rsidP="002D1362">
            <w:pPr>
              <w:rPr>
                <w:sz w:val="20"/>
                <w:szCs w:val="20"/>
              </w:rPr>
            </w:pPr>
            <w:r w:rsidRPr="00C97088">
              <w:rPr>
                <w:sz w:val="20"/>
                <w:szCs w:val="20"/>
              </w:rPr>
              <w:t>11</w:t>
            </w:r>
          </w:p>
        </w:tc>
        <w:tc>
          <w:tcPr>
            <w:tcW w:w="709" w:type="dxa"/>
          </w:tcPr>
          <w:p w14:paraId="0EA4A3F4" w14:textId="77777777" w:rsidR="008F2269" w:rsidRPr="00C97088" w:rsidRDefault="008F2269" w:rsidP="002D1362">
            <w:pPr>
              <w:rPr>
                <w:sz w:val="20"/>
                <w:szCs w:val="20"/>
              </w:rPr>
            </w:pPr>
            <w:r w:rsidRPr="00C97088">
              <w:rPr>
                <w:sz w:val="20"/>
                <w:szCs w:val="20"/>
              </w:rPr>
              <w:t>1</w:t>
            </w:r>
          </w:p>
        </w:tc>
        <w:tc>
          <w:tcPr>
            <w:tcW w:w="1417" w:type="dxa"/>
          </w:tcPr>
          <w:p w14:paraId="5D328FB8" w14:textId="77777777" w:rsidR="008F2269" w:rsidRPr="00C97088" w:rsidRDefault="008F2269" w:rsidP="002D1362">
            <w:pPr>
              <w:rPr>
                <w:sz w:val="20"/>
                <w:szCs w:val="20"/>
              </w:rPr>
            </w:pPr>
            <w:r w:rsidRPr="00C97088">
              <w:rPr>
                <w:sz w:val="20"/>
                <w:szCs w:val="20"/>
              </w:rPr>
              <w:t>% d’avancement</w:t>
            </w:r>
          </w:p>
        </w:tc>
        <w:tc>
          <w:tcPr>
            <w:tcW w:w="1417" w:type="dxa"/>
            <w:vMerge/>
          </w:tcPr>
          <w:p w14:paraId="77C07C01" w14:textId="77777777" w:rsidR="008F2269" w:rsidRPr="00C97088" w:rsidRDefault="008F2269" w:rsidP="002D1362">
            <w:pPr>
              <w:rPr>
                <w:sz w:val="28"/>
                <w:szCs w:val="28"/>
              </w:rPr>
            </w:pPr>
          </w:p>
        </w:tc>
      </w:tr>
      <w:tr w:rsidR="008F2269" w:rsidRPr="00C97088" w14:paraId="51669E3D" w14:textId="77777777" w:rsidTr="002D1362">
        <w:tc>
          <w:tcPr>
            <w:tcW w:w="1518" w:type="dxa"/>
            <w:vMerge w:val="restart"/>
          </w:tcPr>
          <w:p w14:paraId="050D3AF3" w14:textId="77777777" w:rsidR="008F2269" w:rsidRPr="00F43FCC" w:rsidRDefault="008F2269" w:rsidP="002D1362">
            <w:pPr>
              <w:jc w:val="both"/>
              <w:rPr>
                <w:sz w:val="20"/>
                <w:szCs w:val="20"/>
              </w:rPr>
            </w:pPr>
            <w:r w:rsidRPr="00F43FCC">
              <w:rPr>
                <w:sz w:val="20"/>
                <w:szCs w:val="20"/>
              </w:rPr>
              <w:t>R2.5 L’eau distribuées es conforme aux normes de qualité</w:t>
            </w:r>
          </w:p>
          <w:p w14:paraId="679B3EA9" w14:textId="77777777" w:rsidR="008F2269" w:rsidRPr="00C97088" w:rsidRDefault="008F2269" w:rsidP="002D1362">
            <w:pPr>
              <w:rPr>
                <w:sz w:val="20"/>
                <w:szCs w:val="20"/>
              </w:rPr>
            </w:pPr>
          </w:p>
        </w:tc>
        <w:tc>
          <w:tcPr>
            <w:tcW w:w="833" w:type="dxa"/>
          </w:tcPr>
          <w:p w14:paraId="49BFD70D" w14:textId="77777777" w:rsidR="008F2269" w:rsidRPr="00C97088" w:rsidRDefault="008F2269" w:rsidP="002D1362">
            <w:pPr>
              <w:rPr>
                <w:sz w:val="20"/>
                <w:szCs w:val="20"/>
              </w:rPr>
            </w:pPr>
            <w:r w:rsidRPr="00C97088">
              <w:rPr>
                <w:sz w:val="20"/>
                <w:szCs w:val="20"/>
              </w:rPr>
              <w:t>A.2.5.1</w:t>
            </w:r>
          </w:p>
          <w:p w14:paraId="5FA9D8A6" w14:textId="77777777" w:rsidR="008F2269" w:rsidRPr="00C97088" w:rsidRDefault="008F2269" w:rsidP="002D1362">
            <w:pPr>
              <w:rPr>
                <w:sz w:val="20"/>
                <w:szCs w:val="20"/>
              </w:rPr>
            </w:pPr>
          </w:p>
          <w:p w14:paraId="11E94AB9" w14:textId="77777777" w:rsidR="008F2269" w:rsidRPr="00C97088" w:rsidRDefault="008F2269" w:rsidP="002D1362">
            <w:pPr>
              <w:rPr>
                <w:sz w:val="20"/>
                <w:szCs w:val="20"/>
              </w:rPr>
            </w:pPr>
          </w:p>
          <w:p w14:paraId="3DE45CB2" w14:textId="77777777" w:rsidR="008F2269" w:rsidRPr="00C97088" w:rsidRDefault="008F2269" w:rsidP="002D1362">
            <w:pPr>
              <w:rPr>
                <w:sz w:val="20"/>
                <w:szCs w:val="20"/>
              </w:rPr>
            </w:pPr>
          </w:p>
        </w:tc>
        <w:tc>
          <w:tcPr>
            <w:tcW w:w="2719" w:type="dxa"/>
          </w:tcPr>
          <w:p w14:paraId="7CC4E90F" w14:textId="77777777" w:rsidR="008F2269" w:rsidRPr="00C97088" w:rsidRDefault="008F2269" w:rsidP="002D1362">
            <w:pPr>
              <w:jc w:val="both"/>
              <w:rPr>
                <w:sz w:val="20"/>
                <w:szCs w:val="20"/>
              </w:rPr>
            </w:pPr>
            <w:r w:rsidRPr="00C97088">
              <w:rPr>
                <w:sz w:val="20"/>
                <w:szCs w:val="20"/>
              </w:rPr>
              <w:t>Etablir des directives nationales pour le traitement de l’eau de boisson et le suivi de la qualité de l’eau</w:t>
            </w:r>
          </w:p>
          <w:p w14:paraId="292DE0D5" w14:textId="77777777" w:rsidR="008F2269" w:rsidRPr="00C97088" w:rsidRDefault="008F2269" w:rsidP="002D1362">
            <w:pPr>
              <w:jc w:val="both"/>
              <w:rPr>
                <w:sz w:val="20"/>
                <w:szCs w:val="20"/>
              </w:rPr>
            </w:pPr>
          </w:p>
          <w:p w14:paraId="601712EF" w14:textId="77777777" w:rsidR="008F2269" w:rsidRPr="00C97088" w:rsidRDefault="008F2269" w:rsidP="002D1362">
            <w:pPr>
              <w:jc w:val="both"/>
              <w:rPr>
                <w:sz w:val="20"/>
                <w:szCs w:val="20"/>
              </w:rPr>
            </w:pPr>
          </w:p>
        </w:tc>
        <w:tc>
          <w:tcPr>
            <w:tcW w:w="992" w:type="dxa"/>
          </w:tcPr>
          <w:p w14:paraId="703E4692" w14:textId="77777777" w:rsidR="008F2269" w:rsidRPr="00C97088" w:rsidRDefault="008F2269" w:rsidP="002D1362">
            <w:pPr>
              <w:jc w:val="both"/>
              <w:rPr>
                <w:sz w:val="20"/>
                <w:szCs w:val="20"/>
              </w:rPr>
            </w:pPr>
            <w:r w:rsidRPr="00C97088">
              <w:rPr>
                <w:sz w:val="20"/>
                <w:szCs w:val="20"/>
              </w:rPr>
              <w:t>2</w:t>
            </w:r>
          </w:p>
          <w:p w14:paraId="20263086" w14:textId="77777777" w:rsidR="008F2269" w:rsidRPr="00C97088" w:rsidRDefault="008F2269" w:rsidP="002D1362">
            <w:pPr>
              <w:jc w:val="both"/>
              <w:rPr>
                <w:sz w:val="20"/>
                <w:szCs w:val="20"/>
              </w:rPr>
            </w:pPr>
          </w:p>
          <w:p w14:paraId="7420444A" w14:textId="77777777" w:rsidR="008F2269" w:rsidRPr="00C97088" w:rsidRDefault="008F2269" w:rsidP="002D1362">
            <w:pPr>
              <w:jc w:val="both"/>
              <w:rPr>
                <w:sz w:val="20"/>
                <w:szCs w:val="20"/>
              </w:rPr>
            </w:pPr>
          </w:p>
          <w:p w14:paraId="14E8D341" w14:textId="77777777" w:rsidR="008F2269" w:rsidRPr="00C97088" w:rsidRDefault="008F2269" w:rsidP="002D1362">
            <w:pPr>
              <w:jc w:val="both"/>
              <w:rPr>
                <w:sz w:val="20"/>
                <w:szCs w:val="20"/>
              </w:rPr>
            </w:pPr>
          </w:p>
        </w:tc>
        <w:tc>
          <w:tcPr>
            <w:tcW w:w="709" w:type="dxa"/>
          </w:tcPr>
          <w:p w14:paraId="42FD2E91" w14:textId="77777777" w:rsidR="008F2269" w:rsidRPr="00C97088" w:rsidRDefault="008F2269" w:rsidP="002D1362">
            <w:pPr>
              <w:jc w:val="both"/>
              <w:rPr>
                <w:sz w:val="20"/>
                <w:szCs w:val="20"/>
              </w:rPr>
            </w:pPr>
            <w:r w:rsidRPr="00C97088">
              <w:rPr>
                <w:sz w:val="20"/>
                <w:szCs w:val="20"/>
              </w:rPr>
              <w:t>1</w:t>
            </w:r>
          </w:p>
          <w:p w14:paraId="05F0553C" w14:textId="77777777" w:rsidR="008F2269" w:rsidRPr="00C97088" w:rsidRDefault="008F2269" w:rsidP="002D1362">
            <w:pPr>
              <w:jc w:val="both"/>
              <w:rPr>
                <w:sz w:val="20"/>
                <w:szCs w:val="20"/>
              </w:rPr>
            </w:pPr>
          </w:p>
          <w:p w14:paraId="70028921" w14:textId="77777777" w:rsidR="008F2269" w:rsidRPr="00C97088" w:rsidRDefault="008F2269" w:rsidP="002D1362">
            <w:pPr>
              <w:jc w:val="both"/>
              <w:rPr>
                <w:sz w:val="20"/>
                <w:szCs w:val="20"/>
              </w:rPr>
            </w:pPr>
          </w:p>
          <w:p w14:paraId="2C53A8E1" w14:textId="77777777" w:rsidR="008F2269" w:rsidRPr="00C97088" w:rsidRDefault="008F2269" w:rsidP="002D1362">
            <w:pPr>
              <w:jc w:val="both"/>
              <w:rPr>
                <w:sz w:val="20"/>
                <w:szCs w:val="20"/>
              </w:rPr>
            </w:pPr>
          </w:p>
        </w:tc>
        <w:tc>
          <w:tcPr>
            <w:tcW w:w="1417" w:type="dxa"/>
          </w:tcPr>
          <w:p w14:paraId="20829D2D" w14:textId="77777777" w:rsidR="008F2269" w:rsidRPr="00C97088" w:rsidRDefault="008F2269" w:rsidP="002D1362">
            <w:pPr>
              <w:jc w:val="both"/>
              <w:rPr>
                <w:sz w:val="20"/>
                <w:szCs w:val="20"/>
              </w:rPr>
            </w:pPr>
            <w:r w:rsidRPr="00C97088">
              <w:rPr>
                <w:sz w:val="20"/>
                <w:szCs w:val="20"/>
              </w:rPr>
              <w:t>Directives rédigées et validées</w:t>
            </w:r>
          </w:p>
          <w:p w14:paraId="4DD48E3B" w14:textId="77777777" w:rsidR="008F2269" w:rsidRPr="00C97088" w:rsidRDefault="008F2269" w:rsidP="002D1362">
            <w:pPr>
              <w:jc w:val="both"/>
              <w:rPr>
                <w:sz w:val="20"/>
                <w:szCs w:val="20"/>
              </w:rPr>
            </w:pPr>
          </w:p>
          <w:p w14:paraId="6E6140D4" w14:textId="77777777" w:rsidR="008F2269" w:rsidRPr="00C97088" w:rsidRDefault="008F2269" w:rsidP="002D1362">
            <w:pPr>
              <w:jc w:val="both"/>
              <w:rPr>
                <w:sz w:val="20"/>
                <w:szCs w:val="20"/>
              </w:rPr>
            </w:pPr>
          </w:p>
        </w:tc>
        <w:tc>
          <w:tcPr>
            <w:tcW w:w="1417" w:type="dxa"/>
            <w:vMerge w:val="restart"/>
          </w:tcPr>
          <w:p w14:paraId="2400E53A" w14:textId="77777777" w:rsidR="008F2269" w:rsidRPr="00C97088" w:rsidRDefault="008F2269" w:rsidP="002D1362">
            <w:pPr>
              <w:jc w:val="both"/>
              <w:rPr>
                <w:sz w:val="28"/>
                <w:szCs w:val="28"/>
              </w:rPr>
            </w:pPr>
            <w:r w:rsidRPr="00C97088">
              <w:rPr>
                <w:sz w:val="20"/>
                <w:szCs w:val="20"/>
              </w:rPr>
              <w:t>% de la population disposant d’une eau de bonne qualité</w:t>
            </w:r>
          </w:p>
        </w:tc>
      </w:tr>
      <w:tr w:rsidR="008F2269" w:rsidRPr="00C97088" w14:paraId="060DE5F4" w14:textId="77777777" w:rsidTr="002D1362">
        <w:tc>
          <w:tcPr>
            <w:tcW w:w="1518" w:type="dxa"/>
            <w:vMerge/>
          </w:tcPr>
          <w:p w14:paraId="68D15E87" w14:textId="77777777" w:rsidR="008F2269" w:rsidRPr="00C97088" w:rsidRDefault="008F2269" w:rsidP="002D1362">
            <w:pPr>
              <w:rPr>
                <w:sz w:val="20"/>
                <w:szCs w:val="20"/>
              </w:rPr>
            </w:pPr>
          </w:p>
        </w:tc>
        <w:tc>
          <w:tcPr>
            <w:tcW w:w="833" w:type="dxa"/>
          </w:tcPr>
          <w:p w14:paraId="43244F1D" w14:textId="77777777" w:rsidR="008F2269" w:rsidRPr="00C97088" w:rsidRDefault="008F2269" w:rsidP="002D1362">
            <w:pPr>
              <w:rPr>
                <w:sz w:val="20"/>
                <w:szCs w:val="20"/>
              </w:rPr>
            </w:pPr>
            <w:r w:rsidRPr="00C97088">
              <w:rPr>
                <w:sz w:val="20"/>
                <w:szCs w:val="20"/>
              </w:rPr>
              <w:t>A 2.5.2</w:t>
            </w:r>
          </w:p>
        </w:tc>
        <w:tc>
          <w:tcPr>
            <w:tcW w:w="2719" w:type="dxa"/>
          </w:tcPr>
          <w:p w14:paraId="62FBDEDB" w14:textId="77777777" w:rsidR="008F2269" w:rsidRPr="00C97088" w:rsidRDefault="008F2269" w:rsidP="002D1362">
            <w:pPr>
              <w:jc w:val="both"/>
              <w:rPr>
                <w:sz w:val="20"/>
                <w:szCs w:val="20"/>
              </w:rPr>
            </w:pPr>
            <w:r w:rsidRPr="00C97088">
              <w:rPr>
                <w:sz w:val="20"/>
                <w:szCs w:val="20"/>
              </w:rPr>
              <w:t>Mettre en œuvre un suivi pérenne de la qualité de l’eau en milieu rural et urbain</w:t>
            </w:r>
          </w:p>
        </w:tc>
        <w:tc>
          <w:tcPr>
            <w:tcW w:w="992" w:type="dxa"/>
          </w:tcPr>
          <w:p w14:paraId="73A150CC" w14:textId="77777777" w:rsidR="008F2269" w:rsidRPr="00C97088" w:rsidRDefault="008F2269" w:rsidP="002D1362">
            <w:pPr>
              <w:jc w:val="both"/>
              <w:rPr>
                <w:sz w:val="20"/>
                <w:szCs w:val="20"/>
              </w:rPr>
            </w:pPr>
            <w:r w:rsidRPr="00C97088">
              <w:rPr>
                <w:sz w:val="20"/>
                <w:szCs w:val="20"/>
              </w:rPr>
              <w:t>4</w:t>
            </w:r>
          </w:p>
        </w:tc>
        <w:tc>
          <w:tcPr>
            <w:tcW w:w="709" w:type="dxa"/>
          </w:tcPr>
          <w:p w14:paraId="0EA588C4" w14:textId="77777777" w:rsidR="008F2269" w:rsidRPr="00C97088" w:rsidRDefault="008F2269" w:rsidP="002D1362">
            <w:pPr>
              <w:jc w:val="both"/>
              <w:rPr>
                <w:sz w:val="20"/>
                <w:szCs w:val="20"/>
              </w:rPr>
            </w:pPr>
            <w:r w:rsidRPr="00C97088">
              <w:rPr>
                <w:sz w:val="20"/>
                <w:szCs w:val="20"/>
              </w:rPr>
              <w:t>1</w:t>
            </w:r>
          </w:p>
        </w:tc>
        <w:tc>
          <w:tcPr>
            <w:tcW w:w="1417" w:type="dxa"/>
          </w:tcPr>
          <w:p w14:paraId="7F7C74FB" w14:textId="77777777" w:rsidR="008F2269" w:rsidRPr="00C97088" w:rsidRDefault="008F2269" w:rsidP="002D1362">
            <w:pPr>
              <w:jc w:val="both"/>
              <w:rPr>
                <w:sz w:val="20"/>
                <w:szCs w:val="20"/>
              </w:rPr>
            </w:pPr>
            <w:r w:rsidRPr="00C97088">
              <w:rPr>
                <w:sz w:val="20"/>
                <w:szCs w:val="20"/>
              </w:rPr>
              <w:t>Nbre de systèmes distribuant une eau conforme</w:t>
            </w:r>
          </w:p>
        </w:tc>
        <w:tc>
          <w:tcPr>
            <w:tcW w:w="1417" w:type="dxa"/>
            <w:vMerge/>
          </w:tcPr>
          <w:p w14:paraId="64A0C0B6" w14:textId="77777777" w:rsidR="008F2269" w:rsidRPr="00C97088" w:rsidRDefault="008F2269" w:rsidP="002D1362">
            <w:pPr>
              <w:rPr>
                <w:sz w:val="20"/>
                <w:szCs w:val="20"/>
              </w:rPr>
            </w:pPr>
          </w:p>
        </w:tc>
      </w:tr>
      <w:tr w:rsidR="008F2269" w:rsidRPr="00C97088" w14:paraId="2A27063D" w14:textId="77777777" w:rsidTr="002D1362">
        <w:tc>
          <w:tcPr>
            <w:tcW w:w="5070" w:type="dxa"/>
            <w:gridSpan w:val="3"/>
          </w:tcPr>
          <w:p w14:paraId="5E3B8154" w14:textId="77777777" w:rsidR="008F2269" w:rsidRPr="00C97088" w:rsidRDefault="008F2269" w:rsidP="002D1362">
            <w:pPr>
              <w:rPr>
                <w:b/>
                <w:bCs/>
                <w:sz w:val="28"/>
                <w:szCs w:val="28"/>
              </w:rPr>
            </w:pPr>
            <w:r w:rsidRPr="00C97088">
              <w:rPr>
                <w:b/>
                <w:bCs/>
                <w:sz w:val="20"/>
                <w:szCs w:val="20"/>
              </w:rPr>
              <w:t>Total</w:t>
            </w:r>
          </w:p>
        </w:tc>
        <w:tc>
          <w:tcPr>
            <w:tcW w:w="992" w:type="dxa"/>
          </w:tcPr>
          <w:p w14:paraId="2BDD5C7E" w14:textId="77777777" w:rsidR="008F2269" w:rsidRPr="00C97088" w:rsidRDefault="008F2269" w:rsidP="002D1362">
            <w:pPr>
              <w:rPr>
                <w:sz w:val="28"/>
                <w:szCs w:val="28"/>
              </w:rPr>
            </w:pPr>
            <w:r w:rsidRPr="00C97088">
              <w:rPr>
                <w:b/>
                <w:bCs/>
                <w:sz w:val="20"/>
                <w:szCs w:val="20"/>
              </w:rPr>
              <w:t>38 165</w:t>
            </w:r>
          </w:p>
        </w:tc>
        <w:tc>
          <w:tcPr>
            <w:tcW w:w="3543" w:type="dxa"/>
            <w:gridSpan w:val="3"/>
          </w:tcPr>
          <w:p w14:paraId="6632139B" w14:textId="77777777" w:rsidR="008F2269" w:rsidRPr="00C97088" w:rsidRDefault="008F2269" w:rsidP="002D1362">
            <w:pPr>
              <w:rPr>
                <w:sz w:val="28"/>
                <w:szCs w:val="28"/>
              </w:rPr>
            </w:pPr>
          </w:p>
        </w:tc>
      </w:tr>
    </w:tbl>
    <w:p w14:paraId="36271F56" w14:textId="77777777" w:rsidR="008F2269" w:rsidRDefault="008F2269" w:rsidP="008F2269">
      <w:r>
        <w:t>SNADEA 2022-2030</w:t>
      </w:r>
    </w:p>
    <w:p w14:paraId="15EA0388" w14:textId="77777777" w:rsidR="008F2269" w:rsidRDefault="008F2269" w:rsidP="008F2269"/>
    <w:p w14:paraId="4D96315A" w14:textId="77777777" w:rsidR="008F2269" w:rsidRDefault="008F2269" w:rsidP="008F2269">
      <w:r w:rsidRPr="00D05D7E">
        <w:t>Objectif Spécifique n°2b :</w:t>
      </w:r>
      <w:r>
        <w:t xml:space="preserve"> </w:t>
      </w:r>
      <w:r w:rsidRPr="00D05D7E">
        <w:t>Améliorer l'accès à l'eau pour l'agriculture, l'élevage e</w:t>
      </w:r>
      <w:r>
        <w:t>t l’industrie</w:t>
      </w:r>
    </w:p>
    <w:tbl>
      <w:tblPr>
        <w:tblStyle w:val="Grilledutableau"/>
        <w:tblW w:w="9640" w:type="dxa"/>
        <w:tblInd w:w="-34" w:type="dxa"/>
        <w:tblLayout w:type="fixed"/>
        <w:tblLook w:val="04A0" w:firstRow="1" w:lastRow="0" w:firstColumn="1" w:lastColumn="0" w:noHBand="0" w:noVBand="1"/>
      </w:tblPr>
      <w:tblGrid>
        <w:gridCol w:w="853"/>
        <w:gridCol w:w="707"/>
        <w:gridCol w:w="81"/>
        <w:gridCol w:w="769"/>
        <w:gridCol w:w="498"/>
        <w:gridCol w:w="2196"/>
        <w:gridCol w:w="992"/>
        <w:gridCol w:w="709"/>
        <w:gridCol w:w="1417"/>
        <w:gridCol w:w="1418"/>
      </w:tblGrid>
      <w:tr w:rsidR="008F2269" w:rsidRPr="002F2FDC" w14:paraId="126340BC" w14:textId="77777777" w:rsidTr="002D1362">
        <w:trPr>
          <w:trHeight w:val="655"/>
        </w:trPr>
        <w:tc>
          <w:tcPr>
            <w:tcW w:w="1560" w:type="dxa"/>
            <w:gridSpan w:val="2"/>
            <w:shd w:val="clear" w:color="auto" w:fill="70AD47" w:themeFill="accent6"/>
          </w:tcPr>
          <w:p w14:paraId="15F02556" w14:textId="77777777" w:rsidR="008F2269" w:rsidRPr="00C97088" w:rsidRDefault="008F2269" w:rsidP="002D1362">
            <w:pPr>
              <w:rPr>
                <w:b/>
                <w:bCs/>
                <w:sz w:val="20"/>
                <w:szCs w:val="20"/>
              </w:rPr>
            </w:pPr>
            <w:r w:rsidRPr="00C97088">
              <w:rPr>
                <w:b/>
                <w:bCs/>
                <w:sz w:val="20"/>
                <w:szCs w:val="20"/>
              </w:rPr>
              <w:t>Résultats</w:t>
            </w:r>
          </w:p>
        </w:tc>
        <w:tc>
          <w:tcPr>
            <w:tcW w:w="3544" w:type="dxa"/>
            <w:gridSpan w:val="4"/>
            <w:shd w:val="clear" w:color="auto" w:fill="70AD47" w:themeFill="accent6"/>
          </w:tcPr>
          <w:p w14:paraId="38D50D57" w14:textId="77777777" w:rsidR="008F2269" w:rsidRPr="00C97088" w:rsidRDefault="008F2269" w:rsidP="002D1362">
            <w:pPr>
              <w:rPr>
                <w:b/>
                <w:bCs/>
                <w:sz w:val="20"/>
                <w:szCs w:val="20"/>
              </w:rPr>
            </w:pPr>
            <w:r>
              <w:rPr>
                <w:b/>
                <w:bCs/>
                <w:sz w:val="20"/>
                <w:szCs w:val="20"/>
              </w:rPr>
              <w:t>A</w:t>
            </w:r>
            <w:r w:rsidRPr="00C97088">
              <w:rPr>
                <w:b/>
                <w:bCs/>
                <w:sz w:val="20"/>
                <w:szCs w:val="20"/>
              </w:rPr>
              <w:t>ctivités</w:t>
            </w:r>
          </w:p>
          <w:p w14:paraId="606D85D1" w14:textId="77777777" w:rsidR="008F2269" w:rsidRPr="00C97088" w:rsidRDefault="008F2269" w:rsidP="002D1362">
            <w:pPr>
              <w:rPr>
                <w:b/>
                <w:bCs/>
                <w:sz w:val="20"/>
                <w:szCs w:val="20"/>
              </w:rPr>
            </w:pPr>
          </w:p>
        </w:tc>
        <w:tc>
          <w:tcPr>
            <w:tcW w:w="992" w:type="dxa"/>
            <w:shd w:val="clear" w:color="auto" w:fill="70AD47" w:themeFill="accent6"/>
          </w:tcPr>
          <w:p w14:paraId="64B37A24" w14:textId="77777777" w:rsidR="008F2269" w:rsidRPr="00C97088" w:rsidRDefault="008F2269" w:rsidP="002D1362">
            <w:pPr>
              <w:rPr>
                <w:b/>
                <w:bCs/>
                <w:sz w:val="20"/>
                <w:szCs w:val="20"/>
              </w:rPr>
            </w:pPr>
            <w:r w:rsidRPr="00C97088">
              <w:rPr>
                <w:b/>
                <w:bCs/>
                <w:sz w:val="20"/>
                <w:szCs w:val="20"/>
              </w:rPr>
              <w:t>Budget indicatif</w:t>
            </w:r>
          </w:p>
          <w:p w14:paraId="5461A167" w14:textId="77777777" w:rsidR="008F2269" w:rsidRPr="00C97088" w:rsidRDefault="008F2269" w:rsidP="002D1362">
            <w:pPr>
              <w:rPr>
                <w:b/>
                <w:bCs/>
                <w:sz w:val="20"/>
                <w:szCs w:val="20"/>
              </w:rPr>
            </w:pPr>
            <w:r w:rsidRPr="00C97088">
              <w:rPr>
                <w:b/>
                <w:bCs/>
                <w:sz w:val="20"/>
                <w:szCs w:val="20"/>
              </w:rPr>
              <w:t>(MMRU)</w:t>
            </w:r>
          </w:p>
        </w:tc>
        <w:tc>
          <w:tcPr>
            <w:tcW w:w="709" w:type="dxa"/>
            <w:shd w:val="clear" w:color="auto" w:fill="70AD47" w:themeFill="accent6"/>
          </w:tcPr>
          <w:p w14:paraId="4079BC97" w14:textId="77777777" w:rsidR="008F2269" w:rsidRPr="00C97088" w:rsidRDefault="008F2269" w:rsidP="002D1362">
            <w:pPr>
              <w:rPr>
                <w:b/>
                <w:bCs/>
                <w:sz w:val="20"/>
                <w:szCs w:val="20"/>
              </w:rPr>
            </w:pPr>
            <w:r w:rsidRPr="00C97088">
              <w:rPr>
                <w:b/>
                <w:bCs/>
                <w:sz w:val="20"/>
                <w:szCs w:val="20"/>
              </w:rPr>
              <w:t>Priorité</w:t>
            </w:r>
          </w:p>
        </w:tc>
        <w:tc>
          <w:tcPr>
            <w:tcW w:w="1417" w:type="dxa"/>
            <w:shd w:val="clear" w:color="auto" w:fill="70AD47" w:themeFill="accent6"/>
          </w:tcPr>
          <w:p w14:paraId="1944D456" w14:textId="77777777" w:rsidR="008F2269" w:rsidRPr="00C97088" w:rsidRDefault="008F2269" w:rsidP="002D1362">
            <w:pPr>
              <w:rPr>
                <w:b/>
                <w:bCs/>
                <w:sz w:val="20"/>
                <w:szCs w:val="20"/>
              </w:rPr>
            </w:pPr>
            <w:r w:rsidRPr="00C97088">
              <w:rPr>
                <w:b/>
                <w:bCs/>
                <w:sz w:val="20"/>
                <w:szCs w:val="20"/>
              </w:rPr>
              <w:t xml:space="preserve">Indicateurs activités </w:t>
            </w:r>
          </w:p>
        </w:tc>
        <w:tc>
          <w:tcPr>
            <w:tcW w:w="1418" w:type="dxa"/>
            <w:shd w:val="clear" w:color="auto" w:fill="70AD47" w:themeFill="accent6"/>
          </w:tcPr>
          <w:p w14:paraId="009294CE" w14:textId="77777777" w:rsidR="008F2269" w:rsidRPr="00C97088" w:rsidRDefault="008F2269" w:rsidP="002D1362">
            <w:pPr>
              <w:rPr>
                <w:b/>
                <w:bCs/>
                <w:sz w:val="20"/>
                <w:szCs w:val="20"/>
              </w:rPr>
            </w:pPr>
            <w:r w:rsidRPr="00C97088">
              <w:rPr>
                <w:b/>
                <w:bCs/>
                <w:sz w:val="20"/>
                <w:szCs w:val="20"/>
              </w:rPr>
              <w:t>Indicateurs résultats</w:t>
            </w:r>
          </w:p>
        </w:tc>
      </w:tr>
      <w:tr w:rsidR="008F2269" w:rsidRPr="002F2FDC" w14:paraId="1BC09506" w14:textId="77777777" w:rsidTr="002D1362">
        <w:trPr>
          <w:trHeight w:val="360"/>
        </w:trPr>
        <w:tc>
          <w:tcPr>
            <w:tcW w:w="1560" w:type="dxa"/>
            <w:gridSpan w:val="2"/>
            <w:vMerge w:val="restart"/>
            <w:shd w:val="clear" w:color="auto" w:fill="F2F2F2" w:themeFill="background1" w:themeFillShade="F2"/>
          </w:tcPr>
          <w:p w14:paraId="04B731FC" w14:textId="77777777" w:rsidR="008F2269" w:rsidRPr="00F43FCC" w:rsidRDefault="008F2269" w:rsidP="002D1362">
            <w:pPr>
              <w:jc w:val="both"/>
              <w:rPr>
                <w:sz w:val="20"/>
                <w:szCs w:val="20"/>
              </w:rPr>
            </w:pPr>
            <w:r w:rsidRPr="00F43FCC">
              <w:rPr>
                <w:sz w:val="20"/>
                <w:szCs w:val="20"/>
              </w:rPr>
              <w:t>R2.6 Les études pour la réhabilitation et la création d’aménagements de surface sont réalisés</w:t>
            </w:r>
          </w:p>
        </w:tc>
        <w:tc>
          <w:tcPr>
            <w:tcW w:w="850" w:type="dxa"/>
            <w:gridSpan w:val="2"/>
            <w:vAlign w:val="center"/>
          </w:tcPr>
          <w:p w14:paraId="03054CAE" w14:textId="77777777" w:rsidR="008F2269" w:rsidRPr="00F43FCC" w:rsidRDefault="008F2269" w:rsidP="002D1362">
            <w:pPr>
              <w:jc w:val="center"/>
              <w:rPr>
                <w:sz w:val="20"/>
                <w:szCs w:val="20"/>
              </w:rPr>
            </w:pPr>
            <w:r w:rsidRPr="00F43FCC">
              <w:rPr>
                <w:sz w:val="20"/>
                <w:szCs w:val="20"/>
              </w:rPr>
              <w:t>A.2.6.1</w:t>
            </w:r>
          </w:p>
        </w:tc>
        <w:tc>
          <w:tcPr>
            <w:tcW w:w="2694" w:type="dxa"/>
            <w:gridSpan w:val="2"/>
          </w:tcPr>
          <w:p w14:paraId="7D5B6CE9" w14:textId="77777777" w:rsidR="008F2269" w:rsidRPr="00F43FCC" w:rsidRDefault="008F2269" w:rsidP="002D1362">
            <w:pPr>
              <w:jc w:val="both"/>
              <w:rPr>
                <w:sz w:val="20"/>
                <w:szCs w:val="20"/>
              </w:rPr>
            </w:pPr>
            <w:r w:rsidRPr="00F43FCC">
              <w:rPr>
                <w:sz w:val="20"/>
                <w:szCs w:val="20"/>
              </w:rPr>
              <w:t>Réaliser des études de réhabilitation de 300 aménagements hydro-agricoles existants</w:t>
            </w:r>
          </w:p>
        </w:tc>
        <w:tc>
          <w:tcPr>
            <w:tcW w:w="992" w:type="dxa"/>
            <w:vAlign w:val="center"/>
          </w:tcPr>
          <w:p w14:paraId="376E29F6" w14:textId="77777777" w:rsidR="008F2269" w:rsidRPr="00F43FCC" w:rsidRDefault="008F2269" w:rsidP="002D1362">
            <w:pPr>
              <w:jc w:val="center"/>
              <w:rPr>
                <w:sz w:val="20"/>
                <w:szCs w:val="20"/>
              </w:rPr>
            </w:pPr>
            <w:r w:rsidRPr="00F43FCC">
              <w:rPr>
                <w:sz w:val="20"/>
                <w:szCs w:val="20"/>
              </w:rPr>
              <w:t>63,0</w:t>
            </w:r>
          </w:p>
        </w:tc>
        <w:tc>
          <w:tcPr>
            <w:tcW w:w="709" w:type="dxa"/>
            <w:vAlign w:val="center"/>
          </w:tcPr>
          <w:p w14:paraId="184C862E" w14:textId="77777777" w:rsidR="008F2269" w:rsidRPr="00F43FCC" w:rsidRDefault="008F2269" w:rsidP="002D1362">
            <w:pPr>
              <w:jc w:val="center"/>
              <w:rPr>
                <w:sz w:val="20"/>
                <w:szCs w:val="20"/>
              </w:rPr>
            </w:pPr>
            <w:r w:rsidRPr="00F43FCC">
              <w:rPr>
                <w:sz w:val="20"/>
                <w:szCs w:val="20"/>
              </w:rPr>
              <w:t>1</w:t>
            </w:r>
          </w:p>
        </w:tc>
        <w:tc>
          <w:tcPr>
            <w:tcW w:w="1417" w:type="dxa"/>
            <w:vAlign w:val="center"/>
          </w:tcPr>
          <w:p w14:paraId="4AC454F2" w14:textId="77777777" w:rsidR="008F2269" w:rsidRPr="00F43FCC" w:rsidRDefault="008F2269" w:rsidP="002D1362">
            <w:pPr>
              <w:jc w:val="center"/>
              <w:rPr>
                <w:sz w:val="20"/>
                <w:szCs w:val="20"/>
              </w:rPr>
            </w:pPr>
            <w:r w:rsidRPr="00F43FCC">
              <w:rPr>
                <w:sz w:val="20"/>
                <w:szCs w:val="20"/>
              </w:rPr>
              <w:t>Nb d’audit réalisés</w:t>
            </w:r>
          </w:p>
        </w:tc>
        <w:tc>
          <w:tcPr>
            <w:tcW w:w="1418" w:type="dxa"/>
            <w:vMerge w:val="restart"/>
            <w:vAlign w:val="center"/>
          </w:tcPr>
          <w:p w14:paraId="68FBB7A1" w14:textId="77777777" w:rsidR="008F2269" w:rsidRPr="00F43FCC" w:rsidRDefault="008F2269" w:rsidP="002D1362">
            <w:pPr>
              <w:jc w:val="center"/>
              <w:rPr>
                <w:sz w:val="20"/>
                <w:szCs w:val="20"/>
              </w:rPr>
            </w:pPr>
            <w:r w:rsidRPr="00F43FCC">
              <w:rPr>
                <w:sz w:val="20"/>
                <w:szCs w:val="20"/>
              </w:rPr>
              <w:t>Nombre d’études techniques pour la réhabilitation/aménagements de surface réalisées et exploitées</w:t>
            </w:r>
          </w:p>
        </w:tc>
      </w:tr>
      <w:tr w:rsidR="008F2269" w:rsidRPr="002F2FDC" w14:paraId="7CC722BB" w14:textId="77777777" w:rsidTr="002D1362">
        <w:trPr>
          <w:trHeight w:val="495"/>
        </w:trPr>
        <w:tc>
          <w:tcPr>
            <w:tcW w:w="1560" w:type="dxa"/>
            <w:gridSpan w:val="2"/>
            <w:vMerge/>
            <w:shd w:val="clear" w:color="auto" w:fill="F2F2F2" w:themeFill="background1" w:themeFillShade="F2"/>
          </w:tcPr>
          <w:p w14:paraId="4621D27C" w14:textId="77777777" w:rsidR="008F2269" w:rsidRPr="00F43FCC" w:rsidRDefault="008F2269" w:rsidP="002D1362">
            <w:pPr>
              <w:jc w:val="both"/>
              <w:rPr>
                <w:sz w:val="20"/>
                <w:szCs w:val="20"/>
              </w:rPr>
            </w:pPr>
          </w:p>
        </w:tc>
        <w:tc>
          <w:tcPr>
            <w:tcW w:w="850" w:type="dxa"/>
            <w:gridSpan w:val="2"/>
            <w:vAlign w:val="center"/>
          </w:tcPr>
          <w:p w14:paraId="1A94A794" w14:textId="77777777" w:rsidR="008F2269" w:rsidRPr="00F43FCC" w:rsidRDefault="008F2269" w:rsidP="002D1362">
            <w:pPr>
              <w:jc w:val="center"/>
              <w:rPr>
                <w:sz w:val="20"/>
                <w:szCs w:val="20"/>
              </w:rPr>
            </w:pPr>
            <w:r w:rsidRPr="00F43FCC">
              <w:rPr>
                <w:sz w:val="20"/>
                <w:szCs w:val="20"/>
              </w:rPr>
              <w:t>A.2.6.2</w:t>
            </w:r>
          </w:p>
        </w:tc>
        <w:tc>
          <w:tcPr>
            <w:tcW w:w="2694" w:type="dxa"/>
            <w:gridSpan w:val="2"/>
          </w:tcPr>
          <w:p w14:paraId="53EDAC03" w14:textId="77777777" w:rsidR="008F2269" w:rsidRPr="00F43FCC" w:rsidRDefault="008F2269" w:rsidP="002D1362">
            <w:pPr>
              <w:jc w:val="both"/>
              <w:rPr>
                <w:sz w:val="20"/>
                <w:szCs w:val="20"/>
              </w:rPr>
            </w:pPr>
            <w:r w:rsidRPr="00F43FCC">
              <w:rPr>
                <w:sz w:val="20"/>
                <w:szCs w:val="20"/>
              </w:rPr>
              <w:t>Réaliser les études de 100 nouveaux barrages/digues</w:t>
            </w:r>
          </w:p>
        </w:tc>
        <w:tc>
          <w:tcPr>
            <w:tcW w:w="992" w:type="dxa"/>
            <w:vAlign w:val="center"/>
          </w:tcPr>
          <w:p w14:paraId="5FECC15C" w14:textId="77777777" w:rsidR="008F2269" w:rsidRPr="00F43FCC" w:rsidRDefault="008F2269" w:rsidP="002D1362">
            <w:pPr>
              <w:jc w:val="center"/>
              <w:rPr>
                <w:sz w:val="20"/>
                <w:szCs w:val="20"/>
              </w:rPr>
            </w:pPr>
            <w:r w:rsidRPr="00F43FCC">
              <w:rPr>
                <w:sz w:val="20"/>
                <w:szCs w:val="20"/>
              </w:rPr>
              <w:t>63,0</w:t>
            </w:r>
          </w:p>
        </w:tc>
        <w:tc>
          <w:tcPr>
            <w:tcW w:w="709" w:type="dxa"/>
            <w:vAlign w:val="center"/>
          </w:tcPr>
          <w:p w14:paraId="18C2D133" w14:textId="77777777" w:rsidR="008F2269" w:rsidRPr="00F43FCC" w:rsidRDefault="008F2269" w:rsidP="002D1362">
            <w:pPr>
              <w:jc w:val="center"/>
              <w:rPr>
                <w:sz w:val="20"/>
                <w:szCs w:val="20"/>
              </w:rPr>
            </w:pPr>
            <w:r w:rsidRPr="00F43FCC">
              <w:rPr>
                <w:sz w:val="20"/>
                <w:szCs w:val="20"/>
              </w:rPr>
              <w:t>1</w:t>
            </w:r>
          </w:p>
        </w:tc>
        <w:tc>
          <w:tcPr>
            <w:tcW w:w="1417" w:type="dxa"/>
            <w:vAlign w:val="center"/>
          </w:tcPr>
          <w:p w14:paraId="04E03ECA" w14:textId="77777777" w:rsidR="008F2269" w:rsidRPr="00F43FCC" w:rsidRDefault="008F2269" w:rsidP="002D1362">
            <w:pPr>
              <w:jc w:val="center"/>
              <w:rPr>
                <w:sz w:val="20"/>
                <w:szCs w:val="20"/>
              </w:rPr>
            </w:pPr>
            <w:r w:rsidRPr="00F43FCC">
              <w:rPr>
                <w:sz w:val="20"/>
                <w:szCs w:val="20"/>
              </w:rPr>
              <w:t>Nb d’études réalisées</w:t>
            </w:r>
          </w:p>
        </w:tc>
        <w:tc>
          <w:tcPr>
            <w:tcW w:w="1418" w:type="dxa"/>
            <w:vMerge/>
          </w:tcPr>
          <w:p w14:paraId="29D573C5" w14:textId="77777777" w:rsidR="008F2269" w:rsidRPr="00F43FCC" w:rsidRDefault="008F2269" w:rsidP="002D1362">
            <w:pPr>
              <w:jc w:val="center"/>
              <w:rPr>
                <w:sz w:val="20"/>
                <w:szCs w:val="20"/>
              </w:rPr>
            </w:pPr>
          </w:p>
        </w:tc>
      </w:tr>
      <w:tr w:rsidR="008F2269" w:rsidRPr="002F2FDC" w14:paraId="7B8CB2DF" w14:textId="77777777" w:rsidTr="002D1362">
        <w:trPr>
          <w:trHeight w:val="495"/>
        </w:trPr>
        <w:tc>
          <w:tcPr>
            <w:tcW w:w="1560" w:type="dxa"/>
            <w:gridSpan w:val="2"/>
            <w:vMerge/>
            <w:shd w:val="clear" w:color="auto" w:fill="F2F2F2" w:themeFill="background1" w:themeFillShade="F2"/>
          </w:tcPr>
          <w:p w14:paraId="7E8C5BC9" w14:textId="77777777" w:rsidR="008F2269" w:rsidRPr="00F43FCC" w:rsidRDefault="008F2269" w:rsidP="002D1362">
            <w:pPr>
              <w:jc w:val="both"/>
              <w:rPr>
                <w:sz w:val="20"/>
                <w:szCs w:val="20"/>
              </w:rPr>
            </w:pPr>
          </w:p>
        </w:tc>
        <w:tc>
          <w:tcPr>
            <w:tcW w:w="850" w:type="dxa"/>
            <w:gridSpan w:val="2"/>
            <w:vAlign w:val="center"/>
          </w:tcPr>
          <w:p w14:paraId="69AA37F6" w14:textId="77777777" w:rsidR="008F2269" w:rsidRPr="00F43FCC" w:rsidRDefault="008F2269" w:rsidP="002D1362">
            <w:pPr>
              <w:jc w:val="center"/>
              <w:rPr>
                <w:sz w:val="20"/>
                <w:szCs w:val="20"/>
              </w:rPr>
            </w:pPr>
            <w:r w:rsidRPr="00F43FCC">
              <w:rPr>
                <w:sz w:val="20"/>
                <w:szCs w:val="20"/>
              </w:rPr>
              <w:t>A.2.6.3</w:t>
            </w:r>
          </w:p>
        </w:tc>
        <w:tc>
          <w:tcPr>
            <w:tcW w:w="2694" w:type="dxa"/>
            <w:gridSpan w:val="2"/>
          </w:tcPr>
          <w:p w14:paraId="4231C1A4" w14:textId="77777777" w:rsidR="008F2269" w:rsidRPr="00F43FCC" w:rsidRDefault="008F2269" w:rsidP="002D1362">
            <w:pPr>
              <w:jc w:val="both"/>
              <w:rPr>
                <w:sz w:val="20"/>
                <w:szCs w:val="20"/>
              </w:rPr>
            </w:pPr>
            <w:r w:rsidRPr="00F43FCC">
              <w:rPr>
                <w:sz w:val="20"/>
                <w:szCs w:val="20"/>
              </w:rPr>
              <w:t>Etudier le potentiel d’aménagement des zones oasiennes</w:t>
            </w:r>
          </w:p>
        </w:tc>
        <w:tc>
          <w:tcPr>
            <w:tcW w:w="992" w:type="dxa"/>
            <w:vAlign w:val="center"/>
          </w:tcPr>
          <w:p w14:paraId="09DE924A" w14:textId="77777777" w:rsidR="008F2269" w:rsidRPr="00F43FCC" w:rsidRDefault="008F2269" w:rsidP="002D1362">
            <w:pPr>
              <w:jc w:val="center"/>
              <w:rPr>
                <w:sz w:val="20"/>
                <w:szCs w:val="20"/>
              </w:rPr>
            </w:pPr>
            <w:r w:rsidRPr="00F43FCC">
              <w:rPr>
                <w:sz w:val="20"/>
                <w:szCs w:val="20"/>
              </w:rPr>
              <w:t>17,0</w:t>
            </w:r>
          </w:p>
        </w:tc>
        <w:tc>
          <w:tcPr>
            <w:tcW w:w="709" w:type="dxa"/>
            <w:vAlign w:val="center"/>
          </w:tcPr>
          <w:p w14:paraId="3A9ECEF7" w14:textId="77777777" w:rsidR="008F2269" w:rsidRPr="00F43FCC" w:rsidRDefault="008F2269" w:rsidP="002D1362">
            <w:pPr>
              <w:jc w:val="center"/>
              <w:rPr>
                <w:sz w:val="20"/>
                <w:szCs w:val="20"/>
              </w:rPr>
            </w:pPr>
            <w:r w:rsidRPr="00F43FCC">
              <w:rPr>
                <w:sz w:val="20"/>
                <w:szCs w:val="20"/>
              </w:rPr>
              <w:t>2</w:t>
            </w:r>
          </w:p>
        </w:tc>
        <w:tc>
          <w:tcPr>
            <w:tcW w:w="1417" w:type="dxa"/>
            <w:vAlign w:val="center"/>
          </w:tcPr>
          <w:p w14:paraId="7976A867" w14:textId="77777777" w:rsidR="008F2269" w:rsidRPr="00F43FCC" w:rsidRDefault="008F2269" w:rsidP="002D1362">
            <w:pPr>
              <w:jc w:val="center"/>
              <w:rPr>
                <w:sz w:val="20"/>
                <w:szCs w:val="20"/>
              </w:rPr>
            </w:pPr>
            <w:r w:rsidRPr="00F43FCC">
              <w:rPr>
                <w:sz w:val="20"/>
                <w:szCs w:val="20"/>
              </w:rPr>
              <w:t>Etude réalisée</w:t>
            </w:r>
          </w:p>
        </w:tc>
        <w:tc>
          <w:tcPr>
            <w:tcW w:w="1418" w:type="dxa"/>
            <w:vMerge/>
          </w:tcPr>
          <w:p w14:paraId="58276CFB" w14:textId="77777777" w:rsidR="008F2269" w:rsidRPr="00F43FCC" w:rsidRDefault="008F2269" w:rsidP="002D1362">
            <w:pPr>
              <w:jc w:val="center"/>
              <w:rPr>
                <w:sz w:val="20"/>
                <w:szCs w:val="20"/>
              </w:rPr>
            </w:pPr>
          </w:p>
        </w:tc>
      </w:tr>
      <w:tr w:rsidR="008F2269" w:rsidRPr="002F2FDC" w14:paraId="0A65B6CF" w14:textId="77777777" w:rsidTr="002D1362">
        <w:tc>
          <w:tcPr>
            <w:tcW w:w="9640" w:type="dxa"/>
            <w:gridSpan w:val="10"/>
            <w:tcBorders>
              <w:left w:val="nil"/>
              <w:right w:val="nil"/>
            </w:tcBorders>
          </w:tcPr>
          <w:p w14:paraId="5FB6FF1C" w14:textId="77777777" w:rsidR="008F2269" w:rsidRPr="00F43FCC" w:rsidRDefault="008F2269" w:rsidP="002D1362">
            <w:pPr>
              <w:jc w:val="both"/>
              <w:rPr>
                <w:sz w:val="20"/>
                <w:szCs w:val="20"/>
              </w:rPr>
            </w:pPr>
          </w:p>
        </w:tc>
      </w:tr>
      <w:tr w:rsidR="008F2269" w:rsidRPr="002F2FDC" w14:paraId="183C4744" w14:textId="77777777" w:rsidTr="002D1362">
        <w:tc>
          <w:tcPr>
            <w:tcW w:w="853" w:type="dxa"/>
            <w:vMerge w:val="restart"/>
            <w:shd w:val="clear" w:color="auto" w:fill="F2F2F2" w:themeFill="background1" w:themeFillShade="F2"/>
          </w:tcPr>
          <w:p w14:paraId="7B22CA4F" w14:textId="77777777" w:rsidR="008F2269" w:rsidRPr="00C4200C" w:rsidRDefault="008F2269" w:rsidP="002D1362">
            <w:pPr>
              <w:jc w:val="both"/>
              <w:rPr>
                <w:sz w:val="20"/>
                <w:szCs w:val="20"/>
              </w:rPr>
            </w:pPr>
            <w:r w:rsidRPr="00F43FCC">
              <w:rPr>
                <w:sz w:val="20"/>
                <w:szCs w:val="20"/>
              </w:rPr>
              <w:t>R2.7 Les eaux de surface sont mobilisées pour développer l’agriculture irriguée</w:t>
            </w:r>
          </w:p>
        </w:tc>
        <w:tc>
          <w:tcPr>
            <w:tcW w:w="788" w:type="dxa"/>
            <w:gridSpan w:val="2"/>
            <w:vAlign w:val="center"/>
          </w:tcPr>
          <w:p w14:paraId="00B831DD" w14:textId="77777777" w:rsidR="008F2269" w:rsidRPr="002F2FDC" w:rsidRDefault="008F2269" w:rsidP="002D1362">
            <w:pPr>
              <w:jc w:val="center"/>
              <w:rPr>
                <w:sz w:val="16"/>
                <w:szCs w:val="16"/>
              </w:rPr>
            </w:pPr>
            <w:r>
              <w:rPr>
                <w:sz w:val="16"/>
                <w:szCs w:val="16"/>
              </w:rPr>
              <w:t>A.2.7.1</w:t>
            </w:r>
          </w:p>
        </w:tc>
        <w:tc>
          <w:tcPr>
            <w:tcW w:w="3463" w:type="dxa"/>
            <w:gridSpan w:val="3"/>
          </w:tcPr>
          <w:p w14:paraId="355D93D3" w14:textId="77777777" w:rsidR="008F2269" w:rsidRPr="00FD0730" w:rsidRDefault="008F2269" w:rsidP="002D1362">
            <w:pPr>
              <w:jc w:val="both"/>
              <w:rPr>
                <w:sz w:val="20"/>
                <w:szCs w:val="20"/>
              </w:rPr>
            </w:pPr>
            <w:r w:rsidRPr="00FD0730">
              <w:rPr>
                <w:sz w:val="20"/>
                <w:szCs w:val="20"/>
              </w:rPr>
              <w:t>Réaliser 60 petits barrages/digues permettant d’irriguer 200 hectares en moyenne par ouvrage</w:t>
            </w:r>
          </w:p>
        </w:tc>
        <w:tc>
          <w:tcPr>
            <w:tcW w:w="992" w:type="dxa"/>
            <w:vAlign w:val="center"/>
          </w:tcPr>
          <w:p w14:paraId="61FCC365" w14:textId="77777777" w:rsidR="008F2269" w:rsidRPr="00FD0730" w:rsidRDefault="008F2269" w:rsidP="002D1362">
            <w:pPr>
              <w:jc w:val="both"/>
              <w:rPr>
                <w:sz w:val="20"/>
                <w:szCs w:val="20"/>
              </w:rPr>
            </w:pPr>
            <w:r w:rsidRPr="00FD0730">
              <w:rPr>
                <w:sz w:val="20"/>
                <w:szCs w:val="20"/>
              </w:rPr>
              <w:t>5040</w:t>
            </w:r>
          </w:p>
        </w:tc>
        <w:tc>
          <w:tcPr>
            <w:tcW w:w="709" w:type="dxa"/>
          </w:tcPr>
          <w:p w14:paraId="38E0D272" w14:textId="77777777" w:rsidR="008F2269" w:rsidRPr="00FD0730" w:rsidRDefault="008F2269" w:rsidP="002D1362">
            <w:pPr>
              <w:jc w:val="both"/>
              <w:rPr>
                <w:sz w:val="20"/>
                <w:szCs w:val="20"/>
              </w:rPr>
            </w:pPr>
            <w:r w:rsidRPr="00FD0730">
              <w:rPr>
                <w:sz w:val="20"/>
                <w:szCs w:val="20"/>
              </w:rPr>
              <w:t>1</w:t>
            </w:r>
          </w:p>
        </w:tc>
        <w:tc>
          <w:tcPr>
            <w:tcW w:w="1417" w:type="dxa"/>
            <w:vAlign w:val="center"/>
          </w:tcPr>
          <w:p w14:paraId="23F62BFE" w14:textId="77777777" w:rsidR="008F2269" w:rsidRPr="00FD0730" w:rsidRDefault="008F2269" w:rsidP="002D1362">
            <w:pPr>
              <w:jc w:val="both"/>
              <w:rPr>
                <w:sz w:val="20"/>
                <w:szCs w:val="20"/>
              </w:rPr>
            </w:pPr>
            <w:r w:rsidRPr="00FD0730">
              <w:rPr>
                <w:sz w:val="20"/>
                <w:szCs w:val="20"/>
              </w:rPr>
              <w:t>Nb d’ouvrages réalisés/ha aménagés</w:t>
            </w:r>
          </w:p>
        </w:tc>
        <w:tc>
          <w:tcPr>
            <w:tcW w:w="1418" w:type="dxa"/>
            <w:vMerge w:val="restart"/>
            <w:vAlign w:val="center"/>
          </w:tcPr>
          <w:p w14:paraId="36027B2D" w14:textId="77777777" w:rsidR="008F2269" w:rsidRPr="00FD0730" w:rsidRDefault="008F2269" w:rsidP="002D1362">
            <w:pPr>
              <w:jc w:val="center"/>
              <w:rPr>
                <w:sz w:val="20"/>
                <w:szCs w:val="20"/>
              </w:rPr>
            </w:pPr>
            <w:r>
              <w:rPr>
                <w:sz w:val="20"/>
                <w:szCs w:val="20"/>
              </w:rPr>
              <w:t xml:space="preserve">Nbre </w:t>
            </w:r>
            <w:r w:rsidRPr="00FD0730">
              <w:rPr>
                <w:sz w:val="20"/>
                <w:szCs w:val="20"/>
              </w:rPr>
              <w:t>d’ouvrages réalisés</w:t>
            </w:r>
          </w:p>
        </w:tc>
      </w:tr>
      <w:tr w:rsidR="008F2269" w:rsidRPr="002F2FDC" w14:paraId="3016AF27" w14:textId="77777777" w:rsidTr="002D1362">
        <w:tc>
          <w:tcPr>
            <w:tcW w:w="853" w:type="dxa"/>
            <w:vMerge/>
            <w:shd w:val="clear" w:color="auto" w:fill="F2F2F2" w:themeFill="background1" w:themeFillShade="F2"/>
          </w:tcPr>
          <w:p w14:paraId="5B86ADFB" w14:textId="77777777" w:rsidR="008F2269" w:rsidRPr="00C4200C" w:rsidRDefault="008F2269" w:rsidP="002D1362">
            <w:pPr>
              <w:jc w:val="both"/>
              <w:rPr>
                <w:sz w:val="20"/>
                <w:szCs w:val="20"/>
              </w:rPr>
            </w:pPr>
          </w:p>
        </w:tc>
        <w:tc>
          <w:tcPr>
            <w:tcW w:w="788" w:type="dxa"/>
            <w:gridSpan w:val="2"/>
            <w:vAlign w:val="center"/>
          </w:tcPr>
          <w:p w14:paraId="58CD4B73" w14:textId="77777777" w:rsidR="008F2269" w:rsidRPr="002F2FDC" w:rsidRDefault="008F2269" w:rsidP="002D1362">
            <w:pPr>
              <w:jc w:val="center"/>
              <w:rPr>
                <w:sz w:val="16"/>
                <w:szCs w:val="16"/>
              </w:rPr>
            </w:pPr>
            <w:r>
              <w:rPr>
                <w:sz w:val="16"/>
                <w:szCs w:val="16"/>
              </w:rPr>
              <w:t>A.2.7.2</w:t>
            </w:r>
          </w:p>
        </w:tc>
        <w:tc>
          <w:tcPr>
            <w:tcW w:w="3463" w:type="dxa"/>
            <w:gridSpan w:val="3"/>
          </w:tcPr>
          <w:p w14:paraId="56D46FBD" w14:textId="77777777" w:rsidR="008F2269" w:rsidRPr="00FD0730" w:rsidRDefault="008F2269" w:rsidP="002D1362">
            <w:pPr>
              <w:jc w:val="both"/>
              <w:rPr>
                <w:sz w:val="20"/>
                <w:szCs w:val="20"/>
              </w:rPr>
            </w:pPr>
            <w:r w:rsidRPr="00FD0730">
              <w:rPr>
                <w:sz w:val="20"/>
                <w:szCs w:val="20"/>
              </w:rPr>
              <w:t xml:space="preserve">Réaliser 6 barrages dans 5 Wilayas (Tagant, Assaba, Gorgol, Brakna et Guidimakha) permettant d’irriguer 1000 ha en moyenne par ouvrage </w:t>
            </w:r>
          </w:p>
        </w:tc>
        <w:tc>
          <w:tcPr>
            <w:tcW w:w="992" w:type="dxa"/>
            <w:vAlign w:val="center"/>
          </w:tcPr>
          <w:p w14:paraId="2ECF9441" w14:textId="77777777" w:rsidR="008F2269" w:rsidRPr="00FD0730" w:rsidRDefault="008F2269" w:rsidP="002D1362">
            <w:pPr>
              <w:jc w:val="both"/>
              <w:rPr>
                <w:sz w:val="20"/>
                <w:szCs w:val="20"/>
              </w:rPr>
            </w:pPr>
            <w:r w:rsidRPr="00FD0730">
              <w:rPr>
                <w:sz w:val="20"/>
                <w:szCs w:val="20"/>
              </w:rPr>
              <w:t>2520</w:t>
            </w:r>
          </w:p>
        </w:tc>
        <w:tc>
          <w:tcPr>
            <w:tcW w:w="709" w:type="dxa"/>
          </w:tcPr>
          <w:p w14:paraId="6C775F59" w14:textId="77777777" w:rsidR="008F2269" w:rsidRPr="00FD0730" w:rsidRDefault="008F2269" w:rsidP="002D1362">
            <w:pPr>
              <w:jc w:val="both"/>
              <w:rPr>
                <w:sz w:val="20"/>
                <w:szCs w:val="20"/>
              </w:rPr>
            </w:pPr>
            <w:r w:rsidRPr="00FD0730">
              <w:rPr>
                <w:sz w:val="20"/>
                <w:szCs w:val="20"/>
              </w:rPr>
              <w:t>1</w:t>
            </w:r>
          </w:p>
        </w:tc>
        <w:tc>
          <w:tcPr>
            <w:tcW w:w="1417" w:type="dxa"/>
            <w:vAlign w:val="center"/>
          </w:tcPr>
          <w:p w14:paraId="3A91BC17" w14:textId="77777777" w:rsidR="008F2269" w:rsidRPr="00FD0730" w:rsidRDefault="008F2269" w:rsidP="002D1362">
            <w:pPr>
              <w:jc w:val="both"/>
              <w:rPr>
                <w:sz w:val="20"/>
                <w:szCs w:val="20"/>
              </w:rPr>
            </w:pPr>
            <w:r w:rsidRPr="00FD0730">
              <w:rPr>
                <w:sz w:val="20"/>
                <w:szCs w:val="20"/>
              </w:rPr>
              <w:t>Nb d’ouvrages réalisés/ha aménagements</w:t>
            </w:r>
          </w:p>
        </w:tc>
        <w:tc>
          <w:tcPr>
            <w:tcW w:w="1418" w:type="dxa"/>
            <w:vMerge/>
          </w:tcPr>
          <w:p w14:paraId="03E9816C" w14:textId="77777777" w:rsidR="008F2269" w:rsidRPr="00FD0730" w:rsidRDefault="008F2269" w:rsidP="002D1362">
            <w:pPr>
              <w:jc w:val="both"/>
              <w:rPr>
                <w:sz w:val="20"/>
                <w:szCs w:val="20"/>
              </w:rPr>
            </w:pPr>
          </w:p>
        </w:tc>
      </w:tr>
      <w:tr w:rsidR="008F2269" w:rsidRPr="002F2FDC" w14:paraId="473B06F0" w14:textId="77777777" w:rsidTr="002D1362">
        <w:tc>
          <w:tcPr>
            <w:tcW w:w="9640" w:type="dxa"/>
            <w:gridSpan w:val="10"/>
            <w:tcBorders>
              <w:left w:val="nil"/>
              <w:right w:val="nil"/>
            </w:tcBorders>
          </w:tcPr>
          <w:p w14:paraId="714A375E" w14:textId="77777777" w:rsidR="008F2269" w:rsidRPr="00C4200C" w:rsidRDefault="008F2269" w:rsidP="002D1362">
            <w:pPr>
              <w:jc w:val="both"/>
              <w:rPr>
                <w:sz w:val="20"/>
                <w:szCs w:val="20"/>
              </w:rPr>
            </w:pPr>
          </w:p>
        </w:tc>
      </w:tr>
      <w:tr w:rsidR="008F2269" w:rsidRPr="002F2FDC" w14:paraId="44ADD821" w14:textId="77777777" w:rsidTr="002D1362">
        <w:tc>
          <w:tcPr>
            <w:tcW w:w="853" w:type="dxa"/>
            <w:vMerge w:val="restart"/>
            <w:shd w:val="clear" w:color="auto" w:fill="F2F2F2" w:themeFill="background1" w:themeFillShade="F2"/>
          </w:tcPr>
          <w:p w14:paraId="3E85ED58" w14:textId="77777777" w:rsidR="008F2269" w:rsidRPr="00F43FCC" w:rsidRDefault="008F2269" w:rsidP="002D1362">
            <w:pPr>
              <w:jc w:val="both"/>
              <w:rPr>
                <w:sz w:val="20"/>
                <w:szCs w:val="20"/>
              </w:rPr>
            </w:pPr>
            <w:r w:rsidRPr="00F43FCC">
              <w:rPr>
                <w:sz w:val="20"/>
                <w:szCs w:val="20"/>
              </w:rPr>
              <w:t>R2.8 Les ouvrages et ressources en eau à usage pastoral sont mieux connus</w:t>
            </w:r>
          </w:p>
        </w:tc>
        <w:tc>
          <w:tcPr>
            <w:tcW w:w="788" w:type="dxa"/>
            <w:gridSpan w:val="2"/>
            <w:vAlign w:val="center"/>
          </w:tcPr>
          <w:p w14:paraId="32EF1FBD" w14:textId="77777777" w:rsidR="008F2269" w:rsidRPr="002F2FDC" w:rsidRDefault="008F2269" w:rsidP="002D1362">
            <w:pPr>
              <w:jc w:val="center"/>
              <w:rPr>
                <w:sz w:val="16"/>
                <w:szCs w:val="16"/>
              </w:rPr>
            </w:pPr>
            <w:r>
              <w:rPr>
                <w:sz w:val="16"/>
                <w:szCs w:val="16"/>
              </w:rPr>
              <w:t>A.2.8.1</w:t>
            </w:r>
          </w:p>
        </w:tc>
        <w:tc>
          <w:tcPr>
            <w:tcW w:w="3463" w:type="dxa"/>
            <w:gridSpan w:val="3"/>
          </w:tcPr>
          <w:p w14:paraId="1AA1562D" w14:textId="77777777" w:rsidR="008F2269" w:rsidRPr="00FD0730" w:rsidRDefault="008F2269" w:rsidP="002D1362">
            <w:pPr>
              <w:jc w:val="both"/>
              <w:rPr>
                <w:sz w:val="20"/>
                <w:szCs w:val="20"/>
              </w:rPr>
            </w:pPr>
            <w:r w:rsidRPr="00FD0730">
              <w:rPr>
                <w:sz w:val="20"/>
                <w:szCs w:val="20"/>
              </w:rPr>
              <w:t xml:space="preserve">Inventorier les points d’eau pastoraux existants </w:t>
            </w:r>
          </w:p>
        </w:tc>
        <w:tc>
          <w:tcPr>
            <w:tcW w:w="992" w:type="dxa"/>
            <w:vAlign w:val="center"/>
          </w:tcPr>
          <w:p w14:paraId="3A73BEE2" w14:textId="77777777" w:rsidR="008F2269" w:rsidRPr="00FD0730" w:rsidRDefault="008F2269" w:rsidP="002D1362">
            <w:pPr>
              <w:jc w:val="both"/>
              <w:rPr>
                <w:sz w:val="20"/>
                <w:szCs w:val="20"/>
              </w:rPr>
            </w:pPr>
            <w:r w:rsidRPr="00FD0730">
              <w:rPr>
                <w:sz w:val="20"/>
                <w:szCs w:val="20"/>
              </w:rPr>
              <w:t>9,0</w:t>
            </w:r>
          </w:p>
        </w:tc>
        <w:tc>
          <w:tcPr>
            <w:tcW w:w="709" w:type="dxa"/>
            <w:vAlign w:val="center"/>
          </w:tcPr>
          <w:p w14:paraId="056EC955" w14:textId="77777777" w:rsidR="008F2269" w:rsidRPr="00FD0730" w:rsidRDefault="008F2269" w:rsidP="002D1362">
            <w:pPr>
              <w:jc w:val="both"/>
              <w:rPr>
                <w:sz w:val="20"/>
                <w:szCs w:val="20"/>
              </w:rPr>
            </w:pPr>
            <w:r w:rsidRPr="00FD0730">
              <w:rPr>
                <w:sz w:val="20"/>
                <w:szCs w:val="20"/>
              </w:rPr>
              <w:t>1</w:t>
            </w:r>
          </w:p>
        </w:tc>
        <w:tc>
          <w:tcPr>
            <w:tcW w:w="1417" w:type="dxa"/>
            <w:vAlign w:val="center"/>
          </w:tcPr>
          <w:p w14:paraId="062E8492" w14:textId="77777777" w:rsidR="008F2269" w:rsidRPr="00FD0730" w:rsidRDefault="008F2269" w:rsidP="002D1362">
            <w:pPr>
              <w:jc w:val="both"/>
              <w:rPr>
                <w:sz w:val="20"/>
                <w:szCs w:val="20"/>
              </w:rPr>
            </w:pPr>
            <w:r w:rsidRPr="00FD0730">
              <w:rPr>
                <w:sz w:val="20"/>
                <w:szCs w:val="20"/>
              </w:rPr>
              <w:t>Nbre de PE inventoriés</w:t>
            </w:r>
          </w:p>
        </w:tc>
        <w:tc>
          <w:tcPr>
            <w:tcW w:w="1418" w:type="dxa"/>
            <w:vMerge w:val="restart"/>
            <w:vAlign w:val="center"/>
          </w:tcPr>
          <w:p w14:paraId="41A07B7A" w14:textId="77777777" w:rsidR="008F2269" w:rsidRPr="00FD0730" w:rsidRDefault="008F2269" w:rsidP="002D1362">
            <w:pPr>
              <w:jc w:val="both"/>
              <w:rPr>
                <w:sz w:val="20"/>
                <w:szCs w:val="20"/>
              </w:rPr>
            </w:pPr>
            <w:r w:rsidRPr="00FD0730">
              <w:rPr>
                <w:sz w:val="20"/>
                <w:szCs w:val="20"/>
              </w:rPr>
              <w:t>Une base de données des ouvrages/ressources en eau à usage pastoral créée et mise à jour</w:t>
            </w:r>
          </w:p>
        </w:tc>
      </w:tr>
      <w:tr w:rsidR="008F2269" w:rsidRPr="002F2FDC" w14:paraId="59C389FA" w14:textId="77777777" w:rsidTr="002D1362">
        <w:tc>
          <w:tcPr>
            <w:tcW w:w="853" w:type="dxa"/>
            <w:vMerge/>
            <w:shd w:val="clear" w:color="auto" w:fill="F2F2F2" w:themeFill="background1" w:themeFillShade="F2"/>
          </w:tcPr>
          <w:p w14:paraId="5C49378A" w14:textId="77777777" w:rsidR="008F2269" w:rsidRPr="00C97088" w:rsidRDefault="008F2269" w:rsidP="002D1362">
            <w:pPr>
              <w:rPr>
                <w:b/>
                <w:bCs/>
                <w:sz w:val="18"/>
                <w:szCs w:val="18"/>
              </w:rPr>
            </w:pPr>
          </w:p>
        </w:tc>
        <w:tc>
          <w:tcPr>
            <w:tcW w:w="788" w:type="dxa"/>
            <w:gridSpan w:val="2"/>
            <w:vAlign w:val="center"/>
          </w:tcPr>
          <w:p w14:paraId="7FE482E5" w14:textId="77777777" w:rsidR="008F2269" w:rsidRPr="002F2FDC" w:rsidRDefault="008F2269" w:rsidP="002D1362">
            <w:pPr>
              <w:jc w:val="center"/>
              <w:rPr>
                <w:sz w:val="16"/>
                <w:szCs w:val="16"/>
              </w:rPr>
            </w:pPr>
            <w:r>
              <w:rPr>
                <w:sz w:val="16"/>
                <w:szCs w:val="16"/>
              </w:rPr>
              <w:t>A.2.8.2</w:t>
            </w:r>
          </w:p>
        </w:tc>
        <w:tc>
          <w:tcPr>
            <w:tcW w:w="3463" w:type="dxa"/>
            <w:gridSpan w:val="3"/>
          </w:tcPr>
          <w:p w14:paraId="7C7E7C41" w14:textId="77777777" w:rsidR="008F2269" w:rsidRPr="00FD0730" w:rsidRDefault="008F2269" w:rsidP="002D1362">
            <w:pPr>
              <w:jc w:val="both"/>
              <w:rPr>
                <w:sz w:val="20"/>
                <w:szCs w:val="20"/>
              </w:rPr>
            </w:pPr>
            <w:r w:rsidRPr="00FD0730">
              <w:rPr>
                <w:sz w:val="20"/>
                <w:szCs w:val="20"/>
              </w:rPr>
              <w:t xml:space="preserve">Etudier le potentiel des ressources en eau mobilisables pour la mise en valeur des zones de pâturage </w:t>
            </w:r>
          </w:p>
        </w:tc>
        <w:tc>
          <w:tcPr>
            <w:tcW w:w="992" w:type="dxa"/>
            <w:vAlign w:val="center"/>
          </w:tcPr>
          <w:p w14:paraId="1B71CD91" w14:textId="77777777" w:rsidR="008F2269" w:rsidRPr="00FD0730" w:rsidRDefault="008F2269" w:rsidP="002D1362">
            <w:pPr>
              <w:jc w:val="both"/>
              <w:rPr>
                <w:sz w:val="20"/>
                <w:szCs w:val="20"/>
              </w:rPr>
            </w:pPr>
            <w:r w:rsidRPr="00FD0730">
              <w:rPr>
                <w:sz w:val="20"/>
                <w:szCs w:val="20"/>
              </w:rPr>
              <w:t>11,0</w:t>
            </w:r>
          </w:p>
        </w:tc>
        <w:tc>
          <w:tcPr>
            <w:tcW w:w="709" w:type="dxa"/>
            <w:vAlign w:val="center"/>
          </w:tcPr>
          <w:p w14:paraId="77E7E234" w14:textId="77777777" w:rsidR="008F2269" w:rsidRPr="00FD0730" w:rsidRDefault="008F2269" w:rsidP="002D1362">
            <w:pPr>
              <w:jc w:val="both"/>
              <w:rPr>
                <w:sz w:val="20"/>
                <w:szCs w:val="20"/>
              </w:rPr>
            </w:pPr>
            <w:r w:rsidRPr="00FD0730">
              <w:rPr>
                <w:sz w:val="20"/>
                <w:szCs w:val="20"/>
              </w:rPr>
              <w:t>2</w:t>
            </w:r>
          </w:p>
        </w:tc>
        <w:tc>
          <w:tcPr>
            <w:tcW w:w="1417" w:type="dxa"/>
            <w:tcBorders>
              <w:right w:val="single" w:sz="4" w:space="0" w:color="auto"/>
            </w:tcBorders>
            <w:vAlign w:val="center"/>
          </w:tcPr>
          <w:p w14:paraId="15DDDD61" w14:textId="77777777" w:rsidR="008F2269" w:rsidRPr="00FD0730" w:rsidRDefault="008F2269" w:rsidP="002D1362">
            <w:pPr>
              <w:jc w:val="both"/>
              <w:rPr>
                <w:sz w:val="20"/>
                <w:szCs w:val="20"/>
              </w:rPr>
            </w:pPr>
            <w:r w:rsidRPr="00FD0730">
              <w:rPr>
                <w:sz w:val="20"/>
                <w:szCs w:val="20"/>
              </w:rPr>
              <w:t>Etude réalisés</w:t>
            </w:r>
          </w:p>
        </w:tc>
        <w:tc>
          <w:tcPr>
            <w:tcW w:w="1418" w:type="dxa"/>
            <w:vMerge/>
            <w:tcBorders>
              <w:left w:val="single" w:sz="4" w:space="0" w:color="auto"/>
            </w:tcBorders>
          </w:tcPr>
          <w:p w14:paraId="7B8288B5" w14:textId="77777777" w:rsidR="008F2269" w:rsidRPr="00FD0730" w:rsidRDefault="008F2269" w:rsidP="002D1362">
            <w:pPr>
              <w:jc w:val="both"/>
              <w:rPr>
                <w:sz w:val="20"/>
                <w:szCs w:val="20"/>
              </w:rPr>
            </w:pPr>
          </w:p>
        </w:tc>
      </w:tr>
      <w:tr w:rsidR="008F2269" w:rsidRPr="002F2FDC" w14:paraId="05F81808" w14:textId="77777777" w:rsidTr="002D1362">
        <w:tc>
          <w:tcPr>
            <w:tcW w:w="9640" w:type="dxa"/>
            <w:gridSpan w:val="10"/>
            <w:tcBorders>
              <w:left w:val="nil"/>
              <w:right w:val="nil"/>
            </w:tcBorders>
          </w:tcPr>
          <w:p w14:paraId="3D913056" w14:textId="77777777" w:rsidR="008F2269" w:rsidRPr="00FD0730" w:rsidRDefault="008F2269" w:rsidP="002D1362">
            <w:pPr>
              <w:jc w:val="both"/>
              <w:rPr>
                <w:sz w:val="20"/>
                <w:szCs w:val="20"/>
              </w:rPr>
            </w:pPr>
          </w:p>
        </w:tc>
      </w:tr>
      <w:tr w:rsidR="008F2269" w:rsidRPr="002F2FDC" w14:paraId="0E7D9985" w14:textId="77777777" w:rsidTr="002D1362">
        <w:tc>
          <w:tcPr>
            <w:tcW w:w="853" w:type="dxa"/>
            <w:vMerge w:val="restart"/>
            <w:shd w:val="clear" w:color="auto" w:fill="F2F2F2" w:themeFill="background1" w:themeFillShade="F2"/>
          </w:tcPr>
          <w:p w14:paraId="19BE94A5" w14:textId="77777777" w:rsidR="008F2269" w:rsidRPr="00F43FCC" w:rsidRDefault="008F2269" w:rsidP="002D1362">
            <w:pPr>
              <w:jc w:val="both"/>
              <w:rPr>
                <w:sz w:val="20"/>
                <w:szCs w:val="20"/>
              </w:rPr>
            </w:pPr>
            <w:r w:rsidRPr="00F43FCC">
              <w:rPr>
                <w:sz w:val="20"/>
                <w:szCs w:val="20"/>
              </w:rPr>
              <w:t xml:space="preserve">R2.9 – 400 points d’eau pastoraux sont réalisés ou réhabilitation </w:t>
            </w:r>
          </w:p>
        </w:tc>
        <w:tc>
          <w:tcPr>
            <w:tcW w:w="788" w:type="dxa"/>
            <w:gridSpan w:val="2"/>
            <w:vAlign w:val="center"/>
          </w:tcPr>
          <w:p w14:paraId="3F593816" w14:textId="77777777" w:rsidR="008F2269" w:rsidRPr="002F2FDC" w:rsidRDefault="008F2269" w:rsidP="002D1362">
            <w:pPr>
              <w:jc w:val="center"/>
              <w:rPr>
                <w:sz w:val="16"/>
                <w:szCs w:val="16"/>
              </w:rPr>
            </w:pPr>
            <w:r>
              <w:rPr>
                <w:sz w:val="16"/>
                <w:szCs w:val="16"/>
              </w:rPr>
              <w:t>A.2.9.1</w:t>
            </w:r>
          </w:p>
        </w:tc>
        <w:tc>
          <w:tcPr>
            <w:tcW w:w="3463" w:type="dxa"/>
            <w:gridSpan w:val="3"/>
          </w:tcPr>
          <w:p w14:paraId="5CC97C08" w14:textId="77777777" w:rsidR="008F2269" w:rsidRPr="00FD0730" w:rsidRDefault="008F2269" w:rsidP="002D1362">
            <w:pPr>
              <w:jc w:val="both"/>
              <w:rPr>
                <w:sz w:val="20"/>
                <w:szCs w:val="20"/>
              </w:rPr>
            </w:pPr>
            <w:r w:rsidRPr="00FD0730">
              <w:rPr>
                <w:sz w:val="20"/>
                <w:szCs w:val="20"/>
              </w:rPr>
              <w:t>Réaliser 160 postes d’eau pastoraux</w:t>
            </w:r>
          </w:p>
        </w:tc>
        <w:tc>
          <w:tcPr>
            <w:tcW w:w="992" w:type="dxa"/>
            <w:vAlign w:val="center"/>
          </w:tcPr>
          <w:p w14:paraId="38A82928" w14:textId="77777777" w:rsidR="008F2269" w:rsidRPr="00FD0730" w:rsidRDefault="008F2269" w:rsidP="002D1362">
            <w:pPr>
              <w:jc w:val="both"/>
              <w:rPr>
                <w:sz w:val="20"/>
                <w:szCs w:val="20"/>
              </w:rPr>
            </w:pPr>
            <w:r w:rsidRPr="00FD0730">
              <w:rPr>
                <w:sz w:val="20"/>
                <w:szCs w:val="20"/>
              </w:rPr>
              <w:t>404</w:t>
            </w:r>
          </w:p>
        </w:tc>
        <w:tc>
          <w:tcPr>
            <w:tcW w:w="709" w:type="dxa"/>
            <w:vAlign w:val="center"/>
          </w:tcPr>
          <w:p w14:paraId="263FACBD" w14:textId="77777777" w:rsidR="008F2269" w:rsidRPr="00FD0730" w:rsidRDefault="008F2269" w:rsidP="002D1362">
            <w:pPr>
              <w:jc w:val="both"/>
              <w:rPr>
                <w:sz w:val="20"/>
                <w:szCs w:val="20"/>
              </w:rPr>
            </w:pPr>
            <w:r w:rsidRPr="00FD0730">
              <w:rPr>
                <w:sz w:val="20"/>
                <w:szCs w:val="20"/>
              </w:rPr>
              <w:t>1</w:t>
            </w:r>
          </w:p>
        </w:tc>
        <w:tc>
          <w:tcPr>
            <w:tcW w:w="1417" w:type="dxa"/>
            <w:vAlign w:val="center"/>
          </w:tcPr>
          <w:p w14:paraId="73D293E4" w14:textId="77777777" w:rsidR="008F2269" w:rsidRPr="00FD0730" w:rsidRDefault="008F2269" w:rsidP="002D1362">
            <w:pPr>
              <w:jc w:val="both"/>
              <w:rPr>
                <w:sz w:val="20"/>
                <w:szCs w:val="20"/>
              </w:rPr>
            </w:pPr>
            <w:r w:rsidRPr="00FD0730">
              <w:rPr>
                <w:sz w:val="20"/>
                <w:szCs w:val="20"/>
              </w:rPr>
              <w:t>Nombre de PE pastoraux réalisés</w:t>
            </w:r>
          </w:p>
        </w:tc>
        <w:tc>
          <w:tcPr>
            <w:tcW w:w="1418" w:type="dxa"/>
            <w:vMerge w:val="restart"/>
            <w:vAlign w:val="center"/>
          </w:tcPr>
          <w:p w14:paraId="70808BBC" w14:textId="77777777" w:rsidR="008F2269" w:rsidRPr="00FD0730" w:rsidRDefault="008F2269" w:rsidP="002D1362">
            <w:pPr>
              <w:jc w:val="both"/>
              <w:rPr>
                <w:sz w:val="20"/>
                <w:szCs w:val="20"/>
              </w:rPr>
            </w:pPr>
            <w:r w:rsidRPr="00FD0730">
              <w:rPr>
                <w:sz w:val="20"/>
                <w:szCs w:val="20"/>
              </w:rPr>
              <w:t>Nbre de points d’eau pastoraux et de mares réalisés ou surcreusées</w:t>
            </w:r>
          </w:p>
        </w:tc>
      </w:tr>
      <w:tr w:rsidR="008F2269" w:rsidRPr="002F2FDC" w14:paraId="28F7A995" w14:textId="77777777" w:rsidTr="002D1362">
        <w:tc>
          <w:tcPr>
            <w:tcW w:w="853" w:type="dxa"/>
            <w:vMerge/>
            <w:shd w:val="clear" w:color="auto" w:fill="F2F2F2" w:themeFill="background1" w:themeFillShade="F2"/>
          </w:tcPr>
          <w:p w14:paraId="03773E4A" w14:textId="77777777" w:rsidR="008F2269" w:rsidRPr="002F2FDC" w:rsidRDefault="008F2269" w:rsidP="002D1362">
            <w:pPr>
              <w:rPr>
                <w:sz w:val="16"/>
                <w:szCs w:val="16"/>
              </w:rPr>
            </w:pPr>
          </w:p>
        </w:tc>
        <w:tc>
          <w:tcPr>
            <w:tcW w:w="788" w:type="dxa"/>
            <w:gridSpan w:val="2"/>
            <w:vAlign w:val="center"/>
          </w:tcPr>
          <w:p w14:paraId="109D4E7D" w14:textId="77777777" w:rsidR="008F2269" w:rsidRPr="002F2FDC" w:rsidRDefault="008F2269" w:rsidP="002D1362">
            <w:pPr>
              <w:jc w:val="center"/>
              <w:rPr>
                <w:sz w:val="16"/>
                <w:szCs w:val="16"/>
              </w:rPr>
            </w:pPr>
            <w:r>
              <w:rPr>
                <w:sz w:val="16"/>
                <w:szCs w:val="16"/>
              </w:rPr>
              <w:t>A.2.9.2</w:t>
            </w:r>
          </w:p>
        </w:tc>
        <w:tc>
          <w:tcPr>
            <w:tcW w:w="3463" w:type="dxa"/>
            <w:gridSpan w:val="3"/>
          </w:tcPr>
          <w:p w14:paraId="7DD8CE53" w14:textId="77777777" w:rsidR="008F2269" w:rsidRPr="00FD0730" w:rsidRDefault="008F2269" w:rsidP="002D1362">
            <w:pPr>
              <w:jc w:val="both"/>
              <w:rPr>
                <w:sz w:val="20"/>
                <w:szCs w:val="20"/>
              </w:rPr>
            </w:pPr>
            <w:r w:rsidRPr="00FD0730">
              <w:rPr>
                <w:sz w:val="20"/>
                <w:szCs w:val="20"/>
              </w:rPr>
              <w:t>Réhabiliter 120 postes d’eau pastoraux</w:t>
            </w:r>
          </w:p>
        </w:tc>
        <w:tc>
          <w:tcPr>
            <w:tcW w:w="992" w:type="dxa"/>
            <w:vAlign w:val="center"/>
          </w:tcPr>
          <w:p w14:paraId="017039D9" w14:textId="77777777" w:rsidR="008F2269" w:rsidRPr="00FD0730" w:rsidRDefault="008F2269" w:rsidP="002D1362">
            <w:pPr>
              <w:jc w:val="both"/>
              <w:rPr>
                <w:sz w:val="20"/>
                <w:szCs w:val="20"/>
              </w:rPr>
            </w:pPr>
            <w:r w:rsidRPr="00FD0730">
              <w:rPr>
                <w:sz w:val="20"/>
                <w:szCs w:val="20"/>
              </w:rPr>
              <w:t>126</w:t>
            </w:r>
          </w:p>
        </w:tc>
        <w:tc>
          <w:tcPr>
            <w:tcW w:w="709" w:type="dxa"/>
            <w:vAlign w:val="center"/>
          </w:tcPr>
          <w:p w14:paraId="4967D854" w14:textId="77777777" w:rsidR="008F2269" w:rsidRPr="00FD0730" w:rsidRDefault="008F2269" w:rsidP="002D1362">
            <w:pPr>
              <w:jc w:val="both"/>
              <w:rPr>
                <w:sz w:val="20"/>
                <w:szCs w:val="20"/>
              </w:rPr>
            </w:pPr>
            <w:r w:rsidRPr="00FD0730">
              <w:rPr>
                <w:sz w:val="20"/>
                <w:szCs w:val="20"/>
              </w:rPr>
              <w:t>1</w:t>
            </w:r>
          </w:p>
        </w:tc>
        <w:tc>
          <w:tcPr>
            <w:tcW w:w="1417" w:type="dxa"/>
            <w:vAlign w:val="center"/>
          </w:tcPr>
          <w:p w14:paraId="2FE2E596" w14:textId="77777777" w:rsidR="008F2269" w:rsidRPr="00FD0730" w:rsidRDefault="008F2269" w:rsidP="002D1362">
            <w:pPr>
              <w:jc w:val="both"/>
              <w:rPr>
                <w:sz w:val="20"/>
                <w:szCs w:val="20"/>
              </w:rPr>
            </w:pPr>
            <w:r w:rsidRPr="00FD0730">
              <w:rPr>
                <w:sz w:val="20"/>
                <w:szCs w:val="20"/>
              </w:rPr>
              <w:t>Nombre d PE pastoraux réalisés</w:t>
            </w:r>
          </w:p>
        </w:tc>
        <w:tc>
          <w:tcPr>
            <w:tcW w:w="1418" w:type="dxa"/>
            <w:vMerge/>
          </w:tcPr>
          <w:p w14:paraId="2E8E6CFB" w14:textId="77777777" w:rsidR="008F2269" w:rsidRPr="00FD0730" w:rsidRDefault="008F2269" w:rsidP="002D1362">
            <w:pPr>
              <w:jc w:val="both"/>
              <w:rPr>
                <w:sz w:val="20"/>
                <w:szCs w:val="20"/>
              </w:rPr>
            </w:pPr>
          </w:p>
        </w:tc>
      </w:tr>
      <w:tr w:rsidR="008F2269" w:rsidRPr="002F2FDC" w14:paraId="2A3C50AC" w14:textId="77777777" w:rsidTr="002D1362">
        <w:tc>
          <w:tcPr>
            <w:tcW w:w="853" w:type="dxa"/>
            <w:vMerge/>
            <w:tcBorders>
              <w:bottom w:val="single" w:sz="4" w:space="0" w:color="auto"/>
            </w:tcBorders>
            <w:shd w:val="clear" w:color="auto" w:fill="F2F2F2" w:themeFill="background1" w:themeFillShade="F2"/>
          </w:tcPr>
          <w:p w14:paraId="40318F26" w14:textId="77777777" w:rsidR="008F2269" w:rsidRPr="002F2FDC" w:rsidRDefault="008F2269" w:rsidP="002D1362">
            <w:pPr>
              <w:rPr>
                <w:sz w:val="16"/>
                <w:szCs w:val="16"/>
              </w:rPr>
            </w:pPr>
          </w:p>
        </w:tc>
        <w:tc>
          <w:tcPr>
            <w:tcW w:w="788" w:type="dxa"/>
            <w:gridSpan w:val="2"/>
            <w:vAlign w:val="center"/>
          </w:tcPr>
          <w:p w14:paraId="484D6C5C" w14:textId="77777777" w:rsidR="008F2269" w:rsidRPr="002F2FDC" w:rsidRDefault="008F2269" w:rsidP="002D1362">
            <w:pPr>
              <w:jc w:val="center"/>
              <w:rPr>
                <w:sz w:val="16"/>
                <w:szCs w:val="16"/>
              </w:rPr>
            </w:pPr>
            <w:r>
              <w:rPr>
                <w:sz w:val="16"/>
                <w:szCs w:val="16"/>
              </w:rPr>
              <w:t>A.2.9.3</w:t>
            </w:r>
          </w:p>
        </w:tc>
        <w:tc>
          <w:tcPr>
            <w:tcW w:w="3463" w:type="dxa"/>
            <w:gridSpan w:val="3"/>
          </w:tcPr>
          <w:p w14:paraId="5D42F12B" w14:textId="77777777" w:rsidR="008F2269" w:rsidRPr="00FD0730" w:rsidRDefault="008F2269" w:rsidP="002D1362">
            <w:pPr>
              <w:jc w:val="both"/>
              <w:rPr>
                <w:sz w:val="20"/>
                <w:szCs w:val="20"/>
              </w:rPr>
            </w:pPr>
            <w:r w:rsidRPr="00FD0730">
              <w:rPr>
                <w:sz w:val="20"/>
                <w:szCs w:val="20"/>
              </w:rPr>
              <w:t>Surcreuser ou réaliser 90 mares (PNDE)</w:t>
            </w:r>
          </w:p>
        </w:tc>
        <w:tc>
          <w:tcPr>
            <w:tcW w:w="992" w:type="dxa"/>
            <w:vAlign w:val="center"/>
          </w:tcPr>
          <w:p w14:paraId="6C2AE01A" w14:textId="77777777" w:rsidR="008F2269" w:rsidRPr="00FD0730" w:rsidRDefault="008F2269" w:rsidP="002D1362">
            <w:pPr>
              <w:jc w:val="both"/>
              <w:rPr>
                <w:sz w:val="20"/>
                <w:szCs w:val="20"/>
              </w:rPr>
            </w:pPr>
            <w:r w:rsidRPr="00FD0730">
              <w:rPr>
                <w:sz w:val="20"/>
                <w:szCs w:val="20"/>
              </w:rPr>
              <w:t>530</w:t>
            </w:r>
          </w:p>
        </w:tc>
        <w:tc>
          <w:tcPr>
            <w:tcW w:w="709" w:type="dxa"/>
            <w:vAlign w:val="center"/>
          </w:tcPr>
          <w:p w14:paraId="43E42B59" w14:textId="77777777" w:rsidR="008F2269" w:rsidRPr="00FD0730" w:rsidRDefault="008F2269" w:rsidP="002D1362">
            <w:pPr>
              <w:jc w:val="both"/>
              <w:rPr>
                <w:sz w:val="20"/>
                <w:szCs w:val="20"/>
              </w:rPr>
            </w:pPr>
            <w:r w:rsidRPr="00FD0730">
              <w:rPr>
                <w:sz w:val="20"/>
                <w:szCs w:val="20"/>
              </w:rPr>
              <w:t>1</w:t>
            </w:r>
          </w:p>
        </w:tc>
        <w:tc>
          <w:tcPr>
            <w:tcW w:w="1417" w:type="dxa"/>
            <w:vAlign w:val="center"/>
          </w:tcPr>
          <w:p w14:paraId="235FD05F" w14:textId="77777777" w:rsidR="008F2269" w:rsidRPr="00FD0730" w:rsidRDefault="008F2269" w:rsidP="002D1362">
            <w:pPr>
              <w:jc w:val="both"/>
              <w:rPr>
                <w:sz w:val="20"/>
                <w:szCs w:val="20"/>
              </w:rPr>
            </w:pPr>
            <w:r w:rsidRPr="00FD0730">
              <w:rPr>
                <w:sz w:val="20"/>
                <w:szCs w:val="20"/>
              </w:rPr>
              <w:t>Nombre de mares réalisées ou surcreuser</w:t>
            </w:r>
          </w:p>
        </w:tc>
        <w:tc>
          <w:tcPr>
            <w:tcW w:w="1418" w:type="dxa"/>
            <w:vMerge/>
          </w:tcPr>
          <w:p w14:paraId="2DC99A97" w14:textId="77777777" w:rsidR="008F2269" w:rsidRPr="00FD0730" w:rsidRDefault="008F2269" w:rsidP="002D1362">
            <w:pPr>
              <w:jc w:val="both"/>
              <w:rPr>
                <w:sz w:val="20"/>
                <w:szCs w:val="20"/>
              </w:rPr>
            </w:pPr>
          </w:p>
        </w:tc>
      </w:tr>
      <w:tr w:rsidR="008F2269" w:rsidRPr="002F2FDC" w14:paraId="13749B87" w14:textId="77777777" w:rsidTr="002D1362">
        <w:tc>
          <w:tcPr>
            <w:tcW w:w="9640" w:type="dxa"/>
            <w:gridSpan w:val="10"/>
            <w:tcBorders>
              <w:top w:val="nil"/>
              <w:left w:val="nil"/>
              <w:right w:val="nil"/>
            </w:tcBorders>
          </w:tcPr>
          <w:p w14:paraId="66EFAAB4" w14:textId="77777777" w:rsidR="008F2269" w:rsidRPr="00FD0730" w:rsidRDefault="008F2269" w:rsidP="002D1362">
            <w:pPr>
              <w:jc w:val="both"/>
              <w:rPr>
                <w:sz w:val="20"/>
                <w:szCs w:val="20"/>
              </w:rPr>
            </w:pPr>
          </w:p>
        </w:tc>
      </w:tr>
      <w:tr w:rsidR="008F2269" w:rsidRPr="002F2FDC" w14:paraId="55AB1074" w14:textId="77777777" w:rsidTr="002D1362">
        <w:tc>
          <w:tcPr>
            <w:tcW w:w="853" w:type="dxa"/>
            <w:vMerge w:val="restart"/>
            <w:tcBorders>
              <w:right w:val="single" w:sz="4" w:space="0" w:color="auto"/>
            </w:tcBorders>
            <w:shd w:val="clear" w:color="auto" w:fill="F2F2F2" w:themeFill="background1" w:themeFillShade="F2"/>
          </w:tcPr>
          <w:p w14:paraId="7B7F3F3D" w14:textId="77777777" w:rsidR="008F2269" w:rsidRPr="00B36B6F" w:rsidRDefault="008F2269" w:rsidP="002D1362">
            <w:pPr>
              <w:jc w:val="both"/>
              <w:rPr>
                <w:sz w:val="20"/>
                <w:szCs w:val="20"/>
              </w:rPr>
            </w:pPr>
            <w:r w:rsidRPr="00B36B6F">
              <w:rPr>
                <w:sz w:val="20"/>
                <w:szCs w:val="20"/>
              </w:rPr>
              <w:t xml:space="preserve">R2.10 Les ressources en eau nécessaires pour </w:t>
            </w:r>
            <w:proofErr w:type="gramStart"/>
            <w:r w:rsidRPr="00B36B6F">
              <w:rPr>
                <w:sz w:val="20"/>
                <w:szCs w:val="20"/>
              </w:rPr>
              <w:t>l’industrie  sont</w:t>
            </w:r>
            <w:proofErr w:type="gramEnd"/>
            <w:r w:rsidRPr="00B36B6F">
              <w:rPr>
                <w:sz w:val="20"/>
                <w:szCs w:val="20"/>
              </w:rPr>
              <w:t xml:space="preserve"> connues et mobilisées</w:t>
            </w:r>
          </w:p>
        </w:tc>
        <w:tc>
          <w:tcPr>
            <w:tcW w:w="788" w:type="dxa"/>
            <w:gridSpan w:val="2"/>
            <w:tcBorders>
              <w:left w:val="single" w:sz="4" w:space="0" w:color="auto"/>
            </w:tcBorders>
            <w:vAlign w:val="center"/>
          </w:tcPr>
          <w:p w14:paraId="5BAA0603" w14:textId="77777777" w:rsidR="008F2269" w:rsidRDefault="008F2269" w:rsidP="002D1362">
            <w:pPr>
              <w:jc w:val="center"/>
              <w:rPr>
                <w:sz w:val="16"/>
                <w:szCs w:val="16"/>
              </w:rPr>
            </w:pPr>
            <w:r>
              <w:rPr>
                <w:sz w:val="16"/>
                <w:szCs w:val="16"/>
              </w:rPr>
              <w:t>A.2.10.1</w:t>
            </w:r>
          </w:p>
        </w:tc>
        <w:tc>
          <w:tcPr>
            <w:tcW w:w="3463" w:type="dxa"/>
            <w:gridSpan w:val="3"/>
          </w:tcPr>
          <w:p w14:paraId="24B58EDD" w14:textId="77777777" w:rsidR="008F2269" w:rsidRPr="00FD0730" w:rsidRDefault="008F2269" w:rsidP="002D1362">
            <w:pPr>
              <w:jc w:val="both"/>
              <w:rPr>
                <w:sz w:val="20"/>
                <w:szCs w:val="20"/>
              </w:rPr>
            </w:pPr>
            <w:r w:rsidRPr="00FD0730">
              <w:rPr>
                <w:sz w:val="20"/>
                <w:szCs w:val="20"/>
              </w:rPr>
              <w:t>Réaliser une étude des ressources en eau souterraines dans la zone nord du pays</w:t>
            </w:r>
          </w:p>
        </w:tc>
        <w:tc>
          <w:tcPr>
            <w:tcW w:w="992" w:type="dxa"/>
            <w:vAlign w:val="center"/>
          </w:tcPr>
          <w:p w14:paraId="64366BBB" w14:textId="77777777" w:rsidR="008F2269" w:rsidRPr="00FD0730" w:rsidRDefault="008F2269" w:rsidP="002D1362">
            <w:pPr>
              <w:jc w:val="both"/>
              <w:rPr>
                <w:sz w:val="20"/>
                <w:szCs w:val="20"/>
              </w:rPr>
            </w:pPr>
            <w:r w:rsidRPr="00FD0730">
              <w:rPr>
                <w:sz w:val="20"/>
                <w:szCs w:val="20"/>
              </w:rPr>
              <w:t>378</w:t>
            </w:r>
          </w:p>
        </w:tc>
        <w:tc>
          <w:tcPr>
            <w:tcW w:w="709" w:type="dxa"/>
            <w:vAlign w:val="center"/>
          </w:tcPr>
          <w:p w14:paraId="16CFCEA9" w14:textId="77777777" w:rsidR="008F2269" w:rsidRPr="00FD0730" w:rsidRDefault="008F2269" w:rsidP="002D1362">
            <w:pPr>
              <w:jc w:val="both"/>
              <w:rPr>
                <w:sz w:val="20"/>
                <w:szCs w:val="20"/>
              </w:rPr>
            </w:pPr>
            <w:r w:rsidRPr="00FD0730">
              <w:rPr>
                <w:sz w:val="20"/>
                <w:szCs w:val="20"/>
              </w:rPr>
              <w:t>1</w:t>
            </w:r>
          </w:p>
        </w:tc>
        <w:tc>
          <w:tcPr>
            <w:tcW w:w="1417" w:type="dxa"/>
            <w:vAlign w:val="center"/>
          </w:tcPr>
          <w:p w14:paraId="3D37E82F" w14:textId="77777777" w:rsidR="008F2269" w:rsidRPr="00FD0730" w:rsidRDefault="008F2269" w:rsidP="002D1362">
            <w:pPr>
              <w:jc w:val="both"/>
              <w:rPr>
                <w:sz w:val="20"/>
                <w:szCs w:val="20"/>
              </w:rPr>
            </w:pPr>
            <w:r w:rsidRPr="00FD0730">
              <w:rPr>
                <w:sz w:val="20"/>
                <w:szCs w:val="20"/>
              </w:rPr>
              <w:t>Avancement de l’étude</w:t>
            </w:r>
          </w:p>
        </w:tc>
        <w:tc>
          <w:tcPr>
            <w:tcW w:w="1418" w:type="dxa"/>
            <w:vAlign w:val="center"/>
          </w:tcPr>
          <w:p w14:paraId="24D33528" w14:textId="77777777" w:rsidR="008F2269" w:rsidRPr="00FD0730" w:rsidRDefault="008F2269" w:rsidP="002D1362">
            <w:pPr>
              <w:jc w:val="both"/>
              <w:rPr>
                <w:sz w:val="20"/>
                <w:szCs w:val="20"/>
              </w:rPr>
            </w:pPr>
            <w:r w:rsidRPr="00FD0730">
              <w:rPr>
                <w:sz w:val="20"/>
                <w:szCs w:val="20"/>
              </w:rPr>
              <w:t>Nb de rapports d’étude validés</w:t>
            </w:r>
          </w:p>
        </w:tc>
      </w:tr>
      <w:tr w:rsidR="008F2269" w:rsidRPr="002F2FDC" w14:paraId="70F7E307" w14:textId="77777777" w:rsidTr="002D1362">
        <w:tc>
          <w:tcPr>
            <w:tcW w:w="853" w:type="dxa"/>
            <w:vMerge/>
            <w:tcBorders>
              <w:right w:val="single" w:sz="4" w:space="0" w:color="auto"/>
            </w:tcBorders>
            <w:shd w:val="clear" w:color="auto" w:fill="F2F2F2" w:themeFill="background1" w:themeFillShade="F2"/>
          </w:tcPr>
          <w:p w14:paraId="1EA31293" w14:textId="77777777" w:rsidR="008F2269" w:rsidRPr="002F2FDC" w:rsidRDefault="008F2269" w:rsidP="002D1362">
            <w:pPr>
              <w:rPr>
                <w:sz w:val="16"/>
                <w:szCs w:val="16"/>
              </w:rPr>
            </w:pPr>
          </w:p>
        </w:tc>
        <w:tc>
          <w:tcPr>
            <w:tcW w:w="788" w:type="dxa"/>
            <w:gridSpan w:val="2"/>
            <w:tcBorders>
              <w:left w:val="single" w:sz="4" w:space="0" w:color="auto"/>
            </w:tcBorders>
            <w:vAlign w:val="center"/>
          </w:tcPr>
          <w:p w14:paraId="710C6279" w14:textId="77777777" w:rsidR="008F2269" w:rsidRDefault="008F2269" w:rsidP="002D1362">
            <w:pPr>
              <w:jc w:val="center"/>
              <w:rPr>
                <w:sz w:val="16"/>
                <w:szCs w:val="16"/>
              </w:rPr>
            </w:pPr>
            <w:r>
              <w:rPr>
                <w:sz w:val="16"/>
                <w:szCs w:val="16"/>
              </w:rPr>
              <w:t>A.2.10.2</w:t>
            </w:r>
          </w:p>
        </w:tc>
        <w:tc>
          <w:tcPr>
            <w:tcW w:w="3463" w:type="dxa"/>
            <w:gridSpan w:val="3"/>
          </w:tcPr>
          <w:p w14:paraId="032AAA55" w14:textId="77777777" w:rsidR="008F2269" w:rsidRPr="0051402B" w:rsidRDefault="008F2269" w:rsidP="002D1362">
            <w:pPr>
              <w:jc w:val="both"/>
              <w:rPr>
                <w:sz w:val="20"/>
                <w:szCs w:val="20"/>
              </w:rPr>
            </w:pPr>
            <w:r w:rsidRPr="0051402B">
              <w:rPr>
                <w:sz w:val="20"/>
                <w:szCs w:val="20"/>
              </w:rPr>
              <w:t>Réaliser une étude des besoins de l’industrie dans le pays à l’horizon 2030</w:t>
            </w:r>
          </w:p>
        </w:tc>
        <w:tc>
          <w:tcPr>
            <w:tcW w:w="992" w:type="dxa"/>
            <w:vAlign w:val="center"/>
          </w:tcPr>
          <w:p w14:paraId="16D5216C" w14:textId="77777777" w:rsidR="008F2269" w:rsidRPr="0051402B" w:rsidRDefault="008F2269" w:rsidP="002D1362">
            <w:pPr>
              <w:jc w:val="both"/>
              <w:rPr>
                <w:sz w:val="20"/>
                <w:szCs w:val="20"/>
              </w:rPr>
            </w:pPr>
            <w:r w:rsidRPr="0051402B">
              <w:rPr>
                <w:sz w:val="20"/>
                <w:szCs w:val="20"/>
              </w:rPr>
              <w:t>21,0</w:t>
            </w:r>
          </w:p>
        </w:tc>
        <w:tc>
          <w:tcPr>
            <w:tcW w:w="709" w:type="dxa"/>
            <w:vAlign w:val="center"/>
          </w:tcPr>
          <w:p w14:paraId="096FFBF7" w14:textId="77777777" w:rsidR="008F2269" w:rsidRPr="0051402B" w:rsidRDefault="008F2269" w:rsidP="002D1362">
            <w:pPr>
              <w:jc w:val="both"/>
              <w:rPr>
                <w:sz w:val="20"/>
                <w:szCs w:val="20"/>
              </w:rPr>
            </w:pPr>
            <w:r w:rsidRPr="0051402B">
              <w:rPr>
                <w:sz w:val="20"/>
                <w:szCs w:val="20"/>
              </w:rPr>
              <w:t>1</w:t>
            </w:r>
          </w:p>
        </w:tc>
        <w:tc>
          <w:tcPr>
            <w:tcW w:w="1417" w:type="dxa"/>
            <w:vAlign w:val="center"/>
          </w:tcPr>
          <w:p w14:paraId="2821E10A" w14:textId="77777777" w:rsidR="008F2269" w:rsidRPr="0051402B" w:rsidRDefault="008F2269" w:rsidP="002D1362">
            <w:pPr>
              <w:jc w:val="both"/>
              <w:rPr>
                <w:sz w:val="20"/>
                <w:szCs w:val="20"/>
              </w:rPr>
            </w:pPr>
            <w:r w:rsidRPr="0051402B">
              <w:rPr>
                <w:sz w:val="20"/>
                <w:szCs w:val="20"/>
              </w:rPr>
              <w:t>Avancement de l’étude</w:t>
            </w:r>
          </w:p>
        </w:tc>
        <w:tc>
          <w:tcPr>
            <w:tcW w:w="1418" w:type="dxa"/>
            <w:vAlign w:val="center"/>
          </w:tcPr>
          <w:p w14:paraId="36C2F9DA" w14:textId="77777777" w:rsidR="008F2269" w:rsidRPr="0051402B" w:rsidRDefault="008F2269" w:rsidP="002D1362">
            <w:pPr>
              <w:jc w:val="both"/>
              <w:rPr>
                <w:sz w:val="20"/>
                <w:szCs w:val="20"/>
              </w:rPr>
            </w:pPr>
            <w:r w:rsidRPr="0051402B">
              <w:rPr>
                <w:sz w:val="20"/>
                <w:szCs w:val="20"/>
              </w:rPr>
              <w:t>Nb de rapports d’étude validés</w:t>
            </w:r>
          </w:p>
        </w:tc>
      </w:tr>
      <w:tr w:rsidR="008F2269" w:rsidRPr="002F2FDC" w14:paraId="452B0B36" w14:textId="77777777" w:rsidTr="002D1362">
        <w:tc>
          <w:tcPr>
            <w:tcW w:w="853" w:type="dxa"/>
            <w:vMerge/>
            <w:tcBorders>
              <w:right w:val="single" w:sz="4" w:space="0" w:color="auto"/>
            </w:tcBorders>
            <w:shd w:val="clear" w:color="auto" w:fill="F2F2F2" w:themeFill="background1" w:themeFillShade="F2"/>
          </w:tcPr>
          <w:p w14:paraId="70CD84A4" w14:textId="77777777" w:rsidR="008F2269" w:rsidRPr="002F2FDC" w:rsidRDefault="008F2269" w:rsidP="002D1362">
            <w:pPr>
              <w:rPr>
                <w:sz w:val="16"/>
                <w:szCs w:val="16"/>
              </w:rPr>
            </w:pPr>
          </w:p>
        </w:tc>
        <w:tc>
          <w:tcPr>
            <w:tcW w:w="788" w:type="dxa"/>
            <w:gridSpan w:val="2"/>
            <w:tcBorders>
              <w:left w:val="single" w:sz="4" w:space="0" w:color="auto"/>
            </w:tcBorders>
            <w:vAlign w:val="center"/>
          </w:tcPr>
          <w:p w14:paraId="17668696" w14:textId="77777777" w:rsidR="008F2269" w:rsidRDefault="008F2269" w:rsidP="002D1362">
            <w:pPr>
              <w:jc w:val="center"/>
              <w:rPr>
                <w:sz w:val="16"/>
                <w:szCs w:val="16"/>
              </w:rPr>
            </w:pPr>
            <w:r>
              <w:rPr>
                <w:sz w:val="16"/>
                <w:szCs w:val="16"/>
              </w:rPr>
              <w:t>A.2.10.3</w:t>
            </w:r>
          </w:p>
        </w:tc>
        <w:tc>
          <w:tcPr>
            <w:tcW w:w="3463" w:type="dxa"/>
            <w:gridSpan w:val="3"/>
          </w:tcPr>
          <w:p w14:paraId="5345D779" w14:textId="77777777" w:rsidR="008F2269" w:rsidRPr="0051402B" w:rsidRDefault="008F2269" w:rsidP="002D1362">
            <w:pPr>
              <w:jc w:val="both"/>
              <w:rPr>
                <w:sz w:val="20"/>
                <w:szCs w:val="20"/>
              </w:rPr>
            </w:pPr>
            <w:r w:rsidRPr="0051402B">
              <w:rPr>
                <w:sz w:val="20"/>
                <w:szCs w:val="20"/>
              </w:rPr>
              <w:t>Réaliser 20 forages de reconnaissance pour le développement de l’industrie en particulier extractive</w:t>
            </w:r>
          </w:p>
        </w:tc>
        <w:tc>
          <w:tcPr>
            <w:tcW w:w="992" w:type="dxa"/>
            <w:vAlign w:val="center"/>
          </w:tcPr>
          <w:p w14:paraId="39681287" w14:textId="77777777" w:rsidR="008F2269" w:rsidRPr="0051402B" w:rsidRDefault="008F2269" w:rsidP="002D1362">
            <w:pPr>
              <w:jc w:val="both"/>
              <w:rPr>
                <w:sz w:val="20"/>
                <w:szCs w:val="20"/>
              </w:rPr>
            </w:pPr>
            <w:r w:rsidRPr="0051402B">
              <w:rPr>
                <w:sz w:val="20"/>
                <w:szCs w:val="20"/>
              </w:rPr>
              <w:t>59,0</w:t>
            </w:r>
          </w:p>
        </w:tc>
        <w:tc>
          <w:tcPr>
            <w:tcW w:w="709" w:type="dxa"/>
            <w:vAlign w:val="center"/>
          </w:tcPr>
          <w:p w14:paraId="689B8927" w14:textId="77777777" w:rsidR="008F2269" w:rsidRPr="0051402B" w:rsidRDefault="008F2269" w:rsidP="002D1362">
            <w:pPr>
              <w:jc w:val="both"/>
              <w:rPr>
                <w:sz w:val="20"/>
                <w:szCs w:val="20"/>
              </w:rPr>
            </w:pPr>
            <w:r w:rsidRPr="0051402B">
              <w:rPr>
                <w:sz w:val="20"/>
                <w:szCs w:val="20"/>
              </w:rPr>
              <w:t>1</w:t>
            </w:r>
          </w:p>
        </w:tc>
        <w:tc>
          <w:tcPr>
            <w:tcW w:w="1417" w:type="dxa"/>
            <w:vAlign w:val="center"/>
          </w:tcPr>
          <w:p w14:paraId="31E97B47" w14:textId="77777777" w:rsidR="008F2269" w:rsidRPr="0051402B" w:rsidRDefault="008F2269" w:rsidP="002D1362">
            <w:pPr>
              <w:jc w:val="both"/>
              <w:rPr>
                <w:sz w:val="20"/>
                <w:szCs w:val="20"/>
              </w:rPr>
            </w:pPr>
            <w:r w:rsidRPr="0051402B">
              <w:rPr>
                <w:sz w:val="20"/>
                <w:szCs w:val="20"/>
              </w:rPr>
              <w:t>Nombre de forages réalisés</w:t>
            </w:r>
          </w:p>
        </w:tc>
        <w:tc>
          <w:tcPr>
            <w:tcW w:w="1418" w:type="dxa"/>
            <w:vAlign w:val="center"/>
          </w:tcPr>
          <w:p w14:paraId="652B3206" w14:textId="77777777" w:rsidR="008F2269" w:rsidRPr="0051402B" w:rsidRDefault="008F2269" w:rsidP="002D1362">
            <w:pPr>
              <w:jc w:val="both"/>
              <w:rPr>
                <w:sz w:val="20"/>
                <w:szCs w:val="20"/>
              </w:rPr>
            </w:pPr>
            <w:r w:rsidRPr="0051402B">
              <w:rPr>
                <w:sz w:val="20"/>
                <w:szCs w:val="20"/>
              </w:rPr>
              <w:t>Débit cumulé d’exploitation/besoin évalués</w:t>
            </w:r>
          </w:p>
        </w:tc>
      </w:tr>
      <w:tr w:rsidR="008F2269" w:rsidRPr="002F2FDC" w14:paraId="59E0395D" w14:textId="77777777" w:rsidTr="002D1362">
        <w:tc>
          <w:tcPr>
            <w:tcW w:w="9640" w:type="dxa"/>
            <w:gridSpan w:val="10"/>
            <w:tcBorders>
              <w:left w:val="nil"/>
              <w:right w:val="nil"/>
            </w:tcBorders>
            <w:shd w:val="clear" w:color="auto" w:fill="auto"/>
          </w:tcPr>
          <w:p w14:paraId="1F59FA33" w14:textId="77777777" w:rsidR="008F2269" w:rsidRDefault="008F2269" w:rsidP="002D1362">
            <w:pPr>
              <w:jc w:val="center"/>
              <w:rPr>
                <w:sz w:val="16"/>
                <w:szCs w:val="16"/>
              </w:rPr>
            </w:pPr>
          </w:p>
        </w:tc>
      </w:tr>
      <w:tr w:rsidR="008F2269" w:rsidRPr="002F2FDC" w14:paraId="42FAD202" w14:textId="77777777" w:rsidTr="002D1362">
        <w:tc>
          <w:tcPr>
            <w:tcW w:w="2908" w:type="dxa"/>
            <w:gridSpan w:val="5"/>
            <w:tcBorders>
              <w:top w:val="nil"/>
            </w:tcBorders>
            <w:shd w:val="clear" w:color="auto" w:fill="D9D9D9" w:themeFill="background1" w:themeFillShade="D9"/>
          </w:tcPr>
          <w:p w14:paraId="0A057F87" w14:textId="77777777" w:rsidR="008F2269" w:rsidRPr="00D650F5" w:rsidRDefault="008F2269" w:rsidP="002D1362">
            <w:pPr>
              <w:rPr>
                <w:b/>
                <w:bCs/>
                <w:sz w:val="16"/>
                <w:szCs w:val="16"/>
              </w:rPr>
            </w:pPr>
            <w:r w:rsidRPr="00D650F5">
              <w:rPr>
                <w:b/>
                <w:bCs/>
                <w:sz w:val="16"/>
                <w:szCs w:val="16"/>
              </w:rPr>
              <w:t>TOTAL INDICATIF EN MILLIONS D4OUGUIYAS</w:t>
            </w:r>
          </w:p>
        </w:tc>
        <w:tc>
          <w:tcPr>
            <w:tcW w:w="2196" w:type="dxa"/>
            <w:shd w:val="clear" w:color="auto" w:fill="D9D9D9" w:themeFill="background1" w:themeFillShade="D9"/>
            <w:vAlign w:val="center"/>
          </w:tcPr>
          <w:p w14:paraId="0FFA1040" w14:textId="77777777" w:rsidR="008F2269" w:rsidRPr="00D650F5" w:rsidRDefault="008F2269" w:rsidP="002D1362">
            <w:pPr>
              <w:jc w:val="center"/>
              <w:rPr>
                <w:b/>
                <w:bCs/>
                <w:sz w:val="16"/>
                <w:szCs w:val="16"/>
              </w:rPr>
            </w:pPr>
            <w:r w:rsidRPr="00D650F5">
              <w:rPr>
                <w:b/>
                <w:bCs/>
                <w:sz w:val="16"/>
                <w:szCs w:val="16"/>
              </w:rPr>
              <w:t>9241</w:t>
            </w:r>
          </w:p>
        </w:tc>
        <w:tc>
          <w:tcPr>
            <w:tcW w:w="992" w:type="dxa"/>
            <w:vMerge w:val="restart"/>
            <w:shd w:val="clear" w:color="auto" w:fill="D9D9D9" w:themeFill="background1" w:themeFillShade="D9"/>
            <w:vAlign w:val="center"/>
          </w:tcPr>
          <w:p w14:paraId="074E0F31" w14:textId="77777777" w:rsidR="008F2269" w:rsidRDefault="008F2269" w:rsidP="002D1362">
            <w:pPr>
              <w:jc w:val="center"/>
              <w:rPr>
                <w:sz w:val="16"/>
                <w:szCs w:val="16"/>
              </w:rPr>
            </w:pPr>
          </w:p>
        </w:tc>
        <w:tc>
          <w:tcPr>
            <w:tcW w:w="709" w:type="dxa"/>
            <w:vMerge w:val="restart"/>
            <w:shd w:val="clear" w:color="auto" w:fill="D9D9D9" w:themeFill="background1" w:themeFillShade="D9"/>
            <w:vAlign w:val="center"/>
          </w:tcPr>
          <w:p w14:paraId="58A97728" w14:textId="77777777" w:rsidR="008F2269" w:rsidRDefault="008F2269" w:rsidP="002D1362">
            <w:pPr>
              <w:jc w:val="center"/>
              <w:rPr>
                <w:sz w:val="16"/>
                <w:szCs w:val="16"/>
              </w:rPr>
            </w:pPr>
          </w:p>
        </w:tc>
        <w:tc>
          <w:tcPr>
            <w:tcW w:w="2835" w:type="dxa"/>
            <w:gridSpan w:val="2"/>
            <w:vMerge w:val="restart"/>
            <w:shd w:val="clear" w:color="auto" w:fill="D9D9D9" w:themeFill="background1" w:themeFillShade="D9"/>
            <w:vAlign w:val="center"/>
          </w:tcPr>
          <w:p w14:paraId="784D27BF" w14:textId="77777777" w:rsidR="008F2269" w:rsidRDefault="008F2269" w:rsidP="002D1362">
            <w:pPr>
              <w:jc w:val="center"/>
              <w:rPr>
                <w:sz w:val="16"/>
                <w:szCs w:val="16"/>
              </w:rPr>
            </w:pPr>
          </w:p>
        </w:tc>
      </w:tr>
      <w:tr w:rsidR="008F2269" w:rsidRPr="002F2FDC" w14:paraId="39315619" w14:textId="77777777" w:rsidTr="002D1362">
        <w:tc>
          <w:tcPr>
            <w:tcW w:w="2908" w:type="dxa"/>
            <w:gridSpan w:val="5"/>
            <w:shd w:val="clear" w:color="auto" w:fill="D9D9D9" w:themeFill="background1" w:themeFillShade="D9"/>
          </w:tcPr>
          <w:p w14:paraId="2B5767E0" w14:textId="77777777" w:rsidR="008F2269" w:rsidRDefault="008F2269" w:rsidP="002D1362">
            <w:pPr>
              <w:rPr>
                <w:sz w:val="16"/>
                <w:szCs w:val="16"/>
              </w:rPr>
            </w:pPr>
            <w:r>
              <w:rPr>
                <w:sz w:val="16"/>
                <w:szCs w:val="16"/>
              </w:rPr>
              <w:t>TOTAL INDICATIF EN MILLIONS D4EUROS</w:t>
            </w:r>
          </w:p>
        </w:tc>
        <w:tc>
          <w:tcPr>
            <w:tcW w:w="2196" w:type="dxa"/>
            <w:shd w:val="clear" w:color="auto" w:fill="D9D9D9" w:themeFill="background1" w:themeFillShade="D9"/>
            <w:vAlign w:val="center"/>
          </w:tcPr>
          <w:p w14:paraId="5338CB59" w14:textId="77777777" w:rsidR="008F2269" w:rsidRDefault="008F2269" w:rsidP="002D1362">
            <w:pPr>
              <w:jc w:val="center"/>
              <w:rPr>
                <w:sz w:val="16"/>
                <w:szCs w:val="16"/>
              </w:rPr>
            </w:pPr>
            <w:r>
              <w:rPr>
                <w:sz w:val="16"/>
                <w:szCs w:val="16"/>
              </w:rPr>
              <w:t>220</w:t>
            </w:r>
          </w:p>
        </w:tc>
        <w:tc>
          <w:tcPr>
            <w:tcW w:w="992" w:type="dxa"/>
            <w:vMerge/>
            <w:shd w:val="clear" w:color="auto" w:fill="D9D9D9" w:themeFill="background1" w:themeFillShade="D9"/>
            <w:vAlign w:val="center"/>
          </w:tcPr>
          <w:p w14:paraId="44DE0068" w14:textId="77777777" w:rsidR="008F2269" w:rsidRDefault="008F2269" w:rsidP="002D1362">
            <w:pPr>
              <w:jc w:val="center"/>
              <w:rPr>
                <w:sz w:val="16"/>
                <w:szCs w:val="16"/>
              </w:rPr>
            </w:pPr>
          </w:p>
        </w:tc>
        <w:tc>
          <w:tcPr>
            <w:tcW w:w="709" w:type="dxa"/>
            <w:vMerge/>
            <w:shd w:val="clear" w:color="auto" w:fill="D9D9D9" w:themeFill="background1" w:themeFillShade="D9"/>
            <w:vAlign w:val="center"/>
          </w:tcPr>
          <w:p w14:paraId="13C25EEA" w14:textId="77777777" w:rsidR="008F2269" w:rsidRDefault="008F2269" w:rsidP="002D1362">
            <w:pPr>
              <w:jc w:val="center"/>
              <w:rPr>
                <w:sz w:val="16"/>
                <w:szCs w:val="16"/>
              </w:rPr>
            </w:pPr>
          </w:p>
        </w:tc>
        <w:tc>
          <w:tcPr>
            <w:tcW w:w="2835" w:type="dxa"/>
            <w:gridSpan w:val="2"/>
            <w:vMerge/>
            <w:shd w:val="clear" w:color="auto" w:fill="D9D9D9" w:themeFill="background1" w:themeFillShade="D9"/>
            <w:vAlign w:val="center"/>
          </w:tcPr>
          <w:p w14:paraId="22BFF546" w14:textId="77777777" w:rsidR="008F2269" w:rsidRDefault="008F2269" w:rsidP="002D1362">
            <w:pPr>
              <w:jc w:val="center"/>
              <w:rPr>
                <w:sz w:val="16"/>
                <w:szCs w:val="16"/>
              </w:rPr>
            </w:pPr>
          </w:p>
        </w:tc>
      </w:tr>
    </w:tbl>
    <w:p w14:paraId="34C0C47D" w14:textId="77777777" w:rsidR="008F2269" w:rsidRDefault="008F2269" w:rsidP="008F2269">
      <w:r>
        <w:t>SNADEA 2022-2030</w:t>
      </w:r>
    </w:p>
    <w:p w14:paraId="623ECD38" w14:textId="77777777" w:rsidR="008F2269" w:rsidRDefault="008F2269" w:rsidP="008F2269">
      <w:r>
        <w:br w:type="page"/>
      </w:r>
    </w:p>
    <w:p w14:paraId="1E53C712" w14:textId="77777777" w:rsidR="008F2269" w:rsidRDefault="008F2269" w:rsidP="008F2269"/>
    <w:p w14:paraId="0F08BC55" w14:textId="77777777" w:rsidR="008F2269" w:rsidRDefault="008F2269" w:rsidP="008F2269">
      <w:r w:rsidRPr="009378E9">
        <w:t>Objectif Spécifique n°3 : Améliorer l’accès à l’assainissement</w:t>
      </w:r>
    </w:p>
    <w:tbl>
      <w:tblPr>
        <w:tblStyle w:val="Grilledutableau"/>
        <w:tblW w:w="9640" w:type="dxa"/>
        <w:tblInd w:w="-34" w:type="dxa"/>
        <w:shd w:val="clear" w:color="auto" w:fill="FFC000"/>
        <w:tblLayout w:type="fixed"/>
        <w:tblLook w:val="04A0" w:firstRow="1" w:lastRow="0" w:firstColumn="1" w:lastColumn="0" w:noHBand="0" w:noVBand="1"/>
      </w:tblPr>
      <w:tblGrid>
        <w:gridCol w:w="993"/>
        <w:gridCol w:w="1146"/>
        <w:gridCol w:w="2256"/>
        <w:gridCol w:w="1701"/>
        <w:gridCol w:w="6"/>
        <w:gridCol w:w="561"/>
        <w:gridCol w:w="1276"/>
        <w:gridCol w:w="1701"/>
      </w:tblGrid>
      <w:tr w:rsidR="008F2269" w:rsidRPr="008308B3" w14:paraId="23A5A3E5" w14:textId="77777777" w:rsidTr="002D1362">
        <w:tc>
          <w:tcPr>
            <w:tcW w:w="993" w:type="dxa"/>
            <w:shd w:val="clear" w:color="auto" w:fill="70AD47" w:themeFill="accent6"/>
          </w:tcPr>
          <w:p w14:paraId="5D2DC498" w14:textId="77777777" w:rsidR="008F2269" w:rsidRPr="00C97088" w:rsidRDefault="008F2269" w:rsidP="002D1362">
            <w:pPr>
              <w:rPr>
                <w:b/>
                <w:bCs/>
                <w:sz w:val="20"/>
                <w:szCs w:val="20"/>
              </w:rPr>
            </w:pPr>
            <w:r w:rsidRPr="00C97088">
              <w:rPr>
                <w:b/>
                <w:bCs/>
                <w:sz w:val="20"/>
                <w:szCs w:val="20"/>
              </w:rPr>
              <w:t>Résultats</w:t>
            </w:r>
          </w:p>
        </w:tc>
        <w:tc>
          <w:tcPr>
            <w:tcW w:w="3402" w:type="dxa"/>
            <w:gridSpan w:val="2"/>
            <w:shd w:val="clear" w:color="auto" w:fill="70AD47" w:themeFill="accent6"/>
          </w:tcPr>
          <w:p w14:paraId="3FDBF281" w14:textId="77777777" w:rsidR="008F2269" w:rsidRPr="00C97088" w:rsidRDefault="008F2269" w:rsidP="002D1362">
            <w:pPr>
              <w:rPr>
                <w:b/>
                <w:bCs/>
                <w:sz w:val="20"/>
                <w:szCs w:val="20"/>
              </w:rPr>
            </w:pPr>
            <w:proofErr w:type="gramStart"/>
            <w:r w:rsidRPr="00C97088">
              <w:rPr>
                <w:b/>
                <w:bCs/>
                <w:sz w:val="20"/>
                <w:szCs w:val="20"/>
              </w:rPr>
              <w:t>activités</w:t>
            </w:r>
            <w:proofErr w:type="gramEnd"/>
          </w:p>
        </w:tc>
        <w:tc>
          <w:tcPr>
            <w:tcW w:w="1701" w:type="dxa"/>
            <w:shd w:val="clear" w:color="auto" w:fill="70AD47" w:themeFill="accent6"/>
          </w:tcPr>
          <w:p w14:paraId="73F31F4B" w14:textId="77777777" w:rsidR="008F2269" w:rsidRPr="00C97088" w:rsidRDefault="008F2269" w:rsidP="002D1362">
            <w:pPr>
              <w:rPr>
                <w:b/>
                <w:bCs/>
                <w:sz w:val="20"/>
                <w:szCs w:val="20"/>
              </w:rPr>
            </w:pPr>
            <w:r w:rsidRPr="00C97088">
              <w:rPr>
                <w:b/>
                <w:bCs/>
                <w:sz w:val="20"/>
                <w:szCs w:val="20"/>
              </w:rPr>
              <w:t>Budget indicatif</w:t>
            </w:r>
          </w:p>
          <w:p w14:paraId="510477AE" w14:textId="77777777" w:rsidR="008F2269" w:rsidRPr="00C97088" w:rsidRDefault="008F2269" w:rsidP="002D1362">
            <w:pPr>
              <w:rPr>
                <w:b/>
                <w:bCs/>
                <w:sz w:val="20"/>
                <w:szCs w:val="20"/>
              </w:rPr>
            </w:pPr>
            <w:r w:rsidRPr="00C97088">
              <w:rPr>
                <w:b/>
                <w:bCs/>
                <w:sz w:val="20"/>
                <w:szCs w:val="20"/>
              </w:rPr>
              <w:t>(MMRU)</w:t>
            </w:r>
          </w:p>
        </w:tc>
        <w:tc>
          <w:tcPr>
            <w:tcW w:w="567" w:type="dxa"/>
            <w:gridSpan w:val="2"/>
            <w:shd w:val="clear" w:color="auto" w:fill="70AD47" w:themeFill="accent6"/>
          </w:tcPr>
          <w:p w14:paraId="33703CBB" w14:textId="77777777" w:rsidR="008F2269" w:rsidRPr="00C97088" w:rsidRDefault="008F2269" w:rsidP="002D1362">
            <w:pPr>
              <w:rPr>
                <w:b/>
                <w:bCs/>
                <w:sz w:val="20"/>
                <w:szCs w:val="20"/>
              </w:rPr>
            </w:pPr>
            <w:r w:rsidRPr="00C97088">
              <w:rPr>
                <w:b/>
                <w:bCs/>
                <w:sz w:val="20"/>
                <w:szCs w:val="20"/>
              </w:rPr>
              <w:t>Priorité</w:t>
            </w:r>
          </w:p>
        </w:tc>
        <w:tc>
          <w:tcPr>
            <w:tcW w:w="1276" w:type="dxa"/>
            <w:shd w:val="clear" w:color="auto" w:fill="70AD47" w:themeFill="accent6"/>
          </w:tcPr>
          <w:p w14:paraId="73D6A8B3" w14:textId="77777777" w:rsidR="008F2269" w:rsidRPr="00C97088" w:rsidRDefault="008F2269" w:rsidP="002D1362">
            <w:pPr>
              <w:rPr>
                <w:b/>
                <w:bCs/>
                <w:sz w:val="20"/>
                <w:szCs w:val="20"/>
              </w:rPr>
            </w:pPr>
            <w:r w:rsidRPr="00C97088">
              <w:rPr>
                <w:b/>
                <w:bCs/>
                <w:sz w:val="20"/>
                <w:szCs w:val="20"/>
              </w:rPr>
              <w:t xml:space="preserve">Indicateurs activités </w:t>
            </w:r>
          </w:p>
        </w:tc>
        <w:tc>
          <w:tcPr>
            <w:tcW w:w="1701" w:type="dxa"/>
            <w:shd w:val="clear" w:color="auto" w:fill="70AD47" w:themeFill="accent6"/>
          </w:tcPr>
          <w:p w14:paraId="0D12C1E8" w14:textId="77777777" w:rsidR="008F2269" w:rsidRPr="00C97088" w:rsidRDefault="008F2269" w:rsidP="002D1362">
            <w:pPr>
              <w:rPr>
                <w:b/>
                <w:bCs/>
                <w:sz w:val="20"/>
                <w:szCs w:val="20"/>
              </w:rPr>
            </w:pPr>
            <w:r w:rsidRPr="00C97088">
              <w:rPr>
                <w:b/>
                <w:bCs/>
                <w:sz w:val="20"/>
                <w:szCs w:val="20"/>
              </w:rPr>
              <w:t>Indicateurs résultats</w:t>
            </w:r>
          </w:p>
        </w:tc>
      </w:tr>
      <w:tr w:rsidR="008F2269" w:rsidRPr="008308B3" w14:paraId="5BF7211B" w14:textId="77777777" w:rsidTr="002D1362">
        <w:tc>
          <w:tcPr>
            <w:tcW w:w="9640" w:type="dxa"/>
            <w:gridSpan w:val="8"/>
            <w:tcBorders>
              <w:left w:val="nil"/>
              <w:right w:val="nil"/>
            </w:tcBorders>
            <w:shd w:val="clear" w:color="auto" w:fill="auto"/>
          </w:tcPr>
          <w:p w14:paraId="248D4E07" w14:textId="77777777" w:rsidR="008F2269" w:rsidRPr="008308B3" w:rsidRDefault="008F2269" w:rsidP="002D1362">
            <w:pPr>
              <w:rPr>
                <w:sz w:val="16"/>
                <w:szCs w:val="16"/>
              </w:rPr>
            </w:pPr>
          </w:p>
        </w:tc>
      </w:tr>
      <w:tr w:rsidR="008F2269" w:rsidRPr="008308B3" w14:paraId="1AC1FFEE" w14:textId="77777777" w:rsidTr="002D1362">
        <w:tc>
          <w:tcPr>
            <w:tcW w:w="993" w:type="dxa"/>
            <w:vMerge w:val="restart"/>
            <w:shd w:val="clear" w:color="auto" w:fill="F2F2F2" w:themeFill="background1" w:themeFillShade="F2"/>
            <w:vAlign w:val="center"/>
          </w:tcPr>
          <w:p w14:paraId="32BDFC59" w14:textId="77777777" w:rsidR="008F2269" w:rsidRPr="006E57DD" w:rsidRDefault="008F2269" w:rsidP="002D1362">
            <w:pPr>
              <w:spacing w:line="276" w:lineRule="auto"/>
              <w:jc w:val="center"/>
              <w:rPr>
                <w:sz w:val="20"/>
                <w:szCs w:val="20"/>
              </w:rPr>
            </w:pPr>
            <w:r w:rsidRPr="006E57DD">
              <w:rPr>
                <w:sz w:val="20"/>
                <w:szCs w:val="20"/>
              </w:rPr>
              <w:t>R3.1 Le taux d’équipement en latrines améliorées est porté à 100% et la défécation à l’air libre est supprimée</w:t>
            </w:r>
          </w:p>
        </w:tc>
        <w:tc>
          <w:tcPr>
            <w:tcW w:w="1146" w:type="dxa"/>
            <w:shd w:val="clear" w:color="auto" w:fill="auto"/>
            <w:vAlign w:val="center"/>
          </w:tcPr>
          <w:p w14:paraId="3D86BF9E" w14:textId="77777777" w:rsidR="008F2269" w:rsidRPr="00B36B6F" w:rsidRDefault="008F2269" w:rsidP="002D1362">
            <w:pPr>
              <w:jc w:val="center"/>
              <w:rPr>
                <w:sz w:val="20"/>
                <w:szCs w:val="20"/>
              </w:rPr>
            </w:pPr>
            <w:r w:rsidRPr="00B36B6F">
              <w:rPr>
                <w:sz w:val="20"/>
                <w:szCs w:val="20"/>
              </w:rPr>
              <w:t>A.3.1.1</w:t>
            </w:r>
          </w:p>
        </w:tc>
        <w:tc>
          <w:tcPr>
            <w:tcW w:w="2256" w:type="dxa"/>
            <w:shd w:val="clear" w:color="auto" w:fill="auto"/>
          </w:tcPr>
          <w:p w14:paraId="7571EFB4" w14:textId="77777777" w:rsidR="008F2269" w:rsidRPr="00AF0E96" w:rsidRDefault="008F2269" w:rsidP="002D1362">
            <w:pPr>
              <w:rPr>
                <w:sz w:val="18"/>
                <w:szCs w:val="18"/>
              </w:rPr>
            </w:pPr>
            <w:r w:rsidRPr="00AF0E96">
              <w:rPr>
                <w:sz w:val="18"/>
                <w:szCs w:val="18"/>
              </w:rPr>
              <w:t>Mettre en œuvre l’ATPC dans 3600 localités</w:t>
            </w:r>
          </w:p>
        </w:tc>
        <w:tc>
          <w:tcPr>
            <w:tcW w:w="1701" w:type="dxa"/>
            <w:shd w:val="clear" w:color="auto" w:fill="auto"/>
            <w:vAlign w:val="center"/>
          </w:tcPr>
          <w:p w14:paraId="2F05CE64" w14:textId="77777777" w:rsidR="008F2269" w:rsidRPr="00AF0E96" w:rsidRDefault="008F2269" w:rsidP="002D1362">
            <w:pPr>
              <w:jc w:val="center"/>
              <w:rPr>
                <w:sz w:val="18"/>
                <w:szCs w:val="18"/>
              </w:rPr>
            </w:pPr>
            <w:r w:rsidRPr="00AF0E96">
              <w:rPr>
                <w:sz w:val="18"/>
                <w:szCs w:val="18"/>
              </w:rPr>
              <w:t>360,0</w:t>
            </w:r>
          </w:p>
        </w:tc>
        <w:tc>
          <w:tcPr>
            <w:tcW w:w="567" w:type="dxa"/>
            <w:gridSpan w:val="2"/>
            <w:shd w:val="clear" w:color="auto" w:fill="auto"/>
            <w:vAlign w:val="center"/>
          </w:tcPr>
          <w:p w14:paraId="0CCBB1DD" w14:textId="77777777" w:rsidR="008F2269" w:rsidRPr="00AF0E96" w:rsidRDefault="008F2269" w:rsidP="002D1362">
            <w:pPr>
              <w:jc w:val="center"/>
              <w:rPr>
                <w:sz w:val="18"/>
                <w:szCs w:val="18"/>
              </w:rPr>
            </w:pPr>
            <w:r w:rsidRPr="00AF0E96">
              <w:rPr>
                <w:sz w:val="18"/>
                <w:szCs w:val="18"/>
              </w:rPr>
              <w:t>1</w:t>
            </w:r>
          </w:p>
        </w:tc>
        <w:tc>
          <w:tcPr>
            <w:tcW w:w="1276" w:type="dxa"/>
            <w:shd w:val="clear" w:color="auto" w:fill="FFFFFF" w:themeFill="background1"/>
            <w:vAlign w:val="center"/>
          </w:tcPr>
          <w:p w14:paraId="7D733576" w14:textId="77777777" w:rsidR="008F2269" w:rsidRPr="00AF0E96" w:rsidRDefault="008F2269" w:rsidP="002D1362">
            <w:pPr>
              <w:jc w:val="center"/>
              <w:rPr>
                <w:sz w:val="18"/>
                <w:szCs w:val="18"/>
              </w:rPr>
            </w:pPr>
            <w:r w:rsidRPr="00AF0E96">
              <w:rPr>
                <w:sz w:val="18"/>
                <w:szCs w:val="18"/>
              </w:rPr>
              <w:t>Nb de localités certifiées FDAL</w:t>
            </w:r>
          </w:p>
        </w:tc>
        <w:tc>
          <w:tcPr>
            <w:tcW w:w="1701" w:type="dxa"/>
            <w:vMerge w:val="restart"/>
            <w:shd w:val="clear" w:color="auto" w:fill="FFFFFF" w:themeFill="background1"/>
            <w:vAlign w:val="center"/>
          </w:tcPr>
          <w:p w14:paraId="47D6E953" w14:textId="77777777" w:rsidR="008F2269" w:rsidRPr="00AF0E96" w:rsidRDefault="008F2269" w:rsidP="002D1362">
            <w:pPr>
              <w:jc w:val="center"/>
              <w:rPr>
                <w:sz w:val="18"/>
                <w:szCs w:val="18"/>
              </w:rPr>
            </w:pPr>
            <w:r w:rsidRPr="00AF0E96">
              <w:rPr>
                <w:sz w:val="18"/>
                <w:szCs w:val="18"/>
              </w:rPr>
              <w:t>Taux de défécation à l’air libre</w:t>
            </w:r>
          </w:p>
        </w:tc>
      </w:tr>
      <w:tr w:rsidR="008F2269" w:rsidRPr="008308B3" w14:paraId="3DF9407A" w14:textId="77777777" w:rsidTr="002D1362">
        <w:tc>
          <w:tcPr>
            <w:tcW w:w="993" w:type="dxa"/>
            <w:vMerge/>
            <w:shd w:val="clear" w:color="auto" w:fill="F2F2F2" w:themeFill="background1" w:themeFillShade="F2"/>
          </w:tcPr>
          <w:p w14:paraId="1F83FAB8" w14:textId="77777777" w:rsidR="008F2269" w:rsidRPr="006E57DD" w:rsidRDefault="008F2269" w:rsidP="002D1362">
            <w:pPr>
              <w:rPr>
                <w:sz w:val="20"/>
                <w:szCs w:val="20"/>
              </w:rPr>
            </w:pPr>
          </w:p>
        </w:tc>
        <w:tc>
          <w:tcPr>
            <w:tcW w:w="1146" w:type="dxa"/>
            <w:shd w:val="clear" w:color="auto" w:fill="auto"/>
            <w:vAlign w:val="center"/>
          </w:tcPr>
          <w:p w14:paraId="25363398" w14:textId="77777777" w:rsidR="008F2269" w:rsidRPr="00B36B6F" w:rsidRDefault="008F2269" w:rsidP="002D1362">
            <w:pPr>
              <w:jc w:val="center"/>
              <w:rPr>
                <w:sz w:val="20"/>
                <w:szCs w:val="20"/>
              </w:rPr>
            </w:pPr>
            <w:r w:rsidRPr="00B36B6F">
              <w:rPr>
                <w:sz w:val="20"/>
                <w:szCs w:val="20"/>
              </w:rPr>
              <w:t>A.3.1.2</w:t>
            </w:r>
          </w:p>
        </w:tc>
        <w:tc>
          <w:tcPr>
            <w:tcW w:w="2256" w:type="dxa"/>
            <w:shd w:val="clear" w:color="auto" w:fill="auto"/>
          </w:tcPr>
          <w:p w14:paraId="2B662463" w14:textId="77777777" w:rsidR="008F2269" w:rsidRPr="00AF0E96" w:rsidRDefault="008F2269" w:rsidP="002D1362">
            <w:pPr>
              <w:jc w:val="both"/>
              <w:rPr>
                <w:sz w:val="18"/>
                <w:szCs w:val="18"/>
              </w:rPr>
            </w:pPr>
            <w:r w:rsidRPr="00AF0E96">
              <w:rPr>
                <w:sz w:val="18"/>
                <w:szCs w:val="18"/>
              </w:rPr>
              <w:t>Mise en œuvre des mesures d’accompagnement post-ATPC dans 4500 localités</w:t>
            </w:r>
          </w:p>
        </w:tc>
        <w:tc>
          <w:tcPr>
            <w:tcW w:w="1701" w:type="dxa"/>
            <w:shd w:val="clear" w:color="auto" w:fill="auto"/>
            <w:vAlign w:val="center"/>
          </w:tcPr>
          <w:p w14:paraId="088EBF76" w14:textId="77777777" w:rsidR="008F2269" w:rsidRPr="00AF0E96" w:rsidRDefault="008F2269" w:rsidP="002D1362">
            <w:pPr>
              <w:jc w:val="center"/>
              <w:rPr>
                <w:sz w:val="18"/>
                <w:szCs w:val="18"/>
              </w:rPr>
            </w:pPr>
            <w:r w:rsidRPr="00AF0E96">
              <w:rPr>
                <w:sz w:val="18"/>
                <w:szCs w:val="18"/>
              </w:rPr>
              <w:t>225,0</w:t>
            </w:r>
          </w:p>
        </w:tc>
        <w:tc>
          <w:tcPr>
            <w:tcW w:w="567" w:type="dxa"/>
            <w:gridSpan w:val="2"/>
            <w:shd w:val="clear" w:color="auto" w:fill="auto"/>
            <w:vAlign w:val="center"/>
          </w:tcPr>
          <w:p w14:paraId="6753CF02" w14:textId="77777777" w:rsidR="008F2269" w:rsidRPr="00AF0E96" w:rsidRDefault="008F2269" w:rsidP="002D1362">
            <w:pPr>
              <w:jc w:val="center"/>
              <w:rPr>
                <w:sz w:val="18"/>
                <w:szCs w:val="18"/>
              </w:rPr>
            </w:pPr>
            <w:r w:rsidRPr="00AF0E96">
              <w:rPr>
                <w:sz w:val="18"/>
                <w:szCs w:val="18"/>
              </w:rPr>
              <w:t>2</w:t>
            </w:r>
          </w:p>
        </w:tc>
        <w:tc>
          <w:tcPr>
            <w:tcW w:w="1276" w:type="dxa"/>
            <w:shd w:val="clear" w:color="auto" w:fill="FFFFFF" w:themeFill="background1"/>
            <w:vAlign w:val="center"/>
          </w:tcPr>
          <w:p w14:paraId="153961F6" w14:textId="77777777" w:rsidR="008F2269" w:rsidRPr="00AF0E96" w:rsidRDefault="008F2269" w:rsidP="002D1362">
            <w:pPr>
              <w:jc w:val="center"/>
              <w:rPr>
                <w:sz w:val="18"/>
                <w:szCs w:val="18"/>
              </w:rPr>
            </w:pPr>
            <w:r w:rsidRPr="00AF0E96">
              <w:rPr>
                <w:sz w:val="18"/>
                <w:szCs w:val="18"/>
              </w:rPr>
              <w:t>Nb de localités concernées</w:t>
            </w:r>
          </w:p>
        </w:tc>
        <w:tc>
          <w:tcPr>
            <w:tcW w:w="1701" w:type="dxa"/>
            <w:vMerge/>
            <w:shd w:val="clear" w:color="auto" w:fill="FFFFFF" w:themeFill="background1"/>
          </w:tcPr>
          <w:p w14:paraId="556FD2DD" w14:textId="77777777" w:rsidR="008F2269" w:rsidRPr="00AF0E96" w:rsidRDefault="008F2269" w:rsidP="002D1362">
            <w:pPr>
              <w:rPr>
                <w:sz w:val="18"/>
                <w:szCs w:val="18"/>
              </w:rPr>
            </w:pPr>
          </w:p>
        </w:tc>
      </w:tr>
      <w:tr w:rsidR="008F2269" w:rsidRPr="008308B3" w14:paraId="79451221" w14:textId="77777777" w:rsidTr="002D1362">
        <w:trPr>
          <w:trHeight w:val="575"/>
        </w:trPr>
        <w:tc>
          <w:tcPr>
            <w:tcW w:w="993" w:type="dxa"/>
            <w:vMerge/>
            <w:tcBorders>
              <w:bottom w:val="single" w:sz="4" w:space="0" w:color="auto"/>
            </w:tcBorders>
            <w:shd w:val="clear" w:color="auto" w:fill="F2F2F2" w:themeFill="background1" w:themeFillShade="F2"/>
          </w:tcPr>
          <w:p w14:paraId="1E2B5A25" w14:textId="77777777" w:rsidR="008F2269" w:rsidRPr="006E57DD" w:rsidRDefault="008F2269" w:rsidP="002D1362">
            <w:pPr>
              <w:rPr>
                <w:sz w:val="20"/>
                <w:szCs w:val="20"/>
              </w:rPr>
            </w:pPr>
          </w:p>
        </w:tc>
        <w:tc>
          <w:tcPr>
            <w:tcW w:w="1146" w:type="dxa"/>
            <w:shd w:val="clear" w:color="auto" w:fill="auto"/>
            <w:vAlign w:val="center"/>
          </w:tcPr>
          <w:p w14:paraId="002DFE69" w14:textId="77777777" w:rsidR="008F2269" w:rsidRPr="00B36B6F" w:rsidRDefault="008F2269" w:rsidP="002D1362">
            <w:pPr>
              <w:jc w:val="center"/>
              <w:rPr>
                <w:sz w:val="20"/>
                <w:szCs w:val="20"/>
              </w:rPr>
            </w:pPr>
            <w:r w:rsidRPr="00B36B6F">
              <w:rPr>
                <w:sz w:val="20"/>
                <w:szCs w:val="20"/>
              </w:rPr>
              <w:t>A.3.1.3</w:t>
            </w:r>
          </w:p>
        </w:tc>
        <w:tc>
          <w:tcPr>
            <w:tcW w:w="2256" w:type="dxa"/>
            <w:shd w:val="clear" w:color="auto" w:fill="auto"/>
          </w:tcPr>
          <w:p w14:paraId="7F85A1C3" w14:textId="77777777" w:rsidR="008F2269" w:rsidRPr="00AF0E96" w:rsidRDefault="008F2269" w:rsidP="002D1362">
            <w:pPr>
              <w:jc w:val="both"/>
              <w:rPr>
                <w:sz w:val="18"/>
                <w:szCs w:val="18"/>
              </w:rPr>
            </w:pPr>
            <w:r w:rsidRPr="00AF0E96">
              <w:rPr>
                <w:sz w:val="18"/>
                <w:szCs w:val="18"/>
              </w:rPr>
              <w:t>Mettre en œuvre l’ATPC et la promotion au lavage des mains dans les zones non raccordables au collectif dans 50 villes</w:t>
            </w:r>
          </w:p>
        </w:tc>
        <w:tc>
          <w:tcPr>
            <w:tcW w:w="1701" w:type="dxa"/>
            <w:shd w:val="clear" w:color="auto" w:fill="auto"/>
            <w:vAlign w:val="center"/>
          </w:tcPr>
          <w:p w14:paraId="449BA8B5" w14:textId="77777777" w:rsidR="008F2269" w:rsidRPr="00AF0E96" w:rsidRDefault="008F2269" w:rsidP="002D1362">
            <w:pPr>
              <w:jc w:val="center"/>
              <w:rPr>
                <w:sz w:val="18"/>
                <w:szCs w:val="18"/>
              </w:rPr>
            </w:pPr>
            <w:r w:rsidRPr="00AF0E96">
              <w:rPr>
                <w:sz w:val="18"/>
                <w:szCs w:val="18"/>
              </w:rPr>
              <w:t>35,0</w:t>
            </w:r>
          </w:p>
        </w:tc>
        <w:tc>
          <w:tcPr>
            <w:tcW w:w="567" w:type="dxa"/>
            <w:gridSpan w:val="2"/>
            <w:shd w:val="clear" w:color="auto" w:fill="auto"/>
            <w:vAlign w:val="center"/>
          </w:tcPr>
          <w:p w14:paraId="22A3FB27" w14:textId="77777777" w:rsidR="008F2269" w:rsidRPr="00AF0E96" w:rsidRDefault="008F2269" w:rsidP="002D1362">
            <w:pPr>
              <w:jc w:val="center"/>
              <w:rPr>
                <w:sz w:val="18"/>
                <w:szCs w:val="18"/>
              </w:rPr>
            </w:pPr>
            <w:r w:rsidRPr="00AF0E96">
              <w:rPr>
                <w:sz w:val="18"/>
                <w:szCs w:val="18"/>
              </w:rPr>
              <w:t>2</w:t>
            </w:r>
          </w:p>
        </w:tc>
        <w:tc>
          <w:tcPr>
            <w:tcW w:w="1276" w:type="dxa"/>
            <w:shd w:val="clear" w:color="auto" w:fill="FFFFFF" w:themeFill="background1"/>
            <w:vAlign w:val="center"/>
          </w:tcPr>
          <w:p w14:paraId="07E6C104" w14:textId="77777777" w:rsidR="008F2269" w:rsidRPr="00AF0E96" w:rsidRDefault="008F2269" w:rsidP="002D1362">
            <w:pPr>
              <w:jc w:val="center"/>
              <w:rPr>
                <w:sz w:val="18"/>
                <w:szCs w:val="18"/>
              </w:rPr>
            </w:pPr>
            <w:r w:rsidRPr="00AF0E96">
              <w:rPr>
                <w:sz w:val="18"/>
                <w:szCs w:val="18"/>
              </w:rPr>
              <w:t>Nb de localités concernées</w:t>
            </w:r>
          </w:p>
        </w:tc>
        <w:tc>
          <w:tcPr>
            <w:tcW w:w="1701" w:type="dxa"/>
            <w:vMerge/>
            <w:shd w:val="clear" w:color="auto" w:fill="FFFFFF" w:themeFill="background1"/>
          </w:tcPr>
          <w:p w14:paraId="3A87729F" w14:textId="77777777" w:rsidR="008F2269" w:rsidRPr="00AF0E96" w:rsidRDefault="008F2269" w:rsidP="002D1362">
            <w:pPr>
              <w:rPr>
                <w:sz w:val="18"/>
                <w:szCs w:val="18"/>
              </w:rPr>
            </w:pPr>
          </w:p>
        </w:tc>
      </w:tr>
      <w:tr w:rsidR="008F2269" w:rsidRPr="008308B3" w14:paraId="3B5294D8" w14:textId="77777777" w:rsidTr="002D1362">
        <w:tc>
          <w:tcPr>
            <w:tcW w:w="9640" w:type="dxa"/>
            <w:gridSpan w:val="8"/>
            <w:tcBorders>
              <w:top w:val="nil"/>
              <w:left w:val="nil"/>
              <w:right w:val="nil"/>
            </w:tcBorders>
            <w:shd w:val="clear" w:color="auto" w:fill="auto"/>
          </w:tcPr>
          <w:p w14:paraId="69D56A0E" w14:textId="77777777" w:rsidR="008F2269" w:rsidRPr="00AF0E96" w:rsidRDefault="008F2269" w:rsidP="002D1362">
            <w:pPr>
              <w:jc w:val="both"/>
              <w:rPr>
                <w:sz w:val="20"/>
                <w:szCs w:val="20"/>
              </w:rPr>
            </w:pPr>
          </w:p>
        </w:tc>
      </w:tr>
      <w:tr w:rsidR="008F2269" w:rsidRPr="008308B3" w14:paraId="338C8B39" w14:textId="77777777" w:rsidTr="002D1362">
        <w:tc>
          <w:tcPr>
            <w:tcW w:w="993" w:type="dxa"/>
            <w:shd w:val="clear" w:color="auto" w:fill="F2F2F2" w:themeFill="background1" w:themeFillShade="F2"/>
          </w:tcPr>
          <w:p w14:paraId="6A2502AD" w14:textId="77777777" w:rsidR="008F2269" w:rsidRPr="006E57DD" w:rsidRDefault="008F2269" w:rsidP="002D1362">
            <w:pPr>
              <w:rPr>
                <w:sz w:val="20"/>
                <w:szCs w:val="20"/>
              </w:rPr>
            </w:pPr>
            <w:r w:rsidRPr="006E57DD">
              <w:rPr>
                <w:sz w:val="20"/>
                <w:szCs w:val="20"/>
              </w:rPr>
              <w:t>R3.2 Tous les équipements d’assainissement autonomes privés disposent d’un dispositif de lavage de main (DLM)</w:t>
            </w:r>
          </w:p>
        </w:tc>
        <w:tc>
          <w:tcPr>
            <w:tcW w:w="1146" w:type="dxa"/>
            <w:shd w:val="clear" w:color="auto" w:fill="auto"/>
          </w:tcPr>
          <w:p w14:paraId="28E48961" w14:textId="77777777" w:rsidR="008F2269" w:rsidRPr="006E57DD" w:rsidRDefault="008F2269" w:rsidP="002D1362">
            <w:pPr>
              <w:rPr>
                <w:sz w:val="20"/>
                <w:szCs w:val="20"/>
              </w:rPr>
            </w:pPr>
            <w:r w:rsidRPr="006E57DD">
              <w:rPr>
                <w:sz w:val="20"/>
                <w:szCs w:val="20"/>
              </w:rPr>
              <w:t>A.3.2.1</w:t>
            </w:r>
          </w:p>
        </w:tc>
        <w:tc>
          <w:tcPr>
            <w:tcW w:w="2256" w:type="dxa"/>
            <w:shd w:val="clear" w:color="auto" w:fill="auto"/>
          </w:tcPr>
          <w:p w14:paraId="6277229B" w14:textId="77777777" w:rsidR="008F2269" w:rsidRPr="006E57DD" w:rsidRDefault="008F2269" w:rsidP="002D1362">
            <w:pPr>
              <w:jc w:val="both"/>
              <w:rPr>
                <w:sz w:val="20"/>
                <w:szCs w:val="20"/>
              </w:rPr>
            </w:pPr>
            <w:r w:rsidRPr="006E57DD">
              <w:rPr>
                <w:sz w:val="20"/>
                <w:szCs w:val="20"/>
              </w:rPr>
              <w:t xml:space="preserve">Réaliser des compagnes de sensibilisation pour la promotion des DLM et du lavage des mains à l’eau et au savon </w:t>
            </w:r>
          </w:p>
        </w:tc>
        <w:tc>
          <w:tcPr>
            <w:tcW w:w="1701" w:type="dxa"/>
            <w:shd w:val="clear" w:color="auto" w:fill="auto"/>
          </w:tcPr>
          <w:p w14:paraId="0F778262" w14:textId="77777777" w:rsidR="008F2269" w:rsidRPr="006E57DD" w:rsidRDefault="008F2269" w:rsidP="002D1362">
            <w:pPr>
              <w:rPr>
                <w:sz w:val="20"/>
                <w:szCs w:val="20"/>
              </w:rPr>
            </w:pPr>
            <w:r w:rsidRPr="006E57DD">
              <w:rPr>
                <w:sz w:val="20"/>
                <w:szCs w:val="20"/>
              </w:rPr>
              <w:t>PM</w:t>
            </w:r>
          </w:p>
        </w:tc>
        <w:tc>
          <w:tcPr>
            <w:tcW w:w="567" w:type="dxa"/>
            <w:gridSpan w:val="2"/>
            <w:shd w:val="clear" w:color="auto" w:fill="auto"/>
          </w:tcPr>
          <w:p w14:paraId="76D1968E" w14:textId="77777777" w:rsidR="008F2269" w:rsidRPr="006E57DD" w:rsidRDefault="008F2269" w:rsidP="002D1362">
            <w:pPr>
              <w:rPr>
                <w:sz w:val="20"/>
                <w:szCs w:val="20"/>
              </w:rPr>
            </w:pPr>
            <w:r w:rsidRPr="006E57DD">
              <w:rPr>
                <w:sz w:val="20"/>
                <w:szCs w:val="20"/>
              </w:rPr>
              <w:t>1</w:t>
            </w:r>
          </w:p>
        </w:tc>
        <w:tc>
          <w:tcPr>
            <w:tcW w:w="1276" w:type="dxa"/>
            <w:shd w:val="clear" w:color="auto" w:fill="FFFFFF" w:themeFill="background1"/>
          </w:tcPr>
          <w:p w14:paraId="6189C530" w14:textId="77777777" w:rsidR="008F2269" w:rsidRPr="006E57DD" w:rsidRDefault="008F2269" w:rsidP="002D1362">
            <w:pPr>
              <w:rPr>
                <w:sz w:val="20"/>
                <w:szCs w:val="20"/>
              </w:rPr>
            </w:pPr>
            <w:r w:rsidRPr="006E57DD">
              <w:rPr>
                <w:sz w:val="20"/>
                <w:szCs w:val="20"/>
              </w:rPr>
              <w:t>ODD 6.2.1b = pop ayant accès à un DLM</w:t>
            </w:r>
          </w:p>
        </w:tc>
        <w:tc>
          <w:tcPr>
            <w:tcW w:w="1701" w:type="dxa"/>
            <w:shd w:val="clear" w:color="auto" w:fill="FFFFFF" w:themeFill="background1"/>
          </w:tcPr>
          <w:p w14:paraId="7D5EA929" w14:textId="77777777" w:rsidR="008F2269" w:rsidRPr="006E57DD" w:rsidRDefault="008F2269" w:rsidP="002D1362">
            <w:pPr>
              <w:rPr>
                <w:sz w:val="20"/>
                <w:szCs w:val="20"/>
              </w:rPr>
            </w:pPr>
            <w:r w:rsidRPr="006E57DD">
              <w:rPr>
                <w:sz w:val="20"/>
                <w:szCs w:val="20"/>
              </w:rPr>
              <w:t xml:space="preserve">Idem </w:t>
            </w:r>
          </w:p>
        </w:tc>
      </w:tr>
      <w:tr w:rsidR="008F2269" w:rsidRPr="008308B3" w14:paraId="0CEE639C" w14:textId="77777777" w:rsidTr="002D1362">
        <w:tc>
          <w:tcPr>
            <w:tcW w:w="9640" w:type="dxa"/>
            <w:gridSpan w:val="8"/>
            <w:tcBorders>
              <w:left w:val="nil"/>
              <w:right w:val="nil"/>
            </w:tcBorders>
            <w:shd w:val="clear" w:color="auto" w:fill="auto"/>
          </w:tcPr>
          <w:p w14:paraId="31C5D0F7" w14:textId="77777777" w:rsidR="008F2269" w:rsidRPr="006E57DD" w:rsidRDefault="008F2269" w:rsidP="002D1362">
            <w:pPr>
              <w:rPr>
                <w:sz w:val="20"/>
                <w:szCs w:val="20"/>
              </w:rPr>
            </w:pPr>
          </w:p>
        </w:tc>
      </w:tr>
      <w:tr w:rsidR="008F2269" w:rsidRPr="008308B3" w14:paraId="59EF7A35" w14:textId="77777777" w:rsidTr="002D1362">
        <w:tc>
          <w:tcPr>
            <w:tcW w:w="993" w:type="dxa"/>
            <w:vMerge w:val="restart"/>
            <w:shd w:val="clear" w:color="auto" w:fill="F2F2F2" w:themeFill="background1" w:themeFillShade="F2"/>
            <w:vAlign w:val="center"/>
          </w:tcPr>
          <w:p w14:paraId="306FFCEA" w14:textId="77777777" w:rsidR="008F2269" w:rsidRPr="006E57DD" w:rsidRDefault="008F2269" w:rsidP="002D1362">
            <w:pPr>
              <w:jc w:val="both"/>
              <w:rPr>
                <w:sz w:val="20"/>
                <w:szCs w:val="20"/>
              </w:rPr>
            </w:pPr>
            <w:r w:rsidRPr="006E57DD">
              <w:rPr>
                <w:sz w:val="20"/>
                <w:szCs w:val="20"/>
              </w:rPr>
              <w:t>R3.3 tous des établissements scolaires et de santé, les marchés et les gares routières sont équipés de latrines aux normes et fonctionnelles</w:t>
            </w:r>
          </w:p>
        </w:tc>
        <w:tc>
          <w:tcPr>
            <w:tcW w:w="1146" w:type="dxa"/>
            <w:shd w:val="clear" w:color="auto" w:fill="auto"/>
          </w:tcPr>
          <w:p w14:paraId="53465B0C" w14:textId="77777777" w:rsidR="008F2269" w:rsidRPr="006E57DD" w:rsidRDefault="008F2269" w:rsidP="002D1362">
            <w:pPr>
              <w:jc w:val="both"/>
              <w:rPr>
                <w:sz w:val="20"/>
                <w:szCs w:val="20"/>
              </w:rPr>
            </w:pPr>
            <w:r w:rsidRPr="006E57DD">
              <w:rPr>
                <w:sz w:val="20"/>
                <w:szCs w:val="20"/>
              </w:rPr>
              <w:t>A.3.3.1</w:t>
            </w:r>
          </w:p>
        </w:tc>
        <w:tc>
          <w:tcPr>
            <w:tcW w:w="2256" w:type="dxa"/>
            <w:shd w:val="clear" w:color="auto" w:fill="auto"/>
          </w:tcPr>
          <w:p w14:paraId="4D1FC47C" w14:textId="77777777" w:rsidR="008F2269" w:rsidRPr="006E57DD" w:rsidRDefault="008F2269" w:rsidP="002D1362">
            <w:pPr>
              <w:rPr>
                <w:sz w:val="20"/>
                <w:szCs w:val="20"/>
              </w:rPr>
            </w:pPr>
            <w:r w:rsidRPr="006E57DD">
              <w:rPr>
                <w:sz w:val="20"/>
                <w:szCs w:val="20"/>
              </w:rPr>
              <w:t>Construire 5120 blocs de latrine dans les établissements scolaires</w:t>
            </w:r>
          </w:p>
        </w:tc>
        <w:tc>
          <w:tcPr>
            <w:tcW w:w="1701" w:type="dxa"/>
            <w:shd w:val="clear" w:color="auto" w:fill="FFFFFF" w:themeFill="background1"/>
          </w:tcPr>
          <w:p w14:paraId="56C19CD1" w14:textId="77777777" w:rsidR="008F2269" w:rsidRPr="006E57DD" w:rsidRDefault="008F2269" w:rsidP="002D1362">
            <w:pPr>
              <w:rPr>
                <w:sz w:val="20"/>
                <w:szCs w:val="20"/>
              </w:rPr>
            </w:pPr>
            <w:r w:rsidRPr="006E57DD">
              <w:rPr>
                <w:sz w:val="20"/>
                <w:szCs w:val="20"/>
              </w:rPr>
              <w:t>1530,0</w:t>
            </w:r>
          </w:p>
        </w:tc>
        <w:tc>
          <w:tcPr>
            <w:tcW w:w="567" w:type="dxa"/>
            <w:gridSpan w:val="2"/>
            <w:shd w:val="clear" w:color="auto" w:fill="FFFFFF" w:themeFill="background1"/>
          </w:tcPr>
          <w:p w14:paraId="5CA9DA9C" w14:textId="77777777" w:rsidR="008F2269" w:rsidRPr="006E57DD" w:rsidRDefault="008F2269" w:rsidP="002D1362">
            <w:pPr>
              <w:rPr>
                <w:sz w:val="20"/>
                <w:szCs w:val="20"/>
              </w:rPr>
            </w:pPr>
            <w:r w:rsidRPr="006E57DD">
              <w:rPr>
                <w:sz w:val="20"/>
                <w:szCs w:val="20"/>
              </w:rPr>
              <w:t>1</w:t>
            </w:r>
          </w:p>
        </w:tc>
        <w:tc>
          <w:tcPr>
            <w:tcW w:w="1276" w:type="dxa"/>
            <w:shd w:val="clear" w:color="auto" w:fill="FFFFFF" w:themeFill="background1"/>
          </w:tcPr>
          <w:p w14:paraId="7B3486F5" w14:textId="77777777" w:rsidR="008F2269" w:rsidRPr="006E57DD" w:rsidRDefault="008F2269" w:rsidP="002D1362">
            <w:pPr>
              <w:rPr>
                <w:sz w:val="20"/>
                <w:szCs w:val="20"/>
              </w:rPr>
            </w:pPr>
            <w:r w:rsidRPr="006E57DD">
              <w:rPr>
                <w:sz w:val="20"/>
                <w:szCs w:val="20"/>
              </w:rPr>
              <w:t>Taux d’écoles disposant de latrines fonctionnelles</w:t>
            </w:r>
          </w:p>
        </w:tc>
        <w:tc>
          <w:tcPr>
            <w:tcW w:w="1701" w:type="dxa"/>
            <w:vMerge w:val="restart"/>
            <w:shd w:val="clear" w:color="auto" w:fill="FFFFFF" w:themeFill="background1"/>
            <w:vAlign w:val="center"/>
          </w:tcPr>
          <w:p w14:paraId="292A619D" w14:textId="77777777" w:rsidR="008F2269" w:rsidRPr="006E57DD" w:rsidRDefault="008F2269" w:rsidP="002D1362">
            <w:pPr>
              <w:jc w:val="center"/>
              <w:rPr>
                <w:sz w:val="20"/>
                <w:szCs w:val="20"/>
              </w:rPr>
            </w:pPr>
            <w:r w:rsidRPr="006E57DD">
              <w:rPr>
                <w:sz w:val="20"/>
                <w:szCs w:val="20"/>
              </w:rPr>
              <w:t>Taux d’ERP disposant de latrines fonctionnelles</w:t>
            </w:r>
          </w:p>
        </w:tc>
      </w:tr>
      <w:tr w:rsidR="008F2269" w:rsidRPr="008308B3" w14:paraId="6116C688" w14:textId="77777777" w:rsidTr="002D1362">
        <w:tc>
          <w:tcPr>
            <w:tcW w:w="993" w:type="dxa"/>
            <w:vMerge/>
            <w:shd w:val="clear" w:color="auto" w:fill="F2F2F2" w:themeFill="background1" w:themeFillShade="F2"/>
          </w:tcPr>
          <w:p w14:paraId="5330299B" w14:textId="77777777" w:rsidR="008F2269" w:rsidRPr="00A375DC" w:rsidRDefault="008F2269" w:rsidP="002D1362">
            <w:pPr>
              <w:jc w:val="both"/>
              <w:rPr>
                <w:sz w:val="20"/>
                <w:szCs w:val="20"/>
              </w:rPr>
            </w:pPr>
          </w:p>
        </w:tc>
        <w:tc>
          <w:tcPr>
            <w:tcW w:w="1146" w:type="dxa"/>
            <w:shd w:val="clear" w:color="auto" w:fill="FFFFFF" w:themeFill="background1"/>
          </w:tcPr>
          <w:p w14:paraId="79B8FDCA" w14:textId="77777777" w:rsidR="008F2269" w:rsidRPr="00A375DC" w:rsidRDefault="008F2269" w:rsidP="002D1362">
            <w:pPr>
              <w:jc w:val="both"/>
              <w:rPr>
                <w:sz w:val="20"/>
                <w:szCs w:val="20"/>
              </w:rPr>
            </w:pPr>
            <w:r w:rsidRPr="00A375DC">
              <w:rPr>
                <w:sz w:val="20"/>
                <w:szCs w:val="20"/>
              </w:rPr>
              <w:t>A.3.3.2</w:t>
            </w:r>
          </w:p>
        </w:tc>
        <w:tc>
          <w:tcPr>
            <w:tcW w:w="2256" w:type="dxa"/>
            <w:shd w:val="clear" w:color="auto" w:fill="FFFFFF" w:themeFill="background1"/>
          </w:tcPr>
          <w:p w14:paraId="48ED3075" w14:textId="3A14C6FD" w:rsidR="008F2269" w:rsidRPr="00A375DC" w:rsidRDefault="00BB5F8F" w:rsidP="002D1362">
            <w:pPr>
              <w:jc w:val="both"/>
              <w:rPr>
                <w:sz w:val="20"/>
                <w:szCs w:val="20"/>
              </w:rPr>
            </w:pPr>
            <w:r w:rsidRPr="00A375DC">
              <w:rPr>
                <w:sz w:val="20"/>
                <w:szCs w:val="20"/>
              </w:rPr>
              <w:t>Construire 580</w:t>
            </w:r>
            <w:r w:rsidR="008F2269" w:rsidRPr="00A375DC">
              <w:rPr>
                <w:sz w:val="20"/>
                <w:szCs w:val="20"/>
              </w:rPr>
              <w:t xml:space="preserve"> blocs de latrines dans les établissements de soins</w:t>
            </w:r>
          </w:p>
        </w:tc>
        <w:tc>
          <w:tcPr>
            <w:tcW w:w="1701" w:type="dxa"/>
            <w:shd w:val="clear" w:color="auto" w:fill="FFFFFF" w:themeFill="background1"/>
          </w:tcPr>
          <w:p w14:paraId="4E68DEEE" w14:textId="77777777" w:rsidR="008F2269" w:rsidRPr="00A375DC" w:rsidRDefault="008F2269" w:rsidP="002D1362">
            <w:pPr>
              <w:rPr>
                <w:sz w:val="20"/>
                <w:szCs w:val="20"/>
              </w:rPr>
            </w:pPr>
            <w:r w:rsidRPr="00A375DC">
              <w:rPr>
                <w:sz w:val="20"/>
                <w:szCs w:val="20"/>
              </w:rPr>
              <w:t>173,0</w:t>
            </w:r>
          </w:p>
        </w:tc>
        <w:tc>
          <w:tcPr>
            <w:tcW w:w="567" w:type="dxa"/>
            <w:gridSpan w:val="2"/>
            <w:shd w:val="clear" w:color="auto" w:fill="FFFFFF" w:themeFill="background1"/>
          </w:tcPr>
          <w:p w14:paraId="283D35EA" w14:textId="77777777" w:rsidR="008F2269" w:rsidRPr="00A375DC" w:rsidRDefault="008F2269" w:rsidP="002D1362">
            <w:pPr>
              <w:rPr>
                <w:sz w:val="20"/>
                <w:szCs w:val="20"/>
              </w:rPr>
            </w:pPr>
            <w:r w:rsidRPr="00A375DC">
              <w:rPr>
                <w:sz w:val="20"/>
                <w:szCs w:val="20"/>
              </w:rPr>
              <w:t>1</w:t>
            </w:r>
          </w:p>
        </w:tc>
        <w:tc>
          <w:tcPr>
            <w:tcW w:w="1276" w:type="dxa"/>
            <w:shd w:val="clear" w:color="auto" w:fill="FFFFFF" w:themeFill="background1"/>
          </w:tcPr>
          <w:p w14:paraId="4F4A2999" w14:textId="77777777" w:rsidR="008F2269" w:rsidRPr="00A375DC" w:rsidRDefault="008F2269" w:rsidP="002D1362">
            <w:pPr>
              <w:rPr>
                <w:sz w:val="20"/>
                <w:szCs w:val="20"/>
              </w:rPr>
            </w:pPr>
            <w:r w:rsidRPr="00A375DC">
              <w:rPr>
                <w:sz w:val="20"/>
                <w:szCs w:val="20"/>
              </w:rPr>
              <w:t>Taux de postes/centres de santé disposant de latrines fonctionnelles</w:t>
            </w:r>
          </w:p>
        </w:tc>
        <w:tc>
          <w:tcPr>
            <w:tcW w:w="1701" w:type="dxa"/>
            <w:vMerge/>
            <w:shd w:val="clear" w:color="auto" w:fill="FFFFFF" w:themeFill="background1"/>
          </w:tcPr>
          <w:p w14:paraId="6B2AB962" w14:textId="77777777" w:rsidR="008F2269" w:rsidRPr="00C97088" w:rsidRDefault="008F2269" w:rsidP="002D1362">
            <w:pPr>
              <w:rPr>
                <w:b/>
                <w:bCs/>
                <w:sz w:val="18"/>
                <w:szCs w:val="18"/>
              </w:rPr>
            </w:pPr>
          </w:p>
        </w:tc>
      </w:tr>
      <w:tr w:rsidR="008F2269" w:rsidRPr="008308B3" w14:paraId="12D7EA79" w14:textId="77777777" w:rsidTr="002D1362">
        <w:tc>
          <w:tcPr>
            <w:tcW w:w="993" w:type="dxa"/>
            <w:vMerge/>
            <w:shd w:val="clear" w:color="auto" w:fill="F2F2F2" w:themeFill="background1" w:themeFillShade="F2"/>
          </w:tcPr>
          <w:p w14:paraId="41CB38D5" w14:textId="77777777" w:rsidR="008F2269" w:rsidRPr="00A375DC" w:rsidRDefault="008F2269" w:rsidP="002D1362">
            <w:pPr>
              <w:jc w:val="both"/>
              <w:rPr>
                <w:sz w:val="20"/>
                <w:szCs w:val="20"/>
              </w:rPr>
            </w:pPr>
          </w:p>
        </w:tc>
        <w:tc>
          <w:tcPr>
            <w:tcW w:w="1146" w:type="dxa"/>
            <w:shd w:val="clear" w:color="auto" w:fill="FFFFFF" w:themeFill="background1"/>
          </w:tcPr>
          <w:p w14:paraId="2C500CA9" w14:textId="77777777" w:rsidR="008F2269" w:rsidRPr="00A375DC" w:rsidRDefault="008F2269" w:rsidP="002D1362">
            <w:pPr>
              <w:jc w:val="both"/>
              <w:rPr>
                <w:sz w:val="20"/>
                <w:szCs w:val="20"/>
              </w:rPr>
            </w:pPr>
            <w:r w:rsidRPr="00A375DC">
              <w:rPr>
                <w:sz w:val="20"/>
                <w:szCs w:val="20"/>
              </w:rPr>
              <w:t>A.3.3.3</w:t>
            </w:r>
          </w:p>
        </w:tc>
        <w:tc>
          <w:tcPr>
            <w:tcW w:w="2256" w:type="dxa"/>
            <w:shd w:val="clear" w:color="auto" w:fill="FFFFFF" w:themeFill="background1"/>
          </w:tcPr>
          <w:p w14:paraId="16027B99" w14:textId="77777777" w:rsidR="008F2269" w:rsidRPr="00A375DC" w:rsidRDefault="008F2269" w:rsidP="002D1362">
            <w:pPr>
              <w:jc w:val="both"/>
              <w:rPr>
                <w:sz w:val="20"/>
                <w:szCs w:val="20"/>
              </w:rPr>
            </w:pPr>
            <w:r w:rsidRPr="00A375DC">
              <w:rPr>
                <w:sz w:val="20"/>
                <w:szCs w:val="20"/>
              </w:rPr>
              <w:t>Construire 200 blocs de latrines dans les marchés et les gares routières</w:t>
            </w:r>
          </w:p>
        </w:tc>
        <w:tc>
          <w:tcPr>
            <w:tcW w:w="1701" w:type="dxa"/>
            <w:shd w:val="clear" w:color="auto" w:fill="FFFFFF" w:themeFill="background1"/>
          </w:tcPr>
          <w:p w14:paraId="784C6C01" w14:textId="77777777" w:rsidR="008F2269" w:rsidRPr="00A375DC" w:rsidRDefault="008F2269" w:rsidP="002D1362">
            <w:pPr>
              <w:rPr>
                <w:sz w:val="20"/>
                <w:szCs w:val="20"/>
              </w:rPr>
            </w:pPr>
            <w:r w:rsidRPr="00A375DC">
              <w:rPr>
                <w:sz w:val="20"/>
                <w:szCs w:val="20"/>
              </w:rPr>
              <w:t>50,0</w:t>
            </w:r>
          </w:p>
        </w:tc>
        <w:tc>
          <w:tcPr>
            <w:tcW w:w="567" w:type="dxa"/>
            <w:gridSpan w:val="2"/>
            <w:shd w:val="clear" w:color="auto" w:fill="FFFFFF" w:themeFill="background1"/>
          </w:tcPr>
          <w:p w14:paraId="26D850E2" w14:textId="77777777" w:rsidR="008F2269" w:rsidRPr="00A375DC" w:rsidRDefault="008F2269" w:rsidP="002D1362">
            <w:pPr>
              <w:rPr>
                <w:sz w:val="20"/>
                <w:szCs w:val="20"/>
              </w:rPr>
            </w:pPr>
            <w:r w:rsidRPr="00A375DC">
              <w:rPr>
                <w:sz w:val="20"/>
                <w:szCs w:val="20"/>
              </w:rPr>
              <w:t>1</w:t>
            </w:r>
          </w:p>
        </w:tc>
        <w:tc>
          <w:tcPr>
            <w:tcW w:w="1276" w:type="dxa"/>
            <w:shd w:val="clear" w:color="auto" w:fill="FFFFFF" w:themeFill="background1"/>
          </w:tcPr>
          <w:p w14:paraId="53A3C4F1" w14:textId="77777777" w:rsidR="008F2269" w:rsidRPr="00A375DC" w:rsidRDefault="008F2269" w:rsidP="002D1362">
            <w:pPr>
              <w:rPr>
                <w:sz w:val="20"/>
                <w:szCs w:val="20"/>
              </w:rPr>
            </w:pPr>
            <w:r w:rsidRPr="00A375DC">
              <w:rPr>
                <w:sz w:val="20"/>
                <w:szCs w:val="20"/>
              </w:rPr>
              <w:t>Taux des autres ERP disposant de latrines fonctionnelles</w:t>
            </w:r>
          </w:p>
        </w:tc>
        <w:tc>
          <w:tcPr>
            <w:tcW w:w="1701" w:type="dxa"/>
            <w:vMerge/>
            <w:shd w:val="clear" w:color="auto" w:fill="FFFFFF" w:themeFill="background1"/>
          </w:tcPr>
          <w:p w14:paraId="4CC73F65" w14:textId="77777777" w:rsidR="008F2269" w:rsidRPr="00C97088" w:rsidRDefault="008F2269" w:rsidP="002D1362">
            <w:pPr>
              <w:rPr>
                <w:b/>
                <w:bCs/>
                <w:sz w:val="18"/>
                <w:szCs w:val="18"/>
              </w:rPr>
            </w:pPr>
          </w:p>
        </w:tc>
      </w:tr>
      <w:tr w:rsidR="008F2269" w:rsidRPr="008308B3" w14:paraId="53FADAB1" w14:textId="77777777" w:rsidTr="002D1362">
        <w:tc>
          <w:tcPr>
            <w:tcW w:w="9640" w:type="dxa"/>
            <w:gridSpan w:val="8"/>
            <w:tcBorders>
              <w:left w:val="nil"/>
              <w:right w:val="nil"/>
            </w:tcBorders>
            <w:shd w:val="clear" w:color="auto" w:fill="FFFFFF" w:themeFill="background1"/>
          </w:tcPr>
          <w:p w14:paraId="004AE333" w14:textId="77777777" w:rsidR="008F2269" w:rsidRPr="00C97088" w:rsidRDefault="008F2269" w:rsidP="002D1362">
            <w:pPr>
              <w:rPr>
                <w:b/>
                <w:bCs/>
                <w:sz w:val="18"/>
                <w:szCs w:val="18"/>
              </w:rPr>
            </w:pPr>
          </w:p>
        </w:tc>
      </w:tr>
      <w:tr w:rsidR="008F2269" w:rsidRPr="008308B3" w14:paraId="1BF4F22C" w14:textId="77777777" w:rsidTr="002D1362">
        <w:tc>
          <w:tcPr>
            <w:tcW w:w="993" w:type="dxa"/>
            <w:vMerge w:val="restart"/>
            <w:shd w:val="clear" w:color="auto" w:fill="F2F2F2" w:themeFill="background1" w:themeFillShade="F2"/>
          </w:tcPr>
          <w:p w14:paraId="59A496DC" w14:textId="77777777" w:rsidR="008F2269" w:rsidRPr="00222AFE" w:rsidRDefault="008F2269" w:rsidP="002D1362">
            <w:pPr>
              <w:jc w:val="both"/>
              <w:rPr>
                <w:sz w:val="20"/>
                <w:szCs w:val="20"/>
              </w:rPr>
            </w:pPr>
            <w:r w:rsidRPr="00222AFE">
              <w:rPr>
                <w:sz w:val="20"/>
                <w:szCs w:val="20"/>
              </w:rPr>
              <w:t>R3.4 En milieu urbain, le taux de collecte et de traitement des boues de vidange est porté à 50%</w:t>
            </w:r>
          </w:p>
        </w:tc>
        <w:tc>
          <w:tcPr>
            <w:tcW w:w="1146" w:type="dxa"/>
            <w:shd w:val="clear" w:color="auto" w:fill="FFFFFF" w:themeFill="background1"/>
          </w:tcPr>
          <w:p w14:paraId="1A3C66FE" w14:textId="77777777" w:rsidR="008F2269" w:rsidRPr="00222AFE" w:rsidRDefault="008F2269" w:rsidP="002D1362">
            <w:pPr>
              <w:jc w:val="both"/>
              <w:rPr>
                <w:sz w:val="20"/>
                <w:szCs w:val="20"/>
              </w:rPr>
            </w:pPr>
            <w:r w:rsidRPr="00222AFE">
              <w:rPr>
                <w:sz w:val="20"/>
                <w:szCs w:val="20"/>
              </w:rPr>
              <w:t>A.3.4.1</w:t>
            </w:r>
          </w:p>
        </w:tc>
        <w:tc>
          <w:tcPr>
            <w:tcW w:w="2256" w:type="dxa"/>
            <w:shd w:val="clear" w:color="auto" w:fill="FFFFFF" w:themeFill="background1"/>
          </w:tcPr>
          <w:p w14:paraId="1A47D56C" w14:textId="77777777" w:rsidR="008F2269" w:rsidRPr="00634169" w:rsidRDefault="008F2269" w:rsidP="002D1362">
            <w:pPr>
              <w:jc w:val="both"/>
              <w:rPr>
                <w:sz w:val="20"/>
                <w:szCs w:val="20"/>
              </w:rPr>
            </w:pPr>
            <w:r w:rsidRPr="00634169">
              <w:rPr>
                <w:sz w:val="20"/>
                <w:szCs w:val="20"/>
              </w:rPr>
              <w:t>Réaliser une étude sur la vidange et traitement des boues pour les villes de Nktt, Nouadhibou, Kiffa, Kaédi et Rosso</w:t>
            </w:r>
          </w:p>
        </w:tc>
        <w:tc>
          <w:tcPr>
            <w:tcW w:w="1701" w:type="dxa"/>
            <w:shd w:val="clear" w:color="auto" w:fill="FFFFFF" w:themeFill="background1"/>
            <w:vAlign w:val="center"/>
          </w:tcPr>
          <w:p w14:paraId="50D35E16" w14:textId="77777777" w:rsidR="008F2269" w:rsidRPr="008162CA" w:rsidRDefault="008F2269" w:rsidP="002D1362">
            <w:pPr>
              <w:jc w:val="center"/>
              <w:rPr>
                <w:sz w:val="20"/>
                <w:szCs w:val="20"/>
              </w:rPr>
            </w:pPr>
            <w:r w:rsidRPr="008162CA">
              <w:rPr>
                <w:sz w:val="20"/>
                <w:szCs w:val="20"/>
              </w:rPr>
              <w:t>11,0</w:t>
            </w:r>
          </w:p>
        </w:tc>
        <w:tc>
          <w:tcPr>
            <w:tcW w:w="567" w:type="dxa"/>
            <w:gridSpan w:val="2"/>
            <w:shd w:val="clear" w:color="auto" w:fill="FFFFFF" w:themeFill="background1"/>
            <w:vAlign w:val="center"/>
          </w:tcPr>
          <w:p w14:paraId="57CD4144" w14:textId="77777777" w:rsidR="008F2269" w:rsidRPr="008162CA" w:rsidRDefault="008F2269" w:rsidP="002D1362">
            <w:pPr>
              <w:jc w:val="center"/>
              <w:rPr>
                <w:sz w:val="20"/>
                <w:szCs w:val="20"/>
              </w:rPr>
            </w:pPr>
            <w:r w:rsidRPr="008162CA">
              <w:rPr>
                <w:sz w:val="20"/>
                <w:szCs w:val="20"/>
              </w:rPr>
              <w:t>1</w:t>
            </w:r>
          </w:p>
        </w:tc>
        <w:tc>
          <w:tcPr>
            <w:tcW w:w="1276" w:type="dxa"/>
            <w:shd w:val="clear" w:color="auto" w:fill="FFFFFF" w:themeFill="background1"/>
          </w:tcPr>
          <w:p w14:paraId="784DAE48" w14:textId="77777777" w:rsidR="008F2269" w:rsidRPr="008162CA" w:rsidRDefault="008F2269" w:rsidP="002D1362">
            <w:pPr>
              <w:rPr>
                <w:sz w:val="20"/>
                <w:szCs w:val="20"/>
              </w:rPr>
            </w:pPr>
            <w:r w:rsidRPr="008162CA">
              <w:rPr>
                <w:sz w:val="20"/>
                <w:szCs w:val="20"/>
              </w:rPr>
              <w:t>Etude réalisée</w:t>
            </w:r>
          </w:p>
        </w:tc>
        <w:tc>
          <w:tcPr>
            <w:tcW w:w="1701" w:type="dxa"/>
            <w:vMerge w:val="restart"/>
            <w:shd w:val="clear" w:color="auto" w:fill="FFFFFF" w:themeFill="background1"/>
            <w:vAlign w:val="center"/>
          </w:tcPr>
          <w:p w14:paraId="57240587" w14:textId="77777777" w:rsidR="008F2269" w:rsidRPr="00634169" w:rsidRDefault="008F2269" w:rsidP="002D1362">
            <w:pPr>
              <w:jc w:val="center"/>
              <w:rPr>
                <w:sz w:val="18"/>
                <w:szCs w:val="18"/>
              </w:rPr>
            </w:pPr>
            <w:r w:rsidRPr="00634169">
              <w:rPr>
                <w:sz w:val="18"/>
                <w:szCs w:val="18"/>
              </w:rPr>
              <w:t>Taux de collecte</w:t>
            </w:r>
          </w:p>
        </w:tc>
      </w:tr>
      <w:tr w:rsidR="008F2269" w:rsidRPr="008308B3" w14:paraId="0A1B3E68" w14:textId="77777777" w:rsidTr="002D1362">
        <w:tc>
          <w:tcPr>
            <w:tcW w:w="993" w:type="dxa"/>
            <w:vMerge/>
            <w:shd w:val="clear" w:color="auto" w:fill="F2F2F2" w:themeFill="background1" w:themeFillShade="F2"/>
          </w:tcPr>
          <w:p w14:paraId="1EFB4B91" w14:textId="77777777" w:rsidR="008F2269" w:rsidRPr="00222AFE" w:rsidRDefault="008F2269" w:rsidP="002D1362">
            <w:pPr>
              <w:jc w:val="both"/>
              <w:rPr>
                <w:sz w:val="20"/>
                <w:szCs w:val="20"/>
              </w:rPr>
            </w:pPr>
          </w:p>
        </w:tc>
        <w:tc>
          <w:tcPr>
            <w:tcW w:w="1146" w:type="dxa"/>
            <w:shd w:val="clear" w:color="auto" w:fill="FFFFFF" w:themeFill="background1"/>
          </w:tcPr>
          <w:p w14:paraId="298EBB64" w14:textId="77777777" w:rsidR="008F2269" w:rsidRPr="00222AFE" w:rsidRDefault="008F2269" w:rsidP="002D1362">
            <w:pPr>
              <w:jc w:val="both"/>
              <w:rPr>
                <w:sz w:val="20"/>
                <w:szCs w:val="20"/>
              </w:rPr>
            </w:pPr>
            <w:r w:rsidRPr="00222AFE">
              <w:rPr>
                <w:sz w:val="20"/>
                <w:szCs w:val="20"/>
              </w:rPr>
              <w:t>A.3.4.2</w:t>
            </w:r>
          </w:p>
        </w:tc>
        <w:tc>
          <w:tcPr>
            <w:tcW w:w="2256" w:type="dxa"/>
            <w:shd w:val="clear" w:color="auto" w:fill="FFFFFF" w:themeFill="background1"/>
          </w:tcPr>
          <w:p w14:paraId="63B7AA44" w14:textId="77777777" w:rsidR="008F2269" w:rsidRPr="00634169" w:rsidRDefault="008F2269" w:rsidP="002D1362">
            <w:pPr>
              <w:rPr>
                <w:sz w:val="20"/>
                <w:szCs w:val="20"/>
              </w:rPr>
            </w:pPr>
            <w:r w:rsidRPr="00634169">
              <w:rPr>
                <w:sz w:val="20"/>
                <w:szCs w:val="20"/>
              </w:rPr>
              <w:t>Mettre en place du système de collecte, des stations de dépotage et traitement à Nouakchott, Nouadhibou et Rosso</w:t>
            </w:r>
          </w:p>
        </w:tc>
        <w:tc>
          <w:tcPr>
            <w:tcW w:w="1701" w:type="dxa"/>
            <w:shd w:val="clear" w:color="auto" w:fill="FFFFFF" w:themeFill="background1"/>
            <w:vAlign w:val="center"/>
          </w:tcPr>
          <w:p w14:paraId="180BE2B9" w14:textId="77777777" w:rsidR="008F2269" w:rsidRPr="008162CA" w:rsidRDefault="008F2269" w:rsidP="002D1362">
            <w:pPr>
              <w:jc w:val="center"/>
              <w:rPr>
                <w:sz w:val="20"/>
                <w:szCs w:val="20"/>
              </w:rPr>
            </w:pPr>
            <w:r w:rsidRPr="008162CA">
              <w:rPr>
                <w:sz w:val="20"/>
                <w:szCs w:val="20"/>
              </w:rPr>
              <w:t>126,0</w:t>
            </w:r>
          </w:p>
        </w:tc>
        <w:tc>
          <w:tcPr>
            <w:tcW w:w="567" w:type="dxa"/>
            <w:gridSpan w:val="2"/>
            <w:shd w:val="clear" w:color="auto" w:fill="FFFFFF" w:themeFill="background1"/>
            <w:vAlign w:val="center"/>
          </w:tcPr>
          <w:p w14:paraId="1B059BE4" w14:textId="77777777" w:rsidR="008F2269" w:rsidRPr="008162CA" w:rsidRDefault="008F2269" w:rsidP="002D1362">
            <w:pPr>
              <w:jc w:val="center"/>
              <w:rPr>
                <w:sz w:val="20"/>
                <w:szCs w:val="20"/>
              </w:rPr>
            </w:pPr>
            <w:r w:rsidRPr="008162CA">
              <w:rPr>
                <w:sz w:val="20"/>
                <w:szCs w:val="20"/>
              </w:rPr>
              <w:t>2</w:t>
            </w:r>
          </w:p>
        </w:tc>
        <w:tc>
          <w:tcPr>
            <w:tcW w:w="1276" w:type="dxa"/>
            <w:shd w:val="clear" w:color="auto" w:fill="FFFFFF" w:themeFill="background1"/>
          </w:tcPr>
          <w:p w14:paraId="413A34A6" w14:textId="77777777" w:rsidR="008F2269" w:rsidRPr="008162CA" w:rsidRDefault="008F2269" w:rsidP="002D1362">
            <w:pPr>
              <w:rPr>
                <w:sz w:val="20"/>
                <w:szCs w:val="20"/>
              </w:rPr>
            </w:pPr>
            <w:r w:rsidRPr="008162CA">
              <w:rPr>
                <w:sz w:val="20"/>
                <w:szCs w:val="20"/>
              </w:rPr>
              <w:t>Etude réalisée</w:t>
            </w:r>
          </w:p>
        </w:tc>
        <w:tc>
          <w:tcPr>
            <w:tcW w:w="1701" w:type="dxa"/>
            <w:vMerge/>
            <w:shd w:val="clear" w:color="auto" w:fill="FFFFFF" w:themeFill="background1"/>
          </w:tcPr>
          <w:p w14:paraId="71028E55" w14:textId="77777777" w:rsidR="008F2269" w:rsidRPr="00C97088" w:rsidRDefault="008F2269" w:rsidP="002D1362">
            <w:pPr>
              <w:rPr>
                <w:b/>
                <w:bCs/>
                <w:sz w:val="18"/>
                <w:szCs w:val="18"/>
              </w:rPr>
            </w:pPr>
          </w:p>
        </w:tc>
      </w:tr>
      <w:tr w:rsidR="008F2269" w:rsidRPr="008308B3" w14:paraId="7362FF68" w14:textId="77777777" w:rsidTr="002D1362">
        <w:tc>
          <w:tcPr>
            <w:tcW w:w="9640" w:type="dxa"/>
            <w:gridSpan w:val="8"/>
            <w:tcBorders>
              <w:left w:val="nil"/>
              <w:right w:val="nil"/>
            </w:tcBorders>
            <w:shd w:val="clear" w:color="auto" w:fill="FFFFFF" w:themeFill="background1"/>
          </w:tcPr>
          <w:p w14:paraId="5235C212" w14:textId="77777777" w:rsidR="008F2269" w:rsidRPr="00C97088" w:rsidRDefault="008F2269" w:rsidP="002D1362">
            <w:pPr>
              <w:rPr>
                <w:b/>
                <w:bCs/>
                <w:sz w:val="18"/>
                <w:szCs w:val="18"/>
              </w:rPr>
            </w:pPr>
          </w:p>
        </w:tc>
      </w:tr>
      <w:tr w:rsidR="008F2269" w:rsidRPr="008308B3" w14:paraId="24C1E463" w14:textId="77777777" w:rsidTr="002D1362">
        <w:tc>
          <w:tcPr>
            <w:tcW w:w="993" w:type="dxa"/>
            <w:vMerge w:val="restart"/>
            <w:shd w:val="clear" w:color="auto" w:fill="F2F2F2" w:themeFill="background1" w:themeFillShade="F2"/>
          </w:tcPr>
          <w:p w14:paraId="37ED34F0" w14:textId="77777777" w:rsidR="008F2269" w:rsidRPr="00080CE5" w:rsidRDefault="008F2269" w:rsidP="002D1362">
            <w:pPr>
              <w:jc w:val="both"/>
              <w:rPr>
                <w:sz w:val="20"/>
                <w:szCs w:val="20"/>
              </w:rPr>
            </w:pPr>
            <w:r w:rsidRPr="00080CE5">
              <w:rPr>
                <w:sz w:val="20"/>
                <w:szCs w:val="20"/>
              </w:rPr>
              <w:t>R3.5 Le taux de collecte des eaux usées est porté à 50% dans les zones urbaines raccordables à l’assainissement des eaux usées collectif</w:t>
            </w:r>
          </w:p>
        </w:tc>
        <w:tc>
          <w:tcPr>
            <w:tcW w:w="1146" w:type="dxa"/>
            <w:shd w:val="clear" w:color="auto" w:fill="FFFFFF" w:themeFill="background1"/>
          </w:tcPr>
          <w:p w14:paraId="2214B448" w14:textId="77777777" w:rsidR="008F2269" w:rsidRPr="00080CE5" w:rsidRDefault="008F2269" w:rsidP="002D1362">
            <w:pPr>
              <w:jc w:val="both"/>
              <w:rPr>
                <w:sz w:val="20"/>
                <w:szCs w:val="20"/>
              </w:rPr>
            </w:pPr>
            <w:r w:rsidRPr="00080CE5">
              <w:rPr>
                <w:sz w:val="20"/>
                <w:szCs w:val="20"/>
              </w:rPr>
              <w:t>A.3.5.1</w:t>
            </w:r>
          </w:p>
        </w:tc>
        <w:tc>
          <w:tcPr>
            <w:tcW w:w="2256" w:type="dxa"/>
            <w:shd w:val="clear" w:color="auto" w:fill="FFFFFF" w:themeFill="background1"/>
          </w:tcPr>
          <w:p w14:paraId="0F54E083" w14:textId="77777777" w:rsidR="008F2269" w:rsidRPr="00080CE5" w:rsidRDefault="008F2269" w:rsidP="002D1362">
            <w:pPr>
              <w:jc w:val="both"/>
              <w:rPr>
                <w:sz w:val="20"/>
                <w:szCs w:val="20"/>
              </w:rPr>
            </w:pPr>
            <w:r w:rsidRPr="00080CE5">
              <w:rPr>
                <w:sz w:val="20"/>
                <w:szCs w:val="20"/>
              </w:rPr>
              <w:t xml:space="preserve">Réaliser les PDA manquants de Zouérate, Atar, </w:t>
            </w:r>
            <w:proofErr w:type="spellStart"/>
            <w:r w:rsidRPr="00080CE5">
              <w:rPr>
                <w:sz w:val="20"/>
                <w:szCs w:val="20"/>
              </w:rPr>
              <w:t>Selibaby</w:t>
            </w:r>
            <w:proofErr w:type="spellEnd"/>
            <w:r w:rsidRPr="00080CE5">
              <w:rPr>
                <w:sz w:val="20"/>
                <w:szCs w:val="20"/>
              </w:rPr>
              <w:t xml:space="preserve"> et Tidjikja et mettre à jour les PDA de 5 villes</w:t>
            </w:r>
          </w:p>
        </w:tc>
        <w:tc>
          <w:tcPr>
            <w:tcW w:w="1701" w:type="dxa"/>
            <w:shd w:val="clear" w:color="auto" w:fill="FFFFFF" w:themeFill="background1"/>
            <w:vAlign w:val="center"/>
          </w:tcPr>
          <w:p w14:paraId="4635B777" w14:textId="77777777" w:rsidR="008F2269" w:rsidRPr="00080CE5" w:rsidRDefault="008F2269" w:rsidP="002D1362">
            <w:pPr>
              <w:jc w:val="both"/>
              <w:rPr>
                <w:sz w:val="20"/>
                <w:szCs w:val="20"/>
              </w:rPr>
            </w:pPr>
            <w:r w:rsidRPr="00080CE5">
              <w:rPr>
                <w:sz w:val="20"/>
                <w:szCs w:val="20"/>
              </w:rPr>
              <w:t>40,0</w:t>
            </w:r>
          </w:p>
        </w:tc>
        <w:tc>
          <w:tcPr>
            <w:tcW w:w="567" w:type="dxa"/>
            <w:gridSpan w:val="2"/>
            <w:shd w:val="clear" w:color="auto" w:fill="FFFFFF" w:themeFill="background1"/>
            <w:vAlign w:val="center"/>
          </w:tcPr>
          <w:p w14:paraId="15CC1AB6" w14:textId="77777777" w:rsidR="008F2269" w:rsidRPr="00080CE5" w:rsidRDefault="008F2269" w:rsidP="002D1362">
            <w:pPr>
              <w:jc w:val="both"/>
              <w:rPr>
                <w:sz w:val="20"/>
                <w:szCs w:val="20"/>
              </w:rPr>
            </w:pPr>
            <w:r w:rsidRPr="00080CE5">
              <w:rPr>
                <w:sz w:val="20"/>
                <w:szCs w:val="20"/>
              </w:rPr>
              <w:t>1</w:t>
            </w:r>
          </w:p>
        </w:tc>
        <w:tc>
          <w:tcPr>
            <w:tcW w:w="1276" w:type="dxa"/>
            <w:shd w:val="clear" w:color="auto" w:fill="FFFFFF" w:themeFill="background1"/>
          </w:tcPr>
          <w:p w14:paraId="522980B9" w14:textId="77777777" w:rsidR="008F2269" w:rsidRPr="00080CE5" w:rsidRDefault="008F2269" w:rsidP="002D1362">
            <w:pPr>
              <w:jc w:val="both"/>
              <w:rPr>
                <w:sz w:val="20"/>
                <w:szCs w:val="20"/>
              </w:rPr>
            </w:pPr>
            <w:r w:rsidRPr="00080CE5">
              <w:rPr>
                <w:sz w:val="20"/>
                <w:szCs w:val="20"/>
              </w:rPr>
              <w:t>Nb de PDA réalisés</w:t>
            </w:r>
          </w:p>
        </w:tc>
        <w:tc>
          <w:tcPr>
            <w:tcW w:w="1701" w:type="dxa"/>
            <w:vMerge w:val="restart"/>
            <w:shd w:val="clear" w:color="auto" w:fill="FFFFFF" w:themeFill="background1"/>
            <w:vAlign w:val="center"/>
          </w:tcPr>
          <w:p w14:paraId="1D3C136C" w14:textId="77777777" w:rsidR="008F2269" w:rsidRPr="00080CE5" w:rsidRDefault="008F2269" w:rsidP="002D1362">
            <w:pPr>
              <w:jc w:val="both"/>
              <w:rPr>
                <w:sz w:val="20"/>
                <w:szCs w:val="20"/>
              </w:rPr>
            </w:pPr>
            <w:r w:rsidRPr="00080CE5">
              <w:rPr>
                <w:sz w:val="20"/>
                <w:szCs w:val="20"/>
              </w:rPr>
              <w:t>Taux de collecte</w:t>
            </w:r>
          </w:p>
        </w:tc>
      </w:tr>
      <w:tr w:rsidR="008F2269" w:rsidRPr="008308B3" w14:paraId="761E93B1" w14:textId="77777777" w:rsidTr="002D1362">
        <w:tc>
          <w:tcPr>
            <w:tcW w:w="993" w:type="dxa"/>
            <w:vMerge/>
            <w:shd w:val="clear" w:color="auto" w:fill="F2F2F2" w:themeFill="background1" w:themeFillShade="F2"/>
          </w:tcPr>
          <w:p w14:paraId="3D636EC0" w14:textId="77777777" w:rsidR="008F2269" w:rsidRPr="00080CE5" w:rsidRDefault="008F2269" w:rsidP="002D1362">
            <w:pPr>
              <w:jc w:val="both"/>
              <w:rPr>
                <w:sz w:val="20"/>
                <w:szCs w:val="20"/>
              </w:rPr>
            </w:pPr>
          </w:p>
        </w:tc>
        <w:tc>
          <w:tcPr>
            <w:tcW w:w="1146" w:type="dxa"/>
            <w:shd w:val="clear" w:color="auto" w:fill="FFFFFF" w:themeFill="background1"/>
          </w:tcPr>
          <w:p w14:paraId="2A9C8BDA" w14:textId="77777777" w:rsidR="008F2269" w:rsidRPr="00080CE5" w:rsidRDefault="008F2269" w:rsidP="002D1362">
            <w:pPr>
              <w:jc w:val="both"/>
              <w:rPr>
                <w:sz w:val="20"/>
                <w:szCs w:val="20"/>
              </w:rPr>
            </w:pPr>
            <w:r w:rsidRPr="00080CE5">
              <w:rPr>
                <w:sz w:val="20"/>
                <w:szCs w:val="20"/>
              </w:rPr>
              <w:t>A.3.5.2</w:t>
            </w:r>
          </w:p>
        </w:tc>
        <w:tc>
          <w:tcPr>
            <w:tcW w:w="2256" w:type="dxa"/>
            <w:shd w:val="clear" w:color="auto" w:fill="FFFFFF" w:themeFill="background1"/>
          </w:tcPr>
          <w:p w14:paraId="52ADE457" w14:textId="77777777" w:rsidR="008F2269" w:rsidRPr="00080CE5" w:rsidRDefault="008F2269" w:rsidP="002D1362">
            <w:pPr>
              <w:jc w:val="both"/>
              <w:rPr>
                <w:sz w:val="20"/>
                <w:szCs w:val="20"/>
              </w:rPr>
            </w:pPr>
            <w:r w:rsidRPr="00080CE5">
              <w:rPr>
                <w:sz w:val="20"/>
                <w:szCs w:val="20"/>
              </w:rPr>
              <w:t>Réaliser des réseaux d’assainissement et station de traitement de Nouakchott et Nouadhibou</w:t>
            </w:r>
          </w:p>
        </w:tc>
        <w:tc>
          <w:tcPr>
            <w:tcW w:w="1701" w:type="dxa"/>
            <w:shd w:val="clear" w:color="auto" w:fill="FFFFFF" w:themeFill="background1"/>
            <w:vAlign w:val="center"/>
          </w:tcPr>
          <w:p w14:paraId="741DB5A5" w14:textId="77777777" w:rsidR="008F2269" w:rsidRPr="00080CE5" w:rsidRDefault="008F2269" w:rsidP="002D1362">
            <w:pPr>
              <w:jc w:val="both"/>
              <w:rPr>
                <w:sz w:val="20"/>
                <w:szCs w:val="20"/>
              </w:rPr>
            </w:pPr>
            <w:r w:rsidRPr="00080CE5">
              <w:rPr>
                <w:sz w:val="20"/>
                <w:szCs w:val="20"/>
              </w:rPr>
              <w:t>6570</w:t>
            </w:r>
          </w:p>
        </w:tc>
        <w:tc>
          <w:tcPr>
            <w:tcW w:w="567" w:type="dxa"/>
            <w:gridSpan w:val="2"/>
            <w:shd w:val="clear" w:color="auto" w:fill="FFFFFF" w:themeFill="background1"/>
            <w:vAlign w:val="center"/>
          </w:tcPr>
          <w:p w14:paraId="32CE6531" w14:textId="77777777" w:rsidR="008F2269" w:rsidRPr="00080CE5" w:rsidRDefault="008F2269" w:rsidP="002D1362">
            <w:pPr>
              <w:jc w:val="both"/>
              <w:rPr>
                <w:sz w:val="20"/>
                <w:szCs w:val="20"/>
              </w:rPr>
            </w:pPr>
            <w:r w:rsidRPr="00080CE5">
              <w:rPr>
                <w:sz w:val="20"/>
                <w:szCs w:val="20"/>
              </w:rPr>
              <w:t>1</w:t>
            </w:r>
          </w:p>
        </w:tc>
        <w:tc>
          <w:tcPr>
            <w:tcW w:w="1276" w:type="dxa"/>
            <w:shd w:val="clear" w:color="auto" w:fill="FFFFFF" w:themeFill="background1"/>
          </w:tcPr>
          <w:p w14:paraId="330CD228" w14:textId="77777777" w:rsidR="008F2269" w:rsidRPr="00080CE5" w:rsidRDefault="008F2269" w:rsidP="002D1362">
            <w:pPr>
              <w:jc w:val="both"/>
              <w:rPr>
                <w:sz w:val="20"/>
                <w:szCs w:val="20"/>
              </w:rPr>
            </w:pPr>
            <w:r w:rsidRPr="00080CE5">
              <w:rPr>
                <w:sz w:val="20"/>
                <w:szCs w:val="20"/>
              </w:rPr>
              <w:t xml:space="preserve">Nb </w:t>
            </w:r>
            <w:proofErr w:type="gramStart"/>
            <w:r w:rsidRPr="00080CE5">
              <w:rPr>
                <w:sz w:val="20"/>
                <w:szCs w:val="20"/>
              </w:rPr>
              <w:t>d’hab;</w:t>
            </w:r>
            <w:proofErr w:type="gramEnd"/>
            <w:r w:rsidRPr="00080CE5">
              <w:rPr>
                <w:sz w:val="20"/>
                <w:szCs w:val="20"/>
              </w:rPr>
              <w:t xml:space="preserve"> raccordés/nb d’hab raccordables</w:t>
            </w:r>
          </w:p>
        </w:tc>
        <w:tc>
          <w:tcPr>
            <w:tcW w:w="1701" w:type="dxa"/>
            <w:vMerge/>
            <w:shd w:val="clear" w:color="auto" w:fill="FFFFFF" w:themeFill="background1"/>
          </w:tcPr>
          <w:p w14:paraId="0DE71BB4" w14:textId="77777777" w:rsidR="008F2269" w:rsidRPr="00080CE5" w:rsidRDefault="008F2269" w:rsidP="002D1362">
            <w:pPr>
              <w:jc w:val="both"/>
              <w:rPr>
                <w:sz w:val="20"/>
                <w:szCs w:val="20"/>
              </w:rPr>
            </w:pPr>
          </w:p>
        </w:tc>
      </w:tr>
      <w:tr w:rsidR="008F2269" w:rsidRPr="008308B3" w14:paraId="51503D69" w14:textId="77777777" w:rsidTr="002D1362">
        <w:tc>
          <w:tcPr>
            <w:tcW w:w="9640" w:type="dxa"/>
            <w:gridSpan w:val="8"/>
            <w:tcBorders>
              <w:left w:val="nil"/>
              <w:right w:val="nil"/>
            </w:tcBorders>
            <w:shd w:val="clear" w:color="auto" w:fill="FFFFFF" w:themeFill="background1"/>
          </w:tcPr>
          <w:p w14:paraId="0E14DC33" w14:textId="77777777" w:rsidR="008F2269" w:rsidRPr="00080CE5" w:rsidRDefault="008F2269" w:rsidP="002D1362">
            <w:pPr>
              <w:jc w:val="both"/>
              <w:rPr>
                <w:sz w:val="20"/>
                <w:szCs w:val="20"/>
              </w:rPr>
            </w:pPr>
          </w:p>
        </w:tc>
      </w:tr>
      <w:tr w:rsidR="008F2269" w:rsidRPr="008308B3" w14:paraId="2E5062D8" w14:textId="77777777" w:rsidTr="002D1362">
        <w:tc>
          <w:tcPr>
            <w:tcW w:w="993" w:type="dxa"/>
            <w:tcBorders>
              <w:bottom w:val="single" w:sz="4" w:space="0" w:color="auto"/>
            </w:tcBorders>
            <w:shd w:val="clear" w:color="auto" w:fill="F2F2F2" w:themeFill="background1" w:themeFillShade="F2"/>
          </w:tcPr>
          <w:p w14:paraId="0E50B76B" w14:textId="77777777" w:rsidR="008F2269" w:rsidRPr="00080CE5" w:rsidRDefault="008F2269" w:rsidP="002D1362">
            <w:pPr>
              <w:jc w:val="both"/>
              <w:rPr>
                <w:sz w:val="20"/>
                <w:szCs w:val="20"/>
              </w:rPr>
            </w:pPr>
            <w:r w:rsidRPr="00080CE5">
              <w:rPr>
                <w:sz w:val="20"/>
                <w:szCs w:val="20"/>
              </w:rPr>
              <w:t>R3.6 Le taux de collecte des eaux pluviales est porté à 50% dans les zones urbaines raccordables à l’assainissement pluvial collectif</w:t>
            </w:r>
          </w:p>
        </w:tc>
        <w:tc>
          <w:tcPr>
            <w:tcW w:w="1146" w:type="dxa"/>
            <w:shd w:val="clear" w:color="auto" w:fill="FFFFFF" w:themeFill="background1"/>
            <w:vAlign w:val="center"/>
          </w:tcPr>
          <w:p w14:paraId="49994848" w14:textId="77777777" w:rsidR="008F2269" w:rsidRPr="00080CE5" w:rsidRDefault="008F2269" w:rsidP="002D1362">
            <w:pPr>
              <w:jc w:val="both"/>
              <w:rPr>
                <w:sz w:val="20"/>
                <w:szCs w:val="20"/>
              </w:rPr>
            </w:pPr>
            <w:r w:rsidRPr="00080CE5">
              <w:rPr>
                <w:sz w:val="20"/>
                <w:szCs w:val="20"/>
              </w:rPr>
              <w:t>A.3.6.1</w:t>
            </w:r>
          </w:p>
        </w:tc>
        <w:tc>
          <w:tcPr>
            <w:tcW w:w="2256" w:type="dxa"/>
            <w:shd w:val="clear" w:color="auto" w:fill="FFFFFF" w:themeFill="background1"/>
          </w:tcPr>
          <w:p w14:paraId="1876C5C7" w14:textId="77777777" w:rsidR="008F2269" w:rsidRPr="00080CE5" w:rsidRDefault="008F2269" w:rsidP="002D1362">
            <w:pPr>
              <w:jc w:val="both"/>
              <w:rPr>
                <w:sz w:val="20"/>
                <w:szCs w:val="20"/>
              </w:rPr>
            </w:pPr>
            <w:r w:rsidRPr="00080CE5">
              <w:rPr>
                <w:sz w:val="20"/>
                <w:szCs w:val="20"/>
              </w:rPr>
              <w:t>Réaliser ou étendre les réseaux d’assainissement pluvial de Nouakchott, Kiffa, Rosso, Tintane et Atar (80 km)</w:t>
            </w:r>
          </w:p>
        </w:tc>
        <w:tc>
          <w:tcPr>
            <w:tcW w:w="1701" w:type="dxa"/>
            <w:shd w:val="clear" w:color="auto" w:fill="FFFFFF" w:themeFill="background1"/>
            <w:vAlign w:val="center"/>
          </w:tcPr>
          <w:p w14:paraId="1F8E320B" w14:textId="77777777" w:rsidR="008F2269" w:rsidRPr="00080CE5" w:rsidRDefault="008F2269" w:rsidP="002D1362">
            <w:pPr>
              <w:jc w:val="both"/>
              <w:rPr>
                <w:sz w:val="20"/>
                <w:szCs w:val="20"/>
              </w:rPr>
            </w:pPr>
            <w:r w:rsidRPr="00080CE5">
              <w:rPr>
                <w:sz w:val="20"/>
                <w:szCs w:val="20"/>
              </w:rPr>
              <w:t>6400</w:t>
            </w:r>
          </w:p>
        </w:tc>
        <w:tc>
          <w:tcPr>
            <w:tcW w:w="567" w:type="dxa"/>
            <w:gridSpan w:val="2"/>
            <w:shd w:val="clear" w:color="auto" w:fill="FFFFFF" w:themeFill="background1"/>
            <w:vAlign w:val="center"/>
          </w:tcPr>
          <w:p w14:paraId="2D22A62A" w14:textId="77777777" w:rsidR="008F2269" w:rsidRPr="00080CE5" w:rsidRDefault="008F2269" w:rsidP="002D1362">
            <w:pPr>
              <w:jc w:val="both"/>
              <w:rPr>
                <w:sz w:val="20"/>
                <w:szCs w:val="20"/>
              </w:rPr>
            </w:pPr>
            <w:r w:rsidRPr="00080CE5">
              <w:rPr>
                <w:sz w:val="20"/>
                <w:szCs w:val="20"/>
              </w:rPr>
              <w:t>1</w:t>
            </w:r>
          </w:p>
        </w:tc>
        <w:tc>
          <w:tcPr>
            <w:tcW w:w="1276" w:type="dxa"/>
            <w:shd w:val="clear" w:color="auto" w:fill="FFFFFF" w:themeFill="background1"/>
            <w:vAlign w:val="center"/>
          </w:tcPr>
          <w:p w14:paraId="254D6EC1" w14:textId="77777777" w:rsidR="008F2269" w:rsidRPr="00080CE5" w:rsidRDefault="008F2269" w:rsidP="002D1362">
            <w:pPr>
              <w:jc w:val="both"/>
              <w:rPr>
                <w:sz w:val="20"/>
                <w:szCs w:val="20"/>
              </w:rPr>
            </w:pPr>
            <w:r w:rsidRPr="00080CE5">
              <w:rPr>
                <w:sz w:val="20"/>
                <w:szCs w:val="20"/>
              </w:rPr>
              <w:t>Nb de km de réseau réalisés</w:t>
            </w:r>
          </w:p>
        </w:tc>
        <w:tc>
          <w:tcPr>
            <w:tcW w:w="1701" w:type="dxa"/>
            <w:shd w:val="clear" w:color="auto" w:fill="FFFFFF" w:themeFill="background1"/>
            <w:vAlign w:val="center"/>
          </w:tcPr>
          <w:p w14:paraId="269E9F42" w14:textId="77777777" w:rsidR="008F2269" w:rsidRPr="00080CE5" w:rsidRDefault="008F2269" w:rsidP="002D1362">
            <w:pPr>
              <w:jc w:val="both"/>
              <w:rPr>
                <w:sz w:val="20"/>
                <w:szCs w:val="20"/>
              </w:rPr>
            </w:pPr>
            <w:r w:rsidRPr="00080CE5">
              <w:rPr>
                <w:sz w:val="20"/>
                <w:szCs w:val="20"/>
              </w:rPr>
              <w:t>Taux de collecte</w:t>
            </w:r>
          </w:p>
        </w:tc>
      </w:tr>
      <w:tr w:rsidR="008F2269" w:rsidRPr="008308B3" w14:paraId="050D89B6" w14:textId="77777777" w:rsidTr="002D1362">
        <w:tc>
          <w:tcPr>
            <w:tcW w:w="9640" w:type="dxa"/>
            <w:gridSpan w:val="8"/>
            <w:tcBorders>
              <w:top w:val="nil"/>
              <w:left w:val="nil"/>
              <w:right w:val="nil"/>
            </w:tcBorders>
            <w:shd w:val="clear" w:color="auto" w:fill="FFFFFF" w:themeFill="background1"/>
          </w:tcPr>
          <w:p w14:paraId="5CECD754" w14:textId="77777777" w:rsidR="008F2269" w:rsidRPr="00080CE5" w:rsidRDefault="008F2269" w:rsidP="002D1362">
            <w:pPr>
              <w:jc w:val="both"/>
              <w:rPr>
                <w:sz w:val="20"/>
                <w:szCs w:val="20"/>
              </w:rPr>
            </w:pPr>
          </w:p>
        </w:tc>
      </w:tr>
      <w:tr w:rsidR="008F2269" w:rsidRPr="008308B3" w14:paraId="3131B403" w14:textId="77777777" w:rsidTr="002D1362">
        <w:tc>
          <w:tcPr>
            <w:tcW w:w="993" w:type="dxa"/>
            <w:vMerge w:val="restart"/>
            <w:shd w:val="clear" w:color="auto" w:fill="F2F2F2" w:themeFill="background1" w:themeFillShade="F2"/>
          </w:tcPr>
          <w:p w14:paraId="7368B693" w14:textId="77777777" w:rsidR="008F2269" w:rsidRPr="00080CE5" w:rsidRDefault="008F2269" w:rsidP="002D1362">
            <w:pPr>
              <w:jc w:val="both"/>
              <w:rPr>
                <w:sz w:val="20"/>
                <w:szCs w:val="20"/>
              </w:rPr>
            </w:pPr>
            <w:r w:rsidRPr="00080CE5">
              <w:rPr>
                <w:sz w:val="20"/>
                <w:szCs w:val="20"/>
              </w:rPr>
              <w:t>R3.7 50% des eaux usées traitées de Nouakchott et Nouadhibou sont réutilisées</w:t>
            </w:r>
          </w:p>
        </w:tc>
        <w:tc>
          <w:tcPr>
            <w:tcW w:w="1146" w:type="dxa"/>
            <w:shd w:val="clear" w:color="auto" w:fill="FFFFFF" w:themeFill="background1"/>
          </w:tcPr>
          <w:p w14:paraId="13310CBB" w14:textId="77777777" w:rsidR="008F2269" w:rsidRPr="00080CE5" w:rsidRDefault="008F2269" w:rsidP="002D1362">
            <w:pPr>
              <w:jc w:val="both"/>
              <w:rPr>
                <w:sz w:val="20"/>
                <w:szCs w:val="20"/>
              </w:rPr>
            </w:pPr>
            <w:r w:rsidRPr="00080CE5">
              <w:rPr>
                <w:sz w:val="20"/>
                <w:szCs w:val="20"/>
              </w:rPr>
              <w:t>A.7.3.1</w:t>
            </w:r>
          </w:p>
        </w:tc>
        <w:tc>
          <w:tcPr>
            <w:tcW w:w="2256" w:type="dxa"/>
            <w:shd w:val="clear" w:color="auto" w:fill="FFFFFF" w:themeFill="background1"/>
          </w:tcPr>
          <w:p w14:paraId="5BC227FD" w14:textId="77777777" w:rsidR="008F2269" w:rsidRPr="00080CE5" w:rsidRDefault="008F2269" w:rsidP="002D1362">
            <w:pPr>
              <w:jc w:val="both"/>
              <w:rPr>
                <w:sz w:val="20"/>
                <w:szCs w:val="20"/>
              </w:rPr>
            </w:pPr>
            <w:r w:rsidRPr="00080CE5">
              <w:rPr>
                <w:sz w:val="20"/>
                <w:szCs w:val="20"/>
              </w:rPr>
              <w:t>Réaliser une étude sur la réutilisation des eaux traitées</w:t>
            </w:r>
          </w:p>
        </w:tc>
        <w:tc>
          <w:tcPr>
            <w:tcW w:w="1701" w:type="dxa"/>
            <w:shd w:val="clear" w:color="auto" w:fill="FFFFFF" w:themeFill="background1"/>
          </w:tcPr>
          <w:p w14:paraId="42850EBE" w14:textId="77777777" w:rsidR="008F2269" w:rsidRPr="00080CE5" w:rsidRDefault="008F2269" w:rsidP="002D1362">
            <w:pPr>
              <w:jc w:val="both"/>
              <w:rPr>
                <w:sz w:val="20"/>
                <w:szCs w:val="20"/>
              </w:rPr>
            </w:pPr>
            <w:r w:rsidRPr="00080CE5">
              <w:rPr>
                <w:sz w:val="20"/>
                <w:szCs w:val="20"/>
              </w:rPr>
              <w:t>6,0</w:t>
            </w:r>
          </w:p>
        </w:tc>
        <w:tc>
          <w:tcPr>
            <w:tcW w:w="567" w:type="dxa"/>
            <w:gridSpan w:val="2"/>
            <w:shd w:val="clear" w:color="auto" w:fill="FFFFFF" w:themeFill="background1"/>
          </w:tcPr>
          <w:p w14:paraId="05937634" w14:textId="77777777" w:rsidR="008F2269" w:rsidRPr="00080CE5" w:rsidRDefault="008F2269" w:rsidP="002D1362">
            <w:pPr>
              <w:jc w:val="both"/>
              <w:rPr>
                <w:sz w:val="20"/>
                <w:szCs w:val="20"/>
              </w:rPr>
            </w:pPr>
            <w:r w:rsidRPr="00080CE5">
              <w:rPr>
                <w:sz w:val="20"/>
                <w:szCs w:val="20"/>
              </w:rPr>
              <w:t>1</w:t>
            </w:r>
          </w:p>
        </w:tc>
        <w:tc>
          <w:tcPr>
            <w:tcW w:w="1276" w:type="dxa"/>
            <w:shd w:val="clear" w:color="auto" w:fill="FFFFFF" w:themeFill="background1"/>
          </w:tcPr>
          <w:p w14:paraId="052A60F1" w14:textId="77777777" w:rsidR="008F2269" w:rsidRPr="00080CE5" w:rsidRDefault="008F2269" w:rsidP="002D1362">
            <w:pPr>
              <w:jc w:val="both"/>
              <w:rPr>
                <w:sz w:val="20"/>
                <w:szCs w:val="20"/>
              </w:rPr>
            </w:pPr>
            <w:r w:rsidRPr="00080CE5">
              <w:rPr>
                <w:sz w:val="20"/>
                <w:szCs w:val="20"/>
              </w:rPr>
              <w:t>% d’avancement</w:t>
            </w:r>
          </w:p>
        </w:tc>
        <w:tc>
          <w:tcPr>
            <w:tcW w:w="1701" w:type="dxa"/>
            <w:vMerge w:val="restart"/>
            <w:shd w:val="clear" w:color="auto" w:fill="FFFFFF" w:themeFill="background1"/>
          </w:tcPr>
          <w:p w14:paraId="45D5ABEE" w14:textId="77777777" w:rsidR="008F2269" w:rsidRPr="00080CE5" w:rsidRDefault="008F2269" w:rsidP="002D1362">
            <w:pPr>
              <w:jc w:val="both"/>
              <w:rPr>
                <w:sz w:val="20"/>
                <w:szCs w:val="20"/>
              </w:rPr>
            </w:pPr>
            <w:r w:rsidRPr="00080CE5">
              <w:rPr>
                <w:sz w:val="20"/>
                <w:szCs w:val="20"/>
              </w:rPr>
              <w:t>% des eaux usées traitées réutilisées</w:t>
            </w:r>
          </w:p>
        </w:tc>
      </w:tr>
      <w:tr w:rsidR="008F2269" w:rsidRPr="008308B3" w14:paraId="24627145" w14:textId="77777777" w:rsidTr="002D1362">
        <w:tc>
          <w:tcPr>
            <w:tcW w:w="993" w:type="dxa"/>
            <w:vMerge/>
            <w:shd w:val="clear" w:color="auto" w:fill="F2F2F2" w:themeFill="background1" w:themeFillShade="F2"/>
          </w:tcPr>
          <w:p w14:paraId="5AD395CE" w14:textId="77777777" w:rsidR="008F2269" w:rsidRPr="00080CE5" w:rsidRDefault="008F2269" w:rsidP="002D1362">
            <w:pPr>
              <w:jc w:val="both"/>
              <w:rPr>
                <w:sz w:val="20"/>
                <w:szCs w:val="20"/>
              </w:rPr>
            </w:pPr>
          </w:p>
        </w:tc>
        <w:tc>
          <w:tcPr>
            <w:tcW w:w="1146" w:type="dxa"/>
            <w:shd w:val="clear" w:color="auto" w:fill="FFFFFF" w:themeFill="background1"/>
          </w:tcPr>
          <w:p w14:paraId="0226DAF4" w14:textId="77777777" w:rsidR="008F2269" w:rsidRPr="00080CE5" w:rsidRDefault="008F2269" w:rsidP="002D1362">
            <w:pPr>
              <w:jc w:val="both"/>
              <w:rPr>
                <w:sz w:val="20"/>
                <w:szCs w:val="20"/>
              </w:rPr>
            </w:pPr>
            <w:r w:rsidRPr="00080CE5">
              <w:rPr>
                <w:sz w:val="20"/>
                <w:szCs w:val="20"/>
              </w:rPr>
              <w:t>A.7.3.2</w:t>
            </w:r>
          </w:p>
        </w:tc>
        <w:tc>
          <w:tcPr>
            <w:tcW w:w="2256" w:type="dxa"/>
            <w:shd w:val="clear" w:color="auto" w:fill="FFFFFF" w:themeFill="background1"/>
          </w:tcPr>
          <w:p w14:paraId="27AA7153" w14:textId="77777777" w:rsidR="008F2269" w:rsidRPr="00080CE5" w:rsidRDefault="008F2269" w:rsidP="002D1362">
            <w:pPr>
              <w:jc w:val="both"/>
              <w:rPr>
                <w:sz w:val="20"/>
                <w:szCs w:val="20"/>
              </w:rPr>
            </w:pPr>
            <w:r w:rsidRPr="00080CE5">
              <w:rPr>
                <w:sz w:val="20"/>
                <w:szCs w:val="20"/>
              </w:rPr>
              <w:t>Réaliser 3 projets pilote de valorisation des eaux usées traitées</w:t>
            </w:r>
          </w:p>
        </w:tc>
        <w:tc>
          <w:tcPr>
            <w:tcW w:w="1707" w:type="dxa"/>
            <w:gridSpan w:val="2"/>
            <w:shd w:val="clear" w:color="auto" w:fill="FFFFFF" w:themeFill="background1"/>
          </w:tcPr>
          <w:p w14:paraId="50CA36D9" w14:textId="77777777" w:rsidR="008F2269" w:rsidRPr="00080CE5" w:rsidRDefault="008F2269" w:rsidP="002D1362">
            <w:pPr>
              <w:jc w:val="both"/>
              <w:rPr>
                <w:sz w:val="20"/>
                <w:szCs w:val="20"/>
              </w:rPr>
            </w:pPr>
            <w:r w:rsidRPr="00080CE5">
              <w:rPr>
                <w:sz w:val="20"/>
                <w:szCs w:val="20"/>
              </w:rPr>
              <w:t>50,0</w:t>
            </w:r>
          </w:p>
          <w:p w14:paraId="78A70E6D" w14:textId="77777777" w:rsidR="008F2269" w:rsidRPr="00080CE5" w:rsidRDefault="008F2269" w:rsidP="002D1362">
            <w:pPr>
              <w:jc w:val="both"/>
              <w:rPr>
                <w:sz w:val="20"/>
                <w:szCs w:val="20"/>
              </w:rPr>
            </w:pPr>
          </w:p>
        </w:tc>
        <w:tc>
          <w:tcPr>
            <w:tcW w:w="561" w:type="dxa"/>
            <w:shd w:val="clear" w:color="auto" w:fill="FFFFFF" w:themeFill="background1"/>
          </w:tcPr>
          <w:p w14:paraId="3BE16582" w14:textId="77777777" w:rsidR="008F2269" w:rsidRPr="00080CE5" w:rsidRDefault="008F2269" w:rsidP="002D1362">
            <w:pPr>
              <w:jc w:val="both"/>
              <w:rPr>
                <w:sz w:val="20"/>
                <w:szCs w:val="20"/>
              </w:rPr>
            </w:pPr>
          </w:p>
          <w:p w14:paraId="50FFF415" w14:textId="77777777" w:rsidR="008F2269" w:rsidRPr="00080CE5" w:rsidRDefault="008F2269" w:rsidP="002D1362">
            <w:pPr>
              <w:jc w:val="both"/>
              <w:rPr>
                <w:sz w:val="20"/>
                <w:szCs w:val="20"/>
              </w:rPr>
            </w:pPr>
            <w:r w:rsidRPr="00080CE5">
              <w:rPr>
                <w:sz w:val="20"/>
                <w:szCs w:val="20"/>
              </w:rPr>
              <w:t>2</w:t>
            </w:r>
          </w:p>
        </w:tc>
        <w:tc>
          <w:tcPr>
            <w:tcW w:w="1276" w:type="dxa"/>
            <w:shd w:val="clear" w:color="auto" w:fill="FFFFFF" w:themeFill="background1"/>
          </w:tcPr>
          <w:p w14:paraId="0643AAE4" w14:textId="77777777" w:rsidR="008F2269" w:rsidRPr="00080CE5" w:rsidRDefault="008F2269" w:rsidP="002D1362">
            <w:pPr>
              <w:jc w:val="both"/>
              <w:rPr>
                <w:sz w:val="20"/>
                <w:szCs w:val="20"/>
              </w:rPr>
            </w:pPr>
            <w:r w:rsidRPr="00080CE5">
              <w:rPr>
                <w:sz w:val="20"/>
                <w:szCs w:val="20"/>
              </w:rPr>
              <w:t>% d’avancement</w:t>
            </w:r>
          </w:p>
        </w:tc>
        <w:tc>
          <w:tcPr>
            <w:tcW w:w="1701" w:type="dxa"/>
            <w:vMerge/>
            <w:shd w:val="clear" w:color="auto" w:fill="FFFFFF" w:themeFill="background1"/>
          </w:tcPr>
          <w:p w14:paraId="6CFF9776" w14:textId="77777777" w:rsidR="008F2269" w:rsidRPr="00080CE5" w:rsidRDefault="008F2269" w:rsidP="002D1362">
            <w:pPr>
              <w:jc w:val="both"/>
              <w:rPr>
                <w:sz w:val="20"/>
                <w:szCs w:val="20"/>
              </w:rPr>
            </w:pPr>
          </w:p>
        </w:tc>
      </w:tr>
      <w:tr w:rsidR="008F2269" w:rsidRPr="008308B3" w14:paraId="6F855532" w14:textId="77777777" w:rsidTr="002D1362">
        <w:tc>
          <w:tcPr>
            <w:tcW w:w="9640" w:type="dxa"/>
            <w:gridSpan w:val="8"/>
            <w:tcBorders>
              <w:left w:val="nil"/>
              <w:right w:val="nil"/>
            </w:tcBorders>
            <w:shd w:val="clear" w:color="auto" w:fill="FFFFFF" w:themeFill="background1"/>
          </w:tcPr>
          <w:p w14:paraId="6FA03104" w14:textId="77777777" w:rsidR="008F2269" w:rsidRPr="00080CE5" w:rsidRDefault="008F2269" w:rsidP="002D1362">
            <w:pPr>
              <w:jc w:val="both"/>
              <w:rPr>
                <w:sz w:val="20"/>
                <w:szCs w:val="20"/>
              </w:rPr>
            </w:pPr>
          </w:p>
        </w:tc>
      </w:tr>
      <w:tr w:rsidR="008F2269" w:rsidRPr="008308B3" w14:paraId="3A1507D9" w14:textId="77777777" w:rsidTr="002D1362">
        <w:tc>
          <w:tcPr>
            <w:tcW w:w="4395" w:type="dxa"/>
            <w:gridSpan w:val="3"/>
            <w:shd w:val="clear" w:color="auto" w:fill="E7E6E6" w:themeFill="background2"/>
          </w:tcPr>
          <w:p w14:paraId="69224AFC" w14:textId="77777777" w:rsidR="008F2269" w:rsidRPr="00EF0F9C" w:rsidRDefault="008F2269" w:rsidP="002D1362">
            <w:pPr>
              <w:rPr>
                <w:b/>
                <w:bCs/>
                <w:sz w:val="16"/>
                <w:szCs w:val="16"/>
              </w:rPr>
            </w:pPr>
            <w:r w:rsidRPr="00EF0F9C">
              <w:rPr>
                <w:b/>
                <w:bCs/>
                <w:sz w:val="16"/>
                <w:szCs w:val="16"/>
              </w:rPr>
              <w:t>TOTAL INDICATIF EN MILLIONS DE MRU</w:t>
            </w:r>
          </w:p>
        </w:tc>
        <w:tc>
          <w:tcPr>
            <w:tcW w:w="1701" w:type="dxa"/>
            <w:shd w:val="clear" w:color="auto" w:fill="E7E6E6" w:themeFill="background2"/>
          </w:tcPr>
          <w:p w14:paraId="63A38E12" w14:textId="77777777" w:rsidR="008F2269" w:rsidRPr="008308B3" w:rsidRDefault="008F2269" w:rsidP="002D1362">
            <w:pPr>
              <w:rPr>
                <w:sz w:val="16"/>
                <w:szCs w:val="16"/>
              </w:rPr>
            </w:pPr>
            <w:r>
              <w:rPr>
                <w:sz w:val="16"/>
                <w:szCs w:val="16"/>
              </w:rPr>
              <w:t>15576</w:t>
            </w:r>
          </w:p>
        </w:tc>
        <w:tc>
          <w:tcPr>
            <w:tcW w:w="567" w:type="dxa"/>
            <w:gridSpan w:val="2"/>
            <w:vMerge w:val="restart"/>
            <w:shd w:val="clear" w:color="auto" w:fill="E7E6E6" w:themeFill="background2"/>
          </w:tcPr>
          <w:p w14:paraId="148E314B" w14:textId="77777777" w:rsidR="008F2269" w:rsidRPr="008308B3" w:rsidRDefault="008F2269" w:rsidP="002D1362">
            <w:pPr>
              <w:rPr>
                <w:sz w:val="16"/>
                <w:szCs w:val="16"/>
              </w:rPr>
            </w:pPr>
          </w:p>
        </w:tc>
        <w:tc>
          <w:tcPr>
            <w:tcW w:w="1276" w:type="dxa"/>
            <w:vMerge w:val="restart"/>
            <w:shd w:val="clear" w:color="auto" w:fill="E7E6E6" w:themeFill="background2"/>
          </w:tcPr>
          <w:p w14:paraId="2E05BB2D" w14:textId="77777777" w:rsidR="008F2269" w:rsidRPr="008308B3" w:rsidRDefault="008F2269" w:rsidP="002D1362">
            <w:pPr>
              <w:rPr>
                <w:sz w:val="16"/>
                <w:szCs w:val="16"/>
              </w:rPr>
            </w:pPr>
          </w:p>
        </w:tc>
        <w:tc>
          <w:tcPr>
            <w:tcW w:w="1701" w:type="dxa"/>
            <w:vMerge w:val="restart"/>
            <w:shd w:val="clear" w:color="auto" w:fill="E7E6E6" w:themeFill="background2"/>
          </w:tcPr>
          <w:p w14:paraId="2CEA7847" w14:textId="77777777" w:rsidR="008F2269" w:rsidRPr="008308B3" w:rsidRDefault="008F2269" w:rsidP="002D1362">
            <w:pPr>
              <w:rPr>
                <w:sz w:val="16"/>
                <w:szCs w:val="16"/>
              </w:rPr>
            </w:pPr>
          </w:p>
        </w:tc>
      </w:tr>
      <w:tr w:rsidR="008F2269" w:rsidRPr="008308B3" w14:paraId="57B88897" w14:textId="77777777" w:rsidTr="002D1362">
        <w:tc>
          <w:tcPr>
            <w:tcW w:w="4395" w:type="dxa"/>
            <w:gridSpan w:val="3"/>
            <w:shd w:val="clear" w:color="auto" w:fill="E7E6E6" w:themeFill="background2"/>
          </w:tcPr>
          <w:p w14:paraId="53DAD152" w14:textId="77777777" w:rsidR="008F2269" w:rsidRPr="008308B3" w:rsidRDefault="008F2269" w:rsidP="002D1362">
            <w:pPr>
              <w:rPr>
                <w:sz w:val="16"/>
                <w:szCs w:val="16"/>
              </w:rPr>
            </w:pPr>
            <w:r>
              <w:rPr>
                <w:sz w:val="16"/>
                <w:szCs w:val="16"/>
              </w:rPr>
              <w:t>TOTAL INDICATIF EN MILLIONS D4EUROS</w:t>
            </w:r>
          </w:p>
        </w:tc>
        <w:tc>
          <w:tcPr>
            <w:tcW w:w="1701" w:type="dxa"/>
            <w:shd w:val="clear" w:color="auto" w:fill="E7E6E6" w:themeFill="background2"/>
          </w:tcPr>
          <w:p w14:paraId="0C9D0731" w14:textId="77777777" w:rsidR="008F2269" w:rsidRPr="008308B3" w:rsidRDefault="008F2269" w:rsidP="002D1362">
            <w:pPr>
              <w:rPr>
                <w:sz w:val="16"/>
                <w:szCs w:val="16"/>
              </w:rPr>
            </w:pPr>
            <w:r>
              <w:rPr>
                <w:sz w:val="16"/>
                <w:szCs w:val="16"/>
              </w:rPr>
              <w:t>380</w:t>
            </w:r>
          </w:p>
        </w:tc>
        <w:tc>
          <w:tcPr>
            <w:tcW w:w="567" w:type="dxa"/>
            <w:gridSpan w:val="2"/>
            <w:vMerge/>
            <w:shd w:val="clear" w:color="auto" w:fill="FFFFFF" w:themeFill="background1"/>
          </w:tcPr>
          <w:p w14:paraId="7F299274" w14:textId="77777777" w:rsidR="008F2269" w:rsidRPr="008308B3" w:rsidRDefault="008F2269" w:rsidP="002D1362">
            <w:pPr>
              <w:rPr>
                <w:sz w:val="16"/>
                <w:szCs w:val="16"/>
              </w:rPr>
            </w:pPr>
          </w:p>
        </w:tc>
        <w:tc>
          <w:tcPr>
            <w:tcW w:w="1276" w:type="dxa"/>
            <w:vMerge/>
            <w:shd w:val="clear" w:color="auto" w:fill="FFFFFF" w:themeFill="background1"/>
          </w:tcPr>
          <w:p w14:paraId="78E45A0F" w14:textId="77777777" w:rsidR="008F2269" w:rsidRPr="008308B3" w:rsidRDefault="008F2269" w:rsidP="002D1362">
            <w:pPr>
              <w:rPr>
                <w:sz w:val="16"/>
                <w:szCs w:val="16"/>
              </w:rPr>
            </w:pPr>
          </w:p>
        </w:tc>
        <w:tc>
          <w:tcPr>
            <w:tcW w:w="1701" w:type="dxa"/>
            <w:vMerge/>
            <w:shd w:val="clear" w:color="auto" w:fill="E7E6E6" w:themeFill="background2"/>
          </w:tcPr>
          <w:p w14:paraId="6B5FDD45" w14:textId="77777777" w:rsidR="008F2269" w:rsidRPr="008308B3" w:rsidRDefault="008F2269" w:rsidP="002D1362">
            <w:pPr>
              <w:rPr>
                <w:sz w:val="16"/>
                <w:szCs w:val="16"/>
              </w:rPr>
            </w:pPr>
          </w:p>
        </w:tc>
      </w:tr>
    </w:tbl>
    <w:p w14:paraId="5D5CF1AE" w14:textId="77777777" w:rsidR="008F2269" w:rsidRDefault="008F2269" w:rsidP="008F2269">
      <w:r>
        <w:t>SNADEA 2022-2030</w:t>
      </w:r>
    </w:p>
    <w:p w14:paraId="51B07E78" w14:textId="77777777" w:rsidR="008F2269" w:rsidRDefault="008F2269" w:rsidP="008F2269"/>
    <w:p w14:paraId="7AF0AEC3" w14:textId="77777777" w:rsidR="008F2269" w:rsidRDefault="008F2269" w:rsidP="008F2269">
      <w:r>
        <w:t>Objectif Spécifique n°4 : Accroitre la durabilité, l’efficience et les investissements du secteur</w:t>
      </w:r>
    </w:p>
    <w:tbl>
      <w:tblPr>
        <w:tblStyle w:val="Grilledutableau"/>
        <w:tblpPr w:leftFromText="141" w:rightFromText="141" w:vertAnchor="text" w:horzAnchor="page" w:tblpX="1363" w:tblpY="312"/>
        <w:tblW w:w="9640" w:type="dxa"/>
        <w:tblLayout w:type="fixed"/>
        <w:tblLook w:val="04A0" w:firstRow="1" w:lastRow="0" w:firstColumn="1" w:lastColumn="0" w:noHBand="0" w:noVBand="1"/>
      </w:tblPr>
      <w:tblGrid>
        <w:gridCol w:w="1135"/>
        <w:gridCol w:w="850"/>
        <w:gridCol w:w="2835"/>
        <w:gridCol w:w="1087"/>
        <w:gridCol w:w="47"/>
        <w:gridCol w:w="661"/>
        <w:gridCol w:w="48"/>
        <w:gridCol w:w="1370"/>
        <w:gridCol w:w="47"/>
        <w:gridCol w:w="1560"/>
      </w:tblGrid>
      <w:tr w:rsidR="008F2269" w:rsidRPr="00EF0F9C" w14:paraId="5A914C0A" w14:textId="77777777" w:rsidTr="002D1362">
        <w:tc>
          <w:tcPr>
            <w:tcW w:w="1135" w:type="dxa"/>
            <w:shd w:val="clear" w:color="auto" w:fill="70AD47" w:themeFill="accent6"/>
          </w:tcPr>
          <w:p w14:paraId="7E6D61A0" w14:textId="77777777" w:rsidR="008F2269" w:rsidRPr="00C97088" w:rsidRDefault="008F2269" w:rsidP="002D1362">
            <w:pPr>
              <w:rPr>
                <w:b/>
                <w:bCs/>
                <w:sz w:val="20"/>
                <w:szCs w:val="20"/>
              </w:rPr>
            </w:pPr>
            <w:r w:rsidRPr="00C97088">
              <w:rPr>
                <w:b/>
                <w:bCs/>
                <w:sz w:val="20"/>
                <w:szCs w:val="20"/>
              </w:rPr>
              <w:t>Résultats</w:t>
            </w:r>
          </w:p>
        </w:tc>
        <w:tc>
          <w:tcPr>
            <w:tcW w:w="3685" w:type="dxa"/>
            <w:gridSpan w:val="2"/>
            <w:shd w:val="clear" w:color="auto" w:fill="70AD47" w:themeFill="accent6"/>
          </w:tcPr>
          <w:p w14:paraId="454741D1" w14:textId="77777777" w:rsidR="008F2269" w:rsidRPr="00C97088" w:rsidRDefault="008F2269" w:rsidP="002D1362">
            <w:pPr>
              <w:rPr>
                <w:b/>
                <w:bCs/>
                <w:sz w:val="20"/>
                <w:szCs w:val="20"/>
              </w:rPr>
            </w:pPr>
            <w:proofErr w:type="gramStart"/>
            <w:r w:rsidRPr="00C97088">
              <w:rPr>
                <w:b/>
                <w:bCs/>
                <w:sz w:val="20"/>
                <w:szCs w:val="20"/>
              </w:rPr>
              <w:t>activités</w:t>
            </w:r>
            <w:proofErr w:type="gramEnd"/>
          </w:p>
        </w:tc>
        <w:tc>
          <w:tcPr>
            <w:tcW w:w="1134" w:type="dxa"/>
            <w:gridSpan w:val="2"/>
            <w:shd w:val="clear" w:color="auto" w:fill="70AD47" w:themeFill="accent6"/>
          </w:tcPr>
          <w:p w14:paraId="59B4D128" w14:textId="77777777" w:rsidR="008F2269" w:rsidRPr="00C97088" w:rsidRDefault="008F2269" w:rsidP="002D1362">
            <w:pPr>
              <w:rPr>
                <w:b/>
                <w:bCs/>
                <w:sz w:val="20"/>
                <w:szCs w:val="20"/>
              </w:rPr>
            </w:pPr>
            <w:r w:rsidRPr="00C97088">
              <w:rPr>
                <w:b/>
                <w:bCs/>
                <w:sz w:val="20"/>
                <w:szCs w:val="20"/>
              </w:rPr>
              <w:t>Budget indicatif (MMRU)</w:t>
            </w:r>
          </w:p>
        </w:tc>
        <w:tc>
          <w:tcPr>
            <w:tcW w:w="709" w:type="dxa"/>
            <w:gridSpan w:val="2"/>
            <w:shd w:val="clear" w:color="auto" w:fill="70AD47" w:themeFill="accent6"/>
          </w:tcPr>
          <w:p w14:paraId="08C8CA65" w14:textId="77777777" w:rsidR="008F2269" w:rsidRPr="00C97088" w:rsidRDefault="008F2269" w:rsidP="002D1362">
            <w:pPr>
              <w:rPr>
                <w:b/>
                <w:bCs/>
                <w:sz w:val="20"/>
                <w:szCs w:val="20"/>
              </w:rPr>
            </w:pPr>
            <w:proofErr w:type="gramStart"/>
            <w:r w:rsidRPr="00C97088">
              <w:rPr>
                <w:b/>
                <w:bCs/>
                <w:sz w:val="20"/>
                <w:szCs w:val="20"/>
              </w:rPr>
              <w:t>priorité</w:t>
            </w:r>
            <w:proofErr w:type="gramEnd"/>
          </w:p>
        </w:tc>
        <w:tc>
          <w:tcPr>
            <w:tcW w:w="1417" w:type="dxa"/>
            <w:gridSpan w:val="2"/>
            <w:shd w:val="clear" w:color="auto" w:fill="70AD47" w:themeFill="accent6"/>
          </w:tcPr>
          <w:p w14:paraId="1A093685" w14:textId="77777777" w:rsidR="008F2269" w:rsidRPr="00C97088" w:rsidRDefault="008F2269" w:rsidP="002D1362">
            <w:pPr>
              <w:rPr>
                <w:b/>
                <w:bCs/>
                <w:sz w:val="20"/>
                <w:szCs w:val="20"/>
              </w:rPr>
            </w:pPr>
            <w:r w:rsidRPr="00C97088">
              <w:rPr>
                <w:b/>
                <w:bCs/>
                <w:sz w:val="20"/>
                <w:szCs w:val="20"/>
              </w:rPr>
              <w:t>Indicateurs activités</w:t>
            </w:r>
          </w:p>
        </w:tc>
        <w:tc>
          <w:tcPr>
            <w:tcW w:w="1560" w:type="dxa"/>
            <w:shd w:val="clear" w:color="auto" w:fill="70AD47" w:themeFill="accent6"/>
          </w:tcPr>
          <w:p w14:paraId="6E7D5E23" w14:textId="77777777" w:rsidR="008F2269" w:rsidRPr="00C97088" w:rsidRDefault="008F2269" w:rsidP="002D1362">
            <w:pPr>
              <w:rPr>
                <w:b/>
                <w:bCs/>
                <w:sz w:val="20"/>
                <w:szCs w:val="20"/>
              </w:rPr>
            </w:pPr>
            <w:r w:rsidRPr="00C97088">
              <w:rPr>
                <w:b/>
                <w:bCs/>
                <w:sz w:val="20"/>
                <w:szCs w:val="20"/>
              </w:rPr>
              <w:t>Indicateurs résultats</w:t>
            </w:r>
          </w:p>
        </w:tc>
      </w:tr>
      <w:tr w:rsidR="008F2269" w:rsidRPr="00EF0F9C" w14:paraId="2884D48F" w14:textId="77777777" w:rsidTr="002D1362">
        <w:tc>
          <w:tcPr>
            <w:tcW w:w="9640" w:type="dxa"/>
            <w:gridSpan w:val="10"/>
            <w:tcBorders>
              <w:left w:val="nil"/>
              <w:right w:val="nil"/>
            </w:tcBorders>
          </w:tcPr>
          <w:p w14:paraId="131F080F" w14:textId="77777777" w:rsidR="008F2269" w:rsidRPr="00EF0F9C" w:rsidRDefault="008F2269" w:rsidP="002D1362">
            <w:pPr>
              <w:rPr>
                <w:sz w:val="16"/>
                <w:szCs w:val="16"/>
              </w:rPr>
            </w:pPr>
          </w:p>
        </w:tc>
      </w:tr>
      <w:tr w:rsidR="008F2269" w:rsidRPr="00C97088" w14:paraId="3C94EAE0" w14:textId="77777777" w:rsidTr="002D1362">
        <w:tc>
          <w:tcPr>
            <w:tcW w:w="1135" w:type="dxa"/>
            <w:vMerge w:val="restart"/>
            <w:shd w:val="clear" w:color="auto" w:fill="F2F2F2" w:themeFill="background1" w:themeFillShade="F2"/>
            <w:vAlign w:val="center"/>
          </w:tcPr>
          <w:p w14:paraId="0ADB32C4" w14:textId="77777777" w:rsidR="008F2269" w:rsidRPr="004C0D7D" w:rsidRDefault="008F2269" w:rsidP="002D1362">
            <w:pPr>
              <w:jc w:val="both"/>
              <w:rPr>
                <w:sz w:val="20"/>
                <w:szCs w:val="20"/>
              </w:rPr>
            </w:pPr>
            <w:r w:rsidRPr="004C0D7D">
              <w:rPr>
                <w:sz w:val="20"/>
                <w:szCs w:val="20"/>
              </w:rPr>
              <w:t>R4.1 Le cadre institutionnel, légal et règlementaire sectoriel est clarifié et renforcé</w:t>
            </w:r>
          </w:p>
        </w:tc>
        <w:tc>
          <w:tcPr>
            <w:tcW w:w="850" w:type="dxa"/>
          </w:tcPr>
          <w:p w14:paraId="16374141" w14:textId="77777777" w:rsidR="008F2269" w:rsidRPr="004C0D7D" w:rsidRDefault="008F2269" w:rsidP="002D1362">
            <w:pPr>
              <w:jc w:val="both"/>
              <w:rPr>
                <w:sz w:val="20"/>
                <w:szCs w:val="20"/>
              </w:rPr>
            </w:pPr>
            <w:r w:rsidRPr="004C0D7D">
              <w:rPr>
                <w:sz w:val="20"/>
                <w:szCs w:val="20"/>
              </w:rPr>
              <w:t>A.4.1.1</w:t>
            </w:r>
          </w:p>
        </w:tc>
        <w:tc>
          <w:tcPr>
            <w:tcW w:w="2835" w:type="dxa"/>
          </w:tcPr>
          <w:p w14:paraId="60CF08FE" w14:textId="77777777" w:rsidR="008F2269" w:rsidRPr="004C0D7D" w:rsidRDefault="008F2269" w:rsidP="002D1362">
            <w:pPr>
              <w:jc w:val="both"/>
              <w:rPr>
                <w:sz w:val="20"/>
                <w:szCs w:val="20"/>
              </w:rPr>
            </w:pPr>
            <w:r w:rsidRPr="004C0D7D">
              <w:rPr>
                <w:sz w:val="20"/>
                <w:szCs w:val="20"/>
              </w:rPr>
              <w:t>Clarifier les compétences des Institutions sectorielles et des organismes sous tutelle du MHA</w:t>
            </w:r>
          </w:p>
        </w:tc>
        <w:tc>
          <w:tcPr>
            <w:tcW w:w="1087" w:type="dxa"/>
            <w:vAlign w:val="center"/>
          </w:tcPr>
          <w:p w14:paraId="0198E2D3" w14:textId="77777777" w:rsidR="008F2269" w:rsidRPr="004C0D7D" w:rsidRDefault="008F2269" w:rsidP="002D1362">
            <w:pPr>
              <w:jc w:val="both"/>
              <w:rPr>
                <w:sz w:val="20"/>
                <w:szCs w:val="20"/>
              </w:rPr>
            </w:pPr>
            <w:r w:rsidRPr="004C0D7D">
              <w:rPr>
                <w:sz w:val="20"/>
                <w:szCs w:val="20"/>
              </w:rPr>
              <w:t>8,0</w:t>
            </w:r>
          </w:p>
        </w:tc>
        <w:tc>
          <w:tcPr>
            <w:tcW w:w="708" w:type="dxa"/>
            <w:gridSpan w:val="2"/>
            <w:vAlign w:val="center"/>
          </w:tcPr>
          <w:p w14:paraId="6142775E" w14:textId="77777777" w:rsidR="008F2269" w:rsidRPr="004C0D7D" w:rsidRDefault="008F2269" w:rsidP="002D1362">
            <w:pPr>
              <w:jc w:val="both"/>
              <w:rPr>
                <w:sz w:val="20"/>
                <w:szCs w:val="20"/>
              </w:rPr>
            </w:pPr>
            <w:r w:rsidRPr="004C0D7D">
              <w:rPr>
                <w:sz w:val="20"/>
                <w:szCs w:val="20"/>
              </w:rPr>
              <w:t>1</w:t>
            </w:r>
          </w:p>
        </w:tc>
        <w:tc>
          <w:tcPr>
            <w:tcW w:w="1418" w:type="dxa"/>
            <w:gridSpan w:val="2"/>
          </w:tcPr>
          <w:p w14:paraId="4DEA2C43" w14:textId="77777777" w:rsidR="008F2269" w:rsidRPr="004C0D7D" w:rsidRDefault="008F2269" w:rsidP="002D1362">
            <w:pPr>
              <w:jc w:val="both"/>
              <w:rPr>
                <w:sz w:val="20"/>
                <w:szCs w:val="20"/>
              </w:rPr>
            </w:pPr>
            <w:r w:rsidRPr="004C0D7D">
              <w:rPr>
                <w:sz w:val="20"/>
                <w:szCs w:val="20"/>
              </w:rPr>
              <w:t>Etude réalisée</w:t>
            </w:r>
          </w:p>
        </w:tc>
        <w:tc>
          <w:tcPr>
            <w:tcW w:w="1607" w:type="dxa"/>
            <w:gridSpan w:val="2"/>
            <w:vMerge w:val="restart"/>
            <w:vAlign w:val="center"/>
          </w:tcPr>
          <w:p w14:paraId="2BB0E6D9" w14:textId="77777777" w:rsidR="008F2269" w:rsidRPr="004C0D7D" w:rsidRDefault="008F2269" w:rsidP="002D1362">
            <w:pPr>
              <w:jc w:val="both"/>
              <w:rPr>
                <w:sz w:val="20"/>
                <w:szCs w:val="20"/>
              </w:rPr>
            </w:pPr>
            <w:r w:rsidRPr="004C0D7D">
              <w:rPr>
                <w:sz w:val="20"/>
                <w:szCs w:val="20"/>
              </w:rPr>
              <w:t>Nb de textes promulgués</w:t>
            </w:r>
          </w:p>
        </w:tc>
      </w:tr>
      <w:tr w:rsidR="008F2269" w:rsidRPr="00C97088" w14:paraId="5F08053A" w14:textId="77777777" w:rsidTr="002D1362">
        <w:tc>
          <w:tcPr>
            <w:tcW w:w="1135" w:type="dxa"/>
            <w:vMerge/>
            <w:shd w:val="clear" w:color="auto" w:fill="F2F2F2" w:themeFill="background1" w:themeFillShade="F2"/>
          </w:tcPr>
          <w:p w14:paraId="38035743" w14:textId="77777777" w:rsidR="008F2269" w:rsidRPr="004C0D7D" w:rsidRDefault="008F2269" w:rsidP="002D1362">
            <w:pPr>
              <w:jc w:val="both"/>
              <w:rPr>
                <w:sz w:val="20"/>
                <w:szCs w:val="20"/>
              </w:rPr>
            </w:pPr>
          </w:p>
        </w:tc>
        <w:tc>
          <w:tcPr>
            <w:tcW w:w="850" w:type="dxa"/>
          </w:tcPr>
          <w:p w14:paraId="73376E8B" w14:textId="77777777" w:rsidR="008F2269" w:rsidRPr="004C0D7D" w:rsidRDefault="008F2269" w:rsidP="002D1362">
            <w:pPr>
              <w:jc w:val="both"/>
              <w:rPr>
                <w:sz w:val="20"/>
                <w:szCs w:val="20"/>
              </w:rPr>
            </w:pPr>
            <w:r w:rsidRPr="004C0D7D">
              <w:rPr>
                <w:sz w:val="20"/>
                <w:szCs w:val="20"/>
              </w:rPr>
              <w:t>A.4.1.2</w:t>
            </w:r>
          </w:p>
        </w:tc>
        <w:tc>
          <w:tcPr>
            <w:tcW w:w="2835" w:type="dxa"/>
          </w:tcPr>
          <w:p w14:paraId="3098B618" w14:textId="77777777" w:rsidR="008F2269" w:rsidRPr="004C0D7D" w:rsidRDefault="008F2269" w:rsidP="002D1362">
            <w:pPr>
              <w:jc w:val="both"/>
              <w:rPr>
                <w:sz w:val="20"/>
                <w:szCs w:val="20"/>
              </w:rPr>
            </w:pPr>
            <w:r w:rsidRPr="004C0D7D">
              <w:rPr>
                <w:sz w:val="20"/>
                <w:szCs w:val="20"/>
              </w:rPr>
              <w:t>Mettre à jour le Code de l’eau et élaborer les décrets d’application</w:t>
            </w:r>
          </w:p>
        </w:tc>
        <w:tc>
          <w:tcPr>
            <w:tcW w:w="1087" w:type="dxa"/>
            <w:vAlign w:val="center"/>
          </w:tcPr>
          <w:p w14:paraId="6D8E8A43" w14:textId="77777777" w:rsidR="008F2269" w:rsidRPr="004C0D7D" w:rsidRDefault="008F2269" w:rsidP="002D1362">
            <w:pPr>
              <w:jc w:val="both"/>
              <w:rPr>
                <w:sz w:val="20"/>
                <w:szCs w:val="20"/>
              </w:rPr>
            </w:pPr>
            <w:r w:rsidRPr="004C0D7D">
              <w:rPr>
                <w:sz w:val="20"/>
                <w:szCs w:val="20"/>
              </w:rPr>
              <w:t>5,0</w:t>
            </w:r>
          </w:p>
        </w:tc>
        <w:tc>
          <w:tcPr>
            <w:tcW w:w="708" w:type="dxa"/>
            <w:gridSpan w:val="2"/>
            <w:vAlign w:val="center"/>
          </w:tcPr>
          <w:p w14:paraId="105B1A7D" w14:textId="77777777" w:rsidR="008F2269" w:rsidRPr="004C0D7D" w:rsidRDefault="008F2269" w:rsidP="002D1362">
            <w:pPr>
              <w:jc w:val="both"/>
              <w:rPr>
                <w:sz w:val="20"/>
                <w:szCs w:val="20"/>
              </w:rPr>
            </w:pPr>
            <w:r w:rsidRPr="004C0D7D">
              <w:rPr>
                <w:sz w:val="20"/>
                <w:szCs w:val="20"/>
              </w:rPr>
              <w:t>1</w:t>
            </w:r>
          </w:p>
        </w:tc>
        <w:tc>
          <w:tcPr>
            <w:tcW w:w="1418" w:type="dxa"/>
            <w:gridSpan w:val="2"/>
          </w:tcPr>
          <w:p w14:paraId="1213E17D" w14:textId="77777777" w:rsidR="008F2269" w:rsidRPr="004C0D7D" w:rsidRDefault="008F2269" w:rsidP="002D1362">
            <w:pPr>
              <w:jc w:val="both"/>
              <w:rPr>
                <w:sz w:val="20"/>
                <w:szCs w:val="20"/>
              </w:rPr>
            </w:pPr>
            <w:r w:rsidRPr="004C0D7D">
              <w:rPr>
                <w:sz w:val="20"/>
                <w:szCs w:val="20"/>
              </w:rPr>
              <w:t>Code de l’eau mis à jour</w:t>
            </w:r>
          </w:p>
        </w:tc>
        <w:tc>
          <w:tcPr>
            <w:tcW w:w="1607" w:type="dxa"/>
            <w:gridSpan w:val="2"/>
            <w:vMerge/>
            <w:vAlign w:val="center"/>
          </w:tcPr>
          <w:p w14:paraId="1FBE351B" w14:textId="77777777" w:rsidR="008F2269" w:rsidRPr="004C0D7D" w:rsidRDefault="008F2269" w:rsidP="002D1362">
            <w:pPr>
              <w:jc w:val="both"/>
              <w:rPr>
                <w:sz w:val="20"/>
                <w:szCs w:val="20"/>
              </w:rPr>
            </w:pPr>
          </w:p>
        </w:tc>
      </w:tr>
      <w:tr w:rsidR="008F2269" w:rsidRPr="00C97088" w14:paraId="3B32C7EF" w14:textId="77777777" w:rsidTr="002D1362">
        <w:tc>
          <w:tcPr>
            <w:tcW w:w="1135" w:type="dxa"/>
            <w:vMerge/>
            <w:shd w:val="clear" w:color="auto" w:fill="F2F2F2" w:themeFill="background1" w:themeFillShade="F2"/>
          </w:tcPr>
          <w:p w14:paraId="51BD79A8" w14:textId="77777777" w:rsidR="008F2269" w:rsidRPr="004C0D7D" w:rsidRDefault="008F2269" w:rsidP="002D1362">
            <w:pPr>
              <w:jc w:val="both"/>
              <w:rPr>
                <w:sz w:val="20"/>
                <w:szCs w:val="20"/>
              </w:rPr>
            </w:pPr>
          </w:p>
        </w:tc>
        <w:tc>
          <w:tcPr>
            <w:tcW w:w="850" w:type="dxa"/>
          </w:tcPr>
          <w:p w14:paraId="6CF0F7F9" w14:textId="77777777" w:rsidR="008F2269" w:rsidRPr="004C0D7D" w:rsidRDefault="008F2269" w:rsidP="002D1362">
            <w:pPr>
              <w:jc w:val="both"/>
              <w:rPr>
                <w:sz w:val="20"/>
                <w:szCs w:val="20"/>
              </w:rPr>
            </w:pPr>
            <w:r w:rsidRPr="004C0D7D">
              <w:rPr>
                <w:sz w:val="20"/>
                <w:szCs w:val="20"/>
              </w:rPr>
              <w:t>A.4.1.3</w:t>
            </w:r>
          </w:p>
        </w:tc>
        <w:tc>
          <w:tcPr>
            <w:tcW w:w="2835" w:type="dxa"/>
          </w:tcPr>
          <w:p w14:paraId="7365F268" w14:textId="77777777" w:rsidR="008F2269" w:rsidRPr="004C0D7D" w:rsidRDefault="008F2269" w:rsidP="002D1362">
            <w:pPr>
              <w:jc w:val="both"/>
              <w:rPr>
                <w:sz w:val="20"/>
                <w:szCs w:val="20"/>
              </w:rPr>
            </w:pPr>
            <w:r w:rsidRPr="004C0D7D">
              <w:rPr>
                <w:sz w:val="20"/>
                <w:szCs w:val="20"/>
              </w:rPr>
              <w:t>Elaborer un Code de l’assainissement</w:t>
            </w:r>
          </w:p>
        </w:tc>
        <w:tc>
          <w:tcPr>
            <w:tcW w:w="1087" w:type="dxa"/>
            <w:vAlign w:val="center"/>
          </w:tcPr>
          <w:p w14:paraId="29116FCD" w14:textId="77777777" w:rsidR="008F2269" w:rsidRPr="004C0D7D" w:rsidRDefault="008F2269" w:rsidP="002D1362">
            <w:pPr>
              <w:jc w:val="both"/>
              <w:rPr>
                <w:sz w:val="20"/>
                <w:szCs w:val="20"/>
              </w:rPr>
            </w:pPr>
            <w:r w:rsidRPr="004C0D7D">
              <w:rPr>
                <w:sz w:val="20"/>
                <w:szCs w:val="20"/>
              </w:rPr>
              <w:t>5,0</w:t>
            </w:r>
          </w:p>
        </w:tc>
        <w:tc>
          <w:tcPr>
            <w:tcW w:w="708" w:type="dxa"/>
            <w:gridSpan w:val="2"/>
            <w:vAlign w:val="center"/>
          </w:tcPr>
          <w:p w14:paraId="1CFAD43B" w14:textId="77777777" w:rsidR="008F2269" w:rsidRPr="004C0D7D" w:rsidRDefault="008F2269" w:rsidP="002D1362">
            <w:pPr>
              <w:jc w:val="both"/>
              <w:rPr>
                <w:sz w:val="20"/>
                <w:szCs w:val="20"/>
              </w:rPr>
            </w:pPr>
            <w:r w:rsidRPr="004C0D7D">
              <w:rPr>
                <w:sz w:val="20"/>
                <w:szCs w:val="20"/>
              </w:rPr>
              <w:t>1</w:t>
            </w:r>
          </w:p>
        </w:tc>
        <w:tc>
          <w:tcPr>
            <w:tcW w:w="1418" w:type="dxa"/>
            <w:gridSpan w:val="2"/>
          </w:tcPr>
          <w:p w14:paraId="5DAC9D38" w14:textId="77777777" w:rsidR="008F2269" w:rsidRPr="004C0D7D" w:rsidRDefault="008F2269" w:rsidP="002D1362">
            <w:pPr>
              <w:jc w:val="both"/>
              <w:rPr>
                <w:sz w:val="20"/>
                <w:szCs w:val="20"/>
              </w:rPr>
            </w:pPr>
            <w:r w:rsidRPr="004C0D7D">
              <w:rPr>
                <w:sz w:val="20"/>
                <w:szCs w:val="20"/>
              </w:rPr>
              <w:t>Code réalisé</w:t>
            </w:r>
          </w:p>
        </w:tc>
        <w:tc>
          <w:tcPr>
            <w:tcW w:w="1607" w:type="dxa"/>
            <w:gridSpan w:val="2"/>
            <w:vMerge/>
            <w:vAlign w:val="center"/>
          </w:tcPr>
          <w:p w14:paraId="4218599E" w14:textId="77777777" w:rsidR="008F2269" w:rsidRPr="004C0D7D" w:rsidRDefault="008F2269" w:rsidP="002D1362">
            <w:pPr>
              <w:jc w:val="both"/>
              <w:rPr>
                <w:sz w:val="20"/>
                <w:szCs w:val="20"/>
              </w:rPr>
            </w:pPr>
          </w:p>
        </w:tc>
      </w:tr>
      <w:tr w:rsidR="008F2269" w:rsidRPr="00C97088" w14:paraId="3CB87B94" w14:textId="77777777" w:rsidTr="002D1362">
        <w:tc>
          <w:tcPr>
            <w:tcW w:w="1135" w:type="dxa"/>
            <w:vMerge/>
            <w:shd w:val="clear" w:color="auto" w:fill="F2F2F2" w:themeFill="background1" w:themeFillShade="F2"/>
          </w:tcPr>
          <w:p w14:paraId="262CE4E2" w14:textId="77777777" w:rsidR="008F2269" w:rsidRPr="004C0D7D" w:rsidRDefault="008F2269" w:rsidP="002D1362">
            <w:pPr>
              <w:jc w:val="both"/>
              <w:rPr>
                <w:sz w:val="20"/>
                <w:szCs w:val="20"/>
              </w:rPr>
            </w:pPr>
          </w:p>
        </w:tc>
        <w:tc>
          <w:tcPr>
            <w:tcW w:w="850" w:type="dxa"/>
            <w:shd w:val="clear" w:color="auto" w:fill="D9E2F3" w:themeFill="accent1" w:themeFillTint="33"/>
          </w:tcPr>
          <w:p w14:paraId="23556967" w14:textId="77777777" w:rsidR="008F2269" w:rsidRPr="004C0D7D" w:rsidRDefault="008F2269" w:rsidP="002D1362">
            <w:pPr>
              <w:jc w:val="both"/>
              <w:rPr>
                <w:sz w:val="20"/>
                <w:szCs w:val="20"/>
              </w:rPr>
            </w:pPr>
            <w:r w:rsidRPr="004C0D7D">
              <w:rPr>
                <w:sz w:val="20"/>
                <w:szCs w:val="20"/>
              </w:rPr>
              <w:t>A.4.1.4</w:t>
            </w:r>
          </w:p>
        </w:tc>
        <w:tc>
          <w:tcPr>
            <w:tcW w:w="2835" w:type="dxa"/>
            <w:shd w:val="clear" w:color="auto" w:fill="D9E2F3" w:themeFill="accent1" w:themeFillTint="33"/>
          </w:tcPr>
          <w:p w14:paraId="1EB949D8" w14:textId="77777777" w:rsidR="008F2269" w:rsidRPr="004C0D7D" w:rsidRDefault="008F2269" w:rsidP="002D1362">
            <w:pPr>
              <w:jc w:val="both"/>
              <w:rPr>
                <w:sz w:val="20"/>
                <w:szCs w:val="20"/>
              </w:rPr>
            </w:pPr>
            <w:r w:rsidRPr="004C0D7D">
              <w:rPr>
                <w:sz w:val="20"/>
                <w:szCs w:val="20"/>
              </w:rPr>
              <w:t>Réorganiser les opérateurs publics se l’eau en milieu urbain et rural (SNDE et ONSER)</w:t>
            </w:r>
          </w:p>
        </w:tc>
        <w:tc>
          <w:tcPr>
            <w:tcW w:w="1087" w:type="dxa"/>
            <w:vAlign w:val="center"/>
          </w:tcPr>
          <w:p w14:paraId="4552AA80" w14:textId="77777777" w:rsidR="008F2269" w:rsidRPr="004C0D7D" w:rsidRDefault="008F2269" w:rsidP="002D1362">
            <w:pPr>
              <w:jc w:val="both"/>
              <w:rPr>
                <w:sz w:val="20"/>
                <w:szCs w:val="20"/>
              </w:rPr>
            </w:pPr>
            <w:r w:rsidRPr="004C0D7D">
              <w:rPr>
                <w:sz w:val="20"/>
                <w:szCs w:val="20"/>
              </w:rPr>
              <w:t>PM</w:t>
            </w:r>
          </w:p>
        </w:tc>
        <w:tc>
          <w:tcPr>
            <w:tcW w:w="708" w:type="dxa"/>
            <w:gridSpan w:val="2"/>
            <w:vAlign w:val="center"/>
          </w:tcPr>
          <w:p w14:paraId="0F63D1D6" w14:textId="77777777" w:rsidR="008F2269" w:rsidRPr="004C0D7D" w:rsidRDefault="008F2269" w:rsidP="002D1362">
            <w:pPr>
              <w:jc w:val="both"/>
              <w:rPr>
                <w:sz w:val="20"/>
                <w:szCs w:val="20"/>
              </w:rPr>
            </w:pPr>
            <w:r w:rsidRPr="004C0D7D">
              <w:rPr>
                <w:sz w:val="20"/>
                <w:szCs w:val="20"/>
              </w:rPr>
              <w:t>1</w:t>
            </w:r>
          </w:p>
        </w:tc>
        <w:tc>
          <w:tcPr>
            <w:tcW w:w="1418" w:type="dxa"/>
            <w:gridSpan w:val="2"/>
          </w:tcPr>
          <w:p w14:paraId="0375B059" w14:textId="77777777" w:rsidR="008F2269" w:rsidRPr="004C0D7D" w:rsidRDefault="008F2269" w:rsidP="002D1362">
            <w:pPr>
              <w:jc w:val="both"/>
              <w:rPr>
                <w:sz w:val="20"/>
                <w:szCs w:val="20"/>
              </w:rPr>
            </w:pPr>
          </w:p>
        </w:tc>
        <w:tc>
          <w:tcPr>
            <w:tcW w:w="1607" w:type="dxa"/>
            <w:gridSpan w:val="2"/>
            <w:vAlign w:val="center"/>
          </w:tcPr>
          <w:p w14:paraId="54FB033F" w14:textId="77777777" w:rsidR="008F2269" w:rsidRPr="004C0D7D" w:rsidRDefault="008F2269" w:rsidP="002D1362">
            <w:pPr>
              <w:jc w:val="both"/>
              <w:rPr>
                <w:sz w:val="20"/>
                <w:szCs w:val="20"/>
              </w:rPr>
            </w:pPr>
            <w:r w:rsidRPr="004C0D7D">
              <w:rPr>
                <w:sz w:val="20"/>
                <w:szCs w:val="20"/>
              </w:rPr>
              <w:t>Décrets promulgués</w:t>
            </w:r>
          </w:p>
        </w:tc>
      </w:tr>
      <w:tr w:rsidR="008F2269" w:rsidRPr="00C97088" w14:paraId="0550DAA8" w14:textId="77777777" w:rsidTr="002D1362">
        <w:tc>
          <w:tcPr>
            <w:tcW w:w="1135" w:type="dxa"/>
            <w:vMerge/>
            <w:shd w:val="clear" w:color="auto" w:fill="F2F2F2" w:themeFill="background1" w:themeFillShade="F2"/>
          </w:tcPr>
          <w:p w14:paraId="0C69A1A1" w14:textId="77777777" w:rsidR="008F2269" w:rsidRPr="004C0D7D" w:rsidRDefault="008F2269" w:rsidP="002D1362">
            <w:pPr>
              <w:jc w:val="both"/>
              <w:rPr>
                <w:sz w:val="20"/>
                <w:szCs w:val="20"/>
              </w:rPr>
            </w:pPr>
          </w:p>
        </w:tc>
        <w:tc>
          <w:tcPr>
            <w:tcW w:w="850" w:type="dxa"/>
          </w:tcPr>
          <w:p w14:paraId="4B6A4E31" w14:textId="77777777" w:rsidR="008F2269" w:rsidRPr="004C0D7D" w:rsidRDefault="008F2269" w:rsidP="002D1362">
            <w:pPr>
              <w:jc w:val="both"/>
              <w:rPr>
                <w:sz w:val="20"/>
                <w:szCs w:val="20"/>
              </w:rPr>
            </w:pPr>
            <w:r w:rsidRPr="004C0D7D">
              <w:rPr>
                <w:sz w:val="20"/>
                <w:szCs w:val="20"/>
              </w:rPr>
              <w:t>A.4.1.5</w:t>
            </w:r>
          </w:p>
        </w:tc>
        <w:tc>
          <w:tcPr>
            <w:tcW w:w="2835" w:type="dxa"/>
          </w:tcPr>
          <w:p w14:paraId="48468A30" w14:textId="77777777" w:rsidR="008F2269" w:rsidRPr="004C0D7D" w:rsidRDefault="008F2269" w:rsidP="002D1362">
            <w:pPr>
              <w:jc w:val="both"/>
              <w:rPr>
                <w:sz w:val="20"/>
                <w:szCs w:val="20"/>
              </w:rPr>
            </w:pPr>
            <w:r w:rsidRPr="004C0D7D">
              <w:rPr>
                <w:sz w:val="20"/>
                <w:szCs w:val="20"/>
              </w:rPr>
              <w:t>Etablir et valider des Directives fixant les modalités d’intervention pour l’eau et l’assainissement</w:t>
            </w:r>
          </w:p>
        </w:tc>
        <w:tc>
          <w:tcPr>
            <w:tcW w:w="1087" w:type="dxa"/>
            <w:vAlign w:val="center"/>
          </w:tcPr>
          <w:p w14:paraId="55302BDA" w14:textId="77777777" w:rsidR="008F2269" w:rsidRPr="004C0D7D" w:rsidRDefault="008F2269" w:rsidP="002D1362">
            <w:pPr>
              <w:jc w:val="both"/>
              <w:rPr>
                <w:sz w:val="20"/>
                <w:szCs w:val="20"/>
              </w:rPr>
            </w:pPr>
            <w:r w:rsidRPr="004C0D7D">
              <w:rPr>
                <w:sz w:val="20"/>
                <w:szCs w:val="20"/>
              </w:rPr>
              <w:t>5,0</w:t>
            </w:r>
          </w:p>
        </w:tc>
        <w:tc>
          <w:tcPr>
            <w:tcW w:w="708" w:type="dxa"/>
            <w:gridSpan w:val="2"/>
            <w:vAlign w:val="center"/>
          </w:tcPr>
          <w:p w14:paraId="340F30EC" w14:textId="77777777" w:rsidR="008F2269" w:rsidRPr="004C0D7D" w:rsidRDefault="008F2269" w:rsidP="002D1362">
            <w:pPr>
              <w:jc w:val="both"/>
              <w:rPr>
                <w:sz w:val="20"/>
                <w:szCs w:val="20"/>
              </w:rPr>
            </w:pPr>
            <w:r w:rsidRPr="004C0D7D">
              <w:rPr>
                <w:sz w:val="20"/>
                <w:szCs w:val="20"/>
              </w:rPr>
              <w:t>1</w:t>
            </w:r>
          </w:p>
        </w:tc>
        <w:tc>
          <w:tcPr>
            <w:tcW w:w="1418" w:type="dxa"/>
            <w:gridSpan w:val="2"/>
          </w:tcPr>
          <w:p w14:paraId="45D4A8B3" w14:textId="77777777" w:rsidR="008F2269" w:rsidRPr="004C0D7D" w:rsidRDefault="008F2269" w:rsidP="002D1362">
            <w:pPr>
              <w:jc w:val="both"/>
              <w:rPr>
                <w:sz w:val="20"/>
                <w:szCs w:val="20"/>
              </w:rPr>
            </w:pPr>
            <w:r w:rsidRPr="004C0D7D">
              <w:rPr>
                <w:sz w:val="20"/>
                <w:szCs w:val="20"/>
              </w:rPr>
              <w:t>Directives mises à jour et validées</w:t>
            </w:r>
          </w:p>
        </w:tc>
        <w:tc>
          <w:tcPr>
            <w:tcW w:w="1607" w:type="dxa"/>
            <w:gridSpan w:val="2"/>
            <w:vAlign w:val="center"/>
          </w:tcPr>
          <w:p w14:paraId="0A58A223" w14:textId="77777777" w:rsidR="008F2269" w:rsidRPr="004C0D7D" w:rsidRDefault="008F2269" w:rsidP="002D1362">
            <w:pPr>
              <w:jc w:val="both"/>
              <w:rPr>
                <w:sz w:val="20"/>
                <w:szCs w:val="20"/>
              </w:rPr>
            </w:pPr>
            <w:r w:rsidRPr="004C0D7D">
              <w:rPr>
                <w:sz w:val="20"/>
                <w:szCs w:val="20"/>
              </w:rPr>
              <w:t>Nb de directives validées</w:t>
            </w:r>
          </w:p>
        </w:tc>
      </w:tr>
      <w:tr w:rsidR="008F2269" w:rsidRPr="00C97088" w14:paraId="19A9E13F" w14:textId="77777777" w:rsidTr="002D1362">
        <w:tc>
          <w:tcPr>
            <w:tcW w:w="9640" w:type="dxa"/>
            <w:gridSpan w:val="10"/>
            <w:tcBorders>
              <w:left w:val="nil"/>
              <w:right w:val="nil"/>
            </w:tcBorders>
          </w:tcPr>
          <w:p w14:paraId="09E10C84" w14:textId="77777777" w:rsidR="008F2269" w:rsidRPr="00C97088" w:rsidRDefault="008F2269" w:rsidP="002D1362">
            <w:pPr>
              <w:rPr>
                <w:sz w:val="18"/>
                <w:szCs w:val="18"/>
              </w:rPr>
            </w:pPr>
          </w:p>
        </w:tc>
      </w:tr>
      <w:tr w:rsidR="008F2269" w:rsidRPr="00C97088" w14:paraId="15004887" w14:textId="77777777" w:rsidTr="002D1362">
        <w:tc>
          <w:tcPr>
            <w:tcW w:w="1135" w:type="dxa"/>
            <w:vMerge w:val="restart"/>
            <w:shd w:val="clear" w:color="auto" w:fill="F2F2F2" w:themeFill="background1" w:themeFillShade="F2"/>
            <w:vAlign w:val="center"/>
          </w:tcPr>
          <w:p w14:paraId="2532F7B1" w14:textId="77777777" w:rsidR="008F2269" w:rsidRPr="00C97088" w:rsidRDefault="008F2269" w:rsidP="002D1362">
            <w:pPr>
              <w:jc w:val="center"/>
              <w:rPr>
                <w:sz w:val="18"/>
                <w:szCs w:val="18"/>
              </w:rPr>
            </w:pPr>
            <w:r w:rsidRPr="00934FBA">
              <w:rPr>
                <w:sz w:val="20"/>
                <w:szCs w:val="20"/>
              </w:rPr>
              <w:t>R4.2 La planification sectorielle est renforcée</w:t>
            </w:r>
          </w:p>
        </w:tc>
        <w:tc>
          <w:tcPr>
            <w:tcW w:w="850" w:type="dxa"/>
          </w:tcPr>
          <w:p w14:paraId="2F5517EB" w14:textId="77777777" w:rsidR="008F2269" w:rsidRPr="00C97088" w:rsidRDefault="008F2269" w:rsidP="002D1362">
            <w:pPr>
              <w:rPr>
                <w:sz w:val="18"/>
                <w:szCs w:val="18"/>
              </w:rPr>
            </w:pPr>
            <w:r w:rsidRPr="00C97088">
              <w:rPr>
                <w:sz w:val="18"/>
                <w:szCs w:val="18"/>
              </w:rPr>
              <w:t>A.4.2.1</w:t>
            </w:r>
          </w:p>
        </w:tc>
        <w:tc>
          <w:tcPr>
            <w:tcW w:w="2835" w:type="dxa"/>
          </w:tcPr>
          <w:p w14:paraId="6E836B4F" w14:textId="77777777" w:rsidR="008F2269" w:rsidRPr="00934FBA" w:rsidRDefault="008F2269" w:rsidP="002D1362">
            <w:pPr>
              <w:jc w:val="both"/>
              <w:rPr>
                <w:sz w:val="20"/>
                <w:szCs w:val="20"/>
              </w:rPr>
            </w:pPr>
            <w:r w:rsidRPr="00934FBA">
              <w:rPr>
                <w:sz w:val="20"/>
                <w:szCs w:val="20"/>
              </w:rPr>
              <w:t>Elaborer le Pan Directeur National d’Aménagement et de Gestion Intégrée des Eaux</w:t>
            </w:r>
          </w:p>
        </w:tc>
        <w:tc>
          <w:tcPr>
            <w:tcW w:w="1087" w:type="dxa"/>
            <w:vAlign w:val="center"/>
          </w:tcPr>
          <w:p w14:paraId="42B8A6D7" w14:textId="77777777" w:rsidR="008F2269" w:rsidRPr="00C97088" w:rsidRDefault="008F2269" w:rsidP="002D1362">
            <w:pPr>
              <w:jc w:val="center"/>
              <w:rPr>
                <w:sz w:val="18"/>
                <w:szCs w:val="18"/>
              </w:rPr>
            </w:pPr>
            <w:r w:rsidRPr="00C97088">
              <w:rPr>
                <w:sz w:val="18"/>
                <w:szCs w:val="18"/>
              </w:rPr>
              <w:t>34,0</w:t>
            </w:r>
          </w:p>
        </w:tc>
        <w:tc>
          <w:tcPr>
            <w:tcW w:w="708" w:type="dxa"/>
            <w:gridSpan w:val="2"/>
            <w:vAlign w:val="center"/>
          </w:tcPr>
          <w:p w14:paraId="40E56ABC" w14:textId="77777777" w:rsidR="008F2269" w:rsidRPr="00C97088" w:rsidRDefault="008F2269" w:rsidP="002D1362">
            <w:pPr>
              <w:jc w:val="center"/>
              <w:rPr>
                <w:sz w:val="18"/>
                <w:szCs w:val="18"/>
              </w:rPr>
            </w:pPr>
            <w:r w:rsidRPr="00C97088">
              <w:rPr>
                <w:sz w:val="18"/>
                <w:szCs w:val="18"/>
              </w:rPr>
              <w:t>1</w:t>
            </w:r>
          </w:p>
        </w:tc>
        <w:tc>
          <w:tcPr>
            <w:tcW w:w="1418" w:type="dxa"/>
            <w:gridSpan w:val="2"/>
            <w:vAlign w:val="center"/>
          </w:tcPr>
          <w:p w14:paraId="3C3C85F7" w14:textId="77777777" w:rsidR="008F2269" w:rsidRPr="00C97088" w:rsidRDefault="008F2269" w:rsidP="002D1362">
            <w:pPr>
              <w:jc w:val="center"/>
              <w:rPr>
                <w:sz w:val="18"/>
                <w:szCs w:val="18"/>
              </w:rPr>
            </w:pPr>
            <w:r w:rsidRPr="00C97088">
              <w:rPr>
                <w:sz w:val="18"/>
                <w:szCs w:val="18"/>
              </w:rPr>
              <w:t>PNAGE</w:t>
            </w:r>
          </w:p>
        </w:tc>
        <w:tc>
          <w:tcPr>
            <w:tcW w:w="1607" w:type="dxa"/>
            <w:gridSpan w:val="2"/>
            <w:vAlign w:val="center"/>
          </w:tcPr>
          <w:p w14:paraId="78EC1C22" w14:textId="77777777" w:rsidR="008F2269" w:rsidRPr="00C97088" w:rsidRDefault="008F2269" w:rsidP="002D1362">
            <w:pPr>
              <w:jc w:val="center"/>
              <w:rPr>
                <w:sz w:val="18"/>
                <w:szCs w:val="18"/>
              </w:rPr>
            </w:pPr>
            <w:r w:rsidRPr="00C97088">
              <w:rPr>
                <w:sz w:val="18"/>
                <w:szCs w:val="18"/>
              </w:rPr>
              <w:t>Plan réalisé</w:t>
            </w:r>
          </w:p>
        </w:tc>
      </w:tr>
      <w:tr w:rsidR="008F2269" w:rsidRPr="00C97088" w14:paraId="6FA74503" w14:textId="77777777" w:rsidTr="002D1362">
        <w:tc>
          <w:tcPr>
            <w:tcW w:w="1135" w:type="dxa"/>
            <w:vMerge/>
            <w:shd w:val="clear" w:color="auto" w:fill="F2F2F2" w:themeFill="background1" w:themeFillShade="F2"/>
          </w:tcPr>
          <w:p w14:paraId="46EB2667" w14:textId="77777777" w:rsidR="008F2269" w:rsidRPr="00C97088" w:rsidRDefault="008F2269" w:rsidP="002D1362">
            <w:pPr>
              <w:rPr>
                <w:sz w:val="18"/>
                <w:szCs w:val="18"/>
              </w:rPr>
            </w:pPr>
          </w:p>
        </w:tc>
        <w:tc>
          <w:tcPr>
            <w:tcW w:w="850" w:type="dxa"/>
          </w:tcPr>
          <w:p w14:paraId="462D2292" w14:textId="77777777" w:rsidR="008F2269" w:rsidRPr="00C97088" w:rsidRDefault="008F2269" w:rsidP="002D1362">
            <w:pPr>
              <w:rPr>
                <w:sz w:val="18"/>
                <w:szCs w:val="18"/>
              </w:rPr>
            </w:pPr>
            <w:r w:rsidRPr="00C97088">
              <w:rPr>
                <w:sz w:val="18"/>
                <w:szCs w:val="18"/>
              </w:rPr>
              <w:t>A.4.2.2</w:t>
            </w:r>
          </w:p>
        </w:tc>
        <w:tc>
          <w:tcPr>
            <w:tcW w:w="2835" w:type="dxa"/>
          </w:tcPr>
          <w:p w14:paraId="4C941D1F" w14:textId="77777777" w:rsidR="008F2269" w:rsidRPr="00934FBA" w:rsidRDefault="008F2269" w:rsidP="002D1362">
            <w:pPr>
              <w:jc w:val="both"/>
              <w:rPr>
                <w:sz w:val="20"/>
                <w:szCs w:val="20"/>
              </w:rPr>
            </w:pPr>
            <w:r w:rsidRPr="00934FBA">
              <w:rPr>
                <w:sz w:val="20"/>
                <w:szCs w:val="20"/>
              </w:rPr>
              <w:t>Elaborer 12 Schémas Directeurs Régionaux d’AEP rurale</w:t>
            </w:r>
          </w:p>
        </w:tc>
        <w:tc>
          <w:tcPr>
            <w:tcW w:w="1087" w:type="dxa"/>
            <w:vAlign w:val="center"/>
          </w:tcPr>
          <w:p w14:paraId="692DFF2F" w14:textId="77777777" w:rsidR="008F2269" w:rsidRPr="00C97088" w:rsidRDefault="008F2269" w:rsidP="002D1362">
            <w:pPr>
              <w:jc w:val="center"/>
              <w:rPr>
                <w:sz w:val="18"/>
                <w:szCs w:val="18"/>
              </w:rPr>
            </w:pPr>
            <w:r w:rsidRPr="00C97088">
              <w:rPr>
                <w:sz w:val="18"/>
                <w:szCs w:val="18"/>
              </w:rPr>
              <w:t>20,0</w:t>
            </w:r>
          </w:p>
        </w:tc>
        <w:tc>
          <w:tcPr>
            <w:tcW w:w="708" w:type="dxa"/>
            <w:gridSpan w:val="2"/>
            <w:vAlign w:val="center"/>
          </w:tcPr>
          <w:p w14:paraId="24A38E82" w14:textId="77777777" w:rsidR="008F2269" w:rsidRPr="00C97088" w:rsidRDefault="008F2269" w:rsidP="002D1362">
            <w:pPr>
              <w:jc w:val="center"/>
              <w:rPr>
                <w:sz w:val="18"/>
                <w:szCs w:val="18"/>
              </w:rPr>
            </w:pPr>
            <w:r w:rsidRPr="00C97088">
              <w:rPr>
                <w:sz w:val="18"/>
                <w:szCs w:val="18"/>
              </w:rPr>
              <w:t>1</w:t>
            </w:r>
          </w:p>
        </w:tc>
        <w:tc>
          <w:tcPr>
            <w:tcW w:w="1418" w:type="dxa"/>
            <w:gridSpan w:val="2"/>
            <w:vAlign w:val="center"/>
          </w:tcPr>
          <w:p w14:paraId="319EE24D" w14:textId="77777777" w:rsidR="008F2269" w:rsidRPr="00C97088" w:rsidRDefault="008F2269" w:rsidP="002D1362">
            <w:pPr>
              <w:jc w:val="center"/>
              <w:rPr>
                <w:sz w:val="18"/>
                <w:szCs w:val="18"/>
              </w:rPr>
            </w:pPr>
            <w:r w:rsidRPr="00C97088">
              <w:rPr>
                <w:sz w:val="18"/>
                <w:szCs w:val="18"/>
              </w:rPr>
              <w:t>Nb de SDR</w:t>
            </w:r>
          </w:p>
        </w:tc>
        <w:tc>
          <w:tcPr>
            <w:tcW w:w="1607" w:type="dxa"/>
            <w:gridSpan w:val="2"/>
            <w:vAlign w:val="center"/>
          </w:tcPr>
          <w:p w14:paraId="375C6BFB" w14:textId="77777777" w:rsidR="008F2269" w:rsidRPr="00C97088" w:rsidRDefault="008F2269" w:rsidP="002D1362">
            <w:pPr>
              <w:jc w:val="center"/>
              <w:rPr>
                <w:sz w:val="18"/>
                <w:szCs w:val="18"/>
              </w:rPr>
            </w:pPr>
            <w:r w:rsidRPr="00C97088">
              <w:rPr>
                <w:sz w:val="18"/>
                <w:szCs w:val="18"/>
              </w:rPr>
              <w:t>Nb de SDR</w:t>
            </w:r>
          </w:p>
        </w:tc>
      </w:tr>
      <w:tr w:rsidR="008F2269" w:rsidRPr="00C97088" w14:paraId="607F2995" w14:textId="77777777" w:rsidTr="002D1362">
        <w:tc>
          <w:tcPr>
            <w:tcW w:w="1135" w:type="dxa"/>
            <w:vMerge/>
            <w:shd w:val="clear" w:color="auto" w:fill="F2F2F2" w:themeFill="background1" w:themeFillShade="F2"/>
          </w:tcPr>
          <w:p w14:paraId="7F0F7334" w14:textId="77777777" w:rsidR="008F2269" w:rsidRPr="00C97088" w:rsidRDefault="008F2269" w:rsidP="002D1362">
            <w:pPr>
              <w:rPr>
                <w:sz w:val="18"/>
                <w:szCs w:val="18"/>
              </w:rPr>
            </w:pPr>
          </w:p>
        </w:tc>
        <w:tc>
          <w:tcPr>
            <w:tcW w:w="850" w:type="dxa"/>
          </w:tcPr>
          <w:p w14:paraId="0EC3A07C" w14:textId="77777777" w:rsidR="008F2269" w:rsidRPr="00C97088" w:rsidRDefault="008F2269" w:rsidP="002D1362">
            <w:pPr>
              <w:rPr>
                <w:sz w:val="18"/>
                <w:szCs w:val="18"/>
              </w:rPr>
            </w:pPr>
            <w:r w:rsidRPr="00C97088">
              <w:rPr>
                <w:sz w:val="18"/>
                <w:szCs w:val="18"/>
              </w:rPr>
              <w:t>A.4.2.3</w:t>
            </w:r>
          </w:p>
        </w:tc>
        <w:tc>
          <w:tcPr>
            <w:tcW w:w="2835" w:type="dxa"/>
          </w:tcPr>
          <w:p w14:paraId="01F05BA4" w14:textId="77777777" w:rsidR="008F2269" w:rsidRPr="00934FBA" w:rsidRDefault="008F2269" w:rsidP="002D1362">
            <w:pPr>
              <w:jc w:val="both"/>
              <w:rPr>
                <w:sz w:val="20"/>
                <w:szCs w:val="20"/>
              </w:rPr>
            </w:pPr>
            <w:r w:rsidRPr="00934FBA">
              <w:rPr>
                <w:sz w:val="20"/>
                <w:szCs w:val="20"/>
              </w:rPr>
              <w:t>Etablir un Schéma Directeur National pour le développement des Barrages</w:t>
            </w:r>
          </w:p>
        </w:tc>
        <w:tc>
          <w:tcPr>
            <w:tcW w:w="1087" w:type="dxa"/>
            <w:vAlign w:val="center"/>
          </w:tcPr>
          <w:p w14:paraId="7CF84498" w14:textId="77777777" w:rsidR="008F2269" w:rsidRPr="00C97088" w:rsidRDefault="008F2269" w:rsidP="002D1362">
            <w:pPr>
              <w:jc w:val="center"/>
              <w:rPr>
                <w:sz w:val="18"/>
                <w:szCs w:val="18"/>
              </w:rPr>
            </w:pPr>
            <w:r w:rsidRPr="00C97088">
              <w:rPr>
                <w:sz w:val="18"/>
                <w:szCs w:val="18"/>
              </w:rPr>
              <w:t>13,0</w:t>
            </w:r>
          </w:p>
        </w:tc>
        <w:tc>
          <w:tcPr>
            <w:tcW w:w="708" w:type="dxa"/>
            <w:gridSpan w:val="2"/>
            <w:vAlign w:val="center"/>
          </w:tcPr>
          <w:p w14:paraId="5B6C66E4" w14:textId="77777777" w:rsidR="008F2269" w:rsidRPr="00C97088" w:rsidRDefault="008F2269" w:rsidP="002D1362">
            <w:pPr>
              <w:jc w:val="center"/>
              <w:rPr>
                <w:sz w:val="18"/>
                <w:szCs w:val="18"/>
              </w:rPr>
            </w:pPr>
            <w:r w:rsidRPr="00C97088">
              <w:rPr>
                <w:sz w:val="18"/>
                <w:szCs w:val="18"/>
              </w:rPr>
              <w:t>2</w:t>
            </w:r>
          </w:p>
        </w:tc>
        <w:tc>
          <w:tcPr>
            <w:tcW w:w="1418" w:type="dxa"/>
            <w:gridSpan w:val="2"/>
            <w:vAlign w:val="center"/>
          </w:tcPr>
          <w:p w14:paraId="68B42A58" w14:textId="77777777" w:rsidR="008F2269" w:rsidRPr="00C97088" w:rsidRDefault="008F2269" w:rsidP="002D1362">
            <w:pPr>
              <w:jc w:val="center"/>
              <w:rPr>
                <w:sz w:val="18"/>
                <w:szCs w:val="18"/>
              </w:rPr>
            </w:pPr>
            <w:r w:rsidRPr="00C97088">
              <w:rPr>
                <w:sz w:val="18"/>
                <w:szCs w:val="18"/>
              </w:rPr>
              <w:t>SDN réalisé</w:t>
            </w:r>
          </w:p>
        </w:tc>
        <w:tc>
          <w:tcPr>
            <w:tcW w:w="1607" w:type="dxa"/>
            <w:gridSpan w:val="2"/>
            <w:vMerge w:val="restart"/>
            <w:vAlign w:val="center"/>
          </w:tcPr>
          <w:p w14:paraId="62C952ED" w14:textId="77777777" w:rsidR="008F2269" w:rsidRPr="00C97088" w:rsidRDefault="008F2269" w:rsidP="002D1362">
            <w:pPr>
              <w:jc w:val="center"/>
              <w:rPr>
                <w:sz w:val="18"/>
                <w:szCs w:val="18"/>
              </w:rPr>
            </w:pPr>
            <w:r w:rsidRPr="00C97088">
              <w:rPr>
                <w:sz w:val="18"/>
                <w:szCs w:val="18"/>
              </w:rPr>
              <w:t>Nombre de Schémas Directeurs validés</w:t>
            </w:r>
          </w:p>
        </w:tc>
      </w:tr>
      <w:tr w:rsidR="008F2269" w:rsidRPr="00C97088" w14:paraId="3DD3CD16" w14:textId="77777777" w:rsidTr="002D1362">
        <w:tc>
          <w:tcPr>
            <w:tcW w:w="1135" w:type="dxa"/>
            <w:vMerge/>
            <w:shd w:val="clear" w:color="auto" w:fill="F2F2F2" w:themeFill="background1" w:themeFillShade="F2"/>
          </w:tcPr>
          <w:p w14:paraId="096B3105" w14:textId="77777777" w:rsidR="008F2269" w:rsidRPr="00C97088" w:rsidRDefault="008F2269" w:rsidP="002D1362">
            <w:pPr>
              <w:rPr>
                <w:sz w:val="18"/>
                <w:szCs w:val="18"/>
              </w:rPr>
            </w:pPr>
          </w:p>
        </w:tc>
        <w:tc>
          <w:tcPr>
            <w:tcW w:w="850" w:type="dxa"/>
          </w:tcPr>
          <w:p w14:paraId="704431E7" w14:textId="77777777" w:rsidR="008F2269" w:rsidRPr="00C97088" w:rsidRDefault="008F2269" w:rsidP="002D1362">
            <w:pPr>
              <w:rPr>
                <w:sz w:val="18"/>
                <w:szCs w:val="18"/>
              </w:rPr>
            </w:pPr>
            <w:r w:rsidRPr="00C97088">
              <w:rPr>
                <w:sz w:val="18"/>
                <w:szCs w:val="18"/>
              </w:rPr>
              <w:t>A.4.2.4</w:t>
            </w:r>
          </w:p>
        </w:tc>
        <w:tc>
          <w:tcPr>
            <w:tcW w:w="2835" w:type="dxa"/>
          </w:tcPr>
          <w:p w14:paraId="033B67C1" w14:textId="77777777" w:rsidR="008F2269" w:rsidRPr="00934FBA" w:rsidRDefault="008F2269" w:rsidP="002D1362">
            <w:pPr>
              <w:jc w:val="both"/>
              <w:rPr>
                <w:sz w:val="20"/>
                <w:szCs w:val="20"/>
              </w:rPr>
            </w:pPr>
            <w:r w:rsidRPr="00934FBA">
              <w:rPr>
                <w:sz w:val="20"/>
                <w:szCs w:val="20"/>
              </w:rPr>
              <w:t>Etablir un Schéma Directeur National d’Alimentation en eau du secteur minier et des industries</w:t>
            </w:r>
          </w:p>
        </w:tc>
        <w:tc>
          <w:tcPr>
            <w:tcW w:w="1087" w:type="dxa"/>
            <w:vAlign w:val="center"/>
          </w:tcPr>
          <w:p w14:paraId="1907FBE8" w14:textId="77777777" w:rsidR="008F2269" w:rsidRPr="00C97088" w:rsidRDefault="008F2269" w:rsidP="002D1362">
            <w:pPr>
              <w:jc w:val="center"/>
              <w:rPr>
                <w:sz w:val="18"/>
                <w:szCs w:val="18"/>
              </w:rPr>
            </w:pPr>
            <w:r w:rsidRPr="00C97088">
              <w:rPr>
                <w:sz w:val="18"/>
                <w:szCs w:val="18"/>
              </w:rPr>
              <w:t>11,0</w:t>
            </w:r>
          </w:p>
        </w:tc>
        <w:tc>
          <w:tcPr>
            <w:tcW w:w="708" w:type="dxa"/>
            <w:gridSpan w:val="2"/>
            <w:vAlign w:val="center"/>
          </w:tcPr>
          <w:p w14:paraId="6257ADE0" w14:textId="77777777" w:rsidR="008F2269" w:rsidRPr="00C97088" w:rsidRDefault="008F2269" w:rsidP="002D1362">
            <w:pPr>
              <w:jc w:val="center"/>
              <w:rPr>
                <w:sz w:val="18"/>
                <w:szCs w:val="18"/>
              </w:rPr>
            </w:pPr>
            <w:r w:rsidRPr="00C97088">
              <w:rPr>
                <w:sz w:val="18"/>
                <w:szCs w:val="18"/>
              </w:rPr>
              <w:t>2</w:t>
            </w:r>
          </w:p>
        </w:tc>
        <w:tc>
          <w:tcPr>
            <w:tcW w:w="1418" w:type="dxa"/>
            <w:gridSpan w:val="2"/>
            <w:vAlign w:val="center"/>
          </w:tcPr>
          <w:p w14:paraId="58B65CDD" w14:textId="77777777" w:rsidR="008F2269" w:rsidRPr="00C97088" w:rsidRDefault="008F2269" w:rsidP="002D1362">
            <w:pPr>
              <w:jc w:val="center"/>
              <w:rPr>
                <w:sz w:val="18"/>
                <w:szCs w:val="18"/>
              </w:rPr>
            </w:pPr>
            <w:r w:rsidRPr="00C97088">
              <w:rPr>
                <w:sz w:val="18"/>
                <w:szCs w:val="18"/>
              </w:rPr>
              <w:t>SDN réalisé</w:t>
            </w:r>
          </w:p>
        </w:tc>
        <w:tc>
          <w:tcPr>
            <w:tcW w:w="1607" w:type="dxa"/>
            <w:gridSpan w:val="2"/>
            <w:vMerge/>
          </w:tcPr>
          <w:p w14:paraId="6715791A" w14:textId="77777777" w:rsidR="008F2269" w:rsidRPr="00C97088" w:rsidRDefault="008F2269" w:rsidP="002D1362">
            <w:pPr>
              <w:rPr>
                <w:sz w:val="18"/>
                <w:szCs w:val="18"/>
              </w:rPr>
            </w:pPr>
          </w:p>
        </w:tc>
      </w:tr>
      <w:tr w:rsidR="008F2269" w:rsidRPr="00C97088" w14:paraId="2C95D875" w14:textId="77777777" w:rsidTr="002D1362">
        <w:tc>
          <w:tcPr>
            <w:tcW w:w="1135" w:type="dxa"/>
            <w:vMerge/>
            <w:shd w:val="clear" w:color="auto" w:fill="F2F2F2" w:themeFill="background1" w:themeFillShade="F2"/>
          </w:tcPr>
          <w:p w14:paraId="016F9B63" w14:textId="77777777" w:rsidR="008F2269" w:rsidRPr="00C97088" w:rsidRDefault="008F2269" w:rsidP="002D1362">
            <w:pPr>
              <w:rPr>
                <w:sz w:val="18"/>
                <w:szCs w:val="18"/>
              </w:rPr>
            </w:pPr>
          </w:p>
        </w:tc>
        <w:tc>
          <w:tcPr>
            <w:tcW w:w="850" w:type="dxa"/>
          </w:tcPr>
          <w:p w14:paraId="31A8E900" w14:textId="77777777" w:rsidR="008F2269" w:rsidRPr="00C97088" w:rsidRDefault="008F2269" w:rsidP="002D1362">
            <w:pPr>
              <w:rPr>
                <w:sz w:val="18"/>
                <w:szCs w:val="18"/>
              </w:rPr>
            </w:pPr>
            <w:r w:rsidRPr="00C97088">
              <w:rPr>
                <w:sz w:val="18"/>
                <w:szCs w:val="18"/>
              </w:rPr>
              <w:t>A.4.2.5</w:t>
            </w:r>
          </w:p>
        </w:tc>
        <w:tc>
          <w:tcPr>
            <w:tcW w:w="2835" w:type="dxa"/>
          </w:tcPr>
          <w:p w14:paraId="37FF7C25" w14:textId="77777777" w:rsidR="008F2269" w:rsidRPr="00934FBA" w:rsidRDefault="008F2269" w:rsidP="002D1362">
            <w:pPr>
              <w:jc w:val="both"/>
              <w:rPr>
                <w:sz w:val="20"/>
                <w:szCs w:val="20"/>
              </w:rPr>
            </w:pPr>
            <w:r w:rsidRPr="00934FBA">
              <w:rPr>
                <w:sz w:val="20"/>
                <w:szCs w:val="20"/>
              </w:rPr>
              <w:t>Etablir les SAGE déclinés du SDAGE du fleuve Sénégal</w:t>
            </w:r>
          </w:p>
        </w:tc>
        <w:tc>
          <w:tcPr>
            <w:tcW w:w="1087" w:type="dxa"/>
            <w:vAlign w:val="center"/>
          </w:tcPr>
          <w:p w14:paraId="5F4A5FEF" w14:textId="77777777" w:rsidR="008F2269" w:rsidRPr="00C97088" w:rsidRDefault="008F2269" w:rsidP="002D1362">
            <w:pPr>
              <w:jc w:val="center"/>
              <w:rPr>
                <w:sz w:val="18"/>
                <w:szCs w:val="18"/>
              </w:rPr>
            </w:pPr>
            <w:r w:rsidRPr="00C97088">
              <w:rPr>
                <w:sz w:val="18"/>
                <w:szCs w:val="18"/>
              </w:rPr>
              <w:t>25,0</w:t>
            </w:r>
          </w:p>
        </w:tc>
        <w:tc>
          <w:tcPr>
            <w:tcW w:w="708" w:type="dxa"/>
            <w:gridSpan w:val="2"/>
            <w:vAlign w:val="center"/>
          </w:tcPr>
          <w:p w14:paraId="434F36BB" w14:textId="77777777" w:rsidR="008F2269" w:rsidRPr="00C97088" w:rsidRDefault="008F2269" w:rsidP="002D1362">
            <w:pPr>
              <w:jc w:val="center"/>
              <w:rPr>
                <w:sz w:val="18"/>
                <w:szCs w:val="18"/>
              </w:rPr>
            </w:pPr>
            <w:r w:rsidRPr="00C97088">
              <w:rPr>
                <w:sz w:val="18"/>
                <w:szCs w:val="18"/>
              </w:rPr>
              <w:t>2</w:t>
            </w:r>
          </w:p>
        </w:tc>
        <w:tc>
          <w:tcPr>
            <w:tcW w:w="1418" w:type="dxa"/>
            <w:gridSpan w:val="2"/>
            <w:vAlign w:val="center"/>
          </w:tcPr>
          <w:p w14:paraId="50F374C8" w14:textId="77777777" w:rsidR="008F2269" w:rsidRPr="00C97088" w:rsidRDefault="008F2269" w:rsidP="002D1362">
            <w:pPr>
              <w:jc w:val="center"/>
              <w:rPr>
                <w:sz w:val="18"/>
                <w:szCs w:val="18"/>
              </w:rPr>
            </w:pPr>
            <w:r w:rsidRPr="00C97088">
              <w:rPr>
                <w:sz w:val="18"/>
                <w:szCs w:val="18"/>
              </w:rPr>
              <w:t>Nb de SAGE réalisés</w:t>
            </w:r>
          </w:p>
        </w:tc>
        <w:tc>
          <w:tcPr>
            <w:tcW w:w="1607" w:type="dxa"/>
            <w:gridSpan w:val="2"/>
            <w:vMerge/>
          </w:tcPr>
          <w:p w14:paraId="26D3F61F" w14:textId="77777777" w:rsidR="008F2269" w:rsidRPr="00C97088" w:rsidRDefault="008F2269" w:rsidP="002D1362">
            <w:pPr>
              <w:rPr>
                <w:sz w:val="18"/>
                <w:szCs w:val="18"/>
              </w:rPr>
            </w:pPr>
          </w:p>
        </w:tc>
      </w:tr>
      <w:tr w:rsidR="008F2269" w:rsidRPr="00C97088" w14:paraId="3F13B311" w14:textId="77777777" w:rsidTr="002D1362">
        <w:tc>
          <w:tcPr>
            <w:tcW w:w="9640" w:type="dxa"/>
            <w:gridSpan w:val="10"/>
            <w:tcBorders>
              <w:left w:val="nil"/>
              <w:right w:val="nil"/>
            </w:tcBorders>
          </w:tcPr>
          <w:p w14:paraId="0B9DC824" w14:textId="77777777" w:rsidR="008F2269" w:rsidRPr="00934FBA" w:rsidRDefault="008F2269" w:rsidP="002D1362">
            <w:pPr>
              <w:jc w:val="both"/>
              <w:rPr>
                <w:sz w:val="20"/>
                <w:szCs w:val="20"/>
              </w:rPr>
            </w:pPr>
          </w:p>
        </w:tc>
      </w:tr>
      <w:tr w:rsidR="008F2269" w:rsidRPr="00C97088" w14:paraId="0E615D08" w14:textId="77777777" w:rsidTr="002D1362">
        <w:tc>
          <w:tcPr>
            <w:tcW w:w="1135" w:type="dxa"/>
            <w:vMerge w:val="restart"/>
            <w:shd w:val="clear" w:color="auto" w:fill="F2F2F2" w:themeFill="background1" w:themeFillShade="F2"/>
            <w:vAlign w:val="center"/>
          </w:tcPr>
          <w:p w14:paraId="71C97089" w14:textId="77777777" w:rsidR="008F2269" w:rsidRPr="00C97088" w:rsidRDefault="008F2269" w:rsidP="002D1362">
            <w:pPr>
              <w:jc w:val="center"/>
              <w:rPr>
                <w:sz w:val="18"/>
                <w:szCs w:val="18"/>
              </w:rPr>
            </w:pPr>
            <w:r w:rsidRPr="00D47965">
              <w:rPr>
                <w:sz w:val="20"/>
                <w:szCs w:val="20"/>
              </w:rPr>
              <w:t xml:space="preserve">R4.3 Le MHA assure une programmation efficiente du </w:t>
            </w:r>
            <w:r w:rsidRPr="00C97088">
              <w:rPr>
                <w:sz w:val="18"/>
                <w:szCs w:val="18"/>
              </w:rPr>
              <w:t>secteur</w:t>
            </w:r>
          </w:p>
        </w:tc>
        <w:tc>
          <w:tcPr>
            <w:tcW w:w="850" w:type="dxa"/>
          </w:tcPr>
          <w:p w14:paraId="57EF1E0C" w14:textId="77777777" w:rsidR="008F2269" w:rsidRPr="00C97088" w:rsidRDefault="008F2269" w:rsidP="002D1362">
            <w:pPr>
              <w:rPr>
                <w:sz w:val="18"/>
                <w:szCs w:val="18"/>
              </w:rPr>
            </w:pPr>
            <w:r w:rsidRPr="00C97088">
              <w:rPr>
                <w:sz w:val="18"/>
                <w:szCs w:val="18"/>
              </w:rPr>
              <w:t>A.4.3.1</w:t>
            </w:r>
          </w:p>
        </w:tc>
        <w:tc>
          <w:tcPr>
            <w:tcW w:w="2835" w:type="dxa"/>
          </w:tcPr>
          <w:p w14:paraId="0B6089F4" w14:textId="77777777" w:rsidR="008F2269" w:rsidRPr="00934FBA" w:rsidRDefault="008F2269" w:rsidP="002D1362">
            <w:pPr>
              <w:jc w:val="both"/>
              <w:rPr>
                <w:sz w:val="20"/>
                <w:szCs w:val="20"/>
              </w:rPr>
            </w:pPr>
            <w:r w:rsidRPr="00934FBA">
              <w:rPr>
                <w:sz w:val="20"/>
                <w:szCs w:val="20"/>
              </w:rPr>
              <w:t>Elaborer et mettre en œuvre le cadre de programmation des investissements (BPO/CDTM)</w:t>
            </w:r>
          </w:p>
        </w:tc>
        <w:tc>
          <w:tcPr>
            <w:tcW w:w="1087" w:type="dxa"/>
            <w:vAlign w:val="center"/>
          </w:tcPr>
          <w:p w14:paraId="11991615" w14:textId="77777777" w:rsidR="008F2269" w:rsidRPr="00C97088" w:rsidRDefault="008F2269" w:rsidP="002D1362">
            <w:pPr>
              <w:jc w:val="center"/>
              <w:rPr>
                <w:sz w:val="18"/>
                <w:szCs w:val="18"/>
              </w:rPr>
            </w:pPr>
            <w:r w:rsidRPr="00C97088">
              <w:rPr>
                <w:sz w:val="18"/>
                <w:szCs w:val="18"/>
              </w:rPr>
              <w:t>8,0</w:t>
            </w:r>
          </w:p>
        </w:tc>
        <w:tc>
          <w:tcPr>
            <w:tcW w:w="708" w:type="dxa"/>
            <w:gridSpan w:val="2"/>
            <w:vAlign w:val="center"/>
          </w:tcPr>
          <w:p w14:paraId="38F0DF33" w14:textId="77777777" w:rsidR="008F2269" w:rsidRPr="00C97088" w:rsidRDefault="008F2269" w:rsidP="002D1362">
            <w:pPr>
              <w:jc w:val="center"/>
              <w:rPr>
                <w:sz w:val="18"/>
                <w:szCs w:val="18"/>
              </w:rPr>
            </w:pPr>
            <w:r w:rsidRPr="00C97088">
              <w:rPr>
                <w:sz w:val="18"/>
                <w:szCs w:val="18"/>
              </w:rPr>
              <w:t>1</w:t>
            </w:r>
          </w:p>
        </w:tc>
        <w:tc>
          <w:tcPr>
            <w:tcW w:w="1418" w:type="dxa"/>
            <w:gridSpan w:val="2"/>
            <w:vAlign w:val="center"/>
          </w:tcPr>
          <w:p w14:paraId="0BAF6A84" w14:textId="77777777" w:rsidR="008F2269" w:rsidRPr="00C97088" w:rsidRDefault="008F2269" w:rsidP="002D1362">
            <w:pPr>
              <w:jc w:val="center"/>
              <w:rPr>
                <w:sz w:val="18"/>
                <w:szCs w:val="18"/>
              </w:rPr>
            </w:pPr>
            <w:r w:rsidRPr="00C97088">
              <w:rPr>
                <w:sz w:val="18"/>
                <w:szCs w:val="18"/>
              </w:rPr>
              <w:t>Rapports annuels</w:t>
            </w:r>
          </w:p>
        </w:tc>
        <w:tc>
          <w:tcPr>
            <w:tcW w:w="1607" w:type="dxa"/>
            <w:gridSpan w:val="2"/>
            <w:vMerge w:val="restart"/>
            <w:vAlign w:val="center"/>
          </w:tcPr>
          <w:p w14:paraId="63960C43" w14:textId="77777777" w:rsidR="008F2269" w:rsidRPr="00C97088" w:rsidRDefault="008F2269" w:rsidP="002D1362">
            <w:pPr>
              <w:jc w:val="center"/>
              <w:rPr>
                <w:sz w:val="18"/>
                <w:szCs w:val="18"/>
              </w:rPr>
            </w:pPr>
            <w:r w:rsidRPr="00C97088">
              <w:rPr>
                <w:sz w:val="18"/>
                <w:szCs w:val="18"/>
              </w:rPr>
              <w:t>Nb de rapports annuels liés à la coordination</w:t>
            </w:r>
          </w:p>
        </w:tc>
      </w:tr>
      <w:tr w:rsidR="008F2269" w:rsidRPr="00C97088" w14:paraId="0D0E8985" w14:textId="77777777" w:rsidTr="002D1362">
        <w:tc>
          <w:tcPr>
            <w:tcW w:w="1135" w:type="dxa"/>
            <w:vMerge/>
            <w:shd w:val="clear" w:color="auto" w:fill="F2F2F2" w:themeFill="background1" w:themeFillShade="F2"/>
          </w:tcPr>
          <w:p w14:paraId="483AA498" w14:textId="77777777" w:rsidR="008F2269" w:rsidRPr="00C97088" w:rsidRDefault="008F2269" w:rsidP="002D1362">
            <w:pPr>
              <w:rPr>
                <w:sz w:val="18"/>
                <w:szCs w:val="18"/>
              </w:rPr>
            </w:pPr>
          </w:p>
        </w:tc>
        <w:tc>
          <w:tcPr>
            <w:tcW w:w="850" w:type="dxa"/>
          </w:tcPr>
          <w:p w14:paraId="0CC926E6" w14:textId="77777777" w:rsidR="008F2269" w:rsidRPr="00C97088" w:rsidRDefault="008F2269" w:rsidP="002D1362">
            <w:pPr>
              <w:rPr>
                <w:sz w:val="18"/>
                <w:szCs w:val="18"/>
              </w:rPr>
            </w:pPr>
            <w:r w:rsidRPr="00C97088">
              <w:rPr>
                <w:sz w:val="18"/>
                <w:szCs w:val="18"/>
              </w:rPr>
              <w:t>A.4.3.2</w:t>
            </w:r>
          </w:p>
        </w:tc>
        <w:tc>
          <w:tcPr>
            <w:tcW w:w="2835" w:type="dxa"/>
          </w:tcPr>
          <w:p w14:paraId="1BE60A91" w14:textId="77777777" w:rsidR="008F2269" w:rsidRPr="00934FBA" w:rsidRDefault="008F2269" w:rsidP="002D1362">
            <w:pPr>
              <w:jc w:val="both"/>
              <w:rPr>
                <w:sz w:val="20"/>
                <w:szCs w:val="20"/>
              </w:rPr>
            </w:pPr>
            <w:r w:rsidRPr="00934FBA">
              <w:rPr>
                <w:sz w:val="20"/>
                <w:szCs w:val="20"/>
              </w:rPr>
              <w:t>Etablir des contrats-programme tri-annuels avec la SNDE, la SNFP, le CNRE et l’ONSER</w:t>
            </w:r>
          </w:p>
        </w:tc>
        <w:tc>
          <w:tcPr>
            <w:tcW w:w="1087" w:type="dxa"/>
            <w:vAlign w:val="center"/>
          </w:tcPr>
          <w:p w14:paraId="63301B50" w14:textId="77777777" w:rsidR="008F2269" w:rsidRPr="00C97088" w:rsidRDefault="008F2269" w:rsidP="002D1362">
            <w:pPr>
              <w:jc w:val="center"/>
              <w:rPr>
                <w:sz w:val="18"/>
                <w:szCs w:val="18"/>
              </w:rPr>
            </w:pPr>
            <w:r w:rsidRPr="00C97088">
              <w:rPr>
                <w:sz w:val="18"/>
                <w:szCs w:val="18"/>
              </w:rPr>
              <w:t>PM</w:t>
            </w:r>
          </w:p>
        </w:tc>
        <w:tc>
          <w:tcPr>
            <w:tcW w:w="708" w:type="dxa"/>
            <w:gridSpan w:val="2"/>
            <w:vAlign w:val="center"/>
          </w:tcPr>
          <w:p w14:paraId="4794C692" w14:textId="77777777" w:rsidR="008F2269" w:rsidRPr="00C97088" w:rsidRDefault="008F2269" w:rsidP="002D1362">
            <w:pPr>
              <w:jc w:val="center"/>
              <w:rPr>
                <w:sz w:val="18"/>
                <w:szCs w:val="18"/>
              </w:rPr>
            </w:pPr>
            <w:r w:rsidRPr="00C97088">
              <w:rPr>
                <w:sz w:val="18"/>
                <w:szCs w:val="18"/>
              </w:rPr>
              <w:t>1</w:t>
            </w:r>
          </w:p>
        </w:tc>
        <w:tc>
          <w:tcPr>
            <w:tcW w:w="1418" w:type="dxa"/>
            <w:gridSpan w:val="2"/>
            <w:vAlign w:val="center"/>
          </w:tcPr>
          <w:p w14:paraId="3192A834" w14:textId="77777777" w:rsidR="008F2269" w:rsidRPr="00C97088" w:rsidRDefault="008F2269" w:rsidP="002D1362">
            <w:pPr>
              <w:jc w:val="center"/>
              <w:rPr>
                <w:sz w:val="18"/>
                <w:szCs w:val="18"/>
              </w:rPr>
            </w:pPr>
            <w:r w:rsidRPr="00C97088">
              <w:rPr>
                <w:sz w:val="18"/>
                <w:szCs w:val="18"/>
              </w:rPr>
              <w:t>Nb de contrats programme signées</w:t>
            </w:r>
          </w:p>
        </w:tc>
        <w:tc>
          <w:tcPr>
            <w:tcW w:w="1607" w:type="dxa"/>
            <w:gridSpan w:val="2"/>
            <w:vMerge/>
          </w:tcPr>
          <w:p w14:paraId="624BB293" w14:textId="77777777" w:rsidR="008F2269" w:rsidRPr="00C97088" w:rsidRDefault="008F2269" w:rsidP="002D1362">
            <w:pPr>
              <w:rPr>
                <w:sz w:val="18"/>
                <w:szCs w:val="18"/>
              </w:rPr>
            </w:pPr>
          </w:p>
        </w:tc>
      </w:tr>
      <w:tr w:rsidR="008F2269" w:rsidRPr="00C97088" w14:paraId="03FB2312" w14:textId="77777777" w:rsidTr="002D1362">
        <w:tc>
          <w:tcPr>
            <w:tcW w:w="9640" w:type="dxa"/>
            <w:gridSpan w:val="10"/>
            <w:tcBorders>
              <w:left w:val="nil"/>
              <w:bottom w:val="nil"/>
              <w:right w:val="nil"/>
            </w:tcBorders>
          </w:tcPr>
          <w:p w14:paraId="01BE7E2D" w14:textId="77777777" w:rsidR="008F2269" w:rsidRPr="00934FBA" w:rsidRDefault="008F2269" w:rsidP="002D1362">
            <w:pPr>
              <w:jc w:val="both"/>
              <w:rPr>
                <w:sz w:val="20"/>
                <w:szCs w:val="20"/>
              </w:rPr>
            </w:pPr>
          </w:p>
        </w:tc>
      </w:tr>
      <w:tr w:rsidR="008F2269" w:rsidRPr="00C97088" w14:paraId="4E52C06F" w14:textId="77777777" w:rsidTr="002D1362">
        <w:tc>
          <w:tcPr>
            <w:tcW w:w="1135" w:type="dxa"/>
            <w:vMerge w:val="restart"/>
            <w:tcBorders>
              <w:top w:val="single" w:sz="4" w:space="0" w:color="auto"/>
            </w:tcBorders>
            <w:shd w:val="clear" w:color="auto" w:fill="F2F2F2" w:themeFill="background1" w:themeFillShade="F2"/>
          </w:tcPr>
          <w:p w14:paraId="547D2F26" w14:textId="77777777" w:rsidR="008F2269" w:rsidRPr="00C97088" w:rsidRDefault="008F2269" w:rsidP="002D1362">
            <w:pPr>
              <w:rPr>
                <w:sz w:val="18"/>
                <w:szCs w:val="18"/>
              </w:rPr>
            </w:pPr>
            <w:r w:rsidRPr="00D47965">
              <w:rPr>
                <w:sz w:val="20"/>
                <w:szCs w:val="20"/>
              </w:rPr>
              <w:t>R4.4 Le MHA assure une coordination efficiente et un suivi soutenu des interventions sectorielles</w:t>
            </w:r>
          </w:p>
        </w:tc>
        <w:tc>
          <w:tcPr>
            <w:tcW w:w="850" w:type="dxa"/>
          </w:tcPr>
          <w:p w14:paraId="6186ABD2" w14:textId="77777777" w:rsidR="008F2269" w:rsidRPr="00C97088" w:rsidRDefault="008F2269" w:rsidP="002D1362">
            <w:pPr>
              <w:rPr>
                <w:sz w:val="18"/>
                <w:szCs w:val="18"/>
              </w:rPr>
            </w:pPr>
            <w:r w:rsidRPr="00C97088">
              <w:rPr>
                <w:sz w:val="18"/>
                <w:szCs w:val="18"/>
              </w:rPr>
              <w:t>A.4.4.1</w:t>
            </w:r>
          </w:p>
        </w:tc>
        <w:tc>
          <w:tcPr>
            <w:tcW w:w="2835" w:type="dxa"/>
          </w:tcPr>
          <w:p w14:paraId="067A7ED8" w14:textId="77777777" w:rsidR="008F2269" w:rsidRPr="00934FBA" w:rsidRDefault="008F2269" w:rsidP="002D1362">
            <w:pPr>
              <w:jc w:val="both"/>
              <w:rPr>
                <w:sz w:val="20"/>
                <w:szCs w:val="20"/>
              </w:rPr>
            </w:pPr>
            <w:r w:rsidRPr="00934FBA">
              <w:rPr>
                <w:sz w:val="20"/>
                <w:szCs w:val="20"/>
              </w:rPr>
              <w:t xml:space="preserve">Etablir des conventions de délégation de maîtrise d’ouvrage avec les intervenants </w:t>
            </w:r>
          </w:p>
        </w:tc>
        <w:tc>
          <w:tcPr>
            <w:tcW w:w="1087" w:type="dxa"/>
            <w:vAlign w:val="center"/>
          </w:tcPr>
          <w:p w14:paraId="2460D8FF" w14:textId="77777777" w:rsidR="008F2269" w:rsidRPr="00C97088" w:rsidRDefault="008F2269" w:rsidP="002D1362">
            <w:pPr>
              <w:jc w:val="center"/>
              <w:rPr>
                <w:sz w:val="18"/>
                <w:szCs w:val="18"/>
              </w:rPr>
            </w:pPr>
            <w:r w:rsidRPr="00C97088">
              <w:rPr>
                <w:sz w:val="18"/>
                <w:szCs w:val="18"/>
              </w:rPr>
              <w:t>PM</w:t>
            </w:r>
          </w:p>
        </w:tc>
        <w:tc>
          <w:tcPr>
            <w:tcW w:w="708" w:type="dxa"/>
            <w:gridSpan w:val="2"/>
            <w:vAlign w:val="center"/>
          </w:tcPr>
          <w:p w14:paraId="32716EC7" w14:textId="77777777" w:rsidR="008F2269" w:rsidRPr="00C97088" w:rsidRDefault="008F2269" w:rsidP="002D1362">
            <w:pPr>
              <w:jc w:val="center"/>
              <w:rPr>
                <w:sz w:val="18"/>
                <w:szCs w:val="18"/>
              </w:rPr>
            </w:pPr>
            <w:r w:rsidRPr="00C97088">
              <w:rPr>
                <w:sz w:val="18"/>
                <w:szCs w:val="18"/>
              </w:rPr>
              <w:t>1</w:t>
            </w:r>
          </w:p>
        </w:tc>
        <w:tc>
          <w:tcPr>
            <w:tcW w:w="1418" w:type="dxa"/>
            <w:gridSpan w:val="2"/>
            <w:vAlign w:val="center"/>
          </w:tcPr>
          <w:p w14:paraId="44B38E5A" w14:textId="77777777" w:rsidR="008F2269" w:rsidRPr="00D47965" w:rsidRDefault="008F2269" w:rsidP="002D1362">
            <w:pPr>
              <w:jc w:val="center"/>
              <w:rPr>
                <w:sz w:val="20"/>
                <w:szCs w:val="20"/>
              </w:rPr>
            </w:pPr>
            <w:r w:rsidRPr="00D47965">
              <w:rPr>
                <w:sz w:val="20"/>
                <w:szCs w:val="20"/>
              </w:rPr>
              <w:t xml:space="preserve">Nb de </w:t>
            </w:r>
            <w:proofErr w:type="spellStart"/>
            <w:r w:rsidRPr="00D47965">
              <w:rPr>
                <w:sz w:val="20"/>
                <w:szCs w:val="20"/>
              </w:rPr>
              <w:t>conv</w:t>
            </w:r>
            <w:proofErr w:type="spellEnd"/>
            <w:r w:rsidRPr="00D47965">
              <w:rPr>
                <w:sz w:val="20"/>
                <w:szCs w:val="20"/>
              </w:rPr>
              <w:t xml:space="preserve">. </w:t>
            </w:r>
            <w:proofErr w:type="gramStart"/>
            <w:r w:rsidRPr="00D47965">
              <w:rPr>
                <w:sz w:val="20"/>
                <w:szCs w:val="20"/>
              </w:rPr>
              <w:t>signées</w:t>
            </w:r>
            <w:proofErr w:type="gramEnd"/>
          </w:p>
        </w:tc>
        <w:tc>
          <w:tcPr>
            <w:tcW w:w="1607" w:type="dxa"/>
            <w:gridSpan w:val="2"/>
            <w:vMerge w:val="restart"/>
            <w:vAlign w:val="center"/>
          </w:tcPr>
          <w:p w14:paraId="3768E62B" w14:textId="77777777" w:rsidR="008F2269" w:rsidRPr="00D47965" w:rsidRDefault="008F2269" w:rsidP="002D1362">
            <w:pPr>
              <w:jc w:val="center"/>
              <w:rPr>
                <w:sz w:val="20"/>
                <w:szCs w:val="20"/>
              </w:rPr>
            </w:pPr>
            <w:r w:rsidRPr="00D47965">
              <w:rPr>
                <w:sz w:val="20"/>
                <w:szCs w:val="20"/>
              </w:rPr>
              <w:t>Nb de rapports annuels liés à la coordination</w:t>
            </w:r>
          </w:p>
        </w:tc>
      </w:tr>
      <w:tr w:rsidR="008F2269" w:rsidRPr="00C97088" w14:paraId="32734729" w14:textId="77777777" w:rsidTr="002D1362">
        <w:tc>
          <w:tcPr>
            <w:tcW w:w="1135" w:type="dxa"/>
            <w:vMerge/>
            <w:tcBorders>
              <w:top w:val="nil"/>
            </w:tcBorders>
            <w:shd w:val="clear" w:color="auto" w:fill="F2F2F2" w:themeFill="background1" w:themeFillShade="F2"/>
          </w:tcPr>
          <w:p w14:paraId="57AD40BC" w14:textId="77777777" w:rsidR="008F2269" w:rsidRPr="00C97088" w:rsidRDefault="008F2269" w:rsidP="002D1362">
            <w:pPr>
              <w:rPr>
                <w:sz w:val="18"/>
                <w:szCs w:val="18"/>
              </w:rPr>
            </w:pPr>
          </w:p>
        </w:tc>
        <w:tc>
          <w:tcPr>
            <w:tcW w:w="850" w:type="dxa"/>
          </w:tcPr>
          <w:p w14:paraId="2C99410B" w14:textId="77777777" w:rsidR="008F2269" w:rsidRPr="00C97088" w:rsidRDefault="008F2269" w:rsidP="002D1362">
            <w:pPr>
              <w:rPr>
                <w:sz w:val="18"/>
                <w:szCs w:val="18"/>
              </w:rPr>
            </w:pPr>
            <w:r w:rsidRPr="00C97088">
              <w:rPr>
                <w:sz w:val="18"/>
                <w:szCs w:val="18"/>
              </w:rPr>
              <w:t>A.4.4.2</w:t>
            </w:r>
          </w:p>
        </w:tc>
        <w:tc>
          <w:tcPr>
            <w:tcW w:w="2835" w:type="dxa"/>
            <w:shd w:val="clear" w:color="auto" w:fill="D9E2F3" w:themeFill="accent1" w:themeFillTint="33"/>
          </w:tcPr>
          <w:p w14:paraId="0E61072F" w14:textId="77777777" w:rsidR="008F2269" w:rsidRPr="00934FBA" w:rsidRDefault="008F2269" w:rsidP="002D1362">
            <w:pPr>
              <w:jc w:val="both"/>
              <w:rPr>
                <w:sz w:val="20"/>
                <w:szCs w:val="20"/>
              </w:rPr>
            </w:pPr>
            <w:r w:rsidRPr="00934FBA">
              <w:rPr>
                <w:sz w:val="20"/>
                <w:szCs w:val="20"/>
              </w:rPr>
              <w:t>Développer et mettre à jour les bases de données du MHA pour assurer un suivi annuel des indicateurs</w:t>
            </w:r>
          </w:p>
        </w:tc>
        <w:tc>
          <w:tcPr>
            <w:tcW w:w="1087" w:type="dxa"/>
            <w:vAlign w:val="center"/>
          </w:tcPr>
          <w:p w14:paraId="3B5D54CA" w14:textId="77777777" w:rsidR="008F2269" w:rsidRPr="00C97088" w:rsidRDefault="008F2269" w:rsidP="002D1362">
            <w:pPr>
              <w:jc w:val="center"/>
              <w:rPr>
                <w:sz w:val="18"/>
                <w:szCs w:val="18"/>
              </w:rPr>
            </w:pPr>
            <w:r w:rsidRPr="00C97088">
              <w:rPr>
                <w:sz w:val="18"/>
                <w:szCs w:val="18"/>
              </w:rPr>
              <w:t>34,0</w:t>
            </w:r>
          </w:p>
        </w:tc>
        <w:tc>
          <w:tcPr>
            <w:tcW w:w="708" w:type="dxa"/>
            <w:gridSpan w:val="2"/>
            <w:vAlign w:val="center"/>
          </w:tcPr>
          <w:p w14:paraId="068AA480" w14:textId="77777777" w:rsidR="008F2269" w:rsidRPr="00C97088" w:rsidRDefault="008F2269" w:rsidP="002D1362">
            <w:pPr>
              <w:jc w:val="center"/>
              <w:rPr>
                <w:sz w:val="18"/>
                <w:szCs w:val="18"/>
              </w:rPr>
            </w:pPr>
            <w:r w:rsidRPr="00C97088">
              <w:rPr>
                <w:sz w:val="18"/>
                <w:szCs w:val="18"/>
              </w:rPr>
              <w:t>1</w:t>
            </w:r>
          </w:p>
        </w:tc>
        <w:tc>
          <w:tcPr>
            <w:tcW w:w="1418" w:type="dxa"/>
            <w:gridSpan w:val="2"/>
            <w:vAlign w:val="center"/>
          </w:tcPr>
          <w:p w14:paraId="0FD5712F" w14:textId="77777777" w:rsidR="008F2269" w:rsidRPr="00D47965" w:rsidRDefault="008F2269" w:rsidP="002D1362">
            <w:pPr>
              <w:jc w:val="center"/>
              <w:rPr>
                <w:sz w:val="20"/>
                <w:szCs w:val="20"/>
              </w:rPr>
            </w:pPr>
            <w:r w:rsidRPr="00D47965">
              <w:rPr>
                <w:sz w:val="20"/>
                <w:szCs w:val="20"/>
              </w:rPr>
              <w:t>Rapports annuels de suivi des indicateurs</w:t>
            </w:r>
          </w:p>
        </w:tc>
        <w:tc>
          <w:tcPr>
            <w:tcW w:w="1607" w:type="dxa"/>
            <w:gridSpan w:val="2"/>
            <w:vMerge/>
          </w:tcPr>
          <w:p w14:paraId="0A63D1C6" w14:textId="77777777" w:rsidR="008F2269" w:rsidRPr="00D47965" w:rsidRDefault="008F2269" w:rsidP="002D1362">
            <w:pPr>
              <w:rPr>
                <w:sz w:val="20"/>
                <w:szCs w:val="20"/>
              </w:rPr>
            </w:pPr>
          </w:p>
        </w:tc>
      </w:tr>
      <w:tr w:rsidR="008F2269" w:rsidRPr="00C97088" w14:paraId="7D086AB8" w14:textId="77777777" w:rsidTr="002D1362">
        <w:tc>
          <w:tcPr>
            <w:tcW w:w="1135" w:type="dxa"/>
            <w:vMerge/>
            <w:tcBorders>
              <w:top w:val="nil"/>
            </w:tcBorders>
            <w:shd w:val="clear" w:color="auto" w:fill="F2F2F2" w:themeFill="background1" w:themeFillShade="F2"/>
          </w:tcPr>
          <w:p w14:paraId="0B7DCC82" w14:textId="77777777" w:rsidR="008F2269" w:rsidRPr="00C97088" w:rsidRDefault="008F2269" w:rsidP="002D1362">
            <w:pPr>
              <w:rPr>
                <w:sz w:val="18"/>
                <w:szCs w:val="18"/>
              </w:rPr>
            </w:pPr>
          </w:p>
        </w:tc>
        <w:tc>
          <w:tcPr>
            <w:tcW w:w="850" w:type="dxa"/>
          </w:tcPr>
          <w:p w14:paraId="741B5E2E" w14:textId="77777777" w:rsidR="008F2269" w:rsidRPr="00C97088" w:rsidRDefault="008F2269" w:rsidP="002D1362">
            <w:pPr>
              <w:rPr>
                <w:sz w:val="18"/>
                <w:szCs w:val="18"/>
              </w:rPr>
            </w:pPr>
            <w:r w:rsidRPr="00C97088">
              <w:rPr>
                <w:sz w:val="18"/>
                <w:szCs w:val="18"/>
              </w:rPr>
              <w:t>A.4.4.3</w:t>
            </w:r>
          </w:p>
        </w:tc>
        <w:tc>
          <w:tcPr>
            <w:tcW w:w="2835" w:type="dxa"/>
          </w:tcPr>
          <w:p w14:paraId="58F90B70" w14:textId="77777777" w:rsidR="008F2269" w:rsidRPr="00934FBA" w:rsidRDefault="008F2269" w:rsidP="002D1362">
            <w:pPr>
              <w:jc w:val="both"/>
              <w:rPr>
                <w:sz w:val="20"/>
                <w:szCs w:val="20"/>
              </w:rPr>
            </w:pPr>
            <w:r w:rsidRPr="00934FBA">
              <w:rPr>
                <w:sz w:val="20"/>
                <w:szCs w:val="20"/>
              </w:rPr>
              <w:t>Mettre en place un système de suivi-évaluation des intervenants sectorielles</w:t>
            </w:r>
          </w:p>
        </w:tc>
        <w:tc>
          <w:tcPr>
            <w:tcW w:w="1087" w:type="dxa"/>
            <w:vAlign w:val="center"/>
          </w:tcPr>
          <w:p w14:paraId="6538A3EC" w14:textId="77777777" w:rsidR="008F2269" w:rsidRPr="00D47965" w:rsidRDefault="008F2269" w:rsidP="002D1362">
            <w:pPr>
              <w:jc w:val="center"/>
              <w:rPr>
                <w:sz w:val="20"/>
                <w:szCs w:val="20"/>
              </w:rPr>
            </w:pPr>
            <w:r w:rsidRPr="00D47965">
              <w:rPr>
                <w:sz w:val="20"/>
                <w:szCs w:val="20"/>
              </w:rPr>
              <w:t>38,0</w:t>
            </w:r>
          </w:p>
        </w:tc>
        <w:tc>
          <w:tcPr>
            <w:tcW w:w="708" w:type="dxa"/>
            <w:gridSpan w:val="2"/>
            <w:vAlign w:val="center"/>
          </w:tcPr>
          <w:p w14:paraId="48F58593" w14:textId="77777777" w:rsidR="008F2269" w:rsidRPr="00D47965" w:rsidRDefault="008F2269" w:rsidP="002D1362">
            <w:pPr>
              <w:jc w:val="center"/>
              <w:rPr>
                <w:sz w:val="20"/>
                <w:szCs w:val="20"/>
              </w:rPr>
            </w:pPr>
            <w:r w:rsidRPr="00D47965">
              <w:rPr>
                <w:sz w:val="20"/>
                <w:szCs w:val="20"/>
              </w:rPr>
              <w:t>1</w:t>
            </w:r>
          </w:p>
        </w:tc>
        <w:tc>
          <w:tcPr>
            <w:tcW w:w="1418" w:type="dxa"/>
            <w:gridSpan w:val="2"/>
            <w:vAlign w:val="center"/>
          </w:tcPr>
          <w:p w14:paraId="0E124760" w14:textId="77777777" w:rsidR="008F2269" w:rsidRPr="00D47965" w:rsidRDefault="008F2269" w:rsidP="002D1362">
            <w:pPr>
              <w:jc w:val="center"/>
              <w:rPr>
                <w:sz w:val="20"/>
                <w:szCs w:val="20"/>
              </w:rPr>
            </w:pPr>
            <w:r w:rsidRPr="00D47965">
              <w:rPr>
                <w:sz w:val="20"/>
                <w:szCs w:val="20"/>
              </w:rPr>
              <w:t>Nb de rapports d’évaluation</w:t>
            </w:r>
          </w:p>
        </w:tc>
        <w:tc>
          <w:tcPr>
            <w:tcW w:w="1607" w:type="dxa"/>
            <w:gridSpan w:val="2"/>
            <w:vMerge/>
          </w:tcPr>
          <w:p w14:paraId="6E48E1B9" w14:textId="77777777" w:rsidR="008F2269" w:rsidRPr="00C97088" w:rsidRDefault="008F2269" w:rsidP="002D1362">
            <w:pPr>
              <w:rPr>
                <w:sz w:val="18"/>
                <w:szCs w:val="18"/>
              </w:rPr>
            </w:pPr>
          </w:p>
        </w:tc>
      </w:tr>
    </w:tbl>
    <w:p w14:paraId="46F30011" w14:textId="77777777" w:rsidR="008F2269" w:rsidRPr="00C97088" w:rsidRDefault="008F2269" w:rsidP="008F2269">
      <w:pPr>
        <w:rPr>
          <w:sz w:val="24"/>
          <w:szCs w:val="24"/>
        </w:rPr>
      </w:pPr>
    </w:p>
    <w:p w14:paraId="73566351" w14:textId="77777777" w:rsidR="008F2269" w:rsidRDefault="008F2269" w:rsidP="008F2269"/>
    <w:p w14:paraId="542CFDC8" w14:textId="77777777" w:rsidR="008F2269" w:rsidRDefault="008F2269" w:rsidP="008F2269"/>
    <w:p w14:paraId="5D10B619" w14:textId="77777777" w:rsidR="008F2269" w:rsidRDefault="008F2269" w:rsidP="008F2269">
      <w:r>
        <w:br w:type="page"/>
      </w:r>
    </w:p>
    <w:p w14:paraId="6526D21E" w14:textId="77777777" w:rsidR="008F2269" w:rsidRDefault="008F2269" w:rsidP="008F2269"/>
    <w:tbl>
      <w:tblPr>
        <w:tblStyle w:val="Grilledutableau"/>
        <w:tblpPr w:leftFromText="141" w:rightFromText="141" w:vertAnchor="text" w:horzAnchor="margin" w:tblpXSpec="center" w:tblpY="581"/>
        <w:tblW w:w="10173" w:type="dxa"/>
        <w:tblLayout w:type="fixed"/>
        <w:tblLook w:val="04A0" w:firstRow="1" w:lastRow="0" w:firstColumn="1" w:lastColumn="0" w:noHBand="0" w:noVBand="1"/>
      </w:tblPr>
      <w:tblGrid>
        <w:gridCol w:w="1242"/>
        <w:gridCol w:w="69"/>
        <w:gridCol w:w="674"/>
        <w:gridCol w:w="108"/>
        <w:gridCol w:w="2268"/>
        <w:gridCol w:w="992"/>
        <w:gridCol w:w="567"/>
        <w:gridCol w:w="1418"/>
        <w:gridCol w:w="992"/>
        <w:gridCol w:w="1843"/>
      </w:tblGrid>
      <w:tr w:rsidR="008F2269" w:rsidRPr="00461D2C" w14:paraId="6D80C775" w14:textId="77777777" w:rsidTr="002D1362">
        <w:tc>
          <w:tcPr>
            <w:tcW w:w="1242" w:type="dxa"/>
            <w:shd w:val="clear" w:color="auto" w:fill="70AD47" w:themeFill="accent6"/>
            <w:vAlign w:val="center"/>
          </w:tcPr>
          <w:p w14:paraId="1D57BE77" w14:textId="77777777" w:rsidR="008F2269" w:rsidRPr="00C97088" w:rsidRDefault="008F2269" w:rsidP="002D1362">
            <w:pPr>
              <w:jc w:val="center"/>
              <w:rPr>
                <w:b/>
                <w:bCs/>
                <w:sz w:val="18"/>
                <w:szCs w:val="18"/>
              </w:rPr>
            </w:pPr>
            <w:r w:rsidRPr="00C97088">
              <w:rPr>
                <w:b/>
                <w:bCs/>
                <w:sz w:val="18"/>
                <w:szCs w:val="18"/>
              </w:rPr>
              <w:t>Résultats</w:t>
            </w:r>
          </w:p>
        </w:tc>
        <w:tc>
          <w:tcPr>
            <w:tcW w:w="3119" w:type="dxa"/>
            <w:gridSpan w:val="4"/>
            <w:shd w:val="clear" w:color="auto" w:fill="70AD47" w:themeFill="accent6"/>
            <w:vAlign w:val="center"/>
          </w:tcPr>
          <w:p w14:paraId="4A328E7B" w14:textId="77777777" w:rsidR="008F2269" w:rsidRPr="00C97088" w:rsidRDefault="008F2269" w:rsidP="002D1362">
            <w:pPr>
              <w:jc w:val="center"/>
              <w:rPr>
                <w:b/>
                <w:bCs/>
                <w:sz w:val="18"/>
                <w:szCs w:val="18"/>
              </w:rPr>
            </w:pPr>
            <w:r w:rsidRPr="00C97088">
              <w:rPr>
                <w:b/>
                <w:bCs/>
                <w:sz w:val="18"/>
                <w:szCs w:val="18"/>
              </w:rPr>
              <w:t>Activités</w:t>
            </w:r>
          </w:p>
        </w:tc>
        <w:tc>
          <w:tcPr>
            <w:tcW w:w="992" w:type="dxa"/>
            <w:shd w:val="clear" w:color="auto" w:fill="70AD47" w:themeFill="accent6"/>
            <w:vAlign w:val="center"/>
          </w:tcPr>
          <w:p w14:paraId="1090E7D1" w14:textId="77777777" w:rsidR="008F2269" w:rsidRPr="00C97088" w:rsidRDefault="008F2269" w:rsidP="002D1362">
            <w:pPr>
              <w:jc w:val="center"/>
              <w:rPr>
                <w:b/>
                <w:bCs/>
                <w:sz w:val="18"/>
                <w:szCs w:val="18"/>
              </w:rPr>
            </w:pPr>
            <w:r w:rsidRPr="00C97088">
              <w:rPr>
                <w:b/>
                <w:bCs/>
                <w:sz w:val="18"/>
                <w:szCs w:val="18"/>
              </w:rPr>
              <w:t>Budget indicatif (MMRU)</w:t>
            </w:r>
          </w:p>
        </w:tc>
        <w:tc>
          <w:tcPr>
            <w:tcW w:w="567" w:type="dxa"/>
            <w:shd w:val="clear" w:color="auto" w:fill="70AD47" w:themeFill="accent6"/>
            <w:vAlign w:val="center"/>
          </w:tcPr>
          <w:p w14:paraId="2219FC51" w14:textId="77777777" w:rsidR="008F2269" w:rsidRPr="00C97088" w:rsidRDefault="008F2269" w:rsidP="002D1362">
            <w:pPr>
              <w:jc w:val="center"/>
              <w:rPr>
                <w:b/>
                <w:bCs/>
                <w:sz w:val="18"/>
                <w:szCs w:val="18"/>
              </w:rPr>
            </w:pPr>
            <w:r>
              <w:rPr>
                <w:b/>
                <w:bCs/>
                <w:sz w:val="18"/>
                <w:szCs w:val="18"/>
              </w:rPr>
              <w:t>P</w:t>
            </w:r>
            <w:r w:rsidRPr="00C97088">
              <w:rPr>
                <w:b/>
                <w:bCs/>
                <w:sz w:val="18"/>
                <w:szCs w:val="18"/>
              </w:rPr>
              <w:t>riorité</w:t>
            </w:r>
          </w:p>
        </w:tc>
        <w:tc>
          <w:tcPr>
            <w:tcW w:w="1418" w:type="dxa"/>
            <w:shd w:val="clear" w:color="auto" w:fill="70AD47" w:themeFill="accent6"/>
            <w:vAlign w:val="center"/>
          </w:tcPr>
          <w:p w14:paraId="59F17C87" w14:textId="77777777" w:rsidR="008F2269" w:rsidRPr="00C97088" w:rsidRDefault="008F2269" w:rsidP="002D1362">
            <w:pPr>
              <w:jc w:val="center"/>
              <w:rPr>
                <w:b/>
                <w:bCs/>
                <w:sz w:val="18"/>
                <w:szCs w:val="18"/>
              </w:rPr>
            </w:pPr>
            <w:r w:rsidRPr="00C97088">
              <w:rPr>
                <w:b/>
                <w:bCs/>
                <w:sz w:val="18"/>
                <w:szCs w:val="18"/>
              </w:rPr>
              <w:t>Indicateurs activités</w:t>
            </w:r>
          </w:p>
        </w:tc>
        <w:tc>
          <w:tcPr>
            <w:tcW w:w="992" w:type="dxa"/>
            <w:shd w:val="clear" w:color="auto" w:fill="70AD47" w:themeFill="accent6"/>
            <w:vAlign w:val="center"/>
          </w:tcPr>
          <w:p w14:paraId="20431D5D" w14:textId="77777777" w:rsidR="008F2269" w:rsidRPr="00C97088" w:rsidRDefault="008F2269" w:rsidP="002D1362">
            <w:pPr>
              <w:jc w:val="center"/>
              <w:rPr>
                <w:b/>
                <w:bCs/>
                <w:sz w:val="18"/>
                <w:szCs w:val="18"/>
              </w:rPr>
            </w:pPr>
            <w:r w:rsidRPr="00C97088">
              <w:rPr>
                <w:b/>
                <w:bCs/>
                <w:sz w:val="18"/>
                <w:szCs w:val="18"/>
              </w:rPr>
              <w:t>Indicateurs résultats</w:t>
            </w:r>
          </w:p>
        </w:tc>
        <w:tc>
          <w:tcPr>
            <w:tcW w:w="1843" w:type="dxa"/>
            <w:shd w:val="clear" w:color="auto" w:fill="70AD47" w:themeFill="accent6"/>
            <w:vAlign w:val="center"/>
          </w:tcPr>
          <w:p w14:paraId="49CA35DA" w14:textId="77777777" w:rsidR="008F2269" w:rsidRPr="00C97088" w:rsidRDefault="008F2269" w:rsidP="002D1362">
            <w:pPr>
              <w:jc w:val="center"/>
              <w:rPr>
                <w:b/>
                <w:bCs/>
                <w:sz w:val="18"/>
                <w:szCs w:val="18"/>
              </w:rPr>
            </w:pPr>
            <w:r w:rsidRPr="00C97088">
              <w:rPr>
                <w:b/>
                <w:bCs/>
                <w:sz w:val="18"/>
                <w:szCs w:val="18"/>
              </w:rPr>
              <w:t>Commentaires</w:t>
            </w:r>
          </w:p>
        </w:tc>
      </w:tr>
      <w:tr w:rsidR="008F2269" w:rsidRPr="00C97088" w14:paraId="487BE978" w14:textId="77777777" w:rsidTr="002D1362">
        <w:tc>
          <w:tcPr>
            <w:tcW w:w="1242" w:type="dxa"/>
            <w:vMerge w:val="restart"/>
            <w:shd w:val="clear" w:color="auto" w:fill="D9D9D9" w:themeFill="background1" w:themeFillShade="D9"/>
            <w:vAlign w:val="center"/>
          </w:tcPr>
          <w:p w14:paraId="0070B67D" w14:textId="77777777" w:rsidR="008F2269" w:rsidRPr="00C97088" w:rsidRDefault="008F2269" w:rsidP="002D1362">
            <w:pPr>
              <w:jc w:val="center"/>
              <w:rPr>
                <w:sz w:val="20"/>
                <w:szCs w:val="20"/>
              </w:rPr>
            </w:pPr>
            <w:r w:rsidRPr="00C97088">
              <w:rPr>
                <w:sz w:val="20"/>
                <w:szCs w:val="20"/>
              </w:rPr>
              <w:t>R4.5 Le MHA assure une concentration soutenue avec l’ensemble des acteurs du secteur</w:t>
            </w:r>
          </w:p>
          <w:p w14:paraId="7F158AEF" w14:textId="77777777" w:rsidR="008F2269" w:rsidRPr="00C97088" w:rsidRDefault="008F2269" w:rsidP="002D1362">
            <w:pPr>
              <w:jc w:val="center"/>
              <w:rPr>
                <w:sz w:val="20"/>
                <w:szCs w:val="20"/>
              </w:rPr>
            </w:pPr>
          </w:p>
          <w:p w14:paraId="787FF57F" w14:textId="77777777" w:rsidR="008F2269" w:rsidRPr="00C97088" w:rsidRDefault="008F2269" w:rsidP="002D1362">
            <w:pPr>
              <w:jc w:val="center"/>
              <w:rPr>
                <w:sz w:val="20"/>
                <w:szCs w:val="20"/>
              </w:rPr>
            </w:pPr>
          </w:p>
        </w:tc>
        <w:tc>
          <w:tcPr>
            <w:tcW w:w="851" w:type="dxa"/>
            <w:gridSpan w:val="3"/>
          </w:tcPr>
          <w:p w14:paraId="5FFA0C7C" w14:textId="77777777" w:rsidR="008F2269" w:rsidRPr="00C97088" w:rsidRDefault="008F2269" w:rsidP="002D1362">
            <w:pPr>
              <w:rPr>
                <w:sz w:val="20"/>
                <w:szCs w:val="20"/>
              </w:rPr>
            </w:pPr>
            <w:r w:rsidRPr="00C97088">
              <w:rPr>
                <w:sz w:val="20"/>
                <w:szCs w:val="20"/>
              </w:rPr>
              <w:t>A.4.5.1</w:t>
            </w:r>
          </w:p>
        </w:tc>
        <w:tc>
          <w:tcPr>
            <w:tcW w:w="2268" w:type="dxa"/>
          </w:tcPr>
          <w:p w14:paraId="16BDDAEC" w14:textId="77777777" w:rsidR="008F2269" w:rsidRPr="00C97088" w:rsidRDefault="008F2269" w:rsidP="002D1362">
            <w:pPr>
              <w:rPr>
                <w:sz w:val="20"/>
                <w:szCs w:val="20"/>
              </w:rPr>
            </w:pPr>
            <w:r w:rsidRPr="00C97088">
              <w:rPr>
                <w:sz w:val="20"/>
                <w:szCs w:val="20"/>
              </w:rPr>
              <w:t>Redynamiser le cadre intersectoriel pour l’eau, l’assainissement, l’hygiène et l’environnement</w:t>
            </w:r>
          </w:p>
        </w:tc>
        <w:tc>
          <w:tcPr>
            <w:tcW w:w="992" w:type="dxa"/>
            <w:vAlign w:val="center"/>
          </w:tcPr>
          <w:p w14:paraId="0C845C77" w14:textId="77777777" w:rsidR="008F2269" w:rsidRPr="00C97088" w:rsidRDefault="008F2269" w:rsidP="002D1362">
            <w:pPr>
              <w:jc w:val="center"/>
              <w:rPr>
                <w:sz w:val="20"/>
                <w:szCs w:val="20"/>
              </w:rPr>
            </w:pPr>
            <w:r w:rsidRPr="00C97088">
              <w:rPr>
                <w:sz w:val="20"/>
                <w:szCs w:val="20"/>
              </w:rPr>
              <w:t>5,0</w:t>
            </w:r>
          </w:p>
        </w:tc>
        <w:tc>
          <w:tcPr>
            <w:tcW w:w="567" w:type="dxa"/>
            <w:vAlign w:val="center"/>
          </w:tcPr>
          <w:p w14:paraId="4CDBF4B5" w14:textId="77777777" w:rsidR="008F2269" w:rsidRPr="00C97088" w:rsidRDefault="008F2269" w:rsidP="002D1362">
            <w:pPr>
              <w:jc w:val="center"/>
              <w:rPr>
                <w:sz w:val="20"/>
                <w:szCs w:val="20"/>
              </w:rPr>
            </w:pPr>
            <w:r w:rsidRPr="00C97088">
              <w:rPr>
                <w:sz w:val="20"/>
                <w:szCs w:val="20"/>
              </w:rPr>
              <w:t>1</w:t>
            </w:r>
          </w:p>
        </w:tc>
        <w:tc>
          <w:tcPr>
            <w:tcW w:w="1418" w:type="dxa"/>
            <w:vAlign w:val="center"/>
          </w:tcPr>
          <w:p w14:paraId="2D47956D" w14:textId="77777777" w:rsidR="008F2269" w:rsidRPr="00C97088" w:rsidRDefault="008F2269" w:rsidP="002D1362">
            <w:pPr>
              <w:jc w:val="center"/>
              <w:rPr>
                <w:sz w:val="20"/>
                <w:szCs w:val="20"/>
              </w:rPr>
            </w:pPr>
            <w:r w:rsidRPr="00C97088">
              <w:rPr>
                <w:sz w:val="20"/>
                <w:szCs w:val="20"/>
              </w:rPr>
              <w:t>Nb de réunions tenues</w:t>
            </w:r>
          </w:p>
        </w:tc>
        <w:tc>
          <w:tcPr>
            <w:tcW w:w="992" w:type="dxa"/>
            <w:vMerge w:val="restart"/>
            <w:vAlign w:val="center"/>
          </w:tcPr>
          <w:p w14:paraId="2E3C4FFD" w14:textId="77777777" w:rsidR="008F2269" w:rsidRPr="00C97088" w:rsidRDefault="008F2269" w:rsidP="002D1362">
            <w:pPr>
              <w:jc w:val="center"/>
              <w:rPr>
                <w:sz w:val="20"/>
                <w:szCs w:val="20"/>
              </w:rPr>
            </w:pPr>
            <w:r w:rsidRPr="00C97088">
              <w:rPr>
                <w:sz w:val="20"/>
                <w:szCs w:val="20"/>
              </w:rPr>
              <w:t>Nb de compte rendus rédigés</w:t>
            </w:r>
          </w:p>
        </w:tc>
        <w:tc>
          <w:tcPr>
            <w:tcW w:w="1843" w:type="dxa"/>
            <w:vAlign w:val="center"/>
          </w:tcPr>
          <w:p w14:paraId="5AD56B22" w14:textId="77777777" w:rsidR="008F2269" w:rsidRPr="00C97088" w:rsidRDefault="008F2269" w:rsidP="002D1362">
            <w:pPr>
              <w:jc w:val="center"/>
              <w:rPr>
                <w:sz w:val="20"/>
                <w:szCs w:val="20"/>
              </w:rPr>
            </w:pPr>
            <w:r w:rsidRPr="00C97088">
              <w:rPr>
                <w:sz w:val="20"/>
                <w:szCs w:val="20"/>
              </w:rPr>
              <w:t>Intégrer la REPAM dans le CTTE (3 réunions annuelles à 2500 euros chaque)</w:t>
            </w:r>
          </w:p>
        </w:tc>
      </w:tr>
      <w:tr w:rsidR="008F2269" w:rsidRPr="00C97088" w14:paraId="43D25BB6" w14:textId="77777777" w:rsidTr="002D1362">
        <w:tc>
          <w:tcPr>
            <w:tcW w:w="1242" w:type="dxa"/>
            <w:vMerge/>
            <w:shd w:val="clear" w:color="auto" w:fill="D9D9D9" w:themeFill="background1" w:themeFillShade="D9"/>
          </w:tcPr>
          <w:p w14:paraId="54B86C92" w14:textId="77777777" w:rsidR="008F2269" w:rsidRPr="00C97088" w:rsidRDefault="008F2269" w:rsidP="002D1362">
            <w:pPr>
              <w:rPr>
                <w:sz w:val="20"/>
                <w:szCs w:val="20"/>
              </w:rPr>
            </w:pPr>
          </w:p>
        </w:tc>
        <w:tc>
          <w:tcPr>
            <w:tcW w:w="851" w:type="dxa"/>
            <w:gridSpan w:val="3"/>
          </w:tcPr>
          <w:p w14:paraId="4229FDEC" w14:textId="77777777" w:rsidR="008F2269" w:rsidRPr="00C97088" w:rsidRDefault="008F2269" w:rsidP="002D1362">
            <w:pPr>
              <w:rPr>
                <w:sz w:val="20"/>
                <w:szCs w:val="20"/>
              </w:rPr>
            </w:pPr>
            <w:r w:rsidRPr="00C97088">
              <w:rPr>
                <w:sz w:val="20"/>
                <w:szCs w:val="20"/>
              </w:rPr>
              <w:t>A.4.5.2</w:t>
            </w:r>
          </w:p>
        </w:tc>
        <w:tc>
          <w:tcPr>
            <w:tcW w:w="2268" w:type="dxa"/>
          </w:tcPr>
          <w:p w14:paraId="5FFF1B40" w14:textId="77777777" w:rsidR="008F2269" w:rsidRPr="00C97088" w:rsidRDefault="008F2269" w:rsidP="002D1362">
            <w:pPr>
              <w:rPr>
                <w:sz w:val="20"/>
                <w:szCs w:val="20"/>
              </w:rPr>
            </w:pPr>
            <w:r w:rsidRPr="00C97088">
              <w:rPr>
                <w:sz w:val="20"/>
                <w:szCs w:val="20"/>
              </w:rPr>
              <w:t>Organiser une revue sectorielle chaque année et diffuser l’information</w:t>
            </w:r>
          </w:p>
        </w:tc>
        <w:tc>
          <w:tcPr>
            <w:tcW w:w="992" w:type="dxa"/>
            <w:vAlign w:val="center"/>
          </w:tcPr>
          <w:p w14:paraId="58C56241" w14:textId="77777777" w:rsidR="008F2269" w:rsidRPr="00C97088" w:rsidRDefault="008F2269" w:rsidP="002D1362">
            <w:pPr>
              <w:jc w:val="center"/>
              <w:rPr>
                <w:sz w:val="20"/>
                <w:szCs w:val="20"/>
              </w:rPr>
            </w:pPr>
            <w:r w:rsidRPr="00C97088">
              <w:rPr>
                <w:sz w:val="20"/>
                <w:szCs w:val="20"/>
              </w:rPr>
              <w:t>4,0</w:t>
            </w:r>
          </w:p>
        </w:tc>
        <w:tc>
          <w:tcPr>
            <w:tcW w:w="567" w:type="dxa"/>
            <w:vAlign w:val="center"/>
          </w:tcPr>
          <w:p w14:paraId="2757490E" w14:textId="77777777" w:rsidR="008F2269" w:rsidRPr="00C97088" w:rsidRDefault="008F2269" w:rsidP="002D1362">
            <w:pPr>
              <w:jc w:val="center"/>
              <w:rPr>
                <w:sz w:val="20"/>
                <w:szCs w:val="20"/>
              </w:rPr>
            </w:pPr>
            <w:r w:rsidRPr="00C97088">
              <w:rPr>
                <w:sz w:val="20"/>
                <w:szCs w:val="20"/>
              </w:rPr>
              <w:t>1</w:t>
            </w:r>
          </w:p>
        </w:tc>
        <w:tc>
          <w:tcPr>
            <w:tcW w:w="1418" w:type="dxa"/>
            <w:vAlign w:val="center"/>
          </w:tcPr>
          <w:p w14:paraId="5A9A7813" w14:textId="77777777" w:rsidR="008F2269" w:rsidRPr="00C97088" w:rsidRDefault="008F2269" w:rsidP="002D1362">
            <w:pPr>
              <w:jc w:val="center"/>
              <w:rPr>
                <w:sz w:val="20"/>
                <w:szCs w:val="20"/>
              </w:rPr>
            </w:pPr>
            <w:r w:rsidRPr="00C97088">
              <w:rPr>
                <w:sz w:val="20"/>
                <w:szCs w:val="20"/>
              </w:rPr>
              <w:t>Nb de revues réalisées</w:t>
            </w:r>
          </w:p>
        </w:tc>
        <w:tc>
          <w:tcPr>
            <w:tcW w:w="992" w:type="dxa"/>
            <w:vMerge/>
          </w:tcPr>
          <w:p w14:paraId="72FD5082" w14:textId="77777777" w:rsidR="008F2269" w:rsidRPr="00C97088" w:rsidRDefault="008F2269" w:rsidP="002D1362">
            <w:pPr>
              <w:rPr>
                <w:sz w:val="20"/>
                <w:szCs w:val="20"/>
              </w:rPr>
            </w:pPr>
          </w:p>
        </w:tc>
        <w:tc>
          <w:tcPr>
            <w:tcW w:w="1843" w:type="dxa"/>
            <w:vAlign w:val="center"/>
          </w:tcPr>
          <w:p w14:paraId="7B0682BC" w14:textId="77777777" w:rsidR="008F2269" w:rsidRPr="00C97088" w:rsidRDefault="008F2269" w:rsidP="002D1362">
            <w:pPr>
              <w:jc w:val="center"/>
              <w:rPr>
                <w:sz w:val="20"/>
                <w:szCs w:val="20"/>
              </w:rPr>
            </w:pPr>
            <w:r w:rsidRPr="00C97088">
              <w:rPr>
                <w:sz w:val="20"/>
                <w:szCs w:val="20"/>
              </w:rPr>
              <w:t>1revue à 5000 euros/an</w:t>
            </w:r>
          </w:p>
        </w:tc>
      </w:tr>
      <w:tr w:rsidR="008F2269" w:rsidRPr="00C97088" w14:paraId="54AC7CEA" w14:textId="77777777" w:rsidTr="002D1362">
        <w:tc>
          <w:tcPr>
            <w:tcW w:w="1242" w:type="dxa"/>
            <w:vMerge/>
            <w:tcBorders>
              <w:bottom w:val="single" w:sz="4" w:space="0" w:color="auto"/>
            </w:tcBorders>
            <w:shd w:val="clear" w:color="auto" w:fill="D9D9D9" w:themeFill="background1" w:themeFillShade="D9"/>
          </w:tcPr>
          <w:p w14:paraId="781520DE" w14:textId="77777777" w:rsidR="008F2269" w:rsidRPr="00C97088" w:rsidRDefault="008F2269" w:rsidP="002D1362">
            <w:pPr>
              <w:rPr>
                <w:sz w:val="20"/>
                <w:szCs w:val="20"/>
              </w:rPr>
            </w:pPr>
          </w:p>
        </w:tc>
        <w:tc>
          <w:tcPr>
            <w:tcW w:w="851" w:type="dxa"/>
            <w:gridSpan w:val="3"/>
          </w:tcPr>
          <w:p w14:paraId="5D9AD6FD" w14:textId="77777777" w:rsidR="008F2269" w:rsidRPr="00C97088" w:rsidRDefault="008F2269" w:rsidP="002D1362">
            <w:pPr>
              <w:rPr>
                <w:sz w:val="20"/>
                <w:szCs w:val="20"/>
              </w:rPr>
            </w:pPr>
            <w:r w:rsidRPr="00C97088">
              <w:rPr>
                <w:sz w:val="20"/>
                <w:szCs w:val="20"/>
              </w:rPr>
              <w:t>A.4.5.3</w:t>
            </w:r>
          </w:p>
        </w:tc>
        <w:tc>
          <w:tcPr>
            <w:tcW w:w="2268" w:type="dxa"/>
          </w:tcPr>
          <w:p w14:paraId="183688F2" w14:textId="77777777" w:rsidR="008F2269" w:rsidRPr="00C97088" w:rsidRDefault="008F2269" w:rsidP="002D1362">
            <w:pPr>
              <w:rPr>
                <w:sz w:val="20"/>
                <w:szCs w:val="20"/>
              </w:rPr>
            </w:pPr>
            <w:r w:rsidRPr="00C97088">
              <w:rPr>
                <w:sz w:val="20"/>
                <w:szCs w:val="20"/>
              </w:rPr>
              <w:t>Mobiliser les partenaires techniques et financiers et assurer une concertation soutenue</w:t>
            </w:r>
          </w:p>
        </w:tc>
        <w:tc>
          <w:tcPr>
            <w:tcW w:w="992" w:type="dxa"/>
            <w:vAlign w:val="center"/>
          </w:tcPr>
          <w:p w14:paraId="7F306801" w14:textId="77777777" w:rsidR="008F2269" w:rsidRPr="00C97088" w:rsidRDefault="008F2269" w:rsidP="002D1362">
            <w:pPr>
              <w:jc w:val="center"/>
              <w:rPr>
                <w:sz w:val="20"/>
                <w:szCs w:val="20"/>
              </w:rPr>
            </w:pPr>
            <w:r w:rsidRPr="00C97088">
              <w:rPr>
                <w:sz w:val="20"/>
                <w:szCs w:val="20"/>
              </w:rPr>
              <w:t>4,0</w:t>
            </w:r>
          </w:p>
        </w:tc>
        <w:tc>
          <w:tcPr>
            <w:tcW w:w="567" w:type="dxa"/>
            <w:vAlign w:val="center"/>
          </w:tcPr>
          <w:p w14:paraId="7F12E220" w14:textId="77777777" w:rsidR="008F2269" w:rsidRPr="00C97088" w:rsidRDefault="008F2269" w:rsidP="002D1362">
            <w:pPr>
              <w:jc w:val="center"/>
              <w:rPr>
                <w:sz w:val="20"/>
                <w:szCs w:val="20"/>
              </w:rPr>
            </w:pPr>
            <w:r w:rsidRPr="00C97088">
              <w:rPr>
                <w:sz w:val="20"/>
                <w:szCs w:val="20"/>
              </w:rPr>
              <w:t>1</w:t>
            </w:r>
          </w:p>
        </w:tc>
        <w:tc>
          <w:tcPr>
            <w:tcW w:w="1418" w:type="dxa"/>
            <w:vAlign w:val="center"/>
          </w:tcPr>
          <w:p w14:paraId="1279D7E5" w14:textId="77777777" w:rsidR="008F2269" w:rsidRPr="00C97088" w:rsidRDefault="008F2269" w:rsidP="002D1362">
            <w:pPr>
              <w:jc w:val="center"/>
              <w:rPr>
                <w:sz w:val="20"/>
                <w:szCs w:val="20"/>
              </w:rPr>
            </w:pPr>
            <w:r w:rsidRPr="00C97088">
              <w:rPr>
                <w:sz w:val="20"/>
                <w:szCs w:val="20"/>
              </w:rPr>
              <w:t>Nb de réunions tenues</w:t>
            </w:r>
          </w:p>
        </w:tc>
        <w:tc>
          <w:tcPr>
            <w:tcW w:w="992" w:type="dxa"/>
            <w:vMerge/>
          </w:tcPr>
          <w:p w14:paraId="675C1FD1" w14:textId="77777777" w:rsidR="008F2269" w:rsidRPr="00C97088" w:rsidRDefault="008F2269" w:rsidP="002D1362">
            <w:pPr>
              <w:rPr>
                <w:sz w:val="20"/>
                <w:szCs w:val="20"/>
              </w:rPr>
            </w:pPr>
          </w:p>
        </w:tc>
        <w:tc>
          <w:tcPr>
            <w:tcW w:w="1843" w:type="dxa"/>
            <w:vAlign w:val="center"/>
          </w:tcPr>
          <w:p w14:paraId="543D7489" w14:textId="77777777" w:rsidR="008F2269" w:rsidRPr="00C97088" w:rsidRDefault="008F2269" w:rsidP="002D1362">
            <w:pPr>
              <w:jc w:val="center"/>
              <w:rPr>
                <w:sz w:val="20"/>
                <w:szCs w:val="20"/>
              </w:rPr>
            </w:pPr>
            <w:r w:rsidRPr="00C97088">
              <w:rPr>
                <w:sz w:val="20"/>
                <w:szCs w:val="20"/>
              </w:rPr>
              <w:t>1 réunion à 5000 euros/an</w:t>
            </w:r>
          </w:p>
        </w:tc>
      </w:tr>
      <w:tr w:rsidR="008F2269" w:rsidRPr="00C97088" w14:paraId="7369A50A" w14:textId="77777777" w:rsidTr="002D1362">
        <w:tc>
          <w:tcPr>
            <w:tcW w:w="10173" w:type="dxa"/>
            <w:gridSpan w:val="10"/>
            <w:tcBorders>
              <w:top w:val="nil"/>
              <w:left w:val="nil"/>
              <w:right w:val="nil"/>
            </w:tcBorders>
          </w:tcPr>
          <w:p w14:paraId="78411258" w14:textId="77777777" w:rsidR="008F2269" w:rsidRPr="00C97088" w:rsidRDefault="008F2269" w:rsidP="002D1362">
            <w:pPr>
              <w:rPr>
                <w:sz w:val="20"/>
                <w:szCs w:val="20"/>
              </w:rPr>
            </w:pPr>
          </w:p>
        </w:tc>
      </w:tr>
      <w:tr w:rsidR="008F2269" w:rsidRPr="00C97088" w14:paraId="261A8830" w14:textId="77777777" w:rsidTr="002D1362">
        <w:tc>
          <w:tcPr>
            <w:tcW w:w="1311" w:type="dxa"/>
            <w:gridSpan w:val="2"/>
            <w:vMerge w:val="restart"/>
            <w:shd w:val="clear" w:color="auto" w:fill="D9D9D9" w:themeFill="background1" w:themeFillShade="D9"/>
            <w:vAlign w:val="center"/>
          </w:tcPr>
          <w:p w14:paraId="36ED6034" w14:textId="77777777" w:rsidR="008F2269" w:rsidRPr="00C97088" w:rsidRDefault="008F2269" w:rsidP="002D1362">
            <w:pPr>
              <w:jc w:val="center"/>
              <w:rPr>
                <w:sz w:val="20"/>
                <w:szCs w:val="20"/>
              </w:rPr>
            </w:pPr>
            <w:r w:rsidRPr="00C97088">
              <w:rPr>
                <w:sz w:val="20"/>
                <w:szCs w:val="20"/>
              </w:rPr>
              <w:t>R4.6 Le service de l’eau et l’assainissement est disponible pour tous, de manière équitable et durable pour l’environnement</w:t>
            </w:r>
          </w:p>
        </w:tc>
        <w:tc>
          <w:tcPr>
            <w:tcW w:w="674" w:type="dxa"/>
          </w:tcPr>
          <w:p w14:paraId="4B907033" w14:textId="77777777" w:rsidR="008F2269" w:rsidRPr="00C97088" w:rsidRDefault="008F2269" w:rsidP="002D1362">
            <w:pPr>
              <w:rPr>
                <w:sz w:val="20"/>
                <w:szCs w:val="20"/>
              </w:rPr>
            </w:pPr>
            <w:r w:rsidRPr="00C97088">
              <w:rPr>
                <w:sz w:val="20"/>
                <w:szCs w:val="20"/>
              </w:rPr>
              <w:t>A.4.6.1</w:t>
            </w:r>
          </w:p>
        </w:tc>
        <w:tc>
          <w:tcPr>
            <w:tcW w:w="2376" w:type="dxa"/>
            <w:gridSpan w:val="2"/>
          </w:tcPr>
          <w:p w14:paraId="7F2D2F0A" w14:textId="77777777" w:rsidR="008F2269" w:rsidRPr="00C97088" w:rsidRDefault="008F2269" w:rsidP="002D1362">
            <w:pPr>
              <w:rPr>
                <w:sz w:val="20"/>
                <w:szCs w:val="20"/>
              </w:rPr>
            </w:pPr>
            <w:r w:rsidRPr="00C97088">
              <w:rPr>
                <w:sz w:val="20"/>
                <w:szCs w:val="20"/>
              </w:rPr>
              <w:t>Appuyer la délégation de service public de l’eau dans le cadre de PPP</w:t>
            </w:r>
          </w:p>
        </w:tc>
        <w:tc>
          <w:tcPr>
            <w:tcW w:w="992" w:type="dxa"/>
            <w:vAlign w:val="center"/>
          </w:tcPr>
          <w:p w14:paraId="03727CA9" w14:textId="77777777" w:rsidR="008F2269" w:rsidRPr="00C97088" w:rsidRDefault="008F2269" w:rsidP="002D1362">
            <w:pPr>
              <w:jc w:val="center"/>
              <w:rPr>
                <w:sz w:val="20"/>
                <w:szCs w:val="20"/>
              </w:rPr>
            </w:pPr>
            <w:r w:rsidRPr="00C97088">
              <w:rPr>
                <w:sz w:val="20"/>
                <w:szCs w:val="20"/>
              </w:rPr>
              <w:t>6,0</w:t>
            </w:r>
          </w:p>
        </w:tc>
        <w:tc>
          <w:tcPr>
            <w:tcW w:w="567" w:type="dxa"/>
            <w:vAlign w:val="center"/>
          </w:tcPr>
          <w:p w14:paraId="5A2513C5" w14:textId="77777777" w:rsidR="008F2269" w:rsidRPr="00C97088" w:rsidRDefault="008F2269" w:rsidP="002D1362">
            <w:pPr>
              <w:jc w:val="center"/>
              <w:rPr>
                <w:sz w:val="20"/>
                <w:szCs w:val="20"/>
              </w:rPr>
            </w:pPr>
            <w:r w:rsidRPr="00C97088">
              <w:rPr>
                <w:sz w:val="20"/>
                <w:szCs w:val="20"/>
              </w:rPr>
              <w:t>1</w:t>
            </w:r>
          </w:p>
        </w:tc>
        <w:tc>
          <w:tcPr>
            <w:tcW w:w="1418" w:type="dxa"/>
            <w:vAlign w:val="center"/>
          </w:tcPr>
          <w:p w14:paraId="5B744521" w14:textId="77777777" w:rsidR="008F2269" w:rsidRPr="00C97088" w:rsidRDefault="008F2269" w:rsidP="002D1362">
            <w:pPr>
              <w:jc w:val="center"/>
              <w:rPr>
                <w:sz w:val="20"/>
                <w:szCs w:val="20"/>
              </w:rPr>
            </w:pPr>
            <w:r w:rsidRPr="00C97088">
              <w:rPr>
                <w:sz w:val="20"/>
                <w:szCs w:val="20"/>
              </w:rPr>
              <w:t>Nb d’abonnés en DSP</w:t>
            </w:r>
          </w:p>
        </w:tc>
        <w:tc>
          <w:tcPr>
            <w:tcW w:w="992" w:type="dxa"/>
            <w:vMerge w:val="restart"/>
            <w:vAlign w:val="center"/>
          </w:tcPr>
          <w:p w14:paraId="168CF7A8" w14:textId="4A22BA71" w:rsidR="008F2269" w:rsidRPr="00C97088" w:rsidRDefault="008F2269" w:rsidP="002D1362">
            <w:pPr>
              <w:jc w:val="center"/>
              <w:rPr>
                <w:sz w:val="20"/>
                <w:szCs w:val="20"/>
              </w:rPr>
            </w:pPr>
            <w:r w:rsidRPr="00C97088">
              <w:rPr>
                <w:sz w:val="20"/>
                <w:szCs w:val="20"/>
              </w:rPr>
              <w:t>Nb de compte-</w:t>
            </w:r>
            <w:r w:rsidR="00BB5F8F" w:rsidRPr="00C97088">
              <w:rPr>
                <w:sz w:val="20"/>
                <w:szCs w:val="20"/>
              </w:rPr>
              <w:t>rendu rédigé</w:t>
            </w:r>
            <w:r w:rsidRPr="00C97088">
              <w:rPr>
                <w:sz w:val="20"/>
                <w:szCs w:val="20"/>
              </w:rPr>
              <w:t xml:space="preserve"> et de PGES mis en œuvre </w:t>
            </w:r>
          </w:p>
        </w:tc>
        <w:tc>
          <w:tcPr>
            <w:tcW w:w="1843" w:type="dxa"/>
            <w:vAlign w:val="center"/>
          </w:tcPr>
          <w:p w14:paraId="39059464" w14:textId="77777777" w:rsidR="008F2269" w:rsidRPr="00C97088" w:rsidRDefault="008F2269" w:rsidP="002D1362">
            <w:pPr>
              <w:jc w:val="center"/>
              <w:rPr>
                <w:sz w:val="20"/>
                <w:szCs w:val="20"/>
              </w:rPr>
            </w:pPr>
            <w:r w:rsidRPr="00C97088">
              <w:rPr>
                <w:sz w:val="20"/>
                <w:szCs w:val="20"/>
              </w:rPr>
              <w:t>Part d’activité d’AT</w:t>
            </w:r>
          </w:p>
        </w:tc>
      </w:tr>
      <w:tr w:rsidR="008F2269" w:rsidRPr="00C97088" w14:paraId="4B691DA8" w14:textId="77777777" w:rsidTr="002D1362">
        <w:tc>
          <w:tcPr>
            <w:tcW w:w="1311" w:type="dxa"/>
            <w:gridSpan w:val="2"/>
            <w:vMerge/>
            <w:shd w:val="clear" w:color="auto" w:fill="D9D9D9" w:themeFill="background1" w:themeFillShade="D9"/>
          </w:tcPr>
          <w:p w14:paraId="62E75454" w14:textId="77777777" w:rsidR="008F2269" w:rsidRPr="00C97088" w:rsidRDefault="008F2269" w:rsidP="002D1362">
            <w:pPr>
              <w:rPr>
                <w:sz w:val="20"/>
                <w:szCs w:val="20"/>
              </w:rPr>
            </w:pPr>
          </w:p>
        </w:tc>
        <w:tc>
          <w:tcPr>
            <w:tcW w:w="674" w:type="dxa"/>
          </w:tcPr>
          <w:p w14:paraId="5F9B11E0" w14:textId="77777777" w:rsidR="008F2269" w:rsidRPr="00C97088" w:rsidRDefault="008F2269" w:rsidP="002D1362">
            <w:pPr>
              <w:rPr>
                <w:sz w:val="20"/>
                <w:szCs w:val="20"/>
              </w:rPr>
            </w:pPr>
            <w:r w:rsidRPr="00C97088">
              <w:rPr>
                <w:sz w:val="20"/>
                <w:szCs w:val="20"/>
              </w:rPr>
              <w:t>A.4.6.2</w:t>
            </w:r>
          </w:p>
        </w:tc>
        <w:tc>
          <w:tcPr>
            <w:tcW w:w="2376" w:type="dxa"/>
            <w:gridSpan w:val="2"/>
          </w:tcPr>
          <w:p w14:paraId="5B09A5C6" w14:textId="77777777" w:rsidR="008F2269" w:rsidRPr="00C97088" w:rsidRDefault="008F2269" w:rsidP="002D1362">
            <w:pPr>
              <w:rPr>
                <w:sz w:val="20"/>
                <w:szCs w:val="20"/>
              </w:rPr>
            </w:pPr>
            <w:r w:rsidRPr="00C97088">
              <w:rPr>
                <w:sz w:val="20"/>
                <w:szCs w:val="20"/>
              </w:rPr>
              <w:t>Renforcer le suivi technique et financier des délégations (STEFI ONSER)</w:t>
            </w:r>
          </w:p>
        </w:tc>
        <w:tc>
          <w:tcPr>
            <w:tcW w:w="992" w:type="dxa"/>
            <w:vAlign w:val="center"/>
          </w:tcPr>
          <w:p w14:paraId="1C29903F" w14:textId="77777777" w:rsidR="008F2269" w:rsidRPr="00C97088" w:rsidRDefault="008F2269" w:rsidP="002D1362">
            <w:pPr>
              <w:jc w:val="center"/>
              <w:rPr>
                <w:sz w:val="20"/>
                <w:szCs w:val="20"/>
              </w:rPr>
            </w:pPr>
            <w:r w:rsidRPr="00C97088">
              <w:rPr>
                <w:sz w:val="20"/>
                <w:szCs w:val="20"/>
              </w:rPr>
              <w:t>6,0</w:t>
            </w:r>
          </w:p>
        </w:tc>
        <w:tc>
          <w:tcPr>
            <w:tcW w:w="567" w:type="dxa"/>
            <w:vAlign w:val="center"/>
          </w:tcPr>
          <w:p w14:paraId="018F8946" w14:textId="77777777" w:rsidR="008F2269" w:rsidRPr="00C97088" w:rsidRDefault="008F2269" w:rsidP="002D1362">
            <w:pPr>
              <w:jc w:val="center"/>
              <w:rPr>
                <w:sz w:val="20"/>
                <w:szCs w:val="20"/>
              </w:rPr>
            </w:pPr>
            <w:r w:rsidRPr="00C97088">
              <w:rPr>
                <w:sz w:val="20"/>
                <w:szCs w:val="20"/>
              </w:rPr>
              <w:t>1</w:t>
            </w:r>
          </w:p>
        </w:tc>
        <w:tc>
          <w:tcPr>
            <w:tcW w:w="1418" w:type="dxa"/>
            <w:vAlign w:val="center"/>
          </w:tcPr>
          <w:p w14:paraId="7A91E15F" w14:textId="77777777" w:rsidR="008F2269" w:rsidRPr="00C97088" w:rsidRDefault="008F2269" w:rsidP="002D1362">
            <w:pPr>
              <w:jc w:val="center"/>
              <w:rPr>
                <w:sz w:val="20"/>
                <w:szCs w:val="20"/>
              </w:rPr>
            </w:pPr>
            <w:r w:rsidRPr="00C97088">
              <w:rPr>
                <w:sz w:val="20"/>
                <w:szCs w:val="20"/>
              </w:rPr>
              <w:t>Nb de rapports annuels STEFI</w:t>
            </w:r>
          </w:p>
        </w:tc>
        <w:tc>
          <w:tcPr>
            <w:tcW w:w="992" w:type="dxa"/>
            <w:vMerge/>
          </w:tcPr>
          <w:p w14:paraId="497FFA64" w14:textId="77777777" w:rsidR="008F2269" w:rsidRPr="00C97088" w:rsidRDefault="008F2269" w:rsidP="002D1362">
            <w:pPr>
              <w:rPr>
                <w:sz w:val="20"/>
                <w:szCs w:val="20"/>
              </w:rPr>
            </w:pPr>
          </w:p>
        </w:tc>
        <w:tc>
          <w:tcPr>
            <w:tcW w:w="1843" w:type="dxa"/>
            <w:vAlign w:val="center"/>
          </w:tcPr>
          <w:p w14:paraId="4DB59D87" w14:textId="77777777" w:rsidR="008F2269" w:rsidRPr="00C97088" w:rsidRDefault="008F2269" w:rsidP="002D1362">
            <w:pPr>
              <w:jc w:val="center"/>
              <w:rPr>
                <w:sz w:val="20"/>
                <w:szCs w:val="20"/>
              </w:rPr>
            </w:pPr>
            <w:r w:rsidRPr="00C97088">
              <w:rPr>
                <w:sz w:val="20"/>
                <w:szCs w:val="20"/>
              </w:rPr>
              <w:t>Appui annuel spécifique à l’ONSER-AT</w:t>
            </w:r>
          </w:p>
        </w:tc>
      </w:tr>
      <w:tr w:rsidR="008F2269" w:rsidRPr="00C97088" w14:paraId="02D2B69B" w14:textId="77777777" w:rsidTr="002D1362">
        <w:tc>
          <w:tcPr>
            <w:tcW w:w="1311" w:type="dxa"/>
            <w:gridSpan w:val="2"/>
            <w:vMerge/>
            <w:shd w:val="clear" w:color="auto" w:fill="D9D9D9" w:themeFill="background1" w:themeFillShade="D9"/>
          </w:tcPr>
          <w:p w14:paraId="1AA3992A" w14:textId="77777777" w:rsidR="008F2269" w:rsidRPr="00C97088" w:rsidRDefault="008F2269" w:rsidP="002D1362">
            <w:pPr>
              <w:rPr>
                <w:sz w:val="20"/>
                <w:szCs w:val="20"/>
              </w:rPr>
            </w:pPr>
          </w:p>
        </w:tc>
        <w:tc>
          <w:tcPr>
            <w:tcW w:w="674" w:type="dxa"/>
          </w:tcPr>
          <w:p w14:paraId="11379FA6" w14:textId="77777777" w:rsidR="008F2269" w:rsidRPr="00C97088" w:rsidRDefault="008F2269" w:rsidP="002D1362">
            <w:pPr>
              <w:rPr>
                <w:sz w:val="20"/>
                <w:szCs w:val="20"/>
              </w:rPr>
            </w:pPr>
            <w:r w:rsidRPr="00C97088">
              <w:rPr>
                <w:sz w:val="20"/>
                <w:szCs w:val="20"/>
              </w:rPr>
              <w:t>A.4.6.3</w:t>
            </w:r>
          </w:p>
        </w:tc>
        <w:tc>
          <w:tcPr>
            <w:tcW w:w="2376" w:type="dxa"/>
            <w:gridSpan w:val="2"/>
          </w:tcPr>
          <w:p w14:paraId="1DF47069" w14:textId="77777777" w:rsidR="008F2269" w:rsidRPr="00C97088" w:rsidRDefault="008F2269" w:rsidP="002D1362">
            <w:pPr>
              <w:rPr>
                <w:sz w:val="20"/>
                <w:szCs w:val="20"/>
              </w:rPr>
            </w:pPr>
            <w:r w:rsidRPr="00C97088">
              <w:rPr>
                <w:sz w:val="20"/>
                <w:szCs w:val="20"/>
              </w:rPr>
              <w:t>Réaliser une étude sur la tarification du service d’assainissement en Mauritanie</w:t>
            </w:r>
          </w:p>
        </w:tc>
        <w:tc>
          <w:tcPr>
            <w:tcW w:w="992" w:type="dxa"/>
            <w:vAlign w:val="center"/>
          </w:tcPr>
          <w:p w14:paraId="45891C19" w14:textId="77777777" w:rsidR="008F2269" w:rsidRPr="00C97088" w:rsidRDefault="008F2269" w:rsidP="002D1362">
            <w:pPr>
              <w:jc w:val="center"/>
              <w:rPr>
                <w:sz w:val="20"/>
                <w:szCs w:val="20"/>
              </w:rPr>
            </w:pPr>
            <w:r w:rsidRPr="00C97088">
              <w:rPr>
                <w:sz w:val="20"/>
                <w:szCs w:val="20"/>
              </w:rPr>
              <w:t>6,0</w:t>
            </w:r>
          </w:p>
        </w:tc>
        <w:tc>
          <w:tcPr>
            <w:tcW w:w="567" w:type="dxa"/>
            <w:vAlign w:val="center"/>
          </w:tcPr>
          <w:p w14:paraId="3807CE83" w14:textId="77777777" w:rsidR="008F2269" w:rsidRPr="00C97088" w:rsidRDefault="008F2269" w:rsidP="002D1362">
            <w:pPr>
              <w:jc w:val="center"/>
              <w:rPr>
                <w:sz w:val="20"/>
                <w:szCs w:val="20"/>
              </w:rPr>
            </w:pPr>
            <w:r w:rsidRPr="00C97088">
              <w:rPr>
                <w:sz w:val="20"/>
                <w:szCs w:val="20"/>
              </w:rPr>
              <w:t>3</w:t>
            </w:r>
          </w:p>
        </w:tc>
        <w:tc>
          <w:tcPr>
            <w:tcW w:w="1418" w:type="dxa"/>
            <w:vAlign w:val="center"/>
          </w:tcPr>
          <w:p w14:paraId="1E8A52DB" w14:textId="77777777" w:rsidR="008F2269" w:rsidRPr="00C97088" w:rsidRDefault="008F2269" w:rsidP="002D1362">
            <w:pPr>
              <w:jc w:val="center"/>
              <w:rPr>
                <w:sz w:val="20"/>
                <w:szCs w:val="20"/>
              </w:rPr>
            </w:pPr>
            <w:r w:rsidRPr="00C97088">
              <w:rPr>
                <w:sz w:val="20"/>
                <w:szCs w:val="20"/>
              </w:rPr>
              <w:t>Etude réalisée</w:t>
            </w:r>
          </w:p>
        </w:tc>
        <w:tc>
          <w:tcPr>
            <w:tcW w:w="992" w:type="dxa"/>
            <w:vMerge/>
          </w:tcPr>
          <w:p w14:paraId="3B99582D" w14:textId="77777777" w:rsidR="008F2269" w:rsidRPr="00C97088" w:rsidRDefault="008F2269" w:rsidP="002D1362">
            <w:pPr>
              <w:rPr>
                <w:sz w:val="20"/>
                <w:szCs w:val="20"/>
              </w:rPr>
            </w:pPr>
          </w:p>
        </w:tc>
        <w:tc>
          <w:tcPr>
            <w:tcW w:w="1843" w:type="dxa"/>
          </w:tcPr>
          <w:p w14:paraId="04D88E2B" w14:textId="77777777" w:rsidR="008F2269" w:rsidRPr="00C97088" w:rsidRDefault="008F2269" w:rsidP="002D1362">
            <w:pPr>
              <w:rPr>
                <w:sz w:val="20"/>
                <w:szCs w:val="20"/>
              </w:rPr>
            </w:pPr>
          </w:p>
        </w:tc>
      </w:tr>
      <w:tr w:rsidR="008F2269" w:rsidRPr="00C97088" w14:paraId="51985AFB" w14:textId="77777777" w:rsidTr="002D1362">
        <w:tc>
          <w:tcPr>
            <w:tcW w:w="1311" w:type="dxa"/>
            <w:gridSpan w:val="2"/>
            <w:vMerge/>
            <w:shd w:val="clear" w:color="auto" w:fill="D9D9D9" w:themeFill="background1" w:themeFillShade="D9"/>
          </w:tcPr>
          <w:p w14:paraId="68B40783" w14:textId="77777777" w:rsidR="008F2269" w:rsidRPr="00C97088" w:rsidRDefault="008F2269" w:rsidP="002D1362">
            <w:pPr>
              <w:rPr>
                <w:sz w:val="20"/>
                <w:szCs w:val="20"/>
              </w:rPr>
            </w:pPr>
          </w:p>
        </w:tc>
        <w:tc>
          <w:tcPr>
            <w:tcW w:w="674" w:type="dxa"/>
          </w:tcPr>
          <w:p w14:paraId="5D911710" w14:textId="77777777" w:rsidR="008F2269" w:rsidRPr="00C97088" w:rsidRDefault="008F2269" w:rsidP="002D1362">
            <w:pPr>
              <w:rPr>
                <w:sz w:val="20"/>
                <w:szCs w:val="20"/>
              </w:rPr>
            </w:pPr>
            <w:r w:rsidRPr="00C97088">
              <w:rPr>
                <w:sz w:val="20"/>
                <w:szCs w:val="20"/>
              </w:rPr>
              <w:t>A.4.6.4</w:t>
            </w:r>
          </w:p>
        </w:tc>
        <w:tc>
          <w:tcPr>
            <w:tcW w:w="2376" w:type="dxa"/>
            <w:gridSpan w:val="2"/>
          </w:tcPr>
          <w:p w14:paraId="222EB5ED" w14:textId="77777777" w:rsidR="008F2269" w:rsidRPr="00C97088" w:rsidRDefault="008F2269" w:rsidP="002D1362">
            <w:pPr>
              <w:rPr>
                <w:sz w:val="20"/>
                <w:szCs w:val="20"/>
              </w:rPr>
            </w:pPr>
            <w:r w:rsidRPr="00C97088">
              <w:rPr>
                <w:sz w:val="20"/>
                <w:szCs w:val="20"/>
              </w:rPr>
              <w:t>Réaliser une étude sur l’harmonisation des tarifs du service de l’eau en Mauritanie</w:t>
            </w:r>
          </w:p>
        </w:tc>
        <w:tc>
          <w:tcPr>
            <w:tcW w:w="992" w:type="dxa"/>
            <w:vAlign w:val="center"/>
          </w:tcPr>
          <w:p w14:paraId="75061B43" w14:textId="77777777" w:rsidR="008F2269" w:rsidRPr="00C97088" w:rsidRDefault="008F2269" w:rsidP="002D1362">
            <w:pPr>
              <w:jc w:val="center"/>
              <w:rPr>
                <w:sz w:val="20"/>
                <w:szCs w:val="20"/>
              </w:rPr>
            </w:pPr>
            <w:r w:rsidRPr="00C97088">
              <w:rPr>
                <w:sz w:val="20"/>
                <w:szCs w:val="20"/>
              </w:rPr>
              <w:t>6,0</w:t>
            </w:r>
          </w:p>
        </w:tc>
        <w:tc>
          <w:tcPr>
            <w:tcW w:w="567" w:type="dxa"/>
            <w:vAlign w:val="center"/>
          </w:tcPr>
          <w:p w14:paraId="0650D533" w14:textId="77777777" w:rsidR="008F2269" w:rsidRPr="00C97088" w:rsidRDefault="008F2269" w:rsidP="002D1362">
            <w:pPr>
              <w:jc w:val="center"/>
              <w:rPr>
                <w:sz w:val="20"/>
                <w:szCs w:val="20"/>
              </w:rPr>
            </w:pPr>
            <w:r w:rsidRPr="00C97088">
              <w:rPr>
                <w:sz w:val="20"/>
                <w:szCs w:val="20"/>
              </w:rPr>
              <w:t>3</w:t>
            </w:r>
          </w:p>
        </w:tc>
        <w:tc>
          <w:tcPr>
            <w:tcW w:w="1418" w:type="dxa"/>
            <w:vAlign w:val="center"/>
          </w:tcPr>
          <w:p w14:paraId="660FC2BE" w14:textId="77777777" w:rsidR="008F2269" w:rsidRPr="00C97088" w:rsidRDefault="008F2269" w:rsidP="002D1362">
            <w:pPr>
              <w:jc w:val="center"/>
              <w:rPr>
                <w:sz w:val="20"/>
                <w:szCs w:val="20"/>
              </w:rPr>
            </w:pPr>
            <w:r w:rsidRPr="00C97088">
              <w:rPr>
                <w:sz w:val="20"/>
                <w:szCs w:val="20"/>
              </w:rPr>
              <w:t>Etude réalisée</w:t>
            </w:r>
          </w:p>
        </w:tc>
        <w:tc>
          <w:tcPr>
            <w:tcW w:w="992" w:type="dxa"/>
            <w:vMerge/>
          </w:tcPr>
          <w:p w14:paraId="05AEDC3A" w14:textId="77777777" w:rsidR="008F2269" w:rsidRPr="00C97088" w:rsidRDefault="008F2269" w:rsidP="002D1362">
            <w:pPr>
              <w:rPr>
                <w:sz w:val="20"/>
                <w:szCs w:val="20"/>
              </w:rPr>
            </w:pPr>
          </w:p>
        </w:tc>
        <w:tc>
          <w:tcPr>
            <w:tcW w:w="1843" w:type="dxa"/>
          </w:tcPr>
          <w:p w14:paraId="20435173" w14:textId="77777777" w:rsidR="008F2269" w:rsidRPr="00C97088" w:rsidRDefault="008F2269" w:rsidP="002D1362">
            <w:pPr>
              <w:rPr>
                <w:sz w:val="20"/>
                <w:szCs w:val="20"/>
              </w:rPr>
            </w:pPr>
          </w:p>
        </w:tc>
      </w:tr>
      <w:tr w:rsidR="008F2269" w:rsidRPr="00C97088" w14:paraId="3B3F4434" w14:textId="77777777" w:rsidTr="002D1362">
        <w:tc>
          <w:tcPr>
            <w:tcW w:w="1311" w:type="dxa"/>
            <w:gridSpan w:val="2"/>
            <w:vMerge/>
            <w:shd w:val="clear" w:color="auto" w:fill="D9D9D9" w:themeFill="background1" w:themeFillShade="D9"/>
          </w:tcPr>
          <w:p w14:paraId="5CE71D7B" w14:textId="77777777" w:rsidR="008F2269" w:rsidRPr="00C97088" w:rsidRDefault="008F2269" w:rsidP="002D1362">
            <w:pPr>
              <w:rPr>
                <w:sz w:val="20"/>
                <w:szCs w:val="20"/>
              </w:rPr>
            </w:pPr>
          </w:p>
        </w:tc>
        <w:tc>
          <w:tcPr>
            <w:tcW w:w="674" w:type="dxa"/>
          </w:tcPr>
          <w:p w14:paraId="2962F0C5" w14:textId="77777777" w:rsidR="008F2269" w:rsidRPr="00C97088" w:rsidRDefault="008F2269" w:rsidP="002D1362">
            <w:pPr>
              <w:rPr>
                <w:sz w:val="20"/>
                <w:szCs w:val="20"/>
              </w:rPr>
            </w:pPr>
            <w:r w:rsidRPr="00C97088">
              <w:rPr>
                <w:sz w:val="20"/>
                <w:szCs w:val="20"/>
              </w:rPr>
              <w:t>A.4.6.5</w:t>
            </w:r>
          </w:p>
        </w:tc>
        <w:tc>
          <w:tcPr>
            <w:tcW w:w="2376" w:type="dxa"/>
            <w:gridSpan w:val="2"/>
          </w:tcPr>
          <w:p w14:paraId="53BB7D6C" w14:textId="77777777" w:rsidR="008F2269" w:rsidRPr="00C97088" w:rsidRDefault="008F2269" w:rsidP="002D1362">
            <w:pPr>
              <w:rPr>
                <w:sz w:val="20"/>
                <w:szCs w:val="20"/>
              </w:rPr>
            </w:pPr>
            <w:r w:rsidRPr="00C97088">
              <w:rPr>
                <w:sz w:val="20"/>
                <w:szCs w:val="20"/>
              </w:rPr>
              <w:t>Renforcer l’implication des conseils régionaux, des communes et des organisations de la Société civile (OSC) locaux pour assurer le suivi des services de l’eau et l’assainissement</w:t>
            </w:r>
          </w:p>
        </w:tc>
        <w:tc>
          <w:tcPr>
            <w:tcW w:w="992" w:type="dxa"/>
            <w:vAlign w:val="center"/>
          </w:tcPr>
          <w:p w14:paraId="5AC7797D" w14:textId="77777777" w:rsidR="008F2269" w:rsidRPr="00C97088" w:rsidRDefault="008F2269" w:rsidP="002D1362">
            <w:pPr>
              <w:jc w:val="center"/>
              <w:rPr>
                <w:sz w:val="20"/>
                <w:szCs w:val="20"/>
              </w:rPr>
            </w:pPr>
            <w:r w:rsidRPr="00C97088">
              <w:rPr>
                <w:sz w:val="20"/>
                <w:szCs w:val="20"/>
              </w:rPr>
              <w:t>13,0</w:t>
            </w:r>
          </w:p>
        </w:tc>
        <w:tc>
          <w:tcPr>
            <w:tcW w:w="567" w:type="dxa"/>
            <w:vAlign w:val="center"/>
          </w:tcPr>
          <w:p w14:paraId="318CA7C6" w14:textId="77777777" w:rsidR="008F2269" w:rsidRPr="00C97088" w:rsidRDefault="008F2269" w:rsidP="002D1362">
            <w:pPr>
              <w:jc w:val="center"/>
              <w:rPr>
                <w:sz w:val="20"/>
                <w:szCs w:val="20"/>
              </w:rPr>
            </w:pPr>
            <w:r w:rsidRPr="00C97088">
              <w:rPr>
                <w:sz w:val="20"/>
                <w:szCs w:val="20"/>
              </w:rPr>
              <w:t>1</w:t>
            </w:r>
          </w:p>
        </w:tc>
        <w:tc>
          <w:tcPr>
            <w:tcW w:w="1418" w:type="dxa"/>
            <w:vAlign w:val="center"/>
          </w:tcPr>
          <w:p w14:paraId="7C0D17F7" w14:textId="77777777" w:rsidR="008F2269" w:rsidRPr="00C97088" w:rsidRDefault="008F2269" w:rsidP="002D1362">
            <w:pPr>
              <w:jc w:val="center"/>
              <w:rPr>
                <w:sz w:val="20"/>
                <w:szCs w:val="20"/>
              </w:rPr>
            </w:pPr>
            <w:r w:rsidRPr="00C97088">
              <w:rPr>
                <w:sz w:val="20"/>
                <w:szCs w:val="20"/>
              </w:rPr>
              <w:t>Nb d’ateliers ou de réunions dans les régions et les commues</w:t>
            </w:r>
          </w:p>
        </w:tc>
        <w:tc>
          <w:tcPr>
            <w:tcW w:w="992" w:type="dxa"/>
            <w:vMerge/>
          </w:tcPr>
          <w:p w14:paraId="1D5D520C" w14:textId="77777777" w:rsidR="008F2269" w:rsidRPr="00C97088" w:rsidRDefault="008F2269" w:rsidP="002D1362">
            <w:pPr>
              <w:rPr>
                <w:sz w:val="20"/>
                <w:szCs w:val="20"/>
              </w:rPr>
            </w:pPr>
          </w:p>
        </w:tc>
        <w:tc>
          <w:tcPr>
            <w:tcW w:w="1843" w:type="dxa"/>
            <w:vAlign w:val="center"/>
          </w:tcPr>
          <w:p w14:paraId="20215ED1" w14:textId="77777777" w:rsidR="008F2269" w:rsidRPr="00C97088" w:rsidRDefault="008F2269" w:rsidP="002D1362">
            <w:pPr>
              <w:jc w:val="center"/>
              <w:rPr>
                <w:sz w:val="20"/>
                <w:szCs w:val="20"/>
              </w:rPr>
            </w:pPr>
            <w:r w:rsidRPr="00C97088">
              <w:rPr>
                <w:sz w:val="20"/>
                <w:szCs w:val="20"/>
              </w:rPr>
              <w:t>2 ateliers d’information et de formation par an/wilaya en DSP à 6000 euros par wilaya (1 en 2019 et 6W en moyenne sur la période)</w:t>
            </w:r>
          </w:p>
        </w:tc>
      </w:tr>
      <w:tr w:rsidR="008F2269" w:rsidRPr="00C97088" w14:paraId="1D005250" w14:textId="77777777" w:rsidTr="002D1362">
        <w:tc>
          <w:tcPr>
            <w:tcW w:w="1311" w:type="dxa"/>
            <w:gridSpan w:val="2"/>
            <w:vMerge/>
            <w:shd w:val="clear" w:color="auto" w:fill="D9D9D9" w:themeFill="background1" w:themeFillShade="D9"/>
          </w:tcPr>
          <w:p w14:paraId="05285549" w14:textId="77777777" w:rsidR="008F2269" w:rsidRPr="00C97088" w:rsidRDefault="008F2269" w:rsidP="002D1362">
            <w:pPr>
              <w:rPr>
                <w:sz w:val="20"/>
                <w:szCs w:val="20"/>
              </w:rPr>
            </w:pPr>
          </w:p>
        </w:tc>
        <w:tc>
          <w:tcPr>
            <w:tcW w:w="674" w:type="dxa"/>
          </w:tcPr>
          <w:p w14:paraId="775C958D" w14:textId="77777777" w:rsidR="008F2269" w:rsidRPr="00C97088" w:rsidRDefault="008F2269" w:rsidP="002D1362">
            <w:pPr>
              <w:rPr>
                <w:sz w:val="20"/>
                <w:szCs w:val="20"/>
              </w:rPr>
            </w:pPr>
            <w:r w:rsidRPr="00C97088">
              <w:rPr>
                <w:sz w:val="20"/>
                <w:szCs w:val="20"/>
              </w:rPr>
              <w:t>A.4.6.6</w:t>
            </w:r>
          </w:p>
        </w:tc>
        <w:tc>
          <w:tcPr>
            <w:tcW w:w="2376" w:type="dxa"/>
            <w:gridSpan w:val="2"/>
          </w:tcPr>
          <w:p w14:paraId="35E23FBA" w14:textId="77777777" w:rsidR="008F2269" w:rsidRPr="00C97088" w:rsidRDefault="008F2269" w:rsidP="002D1362">
            <w:pPr>
              <w:rPr>
                <w:sz w:val="20"/>
                <w:szCs w:val="20"/>
              </w:rPr>
            </w:pPr>
            <w:r w:rsidRPr="00C97088">
              <w:rPr>
                <w:sz w:val="20"/>
                <w:szCs w:val="20"/>
              </w:rPr>
              <w:t>Réaliser une EIES et mettre en œuvre un PGES pour tout projet sectoriel assujetti à l’évaluation environnementale en coordination avec les services du MEDD</w:t>
            </w:r>
          </w:p>
        </w:tc>
        <w:tc>
          <w:tcPr>
            <w:tcW w:w="992" w:type="dxa"/>
            <w:vAlign w:val="center"/>
          </w:tcPr>
          <w:p w14:paraId="43B3A600" w14:textId="77777777" w:rsidR="008F2269" w:rsidRPr="00C97088" w:rsidRDefault="008F2269" w:rsidP="002D1362">
            <w:pPr>
              <w:jc w:val="center"/>
              <w:rPr>
                <w:sz w:val="20"/>
                <w:szCs w:val="20"/>
              </w:rPr>
            </w:pPr>
            <w:r w:rsidRPr="00C97088">
              <w:rPr>
                <w:sz w:val="20"/>
                <w:szCs w:val="20"/>
              </w:rPr>
              <w:t>PM</w:t>
            </w:r>
          </w:p>
        </w:tc>
        <w:tc>
          <w:tcPr>
            <w:tcW w:w="567" w:type="dxa"/>
            <w:vAlign w:val="center"/>
          </w:tcPr>
          <w:p w14:paraId="5DF42943" w14:textId="77777777" w:rsidR="008F2269" w:rsidRPr="00C97088" w:rsidRDefault="008F2269" w:rsidP="002D1362">
            <w:pPr>
              <w:jc w:val="center"/>
              <w:rPr>
                <w:sz w:val="20"/>
                <w:szCs w:val="20"/>
              </w:rPr>
            </w:pPr>
            <w:r w:rsidRPr="00C97088">
              <w:rPr>
                <w:sz w:val="20"/>
                <w:szCs w:val="20"/>
              </w:rPr>
              <w:t>1</w:t>
            </w:r>
          </w:p>
        </w:tc>
        <w:tc>
          <w:tcPr>
            <w:tcW w:w="1418" w:type="dxa"/>
            <w:vAlign w:val="center"/>
          </w:tcPr>
          <w:p w14:paraId="7ADFD251" w14:textId="77777777" w:rsidR="008F2269" w:rsidRPr="00C97088" w:rsidRDefault="008F2269" w:rsidP="002D1362">
            <w:pPr>
              <w:jc w:val="center"/>
              <w:rPr>
                <w:sz w:val="20"/>
                <w:szCs w:val="20"/>
              </w:rPr>
            </w:pPr>
            <w:r w:rsidRPr="00C97088">
              <w:rPr>
                <w:sz w:val="20"/>
                <w:szCs w:val="20"/>
              </w:rPr>
              <w:t>Nb de PGES mis en œuvre</w:t>
            </w:r>
          </w:p>
        </w:tc>
        <w:tc>
          <w:tcPr>
            <w:tcW w:w="992" w:type="dxa"/>
            <w:vMerge/>
          </w:tcPr>
          <w:p w14:paraId="77946B9A" w14:textId="77777777" w:rsidR="008F2269" w:rsidRPr="00C97088" w:rsidRDefault="008F2269" w:rsidP="002D1362">
            <w:pPr>
              <w:rPr>
                <w:sz w:val="20"/>
                <w:szCs w:val="20"/>
              </w:rPr>
            </w:pPr>
          </w:p>
        </w:tc>
        <w:tc>
          <w:tcPr>
            <w:tcW w:w="1843" w:type="dxa"/>
            <w:vAlign w:val="center"/>
          </w:tcPr>
          <w:p w14:paraId="13F0EEA8" w14:textId="77777777" w:rsidR="008F2269" w:rsidRPr="00C97088" w:rsidRDefault="008F2269" w:rsidP="002D1362">
            <w:pPr>
              <w:jc w:val="center"/>
              <w:rPr>
                <w:sz w:val="20"/>
                <w:szCs w:val="20"/>
              </w:rPr>
            </w:pPr>
            <w:r w:rsidRPr="00C97088">
              <w:rPr>
                <w:sz w:val="20"/>
                <w:szCs w:val="20"/>
              </w:rPr>
              <w:t>Coûts de réalisation et mise en œuvre des PGES inclus dans le coût des projets ou contrats de DSP</w:t>
            </w:r>
          </w:p>
        </w:tc>
      </w:tr>
      <w:tr w:rsidR="008F2269" w:rsidRPr="00C97088" w14:paraId="508D4911" w14:textId="77777777" w:rsidTr="002D1362">
        <w:tc>
          <w:tcPr>
            <w:tcW w:w="10173" w:type="dxa"/>
            <w:gridSpan w:val="10"/>
            <w:tcBorders>
              <w:left w:val="nil"/>
              <w:right w:val="nil"/>
            </w:tcBorders>
          </w:tcPr>
          <w:p w14:paraId="30629224" w14:textId="77777777" w:rsidR="008F2269" w:rsidRPr="00C97088" w:rsidRDefault="008F2269" w:rsidP="002D1362">
            <w:pPr>
              <w:rPr>
                <w:sz w:val="20"/>
                <w:szCs w:val="20"/>
              </w:rPr>
            </w:pPr>
          </w:p>
        </w:tc>
      </w:tr>
      <w:tr w:rsidR="008F2269" w:rsidRPr="00C97088" w14:paraId="5A1AC79C" w14:textId="77777777" w:rsidTr="002D1362">
        <w:tc>
          <w:tcPr>
            <w:tcW w:w="1311" w:type="dxa"/>
            <w:gridSpan w:val="2"/>
            <w:vMerge w:val="restart"/>
            <w:shd w:val="clear" w:color="auto" w:fill="D9D9D9" w:themeFill="background1" w:themeFillShade="D9"/>
            <w:vAlign w:val="center"/>
          </w:tcPr>
          <w:p w14:paraId="5738F0C8" w14:textId="77777777" w:rsidR="008F2269" w:rsidRPr="00C97088" w:rsidRDefault="008F2269" w:rsidP="002D1362">
            <w:pPr>
              <w:jc w:val="center"/>
              <w:rPr>
                <w:sz w:val="20"/>
                <w:szCs w:val="20"/>
              </w:rPr>
            </w:pPr>
            <w:r w:rsidRPr="00C97088">
              <w:rPr>
                <w:sz w:val="20"/>
                <w:szCs w:val="20"/>
              </w:rPr>
              <w:t xml:space="preserve">R4.7 La capacité des </w:t>
            </w:r>
            <w:r w:rsidRPr="00C97088">
              <w:rPr>
                <w:sz w:val="20"/>
                <w:szCs w:val="20"/>
                <w:shd w:val="clear" w:color="auto" w:fill="D9D9D9" w:themeFill="background1" w:themeFillShade="D9"/>
              </w:rPr>
              <w:t>acteurs</w:t>
            </w:r>
            <w:r w:rsidRPr="00C97088">
              <w:rPr>
                <w:sz w:val="20"/>
                <w:szCs w:val="20"/>
              </w:rPr>
              <w:t xml:space="preserve"> publics et privés est renforcée</w:t>
            </w:r>
          </w:p>
        </w:tc>
        <w:tc>
          <w:tcPr>
            <w:tcW w:w="674" w:type="dxa"/>
          </w:tcPr>
          <w:p w14:paraId="3E7A202B" w14:textId="77777777" w:rsidR="008F2269" w:rsidRPr="00C97088" w:rsidRDefault="008F2269" w:rsidP="002D1362">
            <w:pPr>
              <w:rPr>
                <w:sz w:val="20"/>
                <w:szCs w:val="20"/>
              </w:rPr>
            </w:pPr>
            <w:r w:rsidRPr="00C97088">
              <w:rPr>
                <w:sz w:val="20"/>
                <w:szCs w:val="20"/>
              </w:rPr>
              <w:t>A.4.7.1</w:t>
            </w:r>
          </w:p>
        </w:tc>
        <w:tc>
          <w:tcPr>
            <w:tcW w:w="2376" w:type="dxa"/>
            <w:gridSpan w:val="2"/>
          </w:tcPr>
          <w:p w14:paraId="6E30E098" w14:textId="77777777" w:rsidR="008F2269" w:rsidRPr="00C97088" w:rsidRDefault="008F2269" w:rsidP="002D1362">
            <w:pPr>
              <w:rPr>
                <w:sz w:val="20"/>
                <w:szCs w:val="20"/>
              </w:rPr>
            </w:pPr>
            <w:r w:rsidRPr="00C97088">
              <w:rPr>
                <w:sz w:val="20"/>
                <w:szCs w:val="20"/>
              </w:rPr>
              <w:t>Etablir un plan de développement des capacités du MHA</w:t>
            </w:r>
          </w:p>
        </w:tc>
        <w:tc>
          <w:tcPr>
            <w:tcW w:w="992" w:type="dxa"/>
            <w:vAlign w:val="center"/>
          </w:tcPr>
          <w:p w14:paraId="6425124A" w14:textId="77777777" w:rsidR="008F2269" w:rsidRPr="00C97088" w:rsidRDefault="008F2269" w:rsidP="002D1362">
            <w:pPr>
              <w:jc w:val="center"/>
              <w:rPr>
                <w:sz w:val="20"/>
                <w:szCs w:val="20"/>
              </w:rPr>
            </w:pPr>
            <w:r w:rsidRPr="00C97088">
              <w:rPr>
                <w:sz w:val="20"/>
                <w:szCs w:val="20"/>
              </w:rPr>
              <w:t>8,0</w:t>
            </w:r>
          </w:p>
        </w:tc>
        <w:tc>
          <w:tcPr>
            <w:tcW w:w="567" w:type="dxa"/>
            <w:vAlign w:val="center"/>
          </w:tcPr>
          <w:p w14:paraId="7D3B9073" w14:textId="77777777" w:rsidR="008F2269" w:rsidRPr="00C97088" w:rsidRDefault="008F2269" w:rsidP="002D1362">
            <w:pPr>
              <w:jc w:val="center"/>
              <w:rPr>
                <w:sz w:val="20"/>
                <w:szCs w:val="20"/>
              </w:rPr>
            </w:pPr>
            <w:r w:rsidRPr="00C97088">
              <w:rPr>
                <w:sz w:val="20"/>
                <w:szCs w:val="20"/>
              </w:rPr>
              <w:t>1</w:t>
            </w:r>
          </w:p>
        </w:tc>
        <w:tc>
          <w:tcPr>
            <w:tcW w:w="1418" w:type="dxa"/>
            <w:vAlign w:val="center"/>
          </w:tcPr>
          <w:p w14:paraId="7121775F" w14:textId="77777777" w:rsidR="008F2269" w:rsidRPr="00C97088" w:rsidRDefault="008F2269" w:rsidP="002D1362">
            <w:pPr>
              <w:jc w:val="center"/>
              <w:rPr>
                <w:sz w:val="20"/>
                <w:szCs w:val="20"/>
              </w:rPr>
            </w:pPr>
            <w:r w:rsidRPr="00C97088">
              <w:rPr>
                <w:sz w:val="20"/>
                <w:szCs w:val="20"/>
              </w:rPr>
              <w:t>% d’avancement</w:t>
            </w:r>
          </w:p>
        </w:tc>
        <w:tc>
          <w:tcPr>
            <w:tcW w:w="992" w:type="dxa"/>
            <w:vMerge w:val="restart"/>
          </w:tcPr>
          <w:p w14:paraId="2BED716C" w14:textId="77777777" w:rsidR="008F2269" w:rsidRPr="00C97088" w:rsidRDefault="008F2269" w:rsidP="002D1362">
            <w:pPr>
              <w:rPr>
                <w:sz w:val="20"/>
                <w:szCs w:val="20"/>
              </w:rPr>
            </w:pPr>
            <w:r w:rsidRPr="00C97088">
              <w:rPr>
                <w:sz w:val="20"/>
                <w:szCs w:val="20"/>
              </w:rPr>
              <w:t>% d’avancement</w:t>
            </w:r>
          </w:p>
        </w:tc>
        <w:tc>
          <w:tcPr>
            <w:tcW w:w="1843" w:type="dxa"/>
            <w:vMerge w:val="restart"/>
            <w:vAlign w:val="center"/>
          </w:tcPr>
          <w:p w14:paraId="4F250417" w14:textId="77777777" w:rsidR="008F2269" w:rsidRPr="00C97088" w:rsidRDefault="008F2269" w:rsidP="002D1362">
            <w:pPr>
              <w:jc w:val="center"/>
              <w:rPr>
                <w:sz w:val="20"/>
                <w:szCs w:val="20"/>
              </w:rPr>
            </w:pPr>
            <w:r w:rsidRPr="00C97088">
              <w:rPr>
                <w:sz w:val="20"/>
                <w:szCs w:val="20"/>
              </w:rPr>
              <w:t>OK pour DHB, à finaliser en 2019 pour DH et DA –A faire pour les DRHA, les 2 autres Directions (DPSC et DAF) et les 5 organismes sous tutelle jusqu’en 2030 (AT)</w:t>
            </w:r>
          </w:p>
        </w:tc>
      </w:tr>
      <w:tr w:rsidR="008F2269" w:rsidRPr="00C97088" w14:paraId="76F4D006" w14:textId="77777777" w:rsidTr="002D1362">
        <w:tc>
          <w:tcPr>
            <w:tcW w:w="1311" w:type="dxa"/>
            <w:gridSpan w:val="2"/>
            <w:vMerge/>
            <w:shd w:val="clear" w:color="auto" w:fill="D9D9D9" w:themeFill="background1" w:themeFillShade="D9"/>
          </w:tcPr>
          <w:p w14:paraId="5068A308" w14:textId="77777777" w:rsidR="008F2269" w:rsidRPr="00C97088" w:rsidRDefault="008F2269" w:rsidP="002D1362">
            <w:pPr>
              <w:rPr>
                <w:sz w:val="20"/>
                <w:szCs w:val="20"/>
              </w:rPr>
            </w:pPr>
          </w:p>
        </w:tc>
        <w:tc>
          <w:tcPr>
            <w:tcW w:w="674" w:type="dxa"/>
          </w:tcPr>
          <w:p w14:paraId="5943514E" w14:textId="77777777" w:rsidR="008F2269" w:rsidRPr="00C97088" w:rsidRDefault="008F2269" w:rsidP="002D1362">
            <w:pPr>
              <w:rPr>
                <w:sz w:val="20"/>
                <w:szCs w:val="20"/>
              </w:rPr>
            </w:pPr>
            <w:r w:rsidRPr="00C97088">
              <w:rPr>
                <w:sz w:val="20"/>
                <w:szCs w:val="20"/>
              </w:rPr>
              <w:t>A.4.7.2</w:t>
            </w:r>
          </w:p>
        </w:tc>
        <w:tc>
          <w:tcPr>
            <w:tcW w:w="2376" w:type="dxa"/>
            <w:gridSpan w:val="2"/>
          </w:tcPr>
          <w:p w14:paraId="069310A8" w14:textId="3157556C" w:rsidR="008F2269" w:rsidRPr="00C97088" w:rsidRDefault="008F2269" w:rsidP="002D1362">
            <w:pPr>
              <w:rPr>
                <w:sz w:val="20"/>
                <w:szCs w:val="20"/>
              </w:rPr>
            </w:pPr>
            <w:r w:rsidRPr="00C97088">
              <w:rPr>
                <w:sz w:val="20"/>
                <w:szCs w:val="20"/>
              </w:rPr>
              <w:t xml:space="preserve">Mettre en œuvre un </w:t>
            </w:r>
            <w:r w:rsidR="00BB5F8F" w:rsidRPr="00C97088">
              <w:rPr>
                <w:sz w:val="20"/>
                <w:szCs w:val="20"/>
              </w:rPr>
              <w:t>plan de</w:t>
            </w:r>
            <w:r w:rsidRPr="00C97088">
              <w:rPr>
                <w:sz w:val="20"/>
                <w:szCs w:val="20"/>
              </w:rPr>
              <w:t xml:space="preserve"> développement des capacités du MHA</w:t>
            </w:r>
          </w:p>
        </w:tc>
        <w:tc>
          <w:tcPr>
            <w:tcW w:w="992" w:type="dxa"/>
            <w:vAlign w:val="center"/>
          </w:tcPr>
          <w:p w14:paraId="52F29F0C" w14:textId="77777777" w:rsidR="008F2269" w:rsidRPr="00C97088" w:rsidRDefault="008F2269" w:rsidP="002D1362">
            <w:pPr>
              <w:jc w:val="center"/>
              <w:rPr>
                <w:sz w:val="20"/>
                <w:szCs w:val="20"/>
              </w:rPr>
            </w:pPr>
            <w:r w:rsidRPr="00C97088">
              <w:rPr>
                <w:sz w:val="20"/>
                <w:szCs w:val="20"/>
              </w:rPr>
              <w:t>441,0</w:t>
            </w:r>
          </w:p>
        </w:tc>
        <w:tc>
          <w:tcPr>
            <w:tcW w:w="567" w:type="dxa"/>
            <w:vAlign w:val="center"/>
          </w:tcPr>
          <w:p w14:paraId="40CC7B08" w14:textId="77777777" w:rsidR="008F2269" w:rsidRPr="00C97088" w:rsidRDefault="008F2269" w:rsidP="002D1362">
            <w:pPr>
              <w:jc w:val="center"/>
              <w:rPr>
                <w:sz w:val="20"/>
                <w:szCs w:val="20"/>
              </w:rPr>
            </w:pPr>
            <w:r w:rsidRPr="00C97088">
              <w:rPr>
                <w:sz w:val="20"/>
                <w:szCs w:val="20"/>
              </w:rPr>
              <w:t>1</w:t>
            </w:r>
          </w:p>
        </w:tc>
        <w:tc>
          <w:tcPr>
            <w:tcW w:w="1418" w:type="dxa"/>
            <w:vAlign w:val="center"/>
          </w:tcPr>
          <w:p w14:paraId="7F98BC6B" w14:textId="77777777" w:rsidR="008F2269" w:rsidRPr="00C97088" w:rsidRDefault="008F2269" w:rsidP="002D1362">
            <w:pPr>
              <w:jc w:val="center"/>
              <w:rPr>
                <w:sz w:val="20"/>
                <w:szCs w:val="20"/>
              </w:rPr>
            </w:pPr>
            <w:r w:rsidRPr="00C97088">
              <w:rPr>
                <w:sz w:val="20"/>
                <w:szCs w:val="20"/>
              </w:rPr>
              <w:t>% d’avancement</w:t>
            </w:r>
          </w:p>
        </w:tc>
        <w:tc>
          <w:tcPr>
            <w:tcW w:w="992" w:type="dxa"/>
            <w:vMerge/>
          </w:tcPr>
          <w:p w14:paraId="21813EE6" w14:textId="77777777" w:rsidR="008F2269" w:rsidRPr="00C97088" w:rsidRDefault="008F2269" w:rsidP="002D1362">
            <w:pPr>
              <w:rPr>
                <w:sz w:val="20"/>
                <w:szCs w:val="20"/>
              </w:rPr>
            </w:pPr>
          </w:p>
        </w:tc>
        <w:tc>
          <w:tcPr>
            <w:tcW w:w="1843" w:type="dxa"/>
            <w:vMerge/>
            <w:vAlign w:val="center"/>
          </w:tcPr>
          <w:p w14:paraId="7656B1ED" w14:textId="77777777" w:rsidR="008F2269" w:rsidRPr="00C97088" w:rsidRDefault="008F2269" w:rsidP="002D1362">
            <w:pPr>
              <w:jc w:val="center"/>
              <w:rPr>
                <w:sz w:val="20"/>
                <w:szCs w:val="20"/>
              </w:rPr>
            </w:pPr>
          </w:p>
        </w:tc>
      </w:tr>
      <w:tr w:rsidR="008F2269" w:rsidRPr="00C97088" w14:paraId="572E23B6" w14:textId="77777777" w:rsidTr="002D1362">
        <w:tc>
          <w:tcPr>
            <w:tcW w:w="1311" w:type="dxa"/>
            <w:gridSpan w:val="2"/>
            <w:vMerge/>
            <w:shd w:val="clear" w:color="auto" w:fill="D9D9D9" w:themeFill="background1" w:themeFillShade="D9"/>
          </w:tcPr>
          <w:p w14:paraId="28DD6AFF" w14:textId="77777777" w:rsidR="008F2269" w:rsidRPr="00C97088" w:rsidRDefault="008F2269" w:rsidP="002D1362">
            <w:pPr>
              <w:rPr>
                <w:sz w:val="20"/>
                <w:szCs w:val="20"/>
              </w:rPr>
            </w:pPr>
          </w:p>
        </w:tc>
        <w:tc>
          <w:tcPr>
            <w:tcW w:w="674" w:type="dxa"/>
          </w:tcPr>
          <w:p w14:paraId="515E7301" w14:textId="77777777" w:rsidR="008F2269" w:rsidRPr="00C97088" w:rsidRDefault="008F2269" w:rsidP="002D1362">
            <w:pPr>
              <w:rPr>
                <w:sz w:val="20"/>
                <w:szCs w:val="20"/>
              </w:rPr>
            </w:pPr>
            <w:r w:rsidRPr="00C97088">
              <w:rPr>
                <w:sz w:val="20"/>
                <w:szCs w:val="20"/>
              </w:rPr>
              <w:t>A.4.7.3</w:t>
            </w:r>
          </w:p>
        </w:tc>
        <w:tc>
          <w:tcPr>
            <w:tcW w:w="2376" w:type="dxa"/>
            <w:gridSpan w:val="2"/>
          </w:tcPr>
          <w:p w14:paraId="2F6EDA4F" w14:textId="77777777" w:rsidR="008F2269" w:rsidRPr="00C97088" w:rsidRDefault="008F2269" w:rsidP="002D1362">
            <w:pPr>
              <w:rPr>
                <w:sz w:val="20"/>
                <w:szCs w:val="20"/>
              </w:rPr>
            </w:pPr>
            <w:r w:rsidRPr="00C97088">
              <w:rPr>
                <w:sz w:val="20"/>
                <w:szCs w:val="20"/>
              </w:rPr>
              <w:t>Etablir et diffuser des guides techniques sectoriels</w:t>
            </w:r>
          </w:p>
        </w:tc>
        <w:tc>
          <w:tcPr>
            <w:tcW w:w="992" w:type="dxa"/>
            <w:vAlign w:val="center"/>
          </w:tcPr>
          <w:p w14:paraId="4AB9E696" w14:textId="77777777" w:rsidR="008F2269" w:rsidRPr="00C97088" w:rsidRDefault="008F2269" w:rsidP="002D1362">
            <w:pPr>
              <w:jc w:val="center"/>
              <w:rPr>
                <w:sz w:val="20"/>
                <w:szCs w:val="20"/>
              </w:rPr>
            </w:pPr>
            <w:r w:rsidRPr="00C97088">
              <w:rPr>
                <w:sz w:val="20"/>
                <w:szCs w:val="20"/>
              </w:rPr>
              <w:t>11,0</w:t>
            </w:r>
          </w:p>
        </w:tc>
        <w:tc>
          <w:tcPr>
            <w:tcW w:w="567" w:type="dxa"/>
            <w:vAlign w:val="center"/>
          </w:tcPr>
          <w:p w14:paraId="58CFD2D2" w14:textId="77777777" w:rsidR="008F2269" w:rsidRPr="00C97088" w:rsidRDefault="008F2269" w:rsidP="002D1362">
            <w:pPr>
              <w:jc w:val="center"/>
              <w:rPr>
                <w:sz w:val="20"/>
                <w:szCs w:val="20"/>
              </w:rPr>
            </w:pPr>
            <w:r w:rsidRPr="00C97088">
              <w:rPr>
                <w:sz w:val="20"/>
                <w:szCs w:val="20"/>
              </w:rPr>
              <w:t>1</w:t>
            </w:r>
          </w:p>
        </w:tc>
        <w:tc>
          <w:tcPr>
            <w:tcW w:w="1418" w:type="dxa"/>
            <w:vAlign w:val="center"/>
          </w:tcPr>
          <w:p w14:paraId="37D7A352" w14:textId="77777777" w:rsidR="008F2269" w:rsidRPr="00C97088" w:rsidRDefault="008F2269" w:rsidP="002D1362">
            <w:pPr>
              <w:jc w:val="center"/>
              <w:rPr>
                <w:sz w:val="20"/>
                <w:szCs w:val="20"/>
              </w:rPr>
            </w:pPr>
            <w:r w:rsidRPr="00C97088">
              <w:rPr>
                <w:sz w:val="20"/>
                <w:szCs w:val="20"/>
              </w:rPr>
              <w:t>% d’avancement</w:t>
            </w:r>
          </w:p>
        </w:tc>
        <w:tc>
          <w:tcPr>
            <w:tcW w:w="992" w:type="dxa"/>
            <w:vMerge/>
          </w:tcPr>
          <w:p w14:paraId="66A1633E" w14:textId="77777777" w:rsidR="008F2269" w:rsidRPr="00C97088" w:rsidRDefault="008F2269" w:rsidP="002D1362">
            <w:pPr>
              <w:rPr>
                <w:sz w:val="20"/>
                <w:szCs w:val="20"/>
              </w:rPr>
            </w:pPr>
          </w:p>
        </w:tc>
        <w:tc>
          <w:tcPr>
            <w:tcW w:w="1843" w:type="dxa"/>
            <w:vAlign w:val="center"/>
          </w:tcPr>
          <w:p w14:paraId="58693549" w14:textId="77777777" w:rsidR="008F2269" w:rsidRPr="00C97088" w:rsidRDefault="008F2269" w:rsidP="002D1362">
            <w:pPr>
              <w:jc w:val="center"/>
              <w:rPr>
                <w:sz w:val="20"/>
                <w:szCs w:val="20"/>
              </w:rPr>
            </w:pPr>
            <w:r w:rsidRPr="00C97088">
              <w:rPr>
                <w:sz w:val="20"/>
                <w:szCs w:val="20"/>
              </w:rPr>
              <w:t>Prestations d’AT/expertise</w:t>
            </w:r>
          </w:p>
        </w:tc>
      </w:tr>
      <w:tr w:rsidR="008F2269" w:rsidRPr="00C97088" w14:paraId="1DA36763" w14:textId="77777777" w:rsidTr="002D1362">
        <w:tc>
          <w:tcPr>
            <w:tcW w:w="1311" w:type="dxa"/>
            <w:gridSpan w:val="2"/>
            <w:vMerge/>
            <w:shd w:val="clear" w:color="auto" w:fill="D9D9D9" w:themeFill="background1" w:themeFillShade="D9"/>
          </w:tcPr>
          <w:p w14:paraId="201CD011" w14:textId="77777777" w:rsidR="008F2269" w:rsidRPr="00C97088" w:rsidRDefault="008F2269" w:rsidP="002D1362">
            <w:pPr>
              <w:rPr>
                <w:sz w:val="20"/>
                <w:szCs w:val="20"/>
              </w:rPr>
            </w:pPr>
          </w:p>
        </w:tc>
        <w:tc>
          <w:tcPr>
            <w:tcW w:w="674" w:type="dxa"/>
          </w:tcPr>
          <w:p w14:paraId="0C66D294" w14:textId="77777777" w:rsidR="008F2269" w:rsidRPr="00C97088" w:rsidRDefault="008F2269" w:rsidP="002D1362">
            <w:pPr>
              <w:rPr>
                <w:sz w:val="20"/>
                <w:szCs w:val="20"/>
              </w:rPr>
            </w:pPr>
            <w:r w:rsidRPr="00C97088">
              <w:rPr>
                <w:sz w:val="20"/>
                <w:szCs w:val="20"/>
              </w:rPr>
              <w:t>A.4.7.4</w:t>
            </w:r>
          </w:p>
        </w:tc>
        <w:tc>
          <w:tcPr>
            <w:tcW w:w="2376" w:type="dxa"/>
            <w:gridSpan w:val="2"/>
          </w:tcPr>
          <w:p w14:paraId="5FA9264B" w14:textId="7E74D7F0" w:rsidR="008F2269" w:rsidRPr="00C97088" w:rsidRDefault="008F2269" w:rsidP="002D1362">
            <w:pPr>
              <w:rPr>
                <w:sz w:val="20"/>
                <w:szCs w:val="20"/>
              </w:rPr>
            </w:pPr>
            <w:r w:rsidRPr="00C97088">
              <w:rPr>
                <w:sz w:val="20"/>
                <w:szCs w:val="20"/>
              </w:rPr>
              <w:t xml:space="preserve">Développer une offre de formation sur les </w:t>
            </w:r>
            <w:r w:rsidR="00BB5F8F" w:rsidRPr="00C97088">
              <w:rPr>
                <w:sz w:val="20"/>
                <w:szCs w:val="20"/>
              </w:rPr>
              <w:t>métiers de</w:t>
            </w:r>
            <w:r w:rsidRPr="00C97088">
              <w:rPr>
                <w:sz w:val="20"/>
                <w:szCs w:val="20"/>
              </w:rPr>
              <w:t xml:space="preserve"> l’eau, de l’assainissement et de l’environnement en lien avec l’Université de Nouakchott</w:t>
            </w:r>
          </w:p>
        </w:tc>
        <w:tc>
          <w:tcPr>
            <w:tcW w:w="992" w:type="dxa"/>
            <w:vAlign w:val="center"/>
          </w:tcPr>
          <w:p w14:paraId="772F03BA" w14:textId="77777777" w:rsidR="008F2269" w:rsidRPr="00C97088" w:rsidRDefault="008F2269" w:rsidP="002D1362">
            <w:pPr>
              <w:jc w:val="center"/>
              <w:rPr>
                <w:sz w:val="20"/>
                <w:szCs w:val="20"/>
              </w:rPr>
            </w:pPr>
            <w:r w:rsidRPr="00C97088">
              <w:rPr>
                <w:sz w:val="20"/>
                <w:szCs w:val="20"/>
              </w:rPr>
              <w:t>32,0</w:t>
            </w:r>
          </w:p>
        </w:tc>
        <w:tc>
          <w:tcPr>
            <w:tcW w:w="567" w:type="dxa"/>
            <w:vAlign w:val="center"/>
          </w:tcPr>
          <w:p w14:paraId="61AEF9C5" w14:textId="77777777" w:rsidR="008F2269" w:rsidRPr="00C97088" w:rsidRDefault="008F2269" w:rsidP="002D1362">
            <w:pPr>
              <w:jc w:val="center"/>
              <w:rPr>
                <w:sz w:val="20"/>
                <w:szCs w:val="20"/>
              </w:rPr>
            </w:pPr>
            <w:r w:rsidRPr="00C97088">
              <w:rPr>
                <w:sz w:val="20"/>
                <w:szCs w:val="20"/>
              </w:rPr>
              <w:t>2</w:t>
            </w:r>
          </w:p>
        </w:tc>
        <w:tc>
          <w:tcPr>
            <w:tcW w:w="1418" w:type="dxa"/>
            <w:vAlign w:val="center"/>
          </w:tcPr>
          <w:p w14:paraId="10B0D682" w14:textId="77777777" w:rsidR="008F2269" w:rsidRPr="00C97088" w:rsidRDefault="008F2269" w:rsidP="002D1362">
            <w:pPr>
              <w:jc w:val="center"/>
              <w:rPr>
                <w:sz w:val="20"/>
                <w:szCs w:val="20"/>
              </w:rPr>
            </w:pPr>
            <w:r w:rsidRPr="00C97088">
              <w:rPr>
                <w:sz w:val="20"/>
                <w:szCs w:val="20"/>
              </w:rPr>
              <w:t>% d’avancement</w:t>
            </w:r>
          </w:p>
        </w:tc>
        <w:tc>
          <w:tcPr>
            <w:tcW w:w="992" w:type="dxa"/>
            <w:vMerge/>
          </w:tcPr>
          <w:p w14:paraId="6B21E7D4" w14:textId="77777777" w:rsidR="008F2269" w:rsidRPr="00C97088" w:rsidRDefault="008F2269" w:rsidP="002D1362">
            <w:pPr>
              <w:rPr>
                <w:sz w:val="20"/>
                <w:szCs w:val="20"/>
              </w:rPr>
            </w:pPr>
          </w:p>
        </w:tc>
        <w:tc>
          <w:tcPr>
            <w:tcW w:w="1843" w:type="dxa"/>
            <w:vAlign w:val="center"/>
          </w:tcPr>
          <w:p w14:paraId="0EC7AF79" w14:textId="77777777" w:rsidR="008F2269" w:rsidRPr="00C97088" w:rsidRDefault="008F2269" w:rsidP="002D1362">
            <w:pPr>
              <w:jc w:val="center"/>
              <w:rPr>
                <w:sz w:val="20"/>
                <w:szCs w:val="20"/>
              </w:rPr>
            </w:pPr>
            <w:r w:rsidRPr="00C97088">
              <w:rPr>
                <w:sz w:val="20"/>
                <w:szCs w:val="20"/>
              </w:rPr>
              <w:t xml:space="preserve">Projet de centre des métiers de l’eau à Kaédi ? (AFD) ou Centre de l’ONSER à </w:t>
            </w:r>
            <w:proofErr w:type="spellStart"/>
            <w:r w:rsidRPr="00C97088">
              <w:rPr>
                <w:sz w:val="20"/>
                <w:szCs w:val="20"/>
              </w:rPr>
              <w:t>Nkt</w:t>
            </w:r>
            <w:proofErr w:type="spellEnd"/>
          </w:p>
        </w:tc>
      </w:tr>
      <w:tr w:rsidR="008F2269" w:rsidRPr="00C97088" w14:paraId="62557327" w14:textId="77777777" w:rsidTr="002D1362">
        <w:tc>
          <w:tcPr>
            <w:tcW w:w="5353" w:type="dxa"/>
            <w:gridSpan w:val="6"/>
            <w:tcBorders>
              <w:left w:val="nil"/>
              <w:right w:val="nil"/>
            </w:tcBorders>
          </w:tcPr>
          <w:p w14:paraId="20C1FDCF" w14:textId="77777777" w:rsidR="008F2269" w:rsidRPr="00C97088" w:rsidRDefault="008F2269" w:rsidP="002D1362">
            <w:pPr>
              <w:rPr>
                <w:sz w:val="20"/>
                <w:szCs w:val="20"/>
              </w:rPr>
            </w:pPr>
          </w:p>
        </w:tc>
        <w:tc>
          <w:tcPr>
            <w:tcW w:w="567" w:type="dxa"/>
            <w:vMerge w:val="restart"/>
            <w:tcBorders>
              <w:left w:val="nil"/>
              <w:bottom w:val="nil"/>
              <w:right w:val="nil"/>
            </w:tcBorders>
          </w:tcPr>
          <w:p w14:paraId="4D32B48E" w14:textId="77777777" w:rsidR="008F2269" w:rsidRPr="00C97088" w:rsidRDefault="008F2269" w:rsidP="002D1362">
            <w:pPr>
              <w:rPr>
                <w:sz w:val="20"/>
                <w:szCs w:val="20"/>
              </w:rPr>
            </w:pPr>
          </w:p>
        </w:tc>
        <w:tc>
          <w:tcPr>
            <w:tcW w:w="4253" w:type="dxa"/>
            <w:gridSpan w:val="3"/>
            <w:vMerge w:val="restart"/>
            <w:tcBorders>
              <w:left w:val="nil"/>
              <w:right w:val="nil"/>
            </w:tcBorders>
          </w:tcPr>
          <w:p w14:paraId="2D459AEE" w14:textId="77777777" w:rsidR="008F2269" w:rsidRPr="00C97088" w:rsidRDefault="008F2269" w:rsidP="002D1362">
            <w:pPr>
              <w:rPr>
                <w:sz w:val="20"/>
                <w:szCs w:val="20"/>
              </w:rPr>
            </w:pPr>
          </w:p>
        </w:tc>
      </w:tr>
      <w:tr w:rsidR="008F2269" w:rsidRPr="00C97088" w14:paraId="415C8484" w14:textId="77777777" w:rsidTr="002D1362">
        <w:tc>
          <w:tcPr>
            <w:tcW w:w="4361" w:type="dxa"/>
            <w:gridSpan w:val="5"/>
            <w:shd w:val="clear" w:color="auto" w:fill="D9D9D9" w:themeFill="background1" w:themeFillShade="D9"/>
          </w:tcPr>
          <w:p w14:paraId="032F7F15" w14:textId="77777777" w:rsidR="008F2269" w:rsidRPr="00C97088" w:rsidRDefault="008F2269" w:rsidP="002D1362">
            <w:pPr>
              <w:rPr>
                <w:sz w:val="20"/>
                <w:szCs w:val="20"/>
              </w:rPr>
            </w:pPr>
            <w:r w:rsidRPr="00C97088">
              <w:rPr>
                <w:sz w:val="20"/>
                <w:szCs w:val="20"/>
              </w:rPr>
              <w:t>TOTAL INDICATIF EN MILLIONS DE MRU</w:t>
            </w:r>
          </w:p>
        </w:tc>
        <w:tc>
          <w:tcPr>
            <w:tcW w:w="992" w:type="dxa"/>
            <w:shd w:val="clear" w:color="auto" w:fill="D9D9D9" w:themeFill="background1" w:themeFillShade="D9"/>
          </w:tcPr>
          <w:p w14:paraId="502AE8EC" w14:textId="77777777" w:rsidR="008F2269" w:rsidRPr="00C97088" w:rsidRDefault="008F2269" w:rsidP="002D1362">
            <w:pPr>
              <w:rPr>
                <w:sz w:val="20"/>
                <w:szCs w:val="20"/>
              </w:rPr>
            </w:pPr>
            <w:r w:rsidRPr="00C97088">
              <w:rPr>
                <w:sz w:val="20"/>
                <w:szCs w:val="20"/>
              </w:rPr>
              <w:t>748</w:t>
            </w:r>
          </w:p>
        </w:tc>
        <w:tc>
          <w:tcPr>
            <w:tcW w:w="567" w:type="dxa"/>
            <w:vMerge/>
            <w:tcBorders>
              <w:bottom w:val="nil"/>
              <w:right w:val="nil"/>
            </w:tcBorders>
          </w:tcPr>
          <w:p w14:paraId="19368A98" w14:textId="77777777" w:rsidR="008F2269" w:rsidRPr="00C97088" w:rsidRDefault="008F2269" w:rsidP="002D1362">
            <w:pPr>
              <w:rPr>
                <w:sz w:val="20"/>
                <w:szCs w:val="20"/>
              </w:rPr>
            </w:pPr>
          </w:p>
        </w:tc>
        <w:tc>
          <w:tcPr>
            <w:tcW w:w="4253" w:type="dxa"/>
            <w:gridSpan w:val="3"/>
            <w:vMerge/>
            <w:tcBorders>
              <w:left w:val="nil"/>
              <w:right w:val="nil"/>
            </w:tcBorders>
          </w:tcPr>
          <w:p w14:paraId="5C6FA011" w14:textId="77777777" w:rsidR="008F2269" w:rsidRPr="00C97088" w:rsidRDefault="008F2269" w:rsidP="002D1362">
            <w:pPr>
              <w:rPr>
                <w:sz w:val="20"/>
                <w:szCs w:val="20"/>
              </w:rPr>
            </w:pPr>
          </w:p>
        </w:tc>
      </w:tr>
      <w:tr w:rsidR="008F2269" w:rsidRPr="00C97088" w14:paraId="4529BC94" w14:textId="77777777" w:rsidTr="002D1362">
        <w:tc>
          <w:tcPr>
            <w:tcW w:w="4361" w:type="dxa"/>
            <w:gridSpan w:val="5"/>
            <w:shd w:val="clear" w:color="auto" w:fill="D9D9D9" w:themeFill="background1" w:themeFillShade="D9"/>
          </w:tcPr>
          <w:p w14:paraId="15549BB7" w14:textId="77777777" w:rsidR="008F2269" w:rsidRPr="00C97088" w:rsidRDefault="008F2269" w:rsidP="002D1362">
            <w:pPr>
              <w:rPr>
                <w:sz w:val="20"/>
                <w:szCs w:val="20"/>
              </w:rPr>
            </w:pPr>
            <w:r w:rsidRPr="00C97088">
              <w:rPr>
                <w:sz w:val="20"/>
                <w:szCs w:val="20"/>
              </w:rPr>
              <w:t>TOTAL INDICATIF EN MILLIONS D’EUROS</w:t>
            </w:r>
          </w:p>
        </w:tc>
        <w:tc>
          <w:tcPr>
            <w:tcW w:w="992" w:type="dxa"/>
            <w:shd w:val="clear" w:color="auto" w:fill="D9D9D9" w:themeFill="background1" w:themeFillShade="D9"/>
          </w:tcPr>
          <w:p w14:paraId="69E67433" w14:textId="77777777" w:rsidR="008F2269" w:rsidRPr="00C97088" w:rsidRDefault="008F2269" w:rsidP="002D1362">
            <w:pPr>
              <w:rPr>
                <w:sz w:val="20"/>
                <w:szCs w:val="20"/>
              </w:rPr>
            </w:pPr>
            <w:r w:rsidRPr="00C97088">
              <w:rPr>
                <w:sz w:val="20"/>
                <w:szCs w:val="20"/>
              </w:rPr>
              <w:t>17,8</w:t>
            </w:r>
          </w:p>
        </w:tc>
        <w:tc>
          <w:tcPr>
            <w:tcW w:w="567" w:type="dxa"/>
            <w:vMerge/>
            <w:tcBorders>
              <w:bottom w:val="nil"/>
              <w:right w:val="nil"/>
            </w:tcBorders>
          </w:tcPr>
          <w:p w14:paraId="4904B59F" w14:textId="77777777" w:rsidR="008F2269" w:rsidRPr="00C97088" w:rsidRDefault="008F2269" w:rsidP="002D1362">
            <w:pPr>
              <w:rPr>
                <w:sz w:val="20"/>
                <w:szCs w:val="20"/>
              </w:rPr>
            </w:pPr>
          </w:p>
        </w:tc>
        <w:tc>
          <w:tcPr>
            <w:tcW w:w="4253" w:type="dxa"/>
            <w:gridSpan w:val="3"/>
            <w:vMerge/>
            <w:tcBorders>
              <w:left w:val="nil"/>
              <w:bottom w:val="nil"/>
              <w:right w:val="nil"/>
            </w:tcBorders>
          </w:tcPr>
          <w:p w14:paraId="54B88095" w14:textId="77777777" w:rsidR="008F2269" w:rsidRPr="00C97088" w:rsidRDefault="008F2269" w:rsidP="002D1362">
            <w:pPr>
              <w:rPr>
                <w:sz w:val="20"/>
                <w:szCs w:val="20"/>
              </w:rPr>
            </w:pPr>
          </w:p>
        </w:tc>
      </w:tr>
    </w:tbl>
    <w:p w14:paraId="6D345B8B" w14:textId="77777777" w:rsidR="008F2269" w:rsidRDefault="008F2269" w:rsidP="008F2269">
      <w:r>
        <w:t>SNADEA 2022-2030</w:t>
      </w:r>
    </w:p>
    <w:p w14:paraId="0CA8E546" w14:textId="77777777" w:rsidR="008F2269" w:rsidRDefault="008F2269" w:rsidP="008F2269">
      <w:pPr>
        <w:pStyle w:val="Titre2"/>
        <w:rPr>
          <w:rFonts w:asciiTheme="minorHAnsi" w:hAnsiTheme="minorHAnsi" w:cstheme="minorHAnsi"/>
          <w:color w:val="auto"/>
          <w:sz w:val="22"/>
          <w:szCs w:val="22"/>
        </w:rPr>
      </w:pPr>
    </w:p>
    <w:p w14:paraId="467078FC" w14:textId="77777777" w:rsidR="008F2269" w:rsidRPr="00AD592C" w:rsidRDefault="008F2269" w:rsidP="008F2269">
      <w:pPr>
        <w:pStyle w:val="Titre2"/>
        <w:jc w:val="center"/>
        <w:rPr>
          <w:rFonts w:asciiTheme="minorHAnsi" w:hAnsiTheme="minorHAnsi" w:cstheme="minorHAnsi"/>
          <w:color w:val="auto"/>
          <w:sz w:val="22"/>
          <w:szCs w:val="22"/>
        </w:rPr>
      </w:pPr>
      <w:bookmarkStart w:id="201" w:name="_Toc180318705"/>
      <w:r w:rsidRPr="00387F9C">
        <w:rPr>
          <w:rFonts w:asciiTheme="minorHAnsi" w:hAnsiTheme="minorHAnsi" w:cstheme="minorHAnsi"/>
          <w:color w:val="auto"/>
          <w:sz w:val="22"/>
          <w:szCs w:val="22"/>
        </w:rPr>
        <w:t>Annexe 2 :</w:t>
      </w:r>
      <w:bookmarkEnd w:id="197"/>
      <w:bookmarkEnd w:id="198"/>
      <w:bookmarkEnd w:id="199"/>
      <w:r w:rsidRPr="00387F9C">
        <w:rPr>
          <w:rFonts w:asciiTheme="minorHAnsi" w:hAnsiTheme="minorHAnsi" w:cstheme="minorHAnsi"/>
          <w:color w:val="auto"/>
          <w:sz w:val="22"/>
          <w:szCs w:val="22"/>
        </w:rPr>
        <w:t xml:space="preserve"> La liste des personnes/institutions consultées</w:t>
      </w:r>
      <w:bookmarkEnd w:id="200"/>
      <w:bookmarkEnd w:id="201"/>
    </w:p>
    <w:tbl>
      <w:tblPr>
        <w:tblStyle w:val="Grilledutableau"/>
        <w:tblW w:w="9464" w:type="dxa"/>
        <w:tblLayout w:type="fixed"/>
        <w:tblLook w:val="04A0" w:firstRow="1" w:lastRow="0" w:firstColumn="1" w:lastColumn="0" w:noHBand="0" w:noVBand="1"/>
      </w:tblPr>
      <w:tblGrid>
        <w:gridCol w:w="2557"/>
        <w:gridCol w:w="2796"/>
        <w:gridCol w:w="1559"/>
        <w:gridCol w:w="2552"/>
      </w:tblGrid>
      <w:tr w:rsidR="008F2269" w:rsidRPr="00BE7A39" w14:paraId="2A0577F9" w14:textId="77777777" w:rsidTr="002D1362">
        <w:tc>
          <w:tcPr>
            <w:tcW w:w="2557" w:type="dxa"/>
          </w:tcPr>
          <w:p w14:paraId="63DE2B1E" w14:textId="77777777" w:rsidR="008F2269" w:rsidRPr="00B851B3" w:rsidRDefault="008F2269" w:rsidP="002D1362">
            <w:pPr>
              <w:rPr>
                <w:rFonts w:cstheme="minorHAnsi"/>
                <w:b/>
                <w:sz w:val="20"/>
                <w:szCs w:val="20"/>
                <w:shd w:val="clear" w:color="auto" w:fill="FFFFFF"/>
              </w:rPr>
            </w:pPr>
            <w:r w:rsidRPr="00B851B3">
              <w:rPr>
                <w:rFonts w:cstheme="minorHAnsi"/>
                <w:b/>
                <w:sz w:val="20"/>
                <w:szCs w:val="20"/>
                <w:shd w:val="clear" w:color="auto" w:fill="FFFFFF"/>
              </w:rPr>
              <w:t>Noms</w:t>
            </w:r>
          </w:p>
        </w:tc>
        <w:tc>
          <w:tcPr>
            <w:tcW w:w="2796" w:type="dxa"/>
          </w:tcPr>
          <w:p w14:paraId="5D291A5A" w14:textId="77777777" w:rsidR="008F2269" w:rsidRPr="00B851B3" w:rsidRDefault="008F2269" w:rsidP="002D1362">
            <w:pPr>
              <w:rPr>
                <w:rFonts w:cstheme="minorHAnsi"/>
                <w:b/>
                <w:sz w:val="20"/>
                <w:szCs w:val="20"/>
                <w:shd w:val="clear" w:color="auto" w:fill="FFFFFF"/>
              </w:rPr>
            </w:pPr>
            <w:r w:rsidRPr="00B851B3">
              <w:rPr>
                <w:rFonts w:cstheme="minorHAnsi"/>
                <w:b/>
                <w:sz w:val="20"/>
                <w:szCs w:val="20"/>
                <w:shd w:val="clear" w:color="auto" w:fill="FFFFFF"/>
              </w:rPr>
              <w:t>Fonctions</w:t>
            </w:r>
          </w:p>
        </w:tc>
        <w:tc>
          <w:tcPr>
            <w:tcW w:w="1559" w:type="dxa"/>
          </w:tcPr>
          <w:p w14:paraId="0CE4E396" w14:textId="77777777" w:rsidR="008F2269" w:rsidRPr="00B851B3" w:rsidRDefault="008F2269" w:rsidP="002D1362">
            <w:pPr>
              <w:rPr>
                <w:rFonts w:cstheme="minorHAnsi"/>
                <w:b/>
                <w:sz w:val="20"/>
                <w:szCs w:val="20"/>
                <w:shd w:val="clear" w:color="auto" w:fill="FFFFFF"/>
              </w:rPr>
            </w:pPr>
            <w:r w:rsidRPr="00B851B3">
              <w:rPr>
                <w:rFonts w:cstheme="minorHAnsi"/>
                <w:b/>
                <w:sz w:val="20"/>
                <w:szCs w:val="20"/>
                <w:shd w:val="clear" w:color="auto" w:fill="FFFFFF"/>
              </w:rPr>
              <w:t>Institutions</w:t>
            </w:r>
          </w:p>
        </w:tc>
        <w:tc>
          <w:tcPr>
            <w:tcW w:w="2552" w:type="dxa"/>
          </w:tcPr>
          <w:p w14:paraId="43FBB2C1" w14:textId="77777777" w:rsidR="008F2269" w:rsidRPr="00B851B3" w:rsidRDefault="008F2269" w:rsidP="002D1362">
            <w:pPr>
              <w:rPr>
                <w:rFonts w:cstheme="minorHAnsi"/>
                <w:b/>
                <w:sz w:val="20"/>
                <w:szCs w:val="20"/>
                <w:shd w:val="clear" w:color="auto" w:fill="FFFFFF"/>
              </w:rPr>
            </w:pPr>
            <w:r w:rsidRPr="00B851B3">
              <w:rPr>
                <w:rFonts w:cstheme="minorHAnsi"/>
                <w:b/>
                <w:sz w:val="20"/>
                <w:szCs w:val="20"/>
                <w:shd w:val="clear" w:color="auto" w:fill="FFFFFF"/>
              </w:rPr>
              <w:t>Adresses</w:t>
            </w:r>
          </w:p>
        </w:tc>
      </w:tr>
      <w:tr w:rsidR="008F2269" w:rsidRPr="00BE7A39" w14:paraId="1131C10A" w14:textId="77777777" w:rsidTr="002D1362">
        <w:tc>
          <w:tcPr>
            <w:tcW w:w="2557" w:type="dxa"/>
          </w:tcPr>
          <w:p w14:paraId="2ED8477A" w14:textId="44B38F57" w:rsidR="008F2269" w:rsidRPr="00B851B3" w:rsidRDefault="008F2269" w:rsidP="002D1362">
            <w:pPr>
              <w:rPr>
                <w:rFonts w:cstheme="minorHAnsi"/>
                <w:sz w:val="20"/>
                <w:szCs w:val="20"/>
                <w:shd w:val="clear" w:color="auto" w:fill="FFFFFF"/>
              </w:rPr>
            </w:pPr>
            <w:r w:rsidRPr="00B851B3">
              <w:rPr>
                <w:rFonts w:cstheme="minorHAnsi"/>
                <w:sz w:val="20"/>
                <w:szCs w:val="20"/>
                <w:shd w:val="clear" w:color="auto" w:fill="FFFFFF"/>
              </w:rPr>
              <w:t xml:space="preserve"> Moulaye Hassen </w:t>
            </w:r>
            <w:r w:rsidR="00BB5F8F" w:rsidRPr="00B851B3">
              <w:rPr>
                <w:rFonts w:cstheme="minorHAnsi"/>
                <w:sz w:val="20"/>
                <w:szCs w:val="20"/>
                <w:shd w:val="clear" w:color="auto" w:fill="FFFFFF"/>
              </w:rPr>
              <w:t>Ahmedou</w:t>
            </w:r>
          </w:p>
        </w:tc>
        <w:tc>
          <w:tcPr>
            <w:tcW w:w="2796" w:type="dxa"/>
          </w:tcPr>
          <w:p w14:paraId="3A3AD9C1" w14:textId="77777777" w:rsidR="008F2269" w:rsidRPr="00B851B3" w:rsidRDefault="008F2269" w:rsidP="002D1362">
            <w:pPr>
              <w:rPr>
                <w:rFonts w:cstheme="minorHAnsi"/>
                <w:sz w:val="20"/>
                <w:szCs w:val="20"/>
                <w:shd w:val="clear" w:color="auto" w:fill="FFFFFF"/>
              </w:rPr>
            </w:pPr>
            <w:r w:rsidRPr="00B851B3">
              <w:rPr>
                <w:rFonts w:cstheme="minorHAnsi"/>
                <w:sz w:val="20"/>
                <w:szCs w:val="20"/>
                <w:shd w:val="clear" w:color="auto" w:fill="FFFFFF"/>
              </w:rPr>
              <w:t xml:space="preserve"> Conseiller chargé de l’Hydraulique Urbaine</w:t>
            </w:r>
          </w:p>
        </w:tc>
        <w:tc>
          <w:tcPr>
            <w:tcW w:w="1559" w:type="dxa"/>
          </w:tcPr>
          <w:p w14:paraId="7EC0910F" w14:textId="77777777" w:rsidR="008F2269" w:rsidRPr="00B851B3" w:rsidRDefault="008F2269" w:rsidP="002D1362">
            <w:pPr>
              <w:rPr>
                <w:rFonts w:cstheme="minorHAnsi"/>
                <w:b/>
                <w:sz w:val="20"/>
                <w:szCs w:val="20"/>
                <w:shd w:val="clear" w:color="auto" w:fill="FFFFFF"/>
              </w:rPr>
            </w:pPr>
            <w:r w:rsidRPr="00B851B3">
              <w:rPr>
                <w:rFonts w:cstheme="minorHAnsi"/>
                <w:color w:val="000000"/>
                <w:sz w:val="20"/>
                <w:szCs w:val="20"/>
                <w:shd w:val="clear" w:color="auto" w:fill="FFFFFF"/>
              </w:rPr>
              <w:t xml:space="preserve"> MHA</w:t>
            </w:r>
          </w:p>
        </w:tc>
        <w:tc>
          <w:tcPr>
            <w:tcW w:w="2552" w:type="dxa"/>
          </w:tcPr>
          <w:p w14:paraId="3C89E562" w14:textId="77777777" w:rsidR="008F2269" w:rsidRPr="00B851B3" w:rsidRDefault="008F2269" w:rsidP="002D1362">
            <w:pPr>
              <w:rPr>
                <w:rFonts w:cstheme="minorHAnsi"/>
                <w:sz w:val="20"/>
                <w:szCs w:val="20"/>
                <w:shd w:val="clear" w:color="auto" w:fill="FFFFFF"/>
              </w:rPr>
            </w:pPr>
            <w:r w:rsidRPr="00B851B3">
              <w:rPr>
                <w:rFonts w:cstheme="minorHAnsi"/>
                <w:sz w:val="20"/>
                <w:szCs w:val="20"/>
                <w:shd w:val="clear" w:color="auto" w:fill="FFFFFF"/>
              </w:rPr>
              <w:t xml:space="preserve"> moulayhassen@yahoo.fr</w:t>
            </w:r>
          </w:p>
        </w:tc>
      </w:tr>
      <w:tr w:rsidR="008F2269" w:rsidRPr="00275D3E" w14:paraId="1A458B63" w14:textId="77777777" w:rsidTr="002D1362">
        <w:tc>
          <w:tcPr>
            <w:tcW w:w="2557" w:type="dxa"/>
          </w:tcPr>
          <w:p w14:paraId="3CC74758" w14:textId="77777777" w:rsidR="008F2269" w:rsidRPr="00B851B3" w:rsidRDefault="008F2269" w:rsidP="002D1362">
            <w:pPr>
              <w:rPr>
                <w:rFonts w:cstheme="minorHAnsi"/>
                <w:b/>
                <w:sz w:val="20"/>
                <w:szCs w:val="20"/>
                <w:shd w:val="clear" w:color="auto" w:fill="FFFFFF"/>
              </w:rPr>
            </w:pPr>
            <w:r w:rsidRPr="00B851B3">
              <w:rPr>
                <w:rFonts w:cstheme="minorHAnsi"/>
                <w:color w:val="000000"/>
                <w:sz w:val="20"/>
                <w:szCs w:val="20"/>
                <w:shd w:val="clear" w:color="auto" w:fill="FFFFFF"/>
              </w:rPr>
              <w:t xml:space="preserve"> Khady M/ Med Mahmoud</w:t>
            </w:r>
          </w:p>
        </w:tc>
        <w:tc>
          <w:tcPr>
            <w:tcW w:w="2796" w:type="dxa"/>
          </w:tcPr>
          <w:p w14:paraId="4408C2FA" w14:textId="77777777" w:rsidR="008F2269" w:rsidRPr="00B851B3" w:rsidRDefault="008F2269" w:rsidP="002D1362">
            <w:pPr>
              <w:rPr>
                <w:rFonts w:cstheme="minorHAnsi"/>
                <w:b/>
                <w:sz w:val="20"/>
                <w:szCs w:val="20"/>
                <w:shd w:val="clear" w:color="auto" w:fill="FFFFFF"/>
              </w:rPr>
            </w:pPr>
            <w:r w:rsidRPr="00B851B3">
              <w:rPr>
                <w:rFonts w:cstheme="minorHAnsi"/>
                <w:color w:val="000000"/>
                <w:sz w:val="20"/>
                <w:szCs w:val="20"/>
                <w:shd w:val="clear" w:color="auto" w:fill="FFFFFF"/>
              </w:rPr>
              <w:t xml:space="preserve"> Directrice Coopération et Planification</w:t>
            </w:r>
          </w:p>
        </w:tc>
        <w:tc>
          <w:tcPr>
            <w:tcW w:w="1559" w:type="dxa"/>
          </w:tcPr>
          <w:p w14:paraId="1F2CB9A7" w14:textId="77777777" w:rsidR="008F2269" w:rsidRPr="00B851B3" w:rsidRDefault="008F2269" w:rsidP="002D1362">
            <w:pPr>
              <w:rPr>
                <w:rFonts w:cstheme="minorHAnsi"/>
                <w:b/>
                <w:sz w:val="20"/>
                <w:szCs w:val="20"/>
                <w:shd w:val="clear" w:color="auto" w:fill="FFFFFF"/>
              </w:rPr>
            </w:pPr>
            <w:r w:rsidRPr="00B851B3">
              <w:rPr>
                <w:rFonts w:cstheme="minorHAnsi"/>
                <w:color w:val="000000"/>
                <w:sz w:val="20"/>
                <w:szCs w:val="20"/>
                <w:shd w:val="clear" w:color="auto" w:fill="FFFFFF"/>
              </w:rPr>
              <w:t xml:space="preserve"> MHA</w:t>
            </w:r>
          </w:p>
        </w:tc>
        <w:tc>
          <w:tcPr>
            <w:tcW w:w="2552" w:type="dxa"/>
          </w:tcPr>
          <w:p w14:paraId="11DB046D" w14:textId="77777777" w:rsidR="008F2269" w:rsidRPr="00B851B3" w:rsidRDefault="008F2269" w:rsidP="002D1362">
            <w:pPr>
              <w:rPr>
                <w:rFonts w:cstheme="minorHAnsi"/>
                <w:b/>
                <w:sz w:val="20"/>
                <w:szCs w:val="20"/>
                <w:shd w:val="clear" w:color="auto" w:fill="FFFFFF"/>
                <w:lang w:val="en-GB"/>
              </w:rPr>
            </w:pPr>
            <w:r>
              <w:rPr>
                <w:rFonts w:cstheme="minorHAnsi"/>
                <w:color w:val="000000"/>
                <w:sz w:val="20"/>
                <w:szCs w:val="20"/>
                <w:shd w:val="clear" w:color="auto" w:fill="FFFFFF"/>
                <w:lang w:val="en-GB"/>
              </w:rPr>
              <w:t>k</w:t>
            </w:r>
            <w:r w:rsidRPr="00B851B3">
              <w:rPr>
                <w:rFonts w:cstheme="minorHAnsi"/>
                <w:color w:val="000000"/>
                <w:sz w:val="20"/>
                <w:szCs w:val="20"/>
                <w:shd w:val="clear" w:color="auto" w:fill="FFFFFF"/>
                <w:lang w:val="en-GB"/>
              </w:rPr>
              <w:t xml:space="preserve">hady mh.tlb@hydraulique.gov.mr </w:t>
            </w:r>
          </w:p>
        </w:tc>
      </w:tr>
      <w:tr w:rsidR="008F2269" w:rsidRPr="00BE7A39" w14:paraId="11C09EBA" w14:textId="77777777" w:rsidTr="002D1362">
        <w:tc>
          <w:tcPr>
            <w:tcW w:w="2557" w:type="dxa"/>
          </w:tcPr>
          <w:p w14:paraId="79011ADF" w14:textId="77777777" w:rsidR="008F2269" w:rsidRPr="00B851B3" w:rsidRDefault="008F2269" w:rsidP="002D1362">
            <w:pPr>
              <w:rPr>
                <w:rFonts w:cstheme="minorHAnsi"/>
                <w:color w:val="000000"/>
                <w:sz w:val="20"/>
                <w:szCs w:val="20"/>
                <w:shd w:val="clear" w:color="auto" w:fill="FFFFFF"/>
              </w:rPr>
            </w:pPr>
            <w:r w:rsidRPr="00B851B3">
              <w:rPr>
                <w:rFonts w:cstheme="minorHAnsi"/>
                <w:color w:val="000000"/>
                <w:sz w:val="20"/>
                <w:szCs w:val="20"/>
                <w:shd w:val="clear" w:color="auto" w:fill="FFFFFF"/>
                <w:lang w:val="en-GB"/>
              </w:rPr>
              <w:t xml:space="preserve"> </w:t>
            </w:r>
            <w:r w:rsidRPr="00B851B3">
              <w:rPr>
                <w:rFonts w:cstheme="minorHAnsi"/>
                <w:color w:val="000000"/>
                <w:sz w:val="20"/>
                <w:szCs w:val="20"/>
                <w:shd w:val="clear" w:color="auto" w:fill="FFFFFF"/>
              </w:rPr>
              <w:t>Alioune Fall</w:t>
            </w:r>
          </w:p>
        </w:tc>
        <w:tc>
          <w:tcPr>
            <w:tcW w:w="2796" w:type="dxa"/>
          </w:tcPr>
          <w:p w14:paraId="3A70C8E9" w14:textId="77777777" w:rsidR="008F2269" w:rsidRPr="00B851B3" w:rsidRDefault="008F2269" w:rsidP="002D1362">
            <w:pPr>
              <w:rPr>
                <w:rFonts w:cstheme="minorHAnsi"/>
                <w:color w:val="000000"/>
                <w:sz w:val="20"/>
                <w:szCs w:val="20"/>
                <w:shd w:val="clear" w:color="auto" w:fill="FFFFFF"/>
              </w:rPr>
            </w:pPr>
            <w:r w:rsidRPr="00B851B3">
              <w:rPr>
                <w:rFonts w:cstheme="minorHAnsi"/>
                <w:color w:val="000000"/>
                <w:sz w:val="20"/>
                <w:szCs w:val="20"/>
                <w:shd w:val="clear" w:color="auto" w:fill="FFFFFF"/>
              </w:rPr>
              <w:t xml:space="preserve"> </w:t>
            </w:r>
            <w:r>
              <w:rPr>
                <w:rFonts w:cstheme="minorHAnsi"/>
                <w:color w:val="000000"/>
                <w:sz w:val="20"/>
                <w:szCs w:val="20"/>
                <w:shd w:val="clear" w:color="auto" w:fill="FFFFFF"/>
              </w:rPr>
              <w:t>Coordonnateur Communication Nationale N°5</w:t>
            </w:r>
          </w:p>
        </w:tc>
        <w:tc>
          <w:tcPr>
            <w:tcW w:w="1559" w:type="dxa"/>
          </w:tcPr>
          <w:p w14:paraId="13D85BB4" w14:textId="77777777" w:rsidR="008F2269" w:rsidRPr="00B851B3" w:rsidRDefault="008F2269" w:rsidP="002D1362">
            <w:pPr>
              <w:rPr>
                <w:rFonts w:cstheme="minorHAnsi"/>
                <w:color w:val="000000"/>
                <w:sz w:val="20"/>
                <w:szCs w:val="20"/>
                <w:shd w:val="clear" w:color="auto" w:fill="FFFFFF"/>
              </w:rPr>
            </w:pPr>
            <w:r w:rsidRPr="00B851B3">
              <w:rPr>
                <w:rFonts w:cstheme="minorHAnsi"/>
                <w:color w:val="000000"/>
                <w:sz w:val="20"/>
                <w:szCs w:val="20"/>
                <w:shd w:val="clear" w:color="auto" w:fill="FFFFFF"/>
              </w:rPr>
              <w:t xml:space="preserve"> </w:t>
            </w:r>
            <w:r>
              <w:rPr>
                <w:rFonts w:cstheme="minorHAnsi"/>
                <w:color w:val="000000"/>
                <w:sz w:val="20"/>
                <w:szCs w:val="20"/>
                <w:shd w:val="clear" w:color="auto" w:fill="FFFFFF"/>
              </w:rPr>
              <w:t>MEDD</w:t>
            </w:r>
          </w:p>
        </w:tc>
        <w:tc>
          <w:tcPr>
            <w:tcW w:w="2552" w:type="dxa"/>
          </w:tcPr>
          <w:p w14:paraId="6E42BFAF" w14:textId="77777777" w:rsidR="008F2269" w:rsidRPr="00B851B3" w:rsidRDefault="008F2269" w:rsidP="002D1362">
            <w:pPr>
              <w:rPr>
                <w:rFonts w:cstheme="minorHAnsi"/>
                <w:color w:val="000000"/>
                <w:sz w:val="20"/>
                <w:szCs w:val="20"/>
                <w:shd w:val="clear" w:color="auto" w:fill="FFFFFF"/>
              </w:rPr>
            </w:pPr>
            <w:r w:rsidRPr="00B851B3">
              <w:rPr>
                <w:rFonts w:cstheme="minorHAnsi"/>
                <w:color w:val="000000"/>
                <w:sz w:val="20"/>
                <w:szCs w:val="20"/>
                <w:shd w:val="clear" w:color="auto" w:fill="FFFFFF"/>
              </w:rPr>
              <w:t xml:space="preserve"> </w:t>
            </w:r>
            <w:r>
              <w:rPr>
                <w:rFonts w:cstheme="minorHAnsi"/>
                <w:color w:val="000000"/>
                <w:sz w:val="20"/>
                <w:szCs w:val="20"/>
                <w:shd w:val="clear" w:color="auto" w:fill="FFFFFF"/>
              </w:rPr>
              <w:t>Lunef1@gmail.com</w:t>
            </w:r>
          </w:p>
        </w:tc>
      </w:tr>
      <w:tr w:rsidR="008F2269" w:rsidRPr="00BE7A39" w14:paraId="3714E053" w14:textId="77777777" w:rsidTr="002D1362">
        <w:tc>
          <w:tcPr>
            <w:tcW w:w="2557" w:type="dxa"/>
          </w:tcPr>
          <w:p w14:paraId="25960CAE" w14:textId="77777777" w:rsidR="008F2269" w:rsidRPr="00B851B3" w:rsidRDefault="008F2269" w:rsidP="002D1362">
            <w:pPr>
              <w:rPr>
                <w:rFonts w:cstheme="minorHAnsi"/>
                <w:color w:val="000000"/>
                <w:sz w:val="20"/>
                <w:szCs w:val="20"/>
                <w:shd w:val="clear" w:color="auto" w:fill="FFFFFF"/>
              </w:rPr>
            </w:pPr>
            <w:r w:rsidRPr="00B851B3">
              <w:rPr>
                <w:rFonts w:cstheme="minorHAnsi"/>
                <w:color w:val="000000"/>
                <w:sz w:val="20"/>
                <w:szCs w:val="20"/>
                <w:shd w:val="clear" w:color="auto" w:fill="FFFFFF"/>
              </w:rPr>
              <w:t xml:space="preserve"> </w:t>
            </w:r>
          </w:p>
        </w:tc>
        <w:tc>
          <w:tcPr>
            <w:tcW w:w="2796" w:type="dxa"/>
          </w:tcPr>
          <w:p w14:paraId="08713127" w14:textId="77777777" w:rsidR="008F2269" w:rsidRPr="00B851B3" w:rsidRDefault="008F2269" w:rsidP="002D1362">
            <w:pPr>
              <w:rPr>
                <w:rFonts w:cstheme="minorHAnsi"/>
                <w:color w:val="000000"/>
                <w:sz w:val="20"/>
                <w:szCs w:val="20"/>
                <w:shd w:val="clear" w:color="auto" w:fill="FFFFFF"/>
              </w:rPr>
            </w:pPr>
            <w:r w:rsidRPr="00B851B3">
              <w:rPr>
                <w:rFonts w:cstheme="minorHAnsi"/>
                <w:color w:val="000000"/>
                <w:sz w:val="20"/>
                <w:szCs w:val="20"/>
                <w:shd w:val="clear" w:color="auto" w:fill="FFFFFF"/>
              </w:rPr>
              <w:t xml:space="preserve"> </w:t>
            </w:r>
          </w:p>
        </w:tc>
        <w:tc>
          <w:tcPr>
            <w:tcW w:w="1559" w:type="dxa"/>
          </w:tcPr>
          <w:p w14:paraId="797752A5" w14:textId="77777777" w:rsidR="008F2269" w:rsidRPr="00B851B3" w:rsidRDefault="008F2269" w:rsidP="002D1362">
            <w:pPr>
              <w:rPr>
                <w:rFonts w:cstheme="minorHAnsi"/>
                <w:color w:val="000000"/>
                <w:sz w:val="20"/>
                <w:szCs w:val="20"/>
                <w:shd w:val="clear" w:color="auto" w:fill="FFFFFF"/>
              </w:rPr>
            </w:pPr>
            <w:r w:rsidRPr="00B851B3">
              <w:rPr>
                <w:rFonts w:cstheme="minorHAnsi"/>
                <w:color w:val="000000"/>
                <w:sz w:val="20"/>
                <w:szCs w:val="20"/>
                <w:shd w:val="clear" w:color="auto" w:fill="FFFFFF"/>
              </w:rPr>
              <w:t xml:space="preserve"> </w:t>
            </w:r>
          </w:p>
        </w:tc>
        <w:tc>
          <w:tcPr>
            <w:tcW w:w="2552" w:type="dxa"/>
          </w:tcPr>
          <w:p w14:paraId="71AA8DF5" w14:textId="77777777" w:rsidR="008F2269" w:rsidRPr="00B851B3" w:rsidRDefault="008F2269" w:rsidP="002D1362">
            <w:pPr>
              <w:rPr>
                <w:rFonts w:cstheme="minorHAnsi"/>
                <w:color w:val="000000"/>
                <w:sz w:val="20"/>
                <w:szCs w:val="20"/>
                <w:shd w:val="clear" w:color="auto" w:fill="FFFFFF"/>
              </w:rPr>
            </w:pPr>
            <w:r w:rsidRPr="00B851B3">
              <w:rPr>
                <w:rFonts w:cstheme="minorHAnsi"/>
                <w:color w:val="000000"/>
                <w:sz w:val="20"/>
                <w:szCs w:val="20"/>
                <w:shd w:val="clear" w:color="auto" w:fill="FFFFFF"/>
              </w:rPr>
              <w:t xml:space="preserve"> </w:t>
            </w:r>
          </w:p>
        </w:tc>
      </w:tr>
      <w:tr w:rsidR="008F2269" w:rsidRPr="00BE7A39" w14:paraId="071F9139" w14:textId="77777777" w:rsidTr="002D1362">
        <w:tc>
          <w:tcPr>
            <w:tcW w:w="2557" w:type="dxa"/>
          </w:tcPr>
          <w:p w14:paraId="36EE8E6B" w14:textId="77777777" w:rsidR="008F2269" w:rsidRPr="00B851B3" w:rsidRDefault="008F2269" w:rsidP="002D1362">
            <w:pPr>
              <w:rPr>
                <w:rFonts w:cstheme="minorHAnsi"/>
                <w:color w:val="000000"/>
                <w:sz w:val="20"/>
                <w:szCs w:val="20"/>
                <w:shd w:val="clear" w:color="auto" w:fill="FFFFFF"/>
              </w:rPr>
            </w:pPr>
            <w:r w:rsidRPr="00B851B3">
              <w:rPr>
                <w:rFonts w:cstheme="minorHAnsi"/>
                <w:color w:val="000000"/>
                <w:sz w:val="20"/>
                <w:szCs w:val="20"/>
                <w:shd w:val="clear" w:color="auto" w:fill="FFFFFF"/>
              </w:rPr>
              <w:t xml:space="preserve"> </w:t>
            </w:r>
          </w:p>
        </w:tc>
        <w:tc>
          <w:tcPr>
            <w:tcW w:w="2796" w:type="dxa"/>
          </w:tcPr>
          <w:p w14:paraId="78DA7689" w14:textId="77777777" w:rsidR="008F2269" w:rsidRPr="00B851B3" w:rsidRDefault="008F2269" w:rsidP="002D1362">
            <w:pPr>
              <w:rPr>
                <w:rFonts w:cstheme="minorHAnsi"/>
                <w:color w:val="000000"/>
                <w:sz w:val="20"/>
                <w:szCs w:val="20"/>
                <w:shd w:val="clear" w:color="auto" w:fill="FFFFFF"/>
              </w:rPr>
            </w:pPr>
            <w:r w:rsidRPr="00B851B3">
              <w:rPr>
                <w:rFonts w:cstheme="minorHAnsi"/>
                <w:color w:val="000000"/>
                <w:sz w:val="20"/>
                <w:szCs w:val="20"/>
                <w:shd w:val="clear" w:color="auto" w:fill="FFFFFF"/>
              </w:rPr>
              <w:t xml:space="preserve"> </w:t>
            </w:r>
          </w:p>
        </w:tc>
        <w:tc>
          <w:tcPr>
            <w:tcW w:w="1559" w:type="dxa"/>
          </w:tcPr>
          <w:p w14:paraId="70025389" w14:textId="77777777" w:rsidR="008F2269" w:rsidRPr="00B851B3" w:rsidRDefault="008F2269" w:rsidP="002D1362">
            <w:pPr>
              <w:rPr>
                <w:rFonts w:cstheme="minorHAnsi"/>
                <w:color w:val="000000"/>
                <w:sz w:val="20"/>
                <w:szCs w:val="20"/>
                <w:shd w:val="clear" w:color="auto" w:fill="FFFFFF"/>
              </w:rPr>
            </w:pPr>
            <w:r w:rsidRPr="00B851B3">
              <w:rPr>
                <w:rFonts w:cstheme="minorHAnsi"/>
                <w:color w:val="000000"/>
                <w:sz w:val="20"/>
                <w:szCs w:val="20"/>
                <w:shd w:val="clear" w:color="auto" w:fill="FFFFFF"/>
              </w:rPr>
              <w:t xml:space="preserve"> </w:t>
            </w:r>
          </w:p>
        </w:tc>
        <w:tc>
          <w:tcPr>
            <w:tcW w:w="2552" w:type="dxa"/>
          </w:tcPr>
          <w:p w14:paraId="244BB305" w14:textId="77777777" w:rsidR="008F2269" w:rsidRPr="00B851B3" w:rsidRDefault="008F2269" w:rsidP="002D1362">
            <w:pPr>
              <w:rPr>
                <w:rFonts w:cstheme="minorHAnsi"/>
                <w:color w:val="000000"/>
                <w:sz w:val="20"/>
                <w:szCs w:val="20"/>
                <w:shd w:val="clear" w:color="auto" w:fill="FFFFFF"/>
              </w:rPr>
            </w:pPr>
            <w:r w:rsidRPr="00B851B3">
              <w:rPr>
                <w:rFonts w:cstheme="minorHAnsi"/>
                <w:color w:val="000000"/>
                <w:sz w:val="20"/>
                <w:szCs w:val="20"/>
                <w:shd w:val="clear" w:color="auto" w:fill="FFFFFF"/>
              </w:rPr>
              <w:t xml:space="preserve"> </w:t>
            </w:r>
          </w:p>
        </w:tc>
      </w:tr>
    </w:tbl>
    <w:p w14:paraId="6112F958" w14:textId="77777777" w:rsidR="008F2269" w:rsidRPr="00AD592C" w:rsidRDefault="008F2269" w:rsidP="008F2269">
      <w:pPr>
        <w:pStyle w:val="Titre2"/>
        <w:jc w:val="center"/>
        <w:rPr>
          <w:rFonts w:asciiTheme="minorHAnsi" w:hAnsiTheme="minorHAnsi" w:cstheme="minorHAnsi"/>
          <w:color w:val="auto"/>
          <w:sz w:val="22"/>
          <w:szCs w:val="22"/>
        </w:rPr>
      </w:pPr>
      <w:bookmarkStart w:id="202" w:name="_Toc47874646"/>
      <w:bookmarkStart w:id="203" w:name="_Toc51854369"/>
      <w:bookmarkStart w:id="204" w:name="_Toc51930361"/>
      <w:bookmarkStart w:id="205" w:name="_Toc57057456"/>
      <w:bookmarkStart w:id="206" w:name="_Toc180318706"/>
      <w:r w:rsidRPr="00AD592C">
        <w:rPr>
          <w:rFonts w:asciiTheme="minorHAnsi" w:hAnsiTheme="minorHAnsi" w:cstheme="minorHAnsi"/>
          <w:color w:val="auto"/>
          <w:sz w:val="22"/>
          <w:szCs w:val="22"/>
        </w:rPr>
        <w:t>Annexe 3 :</w:t>
      </w:r>
      <w:bookmarkEnd w:id="202"/>
      <w:r w:rsidRPr="00AD592C">
        <w:rPr>
          <w:rFonts w:asciiTheme="minorHAnsi" w:hAnsiTheme="minorHAnsi" w:cstheme="minorHAnsi"/>
          <w:color w:val="auto"/>
          <w:sz w:val="22"/>
          <w:szCs w:val="22"/>
        </w:rPr>
        <w:t xml:space="preserve"> </w:t>
      </w:r>
      <w:bookmarkStart w:id="207" w:name="_Toc47874647"/>
      <w:r w:rsidRPr="00AD592C">
        <w:rPr>
          <w:rFonts w:asciiTheme="minorHAnsi" w:hAnsiTheme="minorHAnsi" w:cstheme="minorHAnsi"/>
          <w:color w:val="auto"/>
          <w:sz w:val="22"/>
          <w:szCs w:val="22"/>
        </w:rPr>
        <w:t>Liste des tableaux</w:t>
      </w:r>
      <w:bookmarkEnd w:id="203"/>
      <w:bookmarkEnd w:id="204"/>
      <w:bookmarkEnd w:id="205"/>
      <w:bookmarkEnd w:id="206"/>
      <w:bookmarkEnd w:id="207"/>
    </w:p>
    <w:tbl>
      <w:tblPr>
        <w:tblStyle w:val="Grilledutableau"/>
        <w:tblW w:w="9493" w:type="dxa"/>
        <w:tblLook w:val="04A0" w:firstRow="1" w:lastRow="0" w:firstColumn="1" w:lastColumn="0" w:noHBand="0" w:noVBand="1"/>
      </w:tblPr>
      <w:tblGrid>
        <w:gridCol w:w="6941"/>
        <w:gridCol w:w="2552"/>
      </w:tblGrid>
      <w:tr w:rsidR="008F2269" w:rsidRPr="00BE7A39" w14:paraId="7E5CC1D6" w14:textId="77777777" w:rsidTr="002D1362">
        <w:trPr>
          <w:trHeight w:val="335"/>
        </w:trPr>
        <w:tc>
          <w:tcPr>
            <w:tcW w:w="6941" w:type="dxa"/>
          </w:tcPr>
          <w:p w14:paraId="2FF4834E" w14:textId="77777777" w:rsidR="008F2269" w:rsidRPr="00BE7A39" w:rsidRDefault="008F2269" w:rsidP="002D1362">
            <w:pPr>
              <w:rPr>
                <w:rFonts w:cstheme="minorHAnsi"/>
                <w:b/>
                <w:sz w:val="20"/>
                <w:szCs w:val="20"/>
              </w:rPr>
            </w:pPr>
            <w:r w:rsidRPr="00BE7A39">
              <w:rPr>
                <w:rFonts w:cstheme="minorHAnsi"/>
                <w:b/>
                <w:sz w:val="20"/>
                <w:szCs w:val="20"/>
              </w:rPr>
              <w:t>N° Tableaux</w:t>
            </w:r>
          </w:p>
        </w:tc>
        <w:tc>
          <w:tcPr>
            <w:tcW w:w="2552" w:type="dxa"/>
          </w:tcPr>
          <w:p w14:paraId="525E151C" w14:textId="77777777" w:rsidR="008F2269" w:rsidRPr="00BE7A39" w:rsidRDefault="008F2269" w:rsidP="002D1362">
            <w:pPr>
              <w:jc w:val="center"/>
              <w:rPr>
                <w:rFonts w:cstheme="minorHAnsi"/>
                <w:b/>
                <w:sz w:val="20"/>
                <w:szCs w:val="20"/>
              </w:rPr>
            </w:pPr>
            <w:r w:rsidRPr="00BE7A39">
              <w:rPr>
                <w:rFonts w:cstheme="minorHAnsi"/>
                <w:b/>
                <w:sz w:val="20"/>
                <w:szCs w:val="20"/>
              </w:rPr>
              <w:t>Pages</w:t>
            </w:r>
          </w:p>
        </w:tc>
      </w:tr>
      <w:tr w:rsidR="008F2269" w:rsidRPr="00BE7A39" w14:paraId="2AA7AB1A" w14:textId="77777777" w:rsidTr="002D1362">
        <w:trPr>
          <w:trHeight w:val="1121"/>
        </w:trPr>
        <w:tc>
          <w:tcPr>
            <w:tcW w:w="6941" w:type="dxa"/>
          </w:tcPr>
          <w:p w14:paraId="478539CF" w14:textId="77777777" w:rsidR="008F2269" w:rsidRPr="00BE7A39" w:rsidRDefault="008F2269" w:rsidP="002D1362">
            <w:pPr>
              <w:rPr>
                <w:rFonts w:cstheme="minorHAnsi"/>
                <w:sz w:val="20"/>
                <w:szCs w:val="20"/>
              </w:rPr>
            </w:pPr>
            <w:r w:rsidRPr="00BE7A39">
              <w:rPr>
                <w:rFonts w:cstheme="minorHAnsi"/>
                <w:sz w:val="20"/>
                <w:szCs w:val="20"/>
              </w:rPr>
              <w:t>Tableau 1 : Cadre harmonisé : modèle non renseigné</w:t>
            </w:r>
          </w:p>
          <w:p w14:paraId="5D0798D5" w14:textId="77777777" w:rsidR="008F2269" w:rsidRPr="00BE7A39" w:rsidRDefault="008F2269" w:rsidP="002D1362">
            <w:pPr>
              <w:autoSpaceDE w:val="0"/>
              <w:autoSpaceDN w:val="0"/>
              <w:adjustRightInd w:val="0"/>
              <w:spacing w:before="10"/>
              <w:jc w:val="both"/>
              <w:rPr>
                <w:rFonts w:cstheme="minorHAnsi"/>
                <w:sz w:val="20"/>
                <w:szCs w:val="20"/>
              </w:rPr>
            </w:pPr>
            <w:r w:rsidRPr="00BE7A39">
              <w:rPr>
                <w:rFonts w:cstheme="minorHAnsi"/>
                <w:sz w:val="20"/>
                <w:szCs w:val="20"/>
              </w:rPr>
              <w:t>Tableau 2 : Cadre harmonisé renseigné</w:t>
            </w:r>
          </w:p>
          <w:p w14:paraId="077F0D08" w14:textId="77777777" w:rsidR="008F2269" w:rsidRPr="0003628E" w:rsidRDefault="008F2269" w:rsidP="002D1362">
            <w:pPr>
              <w:jc w:val="both"/>
              <w:rPr>
                <w:rFonts w:eastAsia="Times New Roman" w:cstheme="minorHAnsi"/>
                <w:sz w:val="20"/>
                <w:szCs w:val="20"/>
                <w:lang w:eastAsia="fr-FR"/>
              </w:rPr>
            </w:pPr>
            <w:r w:rsidRPr="00BE7A39">
              <w:rPr>
                <w:rFonts w:cstheme="minorHAnsi"/>
                <w:sz w:val="20"/>
                <w:szCs w:val="20"/>
              </w:rPr>
              <w:t xml:space="preserve">Tableau 3 : </w:t>
            </w:r>
            <w:r>
              <w:rPr>
                <w:rFonts w:eastAsia="Times New Roman" w:cstheme="minorHAnsi"/>
                <w:sz w:val="20"/>
                <w:szCs w:val="20"/>
                <w:lang w:eastAsia="fr-FR"/>
              </w:rPr>
              <w:t>Composants et indicateurs des indices de la vulnérabilité</w:t>
            </w:r>
          </w:p>
          <w:p w14:paraId="3023A3BB" w14:textId="77777777" w:rsidR="008F2269" w:rsidRPr="0003628E" w:rsidRDefault="008F2269" w:rsidP="002D1362">
            <w:pPr>
              <w:jc w:val="both"/>
              <w:rPr>
                <w:rFonts w:cstheme="minorHAnsi"/>
                <w:sz w:val="20"/>
                <w:szCs w:val="20"/>
              </w:rPr>
            </w:pPr>
            <w:r w:rsidRPr="00BE7A39">
              <w:rPr>
                <w:rFonts w:cstheme="minorHAnsi"/>
                <w:sz w:val="20"/>
                <w:szCs w:val="20"/>
              </w:rPr>
              <w:t>Tableau 4 </w:t>
            </w:r>
            <w:r w:rsidRPr="0003628E">
              <w:rPr>
                <w:rFonts w:cstheme="minorHAnsi"/>
                <w:sz w:val="20"/>
                <w:szCs w:val="20"/>
              </w:rPr>
              <w:t>: Bilan des ressources cadre de la coopération 2028-2023 en Mauritanie</w:t>
            </w:r>
          </w:p>
          <w:p w14:paraId="624CFCC5" w14:textId="77777777" w:rsidR="008F2269" w:rsidRPr="0003628E" w:rsidRDefault="008F2269" w:rsidP="002D1362">
            <w:pPr>
              <w:rPr>
                <w:rFonts w:cstheme="minorHAnsi"/>
                <w:sz w:val="20"/>
                <w:szCs w:val="20"/>
              </w:rPr>
            </w:pPr>
            <w:r w:rsidRPr="0003628E">
              <w:rPr>
                <w:rFonts w:cstheme="minorHAnsi"/>
                <w:sz w:val="20"/>
                <w:szCs w:val="20"/>
              </w:rPr>
              <w:t>Tableau 5 : Récapitulatif des besoins en financements de la CDN 2021</w:t>
            </w:r>
          </w:p>
          <w:p w14:paraId="3E8A087A" w14:textId="77777777" w:rsidR="008F2269" w:rsidRPr="00BE7A39" w:rsidRDefault="008F2269" w:rsidP="002D1362">
            <w:pPr>
              <w:rPr>
                <w:rFonts w:cstheme="minorHAnsi"/>
                <w:sz w:val="20"/>
                <w:szCs w:val="20"/>
              </w:rPr>
            </w:pPr>
            <w:r w:rsidRPr="00190D5D">
              <w:rPr>
                <w:sz w:val="20"/>
                <w:szCs w:val="20"/>
              </w:rPr>
              <w:t>Tableau 6 : SNADEA 2022 2030</w:t>
            </w:r>
          </w:p>
        </w:tc>
        <w:tc>
          <w:tcPr>
            <w:tcW w:w="2552" w:type="dxa"/>
          </w:tcPr>
          <w:p w14:paraId="50741446" w14:textId="77777777" w:rsidR="008F2269" w:rsidRPr="00387F9C" w:rsidRDefault="008F2269" w:rsidP="002D1362">
            <w:pPr>
              <w:jc w:val="center"/>
              <w:rPr>
                <w:rFonts w:cstheme="minorHAnsi"/>
                <w:sz w:val="20"/>
                <w:szCs w:val="20"/>
              </w:rPr>
            </w:pPr>
            <w:r>
              <w:rPr>
                <w:rFonts w:cstheme="minorHAnsi"/>
                <w:sz w:val="20"/>
                <w:szCs w:val="20"/>
              </w:rPr>
              <w:t xml:space="preserve">14 </w:t>
            </w:r>
          </w:p>
          <w:p w14:paraId="103AA71C" w14:textId="77777777" w:rsidR="008F2269" w:rsidRDefault="008F2269" w:rsidP="002D1362">
            <w:pPr>
              <w:jc w:val="center"/>
              <w:rPr>
                <w:rFonts w:cstheme="minorHAnsi"/>
                <w:sz w:val="20"/>
                <w:szCs w:val="20"/>
              </w:rPr>
            </w:pPr>
            <w:r>
              <w:rPr>
                <w:rFonts w:cstheme="minorHAnsi"/>
                <w:sz w:val="20"/>
                <w:szCs w:val="20"/>
              </w:rPr>
              <w:t>17</w:t>
            </w:r>
          </w:p>
          <w:p w14:paraId="3529A34E" w14:textId="77777777" w:rsidR="008F2269" w:rsidRPr="00387F9C" w:rsidRDefault="008F2269" w:rsidP="002D1362">
            <w:pPr>
              <w:jc w:val="center"/>
              <w:rPr>
                <w:rFonts w:cstheme="minorHAnsi"/>
                <w:sz w:val="20"/>
                <w:szCs w:val="20"/>
              </w:rPr>
            </w:pPr>
            <w:r>
              <w:rPr>
                <w:rFonts w:cstheme="minorHAnsi"/>
                <w:sz w:val="20"/>
                <w:szCs w:val="20"/>
              </w:rPr>
              <w:t xml:space="preserve">18 </w:t>
            </w:r>
          </w:p>
          <w:p w14:paraId="196AC1C7" w14:textId="77777777" w:rsidR="008F2269" w:rsidRPr="00387F9C" w:rsidRDefault="008F2269" w:rsidP="002D1362">
            <w:pPr>
              <w:jc w:val="center"/>
              <w:rPr>
                <w:rFonts w:cstheme="minorHAnsi"/>
                <w:sz w:val="20"/>
                <w:szCs w:val="20"/>
              </w:rPr>
            </w:pPr>
            <w:r>
              <w:rPr>
                <w:rFonts w:cstheme="minorHAnsi"/>
                <w:sz w:val="20"/>
                <w:szCs w:val="20"/>
              </w:rPr>
              <w:t xml:space="preserve">18 </w:t>
            </w:r>
          </w:p>
          <w:p w14:paraId="2F98ABFC" w14:textId="77777777" w:rsidR="008F2269" w:rsidRDefault="008F2269" w:rsidP="002D1362">
            <w:pPr>
              <w:jc w:val="center"/>
              <w:rPr>
                <w:rFonts w:cstheme="minorHAnsi"/>
                <w:sz w:val="20"/>
                <w:szCs w:val="20"/>
              </w:rPr>
            </w:pPr>
            <w:r>
              <w:rPr>
                <w:rFonts w:cstheme="minorHAnsi"/>
                <w:sz w:val="20"/>
                <w:szCs w:val="20"/>
              </w:rPr>
              <w:t xml:space="preserve">26 </w:t>
            </w:r>
          </w:p>
          <w:p w14:paraId="0F0AC156" w14:textId="77777777" w:rsidR="008F2269" w:rsidRPr="00190D5D" w:rsidRDefault="008F2269" w:rsidP="002D1362">
            <w:pPr>
              <w:jc w:val="center"/>
              <w:rPr>
                <w:rFonts w:cstheme="minorHAnsi"/>
                <w:bCs/>
                <w:sz w:val="20"/>
                <w:szCs w:val="20"/>
              </w:rPr>
            </w:pPr>
            <w:r w:rsidRPr="00190D5D">
              <w:rPr>
                <w:rFonts w:cstheme="minorHAnsi"/>
                <w:bCs/>
                <w:sz w:val="20"/>
                <w:szCs w:val="20"/>
              </w:rPr>
              <w:t>6</w:t>
            </w:r>
            <w:r>
              <w:rPr>
                <w:rFonts w:cstheme="minorHAnsi"/>
                <w:bCs/>
                <w:sz w:val="20"/>
                <w:szCs w:val="20"/>
              </w:rPr>
              <w:t>3</w:t>
            </w:r>
          </w:p>
        </w:tc>
      </w:tr>
      <w:tr w:rsidR="008F2269" w14:paraId="38453C0A" w14:textId="77777777" w:rsidTr="002D1362">
        <w:tc>
          <w:tcPr>
            <w:tcW w:w="6941" w:type="dxa"/>
          </w:tcPr>
          <w:p w14:paraId="753B7706" w14:textId="05581D04" w:rsidR="008F2269" w:rsidRPr="0046089C" w:rsidRDefault="008F2269" w:rsidP="002D1362">
            <w:pPr>
              <w:rPr>
                <w:rFonts w:cstheme="minorHAnsi"/>
                <w:bCs/>
                <w:sz w:val="20"/>
                <w:szCs w:val="20"/>
              </w:rPr>
            </w:pPr>
            <w:bookmarkStart w:id="208" w:name="_Toc180318707"/>
            <w:bookmarkStart w:id="209" w:name="_Toc47874648"/>
            <w:bookmarkStart w:id="210" w:name="_Toc51854370"/>
            <w:bookmarkStart w:id="211" w:name="_Toc51930362"/>
            <w:bookmarkStart w:id="212" w:name="_Toc57057457"/>
            <w:r>
              <w:rPr>
                <w:rFonts w:cstheme="minorHAnsi"/>
              </w:rPr>
              <w:t xml:space="preserve">Annexe 4 : Liste des </w:t>
            </w:r>
            <w:bookmarkEnd w:id="208"/>
            <w:r w:rsidR="002C1BF6">
              <w:rPr>
                <w:rFonts w:eastAsiaTheme="majorEastAsia" w:cstheme="minorHAnsi"/>
                <w:kern w:val="2"/>
                <w14:ligatures w14:val="standardContextual"/>
              </w:rPr>
              <w:t>figures</w:t>
            </w:r>
            <w:r w:rsidRPr="0046089C">
              <w:rPr>
                <w:rFonts w:cstheme="minorHAnsi"/>
                <w:b/>
                <w:sz w:val="20"/>
                <w:szCs w:val="20"/>
              </w:rPr>
              <w:t>° Graphiques</w:t>
            </w:r>
          </w:p>
        </w:tc>
        <w:tc>
          <w:tcPr>
            <w:tcW w:w="2552" w:type="dxa"/>
          </w:tcPr>
          <w:p w14:paraId="0552103A" w14:textId="77777777" w:rsidR="008F2269" w:rsidRPr="0046089C" w:rsidRDefault="008F2269" w:rsidP="002D1362">
            <w:pPr>
              <w:jc w:val="center"/>
              <w:rPr>
                <w:rFonts w:cstheme="minorHAnsi"/>
                <w:b/>
                <w:bCs/>
                <w:sz w:val="20"/>
                <w:szCs w:val="20"/>
              </w:rPr>
            </w:pPr>
            <w:r w:rsidRPr="0046089C">
              <w:rPr>
                <w:rFonts w:cstheme="minorHAnsi"/>
                <w:b/>
                <w:bCs/>
                <w:sz w:val="20"/>
                <w:szCs w:val="20"/>
              </w:rPr>
              <w:t>Pages</w:t>
            </w:r>
          </w:p>
        </w:tc>
      </w:tr>
      <w:tr w:rsidR="008F2269" w14:paraId="29C7F69D" w14:textId="77777777" w:rsidTr="002D1362">
        <w:tc>
          <w:tcPr>
            <w:tcW w:w="6941" w:type="dxa"/>
          </w:tcPr>
          <w:p w14:paraId="531D2399" w14:textId="77777777" w:rsidR="008F2269" w:rsidRPr="0046089C" w:rsidRDefault="008F2269" w:rsidP="002D1362">
            <w:pPr>
              <w:rPr>
                <w:rFonts w:cstheme="minorHAnsi"/>
                <w:sz w:val="20"/>
                <w:szCs w:val="20"/>
              </w:rPr>
            </w:pPr>
            <w:r w:rsidRPr="0046089C">
              <w:rPr>
                <w:rFonts w:cstheme="minorHAnsi"/>
                <w:sz w:val="20"/>
                <w:szCs w:val="20"/>
              </w:rPr>
              <w:t>Figure 1 : Carte topographique de la Mauritanie avec zones agroécologiques</w:t>
            </w:r>
          </w:p>
        </w:tc>
        <w:tc>
          <w:tcPr>
            <w:tcW w:w="2552" w:type="dxa"/>
          </w:tcPr>
          <w:p w14:paraId="1FEB87DD" w14:textId="77777777" w:rsidR="008F2269" w:rsidRPr="0046089C" w:rsidRDefault="008F2269" w:rsidP="002D1362">
            <w:pPr>
              <w:jc w:val="center"/>
              <w:rPr>
                <w:rFonts w:cstheme="minorHAnsi"/>
                <w:sz w:val="20"/>
                <w:szCs w:val="20"/>
              </w:rPr>
            </w:pPr>
            <w:r>
              <w:rPr>
                <w:rFonts w:cstheme="minorHAnsi"/>
                <w:sz w:val="20"/>
                <w:szCs w:val="20"/>
              </w:rPr>
              <w:t>10</w:t>
            </w:r>
          </w:p>
        </w:tc>
      </w:tr>
      <w:tr w:rsidR="008F2269" w14:paraId="561DF983" w14:textId="77777777" w:rsidTr="002D1362">
        <w:tc>
          <w:tcPr>
            <w:tcW w:w="6941" w:type="dxa"/>
          </w:tcPr>
          <w:p w14:paraId="774CA9E4" w14:textId="77777777" w:rsidR="008F2269" w:rsidRPr="0046089C" w:rsidRDefault="008F2269" w:rsidP="002D1362">
            <w:pPr>
              <w:rPr>
                <w:rFonts w:cstheme="minorHAnsi"/>
                <w:sz w:val="20"/>
                <w:szCs w:val="20"/>
              </w:rPr>
            </w:pPr>
            <w:r w:rsidRPr="0046089C">
              <w:rPr>
                <w:rFonts w:cstheme="minorHAnsi"/>
                <w:sz w:val="20"/>
                <w:szCs w:val="20"/>
              </w:rPr>
              <w:t>Figure 2 : Bases conceptuelles de l'adaptation et de l'atténuation avec les changements</w:t>
            </w:r>
          </w:p>
        </w:tc>
        <w:tc>
          <w:tcPr>
            <w:tcW w:w="2552" w:type="dxa"/>
          </w:tcPr>
          <w:p w14:paraId="531E8D42" w14:textId="77777777" w:rsidR="008F2269" w:rsidRPr="0046089C" w:rsidRDefault="008F2269" w:rsidP="002D1362">
            <w:pPr>
              <w:jc w:val="center"/>
              <w:rPr>
                <w:rFonts w:cstheme="minorHAnsi"/>
                <w:sz w:val="20"/>
                <w:szCs w:val="20"/>
              </w:rPr>
            </w:pPr>
            <w:r>
              <w:rPr>
                <w:rFonts w:cstheme="minorHAnsi"/>
                <w:sz w:val="20"/>
                <w:szCs w:val="20"/>
              </w:rPr>
              <w:t>15</w:t>
            </w:r>
          </w:p>
        </w:tc>
      </w:tr>
      <w:tr w:rsidR="008F2269" w14:paraId="1E949CFC" w14:textId="77777777" w:rsidTr="002D1362">
        <w:tc>
          <w:tcPr>
            <w:tcW w:w="6941" w:type="dxa"/>
          </w:tcPr>
          <w:p w14:paraId="56F9FCF1" w14:textId="77777777" w:rsidR="008F2269" w:rsidRPr="0046089C" w:rsidRDefault="008F2269" w:rsidP="002D1362">
            <w:pPr>
              <w:rPr>
                <w:rFonts w:cstheme="minorHAnsi"/>
                <w:sz w:val="20"/>
                <w:szCs w:val="20"/>
              </w:rPr>
            </w:pPr>
            <w:r w:rsidRPr="0046089C">
              <w:rPr>
                <w:rFonts w:cstheme="minorHAnsi"/>
                <w:sz w:val="20"/>
                <w:szCs w:val="20"/>
              </w:rPr>
              <w:t xml:space="preserve">Figure </w:t>
            </w:r>
            <w:r>
              <w:rPr>
                <w:rFonts w:cstheme="minorHAnsi"/>
                <w:sz w:val="20"/>
                <w:szCs w:val="20"/>
              </w:rPr>
              <w:t>3</w:t>
            </w:r>
            <w:r w:rsidRPr="0046089C">
              <w:rPr>
                <w:rFonts w:cstheme="minorHAnsi"/>
                <w:sz w:val="20"/>
                <w:szCs w:val="20"/>
              </w:rPr>
              <w:t xml:space="preserve"> : Fonctions de la vulnérabilité</w:t>
            </w:r>
          </w:p>
        </w:tc>
        <w:tc>
          <w:tcPr>
            <w:tcW w:w="2552" w:type="dxa"/>
          </w:tcPr>
          <w:p w14:paraId="4F698809" w14:textId="77777777" w:rsidR="008F2269" w:rsidRPr="0046089C" w:rsidRDefault="008F2269" w:rsidP="002D1362">
            <w:pPr>
              <w:jc w:val="center"/>
              <w:rPr>
                <w:rFonts w:cstheme="minorHAnsi"/>
                <w:sz w:val="20"/>
                <w:szCs w:val="20"/>
              </w:rPr>
            </w:pPr>
            <w:r>
              <w:rPr>
                <w:rFonts w:cstheme="minorHAnsi"/>
                <w:sz w:val="20"/>
                <w:szCs w:val="20"/>
              </w:rPr>
              <w:t>16</w:t>
            </w:r>
          </w:p>
        </w:tc>
      </w:tr>
      <w:tr w:rsidR="008F2269" w14:paraId="19443CC9" w14:textId="77777777" w:rsidTr="002D1362">
        <w:tc>
          <w:tcPr>
            <w:tcW w:w="6941" w:type="dxa"/>
          </w:tcPr>
          <w:p w14:paraId="46572F9C" w14:textId="77777777" w:rsidR="008F2269" w:rsidRPr="0046089C" w:rsidRDefault="008F2269" w:rsidP="002D1362">
            <w:pPr>
              <w:rPr>
                <w:rFonts w:cstheme="minorHAnsi"/>
                <w:sz w:val="20"/>
                <w:szCs w:val="20"/>
              </w:rPr>
            </w:pPr>
            <w:r w:rsidRPr="0046089C">
              <w:rPr>
                <w:rFonts w:cstheme="minorHAnsi"/>
                <w:sz w:val="20"/>
                <w:szCs w:val="20"/>
              </w:rPr>
              <w:t xml:space="preserve">Figure </w:t>
            </w:r>
            <w:r>
              <w:rPr>
                <w:rFonts w:cstheme="minorHAnsi"/>
                <w:sz w:val="20"/>
                <w:szCs w:val="20"/>
              </w:rPr>
              <w:t>4</w:t>
            </w:r>
            <w:r w:rsidRPr="0046089C">
              <w:rPr>
                <w:rFonts w:cstheme="minorHAnsi"/>
                <w:sz w:val="20"/>
                <w:szCs w:val="20"/>
              </w:rPr>
              <w:t xml:space="preserve"> : Les déterminants de la vulnérabilité</w:t>
            </w:r>
          </w:p>
          <w:p w14:paraId="19CA5921" w14:textId="77777777" w:rsidR="008F2269" w:rsidRPr="0046089C" w:rsidRDefault="008F2269" w:rsidP="002D1362">
            <w:pPr>
              <w:rPr>
                <w:rFonts w:cstheme="minorHAnsi"/>
                <w:sz w:val="20"/>
                <w:szCs w:val="20"/>
              </w:rPr>
            </w:pPr>
          </w:p>
        </w:tc>
        <w:tc>
          <w:tcPr>
            <w:tcW w:w="2552" w:type="dxa"/>
          </w:tcPr>
          <w:p w14:paraId="02C9F838" w14:textId="77777777" w:rsidR="008F2269" w:rsidRPr="0046089C" w:rsidRDefault="008F2269" w:rsidP="002D1362">
            <w:pPr>
              <w:jc w:val="center"/>
              <w:rPr>
                <w:rFonts w:cstheme="minorHAnsi"/>
                <w:sz w:val="20"/>
                <w:szCs w:val="20"/>
              </w:rPr>
            </w:pPr>
            <w:r>
              <w:rPr>
                <w:rFonts w:cstheme="minorHAnsi"/>
                <w:sz w:val="20"/>
                <w:szCs w:val="20"/>
              </w:rPr>
              <w:t>17</w:t>
            </w:r>
          </w:p>
        </w:tc>
      </w:tr>
    </w:tbl>
    <w:p w14:paraId="69DCA696" w14:textId="77777777" w:rsidR="008F2269" w:rsidRDefault="008F2269" w:rsidP="008F2269">
      <w:pPr>
        <w:pStyle w:val="Titre2"/>
        <w:rPr>
          <w:rFonts w:asciiTheme="minorHAnsi" w:hAnsiTheme="minorHAnsi" w:cstheme="minorHAnsi"/>
          <w:color w:val="auto"/>
          <w:sz w:val="22"/>
          <w:szCs w:val="22"/>
        </w:rPr>
      </w:pPr>
    </w:p>
    <w:p w14:paraId="0D5C2BDF" w14:textId="77777777" w:rsidR="002C1BF6" w:rsidRDefault="002C1BF6" w:rsidP="008F2269">
      <w:pPr>
        <w:pStyle w:val="Titre2"/>
        <w:jc w:val="center"/>
        <w:rPr>
          <w:rFonts w:asciiTheme="minorHAnsi" w:hAnsiTheme="minorHAnsi" w:cstheme="minorHAnsi"/>
          <w:color w:val="auto"/>
          <w:sz w:val="22"/>
          <w:szCs w:val="22"/>
        </w:rPr>
      </w:pPr>
      <w:bookmarkStart w:id="213" w:name="_Toc180318708"/>
    </w:p>
    <w:p w14:paraId="625378CE" w14:textId="77777777" w:rsidR="002C1BF6" w:rsidRDefault="002C1BF6" w:rsidP="008F2269">
      <w:pPr>
        <w:pStyle w:val="Titre2"/>
        <w:jc w:val="center"/>
        <w:rPr>
          <w:rFonts w:asciiTheme="minorHAnsi" w:hAnsiTheme="minorHAnsi" w:cstheme="minorHAnsi"/>
          <w:color w:val="auto"/>
          <w:sz w:val="22"/>
          <w:szCs w:val="22"/>
        </w:rPr>
      </w:pPr>
    </w:p>
    <w:p w14:paraId="50EFC8D8" w14:textId="4C6F3BBC" w:rsidR="008F2269" w:rsidRDefault="008F2269" w:rsidP="008F2269">
      <w:pPr>
        <w:pStyle w:val="Titre2"/>
        <w:jc w:val="center"/>
        <w:rPr>
          <w:rFonts w:asciiTheme="minorHAnsi" w:hAnsiTheme="minorHAnsi" w:cstheme="minorHAnsi"/>
          <w:color w:val="auto"/>
          <w:sz w:val="22"/>
          <w:szCs w:val="22"/>
        </w:rPr>
      </w:pPr>
      <w:r w:rsidRPr="00AD592C">
        <w:rPr>
          <w:rFonts w:asciiTheme="minorHAnsi" w:hAnsiTheme="minorHAnsi" w:cstheme="minorHAnsi"/>
          <w:color w:val="auto"/>
          <w:sz w:val="22"/>
          <w:szCs w:val="22"/>
        </w:rPr>
        <w:t xml:space="preserve">Annexe </w:t>
      </w:r>
      <w:r>
        <w:rPr>
          <w:rFonts w:asciiTheme="minorHAnsi" w:hAnsiTheme="minorHAnsi" w:cstheme="minorHAnsi"/>
          <w:color w:val="auto"/>
          <w:sz w:val="22"/>
          <w:szCs w:val="22"/>
        </w:rPr>
        <w:t>5</w:t>
      </w:r>
      <w:r w:rsidRPr="00AD592C">
        <w:rPr>
          <w:rFonts w:asciiTheme="minorHAnsi" w:hAnsiTheme="minorHAnsi" w:cstheme="minorHAnsi"/>
          <w:color w:val="auto"/>
          <w:sz w:val="22"/>
          <w:szCs w:val="22"/>
        </w:rPr>
        <w:t> : Bibliographie</w:t>
      </w:r>
      <w:bookmarkEnd w:id="209"/>
      <w:bookmarkEnd w:id="210"/>
      <w:bookmarkEnd w:id="211"/>
      <w:bookmarkEnd w:id="212"/>
      <w:bookmarkEnd w:id="213"/>
    </w:p>
    <w:p w14:paraId="19F8E614" w14:textId="77777777" w:rsidR="008F2269" w:rsidRPr="0021268D" w:rsidRDefault="008F2269" w:rsidP="008F2269"/>
    <w:p w14:paraId="7C9F5E69" w14:textId="77777777" w:rsidR="008F2269" w:rsidRPr="009451DA" w:rsidRDefault="008F2269" w:rsidP="001228B5">
      <w:pPr>
        <w:pStyle w:val="Paragraphedeliste"/>
        <w:numPr>
          <w:ilvl w:val="0"/>
          <w:numId w:val="101"/>
        </w:numPr>
        <w:tabs>
          <w:tab w:val="left" w:pos="8505"/>
        </w:tabs>
        <w:spacing w:after="0" w:line="276" w:lineRule="auto"/>
        <w:ind w:right="567"/>
        <w:jc w:val="both"/>
        <w:rPr>
          <w:rFonts w:cstheme="minorHAnsi"/>
        </w:rPr>
      </w:pPr>
      <w:r>
        <w:rPr>
          <w:szCs w:val="21"/>
          <w:lang w:eastAsia="fr-FR"/>
        </w:rPr>
        <w:t>Acterra environment climate : « E</w:t>
      </w:r>
      <w:r w:rsidRPr="00012A53">
        <w:rPr>
          <w:szCs w:val="21"/>
          <w:lang w:eastAsia="fr-FR"/>
        </w:rPr>
        <w:t>tude de la vulnérabilité</w:t>
      </w:r>
      <w:r>
        <w:rPr>
          <w:szCs w:val="21"/>
          <w:lang w:eastAsia="fr-FR"/>
        </w:rPr>
        <w:t xml:space="preserve"> </w:t>
      </w:r>
      <w:r w:rsidRPr="00012A53">
        <w:rPr>
          <w:szCs w:val="21"/>
          <w:lang w:eastAsia="fr-FR"/>
        </w:rPr>
        <w:t>et Plan d’adaptation</w:t>
      </w:r>
      <w:r>
        <w:rPr>
          <w:szCs w:val="21"/>
          <w:lang w:eastAsia="fr-FR"/>
        </w:rPr>
        <w:t xml:space="preserve"> </w:t>
      </w:r>
      <w:r w:rsidRPr="00012A53">
        <w:rPr>
          <w:szCs w:val="21"/>
          <w:lang w:eastAsia="fr-FR"/>
        </w:rPr>
        <w:t>de la Région</w:t>
      </w:r>
      <w:r>
        <w:rPr>
          <w:szCs w:val="21"/>
          <w:lang w:eastAsia="fr-FR"/>
        </w:rPr>
        <w:t xml:space="preserve"> </w:t>
      </w:r>
      <w:r w:rsidRPr="00012A53">
        <w:rPr>
          <w:szCs w:val="21"/>
          <w:lang w:eastAsia="fr-FR"/>
        </w:rPr>
        <w:t>de Nouakchott face au changement climatique –Mai 2019 »</w:t>
      </w:r>
      <w:r>
        <w:rPr>
          <w:szCs w:val="21"/>
          <w:lang w:eastAsia="fr-FR"/>
        </w:rPr>
        <w:t>.</w:t>
      </w:r>
    </w:p>
    <w:p w14:paraId="08F5D77C" w14:textId="77777777" w:rsidR="008F2269" w:rsidRPr="009451DA" w:rsidRDefault="008F2269" w:rsidP="001228B5">
      <w:pPr>
        <w:pStyle w:val="Paragraphedeliste"/>
        <w:numPr>
          <w:ilvl w:val="0"/>
          <w:numId w:val="101"/>
        </w:numPr>
        <w:tabs>
          <w:tab w:val="left" w:pos="8505"/>
        </w:tabs>
        <w:spacing w:after="0" w:line="276" w:lineRule="auto"/>
        <w:ind w:right="567"/>
        <w:jc w:val="both"/>
        <w:rPr>
          <w:rFonts w:cstheme="minorHAnsi"/>
        </w:rPr>
      </w:pPr>
      <w:r>
        <w:rPr>
          <w:szCs w:val="21"/>
          <w:lang w:eastAsia="fr-FR"/>
        </w:rPr>
        <w:t>Agrer et al. «4 Pôles du Nord : </w:t>
      </w:r>
      <w:r w:rsidRPr="009451DA">
        <w:rPr>
          <w:szCs w:val="21"/>
          <w:lang w:eastAsia="fr-FR"/>
        </w:rPr>
        <w:t>Livrables 3 et 4</w:t>
      </w:r>
      <w:r>
        <w:rPr>
          <w:szCs w:val="21"/>
          <w:lang w:eastAsia="fr-FR"/>
        </w:rPr>
        <w:t xml:space="preserve"> </w:t>
      </w:r>
      <w:r w:rsidRPr="009451DA">
        <w:rPr>
          <w:szCs w:val="21"/>
          <w:lang w:eastAsia="fr-FR"/>
        </w:rPr>
        <w:t>Rapport « Analyse du risque climatique » Version finale</w:t>
      </w:r>
      <w:r>
        <w:rPr>
          <w:szCs w:val="21"/>
          <w:lang w:eastAsia="fr-FR"/>
        </w:rPr>
        <w:t>, juin 2021.</w:t>
      </w:r>
    </w:p>
    <w:p w14:paraId="5A5874E8" w14:textId="77777777" w:rsidR="008F2269" w:rsidRDefault="008F2269" w:rsidP="001228B5">
      <w:pPr>
        <w:pStyle w:val="Paragraphedeliste"/>
        <w:numPr>
          <w:ilvl w:val="0"/>
          <w:numId w:val="101"/>
        </w:numPr>
        <w:tabs>
          <w:tab w:val="left" w:pos="8505"/>
        </w:tabs>
        <w:spacing w:after="0" w:line="276" w:lineRule="auto"/>
        <w:ind w:right="1275"/>
        <w:jc w:val="both"/>
        <w:rPr>
          <w:rFonts w:cstheme="minorHAnsi"/>
        </w:rPr>
      </w:pPr>
      <w:r>
        <w:rPr>
          <w:rFonts w:cstheme="minorHAnsi"/>
        </w:rPr>
        <w:t>Agrica : « Profil de risques climatiques en Mauritanie », août 2021</w:t>
      </w:r>
    </w:p>
    <w:p w14:paraId="0E89BF5A" w14:textId="77777777" w:rsidR="008F2269" w:rsidRPr="0050383D" w:rsidRDefault="008F2269" w:rsidP="001228B5">
      <w:pPr>
        <w:pStyle w:val="Paragraphedeliste"/>
        <w:numPr>
          <w:ilvl w:val="0"/>
          <w:numId w:val="101"/>
        </w:numPr>
        <w:tabs>
          <w:tab w:val="left" w:pos="8505"/>
        </w:tabs>
        <w:spacing w:after="0" w:line="276" w:lineRule="auto"/>
        <w:ind w:right="567"/>
        <w:jc w:val="both"/>
        <w:rPr>
          <w:rFonts w:cstheme="minorHAnsi"/>
        </w:rPr>
      </w:pPr>
      <w:r>
        <w:t>Amp.lepoint : « Inondations de 2020 de la côte Atlantique à la Somalie », septembre 2020</w:t>
      </w:r>
    </w:p>
    <w:p w14:paraId="557E95B8" w14:textId="77777777" w:rsidR="008F2269" w:rsidRDefault="008F2269" w:rsidP="001228B5">
      <w:pPr>
        <w:pStyle w:val="Paragraphedeliste"/>
        <w:numPr>
          <w:ilvl w:val="0"/>
          <w:numId w:val="101"/>
        </w:numPr>
        <w:tabs>
          <w:tab w:val="left" w:pos="8505"/>
        </w:tabs>
        <w:spacing w:after="0" w:line="276" w:lineRule="auto"/>
        <w:ind w:right="1275"/>
        <w:jc w:val="both"/>
        <w:rPr>
          <w:rFonts w:cstheme="minorHAnsi"/>
        </w:rPr>
      </w:pPr>
      <w:r>
        <w:t>AMI, CRIDEM, Sahara Médias : « articles sur la saison des pluies 2024 »</w:t>
      </w:r>
    </w:p>
    <w:p w14:paraId="74428C42" w14:textId="77777777" w:rsidR="008F2269" w:rsidRDefault="008F2269" w:rsidP="001228B5">
      <w:pPr>
        <w:pStyle w:val="Paragraphedeliste"/>
        <w:numPr>
          <w:ilvl w:val="0"/>
          <w:numId w:val="101"/>
        </w:numPr>
        <w:tabs>
          <w:tab w:val="left" w:pos="8505"/>
        </w:tabs>
        <w:spacing w:after="0" w:line="276" w:lineRule="auto"/>
        <w:ind w:right="1275"/>
        <w:jc w:val="both"/>
        <w:rPr>
          <w:rFonts w:cstheme="minorHAnsi"/>
        </w:rPr>
      </w:pPr>
      <w:r w:rsidRPr="00BE7A39">
        <w:rPr>
          <w:rFonts w:cstheme="minorHAnsi"/>
        </w:rPr>
        <w:t>BAD : « Amélioration des investissements du secteur de</w:t>
      </w:r>
      <w:r>
        <w:rPr>
          <w:rFonts w:cstheme="minorHAnsi"/>
        </w:rPr>
        <w:t xml:space="preserve"> l'eau destinés à la résilience </w:t>
      </w:r>
      <w:r w:rsidRPr="00BE7A39">
        <w:rPr>
          <w:rFonts w:cstheme="minorHAnsi"/>
        </w:rPr>
        <w:t>des ressources pastorales et forestières des régions méridionales de Mauritanie : Projet REVIWU » : aide-mémoire, avril 2014.</w:t>
      </w:r>
    </w:p>
    <w:p w14:paraId="380BA6B4" w14:textId="77777777" w:rsidR="008F2269" w:rsidRPr="0050383D" w:rsidRDefault="008F2269" w:rsidP="001228B5">
      <w:pPr>
        <w:pStyle w:val="Paragraphedeliste"/>
        <w:numPr>
          <w:ilvl w:val="0"/>
          <w:numId w:val="101"/>
        </w:numPr>
        <w:tabs>
          <w:tab w:val="left" w:pos="8505"/>
        </w:tabs>
        <w:spacing w:after="0" w:line="276" w:lineRule="auto"/>
        <w:ind w:right="1275"/>
        <w:jc w:val="both"/>
        <w:rPr>
          <w:rFonts w:cstheme="minorHAnsi"/>
        </w:rPr>
      </w:pPr>
      <w:r>
        <w:rPr>
          <w:szCs w:val="21"/>
          <w:lang w:eastAsia="fr-FR"/>
        </w:rPr>
        <w:t>BAD :</w:t>
      </w:r>
      <w:r w:rsidRPr="009C0B09">
        <w:rPr>
          <w:szCs w:val="21"/>
          <w:lang w:eastAsia="fr-FR"/>
        </w:rPr>
        <w:t xml:space="preserve"> </w:t>
      </w:r>
      <w:r>
        <w:rPr>
          <w:szCs w:val="21"/>
          <w:lang w:eastAsia="fr-FR"/>
        </w:rPr>
        <w:t>« aide humanitaire d’urgence aux victimes des inondations de la Wilaya du Guidimakha, octobre 2019 »</w:t>
      </w:r>
      <w:r w:rsidRPr="009C0B09">
        <w:rPr>
          <w:szCs w:val="21"/>
          <w:lang w:eastAsia="fr-FR"/>
        </w:rPr>
        <w:t>,</w:t>
      </w:r>
      <w:r w:rsidRPr="00C27A7E">
        <w:rPr>
          <w:szCs w:val="21"/>
          <w:lang w:eastAsia="fr-FR"/>
        </w:rPr>
        <w:t xml:space="preserve"> </w:t>
      </w:r>
      <w:r w:rsidRPr="009C0B09">
        <w:rPr>
          <w:szCs w:val="21"/>
          <w:lang w:eastAsia="fr-FR"/>
        </w:rPr>
        <w:t>2019</w:t>
      </w:r>
      <w:r>
        <w:rPr>
          <w:szCs w:val="21"/>
          <w:lang w:eastAsia="fr-FR"/>
        </w:rPr>
        <w:t>.</w:t>
      </w:r>
    </w:p>
    <w:p w14:paraId="3207226E" w14:textId="77777777" w:rsidR="008F2269" w:rsidRPr="00BE7A39" w:rsidRDefault="008F2269" w:rsidP="001228B5">
      <w:pPr>
        <w:pStyle w:val="Paragraphedeliste"/>
        <w:numPr>
          <w:ilvl w:val="0"/>
          <w:numId w:val="101"/>
        </w:numPr>
        <w:tabs>
          <w:tab w:val="left" w:pos="8505"/>
        </w:tabs>
        <w:spacing w:after="0" w:line="276" w:lineRule="auto"/>
        <w:ind w:right="1275"/>
        <w:jc w:val="both"/>
        <w:rPr>
          <w:rFonts w:cstheme="minorHAnsi"/>
        </w:rPr>
      </w:pPr>
      <w:r>
        <w:rPr>
          <w:szCs w:val="21"/>
          <w:lang w:eastAsia="fr-FR"/>
        </w:rPr>
        <w:t>Bureau des Ressources en Eau de Saint-Louis, Bulletin de Suivi Hydrologique 2024 ».</w:t>
      </w:r>
    </w:p>
    <w:p w14:paraId="56C0A409" w14:textId="77777777" w:rsidR="008F2269" w:rsidRPr="00BE7A39" w:rsidRDefault="008F2269" w:rsidP="001228B5">
      <w:pPr>
        <w:pStyle w:val="Paragraphedeliste"/>
        <w:numPr>
          <w:ilvl w:val="0"/>
          <w:numId w:val="101"/>
        </w:numPr>
        <w:tabs>
          <w:tab w:val="left" w:pos="8505"/>
        </w:tabs>
        <w:spacing w:after="0" w:line="276" w:lineRule="auto"/>
        <w:ind w:right="1275"/>
        <w:jc w:val="both"/>
        <w:rPr>
          <w:rFonts w:cstheme="minorHAnsi"/>
        </w:rPr>
      </w:pPr>
      <w:r w:rsidRPr="00BE7A39">
        <w:rPr>
          <w:rFonts w:cstheme="minorHAnsi"/>
        </w:rPr>
        <w:t xml:space="preserve">Comité interministériel chargé de la relance de l’économie. Comité technique « Programme prioritaire élargi du Président », septembre 2020. </w:t>
      </w:r>
    </w:p>
    <w:p w14:paraId="3761D173" w14:textId="77777777" w:rsidR="008F2269" w:rsidRPr="00121367" w:rsidRDefault="008F2269" w:rsidP="001228B5">
      <w:pPr>
        <w:pStyle w:val="Paragraphedeliste"/>
        <w:numPr>
          <w:ilvl w:val="0"/>
          <w:numId w:val="101"/>
        </w:numPr>
        <w:tabs>
          <w:tab w:val="left" w:pos="8505"/>
        </w:tabs>
        <w:spacing w:after="0" w:line="276" w:lineRule="auto"/>
        <w:ind w:right="1275"/>
        <w:jc w:val="both"/>
        <w:rPr>
          <w:rFonts w:cstheme="minorHAnsi"/>
        </w:rPr>
      </w:pPr>
      <w:r w:rsidRPr="00BE7A39">
        <w:rPr>
          <w:rFonts w:cstheme="minorHAnsi"/>
          <w:bCs/>
          <w:iCs/>
        </w:rPr>
        <w:t xml:space="preserve">CCNUCC : « Boîte à outils pour un processus d’élaboration et de mise en œuvre de plans nationaux d’adaptation qui répond aux questions du genre », août 2019. </w:t>
      </w:r>
    </w:p>
    <w:p w14:paraId="3EACFCFF" w14:textId="77777777" w:rsidR="008F2269" w:rsidRPr="00FC57A1" w:rsidRDefault="008F2269" w:rsidP="001228B5">
      <w:pPr>
        <w:pStyle w:val="Paragraphedeliste"/>
        <w:numPr>
          <w:ilvl w:val="0"/>
          <w:numId w:val="101"/>
        </w:numPr>
        <w:tabs>
          <w:tab w:val="left" w:pos="8505"/>
        </w:tabs>
        <w:spacing w:after="0" w:line="276" w:lineRule="auto"/>
        <w:ind w:right="1275"/>
        <w:jc w:val="both"/>
        <w:rPr>
          <w:rFonts w:cstheme="minorHAnsi"/>
        </w:rPr>
      </w:pPr>
      <w:r w:rsidRPr="00E22DC8">
        <w:t>(EROS)</w:t>
      </w:r>
      <w:r>
        <w:t> : « L</w:t>
      </w:r>
      <w:r w:rsidRPr="00E22DC8">
        <w:t>'utilisation des terres et l'occupation de</w:t>
      </w:r>
      <w:r>
        <w:t xml:space="preserve">s sols en Afrique de l'Ouest », </w:t>
      </w:r>
      <w:r w:rsidRPr="00E22DC8">
        <w:t>2016</w:t>
      </w:r>
      <w:r>
        <w:t>.</w:t>
      </w:r>
    </w:p>
    <w:p w14:paraId="0D72A2C6" w14:textId="77777777" w:rsidR="008F2269" w:rsidRPr="00FC57A1" w:rsidRDefault="008F2269" w:rsidP="001228B5">
      <w:pPr>
        <w:pStyle w:val="Paragraphedeliste"/>
        <w:numPr>
          <w:ilvl w:val="0"/>
          <w:numId w:val="101"/>
        </w:numPr>
        <w:tabs>
          <w:tab w:val="left" w:pos="8505"/>
        </w:tabs>
        <w:spacing w:after="0" w:line="276" w:lineRule="auto"/>
        <w:ind w:right="1275"/>
        <w:jc w:val="both"/>
        <w:rPr>
          <w:rFonts w:cstheme="minorHAnsi"/>
        </w:rPr>
      </w:pPr>
      <w:r w:rsidRPr="00F573CE">
        <w:t xml:space="preserve">GRDR « inondations en Mauritanie du Sud : le bassin du fleuve Sénégal face aux aléas du changement climatique », </w:t>
      </w:r>
      <w:r>
        <w:t>juillet 2007</w:t>
      </w:r>
    </w:p>
    <w:p w14:paraId="01DB3B22" w14:textId="77777777" w:rsidR="008F2269" w:rsidRDefault="008F2269" w:rsidP="001228B5">
      <w:pPr>
        <w:pStyle w:val="Paragraphedeliste"/>
        <w:numPr>
          <w:ilvl w:val="0"/>
          <w:numId w:val="101"/>
        </w:numPr>
        <w:tabs>
          <w:tab w:val="left" w:pos="8505"/>
        </w:tabs>
        <w:spacing w:after="0" w:line="276" w:lineRule="auto"/>
        <w:ind w:right="1275"/>
        <w:jc w:val="both"/>
        <w:rPr>
          <w:rFonts w:cstheme="minorHAnsi"/>
        </w:rPr>
      </w:pPr>
      <w:r w:rsidRPr="00BE7A39">
        <w:rPr>
          <w:rFonts w:cstheme="minorHAnsi"/>
        </w:rPr>
        <w:t>MDRE : « Option d’adaptation des ressources en eau. NAPA », janvier 2004.</w:t>
      </w:r>
    </w:p>
    <w:p w14:paraId="5278397A" w14:textId="77777777" w:rsidR="008F2269" w:rsidRPr="00121367" w:rsidRDefault="008F2269" w:rsidP="001228B5">
      <w:pPr>
        <w:pStyle w:val="Paragraphedeliste"/>
        <w:numPr>
          <w:ilvl w:val="0"/>
          <w:numId w:val="101"/>
        </w:numPr>
        <w:tabs>
          <w:tab w:val="left" w:pos="8505"/>
        </w:tabs>
        <w:spacing w:after="0" w:line="276" w:lineRule="auto"/>
        <w:ind w:right="1275"/>
        <w:jc w:val="both"/>
        <w:rPr>
          <w:rFonts w:cstheme="minorHAnsi"/>
        </w:rPr>
      </w:pPr>
      <w:r w:rsidRPr="00121367">
        <w:rPr>
          <w:rFonts w:cstheme="minorHAnsi"/>
        </w:rPr>
        <w:t>MEDD : Plan National d’Adaptation 2022-2030 : « Plan national de prévention des risques climatiques », 21 juin, 2021</w:t>
      </w:r>
    </w:p>
    <w:p w14:paraId="6941EB04" w14:textId="77777777" w:rsidR="008F2269" w:rsidRPr="00DC7E0B" w:rsidRDefault="008F2269" w:rsidP="001228B5">
      <w:pPr>
        <w:pStyle w:val="Paragraphedeliste"/>
        <w:numPr>
          <w:ilvl w:val="0"/>
          <w:numId w:val="101"/>
        </w:numPr>
        <w:tabs>
          <w:tab w:val="left" w:pos="8505"/>
        </w:tabs>
        <w:spacing w:after="0" w:line="276" w:lineRule="auto"/>
        <w:ind w:right="1275"/>
        <w:jc w:val="both"/>
        <w:rPr>
          <w:rFonts w:cstheme="minorHAnsi"/>
        </w:rPr>
      </w:pPr>
      <w:r w:rsidRPr="00DC7E0B">
        <w:rPr>
          <w:rFonts w:cstheme="minorHAnsi"/>
        </w:rPr>
        <w:t xml:space="preserve">MEDD : Plan National d’Adaptation 2022-2030 :« Evaluation des lacunes et besoins de la stratégie nationale d’accès durable à l’eau et l’assainissement en lien avec les enjeux de l’adaptation au changement climatique », octobre 2020 </w:t>
      </w:r>
    </w:p>
    <w:p w14:paraId="20E1E64D" w14:textId="77777777" w:rsidR="008F2269" w:rsidRPr="00BE7A39" w:rsidRDefault="008F2269" w:rsidP="001228B5">
      <w:pPr>
        <w:pStyle w:val="Paragraphedeliste"/>
        <w:numPr>
          <w:ilvl w:val="0"/>
          <w:numId w:val="101"/>
        </w:numPr>
        <w:tabs>
          <w:tab w:val="left" w:pos="8505"/>
        </w:tabs>
        <w:spacing w:after="0" w:line="276" w:lineRule="auto"/>
        <w:ind w:right="1275"/>
        <w:jc w:val="both"/>
        <w:rPr>
          <w:rFonts w:cstheme="minorHAnsi"/>
        </w:rPr>
      </w:pPr>
      <w:r w:rsidRPr="00BE7A39">
        <w:rPr>
          <w:rFonts w:cstheme="minorHAnsi"/>
        </w:rPr>
        <w:t>MEDD : « Programme Pays/FVC », mai, 2020.</w:t>
      </w:r>
    </w:p>
    <w:p w14:paraId="154CD664" w14:textId="77777777" w:rsidR="008F2269" w:rsidRPr="00BE7A39" w:rsidRDefault="008F2269" w:rsidP="008F2269">
      <w:pPr>
        <w:pStyle w:val="Paragraphedeliste"/>
        <w:numPr>
          <w:ilvl w:val="0"/>
          <w:numId w:val="101"/>
        </w:numPr>
        <w:tabs>
          <w:tab w:val="left" w:pos="8505"/>
        </w:tabs>
        <w:spacing w:after="0" w:line="276" w:lineRule="auto"/>
        <w:ind w:right="1275"/>
        <w:rPr>
          <w:rFonts w:cstheme="minorHAnsi"/>
        </w:rPr>
      </w:pPr>
      <w:r w:rsidRPr="00BE7A39">
        <w:rPr>
          <w:rFonts w:cstheme="minorHAnsi"/>
        </w:rPr>
        <w:t>MEDD, CCS-Une-fem : « Rapport de la quatrième communication nationale sur le changement climatique », juillet, 2019.</w:t>
      </w:r>
    </w:p>
    <w:p w14:paraId="3FC97991" w14:textId="77777777" w:rsidR="008F2269" w:rsidRPr="00BE7A39" w:rsidRDefault="008F2269" w:rsidP="008F2269">
      <w:pPr>
        <w:pStyle w:val="Paragraphedeliste"/>
        <w:numPr>
          <w:ilvl w:val="0"/>
          <w:numId w:val="101"/>
        </w:numPr>
        <w:tabs>
          <w:tab w:val="left" w:pos="8505"/>
        </w:tabs>
        <w:spacing w:after="0" w:line="276" w:lineRule="auto"/>
        <w:ind w:right="1275"/>
        <w:rPr>
          <w:rFonts w:cstheme="minorHAnsi"/>
        </w:rPr>
      </w:pPr>
      <w:r w:rsidRPr="00BE7A39">
        <w:rPr>
          <w:rFonts w:cstheme="minorHAnsi"/>
        </w:rPr>
        <w:t>MEDD : « Evaluation des Besoins en Technologies climatiques Tome I : Adaptation » ; Décembre 2017.</w:t>
      </w:r>
    </w:p>
    <w:p w14:paraId="2F499534" w14:textId="77777777" w:rsidR="008F2269" w:rsidRPr="00BE7A39" w:rsidRDefault="008F2269" w:rsidP="008F2269">
      <w:pPr>
        <w:pStyle w:val="Paragraphedeliste"/>
        <w:numPr>
          <w:ilvl w:val="0"/>
          <w:numId w:val="101"/>
        </w:numPr>
        <w:tabs>
          <w:tab w:val="left" w:pos="8505"/>
        </w:tabs>
        <w:spacing w:after="0" w:line="276" w:lineRule="auto"/>
        <w:ind w:right="1275"/>
        <w:jc w:val="both"/>
        <w:rPr>
          <w:rFonts w:cstheme="minorHAnsi"/>
        </w:rPr>
      </w:pPr>
      <w:r w:rsidRPr="00BE7A39">
        <w:rPr>
          <w:rFonts w:cstheme="minorHAnsi"/>
        </w:rPr>
        <w:t>MEDD : « Stratégie Nationale de l’Environnement et du Développement Durable », août 2017</w:t>
      </w:r>
    </w:p>
    <w:p w14:paraId="34EDCA73" w14:textId="77777777" w:rsidR="008F2269" w:rsidRPr="00BE7A39" w:rsidRDefault="008F2269" w:rsidP="008F2269">
      <w:pPr>
        <w:pStyle w:val="Paragraphedeliste"/>
        <w:numPr>
          <w:ilvl w:val="0"/>
          <w:numId w:val="101"/>
        </w:numPr>
        <w:tabs>
          <w:tab w:val="left" w:pos="8505"/>
        </w:tabs>
        <w:spacing w:after="0" w:line="276" w:lineRule="auto"/>
        <w:ind w:right="1275"/>
        <w:jc w:val="both"/>
        <w:rPr>
          <w:rFonts w:cstheme="minorHAnsi"/>
        </w:rPr>
      </w:pPr>
      <w:r w:rsidRPr="00BE7A39">
        <w:rPr>
          <w:rFonts w:cstheme="minorHAnsi"/>
        </w:rPr>
        <w:t>MEDD : « Contribution Déterminée Nationale », septembre 2015</w:t>
      </w:r>
    </w:p>
    <w:p w14:paraId="217C8076" w14:textId="77777777" w:rsidR="008F2269" w:rsidRPr="00BE7A39" w:rsidRDefault="008F2269" w:rsidP="008F2269">
      <w:pPr>
        <w:pStyle w:val="Paragraphedeliste"/>
        <w:numPr>
          <w:ilvl w:val="0"/>
          <w:numId w:val="101"/>
        </w:numPr>
        <w:tabs>
          <w:tab w:val="left" w:pos="8505"/>
        </w:tabs>
        <w:spacing w:after="0" w:line="276" w:lineRule="auto"/>
        <w:ind w:right="1275"/>
        <w:jc w:val="both"/>
        <w:rPr>
          <w:rFonts w:cstheme="minorHAnsi"/>
        </w:rPr>
      </w:pPr>
      <w:r>
        <w:rPr>
          <w:rFonts w:cstheme="minorHAnsi"/>
        </w:rPr>
        <w:t>MDEPM : « </w:t>
      </w:r>
      <w:r>
        <w:t>Seconde Communication Nationale sur le CC », 2008.</w:t>
      </w:r>
    </w:p>
    <w:p w14:paraId="4058EACF" w14:textId="77777777" w:rsidR="008F2269" w:rsidRDefault="008F2269" w:rsidP="008F2269">
      <w:pPr>
        <w:pStyle w:val="Paragraphedeliste"/>
        <w:numPr>
          <w:ilvl w:val="0"/>
          <w:numId w:val="101"/>
        </w:numPr>
        <w:tabs>
          <w:tab w:val="left" w:pos="8505"/>
        </w:tabs>
        <w:spacing w:after="0" w:line="276" w:lineRule="auto"/>
        <w:ind w:right="1275"/>
        <w:jc w:val="both"/>
        <w:rPr>
          <w:rFonts w:cstheme="minorHAnsi"/>
        </w:rPr>
      </w:pPr>
      <w:r w:rsidRPr="00BE7A39">
        <w:rPr>
          <w:rFonts w:cstheme="minorHAnsi"/>
        </w:rPr>
        <w:t>MEF : « Stratégie nationale de Croissance Accélérée et de Prospérité Partagée 2016-2030 ». Volume II : Orientations stratégiques et plan d’actions 2016-2020 ».</w:t>
      </w:r>
    </w:p>
    <w:p w14:paraId="2E34ED07" w14:textId="77777777" w:rsidR="008F2269" w:rsidRPr="00F30818" w:rsidRDefault="008F2269" w:rsidP="008F2269">
      <w:pPr>
        <w:pStyle w:val="Paragraphedeliste"/>
        <w:numPr>
          <w:ilvl w:val="0"/>
          <w:numId w:val="101"/>
        </w:numPr>
        <w:tabs>
          <w:tab w:val="left" w:pos="5245"/>
        </w:tabs>
        <w:spacing w:after="0" w:line="276" w:lineRule="auto"/>
        <w:ind w:right="1275"/>
        <w:jc w:val="both"/>
        <w:rPr>
          <w:rFonts w:cstheme="minorHAnsi"/>
        </w:rPr>
      </w:pPr>
      <w:r w:rsidRPr="00BE7A39">
        <w:rPr>
          <w:rFonts w:cstheme="minorHAnsi"/>
        </w:rPr>
        <w:t>MHA : « Stratégie Nationale pour un Accès Durable à l’Eau et à l’Assainissement</w:t>
      </w:r>
      <w:r>
        <w:rPr>
          <w:rFonts w:cstheme="minorHAnsi"/>
        </w:rPr>
        <w:t xml:space="preserve"> 2022-2030 ».</w:t>
      </w:r>
    </w:p>
    <w:p w14:paraId="3F75F99D" w14:textId="77777777" w:rsidR="008F2269" w:rsidRPr="00BE7A39" w:rsidRDefault="008F2269" w:rsidP="008F2269">
      <w:pPr>
        <w:pStyle w:val="Paragraphedeliste"/>
        <w:numPr>
          <w:ilvl w:val="0"/>
          <w:numId w:val="101"/>
        </w:numPr>
        <w:tabs>
          <w:tab w:val="left" w:pos="5245"/>
        </w:tabs>
        <w:spacing w:after="0" w:line="276" w:lineRule="auto"/>
        <w:ind w:right="1275"/>
        <w:jc w:val="both"/>
        <w:rPr>
          <w:rFonts w:cstheme="minorHAnsi"/>
        </w:rPr>
      </w:pPr>
      <w:r w:rsidRPr="00BE7A39">
        <w:rPr>
          <w:rFonts w:cstheme="minorHAnsi"/>
        </w:rPr>
        <w:t>MHA : « Stratégie Nationale pour un Accès Durable à l’Eau et à l’Assainissement », août 2016</w:t>
      </w:r>
      <w:r>
        <w:rPr>
          <w:rFonts w:cstheme="minorHAnsi"/>
        </w:rPr>
        <w:t>.</w:t>
      </w:r>
    </w:p>
    <w:p w14:paraId="2BF5CE3C" w14:textId="77777777" w:rsidR="008F2269" w:rsidRDefault="008F2269" w:rsidP="008F2269">
      <w:pPr>
        <w:pStyle w:val="Paragraphedeliste"/>
        <w:numPr>
          <w:ilvl w:val="0"/>
          <w:numId w:val="101"/>
        </w:numPr>
        <w:tabs>
          <w:tab w:val="left" w:pos="5245"/>
        </w:tabs>
        <w:spacing w:after="0" w:line="276" w:lineRule="auto"/>
        <w:ind w:right="1275"/>
        <w:jc w:val="both"/>
        <w:rPr>
          <w:rFonts w:cstheme="minorHAnsi"/>
        </w:rPr>
      </w:pPr>
      <w:r w:rsidRPr="00BE7A39">
        <w:rPr>
          <w:rFonts w:cstheme="minorHAnsi"/>
        </w:rPr>
        <w:t>MHA : « Stratégie du Secteur de l’Eau et de l’Assainissement », mai 2012.</w:t>
      </w:r>
    </w:p>
    <w:p w14:paraId="0FF5913E" w14:textId="77777777" w:rsidR="008F2269" w:rsidRPr="005227B5" w:rsidRDefault="008F2269" w:rsidP="008F2269">
      <w:pPr>
        <w:pStyle w:val="Paragraphedeliste"/>
        <w:numPr>
          <w:ilvl w:val="0"/>
          <w:numId w:val="101"/>
        </w:numPr>
        <w:tabs>
          <w:tab w:val="left" w:pos="5245"/>
        </w:tabs>
        <w:spacing w:after="0" w:line="276" w:lineRule="auto"/>
        <w:ind w:right="1275"/>
        <w:jc w:val="both"/>
        <w:rPr>
          <w:rFonts w:cstheme="minorHAnsi"/>
        </w:rPr>
      </w:pPr>
      <w:r>
        <w:rPr>
          <w:rFonts w:cstheme="minorHAnsi"/>
        </w:rPr>
        <w:t>MIDEC : « </w:t>
      </w:r>
      <w:r>
        <w:rPr>
          <w:szCs w:val="21"/>
          <w:lang w:eastAsia="fr-FR"/>
        </w:rPr>
        <w:t>Rapport d’évaluation du RRC », mai 2014</w:t>
      </w:r>
    </w:p>
    <w:p w14:paraId="5AD1A8E6" w14:textId="77777777" w:rsidR="008F2269" w:rsidRDefault="008F2269" w:rsidP="008F2269">
      <w:pPr>
        <w:pStyle w:val="Paragraphedeliste"/>
        <w:numPr>
          <w:ilvl w:val="0"/>
          <w:numId w:val="101"/>
        </w:numPr>
        <w:tabs>
          <w:tab w:val="left" w:pos="5245"/>
        </w:tabs>
        <w:spacing w:after="0" w:line="276" w:lineRule="auto"/>
        <w:ind w:right="1275"/>
        <w:jc w:val="both"/>
        <w:rPr>
          <w:rFonts w:cstheme="minorHAnsi"/>
        </w:rPr>
      </w:pPr>
      <w:r>
        <w:rPr>
          <w:rFonts w:cstheme="minorHAnsi"/>
        </w:rPr>
        <w:t>MIDEC : « Plan de contingence Régional du Hodh Ech Chargui », novembre 2022.</w:t>
      </w:r>
    </w:p>
    <w:p w14:paraId="3849744B" w14:textId="77777777" w:rsidR="008F2269" w:rsidRPr="00CF37B1" w:rsidRDefault="008F2269" w:rsidP="008F2269">
      <w:pPr>
        <w:pStyle w:val="Paragraphedeliste"/>
        <w:numPr>
          <w:ilvl w:val="0"/>
          <w:numId w:val="101"/>
        </w:numPr>
        <w:tabs>
          <w:tab w:val="left" w:pos="5245"/>
        </w:tabs>
        <w:suppressAutoHyphens/>
        <w:autoSpaceDN w:val="0"/>
        <w:spacing w:after="0" w:line="276" w:lineRule="auto"/>
        <w:ind w:right="1275"/>
        <w:jc w:val="both"/>
        <w:textAlignment w:val="baseline"/>
        <w:rPr>
          <w:rFonts w:cstheme="minorHAnsi"/>
        </w:rPr>
      </w:pPr>
      <w:r>
        <w:rPr>
          <w:rFonts w:cstheme="minorHAnsi"/>
        </w:rPr>
        <w:t xml:space="preserve">OIM : « Identification des aléas Etapes II et </w:t>
      </w:r>
      <w:r w:rsidRPr="00CF37B1">
        <w:rPr>
          <w:rFonts w:cstheme="minorHAnsi"/>
        </w:rPr>
        <w:t>analyse des risques de vuln</w:t>
      </w:r>
      <w:r>
        <w:rPr>
          <w:rFonts w:cstheme="minorHAnsi"/>
        </w:rPr>
        <w:t>é</w:t>
      </w:r>
      <w:r w:rsidRPr="00CF37B1">
        <w:rPr>
          <w:rFonts w:cstheme="minorHAnsi"/>
        </w:rPr>
        <w:t>rabilit</w:t>
      </w:r>
      <w:r>
        <w:rPr>
          <w:rFonts w:cstheme="minorHAnsi"/>
        </w:rPr>
        <w:t>é</w:t>
      </w:r>
      <w:r w:rsidRPr="00CF37B1">
        <w:rPr>
          <w:rFonts w:cstheme="minorHAnsi"/>
        </w:rPr>
        <w:t>s</w:t>
      </w:r>
      <w:r>
        <w:rPr>
          <w:rFonts w:cstheme="minorHAnsi"/>
        </w:rPr>
        <w:t> »</w:t>
      </w:r>
      <w:r w:rsidRPr="00CF37B1">
        <w:rPr>
          <w:rFonts w:cstheme="minorHAnsi"/>
        </w:rPr>
        <w:t xml:space="preserve"> Hodh Ech Chargui / Bassikounou</w:t>
      </w:r>
      <w:r>
        <w:rPr>
          <w:rFonts w:cstheme="minorHAnsi"/>
        </w:rPr>
        <w:t>, 23 mars 2023</w:t>
      </w:r>
    </w:p>
    <w:p w14:paraId="74FF3AEF" w14:textId="77777777" w:rsidR="008F2269" w:rsidRPr="00BE7A39" w:rsidRDefault="008F2269" w:rsidP="008F2269">
      <w:pPr>
        <w:pStyle w:val="Paragraphedeliste"/>
        <w:numPr>
          <w:ilvl w:val="0"/>
          <w:numId w:val="101"/>
        </w:numPr>
        <w:tabs>
          <w:tab w:val="left" w:pos="5245"/>
        </w:tabs>
        <w:spacing w:after="0" w:line="276" w:lineRule="auto"/>
        <w:ind w:right="1275"/>
        <w:jc w:val="both"/>
        <w:rPr>
          <w:rFonts w:cstheme="minorHAnsi"/>
        </w:rPr>
      </w:pPr>
      <w:r w:rsidRPr="00BE7A39">
        <w:rPr>
          <w:rFonts w:cstheme="minorHAnsi"/>
        </w:rPr>
        <w:t>ONS : « Annuaire statistique », janvier 2017.</w:t>
      </w:r>
    </w:p>
    <w:p w14:paraId="7E84CCEB" w14:textId="77777777" w:rsidR="008F2269" w:rsidRPr="00121367" w:rsidRDefault="008F2269" w:rsidP="008F2269">
      <w:pPr>
        <w:pStyle w:val="Paragraphedeliste"/>
        <w:numPr>
          <w:ilvl w:val="0"/>
          <w:numId w:val="101"/>
        </w:numPr>
        <w:tabs>
          <w:tab w:val="left" w:pos="5245"/>
        </w:tabs>
        <w:spacing w:before="240" w:after="0" w:line="276" w:lineRule="auto"/>
        <w:ind w:right="1275"/>
        <w:jc w:val="both"/>
        <w:rPr>
          <w:rFonts w:cstheme="minorHAnsi"/>
        </w:rPr>
      </w:pPr>
      <w:r w:rsidRPr="0091299B">
        <w:rPr>
          <w:rFonts w:cstheme="minorHAnsi"/>
        </w:rPr>
        <w:t>ONU Environnement et al : « Stratégie Nationale de l’Environnement et le Développement Durable 2017 -2021 », août 2017.</w:t>
      </w:r>
    </w:p>
    <w:p w14:paraId="47B65B5E" w14:textId="77777777" w:rsidR="008F2269" w:rsidRPr="005227B5" w:rsidRDefault="008F2269" w:rsidP="008F2269">
      <w:pPr>
        <w:pStyle w:val="Paragraphedeliste"/>
        <w:numPr>
          <w:ilvl w:val="0"/>
          <w:numId w:val="101"/>
        </w:numPr>
        <w:tabs>
          <w:tab w:val="left" w:pos="5245"/>
        </w:tabs>
        <w:spacing w:before="240" w:after="0" w:line="276" w:lineRule="auto"/>
        <w:ind w:right="1275"/>
        <w:jc w:val="both"/>
        <w:rPr>
          <w:rFonts w:cstheme="minorHAnsi"/>
        </w:rPr>
      </w:pPr>
      <w:r>
        <w:rPr>
          <w:szCs w:val="21"/>
          <w:lang w:eastAsia="fr-FR"/>
        </w:rPr>
        <w:t>Reliefweb : « Commune de Moudjéria ». Rapport du 01 octobre 2013.</w:t>
      </w:r>
    </w:p>
    <w:p w14:paraId="39DBF2B3" w14:textId="77777777" w:rsidR="008F2269" w:rsidRPr="00C27A7E" w:rsidRDefault="008F2269" w:rsidP="008F2269">
      <w:pPr>
        <w:pStyle w:val="Paragraphedeliste"/>
        <w:numPr>
          <w:ilvl w:val="0"/>
          <w:numId w:val="101"/>
        </w:numPr>
        <w:tabs>
          <w:tab w:val="left" w:pos="5245"/>
        </w:tabs>
        <w:spacing w:before="240" w:after="0" w:line="276" w:lineRule="auto"/>
        <w:ind w:right="1275"/>
        <w:jc w:val="both"/>
        <w:rPr>
          <w:rFonts w:cstheme="minorHAnsi"/>
        </w:rPr>
      </w:pPr>
      <w:r w:rsidRPr="00A27F79">
        <w:t>Relief</w:t>
      </w:r>
      <w:r>
        <w:t xml:space="preserve"> </w:t>
      </w:r>
      <w:r w:rsidRPr="00A27F79">
        <w:t>Web « rapport d’évaluation rapide de la sécurité alimentaire nutritionnelle suite aux inondations de Tintane (Wilaya du Hodh El Gharbi), 14 août 2007 »</w:t>
      </w:r>
    </w:p>
    <w:p w14:paraId="45FA96CB" w14:textId="77777777" w:rsidR="008F2269" w:rsidRPr="00EF4E0F" w:rsidRDefault="008F2269" w:rsidP="008F2269">
      <w:pPr>
        <w:pStyle w:val="Paragraphedeliste"/>
        <w:numPr>
          <w:ilvl w:val="0"/>
          <w:numId w:val="101"/>
        </w:numPr>
        <w:tabs>
          <w:tab w:val="left" w:pos="5245"/>
        </w:tabs>
        <w:spacing w:before="100" w:beforeAutospacing="1" w:after="0" w:afterAutospacing="1" w:line="240" w:lineRule="auto"/>
        <w:ind w:right="1276"/>
        <w:jc w:val="both"/>
        <w:rPr>
          <w:rFonts w:cstheme="minorHAnsi"/>
        </w:rPr>
      </w:pPr>
      <w:r w:rsidRPr="00B37365">
        <w:rPr>
          <w:rFonts w:cstheme="minorHAnsi"/>
        </w:rPr>
        <w:t>UNEP-GEF-MDRE : « Programme National d’Adaptation aux Changements Climatiques », novembre 2004.UNEP-GEF-UNEP DTU : « Contribution prédéterminée au niveau national. Mauritanie. Secteur de l’Eau », octobre 2015.</w:t>
      </w:r>
    </w:p>
    <w:p w14:paraId="3977B473" w14:textId="77777777" w:rsidR="008F2269" w:rsidRDefault="008F2269" w:rsidP="008F2269">
      <w:pPr>
        <w:pStyle w:val="Paragraphedeliste"/>
        <w:tabs>
          <w:tab w:val="left" w:pos="5245"/>
        </w:tabs>
        <w:spacing w:before="100" w:beforeAutospacing="1" w:after="100" w:afterAutospacing="1"/>
        <w:ind w:left="425" w:right="1276"/>
        <w:jc w:val="center"/>
        <w:rPr>
          <w:rFonts w:ascii="Arial" w:hAnsi="Arial" w:cs="Arial"/>
          <w:b/>
          <w:bCs/>
          <w:sz w:val="20"/>
          <w:szCs w:val="20"/>
        </w:rPr>
      </w:pPr>
    </w:p>
    <w:p w14:paraId="55947A08" w14:textId="77777777" w:rsidR="002C1BF6" w:rsidRDefault="002C1BF6">
      <w:pPr>
        <w:rPr>
          <w:b/>
          <w:bCs/>
          <w:sz w:val="28"/>
          <w:szCs w:val="28"/>
        </w:rPr>
      </w:pPr>
      <w:r>
        <w:rPr>
          <w:b/>
          <w:bCs/>
          <w:sz w:val="28"/>
          <w:szCs w:val="28"/>
        </w:rPr>
        <w:br w:type="page"/>
      </w:r>
    </w:p>
    <w:p w14:paraId="2FB56062" w14:textId="70E9D4C5" w:rsidR="00CB712E" w:rsidRPr="00FF34DC" w:rsidRDefault="00CB712E" w:rsidP="00CB712E">
      <w:pPr>
        <w:jc w:val="center"/>
        <w:rPr>
          <w:b/>
          <w:bCs/>
          <w:sz w:val="28"/>
          <w:szCs w:val="28"/>
        </w:rPr>
      </w:pPr>
      <w:r w:rsidRPr="00FF34DC">
        <w:rPr>
          <w:b/>
          <w:bCs/>
          <w:sz w:val="28"/>
          <w:szCs w:val="28"/>
        </w:rPr>
        <w:t>République Islamique de Mauritanie</w:t>
      </w:r>
    </w:p>
    <w:p w14:paraId="5C3F4CD1" w14:textId="77777777" w:rsidR="00CB712E" w:rsidRPr="00FF34DC" w:rsidRDefault="00CB712E" w:rsidP="00CB712E">
      <w:pPr>
        <w:jc w:val="center"/>
        <w:rPr>
          <w:b/>
          <w:bCs/>
        </w:rPr>
      </w:pPr>
      <w:r w:rsidRPr="00FF34DC">
        <w:rPr>
          <w:b/>
          <w:bCs/>
        </w:rPr>
        <w:t>Honneur-Fraternité-Justice</w:t>
      </w:r>
    </w:p>
    <w:p w14:paraId="0372D721" w14:textId="77777777" w:rsidR="00CB712E" w:rsidRPr="00FF34DC" w:rsidRDefault="00CB712E" w:rsidP="00CB712E">
      <w:pPr>
        <w:jc w:val="center"/>
        <w:rPr>
          <w:sz w:val="28"/>
          <w:szCs w:val="28"/>
        </w:rPr>
      </w:pPr>
      <w:r w:rsidRPr="00FF34DC">
        <w:rPr>
          <w:noProof/>
        </w:rPr>
        <w:drawing>
          <wp:inline distT="0" distB="0" distL="0" distR="0" wp14:anchorId="517205FF" wp14:editId="1E5CF602">
            <wp:extent cx="911351" cy="788670"/>
            <wp:effectExtent l="0" t="0" r="3175" b="0"/>
            <wp:docPr id="1033103613" name="Image 1" descr="Sceau de la Mauritani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eau de la Mauritanie — Wikipédia"/>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983433" cy="851049"/>
                    </a:xfrm>
                    <a:prstGeom prst="rect">
                      <a:avLst/>
                    </a:prstGeom>
                    <a:noFill/>
                    <a:ln>
                      <a:noFill/>
                    </a:ln>
                  </pic:spPr>
                </pic:pic>
              </a:graphicData>
            </a:graphic>
          </wp:inline>
        </w:drawing>
      </w:r>
    </w:p>
    <w:p w14:paraId="67B3C15C" w14:textId="77777777" w:rsidR="00CB712E" w:rsidRPr="00EE70BA" w:rsidRDefault="00CB712E" w:rsidP="00CB712E">
      <w:pPr>
        <w:jc w:val="center"/>
        <w:rPr>
          <w:b/>
          <w:bCs/>
          <w:sz w:val="32"/>
          <w:szCs w:val="32"/>
        </w:rPr>
      </w:pPr>
      <w:r w:rsidRPr="00EE70BA">
        <w:rPr>
          <w:b/>
          <w:bCs/>
          <w:sz w:val="32"/>
          <w:szCs w:val="32"/>
        </w:rPr>
        <w:t>Ministère de l’Environnement et du Développement Durable</w:t>
      </w:r>
    </w:p>
    <w:p w14:paraId="760DE559" w14:textId="77777777" w:rsidR="00CB712E" w:rsidRPr="00EE70BA" w:rsidRDefault="00CB712E" w:rsidP="00CB712E">
      <w:pPr>
        <w:jc w:val="center"/>
        <w:rPr>
          <w:b/>
          <w:bCs/>
          <w:sz w:val="32"/>
          <w:szCs w:val="32"/>
        </w:rPr>
      </w:pPr>
      <w:r w:rsidRPr="00EE70BA">
        <w:rPr>
          <w:b/>
          <w:bCs/>
          <w:sz w:val="32"/>
          <w:szCs w:val="32"/>
        </w:rPr>
        <w:t>Direction du Climat et de l’Economie Verte</w:t>
      </w:r>
    </w:p>
    <w:p w14:paraId="28B5B86F" w14:textId="27E533D1" w:rsidR="00CB712E" w:rsidRPr="00DB2693" w:rsidRDefault="00CB712E" w:rsidP="00CB712E">
      <w:pPr>
        <w:jc w:val="center"/>
        <w:rPr>
          <w:rFonts w:ascii="Berlin Sans FB" w:hAnsi="Berlin Sans FB"/>
          <w:b/>
          <w:caps/>
          <w:color w:val="000000"/>
          <w:sz w:val="18"/>
          <w:szCs w:val="18"/>
        </w:rPr>
      </w:pPr>
      <w:r w:rsidRPr="00DB2693">
        <w:rPr>
          <w:rFonts w:ascii="Berlin Sans FB" w:hAnsi="Berlin Sans FB"/>
          <w:b/>
          <w:caps/>
          <w:color w:val="000000"/>
          <w:sz w:val="18"/>
          <w:szCs w:val="18"/>
        </w:rPr>
        <w:t xml:space="preserve">NITE DE GESTION DE LA CINQUIEME COMMUNICATION NATIONALE </w:t>
      </w:r>
    </w:p>
    <w:p w14:paraId="5E714926" w14:textId="77777777" w:rsidR="00CB712E" w:rsidRPr="00DB2693" w:rsidRDefault="00CB712E" w:rsidP="00CB712E">
      <w:pPr>
        <w:jc w:val="center"/>
        <w:rPr>
          <w:rFonts w:ascii="Berlin Sans FB" w:hAnsi="Berlin Sans FB"/>
          <w:b/>
          <w:caps/>
          <w:color w:val="000000"/>
          <w:sz w:val="18"/>
          <w:szCs w:val="18"/>
        </w:rPr>
      </w:pPr>
      <w:r w:rsidRPr="00DB2693">
        <w:rPr>
          <w:rFonts w:ascii="Berlin Sans FB" w:hAnsi="Berlin Sans FB"/>
          <w:b/>
          <w:caps/>
          <w:color w:val="000000"/>
          <w:sz w:val="18"/>
          <w:szCs w:val="18"/>
        </w:rPr>
        <w:t xml:space="preserve">SUR LES CHANGEMENTS CLIMATIQUES </w:t>
      </w:r>
    </w:p>
    <w:p w14:paraId="29F0A29E" w14:textId="1F01909A" w:rsidR="00CB712E" w:rsidRPr="009B093B" w:rsidRDefault="00CB712E" w:rsidP="009B093B">
      <w:pPr>
        <w:pStyle w:val="Titre2"/>
        <w:ind w:left="720"/>
        <w:jc w:val="center"/>
        <w:rPr>
          <w:rFonts w:ascii="Calibri" w:hAnsi="Calibri" w:cs="Calibri"/>
          <w:b/>
          <w:bCs/>
          <w:sz w:val="24"/>
          <w:szCs w:val="24"/>
        </w:rPr>
      </w:pPr>
      <w:r w:rsidRPr="001E72CD">
        <w:rPr>
          <w:b/>
          <w:bCs/>
          <w:sz w:val="28"/>
          <w:szCs w:val="28"/>
        </w:rPr>
        <w:t>COMPOSANTE 3 : EVALUATION DE LA VULNERABILITE ET ADAPTATION AUX CHANGEMENTS CLIMATIQUES</w:t>
      </w:r>
      <w:r w:rsidRPr="009B093B">
        <w:rPr>
          <w:b/>
          <w:bCs/>
        </w:rPr>
        <w:t xml:space="preserve"> </w:t>
      </w:r>
      <w:r w:rsidRPr="001E72CD">
        <w:rPr>
          <w:b/>
          <w:bCs/>
          <w:sz w:val="28"/>
          <w:szCs w:val="28"/>
        </w:rPr>
        <w:t>DU SECTEUR DES PECHES</w:t>
      </w:r>
    </w:p>
    <w:p w14:paraId="0F9B3FD3" w14:textId="77777777" w:rsidR="00CB712E" w:rsidRPr="001E72CD" w:rsidRDefault="00CB712E" w:rsidP="00CB712E">
      <w:pPr>
        <w:pStyle w:val="Titre2"/>
        <w:spacing w:before="0"/>
        <w:ind w:left="720"/>
        <w:jc w:val="center"/>
        <w:rPr>
          <w:rFonts w:ascii="Calibri" w:hAnsi="Calibri" w:cs="Calibri"/>
          <w:b/>
          <w:bCs/>
          <w:i/>
          <w:iCs/>
          <w:color w:val="BF8F00" w:themeColor="accent4" w:themeShade="BF"/>
          <w:sz w:val="24"/>
          <w:szCs w:val="24"/>
        </w:rPr>
      </w:pPr>
      <w:r w:rsidRPr="001E72CD">
        <w:rPr>
          <w:rFonts w:ascii="Calibri" w:hAnsi="Calibri" w:cs="Calibri"/>
          <w:b/>
          <w:bCs/>
          <w:color w:val="BF8F00" w:themeColor="accent4" w:themeShade="BF"/>
          <w:sz w:val="24"/>
          <w:szCs w:val="24"/>
        </w:rPr>
        <w:t>SOUS-SECTEUR DES PECHES MARITIMES</w:t>
      </w:r>
    </w:p>
    <w:p w14:paraId="51EC2C83" w14:textId="77777777" w:rsidR="00CB712E" w:rsidRPr="002A758D" w:rsidRDefault="00CB712E" w:rsidP="00CB712E">
      <w:pPr>
        <w:jc w:val="center"/>
        <w:rPr>
          <w:rFonts w:ascii="Tahoma" w:hAnsi="Tahoma" w:cs="Tahoma"/>
          <w:b/>
          <w:bCs/>
          <w:color w:val="0070C0"/>
          <w:spacing w:val="-10"/>
          <w:kern w:val="28"/>
        </w:rPr>
      </w:pPr>
      <w:r>
        <w:rPr>
          <w:rFonts w:ascii="Tahoma" w:hAnsi="Tahoma" w:cs="Tahoma"/>
          <w:b/>
          <w:bCs/>
          <w:color w:val="0070C0"/>
          <w:spacing w:val="-10"/>
          <w:kern w:val="28"/>
        </w:rPr>
        <w:t>28 Octobre</w:t>
      </w:r>
      <w:r w:rsidRPr="002A758D">
        <w:rPr>
          <w:rFonts w:ascii="Tahoma" w:hAnsi="Tahoma" w:cs="Tahoma"/>
          <w:b/>
          <w:bCs/>
          <w:color w:val="0070C0"/>
          <w:spacing w:val="-10"/>
          <w:kern w:val="28"/>
        </w:rPr>
        <w:t xml:space="preserve"> 2024</w:t>
      </w:r>
    </w:p>
    <w:p w14:paraId="6C747388" w14:textId="77777777" w:rsidR="00CB712E" w:rsidRDefault="00CB712E" w:rsidP="00CB712E">
      <w:pPr>
        <w:ind w:firstLine="708"/>
        <w:jc w:val="center"/>
        <w:rPr>
          <w:rFonts w:cs="Calibri"/>
          <w:b/>
          <w:bCs/>
          <w:i/>
          <w:iCs/>
        </w:rPr>
      </w:pPr>
      <w:r>
        <w:rPr>
          <w:rFonts w:cs="Calibri"/>
          <w:b/>
          <w:bCs/>
          <w:i/>
          <w:iCs/>
        </w:rPr>
        <w:t xml:space="preserve">        Consultant : Dr Sidi El Moctar Taleb Hamme </w:t>
      </w:r>
    </w:p>
    <w:p w14:paraId="4A810F5B" w14:textId="77777777" w:rsidR="00CB712E" w:rsidRDefault="00CB712E" w:rsidP="00CB712E">
      <w:pPr>
        <w:ind w:firstLine="708"/>
        <w:jc w:val="center"/>
        <w:rPr>
          <w:rFonts w:cs="Calibri"/>
          <w:b/>
          <w:bCs/>
          <w:i/>
          <w:iCs/>
        </w:rPr>
      </w:pPr>
      <w:r>
        <w:rPr>
          <w:rFonts w:cs="Calibri"/>
          <w:b/>
          <w:bCs/>
          <w:i/>
          <w:iCs/>
        </w:rPr>
        <w:t>Expert en changement climatique</w:t>
      </w:r>
    </w:p>
    <w:p w14:paraId="5DF0F5F2" w14:textId="77777777" w:rsidR="00CB712E" w:rsidRDefault="00CB712E" w:rsidP="00CB712E">
      <w:pPr>
        <w:jc w:val="center"/>
        <w:rPr>
          <w:rFonts w:cs="Calibri"/>
          <w:b/>
          <w:bCs/>
          <w:i/>
          <w:iCs/>
        </w:rPr>
      </w:pPr>
      <w:r>
        <w:rPr>
          <w:rFonts w:cs="Calibri"/>
          <w:b/>
          <w:bCs/>
          <w:i/>
          <w:iCs/>
        </w:rPr>
        <w:t xml:space="preserve">                OCTOBRE 2024</w:t>
      </w:r>
    </w:p>
    <w:p w14:paraId="397A571D" w14:textId="1A1515DA" w:rsidR="00CB712E" w:rsidRPr="00F9420F" w:rsidRDefault="00CB712E" w:rsidP="00CB712E">
      <w:pPr>
        <w:jc w:val="center"/>
        <w:rPr>
          <w:rFonts w:cs="Calibri"/>
          <w:b/>
          <w:bCs/>
          <w:sz w:val="24"/>
          <w:szCs w:val="24"/>
        </w:rPr>
      </w:pPr>
      <w:r w:rsidRPr="00F9420F">
        <w:rPr>
          <w:rFonts w:cs="Calibri"/>
          <w:b/>
          <w:bCs/>
          <w:sz w:val="24"/>
          <w:szCs w:val="24"/>
        </w:rPr>
        <w:t xml:space="preserve">          TABLE DE MATIERE</w:t>
      </w:r>
    </w:p>
    <w:p w14:paraId="44A2ABE3" w14:textId="35F3FE9F" w:rsidR="00CB712E" w:rsidRPr="00B16C67" w:rsidRDefault="00CB712E" w:rsidP="00CB712E">
      <w:pPr>
        <w:jc w:val="both"/>
        <w:rPr>
          <w:rFonts w:cs="Calibri"/>
          <w:b/>
          <w:bCs/>
          <w:sz w:val="8"/>
          <w:szCs w:val="8"/>
        </w:rPr>
      </w:pPr>
      <w:r w:rsidRPr="00BD5F8A">
        <w:rPr>
          <w:rFonts w:cs="Calibri"/>
          <w:b/>
          <w:bCs/>
        </w:rPr>
        <w:t>INTRODUCTION</w:t>
      </w:r>
    </w:p>
    <w:p w14:paraId="03A26D23" w14:textId="6C7BFCF7" w:rsidR="00CB712E" w:rsidRPr="00B16C67" w:rsidRDefault="00CB712E" w:rsidP="00CB712E">
      <w:pPr>
        <w:jc w:val="both"/>
        <w:rPr>
          <w:rFonts w:cs="Calibri"/>
          <w:b/>
          <w:bCs/>
          <w:sz w:val="6"/>
          <w:szCs w:val="6"/>
        </w:rPr>
      </w:pPr>
      <w:r w:rsidRPr="00BD5F8A">
        <w:rPr>
          <w:rFonts w:cs="Calibri"/>
          <w:b/>
          <w:bCs/>
        </w:rPr>
        <w:t>PARTIE I : APPROCHE METHODOLOGIQUE</w:t>
      </w:r>
    </w:p>
    <w:p w14:paraId="33857CF7" w14:textId="6BA47C73" w:rsidR="00CB712E" w:rsidRPr="00B16C67" w:rsidRDefault="00CB712E" w:rsidP="00F9420F">
      <w:pPr>
        <w:spacing w:after="0"/>
        <w:jc w:val="both"/>
        <w:rPr>
          <w:rFonts w:cs="Calibri"/>
          <w:b/>
          <w:bCs/>
          <w:sz w:val="10"/>
          <w:szCs w:val="10"/>
        </w:rPr>
      </w:pPr>
      <w:r w:rsidRPr="00BD5F8A">
        <w:rPr>
          <w:rFonts w:cs="Calibri"/>
          <w:b/>
          <w:bCs/>
        </w:rPr>
        <w:t>PARTIE II : DESCRIPTION DE LA VULNERABILITE AU CHANGEMENT CLIMATIQUE DU SOUS-SECTEUR DES PECHES MARITIMES</w:t>
      </w:r>
    </w:p>
    <w:p w14:paraId="2317D39E" w14:textId="77777777" w:rsidR="00CB712E" w:rsidRPr="00BD5F8A" w:rsidRDefault="00CB712E" w:rsidP="00F9420F">
      <w:pPr>
        <w:spacing w:after="0"/>
        <w:jc w:val="both"/>
        <w:rPr>
          <w:rFonts w:cs="Calibri"/>
          <w:b/>
          <w:bCs/>
        </w:rPr>
      </w:pPr>
      <w:r w:rsidRPr="00BD5F8A">
        <w:rPr>
          <w:rFonts w:cs="Calibri"/>
          <w:b/>
          <w:bCs/>
        </w:rPr>
        <w:tab/>
        <w:t xml:space="preserve">2.1. Contexte physique et hydro climatologique </w:t>
      </w:r>
    </w:p>
    <w:p w14:paraId="641E1D9A" w14:textId="77777777" w:rsidR="00CB712E" w:rsidRPr="00BD5F8A" w:rsidRDefault="00CB712E" w:rsidP="00F9420F">
      <w:pPr>
        <w:spacing w:after="0"/>
        <w:ind w:left="708" w:firstLine="708"/>
        <w:jc w:val="both"/>
        <w:rPr>
          <w:rFonts w:cs="Calibri"/>
          <w:b/>
          <w:bCs/>
        </w:rPr>
      </w:pPr>
      <w:r w:rsidRPr="00BD5F8A">
        <w:rPr>
          <w:rFonts w:cs="Calibri"/>
          <w:b/>
          <w:bCs/>
        </w:rPr>
        <w:t>2.1.1. Contexte physique et géomorphologique</w:t>
      </w:r>
    </w:p>
    <w:p w14:paraId="7262888A" w14:textId="77777777" w:rsidR="00CB712E" w:rsidRPr="00BD5F8A" w:rsidRDefault="00CB712E" w:rsidP="00F9420F">
      <w:pPr>
        <w:spacing w:after="0"/>
        <w:jc w:val="both"/>
        <w:rPr>
          <w:rFonts w:cs="Calibri"/>
          <w:b/>
          <w:bCs/>
        </w:rPr>
      </w:pPr>
      <w:r w:rsidRPr="00BD5F8A">
        <w:rPr>
          <w:rFonts w:cs="Calibri"/>
          <w:b/>
          <w:bCs/>
        </w:rPr>
        <w:tab/>
      </w:r>
      <w:r w:rsidRPr="00BD5F8A">
        <w:rPr>
          <w:rFonts w:cs="Calibri"/>
          <w:b/>
          <w:bCs/>
        </w:rPr>
        <w:tab/>
        <w:t>2.1.2. Contexte hydro climatologique et météorologique</w:t>
      </w:r>
    </w:p>
    <w:p w14:paraId="491D100A" w14:textId="77777777" w:rsidR="00CB712E" w:rsidRPr="00BD5F8A" w:rsidRDefault="00CB712E" w:rsidP="00F9420F">
      <w:pPr>
        <w:spacing w:after="0"/>
        <w:jc w:val="both"/>
        <w:rPr>
          <w:rFonts w:cs="Calibri"/>
          <w:b/>
          <w:bCs/>
        </w:rPr>
      </w:pPr>
      <w:r w:rsidRPr="00BD5F8A">
        <w:rPr>
          <w:rFonts w:cs="Calibri"/>
          <w:b/>
          <w:bCs/>
        </w:rPr>
        <w:tab/>
      </w:r>
      <w:r w:rsidRPr="00BD5F8A">
        <w:rPr>
          <w:rFonts w:cs="Calibri"/>
          <w:b/>
          <w:bCs/>
        </w:rPr>
        <w:tab/>
      </w:r>
      <w:r w:rsidRPr="00BD5F8A">
        <w:rPr>
          <w:rFonts w:cs="Calibri"/>
          <w:b/>
          <w:bCs/>
        </w:rPr>
        <w:tab/>
        <w:t>Pluviométrie</w:t>
      </w:r>
    </w:p>
    <w:p w14:paraId="7AFD3DD9" w14:textId="77777777" w:rsidR="00CB712E" w:rsidRPr="00BD5F8A" w:rsidRDefault="00CB712E" w:rsidP="00F9420F">
      <w:pPr>
        <w:spacing w:after="0"/>
        <w:jc w:val="both"/>
        <w:rPr>
          <w:rFonts w:cs="Calibri"/>
          <w:b/>
          <w:bCs/>
        </w:rPr>
      </w:pPr>
      <w:r w:rsidRPr="00BD5F8A">
        <w:rPr>
          <w:rFonts w:cs="Calibri"/>
          <w:b/>
          <w:bCs/>
        </w:rPr>
        <w:tab/>
      </w:r>
      <w:r w:rsidRPr="00BD5F8A">
        <w:rPr>
          <w:rFonts w:cs="Calibri"/>
          <w:b/>
          <w:bCs/>
        </w:rPr>
        <w:tab/>
      </w:r>
      <w:r w:rsidRPr="00BD5F8A">
        <w:rPr>
          <w:rFonts w:cs="Calibri"/>
          <w:b/>
          <w:bCs/>
        </w:rPr>
        <w:tab/>
        <w:t>Température</w:t>
      </w:r>
    </w:p>
    <w:p w14:paraId="603AB573" w14:textId="77777777" w:rsidR="00CB712E" w:rsidRPr="00BD5F8A" w:rsidRDefault="00CB712E" w:rsidP="00F9420F">
      <w:pPr>
        <w:spacing w:after="0"/>
        <w:jc w:val="both"/>
        <w:rPr>
          <w:rFonts w:cs="Calibri"/>
          <w:b/>
          <w:bCs/>
        </w:rPr>
      </w:pPr>
      <w:r w:rsidRPr="00BD5F8A">
        <w:rPr>
          <w:rFonts w:cs="Calibri"/>
          <w:b/>
          <w:bCs/>
        </w:rPr>
        <w:tab/>
      </w:r>
      <w:r w:rsidRPr="00BD5F8A">
        <w:rPr>
          <w:rFonts w:cs="Calibri"/>
          <w:b/>
          <w:bCs/>
        </w:rPr>
        <w:tab/>
      </w:r>
      <w:r w:rsidRPr="00BD5F8A">
        <w:rPr>
          <w:rFonts w:cs="Calibri"/>
          <w:b/>
          <w:bCs/>
        </w:rPr>
        <w:tab/>
        <w:t>Vent</w:t>
      </w:r>
    </w:p>
    <w:p w14:paraId="474FF44A" w14:textId="77777777" w:rsidR="00CB712E" w:rsidRPr="00BD5F8A" w:rsidRDefault="00CB712E" w:rsidP="00F9420F">
      <w:pPr>
        <w:spacing w:after="0"/>
        <w:jc w:val="both"/>
        <w:rPr>
          <w:rFonts w:cs="Calibri"/>
          <w:b/>
          <w:bCs/>
        </w:rPr>
      </w:pPr>
      <w:r w:rsidRPr="00BD5F8A">
        <w:rPr>
          <w:rFonts w:cs="Calibri"/>
          <w:b/>
          <w:bCs/>
        </w:rPr>
        <w:tab/>
      </w:r>
      <w:r w:rsidRPr="00BD5F8A">
        <w:rPr>
          <w:rFonts w:cs="Calibri"/>
          <w:b/>
          <w:bCs/>
        </w:rPr>
        <w:tab/>
      </w:r>
      <w:r w:rsidRPr="00BD5F8A">
        <w:rPr>
          <w:rFonts w:cs="Calibri"/>
          <w:b/>
          <w:bCs/>
        </w:rPr>
        <w:tab/>
        <w:t>Courants marins</w:t>
      </w:r>
    </w:p>
    <w:p w14:paraId="615B89DB" w14:textId="77777777" w:rsidR="00CB712E" w:rsidRPr="00BD5F8A" w:rsidRDefault="00CB712E" w:rsidP="00F9420F">
      <w:pPr>
        <w:spacing w:after="0"/>
        <w:jc w:val="both"/>
        <w:rPr>
          <w:rFonts w:cs="Calibri"/>
          <w:b/>
          <w:bCs/>
        </w:rPr>
      </w:pPr>
      <w:r w:rsidRPr="00BD5F8A">
        <w:rPr>
          <w:rFonts w:cs="Calibri"/>
          <w:b/>
          <w:bCs/>
        </w:rPr>
        <w:tab/>
        <w:t>2.2. Ressources, productivité biologique, biodiversité et services écosystémiques</w:t>
      </w:r>
    </w:p>
    <w:p w14:paraId="0FC481A2" w14:textId="77777777" w:rsidR="00CB712E" w:rsidRPr="00BD5F8A" w:rsidRDefault="00CB712E" w:rsidP="00F9420F">
      <w:pPr>
        <w:spacing w:after="0"/>
        <w:jc w:val="both"/>
        <w:rPr>
          <w:rFonts w:cs="Calibri"/>
          <w:b/>
          <w:bCs/>
        </w:rPr>
      </w:pPr>
      <w:r w:rsidRPr="00BD5F8A">
        <w:rPr>
          <w:rFonts w:cs="Calibri"/>
          <w:b/>
          <w:bCs/>
        </w:rPr>
        <w:tab/>
      </w:r>
      <w:r w:rsidRPr="00BD5F8A">
        <w:rPr>
          <w:rFonts w:cs="Calibri"/>
          <w:b/>
          <w:bCs/>
        </w:rPr>
        <w:tab/>
        <w:t>2.2.1. Ressources vivantes marines, productivité biologique et biodiversité</w:t>
      </w:r>
    </w:p>
    <w:p w14:paraId="00ADECFC" w14:textId="77777777" w:rsidR="00CB712E" w:rsidRPr="00BD5F8A" w:rsidRDefault="00CB712E" w:rsidP="00F9420F">
      <w:pPr>
        <w:spacing w:after="0"/>
        <w:jc w:val="both"/>
        <w:rPr>
          <w:rFonts w:cs="Calibri"/>
          <w:b/>
          <w:bCs/>
        </w:rPr>
      </w:pPr>
      <w:r w:rsidRPr="00BD5F8A">
        <w:rPr>
          <w:rFonts w:cs="Calibri"/>
          <w:b/>
          <w:bCs/>
        </w:rPr>
        <w:tab/>
      </w:r>
      <w:r w:rsidRPr="00BD5F8A">
        <w:rPr>
          <w:rFonts w:cs="Calibri"/>
          <w:b/>
          <w:bCs/>
        </w:rPr>
        <w:tab/>
        <w:t>2.2.2. Services écosystémiques rendus</w:t>
      </w:r>
    </w:p>
    <w:p w14:paraId="2B693DD0" w14:textId="77777777" w:rsidR="00CB712E" w:rsidRPr="00BD5F8A" w:rsidRDefault="00CB712E" w:rsidP="00F9420F">
      <w:pPr>
        <w:spacing w:after="0"/>
        <w:ind w:left="705"/>
        <w:jc w:val="both"/>
        <w:rPr>
          <w:rFonts w:cs="Calibri"/>
          <w:b/>
          <w:bCs/>
        </w:rPr>
      </w:pPr>
      <w:r w:rsidRPr="00BD5F8A">
        <w:rPr>
          <w:rFonts w:cs="Calibri"/>
          <w:b/>
          <w:bCs/>
        </w:rPr>
        <w:t xml:space="preserve">2.3. Etat de vulnérabilité au cc du sous-secteur des pêches maritimes </w:t>
      </w:r>
    </w:p>
    <w:p w14:paraId="7F752C3A" w14:textId="77777777" w:rsidR="00CB712E" w:rsidRPr="00BD5F8A" w:rsidRDefault="00CB712E" w:rsidP="00F9420F">
      <w:pPr>
        <w:pStyle w:val="Paragraphedeliste"/>
        <w:numPr>
          <w:ilvl w:val="0"/>
          <w:numId w:val="293"/>
        </w:numPr>
        <w:autoSpaceDN w:val="0"/>
        <w:spacing w:after="0" w:line="240" w:lineRule="auto"/>
        <w:ind w:left="1418"/>
        <w:jc w:val="both"/>
        <w:textAlignment w:val="baseline"/>
        <w:rPr>
          <w:rFonts w:cs="Calibri"/>
          <w:b/>
          <w:bCs/>
        </w:rPr>
      </w:pPr>
      <w:r w:rsidRPr="00BD5F8A">
        <w:rPr>
          <w:rFonts w:cs="Calibri"/>
          <w:b/>
          <w:bCs/>
        </w:rPr>
        <w:t>2.3.1. Aléas et risques climatiques majeurs ;</w:t>
      </w:r>
    </w:p>
    <w:p w14:paraId="4D2EA657" w14:textId="77777777" w:rsidR="00CB712E" w:rsidRPr="00BD5F8A" w:rsidRDefault="00CB712E" w:rsidP="00F9420F">
      <w:pPr>
        <w:pStyle w:val="Paragraphedeliste"/>
        <w:numPr>
          <w:ilvl w:val="0"/>
          <w:numId w:val="293"/>
        </w:numPr>
        <w:autoSpaceDN w:val="0"/>
        <w:spacing w:after="0" w:line="240" w:lineRule="auto"/>
        <w:ind w:left="1418"/>
        <w:jc w:val="both"/>
        <w:textAlignment w:val="baseline"/>
        <w:rPr>
          <w:rFonts w:cs="Calibri"/>
          <w:b/>
          <w:bCs/>
        </w:rPr>
      </w:pPr>
      <w:r w:rsidRPr="00BD5F8A">
        <w:rPr>
          <w:rFonts w:cs="Calibri"/>
          <w:b/>
          <w:bCs/>
        </w:rPr>
        <w:t>2.3.2. Unités de pêche les plus sensibles aux aléas climatiques majeurs ;</w:t>
      </w:r>
    </w:p>
    <w:p w14:paraId="11B0442E" w14:textId="77777777" w:rsidR="00CB712E" w:rsidRPr="00BD5F8A" w:rsidRDefault="00CB712E" w:rsidP="00F9420F">
      <w:pPr>
        <w:pStyle w:val="Paragraphedeliste"/>
        <w:numPr>
          <w:ilvl w:val="0"/>
          <w:numId w:val="293"/>
        </w:numPr>
        <w:autoSpaceDN w:val="0"/>
        <w:spacing w:after="0" w:line="240" w:lineRule="auto"/>
        <w:ind w:left="1418"/>
        <w:jc w:val="both"/>
        <w:textAlignment w:val="baseline"/>
        <w:rPr>
          <w:rFonts w:cs="Calibri"/>
          <w:b/>
          <w:bCs/>
        </w:rPr>
      </w:pPr>
      <w:r w:rsidRPr="00BD5F8A">
        <w:rPr>
          <w:rFonts w:cs="Calibri"/>
          <w:b/>
          <w:bCs/>
        </w:rPr>
        <w:t>2.3.3. Impacts des aléas climatiques déjà ressentis ;</w:t>
      </w:r>
    </w:p>
    <w:p w14:paraId="323453C1" w14:textId="77777777" w:rsidR="00CB712E" w:rsidRPr="00BD5F8A" w:rsidRDefault="00CB712E" w:rsidP="00F9420F">
      <w:pPr>
        <w:pStyle w:val="Paragraphedeliste"/>
        <w:numPr>
          <w:ilvl w:val="0"/>
          <w:numId w:val="293"/>
        </w:numPr>
        <w:autoSpaceDN w:val="0"/>
        <w:spacing w:after="0" w:line="240" w:lineRule="auto"/>
        <w:ind w:left="1418"/>
        <w:jc w:val="both"/>
        <w:textAlignment w:val="baseline"/>
        <w:rPr>
          <w:rFonts w:cs="Calibri"/>
          <w:b/>
          <w:bCs/>
        </w:rPr>
      </w:pPr>
      <w:r w:rsidRPr="00BD5F8A">
        <w:rPr>
          <w:rFonts w:cs="Calibri"/>
          <w:b/>
          <w:bCs/>
        </w:rPr>
        <w:t>2.3.4. Evaluation de la vulnérabilité (Scenarii futurs probables 2050-2100).</w:t>
      </w:r>
    </w:p>
    <w:p w14:paraId="1C7DF20D" w14:textId="77777777" w:rsidR="00CB712E" w:rsidRPr="00BD5F8A" w:rsidRDefault="00CB712E" w:rsidP="00F9420F">
      <w:pPr>
        <w:spacing w:after="0"/>
        <w:ind w:firstLine="708"/>
        <w:jc w:val="both"/>
        <w:rPr>
          <w:rFonts w:cs="Calibri"/>
          <w:b/>
          <w:bCs/>
        </w:rPr>
      </w:pPr>
    </w:p>
    <w:p w14:paraId="26BB9585" w14:textId="77777777" w:rsidR="00CB712E" w:rsidRPr="00BD5F8A" w:rsidRDefault="00CB712E" w:rsidP="00F9420F">
      <w:pPr>
        <w:spacing w:after="0"/>
        <w:jc w:val="both"/>
        <w:rPr>
          <w:rFonts w:cs="Calibri"/>
        </w:rPr>
      </w:pPr>
      <w:r w:rsidRPr="00BD5F8A">
        <w:rPr>
          <w:rFonts w:cs="Calibri"/>
          <w:b/>
          <w:bCs/>
        </w:rPr>
        <w:t xml:space="preserve">PARTIE III : </w:t>
      </w:r>
      <w:r w:rsidRPr="00BD5F8A">
        <w:rPr>
          <w:rFonts w:cs="Calibri"/>
          <w:b/>
          <w:bCs/>
          <w:i/>
          <w:iCs/>
        </w:rPr>
        <w:t>PRESENTATION DE LA SITUATION ACTUELLE DU SECTEUR DES PECHES MARITIMES ET CONTINENTALE</w:t>
      </w:r>
      <w:r w:rsidRPr="00BD5F8A">
        <w:rPr>
          <w:rFonts w:cs="Calibri"/>
          <w:b/>
          <w:bCs/>
        </w:rPr>
        <w:t xml:space="preserve"> </w:t>
      </w:r>
    </w:p>
    <w:p w14:paraId="6322CA27" w14:textId="77777777" w:rsidR="00CB712E" w:rsidRPr="00BD5F8A" w:rsidRDefault="00CB712E" w:rsidP="00F9420F">
      <w:pPr>
        <w:spacing w:after="0"/>
        <w:jc w:val="both"/>
        <w:rPr>
          <w:rFonts w:cs="Calibri"/>
          <w:b/>
          <w:bCs/>
        </w:rPr>
      </w:pPr>
      <w:r w:rsidRPr="00BD5F8A">
        <w:rPr>
          <w:rFonts w:cs="Calibri"/>
          <w:b/>
          <w:bCs/>
        </w:rPr>
        <w:t>3.1. Cadre institutionnel, juridique et réglementaire du secteur des pêches</w:t>
      </w:r>
    </w:p>
    <w:p w14:paraId="48B222FE" w14:textId="77777777" w:rsidR="00CB712E" w:rsidRPr="00BD5F8A" w:rsidRDefault="00CB712E" w:rsidP="00F9420F">
      <w:pPr>
        <w:spacing w:after="0"/>
        <w:jc w:val="both"/>
        <w:rPr>
          <w:rFonts w:cs="Calibri"/>
          <w:b/>
          <w:bCs/>
        </w:rPr>
      </w:pPr>
      <w:r w:rsidRPr="00BD5F8A">
        <w:rPr>
          <w:rFonts w:cs="Calibri"/>
          <w:b/>
          <w:bCs/>
        </w:rPr>
        <w:tab/>
        <w:t>3.1.1. Cadre institutionnel</w:t>
      </w:r>
    </w:p>
    <w:p w14:paraId="74F54888" w14:textId="77777777" w:rsidR="00CB712E" w:rsidRPr="00BD5F8A" w:rsidRDefault="00CB712E" w:rsidP="00F9420F">
      <w:pPr>
        <w:spacing w:after="0"/>
        <w:jc w:val="both"/>
        <w:rPr>
          <w:rFonts w:cs="Calibri"/>
          <w:b/>
          <w:bCs/>
        </w:rPr>
      </w:pPr>
      <w:r w:rsidRPr="00BD5F8A">
        <w:rPr>
          <w:rFonts w:cs="Calibri"/>
          <w:b/>
          <w:bCs/>
        </w:rPr>
        <w:tab/>
        <w:t>3.1.2. Cadre normatif</w:t>
      </w:r>
    </w:p>
    <w:p w14:paraId="00EC7695" w14:textId="77777777" w:rsidR="00CB712E" w:rsidRPr="00BD5F8A" w:rsidRDefault="00CB712E" w:rsidP="00F9420F">
      <w:pPr>
        <w:spacing w:after="0"/>
        <w:jc w:val="both"/>
        <w:rPr>
          <w:rFonts w:cs="Calibri"/>
          <w:b/>
          <w:bCs/>
        </w:rPr>
      </w:pPr>
      <w:r w:rsidRPr="00BD5F8A">
        <w:rPr>
          <w:rFonts w:cs="Calibri"/>
          <w:b/>
          <w:bCs/>
        </w:rPr>
        <w:t>3.2. Présentation de la Lettre de Politique et Planification (L2P) du secteur des pêches et de l’Economie Maritime 2022-2024</w:t>
      </w:r>
    </w:p>
    <w:p w14:paraId="0A8DD845" w14:textId="77777777" w:rsidR="00CB712E" w:rsidRPr="00BD5F8A" w:rsidRDefault="00CB712E" w:rsidP="00F9420F">
      <w:pPr>
        <w:spacing w:after="0"/>
        <w:jc w:val="both"/>
        <w:rPr>
          <w:rFonts w:cs="Calibri"/>
          <w:b/>
          <w:bCs/>
        </w:rPr>
      </w:pPr>
      <w:r w:rsidRPr="00BD5F8A">
        <w:rPr>
          <w:rFonts w:cs="Calibri"/>
          <w:b/>
          <w:bCs/>
        </w:rPr>
        <w:tab/>
        <w:t>3.2.1. Objectifs :</w:t>
      </w:r>
    </w:p>
    <w:p w14:paraId="7EAE9400" w14:textId="77777777" w:rsidR="00CB712E" w:rsidRPr="00BD5F8A" w:rsidRDefault="00CB712E" w:rsidP="00F9420F">
      <w:pPr>
        <w:spacing w:after="0"/>
        <w:jc w:val="both"/>
        <w:rPr>
          <w:rFonts w:cs="Calibri"/>
          <w:b/>
          <w:bCs/>
        </w:rPr>
      </w:pPr>
      <w:r w:rsidRPr="00BD5F8A">
        <w:rPr>
          <w:rFonts w:cs="Calibri"/>
          <w:b/>
          <w:bCs/>
        </w:rPr>
        <w:tab/>
        <w:t>3.2.2. Structuration :</w:t>
      </w:r>
    </w:p>
    <w:p w14:paraId="0A70AD8A" w14:textId="77777777" w:rsidR="00CB712E" w:rsidRPr="00BD5F8A" w:rsidRDefault="00CB712E" w:rsidP="00F9420F">
      <w:pPr>
        <w:spacing w:after="0"/>
        <w:jc w:val="both"/>
        <w:rPr>
          <w:rFonts w:cs="Calibri"/>
          <w:b/>
          <w:bCs/>
        </w:rPr>
      </w:pPr>
      <w:r w:rsidRPr="00BD5F8A">
        <w:rPr>
          <w:rFonts w:cs="Calibri"/>
          <w:b/>
          <w:bCs/>
        </w:rPr>
        <w:tab/>
        <w:t>3.2.3. Etat de la ressource</w:t>
      </w:r>
    </w:p>
    <w:p w14:paraId="1FBE47CC" w14:textId="77777777" w:rsidR="00CB712E" w:rsidRPr="00BD5F8A" w:rsidRDefault="00CB712E" w:rsidP="00F9420F">
      <w:pPr>
        <w:spacing w:after="0"/>
        <w:jc w:val="both"/>
        <w:rPr>
          <w:rFonts w:cs="Calibri"/>
          <w:b/>
          <w:bCs/>
        </w:rPr>
      </w:pPr>
      <w:r w:rsidRPr="00BD5F8A">
        <w:rPr>
          <w:rFonts w:cs="Calibri"/>
          <w:b/>
          <w:bCs/>
        </w:rPr>
        <w:tab/>
        <w:t>3.2.4. Importance du sous-secteur des pêches maritimes</w:t>
      </w:r>
    </w:p>
    <w:p w14:paraId="61D52D95" w14:textId="77777777" w:rsidR="00CB712E" w:rsidRPr="00BD5F8A" w:rsidRDefault="00CB712E" w:rsidP="00F9420F">
      <w:pPr>
        <w:spacing w:after="0"/>
        <w:jc w:val="both"/>
        <w:rPr>
          <w:rFonts w:cs="Calibri"/>
          <w:b/>
          <w:bCs/>
        </w:rPr>
      </w:pPr>
      <w:r w:rsidRPr="00BD5F8A">
        <w:rPr>
          <w:rFonts w:cs="Calibri"/>
          <w:b/>
          <w:bCs/>
        </w:rPr>
        <w:tab/>
        <w:t>3.2.5. Place du CC dans la L2P</w:t>
      </w:r>
    </w:p>
    <w:p w14:paraId="4A428A1D" w14:textId="77777777" w:rsidR="00CB712E" w:rsidRPr="00B16C67" w:rsidRDefault="00CB712E" w:rsidP="00F9420F">
      <w:pPr>
        <w:spacing w:after="0"/>
        <w:jc w:val="both"/>
        <w:rPr>
          <w:rFonts w:cs="Calibri"/>
          <w:b/>
          <w:bCs/>
          <w:sz w:val="10"/>
          <w:szCs w:val="10"/>
        </w:rPr>
      </w:pPr>
    </w:p>
    <w:p w14:paraId="75B96455" w14:textId="77777777" w:rsidR="00CB712E" w:rsidRPr="00BD5F8A" w:rsidRDefault="00CB712E" w:rsidP="00CB712E">
      <w:pPr>
        <w:jc w:val="both"/>
        <w:rPr>
          <w:rFonts w:cs="Calibri"/>
        </w:rPr>
      </w:pPr>
      <w:r w:rsidRPr="00BD5F8A">
        <w:rPr>
          <w:rFonts w:cs="Calibri"/>
          <w:b/>
          <w:bCs/>
        </w:rPr>
        <w:t>PARTIE IV : IDENTIFICATION DE MESURES ET ACTIONS D’ADAPTATION AU CHANGEMENT CLIMATIQUE DU SOUS-SECTEUR DE LA PECHE MARITIME :</w:t>
      </w:r>
    </w:p>
    <w:p w14:paraId="2BD8C709" w14:textId="77777777" w:rsidR="00CB712E" w:rsidRPr="00BD5F8A" w:rsidRDefault="00CB712E" w:rsidP="00CB712E">
      <w:pPr>
        <w:jc w:val="both"/>
        <w:rPr>
          <w:rFonts w:cs="Calibri"/>
          <w:b/>
          <w:bCs/>
        </w:rPr>
      </w:pPr>
      <w:r w:rsidRPr="00BD5F8A">
        <w:rPr>
          <w:rFonts w:cs="Calibri"/>
          <w:b/>
          <w:bCs/>
        </w:rPr>
        <w:t>4.1. Analyse des documents stratégiques de référence</w:t>
      </w:r>
    </w:p>
    <w:p w14:paraId="7BAE6C8E" w14:textId="69DC9522" w:rsidR="00CB712E" w:rsidRPr="00BD5F8A" w:rsidRDefault="00CB712E" w:rsidP="003D75C2">
      <w:pPr>
        <w:tabs>
          <w:tab w:val="left" w:pos="709"/>
          <w:tab w:val="left" w:pos="851"/>
        </w:tabs>
        <w:ind w:left="709" w:right="-993"/>
        <w:jc w:val="both"/>
        <w:rPr>
          <w:rFonts w:cs="Calibri"/>
          <w:b/>
          <w:bCs/>
        </w:rPr>
      </w:pPr>
      <w:r w:rsidRPr="00BD5F8A">
        <w:rPr>
          <w:rFonts w:cs="Calibri"/>
          <w:b/>
          <w:bCs/>
        </w:rPr>
        <w:tab/>
        <w:t>4.1.1. Lettre de Politique et de Planification (L2P) du secteur des Pêches et</w:t>
      </w:r>
      <w:r w:rsidR="00F9420F">
        <w:rPr>
          <w:rFonts w:cs="Calibri"/>
          <w:b/>
          <w:bCs/>
        </w:rPr>
        <w:t xml:space="preserve"> </w:t>
      </w:r>
      <w:r w:rsidRPr="00BD5F8A">
        <w:rPr>
          <w:rFonts w:cs="Calibri"/>
          <w:b/>
          <w:bCs/>
        </w:rPr>
        <w:t xml:space="preserve">de l’Economie </w:t>
      </w:r>
      <w:r w:rsidR="002F21C0" w:rsidRPr="00BD5F8A">
        <w:rPr>
          <w:rFonts w:cs="Calibri"/>
          <w:b/>
          <w:bCs/>
        </w:rPr>
        <w:t>Maritime 2022</w:t>
      </w:r>
      <w:r w:rsidRPr="00BD5F8A">
        <w:rPr>
          <w:rFonts w:cs="Calibri"/>
          <w:b/>
          <w:bCs/>
        </w:rPr>
        <w:t>-</w:t>
      </w:r>
      <w:r w:rsidR="002F21C0" w:rsidRPr="00BD5F8A">
        <w:rPr>
          <w:rFonts w:cs="Calibri"/>
          <w:b/>
          <w:bCs/>
        </w:rPr>
        <w:t>2024 ;</w:t>
      </w:r>
    </w:p>
    <w:p w14:paraId="6D878D27" w14:textId="77777777" w:rsidR="00CB712E" w:rsidRPr="00BD5F8A" w:rsidRDefault="00CB712E" w:rsidP="00CB712E">
      <w:pPr>
        <w:jc w:val="both"/>
        <w:rPr>
          <w:rFonts w:cs="Calibri"/>
          <w:b/>
          <w:bCs/>
        </w:rPr>
      </w:pPr>
      <w:r w:rsidRPr="00BD5F8A">
        <w:rPr>
          <w:rFonts w:cs="Calibri"/>
          <w:b/>
          <w:bCs/>
        </w:rPr>
        <w:tab/>
        <w:t>4.1.2. Programme Electoral du Président de la République 2024 ;</w:t>
      </w:r>
    </w:p>
    <w:p w14:paraId="043EFDE5" w14:textId="77777777" w:rsidR="00CB712E" w:rsidRPr="00BD5F8A" w:rsidRDefault="00CB712E" w:rsidP="00CB712E">
      <w:pPr>
        <w:jc w:val="both"/>
        <w:rPr>
          <w:rFonts w:cs="Calibri"/>
          <w:b/>
          <w:bCs/>
        </w:rPr>
      </w:pPr>
      <w:r w:rsidRPr="00BD5F8A">
        <w:rPr>
          <w:rFonts w:cs="Calibri"/>
          <w:b/>
          <w:bCs/>
        </w:rPr>
        <w:tab/>
        <w:t>4.1.3. Déclaration de Politique Générale du Gouvernement 2024-2025</w:t>
      </w:r>
    </w:p>
    <w:p w14:paraId="7F9EDCE1" w14:textId="77777777" w:rsidR="00CB712E" w:rsidRPr="00BD5F8A" w:rsidRDefault="00CB712E" w:rsidP="00CB712E">
      <w:pPr>
        <w:jc w:val="both"/>
        <w:rPr>
          <w:rFonts w:cs="Calibri"/>
          <w:b/>
          <w:bCs/>
        </w:rPr>
      </w:pPr>
      <w:r w:rsidRPr="00BD5F8A">
        <w:rPr>
          <w:rFonts w:cs="Calibri"/>
          <w:b/>
          <w:bCs/>
        </w:rPr>
        <w:t xml:space="preserve">4.2. Identification de mesures et actions d’adaptation au changement climatique </w:t>
      </w:r>
    </w:p>
    <w:p w14:paraId="0C8CA7C4" w14:textId="77777777" w:rsidR="00CB712E" w:rsidRPr="00BD5F8A" w:rsidRDefault="00CB712E" w:rsidP="00CB712E">
      <w:pPr>
        <w:jc w:val="both"/>
        <w:rPr>
          <w:rFonts w:cs="Calibri"/>
          <w:b/>
          <w:bCs/>
        </w:rPr>
      </w:pPr>
      <w:r w:rsidRPr="00BD5F8A">
        <w:rPr>
          <w:rFonts w:cs="Calibri"/>
          <w:b/>
          <w:bCs/>
        </w:rPr>
        <w:t>4.3. Besoins pour la mise en œuvre de la contribution du secteur des pêches à la CN5.</w:t>
      </w:r>
    </w:p>
    <w:p w14:paraId="03260A44" w14:textId="77777777" w:rsidR="00CB712E" w:rsidRPr="00BD5F8A" w:rsidRDefault="00CB712E" w:rsidP="00CB712E">
      <w:pPr>
        <w:jc w:val="both"/>
        <w:rPr>
          <w:rFonts w:cs="Calibri"/>
          <w:b/>
          <w:bCs/>
        </w:rPr>
      </w:pPr>
      <w:r w:rsidRPr="00BD5F8A">
        <w:rPr>
          <w:rFonts w:cs="Calibri"/>
          <w:b/>
          <w:bCs/>
        </w:rPr>
        <w:t>PARTIE V : CONCLUSIONS ET RECOMMANDATIONS</w:t>
      </w:r>
    </w:p>
    <w:p w14:paraId="5CB2F887" w14:textId="77777777" w:rsidR="002F21C0" w:rsidRDefault="00CB712E" w:rsidP="00CB712E">
      <w:pPr>
        <w:ind w:firstLine="708"/>
        <w:jc w:val="both"/>
        <w:rPr>
          <w:rFonts w:cs="Calibri"/>
          <w:b/>
          <w:bCs/>
          <w:sz w:val="12"/>
          <w:szCs w:val="12"/>
        </w:rPr>
      </w:pPr>
      <w:r w:rsidRPr="00BD5F8A">
        <w:rPr>
          <w:rFonts w:cs="Calibri"/>
          <w:b/>
          <w:bCs/>
        </w:rPr>
        <w:t>5.1. Conclusions</w:t>
      </w:r>
    </w:p>
    <w:p w14:paraId="7C5920C4" w14:textId="74B4F1F3" w:rsidR="00CB712E" w:rsidRPr="00BD5F8A" w:rsidRDefault="00CB712E" w:rsidP="00CB712E">
      <w:pPr>
        <w:ind w:firstLine="708"/>
        <w:jc w:val="both"/>
        <w:rPr>
          <w:rFonts w:cs="Calibri"/>
          <w:b/>
          <w:bCs/>
        </w:rPr>
      </w:pPr>
      <w:r w:rsidRPr="00BD5F8A">
        <w:rPr>
          <w:rFonts w:cs="Calibri"/>
          <w:b/>
          <w:bCs/>
        </w:rPr>
        <w:t>5.2. Recommandations</w:t>
      </w:r>
    </w:p>
    <w:p w14:paraId="024AEF00" w14:textId="77777777" w:rsidR="00CB712E" w:rsidRPr="00BD5F8A" w:rsidRDefault="00CB712E" w:rsidP="00CB712E">
      <w:pPr>
        <w:jc w:val="both"/>
        <w:rPr>
          <w:rFonts w:cs="Calibri"/>
          <w:b/>
          <w:bCs/>
        </w:rPr>
      </w:pPr>
    </w:p>
    <w:p w14:paraId="0FBF86C7" w14:textId="77777777" w:rsidR="00CB712E" w:rsidRPr="00BD5F8A" w:rsidRDefault="00CB712E" w:rsidP="00CB712E">
      <w:pPr>
        <w:jc w:val="center"/>
        <w:rPr>
          <w:rFonts w:cs="Calibri"/>
          <w:b/>
          <w:bCs/>
        </w:rPr>
      </w:pPr>
      <w:r w:rsidRPr="00BD5F8A">
        <w:rPr>
          <w:rFonts w:cs="Calibri"/>
          <w:b/>
          <w:bCs/>
        </w:rPr>
        <w:t>ANNEXES</w:t>
      </w:r>
    </w:p>
    <w:p w14:paraId="099CF33B" w14:textId="77777777" w:rsidR="00CB712E" w:rsidRDefault="00CB712E" w:rsidP="00CB712E">
      <w:pPr>
        <w:jc w:val="both"/>
        <w:rPr>
          <w:rFonts w:cs="Calibri"/>
          <w:b/>
          <w:bCs/>
        </w:rPr>
      </w:pPr>
      <w:r>
        <w:rPr>
          <w:rFonts w:cs="Calibri"/>
          <w:b/>
          <w:bCs/>
        </w:rPr>
        <w:t>LISTE DES ACRONYMES</w:t>
      </w:r>
    </w:p>
    <w:p w14:paraId="60008835" w14:textId="77777777" w:rsidR="00CB712E" w:rsidRPr="00D501DA" w:rsidRDefault="00CB712E" w:rsidP="003D75C2">
      <w:pPr>
        <w:spacing w:after="0"/>
        <w:jc w:val="both"/>
        <w:rPr>
          <w:rFonts w:cs="Calibri"/>
        </w:rPr>
      </w:pPr>
      <w:r w:rsidRPr="00D501DA">
        <w:rPr>
          <w:rFonts w:cs="Calibri"/>
        </w:rPr>
        <w:t>ADPPC :</w:t>
      </w:r>
      <w:r>
        <w:rPr>
          <w:rFonts w:cs="Calibri"/>
        </w:rPr>
        <w:t xml:space="preserve"> Agence de Développement de la Pêche et la Pisciculture Continentales</w:t>
      </w:r>
    </w:p>
    <w:p w14:paraId="0F7645D4" w14:textId="77777777" w:rsidR="00CB712E" w:rsidRPr="003C620C" w:rsidRDefault="00CB712E" w:rsidP="003D75C2">
      <w:pPr>
        <w:spacing w:after="0"/>
        <w:jc w:val="both"/>
        <w:rPr>
          <w:rFonts w:cs="Calibri"/>
        </w:rPr>
      </w:pPr>
      <w:r w:rsidRPr="003C620C">
        <w:rPr>
          <w:rFonts w:cs="Calibri"/>
        </w:rPr>
        <w:t>AMAM : Agence Mauritanienne des A</w:t>
      </w:r>
      <w:r>
        <w:rPr>
          <w:rFonts w:cs="Calibri"/>
        </w:rPr>
        <w:t>ffaires Maritimes</w:t>
      </w:r>
    </w:p>
    <w:p w14:paraId="4761910F" w14:textId="77777777" w:rsidR="00CB712E" w:rsidRPr="00486B21" w:rsidRDefault="00CB712E" w:rsidP="003D75C2">
      <w:pPr>
        <w:spacing w:after="0"/>
        <w:jc w:val="both"/>
        <w:rPr>
          <w:rFonts w:cs="Calibri"/>
        </w:rPr>
      </w:pPr>
      <w:r w:rsidRPr="00486B21">
        <w:rPr>
          <w:rFonts w:cs="Calibri"/>
        </w:rPr>
        <w:t>AMP : Aire Marine Protégée</w:t>
      </w:r>
    </w:p>
    <w:p w14:paraId="0506CB63" w14:textId="77777777" w:rsidR="00CB712E" w:rsidRPr="00486B21" w:rsidRDefault="00CB712E" w:rsidP="003D75C2">
      <w:pPr>
        <w:spacing w:after="0"/>
        <w:jc w:val="both"/>
        <w:rPr>
          <w:rFonts w:cs="Calibri"/>
        </w:rPr>
      </w:pPr>
      <w:r w:rsidRPr="00486B21">
        <w:rPr>
          <w:rFonts w:cs="Calibri"/>
        </w:rPr>
        <w:t>AS : Axe Stratégique</w:t>
      </w:r>
    </w:p>
    <w:p w14:paraId="70B54DC2" w14:textId="77777777" w:rsidR="00CB712E" w:rsidRPr="003C620C" w:rsidRDefault="00CB712E" w:rsidP="003D75C2">
      <w:pPr>
        <w:spacing w:after="0"/>
        <w:jc w:val="both"/>
        <w:rPr>
          <w:rFonts w:cs="Calibri"/>
        </w:rPr>
      </w:pPr>
      <w:r w:rsidRPr="003C620C">
        <w:rPr>
          <w:rFonts w:cs="Calibri"/>
        </w:rPr>
        <w:t>BIT : Bureau International de T</w:t>
      </w:r>
      <w:r>
        <w:rPr>
          <w:rFonts w:cs="Calibri"/>
        </w:rPr>
        <w:t>ravail</w:t>
      </w:r>
    </w:p>
    <w:p w14:paraId="7674FF8A" w14:textId="77777777" w:rsidR="00CB712E" w:rsidRPr="00486B21" w:rsidRDefault="00CB712E" w:rsidP="003D75C2">
      <w:pPr>
        <w:spacing w:after="0"/>
        <w:jc w:val="both"/>
        <w:rPr>
          <w:rFonts w:cs="Calibri"/>
        </w:rPr>
      </w:pPr>
      <w:proofErr w:type="gramStart"/>
      <w:r w:rsidRPr="00486B21">
        <w:rPr>
          <w:rFonts w:cs="Calibri"/>
        </w:rPr>
        <w:t>CBI:</w:t>
      </w:r>
      <w:proofErr w:type="gramEnd"/>
      <w:r w:rsidRPr="00486B21">
        <w:rPr>
          <w:rFonts w:cs="Calibri"/>
        </w:rPr>
        <w:t xml:space="preserve"> </w:t>
      </w:r>
      <w:r>
        <w:rPr>
          <w:rFonts w:cs="Calibri"/>
        </w:rPr>
        <w:t>Centre de Biologie Intégrative</w:t>
      </w:r>
    </w:p>
    <w:p w14:paraId="017C38EA" w14:textId="77777777" w:rsidR="00CB712E" w:rsidRPr="00486B21" w:rsidRDefault="00CB712E" w:rsidP="003D75C2">
      <w:pPr>
        <w:spacing w:after="0"/>
        <w:jc w:val="both"/>
        <w:rPr>
          <w:rFonts w:cs="Calibri"/>
        </w:rPr>
      </w:pPr>
      <w:proofErr w:type="gramStart"/>
      <w:r w:rsidRPr="00486B21">
        <w:rPr>
          <w:rFonts w:cs="Calibri"/>
        </w:rPr>
        <w:t>CC:</w:t>
      </w:r>
      <w:proofErr w:type="gramEnd"/>
      <w:r w:rsidRPr="00486B21">
        <w:rPr>
          <w:rFonts w:cs="Calibri"/>
        </w:rPr>
        <w:t xml:space="preserve"> Changement Climatique</w:t>
      </w:r>
    </w:p>
    <w:p w14:paraId="15A00C27" w14:textId="77777777" w:rsidR="00CB712E" w:rsidRPr="00486B21" w:rsidRDefault="00CB712E" w:rsidP="003D75C2">
      <w:pPr>
        <w:spacing w:after="0"/>
        <w:jc w:val="both"/>
        <w:rPr>
          <w:rFonts w:cs="Calibri"/>
        </w:rPr>
      </w:pPr>
      <w:proofErr w:type="gramStart"/>
      <w:r w:rsidRPr="00486B21">
        <w:rPr>
          <w:rFonts w:cs="Calibri"/>
        </w:rPr>
        <w:t>CCLME:</w:t>
      </w:r>
      <w:proofErr w:type="gramEnd"/>
      <w:r w:rsidRPr="00067937">
        <w:rPr>
          <w:rFonts w:ascii="IBM Plex Serif" w:hAnsi="IBM Plex Serif"/>
          <w:color w:val="000000"/>
          <w:sz w:val="25"/>
          <w:szCs w:val="25"/>
          <w:shd w:val="clear" w:color="auto" w:fill="FFF0E8"/>
        </w:rPr>
        <w:t xml:space="preserve"> </w:t>
      </w:r>
      <w:r w:rsidRPr="00067937">
        <w:rPr>
          <w:rFonts w:cs="Calibri"/>
        </w:rPr>
        <w:t>Grand Ecosystème Marin du Courant des Canaries </w:t>
      </w:r>
    </w:p>
    <w:p w14:paraId="37FEEEEA" w14:textId="77777777" w:rsidR="00CB712E" w:rsidRPr="003C620C" w:rsidRDefault="00CB712E" w:rsidP="003D75C2">
      <w:pPr>
        <w:spacing w:after="0"/>
        <w:jc w:val="both"/>
        <w:rPr>
          <w:rFonts w:cs="Calibri"/>
        </w:rPr>
      </w:pPr>
      <w:proofErr w:type="gramStart"/>
      <w:r w:rsidRPr="003C620C">
        <w:rPr>
          <w:rFonts w:cs="Calibri"/>
        </w:rPr>
        <w:t>CCNUCC:</w:t>
      </w:r>
      <w:proofErr w:type="gramEnd"/>
      <w:r>
        <w:rPr>
          <w:rFonts w:cs="Calibri"/>
        </w:rPr>
        <w:t xml:space="preserve"> </w:t>
      </w:r>
      <w:r w:rsidRPr="003C620C">
        <w:rPr>
          <w:rFonts w:cs="Calibri"/>
        </w:rPr>
        <w:t>Convention Cadre des N</w:t>
      </w:r>
      <w:r>
        <w:rPr>
          <w:rFonts w:cs="Calibri"/>
        </w:rPr>
        <w:t>ations Unies pour le Changement Climatique</w:t>
      </w:r>
    </w:p>
    <w:p w14:paraId="4A205592" w14:textId="77777777" w:rsidR="00CB712E" w:rsidRPr="003C620C" w:rsidRDefault="00CB712E" w:rsidP="003D75C2">
      <w:pPr>
        <w:spacing w:after="0"/>
        <w:jc w:val="both"/>
        <w:rPr>
          <w:rFonts w:cs="Calibri"/>
        </w:rPr>
      </w:pPr>
      <w:proofErr w:type="gramStart"/>
      <w:r w:rsidRPr="003C620C">
        <w:rPr>
          <w:rFonts w:cs="Calibri"/>
        </w:rPr>
        <w:t>CDN:</w:t>
      </w:r>
      <w:proofErr w:type="gramEnd"/>
      <w:r w:rsidRPr="003C620C">
        <w:rPr>
          <w:rFonts w:cs="Calibri"/>
        </w:rPr>
        <w:t xml:space="preserve"> C</w:t>
      </w:r>
      <w:r>
        <w:rPr>
          <w:rFonts w:cs="Calibri"/>
        </w:rPr>
        <w:t xml:space="preserve">ontribution </w:t>
      </w:r>
      <w:r w:rsidRPr="003C620C">
        <w:rPr>
          <w:rFonts w:cs="Calibri"/>
        </w:rPr>
        <w:t>Déterminée Nationale</w:t>
      </w:r>
    </w:p>
    <w:p w14:paraId="557F9A01" w14:textId="77777777" w:rsidR="00CB712E" w:rsidRPr="003C620C" w:rsidRDefault="00CB712E" w:rsidP="003D75C2">
      <w:pPr>
        <w:spacing w:after="0"/>
        <w:jc w:val="both"/>
        <w:rPr>
          <w:rFonts w:cs="Calibri"/>
        </w:rPr>
      </w:pPr>
      <w:proofErr w:type="gramStart"/>
      <w:r w:rsidRPr="003C620C">
        <w:rPr>
          <w:rFonts w:cs="Calibri"/>
        </w:rPr>
        <w:t>CN:</w:t>
      </w:r>
      <w:proofErr w:type="gramEnd"/>
      <w:r w:rsidRPr="003C620C">
        <w:rPr>
          <w:rFonts w:cs="Calibri"/>
        </w:rPr>
        <w:t xml:space="preserve"> Communi</w:t>
      </w:r>
      <w:r>
        <w:rPr>
          <w:rFonts w:cs="Calibri"/>
        </w:rPr>
        <w:t>cation Nationale</w:t>
      </w:r>
    </w:p>
    <w:p w14:paraId="1B43FBA5" w14:textId="77777777" w:rsidR="00CB712E" w:rsidRPr="00C97BB3" w:rsidRDefault="00CB712E" w:rsidP="003D75C2">
      <w:pPr>
        <w:spacing w:after="0"/>
        <w:jc w:val="both"/>
        <w:rPr>
          <w:rFonts w:cs="Calibri"/>
        </w:rPr>
      </w:pPr>
      <w:proofErr w:type="gramStart"/>
      <w:r w:rsidRPr="00486B21">
        <w:rPr>
          <w:rFonts w:cs="Calibri"/>
        </w:rPr>
        <w:t>CNUDM:</w:t>
      </w:r>
      <w:proofErr w:type="gramEnd"/>
      <w:r w:rsidRPr="00C97BB3">
        <w:rPr>
          <w:rFonts w:ascii="Arial" w:hAnsi="Arial"/>
          <w:b/>
          <w:bCs/>
          <w:color w:val="5F6368"/>
          <w:sz w:val="21"/>
          <w:szCs w:val="21"/>
          <w:shd w:val="clear" w:color="auto" w:fill="FFFFFF"/>
        </w:rPr>
        <w:t xml:space="preserve"> </w:t>
      </w:r>
      <w:r w:rsidRPr="00C97BB3">
        <w:rPr>
          <w:rFonts w:cs="Calibri"/>
        </w:rPr>
        <w:t xml:space="preserve">Convention des Nations Unies sur le </w:t>
      </w:r>
      <w:r>
        <w:rPr>
          <w:rFonts w:cs="Calibri"/>
        </w:rPr>
        <w:t>D</w:t>
      </w:r>
      <w:r w:rsidRPr="00C97BB3">
        <w:rPr>
          <w:rFonts w:cs="Calibri"/>
        </w:rPr>
        <w:t xml:space="preserve">roit de la </w:t>
      </w:r>
      <w:r>
        <w:rPr>
          <w:rFonts w:cs="Calibri"/>
        </w:rPr>
        <w:t>M</w:t>
      </w:r>
      <w:r w:rsidRPr="00C97BB3">
        <w:rPr>
          <w:rFonts w:cs="Calibri"/>
        </w:rPr>
        <w:t>er </w:t>
      </w:r>
    </w:p>
    <w:p w14:paraId="1A19B645" w14:textId="77777777" w:rsidR="00CB712E" w:rsidRPr="00486B21" w:rsidRDefault="00CB712E" w:rsidP="003D75C2">
      <w:pPr>
        <w:spacing w:after="0"/>
        <w:jc w:val="both"/>
        <w:rPr>
          <w:rFonts w:cs="Calibri"/>
        </w:rPr>
      </w:pPr>
      <w:r w:rsidRPr="00486B21">
        <w:rPr>
          <w:rFonts w:cs="Calibri"/>
        </w:rPr>
        <w:t>COMHAFAT :</w:t>
      </w:r>
      <w:r w:rsidRPr="00C97BB3">
        <w:rPr>
          <w:rFonts w:ascii="Arial" w:hAnsi="Arial"/>
          <w:color w:val="4D5156"/>
          <w:sz w:val="21"/>
          <w:szCs w:val="21"/>
          <w:shd w:val="clear" w:color="auto" w:fill="FFFFFF"/>
        </w:rPr>
        <w:t xml:space="preserve"> </w:t>
      </w:r>
      <w:r w:rsidRPr="00C97BB3">
        <w:rPr>
          <w:rFonts w:cs="Calibri"/>
        </w:rPr>
        <w:t>Conférence Ministérielle sur la Coopération Halieutique entre les Etats Africains Riverains de l’océan Atlantique </w:t>
      </w:r>
    </w:p>
    <w:p w14:paraId="677239EC" w14:textId="77777777" w:rsidR="00CB712E" w:rsidRPr="00486B21" w:rsidRDefault="00CB712E" w:rsidP="003D75C2">
      <w:pPr>
        <w:spacing w:after="0"/>
        <w:jc w:val="both"/>
        <w:rPr>
          <w:rFonts w:cs="Calibri"/>
        </w:rPr>
      </w:pPr>
      <w:r w:rsidRPr="00486B21">
        <w:rPr>
          <w:rFonts w:cs="Calibri"/>
        </w:rPr>
        <w:t>COPACE :</w:t>
      </w:r>
      <w:r w:rsidRPr="00F05EED">
        <w:rPr>
          <w:rFonts w:ascii="Open Sans" w:hAnsi="Open Sans" w:cs="Open Sans"/>
          <w:color w:val="000000"/>
          <w:sz w:val="37"/>
          <w:szCs w:val="37"/>
          <w:shd w:val="clear" w:color="auto" w:fill="FFFFFF"/>
        </w:rPr>
        <w:t xml:space="preserve"> </w:t>
      </w:r>
      <w:r w:rsidRPr="00F05EED">
        <w:rPr>
          <w:rFonts w:cs="Calibri"/>
        </w:rPr>
        <w:t>Comité des Pêches pour l’Atlantique Centre-Est</w:t>
      </w:r>
    </w:p>
    <w:p w14:paraId="2425102B" w14:textId="77777777" w:rsidR="00CB712E" w:rsidRPr="00486B21" w:rsidRDefault="00CB712E" w:rsidP="003D75C2">
      <w:pPr>
        <w:spacing w:after="0"/>
        <w:jc w:val="both"/>
        <w:rPr>
          <w:rFonts w:cs="Calibri"/>
        </w:rPr>
      </w:pPr>
      <w:r w:rsidRPr="00486B21">
        <w:rPr>
          <w:rFonts w:cs="Calibri"/>
        </w:rPr>
        <w:t>CPDN :</w:t>
      </w:r>
      <w:r>
        <w:rPr>
          <w:rFonts w:cs="Calibri"/>
        </w:rPr>
        <w:t xml:space="preserve"> Contribution Prévue Déterminée au Niveau National</w:t>
      </w:r>
    </w:p>
    <w:p w14:paraId="3CE9F7A5" w14:textId="77777777" w:rsidR="00CB712E" w:rsidRPr="00F8727A" w:rsidRDefault="00CB712E" w:rsidP="003D75C2">
      <w:pPr>
        <w:spacing w:after="0"/>
        <w:jc w:val="both"/>
        <w:rPr>
          <w:rFonts w:cs="Calibri"/>
        </w:rPr>
      </w:pPr>
      <w:proofErr w:type="gramStart"/>
      <w:r w:rsidRPr="00F8727A">
        <w:rPr>
          <w:rFonts w:cs="Calibri"/>
        </w:rPr>
        <w:t>CS:</w:t>
      </w:r>
      <w:proofErr w:type="gramEnd"/>
      <w:r w:rsidRPr="00F8727A">
        <w:rPr>
          <w:rFonts w:cs="Calibri"/>
        </w:rPr>
        <w:t xml:space="preserve"> C</w:t>
      </w:r>
      <w:r>
        <w:rPr>
          <w:rFonts w:cs="Calibri"/>
        </w:rPr>
        <w:t>h</w:t>
      </w:r>
      <w:r w:rsidRPr="00F8727A">
        <w:rPr>
          <w:rFonts w:cs="Calibri"/>
        </w:rPr>
        <w:t>antier Str</w:t>
      </w:r>
      <w:r>
        <w:rPr>
          <w:rFonts w:cs="Calibri"/>
        </w:rPr>
        <w:t>ucturant</w:t>
      </w:r>
    </w:p>
    <w:p w14:paraId="76CE4D5B" w14:textId="77777777" w:rsidR="00CB712E" w:rsidRPr="00F8727A" w:rsidRDefault="00CB712E" w:rsidP="003D75C2">
      <w:pPr>
        <w:spacing w:after="0"/>
        <w:jc w:val="both"/>
        <w:rPr>
          <w:rFonts w:cs="Calibri"/>
        </w:rPr>
      </w:pPr>
      <w:proofErr w:type="gramStart"/>
      <w:r w:rsidRPr="00F8727A">
        <w:rPr>
          <w:rFonts w:cs="Calibri"/>
        </w:rPr>
        <w:t>CSRP:</w:t>
      </w:r>
      <w:proofErr w:type="gramEnd"/>
      <w:r w:rsidRPr="00F8727A">
        <w:rPr>
          <w:rFonts w:cs="Calibri"/>
        </w:rPr>
        <w:t xml:space="preserve"> Commission Sous-Régionale des Pêches </w:t>
      </w:r>
    </w:p>
    <w:p w14:paraId="637A82C9" w14:textId="77777777" w:rsidR="00CB712E" w:rsidRPr="00F8727A" w:rsidRDefault="00CB712E" w:rsidP="003D75C2">
      <w:pPr>
        <w:spacing w:after="0"/>
        <w:jc w:val="both"/>
        <w:rPr>
          <w:rFonts w:cs="Calibri"/>
        </w:rPr>
      </w:pPr>
      <w:r w:rsidRPr="00F8727A">
        <w:rPr>
          <w:rFonts w:cs="Calibri"/>
        </w:rPr>
        <w:t>DMM : Direction de la M</w:t>
      </w:r>
      <w:r>
        <w:rPr>
          <w:rFonts w:cs="Calibri"/>
        </w:rPr>
        <w:t>arine Marchande</w:t>
      </w:r>
    </w:p>
    <w:p w14:paraId="6DF8340E" w14:textId="77777777" w:rsidR="00CB712E" w:rsidRPr="00F8727A" w:rsidRDefault="00CB712E" w:rsidP="002F21C0">
      <w:pPr>
        <w:pStyle w:val="Standard"/>
        <w:jc w:val="both"/>
        <w:rPr>
          <w:rFonts w:ascii="Calibri" w:hAnsi="Calibri" w:cs="Calibri"/>
          <w:sz w:val="22"/>
          <w:lang w:val="fr-FR"/>
        </w:rPr>
      </w:pPr>
      <w:r w:rsidRPr="00F8727A">
        <w:rPr>
          <w:rFonts w:ascii="Calibri" w:hAnsi="Calibri" w:cs="Calibri"/>
          <w:sz w:val="22"/>
          <w:lang w:val="fr-FR"/>
        </w:rPr>
        <w:t>EIES : Etude d’Impact Environnemental e</w:t>
      </w:r>
      <w:r>
        <w:rPr>
          <w:rFonts w:ascii="Calibri" w:hAnsi="Calibri" w:cs="Calibri"/>
          <w:sz w:val="22"/>
          <w:lang w:val="fr-FR"/>
        </w:rPr>
        <w:t>t Social</w:t>
      </w:r>
    </w:p>
    <w:p w14:paraId="65F1F186" w14:textId="77777777" w:rsidR="00CB712E" w:rsidRPr="00F8727A" w:rsidRDefault="00CB712E" w:rsidP="003D75C2">
      <w:pPr>
        <w:spacing w:after="0"/>
        <w:jc w:val="both"/>
        <w:rPr>
          <w:rFonts w:cs="Calibri"/>
        </w:rPr>
      </w:pPr>
      <w:r w:rsidRPr="00F8727A">
        <w:rPr>
          <w:rFonts w:cs="Calibri"/>
        </w:rPr>
        <w:t>PFS : Point Focal Sectoriel</w:t>
      </w:r>
    </w:p>
    <w:p w14:paraId="0DCB8603" w14:textId="77777777" w:rsidR="00CB712E" w:rsidRPr="00F8727A" w:rsidRDefault="00CB712E" w:rsidP="003D75C2">
      <w:pPr>
        <w:spacing w:after="0"/>
        <w:jc w:val="both"/>
        <w:rPr>
          <w:rFonts w:cs="Calibri"/>
        </w:rPr>
      </w:pPr>
      <w:r w:rsidRPr="00F8727A">
        <w:rPr>
          <w:rFonts w:cs="Calibri"/>
        </w:rPr>
        <w:t>ICCAT :</w:t>
      </w:r>
      <w:r>
        <w:rPr>
          <w:rFonts w:cs="Calibri"/>
        </w:rPr>
        <w:t xml:space="preserve"> Commission Internationale pour la Conservation des Thonidés de l’Atlantique</w:t>
      </w:r>
    </w:p>
    <w:p w14:paraId="53E0DCE2" w14:textId="77777777" w:rsidR="00CB712E" w:rsidRPr="00F8727A" w:rsidRDefault="00CB712E" w:rsidP="003D75C2">
      <w:pPr>
        <w:spacing w:after="0"/>
        <w:jc w:val="both"/>
        <w:rPr>
          <w:rFonts w:cs="Calibri"/>
        </w:rPr>
      </w:pPr>
      <w:r w:rsidRPr="00F8727A">
        <w:rPr>
          <w:rFonts w:cs="Calibri"/>
        </w:rPr>
        <w:t>IMROP :</w:t>
      </w:r>
      <w:r>
        <w:rPr>
          <w:rFonts w:cs="Calibri"/>
        </w:rPr>
        <w:t xml:space="preserve"> Institut Mauritanien de Recherches Océanographiques et des Pêches</w:t>
      </w:r>
    </w:p>
    <w:p w14:paraId="7486A1FD" w14:textId="77777777" w:rsidR="00CB712E" w:rsidRPr="00F8727A" w:rsidRDefault="00CB712E" w:rsidP="003D75C2">
      <w:pPr>
        <w:spacing w:after="0"/>
        <w:jc w:val="both"/>
        <w:rPr>
          <w:rFonts w:cs="Calibri"/>
        </w:rPr>
      </w:pPr>
      <w:r w:rsidRPr="00F8727A">
        <w:rPr>
          <w:rFonts w:cs="Calibri"/>
        </w:rPr>
        <w:t>GES : Gaz à Effet d</w:t>
      </w:r>
      <w:r>
        <w:rPr>
          <w:rFonts w:cs="Calibri"/>
        </w:rPr>
        <w:t>e Serre</w:t>
      </w:r>
    </w:p>
    <w:p w14:paraId="6C016995" w14:textId="77777777" w:rsidR="00CB712E" w:rsidRPr="00486B21" w:rsidRDefault="00CB712E" w:rsidP="003D75C2">
      <w:pPr>
        <w:spacing w:after="0"/>
        <w:jc w:val="both"/>
        <w:rPr>
          <w:rFonts w:cs="Calibri"/>
        </w:rPr>
      </w:pPr>
      <w:r w:rsidRPr="00486B21">
        <w:rPr>
          <w:rFonts w:cs="Calibri"/>
        </w:rPr>
        <w:t>GTA :</w:t>
      </w:r>
      <w:r>
        <w:rPr>
          <w:rFonts w:cs="Calibri"/>
        </w:rPr>
        <w:t xml:space="preserve"> Projet Grand Tortue Ahmeyim</w:t>
      </w:r>
    </w:p>
    <w:p w14:paraId="0D3C70F1" w14:textId="77777777" w:rsidR="00CB712E" w:rsidRPr="00F8727A" w:rsidRDefault="00CB712E" w:rsidP="003D75C2">
      <w:pPr>
        <w:spacing w:after="0"/>
        <w:jc w:val="both"/>
        <w:rPr>
          <w:rFonts w:cs="Calibri"/>
        </w:rPr>
      </w:pPr>
      <w:r w:rsidRPr="00F8727A">
        <w:rPr>
          <w:rFonts w:cs="Calibri"/>
        </w:rPr>
        <w:t>L2</w:t>
      </w:r>
      <w:proofErr w:type="gramStart"/>
      <w:r w:rsidRPr="00F8727A">
        <w:rPr>
          <w:rFonts w:cs="Calibri"/>
        </w:rPr>
        <w:t>P:</w:t>
      </w:r>
      <w:proofErr w:type="gramEnd"/>
      <w:r w:rsidRPr="00F8727A">
        <w:rPr>
          <w:rFonts w:cs="Calibri"/>
        </w:rPr>
        <w:t xml:space="preserve"> Lettre de Politique e</w:t>
      </w:r>
      <w:r>
        <w:rPr>
          <w:rFonts w:cs="Calibri"/>
        </w:rPr>
        <w:t>t de Planification du secteur des pêches et de l’économie maritime 2022-2024</w:t>
      </w:r>
    </w:p>
    <w:p w14:paraId="62C5921C" w14:textId="77777777" w:rsidR="00CB712E" w:rsidRPr="00F8727A" w:rsidRDefault="00CB712E" w:rsidP="003D75C2">
      <w:pPr>
        <w:spacing w:after="0"/>
        <w:jc w:val="both"/>
        <w:rPr>
          <w:rFonts w:cs="Calibri"/>
        </w:rPr>
      </w:pPr>
      <w:r w:rsidRPr="00F8727A">
        <w:rPr>
          <w:rFonts w:cs="Calibri"/>
        </w:rPr>
        <w:t>5</w:t>
      </w:r>
      <w:proofErr w:type="gramStart"/>
      <w:r w:rsidRPr="00F8727A">
        <w:rPr>
          <w:rFonts w:cs="Calibri"/>
        </w:rPr>
        <w:t>CN:</w:t>
      </w:r>
      <w:proofErr w:type="gramEnd"/>
      <w:r w:rsidRPr="00F8727A">
        <w:rPr>
          <w:rFonts w:cs="Calibri"/>
        </w:rPr>
        <w:t xml:space="preserve"> Cinquième Communication Nationale</w:t>
      </w:r>
    </w:p>
    <w:p w14:paraId="50831DBA" w14:textId="77777777" w:rsidR="00CB712E" w:rsidRPr="00F8727A" w:rsidRDefault="00CB712E" w:rsidP="003D75C2">
      <w:pPr>
        <w:spacing w:after="0"/>
        <w:ind w:right="-567"/>
        <w:jc w:val="both"/>
        <w:rPr>
          <w:rFonts w:cs="Calibri"/>
          <w:i/>
          <w:iCs/>
        </w:rPr>
      </w:pPr>
      <w:proofErr w:type="gramStart"/>
      <w:r w:rsidRPr="00F8727A">
        <w:rPr>
          <w:rFonts w:cs="Calibri"/>
          <w:i/>
          <w:iCs/>
        </w:rPr>
        <w:t>MARPOL:</w:t>
      </w:r>
      <w:proofErr w:type="gramEnd"/>
      <w:r w:rsidRPr="00F8727A">
        <w:rPr>
          <w:rFonts w:cs="Calibri"/>
          <w:i/>
          <w:iCs/>
        </w:rPr>
        <w:t xml:space="preserve"> </w:t>
      </w:r>
      <w:r>
        <w:rPr>
          <w:rFonts w:cs="Calibri"/>
          <w:i/>
          <w:iCs/>
        </w:rPr>
        <w:t xml:space="preserve">Convention </w:t>
      </w:r>
      <w:r w:rsidRPr="00B74FBA">
        <w:rPr>
          <w:rFonts w:cs="Calibri"/>
          <w:i/>
          <w:iCs/>
        </w:rPr>
        <w:t>internationale en matière de prévention de la pollution du milieu marin par les navires</w:t>
      </w:r>
    </w:p>
    <w:p w14:paraId="51185571" w14:textId="77777777" w:rsidR="00CB712E" w:rsidRPr="00F8727A" w:rsidRDefault="00CB712E" w:rsidP="003D75C2">
      <w:pPr>
        <w:spacing w:after="0"/>
        <w:jc w:val="both"/>
        <w:rPr>
          <w:rFonts w:cs="Calibri"/>
        </w:rPr>
      </w:pPr>
      <w:proofErr w:type="gramStart"/>
      <w:r w:rsidRPr="00F8727A">
        <w:rPr>
          <w:rFonts w:cs="Calibri"/>
        </w:rPr>
        <w:t>MEDD:</w:t>
      </w:r>
      <w:proofErr w:type="gramEnd"/>
      <w:r w:rsidRPr="00F8727A">
        <w:rPr>
          <w:rFonts w:cs="Calibri"/>
        </w:rPr>
        <w:t xml:space="preserve"> </w:t>
      </w:r>
      <w:r>
        <w:rPr>
          <w:rFonts w:cs="Calibri"/>
        </w:rPr>
        <w:t>Ministère de l’Environnement et du Développement Durable</w:t>
      </w:r>
    </w:p>
    <w:p w14:paraId="2D92A6F8" w14:textId="77777777" w:rsidR="00CB712E" w:rsidRPr="00486B21" w:rsidRDefault="00CB712E" w:rsidP="003D75C2">
      <w:pPr>
        <w:spacing w:after="0"/>
        <w:jc w:val="both"/>
        <w:rPr>
          <w:rFonts w:cs="Calibri"/>
          <w:i/>
          <w:iCs/>
        </w:rPr>
      </w:pPr>
      <w:proofErr w:type="gramStart"/>
      <w:r w:rsidRPr="00486B21">
        <w:rPr>
          <w:rFonts w:cs="Calibri"/>
          <w:i/>
          <w:iCs/>
        </w:rPr>
        <w:t>MPEM:</w:t>
      </w:r>
      <w:proofErr w:type="gramEnd"/>
      <w:r>
        <w:rPr>
          <w:rFonts w:cs="Calibri"/>
          <w:i/>
          <w:iCs/>
        </w:rPr>
        <w:t xml:space="preserve"> Ministère des Pêches et de l’Economie Maritime</w:t>
      </w:r>
    </w:p>
    <w:p w14:paraId="6E1C468B" w14:textId="77777777" w:rsidR="00CB712E" w:rsidRPr="00F8727A" w:rsidRDefault="00CB712E" w:rsidP="003D75C2">
      <w:pPr>
        <w:spacing w:after="0"/>
        <w:jc w:val="both"/>
        <w:rPr>
          <w:rFonts w:cs="Calibri"/>
        </w:rPr>
      </w:pPr>
      <w:proofErr w:type="gramStart"/>
      <w:r w:rsidRPr="00F8727A">
        <w:rPr>
          <w:rFonts w:cs="Calibri"/>
        </w:rPr>
        <w:t>MPIMP:</w:t>
      </w:r>
      <w:proofErr w:type="gramEnd"/>
      <w:r w:rsidRPr="00F8727A">
        <w:rPr>
          <w:rFonts w:cs="Calibri"/>
        </w:rPr>
        <w:t xml:space="preserve"> Ministère des Pêches e</w:t>
      </w:r>
      <w:r>
        <w:rPr>
          <w:rFonts w:cs="Calibri"/>
        </w:rPr>
        <w:t>t des Infrastructures Maritimes et Portuaire</w:t>
      </w:r>
    </w:p>
    <w:p w14:paraId="4DCB2327" w14:textId="77777777" w:rsidR="00CB712E" w:rsidRPr="00486B21" w:rsidRDefault="00CB712E" w:rsidP="003D75C2">
      <w:pPr>
        <w:spacing w:after="0"/>
        <w:jc w:val="both"/>
        <w:rPr>
          <w:rFonts w:cs="Calibri"/>
        </w:rPr>
      </w:pPr>
      <w:r w:rsidRPr="00486B21">
        <w:rPr>
          <w:rFonts w:cs="Calibri"/>
        </w:rPr>
        <w:t xml:space="preserve">MRU : </w:t>
      </w:r>
      <w:r>
        <w:rPr>
          <w:rFonts w:cs="Calibri"/>
        </w:rPr>
        <w:t>Ouguiya, devise officielle de la Mauritanie depuis janvier 2018</w:t>
      </w:r>
    </w:p>
    <w:p w14:paraId="0510754D" w14:textId="77777777" w:rsidR="00CB712E" w:rsidRPr="003A5FA7" w:rsidRDefault="00CB712E" w:rsidP="003D75C2">
      <w:pPr>
        <w:spacing w:after="0"/>
        <w:jc w:val="both"/>
        <w:rPr>
          <w:rFonts w:cs="Calibri"/>
        </w:rPr>
      </w:pPr>
      <w:r w:rsidRPr="003A5FA7">
        <w:rPr>
          <w:rFonts w:cs="Calibri"/>
        </w:rPr>
        <w:t xml:space="preserve">MRV : Measurement, Reporting and </w:t>
      </w:r>
      <w:proofErr w:type="spellStart"/>
      <w:r w:rsidRPr="003A5FA7">
        <w:rPr>
          <w:rFonts w:cs="Calibri"/>
        </w:rPr>
        <w:t>Verification</w:t>
      </w:r>
      <w:proofErr w:type="spellEnd"/>
      <w:r w:rsidRPr="003A5FA7">
        <w:rPr>
          <w:rFonts w:cs="Calibri"/>
        </w:rPr>
        <w:t xml:space="preserve"> ou système de Mesure, Notification et Vérification</w:t>
      </w:r>
    </w:p>
    <w:p w14:paraId="6370AE30" w14:textId="77777777" w:rsidR="00CB712E" w:rsidRPr="00BD5F8A" w:rsidRDefault="00CB712E" w:rsidP="003D75C2">
      <w:pPr>
        <w:spacing w:after="0"/>
        <w:jc w:val="both"/>
        <w:rPr>
          <w:rFonts w:cs="Calibri"/>
        </w:rPr>
      </w:pPr>
      <w:r w:rsidRPr="00486B21">
        <w:rPr>
          <w:rFonts w:cs="Calibri"/>
        </w:rPr>
        <w:t>OMAOC :</w:t>
      </w:r>
      <w:r w:rsidRPr="00BD5F8A">
        <w:rPr>
          <w:rFonts w:ascii="Roboto" w:hAnsi="Roboto"/>
          <w:caps/>
          <w:color w:val="333333"/>
          <w:kern w:val="36"/>
          <w:sz w:val="54"/>
          <w:szCs w:val="54"/>
        </w:rPr>
        <w:t xml:space="preserve"> </w:t>
      </w:r>
      <w:r w:rsidRPr="00BD5F8A">
        <w:rPr>
          <w:rFonts w:cs="Calibri"/>
        </w:rPr>
        <w:t>O</w:t>
      </w:r>
      <w:r>
        <w:rPr>
          <w:rFonts w:cs="Calibri"/>
        </w:rPr>
        <w:t xml:space="preserve">rganisation </w:t>
      </w:r>
      <w:r w:rsidRPr="00BD5F8A">
        <w:rPr>
          <w:rFonts w:cs="Calibri"/>
        </w:rPr>
        <w:t>M</w:t>
      </w:r>
      <w:r>
        <w:rPr>
          <w:rFonts w:cs="Calibri"/>
        </w:rPr>
        <w:t>aritime de l</w:t>
      </w:r>
      <w:r w:rsidRPr="00BD5F8A">
        <w:rPr>
          <w:rFonts w:cs="Calibri"/>
        </w:rPr>
        <w:t>'A</w:t>
      </w:r>
      <w:r>
        <w:rPr>
          <w:rFonts w:cs="Calibri"/>
        </w:rPr>
        <w:t>frique de l’</w:t>
      </w:r>
      <w:r w:rsidRPr="00BD5F8A">
        <w:rPr>
          <w:rFonts w:cs="Calibri"/>
        </w:rPr>
        <w:t>O</w:t>
      </w:r>
      <w:r>
        <w:rPr>
          <w:rFonts w:cs="Calibri"/>
        </w:rPr>
        <w:t xml:space="preserve">uest et du </w:t>
      </w:r>
      <w:r w:rsidRPr="00BD5F8A">
        <w:rPr>
          <w:rFonts w:cs="Calibri"/>
        </w:rPr>
        <w:t>C</w:t>
      </w:r>
      <w:r>
        <w:rPr>
          <w:rFonts w:cs="Calibri"/>
        </w:rPr>
        <w:t>entre</w:t>
      </w:r>
    </w:p>
    <w:p w14:paraId="74D74F83" w14:textId="77777777" w:rsidR="00CB712E" w:rsidRPr="00F8727A" w:rsidRDefault="00CB712E" w:rsidP="003D75C2">
      <w:pPr>
        <w:spacing w:after="0"/>
        <w:jc w:val="both"/>
        <w:rPr>
          <w:rFonts w:cs="Calibri"/>
        </w:rPr>
      </w:pPr>
      <w:r w:rsidRPr="00F8727A">
        <w:rPr>
          <w:rFonts w:cs="Calibri"/>
        </w:rPr>
        <w:t>OMI : Organisation Maritime Internationale</w:t>
      </w:r>
    </w:p>
    <w:p w14:paraId="031239E6" w14:textId="77777777" w:rsidR="00CB712E" w:rsidRPr="00F8727A" w:rsidRDefault="00CB712E" w:rsidP="003D75C2">
      <w:pPr>
        <w:spacing w:after="0"/>
        <w:jc w:val="both"/>
        <w:rPr>
          <w:rFonts w:cs="Calibri"/>
        </w:rPr>
      </w:pPr>
      <w:r w:rsidRPr="00F8727A">
        <w:rPr>
          <w:rFonts w:cs="Calibri"/>
        </w:rPr>
        <w:t xml:space="preserve">ONG : </w:t>
      </w:r>
      <w:r>
        <w:rPr>
          <w:rFonts w:cs="Calibri"/>
        </w:rPr>
        <w:t>Organisation Non Gouvernementale</w:t>
      </w:r>
    </w:p>
    <w:p w14:paraId="6D43CFD8" w14:textId="77777777" w:rsidR="00CB712E" w:rsidRPr="00CB13B7" w:rsidRDefault="00CB712E" w:rsidP="003D75C2">
      <w:pPr>
        <w:spacing w:after="0"/>
        <w:jc w:val="both"/>
        <w:rPr>
          <w:rFonts w:cs="Calibri"/>
        </w:rPr>
      </w:pPr>
      <w:proofErr w:type="gramStart"/>
      <w:r w:rsidRPr="00CB13B7">
        <w:rPr>
          <w:rFonts w:cs="Calibri"/>
        </w:rPr>
        <w:t>ONISPA:</w:t>
      </w:r>
      <w:proofErr w:type="gramEnd"/>
      <w:r w:rsidRPr="00CB13B7">
        <w:rPr>
          <w:rFonts w:cs="Calibri"/>
        </w:rPr>
        <w:t xml:space="preserve"> </w:t>
      </w:r>
      <w:r>
        <w:rPr>
          <w:rFonts w:cs="Calibri"/>
        </w:rPr>
        <w:t xml:space="preserve">Office National d’Inspection Sanitaire des Produits de la pêche et de l’Aquaculture </w:t>
      </w:r>
    </w:p>
    <w:p w14:paraId="5D898083" w14:textId="77777777" w:rsidR="00CB712E" w:rsidRPr="00CB13B7" w:rsidRDefault="00CB712E" w:rsidP="003D75C2">
      <w:pPr>
        <w:spacing w:after="0"/>
        <w:jc w:val="both"/>
        <w:rPr>
          <w:rFonts w:cs="Calibri"/>
        </w:rPr>
      </w:pPr>
      <w:proofErr w:type="gramStart"/>
      <w:r w:rsidRPr="00CB13B7">
        <w:rPr>
          <w:rFonts w:cs="Calibri"/>
        </w:rPr>
        <w:t>PM;</w:t>
      </w:r>
      <w:proofErr w:type="gramEnd"/>
      <w:r w:rsidRPr="00CB13B7">
        <w:rPr>
          <w:rFonts w:cs="Calibri"/>
        </w:rPr>
        <w:t xml:space="preserve"> Primature</w:t>
      </w:r>
    </w:p>
    <w:p w14:paraId="7F1419D9" w14:textId="77777777" w:rsidR="00CB712E" w:rsidRPr="00CB13B7" w:rsidRDefault="00CB712E" w:rsidP="003D75C2">
      <w:pPr>
        <w:spacing w:after="0"/>
        <w:jc w:val="both"/>
        <w:rPr>
          <w:rFonts w:cs="Calibri"/>
        </w:rPr>
      </w:pPr>
      <w:r w:rsidRPr="00CB13B7">
        <w:rPr>
          <w:rFonts w:cs="Calibri"/>
        </w:rPr>
        <w:t>PNBA : Parc National du Banc d’</w:t>
      </w:r>
      <w:r>
        <w:rPr>
          <w:rFonts w:cs="Calibri"/>
        </w:rPr>
        <w:t>Arguin</w:t>
      </w:r>
    </w:p>
    <w:p w14:paraId="41308820" w14:textId="77777777" w:rsidR="00CB712E" w:rsidRPr="00CB13B7" w:rsidRDefault="00CB712E" w:rsidP="003D75C2">
      <w:pPr>
        <w:spacing w:after="0"/>
        <w:jc w:val="both"/>
        <w:rPr>
          <w:rFonts w:cs="Calibri"/>
        </w:rPr>
      </w:pPr>
      <w:r w:rsidRPr="00CB13B7">
        <w:rPr>
          <w:rFonts w:cs="Calibri"/>
        </w:rPr>
        <w:t>PND : Parc National de D</w:t>
      </w:r>
      <w:r>
        <w:rPr>
          <w:rFonts w:cs="Calibri"/>
        </w:rPr>
        <w:t>iawling</w:t>
      </w:r>
    </w:p>
    <w:p w14:paraId="7DE31BD9" w14:textId="77777777" w:rsidR="00CB712E" w:rsidRPr="00CB13B7" w:rsidRDefault="00CB712E" w:rsidP="003D75C2">
      <w:pPr>
        <w:spacing w:after="0"/>
        <w:jc w:val="both"/>
        <w:rPr>
          <w:rFonts w:cs="Calibri"/>
          <w:bCs/>
          <w:i/>
          <w:iCs/>
        </w:rPr>
      </w:pPr>
      <w:r w:rsidRPr="00CB13B7">
        <w:rPr>
          <w:rFonts w:cs="Calibri"/>
        </w:rPr>
        <w:t>PNUE </w:t>
      </w:r>
      <w:r w:rsidRPr="00CB13B7">
        <w:rPr>
          <w:rFonts w:cs="Calibri"/>
          <w:bCs/>
          <w:i/>
          <w:iCs/>
        </w:rPr>
        <w:t xml:space="preserve">: </w:t>
      </w:r>
      <w:r>
        <w:rPr>
          <w:rFonts w:cs="Calibri"/>
          <w:bCs/>
          <w:i/>
          <w:iCs/>
        </w:rPr>
        <w:t>Programme des Nations Unies pour l’Environnement</w:t>
      </w:r>
    </w:p>
    <w:p w14:paraId="0CB04713" w14:textId="77777777" w:rsidR="00CB712E" w:rsidRPr="00CB13B7" w:rsidRDefault="00CB712E" w:rsidP="003D75C2">
      <w:pPr>
        <w:spacing w:after="0"/>
        <w:jc w:val="both"/>
        <w:rPr>
          <w:rFonts w:cs="Calibri"/>
        </w:rPr>
      </w:pPr>
      <w:proofErr w:type="gramStart"/>
      <w:r w:rsidRPr="00CB13B7">
        <w:rPr>
          <w:rFonts w:cs="Calibri"/>
          <w:bCs/>
          <w:i/>
          <w:iCs/>
        </w:rPr>
        <w:t>SMCP:</w:t>
      </w:r>
      <w:proofErr w:type="gramEnd"/>
      <w:r w:rsidRPr="00CB13B7">
        <w:rPr>
          <w:rFonts w:cs="Calibri"/>
          <w:bCs/>
          <w:i/>
          <w:iCs/>
        </w:rPr>
        <w:t xml:space="preserve"> Société Mauritanienne de Commercialisation de poisson</w:t>
      </w:r>
    </w:p>
    <w:p w14:paraId="61A36576" w14:textId="77777777" w:rsidR="00CB712E" w:rsidRPr="00CB13B7" w:rsidRDefault="00CB712E" w:rsidP="003D75C2">
      <w:pPr>
        <w:spacing w:after="0"/>
        <w:jc w:val="both"/>
        <w:rPr>
          <w:rFonts w:cs="Calibri"/>
        </w:rPr>
      </w:pPr>
      <w:proofErr w:type="gramStart"/>
      <w:r w:rsidRPr="00CB13B7">
        <w:rPr>
          <w:rFonts w:cs="Calibri"/>
          <w:bCs/>
        </w:rPr>
        <w:t>TAC:</w:t>
      </w:r>
      <w:proofErr w:type="gramEnd"/>
      <w:r w:rsidRPr="00CB13B7">
        <w:rPr>
          <w:rFonts w:cs="Calibri"/>
          <w:bCs/>
        </w:rPr>
        <w:t xml:space="preserve"> Taux Autorisé</w:t>
      </w:r>
      <w:r>
        <w:rPr>
          <w:rFonts w:cs="Calibri"/>
          <w:bCs/>
        </w:rPr>
        <w:t xml:space="preserve"> </w:t>
      </w:r>
      <w:r w:rsidRPr="00CB13B7">
        <w:rPr>
          <w:rFonts w:cs="Calibri"/>
          <w:bCs/>
        </w:rPr>
        <w:t>de C</w:t>
      </w:r>
      <w:r>
        <w:rPr>
          <w:rFonts w:cs="Calibri"/>
          <w:bCs/>
        </w:rPr>
        <w:t>aptures</w:t>
      </w:r>
    </w:p>
    <w:p w14:paraId="54785D99" w14:textId="77777777" w:rsidR="00CB712E" w:rsidRPr="00CB13B7" w:rsidRDefault="00CB712E" w:rsidP="003D75C2">
      <w:pPr>
        <w:spacing w:after="0"/>
        <w:jc w:val="both"/>
        <w:rPr>
          <w:rFonts w:cs="Calibri"/>
        </w:rPr>
      </w:pPr>
      <w:proofErr w:type="gramStart"/>
      <w:r w:rsidRPr="00CB13B7">
        <w:rPr>
          <w:rFonts w:cs="Calibri"/>
        </w:rPr>
        <w:t>TDRs:</w:t>
      </w:r>
      <w:proofErr w:type="gramEnd"/>
      <w:r>
        <w:rPr>
          <w:rFonts w:cs="Calibri"/>
        </w:rPr>
        <w:t xml:space="preserve"> Termes De Références</w:t>
      </w:r>
    </w:p>
    <w:p w14:paraId="28AB887B" w14:textId="77777777" w:rsidR="00CB712E" w:rsidRPr="00CB13B7" w:rsidRDefault="00CB712E" w:rsidP="003D75C2">
      <w:pPr>
        <w:spacing w:after="0"/>
        <w:jc w:val="both"/>
        <w:rPr>
          <w:rFonts w:cs="Calibri"/>
        </w:rPr>
      </w:pPr>
      <w:r w:rsidRPr="00CB13B7">
        <w:rPr>
          <w:rFonts w:cs="Calibri"/>
        </w:rPr>
        <w:t>UCP :</w:t>
      </w:r>
      <w:r>
        <w:rPr>
          <w:rFonts w:cs="Calibri"/>
        </w:rPr>
        <w:t xml:space="preserve"> Unité de Coordination de Projet</w:t>
      </w:r>
    </w:p>
    <w:p w14:paraId="579F9E9D" w14:textId="77777777" w:rsidR="00CB712E" w:rsidRPr="00CB13B7" w:rsidRDefault="00CB712E" w:rsidP="003D75C2">
      <w:pPr>
        <w:spacing w:after="0"/>
        <w:jc w:val="both"/>
        <w:rPr>
          <w:rFonts w:cs="Calibri"/>
        </w:rPr>
      </w:pPr>
      <w:proofErr w:type="gramStart"/>
      <w:r w:rsidRPr="00CB13B7">
        <w:rPr>
          <w:rFonts w:cs="Calibri"/>
        </w:rPr>
        <w:t>UICN:</w:t>
      </w:r>
      <w:proofErr w:type="gramEnd"/>
      <w:r w:rsidRPr="00CB13B7">
        <w:rPr>
          <w:rFonts w:cs="Calibri"/>
        </w:rPr>
        <w:t xml:space="preserve"> Union Internationale pour la Conservation de la Nature </w:t>
      </w:r>
    </w:p>
    <w:p w14:paraId="2194D543" w14:textId="77777777" w:rsidR="00CB712E" w:rsidRPr="003C620C" w:rsidRDefault="00CB712E" w:rsidP="003D75C2">
      <w:pPr>
        <w:spacing w:after="0"/>
        <w:jc w:val="both"/>
        <w:rPr>
          <w:rFonts w:cs="Calibri"/>
        </w:rPr>
      </w:pPr>
      <w:r w:rsidRPr="003C620C">
        <w:rPr>
          <w:rFonts w:cs="Calibri"/>
        </w:rPr>
        <w:t>ZEE :</w:t>
      </w:r>
      <w:r>
        <w:rPr>
          <w:rFonts w:cs="Calibri"/>
        </w:rPr>
        <w:t xml:space="preserve"> Zone Economique Exclusive</w:t>
      </w:r>
    </w:p>
    <w:p w14:paraId="65C63837" w14:textId="77777777" w:rsidR="00CB712E" w:rsidRPr="003C620C" w:rsidRDefault="00CB712E" w:rsidP="003D75C2">
      <w:pPr>
        <w:spacing w:after="0"/>
        <w:jc w:val="both"/>
        <w:rPr>
          <w:rFonts w:cs="Calibri"/>
        </w:rPr>
      </w:pPr>
      <w:r w:rsidRPr="003C620C">
        <w:rPr>
          <w:rFonts w:cs="Calibri"/>
        </w:rPr>
        <w:t>ZEEM :</w:t>
      </w:r>
      <w:r>
        <w:rPr>
          <w:rFonts w:cs="Calibri"/>
        </w:rPr>
        <w:t xml:space="preserve"> Zone Economique Exclusive Mauritanienne</w:t>
      </w:r>
    </w:p>
    <w:p w14:paraId="00677DC3" w14:textId="77777777" w:rsidR="00CB712E" w:rsidRPr="003C620C" w:rsidRDefault="00CB712E" w:rsidP="003D75C2">
      <w:pPr>
        <w:spacing w:after="0"/>
        <w:jc w:val="both"/>
        <w:rPr>
          <w:rFonts w:cs="Calibri"/>
        </w:rPr>
      </w:pPr>
      <w:r w:rsidRPr="003C620C">
        <w:rPr>
          <w:rFonts w:cs="Calibri"/>
        </w:rPr>
        <w:t>ZICO :</w:t>
      </w:r>
      <w:r>
        <w:rPr>
          <w:rFonts w:cs="Calibri"/>
        </w:rPr>
        <w:t xml:space="preserve"> Zone Importante pour la Conservation des Oiseaux</w:t>
      </w:r>
    </w:p>
    <w:p w14:paraId="1D5D7D93" w14:textId="77777777" w:rsidR="002F21C0" w:rsidRPr="003D75C2" w:rsidRDefault="002F21C0" w:rsidP="00CB712E">
      <w:pPr>
        <w:rPr>
          <w:rFonts w:cs="Calibri"/>
          <w:b/>
          <w:bCs/>
          <w:sz w:val="8"/>
          <w:szCs w:val="8"/>
        </w:rPr>
      </w:pPr>
    </w:p>
    <w:p w14:paraId="1D5044E9" w14:textId="75A38620" w:rsidR="00CB712E" w:rsidRPr="000925B3" w:rsidRDefault="00CB712E" w:rsidP="00CB712E">
      <w:pPr>
        <w:rPr>
          <w:rFonts w:cs="Calibri"/>
          <w:b/>
          <w:bCs/>
        </w:rPr>
      </w:pPr>
      <w:r w:rsidRPr="000925B3">
        <w:rPr>
          <w:rFonts w:cs="Calibri"/>
          <w:b/>
          <w:bCs/>
        </w:rPr>
        <w:t>INTRODUCTION</w:t>
      </w:r>
    </w:p>
    <w:p w14:paraId="0F16CECE" w14:textId="77777777" w:rsidR="00CB712E" w:rsidRPr="000925B3" w:rsidRDefault="00CB712E" w:rsidP="00CB712E">
      <w:pPr>
        <w:pStyle w:val="Sansinterligne"/>
        <w:jc w:val="both"/>
        <w:rPr>
          <w:rFonts w:cs="Calibri"/>
        </w:rPr>
      </w:pPr>
      <w:bookmarkStart w:id="214" w:name="_Hlk177849043"/>
      <w:r w:rsidRPr="000925B3">
        <w:rPr>
          <w:rFonts w:cs="Calibri"/>
          <w:lang w:eastAsia="fr-FR"/>
        </w:rPr>
        <w:t xml:space="preserve">Conformément à ses termes de références (TDRs), la présente consultation a pour objectif général l’élaboration de la contribution du secteur des pêches à la </w:t>
      </w:r>
      <w:r>
        <w:rPr>
          <w:rFonts w:cs="Calibri"/>
          <w:lang w:eastAsia="fr-FR"/>
        </w:rPr>
        <w:t>C</w:t>
      </w:r>
      <w:r w:rsidRPr="000925B3">
        <w:rPr>
          <w:rFonts w:cs="Calibri"/>
          <w:lang w:eastAsia="fr-FR"/>
        </w:rPr>
        <w:t>inquième Communication Nationale (CN</w:t>
      </w:r>
      <w:r>
        <w:rPr>
          <w:rFonts w:cs="Calibri"/>
          <w:lang w:eastAsia="fr-FR"/>
        </w:rPr>
        <w:t>5</w:t>
      </w:r>
      <w:r w:rsidRPr="000925B3">
        <w:rPr>
          <w:rFonts w:cs="Calibri"/>
          <w:lang w:eastAsia="fr-FR"/>
        </w:rPr>
        <w:t>). Il s’agit d’effectuer un réel diagnostic détaillé du secteur pour faire ressortir son degré actuel de vulnérabilité aux effets du changement climatique et d’en déduire des mesures et actions d’adaptation pour augmenter sa résilience afin d’optimiser et de pérenniser les services qu’offrent ses écosystèmes marins, côtiers et continentaux.</w:t>
      </w:r>
    </w:p>
    <w:p w14:paraId="790878F1" w14:textId="77777777" w:rsidR="00CB712E" w:rsidRPr="000925B3" w:rsidRDefault="00CB712E" w:rsidP="00CB712E">
      <w:pPr>
        <w:autoSpaceDE w:val="0"/>
        <w:jc w:val="both"/>
        <w:rPr>
          <w:rFonts w:cs="Calibri"/>
        </w:rPr>
      </w:pPr>
    </w:p>
    <w:p w14:paraId="5514BA06" w14:textId="77777777" w:rsidR="00CB712E" w:rsidRPr="000925B3" w:rsidRDefault="00CB712E" w:rsidP="00CB712E">
      <w:pPr>
        <w:autoSpaceDE w:val="0"/>
        <w:jc w:val="both"/>
        <w:rPr>
          <w:rFonts w:cs="Calibri"/>
        </w:rPr>
      </w:pPr>
      <w:r w:rsidRPr="000925B3">
        <w:rPr>
          <w:rFonts w:cs="Calibri"/>
        </w:rPr>
        <w:t xml:space="preserve">Cette tâche est exécutée suivant les dispositions du Guide et des Directives de la CCNUCC relatives à l’établissement des communications nationales des Parties non visées à l’annexe I dont les principaux objectifs sont : </w:t>
      </w:r>
      <w:bookmarkEnd w:id="214"/>
      <w:r w:rsidRPr="000925B3">
        <w:rPr>
          <w:rFonts w:cs="Calibri"/>
        </w:rPr>
        <w:t>(i) aider les Parties non visées à l’annexe I à communiquer les informations requises au titre de la Convention; (ii) encourager la présentation de ces informations d’une manière logique, transparente, comparable et flexible, (iii) faciliter la présentation d’information sur le soutien requis pour la préparation des communications nationales, (iv) servir d’orientation politique pour l’entité opérationnelle du mécanisme financier de la Convention pour fournir, en temps voulu, l’appui financier dont ont besoin les Parties non visées à l’annexe I afin de satisfaire à leurs obligations de communication des informations et enfin, (v) s’assurer que la Conférence des Parties possède assez d’informations pour mener à bien son rôle d’évaluation de la mise en œuvre de la Convention par les Parties.</w:t>
      </w:r>
    </w:p>
    <w:p w14:paraId="5AF3522D" w14:textId="77777777" w:rsidR="00CB712E" w:rsidRPr="000925B3" w:rsidRDefault="00CB712E" w:rsidP="00CB712E">
      <w:pPr>
        <w:jc w:val="both"/>
        <w:rPr>
          <w:rFonts w:cs="Calibri"/>
        </w:rPr>
      </w:pPr>
      <w:r w:rsidRPr="000925B3">
        <w:rPr>
          <w:rFonts w:cs="Calibri"/>
        </w:rPr>
        <w:t xml:space="preserve">L’analyse de ces objectifs, montre qu’ils constituent d’une part, une réponse aux défis auxquels font face, depuis l’adoption des CPDN et CDN initiales, les Parties de la CCNUCC et de l’autre, un catalyseur pour les Parties quant à œuvrer constamment pour améliorer la qualité des instruments et documents stratégiques de la Convention et en assurer une mise en œuvre plus efficace et plus efficiente, notamment en ce qui est des </w:t>
      </w:r>
      <w:r w:rsidRPr="00AD0BC2">
        <w:rPr>
          <w:rFonts w:cs="Calibri"/>
        </w:rPr>
        <w:t>C</w:t>
      </w:r>
      <w:r w:rsidRPr="000925B3">
        <w:rPr>
          <w:rFonts w:cs="Calibri"/>
        </w:rPr>
        <w:t xml:space="preserve">ommunications </w:t>
      </w:r>
      <w:r w:rsidRPr="00AD0BC2">
        <w:rPr>
          <w:rFonts w:cs="Calibri"/>
        </w:rPr>
        <w:t>N</w:t>
      </w:r>
      <w:r w:rsidRPr="000925B3">
        <w:rPr>
          <w:rFonts w:cs="Calibri"/>
        </w:rPr>
        <w:t>ationales (CN).</w:t>
      </w:r>
      <w:r w:rsidRPr="000925B3">
        <w:rPr>
          <w:rFonts w:cs="Calibri"/>
          <w:color w:val="FF0000"/>
        </w:rPr>
        <w:t xml:space="preserve"> </w:t>
      </w:r>
    </w:p>
    <w:p w14:paraId="43A46BED" w14:textId="77777777" w:rsidR="00CB712E" w:rsidRPr="00434CD5" w:rsidRDefault="00CB712E" w:rsidP="00CB712E">
      <w:pPr>
        <w:jc w:val="both"/>
        <w:rPr>
          <w:rFonts w:cs="Calibri"/>
          <w:sz w:val="4"/>
          <w:szCs w:val="4"/>
        </w:rPr>
      </w:pPr>
    </w:p>
    <w:p w14:paraId="15CD4C4D" w14:textId="77777777" w:rsidR="00CB712E" w:rsidRDefault="00CB712E" w:rsidP="00CB712E">
      <w:pPr>
        <w:jc w:val="both"/>
        <w:rPr>
          <w:rFonts w:cs="Calibri"/>
        </w:rPr>
      </w:pPr>
      <w:r w:rsidRPr="000925B3">
        <w:rPr>
          <w:rFonts w:cs="Calibri"/>
        </w:rPr>
        <w:t xml:space="preserve">Le ministère des Pêches et des </w:t>
      </w:r>
      <w:r>
        <w:rPr>
          <w:rFonts w:cs="Calibri"/>
        </w:rPr>
        <w:t>I</w:t>
      </w:r>
      <w:r w:rsidRPr="000925B3">
        <w:rPr>
          <w:rFonts w:cs="Calibri"/>
        </w:rPr>
        <w:t>nfrastructures Maritimes et Portuaires (MPI</w:t>
      </w:r>
      <w:r>
        <w:rPr>
          <w:rFonts w:cs="Calibri"/>
        </w:rPr>
        <w:t>M</w:t>
      </w:r>
      <w:r w:rsidRPr="000925B3">
        <w:rPr>
          <w:rFonts w:cs="Calibri"/>
        </w:rPr>
        <w:t>P), ex-ministère des Pêches et de l’Economie Maritime,</w:t>
      </w:r>
      <w:r w:rsidRPr="000925B3">
        <w:rPr>
          <w:rFonts w:cs="Calibri"/>
          <w:b/>
          <w:bCs/>
        </w:rPr>
        <w:t xml:space="preserve"> </w:t>
      </w:r>
      <w:r w:rsidRPr="000925B3">
        <w:rPr>
          <w:rFonts w:cs="Calibri"/>
        </w:rPr>
        <w:t xml:space="preserve">tient compte de ce qui précède pour que sa contribution à la </w:t>
      </w:r>
      <w:r w:rsidRPr="00417BC6">
        <w:rPr>
          <w:rFonts w:cs="Calibri"/>
        </w:rPr>
        <w:t>5</w:t>
      </w:r>
      <w:r w:rsidRPr="00417BC6">
        <w:rPr>
          <w:rFonts w:cs="Calibri"/>
          <w:vertAlign w:val="superscript"/>
        </w:rPr>
        <w:t>ème</w:t>
      </w:r>
      <w:r>
        <w:rPr>
          <w:rFonts w:cs="Calibri"/>
          <w:color w:val="FF0000"/>
        </w:rPr>
        <w:t xml:space="preserve"> </w:t>
      </w:r>
      <w:r w:rsidRPr="000925B3">
        <w:rPr>
          <w:rFonts w:cs="Calibri"/>
        </w:rPr>
        <w:t>CN comprenne les informations et les données les plus récentes et les plus fiables sur le secteur, notamment en ce qui concerne sa vulnérabilité au changement climatique et les menaces</w:t>
      </w:r>
      <w:r>
        <w:rPr>
          <w:rFonts w:cs="Calibri"/>
        </w:rPr>
        <w:t xml:space="preserve"> que constituent l’impact des aléas climatiques </w:t>
      </w:r>
      <w:r w:rsidRPr="000925B3">
        <w:rPr>
          <w:rFonts w:cs="Calibri"/>
        </w:rPr>
        <w:t>auxquels</w:t>
      </w:r>
      <w:r>
        <w:rPr>
          <w:rFonts w:cs="Calibri"/>
        </w:rPr>
        <w:t xml:space="preserve"> le secteur est </w:t>
      </w:r>
      <w:r w:rsidRPr="000925B3">
        <w:rPr>
          <w:rFonts w:cs="Calibri"/>
        </w:rPr>
        <w:t>de plus en plus exposé</w:t>
      </w:r>
      <w:r>
        <w:rPr>
          <w:rFonts w:cs="Calibri"/>
        </w:rPr>
        <w:t>.</w:t>
      </w:r>
    </w:p>
    <w:p w14:paraId="7FF4DA58" w14:textId="77777777" w:rsidR="00CB712E" w:rsidRPr="00434CD5" w:rsidRDefault="00CB712E" w:rsidP="00CB712E">
      <w:pPr>
        <w:jc w:val="both"/>
        <w:rPr>
          <w:rFonts w:cs="Calibri"/>
          <w:sz w:val="2"/>
          <w:szCs w:val="2"/>
        </w:rPr>
      </w:pPr>
    </w:p>
    <w:p w14:paraId="6F6960E5" w14:textId="77777777" w:rsidR="00CB712E" w:rsidRPr="000925B3" w:rsidRDefault="00CB712E" w:rsidP="00CB712E">
      <w:pPr>
        <w:jc w:val="both"/>
        <w:rPr>
          <w:rFonts w:cs="Calibri"/>
        </w:rPr>
      </w:pPr>
      <w:r w:rsidRPr="000925B3">
        <w:rPr>
          <w:rFonts w:cs="Calibri"/>
        </w:rPr>
        <w:t xml:space="preserve">Cette contribution, représente un reporting sur </w:t>
      </w:r>
      <w:r>
        <w:rPr>
          <w:rFonts w:cs="Calibri"/>
        </w:rPr>
        <w:t>l’évaluation de la vulnérabilité du sous-secteur des pêches maritimes au titre de la Cinquième Communication Nationale (CN5) pour la période 2022-2030</w:t>
      </w:r>
      <w:r w:rsidRPr="000925B3">
        <w:rPr>
          <w:rFonts w:cs="Calibri"/>
        </w:rPr>
        <w:t xml:space="preserve">. </w:t>
      </w:r>
      <w:r>
        <w:rPr>
          <w:rFonts w:cs="Calibri"/>
        </w:rPr>
        <w:t>En conséquence, c</w:t>
      </w:r>
      <w:r w:rsidRPr="000925B3">
        <w:rPr>
          <w:rFonts w:cs="Calibri"/>
        </w:rPr>
        <w:t>e reporting</w:t>
      </w:r>
      <w:r>
        <w:rPr>
          <w:rFonts w:cs="Calibri"/>
        </w:rPr>
        <w:t xml:space="preserve"> met l’accent sur la description de la </w:t>
      </w:r>
      <w:r w:rsidRPr="000925B3">
        <w:rPr>
          <w:rFonts w:cs="Calibri"/>
        </w:rPr>
        <w:t>problématique pêche-changement</w:t>
      </w:r>
      <w:r>
        <w:rPr>
          <w:rFonts w:cs="Calibri"/>
        </w:rPr>
        <w:t xml:space="preserve"> et de la situation actuelle des pêches maritimes</w:t>
      </w:r>
      <w:r w:rsidRPr="000925B3">
        <w:rPr>
          <w:rFonts w:cs="Calibri"/>
        </w:rPr>
        <w:t xml:space="preserve"> </w:t>
      </w:r>
      <w:r>
        <w:rPr>
          <w:rFonts w:cs="Calibri"/>
        </w:rPr>
        <w:t xml:space="preserve">ainsi que sur l’identification </w:t>
      </w:r>
      <w:r w:rsidRPr="000925B3">
        <w:rPr>
          <w:rFonts w:cs="Calibri"/>
        </w:rPr>
        <w:t xml:space="preserve">de nouvelles </w:t>
      </w:r>
      <w:r>
        <w:rPr>
          <w:rFonts w:cs="Calibri"/>
        </w:rPr>
        <w:t xml:space="preserve">mesures et </w:t>
      </w:r>
      <w:r w:rsidRPr="000925B3">
        <w:rPr>
          <w:rFonts w:cs="Calibri"/>
        </w:rPr>
        <w:t xml:space="preserve">actions </w:t>
      </w:r>
      <w:r>
        <w:rPr>
          <w:rFonts w:cs="Calibri"/>
        </w:rPr>
        <w:t xml:space="preserve">à </w:t>
      </w:r>
      <w:r w:rsidRPr="000925B3">
        <w:rPr>
          <w:rFonts w:cs="Calibri"/>
        </w:rPr>
        <w:t>inscri</w:t>
      </w:r>
      <w:r>
        <w:rPr>
          <w:rFonts w:cs="Calibri"/>
        </w:rPr>
        <w:t xml:space="preserve">re dans cette contribution pour les années à venir. Il </w:t>
      </w:r>
      <w:r w:rsidRPr="000925B3">
        <w:rPr>
          <w:rFonts w:cs="Calibri"/>
        </w:rPr>
        <w:t>inclut également les besoins nécessaires pour surmonter les lacunes et contraintes rencontrées ces dernières 5 années et assurer une meilleure réalisation, demain, des actions nouvellement programmées pour la période 2022-2030.</w:t>
      </w:r>
    </w:p>
    <w:p w14:paraId="38B72601" w14:textId="77777777" w:rsidR="00CB712E" w:rsidRPr="00434CD5" w:rsidRDefault="00CB712E" w:rsidP="00CB712E">
      <w:pPr>
        <w:jc w:val="both"/>
        <w:rPr>
          <w:rFonts w:cs="Calibri"/>
          <w:sz w:val="2"/>
          <w:szCs w:val="2"/>
        </w:rPr>
      </w:pPr>
    </w:p>
    <w:p w14:paraId="6539D518" w14:textId="77777777" w:rsidR="00CB712E" w:rsidRPr="000925B3" w:rsidRDefault="00CB712E" w:rsidP="00CB712E">
      <w:pPr>
        <w:jc w:val="both"/>
        <w:rPr>
          <w:rFonts w:cs="Calibri"/>
        </w:rPr>
      </w:pPr>
      <w:r w:rsidRPr="000925B3">
        <w:rPr>
          <w:rFonts w:cs="Calibri"/>
        </w:rPr>
        <w:t xml:space="preserve">D’autre part, il est aussi à souligner que ce reporting se limite </w:t>
      </w:r>
      <w:r w:rsidRPr="00AD0BC2">
        <w:rPr>
          <w:rFonts w:cs="Calibri"/>
        </w:rPr>
        <w:t>uniquement</w:t>
      </w:r>
      <w:r>
        <w:rPr>
          <w:rFonts w:cs="Calibri"/>
        </w:rPr>
        <w:t xml:space="preserve"> </w:t>
      </w:r>
      <w:r w:rsidRPr="000925B3">
        <w:rPr>
          <w:rFonts w:cs="Calibri"/>
        </w:rPr>
        <w:t>au volet adaptation au changement climatique puisque le secteur des pêches n’est encore directement concerné par l’atténuation qu’en ce qui est de certains aspects dont les plus importants sont pris en charge ailleurs dans l’inventaire des GES.</w:t>
      </w:r>
    </w:p>
    <w:p w14:paraId="7B8DE5A4" w14:textId="77777777" w:rsidR="00CB712E" w:rsidRPr="000925B3" w:rsidRDefault="00CB712E" w:rsidP="00CB712E">
      <w:pPr>
        <w:jc w:val="both"/>
        <w:rPr>
          <w:rFonts w:cs="Calibri"/>
        </w:rPr>
      </w:pPr>
      <w:r w:rsidRPr="000925B3">
        <w:rPr>
          <w:rFonts w:cs="Calibri"/>
        </w:rPr>
        <w:t xml:space="preserve">Sur le plan structurel, le présent rapport sur la préparation de la contribution </w:t>
      </w:r>
      <w:r w:rsidRPr="00AD0BC2">
        <w:rPr>
          <w:rFonts w:cs="Calibri"/>
        </w:rPr>
        <w:t xml:space="preserve">du sous-secteur des pêches maritimes </w:t>
      </w:r>
      <w:r w:rsidRPr="000925B3">
        <w:rPr>
          <w:rFonts w:cs="Calibri"/>
        </w:rPr>
        <w:t>à la 5CN, s’articule autour des principales parties suivantes :</w:t>
      </w:r>
      <w:r w:rsidRPr="000925B3">
        <w:rPr>
          <w:rFonts w:cs="Calibri"/>
          <w:color w:val="FF0000"/>
        </w:rPr>
        <w:t xml:space="preserve"> </w:t>
      </w:r>
    </w:p>
    <w:p w14:paraId="0DAFB559" w14:textId="77777777" w:rsidR="00CB712E" w:rsidRPr="000925B3" w:rsidRDefault="00CB712E" w:rsidP="00CB712E">
      <w:pPr>
        <w:pStyle w:val="Paragraphedeliste"/>
        <w:numPr>
          <w:ilvl w:val="0"/>
          <w:numId w:val="258"/>
        </w:numPr>
        <w:autoSpaceDN w:val="0"/>
        <w:spacing w:after="0" w:line="240" w:lineRule="auto"/>
        <w:contextualSpacing w:val="0"/>
        <w:jc w:val="both"/>
        <w:rPr>
          <w:rFonts w:cs="Calibri"/>
        </w:rPr>
      </w:pPr>
      <w:r w:rsidRPr="000925B3">
        <w:rPr>
          <w:rFonts w:cs="Calibri"/>
        </w:rPr>
        <w:t>Approche méthodologique ;</w:t>
      </w:r>
    </w:p>
    <w:p w14:paraId="28CCD90C" w14:textId="77777777" w:rsidR="00CB712E" w:rsidRPr="000925B3" w:rsidRDefault="00CB712E" w:rsidP="00CB712E">
      <w:pPr>
        <w:pStyle w:val="Paragraphedeliste"/>
        <w:numPr>
          <w:ilvl w:val="0"/>
          <w:numId w:val="258"/>
        </w:numPr>
        <w:suppressAutoHyphens/>
        <w:autoSpaceDN w:val="0"/>
        <w:spacing w:after="0" w:line="240" w:lineRule="auto"/>
        <w:jc w:val="both"/>
        <w:rPr>
          <w:rFonts w:cs="Calibri"/>
        </w:rPr>
      </w:pPr>
      <w:r w:rsidRPr="000925B3">
        <w:rPr>
          <w:rFonts w:cs="Calibri"/>
        </w:rPr>
        <w:t xml:space="preserve">Description de la vulnérabilité au changement climatique du </w:t>
      </w:r>
      <w:r w:rsidRPr="00AD0BC2">
        <w:rPr>
          <w:rFonts w:cs="Calibri"/>
        </w:rPr>
        <w:t xml:space="preserve">sous-secteur </w:t>
      </w:r>
      <w:r w:rsidRPr="000925B3">
        <w:rPr>
          <w:rFonts w:cs="Calibri"/>
        </w:rPr>
        <w:t>de la pêche maritime ;</w:t>
      </w:r>
    </w:p>
    <w:p w14:paraId="55AF604C" w14:textId="77777777" w:rsidR="00CB712E" w:rsidRPr="000925B3" w:rsidRDefault="00CB712E" w:rsidP="00CB712E">
      <w:pPr>
        <w:pStyle w:val="Paragraphedeliste"/>
        <w:numPr>
          <w:ilvl w:val="0"/>
          <w:numId w:val="258"/>
        </w:numPr>
        <w:autoSpaceDN w:val="0"/>
        <w:spacing w:after="0" w:line="240" w:lineRule="auto"/>
        <w:contextualSpacing w:val="0"/>
        <w:jc w:val="both"/>
        <w:rPr>
          <w:rFonts w:cs="Calibri"/>
        </w:rPr>
      </w:pPr>
      <w:r w:rsidRPr="000925B3">
        <w:rPr>
          <w:rFonts w:cs="Calibri"/>
        </w:rPr>
        <w:t xml:space="preserve">Présentation de la situation actuelle du </w:t>
      </w:r>
      <w:r>
        <w:rPr>
          <w:rFonts w:cs="Calibri"/>
        </w:rPr>
        <w:t>sous-</w:t>
      </w:r>
      <w:r w:rsidRPr="000925B3">
        <w:rPr>
          <w:rFonts w:cs="Calibri"/>
        </w:rPr>
        <w:t>secteur des pêches maritimes ;</w:t>
      </w:r>
    </w:p>
    <w:p w14:paraId="440E33A1" w14:textId="77777777" w:rsidR="00CB712E" w:rsidRPr="000925B3" w:rsidRDefault="00CB712E" w:rsidP="00CB712E">
      <w:pPr>
        <w:pStyle w:val="Paragraphedeliste"/>
        <w:numPr>
          <w:ilvl w:val="0"/>
          <w:numId w:val="258"/>
        </w:numPr>
        <w:suppressAutoHyphens/>
        <w:autoSpaceDN w:val="0"/>
        <w:spacing w:after="0" w:line="240" w:lineRule="auto"/>
        <w:jc w:val="both"/>
        <w:rPr>
          <w:rFonts w:cs="Calibri"/>
        </w:rPr>
      </w:pPr>
      <w:r w:rsidRPr="000925B3">
        <w:rPr>
          <w:rFonts w:cs="Calibri"/>
        </w:rPr>
        <w:t>Identification d</w:t>
      </w:r>
      <w:r>
        <w:rPr>
          <w:rFonts w:cs="Calibri"/>
        </w:rPr>
        <w:t xml:space="preserve">e mesures et </w:t>
      </w:r>
      <w:r w:rsidRPr="000925B3">
        <w:rPr>
          <w:rFonts w:cs="Calibri"/>
        </w:rPr>
        <w:t>actions d’adaptation au changement climatique pour le sous-secteur maritime.</w:t>
      </w:r>
    </w:p>
    <w:p w14:paraId="6FDF702B" w14:textId="77777777" w:rsidR="00CB712E" w:rsidRPr="000925B3" w:rsidRDefault="00CB712E" w:rsidP="00CB712E">
      <w:pPr>
        <w:pStyle w:val="Paragraphedeliste"/>
        <w:numPr>
          <w:ilvl w:val="0"/>
          <w:numId w:val="258"/>
        </w:numPr>
        <w:autoSpaceDN w:val="0"/>
        <w:spacing w:after="0" w:line="240" w:lineRule="auto"/>
        <w:contextualSpacing w:val="0"/>
        <w:jc w:val="both"/>
        <w:rPr>
          <w:rFonts w:cs="Calibri"/>
        </w:rPr>
      </w:pPr>
      <w:r w:rsidRPr="000925B3">
        <w:rPr>
          <w:rFonts w:cs="Calibri"/>
        </w:rPr>
        <w:t>Conclusions et recommandations ;</w:t>
      </w:r>
      <w:r>
        <w:rPr>
          <w:rFonts w:cs="Calibri"/>
        </w:rPr>
        <w:t xml:space="preserve"> </w:t>
      </w:r>
    </w:p>
    <w:p w14:paraId="69DF02CD" w14:textId="77777777" w:rsidR="00CB712E" w:rsidRPr="000925B3" w:rsidRDefault="00CB712E" w:rsidP="00CB712E">
      <w:pPr>
        <w:pStyle w:val="Paragraphedeliste"/>
        <w:numPr>
          <w:ilvl w:val="0"/>
          <w:numId w:val="258"/>
        </w:numPr>
        <w:autoSpaceDN w:val="0"/>
        <w:spacing w:after="0" w:line="240" w:lineRule="auto"/>
        <w:contextualSpacing w:val="0"/>
        <w:jc w:val="both"/>
        <w:rPr>
          <w:rFonts w:cs="Calibri"/>
        </w:rPr>
      </w:pPr>
      <w:r w:rsidRPr="000925B3">
        <w:rPr>
          <w:rFonts w:cs="Calibri"/>
        </w:rPr>
        <w:t xml:space="preserve">Annexes. </w:t>
      </w:r>
    </w:p>
    <w:p w14:paraId="2B7B62F1" w14:textId="77777777" w:rsidR="00CB712E" w:rsidRPr="000925B3" w:rsidRDefault="00CB712E" w:rsidP="00CB712E">
      <w:pPr>
        <w:jc w:val="both"/>
        <w:rPr>
          <w:rFonts w:cs="Calibri"/>
          <w:b/>
          <w:bCs/>
          <w:color w:val="FF0000"/>
        </w:rPr>
      </w:pPr>
    </w:p>
    <w:p w14:paraId="378F83AE" w14:textId="77777777" w:rsidR="00CB712E" w:rsidRPr="00CA512D" w:rsidRDefault="00CB712E" w:rsidP="00CB712E">
      <w:pPr>
        <w:jc w:val="both"/>
        <w:rPr>
          <w:rFonts w:cs="Calibri"/>
          <w:b/>
          <w:bCs/>
          <w:color w:val="993366"/>
        </w:rPr>
      </w:pPr>
      <w:r w:rsidRPr="00CA512D">
        <w:rPr>
          <w:rFonts w:cs="Calibri"/>
          <w:b/>
          <w:bCs/>
          <w:color w:val="993366"/>
        </w:rPr>
        <w:t>PARTIE I : APPROCHE METHODOLOGIQUE :</w:t>
      </w:r>
    </w:p>
    <w:p w14:paraId="0D2AD667" w14:textId="77777777" w:rsidR="00CB712E" w:rsidRPr="00AD0BC2" w:rsidRDefault="00CB712E" w:rsidP="00CB712E">
      <w:pPr>
        <w:jc w:val="both"/>
        <w:rPr>
          <w:rFonts w:cs="Calibri"/>
        </w:rPr>
      </w:pPr>
      <w:bookmarkStart w:id="215" w:name="_Hlk177499622"/>
      <w:r w:rsidRPr="00AD0BC2">
        <w:rPr>
          <w:rFonts w:cs="Calibri"/>
        </w:rPr>
        <w:t xml:space="preserve">L’approche méthodologique utilisée pour la préparation de la présente contribution du secteur des pêches à la Cinquième Communication Nationale (5CN), a d’abord consisté, conformément aux TDRs, à confier l’étude a un binôme d’experts en changement climatique dans le domaine des pêches : l’un chargé de la pêche maritime et l’autre, de la pêche continentale et la pisciculture. </w:t>
      </w:r>
    </w:p>
    <w:p w14:paraId="418F48D0" w14:textId="77777777" w:rsidR="00CB712E" w:rsidRPr="00D907CA" w:rsidRDefault="00CB712E" w:rsidP="00CB712E">
      <w:pPr>
        <w:jc w:val="both"/>
        <w:rPr>
          <w:rFonts w:cs="Calibri"/>
        </w:rPr>
      </w:pPr>
      <w:r w:rsidRPr="00AD0BC2">
        <w:rPr>
          <w:rFonts w:cs="Calibri"/>
        </w:rPr>
        <w:t>Au niveau du sous-secteur des pêches maritimes</w:t>
      </w:r>
      <w:r w:rsidRPr="00D907CA">
        <w:rPr>
          <w:rFonts w:cs="Calibri"/>
        </w:rPr>
        <w:t xml:space="preserve">, l’approche est participative, inclusive et garante d’une mobilisation extrême des ressources humaines au sein du département des pêches et parmi les acteurs du secteur privé, de la société civile ainsi que les partenaires techniques et financiers. </w:t>
      </w:r>
    </w:p>
    <w:p w14:paraId="7C181EBE" w14:textId="77777777" w:rsidR="00CB712E" w:rsidRPr="000925B3" w:rsidRDefault="00CB712E" w:rsidP="00CB712E">
      <w:pPr>
        <w:jc w:val="both"/>
        <w:rPr>
          <w:rFonts w:cs="Calibri"/>
        </w:rPr>
      </w:pPr>
      <w:r w:rsidRPr="000925B3">
        <w:rPr>
          <w:rFonts w:cs="Calibri"/>
        </w:rPr>
        <w:t xml:space="preserve">En conséquence, elle traduit la volonté </w:t>
      </w:r>
      <w:r w:rsidRPr="008D0092">
        <w:rPr>
          <w:rFonts w:cs="Calibri"/>
        </w:rPr>
        <w:t xml:space="preserve">expresse des commanditaires de l’étude </w:t>
      </w:r>
      <w:r w:rsidRPr="000925B3">
        <w:rPr>
          <w:rFonts w:cs="Calibri"/>
        </w:rPr>
        <w:t>d’impliquer effectivement ces différents acteurs et partenaires, de les rendre davantage responsables du contenu de la contribution sectorielle et de garantir l’adhésion, de tous, à la mise en œuvre de la version finale de cette contribution.</w:t>
      </w:r>
    </w:p>
    <w:p w14:paraId="3F5D4F63" w14:textId="77777777" w:rsidR="00CB712E" w:rsidRPr="000925B3" w:rsidRDefault="00CB712E" w:rsidP="00CB712E">
      <w:pPr>
        <w:jc w:val="both"/>
        <w:rPr>
          <w:rFonts w:cs="Calibri"/>
        </w:rPr>
      </w:pPr>
      <w:r w:rsidRPr="000925B3">
        <w:rPr>
          <w:rFonts w:cs="Calibri"/>
        </w:rPr>
        <w:t xml:space="preserve">La méthodologie est aussi guidée par le souci et besoin d’acquérir, auprès de leurs sources potentielles, les données et informations nécessaires pour réaliser un document conforme aux standards requis et répondant aux dispositions du Guides et Directives de la CCNUCC, des TDRs de l’étude et des clauses du contrat signé avec l’Unité de Coordination </w:t>
      </w:r>
      <w:r w:rsidRPr="005E6D29">
        <w:rPr>
          <w:rFonts w:cs="Calibri"/>
        </w:rPr>
        <w:t xml:space="preserve">du Projet </w:t>
      </w:r>
      <w:r>
        <w:rPr>
          <w:rFonts w:cs="Calibri"/>
        </w:rPr>
        <w:t xml:space="preserve">en charge </w:t>
      </w:r>
      <w:r w:rsidRPr="000925B3">
        <w:rPr>
          <w:rFonts w:cs="Calibri"/>
        </w:rPr>
        <w:t xml:space="preserve">de l’élaboration de cette </w:t>
      </w:r>
      <w:r w:rsidRPr="00417BC6">
        <w:rPr>
          <w:rFonts w:cs="Calibri"/>
        </w:rPr>
        <w:t>5</w:t>
      </w:r>
      <w:r w:rsidRPr="00417BC6">
        <w:rPr>
          <w:rFonts w:cs="Calibri"/>
          <w:vertAlign w:val="superscript"/>
        </w:rPr>
        <w:t>ème</w:t>
      </w:r>
      <w:r w:rsidRPr="000925B3">
        <w:rPr>
          <w:rFonts w:cs="Calibri"/>
        </w:rPr>
        <w:t>CN.</w:t>
      </w:r>
    </w:p>
    <w:p w14:paraId="2579A29F" w14:textId="77777777" w:rsidR="00CB712E" w:rsidRPr="000925B3" w:rsidRDefault="00CB712E" w:rsidP="00CB712E">
      <w:pPr>
        <w:jc w:val="both"/>
        <w:rPr>
          <w:rFonts w:cs="Calibri"/>
        </w:rPr>
      </w:pPr>
      <w:r w:rsidRPr="000925B3">
        <w:rPr>
          <w:rFonts w:cs="Calibri"/>
        </w:rPr>
        <w:t>Dans la pratique, cette approche consiste à :</w:t>
      </w:r>
    </w:p>
    <w:p w14:paraId="46607205" w14:textId="77777777" w:rsidR="00CB712E" w:rsidRPr="000925B3" w:rsidRDefault="00CB712E" w:rsidP="00CB712E">
      <w:pPr>
        <w:pStyle w:val="Paragraphedeliste"/>
        <w:numPr>
          <w:ilvl w:val="0"/>
          <w:numId w:val="260"/>
        </w:numPr>
        <w:autoSpaceDN w:val="0"/>
        <w:spacing w:after="0" w:line="240" w:lineRule="auto"/>
        <w:jc w:val="both"/>
        <w:rPr>
          <w:rFonts w:cs="Calibri"/>
        </w:rPr>
      </w:pPr>
      <w:r w:rsidRPr="000925B3">
        <w:rPr>
          <w:rFonts w:cs="Calibri"/>
        </w:rPr>
        <w:t>Tenir des réunions de concertation et de coordination avec le Coordinateur de l’Unité du Projet CN</w:t>
      </w:r>
      <w:r>
        <w:rPr>
          <w:rFonts w:cs="Calibri"/>
        </w:rPr>
        <w:t>5</w:t>
      </w:r>
      <w:r w:rsidRPr="000925B3">
        <w:rPr>
          <w:rFonts w:cs="Calibri"/>
        </w:rPr>
        <w:t xml:space="preserve"> et les personnes les plus impliquées sur la compréhension et l’élaboration des termes de référence et puis sur les conditions et modalités de leur application ;</w:t>
      </w:r>
    </w:p>
    <w:p w14:paraId="7D0315DC" w14:textId="77777777" w:rsidR="00CB712E" w:rsidRPr="000925B3" w:rsidRDefault="00CB712E" w:rsidP="00CB712E">
      <w:pPr>
        <w:pStyle w:val="Paragraphedeliste"/>
        <w:numPr>
          <w:ilvl w:val="0"/>
          <w:numId w:val="260"/>
        </w:numPr>
        <w:autoSpaceDN w:val="0"/>
        <w:spacing w:after="0" w:line="240" w:lineRule="auto"/>
        <w:jc w:val="both"/>
        <w:rPr>
          <w:rFonts w:cs="Calibri"/>
        </w:rPr>
      </w:pPr>
      <w:r w:rsidRPr="000925B3">
        <w:rPr>
          <w:rFonts w:cs="Calibri"/>
        </w:rPr>
        <w:t>Organiser, en présence du PFS, une première réunion avec les structures et les personnes les plus concernées du ministère</w:t>
      </w:r>
      <w:r>
        <w:rPr>
          <w:rFonts w:cs="Calibri"/>
        </w:rPr>
        <w:t xml:space="preserve"> en </w:t>
      </w:r>
      <w:r w:rsidRPr="000925B3">
        <w:rPr>
          <w:rFonts w:cs="Calibri"/>
        </w:rPr>
        <w:t>charg</w:t>
      </w:r>
      <w:r>
        <w:rPr>
          <w:rFonts w:cs="Calibri"/>
        </w:rPr>
        <w:t xml:space="preserve">e </w:t>
      </w:r>
      <w:r w:rsidRPr="000925B3">
        <w:rPr>
          <w:rFonts w:cs="Calibri"/>
        </w:rPr>
        <w:t xml:space="preserve">des pêches pour les informer de la mission d’élaboration de la contribution de leur secteur à la </w:t>
      </w:r>
      <w:r w:rsidRPr="00417BC6">
        <w:rPr>
          <w:rFonts w:cs="Calibri"/>
        </w:rPr>
        <w:t>5</w:t>
      </w:r>
      <w:r w:rsidRPr="00417BC6">
        <w:rPr>
          <w:rFonts w:cs="Calibri"/>
          <w:vertAlign w:val="superscript"/>
        </w:rPr>
        <w:t>ème</w:t>
      </w:r>
      <w:r w:rsidRPr="000925B3">
        <w:rPr>
          <w:rFonts w:cs="Calibri"/>
        </w:rPr>
        <w:t>Communication Nationale, en cours de préparation ;</w:t>
      </w:r>
    </w:p>
    <w:p w14:paraId="7A6A9646" w14:textId="77777777" w:rsidR="00CB712E" w:rsidRPr="000925B3" w:rsidRDefault="00CB712E" w:rsidP="00CB712E">
      <w:pPr>
        <w:pStyle w:val="Paragraphedeliste"/>
        <w:numPr>
          <w:ilvl w:val="0"/>
          <w:numId w:val="260"/>
        </w:numPr>
        <w:autoSpaceDN w:val="0"/>
        <w:spacing w:after="0" w:line="240" w:lineRule="auto"/>
        <w:jc w:val="both"/>
        <w:rPr>
          <w:rFonts w:cs="Calibri"/>
        </w:rPr>
      </w:pPr>
      <w:r w:rsidRPr="000925B3">
        <w:rPr>
          <w:rFonts w:cs="Calibri"/>
        </w:rPr>
        <w:t>Poursuivre un processus de réunions et de contacts permanents avec la Coordination du Projet CN</w:t>
      </w:r>
      <w:r>
        <w:rPr>
          <w:rFonts w:cs="Calibri"/>
        </w:rPr>
        <w:t xml:space="preserve">5 </w:t>
      </w:r>
      <w:r w:rsidRPr="000925B3">
        <w:rPr>
          <w:rFonts w:cs="Calibri"/>
        </w:rPr>
        <w:t>et le point Focal Sectoriel pêche (PFS) pour assurer la réalisation du travail demandé dans les meilleures conditions et dans les délais ;</w:t>
      </w:r>
    </w:p>
    <w:p w14:paraId="6613F749" w14:textId="77777777" w:rsidR="00CB712E" w:rsidRPr="000925B3" w:rsidRDefault="00CB712E" w:rsidP="00CB712E">
      <w:pPr>
        <w:pStyle w:val="Paragraphedeliste"/>
        <w:numPr>
          <w:ilvl w:val="0"/>
          <w:numId w:val="260"/>
        </w:numPr>
        <w:autoSpaceDN w:val="0"/>
        <w:spacing w:after="0" w:line="240" w:lineRule="auto"/>
        <w:jc w:val="both"/>
        <w:rPr>
          <w:rFonts w:cs="Calibri"/>
        </w:rPr>
      </w:pPr>
      <w:r w:rsidRPr="000925B3">
        <w:rPr>
          <w:rFonts w:cs="Calibri"/>
        </w:rPr>
        <w:t>Collecter la documentation et l’information requises auprès de leurs détenteurs directs et indirects après avoir identifié les principales sources des données et informations indispensables ;</w:t>
      </w:r>
    </w:p>
    <w:p w14:paraId="27028F1A" w14:textId="77777777" w:rsidR="00CB712E" w:rsidRPr="000925B3" w:rsidRDefault="00CB712E" w:rsidP="00CB712E">
      <w:pPr>
        <w:pStyle w:val="Paragraphedeliste"/>
        <w:numPr>
          <w:ilvl w:val="0"/>
          <w:numId w:val="260"/>
        </w:numPr>
        <w:autoSpaceDN w:val="0"/>
        <w:spacing w:after="0" w:line="240" w:lineRule="auto"/>
        <w:jc w:val="both"/>
        <w:rPr>
          <w:rFonts w:cs="Calibri"/>
        </w:rPr>
      </w:pPr>
      <w:r w:rsidRPr="000925B3">
        <w:rPr>
          <w:rFonts w:cs="Calibri"/>
        </w:rPr>
        <w:t xml:space="preserve">Traiter et analyser les données et informations collectées pour réaliser un diagnostic axé sur (i) la description de la vulnérabilité du </w:t>
      </w:r>
      <w:r>
        <w:rPr>
          <w:rFonts w:cs="Calibri"/>
        </w:rPr>
        <w:t>sous-</w:t>
      </w:r>
      <w:r w:rsidRPr="000925B3">
        <w:rPr>
          <w:rFonts w:cs="Calibri"/>
        </w:rPr>
        <w:t>secteur des pêches maritime au changement climatique, (ii) le dégagement de la situation actuelle d</w:t>
      </w:r>
      <w:r>
        <w:rPr>
          <w:rFonts w:cs="Calibri"/>
        </w:rPr>
        <w:t>e ce sous-</w:t>
      </w:r>
      <w:r w:rsidRPr="000925B3">
        <w:rPr>
          <w:rFonts w:cs="Calibri"/>
        </w:rPr>
        <w:t>secteur des pêches maritimes et (iii) l’identification d</w:t>
      </w:r>
      <w:r>
        <w:rPr>
          <w:rFonts w:cs="Calibri"/>
        </w:rPr>
        <w:t xml:space="preserve">e mesures et </w:t>
      </w:r>
      <w:r w:rsidRPr="000925B3">
        <w:rPr>
          <w:rFonts w:cs="Calibri"/>
        </w:rPr>
        <w:t xml:space="preserve">actions d’adaptation au changement climatique en vue d’en faire l’essentiel du contenu de la contribution </w:t>
      </w:r>
      <w:r>
        <w:rPr>
          <w:rFonts w:cs="Calibri"/>
        </w:rPr>
        <w:t xml:space="preserve">des </w:t>
      </w:r>
      <w:r w:rsidRPr="000925B3">
        <w:rPr>
          <w:rFonts w:cs="Calibri"/>
        </w:rPr>
        <w:t xml:space="preserve">pêche </w:t>
      </w:r>
      <w:r>
        <w:rPr>
          <w:rFonts w:cs="Calibri"/>
        </w:rPr>
        <w:t xml:space="preserve">maritimes </w:t>
      </w:r>
      <w:r w:rsidRPr="000925B3">
        <w:rPr>
          <w:rFonts w:cs="Calibri"/>
        </w:rPr>
        <w:t>à la 5CN202</w:t>
      </w:r>
      <w:r>
        <w:rPr>
          <w:rFonts w:cs="Calibri"/>
        </w:rPr>
        <w:t>2</w:t>
      </w:r>
      <w:r w:rsidRPr="000925B3">
        <w:rPr>
          <w:rFonts w:cs="Calibri"/>
        </w:rPr>
        <w:t>-2030 ;</w:t>
      </w:r>
    </w:p>
    <w:p w14:paraId="28389B48" w14:textId="77777777" w:rsidR="00CB712E" w:rsidRPr="000925B3" w:rsidRDefault="00CB712E" w:rsidP="00CB712E">
      <w:pPr>
        <w:pStyle w:val="Paragraphedeliste"/>
        <w:numPr>
          <w:ilvl w:val="0"/>
          <w:numId w:val="260"/>
        </w:numPr>
        <w:autoSpaceDN w:val="0"/>
        <w:spacing w:after="0" w:line="240" w:lineRule="auto"/>
        <w:jc w:val="both"/>
        <w:rPr>
          <w:rFonts w:cs="Calibri"/>
        </w:rPr>
      </w:pPr>
      <w:r w:rsidRPr="000925B3">
        <w:rPr>
          <w:rFonts w:cs="Calibri"/>
        </w:rPr>
        <w:t>Produire deux livrables : un premier rapport provisoire et un deuxième rapport définitif.</w:t>
      </w:r>
    </w:p>
    <w:p w14:paraId="1EA9F3E6" w14:textId="77777777" w:rsidR="00CB712E" w:rsidRPr="000925B3" w:rsidRDefault="00CB712E" w:rsidP="00CB712E">
      <w:pPr>
        <w:pStyle w:val="Paragraphedeliste"/>
        <w:numPr>
          <w:ilvl w:val="0"/>
          <w:numId w:val="260"/>
        </w:numPr>
        <w:autoSpaceDN w:val="0"/>
        <w:spacing w:after="0" w:line="240" w:lineRule="auto"/>
        <w:jc w:val="both"/>
        <w:rPr>
          <w:rFonts w:cs="Calibri"/>
        </w:rPr>
      </w:pPr>
      <w:r w:rsidRPr="000925B3">
        <w:rPr>
          <w:rFonts w:cs="Calibri"/>
        </w:rPr>
        <w:t>Appuyer l’Unité de Coordination à l’organisation d’un atelier de restitution et de validation technique du rapport sur la contribution du secteur des pêches à la CN</w:t>
      </w:r>
      <w:r>
        <w:rPr>
          <w:rFonts w:cs="Calibri"/>
        </w:rPr>
        <w:t>5</w:t>
      </w:r>
      <w:r w:rsidRPr="000925B3">
        <w:rPr>
          <w:rFonts w:cs="Calibri"/>
        </w:rPr>
        <w:t>, objet de l</w:t>
      </w:r>
      <w:r>
        <w:rPr>
          <w:rFonts w:cs="Calibri"/>
        </w:rPr>
        <w:t>’</w:t>
      </w:r>
      <w:r w:rsidRPr="000925B3">
        <w:rPr>
          <w:rFonts w:cs="Calibri"/>
        </w:rPr>
        <w:t>étude</w:t>
      </w:r>
      <w:r>
        <w:rPr>
          <w:rFonts w:cs="Calibri"/>
        </w:rPr>
        <w:t xml:space="preserve"> confiée au Binôme</w:t>
      </w:r>
      <w:r w:rsidRPr="000925B3">
        <w:rPr>
          <w:rFonts w:cs="Calibri"/>
        </w:rPr>
        <w:t>.</w:t>
      </w:r>
    </w:p>
    <w:bookmarkEnd w:id="215"/>
    <w:p w14:paraId="78FE70C1" w14:textId="77777777" w:rsidR="00CB712E" w:rsidRPr="00434CD5" w:rsidRDefault="00CB712E" w:rsidP="00CB712E">
      <w:pPr>
        <w:jc w:val="both"/>
        <w:rPr>
          <w:rFonts w:cs="Calibri"/>
          <w:color w:val="FF0000"/>
          <w:sz w:val="10"/>
          <w:szCs w:val="10"/>
        </w:rPr>
      </w:pPr>
    </w:p>
    <w:p w14:paraId="51C20A9F" w14:textId="77777777" w:rsidR="00434CD5" w:rsidRDefault="00434CD5" w:rsidP="00CB712E">
      <w:pPr>
        <w:jc w:val="both"/>
        <w:rPr>
          <w:rFonts w:cs="Calibri"/>
          <w:b/>
          <w:bCs/>
          <w:color w:val="993366"/>
        </w:rPr>
      </w:pPr>
      <w:bookmarkStart w:id="216" w:name="_Hlk177853677"/>
    </w:p>
    <w:p w14:paraId="543890C7" w14:textId="0D7B6443" w:rsidR="00CB712E" w:rsidRPr="00CA512D" w:rsidRDefault="00CB712E" w:rsidP="00CB712E">
      <w:pPr>
        <w:jc w:val="both"/>
        <w:rPr>
          <w:rFonts w:cs="Calibri"/>
          <w:b/>
          <w:bCs/>
          <w:color w:val="993366"/>
        </w:rPr>
      </w:pPr>
      <w:r w:rsidRPr="00CA512D">
        <w:rPr>
          <w:rFonts w:cs="Calibri"/>
          <w:b/>
          <w:bCs/>
          <w:color w:val="993366"/>
        </w:rPr>
        <w:t>PARTIE II : DESCRIPTION DE LA VULNERABILITE AU CHANGEMENT CLIMATIQUE DU SOUS-SECTEUR DES PECHES MARITIMES :</w:t>
      </w:r>
    </w:p>
    <w:p w14:paraId="20C5422F" w14:textId="77777777" w:rsidR="00CB712E" w:rsidRPr="000925B3" w:rsidRDefault="00CB712E" w:rsidP="00CB712E">
      <w:pPr>
        <w:jc w:val="both"/>
        <w:rPr>
          <w:rFonts w:cs="Calibri"/>
        </w:rPr>
      </w:pPr>
      <w:bookmarkStart w:id="217" w:name="_Hlk177566015"/>
      <w:r w:rsidRPr="000925B3">
        <w:rPr>
          <w:rFonts w:cs="Calibri"/>
        </w:rPr>
        <w:t>Le secteur des pêches, est l’un des secteurs prioritaires en matière d’environnement en raison de l’effet négatif des activités anthropiques sur son espace aquatique maritime et continental et de l’exposition de cet espace à divers aléas et risques climatiques dont les impacts sont considérablement préjudiciables aux activités de ce secteur de production par excellence.</w:t>
      </w:r>
    </w:p>
    <w:p w14:paraId="7A9B4533" w14:textId="77777777" w:rsidR="00CB712E" w:rsidRPr="000925B3" w:rsidRDefault="00CB712E" w:rsidP="00CB712E">
      <w:pPr>
        <w:autoSpaceDE w:val="0"/>
        <w:jc w:val="both"/>
        <w:rPr>
          <w:rFonts w:cs="Calibri"/>
        </w:rPr>
      </w:pPr>
      <w:r w:rsidRPr="000925B3">
        <w:rPr>
          <w:rFonts w:cs="Calibri"/>
        </w:rPr>
        <w:t xml:space="preserve">Ce chapitre, est justement introduit pour montrer l’état de sa vulnérabilité au changement climatique et justifier la nature, la pertinence et la cohérence des </w:t>
      </w:r>
      <w:r>
        <w:rPr>
          <w:rFonts w:cs="Calibri"/>
        </w:rPr>
        <w:t xml:space="preserve">mesures et </w:t>
      </w:r>
      <w:r w:rsidRPr="000925B3">
        <w:rPr>
          <w:rFonts w:cs="Calibri"/>
        </w:rPr>
        <w:t>actions d’adaptation devant être, in fine, proposées pour constituer, durant les prochains 5 ans, l’ambition des pouvoirs publics visant à satisfaire leurs engagements vis-à-vis de leurs propres citoyens et de la communauté internationale, et à mieux contribuer alors aux objectifs de la CCNUCC</w:t>
      </w:r>
      <w:r w:rsidRPr="009409F8">
        <w:rPr>
          <w:rFonts w:cs="Calibri"/>
          <w:color w:val="FF0000"/>
        </w:rPr>
        <w:t xml:space="preserve"> </w:t>
      </w:r>
      <w:r w:rsidRPr="005E6D29">
        <w:rPr>
          <w:rFonts w:cs="Calibri"/>
        </w:rPr>
        <w:t>à l’instar des autres parties de la Convention</w:t>
      </w:r>
      <w:r w:rsidRPr="000925B3">
        <w:rPr>
          <w:rFonts w:cs="Calibri"/>
        </w:rPr>
        <w:t>.</w:t>
      </w:r>
      <w:bookmarkEnd w:id="217"/>
    </w:p>
    <w:p w14:paraId="645BC759" w14:textId="77777777" w:rsidR="00CB712E" w:rsidRPr="000925B3" w:rsidRDefault="00CB712E" w:rsidP="00CB712E">
      <w:pPr>
        <w:autoSpaceDE w:val="0"/>
        <w:jc w:val="both"/>
        <w:rPr>
          <w:rFonts w:cs="Calibri"/>
        </w:rPr>
      </w:pPr>
      <w:r w:rsidRPr="000925B3">
        <w:rPr>
          <w:rFonts w:cs="Calibri"/>
        </w:rPr>
        <w:t>Afin de se conformer aux exigences des TDRs de l’étude et d’améliorer la visibilité du rapport, l’espace aquatique mauritanien où se pratiquent la pêche et les activités connexes, peut être subdivisé en deux grands ensembles à savoir :</w:t>
      </w:r>
    </w:p>
    <w:p w14:paraId="2FFB98EB" w14:textId="77777777" w:rsidR="00CB712E" w:rsidRPr="00434CD5" w:rsidRDefault="00CB712E" w:rsidP="00CB712E">
      <w:pPr>
        <w:jc w:val="both"/>
        <w:rPr>
          <w:rFonts w:cs="Calibri"/>
          <w:sz w:val="2"/>
          <w:szCs w:val="2"/>
        </w:rPr>
      </w:pPr>
    </w:p>
    <w:p w14:paraId="62264550" w14:textId="77777777" w:rsidR="00CB712E" w:rsidRPr="002B2BEE" w:rsidRDefault="00CB712E" w:rsidP="00CB712E">
      <w:pPr>
        <w:pStyle w:val="Paragraphedeliste"/>
        <w:numPr>
          <w:ilvl w:val="0"/>
          <w:numId w:val="261"/>
        </w:numPr>
        <w:suppressAutoHyphens/>
        <w:autoSpaceDN w:val="0"/>
        <w:spacing w:after="0" w:line="240" w:lineRule="auto"/>
        <w:jc w:val="both"/>
        <w:rPr>
          <w:rFonts w:cs="Calibri"/>
        </w:rPr>
      </w:pPr>
      <w:r w:rsidRPr="000925B3">
        <w:rPr>
          <w:rFonts w:cs="Calibri"/>
        </w:rPr>
        <w:t>Le littoral mauritanien ou la façade maritime dont la longueur se situerait entre 720 et 750 km et même plus et qui s’étend de l’embouchure du Fleuve Sénégal, au Sud à la pointe du Cap Blanc, au Nord</w:t>
      </w:r>
      <w:r>
        <w:rPr>
          <w:rFonts w:cs="Calibri"/>
        </w:rPr>
        <w:t xml:space="preserve">. Cet espace </w:t>
      </w:r>
      <w:r w:rsidRPr="002B2BEE">
        <w:rPr>
          <w:rFonts w:cs="Calibri"/>
        </w:rPr>
        <w:t>couvre la ZEE Mauritanienne et ses rivages (écosystème marin) et une frange du littoral qui peut s’étendre horizontalement sur une partie variable du continent voisin pour constituer</w:t>
      </w:r>
      <w:r>
        <w:rPr>
          <w:rFonts w:cs="Calibri"/>
        </w:rPr>
        <w:t xml:space="preserve">, </w:t>
      </w:r>
      <w:r w:rsidRPr="005E6D29">
        <w:rPr>
          <w:rFonts w:cs="Calibri"/>
        </w:rPr>
        <w:t>ensemble</w:t>
      </w:r>
      <w:r>
        <w:rPr>
          <w:rFonts w:cs="Calibri"/>
        </w:rPr>
        <w:t>,</w:t>
      </w:r>
      <w:r w:rsidRPr="002B2BEE">
        <w:rPr>
          <w:rFonts w:cs="Calibri"/>
        </w:rPr>
        <w:t xml:space="preserve"> un écosystème côtier.</w:t>
      </w:r>
    </w:p>
    <w:p w14:paraId="713DF503" w14:textId="77777777" w:rsidR="00CB712E" w:rsidRPr="00434CD5" w:rsidRDefault="00CB712E" w:rsidP="00CB712E">
      <w:pPr>
        <w:pStyle w:val="Paragraphedeliste"/>
        <w:spacing w:after="0"/>
        <w:ind w:left="1080"/>
        <w:jc w:val="both"/>
        <w:rPr>
          <w:rFonts w:cs="Calibri"/>
          <w:sz w:val="10"/>
          <w:szCs w:val="10"/>
        </w:rPr>
      </w:pPr>
    </w:p>
    <w:p w14:paraId="70ED63F5" w14:textId="77777777" w:rsidR="00CB712E" w:rsidRPr="003B02FA" w:rsidRDefault="00CB712E" w:rsidP="00CB712E">
      <w:pPr>
        <w:pStyle w:val="Paragraphedeliste"/>
        <w:numPr>
          <w:ilvl w:val="0"/>
          <w:numId w:val="261"/>
        </w:numPr>
        <w:suppressAutoHyphens/>
        <w:autoSpaceDN w:val="0"/>
        <w:spacing w:after="0" w:line="240" w:lineRule="auto"/>
        <w:jc w:val="both"/>
        <w:rPr>
          <w:rFonts w:cs="Calibri"/>
        </w:rPr>
      </w:pPr>
      <w:r w:rsidRPr="000925B3">
        <w:rPr>
          <w:rFonts w:cs="Calibri"/>
        </w:rPr>
        <w:t xml:space="preserve">Les zones humides </w:t>
      </w:r>
      <w:r>
        <w:rPr>
          <w:rFonts w:cs="Calibri"/>
        </w:rPr>
        <w:t xml:space="preserve">sont </w:t>
      </w:r>
      <w:r w:rsidRPr="000925B3">
        <w:rPr>
          <w:rFonts w:cs="Calibri"/>
        </w:rPr>
        <w:t>représentées, dans cette étude</w:t>
      </w:r>
      <w:r>
        <w:rPr>
          <w:rFonts w:cs="Calibri"/>
        </w:rPr>
        <w:t xml:space="preserve"> et vertu de cette vision</w:t>
      </w:r>
      <w:r w:rsidRPr="000925B3">
        <w:rPr>
          <w:rFonts w:cs="Calibri"/>
        </w:rPr>
        <w:t>, par le Fleuve Sénégal et ses affluents et plusieurs autres cours et plans d’eau permanents et non permanents ou saisonniers, repartis à l’intérieur du pays</w:t>
      </w:r>
      <w:r>
        <w:rPr>
          <w:rFonts w:cs="Calibri"/>
        </w:rPr>
        <w:t xml:space="preserve">. Ces zones constituent les </w:t>
      </w:r>
      <w:r w:rsidRPr="000925B3">
        <w:rPr>
          <w:rFonts w:cs="Calibri"/>
        </w:rPr>
        <w:t>écosystèmes des zones humides</w:t>
      </w:r>
      <w:r>
        <w:rPr>
          <w:rFonts w:cs="Calibri"/>
        </w:rPr>
        <w:t xml:space="preserve"> et appartiennent à un grand ensemble écologique pouvant être appelé </w:t>
      </w:r>
      <w:r w:rsidRPr="002B2BEE">
        <w:rPr>
          <w:rFonts w:cs="Calibri"/>
        </w:rPr>
        <w:t>« écosystème terrestre ou continental » Celui-ci englobe, outre de telles zones humides, le reste de la partie continentale</w:t>
      </w:r>
      <w:r>
        <w:rPr>
          <w:rFonts w:cs="Calibri"/>
        </w:rPr>
        <w:t>/terrestre</w:t>
      </w:r>
      <w:r w:rsidRPr="002B2BEE">
        <w:rPr>
          <w:rFonts w:cs="Calibri"/>
        </w:rPr>
        <w:t xml:space="preserve"> du territoire national, y compris </w:t>
      </w:r>
      <w:r>
        <w:rPr>
          <w:rFonts w:cs="Calibri"/>
        </w:rPr>
        <w:t xml:space="preserve">les </w:t>
      </w:r>
      <w:r w:rsidRPr="00527EE2">
        <w:rPr>
          <w:rFonts w:cs="Calibri"/>
        </w:rPr>
        <w:t xml:space="preserve">cavités souterraines </w:t>
      </w:r>
      <w:r>
        <w:rPr>
          <w:rFonts w:cs="Calibri"/>
        </w:rPr>
        <w:t xml:space="preserve">et </w:t>
      </w:r>
      <w:r w:rsidRPr="00527EE2">
        <w:rPr>
          <w:rFonts w:cs="Calibri"/>
        </w:rPr>
        <w:t>les cavernes</w:t>
      </w:r>
      <w:r>
        <w:rPr>
          <w:rFonts w:cs="Calibri"/>
        </w:rPr>
        <w:t xml:space="preserve"> ou grottes</w:t>
      </w:r>
      <w:r w:rsidRPr="00527EE2">
        <w:rPr>
          <w:rFonts w:cs="Calibri"/>
        </w:rPr>
        <w:t xml:space="preserve"> (écosystèmes cavernicoles ou spéléologiques)</w:t>
      </w:r>
      <w:r>
        <w:rPr>
          <w:rFonts w:cs="Calibri"/>
        </w:rPr>
        <w:t>.</w:t>
      </w:r>
    </w:p>
    <w:p w14:paraId="5E208F2F" w14:textId="77777777" w:rsidR="00CB712E" w:rsidRPr="00434CD5" w:rsidRDefault="00CB712E" w:rsidP="00CB712E">
      <w:pPr>
        <w:jc w:val="both"/>
        <w:rPr>
          <w:rFonts w:cs="Calibri"/>
          <w:sz w:val="2"/>
          <w:szCs w:val="2"/>
        </w:rPr>
      </w:pPr>
    </w:p>
    <w:p w14:paraId="0AC916A0" w14:textId="318B92CA" w:rsidR="00CB712E" w:rsidRPr="00434CD5" w:rsidRDefault="00CB712E" w:rsidP="00CB712E">
      <w:pPr>
        <w:jc w:val="both"/>
        <w:rPr>
          <w:rFonts w:cs="Calibri"/>
          <w:sz w:val="6"/>
          <w:szCs w:val="6"/>
        </w:rPr>
      </w:pPr>
      <w:r w:rsidRPr="00771655">
        <w:rPr>
          <w:rFonts w:cs="Calibri"/>
        </w:rPr>
        <w:t>Etant donné que ce rapport est uniquement consacré au sous-secteur de la pêche maritime, ce chapitre est concentré sur le contexte physique et hydro climatique</w:t>
      </w:r>
      <w:r>
        <w:rPr>
          <w:rFonts w:cs="Calibri"/>
        </w:rPr>
        <w:t> ; les r</w:t>
      </w:r>
      <w:r w:rsidRPr="00771655">
        <w:rPr>
          <w:rFonts w:cs="Calibri"/>
        </w:rPr>
        <w:t>essources, productivité biologique, biodiversité et services écosystémiques</w:t>
      </w:r>
      <w:r>
        <w:rPr>
          <w:rFonts w:cs="Calibri"/>
        </w:rPr>
        <w:t> ; l’é</w:t>
      </w:r>
      <w:r w:rsidRPr="00771655">
        <w:rPr>
          <w:rFonts w:cs="Calibri"/>
        </w:rPr>
        <w:t>tat de vulnérabilité au CC du sous-secteur des pêches maritimes</w:t>
      </w:r>
      <w:r>
        <w:rPr>
          <w:rFonts w:cs="Calibri"/>
        </w:rPr>
        <w:t xml:space="preserve"> et enfin, l’é</w:t>
      </w:r>
      <w:r w:rsidRPr="00771655">
        <w:rPr>
          <w:rFonts w:cs="Calibri"/>
        </w:rPr>
        <w:t xml:space="preserve">valuation de la vulnérabilité du sous-secteur maritime (Scenarii futurs probables </w:t>
      </w:r>
      <w:r>
        <w:rPr>
          <w:rFonts w:cs="Calibri"/>
        </w:rPr>
        <w:t xml:space="preserve">à l’horizon </w:t>
      </w:r>
      <w:r w:rsidRPr="00771655">
        <w:rPr>
          <w:rFonts w:cs="Calibri"/>
        </w:rPr>
        <w:t>2050-2100)</w:t>
      </w:r>
    </w:p>
    <w:p w14:paraId="5F75C094" w14:textId="77777777" w:rsidR="00CB712E" w:rsidRPr="000925B3" w:rsidRDefault="00CB712E" w:rsidP="00CB712E">
      <w:pPr>
        <w:jc w:val="both"/>
        <w:rPr>
          <w:rFonts w:cs="Calibri"/>
          <w:b/>
          <w:bCs/>
          <w:color w:val="FF0000"/>
        </w:rPr>
      </w:pPr>
      <w:r w:rsidRPr="000925B3">
        <w:rPr>
          <w:rFonts w:cs="Calibri"/>
          <w:b/>
          <w:bCs/>
          <w:color w:val="FF0000"/>
        </w:rPr>
        <w:t xml:space="preserve">2.1. </w:t>
      </w:r>
      <w:r>
        <w:rPr>
          <w:rFonts w:cs="Calibri"/>
          <w:b/>
          <w:bCs/>
          <w:color w:val="FF0000"/>
        </w:rPr>
        <w:t>Contexte physique et hydro climatique :</w:t>
      </w:r>
      <w:r w:rsidRPr="00771655">
        <w:rPr>
          <w:rFonts w:cs="Calibri"/>
          <w:b/>
          <w:bCs/>
          <w:color w:val="FF0000"/>
        </w:rPr>
        <w:t xml:space="preserve"> </w:t>
      </w:r>
    </w:p>
    <w:p w14:paraId="4FD2CC2C" w14:textId="77777777" w:rsidR="00CB712E" w:rsidRDefault="00CB712E" w:rsidP="00CB712E">
      <w:pPr>
        <w:jc w:val="both"/>
        <w:rPr>
          <w:rFonts w:cs="Calibri"/>
        </w:rPr>
      </w:pPr>
      <w:r w:rsidRPr="000925B3">
        <w:rPr>
          <w:rFonts w:cs="Calibri"/>
        </w:rPr>
        <w:t>Dans son acceptation générale, le littoral mauritanien est la zone géographique située le long de la côte Est de l’Océan Atlantique entre le 16°04 N et 21°N et partagée administrativement entre quatre (4) Wilayas : Dakhlet Nouadhibou, Inchiri, Nouakchott et Trarza (</w:t>
      </w:r>
      <w:r w:rsidRPr="000925B3">
        <w:rPr>
          <w:rFonts w:cs="Calibri"/>
          <w:color w:val="FF0000"/>
        </w:rPr>
        <w:t xml:space="preserve">une carte de la Mauritanie montrant </w:t>
      </w:r>
      <w:r>
        <w:rPr>
          <w:rFonts w:cs="Calibri"/>
          <w:color w:val="FF0000"/>
        </w:rPr>
        <w:t xml:space="preserve">la distribution de la pêche maritime dans environ </w:t>
      </w:r>
      <w:r w:rsidRPr="000925B3">
        <w:rPr>
          <w:rFonts w:cs="Calibri"/>
          <w:color w:val="FF0000"/>
        </w:rPr>
        <w:t>4 Wilayas</w:t>
      </w:r>
      <w:r>
        <w:rPr>
          <w:rFonts w:cs="Calibri"/>
          <w:color w:val="FF0000"/>
        </w:rPr>
        <w:t xml:space="preserve"> avec légende correspondante</w:t>
      </w:r>
      <w:r w:rsidRPr="000925B3">
        <w:rPr>
          <w:rFonts w:cs="Calibri"/>
        </w:rPr>
        <w:t>).</w:t>
      </w:r>
    </w:p>
    <w:p w14:paraId="64EF9E61" w14:textId="77777777" w:rsidR="00CB712E" w:rsidRDefault="00CB712E" w:rsidP="00CB712E">
      <w:pPr>
        <w:jc w:val="both"/>
        <w:rPr>
          <w:rFonts w:cs="Calibri"/>
        </w:rPr>
      </w:pPr>
      <w:r>
        <w:rPr>
          <w:noProof/>
        </w:rPr>
        <w:t xml:space="preserve">        </w:t>
      </w:r>
      <w:r w:rsidRPr="000925B3">
        <w:rPr>
          <w:noProof/>
        </w:rPr>
        <w:drawing>
          <wp:inline distT="0" distB="0" distL="0" distR="0" wp14:anchorId="6F56738E" wp14:editId="213482A9">
            <wp:extent cx="5033010" cy="2544417"/>
            <wp:effectExtent l="0" t="0" r="0" b="8890"/>
            <wp:docPr id="1931130686" name="Image 2" descr="C:\Users\toshiba.toshiba-PC\Downloads\maurit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toshiba-PC\Downloads\mauritanie.jpg"/>
                    <pic:cNvPicPr>
                      <a:picLocks noChangeAspect="1" noChangeArrowheads="1"/>
                    </pic:cNvPicPr>
                  </pic:nvPicPr>
                  <pic:blipFill>
                    <a:blip r:embed="rId186" cstate="print"/>
                    <a:srcRect/>
                    <a:stretch>
                      <a:fillRect/>
                    </a:stretch>
                  </pic:blipFill>
                  <pic:spPr bwMode="auto">
                    <a:xfrm>
                      <a:off x="0" y="0"/>
                      <a:ext cx="5044755" cy="2550354"/>
                    </a:xfrm>
                    <a:prstGeom prst="rect">
                      <a:avLst/>
                    </a:prstGeom>
                    <a:noFill/>
                    <a:ln w="9525">
                      <a:noFill/>
                      <a:miter lim="800000"/>
                      <a:headEnd/>
                      <a:tailEnd/>
                    </a:ln>
                  </pic:spPr>
                </pic:pic>
              </a:graphicData>
            </a:graphic>
          </wp:inline>
        </w:drawing>
      </w:r>
    </w:p>
    <w:p w14:paraId="579BECBE" w14:textId="77777777" w:rsidR="00CB712E" w:rsidRPr="001E243F" w:rsidRDefault="00CB712E" w:rsidP="00CB712E">
      <w:pPr>
        <w:autoSpaceDE w:val="0"/>
        <w:jc w:val="both"/>
        <w:rPr>
          <w:rFonts w:cs="Calibri"/>
          <w:color w:val="FF0000"/>
        </w:rPr>
      </w:pPr>
      <w:r w:rsidRPr="00A2527D">
        <w:rPr>
          <w:rFonts w:cs="Calibri"/>
          <w:b/>
          <w:bCs/>
          <w:color w:val="FF0000"/>
          <w:u w:val="single"/>
        </w:rPr>
        <w:t>NB :</w:t>
      </w:r>
      <w:r>
        <w:rPr>
          <w:rFonts w:cs="Calibri"/>
          <w:color w:val="FF0000"/>
        </w:rPr>
        <w:t xml:space="preserve"> attention ici c’est une carte de distribution de la pêche maritime avec la légende correspondante (à faire figurer 4 Wilayas)</w:t>
      </w:r>
    </w:p>
    <w:p w14:paraId="17721589" w14:textId="77777777" w:rsidR="00CB712E" w:rsidRPr="000925B3" w:rsidRDefault="00CB712E" w:rsidP="00CB712E">
      <w:pPr>
        <w:jc w:val="both"/>
        <w:rPr>
          <w:rFonts w:cs="Calibri"/>
        </w:rPr>
      </w:pPr>
      <w:r w:rsidRPr="000925B3">
        <w:rPr>
          <w:rFonts w:cs="Calibri"/>
        </w:rPr>
        <w:t>En d’autres termes, l’espace représente les écosystèmes marins et côtiers, y compris les aires protégées, et constituent le cadre naturel d’exercice de la pêche maritime et où se concentrent ses</w:t>
      </w:r>
      <w:r w:rsidRPr="000925B3">
        <w:rPr>
          <w:rFonts w:cs="Calibri"/>
          <w:strike/>
        </w:rPr>
        <w:t xml:space="preserve"> </w:t>
      </w:r>
      <w:r w:rsidRPr="000925B3">
        <w:rPr>
          <w:rFonts w:cs="Calibri"/>
        </w:rPr>
        <w:t>activités connexes.</w:t>
      </w:r>
    </w:p>
    <w:p w14:paraId="33FAF7AB" w14:textId="77777777" w:rsidR="00CB712E" w:rsidRDefault="00CB712E" w:rsidP="00CB712E">
      <w:pPr>
        <w:autoSpaceDE w:val="0"/>
        <w:jc w:val="both"/>
        <w:rPr>
          <w:rFonts w:cs="Calibri"/>
        </w:rPr>
      </w:pPr>
      <w:r>
        <w:rPr>
          <w:rFonts w:cs="Calibri"/>
        </w:rPr>
        <w:t xml:space="preserve">Dans ce qui suit sont rappelés les </w:t>
      </w:r>
      <w:r w:rsidRPr="000925B3">
        <w:rPr>
          <w:rFonts w:cs="Calibri"/>
        </w:rPr>
        <w:t>conditions naturelles physiques</w:t>
      </w:r>
      <w:r>
        <w:rPr>
          <w:rFonts w:cs="Calibri"/>
        </w:rPr>
        <w:t xml:space="preserve"> et morphologiques ainsi que celles </w:t>
      </w:r>
      <w:r w:rsidRPr="000925B3">
        <w:rPr>
          <w:rFonts w:cs="Calibri"/>
        </w:rPr>
        <w:t>hydro climatiques et météorologiques spécifiques</w:t>
      </w:r>
      <w:r>
        <w:rPr>
          <w:rFonts w:cs="Calibri"/>
        </w:rPr>
        <w:t xml:space="preserve"> des </w:t>
      </w:r>
      <w:r w:rsidRPr="000925B3">
        <w:rPr>
          <w:rFonts w:cs="Calibri"/>
        </w:rPr>
        <w:t>eaux maritimes sous juridiction nationale</w:t>
      </w:r>
      <w:r>
        <w:rPr>
          <w:rFonts w:cs="Calibri"/>
        </w:rPr>
        <w:t>.</w:t>
      </w:r>
    </w:p>
    <w:p w14:paraId="0F6334B9" w14:textId="77777777" w:rsidR="00CB712E" w:rsidRDefault="00CB712E" w:rsidP="00CB712E">
      <w:pPr>
        <w:jc w:val="both"/>
        <w:rPr>
          <w:rFonts w:cs="Calibri"/>
          <w:b/>
          <w:bCs/>
          <w:color w:val="FF0000"/>
        </w:rPr>
      </w:pPr>
      <w:r w:rsidRPr="000925B3">
        <w:rPr>
          <w:rFonts w:cs="Calibri"/>
          <w:b/>
          <w:bCs/>
          <w:color w:val="FF0000"/>
        </w:rPr>
        <w:t xml:space="preserve">2.1.1. </w:t>
      </w:r>
      <w:r>
        <w:rPr>
          <w:rFonts w:cs="Calibri"/>
          <w:b/>
          <w:bCs/>
          <w:color w:val="FF0000"/>
        </w:rPr>
        <w:t>Contexte physique et morphologique :</w:t>
      </w:r>
    </w:p>
    <w:p w14:paraId="195C61C6" w14:textId="77777777" w:rsidR="00CB712E" w:rsidRPr="000925B3" w:rsidRDefault="00CB712E" w:rsidP="00CB712E">
      <w:pPr>
        <w:jc w:val="both"/>
        <w:rPr>
          <w:rFonts w:cs="Calibri"/>
        </w:rPr>
      </w:pPr>
      <w:r w:rsidRPr="000925B3">
        <w:rPr>
          <w:rFonts w:cs="Calibri"/>
        </w:rPr>
        <w:t>Sur le plan physique, les principales formations caractéristiques de la façade maritime (720-750 km) et de la Zone Economique Exclusive Mauritanienne (ZEEM) avec une superficie entre 230.000 Km2 et 250.000 Km², sont la zone côtière, la zone du plateau continental, la zone du talus et enfin celle des grands fonds. Au niveau de ces formations, on distingue diverses formes de reliefs et d’habitats dont les plus importants sont :</w:t>
      </w:r>
    </w:p>
    <w:p w14:paraId="081F95D1" w14:textId="77777777" w:rsidR="00CB712E" w:rsidRPr="000925B3" w:rsidRDefault="00CB712E" w:rsidP="00CB712E">
      <w:pPr>
        <w:pStyle w:val="Paragraphedeliste"/>
        <w:numPr>
          <w:ilvl w:val="0"/>
          <w:numId w:val="288"/>
        </w:numPr>
        <w:suppressAutoHyphens/>
        <w:autoSpaceDN w:val="0"/>
        <w:spacing w:after="0" w:line="240" w:lineRule="auto"/>
        <w:jc w:val="both"/>
        <w:rPr>
          <w:rFonts w:cs="Calibri"/>
        </w:rPr>
      </w:pPr>
      <w:r w:rsidRPr="000925B3">
        <w:rPr>
          <w:rFonts w:cs="Calibri"/>
        </w:rPr>
        <w:t>Deux Caps : le Cap Blanc et le Cap Timiris ;</w:t>
      </w:r>
    </w:p>
    <w:p w14:paraId="3EC31ED6" w14:textId="77777777" w:rsidR="00CB712E" w:rsidRPr="000925B3" w:rsidRDefault="00CB712E" w:rsidP="00CB712E">
      <w:pPr>
        <w:pStyle w:val="Paragraphedeliste"/>
        <w:numPr>
          <w:ilvl w:val="0"/>
          <w:numId w:val="288"/>
        </w:numPr>
        <w:suppressAutoHyphens/>
        <w:autoSpaceDN w:val="0"/>
        <w:spacing w:after="0" w:line="240" w:lineRule="auto"/>
        <w:jc w:val="both"/>
        <w:rPr>
          <w:rFonts w:cs="Calibri"/>
        </w:rPr>
      </w:pPr>
      <w:r w:rsidRPr="000925B3">
        <w:rPr>
          <w:rFonts w:cs="Calibri"/>
        </w:rPr>
        <w:t>Des Baies : Baie du Lévrier, Baie d’Arguin et Baie de Saint-Jean ;</w:t>
      </w:r>
    </w:p>
    <w:p w14:paraId="5E82BC26" w14:textId="77777777" w:rsidR="00CB712E" w:rsidRPr="000925B3" w:rsidRDefault="00CB712E" w:rsidP="00CB712E">
      <w:pPr>
        <w:pStyle w:val="Paragraphedeliste"/>
        <w:numPr>
          <w:ilvl w:val="0"/>
          <w:numId w:val="288"/>
        </w:numPr>
        <w:suppressAutoHyphens/>
        <w:autoSpaceDN w:val="0"/>
        <w:spacing w:after="0" w:line="240" w:lineRule="auto"/>
        <w:jc w:val="both"/>
        <w:rPr>
          <w:rFonts w:cs="Calibri"/>
        </w:rPr>
      </w:pPr>
      <w:r w:rsidRPr="000925B3">
        <w:rPr>
          <w:rFonts w:cs="Calibri"/>
        </w:rPr>
        <w:t>Plus de 70 canyons et chenaux, regroupés en dix systèmes de canyons ;</w:t>
      </w:r>
    </w:p>
    <w:p w14:paraId="5878F7C9" w14:textId="77777777" w:rsidR="00CB712E" w:rsidRPr="000925B3" w:rsidRDefault="00CB712E" w:rsidP="00CB712E">
      <w:pPr>
        <w:pStyle w:val="Paragraphedeliste"/>
        <w:numPr>
          <w:ilvl w:val="0"/>
          <w:numId w:val="288"/>
        </w:numPr>
        <w:suppressAutoHyphens/>
        <w:autoSpaceDN w:val="0"/>
        <w:spacing w:after="0" w:line="240" w:lineRule="auto"/>
        <w:jc w:val="both"/>
        <w:rPr>
          <w:rFonts w:cs="Calibri"/>
        </w:rPr>
      </w:pPr>
      <w:r w:rsidRPr="000925B3">
        <w:rPr>
          <w:rFonts w:cs="Calibri"/>
        </w:rPr>
        <w:t>Un mont sous-marin de 200 m de haut ;</w:t>
      </w:r>
    </w:p>
    <w:p w14:paraId="33C6CF22" w14:textId="77777777" w:rsidR="00CB712E" w:rsidRPr="000925B3" w:rsidRDefault="00CB712E" w:rsidP="00CB712E">
      <w:pPr>
        <w:pStyle w:val="Paragraphedeliste"/>
        <w:numPr>
          <w:ilvl w:val="0"/>
          <w:numId w:val="288"/>
        </w:numPr>
        <w:suppressAutoHyphens/>
        <w:autoSpaceDN w:val="0"/>
        <w:spacing w:after="0" w:line="240" w:lineRule="auto"/>
        <w:jc w:val="both"/>
        <w:rPr>
          <w:rFonts w:cs="Calibri"/>
        </w:rPr>
      </w:pPr>
      <w:r w:rsidRPr="000925B3">
        <w:rPr>
          <w:rFonts w:cs="Calibri"/>
        </w:rPr>
        <w:t>Un récif corallien long de 600km (le plus long au monde) ;</w:t>
      </w:r>
    </w:p>
    <w:p w14:paraId="6D052184" w14:textId="77777777" w:rsidR="00CB712E" w:rsidRPr="000925B3" w:rsidRDefault="00CB712E" w:rsidP="00CB712E">
      <w:pPr>
        <w:pStyle w:val="Paragraphedeliste"/>
        <w:numPr>
          <w:ilvl w:val="0"/>
          <w:numId w:val="288"/>
        </w:numPr>
        <w:suppressAutoHyphens/>
        <w:autoSpaceDN w:val="0"/>
        <w:spacing w:after="0" w:line="240" w:lineRule="auto"/>
        <w:jc w:val="both"/>
        <w:rPr>
          <w:rFonts w:cs="Calibri"/>
        </w:rPr>
      </w:pPr>
      <w:r w:rsidRPr="000925B3">
        <w:rPr>
          <w:rFonts w:cs="Calibri"/>
        </w:rPr>
        <w:t>Des sédiments : formés à partir de l’apport de sédiments terrigènes localisés (notamment autour du delta du Sénégal) et du flux de particules hémi pélagiques de la remontée d’eau côtière, et puis des apports de poussières (</w:t>
      </w:r>
      <w:proofErr w:type="spellStart"/>
      <w:r w:rsidRPr="000925B3">
        <w:rPr>
          <w:rFonts w:cs="Calibri"/>
        </w:rPr>
        <w:t>Henrich</w:t>
      </w:r>
      <w:proofErr w:type="spellEnd"/>
      <w:r w:rsidRPr="000925B3">
        <w:rPr>
          <w:rFonts w:cs="Calibri"/>
        </w:rPr>
        <w:t xml:space="preserve"> et al., 2010).</w:t>
      </w:r>
    </w:p>
    <w:p w14:paraId="78E3C0CE" w14:textId="77777777" w:rsidR="00CB712E" w:rsidRPr="00434CD5" w:rsidRDefault="00CB712E" w:rsidP="00CB712E">
      <w:pPr>
        <w:jc w:val="both"/>
        <w:rPr>
          <w:rFonts w:cs="Calibri"/>
          <w:sz w:val="6"/>
          <w:szCs w:val="6"/>
        </w:rPr>
      </w:pPr>
    </w:p>
    <w:p w14:paraId="5468A8C7" w14:textId="77777777" w:rsidR="00CB712E" w:rsidRPr="000925B3" w:rsidRDefault="00CB712E" w:rsidP="00CB712E">
      <w:pPr>
        <w:jc w:val="both"/>
        <w:rPr>
          <w:rFonts w:cs="Calibri"/>
        </w:rPr>
      </w:pPr>
      <w:r>
        <w:rPr>
          <w:rFonts w:cs="Calibri"/>
          <w:b/>
          <w:bCs/>
          <w:color w:val="FF0000"/>
        </w:rPr>
        <w:t xml:space="preserve">2.1.2. </w:t>
      </w:r>
      <w:r w:rsidRPr="000925B3">
        <w:rPr>
          <w:rFonts w:cs="Calibri"/>
          <w:b/>
          <w:bCs/>
          <w:color w:val="FF0000"/>
        </w:rPr>
        <w:t xml:space="preserve">Contexte hydro climatologique </w:t>
      </w:r>
      <w:r>
        <w:rPr>
          <w:rFonts w:cs="Calibri"/>
          <w:b/>
          <w:bCs/>
          <w:color w:val="FF0000"/>
        </w:rPr>
        <w:t xml:space="preserve">et </w:t>
      </w:r>
      <w:r w:rsidRPr="000925B3">
        <w:rPr>
          <w:rFonts w:cs="Calibri"/>
          <w:b/>
          <w:bCs/>
          <w:color w:val="FF0000"/>
        </w:rPr>
        <w:t>météorologique :</w:t>
      </w:r>
    </w:p>
    <w:p w14:paraId="60BD4B0B" w14:textId="2E47CEB9" w:rsidR="00CB712E" w:rsidRPr="00434CD5" w:rsidRDefault="00CB712E" w:rsidP="00434CD5">
      <w:pPr>
        <w:spacing w:after="0"/>
        <w:jc w:val="both"/>
        <w:rPr>
          <w:rFonts w:cs="Calibri"/>
          <w:b/>
          <w:bCs/>
          <w:sz w:val="6"/>
          <w:szCs w:val="6"/>
        </w:rPr>
      </w:pPr>
      <w:r w:rsidRPr="000925B3">
        <w:rPr>
          <w:rFonts w:cs="Calibri"/>
        </w:rPr>
        <w:t xml:space="preserve">La zone maritime mauritanienne se caractérise par des conditions naturelles hydro climatiques et météorologiques qui, ensemble avec des conditions physiques ou géomorphologiques spécifiques, font que les eaux sous juridiction nationale sont réputées parmi les plus riches en ressources biologiques, notamment ichtyologiques. </w:t>
      </w:r>
    </w:p>
    <w:p w14:paraId="58F4DA08" w14:textId="77777777" w:rsidR="00CB712E" w:rsidRPr="000925B3" w:rsidRDefault="00CB712E" w:rsidP="00CB712E">
      <w:pPr>
        <w:jc w:val="both"/>
        <w:rPr>
          <w:rFonts w:cs="Calibri"/>
        </w:rPr>
      </w:pPr>
      <w:r w:rsidRPr="000925B3">
        <w:rPr>
          <w:rFonts w:cs="Calibri"/>
        </w:rPr>
        <w:t>Les facteurs les plus déterminants à ce sujet et les plus communément cités sont :</w:t>
      </w:r>
    </w:p>
    <w:p w14:paraId="445D5A78" w14:textId="77777777" w:rsidR="00CB712E" w:rsidRPr="000925B3" w:rsidRDefault="00CB712E" w:rsidP="00CB712E">
      <w:pPr>
        <w:jc w:val="both"/>
        <w:rPr>
          <w:rFonts w:cs="Calibri"/>
        </w:rPr>
      </w:pPr>
    </w:p>
    <w:p w14:paraId="4C648735" w14:textId="77777777" w:rsidR="00CB712E" w:rsidRPr="000925B3" w:rsidRDefault="00CB712E" w:rsidP="00CB712E">
      <w:pPr>
        <w:tabs>
          <w:tab w:val="left" w:pos="284"/>
        </w:tabs>
        <w:jc w:val="both"/>
        <w:rPr>
          <w:rFonts w:cs="Calibri"/>
        </w:rPr>
      </w:pPr>
      <w:r w:rsidRPr="000925B3">
        <w:rPr>
          <w:rFonts w:cs="Calibri"/>
          <w:b/>
          <w:bCs/>
          <w:i/>
          <w:iCs/>
          <w:color w:val="FF0000"/>
        </w:rPr>
        <w:t>La pluviométrie :</w:t>
      </w:r>
    </w:p>
    <w:p w14:paraId="47A3DF62" w14:textId="77777777" w:rsidR="00CB712E" w:rsidRPr="00660F9E" w:rsidRDefault="00CB712E" w:rsidP="00CB712E">
      <w:pPr>
        <w:tabs>
          <w:tab w:val="left" w:pos="284"/>
        </w:tabs>
        <w:jc w:val="both"/>
        <w:rPr>
          <w:rFonts w:cs="Calibri"/>
          <w:sz w:val="16"/>
          <w:szCs w:val="16"/>
        </w:rPr>
      </w:pPr>
    </w:p>
    <w:p w14:paraId="74BD985A" w14:textId="77777777" w:rsidR="00CB712E" w:rsidRPr="000925B3" w:rsidRDefault="00CB712E" w:rsidP="00CB712E">
      <w:pPr>
        <w:tabs>
          <w:tab w:val="left" w:pos="284"/>
        </w:tabs>
        <w:jc w:val="both"/>
        <w:rPr>
          <w:rFonts w:cs="Calibri"/>
        </w:rPr>
      </w:pPr>
      <w:r w:rsidRPr="000925B3">
        <w:rPr>
          <w:rFonts w:cs="Calibri"/>
        </w:rPr>
        <w:t>La zone du littoral mauritanien est généralement connue pour ses pluies rares et de très petites quantités ; les pluies diluviennes étant cependant un phénomène rare,</w:t>
      </w:r>
      <w:r>
        <w:rPr>
          <w:rFonts w:cs="Calibri"/>
        </w:rPr>
        <w:t xml:space="preserve"> b</w:t>
      </w:r>
      <w:r w:rsidRPr="000925B3">
        <w:rPr>
          <w:rFonts w:cs="Calibri"/>
        </w:rPr>
        <w:t>énéfiques et salutaires.</w:t>
      </w:r>
    </w:p>
    <w:p w14:paraId="6A620349" w14:textId="77777777" w:rsidR="00CB712E" w:rsidRPr="000925B3" w:rsidRDefault="00CB712E" w:rsidP="00CB712E">
      <w:pPr>
        <w:tabs>
          <w:tab w:val="left" w:pos="284"/>
        </w:tabs>
        <w:spacing w:after="80"/>
        <w:jc w:val="both"/>
        <w:rPr>
          <w:rFonts w:cs="Calibri"/>
        </w:rPr>
      </w:pPr>
      <w:r w:rsidRPr="00660F9E">
        <w:rPr>
          <w:rFonts w:cs="Calibri"/>
          <w:b/>
          <w:bCs/>
          <w:i/>
          <w:iCs/>
          <w:color w:val="FF0000"/>
        </w:rPr>
        <w:t>Les précipitations annuelles</w:t>
      </w:r>
      <w:r w:rsidRPr="000925B3">
        <w:rPr>
          <w:rFonts w:cs="Calibri"/>
        </w:rPr>
        <w:t xml:space="preserve"> sont comprises entre 50 et 150 mm au nord où prédomine le climat saharien alors qu’au sud, sahélien, elles sont comprises entre 150 et 600 mm.</w:t>
      </w:r>
    </w:p>
    <w:p w14:paraId="4D24F1EB" w14:textId="77777777" w:rsidR="00CB712E" w:rsidRPr="000925B3" w:rsidRDefault="00CB712E" w:rsidP="00CB712E">
      <w:pPr>
        <w:tabs>
          <w:tab w:val="left" w:pos="284"/>
        </w:tabs>
        <w:jc w:val="both"/>
        <w:rPr>
          <w:rFonts w:cs="Calibri"/>
        </w:rPr>
      </w:pPr>
      <w:r w:rsidRPr="000925B3">
        <w:rPr>
          <w:rFonts w:cs="Calibri"/>
        </w:rPr>
        <w:t>Les plus récentes études montrent une allure générale à la baisse de la pluie sur toute l’étendue du littoral mauritanien. Là, il est prévu que les quantités de pluies régressent avec -0,5 à -1 mm (Cellule Nationale pour la CCNUCC/MEDD).</w:t>
      </w:r>
    </w:p>
    <w:p w14:paraId="4497D3F2" w14:textId="77777777" w:rsidR="00CB712E" w:rsidRDefault="00CB712E" w:rsidP="00CB712E">
      <w:pPr>
        <w:tabs>
          <w:tab w:val="left" w:pos="284"/>
        </w:tabs>
        <w:jc w:val="both"/>
        <w:rPr>
          <w:rFonts w:cs="Calibri"/>
          <w:b/>
          <w:bCs/>
          <w:i/>
          <w:iCs/>
          <w:color w:val="FF0000"/>
        </w:rPr>
      </w:pPr>
      <w:r w:rsidRPr="000925B3">
        <w:rPr>
          <w:rFonts w:cs="Calibri"/>
          <w:b/>
          <w:bCs/>
          <w:i/>
          <w:iCs/>
          <w:color w:val="FF0000"/>
        </w:rPr>
        <w:t>La température :</w:t>
      </w:r>
    </w:p>
    <w:p w14:paraId="0FAABF36" w14:textId="77777777" w:rsidR="00CB712E" w:rsidRPr="000925B3" w:rsidRDefault="00CB712E" w:rsidP="00CB712E">
      <w:pPr>
        <w:tabs>
          <w:tab w:val="left" w:pos="284"/>
        </w:tabs>
        <w:jc w:val="both"/>
        <w:rPr>
          <w:rFonts w:cs="Calibri"/>
        </w:rPr>
      </w:pPr>
      <w:r w:rsidRPr="000925B3">
        <w:rPr>
          <w:rFonts w:cs="Calibri"/>
        </w:rPr>
        <w:t>Au niveau du littoral mauritanien, le climat se caractérise par de fortes températures qui dépassent le seuil de 40°C (sauf dans Dakhlet Nouadhibou au nord sur la côte), et des hivers relativement doux.</w:t>
      </w:r>
      <w:r>
        <w:rPr>
          <w:rFonts w:cs="Calibri"/>
        </w:rPr>
        <w:t xml:space="preserve"> </w:t>
      </w:r>
      <w:r w:rsidRPr="000925B3">
        <w:rPr>
          <w:rFonts w:cs="Calibri"/>
        </w:rPr>
        <w:t>Pour particulièrement la température des eaux, la tendance des valeurs a été à la hausse pour la période d’observation 1982-2018. Ces valeurs sont en effet passées de 22,69°C durant la décennie 1989-1998 à 23,03°C pour la décennie suivante 1998-2008 (GT de l’IMROP 2019). A souligner aussi que la Cellule nationale pour la CCNUCC du Ministère de l’Environnement et du Développement Durable (MEDD), a prévu que l’augmentation de la saison sèche atteigne un maximum de 30 jours par décennie.</w:t>
      </w:r>
    </w:p>
    <w:p w14:paraId="66CFE97F" w14:textId="77777777" w:rsidR="00CB712E" w:rsidRPr="000925B3" w:rsidRDefault="00CB712E" w:rsidP="00CB712E">
      <w:pPr>
        <w:jc w:val="both"/>
        <w:rPr>
          <w:rFonts w:cs="Calibri"/>
        </w:rPr>
      </w:pPr>
      <w:r w:rsidRPr="000925B3">
        <w:rPr>
          <w:rFonts w:cs="Calibri"/>
          <w:b/>
          <w:bCs/>
          <w:i/>
          <w:iCs/>
          <w:color w:val="FF0000"/>
        </w:rPr>
        <w:t>Le vent :</w:t>
      </w:r>
    </w:p>
    <w:p w14:paraId="460A55F5" w14:textId="77777777" w:rsidR="00CB712E" w:rsidRPr="000925B3" w:rsidRDefault="00CB712E" w:rsidP="00CB712E">
      <w:pPr>
        <w:jc w:val="both"/>
        <w:rPr>
          <w:rFonts w:cs="Calibri"/>
        </w:rPr>
      </w:pPr>
      <w:r w:rsidRPr="000925B3">
        <w:rPr>
          <w:rFonts w:cs="Calibri"/>
        </w:rPr>
        <w:t>Le vent est considéré comme le moteur de l’upwelling qui, lui, conditionne la diversité biologique et la productivité des écosystèmes marins et côtiers. Le régime des vents s’est caractérisé, ces dernières années, par l’augmentation en fréquence des vents de la direction nord et une diminution des vitesses moyennes et de la fréquence des grandes valeurs de la force du vent (9 et 8 m/s). Ces perturbations du régime des vents, sont associées à la variabilité du climat et imputées au changement climatique (GT de l’IMROP 2019). Elles deviennent ainsi un aléa climatique de plus qui pèse sur les ressources halieutiques (upwelling qui apparait tardivement ou de manière précoce, etc.)  fig. ??? ci-contre.</w:t>
      </w:r>
    </w:p>
    <w:p w14:paraId="1590809B" w14:textId="1BAE59D8" w:rsidR="00CB712E" w:rsidRPr="000925B3" w:rsidRDefault="00172037" w:rsidP="00CB712E">
      <w:pPr>
        <w:jc w:val="both"/>
        <w:rPr>
          <w:rFonts w:cs="Calibri"/>
        </w:rPr>
      </w:pPr>
      <w:r w:rsidRPr="000925B3">
        <w:rPr>
          <w:rFonts w:cs="Calibri"/>
          <w:noProof/>
        </w:rPr>
        <w:drawing>
          <wp:anchor distT="0" distB="0" distL="114300" distR="114300" simplePos="0" relativeHeight="251710464" behindDoc="0" locked="0" layoutInCell="1" allowOverlap="1" wp14:anchorId="1560CA9E" wp14:editId="221F7538">
            <wp:simplePos x="0" y="0"/>
            <wp:positionH relativeFrom="margin">
              <wp:posOffset>149777</wp:posOffset>
            </wp:positionH>
            <wp:positionV relativeFrom="paragraph">
              <wp:posOffset>-2485</wp:posOffset>
            </wp:positionV>
            <wp:extent cx="4541520" cy="4465040"/>
            <wp:effectExtent l="0" t="0" r="0" b="0"/>
            <wp:wrapNone/>
            <wp:docPr id="992488330" name="Image 35" descr="Une image contenant texte, capture d’écran, diagramme, lign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7"/>
                    <a:stretch>
                      <a:fillRect/>
                    </a:stretch>
                  </pic:blipFill>
                  <pic:spPr>
                    <a:xfrm>
                      <a:off x="0" y="0"/>
                      <a:ext cx="4544704" cy="446817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63A283A9" w14:textId="1EEA4038" w:rsidR="00CB712E" w:rsidRPr="000925B3" w:rsidRDefault="00CB712E" w:rsidP="00CB712E">
      <w:pPr>
        <w:jc w:val="both"/>
        <w:rPr>
          <w:rFonts w:cs="Calibri"/>
        </w:rPr>
      </w:pPr>
      <w:r w:rsidRPr="000925B3">
        <w:rPr>
          <w:rFonts w:cs="Calibri"/>
          <w:noProof/>
        </w:rPr>
        <w:drawing>
          <wp:anchor distT="0" distB="0" distL="114300" distR="114300" simplePos="0" relativeHeight="251711488" behindDoc="0" locked="0" layoutInCell="1" allowOverlap="1" wp14:anchorId="55945134" wp14:editId="35FC27AF">
            <wp:simplePos x="0" y="0"/>
            <wp:positionH relativeFrom="margin">
              <wp:posOffset>7452360</wp:posOffset>
            </wp:positionH>
            <wp:positionV relativeFrom="paragraph">
              <wp:posOffset>128272</wp:posOffset>
            </wp:positionV>
            <wp:extent cx="2468880" cy="1873889"/>
            <wp:effectExtent l="0" t="0" r="7620" b="0"/>
            <wp:wrapNone/>
            <wp:docPr id="362201376" name="Image 37" descr="Une image contenant texte, capture d’écran, ligne, diagramm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a:stretch>
                      <a:fillRect/>
                    </a:stretch>
                  </pic:blipFill>
                  <pic:spPr>
                    <a:xfrm>
                      <a:off x="0" y="0"/>
                      <a:ext cx="2468880" cy="1873889"/>
                    </a:xfrm>
                    <a:prstGeom prst="rect">
                      <a:avLst/>
                    </a:prstGeom>
                    <a:noFill/>
                    <a:ln>
                      <a:noFill/>
                      <a:prstDash/>
                    </a:ln>
                  </pic:spPr>
                </pic:pic>
              </a:graphicData>
            </a:graphic>
          </wp:anchor>
        </w:drawing>
      </w:r>
    </w:p>
    <w:p w14:paraId="6CA1E3ED" w14:textId="77777777" w:rsidR="00CB712E" w:rsidRPr="000925B3" w:rsidRDefault="00CB712E" w:rsidP="00CB712E">
      <w:pPr>
        <w:jc w:val="both"/>
        <w:rPr>
          <w:rFonts w:cs="Calibri"/>
        </w:rPr>
      </w:pPr>
    </w:p>
    <w:p w14:paraId="19B1ECC4" w14:textId="77777777" w:rsidR="00CB712E" w:rsidRPr="000925B3" w:rsidRDefault="00CB712E" w:rsidP="00CB712E">
      <w:pPr>
        <w:jc w:val="both"/>
        <w:rPr>
          <w:rFonts w:cs="Calibri"/>
        </w:rPr>
      </w:pPr>
    </w:p>
    <w:p w14:paraId="59D4E3CF" w14:textId="77777777" w:rsidR="00CB712E" w:rsidRPr="000925B3" w:rsidRDefault="00CB712E" w:rsidP="00CB712E">
      <w:pPr>
        <w:jc w:val="both"/>
        <w:rPr>
          <w:rFonts w:cs="Calibri"/>
        </w:rPr>
      </w:pPr>
    </w:p>
    <w:p w14:paraId="57345669" w14:textId="77777777" w:rsidR="00CB712E" w:rsidRPr="000925B3" w:rsidRDefault="00CB712E" w:rsidP="00CB712E">
      <w:pPr>
        <w:pStyle w:val="Lgende"/>
        <w:spacing w:after="0"/>
        <w:jc w:val="both"/>
        <w:rPr>
          <w:rFonts w:cs="Calibri"/>
          <w:sz w:val="22"/>
          <w:szCs w:val="22"/>
        </w:rPr>
      </w:pPr>
    </w:p>
    <w:p w14:paraId="0DE3EEA9" w14:textId="77777777" w:rsidR="00CB712E" w:rsidRPr="00660F9E" w:rsidRDefault="00CB712E" w:rsidP="00CB712E">
      <w:pPr>
        <w:jc w:val="both"/>
        <w:rPr>
          <w:rFonts w:cs="Calibri"/>
          <w:sz w:val="8"/>
          <w:szCs w:val="8"/>
        </w:rPr>
      </w:pPr>
    </w:p>
    <w:p w14:paraId="7C478E2D" w14:textId="77777777" w:rsidR="00CB712E" w:rsidRPr="000925B3" w:rsidRDefault="00CB712E" w:rsidP="00CB712E">
      <w:pPr>
        <w:jc w:val="both"/>
        <w:rPr>
          <w:rFonts w:cs="Calibri"/>
        </w:rPr>
      </w:pPr>
    </w:p>
    <w:p w14:paraId="60264ACF" w14:textId="77777777" w:rsidR="00CB712E" w:rsidRPr="000925B3" w:rsidRDefault="00CB712E" w:rsidP="00CB712E">
      <w:pPr>
        <w:pStyle w:val="Paragraphedeliste"/>
        <w:numPr>
          <w:ilvl w:val="0"/>
          <w:numId w:val="257"/>
        </w:numPr>
        <w:autoSpaceDN w:val="0"/>
        <w:spacing w:after="0" w:line="240" w:lineRule="auto"/>
        <w:ind w:left="0"/>
        <w:contextualSpacing w:val="0"/>
        <w:jc w:val="both"/>
        <w:rPr>
          <w:rFonts w:cs="Calibri"/>
          <w:b/>
          <w:bCs/>
        </w:rPr>
      </w:pPr>
    </w:p>
    <w:p w14:paraId="3810C7C8" w14:textId="77777777" w:rsidR="00CB712E" w:rsidRPr="000925B3" w:rsidRDefault="00CB712E" w:rsidP="00CB712E">
      <w:pPr>
        <w:pStyle w:val="Paragraphedeliste"/>
        <w:numPr>
          <w:ilvl w:val="0"/>
          <w:numId w:val="257"/>
        </w:numPr>
        <w:autoSpaceDN w:val="0"/>
        <w:spacing w:after="0" w:line="240" w:lineRule="auto"/>
        <w:ind w:left="0"/>
        <w:contextualSpacing w:val="0"/>
        <w:jc w:val="both"/>
        <w:rPr>
          <w:rFonts w:cs="Calibri"/>
          <w:b/>
          <w:bCs/>
        </w:rPr>
      </w:pPr>
    </w:p>
    <w:p w14:paraId="76CD22AA" w14:textId="77777777" w:rsidR="00CB712E" w:rsidRPr="000925B3" w:rsidRDefault="00CB712E" w:rsidP="00CB712E">
      <w:pPr>
        <w:pStyle w:val="Paragraphedeliste"/>
        <w:numPr>
          <w:ilvl w:val="0"/>
          <w:numId w:val="257"/>
        </w:numPr>
        <w:autoSpaceDN w:val="0"/>
        <w:spacing w:after="0" w:line="240" w:lineRule="auto"/>
        <w:ind w:left="0"/>
        <w:contextualSpacing w:val="0"/>
        <w:jc w:val="both"/>
        <w:rPr>
          <w:rFonts w:cs="Calibri"/>
          <w:b/>
          <w:bCs/>
        </w:rPr>
      </w:pPr>
    </w:p>
    <w:p w14:paraId="36B7B9E3" w14:textId="77777777" w:rsidR="00CB712E" w:rsidRPr="000925B3" w:rsidRDefault="00CB712E" w:rsidP="00CB712E">
      <w:pPr>
        <w:pStyle w:val="Paragraphedeliste"/>
        <w:numPr>
          <w:ilvl w:val="0"/>
          <w:numId w:val="257"/>
        </w:numPr>
        <w:autoSpaceDN w:val="0"/>
        <w:spacing w:after="0" w:line="240" w:lineRule="auto"/>
        <w:ind w:left="0"/>
        <w:contextualSpacing w:val="0"/>
        <w:jc w:val="both"/>
        <w:rPr>
          <w:rFonts w:cs="Calibri"/>
          <w:b/>
          <w:bCs/>
        </w:rPr>
      </w:pPr>
    </w:p>
    <w:p w14:paraId="4163031F" w14:textId="77777777" w:rsidR="00CB712E" w:rsidRPr="000925B3" w:rsidRDefault="00CB712E" w:rsidP="00CB712E">
      <w:pPr>
        <w:pStyle w:val="Paragraphedeliste"/>
        <w:numPr>
          <w:ilvl w:val="0"/>
          <w:numId w:val="257"/>
        </w:numPr>
        <w:autoSpaceDN w:val="0"/>
        <w:spacing w:after="0" w:line="240" w:lineRule="auto"/>
        <w:ind w:left="0"/>
        <w:contextualSpacing w:val="0"/>
        <w:jc w:val="both"/>
        <w:rPr>
          <w:rFonts w:cs="Calibri"/>
          <w:b/>
          <w:bCs/>
        </w:rPr>
      </w:pPr>
    </w:p>
    <w:p w14:paraId="0E7B84F2" w14:textId="77777777" w:rsidR="00CB712E" w:rsidRPr="000925B3" w:rsidRDefault="00CB712E" w:rsidP="00CB712E">
      <w:pPr>
        <w:pStyle w:val="Paragraphedeliste"/>
        <w:numPr>
          <w:ilvl w:val="0"/>
          <w:numId w:val="257"/>
        </w:numPr>
        <w:autoSpaceDN w:val="0"/>
        <w:spacing w:after="0" w:line="240" w:lineRule="auto"/>
        <w:ind w:left="0"/>
        <w:contextualSpacing w:val="0"/>
        <w:jc w:val="both"/>
        <w:rPr>
          <w:rFonts w:cs="Calibri"/>
          <w:b/>
          <w:bCs/>
        </w:rPr>
      </w:pPr>
    </w:p>
    <w:p w14:paraId="33A7F2BC" w14:textId="77777777" w:rsidR="00CB712E" w:rsidRPr="000925B3" w:rsidRDefault="00CB712E" w:rsidP="00CB712E">
      <w:pPr>
        <w:pStyle w:val="Paragraphedeliste"/>
        <w:numPr>
          <w:ilvl w:val="0"/>
          <w:numId w:val="257"/>
        </w:numPr>
        <w:autoSpaceDN w:val="0"/>
        <w:spacing w:after="0" w:line="240" w:lineRule="auto"/>
        <w:ind w:left="0"/>
        <w:contextualSpacing w:val="0"/>
        <w:jc w:val="both"/>
        <w:rPr>
          <w:rFonts w:cs="Calibri"/>
        </w:rPr>
      </w:pPr>
      <w:r w:rsidRPr="000925B3">
        <w:rPr>
          <w:rFonts w:cs="Calibri"/>
          <w:noProof/>
        </w:rPr>
        <mc:AlternateContent>
          <mc:Choice Requires="wps">
            <w:drawing>
              <wp:anchor distT="0" distB="0" distL="114300" distR="114300" simplePos="0" relativeHeight="251712512" behindDoc="0" locked="0" layoutInCell="1" allowOverlap="1" wp14:anchorId="258B3EB7" wp14:editId="69F1B9A9">
                <wp:simplePos x="0" y="0"/>
                <wp:positionH relativeFrom="margin">
                  <wp:posOffset>295908</wp:posOffset>
                </wp:positionH>
                <wp:positionV relativeFrom="paragraph">
                  <wp:posOffset>196852</wp:posOffset>
                </wp:positionV>
                <wp:extent cx="4461513" cy="0"/>
                <wp:effectExtent l="0" t="0" r="0" b="0"/>
                <wp:wrapNone/>
                <wp:docPr id="260334929" name="Text Box 1"/>
                <wp:cNvGraphicFramePr/>
                <a:graphic xmlns:a="http://schemas.openxmlformats.org/drawingml/2006/main">
                  <a:graphicData uri="http://schemas.microsoft.com/office/word/2010/wordprocessingShape">
                    <wps:wsp>
                      <wps:cNvSpPr txBox="1"/>
                      <wps:spPr>
                        <a:xfrm>
                          <a:off x="0" y="0"/>
                          <a:ext cx="4461513" cy="0"/>
                        </a:xfrm>
                        <a:prstGeom prst="rect">
                          <a:avLst/>
                        </a:prstGeom>
                        <a:solidFill>
                          <a:srgbClr val="FFFFFF"/>
                        </a:solidFill>
                        <a:ln>
                          <a:noFill/>
                          <a:prstDash/>
                        </a:ln>
                      </wps:spPr>
                      <wps:txbx>
                        <w:txbxContent>
                          <w:p w14:paraId="12DFD32F" w14:textId="77777777" w:rsidR="00CB712E" w:rsidRDefault="00CB712E" w:rsidP="00CB712E">
                            <w:pPr>
                              <w:pStyle w:val="Lgende"/>
                            </w:pPr>
                            <w:bookmarkStart w:id="218" w:name="_Toc165236779"/>
                            <w:r>
                              <w:t>Figure 2 : Comparaison de la fréquence des directions moyennes de vents annuelles à NDB pour les différentes périodes (1960-1979, 1980-1999 et 2000-2020</w:t>
                            </w:r>
                            <w:bookmarkEnd w:id="218"/>
                          </w:p>
                        </w:txbxContent>
                      </wps:txbx>
                      <wps:bodyPr vert="horz" wrap="square" lIns="0" tIns="0" rIns="0" bIns="0" anchor="t" anchorCtr="0" compatLnSpc="1">
                        <a:spAutoFit/>
                      </wps:bodyPr>
                    </wps:wsp>
                  </a:graphicData>
                </a:graphic>
              </wp:anchor>
            </w:drawing>
          </mc:Choice>
          <mc:Fallback>
            <w:pict>
              <v:shape w14:anchorId="258B3EB7" id="Text Box 1" o:spid="_x0000_s1058" type="#_x0000_t202" style="position:absolute;left:0;text-align:left;margin-left:23.3pt;margin-top:15.5pt;width:351.3pt;height:0;z-index:2517125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" stroked="f">
                <v:textbox style="mso-fit-shape-to-text:t" inset="0,0,0,0">
                  <w:txbxContent>
                    <w:p w14:paraId="12DFD32F" w14:textId="77777777" w:rsidR="00CB712E" w:rsidRDefault="00CB712E" w:rsidP="00CB712E">
                      <w:pPr>
                        <w:pStyle w:val="Lgende"/>
                      </w:pPr>
                      <w:bookmarkStart w:id="219" w:name="_Toc165236779"/>
                      <w:r>
                        <w:t>Figure 2 : Comparaison de la fréquence des directions moyennes de vents annuelles à NDB pour les différentes périodes (1960-1979, 1980-1999 et 2000-2020</w:t>
                      </w:r>
                      <w:bookmarkEnd w:id="219"/>
                    </w:p>
                  </w:txbxContent>
                </v:textbox>
                <w10:wrap anchorx="margin"/>
              </v:shape>
            </w:pict>
          </mc:Fallback>
        </mc:AlternateContent>
      </w:r>
    </w:p>
    <w:p w14:paraId="4D17E053" w14:textId="77777777" w:rsidR="00CB712E" w:rsidRPr="000925B3" w:rsidRDefault="00CB712E" w:rsidP="00CB712E">
      <w:pPr>
        <w:pStyle w:val="Paragraphedeliste"/>
        <w:numPr>
          <w:ilvl w:val="0"/>
          <w:numId w:val="257"/>
        </w:numPr>
        <w:autoSpaceDN w:val="0"/>
        <w:spacing w:after="0" w:line="240" w:lineRule="auto"/>
        <w:ind w:left="0"/>
        <w:contextualSpacing w:val="0"/>
        <w:jc w:val="both"/>
        <w:rPr>
          <w:rFonts w:cs="Calibri"/>
          <w:b/>
          <w:bCs/>
        </w:rPr>
      </w:pPr>
    </w:p>
    <w:p w14:paraId="2805BBAD" w14:textId="77777777" w:rsidR="00CB712E" w:rsidRPr="000925B3" w:rsidRDefault="00CB712E" w:rsidP="00CB712E">
      <w:pPr>
        <w:pStyle w:val="Paragraphedeliste"/>
        <w:numPr>
          <w:ilvl w:val="0"/>
          <w:numId w:val="257"/>
        </w:numPr>
        <w:autoSpaceDN w:val="0"/>
        <w:spacing w:after="0" w:line="240" w:lineRule="auto"/>
        <w:ind w:left="0"/>
        <w:contextualSpacing w:val="0"/>
        <w:jc w:val="both"/>
        <w:rPr>
          <w:rFonts w:cs="Calibri"/>
          <w:b/>
          <w:bCs/>
        </w:rPr>
      </w:pPr>
    </w:p>
    <w:p w14:paraId="7EFDA86C" w14:textId="77777777" w:rsidR="00CB712E" w:rsidRPr="000925B3" w:rsidRDefault="00CB712E" w:rsidP="00CB712E">
      <w:pPr>
        <w:pStyle w:val="Paragraphedeliste"/>
        <w:numPr>
          <w:ilvl w:val="0"/>
          <w:numId w:val="257"/>
        </w:numPr>
        <w:autoSpaceDN w:val="0"/>
        <w:spacing w:after="0" w:line="240" w:lineRule="auto"/>
        <w:ind w:left="0"/>
        <w:contextualSpacing w:val="0"/>
        <w:jc w:val="both"/>
        <w:rPr>
          <w:rFonts w:cs="Calibri"/>
          <w:b/>
          <w:bCs/>
        </w:rPr>
      </w:pPr>
    </w:p>
    <w:p w14:paraId="64332980" w14:textId="77777777" w:rsidR="00CB712E" w:rsidRPr="000925B3" w:rsidRDefault="00CB712E" w:rsidP="00CB712E">
      <w:pPr>
        <w:pStyle w:val="Paragraphedeliste"/>
        <w:numPr>
          <w:ilvl w:val="0"/>
          <w:numId w:val="257"/>
        </w:numPr>
        <w:autoSpaceDN w:val="0"/>
        <w:spacing w:after="0" w:line="240" w:lineRule="auto"/>
        <w:ind w:left="0"/>
        <w:contextualSpacing w:val="0"/>
        <w:jc w:val="both"/>
        <w:rPr>
          <w:rFonts w:cs="Calibri"/>
          <w:b/>
          <w:bCs/>
        </w:rPr>
      </w:pPr>
    </w:p>
    <w:p w14:paraId="19CBED7E" w14:textId="77777777" w:rsidR="00CB712E" w:rsidRPr="000925B3" w:rsidRDefault="00CB712E" w:rsidP="00CB712E">
      <w:pPr>
        <w:pStyle w:val="Paragraphedeliste"/>
        <w:numPr>
          <w:ilvl w:val="0"/>
          <w:numId w:val="257"/>
        </w:numPr>
        <w:autoSpaceDN w:val="0"/>
        <w:spacing w:after="0" w:line="240" w:lineRule="auto"/>
        <w:ind w:left="0"/>
        <w:contextualSpacing w:val="0"/>
        <w:jc w:val="both"/>
        <w:rPr>
          <w:rFonts w:cs="Calibri"/>
          <w:b/>
          <w:bCs/>
        </w:rPr>
      </w:pPr>
    </w:p>
    <w:p w14:paraId="3F62B405" w14:textId="77777777" w:rsidR="00CB712E" w:rsidRPr="000925B3" w:rsidRDefault="00CB712E" w:rsidP="00CB712E">
      <w:pPr>
        <w:jc w:val="both"/>
        <w:rPr>
          <w:rFonts w:cs="Calibri"/>
          <w:b/>
          <w:bCs/>
        </w:rPr>
      </w:pPr>
    </w:p>
    <w:p w14:paraId="1687D877" w14:textId="6533111C" w:rsidR="00CB712E" w:rsidRPr="00153C41" w:rsidRDefault="00CB712E" w:rsidP="00153C41">
      <w:pPr>
        <w:pStyle w:val="Paragraphedeliste"/>
        <w:numPr>
          <w:ilvl w:val="0"/>
          <w:numId w:val="257"/>
        </w:numPr>
        <w:autoSpaceDN w:val="0"/>
        <w:spacing w:after="0" w:line="240" w:lineRule="auto"/>
        <w:ind w:left="0"/>
        <w:contextualSpacing w:val="0"/>
        <w:jc w:val="both"/>
        <w:rPr>
          <w:rFonts w:cs="Calibri"/>
          <w:sz w:val="10"/>
          <w:szCs w:val="10"/>
        </w:rPr>
      </w:pPr>
      <w:r w:rsidRPr="000925B3">
        <w:rPr>
          <w:rFonts w:cs="Calibri"/>
          <w:b/>
          <w:color w:val="FF0000"/>
        </w:rPr>
        <w:t>Les courants marins :</w:t>
      </w:r>
    </w:p>
    <w:p w14:paraId="74881BAD" w14:textId="77777777" w:rsidR="00CB712E" w:rsidRPr="000925B3" w:rsidRDefault="00CB712E" w:rsidP="00CB712E">
      <w:pPr>
        <w:autoSpaceDE w:val="0"/>
        <w:jc w:val="both"/>
        <w:rPr>
          <w:rFonts w:cs="Calibri"/>
        </w:rPr>
      </w:pPr>
      <w:r w:rsidRPr="000925B3">
        <w:rPr>
          <w:rFonts w:cs="Calibri"/>
        </w:rPr>
        <w:t>En dehors des inconvénients qu’ils créent pour la navigation et leurs impacts en ce qui est de l’érosion et l’ensablement des zones côtières, les courants marins jouent des rôles très importants dans l’autoépuration des océans (polluants et contaminants, certains déchets, concentration et changement de direction, etc.).</w:t>
      </w:r>
    </w:p>
    <w:p w14:paraId="6032A4C6" w14:textId="77777777" w:rsidR="00CB712E" w:rsidRPr="000925B3" w:rsidRDefault="00CB712E" w:rsidP="00CB712E">
      <w:pPr>
        <w:jc w:val="both"/>
        <w:rPr>
          <w:rFonts w:cs="Calibri"/>
        </w:rPr>
      </w:pPr>
      <w:r w:rsidRPr="000925B3">
        <w:rPr>
          <w:rFonts w:cs="Calibri"/>
        </w:rPr>
        <w:t>Depuis l’avènement du changement climatique et l’élévation du niveau de la mer qu’il continue d’induire, les courants semblent modifier largement les variations du marnage ainsi que la force et la fréquence des houles et tempêtes.</w:t>
      </w:r>
    </w:p>
    <w:p w14:paraId="11E82FE0" w14:textId="77777777" w:rsidR="00CB712E" w:rsidRDefault="00CB712E" w:rsidP="00CB712E">
      <w:pPr>
        <w:jc w:val="both"/>
        <w:rPr>
          <w:rFonts w:cs="Calibri"/>
        </w:rPr>
      </w:pPr>
      <w:bookmarkStart w:id="220" w:name="_Hlk177541356"/>
      <w:r w:rsidRPr="000925B3">
        <w:rPr>
          <w:rFonts w:cs="Calibri"/>
        </w:rPr>
        <w:t>En somme, on remarque que les facteurs physiques, hydrologiques et océanographiques précédemment décrits et les processus exceptionnels qu’ils engendrent, se traduisent par une grande productivité primaire, une abondance des ressources et une riche diversité biologique des écosystèmes marins et côtiers au large de la Mauritanie. Dans cette situation de productivité biologique et de richesse de la biodiversité spécifiques et d’habitat, le rôle prépondérant reviendrait au phénomène exceptionnel d’upwelling.</w:t>
      </w:r>
    </w:p>
    <w:p w14:paraId="66363F4B" w14:textId="77777777" w:rsidR="00CB712E" w:rsidRPr="000925B3" w:rsidRDefault="00CB712E" w:rsidP="00CB712E">
      <w:pPr>
        <w:rPr>
          <w:rFonts w:cs="Calibri"/>
          <w:b/>
          <w:bCs/>
          <w:color w:val="FF0000"/>
        </w:rPr>
      </w:pPr>
      <w:bookmarkStart w:id="221" w:name="_Hlk178497362"/>
      <w:bookmarkEnd w:id="220"/>
      <w:r w:rsidRPr="000925B3">
        <w:rPr>
          <w:rFonts w:cs="Calibri"/>
          <w:b/>
          <w:bCs/>
          <w:color w:val="FF0000"/>
        </w:rPr>
        <w:t>2.</w:t>
      </w:r>
      <w:r>
        <w:rPr>
          <w:rFonts w:cs="Calibri"/>
          <w:b/>
          <w:bCs/>
          <w:color w:val="FF0000"/>
        </w:rPr>
        <w:t>2</w:t>
      </w:r>
      <w:r w:rsidRPr="000925B3">
        <w:rPr>
          <w:rFonts w:cs="Calibri"/>
          <w:b/>
          <w:bCs/>
          <w:color w:val="FF0000"/>
        </w:rPr>
        <w:t>. Ressources, productivité</w:t>
      </w:r>
      <w:r>
        <w:rPr>
          <w:rFonts w:cs="Calibri"/>
          <w:b/>
          <w:bCs/>
          <w:color w:val="FF0000"/>
        </w:rPr>
        <w:t xml:space="preserve"> biologique</w:t>
      </w:r>
      <w:r w:rsidRPr="000925B3">
        <w:rPr>
          <w:rFonts w:cs="Calibri"/>
          <w:b/>
          <w:bCs/>
          <w:color w:val="FF0000"/>
        </w:rPr>
        <w:t>, biodiversité et services écosystémiques</w:t>
      </w:r>
    </w:p>
    <w:p w14:paraId="57A7C962" w14:textId="77777777" w:rsidR="00CB712E" w:rsidRPr="000925B3" w:rsidRDefault="00CB712E" w:rsidP="00CB712E">
      <w:pPr>
        <w:pStyle w:val="Sansinterligne"/>
        <w:jc w:val="both"/>
        <w:rPr>
          <w:rFonts w:eastAsia="Yu Gothic" w:cs="Calibri"/>
          <w:kern w:val="3"/>
          <w:lang w:eastAsia="ja-JP"/>
        </w:rPr>
      </w:pPr>
      <w:r w:rsidRPr="000925B3">
        <w:rPr>
          <w:rFonts w:eastAsia="Yu Gothic" w:cs="Calibri"/>
          <w:kern w:val="3"/>
          <w:lang w:eastAsia="ja-JP"/>
        </w:rPr>
        <w:t>Partant des contextes physiques et hydro climatiques précédemment décrits et des résultats disponibles des plus récentes recherches scientifiques sur la faune et la flore des eaux nationales, la productivité des milieux et la richesse de leur biodiversité sont largement confirmées. La conséquence directe de cette réalité de conditions favorables au développement de la vie, en constitue l’</w:t>
      </w:r>
      <w:r>
        <w:rPr>
          <w:rFonts w:eastAsia="Yu Gothic" w:cs="Calibri"/>
          <w:kern w:val="3"/>
          <w:lang w:eastAsia="ja-JP"/>
        </w:rPr>
        <w:t xml:space="preserve">importance quantitative et qualitative </w:t>
      </w:r>
      <w:r w:rsidRPr="000925B3">
        <w:rPr>
          <w:rFonts w:eastAsia="Yu Gothic" w:cs="Calibri"/>
          <w:kern w:val="3"/>
          <w:lang w:eastAsia="ja-JP"/>
        </w:rPr>
        <w:t>des ressources vivantes et des services écosystémiques pouvant être rendus.</w:t>
      </w:r>
    </w:p>
    <w:p w14:paraId="5AE595C8" w14:textId="77777777" w:rsidR="00CB712E" w:rsidRPr="00153C41" w:rsidRDefault="00CB712E" w:rsidP="00CB712E">
      <w:pPr>
        <w:rPr>
          <w:rFonts w:cs="Calibri"/>
          <w:b/>
          <w:bCs/>
          <w:sz w:val="10"/>
          <w:szCs w:val="10"/>
        </w:rPr>
      </w:pPr>
    </w:p>
    <w:p w14:paraId="34B00A0D" w14:textId="77777777" w:rsidR="00CB712E" w:rsidRPr="00CB5604" w:rsidRDefault="00CB712E" w:rsidP="00CB712E">
      <w:pPr>
        <w:shd w:val="clear" w:color="auto" w:fill="FFFFFF"/>
        <w:jc w:val="both"/>
        <w:rPr>
          <w:rFonts w:cs="Calibri"/>
          <w:b/>
          <w:bCs/>
          <w:i/>
          <w:iCs/>
          <w:color w:val="FF0000"/>
        </w:rPr>
      </w:pPr>
      <w:r w:rsidRPr="00CB5604">
        <w:rPr>
          <w:rFonts w:cs="Calibri"/>
          <w:b/>
          <w:bCs/>
          <w:i/>
          <w:iCs/>
          <w:color w:val="FF0000"/>
        </w:rPr>
        <w:t>2.2.1. Ressources vivantes marines, productivité et diversité biologiques :</w:t>
      </w:r>
    </w:p>
    <w:p w14:paraId="6A4AFFAD"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rPr>
        <w:t>Les eaux océaniques sous juridiction nationale, constituent un grand ensemble écologique qui peut être réparti en un écosystème marin couvrant la ZEE Mauritanienne et ses rivages et un écosystème côtier constitué de la bande littorale qui peut s’étendre, horizontalement, sur une partie variable du continent voisin. Ces écosystèmes marins et côtiers, sont de grande importance en terme notamment de productivité biologique et de biodiversité, principales sources de l’abondance des ressources vivantes marines du pays.</w:t>
      </w:r>
    </w:p>
    <w:p w14:paraId="5A3F821D" w14:textId="77777777" w:rsidR="00CB712E" w:rsidRPr="000925B3" w:rsidRDefault="00CB712E" w:rsidP="00CB712E">
      <w:pPr>
        <w:pStyle w:val="Standard"/>
        <w:jc w:val="both"/>
        <w:rPr>
          <w:rFonts w:ascii="Calibri" w:hAnsi="Calibri" w:cs="Calibri"/>
          <w:sz w:val="22"/>
        </w:rPr>
      </w:pPr>
    </w:p>
    <w:p w14:paraId="516F6C73"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rPr>
        <w:t>Au niveau côtier, la zone maritime est, malgré son aridité, très productive en raison notamment de l’upwelling qui ramène en surface les sels nutritifs déposés aux fonds de l’océan, des vents de sable qui l’enrichissent avec des nutriments (notamment le fer) et des apports du fleuve Sénégal, dans la partie sud.</w:t>
      </w:r>
    </w:p>
    <w:p w14:paraId="3339EE24"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rPr>
        <w:t>Suivant l’approche utilisée, l’écosystème côtier inclut le PNBA, le PND, la Reserve de Chatt Tboul, la Reserve Satellitaire du Cap Blanc, les grandes étendues d’herbiers, les systèmes à vasières, les deltas, les mangroves, etc. Des travaux récents, ont aussi montré que les poussières continentales constituent une source inestimable pour la stimulation de la croissance du phytoplancton.</w:t>
      </w:r>
    </w:p>
    <w:p w14:paraId="5071A9AD" w14:textId="77777777" w:rsidR="00CB712E" w:rsidRPr="000925B3" w:rsidRDefault="00CB712E" w:rsidP="00CB712E">
      <w:pPr>
        <w:jc w:val="both"/>
        <w:rPr>
          <w:rFonts w:cs="Calibri"/>
          <w:color w:val="FF0000"/>
        </w:rPr>
      </w:pPr>
    </w:p>
    <w:p w14:paraId="33874071"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rPr>
        <w:t>En haute mer, il existe de nombreux systèmes dont on peut citer l’upwelling, les récifs coralliens, les monts sous-marins, les canyons sous-marins, les monticules carbonatés, « les mudslides ». En Mauritanie, fut découverte en 2005 la plus longue chaîne corallienne au monde (600km). De récentes données, ont révélé une biodiversité du talus et des zones profondes qui rivalise, par sa richesse, celle du plateau continental, considéré généralement la zone la plus riche en biodiversité.</w:t>
      </w:r>
    </w:p>
    <w:p w14:paraId="66C00CC9" w14:textId="77777777" w:rsidR="00CB712E" w:rsidRPr="000925B3" w:rsidRDefault="00CB712E" w:rsidP="00CB712E">
      <w:pPr>
        <w:pStyle w:val="Standard"/>
        <w:jc w:val="both"/>
        <w:rPr>
          <w:rFonts w:ascii="Calibri" w:hAnsi="Calibri" w:cs="Calibri"/>
          <w:sz w:val="22"/>
        </w:rPr>
      </w:pPr>
    </w:p>
    <w:p w14:paraId="70B75DC6"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rPr>
        <w:t>Ceci s’explique surtout par le fait que les écosystèmes marins et côtiers, sont le siège d’une alternance d’eaux froides salées du Courant des Canaries (liées aux conditions du Grand Ecosystème Marin du Courant de Canaries, CCLME) et des eaux chaudes et moins salées du Contre-Courant Tropical (Courant de Guinée).</w:t>
      </w:r>
    </w:p>
    <w:p w14:paraId="45955E34" w14:textId="77777777" w:rsidR="00CB712E" w:rsidRPr="000925B3" w:rsidRDefault="00CB712E" w:rsidP="00CB712E">
      <w:pPr>
        <w:pStyle w:val="Standard"/>
        <w:jc w:val="both"/>
        <w:rPr>
          <w:rFonts w:ascii="Calibri" w:hAnsi="Calibri" w:cs="Calibri"/>
          <w:sz w:val="22"/>
        </w:rPr>
      </w:pPr>
    </w:p>
    <w:p w14:paraId="0E4BD2AD"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rPr>
        <w:t xml:space="preserve">Ensemble, ces facteurs font que les eaux marines sous juridiction nationale sont considérées comme un hotspot de biodiversité marine d'importance mondiale. </w:t>
      </w:r>
    </w:p>
    <w:p w14:paraId="0DDDEBE6" w14:textId="77777777" w:rsidR="00CB712E" w:rsidRPr="000925B3" w:rsidRDefault="00CB712E" w:rsidP="00CB712E">
      <w:pPr>
        <w:pStyle w:val="Standard"/>
        <w:jc w:val="both"/>
        <w:rPr>
          <w:rFonts w:ascii="Calibri" w:hAnsi="Calibri" w:cs="Calibri"/>
          <w:sz w:val="22"/>
        </w:rPr>
      </w:pPr>
    </w:p>
    <w:p w14:paraId="15AFA11C"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rPr>
        <w:t>Comme le montre les exemples ci-dessous, la diversité biologique se présente comme une chaine dont les maillons vont</w:t>
      </w:r>
      <w:r>
        <w:rPr>
          <w:rFonts w:ascii="Calibri" w:hAnsi="Calibri" w:cs="Calibri"/>
          <w:sz w:val="22"/>
        </w:rPr>
        <w:t xml:space="preserve"> </w:t>
      </w:r>
      <w:r w:rsidRPr="000925B3">
        <w:rPr>
          <w:rFonts w:ascii="Calibri" w:hAnsi="Calibri" w:cs="Calibri"/>
          <w:sz w:val="22"/>
        </w:rPr>
        <w:t>des êtres les plus petits (unicellulaires et invertébrés) aux plus grands (vertébrés et mammifères marins).</w:t>
      </w:r>
    </w:p>
    <w:p w14:paraId="0DC47EC0" w14:textId="77777777" w:rsidR="00CB712E" w:rsidRPr="000925B3" w:rsidRDefault="00CB712E" w:rsidP="00CB712E">
      <w:pPr>
        <w:shd w:val="clear" w:color="auto" w:fill="FFFFFF"/>
        <w:jc w:val="both"/>
        <w:rPr>
          <w:rFonts w:cs="Calibri"/>
          <w:color w:val="222222"/>
          <w:lang w:val="fr-SN"/>
        </w:rPr>
      </w:pPr>
    </w:p>
    <w:p w14:paraId="463F3B7B" w14:textId="77777777" w:rsidR="00CB712E" w:rsidRPr="000925B3" w:rsidRDefault="00CB712E" w:rsidP="00CB712E">
      <w:pPr>
        <w:pStyle w:val="Standard"/>
        <w:tabs>
          <w:tab w:val="left" w:pos="940"/>
          <w:tab w:val="left" w:pos="1440"/>
        </w:tabs>
        <w:jc w:val="both"/>
        <w:rPr>
          <w:rFonts w:ascii="Calibri" w:hAnsi="Calibri" w:cs="Calibri"/>
          <w:sz w:val="22"/>
        </w:rPr>
      </w:pPr>
      <w:r w:rsidRPr="000925B3">
        <w:rPr>
          <w:rFonts w:ascii="Calibri" w:hAnsi="Calibri" w:cs="Calibri"/>
          <w:b/>
          <w:sz w:val="22"/>
          <w:u w:val="single"/>
        </w:rPr>
        <w:t>Plancton :</w:t>
      </w:r>
    </w:p>
    <w:p w14:paraId="02D9AC36" w14:textId="77777777" w:rsidR="00CB712E" w:rsidRPr="000925B3" w:rsidRDefault="00CB712E" w:rsidP="00CB712E">
      <w:pPr>
        <w:pStyle w:val="Standard"/>
        <w:jc w:val="both"/>
        <w:rPr>
          <w:rFonts w:ascii="Calibri" w:hAnsi="Calibri" w:cs="Calibri"/>
          <w:sz w:val="22"/>
        </w:rPr>
      </w:pPr>
    </w:p>
    <w:p w14:paraId="73B054E0"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rPr>
        <w:t>Il est composé du phytoplancton et du zooplancton et constitue le premier maillon de la chaine alimentaire et la base de la pyramide des consommateurs. C’est un indicateur de la richesse des eaux à travers sa quantité et sa qualité ou diversité.</w:t>
      </w:r>
    </w:p>
    <w:p w14:paraId="4EB51D99" w14:textId="77777777" w:rsidR="00CB712E" w:rsidRPr="000925B3" w:rsidRDefault="00CB712E" w:rsidP="00CB712E">
      <w:pPr>
        <w:pStyle w:val="Standard"/>
        <w:jc w:val="both"/>
        <w:rPr>
          <w:rFonts w:ascii="Calibri" w:hAnsi="Calibri" w:cs="Calibri"/>
          <w:sz w:val="22"/>
        </w:rPr>
      </w:pPr>
    </w:p>
    <w:p w14:paraId="153D49AE"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rPr>
        <w:t xml:space="preserve">Environ 200 espèces </w:t>
      </w:r>
      <w:r>
        <w:rPr>
          <w:rFonts w:ascii="Calibri" w:hAnsi="Calibri" w:cs="Calibri"/>
          <w:sz w:val="22"/>
        </w:rPr>
        <w:t xml:space="preserve">d’algues </w:t>
      </w:r>
      <w:r w:rsidRPr="000925B3">
        <w:rPr>
          <w:rFonts w:ascii="Calibri" w:hAnsi="Calibri" w:cs="Calibri"/>
          <w:sz w:val="22"/>
        </w:rPr>
        <w:t>ont été recensées dans les eaux mauritaniennes : algues rouges, algues brunes et algues vertes.</w:t>
      </w:r>
    </w:p>
    <w:p w14:paraId="6B405C8B" w14:textId="77777777" w:rsidR="00CB712E" w:rsidRPr="000925B3" w:rsidRDefault="00CB712E" w:rsidP="00CB712E">
      <w:pPr>
        <w:pStyle w:val="Standard"/>
        <w:jc w:val="both"/>
        <w:rPr>
          <w:rFonts w:ascii="Calibri" w:hAnsi="Calibri" w:cs="Calibri"/>
          <w:sz w:val="22"/>
        </w:rPr>
      </w:pPr>
    </w:p>
    <w:p w14:paraId="1F2B3383" w14:textId="77777777" w:rsidR="00CB712E" w:rsidRPr="000925B3" w:rsidRDefault="00CB712E" w:rsidP="00CB712E">
      <w:pPr>
        <w:pStyle w:val="Standard"/>
        <w:jc w:val="both"/>
        <w:rPr>
          <w:rFonts w:ascii="Calibri" w:hAnsi="Calibri" w:cs="Calibri"/>
          <w:sz w:val="22"/>
        </w:rPr>
      </w:pPr>
      <w:r w:rsidRPr="000925B3">
        <w:rPr>
          <w:rFonts w:ascii="Calibri" w:hAnsi="Calibri" w:cs="Calibri"/>
          <w:noProof/>
          <w:color w:val="FF0000"/>
          <w:sz w:val="22"/>
          <w:lang w:val="fr-FR"/>
        </w:rPr>
        <w:drawing>
          <wp:inline distT="0" distB="0" distL="0" distR="0" wp14:anchorId="796C77A9" wp14:editId="5137847B">
            <wp:extent cx="2329150" cy="1556519"/>
            <wp:effectExtent l="0" t="0" r="0" b="5581"/>
            <wp:docPr id="660477333" name="Image 7" descr="https://encrypted-tbn3.gstatic.com/images?q=tbn:ANd9GcTME74jHRGRFc5BJMnUUynjQKWAuEY6ip2DuC9-s5dlL7amXX1G3oTxT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a:srcRect/>
                    <a:stretch>
                      <a:fillRect/>
                    </a:stretch>
                  </pic:blipFill>
                  <pic:spPr>
                    <a:xfrm>
                      <a:off x="0" y="0"/>
                      <a:ext cx="2329150" cy="1556519"/>
                    </a:xfrm>
                    <a:prstGeom prst="rect">
                      <a:avLst/>
                    </a:prstGeom>
                    <a:noFill/>
                    <a:ln>
                      <a:noFill/>
                      <a:prstDash/>
                    </a:ln>
                  </pic:spPr>
                </pic:pic>
              </a:graphicData>
            </a:graphic>
          </wp:inline>
        </w:drawing>
      </w:r>
    </w:p>
    <w:p w14:paraId="5763FB89" w14:textId="77777777" w:rsidR="00CB712E" w:rsidRPr="000925B3" w:rsidRDefault="00CB712E" w:rsidP="00CB712E">
      <w:pPr>
        <w:pStyle w:val="Standard"/>
        <w:jc w:val="both"/>
        <w:rPr>
          <w:rFonts w:ascii="Calibri" w:hAnsi="Calibri" w:cs="Calibri"/>
          <w:color w:val="FF0000"/>
          <w:sz w:val="22"/>
        </w:rPr>
      </w:pPr>
    </w:p>
    <w:p w14:paraId="1DE99D4D" w14:textId="77777777" w:rsidR="00CB712E" w:rsidRPr="000925B3" w:rsidRDefault="00CB712E" w:rsidP="00CB712E">
      <w:pPr>
        <w:pStyle w:val="Standard"/>
        <w:tabs>
          <w:tab w:val="left" w:pos="940"/>
          <w:tab w:val="left" w:pos="1440"/>
        </w:tabs>
        <w:jc w:val="both"/>
        <w:rPr>
          <w:rFonts w:ascii="Calibri" w:hAnsi="Calibri" w:cs="Calibri"/>
          <w:b/>
          <w:sz w:val="22"/>
          <w:u w:val="single"/>
        </w:rPr>
      </w:pPr>
      <w:r w:rsidRPr="000925B3">
        <w:rPr>
          <w:rFonts w:ascii="Calibri" w:hAnsi="Calibri" w:cs="Calibri"/>
          <w:b/>
          <w:sz w:val="22"/>
          <w:u w:val="single"/>
        </w:rPr>
        <w:t>Eponges ou spongiaires</w:t>
      </w:r>
    </w:p>
    <w:p w14:paraId="26446519" w14:textId="77777777" w:rsidR="00CB712E" w:rsidRPr="000925B3" w:rsidRDefault="00CB712E" w:rsidP="00CB712E">
      <w:pPr>
        <w:pStyle w:val="Standard"/>
        <w:jc w:val="both"/>
        <w:rPr>
          <w:rFonts w:ascii="Calibri" w:hAnsi="Calibri" w:cs="Calibri"/>
          <w:sz w:val="22"/>
        </w:rPr>
      </w:pPr>
    </w:p>
    <w:p w14:paraId="28E7268E" w14:textId="77777777" w:rsidR="00CB712E" w:rsidRPr="000925B3" w:rsidRDefault="00CB712E" w:rsidP="00CB712E">
      <w:pPr>
        <w:pStyle w:val="Standard"/>
        <w:jc w:val="both"/>
        <w:rPr>
          <w:rFonts w:ascii="Calibri" w:hAnsi="Calibri" w:cs="Calibri"/>
          <w:sz w:val="22"/>
          <w:lang w:val="fr-FR"/>
        </w:rPr>
      </w:pPr>
      <w:r w:rsidRPr="000925B3">
        <w:rPr>
          <w:rFonts w:ascii="Calibri" w:hAnsi="Calibri" w:cs="Calibri"/>
          <w:sz w:val="22"/>
          <w:lang w:val="fr-FR"/>
        </w:rPr>
        <w:t>Les éponges, espèces généralement associées aux récifs coralliens, restent peu connues malgré leur rôle économique et écologique. Des auteurs Les derniers inventaires, font état d’une centaine d’espèces en Mauritanie en dépit du fait que de nouvelles espèces sont fraîchement décrites dans les eaux nationales.</w:t>
      </w:r>
    </w:p>
    <w:p w14:paraId="46BEF173" w14:textId="77777777" w:rsidR="00CB712E" w:rsidRPr="000925B3" w:rsidRDefault="00CB712E" w:rsidP="00CB712E">
      <w:pPr>
        <w:pStyle w:val="Standard"/>
        <w:jc w:val="both"/>
        <w:rPr>
          <w:rFonts w:ascii="Calibri" w:hAnsi="Calibri" w:cs="Calibri"/>
          <w:sz w:val="22"/>
          <w:lang w:val="fr-FR"/>
        </w:rPr>
      </w:pPr>
    </w:p>
    <w:p w14:paraId="264196C8" w14:textId="77777777" w:rsidR="00CB712E" w:rsidRPr="000925B3" w:rsidRDefault="00CB712E" w:rsidP="00CB712E">
      <w:pPr>
        <w:pStyle w:val="Standard"/>
        <w:jc w:val="both"/>
        <w:rPr>
          <w:rFonts w:ascii="Calibri" w:hAnsi="Calibri" w:cs="Calibri"/>
          <w:color w:val="FF0000"/>
          <w:sz w:val="22"/>
          <w:lang w:val="fr-FR"/>
        </w:rPr>
      </w:pPr>
    </w:p>
    <w:p w14:paraId="3D422D81" w14:textId="77777777" w:rsidR="00CB712E" w:rsidRPr="000925B3" w:rsidRDefault="00CB712E" w:rsidP="00CB712E">
      <w:pPr>
        <w:pStyle w:val="Standard"/>
        <w:jc w:val="both"/>
        <w:rPr>
          <w:rFonts w:ascii="Calibri" w:hAnsi="Calibri" w:cs="Calibri"/>
          <w:sz w:val="22"/>
        </w:rPr>
      </w:pPr>
      <w:r w:rsidRPr="000925B3">
        <w:rPr>
          <w:rFonts w:ascii="Calibri" w:hAnsi="Calibri" w:cs="Calibri"/>
          <w:noProof/>
          <w:color w:val="FF0000"/>
          <w:sz w:val="22"/>
        </w:rPr>
        <w:drawing>
          <wp:anchor distT="0" distB="0" distL="114300" distR="114300" simplePos="0" relativeHeight="251713536" behindDoc="0" locked="0" layoutInCell="1" allowOverlap="1" wp14:anchorId="59E246B6" wp14:editId="58BFA0C3">
            <wp:simplePos x="0" y="0"/>
            <wp:positionH relativeFrom="column">
              <wp:posOffset>-166365</wp:posOffset>
            </wp:positionH>
            <wp:positionV relativeFrom="paragraph">
              <wp:posOffset>-99697</wp:posOffset>
            </wp:positionV>
            <wp:extent cx="2695578" cy="2085975"/>
            <wp:effectExtent l="0" t="0" r="9522" b="9525"/>
            <wp:wrapNone/>
            <wp:docPr id="1423483534" name="Image 10" descr="Une image contenant nourriture&#10;&#10;Description générée automatiquement"/>
            <wp:cNvGraphicFramePr/>
            <a:graphic xmlns:a="http://schemas.openxmlformats.org/drawingml/2006/main">
              <a:graphicData uri="http://schemas.openxmlformats.org/drawingml/2006/picture">
                <pic:pic xmlns:pic="http://schemas.openxmlformats.org/drawingml/2006/picture">
                  <pic:nvPicPr>
                    <pic:cNvPr id="1423483534" name="Image 10" descr="Une image contenant nourriture&#10;&#10;Description générée automatiquement"/>
                    <pic:cNvPicPr/>
                  </pic:nvPicPr>
                  <pic:blipFill>
                    <a:blip r:embed="rId190"/>
                    <a:srcRect/>
                    <a:stretch>
                      <a:fillRect/>
                    </a:stretch>
                  </pic:blipFill>
                  <pic:spPr>
                    <a:xfrm>
                      <a:off x="0" y="0"/>
                      <a:ext cx="2695578" cy="2085975"/>
                    </a:xfrm>
                    <a:prstGeom prst="rect">
                      <a:avLst/>
                    </a:prstGeom>
                    <a:noFill/>
                    <a:ln>
                      <a:noFill/>
                      <a:prstDash/>
                    </a:ln>
                  </pic:spPr>
                </pic:pic>
              </a:graphicData>
            </a:graphic>
          </wp:anchor>
        </w:drawing>
      </w:r>
      <w:r w:rsidRPr="000925B3">
        <w:rPr>
          <w:rFonts w:ascii="Calibri" w:hAnsi="Calibri" w:cs="Calibri"/>
          <w:noProof/>
          <w:color w:val="FF0000"/>
          <w:sz w:val="22"/>
        </w:rPr>
        <w:drawing>
          <wp:anchor distT="0" distB="0" distL="114300" distR="114300" simplePos="0" relativeHeight="251714560" behindDoc="0" locked="0" layoutInCell="1" allowOverlap="1" wp14:anchorId="4A874137" wp14:editId="41DDB5CB">
            <wp:simplePos x="0" y="0"/>
            <wp:positionH relativeFrom="column">
              <wp:posOffset>2757802</wp:posOffset>
            </wp:positionH>
            <wp:positionV relativeFrom="paragraph">
              <wp:posOffset>-99697</wp:posOffset>
            </wp:positionV>
            <wp:extent cx="2847971" cy="2085975"/>
            <wp:effectExtent l="0" t="0" r="0" b="9525"/>
            <wp:wrapNone/>
            <wp:docPr id="1177827617" name="Image 11" descr="D:\BHQE machine\Biodiversité et habitat\Photos\Biodiversit+® benthos CCLME Khallahi\Alcyonidae.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1"/>
                    <a:srcRect/>
                    <a:stretch>
                      <a:fillRect/>
                    </a:stretch>
                  </pic:blipFill>
                  <pic:spPr>
                    <a:xfrm>
                      <a:off x="0" y="0"/>
                      <a:ext cx="2847971" cy="2085975"/>
                    </a:xfrm>
                    <a:prstGeom prst="rect">
                      <a:avLst/>
                    </a:prstGeom>
                    <a:noFill/>
                    <a:ln>
                      <a:noFill/>
                      <a:prstDash/>
                    </a:ln>
                  </pic:spPr>
                </pic:pic>
              </a:graphicData>
            </a:graphic>
          </wp:anchor>
        </w:drawing>
      </w:r>
    </w:p>
    <w:p w14:paraId="2ED88635" w14:textId="77777777" w:rsidR="00CB712E" w:rsidRPr="000925B3" w:rsidRDefault="00CB712E" w:rsidP="00CB712E">
      <w:pPr>
        <w:pStyle w:val="Standard"/>
        <w:jc w:val="both"/>
        <w:rPr>
          <w:rFonts w:ascii="Calibri" w:hAnsi="Calibri" w:cs="Calibri"/>
          <w:color w:val="FF0000"/>
          <w:sz w:val="22"/>
        </w:rPr>
      </w:pPr>
    </w:p>
    <w:p w14:paraId="43A158A6" w14:textId="77777777" w:rsidR="00CB712E" w:rsidRPr="000925B3" w:rsidRDefault="00CB712E" w:rsidP="00CB712E">
      <w:pPr>
        <w:pStyle w:val="Standard"/>
        <w:jc w:val="both"/>
        <w:rPr>
          <w:rFonts w:ascii="Calibri" w:hAnsi="Calibri" w:cs="Calibri"/>
          <w:color w:val="FF0000"/>
          <w:sz w:val="22"/>
        </w:rPr>
      </w:pPr>
    </w:p>
    <w:p w14:paraId="1FD2B764" w14:textId="77777777" w:rsidR="00CB712E" w:rsidRPr="000925B3" w:rsidRDefault="00CB712E" w:rsidP="00CB712E">
      <w:pPr>
        <w:pStyle w:val="Standard"/>
        <w:jc w:val="both"/>
        <w:rPr>
          <w:rFonts w:ascii="Calibri" w:hAnsi="Calibri" w:cs="Calibri"/>
          <w:color w:val="FF0000"/>
          <w:sz w:val="22"/>
        </w:rPr>
      </w:pPr>
    </w:p>
    <w:p w14:paraId="42A0C29A" w14:textId="77777777" w:rsidR="00CB712E" w:rsidRPr="000925B3" w:rsidRDefault="00CB712E" w:rsidP="00CB712E">
      <w:pPr>
        <w:pStyle w:val="Standard"/>
        <w:tabs>
          <w:tab w:val="left" w:pos="940"/>
          <w:tab w:val="left" w:pos="1440"/>
        </w:tabs>
        <w:jc w:val="both"/>
        <w:rPr>
          <w:rFonts w:ascii="Calibri" w:hAnsi="Calibri" w:cs="Calibri"/>
          <w:b/>
          <w:sz w:val="22"/>
          <w:u w:val="single"/>
        </w:rPr>
      </w:pPr>
      <w:r w:rsidRPr="000925B3">
        <w:rPr>
          <w:rFonts w:ascii="Calibri" w:hAnsi="Calibri" w:cs="Calibri"/>
          <w:b/>
          <w:sz w:val="22"/>
          <w:u w:val="single"/>
        </w:rPr>
        <w:t>Echinodermes (ou concombres de mer)</w:t>
      </w:r>
    </w:p>
    <w:p w14:paraId="2C5658E0" w14:textId="77777777" w:rsidR="00CB712E" w:rsidRPr="000925B3" w:rsidRDefault="00CB712E" w:rsidP="00CB712E">
      <w:pPr>
        <w:pStyle w:val="Standard"/>
        <w:jc w:val="both"/>
        <w:rPr>
          <w:rFonts w:ascii="Calibri" w:hAnsi="Calibri" w:cs="Calibri"/>
          <w:sz w:val="22"/>
        </w:rPr>
      </w:pPr>
    </w:p>
    <w:p w14:paraId="079C63D1" w14:textId="77777777" w:rsidR="00CB712E" w:rsidRPr="000925B3" w:rsidRDefault="00CB712E" w:rsidP="00CB712E">
      <w:pPr>
        <w:pStyle w:val="Standard"/>
        <w:jc w:val="both"/>
        <w:rPr>
          <w:rFonts w:ascii="Calibri" w:hAnsi="Calibri" w:cs="Calibri"/>
          <w:sz w:val="22"/>
          <w:lang w:val="fr-FR"/>
        </w:rPr>
      </w:pPr>
      <w:r w:rsidRPr="000925B3">
        <w:rPr>
          <w:rFonts w:ascii="Calibri" w:hAnsi="Calibri" w:cs="Calibri"/>
          <w:sz w:val="22"/>
        </w:rPr>
        <w:t>L’</w:t>
      </w:r>
      <w:r w:rsidRPr="000925B3">
        <w:rPr>
          <w:rFonts w:ascii="Calibri" w:hAnsi="Calibri" w:cs="Calibri"/>
          <w:sz w:val="22"/>
          <w:lang w:val="fr-FR"/>
        </w:rPr>
        <w:t>embranchement des Echinodermes compte plus de 14 000 espèces identifiées à travers le monde. Les espèces appartenant aux holothuries (concombres de mer) représentent jusqu’à 90 %. Parmi les autres espèces, on dénombre des échinides (oursins), des crinoïdes (lys de mer), des astéroïdes (étoiles de mer) et des ophiures.</w:t>
      </w:r>
    </w:p>
    <w:p w14:paraId="15AE059F" w14:textId="77777777" w:rsidR="00CB712E" w:rsidRPr="000925B3" w:rsidRDefault="00CB712E" w:rsidP="00CB712E">
      <w:pPr>
        <w:pStyle w:val="Standard"/>
        <w:jc w:val="both"/>
        <w:rPr>
          <w:rFonts w:ascii="Calibri" w:hAnsi="Calibri" w:cs="Calibri"/>
          <w:sz w:val="22"/>
          <w:lang w:val="fr-FR"/>
        </w:rPr>
      </w:pPr>
    </w:p>
    <w:p w14:paraId="501A5D2F"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lang w:val="fr-FR"/>
        </w:rPr>
        <w:t xml:space="preserve">Les concombres de mer, sont détritivores (dépositivores et suspensivores) et tendent à nettoyer les fonds des mers et assurer la dépollution et l’oxygénation des écosystèmes. Ils sont dits </w:t>
      </w:r>
      <w:r w:rsidRPr="000925B3">
        <w:rPr>
          <w:rFonts w:ascii="Calibri" w:hAnsi="Calibri" w:cs="Calibri"/>
          <w:sz w:val="22"/>
        </w:rPr>
        <w:t xml:space="preserve">des ingénieurs de recyclage des déchets et permettent de les remettre en suspension et les rendre disponibles aux autres organismes sous des formes plus digestes. </w:t>
      </w:r>
      <w:r w:rsidRPr="000925B3">
        <w:rPr>
          <w:rFonts w:ascii="Calibri" w:hAnsi="Calibri" w:cs="Calibri"/>
          <w:sz w:val="22"/>
          <w:lang w:val="fr-FR"/>
        </w:rPr>
        <w:t>Ils font l’objet d’une pêche intensive en Mauritanie, orientée vers l’unique marché asiatique.</w:t>
      </w:r>
    </w:p>
    <w:p w14:paraId="1E75A54D" w14:textId="77777777" w:rsidR="00CB712E" w:rsidRPr="000925B3" w:rsidRDefault="00CB712E" w:rsidP="00CB712E">
      <w:pPr>
        <w:pStyle w:val="Standard"/>
        <w:jc w:val="both"/>
        <w:rPr>
          <w:rFonts w:ascii="Calibri" w:hAnsi="Calibri" w:cs="Calibri"/>
          <w:sz w:val="22"/>
        </w:rPr>
      </w:pPr>
      <w:r w:rsidRPr="000925B3">
        <w:rPr>
          <w:rFonts w:ascii="Calibri" w:hAnsi="Calibri" w:cs="Calibri"/>
          <w:noProof/>
          <w:color w:val="FF0000"/>
          <w:sz w:val="22"/>
        </w:rPr>
        <w:drawing>
          <wp:anchor distT="0" distB="0" distL="114300" distR="114300" simplePos="0" relativeHeight="251715584" behindDoc="0" locked="0" layoutInCell="1" allowOverlap="1" wp14:anchorId="71940C47" wp14:editId="57A7F056">
            <wp:simplePos x="0" y="0"/>
            <wp:positionH relativeFrom="column">
              <wp:posOffset>-166365</wp:posOffset>
            </wp:positionH>
            <wp:positionV relativeFrom="paragraph">
              <wp:posOffset>140973</wp:posOffset>
            </wp:positionV>
            <wp:extent cx="2788581" cy="2065684"/>
            <wp:effectExtent l="0" t="0" r="0" b="0"/>
            <wp:wrapNone/>
            <wp:docPr id="534453233" name="Image 8" descr="Une image contenant holothurie, nourriture, intérieur, échinoderme&#10;&#10;Description générée automatiquement"/>
            <wp:cNvGraphicFramePr/>
            <a:graphic xmlns:a="http://schemas.openxmlformats.org/drawingml/2006/main">
              <a:graphicData uri="http://schemas.openxmlformats.org/drawingml/2006/picture">
                <pic:pic xmlns:pic="http://schemas.openxmlformats.org/drawingml/2006/picture">
                  <pic:nvPicPr>
                    <pic:cNvPr id="534453233" name="Image 8" descr="Une image contenant holothurie, nourriture, intérieur, échinoderme&#10;&#10;Description générée automatiquement"/>
                    <pic:cNvPicPr/>
                  </pic:nvPicPr>
                  <pic:blipFill>
                    <a:blip r:embed="rId192"/>
                    <a:srcRect r="46228"/>
                    <a:stretch>
                      <a:fillRect/>
                    </a:stretch>
                  </pic:blipFill>
                  <pic:spPr>
                    <a:xfrm>
                      <a:off x="0" y="0"/>
                      <a:ext cx="2788581" cy="2065684"/>
                    </a:xfrm>
                    <a:prstGeom prst="rect">
                      <a:avLst/>
                    </a:prstGeom>
                    <a:noFill/>
                    <a:ln>
                      <a:noFill/>
                      <a:prstDash/>
                    </a:ln>
                  </pic:spPr>
                </pic:pic>
              </a:graphicData>
            </a:graphic>
          </wp:anchor>
        </w:drawing>
      </w:r>
      <w:r w:rsidRPr="000925B3">
        <w:rPr>
          <w:rFonts w:ascii="Calibri" w:hAnsi="Calibri" w:cs="Calibri"/>
          <w:noProof/>
          <w:color w:val="FF0000"/>
          <w:sz w:val="22"/>
        </w:rPr>
        <w:drawing>
          <wp:anchor distT="0" distB="0" distL="114300" distR="114300" simplePos="0" relativeHeight="251716608" behindDoc="0" locked="0" layoutInCell="1" allowOverlap="1" wp14:anchorId="60BBE67C" wp14:editId="23861BAF">
            <wp:simplePos x="0" y="0"/>
            <wp:positionH relativeFrom="column">
              <wp:posOffset>2814952</wp:posOffset>
            </wp:positionH>
            <wp:positionV relativeFrom="paragraph">
              <wp:posOffset>140973</wp:posOffset>
            </wp:positionV>
            <wp:extent cx="2853138" cy="2101208"/>
            <wp:effectExtent l="0" t="0" r="4362" b="0"/>
            <wp:wrapNone/>
            <wp:docPr id="1761785551" name="Image 9" descr="D:\BHQE machine\Biodiversité et habitat\Photos\Biodiversit+® benthos CCLME Khallahi\Astreoidea rouge.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a:srcRect/>
                    <a:stretch>
                      <a:fillRect/>
                    </a:stretch>
                  </pic:blipFill>
                  <pic:spPr>
                    <a:xfrm>
                      <a:off x="0" y="0"/>
                      <a:ext cx="2853138" cy="2101208"/>
                    </a:xfrm>
                    <a:prstGeom prst="rect">
                      <a:avLst/>
                    </a:prstGeom>
                    <a:noFill/>
                    <a:ln>
                      <a:noFill/>
                      <a:prstDash/>
                    </a:ln>
                  </pic:spPr>
                </pic:pic>
              </a:graphicData>
            </a:graphic>
          </wp:anchor>
        </w:drawing>
      </w:r>
    </w:p>
    <w:p w14:paraId="22532A8E" w14:textId="77777777" w:rsidR="00CB712E" w:rsidRPr="000925B3" w:rsidRDefault="00CB712E" w:rsidP="00CB712E">
      <w:pPr>
        <w:pStyle w:val="Standard"/>
        <w:jc w:val="both"/>
        <w:rPr>
          <w:rFonts w:ascii="Calibri" w:hAnsi="Calibri" w:cs="Calibri"/>
          <w:color w:val="FF0000"/>
          <w:sz w:val="22"/>
          <w:lang w:val="fr-FR"/>
        </w:rPr>
      </w:pPr>
    </w:p>
    <w:p w14:paraId="6B944A2C" w14:textId="77777777" w:rsidR="00CB712E" w:rsidRPr="000925B3" w:rsidRDefault="00CB712E" w:rsidP="00CB712E">
      <w:pPr>
        <w:pStyle w:val="Standard"/>
        <w:jc w:val="both"/>
        <w:rPr>
          <w:rFonts w:ascii="Calibri" w:hAnsi="Calibri" w:cs="Calibri"/>
          <w:sz w:val="22"/>
        </w:rPr>
      </w:pPr>
      <w:r w:rsidRPr="000925B3">
        <w:rPr>
          <w:rFonts w:ascii="Calibri" w:hAnsi="Calibri" w:cs="Calibri"/>
          <w:b/>
          <w:bCs/>
          <w:sz w:val="22"/>
          <w:u w:val="single"/>
        </w:rPr>
        <w:t>Les anémones</w:t>
      </w:r>
      <w:r w:rsidRPr="000925B3">
        <w:rPr>
          <w:rFonts w:ascii="Calibri" w:hAnsi="Calibri" w:cs="Calibri"/>
          <w:b/>
          <w:bCs/>
          <w:sz w:val="22"/>
          <w:u w:val="single"/>
          <w:lang w:val="fr-FR"/>
        </w:rPr>
        <w:t xml:space="preserve"> de mer</w:t>
      </w:r>
    </w:p>
    <w:p w14:paraId="32EE69DA" w14:textId="77777777" w:rsidR="00CB712E" w:rsidRPr="000925B3" w:rsidRDefault="00CB712E" w:rsidP="00CB712E">
      <w:pPr>
        <w:pStyle w:val="Standard"/>
        <w:jc w:val="both"/>
        <w:rPr>
          <w:rFonts w:ascii="Calibri" w:hAnsi="Calibri" w:cs="Calibri"/>
          <w:sz w:val="22"/>
          <w:lang w:val="fr-FR"/>
        </w:rPr>
      </w:pPr>
    </w:p>
    <w:p w14:paraId="7F5FB160" w14:textId="77777777" w:rsidR="00CB712E" w:rsidRPr="000925B3" w:rsidRDefault="00CB712E" w:rsidP="00CB712E">
      <w:pPr>
        <w:pStyle w:val="Standard"/>
        <w:jc w:val="both"/>
        <w:rPr>
          <w:rFonts w:ascii="Calibri" w:hAnsi="Calibri" w:cs="Calibri"/>
          <w:sz w:val="22"/>
          <w:lang w:val="fr-FR"/>
        </w:rPr>
      </w:pPr>
      <w:r w:rsidRPr="000925B3">
        <w:rPr>
          <w:rFonts w:ascii="Calibri" w:hAnsi="Calibri" w:cs="Calibri"/>
          <w:sz w:val="22"/>
          <w:lang w:val="fr-FR"/>
        </w:rPr>
        <w:t xml:space="preserve">Ce groupe d’animaux marins, possède des corps mous fixés aux rochers à l’aide de pieds-ventouses ainsi que de nombreuses tentacules servant à capturer les proies et leur donnant l’aspect de fleurs. </w:t>
      </w:r>
    </w:p>
    <w:p w14:paraId="1524A045" w14:textId="77777777" w:rsidR="00CB712E" w:rsidRPr="000925B3" w:rsidRDefault="00CB712E" w:rsidP="00CB712E">
      <w:pPr>
        <w:pStyle w:val="Standard"/>
        <w:jc w:val="both"/>
        <w:rPr>
          <w:rFonts w:ascii="Calibri" w:hAnsi="Calibri" w:cs="Calibri"/>
          <w:sz w:val="22"/>
          <w:lang w:val="fr-FR"/>
        </w:rPr>
      </w:pPr>
    </w:p>
    <w:p w14:paraId="39253C3A" w14:textId="77777777" w:rsidR="00CB712E" w:rsidRPr="000925B3" w:rsidRDefault="00CB712E" w:rsidP="00CB712E">
      <w:pPr>
        <w:pStyle w:val="Standard"/>
        <w:jc w:val="both"/>
        <w:rPr>
          <w:rFonts w:ascii="Calibri" w:hAnsi="Calibri" w:cs="Calibri"/>
          <w:sz w:val="22"/>
          <w:lang w:val="fr-FR"/>
        </w:rPr>
      </w:pPr>
      <w:r w:rsidRPr="000925B3">
        <w:rPr>
          <w:rFonts w:ascii="Calibri" w:hAnsi="Calibri" w:cs="Calibri"/>
          <w:sz w:val="22"/>
          <w:lang w:val="fr-FR"/>
        </w:rPr>
        <w:t>En Mauritanie, on les rencontre dans les canyons sous-marins ou à la base des escarpements de la pente continentale, à des profondeurs entre 1.000 et 2.000 mètres.</w:t>
      </w:r>
    </w:p>
    <w:p w14:paraId="648449A5" w14:textId="77777777" w:rsidR="00CB712E" w:rsidRPr="000925B3" w:rsidRDefault="00CB712E" w:rsidP="00CB712E">
      <w:pPr>
        <w:pStyle w:val="Standard"/>
        <w:jc w:val="both"/>
        <w:rPr>
          <w:rFonts w:ascii="Calibri" w:hAnsi="Calibri" w:cs="Calibri"/>
          <w:color w:val="FF0000"/>
          <w:sz w:val="22"/>
          <w:lang w:val="fr-FR"/>
        </w:rPr>
      </w:pPr>
    </w:p>
    <w:p w14:paraId="420A3135" w14:textId="77777777" w:rsidR="00CB712E" w:rsidRPr="000925B3" w:rsidRDefault="00CB712E" w:rsidP="00CB712E">
      <w:pPr>
        <w:pStyle w:val="Standard"/>
        <w:jc w:val="both"/>
        <w:rPr>
          <w:rFonts w:ascii="Calibri" w:hAnsi="Calibri" w:cs="Calibri"/>
          <w:sz w:val="22"/>
        </w:rPr>
      </w:pPr>
      <w:r w:rsidRPr="000925B3">
        <w:rPr>
          <w:rFonts w:ascii="Calibri" w:hAnsi="Calibri" w:cs="Calibri"/>
          <w:noProof/>
          <w:color w:val="FF0000"/>
          <w:sz w:val="22"/>
        </w:rPr>
        <w:drawing>
          <wp:anchor distT="0" distB="0" distL="114300" distR="114300" simplePos="0" relativeHeight="251719680" behindDoc="0" locked="0" layoutInCell="1" allowOverlap="1" wp14:anchorId="6AE0CCFB" wp14:editId="4D24B32B">
            <wp:simplePos x="0" y="0"/>
            <wp:positionH relativeFrom="column">
              <wp:posOffset>4043677</wp:posOffset>
            </wp:positionH>
            <wp:positionV relativeFrom="paragraph">
              <wp:posOffset>-42547</wp:posOffset>
            </wp:positionV>
            <wp:extent cx="2372337" cy="1714938"/>
            <wp:effectExtent l="190500" t="190500" r="389913" b="380562"/>
            <wp:wrapNone/>
            <wp:docPr id="539067249" name="Image 3076" descr="C:\Users\Khallahi\Downloads\anemone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
                    <a:srcRect/>
                    <a:stretch>
                      <a:fillRect/>
                    </a:stretch>
                  </pic:blipFill>
                  <pic:spPr>
                    <a:xfrm>
                      <a:off x="0" y="0"/>
                      <a:ext cx="2372337" cy="1714938"/>
                    </a:xfrm>
                    <a:prstGeom prst="rect">
                      <a:avLst/>
                    </a:prstGeom>
                    <a:noFill/>
                    <a:ln>
                      <a:noFill/>
                      <a:prstDash/>
                    </a:ln>
                    <a:effectLst>
                      <a:outerShdw blurRad="304800" dist="139699" dir="2700000" algn="tl">
                        <a:srgbClr val="333333"/>
                      </a:outerShdw>
                    </a:effectLst>
                  </pic:spPr>
                </pic:pic>
              </a:graphicData>
            </a:graphic>
          </wp:anchor>
        </w:drawing>
      </w:r>
      <w:r w:rsidRPr="000925B3">
        <w:rPr>
          <w:rFonts w:ascii="Calibri" w:hAnsi="Calibri" w:cs="Calibri"/>
          <w:noProof/>
          <w:color w:val="FF0000"/>
          <w:sz w:val="22"/>
        </w:rPr>
        <w:drawing>
          <wp:anchor distT="0" distB="0" distL="114300" distR="114300" simplePos="0" relativeHeight="251718656" behindDoc="0" locked="0" layoutInCell="1" allowOverlap="1" wp14:anchorId="13FA4760" wp14:editId="0390DDAF">
            <wp:simplePos x="0" y="0"/>
            <wp:positionH relativeFrom="column">
              <wp:posOffset>1748159</wp:posOffset>
            </wp:positionH>
            <wp:positionV relativeFrom="paragraph">
              <wp:posOffset>-42547</wp:posOffset>
            </wp:positionV>
            <wp:extent cx="2190554" cy="1714847"/>
            <wp:effectExtent l="190500" t="190500" r="381196" b="380653"/>
            <wp:wrapNone/>
            <wp:docPr id="265841774" name="Image 3075" descr="C:\Users\Khallahi\Downloads\anemone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a:srcRect/>
                    <a:stretch>
                      <a:fillRect/>
                    </a:stretch>
                  </pic:blipFill>
                  <pic:spPr>
                    <a:xfrm>
                      <a:off x="0" y="0"/>
                      <a:ext cx="2190554" cy="1714847"/>
                    </a:xfrm>
                    <a:prstGeom prst="rect">
                      <a:avLst/>
                    </a:prstGeom>
                    <a:noFill/>
                    <a:ln>
                      <a:noFill/>
                      <a:prstDash/>
                    </a:ln>
                    <a:effectLst>
                      <a:outerShdw blurRad="304800" dist="139699" dir="2700000" algn="tl">
                        <a:srgbClr val="333333"/>
                      </a:outerShdw>
                    </a:effectLst>
                  </pic:spPr>
                </pic:pic>
              </a:graphicData>
            </a:graphic>
          </wp:anchor>
        </w:drawing>
      </w:r>
      <w:r w:rsidRPr="000925B3">
        <w:rPr>
          <w:rFonts w:ascii="Calibri" w:hAnsi="Calibri" w:cs="Calibri"/>
          <w:noProof/>
          <w:color w:val="FF0000"/>
          <w:sz w:val="22"/>
        </w:rPr>
        <w:drawing>
          <wp:anchor distT="0" distB="0" distL="114300" distR="114300" simplePos="0" relativeHeight="251717632" behindDoc="0" locked="0" layoutInCell="1" allowOverlap="1" wp14:anchorId="679531B4" wp14:editId="61A0A9E5">
            <wp:simplePos x="0" y="0"/>
            <wp:positionH relativeFrom="column">
              <wp:posOffset>-661668</wp:posOffset>
            </wp:positionH>
            <wp:positionV relativeFrom="paragraph">
              <wp:posOffset>-42547</wp:posOffset>
            </wp:positionV>
            <wp:extent cx="2276471" cy="1714500"/>
            <wp:effectExtent l="190500" t="190500" r="371479" b="381000"/>
            <wp:wrapNone/>
            <wp:docPr id="1867292033" name="Image 3074" descr="C:\Users\Khallahi\Downloads\anemone3.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6"/>
                    <a:srcRect/>
                    <a:stretch>
                      <a:fillRect/>
                    </a:stretch>
                  </pic:blipFill>
                  <pic:spPr>
                    <a:xfrm>
                      <a:off x="0" y="0"/>
                      <a:ext cx="2276471" cy="1714500"/>
                    </a:xfrm>
                    <a:prstGeom prst="rect">
                      <a:avLst/>
                    </a:prstGeom>
                    <a:noFill/>
                    <a:ln>
                      <a:noFill/>
                      <a:prstDash/>
                    </a:ln>
                    <a:effectLst>
                      <a:outerShdw blurRad="304800" dist="139699" dir="2700000" algn="tl">
                        <a:srgbClr val="333333"/>
                      </a:outerShdw>
                    </a:effectLst>
                  </pic:spPr>
                </pic:pic>
              </a:graphicData>
            </a:graphic>
          </wp:anchor>
        </w:drawing>
      </w:r>
    </w:p>
    <w:p w14:paraId="1C0E982C" w14:textId="77777777" w:rsidR="00CB712E" w:rsidRPr="000925B3" w:rsidRDefault="00CB712E" w:rsidP="00CB712E">
      <w:pPr>
        <w:pStyle w:val="Standard"/>
        <w:jc w:val="both"/>
        <w:rPr>
          <w:rFonts w:ascii="Calibri" w:hAnsi="Calibri" w:cs="Calibri"/>
          <w:sz w:val="22"/>
        </w:rPr>
      </w:pPr>
    </w:p>
    <w:p w14:paraId="76F08242" w14:textId="77777777" w:rsidR="00CB712E" w:rsidRPr="000925B3" w:rsidRDefault="00CB712E" w:rsidP="00CB712E">
      <w:pPr>
        <w:pStyle w:val="Standard"/>
        <w:jc w:val="both"/>
        <w:rPr>
          <w:rFonts w:ascii="Calibri" w:hAnsi="Calibri" w:cs="Calibri"/>
          <w:color w:val="FF0000"/>
          <w:sz w:val="22"/>
          <w:lang w:val="fr-FR"/>
        </w:rPr>
      </w:pPr>
    </w:p>
    <w:p w14:paraId="03C2199D" w14:textId="77777777" w:rsidR="00CB712E" w:rsidRPr="000925B3" w:rsidRDefault="00CB712E" w:rsidP="00CB712E">
      <w:pPr>
        <w:pStyle w:val="Standard"/>
        <w:jc w:val="both"/>
        <w:rPr>
          <w:rFonts w:ascii="Calibri" w:hAnsi="Calibri" w:cs="Calibri"/>
          <w:color w:val="FF0000"/>
          <w:sz w:val="22"/>
          <w:lang w:val="fr-FR"/>
        </w:rPr>
      </w:pPr>
    </w:p>
    <w:p w14:paraId="485D446C" w14:textId="77777777" w:rsidR="00CB712E" w:rsidRPr="000925B3" w:rsidRDefault="00CB712E" w:rsidP="00CB712E">
      <w:pPr>
        <w:pStyle w:val="Standard"/>
        <w:jc w:val="both"/>
        <w:rPr>
          <w:rFonts w:ascii="Calibri" w:hAnsi="Calibri" w:cs="Calibri"/>
          <w:color w:val="FF0000"/>
          <w:sz w:val="22"/>
          <w:lang w:val="fr-FR"/>
        </w:rPr>
      </w:pPr>
    </w:p>
    <w:p w14:paraId="3D16B967" w14:textId="77777777" w:rsidR="00CB712E" w:rsidRPr="000925B3" w:rsidRDefault="00CB712E" w:rsidP="00CB712E">
      <w:pPr>
        <w:pStyle w:val="Standard"/>
        <w:jc w:val="both"/>
        <w:rPr>
          <w:rFonts w:ascii="Calibri" w:hAnsi="Calibri" w:cs="Calibri"/>
          <w:color w:val="FF0000"/>
          <w:sz w:val="22"/>
          <w:lang w:val="fr-FR"/>
        </w:rPr>
      </w:pPr>
    </w:p>
    <w:p w14:paraId="2BD379EA" w14:textId="77777777" w:rsidR="00CB712E" w:rsidRPr="000925B3" w:rsidRDefault="00CB712E" w:rsidP="00CB712E">
      <w:pPr>
        <w:pStyle w:val="Standard"/>
        <w:jc w:val="both"/>
        <w:rPr>
          <w:rFonts w:ascii="Calibri" w:hAnsi="Calibri" w:cs="Calibri"/>
          <w:color w:val="FF0000"/>
          <w:sz w:val="22"/>
          <w:lang w:val="fr-FR"/>
        </w:rPr>
      </w:pPr>
    </w:p>
    <w:p w14:paraId="6AF8C326" w14:textId="77777777" w:rsidR="00CB712E" w:rsidRPr="000925B3" w:rsidRDefault="00CB712E" w:rsidP="00CB712E">
      <w:pPr>
        <w:pStyle w:val="Standard"/>
        <w:jc w:val="both"/>
        <w:rPr>
          <w:rFonts w:ascii="Calibri" w:hAnsi="Calibri" w:cs="Calibri"/>
          <w:color w:val="FF0000"/>
          <w:sz w:val="22"/>
          <w:lang w:val="fr-FR"/>
        </w:rPr>
      </w:pPr>
    </w:p>
    <w:p w14:paraId="64636B09" w14:textId="77777777" w:rsidR="00CB712E" w:rsidRPr="000925B3" w:rsidRDefault="00CB712E" w:rsidP="00CB712E">
      <w:pPr>
        <w:pStyle w:val="Standard"/>
        <w:jc w:val="both"/>
        <w:rPr>
          <w:rFonts w:ascii="Calibri" w:hAnsi="Calibri" w:cs="Calibri"/>
          <w:b/>
          <w:bCs/>
          <w:sz w:val="22"/>
        </w:rPr>
      </w:pPr>
    </w:p>
    <w:p w14:paraId="550E1734" w14:textId="77777777" w:rsidR="00CB712E" w:rsidRPr="000925B3" w:rsidRDefault="00CB712E" w:rsidP="00CB712E">
      <w:pPr>
        <w:pStyle w:val="Standard"/>
        <w:jc w:val="both"/>
        <w:rPr>
          <w:rFonts w:ascii="Calibri" w:hAnsi="Calibri" w:cs="Calibri"/>
          <w:b/>
          <w:bCs/>
          <w:sz w:val="22"/>
        </w:rPr>
      </w:pPr>
    </w:p>
    <w:p w14:paraId="189D050D" w14:textId="77777777" w:rsidR="00CB712E" w:rsidRPr="000925B3" w:rsidRDefault="00CB712E" w:rsidP="00CB712E">
      <w:pPr>
        <w:pStyle w:val="Standard"/>
        <w:jc w:val="both"/>
        <w:rPr>
          <w:rFonts w:ascii="Calibri" w:hAnsi="Calibri" w:cs="Calibri"/>
          <w:b/>
          <w:bCs/>
          <w:sz w:val="22"/>
        </w:rPr>
      </w:pPr>
    </w:p>
    <w:p w14:paraId="5AD7916C" w14:textId="77777777" w:rsidR="00CB712E" w:rsidRPr="000925B3" w:rsidRDefault="00CB712E" w:rsidP="00CB712E">
      <w:pPr>
        <w:pStyle w:val="Standard"/>
        <w:jc w:val="both"/>
        <w:rPr>
          <w:rFonts w:ascii="Calibri" w:hAnsi="Calibri" w:cs="Calibri"/>
          <w:b/>
          <w:bCs/>
          <w:sz w:val="22"/>
        </w:rPr>
      </w:pPr>
    </w:p>
    <w:p w14:paraId="1AF2C3F0" w14:textId="77777777" w:rsidR="00CB712E" w:rsidRPr="000925B3" w:rsidRDefault="00CB712E" w:rsidP="00CB712E">
      <w:pPr>
        <w:pStyle w:val="Standard"/>
        <w:jc w:val="both"/>
        <w:rPr>
          <w:rFonts w:ascii="Calibri" w:hAnsi="Calibri" w:cs="Calibri"/>
          <w:sz w:val="22"/>
        </w:rPr>
      </w:pPr>
      <w:r w:rsidRPr="000925B3">
        <w:rPr>
          <w:rFonts w:ascii="Calibri" w:hAnsi="Calibri" w:cs="Calibri"/>
          <w:b/>
          <w:bCs/>
          <w:sz w:val="22"/>
          <w:u w:val="single"/>
        </w:rPr>
        <w:t>Les récifs coralliens </w:t>
      </w:r>
      <w:r w:rsidRPr="000925B3">
        <w:rPr>
          <w:rFonts w:ascii="Calibri" w:hAnsi="Calibri" w:cs="Calibri"/>
          <w:b/>
          <w:bCs/>
          <w:sz w:val="22"/>
          <w:u w:val="single"/>
          <w:lang w:val="fr-FR"/>
        </w:rPr>
        <w:t>:</w:t>
      </w:r>
    </w:p>
    <w:p w14:paraId="6E5390A5" w14:textId="77777777" w:rsidR="00CB712E" w:rsidRPr="00153C41" w:rsidRDefault="00CB712E" w:rsidP="00CB712E">
      <w:pPr>
        <w:pStyle w:val="Standard"/>
        <w:jc w:val="both"/>
        <w:rPr>
          <w:rFonts w:ascii="Calibri" w:hAnsi="Calibri" w:cs="Calibri"/>
          <w:sz w:val="16"/>
          <w:szCs w:val="16"/>
          <w:lang w:val="fr-FR"/>
        </w:rPr>
      </w:pPr>
    </w:p>
    <w:p w14:paraId="16E10E91" w14:textId="77777777" w:rsidR="00CB712E" w:rsidRPr="000925B3" w:rsidRDefault="00CB712E" w:rsidP="00CB712E">
      <w:pPr>
        <w:pStyle w:val="Standard"/>
        <w:jc w:val="both"/>
        <w:rPr>
          <w:rFonts w:ascii="Calibri" w:hAnsi="Calibri" w:cs="Calibri"/>
          <w:sz w:val="22"/>
          <w:lang w:val="fr-FR"/>
        </w:rPr>
      </w:pPr>
      <w:r w:rsidRPr="000925B3">
        <w:rPr>
          <w:rFonts w:ascii="Calibri" w:hAnsi="Calibri" w:cs="Calibri"/>
          <w:sz w:val="22"/>
          <w:lang w:val="fr-FR"/>
        </w:rPr>
        <w:t>De nombreuses espèces de coraux, ont été inventoriées dans les fonds océaniques. Ce sont des espèces animales appartenant à la classe des Anthozoaires, caractérisés par un exosquelette calcaire ou protéinique. Ils abritent des milliers d’espèces de poissons à c</w:t>
      </w:r>
      <w:r>
        <w:rPr>
          <w:rFonts w:ascii="Calibri" w:hAnsi="Calibri" w:cs="Calibri"/>
          <w:sz w:val="22"/>
          <w:lang w:val="fr-FR"/>
        </w:rPr>
        <w:t>ô</w:t>
      </w:r>
      <w:r w:rsidRPr="000925B3">
        <w:rPr>
          <w:rFonts w:ascii="Calibri" w:hAnsi="Calibri" w:cs="Calibri"/>
          <w:sz w:val="22"/>
          <w:lang w:val="fr-FR"/>
        </w:rPr>
        <w:t>t</w:t>
      </w:r>
      <w:r>
        <w:rPr>
          <w:rFonts w:ascii="Calibri" w:hAnsi="Calibri" w:cs="Calibri"/>
          <w:sz w:val="22"/>
          <w:lang w:val="fr-FR"/>
        </w:rPr>
        <w:t>é</w:t>
      </w:r>
      <w:r w:rsidRPr="000925B3">
        <w:rPr>
          <w:rFonts w:ascii="Calibri" w:hAnsi="Calibri" w:cs="Calibri"/>
          <w:sz w:val="22"/>
          <w:lang w:val="fr-FR"/>
        </w:rPr>
        <w:t xml:space="preserve"> d’autres espèces animales, comme des crabes, des étoiles de mer, des coquillages, etc. Les coraux servent de refuge, de réserves alimentaires et de nurseries pour ces nombreux </w:t>
      </w:r>
      <w:r>
        <w:rPr>
          <w:rFonts w:ascii="Calibri" w:hAnsi="Calibri" w:cs="Calibri"/>
          <w:sz w:val="22"/>
          <w:lang w:val="fr-FR"/>
        </w:rPr>
        <w:t>organismes</w:t>
      </w:r>
      <w:r w:rsidRPr="000925B3">
        <w:rPr>
          <w:rFonts w:ascii="Calibri" w:hAnsi="Calibri" w:cs="Calibri"/>
          <w:sz w:val="22"/>
          <w:lang w:val="fr-FR"/>
        </w:rPr>
        <w:t>, de la plus petite algue à de nombreux invertébrés, poissons, tortues de mer et requins.</w:t>
      </w:r>
    </w:p>
    <w:p w14:paraId="52F897A2" w14:textId="77777777" w:rsidR="00CB712E" w:rsidRPr="00153C41" w:rsidRDefault="00CB712E" w:rsidP="00CB712E">
      <w:pPr>
        <w:pStyle w:val="Standard"/>
        <w:jc w:val="both"/>
        <w:rPr>
          <w:rFonts w:ascii="Calibri" w:hAnsi="Calibri" w:cs="Calibri"/>
          <w:sz w:val="12"/>
          <w:szCs w:val="12"/>
          <w:lang w:val="fr-FR"/>
        </w:rPr>
      </w:pPr>
    </w:p>
    <w:p w14:paraId="25DDFC38"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lang w:val="fr-FR"/>
        </w:rPr>
        <w:t xml:space="preserve">En Mauritanie, les coraux ont été décrits aussi bien dans les eaux océaniques marines que côtières. Les espèces les plus connues, sont les coraux d’eaux froides vivant à des profondeurs entre 450 et 500 m Elles comprennent </w:t>
      </w:r>
      <w:r w:rsidRPr="000925B3">
        <w:rPr>
          <w:rFonts w:ascii="Calibri" w:hAnsi="Calibri" w:cs="Calibri"/>
          <w:i/>
          <w:iCs/>
          <w:sz w:val="22"/>
          <w:lang w:val="fr-FR"/>
        </w:rPr>
        <w:t xml:space="preserve">Madrepora oculata, Solenosmilia variabilis </w:t>
      </w:r>
      <w:r w:rsidRPr="000925B3">
        <w:rPr>
          <w:rFonts w:ascii="Calibri" w:hAnsi="Calibri" w:cs="Calibri"/>
          <w:sz w:val="22"/>
          <w:lang w:val="fr-FR"/>
        </w:rPr>
        <w:t>et</w:t>
      </w:r>
      <w:r w:rsidRPr="000925B3">
        <w:rPr>
          <w:rFonts w:ascii="Calibri" w:hAnsi="Calibri" w:cs="Calibri"/>
          <w:i/>
          <w:iCs/>
          <w:sz w:val="22"/>
          <w:lang w:val="fr-FR"/>
        </w:rPr>
        <w:t xml:space="preserve"> Desmophyllum sp.</w:t>
      </w:r>
      <w:r w:rsidRPr="000925B3">
        <w:rPr>
          <w:rFonts w:ascii="Calibri" w:hAnsi="Calibri" w:cs="Calibri"/>
          <w:sz w:val="22"/>
          <w:lang w:val="fr-FR"/>
        </w:rPr>
        <w:t xml:space="preserve"> </w:t>
      </w:r>
      <w:proofErr w:type="gramStart"/>
      <w:r w:rsidRPr="000925B3">
        <w:rPr>
          <w:rFonts w:ascii="Calibri" w:hAnsi="Calibri" w:cs="Calibri"/>
          <w:sz w:val="22"/>
          <w:lang w:val="fr-FR"/>
        </w:rPr>
        <w:t>et</w:t>
      </w:r>
      <w:proofErr w:type="gramEnd"/>
      <w:r w:rsidRPr="000925B3">
        <w:rPr>
          <w:rFonts w:ascii="Calibri" w:hAnsi="Calibri" w:cs="Calibri"/>
          <w:sz w:val="22"/>
          <w:lang w:val="fr-FR"/>
        </w:rPr>
        <w:t xml:space="preserve"> puis </w:t>
      </w:r>
      <w:r w:rsidRPr="000925B3">
        <w:rPr>
          <w:rFonts w:ascii="Calibri" w:hAnsi="Calibri" w:cs="Calibri"/>
          <w:i/>
          <w:iCs/>
          <w:sz w:val="22"/>
          <w:lang w:val="fr-FR"/>
        </w:rPr>
        <w:t xml:space="preserve">Lophelia pertusa qui </w:t>
      </w:r>
      <w:r w:rsidRPr="000925B3">
        <w:rPr>
          <w:rFonts w:ascii="Calibri" w:hAnsi="Calibri" w:cs="Calibri"/>
          <w:sz w:val="22"/>
          <w:lang w:val="fr-FR"/>
        </w:rPr>
        <w:t>est la plus dominante.</w:t>
      </w:r>
    </w:p>
    <w:p w14:paraId="5021A611" w14:textId="77777777" w:rsidR="00CB712E" w:rsidRDefault="00CB712E" w:rsidP="00CB712E">
      <w:pPr>
        <w:pStyle w:val="Standard"/>
        <w:jc w:val="both"/>
        <w:rPr>
          <w:rFonts w:ascii="Calibri" w:hAnsi="Calibri" w:cs="Calibri"/>
          <w:color w:val="FF0000"/>
          <w:sz w:val="22"/>
          <w:lang w:val="fr-FR"/>
        </w:rPr>
      </w:pPr>
    </w:p>
    <w:p w14:paraId="35ECBD15" w14:textId="77777777" w:rsidR="00CB712E" w:rsidRPr="000925B3" w:rsidRDefault="00CB712E" w:rsidP="00CB712E">
      <w:pPr>
        <w:pStyle w:val="Standard"/>
        <w:jc w:val="both"/>
        <w:rPr>
          <w:rFonts w:ascii="Calibri" w:hAnsi="Calibri" w:cs="Calibri"/>
          <w:sz w:val="22"/>
        </w:rPr>
      </w:pPr>
      <w:r w:rsidRPr="000925B3">
        <w:rPr>
          <w:rFonts w:ascii="Calibri" w:hAnsi="Calibri" w:cs="Calibri"/>
          <w:noProof/>
          <w:color w:val="FF0000"/>
          <w:sz w:val="22"/>
          <w:lang w:val="fr-FR"/>
        </w:rPr>
        <w:drawing>
          <wp:inline distT="0" distB="0" distL="0" distR="0" wp14:anchorId="6BA2986C" wp14:editId="57BE4618">
            <wp:extent cx="5057278" cy="2941983"/>
            <wp:effectExtent l="0" t="0" r="0" b="0"/>
            <wp:docPr id="899707291" name="Image 6" descr="Une image contenant capture d’écran, carte, texte&#10;&#10;Description générée automatiquement"/>
            <wp:cNvGraphicFramePr/>
            <a:graphic xmlns:a="http://schemas.openxmlformats.org/drawingml/2006/main">
              <a:graphicData uri="http://schemas.openxmlformats.org/drawingml/2006/picture">
                <pic:pic xmlns:pic="http://schemas.openxmlformats.org/drawingml/2006/picture">
                  <pic:nvPicPr>
                    <pic:cNvPr id="899707291" name="Image 6" descr="Une image contenant capture d’écran, carte, texte&#10;&#10;Description générée automatiquement"/>
                    <pic:cNvPicPr/>
                  </pic:nvPicPr>
                  <pic:blipFill>
                    <a:blip r:embed="rId197"/>
                    <a:srcRect t="11470" r="38187"/>
                    <a:stretch>
                      <a:fillRect/>
                    </a:stretch>
                  </pic:blipFill>
                  <pic:spPr>
                    <a:xfrm>
                      <a:off x="0" y="0"/>
                      <a:ext cx="5057784" cy="2942277"/>
                    </a:xfrm>
                    <a:prstGeom prst="rect">
                      <a:avLst/>
                    </a:prstGeom>
                    <a:noFill/>
                    <a:ln>
                      <a:noFill/>
                      <a:prstDash/>
                    </a:ln>
                  </pic:spPr>
                </pic:pic>
              </a:graphicData>
            </a:graphic>
          </wp:inline>
        </w:drawing>
      </w:r>
    </w:p>
    <w:p w14:paraId="6FD8E4C8" w14:textId="77777777" w:rsidR="00CB712E" w:rsidRPr="000925B3" w:rsidRDefault="00CB712E" w:rsidP="00CB712E">
      <w:pPr>
        <w:pStyle w:val="Standard"/>
        <w:tabs>
          <w:tab w:val="left" w:pos="940"/>
          <w:tab w:val="left" w:pos="1440"/>
        </w:tabs>
        <w:jc w:val="both"/>
        <w:rPr>
          <w:rFonts w:ascii="Calibri" w:hAnsi="Calibri" w:cs="Calibri"/>
          <w:b/>
          <w:sz w:val="22"/>
          <w:u w:val="single"/>
        </w:rPr>
      </w:pPr>
      <w:r w:rsidRPr="000925B3">
        <w:rPr>
          <w:rFonts w:ascii="Calibri" w:hAnsi="Calibri" w:cs="Calibri"/>
          <w:b/>
          <w:sz w:val="22"/>
          <w:u w:val="single"/>
        </w:rPr>
        <w:t>Poissons :</w:t>
      </w:r>
    </w:p>
    <w:p w14:paraId="6ECDC836" w14:textId="77777777" w:rsidR="00CB712E" w:rsidRPr="000925B3" w:rsidRDefault="00CB712E" w:rsidP="00CB712E">
      <w:pPr>
        <w:pStyle w:val="Standard"/>
        <w:tabs>
          <w:tab w:val="left" w:pos="940"/>
          <w:tab w:val="left" w:pos="1440"/>
        </w:tabs>
        <w:jc w:val="both"/>
        <w:rPr>
          <w:rFonts w:ascii="Calibri" w:hAnsi="Calibri" w:cs="Calibri"/>
          <w:b/>
          <w:sz w:val="22"/>
        </w:rPr>
      </w:pPr>
      <w:r w:rsidRPr="000925B3">
        <w:rPr>
          <w:rFonts w:ascii="Calibri" w:hAnsi="Calibri" w:cs="Calibri"/>
          <w:b/>
          <w:sz w:val="22"/>
        </w:rPr>
        <w:t xml:space="preserve"> </w:t>
      </w:r>
    </w:p>
    <w:p w14:paraId="6786ADAF" w14:textId="77777777" w:rsidR="00CB712E" w:rsidRPr="000925B3" w:rsidRDefault="00CB712E" w:rsidP="00CB712E">
      <w:pPr>
        <w:pStyle w:val="Standard"/>
        <w:tabs>
          <w:tab w:val="left" w:pos="940"/>
          <w:tab w:val="left" w:pos="1440"/>
        </w:tabs>
        <w:jc w:val="both"/>
        <w:rPr>
          <w:rFonts w:ascii="Calibri" w:hAnsi="Calibri" w:cs="Calibri"/>
          <w:sz w:val="22"/>
        </w:rPr>
      </w:pPr>
      <w:r w:rsidRPr="000925B3">
        <w:rPr>
          <w:rFonts w:ascii="Calibri" w:hAnsi="Calibri" w:cs="Calibri"/>
          <w:sz w:val="22"/>
        </w:rPr>
        <w:t xml:space="preserve">En Mauritanie, le groupe des poissons est surtout constitué des daurades-dentons-dentex ; soles-turbots ; chinchards-maquereaux ; sardines-sardinelles-anchois ; merlus ; mulets ; thiofs-mérous ; courbines-capitaines, etc. </w:t>
      </w:r>
      <w:r w:rsidRPr="000925B3">
        <w:rPr>
          <w:rFonts w:ascii="Calibri" w:hAnsi="Calibri" w:cs="Calibri"/>
          <w:sz w:val="22"/>
          <w:lang w:val="fr-FR"/>
        </w:rPr>
        <w:t xml:space="preserve">Ce groupe, est l’un des plus importants de la biodiversité mauritanienne et ce en raison de ses 1000 espèces de poissons répertoriées dans les eaux du pays. </w:t>
      </w:r>
    </w:p>
    <w:p w14:paraId="34C20C55" w14:textId="77777777" w:rsidR="00CB712E" w:rsidRPr="000925B3" w:rsidRDefault="00CB712E" w:rsidP="00CB712E">
      <w:pPr>
        <w:pStyle w:val="Standard"/>
        <w:jc w:val="both"/>
        <w:rPr>
          <w:rFonts w:ascii="Calibri" w:hAnsi="Calibri" w:cs="Calibri"/>
          <w:sz w:val="22"/>
          <w:lang w:val="fr-FR"/>
        </w:rPr>
      </w:pPr>
      <w:r w:rsidRPr="000925B3">
        <w:rPr>
          <w:rFonts w:ascii="Calibri" w:hAnsi="Calibri" w:cs="Calibri"/>
          <w:sz w:val="22"/>
          <w:lang w:val="fr-FR"/>
        </w:rPr>
        <w:t>Ces espèces sont, soit pélagiques ou démersales selon le mode de vie associé ou non à la colonne d’eau ou aux sédiments de fond.</w:t>
      </w:r>
    </w:p>
    <w:p w14:paraId="135FF917" w14:textId="77777777" w:rsidR="00CB712E" w:rsidRPr="000925B3" w:rsidRDefault="00CB712E" w:rsidP="00CB712E">
      <w:pPr>
        <w:pStyle w:val="Standard"/>
        <w:jc w:val="both"/>
        <w:rPr>
          <w:rFonts w:ascii="Calibri" w:hAnsi="Calibri" w:cs="Calibri"/>
          <w:sz w:val="22"/>
          <w:lang w:val="fr-FR"/>
        </w:rPr>
      </w:pPr>
    </w:p>
    <w:p w14:paraId="63E3A385" w14:textId="77777777" w:rsidR="00CB712E" w:rsidRPr="000925B3" w:rsidRDefault="00CB712E" w:rsidP="00CB712E">
      <w:pPr>
        <w:pStyle w:val="Standard"/>
        <w:jc w:val="both"/>
        <w:rPr>
          <w:rFonts w:ascii="Calibri" w:hAnsi="Calibri" w:cs="Calibri"/>
          <w:sz w:val="22"/>
          <w:lang w:val="fr-FR"/>
        </w:rPr>
      </w:pPr>
      <w:r w:rsidRPr="000925B3">
        <w:rPr>
          <w:rFonts w:ascii="Calibri" w:hAnsi="Calibri" w:cs="Calibri"/>
          <w:sz w:val="22"/>
          <w:lang w:val="fr-FR"/>
        </w:rPr>
        <w:t xml:space="preserve">A remarquer que plusieurs espèces de poissons, connaissent déjà des états de conservation critiques devenant ainsi vulnérables et mêmes menacées de disparition, notamment les raies et les requins. </w:t>
      </w:r>
    </w:p>
    <w:p w14:paraId="2F05200D" w14:textId="77777777" w:rsidR="00CB712E" w:rsidRPr="000925B3" w:rsidRDefault="00CB712E" w:rsidP="00CB712E">
      <w:pPr>
        <w:pStyle w:val="Standard"/>
        <w:jc w:val="both"/>
        <w:rPr>
          <w:rFonts w:ascii="Calibri" w:hAnsi="Calibri" w:cs="Calibri"/>
          <w:sz w:val="22"/>
          <w:lang w:val="fr-FR"/>
        </w:rPr>
      </w:pPr>
    </w:p>
    <w:p w14:paraId="72AB5A6D" w14:textId="77777777" w:rsidR="00CB712E" w:rsidRPr="000925B3" w:rsidRDefault="00CB712E" w:rsidP="00CB712E">
      <w:pPr>
        <w:pStyle w:val="Standard"/>
        <w:tabs>
          <w:tab w:val="left" w:pos="940"/>
          <w:tab w:val="left" w:pos="1440"/>
        </w:tabs>
        <w:jc w:val="both"/>
        <w:rPr>
          <w:rFonts w:ascii="Calibri" w:hAnsi="Calibri" w:cs="Calibri"/>
          <w:sz w:val="22"/>
        </w:rPr>
      </w:pPr>
      <w:r w:rsidRPr="000925B3">
        <w:rPr>
          <w:rFonts w:ascii="Calibri" w:hAnsi="Calibri" w:cs="Calibri"/>
          <w:b/>
          <w:sz w:val="22"/>
          <w:u w:val="single"/>
        </w:rPr>
        <w:t>Mollusques marins :</w:t>
      </w:r>
    </w:p>
    <w:p w14:paraId="32B90148" w14:textId="77777777" w:rsidR="00CB712E" w:rsidRPr="000925B3" w:rsidRDefault="00CB712E" w:rsidP="00CB712E">
      <w:pPr>
        <w:pStyle w:val="Standard"/>
        <w:tabs>
          <w:tab w:val="left" w:pos="940"/>
          <w:tab w:val="left" w:pos="1440"/>
        </w:tabs>
        <w:jc w:val="both"/>
        <w:rPr>
          <w:rFonts w:ascii="Calibri" w:hAnsi="Calibri" w:cs="Calibri"/>
          <w:b/>
          <w:sz w:val="22"/>
          <w:u w:val="single"/>
        </w:rPr>
      </w:pPr>
    </w:p>
    <w:p w14:paraId="7E730064" w14:textId="77777777" w:rsidR="00CB712E" w:rsidRPr="000925B3" w:rsidRDefault="00CB712E" w:rsidP="00CB712E">
      <w:pPr>
        <w:pStyle w:val="Standard"/>
        <w:tabs>
          <w:tab w:val="left" w:pos="940"/>
          <w:tab w:val="left" w:pos="1440"/>
        </w:tabs>
        <w:jc w:val="both"/>
        <w:rPr>
          <w:rFonts w:ascii="Calibri" w:hAnsi="Calibri" w:cs="Calibri"/>
          <w:sz w:val="22"/>
        </w:rPr>
      </w:pPr>
      <w:r w:rsidRPr="000925B3">
        <w:rPr>
          <w:rFonts w:ascii="Calibri" w:hAnsi="Calibri" w:cs="Calibri"/>
          <w:sz w:val="22"/>
        </w:rPr>
        <w:t>Sur les huit classes composant cet embranchement, 3 se trouvent dans les eaux mauritaniennes. Il s’agit de céphalopodes, de bivalves et de gastéropodes. Bien que certains auteurs soutiennent que les mollusques représentent environ 23 % de la richesse spécifique en Afrique de l’Ouest, leur inventaire est très peu connu en Mauritanie.</w:t>
      </w:r>
    </w:p>
    <w:p w14:paraId="1CE30958" w14:textId="77777777" w:rsidR="00CB712E" w:rsidRPr="000925B3" w:rsidRDefault="00CB712E" w:rsidP="00CB712E">
      <w:pPr>
        <w:pStyle w:val="Standard"/>
        <w:tabs>
          <w:tab w:val="left" w:pos="940"/>
          <w:tab w:val="left" w:pos="1440"/>
        </w:tabs>
        <w:jc w:val="both"/>
        <w:rPr>
          <w:rFonts w:ascii="Calibri" w:hAnsi="Calibri" w:cs="Calibri"/>
          <w:sz w:val="22"/>
        </w:rPr>
      </w:pPr>
    </w:p>
    <w:p w14:paraId="4CEA491D" w14:textId="77777777" w:rsidR="00CB712E" w:rsidRPr="000925B3" w:rsidRDefault="00CB712E" w:rsidP="00CB712E">
      <w:pPr>
        <w:pStyle w:val="Standard"/>
        <w:tabs>
          <w:tab w:val="left" w:pos="940"/>
          <w:tab w:val="left" w:pos="1440"/>
        </w:tabs>
        <w:ind w:left="720"/>
        <w:jc w:val="both"/>
        <w:rPr>
          <w:rFonts w:ascii="Calibri" w:hAnsi="Calibri" w:cs="Calibri"/>
          <w:sz w:val="22"/>
        </w:rPr>
      </w:pPr>
      <w:r w:rsidRPr="000925B3">
        <w:rPr>
          <w:rFonts w:ascii="Calibri" w:hAnsi="Calibri" w:cs="Calibri"/>
          <w:b/>
          <w:bCs/>
          <w:sz w:val="22"/>
        </w:rPr>
        <w:t>Les céphalopodes</w:t>
      </w:r>
      <w:r w:rsidRPr="000925B3">
        <w:rPr>
          <w:rFonts w:ascii="Calibri" w:hAnsi="Calibri" w:cs="Calibri"/>
          <w:sz w:val="22"/>
          <w:shd w:val="clear" w:color="auto" w:fill="FFFFFF"/>
        </w:rPr>
        <w:t xml:space="preserve">, sont des espèces exclusivement marines à répartition océanique cosmopolite. Ce sont des animaux à corps mous qui se déplacent par propulsion. Ils possèdent de haute teneur en protéines et des taux élevés de matière grasse. </w:t>
      </w:r>
    </w:p>
    <w:p w14:paraId="5303B6B3" w14:textId="77777777" w:rsidR="00CB712E" w:rsidRPr="000925B3" w:rsidRDefault="00CB712E" w:rsidP="00CB712E">
      <w:pPr>
        <w:pStyle w:val="Standard"/>
        <w:tabs>
          <w:tab w:val="left" w:pos="940"/>
          <w:tab w:val="left" w:pos="1440"/>
        </w:tabs>
        <w:jc w:val="both"/>
        <w:rPr>
          <w:rFonts w:ascii="Calibri" w:hAnsi="Calibri" w:cs="Calibri"/>
          <w:sz w:val="22"/>
        </w:rPr>
      </w:pPr>
    </w:p>
    <w:p w14:paraId="5084D0B6" w14:textId="77777777" w:rsidR="00CB712E" w:rsidRPr="000925B3" w:rsidRDefault="00CB712E" w:rsidP="00CB712E">
      <w:pPr>
        <w:pStyle w:val="Standard"/>
        <w:tabs>
          <w:tab w:val="left" w:pos="940"/>
          <w:tab w:val="left" w:pos="1440"/>
        </w:tabs>
        <w:ind w:left="708"/>
        <w:jc w:val="both"/>
        <w:rPr>
          <w:rFonts w:ascii="Calibri" w:hAnsi="Calibri" w:cs="Calibri"/>
          <w:sz w:val="22"/>
        </w:rPr>
      </w:pPr>
      <w:r w:rsidRPr="000925B3">
        <w:rPr>
          <w:rFonts w:ascii="Calibri" w:hAnsi="Calibri" w:cs="Calibri"/>
          <w:sz w:val="22"/>
        </w:rPr>
        <w:t>Le poulpe commun ou pieuvre, la seiche et le calmar, sont les 3 espèces caractéristiques des eaux mauritaniennes. Parmi ces espèces, le poulpe est le plus connu en raison de son exploitation qui remonte aux années 60, de sa grande valeur commerciale et de sa technique de pêche facile.</w:t>
      </w:r>
    </w:p>
    <w:p w14:paraId="1247AE3C" w14:textId="77777777" w:rsidR="00CB712E" w:rsidRPr="000925B3" w:rsidRDefault="00CB712E" w:rsidP="00CB712E">
      <w:pPr>
        <w:pStyle w:val="Standard"/>
        <w:tabs>
          <w:tab w:val="left" w:pos="940"/>
          <w:tab w:val="left" w:pos="1440"/>
        </w:tabs>
        <w:ind w:left="720"/>
        <w:jc w:val="both"/>
        <w:rPr>
          <w:rFonts w:ascii="Calibri" w:hAnsi="Calibri" w:cs="Calibri"/>
          <w:b/>
          <w:bCs/>
          <w:sz w:val="22"/>
        </w:rPr>
      </w:pPr>
    </w:p>
    <w:p w14:paraId="62F3FEA6" w14:textId="77777777" w:rsidR="00CB712E" w:rsidRPr="000925B3" w:rsidRDefault="00CB712E" w:rsidP="00CB712E">
      <w:pPr>
        <w:pStyle w:val="Standard"/>
        <w:tabs>
          <w:tab w:val="left" w:pos="940"/>
          <w:tab w:val="left" w:pos="1440"/>
        </w:tabs>
        <w:ind w:left="720"/>
        <w:jc w:val="both"/>
        <w:rPr>
          <w:rFonts w:ascii="Calibri" w:hAnsi="Calibri" w:cs="Calibri"/>
          <w:sz w:val="22"/>
        </w:rPr>
      </w:pPr>
      <w:r w:rsidRPr="000925B3">
        <w:rPr>
          <w:rFonts w:ascii="Calibri" w:hAnsi="Calibri" w:cs="Calibri"/>
          <w:b/>
          <w:bCs/>
          <w:sz w:val="22"/>
        </w:rPr>
        <w:t>Les bivalves</w:t>
      </w:r>
      <w:r w:rsidRPr="000925B3">
        <w:rPr>
          <w:rFonts w:ascii="Calibri" w:hAnsi="Calibri" w:cs="Calibri"/>
          <w:sz w:val="22"/>
        </w:rPr>
        <w:t xml:space="preserve"> (animaux à double coquilles externes), sont des filtreurs et de bons indicateurs de l’état du milieu aquatique et en particulier de la présence de pollution. </w:t>
      </w:r>
    </w:p>
    <w:p w14:paraId="457D11C0" w14:textId="77777777" w:rsidR="00CB712E" w:rsidRPr="000925B3" w:rsidRDefault="00CB712E" w:rsidP="00CB712E">
      <w:pPr>
        <w:pStyle w:val="Standard"/>
        <w:tabs>
          <w:tab w:val="left" w:pos="940"/>
          <w:tab w:val="left" w:pos="1440"/>
        </w:tabs>
        <w:ind w:left="720"/>
        <w:jc w:val="both"/>
        <w:rPr>
          <w:rFonts w:ascii="Calibri" w:hAnsi="Calibri" w:cs="Calibri"/>
          <w:sz w:val="22"/>
        </w:rPr>
      </w:pPr>
      <w:r w:rsidRPr="000925B3">
        <w:rPr>
          <w:rFonts w:ascii="Calibri" w:hAnsi="Calibri" w:cs="Calibri"/>
          <w:sz w:val="22"/>
        </w:rPr>
        <w:t xml:space="preserve">Ces espèces concentrent les polluants tels que les métaux lourds et leur exploitation est souvent soumises à des </w:t>
      </w:r>
      <w:r>
        <w:rPr>
          <w:rFonts w:ascii="Calibri" w:hAnsi="Calibri" w:cs="Calibri"/>
          <w:sz w:val="22"/>
        </w:rPr>
        <w:t>normes sanitaires applicables spécifiquement aux sites de production</w:t>
      </w:r>
    </w:p>
    <w:p w14:paraId="6A1EDEB8" w14:textId="77777777" w:rsidR="00CB712E" w:rsidRPr="000925B3" w:rsidRDefault="00CB712E" w:rsidP="00CB712E">
      <w:pPr>
        <w:pStyle w:val="Standard"/>
        <w:tabs>
          <w:tab w:val="left" w:pos="940"/>
          <w:tab w:val="left" w:pos="1440"/>
        </w:tabs>
        <w:ind w:left="720"/>
        <w:jc w:val="both"/>
        <w:rPr>
          <w:rFonts w:ascii="Calibri" w:hAnsi="Calibri" w:cs="Calibri"/>
          <w:sz w:val="22"/>
        </w:rPr>
      </w:pPr>
      <w:r w:rsidRPr="000925B3">
        <w:rPr>
          <w:rFonts w:ascii="Calibri" w:hAnsi="Calibri" w:cs="Calibri"/>
          <w:sz w:val="22"/>
        </w:rPr>
        <w:t>Les bivalves les mieux connus, sont surtout les moules, les palourdes, les huîtres et les praires. Ces dernières, se concentrent sur de grandes étendues dans la Baie du Lévrier et en face du Banc d’Arguin. On estime qu’il y a un potentiel exploitable annuellement de 300 000 tonnes en Mauritanie. Cependant, le taux de cadmium, naturellement présent chez les praires de ces zones, constitue une barrière à leur exportation vers le marché extérieur européen.</w:t>
      </w:r>
    </w:p>
    <w:p w14:paraId="3D532F3B" w14:textId="77777777" w:rsidR="00CB712E" w:rsidRPr="008B5D47" w:rsidRDefault="00CB712E" w:rsidP="00CB712E">
      <w:pPr>
        <w:pStyle w:val="Standard"/>
        <w:tabs>
          <w:tab w:val="left" w:pos="940"/>
          <w:tab w:val="left" w:pos="1440"/>
        </w:tabs>
        <w:ind w:left="720"/>
        <w:jc w:val="both"/>
        <w:rPr>
          <w:rFonts w:ascii="Calibri" w:hAnsi="Calibri" w:cs="Calibri"/>
          <w:sz w:val="12"/>
          <w:szCs w:val="12"/>
        </w:rPr>
      </w:pPr>
    </w:p>
    <w:p w14:paraId="3B47C3F9" w14:textId="77777777" w:rsidR="00CB712E" w:rsidRPr="000925B3" w:rsidRDefault="00CB712E" w:rsidP="00CB712E">
      <w:pPr>
        <w:pStyle w:val="Standard"/>
        <w:tabs>
          <w:tab w:val="left" w:pos="940"/>
          <w:tab w:val="left" w:pos="1440"/>
        </w:tabs>
        <w:ind w:left="720"/>
        <w:jc w:val="both"/>
        <w:rPr>
          <w:rFonts w:ascii="Calibri" w:hAnsi="Calibri" w:cs="Calibri"/>
          <w:sz w:val="22"/>
        </w:rPr>
      </w:pPr>
      <w:r w:rsidRPr="000925B3">
        <w:rPr>
          <w:rFonts w:ascii="Calibri" w:hAnsi="Calibri" w:cs="Calibri"/>
          <w:b/>
          <w:bCs/>
          <w:sz w:val="22"/>
        </w:rPr>
        <w:t>Les gastéropodes</w:t>
      </w:r>
      <w:r w:rsidRPr="000925B3">
        <w:rPr>
          <w:rFonts w:ascii="Calibri" w:hAnsi="Calibri" w:cs="Calibri"/>
          <w:sz w:val="22"/>
        </w:rPr>
        <w:t xml:space="preserve"> sont des animaux présentant des formes très diversifiées avec généralement une coquille </w:t>
      </w:r>
      <w:r w:rsidRPr="000925B3">
        <w:rPr>
          <w:rFonts w:ascii="Calibri" w:hAnsi="Calibri" w:cs="Calibri"/>
          <w:sz w:val="22"/>
          <w:shd w:val="clear" w:color="auto" w:fill="FFFFFF"/>
        </w:rPr>
        <w:t>protectrice</w:t>
      </w:r>
      <w:r w:rsidRPr="000925B3">
        <w:rPr>
          <w:rFonts w:ascii="Calibri" w:hAnsi="Calibri" w:cs="Calibri"/>
          <w:sz w:val="22"/>
        </w:rPr>
        <w:t xml:space="preserve"> unique dorsale torsadée. L’espèce la plus connue, est l’escargot de mer. Mais il y a aussi d’autres espèces, les volutes ou Cymbium qui sont très prisés en Mauritanie où une pêcherie commence, depuis quelques années, à émerger. </w:t>
      </w:r>
    </w:p>
    <w:p w14:paraId="4B36039E" w14:textId="77777777" w:rsidR="00CB712E" w:rsidRPr="008B5D47" w:rsidRDefault="00CB712E" w:rsidP="00CB712E">
      <w:pPr>
        <w:pStyle w:val="Standard"/>
        <w:tabs>
          <w:tab w:val="left" w:pos="940"/>
          <w:tab w:val="left" w:pos="1440"/>
        </w:tabs>
        <w:ind w:left="720"/>
        <w:jc w:val="both"/>
        <w:rPr>
          <w:rFonts w:ascii="Calibri" w:hAnsi="Calibri" w:cs="Calibri"/>
          <w:b/>
          <w:sz w:val="12"/>
          <w:szCs w:val="12"/>
        </w:rPr>
      </w:pPr>
    </w:p>
    <w:p w14:paraId="7235AE45" w14:textId="77777777" w:rsidR="00CB712E" w:rsidRPr="000925B3" w:rsidRDefault="00CB712E" w:rsidP="00CB712E">
      <w:pPr>
        <w:pStyle w:val="Standard"/>
        <w:tabs>
          <w:tab w:val="left" w:pos="940"/>
          <w:tab w:val="left" w:pos="1440"/>
        </w:tabs>
        <w:ind w:left="720" w:hanging="720"/>
        <w:jc w:val="both"/>
        <w:rPr>
          <w:rFonts w:ascii="Calibri" w:hAnsi="Calibri" w:cs="Calibri"/>
          <w:sz w:val="22"/>
        </w:rPr>
      </w:pPr>
      <w:r w:rsidRPr="000925B3">
        <w:rPr>
          <w:rFonts w:ascii="Calibri" w:hAnsi="Calibri" w:cs="Calibri"/>
          <w:b/>
          <w:sz w:val="22"/>
          <w:u w:val="single"/>
        </w:rPr>
        <w:t>Crustacés marins</w:t>
      </w:r>
      <w:r w:rsidRPr="000925B3">
        <w:rPr>
          <w:rFonts w:ascii="Calibri" w:hAnsi="Calibri" w:cs="Calibri"/>
          <w:b/>
          <w:sz w:val="22"/>
        </w:rPr>
        <w:t xml:space="preserve"> ; </w:t>
      </w:r>
    </w:p>
    <w:p w14:paraId="106B8029" w14:textId="77777777" w:rsidR="00CB712E" w:rsidRPr="008B5D47" w:rsidRDefault="00CB712E" w:rsidP="00CB712E">
      <w:pPr>
        <w:pStyle w:val="Standard"/>
        <w:jc w:val="both"/>
        <w:rPr>
          <w:rFonts w:ascii="Calibri" w:hAnsi="Calibri" w:cs="Calibri"/>
          <w:sz w:val="14"/>
          <w:szCs w:val="14"/>
        </w:rPr>
      </w:pPr>
    </w:p>
    <w:p w14:paraId="07205860" w14:textId="77777777" w:rsidR="00CB712E" w:rsidRPr="000925B3" w:rsidRDefault="00CB712E" w:rsidP="00CB712E">
      <w:pPr>
        <w:pStyle w:val="Standard"/>
        <w:ind w:left="705" w:hanging="705"/>
        <w:jc w:val="both"/>
        <w:rPr>
          <w:rFonts w:ascii="Calibri" w:hAnsi="Calibri" w:cs="Calibri"/>
          <w:sz w:val="22"/>
          <w:shd w:val="clear" w:color="auto" w:fill="FFFFFF"/>
        </w:rPr>
      </w:pPr>
      <w:r w:rsidRPr="000925B3">
        <w:rPr>
          <w:rFonts w:ascii="Calibri" w:hAnsi="Calibri" w:cs="Calibri"/>
          <w:sz w:val="22"/>
          <w:shd w:val="clear" w:color="auto" w:fill="FFFFFF"/>
        </w:rPr>
        <w:t>`</w:t>
      </w:r>
      <w:r w:rsidRPr="000925B3">
        <w:rPr>
          <w:rFonts w:ascii="Calibri" w:hAnsi="Calibri" w:cs="Calibri"/>
          <w:sz w:val="22"/>
          <w:shd w:val="clear" w:color="auto" w:fill="FFFFFF"/>
        </w:rPr>
        <w:tab/>
        <w:t>Ce sont des animaux appartenant à l’embranchement des arthropodes (à corps segmentés).</w:t>
      </w:r>
    </w:p>
    <w:p w14:paraId="7EEB062E" w14:textId="77777777" w:rsidR="00CB712E" w:rsidRPr="008B5D47" w:rsidRDefault="00CB712E" w:rsidP="00CB712E">
      <w:pPr>
        <w:pStyle w:val="Standard"/>
        <w:jc w:val="both"/>
        <w:rPr>
          <w:rFonts w:ascii="Calibri" w:hAnsi="Calibri" w:cs="Calibri"/>
          <w:sz w:val="8"/>
          <w:szCs w:val="8"/>
          <w:shd w:val="clear" w:color="auto" w:fill="FFFFFF"/>
        </w:rPr>
      </w:pPr>
    </w:p>
    <w:p w14:paraId="19591277" w14:textId="77777777" w:rsidR="00CB712E" w:rsidRPr="000925B3" w:rsidRDefault="00CB712E" w:rsidP="00CB712E">
      <w:pPr>
        <w:pStyle w:val="Standard"/>
        <w:jc w:val="both"/>
        <w:rPr>
          <w:rFonts w:ascii="Calibri" w:hAnsi="Calibri" w:cs="Calibri"/>
          <w:sz w:val="22"/>
          <w:shd w:val="clear" w:color="auto" w:fill="FFFFFF"/>
        </w:rPr>
      </w:pPr>
      <w:r w:rsidRPr="000925B3">
        <w:rPr>
          <w:rFonts w:ascii="Calibri" w:hAnsi="Calibri" w:cs="Calibri"/>
          <w:sz w:val="22"/>
          <w:shd w:val="clear" w:color="auto" w:fill="FFFFFF"/>
        </w:rPr>
        <w:t>Les groupes les plus connus en Mauritanie sont :</w:t>
      </w:r>
    </w:p>
    <w:p w14:paraId="09262D89" w14:textId="77777777" w:rsidR="00CB712E" w:rsidRPr="000925B3" w:rsidRDefault="00CB712E" w:rsidP="00CB712E">
      <w:pPr>
        <w:pStyle w:val="Standard"/>
        <w:numPr>
          <w:ilvl w:val="0"/>
          <w:numId w:val="295"/>
        </w:numPr>
        <w:jc w:val="both"/>
        <w:rPr>
          <w:rFonts w:ascii="Calibri" w:hAnsi="Calibri" w:cs="Calibri"/>
          <w:sz w:val="22"/>
          <w:shd w:val="clear" w:color="auto" w:fill="FFFFFF"/>
        </w:rPr>
      </w:pPr>
      <w:r w:rsidRPr="000925B3">
        <w:rPr>
          <w:rFonts w:ascii="Calibri" w:hAnsi="Calibri" w:cs="Calibri"/>
          <w:b/>
          <w:bCs/>
          <w:i/>
          <w:iCs/>
          <w:sz w:val="22"/>
          <w:shd w:val="clear" w:color="auto" w:fill="FFFFFF"/>
        </w:rPr>
        <w:t>Les crevettes :</w:t>
      </w:r>
      <w:r w:rsidRPr="000925B3">
        <w:rPr>
          <w:rFonts w:ascii="Calibri" w:hAnsi="Calibri" w:cs="Calibri"/>
          <w:sz w:val="22"/>
          <w:shd w:val="clear" w:color="auto" w:fill="FFFFFF"/>
        </w:rPr>
        <w:t xml:space="preserve"> possèdent une répartition côtière pour la crevette blanche Penaeus notialis et profonde pour les crevettes roses Parapenaeus longirostris ;</w:t>
      </w:r>
    </w:p>
    <w:p w14:paraId="18AD8D21" w14:textId="77777777" w:rsidR="00CB712E" w:rsidRPr="000925B3" w:rsidRDefault="00CB712E" w:rsidP="00CB712E">
      <w:pPr>
        <w:pStyle w:val="Standard"/>
        <w:numPr>
          <w:ilvl w:val="0"/>
          <w:numId w:val="295"/>
        </w:numPr>
        <w:jc w:val="both"/>
        <w:rPr>
          <w:rFonts w:ascii="Calibri" w:hAnsi="Calibri" w:cs="Calibri"/>
          <w:sz w:val="22"/>
          <w:shd w:val="clear" w:color="auto" w:fill="FFFFFF"/>
        </w:rPr>
      </w:pPr>
      <w:r w:rsidRPr="000925B3">
        <w:rPr>
          <w:rFonts w:ascii="Calibri" w:hAnsi="Calibri" w:cs="Calibri"/>
          <w:b/>
          <w:bCs/>
          <w:i/>
          <w:iCs/>
          <w:sz w:val="22"/>
          <w:shd w:val="clear" w:color="auto" w:fill="FFFFFF"/>
        </w:rPr>
        <w:t>Les langoustes :</w:t>
      </w:r>
      <w:r w:rsidRPr="000925B3">
        <w:rPr>
          <w:rFonts w:ascii="Calibri" w:hAnsi="Calibri" w:cs="Calibri"/>
          <w:sz w:val="22"/>
          <w:shd w:val="clear" w:color="auto" w:fill="FFFFFF"/>
        </w:rPr>
        <w:t xml:space="preserve"> langouste rose Palinurus mauritanicus et langouste verte Panulirus regius ;</w:t>
      </w:r>
    </w:p>
    <w:p w14:paraId="550BF2D8" w14:textId="77777777" w:rsidR="00CB712E" w:rsidRPr="000925B3" w:rsidRDefault="00CB712E" w:rsidP="00CB712E">
      <w:pPr>
        <w:pStyle w:val="Standard"/>
        <w:numPr>
          <w:ilvl w:val="0"/>
          <w:numId w:val="295"/>
        </w:numPr>
        <w:jc w:val="both"/>
        <w:rPr>
          <w:rFonts w:ascii="Calibri" w:hAnsi="Calibri" w:cs="Calibri"/>
          <w:sz w:val="22"/>
          <w:shd w:val="clear" w:color="auto" w:fill="FFFFFF"/>
        </w:rPr>
      </w:pPr>
      <w:r w:rsidRPr="000925B3">
        <w:rPr>
          <w:rFonts w:ascii="Calibri" w:hAnsi="Calibri" w:cs="Calibri"/>
          <w:b/>
          <w:bCs/>
          <w:i/>
          <w:iCs/>
          <w:sz w:val="22"/>
          <w:shd w:val="clear" w:color="auto" w:fill="FFFFFF"/>
        </w:rPr>
        <w:t>Le crabe profond</w:t>
      </w:r>
      <w:r w:rsidRPr="000925B3">
        <w:rPr>
          <w:rFonts w:ascii="Calibri" w:hAnsi="Calibri" w:cs="Calibri"/>
          <w:sz w:val="22"/>
          <w:shd w:val="clear" w:color="auto" w:fill="FFFFFF"/>
        </w:rPr>
        <w:t xml:space="preserve"> (Geryon maritae), exploité chez nous depuis 1997 et les crabes violonistes (du genre Luca) qui envahissent les plages.</w:t>
      </w:r>
    </w:p>
    <w:p w14:paraId="467029BA" w14:textId="77777777" w:rsidR="00CB712E" w:rsidRPr="000925B3" w:rsidRDefault="00CB712E" w:rsidP="00CB712E">
      <w:pPr>
        <w:pStyle w:val="Standard"/>
        <w:jc w:val="both"/>
        <w:rPr>
          <w:rFonts w:ascii="Calibri" w:hAnsi="Calibri" w:cs="Calibri"/>
          <w:sz w:val="22"/>
          <w:shd w:val="clear" w:color="auto" w:fill="FFFFFF"/>
        </w:rPr>
      </w:pPr>
    </w:p>
    <w:p w14:paraId="57FD9591"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shd w:val="clear" w:color="auto" w:fill="FFFFFF"/>
        </w:rPr>
        <w:t>On rencontre également d’autres espèces de plus faible abondance</w:t>
      </w:r>
      <w:r w:rsidRPr="000925B3">
        <w:rPr>
          <w:rFonts w:ascii="Calibri" w:hAnsi="Calibri" w:cs="Calibri"/>
          <w:sz w:val="22"/>
        </w:rPr>
        <w:t xml:space="preserve"> telles que les Stomatopodes, les Mysidacés…</w:t>
      </w:r>
    </w:p>
    <w:p w14:paraId="365FC314" w14:textId="77777777" w:rsidR="00CB712E" w:rsidRPr="000925B3" w:rsidRDefault="00CB712E" w:rsidP="00CB712E">
      <w:pPr>
        <w:pStyle w:val="Standard"/>
        <w:jc w:val="both"/>
        <w:rPr>
          <w:rFonts w:ascii="Calibri" w:hAnsi="Calibri" w:cs="Calibri"/>
          <w:sz w:val="22"/>
        </w:rPr>
      </w:pPr>
    </w:p>
    <w:p w14:paraId="12CBA338" w14:textId="77777777" w:rsidR="00CB712E" w:rsidRPr="000925B3" w:rsidRDefault="00CB712E" w:rsidP="00CB712E">
      <w:pPr>
        <w:pStyle w:val="Standard"/>
        <w:jc w:val="both"/>
        <w:rPr>
          <w:rFonts w:ascii="Calibri" w:hAnsi="Calibri" w:cs="Calibri"/>
          <w:b/>
          <w:bCs/>
          <w:sz w:val="22"/>
          <w:u w:val="single"/>
        </w:rPr>
      </w:pPr>
      <w:r w:rsidRPr="000925B3">
        <w:rPr>
          <w:rFonts w:ascii="Calibri" w:hAnsi="Calibri" w:cs="Calibri"/>
          <w:b/>
          <w:bCs/>
          <w:color w:val="222222"/>
          <w:sz w:val="22"/>
          <w:u w:val="single"/>
        </w:rPr>
        <w:t>Oiseaux marins et côtiers :</w:t>
      </w:r>
    </w:p>
    <w:p w14:paraId="294163BA" w14:textId="77777777" w:rsidR="00CB712E" w:rsidRPr="00153C41" w:rsidRDefault="00CB712E" w:rsidP="00CB712E">
      <w:pPr>
        <w:shd w:val="clear" w:color="auto" w:fill="FFFFFF"/>
        <w:jc w:val="both"/>
        <w:rPr>
          <w:rFonts w:cs="Calibri"/>
          <w:color w:val="222222"/>
          <w:sz w:val="4"/>
          <w:szCs w:val="4"/>
        </w:rPr>
      </w:pPr>
    </w:p>
    <w:p w14:paraId="4C9B9BE1"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rPr>
        <w:t>Environ 500 espèces d’oiseaux, entre résidents et migrants saisonniers, fréquentent 24-25 zones importantes pour la conservation des oiseaux (ZICO) dont 5 sont côtières : le Cap Blanc, le Parc National du Banc d’Arguin (PNBA), l’Aftout es Sahili, la Réserve du Chat Tboul et le Parc National de Diawling (PND). Par ce nombre, on note au moins 5 espèces d’eau classées en danger ou en danger critique.</w:t>
      </w:r>
    </w:p>
    <w:p w14:paraId="08B7E141" w14:textId="77777777" w:rsidR="00CB712E" w:rsidRPr="000925B3" w:rsidRDefault="00CB712E" w:rsidP="00CB712E">
      <w:pPr>
        <w:pStyle w:val="Standard"/>
        <w:jc w:val="both"/>
        <w:rPr>
          <w:rFonts w:ascii="Calibri" w:hAnsi="Calibri" w:cs="Calibri"/>
          <w:sz w:val="22"/>
        </w:rPr>
      </w:pPr>
    </w:p>
    <w:p w14:paraId="11493E47"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rPr>
        <w:t>L'avifaune, fréquentant des zones mauritaniennes, est dominée par des oiseaux marins hivernants originaires des zones de reproduction du Paléarctique occidental.</w:t>
      </w:r>
    </w:p>
    <w:p w14:paraId="41E6DE18" w14:textId="77777777" w:rsidR="00CB712E" w:rsidRPr="000925B3" w:rsidRDefault="00CB712E" w:rsidP="00CB712E">
      <w:pPr>
        <w:pStyle w:val="Standard"/>
        <w:jc w:val="both"/>
        <w:rPr>
          <w:rFonts w:ascii="Calibri" w:hAnsi="Calibri" w:cs="Calibri"/>
          <w:color w:val="FF0000"/>
          <w:sz w:val="22"/>
        </w:rPr>
      </w:pPr>
    </w:p>
    <w:p w14:paraId="50E31051" w14:textId="77777777" w:rsidR="00CB712E" w:rsidRPr="000925B3" w:rsidRDefault="00CB712E" w:rsidP="00CB712E">
      <w:pPr>
        <w:shd w:val="clear" w:color="auto" w:fill="FFFFFF"/>
        <w:jc w:val="both"/>
        <w:rPr>
          <w:rFonts w:cs="Calibri"/>
          <w:b/>
          <w:bCs/>
          <w:color w:val="222222"/>
          <w:u w:val="single"/>
        </w:rPr>
      </w:pPr>
      <w:r w:rsidRPr="000925B3">
        <w:rPr>
          <w:rFonts w:cs="Calibri"/>
          <w:b/>
          <w:bCs/>
          <w:color w:val="222222"/>
          <w:u w:val="single"/>
        </w:rPr>
        <w:t>Mammifères marins :</w:t>
      </w:r>
    </w:p>
    <w:p w14:paraId="31F5C5D9" w14:textId="77777777" w:rsidR="00CB712E" w:rsidRPr="00153C41" w:rsidRDefault="00CB712E" w:rsidP="00CB712E">
      <w:pPr>
        <w:pStyle w:val="Standard"/>
        <w:jc w:val="both"/>
        <w:rPr>
          <w:rFonts w:ascii="Calibri" w:hAnsi="Calibri" w:cs="Calibri"/>
          <w:color w:val="FF0000"/>
          <w:sz w:val="6"/>
          <w:szCs w:val="6"/>
        </w:rPr>
      </w:pPr>
    </w:p>
    <w:p w14:paraId="3CB3E82E" w14:textId="77777777" w:rsidR="00CB712E" w:rsidRPr="000925B3" w:rsidRDefault="00CB712E" w:rsidP="00CB712E">
      <w:pPr>
        <w:jc w:val="both"/>
        <w:rPr>
          <w:rFonts w:cs="Calibri"/>
        </w:rPr>
      </w:pPr>
      <w:r w:rsidRPr="000925B3">
        <w:rPr>
          <w:rFonts w:cs="Calibri"/>
        </w:rPr>
        <w:t>Les mammifères marins sont constitués d’espèces généralement de grandes tailles et effectuant de grandes migrations, parfois entre l’Arctique et l’Antarctique. Ils sont, de ce fait, particulièrement vulnérables et doivent faire l’objet d’une attention particulière.</w:t>
      </w:r>
    </w:p>
    <w:p w14:paraId="70E059DA"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lang w:val="fr-FR"/>
        </w:rPr>
        <w:t xml:space="preserve">Les </w:t>
      </w:r>
      <w:r w:rsidRPr="000925B3">
        <w:rPr>
          <w:rFonts w:ascii="Calibri" w:hAnsi="Calibri" w:cs="Calibri"/>
          <w:sz w:val="22"/>
        </w:rPr>
        <w:t>22 à 30 espèces inventoriées dans les eaux du pays, se répartissent entre cétacés (baleines, dauphins et marsouins), pinnipèdes (phoques et lions de mer) et siréniens (lamantins et dugongs). Six (6) parmi ces espèces, sont sur la liste rouge de l’UICN.</w:t>
      </w:r>
    </w:p>
    <w:p w14:paraId="69E3F5AE" w14:textId="77777777" w:rsidR="00CB712E" w:rsidRPr="00153C41" w:rsidRDefault="00CB712E" w:rsidP="00CB712E">
      <w:pPr>
        <w:shd w:val="clear" w:color="auto" w:fill="FFFFFF"/>
        <w:jc w:val="both"/>
        <w:rPr>
          <w:rFonts w:cs="Calibri"/>
          <w:b/>
          <w:bCs/>
          <w:i/>
          <w:iCs/>
          <w:color w:val="222222"/>
          <w:sz w:val="8"/>
          <w:szCs w:val="8"/>
        </w:rPr>
      </w:pPr>
    </w:p>
    <w:p w14:paraId="69550D38" w14:textId="77777777" w:rsidR="00CB712E" w:rsidRPr="000925B3" w:rsidRDefault="00CB712E" w:rsidP="00CB712E">
      <w:pPr>
        <w:shd w:val="clear" w:color="auto" w:fill="FFFFFF"/>
        <w:jc w:val="both"/>
        <w:rPr>
          <w:rFonts w:cs="Calibri"/>
          <w:b/>
          <w:bCs/>
          <w:color w:val="222222"/>
          <w:u w:val="single"/>
        </w:rPr>
      </w:pPr>
      <w:r w:rsidRPr="000925B3">
        <w:rPr>
          <w:rFonts w:cs="Calibri"/>
          <w:b/>
          <w:bCs/>
          <w:color w:val="222222"/>
          <w:u w:val="single"/>
        </w:rPr>
        <w:t>Tortues de mer :</w:t>
      </w:r>
    </w:p>
    <w:p w14:paraId="4C622099"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rPr>
        <w:t>L’Etude d’Impact Environnemental et Social (EIES) réalisées dans la zone couverte par le projet GTA, fait état de 6 espèces de tortues marines dont cinq (5) sont dans les eaux mauritaniennes et toutes classées dans la liste rouge de l’UICN.</w:t>
      </w:r>
    </w:p>
    <w:p w14:paraId="6B895E47" w14:textId="77777777" w:rsidR="00CB712E" w:rsidRPr="000925B3" w:rsidRDefault="00CB712E" w:rsidP="00CB712E">
      <w:pPr>
        <w:pStyle w:val="Standard"/>
        <w:jc w:val="both"/>
        <w:rPr>
          <w:rFonts w:ascii="Calibri" w:hAnsi="Calibri" w:cs="Calibri"/>
          <w:sz w:val="22"/>
        </w:rPr>
      </w:pPr>
    </w:p>
    <w:p w14:paraId="0FF2BBB0" w14:textId="77777777" w:rsidR="00CB712E" w:rsidRPr="000925B3" w:rsidRDefault="00CB712E" w:rsidP="00CB712E">
      <w:pPr>
        <w:pStyle w:val="Standard"/>
        <w:jc w:val="both"/>
        <w:rPr>
          <w:rFonts w:ascii="Calibri" w:hAnsi="Calibri" w:cs="Calibri"/>
          <w:sz w:val="22"/>
        </w:rPr>
      </w:pPr>
      <w:r w:rsidRPr="000925B3">
        <w:rPr>
          <w:rFonts w:ascii="Calibri" w:hAnsi="Calibri" w:cs="Calibri"/>
          <w:sz w:val="22"/>
        </w:rPr>
        <w:t xml:space="preserve">Les espèces les plus fréquemment observées, sont la tortue verte (Chelona mydas), la tortue luth (Dermochelys coriacea) et la tortue caouanne (Caretta caretta).  </w:t>
      </w:r>
    </w:p>
    <w:p w14:paraId="6E170602" w14:textId="77777777" w:rsidR="00CB712E" w:rsidRPr="000925B3" w:rsidRDefault="00CB712E" w:rsidP="00CB712E">
      <w:pPr>
        <w:pStyle w:val="Standard"/>
        <w:jc w:val="both"/>
        <w:rPr>
          <w:rFonts w:ascii="Calibri" w:hAnsi="Calibri" w:cs="Calibri"/>
          <w:sz w:val="22"/>
        </w:rPr>
      </w:pPr>
    </w:p>
    <w:p w14:paraId="044E67FA" w14:textId="77777777" w:rsidR="00CB712E" w:rsidRPr="000925B3" w:rsidRDefault="00CB712E" w:rsidP="00CB712E">
      <w:pPr>
        <w:shd w:val="clear" w:color="auto" w:fill="FFFFFF"/>
        <w:jc w:val="both"/>
        <w:rPr>
          <w:rFonts w:cs="Calibri"/>
          <w:b/>
          <w:bCs/>
          <w:i/>
          <w:iCs/>
          <w:color w:val="222222"/>
        </w:rPr>
      </w:pPr>
      <w:r>
        <w:rPr>
          <w:rFonts w:cs="Calibri"/>
          <w:b/>
          <w:bCs/>
          <w:color w:val="FF0000"/>
        </w:rPr>
        <w:t xml:space="preserve">2.2.2. </w:t>
      </w:r>
      <w:r w:rsidRPr="00AF0460">
        <w:rPr>
          <w:rFonts w:cs="Calibri"/>
          <w:b/>
          <w:bCs/>
          <w:color w:val="FF0000"/>
        </w:rPr>
        <w:t>Services écosystémiques rendus</w:t>
      </w:r>
      <w:r w:rsidRPr="00AF0460">
        <w:rPr>
          <w:rFonts w:cs="Calibri"/>
          <w:b/>
          <w:bCs/>
          <w:i/>
          <w:iCs/>
          <w:color w:val="FF0000"/>
        </w:rPr>
        <w:t xml:space="preserve"> : </w:t>
      </w:r>
    </w:p>
    <w:p w14:paraId="0A35E126" w14:textId="77777777" w:rsidR="00CB712E" w:rsidRPr="000925B3" w:rsidRDefault="00CB712E" w:rsidP="00CB712E">
      <w:pPr>
        <w:shd w:val="clear" w:color="auto" w:fill="FFFFFF"/>
        <w:jc w:val="both"/>
        <w:rPr>
          <w:rFonts w:cs="Calibri"/>
          <w:bCs/>
          <w:lang w:val="fr-CH"/>
        </w:rPr>
      </w:pPr>
      <w:r w:rsidRPr="000925B3">
        <w:rPr>
          <w:rFonts w:cs="Calibri"/>
          <w:color w:val="222222"/>
        </w:rPr>
        <w:t xml:space="preserve">Les services rendus par les écosystèmes marins et côtiers </w:t>
      </w:r>
      <w:r w:rsidRPr="000925B3">
        <w:rPr>
          <w:rFonts w:cs="Calibri"/>
          <w:bCs/>
          <w:lang w:val="fr-CH"/>
        </w:rPr>
        <w:t xml:space="preserve">sont multiples et généralement classés en services d’approvisionnement, services de soutien, services de régulation et services culturels. </w:t>
      </w:r>
    </w:p>
    <w:p w14:paraId="5640350D" w14:textId="77777777" w:rsidR="00CB712E" w:rsidRPr="000925B3" w:rsidRDefault="00CB712E" w:rsidP="00CB712E">
      <w:pPr>
        <w:shd w:val="clear" w:color="auto" w:fill="FFFFFF"/>
        <w:jc w:val="both"/>
        <w:rPr>
          <w:rFonts w:cs="Calibri"/>
          <w:bCs/>
          <w:lang w:val="fr-CH"/>
        </w:rPr>
      </w:pPr>
      <w:r w:rsidRPr="000925B3">
        <w:rPr>
          <w:rFonts w:cs="Calibri"/>
          <w:bCs/>
          <w:lang w:val="fr-CH"/>
        </w:rPr>
        <w:t xml:space="preserve">Dans ce qui suit, il est surtout question des services rendus par les écosystèmes marins et côtiers </w:t>
      </w:r>
      <w:r>
        <w:rPr>
          <w:rFonts w:cs="Calibri"/>
          <w:bCs/>
          <w:lang w:val="fr-CH"/>
        </w:rPr>
        <w:t xml:space="preserve">et ce </w:t>
      </w:r>
      <w:r w:rsidRPr="000925B3">
        <w:rPr>
          <w:rFonts w:cs="Calibri"/>
          <w:bCs/>
          <w:lang w:val="fr-CH"/>
        </w:rPr>
        <w:t xml:space="preserve">au regard des menaces actuelles ou potentielle du changement climatique sur ces services </w:t>
      </w:r>
    </w:p>
    <w:p w14:paraId="4E4F0839" w14:textId="77777777" w:rsidR="00CB712E" w:rsidRPr="000925B3" w:rsidRDefault="00CB712E" w:rsidP="00CB712E">
      <w:pPr>
        <w:shd w:val="clear" w:color="auto" w:fill="FFFFFF"/>
        <w:jc w:val="both"/>
        <w:rPr>
          <w:rFonts w:cs="Calibri"/>
        </w:rPr>
      </w:pPr>
      <w:r w:rsidRPr="000925B3">
        <w:rPr>
          <w:rFonts w:cs="Calibri"/>
          <w:b/>
          <w:bCs/>
          <w:color w:val="222222"/>
          <w:u w:val="single"/>
        </w:rPr>
        <w:t>La pêche :</w:t>
      </w:r>
      <w:r w:rsidRPr="000925B3">
        <w:rPr>
          <w:rFonts w:cs="Calibri"/>
          <w:b/>
          <w:bCs/>
          <w:i/>
          <w:iCs/>
          <w:color w:val="222222"/>
        </w:rPr>
        <w:t xml:space="preserve"> </w:t>
      </w:r>
      <w:r w:rsidRPr="000925B3">
        <w:rPr>
          <w:rFonts w:cs="Calibri"/>
          <w:bCs/>
          <w:lang w:val="fr-CH"/>
        </w:rPr>
        <w:t xml:space="preserve">cette activité fait de son secteur un pilier du développement économique et social du pays au vu de ses contributions à la croissance économique et à la lutte contre la pauvreté et l’insécurité alimentaire. Toute dégradation des ressources halieutiques nationales, affecte les conditions de vie des populations côtières, déjà </w:t>
      </w:r>
      <w:r>
        <w:rPr>
          <w:rFonts w:cs="Calibri"/>
          <w:bCs/>
          <w:lang w:val="fr-CH"/>
        </w:rPr>
        <w:t>assez</w:t>
      </w:r>
      <w:r w:rsidRPr="000925B3">
        <w:rPr>
          <w:rFonts w:cs="Calibri"/>
          <w:bCs/>
          <w:lang w:val="fr-CH"/>
        </w:rPr>
        <w:t xml:space="preserve"> vulnérables, et se répercute sur les autres maillons de la chaine jusqu’au niveau de l’Etat ;</w:t>
      </w:r>
    </w:p>
    <w:p w14:paraId="6C32E2D7" w14:textId="77777777" w:rsidR="00CB712E" w:rsidRPr="000925B3" w:rsidRDefault="00CB712E" w:rsidP="00CB712E">
      <w:pPr>
        <w:shd w:val="clear" w:color="auto" w:fill="FFFFFF"/>
        <w:jc w:val="both"/>
        <w:rPr>
          <w:rFonts w:cs="Calibri"/>
        </w:rPr>
      </w:pPr>
      <w:r w:rsidRPr="008B5D47">
        <w:rPr>
          <w:rFonts w:cs="Calibri"/>
          <w:b/>
          <w:bCs/>
          <w:color w:val="222222"/>
          <w:u w:val="single"/>
          <w:shd w:val="clear" w:color="auto" w:fill="FFCC00"/>
        </w:rPr>
        <w:t xml:space="preserve">La séquestration et le stockage du carbone : </w:t>
      </w:r>
      <w:r w:rsidRPr="008B5D47">
        <w:rPr>
          <w:rFonts w:cs="Calibri"/>
          <w:bCs/>
          <w:shd w:val="clear" w:color="auto" w:fill="FFCC00"/>
          <w:lang w:val="fr-CH"/>
        </w:rPr>
        <w:t>les mers absorbent près du tiers du dioxyde de carbone chaque année et fournissent d’autres services liés à la régulation du climat tel que la modération des phénomènes météorologiques extrêmes et l’autoépuration (eaux usées, déchets, etc.)</w:t>
      </w:r>
      <w:r w:rsidRPr="000925B3">
        <w:rPr>
          <w:rFonts w:cs="Calibri"/>
          <w:bCs/>
          <w:lang w:val="fr-CH"/>
        </w:rPr>
        <w:t> ;</w:t>
      </w:r>
    </w:p>
    <w:p w14:paraId="773535FB" w14:textId="77777777" w:rsidR="00CB712E" w:rsidRPr="000925B3" w:rsidRDefault="00CB712E" w:rsidP="00CB712E">
      <w:pPr>
        <w:shd w:val="clear" w:color="auto" w:fill="FFFFFF"/>
        <w:jc w:val="both"/>
        <w:rPr>
          <w:rFonts w:cs="Calibri"/>
        </w:rPr>
      </w:pPr>
      <w:r w:rsidRPr="000925B3">
        <w:rPr>
          <w:rFonts w:cs="Calibri"/>
          <w:b/>
          <w:bCs/>
          <w:color w:val="222222"/>
          <w:u w:val="single"/>
        </w:rPr>
        <w:t xml:space="preserve">Le maintien des cycles de vie pour la flore et la faune : </w:t>
      </w:r>
      <w:r w:rsidRPr="000925B3">
        <w:rPr>
          <w:rFonts w:cs="Calibri"/>
          <w:color w:val="222222"/>
        </w:rPr>
        <w:t xml:space="preserve"> </w:t>
      </w:r>
      <w:r w:rsidRPr="000925B3">
        <w:rPr>
          <w:rFonts w:cs="Calibri"/>
          <w:bCs/>
          <w:lang w:val="fr-CH"/>
        </w:rPr>
        <w:t xml:space="preserve">production entre 50 et 75% de l’oxygène et d’éléments pour la photosynthèse, développement du phytoplancton, base de la chaine alimentaire, biodiversité, médicaments, etc.  </w:t>
      </w:r>
    </w:p>
    <w:p w14:paraId="6C72052C" w14:textId="77777777" w:rsidR="00CB712E" w:rsidRPr="000925B3" w:rsidRDefault="00CB712E" w:rsidP="00CB712E">
      <w:pPr>
        <w:shd w:val="clear" w:color="auto" w:fill="FFFFFF"/>
        <w:jc w:val="both"/>
        <w:rPr>
          <w:rFonts w:cs="Calibri"/>
        </w:rPr>
      </w:pPr>
      <w:r w:rsidRPr="000925B3">
        <w:rPr>
          <w:rFonts w:cs="Calibri"/>
          <w:b/>
          <w:bCs/>
          <w:color w:val="222222"/>
          <w:u w:val="single"/>
        </w:rPr>
        <w:t>Les services culturels :</w:t>
      </w:r>
      <w:r w:rsidRPr="000925B3">
        <w:rPr>
          <w:rFonts w:cs="Calibri"/>
          <w:b/>
          <w:bCs/>
          <w:i/>
          <w:iCs/>
          <w:color w:val="222222"/>
        </w:rPr>
        <w:t xml:space="preserve"> </w:t>
      </w:r>
      <w:r w:rsidRPr="000925B3">
        <w:rPr>
          <w:rFonts w:cs="Calibri"/>
          <w:bCs/>
          <w:lang w:val="fr-CH"/>
        </w:rPr>
        <w:t>une dégradation drastique des ressources halieutiques et de l’environnement dans les zones adjacentes des sites d’exploitation, risque de conduire à la migration des populations autochtones, à la disparition de leur patrimoine ancestral (moyens et techniques de pêche et de transformation artisanale des produits), à la perte des éléments attractifs pour le tourisme, etc.</w:t>
      </w:r>
    </w:p>
    <w:p w14:paraId="686F02CE" w14:textId="77777777" w:rsidR="00CB712E" w:rsidRPr="000925B3" w:rsidRDefault="00CB712E" w:rsidP="00CB712E">
      <w:pPr>
        <w:shd w:val="clear" w:color="auto" w:fill="FFFFFF"/>
        <w:jc w:val="both"/>
        <w:rPr>
          <w:rFonts w:cs="Calibri"/>
          <w:bCs/>
          <w:lang w:val="fr-CH"/>
        </w:rPr>
      </w:pPr>
      <w:r w:rsidRPr="000925B3">
        <w:rPr>
          <w:rFonts w:cs="Calibri"/>
          <w:bCs/>
          <w:lang w:val="fr-CH"/>
        </w:rPr>
        <w:t xml:space="preserve">A remarquer enfin que la pérennité et la qualité de ces services, dépendent bien de la résistance des écosystèmes et </w:t>
      </w:r>
      <w:r w:rsidRPr="005E6D29">
        <w:rPr>
          <w:rFonts w:cs="Calibri"/>
          <w:bCs/>
          <w:lang w:val="fr-CH"/>
        </w:rPr>
        <w:t xml:space="preserve">du niveau </w:t>
      </w:r>
      <w:r w:rsidRPr="000925B3">
        <w:rPr>
          <w:rFonts w:cs="Calibri"/>
          <w:bCs/>
          <w:lang w:val="fr-CH"/>
        </w:rPr>
        <w:t xml:space="preserve">de leur protection. En d’autres termes, pour que les écosystèmes continuent de rendre à l’homme les services dont il a besoin, il faut </w:t>
      </w:r>
      <w:r w:rsidRPr="005E6D29">
        <w:rPr>
          <w:rFonts w:cs="Calibri"/>
          <w:bCs/>
          <w:lang w:val="fr-CH"/>
        </w:rPr>
        <w:t xml:space="preserve">particulièrement </w:t>
      </w:r>
      <w:r w:rsidRPr="000925B3">
        <w:rPr>
          <w:rFonts w:cs="Calibri"/>
          <w:bCs/>
          <w:lang w:val="fr-CH"/>
        </w:rPr>
        <w:t xml:space="preserve">préserver et protéger </w:t>
      </w:r>
      <w:r w:rsidRPr="005E6D29">
        <w:rPr>
          <w:rFonts w:cs="Calibri"/>
          <w:bCs/>
          <w:lang w:val="fr-CH"/>
        </w:rPr>
        <w:t>les ressources vivantes et</w:t>
      </w:r>
      <w:r w:rsidRPr="00FD2AA2">
        <w:rPr>
          <w:rFonts w:cs="Calibri"/>
          <w:bCs/>
          <w:color w:val="FF0000"/>
          <w:lang w:val="fr-CH"/>
        </w:rPr>
        <w:t xml:space="preserve"> </w:t>
      </w:r>
      <w:r w:rsidRPr="000925B3">
        <w:rPr>
          <w:rFonts w:cs="Calibri"/>
          <w:bCs/>
          <w:lang w:val="fr-CH"/>
        </w:rPr>
        <w:t>la biodiversité marine</w:t>
      </w:r>
      <w:r w:rsidRPr="005E6D29">
        <w:rPr>
          <w:rFonts w:cs="Calibri"/>
          <w:bCs/>
          <w:lang w:val="fr-CH"/>
        </w:rPr>
        <w:t>s</w:t>
      </w:r>
      <w:r w:rsidRPr="000925B3">
        <w:rPr>
          <w:rFonts w:cs="Calibri"/>
          <w:bCs/>
          <w:lang w:val="fr-CH"/>
        </w:rPr>
        <w:t xml:space="preserve"> et côtière</w:t>
      </w:r>
      <w:r w:rsidRPr="005E6D29">
        <w:rPr>
          <w:rFonts w:cs="Calibri"/>
          <w:bCs/>
          <w:lang w:val="fr-CH"/>
        </w:rPr>
        <w:t>s</w:t>
      </w:r>
      <w:r w:rsidRPr="000925B3">
        <w:rPr>
          <w:rFonts w:cs="Calibri"/>
          <w:bCs/>
          <w:lang w:val="fr-CH"/>
        </w:rPr>
        <w:t xml:space="preserve">. Ceci se traduit par une approche écosystémique qui privilégie l’étude des interrelations dynamiques entre la ressource et son environnement et tient compte, sur le plan spatial, de la nécessité de faire harmonieusement intervenir les administrations les plus concernées et de faire cohabiter les usages multiples et variés des écosystèmes à l’échelle locale, nationale, sous régionale et internationale. </w:t>
      </w:r>
    </w:p>
    <w:bookmarkEnd w:id="221"/>
    <w:p w14:paraId="6C5981B8" w14:textId="77777777" w:rsidR="00CB712E" w:rsidRPr="000925B3" w:rsidRDefault="00CB712E" w:rsidP="00CB712E">
      <w:pPr>
        <w:jc w:val="both"/>
        <w:rPr>
          <w:rFonts w:cs="Calibri"/>
          <w:b/>
          <w:bCs/>
          <w:color w:val="FF0000"/>
        </w:rPr>
      </w:pPr>
      <w:r w:rsidRPr="000925B3">
        <w:rPr>
          <w:rFonts w:cs="Calibri"/>
          <w:b/>
          <w:bCs/>
          <w:color w:val="FF0000"/>
        </w:rPr>
        <w:t>2.</w:t>
      </w:r>
      <w:r>
        <w:rPr>
          <w:rFonts w:cs="Calibri"/>
          <w:b/>
          <w:bCs/>
          <w:color w:val="FF0000"/>
        </w:rPr>
        <w:t>3</w:t>
      </w:r>
      <w:r w:rsidRPr="000925B3">
        <w:rPr>
          <w:rFonts w:cs="Calibri"/>
          <w:b/>
          <w:bCs/>
          <w:color w:val="FF0000"/>
        </w:rPr>
        <w:t xml:space="preserve">. Etat de vulnérabilité </w:t>
      </w:r>
      <w:r>
        <w:rPr>
          <w:rFonts w:cs="Calibri"/>
          <w:b/>
          <w:bCs/>
          <w:color w:val="FF0000"/>
        </w:rPr>
        <w:t>a</w:t>
      </w:r>
      <w:r w:rsidRPr="000925B3">
        <w:rPr>
          <w:rFonts w:cs="Calibri"/>
          <w:b/>
          <w:bCs/>
          <w:color w:val="FF0000"/>
        </w:rPr>
        <w:t xml:space="preserve">u </w:t>
      </w:r>
      <w:r>
        <w:rPr>
          <w:rFonts w:cs="Calibri"/>
          <w:b/>
          <w:bCs/>
          <w:color w:val="FF0000"/>
        </w:rPr>
        <w:t>CC du sous-</w:t>
      </w:r>
      <w:r w:rsidRPr="000925B3">
        <w:rPr>
          <w:rFonts w:cs="Calibri"/>
          <w:b/>
          <w:bCs/>
          <w:color w:val="FF0000"/>
        </w:rPr>
        <w:t xml:space="preserve">secteur </w:t>
      </w:r>
      <w:r>
        <w:rPr>
          <w:rFonts w:cs="Calibri"/>
          <w:b/>
          <w:bCs/>
          <w:color w:val="FF0000"/>
        </w:rPr>
        <w:t xml:space="preserve">des pêches </w:t>
      </w:r>
      <w:r w:rsidRPr="000925B3">
        <w:rPr>
          <w:rFonts w:cs="Calibri"/>
          <w:b/>
          <w:bCs/>
          <w:color w:val="FF0000"/>
        </w:rPr>
        <w:t>maritime</w:t>
      </w:r>
      <w:r>
        <w:rPr>
          <w:rFonts w:cs="Calibri"/>
          <w:b/>
          <w:bCs/>
          <w:color w:val="FF0000"/>
        </w:rPr>
        <w:t>s</w:t>
      </w:r>
    </w:p>
    <w:p w14:paraId="62C29DE2" w14:textId="77777777" w:rsidR="00CB712E" w:rsidRPr="000925B3" w:rsidRDefault="00CB712E" w:rsidP="00CB712E">
      <w:pPr>
        <w:pStyle w:val="Sansinterligne"/>
        <w:jc w:val="both"/>
        <w:rPr>
          <w:rFonts w:cs="Calibri"/>
        </w:rPr>
      </w:pPr>
      <w:bookmarkStart w:id="222" w:name="_Hlk177541765"/>
      <w:bookmarkStart w:id="223" w:name="_Hlk176628720"/>
      <w:r w:rsidRPr="000925B3">
        <w:rPr>
          <w:rFonts w:eastAsia="Calibri" w:cs="Calibri"/>
          <w:bCs/>
        </w:rPr>
        <w:t>L’évaluation de la vulnérabilité du sous-secteur de la pêche maritime, consiste à apprécier la résilience des écosystèmes marins et côtiers du littoral mauritanien à travers l’estimation du niveau d’influence de l’action des aléas et risques climatiques les plus déterminants sur les conditions naturelles physiques, hydro climatiques et météorologiques et sur les activités présentes et futures du secteur tout entier.</w:t>
      </w:r>
    </w:p>
    <w:p w14:paraId="5F2FCB81" w14:textId="77777777" w:rsidR="00CB712E" w:rsidRPr="000925B3" w:rsidRDefault="00CB712E" w:rsidP="00CB712E">
      <w:pPr>
        <w:pStyle w:val="Sansinterligne"/>
        <w:jc w:val="both"/>
        <w:rPr>
          <w:rFonts w:eastAsia="Calibri" w:cs="Calibri"/>
          <w:bCs/>
          <w:color w:val="FF0000"/>
        </w:rPr>
      </w:pPr>
    </w:p>
    <w:bookmarkEnd w:id="222"/>
    <w:p w14:paraId="479EFCFD" w14:textId="77777777" w:rsidR="00CB712E" w:rsidRPr="000925B3" w:rsidRDefault="00CB712E" w:rsidP="00CB712E">
      <w:pPr>
        <w:pStyle w:val="Sansinterligne"/>
        <w:jc w:val="both"/>
        <w:rPr>
          <w:rFonts w:cs="Calibri"/>
        </w:rPr>
      </w:pPr>
      <w:r w:rsidRPr="000925B3">
        <w:rPr>
          <w:rFonts w:eastAsia="Calibri" w:cs="Calibri"/>
          <w:bCs/>
        </w:rPr>
        <w:t>Il s’impose alors d’identifier les aléas climatiques majeurs, les unités d’exposition de pêche les plus sensibles à ces aléas ainsi que les impacts déjà ressentis ou potentiels de ces derniers sur la pêche maritime et ses activités connexes.</w:t>
      </w:r>
    </w:p>
    <w:p w14:paraId="395C49AE" w14:textId="77777777" w:rsidR="00CB712E" w:rsidRPr="000925B3" w:rsidRDefault="00CB712E" w:rsidP="00CB712E">
      <w:pPr>
        <w:pStyle w:val="Sansinterligne"/>
        <w:jc w:val="both"/>
        <w:rPr>
          <w:rFonts w:eastAsia="Calibri" w:cs="Calibri"/>
          <w:bCs/>
        </w:rPr>
      </w:pPr>
    </w:p>
    <w:p w14:paraId="248374E6" w14:textId="77777777" w:rsidR="00CB712E" w:rsidRPr="000925B3" w:rsidRDefault="00CB712E" w:rsidP="00CB712E">
      <w:pPr>
        <w:pStyle w:val="Sansinterligne"/>
        <w:jc w:val="both"/>
        <w:rPr>
          <w:rFonts w:eastAsia="Calibri" w:cs="Calibri"/>
          <w:b/>
          <w:i/>
          <w:iCs/>
          <w:color w:val="FF0000"/>
        </w:rPr>
      </w:pPr>
      <w:r>
        <w:rPr>
          <w:rFonts w:eastAsia="Calibri" w:cs="Calibri"/>
          <w:b/>
          <w:i/>
          <w:iCs/>
          <w:color w:val="FF0000"/>
        </w:rPr>
        <w:t xml:space="preserve">2.3.1. </w:t>
      </w:r>
      <w:r w:rsidRPr="000925B3">
        <w:rPr>
          <w:rFonts w:eastAsia="Calibri" w:cs="Calibri"/>
          <w:b/>
          <w:i/>
          <w:iCs/>
          <w:color w:val="FF0000"/>
        </w:rPr>
        <w:t>Aléas et risques climatiques majeurs :</w:t>
      </w:r>
    </w:p>
    <w:p w14:paraId="6228697A" w14:textId="77777777" w:rsidR="00CB712E" w:rsidRPr="000925B3" w:rsidRDefault="00CB712E" w:rsidP="00CB712E">
      <w:pPr>
        <w:pStyle w:val="Sansinterligne"/>
        <w:jc w:val="both"/>
        <w:rPr>
          <w:rFonts w:eastAsia="Calibri" w:cs="Calibri"/>
          <w:b/>
          <w:i/>
          <w:iCs/>
        </w:rPr>
      </w:pPr>
    </w:p>
    <w:p w14:paraId="436369ED" w14:textId="77777777" w:rsidR="00CB712E" w:rsidRPr="000925B3" w:rsidRDefault="00CB712E" w:rsidP="00CB712E">
      <w:pPr>
        <w:pStyle w:val="Sansinterligne"/>
        <w:jc w:val="both"/>
        <w:rPr>
          <w:rFonts w:cs="Calibri"/>
        </w:rPr>
      </w:pPr>
      <w:r w:rsidRPr="000925B3">
        <w:rPr>
          <w:rFonts w:eastAsia="Calibri" w:cs="Calibri"/>
          <w:bCs/>
        </w:rPr>
        <w:t>Selon les données les plus récentes sur la vulnérabilité du secteur des pêches maritimes au changement climatiques, les aléas et risques climatiques majeurs sont :</w:t>
      </w:r>
    </w:p>
    <w:p w14:paraId="57E3858F" w14:textId="77777777" w:rsidR="00CB712E" w:rsidRPr="000925B3" w:rsidRDefault="00CB712E" w:rsidP="00CB712E">
      <w:pPr>
        <w:pStyle w:val="Sansinterligne"/>
        <w:numPr>
          <w:ilvl w:val="0"/>
          <w:numId w:val="296"/>
        </w:numPr>
        <w:autoSpaceDN w:val="0"/>
        <w:jc w:val="both"/>
        <w:rPr>
          <w:rFonts w:cs="Calibri"/>
        </w:rPr>
      </w:pPr>
      <w:r w:rsidRPr="000925B3">
        <w:rPr>
          <w:rFonts w:eastAsia="SimSun" w:cs="Calibri"/>
          <w:lang w:eastAsia="zh-CN"/>
        </w:rPr>
        <w:t xml:space="preserve">La </w:t>
      </w:r>
      <w:r w:rsidRPr="000925B3">
        <w:rPr>
          <w:rFonts w:cs="Calibri"/>
        </w:rPr>
        <w:t>hausse de la température ;</w:t>
      </w:r>
    </w:p>
    <w:p w14:paraId="4E879E55" w14:textId="77777777" w:rsidR="00CB712E" w:rsidRPr="000925B3" w:rsidRDefault="00CB712E" w:rsidP="00CB712E">
      <w:pPr>
        <w:pStyle w:val="Sansinterligne"/>
        <w:numPr>
          <w:ilvl w:val="0"/>
          <w:numId w:val="296"/>
        </w:numPr>
        <w:autoSpaceDN w:val="0"/>
        <w:jc w:val="both"/>
        <w:rPr>
          <w:rFonts w:cs="Calibri"/>
        </w:rPr>
      </w:pPr>
      <w:r w:rsidRPr="000925B3">
        <w:rPr>
          <w:rFonts w:cs="Calibri"/>
        </w:rPr>
        <w:t>L’élévation du niveau de la mer ;</w:t>
      </w:r>
    </w:p>
    <w:p w14:paraId="43D2057C" w14:textId="77777777" w:rsidR="00CB712E" w:rsidRPr="000925B3" w:rsidRDefault="00CB712E" w:rsidP="00CB712E">
      <w:pPr>
        <w:pStyle w:val="Sansinterligne"/>
        <w:numPr>
          <w:ilvl w:val="0"/>
          <w:numId w:val="296"/>
        </w:numPr>
        <w:autoSpaceDN w:val="0"/>
        <w:jc w:val="both"/>
        <w:rPr>
          <w:rFonts w:cs="Calibri"/>
        </w:rPr>
      </w:pPr>
      <w:r w:rsidRPr="000925B3">
        <w:rPr>
          <w:rFonts w:cs="Calibri"/>
        </w:rPr>
        <w:t>La fréquence et la longueur des périodes de sécheresse ;</w:t>
      </w:r>
    </w:p>
    <w:p w14:paraId="6B294162" w14:textId="77777777" w:rsidR="00CB712E" w:rsidRPr="000925B3" w:rsidRDefault="00CB712E" w:rsidP="00CB712E">
      <w:pPr>
        <w:pStyle w:val="Sansinterligne"/>
        <w:numPr>
          <w:ilvl w:val="0"/>
          <w:numId w:val="296"/>
        </w:numPr>
        <w:autoSpaceDN w:val="0"/>
        <w:jc w:val="both"/>
        <w:rPr>
          <w:rFonts w:cs="Calibri"/>
        </w:rPr>
      </w:pPr>
      <w:r w:rsidRPr="000925B3">
        <w:rPr>
          <w:rFonts w:cs="Calibri"/>
        </w:rPr>
        <w:t>Les perturbations du régime des vents ;</w:t>
      </w:r>
    </w:p>
    <w:p w14:paraId="28BE368D" w14:textId="77777777" w:rsidR="00CB712E" w:rsidRPr="000925B3" w:rsidRDefault="00CB712E" w:rsidP="00CB712E">
      <w:pPr>
        <w:pStyle w:val="Sansinterligne"/>
        <w:numPr>
          <w:ilvl w:val="0"/>
          <w:numId w:val="296"/>
        </w:numPr>
        <w:autoSpaceDN w:val="0"/>
        <w:jc w:val="both"/>
        <w:rPr>
          <w:rFonts w:cs="Calibri"/>
        </w:rPr>
      </w:pPr>
      <w:r w:rsidRPr="000925B3">
        <w:rPr>
          <w:rFonts w:cs="Calibri"/>
        </w:rPr>
        <w:t>L’acidification des eaux de l’Océan.</w:t>
      </w:r>
    </w:p>
    <w:p w14:paraId="243F9312" w14:textId="77777777" w:rsidR="00CB712E" w:rsidRPr="008B5D47" w:rsidRDefault="00CB712E" w:rsidP="00CB712E">
      <w:pPr>
        <w:pStyle w:val="Sansinterligne"/>
        <w:jc w:val="both"/>
        <w:rPr>
          <w:rFonts w:eastAsia="Calibri" w:cs="Calibri"/>
          <w:bCs/>
          <w:sz w:val="14"/>
          <w:szCs w:val="14"/>
        </w:rPr>
      </w:pPr>
    </w:p>
    <w:p w14:paraId="35F9D6D5" w14:textId="77777777" w:rsidR="00CB712E" w:rsidRPr="000925B3" w:rsidRDefault="00CB712E" w:rsidP="00CB712E">
      <w:pPr>
        <w:pStyle w:val="Sansinterligne"/>
        <w:jc w:val="both"/>
        <w:rPr>
          <w:rFonts w:cs="Calibri"/>
        </w:rPr>
      </w:pPr>
      <w:r w:rsidRPr="000925B3">
        <w:rPr>
          <w:rFonts w:eastAsia="Calibri" w:cs="Calibri"/>
          <w:bCs/>
        </w:rPr>
        <w:t>Ces aléas et risques, liés au phénomène du changement climatique, représentent une menace de plus en plus grandissante qui vient s’ajouter et aggraver, par ses impacts, ceux inhérents déjà à la surpêche, au transport maritime, à l’exploration et l’exploitation minière offshore, à l’urbanisme, au tourisme et à la pollution de tous types.</w:t>
      </w:r>
    </w:p>
    <w:p w14:paraId="4CB3732F" w14:textId="77777777" w:rsidR="00CB712E" w:rsidRPr="000925B3" w:rsidRDefault="00CB712E" w:rsidP="00CB712E">
      <w:pPr>
        <w:jc w:val="both"/>
        <w:rPr>
          <w:rFonts w:cs="Calibri"/>
          <w:i/>
          <w:iCs/>
        </w:rPr>
      </w:pPr>
    </w:p>
    <w:p w14:paraId="1B56A8B2" w14:textId="77777777" w:rsidR="00CB712E" w:rsidRPr="000925B3" w:rsidRDefault="00CB712E" w:rsidP="00CB712E">
      <w:pPr>
        <w:jc w:val="both"/>
        <w:rPr>
          <w:rFonts w:cs="Calibri"/>
          <w:b/>
          <w:bCs/>
          <w:i/>
          <w:iCs/>
          <w:color w:val="FF0000"/>
        </w:rPr>
      </w:pPr>
      <w:r>
        <w:rPr>
          <w:rFonts w:cs="Calibri"/>
          <w:b/>
          <w:bCs/>
          <w:i/>
          <w:iCs/>
          <w:color w:val="FF0000"/>
        </w:rPr>
        <w:t xml:space="preserve">2.3.2. </w:t>
      </w:r>
      <w:r w:rsidRPr="000925B3">
        <w:rPr>
          <w:rFonts w:cs="Calibri"/>
          <w:b/>
          <w:bCs/>
          <w:i/>
          <w:iCs/>
          <w:color w:val="FF0000"/>
        </w:rPr>
        <w:t>Unités de pêche les plus exposées aux aléas climatiques consacrés :</w:t>
      </w:r>
    </w:p>
    <w:p w14:paraId="198F804E" w14:textId="77777777" w:rsidR="00CB712E" w:rsidRPr="000925B3" w:rsidRDefault="00CB712E" w:rsidP="00CB712E">
      <w:pPr>
        <w:jc w:val="both"/>
        <w:rPr>
          <w:rFonts w:cs="Calibri"/>
        </w:rPr>
      </w:pPr>
      <w:r w:rsidRPr="000925B3">
        <w:rPr>
          <w:rFonts w:cs="Calibri"/>
        </w:rPr>
        <w:t>Dans les documents de référence sur la vulnérabilité du secteur des pêches au changement climatique, ont été identifiés, par rapport aux risques climatiques majeurs caractéristiques du secteur, les sept (7) unités d’exposition ci-dessous :</w:t>
      </w:r>
    </w:p>
    <w:p w14:paraId="3139EE74" w14:textId="77777777" w:rsidR="00CB712E" w:rsidRPr="000925B3" w:rsidRDefault="00CB712E" w:rsidP="00CB712E">
      <w:pPr>
        <w:pStyle w:val="Paragraphedeliste"/>
        <w:numPr>
          <w:ilvl w:val="0"/>
          <w:numId w:val="263"/>
        </w:numPr>
        <w:autoSpaceDN w:val="0"/>
        <w:spacing w:after="0" w:line="240" w:lineRule="auto"/>
        <w:jc w:val="both"/>
        <w:rPr>
          <w:rFonts w:cs="Calibri"/>
        </w:rPr>
      </w:pPr>
      <w:r w:rsidRPr="000925B3">
        <w:rPr>
          <w:rFonts w:cs="Calibri"/>
        </w:rPr>
        <w:t>Les ressources pélagiques ;</w:t>
      </w:r>
    </w:p>
    <w:p w14:paraId="167DA1DF" w14:textId="77777777" w:rsidR="00CB712E" w:rsidRPr="000925B3" w:rsidRDefault="00CB712E" w:rsidP="00CB712E">
      <w:pPr>
        <w:pStyle w:val="Paragraphedeliste"/>
        <w:numPr>
          <w:ilvl w:val="0"/>
          <w:numId w:val="263"/>
        </w:numPr>
        <w:autoSpaceDN w:val="0"/>
        <w:spacing w:after="0" w:line="240" w:lineRule="auto"/>
        <w:jc w:val="both"/>
        <w:rPr>
          <w:rFonts w:cs="Calibri"/>
        </w:rPr>
      </w:pPr>
      <w:r w:rsidRPr="000925B3">
        <w:rPr>
          <w:rFonts w:cs="Calibri"/>
        </w:rPr>
        <w:t>Les ressources démersales ;</w:t>
      </w:r>
    </w:p>
    <w:p w14:paraId="6CB7B7A8" w14:textId="77777777" w:rsidR="00CB712E" w:rsidRPr="000925B3" w:rsidRDefault="00CB712E" w:rsidP="00CB712E">
      <w:pPr>
        <w:pStyle w:val="Paragraphedeliste"/>
        <w:numPr>
          <w:ilvl w:val="0"/>
          <w:numId w:val="263"/>
        </w:numPr>
        <w:autoSpaceDN w:val="0"/>
        <w:spacing w:after="0" w:line="240" w:lineRule="auto"/>
        <w:jc w:val="both"/>
        <w:rPr>
          <w:rFonts w:cs="Calibri"/>
        </w:rPr>
      </w:pPr>
      <w:r w:rsidRPr="000925B3">
        <w:rPr>
          <w:rFonts w:cs="Calibri"/>
        </w:rPr>
        <w:t>Les acteurs de la pêche (pêcheurs, mareyeurs, transformateurs) ;</w:t>
      </w:r>
    </w:p>
    <w:p w14:paraId="5F0DAB74" w14:textId="77777777" w:rsidR="00CB712E" w:rsidRPr="000925B3" w:rsidRDefault="00CB712E" w:rsidP="00CB712E">
      <w:pPr>
        <w:pStyle w:val="Paragraphedeliste"/>
        <w:numPr>
          <w:ilvl w:val="0"/>
          <w:numId w:val="263"/>
        </w:numPr>
        <w:autoSpaceDN w:val="0"/>
        <w:spacing w:after="0" w:line="240" w:lineRule="auto"/>
        <w:jc w:val="both"/>
        <w:rPr>
          <w:rFonts w:cs="Calibri"/>
        </w:rPr>
      </w:pPr>
      <w:r w:rsidRPr="000925B3">
        <w:rPr>
          <w:rFonts w:cs="Calibri"/>
        </w:rPr>
        <w:t>L’administration des pêches ;</w:t>
      </w:r>
    </w:p>
    <w:p w14:paraId="2A77720F" w14:textId="77777777" w:rsidR="00CB712E" w:rsidRPr="000925B3" w:rsidRDefault="00CB712E" w:rsidP="00CB712E">
      <w:pPr>
        <w:pStyle w:val="Paragraphedeliste"/>
        <w:numPr>
          <w:ilvl w:val="0"/>
          <w:numId w:val="263"/>
        </w:numPr>
        <w:autoSpaceDN w:val="0"/>
        <w:spacing w:after="0" w:line="240" w:lineRule="auto"/>
        <w:jc w:val="both"/>
        <w:rPr>
          <w:rFonts w:cs="Calibri"/>
        </w:rPr>
      </w:pPr>
      <w:r w:rsidRPr="000925B3">
        <w:rPr>
          <w:rFonts w:cs="Calibri"/>
        </w:rPr>
        <w:t>Les communautés (en particulier les femmes et la jeunesse</w:t>
      </w:r>
      <w:proofErr w:type="gramStart"/>
      <w:r w:rsidRPr="000925B3">
        <w:rPr>
          <w:rFonts w:cs="Calibri"/>
        </w:rPr>
        <w:t>);</w:t>
      </w:r>
      <w:proofErr w:type="gramEnd"/>
    </w:p>
    <w:p w14:paraId="435F7906" w14:textId="77777777" w:rsidR="00CB712E" w:rsidRPr="000925B3" w:rsidRDefault="00CB712E" w:rsidP="00CB712E">
      <w:pPr>
        <w:pStyle w:val="Paragraphedeliste"/>
        <w:numPr>
          <w:ilvl w:val="0"/>
          <w:numId w:val="263"/>
        </w:numPr>
        <w:autoSpaceDN w:val="0"/>
        <w:spacing w:after="0" w:line="240" w:lineRule="auto"/>
        <w:jc w:val="both"/>
        <w:rPr>
          <w:rFonts w:cs="Calibri"/>
        </w:rPr>
      </w:pPr>
      <w:r w:rsidRPr="000925B3">
        <w:rPr>
          <w:rFonts w:cs="Calibri"/>
        </w:rPr>
        <w:t>Les moyens de captures ;</w:t>
      </w:r>
    </w:p>
    <w:p w14:paraId="40B2B146" w14:textId="77777777" w:rsidR="00CB712E" w:rsidRPr="000925B3" w:rsidRDefault="00CB712E" w:rsidP="00CB712E">
      <w:pPr>
        <w:pStyle w:val="Paragraphedeliste"/>
        <w:numPr>
          <w:ilvl w:val="0"/>
          <w:numId w:val="263"/>
        </w:numPr>
        <w:autoSpaceDN w:val="0"/>
        <w:spacing w:after="0" w:line="240" w:lineRule="auto"/>
        <w:jc w:val="both"/>
        <w:rPr>
          <w:rFonts w:cs="Calibri"/>
        </w:rPr>
      </w:pPr>
      <w:r w:rsidRPr="000925B3">
        <w:rPr>
          <w:rFonts w:cs="Calibri"/>
        </w:rPr>
        <w:t>Les infrastructures.</w:t>
      </w:r>
    </w:p>
    <w:p w14:paraId="224798F5" w14:textId="77777777" w:rsidR="00CB712E" w:rsidRPr="000925B3" w:rsidRDefault="00CB712E" w:rsidP="00CB712E">
      <w:pPr>
        <w:pStyle w:val="Sansinterligne"/>
        <w:jc w:val="both"/>
        <w:rPr>
          <w:rFonts w:eastAsia="Calibri" w:cs="Calibri"/>
          <w:bCs/>
        </w:rPr>
      </w:pPr>
    </w:p>
    <w:p w14:paraId="2FC3B045" w14:textId="77777777" w:rsidR="00CB712E" w:rsidRPr="000925B3" w:rsidRDefault="00CB712E" w:rsidP="00CB712E">
      <w:pPr>
        <w:pStyle w:val="Sansinterligne"/>
        <w:jc w:val="both"/>
        <w:rPr>
          <w:rFonts w:cs="Calibri"/>
        </w:rPr>
      </w:pPr>
      <w:r w:rsidRPr="000925B3">
        <w:rPr>
          <w:rFonts w:eastAsia="Calibri" w:cs="Calibri"/>
          <w:bCs/>
        </w:rPr>
        <w:t>Parmi ces unités, considérées les plus représentatives pour le secteur des pêches maritimes, les communautés, les ressources pélagiques et les infrastructures, semblent être les plus sensibles à l’exposition aux aléas et risques climatiques consacrés et considérés majeurs ou les plus connus.</w:t>
      </w:r>
    </w:p>
    <w:p w14:paraId="014E0290" w14:textId="77777777" w:rsidR="00CB712E" w:rsidRPr="000925B3" w:rsidRDefault="00CB712E" w:rsidP="00CB712E">
      <w:pPr>
        <w:pStyle w:val="Sansinterligne"/>
        <w:jc w:val="both"/>
        <w:rPr>
          <w:rFonts w:eastAsia="Calibri" w:cs="Calibri"/>
          <w:bCs/>
          <w:i/>
          <w:iCs/>
          <w:color w:val="FF0000"/>
        </w:rPr>
      </w:pPr>
    </w:p>
    <w:p w14:paraId="28C50A55" w14:textId="77777777" w:rsidR="00CB712E" w:rsidRPr="000925B3" w:rsidRDefault="00CB712E" w:rsidP="00CB712E">
      <w:pPr>
        <w:pStyle w:val="Sansinterligne"/>
        <w:jc w:val="both"/>
        <w:rPr>
          <w:rFonts w:eastAsia="Calibri" w:cs="Calibri"/>
          <w:b/>
          <w:i/>
          <w:iCs/>
          <w:color w:val="FF0000"/>
        </w:rPr>
      </w:pPr>
      <w:r>
        <w:rPr>
          <w:rFonts w:eastAsia="Calibri" w:cs="Calibri"/>
          <w:b/>
          <w:i/>
          <w:iCs/>
          <w:color w:val="FF0000"/>
        </w:rPr>
        <w:t xml:space="preserve">2.3.3. </w:t>
      </w:r>
      <w:r w:rsidRPr="000925B3">
        <w:rPr>
          <w:rFonts w:eastAsia="Calibri" w:cs="Calibri"/>
          <w:b/>
          <w:i/>
          <w:iCs/>
          <w:color w:val="FF0000"/>
        </w:rPr>
        <w:t xml:space="preserve">Impacts </w:t>
      </w:r>
      <w:r>
        <w:rPr>
          <w:rFonts w:eastAsia="Calibri" w:cs="Calibri"/>
          <w:b/>
          <w:i/>
          <w:iCs/>
          <w:color w:val="FF0000"/>
        </w:rPr>
        <w:t xml:space="preserve">des aléas climatiques majeurs </w:t>
      </w:r>
      <w:r w:rsidRPr="000925B3">
        <w:rPr>
          <w:rFonts w:eastAsia="Calibri" w:cs="Calibri"/>
          <w:b/>
          <w:i/>
          <w:iCs/>
          <w:color w:val="FF0000"/>
        </w:rPr>
        <w:t>déjà ressentis :</w:t>
      </w:r>
    </w:p>
    <w:p w14:paraId="2A2A2550" w14:textId="77777777" w:rsidR="00CB712E" w:rsidRPr="000925B3" w:rsidRDefault="00CB712E" w:rsidP="00CB712E">
      <w:pPr>
        <w:pStyle w:val="Sansinterligne"/>
        <w:jc w:val="both"/>
        <w:rPr>
          <w:rFonts w:eastAsia="Calibri" w:cs="Calibri"/>
          <w:bCs/>
        </w:rPr>
      </w:pPr>
    </w:p>
    <w:p w14:paraId="2DE64984" w14:textId="77777777" w:rsidR="00CB712E" w:rsidRPr="000925B3" w:rsidRDefault="00CB712E" w:rsidP="00CB712E">
      <w:pPr>
        <w:pStyle w:val="Sansinterligne"/>
        <w:jc w:val="both"/>
        <w:rPr>
          <w:rFonts w:cs="Calibri"/>
        </w:rPr>
      </w:pPr>
      <w:r w:rsidRPr="000925B3">
        <w:rPr>
          <w:rFonts w:eastAsia="Calibri" w:cs="Calibri"/>
          <w:bCs/>
        </w:rPr>
        <w:t xml:space="preserve">Les documents scientifiques et techniques référentiels à ce sujet, attribuent à l’ensemble des aléas et </w:t>
      </w:r>
      <w:r w:rsidRPr="000925B3">
        <w:rPr>
          <w:rFonts w:cs="Calibri"/>
        </w:rPr>
        <w:t>risques climatiques majeurs précédemment identifiés plusieurs impacts, entre déjà ressentis et potentiels.</w:t>
      </w:r>
    </w:p>
    <w:p w14:paraId="769F07CE" w14:textId="77777777" w:rsidR="00CB712E" w:rsidRPr="000925B3" w:rsidRDefault="00CB712E" w:rsidP="00CB712E">
      <w:pPr>
        <w:pStyle w:val="Sansinterligne"/>
        <w:jc w:val="both"/>
        <w:rPr>
          <w:rFonts w:cs="Calibri"/>
        </w:rPr>
      </w:pPr>
    </w:p>
    <w:p w14:paraId="4DFB70E5" w14:textId="77777777" w:rsidR="00CB712E" w:rsidRPr="000925B3" w:rsidRDefault="00CB712E" w:rsidP="00CB712E">
      <w:pPr>
        <w:pStyle w:val="Sansinterligne"/>
        <w:jc w:val="both"/>
        <w:rPr>
          <w:rFonts w:cs="Calibri"/>
        </w:rPr>
      </w:pPr>
      <w:r w:rsidRPr="000925B3">
        <w:rPr>
          <w:rFonts w:cs="Calibri"/>
        </w:rPr>
        <w:t>Etant donné qu’un impact peut résulter de l’effet d’un ou plusieurs aléas, les plus importants impacts déjà ressentis seraient :</w:t>
      </w:r>
    </w:p>
    <w:p w14:paraId="4226D795" w14:textId="77777777" w:rsidR="00CB712E" w:rsidRPr="000925B3" w:rsidRDefault="00CB712E" w:rsidP="00CB712E">
      <w:pPr>
        <w:pStyle w:val="Sansinterligne"/>
        <w:jc w:val="both"/>
        <w:rPr>
          <w:rFonts w:eastAsia="Calibri" w:cs="Calibri"/>
          <w:bCs/>
          <w:color w:val="FF0000"/>
        </w:rPr>
      </w:pPr>
    </w:p>
    <w:p w14:paraId="67295986" w14:textId="77777777" w:rsidR="00CB712E" w:rsidRPr="000925B3" w:rsidRDefault="00CB712E" w:rsidP="00CB712E">
      <w:pPr>
        <w:pStyle w:val="Paragraphedeliste"/>
        <w:numPr>
          <w:ilvl w:val="0"/>
          <w:numId w:val="264"/>
        </w:numPr>
        <w:autoSpaceDE w:val="0"/>
        <w:autoSpaceDN w:val="0"/>
        <w:spacing w:after="0" w:line="240" w:lineRule="auto"/>
        <w:ind w:left="567" w:hanging="425"/>
        <w:jc w:val="both"/>
        <w:rPr>
          <w:rFonts w:cs="Calibri"/>
        </w:rPr>
      </w:pPr>
      <w:r w:rsidRPr="000925B3">
        <w:rPr>
          <w:rFonts w:cs="Calibri"/>
        </w:rPr>
        <w:t>La diminution de l’abondance de certaines espèces, voire leur absence dans les captures réalisées dans la ZEEM ;</w:t>
      </w:r>
    </w:p>
    <w:p w14:paraId="385C672F" w14:textId="77777777" w:rsidR="00CB712E" w:rsidRPr="000925B3" w:rsidRDefault="00CB712E" w:rsidP="00CB712E">
      <w:pPr>
        <w:pStyle w:val="Paragraphedeliste"/>
        <w:numPr>
          <w:ilvl w:val="0"/>
          <w:numId w:val="264"/>
        </w:numPr>
        <w:autoSpaceDE w:val="0"/>
        <w:autoSpaceDN w:val="0"/>
        <w:spacing w:after="0" w:line="240" w:lineRule="auto"/>
        <w:ind w:left="567"/>
        <w:contextualSpacing w:val="0"/>
        <w:jc w:val="both"/>
        <w:rPr>
          <w:rFonts w:cs="Calibri"/>
        </w:rPr>
      </w:pPr>
      <w:bookmarkStart w:id="224" w:name="_Hlk176628596"/>
      <w:r w:rsidRPr="000925B3">
        <w:rPr>
          <w:rFonts w:cs="Calibri"/>
        </w:rPr>
        <w:t>La réduction de la biodiversité marine et côtière et dans les zones adjacentes, y compris les aires marines protégées (AMP) ;</w:t>
      </w:r>
    </w:p>
    <w:bookmarkEnd w:id="224"/>
    <w:p w14:paraId="4BEF596E" w14:textId="77777777" w:rsidR="00CB712E" w:rsidRPr="000925B3" w:rsidRDefault="00CB712E" w:rsidP="00CB712E">
      <w:pPr>
        <w:pStyle w:val="Paragraphedeliste"/>
        <w:numPr>
          <w:ilvl w:val="0"/>
          <w:numId w:val="264"/>
        </w:numPr>
        <w:autoSpaceDN w:val="0"/>
        <w:spacing w:after="0" w:line="240" w:lineRule="auto"/>
        <w:ind w:left="567"/>
        <w:contextualSpacing w:val="0"/>
        <w:jc w:val="both"/>
        <w:rPr>
          <w:rFonts w:cs="Calibri"/>
        </w:rPr>
      </w:pPr>
      <w:r w:rsidRPr="000925B3">
        <w:rPr>
          <w:rFonts w:cs="Calibri"/>
        </w:rPr>
        <w:t>La destruction des herbiers du PNBA à hauteur de 36% de la surface occupée entrainant l’augmentation des quantités de carbone libérées à la suite de cette destruction ;</w:t>
      </w:r>
    </w:p>
    <w:p w14:paraId="3846A542" w14:textId="77777777" w:rsidR="00CB712E" w:rsidRPr="000925B3" w:rsidRDefault="00CB712E" w:rsidP="00CB712E">
      <w:pPr>
        <w:pStyle w:val="Paragraphedeliste"/>
        <w:numPr>
          <w:ilvl w:val="0"/>
          <w:numId w:val="264"/>
        </w:numPr>
        <w:autoSpaceDE w:val="0"/>
        <w:autoSpaceDN w:val="0"/>
        <w:spacing w:after="0" w:line="240" w:lineRule="auto"/>
        <w:ind w:left="567" w:hanging="425"/>
        <w:jc w:val="both"/>
        <w:rPr>
          <w:rFonts w:cs="Calibri"/>
        </w:rPr>
      </w:pPr>
      <w:r w:rsidRPr="000925B3">
        <w:rPr>
          <w:rFonts w:cs="Calibri"/>
        </w:rPr>
        <w:t>La perturbation du régime des vents traduite dans (i) l’augmentation de la fréquence et de la vitesse des vents et du changement de leurs directions, (ii) la modification de l’intensité de l’upwelling, de son apparition (précoce ou tardive), de sa position et de la durée de son séjour dans les eaux nationales ;</w:t>
      </w:r>
    </w:p>
    <w:p w14:paraId="093E95B8" w14:textId="77777777" w:rsidR="00CB712E" w:rsidRPr="000925B3" w:rsidRDefault="00CB712E" w:rsidP="00CB712E">
      <w:pPr>
        <w:pStyle w:val="Paragraphedeliste"/>
        <w:numPr>
          <w:ilvl w:val="0"/>
          <w:numId w:val="265"/>
        </w:numPr>
        <w:autoSpaceDE w:val="0"/>
        <w:autoSpaceDN w:val="0"/>
        <w:spacing w:after="0" w:line="240" w:lineRule="auto"/>
        <w:ind w:left="567" w:hanging="425"/>
        <w:jc w:val="both"/>
        <w:rPr>
          <w:rFonts w:cs="Calibri"/>
        </w:rPr>
      </w:pPr>
      <w:r w:rsidRPr="000925B3">
        <w:rPr>
          <w:rFonts w:cs="Calibri"/>
        </w:rPr>
        <w:t>L’intensification du phénomène de migration : (i) migration vers le sud des espèces de poissons pélagiques à affinité tropicale et vers le nord de celles ayant des affinités tempérées (température), (ii) modification du rythme des déplacements et des destinations des espèces dans les limites de leurs aires de fréquentation (baisse des teneurs en oxygène), (iii) diminution du nombre des espèces ornithologiques migratrices, notamment au niveau des zones humides du Banc d’Arguin et du Diawling et puis (iv) migration environnementale des populations;</w:t>
      </w:r>
    </w:p>
    <w:p w14:paraId="410264EC" w14:textId="77777777" w:rsidR="00CB712E" w:rsidRPr="000925B3" w:rsidRDefault="00CB712E" w:rsidP="00CB712E">
      <w:pPr>
        <w:pStyle w:val="Paragraphedeliste"/>
        <w:numPr>
          <w:ilvl w:val="0"/>
          <w:numId w:val="264"/>
        </w:numPr>
        <w:autoSpaceDN w:val="0"/>
        <w:spacing w:after="0" w:line="240" w:lineRule="auto"/>
        <w:ind w:left="567"/>
        <w:contextualSpacing w:val="0"/>
        <w:jc w:val="both"/>
        <w:rPr>
          <w:rFonts w:cs="Calibri"/>
        </w:rPr>
      </w:pPr>
      <w:r w:rsidRPr="000925B3">
        <w:rPr>
          <w:rFonts w:cs="Calibri"/>
        </w:rPr>
        <w:t xml:space="preserve">Un accroissement de l’érosion côtière : (i) une modification de la configuration de la côte, (ii) une aggravation de la dégradation du cordon dunaire côtier et </w:t>
      </w:r>
      <w:r>
        <w:rPr>
          <w:rFonts w:cs="Calibri"/>
        </w:rPr>
        <w:t xml:space="preserve">une </w:t>
      </w:r>
      <w:r w:rsidRPr="000925B3">
        <w:rPr>
          <w:rFonts w:cs="Calibri"/>
        </w:rPr>
        <w:t xml:space="preserve">apparition de brèches créées en 2013 dans la zone nord du Banc d’Arguin (Bellaat), (iii) immersion partielle ou totale d’îles et îlots au sein du </w:t>
      </w:r>
      <w:r>
        <w:rPr>
          <w:rFonts w:cs="Calibri"/>
        </w:rPr>
        <w:t>Banc d’Arguin</w:t>
      </w:r>
      <w:r w:rsidRPr="000925B3">
        <w:rPr>
          <w:rFonts w:cs="Calibri"/>
        </w:rPr>
        <w:t>; (iv) dé</w:t>
      </w:r>
      <w:r>
        <w:rPr>
          <w:rFonts w:cs="Calibri"/>
        </w:rPr>
        <w:t xml:space="preserve">gradation </w:t>
      </w:r>
      <w:r w:rsidRPr="000925B3">
        <w:rPr>
          <w:rFonts w:cs="Calibri"/>
        </w:rPr>
        <w:t>des infrastructures côtières (ports, habitations, écoles, bâtiments de santé, installations d’eau et d’électricité, etc.), et enfin, (v) plus de risques pour la perte des biens et des vies humaines ;</w:t>
      </w:r>
    </w:p>
    <w:p w14:paraId="13E68A9A" w14:textId="77777777" w:rsidR="00CB712E" w:rsidRPr="000925B3" w:rsidRDefault="00CB712E" w:rsidP="00CB712E">
      <w:pPr>
        <w:pStyle w:val="Paragraphedeliste"/>
        <w:numPr>
          <w:ilvl w:val="0"/>
          <w:numId w:val="264"/>
        </w:numPr>
        <w:autoSpaceDE w:val="0"/>
        <w:autoSpaceDN w:val="0"/>
        <w:spacing w:after="0" w:line="240" w:lineRule="auto"/>
        <w:ind w:left="567" w:hanging="283"/>
        <w:jc w:val="both"/>
        <w:rPr>
          <w:rFonts w:cs="Calibri"/>
        </w:rPr>
      </w:pPr>
      <w:r w:rsidRPr="000925B3">
        <w:rPr>
          <w:rFonts w:cs="Calibri"/>
        </w:rPr>
        <w:t>L’intensification du phénomène de prolifération de végétaux et d’animaux et baisse des teneurs en oxygène (hypoxie) : tapis épais et eaux colorées dus à la prolifération d’algues), échappement d’oxygène sulfuré et libération de l’ammoniac, prolifération des méduses, etc.</w:t>
      </w:r>
    </w:p>
    <w:p w14:paraId="0E5FF9C2" w14:textId="77777777" w:rsidR="00CB712E" w:rsidRPr="000925B3" w:rsidRDefault="00CB712E" w:rsidP="00CB712E">
      <w:pPr>
        <w:pStyle w:val="Paragraphedeliste"/>
        <w:numPr>
          <w:ilvl w:val="0"/>
          <w:numId w:val="265"/>
        </w:numPr>
        <w:autoSpaceDE w:val="0"/>
        <w:autoSpaceDN w:val="0"/>
        <w:spacing w:after="0" w:line="240" w:lineRule="auto"/>
        <w:jc w:val="both"/>
        <w:rPr>
          <w:rFonts w:cs="Calibri"/>
        </w:rPr>
      </w:pPr>
      <w:r w:rsidRPr="000925B3">
        <w:rPr>
          <w:rFonts w:cs="Calibri"/>
        </w:rPr>
        <w:t>L’apparition de signes de pollution dans certains endroits au niveau de Noua</w:t>
      </w:r>
      <w:r>
        <w:rPr>
          <w:rFonts w:cs="Calibri"/>
        </w:rPr>
        <w:t>d</w:t>
      </w:r>
      <w:r w:rsidRPr="000925B3">
        <w:rPr>
          <w:rFonts w:cs="Calibri"/>
        </w:rPr>
        <w:t>hibou et de la zone du Banc d’Arguin ; là, dans la zone d’en face de la ville de Chami, cette pollution est accentuée par le mercure et la cyanure provenant des activités liées à l’orpaillages.</w:t>
      </w:r>
    </w:p>
    <w:p w14:paraId="12FD49B7" w14:textId="77777777" w:rsidR="00CB712E" w:rsidRPr="000925B3" w:rsidRDefault="00CB712E" w:rsidP="00CB712E">
      <w:pPr>
        <w:pStyle w:val="Paragraphedeliste"/>
        <w:numPr>
          <w:ilvl w:val="0"/>
          <w:numId w:val="265"/>
        </w:numPr>
        <w:autoSpaceDN w:val="0"/>
        <w:spacing w:after="0" w:line="240" w:lineRule="auto"/>
        <w:contextualSpacing w:val="0"/>
        <w:jc w:val="both"/>
        <w:rPr>
          <w:rFonts w:cs="Calibri"/>
        </w:rPr>
      </w:pPr>
      <w:r w:rsidRPr="000925B3">
        <w:rPr>
          <w:rFonts w:cs="Calibri"/>
        </w:rPr>
        <w:t>Des signes forts de transformations profondes chez les populations côtières, notamment celles pratiquant la pêche et/ou et résidentes dans les zones humides (PNBA, PND, Vallée du Fleuve, autour des lacs et mares, etc.). Ce sera une conséquence directe de la rareté de la ressource sous les effets surtout du changement climatique et de la férocité de la compétition entre acteurs.</w:t>
      </w:r>
    </w:p>
    <w:p w14:paraId="1A01BAD7" w14:textId="77777777" w:rsidR="00CB712E" w:rsidRPr="000925B3" w:rsidRDefault="00CB712E" w:rsidP="00CB712E">
      <w:pPr>
        <w:autoSpaceDE w:val="0"/>
        <w:jc w:val="both"/>
        <w:rPr>
          <w:rFonts w:cs="Calibri"/>
          <w:b/>
          <w:bCs/>
          <w:i/>
          <w:iCs/>
          <w:color w:val="FF0000"/>
        </w:rPr>
      </w:pPr>
    </w:p>
    <w:p w14:paraId="4F6976E9" w14:textId="77777777" w:rsidR="00CB712E" w:rsidRPr="000925B3" w:rsidRDefault="00CB712E" w:rsidP="00CB712E">
      <w:pPr>
        <w:autoSpaceDE w:val="0"/>
        <w:jc w:val="both"/>
        <w:rPr>
          <w:rFonts w:cs="Calibri"/>
          <w:b/>
          <w:bCs/>
          <w:i/>
          <w:iCs/>
          <w:color w:val="FF0000"/>
        </w:rPr>
      </w:pPr>
      <w:r>
        <w:rPr>
          <w:rFonts w:cs="Calibri"/>
          <w:b/>
          <w:bCs/>
          <w:i/>
          <w:iCs/>
          <w:color w:val="FF0000"/>
        </w:rPr>
        <w:t>2.3.4. Evaluation de la vulnérabilité du sous-secteur maritime (</w:t>
      </w:r>
      <w:r w:rsidRPr="000925B3">
        <w:rPr>
          <w:rFonts w:cs="Calibri"/>
          <w:b/>
          <w:bCs/>
          <w:i/>
          <w:iCs/>
          <w:color w:val="FF0000"/>
        </w:rPr>
        <w:t>Scenarii futurs probables</w:t>
      </w:r>
      <w:r>
        <w:rPr>
          <w:rFonts w:cs="Calibri"/>
          <w:b/>
          <w:bCs/>
          <w:i/>
          <w:iCs/>
          <w:color w:val="FF0000"/>
        </w:rPr>
        <w:t xml:space="preserve"> à l’horizon 2050-2100)</w:t>
      </w:r>
    </w:p>
    <w:p w14:paraId="25A03577" w14:textId="51134998" w:rsidR="00CB712E" w:rsidRPr="000925B3" w:rsidRDefault="00CB712E" w:rsidP="00153C41">
      <w:pPr>
        <w:pStyle w:val="Sansinterligne"/>
        <w:jc w:val="both"/>
      </w:pPr>
      <w:bookmarkStart w:id="225" w:name="_Hlk177542058"/>
      <w:r w:rsidRPr="000925B3">
        <w:rPr>
          <w:rFonts w:eastAsia="Calibri" w:cs="Calibri"/>
          <w:bCs/>
        </w:rPr>
        <w:t>Au regard de la situation qui a précédé, le changement climatique risque fort de compromettre, par ces impacts actuels et potentiels, l’avenir de ce secteur stratégique pour le développement économique et social du pays et son objectif d</w:t>
      </w:r>
      <w:r>
        <w:rPr>
          <w:rFonts w:eastAsia="Calibri" w:cs="Calibri"/>
          <w:bCs/>
        </w:rPr>
        <w:t xml:space="preserve">e contribuer davantage à l’autosuffisance </w:t>
      </w:r>
      <w:r w:rsidRPr="000925B3">
        <w:rPr>
          <w:rFonts w:eastAsia="Calibri" w:cs="Calibri"/>
          <w:bCs/>
        </w:rPr>
        <w:t>alimentaire</w:t>
      </w:r>
      <w:r>
        <w:rPr>
          <w:rFonts w:eastAsia="Calibri" w:cs="Calibri"/>
          <w:bCs/>
        </w:rPr>
        <w:t xml:space="preserve"> du pays</w:t>
      </w:r>
      <w:r w:rsidRPr="000925B3">
        <w:rPr>
          <w:rFonts w:eastAsia="Calibri" w:cs="Calibri"/>
          <w:bCs/>
        </w:rPr>
        <w:t>.</w:t>
      </w:r>
    </w:p>
    <w:p w14:paraId="0E2FE881" w14:textId="77777777" w:rsidR="00CB712E" w:rsidRPr="000925B3" w:rsidRDefault="00CB712E" w:rsidP="00CB712E">
      <w:pPr>
        <w:autoSpaceDE w:val="0"/>
        <w:jc w:val="both"/>
        <w:rPr>
          <w:rFonts w:cs="Calibri"/>
        </w:rPr>
      </w:pPr>
      <w:r w:rsidRPr="000925B3">
        <w:rPr>
          <w:rFonts w:cs="Calibri"/>
        </w:rPr>
        <w:t xml:space="preserve">L’analyse de la variabilité climatique observée à l’échelle du littoral mauritanien, de l’embouchure du Fleuve à la pointe du Cap Blanc, montre que la tendance est, par rapport à la moyenne 1961-1990, la même que celle prévue aux horizons 2050 et 2100. En effet, la température augmentera de plus de 2°C à 3°C et les précipitations connaitront une réduction entre -30 et -35%. Selon le cinquième rapport du GIEC, les impacts des indices retenus pour le cas de la pêche, se traduiront, à l’échelle de tout le littoral mauritanien, par une baisse de la capture maximale de l’ordre de -6 à -20%. Dans les mêmes conditions, notamment de prix par rapport à 2018, cette réduction quantitative se traduira, en valeur, par des pertes situées entre 540 millions MRU et un milliard et 800 millions MRU.  4CN </w:t>
      </w:r>
      <w:r w:rsidRPr="000925B3">
        <w:rPr>
          <w:rFonts w:cs="Calibri"/>
          <w:color w:val="FF0000"/>
        </w:rPr>
        <w:t>(cette situation est à actualiser par Mr Sidaty si des données plus récentes sont disponibles).</w:t>
      </w:r>
      <w:bookmarkStart w:id="226" w:name="_Hlk177856747"/>
    </w:p>
    <w:bookmarkEnd w:id="216"/>
    <w:bookmarkEnd w:id="223"/>
    <w:bookmarkEnd w:id="225"/>
    <w:p w14:paraId="535B8E0C" w14:textId="77777777" w:rsidR="00CB712E" w:rsidRPr="000925B3" w:rsidRDefault="00CB712E" w:rsidP="00CB712E">
      <w:pPr>
        <w:jc w:val="both"/>
        <w:rPr>
          <w:rFonts w:cs="Calibri"/>
        </w:rPr>
      </w:pPr>
      <w:r w:rsidRPr="000925B3">
        <w:rPr>
          <w:rFonts w:cs="Calibri"/>
          <w:b/>
          <w:bCs/>
          <w:color w:val="FF0000"/>
        </w:rPr>
        <w:t xml:space="preserve">PARTIE III : </w:t>
      </w:r>
      <w:r w:rsidRPr="000925B3">
        <w:rPr>
          <w:rFonts w:cs="Calibri"/>
          <w:b/>
          <w:bCs/>
          <w:i/>
          <w:iCs/>
          <w:color w:val="FF0000"/>
        </w:rPr>
        <w:t>PRESENTATION DE LA SITUATION ACTUELLE DU SECTEUR DES PECHES MARITIMES ET CONTINENTALE</w:t>
      </w:r>
      <w:r w:rsidRPr="000925B3">
        <w:rPr>
          <w:rFonts w:cs="Calibri"/>
          <w:b/>
          <w:bCs/>
          <w:color w:val="FF0000"/>
        </w:rPr>
        <w:t xml:space="preserve"> </w:t>
      </w:r>
    </w:p>
    <w:p w14:paraId="1CD99321" w14:textId="77777777" w:rsidR="00CB712E" w:rsidRPr="000925B3" w:rsidRDefault="00CB712E" w:rsidP="00CB712E">
      <w:pPr>
        <w:pStyle w:val="Sansinterligne"/>
        <w:jc w:val="both"/>
        <w:rPr>
          <w:rFonts w:cs="Calibri"/>
        </w:rPr>
      </w:pPr>
      <w:r w:rsidRPr="000925B3">
        <w:rPr>
          <w:rFonts w:cs="Calibri"/>
        </w:rPr>
        <w:t xml:space="preserve">Au niveau du secteur des pêches, le processus d’actualisation de la 4CN et d’élaboration d’une cinquième couvrant la période 2022-2030 (5CN2022-2030), intervient au moment où le ministère des pêches et de l’économie maritime change de nom pour devenir « Ministère de la </w:t>
      </w:r>
      <w:r>
        <w:rPr>
          <w:rFonts w:cs="Calibri"/>
        </w:rPr>
        <w:t>P</w:t>
      </w:r>
      <w:r w:rsidRPr="000925B3">
        <w:rPr>
          <w:rFonts w:cs="Calibri"/>
        </w:rPr>
        <w:t>êche et des Infrastructures Maritimes et Portuaires (</w:t>
      </w:r>
      <w:r>
        <w:rPr>
          <w:rFonts w:cs="Calibri"/>
        </w:rPr>
        <w:t>MPIMP</w:t>
      </w:r>
      <w:proofErr w:type="gramStart"/>
      <w:r>
        <w:rPr>
          <w:rFonts w:cs="Calibri"/>
        </w:rPr>
        <w:t>)</w:t>
      </w:r>
      <w:r w:rsidRPr="000925B3">
        <w:rPr>
          <w:rFonts w:cs="Calibri"/>
        </w:rPr>
        <w:t>»</w:t>
      </w:r>
      <w:proofErr w:type="gramEnd"/>
      <w:r w:rsidRPr="000925B3">
        <w:rPr>
          <w:rFonts w:cs="Calibri"/>
        </w:rPr>
        <w:t xml:space="preserve"> </w:t>
      </w:r>
    </w:p>
    <w:p w14:paraId="61EE0844" w14:textId="77777777" w:rsidR="00CB712E" w:rsidRPr="000925B3" w:rsidRDefault="00CB712E" w:rsidP="00CB712E">
      <w:pPr>
        <w:pStyle w:val="Sansinterligne"/>
        <w:ind w:left="360"/>
        <w:jc w:val="both"/>
        <w:rPr>
          <w:rFonts w:cs="Calibri"/>
          <w:color w:val="FF0000"/>
        </w:rPr>
      </w:pPr>
    </w:p>
    <w:p w14:paraId="03C00A26" w14:textId="77777777" w:rsidR="00CB712E" w:rsidRPr="000925B3" w:rsidRDefault="00CB712E" w:rsidP="00CB712E">
      <w:pPr>
        <w:pStyle w:val="Sansinterligne"/>
        <w:jc w:val="both"/>
        <w:rPr>
          <w:rFonts w:cs="Calibri"/>
        </w:rPr>
      </w:pPr>
      <w:r w:rsidRPr="000925B3">
        <w:rPr>
          <w:rFonts w:cs="Calibri"/>
        </w:rPr>
        <w:t>La nouvelle dénomination met en exergue l’importance prioritaire accordée désormais aux infrastructures dans la promotion de la pêche maritime et continentale, de l’aquaculture marine et dulcicole, des affaires maritimes et de l’ensemble des activités connexes devant faire partie des attributions du ministre en charge de ce département ministériel.</w:t>
      </w:r>
    </w:p>
    <w:p w14:paraId="7952076D" w14:textId="77777777" w:rsidR="00CB712E" w:rsidRPr="000925B3" w:rsidRDefault="00CB712E" w:rsidP="00CB712E">
      <w:pPr>
        <w:pStyle w:val="Sansinterligne"/>
        <w:ind w:left="360"/>
        <w:jc w:val="both"/>
        <w:rPr>
          <w:rFonts w:cs="Calibri"/>
        </w:rPr>
      </w:pPr>
    </w:p>
    <w:p w14:paraId="5AF3E691" w14:textId="77777777" w:rsidR="00CB712E" w:rsidRPr="000925B3" w:rsidRDefault="00CB712E" w:rsidP="00CB712E">
      <w:pPr>
        <w:pStyle w:val="Sansinterligne"/>
        <w:jc w:val="both"/>
        <w:rPr>
          <w:rFonts w:cs="Calibri"/>
        </w:rPr>
      </w:pPr>
      <w:r w:rsidRPr="000925B3">
        <w:rPr>
          <w:rFonts w:cs="Calibri"/>
        </w:rPr>
        <w:t xml:space="preserve">Ce processus commence également alors que le secteur dispose d’une Feuille de route pour la relance du secteur des Pêches et de l’Economie Maritime adoptée en Conseil des Ministres et d’une Lettre de Politique et de Planification (L2P) du secteur des </w:t>
      </w:r>
      <w:r>
        <w:rPr>
          <w:rFonts w:cs="Calibri"/>
        </w:rPr>
        <w:t>P</w:t>
      </w:r>
      <w:r w:rsidRPr="000925B3">
        <w:rPr>
          <w:rFonts w:cs="Calibri"/>
        </w:rPr>
        <w:t>êches et de de l’</w:t>
      </w:r>
      <w:r>
        <w:rPr>
          <w:rFonts w:cs="Calibri"/>
        </w:rPr>
        <w:t>E</w:t>
      </w:r>
      <w:r w:rsidRPr="000925B3">
        <w:rPr>
          <w:rFonts w:cs="Calibri"/>
        </w:rPr>
        <w:t xml:space="preserve">conomie </w:t>
      </w:r>
      <w:r>
        <w:rPr>
          <w:rFonts w:cs="Calibri"/>
        </w:rPr>
        <w:t>M</w:t>
      </w:r>
      <w:r w:rsidRPr="000925B3">
        <w:rPr>
          <w:rFonts w:cs="Calibri"/>
        </w:rPr>
        <w:t>aritime 2022-2024 en vigueur, jusqu’au plus tard, le 31 décembres prochain.</w:t>
      </w:r>
    </w:p>
    <w:p w14:paraId="59E1402F" w14:textId="77777777" w:rsidR="00CB712E" w:rsidRPr="000925B3" w:rsidRDefault="00CB712E" w:rsidP="00CB712E">
      <w:pPr>
        <w:pStyle w:val="Sansinterligne"/>
        <w:ind w:left="360"/>
        <w:jc w:val="both"/>
        <w:rPr>
          <w:rFonts w:cs="Calibri"/>
          <w:color w:val="FF0000"/>
        </w:rPr>
      </w:pPr>
    </w:p>
    <w:p w14:paraId="1EB5D3B7" w14:textId="6BFB3BA2" w:rsidR="00172037" w:rsidRPr="000925B3" w:rsidRDefault="00CB712E" w:rsidP="00CB712E">
      <w:pPr>
        <w:pStyle w:val="Sansinterligne"/>
        <w:jc w:val="both"/>
        <w:rPr>
          <w:rFonts w:cs="Calibri"/>
        </w:rPr>
      </w:pPr>
      <w:bookmarkStart w:id="227" w:name="_Hlk177298259"/>
      <w:r w:rsidRPr="000925B3">
        <w:rPr>
          <w:rFonts w:cs="Calibri"/>
        </w:rPr>
        <w:t xml:space="preserve">Dans ces conditions, la présentation de la situation actuelle du secteur se fonde essentiellement sur le cadre institutionnel, juridique et réglementaire en place et la L2P et consiste (1) à décrire brièvement les principaux éléments organisationnels et les composantes nationale et internationale du cadre normatif et (2) à </w:t>
      </w:r>
      <w:r>
        <w:rPr>
          <w:rFonts w:cs="Calibri"/>
        </w:rPr>
        <w:t xml:space="preserve">présenter </w:t>
      </w:r>
      <w:r w:rsidRPr="000925B3">
        <w:rPr>
          <w:rFonts w:cs="Calibri"/>
        </w:rPr>
        <w:t xml:space="preserve">cette L2P pour (i) rappeler ses objectifs et sa structuration, (ii) décrire l’état des ressources halieutiques </w:t>
      </w:r>
      <w:r>
        <w:rPr>
          <w:rFonts w:cs="Calibri"/>
        </w:rPr>
        <w:t xml:space="preserve">marines </w:t>
      </w:r>
      <w:r w:rsidRPr="000925B3">
        <w:rPr>
          <w:rFonts w:cs="Calibri"/>
        </w:rPr>
        <w:t xml:space="preserve">nationales, (iii) montrer l’importance du </w:t>
      </w:r>
      <w:r>
        <w:rPr>
          <w:rFonts w:cs="Calibri"/>
        </w:rPr>
        <w:t>sous-</w:t>
      </w:r>
      <w:r w:rsidRPr="000925B3">
        <w:rPr>
          <w:rFonts w:cs="Calibri"/>
        </w:rPr>
        <w:t xml:space="preserve">secteur </w:t>
      </w:r>
      <w:r>
        <w:rPr>
          <w:rFonts w:cs="Calibri"/>
        </w:rPr>
        <w:t xml:space="preserve">maritime </w:t>
      </w:r>
      <w:r w:rsidRPr="000925B3">
        <w:rPr>
          <w:rFonts w:cs="Calibri"/>
        </w:rPr>
        <w:t>dans le développement du pays et puis (iii) identifier les actions d’adaptation au changement climatique prévues dans la L2</w:t>
      </w:r>
      <w:r w:rsidRPr="001D6F6D">
        <w:rPr>
          <w:rFonts w:cs="Calibri"/>
        </w:rPr>
        <w:t>P</w:t>
      </w:r>
      <w:r w:rsidRPr="000925B3">
        <w:rPr>
          <w:rFonts w:cs="Calibri"/>
        </w:rPr>
        <w:t xml:space="preserve"> afin d’apprécier la place de ce phénomène dans la planification sectorielle</w:t>
      </w:r>
      <w:r>
        <w:rPr>
          <w:rFonts w:cs="Calibri"/>
        </w:rPr>
        <w:t xml:space="preserve"> et d’en tenir compte dans le choix des mesures et actions d’adaptation à inscrire dans la CN5 en cours d’élaboration</w:t>
      </w:r>
      <w:r w:rsidRPr="000925B3">
        <w:rPr>
          <w:rFonts w:cs="Calibri"/>
        </w:rPr>
        <w:t>.</w:t>
      </w:r>
    </w:p>
    <w:bookmarkEnd w:id="227"/>
    <w:p w14:paraId="077BE739" w14:textId="77777777" w:rsidR="00CB712E" w:rsidRPr="000925B3" w:rsidRDefault="00CB712E" w:rsidP="00153C41">
      <w:pPr>
        <w:pStyle w:val="Sansinterligne"/>
        <w:jc w:val="both"/>
      </w:pPr>
    </w:p>
    <w:p w14:paraId="3762187A" w14:textId="77777777" w:rsidR="00CB712E" w:rsidRPr="000925B3" w:rsidRDefault="00CB712E" w:rsidP="00CB712E">
      <w:pPr>
        <w:jc w:val="both"/>
        <w:rPr>
          <w:rFonts w:cs="Calibri"/>
          <w:b/>
          <w:bCs/>
          <w:color w:val="FF0000"/>
        </w:rPr>
      </w:pPr>
      <w:r w:rsidRPr="000925B3">
        <w:rPr>
          <w:rFonts w:cs="Calibri"/>
          <w:b/>
          <w:bCs/>
          <w:color w:val="FF0000"/>
        </w:rPr>
        <w:t>3.1. Cadre institutionnel, juridique et réglementaire :</w:t>
      </w:r>
    </w:p>
    <w:p w14:paraId="60095828" w14:textId="77777777" w:rsidR="00CB712E" w:rsidRPr="000925B3" w:rsidRDefault="00CB712E" w:rsidP="00CB712E">
      <w:pPr>
        <w:jc w:val="both"/>
        <w:rPr>
          <w:rFonts w:cs="Calibri"/>
          <w:b/>
          <w:bCs/>
          <w:i/>
          <w:iCs/>
          <w:color w:val="FF0000"/>
        </w:rPr>
      </w:pPr>
      <w:r w:rsidRPr="000925B3">
        <w:rPr>
          <w:rFonts w:cs="Calibri"/>
          <w:b/>
          <w:bCs/>
          <w:i/>
          <w:iCs/>
          <w:color w:val="FF0000"/>
        </w:rPr>
        <w:t>3.1.1. Cadre institutionnel :</w:t>
      </w:r>
    </w:p>
    <w:p w14:paraId="354E3BC9" w14:textId="77777777" w:rsidR="00CB712E" w:rsidRPr="000925B3" w:rsidRDefault="00CB712E" w:rsidP="00CB712E">
      <w:pPr>
        <w:tabs>
          <w:tab w:val="left" w:pos="9865"/>
        </w:tabs>
        <w:ind w:right="-35"/>
        <w:jc w:val="both"/>
        <w:rPr>
          <w:rFonts w:cs="Calibri"/>
        </w:rPr>
      </w:pPr>
      <w:r w:rsidRPr="000925B3">
        <w:rPr>
          <w:rFonts w:cs="Calibri"/>
        </w:rPr>
        <w:t>Le cadre institutionnel d</w:t>
      </w:r>
      <w:r>
        <w:rPr>
          <w:rFonts w:cs="Calibri"/>
        </w:rPr>
        <w:t xml:space="preserve">u </w:t>
      </w:r>
      <w:r w:rsidRPr="000925B3">
        <w:rPr>
          <w:rFonts w:cs="Calibri"/>
        </w:rPr>
        <w:t xml:space="preserve">secteur </w:t>
      </w:r>
      <w:r>
        <w:rPr>
          <w:rFonts w:cs="Calibri"/>
        </w:rPr>
        <w:t xml:space="preserve">en </w:t>
      </w:r>
      <w:r w:rsidRPr="000925B3">
        <w:rPr>
          <w:rFonts w:cs="Calibri"/>
        </w:rPr>
        <w:t>charg</w:t>
      </w:r>
      <w:r>
        <w:rPr>
          <w:rFonts w:cs="Calibri"/>
        </w:rPr>
        <w:t>e</w:t>
      </w:r>
      <w:r w:rsidRPr="000925B3">
        <w:rPr>
          <w:rFonts w:cs="Calibri"/>
        </w:rPr>
        <w:t xml:space="preserve"> des pêches, </w:t>
      </w:r>
      <w:r>
        <w:rPr>
          <w:rFonts w:cs="Calibri"/>
        </w:rPr>
        <w:t xml:space="preserve">est </w:t>
      </w:r>
      <w:r w:rsidRPr="000925B3">
        <w:rPr>
          <w:rFonts w:cs="Calibri"/>
        </w:rPr>
        <w:t xml:space="preserve">constitué d’acteurs publics et privés nationaux et internationaux qui sont principalement (i) le Ministère </w:t>
      </w:r>
      <w:r>
        <w:rPr>
          <w:rFonts w:cs="Calibri"/>
        </w:rPr>
        <w:t xml:space="preserve">en </w:t>
      </w:r>
      <w:r w:rsidRPr="000925B3">
        <w:rPr>
          <w:rFonts w:cs="Calibri"/>
        </w:rPr>
        <w:t>charg</w:t>
      </w:r>
      <w:r>
        <w:rPr>
          <w:rFonts w:cs="Calibri"/>
        </w:rPr>
        <w:t>e</w:t>
      </w:r>
      <w:r w:rsidRPr="000925B3">
        <w:rPr>
          <w:rFonts w:cs="Calibri"/>
        </w:rPr>
        <w:t xml:space="preserve"> des Pêches avec des services centraux, déconcentrés et décentralisés, (ii) les autres Départements de l’Etat concernés ou impliqués directement dans les activités liées à la pêche, (iii) les organisations socioprofessionnelles de pêche, (iv) les ONG et Coopératives intervenant dans le secteur,(v) les fournisseurs de services divers et enfin, (vi) les partenaires techniques et financiers.</w:t>
      </w:r>
    </w:p>
    <w:p w14:paraId="7836DB63" w14:textId="77777777" w:rsidR="00CB712E" w:rsidRPr="000925B3" w:rsidRDefault="00CB712E" w:rsidP="00CB712E">
      <w:pPr>
        <w:jc w:val="both"/>
        <w:rPr>
          <w:rFonts w:cs="Calibri"/>
        </w:rPr>
      </w:pPr>
      <w:r w:rsidRPr="000925B3">
        <w:rPr>
          <w:rFonts w:cs="Calibri"/>
        </w:rPr>
        <w:t xml:space="preserve">Conformément au décret n°211-2017/PM du 29 Mai 2017 fixant les attributions du Ministre des Pêches et de l’Economie Maritime et l’organisation de l’Administration centrale de son Département, toujours en vigueur, le Ministre </w:t>
      </w:r>
      <w:r>
        <w:rPr>
          <w:rFonts w:cs="Calibri"/>
        </w:rPr>
        <w:t xml:space="preserve">en charge </w:t>
      </w:r>
      <w:r w:rsidRPr="000925B3">
        <w:rPr>
          <w:rFonts w:cs="Calibri"/>
        </w:rPr>
        <w:t>de</w:t>
      </w:r>
      <w:r>
        <w:rPr>
          <w:rFonts w:cs="Calibri"/>
        </w:rPr>
        <w:t xml:space="preserve"> la </w:t>
      </w:r>
      <w:r w:rsidRPr="000925B3">
        <w:rPr>
          <w:rFonts w:cs="Calibri"/>
        </w:rPr>
        <w:t xml:space="preserve">Pêche et de l'Economie Maritime a pour mission générale de concevoir, coordonner, promouvoir et assurer le suivi de la mise en œuvre de la politique du Gouvernement dans les domaines des pêches, de l’océanographie, de la marine marchande et de la formation maritime en vue de renforcer la contribution du secteur au développement national. Il est l’autorité nationale compétente en matière de contrôle de la qualité, de l’hygiène et de la salubrité des produits, des établissements et des zones de production de pêche et d’aquaculture. Il est aussi l’autorité compétente pour la marine marchande et les affaires maritimes en vertu de l’article </w:t>
      </w:r>
      <w:proofErr w:type="gramStart"/>
      <w:r w:rsidRPr="000925B3">
        <w:rPr>
          <w:rFonts w:cs="Calibri"/>
        </w:rPr>
        <w:t>( )</w:t>
      </w:r>
      <w:proofErr w:type="gramEnd"/>
      <w:r w:rsidRPr="000925B3">
        <w:rPr>
          <w:rFonts w:cs="Calibri"/>
        </w:rPr>
        <w:t xml:space="preserve"> de l’actuel code de la marine marchande.</w:t>
      </w:r>
    </w:p>
    <w:p w14:paraId="5EF12624" w14:textId="77777777" w:rsidR="00CB712E" w:rsidRPr="000925B3" w:rsidRDefault="00CB712E" w:rsidP="00CB712E">
      <w:pPr>
        <w:tabs>
          <w:tab w:val="left" w:pos="567"/>
          <w:tab w:val="left" w:pos="9865"/>
        </w:tabs>
        <w:ind w:right="-35"/>
        <w:jc w:val="both"/>
        <w:rPr>
          <w:rFonts w:cs="Calibri"/>
        </w:rPr>
      </w:pPr>
      <w:r w:rsidRPr="000925B3">
        <w:rPr>
          <w:rFonts w:cs="Calibri"/>
        </w:rPr>
        <w:t xml:space="preserve">A noter cependant que les seuls changements importants survenus par rapport à la 4CN de 2019, se résument dans </w:t>
      </w:r>
      <w:r>
        <w:rPr>
          <w:rFonts w:cs="Calibri"/>
        </w:rPr>
        <w:t xml:space="preserve">la réintroduction des affaires maritimes et de la pêche et la pisciculture continentales dans la L2P2022-2024, </w:t>
      </w:r>
      <w:r w:rsidRPr="000925B3">
        <w:rPr>
          <w:rFonts w:cs="Calibri"/>
        </w:rPr>
        <w:t>la suppression, au niveau central, de la Direction de la Marine Marchande (DMM) par le décret n° 2022-183 du 15 décembre 2022 qui l’avait substituée par l’Agence Mauritanienne des Affaires Maritimes (AMAM) et puis la création d’une autre agence dénommée Agence pour le Développement de la Pêche et de la Pisciculture Continentales (ADPPC).</w:t>
      </w:r>
    </w:p>
    <w:p w14:paraId="16748D82" w14:textId="77777777" w:rsidR="00CB712E" w:rsidRPr="000925B3" w:rsidRDefault="00CB712E" w:rsidP="00CB712E">
      <w:pPr>
        <w:tabs>
          <w:tab w:val="left" w:pos="567"/>
          <w:tab w:val="left" w:pos="9865"/>
        </w:tabs>
        <w:ind w:right="-35"/>
        <w:jc w:val="both"/>
        <w:rPr>
          <w:rFonts w:cs="Calibri"/>
        </w:rPr>
      </w:pPr>
      <w:r w:rsidRPr="000925B3">
        <w:rPr>
          <w:rFonts w:cs="Calibri"/>
        </w:rPr>
        <w:t>A noter aussi que, sous son nouveau nom de ministère de</w:t>
      </w:r>
      <w:r>
        <w:rPr>
          <w:rFonts w:cs="Calibri"/>
        </w:rPr>
        <w:t xml:space="preserve"> la </w:t>
      </w:r>
      <w:r w:rsidRPr="000925B3">
        <w:rPr>
          <w:rFonts w:cs="Calibri"/>
        </w:rPr>
        <w:t>Pêche</w:t>
      </w:r>
      <w:r>
        <w:rPr>
          <w:rFonts w:cs="Calibri"/>
        </w:rPr>
        <w:t xml:space="preserve"> </w:t>
      </w:r>
      <w:r w:rsidRPr="000925B3">
        <w:rPr>
          <w:rFonts w:cs="Calibri"/>
        </w:rPr>
        <w:t>et des Infrastructures Maritimes et Portuaires (MPIMP), ce ministère va se doter bientôt d’un nouvel organigramme définissant nettement les attributions du Ministre et fixant l’organisation de son département.</w:t>
      </w:r>
    </w:p>
    <w:p w14:paraId="1FCC1919" w14:textId="77777777" w:rsidR="00CB712E" w:rsidRPr="000925B3" w:rsidRDefault="00CB712E" w:rsidP="00CB712E">
      <w:pPr>
        <w:jc w:val="both"/>
        <w:rPr>
          <w:rFonts w:cs="Calibri"/>
        </w:rPr>
      </w:pPr>
      <w:r w:rsidRPr="000925B3">
        <w:rPr>
          <w:rFonts w:cs="Calibri"/>
          <w:b/>
          <w:bCs/>
          <w:i/>
          <w:iCs/>
          <w:color w:val="FF0000"/>
        </w:rPr>
        <w:t>3.1.2. Cadre normatif :</w:t>
      </w:r>
    </w:p>
    <w:p w14:paraId="2D4F0F89" w14:textId="77777777" w:rsidR="00CB712E" w:rsidRPr="000925B3" w:rsidRDefault="00CB712E" w:rsidP="00CB712E">
      <w:pPr>
        <w:jc w:val="both"/>
        <w:rPr>
          <w:rFonts w:cs="Calibri"/>
        </w:rPr>
      </w:pPr>
      <w:r w:rsidRPr="000925B3">
        <w:rPr>
          <w:rFonts w:cs="Calibri"/>
        </w:rPr>
        <w:t xml:space="preserve">Le cadre normatif du secteur des pêches, est lié aux principaux domaines de compétences du Ministre, représentés par (i) la pêche maritime et continentale, (ii) l’aquaculture marine et dulcicole, (iii) les affaires maritimes (marine marchande) et (iv) les activités connexes à ces domaines. En dehors des textes nationaux régissant ces divers domaines, le cadre normatif du secteur comprend également les conventions internationales ratifiées par la Mauritanie ou auxquelles elle a adhéré </w:t>
      </w:r>
    </w:p>
    <w:p w14:paraId="0D37B1B1" w14:textId="77777777" w:rsidR="00CB712E" w:rsidRPr="000925B3" w:rsidRDefault="00CB712E" w:rsidP="00CB712E">
      <w:pPr>
        <w:jc w:val="both"/>
        <w:rPr>
          <w:rFonts w:cs="Calibri"/>
          <w:b/>
          <w:bCs/>
          <w:color w:val="FF0000"/>
        </w:rPr>
      </w:pPr>
      <w:r w:rsidRPr="000925B3">
        <w:rPr>
          <w:rFonts w:cs="Calibri"/>
          <w:b/>
          <w:bCs/>
          <w:color w:val="FF0000"/>
        </w:rPr>
        <w:t xml:space="preserve">Code des pêches maritimes : </w:t>
      </w:r>
    </w:p>
    <w:p w14:paraId="58F989F2" w14:textId="77777777" w:rsidR="00CB712E" w:rsidRPr="000925B3" w:rsidRDefault="00CB712E" w:rsidP="00CB712E">
      <w:pPr>
        <w:jc w:val="both"/>
        <w:rPr>
          <w:rFonts w:cs="Calibri"/>
        </w:rPr>
      </w:pPr>
      <w:r w:rsidRPr="000925B3">
        <w:rPr>
          <w:rFonts w:cs="Calibri"/>
        </w:rPr>
        <w:t>Le sous-secteur de la pêche maritime continue d’être géré sur la base de la loi n°2015-017 portant code des pêches du 29 Juillet 2015 malgré ses insuffisances par rapport aux orientations et objectifs des deux stratégies sectorielles adoptées respectivement le 23 juillet 2020 (Stratégie d’Aménagement et de Développement Durable et Intégré des pêches maritimes 2020-2024) et le 27 ? juillet 2022 (Lettre de Politique et de Planification (L2P) du secteur des pêches et de l’Economie Maritime 2022-2024).</w:t>
      </w:r>
    </w:p>
    <w:p w14:paraId="1543C210" w14:textId="77777777" w:rsidR="00CB712E" w:rsidRPr="000925B3" w:rsidRDefault="00CB712E" w:rsidP="00CB712E">
      <w:pPr>
        <w:jc w:val="both"/>
        <w:rPr>
          <w:rFonts w:cs="Calibri"/>
        </w:rPr>
      </w:pPr>
      <w:r w:rsidRPr="000925B3">
        <w:rPr>
          <w:rFonts w:cs="Calibri"/>
          <w:b/>
          <w:bCs/>
          <w:i/>
          <w:iCs/>
          <w:color w:val="FF0000"/>
        </w:rPr>
        <w:t>Code de la marine marchande :</w:t>
      </w:r>
    </w:p>
    <w:p w14:paraId="2366D32E" w14:textId="77777777" w:rsidR="00CB712E" w:rsidRPr="000925B3" w:rsidRDefault="00CB712E" w:rsidP="00CB712E">
      <w:pPr>
        <w:jc w:val="both"/>
        <w:rPr>
          <w:rFonts w:cs="Calibri"/>
        </w:rPr>
      </w:pPr>
      <w:r w:rsidRPr="000925B3">
        <w:rPr>
          <w:rFonts w:cs="Calibri"/>
        </w:rPr>
        <w:t>La loi n°2013-029 portant Code de la marine marchande de la République Islamique de Mauritanie, régit les rapports juridiques naissant de la navigation maritime et du commerce maritime. Ce Code désigne une loi et les textes pris pour son application.</w:t>
      </w:r>
    </w:p>
    <w:p w14:paraId="7C3F265D" w14:textId="77777777" w:rsidR="00CB712E" w:rsidRPr="000925B3" w:rsidRDefault="00CB712E" w:rsidP="00CB712E">
      <w:pPr>
        <w:jc w:val="both"/>
        <w:rPr>
          <w:rFonts w:cs="Calibri"/>
        </w:rPr>
      </w:pPr>
      <w:r w:rsidRPr="000925B3">
        <w:rPr>
          <w:rFonts w:cs="Calibri"/>
        </w:rPr>
        <w:t>Sauf dispositions expresses contraires ou particulières, la loi n°2013-029 s’applique :</w:t>
      </w:r>
    </w:p>
    <w:p w14:paraId="7B435734" w14:textId="77777777" w:rsidR="00CB712E" w:rsidRPr="000925B3" w:rsidRDefault="00CB712E" w:rsidP="00CB712E">
      <w:pPr>
        <w:pStyle w:val="Paragraphedeliste"/>
        <w:numPr>
          <w:ilvl w:val="0"/>
          <w:numId w:val="297"/>
        </w:numPr>
        <w:autoSpaceDN w:val="0"/>
        <w:spacing w:after="0" w:line="240" w:lineRule="auto"/>
        <w:jc w:val="both"/>
        <w:rPr>
          <w:rFonts w:cs="Calibri"/>
        </w:rPr>
      </w:pPr>
      <w:r w:rsidRPr="000925B3">
        <w:rPr>
          <w:rFonts w:cs="Calibri"/>
        </w:rPr>
        <w:t>Dans les eaux maritimes placées sous la juridiction ou la souveraineté de la République Islamique de Mauritanie,</w:t>
      </w:r>
    </w:p>
    <w:p w14:paraId="61756604" w14:textId="77777777" w:rsidR="00CB712E" w:rsidRPr="000925B3" w:rsidRDefault="00CB712E" w:rsidP="00CB712E">
      <w:pPr>
        <w:pStyle w:val="Paragraphedeliste"/>
        <w:numPr>
          <w:ilvl w:val="0"/>
          <w:numId w:val="297"/>
        </w:numPr>
        <w:autoSpaceDN w:val="0"/>
        <w:spacing w:after="0" w:line="240" w:lineRule="auto"/>
        <w:jc w:val="both"/>
        <w:rPr>
          <w:rFonts w:cs="Calibri"/>
        </w:rPr>
      </w:pPr>
      <w:r w:rsidRPr="000925B3">
        <w:rPr>
          <w:rFonts w:cs="Calibri"/>
        </w:rPr>
        <w:t>Aux navires immatriculés en République Islamique de Mauritanie, aux équipages et aux passagers qui y sont embarqués ainsi qu’à toutes les personnes, quelle que soit leur nationalité, qui bien que non présentes à bord, auraient commis une infraction aux dispositions du présent code et de ses textes d’application.</w:t>
      </w:r>
    </w:p>
    <w:p w14:paraId="3D08C392" w14:textId="77777777" w:rsidR="00CB712E" w:rsidRPr="000925B3" w:rsidRDefault="00CB712E" w:rsidP="00CB712E">
      <w:pPr>
        <w:jc w:val="both"/>
        <w:rPr>
          <w:rFonts w:cs="Calibri"/>
        </w:rPr>
      </w:pPr>
      <w:r w:rsidRPr="000925B3">
        <w:rPr>
          <w:rFonts w:cs="Calibri"/>
        </w:rPr>
        <w:t>Décret n</w:t>
      </w:r>
      <w:r>
        <w:rPr>
          <w:rFonts w:cs="Calibri"/>
        </w:rPr>
        <w:t xml:space="preserve">uméro </w:t>
      </w:r>
      <w:r w:rsidRPr="000925B3">
        <w:rPr>
          <w:rFonts w:cs="Calibri"/>
        </w:rPr>
        <w:t>2022-183/PM/MPEM/MF portant création, organisation et fonctionnement d’un établissement public à caractère industriel et commercial dénommé l’Agence Mauritanienne des Affaires Maritimes (AMAM).</w:t>
      </w:r>
    </w:p>
    <w:p w14:paraId="7C3DD911" w14:textId="77777777" w:rsidR="00CB712E" w:rsidRPr="000925B3" w:rsidRDefault="00CB712E" w:rsidP="00CB712E">
      <w:pPr>
        <w:jc w:val="both"/>
        <w:rPr>
          <w:rFonts w:cs="Calibri"/>
        </w:rPr>
      </w:pPr>
      <w:bookmarkStart w:id="228" w:name="_Hlk177595201"/>
      <w:r w:rsidRPr="000925B3">
        <w:rPr>
          <w:rFonts w:cs="Calibri"/>
        </w:rPr>
        <w:t>Le cadre normatif du secteur mauritanien de la pêche comprend également les conventions internationales ratifiées par la Mauritanie ou auxquelles elle a adhéré ainsi que les amendements aux dites conventions : Il s’agit pour le pays de faire partie du monde chargé de la mise en œuvre des dispositions des instruments juridiques internationaux et de pouvoir remplir systématiquement les obligations qui lui incombent en tant qu’État côtier, qu’État de Pavillon et qu’État du port.</w:t>
      </w:r>
    </w:p>
    <w:p w14:paraId="5A05E6BA" w14:textId="77777777" w:rsidR="00CB712E" w:rsidRPr="000925B3" w:rsidRDefault="00CB712E" w:rsidP="00CB712E">
      <w:pPr>
        <w:jc w:val="both"/>
        <w:rPr>
          <w:rFonts w:cs="Calibri"/>
        </w:rPr>
      </w:pPr>
      <w:r w:rsidRPr="000925B3">
        <w:rPr>
          <w:rFonts w:cs="Calibri"/>
        </w:rPr>
        <w:t>Cet arsenal normatif international comprend la Convention des Nations Unies sur le Droit de la Mer (CNUDM), la Stratégie maritime intégrée de l’Union africaine, les Conventions et Résolutions de l’Organisation maritime internationale (OMI), les directives et Accords de l’Organisation des Nations Unies pour l’Alimentation et l’Agriculture (FAO), les Directives et Accords du Programme des Nations Unies pour l’environnement (PNUE), de même que les directives et recommandations émanant d’Organismes régionaux des pêches tels que la Commission internationale pour la conservation des thonidés de l'Atlantique (ICCAT), la Commission sous-régionale des pêches (CSRP),  la Conférence Ministérielle sur la Coopération Halieutique entre les Etats Africains Riverains de l’Océan Atlantique (COMHAFAT), et le Comité des Pêches pour l’Atlantique Centre-Est (COPACE).</w:t>
      </w:r>
    </w:p>
    <w:p w14:paraId="2F715772" w14:textId="77777777" w:rsidR="00CB712E" w:rsidRPr="000925B3" w:rsidRDefault="00CB712E" w:rsidP="00CB712E">
      <w:pPr>
        <w:jc w:val="both"/>
        <w:rPr>
          <w:rFonts w:cs="Calibri"/>
          <w:color w:val="FF0000"/>
        </w:rPr>
      </w:pPr>
      <w:r w:rsidRPr="000925B3">
        <w:rPr>
          <w:rFonts w:cs="Calibri"/>
        </w:rPr>
        <w:t>Il y a également les Directives et Accords d’organisations internationales œuvrant dans le domaines des affaires maritimes et de la protection de l’environnement marin tels que l’Organisation Maritime d'Afrique de l'Ouest et Centrale (OMAOC), de la Convention pour la Coopération dans la Protection, la Gestion et la Mise en valeur de l’environnement marin et côtier de la Côte Atlantique de la région d’Afrique de l’Ouest, du Centre et du Sud (Convention d’Abidjan), de la Commission baleinière internationale (CBI) et du Bureau International du Travail (BIT) notamment pour les questions portant sur la gestion des gens de mer.</w:t>
      </w:r>
    </w:p>
    <w:bookmarkEnd w:id="228"/>
    <w:p w14:paraId="3AB1A7EB" w14:textId="77777777" w:rsidR="00CB712E" w:rsidRPr="000925B3" w:rsidRDefault="00CB712E" w:rsidP="00CB712E">
      <w:pPr>
        <w:jc w:val="both"/>
        <w:rPr>
          <w:rFonts w:cs="Calibri"/>
          <w:b/>
          <w:bCs/>
          <w:color w:val="FF0000"/>
        </w:rPr>
      </w:pPr>
      <w:r w:rsidRPr="000925B3">
        <w:rPr>
          <w:rFonts w:cs="Calibri"/>
          <w:b/>
          <w:bCs/>
          <w:color w:val="FF0000"/>
        </w:rPr>
        <w:t xml:space="preserve">3.2. </w:t>
      </w:r>
      <w:r>
        <w:rPr>
          <w:rFonts w:cs="Calibri"/>
          <w:b/>
          <w:bCs/>
          <w:color w:val="FF0000"/>
        </w:rPr>
        <w:t>Présentation</w:t>
      </w:r>
      <w:r w:rsidRPr="000925B3">
        <w:rPr>
          <w:rFonts w:cs="Calibri"/>
          <w:b/>
          <w:bCs/>
          <w:color w:val="FF0000"/>
        </w:rPr>
        <w:t xml:space="preserve"> de la Lettre de Politique et de Planification (L2P) du secteur des Pêches et de l’Economie Maritime 2022-2024 :</w:t>
      </w:r>
    </w:p>
    <w:p w14:paraId="739EE362" w14:textId="77777777" w:rsidR="00CB712E" w:rsidRPr="000925B3" w:rsidRDefault="00CB712E" w:rsidP="00CB712E">
      <w:pPr>
        <w:jc w:val="both"/>
        <w:rPr>
          <w:rFonts w:cs="Calibri"/>
        </w:rPr>
      </w:pPr>
      <w:r w:rsidRPr="000925B3">
        <w:rPr>
          <w:rFonts w:cs="Calibri"/>
        </w:rPr>
        <w:t>Ce sous-titre est consacré à la présentation de cette L2P qui reste la base fondamentale qui guide -et va guider- jusqu’à nouvel ordre, l’action du Département. Il s’agit d’abord, de rappeler les principaux objectifs de cette L2P, sa structuration et ensuite, de résumer l’état actuel des ressources halieutiques nationales, des indicateurs socioéconomiques montrant l’importance du secteur dans le développement du pays et enfin, de montrer la place qu’occupe le changement climatique dans cette L2P et le plan d’action qui l’accompagne et en fait partie intégrante.</w:t>
      </w:r>
    </w:p>
    <w:p w14:paraId="31861B31" w14:textId="77777777" w:rsidR="00CB712E" w:rsidRPr="0022780D" w:rsidRDefault="00CB712E" w:rsidP="00CB712E">
      <w:pPr>
        <w:jc w:val="both"/>
        <w:rPr>
          <w:rFonts w:cs="Calibri"/>
          <w:color w:val="FF0000"/>
          <w:sz w:val="2"/>
          <w:szCs w:val="2"/>
        </w:rPr>
      </w:pPr>
    </w:p>
    <w:p w14:paraId="00CDF28F" w14:textId="77777777" w:rsidR="00CB712E" w:rsidRPr="000925B3" w:rsidRDefault="00CB712E" w:rsidP="00CB712E">
      <w:pPr>
        <w:jc w:val="both"/>
        <w:rPr>
          <w:rFonts w:cs="Calibri"/>
          <w:b/>
          <w:bCs/>
          <w:i/>
          <w:iCs/>
          <w:color w:val="FF0000"/>
        </w:rPr>
      </w:pPr>
      <w:r w:rsidRPr="000925B3">
        <w:rPr>
          <w:rFonts w:cs="Calibri"/>
          <w:b/>
          <w:bCs/>
          <w:i/>
          <w:iCs/>
          <w:color w:val="FF0000"/>
        </w:rPr>
        <w:t>3.2.1. Objectifs de la L2P :</w:t>
      </w:r>
    </w:p>
    <w:p w14:paraId="40B25E32" w14:textId="77777777" w:rsidR="00CB712E" w:rsidRPr="000925B3" w:rsidRDefault="00CB712E" w:rsidP="00CB712E">
      <w:pPr>
        <w:jc w:val="both"/>
        <w:rPr>
          <w:rFonts w:cs="Calibri"/>
        </w:rPr>
      </w:pPr>
      <w:r w:rsidRPr="000925B3">
        <w:rPr>
          <w:rFonts w:cs="Calibri"/>
        </w:rPr>
        <w:t>La L2P, a pour objectifs généraux (i) la préservation durable du patrimoine halieutique national maritime et continental et des écosystèmes qui supportent les différentes composantes de ce patrimoine, (ii) l’augmentation de la compétitivité des chaines de valeur du secteur, y compris l’industrie aquacole, (iii) le développement des affaires maritimes et des autres sous-secteurs de l’économie maritime et enfin, (iv) la promotion  de la gouvernance à travers l’accroissement des performances surtout des services de l’administration centrale et des établissements sous tutelle.</w:t>
      </w:r>
    </w:p>
    <w:p w14:paraId="14E4332D" w14:textId="77777777" w:rsidR="00CB712E" w:rsidRPr="000925B3" w:rsidRDefault="00CB712E" w:rsidP="00CB712E">
      <w:pPr>
        <w:jc w:val="both"/>
        <w:rPr>
          <w:rFonts w:cs="Calibri"/>
          <w:b/>
          <w:bCs/>
          <w:i/>
          <w:iCs/>
          <w:color w:val="FF0000"/>
        </w:rPr>
      </w:pPr>
      <w:r w:rsidRPr="000925B3">
        <w:rPr>
          <w:rFonts w:cs="Calibri"/>
          <w:b/>
          <w:bCs/>
          <w:i/>
          <w:iCs/>
          <w:color w:val="FF0000"/>
        </w:rPr>
        <w:t>3.2.2. Structuration de la L2P :</w:t>
      </w:r>
    </w:p>
    <w:p w14:paraId="41A1CAA7" w14:textId="77777777" w:rsidR="00CB712E" w:rsidRPr="000925B3" w:rsidRDefault="00CB712E" w:rsidP="00CB712E">
      <w:pPr>
        <w:jc w:val="both"/>
        <w:rPr>
          <w:rFonts w:cs="Calibri"/>
        </w:rPr>
      </w:pPr>
      <w:r w:rsidRPr="000925B3">
        <w:rPr>
          <w:rFonts w:cs="Calibri"/>
        </w:rPr>
        <w:t>La L2P est structurée, conformément à ces objectifs ci-dessus, en cinq (5) axes stratégiques (AS) fédérateurs déclinés en 28 chantiers structurants (CS) au sein desquels on distingue des objectifs intermédiaires ou spécifiques et plusieurs actions et activités, suffisamment détaillés.</w:t>
      </w:r>
    </w:p>
    <w:p w14:paraId="46D94C12" w14:textId="77777777" w:rsidR="00CB712E" w:rsidRPr="000925B3" w:rsidRDefault="00CB712E" w:rsidP="00CB712E">
      <w:pPr>
        <w:jc w:val="both"/>
        <w:rPr>
          <w:rFonts w:cs="Calibri"/>
        </w:rPr>
      </w:pPr>
      <w:r w:rsidRPr="000925B3">
        <w:rPr>
          <w:rFonts w:cs="Calibri"/>
        </w:rPr>
        <w:t>Les axes stratégiques et les chantiers structurants qui les constituent, se présentent comme suit :</w:t>
      </w:r>
    </w:p>
    <w:p w14:paraId="01EB4FC6" w14:textId="77777777" w:rsidR="00CB712E" w:rsidRPr="000925B3" w:rsidRDefault="00CB712E" w:rsidP="00CB712E">
      <w:pPr>
        <w:jc w:val="both"/>
        <w:rPr>
          <w:rFonts w:cs="Calibri"/>
        </w:rPr>
      </w:pPr>
      <w:r w:rsidRPr="000925B3">
        <w:rPr>
          <w:rFonts w:cs="Calibri"/>
          <w:b/>
          <w:bCs/>
          <w:u w:val="single"/>
        </w:rPr>
        <w:t>Axe stratégique 1 (AS 1)</w:t>
      </w:r>
      <w:r w:rsidRPr="000925B3">
        <w:rPr>
          <w:rFonts w:cs="Calibri"/>
        </w:rPr>
        <w:t> :</w:t>
      </w:r>
      <w:r w:rsidRPr="000925B3">
        <w:rPr>
          <w:rFonts w:cs="Calibri"/>
          <w:b/>
          <w:bCs/>
        </w:rPr>
        <w:t xml:space="preserve"> Gestion durable des pêches maritimes et des écosystèmes marins</w:t>
      </w:r>
    </w:p>
    <w:p w14:paraId="70332B81" w14:textId="77777777" w:rsidR="00CB712E" w:rsidRPr="000925B3" w:rsidRDefault="00CB712E" w:rsidP="003D75C2">
      <w:pPr>
        <w:spacing w:after="0"/>
        <w:jc w:val="both"/>
        <w:rPr>
          <w:rFonts w:cs="Calibri"/>
        </w:rPr>
        <w:pPrChange w:id="229" w:author="Fall Oumar" w:date="2025-05-05T22:15:00Z" w16du:dateUtc="2025-05-05T22:15:00Z">
          <w:pPr>
            <w:jc w:val="both"/>
          </w:pPr>
        </w:pPrChange>
      </w:pPr>
      <w:r w:rsidRPr="000925B3">
        <w:rPr>
          <w:rFonts w:cs="Calibri"/>
        </w:rPr>
        <w:t>CS 1.1 : Amélioration du système de gestion basé sur les limites de captures ;</w:t>
      </w:r>
    </w:p>
    <w:p w14:paraId="7618E680" w14:textId="77777777" w:rsidR="00CB712E" w:rsidRPr="000925B3" w:rsidRDefault="00CB712E" w:rsidP="003D75C2">
      <w:pPr>
        <w:spacing w:after="0"/>
        <w:jc w:val="both"/>
        <w:rPr>
          <w:rFonts w:cs="Calibri"/>
        </w:rPr>
        <w:pPrChange w:id="230" w:author="Fall Oumar" w:date="2025-05-05T22:15:00Z" w16du:dateUtc="2025-05-05T22:15:00Z">
          <w:pPr>
            <w:jc w:val="both"/>
          </w:pPr>
        </w:pPrChange>
      </w:pPr>
      <w:r w:rsidRPr="000925B3">
        <w:rPr>
          <w:rFonts w:cs="Calibri"/>
        </w:rPr>
        <w:t>CS 1.2 : Maitrise des capacités de pêche ;</w:t>
      </w:r>
    </w:p>
    <w:p w14:paraId="344FB968" w14:textId="202BB9E1" w:rsidR="00CB712E" w:rsidRPr="000925B3" w:rsidRDefault="00CB712E" w:rsidP="003D75C2">
      <w:pPr>
        <w:spacing w:after="0"/>
        <w:jc w:val="both"/>
        <w:rPr>
          <w:rFonts w:cs="Calibri"/>
        </w:rPr>
        <w:pPrChange w:id="231" w:author="Fall Oumar" w:date="2025-05-05T22:15:00Z" w16du:dateUtc="2025-05-05T22:15:00Z">
          <w:pPr>
            <w:jc w:val="both"/>
          </w:pPr>
        </w:pPrChange>
      </w:pPr>
      <w:r w:rsidRPr="000925B3">
        <w:rPr>
          <w:rFonts w:cs="Calibri"/>
        </w:rPr>
        <w:t xml:space="preserve">CS 1.3 Renforcement des démarches de PAP et ajustement des mesures techniques de l’aménagement </w:t>
      </w:r>
    </w:p>
    <w:p w14:paraId="71889CD3" w14:textId="77777777" w:rsidR="00CB712E" w:rsidRPr="000925B3" w:rsidRDefault="00CB712E" w:rsidP="003D75C2">
      <w:pPr>
        <w:spacing w:after="0"/>
        <w:jc w:val="both"/>
        <w:rPr>
          <w:rFonts w:cs="Calibri"/>
        </w:rPr>
        <w:pPrChange w:id="232" w:author="Fall Oumar" w:date="2025-05-05T22:15:00Z" w16du:dateUtc="2025-05-05T22:15:00Z">
          <w:pPr>
            <w:jc w:val="both"/>
          </w:pPr>
        </w:pPrChange>
      </w:pPr>
      <w:r w:rsidRPr="000925B3">
        <w:rPr>
          <w:rFonts w:cs="Calibri"/>
        </w:rPr>
        <w:t>CS 1.4 : Renforcement de la recherche ;</w:t>
      </w:r>
    </w:p>
    <w:p w14:paraId="20F546E3" w14:textId="77777777" w:rsidR="00CB712E" w:rsidRPr="000925B3" w:rsidRDefault="00CB712E" w:rsidP="003D75C2">
      <w:pPr>
        <w:spacing w:after="0"/>
        <w:jc w:val="both"/>
        <w:rPr>
          <w:rFonts w:cs="Calibri"/>
        </w:rPr>
        <w:pPrChange w:id="233" w:author="Fall Oumar" w:date="2025-05-05T22:15:00Z" w16du:dateUtc="2025-05-05T22:15:00Z">
          <w:pPr>
            <w:jc w:val="both"/>
          </w:pPr>
        </w:pPrChange>
      </w:pPr>
      <w:r w:rsidRPr="000925B3">
        <w:rPr>
          <w:rFonts w:cs="Calibri"/>
        </w:rPr>
        <w:t>CS 1.5 : Renforcement du suivi, contrôle et surveillance des pêches ;</w:t>
      </w:r>
    </w:p>
    <w:p w14:paraId="7CAD2C3B" w14:textId="77777777" w:rsidR="00CB712E" w:rsidRPr="000925B3" w:rsidRDefault="00CB712E" w:rsidP="003D75C2">
      <w:pPr>
        <w:spacing w:after="0"/>
        <w:jc w:val="both"/>
        <w:rPr>
          <w:rFonts w:cs="Calibri"/>
        </w:rPr>
        <w:pPrChange w:id="234" w:author="Fall Oumar" w:date="2025-05-05T22:15:00Z" w16du:dateUtc="2025-05-05T22:15:00Z">
          <w:pPr>
            <w:jc w:val="both"/>
          </w:pPr>
        </w:pPrChange>
      </w:pPr>
      <w:r w:rsidRPr="000925B3">
        <w:rPr>
          <w:rFonts w:cs="Calibri"/>
        </w:rPr>
        <w:t>CS 1.6 : Protection et conservation de l'environnement marin et côtier.</w:t>
      </w:r>
    </w:p>
    <w:p w14:paraId="41B40310" w14:textId="77777777" w:rsidR="00CB712E" w:rsidRPr="000925B3" w:rsidRDefault="00CB712E" w:rsidP="003D75C2">
      <w:pPr>
        <w:spacing w:before="240"/>
        <w:jc w:val="both"/>
        <w:rPr>
          <w:rFonts w:cs="Calibri"/>
        </w:rPr>
        <w:pPrChange w:id="235" w:author="Fall Oumar" w:date="2025-05-05T22:15:00Z" w16du:dateUtc="2025-05-05T22:15:00Z">
          <w:pPr>
            <w:jc w:val="both"/>
          </w:pPr>
        </w:pPrChange>
      </w:pPr>
      <w:r w:rsidRPr="000925B3">
        <w:rPr>
          <w:rFonts w:cs="Calibri"/>
          <w:b/>
          <w:bCs/>
          <w:u w:val="single"/>
        </w:rPr>
        <w:t xml:space="preserve">Axe stratégique 2 (AS 2) : </w:t>
      </w:r>
      <w:r w:rsidRPr="000925B3">
        <w:rPr>
          <w:rFonts w:cs="Calibri"/>
          <w:b/>
          <w:bCs/>
        </w:rPr>
        <w:t xml:space="preserve">Chaines de valeur dans le secteur de la pêche maritime </w:t>
      </w:r>
    </w:p>
    <w:p w14:paraId="6BE7BE3A" w14:textId="77777777" w:rsidR="00CB712E" w:rsidRPr="000925B3" w:rsidRDefault="00CB712E" w:rsidP="003D75C2">
      <w:pPr>
        <w:spacing w:after="0"/>
        <w:jc w:val="both"/>
        <w:rPr>
          <w:rFonts w:cs="Calibri"/>
        </w:rPr>
        <w:pPrChange w:id="236" w:author="Fall Oumar" w:date="2025-05-05T22:16:00Z" w16du:dateUtc="2025-05-05T22:16:00Z">
          <w:pPr>
            <w:jc w:val="both"/>
          </w:pPr>
        </w:pPrChange>
      </w:pPr>
      <w:r w:rsidRPr="000925B3">
        <w:rPr>
          <w:rFonts w:cs="Calibri"/>
        </w:rPr>
        <w:t>CS 2.7 : Développement des infrastructures et des services de base ;</w:t>
      </w:r>
      <w:r w:rsidRPr="000925B3">
        <w:rPr>
          <w:rFonts w:cs="Calibri"/>
        </w:rPr>
        <w:tab/>
      </w:r>
    </w:p>
    <w:p w14:paraId="3479A5AA" w14:textId="77777777" w:rsidR="00CB712E" w:rsidRPr="000925B3" w:rsidRDefault="00CB712E" w:rsidP="003D75C2">
      <w:pPr>
        <w:spacing w:after="0"/>
        <w:jc w:val="both"/>
        <w:rPr>
          <w:rFonts w:cs="Calibri"/>
        </w:rPr>
        <w:pPrChange w:id="237" w:author="Fall Oumar" w:date="2025-05-05T22:16:00Z" w16du:dateUtc="2025-05-05T22:16:00Z">
          <w:pPr>
            <w:jc w:val="both"/>
          </w:pPr>
        </w:pPrChange>
      </w:pPr>
      <w:r w:rsidRPr="000925B3">
        <w:rPr>
          <w:rFonts w:cs="Calibri"/>
        </w:rPr>
        <w:t>CS 2.8 : Promotion d'une flotte de pêche nationale ;</w:t>
      </w:r>
      <w:r w:rsidRPr="000925B3">
        <w:rPr>
          <w:rFonts w:cs="Calibri"/>
        </w:rPr>
        <w:tab/>
      </w:r>
    </w:p>
    <w:p w14:paraId="39D5487E" w14:textId="77777777" w:rsidR="00CB712E" w:rsidRPr="000925B3" w:rsidRDefault="00CB712E" w:rsidP="003D75C2">
      <w:pPr>
        <w:spacing w:after="0"/>
        <w:jc w:val="both"/>
        <w:rPr>
          <w:rFonts w:cs="Calibri"/>
        </w:rPr>
        <w:pPrChange w:id="238" w:author="Fall Oumar" w:date="2025-05-05T22:16:00Z" w16du:dateUtc="2025-05-05T22:16:00Z">
          <w:pPr>
            <w:jc w:val="both"/>
          </w:pPr>
        </w:pPrChange>
      </w:pPr>
      <w:r w:rsidRPr="000925B3">
        <w:rPr>
          <w:rFonts w:cs="Calibri"/>
        </w:rPr>
        <w:t>CS 2.9 : Amélioration des services d’appui au développement des chaines de valeur ;</w:t>
      </w:r>
    </w:p>
    <w:p w14:paraId="464AEC87" w14:textId="77777777" w:rsidR="00CB712E" w:rsidRPr="000925B3" w:rsidRDefault="00CB712E" w:rsidP="003D75C2">
      <w:pPr>
        <w:spacing w:after="0"/>
        <w:jc w:val="both"/>
        <w:rPr>
          <w:rFonts w:cs="Calibri"/>
        </w:rPr>
        <w:pPrChange w:id="239" w:author="Fall Oumar" w:date="2025-05-05T22:16:00Z" w16du:dateUtc="2025-05-05T22:16:00Z">
          <w:pPr>
            <w:jc w:val="both"/>
          </w:pPr>
        </w:pPrChange>
      </w:pPr>
      <w:r w:rsidRPr="000925B3">
        <w:rPr>
          <w:rFonts w:cs="Calibri"/>
        </w:rPr>
        <w:t>CS 2.10 : Amélioration du climat des affaires ;</w:t>
      </w:r>
    </w:p>
    <w:p w14:paraId="4360E051" w14:textId="77777777" w:rsidR="00CB712E" w:rsidRPr="000925B3" w:rsidRDefault="00CB712E" w:rsidP="003D75C2">
      <w:pPr>
        <w:spacing w:after="0"/>
        <w:jc w:val="both"/>
        <w:rPr>
          <w:rFonts w:cs="Calibri"/>
        </w:rPr>
        <w:pPrChange w:id="240" w:author="Fall Oumar" w:date="2025-05-05T22:16:00Z" w16du:dateUtc="2025-05-05T22:16:00Z">
          <w:pPr>
            <w:jc w:val="both"/>
          </w:pPr>
        </w:pPrChange>
      </w:pPr>
      <w:r w:rsidRPr="000925B3">
        <w:rPr>
          <w:rFonts w:cs="Calibri"/>
        </w:rPr>
        <w:t>CS 2.11 : Amélioration de la commercialisation et de la distribution des produits de la pêche.</w:t>
      </w:r>
    </w:p>
    <w:p w14:paraId="36569DCC" w14:textId="77777777" w:rsidR="00CB712E" w:rsidRPr="000925B3" w:rsidRDefault="00CB712E" w:rsidP="00CB712E">
      <w:pPr>
        <w:jc w:val="both"/>
        <w:rPr>
          <w:rFonts w:cs="Calibri"/>
        </w:rPr>
      </w:pPr>
      <w:r w:rsidRPr="000925B3">
        <w:rPr>
          <w:rFonts w:cs="Calibri"/>
          <w:b/>
          <w:bCs/>
          <w:u w:val="single"/>
        </w:rPr>
        <w:t xml:space="preserve">Axe stratégique 3 (AS 3) : </w:t>
      </w:r>
      <w:r w:rsidRPr="000925B3">
        <w:rPr>
          <w:rFonts w:cs="Calibri"/>
          <w:b/>
          <w:bCs/>
        </w:rPr>
        <w:t>Affaires maritimes et autres secteurs de l’économie maritime</w:t>
      </w:r>
    </w:p>
    <w:p w14:paraId="2919F317" w14:textId="77777777" w:rsidR="00CB712E" w:rsidRPr="000925B3" w:rsidRDefault="00CB712E" w:rsidP="003D75C2">
      <w:pPr>
        <w:spacing w:after="0"/>
        <w:jc w:val="both"/>
        <w:rPr>
          <w:rFonts w:cs="Calibri"/>
        </w:rPr>
        <w:pPrChange w:id="241" w:author="Fall Oumar" w:date="2025-05-05T22:17:00Z" w16du:dateUtc="2025-05-05T22:17:00Z">
          <w:pPr>
            <w:jc w:val="both"/>
          </w:pPr>
        </w:pPrChange>
      </w:pPr>
      <w:r w:rsidRPr="000925B3">
        <w:rPr>
          <w:rFonts w:cs="Calibri"/>
        </w:rPr>
        <w:t>CS 3.12 : Restructuration de l’administration maritime ;</w:t>
      </w:r>
    </w:p>
    <w:p w14:paraId="638F8ED9" w14:textId="77777777" w:rsidR="00CB712E" w:rsidRPr="000925B3" w:rsidRDefault="00CB712E" w:rsidP="003D75C2">
      <w:pPr>
        <w:spacing w:after="0"/>
        <w:jc w:val="both"/>
        <w:rPr>
          <w:rFonts w:cs="Calibri"/>
        </w:rPr>
        <w:pPrChange w:id="242" w:author="Fall Oumar" w:date="2025-05-05T22:17:00Z" w16du:dateUtc="2025-05-05T22:17:00Z">
          <w:pPr>
            <w:jc w:val="both"/>
          </w:pPr>
        </w:pPrChange>
      </w:pPr>
      <w:r w:rsidRPr="000925B3">
        <w:rPr>
          <w:rFonts w:cs="Calibri"/>
        </w:rPr>
        <w:t>CS 3.13 : Amélioration de la gestion des navires et des gens de mer ;</w:t>
      </w:r>
    </w:p>
    <w:p w14:paraId="1567FE57" w14:textId="77777777" w:rsidR="00CB712E" w:rsidRPr="000925B3" w:rsidRDefault="00CB712E" w:rsidP="003D75C2">
      <w:pPr>
        <w:spacing w:after="0"/>
        <w:jc w:val="both"/>
        <w:rPr>
          <w:rFonts w:cs="Calibri"/>
        </w:rPr>
        <w:pPrChange w:id="243" w:author="Fall Oumar" w:date="2025-05-05T22:17:00Z" w16du:dateUtc="2025-05-05T22:17:00Z">
          <w:pPr>
            <w:jc w:val="both"/>
          </w:pPr>
        </w:pPrChange>
      </w:pPr>
      <w:r w:rsidRPr="000925B3">
        <w:rPr>
          <w:rFonts w:cs="Calibri"/>
        </w:rPr>
        <w:t>CS 3.14 : Renforcement de la recherche et du sauvetage maritime ;</w:t>
      </w:r>
      <w:r w:rsidRPr="000925B3">
        <w:rPr>
          <w:rFonts w:cs="Calibri"/>
        </w:rPr>
        <w:tab/>
      </w:r>
    </w:p>
    <w:p w14:paraId="51950B79" w14:textId="77777777" w:rsidR="00CB712E" w:rsidRPr="000925B3" w:rsidRDefault="00CB712E" w:rsidP="003D75C2">
      <w:pPr>
        <w:spacing w:after="0"/>
        <w:jc w:val="both"/>
        <w:rPr>
          <w:rFonts w:cs="Calibri"/>
        </w:rPr>
        <w:pPrChange w:id="244" w:author="Fall Oumar" w:date="2025-05-05T22:17:00Z" w16du:dateUtc="2025-05-05T22:17:00Z">
          <w:pPr>
            <w:jc w:val="both"/>
          </w:pPr>
        </w:pPrChange>
      </w:pPr>
      <w:r w:rsidRPr="000925B3">
        <w:rPr>
          <w:rFonts w:cs="Calibri"/>
        </w:rPr>
        <w:t>CS 3.15 : Développement des transports maritimes ;</w:t>
      </w:r>
    </w:p>
    <w:p w14:paraId="5DE5FFD1" w14:textId="77777777" w:rsidR="00CB712E" w:rsidRPr="000925B3" w:rsidRDefault="00CB712E" w:rsidP="003D75C2">
      <w:pPr>
        <w:spacing w:after="0"/>
        <w:jc w:val="both"/>
        <w:rPr>
          <w:rFonts w:cs="Calibri"/>
        </w:rPr>
        <w:pPrChange w:id="245" w:author="Fall Oumar" w:date="2025-05-05T22:17:00Z" w16du:dateUtc="2025-05-05T22:17:00Z">
          <w:pPr>
            <w:jc w:val="both"/>
          </w:pPr>
        </w:pPrChange>
      </w:pPr>
      <w:r w:rsidRPr="000925B3">
        <w:rPr>
          <w:rFonts w:cs="Calibri"/>
        </w:rPr>
        <w:t>CS 3.16 : Développement de l’aquaculture marine ;</w:t>
      </w:r>
      <w:r w:rsidRPr="000925B3">
        <w:rPr>
          <w:rFonts w:cs="Calibri"/>
        </w:rPr>
        <w:tab/>
      </w:r>
    </w:p>
    <w:p w14:paraId="5B93CD1D" w14:textId="77777777" w:rsidR="00CB712E" w:rsidRPr="000925B3" w:rsidRDefault="00CB712E" w:rsidP="003D75C2">
      <w:pPr>
        <w:spacing w:after="0"/>
        <w:jc w:val="both"/>
        <w:rPr>
          <w:rFonts w:cs="Calibri"/>
        </w:rPr>
        <w:pPrChange w:id="246" w:author="Fall Oumar" w:date="2025-05-05T22:17:00Z" w16du:dateUtc="2025-05-05T22:17:00Z">
          <w:pPr>
            <w:jc w:val="both"/>
          </w:pPr>
        </w:pPrChange>
      </w:pPr>
      <w:r w:rsidRPr="000925B3">
        <w:rPr>
          <w:rFonts w:cs="Calibri"/>
        </w:rPr>
        <w:t>CS 3.17 : Gestion intégrée des espaces maritimes, côtiers et littoraux et promotion de la transition vers l’économie bleue.</w:t>
      </w:r>
    </w:p>
    <w:p w14:paraId="7AB77F2B" w14:textId="77777777" w:rsidR="00CB712E" w:rsidRPr="000925B3" w:rsidRDefault="00CB712E" w:rsidP="003D75C2">
      <w:pPr>
        <w:spacing w:before="120" w:after="120"/>
        <w:jc w:val="both"/>
        <w:rPr>
          <w:rFonts w:cs="Calibri"/>
        </w:rPr>
        <w:pPrChange w:id="247" w:author="Fall Oumar" w:date="2025-05-05T22:17:00Z" w16du:dateUtc="2025-05-05T22:17:00Z">
          <w:pPr>
            <w:jc w:val="both"/>
          </w:pPr>
        </w:pPrChange>
      </w:pPr>
      <w:r w:rsidRPr="000925B3">
        <w:rPr>
          <w:rFonts w:cs="Calibri"/>
          <w:b/>
          <w:bCs/>
          <w:u w:val="single"/>
        </w:rPr>
        <w:t>Axe stratégique 4 (AS 4) </w:t>
      </w:r>
      <w:r w:rsidRPr="000925B3">
        <w:rPr>
          <w:rFonts w:cs="Calibri"/>
          <w:b/>
          <w:bCs/>
        </w:rPr>
        <w:t>: Pêche continentale et pisciculture (Pêche et aquaculture continentales)</w:t>
      </w:r>
    </w:p>
    <w:p w14:paraId="64DE76BE" w14:textId="77777777" w:rsidR="00CB712E" w:rsidRPr="000925B3" w:rsidRDefault="00CB712E" w:rsidP="003D75C2">
      <w:pPr>
        <w:spacing w:after="0"/>
        <w:jc w:val="both"/>
        <w:rPr>
          <w:rFonts w:cs="Calibri"/>
        </w:rPr>
        <w:pPrChange w:id="248" w:author="Fall Oumar" w:date="2025-05-05T22:17:00Z" w16du:dateUtc="2025-05-05T22:17:00Z">
          <w:pPr>
            <w:jc w:val="both"/>
          </w:pPr>
        </w:pPrChange>
      </w:pPr>
      <w:r w:rsidRPr="000925B3">
        <w:rPr>
          <w:rFonts w:cs="Calibri"/>
        </w:rPr>
        <w:t>CS 4.18 : Amélioration de la production, développement des infrastructures, valorisation des produits et renforcement des capacités des acteurs ;</w:t>
      </w:r>
    </w:p>
    <w:p w14:paraId="457E5055" w14:textId="77777777" w:rsidR="00CB712E" w:rsidRPr="000925B3" w:rsidRDefault="00CB712E" w:rsidP="003D75C2">
      <w:pPr>
        <w:spacing w:after="0"/>
        <w:jc w:val="both"/>
        <w:rPr>
          <w:rFonts w:cs="Calibri"/>
        </w:rPr>
        <w:pPrChange w:id="249" w:author="Fall Oumar" w:date="2025-05-05T22:17:00Z" w16du:dateUtc="2025-05-05T22:17:00Z">
          <w:pPr>
            <w:jc w:val="both"/>
          </w:pPr>
        </w:pPrChange>
      </w:pPr>
      <w:r w:rsidRPr="000925B3">
        <w:rPr>
          <w:rFonts w:cs="Calibri"/>
        </w:rPr>
        <w:t>CS 4.19 : Renforcement des connaissances scientifiques sur la ressource et le milieu et de l’assistance technique pour une exploitation optimale ;</w:t>
      </w:r>
    </w:p>
    <w:p w14:paraId="19DCA9A5" w14:textId="77777777" w:rsidR="00CB712E" w:rsidRPr="000925B3" w:rsidRDefault="00CB712E" w:rsidP="003D75C2">
      <w:pPr>
        <w:spacing w:after="0"/>
        <w:jc w:val="both"/>
        <w:rPr>
          <w:rFonts w:cs="Calibri"/>
        </w:rPr>
        <w:pPrChange w:id="250" w:author="Fall Oumar" w:date="2025-05-05T22:17:00Z" w16du:dateUtc="2025-05-05T22:17:00Z">
          <w:pPr>
            <w:jc w:val="both"/>
          </w:pPr>
        </w:pPrChange>
      </w:pPr>
      <w:r w:rsidRPr="000925B3">
        <w:rPr>
          <w:rFonts w:cs="Calibri"/>
        </w:rPr>
        <w:t>CS 4.20 : Renforcement du cadre juridique, institutionnel et associatif du sous-secteur de la pêche continentale et de la pisciculture.</w:t>
      </w:r>
    </w:p>
    <w:p w14:paraId="532B6D14" w14:textId="77777777" w:rsidR="00CB712E" w:rsidRPr="000925B3" w:rsidRDefault="00CB712E" w:rsidP="003D75C2">
      <w:pPr>
        <w:spacing w:before="120" w:after="120"/>
        <w:jc w:val="both"/>
        <w:rPr>
          <w:rFonts w:cs="Calibri"/>
        </w:rPr>
        <w:pPrChange w:id="251" w:author="Fall Oumar" w:date="2025-05-05T22:17:00Z" w16du:dateUtc="2025-05-05T22:17:00Z">
          <w:pPr>
            <w:jc w:val="both"/>
          </w:pPr>
        </w:pPrChange>
      </w:pPr>
      <w:r w:rsidRPr="000925B3">
        <w:rPr>
          <w:rFonts w:cs="Calibri"/>
          <w:b/>
          <w:bCs/>
          <w:u w:val="single"/>
        </w:rPr>
        <w:t>Axe stratégique 5 (AS 5)</w:t>
      </w:r>
      <w:r w:rsidRPr="000925B3">
        <w:rPr>
          <w:rFonts w:cs="Calibri"/>
          <w:b/>
          <w:bCs/>
        </w:rPr>
        <w:t> : Gouvernance du secteur des pêches et de l’économie maritime</w:t>
      </w:r>
    </w:p>
    <w:p w14:paraId="7A0D424E" w14:textId="77777777" w:rsidR="00CB712E" w:rsidRPr="000925B3" w:rsidRDefault="00CB712E" w:rsidP="003D75C2">
      <w:pPr>
        <w:spacing w:after="0"/>
        <w:jc w:val="both"/>
        <w:rPr>
          <w:rFonts w:cs="Calibri"/>
        </w:rPr>
        <w:pPrChange w:id="252" w:author="Fall Oumar" w:date="2025-05-05T22:17:00Z" w16du:dateUtc="2025-05-05T22:17:00Z">
          <w:pPr>
            <w:jc w:val="both"/>
          </w:pPr>
        </w:pPrChange>
      </w:pPr>
      <w:r w:rsidRPr="000925B3">
        <w:rPr>
          <w:rFonts w:cs="Calibri"/>
        </w:rPr>
        <w:t>CS 5.21 : Renforcement du cadre juridique et institutionnel ;</w:t>
      </w:r>
      <w:r w:rsidRPr="000925B3">
        <w:rPr>
          <w:rFonts w:cs="Calibri"/>
        </w:rPr>
        <w:tab/>
      </w:r>
    </w:p>
    <w:p w14:paraId="69B59EB3" w14:textId="77777777" w:rsidR="00CB712E" w:rsidRPr="000925B3" w:rsidRDefault="00CB712E" w:rsidP="003D75C2">
      <w:pPr>
        <w:spacing w:after="0"/>
        <w:jc w:val="both"/>
        <w:rPr>
          <w:rFonts w:cs="Calibri"/>
        </w:rPr>
        <w:pPrChange w:id="253" w:author="Fall Oumar" w:date="2025-05-05T22:17:00Z" w16du:dateUtc="2025-05-05T22:17:00Z">
          <w:pPr>
            <w:jc w:val="both"/>
          </w:pPr>
        </w:pPrChange>
      </w:pPr>
      <w:r w:rsidRPr="000925B3">
        <w:rPr>
          <w:rFonts w:cs="Calibri"/>
        </w:rPr>
        <w:t>CS 5.22 : Développement de la coopération internationale ;</w:t>
      </w:r>
    </w:p>
    <w:p w14:paraId="7796164F" w14:textId="77777777" w:rsidR="00CB712E" w:rsidRPr="000925B3" w:rsidRDefault="00CB712E" w:rsidP="003D75C2">
      <w:pPr>
        <w:spacing w:after="0"/>
        <w:jc w:val="both"/>
        <w:rPr>
          <w:rFonts w:cs="Calibri"/>
        </w:rPr>
        <w:pPrChange w:id="254" w:author="Fall Oumar" w:date="2025-05-05T22:17:00Z" w16du:dateUtc="2025-05-05T22:17:00Z">
          <w:pPr>
            <w:jc w:val="both"/>
          </w:pPr>
        </w:pPrChange>
      </w:pPr>
      <w:r w:rsidRPr="000925B3">
        <w:rPr>
          <w:rFonts w:cs="Calibri"/>
        </w:rPr>
        <w:t>CS 5.23 : Prise en compte des changements climatiques ;</w:t>
      </w:r>
    </w:p>
    <w:p w14:paraId="53E2DA5F" w14:textId="77777777" w:rsidR="00CB712E" w:rsidRPr="000925B3" w:rsidRDefault="00CB712E" w:rsidP="003D75C2">
      <w:pPr>
        <w:spacing w:after="0"/>
        <w:jc w:val="both"/>
        <w:rPr>
          <w:rFonts w:cs="Calibri"/>
        </w:rPr>
        <w:pPrChange w:id="255" w:author="Fall Oumar" w:date="2025-05-05T22:17:00Z" w16du:dateUtc="2025-05-05T22:17:00Z">
          <w:pPr>
            <w:jc w:val="both"/>
          </w:pPr>
        </w:pPrChange>
      </w:pPr>
      <w:r w:rsidRPr="000925B3">
        <w:rPr>
          <w:rFonts w:cs="Calibri"/>
        </w:rPr>
        <w:t>CS 5.24 : Amélioration du dispositif de formation, professionnalisation et insertion ;</w:t>
      </w:r>
    </w:p>
    <w:p w14:paraId="40E04A26" w14:textId="77777777" w:rsidR="00CB712E" w:rsidRPr="000925B3" w:rsidRDefault="00CB712E" w:rsidP="003D75C2">
      <w:pPr>
        <w:spacing w:after="0"/>
        <w:jc w:val="both"/>
        <w:rPr>
          <w:rFonts w:cs="Calibri"/>
        </w:rPr>
        <w:pPrChange w:id="256" w:author="Fall Oumar" w:date="2025-05-05T22:17:00Z" w16du:dateUtc="2025-05-05T22:17:00Z">
          <w:pPr>
            <w:jc w:val="both"/>
          </w:pPr>
        </w:pPrChange>
      </w:pPr>
      <w:r w:rsidRPr="000925B3">
        <w:rPr>
          <w:rFonts w:cs="Calibri"/>
        </w:rPr>
        <w:t>CS 5.25 : Amélioration de la santé et de la sécurité au travail ;</w:t>
      </w:r>
    </w:p>
    <w:p w14:paraId="77897343" w14:textId="77777777" w:rsidR="00CB712E" w:rsidRPr="000925B3" w:rsidRDefault="00CB712E" w:rsidP="003D75C2">
      <w:pPr>
        <w:spacing w:after="0"/>
        <w:jc w:val="both"/>
        <w:rPr>
          <w:rFonts w:cs="Calibri"/>
        </w:rPr>
        <w:pPrChange w:id="257" w:author="Fall Oumar" w:date="2025-05-05T22:17:00Z" w16du:dateUtc="2025-05-05T22:17:00Z">
          <w:pPr>
            <w:jc w:val="both"/>
          </w:pPr>
        </w:pPrChange>
      </w:pPr>
      <w:r w:rsidRPr="000925B3">
        <w:rPr>
          <w:rFonts w:cs="Calibri"/>
        </w:rPr>
        <w:t>CS 5.26 : Amélioration de la transparence ;</w:t>
      </w:r>
    </w:p>
    <w:p w14:paraId="6F17BAE9" w14:textId="77777777" w:rsidR="00CB712E" w:rsidRPr="000925B3" w:rsidRDefault="00CB712E" w:rsidP="003D75C2">
      <w:pPr>
        <w:spacing w:after="0"/>
        <w:jc w:val="both"/>
        <w:rPr>
          <w:rFonts w:cs="Calibri"/>
        </w:rPr>
        <w:pPrChange w:id="258" w:author="Fall Oumar" w:date="2025-05-05T22:17:00Z" w16du:dateUtc="2025-05-05T22:17:00Z">
          <w:pPr>
            <w:jc w:val="both"/>
          </w:pPr>
        </w:pPrChange>
      </w:pPr>
      <w:r w:rsidRPr="000925B3">
        <w:rPr>
          <w:rFonts w:cs="Calibri"/>
        </w:rPr>
        <w:t>CS 5.27 : Renforcement de la collaboration, de la concertation et du dialogue social ;</w:t>
      </w:r>
    </w:p>
    <w:p w14:paraId="7C6A7A4C" w14:textId="77777777" w:rsidR="00CB712E" w:rsidRPr="000925B3" w:rsidRDefault="00CB712E" w:rsidP="003D75C2">
      <w:pPr>
        <w:spacing w:after="0"/>
        <w:jc w:val="both"/>
        <w:rPr>
          <w:rFonts w:cs="Calibri"/>
        </w:rPr>
        <w:pPrChange w:id="259" w:author="Fall Oumar" w:date="2025-05-05T22:17:00Z" w16du:dateUtc="2025-05-05T22:17:00Z">
          <w:pPr>
            <w:jc w:val="both"/>
          </w:pPr>
        </w:pPrChange>
      </w:pPr>
      <w:r w:rsidRPr="000925B3">
        <w:rPr>
          <w:rFonts w:cs="Calibri"/>
        </w:rPr>
        <w:t>CS 5.28 : Mise en œuvre et pilotage stratégique de la L2P.</w:t>
      </w:r>
    </w:p>
    <w:p w14:paraId="612C97EA" w14:textId="77777777" w:rsidR="00CB712E" w:rsidRPr="000925B3" w:rsidRDefault="00CB712E" w:rsidP="003D75C2">
      <w:pPr>
        <w:spacing w:after="0"/>
        <w:jc w:val="both"/>
        <w:rPr>
          <w:rFonts w:cs="Calibri"/>
        </w:rPr>
        <w:pPrChange w:id="260" w:author="Fall Oumar" w:date="2025-05-05T22:17:00Z" w16du:dateUtc="2025-05-05T22:17:00Z">
          <w:pPr>
            <w:jc w:val="both"/>
          </w:pPr>
        </w:pPrChange>
      </w:pPr>
      <w:r w:rsidRPr="000925B3">
        <w:rPr>
          <w:rFonts w:cs="Calibri"/>
        </w:rPr>
        <w:t>Pour ce qui des objectifs intermédiaires et spécifiques, et les nombreuses actions et activités programmés, ils constituent, ensemble avec les AS et les CS qui les logent, le plan d’action associé à la L2P et qui en fait partie intégrante.</w:t>
      </w:r>
    </w:p>
    <w:p w14:paraId="00CFF6CA" w14:textId="77777777" w:rsidR="00153C41" w:rsidRPr="0022780D" w:rsidRDefault="00153C41" w:rsidP="00CB712E">
      <w:pPr>
        <w:jc w:val="both"/>
        <w:rPr>
          <w:rFonts w:cs="Calibri"/>
          <w:i/>
          <w:iCs/>
          <w:sz w:val="18"/>
          <w:szCs w:val="18"/>
        </w:rPr>
      </w:pPr>
    </w:p>
    <w:p w14:paraId="7B55AA67" w14:textId="77777777" w:rsidR="00CB712E" w:rsidRPr="000925B3" w:rsidRDefault="00CB712E" w:rsidP="00CB712E">
      <w:pPr>
        <w:jc w:val="both"/>
        <w:rPr>
          <w:rFonts w:cs="Calibri"/>
          <w:b/>
          <w:bCs/>
          <w:color w:val="FF0000"/>
        </w:rPr>
      </w:pPr>
      <w:r w:rsidRPr="000925B3">
        <w:rPr>
          <w:rFonts w:cs="Calibri"/>
          <w:b/>
          <w:bCs/>
          <w:color w:val="FF0000"/>
        </w:rPr>
        <w:t>3.2.3. Etat des ressources halieutiques :</w:t>
      </w:r>
    </w:p>
    <w:p w14:paraId="641F2D9F" w14:textId="4886A250" w:rsidR="00CB712E" w:rsidRPr="00B35B59" w:rsidRDefault="00CB712E" w:rsidP="00153C41">
      <w:pPr>
        <w:pStyle w:val="NumberedParas"/>
        <w:numPr>
          <w:ilvl w:val="0"/>
          <w:numId w:val="0"/>
        </w:numPr>
        <w:rPr>
          <w:lang w:val="fr-FR"/>
        </w:rPr>
      </w:pPr>
      <w:r w:rsidRPr="000925B3">
        <w:rPr>
          <w:rFonts w:ascii="Calibri" w:hAnsi="Calibri" w:cs="Calibri"/>
          <w:lang w:val="fr-FR"/>
        </w:rPr>
        <w:t>Selon les statistiques de l’IMROP (GT 2019), la Mauritanie dispose d’un potentiel de captures annuel de 1.800.000 tonnes toutes espèces confondues dont 1.400.000 tonnes de pélagiques </w:t>
      </w:r>
      <w:r w:rsidRPr="000925B3">
        <w:rPr>
          <w:rFonts w:ascii="Calibri" w:hAnsi="Calibri" w:cs="Calibri"/>
          <w:color w:val="FF0000"/>
          <w:lang w:val="fr-FR"/>
        </w:rPr>
        <w:t xml:space="preserve">??? </w:t>
      </w:r>
      <w:r w:rsidRPr="000925B3">
        <w:rPr>
          <w:rFonts w:ascii="Calibri" w:hAnsi="Calibri" w:cs="Calibri"/>
          <w:lang w:val="fr-FR"/>
        </w:rPr>
        <w:t xml:space="preserve">et 400.000 tonnes de fond  </w:t>
      </w:r>
      <w:r w:rsidRPr="000925B3">
        <w:rPr>
          <w:rFonts w:ascii="Calibri" w:hAnsi="Calibri" w:cs="Calibri"/>
          <w:color w:val="FF0000"/>
          <w:lang w:val="fr-FR"/>
        </w:rPr>
        <w:t>???</w:t>
      </w:r>
      <w:r w:rsidRPr="000925B3">
        <w:rPr>
          <w:rFonts w:ascii="Calibri" w:hAnsi="Calibri" w:cs="Calibri"/>
          <w:lang w:val="fr-FR"/>
        </w:rPr>
        <w:t>. Ce potentiel est composé d’environ 600 espèces pélagiques et démersales répertoriées parmi lesquelles 200 sont déjà commercialisables plus d’autres espèces qui semblent le devenir progressivement.</w:t>
      </w:r>
    </w:p>
    <w:p w14:paraId="1B261CA2" w14:textId="77777777" w:rsidR="00CB712E" w:rsidRPr="000925B3" w:rsidRDefault="00CB712E" w:rsidP="00CB712E">
      <w:pPr>
        <w:jc w:val="both"/>
        <w:rPr>
          <w:rFonts w:cs="Calibri"/>
        </w:rPr>
      </w:pPr>
      <w:r w:rsidRPr="00265F31">
        <w:rPr>
          <w:rFonts w:cs="Calibri"/>
        </w:rPr>
        <w:t xml:space="preserve">Le tableau 1, ci-dessous, récapitule </w:t>
      </w:r>
      <w:r w:rsidRPr="000925B3">
        <w:rPr>
          <w:rFonts w:cs="Calibri"/>
        </w:rPr>
        <w:t>les informations concernant la composition spécifique et l’aire de répartition des stocks, le potentiel exploitable moyen dans les eaux mauritaniennes et le niveau d’exploitation par grands groupes d’espèces selon les évaluations les plus récentes de l’IMROP (GT de février 2019).</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0"/>
        <w:gridCol w:w="3372"/>
        <w:gridCol w:w="1307"/>
        <w:gridCol w:w="2533"/>
      </w:tblGrid>
      <w:tr w:rsidR="00CB712E" w:rsidRPr="000925B3" w14:paraId="37BD7AB2" w14:textId="77777777" w:rsidTr="002D1362">
        <w:tc>
          <w:tcPr>
            <w:tcW w:w="1562" w:type="dxa"/>
            <w:shd w:val="clear" w:color="auto" w:fill="4472C4" w:themeFill="accent1"/>
          </w:tcPr>
          <w:p w14:paraId="4D5309A4" w14:textId="77777777" w:rsidR="00CB712E" w:rsidRPr="000925B3" w:rsidRDefault="00CB712E" w:rsidP="002D1362">
            <w:pPr>
              <w:jc w:val="both"/>
              <w:rPr>
                <w:rFonts w:cs="Calibri"/>
                <w:b/>
                <w:bCs/>
                <w:color w:val="FFFFFF" w:themeColor="background1"/>
              </w:rPr>
            </w:pPr>
          </w:p>
        </w:tc>
        <w:tc>
          <w:tcPr>
            <w:tcW w:w="3555" w:type="dxa"/>
            <w:shd w:val="clear" w:color="auto" w:fill="4472C4" w:themeFill="accent1"/>
          </w:tcPr>
          <w:p w14:paraId="05A5C83A" w14:textId="77777777" w:rsidR="00CB712E" w:rsidRPr="000925B3" w:rsidRDefault="00CB712E" w:rsidP="002D1362">
            <w:pPr>
              <w:jc w:val="both"/>
              <w:rPr>
                <w:rFonts w:cs="Calibri"/>
                <w:b/>
                <w:bCs/>
                <w:color w:val="FFFFFF" w:themeColor="background1"/>
              </w:rPr>
            </w:pPr>
            <w:r w:rsidRPr="000925B3">
              <w:rPr>
                <w:rFonts w:cs="Calibri"/>
                <w:b/>
                <w:bCs/>
                <w:color w:val="FFFFFF" w:themeColor="background1"/>
              </w:rPr>
              <w:t>Principales espèces et aire de répartition</w:t>
            </w:r>
          </w:p>
        </w:tc>
        <w:tc>
          <w:tcPr>
            <w:tcW w:w="1314" w:type="dxa"/>
            <w:shd w:val="clear" w:color="auto" w:fill="4472C4" w:themeFill="accent1"/>
          </w:tcPr>
          <w:p w14:paraId="43FEFEE9" w14:textId="77777777" w:rsidR="00CB712E" w:rsidRPr="000925B3" w:rsidRDefault="00CB712E" w:rsidP="002D1362">
            <w:pPr>
              <w:jc w:val="both"/>
              <w:rPr>
                <w:rFonts w:cs="Calibri"/>
                <w:b/>
                <w:bCs/>
                <w:color w:val="FFFFFF" w:themeColor="background1"/>
              </w:rPr>
            </w:pPr>
            <w:r w:rsidRPr="000925B3">
              <w:rPr>
                <w:rFonts w:cs="Calibri"/>
                <w:b/>
                <w:bCs/>
                <w:color w:val="FFFFFF" w:themeColor="background1"/>
              </w:rPr>
              <w:t>Potentiel exploitable</w:t>
            </w:r>
          </w:p>
        </w:tc>
        <w:tc>
          <w:tcPr>
            <w:tcW w:w="2641" w:type="dxa"/>
            <w:shd w:val="clear" w:color="auto" w:fill="4472C4" w:themeFill="accent1"/>
          </w:tcPr>
          <w:p w14:paraId="28860012" w14:textId="77777777" w:rsidR="00CB712E" w:rsidRPr="000925B3" w:rsidRDefault="00CB712E" w:rsidP="002D1362">
            <w:pPr>
              <w:jc w:val="both"/>
              <w:rPr>
                <w:rFonts w:cs="Calibri"/>
                <w:b/>
                <w:bCs/>
                <w:color w:val="FFFFFF" w:themeColor="background1"/>
              </w:rPr>
            </w:pPr>
            <w:r w:rsidRPr="000925B3">
              <w:rPr>
                <w:rFonts w:cs="Calibri"/>
                <w:b/>
                <w:bCs/>
                <w:color w:val="FFFFFF" w:themeColor="background1"/>
              </w:rPr>
              <w:t>Niveau d’exploitation</w:t>
            </w:r>
          </w:p>
        </w:tc>
      </w:tr>
      <w:tr w:rsidR="00CB712E" w:rsidRPr="000925B3" w14:paraId="696731C4" w14:textId="77777777" w:rsidTr="002D1362">
        <w:tc>
          <w:tcPr>
            <w:tcW w:w="1562" w:type="dxa"/>
          </w:tcPr>
          <w:p w14:paraId="7B18D56E" w14:textId="77777777" w:rsidR="00CB712E" w:rsidRPr="000925B3" w:rsidRDefault="00CB712E" w:rsidP="002D1362">
            <w:pPr>
              <w:rPr>
                <w:rFonts w:cs="Calibri"/>
                <w:b/>
                <w:bCs/>
              </w:rPr>
            </w:pPr>
            <w:r w:rsidRPr="000925B3">
              <w:rPr>
                <w:rFonts w:cs="Calibri"/>
                <w:b/>
                <w:bCs/>
              </w:rPr>
              <w:t>Petits pélagiques</w:t>
            </w:r>
          </w:p>
        </w:tc>
        <w:tc>
          <w:tcPr>
            <w:tcW w:w="3555" w:type="dxa"/>
          </w:tcPr>
          <w:p w14:paraId="02C0C3D7" w14:textId="77777777" w:rsidR="00CB712E" w:rsidRPr="000925B3" w:rsidRDefault="00CB712E" w:rsidP="002D1362">
            <w:pPr>
              <w:rPr>
                <w:rFonts w:cs="Calibri"/>
              </w:rPr>
            </w:pPr>
            <w:r w:rsidRPr="000925B3">
              <w:rPr>
                <w:rFonts w:cs="Calibri"/>
              </w:rPr>
              <w:t>Chinchard, sardinelle ronde, sardinelle plate, sardine, maquereau, ethmalose, anchois, sabre</w:t>
            </w:r>
          </w:p>
          <w:p w14:paraId="3825D1B8" w14:textId="77777777" w:rsidR="00CB712E" w:rsidRPr="000925B3" w:rsidRDefault="00CB712E" w:rsidP="002D1362">
            <w:pPr>
              <w:rPr>
                <w:rFonts w:cs="Calibri"/>
              </w:rPr>
            </w:pPr>
            <w:r w:rsidRPr="000925B3">
              <w:rPr>
                <w:rFonts w:cs="Calibri"/>
              </w:rPr>
              <w:t>Aire de répartition : transnationale (ressources partagées ou chevauchantes)</w:t>
            </w:r>
          </w:p>
        </w:tc>
        <w:tc>
          <w:tcPr>
            <w:tcW w:w="1314" w:type="dxa"/>
          </w:tcPr>
          <w:p w14:paraId="1DEB45AF" w14:textId="77777777" w:rsidR="00CB712E" w:rsidRPr="000925B3" w:rsidRDefault="00CB712E" w:rsidP="002D1362">
            <w:pPr>
              <w:jc w:val="center"/>
              <w:rPr>
                <w:rFonts w:cs="Calibri"/>
              </w:rPr>
            </w:pPr>
            <w:r w:rsidRPr="000925B3">
              <w:rPr>
                <w:rFonts w:cs="Calibri"/>
              </w:rPr>
              <w:t>1 350 000 t/an</w:t>
            </w:r>
          </w:p>
        </w:tc>
        <w:tc>
          <w:tcPr>
            <w:tcW w:w="2641" w:type="dxa"/>
          </w:tcPr>
          <w:p w14:paraId="65DCF9C7" w14:textId="77777777" w:rsidR="00CB712E" w:rsidRPr="000925B3" w:rsidRDefault="00CB712E" w:rsidP="002D1362">
            <w:pPr>
              <w:rPr>
                <w:rFonts w:cs="Calibri"/>
              </w:rPr>
            </w:pPr>
            <w:r w:rsidRPr="000925B3">
              <w:rPr>
                <w:rFonts w:cs="Calibri"/>
              </w:rPr>
              <w:t>Espèces modérément à pleinement exploitées, sauf sardinelle ronde et chinchard (surexploités)</w:t>
            </w:r>
          </w:p>
        </w:tc>
      </w:tr>
      <w:tr w:rsidR="00CB712E" w:rsidRPr="000925B3" w14:paraId="4C7986DB" w14:textId="77777777" w:rsidTr="002D1362">
        <w:tc>
          <w:tcPr>
            <w:tcW w:w="1562" w:type="dxa"/>
            <w:shd w:val="clear" w:color="auto" w:fill="D9E2F3" w:themeFill="accent1" w:themeFillTint="33"/>
          </w:tcPr>
          <w:p w14:paraId="36ED0A50" w14:textId="77777777" w:rsidR="00CB712E" w:rsidRPr="000925B3" w:rsidRDefault="00CB712E" w:rsidP="002D1362">
            <w:pPr>
              <w:rPr>
                <w:rFonts w:cs="Calibri"/>
                <w:b/>
                <w:bCs/>
              </w:rPr>
            </w:pPr>
            <w:r w:rsidRPr="000925B3">
              <w:rPr>
                <w:rFonts w:cs="Calibri"/>
                <w:b/>
                <w:bCs/>
              </w:rPr>
              <w:t>Céphalopodes</w:t>
            </w:r>
          </w:p>
        </w:tc>
        <w:tc>
          <w:tcPr>
            <w:tcW w:w="3555" w:type="dxa"/>
            <w:shd w:val="clear" w:color="auto" w:fill="D9E2F3" w:themeFill="accent1" w:themeFillTint="33"/>
          </w:tcPr>
          <w:p w14:paraId="3EB17E4C" w14:textId="77777777" w:rsidR="00CB712E" w:rsidRPr="000925B3" w:rsidRDefault="00CB712E" w:rsidP="002D1362">
            <w:pPr>
              <w:rPr>
                <w:rFonts w:cs="Calibri"/>
              </w:rPr>
            </w:pPr>
            <w:r w:rsidRPr="000925B3">
              <w:rPr>
                <w:rFonts w:cs="Calibri"/>
              </w:rPr>
              <w:t>Poulpe, calamar, seiche</w:t>
            </w:r>
          </w:p>
          <w:p w14:paraId="3A46FE47" w14:textId="77777777" w:rsidR="00CB712E" w:rsidRPr="000925B3" w:rsidRDefault="00CB712E" w:rsidP="002D1362">
            <w:pPr>
              <w:rPr>
                <w:rFonts w:cs="Calibri"/>
              </w:rPr>
            </w:pPr>
            <w:r w:rsidRPr="000925B3">
              <w:rPr>
                <w:rFonts w:cs="Calibri"/>
              </w:rPr>
              <w:t>Aire de répartition : nationale</w:t>
            </w:r>
          </w:p>
        </w:tc>
        <w:tc>
          <w:tcPr>
            <w:tcW w:w="1314" w:type="dxa"/>
            <w:shd w:val="clear" w:color="auto" w:fill="D9E2F3" w:themeFill="accent1" w:themeFillTint="33"/>
          </w:tcPr>
          <w:p w14:paraId="5095CD5F" w14:textId="77777777" w:rsidR="00CB712E" w:rsidRPr="000925B3" w:rsidRDefault="00CB712E" w:rsidP="002D1362">
            <w:pPr>
              <w:jc w:val="center"/>
              <w:rPr>
                <w:rFonts w:cs="Calibri"/>
              </w:rPr>
            </w:pPr>
            <w:r w:rsidRPr="000925B3">
              <w:rPr>
                <w:rFonts w:cs="Calibri"/>
              </w:rPr>
              <w:t>42 000 t/an</w:t>
            </w:r>
          </w:p>
        </w:tc>
        <w:tc>
          <w:tcPr>
            <w:tcW w:w="2641" w:type="dxa"/>
            <w:shd w:val="clear" w:color="auto" w:fill="D9E2F3" w:themeFill="accent1" w:themeFillTint="33"/>
          </w:tcPr>
          <w:p w14:paraId="1DF49EB7" w14:textId="77777777" w:rsidR="00CB712E" w:rsidRPr="000925B3" w:rsidRDefault="00CB712E" w:rsidP="002D1362">
            <w:pPr>
              <w:rPr>
                <w:rFonts w:cs="Calibri"/>
              </w:rPr>
            </w:pPr>
            <w:r w:rsidRPr="000925B3">
              <w:rPr>
                <w:rFonts w:cs="Calibri"/>
              </w:rPr>
              <w:t xml:space="preserve">Poulpes pleinement </w:t>
            </w:r>
            <w:proofErr w:type="gramStart"/>
            <w:r w:rsidRPr="000925B3">
              <w:rPr>
                <w:rFonts w:cs="Calibri"/>
              </w:rPr>
              <w:t>à</w:t>
            </w:r>
            <w:proofErr w:type="gramEnd"/>
            <w:r w:rsidRPr="000925B3">
              <w:rPr>
                <w:rFonts w:cs="Calibri"/>
              </w:rPr>
              <w:t xml:space="preserve"> surexploités, autres espèces modérément à pleinement exploitées</w:t>
            </w:r>
          </w:p>
        </w:tc>
      </w:tr>
      <w:tr w:rsidR="00CB712E" w:rsidRPr="000925B3" w14:paraId="6B5CE91E" w14:textId="77777777" w:rsidTr="002D1362">
        <w:tc>
          <w:tcPr>
            <w:tcW w:w="1562" w:type="dxa"/>
          </w:tcPr>
          <w:p w14:paraId="6D37581F" w14:textId="77777777" w:rsidR="00CB712E" w:rsidRPr="000925B3" w:rsidRDefault="00CB712E" w:rsidP="002D1362">
            <w:pPr>
              <w:rPr>
                <w:rFonts w:cs="Calibri"/>
                <w:b/>
                <w:bCs/>
              </w:rPr>
            </w:pPr>
            <w:r w:rsidRPr="000925B3">
              <w:rPr>
                <w:rFonts w:cs="Calibri"/>
                <w:b/>
                <w:bCs/>
              </w:rPr>
              <w:t>Poissons démersaux (autre que merlus)</w:t>
            </w:r>
          </w:p>
        </w:tc>
        <w:tc>
          <w:tcPr>
            <w:tcW w:w="3555" w:type="dxa"/>
          </w:tcPr>
          <w:p w14:paraId="7F3C91EC" w14:textId="77777777" w:rsidR="00CB712E" w:rsidRPr="000925B3" w:rsidRDefault="00CB712E" w:rsidP="002D1362">
            <w:pPr>
              <w:rPr>
                <w:rFonts w:cs="Calibri"/>
              </w:rPr>
            </w:pPr>
            <w:r w:rsidRPr="000925B3">
              <w:rPr>
                <w:rFonts w:cs="Calibri"/>
              </w:rPr>
              <w:t>Dorade, mérou, ombrine, sole, pagre, sélaciens etc.</w:t>
            </w:r>
          </w:p>
          <w:p w14:paraId="51B703E5" w14:textId="77777777" w:rsidR="00CB712E" w:rsidRPr="000925B3" w:rsidRDefault="00CB712E" w:rsidP="002D1362">
            <w:pPr>
              <w:rPr>
                <w:rFonts w:cs="Calibri"/>
              </w:rPr>
            </w:pPr>
            <w:r w:rsidRPr="000925B3">
              <w:rPr>
                <w:rFonts w:cs="Calibri"/>
              </w:rPr>
              <w:t>Aire de répartition : principalement nationale</w:t>
            </w:r>
          </w:p>
        </w:tc>
        <w:tc>
          <w:tcPr>
            <w:tcW w:w="1314" w:type="dxa"/>
          </w:tcPr>
          <w:p w14:paraId="751D3717" w14:textId="77777777" w:rsidR="00CB712E" w:rsidRPr="000925B3" w:rsidRDefault="00CB712E" w:rsidP="002D1362">
            <w:pPr>
              <w:jc w:val="center"/>
              <w:rPr>
                <w:rFonts w:cs="Calibri"/>
              </w:rPr>
            </w:pPr>
            <w:r w:rsidRPr="000925B3">
              <w:rPr>
                <w:rFonts w:cs="Calibri"/>
              </w:rPr>
              <w:t>87 000 t/an</w:t>
            </w:r>
          </w:p>
        </w:tc>
        <w:tc>
          <w:tcPr>
            <w:tcW w:w="2641" w:type="dxa"/>
          </w:tcPr>
          <w:p w14:paraId="7CD75175" w14:textId="77777777" w:rsidR="00CB712E" w:rsidRPr="000925B3" w:rsidRDefault="00CB712E" w:rsidP="002D1362">
            <w:pPr>
              <w:rPr>
                <w:rFonts w:cs="Calibri"/>
              </w:rPr>
            </w:pPr>
            <w:r w:rsidRPr="000925B3">
              <w:rPr>
                <w:rFonts w:cs="Calibri"/>
              </w:rPr>
              <w:t xml:space="preserve">Espèces pleinement </w:t>
            </w:r>
            <w:proofErr w:type="gramStart"/>
            <w:r w:rsidRPr="000925B3">
              <w:rPr>
                <w:rFonts w:cs="Calibri"/>
              </w:rPr>
              <w:t>à</w:t>
            </w:r>
            <w:proofErr w:type="gramEnd"/>
            <w:r w:rsidRPr="000925B3">
              <w:rPr>
                <w:rFonts w:cs="Calibri"/>
              </w:rPr>
              <w:t xml:space="preserve"> surexploitées</w:t>
            </w:r>
          </w:p>
        </w:tc>
      </w:tr>
      <w:tr w:rsidR="00CB712E" w:rsidRPr="000925B3" w14:paraId="03B398DD" w14:textId="77777777" w:rsidTr="002D1362">
        <w:tc>
          <w:tcPr>
            <w:tcW w:w="1562" w:type="dxa"/>
            <w:shd w:val="clear" w:color="auto" w:fill="D9E2F3" w:themeFill="accent1" w:themeFillTint="33"/>
          </w:tcPr>
          <w:p w14:paraId="6668083A" w14:textId="77777777" w:rsidR="00CB712E" w:rsidRPr="000925B3" w:rsidRDefault="00CB712E" w:rsidP="002D1362">
            <w:pPr>
              <w:rPr>
                <w:rFonts w:cs="Calibri"/>
                <w:b/>
                <w:bCs/>
              </w:rPr>
            </w:pPr>
            <w:r w:rsidRPr="000925B3">
              <w:rPr>
                <w:rFonts w:cs="Calibri"/>
                <w:b/>
                <w:bCs/>
              </w:rPr>
              <w:t>Merlus</w:t>
            </w:r>
          </w:p>
        </w:tc>
        <w:tc>
          <w:tcPr>
            <w:tcW w:w="3555" w:type="dxa"/>
            <w:shd w:val="clear" w:color="auto" w:fill="D9E2F3" w:themeFill="accent1" w:themeFillTint="33"/>
          </w:tcPr>
          <w:p w14:paraId="40107B4D" w14:textId="77777777" w:rsidR="00CB712E" w:rsidRPr="000925B3" w:rsidRDefault="00CB712E" w:rsidP="002D1362">
            <w:pPr>
              <w:rPr>
                <w:rFonts w:cs="Calibri"/>
              </w:rPr>
            </w:pPr>
            <w:r w:rsidRPr="000925B3">
              <w:rPr>
                <w:rFonts w:cs="Calibri"/>
              </w:rPr>
              <w:t>Aire de répartition : principalement nationale</w:t>
            </w:r>
          </w:p>
        </w:tc>
        <w:tc>
          <w:tcPr>
            <w:tcW w:w="1314" w:type="dxa"/>
            <w:shd w:val="clear" w:color="auto" w:fill="D9E2F3" w:themeFill="accent1" w:themeFillTint="33"/>
          </w:tcPr>
          <w:p w14:paraId="535717D5" w14:textId="77777777" w:rsidR="00CB712E" w:rsidRPr="000925B3" w:rsidRDefault="00CB712E" w:rsidP="002D1362">
            <w:pPr>
              <w:jc w:val="center"/>
              <w:rPr>
                <w:rFonts w:cs="Calibri"/>
              </w:rPr>
            </w:pPr>
            <w:r w:rsidRPr="000925B3">
              <w:rPr>
                <w:rFonts w:cs="Calibri"/>
              </w:rPr>
              <w:t>10 000 t/an</w:t>
            </w:r>
          </w:p>
        </w:tc>
        <w:tc>
          <w:tcPr>
            <w:tcW w:w="2641" w:type="dxa"/>
            <w:shd w:val="clear" w:color="auto" w:fill="D9E2F3" w:themeFill="accent1" w:themeFillTint="33"/>
          </w:tcPr>
          <w:p w14:paraId="4F3A1E92" w14:textId="77777777" w:rsidR="00CB712E" w:rsidRPr="000925B3" w:rsidRDefault="00CB712E" w:rsidP="002D1362">
            <w:pPr>
              <w:rPr>
                <w:rFonts w:cs="Calibri"/>
              </w:rPr>
            </w:pPr>
            <w:r w:rsidRPr="000925B3">
              <w:rPr>
                <w:rFonts w:cs="Calibri"/>
              </w:rPr>
              <w:t>Espèce pleinement exploitée</w:t>
            </w:r>
          </w:p>
        </w:tc>
      </w:tr>
      <w:tr w:rsidR="00CB712E" w:rsidRPr="000925B3" w14:paraId="6A4D54B1" w14:textId="77777777" w:rsidTr="002D1362">
        <w:tc>
          <w:tcPr>
            <w:tcW w:w="1562" w:type="dxa"/>
          </w:tcPr>
          <w:p w14:paraId="1BFC1740" w14:textId="77777777" w:rsidR="00CB712E" w:rsidRPr="000925B3" w:rsidRDefault="00CB712E" w:rsidP="002D1362">
            <w:pPr>
              <w:rPr>
                <w:rFonts w:cs="Calibri"/>
                <w:b/>
                <w:bCs/>
              </w:rPr>
            </w:pPr>
            <w:r w:rsidRPr="000925B3">
              <w:rPr>
                <w:rFonts w:cs="Calibri"/>
                <w:b/>
                <w:bCs/>
              </w:rPr>
              <w:t>Crustacés</w:t>
            </w:r>
          </w:p>
        </w:tc>
        <w:tc>
          <w:tcPr>
            <w:tcW w:w="3555" w:type="dxa"/>
          </w:tcPr>
          <w:p w14:paraId="3114B83C" w14:textId="77777777" w:rsidR="00CB712E" w:rsidRPr="000925B3" w:rsidRDefault="00CB712E" w:rsidP="002D1362">
            <w:pPr>
              <w:rPr>
                <w:rFonts w:cs="Calibri"/>
              </w:rPr>
            </w:pPr>
            <w:r w:rsidRPr="000925B3">
              <w:rPr>
                <w:rFonts w:cs="Calibri"/>
              </w:rPr>
              <w:t>Crevette côtière, crevette profonde, langouste, crabe</w:t>
            </w:r>
          </w:p>
          <w:p w14:paraId="02ECA24D" w14:textId="77777777" w:rsidR="00CB712E" w:rsidRPr="000925B3" w:rsidRDefault="00CB712E" w:rsidP="002D1362">
            <w:pPr>
              <w:rPr>
                <w:rFonts w:cs="Calibri"/>
              </w:rPr>
            </w:pPr>
            <w:r w:rsidRPr="000925B3">
              <w:rPr>
                <w:rFonts w:cs="Calibri"/>
              </w:rPr>
              <w:t>Aire de répartition : nationale</w:t>
            </w:r>
          </w:p>
        </w:tc>
        <w:tc>
          <w:tcPr>
            <w:tcW w:w="1314" w:type="dxa"/>
          </w:tcPr>
          <w:p w14:paraId="4B1B28E8" w14:textId="77777777" w:rsidR="00CB712E" w:rsidRPr="000925B3" w:rsidRDefault="00CB712E" w:rsidP="002D1362">
            <w:pPr>
              <w:jc w:val="center"/>
              <w:rPr>
                <w:rFonts w:cs="Calibri"/>
              </w:rPr>
            </w:pPr>
            <w:r w:rsidRPr="000925B3">
              <w:rPr>
                <w:rFonts w:cs="Calibri"/>
              </w:rPr>
              <w:t>7 500 t/an</w:t>
            </w:r>
          </w:p>
        </w:tc>
        <w:tc>
          <w:tcPr>
            <w:tcW w:w="2641" w:type="dxa"/>
          </w:tcPr>
          <w:p w14:paraId="6BFD2A51" w14:textId="77777777" w:rsidR="00CB712E" w:rsidRPr="000925B3" w:rsidRDefault="00CB712E" w:rsidP="002D1362">
            <w:pPr>
              <w:rPr>
                <w:rFonts w:cs="Calibri"/>
              </w:rPr>
            </w:pPr>
            <w:r w:rsidRPr="000925B3">
              <w:rPr>
                <w:rFonts w:cs="Calibri"/>
              </w:rPr>
              <w:t>Crevette côtière et langouste surexploitées, autre espèces modérément exploitées</w:t>
            </w:r>
          </w:p>
        </w:tc>
      </w:tr>
      <w:tr w:rsidR="00CB712E" w:rsidRPr="000925B3" w14:paraId="28AE64F8" w14:textId="77777777" w:rsidTr="002D1362">
        <w:tc>
          <w:tcPr>
            <w:tcW w:w="1562" w:type="dxa"/>
            <w:shd w:val="clear" w:color="auto" w:fill="D9E2F3" w:themeFill="accent1" w:themeFillTint="33"/>
          </w:tcPr>
          <w:p w14:paraId="33B70077" w14:textId="77777777" w:rsidR="00CB712E" w:rsidRPr="000925B3" w:rsidRDefault="00CB712E" w:rsidP="002D1362">
            <w:pPr>
              <w:rPr>
                <w:rFonts w:cs="Calibri"/>
                <w:b/>
                <w:bCs/>
              </w:rPr>
            </w:pPr>
            <w:r w:rsidRPr="000925B3">
              <w:rPr>
                <w:rFonts w:cs="Calibri"/>
                <w:b/>
                <w:bCs/>
              </w:rPr>
              <w:t>Poissons benthopélagiques</w:t>
            </w:r>
          </w:p>
        </w:tc>
        <w:tc>
          <w:tcPr>
            <w:tcW w:w="3555" w:type="dxa"/>
            <w:shd w:val="clear" w:color="auto" w:fill="D9E2F3" w:themeFill="accent1" w:themeFillTint="33"/>
          </w:tcPr>
          <w:p w14:paraId="0E9999DE" w14:textId="77777777" w:rsidR="00CB712E" w:rsidRPr="000925B3" w:rsidRDefault="00CB712E" w:rsidP="002D1362">
            <w:pPr>
              <w:rPr>
                <w:rFonts w:cs="Calibri"/>
              </w:rPr>
            </w:pPr>
            <w:r w:rsidRPr="000925B3">
              <w:rPr>
                <w:rFonts w:cs="Calibri"/>
              </w:rPr>
              <w:t>Courbine, mulets, tassergal</w:t>
            </w:r>
          </w:p>
          <w:p w14:paraId="35B09BD0" w14:textId="77777777" w:rsidR="00CB712E" w:rsidRPr="000925B3" w:rsidRDefault="00CB712E" w:rsidP="002D1362">
            <w:pPr>
              <w:rPr>
                <w:rFonts w:cs="Calibri"/>
              </w:rPr>
            </w:pPr>
            <w:r w:rsidRPr="000925B3">
              <w:rPr>
                <w:rFonts w:cs="Calibri"/>
              </w:rPr>
              <w:t>Aire de répartition : transnationale</w:t>
            </w:r>
          </w:p>
        </w:tc>
        <w:tc>
          <w:tcPr>
            <w:tcW w:w="1314" w:type="dxa"/>
            <w:shd w:val="clear" w:color="auto" w:fill="D9E2F3" w:themeFill="accent1" w:themeFillTint="33"/>
          </w:tcPr>
          <w:p w14:paraId="53563CF3" w14:textId="77777777" w:rsidR="00CB712E" w:rsidRPr="000925B3" w:rsidRDefault="00CB712E" w:rsidP="002D1362">
            <w:pPr>
              <w:jc w:val="center"/>
              <w:rPr>
                <w:rFonts w:cs="Calibri"/>
              </w:rPr>
            </w:pPr>
            <w:r w:rsidRPr="000925B3">
              <w:rPr>
                <w:rFonts w:cs="Calibri"/>
              </w:rPr>
              <w:t>-</w:t>
            </w:r>
          </w:p>
        </w:tc>
        <w:tc>
          <w:tcPr>
            <w:tcW w:w="2641" w:type="dxa"/>
            <w:shd w:val="clear" w:color="auto" w:fill="D9E2F3" w:themeFill="accent1" w:themeFillTint="33"/>
          </w:tcPr>
          <w:p w14:paraId="2E6D0D92" w14:textId="77777777" w:rsidR="00CB712E" w:rsidRPr="000925B3" w:rsidRDefault="00CB712E" w:rsidP="002D1362">
            <w:pPr>
              <w:rPr>
                <w:rFonts w:cs="Calibri"/>
              </w:rPr>
            </w:pPr>
            <w:r w:rsidRPr="000925B3">
              <w:rPr>
                <w:rFonts w:cs="Calibri"/>
              </w:rPr>
              <w:t xml:space="preserve">Espèces pleinement </w:t>
            </w:r>
            <w:proofErr w:type="gramStart"/>
            <w:r w:rsidRPr="000925B3">
              <w:rPr>
                <w:rFonts w:cs="Calibri"/>
              </w:rPr>
              <w:t>à</w:t>
            </w:r>
            <w:proofErr w:type="gramEnd"/>
            <w:r w:rsidRPr="000925B3">
              <w:rPr>
                <w:rFonts w:cs="Calibri"/>
              </w:rPr>
              <w:t xml:space="preserve"> surexploitées</w:t>
            </w:r>
          </w:p>
        </w:tc>
      </w:tr>
      <w:tr w:rsidR="00CB712E" w:rsidRPr="000925B3" w14:paraId="35C6CA7B" w14:textId="77777777" w:rsidTr="002D1362">
        <w:tc>
          <w:tcPr>
            <w:tcW w:w="1562" w:type="dxa"/>
          </w:tcPr>
          <w:p w14:paraId="45644A25" w14:textId="77777777" w:rsidR="00CB712E" w:rsidRPr="000925B3" w:rsidRDefault="00CB712E" w:rsidP="002D1362">
            <w:pPr>
              <w:rPr>
                <w:rFonts w:cs="Calibri"/>
                <w:b/>
                <w:bCs/>
              </w:rPr>
            </w:pPr>
            <w:r w:rsidRPr="000925B3">
              <w:rPr>
                <w:rFonts w:cs="Calibri"/>
                <w:b/>
                <w:bCs/>
              </w:rPr>
              <w:t>Thonidés majeurs</w:t>
            </w:r>
          </w:p>
        </w:tc>
        <w:tc>
          <w:tcPr>
            <w:tcW w:w="3555" w:type="dxa"/>
          </w:tcPr>
          <w:p w14:paraId="337D554B" w14:textId="77777777" w:rsidR="00CB712E" w:rsidRPr="000925B3" w:rsidRDefault="00CB712E" w:rsidP="002D1362">
            <w:pPr>
              <w:rPr>
                <w:rFonts w:cs="Calibri"/>
              </w:rPr>
            </w:pPr>
            <w:r w:rsidRPr="000925B3">
              <w:rPr>
                <w:rFonts w:cs="Calibri"/>
              </w:rPr>
              <w:t>Listao, thon obèse, albacore</w:t>
            </w:r>
          </w:p>
          <w:p w14:paraId="6A3DEEA4" w14:textId="77777777" w:rsidR="00CB712E" w:rsidRPr="000925B3" w:rsidRDefault="00CB712E" w:rsidP="002D1362">
            <w:pPr>
              <w:rPr>
                <w:rFonts w:cs="Calibri"/>
              </w:rPr>
            </w:pPr>
            <w:r w:rsidRPr="000925B3">
              <w:rPr>
                <w:rFonts w:cs="Calibri"/>
              </w:rPr>
              <w:t>Aire de répartition : transnationale (espèces gérées par l’ICCAT)</w:t>
            </w:r>
          </w:p>
        </w:tc>
        <w:tc>
          <w:tcPr>
            <w:tcW w:w="1314" w:type="dxa"/>
          </w:tcPr>
          <w:p w14:paraId="64F905F5" w14:textId="77777777" w:rsidR="00CB712E" w:rsidRPr="000925B3" w:rsidRDefault="00CB712E" w:rsidP="002D1362">
            <w:pPr>
              <w:jc w:val="center"/>
              <w:rPr>
                <w:rFonts w:cs="Calibri"/>
              </w:rPr>
            </w:pPr>
            <w:r w:rsidRPr="000925B3">
              <w:rPr>
                <w:rFonts w:cs="Calibri"/>
              </w:rPr>
              <w:t>30 000 t/an</w:t>
            </w:r>
          </w:p>
        </w:tc>
        <w:tc>
          <w:tcPr>
            <w:tcW w:w="2641" w:type="dxa"/>
          </w:tcPr>
          <w:p w14:paraId="406675ED" w14:textId="77777777" w:rsidR="00CB712E" w:rsidRPr="000925B3" w:rsidRDefault="00CB712E" w:rsidP="002D1362">
            <w:pPr>
              <w:rPr>
                <w:rFonts w:cs="Calibri"/>
              </w:rPr>
            </w:pPr>
            <w:r w:rsidRPr="000925B3">
              <w:rPr>
                <w:rFonts w:cs="Calibri"/>
              </w:rPr>
              <w:t xml:space="preserve">Espèces pleinement </w:t>
            </w:r>
            <w:proofErr w:type="gramStart"/>
            <w:r w:rsidRPr="000925B3">
              <w:rPr>
                <w:rFonts w:cs="Calibri"/>
              </w:rPr>
              <w:t>à</w:t>
            </w:r>
            <w:proofErr w:type="gramEnd"/>
            <w:r w:rsidRPr="000925B3">
              <w:rPr>
                <w:rFonts w:cs="Calibri"/>
              </w:rPr>
              <w:t xml:space="preserve"> surexploitées</w:t>
            </w:r>
          </w:p>
        </w:tc>
      </w:tr>
      <w:tr w:rsidR="00CB712E" w:rsidRPr="000925B3" w14:paraId="74433FBB" w14:textId="77777777" w:rsidTr="002D1362">
        <w:tc>
          <w:tcPr>
            <w:tcW w:w="1562" w:type="dxa"/>
            <w:shd w:val="clear" w:color="auto" w:fill="D9E2F3" w:themeFill="accent1" w:themeFillTint="33"/>
          </w:tcPr>
          <w:p w14:paraId="2652B22B" w14:textId="77777777" w:rsidR="00CB712E" w:rsidRPr="000925B3" w:rsidRDefault="00CB712E" w:rsidP="002D1362">
            <w:pPr>
              <w:rPr>
                <w:rFonts w:cs="Calibri"/>
                <w:b/>
                <w:bCs/>
              </w:rPr>
            </w:pPr>
            <w:r w:rsidRPr="000925B3">
              <w:rPr>
                <w:rFonts w:cs="Calibri"/>
                <w:b/>
                <w:bCs/>
              </w:rPr>
              <w:t>Mollusques bivalves</w:t>
            </w:r>
          </w:p>
        </w:tc>
        <w:tc>
          <w:tcPr>
            <w:tcW w:w="3555" w:type="dxa"/>
            <w:shd w:val="clear" w:color="auto" w:fill="D9E2F3" w:themeFill="accent1" w:themeFillTint="33"/>
          </w:tcPr>
          <w:p w14:paraId="4D89DB29" w14:textId="77777777" w:rsidR="00CB712E" w:rsidRPr="000925B3" w:rsidRDefault="00CB712E" w:rsidP="002D1362">
            <w:pPr>
              <w:rPr>
                <w:rFonts w:cs="Calibri"/>
              </w:rPr>
            </w:pPr>
            <w:r w:rsidRPr="000925B3">
              <w:rPr>
                <w:rFonts w:cs="Calibri"/>
              </w:rPr>
              <w:t>Praires</w:t>
            </w:r>
          </w:p>
        </w:tc>
        <w:tc>
          <w:tcPr>
            <w:tcW w:w="1314" w:type="dxa"/>
            <w:shd w:val="clear" w:color="auto" w:fill="D9E2F3" w:themeFill="accent1" w:themeFillTint="33"/>
          </w:tcPr>
          <w:p w14:paraId="3CA98EEF" w14:textId="77777777" w:rsidR="00CB712E" w:rsidRPr="000925B3" w:rsidRDefault="00CB712E" w:rsidP="002D1362">
            <w:pPr>
              <w:jc w:val="center"/>
              <w:rPr>
                <w:rFonts w:cs="Calibri"/>
              </w:rPr>
            </w:pPr>
            <w:r w:rsidRPr="000925B3">
              <w:rPr>
                <w:rFonts w:cs="Calibri"/>
              </w:rPr>
              <w:t>300 000 t/an</w:t>
            </w:r>
          </w:p>
        </w:tc>
        <w:tc>
          <w:tcPr>
            <w:tcW w:w="2641" w:type="dxa"/>
            <w:shd w:val="clear" w:color="auto" w:fill="D9E2F3" w:themeFill="accent1" w:themeFillTint="33"/>
          </w:tcPr>
          <w:p w14:paraId="4FDD34E6" w14:textId="77777777" w:rsidR="00CB712E" w:rsidRPr="000925B3" w:rsidRDefault="00CB712E" w:rsidP="002D1362">
            <w:pPr>
              <w:rPr>
                <w:rFonts w:cs="Calibri"/>
              </w:rPr>
            </w:pPr>
            <w:r w:rsidRPr="000925B3">
              <w:rPr>
                <w:rFonts w:cs="Calibri"/>
              </w:rPr>
              <w:t>Espèces pas ou peu exploitées</w:t>
            </w:r>
          </w:p>
        </w:tc>
      </w:tr>
    </w:tbl>
    <w:p w14:paraId="52F0E384" w14:textId="77777777" w:rsidR="00CB712E" w:rsidRPr="000925B3" w:rsidRDefault="00CB712E" w:rsidP="00CB712E">
      <w:pPr>
        <w:pStyle w:val="Lgende"/>
        <w:spacing w:after="0"/>
        <w:rPr>
          <w:rFonts w:cs="Calibri"/>
          <w:b/>
          <w:bCs/>
          <w:sz w:val="22"/>
          <w:szCs w:val="22"/>
        </w:rPr>
      </w:pPr>
      <w:bookmarkStart w:id="261" w:name="_Toc118284012"/>
      <w:r w:rsidRPr="000925B3">
        <w:rPr>
          <w:rFonts w:cs="Calibri"/>
          <w:b/>
          <w:bCs/>
          <w:sz w:val="22"/>
          <w:szCs w:val="22"/>
        </w:rPr>
        <w:t xml:space="preserve">Tableau </w:t>
      </w:r>
      <w:r w:rsidRPr="000925B3">
        <w:rPr>
          <w:rFonts w:cs="Calibri"/>
          <w:b/>
          <w:bCs/>
          <w:sz w:val="22"/>
          <w:szCs w:val="22"/>
        </w:rPr>
        <w:fldChar w:fldCharType="begin"/>
      </w:r>
      <w:r w:rsidRPr="000925B3">
        <w:rPr>
          <w:rFonts w:cs="Calibri"/>
          <w:b/>
          <w:bCs/>
          <w:sz w:val="22"/>
          <w:szCs w:val="22"/>
        </w:rPr>
        <w:instrText xml:space="preserve"> SEQ Tableau \* ARABIC </w:instrText>
      </w:r>
      <w:r w:rsidRPr="000925B3">
        <w:rPr>
          <w:rFonts w:cs="Calibri"/>
          <w:b/>
          <w:bCs/>
          <w:sz w:val="22"/>
          <w:szCs w:val="22"/>
        </w:rPr>
        <w:fldChar w:fldCharType="separate"/>
      </w:r>
      <w:r w:rsidRPr="000925B3">
        <w:rPr>
          <w:rFonts w:cs="Calibri"/>
          <w:b/>
          <w:bCs/>
          <w:noProof/>
          <w:sz w:val="22"/>
          <w:szCs w:val="22"/>
        </w:rPr>
        <w:t>1</w:t>
      </w:r>
      <w:r w:rsidRPr="000925B3">
        <w:rPr>
          <w:rFonts w:cs="Calibri"/>
          <w:b/>
          <w:bCs/>
          <w:sz w:val="22"/>
          <w:szCs w:val="22"/>
        </w:rPr>
        <w:fldChar w:fldCharType="end"/>
      </w:r>
      <w:r w:rsidRPr="000925B3">
        <w:rPr>
          <w:rFonts w:cs="Calibri"/>
          <w:b/>
          <w:bCs/>
          <w:sz w:val="22"/>
          <w:szCs w:val="22"/>
        </w:rPr>
        <w:t> : Potentiel exploitable et niveau d’exploitation des ressources halieutiques dans la ZEE mauritanienne (source : IMROP)</w:t>
      </w:r>
      <w:bookmarkEnd w:id="261"/>
    </w:p>
    <w:p w14:paraId="7E551F15" w14:textId="77777777" w:rsidR="00CB712E" w:rsidRDefault="00CB712E" w:rsidP="00CB712E">
      <w:pPr>
        <w:pStyle w:val="NumberedParas"/>
        <w:numPr>
          <w:ilvl w:val="0"/>
          <w:numId w:val="0"/>
        </w:numPr>
        <w:rPr>
          <w:rFonts w:ascii="Calibri" w:hAnsi="Calibri" w:cs="Calibri"/>
          <w:lang w:val="fr-FR"/>
        </w:rPr>
      </w:pPr>
    </w:p>
    <w:p w14:paraId="22966A8F" w14:textId="77777777" w:rsidR="00CB712E" w:rsidRPr="000925B3" w:rsidRDefault="00CB712E" w:rsidP="00CB712E">
      <w:pPr>
        <w:pStyle w:val="NumberedParas"/>
        <w:numPr>
          <w:ilvl w:val="0"/>
          <w:numId w:val="0"/>
        </w:numPr>
        <w:rPr>
          <w:rFonts w:ascii="Calibri" w:hAnsi="Calibri" w:cs="Calibri"/>
          <w:lang w:val="fr-FR"/>
        </w:rPr>
      </w:pPr>
      <w:r w:rsidRPr="000925B3">
        <w:rPr>
          <w:rFonts w:ascii="Calibri" w:hAnsi="Calibri" w:cs="Calibri"/>
          <w:lang w:val="fr-FR"/>
        </w:rPr>
        <w:t xml:space="preserve">Avec l’introduction du système de gestion par quotas individuels transférables (QIT) en 2016, de l’affrètement coque nue et l’accès facile au pavillon national, d’un côté et la prolifération des usines de farine et huile de poisson, de l’autre, la production a évoluée pour atteindre </w:t>
      </w:r>
      <w:r w:rsidRPr="000925B3">
        <w:rPr>
          <w:rFonts w:ascii="Calibri" w:hAnsi="Calibri" w:cs="Calibri"/>
          <w:color w:val="FF0000"/>
          <w:lang w:val="fr-FR"/>
        </w:rPr>
        <w:t>( )</w:t>
      </w:r>
      <w:r w:rsidRPr="000925B3">
        <w:rPr>
          <w:rFonts w:ascii="Calibri" w:hAnsi="Calibri" w:cs="Calibri"/>
          <w:lang w:val="fr-FR"/>
        </w:rPr>
        <w:t xml:space="preserve"> en 2019  et </w:t>
      </w:r>
      <w:r w:rsidRPr="000925B3">
        <w:rPr>
          <w:rFonts w:ascii="Calibri" w:hAnsi="Calibri" w:cs="Calibri"/>
          <w:color w:val="FF0000"/>
          <w:lang w:val="fr-FR"/>
        </w:rPr>
        <w:t>( )</w:t>
      </w:r>
      <w:r w:rsidRPr="000925B3">
        <w:rPr>
          <w:rFonts w:ascii="Calibri" w:hAnsi="Calibri" w:cs="Calibri"/>
          <w:lang w:val="fr-FR"/>
        </w:rPr>
        <w:t xml:space="preserve"> en 2022/23.</w:t>
      </w:r>
    </w:p>
    <w:p w14:paraId="7F82A239" w14:textId="77777777" w:rsidR="00CB712E" w:rsidRPr="000925B3" w:rsidRDefault="00CB712E" w:rsidP="00CB712E">
      <w:pPr>
        <w:pStyle w:val="NumberedParas"/>
        <w:numPr>
          <w:ilvl w:val="0"/>
          <w:numId w:val="0"/>
        </w:numPr>
        <w:ind w:firstLine="5246"/>
        <w:rPr>
          <w:rFonts w:ascii="Calibri" w:hAnsi="Calibri" w:cs="Calibri"/>
          <w:color w:val="FF0000"/>
          <w:lang w:val="fr-FR"/>
        </w:rPr>
      </w:pPr>
    </w:p>
    <w:p w14:paraId="51966057" w14:textId="77777777" w:rsidR="00CB712E" w:rsidRPr="000925B3" w:rsidRDefault="00CB712E" w:rsidP="00CB712E">
      <w:pPr>
        <w:jc w:val="both"/>
        <w:rPr>
          <w:rFonts w:cs="Calibri"/>
        </w:rPr>
      </w:pPr>
      <w:r w:rsidRPr="000925B3">
        <w:rPr>
          <w:rFonts w:cs="Calibri"/>
        </w:rPr>
        <w:t>Les réformes introduites dans la L2P de 2022, font renaitre un réel espoir de voir les ressources halieutiques maritimes davantage préservées, les écosystèmes marins et côtiers conservés et les retombées économiques et sociales rendues aussi au profit de l’Etat et des citoyens mauritaniens.</w:t>
      </w:r>
    </w:p>
    <w:p w14:paraId="7D7F5139" w14:textId="77777777" w:rsidR="00CB712E" w:rsidRPr="000925B3" w:rsidRDefault="00CB712E" w:rsidP="00CB712E">
      <w:pPr>
        <w:jc w:val="both"/>
        <w:rPr>
          <w:rFonts w:cs="Calibri"/>
        </w:rPr>
      </w:pPr>
      <w:r w:rsidRPr="000925B3">
        <w:rPr>
          <w:rFonts w:cs="Calibri"/>
        </w:rPr>
        <w:t>Les exemples ci-dessous, illustrent la pertinence des reformes prévues :</w:t>
      </w:r>
    </w:p>
    <w:p w14:paraId="185BF391" w14:textId="77777777" w:rsidR="00CB712E" w:rsidRPr="000925B3" w:rsidRDefault="00CB712E" w:rsidP="00CB712E">
      <w:pPr>
        <w:pStyle w:val="Paragraphedeliste"/>
        <w:numPr>
          <w:ilvl w:val="0"/>
          <w:numId w:val="267"/>
        </w:numPr>
        <w:autoSpaceDN w:val="0"/>
        <w:spacing w:after="0" w:line="240" w:lineRule="auto"/>
        <w:jc w:val="both"/>
        <w:rPr>
          <w:rFonts w:cs="Calibri"/>
        </w:rPr>
      </w:pPr>
      <w:r w:rsidRPr="000925B3">
        <w:rPr>
          <w:rFonts w:cs="Calibri"/>
        </w:rPr>
        <w:t>L’élaboration et l’application de plans d’aménagement et de gestion pour les pêcheries ;</w:t>
      </w:r>
    </w:p>
    <w:p w14:paraId="1A9BBEE5" w14:textId="77777777" w:rsidR="00CB712E" w:rsidRPr="000925B3" w:rsidRDefault="00CB712E" w:rsidP="00CB712E">
      <w:pPr>
        <w:pStyle w:val="Paragraphedeliste"/>
        <w:numPr>
          <w:ilvl w:val="0"/>
          <w:numId w:val="267"/>
        </w:numPr>
        <w:autoSpaceDN w:val="0"/>
        <w:spacing w:after="0" w:line="240" w:lineRule="auto"/>
        <w:jc w:val="both"/>
        <w:rPr>
          <w:rFonts w:cs="Calibri"/>
        </w:rPr>
      </w:pPr>
      <w:r w:rsidRPr="000925B3">
        <w:rPr>
          <w:rFonts w:cs="Calibri"/>
        </w:rPr>
        <w:t>Le renforcement du contrôle à la fois sur l’effort de pêche et les quotas ;</w:t>
      </w:r>
    </w:p>
    <w:p w14:paraId="63F71A07" w14:textId="77777777" w:rsidR="00CB712E" w:rsidRPr="000925B3" w:rsidRDefault="00CB712E" w:rsidP="00CB712E">
      <w:pPr>
        <w:pStyle w:val="Paragraphedeliste"/>
        <w:numPr>
          <w:ilvl w:val="0"/>
          <w:numId w:val="267"/>
        </w:numPr>
        <w:autoSpaceDN w:val="0"/>
        <w:spacing w:after="0" w:line="240" w:lineRule="auto"/>
        <w:jc w:val="both"/>
        <w:rPr>
          <w:rFonts w:cs="Calibri"/>
        </w:rPr>
      </w:pPr>
      <w:r w:rsidRPr="000925B3">
        <w:rPr>
          <w:rFonts w:cs="Calibri"/>
        </w:rPr>
        <w:t>La limitation de la production nationale en farine de poisson à travers le gel de nouvelles autorisations et la fixation de quotas annuels par usine en fonction de sa capacité de production (nombre de lignes de production)</w:t>
      </w:r>
    </w:p>
    <w:p w14:paraId="19AE5949" w14:textId="77777777" w:rsidR="00CB712E" w:rsidRPr="000925B3" w:rsidRDefault="00CB712E" w:rsidP="00CB712E">
      <w:pPr>
        <w:pStyle w:val="Paragraphedeliste"/>
        <w:numPr>
          <w:ilvl w:val="0"/>
          <w:numId w:val="267"/>
        </w:numPr>
        <w:autoSpaceDN w:val="0"/>
        <w:spacing w:after="0" w:line="240" w:lineRule="auto"/>
        <w:jc w:val="both"/>
        <w:rPr>
          <w:rFonts w:cs="Calibri"/>
        </w:rPr>
      </w:pPr>
      <w:r w:rsidRPr="000925B3">
        <w:rPr>
          <w:rFonts w:cs="Calibri"/>
        </w:rPr>
        <w:t>Une meilleure intégration du changement climatique et l’inscription de mesures et d’actions d’atténuation et d’adaptation au CC ;</w:t>
      </w:r>
    </w:p>
    <w:p w14:paraId="50A3F7B9" w14:textId="77777777" w:rsidR="00CB712E" w:rsidRPr="000925B3" w:rsidRDefault="00CB712E" w:rsidP="00CB712E">
      <w:pPr>
        <w:pStyle w:val="Paragraphedeliste"/>
        <w:numPr>
          <w:ilvl w:val="0"/>
          <w:numId w:val="267"/>
        </w:numPr>
        <w:autoSpaceDN w:val="0"/>
        <w:spacing w:after="0" w:line="240" w:lineRule="auto"/>
        <w:jc w:val="both"/>
        <w:rPr>
          <w:rFonts w:cs="Calibri"/>
        </w:rPr>
      </w:pPr>
      <w:r w:rsidRPr="000925B3">
        <w:rPr>
          <w:rFonts w:cs="Calibri"/>
        </w:rPr>
        <w:t>La création d’une flotte nationale adaptée et performante (artisanale, côtière et hauturière) ;</w:t>
      </w:r>
    </w:p>
    <w:p w14:paraId="3D634282" w14:textId="77777777" w:rsidR="00CB712E" w:rsidRPr="000925B3" w:rsidRDefault="00CB712E" w:rsidP="00CB712E">
      <w:pPr>
        <w:pStyle w:val="Paragraphedeliste"/>
        <w:numPr>
          <w:ilvl w:val="0"/>
          <w:numId w:val="267"/>
        </w:numPr>
        <w:autoSpaceDN w:val="0"/>
        <w:spacing w:after="0" w:line="240" w:lineRule="auto"/>
        <w:jc w:val="both"/>
        <w:rPr>
          <w:rFonts w:cs="Calibri"/>
        </w:rPr>
      </w:pPr>
      <w:r w:rsidRPr="000925B3">
        <w:rPr>
          <w:rFonts w:cs="Calibri"/>
        </w:rPr>
        <w:t>Le renforcement des conditions d’accès aux ressources en liant l’attribution des possibilités de pêche disponibles à l’importance du volume des investissements et à leurs impacts en matière de valeur ajoutée créée (richesse et opportunistes d’emploi créées, infrastructures réalisées, etc.).</w:t>
      </w:r>
    </w:p>
    <w:p w14:paraId="23FB47F3" w14:textId="77777777" w:rsidR="00CB712E" w:rsidRPr="003D7B2B" w:rsidRDefault="00CB712E" w:rsidP="00CB712E">
      <w:pPr>
        <w:pStyle w:val="Paragraphedeliste"/>
        <w:spacing w:after="0"/>
        <w:contextualSpacing w:val="0"/>
        <w:jc w:val="both"/>
        <w:rPr>
          <w:rFonts w:cs="Calibri"/>
          <w:sz w:val="16"/>
          <w:szCs w:val="16"/>
        </w:rPr>
      </w:pPr>
    </w:p>
    <w:p w14:paraId="7A03FD21" w14:textId="77777777" w:rsidR="00CB712E" w:rsidRPr="000925B3" w:rsidRDefault="00CB712E" w:rsidP="00CB712E">
      <w:pPr>
        <w:jc w:val="both"/>
        <w:rPr>
          <w:rFonts w:cs="Calibri"/>
        </w:rPr>
      </w:pPr>
      <w:r w:rsidRPr="000925B3">
        <w:rPr>
          <w:rFonts w:cs="Calibri"/>
          <w:b/>
          <w:bCs/>
          <w:color w:val="FF0000"/>
        </w:rPr>
        <w:t>3.2.4. Importance du secteur des pêches</w:t>
      </w:r>
      <w:r>
        <w:rPr>
          <w:rFonts w:cs="Calibri"/>
          <w:b/>
          <w:bCs/>
          <w:color w:val="FF0000"/>
        </w:rPr>
        <w:t xml:space="preserve"> maritimes</w:t>
      </w:r>
      <w:r w:rsidRPr="000925B3">
        <w:rPr>
          <w:rFonts w:cs="Calibri"/>
          <w:b/>
          <w:bCs/>
          <w:color w:val="FF0000"/>
        </w:rPr>
        <w:t xml:space="preserve"> :</w:t>
      </w:r>
    </w:p>
    <w:p w14:paraId="1D8C4BD2" w14:textId="77777777" w:rsidR="00CB712E" w:rsidRPr="000925B3" w:rsidRDefault="00CB712E" w:rsidP="00CB712E">
      <w:pPr>
        <w:jc w:val="both"/>
        <w:rPr>
          <w:rFonts w:cs="Calibri"/>
        </w:rPr>
      </w:pPr>
      <w:r w:rsidRPr="000925B3">
        <w:rPr>
          <w:rFonts w:cs="Calibri"/>
        </w:rPr>
        <w:t>Le rôle du secteur des pêches comme pilier de l’économie nationale et du développement économique et social du pays, se reflète dans ses contributions au PIB, aux recettes budgétaires, en apport de devises à travers ses exportations, à l’emploi et à la sécurité alimentaire nationale.</w:t>
      </w:r>
    </w:p>
    <w:p w14:paraId="483CA36A" w14:textId="77777777" w:rsidR="00CB712E" w:rsidRPr="000925B3" w:rsidRDefault="00CB712E" w:rsidP="00CB712E">
      <w:pPr>
        <w:pStyle w:val="Lgende"/>
        <w:spacing w:after="0"/>
        <w:rPr>
          <w:rFonts w:cs="Calibri"/>
          <w:i w:val="0"/>
          <w:iCs w:val="0"/>
          <w:color w:val="auto"/>
          <w:sz w:val="22"/>
          <w:szCs w:val="22"/>
        </w:rPr>
      </w:pPr>
      <w:r w:rsidRPr="000925B3">
        <w:rPr>
          <w:rFonts w:cs="Calibri"/>
          <w:i w:val="0"/>
          <w:iCs w:val="0"/>
          <w:color w:val="auto"/>
          <w:sz w:val="22"/>
          <w:szCs w:val="22"/>
        </w:rPr>
        <w:t>Ces indicateurs socio-économiques, permettent en effet de mesurer ou d’apprécier les contributions de ce secteur stratégique tel que réalisé</w:t>
      </w:r>
      <w:r>
        <w:rPr>
          <w:rFonts w:cs="Calibri"/>
          <w:i w:val="0"/>
          <w:iCs w:val="0"/>
          <w:color w:val="auto"/>
          <w:sz w:val="22"/>
          <w:szCs w:val="22"/>
        </w:rPr>
        <w:t>,</w:t>
      </w:r>
      <w:r w:rsidRPr="000925B3">
        <w:rPr>
          <w:rFonts w:cs="Calibri"/>
          <w:i w:val="0"/>
          <w:iCs w:val="0"/>
          <w:color w:val="auto"/>
          <w:sz w:val="22"/>
          <w:szCs w:val="22"/>
        </w:rPr>
        <w:t xml:space="preserve"> dans le tableau</w:t>
      </w:r>
      <w:r>
        <w:rPr>
          <w:rFonts w:cs="Calibri"/>
          <w:i w:val="0"/>
          <w:iCs w:val="0"/>
          <w:color w:val="auto"/>
          <w:sz w:val="22"/>
          <w:szCs w:val="22"/>
        </w:rPr>
        <w:t xml:space="preserve"> 2</w:t>
      </w:r>
      <w:r w:rsidRPr="000925B3">
        <w:rPr>
          <w:rFonts w:cs="Calibri"/>
          <w:i w:val="0"/>
          <w:iCs w:val="0"/>
          <w:color w:val="auto"/>
          <w:sz w:val="22"/>
          <w:szCs w:val="22"/>
        </w:rPr>
        <w:t xml:space="preserve"> ci-dessous</w:t>
      </w:r>
      <w:r>
        <w:rPr>
          <w:rFonts w:cs="Calibri"/>
          <w:i w:val="0"/>
          <w:iCs w:val="0"/>
          <w:color w:val="auto"/>
          <w:sz w:val="22"/>
          <w:szCs w:val="22"/>
        </w:rPr>
        <w:t>,</w:t>
      </w:r>
      <w:r w:rsidRPr="000925B3">
        <w:rPr>
          <w:rFonts w:cs="Calibri"/>
          <w:i w:val="0"/>
          <w:iCs w:val="0"/>
          <w:color w:val="auto"/>
          <w:sz w:val="22"/>
          <w:szCs w:val="22"/>
        </w:rPr>
        <w:t xml:space="preserve"> par les services du ministère </w:t>
      </w:r>
      <w:r>
        <w:rPr>
          <w:rFonts w:cs="Calibri"/>
          <w:i w:val="0"/>
          <w:iCs w:val="0"/>
          <w:color w:val="auto"/>
          <w:sz w:val="22"/>
          <w:szCs w:val="22"/>
        </w:rPr>
        <w:t xml:space="preserve">en charge </w:t>
      </w:r>
      <w:r w:rsidRPr="000925B3">
        <w:rPr>
          <w:rFonts w:cs="Calibri"/>
          <w:i w:val="0"/>
          <w:iCs w:val="0"/>
          <w:color w:val="auto"/>
          <w:sz w:val="22"/>
          <w:szCs w:val="22"/>
        </w:rPr>
        <w:t xml:space="preserve">des Pêches. </w:t>
      </w:r>
    </w:p>
    <w:p w14:paraId="5955E2A3" w14:textId="77777777" w:rsidR="00CB712E" w:rsidRPr="003D7B2B" w:rsidRDefault="00CB712E" w:rsidP="00CB712E">
      <w:pPr>
        <w:jc w:val="both"/>
        <w:rPr>
          <w:rFonts w:cs="Calibri"/>
          <w:b/>
          <w:bCs/>
        </w:rPr>
      </w:pPr>
    </w:p>
    <w:tbl>
      <w:tblPr>
        <w:tblW w:w="16947" w:type="dxa"/>
        <w:tblCellMar>
          <w:left w:w="10" w:type="dxa"/>
          <w:right w:w="10" w:type="dxa"/>
        </w:tblCellMar>
        <w:tblLook w:val="0000" w:firstRow="0" w:lastRow="0" w:firstColumn="0" w:lastColumn="0" w:noHBand="0" w:noVBand="0"/>
      </w:tblPr>
      <w:tblGrid>
        <w:gridCol w:w="2552"/>
        <w:gridCol w:w="2096"/>
        <w:gridCol w:w="4708"/>
        <w:gridCol w:w="787"/>
        <w:gridCol w:w="1309"/>
        <w:gridCol w:w="5495"/>
      </w:tblGrid>
      <w:tr w:rsidR="00CB712E" w:rsidRPr="000925B3" w14:paraId="4DED2E12" w14:textId="77777777" w:rsidTr="00655ABF">
        <w:trPr>
          <w:gridAfter w:val="2"/>
          <w:wAfter w:w="6804" w:type="dxa"/>
          <w:trHeight w:val="150"/>
        </w:trPr>
        <w:tc>
          <w:tcPr>
            <w:tcW w:w="2552" w:type="dxa"/>
            <w:shd w:val="clear" w:color="auto" w:fill="auto"/>
            <w:tcMar>
              <w:top w:w="0" w:type="dxa"/>
              <w:left w:w="108" w:type="dxa"/>
              <w:bottom w:w="0" w:type="dxa"/>
              <w:right w:w="108" w:type="dxa"/>
            </w:tcMar>
          </w:tcPr>
          <w:p w14:paraId="4EE46BD8" w14:textId="77777777" w:rsidR="00CB712E" w:rsidRPr="000925B3" w:rsidRDefault="00CB712E" w:rsidP="002D1362">
            <w:pPr>
              <w:jc w:val="both"/>
              <w:rPr>
                <w:rFonts w:eastAsia="Aptos" w:cs="Calibri"/>
                <w:b/>
                <w:bCs/>
                <w:color w:val="156082"/>
              </w:rPr>
            </w:pPr>
            <w:r>
              <w:br w:type="page"/>
            </w:r>
          </w:p>
        </w:tc>
        <w:tc>
          <w:tcPr>
            <w:tcW w:w="2096" w:type="dxa"/>
            <w:shd w:val="clear" w:color="auto" w:fill="auto"/>
            <w:tcMar>
              <w:top w:w="0" w:type="dxa"/>
              <w:left w:w="108" w:type="dxa"/>
              <w:bottom w:w="0" w:type="dxa"/>
              <w:right w:w="108" w:type="dxa"/>
            </w:tcMar>
          </w:tcPr>
          <w:p w14:paraId="2C0A1523" w14:textId="77777777" w:rsidR="00CB712E" w:rsidRPr="000925B3" w:rsidRDefault="00CB712E" w:rsidP="002D1362">
            <w:pPr>
              <w:jc w:val="both"/>
              <w:rPr>
                <w:rFonts w:eastAsia="Aptos" w:cs="Calibri"/>
                <w:b/>
                <w:bCs/>
                <w:color w:val="156082"/>
              </w:rPr>
            </w:pPr>
          </w:p>
        </w:tc>
        <w:tc>
          <w:tcPr>
            <w:tcW w:w="5495" w:type="dxa"/>
            <w:gridSpan w:val="2"/>
            <w:shd w:val="clear" w:color="auto" w:fill="auto"/>
            <w:tcMar>
              <w:top w:w="0" w:type="dxa"/>
              <w:left w:w="108" w:type="dxa"/>
              <w:bottom w:w="0" w:type="dxa"/>
              <w:right w:w="108" w:type="dxa"/>
            </w:tcMar>
          </w:tcPr>
          <w:p w14:paraId="19D9A720" w14:textId="77777777" w:rsidR="00CB712E" w:rsidRPr="000925B3" w:rsidRDefault="00CB712E" w:rsidP="002D1362">
            <w:pPr>
              <w:jc w:val="both"/>
              <w:rPr>
                <w:rFonts w:eastAsia="Aptos" w:cs="Calibri"/>
                <w:b/>
                <w:bCs/>
                <w:color w:val="156082"/>
              </w:rPr>
            </w:pPr>
            <w:r w:rsidRPr="000925B3">
              <w:rPr>
                <w:rFonts w:eastAsia="Aptos" w:cs="Calibri"/>
                <w:b/>
                <w:bCs/>
                <w:color w:val="156082"/>
              </w:rPr>
              <w:t>Commentaires/précisions</w:t>
            </w:r>
          </w:p>
        </w:tc>
      </w:tr>
      <w:tr w:rsidR="00CB712E" w:rsidRPr="000925B3" w14:paraId="61AEE11D" w14:textId="77777777" w:rsidTr="00655ABF">
        <w:trPr>
          <w:gridAfter w:val="2"/>
          <w:wAfter w:w="6804" w:type="dxa"/>
          <w:trHeight w:val="2538"/>
        </w:trPr>
        <w:tc>
          <w:tcPr>
            <w:tcW w:w="2552" w:type="dxa"/>
            <w:shd w:val="clear" w:color="auto" w:fill="auto"/>
            <w:tcMar>
              <w:top w:w="0" w:type="dxa"/>
              <w:left w:w="108" w:type="dxa"/>
              <w:bottom w:w="0" w:type="dxa"/>
              <w:right w:w="108" w:type="dxa"/>
            </w:tcMar>
          </w:tcPr>
          <w:p w14:paraId="1F0D5244" w14:textId="77777777" w:rsidR="00CB712E" w:rsidRPr="000925B3" w:rsidRDefault="00CB712E" w:rsidP="002D1362">
            <w:pPr>
              <w:rPr>
                <w:rFonts w:eastAsia="Aptos" w:cs="Calibri"/>
                <w:b/>
                <w:bCs/>
              </w:rPr>
            </w:pPr>
            <w:r w:rsidRPr="000925B3">
              <w:rPr>
                <w:rFonts w:eastAsia="Aptos" w:cs="Calibri"/>
                <w:b/>
                <w:bCs/>
              </w:rPr>
              <w:t>Création de richesses</w:t>
            </w:r>
          </w:p>
        </w:tc>
        <w:tc>
          <w:tcPr>
            <w:tcW w:w="2096" w:type="dxa"/>
            <w:shd w:val="clear" w:color="auto" w:fill="auto"/>
            <w:tcMar>
              <w:top w:w="0" w:type="dxa"/>
              <w:left w:w="108" w:type="dxa"/>
              <w:bottom w:w="0" w:type="dxa"/>
              <w:right w:w="108" w:type="dxa"/>
            </w:tcMar>
          </w:tcPr>
          <w:p w14:paraId="5D19B97E" w14:textId="77777777" w:rsidR="00CB712E" w:rsidRPr="000925B3" w:rsidRDefault="00CB712E" w:rsidP="002D1362">
            <w:pPr>
              <w:rPr>
                <w:rFonts w:eastAsia="Aptos" w:cs="Calibri"/>
              </w:rPr>
            </w:pPr>
            <w:r w:rsidRPr="000925B3">
              <w:rPr>
                <w:rFonts w:eastAsia="Aptos" w:cs="Calibri"/>
              </w:rPr>
              <w:t>PIB branche pêche : environ 6,8 milliards MRU (environ 194,3 millions USD) en 2019</w:t>
            </w:r>
          </w:p>
        </w:tc>
        <w:tc>
          <w:tcPr>
            <w:tcW w:w="5495" w:type="dxa"/>
            <w:gridSpan w:val="2"/>
            <w:shd w:val="clear" w:color="auto" w:fill="auto"/>
            <w:tcMar>
              <w:top w:w="0" w:type="dxa"/>
              <w:left w:w="108" w:type="dxa"/>
              <w:bottom w:w="0" w:type="dxa"/>
              <w:right w:w="108" w:type="dxa"/>
            </w:tcMar>
          </w:tcPr>
          <w:p w14:paraId="3EEDF8DB" w14:textId="77777777" w:rsidR="00CB712E" w:rsidRPr="004A2EF0" w:rsidRDefault="00CB712E" w:rsidP="00CB712E">
            <w:pPr>
              <w:pStyle w:val="Paragraphedeliste"/>
              <w:numPr>
                <w:ilvl w:val="0"/>
                <w:numId w:val="298"/>
              </w:numPr>
              <w:spacing w:after="200" w:line="276" w:lineRule="auto"/>
              <w:jc w:val="both"/>
              <w:rPr>
                <w:rFonts w:eastAsia="Aptos" w:cs="Calibri"/>
              </w:rPr>
            </w:pPr>
            <w:proofErr w:type="gramStart"/>
            <w:r w:rsidRPr="004A2EF0">
              <w:rPr>
                <w:rFonts w:eastAsia="Aptos" w:cs="Calibri"/>
              </w:rPr>
              <w:t>le</w:t>
            </w:r>
            <w:proofErr w:type="gramEnd"/>
            <w:r w:rsidRPr="004A2EF0">
              <w:rPr>
                <w:rFonts w:eastAsia="Aptos" w:cs="Calibri"/>
              </w:rPr>
              <w:t xml:space="preserve"> PIB branche pêche a contribué à environ 12,5% du PIB du secteur primaire et 2,5% du PIB national (en 2019)</w:t>
            </w:r>
          </w:p>
          <w:p w14:paraId="4A70BA7B" w14:textId="77777777" w:rsidR="00CB712E" w:rsidRPr="004A2EF0" w:rsidRDefault="00CB712E" w:rsidP="00CB712E">
            <w:pPr>
              <w:pStyle w:val="Paragraphedeliste"/>
              <w:numPr>
                <w:ilvl w:val="0"/>
                <w:numId w:val="298"/>
              </w:numPr>
              <w:spacing w:after="200" w:line="276" w:lineRule="auto"/>
              <w:jc w:val="both"/>
              <w:rPr>
                <w:rFonts w:eastAsia="Aptos" w:cs="Calibri"/>
              </w:rPr>
            </w:pPr>
            <w:r w:rsidRPr="004A2EF0">
              <w:rPr>
                <w:rFonts w:eastAsia="Aptos" w:cs="Calibri"/>
              </w:rPr>
              <w:t xml:space="preserve">- selon les données 2021 de l’Agence nationale de la statistique et de l’analyse démographique et économique (ANSAD, </w:t>
            </w:r>
            <w:proofErr w:type="spellStart"/>
            <w:r w:rsidRPr="004A2EF0">
              <w:rPr>
                <w:rFonts w:eastAsia="Aptos" w:cs="Calibri"/>
              </w:rPr>
              <w:t>ex-ONS</w:t>
            </w:r>
            <w:proofErr w:type="spellEnd"/>
            <w:r w:rsidRPr="004A2EF0">
              <w:rPr>
                <w:rFonts w:eastAsia="Aptos" w:cs="Calibri"/>
              </w:rPr>
              <w:t>), le PIB du secteur de la pêche pris dans sa globalité était d’environ 711 millions USD, dont 78% généré par la branche pêche et 22% par l’activité de transformation, soit une contribution au PIB national proche de 9,4% pour l’ensemble du secteur en 2017</w:t>
            </w:r>
          </w:p>
        </w:tc>
      </w:tr>
      <w:tr w:rsidR="00CB712E" w:rsidRPr="000925B3" w14:paraId="591AE5A1" w14:textId="77777777" w:rsidTr="00655ABF">
        <w:trPr>
          <w:gridAfter w:val="2"/>
          <w:wAfter w:w="6804" w:type="dxa"/>
          <w:trHeight w:val="1140"/>
        </w:trPr>
        <w:tc>
          <w:tcPr>
            <w:tcW w:w="2552" w:type="dxa"/>
            <w:shd w:val="clear" w:color="auto" w:fill="C1E4F5"/>
            <w:tcMar>
              <w:top w:w="0" w:type="dxa"/>
              <w:left w:w="108" w:type="dxa"/>
              <w:bottom w:w="0" w:type="dxa"/>
              <w:right w:w="108" w:type="dxa"/>
            </w:tcMar>
          </w:tcPr>
          <w:p w14:paraId="0CFF0CF9" w14:textId="77777777" w:rsidR="00CB712E" w:rsidRPr="000925B3" w:rsidRDefault="00CB712E" w:rsidP="002D1362">
            <w:pPr>
              <w:rPr>
                <w:rFonts w:eastAsia="Aptos" w:cs="Calibri"/>
                <w:b/>
                <w:bCs/>
              </w:rPr>
            </w:pPr>
            <w:r w:rsidRPr="000925B3">
              <w:rPr>
                <w:rFonts w:eastAsia="Aptos" w:cs="Calibri"/>
                <w:b/>
                <w:bCs/>
              </w:rPr>
              <w:t>Contribution en devises</w:t>
            </w:r>
          </w:p>
        </w:tc>
        <w:tc>
          <w:tcPr>
            <w:tcW w:w="2096" w:type="dxa"/>
            <w:shd w:val="clear" w:color="auto" w:fill="C1E4F5"/>
            <w:tcMar>
              <w:top w:w="0" w:type="dxa"/>
              <w:left w:w="108" w:type="dxa"/>
              <w:bottom w:w="0" w:type="dxa"/>
              <w:right w:w="108" w:type="dxa"/>
            </w:tcMar>
          </w:tcPr>
          <w:p w14:paraId="2FA17477" w14:textId="77777777" w:rsidR="00CB712E" w:rsidRPr="000925B3" w:rsidRDefault="00CB712E" w:rsidP="002D1362">
            <w:pPr>
              <w:rPr>
                <w:rFonts w:eastAsia="Aptos" w:cs="Calibri"/>
              </w:rPr>
            </w:pPr>
            <w:r w:rsidRPr="000925B3">
              <w:rPr>
                <w:rFonts w:eastAsia="Aptos" w:cs="Calibri"/>
              </w:rPr>
              <w:t>Environ 874,2 millions USD selon les Douanes, et environ 893 millions USD selon la BCM en 2020</w:t>
            </w:r>
          </w:p>
        </w:tc>
        <w:tc>
          <w:tcPr>
            <w:tcW w:w="5495" w:type="dxa"/>
            <w:gridSpan w:val="2"/>
            <w:shd w:val="clear" w:color="auto" w:fill="C1E4F5"/>
            <w:tcMar>
              <w:top w:w="0" w:type="dxa"/>
              <w:left w:w="108" w:type="dxa"/>
              <w:bottom w:w="0" w:type="dxa"/>
              <w:right w:w="108" w:type="dxa"/>
            </w:tcMar>
          </w:tcPr>
          <w:p w14:paraId="5FFDC20F" w14:textId="77777777" w:rsidR="00CB712E" w:rsidRPr="000925B3" w:rsidRDefault="00CB712E" w:rsidP="002D1362">
            <w:pPr>
              <w:jc w:val="both"/>
              <w:rPr>
                <w:rFonts w:eastAsia="Aptos" w:cs="Calibri"/>
              </w:rPr>
            </w:pPr>
            <w:r w:rsidRPr="000925B3">
              <w:rPr>
                <w:rFonts w:eastAsia="Aptos" w:cs="Calibri"/>
              </w:rPr>
              <w:t>- le chiffre des Douanes correspond à la valeur des exportations (celui-ci prend également en compte la valeur des produits des flottes opérant sous régime étranger dans la ZEE mauritanienne qui sont transbordés puis exportés)</w:t>
            </w:r>
          </w:p>
          <w:p w14:paraId="250AA892" w14:textId="77777777" w:rsidR="00CB712E" w:rsidRPr="004A2EF0" w:rsidRDefault="00CB712E" w:rsidP="00CB712E">
            <w:pPr>
              <w:pStyle w:val="Paragraphedeliste"/>
              <w:numPr>
                <w:ilvl w:val="0"/>
                <w:numId w:val="299"/>
              </w:numPr>
              <w:spacing w:after="200" w:line="276" w:lineRule="auto"/>
              <w:ind w:left="292" w:hanging="292"/>
              <w:jc w:val="both"/>
              <w:rPr>
                <w:rFonts w:eastAsia="Aptos" w:cs="Calibri"/>
              </w:rPr>
            </w:pPr>
            <w:proofErr w:type="gramStart"/>
            <w:r w:rsidRPr="004A2EF0">
              <w:rPr>
                <w:rFonts w:eastAsia="Aptos" w:cs="Calibri"/>
              </w:rPr>
              <w:t>le</w:t>
            </w:r>
            <w:proofErr w:type="gramEnd"/>
            <w:r w:rsidRPr="004A2EF0">
              <w:rPr>
                <w:rFonts w:eastAsia="Aptos" w:cs="Calibri"/>
              </w:rPr>
              <w:t xml:space="preserve"> chiffre de la BCM correspond à la contribution de la pêche en devises, et il comprend les exportations (712,3 millions USD) et les redevances liées aux droits d’accès pour les flottes opérant sous le régime étranger</w:t>
            </w:r>
          </w:p>
          <w:p w14:paraId="24F1AAD4" w14:textId="77777777" w:rsidR="00CB712E" w:rsidRPr="004A2EF0" w:rsidRDefault="00CB712E" w:rsidP="00CB712E">
            <w:pPr>
              <w:pStyle w:val="Paragraphedeliste"/>
              <w:numPr>
                <w:ilvl w:val="0"/>
                <w:numId w:val="299"/>
              </w:numPr>
              <w:spacing w:after="200" w:line="276" w:lineRule="auto"/>
              <w:ind w:left="292" w:hanging="292"/>
              <w:jc w:val="both"/>
              <w:rPr>
                <w:rFonts w:eastAsia="Aptos" w:cs="Calibri"/>
              </w:rPr>
            </w:pPr>
            <w:proofErr w:type="gramStart"/>
            <w:r w:rsidRPr="004A2EF0">
              <w:rPr>
                <w:rFonts w:eastAsia="Aptos" w:cs="Calibri"/>
              </w:rPr>
              <w:t>en</w:t>
            </w:r>
            <w:proofErr w:type="gramEnd"/>
            <w:r w:rsidRPr="004A2EF0">
              <w:rPr>
                <w:rFonts w:eastAsia="Aptos" w:cs="Calibri"/>
              </w:rPr>
              <w:t xml:space="preserve"> 2019, les recettes en devises du secteur de la pêche ont représenté environ 23% des recettes globales des exportations du pays</w:t>
            </w:r>
          </w:p>
          <w:p w14:paraId="66334CEC" w14:textId="77777777" w:rsidR="00CB712E" w:rsidRPr="004A2EF0" w:rsidRDefault="00CB712E" w:rsidP="00CB712E">
            <w:pPr>
              <w:pStyle w:val="Paragraphedeliste"/>
              <w:numPr>
                <w:ilvl w:val="0"/>
                <w:numId w:val="299"/>
              </w:numPr>
              <w:spacing w:after="200" w:line="276" w:lineRule="auto"/>
              <w:ind w:left="292" w:hanging="292"/>
              <w:jc w:val="both"/>
              <w:rPr>
                <w:rFonts w:eastAsia="Aptos" w:cs="Calibri"/>
              </w:rPr>
            </w:pPr>
            <w:r w:rsidRPr="004A2EF0">
              <w:rPr>
                <w:rFonts w:eastAsia="Aptos" w:cs="Calibri"/>
              </w:rPr>
              <w:t>- la valeur des exportations des produits commercialisés via la SMCP a été de541,6 millions USD en 2020, soit près de 62% de la contribution totale en devises pour 2020</w:t>
            </w:r>
          </w:p>
        </w:tc>
      </w:tr>
      <w:tr w:rsidR="00CB712E" w:rsidRPr="000925B3" w14:paraId="344D9854" w14:textId="77777777" w:rsidTr="00655ABF">
        <w:trPr>
          <w:gridAfter w:val="2"/>
          <w:wAfter w:w="6804" w:type="dxa"/>
          <w:trHeight w:val="147"/>
        </w:trPr>
        <w:tc>
          <w:tcPr>
            <w:tcW w:w="2552" w:type="dxa"/>
            <w:shd w:val="clear" w:color="auto" w:fill="auto"/>
            <w:tcMar>
              <w:top w:w="0" w:type="dxa"/>
              <w:left w:w="108" w:type="dxa"/>
              <w:bottom w:w="0" w:type="dxa"/>
              <w:right w:w="108" w:type="dxa"/>
            </w:tcMar>
          </w:tcPr>
          <w:p w14:paraId="77E840E7" w14:textId="77777777" w:rsidR="00CB712E" w:rsidRPr="000925B3" w:rsidRDefault="00CB712E" w:rsidP="002D1362">
            <w:pPr>
              <w:rPr>
                <w:rFonts w:eastAsia="Aptos" w:cs="Calibri"/>
                <w:b/>
                <w:bCs/>
              </w:rPr>
            </w:pPr>
            <w:r w:rsidRPr="000925B3">
              <w:rPr>
                <w:rFonts w:eastAsia="Aptos" w:cs="Calibri"/>
                <w:b/>
                <w:bCs/>
              </w:rPr>
              <w:t>Recettes budgétaires</w:t>
            </w:r>
          </w:p>
        </w:tc>
        <w:tc>
          <w:tcPr>
            <w:tcW w:w="2096" w:type="dxa"/>
            <w:shd w:val="clear" w:color="auto" w:fill="auto"/>
            <w:tcMar>
              <w:top w:w="0" w:type="dxa"/>
              <w:left w:w="108" w:type="dxa"/>
              <w:bottom w:w="0" w:type="dxa"/>
              <w:right w:w="108" w:type="dxa"/>
            </w:tcMar>
          </w:tcPr>
          <w:p w14:paraId="240EE1F2" w14:textId="77777777" w:rsidR="00CB712E" w:rsidRPr="000925B3" w:rsidRDefault="00CB712E" w:rsidP="002D1362">
            <w:pPr>
              <w:rPr>
                <w:rFonts w:eastAsia="Aptos" w:cs="Calibri"/>
              </w:rPr>
            </w:pPr>
            <w:r w:rsidRPr="000925B3">
              <w:rPr>
                <w:rFonts w:eastAsia="Aptos" w:cs="Calibri"/>
              </w:rPr>
              <w:t>Recettes publiques (non fiscales) issues du secteur de la pêche : 8,9 milliards MRU (environ 254,2 millions USD) en 2020</w:t>
            </w:r>
          </w:p>
        </w:tc>
        <w:tc>
          <w:tcPr>
            <w:tcW w:w="5495" w:type="dxa"/>
            <w:gridSpan w:val="2"/>
            <w:shd w:val="clear" w:color="auto" w:fill="auto"/>
            <w:tcMar>
              <w:top w:w="0" w:type="dxa"/>
              <w:left w:w="108" w:type="dxa"/>
              <w:bottom w:w="0" w:type="dxa"/>
              <w:right w:w="108" w:type="dxa"/>
            </w:tcMar>
          </w:tcPr>
          <w:p w14:paraId="69FEB67C" w14:textId="77777777" w:rsidR="00CB712E" w:rsidRPr="000925B3" w:rsidRDefault="00CB712E" w:rsidP="00CB712E">
            <w:pPr>
              <w:pStyle w:val="Paragraphedeliste"/>
              <w:numPr>
                <w:ilvl w:val="0"/>
                <w:numId w:val="299"/>
              </w:numPr>
              <w:spacing w:after="200" w:line="276" w:lineRule="auto"/>
              <w:ind w:left="292" w:hanging="292"/>
              <w:jc w:val="both"/>
              <w:rPr>
                <w:rFonts w:eastAsia="Aptos" w:cs="Calibri"/>
              </w:rPr>
            </w:pPr>
            <w:r w:rsidRPr="000925B3">
              <w:rPr>
                <w:rFonts w:eastAsia="Aptos" w:cs="Calibri"/>
              </w:rPr>
              <w:t>Provenance : 61% régime étranger, 25% régime national, et 14% ‘autre provenance’ (ex. amendes, autres retenues)</w:t>
            </w:r>
          </w:p>
          <w:p w14:paraId="6BABAE60" w14:textId="77777777" w:rsidR="00CB712E" w:rsidRPr="000925B3" w:rsidRDefault="00CB712E" w:rsidP="00CB712E">
            <w:pPr>
              <w:pStyle w:val="Paragraphedeliste"/>
              <w:numPr>
                <w:ilvl w:val="0"/>
                <w:numId w:val="299"/>
              </w:numPr>
              <w:spacing w:after="200" w:line="276" w:lineRule="auto"/>
              <w:ind w:left="292" w:hanging="292"/>
              <w:jc w:val="both"/>
              <w:rPr>
                <w:rFonts w:eastAsia="Aptos" w:cs="Calibri"/>
              </w:rPr>
            </w:pPr>
            <w:r w:rsidRPr="000925B3">
              <w:rPr>
                <w:rFonts w:eastAsia="Aptos" w:cs="Calibri"/>
              </w:rPr>
              <w:t>Contribution du secteur des pêches aux recettes publiques totales du pays en 2020 : environ 16%</w:t>
            </w:r>
          </w:p>
        </w:tc>
      </w:tr>
      <w:tr w:rsidR="00CB712E" w:rsidRPr="000925B3" w14:paraId="33086674" w14:textId="77777777" w:rsidTr="00655ABF">
        <w:trPr>
          <w:gridAfter w:val="2"/>
          <w:wAfter w:w="6804" w:type="dxa"/>
          <w:trHeight w:val="147"/>
        </w:trPr>
        <w:tc>
          <w:tcPr>
            <w:tcW w:w="2552" w:type="dxa"/>
            <w:shd w:val="clear" w:color="auto" w:fill="C1E4F5"/>
            <w:tcMar>
              <w:top w:w="0" w:type="dxa"/>
              <w:left w:w="108" w:type="dxa"/>
              <w:bottom w:w="0" w:type="dxa"/>
              <w:right w:w="108" w:type="dxa"/>
            </w:tcMar>
          </w:tcPr>
          <w:p w14:paraId="1FD9A74F" w14:textId="77777777" w:rsidR="00CB712E" w:rsidRPr="000925B3" w:rsidRDefault="00CB712E" w:rsidP="002D1362">
            <w:pPr>
              <w:rPr>
                <w:rFonts w:eastAsia="Aptos" w:cs="Calibri"/>
                <w:b/>
                <w:bCs/>
              </w:rPr>
            </w:pPr>
            <w:r w:rsidRPr="000925B3">
              <w:rPr>
                <w:rFonts w:eastAsia="Aptos" w:cs="Calibri"/>
                <w:b/>
                <w:bCs/>
              </w:rPr>
              <w:t>Emplois</w:t>
            </w:r>
          </w:p>
        </w:tc>
        <w:tc>
          <w:tcPr>
            <w:tcW w:w="2096" w:type="dxa"/>
            <w:shd w:val="clear" w:color="auto" w:fill="C1E4F5"/>
            <w:tcMar>
              <w:top w:w="0" w:type="dxa"/>
              <w:left w:w="108" w:type="dxa"/>
              <w:bottom w:w="0" w:type="dxa"/>
              <w:right w:w="108" w:type="dxa"/>
            </w:tcMar>
          </w:tcPr>
          <w:p w14:paraId="7BF43E8A" w14:textId="77777777" w:rsidR="00CB712E" w:rsidRPr="000925B3" w:rsidRDefault="00CB712E" w:rsidP="002D1362">
            <w:pPr>
              <w:rPr>
                <w:rFonts w:eastAsia="Aptos" w:cs="Calibri"/>
              </w:rPr>
            </w:pPr>
            <w:r w:rsidRPr="000925B3">
              <w:rPr>
                <w:rFonts w:eastAsia="Aptos" w:cs="Calibri"/>
              </w:rPr>
              <w:t>Environ 226 000 emplois directs ou indirects liés au secteur de la pêche maritime en 2019</w:t>
            </w:r>
          </w:p>
        </w:tc>
        <w:tc>
          <w:tcPr>
            <w:tcW w:w="5495" w:type="dxa"/>
            <w:gridSpan w:val="2"/>
            <w:shd w:val="clear" w:color="auto" w:fill="C1E4F5"/>
            <w:tcMar>
              <w:top w:w="0" w:type="dxa"/>
              <w:left w:w="108" w:type="dxa"/>
              <w:bottom w:w="0" w:type="dxa"/>
              <w:right w:w="108" w:type="dxa"/>
            </w:tcMar>
          </w:tcPr>
          <w:p w14:paraId="641020DA" w14:textId="77777777" w:rsidR="00CB712E" w:rsidRPr="000925B3" w:rsidRDefault="00CB712E" w:rsidP="00CB712E">
            <w:pPr>
              <w:pStyle w:val="Paragraphedeliste"/>
              <w:numPr>
                <w:ilvl w:val="0"/>
                <w:numId w:val="299"/>
              </w:numPr>
              <w:spacing w:after="200" w:line="276" w:lineRule="auto"/>
              <w:ind w:left="292" w:hanging="292"/>
              <w:jc w:val="both"/>
              <w:rPr>
                <w:rFonts w:eastAsia="Aptos" w:cs="Calibri"/>
              </w:rPr>
            </w:pPr>
            <w:r w:rsidRPr="000925B3">
              <w:rPr>
                <w:rFonts w:eastAsia="Aptos" w:cs="Calibri"/>
              </w:rPr>
              <w:t>53 900 emplois en mer (environ 66% dans la PA, 22% dans la PC et 12% dans la PH) ; environ 87% du total étant des marins pêcheurs mauritaniens</w:t>
            </w:r>
          </w:p>
          <w:p w14:paraId="59C93A9D" w14:textId="77777777" w:rsidR="00CB712E" w:rsidRPr="000925B3" w:rsidRDefault="00CB712E" w:rsidP="00CB712E">
            <w:pPr>
              <w:pStyle w:val="Paragraphedeliste"/>
              <w:numPr>
                <w:ilvl w:val="0"/>
                <w:numId w:val="299"/>
              </w:numPr>
              <w:spacing w:after="200" w:line="276" w:lineRule="auto"/>
              <w:ind w:left="292" w:hanging="292"/>
              <w:jc w:val="both"/>
              <w:rPr>
                <w:rFonts w:eastAsia="Aptos" w:cs="Calibri"/>
              </w:rPr>
            </w:pPr>
            <w:r w:rsidRPr="000925B3">
              <w:rPr>
                <w:rFonts w:eastAsia="Aptos" w:cs="Calibri"/>
              </w:rPr>
              <w:t>10 650 emplois à terre (transformation et commercialisation)</w:t>
            </w:r>
          </w:p>
          <w:p w14:paraId="17DA76B3" w14:textId="77777777" w:rsidR="00CB712E" w:rsidRPr="000925B3" w:rsidRDefault="00CB712E" w:rsidP="00CB712E">
            <w:pPr>
              <w:pStyle w:val="Paragraphedeliste"/>
              <w:numPr>
                <w:ilvl w:val="0"/>
                <w:numId w:val="299"/>
              </w:numPr>
              <w:spacing w:after="200" w:line="276" w:lineRule="auto"/>
              <w:ind w:left="292" w:hanging="292"/>
              <w:jc w:val="both"/>
              <w:rPr>
                <w:rFonts w:eastAsia="Aptos" w:cs="Calibri"/>
              </w:rPr>
            </w:pPr>
            <w:r w:rsidRPr="000925B3">
              <w:rPr>
                <w:rFonts w:eastAsia="Aptos" w:cs="Calibri"/>
              </w:rPr>
              <w:t>161 500 autres emplois indirects</w:t>
            </w:r>
          </w:p>
        </w:tc>
      </w:tr>
      <w:tr w:rsidR="00CB712E" w:rsidRPr="000925B3" w14:paraId="31008800" w14:textId="77777777" w:rsidTr="00655ABF">
        <w:trPr>
          <w:gridAfter w:val="2"/>
          <w:wAfter w:w="6804" w:type="dxa"/>
          <w:trHeight w:val="147"/>
        </w:trPr>
        <w:tc>
          <w:tcPr>
            <w:tcW w:w="2552" w:type="dxa"/>
            <w:shd w:val="clear" w:color="auto" w:fill="auto"/>
            <w:tcMar>
              <w:top w:w="0" w:type="dxa"/>
              <w:left w:w="108" w:type="dxa"/>
              <w:bottom w:w="0" w:type="dxa"/>
              <w:right w:w="108" w:type="dxa"/>
            </w:tcMar>
          </w:tcPr>
          <w:p w14:paraId="644F372C" w14:textId="77777777" w:rsidR="00CB712E" w:rsidRPr="000925B3" w:rsidRDefault="00CB712E" w:rsidP="002D1362">
            <w:pPr>
              <w:rPr>
                <w:rFonts w:eastAsia="Aptos" w:cs="Calibri"/>
                <w:b/>
                <w:bCs/>
              </w:rPr>
            </w:pPr>
            <w:r w:rsidRPr="000925B3">
              <w:rPr>
                <w:rFonts w:eastAsia="Aptos" w:cs="Calibri"/>
                <w:b/>
                <w:bCs/>
              </w:rPr>
              <w:t>Sécurité alimentaire et nutritionnelle</w:t>
            </w:r>
          </w:p>
        </w:tc>
        <w:tc>
          <w:tcPr>
            <w:tcW w:w="2096" w:type="dxa"/>
            <w:shd w:val="clear" w:color="auto" w:fill="auto"/>
            <w:tcMar>
              <w:top w:w="0" w:type="dxa"/>
              <w:left w:w="108" w:type="dxa"/>
              <w:bottom w:w="0" w:type="dxa"/>
              <w:right w:w="108" w:type="dxa"/>
            </w:tcMar>
          </w:tcPr>
          <w:p w14:paraId="4E047451" w14:textId="77777777" w:rsidR="00CB712E" w:rsidRPr="000925B3" w:rsidRDefault="00CB712E" w:rsidP="002D1362">
            <w:pPr>
              <w:rPr>
                <w:rFonts w:eastAsia="Aptos" w:cs="Calibri"/>
              </w:rPr>
            </w:pPr>
            <w:r w:rsidRPr="000925B3">
              <w:rPr>
                <w:rFonts w:eastAsia="Aptos" w:cs="Calibri"/>
              </w:rPr>
              <w:t>Consommation de poisson : environ 12,6 kg/an par hab. en 2019</w:t>
            </w:r>
          </w:p>
        </w:tc>
        <w:tc>
          <w:tcPr>
            <w:tcW w:w="5495" w:type="dxa"/>
            <w:gridSpan w:val="2"/>
            <w:shd w:val="clear" w:color="auto" w:fill="auto"/>
            <w:tcMar>
              <w:top w:w="0" w:type="dxa"/>
              <w:left w:w="108" w:type="dxa"/>
              <w:bottom w:w="0" w:type="dxa"/>
              <w:right w:w="108" w:type="dxa"/>
            </w:tcMar>
          </w:tcPr>
          <w:p w14:paraId="1BEF1F65" w14:textId="77777777" w:rsidR="00CB712E" w:rsidRPr="000925B3" w:rsidRDefault="00CB712E" w:rsidP="00CB712E">
            <w:pPr>
              <w:pStyle w:val="Paragraphedeliste"/>
              <w:numPr>
                <w:ilvl w:val="0"/>
                <w:numId w:val="299"/>
              </w:numPr>
              <w:spacing w:after="200" w:line="276" w:lineRule="auto"/>
              <w:ind w:left="292" w:hanging="292"/>
              <w:jc w:val="both"/>
              <w:rPr>
                <w:rFonts w:eastAsia="Aptos" w:cs="Calibri"/>
              </w:rPr>
            </w:pPr>
            <w:r w:rsidRPr="000925B3">
              <w:rPr>
                <w:rFonts w:eastAsia="Aptos" w:cs="Calibri"/>
              </w:rPr>
              <w:t>Selon la dernière évaluation réalisée par l’IMROP et validée par le CTS, le niveau de consommation était de 12,6 kg/an par hab. en 2019</w:t>
            </w:r>
          </w:p>
          <w:p w14:paraId="3F94229C" w14:textId="700DAC07" w:rsidR="00CB712E" w:rsidRPr="000925B3" w:rsidRDefault="00153C41" w:rsidP="00CB712E">
            <w:pPr>
              <w:pStyle w:val="Paragraphedeliste"/>
              <w:numPr>
                <w:ilvl w:val="0"/>
                <w:numId w:val="299"/>
              </w:numPr>
              <w:spacing w:after="200" w:line="276" w:lineRule="auto"/>
              <w:ind w:left="292" w:hanging="292"/>
              <w:jc w:val="both"/>
              <w:rPr>
                <w:rFonts w:eastAsia="Aptos" w:cs="Calibri"/>
              </w:rPr>
            </w:pPr>
            <w:r w:rsidRPr="000925B3">
              <w:rPr>
                <w:rFonts w:eastAsia="Aptos" w:cs="Calibri"/>
              </w:rPr>
              <w:t>Selon</w:t>
            </w:r>
            <w:r w:rsidR="00CB712E" w:rsidRPr="000925B3">
              <w:rPr>
                <w:rFonts w:eastAsia="Aptos" w:cs="Calibri"/>
              </w:rPr>
              <w:t xml:space="preserve"> les résultats d’une enquête consommation auprès des ménages réalisée en 2020 (financement UE/GIZ), non validés par le MPEM, le niveau de consommation a été estimé à près de 16,4 kg/an par hab.</w:t>
            </w:r>
          </w:p>
        </w:tc>
      </w:tr>
      <w:tr w:rsidR="00CB712E" w:rsidRPr="000925B3" w14:paraId="7DD6D4AF" w14:textId="77777777" w:rsidTr="00655ABF">
        <w:trPr>
          <w:trHeight w:val="308"/>
        </w:trPr>
        <w:tc>
          <w:tcPr>
            <w:tcW w:w="9356" w:type="dxa"/>
            <w:gridSpan w:val="3"/>
            <w:shd w:val="clear" w:color="auto" w:fill="auto"/>
            <w:tcMar>
              <w:top w:w="0" w:type="dxa"/>
              <w:left w:w="108" w:type="dxa"/>
              <w:bottom w:w="0" w:type="dxa"/>
              <w:right w:w="108" w:type="dxa"/>
            </w:tcMar>
          </w:tcPr>
          <w:p w14:paraId="29BBCAFE" w14:textId="0D36D23D" w:rsidR="00CB712E" w:rsidRPr="000925B3" w:rsidRDefault="00CB712E" w:rsidP="00655ABF">
            <w:pPr>
              <w:pStyle w:val="Lgende"/>
              <w:spacing w:after="0"/>
              <w:ind w:right="-1320"/>
            </w:pPr>
            <w:bookmarkStart w:id="262" w:name="_Toc118284016"/>
            <w:r w:rsidRPr="000925B3">
              <w:rPr>
                <w:rFonts w:cs="Calibri"/>
                <w:b/>
                <w:bCs/>
                <w:sz w:val="22"/>
                <w:szCs w:val="22"/>
              </w:rPr>
              <w:t>Tableau </w:t>
            </w:r>
            <w:r>
              <w:rPr>
                <w:rFonts w:cs="Calibri"/>
                <w:b/>
                <w:bCs/>
                <w:sz w:val="22"/>
                <w:szCs w:val="22"/>
              </w:rPr>
              <w:t>2</w:t>
            </w:r>
            <w:r w:rsidRPr="000925B3">
              <w:rPr>
                <w:rFonts w:cs="Calibri"/>
                <w:b/>
                <w:bCs/>
                <w:sz w:val="22"/>
                <w:szCs w:val="22"/>
              </w:rPr>
              <w:t xml:space="preserve"> Performances économiques et sociales actuelles du secteur de la pêche maritime (source : MPEM)</w:t>
            </w:r>
            <w:bookmarkEnd w:id="262"/>
          </w:p>
        </w:tc>
        <w:tc>
          <w:tcPr>
            <w:tcW w:w="2096" w:type="dxa"/>
            <w:gridSpan w:val="2"/>
            <w:shd w:val="clear" w:color="auto" w:fill="auto"/>
            <w:tcMar>
              <w:top w:w="0" w:type="dxa"/>
              <w:left w:w="108" w:type="dxa"/>
              <w:bottom w:w="0" w:type="dxa"/>
              <w:right w:w="108" w:type="dxa"/>
            </w:tcMar>
          </w:tcPr>
          <w:p w14:paraId="24672873" w14:textId="77777777" w:rsidR="00CB712E" w:rsidRPr="000925B3" w:rsidRDefault="00CB712E" w:rsidP="002D1362">
            <w:pPr>
              <w:rPr>
                <w:rFonts w:eastAsia="Aptos" w:cs="Calibri"/>
              </w:rPr>
            </w:pPr>
          </w:p>
        </w:tc>
        <w:tc>
          <w:tcPr>
            <w:tcW w:w="5495" w:type="dxa"/>
            <w:shd w:val="clear" w:color="auto" w:fill="auto"/>
            <w:tcMar>
              <w:top w:w="0" w:type="dxa"/>
              <w:left w:w="108" w:type="dxa"/>
              <w:bottom w:w="0" w:type="dxa"/>
              <w:right w:w="108" w:type="dxa"/>
            </w:tcMar>
          </w:tcPr>
          <w:p w14:paraId="248783C5" w14:textId="77777777" w:rsidR="00CB712E" w:rsidRPr="000925B3" w:rsidRDefault="00CB712E" w:rsidP="002D1362">
            <w:pPr>
              <w:rPr>
                <w:rFonts w:eastAsia="Aptos" w:cs="Calibri"/>
              </w:rPr>
            </w:pPr>
          </w:p>
        </w:tc>
      </w:tr>
    </w:tbl>
    <w:p w14:paraId="5F58A9BB" w14:textId="0B2C1846" w:rsidR="00CB712E" w:rsidRPr="00654446" w:rsidRDefault="00CB712E" w:rsidP="00CB712E">
      <w:pPr>
        <w:pStyle w:val="NumberedParas"/>
        <w:numPr>
          <w:ilvl w:val="0"/>
          <w:numId w:val="0"/>
        </w:numPr>
        <w:rPr>
          <w:rFonts w:ascii="Calibri" w:hAnsi="Calibri" w:cs="Calibri"/>
          <w:lang w:val="fr-FR"/>
        </w:rPr>
      </w:pPr>
      <w:bookmarkStart w:id="263" w:name="_Hlk177656426"/>
      <w:r w:rsidRPr="000925B3">
        <w:rPr>
          <w:rFonts w:ascii="Calibri" w:hAnsi="Calibri" w:cs="Calibri"/>
          <w:lang w:val="fr-FR"/>
        </w:rPr>
        <w:t>l faut noter que l’importance de ces indicateurs socioéconomiques est intimement liée à la pertinence ou l’efficience des politiques publiques en matière de maximisation et pérennisation des profits pouvant être générés par l’exploitation du patrimoine halieutique national. A cet effet, la L2P prévoit l’optimisation du volume des captures annuelles dans la ZEEM, la transformation de ces captures pour en tirer la plus grande valeur ajoutée et puis l’amélioration du système de commercialisation des produits pour accéder aux marchés les plus rémunérateurs.</w:t>
      </w:r>
      <w:r w:rsidRPr="00426B1D">
        <w:rPr>
          <w:rFonts w:ascii="Calibri" w:hAnsi="Calibri" w:cs="Calibri"/>
          <w:color w:val="FF0000"/>
          <w:lang w:val="fr-FR"/>
        </w:rPr>
        <w:t xml:space="preserve"> </w:t>
      </w:r>
      <w:r w:rsidRPr="00654446">
        <w:rPr>
          <w:rFonts w:ascii="Calibri" w:hAnsi="Calibri" w:cs="Calibri"/>
          <w:lang w:val="fr-FR"/>
        </w:rPr>
        <w:t>Ainsi, ces préoccupations exprimées dans la L2P confirment que la pêche c’est essentiellement la production, la transformation et la commercialisation.</w:t>
      </w:r>
    </w:p>
    <w:bookmarkEnd w:id="263"/>
    <w:p w14:paraId="67745062" w14:textId="77777777" w:rsidR="00CB712E" w:rsidRPr="00655ABF" w:rsidRDefault="00CB712E" w:rsidP="00CB712E">
      <w:pPr>
        <w:jc w:val="both"/>
        <w:rPr>
          <w:rFonts w:cs="Calibri"/>
          <w:sz w:val="4"/>
          <w:szCs w:val="4"/>
        </w:rPr>
      </w:pPr>
    </w:p>
    <w:p w14:paraId="743CBD8E" w14:textId="77777777" w:rsidR="00CB712E" w:rsidRPr="000925B3" w:rsidRDefault="00CB712E" w:rsidP="00CB712E">
      <w:pPr>
        <w:jc w:val="both"/>
        <w:rPr>
          <w:rFonts w:cs="Calibri"/>
          <w:b/>
          <w:bCs/>
          <w:i/>
          <w:iCs/>
          <w:color w:val="FF0000"/>
        </w:rPr>
      </w:pPr>
      <w:r w:rsidRPr="000925B3">
        <w:rPr>
          <w:rFonts w:cs="Calibri"/>
          <w:b/>
          <w:bCs/>
          <w:i/>
          <w:iCs/>
          <w:color w:val="FF0000"/>
        </w:rPr>
        <w:t>3.2.5. Place du changement climatique dans la L2P</w:t>
      </w:r>
    </w:p>
    <w:p w14:paraId="5940D763" w14:textId="77777777" w:rsidR="00CB712E" w:rsidRPr="00655ABF" w:rsidRDefault="00CB712E" w:rsidP="00CB712E">
      <w:pPr>
        <w:jc w:val="both"/>
        <w:rPr>
          <w:rFonts w:cs="Calibri"/>
          <w:i/>
          <w:iCs/>
          <w:sz w:val="4"/>
          <w:szCs w:val="4"/>
        </w:rPr>
      </w:pPr>
    </w:p>
    <w:p w14:paraId="2793D2E6" w14:textId="77777777" w:rsidR="00CB712E" w:rsidRPr="000925B3" w:rsidRDefault="00CB712E" w:rsidP="00CB712E">
      <w:pPr>
        <w:jc w:val="both"/>
        <w:rPr>
          <w:rFonts w:cs="Calibri"/>
        </w:rPr>
      </w:pPr>
      <w:r w:rsidRPr="000925B3">
        <w:rPr>
          <w:rFonts w:cs="Calibri"/>
        </w:rPr>
        <w:t xml:space="preserve">Dans les stratégies passées, on parle généralement de la dimension environnementale et de la nécessité d’en tenir compte dans la planification des activités du secteur, </w:t>
      </w:r>
      <w:r>
        <w:rPr>
          <w:rFonts w:cs="Calibri"/>
        </w:rPr>
        <w:t xml:space="preserve">au niveau de l’Administration centrale et organismes sous tutelle, </w:t>
      </w:r>
      <w:r w:rsidRPr="000925B3">
        <w:rPr>
          <w:rFonts w:cs="Calibri"/>
        </w:rPr>
        <w:t>notamment au niveau de la recherche menée par l’IMROP et des programmes de l’ONISPA</w:t>
      </w:r>
      <w:r>
        <w:rPr>
          <w:rFonts w:cs="Calibri"/>
        </w:rPr>
        <w:t>, de l’AMAM et de l’ADPPC</w:t>
      </w:r>
      <w:r w:rsidRPr="000925B3">
        <w:rPr>
          <w:rFonts w:cs="Calibri"/>
        </w:rPr>
        <w:t>.</w:t>
      </w:r>
    </w:p>
    <w:p w14:paraId="6D0E848A" w14:textId="77777777" w:rsidR="00CB712E" w:rsidRPr="000925B3" w:rsidRDefault="00CB712E" w:rsidP="00CB712E">
      <w:pPr>
        <w:jc w:val="both"/>
        <w:rPr>
          <w:rFonts w:cs="Calibri"/>
        </w:rPr>
      </w:pPr>
      <w:r w:rsidRPr="000925B3">
        <w:rPr>
          <w:rFonts w:cs="Calibri"/>
        </w:rPr>
        <w:br/>
        <w:t>Au niveau de la L2P, il a été explicitement et largement question du changement climatique et d’une volonté réelle de prendre désormais compte</w:t>
      </w:r>
      <w:r>
        <w:rPr>
          <w:rFonts w:cs="Calibri"/>
        </w:rPr>
        <w:t>,</w:t>
      </w:r>
      <w:r w:rsidRPr="000925B3">
        <w:rPr>
          <w:rFonts w:cs="Calibri"/>
        </w:rPr>
        <w:t xml:space="preserve"> de ce phénomène menaçant, dans les stratégies, les programmes, les plans et les projets du secteur</w:t>
      </w:r>
      <w:r>
        <w:rPr>
          <w:rFonts w:cs="Calibri"/>
        </w:rPr>
        <w:t>, en général et du sous-secteur maritime, en particulier</w:t>
      </w:r>
      <w:r w:rsidRPr="000925B3">
        <w:rPr>
          <w:rFonts w:cs="Calibri"/>
        </w:rPr>
        <w:t xml:space="preserve">. </w:t>
      </w:r>
    </w:p>
    <w:p w14:paraId="60FF8ACE" w14:textId="77777777" w:rsidR="00CB712E" w:rsidRDefault="00CB712E" w:rsidP="00CB712E">
      <w:pPr>
        <w:jc w:val="both"/>
        <w:rPr>
          <w:rFonts w:cs="Calibri"/>
        </w:rPr>
      </w:pPr>
    </w:p>
    <w:p w14:paraId="467CF799" w14:textId="77777777" w:rsidR="00CB712E" w:rsidRPr="000925B3" w:rsidRDefault="00CB712E" w:rsidP="00CB712E">
      <w:pPr>
        <w:jc w:val="both"/>
        <w:rPr>
          <w:rFonts w:cs="Calibri"/>
        </w:rPr>
      </w:pPr>
      <w:r w:rsidRPr="000925B3">
        <w:rPr>
          <w:rFonts w:cs="Calibri"/>
        </w:rPr>
        <w:t>L’analyse de ses axes stratégiques (</w:t>
      </w:r>
      <w:r>
        <w:rPr>
          <w:rFonts w:cs="Calibri"/>
        </w:rPr>
        <w:t>AS</w:t>
      </w:r>
      <w:r w:rsidRPr="000925B3">
        <w:rPr>
          <w:rFonts w:cs="Calibri"/>
        </w:rPr>
        <w:t>) et de ses chantiers structurants (CS), la L2P s’engage, dans le 6eme CS de son AS nr.1, à réduire les émissions de gaz à effet de serre (GES) et à prendre des mesures et réaliser des actions d’adaptation au changement climatique au cours de la période 2022-20024.</w:t>
      </w:r>
    </w:p>
    <w:p w14:paraId="43337E9A" w14:textId="77777777" w:rsidR="00CB712E" w:rsidRPr="000925B3" w:rsidRDefault="00CB712E" w:rsidP="00CB712E">
      <w:pPr>
        <w:jc w:val="both"/>
        <w:rPr>
          <w:rFonts w:cs="Calibri"/>
        </w:rPr>
      </w:pPr>
    </w:p>
    <w:p w14:paraId="298CA181" w14:textId="77777777" w:rsidR="00CB712E" w:rsidRPr="000925B3" w:rsidRDefault="00CB712E" w:rsidP="00CB712E">
      <w:pPr>
        <w:jc w:val="both"/>
        <w:rPr>
          <w:rFonts w:cs="Calibri"/>
        </w:rPr>
      </w:pPr>
      <w:r w:rsidRPr="000925B3">
        <w:rPr>
          <w:rFonts w:cs="Calibri"/>
        </w:rPr>
        <w:t>La réduction des émissions des GES, se fera à travers le respect des normes environnementales par les navires, les industries et les infrastructures de pêche, et des choix technologiques privilégiant des modes de consommation économe en énergie. A terme, le secteur compte parvenir à la production du bilan carbone de ses activités (évaluation des consommations d’énergie et des émissions de GES, générées par le secteur). Ce bilan requiert l’intégration préalable de l’atténuation dans les CDN pêche, des capacités renforcées en la matière et l’encouragement des puits de carbone par une plus grande préservation des herbiers marins du PNBA et le développement de l’algoculture.</w:t>
      </w:r>
    </w:p>
    <w:p w14:paraId="131C9740" w14:textId="77777777" w:rsidR="00CB712E" w:rsidRPr="000925B3" w:rsidRDefault="00CB712E" w:rsidP="00CB712E">
      <w:pPr>
        <w:jc w:val="both"/>
        <w:rPr>
          <w:rFonts w:cs="Calibri"/>
        </w:rPr>
      </w:pPr>
    </w:p>
    <w:p w14:paraId="4AE32D5E" w14:textId="77777777" w:rsidR="00CB712E" w:rsidRPr="000925B3" w:rsidRDefault="00CB712E" w:rsidP="00CB712E">
      <w:pPr>
        <w:jc w:val="both"/>
        <w:rPr>
          <w:rFonts w:cs="Calibri"/>
        </w:rPr>
      </w:pPr>
      <w:r w:rsidRPr="000925B3">
        <w:rPr>
          <w:rFonts w:cs="Calibri"/>
        </w:rPr>
        <w:t>En matière d’adaptation au CC, le secteur justifie son intérêt par la nature des aléas climatiques et l’ampleur de leurs impacts actuels et potentiels et cite comme exemple de motifs (i) l’érosion côtière dans certaines zones du littoral, (ii) le risques de fragilisation des infrastructures d’appui à cause d’une élévation du niveau de la mer devant être de 0,6 m d’ici la fin du siècle et (iii) le changement de trajectoires et d’habitats d’espèces, rapporté déjà par des scientifiques et des professionnels du secteur.</w:t>
      </w:r>
    </w:p>
    <w:p w14:paraId="0850550E" w14:textId="77777777" w:rsidR="00CB712E" w:rsidRPr="000925B3" w:rsidRDefault="00CB712E" w:rsidP="00CB712E">
      <w:pPr>
        <w:jc w:val="both"/>
        <w:rPr>
          <w:rFonts w:cs="Calibri"/>
        </w:rPr>
      </w:pPr>
    </w:p>
    <w:p w14:paraId="0CDBAEC4" w14:textId="77777777" w:rsidR="00CB712E" w:rsidRPr="000925B3" w:rsidRDefault="00CB712E" w:rsidP="00CB712E">
      <w:pPr>
        <w:jc w:val="both"/>
        <w:rPr>
          <w:rFonts w:cs="Calibri"/>
        </w:rPr>
      </w:pPr>
      <w:r w:rsidRPr="000925B3">
        <w:rPr>
          <w:rFonts w:cs="Calibri"/>
        </w:rPr>
        <w:t>Pour faire face à cette situation</w:t>
      </w:r>
      <w:r>
        <w:rPr>
          <w:rFonts w:cs="Calibri"/>
        </w:rPr>
        <w:t>,</w:t>
      </w:r>
      <w:r w:rsidRPr="000925B3">
        <w:rPr>
          <w:rFonts w:cs="Calibri"/>
        </w:rPr>
        <w:t xml:space="preserve"> appelée à s’aggraver sous l’effet combiné du CC et des autres menaces traditionnelles, la L2P prévoit </w:t>
      </w:r>
      <w:bookmarkStart w:id="264" w:name="_Hlk177891152"/>
      <w:r w:rsidRPr="000925B3">
        <w:rPr>
          <w:rFonts w:cs="Calibri"/>
        </w:rPr>
        <w:t xml:space="preserve">l’élaboration d’un programme ambitieux sur le CC dans le secteur </w:t>
      </w:r>
      <w:bookmarkEnd w:id="264"/>
      <w:r w:rsidRPr="000925B3">
        <w:rPr>
          <w:rFonts w:cs="Calibri"/>
        </w:rPr>
        <w:t>avant la fin de la période de sa mise en œuvre (2022-2024). Ce sont là des preuves éloquentes d’un vrai changement de comportement des décideurs du secteur des pêches et une assurance que le CC sera dorénavant une composante essentielle de toute activité future de planification dans ce secteur tant menacé que stratégique pour le développement du pays.</w:t>
      </w:r>
    </w:p>
    <w:bookmarkEnd w:id="226"/>
    <w:p w14:paraId="62CC3CEA" w14:textId="77777777" w:rsidR="00CB712E" w:rsidRPr="000925B3" w:rsidRDefault="00CB712E" w:rsidP="00CB712E">
      <w:pPr>
        <w:jc w:val="center"/>
        <w:rPr>
          <w:rFonts w:cs="Calibri"/>
          <w:b/>
          <w:bCs/>
          <w:i/>
          <w:iCs/>
        </w:rPr>
      </w:pPr>
    </w:p>
    <w:p w14:paraId="5049C130" w14:textId="77777777" w:rsidR="00CB712E" w:rsidRPr="000925B3" w:rsidRDefault="00CB712E" w:rsidP="00CB712E">
      <w:pPr>
        <w:rPr>
          <w:rFonts w:cs="Calibri"/>
        </w:rPr>
      </w:pPr>
      <w:r w:rsidRPr="000925B3">
        <w:rPr>
          <w:rFonts w:cs="Calibri"/>
          <w:b/>
          <w:bCs/>
          <w:color w:val="FF0000"/>
        </w:rPr>
        <w:t>PARTIE IV : IDENTIFICATION D</w:t>
      </w:r>
      <w:r>
        <w:rPr>
          <w:rFonts w:cs="Calibri"/>
          <w:b/>
          <w:bCs/>
          <w:color w:val="FF0000"/>
        </w:rPr>
        <w:t xml:space="preserve">E MESURES ET </w:t>
      </w:r>
      <w:r w:rsidRPr="000925B3">
        <w:rPr>
          <w:rFonts w:cs="Calibri"/>
          <w:b/>
          <w:bCs/>
          <w:color w:val="FF0000"/>
        </w:rPr>
        <w:t>ACTIONS D’ADAPTATION AU CHANGEMENT CLIMATIQUE D</w:t>
      </w:r>
      <w:r>
        <w:rPr>
          <w:rFonts w:cs="Calibri"/>
          <w:b/>
          <w:bCs/>
          <w:color w:val="FF0000"/>
        </w:rPr>
        <w:t xml:space="preserve">U </w:t>
      </w:r>
      <w:r w:rsidRPr="000925B3">
        <w:rPr>
          <w:rFonts w:cs="Calibri"/>
          <w:b/>
          <w:bCs/>
          <w:color w:val="FF0000"/>
        </w:rPr>
        <w:t>SOUS-SECTEURS MARITIME</w:t>
      </w:r>
      <w:r>
        <w:rPr>
          <w:rFonts w:cs="Calibri"/>
          <w:b/>
          <w:bCs/>
          <w:color w:val="FF0000"/>
        </w:rPr>
        <w:t> :</w:t>
      </w:r>
    </w:p>
    <w:p w14:paraId="388522A8" w14:textId="77777777" w:rsidR="00CB712E" w:rsidRPr="000925B3" w:rsidRDefault="00CB712E" w:rsidP="00CB712E">
      <w:pPr>
        <w:rPr>
          <w:rFonts w:cs="Calibri"/>
          <w:b/>
          <w:bCs/>
        </w:rPr>
      </w:pPr>
    </w:p>
    <w:p w14:paraId="668F672A" w14:textId="77777777" w:rsidR="00CB712E" w:rsidRPr="000925B3" w:rsidRDefault="00CB712E" w:rsidP="00CB712E">
      <w:pPr>
        <w:autoSpaceDE w:val="0"/>
        <w:jc w:val="both"/>
        <w:rPr>
          <w:rFonts w:cs="Calibri"/>
        </w:rPr>
      </w:pPr>
      <w:r w:rsidRPr="000925B3">
        <w:rPr>
          <w:rFonts w:cs="Calibri"/>
        </w:rPr>
        <w:t>Les actions d’adaptation au changement climatique, représentent le vrai noyau autour duquel se construit la présente contribution du secteur des pêches à la Cinquième Communication Nationale (CN</w:t>
      </w:r>
      <w:r>
        <w:rPr>
          <w:rFonts w:cs="Calibri"/>
        </w:rPr>
        <w:t>5</w:t>
      </w:r>
      <w:r w:rsidRPr="000925B3">
        <w:rPr>
          <w:rFonts w:cs="Calibri"/>
        </w:rPr>
        <w:t>) pour la période 202</w:t>
      </w:r>
      <w:r>
        <w:rPr>
          <w:rFonts w:cs="Calibri"/>
        </w:rPr>
        <w:t>2</w:t>
      </w:r>
      <w:r w:rsidRPr="000925B3">
        <w:rPr>
          <w:rFonts w:cs="Calibri"/>
        </w:rPr>
        <w:t>-2030. Elles doivent alors être conformes aux objectifs prioritaires du secteur, pertinentes et à l’aune des multiples menaces du changement climatique (CC) sur le secteur. Leur identification demande cependant l’étude préalable des principaux documents officiels de référence en matière de politique nationale et de stratégies et programmes sectoriels.</w:t>
      </w:r>
    </w:p>
    <w:p w14:paraId="267591D2" w14:textId="77777777" w:rsidR="00CB712E" w:rsidRPr="000925B3" w:rsidRDefault="00CB712E" w:rsidP="00CB712E">
      <w:pPr>
        <w:autoSpaceDE w:val="0"/>
        <w:jc w:val="both"/>
        <w:rPr>
          <w:rFonts w:cs="Calibri"/>
        </w:rPr>
      </w:pPr>
    </w:p>
    <w:p w14:paraId="0767FDC8" w14:textId="77777777" w:rsidR="00CB712E" w:rsidRPr="000925B3" w:rsidRDefault="00CB712E" w:rsidP="00CB712E">
      <w:pPr>
        <w:jc w:val="both"/>
        <w:rPr>
          <w:rFonts w:cs="Calibri"/>
        </w:rPr>
      </w:pPr>
      <w:r w:rsidRPr="000925B3">
        <w:rPr>
          <w:rFonts w:cs="Calibri"/>
        </w:rPr>
        <w:t>Cette analyse, faite uniquement sous l’angle du changement climatique, a également couvert les dernières contributions du secteur à la CDN2021 actualisée et au plan d’action 2022-2030 de sa mise en œuvre. Elle a aussi intégré la situation actuelle pêche-changement climatique, décrite à la partie II de ce rapport.</w:t>
      </w:r>
    </w:p>
    <w:p w14:paraId="3B7FA8FD" w14:textId="77777777" w:rsidR="00CB712E" w:rsidRPr="000925B3" w:rsidRDefault="00CB712E" w:rsidP="00CB712E">
      <w:pPr>
        <w:jc w:val="both"/>
        <w:rPr>
          <w:rFonts w:cs="Calibri"/>
        </w:rPr>
      </w:pPr>
    </w:p>
    <w:p w14:paraId="2B82C8C1" w14:textId="77777777" w:rsidR="00CB712E" w:rsidRPr="000925B3" w:rsidRDefault="00CB712E" w:rsidP="00CB712E">
      <w:pPr>
        <w:jc w:val="both"/>
        <w:rPr>
          <w:rFonts w:cs="Calibri"/>
        </w:rPr>
      </w:pPr>
      <w:r w:rsidRPr="000925B3">
        <w:rPr>
          <w:rFonts w:cs="Calibri"/>
        </w:rPr>
        <w:t xml:space="preserve">L’étape ultime de cet exercice d’analyse, a consisté en l’exploitation des résultats obtenus pour identifier les </w:t>
      </w:r>
      <w:r>
        <w:rPr>
          <w:rFonts w:cs="Calibri"/>
        </w:rPr>
        <w:t xml:space="preserve">mesures et </w:t>
      </w:r>
      <w:r w:rsidRPr="000925B3">
        <w:rPr>
          <w:rFonts w:cs="Calibri"/>
        </w:rPr>
        <w:t xml:space="preserve">actions d’adaptation au changement climatique </w:t>
      </w:r>
      <w:r>
        <w:rPr>
          <w:rFonts w:cs="Calibri"/>
        </w:rPr>
        <w:t xml:space="preserve">pour le sous-secteur des pêches maritimes </w:t>
      </w:r>
      <w:r w:rsidRPr="000925B3">
        <w:rPr>
          <w:rFonts w:cs="Calibri"/>
        </w:rPr>
        <w:t>et en sélectionner les plus pertinentes pour en faire la composante substantielle de la contribution sectorielle</w:t>
      </w:r>
      <w:r>
        <w:rPr>
          <w:rFonts w:cs="Calibri"/>
        </w:rPr>
        <w:t xml:space="preserve"> dans ce domaine</w:t>
      </w:r>
      <w:r w:rsidRPr="000925B3">
        <w:rPr>
          <w:rFonts w:cs="Calibri"/>
        </w:rPr>
        <w:t>.</w:t>
      </w:r>
    </w:p>
    <w:p w14:paraId="535C5B98" w14:textId="77777777" w:rsidR="00CB712E" w:rsidRPr="000925B3" w:rsidRDefault="00CB712E" w:rsidP="00CB712E">
      <w:pPr>
        <w:jc w:val="both"/>
        <w:rPr>
          <w:rFonts w:cs="Calibri"/>
        </w:rPr>
      </w:pPr>
    </w:p>
    <w:p w14:paraId="1932BB00" w14:textId="77777777" w:rsidR="00CB712E" w:rsidRPr="000925B3" w:rsidRDefault="00CB712E" w:rsidP="00CB712E">
      <w:pPr>
        <w:jc w:val="both"/>
        <w:rPr>
          <w:rFonts w:cs="Calibri"/>
        </w:rPr>
      </w:pPr>
      <w:r w:rsidRPr="000925B3">
        <w:rPr>
          <w:rFonts w:cs="Calibri"/>
        </w:rPr>
        <w:t xml:space="preserve">Elle consiste enfin, à faire ressortir les besoins nécessaires pour atteindre un niveau satisfaisant d’intégration du CC dans le secteur et pour réaliser une exécution efficace et efficiente de la présente contribution pêche </w:t>
      </w:r>
      <w:r>
        <w:rPr>
          <w:rFonts w:cs="Calibri"/>
        </w:rPr>
        <w:t xml:space="preserve">maritime </w:t>
      </w:r>
      <w:r w:rsidRPr="000925B3">
        <w:rPr>
          <w:rFonts w:cs="Calibri"/>
        </w:rPr>
        <w:t>à la CN</w:t>
      </w:r>
      <w:r>
        <w:rPr>
          <w:rFonts w:cs="Calibri"/>
        </w:rPr>
        <w:t>5</w:t>
      </w:r>
      <w:r w:rsidRPr="000925B3">
        <w:rPr>
          <w:rFonts w:cs="Calibri"/>
        </w:rPr>
        <w:t>.</w:t>
      </w:r>
    </w:p>
    <w:p w14:paraId="4A3CAE3D" w14:textId="77777777" w:rsidR="00CB712E" w:rsidRPr="000925B3" w:rsidRDefault="00CB712E" w:rsidP="00CB712E">
      <w:pPr>
        <w:autoSpaceDE w:val="0"/>
        <w:jc w:val="both"/>
        <w:rPr>
          <w:rFonts w:cs="Calibri"/>
          <w:color w:val="FF0000"/>
        </w:rPr>
      </w:pPr>
    </w:p>
    <w:p w14:paraId="14F53FB1" w14:textId="77777777" w:rsidR="00CB712E" w:rsidRPr="000925B3" w:rsidRDefault="00CB712E" w:rsidP="00CB712E">
      <w:pPr>
        <w:jc w:val="both"/>
        <w:rPr>
          <w:rFonts w:cs="Calibri"/>
        </w:rPr>
      </w:pPr>
      <w:r w:rsidRPr="000925B3">
        <w:rPr>
          <w:rFonts w:cs="Calibri"/>
          <w:b/>
          <w:bCs/>
          <w:color w:val="FF0000"/>
        </w:rPr>
        <w:t>4.1. Analyse des documents stratégiques de référence :</w:t>
      </w:r>
    </w:p>
    <w:p w14:paraId="1F992180" w14:textId="77777777" w:rsidR="00CB712E" w:rsidRPr="000925B3" w:rsidRDefault="00CB712E" w:rsidP="00CB712E">
      <w:pPr>
        <w:jc w:val="both"/>
        <w:rPr>
          <w:rFonts w:cs="Calibri"/>
        </w:rPr>
      </w:pPr>
    </w:p>
    <w:p w14:paraId="50A6E7D1" w14:textId="77777777" w:rsidR="00CB712E" w:rsidRPr="000925B3" w:rsidRDefault="00CB712E" w:rsidP="00CB712E">
      <w:pPr>
        <w:autoSpaceDE w:val="0"/>
        <w:jc w:val="both"/>
        <w:rPr>
          <w:rFonts w:cs="Calibri"/>
        </w:rPr>
      </w:pPr>
      <w:r w:rsidRPr="000925B3">
        <w:rPr>
          <w:rFonts w:cs="Calibri"/>
        </w:rPr>
        <w:t xml:space="preserve">Ces documents référentiels comprennent principalement (i) la Lettre de Politique et de Planification (L2P) du secteur des Pêches et de l’Economie Maritime adoptée pour la période 2022-2024, (ii) </w:t>
      </w:r>
      <w:r>
        <w:rPr>
          <w:rFonts w:cs="Calibri"/>
        </w:rPr>
        <w:t>l</w:t>
      </w:r>
      <w:r w:rsidRPr="000925B3">
        <w:rPr>
          <w:rFonts w:cs="Calibri"/>
        </w:rPr>
        <w:t xml:space="preserve">a Feuille de route pour la relance du secteur des Pêches et de l’Economie Maritime, </w:t>
      </w:r>
      <w:r>
        <w:rPr>
          <w:rFonts w:cs="Calibri"/>
        </w:rPr>
        <w:t xml:space="preserve">adoptée en 2023, </w:t>
      </w:r>
      <w:r w:rsidRPr="000925B3">
        <w:rPr>
          <w:rFonts w:cs="Calibri"/>
        </w:rPr>
        <w:t>(iii) le Programme Electoral du Président de la République 2024-2029 et (iv) la Déclaration de Politique Générale du Gouvernement pour 2025 , y compris les actions à réaliser dans les 100 premiers jours du gouvernement; la référence commune à ces quatre documents étant bien entendu la Stratégie de la Croissance Accélérée et de la Prospérité Partagée (SCAPP2016-2030) et son plan</w:t>
      </w:r>
      <w:r>
        <w:rPr>
          <w:rFonts w:cs="Calibri"/>
        </w:rPr>
        <w:t xml:space="preserve"> </w:t>
      </w:r>
      <w:r w:rsidRPr="00654446">
        <w:rPr>
          <w:rFonts w:cs="Calibri"/>
        </w:rPr>
        <w:t>d’action.</w:t>
      </w:r>
    </w:p>
    <w:p w14:paraId="2E181F3C" w14:textId="77777777" w:rsidR="00CB712E" w:rsidRPr="000925B3" w:rsidRDefault="00CB712E" w:rsidP="00CB712E">
      <w:pPr>
        <w:jc w:val="both"/>
        <w:rPr>
          <w:rFonts w:cs="Calibri"/>
        </w:rPr>
      </w:pPr>
    </w:p>
    <w:p w14:paraId="6E730042" w14:textId="77777777" w:rsidR="00CB712E" w:rsidRPr="000925B3" w:rsidRDefault="00CB712E" w:rsidP="00CB712E">
      <w:pPr>
        <w:jc w:val="both"/>
        <w:rPr>
          <w:rFonts w:cs="Calibri"/>
        </w:rPr>
      </w:pPr>
      <w:r w:rsidRPr="000925B3">
        <w:rPr>
          <w:rFonts w:cs="Calibri"/>
        </w:rPr>
        <w:t>Cette analyse a visé l’identification, au niveau de chacun des documents en question, des objectifs, mesures et actions, relatifs globalement à l’environnement et spécifiquement à la thématique du changement climatique.</w:t>
      </w:r>
    </w:p>
    <w:p w14:paraId="4CDDDE69" w14:textId="77777777" w:rsidR="00CB712E" w:rsidRPr="000925B3" w:rsidRDefault="00CB712E" w:rsidP="00CB712E">
      <w:pPr>
        <w:jc w:val="both"/>
        <w:rPr>
          <w:rFonts w:cs="Calibri"/>
        </w:rPr>
      </w:pPr>
    </w:p>
    <w:p w14:paraId="76AA347D" w14:textId="77777777" w:rsidR="00CB712E" w:rsidRPr="000925B3" w:rsidRDefault="00CB712E" w:rsidP="00CB712E">
      <w:pPr>
        <w:jc w:val="both"/>
        <w:rPr>
          <w:rFonts w:cs="Calibri"/>
          <w:b/>
          <w:bCs/>
          <w:color w:val="FF0000"/>
        </w:rPr>
      </w:pPr>
      <w:r w:rsidRPr="000925B3">
        <w:rPr>
          <w:rFonts w:cs="Calibri"/>
          <w:b/>
          <w:bCs/>
          <w:color w:val="FF0000"/>
        </w:rPr>
        <w:t>4.1.1. L</w:t>
      </w:r>
      <w:r>
        <w:rPr>
          <w:rFonts w:cs="Calibri"/>
          <w:b/>
          <w:bCs/>
          <w:color w:val="FF0000"/>
        </w:rPr>
        <w:t>ettre de Politique et de Planification (L</w:t>
      </w:r>
      <w:r w:rsidRPr="000925B3">
        <w:rPr>
          <w:rFonts w:cs="Calibri"/>
          <w:b/>
          <w:bCs/>
          <w:color w:val="FF0000"/>
        </w:rPr>
        <w:t>2P</w:t>
      </w:r>
      <w:r>
        <w:rPr>
          <w:rFonts w:cs="Calibri"/>
          <w:b/>
          <w:bCs/>
          <w:color w:val="FF0000"/>
        </w:rPr>
        <w:t xml:space="preserve">) du secteur des Pêches et de l’Economie Maritime </w:t>
      </w:r>
      <w:r w:rsidRPr="000925B3">
        <w:rPr>
          <w:rFonts w:cs="Calibri"/>
          <w:b/>
          <w:bCs/>
          <w:color w:val="FF0000"/>
        </w:rPr>
        <w:t>2022-2024 :</w:t>
      </w:r>
    </w:p>
    <w:p w14:paraId="7AAC9126" w14:textId="77777777" w:rsidR="00CB712E" w:rsidRPr="001228B5" w:rsidRDefault="00CB712E" w:rsidP="00CB712E">
      <w:pPr>
        <w:jc w:val="both"/>
        <w:rPr>
          <w:rFonts w:cs="Calibri"/>
          <w:sz w:val="10"/>
          <w:szCs w:val="10"/>
        </w:rPr>
      </w:pPr>
    </w:p>
    <w:p w14:paraId="494954D1" w14:textId="77777777" w:rsidR="00CB712E" w:rsidRPr="00654446" w:rsidRDefault="00CB712E" w:rsidP="00CB712E">
      <w:pPr>
        <w:jc w:val="both"/>
        <w:rPr>
          <w:rFonts w:cs="Calibri"/>
        </w:rPr>
      </w:pPr>
      <w:r w:rsidRPr="00654446">
        <w:rPr>
          <w:rFonts w:cs="Calibri"/>
        </w:rPr>
        <w:t>Cette Lettre a consacré à l’environnement marin tout un chantier structurant (CS.1.6) dans l’axe stratégique 1 tel que détaillé dans l’encadré nr 1, ci-contre.</w:t>
      </w:r>
    </w:p>
    <w:p w14:paraId="1D47B310" w14:textId="77777777" w:rsidR="00CB712E" w:rsidRPr="000925B3" w:rsidRDefault="00CB712E" w:rsidP="00CB712E">
      <w:pPr>
        <w:jc w:val="both"/>
        <w:rPr>
          <w:rFonts w:cs="Calibri"/>
          <w:color w:val="FF0000"/>
        </w:rPr>
      </w:pPr>
    </w:p>
    <w:tbl>
      <w:tblPr>
        <w:tblW w:w="8354" w:type="dxa"/>
        <w:tblInd w:w="708" w:type="dxa"/>
        <w:tblCellMar>
          <w:left w:w="10" w:type="dxa"/>
          <w:right w:w="10" w:type="dxa"/>
        </w:tblCellMar>
        <w:tblLook w:val="0000" w:firstRow="0" w:lastRow="0" w:firstColumn="0" w:lastColumn="0" w:noHBand="0" w:noVBand="0"/>
      </w:tblPr>
      <w:tblGrid>
        <w:gridCol w:w="8354"/>
      </w:tblGrid>
      <w:tr w:rsidR="00CB712E" w:rsidRPr="000925B3" w14:paraId="0CC0CD1B" w14:textId="77777777" w:rsidTr="002D1362">
        <w:tc>
          <w:tcPr>
            <w:tcW w:w="83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D3E2F" w14:textId="77777777" w:rsidR="00CB712E" w:rsidRPr="00BC0682" w:rsidRDefault="00CB712E" w:rsidP="002D1362">
            <w:pPr>
              <w:pStyle w:val="Titre3"/>
              <w:spacing w:before="0"/>
              <w:jc w:val="both"/>
              <w:rPr>
                <w:rFonts w:cs="Calibri"/>
                <w:b/>
                <w:bCs/>
                <w:i/>
                <w:iCs/>
                <w:color w:val="FF0000"/>
                <w:sz w:val="22"/>
                <w:szCs w:val="22"/>
              </w:rPr>
            </w:pPr>
            <w:bookmarkStart w:id="265" w:name="_Toc118283978"/>
            <w:bookmarkStart w:id="266" w:name="_Toc118283984"/>
            <w:r w:rsidRPr="00BC0682">
              <w:rPr>
                <w:rFonts w:cs="Calibri"/>
                <w:i/>
                <w:iCs/>
                <w:color w:val="FF0000"/>
                <w:sz w:val="22"/>
                <w:szCs w:val="22"/>
              </w:rPr>
              <w:t>Encadré 1 : CS 1.6. Protection et conservation de l’environnement marin et côtier de l’axe stratégique 1 - Gestion durable des pêches maritimes et des écosystèmes marins</w:t>
            </w:r>
            <w:bookmarkEnd w:id="265"/>
          </w:p>
          <w:bookmarkEnd w:id="266"/>
          <w:p w14:paraId="2B3774F5" w14:textId="77777777" w:rsidR="00CB712E" w:rsidRPr="001228B5" w:rsidRDefault="00CB712E" w:rsidP="002D1362">
            <w:pPr>
              <w:ind w:left="720"/>
              <w:jc w:val="both"/>
              <w:rPr>
                <w:rFonts w:cs="Calibri"/>
                <w:i/>
                <w:iCs/>
                <w:sz w:val="10"/>
                <w:szCs w:val="10"/>
              </w:rPr>
            </w:pPr>
          </w:p>
          <w:p w14:paraId="098E935B" w14:textId="77777777" w:rsidR="00CB712E" w:rsidRPr="000925B3" w:rsidRDefault="00CB712E" w:rsidP="002D1362">
            <w:pPr>
              <w:ind w:left="720"/>
              <w:jc w:val="both"/>
              <w:rPr>
                <w:rFonts w:cs="Calibri"/>
                <w:i/>
                <w:iCs/>
              </w:rPr>
            </w:pPr>
            <w:r w:rsidRPr="000925B3">
              <w:rPr>
                <w:rFonts w:cs="Calibri"/>
                <w:i/>
                <w:iCs/>
              </w:rPr>
              <w:t>Ce CS comprendra cinq grands domaines d’action. Le premier portera sur la poursuite et le renforcement du dispositif de suivi et d’analyse du milieu marin et côtier, y compris le suivi des impacts du changement climatique. Les initiatives en lien avec le renforcement des zones protégées et d’intérêt pour la biodiversité, et notamment des aires marines protégées (AMP) constitueront le deuxième domaine d’actions. On pense également aux MEG pour protéger, à l’instar de l’interdiction de la drague et du chalutage sur des fonds inférieurs à 20m, les écosystèmes sensibles (canyons, récifs coralliens, etc.).</w:t>
            </w:r>
          </w:p>
          <w:p w14:paraId="3DB7ADF3" w14:textId="77777777" w:rsidR="00CB712E" w:rsidRPr="000925B3" w:rsidRDefault="00CB712E" w:rsidP="002D1362">
            <w:pPr>
              <w:ind w:left="720"/>
              <w:jc w:val="both"/>
              <w:rPr>
                <w:rFonts w:cs="Calibri"/>
                <w:i/>
                <w:iCs/>
              </w:rPr>
            </w:pPr>
            <w:r w:rsidRPr="000925B3">
              <w:rPr>
                <w:rFonts w:cs="Calibri"/>
                <w:i/>
                <w:iCs/>
              </w:rPr>
              <w:t>Le troisième domaine d’actions portera spécifiquement sur l’application stricte de la réglementation et des dispositions prévues par les conventions MARPOL pour prévenir toutes formes de rejets en mer. Cela comprendra notamment des mesures pour la mise aux normes des ports, à travers l’installation de réceptacles pour la réception, le stockage et le traitement des déchets (huiles, eaux usées et déchets solides), selon des modalités de financement et de gestion qu’il conviendra aussi de préciser (ex. système de gestion partenariale avec le secteur privé, système de recouvrement des coûts, etc.). Le quatrième domaine d’actions fera référence à l’application stricte des plans de gestion environnementale des usines de transformation ainsi que de la réglementation en vigueur relative à l’environnement (en référence à l’arrêté conjoint n°979-2012 MPEM/MEDD).</w:t>
            </w:r>
          </w:p>
          <w:p w14:paraId="4A991D57" w14:textId="378EE701" w:rsidR="00CB712E" w:rsidRPr="000925B3" w:rsidRDefault="00CB712E" w:rsidP="002D1362">
            <w:pPr>
              <w:ind w:left="720"/>
              <w:jc w:val="both"/>
              <w:rPr>
                <w:rFonts w:cs="Calibri"/>
                <w:i/>
                <w:iCs/>
              </w:rPr>
            </w:pPr>
            <w:r w:rsidRPr="000925B3">
              <w:rPr>
                <w:rFonts w:cs="Calibri"/>
                <w:i/>
                <w:iCs/>
              </w:rPr>
              <w:t xml:space="preserve">Enfin, un dernier domaine d’action de ce CS portera sur l’amélioration du dispositif de prévention, de préparation et de lutte contre les pollutions marines accidentelles, à travers l’actualisation du plan POLMAR Mer (y compris établissement des cartes de sensibilité environnementale et actualisation de la politique nationale des dispersants) et du plan POLMAR Terre, et des initiatives visant à promouvoir la mise en place d’un Centre </w:t>
            </w:r>
            <w:r w:rsidR="00BB5F8F" w:rsidRPr="000925B3">
              <w:rPr>
                <w:rFonts w:cs="Calibri"/>
                <w:i/>
                <w:iCs/>
              </w:rPr>
              <w:t>Antivol</w:t>
            </w:r>
            <w:r w:rsidRPr="000925B3">
              <w:rPr>
                <w:rFonts w:cs="Calibri"/>
                <w:i/>
                <w:iCs/>
              </w:rPr>
              <w:t xml:space="preserve"> opérationnel. </w:t>
            </w:r>
          </w:p>
          <w:p w14:paraId="6F07792E" w14:textId="77777777" w:rsidR="00CB712E" w:rsidRPr="000925B3" w:rsidRDefault="00CB712E" w:rsidP="002D1362">
            <w:pPr>
              <w:rPr>
                <w:rFonts w:cs="Calibri"/>
                <w:color w:val="FF0000"/>
              </w:rPr>
            </w:pPr>
          </w:p>
        </w:tc>
      </w:tr>
    </w:tbl>
    <w:p w14:paraId="5B892DCB" w14:textId="77777777" w:rsidR="00CB712E" w:rsidRPr="000925B3" w:rsidRDefault="00CB712E" w:rsidP="00CB712E">
      <w:pPr>
        <w:ind w:left="708"/>
        <w:rPr>
          <w:rFonts w:cs="Calibri"/>
          <w:color w:val="FF0000"/>
        </w:rPr>
      </w:pPr>
    </w:p>
    <w:p w14:paraId="38AEAC4C" w14:textId="77777777" w:rsidR="00CB712E" w:rsidRPr="000925B3" w:rsidRDefault="00CB712E" w:rsidP="00CB712E">
      <w:pPr>
        <w:rPr>
          <w:rFonts w:cs="Calibri"/>
        </w:rPr>
      </w:pPr>
    </w:p>
    <w:p w14:paraId="2014BA80" w14:textId="77777777" w:rsidR="00CB712E" w:rsidRPr="000925B3" w:rsidRDefault="00CB712E" w:rsidP="00CB712E">
      <w:pPr>
        <w:rPr>
          <w:rFonts w:cs="Calibri"/>
        </w:rPr>
      </w:pPr>
      <w:r w:rsidRPr="000925B3">
        <w:rPr>
          <w:rFonts w:cs="Calibri"/>
        </w:rPr>
        <w:t>Dans le plan d’action détaillé de la L2P, ces 5 domaines d’action de l’encadré sont déclinés comme suit :</w:t>
      </w:r>
    </w:p>
    <w:p w14:paraId="564380A3" w14:textId="77777777" w:rsidR="00CB712E" w:rsidRPr="000925B3" w:rsidRDefault="00CB712E" w:rsidP="00CB712E">
      <w:pPr>
        <w:pStyle w:val="Paragraphedeliste"/>
        <w:numPr>
          <w:ilvl w:val="0"/>
          <w:numId w:val="290"/>
        </w:numPr>
        <w:suppressAutoHyphens/>
        <w:autoSpaceDN w:val="0"/>
        <w:spacing w:after="0" w:line="240" w:lineRule="auto"/>
        <w:jc w:val="both"/>
        <w:textAlignment w:val="baseline"/>
        <w:rPr>
          <w:rFonts w:cs="Calibri"/>
        </w:rPr>
      </w:pPr>
      <w:r w:rsidRPr="000925B3">
        <w:rPr>
          <w:rFonts w:cs="Calibri"/>
        </w:rPr>
        <w:t>Poursuite du renforcement du programme de suivi de l’environnement marin et côtier ;</w:t>
      </w:r>
    </w:p>
    <w:p w14:paraId="76AAD9A2" w14:textId="77777777" w:rsidR="00CB712E" w:rsidRPr="000925B3" w:rsidRDefault="00CB712E" w:rsidP="00CB712E">
      <w:pPr>
        <w:pStyle w:val="Paragraphedeliste"/>
        <w:numPr>
          <w:ilvl w:val="0"/>
          <w:numId w:val="290"/>
        </w:numPr>
        <w:suppressAutoHyphens/>
        <w:autoSpaceDN w:val="0"/>
        <w:spacing w:after="0" w:line="240" w:lineRule="auto"/>
        <w:jc w:val="both"/>
        <w:textAlignment w:val="baseline"/>
        <w:rPr>
          <w:rFonts w:cs="Calibri"/>
        </w:rPr>
      </w:pPr>
      <w:r w:rsidRPr="000925B3">
        <w:rPr>
          <w:rFonts w:cs="Calibri"/>
        </w:rPr>
        <w:t>Promotion des zones protégées d’intérêt pour la biodiversité ;</w:t>
      </w:r>
    </w:p>
    <w:p w14:paraId="136C15B0" w14:textId="77777777" w:rsidR="00CB712E" w:rsidRPr="000925B3" w:rsidRDefault="00CB712E" w:rsidP="00CB712E">
      <w:pPr>
        <w:pStyle w:val="Paragraphedeliste"/>
        <w:numPr>
          <w:ilvl w:val="0"/>
          <w:numId w:val="290"/>
        </w:numPr>
        <w:suppressAutoHyphens/>
        <w:autoSpaceDN w:val="0"/>
        <w:spacing w:after="0" w:line="240" w:lineRule="auto"/>
        <w:jc w:val="both"/>
        <w:textAlignment w:val="baseline"/>
        <w:rPr>
          <w:rFonts w:cs="Calibri"/>
        </w:rPr>
      </w:pPr>
      <w:r w:rsidRPr="000925B3">
        <w:rPr>
          <w:rFonts w:cs="Calibri"/>
        </w:rPr>
        <w:t>Renforcement de l’application de la réglementation sur la prévention des rejets en mer ;</w:t>
      </w:r>
    </w:p>
    <w:p w14:paraId="3488C1E7" w14:textId="77777777" w:rsidR="00CB712E" w:rsidRPr="000925B3" w:rsidRDefault="00CB712E" w:rsidP="00CB712E">
      <w:pPr>
        <w:pStyle w:val="Paragraphedeliste"/>
        <w:numPr>
          <w:ilvl w:val="0"/>
          <w:numId w:val="290"/>
        </w:numPr>
        <w:suppressAutoHyphens/>
        <w:autoSpaceDN w:val="0"/>
        <w:spacing w:after="0" w:line="240" w:lineRule="auto"/>
        <w:jc w:val="both"/>
        <w:textAlignment w:val="baseline"/>
        <w:rPr>
          <w:rFonts w:cs="Calibri"/>
        </w:rPr>
      </w:pPr>
      <w:r w:rsidRPr="000925B3">
        <w:rPr>
          <w:rFonts w:cs="Calibri"/>
        </w:rPr>
        <w:t>Mise aux normes des ports sur les questions environnementales (réception, stockage et traitement des déchets)</w:t>
      </w:r>
    </w:p>
    <w:p w14:paraId="7D8380E6" w14:textId="77777777" w:rsidR="00CB712E" w:rsidRPr="000925B3" w:rsidRDefault="00CB712E" w:rsidP="00CB712E">
      <w:pPr>
        <w:pStyle w:val="Paragraphedeliste"/>
        <w:numPr>
          <w:ilvl w:val="0"/>
          <w:numId w:val="290"/>
        </w:numPr>
        <w:suppressAutoHyphens/>
        <w:autoSpaceDN w:val="0"/>
        <w:spacing w:after="0" w:line="240" w:lineRule="auto"/>
        <w:jc w:val="both"/>
        <w:textAlignment w:val="baseline"/>
        <w:rPr>
          <w:rFonts w:cs="Calibri"/>
        </w:rPr>
      </w:pPr>
      <w:r w:rsidRPr="000925B3">
        <w:rPr>
          <w:rFonts w:cs="Calibri"/>
        </w:rPr>
        <w:t>Renforcement de l’application des plans de gestion et de la réglementation environnementales ;</w:t>
      </w:r>
    </w:p>
    <w:p w14:paraId="38F4EA6C" w14:textId="77777777" w:rsidR="00CB712E" w:rsidRPr="000925B3" w:rsidRDefault="00CB712E" w:rsidP="00CB712E">
      <w:pPr>
        <w:pStyle w:val="Paragraphedeliste"/>
        <w:numPr>
          <w:ilvl w:val="0"/>
          <w:numId w:val="290"/>
        </w:numPr>
        <w:suppressAutoHyphens/>
        <w:autoSpaceDN w:val="0"/>
        <w:spacing w:after="0" w:line="240" w:lineRule="auto"/>
        <w:jc w:val="both"/>
        <w:textAlignment w:val="baseline"/>
        <w:rPr>
          <w:rFonts w:cs="Calibri"/>
        </w:rPr>
      </w:pPr>
      <w:r w:rsidRPr="000925B3">
        <w:rPr>
          <w:rFonts w:cs="Calibri"/>
        </w:rPr>
        <w:t>Elaboration d’un plan de vigilance environnementale autour des infrastructures littorales ;</w:t>
      </w:r>
    </w:p>
    <w:p w14:paraId="26D1F63F" w14:textId="77777777" w:rsidR="00CB712E" w:rsidRPr="000925B3" w:rsidRDefault="00CB712E" w:rsidP="00CB712E">
      <w:pPr>
        <w:pStyle w:val="Paragraphedeliste"/>
        <w:numPr>
          <w:ilvl w:val="0"/>
          <w:numId w:val="290"/>
        </w:numPr>
        <w:suppressAutoHyphens/>
        <w:autoSpaceDN w:val="0"/>
        <w:spacing w:after="0" w:line="240" w:lineRule="auto"/>
        <w:jc w:val="both"/>
        <w:textAlignment w:val="baseline"/>
        <w:rPr>
          <w:rFonts w:cs="Calibri"/>
        </w:rPr>
      </w:pPr>
      <w:r w:rsidRPr="000925B3">
        <w:rPr>
          <w:rFonts w:cs="Calibri"/>
        </w:rPr>
        <w:t>Renforcement du contrôle de l’application des mesures de protection contre la pollution en mer ;</w:t>
      </w:r>
    </w:p>
    <w:p w14:paraId="5FE08D86" w14:textId="77777777" w:rsidR="00CB712E" w:rsidRPr="000925B3" w:rsidRDefault="00CB712E" w:rsidP="00CB712E">
      <w:pPr>
        <w:pStyle w:val="Paragraphedeliste"/>
        <w:numPr>
          <w:ilvl w:val="0"/>
          <w:numId w:val="290"/>
        </w:numPr>
        <w:suppressAutoHyphens/>
        <w:autoSpaceDN w:val="0"/>
        <w:spacing w:after="0" w:line="240" w:lineRule="auto"/>
        <w:jc w:val="both"/>
        <w:textAlignment w:val="baseline"/>
        <w:rPr>
          <w:rFonts w:cs="Calibri"/>
        </w:rPr>
      </w:pPr>
      <w:r w:rsidRPr="000925B3">
        <w:rPr>
          <w:rFonts w:cs="Calibri"/>
        </w:rPr>
        <w:t>Contribution à l’élaboration et à la validation de la carte de sensibilité environnementale des zones côtières aux pollutions ;</w:t>
      </w:r>
    </w:p>
    <w:p w14:paraId="44A24830" w14:textId="77777777" w:rsidR="00CB712E" w:rsidRPr="000925B3" w:rsidRDefault="00CB712E" w:rsidP="00CB712E">
      <w:pPr>
        <w:pStyle w:val="Paragraphedeliste"/>
        <w:numPr>
          <w:ilvl w:val="0"/>
          <w:numId w:val="290"/>
        </w:numPr>
        <w:suppressAutoHyphens/>
        <w:autoSpaceDN w:val="0"/>
        <w:spacing w:after="0" w:line="240" w:lineRule="auto"/>
        <w:jc w:val="both"/>
        <w:textAlignment w:val="baseline"/>
        <w:rPr>
          <w:rFonts w:cs="Calibri"/>
        </w:rPr>
      </w:pPr>
      <w:r w:rsidRPr="000925B3">
        <w:rPr>
          <w:rFonts w:cs="Calibri"/>
        </w:rPr>
        <w:t>Elaboration et adoption d’une politique nationale des dispersants ;</w:t>
      </w:r>
    </w:p>
    <w:p w14:paraId="20B8329B" w14:textId="77777777" w:rsidR="00CB712E" w:rsidRPr="000925B3" w:rsidRDefault="00CB712E" w:rsidP="00CB712E">
      <w:pPr>
        <w:pStyle w:val="Paragraphedeliste"/>
        <w:numPr>
          <w:ilvl w:val="0"/>
          <w:numId w:val="290"/>
        </w:numPr>
        <w:suppressAutoHyphens/>
        <w:autoSpaceDN w:val="0"/>
        <w:spacing w:after="0" w:line="240" w:lineRule="auto"/>
        <w:jc w:val="both"/>
        <w:textAlignment w:val="baseline"/>
        <w:rPr>
          <w:rFonts w:cs="Calibri"/>
        </w:rPr>
      </w:pPr>
      <w:r w:rsidRPr="000925B3">
        <w:rPr>
          <w:rFonts w:cs="Calibri"/>
        </w:rPr>
        <w:t>Evaluation des risques environnementaux en lien avec le trafic maritime ;</w:t>
      </w:r>
    </w:p>
    <w:p w14:paraId="557A1DA1" w14:textId="77777777" w:rsidR="00CB712E" w:rsidRPr="000925B3" w:rsidRDefault="00CB712E" w:rsidP="00CB712E">
      <w:pPr>
        <w:pStyle w:val="Paragraphedeliste"/>
        <w:numPr>
          <w:ilvl w:val="0"/>
          <w:numId w:val="290"/>
        </w:numPr>
        <w:suppressAutoHyphens/>
        <w:autoSpaceDN w:val="0"/>
        <w:spacing w:after="0" w:line="240" w:lineRule="auto"/>
        <w:jc w:val="both"/>
        <w:textAlignment w:val="baseline"/>
        <w:rPr>
          <w:rFonts w:cs="Calibri"/>
        </w:rPr>
      </w:pPr>
      <w:r w:rsidRPr="000925B3">
        <w:rPr>
          <w:rFonts w:cs="Calibri"/>
        </w:rPr>
        <w:t>Actualisation du plan POLMAR Mer ;</w:t>
      </w:r>
    </w:p>
    <w:p w14:paraId="48CF819B" w14:textId="77777777" w:rsidR="00CB712E" w:rsidRPr="000925B3" w:rsidRDefault="00CB712E" w:rsidP="00CB712E">
      <w:pPr>
        <w:pStyle w:val="Paragraphedeliste"/>
        <w:numPr>
          <w:ilvl w:val="0"/>
          <w:numId w:val="290"/>
        </w:numPr>
        <w:suppressAutoHyphens/>
        <w:autoSpaceDN w:val="0"/>
        <w:spacing w:after="0" w:line="240" w:lineRule="auto"/>
        <w:jc w:val="both"/>
        <w:textAlignment w:val="baseline"/>
        <w:rPr>
          <w:rFonts w:cs="Calibri"/>
        </w:rPr>
      </w:pPr>
      <w:r w:rsidRPr="000925B3">
        <w:rPr>
          <w:rFonts w:cs="Calibri"/>
        </w:rPr>
        <w:t>Elaboration du plan POLMAR Terre.</w:t>
      </w:r>
    </w:p>
    <w:p w14:paraId="5BABE229" w14:textId="77777777" w:rsidR="00CB712E" w:rsidRPr="000925B3" w:rsidRDefault="00CB712E" w:rsidP="00CB712E">
      <w:pPr>
        <w:pStyle w:val="Sansinterligne"/>
        <w:jc w:val="both"/>
        <w:rPr>
          <w:rFonts w:eastAsia="Calibri" w:cs="Calibri"/>
          <w:bCs/>
        </w:rPr>
      </w:pPr>
    </w:p>
    <w:p w14:paraId="6C102A57" w14:textId="77777777" w:rsidR="00CB712E" w:rsidRDefault="00CB712E" w:rsidP="00CB712E">
      <w:pPr>
        <w:pStyle w:val="Sansinterligne"/>
        <w:jc w:val="both"/>
        <w:rPr>
          <w:rFonts w:eastAsia="Calibri" w:cs="Calibri"/>
          <w:bCs/>
        </w:rPr>
      </w:pPr>
      <w:r w:rsidRPr="000925B3">
        <w:rPr>
          <w:rFonts w:eastAsia="Calibri" w:cs="Calibri"/>
          <w:bCs/>
        </w:rPr>
        <w:t>A regarder de près, seules les actions 1, 2, 5 et 6 peuvent être retenues comme actions d’adaptation au changement climatique. Mais, elles ne sont pas peut être les plus prioritaires au regard de la nature des aléas et risques majeurs et des unités de pêche les plus sensibles à l’exposition desdits aléas.</w:t>
      </w:r>
    </w:p>
    <w:p w14:paraId="43353794" w14:textId="77777777" w:rsidR="00CB712E" w:rsidRPr="000925B3" w:rsidRDefault="00CB712E" w:rsidP="00CB712E">
      <w:pPr>
        <w:pStyle w:val="Sansinterligne"/>
        <w:jc w:val="both"/>
        <w:rPr>
          <w:rFonts w:eastAsia="Calibri" w:cs="Calibri"/>
          <w:bCs/>
        </w:rPr>
      </w:pPr>
    </w:p>
    <w:p w14:paraId="6BA1F8DD" w14:textId="77777777" w:rsidR="00CB712E" w:rsidRPr="000925B3" w:rsidRDefault="00CB712E" w:rsidP="00CB712E">
      <w:pPr>
        <w:pStyle w:val="Sansinterligne"/>
        <w:jc w:val="both"/>
        <w:rPr>
          <w:rFonts w:eastAsia="Calibri" w:cs="Calibri"/>
          <w:b/>
          <w:color w:val="FF0000"/>
        </w:rPr>
      </w:pPr>
      <w:r w:rsidRPr="000925B3">
        <w:rPr>
          <w:rFonts w:eastAsia="Calibri" w:cs="Calibri"/>
          <w:b/>
          <w:color w:val="FF0000"/>
        </w:rPr>
        <w:t xml:space="preserve">4.1.2. Programme Electoral du Président de la République : </w:t>
      </w:r>
    </w:p>
    <w:p w14:paraId="3FD516CB" w14:textId="77777777" w:rsidR="00CB712E" w:rsidRPr="000925B3" w:rsidRDefault="00CB712E" w:rsidP="00CB712E">
      <w:pPr>
        <w:pStyle w:val="Sansinterligne"/>
        <w:jc w:val="both"/>
        <w:rPr>
          <w:rFonts w:eastAsia="Calibri" w:cs="Calibri"/>
          <w:bCs/>
        </w:rPr>
      </w:pPr>
    </w:p>
    <w:p w14:paraId="6CD841C9" w14:textId="77777777" w:rsidR="00CB712E" w:rsidRPr="000925B3" w:rsidRDefault="00CB712E" w:rsidP="00CB712E">
      <w:pPr>
        <w:pStyle w:val="Sansinterligne"/>
        <w:jc w:val="both"/>
        <w:rPr>
          <w:rFonts w:cs="Calibri"/>
        </w:rPr>
      </w:pPr>
      <w:r w:rsidRPr="000925B3">
        <w:rPr>
          <w:rFonts w:eastAsia="Calibri" w:cs="Calibri"/>
          <w:bCs/>
        </w:rPr>
        <w:t>Ce programme des présidentielles de 2024, introduit la partie réservée à la pêche par résumer les facteurs limitants pour le développement du secteur et les potentialités dont il dispose. Ce programme annonce aussi clairement l’objectif de faire de la pêche l’un des moteurs principaux de l’émergence de la Mauritanie et précise neuf (9) pistes à suivre pour arriver à cet objectif présidentiel (encadré 2).</w:t>
      </w:r>
    </w:p>
    <w:p w14:paraId="3F60A645" w14:textId="77777777" w:rsidR="00CB712E" w:rsidRPr="000925B3" w:rsidRDefault="00CB712E" w:rsidP="00CB712E">
      <w:pPr>
        <w:pStyle w:val="Sansinterligne"/>
        <w:jc w:val="both"/>
        <w:rPr>
          <w:rFonts w:eastAsia="Calibri" w:cs="Calibri"/>
          <w:bCs/>
        </w:rPr>
      </w:pPr>
    </w:p>
    <w:tbl>
      <w:tblPr>
        <w:tblW w:w="9062" w:type="dxa"/>
        <w:tblCellMar>
          <w:left w:w="10" w:type="dxa"/>
          <w:right w:w="10" w:type="dxa"/>
        </w:tblCellMar>
        <w:tblLook w:val="0000" w:firstRow="0" w:lastRow="0" w:firstColumn="0" w:lastColumn="0" w:noHBand="0" w:noVBand="0"/>
      </w:tblPr>
      <w:tblGrid>
        <w:gridCol w:w="9062"/>
      </w:tblGrid>
      <w:tr w:rsidR="00CB712E" w:rsidRPr="000925B3" w14:paraId="3EDEBAE9" w14:textId="77777777" w:rsidTr="002D1362">
        <w:tc>
          <w:tcPr>
            <w:tcW w:w="9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76E6B" w14:textId="77777777" w:rsidR="00CB712E" w:rsidRPr="007B58EF" w:rsidRDefault="00CB712E" w:rsidP="002D1362">
            <w:pPr>
              <w:pStyle w:val="Sansinterligne"/>
              <w:jc w:val="both"/>
              <w:rPr>
                <w:rFonts w:eastAsia="Calibri" w:cs="Calibri"/>
                <w:bCs/>
                <w:sz w:val="10"/>
                <w:szCs w:val="10"/>
              </w:rPr>
            </w:pPr>
          </w:p>
          <w:p w14:paraId="58B3F867" w14:textId="77777777" w:rsidR="00CB712E" w:rsidRPr="0064215B" w:rsidRDefault="00CB712E" w:rsidP="002D1362">
            <w:pPr>
              <w:pStyle w:val="Sansinterligne"/>
              <w:jc w:val="both"/>
              <w:rPr>
                <w:rFonts w:eastAsia="Calibri" w:cs="Calibri"/>
                <w:b/>
                <w:i/>
                <w:iCs/>
                <w:color w:val="FF0000"/>
              </w:rPr>
            </w:pPr>
            <w:r w:rsidRPr="0064215B">
              <w:rPr>
                <w:rFonts w:eastAsia="Calibri" w:cs="Calibri"/>
                <w:b/>
                <w:i/>
                <w:iCs/>
                <w:color w:val="FF0000"/>
              </w:rPr>
              <w:t xml:space="preserve">Encadré 2 : Engagements Électoraux du Président de la République dans le domaine de la pêche </w:t>
            </w:r>
          </w:p>
          <w:p w14:paraId="0B4D793D" w14:textId="77777777" w:rsidR="00CB712E" w:rsidRPr="007B58EF" w:rsidRDefault="00CB712E" w:rsidP="002D1362">
            <w:pPr>
              <w:pStyle w:val="Sansinterligne"/>
              <w:jc w:val="both"/>
              <w:rPr>
                <w:rFonts w:eastAsia="Calibri" w:cs="Calibri"/>
                <w:bCs/>
                <w:i/>
                <w:iCs/>
                <w:sz w:val="14"/>
                <w:szCs w:val="14"/>
              </w:rPr>
            </w:pPr>
          </w:p>
          <w:p w14:paraId="3630C944" w14:textId="77777777" w:rsidR="00CB712E" w:rsidRPr="000925B3" w:rsidRDefault="00CB712E" w:rsidP="002D1362">
            <w:pPr>
              <w:pStyle w:val="Sansinterligne"/>
              <w:jc w:val="both"/>
              <w:rPr>
                <w:rFonts w:eastAsia="Calibri" w:cs="Calibri"/>
                <w:bCs/>
                <w:i/>
                <w:iCs/>
              </w:rPr>
            </w:pPr>
            <w:r w:rsidRPr="000925B3">
              <w:rPr>
                <w:rFonts w:eastAsia="Calibri" w:cs="Calibri"/>
                <w:bCs/>
                <w:i/>
                <w:iCs/>
              </w:rPr>
              <w:t>Le secteur de la pêche constitue une grande réserve de valeur ajoutée d’emploi. Ses performances sont encore limitées par la faiblesse des outils de production (navires adaptés) et des infrastructures de débarquement, de traitement, de stockage et de transformation des captures ainsi que par le manque d’une main d’œuvre qualifiée suffisante. L’absence d’un système de financement adapté au secteur constitue un autre handicap pour son développement.</w:t>
            </w:r>
          </w:p>
          <w:p w14:paraId="08A600B6" w14:textId="77777777" w:rsidR="00CB712E" w:rsidRPr="007B58EF" w:rsidRDefault="00CB712E" w:rsidP="002D1362">
            <w:pPr>
              <w:pStyle w:val="Sansinterligne"/>
              <w:jc w:val="both"/>
              <w:rPr>
                <w:rFonts w:eastAsia="Calibri" w:cs="Calibri"/>
                <w:bCs/>
                <w:i/>
                <w:iCs/>
                <w:sz w:val="10"/>
                <w:szCs w:val="10"/>
              </w:rPr>
            </w:pPr>
          </w:p>
          <w:p w14:paraId="6375F2C6" w14:textId="77777777" w:rsidR="00CB712E" w:rsidRPr="000925B3" w:rsidRDefault="00CB712E" w:rsidP="002D1362">
            <w:pPr>
              <w:pStyle w:val="Sansinterligne"/>
              <w:jc w:val="both"/>
              <w:rPr>
                <w:rFonts w:eastAsia="Calibri" w:cs="Calibri"/>
                <w:bCs/>
                <w:i/>
                <w:iCs/>
              </w:rPr>
            </w:pPr>
            <w:r w:rsidRPr="000925B3">
              <w:rPr>
                <w:rFonts w:eastAsia="Calibri" w:cs="Calibri"/>
                <w:bCs/>
                <w:i/>
                <w:iCs/>
              </w:rPr>
              <w:t>Ses retombées économiques peuvent donc être optimisées. En effet, les espèces pélagiques, qui représentent plus de 80 % des captures globales, sont principalement l’œuvre des flottes étrangères dont les produits sont directement exportés. Cette situation limite fortement la contribution du secteur a l’économie nationale.</w:t>
            </w:r>
          </w:p>
          <w:p w14:paraId="3EEF79A9" w14:textId="77777777" w:rsidR="00CB712E" w:rsidRPr="007B58EF" w:rsidRDefault="00CB712E" w:rsidP="002D1362">
            <w:pPr>
              <w:pStyle w:val="Sansinterligne"/>
              <w:jc w:val="both"/>
              <w:rPr>
                <w:rFonts w:eastAsia="Calibri" w:cs="Calibri"/>
                <w:bCs/>
                <w:i/>
                <w:iCs/>
                <w:sz w:val="6"/>
                <w:szCs w:val="6"/>
              </w:rPr>
            </w:pPr>
          </w:p>
          <w:p w14:paraId="041B192C" w14:textId="77777777" w:rsidR="00CB712E" w:rsidRPr="000925B3" w:rsidRDefault="00CB712E" w:rsidP="002D1362">
            <w:pPr>
              <w:pStyle w:val="Sansinterligne"/>
              <w:jc w:val="both"/>
              <w:rPr>
                <w:rFonts w:eastAsia="Calibri" w:cs="Calibri"/>
                <w:bCs/>
                <w:i/>
                <w:iCs/>
              </w:rPr>
            </w:pPr>
            <w:r w:rsidRPr="000925B3">
              <w:rPr>
                <w:rFonts w:eastAsia="Calibri" w:cs="Calibri"/>
                <w:bCs/>
                <w:i/>
                <w:iCs/>
              </w:rPr>
              <w:t>Les emplois dans le secteur sont estimés à environ70.000 emplois directs et 200.000 indirects, dont 80% proviennent de la pêche artisanale, alors que certains pays voisins, avec un volume de captures annuelles inferieur au nôtre, créent beaucoup plus d’emplois.</w:t>
            </w:r>
          </w:p>
          <w:p w14:paraId="1EA1591F" w14:textId="77777777" w:rsidR="00CB712E" w:rsidRPr="000925B3" w:rsidRDefault="00CB712E" w:rsidP="002D1362">
            <w:pPr>
              <w:pStyle w:val="Sansinterligne"/>
              <w:jc w:val="both"/>
              <w:rPr>
                <w:rFonts w:eastAsia="Calibri" w:cs="Calibri"/>
                <w:bCs/>
                <w:i/>
                <w:iCs/>
              </w:rPr>
            </w:pPr>
          </w:p>
          <w:p w14:paraId="2EE4AD37" w14:textId="77777777" w:rsidR="00CB712E" w:rsidRPr="000925B3" w:rsidRDefault="00CB712E" w:rsidP="002D1362">
            <w:pPr>
              <w:pStyle w:val="Sansinterligne"/>
              <w:jc w:val="both"/>
              <w:rPr>
                <w:rFonts w:eastAsia="Calibri" w:cs="Calibri"/>
                <w:bCs/>
                <w:i/>
                <w:iCs/>
              </w:rPr>
            </w:pPr>
            <w:r w:rsidRPr="000925B3">
              <w:rPr>
                <w:rFonts w:eastAsia="Calibri" w:cs="Calibri"/>
                <w:bCs/>
                <w:i/>
                <w:iCs/>
              </w:rPr>
              <w:t>Notre objectif est de faire de la pêche l’un des moteurs principaux de notre émergence. A cet effet, il sera procédé, entre autres, a :</w:t>
            </w:r>
          </w:p>
          <w:p w14:paraId="15D5DE3D" w14:textId="77777777" w:rsidR="00CB712E" w:rsidRPr="000925B3" w:rsidRDefault="00CB712E" w:rsidP="00CB712E">
            <w:pPr>
              <w:pStyle w:val="Sansinterligne"/>
              <w:numPr>
                <w:ilvl w:val="0"/>
                <w:numId w:val="268"/>
              </w:numPr>
              <w:autoSpaceDN w:val="0"/>
              <w:ind w:left="714" w:hanging="357"/>
              <w:jc w:val="both"/>
              <w:rPr>
                <w:rFonts w:eastAsia="Calibri" w:cs="Calibri"/>
                <w:bCs/>
                <w:i/>
                <w:iCs/>
              </w:rPr>
            </w:pPr>
            <w:bookmarkStart w:id="267" w:name="_Hlk177801145"/>
            <w:r w:rsidRPr="000925B3">
              <w:rPr>
                <w:rFonts w:eastAsia="Calibri" w:cs="Calibri"/>
                <w:bCs/>
                <w:i/>
                <w:iCs/>
              </w:rPr>
              <w:t>L’observation strict des recommandations de la recherche par rapport aux mesures de préservation de la ressource et du milieu marin ;</w:t>
            </w:r>
          </w:p>
          <w:bookmarkEnd w:id="267"/>
          <w:p w14:paraId="48BB9A09" w14:textId="77777777" w:rsidR="00CB712E" w:rsidRPr="000925B3" w:rsidRDefault="00CB712E" w:rsidP="00CB712E">
            <w:pPr>
              <w:pStyle w:val="Sansinterligne"/>
              <w:numPr>
                <w:ilvl w:val="0"/>
                <w:numId w:val="268"/>
              </w:numPr>
              <w:autoSpaceDN w:val="0"/>
              <w:ind w:left="714" w:hanging="357"/>
              <w:jc w:val="both"/>
              <w:rPr>
                <w:rFonts w:cs="Calibri"/>
              </w:rPr>
            </w:pPr>
            <w:r w:rsidRPr="000925B3">
              <w:rPr>
                <w:rFonts w:eastAsia="Calibri" w:cs="Calibri"/>
                <w:bCs/>
                <w:i/>
                <w:iCs/>
              </w:rPr>
              <w:t>L’introduction de plus de concurrence dans le processus d’attribution des droits de pêche, avec la finalisation du processus de mise en concurrence pour l’attribution de quotas s’agissant de la pêche du thon en cohérence avec les exigences de la commission internationale pour la conservation des thonidés de de l’atlantique (CICTA/ICCAT) ;</w:t>
            </w:r>
          </w:p>
          <w:p w14:paraId="601116DF" w14:textId="77777777" w:rsidR="00CB712E" w:rsidRPr="000925B3" w:rsidRDefault="00CB712E" w:rsidP="00CB712E">
            <w:pPr>
              <w:pStyle w:val="Sansinterligne"/>
              <w:numPr>
                <w:ilvl w:val="0"/>
                <w:numId w:val="268"/>
              </w:numPr>
              <w:autoSpaceDN w:val="0"/>
              <w:jc w:val="both"/>
              <w:rPr>
                <w:rFonts w:cs="Calibri"/>
              </w:rPr>
            </w:pPr>
            <w:r w:rsidRPr="000925B3">
              <w:rPr>
                <w:rFonts w:eastAsia="Calibri" w:cs="Calibri"/>
                <w:bCs/>
                <w:i/>
                <w:iCs/>
              </w:rPr>
              <w:t>La promotion de la transparence dans le système d’attribution et de gestion de quotas tels que la publication des informations relatives aux conditions de leur allocation, le suivi de leur exploitation et les mesures d’ajustement qui en découlent ;</w:t>
            </w:r>
          </w:p>
          <w:p w14:paraId="0AA74D6B" w14:textId="77777777" w:rsidR="00CB712E" w:rsidRPr="000925B3" w:rsidRDefault="00CB712E" w:rsidP="00CB712E">
            <w:pPr>
              <w:pStyle w:val="Sansinterligne"/>
              <w:numPr>
                <w:ilvl w:val="0"/>
                <w:numId w:val="268"/>
              </w:numPr>
              <w:autoSpaceDN w:val="0"/>
              <w:jc w:val="both"/>
              <w:rPr>
                <w:rFonts w:eastAsia="Calibri" w:cs="Calibri"/>
                <w:bCs/>
                <w:i/>
                <w:iCs/>
              </w:rPr>
            </w:pPr>
            <w:r w:rsidRPr="000925B3">
              <w:rPr>
                <w:rFonts w:eastAsia="Calibri" w:cs="Calibri"/>
                <w:bCs/>
                <w:i/>
                <w:iCs/>
              </w:rPr>
              <w:t>L’allocation d’un quota important des captures permissibles de céphalopodes à la pêche artisanale ;</w:t>
            </w:r>
          </w:p>
          <w:p w14:paraId="4F51C4A2" w14:textId="77777777" w:rsidR="00CB712E" w:rsidRPr="000925B3" w:rsidRDefault="00CB712E" w:rsidP="00CB712E">
            <w:pPr>
              <w:pStyle w:val="Sansinterligne"/>
              <w:numPr>
                <w:ilvl w:val="0"/>
                <w:numId w:val="268"/>
              </w:numPr>
              <w:autoSpaceDN w:val="0"/>
              <w:jc w:val="both"/>
              <w:rPr>
                <w:rFonts w:eastAsia="Calibri" w:cs="Calibri"/>
                <w:bCs/>
                <w:i/>
                <w:iCs/>
              </w:rPr>
            </w:pPr>
            <w:r w:rsidRPr="000925B3">
              <w:rPr>
                <w:rFonts w:eastAsia="Calibri" w:cs="Calibri"/>
                <w:bCs/>
                <w:i/>
                <w:iCs/>
              </w:rPr>
              <w:t>L’augmentation des capacités de stockage et de transformation pour pouvoir débarquer dans nos ports et traiter, d’ici à 2030, au moins 80% des quantités péchées ;</w:t>
            </w:r>
          </w:p>
          <w:p w14:paraId="0EF14EA0" w14:textId="77777777" w:rsidR="00CB712E" w:rsidRPr="000925B3" w:rsidRDefault="00CB712E" w:rsidP="00CB712E">
            <w:pPr>
              <w:pStyle w:val="Sansinterligne"/>
              <w:numPr>
                <w:ilvl w:val="0"/>
                <w:numId w:val="268"/>
              </w:numPr>
              <w:autoSpaceDN w:val="0"/>
              <w:jc w:val="both"/>
              <w:rPr>
                <w:rFonts w:eastAsia="Calibri" w:cs="Calibri"/>
                <w:bCs/>
                <w:i/>
                <w:iCs/>
              </w:rPr>
            </w:pPr>
            <w:r w:rsidRPr="000925B3">
              <w:rPr>
                <w:rFonts w:eastAsia="Calibri" w:cs="Calibri"/>
                <w:bCs/>
                <w:i/>
                <w:iCs/>
              </w:rPr>
              <w:t>La construction/réhabilitation de 5 nouveaux points de débarquement le long de nos côtes ;</w:t>
            </w:r>
          </w:p>
          <w:p w14:paraId="5A620672" w14:textId="77777777" w:rsidR="00CB712E" w:rsidRPr="000925B3" w:rsidRDefault="00CB712E" w:rsidP="00CB712E">
            <w:pPr>
              <w:pStyle w:val="Sansinterligne"/>
              <w:numPr>
                <w:ilvl w:val="0"/>
                <w:numId w:val="268"/>
              </w:numPr>
              <w:autoSpaceDN w:val="0"/>
              <w:jc w:val="both"/>
              <w:rPr>
                <w:rFonts w:eastAsia="Calibri" w:cs="Calibri"/>
                <w:bCs/>
                <w:i/>
                <w:iCs/>
              </w:rPr>
            </w:pPr>
            <w:r w:rsidRPr="000925B3">
              <w:rPr>
                <w:rFonts w:eastAsia="Calibri" w:cs="Calibri"/>
                <w:bCs/>
                <w:i/>
                <w:iCs/>
              </w:rPr>
              <w:t>La promotion de la production de bateaux-types en adéquation avec la capacite optimale de pêche tout en privilégiant la pêche fraiche destinée à la consommation humaine locale ;</w:t>
            </w:r>
          </w:p>
          <w:p w14:paraId="7D9E37B3" w14:textId="77777777" w:rsidR="00CB712E" w:rsidRPr="000925B3" w:rsidRDefault="00CB712E" w:rsidP="00CB712E">
            <w:pPr>
              <w:pStyle w:val="Sansinterligne"/>
              <w:numPr>
                <w:ilvl w:val="0"/>
                <w:numId w:val="268"/>
              </w:numPr>
              <w:autoSpaceDN w:val="0"/>
              <w:jc w:val="both"/>
              <w:rPr>
                <w:rFonts w:eastAsia="Calibri" w:cs="Calibri"/>
                <w:bCs/>
                <w:i/>
                <w:iCs/>
              </w:rPr>
            </w:pPr>
            <w:r w:rsidRPr="000925B3">
              <w:rPr>
                <w:rFonts w:eastAsia="Calibri" w:cs="Calibri"/>
                <w:bCs/>
                <w:i/>
                <w:iCs/>
              </w:rPr>
              <w:t>La réforme de la société mauritanienne de commercialisation de poisson (SMCP), après concertation avec la profession, pour lui permettre de promouvoir , d’une part, les produits mauritaniens sur le marché international et, d’autre part, le développement de la pêche artisanale ; tout en devenant , par ailleurs, un acteur majeur de la promotion des industries de transformation des produits de la pêche avec la création d’un label mauritanien (certification des deux pêcheries : poulpe et petits pélagiques) ; et</w:t>
            </w:r>
          </w:p>
          <w:p w14:paraId="39CBCAA2" w14:textId="77777777" w:rsidR="00CB712E" w:rsidRPr="000925B3" w:rsidRDefault="00CB712E" w:rsidP="00CB712E">
            <w:pPr>
              <w:pStyle w:val="Sansinterligne"/>
              <w:numPr>
                <w:ilvl w:val="0"/>
                <w:numId w:val="268"/>
              </w:numPr>
              <w:autoSpaceDN w:val="0"/>
              <w:jc w:val="both"/>
              <w:rPr>
                <w:rFonts w:eastAsia="Calibri" w:cs="Calibri"/>
                <w:bCs/>
                <w:i/>
                <w:iCs/>
              </w:rPr>
            </w:pPr>
            <w:r w:rsidRPr="000925B3">
              <w:rPr>
                <w:rFonts w:eastAsia="Calibri" w:cs="Calibri"/>
                <w:bCs/>
                <w:i/>
                <w:iCs/>
              </w:rPr>
              <w:t>La mise en place d’un system adapté pour le financement du secteur particulièrement pour la pêche artisanale.</w:t>
            </w:r>
          </w:p>
          <w:p w14:paraId="5A298563" w14:textId="77777777" w:rsidR="00CB712E" w:rsidRPr="000925B3" w:rsidRDefault="00CB712E" w:rsidP="002D1362">
            <w:pPr>
              <w:pStyle w:val="Sansinterligne"/>
              <w:jc w:val="both"/>
              <w:rPr>
                <w:rFonts w:eastAsia="Calibri" w:cs="Calibri"/>
                <w:bCs/>
                <w:i/>
                <w:iCs/>
              </w:rPr>
            </w:pPr>
            <w:r w:rsidRPr="000925B3">
              <w:rPr>
                <w:rFonts w:eastAsia="Calibri" w:cs="Calibri"/>
                <w:bCs/>
                <w:i/>
                <w:iCs/>
              </w:rPr>
              <w:t>Nous promouvrons et développerons, enfin, la pêche continentale à travers la réalisation de projets et programmes spécifiques adaptés au sous-secteur notamment la création de stations et fermes de pisciculture ainsi que l’empoissonnement des plans d’eau.</w:t>
            </w:r>
          </w:p>
          <w:p w14:paraId="05EF0D52" w14:textId="77777777" w:rsidR="00CB712E" w:rsidRPr="000925B3" w:rsidRDefault="00CB712E" w:rsidP="002D1362">
            <w:pPr>
              <w:pStyle w:val="Sansinterligne"/>
              <w:jc w:val="both"/>
              <w:rPr>
                <w:rFonts w:eastAsia="Calibri" w:cs="Calibri"/>
                <w:bCs/>
              </w:rPr>
            </w:pPr>
          </w:p>
        </w:tc>
      </w:tr>
    </w:tbl>
    <w:p w14:paraId="01B5585C" w14:textId="77777777" w:rsidR="00CB712E" w:rsidRPr="000925B3" w:rsidRDefault="00CB712E" w:rsidP="00CB712E">
      <w:pPr>
        <w:pStyle w:val="Sansinterligne"/>
        <w:jc w:val="both"/>
        <w:rPr>
          <w:rFonts w:eastAsia="Calibri" w:cs="Calibri"/>
          <w:bCs/>
        </w:rPr>
      </w:pPr>
    </w:p>
    <w:p w14:paraId="250B817D" w14:textId="77777777" w:rsidR="00CB712E" w:rsidRPr="000925B3" w:rsidRDefault="00CB712E" w:rsidP="00CB712E">
      <w:pPr>
        <w:pStyle w:val="Sansinterligne"/>
        <w:jc w:val="both"/>
        <w:rPr>
          <w:rFonts w:cs="Calibri"/>
        </w:rPr>
      </w:pPr>
      <w:r w:rsidRPr="000925B3">
        <w:rPr>
          <w:rFonts w:eastAsia="Calibri" w:cs="Calibri"/>
          <w:bCs/>
        </w:rPr>
        <w:t>L’analyse de ce programme électoral, toujours sous le seul angle du changement climatique, montre que les points 1, 2, 3, 5, 6 et 7 peuvent bien être considérés des actions d’adaptation</w:t>
      </w:r>
      <w:r>
        <w:rPr>
          <w:rFonts w:eastAsia="Calibri" w:cs="Calibri"/>
          <w:bCs/>
        </w:rPr>
        <w:t xml:space="preserve"> au CC</w:t>
      </w:r>
      <w:r w:rsidRPr="000925B3">
        <w:rPr>
          <w:rFonts w:eastAsia="Calibri" w:cs="Calibri"/>
          <w:bCs/>
        </w:rPr>
        <w:t>. Leurs impacts sont en effet bénéfiques sur les communautés (pécheurs, mareyeurs, transformateurs), les ressources notamment pélagiques et puis les infrastructures maritimes. Ce sont là les 3 unités de pêche considérées les plus sensibles à l’exposition des principaux aléas climatiques caractéristiques</w:t>
      </w:r>
      <w:r>
        <w:rPr>
          <w:rFonts w:eastAsia="Calibri" w:cs="Calibri"/>
          <w:bCs/>
        </w:rPr>
        <w:t xml:space="preserve">, notamment </w:t>
      </w:r>
      <w:r w:rsidRPr="000925B3">
        <w:rPr>
          <w:rFonts w:eastAsia="Calibri" w:cs="Calibri"/>
          <w:bCs/>
        </w:rPr>
        <w:t>du</w:t>
      </w:r>
      <w:r>
        <w:rPr>
          <w:rFonts w:eastAsia="Calibri" w:cs="Calibri"/>
          <w:bCs/>
        </w:rPr>
        <w:t xml:space="preserve"> sous-</w:t>
      </w:r>
      <w:r w:rsidRPr="000925B3">
        <w:rPr>
          <w:rFonts w:eastAsia="Calibri" w:cs="Calibri"/>
          <w:bCs/>
        </w:rPr>
        <w:t>secteur des pêches</w:t>
      </w:r>
      <w:r>
        <w:rPr>
          <w:rFonts w:eastAsia="Calibri" w:cs="Calibri"/>
          <w:bCs/>
        </w:rPr>
        <w:t xml:space="preserve"> maritimes</w:t>
      </w:r>
      <w:r w:rsidRPr="000925B3">
        <w:rPr>
          <w:rFonts w:eastAsia="Calibri" w:cs="Calibri"/>
          <w:bCs/>
        </w:rPr>
        <w:t>.</w:t>
      </w:r>
    </w:p>
    <w:p w14:paraId="45735781" w14:textId="77777777" w:rsidR="00CB712E" w:rsidRPr="000925B3" w:rsidRDefault="00CB712E" w:rsidP="00CB712E">
      <w:pPr>
        <w:pStyle w:val="Sansinterligne"/>
        <w:jc w:val="both"/>
        <w:rPr>
          <w:rFonts w:eastAsia="Calibri" w:cs="Calibri"/>
          <w:bCs/>
        </w:rPr>
      </w:pPr>
      <w:r w:rsidRPr="000925B3">
        <w:rPr>
          <w:rFonts w:eastAsia="Calibri" w:cs="Calibri"/>
          <w:bCs/>
        </w:rPr>
        <w:t xml:space="preserve"> </w:t>
      </w:r>
    </w:p>
    <w:p w14:paraId="74F0B817" w14:textId="77777777" w:rsidR="00CB712E" w:rsidRPr="000925B3" w:rsidRDefault="00CB712E" w:rsidP="00CB712E">
      <w:pPr>
        <w:pStyle w:val="Sansinterligne"/>
        <w:jc w:val="both"/>
        <w:rPr>
          <w:rFonts w:eastAsia="Calibri" w:cs="Calibri"/>
          <w:b/>
          <w:color w:val="FF0000"/>
        </w:rPr>
      </w:pPr>
      <w:r w:rsidRPr="000925B3">
        <w:rPr>
          <w:rFonts w:eastAsia="Calibri" w:cs="Calibri"/>
          <w:b/>
          <w:color w:val="FF0000"/>
        </w:rPr>
        <w:t>4.1.3. Déclaration de Politique Générale du Gouvernement :</w:t>
      </w:r>
    </w:p>
    <w:p w14:paraId="51D34E74" w14:textId="77777777" w:rsidR="00CB712E" w:rsidRPr="000925B3" w:rsidRDefault="00CB712E" w:rsidP="00CB712E">
      <w:pPr>
        <w:pStyle w:val="Sansinterligne"/>
        <w:jc w:val="both"/>
        <w:rPr>
          <w:rFonts w:eastAsia="Calibri" w:cs="Calibri"/>
          <w:bCs/>
        </w:rPr>
      </w:pPr>
    </w:p>
    <w:p w14:paraId="32759AF9" w14:textId="77777777" w:rsidR="00CB712E" w:rsidRPr="000925B3" w:rsidRDefault="00CB712E" w:rsidP="00CB712E">
      <w:pPr>
        <w:pStyle w:val="Sansinterligne"/>
        <w:jc w:val="both"/>
        <w:rPr>
          <w:rFonts w:cs="Calibri"/>
        </w:rPr>
      </w:pPr>
      <w:r w:rsidRPr="000925B3">
        <w:rPr>
          <w:rFonts w:eastAsia="Calibri" w:cs="Calibri"/>
          <w:bCs/>
        </w:rPr>
        <w:t>Dans le domaine de la pêche, cette Déclaration a prévu, pour l’année 2025, la réalisation de cinq actions principales, déjà également prioritaires dans la L2P et le Programme Electoral du Président de la République (Encadré 3).</w:t>
      </w:r>
    </w:p>
    <w:p w14:paraId="64C70C56" w14:textId="77777777" w:rsidR="00CB712E" w:rsidRPr="000925B3" w:rsidRDefault="00CB712E" w:rsidP="00CB712E">
      <w:pPr>
        <w:pStyle w:val="Sansinterligne"/>
        <w:jc w:val="both"/>
        <w:rPr>
          <w:rFonts w:eastAsia="Calibri" w:cs="Calibri"/>
          <w:bCs/>
        </w:rPr>
      </w:pPr>
    </w:p>
    <w:tbl>
      <w:tblPr>
        <w:tblW w:w="9062" w:type="dxa"/>
        <w:tblCellMar>
          <w:left w:w="10" w:type="dxa"/>
          <w:right w:w="10" w:type="dxa"/>
        </w:tblCellMar>
        <w:tblLook w:val="0000" w:firstRow="0" w:lastRow="0" w:firstColumn="0" w:lastColumn="0" w:noHBand="0" w:noVBand="0"/>
      </w:tblPr>
      <w:tblGrid>
        <w:gridCol w:w="9062"/>
      </w:tblGrid>
      <w:tr w:rsidR="00CB712E" w:rsidRPr="000925B3" w14:paraId="3F53E793" w14:textId="77777777" w:rsidTr="002D1362">
        <w:tc>
          <w:tcPr>
            <w:tcW w:w="9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11CD4" w14:textId="77777777" w:rsidR="00CB712E" w:rsidRPr="000925B3" w:rsidRDefault="00CB712E" w:rsidP="002D1362">
            <w:pPr>
              <w:pStyle w:val="Sansinterligne"/>
              <w:jc w:val="both"/>
              <w:rPr>
                <w:rFonts w:eastAsia="Calibri" w:cs="Calibri"/>
                <w:bCs/>
                <w:i/>
                <w:iCs/>
                <w:color w:val="FF0000"/>
              </w:rPr>
            </w:pPr>
            <w:r w:rsidRPr="000925B3">
              <w:rPr>
                <w:rFonts w:eastAsia="Calibri" w:cs="Calibri"/>
                <w:bCs/>
                <w:i/>
                <w:iCs/>
                <w:color w:val="FF0000"/>
              </w:rPr>
              <w:t>Encadré 3 : Déclaration de Politique Générale du Gouvernement 2024-2025</w:t>
            </w:r>
          </w:p>
          <w:p w14:paraId="4E2BC5D5" w14:textId="77777777" w:rsidR="00CB712E" w:rsidRPr="000925B3" w:rsidRDefault="00CB712E" w:rsidP="002D1362">
            <w:pPr>
              <w:pStyle w:val="Sansinterligne"/>
              <w:jc w:val="both"/>
              <w:rPr>
                <w:rFonts w:eastAsia="Calibri" w:cs="Calibri"/>
                <w:bCs/>
                <w:i/>
                <w:iCs/>
              </w:rPr>
            </w:pPr>
            <w:r w:rsidRPr="000925B3">
              <w:rPr>
                <w:rFonts w:eastAsia="Calibri" w:cs="Calibri"/>
                <w:bCs/>
                <w:i/>
                <w:iCs/>
              </w:rPr>
              <w:t>En matière de pêche, les piliers et les objectifs de la politique du gouvernement s’articulent essentiellement autour de l’exploitation durable et responsable de la ressource, en vue du passage à l’économie bleue, de l’adoption d’une approche intégrée de promotion des industries de transformation des produits de la pêche et d’augmentation de la valeur ajoutée. Dans ce cadre, il sera procédé a :</w:t>
            </w:r>
          </w:p>
          <w:p w14:paraId="00516DE6" w14:textId="77777777" w:rsidR="00CB712E" w:rsidRPr="000925B3" w:rsidRDefault="00CB712E" w:rsidP="002D1362">
            <w:pPr>
              <w:pStyle w:val="Sansinterligne"/>
              <w:jc w:val="both"/>
              <w:rPr>
                <w:rFonts w:eastAsia="Calibri" w:cs="Calibri"/>
                <w:bCs/>
                <w:i/>
                <w:iCs/>
              </w:rPr>
            </w:pPr>
          </w:p>
          <w:p w14:paraId="4EF1CB26" w14:textId="77777777" w:rsidR="00CB712E" w:rsidRPr="000925B3" w:rsidRDefault="00CB712E" w:rsidP="00CB712E">
            <w:pPr>
              <w:pStyle w:val="Sansinterligne"/>
              <w:numPr>
                <w:ilvl w:val="0"/>
                <w:numId w:val="269"/>
              </w:numPr>
              <w:autoSpaceDN w:val="0"/>
              <w:jc w:val="both"/>
              <w:rPr>
                <w:rFonts w:eastAsia="Calibri" w:cs="Calibri"/>
                <w:bCs/>
                <w:i/>
                <w:iCs/>
              </w:rPr>
            </w:pPr>
            <w:r w:rsidRPr="000925B3">
              <w:rPr>
                <w:rFonts w:eastAsia="Calibri" w:cs="Calibri"/>
                <w:bCs/>
                <w:i/>
                <w:iCs/>
              </w:rPr>
              <w:t>L’extension, le développement et l’équipement des infrastructures portuaires, de stockage, de conservation et de froid, pour encourager le débarquement de toutes les captures réalisées dans la ZEEM ;</w:t>
            </w:r>
          </w:p>
          <w:p w14:paraId="2D0B4C4C" w14:textId="77777777" w:rsidR="00CB712E" w:rsidRPr="000925B3" w:rsidRDefault="00CB712E" w:rsidP="00CB712E">
            <w:pPr>
              <w:pStyle w:val="Sansinterligne"/>
              <w:numPr>
                <w:ilvl w:val="0"/>
                <w:numId w:val="269"/>
              </w:numPr>
              <w:autoSpaceDN w:val="0"/>
              <w:jc w:val="both"/>
              <w:rPr>
                <w:rFonts w:eastAsia="Calibri" w:cs="Calibri"/>
                <w:bCs/>
                <w:i/>
                <w:iCs/>
              </w:rPr>
            </w:pPr>
            <w:r w:rsidRPr="000925B3">
              <w:rPr>
                <w:rFonts w:eastAsia="Calibri" w:cs="Calibri"/>
                <w:bCs/>
                <w:i/>
                <w:iCs/>
              </w:rPr>
              <w:t>L’adoption d’une stratégie adéquate pour le renouvellement de la flotte et la garantie de sa maintenance ;</w:t>
            </w:r>
          </w:p>
          <w:p w14:paraId="257AB928" w14:textId="77777777" w:rsidR="00CB712E" w:rsidRPr="000925B3" w:rsidRDefault="00CB712E" w:rsidP="00CB712E">
            <w:pPr>
              <w:pStyle w:val="Sansinterligne"/>
              <w:numPr>
                <w:ilvl w:val="0"/>
                <w:numId w:val="269"/>
              </w:numPr>
              <w:autoSpaceDN w:val="0"/>
              <w:jc w:val="both"/>
              <w:rPr>
                <w:rFonts w:eastAsia="Calibri" w:cs="Calibri"/>
                <w:bCs/>
                <w:i/>
                <w:iCs/>
              </w:rPr>
            </w:pPr>
            <w:r w:rsidRPr="000925B3">
              <w:rPr>
                <w:rFonts w:eastAsia="Calibri" w:cs="Calibri"/>
                <w:bCs/>
                <w:i/>
                <w:iCs/>
              </w:rPr>
              <w:t>La mise en place de mécanismes innovants pour le financement des chaines de valeur dans le cadre d’un crédit maritime ;</w:t>
            </w:r>
          </w:p>
          <w:p w14:paraId="701DFA30" w14:textId="77777777" w:rsidR="00CB712E" w:rsidRPr="000925B3" w:rsidRDefault="00CB712E" w:rsidP="00CB712E">
            <w:pPr>
              <w:pStyle w:val="Sansinterligne"/>
              <w:numPr>
                <w:ilvl w:val="0"/>
                <w:numId w:val="269"/>
              </w:numPr>
              <w:autoSpaceDN w:val="0"/>
              <w:jc w:val="both"/>
              <w:rPr>
                <w:rFonts w:eastAsia="Calibri" w:cs="Calibri"/>
                <w:bCs/>
                <w:i/>
                <w:iCs/>
              </w:rPr>
            </w:pPr>
            <w:r w:rsidRPr="000925B3">
              <w:rPr>
                <w:rFonts w:eastAsia="Calibri" w:cs="Calibri"/>
                <w:bCs/>
                <w:i/>
                <w:iCs/>
              </w:rPr>
              <w:t>L’évaluation de l’ensemble des accords de pêche avec nos partenaires, pour mieux protéger nos intérêts nationaux ;</w:t>
            </w:r>
          </w:p>
          <w:p w14:paraId="4913E84A" w14:textId="77777777" w:rsidR="00CB712E" w:rsidRPr="000925B3" w:rsidRDefault="00CB712E" w:rsidP="00CB712E">
            <w:pPr>
              <w:pStyle w:val="Sansinterligne"/>
              <w:numPr>
                <w:ilvl w:val="0"/>
                <w:numId w:val="269"/>
              </w:numPr>
              <w:autoSpaceDN w:val="0"/>
              <w:jc w:val="both"/>
              <w:rPr>
                <w:rFonts w:eastAsia="Calibri" w:cs="Calibri"/>
                <w:bCs/>
                <w:i/>
                <w:iCs/>
              </w:rPr>
            </w:pPr>
            <w:r w:rsidRPr="000925B3">
              <w:rPr>
                <w:rFonts w:eastAsia="Calibri" w:cs="Calibri"/>
                <w:bCs/>
                <w:i/>
                <w:iCs/>
              </w:rPr>
              <w:t>L’opérationnalisation des structures de contrôle et d’inspection ;</w:t>
            </w:r>
          </w:p>
          <w:p w14:paraId="1BC34B9B" w14:textId="77777777" w:rsidR="00CB712E" w:rsidRPr="000925B3" w:rsidRDefault="00CB712E" w:rsidP="00CB712E">
            <w:pPr>
              <w:pStyle w:val="Sansinterligne"/>
              <w:numPr>
                <w:ilvl w:val="0"/>
                <w:numId w:val="269"/>
              </w:numPr>
              <w:autoSpaceDN w:val="0"/>
              <w:jc w:val="both"/>
              <w:rPr>
                <w:rFonts w:cs="Calibri"/>
              </w:rPr>
            </w:pPr>
            <w:r w:rsidRPr="000925B3">
              <w:rPr>
                <w:rFonts w:eastAsia="Calibri" w:cs="Calibri"/>
                <w:bCs/>
                <w:i/>
                <w:iCs/>
              </w:rPr>
              <w:t>La promotion de la recherche et de la formation avec une attention particulière à la pêche continentale et à la pisciculture.</w:t>
            </w:r>
          </w:p>
          <w:p w14:paraId="2E38424A" w14:textId="77777777" w:rsidR="00CB712E" w:rsidRPr="000925B3" w:rsidRDefault="00CB712E" w:rsidP="002D1362">
            <w:pPr>
              <w:pStyle w:val="Sansinterligne"/>
              <w:jc w:val="both"/>
              <w:rPr>
                <w:rFonts w:eastAsia="Calibri" w:cs="Calibri"/>
                <w:bCs/>
                <w:color w:val="FF0000"/>
              </w:rPr>
            </w:pPr>
          </w:p>
        </w:tc>
      </w:tr>
    </w:tbl>
    <w:p w14:paraId="10E7D250" w14:textId="77777777" w:rsidR="00CB712E" w:rsidRPr="000925B3" w:rsidRDefault="00CB712E" w:rsidP="00CB712E">
      <w:pPr>
        <w:ind w:left="708"/>
        <w:rPr>
          <w:rFonts w:cs="Calibri"/>
        </w:rPr>
      </w:pPr>
    </w:p>
    <w:p w14:paraId="287C0DB9" w14:textId="77777777" w:rsidR="00CB712E" w:rsidRPr="000925B3" w:rsidRDefault="00CB712E" w:rsidP="00CB712E">
      <w:pPr>
        <w:pStyle w:val="Sansinterligne"/>
        <w:jc w:val="both"/>
        <w:rPr>
          <w:rFonts w:cs="Calibri"/>
        </w:rPr>
      </w:pPr>
      <w:r>
        <w:rPr>
          <w:rFonts w:eastAsia="Calibri" w:cs="Calibri"/>
          <w:bCs/>
        </w:rPr>
        <w:t xml:space="preserve">L’examen </w:t>
      </w:r>
      <w:r w:rsidRPr="000925B3">
        <w:rPr>
          <w:rFonts w:eastAsia="Calibri" w:cs="Calibri"/>
          <w:bCs/>
        </w:rPr>
        <w:t xml:space="preserve">de près ces 5 points, </w:t>
      </w:r>
      <w:r>
        <w:rPr>
          <w:rFonts w:eastAsia="Calibri" w:cs="Calibri"/>
          <w:bCs/>
        </w:rPr>
        <w:t xml:space="preserve">fait </w:t>
      </w:r>
      <w:r w:rsidRPr="000925B3">
        <w:rPr>
          <w:rFonts w:eastAsia="Calibri" w:cs="Calibri"/>
          <w:bCs/>
        </w:rPr>
        <w:t>considérer les actions 1, 2 et 6 comme des actions d’adaptation au changement climatique.</w:t>
      </w:r>
    </w:p>
    <w:p w14:paraId="3A2730B3" w14:textId="77777777" w:rsidR="00CB712E" w:rsidRPr="000925B3" w:rsidRDefault="00CB712E" w:rsidP="00CB712E">
      <w:pPr>
        <w:pStyle w:val="Sansinterligne"/>
        <w:jc w:val="both"/>
        <w:rPr>
          <w:rFonts w:eastAsia="Calibri" w:cs="Calibri"/>
          <w:bCs/>
        </w:rPr>
      </w:pPr>
    </w:p>
    <w:p w14:paraId="0C84093D" w14:textId="77777777" w:rsidR="00CB712E" w:rsidRPr="000925B3" w:rsidRDefault="00CB712E" w:rsidP="00CB712E">
      <w:pPr>
        <w:jc w:val="both"/>
        <w:rPr>
          <w:rFonts w:cs="Calibri"/>
        </w:rPr>
      </w:pPr>
      <w:r w:rsidRPr="000925B3">
        <w:rPr>
          <w:rFonts w:cs="Calibri"/>
          <w:bCs/>
        </w:rPr>
        <w:t>Le renforcement des infrastructures de la frange côtière, et la promotion d’une flotte nationale adaptée, d’une recherche scientifique performante et d’une main d’œuvre maritime qualifiée, contribuent à amoindrir, directement et/ou indirectement, les impacts négatifs de certains aléas climatiques (élévation du niveau de la mer, etc.), à améliorer les conditions de vie des populations et à préserver les ressources.</w:t>
      </w:r>
    </w:p>
    <w:p w14:paraId="40632434" w14:textId="77777777" w:rsidR="00CB712E" w:rsidRPr="000925B3" w:rsidRDefault="00CB712E" w:rsidP="00CB712E">
      <w:pPr>
        <w:pStyle w:val="Sansinterligne"/>
        <w:jc w:val="both"/>
        <w:rPr>
          <w:rFonts w:eastAsia="Calibri" w:cs="Calibri"/>
          <w:bCs/>
        </w:rPr>
      </w:pPr>
    </w:p>
    <w:p w14:paraId="3670BDD3" w14:textId="77777777" w:rsidR="00CB712E" w:rsidRPr="000925B3" w:rsidRDefault="00CB712E" w:rsidP="00CB712E">
      <w:pPr>
        <w:pStyle w:val="Sansinterligne"/>
        <w:jc w:val="both"/>
        <w:rPr>
          <w:rFonts w:cs="Calibri"/>
        </w:rPr>
      </w:pPr>
      <w:r w:rsidRPr="000925B3">
        <w:rPr>
          <w:rFonts w:eastAsia="Calibri" w:cs="Calibri"/>
          <w:bCs/>
        </w:rPr>
        <w:t xml:space="preserve">Il est cependant rappelé que les infrastructures maritimes (y compris portuaires), doivent être suffisamment résilientes face aux menaces de l’élévation du niveau de la mer qui entraine déjà la force et la fréquence des houles et tempêtes, l’élargissement des zones inondées et </w:t>
      </w:r>
      <w:r>
        <w:rPr>
          <w:rFonts w:eastAsia="Calibri" w:cs="Calibri"/>
          <w:bCs/>
        </w:rPr>
        <w:t xml:space="preserve">l’amplification des effets de </w:t>
      </w:r>
      <w:r w:rsidRPr="000925B3">
        <w:rPr>
          <w:rFonts w:eastAsia="Calibri" w:cs="Calibri"/>
          <w:bCs/>
        </w:rPr>
        <w:t>l’érosion côtière.</w:t>
      </w:r>
    </w:p>
    <w:p w14:paraId="1E2F26D0" w14:textId="77777777" w:rsidR="00CB712E" w:rsidRPr="000925B3" w:rsidRDefault="00CB712E" w:rsidP="00CB712E">
      <w:pPr>
        <w:jc w:val="both"/>
        <w:rPr>
          <w:rFonts w:cs="Calibri"/>
          <w:bCs/>
        </w:rPr>
      </w:pPr>
    </w:p>
    <w:p w14:paraId="11F0C744" w14:textId="77777777" w:rsidR="00CB712E" w:rsidRPr="000925B3" w:rsidRDefault="00CB712E" w:rsidP="00CB712E">
      <w:pPr>
        <w:jc w:val="both"/>
        <w:rPr>
          <w:rFonts w:cs="Calibri"/>
        </w:rPr>
      </w:pPr>
      <w:r w:rsidRPr="000925B3">
        <w:rPr>
          <w:rFonts w:cs="Calibri"/>
          <w:bCs/>
        </w:rPr>
        <w:t>Par ailleurs, il est aussi à signaler que la Feuille de route, est, au fond, une reprise des objectifs de la L2P et une tentative de satisfaire un ensemble de doléances des acteurs de la pêche alors que les actions à réaliser par la pêche durant les premiers 100 jours du Gouvernement émanent des documents de référence traités plus haut et en constituent souvent des détails d’un niveau programmatique inferieur (objectif spécifique, action ou activité).</w:t>
      </w:r>
    </w:p>
    <w:p w14:paraId="5D193D0A" w14:textId="77777777" w:rsidR="00CB712E" w:rsidRPr="000925B3" w:rsidRDefault="00CB712E" w:rsidP="00CB712E">
      <w:pPr>
        <w:jc w:val="both"/>
        <w:rPr>
          <w:rFonts w:cs="Calibri"/>
          <w:bCs/>
        </w:rPr>
      </w:pPr>
      <w:bookmarkStart w:id="268" w:name="_Hlk177750881"/>
    </w:p>
    <w:bookmarkEnd w:id="268"/>
    <w:p w14:paraId="2C479176" w14:textId="77777777" w:rsidR="00CB712E" w:rsidRPr="000925B3" w:rsidRDefault="00CB712E" w:rsidP="00CB712E">
      <w:pPr>
        <w:jc w:val="both"/>
        <w:rPr>
          <w:rFonts w:cs="Calibri"/>
        </w:rPr>
      </w:pPr>
      <w:r w:rsidRPr="00FA2F39">
        <w:rPr>
          <w:rFonts w:cs="Calibri"/>
          <w:b/>
          <w:color w:val="FF0000"/>
        </w:rPr>
        <w:t>4.</w:t>
      </w:r>
      <w:r w:rsidRPr="000925B3">
        <w:rPr>
          <w:rFonts w:cs="Calibri"/>
          <w:b/>
          <w:bCs/>
          <w:color w:val="FF0000"/>
        </w:rPr>
        <w:t xml:space="preserve">2. </w:t>
      </w:r>
      <w:r>
        <w:rPr>
          <w:rFonts w:cs="Calibri"/>
          <w:b/>
          <w:bCs/>
          <w:color w:val="FF0000"/>
        </w:rPr>
        <w:t xml:space="preserve">Mesures et </w:t>
      </w:r>
      <w:r w:rsidRPr="000925B3">
        <w:rPr>
          <w:rFonts w:cs="Calibri"/>
          <w:b/>
          <w:bCs/>
          <w:color w:val="FF0000"/>
        </w:rPr>
        <w:t>Actions d’adaptation au cc proposées :</w:t>
      </w:r>
    </w:p>
    <w:p w14:paraId="50A413C3" w14:textId="77777777" w:rsidR="00CB712E" w:rsidRPr="000925B3" w:rsidRDefault="00CB712E" w:rsidP="00CB712E">
      <w:pPr>
        <w:pStyle w:val="Sansinterligne"/>
        <w:jc w:val="both"/>
        <w:rPr>
          <w:rFonts w:eastAsia="Calibri" w:cs="Calibri"/>
          <w:bCs/>
          <w:color w:val="FF0000"/>
        </w:rPr>
      </w:pPr>
    </w:p>
    <w:p w14:paraId="41970D03" w14:textId="77777777" w:rsidR="00CB712E" w:rsidRPr="000925B3" w:rsidRDefault="00CB712E" w:rsidP="00CB712E">
      <w:pPr>
        <w:pStyle w:val="Sansinterligne"/>
        <w:jc w:val="both"/>
        <w:rPr>
          <w:rFonts w:cs="Calibri"/>
        </w:rPr>
      </w:pPr>
      <w:r w:rsidRPr="000925B3">
        <w:rPr>
          <w:rFonts w:eastAsia="Calibri" w:cs="Calibri"/>
          <w:bCs/>
        </w:rPr>
        <w:t>Ce sous-chapitre est consacré à l’identification d’un nombre limité d</w:t>
      </w:r>
      <w:r>
        <w:rPr>
          <w:rFonts w:eastAsia="Calibri" w:cs="Calibri"/>
          <w:bCs/>
        </w:rPr>
        <w:t xml:space="preserve">e mesures et </w:t>
      </w:r>
      <w:r w:rsidRPr="000925B3">
        <w:rPr>
          <w:rFonts w:eastAsia="Calibri" w:cs="Calibri"/>
          <w:bCs/>
        </w:rPr>
        <w:t xml:space="preserve">actions d’adaptation au changement climatique pour constituer l’axe principal de la contribution du </w:t>
      </w:r>
      <w:r>
        <w:rPr>
          <w:rFonts w:eastAsia="Calibri" w:cs="Calibri"/>
          <w:bCs/>
        </w:rPr>
        <w:t>sous-</w:t>
      </w:r>
      <w:r w:rsidRPr="000925B3">
        <w:rPr>
          <w:rFonts w:eastAsia="Calibri" w:cs="Calibri"/>
          <w:bCs/>
        </w:rPr>
        <w:t xml:space="preserve">secteur des pêches </w:t>
      </w:r>
      <w:r>
        <w:rPr>
          <w:rFonts w:eastAsia="Calibri" w:cs="Calibri"/>
          <w:bCs/>
        </w:rPr>
        <w:t xml:space="preserve">maritimes </w:t>
      </w:r>
      <w:r w:rsidRPr="000925B3">
        <w:rPr>
          <w:rFonts w:eastAsia="Calibri" w:cs="Calibri"/>
          <w:bCs/>
        </w:rPr>
        <w:t>à la présente CN</w:t>
      </w:r>
      <w:r>
        <w:rPr>
          <w:rFonts w:eastAsia="Calibri" w:cs="Calibri"/>
          <w:bCs/>
        </w:rPr>
        <w:t>5</w:t>
      </w:r>
      <w:r w:rsidRPr="000925B3">
        <w:rPr>
          <w:rFonts w:eastAsia="Calibri" w:cs="Calibri"/>
          <w:bCs/>
        </w:rPr>
        <w:t>. La démarche suivie pour ce faire, a consisté en l’intégration et l’exploitation de :</w:t>
      </w:r>
    </w:p>
    <w:p w14:paraId="5ADAF884" w14:textId="77777777" w:rsidR="00CB712E" w:rsidRPr="000925B3" w:rsidRDefault="00CB712E" w:rsidP="00CB712E">
      <w:pPr>
        <w:pStyle w:val="Sansinterligne"/>
        <w:jc w:val="both"/>
        <w:rPr>
          <w:rFonts w:eastAsia="Calibri" w:cs="Calibri"/>
          <w:bCs/>
        </w:rPr>
      </w:pPr>
    </w:p>
    <w:p w14:paraId="1D7CC449" w14:textId="77777777" w:rsidR="00CB712E" w:rsidRPr="000925B3" w:rsidRDefault="00CB712E" w:rsidP="00CB712E">
      <w:pPr>
        <w:pStyle w:val="Sansinterligne"/>
        <w:numPr>
          <w:ilvl w:val="0"/>
          <w:numId w:val="270"/>
        </w:numPr>
        <w:autoSpaceDN w:val="0"/>
        <w:jc w:val="both"/>
        <w:rPr>
          <w:rFonts w:eastAsia="Calibri" w:cs="Calibri"/>
          <w:bCs/>
        </w:rPr>
      </w:pPr>
      <w:r w:rsidRPr="000925B3">
        <w:rPr>
          <w:rFonts w:eastAsia="Calibri" w:cs="Calibri"/>
          <w:bCs/>
        </w:rPr>
        <w:t>Les résultats de l’analyse des documents officiels de référence ;</w:t>
      </w:r>
    </w:p>
    <w:p w14:paraId="5682E050" w14:textId="77777777" w:rsidR="00CB712E" w:rsidRPr="000925B3" w:rsidRDefault="00CB712E" w:rsidP="00CB712E">
      <w:pPr>
        <w:pStyle w:val="Sansinterligne"/>
        <w:numPr>
          <w:ilvl w:val="0"/>
          <w:numId w:val="270"/>
        </w:numPr>
        <w:autoSpaceDN w:val="0"/>
        <w:jc w:val="both"/>
        <w:rPr>
          <w:rFonts w:eastAsia="Calibri" w:cs="Calibri"/>
          <w:bCs/>
        </w:rPr>
      </w:pPr>
      <w:r w:rsidRPr="000925B3">
        <w:rPr>
          <w:rFonts w:eastAsia="Calibri" w:cs="Calibri"/>
          <w:bCs/>
        </w:rPr>
        <w:t>Les aléas et risques majeurs consacrés et leurs principaux impacts actuels sur les unités de pêche les plus sensibles à l’action du changement climatique ;</w:t>
      </w:r>
    </w:p>
    <w:p w14:paraId="75E434F3" w14:textId="77777777" w:rsidR="00CB712E" w:rsidRPr="000925B3" w:rsidRDefault="00CB712E" w:rsidP="00CB712E">
      <w:pPr>
        <w:pStyle w:val="Sansinterligne"/>
        <w:numPr>
          <w:ilvl w:val="0"/>
          <w:numId w:val="270"/>
        </w:numPr>
        <w:autoSpaceDN w:val="0"/>
        <w:jc w:val="both"/>
        <w:rPr>
          <w:rFonts w:cs="Calibri"/>
        </w:rPr>
      </w:pPr>
      <w:r w:rsidRPr="000925B3">
        <w:rPr>
          <w:rFonts w:eastAsia="Calibri" w:cs="Calibri"/>
          <w:bCs/>
        </w:rPr>
        <w:t>Les actions d’adaptation déjà inscrites dans les contributions du secteur à la CDN2021 actualisée et au plan d’action 2022-2030 de la mise en œuvre de cette CDN.</w:t>
      </w:r>
    </w:p>
    <w:p w14:paraId="4ED050F4" w14:textId="77777777" w:rsidR="00CB712E" w:rsidRPr="000925B3" w:rsidRDefault="00CB712E" w:rsidP="00CB712E">
      <w:pPr>
        <w:pStyle w:val="Sansinterligne"/>
        <w:jc w:val="both"/>
        <w:rPr>
          <w:rFonts w:eastAsia="Calibri" w:cs="Calibri"/>
          <w:bCs/>
          <w:color w:val="FF0000"/>
        </w:rPr>
      </w:pPr>
    </w:p>
    <w:p w14:paraId="28BE7217" w14:textId="77777777" w:rsidR="00CB712E" w:rsidRPr="000925B3" w:rsidRDefault="00CB712E" w:rsidP="00CB712E">
      <w:pPr>
        <w:pStyle w:val="Sansinterligne"/>
        <w:jc w:val="both"/>
        <w:rPr>
          <w:rFonts w:eastAsia="Calibri" w:cs="Calibri"/>
          <w:bCs/>
        </w:rPr>
      </w:pPr>
      <w:r w:rsidRPr="000925B3">
        <w:rPr>
          <w:rFonts w:eastAsia="Calibri" w:cs="Calibri"/>
          <w:bCs/>
        </w:rPr>
        <w:t>L’analyse approfondie et intégrée de l’ensemble de ces documents</w:t>
      </w:r>
      <w:r>
        <w:rPr>
          <w:rFonts w:eastAsia="Calibri" w:cs="Calibri"/>
          <w:bCs/>
        </w:rPr>
        <w:t xml:space="preserve"> et sources de données</w:t>
      </w:r>
      <w:r w:rsidRPr="000925B3">
        <w:rPr>
          <w:rFonts w:eastAsia="Calibri" w:cs="Calibri"/>
          <w:bCs/>
        </w:rPr>
        <w:t xml:space="preserve">, a conduit à la proposition de </w:t>
      </w:r>
      <w:r>
        <w:rPr>
          <w:rFonts w:eastAsia="Calibri" w:cs="Calibri"/>
          <w:bCs/>
        </w:rPr>
        <w:t xml:space="preserve">six </w:t>
      </w:r>
      <w:r w:rsidRPr="000925B3">
        <w:rPr>
          <w:rFonts w:eastAsia="Calibri" w:cs="Calibri"/>
          <w:bCs/>
        </w:rPr>
        <w:t>(</w:t>
      </w:r>
      <w:r>
        <w:rPr>
          <w:rFonts w:eastAsia="Calibri" w:cs="Calibri"/>
          <w:bCs/>
        </w:rPr>
        <w:t>6</w:t>
      </w:r>
      <w:r w:rsidRPr="000925B3">
        <w:rPr>
          <w:rFonts w:eastAsia="Calibri" w:cs="Calibri"/>
          <w:bCs/>
        </w:rPr>
        <w:t>) actions d’adaptation au changement climatiques, reparties au sein de 4 domaines d’action comme suit :</w:t>
      </w:r>
    </w:p>
    <w:p w14:paraId="2D2BA0D7" w14:textId="77777777" w:rsidR="00CB712E" w:rsidRPr="000925B3" w:rsidRDefault="00CB712E" w:rsidP="00CB712E">
      <w:pPr>
        <w:pStyle w:val="Sansinterligne"/>
        <w:jc w:val="both"/>
        <w:rPr>
          <w:rFonts w:cs="Calibri"/>
          <w:i/>
          <w:iCs/>
          <w:color w:val="000000"/>
          <w:lang w:eastAsia="fr-SN"/>
        </w:rPr>
      </w:pPr>
    </w:p>
    <w:p w14:paraId="7DC632B1" w14:textId="77777777" w:rsidR="00CB712E" w:rsidRPr="000925B3" w:rsidRDefault="00CB712E" w:rsidP="00CB712E">
      <w:pPr>
        <w:jc w:val="both"/>
        <w:rPr>
          <w:rFonts w:cs="Calibri"/>
          <w:b/>
          <w:bCs/>
          <w:i/>
          <w:iCs/>
          <w:color w:val="FF0000"/>
          <w:lang w:eastAsia="fr-SN"/>
        </w:rPr>
      </w:pPr>
      <w:r w:rsidRPr="000925B3">
        <w:rPr>
          <w:rFonts w:cs="Calibri"/>
          <w:b/>
          <w:bCs/>
          <w:i/>
          <w:iCs/>
          <w:color w:val="FF0000"/>
          <w:lang w:eastAsia="fr-SN"/>
        </w:rPr>
        <w:t>1. Communautés</w:t>
      </w:r>
    </w:p>
    <w:p w14:paraId="3793A14B" w14:textId="77777777" w:rsidR="00CB712E" w:rsidRPr="000925B3" w:rsidRDefault="00CB712E" w:rsidP="00CB712E">
      <w:pPr>
        <w:pStyle w:val="Sansinterligne"/>
        <w:jc w:val="both"/>
        <w:rPr>
          <w:rFonts w:eastAsia="Calibri" w:cs="Calibri"/>
          <w:bCs/>
        </w:rPr>
      </w:pPr>
    </w:p>
    <w:p w14:paraId="359F90CA" w14:textId="77777777" w:rsidR="00CB712E" w:rsidRPr="000925B3" w:rsidRDefault="00CB712E" w:rsidP="00CB712E">
      <w:pPr>
        <w:pStyle w:val="Sansinterligne"/>
        <w:numPr>
          <w:ilvl w:val="0"/>
          <w:numId w:val="271"/>
        </w:numPr>
        <w:autoSpaceDN w:val="0"/>
        <w:jc w:val="both"/>
        <w:rPr>
          <w:rFonts w:eastAsia="Calibri" w:cs="Calibri"/>
          <w:bCs/>
        </w:rPr>
      </w:pPr>
      <w:r w:rsidRPr="000925B3">
        <w:rPr>
          <w:rFonts w:eastAsia="Calibri" w:cs="Calibri"/>
          <w:bCs/>
        </w:rPr>
        <w:t>Renforcement de la résilience des communautés côtières et des acteurs de la pêche</w:t>
      </w:r>
      <w:r>
        <w:rPr>
          <w:rFonts w:eastAsia="Calibri" w:cs="Calibri"/>
          <w:bCs/>
        </w:rPr>
        <w:t xml:space="preserve"> maritime</w:t>
      </w:r>
      <w:r w:rsidRPr="000925B3">
        <w:rPr>
          <w:rFonts w:eastAsia="Calibri" w:cs="Calibri"/>
          <w:bCs/>
        </w:rPr>
        <w:t> </w:t>
      </w:r>
    </w:p>
    <w:p w14:paraId="4582675B" w14:textId="77777777" w:rsidR="00CB712E" w:rsidRPr="000925B3" w:rsidRDefault="00CB712E" w:rsidP="00CB712E">
      <w:pPr>
        <w:jc w:val="both"/>
        <w:rPr>
          <w:rFonts w:cs="Calibri"/>
          <w:i/>
          <w:iCs/>
          <w:color w:val="000000"/>
          <w:lang w:eastAsia="fr-SN"/>
        </w:rPr>
      </w:pPr>
    </w:p>
    <w:p w14:paraId="36C3DCF5" w14:textId="77777777" w:rsidR="00CB712E" w:rsidRPr="000925B3" w:rsidRDefault="00CB712E" w:rsidP="00CB712E">
      <w:pPr>
        <w:jc w:val="both"/>
        <w:rPr>
          <w:rFonts w:cs="Calibri"/>
          <w:b/>
          <w:bCs/>
          <w:i/>
          <w:iCs/>
          <w:color w:val="FF0000"/>
          <w:lang w:eastAsia="fr-SN"/>
        </w:rPr>
      </w:pPr>
      <w:r w:rsidRPr="000925B3">
        <w:rPr>
          <w:rFonts w:cs="Calibri"/>
          <w:b/>
          <w:bCs/>
          <w:i/>
          <w:iCs/>
          <w:color w:val="FF0000"/>
          <w:lang w:eastAsia="fr-SN"/>
        </w:rPr>
        <w:t>2. Infrastructures de pêche</w:t>
      </w:r>
    </w:p>
    <w:p w14:paraId="1300871C" w14:textId="77777777" w:rsidR="00CB712E" w:rsidRPr="000925B3" w:rsidRDefault="00CB712E" w:rsidP="00CB712E">
      <w:pPr>
        <w:pStyle w:val="Sansinterligne"/>
        <w:jc w:val="both"/>
        <w:rPr>
          <w:rFonts w:eastAsia="Calibri" w:cs="Calibri"/>
          <w:bCs/>
        </w:rPr>
      </w:pPr>
    </w:p>
    <w:p w14:paraId="164C0A6D" w14:textId="77777777" w:rsidR="00CB712E" w:rsidRPr="000925B3" w:rsidRDefault="00CB712E" w:rsidP="00CB712E">
      <w:pPr>
        <w:pStyle w:val="Sansinterligne"/>
        <w:numPr>
          <w:ilvl w:val="0"/>
          <w:numId w:val="271"/>
        </w:numPr>
        <w:autoSpaceDN w:val="0"/>
        <w:jc w:val="both"/>
        <w:rPr>
          <w:rFonts w:eastAsia="Calibri" w:cs="Calibri"/>
          <w:bCs/>
        </w:rPr>
      </w:pPr>
      <w:r w:rsidRPr="000925B3">
        <w:rPr>
          <w:rFonts w:eastAsia="Calibri" w:cs="Calibri"/>
          <w:bCs/>
        </w:rPr>
        <w:t>Développement et équipement des infrastructures maritimes de développement de la pêche et des services de base tout le long de la côte ; </w:t>
      </w:r>
    </w:p>
    <w:p w14:paraId="7E38B57C" w14:textId="77777777" w:rsidR="00CB712E" w:rsidRPr="000925B3" w:rsidRDefault="00CB712E" w:rsidP="00CB712E">
      <w:pPr>
        <w:jc w:val="both"/>
        <w:rPr>
          <w:rFonts w:cs="Calibri"/>
          <w:i/>
          <w:iCs/>
          <w:color w:val="FF0000"/>
          <w:lang w:eastAsia="fr-SN"/>
        </w:rPr>
      </w:pPr>
    </w:p>
    <w:p w14:paraId="60975799" w14:textId="77777777" w:rsidR="00CB712E" w:rsidRPr="000925B3" w:rsidRDefault="00CB712E" w:rsidP="00CB712E">
      <w:pPr>
        <w:jc w:val="both"/>
        <w:rPr>
          <w:rFonts w:cs="Calibri"/>
          <w:b/>
          <w:bCs/>
          <w:i/>
          <w:iCs/>
          <w:color w:val="FF0000"/>
          <w:lang w:eastAsia="fr-SN"/>
        </w:rPr>
      </w:pPr>
      <w:r w:rsidRPr="000925B3">
        <w:rPr>
          <w:rFonts w:cs="Calibri"/>
          <w:b/>
          <w:bCs/>
          <w:i/>
          <w:iCs/>
          <w:color w:val="FF0000"/>
          <w:lang w:eastAsia="fr-SN"/>
        </w:rPr>
        <w:t>3. Ressources et outils de production ;</w:t>
      </w:r>
    </w:p>
    <w:p w14:paraId="290864AC" w14:textId="77777777" w:rsidR="00CB712E" w:rsidRPr="000925B3" w:rsidRDefault="00CB712E" w:rsidP="00CB712E">
      <w:pPr>
        <w:jc w:val="both"/>
        <w:rPr>
          <w:rFonts w:cs="Calibri"/>
          <w:i/>
          <w:iCs/>
          <w:color w:val="000000"/>
          <w:lang w:eastAsia="fr-SN"/>
        </w:rPr>
      </w:pPr>
    </w:p>
    <w:p w14:paraId="420AD707" w14:textId="77777777" w:rsidR="00CB712E" w:rsidRPr="000925B3" w:rsidRDefault="00CB712E" w:rsidP="00CB712E">
      <w:pPr>
        <w:pStyle w:val="Sansinterligne"/>
        <w:numPr>
          <w:ilvl w:val="0"/>
          <w:numId w:val="272"/>
        </w:numPr>
        <w:autoSpaceDN w:val="0"/>
        <w:jc w:val="both"/>
        <w:rPr>
          <w:rFonts w:eastAsia="Calibri" w:cs="Calibri"/>
          <w:bCs/>
        </w:rPr>
      </w:pPr>
      <w:r w:rsidRPr="000925B3">
        <w:rPr>
          <w:rFonts w:eastAsia="Calibri" w:cs="Calibri"/>
          <w:bCs/>
        </w:rPr>
        <w:t>Promotion d'une flotte de pêche nationale adaptée et compétitive ;</w:t>
      </w:r>
    </w:p>
    <w:p w14:paraId="34E7F864" w14:textId="77777777" w:rsidR="00CB712E" w:rsidRPr="000925B3" w:rsidRDefault="00CB712E" w:rsidP="00CB712E">
      <w:pPr>
        <w:pStyle w:val="Sansinterligne"/>
        <w:numPr>
          <w:ilvl w:val="0"/>
          <w:numId w:val="272"/>
        </w:numPr>
        <w:autoSpaceDN w:val="0"/>
        <w:jc w:val="both"/>
        <w:rPr>
          <w:rFonts w:eastAsia="Calibri" w:cs="Calibri"/>
          <w:bCs/>
        </w:rPr>
      </w:pPr>
      <w:r w:rsidRPr="000925B3">
        <w:rPr>
          <w:rFonts w:eastAsia="Calibri" w:cs="Calibri"/>
          <w:bCs/>
        </w:rPr>
        <w:t>Développement de l’aquaculture marine et dulcicole ; </w:t>
      </w:r>
    </w:p>
    <w:p w14:paraId="4230EDCB" w14:textId="55248038" w:rsidR="00CB712E" w:rsidRPr="000925B3" w:rsidRDefault="00CB712E" w:rsidP="00CB712E">
      <w:pPr>
        <w:pStyle w:val="Sansinterligne"/>
        <w:numPr>
          <w:ilvl w:val="0"/>
          <w:numId w:val="272"/>
        </w:numPr>
        <w:autoSpaceDN w:val="0"/>
        <w:jc w:val="both"/>
        <w:rPr>
          <w:rFonts w:eastAsia="Calibri" w:cs="Calibri"/>
          <w:bCs/>
        </w:rPr>
      </w:pPr>
      <w:r w:rsidRPr="000925B3">
        <w:rPr>
          <w:rFonts w:eastAsia="Calibri" w:cs="Calibri"/>
          <w:bCs/>
        </w:rPr>
        <w:t>Promotion d’un système d’exploitation et de gestion des ressources halieutiques</w:t>
      </w:r>
      <w:r>
        <w:rPr>
          <w:rFonts w:eastAsia="Calibri" w:cs="Calibri"/>
          <w:bCs/>
        </w:rPr>
        <w:t xml:space="preserve"> marines</w:t>
      </w:r>
      <w:r w:rsidRPr="000925B3">
        <w:rPr>
          <w:rFonts w:eastAsia="Calibri" w:cs="Calibri"/>
          <w:bCs/>
        </w:rPr>
        <w:t xml:space="preserve">, basé sur le respect des recommandations de la recherche scientifique, des plans d’aménagement et de gestion, du taux autorisé de captures (TAC) fixé annuellement par la recherche et enfin de la transparence et l’équité dans l’attribution des quotas et l’acquisition des navires </w:t>
      </w:r>
      <w:r>
        <w:rPr>
          <w:rFonts w:eastAsia="Calibri" w:cs="Calibri"/>
          <w:bCs/>
        </w:rPr>
        <w:t xml:space="preserve">de pêche </w:t>
      </w:r>
      <w:r w:rsidR="00BB5F8F">
        <w:rPr>
          <w:rFonts w:eastAsia="Calibri" w:cs="Calibri"/>
          <w:bCs/>
        </w:rPr>
        <w:t>maritime</w:t>
      </w:r>
      <w:r w:rsidR="00BB5F8F" w:rsidRPr="000925B3">
        <w:rPr>
          <w:rFonts w:eastAsia="Calibri" w:cs="Calibri"/>
          <w:bCs/>
        </w:rPr>
        <w:t xml:space="preserve"> (</w:t>
      </w:r>
      <w:r w:rsidRPr="000925B3">
        <w:rPr>
          <w:rFonts w:eastAsia="Calibri" w:cs="Calibri"/>
          <w:bCs/>
        </w:rPr>
        <w:t>construction et importation).</w:t>
      </w:r>
    </w:p>
    <w:p w14:paraId="6A1F59F0" w14:textId="77777777" w:rsidR="00CB712E" w:rsidRPr="000925B3" w:rsidRDefault="00CB712E" w:rsidP="00CB712E">
      <w:pPr>
        <w:jc w:val="both"/>
        <w:rPr>
          <w:rFonts w:cs="Calibri"/>
          <w:i/>
          <w:iCs/>
          <w:color w:val="FF0000"/>
          <w:lang w:eastAsia="fr-SN"/>
        </w:rPr>
      </w:pPr>
    </w:p>
    <w:p w14:paraId="4FCA3A2E" w14:textId="77777777" w:rsidR="00CB712E" w:rsidRPr="000925B3" w:rsidRDefault="00CB712E" w:rsidP="00CB712E">
      <w:pPr>
        <w:jc w:val="both"/>
        <w:rPr>
          <w:rFonts w:cs="Calibri"/>
        </w:rPr>
      </w:pPr>
      <w:r w:rsidRPr="000925B3">
        <w:rPr>
          <w:rFonts w:cs="Calibri"/>
          <w:b/>
          <w:bCs/>
          <w:i/>
          <w:iCs/>
          <w:color w:val="FF0000"/>
          <w:lang w:eastAsia="fr-SN"/>
        </w:rPr>
        <w:t>4. Recherche scientifique</w:t>
      </w:r>
      <w:r w:rsidRPr="000925B3">
        <w:rPr>
          <w:rFonts w:cs="Calibri"/>
          <w:i/>
          <w:iCs/>
          <w:color w:val="FF0000"/>
          <w:lang w:eastAsia="fr-SN"/>
        </w:rPr>
        <w:t> :</w:t>
      </w:r>
    </w:p>
    <w:p w14:paraId="1C26E96E" w14:textId="77777777" w:rsidR="00CB712E" w:rsidRPr="000925B3" w:rsidRDefault="00CB712E" w:rsidP="00CB712E">
      <w:pPr>
        <w:jc w:val="both"/>
        <w:rPr>
          <w:rFonts w:cs="Calibri"/>
          <w:i/>
          <w:iCs/>
          <w:color w:val="000000"/>
          <w:lang w:eastAsia="fr-SN"/>
        </w:rPr>
      </w:pPr>
    </w:p>
    <w:p w14:paraId="1BD5D7F6" w14:textId="77777777" w:rsidR="00CB712E" w:rsidRPr="000925B3" w:rsidRDefault="00CB712E" w:rsidP="00CB712E">
      <w:pPr>
        <w:pStyle w:val="Sansinterligne"/>
        <w:numPr>
          <w:ilvl w:val="0"/>
          <w:numId w:val="273"/>
        </w:numPr>
        <w:autoSpaceDN w:val="0"/>
        <w:jc w:val="both"/>
        <w:rPr>
          <w:rFonts w:eastAsia="Calibri" w:cs="Calibri"/>
          <w:bCs/>
        </w:rPr>
      </w:pPr>
      <w:r w:rsidRPr="000925B3">
        <w:rPr>
          <w:rFonts w:eastAsia="Calibri" w:cs="Calibri"/>
          <w:bCs/>
        </w:rPr>
        <w:t>Renforcement de la recherche halieutique en vue notamment de l’emmener à assurer :</w:t>
      </w:r>
    </w:p>
    <w:p w14:paraId="75CAB847" w14:textId="77777777" w:rsidR="00CB712E" w:rsidRPr="000925B3" w:rsidRDefault="00CB712E" w:rsidP="00CB712E">
      <w:pPr>
        <w:pStyle w:val="Sansinterligne"/>
        <w:numPr>
          <w:ilvl w:val="0"/>
          <w:numId w:val="274"/>
        </w:numPr>
        <w:autoSpaceDN w:val="0"/>
        <w:jc w:val="both"/>
        <w:rPr>
          <w:rFonts w:eastAsia="Calibri" w:cs="Calibri"/>
          <w:bCs/>
        </w:rPr>
      </w:pPr>
      <w:r w:rsidRPr="000925B3">
        <w:rPr>
          <w:rFonts w:eastAsia="Calibri" w:cs="Calibri"/>
          <w:bCs/>
        </w:rPr>
        <w:t>Le suivi scientifique des impacts des risques climatiques encourus, notamment ceux de la modification du régime des vents sur l’upwelling et l’impact de celui-ci sur la productivité du milieu, les ressources et la biodiversité en</w:t>
      </w:r>
      <w:r>
        <w:rPr>
          <w:rFonts w:eastAsia="Calibri" w:cs="Calibri"/>
          <w:bCs/>
        </w:rPr>
        <w:t xml:space="preserve"> milieu marin et côtier</w:t>
      </w:r>
      <w:r w:rsidRPr="000925B3">
        <w:rPr>
          <w:rFonts w:eastAsia="Calibri" w:cs="Calibri"/>
          <w:bCs/>
        </w:rPr>
        <w:t xml:space="preserve"> ;</w:t>
      </w:r>
    </w:p>
    <w:p w14:paraId="7D0C79AB" w14:textId="77777777" w:rsidR="00CB712E" w:rsidRPr="000925B3" w:rsidRDefault="00CB712E" w:rsidP="00CB712E">
      <w:pPr>
        <w:pStyle w:val="Sansinterligne"/>
        <w:numPr>
          <w:ilvl w:val="0"/>
          <w:numId w:val="274"/>
        </w:numPr>
        <w:autoSpaceDN w:val="0"/>
        <w:jc w:val="both"/>
        <w:rPr>
          <w:rFonts w:eastAsia="Calibri" w:cs="Calibri"/>
          <w:bCs/>
        </w:rPr>
      </w:pPr>
      <w:r w:rsidRPr="000925B3">
        <w:rPr>
          <w:rFonts w:eastAsia="Calibri" w:cs="Calibri"/>
          <w:bCs/>
        </w:rPr>
        <w:t>La conservation de l'environnement dans les zones marines</w:t>
      </w:r>
      <w:r>
        <w:rPr>
          <w:rFonts w:eastAsia="Calibri" w:cs="Calibri"/>
          <w:bCs/>
        </w:rPr>
        <w:t xml:space="preserve"> et </w:t>
      </w:r>
      <w:r w:rsidRPr="000925B3">
        <w:rPr>
          <w:rFonts w:eastAsia="Calibri" w:cs="Calibri"/>
          <w:bCs/>
        </w:rPr>
        <w:t>côtières d'intérêt écologique et biologique contre les menaces liées au CC.</w:t>
      </w:r>
    </w:p>
    <w:p w14:paraId="62A49B51" w14:textId="77777777" w:rsidR="00CB712E" w:rsidRPr="000925B3" w:rsidRDefault="00CB712E" w:rsidP="00CB712E">
      <w:pPr>
        <w:pStyle w:val="Sansinterligne"/>
        <w:jc w:val="both"/>
        <w:rPr>
          <w:rFonts w:eastAsia="Calibri" w:cs="Calibri"/>
          <w:bCs/>
          <w:color w:val="FF0000"/>
        </w:rPr>
      </w:pPr>
    </w:p>
    <w:p w14:paraId="5FE7588D" w14:textId="77777777" w:rsidR="00CB712E" w:rsidRPr="000925B3" w:rsidRDefault="00CB712E" w:rsidP="00CB712E">
      <w:pPr>
        <w:pStyle w:val="Sansinterligne"/>
        <w:jc w:val="both"/>
        <w:rPr>
          <w:rFonts w:eastAsia="Calibri" w:cs="Calibri"/>
          <w:bCs/>
        </w:rPr>
      </w:pPr>
      <w:r w:rsidRPr="000925B3">
        <w:rPr>
          <w:rFonts w:eastAsia="Calibri" w:cs="Calibri"/>
          <w:bCs/>
        </w:rPr>
        <w:t>A signaler enfin les raisons ayant prévalu dans le choix de ces actions et des thématiques qui les fédèrent, à savoir :</w:t>
      </w:r>
    </w:p>
    <w:p w14:paraId="493D092A" w14:textId="77777777" w:rsidR="00CB712E" w:rsidRPr="000925B3" w:rsidRDefault="00CB712E" w:rsidP="00CB712E">
      <w:pPr>
        <w:pStyle w:val="Sansinterligne"/>
        <w:numPr>
          <w:ilvl w:val="0"/>
          <w:numId w:val="275"/>
        </w:numPr>
        <w:autoSpaceDN w:val="0"/>
        <w:jc w:val="both"/>
        <w:rPr>
          <w:rFonts w:eastAsia="Calibri" w:cs="Calibri"/>
          <w:bCs/>
        </w:rPr>
      </w:pPr>
      <w:r w:rsidRPr="000925B3">
        <w:rPr>
          <w:rFonts w:eastAsia="Calibri" w:cs="Calibri"/>
          <w:bCs/>
        </w:rPr>
        <w:t>La priorité clairement affichée pour ces thématiques et actions dans les trois (3) documents de politiques et stratégies de référence ;</w:t>
      </w:r>
    </w:p>
    <w:p w14:paraId="45957855" w14:textId="77777777" w:rsidR="00CB712E" w:rsidRPr="000925B3" w:rsidRDefault="00CB712E" w:rsidP="00CB712E">
      <w:pPr>
        <w:pStyle w:val="Sansinterligne"/>
        <w:numPr>
          <w:ilvl w:val="0"/>
          <w:numId w:val="275"/>
        </w:numPr>
        <w:autoSpaceDN w:val="0"/>
        <w:jc w:val="both"/>
        <w:rPr>
          <w:rFonts w:eastAsia="Calibri" w:cs="Calibri"/>
          <w:bCs/>
        </w:rPr>
      </w:pPr>
      <w:r w:rsidRPr="000925B3">
        <w:rPr>
          <w:rFonts w:eastAsia="Calibri" w:cs="Calibri"/>
          <w:bCs/>
        </w:rPr>
        <w:t>Les impacts positifs de la réalisation des dites actions sur (i) la reconstitution des pêcheries en déclin, (ii) la préservation des écosystèmes aquatiques à travers l’amélioration des connaissances sur le fonctionnement des composantes océaniques</w:t>
      </w:r>
      <w:r>
        <w:rPr>
          <w:rFonts w:eastAsia="Calibri" w:cs="Calibri"/>
          <w:bCs/>
        </w:rPr>
        <w:t xml:space="preserve"> et </w:t>
      </w:r>
      <w:r w:rsidRPr="000925B3">
        <w:rPr>
          <w:rFonts w:eastAsia="Calibri" w:cs="Calibri"/>
          <w:bCs/>
        </w:rPr>
        <w:t>côtières et (iii) l’amélioration de la résilience des populations côtières et des acteurs et ce afin qu’ils restent sur place et préservent leur patrimoine socioculturel</w:t>
      </w:r>
      <w:r>
        <w:rPr>
          <w:rFonts w:eastAsia="Calibri" w:cs="Calibri"/>
          <w:bCs/>
        </w:rPr>
        <w:t>, déjà fortement menacé</w:t>
      </w:r>
      <w:r w:rsidRPr="000925B3">
        <w:rPr>
          <w:rFonts w:eastAsia="Calibri" w:cs="Calibri"/>
          <w:bCs/>
        </w:rPr>
        <w:t>.</w:t>
      </w:r>
    </w:p>
    <w:p w14:paraId="12363A2F" w14:textId="77777777" w:rsidR="00CB712E" w:rsidRPr="000925B3" w:rsidRDefault="00CB712E" w:rsidP="00CB712E">
      <w:pPr>
        <w:jc w:val="both"/>
        <w:rPr>
          <w:rFonts w:cs="Calibri"/>
          <w:b/>
          <w:bCs/>
          <w:color w:val="FF0000"/>
        </w:rPr>
      </w:pPr>
    </w:p>
    <w:p w14:paraId="4562E6BB" w14:textId="77777777" w:rsidR="00CB712E" w:rsidRPr="000925B3" w:rsidRDefault="00CB712E" w:rsidP="00CB712E">
      <w:pPr>
        <w:jc w:val="both"/>
        <w:rPr>
          <w:rFonts w:cs="Calibri"/>
          <w:b/>
          <w:bCs/>
          <w:color w:val="FF0000"/>
        </w:rPr>
      </w:pPr>
      <w:r w:rsidRPr="000925B3">
        <w:rPr>
          <w:rFonts w:cs="Calibri"/>
          <w:b/>
          <w:bCs/>
          <w:color w:val="FF0000"/>
        </w:rPr>
        <w:t xml:space="preserve">4.3. Besoins pour la mise en œuvre de la contribution pêche </w:t>
      </w:r>
      <w:r>
        <w:rPr>
          <w:rFonts w:cs="Calibri"/>
          <w:b/>
          <w:bCs/>
          <w:color w:val="FF0000"/>
        </w:rPr>
        <w:t xml:space="preserve">maritime à </w:t>
      </w:r>
      <w:r w:rsidRPr="000925B3">
        <w:rPr>
          <w:rFonts w:cs="Calibri"/>
          <w:b/>
          <w:bCs/>
          <w:color w:val="FF0000"/>
        </w:rPr>
        <w:t xml:space="preserve">la </w:t>
      </w:r>
      <w:r w:rsidRPr="002C20C3">
        <w:rPr>
          <w:rFonts w:cs="Calibri"/>
          <w:color w:val="FF0000"/>
        </w:rPr>
        <w:t>5</w:t>
      </w:r>
      <w:r w:rsidRPr="002C20C3">
        <w:rPr>
          <w:rFonts w:cs="Calibri"/>
          <w:color w:val="FF0000"/>
          <w:vertAlign w:val="superscript"/>
        </w:rPr>
        <w:t>ème</w:t>
      </w:r>
      <w:r w:rsidRPr="002C20C3">
        <w:rPr>
          <w:rFonts w:cs="Calibri"/>
          <w:b/>
          <w:bCs/>
          <w:color w:val="FF0000"/>
        </w:rPr>
        <w:t xml:space="preserve"> </w:t>
      </w:r>
      <w:r w:rsidRPr="000925B3">
        <w:rPr>
          <w:rFonts w:cs="Calibri"/>
          <w:b/>
          <w:bCs/>
          <w:color w:val="FF0000"/>
        </w:rPr>
        <w:t>CN :</w:t>
      </w:r>
    </w:p>
    <w:p w14:paraId="7E3A5C9C" w14:textId="77777777" w:rsidR="00CB712E" w:rsidRPr="000925B3" w:rsidRDefault="00CB712E" w:rsidP="00CB712E">
      <w:pPr>
        <w:jc w:val="both"/>
        <w:rPr>
          <w:rFonts w:cs="Calibri"/>
          <w:b/>
          <w:bCs/>
          <w:color w:val="FF0000"/>
        </w:rPr>
      </w:pPr>
    </w:p>
    <w:p w14:paraId="1FFFD438" w14:textId="77777777" w:rsidR="00CB712E" w:rsidRPr="000925B3" w:rsidRDefault="00CB712E" w:rsidP="00CB712E">
      <w:pPr>
        <w:pStyle w:val="Paragraphedeliste"/>
        <w:numPr>
          <w:ilvl w:val="0"/>
          <w:numId w:val="276"/>
        </w:numPr>
        <w:autoSpaceDE w:val="0"/>
        <w:autoSpaceDN w:val="0"/>
        <w:spacing w:after="0" w:line="240" w:lineRule="auto"/>
        <w:ind w:hanging="357"/>
        <w:jc w:val="both"/>
        <w:rPr>
          <w:rFonts w:cs="Calibri"/>
        </w:rPr>
      </w:pPr>
      <w:r w:rsidRPr="000925B3">
        <w:rPr>
          <w:rFonts w:cs="Calibri"/>
        </w:rPr>
        <w:t>Moyens institutionnels et juridiques</w:t>
      </w:r>
    </w:p>
    <w:p w14:paraId="347D3273" w14:textId="77777777" w:rsidR="00CB712E" w:rsidRPr="000925B3" w:rsidRDefault="00CB712E" w:rsidP="00CB712E">
      <w:pPr>
        <w:pStyle w:val="Paragraphedeliste"/>
        <w:numPr>
          <w:ilvl w:val="0"/>
          <w:numId w:val="291"/>
        </w:numPr>
        <w:autoSpaceDE w:val="0"/>
        <w:autoSpaceDN w:val="0"/>
        <w:spacing w:after="0" w:line="240" w:lineRule="auto"/>
        <w:jc w:val="both"/>
        <w:rPr>
          <w:rFonts w:cs="Calibri"/>
        </w:rPr>
      </w:pPr>
      <w:r w:rsidRPr="000925B3">
        <w:rPr>
          <w:rFonts w:cs="Calibri"/>
        </w:rPr>
        <w:t>Institutionnaliser systématiquement le changement climatique ;</w:t>
      </w:r>
    </w:p>
    <w:p w14:paraId="420531E8" w14:textId="77777777" w:rsidR="00CB712E" w:rsidRPr="000925B3" w:rsidRDefault="00CB712E" w:rsidP="00CB712E">
      <w:pPr>
        <w:pStyle w:val="Paragraphedeliste"/>
        <w:numPr>
          <w:ilvl w:val="0"/>
          <w:numId w:val="291"/>
        </w:numPr>
        <w:autoSpaceDE w:val="0"/>
        <w:autoSpaceDN w:val="0"/>
        <w:spacing w:after="0" w:line="240" w:lineRule="auto"/>
        <w:jc w:val="both"/>
        <w:rPr>
          <w:rFonts w:cs="Calibri"/>
        </w:rPr>
      </w:pPr>
      <w:r w:rsidRPr="000925B3">
        <w:rPr>
          <w:rFonts w:cs="Calibri"/>
        </w:rPr>
        <w:t>Doter les ministères les plus concernés par la problématique du changement climatique d’une masse critique de spécialistes dans le domaine et leur assurer des formations continues ;</w:t>
      </w:r>
    </w:p>
    <w:p w14:paraId="5C5859BC" w14:textId="77777777" w:rsidR="00CB712E" w:rsidRPr="000925B3" w:rsidRDefault="00CB712E" w:rsidP="00CB712E">
      <w:pPr>
        <w:pStyle w:val="Paragraphedeliste"/>
        <w:numPr>
          <w:ilvl w:val="0"/>
          <w:numId w:val="276"/>
        </w:numPr>
        <w:autoSpaceDE w:val="0"/>
        <w:autoSpaceDN w:val="0"/>
        <w:spacing w:after="0" w:line="240" w:lineRule="auto"/>
        <w:ind w:hanging="357"/>
        <w:jc w:val="both"/>
        <w:rPr>
          <w:rFonts w:cs="Calibri"/>
        </w:rPr>
      </w:pPr>
      <w:r w:rsidRPr="000925B3">
        <w:rPr>
          <w:rFonts w:cs="Calibri"/>
        </w:rPr>
        <w:t xml:space="preserve">Moyens techniques </w:t>
      </w:r>
    </w:p>
    <w:p w14:paraId="447773F0" w14:textId="77777777" w:rsidR="00CB712E" w:rsidRPr="000925B3" w:rsidRDefault="00CB712E" w:rsidP="00CB712E">
      <w:pPr>
        <w:pStyle w:val="Paragraphedeliste"/>
        <w:numPr>
          <w:ilvl w:val="0"/>
          <w:numId w:val="292"/>
        </w:numPr>
        <w:autoSpaceDE w:val="0"/>
        <w:autoSpaceDN w:val="0"/>
        <w:spacing w:after="0" w:line="240" w:lineRule="auto"/>
        <w:jc w:val="both"/>
        <w:rPr>
          <w:rFonts w:cs="Calibri"/>
        </w:rPr>
      </w:pPr>
      <w:r w:rsidRPr="000925B3">
        <w:rPr>
          <w:rFonts w:cs="Calibri"/>
        </w:rPr>
        <w:t>Développer la recherche océanographique, limnologique et hydrographique pour garantir la disponibilité de données suffisantes et fiables sur les écosystèmes marins</w:t>
      </w:r>
      <w:r>
        <w:rPr>
          <w:rFonts w:cs="Calibri"/>
        </w:rPr>
        <w:t xml:space="preserve"> et </w:t>
      </w:r>
      <w:r w:rsidRPr="000925B3">
        <w:rPr>
          <w:rFonts w:cs="Calibri"/>
        </w:rPr>
        <w:t>côtiers</w:t>
      </w:r>
      <w:r>
        <w:rPr>
          <w:rFonts w:cs="Calibri"/>
        </w:rPr>
        <w:t> ;</w:t>
      </w:r>
    </w:p>
    <w:p w14:paraId="35A79495" w14:textId="77777777" w:rsidR="00CB712E" w:rsidRPr="000925B3" w:rsidRDefault="00CB712E" w:rsidP="00CB712E">
      <w:pPr>
        <w:pStyle w:val="Paragraphedeliste"/>
        <w:numPr>
          <w:ilvl w:val="0"/>
          <w:numId w:val="278"/>
        </w:numPr>
        <w:autoSpaceDE w:val="0"/>
        <w:autoSpaceDN w:val="0"/>
        <w:spacing w:after="0" w:line="240" w:lineRule="auto"/>
        <w:ind w:hanging="357"/>
        <w:jc w:val="both"/>
        <w:rPr>
          <w:rFonts w:cs="Calibri"/>
        </w:rPr>
      </w:pPr>
      <w:r>
        <w:rPr>
          <w:rFonts w:cs="Calibri"/>
        </w:rPr>
        <w:t>P</w:t>
      </w:r>
      <w:r w:rsidRPr="000925B3">
        <w:rPr>
          <w:rFonts w:cs="Calibri"/>
        </w:rPr>
        <w:t>romouvoir la collaboration entre les centres de recherche appliquée et les établissements universitaires ;</w:t>
      </w:r>
    </w:p>
    <w:p w14:paraId="78FBDC29" w14:textId="77777777" w:rsidR="00CB712E" w:rsidRPr="000925B3" w:rsidRDefault="00CB712E" w:rsidP="00CB712E">
      <w:pPr>
        <w:pStyle w:val="Paragraphedeliste"/>
        <w:numPr>
          <w:ilvl w:val="0"/>
          <w:numId w:val="278"/>
        </w:numPr>
        <w:autoSpaceDE w:val="0"/>
        <w:autoSpaceDN w:val="0"/>
        <w:spacing w:after="0" w:line="240" w:lineRule="auto"/>
        <w:ind w:hanging="357"/>
        <w:jc w:val="both"/>
        <w:rPr>
          <w:rFonts w:cs="Calibri"/>
        </w:rPr>
      </w:pPr>
      <w:r w:rsidRPr="000925B3">
        <w:rPr>
          <w:rFonts w:cs="Calibri"/>
        </w:rPr>
        <w:t xml:space="preserve">Mettre les bases de données existantes dans le domaine de l’environnement </w:t>
      </w:r>
      <w:r>
        <w:rPr>
          <w:rFonts w:cs="Calibri"/>
        </w:rPr>
        <w:t xml:space="preserve">et </w:t>
      </w:r>
      <w:r w:rsidRPr="000925B3">
        <w:rPr>
          <w:rFonts w:cs="Calibri"/>
        </w:rPr>
        <w:t>du changement climatique en réseaux</w:t>
      </w:r>
      <w:r>
        <w:rPr>
          <w:rFonts w:cs="Calibri"/>
        </w:rPr>
        <w:t> ;</w:t>
      </w:r>
    </w:p>
    <w:p w14:paraId="713A0E66" w14:textId="77777777" w:rsidR="00CB712E" w:rsidRDefault="00CB712E" w:rsidP="00CB712E">
      <w:pPr>
        <w:pStyle w:val="Paragraphedeliste"/>
        <w:numPr>
          <w:ilvl w:val="0"/>
          <w:numId w:val="278"/>
        </w:numPr>
        <w:autoSpaceDE w:val="0"/>
        <w:autoSpaceDN w:val="0"/>
        <w:spacing w:after="0" w:line="240" w:lineRule="auto"/>
        <w:ind w:hanging="357"/>
        <w:jc w:val="both"/>
        <w:rPr>
          <w:rFonts w:cs="Calibri"/>
        </w:rPr>
      </w:pPr>
      <w:r w:rsidRPr="000925B3">
        <w:rPr>
          <w:rFonts w:cs="Calibri"/>
        </w:rPr>
        <w:t xml:space="preserve">Vulgariser les résultats de la recherche en un langage intelligibles/accessible/compréhensible par les </w:t>
      </w:r>
      <w:r>
        <w:rPr>
          <w:rFonts w:cs="Calibri"/>
        </w:rPr>
        <w:t xml:space="preserve">différentes catégories des </w:t>
      </w:r>
      <w:r w:rsidRPr="000925B3">
        <w:rPr>
          <w:rFonts w:cs="Calibri"/>
        </w:rPr>
        <w:t>utilisateurs</w:t>
      </w:r>
      <w:r>
        <w:rPr>
          <w:rFonts w:cs="Calibri"/>
        </w:rPr>
        <w:t> ;</w:t>
      </w:r>
    </w:p>
    <w:p w14:paraId="5B47427C" w14:textId="77777777" w:rsidR="00CB712E" w:rsidRPr="00312B81" w:rsidRDefault="00CB712E" w:rsidP="00CB712E">
      <w:pPr>
        <w:pStyle w:val="Paragraphedeliste"/>
        <w:numPr>
          <w:ilvl w:val="0"/>
          <w:numId w:val="278"/>
        </w:numPr>
        <w:autoSpaceDE w:val="0"/>
        <w:autoSpaceDN w:val="0"/>
        <w:spacing w:after="0" w:line="240" w:lineRule="auto"/>
        <w:jc w:val="both"/>
        <w:rPr>
          <w:rFonts w:cs="Calibri"/>
        </w:rPr>
      </w:pPr>
      <w:r w:rsidRPr="00312B81">
        <w:rPr>
          <w:rFonts w:cs="Calibri"/>
        </w:rPr>
        <w:t xml:space="preserve">Promouvoir un système de suivi efficace et efficient : conception d’un système adapté, renforcement des capacités des ressources humaines, etc. </w:t>
      </w:r>
    </w:p>
    <w:p w14:paraId="57CE6A62" w14:textId="77777777" w:rsidR="00CB712E" w:rsidRDefault="00CB712E" w:rsidP="00CB712E">
      <w:pPr>
        <w:pStyle w:val="Paragraphedeliste"/>
        <w:numPr>
          <w:ilvl w:val="0"/>
          <w:numId w:val="277"/>
        </w:numPr>
        <w:autoSpaceDE w:val="0"/>
        <w:autoSpaceDN w:val="0"/>
        <w:spacing w:after="0" w:line="240" w:lineRule="auto"/>
        <w:ind w:hanging="357"/>
        <w:jc w:val="both"/>
        <w:rPr>
          <w:rFonts w:cs="Calibri"/>
        </w:rPr>
      </w:pPr>
      <w:r w:rsidRPr="000925B3">
        <w:rPr>
          <w:rFonts w:cs="Calibri"/>
        </w:rPr>
        <w:t>Moyens financiers : augmentation des financements destinés au changement climatique</w:t>
      </w:r>
      <w:r>
        <w:rPr>
          <w:rFonts w:cs="Calibri"/>
        </w:rPr>
        <w:t xml:space="preserve">, </w:t>
      </w:r>
      <w:r w:rsidRPr="00C258FF">
        <w:rPr>
          <w:rFonts w:cs="Calibri"/>
        </w:rPr>
        <w:t>promotion d’instruments de financement adaptés au contexte mauritaniens, promotion des voies et moyens d’accéder aux fonds climatiques</w:t>
      </w:r>
      <w:r>
        <w:rPr>
          <w:rFonts w:cs="Calibri"/>
        </w:rPr>
        <w:t>, etc</w:t>
      </w:r>
      <w:r w:rsidRPr="00C258FF">
        <w:rPr>
          <w:rFonts w:cs="Calibri"/>
        </w:rPr>
        <w:t xml:space="preserve">. </w:t>
      </w:r>
    </w:p>
    <w:p w14:paraId="24D41B8D" w14:textId="77777777" w:rsidR="00CB712E" w:rsidRPr="000925B3" w:rsidRDefault="00CB712E" w:rsidP="00CB712E">
      <w:pPr>
        <w:pStyle w:val="Paragraphedeliste"/>
        <w:autoSpaceDE w:val="0"/>
        <w:spacing w:after="0"/>
        <w:jc w:val="both"/>
        <w:rPr>
          <w:rFonts w:cs="Calibri"/>
        </w:rPr>
      </w:pPr>
    </w:p>
    <w:p w14:paraId="7831C3EA" w14:textId="77777777" w:rsidR="00CB712E" w:rsidRPr="000925B3" w:rsidRDefault="00CB712E" w:rsidP="00CB712E">
      <w:pPr>
        <w:rPr>
          <w:rFonts w:cs="Calibri"/>
          <w:color w:val="FF0000"/>
        </w:rPr>
      </w:pPr>
      <w:bookmarkStart w:id="269" w:name="_Hlk177916073"/>
      <w:r w:rsidRPr="000925B3">
        <w:rPr>
          <w:rFonts w:cs="Calibri"/>
          <w:b/>
          <w:bCs/>
          <w:color w:val="FF0000"/>
        </w:rPr>
        <w:t>PARTIE V : CONCLUSIONS ET RECOMMANDATIONS</w:t>
      </w:r>
    </w:p>
    <w:p w14:paraId="367C1867" w14:textId="77777777" w:rsidR="00CB712E" w:rsidRPr="000925B3" w:rsidRDefault="00CB712E" w:rsidP="00CB712E">
      <w:pPr>
        <w:rPr>
          <w:rFonts w:cs="Calibri"/>
          <w:b/>
          <w:bCs/>
          <w:color w:val="FF0000"/>
        </w:rPr>
      </w:pPr>
      <w:r w:rsidRPr="000925B3">
        <w:rPr>
          <w:rFonts w:cs="Calibri"/>
          <w:b/>
          <w:bCs/>
          <w:color w:val="FF0000"/>
        </w:rPr>
        <w:t>5.1. Conclusions :</w:t>
      </w:r>
    </w:p>
    <w:p w14:paraId="51C0FD49" w14:textId="77777777" w:rsidR="00CB712E" w:rsidRPr="000925B3" w:rsidRDefault="00CB712E" w:rsidP="00CB712E">
      <w:pPr>
        <w:pStyle w:val="Default"/>
        <w:numPr>
          <w:ilvl w:val="0"/>
          <w:numId w:val="283"/>
        </w:numPr>
        <w:adjustRightInd/>
        <w:jc w:val="both"/>
        <w:rPr>
          <w:color w:val="auto"/>
          <w:sz w:val="22"/>
          <w:szCs w:val="22"/>
        </w:rPr>
      </w:pPr>
      <w:bookmarkStart w:id="270" w:name="_Hlk177916017"/>
      <w:bookmarkEnd w:id="269"/>
      <w:r w:rsidRPr="000925B3">
        <w:rPr>
          <w:color w:val="auto"/>
          <w:sz w:val="22"/>
          <w:szCs w:val="22"/>
        </w:rPr>
        <w:t>Malgré les avancées considérables de la recherche scientifique, le niveau de connaissance sur le fonctionnement des écosystèmes marins</w:t>
      </w:r>
      <w:r>
        <w:rPr>
          <w:color w:val="auto"/>
          <w:sz w:val="22"/>
          <w:szCs w:val="22"/>
        </w:rPr>
        <w:t xml:space="preserve"> et </w:t>
      </w:r>
      <w:r w:rsidRPr="000925B3">
        <w:rPr>
          <w:color w:val="auto"/>
          <w:sz w:val="22"/>
          <w:szCs w:val="22"/>
        </w:rPr>
        <w:t>c</w:t>
      </w:r>
      <w:r>
        <w:rPr>
          <w:color w:val="auto"/>
          <w:sz w:val="22"/>
          <w:szCs w:val="22"/>
        </w:rPr>
        <w:t>ô</w:t>
      </w:r>
      <w:r w:rsidRPr="000925B3">
        <w:rPr>
          <w:color w:val="auto"/>
          <w:sz w:val="22"/>
          <w:szCs w:val="22"/>
        </w:rPr>
        <w:t>tie</w:t>
      </w:r>
      <w:r>
        <w:rPr>
          <w:color w:val="auto"/>
          <w:sz w:val="22"/>
          <w:szCs w:val="22"/>
        </w:rPr>
        <w:t>r</w:t>
      </w:r>
      <w:r w:rsidRPr="000925B3">
        <w:rPr>
          <w:color w:val="auto"/>
          <w:sz w:val="22"/>
          <w:szCs w:val="22"/>
        </w:rPr>
        <w:t>s est encore insuffisant.</w:t>
      </w:r>
    </w:p>
    <w:p w14:paraId="73C1B980" w14:textId="77777777" w:rsidR="00CB712E" w:rsidRPr="000925B3" w:rsidRDefault="00CB712E" w:rsidP="00CB712E">
      <w:pPr>
        <w:pStyle w:val="Default"/>
        <w:numPr>
          <w:ilvl w:val="0"/>
          <w:numId w:val="283"/>
        </w:numPr>
        <w:adjustRightInd/>
        <w:jc w:val="both"/>
        <w:rPr>
          <w:color w:val="auto"/>
          <w:sz w:val="22"/>
          <w:szCs w:val="22"/>
        </w:rPr>
      </w:pPr>
      <w:r w:rsidRPr="000925B3">
        <w:rPr>
          <w:color w:val="auto"/>
          <w:sz w:val="22"/>
          <w:szCs w:val="22"/>
        </w:rPr>
        <w:t xml:space="preserve">Les études scientifiques et techniques concordent sur le fait que l’équilibre naturel de ces écosystèmes, est déjà fortement affecté par les activités humaines et que les perturbations causées par le changement climatique déstabilisent </w:t>
      </w:r>
      <w:r>
        <w:rPr>
          <w:color w:val="auto"/>
          <w:sz w:val="22"/>
          <w:szCs w:val="22"/>
        </w:rPr>
        <w:t>-</w:t>
      </w:r>
      <w:r w:rsidRPr="000925B3">
        <w:rPr>
          <w:color w:val="auto"/>
          <w:sz w:val="22"/>
          <w:szCs w:val="22"/>
        </w:rPr>
        <w:t>et déstabiliseront</w:t>
      </w:r>
      <w:r>
        <w:rPr>
          <w:color w:val="auto"/>
          <w:sz w:val="22"/>
          <w:szCs w:val="22"/>
        </w:rPr>
        <w:t xml:space="preserve">- </w:t>
      </w:r>
      <w:r w:rsidRPr="000925B3">
        <w:rPr>
          <w:color w:val="auto"/>
          <w:sz w:val="22"/>
          <w:szCs w:val="22"/>
        </w:rPr>
        <w:t>davantage de tels écosystèmes, notamment pour ce qui est de la pêche et ses activités connexes (les communautés côtières, les ressources halieutiques et les infrastructures sises le long de la</w:t>
      </w:r>
      <w:r w:rsidRPr="00547492">
        <w:rPr>
          <w:color w:val="auto"/>
          <w:sz w:val="22"/>
          <w:szCs w:val="22"/>
        </w:rPr>
        <w:t xml:space="preserve"> </w:t>
      </w:r>
      <w:r w:rsidRPr="000925B3">
        <w:rPr>
          <w:color w:val="auto"/>
          <w:sz w:val="22"/>
          <w:szCs w:val="22"/>
        </w:rPr>
        <w:t>c</w:t>
      </w:r>
      <w:r w:rsidRPr="00C258FF">
        <w:rPr>
          <w:color w:val="auto"/>
          <w:sz w:val="22"/>
          <w:szCs w:val="22"/>
        </w:rPr>
        <w:t>ô</w:t>
      </w:r>
      <w:r w:rsidRPr="000925B3">
        <w:rPr>
          <w:color w:val="auto"/>
          <w:sz w:val="22"/>
          <w:szCs w:val="22"/>
        </w:rPr>
        <w:t>te).</w:t>
      </w:r>
    </w:p>
    <w:p w14:paraId="69F6577D" w14:textId="77777777" w:rsidR="00CB712E" w:rsidRPr="000925B3" w:rsidRDefault="00CB712E" w:rsidP="00CB712E">
      <w:pPr>
        <w:pStyle w:val="Paragraphedeliste"/>
        <w:numPr>
          <w:ilvl w:val="0"/>
          <w:numId w:val="283"/>
        </w:numPr>
        <w:suppressAutoHyphens/>
        <w:autoSpaceDN w:val="0"/>
        <w:spacing w:after="0" w:line="240" w:lineRule="auto"/>
        <w:jc w:val="both"/>
        <w:rPr>
          <w:rFonts w:cs="Calibri"/>
        </w:rPr>
      </w:pPr>
      <w:r w:rsidRPr="000925B3">
        <w:rPr>
          <w:rFonts w:cs="Calibri"/>
        </w:rPr>
        <w:t xml:space="preserve">La place du changement climatique dans les stratégies sectorielles </w:t>
      </w:r>
      <w:r>
        <w:rPr>
          <w:rFonts w:cs="Calibri"/>
        </w:rPr>
        <w:t xml:space="preserve">pêche, </w:t>
      </w:r>
      <w:r w:rsidRPr="000925B3">
        <w:rPr>
          <w:rFonts w:cs="Calibri"/>
        </w:rPr>
        <w:t xml:space="preserve">s’améliore de </w:t>
      </w:r>
      <w:r>
        <w:rPr>
          <w:rFonts w:cs="Calibri"/>
        </w:rPr>
        <w:t>plus en plus</w:t>
      </w:r>
      <w:r w:rsidRPr="000925B3">
        <w:rPr>
          <w:rFonts w:cs="Calibri"/>
        </w:rPr>
        <w:t>, mais l’élaboration</w:t>
      </w:r>
      <w:r>
        <w:rPr>
          <w:rFonts w:cs="Calibri"/>
        </w:rPr>
        <w:t>,</w:t>
      </w:r>
      <w:r w:rsidRPr="00213AC2">
        <w:rPr>
          <w:rFonts w:cs="Calibri"/>
        </w:rPr>
        <w:t xml:space="preserve"> </w:t>
      </w:r>
      <w:r w:rsidRPr="00C258FF">
        <w:rPr>
          <w:rFonts w:cs="Calibri"/>
        </w:rPr>
        <w:t xml:space="preserve">promise déjà </w:t>
      </w:r>
      <w:r w:rsidRPr="000925B3">
        <w:rPr>
          <w:rFonts w:cs="Calibri"/>
        </w:rPr>
        <w:t>dans la L2P</w:t>
      </w:r>
      <w:r>
        <w:rPr>
          <w:rFonts w:cs="Calibri"/>
        </w:rPr>
        <w:t>,</w:t>
      </w:r>
      <w:r w:rsidRPr="000925B3">
        <w:rPr>
          <w:rFonts w:cs="Calibri"/>
        </w:rPr>
        <w:t xml:space="preserve"> </w:t>
      </w:r>
      <w:r>
        <w:rPr>
          <w:rFonts w:cs="Calibri"/>
        </w:rPr>
        <w:t xml:space="preserve">d’un </w:t>
      </w:r>
      <w:r w:rsidRPr="000925B3">
        <w:rPr>
          <w:rFonts w:cs="Calibri"/>
        </w:rPr>
        <w:t>programme ambitieux sur le CC tarde malheureusement.</w:t>
      </w:r>
    </w:p>
    <w:p w14:paraId="2A873725" w14:textId="77777777" w:rsidR="00CB712E" w:rsidRPr="000925B3" w:rsidRDefault="00CB712E" w:rsidP="00CB712E">
      <w:pPr>
        <w:pStyle w:val="Paragraphedeliste"/>
        <w:numPr>
          <w:ilvl w:val="0"/>
          <w:numId w:val="283"/>
        </w:numPr>
        <w:suppressAutoHyphens/>
        <w:autoSpaceDN w:val="0"/>
        <w:spacing w:after="0" w:line="240" w:lineRule="auto"/>
        <w:jc w:val="both"/>
        <w:rPr>
          <w:rFonts w:cs="Calibri"/>
        </w:rPr>
      </w:pPr>
      <w:r w:rsidRPr="000925B3">
        <w:rPr>
          <w:rFonts w:cs="Calibri"/>
        </w:rPr>
        <w:t>Le sous-secteur de la pêche maritime continue d’être géré sur la base de la loi n°2015-017 portant code des pêches du 29 Juillet 2015 malgré ses insuffisances par rapport aux orientations et objectifs des deux stratégies sectorielles adoptées entre 2020 et 2024 (Stratégie d’Aménagement et de Développement Durable et Intégré des pêches maritimes 2020-2024 et Lettre de Politique et de Planification (L2P) du secteur des pêches et de l’Economie Maritime 2022-2024) et la Feuille de route pour la relance du secteur des Pêches et de l’Economie Maritime</w:t>
      </w:r>
      <w:r>
        <w:rPr>
          <w:rFonts w:cs="Calibri"/>
        </w:rPr>
        <w:t xml:space="preserve"> 2023</w:t>
      </w:r>
      <w:r w:rsidRPr="000925B3">
        <w:rPr>
          <w:rFonts w:cs="Calibri"/>
        </w:rPr>
        <w:t>.</w:t>
      </w:r>
    </w:p>
    <w:p w14:paraId="205B4D07" w14:textId="77777777" w:rsidR="00CB712E" w:rsidRPr="000925B3" w:rsidRDefault="00CB712E" w:rsidP="00CB712E">
      <w:pPr>
        <w:pStyle w:val="Paragraphedeliste"/>
        <w:numPr>
          <w:ilvl w:val="0"/>
          <w:numId w:val="283"/>
        </w:numPr>
        <w:suppressAutoHyphens/>
        <w:autoSpaceDN w:val="0"/>
        <w:spacing w:after="0" w:line="240" w:lineRule="auto"/>
        <w:jc w:val="both"/>
        <w:rPr>
          <w:rFonts w:cs="Calibri"/>
        </w:rPr>
      </w:pPr>
      <w:r w:rsidRPr="000925B3">
        <w:rPr>
          <w:rFonts w:cs="Calibri"/>
        </w:rPr>
        <w:t xml:space="preserve">L’aquaculture (industrie) est toujours noyée dans la pêche maritime en l’assimilant injustement </w:t>
      </w:r>
      <w:r>
        <w:rPr>
          <w:rFonts w:cs="Calibri"/>
        </w:rPr>
        <w:t>à</w:t>
      </w:r>
      <w:r w:rsidRPr="000925B3">
        <w:rPr>
          <w:rFonts w:cs="Calibri"/>
        </w:rPr>
        <w:t xml:space="preserve"> une activité de pêche </w:t>
      </w:r>
      <w:r w:rsidRPr="009C1635">
        <w:rPr>
          <w:rFonts w:cs="Calibri"/>
        </w:rPr>
        <w:t xml:space="preserve">quand le milieu est maritime et est </w:t>
      </w:r>
      <w:r w:rsidRPr="000925B3">
        <w:rPr>
          <w:rFonts w:cs="Calibri"/>
        </w:rPr>
        <w:t>réduite, dans les eaux continentales, à la pisciculture qui désigne l’élevage du seul groupe taxonomique ‘’poisson’’ indifféremment de la nature du milieu (eau marine ou eau douce).</w:t>
      </w:r>
    </w:p>
    <w:p w14:paraId="69A6BD10" w14:textId="77777777" w:rsidR="00CB712E" w:rsidRPr="000925B3" w:rsidRDefault="00CB712E" w:rsidP="00CB712E">
      <w:pPr>
        <w:pStyle w:val="Paragraphedeliste"/>
        <w:spacing w:after="0"/>
        <w:jc w:val="both"/>
        <w:rPr>
          <w:rFonts w:cs="Calibri"/>
        </w:rPr>
      </w:pPr>
    </w:p>
    <w:bookmarkEnd w:id="270"/>
    <w:p w14:paraId="3CAFFF81" w14:textId="77777777" w:rsidR="00CB712E" w:rsidRPr="000925B3" w:rsidRDefault="00CB712E" w:rsidP="00CB712E">
      <w:pPr>
        <w:pStyle w:val="Titre1"/>
        <w:spacing w:before="0"/>
        <w:rPr>
          <w:rFonts w:ascii="Calibri" w:hAnsi="Calibri" w:cs="Calibri"/>
          <w:b/>
          <w:bCs/>
          <w:i/>
          <w:iCs/>
          <w:color w:val="FF0000"/>
          <w:sz w:val="22"/>
          <w:szCs w:val="22"/>
        </w:rPr>
      </w:pPr>
      <w:r w:rsidRPr="000925B3">
        <w:rPr>
          <w:rFonts w:ascii="Calibri" w:hAnsi="Calibri" w:cs="Calibri"/>
          <w:i/>
          <w:iCs/>
          <w:color w:val="FF0000"/>
          <w:sz w:val="22"/>
          <w:szCs w:val="22"/>
        </w:rPr>
        <w:t>5.2. Recommandations</w:t>
      </w:r>
    </w:p>
    <w:p w14:paraId="46E9D8E5" w14:textId="77777777" w:rsidR="00CB712E" w:rsidRPr="000925B3" w:rsidRDefault="00CB712E" w:rsidP="00CB712E">
      <w:pPr>
        <w:pStyle w:val="Paragraphedeliste"/>
        <w:numPr>
          <w:ilvl w:val="0"/>
          <w:numId w:val="282"/>
        </w:numPr>
        <w:suppressAutoHyphens/>
        <w:autoSpaceDN w:val="0"/>
        <w:spacing w:after="0" w:line="240" w:lineRule="auto"/>
        <w:jc w:val="both"/>
        <w:rPr>
          <w:rFonts w:cs="Calibri"/>
        </w:rPr>
      </w:pPr>
      <w:r w:rsidRPr="000925B3">
        <w:rPr>
          <w:rFonts w:cs="Calibri"/>
        </w:rPr>
        <w:t>Actualiser la loi portant code des pêches et ses textes d’application (décret n° 2015-159 et décret n° 2015-176) pour adapter tout cet arsenal aux contextes créés par les réformes introduites ces dernières années pour tenir davantage compte du changement climatique et assurer une gestion durable des ressources halieutiques nationales et des écosystèmes marins et côtiers.</w:t>
      </w:r>
    </w:p>
    <w:p w14:paraId="1432ABA6" w14:textId="77777777" w:rsidR="00CB712E" w:rsidRPr="000925B3" w:rsidRDefault="00CB712E" w:rsidP="00CB712E">
      <w:pPr>
        <w:pStyle w:val="Paragraphedeliste"/>
        <w:numPr>
          <w:ilvl w:val="0"/>
          <w:numId w:val="282"/>
        </w:numPr>
        <w:suppressAutoHyphens/>
        <w:autoSpaceDN w:val="0"/>
        <w:spacing w:after="0" w:line="240" w:lineRule="auto"/>
        <w:jc w:val="both"/>
        <w:rPr>
          <w:rFonts w:cs="Calibri"/>
        </w:rPr>
      </w:pPr>
      <w:r w:rsidRPr="000925B3">
        <w:rPr>
          <w:rFonts w:cs="Calibri"/>
        </w:rPr>
        <w:t>Reconnaitre à l’aquaculture (marine et dulcicole) son caractère d’industrie et lui créer séparément un code définissant clairement l’activité et les conditions de son exercice dans les milieux marins et continentaux. Serait-ce la meilleure façon pour sa promotion comme alternative à la dégradation des ressources maritimes et comme perspective pour augmenter et diversifier la production nationale halieutique, diminuer la pression sur les stocks marins menacés de surexploitation, créer la richesse et des opportunités d’emploi, accroitre l’offre de produits sur le marché intérieur et contribuer ainsi à la politique nationale de lutte contre la pauvreté et l’insécurité alimentaire.</w:t>
      </w:r>
    </w:p>
    <w:p w14:paraId="76EFCCB4" w14:textId="77777777" w:rsidR="00CB712E" w:rsidRPr="000925B3" w:rsidRDefault="00CB712E" w:rsidP="00CB712E">
      <w:pPr>
        <w:pStyle w:val="Paragraphedeliste"/>
        <w:numPr>
          <w:ilvl w:val="0"/>
          <w:numId w:val="282"/>
        </w:numPr>
        <w:suppressAutoHyphens/>
        <w:autoSpaceDN w:val="0"/>
        <w:spacing w:after="0" w:line="240" w:lineRule="auto"/>
        <w:jc w:val="both"/>
        <w:rPr>
          <w:rFonts w:cs="Calibri"/>
        </w:rPr>
      </w:pPr>
      <w:r w:rsidRPr="000925B3">
        <w:rPr>
          <w:rFonts w:cs="Calibri"/>
        </w:rPr>
        <w:t>Mettre en place programme ambitieux sur le CC dans le secteur dont l’élaboration est promise dans la L2P avant la fin de 2024.</w:t>
      </w:r>
    </w:p>
    <w:p w14:paraId="688D0794" w14:textId="77777777" w:rsidR="00CB712E" w:rsidRPr="000925B3" w:rsidRDefault="00CB712E" w:rsidP="00CB712E">
      <w:pPr>
        <w:pStyle w:val="Paragraphedeliste"/>
        <w:numPr>
          <w:ilvl w:val="0"/>
          <w:numId w:val="281"/>
        </w:numPr>
        <w:autoSpaceDN w:val="0"/>
        <w:spacing w:after="0" w:line="240" w:lineRule="auto"/>
        <w:contextualSpacing w:val="0"/>
        <w:jc w:val="both"/>
        <w:rPr>
          <w:rFonts w:cs="Calibri"/>
        </w:rPr>
      </w:pPr>
      <w:r w:rsidRPr="000925B3">
        <w:rPr>
          <w:rFonts w:cs="Calibri"/>
        </w:rPr>
        <w:t>Promouvoir un cadre normatif intégrant les préoccupations des différentes parties prenantes et en harmonie avec les instruments juridiques internationaux ratifiés par la Mauritanie ou auxquels elle a adhéré ; le but est de renforcer davantage l’intégration du changement climatique dans les stratégies sectorielles, programmes, plans et d’éviter les chevauchements, les redondances et les conflits de compétences ;</w:t>
      </w:r>
    </w:p>
    <w:p w14:paraId="0568B214" w14:textId="77777777" w:rsidR="00CB712E" w:rsidRPr="000925B3" w:rsidRDefault="00CB712E" w:rsidP="00CB712E">
      <w:pPr>
        <w:pStyle w:val="Paragraphedeliste"/>
        <w:numPr>
          <w:ilvl w:val="0"/>
          <w:numId w:val="281"/>
        </w:numPr>
        <w:autoSpaceDN w:val="0"/>
        <w:spacing w:after="0" w:line="240" w:lineRule="auto"/>
        <w:contextualSpacing w:val="0"/>
        <w:jc w:val="both"/>
        <w:rPr>
          <w:rFonts w:cs="Calibri"/>
        </w:rPr>
      </w:pPr>
      <w:r w:rsidRPr="000925B3">
        <w:rPr>
          <w:rFonts w:cs="Calibri"/>
        </w:rPr>
        <w:t>Œuvrer pour une compréhension commune et partagée du concept « développement durable » afin d’éviter l’instabilité institutionnelle et la dilution de la responsabilité et la faiblesse de la coordination de l’action des administrations impliquées ou concernées ;</w:t>
      </w:r>
    </w:p>
    <w:p w14:paraId="1C845FAB" w14:textId="77777777" w:rsidR="00CB712E" w:rsidRPr="000925B3" w:rsidRDefault="00CB712E" w:rsidP="00CB712E">
      <w:pPr>
        <w:pStyle w:val="Paragraphedeliste"/>
        <w:numPr>
          <w:ilvl w:val="0"/>
          <w:numId w:val="281"/>
        </w:numPr>
        <w:autoSpaceDN w:val="0"/>
        <w:spacing w:after="0" w:line="240" w:lineRule="auto"/>
        <w:contextualSpacing w:val="0"/>
        <w:jc w:val="both"/>
        <w:rPr>
          <w:rFonts w:cs="Calibri"/>
        </w:rPr>
      </w:pPr>
      <w:r w:rsidRPr="000925B3">
        <w:rPr>
          <w:rFonts w:cs="Calibri"/>
        </w:rPr>
        <w:t>Faire des plans d’aménagement et de gestion la base de la gestion durable des services climatiques assurés par les écosystèmes aquatiques, notamment marins (pêche, énergies, séquestration de carbone, oxygénation des couches d’eau, etc.) ;</w:t>
      </w:r>
    </w:p>
    <w:p w14:paraId="1D56D1A7" w14:textId="77777777" w:rsidR="00CB712E" w:rsidRPr="000925B3" w:rsidRDefault="00CB712E" w:rsidP="00CB712E">
      <w:pPr>
        <w:pStyle w:val="Paragraphedeliste"/>
        <w:numPr>
          <w:ilvl w:val="0"/>
          <w:numId w:val="281"/>
        </w:numPr>
        <w:autoSpaceDN w:val="0"/>
        <w:spacing w:after="0" w:line="240" w:lineRule="auto"/>
        <w:contextualSpacing w:val="0"/>
        <w:jc w:val="both"/>
        <w:rPr>
          <w:rFonts w:cs="Calibri"/>
        </w:rPr>
      </w:pPr>
      <w:r w:rsidRPr="000925B3">
        <w:rPr>
          <w:rFonts w:cs="Calibri"/>
        </w:rPr>
        <w:t>Réduire/geler l’effort de pêche industrielle au chalut de fond, pour éviter la destruction des herbiers et la remise en suspension du carbone emprisonné dans les sédiments ;</w:t>
      </w:r>
    </w:p>
    <w:p w14:paraId="26B5C5CB" w14:textId="77777777" w:rsidR="00CB712E" w:rsidRPr="000925B3" w:rsidRDefault="00CB712E" w:rsidP="00CB712E">
      <w:pPr>
        <w:pStyle w:val="Paragraphedeliste"/>
        <w:numPr>
          <w:ilvl w:val="0"/>
          <w:numId w:val="281"/>
        </w:numPr>
        <w:autoSpaceDN w:val="0"/>
        <w:spacing w:after="0" w:line="240" w:lineRule="auto"/>
        <w:contextualSpacing w:val="0"/>
        <w:jc w:val="both"/>
        <w:rPr>
          <w:rFonts w:cs="Calibri"/>
        </w:rPr>
      </w:pPr>
      <w:r w:rsidRPr="000925B3">
        <w:rPr>
          <w:rFonts w:cs="Calibri"/>
        </w:rPr>
        <w:t>Prendre en compte les impacts potentiels du secteur pétro-gazier offshore qui s’ajoute déjà aux autres menaces dont notamment le changement climatique ;</w:t>
      </w:r>
    </w:p>
    <w:p w14:paraId="2671B339" w14:textId="77777777" w:rsidR="00CB712E" w:rsidRPr="000925B3" w:rsidRDefault="00CB712E" w:rsidP="00CB712E">
      <w:pPr>
        <w:pStyle w:val="Paragraphedeliste"/>
        <w:numPr>
          <w:ilvl w:val="0"/>
          <w:numId w:val="281"/>
        </w:numPr>
        <w:autoSpaceDN w:val="0"/>
        <w:spacing w:after="0" w:line="240" w:lineRule="auto"/>
        <w:contextualSpacing w:val="0"/>
        <w:jc w:val="both"/>
        <w:rPr>
          <w:rFonts w:cs="Calibri"/>
        </w:rPr>
      </w:pPr>
      <w:r w:rsidRPr="000925B3">
        <w:rPr>
          <w:rFonts w:cs="Calibri"/>
        </w:rPr>
        <w:t>Promouvoir une recherche scientifique et technologique compétitive : outils opérationnels de recherche et d’expertise, capables de fournir régulièrement aux décideurs et gestionnaires des questions du changement climatique les connaissances et données dont ils ont besoin, un centre d’excellence au sein, éventuellement, de l’Université de Nouakchott qui servira d’observatoire et d’outil de conseil scientifique indépendant, etc.</w:t>
      </w:r>
    </w:p>
    <w:p w14:paraId="72F54734" w14:textId="77777777" w:rsidR="00CB712E" w:rsidRPr="000925B3" w:rsidRDefault="00CB712E" w:rsidP="00CB712E">
      <w:pPr>
        <w:pStyle w:val="Paragraphedeliste"/>
        <w:numPr>
          <w:ilvl w:val="0"/>
          <w:numId w:val="281"/>
        </w:numPr>
        <w:autoSpaceDN w:val="0"/>
        <w:spacing w:after="0" w:line="240" w:lineRule="auto"/>
        <w:contextualSpacing w:val="0"/>
        <w:jc w:val="both"/>
        <w:rPr>
          <w:rFonts w:cs="Calibri"/>
        </w:rPr>
      </w:pPr>
      <w:r w:rsidRPr="000925B3">
        <w:rPr>
          <w:rFonts w:cs="Calibri"/>
        </w:rPr>
        <w:t>Assurer l’inclusion sociale des femmes et des jeunes pour susciter et promouvoir leurs intérêts pour une meilleure gestion des ressources halieutiques nationales et de leur environnement ;</w:t>
      </w:r>
    </w:p>
    <w:p w14:paraId="46B98A41" w14:textId="77777777" w:rsidR="00CB712E" w:rsidRPr="000925B3" w:rsidRDefault="00CB712E" w:rsidP="00CB712E">
      <w:pPr>
        <w:pStyle w:val="Paragraphedeliste"/>
        <w:numPr>
          <w:ilvl w:val="0"/>
          <w:numId w:val="281"/>
        </w:numPr>
        <w:autoSpaceDN w:val="0"/>
        <w:spacing w:after="0" w:line="240" w:lineRule="auto"/>
        <w:contextualSpacing w:val="0"/>
        <w:jc w:val="both"/>
        <w:rPr>
          <w:rFonts w:cs="Calibri"/>
        </w:rPr>
      </w:pPr>
      <w:r w:rsidRPr="000925B3">
        <w:rPr>
          <w:rFonts w:cs="Calibri"/>
        </w:rPr>
        <w:t>Permettre aux petites entreprises et aux ménages d’améliorer leur résilience au changement climatique, en utilisant des mécanismes de protection financière adaptés ;</w:t>
      </w:r>
    </w:p>
    <w:p w14:paraId="56F9BCE6" w14:textId="77777777" w:rsidR="00CB712E" w:rsidRPr="000925B3" w:rsidRDefault="00CB712E" w:rsidP="00CB712E">
      <w:pPr>
        <w:pStyle w:val="Paragraphedeliste"/>
        <w:numPr>
          <w:ilvl w:val="0"/>
          <w:numId w:val="281"/>
        </w:numPr>
        <w:autoSpaceDN w:val="0"/>
        <w:spacing w:after="0" w:line="240" w:lineRule="auto"/>
        <w:contextualSpacing w:val="0"/>
        <w:jc w:val="both"/>
        <w:rPr>
          <w:rFonts w:cs="Calibri"/>
        </w:rPr>
      </w:pPr>
      <w:r w:rsidRPr="000925B3">
        <w:rPr>
          <w:rFonts w:cs="Calibri"/>
        </w:rPr>
        <w:t>Exploiter les sources de financement climatique existantes pour augmenter substantiellement les possibilités de financement des actions climatiques du secteur ;</w:t>
      </w:r>
    </w:p>
    <w:p w14:paraId="45D0A2DD" w14:textId="77777777" w:rsidR="00CB712E" w:rsidRPr="000925B3" w:rsidRDefault="00CB712E" w:rsidP="00CB712E">
      <w:pPr>
        <w:pStyle w:val="Paragraphedeliste"/>
        <w:numPr>
          <w:ilvl w:val="0"/>
          <w:numId w:val="281"/>
        </w:numPr>
        <w:autoSpaceDN w:val="0"/>
        <w:spacing w:after="0" w:line="240" w:lineRule="auto"/>
        <w:contextualSpacing w:val="0"/>
        <w:jc w:val="both"/>
        <w:rPr>
          <w:rFonts w:cs="Calibri"/>
        </w:rPr>
      </w:pPr>
      <w:r w:rsidRPr="000925B3">
        <w:rPr>
          <w:rFonts w:cs="Calibri"/>
        </w:rPr>
        <w:t xml:space="preserve">Renforcer séparément les fonctions de suivi et d’évaluation en perspective des exigences prévues vers la fin de l’année 2024 (MRV) au sujet du contrôle rigoureux de l’exécution des financements climatiques accordés aux pays tiers. </w:t>
      </w:r>
    </w:p>
    <w:p w14:paraId="7004D3EB" w14:textId="44A82E5B" w:rsidR="00CB712E" w:rsidRPr="000925B3" w:rsidRDefault="00CB712E" w:rsidP="00CB712E">
      <w:pPr>
        <w:pStyle w:val="Paragraphedeliste"/>
        <w:numPr>
          <w:ilvl w:val="0"/>
          <w:numId w:val="281"/>
        </w:numPr>
        <w:suppressAutoHyphens/>
        <w:autoSpaceDN w:val="0"/>
        <w:spacing w:after="0" w:line="240" w:lineRule="auto"/>
        <w:jc w:val="both"/>
        <w:rPr>
          <w:rFonts w:cs="Calibri"/>
        </w:rPr>
      </w:pPr>
      <w:r w:rsidRPr="000925B3">
        <w:rPr>
          <w:rFonts w:cs="Calibri"/>
        </w:rPr>
        <w:t xml:space="preserve">Promouvoir une bonne gouvernance ce qui impose un cadre institutionnel, juridique et règlementaire qui reflète les missions du Ministère de la pêche et des infrastructures maritimes et portuaires et qui anticipe intelligemment sur ce que devront être demain les objectifs et les actions prioritaires de la stratégie sectorielle qui remplacera la L2P </w:t>
      </w:r>
      <w:r w:rsidR="001E72CD" w:rsidRPr="000925B3">
        <w:rPr>
          <w:rFonts w:cs="Calibri"/>
        </w:rPr>
        <w:t>d</w:t>
      </w:r>
      <w:r w:rsidR="001E72CD">
        <w:rPr>
          <w:rFonts w:cs="Calibri"/>
        </w:rPr>
        <w:t xml:space="preserve">evant </w:t>
      </w:r>
      <w:r w:rsidR="001E72CD" w:rsidRPr="000925B3">
        <w:rPr>
          <w:rFonts w:cs="Calibri"/>
        </w:rPr>
        <w:t>arriver</w:t>
      </w:r>
      <w:r w:rsidRPr="000925B3">
        <w:rPr>
          <w:rFonts w:cs="Calibri"/>
        </w:rPr>
        <w:t xml:space="preserve"> à échéance dès le 31 décembre 2024.</w:t>
      </w:r>
    </w:p>
    <w:p w14:paraId="0442E432" w14:textId="77777777" w:rsidR="00CB712E" w:rsidRPr="000925B3" w:rsidRDefault="00CB712E" w:rsidP="00CB712E">
      <w:pPr>
        <w:rPr>
          <w:rFonts w:cs="Calibri"/>
          <w:color w:val="FF0000"/>
        </w:rPr>
      </w:pPr>
    </w:p>
    <w:p w14:paraId="15391587" w14:textId="77777777" w:rsidR="00CB712E" w:rsidRPr="00376961" w:rsidRDefault="00CB712E" w:rsidP="00CB712E">
      <w:pPr>
        <w:pStyle w:val="Paragraphedeliste"/>
        <w:tabs>
          <w:tab w:val="left" w:pos="5245"/>
        </w:tabs>
        <w:spacing w:before="100" w:beforeAutospacing="1" w:after="100" w:afterAutospacing="1"/>
        <w:ind w:left="425" w:right="1276"/>
        <w:contextualSpacing w:val="0"/>
        <w:jc w:val="both"/>
        <w:rPr>
          <w:rFonts w:cstheme="minorHAnsi"/>
        </w:rPr>
      </w:pPr>
    </w:p>
    <w:p w14:paraId="546FBF76" w14:textId="482634A3" w:rsidR="00CB712E" w:rsidRDefault="00CB712E" w:rsidP="0063325C">
      <w:pPr>
        <w:rPr>
          <w:rFonts w:eastAsia="Calibri" w:cstheme="minorHAnsi"/>
        </w:rPr>
      </w:pPr>
      <w:r>
        <w:rPr>
          <w:rFonts w:cstheme="minorHAnsi"/>
        </w:rPr>
        <w:br w:type="page"/>
      </w:r>
    </w:p>
    <w:p w14:paraId="0A9D3F87" w14:textId="77777777" w:rsidR="002C1BF6" w:rsidRPr="00FF34DC" w:rsidRDefault="002C1BF6" w:rsidP="002C1BF6">
      <w:pPr>
        <w:jc w:val="center"/>
        <w:rPr>
          <w:b/>
          <w:bCs/>
          <w:sz w:val="28"/>
          <w:szCs w:val="28"/>
        </w:rPr>
      </w:pPr>
      <w:r w:rsidRPr="00FF34DC">
        <w:rPr>
          <w:b/>
          <w:bCs/>
          <w:sz w:val="28"/>
          <w:szCs w:val="28"/>
        </w:rPr>
        <w:t>République Islamique de Mauritanie</w:t>
      </w:r>
    </w:p>
    <w:p w14:paraId="4D9AD497" w14:textId="77777777" w:rsidR="002C1BF6" w:rsidRPr="00FF34DC" w:rsidRDefault="002C1BF6" w:rsidP="002C1BF6">
      <w:pPr>
        <w:jc w:val="center"/>
        <w:rPr>
          <w:b/>
          <w:bCs/>
        </w:rPr>
      </w:pPr>
      <w:r w:rsidRPr="00FF34DC">
        <w:rPr>
          <w:b/>
          <w:bCs/>
        </w:rPr>
        <w:t>Honneur-Fraternité-Justice</w:t>
      </w:r>
    </w:p>
    <w:p w14:paraId="47DA87B0" w14:textId="77777777" w:rsidR="002C1BF6" w:rsidRPr="00FF34DC" w:rsidRDefault="002C1BF6" w:rsidP="002C1BF6">
      <w:pPr>
        <w:jc w:val="center"/>
        <w:rPr>
          <w:sz w:val="28"/>
          <w:szCs w:val="28"/>
        </w:rPr>
      </w:pPr>
      <w:r w:rsidRPr="00FF34DC">
        <w:rPr>
          <w:noProof/>
        </w:rPr>
        <w:drawing>
          <wp:inline distT="0" distB="0" distL="0" distR="0" wp14:anchorId="5F480450" wp14:editId="68DA6905">
            <wp:extent cx="911351" cy="788670"/>
            <wp:effectExtent l="0" t="0" r="3175" b="0"/>
            <wp:docPr id="878111185" name="Image 1" descr="Sceau de la Mauritani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eau de la Mauritanie — Wikipédia"/>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983433" cy="851049"/>
                    </a:xfrm>
                    <a:prstGeom prst="rect">
                      <a:avLst/>
                    </a:prstGeom>
                    <a:noFill/>
                    <a:ln>
                      <a:noFill/>
                    </a:ln>
                  </pic:spPr>
                </pic:pic>
              </a:graphicData>
            </a:graphic>
          </wp:inline>
        </w:drawing>
      </w:r>
    </w:p>
    <w:p w14:paraId="259434D2" w14:textId="77777777" w:rsidR="002C1BF6" w:rsidRPr="00EE70BA" w:rsidRDefault="002C1BF6" w:rsidP="006D7514">
      <w:pPr>
        <w:spacing w:after="0"/>
        <w:jc w:val="center"/>
        <w:rPr>
          <w:b/>
          <w:bCs/>
          <w:sz w:val="32"/>
          <w:szCs w:val="32"/>
        </w:rPr>
      </w:pPr>
      <w:r w:rsidRPr="00EE70BA">
        <w:rPr>
          <w:b/>
          <w:bCs/>
          <w:sz w:val="32"/>
          <w:szCs w:val="32"/>
        </w:rPr>
        <w:t>Ministère de l’Environnement et du Développement Durable</w:t>
      </w:r>
    </w:p>
    <w:p w14:paraId="41BB1383" w14:textId="77777777" w:rsidR="002C1BF6" w:rsidRPr="00EE70BA" w:rsidRDefault="002C1BF6" w:rsidP="006D7514">
      <w:pPr>
        <w:spacing w:after="0"/>
        <w:jc w:val="center"/>
        <w:rPr>
          <w:b/>
          <w:bCs/>
          <w:sz w:val="32"/>
          <w:szCs w:val="32"/>
        </w:rPr>
      </w:pPr>
      <w:r w:rsidRPr="00EE70BA">
        <w:rPr>
          <w:b/>
          <w:bCs/>
          <w:sz w:val="32"/>
          <w:szCs w:val="32"/>
        </w:rPr>
        <w:t>Direction du Climat et de l’Economie Verte</w:t>
      </w:r>
    </w:p>
    <w:p w14:paraId="40E85D69" w14:textId="77777777" w:rsidR="002C1BF6" w:rsidRPr="00383367" w:rsidRDefault="002C1BF6" w:rsidP="006D7514">
      <w:pPr>
        <w:spacing w:after="0"/>
        <w:jc w:val="center"/>
        <w:rPr>
          <w:rFonts w:cstheme="minorHAnsi"/>
          <w:b/>
          <w:caps/>
          <w:color w:val="000000"/>
        </w:rPr>
      </w:pPr>
      <w:r w:rsidRPr="00383367">
        <w:rPr>
          <w:rFonts w:cstheme="minorHAnsi"/>
          <w:b/>
          <w:caps/>
          <w:color w:val="000000"/>
        </w:rPr>
        <w:t xml:space="preserve">NITE DE GESTION DE LA CINQUIEME COMMUNICATION NATIONALE </w:t>
      </w:r>
    </w:p>
    <w:p w14:paraId="2D54504D" w14:textId="77777777" w:rsidR="002C1BF6" w:rsidRPr="00383367" w:rsidRDefault="002C1BF6" w:rsidP="006D7514">
      <w:pPr>
        <w:spacing w:after="0"/>
        <w:jc w:val="center"/>
        <w:rPr>
          <w:rFonts w:cstheme="minorHAnsi"/>
          <w:b/>
          <w:caps/>
          <w:color w:val="000000"/>
        </w:rPr>
      </w:pPr>
      <w:r w:rsidRPr="00383367">
        <w:rPr>
          <w:rFonts w:cstheme="minorHAnsi"/>
          <w:b/>
          <w:caps/>
          <w:color w:val="000000"/>
        </w:rPr>
        <w:t xml:space="preserve">SUR LES CHANGEMENTS CLIMATIQUES </w:t>
      </w:r>
    </w:p>
    <w:p w14:paraId="16995492" w14:textId="1DD21D86" w:rsidR="002C1BF6" w:rsidRPr="001E72CD" w:rsidRDefault="002C1BF6" w:rsidP="006D7514">
      <w:pPr>
        <w:pStyle w:val="Titre2"/>
        <w:spacing w:before="0"/>
        <w:ind w:left="720"/>
        <w:jc w:val="center"/>
        <w:rPr>
          <w:rFonts w:ascii="Calibri" w:hAnsi="Calibri" w:cs="Calibri"/>
          <w:b/>
          <w:bCs/>
          <w:color w:val="BF8F00" w:themeColor="accent4" w:themeShade="BF"/>
          <w:sz w:val="24"/>
          <w:szCs w:val="24"/>
        </w:rPr>
      </w:pPr>
      <w:r w:rsidRPr="00383367">
        <w:rPr>
          <w:b/>
          <w:bCs/>
          <w:sz w:val="28"/>
          <w:szCs w:val="28"/>
        </w:rPr>
        <w:t>C</w:t>
      </w:r>
      <w:r w:rsidR="00A826F3">
        <w:rPr>
          <w:b/>
          <w:bCs/>
          <w:sz w:val="28"/>
          <w:szCs w:val="28"/>
        </w:rPr>
        <w:t>HAPITRE</w:t>
      </w:r>
      <w:r w:rsidRPr="00383367">
        <w:rPr>
          <w:b/>
          <w:bCs/>
          <w:sz w:val="28"/>
          <w:szCs w:val="28"/>
        </w:rPr>
        <w:t xml:space="preserve"> 3 : EVALUATION DE LA VULNERABILITE ET ADAPTATION AUX CHANGEMENTS CLIMATIQUES DU </w:t>
      </w:r>
      <w:r w:rsidRPr="001E72CD">
        <w:rPr>
          <w:b/>
          <w:bCs/>
          <w:sz w:val="28"/>
          <w:szCs w:val="28"/>
        </w:rPr>
        <w:t>SECTEUR DES PECHES</w:t>
      </w:r>
    </w:p>
    <w:p w14:paraId="134E1A2B" w14:textId="0C8BE8F3" w:rsidR="002C1BF6" w:rsidRPr="001E72CD" w:rsidRDefault="002C1BF6" w:rsidP="00383367">
      <w:pPr>
        <w:pStyle w:val="Titre2"/>
        <w:spacing w:before="0"/>
        <w:ind w:left="720"/>
        <w:jc w:val="center"/>
        <w:rPr>
          <w:rFonts w:ascii="Calibri" w:hAnsi="Calibri" w:cs="Calibri"/>
          <w:b/>
          <w:bCs/>
          <w:i/>
          <w:iCs/>
          <w:color w:val="BF8F00" w:themeColor="accent4" w:themeShade="BF"/>
          <w:sz w:val="24"/>
          <w:szCs w:val="24"/>
        </w:rPr>
      </w:pPr>
      <w:r w:rsidRPr="001E72CD">
        <w:rPr>
          <w:rFonts w:ascii="Calibri" w:hAnsi="Calibri" w:cs="Calibri"/>
          <w:b/>
          <w:bCs/>
          <w:color w:val="BF8F00" w:themeColor="accent4" w:themeShade="BF"/>
          <w:sz w:val="24"/>
          <w:szCs w:val="24"/>
        </w:rPr>
        <w:t xml:space="preserve">SOUS-SECTEUR DES PECHES </w:t>
      </w:r>
      <w:r w:rsidR="005660CF" w:rsidRPr="001E72CD">
        <w:rPr>
          <w:rFonts w:ascii="Calibri" w:hAnsi="Calibri" w:cs="Calibri"/>
          <w:b/>
          <w:bCs/>
          <w:color w:val="BF8F00" w:themeColor="accent4" w:themeShade="BF"/>
          <w:sz w:val="24"/>
          <w:szCs w:val="24"/>
        </w:rPr>
        <w:t>CONTINENTALES</w:t>
      </w:r>
    </w:p>
    <w:p w14:paraId="46EAA389" w14:textId="12410CB3" w:rsidR="005660CF" w:rsidRPr="001E72CD" w:rsidRDefault="002C1BF6" w:rsidP="006D7514">
      <w:pPr>
        <w:spacing w:after="0"/>
        <w:jc w:val="center"/>
        <w:rPr>
          <w:rFonts w:eastAsia="Calibri" w:cstheme="minorHAnsi"/>
          <w:sz w:val="36"/>
          <w:szCs w:val="36"/>
        </w:rPr>
      </w:pPr>
      <w:r w:rsidRPr="001E72CD">
        <w:rPr>
          <w:rFonts w:cs="Calibri"/>
          <w:b/>
          <w:bCs/>
          <w:i/>
          <w:iCs/>
          <w:sz w:val="36"/>
          <w:szCs w:val="36"/>
        </w:rPr>
        <w:t xml:space="preserve">Consultant : </w:t>
      </w:r>
      <w:r w:rsidR="005660CF" w:rsidRPr="001E72CD">
        <w:rPr>
          <w:rFonts w:eastAsia="Calibri" w:cstheme="minorHAnsi"/>
          <w:b/>
          <w:bCs/>
          <w:sz w:val="36"/>
          <w:szCs w:val="36"/>
        </w:rPr>
        <w:t xml:space="preserve">Moussa Harouna SY </w:t>
      </w:r>
      <w:r w:rsidR="005660CF" w:rsidRPr="001E72CD">
        <w:rPr>
          <w:rFonts w:eastAsia="Calibri" w:cstheme="minorHAnsi"/>
          <w:sz w:val="36"/>
          <w:szCs w:val="36"/>
        </w:rPr>
        <w:t>Expert</w:t>
      </w:r>
      <w:r w:rsidR="001E72CD">
        <w:rPr>
          <w:rFonts w:eastAsia="Calibri" w:cstheme="minorHAnsi"/>
          <w:sz w:val="36"/>
          <w:szCs w:val="36"/>
        </w:rPr>
        <w:t xml:space="preserve"> Sénior</w:t>
      </w:r>
      <w:r w:rsidR="005660CF" w:rsidRPr="001E72CD">
        <w:rPr>
          <w:rFonts w:eastAsia="Calibri" w:cstheme="minorHAnsi"/>
          <w:sz w:val="36"/>
          <w:szCs w:val="36"/>
        </w:rPr>
        <w:t xml:space="preserve"> en pêches</w:t>
      </w:r>
    </w:p>
    <w:p w14:paraId="17F494F6" w14:textId="741794A6" w:rsidR="0063325C" w:rsidRPr="001E72CD" w:rsidRDefault="00383367" w:rsidP="006D7514">
      <w:pPr>
        <w:spacing w:after="0"/>
        <w:jc w:val="center"/>
        <w:rPr>
          <w:rFonts w:eastAsia="Calibri" w:cstheme="minorHAnsi"/>
          <w:sz w:val="28"/>
          <w:szCs w:val="28"/>
        </w:rPr>
      </w:pPr>
      <w:r w:rsidRPr="001E72CD">
        <w:rPr>
          <w:rFonts w:eastAsia="Calibri" w:cstheme="minorHAnsi"/>
          <w:sz w:val="28"/>
          <w:szCs w:val="28"/>
        </w:rPr>
        <w:t>E</w:t>
      </w:r>
      <w:r w:rsidR="0063325C" w:rsidRPr="001E72CD">
        <w:rPr>
          <w:rFonts w:eastAsia="Calibri" w:cstheme="minorHAnsi"/>
          <w:sz w:val="28"/>
          <w:szCs w:val="28"/>
        </w:rPr>
        <w:t xml:space="preserve">mail : </w:t>
      </w:r>
      <w:hyperlink r:id="rId198" w:history="1">
        <w:r w:rsidR="0063325C" w:rsidRPr="001E72CD">
          <w:rPr>
            <w:rStyle w:val="Lienhypertexte"/>
            <w:rFonts w:eastAsia="Calibri" w:cstheme="minorHAnsi"/>
            <w:sz w:val="28"/>
            <w:szCs w:val="28"/>
          </w:rPr>
          <w:t>symoha2000@gmail.com</w:t>
        </w:r>
      </w:hyperlink>
    </w:p>
    <w:p w14:paraId="1D035898" w14:textId="5D76CC01" w:rsidR="0063325C" w:rsidRDefault="0063325C" w:rsidP="006D7514">
      <w:pPr>
        <w:spacing w:after="0"/>
        <w:jc w:val="center"/>
        <w:rPr>
          <w:rFonts w:eastAsia="Calibri" w:cstheme="minorHAnsi"/>
        </w:rPr>
      </w:pPr>
      <w:r w:rsidRPr="001E72CD">
        <w:rPr>
          <w:rFonts w:eastAsia="Calibri" w:cstheme="minorHAnsi"/>
          <w:sz w:val="28"/>
          <w:szCs w:val="28"/>
        </w:rPr>
        <w:t>Téléphone</w:t>
      </w:r>
      <w:r w:rsidR="00383367" w:rsidRPr="001E72CD">
        <w:rPr>
          <w:rFonts w:eastAsia="Calibri" w:cstheme="minorHAnsi"/>
          <w:sz w:val="28"/>
          <w:szCs w:val="28"/>
        </w:rPr>
        <w:t> :</w:t>
      </w:r>
      <w:r w:rsidRPr="001E72CD">
        <w:rPr>
          <w:rFonts w:eastAsia="Calibri" w:cstheme="minorHAnsi"/>
          <w:sz w:val="28"/>
          <w:szCs w:val="28"/>
        </w:rPr>
        <w:t>  49181998</w:t>
      </w:r>
    </w:p>
    <w:p w14:paraId="05236C53" w14:textId="77777777" w:rsidR="00383367" w:rsidRPr="006D7514" w:rsidRDefault="00383367" w:rsidP="00383367">
      <w:pPr>
        <w:spacing w:after="0"/>
        <w:jc w:val="center"/>
        <w:rPr>
          <w:rFonts w:ascii="Tahoma" w:hAnsi="Tahoma" w:cs="Tahoma"/>
          <w:b/>
          <w:bCs/>
          <w:color w:val="0070C0"/>
          <w:spacing w:val="-10"/>
          <w:kern w:val="28"/>
          <w:sz w:val="20"/>
          <w:szCs w:val="20"/>
        </w:rPr>
      </w:pPr>
      <w:r w:rsidRPr="006D7514">
        <w:rPr>
          <w:rFonts w:ascii="Tahoma" w:hAnsi="Tahoma" w:cs="Tahoma"/>
          <w:b/>
          <w:bCs/>
          <w:color w:val="0070C0"/>
          <w:spacing w:val="-10"/>
          <w:kern w:val="28"/>
          <w:sz w:val="20"/>
          <w:szCs w:val="20"/>
        </w:rPr>
        <w:t>28 Octobre 2024</w:t>
      </w:r>
    </w:p>
    <w:p w14:paraId="1D0366EB" w14:textId="77777777" w:rsidR="00383367" w:rsidRDefault="00383367" w:rsidP="00383367">
      <w:pPr>
        <w:jc w:val="center"/>
        <w:rPr>
          <w:rFonts w:eastAsia="Calibri" w:cstheme="minorHAnsi"/>
        </w:rPr>
      </w:pPr>
    </w:p>
    <w:p w14:paraId="76896156" w14:textId="3B5BB984" w:rsidR="0063325C" w:rsidRPr="0063325C" w:rsidRDefault="0063325C" w:rsidP="006D7514">
      <w:pPr>
        <w:jc w:val="center"/>
        <w:rPr>
          <w:rFonts w:eastAsia="Calibri" w:cstheme="minorHAnsi"/>
          <w:b/>
        </w:rPr>
      </w:pPr>
      <w:bookmarkStart w:id="271" w:name="_Hlk178498863"/>
      <w:r w:rsidRPr="006D7514">
        <w:rPr>
          <w:rFonts w:eastAsia="Calibri" w:cstheme="minorHAnsi"/>
          <w:b/>
          <w:sz w:val="36"/>
          <w:szCs w:val="36"/>
        </w:rPr>
        <w:t>Introduction</w:t>
      </w:r>
    </w:p>
    <w:p w14:paraId="0F68082C" w14:textId="77777777" w:rsidR="0063325C" w:rsidRPr="0063325C" w:rsidRDefault="0063325C" w:rsidP="00F9420F">
      <w:pPr>
        <w:spacing w:after="0"/>
        <w:jc w:val="both"/>
        <w:rPr>
          <w:rFonts w:eastAsia="Calibri" w:cstheme="minorHAnsi"/>
        </w:rPr>
      </w:pPr>
      <w:r w:rsidRPr="0063325C">
        <w:rPr>
          <w:rFonts w:eastAsia="Calibri" w:cstheme="minorHAnsi"/>
        </w:rPr>
        <w:t xml:space="preserve">La République Islamique de Mauritanie a adhéré à la convention cadre sur les changements climatiques, en tant que partie prenante à la convention, la Mauritanie a l’obligation de présenter une communication sur les effets des changements sur les secteurs de développement. </w:t>
      </w:r>
    </w:p>
    <w:p w14:paraId="2C7D0BAE" w14:textId="69ED1F26" w:rsidR="0063325C" w:rsidRPr="0063325C" w:rsidRDefault="0063325C" w:rsidP="00F9420F">
      <w:pPr>
        <w:spacing w:after="0"/>
        <w:jc w:val="both"/>
        <w:rPr>
          <w:rFonts w:eastAsia="Calibri" w:cstheme="minorHAnsi"/>
        </w:rPr>
      </w:pPr>
      <w:r w:rsidRPr="0063325C">
        <w:rPr>
          <w:rFonts w:eastAsia="Calibri" w:cstheme="minorHAnsi"/>
        </w:rPr>
        <w:t xml:space="preserve">Le présent document est la communication sur le secteur de la pêche, </w:t>
      </w:r>
      <w:r w:rsidR="00383367" w:rsidRPr="0063325C">
        <w:rPr>
          <w:rFonts w:eastAsia="Calibri" w:cstheme="minorHAnsi"/>
        </w:rPr>
        <w:t>il fournit</w:t>
      </w:r>
      <w:r w:rsidRPr="0063325C">
        <w:rPr>
          <w:rFonts w:eastAsia="Calibri" w:cstheme="minorHAnsi"/>
        </w:rPr>
        <w:t xml:space="preserve"> des informations sur la pêche continentale, la zone littorale et la pêche maritime. Les informations portent sur les impacts des changements climatiques sur la pêche continentale, la zone littorale maritime et la pêche maritime et les mesures d’adaptations pour atténuer les effets sur le développement de la pêche.</w:t>
      </w:r>
    </w:p>
    <w:p w14:paraId="5435D605" w14:textId="48D0E13A" w:rsidR="0063325C" w:rsidRPr="0063325C" w:rsidRDefault="0063325C" w:rsidP="00F9420F">
      <w:pPr>
        <w:spacing w:after="0"/>
        <w:rPr>
          <w:rFonts w:eastAsia="Calibri" w:cstheme="minorHAnsi"/>
        </w:rPr>
      </w:pPr>
      <w:r w:rsidRPr="0063325C">
        <w:rPr>
          <w:rFonts w:eastAsia="Calibri" w:cstheme="minorHAnsi"/>
        </w:rPr>
        <w:t>Le document comprend sept parties :</w:t>
      </w:r>
    </w:p>
    <w:p w14:paraId="3060666B" w14:textId="77777777" w:rsidR="0063325C" w:rsidRPr="0063325C" w:rsidRDefault="0063325C" w:rsidP="00F9420F">
      <w:pPr>
        <w:numPr>
          <w:ilvl w:val="0"/>
          <w:numId w:val="329"/>
        </w:numPr>
        <w:spacing w:after="0"/>
        <w:rPr>
          <w:rFonts w:eastAsia="Calibri" w:cstheme="minorHAnsi"/>
        </w:rPr>
      </w:pPr>
      <w:r w:rsidRPr="0063325C">
        <w:rPr>
          <w:rFonts w:eastAsia="Calibri" w:cstheme="minorHAnsi"/>
        </w:rPr>
        <w:t>Présentation de la géographique et le climat de la Mauritanie</w:t>
      </w:r>
    </w:p>
    <w:p w14:paraId="7D45E039" w14:textId="77777777" w:rsidR="0063325C" w:rsidRPr="0063325C" w:rsidRDefault="0063325C" w:rsidP="00F9420F">
      <w:pPr>
        <w:numPr>
          <w:ilvl w:val="0"/>
          <w:numId w:val="329"/>
        </w:numPr>
        <w:spacing w:after="0"/>
        <w:rPr>
          <w:rFonts w:eastAsia="Calibri" w:cstheme="minorHAnsi"/>
        </w:rPr>
      </w:pPr>
      <w:r w:rsidRPr="0063325C">
        <w:rPr>
          <w:rFonts w:eastAsia="Calibri" w:cstheme="minorHAnsi"/>
        </w:rPr>
        <w:t>Description de la pêche continentale</w:t>
      </w:r>
    </w:p>
    <w:p w14:paraId="7CB7E43D" w14:textId="77777777" w:rsidR="0063325C" w:rsidRPr="0063325C" w:rsidRDefault="0063325C" w:rsidP="00F9420F">
      <w:pPr>
        <w:numPr>
          <w:ilvl w:val="0"/>
          <w:numId w:val="329"/>
        </w:numPr>
        <w:spacing w:after="0"/>
        <w:rPr>
          <w:rFonts w:eastAsia="Calibri" w:cstheme="minorHAnsi"/>
        </w:rPr>
      </w:pPr>
      <w:r w:rsidRPr="0063325C">
        <w:rPr>
          <w:rFonts w:eastAsia="Calibri" w:cstheme="minorHAnsi"/>
        </w:rPr>
        <w:t>Description de la zone littorale</w:t>
      </w:r>
    </w:p>
    <w:p w14:paraId="35BBE9FA" w14:textId="77777777" w:rsidR="0063325C" w:rsidRPr="0063325C" w:rsidRDefault="0063325C" w:rsidP="00F9420F">
      <w:pPr>
        <w:numPr>
          <w:ilvl w:val="0"/>
          <w:numId w:val="329"/>
        </w:numPr>
        <w:spacing w:after="0"/>
        <w:rPr>
          <w:rFonts w:eastAsia="Calibri" w:cstheme="minorHAnsi"/>
        </w:rPr>
      </w:pPr>
      <w:r w:rsidRPr="0063325C">
        <w:rPr>
          <w:rFonts w:eastAsia="Calibri" w:cstheme="minorHAnsi"/>
        </w:rPr>
        <w:t>Description de la pêche maritime</w:t>
      </w:r>
    </w:p>
    <w:p w14:paraId="050BF25E" w14:textId="77777777" w:rsidR="0063325C" w:rsidRPr="0063325C" w:rsidRDefault="0063325C" w:rsidP="00F9420F">
      <w:pPr>
        <w:numPr>
          <w:ilvl w:val="0"/>
          <w:numId w:val="329"/>
        </w:numPr>
        <w:spacing w:after="0"/>
        <w:rPr>
          <w:rFonts w:eastAsia="Calibri" w:cstheme="minorHAnsi"/>
        </w:rPr>
      </w:pPr>
      <w:r w:rsidRPr="0063325C">
        <w:rPr>
          <w:rFonts w:eastAsia="Calibri" w:cstheme="minorHAnsi"/>
        </w:rPr>
        <w:t>Les politiques et stratégies d’aménagement et de développement des pêches</w:t>
      </w:r>
    </w:p>
    <w:p w14:paraId="365DABC2" w14:textId="77777777" w:rsidR="0063325C" w:rsidRDefault="0063325C" w:rsidP="0063325C">
      <w:pPr>
        <w:rPr>
          <w:rFonts w:eastAsia="Calibri" w:cstheme="minorHAnsi"/>
        </w:rPr>
      </w:pPr>
    </w:p>
    <w:p w14:paraId="42930060" w14:textId="77777777" w:rsidR="0063325C" w:rsidRPr="006D7514" w:rsidRDefault="0063325C" w:rsidP="006D7514">
      <w:pPr>
        <w:numPr>
          <w:ilvl w:val="0"/>
          <w:numId w:val="337"/>
        </w:numPr>
        <w:ind w:left="567" w:hanging="567"/>
        <w:rPr>
          <w:rFonts w:eastAsia="Calibri" w:cstheme="minorHAnsi"/>
          <w:b/>
          <w:sz w:val="28"/>
          <w:szCs w:val="28"/>
        </w:rPr>
      </w:pPr>
      <w:r w:rsidRPr="006D7514">
        <w:rPr>
          <w:rFonts w:eastAsia="Calibri" w:cstheme="minorHAnsi"/>
          <w:b/>
          <w:sz w:val="28"/>
          <w:szCs w:val="28"/>
        </w:rPr>
        <w:t xml:space="preserve">Présentation de la géographie et le climat de la Mauritanie  </w:t>
      </w:r>
    </w:p>
    <w:p w14:paraId="4CE9D86F" w14:textId="64A8324F" w:rsidR="0063325C" w:rsidRPr="0063325C" w:rsidRDefault="0063325C" w:rsidP="006D7514">
      <w:pPr>
        <w:jc w:val="both"/>
        <w:rPr>
          <w:rFonts w:eastAsia="Calibri" w:cstheme="minorHAnsi"/>
        </w:rPr>
      </w:pPr>
      <w:r w:rsidRPr="006D7514">
        <w:rPr>
          <w:rFonts w:eastAsia="Calibri" w:cstheme="minorHAnsi"/>
        </w:rPr>
        <w:t xml:space="preserve"> </w:t>
      </w:r>
      <w:r w:rsidRPr="0063325C">
        <w:rPr>
          <w:rFonts w:eastAsia="Calibri" w:cstheme="minorHAnsi"/>
        </w:rPr>
        <w:t>Le territoire Mauritanien est situé dans une zone aride avec 75% en zone saharienne, ceci est en partie une conséquence des effets des masses d’air qui balaient le pays.</w:t>
      </w:r>
    </w:p>
    <w:p w14:paraId="4220FE94" w14:textId="77777777" w:rsidR="0063325C" w:rsidRPr="0063325C" w:rsidRDefault="0063325C" w:rsidP="006D7514">
      <w:pPr>
        <w:jc w:val="both"/>
        <w:rPr>
          <w:rFonts w:eastAsia="Calibri" w:cstheme="minorHAnsi"/>
        </w:rPr>
      </w:pPr>
      <w:r w:rsidRPr="0063325C">
        <w:rPr>
          <w:rFonts w:eastAsia="Calibri" w:cstheme="minorHAnsi"/>
        </w:rPr>
        <w:t xml:space="preserve">Ces masses d’air sont constituées de trois courants de vents principaux qui soufflent tout au long de l’année : l’alizé maritime, l’alizé continental et la mousson estivale de cette situation découle deux grandes zones climatiques le Sahara et le Sahel avec chacune une nuance littorale et une nuance continentale. Ces caractéristiques montrent que le climat en Mauritanie change avec pour conséquence une amplification des problèmes environnementaux posés à ce pays sahélo-saharien. </w:t>
      </w:r>
    </w:p>
    <w:p w14:paraId="06D34EF5" w14:textId="77777777" w:rsidR="0063325C" w:rsidRPr="0063325C" w:rsidRDefault="0063325C" w:rsidP="006D7514">
      <w:pPr>
        <w:jc w:val="both"/>
        <w:rPr>
          <w:rFonts w:eastAsia="Calibri" w:cstheme="minorHAnsi"/>
        </w:rPr>
      </w:pPr>
      <w:r w:rsidRPr="0063325C">
        <w:rPr>
          <w:rFonts w:eastAsia="Calibri" w:cstheme="minorHAnsi"/>
        </w:rPr>
        <w:t xml:space="preserve">La vulnérabilité de la Mauritanie au changement climatique est surtout due à ses caractéristiques climatiques, géographiques et démographiques. </w:t>
      </w:r>
    </w:p>
    <w:p w14:paraId="60A05C9A" w14:textId="2909434B" w:rsidR="0063325C" w:rsidRPr="0063325C" w:rsidRDefault="0063325C" w:rsidP="006D7514">
      <w:pPr>
        <w:jc w:val="both"/>
        <w:rPr>
          <w:rFonts w:eastAsia="Calibri" w:cstheme="minorHAnsi"/>
        </w:rPr>
      </w:pPr>
      <w:r w:rsidRPr="0063325C">
        <w:rPr>
          <w:rFonts w:eastAsia="Calibri" w:cstheme="minorHAnsi"/>
        </w:rPr>
        <w:t xml:space="preserve">Ces changements climatiques menacent le secteur de la pêche (continentale </w:t>
      </w:r>
      <w:r w:rsidR="001E72CD">
        <w:rPr>
          <w:rFonts w:eastAsia="Calibri" w:cstheme="minorHAnsi"/>
        </w:rPr>
        <w:t>comme</w:t>
      </w:r>
      <w:r w:rsidR="001E72CD" w:rsidRPr="0063325C">
        <w:rPr>
          <w:rFonts w:eastAsia="Calibri" w:cstheme="minorHAnsi"/>
        </w:rPr>
        <w:t xml:space="preserve"> maritime</w:t>
      </w:r>
      <w:r w:rsidR="001E72CD">
        <w:rPr>
          <w:rFonts w:eastAsia="Calibri" w:cstheme="minorHAnsi"/>
        </w:rPr>
        <w:t>)</w:t>
      </w:r>
      <w:r w:rsidR="003C4517">
        <w:rPr>
          <w:rFonts w:eastAsia="Calibri" w:cstheme="minorHAnsi"/>
        </w:rPr>
        <w:t> ;</w:t>
      </w:r>
      <w:r w:rsidRPr="0063325C">
        <w:rPr>
          <w:rFonts w:eastAsia="Calibri" w:cstheme="minorHAnsi"/>
        </w:rPr>
        <w:t xml:space="preserve"> principalement leurs zones d’activités, en effet, les missions d’études organisées dans les wilayas de l’intérieur du pays ont montré que les changements climatiques impactent le réseau hydrographique et </w:t>
      </w:r>
      <w:bookmarkEnd w:id="271"/>
      <w:r w:rsidRPr="0063325C">
        <w:rPr>
          <w:rFonts w:eastAsia="Calibri" w:cstheme="minorHAnsi"/>
        </w:rPr>
        <w:t>les zones humides de l’EST et du SUD EST. Les résultats ont permis de ressortir les caractéristiques hydrographiques des zones humides et du réseau hydrographique de la vallée du Fleuve :</w:t>
      </w:r>
    </w:p>
    <w:p w14:paraId="030D7B5B" w14:textId="77777777" w:rsidR="0063325C" w:rsidRPr="0063325C" w:rsidRDefault="0063325C" w:rsidP="006D7514">
      <w:pPr>
        <w:jc w:val="both"/>
        <w:rPr>
          <w:rFonts w:eastAsia="Calibri" w:cstheme="minorHAnsi"/>
          <w:b/>
        </w:rPr>
      </w:pPr>
      <w:r w:rsidRPr="0063325C">
        <w:rPr>
          <w:rFonts w:eastAsia="Calibri" w:cstheme="minorHAnsi"/>
          <w:b/>
        </w:rPr>
        <w:t xml:space="preserve">Caractéristiques climatiques et géographiques démographiques des mares Tamourt Mahmouda, tamourt Bougari, Tamourt Naaj situées dans les Wilayas du Hodh </w:t>
      </w:r>
      <w:r w:rsidRPr="006D7514">
        <w:rPr>
          <w:rFonts w:eastAsia="Calibri" w:cstheme="minorHAnsi"/>
        </w:rPr>
        <w:t>Chargui</w:t>
      </w:r>
      <w:r w:rsidRPr="0063325C">
        <w:rPr>
          <w:rFonts w:eastAsia="Calibri" w:cstheme="minorHAnsi"/>
          <w:b/>
        </w:rPr>
        <w:t xml:space="preserve">, Assaba et Taguant </w:t>
      </w:r>
    </w:p>
    <w:p w14:paraId="37420BC1" w14:textId="77777777" w:rsidR="0063325C" w:rsidRPr="006D7514" w:rsidRDefault="0063325C" w:rsidP="006D7514">
      <w:pPr>
        <w:jc w:val="both"/>
        <w:rPr>
          <w:rFonts w:eastAsia="Calibri" w:cstheme="minorHAnsi"/>
        </w:rPr>
      </w:pPr>
      <w:r w:rsidRPr="0063325C">
        <w:rPr>
          <w:rFonts w:eastAsia="Calibri" w:cstheme="minorHAnsi"/>
        </w:rPr>
        <w:t xml:space="preserve">La Wilaya du Hodh Chargui est traversée par trois types de climat donnant lieu à trois zones écologiques distinctes : 14% de la superficie de la Wilaya se situe dans la zone soudano sahélienne, 19% dans la zone sahélienne, 67% dans la zone désertique. </w:t>
      </w:r>
    </w:p>
    <w:p w14:paraId="7BC9BFB5" w14:textId="77777777" w:rsidR="0063325C" w:rsidRPr="0063325C" w:rsidRDefault="0063325C" w:rsidP="006D7514">
      <w:pPr>
        <w:jc w:val="both"/>
        <w:rPr>
          <w:rFonts w:eastAsia="Calibri" w:cstheme="minorHAnsi"/>
        </w:rPr>
      </w:pPr>
      <w:r w:rsidRPr="0063325C">
        <w:rPr>
          <w:rFonts w:eastAsia="Calibri" w:cstheme="minorHAnsi"/>
        </w:rPr>
        <w:t>La zone saharienne a une pluviométrie annuelle inférieure à 100mm, la zone sahélienne une pluviométrie moyenne annuelle comprise entre 100 et 400 mm.</w:t>
      </w:r>
    </w:p>
    <w:p w14:paraId="05CC765F" w14:textId="77777777" w:rsidR="0063325C" w:rsidRPr="0063325C" w:rsidRDefault="0063325C" w:rsidP="006D7514">
      <w:pPr>
        <w:jc w:val="both"/>
        <w:rPr>
          <w:rFonts w:eastAsia="Calibri" w:cstheme="minorHAnsi"/>
        </w:rPr>
      </w:pPr>
      <w:r w:rsidRPr="0063325C">
        <w:rPr>
          <w:rFonts w:eastAsia="Calibri" w:cstheme="minorHAnsi"/>
        </w:rPr>
        <w:t>Toute fois la pluviométrie varie fortement d’une année à l’autre. Voir le tableau pluviométrique de la station météorologique de Néma.</w:t>
      </w:r>
    </w:p>
    <w:p w14:paraId="0FE5D87B" w14:textId="06F20D2C" w:rsidR="0063325C" w:rsidRPr="0063325C" w:rsidRDefault="0063325C" w:rsidP="0063325C">
      <w:pPr>
        <w:rPr>
          <w:rFonts w:eastAsia="Calibri" w:cstheme="minorHAnsi"/>
        </w:rPr>
      </w:pPr>
      <w:r w:rsidRPr="0063325C">
        <w:rPr>
          <w:rFonts w:eastAsia="Calibri" w:cstheme="minorHAnsi"/>
          <w:noProof/>
        </w:rPr>
        <w:drawing>
          <wp:inline distT="0" distB="0" distL="0" distR="0" wp14:anchorId="56A725A0" wp14:editId="7AD5DFE1">
            <wp:extent cx="5224007" cy="2281555"/>
            <wp:effectExtent l="0" t="0" r="15240" b="4445"/>
            <wp:docPr id="500795064" name="Graphique 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14:paraId="7FAEA279" w14:textId="77777777" w:rsidR="0063325C" w:rsidRPr="0063325C" w:rsidRDefault="0063325C" w:rsidP="0063325C">
      <w:pPr>
        <w:rPr>
          <w:rFonts w:eastAsia="Calibri" w:cstheme="minorHAnsi"/>
        </w:rPr>
      </w:pPr>
      <w:r w:rsidRPr="0063325C">
        <w:rPr>
          <w:rFonts w:eastAsia="Calibri" w:cstheme="minorHAnsi"/>
        </w:rPr>
        <w:t xml:space="preserve">Evolution des cumuls pluviométriques annuels à la station de Néma sur la période 2010 – 2019. </w:t>
      </w:r>
    </w:p>
    <w:p w14:paraId="699BFA36" w14:textId="3BF44870" w:rsidR="0063325C" w:rsidRPr="0063325C" w:rsidRDefault="0063325C" w:rsidP="006D7514">
      <w:pPr>
        <w:jc w:val="both"/>
        <w:rPr>
          <w:rFonts w:eastAsia="Calibri" w:cstheme="minorHAnsi"/>
        </w:rPr>
      </w:pPr>
      <w:r w:rsidRPr="0063325C">
        <w:rPr>
          <w:rFonts w:eastAsia="Calibri" w:cstheme="minorHAnsi"/>
        </w:rPr>
        <w:t xml:space="preserve">Dans la partie Ouest de la mare de Mahmouda se trouve une dépression appelée l’Amzingui, qui se situe environ à 75 et 100 cm plus bas que le reste de la </w:t>
      </w:r>
      <w:r w:rsidR="003C4517" w:rsidRPr="0063325C">
        <w:rPr>
          <w:rFonts w:eastAsia="Calibri" w:cstheme="minorHAnsi"/>
        </w:rPr>
        <w:t>plaine,</w:t>
      </w:r>
      <w:r w:rsidRPr="0063325C">
        <w:rPr>
          <w:rFonts w:eastAsia="Calibri" w:cstheme="minorHAnsi"/>
        </w:rPr>
        <w:t xml:space="preserve"> cette dépression grande de 2500 ha a une capacité de 25 millions de m3 d’eau. La cuvette Amzingui se remplit et déborde sur les autres parties quasiment planes de la mare (c’est la zone d’inondation).</w:t>
      </w:r>
    </w:p>
    <w:p w14:paraId="1FDAC602" w14:textId="77777777" w:rsidR="0063325C" w:rsidRPr="0063325C" w:rsidRDefault="0063325C" w:rsidP="006D7514">
      <w:pPr>
        <w:jc w:val="both"/>
        <w:rPr>
          <w:rFonts w:eastAsia="Calibri" w:cstheme="minorHAnsi"/>
        </w:rPr>
      </w:pPr>
      <w:r w:rsidRPr="0063325C">
        <w:rPr>
          <w:rFonts w:eastAsia="Calibri" w:cstheme="minorHAnsi"/>
        </w:rPr>
        <w:t xml:space="preserve">Quand la cote des inondations maximales de la mare de Mahmouda atteint le niveau IGN 192 -193 le niveau de l’eau de la dépression d’Amzingui (182 IGN) est à 7mètres. </w:t>
      </w:r>
    </w:p>
    <w:p w14:paraId="26EAECC8" w14:textId="77777777" w:rsidR="0063325C" w:rsidRPr="0063325C" w:rsidRDefault="0063325C" w:rsidP="0063325C">
      <w:pPr>
        <w:rPr>
          <w:rFonts w:eastAsia="Calibri" w:cstheme="minorHAnsi"/>
        </w:rPr>
      </w:pPr>
      <w:r w:rsidRPr="0063325C">
        <w:rPr>
          <w:rFonts w:eastAsia="Calibri" w:cstheme="minorHAnsi"/>
        </w:rPr>
        <w:t>La zone inondable couvre une superficie de 16 200 ha et se trouve à 20 km à l’Ouest de Néma.</w:t>
      </w:r>
    </w:p>
    <w:p w14:paraId="1D8A7506" w14:textId="6580015E" w:rsidR="0063325C" w:rsidRPr="0063325C" w:rsidRDefault="0063325C" w:rsidP="0063325C">
      <w:pPr>
        <w:rPr>
          <w:rFonts w:eastAsia="Calibri" w:cstheme="minorHAnsi"/>
          <w:b/>
          <w:i/>
        </w:rPr>
      </w:pPr>
      <w:r w:rsidRPr="0063325C">
        <w:rPr>
          <w:rFonts w:eastAsia="Calibri" w:cstheme="minorHAnsi"/>
          <w:b/>
          <w:i/>
          <w:noProof/>
        </w:rPr>
        <w:drawing>
          <wp:inline distT="0" distB="0" distL="0" distR="0" wp14:anchorId="655B5692" wp14:editId="7648E4D7">
            <wp:extent cx="5448300" cy="2724150"/>
            <wp:effectExtent l="38100" t="38100" r="38100" b="38100"/>
            <wp:docPr id="1341981572"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448300" cy="2724150"/>
                    </a:xfrm>
                    <a:prstGeom prst="rect">
                      <a:avLst/>
                    </a:prstGeom>
                    <a:noFill/>
                    <a:ln w="28575" cmpd="sng">
                      <a:solidFill>
                        <a:srgbClr val="000000"/>
                      </a:solidFill>
                      <a:miter lim="800000"/>
                      <a:headEnd/>
                      <a:tailEnd/>
                    </a:ln>
                    <a:effectLst/>
                  </pic:spPr>
                </pic:pic>
              </a:graphicData>
            </a:graphic>
          </wp:inline>
        </w:drawing>
      </w:r>
    </w:p>
    <w:p w14:paraId="63B81BC7" w14:textId="77777777" w:rsidR="0063325C" w:rsidRPr="0063325C" w:rsidRDefault="0063325C" w:rsidP="0063325C">
      <w:pPr>
        <w:rPr>
          <w:rFonts w:eastAsia="Calibri" w:cstheme="minorHAnsi"/>
        </w:rPr>
      </w:pPr>
      <w:r w:rsidRPr="0063325C">
        <w:rPr>
          <w:rFonts w:eastAsia="Calibri" w:cstheme="minorHAnsi"/>
        </w:rPr>
        <w:t xml:space="preserve">Figure </w:t>
      </w:r>
      <w:r w:rsidRPr="0063325C">
        <w:rPr>
          <w:rFonts w:eastAsia="Calibri" w:cstheme="minorHAnsi"/>
        </w:rPr>
        <w:fldChar w:fldCharType="begin"/>
      </w:r>
      <w:r w:rsidRPr="0063325C">
        <w:rPr>
          <w:rFonts w:eastAsia="Calibri" w:cstheme="minorHAnsi"/>
        </w:rPr>
        <w:instrText xml:space="preserve"> SEQ Figure \* ARABIC </w:instrText>
      </w:r>
      <w:r w:rsidRPr="0063325C">
        <w:rPr>
          <w:rFonts w:eastAsia="Calibri" w:cstheme="minorHAnsi"/>
        </w:rPr>
        <w:fldChar w:fldCharType="separate"/>
      </w:r>
      <w:r w:rsidRPr="0063325C">
        <w:rPr>
          <w:rFonts w:eastAsia="Calibri" w:cstheme="minorHAnsi"/>
        </w:rPr>
        <w:t>3</w:t>
      </w:r>
      <w:r w:rsidRPr="0063325C">
        <w:rPr>
          <w:rFonts w:eastAsia="Calibri" w:cstheme="minorHAnsi"/>
        </w:rPr>
        <w:fldChar w:fldCharType="end"/>
      </w:r>
      <w:r w:rsidRPr="0063325C">
        <w:rPr>
          <w:rFonts w:eastAsia="Calibri" w:cstheme="minorHAnsi"/>
        </w:rPr>
        <w:t> : Evolution des cumuls pluviométriques annuels au niveau de Néma sur la période 2000 à 2019</w:t>
      </w:r>
    </w:p>
    <w:p w14:paraId="290E8EC4" w14:textId="77777777" w:rsidR="0063325C" w:rsidRPr="0063325C" w:rsidRDefault="0063325C" w:rsidP="0063325C">
      <w:pPr>
        <w:rPr>
          <w:rFonts w:eastAsia="Calibri" w:cstheme="minorHAnsi"/>
        </w:rPr>
      </w:pPr>
      <w:r w:rsidRPr="0063325C">
        <w:rPr>
          <w:rFonts w:eastAsia="Calibri" w:cstheme="minorHAnsi"/>
        </w:rPr>
        <w:t>A Néma, les moyennes mensuelles les élevées sont observées en juin, mai et avril, les températures de ces mois sur la piéride 2000 – 2019 sont respectivement 42.5 °C, 41 °C et 40.3 °C pour les maximas et 30 °C, 30°C et 28 °C pour les minimas. Par contre les plus faibles sont observées en janvier et décembre (figure ci-dessous).</w:t>
      </w:r>
    </w:p>
    <w:p w14:paraId="2E87B724" w14:textId="77777777" w:rsidR="0063325C" w:rsidRPr="0063325C" w:rsidRDefault="0063325C" w:rsidP="0063325C">
      <w:pPr>
        <w:rPr>
          <w:rFonts w:eastAsia="Calibri" w:cstheme="minorHAnsi"/>
        </w:rPr>
      </w:pPr>
    </w:p>
    <w:p w14:paraId="2789B3ED" w14:textId="1A525DD2" w:rsidR="0063325C" w:rsidRPr="0063325C" w:rsidRDefault="0063325C" w:rsidP="0063325C">
      <w:pPr>
        <w:rPr>
          <w:rFonts w:eastAsia="Calibri" w:cstheme="minorHAnsi"/>
        </w:rPr>
      </w:pPr>
      <w:r w:rsidRPr="0063325C">
        <w:rPr>
          <w:rFonts w:eastAsia="Calibri" w:cstheme="minorHAnsi"/>
          <w:noProof/>
        </w:rPr>
        <w:drawing>
          <wp:anchor distT="0" distB="0" distL="114300" distR="114300" simplePos="0" relativeHeight="251721728" behindDoc="0" locked="0" layoutInCell="1" allowOverlap="1" wp14:anchorId="451BCD7E" wp14:editId="439A87A3">
            <wp:simplePos x="0" y="0"/>
            <wp:positionH relativeFrom="column">
              <wp:align>left</wp:align>
            </wp:positionH>
            <wp:positionV relativeFrom="paragraph">
              <wp:align>top</wp:align>
            </wp:positionV>
            <wp:extent cx="5478145" cy="2755265"/>
            <wp:effectExtent l="38100" t="38100" r="46355" b="45085"/>
            <wp:wrapSquare wrapText="bothSides"/>
            <wp:docPr id="982811615"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478145" cy="275526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63325C">
        <w:rPr>
          <w:rFonts w:eastAsia="Calibri" w:cstheme="minorHAnsi"/>
        </w:rPr>
        <w:t xml:space="preserve">Figure </w:t>
      </w:r>
      <w:r w:rsidRPr="0063325C">
        <w:rPr>
          <w:rFonts w:eastAsia="Calibri" w:cstheme="minorHAnsi"/>
        </w:rPr>
        <w:fldChar w:fldCharType="begin"/>
      </w:r>
      <w:r w:rsidRPr="0063325C">
        <w:rPr>
          <w:rFonts w:eastAsia="Calibri" w:cstheme="minorHAnsi"/>
        </w:rPr>
        <w:instrText xml:space="preserve"> SEQ Figure \* ARABIC </w:instrText>
      </w:r>
      <w:r w:rsidRPr="0063325C">
        <w:rPr>
          <w:rFonts w:eastAsia="Calibri" w:cstheme="minorHAnsi"/>
        </w:rPr>
        <w:fldChar w:fldCharType="separate"/>
      </w:r>
      <w:r w:rsidRPr="0063325C">
        <w:rPr>
          <w:rFonts w:eastAsia="Calibri" w:cstheme="minorHAnsi"/>
        </w:rPr>
        <w:t>4</w:t>
      </w:r>
      <w:r w:rsidRPr="0063325C">
        <w:rPr>
          <w:rFonts w:eastAsia="Calibri" w:cstheme="minorHAnsi"/>
        </w:rPr>
        <w:fldChar w:fldCharType="end"/>
      </w:r>
      <w:r w:rsidRPr="0063325C">
        <w:rPr>
          <w:rFonts w:eastAsia="Calibri" w:cstheme="minorHAnsi"/>
        </w:rPr>
        <w:t> : Evolution des températures mensuelles minimas et maximas au niveau de Néma sur la période 2000 à 2019.</w:t>
      </w:r>
    </w:p>
    <w:p w14:paraId="68C84863" w14:textId="77777777" w:rsidR="0063325C" w:rsidRPr="0063325C" w:rsidRDefault="0063325C" w:rsidP="0063325C">
      <w:pPr>
        <w:rPr>
          <w:rFonts w:eastAsia="Calibri" w:cstheme="minorHAnsi"/>
          <w:b/>
        </w:rPr>
      </w:pPr>
    </w:p>
    <w:p w14:paraId="668DEE21" w14:textId="77777777" w:rsidR="0063325C" w:rsidRPr="0063325C" w:rsidRDefault="0063325C" w:rsidP="0063325C">
      <w:pPr>
        <w:rPr>
          <w:rFonts w:eastAsia="Calibri" w:cstheme="minorHAnsi"/>
        </w:rPr>
      </w:pPr>
      <w:r w:rsidRPr="0063325C">
        <w:rPr>
          <w:rFonts w:eastAsia="Calibri" w:cstheme="minorHAnsi"/>
          <w:b/>
        </w:rPr>
        <w:t>La Mare de Bougari</w:t>
      </w:r>
      <w:r w:rsidRPr="0063325C">
        <w:rPr>
          <w:rFonts w:eastAsia="Calibri" w:cstheme="minorHAnsi"/>
        </w:rPr>
        <w:t xml:space="preserve"> a une pluviométrie qui évolue du type sahélien entre 2013 et 2014(150mm à 250mm) </w:t>
      </w:r>
      <w:proofErr w:type="gramStart"/>
      <w:r w:rsidRPr="0063325C">
        <w:rPr>
          <w:rFonts w:eastAsia="Calibri" w:cstheme="minorHAnsi"/>
        </w:rPr>
        <w:t>au type saharienne</w:t>
      </w:r>
      <w:proofErr w:type="gramEnd"/>
      <w:r w:rsidRPr="0063325C">
        <w:rPr>
          <w:rFonts w:eastAsia="Calibri" w:cstheme="minorHAnsi"/>
        </w:rPr>
        <w:t xml:space="preserve"> avec une pluviométrie inférieure à 100mm entre 2015 et 2019</w:t>
      </w:r>
    </w:p>
    <w:p w14:paraId="6DF564F7" w14:textId="57EA2B3B" w:rsidR="0063325C" w:rsidRPr="0063325C" w:rsidRDefault="0063325C" w:rsidP="0063325C">
      <w:pPr>
        <w:rPr>
          <w:rFonts w:eastAsia="Calibri" w:cstheme="minorHAnsi"/>
        </w:rPr>
      </w:pPr>
      <w:r w:rsidRPr="0063325C">
        <w:rPr>
          <w:rFonts w:eastAsia="Calibri" w:cstheme="minorHAnsi"/>
          <w:noProof/>
        </w:rPr>
        <w:drawing>
          <wp:inline distT="0" distB="0" distL="0" distR="0" wp14:anchorId="7C150B02" wp14:editId="04FF79A4">
            <wp:extent cx="4085590" cy="2364740"/>
            <wp:effectExtent l="0" t="0" r="10160" b="16510"/>
            <wp:docPr id="1781986849" name="Graphique 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p w14:paraId="7A2F5708" w14:textId="77777777" w:rsidR="0063325C" w:rsidRPr="0063325C" w:rsidRDefault="0063325C" w:rsidP="0063325C">
      <w:pPr>
        <w:rPr>
          <w:rFonts w:eastAsia="Calibri" w:cstheme="minorHAnsi"/>
        </w:rPr>
      </w:pPr>
      <w:r w:rsidRPr="0063325C">
        <w:rPr>
          <w:rFonts w:eastAsia="Calibri" w:cstheme="minorHAnsi"/>
        </w:rPr>
        <w:t xml:space="preserve">Evolution des cumuls pluviométriques annuels à Fam Lekhdheiratt de 2013 à 2019 </w:t>
      </w:r>
    </w:p>
    <w:p w14:paraId="052ABF20" w14:textId="258BB613" w:rsidR="0063325C" w:rsidRPr="0063325C" w:rsidRDefault="0063325C" w:rsidP="006D7514">
      <w:pPr>
        <w:jc w:val="both"/>
        <w:rPr>
          <w:rFonts w:eastAsia="Calibri" w:cstheme="minorHAnsi"/>
        </w:rPr>
      </w:pPr>
      <w:r w:rsidRPr="0063325C">
        <w:rPr>
          <w:rFonts w:eastAsia="Calibri" w:cstheme="minorHAnsi"/>
        </w:rPr>
        <w:t xml:space="preserve">Les cumuls pluviométriques annuels enregistrés au cours de la période 2000 – 2019, illustre une tendance générale à la baisse figure ci-dessous. Sur cette figure, on note deux sous-périodes différentes, 2000 – 2010 ou on a enregistré une série humide et une période de 2011 – </w:t>
      </w:r>
      <w:r w:rsidR="003C4517" w:rsidRPr="0063325C">
        <w:rPr>
          <w:rFonts w:eastAsia="Calibri" w:cstheme="minorHAnsi"/>
        </w:rPr>
        <w:t>2019 relativement</w:t>
      </w:r>
      <w:r w:rsidRPr="0063325C">
        <w:rPr>
          <w:rFonts w:eastAsia="Calibri" w:cstheme="minorHAnsi"/>
        </w:rPr>
        <w:t xml:space="preserve"> déficitaire à la précédente.  A la station de kiffa, on observe aussi une faible variabilité interannuelle de la pluviométrie.</w:t>
      </w:r>
    </w:p>
    <w:p w14:paraId="53F2F3C8" w14:textId="00A3D408" w:rsidR="0063325C" w:rsidRPr="0063325C" w:rsidRDefault="0063325C" w:rsidP="0063325C">
      <w:pPr>
        <w:rPr>
          <w:rFonts w:eastAsia="Calibri" w:cstheme="minorHAnsi"/>
        </w:rPr>
      </w:pPr>
      <w:r w:rsidRPr="0063325C">
        <w:rPr>
          <w:rFonts w:eastAsia="Calibri" w:cstheme="minorHAnsi"/>
          <w:noProof/>
        </w:rPr>
        <w:drawing>
          <wp:inline distT="0" distB="0" distL="0" distR="0" wp14:anchorId="4E54421D" wp14:editId="53442DD0">
            <wp:extent cx="5957184" cy="2501900"/>
            <wp:effectExtent l="38100" t="38100" r="43815" b="31750"/>
            <wp:docPr id="1823397844"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979261" cy="2511172"/>
                    </a:xfrm>
                    <a:prstGeom prst="rect">
                      <a:avLst/>
                    </a:prstGeom>
                    <a:noFill/>
                    <a:ln w="28575" cmpd="sng">
                      <a:solidFill>
                        <a:srgbClr val="000000"/>
                      </a:solidFill>
                      <a:miter lim="800000"/>
                      <a:headEnd/>
                      <a:tailEnd/>
                    </a:ln>
                    <a:effectLst/>
                  </pic:spPr>
                </pic:pic>
              </a:graphicData>
            </a:graphic>
          </wp:inline>
        </w:drawing>
      </w:r>
    </w:p>
    <w:p w14:paraId="2A7F3299" w14:textId="77777777" w:rsidR="0063325C" w:rsidRPr="0063325C" w:rsidRDefault="0063325C" w:rsidP="006D7514">
      <w:pPr>
        <w:ind w:right="-142"/>
        <w:rPr>
          <w:rFonts w:eastAsia="Calibri" w:cstheme="minorHAnsi"/>
        </w:rPr>
      </w:pPr>
      <w:r w:rsidRPr="0063325C">
        <w:rPr>
          <w:rFonts w:eastAsia="Calibri" w:cstheme="minorHAnsi"/>
        </w:rPr>
        <w:t xml:space="preserve">Figure </w:t>
      </w:r>
      <w:r w:rsidRPr="0063325C">
        <w:rPr>
          <w:rFonts w:eastAsia="Calibri" w:cstheme="minorHAnsi"/>
        </w:rPr>
        <w:fldChar w:fldCharType="begin"/>
      </w:r>
      <w:r w:rsidRPr="0063325C">
        <w:rPr>
          <w:rFonts w:eastAsia="Calibri" w:cstheme="minorHAnsi"/>
        </w:rPr>
        <w:instrText xml:space="preserve"> SEQ Figure \* ARABIC </w:instrText>
      </w:r>
      <w:r w:rsidRPr="0063325C">
        <w:rPr>
          <w:rFonts w:eastAsia="Calibri" w:cstheme="minorHAnsi"/>
        </w:rPr>
        <w:fldChar w:fldCharType="separate"/>
      </w:r>
      <w:r w:rsidRPr="0063325C">
        <w:rPr>
          <w:rFonts w:eastAsia="Calibri" w:cstheme="minorHAnsi"/>
        </w:rPr>
        <w:t>7</w:t>
      </w:r>
      <w:r w:rsidRPr="0063325C">
        <w:rPr>
          <w:rFonts w:eastAsia="Calibri" w:cstheme="minorHAnsi"/>
        </w:rPr>
        <w:fldChar w:fldCharType="end"/>
      </w:r>
      <w:r w:rsidRPr="0063325C">
        <w:rPr>
          <w:rFonts w:eastAsia="Calibri" w:cstheme="minorHAnsi"/>
        </w:rPr>
        <w:t> ; Evolution des cumuls pluviométriques annuels au niveau de Kiffa sur la période 2000 à 2019.</w:t>
      </w:r>
    </w:p>
    <w:p w14:paraId="6CC4E37B" w14:textId="77777777" w:rsidR="0063325C" w:rsidRPr="0063325C" w:rsidRDefault="0063325C" w:rsidP="0063325C">
      <w:pPr>
        <w:rPr>
          <w:rFonts w:eastAsia="Calibri" w:cstheme="minorHAnsi"/>
        </w:rPr>
      </w:pPr>
    </w:p>
    <w:p w14:paraId="5857E5F6" w14:textId="77777777" w:rsidR="0063325C" w:rsidRPr="0063325C" w:rsidRDefault="0063325C" w:rsidP="006D7514">
      <w:pPr>
        <w:jc w:val="both"/>
        <w:rPr>
          <w:rFonts w:eastAsia="Calibri" w:cstheme="minorHAnsi"/>
        </w:rPr>
      </w:pPr>
      <w:r w:rsidRPr="0063325C">
        <w:rPr>
          <w:rFonts w:eastAsia="Calibri" w:cstheme="minorHAnsi"/>
        </w:rPr>
        <w:t>Au niveau de la station de Kiffa, les températures les plus faibles sont enregistrés en janvier, février et décembre. Tandis que les plus élevées sont enregistrées en mai et juin et pendant ces deux mois (mai et juin) les moyennes mensuelles des maximas et des minimas peuvent atteindre respectivement jusqu’à les 45 °C et 25 °C.</w:t>
      </w:r>
    </w:p>
    <w:p w14:paraId="3F1DE702" w14:textId="73F29F17" w:rsidR="0063325C" w:rsidRPr="0063325C" w:rsidRDefault="0063325C" w:rsidP="0063325C">
      <w:pPr>
        <w:rPr>
          <w:rFonts w:eastAsia="Calibri" w:cstheme="minorHAnsi"/>
        </w:rPr>
      </w:pPr>
      <w:r w:rsidRPr="0063325C">
        <w:rPr>
          <w:rFonts w:eastAsia="Calibri" w:cstheme="minorHAnsi"/>
          <w:b/>
          <w:noProof/>
        </w:rPr>
        <w:drawing>
          <wp:inline distT="0" distB="0" distL="0" distR="0" wp14:anchorId="11792C14" wp14:editId="7718228E">
            <wp:extent cx="5695950" cy="2686050"/>
            <wp:effectExtent l="38100" t="38100" r="38100" b="38100"/>
            <wp:docPr id="1149110543"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695950" cy="2686050"/>
                    </a:xfrm>
                    <a:prstGeom prst="rect">
                      <a:avLst/>
                    </a:prstGeom>
                    <a:noFill/>
                    <a:ln w="28575" cmpd="sng">
                      <a:solidFill>
                        <a:srgbClr val="000000"/>
                      </a:solidFill>
                      <a:miter lim="800000"/>
                      <a:headEnd/>
                      <a:tailEnd/>
                    </a:ln>
                    <a:effectLst/>
                  </pic:spPr>
                </pic:pic>
              </a:graphicData>
            </a:graphic>
          </wp:inline>
        </w:drawing>
      </w:r>
    </w:p>
    <w:p w14:paraId="79340CFE" w14:textId="77777777" w:rsidR="0063325C" w:rsidRPr="0063325C" w:rsidRDefault="0063325C" w:rsidP="0063325C">
      <w:pPr>
        <w:rPr>
          <w:rFonts w:eastAsia="Calibri" w:cstheme="minorHAnsi"/>
        </w:rPr>
      </w:pPr>
      <w:r w:rsidRPr="0063325C">
        <w:rPr>
          <w:rFonts w:eastAsia="Calibri" w:cstheme="minorHAnsi"/>
        </w:rPr>
        <w:t xml:space="preserve">Figure </w:t>
      </w:r>
      <w:r w:rsidRPr="0063325C">
        <w:rPr>
          <w:rFonts w:eastAsia="Calibri" w:cstheme="minorHAnsi"/>
        </w:rPr>
        <w:fldChar w:fldCharType="begin"/>
      </w:r>
      <w:r w:rsidRPr="0063325C">
        <w:rPr>
          <w:rFonts w:eastAsia="Calibri" w:cstheme="minorHAnsi"/>
        </w:rPr>
        <w:instrText xml:space="preserve"> SEQ Figure \* ARABIC </w:instrText>
      </w:r>
      <w:r w:rsidRPr="0063325C">
        <w:rPr>
          <w:rFonts w:eastAsia="Calibri" w:cstheme="minorHAnsi"/>
        </w:rPr>
        <w:fldChar w:fldCharType="separate"/>
      </w:r>
      <w:r w:rsidRPr="0063325C">
        <w:rPr>
          <w:rFonts w:eastAsia="Calibri" w:cstheme="minorHAnsi"/>
        </w:rPr>
        <w:t>8</w:t>
      </w:r>
      <w:r w:rsidRPr="0063325C">
        <w:rPr>
          <w:rFonts w:eastAsia="Calibri" w:cstheme="minorHAnsi"/>
        </w:rPr>
        <w:fldChar w:fldCharType="end"/>
      </w:r>
      <w:r w:rsidRPr="0063325C">
        <w:rPr>
          <w:rFonts w:eastAsia="Calibri" w:cstheme="minorHAnsi"/>
        </w:rPr>
        <w:t> : Evolution des températures mensuelles minimas et maximas au niveau de Kiffa sur la période 2000 à 2019.</w:t>
      </w:r>
    </w:p>
    <w:p w14:paraId="5CE3613C" w14:textId="77777777" w:rsidR="0063325C" w:rsidRPr="0063325C" w:rsidRDefault="0063325C" w:rsidP="0063325C">
      <w:pPr>
        <w:rPr>
          <w:rFonts w:eastAsia="Calibri" w:cstheme="minorHAnsi"/>
          <w:b/>
        </w:rPr>
      </w:pPr>
    </w:p>
    <w:p w14:paraId="1A162978" w14:textId="29BE4FB8" w:rsidR="0063325C" w:rsidRPr="0063325C" w:rsidRDefault="0063325C" w:rsidP="006D7514">
      <w:pPr>
        <w:jc w:val="both"/>
        <w:rPr>
          <w:rFonts w:eastAsia="Calibri" w:cstheme="minorHAnsi"/>
        </w:rPr>
      </w:pPr>
      <w:r w:rsidRPr="0063325C">
        <w:rPr>
          <w:rFonts w:eastAsia="Calibri" w:cstheme="minorHAnsi"/>
          <w:b/>
        </w:rPr>
        <w:t>La Wilaya du Tagant</w:t>
      </w:r>
      <w:r w:rsidRPr="0063325C">
        <w:rPr>
          <w:rFonts w:eastAsia="Calibri" w:cstheme="minorHAnsi"/>
        </w:rPr>
        <w:t xml:space="preserve"> est située entre les 17 et 18</w:t>
      </w:r>
      <w:r w:rsidRPr="0063325C">
        <w:rPr>
          <w:rFonts w:eastAsia="Calibri" w:cstheme="minorHAnsi"/>
          <w:vertAlign w:val="superscript"/>
        </w:rPr>
        <w:t>ème</w:t>
      </w:r>
      <w:r w:rsidRPr="0063325C">
        <w:rPr>
          <w:rFonts w:eastAsia="Calibri" w:cstheme="minorHAnsi"/>
        </w:rPr>
        <w:t xml:space="preserve"> parallèles Nord et les 11 et 13è méridiens Sud, la Wilaya du Tagant est limitée au Nord par l’ADRAR, à l’Est et au Sud-Est respectivement par le Hodh</w:t>
      </w:r>
      <w:r w:rsidR="003C4517">
        <w:rPr>
          <w:rFonts w:eastAsia="Calibri" w:cstheme="minorHAnsi"/>
        </w:rPr>
        <w:t xml:space="preserve"> </w:t>
      </w:r>
      <w:r w:rsidR="003C4517" w:rsidRPr="0063325C">
        <w:rPr>
          <w:rFonts w:eastAsia="Calibri" w:cstheme="minorHAnsi"/>
        </w:rPr>
        <w:t>Chargui et</w:t>
      </w:r>
      <w:r w:rsidRPr="0063325C">
        <w:rPr>
          <w:rFonts w:eastAsia="Calibri" w:cstheme="minorHAnsi"/>
        </w:rPr>
        <w:t xml:space="preserve"> le Hodh El Gharbi, au Sud par l’Assaba, elle couvre une superficie de 98 340 km</w:t>
      </w:r>
      <w:r w:rsidRPr="0063325C">
        <w:rPr>
          <w:rFonts w:eastAsia="Calibri" w:cstheme="minorHAnsi"/>
          <w:vertAlign w:val="superscript"/>
        </w:rPr>
        <w:t xml:space="preserve">2 </w:t>
      </w:r>
      <w:r w:rsidRPr="0063325C">
        <w:rPr>
          <w:rFonts w:eastAsia="Calibri" w:cstheme="minorHAnsi"/>
        </w:rPr>
        <w:t>soit 9,5% la superficie du Pays.</w:t>
      </w:r>
    </w:p>
    <w:p w14:paraId="5F419EEF" w14:textId="77777777" w:rsidR="0063325C" w:rsidRPr="0063325C" w:rsidRDefault="0063325C" w:rsidP="0063325C">
      <w:pPr>
        <w:rPr>
          <w:rFonts w:eastAsia="Calibri" w:cstheme="minorHAnsi"/>
        </w:rPr>
      </w:pPr>
    </w:p>
    <w:p w14:paraId="737B1575" w14:textId="30CB4C2E" w:rsidR="0063325C" w:rsidRPr="0063325C" w:rsidRDefault="0063325C" w:rsidP="0063325C">
      <w:pPr>
        <w:rPr>
          <w:rFonts w:eastAsia="Calibri" w:cstheme="minorHAnsi"/>
        </w:rPr>
      </w:pPr>
      <w:r w:rsidRPr="0063325C">
        <w:rPr>
          <w:rFonts w:eastAsia="Calibri" w:cstheme="minorHAnsi"/>
        </w:rPr>
        <w:t xml:space="preserve">La Wilaya comprend trois Mouaghata et dix communes dont la commune de Tamourt Naaj qui relève de la Mouaghata de </w:t>
      </w:r>
      <w:r w:rsidR="003C4517" w:rsidRPr="0063325C">
        <w:rPr>
          <w:rFonts w:eastAsia="Calibri" w:cstheme="minorHAnsi"/>
        </w:rPr>
        <w:t>Moudjéria. C’est</w:t>
      </w:r>
      <w:r w:rsidRPr="0063325C">
        <w:rPr>
          <w:rFonts w:eastAsia="Calibri" w:cstheme="minorHAnsi"/>
          <w:bCs/>
        </w:rPr>
        <w:t xml:space="preserve"> une grande dépression située à la bordure ouest du plateau du Tagant qui comprend une zone d’écoulement formant une série de tamourts, et un lac (lac de Guebou). </w:t>
      </w:r>
      <w:r w:rsidRPr="0063325C">
        <w:rPr>
          <w:rFonts w:eastAsia="Calibri" w:cstheme="minorHAnsi"/>
        </w:rPr>
        <w:t>Tamourt Naaj est entièrement située en climat subdésertique. Les précipitations annuelles moyennes sont de l’ordre de 200 mm. Elle est caractérisée par une pluviométrie orageuse, irrégulière et déficitaire.</w:t>
      </w:r>
    </w:p>
    <w:p w14:paraId="53F31327" w14:textId="77777777" w:rsidR="0063325C" w:rsidRPr="0063325C" w:rsidRDefault="0063325C" w:rsidP="0063325C">
      <w:pPr>
        <w:rPr>
          <w:rFonts w:eastAsia="Calibri" w:cstheme="minorHAnsi"/>
        </w:rPr>
      </w:pPr>
      <w:r w:rsidRPr="0063325C">
        <w:rPr>
          <w:rFonts w:eastAsia="Calibri" w:cstheme="minorHAnsi"/>
        </w:rPr>
        <w:t>Du point de vue climatique : Tamourt En-Naaj est située dans la zone saharienne caractérisée par de faibles précipitations en moyenne 84,6 mm par an.</w:t>
      </w:r>
    </w:p>
    <w:p w14:paraId="2F329D81" w14:textId="77777777" w:rsidR="0063325C" w:rsidRPr="0063325C" w:rsidRDefault="0063325C" w:rsidP="006D7514">
      <w:pPr>
        <w:jc w:val="both"/>
        <w:rPr>
          <w:rFonts w:eastAsia="Calibri" w:cstheme="minorHAnsi"/>
        </w:rPr>
      </w:pPr>
      <w:r w:rsidRPr="0063325C">
        <w:rPr>
          <w:rFonts w:eastAsia="Calibri" w:cstheme="minorHAnsi"/>
        </w:rPr>
        <w:t>L’analyse de la courbe des précipitations à la station pluviométrique de Nbeika, indique que le climat de Tamourt qui était du type sahélien jusqu’en 1970 avec une moyenne pluviométrique variant de 200 à 400 mm a évolué au type saharo sahélien en 1980 avec une moyenne annuelle de pluie variant entre 100 -200 mm    pour aboutir au type saharien entre 1980 à ce jour avec une moyenne de précipitation   inférieur à 100 mm.</w:t>
      </w:r>
    </w:p>
    <w:p w14:paraId="43D12BA4" w14:textId="77777777" w:rsidR="0063325C" w:rsidRPr="0063325C" w:rsidRDefault="0063325C" w:rsidP="0063325C">
      <w:pPr>
        <w:rPr>
          <w:rFonts w:eastAsia="Calibri" w:cstheme="minorHAnsi"/>
        </w:rPr>
      </w:pPr>
      <w:r w:rsidRPr="0063325C">
        <w:rPr>
          <w:rFonts w:eastAsia="Calibri" w:cstheme="minorHAnsi"/>
        </w:rPr>
        <w:t xml:space="preserve">La Tamourt Naaj se trouve dans la zone saharienne ayant des précipitations annuelles s’approchant de 84,6m en moyenne </w:t>
      </w:r>
    </w:p>
    <w:p w14:paraId="4A83FAE2" w14:textId="77777777" w:rsidR="0063325C" w:rsidRPr="0063325C" w:rsidRDefault="0063325C" w:rsidP="0063325C">
      <w:pPr>
        <w:rPr>
          <w:rFonts w:eastAsia="Calibri" w:cstheme="minorHAnsi"/>
        </w:rPr>
      </w:pPr>
    </w:p>
    <w:p w14:paraId="443C94CE" w14:textId="2B4E4C0C" w:rsidR="0063325C" w:rsidRPr="0063325C" w:rsidRDefault="0063325C" w:rsidP="0063325C">
      <w:pPr>
        <w:rPr>
          <w:rFonts w:eastAsia="Calibri" w:cstheme="minorHAnsi"/>
        </w:rPr>
      </w:pPr>
      <w:r w:rsidRPr="0063325C">
        <w:rPr>
          <w:rFonts w:eastAsia="Calibri" w:cstheme="minorHAnsi"/>
          <w:noProof/>
        </w:rPr>
        <w:drawing>
          <wp:inline distT="0" distB="0" distL="0" distR="0" wp14:anchorId="709CB110" wp14:editId="1C72A0DC">
            <wp:extent cx="5963479" cy="2449830"/>
            <wp:effectExtent l="0" t="0" r="18415" b="7620"/>
            <wp:docPr id="987306010" name="Graphique 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p w14:paraId="63258178" w14:textId="02363E88" w:rsidR="0063325C" w:rsidRPr="0063325C" w:rsidRDefault="0063325C" w:rsidP="006D7514">
      <w:pPr>
        <w:ind w:right="-709"/>
        <w:rPr>
          <w:rFonts w:eastAsia="Calibri" w:cstheme="minorHAnsi"/>
        </w:rPr>
      </w:pPr>
      <w:r w:rsidRPr="0063325C">
        <w:rPr>
          <w:rFonts w:eastAsia="Calibri" w:cstheme="minorHAnsi"/>
        </w:rPr>
        <w:t>Figure 9 : des cumuls pluviométriques annuels au poste pluviométrique de Nbeika de 1980 à 1987</w:t>
      </w:r>
    </w:p>
    <w:p w14:paraId="30E4C23E" w14:textId="77777777" w:rsidR="0063325C" w:rsidRPr="0063325C" w:rsidRDefault="0063325C" w:rsidP="0063325C">
      <w:pPr>
        <w:rPr>
          <w:rFonts w:eastAsia="Calibri" w:cstheme="minorHAnsi"/>
        </w:rPr>
      </w:pPr>
    </w:p>
    <w:p w14:paraId="52FCA2B5" w14:textId="44B51386" w:rsidR="0063325C" w:rsidRPr="0063325C" w:rsidRDefault="0063325C" w:rsidP="006D7514">
      <w:pPr>
        <w:jc w:val="both"/>
        <w:rPr>
          <w:rFonts w:eastAsia="Calibri" w:cstheme="minorHAnsi"/>
        </w:rPr>
      </w:pPr>
      <w:r w:rsidRPr="0063325C">
        <w:rPr>
          <w:rFonts w:eastAsia="Calibri" w:cstheme="minorHAnsi"/>
        </w:rPr>
        <w:t xml:space="preserve">Au niveau de Tidjikja, on note une tendance générale à la baisse de la pluviométrie sur la période 2000 – 2019 (figure ci-dessous). Cette évolution montre que pendant les 10 dernières années, il y a eu une baisse au niveau de la zone </w:t>
      </w:r>
      <w:r w:rsidR="006D7514" w:rsidRPr="0063325C">
        <w:rPr>
          <w:rFonts w:eastAsia="Calibri" w:cstheme="minorHAnsi"/>
        </w:rPr>
        <w:t>en termes de</w:t>
      </w:r>
      <w:r w:rsidRPr="0063325C">
        <w:rPr>
          <w:rFonts w:eastAsia="Calibri" w:cstheme="minorHAnsi"/>
        </w:rPr>
        <w:t xml:space="preserve"> quantité de pluie enregistrée exceptée l’année 2016 ou on a enregistré un pic. Pendant Ces 10 dernières années, il très difficile d’avoir un cumul annuel supérieur à 120 mm. Ceci a des impacts directs sur les activités agro-sylvo-pastorales qui dépendent directement de la pluviométrie.</w:t>
      </w:r>
    </w:p>
    <w:p w14:paraId="40FADFF5" w14:textId="074B91BA" w:rsidR="0063325C" w:rsidRPr="0063325C" w:rsidRDefault="0063325C" w:rsidP="0063325C">
      <w:pPr>
        <w:rPr>
          <w:rFonts w:eastAsia="Calibri" w:cstheme="minorHAnsi"/>
        </w:rPr>
      </w:pPr>
      <w:r w:rsidRPr="0063325C">
        <w:rPr>
          <w:rFonts w:eastAsia="Calibri" w:cstheme="minorHAnsi"/>
          <w:noProof/>
        </w:rPr>
        <w:drawing>
          <wp:inline distT="0" distB="0" distL="0" distR="0" wp14:anchorId="46419CB0" wp14:editId="1C1C52B1">
            <wp:extent cx="5599375" cy="2920780"/>
            <wp:effectExtent l="38100" t="38100" r="40005" b="32385"/>
            <wp:docPr id="1438961783"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612223" cy="2927482"/>
                    </a:xfrm>
                    <a:prstGeom prst="rect">
                      <a:avLst/>
                    </a:prstGeom>
                    <a:noFill/>
                    <a:ln w="25400" cmpd="sng">
                      <a:solidFill>
                        <a:srgbClr val="000000"/>
                      </a:solidFill>
                      <a:miter lim="800000"/>
                      <a:headEnd/>
                      <a:tailEnd/>
                    </a:ln>
                    <a:effectLst/>
                  </pic:spPr>
                </pic:pic>
              </a:graphicData>
            </a:graphic>
          </wp:inline>
        </w:drawing>
      </w:r>
    </w:p>
    <w:p w14:paraId="736E8A8D" w14:textId="77777777" w:rsidR="0063325C" w:rsidRPr="0063325C" w:rsidRDefault="0063325C" w:rsidP="00E05D11">
      <w:pPr>
        <w:jc w:val="both"/>
        <w:rPr>
          <w:rFonts w:eastAsia="Calibri" w:cstheme="minorHAnsi"/>
        </w:rPr>
      </w:pPr>
      <w:r w:rsidRPr="0063325C">
        <w:rPr>
          <w:rFonts w:eastAsia="Calibri" w:cstheme="minorHAnsi"/>
        </w:rPr>
        <w:t>Evolution des moyennes mensuelles de l’humidité relative minimale et maximale au niveau de Tidjikja sur la période 2000 à 2019</w:t>
      </w:r>
    </w:p>
    <w:p w14:paraId="36D9CF2D" w14:textId="77777777" w:rsidR="0063325C" w:rsidRPr="0063325C" w:rsidRDefault="0063325C" w:rsidP="00E05D11">
      <w:pPr>
        <w:jc w:val="both"/>
        <w:rPr>
          <w:rFonts w:eastAsia="Calibri" w:cstheme="minorHAnsi"/>
        </w:rPr>
      </w:pPr>
      <w:r w:rsidRPr="0063325C">
        <w:rPr>
          <w:rFonts w:eastAsia="Calibri" w:cstheme="minorHAnsi"/>
        </w:rPr>
        <w:t>La figure ci-dessous représente l’évolution des températures mensuelles (les températures minimales et maximales) au cours de ces deux dernières décennies (2000 – 2019) au niveau de Tidjikja. Elle montre que les températures les plus basses sont enregistrées en janvier, février et décembre tans disque les hautes températures sont enregistrées en mai-juin et juillet.</w:t>
      </w:r>
    </w:p>
    <w:p w14:paraId="5CEDC57E" w14:textId="7BD5462F" w:rsidR="0063325C" w:rsidRPr="0063325C" w:rsidRDefault="0063325C" w:rsidP="0063325C">
      <w:pPr>
        <w:rPr>
          <w:rFonts w:eastAsia="Calibri" w:cstheme="minorHAnsi"/>
        </w:rPr>
      </w:pPr>
      <w:r w:rsidRPr="0063325C">
        <w:rPr>
          <w:rFonts w:eastAsia="Calibri" w:cstheme="minorHAnsi"/>
          <w:noProof/>
        </w:rPr>
        <w:drawing>
          <wp:inline distT="0" distB="0" distL="0" distR="0" wp14:anchorId="5E24D8BD" wp14:editId="31692CFB">
            <wp:extent cx="5702300" cy="2418853"/>
            <wp:effectExtent l="38100" t="38100" r="31750" b="38735"/>
            <wp:docPr id="377092375"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1"/>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706645" cy="2420696"/>
                    </a:xfrm>
                    <a:prstGeom prst="rect">
                      <a:avLst/>
                    </a:prstGeom>
                    <a:noFill/>
                    <a:ln w="25400" cmpd="sng">
                      <a:solidFill>
                        <a:srgbClr val="000000"/>
                      </a:solidFill>
                      <a:miter lim="800000"/>
                      <a:headEnd/>
                      <a:tailEnd/>
                    </a:ln>
                    <a:effectLst/>
                  </pic:spPr>
                </pic:pic>
              </a:graphicData>
            </a:graphic>
          </wp:inline>
        </w:drawing>
      </w:r>
    </w:p>
    <w:p w14:paraId="28BE4BF1" w14:textId="77777777" w:rsidR="0063325C" w:rsidRPr="0063325C" w:rsidRDefault="0063325C" w:rsidP="00E05D11">
      <w:pPr>
        <w:jc w:val="both"/>
        <w:rPr>
          <w:rFonts w:eastAsia="Calibri" w:cstheme="minorHAnsi"/>
        </w:rPr>
      </w:pPr>
      <w:r w:rsidRPr="0063325C">
        <w:rPr>
          <w:rFonts w:eastAsia="Calibri" w:cstheme="minorHAnsi"/>
        </w:rPr>
        <w:t xml:space="preserve"> Evolution des températures mensuelles minimas et maximas au niveau de Tidjikja sur la période 2000 à 2019</w:t>
      </w:r>
    </w:p>
    <w:p w14:paraId="2B77E421" w14:textId="2DED5257" w:rsidR="0063325C" w:rsidRPr="0063325C" w:rsidRDefault="0063325C" w:rsidP="00E05D11">
      <w:pPr>
        <w:numPr>
          <w:ilvl w:val="1"/>
          <w:numId w:val="330"/>
        </w:numPr>
        <w:ind w:left="709" w:hanging="709"/>
        <w:jc w:val="both"/>
        <w:rPr>
          <w:rFonts w:eastAsia="Calibri" w:cstheme="minorHAnsi"/>
          <w:b/>
        </w:rPr>
      </w:pPr>
      <w:r w:rsidRPr="0063325C">
        <w:rPr>
          <w:rFonts w:eastAsia="Calibri" w:cstheme="minorHAnsi"/>
          <w:b/>
        </w:rPr>
        <w:t xml:space="preserve">Caractéristiques hydrographiques des mares situées dans les zones climatiques du Hodh </w:t>
      </w:r>
      <w:r w:rsidR="006D7514" w:rsidRPr="0063325C">
        <w:rPr>
          <w:rFonts w:eastAsia="Calibri" w:cstheme="minorHAnsi"/>
          <w:b/>
        </w:rPr>
        <w:t>Chargui</w:t>
      </w:r>
      <w:r w:rsidRPr="0063325C">
        <w:rPr>
          <w:rFonts w:eastAsia="Calibri" w:cstheme="minorHAnsi"/>
          <w:b/>
        </w:rPr>
        <w:t xml:space="preserve">, de l’Assaba et du </w:t>
      </w:r>
      <w:proofErr w:type="gramStart"/>
      <w:r w:rsidRPr="0063325C">
        <w:rPr>
          <w:rFonts w:eastAsia="Calibri" w:cstheme="minorHAnsi"/>
          <w:b/>
        </w:rPr>
        <w:t xml:space="preserve">Taguant </w:t>
      </w:r>
      <w:r w:rsidR="006D7514">
        <w:rPr>
          <w:rFonts w:eastAsia="Calibri" w:cstheme="minorHAnsi"/>
          <w:b/>
        </w:rPr>
        <w:t>.</w:t>
      </w:r>
      <w:proofErr w:type="gramEnd"/>
    </w:p>
    <w:p w14:paraId="317790D8" w14:textId="39A4734D" w:rsidR="0063325C" w:rsidRPr="0063325C" w:rsidRDefault="0063325C" w:rsidP="00E05D11">
      <w:pPr>
        <w:jc w:val="both"/>
        <w:rPr>
          <w:rFonts w:eastAsia="Calibri" w:cstheme="minorHAnsi"/>
        </w:rPr>
      </w:pPr>
      <w:r w:rsidRPr="0063325C">
        <w:rPr>
          <w:rFonts w:eastAsia="Calibri" w:cstheme="minorHAnsi"/>
        </w:rPr>
        <w:t xml:space="preserve"> Ces facteurs climatiques impactent le milieu et les écosystèmes des zones humides de Tamourt Mahmouda, Tamourt Bougari et Tamourt Naaj</w:t>
      </w:r>
      <w:r w:rsidR="006D7514">
        <w:rPr>
          <w:rFonts w:eastAsia="Calibri" w:cstheme="minorHAnsi"/>
        </w:rPr>
        <w:t>.</w:t>
      </w:r>
    </w:p>
    <w:p w14:paraId="5A7E5230" w14:textId="77777777" w:rsidR="0063325C" w:rsidRPr="0063325C" w:rsidRDefault="0063325C" w:rsidP="0063325C">
      <w:pPr>
        <w:rPr>
          <w:rFonts w:eastAsia="Calibri" w:cstheme="minorHAnsi"/>
          <w:b/>
          <w:vanish/>
        </w:rPr>
      </w:pPr>
    </w:p>
    <w:p w14:paraId="3B23D4FA" w14:textId="77777777" w:rsidR="0063325C" w:rsidRPr="0063325C" w:rsidRDefault="0063325C" w:rsidP="0063325C">
      <w:pPr>
        <w:rPr>
          <w:rFonts w:eastAsia="Calibri" w:cstheme="minorHAnsi"/>
          <w:b/>
          <w:vanish/>
        </w:rPr>
      </w:pPr>
    </w:p>
    <w:p w14:paraId="68AE56FB" w14:textId="77777777" w:rsidR="0063325C" w:rsidRPr="0063325C" w:rsidRDefault="0063325C" w:rsidP="0063325C">
      <w:pPr>
        <w:rPr>
          <w:rFonts w:eastAsia="Calibri" w:cstheme="minorHAnsi"/>
          <w:b/>
        </w:rPr>
      </w:pPr>
      <w:r w:rsidRPr="0063325C">
        <w:rPr>
          <w:rFonts w:eastAsia="Calibri" w:cstheme="minorHAnsi"/>
          <w:b/>
        </w:rPr>
        <w:t>Tamourt Mahmouda</w:t>
      </w:r>
    </w:p>
    <w:p w14:paraId="034BC510" w14:textId="77777777" w:rsidR="0063325C" w:rsidRPr="0063325C" w:rsidRDefault="0063325C" w:rsidP="0063325C">
      <w:pPr>
        <w:rPr>
          <w:rFonts w:eastAsia="Calibri" w:cstheme="minorHAnsi"/>
          <w:b/>
          <w:vanish/>
        </w:rPr>
      </w:pPr>
    </w:p>
    <w:p w14:paraId="0CD39D2E" w14:textId="77777777" w:rsidR="0063325C" w:rsidRPr="0063325C" w:rsidRDefault="0063325C" w:rsidP="0063325C">
      <w:pPr>
        <w:rPr>
          <w:rFonts w:eastAsia="Calibri" w:cstheme="minorHAnsi"/>
          <w:b/>
          <w:vanish/>
        </w:rPr>
      </w:pPr>
    </w:p>
    <w:p w14:paraId="2D41A131" w14:textId="77777777" w:rsidR="0063325C" w:rsidRPr="0063325C" w:rsidRDefault="0063325C" w:rsidP="00E05D11">
      <w:pPr>
        <w:jc w:val="both"/>
        <w:rPr>
          <w:rFonts w:eastAsia="Calibri" w:cstheme="minorHAnsi"/>
        </w:rPr>
      </w:pPr>
      <w:r w:rsidRPr="0063325C">
        <w:rPr>
          <w:rFonts w:eastAsia="Calibri" w:cstheme="minorHAnsi"/>
        </w:rPr>
        <w:t xml:space="preserve">La Mare de Mahmoud est située dans la commune de Béribava relevant de la Mouaghata de Néma, Wilaya du HodhChargui. </w:t>
      </w:r>
    </w:p>
    <w:p w14:paraId="49D1971A" w14:textId="77777777" w:rsidR="0063325C" w:rsidRPr="0063325C" w:rsidRDefault="0063325C" w:rsidP="00E05D11">
      <w:pPr>
        <w:jc w:val="both"/>
        <w:rPr>
          <w:rFonts w:eastAsia="Calibri" w:cstheme="minorHAnsi"/>
        </w:rPr>
      </w:pPr>
      <w:r w:rsidRPr="0063325C">
        <w:rPr>
          <w:rFonts w:eastAsia="Calibri" w:cstheme="minorHAnsi"/>
        </w:rPr>
        <w:t xml:space="preserve">La mare de Mahmouda est une grande dépression où les eaux de pluie s’accumulent, dont une grande partie peu profonde se dessèche rapidement après la saison des pluies. </w:t>
      </w:r>
    </w:p>
    <w:p w14:paraId="089EA7E3" w14:textId="07079E89" w:rsidR="0063325C" w:rsidRPr="0063325C" w:rsidRDefault="0063325C" w:rsidP="00E05D11">
      <w:pPr>
        <w:jc w:val="both"/>
        <w:rPr>
          <w:rFonts w:eastAsia="Calibri" w:cstheme="minorHAnsi"/>
        </w:rPr>
      </w:pPr>
      <w:r w:rsidRPr="0063325C">
        <w:rPr>
          <w:rFonts w:eastAsia="Calibri" w:cstheme="minorHAnsi"/>
        </w:rPr>
        <w:t xml:space="preserve">Elle est très peu boisée notamment dans sa moitié ouest.  A Néma, les moyennes mensuelles les </w:t>
      </w:r>
      <w:r w:rsidR="00E05D11" w:rsidRPr="0063325C">
        <w:rPr>
          <w:rFonts w:eastAsia="Calibri" w:cstheme="minorHAnsi"/>
        </w:rPr>
        <w:t>plus élevées</w:t>
      </w:r>
      <w:r w:rsidRPr="0063325C">
        <w:rPr>
          <w:rFonts w:eastAsia="Calibri" w:cstheme="minorHAnsi"/>
        </w:rPr>
        <w:t xml:space="preserve"> sont observées en juin, mai et avril, les températures de ces mois sur la piéride 2000 – 2019 sont respectivement 42.5 °C, 41 °C et 40.3 °C pour les maximas et 30 °C, 30°C et 28 °C pour les minimas. Par contre les plus faibles sont observées en janvier et décembre pour la période 2000 à 2019.</w:t>
      </w:r>
    </w:p>
    <w:p w14:paraId="499B6CC2" w14:textId="77777777" w:rsidR="0063325C" w:rsidRPr="0063325C" w:rsidRDefault="0063325C" w:rsidP="00E05D11">
      <w:pPr>
        <w:jc w:val="both"/>
        <w:rPr>
          <w:rFonts w:eastAsia="Calibri" w:cstheme="minorHAnsi"/>
        </w:rPr>
      </w:pPr>
      <w:r w:rsidRPr="0063325C">
        <w:rPr>
          <w:rFonts w:eastAsia="Calibri" w:cstheme="minorHAnsi"/>
        </w:rPr>
        <w:t>La Mare de Mahmoud reçoit son eau de quelques oueds qui déversent l’eau tombée au cours de la saison (juin à septembre) dans le bassin de réception situé au Sud est.</w:t>
      </w:r>
    </w:p>
    <w:p w14:paraId="6AA81847" w14:textId="77777777" w:rsidR="0063325C" w:rsidRPr="0063325C" w:rsidRDefault="0063325C" w:rsidP="00E05D11">
      <w:pPr>
        <w:jc w:val="both"/>
        <w:rPr>
          <w:rFonts w:eastAsia="Calibri" w:cstheme="minorHAnsi"/>
        </w:rPr>
      </w:pPr>
      <w:r w:rsidRPr="0063325C">
        <w:rPr>
          <w:rFonts w:eastAsia="Calibri" w:cstheme="minorHAnsi"/>
        </w:rPr>
        <w:t>La zone inondable couvre une superficie de 16 200 ha et se trouve à 53 km à l’Ouest de Néma</w:t>
      </w:r>
      <w:r w:rsidRPr="00E05D11">
        <w:rPr>
          <w:rFonts w:eastAsia="Calibri" w:cstheme="minorHAnsi"/>
        </w:rPr>
        <w:t>.</w:t>
      </w:r>
      <w:r w:rsidRPr="0063325C">
        <w:rPr>
          <w:rFonts w:eastAsia="Calibri" w:cstheme="minorHAnsi"/>
        </w:rPr>
        <w:t xml:space="preserve"> On retrouve 13 localités autour de la mare. </w:t>
      </w:r>
    </w:p>
    <w:p w14:paraId="4DB858C6" w14:textId="6B74C097" w:rsidR="0063325C" w:rsidRPr="0063325C" w:rsidRDefault="0063325C" w:rsidP="00E05D11">
      <w:pPr>
        <w:jc w:val="both"/>
        <w:rPr>
          <w:rFonts w:eastAsia="Calibri" w:cstheme="minorHAnsi"/>
        </w:rPr>
      </w:pPr>
      <w:r w:rsidRPr="0063325C">
        <w:rPr>
          <w:rFonts w:eastAsia="Calibri" w:cstheme="minorHAnsi"/>
        </w:rPr>
        <w:t xml:space="preserve">Les espèces pêchées sont : silure (Awkass, genre </w:t>
      </w:r>
      <w:r w:rsidRPr="00E05D11">
        <w:rPr>
          <w:rFonts w:eastAsia="Calibri" w:cstheme="minorHAnsi"/>
        </w:rPr>
        <w:t xml:space="preserve">Clarias </w:t>
      </w:r>
      <w:r w:rsidR="00E05D11" w:rsidRPr="00E05D11">
        <w:rPr>
          <w:rFonts w:eastAsia="Calibri" w:cstheme="minorHAnsi"/>
        </w:rPr>
        <w:t>gariepinus</w:t>
      </w:r>
      <w:r w:rsidR="00E05D11" w:rsidRPr="0063325C">
        <w:rPr>
          <w:rFonts w:eastAsia="Calibri" w:cstheme="minorHAnsi"/>
        </w:rPr>
        <w:t>)</w:t>
      </w:r>
      <w:r w:rsidRPr="0063325C">
        <w:rPr>
          <w:rFonts w:eastAsia="Calibri" w:cstheme="minorHAnsi"/>
        </w:rPr>
        <w:t xml:space="preserve"> et le poisson est transformé sur site (poisson entier fumé) et expédié sur les marchés maliens par des transporteurs maliens. Des fours en banco sont utilisés pour le fumage du poisson.</w:t>
      </w:r>
    </w:p>
    <w:p w14:paraId="34327CDF" w14:textId="77777777" w:rsidR="0063325C" w:rsidRPr="00E05D11" w:rsidRDefault="0063325C" w:rsidP="00E05D11">
      <w:pPr>
        <w:jc w:val="both"/>
        <w:rPr>
          <w:rFonts w:eastAsia="Calibri" w:cstheme="minorHAnsi"/>
        </w:rPr>
      </w:pPr>
      <w:r w:rsidRPr="00E05D11">
        <w:rPr>
          <w:rFonts w:eastAsia="Calibri" w:cstheme="minorHAnsi"/>
        </w:rPr>
        <w:t>Tamourt Bougari</w:t>
      </w:r>
    </w:p>
    <w:p w14:paraId="0FED41CB" w14:textId="77777777" w:rsidR="0063325C" w:rsidRPr="00E05D11" w:rsidRDefault="0063325C" w:rsidP="00E05D11">
      <w:pPr>
        <w:jc w:val="both"/>
        <w:rPr>
          <w:rFonts w:eastAsia="Calibri" w:cstheme="minorHAnsi"/>
        </w:rPr>
      </w:pPr>
      <w:r w:rsidRPr="0063325C">
        <w:rPr>
          <w:rFonts w:eastAsia="Calibri" w:cstheme="minorHAnsi"/>
        </w:rPr>
        <w:t>La mare de Bougari est située dans la commune d’Aghworat relevant de la Mouaghata de Kiffa Wilaya de l’Assaba.</w:t>
      </w:r>
      <w:r w:rsidRPr="00E05D11">
        <w:rPr>
          <w:rFonts w:eastAsia="Calibri" w:cstheme="minorHAnsi"/>
        </w:rPr>
        <w:t xml:space="preserve"> </w:t>
      </w:r>
    </w:p>
    <w:p w14:paraId="1C01C6DD" w14:textId="77777777" w:rsidR="0063325C" w:rsidRPr="0063325C" w:rsidRDefault="0063325C" w:rsidP="00E05D11">
      <w:pPr>
        <w:jc w:val="both"/>
        <w:rPr>
          <w:rFonts w:eastAsia="Calibri" w:cstheme="minorHAnsi"/>
        </w:rPr>
      </w:pPr>
      <w:r w:rsidRPr="0063325C">
        <w:rPr>
          <w:rFonts w:eastAsia="Calibri" w:cstheme="minorHAnsi"/>
        </w:rPr>
        <w:t>La Tamourt Bougari est une dépression entourée de formations dunaires. Ces dernières sont entrecoupées d’escarpements pierreux. Elle est située au PK.70 de la route Kiffa-Tintane. La localité la plus proche de cette tamourt est le village de Effam Lekhdheïratt (3</w:t>
      </w:r>
      <w:proofErr w:type="gramStart"/>
      <w:r w:rsidRPr="0063325C">
        <w:rPr>
          <w:rFonts w:eastAsia="Calibri" w:cstheme="minorHAnsi"/>
        </w:rPr>
        <w:t xml:space="preserve">km)   </w:t>
      </w:r>
      <w:proofErr w:type="gramEnd"/>
      <w:r w:rsidRPr="0063325C">
        <w:rPr>
          <w:rFonts w:eastAsia="Calibri" w:cstheme="minorHAnsi"/>
        </w:rPr>
        <w:t>relevant territorialement de la Commune rurale de Aghowratt (Moughataa de Kiffa). La superficie estimée de la dépression humide est de 1750 ha.</w:t>
      </w:r>
    </w:p>
    <w:p w14:paraId="0B36D605" w14:textId="77777777" w:rsidR="0063325C" w:rsidRPr="0063325C" w:rsidRDefault="0063325C" w:rsidP="00E05D11">
      <w:pPr>
        <w:jc w:val="both"/>
        <w:rPr>
          <w:rFonts w:eastAsia="Calibri" w:cstheme="minorHAnsi"/>
        </w:rPr>
      </w:pPr>
      <w:r w:rsidRPr="0063325C">
        <w:rPr>
          <w:rFonts w:eastAsia="Calibri" w:cstheme="minorHAnsi"/>
        </w:rPr>
        <w:t>Au niveau de la station météorologique de Kiffa, les températures les plus faibles sont enregistrés en janvier, février et décembre. Tandis que les plus élevées sont enregistrées en mai et juin et pendant ces deux mois (mai et juin) les moyennes mensuelles des maximas et des minimas peuvent atteindre respectivement jusqu’à les 45 °C et 25 °C.</w:t>
      </w:r>
    </w:p>
    <w:p w14:paraId="51BD271A" w14:textId="2B1583E6" w:rsidR="0063325C" w:rsidRPr="0063325C" w:rsidRDefault="0063325C" w:rsidP="00E05D11">
      <w:pPr>
        <w:jc w:val="both"/>
        <w:rPr>
          <w:rFonts w:eastAsia="Calibri" w:cstheme="minorHAnsi"/>
        </w:rPr>
      </w:pPr>
      <w:r w:rsidRPr="0063325C">
        <w:rPr>
          <w:rFonts w:eastAsia="Calibri" w:cstheme="minorHAnsi"/>
        </w:rPr>
        <w:t>La mare est alimentée par les eaux de ruissellement découlant de trois Oueds, Gleïb</w:t>
      </w:r>
      <w:r w:rsidR="00E05D11">
        <w:rPr>
          <w:rFonts w:eastAsia="Calibri" w:cstheme="minorHAnsi"/>
        </w:rPr>
        <w:t xml:space="preserve"> </w:t>
      </w:r>
      <w:r w:rsidRPr="0063325C">
        <w:rPr>
          <w:rFonts w:eastAsia="Calibri" w:cstheme="minorHAnsi"/>
        </w:rPr>
        <w:t>Eïznaya, Oum Lemhar El Metrewgha, Vdhili.  L’alimentation de la mare est fortement influencée par la pluviométrie.</w:t>
      </w:r>
    </w:p>
    <w:p w14:paraId="59515EA1" w14:textId="77777777" w:rsidR="0063325C" w:rsidRPr="00434CD5" w:rsidRDefault="0063325C" w:rsidP="00E05D11">
      <w:pPr>
        <w:jc w:val="both"/>
        <w:rPr>
          <w:rFonts w:eastAsia="Calibri" w:cstheme="minorHAnsi"/>
          <w:b/>
          <w:bCs/>
          <w:sz w:val="24"/>
          <w:szCs w:val="24"/>
        </w:rPr>
      </w:pPr>
      <w:r w:rsidRPr="00434CD5">
        <w:rPr>
          <w:rFonts w:eastAsia="Calibri" w:cstheme="minorHAnsi"/>
          <w:b/>
          <w:bCs/>
          <w:sz w:val="24"/>
          <w:szCs w:val="24"/>
        </w:rPr>
        <w:t>TamourtNaaj</w:t>
      </w:r>
    </w:p>
    <w:p w14:paraId="4C0C4FBF" w14:textId="10711849" w:rsidR="0063325C" w:rsidRPr="0063325C" w:rsidRDefault="00E05D11" w:rsidP="00E05D11">
      <w:pPr>
        <w:jc w:val="both"/>
        <w:rPr>
          <w:rFonts w:eastAsia="Calibri" w:cstheme="minorHAnsi"/>
        </w:rPr>
      </w:pPr>
      <w:r w:rsidRPr="00E05D11">
        <w:rPr>
          <w:rFonts w:eastAsia="Calibri" w:cstheme="minorHAnsi"/>
        </w:rPr>
        <w:t>T</w:t>
      </w:r>
      <w:r w:rsidR="0063325C" w:rsidRPr="00E05D11">
        <w:rPr>
          <w:rFonts w:eastAsia="Calibri" w:cstheme="minorHAnsi"/>
        </w:rPr>
        <w:t>amourt</w:t>
      </w:r>
      <w:r>
        <w:rPr>
          <w:rFonts w:eastAsia="Calibri" w:cstheme="minorHAnsi"/>
        </w:rPr>
        <w:t xml:space="preserve"> </w:t>
      </w:r>
      <w:r w:rsidR="0063325C" w:rsidRPr="00E05D11">
        <w:rPr>
          <w:rFonts w:eastAsia="Calibri" w:cstheme="minorHAnsi"/>
        </w:rPr>
        <w:t xml:space="preserve">Naaj </w:t>
      </w:r>
      <w:r w:rsidR="0063325C" w:rsidRPr="0063325C">
        <w:rPr>
          <w:rFonts w:eastAsia="Calibri" w:cstheme="minorHAnsi"/>
        </w:rPr>
        <w:t>est située dans la commune de tamourt Naaj située dans la Moughataa de Moudjéria Wilaya du Tagant.</w:t>
      </w:r>
      <w:r>
        <w:rPr>
          <w:rFonts w:eastAsia="Calibri" w:cstheme="minorHAnsi"/>
        </w:rPr>
        <w:t xml:space="preserve"> </w:t>
      </w:r>
      <w:r w:rsidR="0063325C" w:rsidRPr="0063325C">
        <w:rPr>
          <w:rFonts w:eastAsia="Calibri" w:cstheme="minorHAnsi"/>
        </w:rPr>
        <w:t xml:space="preserve">Le réseau hydrographique de Tamourt en Naaj comprend plusieurs oueds. </w:t>
      </w:r>
    </w:p>
    <w:p w14:paraId="0F5C202A" w14:textId="5DBD7120" w:rsidR="0063325C" w:rsidRPr="0063325C" w:rsidRDefault="0063325C" w:rsidP="00E05D11">
      <w:pPr>
        <w:jc w:val="both"/>
        <w:rPr>
          <w:rFonts w:eastAsia="Calibri" w:cstheme="minorHAnsi"/>
        </w:rPr>
      </w:pPr>
      <w:r w:rsidRPr="0063325C">
        <w:rPr>
          <w:rFonts w:eastAsia="Calibri" w:cstheme="minorHAnsi"/>
        </w:rPr>
        <w:t>L’eau qui s’écoule de la gorge de Matmata au lac de Guebou, est retenue dans une large cuvette qui constitue le bassin versant, ce bassin couvre une superficie de 1600 km</w:t>
      </w:r>
      <w:proofErr w:type="gramStart"/>
      <w:r w:rsidRPr="0063325C">
        <w:rPr>
          <w:rFonts w:eastAsia="Calibri" w:cstheme="minorHAnsi"/>
        </w:rPr>
        <w:t>2 ,</w:t>
      </w:r>
      <w:proofErr w:type="gramEnd"/>
      <w:r w:rsidRPr="0063325C">
        <w:rPr>
          <w:rFonts w:eastAsia="Calibri" w:cstheme="minorHAnsi"/>
        </w:rPr>
        <w:t xml:space="preserve"> il est alimenté par des eaux de pluie qui se déversent dans le bassin à partir des principaux oueds du bassin de drainage de Matmata à Gabou.</w:t>
      </w:r>
    </w:p>
    <w:p w14:paraId="5C4AB390" w14:textId="77777777" w:rsidR="0063325C" w:rsidRPr="0063325C" w:rsidRDefault="0063325C" w:rsidP="00E05D11">
      <w:pPr>
        <w:jc w:val="both"/>
        <w:rPr>
          <w:rFonts w:eastAsia="Calibri" w:cstheme="minorHAnsi"/>
        </w:rPr>
      </w:pPr>
      <w:r w:rsidRPr="0063325C">
        <w:rPr>
          <w:rFonts w:eastAsia="Calibri" w:cstheme="minorHAnsi"/>
        </w:rPr>
        <w:t>Le bassin de réception de la Tamourt a une superficie de 1600km</w:t>
      </w:r>
      <w:r w:rsidRPr="00E05D11">
        <w:rPr>
          <w:rFonts w:eastAsia="Calibri" w:cstheme="minorHAnsi"/>
        </w:rPr>
        <w:t>2</w:t>
      </w:r>
      <w:r w:rsidRPr="0063325C">
        <w:rPr>
          <w:rFonts w:eastAsia="Calibri" w:cstheme="minorHAnsi"/>
        </w:rPr>
        <w:t>, il comprend le plateau du Tagant et les oueds situés au Sud et à L’est qui déversent leurs eaux dans la tamourt Naaj.</w:t>
      </w:r>
    </w:p>
    <w:p w14:paraId="38D78004" w14:textId="77777777" w:rsidR="0063325C" w:rsidRPr="0063325C" w:rsidRDefault="0063325C" w:rsidP="00E05D11">
      <w:pPr>
        <w:jc w:val="both"/>
        <w:rPr>
          <w:rFonts w:eastAsia="Calibri" w:cstheme="minorHAnsi"/>
        </w:rPr>
      </w:pPr>
      <w:r w:rsidRPr="0063325C">
        <w:rPr>
          <w:rFonts w:eastAsia="Calibri" w:cstheme="minorHAnsi"/>
        </w:rPr>
        <w:t>La Tamourt s’inonde dès le mois de juillet, la capacité d’inondation dépend des précipitations, à la fin de la saison des pluies, le niveau de l’eau commence a baissé, au début d’octobre de grandes parties commence à s’assécher, au mois de janvier la majeure partie couverte par les eaux a disparu.</w:t>
      </w:r>
    </w:p>
    <w:p w14:paraId="3E56F817" w14:textId="47A9B2D7" w:rsidR="0063325C" w:rsidRPr="0063325C" w:rsidRDefault="0063325C" w:rsidP="00E05D11">
      <w:pPr>
        <w:jc w:val="both"/>
        <w:rPr>
          <w:rFonts w:eastAsia="Calibri" w:cstheme="minorHAnsi"/>
        </w:rPr>
      </w:pPr>
      <w:r w:rsidRPr="0063325C">
        <w:rPr>
          <w:rFonts w:eastAsia="Calibri" w:cstheme="minorHAnsi"/>
        </w:rPr>
        <w:t xml:space="preserve">La tamourt Naaj est alimentée par les oueds Bourraga, Oued N’tâkedi, Oued In Tilimitt, l’oued </w:t>
      </w:r>
      <w:r w:rsidR="00E05D11" w:rsidRPr="0063325C">
        <w:rPr>
          <w:rFonts w:eastAsia="Calibri" w:cstheme="minorHAnsi"/>
        </w:rPr>
        <w:t>Akneiker,</w:t>
      </w:r>
      <w:r w:rsidRPr="0063325C">
        <w:rPr>
          <w:rFonts w:eastAsia="Calibri" w:cstheme="minorHAnsi"/>
        </w:rPr>
        <w:t xml:space="preserve"> l’Oued Bou Lbou.</w:t>
      </w:r>
    </w:p>
    <w:p w14:paraId="29784DA5" w14:textId="48362CF6" w:rsidR="0063325C" w:rsidRPr="0063325C" w:rsidRDefault="0063325C" w:rsidP="00E05D11">
      <w:pPr>
        <w:jc w:val="both"/>
        <w:rPr>
          <w:rFonts w:eastAsia="Calibri" w:cstheme="minorHAnsi"/>
        </w:rPr>
      </w:pPr>
      <w:r w:rsidRPr="0063325C">
        <w:rPr>
          <w:rFonts w:eastAsia="Calibri" w:cstheme="minorHAnsi"/>
        </w:rPr>
        <w:t xml:space="preserve">Des barrages ont été construits dans les vallées de l’Oued Akneiker qui retiennent l’eau des pluies dans un bassin, dans ce bassin est pratiquée après la décrue la culture du mil et du </w:t>
      </w:r>
      <w:r w:rsidR="00E05D11" w:rsidRPr="0063325C">
        <w:rPr>
          <w:rFonts w:eastAsia="Calibri" w:cstheme="minorHAnsi"/>
        </w:rPr>
        <w:t>sorgho.</w:t>
      </w:r>
      <w:r w:rsidRPr="0063325C">
        <w:rPr>
          <w:rFonts w:eastAsia="Calibri" w:cstheme="minorHAnsi"/>
        </w:rPr>
        <w:t xml:space="preserve"> </w:t>
      </w:r>
    </w:p>
    <w:p w14:paraId="07476AC4" w14:textId="3C3117B2" w:rsidR="0063325C" w:rsidRPr="0063325C" w:rsidRDefault="0063325C" w:rsidP="00E05D11">
      <w:pPr>
        <w:jc w:val="both"/>
        <w:rPr>
          <w:rFonts w:eastAsia="Calibri" w:cstheme="minorHAnsi"/>
        </w:rPr>
      </w:pPr>
      <w:r w:rsidRPr="0063325C">
        <w:rPr>
          <w:rFonts w:eastAsia="Calibri" w:cstheme="minorHAnsi"/>
        </w:rPr>
        <w:t>La Tamourt ou les Tamourts est un chapelet de mares (bourraga, Mechrae, Legdeim, Bleza, Gherza, Moubaza, Oumou ElHoll et,</w:t>
      </w:r>
      <w:r w:rsidR="00E05D11">
        <w:rPr>
          <w:rFonts w:eastAsia="Calibri" w:cstheme="minorHAnsi"/>
        </w:rPr>
        <w:t xml:space="preserve"> </w:t>
      </w:r>
      <w:r w:rsidRPr="0063325C">
        <w:rPr>
          <w:rFonts w:eastAsia="Calibri" w:cstheme="minorHAnsi"/>
        </w:rPr>
        <w:t>Vejeha, N’greraa,</w:t>
      </w:r>
      <w:r w:rsidR="00E05D11">
        <w:rPr>
          <w:rFonts w:eastAsia="Calibri" w:cstheme="minorHAnsi"/>
        </w:rPr>
        <w:t xml:space="preserve"> </w:t>
      </w:r>
      <w:r w:rsidRPr="0063325C">
        <w:rPr>
          <w:rFonts w:eastAsia="Calibri" w:cstheme="minorHAnsi"/>
        </w:rPr>
        <w:t>Ntitame, Guebou), qui s’étend de la passe de Matmata   au lac Guebou.</w:t>
      </w:r>
    </w:p>
    <w:p w14:paraId="59D7A10A" w14:textId="7FA0E6A3" w:rsidR="0063325C" w:rsidRPr="0063325C" w:rsidRDefault="0063325C" w:rsidP="00E05D11">
      <w:pPr>
        <w:jc w:val="both"/>
        <w:rPr>
          <w:rFonts w:eastAsia="Calibri" w:cstheme="minorHAnsi"/>
        </w:rPr>
      </w:pPr>
      <w:r w:rsidRPr="0063325C">
        <w:rPr>
          <w:rFonts w:eastAsia="Calibri" w:cstheme="minorHAnsi"/>
        </w:rPr>
        <w:t>Ces mares communiquent pendant l’hivernage et sont indépendantes après la saison des pluies.</w:t>
      </w:r>
    </w:p>
    <w:p w14:paraId="4049F38B" w14:textId="77777777" w:rsidR="0063325C" w:rsidRPr="0063325C" w:rsidRDefault="0063325C" w:rsidP="00E05D11">
      <w:pPr>
        <w:numPr>
          <w:ilvl w:val="1"/>
          <w:numId w:val="330"/>
        </w:numPr>
        <w:ind w:left="426" w:hanging="426"/>
        <w:jc w:val="both"/>
        <w:rPr>
          <w:rFonts w:eastAsia="Calibri" w:cstheme="minorHAnsi"/>
          <w:b/>
        </w:rPr>
      </w:pPr>
      <w:r w:rsidRPr="0063325C">
        <w:rPr>
          <w:rFonts w:eastAsia="Calibri" w:cstheme="minorHAnsi"/>
          <w:b/>
        </w:rPr>
        <w:t>Caractéristiques climatiques qui influencent le régime hydrographique de la vallée du Fleuve Sénégal</w:t>
      </w:r>
    </w:p>
    <w:p w14:paraId="7010FF73" w14:textId="77777777" w:rsidR="0063325C" w:rsidRPr="0063325C" w:rsidRDefault="0063325C" w:rsidP="00E05D11">
      <w:pPr>
        <w:jc w:val="both"/>
        <w:rPr>
          <w:rFonts w:eastAsia="Calibri" w:cstheme="minorHAnsi"/>
        </w:rPr>
      </w:pPr>
      <w:r w:rsidRPr="0063325C">
        <w:rPr>
          <w:rFonts w:eastAsia="Calibri" w:cstheme="minorHAnsi"/>
        </w:rPr>
        <w:t>Depuis des décennies, le bassin du fleuve Sénégal connait un déficit pluviométrique qui a considérablement affecté le régime hydrologique, réduisant d’une manière drastique les surfaces inondées. </w:t>
      </w:r>
    </w:p>
    <w:p w14:paraId="5724C474" w14:textId="76C62552" w:rsidR="0063325C" w:rsidRPr="0063325C" w:rsidRDefault="0063325C" w:rsidP="00E05D11">
      <w:pPr>
        <w:jc w:val="both"/>
        <w:rPr>
          <w:rFonts w:eastAsia="Calibri" w:cstheme="minorHAnsi"/>
        </w:rPr>
      </w:pPr>
      <w:r w:rsidRPr="0063325C">
        <w:rPr>
          <w:rFonts w:eastAsia="Calibri" w:cstheme="minorHAnsi"/>
        </w:rPr>
        <w:t>L’aridité du climat, caractérisée par de faibles précipitations, des températures et évaporations élevées, est à l’origine de la formation de zones humides permanentes ou temporaires, plus le climat est aride, plus les pluies sont aléatoires </w:t>
      </w:r>
      <w:r w:rsidR="00E05D11">
        <w:rPr>
          <w:rFonts w:eastAsia="Calibri" w:cstheme="minorHAnsi"/>
        </w:rPr>
        <w:t xml:space="preserve">  </w:t>
      </w:r>
      <w:r w:rsidRPr="0063325C">
        <w:rPr>
          <w:rFonts w:eastAsia="Calibri" w:cstheme="minorHAnsi"/>
        </w:rPr>
        <w:t>Le climat est de type sahélien caractérisé par deux saisons :</w:t>
      </w:r>
    </w:p>
    <w:p w14:paraId="389182B6" w14:textId="249BFF08" w:rsidR="0063325C" w:rsidRPr="0063325C" w:rsidRDefault="0063325C" w:rsidP="00E05D11">
      <w:pPr>
        <w:jc w:val="both"/>
        <w:rPr>
          <w:rFonts w:eastAsia="Calibri" w:cstheme="minorHAnsi"/>
        </w:rPr>
      </w:pPr>
      <w:r w:rsidRPr="00E05D11">
        <w:rPr>
          <w:rFonts w:eastAsia="Calibri" w:cstheme="minorHAnsi"/>
        </w:rPr>
        <w:t xml:space="preserve">La saison des pluies : </w:t>
      </w:r>
      <w:r w:rsidRPr="0063325C">
        <w:rPr>
          <w:rFonts w:eastAsia="Calibri" w:cstheme="minorHAnsi"/>
        </w:rPr>
        <w:t>Elle dépasse rarement trois mois. La saison des pluies s’installe en juillet et s’arrête généralement en septembre. La durée de la saison des pluies et les quantités recueillies sont fortement perturbées par l’avènement du changement climatique actuel.</w:t>
      </w:r>
    </w:p>
    <w:p w14:paraId="41506186" w14:textId="77777777" w:rsidR="0063325C" w:rsidRPr="0063325C" w:rsidRDefault="0063325C" w:rsidP="00E05D11">
      <w:pPr>
        <w:jc w:val="both"/>
        <w:rPr>
          <w:rFonts w:eastAsia="Calibri" w:cstheme="minorHAnsi"/>
        </w:rPr>
      </w:pPr>
      <w:r w:rsidRPr="0063325C">
        <w:rPr>
          <w:rFonts w:eastAsia="Calibri" w:cstheme="minorHAnsi"/>
        </w:rPr>
        <w:t>La saison des pluies : la saison des pluies commence entre fin juin et début août et finit entre mi-septembre et mi-octobre avec des températures relativement faibles (25 et 35 °C).</w:t>
      </w:r>
    </w:p>
    <w:p w14:paraId="43BA309D" w14:textId="038D2651" w:rsidR="0063325C" w:rsidRPr="0063325C" w:rsidRDefault="0063325C" w:rsidP="00E05D11">
      <w:pPr>
        <w:jc w:val="both"/>
        <w:rPr>
          <w:rFonts w:eastAsia="Calibri" w:cstheme="minorHAnsi"/>
        </w:rPr>
      </w:pPr>
      <w:r w:rsidRPr="00E05D11">
        <w:rPr>
          <w:rFonts w:eastAsia="Calibri" w:cstheme="minorHAnsi"/>
        </w:rPr>
        <w:t>La saison sèche</w:t>
      </w:r>
      <w:r w:rsidRPr="0063325C">
        <w:rPr>
          <w:rFonts w:eastAsia="Calibri" w:cstheme="minorHAnsi"/>
        </w:rPr>
        <w:t xml:space="preserve"> : elle est caractérisée par deux périodes : (i) </w:t>
      </w:r>
      <w:r w:rsidRPr="00E05D11">
        <w:rPr>
          <w:rFonts w:eastAsia="Calibri" w:cstheme="minorHAnsi"/>
        </w:rPr>
        <w:t>La saison sèche froide </w:t>
      </w:r>
      <w:r w:rsidRPr="0063325C">
        <w:rPr>
          <w:rFonts w:eastAsia="Calibri" w:cstheme="minorHAnsi"/>
        </w:rPr>
        <w:t xml:space="preserve">de </w:t>
      </w:r>
      <w:r w:rsidR="00E05D11">
        <w:rPr>
          <w:rFonts w:eastAsia="Calibri" w:cstheme="minorHAnsi"/>
        </w:rPr>
        <w:t>N</w:t>
      </w:r>
      <w:r w:rsidRPr="0063325C">
        <w:rPr>
          <w:rFonts w:eastAsia="Calibri" w:cstheme="minorHAnsi"/>
        </w:rPr>
        <w:t xml:space="preserve">ovembre à février, Elle est caractérisée par des températures minimales plus faibles (12 et 16 °C) et maximales de 30 à 34 °C. L’humidité relative de l’air est moyenne avec des vents forts, secs et relativement frais. Des pluies hors saisons de faibles quantités peuvent tomber pendant cette période, (ii) </w:t>
      </w:r>
      <w:r w:rsidRPr="00E05D11">
        <w:rPr>
          <w:rFonts w:eastAsia="Calibri" w:cstheme="minorHAnsi"/>
        </w:rPr>
        <w:t xml:space="preserve">La saison sèche chaude de </w:t>
      </w:r>
      <w:r w:rsidRPr="0063325C">
        <w:rPr>
          <w:rFonts w:eastAsia="Calibri" w:cstheme="minorHAnsi"/>
        </w:rPr>
        <w:t xml:space="preserve">mars à juin. La saison sèche chaude se déroule entre mars et juin. </w:t>
      </w:r>
    </w:p>
    <w:p w14:paraId="58E7D631" w14:textId="77777777" w:rsidR="0063325C" w:rsidRPr="0063325C" w:rsidRDefault="0063325C" w:rsidP="00E05D11">
      <w:pPr>
        <w:jc w:val="both"/>
        <w:rPr>
          <w:rFonts w:eastAsia="Calibri" w:cstheme="minorHAnsi"/>
        </w:rPr>
      </w:pPr>
      <w:r w:rsidRPr="0063325C">
        <w:rPr>
          <w:rFonts w:eastAsia="Calibri" w:cstheme="minorHAnsi"/>
        </w:rPr>
        <w:t xml:space="preserve">Des pluies précoces peuvent s’abattre en mai ou début juin. Des pauses pluviométriques sont souvent observées avant l’installation de la saison des pluies. </w:t>
      </w:r>
    </w:p>
    <w:p w14:paraId="511109DD" w14:textId="77777777" w:rsidR="0063325C" w:rsidRPr="0063325C" w:rsidRDefault="0063325C" w:rsidP="00E05D11">
      <w:pPr>
        <w:jc w:val="both"/>
        <w:rPr>
          <w:rFonts w:eastAsia="Calibri" w:cstheme="minorHAnsi"/>
        </w:rPr>
      </w:pPr>
      <w:r w:rsidRPr="00E05D11">
        <w:rPr>
          <w:rFonts w:eastAsia="Calibri" w:cstheme="minorHAnsi"/>
        </w:rPr>
        <w:t>Les températures</w:t>
      </w:r>
      <w:r w:rsidRPr="0063325C">
        <w:rPr>
          <w:rFonts w:eastAsia="Calibri" w:cstheme="minorHAnsi"/>
        </w:rPr>
        <w:t xml:space="preserve"> minimales se situent entre 23 et 24 °C tandis que les maximales tournent autour de 35 et 40 °C pour atteindre plus de 40 °C en mai. </w:t>
      </w:r>
    </w:p>
    <w:p w14:paraId="15B44AFD" w14:textId="77777777" w:rsidR="0063325C" w:rsidRPr="0063325C" w:rsidRDefault="0063325C" w:rsidP="00E05D11">
      <w:pPr>
        <w:jc w:val="both"/>
        <w:rPr>
          <w:rFonts w:eastAsia="Calibri" w:cstheme="minorHAnsi"/>
        </w:rPr>
      </w:pPr>
      <w:r w:rsidRPr="00E05D11">
        <w:rPr>
          <w:rFonts w:eastAsia="Calibri" w:cstheme="minorHAnsi"/>
        </w:rPr>
        <w:t>Hygrométrie</w:t>
      </w:r>
      <w:r w:rsidRPr="0063325C">
        <w:rPr>
          <w:rFonts w:eastAsia="Calibri" w:cstheme="minorHAnsi"/>
        </w:rPr>
        <w:t>, Elle influe de façon déterminante dans le pouvoir évaporant de l’air et varie fortement d’une saison à une autre. L’humidité relative augmente au fur et à mesure qu’on s’approche de la saison des pluies.</w:t>
      </w:r>
    </w:p>
    <w:p w14:paraId="40AD8E5F" w14:textId="7ABA9085" w:rsidR="0063325C" w:rsidRPr="0063325C" w:rsidRDefault="0063325C" w:rsidP="00E05D11">
      <w:pPr>
        <w:jc w:val="both"/>
        <w:rPr>
          <w:rFonts w:eastAsia="Calibri" w:cstheme="minorHAnsi"/>
        </w:rPr>
      </w:pPr>
      <w:r w:rsidRPr="00E05D11">
        <w:rPr>
          <w:rFonts w:eastAsia="Calibri" w:cstheme="minorHAnsi"/>
        </w:rPr>
        <w:t>La durée d’insolation</w:t>
      </w:r>
      <w:r w:rsidRPr="0063325C">
        <w:rPr>
          <w:rFonts w:eastAsia="Calibri" w:cstheme="minorHAnsi"/>
        </w:rPr>
        <w:t xml:space="preserve"> moyenne annuelle est de 3325 heures. Les durées mensuelles d’insolation les plus fortes sont observées en saison sèche en mars, avril et mai avec des moyennes de 314, 313 et 302 heures.  Les plus faibles durées relevées en août sont de 229 heures.</w:t>
      </w:r>
    </w:p>
    <w:p w14:paraId="5D3BB0C5" w14:textId="6247342D" w:rsidR="0063325C" w:rsidRPr="0063325C" w:rsidRDefault="0063325C" w:rsidP="00434CD5">
      <w:pPr>
        <w:jc w:val="both"/>
        <w:rPr>
          <w:rFonts w:eastAsia="Calibri" w:cstheme="minorHAnsi"/>
          <w:b/>
        </w:rPr>
      </w:pPr>
      <w:r w:rsidRPr="0063325C">
        <w:rPr>
          <w:rFonts w:eastAsia="Calibri" w:cstheme="minorHAnsi"/>
          <w:b/>
        </w:rPr>
        <w:t xml:space="preserve">Les Vents : </w:t>
      </w:r>
      <w:r w:rsidRPr="0063325C">
        <w:rPr>
          <w:rFonts w:eastAsia="Calibri" w:cstheme="minorHAnsi"/>
        </w:rPr>
        <w:t>les vents sont responsables du transfert d’air souvent évaporatoire.  La saison sèche est par excellence celle des vents chauds et secs chargés de poussière.</w:t>
      </w:r>
    </w:p>
    <w:p w14:paraId="55F962BC" w14:textId="77777777" w:rsidR="0063325C" w:rsidRPr="0063325C" w:rsidRDefault="0063325C" w:rsidP="00434CD5">
      <w:pPr>
        <w:jc w:val="both"/>
        <w:rPr>
          <w:rFonts w:eastAsia="Calibri" w:cstheme="minorHAnsi"/>
        </w:rPr>
      </w:pPr>
      <w:r w:rsidRPr="0063325C">
        <w:rPr>
          <w:rFonts w:eastAsia="Calibri" w:cstheme="minorHAnsi"/>
        </w:rPr>
        <w:t>De mars à juin, on observe l’harmattan. Il s’agit d’un vent fort du secteur est à nord-est qui s’accompagne de températures maximales très élevées (42 à 46 °C) avec des vitesses supérieures à 6 m/s.</w:t>
      </w:r>
    </w:p>
    <w:p w14:paraId="4FC26552" w14:textId="77777777" w:rsidR="0063325C" w:rsidRPr="0063325C" w:rsidRDefault="0063325C" w:rsidP="00434CD5">
      <w:pPr>
        <w:numPr>
          <w:ilvl w:val="0"/>
          <w:numId w:val="337"/>
        </w:numPr>
        <w:ind w:left="426" w:hanging="426"/>
        <w:jc w:val="both"/>
        <w:rPr>
          <w:rFonts w:eastAsia="Calibri" w:cstheme="minorHAnsi"/>
          <w:b/>
        </w:rPr>
      </w:pPr>
      <w:r w:rsidRPr="0063325C">
        <w:rPr>
          <w:rFonts w:eastAsia="Calibri" w:cstheme="minorHAnsi"/>
          <w:b/>
        </w:rPr>
        <w:t>Etat des connaissances du milieu et des ressources de la pêche continentale. Description et caractérisation.</w:t>
      </w:r>
    </w:p>
    <w:p w14:paraId="6FB5DCF1" w14:textId="77777777" w:rsidR="0063325C" w:rsidRPr="0063325C" w:rsidRDefault="0063325C" w:rsidP="00434CD5">
      <w:pPr>
        <w:numPr>
          <w:ilvl w:val="1"/>
          <w:numId w:val="336"/>
        </w:numPr>
        <w:ind w:left="851" w:hanging="491"/>
        <w:rPr>
          <w:rFonts w:eastAsia="Calibri" w:cstheme="minorHAnsi"/>
          <w:b/>
        </w:rPr>
      </w:pPr>
      <w:r w:rsidRPr="0063325C">
        <w:rPr>
          <w:rFonts w:eastAsia="Calibri" w:cstheme="minorHAnsi"/>
          <w:b/>
        </w:rPr>
        <w:t>Caractéristiques du milieu</w:t>
      </w:r>
    </w:p>
    <w:p w14:paraId="2EEA07CE" w14:textId="64D98CD3" w:rsidR="0063325C" w:rsidRPr="0063325C" w:rsidRDefault="0063325C" w:rsidP="00434CD5">
      <w:pPr>
        <w:ind w:left="284"/>
        <w:jc w:val="both"/>
        <w:rPr>
          <w:rFonts w:eastAsia="Calibri" w:cstheme="minorHAnsi"/>
        </w:rPr>
      </w:pPr>
      <w:r w:rsidRPr="0063325C">
        <w:rPr>
          <w:rFonts w:eastAsia="Calibri" w:cstheme="minorHAnsi"/>
        </w:rPr>
        <w:t xml:space="preserve">La Mauritanie dispose d’un important réseau hydrographique, ce réseau </w:t>
      </w:r>
      <w:r w:rsidR="0040247E" w:rsidRPr="0063325C">
        <w:rPr>
          <w:rFonts w:eastAsia="Calibri" w:cstheme="minorHAnsi"/>
        </w:rPr>
        <w:t xml:space="preserve">comprend </w:t>
      </w:r>
      <w:r w:rsidR="0040247E" w:rsidRPr="0063325C">
        <w:rPr>
          <w:rFonts w:eastAsia="Calibri" w:cstheme="minorHAnsi"/>
          <w:bCs/>
        </w:rPr>
        <w:t>le</w:t>
      </w:r>
      <w:r w:rsidRPr="0063325C">
        <w:rPr>
          <w:rFonts w:eastAsia="Calibri" w:cstheme="minorHAnsi"/>
          <w:bCs/>
        </w:rPr>
        <w:t xml:space="preserve"> fleuve Sénégal, ses affluents, ses défluents, les lacs, les retenues d’eau, les mares et les marigots</w:t>
      </w:r>
    </w:p>
    <w:p w14:paraId="633A4638" w14:textId="77777777" w:rsidR="0063325C" w:rsidRPr="0063325C" w:rsidRDefault="0063325C" w:rsidP="0063325C">
      <w:pPr>
        <w:numPr>
          <w:ilvl w:val="0"/>
          <w:numId w:val="331"/>
        </w:numPr>
        <w:rPr>
          <w:rFonts w:eastAsia="Calibri" w:cstheme="minorHAnsi"/>
          <w:b/>
        </w:rPr>
      </w:pPr>
      <w:r w:rsidRPr="0063325C">
        <w:rPr>
          <w:rFonts w:eastAsia="Calibri" w:cstheme="minorHAnsi"/>
          <w:b/>
        </w:rPr>
        <w:t xml:space="preserve">Le fleuve Sénégal </w:t>
      </w:r>
    </w:p>
    <w:p w14:paraId="4DA4D11F" w14:textId="08FC73E4" w:rsidR="0063325C" w:rsidRPr="0063325C" w:rsidRDefault="0063325C" w:rsidP="00434CD5">
      <w:pPr>
        <w:jc w:val="both"/>
        <w:rPr>
          <w:rFonts w:eastAsia="Calibri" w:cstheme="minorHAnsi"/>
          <w:bCs/>
        </w:rPr>
      </w:pPr>
      <w:r w:rsidRPr="0063325C">
        <w:rPr>
          <w:rFonts w:eastAsia="Calibri" w:cstheme="minorHAnsi"/>
          <w:bCs/>
        </w:rPr>
        <w:t xml:space="preserve">Le fleuve qui s’appelle conventionnellement Sénégal au confluent du Bafing et du Bakoye à Bafoulabe a une longueur de l’ordre de 1 800 Km et draine des eaux du Fouta Djallon et du versant septentrional des Monts Mandings, le Haut Bassin s’étend sur des roches anciennes principalement des dolérites. Avec </w:t>
      </w:r>
      <w:r w:rsidRPr="0063325C">
        <w:rPr>
          <w:rFonts w:eastAsia="Calibri" w:cstheme="minorHAnsi"/>
        </w:rPr>
        <w:t>une longueur environ dans sa parte mauritanienne de 850 km, le Sénégal est par l’importance de ses écoulements, le septième fleuve de l’Afrique et deuxième de la région ouest africaine. Son bassin versant couvre une superficie de 340 000 Km2, il constitue la frontière naturelle entre le Sénégal et la Mauritanie. Il est subdivisé en plusieurs subdivisions : le haut bassin situé en amont de Félou sur le fleuve ; la vallée qui peut être divisé à son tour en Haute vallée, Moyenne vallée, Basse vallée et le cours inférieur ou delta, à l’aval immédiat de la vallée.</w:t>
      </w:r>
    </w:p>
    <w:p w14:paraId="46F778FD" w14:textId="77777777" w:rsidR="0063325C" w:rsidRPr="0063325C" w:rsidRDefault="0063325C" w:rsidP="00434CD5">
      <w:pPr>
        <w:jc w:val="both"/>
        <w:rPr>
          <w:rFonts w:eastAsia="Calibri" w:cstheme="minorHAnsi"/>
        </w:rPr>
      </w:pPr>
      <w:r w:rsidRPr="0063325C">
        <w:rPr>
          <w:rFonts w:eastAsia="Calibri" w:cstheme="minorHAnsi"/>
        </w:rPr>
        <w:t xml:space="preserve">Le bassin du fleuve Sénégal a un important potentiel en eau, outre le cours d’eau principal, on trouve des lacs dont les plus importants au point de vue piscicole en terre mauritanienne sont le lac de R’kiz, le lac d’Aleg et le lac de Gabbou, Il y a également un nombre important de mares (mare de Kankossa, mare de Male, mare de Bakaw), d’autres chapelets de mares et marigots existent tout le long du fleuve dans les Moughataa de Maghama et de M’bagne. A cela s’ajoute la retenue de Foum legleita sur le Gorgol noir. </w:t>
      </w:r>
    </w:p>
    <w:p w14:paraId="799CC47B" w14:textId="2B9539FE" w:rsidR="0063325C" w:rsidRPr="0063325C" w:rsidRDefault="0063325C" w:rsidP="00434CD5">
      <w:pPr>
        <w:jc w:val="both"/>
        <w:rPr>
          <w:rFonts w:eastAsia="Calibri" w:cstheme="minorHAnsi"/>
        </w:rPr>
      </w:pPr>
      <w:r w:rsidRPr="0063325C">
        <w:rPr>
          <w:rFonts w:eastAsia="Calibri" w:cstheme="minorHAnsi"/>
        </w:rPr>
        <w:t xml:space="preserve">Avant l’édification des barrages, l’eau douce inondée toute la vallée du fleuve en période de crues. Avec l’édification du barrage de Diama, le bief aval fonctionne comme un bassin évaporant et on assiste à une augmentation progressive de la salinité, le maximum se situant à 40%°, dans la vallée, les eaux ont une teneur en sels dissous, 20 à 70 mg /l, cette dernière teneur est observée pendant la période d’étiage, suite à l’évaporation. Pendant la saison des pluies (juin à octobre), les précipitations varient de 200 à 400 mm. L’évaporation annuelle dépasse 2 m. La crue du Sénégal a lieu en juillet août et peut dépasser 4 m à </w:t>
      </w:r>
      <w:r w:rsidR="0040247E" w:rsidRPr="0063325C">
        <w:rPr>
          <w:rFonts w:eastAsia="Calibri" w:cstheme="minorHAnsi"/>
        </w:rPr>
        <w:t>Kaédi</w:t>
      </w:r>
      <w:r w:rsidRPr="0063325C">
        <w:rPr>
          <w:rFonts w:eastAsia="Calibri" w:cstheme="minorHAnsi"/>
        </w:rPr>
        <w:t>. Les Gorgol coulent seulement de juillet à septembre.</w:t>
      </w:r>
    </w:p>
    <w:p w14:paraId="0E2A8AFD" w14:textId="16DE9706" w:rsidR="0063325C" w:rsidRPr="0063325C" w:rsidRDefault="0063325C" w:rsidP="00434CD5">
      <w:pPr>
        <w:jc w:val="both"/>
        <w:rPr>
          <w:rFonts w:eastAsia="Calibri" w:cstheme="minorHAnsi"/>
        </w:rPr>
      </w:pPr>
      <w:r w:rsidRPr="0063325C">
        <w:rPr>
          <w:rFonts w:eastAsia="Calibri" w:cstheme="minorHAnsi"/>
        </w:rPr>
        <w:t>Au niveau du delta, pendant la crue, on trouve la même eau que celle de la vallée. Par contre pendant la décrue, les eaux de mer occupent le delta. Les analyses effectuées montrent que les caractéristiques physicochimiques sont assez variables suivant les endroits et les périodes, ceci en relation avec le régime des eaux.</w:t>
      </w:r>
    </w:p>
    <w:p w14:paraId="1122B965" w14:textId="77777777" w:rsidR="0063325C" w:rsidRPr="0063325C" w:rsidRDefault="0063325C" w:rsidP="0063325C">
      <w:pPr>
        <w:rPr>
          <w:rFonts w:eastAsia="Calibri" w:cstheme="minorHAnsi"/>
        </w:rPr>
      </w:pPr>
    </w:p>
    <w:p w14:paraId="7C2F14FB" w14:textId="68063773" w:rsidR="0063325C" w:rsidRPr="0063325C" w:rsidRDefault="0063325C" w:rsidP="00434CD5">
      <w:pPr>
        <w:jc w:val="both"/>
        <w:rPr>
          <w:rFonts w:eastAsia="Calibri" w:cstheme="minorHAnsi"/>
        </w:rPr>
      </w:pPr>
      <w:r w:rsidRPr="0063325C">
        <w:rPr>
          <w:rFonts w:eastAsia="Calibri" w:cstheme="minorHAnsi"/>
        </w:rPr>
        <w:t>La production piscicole des plans d’eau est perturbé</w:t>
      </w:r>
      <w:r w:rsidR="0040247E">
        <w:rPr>
          <w:rFonts w:eastAsia="Calibri" w:cstheme="minorHAnsi"/>
        </w:rPr>
        <w:t>e</w:t>
      </w:r>
      <w:r w:rsidRPr="0063325C">
        <w:rPr>
          <w:rFonts w:eastAsia="Calibri" w:cstheme="minorHAnsi"/>
        </w:rPr>
        <w:t xml:space="preserve"> par les changements climatiques, la réduction des surfaces inondées a eu pour conséquences une diminution des captures du poisson, les prises sont tombées de 20 000 tonnes en 1969 à 8 000 tonnes en 1988. </w:t>
      </w:r>
    </w:p>
    <w:p w14:paraId="3544D15A" w14:textId="518A2958" w:rsidR="0063325C" w:rsidRPr="0063325C" w:rsidRDefault="0063325C" w:rsidP="00434CD5">
      <w:pPr>
        <w:jc w:val="both"/>
        <w:rPr>
          <w:rFonts w:eastAsia="Calibri" w:cstheme="minorHAnsi"/>
          <w:bCs/>
        </w:rPr>
      </w:pPr>
      <w:r w:rsidRPr="0063325C">
        <w:rPr>
          <w:rFonts w:eastAsia="Calibri" w:cstheme="minorHAnsi"/>
          <w:bCs/>
        </w:rPr>
        <w:t>Dans le lit majeur, la production planctonique de la plaine inondée, des mares et des marigots est plus élevée que celle du lit mineur. Les eaux sont, sauf exception presque stagnante, peu profonde et gorgées de déchets organiques.</w:t>
      </w:r>
    </w:p>
    <w:p w14:paraId="45AF5908" w14:textId="77777777" w:rsidR="0063325C" w:rsidRPr="0063325C" w:rsidRDefault="0063325C" w:rsidP="00434CD5">
      <w:pPr>
        <w:numPr>
          <w:ilvl w:val="0"/>
          <w:numId w:val="331"/>
        </w:numPr>
        <w:ind w:hanging="578"/>
        <w:rPr>
          <w:rFonts w:eastAsia="Calibri" w:cstheme="minorHAnsi"/>
          <w:b/>
        </w:rPr>
      </w:pPr>
      <w:r w:rsidRPr="0063325C">
        <w:rPr>
          <w:rFonts w:eastAsia="Calibri" w:cstheme="minorHAnsi"/>
          <w:b/>
        </w:rPr>
        <w:t xml:space="preserve">Les affluents du fleuve </w:t>
      </w:r>
      <w:r w:rsidRPr="0063325C">
        <w:rPr>
          <w:rFonts w:eastAsia="Calibri" w:cstheme="minorHAnsi"/>
          <w:b/>
        </w:rPr>
        <w:tab/>
      </w:r>
    </w:p>
    <w:p w14:paraId="72F76CD5" w14:textId="77777777" w:rsidR="0063325C" w:rsidRPr="0063325C" w:rsidRDefault="0063325C" w:rsidP="00434CD5">
      <w:pPr>
        <w:jc w:val="both"/>
        <w:rPr>
          <w:rFonts w:eastAsia="Calibri" w:cstheme="minorHAnsi"/>
        </w:rPr>
      </w:pPr>
      <w:r w:rsidRPr="0063325C">
        <w:rPr>
          <w:rFonts w:eastAsia="Calibri" w:cstheme="minorHAnsi"/>
        </w:rPr>
        <w:t xml:space="preserve">Le Karakoro, le Gorgol noir, le Gorgol blanc et le Garfa sont des affluents du Fleuve Sénégal. L’Assaba constitue la ligne de partage des eaux entre les bassins du </w:t>
      </w:r>
      <w:proofErr w:type="gramStart"/>
      <w:r w:rsidRPr="0063325C">
        <w:rPr>
          <w:rFonts w:eastAsia="Calibri" w:cstheme="minorHAnsi"/>
        </w:rPr>
        <w:t>Karakoro ,</w:t>
      </w:r>
      <w:proofErr w:type="gramEnd"/>
      <w:r w:rsidRPr="0063325C">
        <w:rPr>
          <w:rFonts w:eastAsia="Calibri" w:cstheme="minorHAnsi"/>
        </w:rPr>
        <w:t xml:space="preserve"> d’une part, du Gorgol et du Garfa d’autre part.</w:t>
      </w:r>
    </w:p>
    <w:p w14:paraId="19171AEC" w14:textId="77777777" w:rsidR="0063325C" w:rsidRPr="0063325C" w:rsidRDefault="0063325C" w:rsidP="0063325C">
      <w:pPr>
        <w:rPr>
          <w:rFonts w:eastAsia="Calibri" w:cstheme="minorHAnsi"/>
          <w:b/>
          <w:bCs/>
        </w:rPr>
      </w:pPr>
      <w:r w:rsidRPr="0063325C">
        <w:rPr>
          <w:rFonts w:eastAsia="Calibri" w:cstheme="minorHAnsi"/>
          <w:b/>
          <w:bCs/>
        </w:rPr>
        <w:t>© Les lacs</w:t>
      </w:r>
    </w:p>
    <w:p w14:paraId="267086CF" w14:textId="2574619A" w:rsidR="0063325C" w:rsidRPr="0063325C" w:rsidRDefault="0063325C" w:rsidP="0063325C">
      <w:pPr>
        <w:rPr>
          <w:rFonts w:eastAsia="Calibri" w:cstheme="minorHAnsi"/>
        </w:rPr>
      </w:pPr>
      <w:r w:rsidRPr="0063325C">
        <w:rPr>
          <w:rFonts w:eastAsia="Calibri" w:cstheme="minorHAnsi"/>
        </w:rPr>
        <w:t xml:space="preserve">L’oued </w:t>
      </w:r>
      <w:r w:rsidR="0040247E" w:rsidRPr="0063325C">
        <w:rPr>
          <w:rFonts w:eastAsia="Calibri" w:cstheme="minorHAnsi"/>
        </w:rPr>
        <w:t>Ketchi,</w:t>
      </w:r>
      <w:r w:rsidRPr="0063325C">
        <w:rPr>
          <w:rFonts w:eastAsia="Calibri" w:cstheme="minorHAnsi"/>
        </w:rPr>
        <w:t xml:space="preserve"> le lac </w:t>
      </w:r>
      <w:r w:rsidR="0040247E" w:rsidRPr="0063325C">
        <w:rPr>
          <w:rFonts w:eastAsia="Calibri" w:cstheme="minorHAnsi"/>
        </w:rPr>
        <w:t>d’Aleg et</w:t>
      </w:r>
      <w:r w:rsidRPr="0063325C">
        <w:rPr>
          <w:rFonts w:eastAsia="Calibri" w:cstheme="minorHAnsi"/>
        </w:rPr>
        <w:t xml:space="preserve"> le lac R’kiz constituent une autre artère </w:t>
      </w:r>
      <w:r w:rsidR="0040247E" w:rsidRPr="0063325C">
        <w:rPr>
          <w:rFonts w:eastAsia="Calibri" w:cstheme="minorHAnsi"/>
        </w:rPr>
        <w:t>hydrographique.</w:t>
      </w:r>
    </w:p>
    <w:p w14:paraId="45F07A15" w14:textId="0B379537" w:rsidR="0063325C" w:rsidRPr="0063325C" w:rsidRDefault="0063325C" w:rsidP="00434CD5">
      <w:pPr>
        <w:jc w:val="both"/>
        <w:rPr>
          <w:rFonts w:eastAsia="Calibri" w:cstheme="minorHAnsi"/>
        </w:rPr>
      </w:pPr>
      <w:r w:rsidRPr="0063325C">
        <w:rPr>
          <w:rFonts w:eastAsia="Calibri" w:cstheme="minorHAnsi"/>
        </w:rPr>
        <w:t>Le lac R’kiz</w:t>
      </w:r>
      <w:r w:rsidR="0040247E">
        <w:rPr>
          <w:rFonts w:eastAsia="Calibri" w:cstheme="minorHAnsi"/>
        </w:rPr>
        <w:t>,</w:t>
      </w:r>
      <w:r w:rsidRPr="0063325C">
        <w:rPr>
          <w:rFonts w:eastAsia="Calibri" w:cstheme="minorHAnsi"/>
        </w:rPr>
        <w:t xml:space="preserve"> situé à une vingtaine de kilomètres au Nord du fleuve Sénégal a une superficie de 1200 ha. Le lac communique avec le fleuve par plusieurs marigots : le laouwaja, le Sokam, le Sekeirim et le Khamlach. </w:t>
      </w:r>
      <w:proofErr w:type="gramStart"/>
      <w:r w:rsidRPr="0063325C">
        <w:rPr>
          <w:rFonts w:eastAsia="Calibri" w:cstheme="minorHAnsi"/>
        </w:rPr>
        <w:t>le</w:t>
      </w:r>
      <w:proofErr w:type="gramEnd"/>
      <w:r w:rsidRPr="0063325C">
        <w:rPr>
          <w:rFonts w:eastAsia="Calibri" w:cstheme="minorHAnsi"/>
        </w:rPr>
        <w:t xml:space="preserve"> remplissage du lac se fait par la crue du fleuve entre septembre et novembre, mais il est contrôlé par des ouvrages à </w:t>
      </w:r>
      <w:r w:rsidR="0040247E" w:rsidRPr="0063325C">
        <w:rPr>
          <w:rFonts w:eastAsia="Calibri" w:cstheme="minorHAnsi"/>
        </w:rPr>
        <w:t>vannes, l’eau</w:t>
      </w:r>
      <w:r w:rsidRPr="0063325C">
        <w:rPr>
          <w:rFonts w:eastAsia="Calibri" w:cstheme="minorHAnsi"/>
        </w:rPr>
        <w:t xml:space="preserve"> atteint la hauteur </w:t>
      </w:r>
      <w:r w:rsidR="0040247E" w:rsidRPr="0063325C">
        <w:rPr>
          <w:rFonts w:eastAsia="Calibri" w:cstheme="minorHAnsi"/>
        </w:rPr>
        <w:t>d’un</w:t>
      </w:r>
      <w:r w:rsidRPr="0063325C">
        <w:rPr>
          <w:rFonts w:eastAsia="Calibri" w:cstheme="minorHAnsi"/>
        </w:rPr>
        <w:t xml:space="preserve"> mètre environ. Cette hauteur diminue vers avril, le lac est asséché complètement, ce qui donne accès aux terres de culture situées dans la dépression.</w:t>
      </w:r>
    </w:p>
    <w:p w14:paraId="35884B06" w14:textId="6E642376" w:rsidR="0063325C" w:rsidRPr="0063325C" w:rsidRDefault="0063325C" w:rsidP="00434CD5">
      <w:pPr>
        <w:jc w:val="both"/>
        <w:rPr>
          <w:rFonts w:eastAsia="Calibri" w:cstheme="minorHAnsi"/>
        </w:rPr>
      </w:pPr>
      <w:r w:rsidRPr="0063325C">
        <w:rPr>
          <w:rFonts w:eastAsia="Calibri" w:cstheme="minorHAnsi"/>
        </w:rPr>
        <w:t>Une centaine de pirogue ayant à bord 1 ou 2 pêcheurs sillonnent le lac à partir du mois de septembre. La pêche se fait à l’aide des filets maillants fixes relevés matin et soir, on pêche aussi à l’épervier et avec la palangre.</w:t>
      </w:r>
    </w:p>
    <w:p w14:paraId="48B30563" w14:textId="4BA9FDC9" w:rsidR="0063325C" w:rsidRPr="0063325C" w:rsidRDefault="0063325C" w:rsidP="00434CD5">
      <w:pPr>
        <w:jc w:val="both"/>
        <w:rPr>
          <w:rFonts w:eastAsia="Calibri" w:cstheme="minorHAnsi"/>
        </w:rPr>
      </w:pPr>
      <w:r w:rsidRPr="0063325C">
        <w:rPr>
          <w:rFonts w:eastAsia="Calibri" w:cstheme="minorHAnsi"/>
        </w:rPr>
        <w:t>Les espèces rencontrées sont : lates niloticus, hydrocyon brevis, Heterotis niloticus, Clarias anguillaris, Heterotis niloticus, Clarias anguillaris, Heterobranchus bidorsalis, Gymnarchus niloticus.</w:t>
      </w:r>
    </w:p>
    <w:p w14:paraId="16E28980" w14:textId="77777777" w:rsidR="0063325C" w:rsidRPr="0063325C" w:rsidRDefault="0063325C" w:rsidP="0063325C">
      <w:pPr>
        <w:rPr>
          <w:rFonts w:eastAsia="Calibri" w:cstheme="minorHAnsi"/>
          <w:b/>
          <w:bCs/>
        </w:rPr>
      </w:pPr>
      <w:r w:rsidRPr="0063325C">
        <w:rPr>
          <w:rFonts w:eastAsia="Calibri" w:cstheme="minorHAnsi"/>
          <w:b/>
          <w:bCs/>
        </w:rPr>
        <w:t xml:space="preserve">(d) les mares </w:t>
      </w:r>
    </w:p>
    <w:p w14:paraId="0BC1A182" w14:textId="3F68201A" w:rsidR="0063325C" w:rsidRPr="0063325C" w:rsidRDefault="0063325C" w:rsidP="00434CD5">
      <w:pPr>
        <w:jc w:val="both"/>
        <w:rPr>
          <w:rFonts w:eastAsia="Calibri" w:cstheme="minorHAnsi"/>
        </w:rPr>
      </w:pPr>
      <w:r w:rsidRPr="0063325C">
        <w:rPr>
          <w:rFonts w:eastAsia="Calibri" w:cstheme="minorHAnsi"/>
        </w:rPr>
        <w:t xml:space="preserve">Dans les dépressions, au-delà du bourrelet marquant le lit mineur, on trouve des cuvettes inondables, l’alimentation en eau de ces cuvettes se fait la </w:t>
      </w:r>
      <w:r w:rsidR="0040247E" w:rsidRPr="0063325C">
        <w:rPr>
          <w:rFonts w:eastAsia="Calibri" w:cstheme="minorHAnsi"/>
        </w:rPr>
        <w:t>plupart</w:t>
      </w:r>
      <w:r w:rsidRPr="0063325C">
        <w:rPr>
          <w:rFonts w:eastAsia="Calibri" w:cstheme="minorHAnsi"/>
        </w:rPr>
        <w:t xml:space="preserve"> du temps par un marigot, issu du fleuve ou d’un défluent. Le recensement des mares a été fait lors de l’étude de l’incidence sur la pêche de l’aménagement hydro électrique du fleuve Sénégal.</w:t>
      </w:r>
    </w:p>
    <w:p w14:paraId="1E5DBFEF" w14:textId="18A46475" w:rsidR="0063325C" w:rsidRPr="0063325C" w:rsidRDefault="0063325C" w:rsidP="0063325C">
      <w:pPr>
        <w:numPr>
          <w:ilvl w:val="1"/>
          <w:numId w:val="336"/>
        </w:numPr>
        <w:rPr>
          <w:rFonts w:eastAsia="Calibri" w:cstheme="minorHAnsi"/>
          <w:b/>
          <w:bCs/>
        </w:rPr>
      </w:pPr>
      <w:r w:rsidRPr="0063325C">
        <w:rPr>
          <w:rFonts w:eastAsia="Calibri" w:cstheme="minorHAnsi"/>
          <w:b/>
          <w:bCs/>
        </w:rPr>
        <w:t xml:space="preserve">Caractéristiques de la pêche continentale </w:t>
      </w:r>
    </w:p>
    <w:p w14:paraId="0D990726" w14:textId="46ADCCA5" w:rsidR="0063325C" w:rsidRPr="0063325C" w:rsidRDefault="0063325C" w:rsidP="00434CD5">
      <w:pPr>
        <w:jc w:val="both"/>
        <w:rPr>
          <w:rFonts w:eastAsia="Calibri" w:cstheme="minorHAnsi"/>
        </w:rPr>
      </w:pPr>
      <w:r w:rsidRPr="0063325C">
        <w:rPr>
          <w:rFonts w:eastAsia="Calibri" w:cstheme="minorHAnsi"/>
        </w:rPr>
        <w:t>La pêche continentale est pratiquée : sur le fleuve Sénégal</w:t>
      </w:r>
      <w:r w:rsidR="0040247E">
        <w:rPr>
          <w:rFonts w:eastAsia="Calibri" w:cstheme="minorHAnsi"/>
        </w:rPr>
        <w:t xml:space="preserve"> </w:t>
      </w:r>
      <w:r w:rsidRPr="0063325C">
        <w:rPr>
          <w:rFonts w:eastAsia="Calibri" w:cstheme="minorHAnsi"/>
        </w:rPr>
        <w:t>(</w:t>
      </w:r>
      <w:r w:rsidR="0040247E" w:rsidRPr="0063325C">
        <w:rPr>
          <w:rFonts w:eastAsia="Calibri" w:cstheme="minorHAnsi"/>
        </w:rPr>
        <w:t>la rive fluviale</w:t>
      </w:r>
      <w:r w:rsidRPr="0063325C">
        <w:rPr>
          <w:rFonts w:eastAsia="Calibri" w:cstheme="minorHAnsi"/>
        </w:rPr>
        <w:t xml:space="preserve"> est de 850 km), les plaines inondables</w:t>
      </w:r>
      <w:r w:rsidR="0040247E">
        <w:rPr>
          <w:rFonts w:eastAsia="Calibri" w:cstheme="minorHAnsi"/>
        </w:rPr>
        <w:t xml:space="preserve"> </w:t>
      </w:r>
      <w:r w:rsidRPr="0063325C">
        <w:rPr>
          <w:rFonts w:eastAsia="Calibri" w:cstheme="minorHAnsi"/>
        </w:rPr>
        <w:t>(plus de 3500 Km), ses affluents, les mares et les différentes retenues d’eau douce à l’intérieur du pays, plus de 30 plans d’eau permanents à l’intérieur du pays (les deux Hodhs, Assaba, Tagant, Guidimaka, Gorgol, Brakna et le Trarza). Elle offre :</w:t>
      </w:r>
    </w:p>
    <w:p w14:paraId="42B3EFAE" w14:textId="77777777" w:rsidR="0063325C" w:rsidRPr="0063325C" w:rsidRDefault="0063325C" w:rsidP="0063325C">
      <w:pPr>
        <w:numPr>
          <w:ilvl w:val="0"/>
          <w:numId w:val="332"/>
        </w:numPr>
        <w:rPr>
          <w:rFonts w:eastAsia="Calibri" w:cstheme="minorHAnsi"/>
        </w:rPr>
      </w:pPr>
      <w:r w:rsidRPr="0063325C">
        <w:rPr>
          <w:rFonts w:eastAsia="Calibri" w:cstheme="minorHAnsi"/>
        </w:rPr>
        <w:t>Une production halieutique estimée à près de 20 000 tonnes par an.</w:t>
      </w:r>
    </w:p>
    <w:p w14:paraId="0BFECCDE" w14:textId="77777777" w:rsidR="0063325C" w:rsidRPr="0063325C" w:rsidRDefault="0063325C" w:rsidP="0063325C">
      <w:pPr>
        <w:numPr>
          <w:ilvl w:val="0"/>
          <w:numId w:val="332"/>
        </w:numPr>
        <w:rPr>
          <w:rFonts w:eastAsia="Calibri" w:cstheme="minorHAnsi"/>
        </w:rPr>
      </w:pPr>
      <w:r w:rsidRPr="0063325C">
        <w:rPr>
          <w:rFonts w:eastAsia="Calibri" w:cstheme="minorHAnsi"/>
        </w:rPr>
        <w:t xml:space="preserve">Une main d’œuvre potentielle se chiffrant à 23 000 emplois dont plus de 97% occupés par des étrangers venant des pays limitrophes, </w:t>
      </w:r>
    </w:p>
    <w:p w14:paraId="49060E48" w14:textId="77777777" w:rsidR="0063325C" w:rsidRPr="0063325C" w:rsidRDefault="0063325C" w:rsidP="0063325C">
      <w:pPr>
        <w:numPr>
          <w:ilvl w:val="0"/>
          <w:numId w:val="332"/>
        </w:numPr>
        <w:rPr>
          <w:rFonts w:eastAsia="Calibri" w:cstheme="minorHAnsi"/>
          <w:b/>
          <w:bCs/>
        </w:rPr>
      </w:pPr>
      <w:r w:rsidRPr="0063325C">
        <w:rPr>
          <w:rFonts w:eastAsia="Calibri" w:cstheme="minorHAnsi"/>
        </w:rPr>
        <w:t>Un chiffre d’affaires de plus d’un milliard MRO.</w:t>
      </w:r>
    </w:p>
    <w:p w14:paraId="085EAB63" w14:textId="77777777" w:rsidR="0063325C" w:rsidRPr="0063325C" w:rsidRDefault="0063325C" w:rsidP="0063325C">
      <w:pPr>
        <w:numPr>
          <w:ilvl w:val="1"/>
          <w:numId w:val="336"/>
        </w:numPr>
        <w:rPr>
          <w:rFonts w:eastAsia="Calibri" w:cstheme="minorHAnsi"/>
          <w:b/>
          <w:bCs/>
        </w:rPr>
      </w:pPr>
      <w:r w:rsidRPr="0063325C">
        <w:rPr>
          <w:rFonts w:eastAsia="Calibri" w:cstheme="minorHAnsi"/>
          <w:b/>
          <w:bCs/>
        </w:rPr>
        <w:t>Information sur l’effort de pêche (les acteurs et les engins de pêche)</w:t>
      </w:r>
    </w:p>
    <w:p w14:paraId="32E1B687" w14:textId="77777777" w:rsidR="0063325C" w:rsidRPr="0063325C" w:rsidRDefault="0063325C" w:rsidP="0063325C">
      <w:pPr>
        <w:rPr>
          <w:rFonts w:eastAsia="Calibri" w:cstheme="minorHAnsi"/>
          <w:bCs/>
        </w:rPr>
      </w:pPr>
      <w:r w:rsidRPr="0063325C">
        <w:rPr>
          <w:rFonts w:eastAsia="Calibri" w:cstheme="minorHAnsi"/>
          <w:bCs/>
        </w:rPr>
        <w:t xml:space="preserve">Description de l’effort de pêche de certains plans d’eau des Wilayas du </w:t>
      </w:r>
      <w:proofErr w:type="spellStart"/>
      <w:proofErr w:type="gramStart"/>
      <w:r w:rsidRPr="0063325C">
        <w:rPr>
          <w:rFonts w:eastAsia="Calibri" w:cstheme="minorHAnsi"/>
          <w:bCs/>
        </w:rPr>
        <w:t>Trarza,Gorgol</w:t>
      </w:r>
      <w:proofErr w:type="spellEnd"/>
      <w:proofErr w:type="gramEnd"/>
      <w:r w:rsidRPr="0063325C">
        <w:rPr>
          <w:rFonts w:eastAsia="Calibri" w:cstheme="minorHAnsi"/>
          <w:bCs/>
        </w:rPr>
        <w:t>, Assaba</w:t>
      </w:r>
    </w:p>
    <w:tbl>
      <w:tblPr>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228"/>
        <w:gridCol w:w="898"/>
        <w:gridCol w:w="709"/>
        <w:gridCol w:w="1133"/>
        <w:gridCol w:w="1700"/>
        <w:gridCol w:w="1558"/>
      </w:tblGrid>
      <w:tr w:rsidR="0063325C" w:rsidRPr="0063325C" w14:paraId="1A70DB39" w14:textId="77777777" w:rsidTr="00361052">
        <w:tc>
          <w:tcPr>
            <w:tcW w:w="1668" w:type="dxa"/>
            <w:vMerge w:val="restart"/>
          </w:tcPr>
          <w:p w14:paraId="1824306A" w14:textId="77777777" w:rsidR="0063325C" w:rsidRPr="0063325C" w:rsidRDefault="0063325C" w:rsidP="0063325C">
            <w:pPr>
              <w:rPr>
                <w:rFonts w:eastAsia="Calibri" w:cstheme="minorHAnsi"/>
                <w:bCs/>
              </w:rPr>
            </w:pPr>
          </w:p>
          <w:p w14:paraId="3F61FE0B" w14:textId="77777777" w:rsidR="0063325C" w:rsidRPr="0063325C" w:rsidRDefault="0063325C" w:rsidP="0063325C">
            <w:pPr>
              <w:rPr>
                <w:rFonts w:eastAsia="Calibri" w:cstheme="minorHAnsi"/>
                <w:bCs/>
              </w:rPr>
            </w:pPr>
            <w:r w:rsidRPr="0063325C">
              <w:rPr>
                <w:rFonts w:eastAsia="Calibri" w:cstheme="minorHAnsi"/>
                <w:bCs/>
              </w:rPr>
              <w:t>Zone de pêche</w:t>
            </w:r>
          </w:p>
          <w:p w14:paraId="2D5BB3EE" w14:textId="77777777" w:rsidR="0063325C" w:rsidRPr="0063325C" w:rsidRDefault="0063325C" w:rsidP="0063325C">
            <w:pPr>
              <w:rPr>
                <w:rFonts w:eastAsia="Calibri" w:cstheme="minorHAnsi"/>
                <w:bCs/>
              </w:rPr>
            </w:pPr>
          </w:p>
        </w:tc>
        <w:tc>
          <w:tcPr>
            <w:tcW w:w="2126" w:type="dxa"/>
            <w:gridSpan w:val="2"/>
            <w:hideMark/>
          </w:tcPr>
          <w:p w14:paraId="32127353" w14:textId="77777777" w:rsidR="0063325C" w:rsidRPr="0063325C" w:rsidRDefault="0063325C" w:rsidP="0063325C">
            <w:pPr>
              <w:rPr>
                <w:rFonts w:eastAsia="Calibri" w:cstheme="minorHAnsi"/>
                <w:bCs/>
              </w:rPr>
            </w:pPr>
            <w:r w:rsidRPr="0063325C">
              <w:rPr>
                <w:rFonts w:eastAsia="Calibri" w:cstheme="minorHAnsi"/>
                <w:bCs/>
              </w:rPr>
              <w:t>Nombre d’embarcation</w:t>
            </w:r>
          </w:p>
        </w:tc>
        <w:tc>
          <w:tcPr>
            <w:tcW w:w="1842" w:type="dxa"/>
            <w:gridSpan w:val="2"/>
            <w:vMerge w:val="restart"/>
            <w:hideMark/>
          </w:tcPr>
          <w:p w14:paraId="08DF0408" w14:textId="77777777" w:rsidR="0063325C" w:rsidRPr="0063325C" w:rsidRDefault="0063325C" w:rsidP="0063325C">
            <w:pPr>
              <w:rPr>
                <w:rFonts w:eastAsia="Calibri" w:cstheme="minorHAnsi"/>
                <w:bCs/>
              </w:rPr>
            </w:pPr>
            <w:r w:rsidRPr="0063325C">
              <w:rPr>
                <w:rFonts w:eastAsia="Calibri" w:cstheme="minorHAnsi"/>
                <w:bCs/>
              </w:rPr>
              <w:t>Engins de pêche</w:t>
            </w:r>
          </w:p>
        </w:tc>
        <w:tc>
          <w:tcPr>
            <w:tcW w:w="3258" w:type="dxa"/>
            <w:gridSpan w:val="2"/>
            <w:vMerge w:val="restart"/>
            <w:hideMark/>
          </w:tcPr>
          <w:p w14:paraId="6EAA6851" w14:textId="77777777" w:rsidR="0063325C" w:rsidRPr="0063325C" w:rsidRDefault="0063325C" w:rsidP="0063325C">
            <w:pPr>
              <w:rPr>
                <w:rFonts w:eastAsia="Calibri" w:cstheme="minorHAnsi"/>
                <w:bCs/>
              </w:rPr>
            </w:pPr>
            <w:r w:rsidRPr="0063325C">
              <w:rPr>
                <w:rFonts w:eastAsia="Calibri" w:cstheme="minorHAnsi"/>
                <w:bCs/>
              </w:rPr>
              <w:t>Nombre de pêcheurs</w:t>
            </w:r>
          </w:p>
        </w:tc>
      </w:tr>
      <w:tr w:rsidR="0063325C" w:rsidRPr="0063325C" w14:paraId="72CA308C" w14:textId="77777777" w:rsidTr="00361052">
        <w:tc>
          <w:tcPr>
            <w:tcW w:w="1668" w:type="dxa"/>
            <w:vMerge/>
            <w:vAlign w:val="center"/>
            <w:hideMark/>
          </w:tcPr>
          <w:p w14:paraId="7696CD7B" w14:textId="77777777" w:rsidR="0063325C" w:rsidRPr="0063325C" w:rsidRDefault="0063325C" w:rsidP="0063325C">
            <w:pPr>
              <w:rPr>
                <w:rFonts w:eastAsia="Calibri" w:cstheme="minorHAnsi"/>
                <w:bCs/>
              </w:rPr>
            </w:pPr>
          </w:p>
        </w:tc>
        <w:tc>
          <w:tcPr>
            <w:tcW w:w="1228" w:type="dxa"/>
          </w:tcPr>
          <w:p w14:paraId="1255D53B" w14:textId="77777777" w:rsidR="0063325C" w:rsidRPr="0063325C" w:rsidRDefault="0063325C" w:rsidP="0063325C">
            <w:pPr>
              <w:rPr>
                <w:rFonts w:eastAsia="Calibri" w:cstheme="minorHAnsi"/>
              </w:rPr>
            </w:pPr>
          </w:p>
        </w:tc>
        <w:tc>
          <w:tcPr>
            <w:tcW w:w="898" w:type="dxa"/>
          </w:tcPr>
          <w:p w14:paraId="01E2017E" w14:textId="77777777" w:rsidR="0063325C" w:rsidRPr="0063325C" w:rsidRDefault="0063325C" w:rsidP="0063325C">
            <w:pPr>
              <w:rPr>
                <w:rFonts w:eastAsia="Calibri" w:cstheme="minorHAnsi"/>
              </w:rPr>
            </w:pPr>
          </w:p>
        </w:tc>
        <w:tc>
          <w:tcPr>
            <w:tcW w:w="1842" w:type="dxa"/>
            <w:gridSpan w:val="2"/>
            <w:vMerge/>
            <w:vAlign w:val="center"/>
            <w:hideMark/>
          </w:tcPr>
          <w:p w14:paraId="565FF612" w14:textId="77777777" w:rsidR="0063325C" w:rsidRPr="0063325C" w:rsidRDefault="0063325C" w:rsidP="0063325C">
            <w:pPr>
              <w:rPr>
                <w:rFonts w:eastAsia="Calibri" w:cstheme="minorHAnsi"/>
                <w:bCs/>
              </w:rPr>
            </w:pPr>
          </w:p>
        </w:tc>
        <w:tc>
          <w:tcPr>
            <w:tcW w:w="3258" w:type="dxa"/>
            <w:gridSpan w:val="2"/>
            <w:vMerge/>
            <w:vAlign w:val="center"/>
            <w:hideMark/>
          </w:tcPr>
          <w:p w14:paraId="3A6FEC54" w14:textId="77777777" w:rsidR="0063325C" w:rsidRPr="0063325C" w:rsidRDefault="0063325C" w:rsidP="0063325C">
            <w:pPr>
              <w:rPr>
                <w:rFonts w:eastAsia="Calibri" w:cstheme="minorHAnsi"/>
                <w:bCs/>
              </w:rPr>
            </w:pPr>
          </w:p>
        </w:tc>
      </w:tr>
      <w:tr w:rsidR="0063325C" w:rsidRPr="0063325C" w14:paraId="22891995" w14:textId="77777777" w:rsidTr="00361052">
        <w:tc>
          <w:tcPr>
            <w:tcW w:w="1668" w:type="dxa"/>
          </w:tcPr>
          <w:p w14:paraId="51B5697D" w14:textId="77777777" w:rsidR="0063325C" w:rsidRPr="0063325C" w:rsidRDefault="0063325C" w:rsidP="0063325C">
            <w:pPr>
              <w:rPr>
                <w:rFonts w:eastAsia="Calibri" w:cstheme="minorHAnsi"/>
              </w:rPr>
            </w:pPr>
          </w:p>
        </w:tc>
        <w:tc>
          <w:tcPr>
            <w:tcW w:w="1228" w:type="dxa"/>
            <w:hideMark/>
          </w:tcPr>
          <w:p w14:paraId="379CB95A" w14:textId="77777777" w:rsidR="0063325C" w:rsidRPr="0063325C" w:rsidRDefault="0063325C" w:rsidP="0063325C">
            <w:pPr>
              <w:rPr>
                <w:rFonts w:eastAsia="Calibri" w:cstheme="minorHAnsi"/>
                <w:lang w:val="de-DE"/>
              </w:rPr>
            </w:pPr>
            <w:r w:rsidRPr="0063325C">
              <w:rPr>
                <w:rFonts w:eastAsia="Calibri" w:cstheme="minorHAnsi"/>
                <w:lang w:val="de-DE"/>
              </w:rPr>
              <w:t>Pirogue</w:t>
            </w:r>
          </w:p>
          <w:p w14:paraId="127F7C7A" w14:textId="77777777" w:rsidR="0063325C" w:rsidRPr="0063325C" w:rsidRDefault="0063325C" w:rsidP="0063325C">
            <w:pPr>
              <w:rPr>
                <w:rFonts w:eastAsia="Calibri" w:cstheme="minorHAnsi"/>
                <w:lang w:val="de-DE"/>
              </w:rPr>
            </w:pPr>
            <w:proofErr w:type="spellStart"/>
            <w:r w:rsidRPr="0063325C">
              <w:rPr>
                <w:rFonts w:eastAsia="Calibri" w:cstheme="minorHAnsi"/>
                <w:lang w:val="de-DE"/>
              </w:rPr>
              <w:t>Monoxyle</w:t>
            </w:r>
            <w:proofErr w:type="spellEnd"/>
            <w:r w:rsidRPr="0063325C">
              <w:rPr>
                <w:rFonts w:eastAsia="Calibri" w:cstheme="minorHAnsi"/>
                <w:lang w:val="de-DE"/>
              </w:rPr>
              <w:t xml:space="preserve"> </w:t>
            </w:r>
          </w:p>
        </w:tc>
        <w:tc>
          <w:tcPr>
            <w:tcW w:w="898" w:type="dxa"/>
            <w:hideMark/>
          </w:tcPr>
          <w:p w14:paraId="3FD71270" w14:textId="77777777" w:rsidR="0063325C" w:rsidRPr="0063325C" w:rsidRDefault="0063325C" w:rsidP="0063325C">
            <w:pPr>
              <w:rPr>
                <w:rFonts w:eastAsia="Calibri" w:cstheme="minorHAnsi"/>
                <w:lang w:val="de-DE"/>
              </w:rPr>
            </w:pPr>
            <w:r w:rsidRPr="0063325C">
              <w:rPr>
                <w:rFonts w:eastAsia="Calibri" w:cstheme="minorHAnsi"/>
                <w:lang w:val="de-DE"/>
              </w:rPr>
              <w:t xml:space="preserve">Autres </w:t>
            </w:r>
          </w:p>
        </w:tc>
        <w:tc>
          <w:tcPr>
            <w:tcW w:w="709" w:type="dxa"/>
          </w:tcPr>
          <w:p w14:paraId="38EB1C6B" w14:textId="77777777" w:rsidR="0063325C" w:rsidRPr="0063325C" w:rsidRDefault="0063325C" w:rsidP="0063325C">
            <w:pPr>
              <w:rPr>
                <w:rFonts w:eastAsia="Calibri" w:cstheme="minorHAnsi"/>
              </w:rPr>
            </w:pPr>
          </w:p>
        </w:tc>
        <w:tc>
          <w:tcPr>
            <w:tcW w:w="1133" w:type="dxa"/>
          </w:tcPr>
          <w:p w14:paraId="2EAE0485" w14:textId="77777777" w:rsidR="0063325C" w:rsidRPr="0063325C" w:rsidRDefault="0063325C" w:rsidP="0063325C">
            <w:pPr>
              <w:rPr>
                <w:rFonts w:eastAsia="Calibri" w:cstheme="minorHAnsi"/>
              </w:rPr>
            </w:pPr>
          </w:p>
        </w:tc>
        <w:tc>
          <w:tcPr>
            <w:tcW w:w="1700" w:type="dxa"/>
            <w:hideMark/>
          </w:tcPr>
          <w:p w14:paraId="64F03F60" w14:textId="77777777" w:rsidR="0063325C" w:rsidRPr="0063325C" w:rsidRDefault="0063325C" w:rsidP="0063325C">
            <w:pPr>
              <w:rPr>
                <w:rFonts w:eastAsia="Calibri" w:cstheme="minorHAnsi"/>
              </w:rPr>
            </w:pPr>
            <w:r w:rsidRPr="0063325C">
              <w:rPr>
                <w:rFonts w:eastAsia="Calibri" w:cstheme="minorHAnsi"/>
              </w:rPr>
              <w:t xml:space="preserve">Professionnels </w:t>
            </w:r>
          </w:p>
        </w:tc>
        <w:tc>
          <w:tcPr>
            <w:tcW w:w="1558" w:type="dxa"/>
            <w:hideMark/>
          </w:tcPr>
          <w:p w14:paraId="6FBC36A4" w14:textId="77777777" w:rsidR="0063325C" w:rsidRPr="0063325C" w:rsidRDefault="0063325C" w:rsidP="0063325C">
            <w:pPr>
              <w:rPr>
                <w:rFonts w:eastAsia="Calibri" w:cstheme="minorHAnsi"/>
              </w:rPr>
            </w:pPr>
            <w:proofErr w:type="spellStart"/>
            <w:r w:rsidRPr="0063325C">
              <w:rPr>
                <w:rFonts w:eastAsia="Calibri" w:cstheme="minorHAnsi"/>
              </w:rPr>
              <w:t>Nonprofessionnels</w:t>
            </w:r>
            <w:proofErr w:type="spellEnd"/>
            <w:r w:rsidRPr="0063325C">
              <w:rPr>
                <w:rFonts w:eastAsia="Calibri" w:cstheme="minorHAnsi"/>
              </w:rPr>
              <w:t xml:space="preserve"> </w:t>
            </w:r>
          </w:p>
        </w:tc>
      </w:tr>
      <w:tr w:rsidR="0063325C" w:rsidRPr="0063325C" w14:paraId="435AF0F4" w14:textId="77777777" w:rsidTr="00361052">
        <w:tc>
          <w:tcPr>
            <w:tcW w:w="1668" w:type="dxa"/>
          </w:tcPr>
          <w:p w14:paraId="00A7211B" w14:textId="77777777" w:rsidR="0063325C" w:rsidRPr="0063325C" w:rsidRDefault="0063325C" w:rsidP="0063325C">
            <w:pPr>
              <w:rPr>
                <w:rFonts w:eastAsia="Calibri" w:cstheme="minorHAnsi"/>
              </w:rPr>
            </w:pPr>
          </w:p>
          <w:p w14:paraId="26ADB039" w14:textId="77777777" w:rsidR="0063325C" w:rsidRPr="0063325C" w:rsidRDefault="0063325C" w:rsidP="0063325C">
            <w:pPr>
              <w:rPr>
                <w:rFonts w:eastAsia="Calibri" w:cstheme="minorHAnsi"/>
              </w:rPr>
            </w:pPr>
            <w:r w:rsidRPr="0063325C">
              <w:rPr>
                <w:rFonts w:eastAsia="Calibri" w:cstheme="minorHAnsi"/>
              </w:rPr>
              <w:t xml:space="preserve">FLEUVE </w:t>
            </w:r>
          </w:p>
          <w:p w14:paraId="704E4303" w14:textId="77777777" w:rsidR="0063325C" w:rsidRPr="0063325C" w:rsidRDefault="0063325C" w:rsidP="0063325C">
            <w:pPr>
              <w:rPr>
                <w:rFonts w:eastAsia="Calibri" w:cstheme="minorHAnsi"/>
              </w:rPr>
            </w:pPr>
            <w:r w:rsidRPr="0063325C">
              <w:rPr>
                <w:rFonts w:eastAsia="Calibri" w:cstheme="minorHAnsi"/>
              </w:rPr>
              <w:t xml:space="preserve">Birette </w:t>
            </w:r>
          </w:p>
          <w:p w14:paraId="056DBA4D" w14:textId="77777777" w:rsidR="0063325C" w:rsidRPr="0063325C" w:rsidRDefault="0063325C" w:rsidP="0063325C">
            <w:pPr>
              <w:rPr>
                <w:rFonts w:eastAsia="Calibri" w:cstheme="minorHAnsi"/>
              </w:rPr>
            </w:pPr>
            <w:r w:rsidRPr="0063325C">
              <w:rPr>
                <w:rFonts w:eastAsia="Calibri" w:cstheme="minorHAnsi"/>
              </w:rPr>
              <w:t>Diama</w:t>
            </w:r>
          </w:p>
          <w:p w14:paraId="5D90BC91" w14:textId="77777777" w:rsidR="0063325C" w:rsidRPr="0063325C" w:rsidRDefault="0063325C" w:rsidP="0063325C">
            <w:pPr>
              <w:rPr>
                <w:rFonts w:eastAsia="Calibri" w:cstheme="minorHAnsi"/>
              </w:rPr>
            </w:pPr>
            <w:r w:rsidRPr="0063325C">
              <w:rPr>
                <w:rFonts w:eastAsia="Calibri" w:cstheme="minorHAnsi"/>
              </w:rPr>
              <w:t>Ziré</w:t>
            </w:r>
          </w:p>
          <w:p w14:paraId="149EE10B" w14:textId="77777777" w:rsidR="0063325C" w:rsidRPr="0063325C" w:rsidRDefault="0063325C" w:rsidP="0063325C">
            <w:pPr>
              <w:rPr>
                <w:rFonts w:eastAsia="Calibri" w:cstheme="minorHAnsi"/>
              </w:rPr>
            </w:pPr>
            <w:r w:rsidRPr="0063325C">
              <w:rPr>
                <w:rFonts w:eastAsia="Calibri" w:cstheme="minorHAnsi"/>
              </w:rPr>
              <w:t xml:space="preserve">Gani </w:t>
            </w:r>
          </w:p>
          <w:p w14:paraId="2E2C18B9" w14:textId="77777777" w:rsidR="0063325C" w:rsidRPr="0063325C" w:rsidRDefault="0063325C" w:rsidP="0063325C">
            <w:pPr>
              <w:rPr>
                <w:rFonts w:eastAsia="Calibri" w:cstheme="minorHAnsi"/>
              </w:rPr>
            </w:pPr>
            <w:r w:rsidRPr="0063325C">
              <w:rPr>
                <w:rFonts w:eastAsia="Calibri" w:cstheme="minorHAnsi"/>
              </w:rPr>
              <w:t>Rosso</w:t>
            </w:r>
          </w:p>
          <w:p w14:paraId="6CBD2DBF" w14:textId="77777777" w:rsidR="0063325C" w:rsidRPr="0063325C" w:rsidRDefault="0063325C" w:rsidP="0063325C">
            <w:pPr>
              <w:rPr>
                <w:rFonts w:eastAsia="Calibri" w:cstheme="minorHAnsi"/>
              </w:rPr>
            </w:pPr>
            <w:r w:rsidRPr="0063325C">
              <w:rPr>
                <w:rFonts w:eastAsia="Calibri" w:cstheme="minorHAnsi"/>
              </w:rPr>
              <w:t>Keur Mour</w:t>
            </w:r>
          </w:p>
          <w:p w14:paraId="3090EF99" w14:textId="77777777" w:rsidR="0063325C" w:rsidRPr="0063325C" w:rsidRDefault="0063325C" w:rsidP="0063325C">
            <w:pPr>
              <w:rPr>
                <w:rFonts w:eastAsia="Calibri" w:cstheme="minorHAnsi"/>
                <w:lang w:val="en-US"/>
              </w:rPr>
            </w:pPr>
            <w:r w:rsidRPr="0063325C">
              <w:rPr>
                <w:rFonts w:eastAsia="Calibri" w:cstheme="minorHAnsi"/>
                <w:lang w:val="en-US"/>
              </w:rPr>
              <w:t>Jidrel Mohguen</w:t>
            </w:r>
          </w:p>
          <w:p w14:paraId="43449A1F" w14:textId="77777777" w:rsidR="0063325C" w:rsidRPr="0063325C" w:rsidRDefault="0063325C" w:rsidP="0063325C">
            <w:pPr>
              <w:rPr>
                <w:rFonts w:eastAsia="Calibri" w:cstheme="minorHAnsi"/>
                <w:lang w:val="en-US"/>
              </w:rPr>
            </w:pPr>
            <w:r w:rsidRPr="0063325C">
              <w:rPr>
                <w:rFonts w:eastAsia="Calibri" w:cstheme="minorHAnsi"/>
                <w:lang w:val="en-US"/>
              </w:rPr>
              <w:t>Boghé</w:t>
            </w:r>
          </w:p>
          <w:p w14:paraId="39D9736D" w14:textId="77777777" w:rsidR="0063325C" w:rsidRPr="0063325C" w:rsidRDefault="0063325C" w:rsidP="0063325C">
            <w:pPr>
              <w:rPr>
                <w:rFonts w:eastAsia="Calibri" w:cstheme="minorHAnsi"/>
                <w:lang w:val="en-US"/>
              </w:rPr>
            </w:pPr>
            <w:r w:rsidRPr="0063325C">
              <w:rPr>
                <w:rFonts w:eastAsia="Calibri" w:cstheme="minorHAnsi"/>
                <w:lang w:val="en-US"/>
              </w:rPr>
              <w:t>N’gorel</w:t>
            </w:r>
          </w:p>
          <w:p w14:paraId="662DE01B" w14:textId="77777777" w:rsidR="0063325C" w:rsidRPr="0063325C" w:rsidRDefault="0063325C" w:rsidP="0063325C">
            <w:pPr>
              <w:rPr>
                <w:rFonts w:eastAsia="Calibri" w:cstheme="minorHAnsi"/>
                <w:lang w:val="en-GB"/>
              </w:rPr>
            </w:pPr>
            <w:r w:rsidRPr="0063325C">
              <w:rPr>
                <w:rFonts w:eastAsia="Calibri" w:cstheme="minorHAnsi"/>
                <w:lang w:val="en-GB"/>
              </w:rPr>
              <w:t>M’bagne</w:t>
            </w:r>
          </w:p>
          <w:p w14:paraId="08FB5EE7" w14:textId="77777777" w:rsidR="0063325C" w:rsidRPr="0063325C" w:rsidRDefault="0063325C" w:rsidP="0063325C">
            <w:pPr>
              <w:rPr>
                <w:rFonts w:eastAsia="Calibri" w:cstheme="minorHAnsi"/>
                <w:lang w:val="en-GB"/>
              </w:rPr>
            </w:pPr>
            <w:r w:rsidRPr="0063325C">
              <w:rPr>
                <w:rFonts w:eastAsia="Calibri" w:cstheme="minorHAnsi"/>
                <w:lang w:val="en-GB"/>
              </w:rPr>
              <w:t xml:space="preserve">Winding </w:t>
            </w:r>
          </w:p>
          <w:p w14:paraId="2E747765" w14:textId="77777777" w:rsidR="0063325C" w:rsidRPr="0063325C" w:rsidRDefault="0063325C" w:rsidP="0063325C">
            <w:pPr>
              <w:rPr>
                <w:rFonts w:eastAsia="Calibri" w:cstheme="minorHAnsi"/>
                <w:lang w:val="en-GB"/>
              </w:rPr>
            </w:pPr>
            <w:r w:rsidRPr="0063325C">
              <w:rPr>
                <w:rFonts w:eastAsia="Calibri" w:cstheme="minorHAnsi"/>
                <w:lang w:val="en-GB"/>
              </w:rPr>
              <w:t>Kaedi</w:t>
            </w:r>
          </w:p>
          <w:p w14:paraId="45152F5D" w14:textId="77777777" w:rsidR="0063325C" w:rsidRPr="0063325C" w:rsidRDefault="0063325C" w:rsidP="0063325C">
            <w:pPr>
              <w:rPr>
                <w:rFonts w:eastAsia="Calibri" w:cstheme="minorHAnsi"/>
                <w:lang w:val="en-GB"/>
              </w:rPr>
            </w:pPr>
            <w:r w:rsidRPr="0063325C">
              <w:rPr>
                <w:rFonts w:eastAsia="Calibri" w:cstheme="minorHAnsi"/>
                <w:lang w:val="en-GB"/>
              </w:rPr>
              <w:t xml:space="preserve">Gouraye </w:t>
            </w:r>
          </w:p>
        </w:tc>
        <w:tc>
          <w:tcPr>
            <w:tcW w:w="1228" w:type="dxa"/>
          </w:tcPr>
          <w:p w14:paraId="58C6DC2C" w14:textId="77777777" w:rsidR="0063325C" w:rsidRPr="0063325C" w:rsidRDefault="0063325C" w:rsidP="0063325C">
            <w:pPr>
              <w:rPr>
                <w:rFonts w:eastAsia="Calibri" w:cstheme="minorHAnsi"/>
                <w:lang w:val="de-DE"/>
              </w:rPr>
            </w:pPr>
          </w:p>
          <w:p w14:paraId="5FF97892" w14:textId="77777777" w:rsidR="0063325C" w:rsidRPr="0063325C" w:rsidRDefault="0063325C" w:rsidP="0063325C">
            <w:pPr>
              <w:rPr>
                <w:rFonts w:eastAsia="Calibri" w:cstheme="minorHAnsi"/>
                <w:lang w:val="de-DE"/>
              </w:rPr>
            </w:pPr>
          </w:p>
          <w:p w14:paraId="00936B29" w14:textId="77777777" w:rsidR="0063325C" w:rsidRPr="0063325C" w:rsidRDefault="0063325C" w:rsidP="0063325C">
            <w:pPr>
              <w:rPr>
                <w:rFonts w:eastAsia="Calibri" w:cstheme="minorHAnsi"/>
                <w:lang w:val="de-DE"/>
              </w:rPr>
            </w:pPr>
            <w:r w:rsidRPr="0063325C">
              <w:rPr>
                <w:rFonts w:eastAsia="Calibri" w:cstheme="minorHAnsi"/>
                <w:lang w:val="de-DE"/>
              </w:rPr>
              <w:t>1</w:t>
            </w:r>
          </w:p>
          <w:p w14:paraId="3282A982" w14:textId="77777777" w:rsidR="0063325C" w:rsidRPr="0063325C" w:rsidRDefault="0063325C" w:rsidP="0063325C">
            <w:pPr>
              <w:rPr>
                <w:rFonts w:eastAsia="Calibri" w:cstheme="minorHAnsi"/>
                <w:lang w:val="de-DE"/>
              </w:rPr>
            </w:pPr>
            <w:r w:rsidRPr="0063325C">
              <w:rPr>
                <w:rFonts w:eastAsia="Calibri" w:cstheme="minorHAnsi"/>
                <w:lang w:val="de-DE"/>
              </w:rPr>
              <w:t>3</w:t>
            </w:r>
          </w:p>
          <w:p w14:paraId="59ADC11C" w14:textId="77777777" w:rsidR="0063325C" w:rsidRPr="0063325C" w:rsidRDefault="0063325C" w:rsidP="0063325C">
            <w:pPr>
              <w:rPr>
                <w:rFonts w:eastAsia="Calibri" w:cstheme="minorHAnsi"/>
                <w:lang w:val="de-DE"/>
              </w:rPr>
            </w:pPr>
            <w:r w:rsidRPr="0063325C">
              <w:rPr>
                <w:rFonts w:eastAsia="Calibri" w:cstheme="minorHAnsi"/>
                <w:lang w:val="de-DE"/>
              </w:rPr>
              <w:t>4</w:t>
            </w:r>
          </w:p>
          <w:p w14:paraId="79D62F30" w14:textId="77777777" w:rsidR="0063325C" w:rsidRPr="0063325C" w:rsidRDefault="0063325C" w:rsidP="0063325C">
            <w:pPr>
              <w:rPr>
                <w:rFonts w:eastAsia="Calibri" w:cstheme="minorHAnsi"/>
                <w:lang w:val="de-DE"/>
              </w:rPr>
            </w:pPr>
            <w:r w:rsidRPr="0063325C">
              <w:rPr>
                <w:rFonts w:eastAsia="Calibri" w:cstheme="minorHAnsi"/>
                <w:lang w:val="de-DE"/>
              </w:rPr>
              <w:t>5</w:t>
            </w:r>
          </w:p>
          <w:p w14:paraId="28DD4F0E" w14:textId="77777777" w:rsidR="0063325C" w:rsidRPr="0063325C" w:rsidRDefault="0063325C" w:rsidP="0063325C">
            <w:pPr>
              <w:rPr>
                <w:rFonts w:eastAsia="Calibri" w:cstheme="minorHAnsi"/>
                <w:lang w:val="de-DE"/>
              </w:rPr>
            </w:pPr>
            <w:r w:rsidRPr="0063325C">
              <w:rPr>
                <w:rFonts w:eastAsia="Calibri" w:cstheme="minorHAnsi"/>
                <w:lang w:val="de-DE"/>
              </w:rPr>
              <w:t>5</w:t>
            </w:r>
          </w:p>
          <w:p w14:paraId="4D2EA76C" w14:textId="77777777" w:rsidR="0063325C" w:rsidRPr="0063325C" w:rsidRDefault="0063325C" w:rsidP="0063325C">
            <w:pPr>
              <w:rPr>
                <w:rFonts w:eastAsia="Calibri" w:cstheme="minorHAnsi"/>
                <w:lang w:val="de-DE"/>
              </w:rPr>
            </w:pPr>
            <w:r w:rsidRPr="0063325C">
              <w:rPr>
                <w:rFonts w:eastAsia="Calibri" w:cstheme="minorHAnsi"/>
                <w:lang w:val="de-DE"/>
              </w:rPr>
              <w:t>4</w:t>
            </w:r>
          </w:p>
          <w:p w14:paraId="11D9C430" w14:textId="77777777" w:rsidR="0063325C" w:rsidRPr="0063325C" w:rsidRDefault="0063325C" w:rsidP="0063325C">
            <w:pPr>
              <w:rPr>
                <w:rFonts w:eastAsia="Calibri" w:cstheme="minorHAnsi"/>
                <w:lang w:val="de-DE"/>
              </w:rPr>
            </w:pPr>
            <w:r w:rsidRPr="0063325C">
              <w:rPr>
                <w:rFonts w:eastAsia="Calibri" w:cstheme="minorHAnsi"/>
                <w:lang w:val="de-DE"/>
              </w:rPr>
              <w:t>2</w:t>
            </w:r>
          </w:p>
          <w:p w14:paraId="6A4812C4" w14:textId="77777777" w:rsidR="0063325C" w:rsidRPr="0063325C" w:rsidRDefault="0063325C" w:rsidP="0063325C">
            <w:pPr>
              <w:rPr>
                <w:rFonts w:eastAsia="Calibri" w:cstheme="minorHAnsi"/>
                <w:lang w:val="de-DE"/>
              </w:rPr>
            </w:pPr>
            <w:r w:rsidRPr="0063325C">
              <w:rPr>
                <w:rFonts w:eastAsia="Calibri" w:cstheme="minorHAnsi"/>
                <w:lang w:val="de-DE"/>
              </w:rPr>
              <w:t>7</w:t>
            </w:r>
          </w:p>
          <w:p w14:paraId="6A04E548" w14:textId="77777777" w:rsidR="0063325C" w:rsidRPr="0063325C" w:rsidRDefault="0063325C" w:rsidP="0063325C">
            <w:pPr>
              <w:rPr>
                <w:rFonts w:eastAsia="Calibri" w:cstheme="minorHAnsi"/>
                <w:lang w:val="de-DE"/>
              </w:rPr>
            </w:pPr>
            <w:r w:rsidRPr="0063325C">
              <w:rPr>
                <w:rFonts w:eastAsia="Calibri" w:cstheme="minorHAnsi"/>
                <w:lang w:val="de-DE"/>
              </w:rPr>
              <w:t>20</w:t>
            </w:r>
          </w:p>
          <w:p w14:paraId="58DCF391" w14:textId="77777777" w:rsidR="0063325C" w:rsidRPr="0063325C" w:rsidRDefault="0063325C" w:rsidP="0063325C">
            <w:pPr>
              <w:rPr>
                <w:rFonts w:eastAsia="Calibri" w:cstheme="minorHAnsi"/>
                <w:lang w:val="de-DE"/>
              </w:rPr>
            </w:pPr>
            <w:r w:rsidRPr="0063325C">
              <w:rPr>
                <w:rFonts w:eastAsia="Calibri" w:cstheme="minorHAnsi"/>
                <w:lang w:val="de-DE"/>
              </w:rPr>
              <w:t>15</w:t>
            </w:r>
          </w:p>
          <w:p w14:paraId="2F78D78C" w14:textId="77777777" w:rsidR="0063325C" w:rsidRPr="0063325C" w:rsidRDefault="0063325C" w:rsidP="0063325C">
            <w:pPr>
              <w:rPr>
                <w:rFonts w:eastAsia="Calibri" w:cstheme="minorHAnsi"/>
                <w:lang w:val="de-DE"/>
              </w:rPr>
            </w:pPr>
            <w:r w:rsidRPr="0063325C">
              <w:rPr>
                <w:rFonts w:eastAsia="Calibri" w:cstheme="minorHAnsi"/>
                <w:lang w:val="de-DE"/>
              </w:rPr>
              <w:t>15</w:t>
            </w:r>
          </w:p>
          <w:p w14:paraId="49F1CF7B" w14:textId="77777777" w:rsidR="0063325C" w:rsidRPr="0063325C" w:rsidRDefault="0063325C" w:rsidP="0063325C">
            <w:pPr>
              <w:rPr>
                <w:rFonts w:eastAsia="Calibri" w:cstheme="minorHAnsi"/>
                <w:lang w:val="de-DE"/>
              </w:rPr>
            </w:pPr>
            <w:r w:rsidRPr="0063325C">
              <w:rPr>
                <w:rFonts w:eastAsia="Calibri" w:cstheme="minorHAnsi"/>
                <w:lang w:val="de-DE"/>
              </w:rPr>
              <w:t>15</w:t>
            </w:r>
          </w:p>
          <w:p w14:paraId="5CB16F4F" w14:textId="77777777" w:rsidR="0063325C" w:rsidRPr="0063325C" w:rsidRDefault="0063325C" w:rsidP="0063325C">
            <w:pPr>
              <w:rPr>
                <w:rFonts w:eastAsia="Calibri" w:cstheme="minorHAnsi"/>
                <w:bCs/>
                <w:lang w:val="de-DE"/>
              </w:rPr>
            </w:pPr>
            <w:r w:rsidRPr="0063325C">
              <w:rPr>
                <w:rFonts w:eastAsia="Calibri" w:cstheme="minorHAnsi"/>
                <w:lang w:val="de-DE"/>
              </w:rPr>
              <w:t>5</w:t>
            </w:r>
          </w:p>
        </w:tc>
        <w:tc>
          <w:tcPr>
            <w:tcW w:w="898" w:type="dxa"/>
          </w:tcPr>
          <w:p w14:paraId="1E080A6F" w14:textId="77777777" w:rsidR="0063325C" w:rsidRPr="0063325C" w:rsidRDefault="0063325C" w:rsidP="0063325C">
            <w:pPr>
              <w:rPr>
                <w:rFonts w:eastAsia="Calibri" w:cstheme="minorHAnsi"/>
                <w:lang w:val="de-DE"/>
              </w:rPr>
            </w:pPr>
          </w:p>
        </w:tc>
        <w:tc>
          <w:tcPr>
            <w:tcW w:w="709" w:type="dxa"/>
          </w:tcPr>
          <w:p w14:paraId="35850AE8" w14:textId="77777777" w:rsidR="0063325C" w:rsidRPr="0063325C" w:rsidRDefault="0063325C" w:rsidP="0063325C">
            <w:pPr>
              <w:rPr>
                <w:rFonts w:eastAsia="Calibri" w:cstheme="minorHAnsi"/>
              </w:rPr>
            </w:pPr>
          </w:p>
        </w:tc>
        <w:tc>
          <w:tcPr>
            <w:tcW w:w="1133" w:type="dxa"/>
          </w:tcPr>
          <w:p w14:paraId="4C00442A" w14:textId="77777777" w:rsidR="0063325C" w:rsidRPr="0063325C" w:rsidRDefault="0063325C" w:rsidP="0063325C">
            <w:pPr>
              <w:rPr>
                <w:rFonts w:eastAsia="Calibri" w:cstheme="minorHAnsi"/>
                <w:lang w:val="pt-PT"/>
              </w:rPr>
            </w:pPr>
          </w:p>
          <w:p w14:paraId="4143EFF3" w14:textId="77777777" w:rsidR="0063325C" w:rsidRPr="0063325C" w:rsidRDefault="0063325C" w:rsidP="0063325C">
            <w:pPr>
              <w:rPr>
                <w:rFonts w:eastAsia="Calibri" w:cstheme="minorHAnsi"/>
                <w:lang w:val="pt-PT"/>
              </w:rPr>
            </w:pPr>
            <w:r w:rsidRPr="0063325C">
              <w:rPr>
                <w:rFonts w:eastAsia="Calibri" w:cstheme="minorHAnsi"/>
                <w:lang w:val="pt-PT"/>
              </w:rPr>
              <w:t>SR, FM, P, E</w:t>
            </w:r>
          </w:p>
          <w:p w14:paraId="66591E4F" w14:textId="77777777" w:rsidR="0063325C" w:rsidRPr="0063325C" w:rsidRDefault="0063325C" w:rsidP="0063325C">
            <w:pPr>
              <w:rPr>
                <w:rFonts w:eastAsia="Calibri" w:cstheme="minorHAnsi"/>
                <w:lang w:val="pt-PT"/>
              </w:rPr>
            </w:pPr>
          </w:p>
          <w:p w14:paraId="03EC9F29" w14:textId="77777777" w:rsidR="0063325C" w:rsidRPr="0063325C" w:rsidRDefault="0063325C" w:rsidP="0063325C">
            <w:pPr>
              <w:rPr>
                <w:rFonts w:eastAsia="Calibri" w:cstheme="minorHAnsi"/>
                <w:lang w:val="pt-PT"/>
              </w:rPr>
            </w:pPr>
          </w:p>
          <w:p w14:paraId="27A28EEF" w14:textId="77777777" w:rsidR="0063325C" w:rsidRPr="0063325C" w:rsidRDefault="0063325C" w:rsidP="0063325C">
            <w:pPr>
              <w:rPr>
                <w:rFonts w:eastAsia="Calibri" w:cstheme="minorHAnsi"/>
                <w:lang w:val="pt-PT"/>
              </w:rPr>
            </w:pPr>
          </w:p>
          <w:p w14:paraId="225232A7" w14:textId="77777777" w:rsidR="0063325C" w:rsidRPr="0063325C" w:rsidRDefault="0063325C" w:rsidP="0063325C">
            <w:pPr>
              <w:rPr>
                <w:rFonts w:eastAsia="Calibri" w:cstheme="minorHAnsi"/>
                <w:lang w:val="pt-PT"/>
              </w:rPr>
            </w:pPr>
          </w:p>
          <w:p w14:paraId="466E039D" w14:textId="77777777" w:rsidR="0063325C" w:rsidRPr="0063325C" w:rsidRDefault="0063325C" w:rsidP="0063325C">
            <w:pPr>
              <w:rPr>
                <w:rFonts w:eastAsia="Calibri" w:cstheme="minorHAnsi"/>
                <w:lang w:val="pt-PT"/>
              </w:rPr>
            </w:pPr>
          </w:p>
          <w:p w14:paraId="058D7ACD" w14:textId="77777777" w:rsidR="0063325C" w:rsidRPr="0063325C" w:rsidRDefault="0063325C" w:rsidP="0063325C">
            <w:pPr>
              <w:rPr>
                <w:rFonts w:eastAsia="Calibri" w:cstheme="minorHAnsi"/>
                <w:lang w:val="pt-PT"/>
              </w:rPr>
            </w:pPr>
          </w:p>
          <w:p w14:paraId="1FACB901" w14:textId="77777777" w:rsidR="0063325C" w:rsidRPr="0063325C" w:rsidRDefault="0063325C" w:rsidP="0063325C">
            <w:pPr>
              <w:rPr>
                <w:rFonts w:eastAsia="Calibri" w:cstheme="minorHAnsi"/>
                <w:lang w:val="pt-PT"/>
              </w:rPr>
            </w:pPr>
          </w:p>
          <w:p w14:paraId="40422D7C" w14:textId="77777777" w:rsidR="0063325C" w:rsidRPr="0063325C" w:rsidRDefault="0063325C" w:rsidP="0063325C">
            <w:pPr>
              <w:rPr>
                <w:rFonts w:eastAsia="Calibri" w:cstheme="minorHAnsi"/>
                <w:lang w:val="pt-PT"/>
              </w:rPr>
            </w:pPr>
          </w:p>
          <w:p w14:paraId="45D7CAE2" w14:textId="77777777" w:rsidR="0063325C" w:rsidRPr="0063325C" w:rsidRDefault="0063325C" w:rsidP="0063325C">
            <w:pPr>
              <w:rPr>
                <w:rFonts w:eastAsia="Calibri" w:cstheme="minorHAnsi"/>
                <w:lang w:val="pt-PT"/>
              </w:rPr>
            </w:pPr>
          </w:p>
          <w:p w14:paraId="028F1BF8" w14:textId="77777777" w:rsidR="0063325C" w:rsidRPr="0063325C" w:rsidRDefault="0063325C" w:rsidP="0063325C">
            <w:pPr>
              <w:rPr>
                <w:rFonts w:eastAsia="Calibri" w:cstheme="minorHAnsi"/>
                <w:lang w:val="pt-PT"/>
              </w:rPr>
            </w:pPr>
          </w:p>
          <w:p w14:paraId="4730A0BB" w14:textId="77777777" w:rsidR="0063325C" w:rsidRPr="0063325C" w:rsidRDefault="0063325C" w:rsidP="0063325C">
            <w:pPr>
              <w:rPr>
                <w:rFonts w:eastAsia="Calibri" w:cstheme="minorHAnsi"/>
                <w:lang w:val="pt-PT"/>
              </w:rPr>
            </w:pPr>
          </w:p>
          <w:p w14:paraId="2F930326" w14:textId="77777777" w:rsidR="0063325C" w:rsidRPr="0063325C" w:rsidRDefault="0063325C" w:rsidP="0063325C">
            <w:pPr>
              <w:rPr>
                <w:rFonts w:eastAsia="Calibri" w:cstheme="minorHAnsi"/>
                <w:lang w:val="pt-PT"/>
              </w:rPr>
            </w:pPr>
            <w:r w:rsidRPr="0063325C">
              <w:rPr>
                <w:rFonts w:eastAsia="Calibri" w:cstheme="minorHAnsi"/>
                <w:lang w:val="pt-PT"/>
              </w:rPr>
              <w:t>SR, FM, P</w:t>
            </w:r>
          </w:p>
        </w:tc>
        <w:tc>
          <w:tcPr>
            <w:tcW w:w="1700" w:type="dxa"/>
          </w:tcPr>
          <w:p w14:paraId="35EC91C9" w14:textId="77777777" w:rsidR="0063325C" w:rsidRPr="0063325C" w:rsidRDefault="0063325C" w:rsidP="0063325C">
            <w:pPr>
              <w:rPr>
                <w:rFonts w:eastAsia="Calibri" w:cstheme="minorHAnsi"/>
                <w:lang w:val="pt-PT"/>
              </w:rPr>
            </w:pPr>
          </w:p>
          <w:p w14:paraId="4FA1A2B6" w14:textId="77777777" w:rsidR="0063325C" w:rsidRPr="0063325C" w:rsidRDefault="0063325C" w:rsidP="0063325C">
            <w:pPr>
              <w:rPr>
                <w:rFonts w:eastAsia="Calibri" w:cstheme="minorHAnsi"/>
                <w:lang w:val="pt-PT"/>
              </w:rPr>
            </w:pPr>
          </w:p>
          <w:p w14:paraId="06EC0007" w14:textId="77777777" w:rsidR="0063325C" w:rsidRPr="0063325C" w:rsidRDefault="0063325C" w:rsidP="0063325C">
            <w:pPr>
              <w:rPr>
                <w:rFonts w:eastAsia="Calibri" w:cstheme="minorHAnsi"/>
              </w:rPr>
            </w:pPr>
            <w:r w:rsidRPr="0063325C">
              <w:rPr>
                <w:rFonts w:eastAsia="Calibri" w:cstheme="minorHAnsi"/>
              </w:rPr>
              <w:t>10</w:t>
            </w:r>
          </w:p>
          <w:p w14:paraId="26C9D334" w14:textId="77777777" w:rsidR="0063325C" w:rsidRPr="0063325C" w:rsidRDefault="0063325C" w:rsidP="0063325C">
            <w:pPr>
              <w:rPr>
                <w:rFonts w:eastAsia="Calibri" w:cstheme="minorHAnsi"/>
              </w:rPr>
            </w:pPr>
            <w:r w:rsidRPr="0063325C">
              <w:rPr>
                <w:rFonts w:eastAsia="Calibri" w:cstheme="minorHAnsi"/>
              </w:rPr>
              <w:t>30</w:t>
            </w:r>
          </w:p>
          <w:p w14:paraId="27B83062" w14:textId="77777777" w:rsidR="0063325C" w:rsidRPr="0063325C" w:rsidRDefault="0063325C" w:rsidP="0063325C">
            <w:pPr>
              <w:rPr>
                <w:rFonts w:eastAsia="Calibri" w:cstheme="minorHAnsi"/>
              </w:rPr>
            </w:pPr>
            <w:r w:rsidRPr="0063325C">
              <w:rPr>
                <w:rFonts w:eastAsia="Calibri" w:cstheme="minorHAnsi"/>
              </w:rPr>
              <w:t>58</w:t>
            </w:r>
          </w:p>
          <w:p w14:paraId="6024E5CF" w14:textId="77777777" w:rsidR="0063325C" w:rsidRPr="0063325C" w:rsidRDefault="0063325C" w:rsidP="0063325C">
            <w:pPr>
              <w:rPr>
                <w:rFonts w:eastAsia="Calibri" w:cstheme="minorHAnsi"/>
              </w:rPr>
            </w:pPr>
            <w:r w:rsidRPr="0063325C">
              <w:rPr>
                <w:rFonts w:eastAsia="Calibri" w:cstheme="minorHAnsi"/>
              </w:rPr>
              <w:t>400</w:t>
            </w:r>
          </w:p>
          <w:p w14:paraId="0291179C" w14:textId="77777777" w:rsidR="0063325C" w:rsidRPr="0063325C" w:rsidRDefault="0063325C" w:rsidP="0063325C">
            <w:pPr>
              <w:rPr>
                <w:rFonts w:eastAsia="Calibri" w:cstheme="minorHAnsi"/>
              </w:rPr>
            </w:pPr>
            <w:r w:rsidRPr="0063325C">
              <w:rPr>
                <w:rFonts w:eastAsia="Calibri" w:cstheme="minorHAnsi"/>
              </w:rPr>
              <w:t>45</w:t>
            </w:r>
          </w:p>
          <w:p w14:paraId="1343743F" w14:textId="77777777" w:rsidR="0063325C" w:rsidRPr="0063325C" w:rsidRDefault="0063325C" w:rsidP="0063325C">
            <w:pPr>
              <w:rPr>
                <w:rFonts w:eastAsia="Calibri" w:cstheme="minorHAnsi"/>
              </w:rPr>
            </w:pPr>
            <w:r w:rsidRPr="0063325C">
              <w:rPr>
                <w:rFonts w:eastAsia="Calibri" w:cstheme="minorHAnsi"/>
              </w:rPr>
              <w:t>80</w:t>
            </w:r>
          </w:p>
          <w:p w14:paraId="1DCF4DB0" w14:textId="77777777" w:rsidR="0063325C" w:rsidRPr="0063325C" w:rsidRDefault="0063325C" w:rsidP="0063325C">
            <w:pPr>
              <w:rPr>
                <w:rFonts w:eastAsia="Calibri" w:cstheme="minorHAnsi"/>
              </w:rPr>
            </w:pPr>
            <w:r w:rsidRPr="0063325C">
              <w:rPr>
                <w:rFonts w:eastAsia="Calibri" w:cstheme="minorHAnsi"/>
              </w:rPr>
              <w:t>45</w:t>
            </w:r>
          </w:p>
          <w:p w14:paraId="34E41747" w14:textId="77777777" w:rsidR="0063325C" w:rsidRPr="0063325C" w:rsidRDefault="0063325C" w:rsidP="0063325C">
            <w:pPr>
              <w:rPr>
                <w:rFonts w:eastAsia="Calibri" w:cstheme="minorHAnsi"/>
              </w:rPr>
            </w:pPr>
            <w:r w:rsidRPr="0063325C">
              <w:rPr>
                <w:rFonts w:eastAsia="Calibri" w:cstheme="minorHAnsi"/>
              </w:rPr>
              <w:t>50</w:t>
            </w:r>
          </w:p>
          <w:p w14:paraId="2D5DDD6E" w14:textId="77777777" w:rsidR="0063325C" w:rsidRPr="0063325C" w:rsidRDefault="0063325C" w:rsidP="0063325C">
            <w:pPr>
              <w:rPr>
                <w:rFonts w:eastAsia="Calibri" w:cstheme="minorHAnsi"/>
              </w:rPr>
            </w:pPr>
            <w:r w:rsidRPr="0063325C">
              <w:rPr>
                <w:rFonts w:eastAsia="Calibri" w:cstheme="minorHAnsi"/>
              </w:rPr>
              <w:t>70</w:t>
            </w:r>
          </w:p>
          <w:p w14:paraId="05048840" w14:textId="77777777" w:rsidR="0063325C" w:rsidRPr="0063325C" w:rsidRDefault="0063325C" w:rsidP="0063325C">
            <w:pPr>
              <w:rPr>
                <w:rFonts w:eastAsia="Calibri" w:cstheme="minorHAnsi"/>
              </w:rPr>
            </w:pPr>
            <w:r w:rsidRPr="0063325C">
              <w:rPr>
                <w:rFonts w:eastAsia="Calibri" w:cstheme="minorHAnsi"/>
              </w:rPr>
              <w:t>450</w:t>
            </w:r>
          </w:p>
          <w:p w14:paraId="19EBB713" w14:textId="77777777" w:rsidR="0063325C" w:rsidRPr="0063325C" w:rsidRDefault="0063325C" w:rsidP="0063325C">
            <w:pPr>
              <w:rPr>
                <w:rFonts w:eastAsia="Calibri" w:cstheme="minorHAnsi"/>
              </w:rPr>
            </w:pPr>
            <w:r w:rsidRPr="0063325C">
              <w:rPr>
                <w:rFonts w:eastAsia="Calibri" w:cstheme="minorHAnsi"/>
              </w:rPr>
              <w:t>150</w:t>
            </w:r>
          </w:p>
          <w:p w14:paraId="02DB13BF" w14:textId="77777777" w:rsidR="0063325C" w:rsidRPr="0063325C" w:rsidRDefault="0063325C" w:rsidP="0063325C">
            <w:pPr>
              <w:rPr>
                <w:rFonts w:eastAsia="Calibri" w:cstheme="minorHAnsi"/>
              </w:rPr>
            </w:pPr>
            <w:r w:rsidRPr="0063325C">
              <w:rPr>
                <w:rFonts w:eastAsia="Calibri" w:cstheme="minorHAnsi"/>
              </w:rPr>
              <w:t>400</w:t>
            </w:r>
          </w:p>
          <w:p w14:paraId="29913093" w14:textId="77777777" w:rsidR="0063325C" w:rsidRPr="0063325C" w:rsidRDefault="0063325C" w:rsidP="0063325C">
            <w:pPr>
              <w:rPr>
                <w:rFonts w:eastAsia="Calibri" w:cstheme="minorHAnsi"/>
              </w:rPr>
            </w:pPr>
            <w:r w:rsidRPr="0063325C">
              <w:rPr>
                <w:rFonts w:eastAsia="Calibri" w:cstheme="minorHAnsi"/>
              </w:rPr>
              <w:t>167</w:t>
            </w:r>
          </w:p>
        </w:tc>
        <w:tc>
          <w:tcPr>
            <w:tcW w:w="1558" w:type="dxa"/>
          </w:tcPr>
          <w:p w14:paraId="420134FF" w14:textId="77777777" w:rsidR="0063325C" w:rsidRPr="0063325C" w:rsidRDefault="0063325C" w:rsidP="0063325C">
            <w:pPr>
              <w:rPr>
                <w:rFonts w:eastAsia="Calibri" w:cstheme="minorHAnsi"/>
              </w:rPr>
            </w:pPr>
          </w:p>
        </w:tc>
      </w:tr>
      <w:tr w:rsidR="0063325C" w:rsidRPr="0063325C" w14:paraId="53E144A7" w14:textId="77777777" w:rsidTr="00361052">
        <w:tc>
          <w:tcPr>
            <w:tcW w:w="1668" w:type="dxa"/>
          </w:tcPr>
          <w:p w14:paraId="12DAA413" w14:textId="77777777" w:rsidR="0063325C" w:rsidRPr="0063325C" w:rsidRDefault="0063325C" w:rsidP="0063325C">
            <w:pPr>
              <w:rPr>
                <w:rFonts w:eastAsia="Calibri" w:cstheme="minorHAnsi"/>
              </w:rPr>
            </w:pPr>
          </w:p>
        </w:tc>
        <w:tc>
          <w:tcPr>
            <w:tcW w:w="1228" w:type="dxa"/>
            <w:hideMark/>
          </w:tcPr>
          <w:p w14:paraId="68D521CD" w14:textId="77777777" w:rsidR="0063325C" w:rsidRPr="0063325C" w:rsidRDefault="0063325C" w:rsidP="0063325C">
            <w:pPr>
              <w:rPr>
                <w:rFonts w:eastAsia="Calibri" w:cstheme="minorHAnsi"/>
              </w:rPr>
            </w:pPr>
            <w:r w:rsidRPr="0063325C">
              <w:rPr>
                <w:rFonts w:eastAsia="Calibri" w:cstheme="minorHAnsi"/>
              </w:rPr>
              <w:t>101</w:t>
            </w:r>
          </w:p>
        </w:tc>
        <w:tc>
          <w:tcPr>
            <w:tcW w:w="898" w:type="dxa"/>
          </w:tcPr>
          <w:p w14:paraId="537E9874" w14:textId="77777777" w:rsidR="0063325C" w:rsidRPr="0063325C" w:rsidRDefault="0063325C" w:rsidP="0063325C">
            <w:pPr>
              <w:rPr>
                <w:rFonts w:eastAsia="Calibri" w:cstheme="minorHAnsi"/>
              </w:rPr>
            </w:pPr>
          </w:p>
        </w:tc>
        <w:tc>
          <w:tcPr>
            <w:tcW w:w="709" w:type="dxa"/>
          </w:tcPr>
          <w:p w14:paraId="3AAB71F5" w14:textId="77777777" w:rsidR="0063325C" w:rsidRPr="0063325C" w:rsidRDefault="0063325C" w:rsidP="0063325C">
            <w:pPr>
              <w:rPr>
                <w:rFonts w:eastAsia="Calibri" w:cstheme="minorHAnsi"/>
              </w:rPr>
            </w:pPr>
          </w:p>
        </w:tc>
        <w:tc>
          <w:tcPr>
            <w:tcW w:w="1133" w:type="dxa"/>
          </w:tcPr>
          <w:p w14:paraId="5E3F9959" w14:textId="77777777" w:rsidR="0063325C" w:rsidRPr="0063325C" w:rsidRDefault="0063325C" w:rsidP="0063325C">
            <w:pPr>
              <w:rPr>
                <w:rFonts w:eastAsia="Calibri" w:cstheme="minorHAnsi"/>
              </w:rPr>
            </w:pPr>
          </w:p>
        </w:tc>
        <w:tc>
          <w:tcPr>
            <w:tcW w:w="1700" w:type="dxa"/>
            <w:hideMark/>
          </w:tcPr>
          <w:p w14:paraId="48EAC0E6" w14:textId="77777777" w:rsidR="0063325C" w:rsidRPr="0063325C" w:rsidRDefault="0063325C" w:rsidP="0063325C">
            <w:pPr>
              <w:rPr>
                <w:rFonts w:eastAsia="Calibri" w:cstheme="minorHAnsi"/>
              </w:rPr>
            </w:pPr>
            <w:r w:rsidRPr="0063325C">
              <w:rPr>
                <w:rFonts w:eastAsia="Calibri" w:cstheme="minorHAnsi"/>
              </w:rPr>
              <w:t>1955</w:t>
            </w:r>
          </w:p>
        </w:tc>
        <w:tc>
          <w:tcPr>
            <w:tcW w:w="1558" w:type="dxa"/>
          </w:tcPr>
          <w:p w14:paraId="70F72206" w14:textId="77777777" w:rsidR="0063325C" w:rsidRPr="0063325C" w:rsidRDefault="0063325C" w:rsidP="0063325C">
            <w:pPr>
              <w:rPr>
                <w:rFonts w:eastAsia="Calibri" w:cstheme="minorHAnsi"/>
              </w:rPr>
            </w:pPr>
          </w:p>
        </w:tc>
      </w:tr>
      <w:tr w:rsidR="0063325C" w:rsidRPr="0063325C" w14:paraId="161E94C9" w14:textId="77777777" w:rsidTr="00361052">
        <w:tc>
          <w:tcPr>
            <w:tcW w:w="1668" w:type="dxa"/>
          </w:tcPr>
          <w:p w14:paraId="041399E8" w14:textId="77777777" w:rsidR="0063325C" w:rsidRPr="0063325C" w:rsidRDefault="0063325C" w:rsidP="0063325C">
            <w:pPr>
              <w:rPr>
                <w:rFonts w:eastAsia="Calibri" w:cstheme="minorHAnsi"/>
              </w:rPr>
            </w:pPr>
          </w:p>
          <w:p w14:paraId="7F040795" w14:textId="77777777" w:rsidR="0063325C" w:rsidRPr="0063325C" w:rsidRDefault="0063325C" w:rsidP="0063325C">
            <w:pPr>
              <w:rPr>
                <w:rFonts w:eastAsia="Calibri" w:cstheme="minorHAnsi"/>
              </w:rPr>
            </w:pPr>
            <w:r w:rsidRPr="0063325C">
              <w:rPr>
                <w:rFonts w:eastAsia="Calibri" w:cstheme="minorHAnsi"/>
              </w:rPr>
              <w:t xml:space="preserve">Foum Gleita </w:t>
            </w:r>
          </w:p>
        </w:tc>
        <w:tc>
          <w:tcPr>
            <w:tcW w:w="1228" w:type="dxa"/>
          </w:tcPr>
          <w:p w14:paraId="58A3E912" w14:textId="77777777" w:rsidR="0063325C" w:rsidRPr="0063325C" w:rsidRDefault="0063325C" w:rsidP="0063325C">
            <w:pPr>
              <w:rPr>
                <w:rFonts w:eastAsia="Calibri" w:cstheme="minorHAnsi"/>
              </w:rPr>
            </w:pPr>
          </w:p>
          <w:p w14:paraId="233140D1" w14:textId="77777777" w:rsidR="0063325C" w:rsidRPr="0063325C" w:rsidRDefault="0063325C" w:rsidP="0063325C">
            <w:pPr>
              <w:rPr>
                <w:rFonts w:eastAsia="Calibri" w:cstheme="minorHAnsi"/>
              </w:rPr>
            </w:pPr>
            <w:r w:rsidRPr="0063325C">
              <w:rPr>
                <w:rFonts w:eastAsia="Calibri" w:cstheme="minorHAnsi"/>
              </w:rPr>
              <w:t>36</w:t>
            </w:r>
          </w:p>
        </w:tc>
        <w:tc>
          <w:tcPr>
            <w:tcW w:w="898" w:type="dxa"/>
          </w:tcPr>
          <w:p w14:paraId="33904D45" w14:textId="77777777" w:rsidR="0063325C" w:rsidRPr="0063325C" w:rsidRDefault="0063325C" w:rsidP="0063325C">
            <w:pPr>
              <w:rPr>
                <w:rFonts w:eastAsia="Calibri" w:cstheme="minorHAnsi"/>
              </w:rPr>
            </w:pPr>
          </w:p>
        </w:tc>
        <w:tc>
          <w:tcPr>
            <w:tcW w:w="709" w:type="dxa"/>
          </w:tcPr>
          <w:p w14:paraId="41F12483" w14:textId="77777777" w:rsidR="0063325C" w:rsidRPr="0063325C" w:rsidRDefault="0063325C" w:rsidP="0063325C">
            <w:pPr>
              <w:rPr>
                <w:rFonts w:eastAsia="Calibri" w:cstheme="minorHAnsi"/>
              </w:rPr>
            </w:pPr>
          </w:p>
        </w:tc>
        <w:tc>
          <w:tcPr>
            <w:tcW w:w="1133" w:type="dxa"/>
            <w:hideMark/>
          </w:tcPr>
          <w:p w14:paraId="5B128443" w14:textId="77777777" w:rsidR="0063325C" w:rsidRPr="0063325C" w:rsidRDefault="0063325C" w:rsidP="0063325C">
            <w:pPr>
              <w:rPr>
                <w:rFonts w:eastAsia="Calibri" w:cstheme="minorHAnsi"/>
              </w:rPr>
            </w:pPr>
            <w:r w:rsidRPr="0063325C">
              <w:rPr>
                <w:rFonts w:eastAsia="Calibri" w:cstheme="minorHAnsi"/>
              </w:rPr>
              <w:t>SR, FM, E, C, V</w:t>
            </w:r>
          </w:p>
        </w:tc>
        <w:tc>
          <w:tcPr>
            <w:tcW w:w="1700" w:type="dxa"/>
          </w:tcPr>
          <w:p w14:paraId="7068F3E6" w14:textId="77777777" w:rsidR="0063325C" w:rsidRPr="0063325C" w:rsidRDefault="0063325C" w:rsidP="0063325C">
            <w:pPr>
              <w:rPr>
                <w:rFonts w:eastAsia="Calibri" w:cstheme="minorHAnsi"/>
              </w:rPr>
            </w:pPr>
          </w:p>
          <w:p w14:paraId="0561BE89" w14:textId="77777777" w:rsidR="0063325C" w:rsidRPr="0063325C" w:rsidRDefault="0063325C" w:rsidP="0063325C">
            <w:pPr>
              <w:rPr>
                <w:rFonts w:eastAsia="Calibri" w:cstheme="minorHAnsi"/>
              </w:rPr>
            </w:pPr>
            <w:r w:rsidRPr="0063325C">
              <w:rPr>
                <w:rFonts w:eastAsia="Calibri" w:cstheme="minorHAnsi"/>
              </w:rPr>
              <w:t>120</w:t>
            </w:r>
          </w:p>
        </w:tc>
        <w:tc>
          <w:tcPr>
            <w:tcW w:w="1558" w:type="dxa"/>
          </w:tcPr>
          <w:p w14:paraId="11D74A8A" w14:textId="77777777" w:rsidR="0063325C" w:rsidRPr="0063325C" w:rsidRDefault="0063325C" w:rsidP="0063325C">
            <w:pPr>
              <w:rPr>
                <w:rFonts w:eastAsia="Calibri" w:cstheme="minorHAnsi"/>
              </w:rPr>
            </w:pPr>
          </w:p>
          <w:p w14:paraId="0B534F87" w14:textId="77777777" w:rsidR="0063325C" w:rsidRPr="0063325C" w:rsidRDefault="0063325C" w:rsidP="0063325C">
            <w:pPr>
              <w:rPr>
                <w:rFonts w:eastAsia="Calibri" w:cstheme="minorHAnsi"/>
              </w:rPr>
            </w:pPr>
            <w:r w:rsidRPr="0063325C">
              <w:rPr>
                <w:rFonts w:eastAsia="Calibri" w:cstheme="minorHAnsi"/>
              </w:rPr>
              <w:t>287</w:t>
            </w:r>
          </w:p>
        </w:tc>
      </w:tr>
      <w:tr w:rsidR="0063325C" w:rsidRPr="0063325C" w14:paraId="1BEA62F2" w14:textId="77777777" w:rsidTr="00361052">
        <w:tc>
          <w:tcPr>
            <w:tcW w:w="1668" w:type="dxa"/>
          </w:tcPr>
          <w:p w14:paraId="2E3E92FA" w14:textId="77777777" w:rsidR="0063325C" w:rsidRPr="0063325C" w:rsidRDefault="0063325C" w:rsidP="0063325C">
            <w:pPr>
              <w:rPr>
                <w:rFonts w:eastAsia="Calibri" w:cstheme="minorHAnsi"/>
              </w:rPr>
            </w:pPr>
          </w:p>
          <w:p w14:paraId="31993DE3" w14:textId="77777777" w:rsidR="0063325C" w:rsidRPr="0063325C" w:rsidRDefault="0063325C" w:rsidP="0063325C">
            <w:pPr>
              <w:rPr>
                <w:rFonts w:eastAsia="Calibri" w:cstheme="minorHAnsi"/>
              </w:rPr>
            </w:pPr>
            <w:r w:rsidRPr="0063325C">
              <w:rPr>
                <w:rFonts w:eastAsia="Calibri" w:cstheme="minorHAnsi"/>
              </w:rPr>
              <w:t xml:space="preserve">Lac R’kiz </w:t>
            </w:r>
          </w:p>
          <w:p w14:paraId="5EE808BA" w14:textId="77777777" w:rsidR="0063325C" w:rsidRPr="0063325C" w:rsidRDefault="0063325C" w:rsidP="0063325C">
            <w:pPr>
              <w:rPr>
                <w:rFonts w:eastAsia="Calibri" w:cstheme="minorHAnsi"/>
              </w:rPr>
            </w:pPr>
          </w:p>
        </w:tc>
        <w:tc>
          <w:tcPr>
            <w:tcW w:w="1228" w:type="dxa"/>
          </w:tcPr>
          <w:p w14:paraId="06A3AA8E" w14:textId="77777777" w:rsidR="0063325C" w:rsidRPr="0063325C" w:rsidRDefault="0063325C" w:rsidP="0063325C">
            <w:pPr>
              <w:rPr>
                <w:rFonts w:eastAsia="Calibri" w:cstheme="minorHAnsi"/>
              </w:rPr>
            </w:pPr>
          </w:p>
          <w:p w14:paraId="4FD2BB0A" w14:textId="77777777" w:rsidR="0063325C" w:rsidRPr="0063325C" w:rsidRDefault="0063325C" w:rsidP="0063325C">
            <w:pPr>
              <w:rPr>
                <w:rFonts w:eastAsia="Calibri" w:cstheme="minorHAnsi"/>
              </w:rPr>
            </w:pPr>
            <w:r w:rsidRPr="0063325C">
              <w:rPr>
                <w:rFonts w:eastAsia="Calibri" w:cstheme="minorHAnsi"/>
              </w:rPr>
              <w:t>6</w:t>
            </w:r>
          </w:p>
        </w:tc>
        <w:tc>
          <w:tcPr>
            <w:tcW w:w="898" w:type="dxa"/>
          </w:tcPr>
          <w:p w14:paraId="625E43F9" w14:textId="77777777" w:rsidR="0063325C" w:rsidRPr="0063325C" w:rsidRDefault="0063325C" w:rsidP="0063325C">
            <w:pPr>
              <w:rPr>
                <w:rFonts w:eastAsia="Calibri" w:cstheme="minorHAnsi"/>
              </w:rPr>
            </w:pPr>
          </w:p>
        </w:tc>
        <w:tc>
          <w:tcPr>
            <w:tcW w:w="709" w:type="dxa"/>
          </w:tcPr>
          <w:p w14:paraId="5562A363" w14:textId="77777777" w:rsidR="0063325C" w:rsidRPr="0063325C" w:rsidRDefault="0063325C" w:rsidP="0063325C">
            <w:pPr>
              <w:rPr>
                <w:rFonts w:eastAsia="Calibri" w:cstheme="minorHAnsi"/>
              </w:rPr>
            </w:pPr>
          </w:p>
        </w:tc>
        <w:tc>
          <w:tcPr>
            <w:tcW w:w="1133" w:type="dxa"/>
          </w:tcPr>
          <w:p w14:paraId="4422F770" w14:textId="77777777" w:rsidR="0063325C" w:rsidRPr="0063325C" w:rsidRDefault="0063325C" w:rsidP="0063325C">
            <w:pPr>
              <w:rPr>
                <w:rFonts w:eastAsia="Calibri" w:cstheme="minorHAnsi"/>
              </w:rPr>
            </w:pPr>
          </w:p>
        </w:tc>
        <w:tc>
          <w:tcPr>
            <w:tcW w:w="1700" w:type="dxa"/>
          </w:tcPr>
          <w:p w14:paraId="0C7B61CD" w14:textId="77777777" w:rsidR="0063325C" w:rsidRPr="0063325C" w:rsidRDefault="0063325C" w:rsidP="0063325C">
            <w:pPr>
              <w:rPr>
                <w:rFonts w:eastAsia="Calibri" w:cstheme="minorHAnsi"/>
              </w:rPr>
            </w:pPr>
          </w:p>
          <w:p w14:paraId="7463AE57" w14:textId="77777777" w:rsidR="0063325C" w:rsidRPr="0063325C" w:rsidRDefault="0063325C" w:rsidP="0063325C">
            <w:pPr>
              <w:rPr>
                <w:rFonts w:eastAsia="Calibri" w:cstheme="minorHAnsi"/>
              </w:rPr>
            </w:pPr>
            <w:r w:rsidRPr="0063325C">
              <w:rPr>
                <w:rFonts w:eastAsia="Calibri" w:cstheme="minorHAnsi"/>
              </w:rPr>
              <w:t>15</w:t>
            </w:r>
          </w:p>
        </w:tc>
        <w:tc>
          <w:tcPr>
            <w:tcW w:w="1558" w:type="dxa"/>
          </w:tcPr>
          <w:p w14:paraId="2F243AA4" w14:textId="77777777" w:rsidR="0063325C" w:rsidRPr="0063325C" w:rsidRDefault="0063325C" w:rsidP="0063325C">
            <w:pPr>
              <w:rPr>
                <w:rFonts w:eastAsia="Calibri" w:cstheme="minorHAnsi"/>
              </w:rPr>
            </w:pPr>
          </w:p>
        </w:tc>
      </w:tr>
      <w:tr w:rsidR="0063325C" w:rsidRPr="0063325C" w14:paraId="5B16E055" w14:textId="77777777" w:rsidTr="00361052">
        <w:tc>
          <w:tcPr>
            <w:tcW w:w="1668" w:type="dxa"/>
          </w:tcPr>
          <w:p w14:paraId="09E2AEB1" w14:textId="77777777" w:rsidR="0063325C" w:rsidRPr="0063325C" w:rsidRDefault="0063325C" w:rsidP="0063325C">
            <w:pPr>
              <w:rPr>
                <w:rFonts w:eastAsia="Calibri" w:cstheme="minorHAnsi"/>
              </w:rPr>
            </w:pPr>
          </w:p>
          <w:p w14:paraId="5854686F" w14:textId="77777777" w:rsidR="0063325C" w:rsidRPr="0063325C" w:rsidRDefault="0063325C" w:rsidP="0063325C">
            <w:pPr>
              <w:rPr>
                <w:rFonts w:eastAsia="Calibri" w:cstheme="minorHAnsi"/>
              </w:rPr>
            </w:pPr>
            <w:r w:rsidRPr="0063325C">
              <w:rPr>
                <w:rFonts w:eastAsia="Calibri" w:cstheme="minorHAnsi"/>
              </w:rPr>
              <w:t xml:space="preserve">Lebheir </w:t>
            </w:r>
          </w:p>
        </w:tc>
        <w:tc>
          <w:tcPr>
            <w:tcW w:w="1228" w:type="dxa"/>
            <w:hideMark/>
          </w:tcPr>
          <w:p w14:paraId="393743A4" w14:textId="77777777" w:rsidR="0063325C" w:rsidRPr="0063325C" w:rsidRDefault="0063325C" w:rsidP="0063325C">
            <w:pPr>
              <w:rPr>
                <w:rFonts w:eastAsia="Calibri" w:cstheme="minorHAnsi"/>
              </w:rPr>
            </w:pPr>
            <w:r w:rsidRPr="0063325C">
              <w:rPr>
                <w:rFonts w:eastAsia="Calibri" w:cstheme="minorHAnsi"/>
              </w:rPr>
              <w:t xml:space="preserve">A pieds </w:t>
            </w:r>
          </w:p>
        </w:tc>
        <w:tc>
          <w:tcPr>
            <w:tcW w:w="898" w:type="dxa"/>
          </w:tcPr>
          <w:p w14:paraId="182AB1D6" w14:textId="77777777" w:rsidR="0063325C" w:rsidRPr="0063325C" w:rsidRDefault="0063325C" w:rsidP="0063325C">
            <w:pPr>
              <w:rPr>
                <w:rFonts w:eastAsia="Calibri" w:cstheme="minorHAnsi"/>
              </w:rPr>
            </w:pPr>
          </w:p>
        </w:tc>
        <w:tc>
          <w:tcPr>
            <w:tcW w:w="709" w:type="dxa"/>
          </w:tcPr>
          <w:p w14:paraId="38F52E9E" w14:textId="77777777" w:rsidR="0063325C" w:rsidRPr="0063325C" w:rsidRDefault="0063325C" w:rsidP="0063325C">
            <w:pPr>
              <w:rPr>
                <w:rFonts w:eastAsia="Calibri" w:cstheme="minorHAnsi"/>
              </w:rPr>
            </w:pPr>
          </w:p>
        </w:tc>
        <w:tc>
          <w:tcPr>
            <w:tcW w:w="1133" w:type="dxa"/>
            <w:hideMark/>
          </w:tcPr>
          <w:p w14:paraId="310A2F01" w14:textId="77777777" w:rsidR="0063325C" w:rsidRPr="0063325C" w:rsidRDefault="0063325C" w:rsidP="0063325C">
            <w:pPr>
              <w:rPr>
                <w:rFonts w:eastAsia="Calibri" w:cstheme="minorHAnsi"/>
              </w:rPr>
            </w:pPr>
            <w:r w:rsidRPr="0063325C">
              <w:rPr>
                <w:rFonts w:eastAsia="Calibri" w:cstheme="minorHAnsi"/>
              </w:rPr>
              <w:t>FM</w:t>
            </w:r>
          </w:p>
          <w:p w14:paraId="6EB9F767" w14:textId="77777777" w:rsidR="0063325C" w:rsidRPr="0063325C" w:rsidRDefault="0063325C" w:rsidP="0063325C">
            <w:pPr>
              <w:rPr>
                <w:rFonts w:eastAsia="Calibri" w:cstheme="minorHAnsi"/>
              </w:rPr>
            </w:pPr>
            <w:r w:rsidRPr="0063325C">
              <w:rPr>
                <w:rFonts w:eastAsia="Calibri" w:cstheme="minorHAnsi"/>
              </w:rPr>
              <w:t>P</w:t>
            </w:r>
          </w:p>
        </w:tc>
        <w:tc>
          <w:tcPr>
            <w:tcW w:w="1700" w:type="dxa"/>
          </w:tcPr>
          <w:p w14:paraId="6F55138A" w14:textId="77777777" w:rsidR="0063325C" w:rsidRPr="0063325C" w:rsidRDefault="0063325C" w:rsidP="0063325C">
            <w:pPr>
              <w:rPr>
                <w:rFonts w:eastAsia="Calibri" w:cstheme="minorHAnsi"/>
              </w:rPr>
            </w:pPr>
          </w:p>
        </w:tc>
        <w:tc>
          <w:tcPr>
            <w:tcW w:w="1558" w:type="dxa"/>
          </w:tcPr>
          <w:p w14:paraId="2DDB8F58" w14:textId="77777777" w:rsidR="0063325C" w:rsidRPr="0063325C" w:rsidRDefault="0063325C" w:rsidP="0063325C">
            <w:pPr>
              <w:rPr>
                <w:rFonts w:eastAsia="Calibri" w:cstheme="minorHAnsi"/>
              </w:rPr>
            </w:pPr>
          </w:p>
        </w:tc>
      </w:tr>
      <w:tr w:rsidR="0063325C" w:rsidRPr="0063325C" w14:paraId="73ECEF12" w14:textId="77777777" w:rsidTr="00361052">
        <w:tc>
          <w:tcPr>
            <w:tcW w:w="1668" w:type="dxa"/>
          </w:tcPr>
          <w:p w14:paraId="17A91405" w14:textId="77777777" w:rsidR="0063325C" w:rsidRPr="0063325C" w:rsidRDefault="0063325C" w:rsidP="0063325C">
            <w:pPr>
              <w:rPr>
                <w:rFonts w:eastAsia="Calibri" w:cstheme="minorHAnsi"/>
              </w:rPr>
            </w:pPr>
          </w:p>
          <w:p w14:paraId="4C71AFF3" w14:textId="77777777" w:rsidR="0063325C" w:rsidRPr="0063325C" w:rsidRDefault="0063325C" w:rsidP="0063325C">
            <w:pPr>
              <w:rPr>
                <w:rFonts w:eastAsia="Calibri" w:cstheme="minorHAnsi"/>
              </w:rPr>
            </w:pPr>
            <w:r w:rsidRPr="0063325C">
              <w:rPr>
                <w:rFonts w:eastAsia="Calibri" w:cstheme="minorHAnsi"/>
              </w:rPr>
              <w:t xml:space="preserve">Kankossa </w:t>
            </w:r>
          </w:p>
          <w:p w14:paraId="4077D698" w14:textId="77777777" w:rsidR="0063325C" w:rsidRPr="0063325C" w:rsidRDefault="0063325C" w:rsidP="0063325C">
            <w:pPr>
              <w:rPr>
                <w:rFonts w:eastAsia="Calibri" w:cstheme="minorHAnsi"/>
              </w:rPr>
            </w:pPr>
          </w:p>
        </w:tc>
        <w:tc>
          <w:tcPr>
            <w:tcW w:w="1228" w:type="dxa"/>
          </w:tcPr>
          <w:p w14:paraId="50704C7A" w14:textId="77777777" w:rsidR="0063325C" w:rsidRPr="0063325C" w:rsidRDefault="0063325C" w:rsidP="0063325C">
            <w:pPr>
              <w:rPr>
                <w:rFonts w:eastAsia="Calibri" w:cstheme="minorHAnsi"/>
              </w:rPr>
            </w:pPr>
          </w:p>
          <w:p w14:paraId="7F32B431" w14:textId="77777777" w:rsidR="0063325C" w:rsidRPr="0063325C" w:rsidRDefault="0063325C" w:rsidP="0063325C">
            <w:pPr>
              <w:rPr>
                <w:rFonts w:eastAsia="Calibri" w:cstheme="minorHAnsi"/>
              </w:rPr>
            </w:pPr>
            <w:r w:rsidRPr="0063325C">
              <w:rPr>
                <w:rFonts w:eastAsia="Calibri" w:cstheme="minorHAnsi"/>
              </w:rPr>
              <w:t>5</w:t>
            </w:r>
          </w:p>
        </w:tc>
        <w:tc>
          <w:tcPr>
            <w:tcW w:w="898" w:type="dxa"/>
          </w:tcPr>
          <w:p w14:paraId="5737ADC4" w14:textId="77777777" w:rsidR="0063325C" w:rsidRPr="0063325C" w:rsidRDefault="0063325C" w:rsidP="0063325C">
            <w:pPr>
              <w:rPr>
                <w:rFonts w:eastAsia="Calibri" w:cstheme="minorHAnsi"/>
              </w:rPr>
            </w:pPr>
          </w:p>
        </w:tc>
        <w:tc>
          <w:tcPr>
            <w:tcW w:w="709" w:type="dxa"/>
          </w:tcPr>
          <w:p w14:paraId="0E121CAF" w14:textId="77777777" w:rsidR="0063325C" w:rsidRPr="0063325C" w:rsidRDefault="0063325C" w:rsidP="0063325C">
            <w:pPr>
              <w:rPr>
                <w:rFonts w:eastAsia="Calibri" w:cstheme="minorHAnsi"/>
              </w:rPr>
            </w:pPr>
          </w:p>
        </w:tc>
        <w:tc>
          <w:tcPr>
            <w:tcW w:w="1133" w:type="dxa"/>
            <w:hideMark/>
          </w:tcPr>
          <w:p w14:paraId="67E32F4D" w14:textId="77777777" w:rsidR="0063325C" w:rsidRPr="0063325C" w:rsidRDefault="0063325C" w:rsidP="0063325C">
            <w:pPr>
              <w:rPr>
                <w:rFonts w:eastAsia="Calibri" w:cstheme="minorHAnsi"/>
              </w:rPr>
            </w:pPr>
            <w:r w:rsidRPr="0063325C">
              <w:rPr>
                <w:rFonts w:eastAsia="Calibri" w:cstheme="minorHAnsi"/>
              </w:rPr>
              <w:t>FM</w:t>
            </w:r>
          </w:p>
          <w:p w14:paraId="119A92FD" w14:textId="77777777" w:rsidR="0063325C" w:rsidRPr="0063325C" w:rsidRDefault="0063325C" w:rsidP="0063325C">
            <w:pPr>
              <w:rPr>
                <w:rFonts w:eastAsia="Calibri" w:cstheme="minorHAnsi"/>
              </w:rPr>
            </w:pPr>
            <w:r w:rsidRPr="0063325C">
              <w:rPr>
                <w:rFonts w:eastAsia="Calibri" w:cstheme="minorHAnsi"/>
              </w:rPr>
              <w:t>P</w:t>
            </w:r>
          </w:p>
          <w:p w14:paraId="7205AA9B" w14:textId="77777777" w:rsidR="0063325C" w:rsidRPr="0063325C" w:rsidRDefault="0063325C" w:rsidP="0063325C">
            <w:pPr>
              <w:rPr>
                <w:rFonts w:eastAsia="Calibri" w:cstheme="minorHAnsi"/>
              </w:rPr>
            </w:pPr>
            <w:r w:rsidRPr="0063325C">
              <w:rPr>
                <w:rFonts w:eastAsia="Calibri" w:cstheme="minorHAnsi"/>
              </w:rPr>
              <w:t>E</w:t>
            </w:r>
          </w:p>
          <w:p w14:paraId="5E6EED13" w14:textId="77777777" w:rsidR="0063325C" w:rsidRPr="0063325C" w:rsidRDefault="0063325C" w:rsidP="0063325C">
            <w:pPr>
              <w:rPr>
                <w:rFonts w:eastAsia="Calibri" w:cstheme="minorHAnsi"/>
              </w:rPr>
            </w:pPr>
            <w:r w:rsidRPr="0063325C">
              <w:rPr>
                <w:rFonts w:eastAsia="Calibri" w:cstheme="minorHAnsi"/>
              </w:rPr>
              <w:t>CT</w:t>
            </w:r>
          </w:p>
        </w:tc>
        <w:tc>
          <w:tcPr>
            <w:tcW w:w="1700" w:type="dxa"/>
          </w:tcPr>
          <w:p w14:paraId="6089D9FA" w14:textId="77777777" w:rsidR="0063325C" w:rsidRPr="0063325C" w:rsidRDefault="0063325C" w:rsidP="0063325C">
            <w:pPr>
              <w:rPr>
                <w:rFonts w:eastAsia="Calibri" w:cstheme="minorHAnsi"/>
              </w:rPr>
            </w:pPr>
          </w:p>
          <w:p w14:paraId="237C3120" w14:textId="77777777" w:rsidR="0063325C" w:rsidRPr="0063325C" w:rsidRDefault="0063325C" w:rsidP="0063325C">
            <w:pPr>
              <w:rPr>
                <w:rFonts w:eastAsia="Calibri" w:cstheme="minorHAnsi"/>
              </w:rPr>
            </w:pPr>
            <w:r w:rsidRPr="0063325C">
              <w:rPr>
                <w:rFonts w:eastAsia="Calibri" w:cstheme="minorHAnsi"/>
              </w:rPr>
              <w:t>25</w:t>
            </w:r>
          </w:p>
        </w:tc>
        <w:tc>
          <w:tcPr>
            <w:tcW w:w="1558" w:type="dxa"/>
          </w:tcPr>
          <w:p w14:paraId="6E756247" w14:textId="77777777" w:rsidR="0063325C" w:rsidRPr="0063325C" w:rsidRDefault="0063325C" w:rsidP="0063325C">
            <w:pPr>
              <w:rPr>
                <w:rFonts w:eastAsia="Calibri" w:cstheme="minorHAnsi"/>
              </w:rPr>
            </w:pPr>
          </w:p>
          <w:p w14:paraId="28482CD7" w14:textId="77777777" w:rsidR="0063325C" w:rsidRPr="0063325C" w:rsidRDefault="0063325C" w:rsidP="0063325C">
            <w:pPr>
              <w:rPr>
                <w:rFonts w:eastAsia="Calibri" w:cstheme="minorHAnsi"/>
              </w:rPr>
            </w:pPr>
            <w:r w:rsidRPr="0063325C">
              <w:rPr>
                <w:rFonts w:eastAsia="Calibri" w:cstheme="minorHAnsi"/>
              </w:rPr>
              <w:t>20</w:t>
            </w:r>
          </w:p>
        </w:tc>
      </w:tr>
      <w:tr w:rsidR="0063325C" w:rsidRPr="0063325C" w14:paraId="41AE6539" w14:textId="77777777" w:rsidTr="00361052">
        <w:tc>
          <w:tcPr>
            <w:tcW w:w="1668" w:type="dxa"/>
            <w:hideMark/>
          </w:tcPr>
          <w:p w14:paraId="639C83DE" w14:textId="77777777" w:rsidR="0063325C" w:rsidRPr="0063325C" w:rsidRDefault="0063325C" w:rsidP="0063325C">
            <w:pPr>
              <w:rPr>
                <w:rFonts w:eastAsia="Calibri" w:cstheme="minorHAnsi"/>
              </w:rPr>
            </w:pPr>
            <w:r w:rsidRPr="0063325C">
              <w:rPr>
                <w:rFonts w:eastAsia="Calibri" w:cstheme="minorHAnsi"/>
              </w:rPr>
              <w:t xml:space="preserve">Mare de Male </w:t>
            </w:r>
          </w:p>
        </w:tc>
        <w:tc>
          <w:tcPr>
            <w:tcW w:w="1228" w:type="dxa"/>
          </w:tcPr>
          <w:p w14:paraId="067BBF15" w14:textId="77777777" w:rsidR="0063325C" w:rsidRPr="0063325C" w:rsidRDefault="0063325C" w:rsidP="0063325C">
            <w:pPr>
              <w:rPr>
                <w:rFonts w:eastAsia="Calibri" w:cstheme="minorHAnsi"/>
              </w:rPr>
            </w:pPr>
          </w:p>
        </w:tc>
        <w:tc>
          <w:tcPr>
            <w:tcW w:w="898" w:type="dxa"/>
          </w:tcPr>
          <w:p w14:paraId="545E3D87" w14:textId="77777777" w:rsidR="0063325C" w:rsidRPr="0063325C" w:rsidRDefault="0063325C" w:rsidP="0063325C">
            <w:pPr>
              <w:rPr>
                <w:rFonts w:eastAsia="Calibri" w:cstheme="minorHAnsi"/>
              </w:rPr>
            </w:pPr>
          </w:p>
        </w:tc>
        <w:tc>
          <w:tcPr>
            <w:tcW w:w="709" w:type="dxa"/>
          </w:tcPr>
          <w:p w14:paraId="3E6B4706" w14:textId="77777777" w:rsidR="0063325C" w:rsidRPr="0063325C" w:rsidRDefault="0063325C" w:rsidP="0063325C">
            <w:pPr>
              <w:rPr>
                <w:rFonts w:eastAsia="Calibri" w:cstheme="minorHAnsi"/>
              </w:rPr>
            </w:pPr>
          </w:p>
        </w:tc>
        <w:tc>
          <w:tcPr>
            <w:tcW w:w="1133" w:type="dxa"/>
          </w:tcPr>
          <w:p w14:paraId="349088FF" w14:textId="77777777" w:rsidR="0063325C" w:rsidRPr="0063325C" w:rsidRDefault="0063325C" w:rsidP="0063325C">
            <w:pPr>
              <w:rPr>
                <w:rFonts w:eastAsia="Calibri" w:cstheme="minorHAnsi"/>
              </w:rPr>
            </w:pPr>
          </w:p>
        </w:tc>
        <w:tc>
          <w:tcPr>
            <w:tcW w:w="1700" w:type="dxa"/>
          </w:tcPr>
          <w:p w14:paraId="27E473FB" w14:textId="77777777" w:rsidR="0063325C" w:rsidRPr="0063325C" w:rsidRDefault="0063325C" w:rsidP="0063325C">
            <w:pPr>
              <w:rPr>
                <w:rFonts w:eastAsia="Calibri" w:cstheme="minorHAnsi"/>
              </w:rPr>
            </w:pPr>
          </w:p>
        </w:tc>
        <w:tc>
          <w:tcPr>
            <w:tcW w:w="1558" w:type="dxa"/>
          </w:tcPr>
          <w:p w14:paraId="024239C1" w14:textId="77777777" w:rsidR="0063325C" w:rsidRPr="0063325C" w:rsidRDefault="0063325C" w:rsidP="0063325C">
            <w:pPr>
              <w:rPr>
                <w:rFonts w:eastAsia="Calibri" w:cstheme="minorHAnsi"/>
              </w:rPr>
            </w:pPr>
          </w:p>
        </w:tc>
      </w:tr>
      <w:tr w:rsidR="0063325C" w:rsidRPr="0063325C" w14:paraId="3FFE15ED" w14:textId="77777777" w:rsidTr="00361052">
        <w:tc>
          <w:tcPr>
            <w:tcW w:w="1668" w:type="dxa"/>
          </w:tcPr>
          <w:p w14:paraId="5A6E19D1" w14:textId="77777777" w:rsidR="0063325C" w:rsidRPr="0063325C" w:rsidRDefault="0063325C" w:rsidP="0063325C">
            <w:pPr>
              <w:rPr>
                <w:rFonts w:eastAsia="Calibri" w:cstheme="minorHAnsi"/>
              </w:rPr>
            </w:pPr>
            <w:r w:rsidRPr="0063325C">
              <w:rPr>
                <w:rFonts w:eastAsia="Calibri" w:cstheme="minorHAnsi"/>
              </w:rPr>
              <w:t>Bakaw</w:t>
            </w:r>
          </w:p>
        </w:tc>
        <w:tc>
          <w:tcPr>
            <w:tcW w:w="1228" w:type="dxa"/>
            <w:hideMark/>
          </w:tcPr>
          <w:p w14:paraId="4CE15D2A" w14:textId="77777777" w:rsidR="0063325C" w:rsidRPr="0063325C" w:rsidRDefault="0063325C" w:rsidP="0063325C">
            <w:pPr>
              <w:rPr>
                <w:rFonts w:eastAsia="Calibri" w:cstheme="minorHAnsi"/>
              </w:rPr>
            </w:pPr>
            <w:r w:rsidRPr="0063325C">
              <w:rPr>
                <w:rFonts w:eastAsia="Calibri" w:cstheme="minorHAnsi"/>
              </w:rPr>
              <w:t>2</w:t>
            </w:r>
          </w:p>
        </w:tc>
        <w:tc>
          <w:tcPr>
            <w:tcW w:w="898" w:type="dxa"/>
          </w:tcPr>
          <w:p w14:paraId="7CBFDFDB" w14:textId="77777777" w:rsidR="0063325C" w:rsidRPr="0063325C" w:rsidRDefault="0063325C" w:rsidP="0063325C">
            <w:pPr>
              <w:rPr>
                <w:rFonts w:eastAsia="Calibri" w:cstheme="minorHAnsi"/>
              </w:rPr>
            </w:pPr>
          </w:p>
        </w:tc>
        <w:tc>
          <w:tcPr>
            <w:tcW w:w="709" w:type="dxa"/>
          </w:tcPr>
          <w:p w14:paraId="67FBDF53" w14:textId="77777777" w:rsidR="0063325C" w:rsidRPr="0063325C" w:rsidRDefault="0063325C" w:rsidP="0063325C">
            <w:pPr>
              <w:rPr>
                <w:rFonts w:eastAsia="Calibri" w:cstheme="minorHAnsi"/>
              </w:rPr>
            </w:pPr>
          </w:p>
        </w:tc>
        <w:tc>
          <w:tcPr>
            <w:tcW w:w="1133" w:type="dxa"/>
          </w:tcPr>
          <w:p w14:paraId="44B35C47" w14:textId="77777777" w:rsidR="0063325C" w:rsidRPr="0063325C" w:rsidRDefault="0063325C" w:rsidP="0063325C">
            <w:pPr>
              <w:rPr>
                <w:rFonts w:eastAsia="Calibri" w:cstheme="minorHAnsi"/>
              </w:rPr>
            </w:pPr>
          </w:p>
        </w:tc>
        <w:tc>
          <w:tcPr>
            <w:tcW w:w="1700" w:type="dxa"/>
            <w:hideMark/>
          </w:tcPr>
          <w:p w14:paraId="2FE7E390" w14:textId="77777777" w:rsidR="0063325C" w:rsidRPr="0063325C" w:rsidRDefault="0063325C" w:rsidP="0063325C">
            <w:pPr>
              <w:rPr>
                <w:rFonts w:eastAsia="Calibri" w:cstheme="minorHAnsi"/>
              </w:rPr>
            </w:pPr>
            <w:r w:rsidRPr="0063325C">
              <w:rPr>
                <w:rFonts w:eastAsia="Calibri" w:cstheme="minorHAnsi"/>
              </w:rPr>
              <w:t>10</w:t>
            </w:r>
          </w:p>
        </w:tc>
        <w:tc>
          <w:tcPr>
            <w:tcW w:w="1558" w:type="dxa"/>
          </w:tcPr>
          <w:p w14:paraId="6E11E7FF" w14:textId="77777777" w:rsidR="0063325C" w:rsidRPr="0063325C" w:rsidRDefault="0063325C" w:rsidP="0063325C">
            <w:pPr>
              <w:rPr>
                <w:rFonts w:eastAsia="Calibri" w:cstheme="minorHAnsi"/>
              </w:rPr>
            </w:pPr>
          </w:p>
        </w:tc>
      </w:tr>
      <w:tr w:rsidR="0063325C" w:rsidRPr="0063325C" w14:paraId="4477BAC9" w14:textId="77777777" w:rsidTr="00361052">
        <w:tc>
          <w:tcPr>
            <w:tcW w:w="1668" w:type="dxa"/>
          </w:tcPr>
          <w:p w14:paraId="119BFB58" w14:textId="77777777" w:rsidR="0063325C" w:rsidRPr="0063325C" w:rsidRDefault="0063325C" w:rsidP="0063325C">
            <w:pPr>
              <w:rPr>
                <w:rFonts w:eastAsia="Calibri" w:cstheme="minorHAnsi"/>
                <w:bCs/>
              </w:rPr>
            </w:pPr>
            <w:r w:rsidRPr="0063325C">
              <w:rPr>
                <w:rFonts w:eastAsia="Calibri" w:cstheme="minorHAnsi"/>
                <w:bCs/>
              </w:rPr>
              <w:t xml:space="preserve">Total </w:t>
            </w:r>
          </w:p>
        </w:tc>
        <w:tc>
          <w:tcPr>
            <w:tcW w:w="1228" w:type="dxa"/>
            <w:hideMark/>
          </w:tcPr>
          <w:p w14:paraId="28061512" w14:textId="77777777" w:rsidR="0063325C" w:rsidRPr="0063325C" w:rsidRDefault="0063325C" w:rsidP="0063325C">
            <w:pPr>
              <w:rPr>
                <w:rFonts w:eastAsia="Calibri" w:cstheme="minorHAnsi"/>
                <w:bCs/>
              </w:rPr>
            </w:pPr>
            <w:r w:rsidRPr="0063325C">
              <w:rPr>
                <w:rFonts w:eastAsia="Calibri" w:cstheme="minorHAnsi"/>
                <w:bCs/>
              </w:rPr>
              <w:t>150</w:t>
            </w:r>
          </w:p>
        </w:tc>
        <w:tc>
          <w:tcPr>
            <w:tcW w:w="898" w:type="dxa"/>
          </w:tcPr>
          <w:p w14:paraId="0C630C90" w14:textId="77777777" w:rsidR="0063325C" w:rsidRPr="0063325C" w:rsidRDefault="0063325C" w:rsidP="0063325C">
            <w:pPr>
              <w:rPr>
                <w:rFonts w:eastAsia="Calibri" w:cstheme="minorHAnsi"/>
                <w:bCs/>
              </w:rPr>
            </w:pPr>
          </w:p>
        </w:tc>
        <w:tc>
          <w:tcPr>
            <w:tcW w:w="709" w:type="dxa"/>
          </w:tcPr>
          <w:p w14:paraId="4EE5AC8E" w14:textId="77777777" w:rsidR="0063325C" w:rsidRPr="0063325C" w:rsidRDefault="0063325C" w:rsidP="0063325C">
            <w:pPr>
              <w:rPr>
                <w:rFonts w:eastAsia="Calibri" w:cstheme="minorHAnsi"/>
                <w:bCs/>
              </w:rPr>
            </w:pPr>
          </w:p>
        </w:tc>
        <w:tc>
          <w:tcPr>
            <w:tcW w:w="1133" w:type="dxa"/>
          </w:tcPr>
          <w:p w14:paraId="5C199EEC" w14:textId="77777777" w:rsidR="0063325C" w:rsidRPr="0063325C" w:rsidRDefault="0063325C" w:rsidP="0063325C">
            <w:pPr>
              <w:rPr>
                <w:rFonts w:eastAsia="Calibri" w:cstheme="minorHAnsi"/>
                <w:bCs/>
              </w:rPr>
            </w:pPr>
          </w:p>
        </w:tc>
        <w:tc>
          <w:tcPr>
            <w:tcW w:w="1700" w:type="dxa"/>
            <w:hideMark/>
          </w:tcPr>
          <w:p w14:paraId="5DF2ADAE" w14:textId="77777777" w:rsidR="0063325C" w:rsidRPr="0063325C" w:rsidRDefault="0063325C" w:rsidP="0063325C">
            <w:pPr>
              <w:rPr>
                <w:rFonts w:eastAsia="Calibri" w:cstheme="minorHAnsi"/>
                <w:bCs/>
              </w:rPr>
            </w:pPr>
            <w:r w:rsidRPr="0063325C">
              <w:rPr>
                <w:rFonts w:eastAsia="Calibri" w:cstheme="minorHAnsi"/>
                <w:bCs/>
              </w:rPr>
              <w:t>2125</w:t>
            </w:r>
          </w:p>
        </w:tc>
        <w:tc>
          <w:tcPr>
            <w:tcW w:w="1558" w:type="dxa"/>
            <w:hideMark/>
          </w:tcPr>
          <w:p w14:paraId="41FDE645" w14:textId="77777777" w:rsidR="0063325C" w:rsidRPr="0063325C" w:rsidRDefault="0063325C" w:rsidP="0063325C">
            <w:pPr>
              <w:rPr>
                <w:rFonts w:eastAsia="Calibri" w:cstheme="minorHAnsi"/>
                <w:bCs/>
              </w:rPr>
            </w:pPr>
            <w:r w:rsidRPr="0063325C">
              <w:rPr>
                <w:rFonts w:eastAsia="Calibri" w:cstheme="minorHAnsi"/>
                <w:bCs/>
              </w:rPr>
              <w:t>307</w:t>
            </w:r>
          </w:p>
        </w:tc>
      </w:tr>
    </w:tbl>
    <w:p w14:paraId="40458311" w14:textId="77777777" w:rsidR="0063325C" w:rsidRPr="0063325C" w:rsidRDefault="0063325C" w:rsidP="0063325C">
      <w:pPr>
        <w:rPr>
          <w:rFonts w:eastAsia="Calibri" w:cstheme="minorHAnsi"/>
          <w:bCs/>
        </w:rPr>
      </w:pPr>
      <w:r w:rsidRPr="0063325C">
        <w:rPr>
          <w:rFonts w:eastAsia="Calibri" w:cstheme="minorHAnsi"/>
          <w:bCs/>
        </w:rPr>
        <w:t xml:space="preserve">Abréviation : </w:t>
      </w:r>
      <w:r w:rsidRPr="0063325C">
        <w:rPr>
          <w:rFonts w:eastAsia="Calibri" w:cstheme="minorHAnsi"/>
        </w:rPr>
        <w:t>SR : senne de rivage ; FM : filet maillant </w:t>
      </w:r>
      <w:r w:rsidRPr="0063325C">
        <w:rPr>
          <w:rFonts w:eastAsia="Calibri" w:cstheme="minorHAnsi"/>
          <w:bCs/>
        </w:rPr>
        <w:t xml:space="preserve">; </w:t>
      </w:r>
      <w:r w:rsidRPr="0063325C">
        <w:rPr>
          <w:rFonts w:eastAsia="Calibri" w:cstheme="minorHAnsi"/>
        </w:rPr>
        <w:t>P : palangre </w:t>
      </w:r>
      <w:r w:rsidRPr="0063325C">
        <w:rPr>
          <w:rFonts w:eastAsia="Calibri" w:cstheme="minorHAnsi"/>
          <w:bCs/>
        </w:rPr>
        <w:t xml:space="preserve">; </w:t>
      </w:r>
      <w:r w:rsidRPr="0063325C">
        <w:rPr>
          <w:rFonts w:eastAsia="Calibri" w:cstheme="minorHAnsi"/>
        </w:rPr>
        <w:t>E : épervier </w:t>
      </w:r>
      <w:r w:rsidRPr="0063325C">
        <w:rPr>
          <w:rFonts w:eastAsia="Calibri" w:cstheme="minorHAnsi"/>
          <w:bCs/>
        </w:rPr>
        <w:t xml:space="preserve">; </w:t>
      </w:r>
      <w:r w:rsidRPr="0063325C">
        <w:rPr>
          <w:rFonts w:eastAsia="Calibri" w:cstheme="minorHAnsi"/>
        </w:rPr>
        <w:t>CT : casier traditionnel </w:t>
      </w:r>
      <w:r w:rsidRPr="0063325C">
        <w:rPr>
          <w:rFonts w:eastAsia="Calibri" w:cstheme="minorHAnsi"/>
          <w:bCs/>
        </w:rPr>
        <w:t xml:space="preserve">; </w:t>
      </w:r>
      <w:r w:rsidRPr="0063325C">
        <w:rPr>
          <w:rFonts w:eastAsia="Calibri" w:cstheme="minorHAnsi"/>
        </w:rPr>
        <w:t>V : vivier</w:t>
      </w:r>
    </w:p>
    <w:p w14:paraId="45C1F90B" w14:textId="414FC5BB" w:rsidR="0063325C" w:rsidRPr="0063325C" w:rsidRDefault="0063325C" w:rsidP="0063325C">
      <w:pPr>
        <w:rPr>
          <w:rFonts w:eastAsia="Calibri" w:cstheme="minorHAnsi"/>
        </w:rPr>
      </w:pPr>
      <w:r w:rsidRPr="0063325C">
        <w:rPr>
          <w:rFonts w:eastAsia="Calibri" w:cstheme="minorHAnsi"/>
          <w:bCs/>
        </w:rPr>
        <w:t xml:space="preserve">Les rendements sont très faibles (3kg /j et par pêcheur), les produits de la pêche sont autoconsommés. </w:t>
      </w:r>
      <w:r w:rsidRPr="0063325C">
        <w:rPr>
          <w:rFonts w:eastAsia="Calibri" w:cstheme="minorHAnsi"/>
        </w:rPr>
        <w:t xml:space="preserve"> </w:t>
      </w:r>
      <w:r w:rsidRPr="0063325C">
        <w:rPr>
          <w:rFonts w:eastAsia="Calibri" w:cstheme="minorHAnsi"/>
          <w:bCs/>
        </w:rPr>
        <w:t xml:space="preserve">Les techniques de pêche sont </w:t>
      </w:r>
      <w:r w:rsidR="00655ABF" w:rsidRPr="0063325C">
        <w:rPr>
          <w:rFonts w:eastAsia="Calibri" w:cstheme="minorHAnsi"/>
          <w:bCs/>
        </w:rPr>
        <w:t>la pêche</w:t>
      </w:r>
      <w:r w:rsidRPr="0063325C">
        <w:rPr>
          <w:rFonts w:eastAsia="Calibri" w:cstheme="minorHAnsi"/>
          <w:bCs/>
        </w:rPr>
        <w:t xml:space="preserve"> à la palangrotte, les palangres et les casiers.</w:t>
      </w:r>
    </w:p>
    <w:p w14:paraId="3D7BFAFB" w14:textId="2C6171E6" w:rsidR="0063325C" w:rsidRPr="0063325C" w:rsidRDefault="0063325C" w:rsidP="0063325C">
      <w:pPr>
        <w:rPr>
          <w:rFonts w:eastAsia="Calibri" w:cstheme="minorHAnsi"/>
        </w:rPr>
      </w:pPr>
      <w:r w:rsidRPr="0063325C">
        <w:rPr>
          <w:rFonts w:eastAsia="Calibri" w:cstheme="minorHAnsi"/>
        </w:rPr>
        <w:t xml:space="preserve">L’analyse des résultats des recherches bibliographiques et des enquêtes de terrain montre que la pêche continentale renferme </w:t>
      </w:r>
      <w:r w:rsidR="00655ABF" w:rsidRPr="0063325C">
        <w:rPr>
          <w:rFonts w:eastAsia="Calibri" w:cstheme="minorHAnsi"/>
        </w:rPr>
        <w:t>d’importantes potentialités</w:t>
      </w:r>
      <w:r w:rsidRPr="0063325C">
        <w:rPr>
          <w:rFonts w:eastAsia="Calibri" w:cstheme="minorHAnsi"/>
        </w:rPr>
        <w:t xml:space="preserve"> qui dépendent de plusieurs facteurs parmi lesquels on peut citer : </w:t>
      </w:r>
    </w:p>
    <w:p w14:paraId="58583CCF" w14:textId="77777777" w:rsidR="0063325C" w:rsidRPr="0063325C" w:rsidRDefault="0063325C" w:rsidP="0063325C">
      <w:pPr>
        <w:numPr>
          <w:ilvl w:val="0"/>
          <w:numId w:val="303"/>
        </w:numPr>
        <w:rPr>
          <w:rFonts w:eastAsia="Calibri" w:cstheme="minorHAnsi"/>
        </w:rPr>
      </w:pPr>
      <w:r w:rsidRPr="0063325C">
        <w:rPr>
          <w:rFonts w:eastAsia="Calibri" w:cstheme="minorHAnsi"/>
        </w:rPr>
        <w:t xml:space="preserve">La période d’inondation qui a une influence importante sur la productivité, il faut qu’elle soit assez hâtive pour précéder l’époque normale de reproduction des principales espèces ; </w:t>
      </w:r>
    </w:p>
    <w:p w14:paraId="4C21B1EE" w14:textId="77777777" w:rsidR="0063325C" w:rsidRPr="0063325C" w:rsidRDefault="0063325C" w:rsidP="0063325C">
      <w:pPr>
        <w:numPr>
          <w:ilvl w:val="0"/>
          <w:numId w:val="303"/>
        </w:numPr>
        <w:rPr>
          <w:rFonts w:eastAsia="Calibri" w:cstheme="minorHAnsi"/>
        </w:rPr>
      </w:pPr>
      <w:r w:rsidRPr="0063325C">
        <w:rPr>
          <w:rFonts w:eastAsia="Calibri" w:cstheme="minorHAnsi"/>
        </w:rPr>
        <w:t>L’organisation de la pêche qui limite ou parfois empêche les géniteurs de pénétrer dans les cuvettes, particulièrement au cours des crues de faible amplitude.</w:t>
      </w:r>
    </w:p>
    <w:p w14:paraId="43B3E468" w14:textId="77777777" w:rsidR="0063325C" w:rsidRPr="0063325C" w:rsidRDefault="0063325C" w:rsidP="0063325C">
      <w:pPr>
        <w:numPr>
          <w:ilvl w:val="1"/>
          <w:numId w:val="336"/>
        </w:numPr>
        <w:rPr>
          <w:rFonts w:eastAsia="Calibri" w:cstheme="minorHAnsi"/>
          <w:b/>
        </w:rPr>
      </w:pPr>
      <w:r w:rsidRPr="0063325C">
        <w:rPr>
          <w:rFonts w:eastAsia="Calibri" w:cstheme="minorHAnsi"/>
          <w:b/>
        </w:rPr>
        <w:t xml:space="preserve">Mesures d’adaptation aux changements climatiques en cours  </w:t>
      </w:r>
    </w:p>
    <w:p w14:paraId="674E47AA" w14:textId="77777777" w:rsidR="0063325C" w:rsidRPr="0063325C" w:rsidRDefault="0063325C" w:rsidP="0063325C">
      <w:pPr>
        <w:numPr>
          <w:ilvl w:val="0"/>
          <w:numId w:val="333"/>
        </w:numPr>
        <w:rPr>
          <w:rFonts w:eastAsia="Calibri" w:cstheme="minorHAnsi"/>
          <w:bCs/>
        </w:rPr>
      </w:pPr>
      <w:r w:rsidRPr="0063325C">
        <w:rPr>
          <w:rFonts w:eastAsia="Calibri" w:cstheme="minorHAnsi"/>
          <w:bCs/>
        </w:rPr>
        <w:t xml:space="preserve">Pendant les périodes d’assèchement du Lac (année de sécheresse), les pêcheurs creusent des puits dans lesquels ils mettent les espèces de poisson qui y hibernent (greniers biologiques) en attendant la saison des pluies. </w:t>
      </w:r>
    </w:p>
    <w:p w14:paraId="41203573" w14:textId="77777777" w:rsidR="0063325C" w:rsidRPr="0063325C" w:rsidRDefault="0063325C" w:rsidP="0063325C">
      <w:pPr>
        <w:numPr>
          <w:ilvl w:val="0"/>
          <w:numId w:val="333"/>
        </w:numPr>
        <w:rPr>
          <w:rFonts w:eastAsia="Calibri" w:cstheme="minorHAnsi"/>
          <w:bCs/>
        </w:rPr>
      </w:pPr>
      <w:r w:rsidRPr="0063325C">
        <w:rPr>
          <w:rFonts w:eastAsia="Calibri" w:cstheme="minorHAnsi"/>
          <w:bCs/>
        </w:rPr>
        <w:t xml:space="preserve"> L’arrêt d’utilisation des hameçons N° 14, l’espacement des hameçons, l’arrêt de pêche pendant l’assèchement des cuvettes, </w:t>
      </w:r>
    </w:p>
    <w:p w14:paraId="0BAF5DD0" w14:textId="77777777" w:rsidR="0063325C" w:rsidRPr="0063325C" w:rsidRDefault="0063325C" w:rsidP="0063325C">
      <w:pPr>
        <w:numPr>
          <w:ilvl w:val="0"/>
          <w:numId w:val="304"/>
        </w:numPr>
        <w:rPr>
          <w:rFonts w:eastAsia="Calibri" w:cstheme="minorHAnsi"/>
        </w:rPr>
      </w:pPr>
      <w:r w:rsidRPr="0063325C">
        <w:rPr>
          <w:rFonts w:eastAsia="Calibri" w:cstheme="minorHAnsi"/>
        </w:rPr>
        <w:t>Réalisation des infrastructures de retenue des eaux de ruissellement qui constituent la principale source d’alimentation des mares de Lebheir et de Male.</w:t>
      </w:r>
    </w:p>
    <w:p w14:paraId="61AEB0A7" w14:textId="77777777" w:rsidR="0063325C" w:rsidRPr="0063325C" w:rsidRDefault="0063325C" w:rsidP="0063325C">
      <w:pPr>
        <w:numPr>
          <w:ilvl w:val="0"/>
          <w:numId w:val="304"/>
        </w:numPr>
        <w:rPr>
          <w:rFonts w:eastAsia="Calibri" w:cstheme="minorHAnsi"/>
        </w:rPr>
      </w:pPr>
      <w:r w:rsidRPr="0063325C">
        <w:rPr>
          <w:rFonts w:eastAsia="Calibri" w:cstheme="minorHAnsi"/>
        </w:rPr>
        <w:t>Repeuplement des mares par l’introduction de certaines espèces telles :</w:t>
      </w:r>
    </w:p>
    <w:p w14:paraId="05BBEA70" w14:textId="315B4BAA" w:rsidR="0063325C" w:rsidRPr="0063325C" w:rsidRDefault="0063325C" w:rsidP="0063325C">
      <w:pPr>
        <w:numPr>
          <w:ilvl w:val="0"/>
          <w:numId w:val="334"/>
        </w:numPr>
        <w:rPr>
          <w:rFonts w:eastAsia="Calibri" w:cstheme="minorHAnsi"/>
        </w:rPr>
      </w:pPr>
      <w:r w:rsidRPr="0063325C">
        <w:rPr>
          <w:rFonts w:eastAsia="Calibri" w:cstheme="minorHAnsi"/>
        </w:rPr>
        <w:t xml:space="preserve">Les Cichlidea : Oreochromis niloticus, </w:t>
      </w:r>
      <w:r w:rsidR="00655ABF" w:rsidRPr="0063325C">
        <w:rPr>
          <w:rFonts w:eastAsia="Calibri" w:cstheme="minorHAnsi"/>
        </w:rPr>
        <w:t>espèces très résistantes</w:t>
      </w:r>
      <w:r w:rsidRPr="0063325C">
        <w:rPr>
          <w:rFonts w:eastAsia="Calibri" w:cstheme="minorHAnsi"/>
        </w:rPr>
        <w:t xml:space="preserve"> pouvant survivre même dans les milieux où l’oxygène dissous commence à manquer.les rendements en pisciculture sont très intéressant et avoisinent plus de 6 tonnes/ha/an </w:t>
      </w:r>
    </w:p>
    <w:p w14:paraId="151D7028" w14:textId="16727AB3" w:rsidR="0063325C" w:rsidRPr="0063325C" w:rsidRDefault="0063325C" w:rsidP="0063325C">
      <w:pPr>
        <w:numPr>
          <w:ilvl w:val="0"/>
          <w:numId w:val="334"/>
        </w:numPr>
        <w:rPr>
          <w:rFonts w:eastAsia="Calibri" w:cstheme="minorHAnsi"/>
        </w:rPr>
      </w:pPr>
      <w:r w:rsidRPr="0063325C">
        <w:rPr>
          <w:rFonts w:eastAsia="Calibri" w:cstheme="minorHAnsi"/>
        </w:rPr>
        <w:t xml:space="preserve">Centropomidae : Lates niloticus, le capitaine est un excellent poisson qui supporte mal les températures basses (12°C). En pisciculture, il est généralement associé à d’autres espèces pour </w:t>
      </w:r>
      <w:r w:rsidR="00655ABF" w:rsidRPr="0063325C">
        <w:rPr>
          <w:rFonts w:eastAsia="Calibri" w:cstheme="minorHAnsi"/>
        </w:rPr>
        <w:t>contrôler</w:t>
      </w:r>
      <w:r w:rsidRPr="0063325C">
        <w:rPr>
          <w:rFonts w:eastAsia="Calibri" w:cstheme="minorHAnsi"/>
        </w:rPr>
        <w:t xml:space="preserve"> leur reproduction (cas des Tilapia)</w:t>
      </w:r>
    </w:p>
    <w:p w14:paraId="25645B1E" w14:textId="7F6DA8E1" w:rsidR="0063325C" w:rsidRPr="0063325C" w:rsidRDefault="0063325C" w:rsidP="0063325C">
      <w:pPr>
        <w:numPr>
          <w:ilvl w:val="0"/>
          <w:numId w:val="334"/>
        </w:numPr>
        <w:rPr>
          <w:rFonts w:eastAsia="Calibri" w:cstheme="minorHAnsi"/>
        </w:rPr>
      </w:pPr>
      <w:r w:rsidRPr="0063325C">
        <w:rPr>
          <w:rFonts w:eastAsia="Calibri" w:cstheme="minorHAnsi"/>
        </w:rPr>
        <w:t xml:space="preserve">Osteoglossidae : Heterotis </w:t>
      </w:r>
      <w:r w:rsidR="00655ABF" w:rsidRPr="0063325C">
        <w:rPr>
          <w:rFonts w:eastAsia="Calibri" w:cstheme="minorHAnsi"/>
        </w:rPr>
        <w:t>niloticus espèce</w:t>
      </w:r>
      <w:r w:rsidRPr="0063325C">
        <w:rPr>
          <w:rFonts w:eastAsia="Calibri" w:cstheme="minorHAnsi"/>
        </w:rPr>
        <w:t xml:space="preserve"> très résistante, qui se reproduit dès la deuxième </w:t>
      </w:r>
      <w:r w:rsidR="00655ABF" w:rsidRPr="0063325C">
        <w:rPr>
          <w:rFonts w:eastAsia="Calibri" w:cstheme="minorHAnsi"/>
        </w:rPr>
        <w:t>année. C’est</w:t>
      </w:r>
      <w:r w:rsidRPr="0063325C">
        <w:rPr>
          <w:rFonts w:eastAsia="Calibri" w:cstheme="minorHAnsi"/>
        </w:rPr>
        <w:t xml:space="preserve"> un poisson d’accompagnement en pisciculture. </w:t>
      </w:r>
    </w:p>
    <w:p w14:paraId="1608444D" w14:textId="77777777" w:rsidR="0063325C" w:rsidRPr="0063325C" w:rsidRDefault="0063325C" w:rsidP="0063325C">
      <w:pPr>
        <w:numPr>
          <w:ilvl w:val="0"/>
          <w:numId w:val="334"/>
        </w:numPr>
        <w:rPr>
          <w:rFonts w:eastAsia="Calibri" w:cstheme="minorHAnsi"/>
        </w:rPr>
      </w:pPr>
      <w:r w:rsidRPr="0063325C">
        <w:rPr>
          <w:rFonts w:eastAsia="Calibri" w:cstheme="minorHAnsi"/>
        </w:rPr>
        <w:t xml:space="preserve">CLariidea : clarias gariepinus, poisson très résistant qui supporte des températures élevées, de croissance rapide, de régime omnivore </w:t>
      </w:r>
    </w:p>
    <w:p w14:paraId="5630EC81" w14:textId="2CF4AFE8" w:rsidR="0063325C" w:rsidRPr="0063325C" w:rsidRDefault="0063325C" w:rsidP="0063325C">
      <w:pPr>
        <w:numPr>
          <w:ilvl w:val="1"/>
          <w:numId w:val="336"/>
        </w:numPr>
        <w:rPr>
          <w:rFonts w:eastAsia="Calibri" w:cstheme="minorHAnsi"/>
          <w:b/>
        </w:rPr>
      </w:pPr>
      <w:r w:rsidRPr="0063325C">
        <w:rPr>
          <w:rFonts w:eastAsia="Calibri" w:cstheme="minorHAnsi"/>
          <w:b/>
        </w:rPr>
        <w:t xml:space="preserve">Information sur les </w:t>
      </w:r>
      <w:r w:rsidR="00655ABF" w:rsidRPr="0063325C">
        <w:rPr>
          <w:rFonts w:eastAsia="Calibri" w:cstheme="minorHAnsi"/>
          <w:b/>
        </w:rPr>
        <w:t>zones de</w:t>
      </w:r>
      <w:r w:rsidRPr="0063325C">
        <w:rPr>
          <w:rFonts w:eastAsia="Calibri" w:cstheme="minorHAnsi"/>
          <w:b/>
        </w:rPr>
        <w:t xml:space="preserve"> pêche des zones humides de l’EST et du Centre</w:t>
      </w:r>
    </w:p>
    <w:p w14:paraId="2DEDE2FC" w14:textId="420D2DF9" w:rsidR="0063325C" w:rsidRPr="0063325C" w:rsidRDefault="0063325C" w:rsidP="0063325C">
      <w:pPr>
        <w:rPr>
          <w:rFonts w:eastAsia="Calibri" w:cstheme="minorHAnsi"/>
        </w:rPr>
      </w:pPr>
      <w:r w:rsidRPr="0063325C">
        <w:rPr>
          <w:rFonts w:eastAsia="Calibri" w:cstheme="minorHAnsi"/>
        </w:rPr>
        <w:t xml:space="preserve">Dans les Wilayas du Hodh El </w:t>
      </w:r>
      <w:r w:rsidR="00655ABF" w:rsidRPr="0063325C">
        <w:rPr>
          <w:rFonts w:eastAsia="Calibri" w:cstheme="minorHAnsi"/>
        </w:rPr>
        <w:t>Chargui</w:t>
      </w:r>
      <w:r w:rsidRPr="0063325C">
        <w:rPr>
          <w:rFonts w:eastAsia="Calibri" w:cstheme="minorHAnsi"/>
        </w:rPr>
        <w:t>, de l’Assaba et du Taguant la pêche est pratiquée dans les zones humides (Tamourt Mahmouda, Tamourt Bougari, Tamourt Naaj).</w:t>
      </w:r>
    </w:p>
    <w:p w14:paraId="1A29BA63" w14:textId="77777777" w:rsidR="0063325C" w:rsidRPr="0063325C" w:rsidRDefault="0063325C" w:rsidP="0063325C">
      <w:pPr>
        <w:rPr>
          <w:rFonts w:eastAsia="Calibri" w:cstheme="minorHAnsi"/>
        </w:rPr>
      </w:pPr>
      <w:r w:rsidRPr="0063325C">
        <w:rPr>
          <w:rFonts w:eastAsia="Calibri" w:cstheme="minorHAnsi"/>
        </w:rPr>
        <w:t>La zone inondable couvre une superficie de 16 200 ha et se trouve à 53 km à l’Ouest de Néma.</w:t>
      </w:r>
    </w:p>
    <w:p w14:paraId="4DE01D77" w14:textId="77777777" w:rsidR="0063325C" w:rsidRPr="0063325C" w:rsidRDefault="0063325C" w:rsidP="00F35E24">
      <w:pPr>
        <w:jc w:val="both"/>
        <w:rPr>
          <w:rFonts w:eastAsia="Calibri" w:cstheme="minorHAnsi"/>
          <w:bCs/>
        </w:rPr>
      </w:pPr>
      <w:r w:rsidRPr="0063325C">
        <w:rPr>
          <w:rFonts w:eastAsia="Calibri" w:cstheme="minorHAnsi"/>
          <w:bCs/>
        </w:rPr>
        <w:t xml:space="preserve">La pêche est pratiquée en période de basses eaux, quand le plan d'eau diminue jusqu'à 200 mètre carrés, diguette de piégeage au niveau de l'exutoire. </w:t>
      </w:r>
    </w:p>
    <w:p w14:paraId="29D72C3C" w14:textId="77777777" w:rsidR="0063325C" w:rsidRPr="0063325C" w:rsidRDefault="0063325C" w:rsidP="00F35E24">
      <w:pPr>
        <w:jc w:val="both"/>
        <w:rPr>
          <w:rFonts w:eastAsia="Calibri" w:cstheme="minorHAnsi"/>
          <w:bCs/>
        </w:rPr>
      </w:pPr>
      <w:r w:rsidRPr="0063325C">
        <w:rPr>
          <w:rFonts w:eastAsia="Calibri" w:cstheme="minorHAnsi"/>
          <w:bCs/>
        </w:rPr>
        <w:t>Autrefois, le poisson était transformé (fumage) avant d'être expédié par des membres de la communauté locale au village frontière (Tenaha, Assaba), à destination des marchés maliens.</w:t>
      </w:r>
    </w:p>
    <w:p w14:paraId="3EC8B0A5" w14:textId="77777777" w:rsidR="0063325C" w:rsidRPr="0063325C" w:rsidRDefault="0063325C" w:rsidP="00F35E24">
      <w:pPr>
        <w:jc w:val="both"/>
        <w:rPr>
          <w:rFonts w:eastAsia="Calibri" w:cstheme="minorHAnsi"/>
        </w:rPr>
      </w:pPr>
      <w:r w:rsidRPr="0063325C">
        <w:rPr>
          <w:rFonts w:eastAsia="Calibri" w:cstheme="minorHAnsi"/>
        </w:rPr>
        <w:t xml:space="preserve">Les villages de la ZH sont installés en rapport à l'hydrographie et la possibilité d'exploitation (plantation de palmier, cultures de céréales, sites d'abreuvement.  </w:t>
      </w:r>
    </w:p>
    <w:p w14:paraId="342D8248" w14:textId="77777777" w:rsidR="0063325C" w:rsidRPr="0063325C" w:rsidRDefault="0063325C" w:rsidP="00F35E24">
      <w:pPr>
        <w:jc w:val="both"/>
        <w:rPr>
          <w:rFonts w:eastAsia="Calibri" w:cstheme="minorHAnsi"/>
        </w:rPr>
      </w:pPr>
      <w:r w:rsidRPr="0063325C">
        <w:rPr>
          <w:rFonts w:eastAsia="Calibri" w:cstheme="minorHAnsi"/>
        </w:rPr>
        <w:t>Environ 1000 Pêcheurs maliens installés en 2013 sur le site de Guebou, par l'intermédiaire de l'autorisation de la commune. Environ 150 pêcheurs locaux sur les sites de :</w:t>
      </w:r>
    </w:p>
    <w:p w14:paraId="50EBE3EA" w14:textId="77777777" w:rsidR="0063325C" w:rsidRPr="0063325C" w:rsidRDefault="0063325C" w:rsidP="00F35E24">
      <w:pPr>
        <w:numPr>
          <w:ilvl w:val="0"/>
          <w:numId w:val="335"/>
        </w:numPr>
        <w:jc w:val="both"/>
        <w:rPr>
          <w:rFonts w:eastAsia="Calibri" w:cstheme="minorHAnsi"/>
        </w:rPr>
      </w:pPr>
      <w:r w:rsidRPr="0063325C">
        <w:rPr>
          <w:rFonts w:eastAsia="Calibri" w:cstheme="minorHAnsi"/>
        </w:rPr>
        <w:t xml:space="preserve">Site de Mechrae : Piégeage en hivernage, pendant l'écoulement </w:t>
      </w:r>
    </w:p>
    <w:p w14:paraId="04936719" w14:textId="77777777" w:rsidR="0063325C" w:rsidRPr="0063325C" w:rsidRDefault="0063325C" w:rsidP="00F35E24">
      <w:pPr>
        <w:numPr>
          <w:ilvl w:val="0"/>
          <w:numId w:val="335"/>
        </w:numPr>
        <w:jc w:val="both"/>
        <w:rPr>
          <w:rFonts w:eastAsia="Calibri" w:cstheme="minorHAnsi"/>
        </w:rPr>
      </w:pPr>
      <w:r w:rsidRPr="0063325C">
        <w:rPr>
          <w:rFonts w:eastAsia="Calibri" w:cstheme="minorHAnsi"/>
        </w:rPr>
        <w:t>Site de Mezana-Touesersit : pêche au filet et palangre dans les poches d'eau en fin en saison sèche</w:t>
      </w:r>
    </w:p>
    <w:p w14:paraId="25E6CA74" w14:textId="0EA9895E" w:rsidR="0063325C" w:rsidRPr="0063325C" w:rsidRDefault="0063325C" w:rsidP="00F35E24">
      <w:pPr>
        <w:numPr>
          <w:ilvl w:val="0"/>
          <w:numId w:val="335"/>
        </w:numPr>
        <w:jc w:val="both"/>
        <w:rPr>
          <w:rFonts w:eastAsia="Calibri" w:cstheme="minorHAnsi"/>
        </w:rPr>
      </w:pPr>
      <w:r w:rsidRPr="0063325C">
        <w:rPr>
          <w:rFonts w:eastAsia="Calibri" w:cstheme="minorHAnsi"/>
        </w:rPr>
        <w:t xml:space="preserve">Site de Guebou : pêche à la nasse et à la palangre, normalement toute l'année, mais cette </w:t>
      </w:r>
      <w:r w:rsidR="00655ABF" w:rsidRPr="0063325C">
        <w:rPr>
          <w:rFonts w:eastAsia="Calibri" w:cstheme="minorHAnsi"/>
        </w:rPr>
        <w:t>année (</w:t>
      </w:r>
      <w:r w:rsidRPr="0063325C">
        <w:rPr>
          <w:rFonts w:eastAsia="Calibri" w:cstheme="minorHAnsi"/>
        </w:rPr>
        <w:t>2013) la mare a connu un assèchement total exceptionnel.</w:t>
      </w:r>
    </w:p>
    <w:p w14:paraId="21F1899A" w14:textId="1907A1CF" w:rsidR="0063325C" w:rsidRPr="0063325C" w:rsidRDefault="0063325C" w:rsidP="00F35E24">
      <w:pPr>
        <w:jc w:val="both"/>
        <w:rPr>
          <w:rFonts w:eastAsia="Calibri" w:cstheme="minorHAnsi"/>
        </w:rPr>
      </w:pPr>
      <w:r w:rsidRPr="0063325C">
        <w:rPr>
          <w:rFonts w:eastAsia="Calibri" w:cstheme="minorHAnsi"/>
        </w:rPr>
        <w:t xml:space="preserve">Pêcherie locale dans la zone de Mechrae : le poisson est transformé (salage et séchage) est vendu au Guidimakha </w:t>
      </w:r>
      <w:r w:rsidR="00655ABF" w:rsidRPr="0063325C">
        <w:rPr>
          <w:rFonts w:eastAsia="Calibri" w:cstheme="minorHAnsi"/>
        </w:rPr>
        <w:t>par des</w:t>
      </w:r>
      <w:r w:rsidRPr="0063325C">
        <w:rPr>
          <w:rFonts w:eastAsia="Calibri" w:cstheme="minorHAnsi"/>
        </w:rPr>
        <w:t xml:space="preserve"> transporteurs locaux, à 3000 UM/kg</w:t>
      </w:r>
    </w:p>
    <w:p w14:paraId="4A389B08" w14:textId="77777777" w:rsidR="0063325C" w:rsidRPr="0063325C" w:rsidRDefault="0063325C" w:rsidP="00F35E24">
      <w:pPr>
        <w:jc w:val="both"/>
        <w:rPr>
          <w:rFonts w:eastAsia="Calibri" w:cstheme="minorHAnsi"/>
        </w:rPr>
      </w:pPr>
      <w:r w:rsidRPr="0063325C">
        <w:rPr>
          <w:rFonts w:eastAsia="Calibri" w:cstheme="minorHAnsi"/>
        </w:rPr>
        <w:t>Pêcherie malienne à Guebou : transformation locale et expédition par une filière malienne pour l'export au Mali.</w:t>
      </w:r>
    </w:p>
    <w:p w14:paraId="78A063AF" w14:textId="77777777" w:rsidR="0063325C" w:rsidRPr="0063325C" w:rsidRDefault="0063325C" w:rsidP="0063325C">
      <w:pPr>
        <w:numPr>
          <w:ilvl w:val="1"/>
          <w:numId w:val="336"/>
        </w:numPr>
        <w:rPr>
          <w:rFonts w:eastAsia="Calibri" w:cstheme="minorHAnsi"/>
          <w:b/>
          <w:bCs/>
        </w:rPr>
      </w:pPr>
      <w:r w:rsidRPr="0063325C">
        <w:rPr>
          <w:rFonts w:eastAsia="Calibri" w:cstheme="minorHAnsi"/>
          <w:b/>
          <w:bCs/>
        </w:rPr>
        <w:t>Informations sur les infrastructures d’appui au développement de la pêche continentale.</w:t>
      </w:r>
    </w:p>
    <w:p w14:paraId="3C1D325A" w14:textId="5EB97DC9" w:rsidR="0063325C" w:rsidRPr="0063325C" w:rsidRDefault="0063325C" w:rsidP="00F35E24">
      <w:pPr>
        <w:jc w:val="both"/>
        <w:rPr>
          <w:rFonts w:eastAsia="Calibri" w:cstheme="minorHAnsi"/>
          <w:bCs/>
        </w:rPr>
      </w:pPr>
      <w:r w:rsidRPr="0063325C">
        <w:rPr>
          <w:rFonts w:eastAsia="Calibri" w:cstheme="minorHAnsi"/>
          <w:bCs/>
        </w:rPr>
        <w:t xml:space="preserve">En </w:t>
      </w:r>
      <w:r w:rsidR="00655ABF" w:rsidRPr="0063325C">
        <w:rPr>
          <w:rFonts w:eastAsia="Calibri" w:cstheme="minorHAnsi"/>
          <w:bCs/>
        </w:rPr>
        <w:t>appui aux</w:t>
      </w:r>
      <w:r w:rsidRPr="0063325C">
        <w:rPr>
          <w:rFonts w:eastAsia="Calibri" w:cstheme="minorHAnsi"/>
          <w:bCs/>
        </w:rPr>
        <w:t xml:space="preserve"> activités de la pêche continentale, l’organisation de la Mise en Valeur du Fleuve Sénégal (</w:t>
      </w:r>
      <w:r w:rsidR="00655ABF" w:rsidRPr="0063325C">
        <w:rPr>
          <w:rFonts w:eastAsia="Calibri" w:cstheme="minorHAnsi"/>
          <w:bCs/>
        </w:rPr>
        <w:t>OMVS) a</w:t>
      </w:r>
      <w:r w:rsidRPr="0063325C">
        <w:rPr>
          <w:rFonts w:eastAsia="Calibri" w:cstheme="minorHAnsi"/>
          <w:bCs/>
        </w:rPr>
        <w:t xml:space="preserve"> réalisé dans le cadre du PGIRE </w:t>
      </w:r>
      <w:r w:rsidR="00655ABF" w:rsidRPr="0063325C">
        <w:rPr>
          <w:rFonts w:eastAsia="Calibri" w:cstheme="minorHAnsi"/>
          <w:bCs/>
        </w:rPr>
        <w:t>II, les</w:t>
      </w:r>
      <w:r w:rsidRPr="0063325C">
        <w:rPr>
          <w:rFonts w:eastAsia="Calibri" w:cstheme="minorHAnsi"/>
          <w:bCs/>
        </w:rPr>
        <w:t xml:space="preserve"> infrastructures suivantes : débarcadère des produits de la pêche à Tékane, des infrastructures de conservation et de valorisation des produits de la pêche (construction des marchés à poisson à Rosso, </w:t>
      </w:r>
      <w:r w:rsidR="00655ABF" w:rsidRPr="0063325C">
        <w:rPr>
          <w:rFonts w:eastAsia="Calibri" w:cstheme="minorHAnsi"/>
          <w:bCs/>
        </w:rPr>
        <w:t>Kaédi</w:t>
      </w:r>
      <w:r w:rsidRPr="0063325C">
        <w:rPr>
          <w:rFonts w:eastAsia="Calibri" w:cstheme="minorHAnsi"/>
          <w:bCs/>
        </w:rPr>
        <w:t>, Maghama, M’boutt). Pour promouvoir la pisciculture extensive une écloserie a été construite à Foum Gleita.</w:t>
      </w:r>
    </w:p>
    <w:p w14:paraId="47217140" w14:textId="3C3F2CD9" w:rsidR="0063325C" w:rsidRPr="0063325C" w:rsidRDefault="0063325C" w:rsidP="0063325C">
      <w:pPr>
        <w:rPr>
          <w:rFonts w:eastAsia="Calibri" w:cstheme="minorHAnsi"/>
          <w:bCs/>
        </w:rPr>
      </w:pPr>
      <w:r w:rsidRPr="0063325C">
        <w:rPr>
          <w:rFonts w:eastAsia="Calibri" w:cstheme="minorHAnsi"/>
          <w:bCs/>
        </w:rPr>
        <w:t xml:space="preserve">En outre certaines mares (Mare de Guangnandj, Mare de Della </w:t>
      </w:r>
      <w:proofErr w:type="gramStart"/>
      <w:r w:rsidRPr="0063325C">
        <w:rPr>
          <w:rFonts w:eastAsia="Calibri" w:cstheme="minorHAnsi"/>
          <w:bCs/>
        </w:rPr>
        <w:t>Ma ,</w:t>
      </w:r>
      <w:proofErr w:type="gramEnd"/>
      <w:r w:rsidRPr="0063325C">
        <w:rPr>
          <w:rFonts w:eastAsia="Calibri" w:cstheme="minorHAnsi"/>
          <w:bCs/>
        </w:rPr>
        <w:t xml:space="preserve"> mare de Warla), ont fait l’objet d’aménagement, ces aménagements </w:t>
      </w:r>
      <w:r w:rsidR="00655ABF" w:rsidRPr="0063325C">
        <w:rPr>
          <w:rFonts w:eastAsia="Calibri" w:cstheme="minorHAnsi"/>
          <w:bCs/>
        </w:rPr>
        <w:t>ont consisté</w:t>
      </w:r>
      <w:r w:rsidRPr="0063325C">
        <w:rPr>
          <w:rFonts w:eastAsia="Calibri" w:cstheme="minorHAnsi"/>
          <w:bCs/>
        </w:rPr>
        <w:t xml:space="preserve"> à la réalisation des ouvrages </w:t>
      </w:r>
      <w:r w:rsidR="00655ABF" w:rsidRPr="0063325C">
        <w:rPr>
          <w:rFonts w:eastAsia="Calibri" w:cstheme="minorHAnsi"/>
          <w:bCs/>
        </w:rPr>
        <w:t>de retenues</w:t>
      </w:r>
      <w:r w:rsidRPr="0063325C">
        <w:rPr>
          <w:rFonts w:eastAsia="Calibri" w:cstheme="minorHAnsi"/>
          <w:bCs/>
        </w:rPr>
        <w:t xml:space="preserve"> d’eau, la construction de plateformes piscicoles pour augmenter la production piscicole et des aires d’accueil pour le traitement et </w:t>
      </w:r>
      <w:r w:rsidR="00655ABF" w:rsidRPr="0063325C">
        <w:rPr>
          <w:rFonts w:eastAsia="Calibri" w:cstheme="minorHAnsi"/>
          <w:bCs/>
        </w:rPr>
        <w:t>la conservation</w:t>
      </w:r>
      <w:r w:rsidRPr="0063325C">
        <w:rPr>
          <w:rFonts w:eastAsia="Calibri" w:cstheme="minorHAnsi"/>
          <w:bCs/>
        </w:rPr>
        <w:t xml:space="preserve"> des produits de la pêche</w:t>
      </w:r>
    </w:p>
    <w:p w14:paraId="690273D2" w14:textId="5EA8434B" w:rsidR="0063325C" w:rsidRPr="0063325C" w:rsidRDefault="0063325C" w:rsidP="0063325C">
      <w:pPr>
        <w:rPr>
          <w:rFonts w:eastAsia="Calibri" w:cstheme="minorHAnsi"/>
          <w:bCs/>
        </w:rPr>
      </w:pPr>
      <w:r w:rsidRPr="0063325C">
        <w:rPr>
          <w:rFonts w:eastAsia="Calibri" w:cstheme="minorHAnsi"/>
          <w:bCs/>
        </w:rPr>
        <w:t xml:space="preserve">D’autres infrastructures (les fermes piscicoles) ont été réalisées à Boghé, </w:t>
      </w:r>
      <w:r w:rsidR="00655ABF" w:rsidRPr="0063325C">
        <w:rPr>
          <w:rFonts w:eastAsia="Calibri" w:cstheme="minorHAnsi"/>
          <w:bCs/>
        </w:rPr>
        <w:t>Kaédi</w:t>
      </w:r>
      <w:r w:rsidRPr="0063325C">
        <w:rPr>
          <w:rFonts w:eastAsia="Calibri" w:cstheme="minorHAnsi"/>
          <w:bCs/>
        </w:rPr>
        <w:t xml:space="preserve"> par l’Agence pour le Développement de la pêche et la pisciculture continentale. </w:t>
      </w:r>
    </w:p>
    <w:p w14:paraId="1E223BBF" w14:textId="0F77AC09" w:rsidR="0063325C" w:rsidRPr="0063325C" w:rsidRDefault="0063325C" w:rsidP="0063325C">
      <w:pPr>
        <w:rPr>
          <w:rFonts w:eastAsia="Calibri" w:cstheme="minorHAnsi"/>
        </w:rPr>
      </w:pPr>
      <w:r w:rsidRPr="0063325C">
        <w:rPr>
          <w:rFonts w:eastAsia="Calibri" w:cstheme="minorHAnsi"/>
        </w:rPr>
        <w:t xml:space="preserve">Cette contribution comprend trois parties : (i) La description du </w:t>
      </w:r>
      <w:r w:rsidR="00655ABF" w:rsidRPr="0063325C">
        <w:rPr>
          <w:rFonts w:eastAsia="Calibri" w:cstheme="minorHAnsi"/>
        </w:rPr>
        <w:t>milieu aquatique sur</w:t>
      </w:r>
      <w:r w:rsidRPr="0063325C">
        <w:rPr>
          <w:rFonts w:eastAsia="Calibri" w:cstheme="minorHAnsi"/>
        </w:rPr>
        <w:t xml:space="preserve"> lequel se pratique les activités de la pêche continentale, (ii) Les impacts des changements climatiques sur ce milieu aquatique, (iii) Les mesures d’adaptation pour atténuer les effets négatifs des changements climatiques sur les activités de </w:t>
      </w:r>
      <w:proofErr w:type="gramStart"/>
      <w:r w:rsidRPr="0063325C">
        <w:rPr>
          <w:rFonts w:eastAsia="Calibri" w:cstheme="minorHAnsi"/>
        </w:rPr>
        <w:t>la  pêche</w:t>
      </w:r>
      <w:proofErr w:type="gramEnd"/>
      <w:r w:rsidRPr="0063325C">
        <w:rPr>
          <w:rFonts w:eastAsia="Calibri" w:cstheme="minorHAnsi"/>
        </w:rPr>
        <w:t xml:space="preserve"> continentale dans ce milieu.</w:t>
      </w:r>
    </w:p>
    <w:p w14:paraId="225ADCEA" w14:textId="7D0FA1C5" w:rsidR="0063325C" w:rsidRPr="0063325C" w:rsidRDefault="0063325C" w:rsidP="0063325C">
      <w:pPr>
        <w:numPr>
          <w:ilvl w:val="1"/>
          <w:numId w:val="336"/>
        </w:numPr>
        <w:rPr>
          <w:rFonts w:eastAsia="Calibri" w:cstheme="minorHAnsi"/>
          <w:b/>
        </w:rPr>
      </w:pPr>
      <w:r w:rsidRPr="0063325C">
        <w:rPr>
          <w:rFonts w:eastAsia="Calibri" w:cstheme="minorHAnsi"/>
          <w:b/>
        </w:rPr>
        <w:t xml:space="preserve">Description du </w:t>
      </w:r>
      <w:r w:rsidR="00655ABF" w:rsidRPr="0063325C">
        <w:rPr>
          <w:rFonts w:eastAsia="Calibri" w:cstheme="minorHAnsi"/>
          <w:b/>
        </w:rPr>
        <w:t>milieu aquatique</w:t>
      </w:r>
      <w:r w:rsidRPr="0063325C">
        <w:rPr>
          <w:rFonts w:eastAsia="Calibri" w:cstheme="minorHAnsi"/>
          <w:b/>
        </w:rPr>
        <w:t xml:space="preserve"> sur lequel s’exerce l’activité de la pêche continentale.</w:t>
      </w:r>
    </w:p>
    <w:p w14:paraId="12D9BE46" w14:textId="205B1553" w:rsidR="0063325C" w:rsidRPr="0063325C" w:rsidRDefault="0063325C" w:rsidP="00F35E24">
      <w:pPr>
        <w:jc w:val="both"/>
        <w:rPr>
          <w:rFonts w:eastAsia="Calibri" w:cstheme="minorHAnsi"/>
        </w:rPr>
      </w:pPr>
      <w:r w:rsidRPr="0063325C">
        <w:rPr>
          <w:rFonts w:eastAsia="Calibri" w:cstheme="minorHAnsi"/>
        </w:rPr>
        <w:t xml:space="preserve">Les revues documentaires sur les études et travaux de recherche réalisés dans le bassin du fleuve Sénégal on permit de distinguer cinq types de milieux aquatiques </w:t>
      </w:r>
      <w:r w:rsidR="00655ABF" w:rsidRPr="0063325C">
        <w:rPr>
          <w:rFonts w:eastAsia="Calibri" w:cstheme="minorHAnsi"/>
        </w:rPr>
        <w:t>sur lesquels</w:t>
      </w:r>
      <w:r w:rsidRPr="0063325C">
        <w:rPr>
          <w:rFonts w:eastAsia="Calibri" w:cstheme="minorHAnsi"/>
        </w:rPr>
        <w:t xml:space="preserve"> se pratique la pêche continentale, ces milieux sont le fleuve, les lacs, les mares et marigots, les petits plans d’</w:t>
      </w:r>
      <w:r w:rsidR="00655ABF" w:rsidRPr="0063325C">
        <w:rPr>
          <w:rFonts w:eastAsia="Calibri" w:cstheme="minorHAnsi"/>
        </w:rPr>
        <w:t>eau, le</w:t>
      </w:r>
      <w:r w:rsidRPr="0063325C">
        <w:rPr>
          <w:rFonts w:eastAsia="Calibri" w:cstheme="minorHAnsi"/>
        </w:rPr>
        <w:t xml:space="preserve"> lac artificiel du barrage de Foum Gleita :</w:t>
      </w:r>
    </w:p>
    <w:p w14:paraId="46653EEC" w14:textId="614DC30E" w:rsidR="0063325C" w:rsidRPr="0063325C" w:rsidRDefault="0063325C" w:rsidP="00F35E24">
      <w:pPr>
        <w:numPr>
          <w:ilvl w:val="0"/>
          <w:numId w:val="318"/>
        </w:numPr>
        <w:jc w:val="both"/>
        <w:rPr>
          <w:rFonts w:eastAsia="Calibri" w:cstheme="minorHAnsi"/>
        </w:rPr>
      </w:pPr>
      <w:r w:rsidRPr="0063325C">
        <w:rPr>
          <w:rFonts w:eastAsia="Calibri" w:cstheme="minorHAnsi"/>
        </w:rPr>
        <w:t xml:space="preserve">Le cours d’eau principal le Fleuve Sénégal long de 850 km dans sa partie mauritanienne, les plaines d’inondation jouxtant le Fleuve Sénégal, celles-ci ont été profondément altérées suit à la construction du barrage de Manantali au </w:t>
      </w:r>
      <w:r w:rsidR="00655ABF" w:rsidRPr="0063325C">
        <w:rPr>
          <w:rFonts w:eastAsia="Calibri" w:cstheme="minorHAnsi"/>
        </w:rPr>
        <w:t>Mali.</w:t>
      </w:r>
    </w:p>
    <w:p w14:paraId="352BC61E" w14:textId="77777777" w:rsidR="0063325C" w:rsidRPr="0063325C" w:rsidRDefault="0063325C" w:rsidP="00F35E24">
      <w:pPr>
        <w:numPr>
          <w:ilvl w:val="0"/>
          <w:numId w:val="318"/>
        </w:numPr>
        <w:jc w:val="both"/>
        <w:rPr>
          <w:rFonts w:eastAsia="Calibri" w:cstheme="minorHAnsi"/>
        </w:rPr>
      </w:pPr>
      <w:r w:rsidRPr="0063325C">
        <w:rPr>
          <w:rFonts w:eastAsia="Calibri" w:cstheme="minorHAnsi"/>
        </w:rPr>
        <w:t>Les lacs dont les plus importants au point de vue piscicole en terre mauritanienne sont le lac de R’kiz, le lac d’Aleg et le lac de Gabbou</w:t>
      </w:r>
    </w:p>
    <w:p w14:paraId="6B5C3354" w14:textId="77777777" w:rsidR="0063325C" w:rsidRPr="0063325C" w:rsidRDefault="0063325C" w:rsidP="00F35E24">
      <w:pPr>
        <w:numPr>
          <w:ilvl w:val="0"/>
          <w:numId w:val="318"/>
        </w:numPr>
        <w:jc w:val="both"/>
        <w:rPr>
          <w:rFonts w:eastAsia="Calibri" w:cstheme="minorHAnsi"/>
        </w:rPr>
      </w:pPr>
      <w:r w:rsidRPr="0063325C">
        <w:rPr>
          <w:rFonts w:eastAsia="Calibri" w:cstheme="minorHAnsi"/>
        </w:rPr>
        <w:t>Des chapelets de mares et marigots existent tout le long du fleuve. De nombreux bras, mares, chenaux et marigots sont connectés temporairement au réseau fluvial.</w:t>
      </w:r>
    </w:p>
    <w:p w14:paraId="4B2A13D4" w14:textId="4C5CF277" w:rsidR="0063325C" w:rsidRPr="0063325C" w:rsidRDefault="0063325C" w:rsidP="00F35E24">
      <w:pPr>
        <w:numPr>
          <w:ilvl w:val="0"/>
          <w:numId w:val="318"/>
        </w:numPr>
        <w:jc w:val="both"/>
        <w:rPr>
          <w:rFonts w:eastAsia="Calibri" w:cstheme="minorHAnsi"/>
        </w:rPr>
      </w:pPr>
      <w:r w:rsidRPr="0063325C">
        <w:rPr>
          <w:rFonts w:eastAsia="Calibri" w:cstheme="minorHAnsi"/>
        </w:rPr>
        <w:t xml:space="preserve">Les petits plans d’eau : Une mission d’inventaire réalisée par le </w:t>
      </w:r>
      <w:r w:rsidR="00655ABF" w:rsidRPr="0063325C">
        <w:rPr>
          <w:rFonts w:eastAsia="Calibri" w:cstheme="minorHAnsi"/>
        </w:rPr>
        <w:t>MPEM en</w:t>
      </w:r>
      <w:r w:rsidRPr="0063325C">
        <w:rPr>
          <w:rFonts w:eastAsia="Calibri" w:cstheme="minorHAnsi"/>
        </w:rPr>
        <w:t xml:space="preserve"> 2004 complétée par d’autres informations permet d’indiquer que les principaux plans d’eau de la </w:t>
      </w:r>
      <w:r w:rsidR="00655ABF" w:rsidRPr="0063325C">
        <w:rPr>
          <w:rFonts w:eastAsia="Calibri" w:cstheme="minorHAnsi"/>
        </w:rPr>
        <w:t>vallée du</w:t>
      </w:r>
      <w:r w:rsidRPr="0063325C">
        <w:rPr>
          <w:rFonts w:eastAsia="Calibri" w:cstheme="minorHAnsi"/>
        </w:rPr>
        <w:t xml:space="preserve"> Fleuve sénégal couvrent au total une superficie de ‘environ 2300 ha (Hors Diawling), Les petits plans d’eau les plus </w:t>
      </w:r>
      <w:r w:rsidR="00655ABF" w:rsidRPr="0063325C">
        <w:rPr>
          <w:rFonts w:eastAsia="Calibri" w:cstheme="minorHAnsi"/>
        </w:rPr>
        <w:t>importants</w:t>
      </w:r>
      <w:r w:rsidRPr="0063325C">
        <w:rPr>
          <w:rFonts w:eastAsia="Calibri" w:cstheme="minorHAnsi"/>
        </w:rPr>
        <w:t xml:space="preserve"> sont ceux de Kankossa (420ha), Leibher(280ha), Wompou (100ha), </w:t>
      </w:r>
      <w:r w:rsidR="00655ABF" w:rsidRPr="0063325C">
        <w:rPr>
          <w:rFonts w:eastAsia="Calibri" w:cstheme="minorHAnsi"/>
        </w:rPr>
        <w:t>Bellal</w:t>
      </w:r>
      <w:r w:rsidRPr="0063325C">
        <w:rPr>
          <w:rFonts w:eastAsia="Calibri" w:cstheme="minorHAnsi"/>
        </w:rPr>
        <w:t xml:space="preserve"> (100ha</w:t>
      </w:r>
      <w:proofErr w:type="gramStart"/>
      <w:r w:rsidRPr="0063325C">
        <w:rPr>
          <w:rFonts w:eastAsia="Calibri" w:cstheme="minorHAnsi"/>
        </w:rPr>
        <w:t>) ,</w:t>
      </w:r>
      <w:proofErr w:type="gramEnd"/>
      <w:r w:rsidRPr="0063325C">
        <w:rPr>
          <w:rFonts w:eastAsia="Calibri" w:cstheme="minorHAnsi"/>
        </w:rPr>
        <w:t xml:space="preserve"> R’kiz(240ha), Widim (210ha) et Male (280 ha)</w:t>
      </w:r>
    </w:p>
    <w:p w14:paraId="28477EAA" w14:textId="24CE9CE5" w:rsidR="0063325C" w:rsidRPr="0063325C" w:rsidRDefault="0063325C" w:rsidP="00F35E24">
      <w:pPr>
        <w:numPr>
          <w:ilvl w:val="0"/>
          <w:numId w:val="318"/>
        </w:numPr>
        <w:jc w:val="both"/>
        <w:rPr>
          <w:rFonts w:eastAsia="Calibri" w:cstheme="minorHAnsi"/>
        </w:rPr>
      </w:pPr>
      <w:r w:rsidRPr="0063325C">
        <w:rPr>
          <w:rFonts w:eastAsia="Calibri" w:cstheme="minorHAnsi"/>
        </w:rPr>
        <w:t xml:space="preserve">Le lac de barrage de Foum Gleita situé sur le Gorgol </w:t>
      </w:r>
      <w:r w:rsidR="00655ABF" w:rsidRPr="0063325C">
        <w:rPr>
          <w:rFonts w:eastAsia="Calibri" w:cstheme="minorHAnsi"/>
        </w:rPr>
        <w:t>noir,</w:t>
      </w:r>
      <w:r w:rsidRPr="0063325C">
        <w:rPr>
          <w:rFonts w:eastAsia="Calibri" w:cstheme="minorHAnsi"/>
        </w:rPr>
        <w:t xml:space="preserve"> ce lac s’étend sur une surface de près de 16 000 ha pour un volume d’environ de 0,5 mille m3.</w:t>
      </w:r>
    </w:p>
    <w:p w14:paraId="59D300A5" w14:textId="77777777" w:rsidR="0063325C" w:rsidRPr="0063325C" w:rsidRDefault="0063325C" w:rsidP="00F35E24">
      <w:pPr>
        <w:numPr>
          <w:ilvl w:val="1"/>
          <w:numId w:val="336"/>
        </w:numPr>
        <w:jc w:val="both"/>
        <w:rPr>
          <w:rFonts w:eastAsia="Calibri" w:cstheme="minorHAnsi"/>
          <w:b/>
        </w:rPr>
      </w:pPr>
      <w:r w:rsidRPr="0063325C">
        <w:rPr>
          <w:rFonts w:eastAsia="Calibri" w:cstheme="minorHAnsi"/>
          <w:b/>
        </w:rPr>
        <w:t>Impacts des changements climatiques sur le milieu aquatique (le réseau hydrographique).</w:t>
      </w:r>
    </w:p>
    <w:p w14:paraId="0ECC9F53" w14:textId="7F419CD4" w:rsidR="0063325C" w:rsidRPr="0063325C" w:rsidRDefault="00655ABF" w:rsidP="00F35E24">
      <w:pPr>
        <w:jc w:val="both"/>
        <w:rPr>
          <w:rFonts w:eastAsia="Calibri" w:cstheme="minorHAnsi"/>
        </w:rPr>
      </w:pPr>
      <w:r w:rsidRPr="0063325C">
        <w:rPr>
          <w:rFonts w:eastAsia="Calibri" w:cstheme="minorHAnsi"/>
        </w:rPr>
        <w:t>Ces milieux</w:t>
      </w:r>
      <w:r w:rsidR="0063325C" w:rsidRPr="0063325C">
        <w:rPr>
          <w:rFonts w:eastAsia="Calibri" w:cstheme="minorHAnsi"/>
        </w:rPr>
        <w:t xml:space="preserve"> aquatiques </w:t>
      </w:r>
      <w:r w:rsidRPr="0063325C">
        <w:rPr>
          <w:rFonts w:eastAsia="Calibri" w:cstheme="minorHAnsi"/>
        </w:rPr>
        <w:t>sont fortement</w:t>
      </w:r>
      <w:r w:rsidR="0063325C" w:rsidRPr="0063325C">
        <w:rPr>
          <w:rFonts w:eastAsia="Calibri" w:cstheme="minorHAnsi"/>
        </w:rPr>
        <w:t xml:space="preserve"> impactés </w:t>
      </w:r>
      <w:r w:rsidRPr="0063325C">
        <w:rPr>
          <w:rFonts w:eastAsia="Calibri" w:cstheme="minorHAnsi"/>
        </w:rPr>
        <w:t>par</w:t>
      </w:r>
      <w:r w:rsidRPr="0063325C">
        <w:rPr>
          <w:rFonts w:eastAsia="Calibri" w:cstheme="minorHAnsi"/>
          <w:b/>
        </w:rPr>
        <w:t xml:space="preserve"> les </w:t>
      </w:r>
      <w:r w:rsidRPr="0063325C">
        <w:rPr>
          <w:rFonts w:eastAsia="Calibri" w:cstheme="minorHAnsi"/>
        </w:rPr>
        <w:t>masses</w:t>
      </w:r>
      <w:r w:rsidR="0063325C" w:rsidRPr="0063325C">
        <w:rPr>
          <w:rFonts w:eastAsia="Calibri" w:cstheme="minorHAnsi"/>
        </w:rPr>
        <w:t xml:space="preserve"> d’air qui balaient le pays, ces masses d’air sont constituées de trois courants de vents principaux qui soufflent tout au long de l’année : l’alizé maritime, l’alizé continental et la mousson estivale sont porteuses de précipitations. </w:t>
      </w:r>
    </w:p>
    <w:p w14:paraId="5B08DD69" w14:textId="74BCB1D2" w:rsidR="0063325C" w:rsidRPr="0063325C" w:rsidRDefault="0063325C" w:rsidP="00F35E24">
      <w:pPr>
        <w:jc w:val="both"/>
        <w:rPr>
          <w:rFonts w:eastAsia="Calibri" w:cstheme="minorHAnsi"/>
        </w:rPr>
      </w:pPr>
      <w:r w:rsidRPr="0063325C">
        <w:rPr>
          <w:rFonts w:eastAsia="Calibri" w:cstheme="minorHAnsi"/>
        </w:rPr>
        <w:t xml:space="preserve">Ces facteurs climatiques ont des effets </w:t>
      </w:r>
      <w:r w:rsidR="00655ABF" w:rsidRPr="0063325C">
        <w:rPr>
          <w:rFonts w:eastAsia="Calibri" w:cstheme="minorHAnsi"/>
        </w:rPr>
        <w:t>sur l’irrégularité</w:t>
      </w:r>
      <w:r w:rsidRPr="0063325C">
        <w:rPr>
          <w:rFonts w:eastAsia="Calibri" w:cstheme="minorHAnsi"/>
        </w:rPr>
        <w:t xml:space="preserve"> au niveau des précipitations et de leur répartition Spatio-temporelle, l’élévation des températures de </w:t>
      </w:r>
      <w:r w:rsidR="00655ABF" w:rsidRPr="0063325C">
        <w:rPr>
          <w:rFonts w:eastAsia="Calibri" w:cstheme="minorHAnsi"/>
        </w:rPr>
        <w:t>l’air,</w:t>
      </w:r>
      <w:r w:rsidRPr="0063325C">
        <w:rPr>
          <w:rFonts w:eastAsia="Calibri" w:cstheme="minorHAnsi"/>
        </w:rPr>
        <w:t xml:space="preserve"> les épisodes de Sécheresses et d’inondations plus fréquents, une diminution des apports en eau par le Fleuve, une dégradation notable des terres, une plus grande fragilité des écosystèmes et de Leur dynamique. Ces quelques éléments montrent que le climat en Mauritanie change. Ces changements climatiques menacent en premier lieu le réseau hydrographique, le fleuve, les affluents, les défluents, les mares et les zones </w:t>
      </w:r>
      <w:r w:rsidR="00655ABF" w:rsidRPr="0063325C">
        <w:rPr>
          <w:rFonts w:eastAsia="Calibri" w:cstheme="minorHAnsi"/>
        </w:rPr>
        <w:t>humides continentales</w:t>
      </w:r>
      <w:r w:rsidRPr="0063325C">
        <w:rPr>
          <w:rFonts w:eastAsia="Calibri" w:cstheme="minorHAnsi"/>
        </w:rPr>
        <w:t xml:space="preserve"> notamment le système d’alimentation des mares. </w:t>
      </w:r>
      <w:r w:rsidR="00655ABF" w:rsidRPr="0063325C">
        <w:rPr>
          <w:rFonts w:eastAsia="Calibri" w:cstheme="minorHAnsi"/>
        </w:rPr>
        <w:t>Ces milieux</w:t>
      </w:r>
      <w:r w:rsidRPr="0063325C">
        <w:rPr>
          <w:rFonts w:eastAsia="Calibri" w:cstheme="minorHAnsi"/>
        </w:rPr>
        <w:t xml:space="preserve"> aquatiques </w:t>
      </w:r>
      <w:r w:rsidR="00655ABF" w:rsidRPr="0063325C">
        <w:rPr>
          <w:rFonts w:eastAsia="Calibri" w:cstheme="minorHAnsi"/>
        </w:rPr>
        <w:t>sont menacés</w:t>
      </w:r>
      <w:r w:rsidRPr="0063325C">
        <w:rPr>
          <w:rFonts w:eastAsia="Calibri" w:cstheme="minorHAnsi"/>
        </w:rPr>
        <w:t xml:space="preserve"> par le sable et </w:t>
      </w:r>
      <w:r w:rsidR="00655ABF" w:rsidRPr="0063325C">
        <w:rPr>
          <w:rFonts w:eastAsia="Calibri" w:cstheme="minorHAnsi"/>
        </w:rPr>
        <w:t>par les</w:t>
      </w:r>
      <w:r w:rsidRPr="0063325C">
        <w:rPr>
          <w:rFonts w:eastAsia="Calibri" w:cstheme="minorHAnsi"/>
        </w:rPr>
        <w:t xml:space="preserve"> températures élevées qui favorisent le dessèchement des plans d’eau.</w:t>
      </w:r>
    </w:p>
    <w:p w14:paraId="7E22F010" w14:textId="77777777" w:rsidR="0063325C" w:rsidRPr="0063325C" w:rsidRDefault="0063325C" w:rsidP="00F35E24">
      <w:pPr>
        <w:jc w:val="both"/>
        <w:rPr>
          <w:rFonts w:eastAsia="Calibri" w:cstheme="minorHAnsi"/>
        </w:rPr>
      </w:pPr>
    </w:p>
    <w:p w14:paraId="1D609DBC" w14:textId="77777777" w:rsidR="0063325C" w:rsidRPr="0063325C" w:rsidRDefault="0063325C" w:rsidP="00F35E24">
      <w:pPr>
        <w:jc w:val="both"/>
        <w:rPr>
          <w:rFonts w:eastAsia="Calibri" w:cstheme="minorHAnsi"/>
        </w:rPr>
      </w:pPr>
      <w:r w:rsidRPr="0063325C">
        <w:rPr>
          <w:rFonts w:eastAsia="Calibri" w:cstheme="minorHAnsi"/>
        </w:rPr>
        <w:t xml:space="preserve">Bien qu’aucune cartographie de la vulnérabilité au changement climatique n’ait encore réalisée, les rapports sectoriels basés sur le jugement d’experts et les revues documentaires attestent une forte vulnérabilité des activités de la pêche au changement climatique. </w:t>
      </w:r>
    </w:p>
    <w:p w14:paraId="1E8FFBF5" w14:textId="236B012D" w:rsidR="0063325C" w:rsidRPr="0063325C" w:rsidRDefault="0063325C" w:rsidP="00F35E24">
      <w:pPr>
        <w:jc w:val="both"/>
        <w:rPr>
          <w:rFonts w:eastAsia="Calibri" w:cstheme="minorHAnsi"/>
        </w:rPr>
      </w:pPr>
      <w:r w:rsidRPr="0063325C">
        <w:rPr>
          <w:rFonts w:eastAsia="Calibri" w:cstheme="minorHAnsi"/>
        </w:rPr>
        <w:t xml:space="preserve">Ces </w:t>
      </w:r>
      <w:r w:rsidR="000E3B26" w:rsidRPr="0063325C">
        <w:rPr>
          <w:rFonts w:eastAsia="Calibri" w:cstheme="minorHAnsi"/>
        </w:rPr>
        <w:t>milieux aquatiques</w:t>
      </w:r>
      <w:r w:rsidRPr="0063325C">
        <w:rPr>
          <w:rFonts w:eastAsia="Calibri" w:cstheme="minorHAnsi"/>
        </w:rPr>
        <w:t xml:space="preserve"> sont fortement </w:t>
      </w:r>
      <w:r w:rsidR="000E3B26" w:rsidRPr="0063325C">
        <w:rPr>
          <w:rFonts w:eastAsia="Calibri" w:cstheme="minorHAnsi"/>
        </w:rPr>
        <w:t>impactés par</w:t>
      </w:r>
      <w:r w:rsidRPr="0063325C">
        <w:rPr>
          <w:rFonts w:eastAsia="Calibri" w:cstheme="minorHAnsi"/>
        </w:rPr>
        <w:t xml:space="preserve"> les changements </w:t>
      </w:r>
      <w:r w:rsidR="000E3B26" w:rsidRPr="0063325C">
        <w:rPr>
          <w:rFonts w:eastAsia="Calibri" w:cstheme="minorHAnsi"/>
        </w:rPr>
        <w:t>climatiques dont</w:t>
      </w:r>
      <w:r w:rsidRPr="0063325C">
        <w:rPr>
          <w:rFonts w:eastAsia="Calibri" w:cstheme="minorHAnsi"/>
        </w:rPr>
        <w:t xml:space="preserve"> les effets sur les activités de </w:t>
      </w:r>
      <w:r w:rsidR="000E3B26" w:rsidRPr="0063325C">
        <w:rPr>
          <w:rFonts w:eastAsia="Calibri" w:cstheme="minorHAnsi"/>
        </w:rPr>
        <w:t>pêche ont</w:t>
      </w:r>
      <w:r w:rsidRPr="0063325C">
        <w:rPr>
          <w:rFonts w:eastAsia="Calibri" w:cstheme="minorHAnsi"/>
        </w:rPr>
        <w:t xml:space="preserve"> </w:t>
      </w:r>
      <w:proofErr w:type="gramStart"/>
      <w:r w:rsidRPr="0063325C">
        <w:rPr>
          <w:rFonts w:eastAsia="Calibri" w:cstheme="minorHAnsi"/>
        </w:rPr>
        <w:t>conduit  aux</w:t>
      </w:r>
      <w:proofErr w:type="gramEnd"/>
      <w:r w:rsidRPr="0063325C">
        <w:rPr>
          <w:rFonts w:eastAsia="Calibri" w:cstheme="minorHAnsi"/>
        </w:rPr>
        <w:t xml:space="preserve"> changements suivants : </w:t>
      </w:r>
    </w:p>
    <w:p w14:paraId="14C1A47F" w14:textId="5B18DA49" w:rsidR="0063325C" w:rsidRPr="0063325C" w:rsidRDefault="0063325C" w:rsidP="00F35E24">
      <w:pPr>
        <w:numPr>
          <w:ilvl w:val="0"/>
          <w:numId w:val="319"/>
        </w:numPr>
        <w:jc w:val="both"/>
        <w:rPr>
          <w:rFonts w:eastAsia="Calibri" w:cstheme="minorHAnsi"/>
        </w:rPr>
      </w:pPr>
      <w:r w:rsidRPr="0063325C">
        <w:rPr>
          <w:rFonts w:eastAsia="Calibri" w:cstheme="minorHAnsi"/>
        </w:rPr>
        <w:t xml:space="preserve">Le niveau d’organisation des communautés de pêcheurs est, en règle générale assez faible. Dans certains sites, l’administration et les </w:t>
      </w:r>
      <w:r w:rsidR="000E3B26" w:rsidRPr="0063325C">
        <w:rPr>
          <w:rFonts w:eastAsia="Calibri" w:cstheme="minorHAnsi"/>
        </w:rPr>
        <w:t>ONG ont</w:t>
      </w:r>
      <w:r w:rsidRPr="0063325C">
        <w:rPr>
          <w:rFonts w:eastAsia="Calibri" w:cstheme="minorHAnsi"/>
        </w:rPr>
        <w:t xml:space="preserve"> encouragé la mise en place de structures de type coopérative, mais celle-ci ont souvent été créées par opportunisme et se sont avérée non fonctionnelles en pratique.</w:t>
      </w:r>
    </w:p>
    <w:p w14:paraId="63D06258" w14:textId="53C30CBE" w:rsidR="0063325C" w:rsidRPr="0063325C" w:rsidRDefault="0063325C" w:rsidP="00F35E24">
      <w:pPr>
        <w:numPr>
          <w:ilvl w:val="0"/>
          <w:numId w:val="319"/>
        </w:numPr>
        <w:jc w:val="both"/>
        <w:rPr>
          <w:rFonts w:eastAsia="Calibri" w:cstheme="minorHAnsi"/>
        </w:rPr>
      </w:pPr>
      <w:r w:rsidRPr="0063325C">
        <w:rPr>
          <w:rFonts w:eastAsia="Calibri" w:cstheme="minorHAnsi"/>
        </w:rPr>
        <w:t xml:space="preserve">Les capacités institutionnelles en matière de suivi et de gestion des pêches continentales, que ce soit au niveau de la </w:t>
      </w:r>
      <w:r w:rsidR="000E3B26" w:rsidRPr="0063325C">
        <w:rPr>
          <w:rFonts w:eastAsia="Calibri" w:cstheme="minorHAnsi"/>
        </w:rPr>
        <w:t>recherche,</w:t>
      </w:r>
      <w:r w:rsidRPr="0063325C">
        <w:rPr>
          <w:rFonts w:eastAsia="Calibri" w:cstheme="minorHAnsi"/>
        </w:rPr>
        <w:t xml:space="preserve"> de l’administration centrale et cde </w:t>
      </w:r>
      <w:r w:rsidR="000E3B26" w:rsidRPr="0063325C">
        <w:rPr>
          <w:rFonts w:eastAsia="Calibri" w:cstheme="minorHAnsi"/>
        </w:rPr>
        <w:t>terrain,</w:t>
      </w:r>
      <w:r w:rsidRPr="0063325C">
        <w:rPr>
          <w:rFonts w:eastAsia="Calibri" w:cstheme="minorHAnsi"/>
        </w:rPr>
        <w:t xml:space="preserve"> et de </w:t>
      </w:r>
      <w:r w:rsidR="000E3B26" w:rsidRPr="0063325C">
        <w:rPr>
          <w:rFonts w:eastAsia="Calibri" w:cstheme="minorHAnsi"/>
        </w:rPr>
        <w:t>l’expertise sont</w:t>
      </w:r>
      <w:r w:rsidRPr="0063325C">
        <w:rPr>
          <w:rFonts w:eastAsia="Calibri" w:cstheme="minorHAnsi"/>
        </w:rPr>
        <w:t xml:space="preserve"> particulièrement faibles ;</w:t>
      </w:r>
    </w:p>
    <w:p w14:paraId="4C59AB60" w14:textId="77777777" w:rsidR="0063325C" w:rsidRPr="0063325C" w:rsidRDefault="0063325C" w:rsidP="00F35E24">
      <w:pPr>
        <w:numPr>
          <w:ilvl w:val="0"/>
          <w:numId w:val="319"/>
        </w:numPr>
        <w:jc w:val="both"/>
        <w:rPr>
          <w:rFonts w:eastAsia="Calibri" w:cstheme="minorHAnsi"/>
        </w:rPr>
      </w:pPr>
      <w:r w:rsidRPr="0063325C">
        <w:rPr>
          <w:rFonts w:eastAsia="Calibri" w:cstheme="minorHAnsi"/>
        </w:rPr>
        <w:t>La réduction considérable des surfaces inondées suite à l’intensification des aménagements hydro agricole dans la Vallée et au déficit pluviométrique. Cette réduction a eu pour conséquence une diminution des captures de poisson.</w:t>
      </w:r>
    </w:p>
    <w:p w14:paraId="271060D0" w14:textId="77777777" w:rsidR="0063325C" w:rsidRPr="0063325C" w:rsidRDefault="0063325C" w:rsidP="00F35E24">
      <w:pPr>
        <w:numPr>
          <w:ilvl w:val="0"/>
          <w:numId w:val="319"/>
        </w:numPr>
        <w:jc w:val="both"/>
        <w:rPr>
          <w:rFonts w:eastAsia="Calibri" w:cstheme="minorHAnsi"/>
        </w:rPr>
      </w:pPr>
      <w:r w:rsidRPr="0063325C">
        <w:rPr>
          <w:rFonts w:eastAsia="Calibri" w:cstheme="minorHAnsi"/>
        </w:rPr>
        <w:t xml:space="preserve">Les problèmes environnementaux (comblement des </w:t>
      </w:r>
      <w:proofErr w:type="gramStart"/>
      <w:r w:rsidRPr="0063325C">
        <w:rPr>
          <w:rFonts w:eastAsia="Calibri" w:cstheme="minorHAnsi"/>
        </w:rPr>
        <w:t>assiettes  des</w:t>
      </w:r>
      <w:proofErr w:type="gramEnd"/>
      <w:r w:rsidRPr="0063325C">
        <w:rPr>
          <w:rFonts w:eastAsia="Calibri" w:cstheme="minorHAnsi"/>
        </w:rPr>
        <w:t xml:space="preserve"> plans d’eau, déconnection du réseau fluvial, prolifération de plantes aquatiques, eutrophisation) qui mettent en péril la pérennité des systèmes.</w:t>
      </w:r>
    </w:p>
    <w:p w14:paraId="3A5EC45C" w14:textId="77777777" w:rsidR="0063325C" w:rsidRPr="0063325C" w:rsidRDefault="0063325C" w:rsidP="00F35E24">
      <w:pPr>
        <w:numPr>
          <w:ilvl w:val="0"/>
          <w:numId w:val="319"/>
        </w:numPr>
        <w:jc w:val="both"/>
        <w:rPr>
          <w:rFonts w:eastAsia="Calibri" w:cstheme="minorHAnsi"/>
        </w:rPr>
      </w:pPr>
      <w:r w:rsidRPr="0063325C">
        <w:rPr>
          <w:rFonts w:eastAsia="Calibri" w:cstheme="minorHAnsi"/>
        </w:rPr>
        <w:t>L’ensablement diminue la capacité biotique des milieux,</w:t>
      </w:r>
    </w:p>
    <w:p w14:paraId="609FCB1F" w14:textId="7CCCC56A" w:rsidR="0063325C" w:rsidRPr="0063325C" w:rsidRDefault="0063325C" w:rsidP="00F35E24">
      <w:pPr>
        <w:numPr>
          <w:ilvl w:val="0"/>
          <w:numId w:val="319"/>
        </w:numPr>
        <w:jc w:val="both"/>
        <w:rPr>
          <w:rFonts w:eastAsia="Calibri" w:cstheme="minorHAnsi"/>
        </w:rPr>
      </w:pPr>
      <w:r w:rsidRPr="0063325C">
        <w:rPr>
          <w:rFonts w:eastAsia="Calibri" w:cstheme="minorHAnsi"/>
        </w:rPr>
        <w:t xml:space="preserve">La </w:t>
      </w:r>
      <w:r w:rsidR="000E3B26" w:rsidRPr="0063325C">
        <w:rPr>
          <w:rFonts w:eastAsia="Calibri" w:cstheme="minorHAnsi"/>
        </w:rPr>
        <w:t>déconnection avec</w:t>
      </w:r>
      <w:r w:rsidRPr="0063325C">
        <w:rPr>
          <w:rFonts w:eastAsia="Calibri" w:cstheme="minorHAnsi"/>
        </w:rPr>
        <w:t xml:space="preserve"> le réseau fluvial</w:t>
      </w:r>
    </w:p>
    <w:p w14:paraId="6D404BF6" w14:textId="77777777" w:rsidR="0063325C" w:rsidRPr="0063325C" w:rsidRDefault="0063325C" w:rsidP="00F35E24">
      <w:pPr>
        <w:numPr>
          <w:ilvl w:val="0"/>
          <w:numId w:val="319"/>
        </w:numPr>
        <w:jc w:val="both"/>
        <w:rPr>
          <w:rFonts w:eastAsia="Calibri" w:cstheme="minorHAnsi"/>
        </w:rPr>
      </w:pPr>
      <w:r w:rsidRPr="0063325C">
        <w:rPr>
          <w:rFonts w:eastAsia="Calibri" w:cstheme="minorHAnsi"/>
        </w:rPr>
        <w:t>Le manque d’organisation des marchés de distribution de poisson.</w:t>
      </w:r>
    </w:p>
    <w:p w14:paraId="7289977D" w14:textId="194DA016" w:rsidR="0063325C" w:rsidRPr="0063325C" w:rsidRDefault="0063325C" w:rsidP="00F35E24">
      <w:pPr>
        <w:numPr>
          <w:ilvl w:val="0"/>
          <w:numId w:val="319"/>
        </w:numPr>
        <w:jc w:val="both"/>
        <w:rPr>
          <w:rFonts w:eastAsia="Calibri" w:cstheme="minorHAnsi"/>
          <w:b/>
        </w:rPr>
      </w:pPr>
      <w:r w:rsidRPr="0063325C">
        <w:rPr>
          <w:rFonts w:eastAsia="Calibri" w:cstheme="minorHAnsi"/>
        </w:rPr>
        <w:t>Le faible maitrise des techniques de pêche en milieu lacustre (peu d’échanges de connaissance et de savoir –</w:t>
      </w:r>
      <w:r w:rsidR="000E3B26" w:rsidRPr="0063325C">
        <w:rPr>
          <w:rFonts w:eastAsia="Calibri" w:cstheme="minorHAnsi"/>
        </w:rPr>
        <w:t>faire avec</w:t>
      </w:r>
      <w:r w:rsidRPr="0063325C">
        <w:rPr>
          <w:rFonts w:eastAsia="Calibri" w:cstheme="minorHAnsi"/>
        </w:rPr>
        <w:t xml:space="preserve"> les pêcheurs étrangers).</w:t>
      </w:r>
    </w:p>
    <w:p w14:paraId="23858515" w14:textId="77777777" w:rsidR="0063325C" w:rsidRPr="0063325C" w:rsidRDefault="0063325C" w:rsidP="0063325C">
      <w:pPr>
        <w:numPr>
          <w:ilvl w:val="1"/>
          <w:numId w:val="336"/>
        </w:numPr>
        <w:rPr>
          <w:rFonts w:eastAsia="Calibri" w:cstheme="minorHAnsi"/>
          <w:b/>
        </w:rPr>
      </w:pPr>
      <w:r w:rsidRPr="0063325C">
        <w:rPr>
          <w:rFonts w:eastAsia="Calibri" w:cstheme="minorHAnsi"/>
          <w:b/>
        </w:rPr>
        <w:t>Propositions de mesures d’adaptation au changement climatique</w:t>
      </w:r>
    </w:p>
    <w:p w14:paraId="544F350B" w14:textId="5CBB71B0" w:rsidR="0063325C" w:rsidRPr="0063325C" w:rsidRDefault="0063325C" w:rsidP="00F35E24">
      <w:pPr>
        <w:jc w:val="both"/>
        <w:rPr>
          <w:rFonts w:eastAsia="Calibri" w:cstheme="minorHAnsi"/>
        </w:rPr>
      </w:pPr>
      <w:r w:rsidRPr="0063325C">
        <w:rPr>
          <w:rFonts w:eastAsia="Calibri" w:cstheme="minorHAnsi"/>
        </w:rPr>
        <w:t xml:space="preserve">Partant des vulnérabilités constatées dans </w:t>
      </w:r>
      <w:r w:rsidR="000E3B26" w:rsidRPr="0063325C">
        <w:rPr>
          <w:rFonts w:eastAsia="Calibri" w:cstheme="minorHAnsi"/>
        </w:rPr>
        <w:t>le secteur</w:t>
      </w:r>
      <w:r w:rsidRPr="0063325C">
        <w:rPr>
          <w:rFonts w:eastAsia="Calibri" w:cstheme="minorHAnsi"/>
        </w:rPr>
        <w:t xml:space="preserve"> de la pêche continentale les </w:t>
      </w:r>
      <w:r w:rsidR="000E3B26" w:rsidRPr="0063325C">
        <w:rPr>
          <w:rFonts w:eastAsia="Calibri" w:cstheme="minorHAnsi"/>
        </w:rPr>
        <w:t>mesures d’adaptation</w:t>
      </w:r>
      <w:r w:rsidRPr="0063325C">
        <w:rPr>
          <w:rFonts w:eastAsia="Calibri" w:cstheme="minorHAnsi"/>
        </w:rPr>
        <w:t>, le gouvernement mauritanien a mis en place, avec l’appui de ces partenaires techniques des actions d’adaptation à travers les projets et programmes suivants :</w:t>
      </w:r>
    </w:p>
    <w:p w14:paraId="7DB2CC98" w14:textId="77777777" w:rsidR="0063325C" w:rsidRPr="0063325C" w:rsidRDefault="0063325C" w:rsidP="00F35E24">
      <w:pPr>
        <w:numPr>
          <w:ilvl w:val="0"/>
          <w:numId w:val="340"/>
        </w:numPr>
        <w:jc w:val="both"/>
        <w:rPr>
          <w:rFonts w:eastAsia="Calibri" w:cstheme="minorHAnsi"/>
        </w:rPr>
      </w:pPr>
      <w:r w:rsidRPr="0063325C">
        <w:rPr>
          <w:rFonts w:eastAsia="Calibri" w:cstheme="minorHAnsi"/>
        </w:rPr>
        <w:t xml:space="preserve">Programme intégré de gestion des ressources en eau (PGIRE) de l’OMVS </w:t>
      </w:r>
    </w:p>
    <w:p w14:paraId="4F5FEF1C" w14:textId="1E054D4C" w:rsidR="0063325C" w:rsidRPr="0063325C" w:rsidRDefault="0063325C" w:rsidP="00F35E24">
      <w:pPr>
        <w:numPr>
          <w:ilvl w:val="0"/>
          <w:numId w:val="340"/>
        </w:numPr>
        <w:jc w:val="both"/>
        <w:rPr>
          <w:rFonts w:eastAsia="Calibri" w:cstheme="minorHAnsi"/>
        </w:rPr>
      </w:pPr>
      <w:r w:rsidRPr="0063325C">
        <w:rPr>
          <w:rFonts w:eastAsia="Calibri" w:cstheme="minorHAnsi"/>
        </w:rPr>
        <w:t xml:space="preserve">(ii) Projet des zones humides continentales de la GRANDE MURAILLE </w:t>
      </w:r>
      <w:r w:rsidR="000E3B26" w:rsidRPr="0063325C">
        <w:rPr>
          <w:rFonts w:eastAsia="Calibri" w:cstheme="minorHAnsi"/>
        </w:rPr>
        <w:t>VERTE,</w:t>
      </w:r>
      <w:r w:rsidRPr="0063325C">
        <w:rPr>
          <w:rFonts w:eastAsia="Calibri" w:cstheme="minorHAnsi"/>
        </w:rPr>
        <w:t xml:space="preserve"> </w:t>
      </w:r>
    </w:p>
    <w:p w14:paraId="2E64E3CF" w14:textId="3956793E" w:rsidR="0063325C" w:rsidRPr="0063325C" w:rsidRDefault="0063325C" w:rsidP="00F35E24">
      <w:pPr>
        <w:numPr>
          <w:ilvl w:val="0"/>
          <w:numId w:val="340"/>
        </w:numPr>
        <w:jc w:val="both"/>
        <w:rPr>
          <w:rFonts w:eastAsia="Calibri" w:cstheme="minorHAnsi"/>
        </w:rPr>
      </w:pPr>
      <w:r w:rsidRPr="0063325C">
        <w:rPr>
          <w:rFonts w:eastAsia="Calibri" w:cstheme="minorHAnsi"/>
        </w:rPr>
        <w:t xml:space="preserve">(iii) Autres </w:t>
      </w:r>
      <w:r w:rsidR="000E3B26" w:rsidRPr="0063325C">
        <w:rPr>
          <w:rFonts w:eastAsia="Calibri" w:cstheme="minorHAnsi"/>
        </w:rPr>
        <w:t>mesures d’adaptation</w:t>
      </w:r>
      <w:r w:rsidRPr="0063325C">
        <w:rPr>
          <w:rFonts w:eastAsia="Calibri" w:cstheme="minorHAnsi"/>
        </w:rPr>
        <w:t xml:space="preserve"> </w:t>
      </w:r>
      <w:r w:rsidR="000E3B26" w:rsidRPr="0063325C">
        <w:rPr>
          <w:rFonts w:eastAsia="Calibri" w:cstheme="minorHAnsi"/>
        </w:rPr>
        <w:t>proposées pour</w:t>
      </w:r>
      <w:r w:rsidRPr="0063325C">
        <w:rPr>
          <w:rFonts w:eastAsia="Calibri" w:cstheme="minorHAnsi"/>
        </w:rPr>
        <w:t xml:space="preserve"> atténuer les </w:t>
      </w:r>
      <w:r w:rsidR="000E3B26" w:rsidRPr="0063325C">
        <w:rPr>
          <w:rFonts w:eastAsia="Calibri" w:cstheme="minorHAnsi"/>
        </w:rPr>
        <w:t>effets des changements climatiques</w:t>
      </w:r>
      <w:r w:rsidRPr="0063325C">
        <w:rPr>
          <w:rFonts w:eastAsia="Calibri" w:cstheme="minorHAnsi"/>
        </w:rPr>
        <w:t xml:space="preserve"> sur techniques de transformation et de conservation des produits de la </w:t>
      </w:r>
      <w:r w:rsidR="000E3B26" w:rsidRPr="0063325C">
        <w:rPr>
          <w:rFonts w:eastAsia="Calibri" w:cstheme="minorHAnsi"/>
        </w:rPr>
        <w:t>pêche,</w:t>
      </w:r>
      <w:r w:rsidRPr="0063325C">
        <w:rPr>
          <w:rFonts w:eastAsia="Calibri" w:cstheme="minorHAnsi"/>
        </w:rPr>
        <w:t xml:space="preserve"> </w:t>
      </w:r>
      <w:r w:rsidR="000E3B26" w:rsidRPr="0063325C">
        <w:rPr>
          <w:rFonts w:eastAsia="Calibri" w:cstheme="minorHAnsi"/>
        </w:rPr>
        <w:t>sur les</w:t>
      </w:r>
      <w:r w:rsidRPr="0063325C">
        <w:rPr>
          <w:rFonts w:eastAsia="Calibri" w:cstheme="minorHAnsi"/>
        </w:rPr>
        <w:t xml:space="preserve"> moyens de commercialisation des produits de la pêche pour améliorer les moyens d’existence des communautés de </w:t>
      </w:r>
      <w:r w:rsidR="000E3B26" w:rsidRPr="0063325C">
        <w:rPr>
          <w:rFonts w:eastAsia="Calibri" w:cstheme="minorHAnsi"/>
        </w:rPr>
        <w:t>pêcheurs.</w:t>
      </w:r>
      <w:r w:rsidRPr="0063325C">
        <w:rPr>
          <w:rFonts w:eastAsia="Calibri" w:cstheme="minorHAnsi"/>
        </w:rPr>
        <w:t xml:space="preserve"> </w:t>
      </w:r>
    </w:p>
    <w:p w14:paraId="6F843F7B" w14:textId="77777777" w:rsidR="0063325C" w:rsidRPr="0063325C" w:rsidRDefault="0063325C" w:rsidP="00F35E24">
      <w:pPr>
        <w:jc w:val="both"/>
        <w:rPr>
          <w:rFonts w:eastAsia="Calibri" w:cstheme="minorHAnsi"/>
        </w:rPr>
      </w:pPr>
      <w:r w:rsidRPr="0063325C">
        <w:rPr>
          <w:rFonts w:eastAsia="Calibri" w:cstheme="minorHAnsi"/>
        </w:rPr>
        <w:t>Ces mesures d’adaptations s’inscrivent dans le cadre des stratégies définies par le gouvernement dans le cadre de la SCAPP et visent à atténuer les effets négatifs des changements climatiques sur les activités de pêche, Ces mesures sont réalisées dans le cadre des programmes régionaux suivants : (a) Le programme PGIRE de l’OMVS, (b) initiative de la grande Muraille verte et d’autres partenaires publics et privés.</w:t>
      </w:r>
    </w:p>
    <w:p w14:paraId="3F84563B" w14:textId="77777777" w:rsidR="0063325C" w:rsidRPr="0063325C" w:rsidRDefault="0063325C" w:rsidP="0063325C">
      <w:pPr>
        <w:numPr>
          <w:ilvl w:val="1"/>
          <w:numId w:val="336"/>
        </w:numPr>
        <w:rPr>
          <w:rFonts w:eastAsia="Calibri" w:cstheme="minorHAnsi"/>
          <w:b/>
        </w:rPr>
      </w:pPr>
      <w:r w:rsidRPr="0063325C">
        <w:rPr>
          <w:rFonts w:eastAsia="Calibri" w:cstheme="minorHAnsi"/>
          <w:b/>
        </w:rPr>
        <w:t>Le programme PGIRE de l’OMVS</w:t>
      </w:r>
    </w:p>
    <w:p w14:paraId="52ECFBB6" w14:textId="74FB7415" w:rsidR="0063325C" w:rsidRPr="0063325C" w:rsidRDefault="000E3B26" w:rsidP="00F35E24">
      <w:pPr>
        <w:jc w:val="both"/>
        <w:rPr>
          <w:rFonts w:eastAsia="Calibri" w:cstheme="minorHAnsi"/>
        </w:rPr>
      </w:pPr>
      <w:r w:rsidRPr="0063325C">
        <w:rPr>
          <w:rFonts w:eastAsia="Calibri" w:cstheme="minorHAnsi"/>
        </w:rPr>
        <w:t>L’Organisation pour</w:t>
      </w:r>
      <w:r w:rsidR="0063325C" w:rsidRPr="0063325C">
        <w:rPr>
          <w:rFonts w:eastAsia="Calibri" w:cstheme="minorHAnsi"/>
        </w:rPr>
        <w:t xml:space="preserve"> la Mise en Valeur du Fleuve </w:t>
      </w:r>
      <w:r w:rsidRPr="0063325C">
        <w:rPr>
          <w:rFonts w:eastAsia="Calibri" w:cstheme="minorHAnsi"/>
        </w:rPr>
        <w:t>Sénégal (</w:t>
      </w:r>
      <w:r w:rsidR="0063325C" w:rsidRPr="0063325C">
        <w:rPr>
          <w:rFonts w:eastAsia="Calibri" w:cstheme="minorHAnsi"/>
        </w:rPr>
        <w:t xml:space="preserve">OMVS) avec l’appui de ses partenaires dont la Banque Mondiale, a conçu et mis en </w:t>
      </w:r>
      <w:r w:rsidRPr="0063325C">
        <w:rPr>
          <w:rFonts w:eastAsia="Calibri" w:cstheme="minorHAnsi"/>
        </w:rPr>
        <w:t>œuvre un</w:t>
      </w:r>
      <w:r w:rsidR="0063325C" w:rsidRPr="0063325C">
        <w:rPr>
          <w:rFonts w:eastAsia="Calibri" w:cstheme="minorHAnsi"/>
        </w:rPr>
        <w:t xml:space="preserve"> important </w:t>
      </w:r>
      <w:r w:rsidRPr="0063325C">
        <w:rPr>
          <w:rFonts w:eastAsia="Calibri" w:cstheme="minorHAnsi"/>
        </w:rPr>
        <w:t>programme intitulé</w:t>
      </w:r>
      <w:r w:rsidR="0063325C" w:rsidRPr="0063325C">
        <w:rPr>
          <w:rFonts w:eastAsia="Calibri" w:cstheme="minorHAnsi"/>
        </w:rPr>
        <w:t xml:space="preserve"> « </w:t>
      </w:r>
      <w:r w:rsidRPr="0063325C">
        <w:rPr>
          <w:rFonts w:eastAsia="Calibri" w:cstheme="minorHAnsi"/>
        </w:rPr>
        <w:t>Programme de</w:t>
      </w:r>
      <w:r w:rsidR="0063325C" w:rsidRPr="0063325C">
        <w:rPr>
          <w:rFonts w:eastAsia="Calibri" w:cstheme="minorHAnsi"/>
        </w:rPr>
        <w:t xml:space="preserve"> Gestion intégrée des Ressources en Eau (PGIRE). La sous-composante « pêche » du </w:t>
      </w:r>
      <w:r w:rsidRPr="0063325C">
        <w:rPr>
          <w:rFonts w:eastAsia="Calibri" w:cstheme="minorHAnsi"/>
        </w:rPr>
        <w:t>programme a</w:t>
      </w:r>
      <w:r w:rsidR="0063325C" w:rsidRPr="0063325C">
        <w:rPr>
          <w:rFonts w:eastAsia="Calibri" w:cstheme="minorHAnsi"/>
        </w:rPr>
        <w:t xml:space="preserve"> </w:t>
      </w:r>
      <w:r w:rsidRPr="0063325C">
        <w:rPr>
          <w:rFonts w:eastAsia="Calibri" w:cstheme="minorHAnsi"/>
        </w:rPr>
        <w:t>pour objectif</w:t>
      </w:r>
      <w:r w:rsidR="0063325C" w:rsidRPr="0063325C">
        <w:rPr>
          <w:rFonts w:eastAsia="Calibri" w:cstheme="minorHAnsi"/>
        </w:rPr>
        <w:t xml:space="preserve"> </w:t>
      </w:r>
      <w:r w:rsidRPr="0063325C">
        <w:rPr>
          <w:rFonts w:eastAsia="Calibri" w:cstheme="minorHAnsi"/>
        </w:rPr>
        <w:t>d’améliorer les conditions</w:t>
      </w:r>
      <w:r w:rsidR="0063325C" w:rsidRPr="0063325C">
        <w:rPr>
          <w:rFonts w:eastAsia="Calibri" w:cstheme="minorHAnsi"/>
        </w:rPr>
        <w:t xml:space="preserve"> de vie des acteurs de la pêche et de l’aquaculture du bassin du Fleuve Sénégal. A cet effet, il a réalisé dans les quatre </w:t>
      </w:r>
      <w:r w:rsidRPr="0063325C">
        <w:rPr>
          <w:rFonts w:eastAsia="Calibri" w:cstheme="minorHAnsi"/>
        </w:rPr>
        <w:t>Etats membres</w:t>
      </w:r>
      <w:r w:rsidR="0063325C" w:rsidRPr="0063325C">
        <w:rPr>
          <w:rFonts w:eastAsia="Calibri" w:cstheme="minorHAnsi"/>
        </w:rPr>
        <w:t xml:space="preserve"> de </w:t>
      </w:r>
      <w:r w:rsidRPr="0063325C">
        <w:rPr>
          <w:rFonts w:eastAsia="Calibri" w:cstheme="minorHAnsi"/>
        </w:rPr>
        <w:t>l’OMVS, des</w:t>
      </w:r>
      <w:r w:rsidR="0063325C" w:rsidRPr="0063325C">
        <w:rPr>
          <w:rFonts w:eastAsia="Calibri" w:cstheme="minorHAnsi"/>
        </w:rPr>
        <w:t xml:space="preserve"> infrastructures pour accompagner </w:t>
      </w:r>
      <w:proofErr w:type="gramStart"/>
      <w:r w:rsidR="0063325C" w:rsidRPr="0063325C">
        <w:rPr>
          <w:rFonts w:eastAsia="Calibri" w:cstheme="minorHAnsi"/>
        </w:rPr>
        <w:t>les  activités</w:t>
      </w:r>
      <w:proofErr w:type="gramEnd"/>
      <w:r w:rsidR="0063325C" w:rsidRPr="0063325C">
        <w:rPr>
          <w:rFonts w:eastAsia="Calibri" w:cstheme="minorHAnsi"/>
        </w:rPr>
        <w:t xml:space="preserve"> mises en œuvre par ces Etats pour lutter contre l’insécurité alimentaire et la malnutrition. </w:t>
      </w:r>
      <w:r w:rsidRPr="0063325C">
        <w:rPr>
          <w:rFonts w:eastAsia="Calibri" w:cstheme="minorHAnsi"/>
        </w:rPr>
        <w:t>En République</w:t>
      </w:r>
      <w:r w:rsidR="0063325C" w:rsidRPr="0063325C">
        <w:rPr>
          <w:rFonts w:eastAsia="Calibri" w:cstheme="minorHAnsi"/>
        </w:rPr>
        <w:t xml:space="preserve"> Islamique de Mauritanie, la sous composante « Pêche et Aquaculture » du </w:t>
      </w:r>
      <w:r w:rsidRPr="0063325C">
        <w:rPr>
          <w:rFonts w:eastAsia="Calibri" w:cstheme="minorHAnsi"/>
        </w:rPr>
        <w:t>PGIRE a</w:t>
      </w:r>
      <w:r w:rsidR="0063325C" w:rsidRPr="0063325C">
        <w:rPr>
          <w:rFonts w:eastAsia="Calibri" w:cstheme="minorHAnsi"/>
        </w:rPr>
        <w:t xml:space="preserve"> </w:t>
      </w:r>
      <w:r w:rsidRPr="0063325C">
        <w:rPr>
          <w:rFonts w:eastAsia="Calibri" w:cstheme="minorHAnsi"/>
        </w:rPr>
        <w:t>réalisé les</w:t>
      </w:r>
      <w:r w:rsidR="0063325C" w:rsidRPr="0063325C">
        <w:rPr>
          <w:rFonts w:eastAsia="Calibri" w:cstheme="minorHAnsi"/>
        </w:rPr>
        <w:t xml:space="preserve"> </w:t>
      </w:r>
      <w:r w:rsidRPr="0063325C">
        <w:rPr>
          <w:rFonts w:eastAsia="Calibri" w:cstheme="minorHAnsi"/>
        </w:rPr>
        <w:t>activités suivantes</w:t>
      </w:r>
      <w:r w:rsidR="0063325C" w:rsidRPr="0063325C">
        <w:rPr>
          <w:rFonts w:eastAsia="Calibri" w:cstheme="minorHAnsi"/>
        </w:rPr>
        <w:t> :</w:t>
      </w:r>
    </w:p>
    <w:p w14:paraId="68814CA2" w14:textId="77777777" w:rsidR="0063325C" w:rsidRPr="0063325C" w:rsidRDefault="0063325C" w:rsidP="0063325C">
      <w:pPr>
        <w:rPr>
          <w:rFonts w:eastAsia="Calibri" w:cstheme="minorHAnsi"/>
          <w:b/>
        </w:rPr>
      </w:pPr>
      <w:r w:rsidRPr="0063325C">
        <w:rPr>
          <w:rFonts w:eastAsia="Calibri" w:cstheme="minorHAnsi"/>
          <w:b/>
        </w:rPr>
        <w:t xml:space="preserve">Appui institutionnel à la Direction de la Pêche Continentale et de la Pisciculture et l’amélioration de la gouvernance (Gestion durable de la Pêche et de l’aquaculture)   </w:t>
      </w:r>
    </w:p>
    <w:p w14:paraId="4365C2AF" w14:textId="6DA13047" w:rsidR="0063325C" w:rsidRPr="0063325C" w:rsidRDefault="0063325C" w:rsidP="00F35E24">
      <w:pPr>
        <w:jc w:val="both"/>
        <w:rPr>
          <w:rFonts w:eastAsia="Calibri" w:cstheme="minorHAnsi"/>
        </w:rPr>
      </w:pPr>
      <w:r w:rsidRPr="0063325C">
        <w:rPr>
          <w:rFonts w:eastAsia="Calibri" w:cstheme="minorHAnsi"/>
        </w:rPr>
        <w:t>Ces appuis ont porté</w:t>
      </w:r>
      <w:r w:rsidRPr="0063325C">
        <w:rPr>
          <w:rFonts w:eastAsia="Calibri" w:cstheme="minorHAnsi"/>
          <w:b/>
        </w:rPr>
        <w:t xml:space="preserve"> </w:t>
      </w:r>
      <w:r w:rsidRPr="0063325C">
        <w:rPr>
          <w:rFonts w:eastAsia="Calibri" w:cstheme="minorHAnsi"/>
        </w:rPr>
        <w:t xml:space="preserve">sur </w:t>
      </w:r>
      <w:r w:rsidRPr="0063325C">
        <w:rPr>
          <w:rFonts w:eastAsia="Calibri" w:cstheme="minorHAnsi"/>
          <w:b/>
        </w:rPr>
        <w:t>(i)</w:t>
      </w:r>
      <w:r w:rsidRPr="0063325C">
        <w:rPr>
          <w:rFonts w:eastAsia="Calibri" w:cstheme="minorHAnsi"/>
        </w:rPr>
        <w:t xml:space="preserve">  le renforcement des capacités opérationnelles du service d’encadrement de la  Direction  de la Pêche Continentale  et de la Pisciculture,  en mettant  à la disposition de cette Direction des moyens logistiques, des équipements et matériels ; </w:t>
      </w:r>
      <w:r w:rsidRPr="0063325C">
        <w:rPr>
          <w:rFonts w:eastAsia="Calibri" w:cstheme="minorHAnsi"/>
          <w:b/>
        </w:rPr>
        <w:t xml:space="preserve">(ii) </w:t>
      </w:r>
      <w:r w:rsidRPr="0063325C">
        <w:rPr>
          <w:rFonts w:eastAsia="Calibri" w:cstheme="minorHAnsi"/>
        </w:rPr>
        <w:t xml:space="preserve">la mise en place des organes consultatifs locaux sur les activités de la sous-composante « pêche continentale et aquaculture’ ; </w:t>
      </w:r>
      <w:r w:rsidRPr="0063325C">
        <w:rPr>
          <w:rFonts w:eastAsia="Calibri" w:cstheme="minorHAnsi"/>
          <w:b/>
        </w:rPr>
        <w:t>(iii)</w:t>
      </w:r>
      <w:r w:rsidRPr="0063325C">
        <w:rPr>
          <w:rFonts w:eastAsia="Calibri" w:cstheme="minorHAnsi"/>
        </w:rPr>
        <w:t xml:space="preserve">  la mise en place de conventions locales de pêche pour la gouvernance locale des ressources halieutiques ;  </w:t>
      </w:r>
      <w:r w:rsidRPr="0063325C">
        <w:rPr>
          <w:rFonts w:eastAsia="Calibri" w:cstheme="minorHAnsi"/>
          <w:b/>
        </w:rPr>
        <w:t>(iv)</w:t>
      </w:r>
      <w:r w:rsidRPr="0063325C">
        <w:rPr>
          <w:rFonts w:eastAsia="Calibri" w:cstheme="minorHAnsi"/>
        </w:rPr>
        <w:t xml:space="preserve"> la vulgarisation de ces conventions locales de pêche  afin de permettre aux acteurs de la pêche et aux communautés de s’approprier des règles de gouvernance convenues et de parvenir à la restauration des stocks halieutiques.</w:t>
      </w:r>
    </w:p>
    <w:p w14:paraId="31EA99A1" w14:textId="5BC60E4D" w:rsidR="0063325C" w:rsidRPr="0063325C" w:rsidRDefault="000E3B26" w:rsidP="00F35E24">
      <w:pPr>
        <w:jc w:val="both"/>
        <w:rPr>
          <w:rFonts w:eastAsia="Calibri" w:cstheme="minorHAnsi"/>
          <w:b/>
        </w:rPr>
      </w:pPr>
      <w:r w:rsidRPr="0063325C">
        <w:rPr>
          <w:rFonts w:eastAsia="Calibri" w:cstheme="minorHAnsi"/>
          <w:b/>
        </w:rPr>
        <w:t>Appui à</w:t>
      </w:r>
      <w:r w:rsidR="0063325C" w:rsidRPr="0063325C">
        <w:rPr>
          <w:rFonts w:eastAsia="Calibri" w:cstheme="minorHAnsi"/>
          <w:b/>
        </w:rPr>
        <w:t xml:space="preserve"> la valorisation des productions halieutiques : </w:t>
      </w:r>
    </w:p>
    <w:p w14:paraId="1014781A" w14:textId="581F7936" w:rsidR="0063325C" w:rsidRPr="0063325C" w:rsidRDefault="0063325C" w:rsidP="00F35E24">
      <w:pPr>
        <w:jc w:val="both"/>
        <w:rPr>
          <w:rFonts w:eastAsia="Calibri" w:cstheme="minorHAnsi"/>
        </w:rPr>
      </w:pPr>
      <w:r w:rsidRPr="0063325C">
        <w:rPr>
          <w:rFonts w:eastAsia="Calibri" w:cstheme="minorHAnsi"/>
        </w:rPr>
        <w:t xml:space="preserve">Cet appui a consisté à la réalisation des infrastructures de débarquements (débarcadère à </w:t>
      </w:r>
      <w:r w:rsidR="000E3B26" w:rsidRPr="0063325C">
        <w:rPr>
          <w:rFonts w:eastAsia="Calibri" w:cstheme="minorHAnsi"/>
        </w:rPr>
        <w:t>Tékane) et</w:t>
      </w:r>
      <w:r w:rsidRPr="0063325C">
        <w:rPr>
          <w:rFonts w:eastAsia="Calibri" w:cstheme="minorHAnsi"/>
        </w:rPr>
        <w:t xml:space="preserve"> de commercialisation de poisson (marché à poisson de Kaédi, Rosso, Maghama, M’bout) dans les zones de production. </w:t>
      </w:r>
    </w:p>
    <w:p w14:paraId="7C504346" w14:textId="2902B68F" w:rsidR="0063325C" w:rsidRPr="0063325C" w:rsidRDefault="0063325C" w:rsidP="00F35E24">
      <w:pPr>
        <w:jc w:val="both"/>
        <w:rPr>
          <w:rFonts w:eastAsia="Calibri" w:cstheme="minorHAnsi"/>
        </w:rPr>
      </w:pPr>
      <w:r w:rsidRPr="0063325C">
        <w:rPr>
          <w:rFonts w:eastAsia="Calibri" w:cstheme="minorHAnsi"/>
        </w:rPr>
        <w:t xml:space="preserve">Ces infrastructures ont pour </w:t>
      </w:r>
      <w:r w:rsidR="000E3B26" w:rsidRPr="0063325C">
        <w:rPr>
          <w:rFonts w:eastAsia="Calibri" w:cstheme="minorHAnsi"/>
        </w:rPr>
        <w:t>but de</w:t>
      </w:r>
      <w:r w:rsidRPr="0063325C">
        <w:rPr>
          <w:rFonts w:eastAsia="Calibri" w:cstheme="minorHAnsi"/>
        </w:rPr>
        <w:t xml:space="preserve"> </w:t>
      </w:r>
      <w:r w:rsidR="000E3B26" w:rsidRPr="0063325C">
        <w:rPr>
          <w:rFonts w:eastAsia="Calibri" w:cstheme="minorHAnsi"/>
        </w:rPr>
        <w:t>réduire les</w:t>
      </w:r>
      <w:r w:rsidRPr="0063325C">
        <w:rPr>
          <w:rFonts w:eastAsia="Calibri" w:cstheme="minorHAnsi"/>
        </w:rPr>
        <w:t xml:space="preserve"> pertes après capture en mettant à la disposition des producteurs des moyens pour assurer la manutention, la conservation des produits de la pêche, afin de fournir aux </w:t>
      </w:r>
      <w:r w:rsidR="000E3B26" w:rsidRPr="0063325C">
        <w:rPr>
          <w:rFonts w:eastAsia="Calibri" w:cstheme="minorHAnsi"/>
        </w:rPr>
        <w:t>populations des</w:t>
      </w:r>
      <w:r w:rsidRPr="0063325C">
        <w:rPr>
          <w:rFonts w:eastAsia="Calibri" w:cstheme="minorHAnsi"/>
        </w:rPr>
        <w:t xml:space="preserve"> produits sans dangers pour la consommation humaine </w:t>
      </w:r>
      <w:r w:rsidR="000E3B26" w:rsidRPr="0063325C">
        <w:rPr>
          <w:rFonts w:eastAsia="Calibri" w:cstheme="minorHAnsi"/>
        </w:rPr>
        <w:t>et qui</w:t>
      </w:r>
      <w:r w:rsidRPr="0063325C">
        <w:rPr>
          <w:rFonts w:eastAsia="Calibri" w:cstheme="minorHAnsi"/>
        </w:rPr>
        <w:t xml:space="preserve"> répondent aux normes d’hygiène et de qualités fixés par la réglementation sanitaire.</w:t>
      </w:r>
    </w:p>
    <w:p w14:paraId="2E31DFB9" w14:textId="77777777" w:rsidR="0063325C" w:rsidRPr="0063325C" w:rsidRDefault="0063325C" w:rsidP="00F35E24">
      <w:pPr>
        <w:jc w:val="both"/>
        <w:rPr>
          <w:rFonts w:eastAsia="Calibri" w:cstheme="minorHAnsi"/>
        </w:rPr>
      </w:pPr>
      <w:r w:rsidRPr="0063325C">
        <w:rPr>
          <w:rFonts w:eastAsia="Calibri" w:cstheme="minorHAnsi"/>
          <w:b/>
        </w:rPr>
        <w:t>Appui au développement de l’aquaculture :</w:t>
      </w:r>
      <w:r w:rsidRPr="0063325C">
        <w:rPr>
          <w:rFonts w:eastAsia="Calibri" w:cstheme="minorHAnsi"/>
        </w:rPr>
        <w:t xml:space="preserve"> </w:t>
      </w:r>
    </w:p>
    <w:p w14:paraId="4A608975" w14:textId="77777777" w:rsidR="0063325C" w:rsidRPr="0063325C" w:rsidRDefault="0063325C" w:rsidP="00F35E24">
      <w:pPr>
        <w:jc w:val="both"/>
        <w:rPr>
          <w:rFonts w:eastAsia="Calibri" w:cstheme="minorHAnsi"/>
        </w:rPr>
      </w:pPr>
      <w:r w:rsidRPr="0063325C">
        <w:rPr>
          <w:rFonts w:eastAsia="Calibri" w:cstheme="minorHAnsi"/>
        </w:rPr>
        <w:t xml:space="preserve">Cette rubrique a porté sur la construction d’une écloserie artisanale et des étangs piscicoles à Foum Gleita, l’aménagement piscicole de la mare de Della Ma (Toufdé Civé), l’aménagement de la mare de Warla (Maghama) et de Gandjandje (Lexeiba). Ces infrastructures ont pour objectif d’accroitre la production de poissons dans les mares par des actions d’empoissonnement à partir des alevins produits à l’écloserie de Foum Gleita. </w:t>
      </w:r>
    </w:p>
    <w:p w14:paraId="748631C1" w14:textId="77777777" w:rsidR="0063325C" w:rsidRPr="0063325C" w:rsidRDefault="0063325C" w:rsidP="00F35E24">
      <w:pPr>
        <w:jc w:val="both"/>
        <w:rPr>
          <w:rFonts w:eastAsia="Calibri" w:cstheme="minorHAnsi"/>
        </w:rPr>
      </w:pPr>
      <w:r w:rsidRPr="0063325C">
        <w:rPr>
          <w:rFonts w:eastAsia="Calibri" w:cstheme="minorHAnsi"/>
          <w:b/>
          <w:bCs/>
        </w:rPr>
        <w:t>Ces aménagements piscicoles</w:t>
      </w:r>
      <w:r w:rsidRPr="0063325C">
        <w:rPr>
          <w:rFonts w:eastAsia="Calibri" w:cstheme="minorHAnsi"/>
        </w:rPr>
        <w:t xml:space="preserve"> (mares aménagées) sont composés de : </w:t>
      </w:r>
      <w:r w:rsidRPr="0063325C">
        <w:rPr>
          <w:rFonts w:eastAsia="Calibri" w:cstheme="minorHAnsi"/>
          <w:b/>
        </w:rPr>
        <w:t>i)</w:t>
      </w:r>
      <w:r w:rsidRPr="0063325C">
        <w:rPr>
          <w:rFonts w:eastAsia="Calibri" w:cstheme="minorHAnsi"/>
        </w:rPr>
        <w:t xml:space="preserve"> une Aire d’accueil, </w:t>
      </w:r>
      <w:r w:rsidRPr="0063325C">
        <w:rPr>
          <w:rFonts w:eastAsia="Calibri" w:cstheme="minorHAnsi"/>
          <w:b/>
        </w:rPr>
        <w:t>ii)</w:t>
      </w:r>
      <w:r w:rsidRPr="0063325C">
        <w:rPr>
          <w:rFonts w:eastAsia="Calibri" w:cstheme="minorHAnsi"/>
        </w:rPr>
        <w:t xml:space="preserve"> une plateforme piscicole comprenant des pontons, des cages de grossissement, des enclos et </w:t>
      </w:r>
      <w:r w:rsidRPr="0063325C">
        <w:rPr>
          <w:rFonts w:eastAsia="Calibri" w:cstheme="minorHAnsi"/>
          <w:b/>
        </w:rPr>
        <w:t>iii)</w:t>
      </w:r>
      <w:r w:rsidRPr="0063325C">
        <w:rPr>
          <w:rFonts w:eastAsia="Calibri" w:cstheme="minorHAnsi"/>
        </w:rPr>
        <w:t xml:space="preserve"> un ouvrage de régulation des eaux de crue en vue de retarder l’assèchement desdites mares et par ricochet permettre aux juvéniles d’atteindre leur stade de maturité biologique.  </w:t>
      </w:r>
    </w:p>
    <w:p w14:paraId="5B2FBAAA" w14:textId="0A48EC53" w:rsidR="0063325C" w:rsidRPr="0063325C" w:rsidRDefault="0063325C" w:rsidP="00F35E24">
      <w:pPr>
        <w:jc w:val="both"/>
        <w:rPr>
          <w:rFonts w:eastAsia="Calibri" w:cstheme="minorHAnsi"/>
        </w:rPr>
      </w:pPr>
      <w:r w:rsidRPr="0063325C">
        <w:rPr>
          <w:rFonts w:eastAsia="Calibri" w:cstheme="minorHAnsi"/>
        </w:rPr>
        <w:t xml:space="preserve">Ces actions d’appui vont contribuer à </w:t>
      </w:r>
      <w:r w:rsidR="000E3B26" w:rsidRPr="0063325C">
        <w:rPr>
          <w:rFonts w:eastAsia="Calibri" w:cstheme="minorHAnsi"/>
        </w:rPr>
        <w:t>atténuer les</w:t>
      </w:r>
      <w:r w:rsidRPr="0063325C">
        <w:rPr>
          <w:rFonts w:eastAsia="Calibri" w:cstheme="minorHAnsi"/>
        </w:rPr>
        <w:t xml:space="preserve"> </w:t>
      </w:r>
      <w:r w:rsidR="000E3B26" w:rsidRPr="0063325C">
        <w:rPr>
          <w:rFonts w:eastAsia="Calibri" w:cstheme="minorHAnsi"/>
        </w:rPr>
        <w:t>effets des</w:t>
      </w:r>
      <w:r w:rsidRPr="0063325C">
        <w:rPr>
          <w:rFonts w:eastAsia="Calibri" w:cstheme="minorHAnsi"/>
        </w:rPr>
        <w:t xml:space="preserve"> changements climatiques sur le réseau hydrographique sur les ressources naturelles des plans d’eau et contribuer à lutter contre l’insécurité alimentaire et la malnutrition. </w:t>
      </w:r>
    </w:p>
    <w:p w14:paraId="5118E7D8" w14:textId="2F06B1DB" w:rsidR="0063325C" w:rsidRPr="0063325C" w:rsidRDefault="0063325C" w:rsidP="00F35E24">
      <w:pPr>
        <w:jc w:val="both"/>
        <w:rPr>
          <w:rFonts w:eastAsia="Calibri" w:cstheme="minorHAnsi"/>
        </w:rPr>
      </w:pPr>
      <w:r w:rsidRPr="0063325C">
        <w:rPr>
          <w:rFonts w:eastAsia="Calibri" w:cstheme="minorHAnsi"/>
        </w:rPr>
        <w:t xml:space="preserve">Pour combler le déficit en production piscicole,  augmenter  la production en poisson et assurer l’approvisionnement du marché en produits de la pêche,  l’Organisation  pour la mise en Valeur  du Fleuve Sénégal (OMVS)   a réalisé des infrastructures de pêche : marchés à poisson à Rosso, </w:t>
      </w:r>
      <w:r w:rsidR="000E3B26" w:rsidRPr="0063325C">
        <w:rPr>
          <w:rFonts w:eastAsia="Calibri" w:cstheme="minorHAnsi"/>
        </w:rPr>
        <w:t>Kaédi</w:t>
      </w:r>
      <w:r w:rsidRPr="0063325C">
        <w:rPr>
          <w:rFonts w:eastAsia="Calibri" w:cstheme="minorHAnsi"/>
        </w:rPr>
        <w:t xml:space="preserve"> , Maghama et M’bout , un débarcadère à Tékane et une écloserie artisanale à Foum Gleita et aménagés trois mares : la mare de Della Ma à Toufdé Civé, la mare de </w:t>
      </w:r>
      <w:r w:rsidR="000E3B26" w:rsidRPr="0063325C">
        <w:rPr>
          <w:rFonts w:eastAsia="Calibri" w:cstheme="minorHAnsi"/>
        </w:rPr>
        <w:t>Guangnandj</w:t>
      </w:r>
      <w:r w:rsidRPr="0063325C">
        <w:rPr>
          <w:rFonts w:eastAsia="Calibri" w:cstheme="minorHAnsi"/>
        </w:rPr>
        <w:t xml:space="preserve"> à Lexeiba 2, la mare de Warla à Gourel Thierno commune De Wali de  Mouaghata de Maghama, afin  de contribuer  à  lutter contre l’insécurité alimentaire et la malnutrition, ces infrastructures sont financées  par le Projet de Gestion Intégrée des Ressources en Eau «  sous composante pêche continentale » .</w:t>
      </w:r>
    </w:p>
    <w:p w14:paraId="43832C60" w14:textId="2EE1EB70" w:rsidR="0063325C" w:rsidRPr="0063325C" w:rsidRDefault="0063325C" w:rsidP="00F35E24">
      <w:pPr>
        <w:jc w:val="both"/>
        <w:rPr>
          <w:rFonts w:eastAsia="Calibri" w:cstheme="minorHAnsi"/>
          <w:bCs/>
        </w:rPr>
      </w:pPr>
      <w:r w:rsidRPr="0063325C">
        <w:rPr>
          <w:rFonts w:eastAsia="Calibri" w:cstheme="minorHAnsi"/>
          <w:bCs/>
        </w:rPr>
        <w:t xml:space="preserve">Ces mesures d’adaptation visent à renforcer la capacité des usagers à améliorer la production de certaines mares du Trarza et du Gorgol (mare de </w:t>
      </w:r>
      <w:r w:rsidR="000E3B26" w:rsidRPr="0063325C">
        <w:rPr>
          <w:rFonts w:eastAsia="Calibri" w:cstheme="minorHAnsi"/>
          <w:bCs/>
        </w:rPr>
        <w:t>Guangnandj</w:t>
      </w:r>
      <w:r w:rsidRPr="0063325C">
        <w:rPr>
          <w:rFonts w:eastAsia="Calibri" w:cstheme="minorHAnsi"/>
          <w:bCs/>
        </w:rPr>
        <w:t>, mare de Della Ma, mare de Warla).</w:t>
      </w:r>
    </w:p>
    <w:p w14:paraId="1A4A2FBA" w14:textId="2C11E91A" w:rsidR="0063325C" w:rsidRPr="0063325C" w:rsidRDefault="000E3B26" w:rsidP="00F35E24">
      <w:pPr>
        <w:numPr>
          <w:ilvl w:val="1"/>
          <w:numId w:val="336"/>
        </w:numPr>
        <w:jc w:val="both"/>
        <w:rPr>
          <w:rFonts w:eastAsia="Calibri" w:cstheme="minorHAnsi"/>
          <w:b/>
          <w:lang w:val="fr-CH"/>
        </w:rPr>
      </w:pPr>
      <w:r w:rsidRPr="0063325C">
        <w:rPr>
          <w:rFonts w:eastAsia="Calibri" w:cstheme="minorHAnsi"/>
          <w:b/>
          <w:lang w:val="fr-CH"/>
        </w:rPr>
        <w:t>Programme d’appui</w:t>
      </w:r>
      <w:r w:rsidR="0063325C" w:rsidRPr="0063325C">
        <w:rPr>
          <w:rFonts w:eastAsia="Calibri" w:cstheme="minorHAnsi"/>
          <w:b/>
          <w:lang w:val="fr-CH"/>
        </w:rPr>
        <w:t xml:space="preserve"> au secteur de la pêche continentale </w:t>
      </w:r>
    </w:p>
    <w:p w14:paraId="2B15A5AC" w14:textId="26CF9923" w:rsidR="0063325C" w:rsidRPr="0063325C" w:rsidRDefault="0063325C" w:rsidP="00F35E24">
      <w:pPr>
        <w:jc w:val="both"/>
        <w:rPr>
          <w:rFonts w:eastAsia="Calibri" w:cstheme="minorHAnsi"/>
        </w:rPr>
      </w:pPr>
      <w:r w:rsidRPr="0063325C">
        <w:rPr>
          <w:rFonts w:eastAsia="Calibri" w:cstheme="minorHAnsi"/>
        </w:rPr>
        <w:t xml:space="preserve">D’autres mesures d’adaptation ont été réalisées sur financement de l’Etat pour atténuer les effets des changements climatiques sur certaines zones de pêche continentale. Ces mesures portent sur la construction des centres de pêche dotés de bassins de grossissement larvaire, en appui aux actions d’empoissonnement des mares, ces infrastructures sont réalisées sur financement de l’Etat </w:t>
      </w:r>
      <w:r w:rsidR="00F35E24" w:rsidRPr="0063325C">
        <w:rPr>
          <w:rFonts w:eastAsia="Calibri" w:cstheme="minorHAnsi"/>
        </w:rPr>
        <w:t>à Male,</w:t>
      </w:r>
      <w:r w:rsidRPr="0063325C">
        <w:rPr>
          <w:rFonts w:eastAsia="Calibri" w:cstheme="minorHAnsi"/>
        </w:rPr>
        <w:t xml:space="preserve"> Kankossa, </w:t>
      </w:r>
      <w:r w:rsidR="000E3B26" w:rsidRPr="0063325C">
        <w:rPr>
          <w:rFonts w:eastAsia="Calibri" w:cstheme="minorHAnsi"/>
        </w:rPr>
        <w:t>Lebheir</w:t>
      </w:r>
      <w:r w:rsidRPr="0063325C">
        <w:rPr>
          <w:rFonts w:eastAsia="Calibri" w:cstheme="minorHAnsi"/>
        </w:rPr>
        <w:t>.</w:t>
      </w:r>
    </w:p>
    <w:p w14:paraId="78818CAD" w14:textId="01AF4F7D" w:rsidR="0063325C" w:rsidRPr="0063325C" w:rsidRDefault="000E3B26" w:rsidP="00F35E24">
      <w:pPr>
        <w:numPr>
          <w:ilvl w:val="1"/>
          <w:numId w:val="336"/>
        </w:numPr>
        <w:jc w:val="both"/>
        <w:rPr>
          <w:rFonts w:eastAsia="Calibri" w:cstheme="minorHAnsi"/>
          <w:b/>
        </w:rPr>
      </w:pPr>
      <w:r w:rsidRPr="0063325C">
        <w:rPr>
          <w:rFonts w:eastAsia="Calibri" w:cstheme="minorHAnsi"/>
          <w:b/>
        </w:rPr>
        <w:t>Projet zone</w:t>
      </w:r>
      <w:r w:rsidR="0063325C" w:rsidRPr="0063325C">
        <w:rPr>
          <w:rFonts w:eastAsia="Calibri" w:cstheme="minorHAnsi"/>
          <w:b/>
        </w:rPr>
        <w:t xml:space="preserve"> humide continentale </w:t>
      </w:r>
      <w:r w:rsidR="00F35E24" w:rsidRPr="0063325C">
        <w:rPr>
          <w:rFonts w:eastAsia="Calibri" w:cstheme="minorHAnsi"/>
          <w:b/>
        </w:rPr>
        <w:t>de la</w:t>
      </w:r>
      <w:r w:rsidR="0063325C" w:rsidRPr="0063325C">
        <w:rPr>
          <w:rFonts w:eastAsia="Calibri" w:cstheme="minorHAnsi"/>
          <w:b/>
        </w:rPr>
        <w:t xml:space="preserve"> grande Muraille verte</w:t>
      </w:r>
    </w:p>
    <w:p w14:paraId="1CFEB6D8" w14:textId="026A50E9" w:rsidR="0063325C" w:rsidRPr="0063325C" w:rsidRDefault="000E3B26" w:rsidP="00F35E24">
      <w:pPr>
        <w:jc w:val="both"/>
        <w:rPr>
          <w:rFonts w:eastAsia="Calibri" w:cstheme="minorHAnsi"/>
        </w:rPr>
      </w:pPr>
      <w:r w:rsidRPr="0063325C">
        <w:rPr>
          <w:rFonts w:eastAsia="Calibri" w:cstheme="minorHAnsi"/>
        </w:rPr>
        <w:t>Dans le</w:t>
      </w:r>
      <w:r w:rsidR="0063325C" w:rsidRPr="0063325C">
        <w:rPr>
          <w:rFonts w:eastAsia="Calibri" w:cstheme="minorHAnsi"/>
        </w:rPr>
        <w:t xml:space="preserve"> </w:t>
      </w:r>
      <w:r w:rsidR="00F35E24" w:rsidRPr="0063325C">
        <w:rPr>
          <w:rFonts w:eastAsia="Calibri" w:cstheme="minorHAnsi"/>
        </w:rPr>
        <w:t>cadre de</w:t>
      </w:r>
      <w:r w:rsidR="0063325C" w:rsidRPr="0063325C">
        <w:rPr>
          <w:rFonts w:eastAsia="Calibri" w:cstheme="minorHAnsi"/>
        </w:rPr>
        <w:t xml:space="preserve"> l’application des lignes directrices de la convention de </w:t>
      </w:r>
      <w:r w:rsidRPr="0063325C">
        <w:rPr>
          <w:rFonts w:eastAsia="Calibri" w:cstheme="minorHAnsi"/>
        </w:rPr>
        <w:t>Ramsar,</w:t>
      </w:r>
      <w:r w:rsidR="0063325C" w:rsidRPr="0063325C">
        <w:rPr>
          <w:rFonts w:eastAsia="Calibri" w:cstheme="minorHAnsi"/>
        </w:rPr>
        <w:t xml:space="preserve"> l’Agence Nationale de la Grande Muraille Verte a recherché et obtenu de ses partenaires </w:t>
      </w:r>
      <w:r w:rsidR="00F35E24" w:rsidRPr="0063325C">
        <w:rPr>
          <w:rFonts w:eastAsia="Calibri" w:cstheme="minorHAnsi"/>
        </w:rPr>
        <w:t>techniques le</w:t>
      </w:r>
      <w:r w:rsidR="0063325C" w:rsidRPr="0063325C">
        <w:rPr>
          <w:rFonts w:eastAsia="Calibri" w:cstheme="minorHAnsi"/>
        </w:rPr>
        <w:t xml:space="preserve"> financement du projet des zones humides continentales.</w:t>
      </w:r>
    </w:p>
    <w:p w14:paraId="72B948D1" w14:textId="02F2A0C7" w:rsidR="0063325C" w:rsidRPr="0063325C" w:rsidRDefault="0063325C" w:rsidP="00F35E24">
      <w:pPr>
        <w:jc w:val="both"/>
        <w:rPr>
          <w:rFonts w:eastAsia="Calibri" w:cstheme="minorHAnsi"/>
        </w:rPr>
      </w:pPr>
      <w:r w:rsidRPr="0063325C">
        <w:rPr>
          <w:rFonts w:eastAsia="Calibri" w:cstheme="minorHAnsi"/>
        </w:rPr>
        <w:t xml:space="preserve">Le </w:t>
      </w:r>
      <w:r w:rsidR="00F35E24" w:rsidRPr="0063325C">
        <w:rPr>
          <w:rFonts w:eastAsia="Calibri" w:cstheme="minorHAnsi"/>
        </w:rPr>
        <w:t>projet a</w:t>
      </w:r>
      <w:r w:rsidRPr="0063325C">
        <w:rPr>
          <w:rFonts w:eastAsia="Calibri" w:cstheme="minorHAnsi"/>
        </w:rPr>
        <w:t xml:space="preserve"> </w:t>
      </w:r>
      <w:proofErr w:type="gramStart"/>
      <w:r w:rsidRPr="0063325C">
        <w:rPr>
          <w:rFonts w:eastAsia="Calibri" w:cstheme="minorHAnsi"/>
        </w:rPr>
        <w:t>pour  objectif</w:t>
      </w:r>
      <w:proofErr w:type="gramEnd"/>
      <w:r w:rsidRPr="0063325C">
        <w:rPr>
          <w:rFonts w:eastAsia="Calibri" w:cstheme="minorHAnsi"/>
        </w:rPr>
        <w:t xml:space="preserve"> </w:t>
      </w:r>
      <w:r w:rsidR="00F35E24" w:rsidRPr="0063325C">
        <w:rPr>
          <w:rFonts w:eastAsia="Calibri" w:cstheme="minorHAnsi"/>
        </w:rPr>
        <w:t>principal, de</w:t>
      </w:r>
      <w:r w:rsidRPr="0063325C">
        <w:rPr>
          <w:rFonts w:eastAsia="Calibri" w:cstheme="minorHAnsi"/>
        </w:rPr>
        <w:t xml:space="preserve"> réaliser les inventaires des zones </w:t>
      </w:r>
      <w:r w:rsidR="00F35E24" w:rsidRPr="0063325C">
        <w:rPr>
          <w:rFonts w:eastAsia="Calibri" w:cstheme="minorHAnsi"/>
        </w:rPr>
        <w:t>humides, de développer</w:t>
      </w:r>
      <w:r w:rsidRPr="0063325C">
        <w:rPr>
          <w:rFonts w:eastAsia="Calibri" w:cstheme="minorHAnsi"/>
        </w:rPr>
        <w:t xml:space="preserve"> les activités de </w:t>
      </w:r>
      <w:r w:rsidR="00F35E24" w:rsidRPr="0063325C">
        <w:rPr>
          <w:rFonts w:eastAsia="Calibri" w:cstheme="minorHAnsi"/>
        </w:rPr>
        <w:t>recherche,</w:t>
      </w:r>
      <w:r w:rsidRPr="0063325C">
        <w:rPr>
          <w:rFonts w:eastAsia="Calibri" w:cstheme="minorHAnsi"/>
        </w:rPr>
        <w:t xml:space="preserve"> de </w:t>
      </w:r>
      <w:r w:rsidR="00F35E24" w:rsidRPr="0063325C">
        <w:rPr>
          <w:rFonts w:eastAsia="Calibri" w:cstheme="minorHAnsi"/>
        </w:rPr>
        <w:t>formation,</w:t>
      </w:r>
      <w:r w:rsidRPr="0063325C">
        <w:rPr>
          <w:rFonts w:eastAsia="Calibri" w:cstheme="minorHAnsi"/>
        </w:rPr>
        <w:t xml:space="preserve"> d’information et de sensibilisation les </w:t>
      </w:r>
      <w:proofErr w:type="gramStart"/>
      <w:r w:rsidRPr="0063325C">
        <w:rPr>
          <w:rFonts w:eastAsia="Calibri" w:cstheme="minorHAnsi"/>
        </w:rPr>
        <w:t>populations  en</w:t>
      </w:r>
      <w:proofErr w:type="gramEnd"/>
      <w:r w:rsidRPr="0063325C">
        <w:rPr>
          <w:rFonts w:eastAsia="Calibri" w:cstheme="minorHAnsi"/>
        </w:rPr>
        <w:t xml:space="preserve"> vue de leur implication dans les processus d’aménagement et de gestion des ressources naturelles de ces </w:t>
      </w:r>
      <w:proofErr w:type="gramStart"/>
      <w:r w:rsidRPr="0063325C">
        <w:rPr>
          <w:rFonts w:eastAsia="Calibri" w:cstheme="minorHAnsi"/>
        </w:rPr>
        <w:t>zones ,</w:t>
      </w:r>
      <w:proofErr w:type="gramEnd"/>
      <w:r w:rsidRPr="0063325C">
        <w:rPr>
          <w:rFonts w:eastAsia="Calibri" w:cstheme="minorHAnsi"/>
        </w:rPr>
        <w:t xml:space="preserve"> ces mesures de gestion doivent couvrir tous les aspects des zones humides et de leurs relations avec </w:t>
      </w:r>
      <w:proofErr w:type="gramStart"/>
      <w:r w:rsidRPr="0063325C">
        <w:rPr>
          <w:rFonts w:eastAsia="Calibri" w:cstheme="minorHAnsi"/>
        </w:rPr>
        <w:t>leur  bassin</w:t>
      </w:r>
      <w:proofErr w:type="gramEnd"/>
      <w:r w:rsidRPr="0063325C">
        <w:rPr>
          <w:rFonts w:eastAsia="Calibri" w:cstheme="minorHAnsi"/>
        </w:rPr>
        <w:t xml:space="preserve"> versant. </w:t>
      </w:r>
    </w:p>
    <w:p w14:paraId="492B7DA6" w14:textId="23C549AB" w:rsidR="0063325C" w:rsidRPr="0063325C" w:rsidRDefault="0063325C" w:rsidP="00F35E24">
      <w:pPr>
        <w:jc w:val="both"/>
        <w:rPr>
          <w:rFonts w:eastAsia="Calibri" w:cstheme="minorHAnsi"/>
          <w:bCs/>
        </w:rPr>
      </w:pPr>
      <w:r w:rsidRPr="0063325C">
        <w:rPr>
          <w:rFonts w:eastAsia="Calibri" w:cstheme="minorHAnsi"/>
        </w:rPr>
        <w:t>Pour la réalisation de cet objectif</w:t>
      </w:r>
      <w:r w:rsidRPr="0063325C">
        <w:rPr>
          <w:rFonts w:eastAsia="Calibri" w:cstheme="minorHAnsi"/>
          <w:bCs/>
        </w:rPr>
        <w:t xml:space="preserve">, l’Agence Nationale de la Grande Muraille Verte (ANGMV) </w:t>
      </w:r>
      <w:r w:rsidR="00F35E24" w:rsidRPr="0063325C">
        <w:rPr>
          <w:rFonts w:eastAsia="Calibri" w:cstheme="minorHAnsi"/>
          <w:bCs/>
        </w:rPr>
        <w:t>a sélectionné</w:t>
      </w:r>
      <w:r w:rsidRPr="0063325C">
        <w:rPr>
          <w:rFonts w:eastAsia="Calibri" w:cstheme="minorHAnsi"/>
          <w:bCs/>
        </w:rPr>
        <w:t xml:space="preserve"> trois zones humides (</w:t>
      </w:r>
      <w:r w:rsidR="00F35E24" w:rsidRPr="0063325C">
        <w:rPr>
          <w:rFonts w:eastAsia="Calibri" w:cstheme="minorHAnsi"/>
          <w:bCs/>
        </w:rPr>
        <w:t>TamourtNaaj,</w:t>
      </w:r>
      <w:r w:rsidRPr="0063325C">
        <w:rPr>
          <w:rFonts w:eastAsia="Calibri" w:cstheme="minorHAnsi"/>
          <w:bCs/>
        </w:rPr>
        <w:t xml:space="preserve"> Bougari et </w:t>
      </w:r>
      <w:r w:rsidR="00F35E24" w:rsidRPr="0063325C">
        <w:rPr>
          <w:rFonts w:eastAsia="Calibri" w:cstheme="minorHAnsi"/>
          <w:bCs/>
        </w:rPr>
        <w:t>Mahmouda)</w:t>
      </w:r>
      <w:r w:rsidRPr="0063325C">
        <w:rPr>
          <w:rFonts w:eastAsia="Calibri" w:cstheme="minorHAnsi"/>
          <w:bCs/>
        </w:rPr>
        <w:t xml:space="preserve"> pour la restauration et l’amélioration de la résilience de ces zones humides et le renforcement de la capacité d’adaptation et de résilience </w:t>
      </w:r>
      <w:r w:rsidR="00F35E24" w:rsidRPr="0063325C">
        <w:rPr>
          <w:rFonts w:eastAsia="Calibri" w:cstheme="minorHAnsi"/>
          <w:bCs/>
        </w:rPr>
        <w:t>des communautés</w:t>
      </w:r>
      <w:r w:rsidRPr="0063325C">
        <w:rPr>
          <w:rFonts w:eastAsia="Calibri" w:cstheme="minorHAnsi"/>
          <w:bCs/>
        </w:rPr>
        <w:t xml:space="preserve"> </w:t>
      </w:r>
      <w:r w:rsidR="00F35E24" w:rsidRPr="0063325C">
        <w:rPr>
          <w:rFonts w:eastAsia="Calibri" w:cstheme="minorHAnsi"/>
          <w:bCs/>
        </w:rPr>
        <w:t>locales afin</w:t>
      </w:r>
      <w:r w:rsidRPr="0063325C">
        <w:rPr>
          <w:rFonts w:eastAsia="Calibri" w:cstheme="minorHAnsi"/>
          <w:bCs/>
        </w:rPr>
        <w:t xml:space="preserve"> de protéger ces </w:t>
      </w:r>
      <w:proofErr w:type="gramStart"/>
      <w:r w:rsidRPr="0063325C">
        <w:rPr>
          <w:rFonts w:eastAsia="Calibri" w:cstheme="minorHAnsi"/>
          <w:bCs/>
        </w:rPr>
        <w:t>habitats  et</w:t>
      </w:r>
      <w:proofErr w:type="gramEnd"/>
      <w:r w:rsidRPr="0063325C">
        <w:rPr>
          <w:rFonts w:eastAsia="Calibri" w:cstheme="minorHAnsi"/>
          <w:bCs/>
        </w:rPr>
        <w:t xml:space="preserve"> d’améliorer le bien-être des </w:t>
      </w:r>
      <w:proofErr w:type="gramStart"/>
      <w:r w:rsidRPr="0063325C">
        <w:rPr>
          <w:rFonts w:eastAsia="Calibri" w:cstheme="minorHAnsi"/>
          <w:bCs/>
        </w:rPr>
        <w:t>personnes  qui</w:t>
      </w:r>
      <w:proofErr w:type="gramEnd"/>
      <w:r w:rsidRPr="0063325C">
        <w:rPr>
          <w:rFonts w:eastAsia="Calibri" w:cstheme="minorHAnsi"/>
          <w:bCs/>
        </w:rPr>
        <w:t xml:space="preserve"> </w:t>
      </w:r>
      <w:proofErr w:type="gramStart"/>
      <w:r w:rsidRPr="0063325C">
        <w:rPr>
          <w:rFonts w:eastAsia="Calibri" w:cstheme="minorHAnsi"/>
          <w:bCs/>
        </w:rPr>
        <w:t>dépendent  de</w:t>
      </w:r>
      <w:proofErr w:type="gramEnd"/>
      <w:r w:rsidRPr="0063325C">
        <w:rPr>
          <w:rFonts w:eastAsia="Calibri" w:cstheme="minorHAnsi"/>
          <w:bCs/>
        </w:rPr>
        <w:t xml:space="preserve"> ces ressources naturelles. </w:t>
      </w:r>
    </w:p>
    <w:p w14:paraId="24802FBC" w14:textId="77777777" w:rsidR="0063325C" w:rsidRPr="0063325C" w:rsidRDefault="0063325C" w:rsidP="00F35E24">
      <w:pPr>
        <w:jc w:val="both"/>
        <w:rPr>
          <w:rFonts w:eastAsia="Calibri" w:cstheme="minorHAnsi"/>
          <w:bCs/>
        </w:rPr>
      </w:pPr>
      <w:r w:rsidRPr="0063325C">
        <w:rPr>
          <w:rFonts w:eastAsia="Calibri" w:cstheme="minorHAnsi"/>
          <w:bCs/>
        </w:rPr>
        <w:t xml:space="preserve">Ces mesures d’adaptation s’inscrivent dans le cadre du plan d’action de l’initiative de la grande Muraille Verte approuvé en janvier 2007 par la Conférence des Chefs d’Etat de l’Union Africaine. La stratégie </w:t>
      </w:r>
      <w:r w:rsidRPr="0063325C">
        <w:rPr>
          <w:rFonts w:eastAsia="Calibri" w:cstheme="minorHAnsi"/>
        </w:rPr>
        <w:t>« l’Initiative de la Grande Muraille verte  qui a pour objectif  de  « prendre des mesures efficaces et urgentes en vue, dans les zones arides d’Afrique , de mettre un terme /inverser la tendance à la dégradation des terres , à l’appauvrissement de la diversité biologique afin d’assurer que d’ici à 2025 , les  écosystèmes soient résilients au chargement climatique et continuent de fournir des services essentiels , en contribuant au bien être humain et à l’élimination de la pauvreté »</w:t>
      </w:r>
    </w:p>
    <w:p w14:paraId="64B3FE62" w14:textId="77777777" w:rsidR="0063325C" w:rsidRPr="0063325C" w:rsidRDefault="0063325C" w:rsidP="00F35E24">
      <w:pPr>
        <w:jc w:val="both"/>
        <w:rPr>
          <w:rFonts w:eastAsia="Calibri" w:cstheme="minorHAnsi"/>
        </w:rPr>
      </w:pPr>
      <w:r w:rsidRPr="0063325C">
        <w:rPr>
          <w:rFonts w:eastAsia="Calibri" w:cstheme="minorHAnsi"/>
        </w:rPr>
        <w:t xml:space="preserve">Le plan d’action de cette initiative est mis en œuvre par une ’Agence panafricaine de la Grande Muraille Verte   crée en   Juin 2010. Cette Agence est basée à Nouakchott. </w:t>
      </w:r>
    </w:p>
    <w:p w14:paraId="6832F38E" w14:textId="167ACE82" w:rsidR="0063325C" w:rsidRPr="0063325C" w:rsidRDefault="00F35E24" w:rsidP="0063325C">
      <w:pPr>
        <w:numPr>
          <w:ilvl w:val="1"/>
          <w:numId w:val="336"/>
        </w:numPr>
        <w:rPr>
          <w:rFonts w:eastAsia="Calibri" w:cstheme="minorHAnsi"/>
          <w:b/>
        </w:rPr>
      </w:pPr>
      <w:r w:rsidRPr="0063325C">
        <w:rPr>
          <w:rFonts w:eastAsia="Calibri" w:cstheme="minorHAnsi"/>
          <w:b/>
        </w:rPr>
        <w:t xml:space="preserve">UN </w:t>
      </w:r>
      <w:proofErr w:type="gramStart"/>
      <w:r w:rsidRPr="0063325C">
        <w:rPr>
          <w:rFonts w:eastAsia="Calibri" w:cstheme="minorHAnsi"/>
          <w:b/>
        </w:rPr>
        <w:t>SEUL</w:t>
      </w:r>
      <w:r w:rsidR="0063325C" w:rsidRPr="0063325C">
        <w:rPr>
          <w:rFonts w:eastAsia="Calibri" w:cstheme="minorHAnsi"/>
          <w:b/>
        </w:rPr>
        <w:t xml:space="preserve">  </w:t>
      </w:r>
      <w:r w:rsidRPr="0063325C">
        <w:rPr>
          <w:rFonts w:eastAsia="Calibri" w:cstheme="minorHAnsi"/>
          <w:b/>
        </w:rPr>
        <w:t>MONDE</w:t>
      </w:r>
      <w:proofErr w:type="gramEnd"/>
      <w:r w:rsidRPr="0063325C">
        <w:rPr>
          <w:rFonts w:eastAsia="Calibri" w:cstheme="minorHAnsi"/>
          <w:b/>
        </w:rPr>
        <w:t xml:space="preserve"> sans</w:t>
      </w:r>
      <w:r w:rsidR="0063325C" w:rsidRPr="0063325C">
        <w:rPr>
          <w:rFonts w:eastAsia="Calibri" w:cstheme="minorHAnsi"/>
          <w:b/>
        </w:rPr>
        <w:t xml:space="preserve"> </w:t>
      </w:r>
      <w:r w:rsidRPr="0063325C">
        <w:rPr>
          <w:rFonts w:eastAsia="Calibri" w:cstheme="minorHAnsi"/>
          <w:b/>
        </w:rPr>
        <w:t>faim SEWOH</w:t>
      </w:r>
      <w:r w:rsidR="0063325C" w:rsidRPr="0063325C">
        <w:rPr>
          <w:rFonts w:eastAsia="Calibri" w:cstheme="minorHAnsi"/>
          <w:b/>
        </w:rPr>
        <w:t xml:space="preserve">    </w:t>
      </w:r>
    </w:p>
    <w:p w14:paraId="05B67564" w14:textId="77777777" w:rsidR="0063325C" w:rsidRPr="0063325C" w:rsidRDefault="0063325C" w:rsidP="00F35E24">
      <w:pPr>
        <w:jc w:val="both"/>
        <w:rPr>
          <w:rFonts w:eastAsia="Calibri" w:cstheme="minorHAnsi"/>
        </w:rPr>
      </w:pPr>
      <w:r w:rsidRPr="0063325C">
        <w:rPr>
          <w:rFonts w:eastAsia="Calibri" w:cstheme="minorHAnsi"/>
        </w:rPr>
        <w:t>La  guerre en Ukraine, les changements climatiques et la pandémie COVID ont  augmenté  le nombre de personnes menacées de famine, ces personnes dépendaient en grande partie  des livraisons de blé de la Russie et de l’Ukraine, ainsi plus de 300 millions de personnes sont menacées par la faim dans le monde, afin de réduire  ces effets négatifs et augmenter le pouvoir d’achat des ménages  la coopération allemande au développement  a mis en place  l’initiative  « UN SEUL MONDE sans faim «  (SEWOH)  du projet mondiale « Pêche et aquaculture durable « du Ministère fédérale de la coopération économique et du Développement (BMZ) ’un fonds de promotion de l’innovation agro-alimentaire (i4Ag), un  montant  de 50 000 Euros est  dégagé   pour  apporter  une aide immédiate  pour renforcer la production  locale  des produits transformés à base de poisson,  sous forme d’achat d’équipement  logistique  nécessaires  à la production  et à la  conservation du poisson transformé.</w:t>
      </w:r>
    </w:p>
    <w:p w14:paraId="43C238E5" w14:textId="77777777" w:rsidR="0063325C" w:rsidRPr="0063325C" w:rsidRDefault="0063325C" w:rsidP="0063325C">
      <w:pPr>
        <w:rPr>
          <w:rFonts w:eastAsia="Calibri" w:cstheme="minorHAnsi"/>
        </w:rPr>
      </w:pPr>
    </w:p>
    <w:p w14:paraId="0D0D928B" w14:textId="77777777" w:rsidR="0063325C" w:rsidRPr="0063325C" w:rsidRDefault="0063325C" w:rsidP="00A7036C">
      <w:pPr>
        <w:numPr>
          <w:ilvl w:val="1"/>
          <w:numId w:val="336"/>
        </w:numPr>
        <w:ind w:left="709" w:hanging="709"/>
        <w:jc w:val="both"/>
        <w:rPr>
          <w:rFonts w:eastAsia="Calibri" w:cstheme="minorHAnsi"/>
          <w:b/>
        </w:rPr>
      </w:pPr>
      <w:r w:rsidRPr="0063325C">
        <w:rPr>
          <w:rFonts w:eastAsia="Calibri" w:cstheme="minorHAnsi"/>
          <w:b/>
        </w:rPr>
        <w:t xml:space="preserve">Autres propositions de mesures d’adaptation aux effets de changements climatiques sur les ressources piscicoles et les plans d’eau de la pêche continentale. </w:t>
      </w:r>
    </w:p>
    <w:p w14:paraId="5CBBA0CE" w14:textId="659C9B5A" w:rsidR="0063325C" w:rsidRPr="0063325C" w:rsidRDefault="0063325C" w:rsidP="00A7036C">
      <w:pPr>
        <w:jc w:val="both"/>
        <w:rPr>
          <w:rFonts w:eastAsia="Calibri" w:cstheme="minorHAnsi"/>
        </w:rPr>
      </w:pPr>
      <w:r w:rsidRPr="0063325C">
        <w:rPr>
          <w:rFonts w:eastAsia="Calibri" w:cstheme="minorHAnsi"/>
        </w:rPr>
        <w:t xml:space="preserve">La Mauritanie dispose de plus de trente mares pérennes, des mesures d’adaptation doivent être prises pour réduire les effets des changements climatiques au niveau de ces plans d’eau, </w:t>
      </w:r>
      <w:r w:rsidR="00F35E24" w:rsidRPr="0063325C">
        <w:rPr>
          <w:rFonts w:eastAsia="Calibri" w:cstheme="minorHAnsi"/>
        </w:rPr>
        <w:t xml:space="preserve">un </w:t>
      </w:r>
      <w:r w:rsidR="00F35E24" w:rsidRPr="0063325C">
        <w:rPr>
          <w:rFonts w:eastAsia="Calibri" w:cstheme="minorHAnsi"/>
          <w:bCs/>
        </w:rPr>
        <w:t>processus</w:t>
      </w:r>
      <w:r w:rsidRPr="0063325C">
        <w:rPr>
          <w:rFonts w:eastAsia="Calibri" w:cstheme="minorHAnsi"/>
          <w:bCs/>
        </w:rPr>
        <w:t xml:space="preserve"> de collecte des informations pour la mise en place des mesures d’adaptation aux changements climatiques est préparé à cet effet, ce </w:t>
      </w:r>
      <w:r w:rsidR="00F35E24" w:rsidRPr="0063325C">
        <w:rPr>
          <w:rFonts w:eastAsia="Calibri" w:cstheme="minorHAnsi"/>
          <w:bCs/>
        </w:rPr>
        <w:t>processus comprend</w:t>
      </w:r>
      <w:r w:rsidRPr="0063325C">
        <w:rPr>
          <w:rFonts w:eastAsia="Calibri" w:cstheme="minorHAnsi"/>
          <w:bCs/>
        </w:rPr>
        <w:t xml:space="preserve"> les étapes suivantes : </w:t>
      </w:r>
    </w:p>
    <w:p w14:paraId="2514F586" w14:textId="6B257B8B" w:rsidR="0063325C" w:rsidRPr="0063325C" w:rsidRDefault="0063325C" w:rsidP="00A7036C">
      <w:pPr>
        <w:numPr>
          <w:ilvl w:val="0"/>
          <w:numId w:val="305"/>
        </w:numPr>
        <w:jc w:val="both"/>
        <w:rPr>
          <w:rFonts w:eastAsia="Calibri" w:cstheme="minorHAnsi"/>
        </w:rPr>
      </w:pPr>
      <w:r w:rsidRPr="0063325C">
        <w:rPr>
          <w:rFonts w:eastAsia="Calibri" w:cstheme="minorHAnsi"/>
        </w:rPr>
        <w:t>Information de base sur la zone de pêche (zone humide</w:t>
      </w:r>
      <w:r w:rsidR="00F35E24" w:rsidRPr="0063325C">
        <w:rPr>
          <w:rFonts w:eastAsia="Calibri" w:cstheme="minorHAnsi"/>
        </w:rPr>
        <w:t>),</w:t>
      </w:r>
      <w:r w:rsidRPr="0063325C">
        <w:rPr>
          <w:rFonts w:eastAsia="Calibri" w:cstheme="minorHAnsi"/>
        </w:rPr>
        <w:t xml:space="preserve"> la situation géographique et administrative de la mare et un bref historique de la zone (Localisation coordonnée </w:t>
      </w:r>
      <w:r w:rsidR="00F35E24" w:rsidRPr="0063325C">
        <w:rPr>
          <w:rFonts w:eastAsia="Calibri" w:cstheme="minorHAnsi"/>
        </w:rPr>
        <w:t>GPS,</w:t>
      </w:r>
      <w:r w:rsidRPr="0063325C">
        <w:rPr>
          <w:rFonts w:eastAsia="Calibri" w:cstheme="minorHAnsi"/>
        </w:rPr>
        <w:t xml:space="preserve"> source </w:t>
      </w:r>
      <w:r w:rsidR="00F35E24" w:rsidRPr="0063325C">
        <w:rPr>
          <w:rFonts w:eastAsia="Calibri" w:cstheme="minorHAnsi"/>
        </w:rPr>
        <w:t>d’alimentation,</w:t>
      </w:r>
      <w:r w:rsidRPr="0063325C">
        <w:rPr>
          <w:rFonts w:eastAsia="Calibri" w:cstheme="minorHAnsi"/>
        </w:rPr>
        <w:t xml:space="preserve"> </w:t>
      </w:r>
      <w:r w:rsidR="00F35E24" w:rsidRPr="0063325C">
        <w:rPr>
          <w:rFonts w:eastAsia="Calibri" w:cstheme="minorHAnsi"/>
        </w:rPr>
        <w:t>superficie totale</w:t>
      </w:r>
      <w:r w:rsidRPr="0063325C">
        <w:rPr>
          <w:rFonts w:eastAsia="Calibri" w:cstheme="minorHAnsi"/>
        </w:rPr>
        <w:t xml:space="preserve"> </w:t>
      </w:r>
      <w:r w:rsidR="00F35E24" w:rsidRPr="0063325C">
        <w:rPr>
          <w:rFonts w:eastAsia="Calibri" w:cstheme="minorHAnsi"/>
        </w:rPr>
        <w:t>inondée,</w:t>
      </w:r>
      <w:r w:rsidRPr="0063325C">
        <w:rPr>
          <w:rFonts w:eastAsia="Calibri" w:cstheme="minorHAnsi"/>
        </w:rPr>
        <w:t xml:space="preserve"> nature des </w:t>
      </w:r>
      <w:r w:rsidR="00F35E24" w:rsidRPr="0063325C">
        <w:rPr>
          <w:rFonts w:eastAsia="Calibri" w:cstheme="minorHAnsi"/>
        </w:rPr>
        <w:t>sols,</w:t>
      </w:r>
      <w:r w:rsidRPr="0063325C">
        <w:rPr>
          <w:rFonts w:eastAsia="Calibri" w:cstheme="minorHAnsi"/>
        </w:rPr>
        <w:t xml:space="preserve"> populations </w:t>
      </w:r>
      <w:r w:rsidR="00F35E24" w:rsidRPr="0063325C">
        <w:rPr>
          <w:rFonts w:eastAsia="Calibri" w:cstheme="minorHAnsi"/>
        </w:rPr>
        <w:t>avoisinantes), limite</w:t>
      </w:r>
      <w:r w:rsidRPr="0063325C">
        <w:rPr>
          <w:rFonts w:eastAsia="Calibri" w:cstheme="minorHAnsi"/>
        </w:rPr>
        <w:t xml:space="preserve"> et occupation actuelle de la </w:t>
      </w:r>
      <w:r w:rsidR="00F35E24" w:rsidRPr="0063325C">
        <w:rPr>
          <w:rFonts w:eastAsia="Calibri" w:cstheme="minorHAnsi"/>
        </w:rPr>
        <w:t>mare,</w:t>
      </w:r>
      <w:r w:rsidRPr="0063325C">
        <w:rPr>
          <w:rFonts w:eastAsia="Calibri" w:cstheme="minorHAnsi"/>
        </w:rPr>
        <w:t xml:space="preserve"> régime foncier actuel et usage de la mare par les populations (pêche et </w:t>
      </w:r>
      <w:r w:rsidR="00F35E24" w:rsidRPr="0063325C">
        <w:rPr>
          <w:rFonts w:eastAsia="Calibri" w:cstheme="minorHAnsi"/>
        </w:rPr>
        <w:t>cueillette)</w:t>
      </w:r>
      <w:r w:rsidRPr="0063325C">
        <w:rPr>
          <w:rFonts w:eastAsia="Calibri" w:cstheme="minorHAnsi"/>
        </w:rPr>
        <w:t xml:space="preserve">. </w:t>
      </w:r>
    </w:p>
    <w:p w14:paraId="301BE4BB" w14:textId="18016DD2" w:rsidR="0063325C" w:rsidRPr="0063325C" w:rsidRDefault="0063325C" w:rsidP="00A7036C">
      <w:pPr>
        <w:numPr>
          <w:ilvl w:val="0"/>
          <w:numId w:val="305"/>
        </w:numPr>
        <w:jc w:val="both"/>
        <w:rPr>
          <w:rFonts w:eastAsia="Calibri" w:cstheme="minorHAnsi"/>
        </w:rPr>
      </w:pPr>
      <w:r w:rsidRPr="0063325C">
        <w:rPr>
          <w:rFonts w:eastAsia="Calibri" w:cstheme="minorHAnsi"/>
        </w:rPr>
        <w:t xml:space="preserve">Collecte des informations climatologiques (pluviométrie, les saisons de pluie, les saisons sèches). Identification des principales zones d’activité de </w:t>
      </w:r>
      <w:r w:rsidR="00F35E24" w:rsidRPr="0063325C">
        <w:rPr>
          <w:rFonts w:eastAsia="Calibri" w:cstheme="minorHAnsi"/>
        </w:rPr>
        <w:t>pêche.</w:t>
      </w:r>
    </w:p>
    <w:p w14:paraId="3922A59D" w14:textId="18DC94C8" w:rsidR="0063325C" w:rsidRPr="0063325C" w:rsidRDefault="0063325C" w:rsidP="00A7036C">
      <w:pPr>
        <w:numPr>
          <w:ilvl w:val="0"/>
          <w:numId w:val="305"/>
        </w:numPr>
        <w:jc w:val="both"/>
        <w:rPr>
          <w:rFonts w:eastAsia="Calibri" w:cstheme="minorHAnsi"/>
        </w:rPr>
      </w:pPr>
      <w:r w:rsidRPr="0063325C">
        <w:rPr>
          <w:rFonts w:eastAsia="Calibri" w:cstheme="minorHAnsi"/>
        </w:rPr>
        <w:t>Information sur les espèces. Déterminer les espèces de poisson péchées au niveau de chaque site, quantités pêchées (quantité moyenne débarquée par espèce</w:t>
      </w:r>
      <w:proofErr w:type="gramStart"/>
      <w:r w:rsidRPr="0063325C">
        <w:rPr>
          <w:rFonts w:eastAsia="Calibri" w:cstheme="minorHAnsi"/>
        </w:rPr>
        <w:t>) ,</w:t>
      </w:r>
      <w:proofErr w:type="gramEnd"/>
      <w:r w:rsidRPr="0063325C">
        <w:rPr>
          <w:rFonts w:eastAsia="Calibri" w:cstheme="minorHAnsi"/>
        </w:rPr>
        <w:t xml:space="preserve"> taille des espèces péchées (mensuration LT), poids des </w:t>
      </w:r>
      <w:r w:rsidR="00F35E24" w:rsidRPr="0063325C">
        <w:rPr>
          <w:rFonts w:eastAsia="Calibri" w:cstheme="minorHAnsi"/>
        </w:rPr>
        <w:t>espèces (</w:t>
      </w:r>
      <w:r w:rsidRPr="0063325C">
        <w:rPr>
          <w:rFonts w:eastAsia="Calibri" w:cstheme="minorHAnsi"/>
        </w:rPr>
        <w:t>pesée PT, PV</w:t>
      </w:r>
      <w:r w:rsidR="00F35E24" w:rsidRPr="0063325C">
        <w:rPr>
          <w:rFonts w:eastAsia="Calibri" w:cstheme="minorHAnsi"/>
        </w:rPr>
        <w:t>),</w:t>
      </w:r>
      <w:r w:rsidRPr="0063325C">
        <w:rPr>
          <w:rFonts w:eastAsia="Calibri" w:cstheme="minorHAnsi"/>
        </w:rPr>
        <w:t xml:space="preserve"> régime alimentaire des </w:t>
      </w:r>
      <w:r w:rsidR="00F35E24" w:rsidRPr="0063325C">
        <w:rPr>
          <w:rFonts w:eastAsia="Calibri" w:cstheme="minorHAnsi"/>
        </w:rPr>
        <w:t>espèces (</w:t>
      </w:r>
      <w:r w:rsidRPr="0063325C">
        <w:rPr>
          <w:rFonts w:eastAsia="Calibri" w:cstheme="minorHAnsi"/>
        </w:rPr>
        <w:t>étude des contenus stomacaux), saison de pêche.</w:t>
      </w:r>
    </w:p>
    <w:p w14:paraId="01383D0C" w14:textId="77777777" w:rsidR="0063325C" w:rsidRPr="0063325C" w:rsidRDefault="0063325C" w:rsidP="00A7036C">
      <w:pPr>
        <w:numPr>
          <w:ilvl w:val="0"/>
          <w:numId w:val="305"/>
        </w:numPr>
        <w:jc w:val="both"/>
        <w:rPr>
          <w:rFonts w:eastAsia="Calibri" w:cstheme="minorHAnsi"/>
        </w:rPr>
      </w:pPr>
      <w:r w:rsidRPr="0063325C">
        <w:rPr>
          <w:rFonts w:eastAsia="Calibri" w:cstheme="minorHAnsi"/>
        </w:rPr>
        <w:t xml:space="preserve">Informations sur les techniques de pêche. Les techniques de pêche et les engins de pêche, les caractéristiques des engins de pêche, déterminer la sélectivité des engins de pêches, Évaluer les dégâts causés par les engins de pêches </w:t>
      </w:r>
    </w:p>
    <w:p w14:paraId="658AB3FF" w14:textId="6144814A" w:rsidR="0063325C" w:rsidRPr="0063325C" w:rsidRDefault="0063325C" w:rsidP="0063325C">
      <w:pPr>
        <w:rPr>
          <w:rFonts w:eastAsia="Calibri" w:cstheme="minorHAnsi"/>
        </w:rPr>
      </w:pPr>
      <w:r w:rsidRPr="0063325C">
        <w:rPr>
          <w:rFonts w:eastAsia="Calibri" w:cstheme="minorHAnsi"/>
        </w:rPr>
        <w:t xml:space="preserve">Analyse des données collectées et identification des contraintes liées à l’exploitation des ressources et proposer des mesures d’adaptation pour atténuer les impacts climatiques, ces mesures </w:t>
      </w:r>
      <w:r w:rsidR="00F35E24" w:rsidRPr="0063325C">
        <w:rPr>
          <w:rFonts w:eastAsia="Calibri" w:cstheme="minorHAnsi"/>
        </w:rPr>
        <w:t>portent sur</w:t>
      </w:r>
      <w:r w:rsidRPr="0063325C">
        <w:rPr>
          <w:rFonts w:eastAsia="Calibri" w:cstheme="minorHAnsi"/>
        </w:rPr>
        <w:t> :</w:t>
      </w:r>
    </w:p>
    <w:p w14:paraId="15283826" w14:textId="77777777" w:rsidR="0063325C" w:rsidRPr="0063325C" w:rsidRDefault="0063325C" w:rsidP="0063325C">
      <w:pPr>
        <w:numPr>
          <w:ilvl w:val="0"/>
          <w:numId w:val="316"/>
        </w:numPr>
        <w:rPr>
          <w:rFonts w:eastAsia="Calibri" w:cstheme="minorHAnsi"/>
          <w:b/>
        </w:rPr>
      </w:pPr>
      <w:r w:rsidRPr="0063325C">
        <w:rPr>
          <w:rFonts w:eastAsia="Calibri" w:cstheme="minorHAnsi"/>
          <w:b/>
        </w:rPr>
        <w:t>Les mesures de protection des ressources et d’aménagements des zones de pêche.</w:t>
      </w:r>
    </w:p>
    <w:p w14:paraId="42FEC812" w14:textId="48A6960E" w:rsidR="0063325C" w:rsidRPr="0063325C" w:rsidRDefault="0063325C" w:rsidP="00A7036C">
      <w:pPr>
        <w:jc w:val="both"/>
        <w:rPr>
          <w:rFonts w:eastAsia="Calibri" w:cstheme="minorHAnsi"/>
        </w:rPr>
      </w:pPr>
      <w:r w:rsidRPr="0063325C">
        <w:rPr>
          <w:rFonts w:eastAsia="Calibri" w:cstheme="minorHAnsi"/>
        </w:rPr>
        <w:t xml:space="preserve">Les ressources piscicoles et les plans d’eau constituent un patrimoine national que l’Etat a l’obligation de gérer au mieux des intérêts des collectivités locales. A cet effet, </w:t>
      </w:r>
      <w:r w:rsidR="00F35E24" w:rsidRPr="0063325C">
        <w:rPr>
          <w:rFonts w:eastAsia="Calibri" w:cstheme="minorHAnsi"/>
        </w:rPr>
        <w:t>l’Etat a</w:t>
      </w:r>
      <w:r w:rsidRPr="0063325C">
        <w:rPr>
          <w:rFonts w:eastAsia="Calibri" w:cstheme="minorHAnsi"/>
        </w:rPr>
        <w:t xml:space="preserve"> adopté la Stratégie de croissance accélérée et de prospérité </w:t>
      </w:r>
      <w:r w:rsidR="00F35E24" w:rsidRPr="0063325C">
        <w:rPr>
          <w:rFonts w:eastAsia="Calibri" w:cstheme="minorHAnsi"/>
        </w:rPr>
        <w:t>partagée (</w:t>
      </w:r>
      <w:r w:rsidRPr="0063325C">
        <w:rPr>
          <w:rFonts w:eastAsia="Calibri" w:cstheme="minorHAnsi"/>
        </w:rPr>
        <w:t xml:space="preserve">la </w:t>
      </w:r>
      <w:r w:rsidR="00F35E24" w:rsidRPr="0063325C">
        <w:rPr>
          <w:rFonts w:eastAsia="Calibri" w:cstheme="minorHAnsi"/>
        </w:rPr>
        <w:t>SCAPP) et</w:t>
      </w:r>
      <w:r w:rsidRPr="0063325C">
        <w:rPr>
          <w:rFonts w:eastAsia="Calibri" w:cstheme="minorHAnsi"/>
        </w:rPr>
        <w:t xml:space="preserve"> mis en place des stratégies dont la feuille de route pour la relance des activités de pêche </w:t>
      </w:r>
      <w:r w:rsidR="00F35E24" w:rsidRPr="0063325C">
        <w:rPr>
          <w:rFonts w:eastAsia="Calibri" w:cstheme="minorHAnsi"/>
        </w:rPr>
        <w:t>par la</w:t>
      </w:r>
      <w:r w:rsidRPr="0063325C">
        <w:rPr>
          <w:rFonts w:eastAsia="Calibri" w:cstheme="minorHAnsi"/>
        </w:rPr>
        <w:t xml:space="preserve"> réalisation des </w:t>
      </w:r>
      <w:r w:rsidR="00F35E24" w:rsidRPr="0063325C">
        <w:rPr>
          <w:rFonts w:eastAsia="Calibri" w:cstheme="minorHAnsi"/>
        </w:rPr>
        <w:t>objectifs suivants</w:t>
      </w:r>
      <w:r w:rsidRPr="0063325C">
        <w:rPr>
          <w:rFonts w:eastAsia="Calibri" w:cstheme="minorHAnsi"/>
        </w:rPr>
        <w:t> :</w:t>
      </w:r>
    </w:p>
    <w:p w14:paraId="434E3235" w14:textId="1B2D8D97" w:rsidR="0063325C" w:rsidRPr="0063325C" w:rsidRDefault="00F35E24" w:rsidP="00A7036C">
      <w:pPr>
        <w:numPr>
          <w:ilvl w:val="0"/>
          <w:numId w:val="312"/>
        </w:numPr>
        <w:jc w:val="both"/>
        <w:rPr>
          <w:rFonts w:eastAsia="Calibri" w:cstheme="minorHAnsi"/>
        </w:rPr>
      </w:pPr>
      <w:r w:rsidRPr="0063325C">
        <w:rPr>
          <w:rFonts w:eastAsia="Calibri" w:cstheme="minorHAnsi"/>
        </w:rPr>
        <w:t>Améliorer les</w:t>
      </w:r>
      <w:r w:rsidR="0063325C" w:rsidRPr="0063325C">
        <w:rPr>
          <w:rFonts w:eastAsia="Calibri" w:cstheme="minorHAnsi"/>
        </w:rPr>
        <w:t xml:space="preserve"> connaissances des ressources piscicoles en vue de proposer les mesures de conservation et de préservation de </w:t>
      </w:r>
      <w:r w:rsidRPr="0063325C">
        <w:rPr>
          <w:rFonts w:eastAsia="Calibri" w:cstheme="minorHAnsi"/>
        </w:rPr>
        <w:t>ces ressources</w:t>
      </w:r>
      <w:r w:rsidR="0063325C" w:rsidRPr="0063325C">
        <w:rPr>
          <w:rFonts w:eastAsia="Calibri" w:cstheme="minorHAnsi"/>
        </w:rPr>
        <w:t xml:space="preserve"> ; </w:t>
      </w:r>
    </w:p>
    <w:p w14:paraId="29E8E2AA" w14:textId="3D9D8983" w:rsidR="0063325C" w:rsidRPr="0063325C" w:rsidRDefault="0063325C" w:rsidP="00A7036C">
      <w:pPr>
        <w:numPr>
          <w:ilvl w:val="0"/>
          <w:numId w:val="312"/>
        </w:numPr>
        <w:jc w:val="both"/>
        <w:rPr>
          <w:rFonts w:eastAsia="Calibri" w:cstheme="minorHAnsi"/>
        </w:rPr>
      </w:pPr>
      <w:r w:rsidRPr="0063325C">
        <w:rPr>
          <w:rFonts w:eastAsia="Calibri" w:cstheme="minorHAnsi"/>
        </w:rPr>
        <w:t xml:space="preserve">Utiliser les ressources piscicoles pour l’intégration de la pêche </w:t>
      </w:r>
      <w:r w:rsidR="00F35E24" w:rsidRPr="0063325C">
        <w:rPr>
          <w:rFonts w:eastAsia="Calibri" w:cstheme="minorHAnsi"/>
        </w:rPr>
        <w:t>continentale dans</w:t>
      </w:r>
      <w:r w:rsidRPr="0063325C">
        <w:rPr>
          <w:rFonts w:eastAsia="Calibri" w:cstheme="minorHAnsi"/>
        </w:rPr>
        <w:t xml:space="preserve"> l’économie nationale ; </w:t>
      </w:r>
    </w:p>
    <w:p w14:paraId="664C4B34" w14:textId="77777777" w:rsidR="0063325C" w:rsidRPr="0063325C" w:rsidRDefault="0063325C" w:rsidP="00A7036C">
      <w:pPr>
        <w:jc w:val="both"/>
        <w:rPr>
          <w:rFonts w:eastAsia="Calibri" w:cstheme="minorHAnsi"/>
        </w:rPr>
      </w:pPr>
      <w:r w:rsidRPr="0063325C">
        <w:rPr>
          <w:rFonts w:eastAsia="Calibri" w:cstheme="minorHAnsi"/>
        </w:rPr>
        <w:t xml:space="preserve">Pour la réalisation de ces objectifs , le gouvernement a mis en place un cadre institutionnel et juridique pour l’application  des stratégies de mises en œuvre de la SCAPP, ce cadre institutionnel et juridique, le cadre institutionnel comprend une Direction de la pêche continentale et l’aquaculture, un établissement public à caractère administratif (Agence pour le Développement de la pêche et la pisciculture continentale, des organes de consultation) ce cadre institutionnel a pour mission d’assurer le développement , la promotion de l’ensemble des plans d’eau de la pêche continentale , de gérer  des fermes d’élevage de poisson et de la pisciculture dans le but de valoriser le potentiel halieutique de ces Plans d’eau aux fins de jouer un rôle stratégique dans la lutte  contre la pauvreté , l’insécurité alimentaire , la malnutrition et la fixation des populations dans leurs terroirs. </w:t>
      </w:r>
    </w:p>
    <w:p w14:paraId="17EDF39E" w14:textId="77777777" w:rsidR="0063325C" w:rsidRPr="0063325C" w:rsidRDefault="0063325C" w:rsidP="00A7036C">
      <w:pPr>
        <w:jc w:val="both"/>
        <w:rPr>
          <w:rFonts w:eastAsia="Calibri" w:cstheme="minorHAnsi"/>
        </w:rPr>
      </w:pPr>
      <w:r w:rsidRPr="0063325C">
        <w:rPr>
          <w:rFonts w:eastAsia="Calibri" w:cstheme="minorHAnsi"/>
        </w:rPr>
        <w:t>Les activités de l’Agence visent la réalisation des objectifs pour atténuer les effets des changements climatiques sur la pêche continentale.</w:t>
      </w:r>
    </w:p>
    <w:p w14:paraId="1EA7B331" w14:textId="2B442D31" w:rsidR="0063325C" w:rsidRPr="0063325C" w:rsidRDefault="0063325C" w:rsidP="00A7036C">
      <w:pPr>
        <w:numPr>
          <w:ilvl w:val="0"/>
          <w:numId w:val="316"/>
        </w:numPr>
        <w:ind w:left="426" w:hanging="426"/>
        <w:jc w:val="both"/>
        <w:rPr>
          <w:rFonts w:eastAsia="Calibri" w:cstheme="minorHAnsi"/>
          <w:b/>
        </w:rPr>
      </w:pPr>
      <w:r w:rsidRPr="0063325C">
        <w:rPr>
          <w:rFonts w:eastAsia="Calibri" w:cstheme="minorHAnsi"/>
          <w:b/>
        </w:rPr>
        <w:t xml:space="preserve">Mesures d’adaptation </w:t>
      </w:r>
      <w:r w:rsidR="004C724D" w:rsidRPr="0063325C">
        <w:rPr>
          <w:rFonts w:eastAsia="Calibri" w:cstheme="minorHAnsi"/>
          <w:b/>
        </w:rPr>
        <w:t>pour l’Intégration</w:t>
      </w:r>
      <w:r w:rsidRPr="0063325C">
        <w:rPr>
          <w:rFonts w:eastAsia="Calibri" w:cstheme="minorHAnsi"/>
          <w:b/>
        </w:rPr>
        <w:t xml:space="preserve"> de la pêche </w:t>
      </w:r>
      <w:r w:rsidR="004C724D" w:rsidRPr="0063325C">
        <w:rPr>
          <w:rFonts w:eastAsia="Calibri" w:cstheme="minorHAnsi"/>
          <w:b/>
        </w:rPr>
        <w:t>continentale dans</w:t>
      </w:r>
      <w:r w:rsidRPr="0063325C">
        <w:rPr>
          <w:rFonts w:eastAsia="Calibri" w:cstheme="minorHAnsi"/>
          <w:b/>
        </w:rPr>
        <w:t xml:space="preserve"> l’économie nationale </w:t>
      </w:r>
    </w:p>
    <w:p w14:paraId="22921A85" w14:textId="71866BEB" w:rsidR="0063325C" w:rsidRPr="0063325C" w:rsidRDefault="0063325C" w:rsidP="00A7036C">
      <w:pPr>
        <w:jc w:val="both"/>
        <w:rPr>
          <w:rFonts w:eastAsia="Calibri" w:cstheme="minorHAnsi"/>
        </w:rPr>
      </w:pPr>
      <w:r w:rsidRPr="0063325C">
        <w:rPr>
          <w:rFonts w:eastAsia="Calibri" w:cstheme="minorHAnsi"/>
          <w:b/>
          <w:bCs/>
        </w:rPr>
        <w:t xml:space="preserve">B.1. </w:t>
      </w:r>
      <w:r w:rsidR="004C724D" w:rsidRPr="0063325C">
        <w:rPr>
          <w:rFonts w:eastAsia="Calibri" w:cstheme="minorHAnsi"/>
          <w:b/>
          <w:bCs/>
        </w:rPr>
        <w:t>Activités pour</w:t>
      </w:r>
      <w:r w:rsidRPr="0063325C">
        <w:rPr>
          <w:rFonts w:eastAsia="Calibri" w:cstheme="minorHAnsi"/>
          <w:b/>
          <w:bCs/>
        </w:rPr>
        <w:t xml:space="preserve"> l’intégration de la pêche continentale dans l’économie nationale</w:t>
      </w:r>
    </w:p>
    <w:p w14:paraId="5A10313D" w14:textId="4CE6FC46" w:rsidR="0063325C" w:rsidRPr="0063325C" w:rsidRDefault="0063325C" w:rsidP="00A7036C">
      <w:pPr>
        <w:numPr>
          <w:ilvl w:val="0"/>
          <w:numId w:val="313"/>
        </w:numPr>
        <w:jc w:val="both"/>
        <w:rPr>
          <w:rFonts w:eastAsia="Calibri" w:cstheme="minorHAnsi"/>
        </w:rPr>
      </w:pPr>
      <w:r w:rsidRPr="0063325C">
        <w:rPr>
          <w:rFonts w:eastAsia="Calibri" w:cstheme="minorHAnsi"/>
        </w:rPr>
        <w:t xml:space="preserve">Réaliser les infrastructures de soutien aux activités de la pêche continentale, et la pisciculture (construction des ouvrages de </w:t>
      </w:r>
      <w:r w:rsidR="004C724D" w:rsidRPr="0063325C">
        <w:rPr>
          <w:rFonts w:eastAsia="Calibri" w:cstheme="minorHAnsi"/>
        </w:rPr>
        <w:t>régulation et</w:t>
      </w:r>
      <w:r w:rsidRPr="0063325C">
        <w:rPr>
          <w:rFonts w:eastAsia="Calibri" w:cstheme="minorHAnsi"/>
        </w:rPr>
        <w:t xml:space="preserve"> des bassins de reproduction, construction des cages de pré grossissement et de grossissement).</w:t>
      </w:r>
    </w:p>
    <w:p w14:paraId="3A3DD198" w14:textId="2A9412EF" w:rsidR="0063325C" w:rsidRPr="0063325C" w:rsidRDefault="0063325C" w:rsidP="00A7036C">
      <w:pPr>
        <w:numPr>
          <w:ilvl w:val="0"/>
          <w:numId w:val="313"/>
        </w:numPr>
        <w:jc w:val="both"/>
        <w:rPr>
          <w:rFonts w:eastAsia="Calibri" w:cstheme="minorHAnsi"/>
        </w:rPr>
      </w:pPr>
      <w:r w:rsidRPr="0063325C">
        <w:rPr>
          <w:rFonts w:eastAsia="Calibri" w:cstheme="minorHAnsi"/>
        </w:rPr>
        <w:t xml:space="preserve">Réaliser les infrastructures </w:t>
      </w:r>
      <w:r w:rsidR="004C724D" w:rsidRPr="0063325C">
        <w:rPr>
          <w:rFonts w:eastAsia="Calibri" w:cstheme="minorHAnsi"/>
        </w:rPr>
        <w:t>d’accompagnement pour</w:t>
      </w:r>
      <w:r w:rsidRPr="0063325C">
        <w:rPr>
          <w:rFonts w:eastAsia="Calibri" w:cstheme="minorHAnsi"/>
        </w:rPr>
        <w:t xml:space="preserve"> </w:t>
      </w:r>
      <w:r w:rsidR="004C724D" w:rsidRPr="0063325C">
        <w:rPr>
          <w:rFonts w:eastAsia="Calibri" w:cstheme="minorHAnsi"/>
        </w:rPr>
        <w:t>augmenter la</w:t>
      </w:r>
      <w:r w:rsidRPr="0063325C">
        <w:rPr>
          <w:rFonts w:eastAsia="Calibri" w:cstheme="minorHAnsi"/>
        </w:rPr>
        <w:t xml:space="preserve"> production </w:t>
      </w:r>
      <w:r w:rsidR="004C724D" w:rsidRPr="0063325C">
        <w:rPr>
          <w:rFonts w:eastAsia="Calibri" w:cstheme="minorHAnsi"/>
        </w:rPr>
        <w:t>piscicole et</w:t>
      </w:r>
      <w:r w:rsidRPr="0063325C">
        <w:rPr>
          <w:rFonts w:eastAsia="Calibri" w:cstheme="minorHAnsi"/>
        </w:rPr>
        <w:t xml:space="preserve"> </w:t>
      </w:r>
      <w:r w:rsidR="004C724D" w:rsidRPr="0063325C">
        <w:rPr>
          <w:rFonts w:eastAsia="Calibri" w:cstheme="minorHAnsi"/>
        </w:rPr>
        <w:t>promouvoir la</w:t>
      </w:r>
      <w:r w:rsidRPr="0063325C">
        <w:rPr>
          <w:rFonts w:eastAsia="Calibri" w:cstheme="minorHAnsi"/>
        </w:rPr>
        <w:t xml:space="preserve"> pisciculture intensive et extensive par la construction des fermes </w:t>
      </w:r>
      <w:r w:rsidR="004C724D" w:rsidRPr="0063325C">
        <w:rPr>
          <w:rFonts w:eastAsia="Calibri" w:cstheme="minorHAnsi"/>
        </w:rPr>
        <w:t>pilotes de</w:t>
      </w:r>
      <w:r w:rsidRPr="0063325C">
        <w:rPr>
          <w:rFonts w:eastAsia="Calibri" w:cstheme="minorHAnsi"/>
        </w:rPr>
        <w:t xml:space="preserve"> pisciculture.       </w:t>
      </w:r>
    </w:p>
    <w:p w14:paraId="709E854A" w14:textId="082D4018" w:rsidR="0063325C" w:rsidRPr="0063325C" w:rsidRDefault="0063325C" w:rsidP="00A7036C">
      <w:pPr>
        <w:numPr>
          <w:ilvl w:val="0"/>
          <w:numId w:val="313"/>
        </w:numPr>
        <w:jc w:val="both"/>
        <w:rPr>
          <w:rFonts w:eastAsia="Calibri" w:cstheme="minorHAnsi"/>
        </w:rPr>
      </w:pPr>
      <w:r w:rsidRPr="0063325C">
        <w:rPr>
          <w:rFonts w:eastAsia="Calibri" w:cstheme="minorHAnsi"/>
        </w:rPr>
        <w:t xml:space="preserve">Aménagement des plans </w:t>
      </w:r>
      <w:r w:rsidR="00A7036C" w:rsidRPr="0063325C">
        <w:rPr>
          <w:rFonts w:eastAsia="Calibri" w:cstheme="minorHAnsi"/>
        </w:rPr>
        <w:t>d’eau (construction des</w:t>
      </w:r>
      <w:r w:rsidRPr="0063325C">
        <w:rPr>
          <w:rFonts w:eastAsia="Calibri" w:cstheme="minorHAnsi"/>
        </w:rPr>
        <w:t xml:space="preserve"> ouvrages de retenue d’eau, construction des pontons et des passerelles de franchissement des cours d’eau, Construction des plateformes pour la pisciculture.</w:t>
      </w:r>
    </w:p>
    <w:p w14:paraId="0C6C5641" w14:textId="77777777" w:rsidR="0063325C" w:rsidRPr="0063325C" w:rsidRDefault="0063325C" w:rsidP="00A7036C">
      <w:pPr>
        <w:jc w:val="both"/>
        <w:rPr>
          <w:rFonts w:eastAsia="Calibri" w:cstheme="minorHAnsi"/>
          <w:b/>
          <w:bCs/>
        </w:rPr>
      </w:pPr>
      <w:r w:rsidRPr="0063325C">
        <w:rPr>
          <w:rFonts w:eastAsia="Calibri" w:cstheme="minorHAnsi"/>
          <w:b/>
          <w:bCs/>
        </w:rPr>
        <w:t>B.2. Activités pour le maintien des caractéristiques écologiques pour une utilisation durable</w:t>
      </w:r>
    </w:p>
    <w:p w14:paraId="3335C485" w14:textId="77777777" w:rsidR="0063325C" w:rsidRPr="0063325C" w:rsidRDefault="0063325C" w:rsidP="00A7036C">
      <w:pPr>
        <w:numPr>
          <w:ilvl w:val="0"/>
          <w:numId w:val="314"/>
        </w:numPr>
        <w:jc w:val="both"/>
        <w:rPr>
          <w:rFonts w:eastAsia="Calibri" w:cstheme="minorHAnsi"/>
        </w:rPr>
      </w:pPr>
      <w:r w:rsidRPr="0063325C">
        <w:rPr>
          <w:rFonts w:eastAsia="Calibri" w:cstheme="minorHAnsi"/>
        </w:rPr>
        <w:t xml:space="preserve">Réaliser des inventaires des menaces et mettre en place des systèmes de suivi pour réduire les menaces, </w:t>
      </w:r>
    </w:p>
    <w:p w14:paraId="30C0F20B" w14:textId="4B008334" w:rsidR="0063325C" w:rsidRPr="0063325C" w:rsidRDefault="0063325C" w:rsidP="00A7036C">
      <w:pPr>
        <w:numPr>
          <w:ilvl w:val="0"/>
          <w:numId w:val="314"/>
        </w:numPr>
        <w:jc w:val="both"/>
        <w:rPr>
          <w:rFonts w:eastAsia="Calibri" w:cstheme="minorHAnsi"/>
        </w:rPr>
      </w:pPr>
      <w:r w:rsidRPr="0063325C">
        <w:rPr>
          <w:rFonts w:eastAsia="Calibri" w:cstheme="minorHAnsi"/>
        </w:rPr>
        <w:t xml:space="preserve">Réaliser les études d’impact </w:t>
      </w:r>
      <w:r w:rsidR="00A7036C" w:rsidRPr="0063325C">
        <w:rPr>
          <w:rFonts w:eastAsia="Calibri" w:cstheme="minorHAnsi"/>
        </w:rPr>
        <w:t>environnemental avant</w:t>
      </w:r>
      <w:r w:rsidRPr="0063325C">
        <w:rPr>
          <w:rFonts w:eastAsia="Calibri" w:cstheme="minorHAnsi"/>
        </w:rPr>
        <w:t xml:space="preserve"> toute activité d’exploitation des ressources naturelles de la zone.</w:t>
      </w:r>
    </w:p>
    <w:p w14:paraId="75124DA9" w14:textId="77777777" w:rsidR="0063325C" w:rsidRPr="0063325C" w:rsidRDefault="0063325C" w:rsidP="00A7036C">
      <w:pPr>
        <w:jc w:val="both"/>
        <w:rPr>
          <w:rFonts w:eastAsia="Calibri" w:cstheme="minorHAnsi"/>
        </w:rPr>
      </w:pPr>
      <w:r w:rsidRPr="0063325C">
        <w:rPr>
          <w:rFonts w:eastAsia="Calibri" w:cstheme="minorHAnsi"/>
          <w:b/>
          <w:bCs/>
        </w:rPr>
        <w:t>B.3. Mesure d’adaptation</w:t>
      </w:r>
      <w:r w:rsidRPr="0063325C">
        <w:rPr>
          <w:rFonts w:eastAsia="Calibri" w:cstheme="minorHAnsi"/>
        </w:rPr>
        <w:t xml:space="preserve"> </w:t>
      </w:r>
      <w:r w:rsidRPr="0063325C">
        <w:rPr>
          <w:rFonts w:eastAsia="Calibri" w:cstheme="minorHAnsi"/>
          <w:b/>
          <w:bCs/>
        </w:rPr>
        <w:t>pour l’amélioration des techniques</w:t>
      </w:r>
      <w:r w:rsidRPr="0063325C">
        <w:rPr>
          <w:rFonts w:eastAsia="Calibri" w:cstheme="minorHAnsi"/>
        </w:rPr>
        <w:t xml:space="preserve"> et </w:t>
      </w:r>
      <w:r w:rsidRPr="0063325C">
        <w:rPr>
          <w:rFonts w:eastAsia="Calibri" w:cstheme="minorHAnsi"/>
          <w:b/>
          <w:bCs/>
        </w:rPr>
        <w:t>procédés</w:t>
      </w:r>
      <w:r w:rsidRPr="0063325C">
        <w:rPr>
          <w:rFonts w:eastAsia="Calibri" w:cstheme="minorHAnsi"/>
        </w:rPr>
        <w:t xml:space="preserve"> de transformation du poisson (choix du mode de transformation plus adapté à la conservation de l’environnement).</w:t>
      </w:r>
    </w:p>
    <w:p w14:paraId="5A3A390A" w14:textId="77777777" w:rsidR="0063325C" w:rsidRPr="0063325C" w:rsidRDefault="0063325C" w:rsidP="00A7036C">
      <w:pPr>
        <w:jc w:val="both"/>
        <w:rPr>
          <w:rFonts w:eastAsia="Calibri" w:cstheme="minorHAnsi"/>
        </w:rPr>
      </w:pPr>
      <w:r w:rsidRPr="0063325C">
        <w:rPr>
          <w:rFonts w:eastAsia="Calibri" w:cstheme="minorHAnsi"/>
        </w:rPr>
        <w:t>L’introduction des séchoirs solaire est plus adapté à la conservation des ressources ligneuses et favorisera une consommation locale du poisson, En Mauritanie le poisson séché est entré dans les habitudes alimentaire des populations.</w:t>
      </w:r>
    </w:p>
    <w:p w14:paraId="06AB1D29" w14:textId="77777777" w:rsidR="0063325C" w:rsidRPr="0063325C" w:rsidRDefault="0063325C" w:rsidP="00A7036C">
      <w:pPr>
        <w:jc w:val="both"/>
        <w:rPr>
          <w:rFonts w:eastAsia="Calibri" w:cstheme="minorHAnsi"/>
          <w:b/>
          <w:bCs/>
        </w:rPr>
      </w:pPr>
      <w:r w:rsidRPr="0063325C">
        <w:rPr>
          <w:rFonts w:eastAsia="Calibri" w:cstheme="minorHAnsi"/>
          <w:b/>
          <w:bCs/>
        </w:rPr>
        <w:t>B.4. Activités pour l’utilisation</w:t>
      </w:r>
      <w:r w:rsidRPr="0063325C">
        <w:rPr>
          <w:rFonts w:eastAsia="Calibri" w:cstheme="minorHAnsi"/>
        </w:rPr>
        <w:t xml:space="preserve"> </w:t>
      </w:r>
      <w:r w:rsidRPr="0063325C">
        <w:rPr>
          <w:rFonts w:eastAsia="Calibri" w:cstheme="minorHAnsi"/>
          <w:b/>
          <w:bCs/>
        </w:rPr>
        <w:t>des ressources naturelles</w:t>
      </w:r>
    </w:p>
    <w:p w14:paraId="6D8A7047" w14:textId="77777777" w:rsidR="0063325C" w:rsidRPr="0063325C" w:rsidRDefault="0063325C" w:rsidP="00A7036C">
      <w:pPr>
        <w:jc w:val="both"/>
        <w:rPr>
          <w:rFonts w:eastAsia="Calibri" w:cstheme="minorHAnsi"/>
        </w:rPr>
      </w:pPr>
      <w:r w:rsidRPr="0063325C">
        <w:rPr>
          <w:rFonts w:eastAsia="Calibri" w:cstheme="minorHAnsi"/>
        </w:rPr>
        <w:t xml:space="preserve">Réaliser des activités de recherche (évaluer les ressources, déterminer le potentiel disponible et préparer des plans d’aménagement des pêcheries existantes dans chaque zone humide), </w:t>
      </w:r>
    </w:p>
    <w:p w14:paraId="73025172" w14:textId="77777777" w:rsidR="0063325C" w:rsidRPr="0063325C" w:rsidRDefault="0063325C" w:rsidP="00A7036C">
      <w:pPr>
        <w:jc w:val="both"/>
        <w:rPr>
          <w:rFonts w:eastAsia="Calibri" w:cstheme="minorHAnsi"/>
        </w:rPr>
      </w:pPr>
      <w:r w:rsidRPr="0063325C">
        <w:rPr>
          <w:rFonts w:eastAsia="Calibri" w:cstheme="minorHAnsi"/>
          <w:b/>
          <w:bCs/>
        </w:rPr>
        <w:t>B.5. Mettre en place un système de suivi</w:t>
      </w:r>
      <w:r w:rsidRPr="0063325C">
        <w:rPr>
          <w:rFonts w:eastAsia="Calibri" w:cstheme="minorHAnsi"/>
        </w:rPr>
        <w:t> :</w:t>
      </w:r>
    </w:p>
    <w:p w14:paraId="3AFB73C8" w14:textId="77777777" w:rsidR="0063325C" w:rsidRPr="0063325C" w:rsidRDefault="0063325C" w:rsidP="00A7036C">
      <w:pPr>
        <w:jc w:val="both"/>
        <w:rPr>
          <w:rFonts w:eastAsia="Calibri" w:cstheme="minorHAnsi"/>
        </w:rPr>
      </w:pPr>
      <w:r w:rsidRPr="0063325C">
        <w:rPr>
          <w:rFonts w:eastAsia="Calibri" w:cstheme="minorHAnsi"/>
        </w:rPr>
        <w:t xml:space="preserve">Le suivi est le processus qui permet de mesurer les changements dans les caractéristiques écologiques de toute zone humide pendant une période de temps donné. </w:t>
      </w:r>
    </w:p>
    <w:p w14:paraId="5B9592C0" w14:textId="77777777" w:rsidR="0063325C" w:rsidRPr="0063325C" w:rsidRDefault="0063325C" w:rsidP="00A7036C">
      <w:pPr>
        <w:jc w:val="both"/>
        <w:rPr>
          <w:rFonts w:eastAsia="Calibri" w:cstheme="minorHAnsi"/>
        </w:rPr>
      </w:pPr>
      <w:r w:rsidRPr="0063325C">
        <w:rPr>
          <w:rFonts w:eastAsia="Calibri" w:cstheme="minorHAnsi"/>
        </w:rPr>
        <w:t xml:space="preserve">Les méthodes de suivi peuvent être la simple observation sur le terrain, les techniques d’échantillonnage quantitatif telles que la récolte du matériel végétal et, le suivi des données climatiques (température, pluviométrie, hauteur des inondations). </w:t>
      </w:r>
    </w:p>
    <w:p w14:paraId="142BBA73" w14:textId="77777777" w:rsidR="0063325C" w:rsidRPr="0063325C" w:rsidRDefault="0063325C" w:rsidP="00A7036C">
      <w:pPr>
        <w:jc w:val="both"/>
        <w:rPr>
          <w:rFonts w:eastAsia="Calibri" w:cstheme="minorHAnsi"/>
        </w:rPr>
      </w:pPr>
      <w:r w:rsidRPr="0063325C">
        <w:rPr>
          <w:rFonts w:eastAsia="Calibri" w:cstheme="minorHAnsi"/>
        </w:rPr>
        <w:t>Développer les techniques d’exploitation, de transformation adaptée au maintien des caractéristiques écologiques.</w:t>
      </w:r>
    </w:p>
    <w:p w14:paraId="6C9C9A6D" w14:textId="030FE742" w:rsidR="0063325C" w:rsidRPr="0063325C" w:rsidRDefault="00A7036C" w:rsidP="00A7036C">
      <w:pPr>
        <w:numPr>
          <w:ilvl w:val="0"/>
          <w:numId w:val="316"/>
        </w:numPr>
        <w:jc w:val="both"/>
        <w:rPr>
          <w:rFonts w:eastAsia="Calibri" w:cstheme="minorHAnsi"/>
          <w:b/>
        </w:rPr>
      </w:pPr>
      <w:r w:rsidRPr="0063325C">
        <w:rPr>
          <w:rFonts w:eastAsia="Calibri" w:cstheme="minorHAnsi"/>
          <w:b/>
        </w:rPr>
        <w:t>Dispositions institutionnelles et</w:t>
      </w:r>
      <w:r w:rsidR="0063325C" w:rsidRPr="0063325C">
        <w:rPr>
          <w:rFonts w:eastAsia="Calibri" w:cstheme="minorHAnsi"/>
          <w:b/>
        </w:rPr>
        <w:t xml:space="preserve"> juridiques de mise en œuvre des mesures d’adaptation.</w:t>
      </w:r>
    </w:p>
    <w:p w14:paraId="4EDD40D5" w14:textId="73C80F17" w:rsidR="0063325C" w:rsidRPr="0063325C" w:rsidRDefault="0063325C" w:rsidP="00A7036C">
      <w:pPr>
        <w:jc w:val="both"/>
        <w:rPr>
          <w:rFonts w:eastAsia="Calibri" w:cstheme="minorHAnsi"/>
        </w:rPr>
      </w:pPr>
      <w:r w:rsidRPr="0063325C">
        <w:rPr>
          <w:rFonts w:eastAsia="Calibri" w:cstheme="minorHAnsi"/>
        </w:rPr>
        <w:t xml:space="preserve">Domaine d’application des mesures d’adaptations : ces mesures sont </w:t>
      </w:r>
      <w:r w:rsidR="00A7036C" w:rsidRPr="0063325C">
        <w:rPr>
          <w:rFonts w:eastAsia="Calibri" w:cstheme="minorHAnsi"/>
        </w:rPr>
        <w:t>applicables dans</w:t>
      </w:r>
      <w:r w:rsidRPr="0063325C">
        <w:rPr>
          <w:rFonts w:eastAsia="Calibri" w:cstheme="minorHAnsi"/>
        </w:rPr>
        <w:t xml:space="preserve"> le </w:t>
      </w:r>
      <w:r w:rsidR="00A7036C" w:rsidRPr="0063325C">
        <w:rPr>
          <w:rFonts w:eastAsia="Calibri" w:cstheme="minorHAnsi"/>
        </w:rPr>
        <w:t>domaine public</w:t>
      </w:r>
      <w:r w:rsidRPr="0063325C">
        <w:rPr>
          <w:rFonts w:eastAsia="Calibri" w:cstheme="minorHAnsi"/>
        </w:rPr>
        <w:t xml:space="preserve"> de l’Etat, ce </w:t>
      </w:r>
      <w:r w:rsidR="00A7036C" w:rsidRPr="0063325C">
        <w:rPr>
          <w:rFonts w:eastAsia="Calibri" w:cstheme="minorHAnsi"/>
        </w:rPr>
        <w:t>domaine public</w:t>
      </w:r>
      <w:r w:rsidRPr="0063325C">
        <w:rPr>
          <w:rFonts w:eastAsia="Calibri" w:cstheme="minorHAnsi"/>
        </w:rPr>
        <w:t xml:space="preserve"> comprend le domaine public naturel de </w:t>
      </w:r>
      <w:r w:rsidR="00A7036C" w:rsidRPr="0063325C">
        <w:rPr>
          <w:rFonts w:eastAsia="Calibri" w:cstheme="minorHAnsi"/>
        </w:rPr>
        <w:t>l’Etat et</w:t>
      </w:r>
      <w:r w:rsidRPr="0063325C">
        <w:rPr>
          <w:rFonts w:eastAsia="Calibri" w:cstheme="minorHAnsi"/>
        </w:rPr>
        <w:t xml:space="preserve"> le domaine public artificiel de l’Etat :</w:t>
      </w:r>
    </w:p>
    <w:p w14:paraId="190D0153" w14:textId="5E4071CE" w:rsidR="0063325C" w:rsidRPr="0063325C" w:rsidRDefault="00A7036C" w:rsidP="00A7036C">
      <w:pPr>
        <w:numPr>
          <w:ilvl w:val="0"/>
          <w:numId w:val="320"/>
        </w:numPr>
        <w:jc w:val="both"/>
        <w:rPr>
          <w:rFonts w:eastAsia="Calibri" w:cstheme="minorHAnsi"/>
        </w:rPr>
      </w:pPr>
      <w:r w:rsidRPr="0063325C">
        <w:rPr>
          <w:rFonts w:eastAsia="Calibri" w:cstheme="minorHAnsi"/>
        </w:rPr>
        <w:t>Domaine public</w:t>
      </w:r>
      <w:r w:rsidR="0063325C" w:rsidRPr="0063325C">
        <w:rPr>
          <w:rFonts w:eastAsia="Calibri" w:cstheme="minorHAnsi"/>
        </w:rPr>
        <w:t xml:space="preserve"> naturel de l’Etat : font partie du domaine public </w:t>
      </w:r>
      <w:r w:rsidRPr="0063325C">
        <w:rPr>
          <w:rFonts w:eastAsia="Calibri" w:cstheme="minorHAnsi"/>
        </w:rPr>
        <w:t>hydraulique naturel</w:t>
      </w:r>
      <w:r w:rsidR="0063325C" w:rsidRPr="0063325C">
        <w:rPr>
          <w:rFonts w:eastAsia="Calibri" w:cstheme="minorHAnsi"/>
        </w:rPr>
        <w:t xml:space="preserve"> de l’Etat : les cours d’eau, les lacs, les   étangs. La limite supérieure de ce domaine </w:t>
      </w:r>
      <w:r w:rsidRPr="0063325C">
        <w:rPr>
          <w:rFonts w:eastAsia="Calibri" w:cstheme="minorHAnsi"/>
        </w:rPr>
        <w:t>est la</w:t>
      </w:r>
      <w:r w:rsidR="0063325C" w:rsidRPr="0063325C">
        <w:rPr>
          <w:rFonts w:eastAsia="Calibri" w:cstheme="minorHAnsi"/>
        </w:rPr>
        <w:t xml:space="preserve"> ligne atteinte par les plus hautes </w:t>
      </w:r>
      <w:r w:rsidRPr="0063325C">
        <w:rPr>
          <w:rFonts w:eastAsia="Calibri" w:cstheme="minorHAnsi"/>
        </w:rPr>
        <w:t>eaux avant</w:t>
      </w:r>
      <w:r w:rsidR="0063325C" w:rsidRPr="0063325C">
        <w:rPr>
          <w:rFonts w:eastAsia="Calibri" w:cstheme="minorHAnsi"/>
        </w:rPr>
        <w:t xml:space="preserve"> le débordement.</w:t>
      </w:r>
    </w:p>
    <w:p w14:paraId="22F88DBE" w14:textId="77777777" w:rsidR="0063325C" w:rsidRPr="0063325C" w:rsidRDefault="0063325C" w:rsidP="00A7036C">
      <w:pPr>
        <w:numPr>
          <w:ilvl w:val="0"/>
          <w:numId w:val="320"/>
        </w:numPr>
        <w:jc w:val="both"/>
        <w:rPr>
          <w:rFonts w:eastAsia="Calibri" w:cstheme="minorHAnsi"/>
        </w:rPr>
      </w:pPr>
      <w:r w:rsidRPr="0063325C">
        <w:rPr>
          <w:rFonts w:eastAsia="Calibri" w:cstheme="minorHAnsi"/>
        </w:rPr>
        <w:t>Domaine public hydraulique artificiel de l’Etat, font partie de ce domaine : les aménagements et équipements réalisés par l’Etat  dans la limite des terrains occupés, ces aménagements sont : (i) Les ouvrages exécutés pour faciliter la retenue  ou le stockage des eaux , (ii) Les canaux de navigation et leurs dépendances, (iii) Les ports fluviaux et leurs dépendances (iv) Les ouvrages hydrauliques destinés au captage en vue d’adduction en eau potable et au transport des eaux usées ainsi que leur dépendance</w:t>
      </w:r>
    </w:p>
    <w:p w14:paraId="34627B87" w14:textId="77777777" w:rsidR="0063325C" w:rsidRPr="0063325C" w:rsidRDefault="0063325C" w:rsidP="00A7036C">
      <w:pPr>
        <w:numPr>
          <w:ilvl w:val="0"/>
          <w:numId w:val="320"/>
        </w:numPr>
        <w:jc w:val="both"/>
        <w:rPr>
          <w:rFonts w:eastAsia="Calibri" w:cstheme="minorHAnsi"/>
        </w:rPr>
      </w:pPr>
    </w:p>
    <w:p w14:paraId="4129CB26" w14:textId="695AE3B8" w:rsidR="0063325C" w:rsidRPr="0063325C" w:rsidRDefault="00A7036C" w:rsidP="00A7036C">
      <w:pPr>
        <w:numPr>
          <w:ilvl w:val="1"/>
          <w:numId w:val="336"/>
        </w:numPr>
        <w:jc w:val="both"/>
        <w:rPr>
          <w:rFonts w:eastAsia="Calibri" w:cstheme="minorHAnsi"/>
          <w:b/>
        </w:rPr>
      </w:pPr>
      <w:r w:rsidRPr="0063325C">
        <w:rPr>
          <w:rFonts w:eastAsia="Calibri" w:cstheme="minorHAnsi"/>
          <w:b/>
        </w:rPr>
        <w:t>Procédures d’utilisation</w:t>
      </w:r>
      <w:r w:rsidR="0063325C" w:rsidRPr="0063325C">
        <w:rPr>
          <w:rFonts w:eastAsia="Calibri" w:cstheme="minorHAnsi"/>
          <w:b/>
        </w:rPr>
        <w:t xml:space="preserve"> des eaux continentales pour usage non domestique</w:t>
      </w:r>
    </w:p>
    <w:p w14:paraId="7B635A3A" w14:textId="0382E14B" w:rsidR="0063325C" w:rsidRPr="0063325C" w:rsidRDefault="00A7036C" w:rsidP="00A7036C">
      <w:pPr>
        <w:jc w:val="both"/>
        <w:rPr>
          <w:rFonts w:eastAsia="Calibri" w:cstheme="minorHAnsi"/>
        </w:rPr>
      </w:pPr>
      <w:r w:rsidRPr="0063325C">
        <w:rPr>
          <w:rFonts w:eastAsia="Calibri" w:cstheme="minorHAnsi"/>
        </w:rPr>
        <w:t>Toutes opérations</w:t>
      </w:r>
      <w:r w:rsidR="0063325C" w:rsidRPr="0063325C">
        <w:rPr>
          <w:rFonts w:eastAsia="Calibri" w:cstheme="minorHAnsi"/>
        </w:rPr>
        <w:t xml:space="preserve">, installations, ouvrages, travaux, activités diverses, à réaliser sur le domaine hydraulique naturel de l’Etat à des fins non domestiques doivent être déclarées, </w:t>
      </w:r>
      <w:r w:rsidRPr="0063325C">
        <w:rPr>
          <w:rFonts w:eastAsia="Calibri" w:cstheme="minorHAnsi"/>
        </w:rPr>
        <w:t>autorisées et</w:t>
      </w:r>
      <w:r w:rsidR="0063325C" w:rsidRPr="0063325C">
        <w:rPr>
          <w:rFonts w:eastAsia="Calibri" w:cstheme="minorHAnsi"/>
        </w:rPr>
        <w:t xml:space="preserve"> font l’objet d’attribution, un contrat de concession de droit d’usage </w:t>
      </w:r>
      <w:r w:rsidRPr="0063325C">
        <w:rPr>
          <w:rFonts w:eastAsia="Calibri" w:cstheme="minorHAnsi"/>
        </w:rPr>
        <w:t>est signé</w:t>
      </w:r>
      <w:r w:rsidR="0063325C" w:rsidRPr="0063325C">
        <w:rPr>
          <w:rFonts w:eastAsia="Calibri" w:cstheme="minorHAnsi"/>
        </w:rPr>
        <w:t xml:space="preserve"> avec l’autorité compétente. </w:t>
      </w:r>
    </w:p>
    <w:p w14:paraId="2D8952B7" w14:textId="4054CFA6" w:rsidR="0063325C" w:rsidRPr="0063325C" w:rsidRDefault="0063325C" w:rsidP="00A7036C">
      <w:pPr>
        <w:jc w:val="both"/>
        <w:rPr>
          <w:rFonts w:eastAsia="Calibri" w:cstheme="minorHAnsi"/>
        </w:rPr>
      </w:pPr>
      <w:r w:rsidRPr="0063325C">
        <w:rPr>
          <w:rFonts w:eastAsia="Calibri" w:cstheme="minorHAnsi"/>
        </w:rPr>
        <w:t xml:space="preserve">Les activités de pêche </w:t>
      </w:r>
      <w:r w:rsidR="00A7036C" w:rsidRPr="0063325C">
        <w:rPr>
          <w:rFonts w:eastAsia="Calibri" w:cstheme="minorHAnsi"/>
        </w:rPr>
        <w:t>continentale et</w:t>
      </w:r>
      <w:r w:rsidRPr="0063325C">
        <w:rPr>
          <w:rFonts w:eastAsia="Calibri" w:cstheme="minorHAnsi"/>
        </w:rPr>
        <w:t xml:space="preserve"> l’aquaculture sont </w:t>
      </w:r>
      <w:r w:rsidR="00A7036C" w:rsidRPr="0063325C">
        <w:rPr>
          <w:rFonts w:eastAsia="Calibri" w:cstheme="minorHAnsi"/>
        </w:rPr>
        <w:t>pratiquées dans</w:t>
      </w:r>
      <w:r w:rsidRPr="0063325C">
        <w:rPr>
          <w:rFonts w:eastAsia="Calibri" w:cstheme="minorHAnsi"/>
        </w:rPr>
        <w:t xml:space="preserve"> le domaine public naturel de l’Etat, et dans les eaux relevant de l’organisation de la mise en valeur du fleuve Sénégal. </w:t>
      </w:r>
    </w:p>
    <w:p w14:paraId="083702D6" w14:textId="77777777" w:rsidR="0063325C" w:rsidRPr="0063325C" w:rsidRDefault="0063325C" w:rsidP="00A7036C">
      <w:pPr>
        <w:numPr>
          <w:ilvl w:val="1"/>
          <w:numId w:val="336"/>
        </w:numPr>
        <w:jc w:val="both"/>
        <w:rPr>
          <w:rFonts w:eastAsia="Calibri" w:cstheme="minorHAnsi"/>
          <w:b/>
        </w:rPr>
      </w:pPr>
      <w:r w:rsidRPr="0063325C">
        <w:rPr>
          <w:rFonts w:eastAsia="Calibri" w:cstheme="minorHAnsi"/>
          <w:b/>
        </w:rPr>
        <w:t xml:space="preserve">Cadre juridique régissant les activités de la pêche continentale et la pisciculture  </w:t>
      </w:r>
    </w:p>
    <w:p w14:paraId="417482BD" w14:textId="7549DCC9" w:rsidR="0063325C" w:rsidRPr="0063325C" w:rsidRDefault="0063325C" w:rsidP="00A7036C">
      <w:pPr>
        <w:jc w:val="both"/>
        <w:rPr>
          <w:rFonts w:eastAsia="Calibri" w:cstheme="minorHAnsi"/>
        </w:rPr>
      </w:pPr>
      <w:r w:rsidRPr="0063325C">
        <w:rPr>
          <w:rFonts w:eastAsia="Calibri" w:cstheme="minorHAnsi"/>
        </w:rPr>
        <w:t xml:space="preserve">La </w:t>
      </w:r>
      <w:r w:rsidR="00A7036C" w:rsidRPr="0063325C">
        <w:rPr>
          <w:rFonts w:eastAsia="Calibri" w:cstheme="minorHAnsi"/>
        </w:rPr>
        <w:t>loi portant</w:t>
      </w:r>
      <w:r w:rsidRPr="0063325C">
        <w:rPr>
          <w:rFonts w:eastAsia="Calibri" w:cstheme="minorHAnsi"/>
        </w:rPr>
        <w:t xml:space="preserve"> code de la pêche continentale et l’aquaculture </w:t>
      </w:r>
      <w:r w:rsidR="00A7036C" w:rsidRPr="0063325C">
        <w:rPr>
          <w:rFonts w:eastAsia="Calibri" w:cstheme="minorHAnsi"/>
        </w:rPr>
        <w:t>définit les</w:t>
      </w:r>
      <w:r w:rsidRPr="0063325C">
        <w:rPr>
          <w:rFonts w:eastAsia="Calibri" w:cstheme="minorHAnsi"/>
        </w:rPr>
        <w:t xml:space="preserve"> règles applicables à la pêche et à </w:t>
      </w:r>
      <w:r w:rsidR="00A7036C" w:rsidRPr="0063325C">
        <w:rPr>
          <w:rFonts w:eastAsia="Calibri" w:cstheme="minorHAnsi"/>
        </w:rPr>
        <w:t>l’aquaculture dans</w:t>
      </w:r>
      <w:r w:rsidRPr="0063325C">
        <w:rPr>
          <w:rFonts w:eastAsia="Calibri" w:cstheme="minorHAnsi"/>
        </w:rPr>
        <w:t xml:space="preserve"> les eaux continentales de la </w:t>
      </w:r>
      <w:r w:rsidR="00A7036C" w:rsidRPr="0063325C">
        <w:rPr>
          <w:rFonts w:eastAsia="Calibri" w:cstheme="minorHAnsi"/>
        </w:rPr>
        <w:t>RIM, notamment</w:t>
      </w:r>
      <w:r w:rsidRPr="0063325C">
        <w:rPr>
          <w:rFonts w:eastAsia="Calibri" w:cstheme="minorHAnsi"/>
        </w:rPr>
        <w:t> :</w:t>
      </w:r>
    </w:p>
    <w:p w14:paraId="2DC872F0" w14:textId="77777777" w:rsidR="0063325C" w:rsidRPr="0063325C" w:rsidRDefault="0063325C" w:rsidP="00A7036C">
      <w:pPr>
        <w:numPr>
          <w:ilvl w:val="0"/>
          <w:numId w:val="321"/>
        </w:numPr>
        <w:jc w:val="both"/>
        <w:rPr>
          <w:rFonts w:eastAsia="Calibri" w:cstheme="minorHAnsi"/>
        </w:rPr>
      </w:pPr>
      <w:r w:rsidRPr="0063325C">
        <w:rPr>
          <w:rFonts w:eastAsia="Calibri" w:cstheme="minorHAnsi"/>
        </w:rPr>
        <w:t>Les conditions d’accès aux ressources par les populations non riveraines du plan d’eau, le rôle des collectivités territoriales dans la gestion des plans d’eau.</w:t>
      </w:r>
    </w:p>
    <w:p w14:paraId="7DEE38B3" w14:textId="2DA80142" w:rsidR="0063325C" w:rsidRPr="0063325C" w:rsidRDefault="0063325C" w:rsidP="00A7036C">
      <w:pPr>
        <w:numPr>
          <w:ilvl w:val="0"/>
          <w:numId w:val="321"/>
        </w:numPr>
        <w:jc w:val="both"/>
        <w:rPr>
          <w:rFonts w:eastAsia="Calibri" w:cstheme="minorHAnsi"/>
        </w:rPr>
      </w:pPr>
      <w:r w:rsidRPr="0063325C">
        <w:rPr>
          <w:rFonts w:eastAsia="Calibri" w:cstheme="minorHAnsi"/>
        </w:rPr>
        <w:t xml:space="preserve">Les différents </w:t>
      </w:r>
      <w:r w:rsidR="00A7036C" w:rsidRPr="0063325C">
        <w:rPr>
          <w:rFonts w:eastAsia="Calibri" w:cstheme="minorHAnsi"/>
        </w:rPr>
        <w:t>usages et</w:t>
      </w:r>
      <w:r w:rsidRPr="0063325C">
        <w:rPr>
          <w:rFonts w:eastAsia="Calibri" w:cstheme="minorHAnsi"/>
        </w:rPr>
        <w:t xml:space="preserve"> les aménagements piscicoles, </w:t>
      </w:r>
    </w:p>
    <w:p w14:paraId="3702313A" w14:textId="77777777" w:rsidR="0063325C" w:rsidRPr="0063325C" w:rsidRDefault="0063325C" w:rsidP="0063325C">
      <w:pPr>
        <w:numPr>
          <w:ilvl w:val="0"/>
          <w:numId w:val="321"/>
        </w:numPr>
        <w:rPr>
          <w:rFonts w:eastAsia="Calibri" w:cstheme="minorHAnsi"/>
        </w:rPr>
      </w:pPr>
      <w:r w:rsidRPr="0063325C">
        <w:rPr>
          <w:rFonts w:eastAsia="Calibri" w:cstheme="minorHAnsi"/>
        </w:rPr>
        <w:t xml:space="preserve">La réglementation des pêches, les techniques et les pratiques de pêche, </w:t>
      </w:r>
    </w:p>
    <w:p w14:paraId="6A273DD5" w14:textId="77777777" w:rsidR="0063325C" w:rsidRPr="0063325C" w:rsidRDefault="0063325C" w:rsidP="0063325C">
      <w:pPr>
        <w:numPr>
          <w:ilvl w:val="0"/>
          <w:numId w:val="321"/>
        </w:numPr>
        <w:rPr>
          <w:rFonts w:eastAsia="Calibri" w:cstheme="minorHAnsi"/>
        </w:rPr>
      </w:pPr>
      <w:r w:rsidRPr="0063325C">
        <w:rPr>
          <w:rFonts w:eastAsia="Calibri" w:cstheme="minorHAnsi"/>
        </w:rPr>
        <w:t>Les mesures de préservation et de protection des zones humides.</w:t>
      </w:r>
    </w:p>
    <w:p w14:paraId="7E7C0451" w14:textId="78428BF8" w:rsidR="0063325C" w:rsidRPr="0063325C" w:rsidRDefault="0063325C" w:rsidP="0063325C">
      <w:pPr>
        <w:rPr>
          <w:rFonts w:eastAsia="Calibri" w:cstheme="minorHAnsi"/>
        </w:rPr>
      </w:pPr>
      <w:r w:rsidRPr="0063325C">
        <w:rPr>
          <w:rFonts w:eastAsia="Calibri" w:cstheme="minorHAnsi"/>
        </w:rPr>
        <w:t xml:space="preserve">Cette loi n’est pas applicable aux eaux des étangs, des canaux et fossés existants ou creusés dans les propriétés privées dans lesquelles les poissons qui vivent en eau douce ne peuvent pénétrer librement. Elle s’applique dans l’Ensemble du bassin hydrographique du fleuve Sénégal y compris les affluents, les défluents, et les dépressions </w:t>
      </w:r>
      <w:r w:rsidR="00A7036C" w:rsidRPr="0063325C">
        <w:rPr>
          <w:rFonts w:eastAsia="Calibri" w:cstheme="minorHAnsi"/>
        </w:rPr>
        <w:t>associées. (Voir</w:t>
      </w:r>
      <w:r w:rsidRPr="0063325C">
        <w:rPr>
          <w:rFonts w:eastAsia="Calibri" w:cstheme="minorHAnsi"/>
        </w:rPr>
        <w:t xml:space="preserve"> Charte des eaux du fleuve Sénégal), et </w:t>
      </w:r>
      <w:r w:rsidR="00A7036C" w:rsidRPr="0063325C">
        <w:rPr>
          <w:rFonts w:eastAsia="Calibri" w:cstheme="minorHAnsi"/>
        </w:rPr>
        <w:t>les zones</w:t>
      </w:r>
      <w:r w:rsidRPr="0063325C">
        <w:rPr>
          <w:rFonts w:eastAsia="Calibri" w:cstheme="minorHAnsi"/>
        </w:rPr>
        <w:t xml:space="preserve"> </w:t>
      </w:r>
      <w:r w:rsidR="00A7036C" w:rsidRPr="0063325C">
        <w:rPr>
          <w:rFonts w:eastAsia="Calibri" w:cstheme="minorHAnsi"/>
        </w:rPr>
        <w:t>humides de</w:t>
      </w:r>
      <w:r w:rsidRPr="0063325C">
        <w:rPr>
          <w:rFonts w:eastAsia="Calibri" w:cstheme="minorHAnsi"/>
        </w:rPr>
        <w:t xml:space="preserve"> </w:t>
      </w:r>
      <w:r w:rsidR="00A7036C" w:rsidRPr="0063325C">
        <w:rPr>
          <w:rFonts w:eastAsia="Calibri" w:cstheme="minorHAnsi"/>
        </w:rPr>
        <w:t>l’Est et</w:t>
      </w:r>
      <w:r w:rsidRPr="0063325C">
        <w:rPr>
          <w:rFonts w:eastAsia="Calibri" w:cstheme="minorHAnsi"/>
        </w:rPr>
        <w:t xml:space="preserve"> du Sud </w:t>
      </w:r>
      <w:r w:rsidR="00A7036C" w:rsidRPr="0063325C">
        <w:rPr>
          <w:rFonts w:eastAsia="Calibri" w:cstheme="minorHAnsi"/>
        </w:rPr>
        <w:t>Est.</w:t>
      </w:r>
    </w:p>
    <w:p w14:paraId="76BEA5DD" w14:textId="49B6F37B" w:rsidR="0063325C" w:rsidRPr="0063325C" w:rsidRDefault="0063325C" w:rsidP="00143794">
      <w:pPr>
        <w:jc w:val="both"/>
        <w:rPr>
          <w:rFonts w:eastAsia="Calibri" w:cstheme="minorHAnsi"/>
        </w:rPr>
      </w:pPr>
      <w:r w:rsidRPr="0063325C">
        <w:rPr>
          <w:rFonts w:eastAsia="Calibri" w:cstheme="minorHAnsi"/>
        </w:rPr>
        <w:t xml:space="preserve">Les zones humides continentales représentent des opportunités importantes pour le développement durable des </w:t>
      </w:r>
      <w:r w:rsidR="00A7036C" w:rsidRPr="0063325C">
        <w:rPr>
          <w:rFonts w:eastAsia="Calibri" w:cstheme="minorHAnsi"/>
        </w:rPr>
        <w:t>pêcheries, elles sont</w:t>
      </w:r>
      <w:r w:rsidRPr="0063325C">
        <w:rPr>
          <w:rFonts w:eastAsia="Calibri" w:cstheme="minorHAnsi"/>
        </w:rPr>
        <w:t xml:space="preserve"> </w:t>
      </w:r>
      <w:r w:rsidR="00A7036C" w:rsidRPr="0063325C">
        <w:rPr>
          <w:rFonts w:eastAsia="Calibri" w:cstheme="minorHAnsi"/>
        </w:rPr>
        <w:t>régies par</w:t>
      </w:r>
      <w:r w:rsidRPr="0063325C">
        <w:rPr>
          <w:rFonts w:eastAsia="Calibri" w:cstheme="minorHAnsi"/>
        </w:rPr>
        <w:t xml:space="preserve"> le code de l’environnement, le </w:t>
      </w:r>
      <w:r w:rsidR="00A7036C" w:rsidRPr="0063325C">
        <w:rPr>
          <w:rFonts w:eastAsia="Calibri" w:cstheme="minorHAnsi"/>
        </w:rPr>
        <w:t>code de l’eau</w:t>
      </w:r>
      <w:r w:rsidRPr="0063325C">
        <w:rPr>
          <w:rFonts w:eastAsia="Calibri" w:cstheme="minorHAnsi"/>
        </w:rPr>
        <w:t xml:space="preserve"> et le code de la pêche continentale. Le Gouvernement mauritanien, partie prenante à la convention de </w:t>
      </w:r>
      <w:r w:rsidR="00A7036C" w:rsidRPr="0063325C">
        <w:rPr>
          <w:rFonts w:eastAsia="Calibri" w:cstheme="minorHAnsi"/>
        </w:rPr>
        <w:t xml:space="preserve">RAMSAR, a adopté </w:t>
      </w:r>
      <w:r w:rsidR="00A7036C" w:rsidRPr="0063325C">
        <w:rPr>
          <w:rFonts w:eastAsia="Calibri" w:cstheme="minorHAnsi"/>
          <w:bCs/>
        </w:rPr>
        <w:t>une</w:t>
      </w:r>
      <w:r w:rsidRPr="0063325C">
        <w:rPr>
          <w:rFonts w:eastAsia="Calibri" w:cstheme="minorHAnsi"/>
          <w:bCs/>
        </w:rPr>
        <w:t xml:space="preserve"> stratégie Nationale de conservation des zones humides </w:t>
      </w:r>
      <w:r w:rsidRPr="0063325C">
        <w:rPr>
          <w:rFonts w:eastAsia="Calibri" w:cstheme="minorHAnsi"/>
        </w:rPr>
        <w:t xml:space="preserve">qui </w:t>
      </w:r>
      <w:r w:rsidR="00A7036C" w:rsidRPr="0063325C">
        <w:rPr>
          <w:rFonts w:eastAsia="Calibri" w:cstheme="minorHAnsi"/>
        </w:rPr>
        <w:t>s’inscrit dans la</w:t>
      </w:r>
      <w:r w:rsidRPr="0063325C">
        <w:rPr>
          <w:rFonts w:eastAsia="Calibri" w:cstheme="minorHAnsi"/>
        </w:rPr>
        <w:t xml:space="preserve"> loi d’orientation SCAPP « la stratégie de croissance accélérée et de prospérité partagée », les objectifs de cette loi   visent à :  </w:t>
      </w:r>
    </w:p>
    <w:p w14:paraId="0AEDF4AB" w14:textId="0AA79ED0" w:rsidR="0063325C" w:rsidRPr="0063325C" w:rsidRDefault="0063325C" w:rsidP="00143794">
      <w:pPr>
        <w:numPr>
          <w:ilvl w:val="0"/>
          <w:numId w:val="322"/>
        </w:numPr>
        <w:jc w:val="both"/>
        <w:rPr>
          <w:rFonts w:eastAsia="Calibri" w:cstheme="minorHAnsi"/>
        </w:rPr>
      </w:pPr>
      <w:r w:rsidRPr="0063325C">
        <w:rPr>
          <w:rFonts w:eastAsia="Calibri" w:cstheme="minorHAnsi"/>
        </w:rPr>
        <w:t xml:space="preserve">Introduire, les </w:t>
      </w:r>
      <w:r w:rsidR="00A7036C" w:rsidRPr="0063325C">
        <w:rPr>
          <w:rFonts w:eastAsia="Calibri" w:cstheme="minorHAnsi"/>
        </w:rPr>
        <w:t>plans de</w:t>
      </w:r>
      <w:r w:rsidRPr="0063325C">
        <w:rPr>
          <w:rFonts w:eastAsia="Calibri" w:cstheme="minorHAnsi"/>
        </w:rPr>
        <w:t xml:space="preserve"> gestion intégrés des zones humides comme outil de gestion des ressources naturelles.</w:t>
      </w:r>
    </w:p>
    <w:p w14:paraId="65CFEE74" w14:textId="27D5A295" w:rsidR="0063325C" w:rsidRPr="0063325C" w:rsidRDefault="00A7036C" w:rsidP="00143794">
      <w:pPr>
        <w:numPr>
          <w:ilvl w:val="0"/>
          <w:numId w:val="322"/>
        </w:numPr>
        <w:jc w:val="both"/>
        <w:rPr>
          <w:rFonts w:eastAsia="Calibri" w:cstheme="minorHAnsi"/>
        </w:rPr>
      </w:pPr>
      <w:r w:rsidRPr="0063325C">
        <w:rPr>
          <w:rFonts w:eastAsia="Calibri" w:cstheme="minorHAnsi"/>
        </w:rPr>
        <w:t>Mettre en</w:t>
      </w:r>
      <w:r w:rsidR="0063325C" w:rsidRPr="0063325C">
        <w:rPr>
          <w:rFonts w:eastAsia="Calibri" w:cstheme="minorHAnsi"/>
        </w:rPr>
        <w:t xml:space="preserve"> </w:t>
      </w:r>
      <w:r w:rsidRPr="0063325C">
        <w:rPr>
          <w:rFonts w:eastAsia="Calibri" w:cstheme="minorHAnsi"/>
        </w:rPr>
        <w:t>place un</w:t>
      </w:r>
      <w:r w:rsidR="0063325C" w:rsidRPr="0063325C">
        <w:rPr>
          <w:rFonts w:eastAsia="Calibri" w:cstheme="minorHAnsi"/>
        </w:rPr>
        <w:t xml:space="preserve"> cadre institutionnel et juridique pour la gestion durable de ces zones humides. Les zones humides sont gérées par le Ministère de l’environnement pour la partie relative à la conservation des ressources naturelles forestières, </w:t>
      </w:r>
      <w:r w:rsidR="00143794" w:rsidRPr="0063325C">
        <w:rPr>
          <w:rFonts w:eastAsia="Calibri" w:cstheme="minorHAnsi"/>
        </w:rPr>
        <w:t>et par</w:t>
      </w:r>
      <w:r w:rsidR="0063325C" w:rsidRPr="0063325C">
        <w:rPr>
          <w:rFonts w:eastAsia="Calibri" w:cstheme="minorHAnsi"/>
        </w:rPr>
        <w:t xml:space="preserve"> le Ministère de la pêche et de l’économie maritime pour la gestion des pêcheries continentales et la pisciculture.</w:t>
      </w:r>
    </w:p>
    <w:p w14:paraId="74FBCA07" w14:textId="0C738CFA" w:rsidR="0063325C" w:rsidRPr="0063325C" w:rsidRDefault="0063325C" w:rsidP="00143794">
      <w:pPr>
        <w:jc w:val="both"/>
        <w:rPr>
          <w:rFonts w:eastAsia="Calibri" w:cstheme="minorHAnsi"/>
        </w:rPr>
      </w:pPr>
      <w:r w:rsidRPr="0063325C">
        <w:rPr>
          <w:rFonts w:eastAsia="Calibri" w:cstheme="minorHAnsi"/>
        </w:rPr>
        <w:t xml:space="preserve">Au niveau institutionnel le Ministère de l’Environnement a mis en place des services déconcentrés pour la gestion des ressources naturelles non ligneux, le Ministère des </w:t>
      </w:r>
      <w:r w:rsidR="00143794" w:rsidRPr="0063325C">
        <w:rPr>
          <w:rFonts w:eastAsia="Calibri" w:cstheme="minorHAnsi"/>
        </w:rPr>
        <w:t>pêches a</w:t>
      </w:r>
      <w:r w:rsidRPr="0063325C">
        <w:rPr>
          <w:rFonts w:eastAsia="Calibri" w:cstheme="minorHAnsi"/>
        </w:rPr>
        <w:t xml:space="preserve"> créé une Agence pour le Développement de la pêche continentale et la pisciculture </w:t>
      </w:r>
      <w:r w:rsidR="00143794" w:rsidRPr="0063325C">
        <w:rPr>
          <w:rFonts w:eastAsia="Calibri" w:cstheme="minorHAnsi"/>
        </w:rPr>
        <w:t>les Directions</w:t>
      </w:r>
      <w:r w:rsidRPr="0063325C">
        <w:rPr>
          <w:rFonts w:eastAsia="Calibri" w:cstheme="minorHAnsi"/>
        </w:rPr>
        <w:t xml:space="preserve"> régionales de l’environnement.</w:t>
      </w:r>
    </w:p>
    <w:p w14:paraId="7A827257" w14:textId="77777777" w:rsidR="0063325C" w:rsidRPr="0063325C" w:rsidRDefault="0063325C" w:rsidP="0063325C">
      <w:pPr>
        <w:numPr>
          <w:ilvl w:val="0"/>
          <w:numId w:val="336"/>
        </w:numPr>
        <w:rPr>
          <w:rFonts w:eastAsia="Calibri" w:cstheme="minorHAnsi"/>
          <w:b/>
        </w:rPr>
      </w:pPr>
      <w:r w:rsidRPr="0063325C">
        <w:rPr>
          <w:rFonts w:eastAsia="Calibri" w:cstheme="minorHAnsi"/>
          <w:b/>
        </w:rPr>
        <w:t>Etat des connaissances de la zone littorale et des activités de pêche.</w:t>
      </w:r>
    </w:p>
    <w:p w14:paraId="796960EC" w14:textId="77777777" w:rsidR="0063325C" w:rsidRPr="0063325C" w:rsidRDefault="0063325C" w:rsidP="0063325C">
      <w:pPr>
        <w:numPr>
          <w:ilvl w:val="1"/>
          <w:numId w:val="336"/>
        </w:numPr>
        <w:rPr>
          <w:rFonts w:eastAsia="Calibri" w:cstheme="minorHAnsi"/>
          <w:b/>
        </w:rPr>
      </w:pPr>
      <w:r w:rsidRPr="0063325C">
        <w:rPr>
          <w:rFonts w:eastAsia="Calibri" w:cstheme="minorHAnsi"/>
          <w:b/>
        </w:rPr>
        <w:t>Caractéristiques de la zone littorale Atlantique</w:t>
      </w:r>
    </w:p>
    <w:p w14:paraId="5AB83E89" w14:textId="1E635A55" w:rsidR="0063325C" w:rsidRPr="0063325C" w:rsidRDefault="0063325C" w:rsidP="00143794">
      <w:pPr>
        <w:jc w:val="both"/>
        <w:rPr>
          <w:rFonts w:eastAsia="Calibri" w:cstheme="minorHAnsi"/>
        </w:rPr>
      </w:pPr>
      <w:r w:rsidRPr="0063325C">
        <w:rPr>
          <w:rFonts w:eastAsia="Calibri" w:cstheme="minorHAnsi"/>
        </w:rPr>
        <w:t xml:space="preserve">La zone littorale Atlantique s’étend du Cap blanc à </w:t>
      </w:r>
      <w:r w:rsidR="00143794" w:rsidRPr="0063325C">
        <w:rPr>
          <w:rFonts w:eastAsia="Calibri" w:cstheme="minorHAnsi"/>
        </w:rPr>
        <w:t>N’diago à</w:t>
      </w:r>
      <w:r w:rsidRPr="0063325C">
        <w:rPr>
          <w:rFonts w:eastAsia="Calibri" w:cstheme="minorHAnsi"/>
        </w:rPr>
        <w:t xml:space="preserve"> la </w:t>
      </w:r>
      <w:r w:rsidR="00143794" w:rsidRPr="0063325C">
        <w:rPr>
          <w:rFonts w:eastAsia="Calibri" w:cstheme="minorHAnsi"/>
        </w:rPr>
        <w:t>frontière sénégalo</w:t>
      </w:r>
      <w:r w:rsidRPr="0063325C">
        <w:rPr>
          <w:rFonts w:eastAsia="Calibri" w:cstheme="minorHAnsi"/>
        </w:rPr>
        <w:t xml:space="preserve">-mauritanienne.  Cette zone comprend une partie littorale, la plage, le cordon dunaire du </w:t>
      </w:r>
      <w:r w:rsidR="00143794" w:rsidRPr="0063325C">
        <w:rPr>
          <w:rFonts w:eastAsia="Calibri" w:cstheme="minorHAnsi"/>
        </w:rPr>
        <w:t>littoral ; et</w:t>
      </w:r>
      <w:r w:rsidRPr="0063325C">
        <w:rPr>
          <w:rFonts w:eastAsia="Calibri" w:cstheme="minorHAnsi"/>
        </w:rPr>
        <w:t xml:space="preserve"> en arrière du cordon </w:t>
      </w:r>
      <w:r w:rsidR="00143794" w:rsidRPr="0063325C">
        <w:rPr>
          <w:rFonts w:eastAsia="Calibri" w:cstheme="minorHAnsi"/>
        </w:rPr>
        <w:t>dunaire ; des</w:t>
      </w:r>
      <w:r w:rsidRPr="0063325C">
        <w:rPr>
          <w:rFonts w:eastAsia="Calibri" w:cstheme="minorHAnsi"/>
        </w:rPr>
        <w:t xml:space="preserve"> sebkhas et des </w:t>
      </w:r>
      <w:r w:rsidR="00143794" w:rsidRPr="0063325C">
        <w:rPr>
          <w:rFonts w:eastAsia="Calibri" w:cstheme="minorHAnsi"/>
        </w:rPr>
        <w:t>lagunes ;</w:t>
      </w:r>
      <w:r w:rsidRPr="0063325C">
        <w:rPr>
          <w:rFonts w:eastAsia="Calibri" w:cstheme="minorHAnsi"/>
        </w:rPr>
        <w:t xml:space="preserve"> les dunes rouges </w:t>
      </w:r>
      <w:r w:rsidR="00143794" w:rsidRPr="0063325C">
        <w:rPr>
          <w:rFonts w:eastAsia="Calibri" w:cstheme="minorHAnsi"/>
        </w:rPr>
        <w:t>continentales ;</w:t>
      </w:r>
      <w:r w:rsidRPr="0063325C">
        <w:rPr>
          <w:rFonts w:eastAsia="Calibri" w:cstheme="minorHAnsi"/>
        </w:rPr>
        <w:t xml:space="preserve"> la basse vallée du fleuve Sénégal et ses anciennes embouchures.</w:t>
      </w:r>
    </w:p>
    <w:p w14:paraId="6943F0E6" w14:textId="77777777" w:rsidR="0063325C" w:rsidRPr="0063325C" w:rsidRDefault="0063325C" w:rsidP="00143794">
      <w:pPr>
        <w:jc w:val="both"/>
        <w:rPr>
          <w:rFonts w:eastAsia="Calibri" w:cstheme="minorHAnsi"/>
        </w:rPr>
      </w:pPr>
      <w:r w:rsidRPr="0063325C">
        <w:rPr>
          <w:rFonts w:eastAsia="Calibri" w:cstheme="minorHAnsi"/>
        </w:rPr>
        <w:t>Cette zone est divisée en plusieurs secteurs qui correspondent à des zones d’installations des villages, campement de pêche et d’unité de transformation des produits de la pêche.</w:t>
      </w:r>
    </w:p>
    <w:p w14:paraId="6E7D8D4E" w14:textId="1A0EF952" w:rsidR="0063325C" w:rsidRPr="0063325C" w:rsidRDefault="0063325C" w:rsidP="00143794">
      <w:pPr>
        <w:numPr>
          <w:ilvl w:val="2"/>
          <w:numId w:val="316"/>
        </w:numPr>
        <w:ind w:left="142"/>
        <w:jc w:val="both"/>
        <w:rPr>
          <w:rFonts w:eastAsia="Calibri" w:cstheme="minorHAnsi"/>
        </w:rPr>
      </w:pPr>
      <w:r w:rsidRPr="0063325C">
        <w:rPr>
          <w:rFonts w:eastAsia="Calibri" w:cstheme="minorHAnsi"/>
          <w:b/>
          <w:bCs/>
        </w:rPr>
        <w:t>Le Secteur situé au Nord de Nouakchott</w:t>
      </w:r>
      <w:r w:rsidRPr="0063325C">
        <w:rPr>
          <w:rFonts w:eastAsia="Calibri" w:cstheme="minorHAnsi"/>
        </w:rPr>
        <w:t xml:space="preserve">, ce secteur est caractérisé par un faible cordon dunaire et une importante dépression (la sebkha) dans ce secteur les principales activités sont : la pêche traditionnelle du mulet et des courbines ; l’élevage des camelins. Les villages imraguens de Mamghar, M’haijratt, Tiwilitt, </w:t>
      </w:r>
      <w:r w:rsidR="00143794" w:rsidRPr="0063325C">
        <w:rPr>
          <w:rFonts w:eastAsia="Calibri" w:cstheme="minorHAnsi"/>
        </w:rPr>
        <w:t>Lemcid,</w:t>
      </w:r>
      <w:r w:rsidRPr="0063325C">
        <w:rPr>
          <w:rFonts w:eastAsia="Calibri" w:cstheme="minorHAnsi"/>
        </w:rPr>
        <w:t xml:space="preserve"> Blawakh, et les campements de pêche de J’</w:t>
      </w:r>
      <w:r w:rsidR="00143794" w:rsidRPr="0063325C">
        <w:rPr>
          <w:rFonts w:eastAsia="Calibri" w:cstheme="minorHAnsi"/>
        </w:rPr>
        <w:t>récif</w:t>
      </w:r>
      <w:r w:rsidRPr="0063325C">
        <w:rPr>
          <w:rFonts w:eastAsia="Calibri" w:cstheme="minorHAnsi"/>
        </w:rPr>
        <w:t>, Nakhaila, Tine sont situés dans cette zone.</w:t>
      </w:r>
    </w:p>
    <w:p w14:paraId="61A2DCCC" w14:textId="77777777" w:rsidR="0063325C" w:rsidRPr="0063325C" w:rsidRDefault="0063325C" w:rsidP="00143794">
      <w:pPr>
        <w:numPr>
          <w:ilvl w:val="2"/>
          <w:numId w:val="316"/>
        </w:numPr>
        <w:ind w:left="142"/>
        <w:jc w:val="both"/>
        <w:rPr>
          <w:rFonts w:eastAsia="Calibri" w:cstheme="minorHAnsi"/>
        </w:rPr>
      </w:pPr>
      <w:r w:rsidRPr="0063325C">
        <w:rPr>
          <w:rFonts w:eastAsia="Calibri" w:cstheme="minorHAnsi"/>
          <w:b/>
          <w:bCs/>
        </w:rPr>
        <w:t>Le secteur du District de Nouakchott</w:t>
      </w:r>
      <w:r w:rsidRPr="0063325C">
        <w:rPr>
          <w:rFonts w:eastAsia="Calibri" w:cstheme="minorHAnsi"/>
        </w:rPr>
        <w:t xml:space="preserve">, cette zone à forte densité humaine, est caractérisée par un cordon dunaire étroit une vaste sebkha, dans cette zone est pratiquée l’élevage, le maraîchage, la pêche artisanale, de nombreuses unités de traitements des produits de la pêche sont installées à Nouakchott. </w:t>
      </w:r>
    </w:p>
    <w:p w14:paraId="3FFD7ADE" w14:textId="76E4631E" w:rsidR="0063325C" w:rsidRPr="0063325C" w:rsidRDefault="0063325C" w:rsidP="00143794">
      <w:pPr>
        <w:numPr>
          <w:ilvl w:val="2"/>
          <w:numId w:val="316"/>
        </w:numPr>
        <w:ind w:left="142"/>
        <w:jc w:val="both"/>
        <w:rPr>
          <w:rFonts w:eastAsia="Calibri" w:cstheme="minorHAnsi"/>
        </w:rPr>
      </w:pPr>
      <w:r w:rsidRPr="0063325C">
        <w:rPr>
          <w:rFonts w:eastAsia="Calibri" w:cstheme="minorHAnsi"/>
          <w:b/>
          <w:bCs/>
        </w:rPr>
        <w:t>Le secteur compris entre le PK 28 et Chatt Boul</w:t>
      </w:r>
      <w:r w:rsidRPr="0063325C">
        <w:rPr>
          <w:rFonts w:eastAsia="Calibri" w:cstheme="minorHAnsi"/>
        </w:rPr>
        <w:t xml:space="preserve">.  Caractérisée par un étroit cordon dunaire, une importante sebkha qui s’étend sur une largeur de plus de 30 km </w:t>
      </w:r>
      <w:r w:rsidR="00143794" w:rsidRPr="0063325C">
        <w:rPr>
          <w:rFonts w:eastAsia="Calibri" w:cstheme="minorHAnsi"/>
        </w:rPr>
        <w:t>à certains</w:t>
      </w:r>
      <w:r w:rsidRPr="0063325C">
        <w:rPr>
          <w:rFonts w:eastAsia="Calibri" w:cstheme="minorHAnsi"/>
        </w:rPr>
        <w:t xml:space="preserve"> endroits, cette zone est limitée à l’EST par les dunes rouges du Trarza. L’élevage, des bovins, des caprins, des </w:t>
      </w:r>
      <w:r w:rsidR="00143794" w:rsidRPr="0063325C">
        <w:rPr>
          <w:rFonts w:eastAsia="Calibri" w:cstheme="minorHAnsi"/>
        </w:rPr>
        <w:t>camelins, le</w:t>
      </w:r>
      <w:r w:rsidRPr="0063325C">
        <w:rPr>
          <w:rFonts w:eastAsia="Calibri" w:cstheme="minorHAnsi"/>
        </w:rPr>
        <w:t xml:space="preserve"> maraîchage sont les principales activités dans cette zone. Il n’existe dans cette Zone aucun village de pêcheurs, dans cette zone se trouvent : l’unité de formation du PK28, le pôle de développement GWEICHICHI, financé par la coopération espagnole, le pôle de développement et l’unité de formation réalisés sur financement du FAD. </w:t>
      </w:r>
    </w:p>
    <w:p w14:paraId="7A5F5AAE" w14:textId="77777777" w:rsidR="0063325C" w:rsidRPr="0063325C" w:rsidRDefault="0063325C" w:rsidP="00143794">
      <w:pPr>
        <w:numPr>
          <w:ilvl w:val="2"/>
          <w:numId w:val="316"/>
        </w:numPr>
        <w:ind w:left="0" w:hanging="218"/>
        <w:jc w:val="both"/>
        <w:rPr>
          <w:rFonts w:eastAsia="Calibri" w:cstheme="minorHAnsi"/>
        </w:rPr>
      </w:pPr>
      <w:r w:rsidRPr="0063325C">
        <w:rPr>
          <w:rFonts w:eastAsia="Calibri" w:cstheme="minorHAnsi"/>
          <w:b/>
          <w:bCs/>
        </w:rPr>
        <w:t>Le secteur du Chat Boul</w:t>
      </w:r>
      <w:r w:rsidRPr="0063325C">
        <w:rPr>
          <w:rFonts w:eastAsia="Calibri" w:cstheme="minorHAnsi"/>
        </w:rPr>
        <w:t>. au fleuve Sénégal (la basse vallée), elle correspond à la zone du Parc National du Diawling, caractérisée par la présence de la mangrove, et de quelque vestige de forêt d’acacias ; de nombreux villages permanents se trouvent dans cette zone où les populations pratiquent la pêche continentale, le maraîchage, et l’élevage des bovins, des camelins sur le cordon dunaire du littoral.</w:t>
      </w:r>
    </w:p>
    <w:p w14:paraId="3726C2B7" w14:textId="5F8162F0" w:rsidR="0063325C" w:rsidRPr="0063325C" w:rsidRDefault="0063325C" w:rsidP="00143794">
      <w:pPr>
        <w:jc w:val="both"/>
        <w:rPr>
          <w:rFonts w:eastAsia="Calibri" w:cstheme="minorHAnsi"/>
        </w:rPr>
      </w:pPr>
      <w:r w:rsidRPr="0063325C">
        <w:rPr>
          <w:rFonts w:eastAsia="Calibri" w:cstheme="minorHAnsi"/>
        </w:rPr>
        <w:t xml:space="preserve">Dans l’ensemble la zone est caractérisée par : un manque d’eau ; un enclavement des villages et des </w:t>
      </w:r>
      <w:r w:rsidR="00143794" w:rsidRPr="0063325C">
        <w:rPr>
          <w:rFonts w:eastAsia="Calibri" w:cstheme="minorHAnsi"/>
        </w:rPr>
        <w:t>campements surtout</w:t>
      </w:r>
      <w:r w:rsidRPr="0063325C">
        <w:rPr>
          <w:rFonts w:eastAsia="Calibri" w:cstheme="minorHAnsi"/>
        </w:rPr>
        <w:t xml:space="preserve"> pendant la saison des pluies ; à cause de la sebkha, l’accès aux sites de pêche est possible par la plage à marée </w:t>
      </w:r>
      <w:r w:rsidR="00143794" w:rsidRPr="0063325C">
        <w:rPr>
          <w:rFonts w:eastAsia="Calibri" w:cstheme="minorHAnsi"/>
        </w:rPr>
        <w:t>basse ;</w:t>
      </w:r>
      <w:r w:rsidRPr="0063325C">
        <w:rPr>
          <w:rFonts w:eastAsia="Calibri" w:cstheme="minorHAnsi"/>
        </w:rPr>
        <w:t xml:space="preserve"> une forte salinité des sols qui limite le développement de l’agriculture ; </w:t>
      </w:r>
      <w:r w:rsidR="00143794" w:rsidRPr="0063325C">
        <w:rPr>
          <w:rFonts w:eastAsia="Calibri" w:cstheme="minorHAnsi"/>
        </w:rPr>
        <w:t>un manque</w:t>
      </w:r>
      <w:r w:rsidRPr="0063325C">
        <w:rPr>
          <w:rFonts w:eastAsia="Calibri" w:cstheme="minorHAnsi"/>
        </w:rPr>
        <w:t xml:space="preserve"> </w:t>
      </w:r>
      <w:r w:rsidR="00143794" w:rsidRPr="0063325C">
        <w:rPr>
          <w:rFonts w:eastAsia="Calibri" w:cstheme="minorHAnsi"/>
        </w:rPr>
        <w:t>d’infrastructure nécessaire</w:t>
      </w:r>
      <w:r w:rsidRPr="0063325C">
        <w:rPr>
          <w:rFonts w:eastAsia="Calibri" w:cstheme="minorHAnsi"/>
        </w:rPr>
        <w:t xml:space="preserve"> au développement de la pêche ; un problème de santé humaine et animale à cause des moustiques. Cette zone est la zone d’installation des ports de pêche.</w:t>
      </w:r>
    </w:p>
    <w:p w14:paraId="6508C9E9" w14:textId="77777777" w:rsidR="0063325C" w:rsidRPr="0063325C" w:rsidRDefault="0063325C" w:rsidP="00143794">
      <w:pPr>
        <w:numPr>
          <w:ilvl w:val="0"/>
          <w:numId w:val="336"/>
        </w:numPr>
        <w:ind w:left="426" w:hanging="426"/>
        <w:rPr>
          <w:rFonts w:eastAsia="Calibri" w:cstheme="minorHAnsi"/>
          <w:b/>
        </w:rPr>
      </w:pPr>
      <w:r w:rsidRPr="0063325C">
        <w:rPr>
          <w:rFonts w:eastAsia="Calibri" w:cstheme="minorHAnsi"/>
          <w:b/>
        </w:rPr>
        <w:t>Etat des connaissances des ressources halieutiques et de l’environnement marin</w:t>
      </w:r>
    </w:p>
    <w:p w14:paraId="1D36CAE9" w14:textId="77777777" w:rsidR="0063325C" w:rsidRPr="0063325C" w:rsidRDefault="0063325C" w:rsidP="00143794">
      <w:pPr>
        <w:jc w:val="both"/>
        <w:rPr>
          <w:rFonts w:eastAsia="Calibri" w:cstheme="minorHAnsi"/>
        </w:rPr>
      </w:pPr>
      <w:r w:rsidRPr="0063325C">
        <w:rPr>
          <w:rFonts w:eastAsia="Calibri" w:cstheme="minorHAnsi"/>
        </w:rPr>
        <w:t>La Mauritanie possède une façade maritime dont la longueur se situerait entre 720 et 750 km et même plus. Sa Zone Economique Exclusive (ZEE), serait comprise entre 230.000 Km2 et 250.000 Km² avec un plateau continental de 36 000km2 dont l’étendue est relativement faible surtout dans la partie Sud du pays. Cet espace maritime, se caractérise par des conditions hydro climatiques exceptionnellement favorables au développement des ressources halieutiques. Ces conditions sont à l’origine de la réputation des côtes mauritaniennes comme étant parmi les plus poissonneuses au monde. Le potentiel exploitable de 1.754.000 tonnes par an, toutes espèces confondues. Cet espace maritime comprend une zone littorale et une zone maritime.</w:t>
      </w:r>
    </w:p>
    <w:p w14:paraId="5A130943" w14:textId="77777777" w:rsidR="0063325C" w:rsidRPr="0063325C" w:rsidRDefault="0063325C" w:rsidP="0063325C">
      <w:pPr>
        <w:rPr>
          <w:rFonts w:eastAsia="Calibri" w:cstheme="minorHAnsi"/>
          <w:b/>
        </w:rPr>
      </w:pPr>
      <w:r w:rsidRPr="0063325C">
        <w:rPr>
          <w:rFonts w:eastAsia="Calibri" w:cstheme="minorHAnsi"/>
          <w:b/>
        </w:rPr>
        <w:br w:type="page"/>
      </w:r>
    </w:p>
    <w:p w14:paraId="27572728" w14:textId="77777777" w:rsidR="0063325C" w:rsidRPr="0063325C" w:rsidRDefault="0063325C" w:rsidP="0063325C">
      <w:pPr>
        <w:rPr>
          <w:rFonts w:eastAsia="Calibri" w:cstheme="minorHAnsi"/>
          <w:b/>
        </w:rPr>
      </w:pPr>
      <w:r w:rsidRPr="0063325C">
        <w:rPr>
          <w:rFonts w:eastAsia="Calibri" w:cstheme="minorHAnsi"/>
          <w:b/>
        </w:rPr>
        <w:t xml:space="preserve">4.1. Description des activités de la pêche dans l’espace maritime </w:t>
      </w:r>
    </w:p>
    <w:p w14:paraId="5585FEE0" w14:textId="77777777" w:rsidR="0063325C" w:rsidRPr="0063325C" w:rsidRDefault="0063325C" w:rsidP="0063325C">
      <w:pPr>
        <w:rPr>
          <w:rFonts w:eastAsia="Calibri" w:cstheme="minorHAnsi"/>
          <w:bCs/>
        </w:rPr>
      </w:pPr>
      <w:r w:rsidRPr="0063325C">
        <w:rPr>
          <w:rFonts w:eastAsia="Calibri" w:cstheme="minorHAnsi"/>
          <w:bCs/>
        </w:rPr>
        <w:t xml:space="preserve">Les espaces maritimes sur </w:t>
      </w:r>
      <w:proofErr w:type="gramStart"/>
      <w:r w:rsidRPr="0063325C">
        <w:rPr>
          <w:rFonts w:eastAsia="Calibri" w:cstheme="minorHAnsi"/>
          <w:bCs/>
        </w:rPr>
        <w:t>lesquels  la</w:t>
      </w:r>
      <w:proofErr w:type="gramEnd"/>
      <w:r w:rsidRPr="0063325C">
        <w:rPr>
          <w:rFonts w:eastAsia="Calibri" w:cstheme="minorHAnsi"/>
          <w:bCs/>
        </w:rPr>
        <w:t xml:space="preserve"> Mauritanie exerce sa souveraineté sont définies par l’ordonnance 88 120 du 11 aout 1988 portant sur le statut juridique de la mer territoriale, de la zone contiguë, de la zone économique exclusive et du plateau continental de la République Islamique de Mauritanie, les dispositions de cette ordonnance sont complétées par la loi n°029-2013 du 30 juillet 2013 Portant Code de la Marine Marchande.</w:t>
      </w:r>
    </w:p>
    <w:p w14:paraId="108FACF2" w14:textId="77777777" w:rsidR="0063325C" w:rsidRPr="0063325C" w:rsidRDefault="0063325C" w:rsidP="0063325C">
      <w:pPr>
        <w:rPr>
          <w:rFonts w:eastAsia="Calibri" w:cstheme="minorHAnsi"/>
          <w:bCs/>
        </w:rPr>
      </w:pPr>
      <w:r w:rsidRPr="0063325C">
        <w:rPr>
          <w:rFonts w:eastAsia="Calibri" w:cstheme="minorHAnsi"/>
          <w:bCs/>
        </w:rPr>
        <w:t>L’espace maritime comprend une zone littorale et une zone maritime.</w:t>
      </w:r>
    </w:p>
    <w:p w14:paraId="72EA8405" w14:textId="77777777" w:rsidR="0063325C" w:rsidRPr="0063325C" w:rsidRDefault="0063325C" w:rsidP="0063325C">
      <w:pPr>
        <w:rPr>
          <w:rFonts w:eastAsia="Calibri" w:cstheme="minorHAnsi"/>
          <w:b/>
          <w:bCs/>
        </w:rPr>
      </w:pPr>
      <w:r w:rsidRPr="0063325C">
        <w:rPr>
          <w:rFonts w:eastAsia="Calibri" w:cstheme="minorHAnsi"/>
          <w:b/>
          <w:bCs/>
        </w:rPr>
        <w:t xml:space="preserve">4.1.1. Zone littorale </w:t>
      </w:r>
    </w:p>
    <w:p w14:paraId="29D7B84B" w14:textId="77777777" w:rsidR="0063325C" w:rsidRPr="0063325C" w:rsidRDefault="0063325C" w:rsidP="0063325C">
      <w:pPr>
        <w:rPr>
          <w:rFonts w:eastAsia="Calibri" w:cstheme="minorHAnsi"/>
          <w:bCs/>
        </w:rPr>
      </w:pPr>
      <w:r w:rsidRPr="0063325C">
        <w:rPr>
          <w:rFonts w:eastAsia="Calibri" w:cstheme="minorHAnsi"/>
        </w:rPr>
        <w:t xml:space="preserve">Cette zone comprend la plage, le cordon dunaire du </w:t>
      </w:r>
      <w:proofErr w:type="gramStart"/>
      <w:r w:rsidRPr="0063325C">
        <w:rPr>
          <w:rFonts w:eastAsia="Calibri" w:cstheme="minorHAnsi"/>
        </w:rPr>
        <w:t>littoral;  et</w:t>
      </w:r>
      <w:proofErr w:type="gramEnd"/>
      <w:r w:rsidRPr="0063325C">
        <w:rPr>
          <w:rFonts w:eastAsia="Calibri" w:cstheme="minorHAnsi"/>
        </w:rPr>
        <w:t xml:space="preserve"> en arrière du cordon </w:t>
      </w:r>
      <w:proofErr w:type="gramStart"/>
      <w:r w:rsidRPr="0063325C">
        <w:rPr>
          <w:rFonts w:eastAsia="Calibri" w:cstheme="minorHAnsi"/>
        </w:rPr>
        <w:t>dunaire;  des</w:t>
      </w:r>
      <w:proofErr w:type="gramEnd"/>
      <w:r w:rsidRPr="0063325C">
        <w:rPr>
          <w:rFonts w:eastAsia="Calibri" w:cstheme="minorHAnsi"/>
        </w:rPr>
        <w:t xml:space="preserve"> sebkhas et des </w:t>
      </w:r>
      <w:proofErr w:type="gramStart"/>
      <w:r w:rsidRPr="0063325C">
        <w:rPr>
          <w:rFonts w:eastAsia="Calibri" w:cstheme="minorHAnsi"/>
        </w:rPr>
        <w:t>lagunes;</w:t>
      </w:r>
      <w:proofErr w:type="gramEnd"/>
      <w:r w:rsidRPr="0063325C">
        <w:rPr>
          <w:rFonts w:eastAsia="Calibri" w:cstheme="minorHAnsi"/>
        </w:rPr>
        <w:t xml:space="preserve"> les dunes rouges </w:t>
      </w:r>
      <w:proofErr w:type="gramStart"/>
      <w:r w:rsidRPr="0063325C">
        <w:rPr>
          <w:rFonts w:eastAsia="Calibri" w:cstheme="minorHAnsi"/>
        </w:rPr>
        <w:t>continentales;</w:t>
      </w:r>
      <w:proofErr w:type="gramEnd"/>
      <w:r w:rsidRPr="0063325C">
        <w:rPr>
          <w:rFonts w:eastAsia="Calibri" w:cstheme="minorHAnsi"/>
        </w:rPr>
        <w:t xml:space="preserve"> la basse vallée du fleuve Sénégal et ses anciennes embouchures, elle est caractérisée par une </w:t>
      </w:r>
      <w:proofErr w:type="gramStart"/>
      <w:r w:rsidRPr="0063325C">
        <w:rPr>
          <w:rFonts w:eastAsia="Calibri" w:cstheme="minorHAnsi"/>
        </w:rPr>
        <w:t>cote  basse</w:t>
      </w:r>
      <w:proofErr w:type="gramEnd"/>
      <w:r w:rsidRPr="0063325C">
        <w:rPr>
          <w:rFonts w:eastAsia="Calibri" w:cstheme="minorHAnsi"/>
        </w:rPr>
        <w:t xml:space="preserve"> bordée de dunes, les fonds sont recouverts de sable fin, de roches, et de bancs rocheux, des affleurements rocheux sont observés sur la plage à marée basse.</w:t>
      </w:r>
    </w:p>
    <w:p w14:paraId="53C5CE1E" w14:textId="77777777" w:rsidR="0063325C" w:rsidRPr="0063325C" w:rsidRDefault="0063325C" w:rsidP="0063325C">
      <w:pPr>
        <w:rPr>
          <w:rFonts w:eastAsia="Calibri" w:cstheme="minorHAnsi"/>
        </w:rPr>
      </w:pPr>
      <w:r w:rsidRPr="0063325C">
        <w:rPr>
          <w:rFonts w:eastAsia="Calibri" w:cstheme="minorHAnsi"/>
        </w:rPr>
        <w:t>La pêche est la principale seule activité dans la zone, la côte est désertique, les villages traditionnels de pêche situés au Nord de Nouakchott pratiquent la pêche passive, les espèces cibles étant la courbine, les poulpes. La pêche à la ligne est pratiquée par des pêcheurs migrant originaires du Trarza et des autres régions de Mauritanie.</w:t>
      </w:r>
    </w:p>
    <w:p w14:paraId="66812991" w14:textId="77777777" w:rsidR="0063325C" w:rsidRPr="0063325C" w:rsidRDefault="0063325C" w:rsidP="0063325C">
      <w:pPr>
        <w:rPr>
          <w:rFonts w:eastAsia="Calibri" w:cstheme="minorHAnsi"/>
        </w:rPr>
      </w:pPr>
      <w:r w:rsidRPr="0063325C">
        <w:rPr>
          <w:rFonts w:eastAsia="Calibri" w:cstheme="minorHAnsi"/>
        </w:rPr>
        <w:t>La zone littorale est la principale zone d’installation des infrastructures de pêche (ports de pêche, pôle de développement, centres de formation).</w:t>
      </w:r>
    </w:p>
    <w:p w14:paraId="04248342" w14:textId="77777777" w:rsidR="0063325C" w:rsidRPr="0063325C" w:rsidRDefault="0063325C" w:rsidP="0063325C">
      <w:pPr>
        <w:rPr>
          <w:rFonts w:eastAsia="Calibri" w:cstheme="minorHAnsi"/>
        </w:rPr>
      </w:pPr>
      <w:r w:rsidRPr="0063325C">
        <w:rPr>
          <w:rFonts w:eastAsia="Calibri" w:cstheme="minorHAnsi"/>
        </w:rPr>
        <w:t xml:space="preserve">Le tableau ci-dessous donne des indications sur la répartition des infrastructures de </w:t>
      </w:r>
      <w:proofErr w:type="gramStart"/>
      <w:r w:rsidRPr="0063325C">
        <w:rPr>
          <w:rFonts w:eastAsia="Calibri" w:cstheme="minorHAnsi"/>
        </w:rPr>
        <w:t>pêche  sur</w:t>
      </w:r>
      <w:proofErr w:type="gramEnd"/>
      <w:r w:rsidRPr="0063325C">
        <w:rPr>
          <w:rFonts w:eastAsia="Calibri" w:cstheme="minorHAnsi"/>
        </w:rPr>
        <w:t xml:space="preserve"> le littoral.</w:t>
      </w:r>
    </w:p>
    <w:tbl>
      <w:tblPr>
        <w:tblW w:w="9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32"/>
        <w:gridCol w:w="1586"/>
        <w:gridCol w:w="3402"/>
        <w:gridCol w:w="1213"/>
      </w:tblGrid>
      <w:tr w:rsidR="0063325C" w:rsidRPr="0063325C" w14:paraId="083E9A17" w14:textId="77777777" w:rsidTr="00361052">
        <w:tc>
          <w:tcPr>
            <w:tcW w:w="1560" w:type="dxa"/>
            <w:hideMark/>
          </w:tcPr>
          <w:p w14:paraId="07CC3DD1" w14:textId="77777777" w:rsidR="0063325C" w:rsidRPr="0063325C" w:rsidRDefault="0063325C" w:rsidP="0063325C">
            <w:pPr>
              <w:rPr>
                <w:rFonts w:eastAsia="Calibri" w:cstheme="minorHAnsi"/>
                <w:bCs/>
              </w:rPr>
            </w:pPr>
            <w:r w:rsidRPr="0063325C">
              <w:rPr>
                <w:rFonts w:eastAsia="Calibri" w:cstheme="minorHAnsi"/>
                <w:bCs/>
              </w:rPr>
              <w:t xml:space="preserve">Wilaya </w:t>
            </w:r>
          </w:p>
        </w:tc>
        <w:tc>
          <w:tcPr>
            <w:tcW w:w="1532" w:type="dxa"/>
            <w:hideMark/>
          </w:tcPr>
          <w:p w14:paraId="416C2F4D" w14:textId="77777777" w:rsidR="0063325C" w:rsidRPr="0063325C" w:rsidRDefault="0063325C" w:rsidP="0063325C">
            <w:pPr>
              <w:rPr>
                <w:rFonts w:eastAsia="Calibri" w:cstheme="minorHAnsi"/>
                <w:bCs/>
              </w:rPr>
            </w:pPr>
            <w:r w:rsidRPr="0063325C">
              <w:rPr>
                <w:rFonts w:eastAsia="Calibri" w:cstheme="minorHAnsi"/>
                <w:bCs/>
              </w:rPr>
              <w:t xml:space="preserve">Mouaghata </w:t>
            </w:r>
          </w:p>
        </w:tc>
        <w:tc>
          <w:tcPr>
            <w:tcW w:w="1586" w:type="dxa"/>
          </w:tcPr>
          <w:p w14:paraId="6E5F7589" w14:textId="77777777" w:rsidR="0063325C" w:rsidRPr="0063325C" w:rsidRDefault="0063325C" w:rsidP="0063325C">
            <w:pPr>
              <w:rPr>
                <w:rFonts w:eastAsia="Calibri" w:cstheme="minorHAnsi"/>
                <w:bCs/>
              </w:rPr>
            </w:pPr>
            <w:r w:rsidRPr="0063325C">
              <w:rPr>
                <w:rFonts w:eastAsia="Calibri" w:cstheme="minorHAnsi"/>
                <w:bCs/>
              </w:rPr>
              <w:t xml:space="preserve">Communes </w:t>
            </w:r>
          </w:p>
        </w:tc>
        <w:tc>
          <w:tcPr>
            <w:tcW w:w="3402" w:type="dxa"/>
            <w:hideMark/>
          </w:tcPr>
          <w:p w14:paraId="5F2CFD6E" w14:textId="77777777" w:rsidR="0063325C" w:rsidRPr="0063325C" w:rsidRDefault="0063325C" w:rsidP="0063325C">
            <w:pPr>
              <w:rPr>
                <w:rFonts w:eastAsia="Calibri" w:cstheme="minorHAnsi"/>
                <w:bCs/>
              </w:rPr>
            </w:pPr>
            <w:r w:rsidRPr="0063325C">
              <w:rPr>
                <w:rFonts w:eastAsia="Calibri" w:cstheme="minorHAnsi"/>
                <w:bCs/>
              </w:rPr>
              <w:t>Localisation des infrastructures</w:t>
            </w:r>
          </w:p>
        </w:tc>
        <w:tc>
          <w:tcPr>
            <w:tcW w:w="1213" w:type="dxa"/>
            <w:hideMark/>
          </w:tcPr>
          <w:p w14:paraId="5C035E1E" w14:textId="77777777" w:rsidR="0063325C" w:rsidRPr="0063325C" w:rsidRDefault="0063325C" w:rsidP="0063325C">
            <w:pPr>
              <w:rPr>
                <w:rFonts w:eastAsia="Calibri" w:cstheme="minorHAnsi"/>
                <w:bCs/>
              </w:rPr>
            </w:pPr>
            <w:r w:rsidRPr="0063325C">
              <w:rPr>
                <w:rFonts w:eastAsia="Calibri" w:cstheme="minorHAnsi"/>
                <w:bCs/>
              </w:rPr>
              <w:t xml:space="preserve">Population </w:t>
            </w:r>
          </w:p>
        </w:tc>
      </w:tr>
      <w:tr w:rsidR="0063325C" w:rsidRPr="0063325C" w14:paraId="0E116CDE" w14:textId="77777777" w:rsidTr="00361052">
        <w:trPr>
          <w:trHeight w:val="645"/>
        </w:trPr>
        <w:tc>
          <w:tcPr>
            <w:tcW w:w="1560" w:type="dxa"/>
          </w:tcPr>
          <w:p w14:paraId="64AA1B20" w14:textId="77777777" w:rsidR="0063325C" w:rsidRPr="0063325C" w:rsidRDefault="0063325C" w:rsidP="0063325C">
            <w:pPr>
              <w:rPr>
                <w:rFonts w:eastAsia="Calibri" w:cstheme="minorHAnsi"/>
                <w:bCs/>
              </w:rPr>
            </w:pPr>
            <w:r w:rsidRPr="0063325C">
              <w:rPr>
                <w:rFonts w:eastAsia="Calibri" w:cstheme="minorHAnsi"/>
                <w:bCs/>
              </w:rPr>
              <w:t xml:space="preserve">Dakhlet NDB </w:t>
            </w:r>
          </w:p>
          <w:p w14:paraId="6CDF925C" w14:textId="77777777" w:rsidR="0063325C" w:rsidRPr="0063325C" w:rsidRDefault="0063325C" w:rsidP="0063325C">
            <w:pPr>
              <w:rPr>
                <w:rFonts w:eastAsia="Calibri" w:cstheme="minorHAnsi"/>
                <w:bCs/>
              </w:rPr>
            </w:pPr>
          </w:p>
        </w:tc>
        <w:tc>
          <w:tcPr>
            <w:tcW w:w="1532" w:type="dxa"/>
            <w:hideMark/>
          </w:tcPr>
          <w:p w14:paraId="57FEB74D" w14:textId="77777777" w:rsidR="0063325C" w:rsidRPr="0063325C" w:rsidRDefault="0063325C" w:rsidP="0063325C">
            <w:pPr>
              <w:rPr>
                <w:rFonts w:eastAsia="Calibri" w:cstheme="minorHAnsi"/>
                <w:bCs/>
              </w:rPr>
            </w:pPr>
            <w:r w:rsidRPr="0063325C">
              <w:rPr>
                <w:rFonts w:eastAsia="Calibri" w:cstheme="minorHAnsi"/>
                <w:bCs/>
              </w:rPr>
              <w:t xml:space="preserve">NDB </w:t>
            </w:r>
          </w:p>
        </w:tc>
        <w:tc>
          <w:tcPr>
            <w:tcW w:w="1586" w:type="dxa"/>
            <w:hideMark/>
          </w:tcPr>
          <w:p w14:paraId="61CAE3C1" w14:textId="77777777" w:rsidR="0063325C" w:rsidRPr="0063325C" w:rsidRDefault="0063325C" w:rsidP="0063325C">
            <w:pPr>
              <w:rPr>
                <w:rFonts w:eastAsia="Calibri" w:cstheme="minorHAnsi"/>
                <w:bCs/>
              </w:rPr>
            </w:pPr>
            <w:r w:rsidRPr="0063325C">
              <w:rPr>
                <w:rFonts w:eastAsia="Calibri" w:cstheme="minorHAnsi"/>
                <w:bCs/>
              </w:rPr>
              <w:t xml:space="preserve">Mamghar </w:t>
            </w:r>
          </w:p>
        </w:tc>
        <w:tc>
          <w:tcPr>
            <w:tcW w:w="3402" w:type="dxa"/>
          </w:tcPr>
          <w:p w14:paraId="3F905AB3" w14:textId="77777777" w:rsidR="0063325C" w:rsidRPr="0063325C" w:rsidRDefault="0063325C" w:rsidP="0063325C">
            <w:pPr>
              <w:rPr>
                <w:rFonts w:eastAsia="Calibri" w:cstheme="minorHAnsi"/>
                <w:bCs/>
              </w:rPr>
            </w:pPr>
            <w:r w:rsidRPr="0063325C">
              <w:rPr>
                <w:rFonts w:eastAsia="Calibri" w:cstheme="minorHAnsi"/>
                <w:bCs/>
              </w:rPr>
              <w:t>Blawakh (unité de formation)</w:t>
            </w:r>
          </w:p>
          <w:p w14:paraId="1FF45AF9" w14:textId="77777777" w:rsidR="0063325C" w:rsidRPr="0063325C" w:rsidRDefault="0063325C" w:rsidP="0063325C">
            <w:pPr>
              <w:rPr>
                <w:rFonts w:eastAsia="Calibri" w:cstheme="minorHAnsi"/>
                <w:bCs/>
              </w:rPr>
            </w:pPr>
          </w:p>
        </w:tc>
        <w:tc>
          <w:tcPr>
            <w:tcW w:w="1213" w:type="dxa"/>
          </w:tcPr>
          <w:p w14:paraId="7C52C30B" w14:textId="77777777" w:rsidR="0063325C" w:rsidRPr="0063325C" w:rsidRDefault="0063325C" w:rsidP="0063325C">
            <w:pPr>
              <w:rPr>
                <w:rFonts w:eastAsia="Calibri" w:cstheme="minorHAnsi"/>
                <w:bCs/>
              </w:rPr>
            </w:pPr>
            <w:r w:rsidRPr="0063325C">
              <w:rPr>
                <w:rFonts w:eastAsia="Calibri" w:cstheme="minorHAnsi"/>
                <w:bCs/>
              </w:rPr>
              <w:t>4 151                492</w:t>
            </w:r>
          </w:p>
        </w:tc>
      </w:tr>
      <w:tr w:rsidR="0063325C" w:rsidRPr="0063325C" w14:paraId="17CA824B" w14:textId="77777777" w:rsidTr="00361052">
        <w:tc>
          <w:tcPr>
            <w:tcW w:w="1560" w:type="dxa"/>
            <w:hideMark/>
          </w:tcPr>
          <w:p w14:paraId="4D8A3B77" w14:textId="77777777" w:rsidR="0063325C" w:rsidRPr="0063325C" w:rsidRDefault="0063325C" w:rsidP="0063325C">
            <w:pPr>
              <w:rPr>
                <w:rFonts w:eastAsia="Calibri" w:cstheme="minorHAnsi"/>
                <w:bCs/>
              </w:rPr>
            </w:pPr>
            <w:r w:rsidRPr="0063325C">
              <w:rPr>
                <w:rFonts w:eastAsia="Calibri" w:cstheme="minorHAnsi"/>
                <w:bCs/>
              </w:rPr>
              <w:t xml:space="preserve">Trarza </w:t>
            </w:r>
          </w:p>
        </w:tc>
        <w:tc>
          <w:tcPr>
            <w:tcW w:w="1532" w:type="dxa"/>
            <w:hideMark/>
          </w:tcPr>
          <w:p w14:paraId="4B18349F" w14:textId="77777777" w:rsidR="0063325C" w:rsidRPr="0063325C" w:rsidRDefault="0063325C" w:rsidP="0063325C">
            <w:pPr>
              <w:rPr>
                <w:rFonts w:eastAsia="Calibri" w:cstheme="minorHAnsi"/>
                <w:bCs/>
              </w:rPr>
            </w:pPr>
            <w:r w:rsidRPr="0063325C">
              <w:rPr>
                <w:rFonts w:eastAsia="Calibri" w:cstheme="minorHAnsi"/>
                <w:bCs/>
              </w:rPr>
              <w:t xml:space="preserve">Ouad naga </w:t>
            </w:r>
          </w:p>
        </w:tc>
        <w:tc>
          <w:tcPr>
            <w:tcW w:w="1586" w:type="dxa"/>
          </w:tcPr>
          <w:p w14:paraId="7AA7A348" w14:textId="77777777" w:rsidR="0063325C" w:rsidRPr="0063325C" w:rsidRDefault="0063325C" w:rsidP="0063325C">
            <w:pPr>
              <w:rPr>
                <w:rFonts w:eastAsia="Calibri" w:cstheme="minorHAnsi"/>
                <w:bCs/>
              </w:rPr>
            </w:pPr>
            <w:r w:rsidRPr="0063325C">
              <w:rPr>
                <w:rFonts w:eastAsia="Calibri" w:cstheme="minorHAnsi"/>
                <w:bCs/>
              </w:rPr>
              <w:t>El Arye</w:t>
            </w:r>
          </w:p>
          <w:p w14:paraId="0C2FF41A" w14:textId="77777777" w:rsidR="0063325C" w:rsidRPr="0063325C" w:rsidRDefault="0063325C" w:rsidP="0063325C">
            <w:pPr>
              <w:rPr>
                <w:rFonts w:eastAsia="Calibri" w:cstheme="minorHAnsi"/>
                <w:bCs/>
              </w:rPr>
            </w:pPr>
          </w:p>
        </w:tc>
        <w:tc>
          <w:tcPr>
            <w:tcW w:w="3402" w:type="dxa"/>
            <w:hideMark/>
          </w:tcPr>
          <w:p w14:paraId="26B42F23" w14:textId="77777777" w:rsidR="0063325C" w:rsidRPr="0063325C" w:rsidRDefault="0063325C" w:rsidP="0063325C">
            <w:pPr>
              <w:rPr>
                <w:rFonts w:eastAsia="Calibri" w:cstheme="minorHAnsi"/>
                <w:bCs/>
              </w:rPr>
            </w:pPr>
            <w:r w:rsidRPr="0063325C">
              <w:rPr>
                <w:rFonts w:eastAsia="Calibri" w:cstheme="minorHAnsi"/>
                <w:bCs/>
              </w:rPr>
              <w:t>Pk28 (unité de formation))</w:t>
            </w:r>
          </w:p>
        </w:tc>
        <w:tc>
          <w:tcPr>
            <w:tcW w:w="1213" w:type="dxa"/>
            <w:hideMark/>
          </w:tcPr>
          <w:p w14:paraId="69811333" w14:textId="77777777" w:rsidR="0063325C" w:rsidRPr="0063325C" w:rsidRDefault="0063325C" w:rsidP="0063325C">
            <w:pPr>
              <w:rPr>
                <w:rFonts w:eastAsia="Calibri" w:cstheme="minorHAnsi"/>
                <w:bCs/>
              </w:rPr>
            </w:pPr>
            <w:r w:rsidRPr="0063325C">
              <w:rPr>
                <w:rFonts w:eastAsia="Calibri" w:cstheme="minorHAnsi"/>
                <w:bCs/>
              </w:rPr>
              <w:t xml:space="preserve">        7 496                    </w:t>
            </w:r>
          </w:p>
        </w:tc>
      </w:tr>
      <w:tr w:rsidR="0063325C" w:rsidRPr="0063325C" w14:paraId="18130A0C" w14:textId="77777777" w:rsidTr="00361052">
        <w:tc>
          <w:tcPr>
            <w:tcW w:w="1560" w:type="dxa"/>
            <w:hideMark/>
          </w:tcPr>
          <w:p w14:paraId="4EF526E6" w14:textId="77777777" w:rsidR="0063325C" w:rsidRPr="0063325C" w:rsidRDefault="0063325C" w:rsidP="0063325C">
            <w:pPr>
              <w:rPr>
                <w:rFonts w:eastAsia="Calibri" w:cstheme="minorHAnsi"/>
                <w:bCs/>
              </w:rPr>
            </w:pPr>
            <w:r w:rsidRPr="0063325C">
              <w:rPr>
                <w:rFonts w:eastAsia="Calibri" w:cstheme="minorHAnsi"/>
                <w:bCs/>
              </w:rPr>
              <w:t xml:space="preserve">Nouakchott </w:t>
            </w:r>
          </w:p>
        </w:tc>
        <w:tc>
          <w:tcPr>
            <w:tcW w:w="1532" w:type="dxa"/>
            <w:hideMark/>
          </w:tcPr>
          <w:p w14:paraId="2DE2337A" w14:textId="77777777" w:rsidR="0063325C" w:rsidRPr="0063325C" w:rsidRDefault="0063325C" w:rsidP="0063325C">
            <w:pPr>
              <w:rPr>
                <w:rFonts w:eastAsia="Calibri" w:cstheme="minorHAnsi"/>
                <w:bCs/>
              </w:rPr>
            </w:pPr>
            <w:proofErr w:type="spellStart"/>
            <w:r w:rsidRPr="0063325C">
              <w:rPr>
                <w:rFonts w:eastAsia="Calibri" w:cstheme="minorHAnsi"/>
                <w:bCs/>
              </w:rPr>
              <w:t>Travragzeina</w:t>
            </w:r>
            <w:proofErr w:type="spellEnd"/>
            <w:r w:rsidRPr="0063325C">
              <w:rPr>
                <w:rFonts w:eastAsia="Calibri" w:cstheme="minorHAnsi"/>
                <w:bCs/>
              </w:rPr>
              <w:t xml:space="preserve"> </w:t>
            </w:r>
          </w:p>
        </w:tc>
        <w:tc>
          <w:tcPr>
            <w:tcW w:w="1586" w:type="dxa"/>
            <w:hideMark/>
          </w:tcPr>
          <w:p w14:paraId="59DD94B4" w14:textId="77777777" w:rsidR="0063325C" w:rsidRPr="0063325C" w:rsidRDefault="0063325C" w:rsidP="0063325C">
            <w:pPr>
              <w:rPr>
                <w:rFonts w:eastAsia="Calibri" w:cstheme="minorHAnsi"/>
                <w:bCs/>
              </w:rPr>
            </w:pPr>
            <w:proofErr w:type="spellStart"/>
            <w:r w:rsidRPr="0063325C">
              <w:rPr>
                <w:rFonts w:eastAsia="Calibri" w:cstheme="minorHAnsi"/>
                <w:bCs/>
              </w:rPr>
              <w:t>Travragzeina</w:t>
            </w:r>
            <w:proofErr w:type="spellEnd"/>
            <w:r w:rsidRPr="0063325C">
              <w:rPr>
                <w:rFonts w:eastAsia="Calibri" w:cstheme="minorHAnsi"/>
                <w:bCs/>
              </w:rPr>
              <w:t xml:space="preserve"> </w:t>
            </w:r>
          </w:p>
        </w:tc>
        <w:tc>
          <w:tcPr>
            <w:tcW w:w="3402" w:type="dxa"/>
            <w:hideMark/>
          </w:tcPr>
          <w:p w14:paraId="249E9EE0" w14:textId="77777777" w:rsidR="0063325C" w:rsidRPr="0063325C" w:rsidRDefault="0063325C" w:rsidP="0063325C">
            <w:pPr>
              <w:rPr>
                <w:rFonts w:eastAsia="Calibri" w:cstheme="minorHAnsi"/>
                <w:bCs/>
              </w:rPr>
            </w:pPr>
            <w:r w:rsidRPr="0063325C">
              <w:rPr>
                <w:rFonts w:eastAsia="Calibri" w:cstheme="minorHAnsi"/>
                <w:bCs/>
              </w:rPr>
              <w:t xml:space="preserve">Plage des </w:t>
            </w:r>
            <w:proofErr w:type="gramStart"/>
            <w:r w:rsidRPr="0063325C">
              <w:rPr>
                <w:rFonts w:eastAsia="Calibri" w:cstheme="minorHAnsi"/>
                <w:bCs/>
              </w:rPr>
              <w:t>pêcheurs(</w:t>
            </w:r>
            <w:proofErr w:type="gramEnd"/>
            <w:r w:rsidRPr="0063325C">
              <w:rPr>
                <w:rFonts w:eastAsia="Calibri" w:cstheme="minorHAnsi"/>
                <w:bCs/>
              </w:rPr>
              <w:t>unité de formation)</w:t>
            </w:r>
          </w:p>
        </w:tc>
        <w:tc>
          <w:tcPr>
            <w:tcW w:w="1213" w:type="dxa"/>
            <w:hideMark/>
          </w:tcPr>
          <w:p w14:paraId="7441B6E9" w14:textId="77777777" w:rsidR="0063325C" w:rsidRPr="0063325C" w:rsidRDefault="0063325C" w:rsidP="0063325C">
            <w:pPr>
              <w:rPr>
                <w:rFonts w:eastAsia="Calibri" w:cstheme="minorHAnsi"/>
                <w:bCs/>
              </w:rPr>
            </w:pPr>
            <w:r w:rsidRPr="0063325C">
              <w:rPr>
                <w:rFonts w:eastAsia="Calibri" w:cstheme="minorHAnsi"/>
                <w:bCs/>
              </w:rPr>
              <w:t>48 093</w:t>
            </w:r>
          </w:p>
        </w:tc>
      </w:tr>
      <w:tr w:rsidR="0063325C" w:rsidRPr="0063325C" w14:paraId="05D7B1A4" w14:textId="77777777" w:rsidTr="00361052">
        <w:tc>
          <w:tcPr>
            <w:tcW w:w="1560" w:type="dxa"/>
          </w:tcPr>
          <w:p w14:paraId="2D753C83" w14:textId="77777777" w:rsidR="0063325C" w:rsidRPr="0063325C" w:rsidRDefault="0063325C" w:rsidP="0063325C">
            <w:pPr>
              <w:rPr>
                <w:rFonts w:eastAsia="Calibri" w:cstheme="minorHAnsi"/>
                <w:bCs/>
              </w:rPr>
            </w:pPr>
            <w:r w:rsidRPr="0063325C">
              <w:rPr>
                <w:rFonts w:eastAsia="Calibri" w:cstheme="minorHAnsi"/>
                <w:bCs/>
              </w:rPr>
              <w:t>Trarza</w:t>
            </w:r>
          </w:p>
          <w:p w14:paraId="059F3261" w14:textId="77777777" w:rsidR="0063325C" w:rsidRPr="0063325C" w:rsidRDefault="0063325C" w:rsidP="0063325C">
            <w:pPr>
              <w:rPr>
                <w:rFonts w:eastAsia="Calibri" w:cstheme="minorHAnsi"/>
                <w:bCs/>
              </w:rPr>
            </w:pPr>
          </w:p>
          <w:p w14:paraId="475C5CF9" w14:textId="77777777" w:rsidR="0063325C" w:rsidRPr="0063325C" w:rsidRDefault="0063325C" w:rsidP="0063325C">
            <w:pPr>
              <w:rPr>
                <w:rFonts w:eastAsia="Calibri" w:cstheme="minorHAnsi"/>
                <w:bCs/>
              </w:rPr>
            </w:pPr>
            <w:r w:rsidRPr="0063325C">
              <w:rPr>
                <w:rFonts w:eastAsia="Calibri" w:cstheme="minorHAnsi"/>
                <w:bCs/>
              </w:rPr>
              <w:t xml:space="preserve"> </w:t>
            </w:r>
          </w:p>
        </w:tc>
        <w:tc>
          <w:tcPr>
            <w:tcW w:w="1532" w:type="dxa"/>
          </w:tcPr>
          <w:p w14:paraId="3D679CF7" w14:textId="77777777" w:rsidR="0063325C" w:rsidRPr="0063325C" w:rsidRDefault="0063325C" w:rsidP="0063325C">
            <w:pPr>
              <w:rPr>
                <w:rFonts w:eastAsia="Calibri" w:cstheme="minorHAnsi"/>
                <w:bCs/>
              </w:rPr>
            </w:pPr>
            <w:r w:rsidRPr="0063325C">
              <w:rPr>
                <w:rFonts w:eastAsia="Calibri" w:cstheme="minorHAnsi"/>
                <w:bCs/>
              </w:rPr>
              <w:t xml:space="preserve">Méderdra </w:t>
            </w:r>
          </w:p>
          <w:p w14:paraId="4AFD87C5" w14:textId="77777777" w:rsidR="0063325C" w:rsidRPr="0063325C" w:rsidRDefault="0063325C" w:rsidP="0063325C">
            <w:pPr>
              <w:rPr>
                <w:rFonts w:eastAsia="Calibri" w:cstheme="minorHAnsi"/>
                <w:bCs/>
              </w:rPr>
            </w:pPr>
          </w:p>
          <w:p w14:paraId="7B4E7AD0" w14:textId="77777777" w:rsidR="0063325C" w:rsidRPr="0063325C" w:rsidRDefault="0063325C" w:rsidP="0063325C">
            <w:pPr>
              <w:rPr>
                <w:rFonts w:eastAsia="Calibri" w:cstheme="minorHAnsi"/>
                <w:bCs/>
              </w:rPr>
            </w:pPr>
            <w:r w:rsidRPr="0063325C">
              <w:rPr>
                <w:rFonts w:eastAsia="Calibri" w:cstheme="minorHAnsi"/>
                <w:bCs/>
              </w:rPr>
              <w:t>Keur macène</w:t>
            </w:r>
          </w:p>
        </w:tc>
        <w:tc>
          <w:tcPr>
            <w:tcW w:w="1586" w:type="dxa"/>
          </w:tcPr>
          <w:p w14:paraId="0CCA6D22" w14:textId="77777777" w:rsidR="0063325C" w:rsidRPr="0063325C" w:rsidRDefault="0063325C" w:rsidP="0063325C">
            <w:pPr>
              <w:rPr>
                <w:rFonts w:eastAsia="Calibri" w:cstheme="minorHAnsi"/>
                <w:bCs/>
              </w:rPr>
            </w:pPr>
            <w:r w:rsidRPr="0063325C">
              <w:rPr>
                <w:rFonts w:eastAsia="Calibri" w:cstheme="minorHAnsi"/>
                <w:bCs/>
              </w:rPr>
              <w:t xml:space="preserve">Tiguent </w:t>
            </w:r>
          </w:p>
          <w:p w14:paraId="4CC976A9" w14:textId="77777777" w:rsidR="0063325C" w:rsidRPr="0063325C" w:rsidRDefault="0063325C" w:rsidP="0063325C">
            <w:pPr>
              <w:rPr>
                <w:rFonts w:eastAsia="Calibri" w:cstheme="minorHAnsi"/>
                <w:bCs/>
              </w:rPr>
            </w:pPr>
          </w:p>
          <w:p w14:paraId="67DA0BE8" w14:textId="77777777" w:rsidR="0063325C" w:rsidRPr="0063325C" w:rsidRDefault="0063325C" w:rsidP="0063325C">
            <w:pPr>
              <w:rPr>
                <w:rFonts w:eastAsia="Calibri" w:cstheme="minorHAnsi"/>
                <w:bCs/>
              </w:rPr>
            </w:pPr>
            <w:r w:rsidRPr="0063325C">
              <w:rPr>
                <w:rFonts w:eastAsia="Calibri" w:cstheme="minorHAnsi"/>
                <w:bCs/>
              </w:rPr>
              <w:t xml:space="preserve">M’balal  </w:t>
            </w:r>
          </w:p>
        </w:tc>
        <w:tc>
          <w:tcPr>
            <w:tcW w:w="3402" w:type="dxa"/>
            <w:hideMark/>
          </w:tcPr>
          <w:p w14:paraId="3307AD4E" w14:textId="77777777" w:rsidR="0063325C" w:rsidRPr="0063325C" w:rsidRDefault="0063325C" w:rsidP="0063325C">
            <w:pPr>
              <w:rPr>
                <w:rFonts w:eastAsia="Calibri" w:cstheme="minorHAnsi"/>
                <w:bCs/>
              </w:rPr>
            </w:pPr>
            <w:r w:rsidRPr="0063325C">
              <w:rPr>
                <w:rFonts w:eastAsia="Calibri" w:cstheme="minorHAnsi"/>
                <w:bCs/>
              </w:rPr>
              <w:t>Gweichchi (pôle de développement)</w:t>
            </w:r>
          </w:p>
          <w:p w14:paraId="48906400" w14:textId="77777777" w:rsidR="0063325C" w:rsidRPr="0063325C" w:rsidRDefault="0063325C" w:rsidP="0063325C">
            <w:pPr>
              <w:rPr>
                <w:rFonts w:eastAsia="Calibri" w:cstheme="minorHAnsi"/>
                <w:bCs/>
              </w:rPr>
            </w:pPr>
            <w:r w:rsidRPr="0063325C">
              <w:rPr>
                <w:rFonts w:eastAsia="Calibri" w:cstheme="minorHAnsi"/>
                <w:bCs/>
              </w:rPr>
              <w:t xml:space="preserve">Pk 144 (centre de formation et pôle de développement)) </w:t>
            </w:r>
          </w:p>
        </w:tc>
        <w:tc>
          <w:tcPr>
            <w:tcW w:w="1213" w:type="dxa"/>
            <w:hideMark/>
          </w:tcPr>
          <w:p w14:paraId="66592598" w14:textId="77777777" w:rsidR="0063325C" w:rsidRPr="0063325C" w:rsidRDefault="0063325C" w:rsidP="0063325C">
            <w:pPr>
              <w:rPr>
                <w:rFonts w:eastAsia="Calibri" w:cstheme="minorHAnsi"/>
                <w:bCs/>
              </w:rPr>
            </w:pPr>
            <w:r w:rsidRPr="0063325C">
              <w:rPr>
                <w:rFonts w:eastAsia="Calibri" w:cstheme="minorHAnsi"/>
                <w:bCs/>
              </w:rPr>
              <w:t>12 170</w:t>
            </w:r>
          </w:p>
          <w:p w14:paraId="05043102" w14:textId="77777777" w:rsidR="0063325C" w:rsidRPr="0063325C" w:rsidRDefault="0063325C" w:rsidP="0063325C">
            <w:pPr>
              <w:rPr>
                <w:rFonts w:eastAsia="Calibri" w:cstheme="minorHAnsi"/>
                <w:bCs/>
              </w:rPr>
            </w:pPr>
            <w:r w:rsidRPr="0063325C">
              <w:rPr>
                <w:rFonts w:eastAsia="Calibri" w:cstheme="minorHAnsi"/>
                <w:bCs/>
              </w:rPr>
              <w:t xml:space="preserve">312           </w:t>
            </w:r>
          </w:p>
          <w:p w14:paraId="0CD8C5B7" w14:textId="77777777" w:rsidR="0063325C" w:rsidRPr="0063325C" w:rsidRDefault="0063325C" w:rsidP="0063325C">
            <w:pPr>
              <w:rPr>
                <w:rFonts w:eastAsia="Calibri" w:cstheme="minorHAnsi"/>
                <w:bCs/>
              </w:rPr>
            </w:pPr>
            <w:r w:rsidRPr="0063325C">
              <w:rPr>
                <w:rFonts w:eastAsia="Calibri" w:cstheme="minorHAnsi"/>
                <w:bCs/>
              </w:rPr>
              <w:t xml:space="preserve">    14 129</w:t>
            </w:r>
          </w:p>
          <w:p w14:paraId="7325A27E" w14:textId="77777777" w:rsidR="0063325C" w:rsidRPr="0063325C" w:rsidRDefault="0063325C" w:rsidP="0063325C">
            <w:pPr>
              <w:rPr>
                <w:rFonts w:eastAsia="Calibri" w:cstheme="minorHAnsi"/>
                <w:bCs/>
              </w:rPr>
            </w:pPr>
            <w:r w:rsidRPr="0063325C">
              <w:rPr>
                <w:rFonts w:eastAsia="Calibri" w:cstheme="minorHAnsi"/>
                <w:bCs/>
              </w:rPr>
              <w:t>392</w:t>
            </w:r>
          </w:p>
        </w:tc>
      </w:tr>
    </w:tbl>
    <w:p w14:paraId="3EC6896A" w14:textId="77777777" w:rsidR="0063325C" w:rsidRPr="0063325C" w:rsidRDefault="0063325C" w:rsidP="0063325C">
      <w:pPr>
        <w:rPr>
          <w:rFonts w:eastAsia="Calibri" w:cstheme="minorHAnsi"/>
          <w:b/>
        </w:rPr>
      </w:pPr>
      <w:r w:rsidRPr="0063325C">
        <w:rPr>
          <w:rFonts w:eastAsia="Calibri" w:cstheme="minorHAnsi"/>
          <w:b/>
        </w:rPr>
        <w:t xml:space="preserve">4.1.2. Zone maritime </w:t>
      </w:r>
    </w:p>
    <w:p w14:paraId="6192811F" w14:textId="77777777" w:rsidR="0063325C" w:rsidRPr="0063325C" w:rsidRDefault="0063325C" w:rsidP="0063325C">
      <w:pPr>
        <w:rPr>
          <w:rFonts w:eastAsia="Calibri" w:cstheme="minorHAnsi"/>
        </w:rPr>
      </w:pPr>
      <w:r w:rsidRPr="0063325C">
        <w:rPr>
          <w:rFonts w:eastAsia="Calibri" w:cstheme="minorHAnsi"/>
        </w:rPr>
        <w:t xml:space="preserve">La zone maritime comprend le domaine démersal(fonds) et le domaine pélagique(surface) </w:t>
      </w:r>
    </w:p>
    <w:p w14:paraId="4C706564" w14:textId="77777777" w:rsidR="0063325C" w:rsidRPr="0063325C" w:rsidRDefault="0063325C" w:rsidP="0063325C">
      <w:pPr>
        <w:rPr>
          <w:rFonts w:eastAsia="Calibri" w:cstheme="minorHAnsi"/>
        </w:rPr>
      </w:pPr>
      <w:r w:rsidRPr="0063325C">
        <w:rPr>
          <w:rFonts w:eastAsia="Calibri" w:cstheme="minorHAnsi"/>
        </w:rPr>
        <w:t xml:space="preserve">Le domaine démersal(fonds) comprend le plateau continental, le talus, le domaine pélagique est subdivisé en zone côtière et zone hauturière. </w:t>
      </w:r>
    </w:p>
    <w:p w14:paraId="0EEE9316" w14:textId="77777777" w:rsidR="0063325C" w:rsidRPr="0063325C" w:rsidRDefault="0063325C" w:rsidP="0063325C">
      <w:pPr>
        <w:rPr>
          <w:rFonts w:eastAsia="Calibri" w:cstheme="minorHAnsi"/>
        </w:rPr>
      </w:pPr>
      <w:r w:rsidRPr="0063325C">
        <w:rPr>
          <w:rFonts w:eastAsia="Calibri" w:cstheme="minorHAnsi"/>
        </w:rPr>
        <w:t xml:space="preserve">Le plateau continental est une vaste plate-forme dont la largeur varie entre 30 et 150 km, pour </w:t>
      </w:r>
      <w:proofErr w:type="gramStart"/>
      <w:r w:rsidRPr="0063325C">
        <w:rPr>
          <w:rFonts w:eastAsia="Calibri" w:cstheme="minorHAnsi"/>
        </w:rPr>
        <w:t>une  largeur</w:t>
      </w:r>
      <w:proofErr w:type="gramEnd"/>
      <w:r w:rsidRPr="0063325C">
        <w:rPr>
          <w:rFonts w:eastAsia="Calibri" w:cstheme="minorHAnsi"/>
        </w:rPr>
        <w:t xml:space="preserve"> moyenne de 70 km. </w:t>
      </w:r>
    </w:p>
    <w:p w14:paraId="718D59BA" w14:textId="77777777" w:rsidR="0063325C" w:rsidRPr="0063325C" w:rsidRDefault="0063325C" w:rsidP="0063325C">
      <w:pPr>
        <w:rPr>
          <w:rFonts w:eastAsia="Calibri" w:cstheme="minorHAnsi"/>
        </w:rPr>
      </w:pPr>
      <w:r w:rsidRPr="0063325C">
        <w:rPr>
          <w:rFonts w:eastAsia="Calibri" w:cstheme="minorHAnsi"/>
        </w:rPr>
        <w:t xml:space="preserve">De nombreuses fosses entaillent profondément le plateau continental et arrivent au contact du banc où les fonds de 10m voisinent alors avec ceux de 300 à 400m.  Les parois sud de ces canyons sont généralement rocheuses et souvent coralliennes. </w:t>
      </w:r>
    </w:p>
    <w:p w14:paraId="56B83140" w14:textId="77777777" w:rsidR="0063325C" w:rsidRPr="0063325C" w:rsidRDefault="0063325C" w:rsidP="0063325C">
      <w:pPr>
        <w:rPr>
          <w:rFonts w:eastAsia="Calibri" w:cstheme="minorHAnsi"/>
        </w:rPr>
      </w:pPr>
      <w:r w:rsidRPr="0063325C">
        <w:rPr>
          <w:rFonts w:eastAsia="Calibri" w:cstheme="minorHAnsi"/>
        </w:rPr>
        <w:t xml:space="preserve">Ces canyons ont un impact important sur la circulation de l'upwelling et la sédimentation dans la zone du cap </w:t>
      </w:r>
      <w:proofErr w:type="gramStart"/>
      <w:r w:rsidRPr="0063325C">
        <w:rPr>
          <w:rFonts w:eastAsia="Calibri" w:cstheme="minorHAnsi"/>
        </w:rPr>
        <w:t>Timiris .</w:t>
      </w:r>
      <w:proofErr w:type="gramEnd"/>
      <w:r w:rsidRPr="0063325C">
        <w:rPr>
          <w:rFonts w:eastAsia="Calibri" w:cstheme="minorHAnsi"/>
        </w:rPr>
        <w:t xml:space="preserve"> </w:t>
      </w:r>
    </w:p>
    <w:p w14:paraId="734647AD" w14:textId="77777777" w:rsidR="0063325C" w:rsidRPr="0063325C" w:rsidRDefault="0063325C" w:rsidP="00143794">
      <w:pPr>
        <w:rPr>
          <w:rFonts w:eastAsia="Calibri" w:cstheme="minorHAnsi"/>
        </w:rPr>
      </w:pPr>
      <w:r w:rsidRPr="0063325C">
        <w:rPr>
          <w:rFonts w:eastAsia="Calibri" w:cstheme="minorHAnsi"/>
        </w:rPr>
        <w:t xml:space="preserve">La pente du plateau (Le talus) au-delà des fonds de 200 m se présente en chute nette avec un talus bien marqué suivi d'une pente franche, si bien que sa délimitation extrêmement importante pour la pêche des espèces pélagiques à certaines périodes de l'année est relativement aisée en venant du large. </w:t>
      </w:r>
    </w:p>
    <w:p w14:paraId="6A38B979" w14:textId="5ABFBD37" w:rsidR="0063325C" w:rsidRPr="0063325C" w:rsidRDefault="0063325C" w:rsidP="00143794">
      <w:pPr>
        <w:rPr>
          <w:rFonts w:eastAsia="Calibri" w:cstheme="minorHAnsi"/>
        </w:rPr>
      </w:pPr>
      <w:r w:rsidRPr="0063325C">
        <w:rPr>
          <w:rFonts w:eastAsia="Calibri" w:cstheme="minorHAnsi"/>
        </w:rPr>
        <w:t xml:space="preserve">La frontière mauritano-sénégalaise est caractérisée par les rejets entraînés par </w:t>
      </w:r>
      <w:r w:rsidR="00143794" w:rsidRPr="0063325C">
        <w:rPr>
          <w:rFonts w:eastAsia="Calibri" w:cstheme="minorHAnsi"/>
        </w:rPr>
        <w:t>le fleuve</w:t>
      </w:r>
      <w:r w:rsidRPr="0063325C">
        <w:rPr>
          <w:rFonts w:eastAsia="Calibri" w:cstheme="minorHAnsi"/>
        </w:rPr>
        <w:t xml:space="preserve"> Sénégal sous forme de particules décantées du flux du fleuve </w:t>
      </w:r>
      <w:r w:rsidR="00143794" w:rsidRPr="0063325C">
        <w:rPr>
          <w:rFonts w:eastAsia="Calibri" w:cstheme="minorHAnsi"/>
        </w:rPr>
        <w:t>retrouvées au</w:t>
      </w:r>
      <w:r w:rsidRPr="0063325C">
        <w:rPr>
          <w:rFonts w:eastAsia="Calibri" w:cstheme="minorHAnsi"/>
        </w:rPr>
        <w:t xml:space="preserve"> Nord de l'embouchure. </w:t>
      </w:r>
    </w:p>
    <w:p w14:paraId="1D303A17" w14:textId="77777777" w:rsidR="0063325C" w:rsidRPr="0063325C" w:rsidRDefault="0063325C" w:rsidP="00143794">
      <w:pPr>
        <w:rPr>
          <w:rFonts w:eastAsia="Calibri" w:cstheme="minorHAnsi"/>
        </w:rPr>
      </w:pPr>
      <w:r w:rsidRPr="0063325C">
        <w:rPr>
          <w:rFonts w:eastAsia="Calibri" w:cstheme="minorHAnsi"/>
        </w:rPr>
        <w:t>Le barrage, sur le fleuve Sénégal, a occasionné un arrêt des apports matériaux en mer, d'où l'arrêt de la sédimentation et des déficits de matières en suspension.</w:t>
      </w:r>
    </w:p>
    <w:p w14:paraId="5E3143BE" w14:textId="77777777" w:rsidR="0063325C" w:rsidRPr="0063325C" w:rsidRDefault="0063325C" w:rsidP="00143794">
      <w:pPr>
        <w:numPr>
          <w:ilvl w:val="0"/>
          <w:numId w:val="327"/>
        </w:numPr>
        <w:rPr>
          <w:rFonts w:eastAsia="Calibri" w:cstheme="minorHAnsi"/>
        </w:rPr>
      </w:pPr>
      <w:r w:rsidRPr="0063325C">
        <w:rPr>
          <w:rFonts w:eastAsia="Calibri" w:cstheme="minorHAnsi"/>
          <w:b/>
        </w:rPr>
        <w:t>Analyse des facteurs climatiques qui influencent la dynamique des espèces pélagiques</w:t>
      </w:r>
    </w:p>
    <w:p w14:paraId="2300C37D" w14:textId="77777777" w:rsidR="0063325C" w:rsidRPr="0063325C" w:rsidRDefault="0063325C" w:rsidP="00143794">
      <w:pPr>
        <w:rPr>
          <w:rFonts w:eastAsia="Calibri" w:cstheme="minorHAnsi"/>
        </w:rPr>
      </w:pPr>
      <w:r w:rsidRPr="0063325C">
        <w:rPr>
          <w:rFonts w:eastAsia="Calibri" w:cstheme="minorHAnsi"/>
        </w:rPr>
        <w:t>La dynamique des stocks de poissons pélagiques</w:t>
      </w:r>
      <w:r w:rsidRPr="0063325C">
        <w:rPr>
          <w:rFonts w:eastAsia="Calibri" w:cstheme="minorHAnsi"/>
          <w:vertAlign w:val="superscript"/>
        </w:rPr>
        <w:t xml:space="preserve"> </w:t>
      </w:r>
      <w:r w:rsidRPr="0063325C">
        <w:rPr>
          <w:rFonts w:eastAsia="Calibri" w:cstheme="minorHAnsi"/>
        </w:rPr>
        <w:t>côtiers est étroitement associée à celle des facteurs environnementaux tels que l'intensité et la variabilité saisonnière ou interannuelle des upwellings, les aspects de la production primaire ou secondaire, ainsi que les caractéristiques hydrodynamiques de ces régions, mais aussi de multiples autres facteurs tels la présence de nombreux canyons.</w:t>
      </w:r>
    </w:p>
    <w:p w14:paraId="6F5868BA" w14:textId="08CAC060" w:rsidR="0063325C" w:rsidRPr="0063325C" w:rsidRDefault="00143794" w:rsidP="00143794">
      <w:pPr>
        <w:rPr>
          <w:rFonts w:eastAsia="Calibri" w:cstheme="minorHAnsi"/>
        </w:rPr>
      </w:pPr>
      <w:r w:rsidRPr="0063325C">
        <w:rPr>
          <w:rFonts w:eastAsia="Calibri" w:cstheme="minorHAnsi"/>
        </w:rPr>
        <w:t>On distingue</w:t>
      </w:r>
      <w:r w:rsidR="0063325C" w:rsidRPr="0063325C">
        <w:rPr>
          <w:rFonts w:eastAsia="Calibri" w:cstheme="minorHAnsi"/>
        </w:rPr>
        <w:t xml:space="preserve"> 4 saisons hydrologiques :</w:t>
      </w:r>
    </w:p>
    <w:p w14:paraId="2DB68B00" w14:textId="77777777" w:rsidR="0063325C" w:rsidRPr="0063325C" w:rsidRDefault="0063325C" w:rsidP="00143794">
      <w:pPr>
        <w:numPr>
          <w:ilvl w:val="0"/>
          <w:numId w:val="324"/>
        </w:numPr>
        <w:rPr>
          <w:rFonts w:eastAsia="Calibri" w:cstheme="minorHAnsi"/>
        </w:rPr>
      </w:pPr>
      <w:r w:rsidRPr="0063325C">
        <w:rPr>
          <w:rFonts w:eastAsia="Calibri" w:cstheme="minorHAnsi"/>
          <w:b/>
          <w:bCs/>
        </w:rPr>
        <w:t>Une saison froide</w:t>
      </w:r>
      <w:r w:rsidRPr="0063325C">
        <w:rPr>
          <w:rFonts w:eastAsia="Calibri" w:cstheme="minorHAnsi"/>
        </w:rPr>
        <w:t xml:space="preserve"> (janvier- mai) pendant laquelle le plateau continental mauritanien est soumise à l'influence des eaux du courant des Canaries. En liaison avec les vents d'alizés il se produit le long du talus continental des phénomènes d'upwelling.  </w:t>
      </w:r>
    </w:p>
    <w:p w14:paraId="4EFF5A56" w14:textId="77777777" w:rsidR="0063325C" w:rsidRPr="0063325C" w:rsidRDefault="0063325C" w:rsidP="00143794">
      <w:pPr>
        <w:rPr>
          <w:rFonts w:eastAsia="Calibri" w:cstheme="minorHAnsi"/>
        </w:rPr>
      </w:pPr>
      <w:r w:rsidRPr="0063325C">
        <w:rPr>
          <w:rFonts w:eastAsia="Calibri" w:cstheme="minorHAnsi"/>
        </w:rPr>
        <w:t>Les eaux les plus froides se situent près de la côte au sud du cap Timiris. Elles sont séparées des eaux superficielles plus chaudes du large par une zone de gradients thermiques plus ou moins prononcés. Pendant la saison froide, l'ensemble du plateau est envahi par des masses d'eau froides et la température moyenne est de 18.4°C.</w:t>
      </w:r>
    </w:p>
    <w:p w14:paraId="35397F31" w14:textId="6542E1BD" w:rsidR="0063325C" w:rsidRPr="0063325C" w:rsidRDefault="0063325C" w:rsidP="00143794">
      <w:pPr>
        <w:numPr>
          <w:ilvl w:val="0"/>
          <w:numId w:val="324"/>
        </w:numPr>
        <w:rPr>
          <w:rFonts w:eastAsia="Calibri" w:cstheme="minorHAnsi"/>
        </w:rPr>
      </w:pPr>
      <w:r w:rsidRPr="0063325C">
        <w:rPr>
          <w:rFonts w:eastAsia="Calibri" w:cstheme="minorHAnsi"/>
          <w:b/>
          <w:bCs/>
        </w:rPr>
        <w:t xml:space="preserve"> </w:t>
      </w:r>
      <w:r w:rsidR="00143794" w:rsidRPr="0063325C">
        <w:rPr>
          <w:rFonts w:eastAsia="Calibri" w:cstheme="minorHAnsi"/>
          <w:b/>
          <w:bCs/>
        </w:rPr>
        <w:t>Saison</w:t>
      </w:r>
      <w:r w:rsidRPr="0063325C">
        <w:rPr>
          <w:rFonts w:eastAsia="Calibri" w:cstheme="minorHAnsi"/>
          <w:b/>
          <w:bCs/>
        </w:rPr>
        <w:t xml:space="preserve"> de transition froide</w:t>
      </w:r>
      <w:r w:rsidRPr="0063325C">
        <w:rPr>
          <w:rFonts w:eastAsia="Calibri" w:cstheme="minorHAnsi"/>
        </w:rPr>
        <w:t xml:space="preserve"> - chaude (juin – juillet) : pendant cette saison, on assiste au large et dans le sud du plateau continental mauritanien au recouvrement progressif des eaux froides par les eaux chaudes d'origine guinéenne en même temps qu'au renforcement des upwellings côtiers sur le plateau, au nord et au sud du cap Timiris, et à la formation de zones frontales très marquées. </w:t>
      </w:r>
    </w:p>
    <w:p w14:paraId="79D14E7E" w14:textId="637F71FD" w:rsidR="0063325C" w:rsidRPr="0063325C" w:rsidRDefault="0063325C" w:rsidP="00143794">
      <w:pPr>
        <w:numPr>
          <w:ilvl w:val="0"/>
          <w:numId w:val="324"/>
        </w:numPr>
        <w:jc w:val="both"/>
        <w:rPr>
          <w:rFonts w:eastAsia="Calibri" w:cstheme="minorHAnsi"/>
        </w:rPr>
      </w:pPr>
      <w:r w:rsidRPr="0063325C">
        <w:rPr>
          <w:rFonts w:eastAsia="Calibri" w:cstheme="minorHAnsi"/>
          <w:b/>
          <w:bCs/>
        </w:rPr>
        <w:t>Saison chaude</w:t>
      </w:r>
      <w:r w:rsidRPr="0063325C">
        <w:rPr>
          <w:rFonts w:eastAsia="Calibri" w:cstheme="minorHAnsi"/>
        </w:rPr>
        <w:t xml:space="preserve"> (août – octobre). </w:t>
      </w:r>
      <w:r w:rsidR="00143794" w:rsidRPr="0063325C">
        <w:rPr>
          <w:rFonts w:eastAsia="Calibri" w:cstheme="minorHAnsi"/>
        </w:rPr>
        <w:t>Les alizés cessants</w:t>
      </w:r>
      <w:r w:rsidRPr="0063325C">
        <w:rPr>
          <w:rFonts w:eastAsia="Calibri" w:cstheme="minorHAnsi"/>
        </w:rPr>
        <w:t xml:space="preserve"> progressivement, les upwellings côtiers disparaissent au sud du cap Timiris. Les eaux chaudes envahissent l'ensemble du plateau et une zone frontale perpendiculaire à la côte se forme à la latitude approximative du cap Blanc. Pendant la saison chaude, le plateau est sous l'influence des eaux tropicales chaudes (24° à 27°C) avec une moyenne de 25°C. A partir de juillet-août les alizés disparaissent au sud du cap Blanc et les précipitations apparaissent, importantes à partir du sud de la presqu'île du Cap-Vert. Il existe encore une couche de surface isotherme de 25 à 27°C, dont l'épaisseur augmente légèrement vers la côte par suite du processus d'accumulation.</w:t>
      </w:r>
    </w:p>
    <w:p w14:paraId="6DBD33DA" w14:textId="77777777" w:rsidR="0063325C" w:rsidRPr="0063325C" w:rsidRDefault="0063325C" w:rsidP="00143794">
      <w:pPr>
        <w:numPr>
          <w:ilvl w:val="0"/>
          <w:numId w:val="324"/>
        </w:numPr>
        <w:jc w:val="both"/>
        <w:rPr>
          <w:rFonts w:eastAsia="Calibri" w:cstheme="minorHAnsi"/>
        </w:rPr>
      </w:pPr>
      <w:r w:rsidRPr="0063325C">
        <w:rPr>
          <w:rFonts w:eastAsia="Calibri" w:cstheme="minorHAnsi"/>
          <w:b/>
          <w:bCs/>
        </w:rPr>
        <w:t>Saison de transition chaude</w:t>
      </w:r>
      <w:r w:rsidRPr="0063325C">
        <w:rPr>
          <w:rFonts w:eastAsia="Calibri" w:cstheme="minorHAnsi"/>
        </w:rPr>
        <w:t xml:space="preserve"> – froide (novembre – décembre). En même temps que les centres de hautes pressions se déplacent vers le sud, nous assistons à partir du mois d'octobre à un retrait des eaux chaudes vers le sud. Ce retrait intéresse d'abord la région du cap Blanc où on constate l'apparition d'un upwelling qui s'étend progressivement sur tout le plateau mauritanien.</w:t>
      </w:r>
    </w:p>
    <w:p w14:paraId="0E7B2A9C" w14:textId="77777777" w:rsidR="0063325C" w:rsidRPr="0063325C" w:rsidRDefault="0063325C" w:rsidP="00143794">
      <w:pPr>
        <w:jc w:val="both"/>
        <w:rPr>
          <w:rFonts w:eastAsia="Calibri" w:cstheme="minorHAnsi"/>
        </w:rPr>
      </w:pPr>
      <w:r w:rsidRPr="0063325C">
        <w:rPr>
          <w:rFonts w:eastAsia="Calibri" w:cstheme="minorHAnsi"/>
        </w:rPr>
        <w:t xml:space="preserve">Ces variations se traduisent par des changements, dans la composition spécifique des captures, dans l'abondance des diverses espèces et leurs captures, plus ou moins forts suivant l'importance de l'upwelling. La faune tropicale côtière est progressivement remplacée par des faunes à affinités subtropicales ou tempérées.  </w:t>
      </w:r>
    </w:p>
    <w:p w14:paraId="261E5241" w14:textId="77777777" w:rsidR="0063325C" w:rsidRPr="0063325C" w:rsidRDefault="0063325C" w:rsidP="00143794">
      <w:pPr>
        <w:jc w:val="both"/>
        <w:rPr>
          <w:rFonts w:eastAsia="Calibri" w:cstheme="minorHAnsi"/>
        </w:rPr>
      </w:pPr>
      <w:r w:rsidRPr="0063325C">
        <w:rPr>
          <w:rFonts w:eastAsia="Calibri" w:cstheme="minorHAnsi"/>
        </w:rPr>
        <w:t>Les principaux centres d'upwelling sont :</w:t>
      </w:r>
    </w:p>
    <w:p w14:paraId="74464833" w14:textId="77777777" w:rsidR="0063325C" w:rsidRPr="0063325C" w:rsidRDefault="0063325C" w:rsidP="00143794">
      <w:pPr>
        <w:numPr>
          <w:ilvl w:val="0"/>
          <w:numId w:val="325"/>
        </w:numPr>
        <w:jc w:val="both"/>
        <w:rPr>
          <w:rFonts w:eastAsia="Calibri" w:cstheme="minorHAnsi"/>
        </w:rPr>
      </w:pPr>
      <w:r w:rsidRPr="0063325C">
        <w:rPr>
          <w:rFonts w:eastAsia="Calibri" w:cstheme="minorHAnsi"/>
        </w:rPr>
        <w:t xml:space="preserve">Cap Blanc (21°N) : c'est le foyer d'upwelling le plus important dans la zone nord-ouest africaine. Il dure toute l'année. Mais c'est lors du premier semestre où il est le plus intense et le plus fréquent ; ses effets atteignent le Cap Timiris au sud et quelques centaines de km au large (filament). </w:t>
      </w:r>
    </w:p>
    <w:p w14:paraId="474CBC65" w14:textId="77777777" w:rsidR="0063325C" w:rsidRPr="0063325C" w:rsidRDefault="0063325C" w:rsidP="00143794">
      <w:pPr>
        <w:numPr>
          <w:ilvl w:val="0"/>
          <w:numId w:val="325"/>
        </w:numPr>
        <w:jc w:val="both"/>
        <w:rPr>
          <w:rFonts w:eastAsia="Calibri" w:cstheme="minorHAnsi"/>
        </w:rPr>
      </w:pPr>
      <w:r w:rsidRPr="0063325C">
        <w:rPr>
          <w:rFonts w:eastAsia="Calibri" w:cstheme="minorHAnsi"/>
        </w:rPr>
        <w:t>Cap Timiris (19°) : c'est une zone spéciale en raison de la présence de canyons qui canalisent les eaux de remontées.</w:t>
      </w:r>
    </w:p>
    <w:p w14:paraId="65E44FDF" w14:textId="2B44EE33" w:rsidR="0063325C" w:rsidRPr="0063325C" w:rsidRDefault="0063325C" w:rsidP="00143794">
      <w:pPr>
        <w:jc w:val="both"/>
        <w:rPr>
          <w:rFonts w:eastAsia="Calibri" w:cstheme="minorHAnsi"/>
        </w:rPr>
      </w:pPr>
      <w:r w:rsidRPr="0063325C">
        <w:rPr>
          <w:rFonts w:eastAsia="Calibri" w:cstheme="minorHAnsi"/>
        </w:rPr>
        <w:t xml:space="preserve">Les alizés, qui sont à l'origine du forçage de l'upwelling, ne </w:t>
      </w:r>
      <w:r w:rsidR="00143794" w:rsidRPr="0063325C">
        <w:rPr>
          <w:rFonts w:eastAsia="Calibri" w:cstheme="minorHAnsi"/>
        </w:rPr>
        <w:t>sont pas</w:t>
      </w:r>
      <w:r w:rsidRPr="0063325C">
        <w:rPr>
          <w:rFonts w:eastAsia="Calibri" w:cstheme="minorHAnsi"/>
        </w:rPr>
        <w:t xml:space="preserve"> constants et réguliers à l'échelle journalière. On observe alors une périodicité dans l'intensité et l'orientation du vent en chaque point de côte, formant ainsi des pulsations. </w:t>
      </w:r>
    </w:p>
    <w:p w14:paraId="02D90E69" w14:textId="6652C2A7" w:rsidR="0063325C" w:rsidRPr="0063325C" w:rsidRDefault="0063325C" w:rsidP="003D1520">
      <w:pPr>
        <w:jc w:val="both"/>
        <w:rPr>
          <w:rFonts w:eastAsia="Calibri" w:cstheme="minorHAnsi"/>
        </w:rPr>
      </w:pPr>
      <w:r w:rsidRPr="0063325C">
        <w:rPr>
          <w:rFonts w:eastAsia="Calibri" w:cstheme="minorHAnsi"/>
        </w:rPr>
        <w:t xml:space="preserve">Le vent engendre également un brassage au sein des couches superficielles, ce brassage peut devenir un des facteurs limitant la production, </w:t>
      </w:r>
      <w:r w:rsidR="00143794" w:rsidRPr="0063325C">
        <w:rPr>
          <w:rFonts w:eastAsia="Calibri" w:cstheme="minorHAnsi"/>
        </w:rPr>
        <w:t>il accroit</w:t>
      </w:r>
      <w:r w:rsidRPr="0063325C">
        <w:rPr>
          <w:rFonts w:eastAsia="Calibri" w:cstheme="minorHAnsi"/>
        </w:rPr>
        <w:t xml:space="preserve"> la turbidité en zone littorale, ce qui réduit la photosynthèse, cette turbulence chasse la nourriture pour les larves de poissons et peut donc avoir un mauvais </w:t>
      </w:r>
      <w:r w:rsidR="00143794" w:rsidRPr="0063325C">
        <w:rPr>
          <w:rFonts w:eastAsia="Calibri" w:cstheme="minorHAnsi"/>
        </w:rPr>
        <w:t>effet sur</w:t>
      </w:r>
      <w:r w:rsidRPr="0063325C">
        <w:rPr>
          <w:rFonts w:eastAsia="Calibri" w:cstheme="minorHAnsi"/>
        </w:rPr>
        <w:t xml:space="preserve"> le recrutement.  </w:t>
      </w:r>
    </w:p>
    <w:p w14:paraId="5C0A70F0" w14:textId="5F5E4A82" w:rsidR="0063325C" w:rsidRPr="0063325C" w:rsidRDefault="0063325C" w:rsidP="003D1520">
      <w:pPr>
        <w:jc w:val="both"/>
        <w:rPr>
          <w:rFonts w:eastAsia="Calibri" w:cstheme="minorHAnsi"/>
        </w:rPr>
      </w:pPr>
      <w:r w:rsidRPr="0063325C">
        <w:rPr>
          <w:rFonts w:eastAsia="Calibri" w:cstheme="minorHAnsi"/>
        </w:rPr>
        <w:t xml:space="preserve">Les études sur l’environnement côtier ont porté </w:t>
      </w:r>
      <w:r w:rsidR="00143794" w:rsidRPr="0063325C">
        <w:rPr>
          <w:rFonts w:eastAsia="Calibri" w:cstheme="minorHAnsi"/>
        </w:rPr>
        <w:t>sur les facteurs responsables</w:t>
      </w:r>
      <w:r w:rsidRPr="0063325C">
        <w:rPr>
          <w:rFonts w:eastAsia="Calibri" w:cstheme="minorHAnsi"/>
        </w:rPr>
        <w:t xml:space="preserve"> de la richesse halieutique de la </w:t>
      </w:r>
      <w:r w:rsidR="00143794" w:rsidRPr="0063325C">
        <w:rPr>
          <w:rFonts w:eastAsia="Calibri" w:cstheme="minorHAnsi"/>
        </w:rPr>
        <w:t>ZEE mauritanienne notamment l’upwelling</w:t>
      </w:r>
      <w:r w:rsidRPr="0063325C">
        <w:rPr>
          <w:rFonts w:eastAsia="Calibri" w:cstheme="minorHAnsi"/>
        </w:rPr>
        <w:t>, les canyons marins, les courants marins et sur les effets des changements climatiques sur les ressources halieutiques. De plus, le changement climatique introduit de nouveaux types de défis, tels que l’introduction de nouvelles espèces dans les pêcheries, le déplacement du centre de gravités de certaines ressources halieutiques qui pourrait les emmener hors des limites géographiques du pays.</w:t>
      </w:r>
    </w:p>
    <w:p w14:paraId="179B9A22" w14:textId="77777777" w:rsidR="0063325C" w:rsidRPr="0063325C" w:rsidRDefault="0063325C" w:rsidP="003D1520">
      <w:pPr>
        <w:numPr>
          <w:ilvl w:val="0"/>
          <w:numId w:val="327"/>
        </w:numPr>
        <w:jc w:val="both"/>
        <w:rPr>
          <w:rFonts w:eastAsia="Calibri" w:cstheme="minorHAnsi"/>
          <w:b/>
          <w:bCs/>
        </w:rPr>
      </w:pPr>
      <w:r w:rsidRPr="0063325C">
        <w:rPr>
          <w:rFonts w:eastAsia="Calibri" w:cstheme="minorHAnsi"/>
          <w:b/>
          <w:bCs/>
        </w:rPr>
        <w:t>Caractéristiques des ressources halieutiques des eaux sous juridiction mauritanienne et mesures de conservation.</w:t>
      </w:r>
    </w:p>
    <w:p w14:paraId="4774C6E5" w14:textId="77777777" w:rsidR="0063325C" w:rsidRPr="0063325C" w:rsidRDefault="0063325C" w:rsidP="003D1520">
      <w:pPr>
        <w:numPr>
          <w:ilvl w:val="0"/>
          <w:numId w:val="328"/>
        </w:numPr>
        <w:jc w:val="both"/>
        <w:rPr>
          <w:rFonts w:eastAsia="Calibri" w:cstheme="minorHAnsi"/>
          <w:b/>
          <w:bCs/>
        </w:rPr>
      </w:pPr>
      <w:r w:rsidRPr="0063325C">
        <w:rPr>
          <w:rFonts w:eastAsia="Calibri" w:cstheme="minorHAnsi"/>
          <w:b/>
        </w:rPr>
        <w:t xml:space="preserve">Ressources démersales du plateau continental </w:t>
      </w:r>
    </w:p>
    <w:p w14:paraId="65FF1009" w14:textId="56C5CF4B" w:rsidR="0063325C" w:rsidRPr="0063325C" w:rsidRDefault="0063325C" w:rsidP="00143794">
      <w:pPr>
        <w:jc w:val="both"/>
        <w:rPr>
          <w:rFonts w:eastAsia="Calibri" w:cstheme="minorHAnsi"/>
        </w:rPr>
      </w:pPr>
      <w:r w:rsidRPr="0063325C">
        <w:rPr>
          <w:rFonts w:eastAsia="Calibri" w:cstheme="minorHAnsi"/>
        </w:rPr>
        <w:t>De toutes les ressources halieutiques de la ZEE mauritanienne, le stock de poulpe est économiquement dominant. Son potentiel moyen de capture est de l'ordre de 40 à 50 000 tonnes. Les différentes mesures sont envisageables pour réaliser l’ajustement des capacités de capture au potentiel des stocks démersaux, ces mesures sont les suivantes </w:t>
      </w:r>
      <w:proofErr w:type="gramStart"/>
      <w:r w:rsidRPr="0063325C">
        <w:rPr>
          <w:rFonts w:eastAsia="Calibri" w:cstheme="minorHAnsi"/>
        </w:rPr>
        <w:t>:  (</w:t>
      </w:r>
      <w:proofErr w:type="gramEnd"/>
      <w:r w:rsidRPr="0063325C">
        <w:rPr>
          <w:rFonts w:eastAsia="Calibri" w:cstheme="minorHAnsi"/>
        </w:rPr>
        <w:t xml:space="preserve">i) </w:t>
      </w:r>
      <w:r w:rsidR="005028CB" w:rsidRPr="0063325C">
        <w:rPr>
          <w:rFonts w:eastAsia="Calibri" w:cstheme="minorHAnsi"/>
        </w:rPr>
        <w:t>la Régulation</w:t>
      </w:r>
      <w:r w:rsidRPr="0063325C">
        <w:rPr>
          <w:rFonts w:eastAsia="Calibri" w:cstheme="minorHAnsi"/>
        </w:rPr>
        <w:t xml:space="preserve"> des capacités de </w:t>
      </w:r>
      <w:r w:rsidR="005028CB" w:rsidRPr="0063325C">
        <w:rPr>
          <w:rFonts w:eastAsia="Calibri" w:cstheme="minorHAnsi"/>
        </w:rPr>
        <w:t>capture, (</w:t>
      </w:r>
      <w:r w:rsidRPr="0063325C">
        <w:rPr>
          <w:rFonts w:eastAsia="Calibri" w:cstheme="minorHAnsi"/>
        </w:rPr>
        <w:t>ii</w:t>
      </w:r>
      <w:proofErr w:type="gramStart"/>
      <w:r w:rsidRPr="0063325C">
        <w:rPr>
          <w:rFonts w:eastAsia="Calibri" w:cstheme="minorHAnsi"/>
        </w:rPr>
        <w:t>)  la</w:t>
      </w:r>
      <w:proofErr w:type="gramEnd"/>
      <w:r w:rsidRPr="0063325C">
        <w:rPr>
          <w:rFonts w:eastAsia="Calibri" w:cstheme="minorHAnsi"/>
        </w:rPr>
        <w:t xml:space="preserve"> protection des juvéniles. </w:t>
      </w:r>
    </w:p>
    <w:p w14:paraId="0517291A" w14:textId="26BB2D5C" w:rsidR="0063325C" w:rsidRPr="0063325C" w:rsidRDefault="0063325C" w:rsidP="001228B5">
      <w:pPr>
        <w:jc w:val="both"/>
        <w:rPr>
          <w:rFonts w:eastAsia="Calibri" w:cstheme="minorHAnsi"/>
        </w:rPr>
      </w:pPr>
      <w:r w:rsidRPr="0063325C">
        <w:rPr>
          <w:rFonts w:eastAsia="Calibri" w:cstheme="minorHAnsi"/>
        </w:rPr>
        <w:t xml:space="preserve">D’autres méthodes peuvent être combinées pour mieux protéger les </w:t>
      </w:r>
      <w:r w:rsidR="005028CB" w:rsidRPr="0063325C">
        <w:rPr>
          <w:rFonts w:eastAsia="Calibri" w:cstheme="minorHAnsi"/>
        </w:rPr>
        <w:t>juvéniles :</w:t>
      </w:r>
      <w:r w:rsidRPr="0063325C">
        <w:rPr>
          <w:rFonts w:eastAsia="Calibri" w:cstheme="minorHAnsi"/>
        </w:rPr>
        <w:t xml:space="preserve"> la taxe à l'exportation (ou sur les débarquements) peut être modulée, en fonction non seulement de la rente foncière potentielle des différents stocks, mais aussi du besoin de protéger les </w:t>
      </w:r>
      <w:r w:rsidR="005028CB" w:rsidRPr="0063325C">
        <w:rPr>
          <w:rFonts w:eastAsia="Calibri" w:cstheme="minorHAnsi"/>
        </w:rPr>
        <w:t>juvéniles ;</w:t>
      </w:r>
      <w:r w:rsidRPr="0063325C">
        <w:rPr>
          <w:rFonts w:eastAsia="Calibri" w:cstheme="minorHAnsi"/>
        </w:rPr>
        <w:t xml:space="preserve"> la taxe devrait dissuader la pêche des individus de taille inférieure à la taille marchande légale. </w:t>
      </w:r>
    </w:p>
    <w:p w14:paraId="64907946" w14:textId="75C7DDB0" w:rsidR="0063325C" w:rsidRPr="0063325C" w:rsidRDefault="0063325C" w:rsidP="001228B5">
      <w:pPr>
        <w:jc w:val="both"/>
        <w:rPr>
          <w:rFonts w:eastAsia="Calibri" w:cstheme="minorHAnsi"/>
        </w:rPr>
      </w:pPr>
      <w:r w:rsidRPr="0063325C">
        <w:rPr>
          <w:rFonts w:eastAsia="Calibri" w:cstheme="minorHAnsi"/>
        </w:rPr>
        <w:t>Le repos biologique : l'interdiction de pêcher pendant le pic de recrutement était à la fois efficace et applicable (plus facilement que la régulation du maillage</w:t>
      </w:r>
      <w:proofErr w:type="gramStart"/>
      <w:r w:rsidRPr="0063325C">
        <w:rPr>
          <w:rFonts w:eastAsia="Calibri" w:cstheme="minorHAnsi"/>
        </w:rPr>
        <w:t>);</w:t>
      </w:r>
      <w:proofErr w:type="gramEnd"/>
      <w:r w:rsidRPr="0063325C">
        <w:rPr>
          <w:rFonts w:eastAsia="Calibri" w:cstheme="minorHAnsi"/>
        </w:rPr>
        <w:t xml:space="preserve"> par contre, ce type de mesure ne peut fournir qu'une solution </w:t>
      </w:r>
      <w:r w:rsidR="005028CB" w:rsidRPr="0063325C">
        <w:rPr>
          <w:rFonts w:eastAsia="Calibri" w:cstheme="minorHAnsi"/>
        </w:rPr>
        <w:t>partielle ;</w:t>
      </w:r>
      <w:r w:rsidRPr="0063325C">
        <w:rPr>
          <w:rFonts w:eastAsia="Calibri" w:cstheme="minorHAnsi"/>
        </w:rPr>
        <w:t xml:space="preserve"> comme il entraîne un surcoût pour les armements (amortissement des investissements).</w:t>
      </w:r>
    </w:p>
    <w:p w14:paraId="1589606D" w14:textId="39DB513D" w:rsidR="0063325C" w:rsidRPr="001228B5" w:rsidRDefault="0063325C" w:rsidP="001228B5">
      <w:pPr>
        <w:jc w:val="both"/>
        <w:rPr>
          <w:rFonts w:eastAsia="Calibri" w:cstheme="minorHAnsi"/>
        </w:rPr>
      </w:pPr>
      <w:r w:rsidRPr="001228B5">
        <w:rPr>
          <w:rFonts w:eastAsia="Calibri" w:cstheme="minorHAnsi"/>
        </w:rPr>
        <w:t xml:space="preserve">Ressources </w:t>
      </w:r>
      <w:r w:rsidR="005028CB" w:rsidRPr="005028CB">
        <w:rPr>
          <w:rFonts w:eastAsia="Calibri" w:cstheme="minorHAnsi"/>
        </w:rPr>
        <w:t>démersales du talus</w:t>
      </w:r>
      <w:r w:rsidRPr="001228B5">
        <w:rPr>
          <w:rFonts w:eastAsia="Calibri" w:cstheme="minorHAnsi"/>
        </w:rPr>
        <w:t xml:space="preserve"> continental</w:t>
      </w:r>
    </w:p>
    <w:p w14:paraId="524501F3" w14:textId="2DC86DEC" w:rsidR="0063325C" w:rsidRPr="0063325C" w:rsidRDefault="0063325C" w:rsidP="001228B5">
      <w:pPr>
        <w:jc w:val="both"/>
        <w:rPr>
          <w:rFonts w:eastAsia="Calibri" w:cstheme="minorHAnsi"/>
        </w:rPr>
      </w:pPr>
      <w:r w:rsidRPr="0063325C">
        <w:rPr>
          <w:rFonts w:eastAsia="Calibri" w:cstheme="minorHAnsi"/>
        </w:rPr>
        <w:t xml:space="preserve">Ces ressources sont composées principalement des </w:t>
      </w:r>
      <w:r w:rsidR="005028CB" w:rsidRPr="0063325C">
        <w:rPr>
          <w:rFonts w:eastAsia="Calibri" w:cstheme="minorHAnsi"/>
        </w:rPr>
        <w:t>merlus,</w:t>
      </w:r>
      <w:r w:rsidRPr="0063325C">
        <w:rPr>
          <w:rFonts w:eastAsia="Calibri" w:cstheme="minorHAnsi"/>
        </w:rPr>
        <w:t xml:space="preserve"> crustacés (des langoustes et des crevettes profondes).</w:t>
      </w:r>
    </w:p>
    <w:p w14:paraId="3C68A4A3" w14:textId="7D2DCBA0" w:rsidR="0063325C" w:rsidRPr="0063325C" w:rsidRDefault="0063325C" w:rsidP="001228B5">
      <w:pPr>
        <w:jc w:val="both"/>
        <w:rPr>
          <w:rFonts w:eastAsia="Calibri" w:cstheme="minorHAnsi"/>
        </w:rPr>
      </w:pPr>
      <w:r w:rsidRPr="0063325C">
        <w:rPr>
          <w:rFonts w:eastAsia="Calibri" w:cstheme="minorHAnsi"/>
        </w:rPr>
        <w:t>Le potentiel de </w:t>
      </w:r>
      <w:r w:rsidRPr="001228B5">
        <w:rPr>
          <w:rFonts w:eastAsia="Calibri" w:cstheme="minorHAnsi"/>
        </w:rPr>
        <w:t>merlus</w:t>
      </w:r>
      <w:r w:rsidRPr="0063325C">
        <w:rPr>
          <w:rFonts w:eastAsia="Calibri" w:cstheme="minorHAnsi"/>
        </w:rPr>
        <w:t xml:space="preserve"> pourrait dépasser 13 000 tonnes. Le stock serait modérément exploité. La pêche doit être exclusivement cantonnée sur le talus (pour éviter les prises accessoires de céphalopodes et de poissons du plateau, comme celle de merlus trop petits) des statistiques complètes et détaillées sur l'activité et les captures des navires doivent être effectivement fournies par les navires </w:t>
      </w:r>
      <w:r w:rsidR="005028CB" w:rsidRPr="0063325C">
        <w:rPr>
          <w:rFonts w:eastAsia="Calibri" w:cstheme="minorHAnsi"/>
        </w:rPr>
        <w:t>licenciés ;</w:t>
      </w:r>
      <w:r w:rsidRPr="0063325C">
        <w:rPr>
          <w:rFonts w:eastAsia="Calibri" w:cstheme="minorHAnsi"/>
        </w:rPr>
        <w:t xml:space="preserve"> l'activité des navires doit pouvoir être convenablement suivie.</w:t>
      </w:r>
    </w:p>
    <w:p w14:paraId="1580E77F" w14:textId="77777777" w:rsidR="0063325C" w:rsidRPr="0063325C" w:rsidRDefault="0063325C" w:rsidP="001228B5">
      <w:pPr>
        <w:jc w:val="both"/>
        <w:rPr>
          <w:rFonts w:eastAsia="Calibri" w:cstheme="minorHAnsi"/>
        </w:rPr>
      </w:pPr>
      <w:r w:rsidRPr="0063325C">
        <w:rPr>
          <w:rFonts w:eastAsia="Calibri" w:cstheme="minorHAnsi"/>
        </w:rPr>
        <w:t>L'état du stock des </w:t>
      </w:r>
      <w:r w:rsidRPr="001228B5">
        <w:rPr>
          <w:rFonts w:eastAsia="Calibri" w:cstheme="minorHAnsi"/>
        </w:rPr>
        <w:t>autres espèces de poisson</w:t>
      </w:r>
      <w:r w:rsidRPr="0063325C">
        <w:rPr>
          <w:rFonts w:eastAsia="Calibri" w:cstheme="minorHAnsi"/>
        </w:rPr>
        <w:t> est mal apprécié. Compte tenu de cette incertitude, les captures devraient être limitées entre 10 à 15 000 tonnes jusqu'à ce que le potentiel soit précisé.</w:t>
      </w:r>
    </w:p>
    <w:p w14:paraId="0D3DA44B" w14:textId="77777777" w:rsidR="0063325C" w:rsidRPr="001228B5" w:rsidRDefault="0063325C" w:rsidP="001228B5">
      <w:pPr>
        <w:jc w:val="both"/>
        <w:rPr>
          <w:rFonts w:eastAsia="Calibri" w:cstheme="minorHAnsi"/>
        </w:rPr>
      </w:pPr>
      <w:r w:rsidRPr="001228B5">
        <w:rPr>
          <w:rFonts w:eastAsia="Calibri" w:cstheme="minorHAnsi"/>
        </w:rPr>
        <w:t xml:space="preserve">Petits pélagiques côtiers </w:t>
      </w:r>
    </w:p>
    <w:p w14:paraId="10D48AB8" w14:textId="3F5D4FE8" w:rsidR="0063325C" w:rsidRPr="0063325C" w:rsidRDefault="005028CB" w:rsidP="001228B5">
      <w:pPr>
        <w:jc w:val="both"/>
        <w:rPr>
          <w:rFonts w:eastAsia="Calibri" w:cstheme="minorHAnsi"/>
        </w:rPr>
      </w:pPr>
      <w:r w:rsidRPr="0063325C">
        <w:rPr>
          <w:rFonts w:eastAsia="Calibri" w:cstheme="minorHAnsi"/>
        </w:rPr>
        <w:t>L’exploitation des</w:t>
      </w:r>
      <w:r w:rsidR="0063325C" w:rsidRPr="0063325C">
        <w:rPr>
          <w:rFonts w:eastAsia="Calibri" w:cstheme="minorHAnsi"/>
        </w:rPr>
        <w:t xml:space="preserve"> petits pélagiques </w:t>
      </w:r>
      <w:r w:rsidRPr="0063325C">
        <w:rPr>
          <w:rFonts w:eastAsia="Calibri" w:cstheme="minorHAnsi"/>
        </w:rPr>
        <w:t>côtiers a</w:t>
      </w:r>
      <w:r w:rsidR="0063325C" w:rsidRPr="0063325C">
        <w:rPr>
          <w:rFonts w:eastAsia="Calibri" w:cstheme="minorHAnsi"/>
        </w:rPr>
        <w:t xml:space="preserve"> démarré le long des côtes ouest africaines durant les années 50, elle était </w:t>
      </w:r>
      <w:r w:rsidRPr="0063325C">
        <w:rPr>
          <w:rFonts w:eastAsia="Calibri" w:cstheme="minorHAnsi"/>
        </w:rPr>
        <w:t>au départ dominé</w:t>
      </w:r>
      <w:r w:rsidR="0063325C" w:rsidRPr="0063325C">
        <w:rPr>
          <w:rFonts w:eastAsia="Calibri" w:cstheme="minorHAnsi"/>
        </w:rPr>
        <w:t xml:space="preserve"> par des flottilles internationales de senneurs ravitaillant des navires usines pour la production de farine destinée à l’alimentation animale, et d’huile </w:t>
      </w:r>
      <w:r w:rsidR="00143794" w:rsidRPr="0063325C">
        <w:rPr>
          <w:rFonts w:eastAsia="Calibri" w:cstheme="minorHAnsi"/>
        </w:rPr>
        <w:t>ASTRA et</w:t>
      </w:r>
      <w:r w:rsidR="0063325C" w:rsidRPr="0063325C">
        <w:rPr>
          <w:rFonts w:eastAsia="Calibri" w:cstheme="minorHAnsi"/>
        </w:rPr>
        <w:t xml:space="preserve"> INTERPECHE. </w:t>
      </w:r>
    </w:p>
    <w:p w14:paraId="44DA7488" w14:textId="77777777" w:rsidR="0063325C" w:rsidRPr="001228B5" w:rsidRDefault="0063325C" w:rsidP="001228B5">
      <w:pPr>
        <w:jc w:val="both"/>
        <w:rPr>
          <w:rFonts w:eastAsia="Calibri" w:cstheme="minorHAnsi"/>
        </w:rPr>
      </w:pPr>
      <w:r w:rsidRPr="001228B5">
        <w:rPr>
          <w:rFonts w:eastAsia="Calibri" w:cstheme="minorHAnsi"/>
        </w:rPr>
        <w:t xml:space="preserve">Les ressources pélagiques hauturières </w:t>
      </w:r>
    </w:p>
    <w:p w14:paraId="0BB56E62" w14:textId="77777777" w:rsidR="0063325C" w:rsidRPr="0063325C" w:rsidRDefault="0063325C" w:rsidP="001228B5">
      <w:pPr>
        <w:jc w:val="both"/>
        <w:rPr>
          <w:rFonts w:eastAsia="Calibri" w:cstheme="minorHAnsi"/>
        </w:rPr>
      </w:pPr>
      <w:r w:rsidRPr="0063325C">
        <w:rPr>
          <w:rFonts w:eastAsia="Calibri" w:cstheme="minorHAnsi"/>
        </w:rPr>
        <w:t>Les ressources pélagiques hauturières exploitées par cette pêcherie comprennent les espèces tropicales de thons (albacore, listao et patudo), les marlins, espadons et autres espèces apparentées comme les petits thonidés et espèces voisines (thonine, auxide, bonite à dos rayé, maquereau bonite etc.). Ces espèces sont capturées à la senne coulissante, à la canne et à la palangre.</w:t>
      </w:r>
    </w:p>
    <w:p w14:paraId="4A586B6F" w14:textId="79CF3E03" w:rsidR="0063325C" w:rsidRPr="0063325C" w:rsidRDefault="003D1520" w:rsidP="0063325C">
      <w:pPr>
        <w:rPr>
          <w:rFonts w:eastAsia="Calibri" w:cstheme="minorHAnsi"/>
        </w:rPr>
      </w:pPr>
      <w:r w:rsidRPr="0063325C">
        <w:rPr>
          <w:rFonts w:eastAsia="Calibri" w:cstheme="minorHAnsi"/>
        </w:rPr>
        <w:t>Étrangers</w:t>
      </w:r>
      <w:r w:rsidR="00143794" w:rsidRPr="0063325C">
        <w:rPr>
          <w:rFonts w:eastAsia="Calibri" w:cstheme="minorHAnsi"/>
        </w:rPr>
        <w:t xml:space="preserve"> Palangriers</w:t>
      </w:r>
    </w:p>
    <w:p w14:paraId="3D1E6641" w14:textId="77777777" w:rsidR="0063325C" w:rsidRPr="0063325C" w:rsidRDefault="0063325C" w:rsidP="0063325C">
      <w:pPr>
        <w:rPr>
          <w:rFonts w:eastAsia="Calibri" w:cstheme="minorHAnsi"/>
        </w:rPr>
      </w:pPr>
    </w:p>
    <w:p w14:paraId="524598CA" w14:textId="77777777" w:rsidR="0063325C" w:rsidRPr="0063325C" w:rsidRDefault="0063325C" w:rsidP="003D1520">
      <w:pPr>
        <w:numPr>
          <w:ilvl w:val="0"/>
          <w:numId w:val="336"/>
        </w:numPr>
        <w:ind w:left="567" w:hanging="567"/>
        <w:rPr>
          <w:rFonts w:eastAsia="Calibri" w:cstheme="minorHAnsi"/>
          <w:b/>
        </w:rPr>
      </w:pPr>
      <w:r w:rsidRPr="0063325C">
        <w:rPr>
          <w:rFonts w:eastAsia="Calibri" w:cstheme="minorHAnsi"/>
          <w:b/>
        </w:rPr>
        <w:t>Politiques et stratégies de mise en œuvre des mesures d’adaptation aux changements climatiques.</w:t>
      </w:r>
    </w:p>
    <w:p w14:paraId="53035AAB" w14:textId="77777777" w:rsidR="0063325C" w:rsidRPr="0063325C" w:rsidRDefault="0063325C" w:rsidP="001228B5">
      <w:pPr>
        <w:jc w:val="both"/>
        <w:rPr>
          <w:rFonts w:eastAsia="Calibri" w:cstheme="minorHAnsi"/>
        </w:rPr>
      </w:pPr>
      <w:r w:rsidRPr="0063325C">
        <w:rPr>
          <w:rFonts w:eastAsia="Calibri" w:cstheme="minorHAnsi"/>
        </w:rPr>
        <w:t xml:space="preserve">Les ressources halieutiques des eaux sous juridiction mauritanienne constituent un patrimoine national que l’Etat a l’obligation de gérer dans l’intérêt de collectivité nationale à cet effet, l’Etat définit des politiques et des stratégies visant à protéger ces ressources et à permettre leur exploitation durable de manière à préserver l’équilibre des écosystèmes et de l’habitat aquatique pour les générations présentes et futures. </w:t>
      </w:r>
    </w:p>
    <w:p w14:paraId="42BA316E" w14:textId="6BA8E4CD" w:rsidR="0063325C" w:rsidRPr="0063325C" w:rsidRDefault="0063325C" w:rsidP="001228B5">
      <w:pPr>
        <w:jc w:val="both"/>
        <w:rPr>
          <w:rFonts w:eastAsia="Calibri" w:cstheme="minorHAnsi"/>
        </w:rPr>
      </w:pPr>
      <w:r w:rsidRPr="0063325C">
        <w:rPr>
          <w:rFonts w:eastAsia="Calibri" w:cstheme="minorHAnsi"/>
        </w:rPr>
        <w:t xml:space="preserve">L’Etat a l’obligation de déterminer le potentiel exploitable et d’élaborer des mécanismes pour la gestion durable des </w:t>
      </w:r>
      <w:r w:rsidR="003D1520" w:rsidRPr="0063325C">
        <w:rPr>
          <w:rFonts w:eastAsia="Calibri" w:cstheme="minorHAnsi"/>
        </w:rPr>
        <w:t>ressources,</w:t>
      </w:r>
      <w:r w:rsidRPr="0063325C">
        <w:rPr>
          <w:rFonts w:eastAsia="Calibri" w:cstheme="minorHAnsi"/>
        </w:rPr>
        <w:t xml:space="preserve"> à </w:t>
      </w:r>
      <w:r w:rsidR="003D1520" w:rsidRPr="0063325C">
        <w:rPr>
          <w:rFonts w:eastAsia="Calibri" w:cstheme="minorHAnsi"/>
        </w:rPr>
        <w:t>cette fin l’Etat</w:t>
      </w:r>
      <w:r w:rsidRPr="0063325C">
        <w:rPr>
          <w:rFonts w:eastAsia="Calibri" w:cstheme="minorHAnsi"/>
        </w:rPr>
        <w:t xml:space="preserve"> a déterminé le potentiel exploitable et </w:t>
      </w:r>
      <w:r w:rsidR="003D1520" w:rsidRPr="0063325C">
        <w:rPr>
          <w:rFonts w:eastAsia="Calibri" w:cstheme="minorHAnsi"/>
        </w:rPr>
        <w:t>mis en</w:t>
      </w:r>
      <w:r w:rsidRPr="0063325C">
        <w:rPr>
          <w:rFonts w:eastAsia="Calibri" w:cstheme="minorHAnsi"/>
        </w:rPr>
        <w:t xml:space="preserve"> place un cadre institutionnel et juridique pour l’aménagement et la gestion des ressources.</w:t>
      </w:r>
    </w:p>
    <w:p w14:paraId="7C072498" w14:textId="77777777" w:rsidR="0063325C" w:rsidRPr="001228B5" w:rsidRDefault="0063325C" w:rsidP="001228B5">
      <w:pPr>
        <w:jc w:val="both"/>
        <w:rPr>
          <w:rFonts w:eastAsia="Calibri" w:cstheme="minorHAnsi"/>
        </w:rPr>
      </w:pPr>
      <w:r w:rsidRPr="001228B5">
        <w:rPr>
          <w:rFonts w:eastAsia="Calibri" w:cstheme="minorHAnsi"/>
        </w:rPr>
        <w:t>5.1. Analyse du contexte historique de l’évolution des politiques et des stratégies de pêche.</w:t>
      </w:r>
    </w:p>
    <w:p w14:paraId="3913E10B" w14:textId="490B9441" w:rsidR="0063325C" w:rsidRPr="0063325C" w:rsidRDefault="0063325C" w:rsidP="001228B5">
      <w:pPr>
        <w:jc w:val="both"/>
        <w:rPr>
          <w:rFonts w:eastAsia="Calibri" w:cstheme="minorHAnsi"/>
        </w:rPr>
      </w:pPr>
      <w:r w:rsidRPr="0063325C">
        <w:rPr>
          <w:rFonts w:eastAsia="Calibri" w:cstheme="minorHAnsi"/>
        </w:rPr>
        <w:t xml:space="preserve">La stratégie nationale de développement durable et inclusif s’inscrit dans le cadre du processus de mise en œuvre de la SCAPP. Pour la préparation de cette </w:t>
      </w:r>
      <w:r w:rsidR="003D1520" w:rsidRPr="0063325C">
        <w:rPr>
          <w:rFonts w:eastAsia="Calibri" w:cstheme="minorHAnsi"/>
        </w:rPr>
        <w:t>stratégie des</w:t>
      </w:r>
      <w:r w:rsidRPr="0063325C">
        <w:rPr>
          <w:rFonts w:eastAsia="Calibri" w:cstheme="minorHAnsi"/>
        </w:rPr>
        <w:t xml:space="preserve"> groupes thématiques ont été mis en </w:t>
      </w:r>
      <w:r w:rsidR="003D1520" w:rsidRPr="0063325C">
        <w:rPr>
          <w:rFonts w:eastAsia="Calibri" w:cstheme="minorHAnsi"/>
        </w:rPr>
        <w:t>place pour</w:t>
      </w:r>
      <w:r w:rsidRPr="0063325C">
        <w:rPr>
          <w:rFonts w:eastAsia="Calibri" w:cstheme="minorHAnsi"/>
        </w:rPr>
        <w:t xml:space="preserve"> la réalisation des trois objectifs attendus de la stratégie : </w:t>
      </w:r>
    </w:p>
    <w:p w14:paraId="4AAD265B" w14:textId="77777777" w:rsidR="0063325C" w:rsidRPr="0063325C" w:rsidRDefault="0063325C" w:rsidP="001228B5">
      <w:pPr>
        <w:jc w:val="both"/>
        <w:rPr>
          <w:rFonts w:eastAsia="Calibri" w:cstheme="minorHAnsi"/>
        </w:rPr>
      </w:pPr>
      <w:r w:rsidRPr="0063325C">
        <w:rPr>
          <w:rFonts w:eastAsia="Calibri" w:cstheme="minorHAnsi"/>
        </w:rPr>
        <w:t xml:space="preserve">Garantir la productivité et la durabilité des ressources halieutiques et de l’environnement marin ; </w:t>
      </w:r>
    </w:p>
    <w:p w14:paraId="6FA55636" w14:textId="77777777" w:rsidR="0063325C" w:rsidRPr="0063325C" w:rsidRDefault="0063325C" w:rsidP="001228B5">
      <w:pPr>
        <w:jc w:val="both"/>
        <w:rPr>
          <w:rFonts w:eastAsia="Calibri" w:cstheme="minorHAnsi"/>
        </w:rPr>
      </w:pPr>
      <w:r w:rsidRPr="0063325C">
        <w:rPr>
          <w:rFonts w:eastAsia="Calibri" w:cstheme="minorHAnsi"/>
        </w:rPr>
        <w:t xml:space="preserve">Promouvoir l’intégration accrue du secteur de la pêche maritime et de ses filières dans l’économie nationale ; </w:t>
      </w:r>
    </w:p>
    <w:p w14:paraId="34E937B3" w14:textId="77777777" w:rsidR="0063325C" w:rsidRPr="0063325C" w:rsidRDefault="0063325C" w:rsidP="001228B5">
      <w:pPr>
        <w:jc w:val="both"/>
        <w:rPr>
          <w:rFonts w:eastAsia="Calibri" w:cstheme="minorHAnsi"/>
        </w:rPr>
      </w:pPr>
      <w:r w:rsidRPr="0063325C">
        <w:rPr>
          <w:rFonts w:eastAsia="Calibri" w:cstheme="minorHAnsi"/>
        </w:rPr>
        <w:t>Améliorer la gouvernance du secteur de la pêche maritime en accordant une attention particulière au renforcement de la confiance et de la transparence entre les intervenants du secteur.</w:t>
      </w:r>
    </w:p>
    <w:p w14:paraId="720A9F06" w14:textId="5C436976" w:rsidR="0063325C" w:rsidRPr="0063325C" w:rsidRDefault="0063325C" w:rsidP="001228B5">
      <w:pPr>
        <w:jc w:val="both"/>
        <w:rPr>
          <w:rFonts w:eastAsia="Calibri" w:cstheme="minorHAnsi"/>
        </w:rPr>
      </w:pPr>
      <w:r w:rsidRPr="0063325C">
        <w:rPr>
          <w:rFonts w:eastAsia="Calibri" w:cstheme="minorHAnsi"/>
        </w:rPr>
        <w:t xml:space="preserve">Il s’agit de consolider les acquis antérieurs des différentes stratégies notamment en ce qui concerne la réforme du système de gestion des ressources, </w:t>
      </w:r>
      <w:r w:rsidR="003D1520" w:rsidRPr="0063325C">
        <w:rPr>
          <w:rFonts w:eastAsia="Calibri" w:cstheme="minorHAnsi"/>
        </w:rPr>
        <w:t>et de</w:t>
      </w:r>
      <w:r w:rsidRPr="0063325C">
        <w:rPr>
          <w:rFonts w:eastAsia="Calibri" w:cstheme="minorHAnsi"/>
        </w:rPr>
        <w:t xml:space="preserve"> s’attaquer à la maitrise des capacités de pêches y compris le dimensionnement des usines de pêche et des infrastructures portuaires dédiées et de mettre en place un système de gestion durable des ressources. </w:t>
      </w:r>
    </w:p>
    <w:p w14:paraId="7E4E7114" w14:textId="77777777" w:rsidR="0063325C" w:rsidRPr="001228B5" w:rsidRDefault="0063325C" w:rsidP="001228B5">
      <w:pPr>
        <w:jc w:val="both"/>
        <w:rPr>
          <w:rFonts w:eastAsia="Calibri" w:cstheme="minorHAnsi"/>
        </w:rPr>
      </w:pPr>
      <w:r w:rsidRPr="001228B5">
        <w:rPr>
          <w:rFonts w:eastAsia="Calibri" w:cstheme="minorHAnsi"/>
        </w:rPr>
        <w:t>5.2. Mécanismes de gestion des pêcheries</w:t>
      </w:r>
    </w:p>
    <w:p w14:paraId="2254FB03" w14:textId="77777777" w:rsidR="0063325C" w:rsidRPr="0063325C" w:rsidRDefault="0063325C" w:rsidP="001228B5">
      <w:pPr>
        <w:jc w:val="both"/>
        <w:rPr>
          <w:rFonts w:eastAsia="Calibri" w:cstheme="minorHAnsi"/>
        </w:rPr>
      </w:pPr>
      <w:r w:rsidRPr="0063325C">
        <w:rPr>
          <w:rFonts w:eastAsia="Calibri" w:cstheme="minorHAnsi"/>
        </w:rPr>
        <w:t xml:space="preserve">Les mécanismes de gestion des pêcheries seront adaptés notamment à la lumière des nouvelles connaissances disponibles pour l’atteinte des objectifs des politiques publiques de gestion des ressources halieutiques et de l’environnement marin. La mise en œuvre des politiques et stratégies d’aménagement et de gestion des ressources halieutiques fait l’objet d’un processus régulier de suivi d’évaluation et de révision pour en permettre l’amélioration. </w:t>
      </w:r>
    </w:p>
    <w:p w14:paraId="5C474E4F" w14:textId="77777777" w:rsidR="0063325C" w:rsidRPr="0063325C" w:rsidRDefault="0063325C" w:rsidP="001228B5">
      <w:pPr>
        <w:jc w:val="both"/>
        <w:rPr>
          <w:rFonts w:eastAsia="Calibri" w:cstheme="minorHAnsi"/>
        </w:rPr>
      </w:pPr>
      <w:r w:rsidRPr="001228B5">
        <w:rPr>
          <w:rFonts w:eastAsia="Calibri" w:cstheme="minorHAnsi"/>
        </w:rPr>
        <w:t>La stratégie nationale de développement durable et inclusive de la pêche maritime s’inscrit dans le cadre de ce processus</w:t>
      </w:r>
      <w:r w:rsidRPr="0063325C">
        <w:rPr>
          <w:rFonts w:eastAsia="Calibri" w:cstheme="minorHAnsi"/>
        </w:rPr>
        <w:t xml:space="preserve">. </w:t>
      </w:r>
    </w:p>
    <w:p w14:paraId="36940E7B" w14:textId="527ECFA4" w:rsidR="0063325C" w:rsidRPr="0063325C" w:rsidRDefault="0063325C" w:rsidP="001228B5">
      <w:pPr>
        <w:jc w:val="both"/>
        <w:rPr>
          <w:rFonts w:eastAsia="Calibri" w:cstheme="minorHAnsi"/>
        </w:rPr>
      </w:pPr>
      <w:r w:rsidRPr="0063325C">
        <w:rPr>
          <w:rFonts w:eastAsia="Calibri" w:cstheme="minorHAnsi"/>
        </w:rPr>
        <w:t xml:space="preserve">La Nouvelle Politique des Pêches est une loi d’orientation stratégique adoptée en octobre 1979 par le CMSN. Une évaluation de la </w:t>
      </w:r>
      <w:r w:rsidR="005028CB" w:rsidRPr="0063325C">
        <w:rPr>
          <w:rFonts w:eastAsia="Calibri" w:cstheme="minorHAnsi"/>
        </w:rPr>
        <w:t>NPP a</w:t>
      </w:r>
      <w:r w:rsidRPr="0063325C">
        <w:rPr>
          <w:rFonts w:eastAsia="Calibri" w:cstheme="minorHAnsi"/>
        </w:rPr>
        <w:t xml:space="preserve"> été réalisée par CROWN AGENT (bureau d’études britanniques) sur financement conjoint Banque Mondiale, Fonds Koweïtien. </w:t>
      </w:r>
    </w:p>
    <w:p w14:paraId="68FC6018" w14:textId="77777777" w:rsidR="0063325C" w:rsidRPr="0063325C" w:rsidRDefault="0063325C" w:rsidP="001228B5">
      <w:pPr>
        <w:jc w:val="both"/>
        <w:rPr>
          <w:rFonts w:eastAsia="Calibri" w:cstheme="minorHAnsi"/>
        </w:rPr>
      </w:pPr>
      <w:r w:rsidRPr="0063325C">
        <w:rPr>
          <w:rFonts w:eastAsia="Calibri" w:cstheme="minorHAnsi"/>
        </w:rPr>
        <w:t>Les conclusions de cette étude ont été présentées au groupe consultatif des bailleurs de fonds du secteur en mars 1987et inspireront largement la Déclaration de Politique Générale adoptée par le Gouvernement le 8 avril 1987. Cette loi a été remplacée en 2000 par le Cadre Stratégique de Lutte Contre la Pauvreté (loi 050 adoptée en 2000 dans laquelle s’inscrivent toutes les politiques de l’Etat.</w:t>
      </w:r>
    </w:p>
    <w:p w14:paraId="34FF69A3" w14:textId="5CA71AA9" w:rsidR="0063325C" w:rsidRPr="0063325C" w:rsidRDefault="0063325C" w:rsidP="001228B5">
      <w:pPr>
        <w:jc w:val="both"/>
        <w:rPr>
          <w:rFonts w:eastAsia="Calibri" w:cstheme="minorHAnsi"/>
        </w:rPr>
      </w:pPr>
      <w:r w:rsidRPr="0063325C">
        <w:rPr>
          <w:rFonts w:eastAsia="Calibri" w:cstheme="minorHAnsi"/>
        </w:rPr>
        <w:t xml:space="preserve">A partir de 2000, la loi 050 relative au cadre stratégique de la lutte contre la pauvreté a été adoptée, de nouvelle stratégie ont été mise en place parmi lesquelles la stratégie nationale pour une gestion durable pour la période 2015 – 2019, cette stratégie avait pour </w:t>
      </w:r>
      <w:r w:rsidR="005028CB" w:rsidRPr="0063325C">
        <w:rPr>
          <w:rFonts w:eastAsia="Calibri" w:cstheme="minorHAnsi"/>
        </w:rPr>
        <w:t>objectifs la</w:t>
      </w:r>
      <w:r w:rsidRPr="0063325C">
        <w:rPr>
          <w:rFonts w:eastAsia="Calibri" w:cstheme="minorHAnsi"/>
        </w:rPr>
        <w:t xml:space="preserve"> préservation du milieu marin </w:t>
      </w:r>
      <w:r w:rsidR="005028CB" w:rsidRPr="0063325C">
        <w:rPr>
          <w:rFonts w:eastAsia="Calibri" w:cstheme="minorHAnsi"/>
        </w:rPr>
        <w:t>et les</w:t>
      </w:r>
      <w:r w:rsidRPr="0063325C">
        <w:rPr>
          <w:rFonts w:eastAsia="Calibri" w:cstheme="minorHAnsi"/>
        </w:rPr>
        <w:t xml:space="preserve"> ressources halieutiques et l’intégration du secteur de la pêche dans l’économie nationale.</w:t>
      </w:r>
    </w:p>
    <w:p w14:paraId="458461CA" w14:textId="3E243A30" w:rsidR="0063325C" w:rsidRPr="0063325C" w:rsidRDefault="005028CB" w:rsidP="003D1520">
      <w:pPr>
        <w:jc w:val="both"/>
        <w:rPr>
          <w:rFonts w:eastAsia="Calibri" w:cstheme="minorHAnsi"/>
        </w:rPr>
      </w:pPr>
      <w:r w:rsidRPr="0063325C">
        <w:rPr>
          <w:rFonts w:eastAsia="Calibri" w:cstheme="minorHAnsi"/>
        </w:rPr>
        <w:t>L’évaluation</w:t>
      </w:r>
      <w:r w:rsidR="0063325C" w:rsidRPr="0063325C">
        <w:rPr>
          <w:rFonts w:eastAsia="Calibri" w:cstheme="minorHAnsi"/>
        </w:rPr>
        <w:t xml:space="preserve"> a mis parcours de la stratégie 2015-2019   a </w:t>
      </w:r>
      <w:r w:rsidRPr="0063325C">
        <w:rPr>
          <w:rFonts w:eastAsia="Calibri" w:cstheme="minorHAnsi"/>
        </w:rPr>
        <w:t>permis de</w:t>
      </w:r>
      <w:r w:rsidR="0063325C" w:rsidRPr="0063325C">
        <w:rPr>
          <w:rFonts w:eastAsia="Calibri" w:cstheme="minorHAnsi"/>
        </w:rPr>
        <w:t xml:space="preserve"> </w:t>
      </w:r>
      <w:r w:rsidRPr="0063325C">
        <w:rPr>
          <w:rFonts w:eastAsia="Calibri" w:cstheme="minorHAnsi"/>
        </w:rPr>
        <w:t>constater des</w:t>
      </w:r>
      <w:r w:rsidR="0063325C" w:rsidRPr="0063325C">
        <w:rPr>
          <w:rFonts w:eastAsia="Calibri" w:cstheme="minorHAnsi"/>
        </w:rPr>
        <w:t xml:space="preserve"> difficultés dans la mise en œuvre de la gestion des ressources par quota et qu’au niveau de </w:t>
      </w:r>
      <w:r w:rsidRPr="0063325C">
        <w:rPr>
          <w:rFonts w:eastAsia="Calibri" w:cstheme="minorHAnsi"/>
        </w:rPr>
        <w:t>l’intégration de</w:t>
      </w:r>
      <w:r w:rsidR="0063325C" w:rsidRPr="0063325C">
        <w:rPr>
          <w:rFonts w:eastAsia="Calibri" w:cstheme="minorHAnsi"/>
        </w:rPr>
        <w:t xml:space="preserve"> la pêche dans l’économie nationale, d’importants efforts restent à </w:t>
      </w:r>
      <w:r w:rsidRPr="0063325C">
        <w:rPr>
          <w:rFonts w:eastAsia="Calibri" w:cstheme="minorHAnsi"/>
        </w:rPr>
        <w:t>faire pour</w:t>
      </w:r>
      <w:r w:rsidR="0063325C" w:rsidRPr="0063325C">
        <w:rPr>
          <w:rFonts w:eastAsia="Calibri" w:cstheme="minorHAnsi"/>
        </w:rPr>
        <w:t xml:space="preserve"> la promotion des industries de </w:t>
      </w:r>
      <w:r w:rsidRPr="0063325C">
        <w:rPr>
          <w:rFonts w:eastAsia="Calibri" w:cstheme="minorHAnsi"/>
        </w:rPr>
        <w:t>transformation et</w:t>
      </w:r>
      <w:r w:rsidR="0063325C" w:rsidRPr="0063325C">
        <w:rPr>
          <w:rFonts w:eastAsia="Calibri" w:cstheme="minorHAnsi"/>
        </w:rPr>
        <w:t xml:space="preserve"> de valorisation des produits de la pêche, et pour rendre effectif la domestication des captures des espèces pélagiques. </w:t>
      </w:r>
    </w:p>
    <w:p w14:paraId="02A8587B" w14:textId="6F58947C" w:rsidR="0063325C" w:rsidRPr="0063325C" w:rsidRDefault="0063325C" w:rsidP="003D1520">
      <w:pPr>
        <w:jc w:val="both"/>
        <w:rPr>
          <w:rFonts w:eastAsia="Calibri" w:cstheme="minorHAnsi"/>
        </w:rPr>
      </w:pPr>
      <w:r w:rsidRPr="0063325C">
        <w:rPr>
          <w:rFonts w:eastAsia="Calibri" w:cstheme="minorHAnsi"/>
        </w:rPr>
        <w:t xml:space="preserve">La </w:t>
      </w:r>
      <w:r w:rsidR="005028CB" w:rsidRPr="0063325C">
        <w:rPr>
          <w:rFonts w:eastAsia="Calibri" w:cstheme="minorHAnsi"/>
        </w:rPr>
        <w:t xml:space="preserve">capacité </w:t>
      </w:r>
      <w:r w:rsidR="003D1520" w:rsidRPr="0063325C">
        <w:rPr>
          <w:rFonts w:eastAsia="Calibri" w:cstheme="minorHAnsi"/>
        </w:rPr>
        <w:t>nationale de</w:t>
      </w:r>
      <w:r w:rsidRPr="0063325C">
        <w:rPr>
          <w:rFonts w:eastAsia="Calibri" w:cstheme="minorHAnsi"/>
        </w:rPr>
        <w:t xml:space="preserve"> pêche a baissé, cette baisse est constatée par l’arrêt des usines de traitement et par l’immobilisation d’une bonne partie de la flotte nationale. </w:t>
      </w:r>
    </w:p>
    <w:p w14:paraId="0F570ED9" w14:textId="1DE995EB" w:rsidR="0063325C" w:rsidRPr="0063325C" w:rsidRDefault="0063325C" w:rsidP="003D1520">
      <w:pPr>
        <w:jc w:val="both"/>
        <w:rPr>
          <w:rFonts w:eastAsia="Calibri" w:cstheme="minorHAnsi"/>
        </w:rPr>
      </w:pPr>
      <w:r w:rsidRPr="0063325C">
        <w:rPr>
          <w:rFonts w:eastAsia="Calibri" w:cstheme="minorHAnsi"/>
        </w:rPr>
        <w:t xml:space="preserve">Les stratégies mises en œuvre ont eu pour </w:t>
      </w:r>
      <w:r w:rsidR="003D1520" w:rsidRPr="0063325C">
        <w:rPr>
          <w:rFonts w:eastAsia="Calibri" w:cstheme="minorHAnsi"/>
        </w:rPr>
        <w:t>conséquence de</w:t>
      </w:r>
      <w:r w:rsidRPr="0063325C">
        <w:rPr>
          <w:rFonts w:eastAsia="Calibri" w:cstheme="minorHAnsi"/>
        </w:rPr>
        <w:t xml:space="preserve"> limiter la capacité de pêche </w:t>
      </w:r>
      <w:r w:rsidR="003D1520" w:rsidRPr="0063325C">
        <w:rPr>
          <w:rFonts w:eastAsia="Calibri" w:cstheme="minorHAnsi"/>
        </w:rPr>
        <w:t>mauritanienne afin</w:t>
      </w:r>
      <w:r w:rsidRPr="0063325C">
        <w:rPr>
          <w:rFonts w:eastAsia="Calibri" w:cstheme="minorHAnsi"/>
        </w:rPr>
        <w:t xml:space="preserve"> de dégager un </w:t>
      </w:r>
      <w:r w:rsidR="003D1520" w:rsidRPr="0063325C">
        <w:rPr>
          <w:rFonts w:eastAsia="Calibri" w:cstheme="minorHAnsi"/>
        </w:rPr>
        <w:t>reliquat pour</w:t>
      </w:r>
      <w:r w:rsidRPr="0063325C">
        <w:rPr>
          <w:rFonts w:eastAsia="Calibri" w:cstheme="minorHAnsi"/>
        </w:rPr>
        <w:t xml:space="preserve"> permettre l’accès des ressources aux autres pays et d’assurer dans le cadre des lois mauritaniennes les garanties aux pays étrangers l’accès aux </w:t>
      </w:r>
      <w:r w:rsidR="003D1520" w:rsidRPr="0063325C">
        <w:rPr>
          <w:rFonts w:eastAsia="Calibri" w:cstheme="minorHAnsi"/>
        </w:rPr>
        <w:t>ressources par</w:t>
      </w:r>
      <w:r w:rsidRPr="0063325C">
        <w:rPr>
          <w:rFonts w:eastAsia="Calibri" w:cstheme="minorHAnsi"/>
        </w:rPr>
        <w:t xml:space="preserve"> concession des droits d’usage.</w:t>
      </w:r>
    </w:p>
    <w:p w14:paraId="19E15C19" w14:textId="485EBF95" w:rsidR="0063325C" w:rsidRPr="0063325C" w:rsidRDefault="0063325C" w:rsidP="003D1520">
      <w:pPr>
        <w:jc w:val="both"/>
        <w:rPr>
          <w:rFonts w:eastAsia="Calibri" w:cstheme="minorHAnsi"/>
        </w:rPr>
      </w:pPr>
      <w:r w:rsidRPr="0063325C">
        <w:rPr>
          <w:rFonts w:eastAsia="Calibri" w:cstheme="minorHAnsi"/>
        </w:rPr>
        <w:t xml:space="preserve"> </w:t>
      </w:r>
      <w:r w:rsidR="003D1520" w:rsidRPr="0063325C">
        <w:rPr>
          <w:rFonts w:eastAsia="Calibri" w:cstheme="minorHAnsi"/>
          <w:b/>
          <w:bCs/>
        </w:rPr>
        <w:t>A partir de</w:t>
      </w:r>
      <w:r w:rsidRPr="0063325C">
        <w:rPr>
          <w:rFonts w:eastAsia="Calibri" w:cstheme="minorHAnsi"/>
          <w:b/>
          <w:bCs/>
        </w:rPr>
        <w:t xml:space="preserve"> 2016, une nouvelle loi d’orientation est adoptée c’est la SCAPP</w:t>
      </w:r>
      <w:r w:rsidRPr="0063325C">
        <w:rPr>
          <w:rFonts w:eastAsia="Calibri" w:cstheme="minorHAnsi"/>
        </w:rPr>
        <w:t xml:space="preserve">, cette loi a défini les objectifs stratégiques pour la période 2016 – 2030, ces stratégies </w:t>
      </w:r>
      <w:r w:rsidR="003D1520" w:rsidRPr="0063325C">
        <w:rPr>
          <w:rFonts w:eastAsia="Calibri" w:cstheme="minorHAnsi"/>
        </w:rPr>
        <w:t>définissent les</w:t>
      </w:r>
      <w:r w:rsidRPr="0063325C">
        <w:rPr>
          <w:rFonts w:eastAsia="Calibri" w:cstheme="minorHAnsi"/>
        </w:rPr>
        <w:t xml:space="preserve"> objectifs généraux suivants : préservation de l’environnement marin et les ressources </w:t>
      </w:r>
      <w:r w:rsidR="003D1520" w:rsidRPr="0063325C">
        <w:rPr>
          <w:rFonts w:eastAsia="Calibri" w:cstheme="minorHAnsi"/>
        </w:rPr>
        <w:t>halieutiques et l’intégration</w:t>
      </w:r>
      <w:r w:rsidRPr="0063325C">
        <w:rPr>
          <w:rFonts w:eastAsia="Calibri" w:cstheme="minorHAnsi"/>
        </w:rPr>
        <w:t xml:space="preserve"> de la pêche dans l’économie nationale.</w:t>
      </w:r>
    </w:p>
    <w:p w14:paraId="7596FD93" w14:textId="550D927C" w:rsidR="0063325C" w:rsidRPr="0063325C" w:rsidRDefault="0063325C" w:rsidP="003D1520">
      <w:pPr>
        <w:jc w:val="both"/>
        <w:rPr>
          <w:rFonts w:eastAsia="Calibri" w:cstheme="minorHAnsi"/>
        </w:rPr>
      </w:pPr>
      <w:r w:rsidRPr="0063325C">
        <w:rPr>
          <w:rFonts w:eastAsia="Calibri" w:cstheme="minorHAnsi"/>
        </w:rPr>
        <w:t xml:space="preserve">Les seules infrastructures de débarquement fonctionnelles offertes au secteur des pêches sont localisées à Nouadhibou, avec le port artisanal et le port autonome de Nouadhibou, la construction d’un port à </w:t>
      </w:r>
      <w:r w:rsidR="003D1520" w:rsidRPr="0063325C">
        <w:rPr>
          <w:rFonts w:eastAsia="Calibri" w:cstheme="minorHAnsi"/>
        </w:rPr>
        <w:t>Tanit, et</w:t>
      </w:r>
      <w:r w:rsidRPr="0063325C">
        <w:rPr>
          <w:rFonts w:eastAsia="Calibri" w:cstheme="minorHAnsi"/>
        </w:rPr>
        <w:t xml:space="preserve"> à N’diago ports de pêche orientés vers la pêche côtière et artisanale. Les autres sites de débarquement </w:t>
      </w:r>
      <w:r w:rsidR="003D1520" w:rsidRPr="0063325C">
        <w:rPr>
          <w:rFonts w:eastAsia="Calibri" w:cstheme="minorHAnsi"/>
        </w:rPr>
        <w:t>(PK</w:t>
      </w:r>
      <w:r w:rsidRPr="0063325C">
        <w:rPr>
          <w:rFonts w:eastAsia="Calibri" w:cstheme="minorHAnsi"/>
        </w:rPr>
        <w:t xml:space="preserve"> 28, PK93, PK144, en plus des villages Imraguen du Banc d’Arguin</w:t>
      </w:r>
      <w:proofErr w:type="gramStart"/>
      <w:r w:rsidRPr="0063325C">
        <w:rPr>
          <w:rFonts w:eastAsia="Calibri" w:cstheme="minorHAnsi"/>
        </w:rPr>
        <w:t>, )</w:t>
      </w:r>
      <w:proofErr w:type="gramEnd"/>
      <w:r w:rsidRPr="0063325C">
        <w:rPr>
          <w:rFonts w:eastAsia="Calibri" w:cstheme="minorHAnsi"/>
        </w:rPr>
        <w:t xml:space="preserve"> ne disposent d’aucune infrastructure pour faciliter l’accueil et le débarquement des </w:t>
      </w:r>
      <w:r w:rsidR="003D1520" w:rsidRPr="0063325C">
        <w:rPr>
          <w:rFonts w:eastAsia="Calibri" w:cstheme="minorHAnsi"/>
        </w:rPr>
        <w:t>produits.</w:t>
      </w:r>
    </w:p>
    <w:p w14:paraId="3C8AF015" w14:textId="77777777" w:rsidR="0063325C" w:rsidRPr="0063325C" w:rsidRDefault="0063325C" w:rsidP="003D1520">
      <w:pPr>
        <w:jc w:val="both"/>
        <w:rPr>
          <w:rFonts w:eastAsia="Calibri" w:cstheme="minorHAnsi"/>
        </w:rPr>
      </w:pPr>
      <w:r w:rsidRPr="0063325C">
        <w:rPr>
          <w:rFonts w:eastAsia="Calibri" w:cstheme="minorHAnsi"/>
        </w:rPr>
        <w:t xml:space="preserve">La capacité globale d’accueil des infrastructures est d’environ 5000 pirogues de pêche artisanale, une centaine de navires côtiers, ce qui reste très en deçà des besoins car le parc piroguier à lui seul dépasse les 9000 embarcations, sans compter près de 250 navires côtiers opérant dans les eaux mauritaniennes. </w:t>
      </w:r>
    </w:p>
    <w:p w14:paraId="39291CE3" w14:textId="5E30C22A" w:rsidR="0063325C" w:rsidRPr="0063325C" w:rsidRDefault="0063325C" w:rsidP="003D1520">
      <w:pPr>
        <w:jc w:val="both"/>
        <w:rPr>
          <w:rFonts w:eastAsia="Calibri" w:cstheme="minorHAnsi"/>
        </w:rPr>
      </w:pPr>
      <w:r w:rsidRPr="0063325C">
        <w:rPr>
          <w:rFonts w:eastAsia="Calibri" w:cstheme="minorHAnsi"/>
        </w:rPr>
        <w:t xml:space="preserve">La </w:t>
      </w:r>
      <w:r w:rsidR="003D1520" w:rsidRPr="0063325C">
        <w:rPr>
          <w:rFonts w:eastAsia="Calibri" w:cstheme="minorHAnsi"/>
        </w:rPr>
        <w:t>capacité nationale de</w:t>
      </w:r>
      <w:r w:rsidRPr="0063325C">
        <w:rPr>
          <w:rFonts w:eastAsia="Calibri" w:cstheme="minorHAnsi"/>
        </w:rPr>
        <w:t xml:space="preserve"> pêche a baissé, cette baisse est constatée par l’arrêt des usines de traitement et par l’immobilisation d’une bonne partie de la flotte nationale. </w:t>
      </w:r>
    </w:p>
    <w:p w14:paraId="79460056" w14:textId="77777777" w:rsidR="0063325C" w:rsidRPr="0063325C" w:rsidRDefault="0063325C" w:rsidP="0063325C">
      <w:pPr>
        <w:rPr>
          <w:rFonts w:eastAsia="Calibri" w:cstheme="minorHAnsi"/>
        </w:rPr>
      </w:pPr>
    </w:p>
    <w:p w14:paraId="7E2ACF1E" w14:textId="77777777" w:rsidR="0063325C" w:rsidRPr="000277BA" w:rsidRDefault="0063325C" w:rsidP="000277BA">
      <w:pPr>
        <w:rPr>
          <w:rFonts w:eastAsia="Calibri" w:cstheme="minorHAnsi"/>
        </w:rPr>
      </w:pPr>
    </w:p>
    <w:p w14:paraId="5E10E2CA" w14:textId="77777777" w:rsidR="00CB712E" w:rsidRDefault="00CB712E" w:rsidP="00CB712E">
      <w:pPr>
        <w:jc w:val="center"/>
        <w:rPr>
          <w:b/>
          <w:bCs/>
          <w:sz w:val="28"/>
          <w:szCs w:val="28"/>
        </w:rPr>
      </w:pPr>
    </w:p>
    <w:p w14:paraId="48D93FD1" w14:textId="77777777" w:rsidR="00CB712E" w:rsidRDefault="00CB712E" w:rsidP="00CB712E">
      <w:pPr>
        <w:rPr>
          <w:b/>
          <w:bCs/>
          <w:sz w:val="28"/>
          <w:szCs w:val="28"/>
        </w:rPr>
      </w:pPr>
      <w:r>
        <w:rPr>
          <w:b/>
          <w:bCs/>
          <w:sz w:val="28"/>
          <w:szCs w:val="28"/>
        </w:rPr>
        <w:br w:type="page"/>
      </w:r>
    </w:p>
    <w:p w14:paraId="54F13DD4" w14:textId="77777777" w:rsidR="00B93463" w:rsidRPr="009C67C7" w:rsidRDefault="00B93463" w:rsidP="00B93463">
      <w:pPr>
        <w:jc w:val="center"/>
        <w:rPr>
          <w:b/>
          <w:bCs/>
        </w:rPr>
      </w:pPr>
      <w:r w:rsidRPr="009C67C7">
        <w:rPr>
          <w:b/>
          <w:bCs/>
        </w:rPr>
        <w:t>République Islamique de Mauritanie</w:t>
      </w:r>
    </w:p>
    <w:p w14:paraId="45DDD20B" w14:textId="77777777" w:rsidR="00B93463" w:rsidRPr="009C67C7" w:rsidRDefault="00B93463" w:rsidP="00B93463">
      <w:pPr>
        <w:jc w:val="center"/>
        <w:rPr>
          <w:b/>
          <w:bCs/>
        </w:rPr>
      </w:pPr>
      <w:r w:rsidRPr="009C67C7">
        <w:rPr>
          <w:b/>
          <w:bCs/>
        </w:rPr>
        <w:t>Honneur-Fraternité-Justice</w:t>
      </w:r>
    </w:p>
    <w:p w14:paraId="69CFDCA4" w14:textId="77777777" w:rsidR="00B93463" w:rsidRPr="009C67C7" w:rsidRDefault="00B93463" w:rsidP="00B93463">
      <w:pPr>
        <w:jc w:val="center"/>
      </w:pPr>
      <w:r w:rsidRPr="009C67C7">
        <w:rPr>
          <w:noProof/>
        </w:rPr>
        <w:drawing>
          <wp:inline distT="0" distB="0" distL="0" distR="0" wp14:anchorId="132D035E" wp14:editId="40E6E8F1">
            <wp:extent cx="981075" cy="790575"/>
            <wp:effectExtent l="0" t="0" r="9525" b="9525"/>
            <wp:docPr id="1407456405" name="Image 3" descr="Sceau de la Mauritani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Sceau de la Mauritanie — Wikipédia"/>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981075" cy="790575"/>
                    </a:xfrm>
                    <a:prstGeom prst="rect">
                      <a:avLst/>
                    </a:prstGeom>
                    <a:noFill/>
                    <a:ln>
                      <a:noFill/>
                    </a:ln>
                  </pic:spPr>
                </pic:pic>
              </a:graphicData>
            </a:graphic>
          </wp:inline>
        </w:drawing>
      </w:r>
    </w:p>
    <w:p w14:paraId="665067F4" w14:textId="77777777" w:rsidR="00B93463" w:rsidRPr="009C67C7" w:rsidRDefault="00B93463" w:rsidP="00B93463">
      <w:pPr>
        <w:jc w:val="center"/>
        <w:rPr>
          <w:b/>
          <w:bCs/>
        </w:rPr>
      </w:pPr>
      <w:r w:rsidRPr="009C67C7">
        <w:rPr>
          <w:b/>
          <w:bCs/>
        </w:rPr>
        <w:t>Ministère de l’Environnement et du Développement Durable</w:t>
      </w:r>
    </w:p>
    <w:p w14:paraId="35B0D674" w14:textId="77777777" w:rsidR="00B93463" w:rsidRPr="009C67C7" w:rsidRDefault="00B93463" w:rsidP="00B93463">
      <w:pPr>
        <w:jc w:val="center"/>
        <w:rPr>
          <w:b/>
          <w:bCs/>
        </w:rPr>
      </w:pPr>
      <w:r w:rsidRPr="009C67C7">
        <w:rPr>
          <w:b/>
          <w:bCs/>
        </w:rPr>
        <w:t>Direction du Climat et de l’économie Verte</w:t>
      </w:r>
    </w:p>
    <w:p w14:paraId="5C1FFFAC" w14:textId="77777777" w:rsidR="00B93463" w:rsidRPr="009C67C7" w:rsidRDefault="00B93463" w:rsidP="00B93463">
      <w:pPr>
        <w:jc w:val="center"/>
        <w:rPr>
          <w:b/>
          <w:bCs/>
        </w:rPr>
      </w:pPr>
      <w:r w:rsidRPr="009C67C7">
        <w:rPr>
          <w:b/>
          <w:bCs/>
        </w:rPr>
        <w:t>Unité de gestion de la cinquième communication nationale</w:t>
      </w:r>
    </w:p>
    <w:p w14:paraId="52A05A07" w14:textId="77777777" w:rsidR="00B93463" w:rsidRPr="009C67C7" w:rsidRDefault="00B93463" w:rsidP="00B93463"/>
    <w:p w14:paraId="66A204E9" w14:textId="2E45BBD4" w:rsidR="00B93463" w:rsidRPr="009C67C7" w:rsidRDefault="00B93463" w:rsidP="00B93463">
      <w:r w:rsidRPr="009C67C7">
        <w:rPr>
          <w:noProof/>
        </w:rPr>
        <mc:AlternateContent>
          <mc:Choice Requires="wps">
            <w:drawing>
              <wp:anchor distT="0" distB="0" distL="114300" distR="114300" simplePos="0" relativeHeight="251723776" behindDoc="0" locked="0" layoutInCell="1" allowOverlap="1" wp14:anchorId="75833D70" wp14:editId="46D8F45D">
                <wp:simplePos x="0" y="0"/>
                <wp:positionH relativeFrom="column">
                  <wp:posOffset>-203200</wp:posOffset>
                </wp:positionH>
                <wp:positionV relativeFrom="paragraph">
                  <wp:posOffset>379095</wp:posOffset>
                </wp:positionV>
                <wp:extent cx="6363970" cy="977900"/>
                <wp:effectExtent l="0" t="0" r="17780" b="12700"/>
                <wp:wrapNone/>
                <wp:docPr id="1532622017" name="Parchemin : vertical 4"/>
                <wp:cNvGraphicFramePr/>
                <a:graphic xmlns:a="http://schemas.openxmlformats.org/drawingml/2006/main">
                  <a:graphicData uri="http://schemas.microsoft.com/office/word/2010/wordprocessingShape">
                    <wps:wsp>
                      <wps:cNvSpPr/>
                      <wps:spPr>
                        <a:xfrm>
                          <a:off x="0" y="0"/>
                          <a:ext cx="6363970" cy="977900"/>
                        </a:xfrm>
                        <a:prstGeom prst="verticalScroll">
                          <a:avLst/>
                        </a:prstGeom>
                      </wps:spPr>
                      <wps:style>
                        <a:lnRef idx="2">
                          <a:schemeClr val="accent6"/>
                        </a:lnRef>
                        <a:fillRef idx="1">
                          <a:schemeClr val="lt1"/>
                        </a:fillRef>
                        <a:effectRef idx="0">
                          <a:schemeClr val="accent6"/>
                        </a:effectRef>
                        <a:fontRef idx="minor">
                          <a:schemeClr val="dk1"/>
                        </a:fontRef>
                      </wps:style>
                      <wps:txbx>
                        <w:txbxContent>
                          <w:p w14:paraId="48B8490F" w14:textId="185B4850" w:rsidR="00B93463" w:rsidRDefault="00C57B47" w:rsidP="00B93463">
                            <w:pPr>
                              <w:shd w:val="clear" w:color="auto" w:fill="C5E0B3" w:themeFill="accent6" w:themeFillTint="66"/>
                              <w:jc w:val="center"/>
                              <w:rPr>
                                <w:rFonts w:ascii="Times New Roman" w:hAnsi="Times New Roman" w:cs="Times New Roman"/>
                                <w:sz w:val="24"/>
                                <w:szCs w:val="24"/>
                              </w:rPr>
                            </w:pPr>
                            <w:r>
                              <w:rPr>
                                <w:rFonts w:ascii="Times New Roman" w:hAnsi="Times New Roman" w:cs="Times New Roman"/>
                                <w:sz w:val="24"/>
                                <w:szCs w:val="24"/>
                              </w:rPr>
                              <w:t xml:space="preserve">CCOMPOSANTE </w:t>
                            </w:r>
                            <w:proofErr w:type="gramStart"/>
                            <w:r>
                              <w:rPr>
                                <w:rFonts w:ascii="Times New Roman" w:hAnsi="Times New Roman" w:cs="Times New Roman"/>
                                <w:sz w:val="24"/>
                                <w:szCs w:val="24"/>
                              </w:rPr>
                              <w:t xml:space="preserve">3  </w:t>
                            </w:r>
                            <w:r w:rsidR="00B93463">
                              <w:rPr>
                                <w:rFonts w:ascii="Times New Roman" w:hAnsi="Times New Roman" w:cs="Times New Roman"/>
                                <w:sz w:val="24"/>
                                <w:szCs w:val="24"/>
                              </w:rPr>
                              <w:t>EVALUATION</w:t>
                            </w:r>
                            <w:proofErr w:type="gramEnd"/>
                            <w:r w:rsidR="00B93463">
                              <w:rPr>
                                <w:rFonts w:ascii="Times New Roman" w:hAnsi="Times New Roman" w:cs="Times New Roman"/>
                                <w:sz w:val="24"/>
                                <w:szCs w:val="24"/>
                              </w:rPr>
                              <w:t xml:space="preserve"> DE LA VULNERABILITE ET ADAPTATION AUX CHANGEMENTS CLIMATIQUES DU SECTEUR DE L’ELEVAGE ET DES RESSOURCES ANIMALES DE MAURITANIE</w:t>
                            </w:r>
                          </w:p>
                          <w:p w14:paraId="60D7AE19" w14:textId="77777777" w:rsidR="00B93463" w:rsidRDefault="00B93463" w:rsidP="00B93463">
                            <w:pPr>
                              <w:jc w:val="center"/>
                              <w:rPr>
                                <w:rFonts w:asciiTheme="majorHAnsi" w:hAnsiTheme="majorHAnsi" w:cstheme="majorHAnsi"/>
                                <w:sz w:val="32"/>
                                <w:szCs w:val="32"/>
                              </w:rPr>
                            </w:pPr>
                            <w:r>
                              <w:rPr>
                                <w:rFonts w:asciiTheme="majorHAnsi" w:hAnsiTheme="majorHAnsi" w:cstheme="majorHAnsi"/>
                                <w:sz w:val="32"/>
                                <w:szCs w:val="32"/>
                              </w:rPr>
                              <w:t>Zootechnicien</w:t>
                            </w:r>
                          </w:p>
                          <w:p w14:paraId="4D3ED344" w14:textId="77777777" w:rsidR="00B93463" w:rsidRDefault="00B93463" w:rsidP="00B93463">
                            <w:pPr>
                              <w:jc w:val="center"/>
                              <w:rPr>
                                <w:rFonts w:asciiTheme="majorHAnsi" w:hAnsiTheme="majorHAnsi" w:cstheme="majorHAnsi"/>
                                <w:sz w:val="32"/>
                                <w:szCs w:val="32"/>
                              </w:rPr>
                            </w:pPr>
                          </w:p>
                          <w:p w14:paraId="7E3BBDE7" w14:textId="77777777" w:rsidR="00B93463" w:rsidRDefault="00B93463" w:rsidP="00B93463">
                            <w:pPr>
                              <w:jc w:val="center"/>
                              <w:rPr>
                                <w:rFonts w:asciiTheme="majorHAnsi" w:hAnsiTheme="majorHAnsi" w:cstheme="majorHAnsi"/>
                                <w:sz w:val="32"/>
                                <w:szCs w:val="32"/>
                              </w:rPr>
                            </w:pPr>
                            <w:proofErr w:type="gramStart"/>
                            <w:r>
                              <w:rPr>
                                <w:rFonts w:asciiTheme="majorHAnsi" w:hAnsiTheme="majorHAnsi" w:cstheme="majorHAnsi"/>
                                <w:sz w:val="32"/>
                                <w:szCs w:val="32"/>
                              </w:rPr>
                              <w:t>z</w:t>
                            </w:r>
                            <w:proofErr w:type="gramEnd"/>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833D70"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 vertical 4" o:spid="_x0000_s1059" type="#_x0000_t97" style="position:absolute;margin-left:-16pt;margin-top:29.85pt;width:501.1pt;height:7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" fillcolor="white [3201]" strokecolor="#70ad47 [3209]" strokeweight="1pt">
                <v:stroke joinstyle="miter"/>
                <v:textbox>
                  <w:txbxContent>
                    <w:p w14:paraId="48B8490F" w14:textId="185B4850" w:rsidR="00B93463" w:rsidRDefault="00C57B47" w:rsidP="00B93463">
                      <w:pPr>
                        <w:shd w:val="clear" w:color="auto" w:fill="C5E0B3" w:themeFill="accent6" w:themeFillTint="66"/>
                        <w:jc w:val="center"/>
                        <w:rPr>
                          <w:rFonts w:ascii="Times New Roman" w:hAnsi="Times New Roman" w:cs="Times New Roman"/>
                          <w:sz w:val="24"/>
                          <w:szCs w:val="24"/>
                        </w:rPr>
                      </w:pPr>
                      <w:r>
                        <w:rPr>
                          <w:rFonts w:ascii="Times New Roman" w:hAnsi="Times New Roman" w:cs="Times New Roman"/>
                          <w:sz w:val="24"/>
                          <w:szCs w:val="24"/>
                        </w:rPr>
                        <w:t xml:space="preserve">CCOMPOSANTE </w:t>
                      </w:r>
                      <w:proofErr w:type="gramStart"/>
                      <w:r>
                        <w:rPr>
                          <w:rFonts w:ascii="Times New Roman" w:hAnsi="Times New Roman" w:cs="Times New Roman"/>
                          <w:sz w:val="24"/>
                          <w:szCs w:val="24"/>
                        </w:rPr>
                        <w:t xml:space="preserve">3  </w:t>
                      </w:r>
                      <w:r w:rsidR="00B93463">
                        <w:rPr>
                          <w:rFonts w:ascii="Times New Roman" w:hAnsi="Times New Roman" w:cs="Times New Roman"/>
                          <w:sz w:val="24"/>
                          <w:szCs w:val="24"/>
                        </w:rPr>
                        <w:t>EVALUATION</w:t>
                      </w:r>
                      <w:proofErr w:type="gramEnd"/>
                      <w:r w:rsidR="00B93463">
                        <w:rPr>
                          <w:rFonts w:ascii="Times New Roman" w:hAnsi="Times New Roman" w:cs="Times New Roman"/>
                          <w:sz w:val="24"/>
                          <w:szCs w:val="24"/>
                        </w:rPr>
                        <w:t xml:space="preserve"> DE LA VULNERABILITE ET ADAPTATION AUX CHANGEMENTS CLIMATIQUES DU SECTEUR DE L’ELEVAGE ET DES RESSOURCES ANIMALES DE MAURITANIE</w:t>
                      </w:r>
                    </w:p>
                    <w:p w14:paraId="60D7AE19" w14:textId="77777777" w:rsidR="00B93463" w:rsidRDefault="00B93463" w:rsidP="00B93463">
                      <w:pPr>
                        <w:jc w:val="center"/>
                        <w:rPr>
                          <w:rFonts w:asciiTheme="majorHAnsi" w:hAnsiTheme="majorHAnsi" w:cstheme="majorHAnsi"/>
                          <w:sz w:val="32"/>
                          <w:szCs w:val="32"/>
                        </w:rPr>
                      </w:pPr>
                      <w:r>
                        <w:rPr>
                          <w:rFonts w:asciiTheme="majorHAnsi" w:hAnsiTheme="majorHAnsi" w:cstheme="majorHAnsi"/>
                          <w:sz w:val="32"/>
                          <w:szCs w:val="32"/>
                        </w:rPr>
                        <w:t>Zootechnicien</w:t>
                      </w:r>
                    </w:p>
                    <w:p w14:paraId="4D3ED344" w14:textId="77777777" w:rsidR="00B93463" w:rsidRDefault="00B93463" w:rsidP="00B93463">
                      <w:pPr>
                        <w:jc w:val="center"/>
                        <w:rPr>
                          <w:rFonts w:asciiTheme="majorHAnsi" w:hAnsiTheme="majorHAnsi" w:cstheme="majorHAnsi"/>
                          <w:sz w:val="32"/>
                          <w:szCs w:val="32"/>
                        </w:rPr>
                      </w:pPr>
                    </w:p>
                    <w:p w14:paraId="7E3BBDE7" w14:textId="77777777" w:rsidR="00B93463" w:rsidRDefault="00B93463" w:rsidP="00B93463">
                      <w:pPr>
                        <w:jc w:val="center"/>
                        <w:rPr>
                          <w:rFonts w:asciiTheme="majorHAnsi" w:hAnsiTheme="majorHAnsi" w:cstheme="majorHAnsi"/>
                          <w:sz w:val="32"/>
                          <w:szCs w:val="32"/>
                        </w:rPr>
                      </w:pPr>
                      <w:proofErr w:type="gramStart"/>
                      <w:r>
                        <w:rPr>
                          <w:rFonts w:asciiTheme="majorHAnsi" w:hAnsiTheme="majorHAnsi" w:cstheme="majorHAnsi"/>
                          <w:sz w:val="32"/>
                          <w:szCs w:val="32"/>
                        </w:rPr>
                        <w:t>z</w:t>
                      </w:r>
                      <w:proofErr w:type="gramEnd"/>
                    </w:p>
                  </w:txbxContent>
                </v:textbox>
              </v:shape>
            </w:pict>
          </mc:Fallback>
        </mc:AlternateContent>
      </w:r>
    </w:p>
    <w:p w14:paraId="70A351A8" w14:textId="77777777" w:rsidR="00B93463" w:rsidRPr="009C67C7" w:rsidRDefault="00B93463" w:rsidP="00B93463"/>
    <w:p w14:paraId="44809344" w14:textId="77777777" w:rsidR="00B93463" w:rsidRPr="009C67C7" w:rsidRDefault="00B93463" w:rsidP="00B93463"/>
    <w:p w14:paraId="139E6DA6" w14:textId="77777777" w:rsidR="00B93463" w:rsidRPr="009C67C7" w:rsidRDefault="00B93463" w:rsidP="00B93463">
      <w:pPr>
        <w:rPr>
          <w:b/>
          <w:bCs/>
        </w:rPr>
      </w:pPr>
    </w:p>
    <w:p w14:paraId="3FE139E5" w14:textId="77777777" w:rsidR="00B93463" w:rsidRDefault="00B93463" w:rsidP="00B93463"/>
    <w:p w14:paraId="04173AFE" w14:textId="77777777" w:rsidR="00B93463" w:rsidRPr="00B46A41" w:rsidRDefault="00B93463" w:rsidP="00B93463">
      <w:pPr>
        <w:jc w:val="center"/>
        <w:rPr>
          <w:b/>
          <w:bCs/>
          <w:sz w:val="24"/>
          <w:szCs w:val="24"/>
        </w:rPr>
      </w:pPr>
      <w:r w:rsidRPr="00B46A41">
        <w:rPr>
          <w:b/>
          <w:bCs/>
          <w:sz w:val="24"/>
          <w:szCs w:val="24"/>
        </w:rPr>
        <w:t>Consultant national : Sow Aboubecrine, Zootechnicien</w:t>
      </w:r>
    </w:p>
    <w:p w14:paraId="39BCE775" w14:textId="77777777" w:rsidR="00B93463" w:rsidRPr="009B093B" w:rsidRDefault="00B93463" w:rsidP="00B93463">
      <w:pPr>
        <w:pStyle w:val="Titre1"/>
        <w:rPr>
          <w:b/>
          <w:bCs/>
        </w:rPr>
      </w:pPr>
      <w:r w:rsidRPr="009B093B">
        <w:rPr>
          <w:b/>
          <w:bCs/>
        </w:rPr>
        <w:t>Proposition des mesures d’adaptation au CC du secteur de l’Elevage</w:t>
      </w:r>
      <w:r w:rsidRPr="00FF5415">
        <w:t xml:space="preserve"> </w:t>
      </w:r>
      <w:r w:rsidRPr="009B093B">
        <w:rPr>
          <w:b/>
          <w:bCs/>
        </w:rPr>
        <w:t xml:space="preserve">en Mauritanie  </w:t>
      </w:r>
    </w:p>
    <w:p w14:paraId="1F084ED8" w14:textId="77777777" w:rsidR="00B93463" w:rsidRDefault="00B93463" w:rsidP="00B93463">
      <w:pPr>
        <w:rPr>
          <w:rFonts w:ascii="Aptos" w:hAnsi="Aptos"/>
          <w:sz w:val="24"/>
          <w:szCs w:val="24"/>
        </w:rPr>
      </w:pPr>
      <w:r w:rsidRPr="0026530F">
        <w:rPr>
          <w:rFonts w:ascii="Aptos" w:hAnsi="Aptos"/>
          <w:sz w:val="24"/>
          <w:szCs w:val="24"/>
        </w:rPr>
        <w:t xml:space="preserve">Voici quelques propositions de mesures et projets d’adaptation au changement climatique (CC) pour le secteur de l’élevage en Mauritanie, en tenant </w:t>
      </w:r>
      <w:r>
        <w:rPr>
          <w:rFonts w:ascii="Aptos" w:hAnsi="Aptos"/>
          <w:sz w:val="24"/>
          <w:szCs w:val="24"/>
        </w:rPr>
        <w:t>du contexte et</w:t>
      </w:r>
      <w:r w:rsidRPr="0026530F">
        <w:rPr>
          <w:rFonts w:ascii="Aptos" w:hAnsi="Aptos"/>
          <w:sz w:val="24"/>
          <w:szCs w:val="24"/>
        </w:rPr>
        <w:t xml:space="preserve"> spécificités régionales et communales.</w:t>
      </w:r>
    </w:p>
    <w:tbl>
      <w:tblPr>
        <w:tblStyle w:val="Grilledutableau"/>
        <w:tblW w:w="0" w:type="auto"/>
        <w:tblLook w:val="04A0" w:firstRow="1" w:lastRow="0" w:firstColumn="1" w:lastColumn="0" w:noHBand="0" w:noVBand="1"/>
      </w:tblPr>
      <w:tblGrid>
        <w:gridCol w:w="3820"/>
        <w:gridCol w:w="1519"/>
        <w:gridCol w:w="2217"/>
        <w:gridCol w:w="1506"/>
      </w:tblGrid>
      <w:tr w:rsidR="00B93463" w14:paraId="42A5699A" w14:textId="77777777" w:rsidTr="00217918">
        <w:tc>
          <w:tcPr>
            <w:tcW w:w="3799" w:type="dxa"/>
          </w:tcPr>
          <w:p w14:paraId="1CC5780E" w14:textId="77777777" w:rsidR="00B93463" w:rsidRDefault="00B93463" w:rsidP="00217918">
            <w:pPr>
              <w:rPr>
                <w:rFonts w:ascii="Aptos" w:hAnsi="Aptos"/>
                <w:sz w:val="24"/>
                <w:szCs w:val="24"/>
              </w:rPr>
            </w:pPr>
            <w:r>
              <w:rPr>
                <w:rFonts w:ascii="Aptos" w:hAnsi="Aptos"/>
                <w:sz w:val="24"/>
                <w:szCs w:val="24"/>
              </w:rPr>
              <w:t>Mesures ou/Projets d’adaptations au cc</w:t>
            </w:r>
          </w:p>
        </w:tc>
        <w:tc>
          <w:tcPr>
            <w:tcW w:w="1725" w:type="dxa"/>
          </w:tcPr>
          <w:p w14:paraId="5E9B84C8" w14:textId="77777777" w:rsidR="00B93463" w:rsidRDefault="00B93463" w:rsidP="00217918">
            <w:pPr>
              <w:rPr>
                <w:rFonts w:ascii="Aptos" w:hAnsi="Aptos"/>
                <w:sz w:val="24"/>
                <w:szCs w:val="24"/>
              </w:rPr>
            </w:pPr>
            <w:r>
              <w:rPr>
                <w:rFonts w:ascii="Aptos" w:hAnsi="Aptos"/>
                <w:sz w:val="24"/>
                <w:szCs w:val="24"/>
              </w:rPr>
              <w:t>Objectifs</w:t>
            </w:r>
          </w:p>
        </w:tc>
        <w:tc>
          <w:tcPr>
            <w:tcW w:w="1994" w:type="dxa"/>
          </w:tcPr>
          <w:p w14:paraId="0F41C261" w14:textId="77777777" w:rsidR="00B93463" w:rsidRDefault="00B93463" w:rsidP="00217918">
            <w:pPr>
              <w:rPr>
                <w:rFonts w:ascii="Aptos" w:hAnsi="Aptos"/>
                <w:sz w:val="24"/>
                <w:szCs w:val="24"/>
              </w:rPr>
            </w:pPr>
            <w:r>
              <w:rPr>
                <w:rFonts w:ascii="Aptos" w:hAnsi="Aptos"/>
                <w:sz w:val="24"/>
                <w:szCs w:val="24"/>
              </w:rPr>
              <w:t>Actions</w:t>
            </w:r>
          </w:p>
        </w:tc>
        <w:tc>
          <w:tcPr>
            <w:tcW w:w="1498" w:type="dxa"/>
          </w:tcPr>
          <w:p w14:paraId="68CAAEEB" w14:textId="77777777" w:rsidR="00B93463" w:rsidRDefault="00B93463" w:rsidP="00217918">
            <w:pPr>
              <w:rPr>
                <w:rFonts w:ascii="Aptos" w:hAnsi="Aptos"/>
                <w:sz w:val="24"/>
                <w:szCs w:val="24"/>
              </w:rPr>
            </w:pPr>
            <w:r>
              <w:rPr>
                <w:rFonts w:ascii="Aptos" w:hAnsi="Aptos"/>
                <w:sz w:val="24"/>
                <w:szCs w:val="24"/>
              </w:rPr>
              <w:t>Régions ciblées</w:t>
            </w:r>
          </w:p>
        </w:tc>
      </w:tr>
      <w:tr w:rsidR="00B93463" w14:paraId="46C72F2C" w14:textId="77777777" w:rsidTr="00217918">
        <w:tc>
          <w:tcPr>
            <w:tcW w:w="3799" w:type="dxa"/>
          </w:tcPr>
          <w:p w14:paraId="5ED118ED" w14:textId="77777777" w:rsidR="00B93463" w:rsidRPr="006B60F3" w:rsidRDefault="00B93463" w:rsidP="00B93463">
            <w:pPr>
              <w:pStyle w:val="Paragraphedeliste"/>
              <w:numPr>
                <w:ilvl w:val="0"/>
                <w:numId w:val="353"/>
              </w:numPr>
              <w:rPr>
                <w:rFonts w:ascii="Aptos" w:hAnsi="Aptos"/>
                <w:sz w:val="20"/>
                <w:szCs w:val="20"/>
              </w:rPr>
            </w:pPr>
            <w:r w:rsidRPr="006B60F3">
              <w:rPr>
                <w:sz w:val="20"/>
                <w:szCs w:val="20"/>
              </w:rPr>
              <w:t>Gestion durable des ressources pastorales</w:t>
            </w:r>
            <w:r>
              <w:rPr>
                <w:sz w:val="20"/>
                <w:szCs w:val="20"/>
              </w:rPr>
              <w:t> /</w:t>
            </w:r>
            <w:r w:rsidRPr="0018629E">
              <w:rPr>
                <w:sz w:val="20"/>
                <w:szCs w:val="20"/>
              </w:rPr>
              <w:t xml:space="preserve"> Réhabilitation et</w:t>
            </w:r>
            <w:r>
              <w:rPr>
                <w:sz w:val="20"/>
                <w:szCs w:val="20"/>
              </w:rPr>
              <w:t xml:space="preserve"> </w:t>
            </w:r>
            <w:r w:rsidRPr="0018629E">
              <w:rPr>
                <w:sz w:val="20"/>
                <w:szCs w:val="20"/>
              </w:rPr>
              <w:t>aménagement des parcours pastoraux</w:t>
            </w:r>
          </w:p>
        </w:tc>
        <w:tc>
          <w:tcPr>
            <w:tcW w:w="1725" w:type="dxa"/>
          </w:tcPr>
          <w:p w14:paraId="16B63017" w14:textId="77777777" w:rsidR="00B93463" w:rsidRDefault="00B93463" w:rsidP="00217918">
            <w:pPr>
              <w:rPr>
                <w:rFonts w:ascii="Aptos" w:hAnsi="Aptos"/>
                <w:sz w:val="24"/>
                <w:szCs w:val="24"/>
              </w:rPr>
            </w:pPr>
            <w:r w:rsidRPr="002847A9">
              <w:rPr>
                <w:rFonts w:ascii="Aptos" w:hAnsi="Aptos"/>
                <w:sz w:val="20"/>
                <w:szCs w:val="20"/>
              </w:rPr>
              <w:t>Restaurer et sécuriser les parcours pastoraux face à la dégradation climatique</w:t>
            </w:r>
          </w:p>
        </w:tc>
        <w:tc>
          <w:tcPr>
            <w:tcW w:w="1994" w:type="dxa"/>
          </w:tcPr>
          <w:p w14:paraId="665F9CB9" w14:textId="77777777" w:rsidR="00B93463" w:rsidRPr="002E372A" w:rsidRDefault="00B93463" w:rsidP="00B93463">
            <w:pPr>
              <w:pStyle w:val="Paragraphedeliste"/>
              <w:numPr>
                <w:ilvl w:val="0"/>
                <w:numId w:val="341"/>
              </w:numPr>
              <w:rPr>
                <w:rFonts w:ascii="Aptos" w:hAnsi="Aptos"/>
                <w:sz w:val="20"/>
                <w:szCs w:val="20"/>
              </w:rPr>
            </w:pPr>
            <w:r w:rsidRPr="002E372A">
              <w:rPr>
                <w:rFonts w:ascii="Aptos" w:hAnsi="Aptos"/>
                <w:sz w:val="20"/>
                <w:szCs w:val="20"/>
              </w:rPr>
              <w:t>Sécurisation des couloirs de transhumance</w:t>
            </w:r>
          </w:p>
          <w:p w14:paraId="7D0C5226" w14:textId="77777777" w:rsidR="00B93463" w:rsidRPr="002E372A" w:rsidRDefault="00B93463" w:rsidP="00B93463">
            <w:pPr>
              <w:pStyle w:val="Paragraphedeliste"/>
              <w:numPr>
                <w:ilvl w:val="0"/>
                <w:numId w:val="342"/>
              </w:numPr>
              <w:rPr>
                <w:rFonts w:ascii="Aptos" w:hAnsi="Aptos"/>
                <w:sz w:val="20"/>
                <w:szCs w:val="20"/>
              </w:rPr>
            </w:pPr>
            <w:r w:rsidRPr="002E372A">
              <w:rPr>
                <w:rFonts w:ascii="Aptos" w:hAnsi="Aptos"/>
                <w:sz w:val="20"/>
                <w:szCs w:val="20"/>
              </w:rPr>
              <w:t>Plantation d’espèces fourragères adaptées (Acacia raddiana, Zornia glochidiata, etc.)</w:t>
            </w:r>
          </w:p>
          <w:p w14:paraId="5CB8800D" w14:textId="77777777" w:rsidR="00B93463" w:rsidRPr="002E372A" w:rsidRDefault="00B93463" w:rsidP="00B93463">
            <w:pPr>
              <w:pStyle w:val="Paragraphedeliste"/>
              <w:numPr>
                <w:ilvl w:val="0"/>
                <w:numId w:val="343"/>
              </w:numPr>
              <w:rPr>
                <w:rFonts w:ascii="Aptos" w:hAnsi="Aptos"/>
                <w:sz w:val="20"/>
                <w:szCs w:val="20"/>
              </w:rPr>
            </w:pPr>
            <w:r w:rsidRPr="002E372A">
              <w:rPr>
                <w:rFonts w:ascii="Aptos" w:hAnsi="Aptos"/>
                <w:sz w:val="20"/>
                <w:szCs w:val="20"/>
              </w:rPr>
              <w:t>Gestion participative avec les communautés pastorales</w:t>
            </w:r>
          </w:p>
        </w:tc>
        <w:tc>
          <w:tcPr>
            <w:tcW w:w="1498" w:type="dxa"/>
          </w:tcPr>
          <w:p w14:paraId="2D15637E" w14:textId="77777777" w:rsidR="00B93463" w:rsidRPr="006B60F3" w:rsidRDefault="00B93463" w:rsidP="00217918">
            <w:pPr>
              <w:rPr>
                <w:rFonts w:ascii="Aptos" w:hAnsi="Aptos"/>
                <w:sz w:val="20"/>
                <w:szCs w:val="20"/>
              </w:rPr>
            </w:pPr>
            <w:r w:rsidRPr="006B60F3">
              <w:rPr>
                <w:rFonts w:ascii="Aptos" w:hAnsi="Aptos"/>
                <w:sz w:val="20"/>
                <w:szCs w:val="20"/>
              </w:rPr>
              <w:t>Hodh El Gharbi et Hodh Ech Chargui (forte pression sur les pâturages)</w:t>
            </w:r>
          </w:p>
          <w:p w14:paraId="28969A6A" w14:textId="77777777" w:rsidR="00B93463" w:rsidRDefault="00B93463" w:rsidP="00217918">
            <w:pPr>
              <w:rPr>
                <w:rFonts w:ascii="Aptos" w:hAnsi="Aptos"/>
                <w:sz w:val="24"/>
                <w:szCs w:val="24"/>
              </w:rPr>
            </w:pPr>
          </w:p>
          <w:p w14:paraId="34AE8C7B" w14:textId="77777777" w:rsidR="00B93463" w:rsidRDefault="00B93463" w:rsidP="00217918">
            <w:pPr>
              <w:rPr>
                <w:rFonts w:ascii="Aptos" w:hAnsi="Aptos"/>
                <w:sz w:val="24"/>
                <w:szCs w:val="24"/>
              </w:rPr>
            </w:pPr>
          </w:p>
          <w:p w14:paraId="27501876" w14:textId="77777777" w:rsidR="00B93463" w:rsidRDefault="00B93463" w:rsidP="00217918">
            <w:pPr>
              <w:rPr>
                <w:rFonts w:ascii="Aptos" w:hAnsi="Aptos"/>
                <w:sz w:val="24"/>
                <w:szCs w:val="24"/>
              </w:rPr>
            </w:pPr>
            <w:r w:rsidRPr="006B60F3">
              <w:rPr>
                <w:rFonts w:ascii="Aptos" w:hAnsi="Aptos"/>
                <w:sz w:val="20"/>
                <w:szCs w:val="20"/>
              </w:rPr>
              <w:t>Assaba et Guidimakha (déforestation et réduction des zones de pâturage</w:t>
            </w:r>
            <w:r w:rsidRPr="0026530F">
              <w:rPr>
                <w:rFonts w:ascii="Aptos" w:hAnsi="Aptos"/>
                <w:sz w:val="24"/>
                <w:szCs w:val="24"/>
              </w:rPr>
              <w:t>)</w:t>
            </w:r>
          </w:p>
        </w:tc>
      </w:tr>
      <w:tr w:rsidR="00B93463" w14:paraId="34F90170" w14:textId="77777777" w:rsidTr="00217918">
        <w:tc>
          <w:tcPr>
            <w:tcW w:w="3799" w:type="dxa"/>
          </w:tcPr>
          <w:p w14:paraId="62698FB0" w14:textId="77777777" w:rsidR="00B93463" w:rsidRPr="006B60F3" w:rsidRDefault="00B93463" w:rsidP="00B93463">
            <w:pPr>
              <w:pStyle w:val="Paragraphedeliste"/>
              <w:numPr>
                <w:ilvl w:val="0"/>
                <w:numId w:val="353"/>
              </w:numPr>
              <w:rPr>
                <w:sz w:val="20"/>
                <w:szCs w:val="20"/>
              </w:rPr>
            </w:pPr>
            <w:r w:rsidRPr="00574F33">
              <w:rPr>
                <w:sz w:val="20"/>
                <w:szCs w:val="20"/>
              </w:rPr>
              <w:t>Sécurisation de l’eau pour l’élevage / Construction et réhabilitation des infrastructures hydrauliques pastorales</w:t>
            </w:r>
          </w:p>
        </w:tc>
        <w:tc>
          <w:tcPr>
            <w:tcW w:w="1725" w:type="dxa"/>
          </w:tcPr>
          <w:p w14:paraId="06BA3193" w14:textId="77777777" w:rsidR="00B93463" w:rsidRPr="002847A9" w:rsidRDefault="00B93463" w:rsidP="00217918">
            <w:pPr>
              <w:rPr>
                <w:rFonts w:ascii="Aptos" w:hAnsi="Aptos"/>
                <w:sz w:val="20"/>
                <w:szCs w:val="20"/>
              </w:rPr>
            </w:pPr>
            <w:r w:rsidRPr="00CB1E8E">
              <w:rPr>
                <w:rFonts w:ascii="Aptos" w:hAnsi="Aptos"/>
                <w:sz w:val="20"/>
                <w:szCs w:val="20"/>
              </w:rPr>
              <w:t>Assurer un accès durable à l’eau pour les troupeaux</w:t>
            </w:r>
          </w:p>
        </w:tc>
        <w:tc>
          <w:tcPr>
            <w:tcW w:w="1994" w:type="dxa"/>
          </w:tcPr>
          <w:p w14:paraId="300C97B0" w14:textId="77777777" w:rsidR="00B93463" w:rsidRPr="009B462F" w:rsidRDefault="00B93463" w:rsidP="00B93463">
            <w:pPr>
              <w:pStyle w:val="Paragraphedeliste"/>
              <w:numPr>
                <w:ilvl w:val="0"/>
                <w:numId w:val="344"/>
              </w:numPr>
              <w:rPr>
                <w:rFonts w:ascii="Aptos" w:hAnsi="Aptos"/>
                <w:sz w:val="20"/>
                <w:szCs w:val="20"/>
              </w:rPr>
            </w:pPr>
            <w:r w:rsidRPr="009B462F">
              <w:rPr>
                <w:rFonts w:ascii="Aptos" w:hAnsi="Aptos"/>
                <w:sz w:val="20"/>
                <w:szCs w:val="20"/>
              </w:rPr>
              <w:t>Forages et puits pastoraux à énergie solaire</w:t>
            </w:r>
          </w:p>
          <w:p w14:paraId="6E24191F" w14:textId="77777777" w:rsidR="00B93463" w:rsidRPr="009B462F" w:rsidRDefault="00B93463" w:rsidP="00B93463">
            <w:pPr>
              <w:pStyle w:val="Paragraphedeliste"/>
              <w:numPr>
                <w:ilvl w:val="0"/>
                <w:numId w:val="344"/>
              </w:numPr>
              <w:rPr>
                <w:rFonts w:ascii="Aptos" w:hAnsi="Aptos"/>
                <w:sz w:val="20"/>
                <w:szCs w:val="20"/>
              </w:rPr>
            </w:pPr>
            <w:r w:rsidRPr="009B462F">
              <w:rPr>
                <w:rFonts w:ascii="Aptos" w:hAnsi="Aptos"/>
                <w:sz w:val="20"/>
                <w:szCs w:val="20"/>
              </w:rPr>
              <w:t>Bassins de retenue pour l’abreuvement du bétail</w:t>
            </w:r>
          </w:p>
          <w:p w14:paraId="79E4A076" w14:textId="77777777" w:rsidR="00B93463" w:rsidRPr="009B462F" w:rsidRDefault="00B93463" w:rsidP="00B93463">
            <w:pPr>
              <w:pStyle w:val="Paragraphedeliste"/>
              <w:numPr>
                <w:ilvl w:val="0"/>
                <w:numId w:val="344"/>
              </w:numPr>
              <w:rPr>
                <w:rFonts w:ascii="Aptos" w:hAnsi="Aptos"/>
                <w:sz w:val="20"/>
                <w:szCs w:val="20"/>
              </w:rPr>
            </w:pPr>
            <w:r w:rsidRPr="009B462F">
              <w:rPr>
                <w:rFonts w:ascii="Aptos" w:hAnsi="Aptos"/>
                <w:sz w:val="20"/>
                <w:szCs w:val="20"/>
              </w:rPr>
              <w:t>Promotion des techniques de recharge des nappes phréatiques</w:t>
            </w:r>
          </w:p>
        </w:tc>
        <w:tc>
          <w:tcPr>
            <w:tcW w:w="1498" w:type="dxa"/>
          </w:tcPr>
          <w:p w14:paraId="52ECC5C7" w14:textId="77777777" w:rsidR="00B93463" w:rsidRPr="00417F1B" w:rsidRDefault="00B93463" w:rsidP="00217918">
            <w:pPr>
              <w:rPr>
                <w:rFonts w:ascii="Aptos" w:hAnsi="Aptos"/>
                <w:sz w:val="20"/>
                <w:szCs w:val="20"/>
              </w:rPr>
            </w:pPr>
            <w:r w:rsidRPr="00417F1B">
              <w:rPr>
                <w:rFonts w:ascii="Aptos" w:hAnsi="Aptos"/>
                <w:sz w:val="20"/>
                <w:szCs w:val="20"/>
              </w:rPr>
              <w:t>Tagant et Adrar (zones arides avec déficit hydrique)</w:t>
            </w:r>
          </w:p>
          <w:p w14:paraId="606C4752" w14:textId="77777777" w:rsidR="00B93463" w:rsidRPr="006B60F3" w:rsidRDefault="00B93463" w:rsidP="00217918">
            <w:pPr>
              <w:rPr>
                <w:rFonts w:ascii="Aptos" w:hAnsi="Aptos"/>
                <w:sz w:val="20"/>
                <w:szCs w:val="20"/>
              </w:rPr>
            </w:pPr>
            <w:r w:rsidRPr="00417F1B">
              <w:rPr>
                <w:rFonts w:ascii="Aptos" w:hAnsi="Aptos"/>
                <w:sz w:val="20"/>
                <w:szCs w:val="20"/>
              </w:rPr>
              <w:t>Trarza (R’Kiz, Keur Macène) (forte variabilité des précipitations)</w:t>
            </w:r>
          </w:p>
        </w:tc>
      </w:tr>
      <w:tr w:rsidR="00B93463" w14:paraId="1730426B" w14:textId="77777777" w:rsidTr="00217918">
        <w:tc>
          <w:tcPr>
            <w:tcW w:w="3799" w:type="dxa"/>
          </w:tcPr>
          <w:p w14:paraId="4FB8E7B3" w14:textId="77777777" w:rsidR="00B93463" w:rsidRPr="00574F33" w:rsidRDefault="00B93463" w:rsidP="00B93463">
            <w:pPr>
              <w:pStyle w:val="Paragraphedeliste"/>
              <w:numPr>
                <w:ilvl w:val="0"/>
                <w:numId w:val="353"/>
              </w:numPr>
              <w:rPr>
                <w:sz w:val="20"/>
                <w:szCs w:val="20"/>
              </w:rPr>
            </w:pPr>
            <w:r w:rsidRPr="00574F33">
              <w:rPr>
                <w:sz w:val="20"/>
                <w:szCs w:val="20"/>
              </w:rPr>
              <w:t>Amélioration de l’alimentation du bétail / Développement de l’agro-pastoralisme et des cultures fourragères</w:t>
            </w:r>
          </w:p>
          <w:p w14:paraId="039D98D8" w14:textId="77777777" w:rsidR="00B93463" w:rsidRPr="006B60F3" w:rsidRDefault="00B93463" w:rsidP="00217918">
            <w:pPr>
              <w:pStyle w:val="Paragraphedeliste"/>
              <w:rPr>
                <w:rFonts w:ascii="Aptos" w:hAnsi="Aptos"/>
                <w:sz w:val="20"/>
                <w:szCs w:val="20"/>
              </w:rPr>
            </w:pPr>
          </w:p>
        </w:tc>
        <w:tc>
          <w:tcPr>
            <w:tcW w:w="1725" w:type="dxa"/>
          </w:tcPr>
          <w:p w14:paraId="4FFD4FA3" w14:textId="77777777" w:rsidR="00B93463" w:rsidRPr="00CB1E8E" w:rsidRDefault="00B93463" w:rsidP="00217918">
            <w:pPr>
              <w:rPr>
                <w:rFonts w:ascii="Aptos" w:hAnsi="Aptos"/>
                <w:sz w:val="20"/>
                <w:szCs w:val="20"/>
              </w:rPr>
            </w:pPr>
            <w:r w:rsidRPr="0018629E">
              <w:rPr>
                <w:rFonts w:ascii="Aptos" w:hAnsi="Aptos"/>
                <w:sz w:val="20"/>
                <w:szCs w:val="20"/>
              </w:rPr>
              <w:t>Réduire la dépendance aux parcours naturels en développant des alternatives fourragères</w:t>
            </w:r>
          </w:p>
        </w:tc>
        <w:tc>
          <w:tcPr>
            <w:tcW w:w="1994" w:type="dxa"/>
          </w:tcPr>
          <w:p w14:paraId="43E510C2" w14:textId="77777777" w:rsidR="00B93463" w:rsidRPr="0018629E" w:rsidRDefault="00B93463" w:rsidP="00B93463">
            <w:pPr>
              <w:pStyle w:val="Paragraphedeliste"/>
              <w:numPr>
                <w:ilvl w:val="0"/>
                <w:numId w:val="345"/>
              </w:numPr>
              <w:rPr>
                <w:rFonts w:ascii="Aptos" w:hAnsi="Aptos"/>
                <w:sz w:val="20"/>
                <w:szCs w:val="20"/>
              </w:rPr>
            </w:pPr>
            <w:r w:rsidRPr="0018629E">
              <w:rPr>
                <w:rFonts w:ascii="Aptos" w:hAnsi="Aptos"/>
                <w:sz w:val="20"/>
                <w:szCs w:val="20"/>
              </w:rPr>
              <w:t>Promotion des cultures fourragères irriguées (niébé fourrager, sorgho, luzerne)</w:t>
            </w:r>
          </w:p>
          <w:p w14:paraId="45C0B592" w14:textId="77777777" w:rsidR="00B93463" w:rsidRPr="0018629E" w:rsidRDefault="00B93463" w:rsidP="00B93463">
            <w:pPr>
              <w:pStyle w:val="Paragraphedeliste"/>
              <w:numPr>
                <w:ilvl w:val="0"/>
                <w:numId w:val="346"/>
              </w:numPr>
              <w:rPr>
                <w:rFonts w:ascii="Aptos" w:hAnsi="Aptos"/>
                <w:sz w:val="20"/>
                <w:szCs w:val="20"/>
              </w:rPr>
            </w:pPr>
            <w:r w:rsidRPr="0018629E">
              <w:rPr>
                <w:rFonts w:ascii="Aptos" w:hAnsi="Aptos"/>
                <w:sz w:val="20"/>
                <w:szCs w:val="20"/>
              </w:rPr>
              <w:t>Vulgarisation de la production et conservation des blocs multi-nutritionnels</w:t>
            </w:r>
          </w:p>
          <w:p w14:paraId="0D028CBE" w14:textId="77777777" w:rsidR="00B93463" w:rsidRPr="00776843" w:rsidRDefault="00B93463" w:rsidP="00B93463">
            <w:pPr>
              <w:pStyle w:val="Paragraphedeliste"/>
              <w:numPr>
                <w:ilvl w:val="0"/>
                <w:numId w:val="347"/>
              </w:numPr>
              <w:rPr>
                <w:rFonts w:ascii="Aptos" w:hAnsi="Aptos"/>
                <w:sz w:val="20"/>
                <w:szCs w:val="20"/>
              </w:rPr>
            </w:pPr>
            <w:r w:rsidRPr="00776843">
              <w:rPr>
                <w:rFonts w:ascii="Aptos" w:hAnsi="Aptos"/>
                <w:sz w:val="20"/>
                <w:szCs w:val="20"/>
              </w:rPr>
              <w:t>Appui aux unités locales de transformation de fourrage</w:t>
            </w:r>
          </w:p>
        </w:tc>
        <w:tc>
          <w:tcPr>
            <w:tcW w:w="1498" w:type="dxa"/>
          </w:tcPr>
          <w:p w14:paraId="35DDFB50" w14:textId="77777777" w:rsidR="00B93463" w:rsidRPr="004141A1" w:rsidRDefault="00B93463" w:rsidP="00217918">
            <w:pPr>
              <w:rPr>
                <w:rFonts w:ascii="Aptos" w:hAnsi="Aptos"/>
                <w:sz w:val="20"/>
                <w:szCs w:val="20"/>
              </w:rPr>
            </w:pPr>
            <w:r w:rsidRPr="004141A1">
              <w:rPr>
                <w:rFonts w:ascii="Aptos" w:hAnsi="Aptos"/>
                <w:sz w:val="20"/>
                <w:szCs w:val="20"/>
              </w:rPr>
              <w:t>Brakna (Boghé, Aleg, Magta Lahjar) (zones agricoles avec potentiel fourrager).</w:t>
            </w:r>
          </w:p>
          <w:p w14:paraId="1FFEFEEF" w14:textId="77777777" w:rsidR="00B93463" w:rsidRPr="004141A1" w:rsidRDefault="00B93463" w:rsidP="00217918">
            <w:pPr>
              <w:rPr>
                <w:rFonts w:ascii="Aptos" w:hAnsi="Aptos"/>
                <w:sz w:val="20"/>
                <w:szCs w:val="20"/>
              </w:rPr>
            </w:pPr>
            <w:r w:rsidRPr="004141A1">
              <w:rPr>
                <w:rFonts w:ascii="Aptos" w:hAnsi="Aptos"/>
                <w:sz w:val="20"/>
                <w:szCs w:val="20"/>
              </w:rPr>
              <w:t>Gorgol et Guidimakha (pratiques agro-pastorales traditionnelles)</w:t>
            </w:r>
          </w:p>
          <w:p w14:paraId="1486EC9F" w14:textId="77777777" w:rsidR="00B93463" w:rsidRPr="00417F1B" w:rsidRDefault="00B93463" w:rsidP="00217918">
            <w:pPr>
              <w:rPr>
                <w:rFonts w:ascii="Aptos" w:hAnsi="Aptos"/>
                <w:sz w:val="20"/>
                <w:szCs w:val="20"/>
              </w:rPr>
            </w:pPr>
          </w:p>
        </w:tc>
      </w:tr>
      <w:tr w:rsidR="00B93463" w14:paraId="293844B3" w14:textId="77777777" w:rsidTr="00217918">
        <w:tc>
          <w:tcPr>
            <w:tcW w:w="3799" w:type="dxa"/>
          </w:tcPr>
          <w:p w14:paraId="3170AE41" w14:textId="77777777" w:rsidR="00B93463" w:rsidRPr="007328A4" w:rsidRDefault="00B93463" w:rsidP="00217918">
            <w:pPr>
              <w:rPr>
                <w:rFonts w:ascii="Aptos" w:hAnsi="Aptos"/>
                <w:sz w:val="20"/>
                <w:szCs w:val="20"/>
              </w:rPr>
            </w:pPr>
          </w:p>
          <w:p w14:paraId="4AD9D3F9" w14:textId="77777777" w:rsidR="00B93463" w:rsidRPr="00574F33" w:rsidRDefault="00B93463" w:rsidP="00B93463">
            <w:pPr>
              <w:pStyle w:val="Paragraphedeliste"/>
              <w:numPr>
                <w:ilvl w:val="0"/>
                <w:numId w:val="353"/>
              </w:numPr>
              <w:rPr>
                <w:sz w:val="20"/>
                <w:szCs w:val="20"/>
              </w:rPr>
            </w:pPr>
            <w:r w:rsidRPr="00574F33">
              <w:rPr>
                <w:sz w:val="20"/>
                <w:szCs w:val="20"/>
              </w:rPr>
              <w:t>Modernisation de la mobilité pastorale/ Digitalisation et sécurisation de la transhumance</w:t>
            </w:r>
          </w:p>
          <w:p w14:paraId="21A5C190" w14:textId="77777777" w:rsidR="00B93463" w:rsidRPr="007328A4" w:rsidRDefault="00B93463" w:rsidP="00217918">
            <w:pPr>
              <w:rPr>
                <w:rFonts w:ascii="Aptos" w:hAnsi="Aptos"/>
                <w:sz w:val="20"/>
                <w:szCs w:val="20"/>
              </w:rPr>
            </w:pPr>
          </w:p>
          <w:p w14:paraId="6EFF7D70" w14:textId="77777777" w:rsidR="00B93463" w:rsidRPr="007328A4" w:rsidRDefault="00B93463" w:rsidP="00217918">
            <w:pPr>
              <w:rPr>
                <w:rFonts w:ascii="Aptos" w:hAnsi="Aptos"/>
                <w:sz w:val="20"/>
                <w:szCs w:val="20"/>
              </w:rPr>
            </w:pPr>
          </w:p>
          <w:p w14:paraId="5A7C2081" w14:textId="77777777" w:rsidR="00B93463" w:rsidRPr="007328A4" w:rsidRDefault="00B93463" w:rsidP="00217918">
            <w:pPr>
              <w:rPr>
                <w:rFonts w:ascii="Aptos" w:hAnsi="Aptos"/>
                <w:sz w:val="20"/>
                <w:szCs w:val="20"/>
              </w:rPr>
            </w:pPr>
          </w:p>
          <w:p w14:paraId="66F7E794" w14:textId="77777777" w:rsidR="00B93463" w:rsidRPr="007328A4" w:rsidRDefault="00B93463" w:rsidP="00217918">
            <w:pPr>
              <w:rPr>
                <w:rFonts w:ascii="Aptos" w:hAnsi="Aptos"/>
                <w:sz w:val="20"/>
                <w:szCs w:val="20"/>
              </w:rPr>
            </w:pPr>
          </w:p>
          <w:p w14:paraId="4F7BF620" w14:textId="77777777" w:rsidR="00B93463" w:rsidRPr="007328A4" w:rsidRDefault="00B93463" w:rsidP="00217918">
            <w:pPr>
              <w:rPr>
                <w:rFonts w:ascii="Aptos" w:hAnsi="Aptos"/>
                <w:sz w:val="20"/>
                <w:szCs w:val="20"/>
              </w:rPr>
            </w:pPr>
          </w:p>
          <w:p w14:paraId="619E0FE7" w14:textId="77777777" w:rsidR="00B93463" w:rsidRPr="007328A4" w:rsidRDefault="00B93463" w:rsidP="00217918">
            <w:pPr>
              <w:rPr>
                <w:rFonts w:ascii="Aptos" w:hAnsi="Aptos"/>
                <w:sz w:val="20"/>
                <w:szCs w:val="20"/>
              </w:rPr>
            </w:pPr>
          </w:p>
          <w:p w14:paraId="07D4E870" w14:textId="77777777" w:rsidR="00B93463" w:rsidRPr="007328A4" w:rsidRDefault="00B93463" w:rsidP="00217918">
            <w:pPr>
              <w:rPr>
                <w:rFonts w:ascii="Aptos" w:hAnsi="Aptos"/>
                <w:sz w:val="20"/>
                <w:szCs w:val="20"/>
              </w:rPr>
            </w:pPr>
          </w:p>
        </w:tc>
        <w:tc>
          <w:tcPr>
            <w:tcW w:w="1725" w:type="dxa"/>
          </w:tcPr>
          <w:p w14:paraId="0DE5CA29" w14:textId="77777777" w:rsidR="00B93463" w:rsidRPr="00CB1E8E" w:rsidRDefault="00B93463" w:rsidP="00217918">
            <w:pPr>
              <w:rPr>
                <w:rFonts w:ascii="Aptos" w:hAnsi="Aptos"/>
                <w:sz w:val="20"/>
                <w:szCs w:val="20"/>
              </w:rPr>
            </w:pPr>
            <w:r w:rsidRPr="009C1CEF">
              <w:rPr>
                <w:rFonts w:ascii="Aptos" w:hAnsi="Aptos"/>
                <w:sz w:val="20"/>
                <w:szCs w:val="20"/>
              </w:rPr>
              <w:t>Faciliter la gestion des déplacements des troupeaux face aux aléas climatiques</w:t>
            </w:r>
          </w:p>
        </w:tc>
        <w:tc>
          <w:tcPr>
            <w:tcW w:w="1994" w:type="dxa"/>
          </w:tcPr>
          <w:p w14:paraId="43894695" w14:textId="77777777" w:rsidR="00B93463" w:rsidRPr="009C1CEF" w:rsidRDefault="00B93463" w:rsidP="00B93463">
            <w:pPr>
              <w:pStyle w:val="Paragraphedeliste"/>
              <w:numPr>
                <w:ilvl w:val="0"/>
                <w:numId w:val="348"/>
              </w:numPr>
              <w:rPr>
                <w:rFonts w:ascii="Aptos" w:hAnsi="Aptos"/>
                <w:sz w:val="24"/>
                <w:szCs w:val="24"/>
              </w:rPr>
            </w:pPr>
            <w:r w:rsidRPr="009C1CEF">
              <w:rPr>
                <w:rFonts w:ascii="Aptos" w:hAnsi="Aptos"/>
                <w:sz w:val="20"/>
                <w:szCs w:val="20"/>
              </w:rPr>
              <w:t>Mise en place d’un système de suivi des troupeaux via GPS</w:t>
            </w:r>
          </w:p>
          <w:p w14:paraId="0465AB1B" w14:textId="77777777" w:rsidR="00B93463" w:rsidRPr="009C1CEF" w:rsidRDefault="00B93463" w:rsidP="00B93463">
            <w:pPr>
              <w:pStyle w:val="Paragraphedeliste"/>
              <w:numPr>
                <w:ilvl w:val="0"/>
                <w:numId w:val="349"/>
              </w:numPr>
              <w:rPr>
                <w:rFonts w:ascii="Aptos" w:hAnsi="Aptos"/>
                <w:sz w:val="20"/>
                <w:szCs w:val="20"/>
              </w:rPr>
            </w:pPr>
            <w:r w:rsidRPr="009C1CEF">
              <w:rPr>
                <w:rFonts w:ascii="Aptos" w:hAnsi="Aptos"/>
                <w:sz w:val="20"/>
                <w:szCs w:val="20"/>
              </w:rPr>
              <w:t>Création de bases de données sur la disponibilité des ressources pastorales</w:t>
            </w:r>
          </w:p>
          <w:p w14:paraId="4B61F0A4" w14:textId="77777777" w:rsidR="00B93463" w:rsidRPr="009C1CEF" w:rsidRDefault="00B93463" w:rsidP="00B93463">
            <w:pPr>
              <w:pStyle w:val="Paragraphedeliste"/>
              <w:numPr>
                <w:ilvl w:val="0"/>
                <w:numId w:val="350"/>
              </w:numPr>
              <w:rPr>
                <w:rFonts w:ascii="Aptos" w:hAnsi="Aptos"/>
                <w:sz w:val="20"/>
                <w:szCs w:val="20"/>
              </w:rPr>
            </w:pPr>
            <w:r w:rsidRPr="009C1CEF">
              <w:rPr>
                <w:rFonts w:ascii="Aptos" w:hAnsi="Aptos"/>
                <w:sz w:val="20"/>
                <w:szCs w:val="20"/>
              </w:rPr>
              <w:t>Amélioration des infrastructures de repos et d’abreuvement pour les transhumants</w:t>
            </w:r>
          </w:p>
        </w:tc>
        <w:tc>
          <w:tcPr>
            <w:tcW w:w="1498" w:type="dxa"/>
          </w:tcPr>
          <w:p w14:paraId="0759A883" w14:textId="77777777" w:rsidR="00B93463" w:rsidRPr="00E07E4E" w:rsidRDefault="00B93463" w:rsidP="00217918">
            <w:pPr>
              <w:rPr>
                <w:rFonts w:ascii="Aptos" w:hAnsi="Aptos"/>
                <w:sz w:val="20"/>
                <w:szCs w:val="20"/>
              </w:rPr>
            </w:pPr>
            <w:r w:rsidRPr="00E07E4E">
              <w:rPr>
                <w:rFonts w:ascii="Aptos" w:hAnsi="Aptos"/>
                <w:sz w:val="20"/>
                <w:szCs w:val="20"/>
              </w:rPr>
              <w:t>Hodh Ech Chargui et Hodh El Gharbi (forte mobilité des éleveurs)</w:t>
            </w:r>
          </w:p>
          <w:p w14:paraId="15A25068" w14:textId="77777777" w:rsidR="00B93463" w:rsidRPr="00E07E4E" w:rsidRDefault="00B93463" w:rsidP="00217918">
            <w:pPr>
              <w:rPr>
                <w:rFonts w:ascii="Aptos" w:hAnsi="Aptos"/>
                <w:sz w:val="20"/>
                <w:szCs w:val="20"/>
              </w:rPr>
            </w:pPr>
            <w:r w:rsidRPr="00E07E4E">
              <w:rPr>
                <w:rFonts w:ascii="Aptos" w:hAnsi="Aptos"/>
                <w:sz w:val="20"/>
                <w:szCs w:val="20"/>
              </w:rPr>
              <w:t>Assaba et Guidimakha (zones de convergence des flux transhumants)</w:t>
            </w:r>
          </w:p>
          <w:p w14:paraId="0EF35CB5" w14:textId="77777777" w:rsidR="00B93463" w:rsidRPr="00417F1B" w:rsidRDefault="00B93463" w:rsidP="00217918">
            <w:pPr>
              <w:rPr>
                <w:rFonts w:ascii="Aptos" w:hAnsi="Aptos"/>
                <w:sz w:val="20"/>
                <w:szCs w:val="20"/>
              </w:rPr>
            </w:pPr>
          </w:p>
        </w:tc>
      </w:tr>
      <w:tr w:rsidR="00B93463" w14:paraId="73264E67" w14:textId="77777777" w:rsidTr="00217918">
        <w:tc>
          <w:tcPr>
            <w:tcW w:w="3799" w:type="dxa"/>
          </w:tcPr>
          <w:p w14:paraId="6EB062AA" w14:textId="77777777" w:rsidR="00B93463" w:rsidRPr="00574F33" w:rsidRDefault="00B93463" w:rsidP="00B93463">
            <w:pPr>
              <w:pStyle w:val="Paragraphedeliste"/>
              <w:numPr>
                <w:ilvl w:val="0"/>
                <w:numId w:val="353"/>
              </w:numPr>
              <w:rPr>
                <w:sz w:val="20"/>
                <w:szCs w:val="20"/>
              </w:rPr>
            </w:pPr>
            <w:r w:rsidRPr="00574F33">
              <w:rPr>
                <w:sz w:val="20"/>
                <w:szCs w:val="20"/>
              </w:rPr>
              <w:t>Renforcement de la résilience socio-économique des éleveurs/ Appui aux coopératives et mutuelles pastorales</w:t>
            </w:r>
          </w:p>
          <w:p w14:paraId="7FC5F337" w14:textId="77777777" w:rsidR="00B93463" w:rsidRPr="007328A4" w:rsidRDefault="00B93463" w:rsidP="00217918">
            <w:pPr>
              <w:rPr>
                <w:rFonts w:ascii="Aptos" w:hAnsi="Aptos"/>
                <w:sz w:val="20"/>
                <w:szCs w:val="20"/>
              </w:rPr>
            </w:pPr>
          </w:p>
        </w:tc>
        <w:tc>
          <w:tcPr>
            <w:tcW w:w="1725" w:type="dxa"/>
          </w:tcPr>
          <w:p w14:paraId="68106EB4" w14:textId="77777777" w:rsidR="00B93463" w:rsidRPr="009C1CEF" w:rsidRDefault="00B93463" w:rsidP="00217918">
            <w:pPr>
              <w:rPr>
                <w:rFonts w:ascii="Aptos" w:hAnsi="Aptos"/>
                <w:sz w:val="20"/>
                <w:szCs w:val="20"/>
              </w:rPr>
            </w:pPr>
            <w:r w:rsidRPr="00276A88">
              <w:rPr>
                <w:rFonts w:ascii="Aptos" w:hAnsi="Aptos"/>
              </w:rPr>
              <w:t>Développer des mécanismes de financement et de protection sociale pour les éleveurs vulnérables</w:t>
            </w:r>
          </w:p>
        </w:tc>
        <w:tc>
          <w:tcPr>
            <w:tcW w:w="1994" w:type="dxa"/>
          </w:tcPr>
          <w:p w14:paraId="5973D49E" w14:textId="77777777" w:rsidR="00B93463" w:rsidRPr="00276A88" w:rsidRDefault="00B93463" w:rsidP="00B93463">
            <w:pPr>
              <w:pStyle w:val="Paragraphedeliste"/>
              <w:numPr>
                <w:ilvl w:val="0"/>
                <w:numId w:val="350"/>
              </w:numPr>
              <w:rPr>
                <w:rFonts w:ascii="Aptos" w:hAnsi="Aptos"/>
                <w:sz w:val="20"/>
                <w:szCs w:val="20"/>
              </w:rPr>
            </w:pPr>
            <w:r w:rsidRPr="00276A88">
              <w:rPr>
                <w:rFonts w:ascii="Aptos" w:hAnsi="Aptos"/>
                <w:sz w:val="20"/>
                <w:szCs w:val="20"/>
              </w:rPr>
              <w:t>Mise en place de banques de fourrage et d’aliments du bétail</w:t>
            </w:r>
          </w:p>
          <w:p w14:paraId="4BB09A73" w14:textId="77777777" w:rsidR="00B93463" w:rsidRPr="00276A88" w:rsidRDefault="00B93463" w:rsidP="00B93463">
            <w:pPr>
              <w:pStyle w:val="Paragraphedeliste"/>
              <w:numPr>
                <w:ilvl w:val="0"/>
                <w:numId w:val="351"/>
              </w:numPr>
              <w:rPr>
                <w:rFonts w:ascii="Aptos" w:hAnsi="Aptos"/>
                <w:sz w:val="20"/>
                <w:szCs w:val="20"/>
              </w:rPr>
            </w:pPr>
            <w:r w:rsidRPr="00276A88">
              <w:rPr>
                <w:rFonts w:ascii="Aptos" w:hAnsi="Aptos"/>
                <w:sz w:val="20"/>
                <w:szCs w:val="20"/>
              </w:rPr>
              <w:t>Vulgarisation des assurances indexées sur le climat pour le bétail</w:t>
            </w:r>
          </w:p>
          <w:p w14:paraId="5121FA94" w14:textId="77777777" w:rsidR="00B93463" w:rsidRPr="00276A88" w:rsidRDefault="00B93463" w:rsidP="00B93463">
            <w:pPr>
              <w:pStyle w:val="Paragraphedeliste"/>
              <w:numPr>
                <w:ilvl w:val="0"/>
                <w:numId w:val="352"/>
              </w:numPr>
              <w:rPr>
                <w:rFonts w:ascii="Aptos" w:hAnsi="Aptos"/>
                <w:sz w:val="20"/>
                <w:szCs w:val="20"/>
              </w:rPr>
            </w:pPr>
            <w:r w:rsidRPr="00276A88">
              <w:rPr>
                <w:rFonts w:ascii="Aptos" w:hAnsi="Aptos"/>
                <w:sz w:val="20"/>
                <w:szCs w:val="20"/>
              </w:rPr>
              <w:t>Création de microcrédits pour la diversification des revenus des éleveurs</w:t>
            </w:r>
          </w:p>
        </w:tc>
        <w:tc>
          <w:tcPr>
            <w:tcW w:w="1498" w:type="dxa"/>
          </w:tcPr>
          <w:p w14:paraId="1F96E093" w14:textId="77777777" w:rsidR="00B93463" w:rsidRPr="00276A88" w:rsidRDefault="00B93463" w:rsidP="00217918">
            <w:pPr>
              <w:rPr>
                <w:rFonts w:ascii="Aptos" w:hAnsi="Aptos"/>
                <w:sz w:val="20"/>
                <w:szCs w:val="20"/>
              </w:rPr>
            </w:pPr>
            <w:r w:rsidRPr="00276A88">
              <w:rPr>
                <w:rFonts w:ascii="Aptos" w:hAnsi="Aptos"/>
                <w:sz w:val="20"/>
                <w:szCs w:val="20"/>
              </w:rPr>
              <w:t>Gorgol et Brakna (forte dépendance aux ressources pastorales).</w:t>
            </w:r>
          </w:p>
          <w:p w14:paraId="7A3234F3" w14:textId="77777777" w:rsidR="00B93463" w:rsidRPr="00E07E4E" w:rsidRDefault="00B93463" w:rsidP="00217918">
            <w:pPr>
              <w:rPr>
                <w:rFonts w:ascii="Aptos" w:hAnsi="Aptos"/>
                <w:sz w:val="20"/>
                <w:szCs w:val="20"/>
              </w:rPr>
            </w:pPr>
            <w:r w:rsidRPr="00276A88">
              <w:rPr>
                <w:rFonts w:ascii="Aptos" w:hAnsi="Aptos"/>
                <w:sz w:val="20"/>
                <w:szCs w:val="20"/>
              </w:rPr>
              <w:t>Nouakchott (périphérie) (éleveurs en reconversion vers des activités urbaines)</w:t>
            </w:r>
          </w:p>
        </w:tc>
      </w:tr>
      <w:tr w:rsidR="00B93463" w14:paraId="70943F48" w14:textId="77777777" w:rsidTr="00217918">
        <w:tc>
          <w:tcPr>
            <w:tcW w:w="3799" w:type="dxa"/>
          </w:tcPr>
          <w:p w14:paraId="1F9AB6A3" w14:textId="77777777" w:rsidR="00B93463" w:rsidRPr="00574F33" w:rsidRDefault="00B93463" w:rsidP="00B93463">
            <w:pPr>
              <w:pStyle w:val="Paragraphedeliste"/>
              <w:numPr>
                <w:ilvl w:val="0"/>
                <w:numId w:val="353"/>
              </w:numPr>
              <w:rPr>
                <w:sz w:val="20"/>
                <w:szCs w:val="20"/>
              </w:rPr>
            </w:pPr>
            <w:r>
              <w:rPr>
                <w:sz w:val="20"/>
                <w:szCs w:val="20"/>
              </w:rPr>
              <w:t>Amélioration de races animales locales /Insémination artificielles</w:t>
            </w:r>
          </w:p>
        </w:tc>
        <w:tc>
          <w:tcPr>
            <w:tcW w:w="1725" w:type="dxa"/>
          </w:tcPr>
          <w:p w14:paraId="0D5D5061" w14:textId="77777777" w:rsidR="00B93463" w:rsidRPr="00276A88" w:rsidRDefault="00B93463" w:rsidP="00217918">
            <w:pPr>
              <w:rPr>
                <w:rFonts w:ascii="Aptos" w:hAnsi="Aptos"/>
              </w:rPr>
            </w:pPr>
            <w:r>
              <w:rPr>
                <w:rFonts w:ascii="Aptos" w:hAnsi="Aptos"/>
              </w:rPr>
              <w:t>Amélioration de la productivité des animaux et augmentation des revenus des éleveurs</w:t>
            </w:r>
          </w:p>
        </w:tc>
        <w:tc>
          <w:tcPr>
            <w:tcW w:w="1994" w:type="dxa"/>
          </w:tcPr>
          <w:p w14:paraId="4FE13F73" w14:textId="77777777" w:rsidR="00B93463" w:rsidRDefault="00B93463" w:rsidP="00B93463">
            <w:pPr>
              <w:pStyle w:val="Paragraphedeliste"/>
              <w:numPr>
                <w:ilvl w:val="0"/>
                <w:numId w:val="350"/>
              </w:numPr>
              <w:rPr>
                <w:rFonts w:ascii="Aptos" w:hAnsi="Aptos"/>
                <w:sz w:val="20"/>
                <w:szCs w:val="20"/>
              </w:rPr>
            </w:pPr>
            <w:r>
              <w:rPr>
                <w:rFonts w:ascii="Aptos" w:hAnsi="Aptos"/>
                <w:sz w:val="20"/>
                <w:szCs w:val="20"/>
              </w:rPr>
              <w:t>Création de nouveau centre d’amélioration génétiques</w:t>
            </w:r>
          </w:p>
          <w:p w14:paraId="0F4C110C" w14:textId="77777777" w:rsidR="00B93463" w:rsidRPr="00276A88" w:rsidRDefault="00B93463" w:rsidP="00B93463">
            <w:pPr>
              <w:pStyle w:val="Paragraphedeliste"/>
              <w:numPr>
                <w:ilvl w:val="0"/>
                <w:numId w:val="350"/>
              </w:numPr>
              <w:rPr>
                <w:rFonts w:ascii="Aptos" w:hAnsi="Aptos"/>
                <w:sz w:val="20"/>
                <w:szCs w:val="20"/>
              </w:rPr>
            </w:pPr>
            <w:r>
              <w:rPr>
                <w:rFonts w:ascii="Aptos" w:hAnsi="Aptos"/>
                <w:sz w:val="20"/>
                <w:szCs w:val="20"/>
              </w:rPr>
              <w:t xml:space="preserve">Création des centres spécifiques pour la sélection de races locales </w:t>
            </w:r>
          </w:p>
        </w:tc>
        <w:tc>
          <w:tcPr>
            <w:tcW w:w="1498" w:type="dxa"/>
          </w:tcPr>
          <w:p w14:paraId="7436ACE8" w14:textId="77777777" w:rsidR="00B93463" w:rsidRPr="00276A88" w:rsidRDefault="00B93463" w:rsidP="00217918">
            <w:pPr>
              <w:rPr>
                <w:rFonts w:ascii="Aptos" w:hAnsi="Aptos"/>
                <w:sz w:val="20"/>
                <w:szCs w:val="20"/>
              </w:rPr>
            </w:pPr>
            <w:r>
              <w:rPr>
                <w:rFonts w:ascii="Aptos" w:hAnsi="Aptos"/>
                <w:sz w:val="20"/>
                <w:szCs w:val="20"/>
              </w:rPr>
              <w:t>Dans l’ensemble des régions du pays</w:t>
            </w:r>
          </w:p>
        </w:tc>
      </w:tr>
      <w:tr w:rsidR="00B93463" w14:paraId="4B4A2898" w14:textId="77777777" w:rsidTr="00217918">
        <w:tc>
          <w:tcPr>
            <w:tcW w:w="3799" w:type="dxa"/>
          </w:tcPr>
          <w:p w14:paraId="024CA8DE" w14:textId="77777777" w:rsidR="00B93463" w:rsidRDefault="00B93463" w:rsidP="00B93463">
            <w:pPr>
              <w:pStyle w:val="Paragraphedeliste"/>
              <w:numPr>
                <w:ilvl w:val="0"/>
                <w:numId w:val="353"/>
              </w:numPr>
              <w:rPr>
                <w:sz w:val="20"/>
                <w:szCs w:val="20"/>
              </w:rPr>
            </w:pPr>
            <w:r>
              <w:rPr>
                <w:sz w:val="20"/>
                <w:szCs w:val="20"/>
              </w:rPr>
              <w:t>Promotion de l’aviculture /Modernisation des élevages avicoles</w:t>
            </w:r>
          </w:p>
        </w:tc>
        <w:tc>
          <w:tcPr>
            <w:tcW w:w="1725" w:type="dxa"/>
          </w:tcPr>
          <w:p w14:paraId="51F6FBED" w14:textId="77777777" w:rsidR="00B93463" w:rsidRPr="00276A88" w:rsidRDefault="00B93463" w:rsidP="00217918">
            <w:pPr>
              <w:rPr>
                <w:rFonts w:ascii="Aptos" w:hAnsi="Aptos"/>
              </w:rPr>
            </w:pPr>
            <w:r w:rsidRPr="007D5932">
              <w:rPr>
                <w:rFonts w:ascii="Aptos" w:hAnsi="Aptos"/>
                <w:sz w:val="20"/>
                <w:szCs w:val="20"/>
              </w:rPr>
              <w:t xml:space="preserve">Encourager la consommation de la viande blanche et augmentation des </w:t>
            </w:r>
            <w:proofErr w:type="gramStart"/>
            <w:r w:rsidRPr="007D5932">
              <w:rPr>
                <w:rFonts w:ascii="Aptos" w:hAnsi="Aptos"/>
                <w:sz w:val="20"/>
                <w:szCs w:val="20"/>
              </w:rPr>
              <w:t>revenus</w:t>
            </w:r>
            <w:r>
              <w:rPr>
                <w:rFonts w:ascii="Aptos" w:hAnsi="Aptos"/>
                <w:sz w:val="20"/>
                <w:szCs w:val="20"/>
              </w:rPr>
              <w:t xml:space="preserve"> </w:t>
            </w:r>
            <w:r w:rsidRPr="007D5932">
              <w:rPr>
                <w:rFonts w:ascii="Aptos" w:hAnsi="Aptos"/>
                <w:sz w:val="20"/>
                <w:szCs w:val="20"/>
              </w:rPr>
              <w:t xml:space="preserve"> aviculteurs</w:t>
            </w:r>
            <w:proofErr w:type="gramEnd"/>
            <w:r w:rsidRPr="007D5932">
              <w:rPr>
                <w:rFonts w:ascii="Aptos" w:hAnsi="Aptos"/>
                <w:sz w:val="20"/>
                <w:szCs w:val="20"/>
              </w:rPr>
              <w:t xml:space="preserve"> </w:t>
            </w:r>
          </w:p>
        </w:tc>
        <w:tc>
          <w:tcPr>
            <w:tcW w:w="1994" w:type="dxa"/>
          </w:tcPr>
          <w:p w14:paraId="0B2BA48C" w14:textId="77777777" w:rsidR="00B93463" w:rsidRPr="00276A88" w:rsidRDefault="00B93463" w:rsidP="00217918">
            <w:pPr>
              <w:pStyle w:val="Paragraphedeliste"/>
              <w:rPr>
                <w:rFonts w:ascii="Aptos" w:hAnsi="Aptos"/>
                <w:sz w:val="20"/>
                <w:szCs w:val="20"/>
              </w:rPr>
            </w:pPr>
            <w:r>
              <w:rPr>
                <w:rFonts w:ascii="Aptos" w:hAnsi="Aptos"/>
                <w:sz w:val="20"/>
                <w:szCs w:val="20"/>
              </w:rPr>
              <w:t xml:space="preserve">Appuie conseils et financiers aux aviculteurs </w:t>
            </w:r>
          </w:p>
          <w:p w14:paraId="24543320" w14:textId="77777777" w:rsidR="00B93463" w:rsidRPr="00276A88" w:rsidRDefault="00B93463" w:rsidP="00217918">
            <w:pPr>
              <w:pStyle w:val="Paragraphedeliste"/>
              <w:rPr>
                <w:rFonts w:ascii="Aptos" w:hAnsi="Aptos"/>
                <w:sz w:val="20"/>
                <w:szCs w:val="20"/>
              </w:rPr>
            </w:pPr>
          </w:p>
        </w:tc>
        <w:tc>
          <w:tcPr>
            <w:tcW w:w="1498" w:type="dxa"/>
          </w:tcPr>
          <w:p w14:paraId="4D3A292B" w14:textId="77777777" w:rsidR="00B93463" w:rsidRPr="00276A88" w:rsidRDefault="00B93463" w:rsidP="00217918">
            <w:pPr>
              <w:rPr>
                <w:rFonts w:ascii="Aptos" w:hAnsi="Aptos"/>
                <w:sz w:val="20"/>
                <w:szCs w:val="20"/>
              </w:rPr>
            </w:pPr>
            <w:r>
              <w:rPr>
                <w:rFonts w:ascii="Aptos" w:hAnsi="Aptos"/>
                <w:sz w:val="20"/>
                <w:szCs w:val="20"/>
              </w:rPr>
              <w:t>Dans l’ensemble des régions du pays</w:t>
            </w:r>
          </w:p>
        </w:tc>
      </w:tr>
      <w:tr w:rsidR="00B93463" w14:paraId="74044900" w14:textId="77777777" w:rsidTr="00217918">
        <w:tc>
          <w:tcPr>
            <w:tcW w:w="9016" w:type="dxa"/>
            <w:gridSpan w:val="4"/>
          </w:tcPr>
          <w:p w14:paraId="77041E1D" w14:textId="77777777" w:rsidR="00B93463" w:rsidRPr="00086A9C" w:rsidRDefault="00B93463" w:rsidP="00B93463">
            <w:pPr>
              <w:pStyle w:val="Paragraphedeliste"/>
              <w:numPr>
                <w:ilvl w:val="0"/>
                <w:numId w:val="353"/>
              </w:numPr>
              <w:rPr>
                <w:rFonts w:ascii="Aptos" w:hAnsi="Aptos"/>
                <w:sz w:val="20"/>
                <w:szCs w:val="20"/>
              </w:rPr>
            </w:pPr>
            <w:r>
              <w:rPr>
                <w:rFonts w:ascii="Aptos" w:hAnsi="Aptos"/>
                <w:sz w:val="20"/>
                <w:szCs w:val="20"/>
              </w:rPr>
              <w:t>Mise en place des p</w:t>
            </w:r>
            <w:r w:rsidRPr="00086A9C">
              <w:rPr>
                <w:rFonts w:ascii="Aptos" w:hAnsi="Aptos"/>
                <w:sz w:val="20"/>
                <w:szCs w:val="20"/>
              </w:rPr>
              <w:t>rogrammes de recherches sur les maladies virales vectorielles et autres pathologies liées aux changements climatiques</w:t>
            </w:r>
            <w:r>
              <w:rPr>
                <w:rFonts w:ascii="Aptos" w:hAnsi="Aptos"/>
                <w:sz w:val="20"/>
                <w:szCs w:val="20"/>
              </w:rPr>
              <w:t> </w:t>
            </w:r>
          </w:p>
        </w:tc>
      </w:tr>
    </w:tbl>
    <w:p w14:paraId="6371789D" w14:textId="77777777" w:rsidR="00B93463" w:rsidRPr="0026530F" w:rsidRDefault="00B93463" w:rsidP="00B93463">
      <w:pPr>
        <w:rPr>
          <w:rFonts w:ascii="Aptos" w:hAnsi="Aptos"/>
          <w:sz w:val="24"/>
          <w:szCs w:val="24"/>
        </w:rPr>
      </w:pPr>
    </w:p>
    <w:p w14:paraId="2739A546" w14:textId="321D1C0F" w:rsidR="006D0E59" w:rsidRDefault="006D0E59" w:rsidP="00DF1579">
      <w:pPr>
        <w:jc w:val="both"/>
        <w:rPr>
          <w:rFonts w:ascii="Century Gothic" w:hAnsi="Century Gothic"/>
        </w:rPr>
      </w:pPr>
    </w:p>
    <w:p w14:paraId="2B0F09C6" w14:textId="77777777" w:rsidR="00B93463" w:rsidRDefault="00B93463" w:rsidP="00DF1579">
      <w:pPr>
        <w:jc w:val="both"/>
        <w:rPr>
          <w:rFonts w:ascii="Century Gothic" w:hAnsi="Century Gothic"/>
        </w:rPr>
      </w:pPr>
    </w:p>
    <w:p w14:paraId="4D137B11" w14:textId="77777777" w:rsidR="00B93463" w:rsidRDefault="00B93463" w:rsidP="00DF1579">
      <w:pPr>
        <w:jc w:val="both"/>
        <w:rPr>
          <w:rFonts w:ascii="Century Gothic" w:hAnsi="Century Gothic"/>
        </w:rPr>
      </w:pPr>
    </w:p>
    <w:p w14:paraId="3AA0B667" w14:textId="77777777" w:rsidR="00B93463" w:rsidRDefault="00B93463" w:rsidP="00DF1579">
      <w:pPr>
        <w:jc w:val="both"/>
        <w:rPr>
          <w:rFonts w:ascii="Century Gothic" w:hAnsi="Century Gothic"/>
        </w:rPr>
      </w:pPr>
    </w:p>
    <w:p w14:paraId="482215DF" w14:textId="77777777" w:rsidR="00B93463" w:rsidRDefault="00B93463" w:rsidP="00DF1579">
      <w:pPr>
        <w:jc w:val="both"/>
        <w:rPr>
          <w:rFonts w:ascii="Century Gothic" w:hAnsi="Century Gothic"/>
        </w:rPr>
      </w:pPr>
    </w:p>
    <w:p w14:paraId="0092EB6F" w14:textId="77777777" w:rsidR="00B93463" w:rsidRDefault="00B93463" w:rsidP="00DF1579">
      <w:pPr>
        <w:jc w:val="both"/>
        <w:rPr>
          <w:rFonts w:ascii="Century Gothic" w:hAnsi="Century Gothic"/>
        </w:rPr>
      </w:pPr>
    </w:p>
    <w:p w14:paraId="2EEB565B" w14:textId="77777777" w:rsidR="00B93463" w:rsidRDefault="00B93463" w:rsidP="00DF1579">
      <w:pPr>
        <w:jc w:val="both"/>
        <w:rPr>
          <w:rFonts w:ascii="Century Gothic" w:hAnsi="Century Gothic"/>
        </w:rPr>
      </w:pPr>
    </w:p>
    <w:p w14:paraId="0261682F" w14:textId="77777777" w:rsidR="00B93463" w:rsidRDefault="00B93463" w:rsidP="00DF1579">
      <w:pPr>
        <w:jc w:val="both"/>
        <w:rPr>
          <w:rFonts w:ascii="Century Gothic" w:hAnsi="Century Gothic"/>
        </w:rPr>
      </w:pPr>
    </w:p>
    <w:p w14:paraId="3DEA61BC" w14:textId="77777777" w:rsidR="00B93463" w:rsidRDefault="00B93463" w:rsidP="00DF1579">
      <w:pPr>
        <w:jc w:val="both"/>
        <w:rPr>
          <w:rFonts w:ascii="Century Gothic" w:hAnsi="Century Gothic"/>
        </w:rPr>
      </w:pPr>
    </w:p>
    <w:p w14:paraId="129AC8C1" w14:textId="77777777" w:rsidR="00B93463" w:rsidRDefault="00B93463" w:rsidP="00DF1579">
      <w:pPr>
        <w:jc w:val="both"/>
        <w:rPr>
          <w:rFonts w:ascii="Century Gothic" w:hAnsi="Century Gothic"/>
        </w:rPr>
      </w:pPr>
    </w:p>
    <w:p w14:paraId="44160EF8" w14:textId="77777777" w:rsidR="00B93463" w:rsidRDefault="00B93463" w:rsidP="00DF1579">
      <w:pPr>
        <w:jc w:val="both"/>
        <w:rPr>
          <w:rFonts w:ascii="Century Gothic" w:hAnsi="Century Gothic"/>
        </w:rPr>
      </w:pPr>
    </w:p>
    <w:p w14:paraId="1A46628C" w14:textId="77777777" w:rsidR="00B93463" w:rsidRDefault="00B93463" w:rsidP="00DF1579">
      <w:pPr>
        <w:jc w:val="both"/>
        <w:rPr>
          <w:rFonts w:ascii="Century Gothic" w:hAnsi="Century Gothic"/>
        </w:rPr>
      </w:pPr>
    </w:p>
    <w:p w14:paraId="2F25361E" w14:textId="77777777" w:rsidR="00B93463" w:rsidRDefault="00B93463" w:rsidP="00DF1579">
      <w:pPr>
        <w:jc w:val="both"/>
        <w:rPr>
          <w:rFonts w:ascii="Century Gothic" w:hAnsi="Century Gothic"/>
        </w:rPr>
      </w:pPr>
    </w:p>
    <w:p w14:paraId="493CD21C" w14:textId="77777777" w:rsidR="00B93463" w:rsidRDefault="00B93463" w:rsidP="00DF1579">
      <w:pPr>
        <w:jc w:val="both"/>
        <w:rPr>
          <w:rFonts w:ascii="Century Gothic" w:hAnsi="Century Gothic"/>
        </w:rPr>
      </w:pPr>
    </w:p>
    <w:p w14:paraId="0E5B7C8F" w14:textId="77777777" w:rsidR="00B93463" w:rsidRDefault="00B93463" w:rsidP="00DF1579">
      <w:pPr>
        <w:jc w:val="both"/>
        <w:rPr>
          <w:rFonts w:ascii="Century Gothic" w:hAnsi="Century Gothic"/>
        </w:rPr>
      </w:pPr>
    </w:p>
    <w:p w14:paraId="5AD24B64" w14:textId="77777777" w:rsidR="00B93463" w:rsidRDefault="00B93463" w:rsidP="00DF1579">
      <w:pPr>
        <w:jc w:val="both"/>
        <w:rPr>
          <w:rFonts w:ascii="Century Gothic" w:hAnsi="Century Gothic"/>
        </w:rPr>
      </w:pPr>
    </w:p>
    <w:p w14:paraId="1CBD554B" w14:textId="77777777" w:rsidR="00B93463" w:rsidRDefault="00B93463" w:rsidP="00DF1579">
      <w:pPr>
        <w:jc w:val="both"/>
        <w:rPr>
          <w:rFonts w:ascii="Century Gothic" w:hAnsi="Century Gothic"/>
        </w:rPr>
      </w:pPr>
    </w:p>
    <w:p w14:paraId="46EB94F6" w14:textId="77777777" w:rsidR="00B93463" w:rsidRDefault="00B93463" w:rsidP="00DF1579">
      <w:pPr>
        <w:jc w:val="both"/>
        <w:rPr>
          <w:rFonts w:ascii="Century Gothic" w:hAnsi="Century Gothic"/>
        </w:rPr>
      </w:pPr>
    </w:p>
    <w:p w14:paraId="647272F5" w14:textId="77777777" w:rsidR="00B93463" w:rsidRDefault="00B93463" w:rsidP="00DF1579">
      <w:pPr>
        <w:jc w:val="both"/>
        <w:rPr>
          <w:rFonts w:ascii="Century Gothic" w:hAnsi="Century Gothic"/>
        </w:rPr>
      </w:pPr>
    </w:p>
    <w:p w14:paraId="46738A03" w14:textId="77777777" w:rsidR="00B93463" w:rsidRDefault="00B93463" w:rsidP="00DF1579">
      <w:pPr>
        <w:jc w:val="both"/>
        <w:rPr>
          <w:rFonts w:ascii="Century Gothic" w:hAnsi="Century Gothic"/>
        </w:rPr>
      </w:pPr>
    </w:p>
    <w:p w14:paraId="7E02D9D1" w14:textId="77777777" w:rsidR="00B93463" w:rsidRDefault="00B93463" w:rsidP="00DF1579">
      <w:pPr>
        <w:jc w:val="both"/>
        <w:rPr>
          <w:rFonts w:ascii="Century Gothic" w:hAnsi="Century Gothic"/>
        </w:rPr>
      </w:pPr>
    </w:p>
    <w:p w14:paraId="7E983C71" w14:textId="77777777" w:rsidR="00B93463" w:rsidRDefault="00B93463" w:rsidP="00DF1579">
      <w:pPr>
        <w:jc w:val="both"/>
        <w:rPr>
          <w:rFonts w:ascii="Century Gothic" w:hAnsi="Century Gothic"/>
        </w:rPr>
      </w:pPr>
    </w:p>
    <w:p w14:paraId="71B6FBA4" w14:textId="77777777" w:rsidR="00B93463" w:rsidRDefault="00B93463" w:rsidP="00DF1579">
      <w:pPr>
        <w:jc w:val="both"/>
        <w:rPr>
          <w:rFonts w:ascii="Century Gothic" w:hAnsi="Century Gothic"/>
        </w:rPr>
      </w:pPr>
    </w:p>
    <w:p w14:paraId="70A0E1AD" w14:textId="77777777" w:rsidR="00B93463" w:rsidRDefault="00B93463" w:rsidP="00DF1579">
      <w:pPr>
        <w:jc w:val="both"/>
        <w:rPr>
          <w:rFonts w:ascii="Century Gothic" w:hAnsi="Century Gothic"/>
        </w:rPr>
      </w:pPr>
    </w:p>
    <w:p w14:paraId="1EA8C73F" w14:textId="77777777" w:rsidR="00A47DEE" w:rsidRPr="008F6A71" w:rsidRDefault="00A47DEE" w:rsidP="00A47DEE">
      <w:pPr>
        <w:widowControl w:val="0"/>
        <w:spacing w:after="0" w:line="240" w:lineRule="auto"/>
        <w:ind w:left="360"/>
        <w:jc w:val="center"/>
        <w:rPr>
          <w:rFonts w:eastAsia="Calibri" w:cstheme="minorHAnsi"/>
          <w:b/>
          <w:bCs/>
          <w:color w:val="215868"/>
          <w:sz w:val="24"/>
          <w:szCs w:val="24"/>
        </w:rPr>
      </w:pPr>
      <w:bookmarkStart w:id="272" w:name="_Toc79351764"/>
      <w:bookmarkStart w:id="273" w:name="_Toc71451572"/>
      <w:bookmarkStart w:id="274" w:name="_Toc71451978"/>
      <w:bookmarkStart w:id="275" w:name="_Toc370077196"/>
      <w:bookmarkStart w:id="276" w:name="_Toc370195754"/>
      <w:r w:rsidRPr="00F468F7">
        <w:rPr>
          <w:rFonts w:cstheme="minorHAnsi"/>
          <w:b/>
          <w:caps/>
          <w:noProof/>
          <w:color w:val="00B050"/>
          <w:sz w:val="24"/>
          <w:szCs w:val="24"/>
        </w:rPr>
        <mc:AlternateContent>
          <mc:Choice Requires="wps">
            <w:drawing>
              <wp:anchor distT="0" distB="0" distL="114300" distR="114300" simplePos="0" relativeHeight="251725824" behindDoc="0" locked="0" layoutInCell="1" allowOverlap="1" wp14:anchorId="4BFBBD63" wp14:editId="139D62B3">
                <wp:simplePos x="0" y="0"/>
                <wp:positionH relativeFrom="page">
                  <wp:align>left</wp:align>
                </wp:positionH>
                <wp:positionV relativeFrom="paragraph">
                  <wp:posOffset>-889162</wp:posOffset>
                </wp:positionV>
                <wp:extent cx="666750" cy="23597043"/>
                <wp:effectExtent l="0" t="0" r="0" b="44450"/>
                <wp:wrapNone/>
                <wp:docPr id="30790858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23597043"/>
                        </a:xfrm>
                        <a:prstGeom prst="rect">
                          <a:avLst/>
                        </a:prstGeom>
                        <a:gradFill rotWithShape="1">
                          <a:gsLst>
                            <a:gs pos="0">
                              <a:srgbClr val="DBEEF4"/>
                            </a:gs>
                            <a:gs pos="37000">
                              <a:srgbClr val="DBEEF4"/>
                            </a:gs>
                            <a:gs pos="75000">
                              <a:srgbClr val="E9F4D4"/>
                            </a:gs>
                            <a:gs pos="100000">
                              <a:srgbClr val="F3F9EA"/>
                            </a:gs>
                          </a:gsLst>
                          <a:lin ang="0" scaled="1"/>
                        </a:gradFill>
                        <a:ln>
                          <a:noFill/>
                        </a:ln>
                        <a:effectLst>
                          <a:outerShdw dist="23000" dir="5400000" rotWithShape="0">
                            <a:srgbClr val="80808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042873EF" w14:textId="77777777" w:rsidR="00A47DEE" w:rsidRDefault="00A47DEE" w:rsidP="00A47DEE">
                            <w:pPr>
                              <w:jc w:val="center"/>
                              <w:rPr>
                                <w:rFonts w:ascii="Cambria" w:hAnsi="Cambria" w:cs="Tahoma"/>
                                <w:b/>
                                <w:bCs/>
                                <w:color w:val="385623" w:themeColor="accent6" w:themeShade="80"/>
                                <w:sz w:val="36"/>
                                <w:szCs w:val="36"/>
                              </w:rPr>
                            </w:pPr>
                            <w:r>
                              <w:rPr>
                                <w:rFonts w:ascii="Cambria" w:hAnsi="Cambria" w:cs="Tahoma"/>
                                <w:b/>
                                <w:bCs/>
                                <w:color w:val="385623" w:themeColor="accent6" w:themeShade="80"/>
                                <w:sz w:val="36"/>
                                <w:szCs w:val="36"/>
                              </w:rPr>
                              <w:t xml:space="preserve">                                                                                                                                                                                                                                                                                                                V</w:t>
                            </w:r>
                            <w:r w:rsidRPr="0030793D">
                              <w:rPr>
                                <w:rFonts w:ascii="Cambria" w:hAnsi="Cambria" w:cs="Tahoma"/>
                                <w:b/>
                                <w:bCs/>
                                <w:color w:val="385623" w:themeColor="accent6" w:themeShade="80"/>
                                <w:sz w:val="36"/>
                                <w:szCs w:val="36"/>
                              </w:rPr>
                              <w:t xml:space="preserve">olet </w:t>
                            </w:r>
                            <w:proofErr w:type="gramStart"/>
                            <w:r>
                              <w:rPr>
                                <w:rFonts w:ascii="Cambria" w:hAnsi="Cambria" w:cs="Tahoma"/>
                                <w:b/>
                                <w:bCs/>
                                <w:color w:val="385623" w:themeColor="accent6" w:themeShade="80"/>
                                <w:sz w:val="36"/>
                                <w:szCs w:val="36"/>
                              </w:rPr>
                              <w:t>vulnérabilité  &amp;</w:t>
                            </w:r>
                            <w:proofErr w:type="gramEnd"/>
                            <w:r>
                              <w:rPr>
                                <w:rFonts w:ascii="Cambria" w:hAnsi="Cambria" w:cs="Tahoma"/>
                                <w:b/>
                                <w:bCs/>
                                <w:color w:val="385623" w:themeColor="accent6" w:themeShade="80"/>
                                <w:sz w:val="36"/>
                                <w:szCs w:val="36"/>
                              </w:rPr>
                              <w:t xml:space="preserve">  </w:t>
                            </w:r>
                            <w:r w:rsidRPr="0030793D">
                              <w:rPr>
                                <w:rFonts w:ascii="Cambria" w:hAnsi="Cambria" w:cs="Tahoma"/>
                                <w:b/>
                                <w:bCs/>
                                <w:color w:val="385623" w:themeColor="accent6" w:themeShade="80"/>
                                <w:sz w:val="36"/>
                                <w:szCs w:val="36"/>
                              </w:rPr>
                              <w:t>adaptation</w:t>
                            </w:r>
                          </w:p>
                          <w:p w14:paraId="1EF4568B" w14:textId="77777777" w:rsidR="00A47DEE" w:rsidRPr="0030793D" w:rsidRDefault="00A47DEE" w:rsidP="00A47DEE">
                            <w:pPr>
                              <w:jc w:val="right"/>
                              <w:rPr>
                                <w:rFonts w:ascii="Cambria" w:hAnsi="Cambria" w:cs="Tahoma"/>
                                <w:b/>
                                <w:bCs/>
                                <w:color w:val="76923C"/>
                                <w:sz w:val="24"/>
                              </w:rPr>
                            </w:pPr>
                            <w:r>
                              <w:rPr>
                                <w:rFonts w:ascii="Cambria" w:hAnsi="Cambria" w:cs="Tahoma"/>
                                <w:b/>
                                <w:bCs/>
                                <w:color w:val="385623" w:themeColor="accent6" w:themeShade="80"/>
                                <w:sz w:val="36"/>
                                <w:szCs w:val="36"/>
                              </w:rPr>
                              <w:t xml:space="preserve">   </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BFBBD63" id="Rectangle 15" o:spid="_x0000_s1060" style="position:absolute;left:0;text-align:left;margin-left:0;margin-top:-70pt;width:52.5pt;height:1858.05pt;z-index:2517258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" fillcolor="#dbeef4" stroked="f">
                <v:fill color2="#f3f9ea" rotate="t" angle="90" colors="0 #dbeef4;24248f #dbeef4;.75 #e9f4d4;1 #f3f9ea" focus="100%" type="gradient"/>
                <v:shadow on="t" opacity="22936f" origin=",.5" offset="0,.63889mm"/>
                <v:textbox style="layout-flow:vertical;mso-layout-flow-alt:bottom-to-top">
                  <w:txbxContent>
                    <w:p w14:paraId="042873EF" w14:textId="77777777" w:rsidR="00A47DEE" w:rsidRDefault="00A47DEE" w:rsidP="00A47DEE">
                      <w:pPr>
                        <w:jc w:val="center"/>
                        <w:rPr>
                          <w:rFonts w:ascii="Cambria" w:hAnsi="Cambria" w:cs="Tahoma"/>
                          <w:b/>
                          <w:bCs/>
                          <w:color w:val="385623" w:themeColor="accent6" w:themeShade="80"/>
                          <w:sz w:val="36"/>
                          <w:szCs w:val="36"/>
                        </w:rPr>
                      </w:pPr>
                      <w:r>
                        <w:rPr>
                          <w:rFonts w:ascii="Cambria" w:hAnsi="Cambria" w:cs="Tahoma"/>
                          <w:b/>
                          <w:bCs/>
                          <w:color w:val="385623" w:themeColor="accent6" w:themeShade="80"/>
                          <w:sz w:val="36"/>
                          <w:szCs w:val="36"/>
                        </w:rPr>
                        <w:t xml:space="preserve">                                                                                                                                                                                                                                                                                                                V</w:t>
                      </w:r>
                      <w:r w:rsidRPr="0030793D">
                        <w:rPr>
                          <w:rFonts w:ascii="Cambria" w:hAnsi="Cambria" w:cs="Tahoma"/>
                          <w:b/>
                          <w:bCs/>
                          <w:color w:val="385623" w:themeColor="accent6" w:themeShade="80"/>
                          <w:sz w:val="36"/>
                          <w:szCs w:val="36"/>
                        </w:rPr>
                        <w:t xml:space="preserve">olet </w:t>
                      </w:r>
                      <w:proofErr w:type="gramStart"/>
                      <w:r>
                        <w:rPr>
                          <w:rFonts w:ascii="Cambria" w:hAnsi="Cambria" w:cs="Tahoma"/>
                          <w:b/>
                          <w:bCs/>
                          <w:color w:val="385623" w:themeColor="accent6" w:themeShade="80"/>
                          <w:sz w:val="36"/>
                          <w:szCs w:val="36"/>
                        </w:rPr>
                        <w:t>vulnérabilité  &amp;</w:t>
                      </w:r>
                      <w:proofErr w:type="gramEnd"/>
                      <w:r>
                        <w:rPr>
                          <w:rFonts w:ascii="Cambria" w:hAnsi="Cambria" w:cs="Tahoma"/>
                          <w:b/>
                          <w:bCs/>
                          <w:color w:val="385623" w:themeColor="accent6" w:themeShade="80"/>
                          <w:sz w:val="36"/>
                          <w:szCs w:val="36"/>
                        </w:rPr>
                        <w:t xml:space="preserve">  </w:t>
                      </w:r>
                      <w:r w:rsidRPr="0030793D">
                        <w:rPr>
                          <w:rFonts w:ascii="Cambria" w:hAnsi="Cambria" w:cs="Tahoma"/>
                          <w:b/>
                          <w:bCs/>
                          <w:color w:val="385623" w:themeColor="accent6" w:themeShade="80"/>
                          <w:sz w:val="36"/>
                          <w:szCs w:val="36"/>
                        </w:rPr>
                        <w:t>adaptation</w:t>
                      </w:r>
                    </w:p>
                    <w:p w14:paraId="1EF4568B" w14:textId="77777777" w:rsidR="00A47DEE" w:rsidRPr="0030793D" w:rsidRDefault="00A47DEE" w:rsidP="00A47DEE">
                      <w:pPr>
                        <w:jc w:val="right"/>
                        <w:rPr>
                          <w:rFonts w:ascii="Cambria" w:hAnsi="Cambria" w:cs="Tahoma"/>
                          <w:b/>
                          <w:bCs/>
                          <w:color w:val="76923C"/>
                          <w:sz w:val="24"/>
                        </w:rPr>
                      </w:pPr>
                      <w:r>
                        <w:rPr>
                          <w:rFonts w:ascii="Cambria" w:hAnsi="Cambria" w:cs="Tahoma"/>
                          <w:b/>
                          <w:bCs/>
                          <w:color w:val="385623" w:themeColor="accent6" w:themeShade="80"/>
                          <w:sz w:val="36"/>
                          <w:szCs w:val="36"/>
                        </w:rPr>
                        <w:t xml:space="preserve">   </w:t>
                      </w:r>
                    </w:p>
                  </w:txbxContent>
                </v:textbox>
                <w10:wrap anchorx="page"/>
              </v:rect>
            </w:pict>
          </mc:Fallback>
        </mc:AlternateContent>
      </w:r>
      <w:r w:rsidRPr="008F6A71">
        <w:rPr>
          <w:rFonts w:eastAsia="Calibri" w:cstheme="minorHAnsi"/>
          <w:b/>
          <w:bCs/>
          <w:color w:val="215868"/>
          <w:sz w:val="24"/>
          <w:szCs w:val="24"/>
        </w:rPr>
        <w:t>République Islamique de Mauritanie</w:t>
      </w:r>
    </w:p>
    <w:p w14:paraId="4BF090EE" w14:textId="77777777" w:rsidR="00A47DEE" w:rsidRPr="008F6A71" w:rsidRDefault="00A47DEE" w:rsidP="00A47DEE">
      <w:pPr>
        <w:spacing w:after="0" w:line="240" w:lineRule="auto"/>
        <w:jc w:val="center"/>
        <w:rPr>
          <w:rFonts w:eastAsia="Calibri" w:cstheme="minorHAnsi"/>
          <w:b/>
          <w:bCs/>
          <w:color w:val="215868"/>
          <w:sz w:val="36"/>
          <w:szCs w:val="36"/>
        </w:rPr>
      </w:pPr>
    </w:p>
    <w:p w14:paraId="66F4DA84" w14:textId="77777777" w:rsidR="00A47DEE" w:rsidRPr="008F6A71" w:rsidRDefault="00A47DEE" w:rsidP="00A47DEE">
      <w:pPr>
        <w:spacing w:after="0" w:line="360" w:lineRule="auto"/>
        <w:jc w:val="center"/>
        <w:rPr>
          <w:rFonts w:eastAsia="Calibri" w:cstheme="minorHAnsi"/>
          <w:b/>
          <w:bCs/>
          <w:color w:val="215868"/>
          <w:sz w:val="20"/>
          <w:szCs w:val="20"/>
        </w:rPr>
      </w:pPr>
      <w:r w:rsidRPr="008F6A71">
        <w:rPr>
          <w:rFonts w:eastAsia="Calibri" w:cstheme="minorHAnsi"/>
          <w:b/>
          <w:bCs/>
          <w:color w:val="215868"/>
          <w:sz w:val="20"/>
          <w:szCs w:val="20"/>
        </w:rPr>
        <w:t>Honneur – Fraternité – Justice</w:t>
      </w:r>
    </w:p>
    <w:p w14:paraId="5A6FF4E9" w14:textId="77777777" w:rsidR="00A47DEE" w:rsidRPr="008F6A71" w:rsidRDefault="00A47DEE" w:rsidP="00A47DEE">
      <w:pPr>
        <w:spacing w:after="0"/>
        <w:ind w:left="57"/>
        <w:jc w:val="center"/>
        <w:rPr>
          <w:rFonts w:eastAsia="Calibri" w:cstheme="minorHAnsi"/>
          <w:b/>
          <w:sz w:val="24"/>
          <w:szCs w:val="24"/>
        </w:rPr>
      </w:pPr>
      <w:r w:rsidRPr="008F6A71">
        <w:rPr>
          <w:rFonts w:eastAsia="Calibri" w:cstheme="minorHAnsi"/>
          <w:noProof/>
          <w:color w:val="008000"/>
        </w:rPr>
        <w:drawing>
          <wp:inline distT="0" distB="0" distL="0" distR="0" wp14:anchorId="17E01771" wp14:editId="0AEFF630">
            <wp:extent cx="852170" cy="833778"/>
            <wp:effectExtent l="0" t="0" r="5080" b="4445"/>
            <wp:docPr id="163748087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859184" cy="840640"/>
                    </a:xfrm>
                    <a:prstGeom prst="rect">
                      <a:avLst/>
                    </a:prstGeom>
                    <a:noFill/>
                    <a:ln>
                      <a:noFill/>
                    </a:ln>
                  </pic:spPr>
                </pic:pic>
              </a:graphicData>
            </a:graphic>
          </wp:inline>
        </w:drawing>
      </w:r>
    </w:p>
    <w:p w14:paraId="14136B42" w14:textId="77777777" w:rsidR="00A47DEE" w:rsidRPr="008F6A71" w:rsidRDefault="00A47DEE" w:rsidP="00A47DEE">
      <w:pPr>
        <w:spacing w:after="0"/>
        <w:ind w:left="57"/>
        <w:jc w:val="center"/>
        <w:rPr>
          <w:rFonts w:eastAsia="Calibri" w:cstheme="minorHAnsi"/>
          <w:b/>
          <w:sz w:val="24"/>
          <w:szCs w:val="24"/>
        </w:rPr>
      </w:pPr>
    </w:p>
    <w:p w14:paraId="480689EF" w14:textId="77777777" w:rsidR="00A47DEE" w:rsidRPr="008F6A71" w:rsidRDefault="00A47DEE" w:rsidP="00A47DEE">
      <w:pPr>
        <w:spacing w:after="0" w:line="360" w:lineRule="auto"/>
        <w:jc w:val="center"/>
        <w:rPr>
          <w:rFonts w:eastAsia="Calibri" w:cstheme="minorHAnsi"/>
          <w:b/>
          <w:bCs/>
          <w:color w:val="215868"/>
          <w:sz w:val="24"/>
          <w:szCs w:val="24"/>
        </w:rPr>
      </w:pPr>
      <w:r w:rsidRPr="008F6A71">
        <w:rPr>
          <w:rFonts w:eastAsia="Calibri" w:cstheme="minorHAnsi"/>
          <w:b/>
          <w:bCs/>
          <w:color w:val="215868"/>
          <w:sz w:val="24"/>
          <w:szCs w:val="24"/>
        </w:rPr>
        <w:t>Ministère de l’Environnement et du Développement Durable</w:t>
      </w:r>
    </w:p>
    <w:p w14:paraId="3DE67030" w14:textId="77777777" w:rsidR="00A47DEE" w:rsidRPr="008F6A71" w:rsidRDefault="00A47DEE" w:rsidP="00A47DEE">
      <w:pPr>
        <w:spacing w:after="0" w:line="360" w:lineRule="auto"/>
        <w:jc w:val="center"/>
        <w:rPr>
          <w:rFonts w:eastAsia="Calibri" w:cstheme="minorHAnsi"/>
          <w:b/>
          <w:bCs/>
          <w:color w:val="215868"/>
          <w:sz w:val="24"/>
          <w:szCs w:val="24"/>
        </w:rPr>
      </w:pPr>
      <w:r w:rsidRPr="008F6A71">
        <w:rPr>
          <w:rFonts w:eastAsia="Calibri" w:cstheme="minorHAnsi"/>
          <w:b/>
          <w:bCs/>
          <w:color w:val="215868"/>
          <w:sz w:val="24"/>
          <w:szCs w:val="24"/>
        </w:rPr>
        <w:t>Direction du climat et de l’économie verte</w:t>
      </w:r>
    </w:p>
    <w:p w14:paraId="4C6ABD86" w14:textId="77777777" w:rsidR="00A47DEE" w:rsidRPr="008F6A71" w:rsidRDefault="00A47DEE" w:rsidP="00A47DEE">
      <w:pPr>
        <w:spacing w:after="0" w:line="360" w:lineRule="auto"/>
        <w:jc w:val="center"/>
        <w:rPr>
          <w:rFonts w:eastAsia="Calibri" w:cstheme="minorHAnsi"/>
          <w:b/>
          <w:bCs/>
          <w:color w:val="215868"/>
          <w:sz w:val="24"/>
          <w:szCs w:val="24"/>
        </w:rPr>
      </w:pPr>
      <w:r>
        <w:rPr>
          <w:rFonts w:eastAsia="Calibri" w:cstheme="minorHAnsi"/>
          <w:b/>
          <w:bCs/>
          <w:color w:val="215868"/>
          <w:sz w:val="24"/>
          <w:szCs w:val="24"/>
        </w:rPr>
        <w:t xml:space="preserve">Activité Habilitante </w:t>
      </w:r>
      <w:r w:rsidRPr="008F6A71">
        <w:rPr>
          <w:rFonts w:eastAsia="Calibri" w:cstheme="minorHAnsi"/>
          <w:b/>
          <w:bCs/>
          <w:color w:val="215868"/>
          <w:sz w:val="24"/>
          <w:szCs w:val="24"/>
        </w:rPr>
        <w:t>Cinquième Communication Nationale sur le changement climatique - NC5</w:t>
      </w:r>
    </w:p>
    <w:p w14:paraId="35F5A096" w14:textId="77777777" w:rsidR="00A47DEE" w:rsidRPr="008F6A71" w:rsidRDefault="00A47DEE" w:rsidP="00A47DEE">
      <w:pPr>
        <w:spacing w:after="0" w:line="240" w:lineRule="auto"/>
        <w:jc w:val="center"/>
        <w:rPr>
          <w:rFonts w:eastAsia="Calibri" w:cstheme="minorHAnsi"/>
          <w:b/>
          <w:bCs/>
          <w:color w:val="215868"/>
          <w:sz w:val="24"/>
          <w:szCs w:val="24"/>
        </w:rPr>
      </w:pPr>
      <w:r>
        <w:rPr>
          <w:rFonts w:eastAsia="Calibri" w:cstheme="minorHAnsi"/>
          <w:b/>
          <w:bCs/>
          <w:color w:val="002060"/>
          <w:sz w:val="28"/>
          <w:szCs w:val="28"/>
        </w:rPr>
        <w:t xml:space="preserve">Evaluation de la </w:t>
      </w:r>
      <w:r w:rsidRPr="008F6A71">
        <w:rPr>
          <w:rFonts w:eastAsia="Calibri" w:cstheme="minorHAnsi"/>
          <w:b/>
          <w:bCs/>
          <w:color w:val="002060"/>
          <w:sz w:val="28"/>
          <w:szCs w:val="28"/>
        </w:rPr>
        <w:t xml:space="preserve">Vulnérabilité </w:t>
      </w:r>
      <w:r>
        <w:rPr>
          <w:rFonts w:eastAsia="Calibri" w:cstheme="minorHAnsi"/>
          <w:b/>
          <w:bCs/>
          <w:color w:val="002060"/>
          <w:sz w:val="28"/>
          <w:szCs w:val="28"/>
        </w:rPr>
        <w:t>et Adaptation au changement climatique du</w:t>
      </w:r>
    </w:p>
    <w:p w14:paraId="2B1E6B57" w14:textId="77777777" w:rsidR="00A47DEE" w:rsidRPr="008F6A71" w:rsidRDefault="00A47DEE" w:rsidP="00A47DEE">
      <w:pPr>
        <w:shd w:val="clear" w:color="auto" w:fill="4F6228"/>
        <w:spacing w:after="0" w:line="360" w:lineRule="auto"/>
        <w:ind w:left="-993" w:right="-1417"/>
        <w:jc w:val="center"/>
        <w:rPr>
          <w:rFonts w:eastAsia="Calibri" w:cstheme="minorHAnsi"/>
          <w:b/>
          <w:bCs/>
          <w:color w:val="FFFFFF"/>
          <w:sz w:val="28"/>
          <w:szCs w:val="28"/>
        </w:rPr>
      </w:pPr>
      <w:r w:rsidRPr="00F468F7">
        <w:rPr>
          <w:rFonts w:eastAsia="Calibri" w:cstheme="minorHAnsi"/>
          <w:b/>
          <w:bCs/>
          <w:color w:val="FFFFFF"/>
          <w:sz w:val="28"/>
          <w:szCs w:val="28"/>
        </w:rPr>
        <w:t>SECTEUR DE L’AGRICULTURE</w:t>
      </w:r>
    </w:p>
    <w:p w14:paraId="4908C212" w14:textId="77777777" w:rsidR="00A47DEE" w:rsidRPr="00F642C0" w:rsidRDefault="00A47DEE" w:rsidP="00A47DEE">
      <w:pPr>
        <w:spacing w:after="0" w:line="360" w:lineRule="auto"/>
        <w:ind w:right="852"/>
        <w:jc w:val="center"/>
        <w:rPr>
          <w:rFonts w:eastAsia="Calibri" w:cstheme="minorHAnsi"/>
          <w:b/>
          <w:bCs/>
          <w:color w:val="215868"/>
          <w:sz w:val="2"/>
          <w:szCs w:val="2"/>
        </w:rPr>
      </w:pPr>
    </w:p>
    <w:p w14:paraId="700A01BB" w14:textId="77777777" w:rsidR="00A47DEE" w:rsidRPr="00F642C0" w:rsidRDefault="00A47DEE" w:rsidP="00A47DEE">
      <w:pPr>
        <w:spacing w:after="0" w:line="360" w:lineRule="auto"/>
        <w:ind w:left="426" w:right="-1134"/>
        <w:rPr>
          <w:rFonts w:eastAsia="Calibri" w:cstheme="minorHAnsi"/>
          <w:b/>
          <w:bCs/>
          <w:color w:val="002060"/>
          <w:sz w:val="16"/>
          <w:szCs w:val="16"/>
        </w:rPr>
      </w:pPr>
    </w:p>
    <w:p w14:paraId="26BA86D1" w14:textId="77777777" w:rsidR="00A47DEE" w:rsidRPr="00F642C0" w:rsidRDefault="00A47DEE" w:rsidP="00A47DEE">
      <w:pPr>
        <w:tabs>
          <w:tab w:val="left" w:pos="3760"/>
        </w:tabs>
        <w:spacing w:after="0" w:line="240" w:lineRule="auto"/>
        <w:ind w:left="1276"/>
        <w:rPr>
          <w:rFonts w:eastAsia="Calibri" w:cstheme="minorHAnsi"/>
          <w:b/>
          <w:bCs/>
          <w:iCs/>
          <w:sz w:val="2"/>
          <w:szCs w:val="2"/>
        </w:rPr>
      </w:pPr>
      <w:r>
        <w:rPr>
          <w:rFonts w:eastAsia="Calibri" w:cstheme="minorHAnsi"/>
          <w:b/>
          <w:bCs/>
          <w:iCs/>
          <w:sz w:val="24"/>
          <w:szCs w:val="24"/>
        </w:rPr>
        <w:tab/>
      </w:r>
    </w:p>
    <w:p w14:paraId="5CD2B6EC" w14:textId="77777777" w:rsidR="00A47DEE" w:rsidRPr="00F642C0" w:rsidRDefault="00A47DEE" w:rsidP="00A47DEE">
      <w:pPr>
        <w:spacing w:after="0" w:line="240" w:lineRule="auto"/>
        <w:ind w:left="1276"/>
        <w:jc w:val="both"/>
        <w:rPr>
          <w:rFonts w:eastAsia="Calibri" w:cstheme="minorHAnsi"/>
          <w:i/>
          <w:sz w:val="2"/>
          <w:szCs w:val="2"/>
        </w:rPr>
      </w:pPr>
    </w:p>
    <w:p w14:paraId="1AC06204" w14:textId="77777777" w:rsidR="00A47DEE" w:rsidRPr="008F6A71" w:rsidRDefault="00A47DEE" w:rsidP="00A47DEE">
      <w:pPr>
        <w:spacing w:after="0" w:line="240" w:lineRule="auto"/>
        <w:ind w:left="2832"/>
        <w:jc w:val="lowKashida"/>
        <w:rPr>
          <w:rFonts w:eastAsia="Calibri" w:cstheme="minorHAnsi"/>
          <w:iCs/>
          <w:color w:val="1F497D"/>
          <w:sz w:val="24"/>
          <w:szCs w:val="24"/>
        </w:rPr>
      </w:pPr>
    </w:p>
    <w:p w14:paraId="617CE49B" w14:textId="77777777" w:rsidR="00A47DEE" w:rsidRPr="008F6A71" w:rsidRDefault="00A47DEE" w:rsidP="00A47DEE">
      <w:pPr>
        <w:spacing w:after="0" w:line="240" w:lineRule="auto"/>
        <w:jc w:val="both"/>
        <w:rPr>
          <w:rFonts w:eastAsia="Calibri" w:cstheme="minorHAnsi"/>
          <w:b/>
          <w:bCs/>
          <w:color w:val="385623"/>
          <w:szCs w:val="28"/>
        </w:rPr>
      </w:pPr>
      <w:r w:rsidRPr="008F6A71">
        <w:rPr>
          <w:rFonts w:eastAsia="Calibri" w:cstheme="minorHAnsi"/>
          <w:b/>
          <w:bCs/>
          <w:color w:val="385623"/>
          <w:szCs w:val="28"/>
        </w:rPr>
        <w:t xml:space="preserve">                                                         Mohamed SIDI BOLLA,</w:t>
      </w:r>
    </w:p>
    <w:p w14:paraId="0F5AEE25" w14:textId="77777777" w:rsidR="00A47DEE" w:rsidRPr="008F6A71" w:rsidRDefault="00A47DEE" w:rsidP="00A47DEE">
      <w:pPr>
        <w:spacing w:after="0" w:line="240" w:lineRule="auto"/>
        <w:jc w:val="center"/>
        <w:rPr>
          <w:rFonts w:eastAsia="Calibri" w:cstheme="minorHAnsi"/>
          <w:color w:val="525252"/>
          <w:szCs w:val="28"/>
        </w:rPr>
      </w:pPr>
      <w:r w:rsidRPr="008F6A71">
        <w:rPr>
          <w:rFonts w:eastAsia="Calibri" w:cstheme="minorHAnsi"/>
          <w:color w:val="525252"/>
          <w:szCs w:val="28"/>
        </w:rPr>
        <w:t xml:space="preserve">  Ingénieur agronome &amp; Mastère en GDT</w:t>
      </w:r>
    </w:p>
    <w:p w14:paraId="2E6EC122" w14:textId="77777777" w:rsidR="00A47DEE" w:rsidRPr="008F6A71" w:rsidRDefault="00A47DEE" w:rsidP="00A47DEE">
      <w:pPr>
        <w:spacing w:after="0" w:line="240" w:lineRule="auto"/>
        <w:jc w:val="center"/>
        <w:rPr>
          <w:rFonts w:eastAsia="Calibri" w:cstheme="minorHAnsi"/>
          <w:color w:val="525252"/>
          <w:szCs w:val="28"/>
        </w:rPr>
      </w:pPr>
      <w:r w:rsidRPr="008F6A71">
        <w:rPr>
          <w:rFonts w:eastAsia="Calibri" w:cstheme="minorHAnsi"/>
          <w:color w:val="525252"/>
          <w:szCs w:val="28"/>
        </w:rPr>
        <w:t>Consultant agro-environnementaliste,</w:t>
      </w:r>
    </w:p>
    <w:p w14:paraId="69F3F7F6" w14:textId="77777777" w:rsidR="00A47DEE" w:rsidRPr="00F642C0" w:rsidRDefault="00A47DEE" w:rsidP="00A47DEE">
      <w:pPr>
        <w:spacing w:after="0" w:line="240" w:lineRule="auto"/>
        <w:ind w:left="2832"/>
        <w:jc w:val="lowKashida"/>
        <w:rPr>
          <w:rFonts w:eastAsia="Calibri" w:cstheme="minorHAnsi"/>
          <w:iCs/>
          <w:color w:val="1F497D"/>
          <w:sz w:val="2"/>
          <w:szCs w:val="2"/>
        </w:rPr>
      </w:pPr>
    </w:p>
    <w:p w14:paraId="4F7C8490" w14:textId="77777777" w:rsidR="00A47DEE" w:rsidRPr="008F6A71" w:rsidRDefault="00A47DEE" w:rsidP="00A47DEE">
      <w:pPr>
        <w:spacing w:after="0" w:line="240" w:lineRule="auto"/>
        <w:ind w:left="2832"/>
        <w:jc w:val="lowKashida"/>
        <w:rPr>
          <w:rFonts w:eastAsia="Calibri" w:cstheme="minorHAnsi"/>
          <w:iCs/>
          <w:color w:val="1F497D"/>
          <w:sz w:val="24"/>
          <w:szCs w:val="24"/>
        </w:rPr>
      </w:pPr>
    </w:p>
    <w:p w14:paraId="76F66D3D" w14:textId="77777777" w:rsidR="00A47DEE" w:rsidRPr="00F468F7" w:rsidRDefault="00A47DEE" w:rsidP="00A47DEE">
      <w:pPr>
        <w:spacing w:after="0" w:line="240" w:lineRule="auto"/>
        <w:ind w:left="2832"/>
        <w:rPr>
          <w:rFonts w:eastAsia="Calibri" w:cstheme="minorHAnsi"/>
          <w:iCs/>
          <w:color w:val="1F497D"/>
        </w:rPr>
      </w:pPr>
      <w:r>
        <w:rPr>
          <w:rFonts w:eastAsia="Calibri" w:cstheme="minorHAnsi"/>
          <w:iCs/>
          <w:color w:val="1F497D"/>
        </w:rPr>
        <w:t xml:space="preserve">        </w:t>
      </w:r>
      <w:r w:rsidRPr="008F6A71">
        <w:rPr>
          <w:rFonts w:eastAsia="Calibri" w:cstheme="minorHAnsi"/>
          <w:iCs/>
          <w:color w:val="1F497D"/>
        </w:rPr>
        <w:t>Octobre 2024</w:t>
      </w:r>
    </w:p>
    <w:p w14:paraId="66C9B0B3" w14:textId="77777777" w:rsidR="00A47DEE" w:rsidRPr="00F468F7" w:rsidRDefault="00A47DEE" w:rsidP="00A47DEE">
      <w:pPr>
        <w:spacing w:after="0" w:line="240" w:lineRule="auto"/>
        <w:ind w:left="2832"/>
        <w:jc w:val="center"/>
        <w:rPr>
          <w:rFonts w:eastAsia="Calibri" w:cstheme="minorHAnsi"/>
          <w:iCs/>
          <w:color w:val="1F497D"/>
        </w:rPr>
      </w:pPr>
    </w:p>
    <w:p w14:paraId="628CA076" w14:textId="77777777" w:rsidR="00A47DEE" w:rsidRPr="00F468F7" w:rsidRDefault="00A47DEE" w:rsidP="00A47DEE">
      <w:pPr>
        <w:pBdr>
          <w:bottom w:val="single" w:sz="24" w:space="1" w:color="385623" w:themeColor="accent6" w:themeShade="80"/>
        </w:pBdr>
        <w:shd w:val="clear" w:color="auto" w:fill="F2F2F2" w:themeFill="background1" w:themeFillShade="F2"/>
        <w:rPr>
          <w:rFonts w:cstheme="minorHAnsi"/>
          <w:b/>
          <w:bCs/>
          <w:sz w:val="28"/>
          <w:szCs w:val="28"/>
        </w:rPr>
      </w:pPr>
      <w:r w:rsidRPr="00F468F7">
        <w:rPr>
          <w:rFonts w:cstheme="minorHAnsi"/>
          <w:b/>
          <w:bCs/>
          <w:sz w:val="28"/>
          <w:szCs w:val="28"/>
        </w:rPr>
        <w:t>TABLE DES MATIERES</w:t>
      </w:r>
    </w:p>
    <w:p w14:paraId="47F4BC1D" w14:textId="77777777" w:rsidR="00A47DEE" w:rsidRPr="00B52534" w:rsidRDefault="00A47DEE" w:rsidP="00A47DEE">
      <w:pPr>
        <w:pStyle w:val="TM1"/>
        <w:rPr>
          <w:rFonts w:cstheme="minorBidi"/>
          <w:b/>
          <w:bCs/>
          <w:caps/>
          <w:kern w:val="2"/>
          <w:sz w:val="24"/>
          <w:szCs w:val="24"/>
          <w14:ligatures w14:val="standardContextual"/>
        </w:rPr>
      </w:pPr>
      <w:r w:rsidRPr="00B52534">
        <w:rPr>
          <w:rFonts w:asciiTheme="minorHAnsi" w:eastAsiaTheme="minorEastAsia" w:hAnsiTheme="minorHAnsi"/>
          <w:b/>
          <w:bCs/>
          <w:caps/>
          <w:color w:val="002060"/>
          <w:sz w:val="24"/>
          <w:szCs w:val="32"/>
        </w:rPr>
        <w:fldChar w:fldCharType="begin"/>
      </w:r>
      <w:r w:rsidRPr="00B52534">
        <w:rPr>
          <w:sz w:val="24"/>
          <w:szCs w:val="32"/>
        </w:rPr>
        <w:instrText xml:space="preserve"> TOC \o "1-4" \h \z \u </w:instrText>
      </w:r>
      <w:r w:rsidRPr="00B52534">
        <w:rPr>
          <w:rFonts w:asciiTheme="minorHAnsi" w:eastAsiaTheme="minorEastAsia" w:hAnsiTheme="minorHAnsi"/>
          <w:b/>
          <w:bCs/>
          <w:caps/>
          <w:color w:val="002060"/>
          <w:sz w:val="24"/>
          <w:szCs w:val="32"/>
        </w:rPr>
        <w:fldChar w:fldCharType="separate"/>
      </w:r>
      <w:hyperlink w:anchor="_Toc179577344" w:history="1">
        <w:r w:rsidRPr="00B52534">
          <w:rPr>
            <w:rStyle w:val="Lienhypertexte"/>
            <w:sz w:val="24"/>
            <w:szCs w:val="32"/>
          </w:rPr>
          <w:t>RESUME EXECUTIF</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_Toc179577344 \h </w:instrText>
        </w:r>
        <w:r w:rsidRPr="00B52534">
          <w:rPr>
            <w:webHidden/>
            <w:sz w:val="24"/>
            <w:szCs w:val="32"/>
          </w:rPr>
        </w:r>
        <w:r w:rsidRPr="00B52534">
          <w:rPr>
            <w:webHidden/>
            <w:sz w:val="24"/>
            <w:szCs w:val="32"/>
          </w:rPr>
          <w:fldChar w:fldCharType="separate"/>
        </w:r>
        <w:r>
          <w:rPr>
            <w:webHidden/>
            <w:sz w:val="24"/>
            <w:szCs w:val="32"/>
          </w:rPr>
          <w:t>4</w:t>
        </w:r>
        <w:r w:rsidRPr="00B52534">
          <w:rPr>
            <w:webHidden/>
            <w:sz w:val="24"/>
            <w:szCs w:val="32"/>
          </w:rPr>
          <w:fldChar w:fldCharType="end"/>
        </w:r>
      </w:hyperlink>
    </w:p>
    <w:p w14:paraId="12E177EF" w14:textId="77777777" w:rsidR="00A47DEE" w:rsidRPr="00B52534" w:rsidRDefault="00A47DEE" w:rsidP="00A47DEE">
      <w:pPr>
        <w:pStyle w:val="TM1"/>
        <w:rPr>
          <w:rFonts w:cstheme="minorBidi"/>
          <w:b/>
          <w:bCs/>
          <w:caps/>
          <w:kern w:val="2"/>
          <w:sz w:val="24"/>
          <w:szCs w:val="24"/>
          <w14:ligatures w14:val="standardContextual"/>
        </w:rPr>
      </w:pPr>
      <w:hyperlink w:anchor="_Toc179577345" w:history="1">
        <w:r w:rsidRPr="00B52534">
          <w:rPr>
            <w:rStyle w:val="Lienhypertexte"/>
            <w:sz w:val="24"/>
            <w:szCs w:val="32"/>
          </w:rPr>
          <w:t>CONTEXTE</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_Toc179577345 \h </w:instrText>
        </w:r>
        <w:r w:rsidRPr="00B52534">
          <w:rPr>
            <w:webHidden/>
            <w:sz w:val="24"/>
            <w:szCs w:val="32"/>
          </w:rPr>
        </w:r>
        <w:r w:rsidRPr="00B52534">
          <w:rPr>
            <w:webHidden/>
            <w:sz w:val="24"/>
            <w:szCs w:val="32"/>
          </w:rPr>
          <w:fldChar w:fldCharType="separate"/>
        </w:r>
        <w:r>
          <w:rPr>
            <w:webHidden/>
            <w:sz w:val="24"/>
            <w:szCs w:val="32"/>
          </w:rPr>
          <w:t>10</w:t>
        </w:r>
        <w:r w:rsidRPr="00B52534">
          <w:rPr>
            <w:webHidden/>
            <w:sz w:val="24"/>
            <w:szCs w:val="32"/>
          </w:rPr>
          <w:fldChar w:fldCharType="end"/>
        </w:r>
      </w:hyperlink>
    </w:p>
    <w:p w14:paraId="6EC2C5AB" w14:textId="77777777" w:rsidR="00A47DEE" w:rsidRPr="00B52534" w:rsidRDefault="00A47DEE" w:rsidP="00A47DEE">
      <w:pPr>
        <w:pStyle w:val="TM1"/>
        <w:rPr>
          <w:rFonts w:cstheme="minorBidi"/>
          <w:b/>
          <w:bCs/>
          <w:caps/>
          <w:kern w:val="2"/>
          <w:sz w:val="24"/>
          <w:szCs w:val="24"/>
          <w14:ligatures w14:val="standardContextual"/>
        </w:rPr>
      </w:pPr>
      <w:hyperlink w:anchor="_Toc179577346" w:history="1">
        <w:r w:rsidRPr="00B52534">
          <w:rPr>
            <w:rStyle w:val="Lienhypertexte"/>
            <w:sz w:val="24"/>
            <w:szCs w:val="32"/>
          </w:rPr>
          <w:t>PARTIE I : APPROCHE METHODOLOGIQUE</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_Toc179577346 \h </w:instrText>
        </w:r>
        <w:r w:rsidRPr="00B52534">
          <w:rPr>
            <w:webHidden/>
            <w:sz w:val="24"/>
            <w:szCs w:val="32"/>
          </w:rPr>
        </w:r>
        <w:r w:rsidRPr="00B52534">
          <w:rPr>
            <w:webHidden/>
            <w:sz w:val="24"/>
            <w:szCs w:val="32"/>
          </w:rPr>
          <w:fldChar w:fldCharType="separate"/>
        </w:r>
        <w:r>
          <w:rPr>
            <w:webHidden/>
            <w:sz w:val="24"/>
            <w:szCs w:val="32"/>
          </w:rPr>
          <w:t>11</w:t>
        </w:r>
        <w:r w:rsidRPr="00B52534">
          <w:rPr>
            <w:webHidden/>
            <w:sz w:val="24"/>
            <w:szCs w:val="32"/>
          </w:rPr>
          <w:fldChar w:fldCharType="end"/>
        </w:r>
      </w:hyperlink>
    </w:p>
    <w:p w14:paraId="412613A7" w14:textId="77777777" w:rsidR="00A47DEE" w:rsidRPr="00B52534" w:rsidRDefault="00A47DEE" w:rsidP="00A47DEE">
      <w:pPr>
        <w:pStyle w:val="TM1"/>
        <w:rPr>
          <w:rFonts w:cstheme="minorBidi"/>
          <w:b/>
          <w:bCs/>
          <w:caps/>
          <w:kern w:val="2"/>
          <w:sz w:val="24"/>
          <w:szCs w:val="24"/>
          <w14:ligatures w14:val="standardContextual"/>
        </w:rPr>
      </w:pPr>
      <w:hyperlink w:anchor="_Toc179577347" w:history="1">
        <w:r w:rsidRPr="00B52534">
          <w:rPr>
            <w:rStyle w:val="Lienhypertexte"/>
            <w:sz w:val="24"/>
            <w:szCs w:val="32"/>
          </w:rPr>
          <w:t>PARTIE II : PRESENTATION DU SECTEUR DE L’AGRICULTURE</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_Toc179577347 \h </w:instrText>
        </w:r>
        <w:r w:rsidRPr="00B52534">
          <w:rPr>
            <w:webHidden/>
            <w:sz w:val="24"/>
            <w:szCs w:val="32"/>
          </w:rPr>
        </w:r>
        <w:r w:rsidRPr="00B52534">
          <w:rPr>
            <w:webHidden/>
            <w:sz w:val="24"/>
            <w:szCs w:val="32"/>
          </w:rPr>
          <w:fldChar w:fldCharType="separate"/>
        </w:r>
        <w:r>
          <w:rPr>
            <w:webHidden/>
            <w:sz w:val="24"/>
            <w:szCs w:val="32"/>
          </w:rPr>
          <w:t>12</w:t>
        </w:r>
        <w:r w:rsidRPr="00B52534">
          <w:rPr>
            <w:webHidden/>
            <w:sz w:val="24"/>
            <w:szCs w:val="32"/>
          </w:rPr>
          <w:fldChar w:fldCharType="end"/>
        </w:r>
      </w:hyperlink>
    </w:p>
    <w:p w14:paraId="6CCCC21C" w14:textId="77777777" w:rsidR="00A47DEE" w:rsidRPr="00B52534" w:rsidRDefault="00A47DEE" w:rsidP="00A47DEE">
      <w:pPr>
        <w:pStyle w:val="TM3"/>
        <w:tabs>
          <w:tab w:val="left" w:pos="1100"/>
          <w:tab w:val="right" w:leader="hyphen" w:pos="9062"/>
        </w:tabs>
        <w:rPr>
          <w:i/>
          <w:iCs/>
          <w:noProof/>
          <w:kern w:val="2"/>
          <w:sz w:val="24"/>
          <w14:ligatures w14:val="standardContextual"/>
        </w:rPr>
      </w:pPr>
      <w:hyperlink w:anchor="_Toc179577348" w:history="1">
        <w:r w:rsidRPr="00B52534">
          <w:rPr>
            <w:rStyle w:val="Lienhypertexte"/>
            <w:rFonts w:eastAsia="Calibri"/>
            <w:b/>
            <w:bCs/>
            <w:noProof/>
            <w:szCs w:val="28"/>
          </w:rPr>
          <w:t>2.1.</w:t>
        </w:r>
        <w:r w:rsidRPr="00B52534">
          <w:rPr>
            <w:noProof/>
            <w:kern w:val="2"/>
            <w:sz w:val="24"/>
            <w14:ligatures w14:val="standardContextual"/>
          </w:rPr>
          <w:tab/>
        </w:r>
        <w:r w:rsidRPr="00B52534">
          <w:rPr>
            <w:rStyle w:val="Lienhypertexte"/>
            <w:rFonts w:eastAsia="Calibri"/>
            <w:b/>
            <w:bCs/>
            <w:noProof/>
            <w:szCs w:val="28"/>
          </w:rPr>
          <w:t>Systèmes de production et filières agricoles</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_Toc179577348 \h </w:instrText>
        </w:r>
        <w:r w:rsidRPr="00B52534">
          <w:rPr>
            <w:noProof/>
            <w:webHidden/>
            <w:szCs w:val="28"/>
          </w:rPr>
        </w:r>
        <w:r w:rsidRPr="00B52534">
          <w:rPr>
            <w:noProof/>
            <w:webHidden/>
            <w:szCs w:val="28"/>
          </w:rPr>
          <w:fldChar w:fldCharType="separate"/>
        </w:r>
        <w:r>
          <w:rPr>
            <w:noProof/>
            <w:webHidden/>
            <w:szCs w:val="28"/>
          </w:rPr>
          <w:t>12</w:t>
        </w:r>
        <w:r w:rsidRPr="00B52534">
          <w:rPr>
            <w:noProof/>
            <w:webHidden/>
            <w:szCs w:val="28"/>
          </w:rPr>
          <w:fldChar w:fldCharType="end"/>
        </w:r>
      </w:hyperlink>
    </w:p>
    <w:p w14:paraId="063FA137" w14:textId="77777777" w:rsidR="00A47DEE" w:rsidRPr="00B52534" w:rsidRDefault="00A47DEE" w:rsidP="00A47DEE">
      <w:pPr>
        <w:pStyle w:val="TM3"/>
        <w:tabs>
          <w:tab w:val="left" w:pos="1100"/>
          <w:tab w:val="right" w:leader="hyphen" w:pos="9062"/>
        </w:tabs>
        <w:rPr>
          <w:i/>
          <w:iCs/>
          <w:noProof/>
          <w:kern w:val="2"/>
          <w:sz w:val="24"/>
          <w14:ligatures w14:val="standardContextual"/>
        </w:rPr>
      </w:pPr>
      <w:hyperlink w:anchor="_Toc179577349" w:history="1">
        <w:r w:rsidRPr="00B52534">
          <w:rPr>
            <w:rStyle w:val="Lienhypertexte"/>
            <w:rFonts w:eastAsia="Calibri"/>
            <w:b/>
            <w:bCs/>
            <w:noProof/>
            <w:szCs w:val="28"/>
          </w:rPr>
          <w:t>2.2.</w:t>
        </w:r>
        <w:r w:rsidRPr="00B52534">
          <w:rPr>
            <w:noProof/>
            <w:kern w:val="2"/>
            <w:sz w:val="24"/>
            <w14:ligatures w14:val="standardContextual"/>
          </w:rPr>
          <w:tab/>
        </w:r>
        <w:r w:rsidRPr="00B52534">
          <w:rPr>
            <w:rStyle w:val="Lienhypertexte"/>
            <w:rFonts w:eastAsia="Calibri"/>
            <w:b/>
            <w:bCs/>
            <w:noProof/>
            <w:szCs w:val="28"/>
          </w:rPr>
          <w:t>Financement agricole</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_Toc179577349 \h </w:instrText>
        </w:r>
        <w:r w:rsidRPr="00B52534">
          <w:rPr>
            <w:noProof/>
            <w:webHidden/>
            <w:szCs w:val="28"/>
          </w:rPr>
        </w:r>
        <w:r w:rsidRPr="00B52534">
          <w:rPr>
            <w:noProof/>
            <w:webHidden/>
            <w:szCs w:val="28"/>
          </w:rPr>
          <w:fldChar w:fldCharType="separate"/>
        </w:r>
        <w:r>
          <w:rPr>
            <w:noProof/>
            <w:webHidden/>
            <w:szCs w:val="28"/>
          </w:rPr>
          <w:t>13</w:t>
        </w:r>
        <w:r w:rsidRPr="00B52534">
          <w:rPr>
            <w:noProof/>
            <w:webHidden/>
            <w:szCs w:val="28"/>
          </w:rPr>
          <w:fldChar w:fldCharType="end"/>
        </w:r>
      </w:hyperlink>
    </w:p>
    <w:p w14:paraId="521863F7" w14:textId="77777777" w:rsidR="00A47DEE" w:rsidRPr="00B52534" w:rsidRDefault="00A47DEE" w:rsidP="00A47DEE">
      <w:pPr>
        <w:pStyle w:val="TM3"/>
        <w:tabs>
          <w:tab w:val="left" w:pos="1100"/>
          <w:tab w:val="right" w:leader="hyphen" w:pos="9062"/>
        </w:tabs>
        <w:rPr>
          <w:i/>
          <w:iCs/>
          <w:noProof/>
          <w:kern w:val="2"/>
          <w:sz w:val="24"/>
          <w14:ligatures w14:val="standardContextual"/>
        </w:rPr>
      </w:pPr>
      <w:hyperlink w:anchor="_Toc179577350" w:history="1">
        <w:r w:rsidRPr="00B52534">
          <w:rPr>
            <w:rStyle w:val="Lienhypertexte"/>
            <w:rFonts w:eastAsia="Calibri"/>
            <w:b/>
            <w:bCs/>
            <w:noProof/>
            <w:szCs w:val="28"/>
          </w:rPr>
          <w:t>2.3.</w:t>
        </w:r>
        <w:r w:rsidRPr="00B52534">
          <w:rPr>
            <w:noProof/>
            <w:kern w:val="2"/>
            <w:sz w:val="24"/>
            <w14:ligatures w14:val="standardContextual"/>
          </w:rPr>
          <w:tab/>
        </w:r>
        <w:r w:rsidRPr="00B52534">
          <w:rPr>
            <w:rStyle w:val="Lienhypertexte"/>
            <w:rFonts w:eastAsia="Calibri"/>
            <w:b/>
            <w:bCs/>
            <w:noProof/>
            <w:szCs w:val="28"/>
          </w:rPr>
          <w:t>PIB réel du secteur agricole</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_Toc179577350 \h </w:instrText>
        </w:r>
        <w:r w:rsidRPr="00B52534">
          <w:rPr>
            <w:noProof/>
            <w:webHidden/>
            <w:szCs w:val="28"/>
          </w:rPr>
        </w:r>
        <w:r w:rsidRPr="00B52534">
          <w:rPr>
            <w:noProof/>
            <w:webHidden/>
            <w:szCs w:val="28"/>
          </w:rPr>
          <w:fldChar w:fldCharType="separate"/>
        </w:r>
        <w:r>
          <w:rPr>
            <w:noProof/>
            <w:webHidden/>
            <w:szCs w:val="28"/>
          </w:rPr>
          <w:t>13</w:t>
        </w:r>
        <w:r w:rsidRPr="00B52534">
          <w:rPr>
            <w:noProof/>
            <w:webHidden/>
            <w:szCs w:val="28"/>
          </w:rPr>
          <w:fldChar w:fldCharType="end"/>
        </w:r>
      </w:hyperlink>
    </w:p>
    <w:p w14:paraId="0CBFE249" w14:textId="77777777" w:rsidR="00A47DEE" w:rsidRPr="00B52534" w:rsidRDefault="00A47DEE" w:rsidP="00A47DEE">
      <w:pPr>
        <w:pStyle w:val="TM3"/>
        <w:tabs>
          <w:tab w:val="left" w:pos="1100"/>
          <w:tab w:val="right" w:leader="hyphen" w:pos="9062"/>
        </w:tabs>
        <w:rPr>
          <w:i/>
          <w:iCs/>
          <w:noProof/>
          <w:kern w:val="2"/>
          <w:sz w:val="24"/>
          <w14:ligatures w14:val="standardContextual"/>
        </w:rPr>
      </w:pPr>
      <w:hyperlink w:anchor="_Toc179577351" w:history="1">
        <w:r w:rsidRPr="00B52534">
          <w:rPr>
            <w:rStyle w:val="Lienhypertexte"/>
            <w:rFonts w:eastAsia="Calibri"/>
            <w:b/>
            <w:bCs/>
            <w:noProof/>
            <w:szCs w:val="28"/>
          </w:rPr>
          <w:t>2.4.</w:t>
        </w:r>
        <w:r w:rsidRPr="00B52534">
          <w:rPr>
            <w:noProof/>
            <w:kern w:val="2"/>
            <w:sz w:val="24"/>
            <w14:ligatures w14:val="standardContextual"/>
          </w:rPr>
          <w:tab/>
        </w:r>
        <w:r w:rsidRPr="00B52534">
          <w:rPr>
            <w:rStyle w:val="Lienhypertexte"/>
            <w:rFonts w:eastAsia="Calibri"/>
            <w:b/>
            <w:bCs/>
            <w:noProof/>
            <w:szCs w:val="28"/>
          </w:rPr>
          <w:t>Stratégies du secteur</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_Toc179577351 \h </w:instrText>
        </w:r>
        <w:r w:rsidRPr="00B52534">
          <w:rPr>
            <w:noProof/>
            <w:webHidden/>
            <w:szCs w:val="28"/>
          </w:rPr>
        </w:r>
        <w:r w:rsidRPr="00B52534">
          <w:rPr>
            <w:noProof/>
            <w:webHidden/>
            <w:szCs w:val="28"/>
          </w:rPr>
          <w:fldChar w:fldCharType="separate"/>
        </w:r>
        <w:r>
          <w:rPr>
            <w:noProof/>
            <w:webHidden/>
            <w:szCs w:val="28"/>
          </w:rPr>
          <w:t>14</w:t>
        </w:r>
        <w:r w:rsidRPr="00B52534">
          <w:rPr>
            <w:noProof/>
            <w:webHidden/>
            <w:szCs w:val="28"/>
          </w:rPr>
          <w:fldChar w:fldCharType="end"/>
        </w:r>
      </w:hyperlink>
    </w:p>
    <w:p w14:paraId="3858BF0C" w14:textId="77777777" w:rsidR="00A47DEE" w:rsidRPr="00B52534" w:rsidRDefault="00A47DEE" w:rsidP="00A47DEE">
      <w:pPr>
        <w:pStyle w:val="TM4"/>
        <w:tabs>
          <w:tab w:val="left" w:pos="1320"/>
          <w:tab w:val="right" w:leader="hyphen" w:pos="9062"/>
        </w:tabs>
        <w:rPr>
          <w:rFonts w:cstheme="minorBidi"/>
          <w:noProof/>
          <w:kern w:val="2"/>
          <w:sz w:val="24"/>
          <w:szCs w:val="24"/>
          <w14:ligatures w14:val="standardContextual"/>
        </w:rPr>
      </w:pPr>
      <w:hyperlink w:anchor="_Toc179577352" w:history="1">
        <w:r w:rsidRPr="00B52534">
          <w:rPr>
            <w:rStyle w:val="Lienhypertexte"/>
            <w:rFonts w:eastAsia="Calibri"/>
            <w:b/>
            <w:bCs/>
            <w:noProof/>
            <w:szCs w:val="22"/>
          </w:rPr>
          <w:t>2.4.1.</w:t>
        </w:r>
        <w:r w:rsidRPr="00B52534">
          <w:rPr>
            <w:rFonts w:cstheme="minorBidi"/>
            <w:noProof/>
            <w:kern w:val="2"/>
            <w:sz w:val="24"/>
            <w:szCs w:val="24"/>
            <w14:ligatures w14:val="standardContextual"/>
          </w:rPr>
          <w:tab/>
        </w:r>
        <w:r w:rsidRPr="00B52534">
          <w:rPr>
            <w:rStyle w:val="Lienhypertexte"/>
            <w:rFonts w:eastAsia="Calibri"/>
            <w:b/>
            <w:bCs/>
            <w:noProof/>
            <w:szCs w:val="22"/>
          </w:rPr>
          <w:t>Stratégie de Développement du Secteur Rural</w:t>
        </w:r>
        <w:r w:rsidRPr="00B52534">
          <w:rPr>
            <w:noProof/>
            <w:webHidden/>
            <w:szCs w:val="22"/>
          </w:rPr>
          <w:tab/>
        </w:r>
        <w:r w:rsidRPr="00B52534">
          <w:rPr>
            <w:noProof/>
            <w:webHidden/>
            <w:szCs w:val="22"/>
          </w:rPr>
          <w:fldChar w:fldCharType="begin"/>
        </w:r>
        <w:r w:rsidRPr="00B52534">
          <w:rPr>
            <w:noProof/>
            <w:webHidden/>
            <w:szCs w:val="22"/>
          </w:rPr>
          <w:instrText xml:space="preserve"> PAGEREF _Toc179577352 \h </w:instrText>
        </w:r>
        <w:r w:rsidRPr="00B52534">
          <w:rPr>
            <w:noProof/>
            <w:webHidden/>
            <w:szCs w:val="22"/>
          </w:rPr>
        </w:r>
        <w:r w:rsidRPr="00B52534">
          <w:rPr>
            <w:noProof/>
            <w:webHidden/>
            <w:szCs w:val="22"/>
          </w:rPr>
          <w:fldChar w:fldCharType="separate"/>
        </w:r>
        <w:r>
          <w:rPr>
            <w:noProof/>
            <w:webHidden/>
            <w:szCs w:val="22"/>
          </w:rPr>
          <w:t>14</w:t>
        </w:r>
        <w:r w:rsidRPr="00B52534">
          <w:rPr>
            <w:noProof/>
            <w:webHidden/>
            <w:szCs w:val="22"/>
          </w:rPr>
          <w:fldChar w:fldCharType="end"/>
        </w:r>
      </w:hyperlink>
    </w:p>
    <w:p w14:paraId="3FA5EF80" w14:textId="77777777" w:rsidR="00A47DEE" w:rsidRPr="00B52534" w:rsidRDefault="00A47DEE" w:rsidP="00A47DEE">
      <w:pPr>
        <w:pStyle w:val="TM4"/>
        <w:tabs>
          <w:tab w:val="left" w:pos="1320"/>
          <w:tab w:val="right" w:leader="hyphen" w:pos="9062"/>
        </w:tabs>
        <w:rPr>
          <w:rFonts w:cstheme="minorBidi"/>
          <w:noProof/>
          <w:kern w:val="2"/>
          <w:sz w:val="24"/>
          <w:szCs w:val="24"/>
          <w14:ligatures w14:val="standardContextual"/>
        </w:rPr>
      </w:pPr>
      <w:hyperlink w:anchor="_Toc179577353" w:history="1">
        <w:r w:rsidRPr="00B52534">
          <w:rPr>
            <w:rStyle w:val="Lienhypertexte"/>
            <w:rFonts w:eastAsia="Calibri"/>
            <w:b/>
            <w:bCs/>
            <w:noProof/>
            <w:szCs w:val="22"/>
          </w:rPr>
          <w:t>2.4.2.</w:t>
        </w:r>
        <w:r w:rsidRPr="00B52534">
          <w:rPr>
            <w:rFonts w:cstheme="minorBidi"/>
            <w:noProof/>
            <w:kern w:val="2"/>
            <w:sz w:val="24"/>
            <w:szCs w:val="24"/>
            <w14:ligatures w14:val="standardContextual"/>
          </w:rPr>
          <w:tab/>
        </w:r>
        <w:r w:rsidRPr="00B52534">
          <w:rPr>
            <w:rStyle w:val="Lienhypertexte"/>
            <w:rFonts w:eastAsia="Calibri"/>
            <w:b/>
            <w:bCs/>
            <w:noProof/>
            <w:szCs w:val="22"/>
          </w:rPr>
          <w:t>Plan National de Développement Agricole (PNDA)</w:t>
        </w:r>
        <w:r w:rsidRPr="00B52534">
          <w:rPr>
            <w:noProof/>
            <w:webHidden/>
            <w:szCs w:val="22"/>
          </w:rPr>
          <w:tab/>
        </w:r>
        <w:r w:rsidRPr="00B52534">
          <w:rPr>
            <w:noProof/>
            <w:webHidden/>
            <w:szCs w:val="22"/>
          </w:rPr>
          <w:fldChar w:fldCharType="begin"/>
        </w:r>
        <w:r w:rsidRPr="00B52534">
          <w:rPr>
            <w:noProof/>
            <w:webHidden/>
            <w:szCs w:val="22"/>
          </w:rPr>
          <w:instrText xml:space="preserve"> PAGEREF _Toc179577353 \h </w:instrText>
        </w:r>
        <w:r w:rsidRPr="00B52534">
          <w:rPr>
            <w:noProof/>
            <w:webHidden/>
            <w:szCs w:val="22"/>
          </w:rPr>
        </w:r>
        <w:r w:rsidRPr="00B52534">
          <w:rPr>
            <w:noProof/>
            <w:webHidden/>
            <w:szCs w:val="22"/>
          </w:rPr>
          <w:fldChar w:fldCharType="separate"/>
        </w:r>
        <w:r>
          <w:rPr>
            <w:noProof/>
            <w:webHidden/>
            <w:szCs w:val="22"/>
          </w:rPr>
          <w:t>14</w:t>
        </w:r>
        <w:r w:rsidRPr="00B52534">
          <w:rPr>
            <w:noProof/>
            <w:webHidden/>
            <w:szCs w:val="22"/>
          </w:rPr>
          <w:fldChar w:fldCharType="end"/>
        </w:r>
      </w:hyperlink>
    </w:p>
    <w:p w14:paraId="5BE1C78E" w14:textId="77777777" w:rsidR="00A47DEE" w:rsidRPr="00B52534" w:rsidRDefault="00A47DEE" w:rsidP="00A47DEE">
      <w:pPr>
        <w:pStyle w:val="TM1"/>
        <w:rPr>
          <w:rFonts w:cstheme="minorBidi"/>
          <w:b/>
          <w:bCs/>
          <w:caps/>
          <w:kern w:val="2"/>
          <w:sz w:val="24"/>
          <w:szCs w:val="24"/>
          <w14:ligatures w14:val="standardContextual"/>
        </w:rPr>
      </w:pPr>
      <w:hyperlink w:anchor="_Toc179577354" w:history="1">
        <w:r w:rsidRPr="00B52534">
          <w:rPr>
            <w:rStyle w:val="Lienhypertexte"/>
            <w:sz w:val="24"/>
            <w:szCs w:val="32"/>
          </w:rPr>
          <w:t>PARTIE III : VULNERABILITE DE L’AGRICULTURE AU CC</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_Toc179577354 \h </w:instrText>
        </w:r>
        <w:r w:rsidRPr="00B52534">
          <w:rPr>
            <w:webHidden/>
            <w:sz w:val="24"/>
            <w:szCs w:val="32"/>
          </w:rPr>
        </w:r>
        <w:r w:rsidRPr="00B52534">
          <w:rPr>
            <w:webHidden/>
            <w:sz w:val="24"/>
            <w:szCs w:val="32"/>
          </w:rPr>
          <w:fldChar w:fldCharType="separate"/>
        </w:r>
        <w:r>
          <w:rPr>
            <w:webHidden/>
            <w:sz w:val="24"/>
            <w:szCs w:val="32"/>
          </w:rPr>
          <w:t>16</w:t>
        </w:r>
        <w:r w:rsidRPr="00B52534">
          <w:rPr>
            <w:webHidden/>
            <w:sz w:val="24"/>
            <w:szCs w:val="32"/>
          </w:rPr>
          <w:fldChar w:fldCharType="end"/>
        </w:r>
      </w:hyperlink>
    </w:p>
    <w:p w14:paraId="7FB18C6A" w14:textId="77777777" w:rsidR="00A47DEE" w:rsidRPr="00B52534" w:rsidRDefault="00A47DEE" w:rsidP="00A47DEE">
      <w:pPr>
        <w:pStyle w:val="TM2"/>
        <w:tabs>
          <w:tab w:val="left" w:pos="880"/>
          <w:tab w:val="right" w:leader="hyphen" w:pos="9062"/>
        </w:tabs>
        <w:rPr>
          <w:smallCaps/>
          <w:noProof/>
          <w:kern w:val="2"/>
          <w:sz w:val="24"/>
          <w14:ligatures w14:val="standardContextual"/>
        </w:rPr>
      </w:pPr>
      <w:hyperlink w:anchor="_Toc179577355" w:history="1">
        <w:r w:rsidRPr="00B52534">
          <w:rPr>
            <w:rStyle w:val="Lienhypertexte"/>
            <w:rFonts w:eastAsia="Times New Roman"/>
            <w:b/>
            <w:bCs/>
            <w:noProof/>
            <w:szCs w:val="28"/>
          </w:rPr>
          <w:t>3.1.</w:t>
        </w:r>
        <w:r w:rsidRPr="00B52534">
          <w:rPr>
            <w:noProof/>
            <w:kern w:val="2"/>
            <w:sz w:val="24"/>
            <w14:ligatures w14:val="standardContextual"/>
          </w:rPr>
          <w:tab/>
        </w:r>
        <w:r w:rsidRPr="00B52534">
          <w:rPr>
            <w:rStyle w:val="Lienhypertexte"/>
            <w:rFonts w:eastAsia="Times New Roman"/>
            <w:b/>
            <w:bCs/>
            <w:noProof/>
            <w:szCs w:val="28"/>
          </w:rPr>
          <w:t>Principaux déterminants à l’exposition aux risques climatiques</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_Toc179577355 \h </w:instrText>
        </w:r>
        <w:r w:rsidRPr="00B52534">
          <w:rPr>
            <w:noProof/>
            <w:webHidden/>
            <w:szCs w:val="28"/>
          </w:rPr>
        </w:r>
        <w:r w:rsidRPr="00B52534">
          <w:rPr>
            <w:noProof/>
            <w:webHidden/>
            <w:szCs w:val="28"/>
          </w:rPr>
          <w:fldChar w:fldCharType="separate"/>
        </w:r>
        <w:r>
          <w:rPr>
            <w:noProof/>
            <w:webHidden/>
            <w:szCs w:val="28"/>
          </w:rPr>
          <w:t>16</w:t>
        </w:r>
        <w:r w:rsidRPr="00B52534">
          <w:rPr>
            <w:noProof/>
            <w:webHidden/>
            <w:szCs w:val="28"/>
          </w:rPr>
          <w:fldChar w:fldCharType="end"/>
        </w:r>
      </w:hyperlink>
    </w:p>
    <w:p w14:paraId="5964CC0C" w14:textId="77777777" w:rsidR="00A47DEE" w:rsidRPr="00B52534" w:rsidRDefault="00A47DEE" w:rsidP="00A47DEE">
      <w:pPr>
        <w:pStyle w:val="TM2"/>
        <w:tabs>
          <w:tab w:val="left" w:pos="880"/>
          <w:tab w:val="right" w:leader="hyphen" w:pos="9062"/>
        </w:tabs>
        <w:rPr>
          <w:smallCaps/>
          <w:noProof/>
          <w:kern w:val="2"/>
          <w:sz w:val="24"/>
          <w14:ligatures w14:val="standardContextual"/>
        </w:rPr>
      </w:pPr>
      <w:hyperlink w:anchor="_Toc179577356" w:history="1">
        <w:r w:rsidRPr="00B52534">
          <w:rPr>
            <w:rStyle w:val="Lienhypertexte"/>
            <w:rFonts w:eastAsia="Times New Roman"/>
            <w:b/>
            <w:bCs/>
            <w:noProof/>
            <w:szCs w:val="28"/>
          </w:rPr>
          <w:t>3.2.</w:t>
        </w:r>
        <w:r w:rsidRPr="00B52534">
          <w:rPr>
            <w:noProof/>
            <w:kern w:val="2"/>
            <w:sz w:val="24"/>
            <w14:ligatures w14:val="standardContextual"/>
          </w:rPr>
          <w:tab/>
        </w:r>
        <w:r w:rsidRPr="00B52534">
          <w:rPr>
            <w:rStyle w:val="Lienhypertexte"/>
            <w:rFonts w:eastAsia="Times New Roman"/>
            <w:b/>
            <w:bCs/>
            <w:noProof/>
            <w:szCs w:val="28"/>
          </w:rPr>
          <w:t>Matrice d’impact pour le secteur agricole</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_Toc179577356 \h </w:instrText>
        </w:r>
        <w:r w:rsidRPr="00B52534">
          <w:rPr>
            <w:noProof/>
            <w:webHidden/>
            <w:szCs w:val="28"/>
          </w:rPr>
        </w:r>
        <w:r w:rsidRPr="00B52534">
          <w:rPr>
            <w:noProof/>
            <w:webHidden/>
            <w:szCs w:val="28"/>
          </w:rPr>
          <w:fldChar w:fldCharType="separate"/>
        </w:r>
        <w:r>
          <w:rPr>
            <w:noProof/>
            <w:webHidden/>
            <w:szCs w:val="28"/>
          </w:rPr>
          <w:t>17</w:t>
        </w:r>
        <w:r w:rsidRPr="00B52534">
          <w:rPr>
            <w:noProof/>
            <w:webHidden/>
            <w:szCs w:val="28"/>
          </w:rPr>
          <w:fldChar w:fldCharType="end"/>
        </w:r>
      </w:hyperlink>
    </w:p>
    <w:p w14:paraId="0AF4C6D9" w14:textId="77777777" w:rsidR="00A47DEE" w:rsidRPr="00B52534" w:rsidRDefault="00A47DEE" w:rsidP="00A47DEE">
      <w:pPr>
        <w:pStyle w:val="TM3"/>
        <w:tabs>
          <w:tab w:val="left" w:pos="1320"/>
          <w:tab w:val="right" w:leader="hyphen" w:pos="9062"/>
        </w:tabs>
        <w:rPr>
          <w:i/>
          <w:iCs/>
          <w:noProof/>
          <w:kern w:val="2"/>
          <w:sz w:val="24"/>
          <w14:ligatures w14:val="standardContextual"/>
        </w:rPr>
      </w:pPr>
      <w:hyperlink w:anchor="_Toc179577357" w:history="1">
        <w:r w:rsidRPr="00B52534">
          <w:rPr>
            <w:rStyle w:val="Lienhypertexte"/>
            <w:rFonts w:eastAsia="Calibri"/>
            <w:b/>
            <w:bCs/>
            <w:smallCaps/>
            <w:noProof/>
            <w:szCs w:val="28"/>
          </w:rPr>
          <w:t>3.1.1.</w:t>
        </w:r>
        <w:r w:rsidRPr="00B52534">
          <w:rPr>
            <w:noProof/>
            <w:kern w:val="2"/>
            <w:sz w:val="24"/>
            <w14:ligatures w14:val="standardContextual"/>
          </w:rPr>
          <w:tab/>
        </w:r>
        <w:r w:rsidRPr="00B52534">
          <w:rPr>
            <w:rStyle w:val="Lienhypertexte"/>
            <w:rFonts w:eastAsia="Calibri"/>
            <w:b/>
            <w:bCs/>
            <w:smallCaps/>
            <w:noProof/>
            <w:szCs w:val="28"/>
          </w:rPr>
          <w:t>Impacts du CC sur la riziculture</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_Toc179577357 \h </w:instrText>
        </w:r>
        <w:r w:rsidRPr="00B52534">
          <w:rPr>
            <w:noProof/>
            <w:webHidden/>
            <w:szCs w:val="28"/>
          </w:rPr>
        </w:r>
        <w:r w:rsidRPr="00B52534">
          <w:rPr>
            <w:noProof/>
            <w:webHidden/>
            <w:szCs w:val="28"/>
          </w:rPr>
          <w:fldChar w:fldCharType="separate"/>
        </w:r>
        <w:r>
          <w:rPr>
            <w:noProof/>
            <w:webHidden/>
            <w:szCs w:val="28"/>
          </w:rPr>
          <w:t>18</w:t>
        </w:r>
        <w:r w:rsidRPr="00B52534">
          <w:rPr>
            <w:noProof/>
            <w:webHidden/>
            <w:szCs w:val="28"/>
          </w:rPr>
          <w:fldChar w:fldCharType="end"/>
        </w:r>
      </w:hyperlink>
    </w:p>
    <w:p w14:paraId="6B7D282E" w14:textId="77777777" w:rsidR="00A47DEE" w:rsidRPr="00B52534" w:rsidRDefault="00A47DEE" w:rsidP="00A47DEE">
      <w:pPr>
        <w:pStyle w:val="TM3"/>
        <w:tabs>
          <w:tab w:val="left" w:pos="1320"/>
          <w:tab w:val="right" w:leader="hyphen" w:pos="9062"/>
        </w:tabs>
        <w:rPr>
          <w:i/>
          <w:iCs/>
          <w:noProof/>
          <w:kern w:val="2"/>
          <w:sz w:val="24"/>
          <w14:ligatures w14:val="standardContextual"/>
        </w:rPr>
      </w:pPr>
      <w:hyperlink w:anchor="_Toc179577358" w:history="1">
        <w:r w:rsidRPr="00B52534">
          <w:rPr>
            <w:rStyle w:val="Lienhypertexte"/>
            <w:rFonts w:eastAsia="Calibri"/>
            <w:b/>
            <w:bCs/>
            <w:smallCaps/>
            <w:noProof/>
            <w:szCs w:val="28"/>
          </w:rPr>
          <w:t>3.1.2.</w:t>
        </w:r>
        <w:r w:rsidRPr="00B52534">
          <w:rPr>
            <w:noProof/>
            <w:kern w:val="2"/>
            <w:sz w:val="24"/>
            <w14:ligatures w14:val="standardContextual"/>
          </w:rPr>
          <w:tab/>
        </w:r>
        <w:r w:rsidRPr="00B52534">
          <w:rPr>
            <w:rStyle w:val="Lienhypertexte"/>
            <w:rFonts w:eastAsia="Calibri"/>
            <w:b/>
            <w:bCs/>
            <w:smallCaps/>
            <w:noProof/>
            <w:szCs w:val="28"/>
          </w:rPr>
          <w:t>Impacts du CC sur les cultures pluviales</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_Toc179577358 \h </w:instrText>
        </w:r>
        <w:r w:rsidRPr="00B52534">
          <w:rPr>
            <w:noProof/>
            <w:webHidden/>
            <w:szCs w:val="28"/>
          </w:rPr>
        </w:r>
        <w:r w:rsidRPr="00B52534">
          <w:rPr>
            <w:noProof/>
            <w:webHidden/>
            <w:szCs w:val="28"/>
          </w:rPr>
          <w:fldChar w:fldCharType="separate"/>
        </w:r>
        <w:r>
          <w:rPr>
            <w:noProof/>
            <w:webHidden/>
            <w:szCs w:val="28"/>
          </w:rPr>
          <w:t>18</w:t>
        </w:r>
        <w:r w:rsidRPr="00B52534">
          <w:rPr>
            <w:noProof/>
            <w:webHidden/>
            <w:szCs w:val="28"/>
          </w:rPr>
          <w:fldChar w:fldCharType="end"/>
        </w:r>
      </w:hyperlink>
    </w:p>
    <w:p w14:paraId="3B7B5323" w14:textId="77777777" w:rsidR="00A47DEE" w:rsidRPr="00B52534" w:rsidRDefault="00A47DEE" w:rsidP="00A47DEE">
      <w:pPr>
        <w:pStyle w:val="TM3"/>
        <w:tabs>
          <w:tab w:val="left" w:pos="1320"/>
          <w:tab w:val="right" w:leader="hyphen" w:pos="9062"/>
        </w:tabs>
        <w:rPr>
          <w:i/>
          <w:iCs/>
          <w:noProof/>
          <w:kern w:val="2"/>
          <w:sz w:val="24"/>
          <w14:ligatures w14:val="standardContextual"/>
        </w:rPr>
      </w:pPr>
      <w:hyperlink w:anchor="_Toc179577359" w:history="1">
        <w:r w:rsidRPr="00B52534">
          <w:rPr>
            <w:rStyle w:val="Lienhypertexte"/>
            <w:rFonts w:eastAsia="Calibri"/>
            <w:b/>
            <w:bCs/>
            <w:smallCaps/>
            <w:noProof/>
            <w:szCs w:val="28"/>
          </w:rPr>
          <w:t>3.1.3.</w:t>
        </w:r>
        <w:r w:rsidRPr="00B52534">
          <w:rPr>
            <w:noProof/>
            <w:kern w:val="2"/>
            <w:sz w:val="24"/>
            <w14:ligatures w14:val="standardContextual"/>
          </w:rPr>
          <w:tab/>
        </w:r>
        <w:r w:rsidRPr="00B52534">
          <w:rPr>
            <w:rStyle w:val="Lienhypertexte"/>
            <w:rFonts w:eastAsia="Calibri"/>
            <w:b/>
            <w:bCs/>
            <w:smallCaps/>
            <w:noProof/>
            <w:szCs w:val="28"/>
          </w:rPr>
          <w:t>Impacts du CC sur les cultures maraichères</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_Toc179577359 \h </w:instrText>
        </w:r>
        <w:r w:rsidRPr="00B52534">
          <w:rPr>
            <w:noProof/>
            <w:webHidden/>
            <w:szCs w:val="28"/>
          </w:rPr>
        </w:r>
        <w:r w:rsidRPr="00B52534">
          <w:rPr>
            <w:noProof/>
            <w:webHidden/>
            <w:szCs w:val="28"/>
          </w:rPr>
          <w:fldChar w:fldCharType="separate"/>
        </w:r>
        <w:r>
          <w:rPr>
            <w:noProof/>
            <w:webHidden/>
            <w:szCs w:val="28"/>
          </w:rPr>
          <w:t>19</w:t>
        </w:r>
        <w:r w:rsidRPr="00B52534">
          <w:rPr>
            <w:noProof/>
            <w:webHidden/>
            <w:szCs w:val="28"/>
          </w:rPr>
          <w:fldChar w:fldCharType="end"/>
        </w:r>
      </w:hyperlink>
    </w:p>
    <w:p w14:paraId="05314B3F" w14:textId="77777777" w:rsidR="00A47DEE" w:rsidRPr="00B52534" w:rsidRDefault="00A47DEE" w:rsidP="00A47DEE">
      <w:pPr>
        <w:pStyle w:val="TM3"/>
        <w:tabs>
          <w:tab w:val="left" w:pos="1320"/>
          <w:tab w:val="right" w:leader="hyphen" w:pos="9062"/>
        </w:tabs>
        <w:rPr>
          <w:i/>
          <w:iCs/>
          <w:noProof/>
          <w:kern w:val="2"/>
          <w:sz w:val="24"/>
          <w14:ligatures w14:val="standardContextual"/>
        </w:rPr>
      </w:pPr>
      <w:hyperlink w:anchor="_Toc179577360" w:history="1">
        <w:r w:rsidRPr="00B52534">
          <w:rPr>
            <w:rStyle w:val="Lienhypertexte"/>
            <w:rFonts w:eastAsia="Calibri"/>
            <w:b/>
            <w:bCs/>
            <w:smallCaps/>
            <w:noProof/>
            <w:szCs w:val="28"/>
          </w:rPr>
          <w:t>3.1.4.</w:t>
        </w:r>
        <w:r w:rsidRPr="00B52534">
          <w:rPr>
            <w:noProof/>
            <w:kern w:val="2"/>
            <w:sz w:val="24"/>
            <w14:ligatures w14:val="standardContextual"/>
          </w:rPr>
          <w:tab/>
        </w:r>
        <w:r w:rsidRPr="00B52534">
          <w:rPr>
            <w:rStyle w:val="Lienhypertexte"/>
            <w:rFonts w:eastAsia="Calibri"/>
            <w:b/>
            <w:bCs/>
            <w:smallCaps/>
            <w:noProof/>
            <w:szCs w:val="28"/>
          </w:rPr>
          <w:t>Impacts du CC sur les oasis</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_Toc179577360 \h </w:instrText>
        </w:r>
        <w:r w:rsidRPr="00B52534">
          <w:rPr>
            <w:noProof/>
            <w:webHidden/>
            <w:szCs w:val="28"/>
          </w:rPr>
        </w:r>
        <w:r w:rsidRPr="00B52534">
          <w:rPr>
            <w:noProof/>
            <w:webHidden/>
            <w:szCs w:val="28"/>
          </w:rPr>
          <w:fldChar w:fldCharType="separate"/>
        </w:r>
        <w:r>
          <w:rPr>
            <w:noProof/>
            <w:webHidden/>
            <w:szCs w:val="28"/>
          </w:rPr>
          <w:t>19</w:t>
        </w:r>
        <w:r w:rsidRPr="00B52534">
          <w:rPr>
            <w:noProof/>
            <w:webHidden/>
            <w:szCs w:val="28"/>
          </w:rPr>
          <w:fldChar w:fldCharType="end"/>
        </w:r>
      </w:hyperlink>
    </w:p>
    <w:p w14:paraId="4F206815" w14:textId="77777777" w:rsidR="00A47DEE" w:rsidRPr="00B52534" w:rsidRDefault="00A47DEE" w:rsidP="00A47DEE">
      <w:pPr>
        <w:pStyle w:val="TM3"/>
        <w:tabs>
          <w:tab w:val="left" w:pos="1320"/>
          <w:tab w:val="right" w:leader="hyphen" w:pos="9062"/>
        </w:tabs>
        <w:rPr>
          <w:i/>
          <w:iCs/>
          <w:noProof/>
          <w:kern w:val="2"/>
          <w:sz w:val="24"/>
          <w14:ligatures w14:val="standardContextual"/>
        </w:rPr>
      </w:pPr>
      <w:hyperlink w:anchor="_Toc179577361" w:history="1">
        <w:r w:rsidRPr="00B52534">
          <w:rPr>
            <w:rStyle w:val="Lienhypertexte"/>
            <w:rFonts w:eastAsia="Calibri"/>
            <w:b/>
            <w:bCs/>
            <w:smallCaps/>
            <w:noProof/>
            <w:szCs w:val="28"/>
          </w:rPr>
          <w:t>3.1.5.</w:t>
        </w:r>
        <w:r w:rsidRPr="00B52534">
          <w:rPr>
            <w:noProof/>
            <w:kern w:val="2"/>
            <w:sz w:val="24"/>
            <w14:ligatures w14:val="standardContextual"/>
          </w:rPr>
          <w:tab/>
        </w:r>
        <w:r w:rsidRPr="00B52534">
          <w:rPr>
            <w:rStyle w:val="Lienhypertexte"/>
            <w:rFonts w:eastAsia="Calibri"/>
            <w:b/>
            <w:bCs/>
            <w:smallCaps/>
            <w:noProof/>
            <w:szCs w:val="28"/>
          </w:rPr>
          <w:t>Impacts du CC sur les terres agricoles.</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_Toc179577361 \h </w:instrText>
        </w:r>
        <w:r w:rsidRPr="00B52534">
          <w:rPr>
            <w:noProof/>
            <w:webHidden/>
            <w:szCs w:val="28"/>
          </w:rPr>
        </w:r>
        <w:r w:rsidRPr="00B52534">
          <w:rPr>
            <w:noProof/>
            <w:webHidden/>
            <w:szCs w:val="28"/>
          </w:rPr>
          <w:fldChar w:fldCharType="separate"/>
        </w:r>
        <w:r>
          <w:rPr>
            <w:noProof/>
            <w:webHidden/>
            <w:szCs w:val="28"/>
          </w:rPr>
          <w:t>20</w:t>
        </w:r>
        <w:r w:rsidRPr="00B52534">
          <w:rPr>
            <w:noProof/>
            <w:webHidden/>
            <w:szCs w:val="28"/>
          </w:rPr>
          <w:fldChar w:fldCharType="end"/>
        </w:r>
      </w:hyperlink>
    </w:p>
    <w:p w14:paraId="2945D050" w14:textId="77777777" w:rsidR="00A47DEE" w:rsidRPr="00B52534" w:rsidRDefault="00A47DEE" w:rsidP="00A47DEE">
      <w:pPr>
        <w:pStyle w:val="TM2"/>
        <w:tabs>
          <w:tab w:val="left" w:pos="880"/>
          <w:tab w:val="right" w:leader="hyphen" w:pos="9062"/>
        </w:tabs>
        <w:rPr>
          <w:smallCaps/>
          <w:noProof/>
          <w:kern w:val="2"/>
          <w:sz w:val="24"/>
          <w14:ligatures w14:val="standardContextual"/>
        </w:rPr>
      </w:pPr>
      <w:hyperlink w:anchor="_Toc179577362" w:history="1">
        <w:r w:rsidRPr="00B52534">
          <w:rPr>
            <w:rStyle w:val="Lienhypertexte"/>
            <w:rFonts w:eastAsia="Times New Roman"/>
            <w:b/>
            <w:bCs/>
            <w:noProof/>
            <w:szCs w:val="28"/>
          </w:rPr>
          <w:t>3.2.</w:t>
        </w:r>
        <w:r w:rsidRPr="00B52534">
          <w:rPr>
            <w:noProof/>
            <w:kern w:val="2"/>
            <w:sz w:val="24"/>
            <w14:ligatures w14:val="standardContextual"/>
          </w:rPr>
          <w:tab/>
        </w:r>
        <w:r w:rsidRPr="00B52534">
          <w:rPr>
            <w:rStyle w:val="Lienhypertexte"/>
            <w:rFonts w:eastAsia="Times New Roman"/>
            <w:b/>
            <w:bCs/>
            <w:noProof/>
            <w:szCs w:val="28"/>
          </w:rPr>
          <w:t>Conséquences et tendances des impacts climatiques</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_Toc179577362 \h </w:instrText>
        </w:r>
        <w:r w:rsidRPr="00B52534">
          <w:rPr>
            <w:noProof/>
            <w:webHidden/>
            <w:szCs w:val="28"/>
          </w:rPr>
        </w:r>
        <w:r w:rsidRPr="00B52534">
          <w:rPr>
            <w:noProof/>
            <w:webHidden/>
            <w:szCs w:val="28"/>
          </w:rPr>
          <w:fldChar w:fldCharType="separate"/>
        </w:r>
        <w:r>
          <w:rPr>
            <w:noProof/>
            <w:webHidden/>
            <w:szCs w:val="28"/>
          </w:rPr>
          <w:t>20</w:t>
        </w:r>
        <w:r w:rsidRPr="00B52534">
          <w:rPr>
            <w:noProof/>
            <w:webHidden/>
            <w:szCs w:val="28"/>
          </w:rPr>
          <w:fldChar w:fldCharType="end"/>
        </w:r>
      </w:hyperlink>
    </w:p>
    <w:p w14:paraId="76554901" w14:textId="77777777" w:rsidR="00A47DEE" w:rsidRPr="00B52534" w:rsidRDefault="00A47DEE" w:rsidP="00A47DEE">
      <w:pPr>
        <w:pStyle w:val="TM1"/>
        <w:rPr>
          <w:rFonts w:cstheme="minorBidi"/>
          <w:b/>
          <w:bCs/>
          <w:caps/>
          <w:kern w:val="2"/>
          <w:sz w:val="24"/>
          <w:szCs w:val="24"/>
          <w14:ligatures w14:val="standardContextual"/>
        </w:rPr>
      </w:pPr>
      <w:hyperlink w:anchor="_Toc179577363" w:history="1">
        <w:r w:rsidRPr="00B52534">
          <w:rPr>
            <w:rStyle w:val="Lienhypertexte"/>
            <w:sz w:val="24"/>
            <w:szCs w:val="32"/>
          </w:rPr>
          <w:t>PARTIE IV : MESURES, INITIATIVES ET PROGRAMMES D’ADAPTATION</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_Toc179577363 \h </w:instrText>
        </w:r>
        <w:r w:rsidRPr="00B52534">
          <w:rPr>
            <w:webHidden/>
            <w:sz w:val="24"/>
            <w:szCs w:val="32"/>
          </w:rPr>
        </w:r>
        <w:r w:rsidRPr="00B52534">
          <w:rPr>
            <w:webHidden/>
            <w:sz w:val="24"/>
            <w:szCs w:val="32"/>
          </w:rPr>
          <w:fldChar w:fldCharType="separate"/>
        </w:r>
        <w:r>
          <w:rPr>
            <w:webHidden/>
            <w:sz w:val="24"/>
            <w:szCs w:val="32"/>
          </w:rPr>
          <w:t>22</w:t>
        </w:r>
        <w:r w:rsidRPr="00B52534">
          <w:rPr>
            <w:webHidden/>
            <w:sz w:val="24"/>
            <w:szCs w:val="32"/>
          </w:rPr>
          <w:fldChar w:fldCharType="end"/>
        </w:r>
      </w:hyperlink>
    </w:p>
    <w:p w14:paraId="40DE9131" w14:textId="77777777" w:rsidR="00A47DEE" w:rsidRPr="00B52534" w:rsidRDefault="00A47DEE" w:rsidP="00A47DEE">
      <w:pPr>
        <w:pStyle w:val="TM3"/>
        <w:tabs>
          <w:tab w:val="left" w:pos="1100"/>
          <w:tab w:val="right" w:leader="hyphen" w:pos="9062"/>
        </w:tabs>
        <w:rPr>
          <w:i/>
          <w:iCs/>
          <w:noProof/>
          <w:kern w:val="2"/>
          <w:sz w:val="24"/>
          <w14:ligatures w14:val="standardContextual"/>
        </w:rPr>
      </w:pPr>
      <w:hyperlink w:anchor="_Toc179577364" w:history="1">
        <w:r w:rsidRPr="00B52534">
          <w:rPr>
            <w:rStyle w:val="Lienhypertexte"/>
            <w:rFonts w:eastAsia="Noto Sans CJK SC"/>
            <w:b/>
            <w:bCs/>
            <w:noProof/>
            <w:szCs w:val="28"/>
            <w:lang w:bidi="hi-IN"/>
          </w:rPr>
          <w:t>4.1.</w:t>
        </w:r>
        <w:r w:rsidRPr="00B52534">
          <w:rPr>
            <w:noProof/>
            <w:kern w:val="2"/>
            <w:sz w:val="24"/>
            <w14:ligatures w14:val="standardContextual"/>
          </w:rPr>
          <w:tab/>
        </w:r>
        <w:r w:rsidRPr="00B52534">
          <w:rPr>
            <w:rStyle w:val="Lienhypertexte"/>
            <w:rFonts w:eastAsia="Noto Sans CJK SC"/>
            <w:b/>
            <w:bCs/>
            <w:noProof/>
            <w:szCs w:val="28"/>
            <w:lang w:bidi="hi-IN"/>
          </w:rPr>
          <w:t>Capacités et ressources existantes et programmes prioritaires</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_Toc179577364 \h </w:instrText>
        </w:r>
        <w:r w:rsidRPr="00B52534">
          <w:rPr>
            <w:noProof/>
            <w:webHidden/>
            <w:szCs w:val="28"/>
          </w:rPr>
        </w:r>
        <w:r w:rsidRPr="00B52534">
          <w:rPr>
            <w:noProof/>
            <w:webHidden/>
            <w:szCs w:val="28"/>
          </w:rPr>
          <w:fldChar w:fldCharType="separate"/>
        </w:r>
        <w:r>
          <w:rPr>
            <w:noProof/>
            <w:webHidden/>
            <w:szCs w:val="28"/>
          </w:rPr>
          <w:t>22</w:t>
        </w:r>
        <w:r w:rsidRPr="00B52534">
          <w:rPr>
            <w:noProof/>
            <w:webHidden/>
            <w:szCs w:val="28"/>
          </w:rPr>
          <w:fldChar w:fldCharType="end"/>
        </w:r>
      </w:hyperlink>
    </w:p>
    <w:p w14:paraId="3574D8F2" w14:textId="77777777" w:rsidR="00A47DEE" w:rsidRPr="00B52534" w:rsidRDefault="00A47DEE" w:rsidP="00A47DEE">
      <w:pPr>
        <w:pStyle w:val="TM3"/>
        <w:tabs>
          <w:tab w:val="left" w:pos="1100"/>
          <w:tab w:val="right" w:leader="hyphen" w:pos="9062"/>
        </w:tabs>
        <w:rPr>
          <w:i/>
          <w:iCs/>
          <w:noProof/>
          <w:kern w:val="2"/>
          <w:sz w:val="24"/>
          <w14:ligatures w14:val="standardContextual"/>
        </w:rPr>
      </w:pPr>
      <w:hyperlink w:anchor="_Toc179577365" w:history="1">
        <w:r w:rsidRPr="00B52534">
          <w:rPr>
            <w:rStyle w:val="Lienhypertexte"/>
            <w:rFonts w:eastAsia="Noto Sans CJK SC"/>
            <w:b/>
            <w:bCs/>
            <w:noProof/>
            <w:szCs w:val="28"/>
            <w:lang w:bidi="hi-IN"/>
          </w:rPr>
          <w:t>4.2.</w:t>
        </w:r>
        <w:r w:rsidRPr="00B52534">
          <w:rPr>
            <w:noProof/>
            <w:kern w:val="2"/>
            <w:sz w:val="24"/>
            <w14:ligatures w14:val="standardContextual"/>
          </w:rPr>
          <w:tab/>
        </w:r>
        <w:r w:rsidRPr="00B52534">
          <w:rPr>
            <w:rStyle w:val="Lienhypertexte"/>
            <w:rFonts w:eastAsia="Noto Sans CJK SC"/>
            <w:b/>
            <w:bCs/>
            <w:noProof/>
            <w:szCs w:val="28"/>
            <w:lang w:bidi="hi-IN"/>
          </w:rPr>
          <w:t>Revue des projets en cours et en préparation</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_Toc179577365 \h </w:instrText>
        </w:r>
        <w:r w:rsidRPr="00B52534">
          <w:rPr>
            <w:noProof/>
            <w:webHidden/>
            <w:szCs w:val="28"/>
          </w:rPr>
        </w:r>
        <w:r w:rsidRPr="00B52534">
          <w:rPr>
            <w:noProof/>
            <w:webHidden/>
            <w:szCs w:val="28"/>
          </w:rPr>
          <w:fldChar w:fldCharType="separate"/>
        </w:r>
        <w:r>
          <w:rPr>
            <w:noProof/>
            <w:webHidden/>
            <w:szCs w:val="28"/>
          </w:rPr>
          <w:t>22</w:t>
        </w:r>
        <w:r w:rsidRPr="00B52534">
          <w:rPr>
            <w:noProof/>
            <w:webHidden/>
            <w:szCs w:val="28"/>
          </w:rPr>
          <w:fldChar w:fldCharType="end"/>
        </w:r>
      </w:hyperlink>
    </w:p>
    <w:p w14:paraId="5EB39514" w14:textId="77777777" w:rsidR="00A47DEE" w:rsidRPr="00B52534" w:rsidRDefault="00A47DEE" w:rsidP="00A47DEE">
      <w:pPr>
        <w:pStyle w:val="TM3"/>
        <w:tabs>
          <w:tab w:val="left" w:pos="1100"/>
          <w:tab w:val="right" w:leader="hyphen" w:pos="9062"/>
        </w:tabs>
        <w:rPr>
          <w:i/>
          <w:iCs/>
          <w:noProof/>
          <w:kern w:val="2"/>
          <w:sz w:val="24"/>
          <w14:ligatures w14:val="standardContextual"/>
        </w:rPr>
      </w:pPr>
      <w:hyperlink w:anchor="_Toc179577366" w:history="1">
        <w:r w:rsidRPr="00B52534">
          <w:rPr>
            <w:rStyle w:val="Lienhypertexte"/>
            <w:rFonts w:eastAsia="Noto Sans CJK SC"/>
            <w:b/>
            <w:bCs/>
            <w:noProof/>
            <w:szCs w:val="28"/>
            <w:lang w:bidi="hi-IN"/>
          </w:rPr>
          <w:t>4.3.</w:t>
        </w:r>
        <w:r w:rsidRPr="00B52534">
          <w:rPr>
            <w:noProof/>
            <w:kern w:val="2"/>
            <w:sz w:val="24"/>
            <w14:ligatures w14:val="standardContextual"/>
          </w:rPr>
          <w:tab/>
        </w:r>
        <w:r w:rsidRPr="00B52534">
          <w:rPr>
            <w:rStyle w:val="Lienhypertexte"/>
            <w:rFonts w:eastAsia="Noto Sans CJK SC"/>
            <w:b/>
            <w:bCs/>
            <w:noProof/>
            <w:szCs w:val="28"/>
            <w:lang w:bidi="hi-IN"/>
          </w:rPr>
          <w:t>Priorisations des options d’adaptation à l’aide de l’AMC</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_Toc179577366 \h </w:instrText>
        </w:r>
        <w:r w:rsidRPr="00B52534">
          <w:rPr>
            <w:noProof/>
            <w:webHidden/>
            <w:szCs w:val="28"/>
          </w:rPr>
        </w:r>
        <w:r w:rsidRPr="00B52534">
          <w:rPr>
            <w:noProof/>
            <w:webHidden/>
            <w:szCs w:val="28"/>
          </w:rPr>
          <w:fldChar w:fldCharType="separate"/>
        </w:r>
        <w:r>
          <w:rPr>
            <w:noProof/>
            <w:webHidden/>
            <w:szCs w:val="28"/>
          </w:rPr>
          <w:t>26</w:t>
        </w:r>
        <w:r w:rsidRPr="00B52534">
          <w:rPr>
            <w:noProof/>
            <w:webHidden/>
            <w:szCs w:val="28"/>
          </w:rPr>
          <w:fldChar w:fldCharType="end"/>
        </w:r>
      </w:hyperlink>
    </w:p>
    <w:p w14:paraId="2A6AFFF3" w14:textId="77777777" w:rsidR="00A47DEE" w:rsidRPr="00B52534" w:rsidRDefault="00A47DEE" w:rsidP="00A47DEE">
      <w:pPr>
        <w:pStyle w:val="TM3"/>
        <w:tabs>
          <w:tab w:val="left" w:pos="1320"/>
          <w:tab w:val="right" w:leader="hyphen" w:pos="9062"/>
        </w:tabs>
        <w:rPr>
          <w:i/>
          <w:iCs/>
          <w:noProof/>
          <w:kern w:val="2"/>
          <w:sz w:val="24"/>
          <w14:ligatures w14:val="standardContextual"/>
        </w:rPr>
      </w:pPr>
      <w:hyperlink w:anchor="_Toc179577367" w:history="1">
        <w:r w:rsidRPr="00B52534">
          <w:rPr>
            <w:rStyle w:val="Lienhypertexte"/>
            <w:rFonts w:eastAsia="Calibri"/>
            <w:b/>
            <w:bCs/>
            <w:smallCaps/>
            <w:noProof/>
            <w:szCs w:val="28"/>
          </w:rPr>
          <w:t>4.3.1.</w:t>
        </w:r>
        <w:r w:rsidRPr="00B52534">
          <w:rPr>
            <w:noProof/>
            <w:kern w:val="2"/>
            <w:sz w:val="24"/>
            <w14:ligatures w14:val="standardContextual"/>
          </w:rPr>
          <w:tab/>
        </w:r>
        <w:r w:rsidRPr="00B52534">
          <w:rPr>
            <w:rStyle w:val="Lienhypertexte"/>
            <w:rFonts w:eastAsia="Calibri"/>
            <w:b/>
            <w:bCs/>
            <w:smallCaps/>
            <w:noProof/>
            <w:szCs w:val="28"/>
          </w:rPr>
          <w:t>Matrice d’adaptation</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_Toc179577367 \h </w:instrText>
        </w:r>
        <w:r w:rsidRPr="00B52534">
          <w:rPr>
            <w:noProof/>
            <w:webHidden/>
            <w:szCs w:val="28"/>
          </w:rPr>
        </w:r>
        <w:r w:rsidRPr="00B52534">
          <w:rPr>
            <w:noProof/>
            <w:webHidden/>
            <w:szCs w:val="28"/>
          </w:rPr>
          <w:fldChar w:fldCharType="separate"/>
        </w:r>
        <w:r>
          <w:rPr>
            <w:noProof/>
            <w:webHidden/>
            <w:szCs w:val="28"/>
          </w:rPr>
          <w:t>26</w:t>
        </w:r>
        <w:r w:rsidRPr="00B52534">
          <w:rPr>
            <w:noProof/>
            <w:webHidden/>
            <w:szCs w:val="28"/>
          </w:rPr>
          <w:fldChar w:fldCharType="end"/>
        </w:r>
      </w:hyperlink>
    </w:p>
    <w:p w14:paraId="65E9E564" w14:textId="77777777" w:rsidR="00A47DEE" w:rsidRPr="00B52534" w:rsidRDefault="00A47DEE" w:rsidP="00A47DEE">
      <w:pPr>
        <w:pStyle w:val="TM3"/>
        <w:tabs>
          <w:tab w:val="left" w:pos="1320"/>
          <w:tab w:val="right" w:leader="hyphen" w:pos="9062"/>
        </w:tabs>
        <w:rPr>
          <w:i/>
          <w:iCs/>
          <w:noProof/>
          <w:kern w:val="2"/>
          <w:sz w:val="24"/>
          <w14:ligatures w14:val="standardContextual"/>
        </w:rPr>
      </w:pPr>
      <w:hyperlink w:anchor="_Toc179577368" w:history="1">
        <w:r w:rsidRPr="00B52534">
          <w:rPr>
            <w:rStyle w:val="Lienhypertexte"/>
            <w:rFonts w:eastAsia="Calibri"/>
            <w:b/>
            <w:bCs/>
            <w:smallCaps/>
            <w:noProof/>
            <w:szCs w:val="28"/>
          </w:rPr>
          <w:t>4.3.2.</w:t>
        </w:r>
        <w:r w:rsidRPr="00B52534">
          <w:rPr>
            <w:noProof/>
            <w:kern w:val="2"/>
            <w:sz w:val="24"/>
            <w14:ligatures w14:val="standardContextual"/>
          </w:rPr>
          <w:tab/>
        </w:r>
        <w:r w:rsidRPr="00B52534">
          <w:rPr>
            <w:rStyle w:val="Lienhypertexte"/>
            <w:rFonts w:eastAsia="Calibri"/>
            <w:b/>
            <w:bCs/>
            <w:smallCaps/>
            <w:noProof/>
            <w:szCs w:val="28"/>
          </w:rPr>
          <w:t>Critères d'hiérarchisation des options d’adaptations</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_Toc179577368 \h </w:instrText>
        </w:r>
        <w:r w:rsidRPr="00B52534">
          <w:rPr>
            <w:noProof/>
            <w:webHidden/>
            <w:szCs w:val="28"/>
          </w:rPr>
        </w:r>
        <w:r w:rsidRPr="00B52534">
          <w:rPr>
            <w:noProof/>
            <w:webHidden/>
            <w:szCs w:val="28"/>
          </w:rPr>
          <w:fldChar w:fldCharType="separate"/>
        </w:r>
        <w:r>
          <w:rPr>
            <w:noProof/>
            <w:webHidden/>
            <w:szCs w:val="28"/>
          </w:rPr>
          <w:t>28</w:t>
        </w:r>
        <w:r w:rsidRPr="00B52534">
          <w:rPr>
            <w:noProof/>
            <w:webHidden/>
            <w:szCs w:val="28"/>
          </w:rPr>
          <w:fldChar w:fldCharType="end"/>
        </w:r>
      </w:hyperlink>
    </w:p>
    <w:p w14:paraId="59121E8B" w14:textId="77777777" w:rsidR="00A47DEE" w:rsidRPr="00B52534" w:rsidRDefault="00A47DEE" w:rsidP="00A47DEE">
      <w:pPr>
        <w:pStyle w:val="TM3"/>
        <w:tabs>
          <w:tab w:val="left" w:pos="1320"/>
          <w:tab w:val="right" w:leader="hyphen" w:pos="9062"/>
        </w:tabs>
        <w:rPr>
          <w:i/>
          <w:iCs/>
          <w:noProof/>
          <w:kern w:val="2"/>
          <w:sz w:val="24"/>
          <w14:ligatures w14:val="standardContextual"/>
        </w:rPr>
      </w:pPr>
      <w:hyperlink w:anchor="_Toc179577369" w:history="1">
        <w:r w:rsidRPr="00B52534">
          <w:rPr>
            <w:rStyle w:val="Lienhypertexte"/>
            <w:rFonts w:eastAsia="Calibri"/>
            <w:b/>
            <w:bCs/>
            <w:smallCaps/>
            <w:noProof/>
            <w:szCs w:val="28"/>
          </w:rPr>
          <w:t>4.3.3.</w:t>
        </w:r>
        <w:r w:rsidRPr="00B52534">
          <w:rPr>
            <w:noProof/>
            <w:kern w:val="2"/>
            <w:sz w:val="24"/>
            <w14:ligatures w14:val="standardContextual"/>
          </w:rPr>
          <w:tab/>
        </w:r>
        <w:r w:rsidRPr="00B52534">
          <w:rPr>
            <w:rStyle w:val="Lienhypertexte"/>
            <w:rFonts w:eastAsia="Calibri"/>
            <w:b/>
            <w:bCs/>
            <w:smallCaps/>
            <w:noProof/>
            <w:szCs w:val="28"/>
          </w:rPr>
          <w:t>hiérarchisation des options d’adaptation à l’aide de l’AMC</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_Toc179577369 \h </w:instrText>
        </w:r>
        <w:r w:rsidRPr="00B52534">
          <w:rPr>
            <w:noProof/>
            <w:webHidden/>
            <w:szCs w:val="28"/>
          </w:rPr>
        </w:r>
        <w:r w:rsidRPr="00B52534">
          <w:rPr>
            <w:noProof/>
            <w:webHidden/>
            <w:szCs w:val="28"/>
          </w:rPr>
          <w:fldChar w:fldCharType="separate"/>
        </w:r>
        <w:r>
          <w:rPr>
            <w:noProof/>
            <w:webHidden/>
            <w:szCs w:val="28"/>
          </w:rPr>
          <w:t>28</w:t>
        </w:r>
        <w:r w:rsidRPr="00B52534">
          <w:rPr>
            <w:noProof/>
            <w:webHidden/>
            <w:szCs w:val="28"/>
          </w:rPr>
          <w:fldChar w:fldCharType="end"/>
        </w:r>
      </w:hyperlink>
    </w:p>
    <w:p w14:paraId="272AA5F2" w14:textId="77777777" w:rsidR="00A47DEE" w:rsidRPr="00B52534" w:rsidRDefault="00A47DEE" w:rsidP="00A47DEE">
      <w:pPr>
        <w:pStyle w:val="TM1"/>
        <w:rPr>
          <w:rFonts w:cstheme="minorBidi"/>
          <w:b/>
          <w:bCs/>
          <w:caps/>
          <w:kern w:val="2"/>
          <w:sz w:val="24"/>
          <w:szCs w:val="24"/>
          <w14:ligatures w14:val="standardContextual"/>
        </w:rPr>
      </w:pPr>
      <w:hyperlink w:anchor="_Toc179577370" w:history="1">
        <w:r w:rsidRPr="00B52534">
          <w:rPr>
            <w:rStyle w:val="Lienhypertexte"/>
            <w:sz w:val="24"/>
            <w:szCs w:val="32"/>
          </w:rPr>
          <w:t>PARTIE V : OBSTACLES ET LACUNES AYANT TRAIT A LA MISE EN ŒUVRE DE L’ADAPTATION</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_Toc179577370 \h </w:instrText>
        </w:r>
        <w:r w:rsidRPr="00B52534">
          <w:rPr>
            <w:webHidden/>
            <w:sz w:val="24"/>
            <w:szCs w:val="32"/>
          </w:rPr>
        </w:r>
        <w:r w:rsidRPr="00B52534">
          <w:rPr>
            <w:webHidden/>
            <w:sz w:val="24"/>
            <w:szCs w:val="32"/>
          </w:rPr>
          <w:fldChar w:fldCharType="separate"/>
        </w:r>
        <w:r>
          <w:rPr>
            <w:webHidden/>
            <w:sz w:val="24"/>
            <w:szCs w:val="32"/>
          </w:rPr>
          <w:t>32</w:t>
        </w:r>
        <w:r w:rsidRPr="00B52534">
          <w:rPr>
            <w:webHidden/>
            <w:sz w:val="24"/>
            <w:szCs w:val="32"/>
          </w:rPr>
          <w:fldChar w:fldCharType="end"/>
        </w:r>
      </w:hyperlink>
    </w:p>
    <w:p w14:paraId="2A2CFA86" w14:textId="77777777" w:rsidR="00A47DEE" w:rsidRPr="00B52534" w:rsidRDefault="00A47DEE" w:rsidP="00A47DEE">
      <w:pPr>
        <w:pStyle w:val="TM4"/>
        <w:tabs>
          <w:tab w:val="left" w:pos="1320"/>
          <w:tab w:val="right" w:leader="hyphen" w:pos="9062"/>
        </w:tabs>
        <w:rPr>
          <w:rFonts w:cstheme="minorBidi"/>
          <w:noProof/>
          <w:kern w:val="2"/>
          <w:sz w:val="24"/>
          <w:szCs w:val="24"/>
          <w14:ligatures w14:val="standardContextual"/>
        </w:rPr>
      </w:pPr>
      <w:hyperlink w:anchor="_Toc179577371" w:history="1">
        <w:r w:rsidRPr="00B52534">
          <w:rPr>
            <w:rStyle w:val="Lienhypertexte"/>
            <w:rFonts w:eastAsia="Calibri"/>
            <w:b/>
            <w:bCs/>
            <w:noProof/>
            <w:szCs w:val="22"/>
          </w:rPr>
          <w:t>5.1.1.</w:t>
        </w:r>
        <w:r w:rsidRPr="00B52534">
          <w:rPr>
            <w:rFonts w:cstheme="minorBidi"/>
            <w:noProof/>
            <w:kern w:val="2"/>
            <w:sz w:val="24"/>
            <w:szCs w:val="24"/>
            <w14:ligatures w14:val="standardContextual"/>
          </w:rPr>
          <w:tab/>
        </w:r>
        <w:r w:rsidRPr="00B52534">
          <w:rPr>
            <w:rStyle w:val="Lienhypertexte"/>
            <w:rFonts w:eastAsia="Calibri"/>
            <w:b/>
            <w:bCs/>
            <w:noProof/>
            <w:szCs w:val="22"/>
          </w:rPr>
          <w:t>Obstacles et lacunes au plan institutionnel, règlementaire et politiques</w:t>
        </w:r>
        <w:r w:rsidRPr="00B52534">
          <w:rPr>
            <w:noProof/>
            <w:webHidden/>
            <w:szCs w:val="22"/>
          </w:rPr>
          <w:tab/>
        </w:r>
        <w:r w:rsidRPr="00B52534">
          <w:rPr>
            <w:noProof/>
            <w:webHidden/>
            <w:szCs w:val="22"/>
          </w:rPr>
          <w:fldChar w:fldCharType="begin"/>
        </w:r>
        <w:r w:rsidRPr="00B52534">
          <w:rPr>
            <w:noProof/>
            <w:webHidden/>
            <w:szCs w:val="22"/>
          </w:rPr>
          <w:instrText xml:space="preserve"> PAGEREF _Toc179577371 \h </w:instrText>
        </w:r>
        <w:r w:rsidRPr="00B52534">
          <w:rPr>
            <w:noProof/>
            <w:webHidden/>
            <w:szCs w:val="22"/>
          </w:rPr>
        </w:r>
        <w:r w:rsidRPr="00B52534">
          <w:rPr>
            <w:noProof/>
            <w:webHidden/>
            <w:szCs w:val="22"/>
          </w:rPr>
          <w:fldChar w:fldCharType="separate"/>
        </w:r>
        <w:r>
          <w:rPr>
            <w:noProof/>
            <w:webHidden/>
            <w:szCs w:val="22"/>
          </w:rPr>
          <w:t>32</w:t>
        </w:r>
        <w:r w:rsidRPr="00B52534">
          <w:rPr>
            <w:noProof/>
            <w:webHidden/>
            <w:szCs w:val="22"/>
          </w:rPr>
          <w:fldChar w:fldCharType="end"/>
        </w:r>
      </w:hyperlink>
    </w:p>
    <w:p w14:paraId="1A93B6B5" w14:textId="77777777" w:rsidR="00A47DEE" w:rsidRPr="00B52534" w:rsidRDefault="00A47DEE" w:rsidP="00A47DEE">
      <w:pPr>
        <w:pStyle w:val="TM4"/>
        <w:tabs>
          <w:tab w:val="left" w:pos="1320"/>
          <w:tab w:val="right" w:leader="hyphen" w:pos="9062"/>
        </w:tabs>
        <w:rPr>
          <w:rFonts w:cstheme="minorBidi"/>
          <w:noProof/>
          <w:kern w:val="2"/>
          <w:sz w:val="24"/>
          <w:szCs w:val="24"/>
          <w14:ligatures w14:val="standardContextual"/>
        </w:rPr>
      </w:pPr>
      <w:hyperlink w:anchor="_Toc179577372" w:history="1">
        <w:r w:rsidRPr="00B52534">
          <w:rPr>
            <w:rStyle w:val="Lienhypertexte"/>
            <w:rFonts w:eastAsia="Calibri"/>
            <w:b/>
            <w:bCs/>
            <w:noProof/>
            <w:szCs w:val="22"/>
          </w:rPr>
          <w:t>5.1.2.</w:t>
        </w:r>
        <w:r w:rsidRPr="00B52534">
          <w:rPr>
            <w:rFonts w:cstheme="minorBidi"/>
            <w:noProof/>
            <w:kern w:val="2"/>
            <w:sz w:val="24"/>
            <w:szCs w:val="24"/>
            <w14:ligatures w14:val="standardContextual"/>
          </w:rPr>
          <w:tab/>
        </w:r>
        <w:r w:rsidRPr="00B52534">
          <w:rPr>
            <w:rStyle w:val="Lienhypertexte"/>
            <w:rFonts w:eastAsia="Calibri"/>
            <w:b/>
            <w:bCs/>
            <w:noProof/>
            <w:szCs w:val="22"/>
          </w:rPr>
          <w:t>Obstacles Lacunes en matière de capacités humaines</w:t>
        </w:r>
        <w:r w:rsidRPr="00B52534">
          <w:rPr>
            <w:noProof/>
            <w:webHidden/>
            <w:szCs w:val="22"/>
          </w:rPr>
          <w:tab/>
        </w:r>
        <w:r w:rsidRPr="00B52534">
          <w:rPr>
            <w:noProof/>
            <w:webHidden/>
            <w:szCs w:val="22"/>
          </w:rPr>
          <w:fldChar w:fldCharType="begin"/>
        </w:r>
        <w:r w:rsidRPr="00B52534">
          <w:rPr>
            <w:noProof/>
            <w:webHidden/>
            <w:szCs w:val="22"/>
          </w:rPr>
          <w:instrText xml:space="preserve"> PAGEREF _Toc179577372 \h </w:instrText>
        </w:r>
        <w:r w:rsidRPr="00B52534">
          <w:rPr>
            <w:noProof/>
            <w:webHidden/>
            <w:szCs w:val="22"/>
          </w:rPr>
        </w:r>
        <w:r w:rsidRPr="00B52534">
          <w:rPr>
            <w:noProof/>
            <w:webHidden/>
            <w:szCs w:val="22"/>
          </w:rPr>
          <w:fldChar w:fldCharType="separate"/>
        </w:r>
        <w:r>
          <w:rPr>
            <w:noProof/>
            <w:webHidden/>
            <w:szCs w:val="22"/>
          </w:rPr>
          <w:t>32</w:t>
        </w:r>
        <w:r w:rsidRPr="00B52534">
          <w:rPr>
            <w:noProof/>
            <w:webHidden/>
            <w:szCs w:val="22"/>
          </w:rPr>
          <w:fldChar w:fldCharType="end"/>
        </w:r>
      </w:hyperlink>
    </w:p>
    <w:p w14:paraId="2FD4F0EE" w14:textId="77777777" w:rsidR="00A47DEE" w:rsidRPr="00B52534" w:rsidRDefault="00A47DEE" w:rsidP="00A47DEE">
      <w:pPr>
        <w:pStyle w:val="TM4"/>
        <w:tabs>
          <w:tab w:val="left" w:pos="1320"/>
          <w:tab w:val="right" w:leader="hyphen" w:pos="9062"/>
        </w:tabs>
        <w:rPr>
          <w:rFonts w:cstheme="minorBidi"/>
          <w:noProof/>
          <w:kern w:val="2"/>
          <w:sz w:val="24"/>
          <w:szCs w:val="24"/>
          <w14:ligatures w14:val="standardContextual"/>
        </w:rPr>
      </w:pPr>
      <w:hyperlink w:anchor="_Toc179577373" w:history="1">
        <w:r w:rsidRPr="00B52534">
          <w:rPr>
            <w:rStyle w:val="Lienhypertexte"/>
            <w:rFonts w:eastAsia="Calibri"/>
            <w:b/>
            <w:bCs/>
            <w:noProof/>
            <w:szCs w:val="22"/>
          </w:rPr>
          <w:t>5.1.3.</w:t>
        </w:r>
        <w:r w:rsidRPr="00B52534">
          <w:rPr>
            <w:rFonts w:cstheme="minorBidi"/>
            <w:noProof/>
            <w:kern w:val="2"/>
            <w:sz w:val="24"/>
            <w:szCs w:val="24"/>
            <w14:ligatures w14:val="standardContextual"/>
          </w:rPr>
          <w:tab/>
        </w:r>
        <w:r w:rsidRPr="00B52534">
          <w:rPr>
            <w:rStyle w:val="Lienhypertexte"/>
            <w:rFonts w:eastAsia="Calibri"/>
            <w:b/>
            <w:bCs/>
            <w:noProof/>
            <w:szCs w:val="22"/>
          </w:rPr>
          <w:t>Lacunes et besoins en matière de transfert de technologie d’adaptation</w:t>
        </w:r>
        <w:r w:rsidRPr="00B52534">
          <w:rPr>
            <w:noProof/>
            <w:webHidden/>
            <w:szCs w:val="22"/>
          </w:rPr>
          <w:tab/>
        </w:r>
        <w:r w:rsidRPr="00B52534">
          <w:rPr>
            <w:noProof/>
            <w:webHidden/>
            <w:szCs w:val="22"/>
          </w:rPr>
          <w:fldChar w:fldCharType="begin"/>
        </w:r>
        <w:r w:rsidRPr="00B52534">
          <w:rPr>
            <w:noProof/>
            <w:webHidden/>
            <w:szCs w:val="22"/>
          </w:rPr>
          <w:instrText xml:space="preserve"> PAGEREF _Toc179577373 \h </w:instrText>
        </w:r>
        <w:r w:rsidRPr="00B52534">
          <w:rPr>
            <w:noProof/>
            <w:webHidden/>
            <w:szCs w:val="22"/>
          </w:rPr>
        </w:r>
        <w:r w:rsidRPr="00B52534">
          <w:rPr>
            <w:noProof/>
            <w:webHidden/>
            <w:szCs w:val="22"/>
          </w:rPr>
          <w:fldChar w:fldCharType="separate"/>
        </w:r>
        <w:r>
          <w:rPr>
            <w:noProof/>
            <w:webHidden/>
            <w:szCs w:val="22"/>
          </w:rPr>
          <w:t>32</w:t>
        </w:r>
        <w:r w:rsidRPr="00B52534">
          <w:rPr>
            <w:noProof/>
            <w:webHidden/>
            <w:szCs w:val="22"/>
          </w:rPr>
          <w:fldChar w:fldCharType="end"/>
        </w:r>
      </w:hyperlink>
    </w:p>
    <w:p w14:paraId="172BB6A0" w14:textId="77777777" w:rsidR="00A47DEE" w:rsidRPr="00B52534" w:rsidRDefault="00A47DEE" w:rsidP="00A47DEE">
      <w:pPr>
        <w:pStyle w:val="TM4"/>
        <w:tabs>
          <w:tab w:val="left" w:pos="1320"/>
          <w:tab w:val="right" w:leader="hyphen" w:pos="9062"/>
        </w:tabs>
        <w:rPr>
          <w:rFonts w:cstheme="minorBidi"/>
          <w:noProof/>
          <w:kern w:val="2"/>
          <w:sz w:val="24"/>
          <w:szCs w:val="24"/>
          <w14:ligatures w14:val="standardContextual"/>
        </w:rPr>
      </w:pPr>
      <w:hyperlink w:anchor="_Toc179577374" w:history="1">
        <w:r w:rsidRPr="00B52534">
          <w:rPr>
            <w:rStyle w:val="Lienhypertexte"/>
            <w:rFonts w:eastAsia="Calibri"/>
            <w:b/>
            <w:bCs/>
            <w:noProof/>
            <w:szCs w:val="22"/>
          </w:rPr>
          <w:t>5.1.4.</w:t>
        </w:r>
        <w:r w:rsidRPr="00B52534">
          <w:rPr>
            <w:rFonts w:cstheme="minorBidi"/>
            <w:noProof/>
            <w:kern w:val="2"/>
            <w:sz w:val="24"/>
            <w:szCs w:val="24"/>
            <w14:ligatures w14:val="standardContextual"/>
          </w:rPr>
          <w:tab/>
        </w:r>
        <w:r w:rsidRPr="00B52534">
          <w:rPr>
            <w:rStyle w:val="Lienhypertexte"/>
            <w:rFonts w:eastAsia="Calibri"/>
            <w:b/>
            <w:bCs/>
            <w:noProof/>
            <w:szCs w:val="22"/>
          </w:rPr>
          <w:t>Lacunes et besoin en matière de gestion des risques agricoles liés au climat</w:t>
        </w:r>
        <w:r w:rsidRPr="00B52534">
          <w:rPr>
            <w:noProof/>
            <w:webHidden/>
            <w:szCs w:val="22"/>
          </w:rPr>
          <w:tab/>
        </w:r>
        <w:r w:rsidRPr="00B52534">
          <w:rPr>
            <w:noProof/>
            <w:webHidden/>
            <w:szCs w:val="22"/>
          </w:rPr>
          <w:fldChar w:fldCharType="begin"/>
        </w:r>
        <w:r w:rsidRPr="00B52534">
          <w:rPr>
            <w:noProof/>
            <w:webHidden/>
            <w:szCs w:val="22"/>
          </w:rPr>
          <w:instrText xml:space="preserve"> PAGEREF _Toc179577374 \h </w:instrText>
        </w:r>
        <w:r w:rsidRPr="00B52534">
          <w:rPr>
            <w:noProof/>
            <w:webHidden/>
            <w:szCs w:val="22"/>
          </w:rPr>
        </w:r>
        <w:r w:rsidRPr="00B52534">
          <w:rPr>
            <w:noProof/>
            <w:webHidden/>
            <w:szCs w:val="22"/>
          </w:rPr>
          <w:fldChar w:fldCharType="separate"/>
        </w:r>
        <w:r>
          <w:rPr>
            <w:noProof/>
            <w:webHidden/>
            <w:szCs w:val="22"/>
          </w:rPr>
          <w:t>32</w:t>
        </w:r>
        <w:r w:rsidRPr="00B52534">
          <w:rPr>
            <w:noProof/>
            <w:webHidden/>
            <w:szCs w:val="22"/>
          </w:rPr>
          <w:fldChar w:fldCharType="end"/>
        </w:r>
      </w:hyperlink>
    </w:p>
    <w:p w14:paraId="0309DBA4" w14:textId="77777777" w:rsidR="00A47DEE" w:rsidRPr="00B52534" w:rsidRDefault="00A47DEE" w:rsidP="00A47DEE">
      <w:pPr>
        <w:pStyle w:val="TM4"/>
        <w:tabs>
          <w:tab w:val="left" w:pos="1320"/>
          <w:tab w:val="right" w:leader="hyphen" w:pos="9062"/>
        </w:tabs>
        <w:rPr>
          <w:rFonts w:cstheme="minorBidi"/>
          <w:noProof/>
          <w:kern w:val="2"/>
          <w:sz w:val="24"/>
          <w:szCs w:val="24"/>
          <w14:ligatures w14:val="standardContextual"/>
        </w:rPr>
      </w:pPr>
      <w:hyperlink w:anchor="_Toc179577375" w:history="1">
        <w:r w:rsidRPr="00B52534">
          <w:rPr>
            <w:rStyle w:val="Lienhypertexte"/>
            <w:rFonts w:eastAsia="Calibri"/>
            <w:b/>
            <w:bCs/>
            <w:noProof/>
            <w:szCs w:val="22"/>
          </w:rPr>
          <w:t>5.1.5.</w:t>
        </w:r>
        <w:r w:rsidRPr="00B52534">
          <w:rPr>
            <w:rFonts w:cstheme="minorBidi"/>
            <w:noProof/>
            <w:kern w:val="2"/>
            <w:sz w:val="24"/>
            <w:szCs w:val="24"/>
            <w14:ligatures w14:val="standardContextual"/>
          </w:rPr>
          <w:tab/>
        </w:r>
        <w:r w:rsidRPr="00B52534">
          <w:rPr>
            <w:rStyle w:val="Lienhypertexte"/>
            <w:rFonts w:eastAsia="Calibri"/>
            <w:b/>
            <w:bCs/>
            <w:noProof/>
            <w:szCs w:val="22"/>
          </w:rPr>
          <w:t>Lacunes et obstacles à la conception et la planification</w:t>
        </w:r>
        <w:r w:rsidRPr="00B52534">
          <w:rPr>
            <w:noProof/>
            <w:webHidden/>
            <w:szCs w:val="22"/>
          </w:rPr>
          <w:tab/>
        </w:r>
        <w:r w:rsidRPr="00B52534">
          <w:rPr>
            <w:noProof/>
            <w:webHidden/>
            <w:szCs w:val="22"/>
          </w:rPr>
          <w:fldChar w:fldCharType="begin"/>
        </w:r>
        <w:r w:rsidRPr="00B52534">
          <w:rPr>
            <w:noProof/>
            <w:webHidden/>
            <w:szCs w:val="22"/>
          </w:rPr>
          <w:instrText xml:space="preserve"> PAGEREF _Toc179577375 \h </w:instrText>
        </w:r>
        <w:r w:rsidRPr="00B52534">
          <w:rPr>
            <w:noProof/>
            <w:webHidden/>
            <w:szCs w:val="22"/>
          </w:rPr>
        </w:r>
        <w:r w:rsidRPr="00B52534">
          <w:rPr>
            <w:noProof/>
            <w:webHidden/>
            <w:szCs w:val="22"/>
          </w:rPr>
          <w:fldChar w:fldCharType="separate"/>
        </w:r>
        <w:r>
          <w:rPr>
            <w:noProof/>
            <w:webHidden/>
            <w:szCs w:val="22"/>
          </w:rPr>
          <w:t>32</w:t>
        </w:r>
        <w:r w:rsidRPr="00B52534">
          <w:rPr>
            <w:noProof/>
            <w:webHidden/>
            <w:szCs w:val="22"/>
          </w:rPr>
          <w:fldChar w:fldCharType="end"/>
        </w:r>
      </w:hyperlink>
    </w:p>
    <w:p w14:paraId="2C3BC8F1" w14:textId="77777777" w:rsidR="00A47DEE" w:rsidRPr="00B52534" w:rsidRDefault="00A47DEE" w:rsidP="00A47DEE">
      <w:pPr>
        <w:pStyle w:val="TM4"/>
        <w:tabs>
          <w:tab w:val="left" w:pos="1320"/>
          <w:tab w:val="right" w:leader="hyphen" w:pos="9062"/>
        </w:tabs>
        <w:rPr>
          <w:rFonts w:cstheme="minorBidi"/>
          <w:noProof/>
          <w:kern w:val="2"/>
          <w:sz w:val="24"/>
          <w:szCs w:val="24"/>
          <w14:ligatures w14:val="standardContextual"/>
        </w:rPr>
      </w:pPr>
      <w:hyperlink w:anchor="_Toc179577376" w:history="1">
        <w:r w:rsidRPr="00B52534">
          <w:rPr>
            <w:rStyle w:val="Lienhypertexte"/>
            <w:rFonts w:eastAsia="Calibri"/>
            <w:b/>
            <w:bCs/>
            <w:noProof/>
            <w:szCs w:val="22"/>
          </w:rPr>
          <w:t>5.1.6.</w:t>
        </w:r>
        <w:r w:rsidRPr="00B52534">
          <w:rPr>
            <w:rFonts w:cstheme="minorBidi"/>
            <w:noProof/>
            <w:kern w:val="2"/>
            <w:sz w:val="24"/>
            <w:szCs w:val="24"/>
            <w14:ligatures w14:val="standardContextual"/>
          </w:rPr>
          <w:tab/>
        </w:r>
        <w:r w:rsidRPr="00B52534">
          <w:rPr>
            <w:rStyle w:val="Lienhypertexte"/>
            <w:rFonts w:eastAsia="Calibri"/>
            <w:b/>
            <w:bCs/>
            <w:noProof/>
            <w:szCs w:val="22"/>
          </w:rPr>
          <w:t>Lacunes et obstacles liés à l'environnement naturel et institutionnel</w:t>
        </w:r>
        <w:r w:rsidRPr="00B52534">
          <w:rPr>
            <w:noProof/>
            <w:webHidden/>
            <w:szCs w:val="22"/>
          </w:rPr>
          <w:tab/>
        </w:r>
        <w:r w:rsidRPr="00B52534">
          <w:rPr>
            <w:noProof/>
            <w:webHidden/>
            <w:szCs w:val="22"/>
          </w:rPr>
          <w:fldChar w:fldCharType="begin"/>
        </w:r>
        <w:r w:rsidRPr="00B52534">
          <w:rPr>
            <w:noProof/>
            <w:webHidden/>
            <w:szCs w:val="22"/>
          </w:rPr>
          <w:instrText xml:space="preserve"> PAGEREF _Toc179577376 \h </w:instrText>
        </w:r>
        <w:r w:rsidRPr="00B52534">
          <w:rPr>
            <w:noProof/>
            <w:webHidden/>
            <w:szCs w:val="22"/>
          </w:rPr>
        </w:r>
        <w:r w:rsidRPr="00B52534">
          <w:rPr>
            <w:noProof/>
            <w:webHidden/>
            <w:szCs w:val="22"/>
          </w:rPr>
          <w:fldChar w:fldCharType="separate"/>
        </w:r>
        <w:r>
          <w:rPr>
            <w:noProof/>
            <w:webHidden/>
            <w:szCs w:val="22"/>
          </w:rPr>
          <w:t>32</w:t>
        </w:r>
        <w:r w:rsidRPr="00B52534">
          <w:rPr>
            <w:noProof/>
            <w:webHidden/>
            <w:szCs w:val="22"/>
          </w:rPr>
          <w:fldChar w:fldCharType="end"/>
        </w:r>
      </w:hyperlink>
    </w:p>
    <w:p w14:paraId="0C989F65" w14:textId="77777777" w:rsidR="00A47DEE" w:rsidRPr="00B52534" w:rsidRDefault="00A47DEE" w:rsidP="00A47DEE">
      <w:pPr>
        <w:pStyle w:val="TM4"/>
        <w:tabs>
          <w:tab w:val="left" w:pos="1320"/>
          <w:tab w:val="right" w:leader="hyphen" w:pos="9062"/>
        </w:tabs>
        <w:rPr>
          <w:rFonts w:cstheme="minorBidi"/>
          <w:noProof/>
          <w:kern w:val="2"/>
          <w:sz w:val="24"/>
          <w:szCs w:val="24"/>
          <w14:ligatures w14:val="standardContextual"/>
        </w:rPr>
      </w:pPr>
      <w:hyperlink w:anchor="_Toc179577377" w:history="1">
        <w:r w:rsidRPr="00B52534">
          <w:rPr>
            <w:rStyle w:val="Lienhypertexte"/>
            <w:rFonts w:eastAsia="Calibri"/>
            <w:b/>
            <w:bCs/>
            <w:noProof/>
            <w:szCs w:val="22"/>
          </w:rPr>
          <w:t>5.1.7.</w:t>
        </w:r>
        <w:r w:rsidRPr="00B52534">
          <w:rPr>
            <w:rFonts w:cstheme="minorBidi"/>
            <w:noProof/>
            <w:kern w:val="2"/>
            <w:sz w:val="24"/>
            <w:szCs w:val="24"/>
            <w14:ligatures w14:val="standardContextual"/>
          </w:rPr>
          <w:tab/>
        </w:r>
        <w:r w:rsidRPr="00B52534">
          <w:rPr>
            <w:rStyle w:val="Lienhypertexte"/>
            <w:rFonts w:eastAsia="Calibri"/>
            <w:b/>
            <w:bCs/>
            <w:noProof/>
            <w:szCs w:val="22"/>
          </w:rPr>
          <w:t>Lacunes et obstacles liés à la mise en œuvre</w:t>
        </w:r>
        <w:r w:rsidRPr="00B52534">
          <w:rPr>
            <w:noProof/>
            <w:webHidden/>
            <w:szCs w:val="22"/>
          </w:rPr>
          <w:tab/>
        </w:r>
        <w:r w:rsidRPr="00B52534">
          <w:rPr>
            <w:noProof/>
            <w:webHidden/>
            <w:szCs w:val="22"/>
          </w:rPr>
          <w:fldChar w:fldCharType="begin"/>
        </w:r>
        <w:r w:rsidRPr="00B52534">
          <w:rPr>
            <w:noProof/>
            <w:webHidden/>
            <w:szCs w:val="22"/>
          </w:rPr>
          <w:instrText xml:space="preserve"> PAGEREF _Toc179577377 \h </w:instrText>
        </w:r>
        <w:r w:rsidRPr="00B52534">
          <w:rPr>
            <w:noProof/>
            <w:webHidden/>
            <w:szCs w:val="22"/>
          </w:rPr>
        </w:r>
        <w:r w:rsidRPr="00B52534">
          <w:rPr>
            <w:noProof/>
            <w:webHidden/>
            <w:szCs w:val="22"/>
          </w:rPr>
          <w:fldChar w:fldCharType="separate"/>
        </w:r>
        <w:r>
          <w:rPr>
            <w:noProof/>
            <w:webHidden/>
            <w:szCs w:val="22"/>
          </w:rPr>
          <w:t>32</w:t>
        </w:r>
        <w:r w:rsidRPr="00B52534">
          <w:rPr>
            <w:noProof/>
            <w:webHidden/>
            <w:szCs w:val="22"/>
          </w:rPr>
          <w:fldChar w:fldCharType="end"/>
        </w:r>
      </w:hyperlink>
    </w:p>
    <w:p w14:paraId="5627A800" w14:textId="77777777" w:rsidR="00A47DEE" w:rsidRPr="00B52534" w:rsidRDefault="00A47DEE" w:rsidP="00A47DEE">
      <w:pPr>
        <w:pStyle w:val="TM4"/>
        <w:tabs>
          <w:tab w:val="left" w:pos="1320"/>
          <w:tab w:val="right" w:leader="hyphen" w:pos="9062"/>
        </w:tabs>
        <w:rPr>
          <w:rFonts w:cstheme="minorBidi"/>
          <w:noProof/>
          <w:kern w:val="2"/>
          <w:sz w:val="24"/>
          <w:szCs w:val="24"/>
          <w14:ligatures w14:val="standardContextual"/>
        </w:rPr>
      </w:pPr>
      <w:hyperlink w:anchor="_Toc179577378" w:history="1">
        <w:r w:rsidRPr="00B52534">
          <w:rPr>
            <w:rStyle w:val="Lienhypertexte"/>
            <w:rFonts w:eastAsia="Calibri"/>
            <w:b/>
            <w:bCs/>
            <w:noProof/>
            <w:szCs w:val="22"/>
          </w:rPr>
          <w:t>5.1.8.</w:t>
        </w:r>
        <w:r w:rsidRPr="00B52534">
          <w:rPr>
            <w:rFonts w:cstheme="minorBidi"/>
            <w:noProof/>
            <w:kern w:val="2"/>
            <w:sz w:val="24"/>
            <w:szCs w:val="24"/>
            <w14:ligatures w14:val="standardContextual"/>
          </w:rPr>
          <w:tab/>
        </w:r>
        <w:r w:rsidRPr="00B52534">
          <w:rPr>
            <w:rStyle w:val="Lienhypertexte"/>
            <w:rFonts w:eastAsia="Calibri"/>
            <w:b/>
            <w:bCs/>
            <w:noProof/>
            <w:szCs w:val="22"/>
          </w:rPr>
          <w:t>Obstacles en matière des données /Suivi-évaluation et capitalisation</w:t>
        </w:r>
        <w:r w:rsidRPr="00B52534">
          <w:rPr>
            <w:noProof/>
            <w:webHidden/>
            <w:szCs w:val="22"/>
          </w:rPr>
          <w:tab/>
        </w:r>
        <w:r w:rsidRPr="00B52534">
          <w:rPr>
            <w:noProof/>
            <w:webHidden/>
            <w:szCs w:val="22"/>
          </w:rPr>
          <w:fldChar w:fldCharType="begin"/>
        </w:r>
        <w:r w:rsidRPr="00B52534">
          <w:rPr>
            <w:noProof/>
            <w:webHidden/>
            <w:szCs w:val="22"/>
          </w:rPr>
          <w:instrText xml:space="preserve"> PAGEREF _Toc179577378 \h </w:instrText>
        </w:r>
        <w:r w:rsidRPr="00B52534">
          <w:rPr>
            <w:noProof/>
            <w:webHidden/>
            <w:szCs w:val="22"/>
          </w:rPr>
        </w:r>
        <w:r w:rsidRPr="00B52534">
          <w:rPr>
            <w:noProof/>
            <w:webHidden/>
            <w:szCs w:val="22"/>
          </w:rPr>
          <w:fldChar w:fldCharType="separate"/>
        </w:r>
        <w:r>
          <w:rPr>
            <w:noProof/>
            <w:webHidden/>
            <w:szCs w:val="22"/>
          </w:rPr>
          <w:t>33</w:t>
        </w:r>
        <w:r w:rsidRPr="00B52534">
          <w:rPr>
            <w:noProof/>
            <w:webHidden/>
            <w:szCs w:val="22"/>
          </w:rPr>
          <w:fldChar w:fldCharType="end"/>
        </w:r>
      </w:hyperlink>
    </w:p>
    <w:p w14:paraId="4A64FEB0" w14:textId="77777777" w:rsidR="00A47DEE" w:rsidRPr="00B52534" w:rsidRDefault="00A47DEE" w:rsidP="00A47DEE">
      <w:pPr>
        <w:pStyle w:val="TM4"/>
        <w:tabs>
          <w:tab w:val="left" w:pos="1320"/>
          <w:tab w:val="right" w:leader="hyphen" w:pos="9062"/>
        </w:tabs>
        <w:rPr>
          <w:rFonts w:cstheme="minorBidi"/>
          <w:noProof/>
          <w:kern w:val="2"/>
          <w:sz w:val="24"/>
          <w:szCs w:val="24"/>
          <w14:ligatures w14:val="standardContextual"/>
        </w:rPr>
      </w:pPr>
      <w:hyperlink w:anchor="_Toc179577379" w:history="1">
        <w:r w:rsidRPr="00B52534">
          <w:rPr>
            <w:rStyle w:val="Lienhypertexte"/>
            <w:rFonts w:eastAsia="Calibri"/>
            <w:b/>
            <w:bCs/>
            <w:noProof/>
            <w:szCs w:val="22"/>
          </w:rPr>
          <w:t>5.1.9.</w:t>
        </w:r>
        <w:r w:rsidRPr="00B52534">
          <w:rPr>
            <w:rFonts w:cstheme="minorBidi"/>
            <w:noProof/>
            <w:kern w:val="2"/>
            <w:sz w:val="24"/>
            <w:szCs w:val="24"/>
            <w14:ligatures w14:val="standardContextual"/>
          </w:rPr>
          <w:tab/>
        </w:r>
        <w:r w:rsidRPr="00B52534">
          <w:rPr>
            <w:rStyle w:val="Lienhypertexte"/>
            <w:rFonts w:eastAsia="Calibri"/>
            <w:b/>
            <w:bCs/>
            <w:noProof/>
            <w:szCs w:val="22"/>
          </w:rPr>
          <w:t>Obstacles en matière de capacité financière</w:t>
        </w:r>
        <w:r w:rsidRPr="00B52534">
          <w:rPr>
            <w:noProof/>
            <w:webHidden/>
            <w:szCs w:val="22"/>
          </w:rPr>
          <w:tab/>
        </w:r>
        <w:r w:rsidRPr="00B52534">
          <w:rPr>
            <w:noProof/>
            <w:webHidden/>
            <w:szCs w:val="22"/>
          </w:rPr>
          <w:fldChar w:fldCharType="begin"/>
        </w:r>
        <w:r w:rsidRPr="00B52534">
          <w:rPr>
            <w:noProof/>
            <w:webHidden/>
            <w:szCs w:val="22"/>
          </w:rPr>
          <w:instrText xml:space="preserve"> PAGEREF _Toc179577379 \h </w:instrText>
        </w:r>
        <w:r w:rsidRPr="00B52534">
          <w:rPr>
            <w:noProof/>
            <w:webHidden/>
            <w:szCs w:val="22"/>
          </w:rPr>
        </w:r>
        <w:r w:rsidRPr="00B52534">
          <w:rPr>
            <w:noProof/>
            <w:webHidden/>
            <w:szCs w:val="22"/>
          </w:rPr>
          <w:fldChar w:fldCharType="separate"/>
        </w:r>
        <w:r>
          <w:rPr>
            <w:noProof/>
            <w:webHidden/>
            <w:szCs w:val="22"/>
          </w:rPr>
          <w:t>33</w:t>
        </w:r>
        <w:r w:rsidRPr="00B52534">
          <w:rPr>
            <w:noProof/>
            <w:webHidden/>
            <w:szCs w:val="22"/>
          </w:rPr>
          <w:fldChar w:fldCharType="end"/>
        </w:r>
      </w:hyperlink>
    </w:p>
    <w:p w14:paraId="1F8B74FD" w14:textId="77777777" w:rsidR="00A47DEE" w:rsidRPr="00B52534" w:rsidRDefault="00A47DEE" w:rsidP="00A47DEE">
      <w:pPr>
        <w:pStyle w:val="TM1"/>
        <w:rPr>
          <w:rFonts w:cstheme="minorBidi"/>
          <w:b/>
          <w:bCs/>
          <w:caps/>
          <w:kern w:val="2"/>
          <w:sz w:val="24"/>
          <w:szCs w:val="24"/>
          <w14:ligatures w14:val="standardContextual"/>
        </w:rPr>
      </w:pPr>
      <w:hyperlink w:anchor="_Toc179577380" w:history="1">
        <w:r w:rsidRPr="00B52534">
          <w:rPr>
            <w:rStyle w:val="Lienhypertexte"/>
            <w:sz w:val="24"/>
            <w:szCs w:val="32"/>
          </w:rPr>
          <w:t>REFERENCES BIBLIOGRAPHIQUES</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_Toc179577380 \h </w:instrText>
        </w:r>
        <w:r w:rsidRPr="00B52534">
          <w:rPr>
            <w:webHidden/>
            <w:sz w:val="24"/>
            <w:szCs w:val="32"/>
          </w:rPr>
        </w:r>
        <w:r w:rsidRPr="00B52534">
          <w:rPr>
            <w:webHidden/>
            <w:sz w:val="24"/>
            <w:szCs w:val="32"/>
          </w:rPr>
          <w:fldChar w:fldCharType="separate"/>
        </w:r>
        <w:r>
          <w:rPr>
            <w:webHidden/>
            <w:sz w:val="24"/>
            <w:szCs w:val="32"/>
          </w:rPr>
          <w:t>34</w:t>
        </w:r>
        <w:r w:rsidRPr="00B52534">
          <w:rPr>
            <w:webHidden/>
            <w:sz w:val="24"/>
            <w:szCs w:val="32"/>
          </w:rPr>
          <w:fldChar w:fldCharType="end"/>
        </w:r>
      </w:hyperlink>
    </w:p>
    <w:p w14:paraId="4413D996" w14:textId="77777777" w:rsidR="00A47DEE" w:rsidRPr="00B52534" w:rsidRDefault="00A47DEE" w:rsidP="00A47DEE">
      <w:pPr>
        <w:pStyle w:val="TM1"/>
        <w:rPr>
          <w:rFonts w:cstheme="minorBidi"/>
          <w:b/>
          <w:bCs/>
          <w:caps/>
          <w:kern w:val="2"/>
          <w:sz w:val="24"/>
          <w:szCs w:val="24"/>
          <w14:ligatures w14:val="standardContextual"/>
        </w:rPr>
      </w:pPr>
      <w:hyperlink w:anchor="_Toc179577381" w:history="1">
        <w:r w:rsidRPr="00B52534">
          <w:rPr>
            <w:rStyle w:val="Lienhypertexte"/>
            <w:sz w:val="24"/>
            <w:szCs w:val="32"/>
          </w:rPr>
          <w:t>ANNEXES</w:t>
        </w:r>
        <w:r w:rsidRPr="00B52534">
          <w:rPr>
            <w:webHidden/>
            <w:sz w:val="24"/>
            <w:szCs w:val="32"/>
          </w:rPr>
          <w:tab/>
        </w:r>
        <w:r w:rsidRPr="00B52534">
          <w:rPr>
            <w:webHidden/>
            <w:sz w:val="24"/>
            <w:szCs w:val="32"/>
          </w:rPr>
          <w:fldChar w:fldCharType="begin"/>
        </w:r>
        <w:r w:rsidRPr="00B52534">
          <w:rPr>
            <w:webHidden/>
            <w:sz w:val="24"/>
            <w:szCs w:val="32"/>
          </w:rPr>
          <w:instrText xml:space="preserve"> PAGEREF _Toc179577381 \h </w:instrText>
        </w:r>
        <w:r w:rsidRPr="00B52534">
          <w:rPr>
            <w:webHidden/>
            <w:sz w:val="24"/>
            <w:szCs w:val="32"/>
          </w:rPr>
        </w:r>
        <w:r w:rsidRPr="00B52534">
          <w:rPr>
            <w:webHidden/>
            <w:sz w:val="24"/>
            <w:szCs w:val="32"/>
          </w:rPr>
          <w:fldChar w:fldCharType="separate"/>
        </w:r>
        <w:r>
          <w:rPr>
            <w:webHidden/>
            <w:sz w:val="24"/>
            <w:szCs w:val="32"/>
          </w:rPr>
          <w:t>36</w:t>
        </w:r>
        <w:r w:rsidRPr="00B52534">
          <w:rPr>
            <w:webHidden/>
            <w:sz w:val="24"/>
            <w:szCs w:val="32"/>
          </w:rPr>
          <w:fldChar w:fldCharType="end"/>
        </w:r>
      </w:hyperlink>
    </w:p>
    <w:p w14:paraId="488F3ADD" w14:textId="77777777" w:rsidR="00A47DEE" w:rsidRPr="00B52534" w:rsidRDefault="00A47DEE" w:rsidP="00A47DEE">
      <w:pPr>
        <w:pStyle w:val="TM2"/>
        <w:tabs>
          <w:tab w:val="right" w:leader="hyphen" w:pos="9062"/>
        </w:tabs>
        <w:rPr>
          <w:smallCaps/>
          <w:noProof/>
          <w:kern w:val="2"/>
          <w:sz w:val="24"/>
          <w14:ligatures w14:val="standardContextual"/>
        </w:rPr>
      </w:pPr>
      <w:hyperlink w:anchor="_Toc179577382" w:history="1">
        <w:r w:rsidRPr="00B52534">
          <w:rPr>
            <w:rStyle w:val="Lienhypertexte"/>
            <w:rFonts w:eastAsia="MS Gothic"/>
            <w:b/>
            <w:bCs/>
            <w:noProof/>
            <w:szCs w:val="28"/>
          </w:rPr>
          <w:t>Annexe 1 : Evolution de la superficie (ha) par typologie et type de cuture</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_Toc179577382 \h </w:instrText>
        </w:r>
        <w:r w:rsidRPr="00B52534">
          <w:rPr>
            <w:noProof/>
            <w:webHidden/>
            <w:szCs w:val="28"/>
          </w:rPr>
        </w:r>
        <w:r w:rsidRPr="00B52534">
          <w:rPr>
            <w:noProof/>
            <w:webHidden/>
            <w:szCs w:val="28"/>
          </w:rPr>
          <w:fldChar w:fldCharType="separate"/>
        </w:r>
        <w:r>
          <w:rPr>
            <w:noProof/>
            <w:webHidden/>
            <w:szCs w:val="28"/>
          </w:rPr>
          <w:t>37</w:t>
        </w:r>
        <w:r w:rsidRPr="00B52534">
          <w:rPr>
            <w:noProof/>
            <w:webHidden/>
            <w:szCs w:val="28"/>
          </w:rPr>
          <w:fldChar w:fldCharType="end"/>
        </w:r>
      </w:hyperlink>
    </w:p>
    <w:p w14:paraId="39D2154A" w14:textId="77777777" w:rsidR="00A47DEE" w:rsidRPr="00B52534" w:rsidRDefault="00A47DEE" w:rsidP="00A47DEE">
      <w:pPr>
        <w:pStyle w:val="TM2"/>
        <w:tabs>
          <w:tab w:val="right" w:leader="hyphen" w:pos="9062"/>
        </w:tabs>
        <w:rPr>
          <w:smallCaps/>
          <w:noProof/>
          <w:kern w:val="2"/>
          <w:sz w:val="24"/>
          <w14:ligatures w14:val="standardContextual"/>
        </w:rPr>
      </w:pPr>
      <w:hyperlink w:anchor="_Toc179577383" w:history="1">
        <w:r w:rsidRPr="00B52534">
          <w:rPr>
            <w:rStyle w:val="Lienhypertexte"/>
            <w:rFonts w:eastAsia="MS Gothic"/>
            <w:b/>
            <w:bCs/>
            <w:noProof/>
            <w:szCs w:val="28"/>
          </w:rPr>
          <w:t>Annexe 2 : Evolution de la production brute en tonnes par typologie et type de cuture</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_Toc179577383 \h </w:instrText>
        </w:r>
        <w:r w:rsidRPr="00B52534">
          <w:rPr>
            <w:noProof/>
            <w:webHidden/>
            <w:szCs w:val="28"/>
          </w:rPr>
        </w:r>
        <w:r w:rsidRPr="00B52534">
          <w:rPr>
            <w:noProof/>
            <w:webHidden/>
            <w:szCs w:val="28"/>
          </w:rPr>
          <w:fldChar w:fldCharType="separate"/>
        </w:r>
        <w:r>
          <w:rPr>
            <w:noProof/>
            <w:webHidden/>
            <w:szCs w:val="28"/>
          </w:rPr>
          <w:t>37</w:t>
        </w:r>
        <w:r w:rsidRPr="00B52534">
          <w:rPr>
            <w:noProof/>
            <w:webHidden/>
            <w:szCs w:val="28"/>
          </w:rPr>
          <w:fldChar w:fldCharType="end"/>
        </w:r>
      </w:hyperlink>
    </w:p>
    <w:p w14:paraId="4B878C07" w14:textId="77777777" w:rsidR="00A47DEE" w:rsidRPr="00B52534" w:rsidRDefault="00A47DEE" w:rsidP="00A47DEE">
      <w:pPr>
        <w:pStyle w:val="TM2"/>
        <w:tabs>
          <w:tab w:val="right" w:leader="hyphen" w:pos="9062"/>
        </w:tabs>
        <w:rPr>
          <w:smallCaps/>
          <w:noProof/>
          <w:kern w:val="2"/>
          <w:sz w:val="24"/>
          <w14:ligatures w14:val="standardContextual"/>
        </w:rPr>
      </w:pPr>
      <w:hyperlink w:anchor="_Toc179577384" w:history="1">
        <w:r w:rsidRPr="00B52534">
          <w:rPr>
            <w:rStyle w:val="Lienhypertexte"/>
            <w:rFonts w:eastAsia="MS Gothic"/>
            <w:b/>
            <w:bCs/>
            <w:noProof/>
            <w:szCs w:val="28"/>
          </w:rPr>
          <w:t>Annexe 3 : Fiches techniques de synthèse des filières agricoles en Mauritanie</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_Toc179577384 \h </w:instrText>
        </w:r>
        <w:r w:rsidRPr="00B52534">
          <w:rPr>
            <w:noProof/>
            <w:webHidden/>
            <w:szCs w:val="28"/>
          </w:rPr>
        </w:r>
        <w:r w:rsidRPr="00B52534">
          <w:rPr>
            <w:noProof/>
            <w:webHidden/>
            <w:szCs w:val="28"/>
          </w:rPr>
          <w:fldChar w:fldCharType="separate"/>
        </w:r>
        <w:r>
          <w:rPr>
            <w:noProof/>
            <w:webHidden/>
            <w:szCs w:val="28"/>
          </w:rPr>
          <w:t>39</w:t>
        </w:r>
        <w:r w:rsidRPr="00B52534">
          <w:rPr>
            <w:noProof/>
            <w:webHidden/>
            <w:szCs w:val="28"/>
          </w:rPr>
          <w:fldChar w:fldCharType="end"/>
        </w:r>
      </w:hyperlink>
    </w:p>
    <w:p w14:paraId="2A13C1B6" w14:textId="77777777" w:rsidR="00A47DEE" w:rsidRPr="00B52534" w:rsidRDefault="00A47DEE" w:rsidP="00A47DEE">
      <w:pPr>
        <w:pStyle w:val="TM2"/>
        <w:tabs>
          <w:tab w:val="right" w:leader="hyphen" w:pos="9062"/>
        </w:tabs>
        <w:rPr>
          <w:smallCaps/>
          <w:noProof/>
          <w:kern w:val="2"/>
          <w:sz w:val="24"/>
          <w14:ligatures w14:val="standardContextual"/>
        </w:rPr>
      </w:pPr>
      <w:hyperlink w:anchor="_Toc179577385" w:history="1">
        <w:r w:rsidRPr="00B52534">
          <w:rPr>
            <w:rStyle w:val="Lienhypertexte"/>
            <w:rFonts w:eastAsia="MS Gothic"/>
            <w:b/>
            <w:bCs/>
            <w:noProof/>
            <w:szCs w:val="28"/>
          </w:rPr>
          <w:t>Annexe 3 : Hiérarchisation des risques climatiques majeurs</w:t>
        </w:r>
        <w:r w:rsidRPr="00B52534">
          <w:rPr>
            <w:noProof/>
            <w:webHidden/>
            <w:szCs w:val="28"/>
          </w:rPr>
          <w:tab/>
        </w:r>
        <w:r w:rsidRPr="00B52534">
          <w:rPr>
            <w:noProof/>
            <w:webHidden/>
            <w:szCs w:val="28"/>
          </w:rPr>
          <w:fldChar w:fldCharType="begin"/>
        </w:r>
        <w:r w:rsidRPr="00B52534">
          <w:rPr>
            <w:noProof/>
            <w:webHidden/>
            <w:szCs w:val="28"/>
          </w:rPr>
          <w:instrText xml:space="preserve"> PAGEREF _Toc179577385 \h </w:instrText>
        </w:r>
        <w:r w:rsidRPr="00B52534">
          <w:rPr>
            <w:noProof/>
            <w:webHidden/>
            <w:szCs w:val="28"/>
          </w:rPr>
        </w:r>
        <w:r w:rsidRPr="00B52534">
          <w:rPr>
            <w:noProof/>
            <w:webHidden/>
            <w:szCs w:val="28"/>
          </w:rPr>
          <w:fldChar w:fldCharType="separate"/>
        </w:r>
        <w:r>
          <w:rPr>
            <w:noProof/>
            <w:webHidden/>
            <w:szCs w:val="28"/>
          </w:rPr>
          <w:t>46</w:t>
        </w:r>
        <w:r w:rsidRPr="00B52534">
          <w:rPr>
            <w:noProof/>
            <w:webHidden/>
            <w:szCs w:val="28"/>
          </w:rPr>
          <w:fldChar w:fldCharType="end"/>
        </w:r>
      </w:hyperlink>
    </w:p>
    <w:p w14:paraId="52FB1C70" w14:textId="77777777" w:rsidR="00A47DEE" w:rsidRDefault="00A47DEE" w:rsidP="00A47DEE">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rPr>
          <w:rFonts w:cstheme="minorHAnsi"/>
          <w:sz w:val="28"/>
          <w:szCs w:val="28"/>
        </w:rPr>
      </w:pPr>
      <w:r w:rsidRPr="00B52534">
        <w:rPr>
          <w:rFonts w:cstheme="minorHAnsi"/>
          <w:sz w:val="28"/>
          <w:szCs w:val="28"/>
        </w:rPr>
        <w:fldChar w:fldCharType="end"/>
      </w:r>
      <w:bookmarkStart w:id="277" w:name="_Toc45914748"/>
      <w:bookmarkStart w:id="278" w:name="_Toc51580697"/>
      <w:bookmarkStart w:id="279" w:name="_Toc179577344"/>
      <w:bookmarkStart w:id="280" w:name="_Toc126511287"/>
      <w:bookmarkStart w:id="281" w:name="_Toc44153771"/>
      <w:bookmarkStart w:id="282" w:name="_Toc18580848"/>
      <w:bookmarkEnd w:id="272"/>
      <w:bookmarkEnd w:id="273"/>
      <w:bookmarkEnd w:id="274"/>
    </w:p>
    <w:p w14:paraId="067ECCCF" w14:textId="77777777" w:rsidR="00A47DEE" w:rsidRDefault="00A47DEE" w:rsidP="00A47DEE">
      <w:pPr>
        <w:rPr>
          <w:rFonts w:asciiTheme="majorHAnsi" w:eastAsiaTheme="majorEastAsia" w:hAnsiTheme="majorHAnsi" w:cstheme="minorHAnsi"/>
          <w:color w:val="2F5496" w:themeColor="accent1" w:themeShade="BF"/>
          <w:sz w:val="28"/>
          <w:szCs w:val="28"/>
        </w:rPr>
      </w:pPr>
    </w:p>
    <w:p w14:paraId="4983C5B0" w14:textId="77777777" w:rsidR="00A47DEE" w:rsidRPr="00895810" w:rsidRDefault="00A47DEE" w:rsidP="00A47DEE">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rPr>
          <w:rFonts w:asciiTheme="minorHAnsi" w:hAnsiTheme="minorHAnsi" w:cstheme="minorHAnsi"/>
          <w:b/>
          <w:bCs/>
          <w:color w:val="FFFFFF" w:themeColor="background1"/>
          <w:sz w:val="30"/>
          <w:szCs w:val="30"/>
        </w:rPr>
      </w:pPr>
      <w:r w:rsidRPr="00895810">
        <w:rPr>
          <w:rFonts w:asciiTheme="minorHAnsi" w:hAnsiTheme="minorHAnsi" w:cstheme="minorHAnsi"/>
          <w:b/>
          <w:bCs/>
          <w:color w:val="FFFFFF" w:themeColor="background1"/>
          <w:sz w:val="30"/>
          <w:szCs w:val="30"/>
        </w:rPr>
        <w:t>RESUME EXECUTIF</w:t>
      </w:r>
      <w:bookmarkEnd w:id="277"/>
      <w:bookmarkEnd w:id="278"/>
      <w:bookmarkEnd w:id="279"/>
      <w:r w:rsidRPr="00895810">
        <w:rPr>
          <w:rFonts w:asciiTheme="minorHAnsi" w:hAnsiTheme="minorHAnsi" w:cstheme="minorHAnsi"/>
          <w:b/>
          <w:bCs/>
          <w:color w:val="FFFFFF" w:themeColor="background1"/>
          <w:sz w:val="30"/>
          <w:szCs w:val="30"/>
        </w:rPr>
        <w:t xml:space="preserve"> </w:t>
      </w:r>
    </w:p>
    <w:p w14:paraId="5F43DC62" w14:textId="77777777" w:rsidR="00A47DEE" w:rsidRPr="001433C6" w:rsidRDefault="00A47DEE" w:rsidP="00A47DEE">
      <w:pPr>
        <w:spacing w:before="240" w:after="0"/>
        <w:jc w:val="both"/>
        <w:rPr>
          <w:rFonts w:eastAsia="Calibri" w:cstheme="minorHAnsi"/>
          <w:i/>
          <w:iCs/>
        </w:rPr>
      </w:pPr>
      <w:r w:rsidRPr="001433C6">
        <w:rPr>
          <w:rFonts w:eastAsia="Calibri" w:cstheme="minorHAnsi"/>
          <w:i/>
          <w:iCs/>
        </w:rPr>
        <w:t xml:space="preserve">La présente étude porte sur le secteur de l’agriculture commanditée dans le cadre de la mise en œuvre du projet CN5. L’objectif global de cette étude consiste à appuyer l’Unité de Gestion du Projet (UGP) dans le processus de formulation du plan national d’adaptation au changement climatique. </w:t>
      </w:r>
    </w:p>
    <w:p w14:paraId="496A8793" w14:textId="77777777" w:rsidR="00A47DEE" w:rsidRPr="001433C6" w:rsidRDefault="00A47DEE" w:rsidP="00A47DEE">
      <w:pPr>
        <w:autoSpaceDE w:val="0"/>
        <w:autoSpaceDN w:val="0"/>
        <w:adjustRightInd w:val="0"/>
        <w:spacing w:after="0"/>
        <w:jc w:val="lowKashida"/>
        <w:rPr>
          <w:rFonts w:eastAsia="Calibri" w:cstheme="minorHAnsi"/>
          <w:i/>
          <w:iCs/>
        </w:rPr>
      </w:pPr>
      <w:r w:rsidRPr="001433C6">
        <w:rPr>
          <w:rFonts w:eastAsia="Calibri" w:cstheme="minorHAnsi"/>
          <w:i/>
          <w:iCs/>
        </w:rPr>
        <w:t xml:space="preserve">Le document produit est structuré en 04 parties, une liste de références bibliographiques et des annexes. </w:t>
      </w:r>
    </w:p>
    <w:p w14:paraId="16DFE26E" w14:textId="77777777" w:rsidR="00A47DEE" w:rsidRPr="001433C6" w:rsidRDefault="00A47DEE" w:rsidP="00A47DEE">
      <w:pPr>
        <w:rPr>
          <w:rFonts w:eastAsia="Calibri" w:cstheme="minorHAnsi"/>
          <w:b/>
          <w:bCs/>
          <w:i/>
          <w:iCs/>
          <w:sz w:val="24"/>
          <w:szCs w:val="24"/>
        </w:rPr>
      </w:pPr>
      <w:bookmarkStart w:id="283" w:name="_Hlk179575348"/>
      <w:r w:rsidRPr="001433C6">
        <w:rPr>
          <w:rFonts w:eastAsia="Calibri" w:cstheme="minorHAnsi"/>
          <w:b/>
          <w:bCs/>
          <w:i/>
          <w:iCs/>
          <w:sz w:val="24"/>
          <w:szCs w:val="24"/>
        </w:rPr>
        <w:t>PARTIE I : APPROCHE METHODOLOGIQUE</w:t>
      </w:r>
    </w:p>
    <w:bookmarkEnd w:id="283"/>
    <w:p w14:paraId="25FE4924" w14:textId="77777777" w:rsidR="00A47DEE" w:rsidRPr="001433C6" w:rsidRDefault="00A47DEE" w:rsidP="00A47DEE">
      <w:pPr>
        <w:autoSpaceDE w:val="0"/>
        <w:autoSpaceDN w:val="0"/>
        <w:adjustRightInd w:val="0"/>
        <w:spacing w:after="0"/>
        <w:jc w:val="lowKashida"/>
        <w:rPr>
          <w:rFonts w:eastAsia="Calibri" w:cstheme="minorHAnsi"/>
          <w:i/>
          <w:iCs/>
          <w:noProof/>
        </w:rPr>
      </w:pPr>
      <w:r w:rsidRPr="001433C6">
        <w:rPr>
          <w:rFonts w:eastAsia="Calibri" w:cstheme="minorHAnsi"/>
          <w:b/>
          <w:bCs/>
          <w:i/>
          <w:iCs/>
          <w:noProof/>
        </w:rPr>
        <w:t xml:space="preserve"> </w:t>
      </w:r>
      <w:r w:rsidRPr="001433C6">
        <w:rPr>
          <w:rFonts w:eastAsia="Calibri" w:cstheme="minorHAnsi"/>
          <w:i/>
          <w:iCs/>
          <w:noProof/>
        </w:rPr>
        <w:t>La méthodologie adoptée comporte</w:t>
      </w:r>
      <w:r w:rsidRPr="001433C6">
        <w:rPr>
          <w:rFonts w:eastAsia="Calibri" w:cstheme="minorHAnsi"/>
          <w:i/>
          <w:iCs/>
        </w:rPr>
        <w:t> les étapes suivantes</w:t>
      </w:r>
      <w:r w:rsidRPr="001433C6">
        <w:rPr>
          <w:rFonts w:eastAsia="Calibri" w:cstheme="minorHAnsi"/>
          <w:i/>
          <w:iCs/>
          <w:noProof/>
        </w:rPr>
        <w:t xml:space="preserve"> :</w:t>
      </w:r>
    </w:p>
    <w:p w14:paraId="27489FE1" w14:textId="77777777" w:rsidR="00A47DEE" w:rsidRPr="001433C6" w:rsidRDefault="00A47DEE" w:rsidP="00A47DEE">
      <w:pPr>
        <w:numPr>
          <w:ilvl w:val="0"/>
          <w:numId w:val="381"/>
        </w:numPr>
        <w:autoSpaceDE w:val="0"/>
        <w:autoSpaceDN w:val="0"/>
        <w:adjustRightInd w:val="0"/>
        <w:ind w:left="567"/>
        <w:contextualSpacing/>
        <w:jc w:val="lowKashida"/>
        <w:rPr>
          <w:rFonts w:eastAsia="Calibri" w:cstheme="minorHAnsi"/>
          <w:i/>
          <w:iCs/>
          <w:noProof/>
        </w:rPr>
      </w:pPr>
      <w:r w:rsidRPr="001433C6">
        <w:rPr>
          <w:rFonts w:eastAsia="Calibri" w:cstheme="minorHAnsi"/>
          <w:i/>
          <w:iCs/>
          <w:noProof/>
        </w:rPr>
        <w:t>La recherche documentaire - Les principaux documents et sources de données exploités sont (i) les guides techniques des CN , (ii) les documents de planification du développement (SCAPP, SDSR, PNDA), (iii) Les rapports de mise en œuvre du plan d’actions de la SCAPP (RAMO) ; (iv)  les PTBA des programmes et projets  et ; (v) les documents nationaux sur les changements climatiques (CDN, CNs, EBT et PPM au GCF).</w:t>
      </w:r>
    </w:p>
    <w:p w14:paraId="282A3E40" w14:textId="77777777" w:rsidR="00A47DEE" w:rsidRPr="001433C6" w:rsidRDefault="00A47DEE" w:rsidP="00A47DEE">
      <w:pPr>
        <w:numPr>
          <w:ilvl w:val="0"/>
          <w:numId w:val="381"/>
        </w:numPr>
        <w:autoSpaceDE w:val="0"/>
        <w:autoSpaceDN w:val="0"/>
        <w:adjustRightInd w:val="0"/>
        <w:ind w:left="567"/>
        <w:contextualSpacing/>
        <w:jc w:val="lowKashida"/>
        <w:rPr>
          <w:rFonts w:eastAsia="Calibri" w:cstheme="minorHAnsi"/>
          <w:i/>
          <w:iCs/>
          <w:noProof/>
        </w:rPr>
      </w:pPr>
      <w:r w:rsidRPr="001433C6">
        <w:rPr>
          <w:rFonts w:eastAsia="Calibri" w:cstheme="minorHAnsi"/>
          <w:i/>
          <w:iCs/>
          <w:noProof/>
        </w:rPr>
        <w:t>Divers outils d’analyse ont été utilisés : Matrice ou cadre d’analyse des stratégies/plans sectoriels face aux enjeux du changement et outils d’analyse de la vulnérabilité aux changements climatiques etc.</w:t>
      </w:r>
    </w:p>
    <w:p w14:paraId="77A2E9F9" w14:textId="77777777" w:rsidR="00A47DEE" w:rsidRPr="001433C6" w:rsidRDefault="00A47DEE" w:rsidP="00A47DEE">
      <w:pPr>
        <w:numPr>
          <w:ilvl w:val="0"/>
          <w:numId w:val="381"/>
        </w:numPr>
        <w:autoSpaceDE w:val="0"/>
        <w:autoSpaceDN w:val="0"/>
        <w:adjustRightInd w:val="0"/>
        <w:ind w:left="567"/>
        <w:contextualSpacing/>
        <w:jc w:val="lowKashida"/>
        <w:rPr>
          <w:rFonts w:eastAsia="Calibri" w:cstheme="minorHAnsi"/>
          <w:i/>
          <w:iCs/>
          <w:noProof/>
        </w:rPr>
      </w:pPr>
      <w:r w:rsidRPr="001433C6">
        <w:rPr>
          <w:rFonts w:eastAsia="Times New Roman" w:cstheme="minorHAnsi"/>
          <w:i/>
          <w:iCs/>
        </w:rPr>
        <w:t>Une rencontre regroupant le Coordinateur de l’UGP et le TL adaptation ;</w:t>
      </w:r>
    </w:p>
    <w:p w14:paraId="3FF6F5A9" w14:textId="77777777" w:rsidR="00A47DEE" w:rsidRPr="001433C6" w:rsidRDefault="00A47DEE" w:rsidP="00A47DEE">
      <w:pPr>
        <w:numPr>
          <w:ilvl w:val="0"/>
          <w:numId w:val="381"/>
        </w:numPr>
        <w:autoSpaceDE w:val="0"/>
        <w:autoSpaceDN w:val="0"/>
        <w:adjustRightInd w:val="0"/>
        <w:ind w:left="567"/>
        <w:contextualSpacing/>
        <w:jc w:val="lowKashida"/>
        <w:rPr>
          <w:rFonts w:eastAsia="Calibri" w:cstheme="minorHAnsi"/>
          <w:i/>
          <w:iCs/>
          <w:noProof/>
        </w:rPr>
      </w:pPr>
      <w:r w:rsidRPr="001433C6">
        <w:rPr>
          <w:rFonts w:eastAsia="Calibri" w:cstheme="minorHAnsi"/>
          <w:i/>
          <w:iCs/>
          <w:noProof/>
        </w:rPr>
        <w:t xml:space="preserve">Des entretiens ont été tenus avec des personnes ressources, de responsables et cadres techniques d’institutions nationales (DSCSE, DAR, DDFA, delegations regionales etc..) , et d’organisations de la société civile dont les opinions ont pu enrichir les analyses présentées dans ce rapport. </w:t>
      </w:r>
    </w:p>
    <w:p w14:paraId="003B2625" w14:textId="77777777" w:rsidR="00A47DEE" w:rsidRPr="001433C6" w:rsidRDefault="00A47DEE" w:rsidP="00A47DEE">
      <w:pPr>
        <w:numPr>
          <w:ilvl w:val="0"/>
          <w:numId w:val="381"/>
        </w:numPr>
        <w:autoSpaceDE w:val="0"/>
        <w:autoSpaceDN w:val="0"/>
        <w:adjustRightInd w:val="0"/>
        <w:ind w:left="567"/>
        <w:contextualSpacing/>
        <w:jc w:val="lowKashida"/>
        <w:rPr>
          <w:rFonts w:eastAsia="Calibri" w:cstheme="minorHAnsi"/>
          <w:i/>
          <w:iCs/>
          <w:noProof/>
        </w:rPr>
      </w:pPr>
      <w:r w:rsidRPr="001433C6">
        <w:rPr>
          <w:rFonts w:eastAsia="Calibri" w:cstheme="minorHAnsi"/>
          <w:i/>
          <w:iCs/>
          <w:noProof/>
        </w:rPr>
        <w:t>Le rapport provisoire est élaboré par l’expert agriculture et soumis à l’appréciation et l’amendement des autres membres de l’équipe sectoriel  ( PFS- CC/MASA). Le rapport provisoire adopté est déposé au commanditaire dans les conditions contractuelles.</w:t>
      </w:r>
    </w:p>
    <w:p w14:paraId="7833136F" w14:textId="77777777" w:rsidR="00A47DEE" w:rsidRPr="001433C6" w:rsidRDefault="00A47DEE" w:rsidP="00A47DEE">
      <w:pPr>
        <w:autoSpaceDE w:val="0"/>
        <w:autoSpaceDN w:val="0"/>
        <w:adjustRightInd w:val="0"/>
        <w:ind w:left="567"/>
        <w:contextualSpacing/>
        <w:jc w:val="lowKashida"/>
        <w:rPr>
          <w:rFonts w:eastAsia="Calibri" w:cstheme="minorHAnsi"/>
          <w:i/>
          <w:iCs/>
          <w:noProof/>
        </w:rPr>
      </w:pPr>
    </w:p>
    <w:p w14:paraId="5A7D79CB" w14:textId="77777777" w:rsidR="00A47DEE" w:rsidRPr="001433C6" w:rsidRDefault="00A47DEE" w:rsidP="00A47DEE">
      <w:pPr>
        <w:rPr>
          <w:rFonts w:eastAsia="Calibri" w:cstheme="minorHAnsi"/>
          <w:b/>
          <w:bCs/>
          <w:i/>
          <w:iCs/>
          <w:sz w:val="24"/>
          <w:szCs w:val="24"/>
        </w:rPr>
      </w:pPr>
      <w:r w:rsidRPr="001433C6">
        <w:rPr>
          <w:rFonts w:eastAsia="Calibri" w:cstheme="minorHAnsi"/>
          <w:b/>
          <w:bCs/>
          <w:i/>
          <w:iCs/>
          <w:sz w:val="24"/>
          <w:szCs w:val="24"/>
        </w:rPr>
        <w:t>PARTIE II : ETAT DES LIEUX DU SECTEUR</w:t>
      </w:r>
    </w:p>
    <w:p w14:paraId="1AB63B56" w14:textId="77777777" w:rsidR="00A47DEE" w:rsidRPr="001433C6" w:rsidRDefault="00A47DEE" w:rsidP="00A47DEE">
      <w:pPr>
        <w:autoSpaceDE w:val="0"/>
        <w:autoSpaceDN w:val="0"/>
        <w:adjustRightInd w:val="0"/>
        <w:spacing w:before="120" w:after="120"/>
        <w:jc w:val="both"/>
        <w:rPr>
          <w:rFonts w:eastAsia="Calibri" w:cstheme="minorHAnsi"/>
          <w:i/>
          <w:iCs/>
          <w:noProof/>
        </w:rPr>
      </w:pPr>
      <w:r w:rsidRPr="001433C6">
        <w:rPr>
          <w:rFonts w:eastAsia="Calibri" w:cstheme="minorHAnsi"/>
          <w:i/>
          <w:iCs/>
          <w:noProof/>
        </w:rPr>
        <w:t>Le  secteur assure deux rôles dans le développement du pays ; l’un économique à travers son apport à la création de valeur ajoutée (accélération de la croissance) et l’autre social au niveau du milieu rural qui constitue la principale zone de concentration des pauvres en Mauritanie.</w:t>
      </w:r>
    </w:p>
    <w:p w14:paraId="5C0F1CDF" w14:textId="77777777" w:rsidR="00A47DEE" w:rsidRPr="001433C6" w:rsidRDefault="00A47DEE" w:rsidP="00A47DEE">
      <w:pPr>
        <w:autoSpaceDE w:val="0"/>
        <w:autoSpaceDN w:val="0"/>
        <w:adjustRightInd w:val="0"/>
        <w:spacing w:before="120" w:after="120"/>
        <w:jc w:val="both"/>
        <w:rPr>
          <w:rFonts w:eastAsia="Calibri" w:cstheme="minorHAnsi"/>
          <w:i/>
          <w:iCs/>
          <w:noProof/>
        </w:rPr>
      </w:pPr>
      <w:r w:rsidRPr="001433C6">
        <w:rPr>
          <w:rFonts w:eastAsia="Calibri" w:cstheme="minorHAnsi"/>
          <w:b/>
          <w:bCs/>
          <w:i/>
          <w:iCs/>
          <w:noProof/>
        </w:rPr>
        <w:t>Les systèmes agricoles et leurs potentiels.</w:t>
      </w:r>
      <w:r w:rsidRPr="001433C6">
        <w:rPr>
          <w:rFonts w:cstheme="minorHAnsi"/>
          <w:i/>
          <w:iCs/>
        </w:rPr>
        <w:t xml:space="preserve"> </w:t>
      </w:r>
      <w:r w:rsidRPr="001433C6">
        <w:rPr>
          <w:rFonts w:eastAsia="Calibri" w:cstheme="minorHAnsi"/>
          <w:i/>
          <w:iCs/>
          <w:noProof/>
        </w:rPr>
        <w:t>Les cinq principaux systèmes de production, tributaires des zones agroécologiques sont : (i) le système de culture extensif pluvial en zone sablonneuse ou « diéri », (ii) le système de cultures derrière barrages et bas-fonds, (iii) les systèmes de décrue naturelle ou contrôlée du walo, (iv) le système oasien  et (v) l'agriculture irriguée en maîtrise totale de l’eau.</w:t>
      </w:r>
    </w:p>
    <w:p w14:paraId="4AD36D8E" w14:textId="77777777" w:rsidR="00A47DEE" w:rsidRPr="001433C6" w:rsidRDefault="00A47DEE" w:rsidP="00A47DEE">
      <w:pPr>
        <w:autoSpaceDE w:val="0"/>
        <w:autoSpaceDN w:val="0"/>
        <w:adjustRightInd w:val="0"/>
        <w:spacing w:before="120" w:after="120"/>
        <w:jc w:val="both"/>
        <w:rPr>
          <w:rFonts w:eastAsia="Calibri" w:cstheme="minorHAnsi"/>
          <w:i/>
          <w:iCs/>
          <w:noProof/>
        </w:rPr>
      </w:pPr>
      <w:r w:rsidRPr="001433C6">
        <w:rPr>
          <w:rFonts w:eastAsia="Calibri" w:cstheme="minorHAnsi"/>
          <w:i/>
          <w:iCs/>
          <w:noProof/>
        </w:rPr>
        <w:t xml:space="preserve"> Le potentiel en terres cultivables est d’environ 513 000 ha. La culture pluviale dont les zones de concentration se situent au Sud, au Sud-est ,  au Centre et à l’Est du pays, étroitement liée aux précipitations, s’étend sur un potentiel de 350 000 ha et comprend les barrages et bas-fonds (60 000 ha), le Walo et la décrue contrôlée (40 000 ha) et le Diéri (250 000 ha). L’agriculture irriguée est essentiellement concentrée dans la vallée du fleuve, où le potentiel est estimé à 135 000 ha. Enfin, 12 000 ha environ sont exploitables en maraîchage tout au long du littoral. Les cultures oasiennes sont localisées principalement dans les régions de l’Adrar, du Tagant, de l’Assaba et des deux Hodhs où le potentiel cultivable est d’environ 16 000 ha.</w:t>
      </w:r>
    </w:p>
    <w:p w14:paraId="2C1EB28F" w14:textId="77777777" w:rsidR="00A47DEE" w:rsidRPr="001433C6" w:rsidRDefault="00A47DEE" w:rsidP="00A47DEE">
      <w:pPr>
        <w:widowControl w:val="0"/>
        <w:spacing w:after="0"/>
        <w:contextualSpacing/>
        <w:jc w:val="both"/>
        <w:rPr>
          <w:rFonts w:eastAsia="Calibri" w:cstheme="minorHAnsi"/>
          <w:i/>
          <w:iCs/>
          <w:noProof/>
        </w:rPr>
      </w:pPr>
      <w:r w:rsidRPr="001433C6">
        <w:rPr>
          <w:rFonts w:eastAsia="Calibri" w:cstheme="minorHAnsi"/>
          <w:i/>
          <w:iCs/>
          <w:noProof/>
        </w:rPr>
        <w:t xml:space="preserve">En dépit de ces opportunités et de ce potentiel naturel ,la contribution de l’agriculture à la croissance du PIB  reste assez variable étant fortement dépendante de la pluviométrie. </w:t>
      </w:r>
      <w:r w:rsidRPr="001433C6">
        <w:rPr>
          <w:rFonts w:eastAsia="Calibri" w:cstheme="minorHAnsi"/>
          <w:i/>
          <w:iCs/>
        </w:rPr>
        <w:t>En 2023, le PIB réel du secteur agricole a enregistré un atteint 1,2%, marquant ainsi un net ralentissement par rapport à la forte croissance de 24,9% observée en 2022. En valeur, le PIB nominal de la branche agriculture a connu un ralentissement de 9,2% en 2023, atteignant MRU 20,4 milliards, ce qui équivaut à 5,2% du PIB nominal global. Sur l’ensemble de l'année, le poids de la branche « agriculture » dans le PIB du secteur primaire a été en moyenne de 28,0% en 2023, en augmentation par rapport à 24,9% en 2022 (BCM,2023).</w:t>
      </w:r>
    </w:p>
    <w:p w14:paraId="30B4E6DA" w14:textId="77777777" w:rsidR="00A47DEE" w:rsidRPr="001433C6" w:rsidRDefault="00A47DEE" w:rsidP="00A47DEE">
      <w:pPr>
        <w:autoSpaceDE w:val="0"/>
        <w:autoSpaceDN w:val="0"/>
        <w:adjustRightInd w:val="0"/>
        <w:spacing w:before="120" w:after="120"/>
        <w:jc w:val="lowKashida"/>
        <w:rPr>
          <w:rFonts w:eastAsia="Calibri" w:cstheme="minorHAnsi"/>
          <w:i/>
          <w:iCs/>
          <w:noProof/>
        </w:rPr>
      </w:pPr>
      <w:r w:rsidRPr="001433C6">
        <w:rPr>
          <w:rFonts w:eastAsia="Calibri" w:cstheme="minorHAnsi"/>
          <w:i/>
          <w:iCs/>
          <w:noProof/>
        </w:rPr>
        <w:t xml:space="preserve">Les productions agricoles ne parviennent pas à couvrir de manière adéquate les besoins alimentaires des populations. Le faible niveau de rendements des principales cultures, notamment les céréales, ainsi que l’inefficacité des systèmes de stockage, de transformation et de distribution des denrées alimentaires limitent la disponibilité des produits agricoles et la régularité des approvisionnements. Le taux de couverture des besoins en riz blanc se situe à 90 %, à comparer avec la cible 2025, fixée à 119%. En fait, au niveau de toutes les céréales prises ensemble, le taux de couverture des besoins par la production nationale est en moyenne de 34% ces dernières années. </w:t>
      </w:r>
    </w:p>
    <w:p w14:paraId="2708F6F0" w14:textId="77777777" w:rsidR="00A47DEE" w:rsidRPr="00776D89" w:rsidRDefault="00A47DEE" w:rsidP="00A47DEE">
      <w:pPr>
        <w:autoSpaceDE w:val="0"/>
        <w:autoSpaceDN w:val="0"/>
        <w:adjustRightInd w:val="0"/>
        <w:spacing w:after="0"/>
        <w:jc w:val="lowKashida"/>
        <w:rPr>
          <w:rFonts w:eastAsia="Calibri" w:cstheme="minorHAnsi"/>
          <w:i/>
          <w:iCs/>
        </w:rPr>
      </w:pPr>
      <w:r w:rsidRPr="00776D89">
        <w:rPr>
          <w:rFonts w:eastAsia="Calibri" w:cstheme="minorHAnsi"/>
          <w:i/>
          <w:iCs/>
        </w:rPr>
        <w:t xml:space="preserve">La Mauritanie s’est dotée en 2012 d’une Stratégie de Développement du Secteur Rural (SDSR), et d’une Loi d’orientation Agropastorale (LOA) pour définir sa politique de développement rural. Cette stratégie est en harmonie avec les objectifs de la Stratégie de Croissance Accélérée et de Prospérité Partagée (SCAPP), la Stratégie Nationale de Sécurité Alimentaire (SNSA) et répond aux 4 (quatre) piliers du Programme Détaillé pour le </w:t>
      </w:r>
      <w:proofErr w:type="gramStart"/>
      <w:r w:rsidRPr="00776D89">
        <w:rPr>
          <w:rFonts w:eastAsia="Calibri" w:cstheme="minorHAnsi"/>
          <w:i/>
          <w:iCs/>
        </w:rPr>
        <w:t>Développement  de</w:t>
      </w:r>
      <w:proofErr w:type="gramEnd"/>
      <w:r w:rsidRPr="00776D89">
        <w:rPr>
          <w:rFonts w:eastAsia="Calibri" w:cstheme="minorHAnsi"/>
          <w:i/>
          <w:iCs/>
        </w:rPr>
        <w:t xml:space="preserve"> l’Agriculture Africaine (PDDAA).</w:t>
      </w:r>
    </w:p>
    <w:p w14:paraId="1DF62271" w14:textId="77777777" w:rsidR="00A47DEE" w:rsidRPr="001433C6" w:rsidRDefault="00A47DEE" w:rsidP="00A47DEE">
      <w:pPr>
        <w:autoSpaceDE w:val="0"/>
        <w:autoSpaceDN w:val="0"/>
        <w:adjustRightInd w:val="0"/>
        <w:spacing w:after="0"/>
        <w:jc w:val="lowKashida"/>
        <w:rPr>
          <w:rFonts w:eastAsia="Calibri" w:cstheme="minorHAnsi"/>
          <w:i/>
          <w:iCs/>
        </w:rPr>
      </w:pPr>
      <w:r w:rsidRPr="001433C6">
        <w:rPr>
          <w:rFonts w:eastAsia="Calibri" w:cstheme="minorHAnsi"/>
          <w:i/>
          <w:iCs/>
        </w:rPr>
        <w:t>Le Plan National de Développement Agricole (PNDA) est conçu pour mettre en œuvre les orientations définies par la SDSR, adoptée comme cadre de référence des interventions de l’Etat, des partenaires au développement, et de l’ensemble des acteurs opérant dans le cadre du développement du secteur rural, notamment les opérateurs privés nationaux et les investisseurs potentiels étrangers</w:t>
      </w:r>
    </w:p>
    <w:p w14:paraId="069406F2" w14:textId="77777777" w:rsidR="00A47DEE" w:rsidRPr="001433C6" w:rsidRDefault="00A47DEE" w:rsidP="00A47DEE">
      <w:pPr>
        <w:rPr>
          <w:rFonts w:eastAsia="Calibri" w:cstheme="minorHAnsi"/>
          <w:b/>
          <w:bCs/>
          <w:i/>
          <w:iCs/>
          <w:sz w:val="24"/>
          <w:szCs w:val="24"/>
        </w:rPr>
      </w:pPr>
    </w:p>
    <w:p w14:paraId="77DB26BC" w14:textId="77777777" w:rsidR="00A47DEE" w:rsidRPr="001433C6" w:rsidRDefault="00A47DEE" w:rsidP="00A47DEE">
      <w:pPr>
        <w:rPr>
          <w:rFonts w:eastAsia="Calibri" w:cstheme="minorHAnsi"/>
          <w:b/>
          <w:bCs/>
          <w:i/>
          <w:iCs/>
          <w:sz w:val="24"/>
          <w:szCs w:val="24"/>
        </w:rPr>
      </w:pPr>
      <w:r w:rsidRPr="001433C6">
        <w:rPr>
          <w:rFonts w:eastAsia="Calibri" w:cstheme="minorHAnsi"/>
          <w:b/>
          <w:bCs/>
          <w:i/>
          <w:iCs/>
          <w:sz w:val="24"/>
          <w:szCs w:val="24"/>
        </w:rPr>
        <w:t>PARTIE 3 : VULNERABILITE DE L’AGRICULTURE AU CC</w:t>
      </w:r>
    </w:p>
    <w:p w14:paraId="2D69FCAC" w14:textId="77777777" w:rsidR="00A47DEE" w:rsidRPr="001433C6" w:rsidRDefault="00A47DEE" w:rsidP="00A47DEE">
      <w:pPr>
        <w:autoSpaceDE w:val="0"/>
        <w:autoSpaceDN w:val="0"/>
        <w:adjustRightInd w:val="0"/>
        <w:spacing w:after="0"/>
        <w:jc w:val="lowKashida"/>
        <w:rPr>
          <w:rFonts w:eastAsia="Calibri" w:cstheme="minorHAnsi"/>
          <w:i/>
          <w:iCs/>
        </w:rPr>
      </w:pPr>
      <w:r w:rsidRPr="001433C6">
        <w:rPr>
          <w:rFonts w:eastAsia="Calibri" w:cstheme="minorHAnsi"/>
          <w:i/>
          <w:iCs/>
        </w:rPr>
        <w:t>La Mauritanie, à l’instar des autres pays de l’Afrique, est vulnérable au changement climatique. Une vulnérabilité liée à la dépendance de la population rurale aux ressources naturelles et à une agriculture fragilisée par de multiples contraintes notamment, la variabilité interannuelle et inter-saisonnière des précipitations, l’érosion et la fertilité des sols, et les difficultés d’accès aux intrants et services agricoles. Ainsi, les systèmes de production et leurs résultats sont tributaires du climat :</w:t>
      </w:r>
    </w:p>
    <w:p w14:paraId="560F2E6C" w14:textId="77777777" w:rsidR="00A47DEE" w:rsidRPr="001433C6" w:rsidRDefault="00A47DEE" w:rsidP="00A47DEE">
      <w:pPr>
        <w:autoSpaceDE w:val="0"/>
        <w:autoSpaceDN w:val="0"/>
        <w:adjustRightInd w:val="0"/>
        <w:spacing w:after="0"/>
        <w:jc w:val="lowKashida"/>
        <w:rPr>
          <w:rFonts w:eastAsia="Calibri" w:cstheme="minorHAnsi"/>
          <w:i/>
          <w:iCs/>
        </w:rPr>
      </w:pPr>
    </w:p>
    <w:p w14:paraId="1F74BA35" w14:textId="77777777" w:rsidR="00A47DEE" w:rsidRPr="001433C6" w:rsidRDefault="00A47DEE" w:rsidP="00A47DEE">
      <w:pPr>
        <w:autoSpaceDE w:val="0"/>
        <w:autoSpaceDN w:val="0"/>
        <w:adjustRightInd w:val="0"/>
        <w:spacing w:after="0"/>
        <w:contextualSpacing/>
        <w:jc w:val="lowKashida"/>
        <w:rPr>
          <w:rFonts w:eastAsia="Calibri" w:cstheme="minorHAnsi"/>
          <w:i/>
          <w:iCs/>
        </w:rPr>
      </w:pPr>
      <w:r w:rsidRPr="001433C6">
        <w:rPr>
          <w:rFonts w:eastAsia="Calibri" w:cstheme="minorHAnsi"/>
          <w:b/>
          <w:bCs/>
          <w:i/>
          <w:iCs/>
          <w:u w:val="single"/>
        </w:rPr>
        <w:t>Exposition de la riziculture au CC.</w:t>
      </w:r>
      <w:r w:rsidRPr="001433C6">
        <w:rPr>
          <w:rFonts w:eastAsia="Calibri" w:cstheme="minorHAnsi"/>
          <w:i/>
          <w:iCs/>
          <w:u w:val="single"/>
        </w:rPr>
        <w:t xml:space="preserve"> </w:t>
      </w:r>
      <w:r w:rsidRPr="001433C6">
        <w:rPr>
          <w:rFonts w:eastAsia="Calibri" w:cstheme="minorHAnsi"/>
          <w:i/>
          <w:iCs/>
        </w:rPr>
        <w:t>La production du riz dans la vallée du fleuve Sénégal occupe une place de choix pour la réussite du programme mauritanien d'autosuffisance en riz. Or, cette zone a connu en 1999, 2001, 2009 les pires inondations et/ou pluies diluviennes et froides depuis plus de 30 ans. Les pertes occasionnées par ces intempéries sont énormes.</w:t>
      </w:r>
    </w:p>
    <w:p w14:paraId="5C1835FB" w14:textId="77777777" w:rsidR="00A47DEE" w:rsidRPr="001433C6" w:rsidRDefault="00A47DEE" w:rsidP="00A47DEE">
      <w:pPr>
        <w:autoSpaceDE w:val="0"/>
        <w:autoSpaceDN w:val="0"/>
        <w:adjustRightInd w:val="0"/>
        <w:spacing w:after="0"/>
        <w:ind w:left="284"/>
        <w:contextualSpacing/>
        <w:jc w:val="lowKashida"/>
        <w:rPr>
          <w:rFonts w:eastAsia="Calibri" w:cstheme="minorHAnsi"/>
          <w:i/>
          <w:iCs/>
        </w:rPr>
      </w:pPr>
    </w:p>
    <w:p w14:paraId="27DBB6E7" w14:textId="77777777" w:rsidR="00A47DEE" w:rsidRPr="001433C6" w:rsidRDefault="00A47DEE" w:rsidP="00A47DEE">
      <w:pPr>
        <w:autoSpaceDE w:val="0"/>
        <w:autoSpaceDN w:val="0"/>
        <w:adjustRightInd w:val="0"/>
        <w:spacing w:before="240" w:after="0"/>
        <w:contextualSpacing/>
        <w:jc w:val="lowKashida"/>
        <w:rPr>
          <w:rFonts w:eastAsia="Calibri" w:cstheme="minorHAnsi"/>
          <w:i/>
          <w:iCs/>
        </w:rPr>
      </w:pPr>
      <w:r w:rsidRPr="001433C6">
        <w:rPr>
          <w:rFonts w:eastAsia="Calibri" w:cstheme="minorHAnsi"/>
          <w:b/>
          <w:bCs/>
          <w:i/>
          <w:iCs/>
          <w:u w:val="single"/>
        </w:rPr>
        <w:t>Exposition des cultures pluviales au CC.</w:t>
      </w:r>
      <w:r w:rsidRPr="001433C6">
        <w:rPr>
          <w:rFonts w:eastAsia="Calibri" w:cstheme="minorHAnsi"/>
          <w:i/>
          <w:iCs/>
        </w:rPr>
        <w:t xml:space="preserve"> L’agriculture pluviale est étroitement liée à la pluviométrie ce qui la soumet inéluctablement aux effets adverses de la variabilité et du changement climatiques (diminution des pluies et leur caractère aléatoire, diminution de la longueur de la saison, augmentation de la fréquence et de l’intensité des séquences sèches, etc.). Les épisodes secs de longue durée qui interviennent pendant les phases sensibles de la plante (phases végétative et reproductive) peuvent entraîner la perte de la productivité et du rendement de la culture. Les superficies consacrées aux cultures pluviales se sont rétrécies et les cultures sont devenues plus aléatoires que par le passé. Elles sont essentiellement pratiquées dans les bas-fonds qui bénéficient d'apports supplémentaires des eaux de ruissellement et conservent mieux, de par leur structure plus lourde, l'humidité. Les cultures de décrue ont été non seulement réduites, mais aussi la période d'inondation est devenue plus courte que d'habitude et les variétés de sorgho à haut rendement ne sont plus cultivées car leurs besoins hydriques ne sont plus entièrement satisfaits. Les rendements s'en trouvent notoirement affectés.</w:t>
      </w:r>
    </w:p>
    <w:p w14:paraId="330471CB" w14:textId="77777777" w:rsidR="00A47DEE" w:rsidRPr="001433C6" w:rsidRDefault="00A47DEE" w:rsidP="00A47DEE">
      <w:pPr>
        <w:autoSpaceDE w:val="0"/>
        <w:autoSpaceDN w:val="0"/>
        <w:adjustRightInd w:val="0"/>
        <w:spacing w:after="0"/>
        <w:ind w:left="284"/>
        <w:contextualSpacing/>
        <w:jc w:val="lowKashida"/>
        <w:rPr>
          <w:rFonts w:eastAsia="Calibri" w:cstheme="minorHAnsi"/>
          <w:i/>
          <w:iCs/>
        </w:rPr>
      </w:pPr>
    </w:p>
    <w:p w14:paraId="4C8E4339" w14:textId="77777777" w:rsidR="00A47DEE" w:rsidRPr="001433C6" w:rsidRDefault="00A47DEE" w:rsidP="00A47DEE">
      <w:pPr>
        <w:autoSpaceDE w:val="0"/>
        <w:autoSpaceDN w:val="0"/>
        <w:adjustRightInd w:val="0"/>
        <w:spacing w:after="0"/>
        <w:contextualSpacing/>
        <w:jc w:val="lowKashida"/>
        <w:rPr>
          <w:rFonts w:eastAsia="Calibri" w:cstheme="minorHAnsi"/>
          <w:i/>
          <w:iCs/>
        </w:rPr>
      </w:pPr>
      <w:r w:rsidRPr="001433C6">
        <w:rPr>
          <w:rFonts w:eastAsia="Calibri" w:cstheme="minorHAnsi"/>
          <w:i/>
          <w:iCs/>
        </w:rPr>
        <w:t>En effet, dans le passé, les céréales traditionnelles cultivées sur les terres de Walo étaient caractérisées par de meilleurs rendements par rapport au Diéri. Depuis plusieurs années, la situation s’est inversée et le rendement moyen de ces derniers cinq ans est de 390 Kg/ha contre 530 kg/ha du passé. Cette forte diminution est due aux conditions d’exploitation du Walo qui se sont fortement dégradées à cause de la réduction des temps de submersion des terres de décrue résultant de la gestion de la crue artificielle (elle-même tributaire des effets du changement climatique) et des attaques des ravageurs et en particulier des oiseaux granivores et de la sésamie dont la propagation s’est généralisée du fait de l’impact du changement climatique.</w:t>
      </w:r>
    </w:p>
    <w:p w14:paraId="08B5D0AE" w14:textId="77777777" w:rsidR="00A47DEE" w:rsidRPr="001433C6" w:rsidRDefault="00A47DEE" w:rsidP="00A47DEE">
      <w:pPr>
        <w:autoSpaceDE w:val="0"/>
        <w:autoSpaceDN w:val="0"/>
        <w:adjustRightInd w:val="0"/>
        <w:spacing w:after="0"/>
        <w:ind w:left="284"/>
        <w:contextualSpacing/>
        <w:jc w:val="lowKashida"/>
        <w:rPr>
          <w:rFonts w:eastAsia="Calibri" w:cstheme="minorHAnsi"/>
          <w:i/>
          <w:iCs/>
        </w:rPr>
      </w:pPr>
    </w:p>
    <w:p w14:paraId="42135710" w14:textId="77777777" w:rsidR="00A47DEE" w:rsidRPr="001433C6" w:rsidRDefault="00A47DEE" w:rsidP="00A47DEE">
      <w:pPr>
        <w:autoSpaceDE w:val="0"/>
        <w:autoSpaceDN w:val="0"/>
        <w:adjustRightInd w:val="0"/>
        <w:spacing w:after="0"/>
        <w:contextualSpacing/>
        <w:jc w:val="lowKashida"/>
        <w:rPr>
          <w:rFonts w:eastAsia="Calibri" w:cstheme="minorHAnsi"/>
          <w:i/>
          <w:iCs/>
        </w:rPr>
      </w:pPr>
      <w:r w:rsidRPr="001433C6">
        <w:rPr>
          <w:rFonts w:eastAsia="Calibri" w:cstheme="minorHAnsi"/>
          <w:i/>
          <w:iCs/>
        </w:rPr>
        <w:t>Les variétés de sorgho à haut rendement ne sont plus cultivées car leurs besoins hydriques ne sont plus entièrement satisfaits ; les rendements s'en trouvent notoirement affectés.  Les variétés à cycles courts ont aussi du mal à exprimer leur potentiel productif compte tenu du déficit pluviométrique. D’une manière générale, les cultures ne se développent plus comme avant (du fait des tallages et les ramifications moins prolifiques). A noter aussi que les pratiques culturales des producteurs ont quelque peu changé : une augmentation du nombre de graines par poquet, le démariage n’est plus systématique et il se fait à plus de 8 plants en moyenne par poquet, une perturbation du calendrier cultural, une augmentation du nombre de sarclage atteignant 4 dans certaines zones par an.</w:t>
      </w:r>
    </w:p>
    <w:p w14:paraId="7AFFCEF6" w14:textId="77777777" w:rsidR="00A47DEE" w:rsidRPr="001433C6" w:rsidRDefault="00A47DEE" w:rsidP="00A47DEE">
      <w:pPr>
        <w:autoSpaceDE w:val="0"/>
        <w:autoSpaceDN w:val="0"/>
        <w:adjustRightInd w:val="0"/>
        <w:spacing w:after="0"/>
        <w:ind w:left="284"/>
        <w:contextualSpacing/>
        <w:jc w:val="lowKashida"/>
        <w:rPr>
          <w:rFonts w:eastAsia="Calibri" w:cstheme="minorHAnsi"/>
          <w:i/>
          <w:iCs/>
        </w:rPr>
      </w:pPr>
    </w:p>
    <w:p w14:paraId="42B39E84" w14:textId="77777777" w:rsidR="00A47DEE" w:rsidRPr="001433C6" w:rsidRDefault="00A47DEE" w:rsidP="00A47DEE">
      <w:pPr>
        <w:autoSpaceDE w:val="0"/>
        <w:autoSpaceDN w:val="0"/>
        <w:adjustRightInd w:val="0"/>
        <w:spacing w:after="0"/>
        <w:contextualSpacing/>
        <w:jc w:val="lowKashida"/>
        <w:rPr>
          <w:rFonts w:eastAsia="Calibri" w:cstheme="minorHAnsi"/>
          <w:i/>
          <w:iCs/>
        </w:rPr>
      </w:pPr>
      <w:r w:rsidRPr="001433C6">
        <w:rPr>
          <w:rFonts w:eastAsia="Calibri" w:cstheme="minorHAnsi"/>
          <w:b/>
          <w:bCs/>
          <w:i/>
          <w:iCs/>
          <w:u w:val="single"/>
        </w:rPr>
        <w:t>Exposition des cultures maraichères au CC</w:t>
      </w:r>
      <w:r w:rsidRPr="001433C6">
        <w:rPr>
          <w:rFonts w:eastAsia="Calibri" w:cstheme="minorHAnsi"/>
          <w:i/>
          <w:iCs/>
        </w:rPr>
        <w:t>. Le niveau de production maraichère est marqué par une forte dépendance aux aléas climatiques, toujours plus fréquents et d’intensité plus forte, par les attaques d’insectes et par la variation des prix ; ce qui se répercute sur la capacité des agriculteurs, en particulier les femmes et les petits producteurs.</w:t>
      </w:r>
      <w:r w:rsidRPr="001433C6">
        <w:rPr>
          <w:rFonts w:eastAsia="Times New Roman" w:cstheme="minorHAnsi"/>
          <w:i/>
          <w:iCs/>
        </w:rPr>
        <w:t xml:space="preserve"> </w:t>
      </w:r>
      <w:r w:rsidRPr="001433C6">
        <w:rPr>
          <w:rFonts w:eastAsia="Calibri" w:cstheme="minorHAnsi"/>
          <w:i/>
          <w:iCs/>
        </w:rPr>
        <w:t>L’accès des maraichers aux semences de qualité ainsi qu’aux autres intrants est assez limité. Ce qui fait que parfois les semences et les variétés utilisées ne sont pas adaptées aux conditions agro-climatologiques des zones de production.</w:t>
      </w:r>
    </w:p>
    <w:p w14:paraId="7FD4FE33" w14:textId="77777777" w:rsidR="00A47DEE" w:rsidRPr="001433C6" w:rsidRDefault="00A47DEE" w:rsidP="00A47DEE">
      <w:pPr>
        <w:autoSpaceDE w:val="0"/>
        <w:autoSpaceDN w:val="0"/>
        <w:adjustRightInd w:val="0"/>
        <w:spacing w:after="0"/>
        <w:contextualSpacing/>
        <w:jc w:val="lowKashida"/>
        <w:rPr>
          <w:rFonts w:eastAsia="Calibri" w:cstheme="minorHAnsi"/>
          <w:i/>
          <w:iCs/>
        </w:rPr>
      </w:pPr>
      <w:r w:rsidRPr="001433C6">
        <w:rPr>
          <w:rFonts w:eastAsia="Calibri" w:cstheme="minorHAnsi"/>
          <w:i/>
          <w:iCs/>
        </w:rPr>
        <w:t xml:space="preserve">Il est à </w:t>
      </w:r>
      <w:proofErr w:type="gramStart"/>
      <w:r w:rsidRPr="001433C6">
        <w:rPr>
          <w:rFonts w:eastAsia="Calibri" w:cstheme="minorHAnsi"/>
          <w:i/>
          <w:iCs/>
        </w:rPr>
        <w:t>rappeler  que</w:t>
      </w:r>
      <w:proofErr w:type="gramEnd"/>
      <w:r w:rsidRPr="001433C6">
        <w:rPr>
          <w:rFonts w:eastAsia="Calibri" w:cstheme="minorHAnsi"/>
          <w:i/>
          <w:iCs/>
        </w:rPr>
        <w:t xml:space="preserve"> les évènements climatiques extrêmes ont des effets néfastes sur les cultures maraîchères qui prévalent tant par le passé que par le présent (stress hydrique, accroissement de l’évaporation et de l’évapotranspiration et l’assèchement des cultures)</w:t>
      </w:r>
    </w:p>
    <w:p w14:paraId="2928D8F9" w14:textId="77777777" w:rsidR="00A47DEE" w:rsidRPr="001433C6" w:rsidRDefault="00A47DEE" w:rsidP="00A47DEE">
      <w:pPr>
        <w:autoSpaceDE w:val="0"/>
        <w:autoSpaceDN w:val="0"/>
        <w:adjustRightInd w:val="0"/>
        <w:spacing w:before="240"/>
        <w:ind w:left="284"/>
        <w:contextualSpacing/>
        <w:jc w:val="lowKashida"/>
        <w:rPr>
          <w:rFonts w:eastAsia="Calibri" w:cstheme="minorHAnsi"/>
          <w:i/>
          <w:iCs/>
        </w:rPr>
      </w:pPr>
    </w:p>
    <w:p w14:paraId="1F189868" w14:textId="77777777" w:rsidR="00A47DEE" w:rsidRPr="001433C6" w:rsidRDefault="00A47DEE" w:rsidP="00A47DEE">
      <w:pPr>
        <w:autoSpaceDE w:val="0"/>
        <w:autoSpaceDN w:val="0"/>
        <w:adjustRightInd w:val="0"/>
        <w:spacing w:before="240"/>
        <w:contextualSpacing/>
        <w:jc w:val="lowKashida"/>
        <w:rPr>
          <w:rFonts w:eastAsia="Calibri" w:cstheme="minorHAnsi"/>
          <w:i/>
          <w:iCs/>
        </w:rPr>
      </w:pPr>
      <w:r w:rsidRPr="001433C6">
        <w:rPr>
          <w:rFonts w:eastAsia="Calibri" w:cstheme="minorHAnsi"/>
          <w:b/>
          <w:bCs/>
          <w:i/>
          <w:iCs/>
          <w:u w:val="single"/>
        </w:rPr>
        <w:t>Exposition des cultures oasiennes au CC.</w:t>
      </w:r>
      <w:r w:rsidRPr="001433C6">
        <w:rPr>
          <w:rFonts w:eastAsia="Calibri" w:cstheme="minorHAnsi"/>
          <w:i/>
          <w:iCs/>
        </w:rPr>
        <w:t xml:space="preserve"> La phœniciculture, représente la principale activité du système de production oasienne et le palmier dattier demeure une culture importante tant du point de vue économique que culturel. Les CC sont particulièrement ressentis dans les oasis à travers les phénomènes tels que l’accroissement de l’intensité de l’ensoleillement en période estivale et dérèglement de l’avènement des pluie, modifications du cycle végétatif des variétés culturales et de leur productivité, baisse de la nappe phréatique, désertification, dégradation de la qualité des dattes par des périodes de forte chaleur ou d’averses pluvieuses précoces et inondations</w:t>
      </w:r>
    </w:p>
    <w:p w14:paraId="0D9BA05B" w14:textId="77777777" w:rsidR="00A47DEE" w:rsidRPr="001433C6" w:rsidRDefault="00A47DEE" w:rsidP="00A47DEE">
      <w:pPr>
        <w:autoSpaceDE w:val="0"/>
        <w:autoSpaceDN w:val="0"/>
        <w:adjustRightInd w:val="0"/>
        <w:spacing w:after="0"/>
        <w:ind w:left="284"/>
        <w:contextualSpacing/>
        <w:jc w:val="lowKashida"/>
        <w:rPr>
          <w:rFonts w:eastAsia="Calibri" w:cstheme="minorHAnsi"/>
          <w:i/>
          <w:iCs/>
        </w:rPr>
      </w:pPr>
    </w:p>
    <w:p w14:paraId="26637CFB" w14:textId="77777777" w:rsidR="00A47DEE" w:rsidRPr="001433C6" w:rsidRDefault="00A47DEE" w:rsidP="00A47DEE">
      <w:pPr>
        <w:autoSpaceDE w:val="0"/>
        <w:autoSpaceDN w:val="0"/>
        <w:adjustRightInd w:val="0"/>
        <w:spacing w:after="0"/>
        <w:contextualSpacing/>
        <w:jc w:val="lowKashida"/>
        <w:rPr>
          <w:rFonts w:eastAsia="Calibri" w:cstheme="minorHAnsi"/>
          <w:i/>
          <w:iCs/>
        </w:rPr>
      </w:pPr>
      <w:r w:rsidRPr="001433C6">
        <w:rPr>
          <w:rFonts w:eastAsia="Calibri" w:cstheme="minorHAnsi"/>
          <w:b/>
          <w:bCs/>
          <w:i/>
          <w:iCs/>
          <w:u w:val="single"/>
        </w:rPr>
        <w:t>Exposition des terres agricoles au CC.</w:t>
      </w:r>
      <w:r w:rsidRPr="001433C6">
        <w:rPr>
          <w:rFonts w:eastAsia="Calibri" w:cstheme="minorHAnsi"/>
          <w:i/>
          <w:iCs/>
        </w:rPr>
        <w:t xml:space="preserve"> La variabilité du climat et le CC contribuent à la dégradation des terres en exposant les sols arables non protégés à des phénomènes violents et en compromettant le potentiel des pratiques actuelles de gestion des terres à maintenir la qualité des ressources naturelles, contribuant ainsi au déboisement, à l’érosion des sols, à l’appauvrissement en matières organiques et à d’autres formes de dégradation. </w:t>
      </w:r>
    </w:p>
    <w:p w14:paraId="51BE6C52" w14:textId="77777777" w:rsidR="00A47DEE" w:rsidRPr="001433C6" w:rsidRDefault="00A47DEE" w:rsidP="00A47DEE">
      <w:pPr>
        <w:autoSpaceDE w:val="0"/>
        <w:autoSpaceDN w:val="0"/>
        <w:adjustRightInd w:val="0"/>
        <w:spacing w:after="0"/>
        <w:jc w:val="lowKashida"/>
        <w:rPr>
          <w:rFonts w:eastAsia="Calibri" w:cstheme="minorHAnsi"/>
          <w:i/>
          <w:iCs/>
        </w:rPr>
      </w:pPr>
    </w:p>
    <w:p w14:paraId="114E560A" w14:textId="77777777" w:rsidR="00A47DEE" w:rsidRPr="001433C6" w:rsidRDefault="00A47DEE" w:rsidP="00A47DEE">
      <w:pPr>
        <w:rPr>
          <w:rFonts w:eastAsia="Calibri" w:cstheme="minorHAnsi"/>
          <w:b/>
          <w:bCs/>
          <w:i/>
          <w:iCs/>
          <w:sz w:val="24"/>
          <w:szCs w:val="24"/>
        </w:rPr>
      </w:pPr>
      <w:r w:rsidRPr="001433C6">
        <w:rPr>
          <w:rFonts w:eastAsia="Calibri" w:cstheme="minorHAnsi"/>
          <w:b/>
          <w:bCs/>
          <w:i/>
          <w:iCs/>
          <w:sz w:val="24"/>
          <w:szCs w:val="24"/>
        </w:rPr>
        <w:t>PARTIE IV. INITIATIVES ET MESURES D’ADAPTATION PRECONISES</w:t>
      </w:r>
    </w:p>
    <w:p w14:paraId="054785B8" w14:textId="77777777" w:rsidR="00A47DEE" w:rsidRPr="001433C6" w:rsidRDefault="00A47DEE" w:rsidP="00A47DEE">
      <w:pPr>
        <w:spacing w:after="0"/>
        <w:jc w:val="lowKashida"/>
        <w:rPr>
          <w:rFonts w:eastAsia="Calibri" w:cstheme="minorHAnsi"/>
          <w:i/>
          <w:iCs/>
        </w:rPr>
      </w:pPr>
      <w:r w:rsidRPr="001433C6">
        <w:rPr>
          <w:rFonts w:eastAsia="Calibri" w:cstheme="minorHAnsi"/>
          <w:i/>
          <w:iCs/>
        </w:rPr>
        <w:t>En Mauritanie, l’agriculteur a toujours développé des formes d’adaptation pour survivre aux aléas du climat et des catastrophes. Malheureusement, les stratégies paysannes montrent actuellement leurs limites face à la récurrence de la sécheresse, aux tempêtes de sable, aux érosions hydriques ou éoliennes et à l’accélération de la dégradation des terres de culture. Cela constitue un des facteurs explicatifs de la stagnation voire d’une baisse des rendements agricoles et de la fluctuation annuelle des productions et des prix des céréales qui sont à l’origine de l’insécurité alimentaire chronique ou conjoncturelle des ménages.</w:t>
      </w:r>
    </w:p>
    <w:p w14:paraId="23E18D48" w14:textId="77777777" w:rsidR="00A47DEE" w:rsidRPr="001433C6" w:rsidRDefault="00A47DEE" w:rsidP="00A47DEE">
      <w:pPr>
        <w:spacing w:after="0"/>
        <w:jc w:val="lowKashida"/>
        <w:rPr>
          <w:rFonts w:eastAsia="Calibri" w:cstheme="minorHAnsi"/>
          <w:i/>
          <w:iCs/>
        </w:rPr>
      </w:pPr>
    </w:p>
    <w:p w14:paraId="1EF5C7CB" w14:textId="77777777" w:rsidR="00A47DEE" w:rsidRPr="001433C6" w:rsidRDefault="00A47DEE" w:rsidP="00A47DEE">
      <w:pPr>
        <w:spacing w:after="0"/>
        <w:jc w:val="lowKashida"/>
        <w:rPr>
          <w:rFonts w:eastAsia="Calibri" w:cstheme="minorHAnsi"/>
          <w:i/>
          <w:iCs/>
        </w:rPr>
      </w:pPr>
      <w:r w:rsidRPr="001433C6">
        <w:rPr>
          <w:rFonts w:eastAsia="Calibri" w:cstheme="minorHAnsi"/>
          <w:i/>
          <w:iCs/>
        </w:rPr>
        <w:t>En réponse à la situation décrite précédemment, l’État, à travers le MDR, met en œuvre plusieurs programmes d’adaptation, qui, malheureusement, sont pour le court terme. Cette série de projets/programmes (en cours ou en préparation) participent à la mise en œuvre du PNDA et contribuent à la mise en œuvre de la SCAPP. Il s’agit de projets financés par l’État sur fonds propres (PDRI), ou à travers des projets mis en œuvre avec l’appui des partenaires techniques et financiers (FSD, BM-IDA, UE, FIDA, AFD, BID, BAD, FAO, etc.).</w:t>
      </w:r>
    </w:p>
    <w:p w14:paraId="55FE78E8" w14:textId="77777777" w:rsidR="00A47DEE" w:rsidRPr="001433C6" w:rsidRDefault="00A47DEE" w:rsidP="00A47DEE">
      <w:pPr>
        <w:spacing w:after="0"/>
        <w:ind w:firstLine="142"/>
        <w:rPr>
          <w:rFonts w:eastAsia="Calibri" w:cstheme="minorHAnsi"/>
          <w:b/>
          <w:bCs/>
          <w:i/>
          <w:iCs/>
        </w:rPr>
      </w:pPr>
    </w:p>
    <w:p w14:paraId="1E714509" w14:textId="77777777" w:rsidR="00A47DEE" w:rsidRPr="001433C6" w:rsidRDefault="00A47DEE" w:rsidP="00A47DEE">
      <w:pPr>
        <w:spacing w:after="0"/>
        <w:rPr>
          <w:rFonts w:eastAsia="Calibri" w:cstheme="minorHAnsi"/>
          <w:i/>
          <w:iCs/>
        </w:rPr>
      </w:pPr>
      <w:r w:rsidRPr="001433C6">
        <w:rPr>
          <w:rFonts w:eastAsia="Calibri" w:cstheme="minorHAnsi"/>
          <w:b/>
          <w:bCs/>
          <w:i/>
          <w:iCs/>
          <w:sz w:val="24"/>
          <w:szCs w:val="24"/>
          <w:u w:val="single"/>
        </w:rPr>
        <w:t xml:space="preserve">Capacités et ressources existantes. </w:t>
      </w:r>
      <w:r w:rsidRPr="001433C6">
        <w:rPr>
          <w:rFonts w:eastAsia="Calibri" w:cstheme="minorHAnsi"/>
          <w:i/>
          <w:iCs/>
        </w:rPr>
        <w:t>L’existence d’une série de programmes de planifications et de stratégies nationales (SCAPP, CDN, EBT, Programme-pays) et sectorielles (SDSR, PNDA) qui intègrent les changements climatiques ;</w:t>
      </w:r>
    </w:p>
    <w:p w14:paraId="7A721B32"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lowKashida"/>
        <w:rPr>
          <w:rFonts w:eastAsia="Calibri" w:cstheme="minorHAnsi"/>
          <w:i/>
          <w:iCs/>
        </w:rPr>
      </w:pPr>
      <w:r w:rsidRPr="001433C6">
        <w:rPr>
          <w:rFonts w:eastAsia="Calibri" w:cstheme="minorHAnsi"/>
          <w:i/>
          <w:iCs/>
        </w:rPr>
        <w:t>Il y a beaucoup d’études sur l’exposition de l’agriculture aux CC, différents types de vulnérabilité, l’évaluation de besoins en transfert des technologies, ainsi que d’autres problématiques liées aux risques (Sècheresse, inondations, etc…).</w:t>
      </w:r>
    </w:p>
    <w:p w14:paraId="068A3E76"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lowKashida"/>
        <w:rPr>
          <w:rFonts w:eastAsia="Calibri" w:cstheme="minorHAnsi"/>
          <w:i/>
          <w:iCs/>
        </w:rPr>
      </w:pPr>
      <w:r w:rsidRPr="001433C6">
        <w:rPr>
          <w:rFonts w:eastAsia="Calibri" w:cstheme="minorHAnsi"/>
          <w:i/>
          <w:iCs/>
        </w:rPr>
        <w:t>Existence de point focal CC /MDR chargé de coordonner avec le MEDD et les autres départements, les activités multisectorielles CC.</w:t>
      </w:r>
    </w:p>
    <w:p w14:paraId="008ADA8F"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lowKashida"/>
        <w:rPr>
          <w:rFonts w:eastAsia="Calibri" w:cstheme="minorHAnsi"/>
          <w:i/>
          <w:iCs/>
        </w:rPr>
      </w:pPr>
      <w:r w:rsidRPr="001433C6">
        <w:rPr>
          <w:rFonts w:eastAsia="Calibri" w:cstheme="minorHAnsi"/>
          <w:i/>
          <w:iCs/>
        </w:rPr>
        <w:t xml:space="preserve">La recherche agricole dispose de 10 stations de recherche. </w:t>
      </w:r>
    </w:p>
    <w:p w14:paraId="69EF616F"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lowKashida"/>
        <w:rPr>
          <w:rFonts w:eastAsia="Calibri" w:cstheme="minorHAnsi"/>
          <w:i/>
          <w:iCs/>
        </w:rPr>
      </w:pPr>
      <w:r w:rsidRPr="001433C6">
        <w:rPr>
          <w:rFonts w:eastAsia="Calibri" w:cstheme="minorHAnsi"/>
          <w:i/>
          <w:iCs/>
        </w:rPr>
        <w:t>Existence de quatre (04) centres de formation agricole, l’Institut Supérieur d’Enseignement Technologique (ISET), l’École Nationale de Formation et de Vulgarisation Agricole (ENFVA), le Centre de Formation des Producteurs Ruraux de Boghé (CFPRB) et le Centre de Démonstration des Techniques Agricoles de M’Bagne (CDTAM), qui relèvent de l’ENFVA.</w:t>
      </w:r>
    </w:p>
    <w:p w14:paraId="1F79D617"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lowKashida"/>
        <w:rPr>
          <w:rFonts w:eastAsia="Calibri" w:cstheme="minorHAnsi"/>
          <w:i/>
          <w:iCs/>
        </w:rPr>
      </w:pPr>
      <w:r w:rsidRPr="001433C6">
        <w:rPr>
          <w:rFonts w:eastAsia="Calibri" w:cstheme="minorHAnsi"/>
          <w:i/>
          <w:iCs/>
        </w:rPr>
        <w:t>Construction, Équipement et Appui du Laboratoire de Recherche-développement sur le palmier dattier (Culture In-vitro et phytopathologie) situé à Atar avec une capacité de production de plus de 100 000 vitro plants par an ;</w:t>
      </w:r>
    </w:p>
    <w:p w14:paraId="2016EB7A"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lowKashida"/>
        <w:rPr>
          <w:rFonts w:eastAsia="Calibri" w:cstheme="minorHAnsi"/>
          <w:i/>
          <w:iCs/>
        </w:rPr>
      </w:pPr>
      <w:r w:rsidRPr="001433C6">
        <w:rPr>
          <w:rFonts w:eastAsia="Calibri" w:cstheme="minorHAnsi"/>
          <w:i/>
          <w:iCs/>
        </w:rPr>
        <w:t>Construction et équipement de la première Unité de Conditionnement des Dattes et légumes en Mauritanie conformément aux normes internationales et la mise en place de la Société Toumour Mauritania (STM) située à Atar ;</w:t>
      </w:r>
    </w:p>
    <w:p w14:paraId="2A5466DC"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lowKashida"/>
        <w:rPr>
          <w:rFonts w:eastAsia="Calibri" w:cstheme="minorHAnsi"/>
          <w:i/>
          <w:iCs/>
        </w:rPr>
      </w:pPr>
      <w:r w:rsidRPr="001433C6">
        <w:rPr>
          <w:rFonts w:eastAsia="Calibri" w:cstheme="minorHAnsi"/>
          <w:i/>
          <w:iCs/>
        </w:rPr>
        <w:t>Expérience du MASA dans la gestion des catastrophes liées au CC</w:t>
      </w:r>
    </w:p>
    <w:p w14:paraId="02FAE0F7"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lowKashida"/>
        <w:rPr>
          <w:rFonts w:eastAsia="Calibri" w:cstheme="minorHAnsi"/>
          <w:i/>
          <w:iCs/>
        </w:rPr>
      </w:pPr>
      <w:r w:rsidRPr="001433C6">
        <w:rPr>
          <w:rFonts w:eastAsia="Calibri" w:cstheme="minorHAnsi"/>
          <w:i/>
          <w:iCs/>
        </w:rPr>
        <w:t xml:space="preserve">Le PIP prévoit, pour l’année 2026, une enveloppe financière de 31 730 M.MRU pour l’agriculture et le génie rural (non compris l’hydraulique villageoise). </w:t>
      </w:r>
    </w:p>
    <w:p w14:paraId="6D950B71" w14:textId="718CA237" w:rsidR="00A47DEE" w:rsidRPr="001433C6" w:rsidRDefault="00A47DEE" w:rsidP="00A47DEE">
      <w:pPr>
        <w:numPr>
          <w:ilvl w:val="0"/>
          <w:numId w:val="367"/>
        </w:numPr>
        <w:autoSpaceDE w:val="0"/>
        <w:autoSpaceDN w:val="0"/>
        <w:adjustRightInd w:val="0"/>
        <w:spacing w:before="240" w:after="0" w:line="276" w:lineRule="auto"/>
        <w:ind w:left="426" w:hanging="284"/>
        <w:contextualSpacing/>
        <w:jc w:val="lowKashida"/>
        <w:rPr>
          <w:rFonts w:eastAsia="Calibri" w:cstheme="minorHAnsi"/>
          <w:i/>
          <w:iCs/>
        </w:rPr>
      </w:pPr>
      <w:r w:rsidRPr="001433C6">
        <w:rPr>
          <w:rFonts w:eastAsia="Calibri" w:cstheme="minorHAnsi"/>
          <w:i/>
          <w:iCs/>
        </w:rPr>
        <w:t xml:space="preserve">Le département chargé de l’agriculture est appuyé par plusieurs partenaires techniques et financiers (FSD, BM-IDA, </w:t>
      </w:r>
      <w:proofErr w:type="gramStart"/>
      <w:r w:rsidRPr="001433C6">
        <w:rPr>
          <w:rFonts w:eastAsia="Calibri" w:cstheme="minorHAnsi"/>
          <w:i/>
          <w:iCs/>
        </w:rPr>
        <w:t>FIDA</w:t>
      </w:r>
      <w:r w:rsidR="009B093B">
        <w:rPr>
          <w:rFonts w:eastAsia="Calibri" w:cstheme="minorHAnsi"/>
          <w:i/>
          <w:iCs/>
        </w:rPr>
        <w:t xml:space="preserve"> </w:t>
      </w:r>
      <w:r w:rsidRPr="001433C6">
        <w:rPr>
          <w:rFonts w:eastAsia="Calibri" w:cstheme="minorHAnsi"/>
          <w:i/>
          <w:iCs/>
        </w:rPr>
        <w:t>,</w:t>
      </w:r>
      <w:proofErr w:type="gramEnd"/>
      <w:r w:rsidR="009B093B">
        <w:rPr>
          <w:rFonts w:eastAsia="Calibri" w:cstheme="minorHAnsi"/>
          <w:i/>
          <w:iCs/>
        </w:rPr>
        <w:t xml:space="preserve"> </w:t>
      </w:r>
      <w:r w:rsidRPr="001433C6">
        <w:rPr>
          <w:rFonts w:eastAsia="Calibri" w:cstheme="minorHAnsi"/>
          <w:i/>
          <w:iCs/>
        </w:rPr>
        <w:t>UE, AFD, BID, BAD, FAO, RFA –KFW, etc.).</w:t>
      </w:r>
    </w:p>
    <w:p w14:paraId="2A620CA8" w14:textId="77777777" w:rsidR="00A47DEE" w:rsidRPr="001433C6" w:rsidRDefault="00A47DEE" w:rsidP="00A47DEE">
      <w:pPr>
        <w:spacing w:after="0"/>
        <w:rPr>
          <w:rFonts w:eastAsia="Calibri" w:cstheme="minorHAnsi"/>
          <w:i/>
          <w:iCs/>
        </w:rPr>
      </w:pPr>
      <w:r w:rsidRPr="001433C6">
        <w:rPr>
          <w:rFonts w:eastAsia="Calibri" w:cstheme="minorHAnsi"/>
          <w:b/>
          <w:bCs/>
          <w:i/>
          <w:iCs/>
          <w:sz w:val="24"/>
          <w:szCs w:val="24"/>
          <w:u w:val="single"/>
        </w:rPr>
        <w:t xml:space="preserve">Les Programmes prioritaires. </w:t>
      </w:r>
      <w:r w:rsidRPr="001433C6">
        <w:rPr>
          <w:rFonts w:eastAsia="Calibri" w:cstheme="minorHAnsi"/>
          <w:i/>
          <w:iCs/>
        </w:rPr>
        <w:t>Les options d’adaptation ont fait l’objet d’une priorisation à partir de l’analyse multicritères (AMC) basée sur les critères suivants :</w:t>
      </w:r>
    </w:p>
    <w:p w14:paraId="0E8C601A" w14:textId="77777777" w:rsidR="00A47DEE" w:rsidRPr="001433C6" w:rsidRDefault="00A47DEE" w:rsidP="00A47DEE">
      <w:pPr>
        <w:numPr>
          <w:ilvl w:val="0"/>
          <w:numId w:val="383"/>
        </w:numPr>
        <w:autoSpaceDE w:val="0"/>
        <w:autoSpaceDN w:val="0"/>
        <w:adjustRightInd w:val="0"/>
        <w:spacing w:after="0" w:line="276" w:lineRule="auto"/>
        <w:ind w:left="1134" w:hanging="425"/>
        <w:contextualSpacing/>
        <w:rPr>
          <w:rFonts w:eastAsia="Calibri" w:cstheme="minorHAnsi"/>
          <w:i/>
          <w:iCs/>
        </w:rPr>
      </w:pPr>
      <w:r w:rsidRPr="001433C6">
        <w:rPr>
          <w:rFonts w:eastAsia="Calibri" w:cstheme="minorHAnsi"/>
          <w:i/>
          <w:iCs/>
        </w:rPr>
        <w:t>Avantages socioéconomiques</w:t>
      </w:r>
    </w:p>
    <w:p w14:paraId="3A4F7B78" w14:textId="77777777" w:rsidR="00A47DEE" w:rsidRPr="001433C6" w:rsidRDefault="00A47DEE" w:rsidP="00A47DEE">
      <w:pPr>
        <w:numPr>
          <w:ilvl w:val="0"/>
          <w:numId w:val="383"/>
        </w:numPr>
        <w:autoSpaceDE w:val="0"/>
        <w:autoSpaceDN w:val="0"/>
        <w:adjustRightInd w:val="0"/>
        <w:spacing w:after="0" w:line="276" w:lineRule="auto"/>
        <w:ind w:left="1134" w:hanging="425"/>
        <w:contextualSpacing/>
        <w:rPr>
          <w:rFonts w:eastAsia="Calibri" w:cstheme="minorHAnsi"/>
          <w:i/>
          <w:iCs/>
        </w:rPr>
      </w:pPr>
      <w:r w:rsidRPr="001433C6">
        <w:rPr>
          <w:rFonts w:eastAsia="Calibri" w:cstheme="minorHAnsi"/>
          <w:i/>
          <w:iCs/>
        </w:rPr>
        <w:t>Avantages environnementaux</w:t>
      </w:r>
    </w:p>
    <w:p w14:paraId="16408303" w14:textId="77777777" w:rsidR="00A47DEE" w:rsidRPr="001433C6" w:rsidRDefault="00A47DEE" w:rsidP="00A47DEE">
      <w:pPr>
        <w:numPr>
          <w:ilvl w:val="0"/>
          <w:numId w:val="383"/>
        </w:numPr>
        <w:autoSpaceDE w:val="0"/>
        <w:autoSpaceDN w:val="0"/>
        <w:adjustRightInd w:val="0"/>
        <w:spacing w:after="0" w:line="276" w:lineRule="auto"/>
        <w:ind w:left="1134" w:hanging="425"/>
        <w:contextualSpacing/>
        <w:rPr>
          <w:rFonts w:eastAsia="Calibri" w:cstheme="minorHAnsi"/>
          <w:i/>
          <w:iCs/>
        </w:rPr>
      </w:pPr>
      <w:r w:rsidRPr="001433C6">
        <w:rPr>
          <w:rFonts w:eastAsia="Calibri" w:cstheme="minorHAnsi"/>
          <w:i/>
          <w:iCs/>
        </w:rPr>
        <w:t>Faisabilité technique</w:t>
      </w:r>
    </w:p>
    <w:p w14:paraId="43EECA74" w14:textId="77777777" w:rsidR="00A47DEE" w:rsidRPr="00776D89" w:rsidRDefault="00A47DEE" w:rsidP="00A47DEE">
      <w:pPr>
        <w:numPr>
          <w:ilvl w:val="0"/>
          <w:numId w:val="383"/>
        </w:numPr>
        <w:autoSpaceDE w:val="0"/>
        <w:autoSpaceDN w:val="0"/>
        <w:adjustRightInd w:val="0"/>
        <w:spacing w:after="0" w:line="276" w:lineRule="auto"/>
        <w:ind w:left="1134" w:hanging="425"/>
        <w:contextualSpacing/>
        <w:rPr>
          <w:rFonts w:eastAsia="Calibri" w:cstheme="minorHAnsi"/>
          <w:i/>
          <w:iCs/>
        </w:rPr>
      </w:pPr>
      <w:r w:rsidRPr="001433C6">
        <w:rPr>
          <w:rFonts w:eastAsia="Calibri" w:cstheme="minorHAnsi"/>
          <w:i/>
          <w:iCs/>
        </w:rPr>
        <w:t>Coût</w:t>
      </w:r>
    </w:p>
    <w:p w14:paraId="3AD99F1B" w14:textId="77777777" w:rsidR="00A47DEE" w:rsidRPr="00776D89" w:rsidRDefault="00A47DEE" w:rsidP="00A47DEE">
      <w:pPr>
        <w:autoSpaceDE w:val="0"/>
        <w:autoSpaceDN w:val="0"/>
        <w:adjustRightInd w:val="0"/>
        <w:spacing w:before="120" w:after="120"/>
        <w:jc w:val="lowKashida"/>
        <w:rPr>
          <w:rFonts w:eastAsia="Calibri" w:cstheme="minorHAnsi"/>
          <w:i/>
          <w:iCs/>
        </w:rPr>
      </w:pPr>
      <w:r w:rsidRPr="00776D89">
        <w:rPr>
          <w:rFonts w:eastAsia="Calibri" w:cstheme="minorHAnsi"/>
          <w:i/>
          <w:iCs/>
        </w:rPr>
        <w:t xml:space="preserve">L’analyse multicritères a été réalisée en trois </w:t>
      </w:r>
      <w:r w:rsidRPr="001433C6">
        <w:rPr>
          <w:rFonts w:eastAsia="Calibri" w:cstheme="minorHAnsi"/>
          <w:i/>
          <w:iCs/>
        </w:rPr>
        <w:t>étapes :</w:t>
      </w:r>
      <w:r w:rsidRPr="00776D89">
        <w:rPr>
          <w:rFonts w:eastAsia="Calibri" w:cstheme="minorHAnsi"/>
          <w:i/>
          <w:iCs/>
        </w:rPr>
        <w:t xml:space="preserve"> (i) identification des critères à utiliser pour comparer les </w:t>
      </w:r>
      <w:r w:rsidRPr="001433C6">
        <w:rPr>
          <w:rFonts w:eastAsia="Calibri" w:cstheme="minorHAnsi"/>
          <w:i/>
          <w:iCs/>
        </w:rPr>
        <w:t>actions ;</w:t>
      </w:r>
      <w:r w:rsidRPr="00776D89">
        <w:rPr>
          <w:rFonts w:eastAsia="Calibri" w:cstheme="minorHAnsi"/>
          <w:i/>
          <w:iCs/>
        </w:rPr>
        <w:t xml:space="preserve"> (ii</w:t>
      </w:r>
      <w:r w:rsidRPr="001433C6">
        <w:rPr>
          <w:rFonts w:eastAsia="Calibri" w:cstheme="minorHAnsi"/>
          <w:i/>
          <w:iCs/>
        </w:rPr>
        <w:t>) notation</w:t>
      </w:r>
      <w:r w:rsidRPr="00776D89">
        <w:rPr>
          <w:rFonts w:eastAsia="Calibri" w:cstheme="minorHAnsi"/>
          <w:i/>
          <w:iCs/>
        </w:rPr>
        <w:t xml:space="preserve"> des actions selon les critères </w:t>
      </w:r>
      <w:r w:rsidRPr="001433C6">
        <w:rPr>
          <w:rFonts w:eastAsia="Calibri" w:cstheme="minorHAnsi"/>
          <w:i/>
          <w:iCs/>
        </w:rPr>
        <w:t>retenus ;</w:t>
      </w:r>
      <w:r w:rsidRPr="00776D89">
        <w:rPr>
          <w:rFonts w:eastAsia="Calibri" w:cstheme="minorHAnsi"/>
          <w:i/>
          <w:iCs/>
        </w:rPr>
        <w:t xml:space="preserve"> (iii)la pondération et l’analyse de sensibilité. </w:t>
      </w:r>
    </w:p>
    <w:p w14:paraId="49B995EA" w14:textId="77777777" w:rsidR="00A47DEE" w:rsidRPr="00776D89" w:rsidRDefault="00A47DEE" w:rsidP="00A47DEE">
      <w:pPr>
        <w:autoSpaceDE w:val="0"/>
        <w:autoSpaceDN w:val="0"/>
        <w:adjustRightInd w:val="0"/>
        <w:spacing w:before="120" w:after="120"/>
        <w:jc w:val="both"/>
        <w:rPr>
          <w:rFonts w:eastAsia="Calibri" w:cstheme="minorHAnsi"/>
          <w:b/>
          <w:bCs/>
          <w:i/>
          <w:iCs/>
        </w:rPr>
      </w:pPr>
      <w:r w:rsidRPr="00776D89">
        <w:rPr>
          <w:rFonts w:eastAsia="Calibri" w:cstheme="minorHAnsi"/>
          <w:b/>
          <w:bCs/>
          <w:i/>
          <w:iCs/>
        </w:rPr>
        <w:t xml:space="preserve">Il ressort de cette hiérarchisation </w:t>
      </w:r>
      <w:r w:rsidRPr="001433C6">
        <w:rPr>
          <w:rFonts w:eastAsia="Calibri" w:cstheme="minorHAnsi"/>
          <w:b/>
          <w:bCs/>
          <w:i/>
          <w:iCs/>
        </w:rPr>
        <w:t>04 programmes prioritaires</w:t>
      </w:r>
      <w:r w:rsidRPr="00776D89">
        <w:rPr>
          <w:rFonts w:eastAsia="Calibri" w:cstheme="minorHAnsi"/>
          <w:b/>
          <w:bCs/>
          <w:i/>
          <w:iCs/>
        </w:rPr>
        <w:t xml:space="preserve"> : </w:t>
      </w:r>
    </w:p>
    <w:p w14:paraId="6FB91A4E" w14:textId="77777777" w:rsidR="00A47DEE" w:rsidRPr="001433C6" w:rsidRDefault="00A47DEE" w:rsidP="00A47DEE">
      <w:pPr>
        <w:spacing w:after="0"/>
        <w:ind w:left="360"/>
        <w:jc w:val="lowKashida"/>
        <w:rPr>
          <w:rFonts w:eastAsia="Times New Roman" w:cstheme="minorHAnsi"/>
          <w:b/>
          <w:bCs/>
          <w:i/>
          <w:iCs/>
        </w:rPr>
      </w:pPr>
      <w:r w:rsidRPr="001433C6">
        <w:rPr>
          <w:rFonts w:eastAsia="Times New Roman" w:cstheme="minorHAnsi"/>
          <w:b/>
          <w:bCs/>
          <w:i/>
          <w:iCs/>
          <w:u w:val="single"/>
        </w:rPr>
        <w:t>Programme 1 : Amélioration de la résilience des systèmes de production agricole aux changements climatiques</w:t>
      </w:r>
      <w:r w:rsidRPr="001433C6">
        <w:rPr>
          <w:rFonts w:eastAsia="Times New Roman" w:cstheme="minorHAnsi"/>
          <w:b/>
          <w:bCs/>
          <w:i/>
          <w:iCs/>
        </w:rPr>
        <w:t> :</w:t>
      </w:r>
    </w:p>
    <w:p w14:paraId="2B331C8C" w14:textId="77777777" w:rsidR="00A47DEE" w:rsidRPr="001433C6" w:rsidRDefault="00A47DEE" w:rsidP="00A47DEE">
      <w:pPr>
        <w:pStyle w:val="Paragraphedeliste"/>
        <w:numPr>
          <w:ilvl w:val="0"/>
          <w:numId w:val="382"/>
        </w:numPr>
        <w:spacing w:after="0" w:line="276" w:lineRule="auto"/>
        <w:jc w:val="lowKashida"/>
        <w:rPr>
          <w:rFonts w:eastAsia="Times New Roman" w:cstheme="minorHAnsi"/>
          <w:i/>
          <w:iCs/>
        </w:rPr>
      </w:pPr>
      <w:r w:rsidRPr="001433C6">
        <w:rPr>
          <w:rFonts w:eastAsia="Times New Roman" w:cstheme="minorHAnsi"/>
          <w:i/>
          <w:iCs/>
        </w:rPr>
        <w:t>Développement de la filière semencière et des écotypes, de l'usage des espèces autochtones</w:t>
      </w:r>
    </w:p>
    <w:p w14:paraId="62DAE439" w14:textId="77777777" w:rsidR="00A47DEE" w:rsidRPr="001433C6" w:rsidRDefault="00A47DEE" w:rsidP="00A47DEE">
      <w:pPr>
        <w:pStyle w:val="Paragraphedeliste"/>
        <w:numPr>
          <w:ilvl w:val="0"/>
          <w:numId w:val="382"/>
        </w:numPr>
        <w:spacing w:after="0" w:line="276" w:lineRule="auto"/>
        <w:jc w:val="lowKashida"/>
        <w:rPr>
          <w:rFonts w:eastAsia="Times New Roman" w:cstheme="minorHAnsi"/>
          <w:i/>
          <w:iCs/>
        </w:rPr>
      </w:pPr>
      <w:r w:rsidRPr="001433C6">
        <w:rPr>
          <w:rFonts w:eastAsia="Times New Roman" w:cstheme="minorHAnsi"/>
          <w:i/>
          <w:iCs/>
        </w:rPr>
        <w:t>Amélioration des systèmes de productions pluviales</w:t>
      </w:r>
    </w:p>
    <w:p w14:paraId="027255D9" w14:textId="77777777" w:rsidR="00A47DEE" w:rsidRPr="001433C6" w:rsidRDefault="00A47DEE" w:rsidP="00A47DEE">
      <w:pPr>
        <w:pStyle w:val="Paragraphedeliste"/>
        <w:numPr>
          <w:ilvl w:val="0"/>
          <w:numId w:val="382"/>
        </w:numPr>
        <w:spacing w:after="0" w:line="276" w:lineRule="auto"/>
        <w:jc w:val="lowKashida"/>
        <w:rPr>
          <w:rFonts w:eastAsia="Times New Roman" w:cstheme="minorHAnsi"/>
          <w:i/>
          <w:iCs/>
        </w:rPr>
      </w:pPr>
      <w:r w:rsidRPr="001433C6">
        <w:rPr>
          <w:rFonts w:eastAsia="Times New Roman" w:cstheme="minorHAnsi"/>
          <w:i/>
          <w:iCs/>
        </w:rPr>
        <w:t xml:space="preserve">Appui à la Promotion du maraîchage </w:t>
      </w:r>
    </w:p>
    <w:p w14:paraId="775411F6" w14:textId="77777777" w:rsidR="00A47DEE" w:rsidRPr="001433C6" w:rsidRDefault="00A47DEE" w:rsidP="00A47DEE">
      <w:pPr>
        <w:pStyle w:val="Paragraphedeliste"/>
        <w:numPr>
          <w:ilvl w:val="0"/>
          <w:numId w:val="382"/>
        </w:numPr>
        <w:spacing w:after="0" w:line="276" w:lineRule="auto"/>
        <w:jc w:val="lowKashida"/>
        <w:rPr>
          <w:rFonts w:eastAsia="Times New Roman" w:cstheme="minorHAnsi"/>
          <w:i/>
          <w:iCs/>
        </w:rPr>
      </w:pPr>
      <w:r w:rsidRPr="001433C6">
        <w:rPr>
          <w:rFonts w:eastAsia="Times New Roman" w:cstheme="minorHAnsi"/>
          <w:i/>
          <w:iCs/>
        </w:rPr>
        <w:t xml:space="preserve">Intensification des cultures irriguées </w:t>
      </w:r>
    </w:p>
    <w:p w14:paraId="6F420A0B" w14:textId="77777777" w:rsidR="00A47DEE" w:rsidRPr="001433C6" w:rsidRDefault="00A47DEE" w:rsidP="00A47DEE">
      <w:pPr>
        <w:pStyle w:val="Paragraphedeliste"/>
        <w:numPr>
          <w:ilvl w:val="0"/>
          <w:numId w:val="382"/>
        </w:numPr>
        <w:spacing w:after="0" w:line="276" w:lineRule="auto"/>
        <w:jc w:val="lowKashida"/>
        <w:rPr>
          <w:rFonts w:eastAsia="Times New Roman" w:cstheme="minorHAnsi"/>
          <w:i/>
          <w:iCs/>
        </w:rPr>
      </w:pPr>
      <w:r w:rsidRPr="001433C6">
        <w:rPr>
          <w:rFonts w:eastAsia="Times New Roman" w:cstheme="minorHAnsi"/>
          <w:i/>
          <w:iCs/>
        </w:rPr>
        <w:t xml:space="preserve">Développement des périmètres irrigués villageois </w:t>
      </w:r>
    </w:p>
    <w:p w14:paraId="53884CB1" w14:textId="77777777" w:rsidR="00A47DEE" w:rsidRPr="001433C6" w:rsidRDefault="00A47DEE" w:rsidP="00A47DEE">
      <w:pPr>
        <w:pStyle w:val="Paragraphedeliste"/>
        <w:numPr>
          <w:ilvl w:val="0"/>
          <w:numId w:val="382"/>
        </w:numPr>
        <w:spacing w:after="0" w:line="276" w:lineRule="auto"/>
        <w:jc w:val="lowKashida"/>
        <w:rPr>
          <w:rFonts w:eastAsia="Times New Roman" w:cstheme="minorHAnsi"/>
          <w:i/>
          <w:iCs/>
        </w:rPr>
      </w:pPr>
      <w:r w:rsidRPr="001433C6">
        <w:rPr>
          <w:rFonts w:eastAsia="Times New Roman" w:cstheme="minorHAnsi"/>
          <w:i/>
          <w:iCs/>
        </w:rPr>
        <w:t xml:space="preserve">Restauration et sauvegarde des palmeraies menacées par les impacts des CC </w:t>
      </w:r>
    </w:p>
    <w:p w14:paraId="2EF31684" w14:textId="77777777" w:rsidR="00A47DEE" w:rsidRPr="001433C6" w:rsidRDefault="00A47DEE" w:rsidP="00A47DEE">
      <w:pPr>
        <w:pStyle w:val="Paragraphedeliste"/>
        <w:numPr>
          <w:ilvl w:val="0"/>
          <w:numId w:val="382"/>
        </w:numPr>
        <w:spacing w:after="0" w:line="276" w:lineRule="auto"/>
        <w:jc w:val="lowKashida"/>
        <w:rPr>
          <w:rFonts w:eastAsia="Times New Roman" w:cstheme="minorHAnsi"/>
          <w:i/>
          <w:iCs/>
        </w:rPr>
      </w:pPr>
      <w:r w:rsidRPr="001433C6">
        <w:rPr>
          <w:rFonts w:eastAsia="Times New Roman" w:cstheme="minorHAnsi"/>
          <w:i/>
          <w:iCs/>
        </w:rPr>
        <w:t>Promotion de la mécanisation agricole adaptée aux différents systèmes de production.</w:t>
      </w:r>
    </w:p>
    <w:p w14:paraId="3EB3953A" w14:textId="77777777" w:rsidR="00A47DEE" w:rsidRPr="001433C6" w:rsidRDefault="00A47DEE" w:rsidP="00A47DEE">
      <w:pPr>
        <w:pStyle w:val="Paragraphedeliste"/>
        <w:numPr>
          <w:ilvl w:val="0"/>
          <w:numId w:val="382"/>
        </w:numPr>
        <w:spacing w:after="0" w:line="276" w:lineRule="auto"/>
        <w:jc w:val="lowKashida"/>
        <w:rPr>
          <w:rFonts w:eastAsia="Times New Roman" w:cstheme="minorHAnsi"/>
          <w:i/>
          <w:iCs/>
        </w:rPr>
      </w:pPr>
      <w:r w:rsidRPr="001433C6">
        <w:rPr>
          <w:rFonts w:eastAsia="Times New Roman" w:cstheme="minorHAnsi"/>
          <w:i/>
          <w:iCs/>
        </w:rPr>
        <w:t>Lutte alternative contre les ennemis des cultures et les adventices.</w:t>
      </w:r>
    </w:p>
    <w:p w14:paraId="0A70B2A8" w14:textId="77777777" w:rsidR="00A47DEE" w:rsidRPr="001433C6" w:rsidRDefault="00A47DEE" w:rsidP="00A47DEE">
      <w:pPr>
        <w:spacing w:after="0"/>
        <w:ind w:left="360"/>
        <w:jc w:val="lowKashida"/>
        <w:rPr>
          <w:rFonts w:eastAsia="Times New Roman" w:cstheme="minorHAnsi"/>
          <w:b/>
          <w:bCs/>
          <w:i/>
          <w:iCs/>
          <w:u w:val="single"/>
        </w:rPr>
      </w:pPr>
      <w:r w:rsidRPr="001433C6">
        <w:rPr>
          <w:rFonts w:eastAsia="Times New Roman" w:cstheme="minorHAnsi"/>
          <w:b/>
          <w:bCs/>
          <w:i/>
          <w:iCs/>
          <w:u w:val="single"/>
        </w:rPr>
        <w:t>Programme 2 : Prévention et gestion des risques agricoles :</w:t>
      </w:r>
    </w:p>
    <w:p w14:paraId="20828FAE" w14:textId="77777777" w:rsidR="00A47DEE" w:rsidRPr="001433C6" w:rsidRDefault="00A47DEE" w:rsidP="00A47DEE">
      <w:pPr>
        <w:pStyle w:val="Paragraphedeliste"/>
        <w:numPr>
          <w:ilvl w:val="0"/>
          <w:numId w:val="382"/>
        </w:numPr>
        <w:spacing w:after="0" w:line="276" w:lineRule="auto"/>
        <w:jc w:val="lowKashida"/>
        <w:rPr>
          <w:rFonts w:eastAsia="Times New Roman" w:cstheme="minorHAnsi"/>
          <w:i/>
          <w:iCs/>
        </w:rPr>
      </w:pPr>
      <w:r w:rsidRPr="001433C6">
        <w:rPr>
          <w:rFonts w:eastAsia="Times New Roman" w:cstheme="minorHAnsi"/>
          <w:i/>
          <w:iCs/>
        </w:rPr>
        <w:t>Mise en place d’un système d’assurance des agriculteurs contre les risques agro-climatiques</w:t>
      </w:r>
    </w:p>
    <w:p w14:paraId="4BCEC5F9" w14:textId="77777777" w:rsidR="00A47DEE" w:rsidRPr="001433C6" w:rsidRDefault="00A47DEE" w:rsidP="00A47DEE">
      <w:pPr>
        <w:pStyle w:val="Paragraphedeliste"/>
        <w:numPr>
          <w:ilvl w:val="0"/>
          <w:numId w:val="382"/>
        </w:numPr>
        <w:spacing w:after="0" w:line="276" w:lineRule="auto"/>
        <w:jc w:val="lowKashida"/>
        <w:rPr>
          <w:rFonts w:eastAsia="Times New Roman" w:cstheme="minorHAnsi"/>
          <w:i/>
          <w:iCs/>
        </w:rPr>
      </w:pPr>
      <w:r w:rsidRPr="001433C6">
        <w:rPr>
          <w:rFonts w:eastAsia="Times New Roman" w:cstheme="minorHAnsi"/>
          <w:i/>
          <w:iCs/>
        </w:rPr>
        <w:t>Conception et opérationnalisation d’un système d’alerte précoce / anticipation des risques climatiques</w:t>
      </w:r>
    </w:p>
    <w:p w14:paraId="568DD166" w14:textId="77777777" w:rsidR="00A47DEE" w:rsidRPr="001433C6" w:rsidRDefault="00A47DEE" w:rsidP="00A47DEE">
      <w:pPr>
        <w:spacing w:after="0"/>
        <w:ind w:left="360"/>
        <w:jc w:val="lowKashida"/>
        <w:rPr>
          <w:rFonts w:eastAsia="Times New Roman" w:cstheme="minorHAnsi"/>
          <w:b/>
          <w:bCs/>
          <w:i/>
          <w:iCs/>
          <w:u w:val="single"/>
        </w:rPr>
      </w:pPr>
      <w:r w:rsidRPr="001433C6">
        <w:rPr>
          <w:rFonts w:eastAsia="Times New Roman" w:cstheme="minorHAnsi"/>
          <w:b/>
          <w:bCs/>
          <w:i/>
          <w:iCs/>
          <w:u w:val="single"/>
        </w:rPr>
        <w:t>Programme 3 : Promotion de la gestion durable des terres agricoles :</w:t>
      </w:r>
    </w:p>
    <w:p w14:paraId="19A71E22" w14:textId="77777777" w:rsidR="00A47DEE" w:rsidRPr="001433C6" w:rsidRDefault="00A47DEE" w:rsidP="00A47DEE">
      <w:pPr>
        <w:pStyle w:val="Paragraphedeliste"/>
        <w:numPr>
          <w:ilvl w:val="0"/>
          <w:numId w:val="382"/>
        </w:numPr>
        <w:spacing w:after="0" w:line="276" w:lineRule="auto"/>
        <w:jc w:val="lowKashida"/>
        <w:rPr>
          <w:rFonts w:eastAsia="Times New Roman" w:cstheme="minorHAnsi"/>
          <w:i/>
          <w:iCs/>
        </w:rPr>
      </w:pPr>
      <w:r w:rsidRPr="001433C6">
        <w:rPr>
          <w:rFonts w:eastAsia="Times New Roman" w:cstheme="minorHAnsi"/>
          <w:i/>
          <w:iCs/>
        </w:rPr>
        <w:t>Restauration de la fertilité des terres agricoles et neutralisation de leur dégradation (NDT/LDN)</w:t>
      </w:r>
    </w:p>
    <w:p w14:paraId="3B3BBD4B" w14:textId="77777777" w:rsidR="00A47DEE" w:rsidRPr="001433C6" w:rsidRDefault="00A47DEE" w:rsidP="00A47DEE">
      <w:pPr>
        <w:pStyle w:val="Paragraphedeliste"/>
        <w:numPr>
          <w:ilvl w:val="0"/>
          <w:numId w:val="382"/>
        </w:numPr>
        <w:spacing w:after="0" w:line="276" w:lineRule="auto"/>
        <w:jc w:val="lowKashida"/>
        <w:rPr>
          <w:rFonts w:eastAsia="Times New Roman" w:cstheme="minorHAnsi"/>
          <w:i/>
          <w:iCs/>
        </w:rPr>
      </w:pPr>
      <w:r w:rsidRPr="001433C6">
        <w:rPr>
          <w:rFonts w:eastAsia="Times New Roman" w:cstheme="minorHAnsi"/>
          <w:i/>
          <w:iCs/>
        </w:rPr>
        <w:t>Développement de l'arboriculture fruitière et de l'agroforesterie à base d’espèces autochtones et à usages multiples</w:t>
      </w:r>
    </w:p>
    <w:p w14:paraId="7DD9AFE6" w14:textId="77777777" w:rsidR="00A47DEE" w:rsidRPr="001433C6" w:rsidRDefault="00A47DEE" w:rsidP="00A47DEE">
      <w:pPr>
        <w:spacing w:after="0"/>
        <w:ind w:left="360"/>
        <w:jc w:val="lowKashida"/>
        <w:rPr>
          <w:rFonts w:eastAsia="Times New Roman" w:cstheme="minorHAnsi"/>
          <w:b/>
          <w:bCs/>
          <w:i/>
          <w:iCs/>
          <w:u w:val="single"/>
        </w:rPr>
      </w:pPr>
      <w:r w:rsidRPr="001433C6">
        <w:rPr>
          <w:rFonts w:eastAsia="Times New Roman" w:cstheme="minorHAnsi"/>
          <w:b/>
          <w:bCs/>
          <w:i/>
          <w:iCs/>
          <w:u w:val="single"/>
        </w:rPr>
        <w:t>Programme 4 : Mobilisation et valorisation des eaux agricoles :</w:t>
      </w:r>
    </w:p>
    <w:p w14:paraId="233DF99A" w14:textId="77777777" w:rsidR="00A47DEE" w:rsidRPr="001433C6" w:rsidRDefault="00A47DEE" w:rsidP="00A47DEE">
      <w:pPr>
        <w:pStyle w:val="Paragraphedeliste"/>
        <w:numPr>
          <w:ilvl w:val="0"/>
          <w:numId w:val="382"/>
        </w:numPr>
        <w:spacing w:after="0" w:line="276" w:lineRule="auto"/>
        <w:jc w:val="lowKashida"/>
        <w:rPr>
          <w:rFonts w:eastAsia="Times New Roman" w:cstheme="minorHAnsi"/>
          <w:i/>
          <w:iCs/>
        </w:rPr>
      </w:pPr>
      <w:r w:rsidRPr="001433C6">
        <w:rPr>
          <w:rFonts w:eastAsia="Times New Roman" w:cstheme="minorHAnsi"/>
          <w:i/>
          <w:iCs/>
        </w:rPr>
        <w:t xml:space="preserve">Collecte et valorisation des eaux pluviales et de ruissellement </w:t>
      </w:r>
    </w:p>
    <w:p w14:paraId="1B9D43EB" w14:textId="77777777" w:rsidR="00A47DEE" w:rsidRDefault="00A47DEE" w:rsidP="00A47DEE">
      <w:pPr>
        <w:pStyle w:val="Paragraphedeliste"/>
        <w:numPr>
          <w:ilvl w:val="0"/>
          <w:numId w:val="382"/>
        </w:numPr>
        <w:spacing w:after="0" w:line="276" w:lineRule="auto"/>
        <w:jc w:val="lowKashida"/>
        <w:rPr>
          <w:rFonts w:eastAsia="Times New Roman" w:cstheme="minorHAnsi"/>
          <w:i/>
          <w:iCs/>
        </w:rPr>
      </w:pPr>
      <w:r w:rsidRPr="001433C6">
        <w:rPr>
          <w:rFonts w:eastAsia="Times New Roman" w:cstheme="minorHAnsi"/>
          <w:i/>
          <w:iCs/>
        </w:rPr>
        <w:t>Développement de la micro-irrigation et l'utilisation de l'exhaure solaire</w:t>
      </w:r>
    </w:p>
    <w:p w14:paraId="7B433FF8" w14:textId="77777777" w:rsidR="00A47DEE" w:rsidRPr="00A45969" w:rsidRDefault="00A47DEE" w:rsidP="00A47DEE">
      <w:pPr>
        <w:pStyle w:val="Paragraphedeliste"/>
        <w:numPr>
          <w:ilvl w:val="0"/>
          <w:numId w:val="382"/>
        </w:numPr>
        <w:spacing w:after="0" w:line="276" w:lineRule="auto"/>
        <w:jc w:val="lowKashida"/>
        <w:rPr>
          <w:rFonts w:eastAsia="Times New Roman" w:cstheme="minorHAnsi"/>
          <w:i/>
          <w:iCs/>
        </w:rPr>
      </w:pPr>
    </w:p>
    <w:p w14:paraId="5DFA16BC" w14:textId="77777777" w:rsidR="00A47DEE" w:rsidRPr="001433C6" w:rsidRDefault="00A47DEE" w:rsidP="00A47DEE">
      <w:pPr>
        <w:rPr>
          <w:rFonts w:eastAsia="Calibri" w:cstheme="minorHAnsi"/>
          <w:b/>
          <w:bCs/>
          <w:i/>
          <w:iCs/>
          <w:sz w:val="24"/>
          <w:szCs w:val="24"/>
        </w:rPr>
      </w:pPr>
      <w:r w:rsidRPr="001433C6">
        <w:rPr>
          <w:rFonts w:eastAsia="Calibri" w:cstheme="minorHAnsi"/>
          <w:b/>
          <w:bCs/>
          <w:i/>
          <w:iCs/>
          <w:sz w:val="24"/>
          <w:szCs w:val="24"/>
        </w:rPr>
        <w:t>PARTIE V : OBSTACLES ET LACUNES AYANT TRAIT A LA MISE EN ŒUVRE DE L’ADAPTATION</w:t>
      </w:r>
    </w:p>
    <w:p w14:paraId="5E471E0F" w14:textId="77777777" w:rsidR="00A47DEE" w:rsidRPr="001433C6" w:rsidRDefault="00A47DEE" w:rsidP="00A47DEE">
      <w:pPr>
        <w:rPr>
          <w:rFonts w:eastAsia="Calibri" w:cstheme="minorHAnsi"/>
          <w:i/>
          <w:iCs/>
        </w:rPr>
      </w:pPr>
      <w:r w:rsidRPr="001433C6">
        <w:rPr>
          <w:rFonts w:eastAsia="Calibri" w:cstheme="minorHAnsi"/>
          <w:i/>
          <w:iCs/>
        </w:rPr>
        <w:t xml:space="preserve">  Plusieurs obstacles et lacunes peuvent être signalés :</w:t>
      </w:r>
    </w:p>
    <w:p w14:paraId="695917A3" w14:textId="77777777" w:rsidR="00A47DEE" w:rsidRPr="001433C6" w:rsidRDefault="00A47DEE" w:rsidP="00A47DEE">
      <w:pPr>
        <w:spacing w:after="0"/>
        <w:rPr>
          <w:rFonts w:eastAsia="Calibri" w:cstheme="minorHAnsi"/>
          <w:b/>
          <w:bCs/>
          <w:i/>
          <w:iCs/>
        </w:rPr>
      </w:pPr>
      <w:r w:rsidRPr="001433C6">
        <w:rPr>
          <w:rFonts w:eastAsia="Calibri" w:cstheme="minorHAnsi"/>
          <w:b/>
          <w:bCs/>
          <w:i/>
          <w:iCs/>
        </w:rPr>
        <w:t>Obstacles et lacunes au plan institutionnel, règlementaire et politiques</w:t>
      </w:r>
    </w:p>
    <w:p w14:paraId="19ECC187"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both"/>
        <w:rPr>
          <w:rFonts w:eastAsia="Calibri" w:cstheme="minorHAnsi"/>
          <w:i/>
          <w:iCs/>
        </w:rPr>
      </w:pPr>
      <w:r w:rsidRPr="001433C6">
        <w:rPr>
          <w:rFonts w:eastAsia="Calibri" w:cstheme="minorHAnsi"/>
          <w:i/>
          <w:iCs/>
        </w:rPr>
        <w:t>L’insuffisante prise en compte des questions relatives aux risques climatiques futures dans les stratégies du secteur agricole (Prédiction agro météorologique des rendements céréaliers) ;</w:t>
      </w:r>
    </w:p>
    <w:p w14:paraId="2AC90E71"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both"/>
        <w:rPr>
          <w:rFonts w:eastAsia="Calibri" w:cstheme="minorHAnsi"/>
          <w:i/>
          <w:iCs/>
        </w:rPr>
      </w:pPr>
      <w:r w:rsidRPr="001433C6">
        <w:rPr>
          <w:rFonts w:eastAsia="Calibri" w:cstheme="minorHAnsi"/>
          <w:i/>
          <w:iCs/>
        </w:rPr>
        <w:t xml:space="preserve">Les impacts des risques agro-climatiques futurs ne sont pas toujours pris en compte dans les coûts d'investissements, particulièrement les investissements à long terme ; </w:t>
      </w:r>
    </w:p>
    <w:p w14:paraId="7E3BD9F1" w14:textId="77777777" w:rsidR="00A47DEE" w:rsidRPr="001433C6" w:rsidRDefault="00A47DEE" w:rsidP="00A47DEE">
      <w:pPr>
        <w:spacing w:after="0"/>
        <w:rPr>
          <w:rFonts w:eastAsia="Calibri" w:cstheme="minorHAnsi"/>
          <w:b/>
          <w:bCs/>
          <w:i/>
          <w:iCs/>
        </w:rPr>
      </w:pPr>
      <w:r w:rsidRPr="001433C6">
        <w:rPr>
          <w:rFonts w:eastAsia="Calibri" w:cstheme="minorHAnsi"/>
          <w:b/>
          <w:bCs/>
          <w:i/>
          <w:iCs/>
        </w:rPr>
        <w:t>Obstacles Lacunes en matière de capacités humaines</w:t>
      </w:r>
    </w:p>
    <w:p w14:paraId="5924EB09"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both"/>
        <w:rPr>
          <w:rFonts w:eastAsia="Calibri" w:cstheme="minorHAnsi"/>
          <w:i/>
          <w:iCs/>
        </w:rPr>
      </w:pPr>
      <w:r w:rsidRPr="001433C6">
        <w:rPr>
          <w:rFonts w:eastAsia="Calibri" w:cstheme="minorHAnsi"/>
          <w:i/>
          <w:iCs/>
        </w:rPr>
        <w:t xml:space="preserve">L’absence d’un dispositif de formation et de perfectionnement du personnel. </w:t>
      </w:r>
    </w:p>
    <w:p w14:paraId="7859951A"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both"/>
        <w:rPr>
          <w:rFonts w:eastAsia="Calibri" w:cstheme="minorHAnsi"/>
          <w:i/>
          <w:iCs/>
        </w:rPr>
      </w:pPr>
      <w:r w:rsidRPr="001433C6">
        <w:rPr>
          <w:rFonts w:eastAsia="Calibri" w:cstheme="minorHAnsi"/>
          <w:i/>
          <w:iCs/>
        </w:rPr>
        <w:t xml:space="preserve">L’hémorragie quasi-permanente de cadres expérimentés. </w:t>
      </w:r>
    </w:p>
    <w:p w14:paraId="1FBA08AC" w14:textId="77777777" w:rsidR="00A47DEE" w:rsidRPr="001433C6" w:rsidRDefault="00A47DEE" w:rsidP="00A47DEE">
      <w:pPr>
        <w:spacing w:after="0"/>
        <w:rPr>
          <w:rFonts w:eastAsia="Calibri" w:cstheme="minorHAnsi"/>
          <w:b/>
          <w:bCs/>
          <w:i/>
          <w:iCs/>
        </w:rPr>
      </w:pPr>
      <w:r w:rsidRPr="001433C6">
        <w:rPr>
          <w:rFonts w:eastAsia="Calibri" w:cstheme="minorHAnsi"/>
          <w:b/>
          <w:bCs/>
          <w:i/>
          <w:iCs/>
        </w:rPr>
        <w:t>Lacunes et besoins en matière de transfert de technologie d’adaptation</w:t>
      </w:r>
    </w:p>
    <w:p w14:paraId="3EEB7CA3"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both"/>
        <w:rPr>
          <w:rFonts w:eastAsia="Calibri" w:cstheme="minorHAnsi"/>
          <w:i/>
          <w:iCs/>
        </w:rPr>
      </w:pPr>
      <w:r w:rsidRPr="001433C6">
        <w:rPr>
          <w:rFonts w:eastAsia="Calibri" w:cstheme="minorHAnsi"/>
          <w:i/>
          <w:iCs/>
        </w:rPr>
        <w:t>Faiblesse des investissements pour la recherche, la formation et le transfert des technologies d’adaptation.</w:t>
      </w:r>
    </w:p>
    <w:p w14:paraId="6B193DFF"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both"/>
        <w:rPr>
          <w:rFonts w:eastAsia="Calibri" w:cstheme="minorHAnsi"/>
          <w:i/>
          <w:iCs/>
        </w:rPr>
      </w:pPr>
      <w:r w:rsidRPr="001433C6">
        <w:rPr>
          <w:rFonts w:eastAsia="Calibri" w:cstheme="minorHAnsi"/>
          <w:i/>
          <w:iCs/>
        </w:rPr>
        <w:t xml:space="preserve">Au plan technologique, on note un retard ou une insuffisance d’utilisation ou d’adoption des Technologies d’Adaptation Prioritaire (EBT). </w:t>
      </w:r>
    </w:p>
    <w:p w14:paraId="426C5619" w14:textId="77777777" w:rsidR="00A47DEE" w:rsidRPr="001433C6" w:rsidRDefault="00A47DEE" w:rsidP="00A47DEE">
      <w:pPr>
        <w:spacing w:after="0"/>
        <w:rPr>
          <w:rFonts w:eastAsia="Calibri" w:cstheme="minorHAnsi"/>
          <w:b/>
          <w:bCs/>
          <w:i/>
          <w:iCs/>
        </w:rPr>
      </w:pPr>
      <w:r w:rsidRPr="001433C6">
        <w:rPr>
          <w:rFonts w:eastAsia="Calibri" w:cstheme="minorHAnsi"/>
          <w:b/>
          <w:bCs/>
          <w:i/>
          <w:iCs/>
        </w:rPr>
        <w:t>Lacunes et besoin en matière de gestion des risques agricoles liés au climat</w:t>
      </w:r>
    </w:p>
    <w:p w14:paraId="512FDDAA"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both"/>
        <w:rPr>
          <w:rFonts w:eastAsia="Calibri" w:cstheme="minorHAnsi"/>
          <w:i/>
          <w:iCs/>
        </w:rPr>
      </w:pPr>
      <w:r w:rsidRPr="001433C6">
        <w:rPr>
          <w:rFonts w:eastAsia="Calibri" w:cstheme="minorHAnsi"/>
          <w:i/>
          <w:iCs/>
        </w:rPr>
        <w:t xml:space="preserve">L’absence de la cartographie du pays (SIG) dans la gestion des risques agro-climatiques. </w:t>
      </w:r>
    </w:p>
    <w:p w14:paraId="3457A1C5" w14:textId="77777777" w:rsidR="00A47DEE" w:rsidRPr="001433C6" w:rsidRDefault="00A47DEE" w:rsidP="00A47DEE">
      <w:pPr>
        <w:spacing w:after="0"/>
        <w:rPr>
          <w:rFonts w:eastAsia="Calibri" w:cstheme="minorHAnsi"/>
          <w:b/>
          <w:bCs/>
          <w:i/>
          <w:iCs/>
        </w:rPr>
      </w:pPr>
      <w:r w:rsidRPr="001433C6">
        <w:rPr>
          <w:rFonts w:eastAsia="Calibri" w:cstheme="minorHAnsi"/>
          <w:b/>
          <w:bCs/>
          <w:i/>
          <w:iCs/>
        </w:rPr>
        <w:t>Lacunes et obstacles à la conception et la planification</w:t>
      </w:r>
    </w:p>
    <w:p w14:paraId="20E5C255"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both"/>
        <w:rPr>
          <w:rFonts w:eastAsia="Calibri" w:cstheme="minorHAnsi"/>
          <w:i/>
          <w:iCs/>
        </w:rPr>
      </w:pPr>
      <w:r w:rsidRPr="001433C6">
        <w:rPr>
          <w:rFonts w:eastAsia="Calibri" w:cstheme="minorHAnsi"/>
          <w:i/>
          <w:iCs/>
        </w:rPr>
        <w:t xml:space="preserve">La formulation de certains projets et programmes n’est pas souvent en conformité avec les orientations et axes stratégiques des politiques et stratégies, </w:t>
      </w:r>
    </w:p>
    <w:p w14:paraId="295D0076"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both"/>
        <w:rPr>
          <w:rFonts w:eastAsia="Calibri" w:cstheme="minorHAnsi"/>
          <w:i/>
          <w:iCs/>
        </w:rPr>
      </w:pPr>
      <w:r w:rsidRPr="001433C6">
        <w:rPr>
          <w:rFonts w:eastAsia="Calibri" w:cstheme="minorHAnsi"/>
          <w:i/>
          <w:iCs/>
        </w:rPr>
        <w:t>Faible capacité des acteurs à formuler de projets éligibles dans le domaine du CC.</w:t>
      </w:r>
    </w:p>
    <w:p w14:paraId="6FE77094" w14:textId="77777777" w:rsidR="00A47DEE" w:rsidRPr="001433C6" w:rsidRDefault="00A47DEE" w:rsidP="00A47DEE">
      <w:pPr>
        <w:spacing w:after="0"/>
        <w:rPr>
          <w:rFonts w:eastAsia="Calibri" w:cstheme="minorHAnsi"/>
          <w:b/>
          <w:bCs/>
          <w:i/>
          <w:iCs/>
        </w:rPr>
      </w:pPr>
      <w:r w:rsidRPr="001433C6">
        <w:rPr>
          <w:rFonts w:eastAsia="Calibri" w:cstheme="minorHAnsi"/>
          <w:b/>
          <w:bCs/>
          <w:i/>
          <w:iCs/>
        </w:rPr>
        <w:t>Lacunes et obstacles liés à la mise en œuvre</w:t>
      </w:r>
    </w:p>
    <w:p w14:paraId="1CD6C312"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both"/>
        <w:rPr>
          <w:rFonts w:eastAsia="Calibri" w:cstheme="minorHAnsi"/>
          <w:i/>
          <w:iCs/>
        </w:rPr>
      </w:pPr>
      <w:r w:rsidRPr="001433C6">
        <w:rPr>
          <w:rFonts w:eastAsia="Calibri" w:cstheme="minorHAnsi"/>
          <w:i/>
          <w:iCs/>
        </w:rPr>
        <w:t>L’insuffisance du personnel qualifié au niveau des collectivités locales et des ONG.</w:t>
      </w:r>
    </w:p>
    <w:p w14:paraId="76065331"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both"/>
        <w:rPr>
          <w:rFonts w:eastAsia="Calibri" w:cstheme="minorHAnsi"/>
          <w:b/>
          <w:bCs/>
          <w:i/>
          <w:iCs/>
        </w:rPr>
      </w:pPr>
      <w:r w:rsidRPr="001433C6">
        <w:rPr>
          <w:rFonts w:eastAsia="Calibri" w:cstheme="minorHAnsi"/>
          <w:i/>
          <w:iCs/>
        </w:rPr>
        <w:t xml:space="preserve">La conduite d’autres activités concernant d’autres aspects (tels que l’hydraulique, l’environnement, la santé …etc.) manquent de relation et de coordination avec les services décentralisés des autres départements concernés. </w:t>
      </w:r>
    </w:p>
    <w:p w14:paraId="6BB26DD8" w14:textId="77777777" w:rsidR="00A47DEE" w:rsidRPr="001433C6" w:rsidRDefault="00A47DEE" w:rsidP="00A47DEE">
      <w:pPr>
        <w:autoSpaceDE w:val="0"/>
        <w:autoSpaceDN w:val="0"/>
        <w:adjustRightInd w:val="0"/>
        <w:spacing w:after="0"/>
        <w:contextualSpacing/>
        <w:jc w:val="both"/>
        <w:rPr>
          <w:rFonts w:eastAsia="Calibri" w:cstheme="minorHAnsi"/>
          <w:b/>
          <w:bCs/>
          <w:i/>
          <w:iCs/>
        </w:rPr>
      </w:pPr>
      <w:r w:rsidRPr="001433C6">
        <w:rPr>
          <w:rFonts w:eastAsia="Calibri" w:cstheme="minorHAnsi"/>
          <w:b/>
          <w:bCs/>
          <w:i/>
          <w:iCs/>
        </w:rPr>
        <w:t>Obstacles en matière des données /Suivi-évaluation et capitalisation</w:t>
      </w:r>
    </w:p>
    <w:p w14:paraId="372CD8CD"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both"/>
        <w:rPr>
          <w:rFonts w:eastAsia="Calibri" w:cstheme="minorHAnsi"/>
          <w:i/>
          <w:iCs/>
        </w:rPr>
      </w:pPr>
      <w:r w:rsidRPr="001433C6">
        <w:rPr>
          <w:rFonts w:eastAsia="Calibri" w:cstheme="minorHAnsi"/>
          <w:i/>
          <w:iCs/>
        </w:rPr>
        <w:t xml:space="preserve">L’absence de données sur les stratégies paysannes et les initiatives passées ou existantes de lutte contre les phénomènes climatiques extrêmes (sécheresse et inondation). </w:t>
      </w:r>
    </w:p>
    <w:p w14:paraId="4E860883"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both"/>
        <w:rPr>
          <w:rFonts w:eastAsia="Calibri" w:cstheme="minorHAnsi"/>
          <w:i/>
          <w:iCs/>
        </w:rPr>
      </w:pPr>
      <w:r w:rsidRPr="001433C6">
        <w:rPr>
          <w:rFonts w:eastAsia="Calibri" w:cstheme="minorHAnsi"/>
          <w:i/>
          <w:iCs/>
        </w:rPr>
        <w:t xml:space="preserve">Le faible niveau de connaissances des ressources agricoles du pays, dû à l’absence d’un recensement général de l’agriculture. </w:t>
      </w:r>
    </w:p>
    <w:p w14:paraId="070173D8"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both"/>
        <w:rPr>
          <w:rFonts w:eastAsia="Calibri" w:cstheme="minorHAnsi"/>
          <w:i/>
          <w:iCs/>
        </w:rPr>
      </w:pPr>
      <w:r w:rsidRPr="001433C6">
        <w:rPr>
          <w:rFonts w:eastAsia="Calibri" w:cstheme="minorHAnsi"/>
          <w:i/>
          <w:iCs/>
        </w:rPr>
        <w:t>Faible capitalisation d'expériences et d'échanges entre les opérateurs/projets.</w:t>
      </w:r>
    </w:p>
    <w:p w14:paraId="5DC5C84F" w14:textId="77777777" w:rsidR="00A47DEE" w:rsidRPr="001433C6" w:rsidRDefault="00A47DEE" w:rsidP="00A47DEE">
      <w:pPr>
        <w:spacing w:after="0"/>
        <w:rPr>
          <w:rFonts w:eastAsia="Calibri" w:cstheme="minorHAnsi"/>
          <w:b/>
          <w:bCs/>
          <w:i/>
          <w:iCs/>
        </w:rPr>
      </w:pPr>
      <w:r w:rsidRPr="001433C6">
        <w:rPr>
          <w:rFonts w:eastAsia="Calibri" w:cstheme="minorHAnsi"/>
          <w:b/>
          <w:bCs/>
          <w:i/>
          <w:iCs/>
        </w:rPr>
        <w:t>Obstacles en matière de capacité financière</w:t>
      </w:r>
    </w:p>
    <w:p w14:paraId="07A26A4D"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both"/>
        <w:rPr>
          <w:rFonts w:eastAsia="Calibri" w:cstheme="minorHAnsi"/>
          <w:i/>
          <w:iCs/>
        </w:rPr>
      </w:pPr>
      <w:r w:rsidRPr="001433C6">
        <w:rPr>
          <w:rFonts w:eastAsia="Calibri" w:cstheme="minorHAnsi"/>
          <w:i/>
          <w:iCs/>
        </w:rPr>
        <w:t xml:space="preserve">La faiblesse du rôle des structures de financement du secteur agricole dans le développement du secteur, </w:t>
      </w:r>
    </w:p>
    <w:p w14:paraId="7CD4B927" w14:textId="77777777" w:rsidR="00A47DEE" w:rsidRPr="001433C6" w:rsidRDefault="00A47DEE" w:rsidP="00A47DEE">
      <w:pPr>
        <w:numPr>
          <w:ilvl w:val="0"/>
          <w:numId w:val="367"/>
        </w:numPr>
        <w:autoSpaceDE w:val="0"/>
        <w:autoSpaceDN w:val="0"/>
        <w:adjustRightInd w:val="0"/>
        <w:spacing w:after="0" w:line="276" w:lineRule="auto"/>
        <w:ind w:left="426" w:hanging="284"/>
        <w:contextualSpacing/>
        <w:jc w:val="both"/>
        <w:rPr>
          <w:rFonts w:eastAsia="Calibri" w:cstheme="minorHAnsi"/>
          <w:i/>
          <w:iCs/>
        </w:rPr>
      </w:pPr>
      <w:r w:rsidRPr="001433C6">
        <w:rPr>
          <w:rFonts w:eastAsia="Calibri" w:cstheme="minorHAnsi"/>
          <w:i/>
          <w:iCs/>
        </w:rPr>
        <w:t>Très faible capacité des institutions de microfinance existantes à couvrir les besoins des différentes campagnes de production des filières agricoles dans toutes les zones du pays.</w:t>
      </w:r>
    </w:p>
    <w:p w14:paraId="07CFFB51" w14:textId="77777777" w:rsidR="00A47DEE" w:rsidRPr="003D5CD7" w:rsidRDefault="00A47DEE" w:rsidP="00A47DEE">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after="240"/>
        <w:rPr>
          <w:rFonts w:asciiTheme="minorHAnsi" w:hAnsiTheme="minorHAnsi" w:cstheme="minorHAnsi"/>
          <w:b/>
          <w:bCs/>
          <w:color w:val="FFFFFF" w:themeColor="background1"/>
          <w:sz w:val="30"/>
          <w:szCs w:val="30"/>
        </w:rPr>
      </w:pPr>
      <w:bookmarkStart w:id="284" w:name="_Toc179577345"/>
      <w:r w:rsidRPr="003D5CD7">
        <w:rPr>
          <w:rFonts w:asciiTheme="minorHAnsi" w:hAnsiTheme="minorHAnsi" w:cstheme="minorHAnsi"/>
          <w:b/>
          <w:bCs/>
          <w:color w:val="FFFFFF" w:themeColor="background1"/>
          <w:sz w:val="30"/>
          <w:szCs w:val="30"/>
        </w:rPr>
        <w:t>CONTEXTE</w:t>
      </w:r>
      <w:bookmarkEnd w:id="284"/>
    </w:p>
    <w:p w14:paraId="50E90680" w14:textId="77777777" w:rsidR="00A47DEE" w:rsidRPr="003D5CD7" w:rsidRDefault="00A47DEE" w:rsidP="00A47DEE">
      <w:pPr>
        <w:jc w:val="lowKashida"/>
        <w:rPr>
          <w:rFonts w:eastAsia="Calibri" w:cstheme="minorHAnsi"/>
          <w:kern w:val="2"/>
          <w14:ligatures w14:val="standardContextual"/>
        </w:rPr>
      </w:pPr>
      <w:r w:rsidRPr="003D5CD7">
        <w:rPr>
          <w:rFonts w:eastAsia="Calibri" w:cstheme="minorHAnsi"/>
          <w:kern w:val="2"/>
          <w14:ligatures w14:val="standardContextual"/>
        </w:rPr>
        <w:t xml:space="preserve">La Mauritanie a ratifié la convention-cadre des Nations unies sur le changement climatique (CCNUCC) et conformément aux dispositions des articles 4 et 12 de ladite convention et aux directives de la décision 17/CP.8, la Mauritanie, en tant que partie à la CCNUCC, s’est engagée à communiquer à la Conférence des Parties des informations relatives à la mise en œuvre de ladite convention aux niveaux national, sous régional, régional et global. </w:t>
      </w:r>
    </w:p>
    <w:p w14:paraId="16AB3F8F" w14:textId="77777777" w:rsidR="00A47DEE" w:rsidRPr="003D5CD7" w:rsidRDefault="00A47DEE" w:rsidP="00A47DEE">
      <w:pPr>
        <w:jc w:val="lowKashida"/>
        <w:rPr>
          <w:rFonts w:eastAsia="Calibri" w:cstheme="minorHAnsi"/>
          <w:kern w:val="2"/>
          <w14:ligatures w14:val="standardContextual"/>
        </w:rPr>
      </w:pPr>
      <w:r w:rsidRPr="003D5CD7">
        <w:rPr>
          <w:rFonts w:eastAsia="Calibri" w:cstheme="minorHAnsi"/>
          <w:kern w:val="2"/>
          <w14:ligatures w14:val="standardContextual"/>
        </w:rPr>
        <w:t>A ce titre, la Mauritanie en sus de ses obligations, a entamé la préparation de sa cinquième communication nationale (QCN) sur les changements climatiques en ce sens qu’elle constitue un document stratégique habilitant à la CCNUCC.</w:t>
      </w:r>
    </w:p>
    <w:p w14:paraId="42B2095F" w14:textId="77777777" w:rsidR="00A47DEE" w:rsidRPr="00F468F7" w:rsidRDefault="00A47DEE" w:rsidP="00A47DEE">
      <w:pPr>
        <w:jc w:val="lowKashida"/>
        <w:rPr>
          <w:rFonts w:eastAsia="Calibri" w:cstheme="minorHAnsi"/>
          <w:iCs/>
          <w:color w:val="000000"/>
          <w:shd w:val="clear" w:color="auto" w:fill="FFFFFF"/>
        </w:rPr>
      </w:pPr>
      <w:r w:rsidRPr="003D5CD7">
        <w:rPr>
          <w:rFonts w:eastAsia="Calibri" w:cstheme="minorHAnsi"/>
        </w:rPr>
        <w:t xml:space="preserve"> </w:t>
      </w:r>
      <w:r w:rsidRPr="00F468F7">
        <w:rPr>
          <w:rFonts w:eastAsia="Calibri" w:cstheme="minorHAnsi"/>
          <w:iCs/>
          <w:color w:val="000000"/>
          <w:shd w:val="clear" w:color="auto" w:fill="FFFFFF"/>
        </w:rPr>
        <w:t xml:space="preserve">La Mauritanie à l’instar des autres pays de l’Afrique est vulnérable au changement climatique. Une vulnérabilité liée à la dépendance de la population rurale à une agriculture fragilisée par de multiples contraintes structurelles notamment, la variabilité interannuelle et inter-saisonnière des précipitations </w:t>
      </w:r>
    </w:p>
    <w:p w14:paraId="431E52BC" w14:textId="77777777" w:rsidR="00A47DEE" w:rsidRPr="00F468F7" w:rsidRDefault="00A47DEE" w:rsidP="00A47DEE">
      <w:pPr>
        <w:autoSpaceDE w:val="0"/>
        <w:autoSpaceDN w:val="0"/>
        <w:adjustRightInd w:val="0"/>
        <w:spacing w:before="240" w:after="0"/>
        <w:jc w:val="lowKashida"/>
        <w:rPr>
          <w:rFonts w:eastAsia="Calibri" w:cstheme="minorHAnsi"/>
        </w:rPr>
      </w:pPr>
      <w:r w:rsidRPr="00F468F7">
        <w:rPr>
          <w:rFonts w:eastAsia="Calibri" w:cstheme="minorHAnsi"/>
        </w:rPr>
        <w:t>Selon les documents nationaux sur le changement climatique, les impacts de la variabilité et des changements climatiques sur les écosystèmes en Mauritanie sont sans équivoque. Ils se manifestent à travers : (i) une désertification accrue, (i) une baisse de la productivité des cultures ; ii) une dégradation des ressources en eau; (iii) une augmentation de l’incidence de la pauvreté, surtout dans le milieu rural dont la population représente plus de 60% de la population totale, (iv) une  réduction du volume des eaux de surface et la baisse du niveau piézométrique des eaux souterraines, (v) un raccourcissement de la durée moyenne des périodes de croissance végétative et l’exposition accrue des plantes au stress hydrique, (vi) une  faible croissance de la biomasse végétale, (vii) une  réduction des potentialités productives des écosystèmes et (viii)une diminution des terres arables due à leur dégradation.</w:t>
      </w:r>
    </w:p>
    <w:p w14:paraId="7D58CC3C" w14:textId="77777777" w:rsidR="00A47DEE" w:rsidRPr="00F468F7" w:rsidRDefault="00A47DEE" w:rsidP="00A47DEE">
      <w:pPr>
        <w:spacing w:after="0"/>
        <w:jc w:val="lowKashida"/>
        <w:rPr>
          <w:rFonts w:eastAsia="Calibri" w:cstheme="minorHAnsi"/>
          <w:iCs/>
          <w:color w:val="000000"/>
          <w:shd w:val="clear" w:color="auto" w:fill="FFFFFF"/>
        </w:rPr>
      </w:pPr>
    </w:p>
    <w:p w14:paraId="52A0271C" w14:textId="77777777" w:rsidR="00A47DEE" w:rsidRPr="00F468F7" w:rsidRDefault="00A47DEE" w:rsidP="00A47DEE">
      <w:pPr>
        <w:spacing w:after="0"/>
        <w:jc w:val="lowKashida"/>
        <w:rPr>
          <w:rFonts w:eastAsia="Calibri" w:cstheme="minorHAnsi"/>
          <w:iCs/>
          <w:shd w:val="clear" w:color="auto" w:fill="FFFFFF"/>
        </w:rPr>
      </w:pPr>
      <w:r w:rsidRPr="00F468F7">
        <w:rPr>
          <w:rFonts w:eastAsia="Calibri" w:cstheme="minorHAnsi"/>
          <w:iCs/>
          <w:color w:val="000000"/>
          <w:shd w:val="clear" w:color="auto" w:fill="FFFFFF"/>
        </w:rPr>
        <w:t xml:space="preserve">L’agriculture souffre en plus, depuis quelques années, d’une forte pression des ennemis des cultures dominées principalement par les acridiens (criquet pèlerin et </w:t>
      </w:r>
      <w:proofErr w:type="spellStart"/>
      <w:r w:rsidRPr="00F468F7">
        <w:rPr>
          <w:rFonts w:eastAsia="Calibri" w:cstheme="minorHAnsi"/>
          <w:iCs/>
          <w:color w:val="000000"/>
          <w:shd w:val="clear" w:color="auto" w:fill="FFFFFF"/>
        </w:rPr>
        <w:t>sauteriaux</w:t>
      </w:r>
      <w:proofErr w:type="spellEnd"/>
      <w:r w:rsidRPr="00F468F7">
        <w:rPr>
          <w:rFonts w:eastAsia="Calibri" w:cstheme="minorHAnsi"/>
          <w:iCs/>
          <w:color w:val="000000"/>
          <w:shd w:val="clear" w:color="auto" w:fill="FFFFFF"/>
        </w:rPr>
        <w:t>), les oiseaux granivores et le foreur de tige du sorgho (</w:t>
      </w:r>
      <w:proofErr w:type="spellStart"/>
      <w:r w:rsidRPr="00F468F7">
        <w:rPr>
          <w:rFonts w:eastAsia="Calibri" w:cstheme="minorHAnsi"/>
          <w:iCs/>
          <w:color w:val="000000"/>
          <w:shd w:val="clear" w:color="auto" w:fill="FFFFFF"/>
        </w:rPr>
        <w:t>Sesamia</w:t>
      </w:r>
      <w:proofErr w:type="spellEnd"/>
      <w:r w:rsidRPr="00F468F7">
        <w:rPr>
          <w:rFonts w:eastAsia="Calibri" w:cstheme="minorHAnsi"/>
          <w:iCs/>
          <w:color w:val="000000"/>
          <w:shd w:val="clear" w:color="auto" w:fill="FFFFFF"/>
        </w:rPr>
        <w:t xml:space="preserve"> </w:t>
      </w:r>
      <w:proofErr w:type="spellStart"/>
      <w:r w:rsidRPr="00F468F7">
        <w:rPr>
          <w:rFonts w:eastAsia="Calibri" w:cstheme="minorHAnsi"/>
          <w:iCs/>
          <w:color w:val="000000"/>
          <w:shd w:val="clear" w:color="auto" w:fill="FFFFFF"/>
        </w:rPr>
        <w:t>cretica</w:t>
      </w:r>
      <w:proofErr w:type="spellEnd"/>
      <w:r w:rsidRPr="00F468F7">
        <w:rPr>
          <w:rFonts w:eastAsia="Calibri" w:cstheme="minorHAnsi"/>
          <w:iCs/>
          <w:color w:val="000000"/>
          <w:shd w:val="clear" w:color="auto" w:fill="FFFFFF"/>
        </w:rPr>
        <w:t xml:space="preserve">) qui prend des proportions inquiétantes à cause des pertes occasionnées sur les rendements du sorgho au niveau national, la salinité envahissante dans le delta du fleuve </w:t>
      </w:r>
      <w:r w:rsidRPr="00F468F7">
        <w:rPr>
          <w:rFonts w:eastAsia="Calibri" w:cstheme="minorHAnsi"/>
          <w:iCs/>
          <w:shd w:val="clear" w:color="auto" w:fill="FFFFFF"/>
        </w:rPr>
        <w:t xml:space="preserve">et dans la zone de l’Aftout </w:t>
      </w:r>
      <w:proofErr w:type="spellStart"/>
      <w:r w:rsidRPr="00F468F7">
        <w:rPr>
          <w:rFonts w:eastAsia="Calibri" w:cstheme="minorHAnsi"/>
          <w:iCs/>
          <w:shd w:val="clear" w:color="auto" w:fill="FFFFFF"/>
        </w:rPr>
        <w:t>Essahili</w:t>
      </w:r>
      <w:proofErr w:type="spellEnd"/>
      <w:r w:rsidRPr="00F468F7">
        <w:rPr>
          <w:rFonts w:eastAsia="Calibri" w:cstheme="minorHAnsi"/>
          <w:iCs/>
          <w:shd w:val="clear" w:color="auto" w:fill="FFFFFF"/>
        </w:rPr>
        <w:t xml:space="preserve"> récemment aménagé et le problème du phénomène du typha qui colonise inexorablement les cours d’eau.</w:t>
      </w:r>
    </w:p>
    <w:p w14:paraId="65094D30" w14:textId="77777777" w:rsidR="00A47DEE" w:rsidRPr="003D5CD7" w:rsidRDefault="00A47DEE" w:rsidP="00A47DEE">
      <w:pPr>
        <w:jc w:val="both"/>
        <w:rPr>
          <w:rFonts w:eastAsia="Calibri" w:cstheme="minorHAnsi"/>
          <w:kern w:val="2"/>
          <w14:ligatures w14:val="standardContextual"/>
        </w:rPr>
      </w:pPr>
      <w:r w:rsidRPr="003D5CD7">
        <w:rPr>
          <w:rFonts w:eastAsia="Calibri" w:cstheme="minorHAnsi"/>
          <w:kern w:val="2"/>
          <w14:ligatures w14:val="standardContextual"/>
        </w:rPr>
        <w:t>Pour cela, en tant que Partie non visée à l’annexe I, la Mauritanie doit préciser, à travers l’évaluation de la vulnérabilité du secteur de l’Agriculture, l’état, les impacts, le niveau d’exposition, de vulnérabilité et d’adaptation de ce secteur face aux effets et impacts néfastes des changements climatiques.</w:t>
      </w:r>
    </w:p>
    <w:p w14:paraId="30E3197C" w14:textId="77777777" w:rsidR="00A47DEE" w:rsidRPr="003D5CD7" w:rsidRDefault="00A47DEE" w:rsidP="00A47DEE">
      <w:pPr>
        <w:shd w:val="clear" w:color="auto" w:fill="FFFFFF" w:themeFill="background1"/>
        <w:jc w:val="both"/>
        <w:rPr>
          <w:rFonts w:eastAsia="Calibri" w:cstheme="minorHAnsi"/>
          <w:kern w:val="2"/>
          <w14:ligatures w14:val="standardContextual"/>
        </w:rPr>
      </w:pPr>
      <w:r w:rsidRPr="003D5CD7">
        <w:rPr>
          <w:rFonts w:eastAsia="Calibri" w:cstheme="minorHAnsi"/>
          <w:kern w:val="2"/>
          <w14:ligatures w14:val="standardContextual"/>
        </w:rPr>
        <w:t>C’est dans cette perspective que le pays a respectivement élaboré 04 communications nationales. La préparation de la 5CN permettra, à travers la composante « Evaluation de la vulnérabilité et adaptation aux changements climatiques dans les principaux secteurs socioéconomiques de développement » d’analyser la vulnérabilité et l’adaptation du secteur de l’agriculture face aux effets et impacts néfastes des changements climatiques, objet de la présente étude.</w:t>
      </w:r>
    </w:p>
    <w:p w14:paraId="135564DE" w14:textId="77777777" w:rsidR="00A47DEE" w:rsidRPr="00F468F7" w:rsidRDefault="00A47DEE" w:rsidP="00A47DEE">
      <w:pPr>
        <w:shd w:val="clear" w:color="auto" w:fill="FFFFFF" w:themeFill="background1"/>
        <w:jc w:val="both"/>
        <w:rPr>
          <w:rFonts w:eastAsia="Calibri" w:cstheme="minorHAnsi"/>
          <w:kern w:val="2"/>
          <w14:ligatures w14:val="standardContextual"/>
        </w:rPr>
      </w:pPr>
      <w:r w:rsidRPr="003D5CD7">
        <w:rPr>
          <w:rFonts w:eastAsia="Calibri" w:cstheme="minorHAnsi"/>
          <w:kern w:val="2"/>
          <w14:ligatures w14:val="standardContextual"/>
        </w:rPr>
        <w:t>La vulnérabilité au changement climatique au niveau national est abordée dans cette cinquième communication nationale essentiellement à travers l’évolution des rendements des cultures et les résultats des principales études d’analyse de la vulnérabilité du secteur de l’agriculture au changement climatique.</w:t>
      </w:r>
    </w:p>
    <w:p w14:paraId="4E0B62AD" w14:textId="77777777" w:rsidR="00A47DEE" w:rsidRPr="00013C96" w:rsidRDefault="00A47DEE" w:rsidP="00A47DEE">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after="240"/>
        <w:rPr>
          <w:rFonts w:asciiTheme="minorHAnsi" w:hAnsiTheme="minorHAnsi" w:cstheme="minorHAnsi"/>
          <w:b/>
          <w:bCs/>
          <w:color w:val="FFFFFF" w:themeColor="background1"/>
          <w:sz w:val="30"/>
          <w:szCs w:val="30"/>
        </w:rPr>
      </w:pPr>
      <w:bookmarkStart w:id="285" w:name="_Toc179577346"/>
      <w:r w:rsidRPr="00013C96">
        <w:rPr>
          <w:rFonts w:asciiTheme="minorHAnsi" w:hAnsiTheme="minorHAnsi" w:cstheme="minorHAnsi"/>
          <w:b/>
          <w:bCs/>
          <w:color w:val="FFFFFF" w:themeColor="background1"/>
          <w:sz w:val="30"/>
          <w:szCs w:val="30"/>
        </w:rPr>
        <w:t>PARTIE I : APPROCHE METHODOLOGIQUE</w:t>
      </w:r>
      <w:bookmarkEnd w:id="285"/>
    </w:p>
    <w:p w14:paraId="25D5725F" w14:textId="77777777" w:rsidR="00A47DEE" w:rsidRPr="00080412" w:rsidRDefault="00A47DEE" w:rsidP="00A47DEE">
      <w:pPr>
        <w:autoSpaceDE w:val="0"/>
        <w:autoSpaceDN w:val="0"/>
        <w:adjustRightInd w:val="0"/>
        <w:spacing w:before="240" w:after="0"/>
        <w:jc w:val="both"/>
        <w:rPr>
          <w:rFonts w:eastAsia="Calibri" w:cstheme="minorHAnsi"/>
          <w:noProof/>
        </w:rPr>
      </w:pPr>
      <w:r w:rsidRPr="00080412">
        <w:rPr>
          <w:rFonts w:eastAsia="Calibri" w:cstheme="minorHAnsi"/>
          <w:noProof/>
        </w:rPr>
        <w:t>La démarche méthodologique utilisée pour réaliser livrable comporte les étapes suivantes :</w:t>
      </w:r>
    </w:p>
    <w:p w14:paraId="08917318" w14:textId="77777777" w:rsidR="00A47DEE" w:rsidRPr="00080412" w:rsidRDefault="00A47DEE" w:rsidP="00A47DEE">
      <w:pPr>
        <w:shd w:val="clear" w:color="auto" w:fill="D9E2F3"/>
        <w:tabs>
          <w:tab w:val="left" w:pos="708"/>
        </w:tabs>
        <w:spacing w:before="240" w:after="0"/>
        <w:rPr>
          <w:rFonts w:eastAsia="Calibri" w:cstheme="minorHAnsi"/>
          <w:b/>
          <w:bCs/>
          <w:noProof/>
          <w:color w:val="0070C0"/>
        </w:rPr>
      </w:pPr>
      <w:r w:rsidRPr="00080412">
        <w:rPr>
          <w:rFonts w:eastAsia="Calibri" w:cstheme="minorHAnsi"/>
          <w:b/>
          <w:bCs/>
          <w:noProof/>
          <w:color w:val="0070C0"/>
        </w:rPr>
        <w:t>Etape 1 : collecte et analyse de la documentation relative au Livrable 1</w:t>
      </w:r>
    </w:p>
    <w:p w14:paraId="4EF90542" w14:textId="77777777" w:rsidR="00A47DEE" w:rsidRPr="00080412" w:rsidRDefault="00A47DEE" w:rsidP="00A47DEE">
      <w:pPr>
        <w:tabs>
          <w:tab w:val="left" w:pos="708"/>
        </w:tabs>
        <w:spacing w:after="0"/>
        <w:rPr>
          <w:rFonts w:eastAsia="Calibri" w:cstheme="minorHAnsi"/>
          <w:noProof/>
        </w:rPr>
      </w:pPr>
      <w:r w:rsidRPr="00080412">
        <w:rPr>
          <w:rFonts w:eastAsia="Calibri" w:cstheme="minorHAnsi"/>
          <w:noProof/>
        </w:rPr>
        <w:t>Les principaux documents et sources de données exploités sont :</w:t>
      </w:r>
    </w:p>
    <w:p w14:paraId="424B8EE4" w14:textId="77777777" w:rsidR="00A47DEE" w:rsidRPr="00080412" w:rsidRDefault="00A47DEE" w:rsidP="00A47DEE">
      <w:pPr>
        <w:autoSpaceDE w:val="0"/>
        <w:autoSpaceDN w:val="0"/>
        <w:adjustRightInd w:val="0"/>
        <w:spacing w:after="0"/>
        <w:jc w:val="lowKashida"/>
        <w:rPr>
          <w:rFonts w:eastAsia="Calibri" w:cstheme="minorHAnsi"/>
          <w:b/>
          <w:bCs/>
          <w:noProof/>
        </w:rPr>
      </w:pPr>
      <w:r w:rsidRPr="00080412">
        <w:rPr>
          <w:rFonts w:eastAsia="Calibri" w:cstheme="minorHAnsi"/>
          <w:b/>
          <w:bCs/>
          <w:noProof/>
          <w:u w:val="single"/>
        </w:rPr>
        <w:t>Les document de planification du developpement</w:t>
      </w:r>
      <w:r w:rsidRPr="00080412">
        <w:rPr>
          <w:rFonts w:eastAsia="Calibri" w:cstheme="minorHAnsi"/>
          <w:b/>
          <w:bCs/>
          <w:noProof/>
        </w:rPr>
        <w:t> :</w:t>
      </w:r>
    </w:p>
    <w:p w14:paraId="67B59977" w14:textId="77777777" w:rsidR="00A47DEE" w:rsidRPr="00080412" w:rsidRDefault="00A47DEE" w:rsidP="00A47DEE">
      <w:pPr>
        <w:numPr>
          <w:ilvl w:val="0"/>
          <w:numId w:val="378"/>
        </w:numPr>
        <w:shd w:val="clear" w:color="auto" w:fill="FFFFFF"/>
        <w:autoSpaceDE w:val="0"/>
        <w:autoSpaceDN w:val="0"/>
        <w:adjustRightInd w:val="0"/>
        <w:ind w:left="567"/>
        <w:contextualSpacing/>
        <w:jc w:val="both"/>
        <w:rPr>
          <w:rFonts w:eastAsia="Calibri" w:cstheme="minorHAnsi"/>
          <w:noProof/>
        </w:rPr>
      </w:pPr>
      <w:r w:rsidRPr="00080412">
        <w:rPr>
          <w:rFonts w:eastAsia="Calibri" w:cstheme="minorHAnsi"/>
          <w:noProof/>
        </w:rPr>
        <w:t xml:space="preserve">Les grandes lignes de la politique générale du Gouvernement </w:t>
      </w:r>
    </w:p>
    <w:p w14:paraId="3CCD65DD" w14:textId="77777777" w:rsidR="00A47DEE" w:rsidRPr="00080412" w:rsidRDefault="00A47DEE" w:rsidP="00A47DEE">
      <w:pPr>
        <w:numPr>
          <w:ilvl w:val="0"/>
          <w:numId w:val="378"/>
        </w:numPr>
        <w:shd w:val="clear" w:color="auto" w:fill="FFFFFF"/>
        <w:autoSpaceDE w:val="0"/>
        <w:autoSpaceDN w:val="0"/>
        <w:adjustRightInd w:val="0"/>
        <w:ind w:left="567"/>
        <w:contextualSpacing/>
        <w:jc w:val="both"/>
        <w:rPr>
          <w:rFonts w:eastAsia="Calibri" w:cstheme="minorHAnsi"/>
          <w:noProof/>
        </w:rPr>
      </w:pPr>
      <w:r w:rsidRPr="00080412">
        <w:rPr>
          <w:rFonts w:eastAsia="Calibri" w:cstheme="minorHAnsi"/>
          <w:noProof/>
        </w:rPr>
        <w:t xml:space="preserve">La Stratégie de Croissance Accélérée de la Prospérité Partagée à l’horizon 2030 (SCAPP) , </w:t>
      </w:r>
    </w:p>
    <w:p w14:paraId="2EC99DE3" w14:textId="77777777" w:rsidR="00A47DEE" w:rsidRPr="00080412" w:rsidRDefault="00A47DEE" w:rsidP="00A47DEE">
      <w:pPr>
        <w:numPr>
          <w:ilvl w:val="0"/>
          <w:numId w:val="378"/>
        </w:numPr>
        <w:shd w:val="clear" w:color="auto" w:fill="FFFFFF"/>
        <w:autoSpaceDE w:val="0"/>
        <w:autoSpaceDN w:val="0"/>
        <w:adjustRightInd w:val="0"/>
        <w:ind w:left="567"/>
        <w:contextualSpacing/>
        <w:jc w:val="both"/>
        <w:rPr>
          <w:rFonts w:eastAsia="Calibri" w:cstheme="minorHAnsi"/>
          <w:noProof/>
        </w:rPr>
      </w:pPr>
      <w:r w:rsidRPr="00080412">
        <w:rPr>
          <w:rFonts w:eastAsia="Calibri" w:cstheme="minorHAnsi"/>
          <w:noProof/>
        </w:rPr>
        <w:t>Stratégie de Développement du Secteur Rural, horizon 2025 (SDSR),</w:t>
      </w:r>
    </w:p>
    <w:p w14:paraId="07BAD5B3" w14:textId="77777777" w:rsidR="00A47DEE" w:rsidRPr="00080412" w:rsidRDefault="00A47DEE" w:rsidP="00A47DEE">
      <w:pPr>
        <w:numPr>
          <w:ilvl w:val="0"/>
          <w:numId w:val="378"/>
        </w:numPr>
        <w:shd w:val="clear" w:color="auto" w:fill="FFFFFF"/>
        <w:autoSpaceDE w:val="0"/>
        <w:autoSpaceDN w:val="0"/>
        <w:adjustRightInd w:val="0"/>
        <w:ind w:left="567"/>
        <w:contextualSpacing/>
        <w:jc w:val="both"/>
        <w:rPr>
          <w:rFonts w:eastAsia="Calibri" w:cstheme="minorHAnsi"/>
          <w:noProof/>
        </w:rPr>
      </w:pPr>
      <w:r w:rsidRPr="00080412">
        <w:rPr>
          <w:rFonts w:eastAsia="Calibri" w:cstheme="minorHAnsi"/>
          <w:noProof/>
        </w:rPr>
        <w:t>Plan National de Developpement Agricole, horizon 20205 (PNDA).</w:t>
      </w:r>
    </w:p>
    <w:p w14:paraId="25A4EB67" w14:textId="77777777" w:rsidR="00A47DEE" w:rsidRPr="00080412" w:rsidRDefault="00A47DEE" w:rsidP="00A47DEE">
      <w:pPr>
        <w:shd w:val="clear" w:color="auto" w:fill="FFFFFF"/>
        <w:autoSpaceDE w:val="0"/>
        <w:autoSpaceDN w:val="0"/>
        <w:adjustRightInd w:val="0"/>
        <w:spacing w:after="0"/>
        <w:jc w:val="lowKashida"/>
        <w:rPr>
          <w:rFonts w:eastAsia="Calibri" w:cstheme="minorHAnsi"/>
          <w:b/>
          <w:bCs/>
          <w:noProof/>
          <w:u w:val="single"/>
        </w:rPr>
      </w:pPr>
      <w:r w:rsidRPr="00080412">
        <w:rPr>
          <w:rFonts w:eastAsia="Calibri" w:cstheme="minorHAnsi"/>
          <w:b/>
          <w:bCs/>
          <w:noProof/>
          <w:u w:val="single"/>
        </w:rPr>
        <w:t>Les documents nationaux sur les changements climatiques auxquels a participé le secteur :</w:t>
      </w:r>
    </w:p>
    <w:p w14:paraId="42E78ACF" w14:textId="77777777" w:rsidR="00A47DEE" w:rsidRPr="00080412" w:rsidRDefault="00A47DEE" w:rsidP="00A47DEE">
      <w:pPr>
        <w:numPr>
          <w:ilvl w:val="0"/>
          <w:numId w:val="378"/>
        </w:numPr>
        <w:shd w:val="clear" w:color="auto" w:fill="FFFFFF"/>
        <w:autoSpaceDE w:val="0"/>
        <w:autoSpaceDN w:val="0"/>
        <w:adjustRightInd w:val="0"/>
        <w:ind w:left="567"/>
        <w:contextualSpacing/>
        <w:jc w:val="both"/>
        <w:rPr>
          <w:rFonts w:eastAsia="Calibri" w:cstheme="minorHAnsi"/>
          <w:noProof/>
        </w:rPr>
      </w:pPr>
      <w:r w:rsidRPr="00080412">
        <w:rPr>
          <w:rFonts w:eastAsia="Calibri" w:cstheme="minorHAnsi"/>
          <w:b/>
          <w:bCs/>
          <w:noProof/>
        </w:rPr>
        <w:t>PANA </w:t>
      </w:r>
      <w:r w:rsidRPr="00080412">
        <w:rPr>
          <w:rFonts w:eastAsia="Calibri" w:cstheme="minorHAnsi"/>
          <w:noProof/>
        </w:rPr>
        <w:t>: il s’agit du principal document national déjà produit en 2004 avec la participation de tous les secteurs et acteurs, principalement dédié à l’adaptation au changement climatique;</w:t>
      </w:r>
    </w:p>
    <w:p w14:paraId="47C51079" w14:textId="77777777" w:rsidR="00A47DEE" w:rsidRPr="00080412" w:rsidRDefault="00A47DEE" w:rsidP="00A47DEE">
      <w:pPr>
        <w:numPr>
          <w:ilvl w:val="0"/>
          <w:numId w:val="378"/>
        </w:numPr>
        <w:shd w:val="clear" w:color="auto" w:fill="FFFFFF"/>
        <w:autoSpaceDE w:val="0"/>
        <w:autoSpaceDN w:val="0"/>
        <w:adjustRightInd w:val="0"/>
        <w:ind w:left="567"/>
        <w:contextualSpacing/>
        <w:jc w:val="both"/>
        <w:rPr>
          <w:rFonts w:eastAsia="Calibri" w:cstheme="minorHAnsi"/>
          <w:noProof/>
        </w:rPr>
      </w:pPr>
      <w:r w:rsidRPr="00080412">
        <w:rPr>
          <w:rFonts w:eastAsia="Calibri" w:cstheme="minorHAnsi"/>
          <w:b/>
          <w:bCs/>
          <w:noProof/>
        </w:rPr>
        <w:t>CDN</w:t>
      </w:r>
      <w:r w:rsidRPr="00080412">
        <w:rPr>
          <w:rFonts w:eastAsia="Calibri" w:cstheme="minorHAnsi"/>
          <w:noProof/>
        </w:rPr>
        <w:t xml:space="preserve"> : La Mauritanie a ratifié l’Accord de Paris en Février 2017 et fait partie des pays dont les Contributions Déterminées au niveau National (CDN), établies au titre de cet Accord, ont une programmation étalée jusqu’en 2030. </w:t>
      </w:r>
    </w:p>
    <w:p w14:paraId="6E15D3A9" w14:textId="77777777" w:rsidR="00A47DEE" w:rsidRPr="00080412" w:rsidRDefault="00A47DEE" w:rsidP="00A47DEE">
      <w:pPr>
        <w:numPr>
          <w:ilvl w:val="0"/>
          <w:numId w:val="378"/>
        </w:numPr>
        <w:shd w:val="clear" w:color="auto" w:fill="FFFFFF"/>
        <w:autoSpaceDE w:val="0"/>
        <w:autoSpaceDN w:val="0"/>
        <w:adjustRightInd w:val="0"/>
        <w:ind w:left="567"/>
        <w:contextualSpacing/>
        <w:jc w:val="both"/>
        <w:rPr>
          <w:rFonts w:eastAsia="Calibri" w:cstheme="minorHAnsi"/>
          <w:noProof/>
        </w:rPr>
      </w:pPr>
      <w:r w:rsidRPr="00080412">
        <w:rPr>
          <w:rFonts w:eastAsia="Calibri" w:cstheme="minorHAnsi"/>
          <w:b/>
          <w:bCs/>
          <w:noProof/>
        </w:rPr>
        <w:t>SNEDD </w:t>
      </w:r>
      <w:r w:rsidRPr="00080412">
        <w:rPr>
          <w:rFonts w:eastAsia="Calibri" w:cstheme="minorHAnsi"/>
          <w:noProof/>
        </w:rPr>
        <w:t>: Cette stratégie a l’avantage d’être sectorielle dans son architecture conceptuelle intégrant tous les secteurs tributaires du changement climatique et non conçue pour être la stratégie du seul MEDD ; malgré l’absence de certains secteurs, notamment la santé ;</w:t>
      </w:r>
    </w:p>
    <w:p w14:paraId="5665F533" w14:textId="77777777" w:rsidR="00A47DEE" w:rsidRPr="00080412" w:rsidRDefault="00A47DEE" w:rsidP="00A47DEE">
      <w:pPr>
        <w:numPr>
          <w:ilvl w:val="0"/>
          <w:numId w:val="378"/>
        </w:numPr>
        <w:shd w:val="clear" w:color="auto" w:fill="FFFFFF"/>
        <w:autoSpaceDE w:val="0"/>
        <w:autoSpaceDN w:val="0"/>
        <w:adjustRightInd w:val="0"/>
        <w:ind w:left="567"/>
        <w:contextualSpacing/>
        <w:jc w:val="both"/>
        <w:rPr>
          <w:rFonts w:eastAsia="Calibri" w:cstheme="minorHAnsi"/>
          <w:noProof/>
        </w:rPr>
      </w:pPr>
      <w:r w:rsidRPr="00080412">
        <w:rPr>
          <w:rFonts w:eastAsia="Calibri" w:cstheme="minorHAnsi"/>
          <w:b/>
          <w:bCs/>
          <w:noProof/>
        </w:rPr>
        <w:t>Les communications nationales sur le changement climatique - CN</w:t>
      </w:r>
      <w:r w:rsidRPr="00080412">
        <w:rPr>
          <w:rFonts w:eastAsia="Calibri" w:cstheme="minorHAnsi"/>
          <w:noProof/>
        </w:rPr>
        <w:t>. Elles sont au nombre de quatre. Elles traitents de l’adaptation, mais pas uniquement, dans tous les secteurs ;</w:t>
      </w:r>
    </w:p>
    <w:p w14:paraId="207C9AA4" w14:textId="77777777" w:rsidR="00A47DEE" w:rsidRPr="00080412" w:rsidRDefault="00A47DEE" w:rsidP="00A47DEE">
      <w:pPr>
        <w:numPr>
          <w:ilvl w:val="0"/>
          <w:numId w:val="378"/>
        </w:numPr>
        <w:shd w:val="clear" w:color="auto" w:fill="FFFFFF"/>
        <w:autoSpaceDE w:val="0"/>
        <w:autoSpaceDN w:val="0"/>
        <w:adjustRightInd w:val="0"/>
        <w:ind w:left="567"/>
        <w:contextualSpacing/>
        <w:jc w:val="both"/>
        <w:rPr>
          <w:rFonts w:eastAsia="Calibri" w:cstheme="minorHAnsi"/>
          <w:noProof/>
        </w:rPr>
      </w:pPr>
      <w:r w:rsidRPr="00080412">
        <w:rPr>
          <w:rFonts w:eastAsia="Calibri" w:cstheme="minorHAnsi"/>
          <w:b/>
          <w:bCs/>
          <w:noProof/>
        </w:rPr>
        <w:t>L’évaluation des besoins en technologies climatiques – EBT II</w:t>
      </w:r>
      <w:r w:rsidRPr="00080412">
        <w:rPr>
          <w:rFonts w:eastAsia="Calibri" w:cstheme="minorHAnsi"/>
          <w:noProof/>
        </w:rPr>
        <w:t>. Ce document, produit en 2018, traite de l’adaptation pour les secteurs agriculture, ressources naturelles et forêts ;</w:t>
      </w:r>
    </w:p>
    <w:p w14:paraId="67455BBE" w14:textId="77777777" w:rsidR="00A47DEE" w:rsidRPr="00080412" w:rsidRDefault="00A47DEE" w:rsidP="00A47DEE">
      <w:pPr>
        <w:numPr>
          <w:ilvl w:val="0"/>
          <w:numId w:val="378"/>
        </w:numPr>
        <w:shd w:val="clear" w:color="auto" w:fill="FFFFFF"/>
        <w:autoSpaceDE w:val="0"/>
        <w:autoSpaceDN w:val="0"/>
        <w:adjustRightInd w:val="0"/>
        <w:ind w:left="567"/>
        <w:contextualSpacing/>
        <w:jc w:val="both"/>
        <w:rPr>
          <w:rFonts w:eastAsia="Calibri" w:cstheme="minorHAnsi"/>
          <w:noProof/>
        </w:rPr>
      </w:pPr>
      <w:r w:rsidRPr="00080412">
        <w:rPr>
          <w:rFonts w:eastAsia="Calibri" w:cstheme="minorHAnsi"/>
          <w:b/>
          <w:bCs/>
          <w:noProof/>
        </w:rPr>
        <w:t>Le programme pays au GCF</w:t>
      </w:r>
      <w:r w:rsidRPr="00080412">
        <w:rPr>
          <w:rFonts w:eastAsia="Calibri" w:cstheme="minorHAnsi"/>
          <w:noProof/>
        </w:rPr>
        <w:t>. C’est là un portefeuille produit par le pays en 2020 avec l’implication de l’ensemble des secteurs et qui traite l’adaptation au changement climatique dans ses aspects d’accès au financement du GCF.</w:t>
      </w:r>
    </w:p>
    <w:p w14:paraId="6ADD83E1" w14:textId="77777777" w:rsidR="00A47DEE" w:rsidRPr="00080412" w:rsidRDefault="00A47DEE" w:rsidP="00A47DEE">
      <w:pPr>
        <w:shd w:val="clear" w:color="auto" w:fill="FFFFFF"/>
        <w:autoSpaceDE w:val="0"/>
        <w:autoSpaceDN w:val="0"/>
        <w:adjustRightInd w:val="0"/>
        <w:spacing w:after="0"/>
        <w:jc w:val="lowKashida"/>
        <w:rPr>
          <w:rFonts w:eastAsia="Calibri" w:cstheme="minorHAnsi"/>
          <w:b/>
          <w:bCs/>
          <w:noProof/>
          <w:u w:val="single"/>
        </w:rPr>
      </w:pPr>
      <w:r w:rsidRPr="00080412">
        <w:rPr>
          <w:rFonts w:eastAsia="Calibri" w:cstheme="minorHAnsi"/>
          <w:b/>
          <w:bCs/>
          <w:noProof/>
          <w:u w:val="single"/>
        </w:rPr>
        <w:t>Les guides techniques du PNA :</w:t>
      </w:r>
    </w:p>
    <w:p w14:paraId="4F19323E" w14:textId="77777777" w:rsidR="00A47DEE" w:rsidRPr="00080412" w:rsidRDefault="00A47DEE" w:rsidP="00A47DEE">
      <w:pPr>
        <w:numPr>
          <w:ilvl w:val="0"/>
          <w:numId w:val="379"/>
        </w:numPr>
        <w:shd w:val="clear" w:color="auto" w:fill="FFFFFF"/>
        <w:autoSpaceDE w:val="0"/>
        <w:autoSpaceDN w:val="0"/>
        <w:adjustRightInd w:val="0"/>
        <w:contextualSpacing/>
        <w:jc w:val="both"/>
        <w:rPr>
          <w:rFonts w:eastAsia="Calibri" w:cstheme="minorHAnsi"/>
          <w:noProof/>
        </w:rPr>
      </w:pPr>
      <w:r w:rsidRPr="00080412">
        <w:rPr>
          <w:rFonts w:eastAsia="Calibri" w:cstheme="minorHAnsi"/>
          <w:noProof/>
        </w:rPr>
        <w:t>Directives techniques pour l’elaboration des CNs</w:t>
      </w:r>
    </w:p>
    <w:p w14:paraId="14A956C2" w14:textId="77777777" w:rsidR="00A47DEE" w:rsidRPr="00080412" w:rsidRDefault="00A47DEE" w:rsidP="00A47DEE">
      <w:pPr>
        <w:numPr>
          <w:ilvl w:val="0"/>
          <w:numId w:val="379"/>
        </w:numPr>
        <w:shd w:val="clear" w:color="auto" w:fill="FFFFFF"/>
        <w:autoSpaceDE w:val="0"/>
        <w:autoSpaceDN w:val="0"/>
        <w:adjustRightInd w:val="0"/>
        <w:contextualSpacing/>
        <w:jc w:val="both"/>
        <w:rPr>
          <w:rFonts w:eastAsia="Calibri" w:cstheme="minorHAnsi"/>
        </w:rPr>
      </w:pPr>
      <w:r w:rsidRPr="00080412">
        <w:rPr>
          <w:rFonts w:eastAsia="Calibri" w:cstheme="minorHAnsi"/>
          <w:noProof/>
        </w:rPr>
        <w:t>Le PNA en cours de formulation (livrables Agriculture)</w:t>
      </w:r>
    </w:p>
    <w:p w14:paraId="3F7208F9" w14:textId="77777777" w:rsidR="00A47DEE" w:rsidRPr="00080412" w:rsidRDefault="00A47DEE" w:rsidP="00A47DEE">
      <w:pPr>
        <w:shd w:val="clear" w:color="auto" w:fill="FFFFFF"/>
        <w:autoSpaceDE w:val="0"/>
        <w:autoSpaceDN w:val="0"/>
        <w:adjustRightInd w:val="0"/>
        <w:spacing w:before="240" w:after="0"/>
        <w:contextualSpacing/>
        <w:jc w:val="both"/>
        <w:rPr>
          <w:rFonts w:eastAsia="Calibri" w:cstheme="minorHAnsi"/>
          <w:b/>
          <w:bCs/>
          <w:noProof/>
          <w:u w:val="single"/>
        </w:rPr>
      </w:pPr>
      <w:r w:rsidRPr="00080412">
        <w:rPr>
          <w:rFonts w:eastAsia="Calibri" w:cstheme="minorHAnsi"/>
          <w:b/>
          <w:bCs/>
          <w:noProof/>
          <w:u w:val="single"/>
        </w:rPr>
        <w:t xml:space="preserve">Ces données documentaires sont complétées par des informations collectées auprès des acteurs à travers une large consultation. </w:t>
      </w:r>
    </w:p>
    <w:p w14:paraId="14CF10A7" w14:textId="77777777" w:rsidR="00A47DEE" w:rsidRPr="00080412" w:rsidRDefault="00A47DEE" w:rsidP="00A47DEE">
      <w:pPr>
        <w:shd w:val="clear" w:color="auto" w:fill="FFFFFF"/>
        <w:autoSpaceDE w:val="0"/>
        <w:autoSpaceDN w:val="0"/>
        <w:adjustRightInd w:val="0"/>
        <w:spacing w:before="240" w:after="0"/>
        <w:contextualSpacing/>
        <w:jc w:val="both"/>
        <w:rPr>
          <w:rFonts w:eastAsia="Calibri" w:cstheme="minorHAnsi"/>
          <w:noProof/>
        </w:rPr>
      </w:pPr>
    </w:p>
    <w:p w14:paraId="66BE8220" w14:textId="77777777" w:rsidR="00A47DEE" w:rsidRPr="00080412" w:rsidRDefault="00A47DEE" w:rsidP="00A47DEE">
      <w:pPr>
        <w:shd w:val="clear" w:color="auto" w:fill="D9E2F3"/>
        <w:tabs>
          <w:tab w:val="left" w:pos="708"/>
        </w:tabs>
        <w:spacing w:after="0"/>
        <w:rPr>
          <w:rFonts w:eastAsia="Calibri" w:cstheme="minorHAnsi"/>
          <w:b/>
          <w:bCs/>
          <w:noProof/>
          <w:color w:val="0070C0"/>
        </w:rPr>
      </w:pPr>
      <w:r w:rsidRPr="00080412">
        <w:rPr>
          <w:rFonts w:eastAsia="Calibri" w:cstheme="minorHAnsi"/>
          <w:b/>
          <w:bCs/>
          <w:noProof/>
          <w:color w:val="0070C0"/>
        </w:rPr>
        <w:t xml:space="preserve">Etape 2 : Entretien avec parties prenantes </w:t>
      </w:r>
    </w:p>
    <w:p w14:paraId="3592ECF4" w14:textId="77777777" w:rsidR="00A47DEE" w:rsidRPr="00080412" w:rsidRDefault="00A47DEE" w:rsidP="00A47DEE">
      <w:pPr>
        <w:numPr>
          <w:ilvl w:val="0"/>
          <w:numId w:val="380"/>
        </w:numPr>
        <w:tabs>
          <w:tab w:val="left" w:pos="567"/>
        </w:tabs>
        <w:autoSpaceDE w:val="0"/>
        <w:autoSpaceDN w:val="0"/>
        <w:adjustRightInd w:val="0"/>
        <w:contextualSpacing/>
        <w:jc w:val="both"/>
        <w:rPr>
          <w:rFonts w:eastAsia="Calibri" w:cstheme="minorHAnsi"/>
          <w:noProof/>
        </w:rPr>
      </w:pPr>
      <w:r w:rsidRPr="00080412">
        <w:rPr>
          <w:rFonts w:eastAsia="Calibri" w:cstheme="minorHAnsi"/>
          <w:noProof/>
        </w:rPr>
        <w:t>Tenir des entretiens avec des personnes ressources, de responsables et cadres techniques d’institutions nationales (MASA ,MEDD), d’organisations internationales (FAO, BID et UE) et d’organisations de la société civile pour enrichir les analyses présentées dans ce rapport.</w:t>
      </w:r>
    </w:p>
    <w:p w14:paraId="6099129F" w14:textId="77777777" w:rsidR="00A47DEE" w:rsidRPr="00080412" w:rsidRDefault="00A47DEE" w:rsidP="00A47DEE">
      <w:pPr>
        <w:shd w:val="clear" w:color="auto" w:fill="D9E2F3"/>
        <w:tabs>
          <w:tab w:val="left" w:pos="708"/>
        </w:tabs>
        <w:spacing w:before="240" w:after="0"/>
        <w:rPr>
          <w:rFonts w:eastAsia="Calibri" w:cstheme="minorHAnsi"/>
          <w:b/>
          <w:bCs/>
          <w:noProof/>
          <w:color w:val="0070C0"/>
        </w:rPr>
      </w:pPr>
      <w:r w:rsidRPr="00080412">
        <w:rPr>
          <w:rFonts w:eastAsia="Calibri" w:cstheme="minorHAnsi"/>
          <w:b/>
          <w:bCs/>
          <w:noProof/>
          <w:color w:val="0070C0"/>
        </w:rPr>
        <w:t xml:space="preserve">Etape 4 : Outils et matrices </w:t>
      </w:r>
    </w:p>
    <w:p w14:paraId="6B6C50A0" w14:textId="77777777" w:rsidR="00A47DEE" w:rsidRPr="00080412" w:rsidRDefault="00A47DEE" w:rsidP="00A47DEE">
      <w:pPr>
        <w:numPr>
          <w:ilvl w:val="0"/>
          <w:numId w:val="378"/>
        </w:numPr>
        <w:shd w:val="clear" w:color="auto" w:fill="FFFFFF"/>
        <w:autoSpaceDE w:val="0"/>
        <w:autoSpaceDN w:val="0"/>
        <w:adjustRightInd w:val="0"/>
        <w:contextualSpacing/>
        <w:jc w:val="both"/>
        <w:rPr>
          <w:rFonts w:eastAsia="Calibri" w:cstheme="minorHAnsi"/>
          <w:noProof/>
        </w:rPr>
      </w:pPr>
      <w:r w:rsidRPr="00080412">
        <w:rPr>
          <w:rFonts w:eastAsia="Calibri" w:cstheme="minorHAnsi"/>
          <w:noProof/>
        </w:rPr>
        <w:t>AMC</w:t>
      </w:r>
    </w:p>
    <w:p w14:paraId="355DF56C" w14:textId="77777777" w:rsidR="00A47DEE" w:rsidRPr="00080412" w:rsidRDefault="00A47DEE" w:rsidP="00A47DEE">
      <w:pPr>
        <w:numPr>
          <w:ilvl w:val="0"/>
          <w:numId w:val="378"/>
        </w:numPr>
        <w:shd w:val="clear" w:color="auto" w:fill="FFFFFF"/>
        <w:autoSpaceDE w:val="0"/>
        <w:autoSpaceDN w:val="0"/>
        <w:adjustRightInd w:val="0"/>
        <w:contextualSpacing/>
        <w:jc w:val="both"/>
        <w:rPr>
          <w:rFonts w:eastAsia="Calibri" w:cstheme="minorHAnsi"/>
          <w:noProof/>
        </w:rPr>
      </w:pPr>
      <w:r w:rsidRPr="00080412">
        <w:rPr>
          <w:rFonts w:eastAsia="Calibri" w:cstheme="minorHAnsi"/>
          <w:noProof/>
        </w:rPr>
        <w:t>Matrices d’impacts et d’adaptation</w:t>
      </w:r>
    </w:p>
    <w:p w14:paraId="709D0E44" w14:textId="77777777" w:rsidR="00A47DEE" w:rsidRPr="00080412" w:rsidRDefault="00A47DEE" w:rsidP="00A47DEE">
      <w:pPr>
        <w:numPr>
          <w:ilvl w:val="0"/>
          <w:numId w:val="378"/>
        </w:numPr>
        <w:shd w:val="clear" w:color="auto" w:fill="FFFFFF"/>
        <w:autoSpaceDE w:val="0"/>
        <w:autoSpaceDN w:val="0"/>
        <w:adjustRightInd w:val="0"/>
        <w:contextualSpacing/>
        <w:jc w:val="both"/>
        <w:rPr>
          <w:rFonts w:eastAsia="Calibri" w:cstheme="minorHAnsi"/>
          <w:noProof/>
        </w:rPr>
      </w:pPr>
      <w:r w:rsidRPr="00080412">
        <w:rPr>
          <w:rFonts w:eastAsia="Calibri" w:cstheme="minorHAnsi"/>
          <w:noProof/>
        </w:rPr>
        <w:t>Chaines d’impacts</w:t>
      </w:r>
    </w:p>
    <w:p w14:paraId="54394555" w14:textId="77777777" w:rsidR="00A47DEE" w:rsidRPr="00080412" w:rsidRDefault="00A47DEE" w:rsidP="00A47DEE">
      <w:pPr>
        <w:shd w:val="clear" w:color="auto" w:fill="D9E2F3"/>
        <w:tabs>
          <w:tab w:val="left" w:pos="708"/>
        </w:tabs>
        <w:spacing w:before="240" w:after="0"/>
        <w:rPr>
          <w:rFonts w:eastAsia="Calibri" w:cstheme="minorHAnsi"/>
          <w:b/>
          <w:bCs/>
          <w:noProof/>
          <w:color w:val="0070C0"/>
        </w:rPr>
      </w:pPr>
      <w:r w:rsidRPr="00080412">
        <w:rPr>
          <w:rFonts w:eastAsia="Calibri" w:cstheme="minorHAnsi"/>
          <w:b/>
          <w:bCs/>
          <w:noProof/>
          <w:color w:val="0070C0"/>
        </w:rPr>
        <w:t>Etape 5 : Redaction des rapports.</w:t>
      </w:r>
    </w:p>
    <w:p w14:paraId="3425A6D2" w14:textId="77777777" w:rsidR="00A47DEE" w:rsidRPr="00080412" w:rsidRDefault="00A47DEE" w:rsidP="00A47DEE">
      <w:pPr>
        <w:tabs>
          <w:tab w:val="left" w:pos="708"/>
        </w:tabs>
        <w:spacing w:after="0"/>
        <w:jc w:val="lowKashida"/>
        <w:rPr>
          <w:rFonts w:eastAsia="Calibri" w:cstheme="minorHAnsi"/>
          <w:noProof/>
        </w:rPr>
      </w:pPr>
      <w:r w:rsidRPr="00080412">
        <w:rPr>
          <w:rFonts w:eastAsia="Calibri" w:cstheme="minorHAnsi"/>
          <w:noProof/>
        </w:rPr>
        <w:t>Le traitement et l’analyse des données a permis d’élaborer une version provisoire du rapport , inspiré des résultats de l’atelier de recadrage. Le rapport provisoire sera soumis à l’appréciation et l’amendement du TL et de l’UGP projet CN5.</w:t>
      </w:r>
    </w:p>
    <w:p w14:paraId="237D9112" w14:textId="77777777" w:rsidR="00A47DEE" w:rsidRPr="00080412" w:rsidRDefault="00A47DEE" w:rsidP="00A47DEE">
      <w:pPr>
        <w:jc w:val="both"/>
        <w:rPr>
          <w:rFonts w:eastAsia="Calibri" w:cstheme="minorHAnsi"/>
          <w:kern w:val="2"/>
          <w14:ligatures w14:val="standardContextual"/>
        </w:rPr>
      </w:pPr>
    </w:p>
    <w:p w14:paraId="23331DA8" w14:textId="77777777" w:rsidR="00A47DEE" w:rsidRDefault="00A47DEE" w:rsidP="00A47DEE">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after="240"/>
        <w:rPr>
          <w:rFonts w:asciiTheme="minorHAnsi" w:hAnsiTheme="minorHAnsi" w:cstheme="minorHAnsi"/>
          <w:b/>
          <w:bCs/>
          <w:color w:val="FFFFFF" w:themeColor="background1"/>
          <w:sz w:val="30"/>
          <w:szCs w:val="30"/>
        </w:rPr>
      </w:pPr>
      <w:bookmarkStart w:id="286" w:name="_Toc179577347"/>
      <w:r>
        <w:rPr>
          <w:rFonts w:asciiTheme="minorHAnsi" w:hAnsiTheme="minorHAnsi" w:cstheme="minorHAnsi"/>
          <w:b/>
          <w:bCs/>
          <w:color w:val="FFFFFF" w:themeColor="background1"/>
          <w:sz w:val="30"/>
          <w:szCs w:val="30"/>
        </w:rPr>
        <w:t xml:space="preserve">PARTIE II : </w:t>
      </w:r>
      <w:r w:rsidRPr="003D5CD7">
        <w:rPr>
          <w:rFonts w:asciiTheme="minorHAnsi" w:hAnsiTheme="minorHAnsi" w:cstheme="minorHAnsi"/>
          <w:b/>
          <w:bCs/>
          <w:color w:val="FFFFFF" w:themeColor="background1"/>
          <w:sz w:val="30"/>
          <w:szCs w:val="30"/>
        </w:rPr>
        <w:t>PRESENTATION DU SECTEUR DE L’AGRICULTURE</w:t>
      </w:r>
      <w:bookmarkEnd w:id="286"/>
    </w:p>
    <w:p w14:paraId="7B057FC2" w14:textId="77777777" w:rsidR="00A47DEE" w:rsidRPr="003D5CD7" w:rsidRDefault="00A47DEE" w:rsidP="00A47DEE">
      <w:pPr>
        <w:rPr>
          <w:rFonts w:eastAsia="Calibri" w:cstheme="minorHAnsi"/>
          <w:color w:val="000000"/>
        </w:rPr>
      </w:pPr>
      <w:r w:rsidRPr="004F1DE2">
        <w:rPr>
          <w:rFonts w:eastAsia="Calibri" w:cstheme="minorHAnsi"/>
          <w:color w:val="000000"/>
        </w:rPr>
        <w:t xml:space="preserve">Le secteur </w:t>
      </w:r>
      <w:r>
        <w:rPr>
          <w:rFonts w:eastAsia="Calibri" w:cstheme="minorHAnsi"/>
          <w:color w:val="000000"/>
        </w:rPr>
        <w:t xml:space="preserve">de l’Agriculture </w:t>
      </w:r>
      <w:r w:rsidRPr="004F1DE2">
        <w:rPr>
          <w:rFonts w:eastAsia="Calibri" w:cstheme="minorHAnsi"/>
          <w:color w:val="000000"/>
        </w:rPr>
        <w:t>assure deux rôles dans le développement du pays</w:t>
      </w:r>
      <w:r>
        <w:rPr>
          <w:rFonts w:eastAsia="Calibri" w:cstheme="minorHAnsi"/>
          <w:color w:val="000000"/>
        </w:rPr>
        <w:t xml:space="preserve">, </w:t>
      </w:r>
      <w:r w:rsidRPr="004F1DE2">
        <w:rPr>
          <w:rFonts w:eastAsia="Calibri" w:cstheme="minorHAnsi"/>
          <w:color w:val="000000"/>
        </w:rPr>
        <w:t>l’un économique à travers son apport à la création de valeur ajoutée (accélération de la croissance) et l’autre social au niveau du milieu rural qui constitue la principale zone de concentration des pauvres en Mauritanie.</w:t>
      </w:r>
    </w:p>
    <w:p w14:paraId="1D032B7E" w14:textId="77777777" w:rsidR="00A47DEE" w:rsidRPr="002C18F4" w:rsidRDefault="00A47DEE" w:rsidP="00A47DEE">
      <w:pPr>
        <w:pStyle w:val="Paragraphedeliste"/>
        <w:keepNext/>
        <w:keepLines/>
        <w:numPr>
          <w:ilvl w:val="1"/>
          <w:numId w:val="386"/>
        </w:numPr>
        <w:shd w:val="clear" w:color="auto" w:fill="D9E2F3"/>
        <w:tabs>
          <w:tab w:val="left" w:pos="851"/>
        </w:tabs>
        <w:spacing w:before="200"/>
        <w:jc w:val="lowKashida"/>
        <w:outlineLvl w:val="2"/>
        <w:rPr>
          <w:rFonts w:eastAsia="Calibri" w:cstheme="minorHAnsi"/>
          <w:b/>
          <w:bCs/>
          <w:color w:val="0070C0"/>
          <w:sz w:val="24"/>
          <w:szCs w:val="24"/>
        </w:rPr>
      </w:pPr>
      <w:bookmarkStart w:id="287" w:name="_Toc479606212"/>
      <w:bookmarkStart w:id="288" w:name="_Toc427659267"/>
      <w:bookmarkStart w:id="289" w:name="_Toc424811239"/>
      <w:bookmarkStart w:id="290" w:name="_Toc424811065"/>
      <w:bookmarkStart w:id="291" w:name="_Toc424810856"/>
      <w:bookmarkStart w:id="292" w:name="_Toc424810656"/>
      <w:bookmarkStart w:id="293" w:name="_Toc420701740"/>
      <w:bookmarkStart w:id="294" w:name="_Toc420701452"/>
      <w:bookmarkStart w:id="295" w:name="_Toc419024221"/>
      <w:bookmarkStart w:id="296" w:name="_Toc419024183"/>
      <w:bookmarkStart w:id="297" w:name="_Toc419024096"/>
      <w:bookmarkStart w:id="298" w:name="_Toc419023108"/>
      <w:bookmarkStart w:id="299" w:name="_Toc44970725"/>
      <w:bookmarkStart w:id="300" w:name="_Toc51580716"/>
      <w:bookmarkStart w:id="301" w:name="_Toc179577348"/>
      <w:r w:rsidRPr="002C18F4">
        <w:rPr>
          <w:rFonts w:eastAsia="Calibri" w:cstheme="minorHAnsi"/>
          <w:b/>
          <w:bCs/>
          <w:color w:val="0070C0"/>
          <w:sz w:val="24"/>
          <w:szCs w:val="24"/>
        </w:rPr>
        <w:t>Systèmes de production</w:t>
      </w:r>
      <w:bookmarkEnd w:id="287"/>
      <w:bookmarkEnd w:id="288"/>
      <w:bookmarkEnd w:id="289"/>
      <w:bookmarkEnd w:id="290"/>
      <w:bookmarkEnd w:id="291"/>
      <w:bookmarkEnd w:id="292"/>
      <w:bookmarkEnd w:id="293"/>
      <w:bookmarkEnd w:id="294"/>
      <w:bookmarkEnd w:id="295"/>
      <w:bookmarkEnd w:id="296"/>
      <w:bookmarkEnd w:id="297"/>
      <w:bookmarkEnd w:id="298"/>
      <w:r w:rsidRPr="002C18F4">
        <w:rPr>
          <w:rFonts w:eastAsia="Calibri" w:cstheme="minorHAnsi"/>
          <w:b/>
          <w:bCs/>
          <w:color w:val="0070C0"/>
          <w:sz w:val="24"/>
          <w:szCs w:val="24"/>
        </w:rPr>
        <w:t xml:space="preserve"> et filières agricole</w:t>
      </w:r>
      <w:bookmarkEnd w:id="299"/>
      <w:r w:rsidRPr="002C18F4">
        <w:rPr>
          <w:rFonts w:eastAsia="Calibri" w:cstheme="minorHAnsi"/>
          <w:b/>
          <w:bCs/>
          <w:color w:val="0070C0"/>
          <w:sz w:val="24"/>
          <w:szCs w:val="24"/>
        </w:rPr>
        <w:t>s</w:t>
      </w:r>
      <w:bookmarkEnd w:id="300"/>
      <w:bookmarkEnd w:id="301"/>
    </w:p>
    <w:p w14:paraId="1DA8378C" w14:textId="77777777" w:rsidR="00A47DEE" w:rsidRPr="003D5CD7" w:rsidRDefault="00A47DEE" w:rsidP="00A47DEE">
      <w:pPr>
        <w:spacing w:after="0"/>
        <w:jc w:val="lowKashida"/>
        <w:rPr>
          <w:rFonts w:eastAsia="Calibri" w:cstheme="minorHAnsi"/>
        </w:rPr>
      </w:pPr>
      <w:r w:rsidRPr="003D5CD7">
        <w:rPr>
          <w:rFonts w:eastAsia="Calibri" w:cstheme="minorHAnsi"/>
        </w:rPr>
        <w:t xml:space="preserve">L’agriculture mauritanienne repose sur 5 systèmes de cultures qui sont notamment : </w:t>
      </w:r>
    </w:p>
    <w:p w14:paraId="5967C73B" w14:textId="77777777" w:rsidR="00A47DEE" w:rsidRPr="003D5CD7" w:rsidRDefault="00A47DEE" w:rsidP="00A47DEE">
      <w:pPr>
        <w:numPr>
          <w:ilvl w:val="0"/>
          <w:numId w:val="357"/>
        </w:numPr>
        <w:autoSpaceDE w:val="0"/>
        <w:autoSpaceDN w:val="0"/>
        <w:adjustRightInd w:val="0"/>
        <w:spacing w:after="0"/>
        <w:contextualSpacing/>
        <w:jc w:val="lowKashida"/>
        <w:rPr>
          <w:rFonts w:eastAsia="Calibri" w:cstheme="minorHAnsi"/>
          <w:color w:val="000000"/>
        </w:rPr>
      </w:pPr>
      <w:r w:rsidRPr="003D5CD7">
        <w:rPr>
          <w:rFonts w:eastAsia="Calibri" w:cstheme="minorHAnsi"/>
          <w:b/>
          <w:bCs/>
          <w:color w:val="000000"/>
        </w:rPr>
        <w:t>Le système de culture extensif pluvial en zone sablonneuse ou « Diéri »</w:t>
      </w:r>
      <w:r w:rsidRPr="003D5CD7">
        <w:rPr>
          <w:rFonts w:eastAsia="Calibri" w:cstheme="minorHAnsi"/>
          <w:color w:val="000000"/>
        </w:rPr>
        <w:t xml:space="preserve"> - Les cultures pratiquées au niveau du Diéri sont le sorgho, le mil et le maïs avec d’autres cultures associées (niébé, pastèques, courges, oseille de Guinée). Les superficies cultivées varient considérablement en fonction de la pluviométrie. </w:t>
      </w:r>
    </w:p>
    <w:p w14:paraId="7D53064F" w14:textId="77777777" w:rsidR="00A47DEE" w:rsidRPr="003D5CD7" w:rsidRDefault="00A47DEE" w:rsidP="00A47DEE">
      <w:pPr>
        <w:numPr>
          <w:ilvl w:val="0"/>
          <w:numId w:val="357"/>
        </w:numPr>
        <w:autoSpaceDE w:val="0"/>
        <w:autoSpaceDN w:val="0"/>
        <w:adjustRightInd w:val="0"/>
        <w:spacing w:after="0"/>
        <w:contextualSpacing/>
        <w:jc w:val="lowKashida"/>
        <w:rPr>
          <w:rFonts w:eastAsia="Calibri" w:cstheme="minorHAnsi"/>
          <w:color w:val="000000"/>
        </w:rPr>
      </w:pPr>
      <w:r w:rsidRPr="003D5CD7">
        <w:rPr>
          <w:rFonts w:eastAsia="Calibri" w:cstheme="minorHAnsi"/>
          <w:b/>
          <w:bCs/>
          <w:color w:val="000000"/>
        </w:rPr>
        <w:t>Le système de culture derrière barrages et bas-fonds</w:t>
      </w:r>
      <w:r w:rsidRPr="003D5CD7">
        <w:rPr>
          <w:rFonts w:eastAsia="Calibri" w:cstheme="minorHAnsi"/>
          <w:color w:val="000000"/>
        </w:rPr>
        <w:t xml:space="preserve"> –Les superficies emblavées et les productions varient en fonction de la pluviométrie, de l'entretien des infrastructures et de l'importance des pertes dues aux ravageurs.</w:t>
      </w:r>
    </w:p>
    <w:p w14:paraId="752609C5" w14:textId="77777777" w:rsidR="00A47DEE" w:rsidRPr="003D5CD7" w:rsidRDefault="00A47DEE" w:rsidP="00A47DEE">
      <w:pPr>
        <w:numPr>
          <w:ilvl w:val="0"/>
          <w:numId w:val="357"/>
        </w:numPr>
        <w:autoSpaceDE w:val="0"/>
        <w:autoSpaceDN w:val="0"/>
        <w:adjustRightInd w:val="0"/>
        <w:spacing w:after="0"/>
        <w:contextualSpacing/>
        <w:jc w:val="lowKashida"/>
        <w:rPr>
          <w:rFonts w:eastAsia="Calibri" w:cstheme="minorHAnsi"/>
          <w:color w:val="000000"/>
        </w:rPr>
      </w:pPr>
      <w:r w:rsidRPr="003D5CD7">
        <w:rPr>
          <w:rFonts w:eastAsia="Calibri" w:cstheme="minorHAnsi"/>
          <w:b/>
          <w:bCs/>
          <w:color w:val="000000"/>
        </w:rPr>
        <w:t>Le système de cultures de décrue naturelle ou contrôlée du Walo</w:t>
      </w:r>
      <w:r w:rsidRPr="003D5CD7">
        <w:rPr>
          <w:rFonts w:eastAsia="Calibri" w:cstheme="minorHAnsi"/>
          <w:color w:val="000000"/>
        </w:rPr>
        <w:t xml:space="preserve"> - La culture de sorgho et celle du maïs sont pratiquées dans la plaine alluviale du fleuve Sénégal et de ses affluents et défluents en profitant de l'inondation naturelle (décrue naturelle) ou contrôlée (décrue contrôlée). </w:t>
      </w:r>
    </w:p>
    <w:p w14:paraId="4F51BB2F" w14:textId="77777777" w:rsidR="00A47DEE" w:rsidRPr="003D5CD7" w:rsidRDefault="00A47DEE" w:rsidP="00A47DEE">
      <w:pPr>
        <w:numPr>
          <w:ilvl w:val="0"/>
          <w:numId w:val="357"/>
        </w:numPr>
        <w:autoSpaceDE w:val="0"/>
        <w:autoSpaceDN w:val="0"/>
        <w:adjustRightInd w:val="0"/>
        <w:spacing w:after="0"/>
        <w:contextualSpacing/>
        <w:jc w:val="lowKashida"/>
        <w:rPr>
          <w:rFonts w:eastAsia="Calibri" w:cstheme="minorHAnsi"/>
          <w:color w:val="000000"/>
        </w:rPr>
      </w:pPr>
      <w:r w:rsidRPr="003D5CD7">
        <w:rPr>
          <w:rFonts w:eastAsia="Calibri" w:cstheme="minorHAnsi"/>
          <w:b/>
          <w:bCs/>
          <w:color w:val="000000"/>
        </w:rPr>
        <w:t>Le système oasien -</w:t>
      </w:r>
      <w:r w:rsidRPr="003D5CD7">
        <w:rPr>
          <w:rFonts w:eastAsia="Calibri" w:cstheme="minorHAnsi"/>
          <w:color w:val="000000"/>
        </w:rPr>
        <w:t xml:space="preserve"> Il s’agit du système de production présent dans les 352 oasis inventoriées au niveau des wilayas de l’Adrar, du Tagant, de l’Assaba et des deux Hodhs dans lesquelles évoluent 26 836 exploitations, sur une superficie qui dépasse 16 000 ha (PNDA, 2015). L’agriculture pratiquée dans les oasis repose en grande partie sur le palmier dattier qui demeure une culture importante tant du point de vue économique que culturel et à laquelle est associé aussi le maraîchage. </w:t>
      </w:r>
    </w:p>
    <w:p w14:paraId="0D86D437" w14:textId="77777777" w:rsidR="00A47DEE" w:rsidRPr="003D5CD7" w:rsidRDefault="00A47DEE" w:rsidP="00A47DEE">
      <w:pPr>
        <w:numPr>
          <w:ilvl w:val="0"/>
          <w:numId w:val="357"/>
        </w:numPr>
        <w:autoSpaceDE w:val="0"/>
        <w:autoSpaceDN w:val="0"/>
        <w:adjustRightInd w:val="0"/>
        <w:spacing w:after="0"/>
        <w:contextualSpacing/>
        <w:jc w:val="lowKashida"/>
        <w:rPr>
          <w:rFonts w:eastAsia="Calibri" w:cstheme="minorHAnsi"/>
          <w:color w:val="000000"/>
        </w:rPr>
      </w:pPr>
      <w:r w:rsidRPr="003D5CD7">
        <w:rPr>
          <w:rFonts w:eastAsia="Calibri" w:cstheme="minorHAnsi"/>
          <w:b/>
          <w:bCs/>
          <w:color w:val="000000"/>
        </w:rPr>
        <w:t>L'agriculture irriguée en maîtrise totale de l’eau</w:t>
      </w:r>
      <w:r w:rsidRPr="003D5CD7">
        <w:rPr>
          <w:rFonts w:eastAsia="Calibri" w:cstheme="minorHAnsi"/>
          <w:color w:val="000000"/>
        </w:rPr>
        <w:t xml:space="preserve"> – Ce type d’agriculture est pratiqué essentiellement dans la vallée du fleuve Sénégal et concerne : (i) le riz, la principale culture, en hivernage, (juillet-octobre), (ii) les légumes, le maïs et le sorgho, en contre-saison froide (novembre- février) et, (iii) dans une moindre mesure, le riz en contre saison chaude. </w:t>
      </w:r>
      <w:bookmarkStart w:id="302" w:name="_Toc472155038"/>
    </w:p>
    <w:p w14:paraId="0888092B" w14:textId="77777777" w:rsidR="00A47DEE" w:rsidRPr="003D5CD7" w:rsidRDefault="00A47DEE" w:rsidP="00A47DEE">
      <w:pPr>
        <w:keepNext/>
        <w:jc w:val="lowKashida"/>
        <w:rPr>
          <w:rFonts w:eastAsia="Calibri" w:cstheme="minorHAnsi"/>
          <w:b/>
          <w:bCs/>
          <w:color w:val="4F81BD"/>
          <w:sz w:val="20"/>
          <w:szCs w:val="20"/>
          <w:lang w:eastAsia="zh-CN"/>
        </w:rPr>
      </w:pPr>
      <w:bookmarkStart w:id="303" w:name="_Toc51580152"/>
      <w:bookmarkEnd w:id="302"/>
      <w:r w:rsidRPr="003D5CD7">
        <w:rPr>
          <w:rFonts w:eastAsia="Calibri" w:cstheme="minorHAnsi"/>
          <w:b/>
          <w:bCs/>
          <w:color w:val="4F81BD"/>
          <w:sz w:val="20"/>
          <w:szCs w:val="20"/>
        </w:rPr>
        <w:t xml:space="preserve">Tableau </w:t>
      </w:r>
      <w:r w:rsidRPr="003D5CD7">
        <w:rPr>
          <w:rFonts w:eastAsia="Calibri" w:cstheme="minorHAnsi"/>
          <w:b/>
          <w:bCs/>
          <w:color w:val="4F81BD"/>
          <w:sz w:val="18"/>
          <w:szCs w:val="18"/>
        </w:rPr>
        <w:fldChar w:fldCharType="begin"/>
      </w:r>
      <w:r w:rsidRPr="003D5CD7">
        <w:rPr>
          <w:rFonts w:eastAsia="Calibri" w:cstheme="minorHAnsi"/>
          <w:b/>
          <w:bCs/>
          <w:color w:val="4F81BD"/>
          <w:sz w:val="20"/>
          <w:szCs w:val="20"/>
        </w:rPr>
        <w:instrText xml:space="preserve"> SEQ Tableau \* ARABIC </w:instrText>
      </w:r>
      <w:r w:rsidRPr="003D5CD7">
        <w:rPr>
          <w:rFonts w:eastAsia="Calibri" w:cstheme="minorHAnsi"/>
          <w:b/>
          <w:bCs/>
          <w:color w:val="4F81BD"/>
          <w:sz w:val="18"/>
          <w:szCs w:val="18"/>
        </w:rPr>
        <w:fldChar w:fldCharType="separate"/>
      </w:r>
      <w:r>
        <w:rPr>
          <w:rFonts w:eastAsia="Calibri" w:cstheme="minorHAnsi"/>
          <w:b/>
          <w:bCs/>
          <w:noProof/>
          <w:color w:val="4F81BD"/>
          <w:sz w:val="20"/>
          <w:szCs w:val="20"/>
        </w:rPr>
        <w:t>1</w:t>
      </w:r>
      <w:r w:rsidRPr="003D5CD7">
        <w:rPr>
          <w:rFonts w:eastAsia="Calibri" w:cstheme="minorHAnsi"/>
          <w:b/>
          <w:bCs/>
          <w:color w:val="4F81BD"/>
          <w:sz w:val="18"/>
          <w:szCs w:val="18"/>
        </w:rPr>
        <w:fldChar w:fldCharType="end"/>
      </w:r>
      <w:r w:rsidRPr="003D5CD7">
        <w:rPr>
          <w:rFonts w:eastAsia="Calibri" w:cstheme="minorHAnsi"/>
          <w:b/>
          <w:bCs/>
          <w:color w:val="4F81BD"/>
          <w:sz w:val="20"/>
          <w:szCs w:val="20"/>
          <w:lang w:eastAsia="zh-CN"/>
        </w:rPr>
        <w:t xml:space="preserve"> - Répartition des superficies agricoles potentielles par système de production.</w:t>
      </w:r>
      <w:bookmarkEnd w:id="303"/>
    </w:p>
    <w:tbl>
      <w:tblPr>
        <w:tblStyle w:val="Grilleclaire11"/>
        <w:tblW w:w="9126" w:type="dxa"/>
        <w:tblLook w:val="04A0" w:firstRow="1" w:lastRow="0" w:firstColumn="1" w:lastColumn="0" w:noHBand="0" w:noVBand="1"/>
      </w:tblPr>
      <w:tblGrid>
        <w:gridCol w:w="2981"/>
        <w:gridCol w:w="1143"/>
        <w:gridCol w:w="1440"/>
        <w:gridCol w:w="1705"/>
        <w:gridCol w:w="1857"/>
      </w:tblGrid>
      <w:tr w:rsidR="00A47DEE" w:rsidRPr="00F468F7" w14:paraId="2CA3795F" w14:textId="77777777" w:rsidTr="00EE0E23">
        <w:trPr>
          <w:cnfStyle w:val="100000000000" w:firstRow="1" w:lastRow="0" w:firstColumn="0" w:lastColumn="0" w:oddVBand="0" w:evenVBand="0" w:oddHBand="0"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981" w:type="dxa"/>
            <w:vMerge w:val="restart"/>
            <w:hideMark/>
          </w:tcPr>
          <w:p w14:paraId="65D45929" w14:textId="77777777" w:rsidR="00A47DEE" w:rsidRPr="003D5CD7" w:rsidRDefault="00A47DEE" w:rsidP="00EE0E23">
            <w:pPr>
              <w:widowControl w:val="0"/>
              <w:jc w:val="center"/>
              <w:rPr>
                <w:rFonts w:asciiTheme="minorHAnsi" w:eastAsia="Calibri" w:hAnsiTheme="minorHAnsi" w:cstheme="minorHAnsi"/>
                <w:sz w:val="20"/>
                <w:szCs w:val="20"/>
                <w:lang w:eastAsia="it-IT"/>
              </w:rPr>
            </w:pPr>
            <w:r w:rsidRPr="003D5CD7">
              <w:rPr>
                <w:rFonts w:asciiTheme="minorHAnsi" w:eastAsia="Calibri" w:hAnsiTheme="minorHAnsi" w:cstheme="minorHAnsi"/>
                <w:sz w:val="20"/>
                <w:szCs w:val="20"/>
                <w:lang w:eastAsia="it-IT"/>
              </w:rPr>
              <w:t>Système de production</w:t>
            </w:r>
          </w:p>
        </w:tc>
        <w:tc>
          <w:tcPr>
            <w:tcW w:w="2583" w:type="dxa"/>
            <w:gridSpan w:val="2"/>
            <w:hideMark/>
          </w:tcPr>
          <w:p w14:paraId="1E6D6FFC" w14:textId="77777777" w:rsidR="00A47DEE" w:rsidRPr="003D5CD7" w:rsidRDefault="00A47DEE" w:rsidP="00EE0E23">
            <w:pPr>
              <w:widowControl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lang w:eastAsia="it-IT"/>
              </w:rPr>
            </w:pPr>
            <w:r w:rsidRPr="003D5CD7">
              <w:rPr>
                <w:rFonts w:asciiTheme="minorHAnsi" w:eastAsia="Calibri" w:hAnsiTheme="minorHAnsi" w:cstheme="minorHAnsi"/>
                <w:sz w:val="20"/>
                <w:szCs w:val="20"/>
                <w:lang w:eastAsia="it-IT"/>
              </w:rPr>
              <w:t>Superficie agricole exploitable estimée (*)</w:t>
            </w:r>
          </w:p>
        </w:tc>
        <w:tc>
          <w:tcPr>
            <w:tcW w:w="1705" w:type="dxa"/>
            <w:vMerge w:val="restart"/>
          </w:tcPr>
          <w:p w14:paraId="676DD436" w14:textId="77777777" w:rsidR="00A47DEE" w:rsidRPr="003D5CD7" w:rsidRDefault="00A47DEE" w:rsidP="00EE0E23">
            <w:pPr>
              <w:widowControl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lang w:eastAsia="it-IT"/>
              </w:rPr>
            </w:pPr>
          </w:p>
          <w:p w14:paraId="7B730843" w14:textId="77777777" w:rsidR="00A47DEE" w:rsidRPr="003D5CD7" w:rsidRDefault="00A47DEE" w:rsidP="00EE0E23">
            <w:pPr>
              <w:widowControl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lang w:eastAsia="it-IT"/>
              </w:rPr>
            </w:pPr>
            <w:r w:rsidRPr="003D5CD7">
              <w:rPr>
                <w:rFonts w:asciiTheme="minorHAnsi" w:eastAsia="Calibri" w:hAnsiTheme="minorHAnsi" w:cstheme="minorHAnsi"/>
                <w:sz w:val="20"/>
                <w:szCs w:val="20"/>
                <w:lang w:eastAsia="it-IT"/>
              </w:rPr>
              <w:t>Cultures</w:t>
            </w:r>
          </w:p>
        </w:tc>
        <w:tc>
          <w:tcPr>
            <w:tcW w:w="1857" w:type="dxa"/>
            <w:vMerge w:val="restart"/>
            <w:hideMark/>
          </w:tcPr>
          <w:p w14:paraId="0710DAB8" w14:textId="77777777" w:rsidR="00A47DEE" w:rsidRPr="003D5CD7" w:rsidRDefault="00A47DEE" w:rsidP="00EE0E23">
            <w:pPr>
              <w:widowControl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lang w:eastAsia="it-IT"/>
              </w:rPr>
            </w:pPr>
            <w:r w:rsidRPr="003D5CD7">
              <w:rPr>
                <w:rFonts w:asciiTheme="minorHAnsi" w:eastAsia="Calibri" w:hAnsiTheme="minorHAnsi" w:cstheme="minorHAnsi"/>
                <w:sz w:val="20"/>
                <w:szCs w:val="20"/>
                <w:lang w:eastAsia="it-IT"/>
              </w:rPr>
              <w:t xml:space="preserve">Zone </w:t>
            </w:r>
            <w:proofErr w:type="spellStart"/>
            <w:r w:rsidRPr="003D5CD7">
              <w:rPr>
                <w:rFonts w:asciiTheme="minorHAnsi" w:eastAsia="Calibri" w:hAnsiTheme="minorHAnsi" w:cstheme="minorHAnsi"/>
                <w:sz w:val="20"/>
                <w:szCs w:val="20"/>
                <w:lang w:eastAsia="it-IT"/>
              </w:rPr>
              <w:t>agro-écologique</w:t>
            </w:r>
            <w:proofErr w:type="spellEnd"/>
          </w:p>
        </w:tc>
      </w:tr>
      <w:tr w:rsidR="00A47DEE" w:rsidRPr="00F468F7" w14:paraId="4BD5BE32" w14:textId="77777777" w:rsidTr="00EE0E23">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vMerge/>
            <w:hideMark/>
          </w:tcPr>
          <w:p w14:paraId="1673F1A7" w14:textId="77777777" w:rsidR="00A47DEE" w:rsidRPr="003D5CD7" w:rsidRDefault="00A47DEE" w:rsidP="00EE0E23">
            <w:pPr>
              <w:jc w:val="both"/>
              <w:rPr>
                <w:rFonts w:asciiTheme="minorHAnsi" w:eastAsia="Calibri" w:hAnsiTheme="minorHAnsi" w:cstheme="minorHAnsi"/>
                <w:color w:val="FFFFFF"/>
                <w:sz w:val="20"/>
                <w:szCs w:val="20"/>
                <w:lang w:eastAsia="it-IT"/>
              </w:rPr>
            </w:pPr>
          </w:p>
        </w:tc>
        <w:tc>
          <w:tcPr>
            <w:tcW w:w="1143" w:type="dxa"/>
            <w:hideMark/>
          </w:tcPr>
          <w:p w14:paraId="790A59B9" w14:textId="77777777" w:rsidR="00A47DEE" w:rsidRPr="003D5CD7" w:rsidRDefault="00A47DEE" w:rsidP="00EE0E23">
            <w:pPr>
              <w:widowControl w:val="0"/>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eastAsia="it-IT"/>
              </w:rPr>
            </w:pPr>
            <w:r w:rsidRPr="003D5CD7">
              <w:rPr>
                <w:rFonts w:eastAsia="Calibri" w:cstheme="minorHAnsi"/>
                <w:sz w:val="20"/>
                <w:szCs w:val="20"/>
                <w:lang w:eastAsia="it-IT"/>
              </w:rPr>
              <w:t>Ha</w:t>
            </w:r>
          </w:p>
        </w:tc>
        <w:tc>
          <w:tcPr>
            <w:tcW w:w="1439" w:type="dxa"/>
            <w:hideMark/>
          </w:tcPr>
          <w:p w14:paraId="1D21080B" w14:textId="77777777" w:rsidR="00A47DEE" w:rsidRPr="003D5CD7" w:rsidRDefault="00A47DEE" w:rsidP="00EE0E23">
            <w:pPr>
              <w:widowControl w:val="0"/>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eastAsia="it-IT"/>
              </w:rPr>
            </w:pPr>
            <w:r w:rsidRPr="003D5CD7">
              <w:rPr>
                <w:rFonts w:eastAsia="Calibri" w:cstheme="minorHAnsi"/>
                <w:sz w:val="20"/>
                <w:szCs w:val="20"/>
                <w:lang w:eastAsia="it-IT"/>
              </w:rPr>
              <w:t>%</w:t>
            </w:r>
          </w:p>
        </w:tc>
        <w:tc>
          <w:tcPr>
            <w:tcW w:w="1705" w:type="dxa"/>
            <w:vMerge/>
            <w:hideMark/>
          </w:tcPr>
          <w:p w14:paraId="173E4EF6" w14:textId="77777777" w:rsidR="00A47DEE" w:rsidRPr="003D5CD7" w:rsidRDefault="00A47DEE" w:rsidP="00EE0E23">
            <w:pPr>
              <w:jc w:val="both"/>
              <w:cnfStyle w:val="000000100000" w:firstRow="0" w:lastRow="0" w:firstColumn="0" w:lastColumn="0" w:oddVBand="0" w:evenVBand="0" w:oddHBand="1" w:evenHBand="0" w:firstRowFirstColumn="0" w:firstRowLastColumn="0" w:lastRowFirstColumn="0" w:lastRowLastColumn="0"/>
              <w:rPr>
                <w:rFonts w:eastAsia="Calibri" w:cstheme="minorHAnsi"/>
                <w:b/>
                <w:bCs/>
                <w:color w:val="FFFFFF"/>
                <w:sz w:val="20"/>
                <w:szCs w:val="20"/>
                <w:lang w:eastAsia="it-IT"/>
              </w:rPr>
            </w:pPr>
          </w:p>
        </w:tc>
        <w:tc>
          <w:tcPr>
            <w:tcW w:w="0" w:type="auto"/>
            <w:vMerge/>
            <w:hideMark/>
          </w:tcPr>
          <w:p w14:paraId="4C67F95A" w14:textId="77777777" w:rsidR="00A47DEE" w:rsidRPr="003D5CD7" w:rsidRDefault="00A47DEE" w:rsidP="00EE0E23">
            <w:pPr>
              <w:jc w:val="both"/>
              <w:cnfStyle w:val="000000100000" w:firstRow="0" w:lastRow="0" w:firstColumn="0" w:lastColumn="0" w:oddVBand="0" w:evenVBand="0" w:oddHBand="1" w:evenHBand="0" w:firstRowFirstColumn="0" w:firstRowLastColumn="0" w:lastRowFirstColumn="0" w:lastRowLastColumn="0"/>
              <w:rPr>
                <w:rFonts w:eastAsia="Calibri" w:cstheme="minorHAnsi"/>
                <w:b/>
                <w:bCs/>
                <w:color w:val="FFFFFF"/>
                <w:sz w:val="20"/>
                <w:szCs w:val="20"/>
                <w:lang w:eastAsia="it-IT"/>
              </w:rPr>
            </w:pPr>
          </w:p>
        </w:tc>
      </w:tr>
      <w:tr w:rsidR="00A47DEE" w:rsidRPr="00F468F7" w14:paraId="1ED29D22" w14:textId="77777777" w:rsidTr="00EE0E23">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981" w:type="dxa"/>
            <w:hideMark/>
          </w:tcPr>
          <w:p w14:paraId="61EE6F76" w14:textId="77777777" w:rsidR="00A47DEE" w:rsidRPr="003D5CD7" w:rsidRDefault="00A47DEE" w:rsidP="00EE0E23">
            <w:pPr>
              <w:widowControl w:val="0"/>
              <w:jc w:val="lowKashida"/>
              <w:rPr>
                <w:rFonts w:asciiTheme="minorHAnsi" w:eastAsia="Calibri" w:hAnsiTheme="minorHAnsi" w:cstheme="minorHAnsi"/>
                <w:color w:val="000000"/>
                <w:sz w:val="20"/>
                <w:szCs w:val="20"/>
                <w:lang w:eastAsia="it-IT"/>
              </w:rPr>
            </w:pPr>
            <w:r w:rsidRPr="003D5CD7">
              <w:rPr>
                <w:rFonts w:asciiTheme="minorHAnsi" w:eastAsia="Calibri" w:hAnsiTheme="minorHAnsi" w:cstheme="minorHAnsi"/>
                <w:color w:val="000000"/>
                <w:sz w:val="20"/>
                <w:szCs w:val="20"/>
                <w:lang w:eastAsia="it-IT"/>
              </w:rPr>
              <w:t>Système de cultures extensif pluvial en zone sablonneuse ou « diéri »</w:t>
            </w:r>
          </w:p>
        </w:tc>
        <w:tc>
          <w:tcPr>
            <w:tcW w:w="1143" w:type="dxa"/>
            <w:hideMark/>
          </w:tcPr>
          <w:p w14:paraId="1336DFE8" w14:textId="77777777" w:rsidR="00A47DEE" w:rsidRPr="003D5CD7" w:rsidRDefault="00A47DEE" w:rsidP="00EE0E23">
            <w:pPr>
              <w:widowControl w:val="0"/>
              <w:jc w:val="right"/>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250 000</w:t>
            </w:r>
          </w:p>
        </w:tc>
        <w:tc>
          <w:tcPr>
            <w:tcW w:w="1439" w:type="dxa"/>
            <w:hideMark/>
          </w:tcPr>
          <w:p w14:paraId="3B38792F" w14:textId="77777777" w:rsidR="00A47DEE" w:rsidRPr="003D5CD7" w:rsidRDefault="00A47DEE" w:rsidP="00EE0E23">
            <w:pPr>
              <w:widowControl w:val="0"/>
              <w:jc w:val="right"/>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49</w:t>
            </w:r>
          </w:p>
        </w:tc>
        <w:tc>
          <w:tcPr>
            <w:tcW w:w="1705" w:type="dxa"/>
            <w:hideMark/>
          </w:tcPr>
          <w:p w14:paraId="008DD8DE" w14:textId="77777777" w:rsidR="00A47DEE" w:rsidRPr="003D5CD7" w:rsidRDefault="00A47DEE" w:rsidP="00EE0E23">
            <w:pPr>
              <w:widowControl w:val="0"/>
              <w:jc w:val="both"/>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Sorgho, mil, maïs, légumes</w:t>
            </w:r>
          </w:p>
        </w:tc>
        <w:tc>
          <w:tcPr>
            <w:tcW w:w="1857" w:type="dxa"/>
            <w:hideMark/>
          </w:tcPr>
          <w:p w14:paraId="5CC5797D" w14:textId="77777777" w:rsidR="00A47DEE" w:rsidRPr="003D5CD7" w:rsidRDefault="00A47DEE" w:rsidP="00EE0E23">
            <w:pPr>
              <w:widowControl w:val="0"/>
              <w:jc w:val="both"/>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Zone sahélienne</w:t>
            </w:r>
          </w:p>
        </w:tc>
      </w:tr>
      <w:tr w:rsidR="00A47DEE" w:rsidRPr="00F468F7" w14:paraId="6DC815FE" w14:textId="77777777" w:rsidTr="00EE0E23">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981" w:type="dxa"/>
            <w:hideMark/>
          </w:tcPr>
          <w:p w14:paraId="10E2F5CD" w14:textId="77777777" w:rsidR="00A47DEE" w:rsidRPr="003D5CD7" w:rsidRDefault="00A47DEE" w:rsidP="00EE0E23">
            <w:pPr>
              <w:widowControl w:val="0"/>
              <w:jc w:val="lowKashida"/>
              <w:rPr>
                <w:rFonts w:asciiTheme="minorHAnsi" w:eastAsia="Calibri" w:hAnsiTheme="minorHAnsi" w:cstheme="minorHAnsi"/>
                <w:color w:val="000000"/>
                <w:sz w:val="20"/>
                <w:szCs w:val="20"/>
                <w:lang w:eastAsia="it-IT"/>
              </w:rPr>
            </w:pPr>
            <w:r w:rsidRPr="003D5CD7">
              <w:rPr>
                <w:rFonts w:asciiTheme="minorHAnsi" w:eastAsia="Calibri" w:hAnsiTheme="minorHAnsi" w:cstheme="minorHAnsi"/>
                <w:color w:val="000000"/>
                <w:sz w:val="20"/>
                <w:szCs w:val="20"/>
                <w:lang w:eastAsia="it-IT"/>
              </w:rPr>
              <w:t xml:space="preserve">Système de cultures derrière barrages et bas-fonds </w:t>
            </w:r>
          </w:p>
        </w:tc>
        <w:tc>
          <w:tcPr>
            <w:tcW w:w="1143" w:type="dxa"/>
            <w:hideMark/>
          </w:tcPr>
          <w:p w14:paraId="6DFC61C8" w14:textId="77777777" w:rsidR="00A47DEE" w:rsidRPr="003D5CD7" w:rsidRDefault="00A47DEE" w:rsidP="00EE0E23">
            <w:pPr>
              <w:widowControl w:val="0"/>
              <w:jc w:val="right"/>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60 000</w:t>
            </w:r>
          </w:p>
        </w:tc>
        <w:tc>
          <w:tcPr>
            <w:tcW w:w="1439" w:type="dxa"/>
            <w:hideMark/>
          </w:tcPr>
          <w:p w14:paraId="06402B39" w14:textId="77777777" w:rsidR="00A47DEE" w:rsidRPr="003D5CD7" w:rsidRDefault="00A47DEE" w:rsidP="00EE0E23">
            <w:pPr>
              <w:widowControl w:val="0"/>
              <w:jc w:val="right"/>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12</w:t>
            </w:r>
          </w:p>
        </w:tc>
        <w:tc>
          <w:tcPr>
            <w:tcW w:w="1705" w:type="dxa"/>
            <w:hideMark/>
          </w:tcPr>
          <w:p w14:paraId="66C6DD08" w14:textId="77777777" w:rsidR="00A47DEE" w:rsidRPr="003D5CD7" w:rsidRDefault="00A47DEE" w:rsidP="00EE0E23">
            <w:pPr>
              <w:widowControl w:val="0"/>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Sorgho, maïs, légumes</w:t>
            </w:r>
          </w:p>
        </w:tc>
        <w:tc>
          <w:tcPr>
            <w:tcW w:w="1857" w:type="dxa"/>
            <w:hideMark/>
          </w:tcPr>
          <w:p w14:paraId="761A6600" w14:textId="77777777" w:rsidR="00A47DEE" w:rsidRPr="003D5CD7" w:rsidRDefault="00A47DEE" w:rsidP="00EE0E23">
            <w:pPr>
              <w:widowControl w:val="0"/>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Zone sahélienne</w:t>
            </w:r>
          </w:p>
        </w:tc>
      </w:tr>
      <w:tr w:rsidR="00A47DEE" w:rsidRPr="00F468F7" w14:paraId="105FD5AA" w14:textId="77777777" w:rsidTr="00EE0E23">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981" w:type="dxa"/>
            <w:hideMark/>
          </w:tcPr>
          <w:p w14:paraId="3000A530" w14:textId="77777777" w:rsidR="00A47DEE" w:rsidRPr="003D5CD7" w:rsidRDefault="00A47DEE" w:rsidP="00EE0E23">
            <w:pPr>
              <w:widowControl w:val="0"/>
              <w:jc w:val="lowKashida"/>
              <w:rPr>
                <w:rFonts w:asciiTheme="minorHAnsi" w:eastAsia="Calibri" w:hAnsiTheme="minorHAnsi" w:cstheme="minorHAnsi"/>
                <w:color w:val="000000"/>
                <w:sz w:val="20"/>
                <w:szCs w:val="20"/>
                <w:lang w:eastAsia="it-IT"/>
              </w:rPr>
            </w:pPr>
            <w:r w:rsidRPr="003D5CD7">
              <w:rPr>
                <w:rFonts w:asciiTheme="minorHAnsi" w:eastAsia="Calibri" w:hAnsiTheme="minorHAnsi" w:cstheme="minorHAnsi"/>
                <w:color w:val="000000"/>
                <w:sz w:val="20"/>
                <w:szCs w:val="20"/>
                <w:lang w:eastAsia="it-IT"/>
              </w:rPr>
              <w:t>Systèmes de décrue naturelle ou contrôlée du Walo</w:t>
            </w:r>
          </w:p>
        </w:tc>
        <w:tc>
          <w:tcPr>
            <w:tcW w:w="1143" w:type="dxa"/>
            <w:hideMark/>
          </w:tcPr>
          <w:p w14:paraId="23CDFC47" w14:textId="77777777" w:rsidR="00A47DEE" w:rsidRPr="003D5CD7" w:rsidRDefault="00A47DEE" w:rsidP="00EE0E23">
            <w:pPr>
              <w:widowControl w:val="0"/>
              <w:jc w:val="right"/>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40 000</w:t>
            </w:r>
          </w:p>
        </w:tc>
        <w:tc>
          <w:tcPr>
            <w:tcW w:w="1439" w:type="dxa"/>
            <w:hideMark/>
          </w:tcPr>
          <w:p w14:paraId="30540177" w14:textId="77777777" w:rsidR="00A47DEE" w:rsidRPr="003D5CD7" w:rsidRDefault="00A47DEE" w:rsidP="00EE0E23">
            <w:pPr>
              <w:widowControl w:val="0"/>
              <w:jc w:val="right"/>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8</w:t>
            </w:r>
          </w:p>
        </w:tc>
        <w:tc>
          <w:tcPr>
            <w:tcW w:w="1705" w:type="dxa"/>
            <w:hideMark/>
          </w:tcPr>
          <w:p w14:paraId="21C90B9F" w14:textId="77777777" w:rsidR="00A47DEE" w:rsidRPr="003D5CD7" w:rsidRDefault="00A47DEE" w:rsidP="00EE0E23">
            <w:pPr>
              <w:widowControl w:val="0"/>
              <w:jc w:val="both"/>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Sorgho, maïs, légumes</w:t>
            </w:r>
          </w:p>
        </w:tc>
        <w:tc>
          <w:tcPr>
            <w:tcW w:w="1857" w:type="dxa"/>
            <w:hideMark/>
          </w:tcPr>
          <w:p w14:paraId="38CFA0FD" w14:textId="77777777" w:rsidR="00A47DEE" w:rsidRPr="003D5CD7" w:rsidRDefault="00A47DEE" w:rsidP="00EE0E23">
            <w:pPr>
              <w:widowControl w:val="0"/>
              <w:jc w:val="both"/>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bCs/>
                <w:color w:val="000000"/>
                <w:sz w:val="20"/>
                <w:szCs w:val="20"/>
                <w:lang w:eastAsia="it-IT"/>
              </w:rPr>
              <w:t>Zone de la vallée du fleuve Sénégal</w:t>
            </w:r>
          </w:p>
        </w:tc>
      </w:tr>
      <w:tr w:rsidR="00A47DEE" w:rsidRPr="00F468F7" w14:paraId="1DBF28F6" w14:textId="77777777" w:rsidTr="00EE0E23">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981" w:type="dxa"/>
            <w:hideMark/>
          </w:tcPr>
          <w:p w14:paraId="4794A6BC" w14:textId="77777777" w:rsidR="00A47DEE" w:rsidRPr="003D5CD7" w:rsidRDefault="00A47DEE" w:rsidP="00EE0E23">
            <w:pPr>
              <w:widowControl w:val="0"/>
              <w:jc w:val="lowKashida"/>
              <w:rPr>
                <w:rFonts w:asciiTheme="minorHAnsi" w:eastAsia="Calibri" w:hAnsiTheme="minorHAnsi" w:cstheme="minorHAnsi"/>
                <w:color w:val="000000"/>
                <w:sz w:val="20"/>
                <w:szCs w:val="20"/>
                <w:lang w:eastAsia="it-IT"/>
              </w:rPr>
            </w:pPr>
            <w:r w:rsidRPr="003D5CD7">
              <w:rPr>
                <w:rFonts w:asciiTheme="minorHAnsi" w:eastAsia="Calibri" w:hAnsiTheme="minorHAnsi" w:cstheme="minorHAnsi"/>
                <w:color w:val="000000"/>
                <w:sz w:val="20"/>
                <w:szCs w:val="20"/>
                <w:lang w:eastAsia="it-IT"/>
              </w:rPr>
              <w:t xml:space="preserve">Système oasien  </w:t>
            </w:r>
          </w:p>
        </w:tc>
        <w:tc>
          <w:tcPr>
            <w:tcW w:w="1143" w:type="dxa"/>
            <w:hideMark/>
          </w:tcPr>
          <w:p w14:paraId="2CCD5B2E" w14:textId="77777777" w:rsidR="00A47DEE" w:rsidRPr="003D5CD7" w:rsidRDefault="00A47DEE" w:rsidP="00EE0E23">
            <w:pPr>
              <w:widowControl w:val="0"/>
              <w:jc w:val="right"/>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16 000</w:t>
            </w:r>
          </w:p>
        </w:tc>
        <w:tc>
          <w:tcPr>
            <w:tcW w:w="1439" w:type="dxa"/>
            <w:hideMark/>
          </w:tcPr>
          <w:p w14:paraId="5D2FC83B" w14:textId="77777777" w:rsidR="00A47DEE" w:rsidRPr="003D5CD7" w:rsidRDefault="00A47DEE" w:rsidP="00EE0E23">
            <w:pPr>
              <w:widowControl w:val="0"/>
              <w:jc w:val="right"/>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3</w:t>
            </w:r>
          </w:p>
        </w:tc>
        <w:tc>
          <w:tcPr>
            <w:tcW w:w="1705" w:type="dxa"/>
            <w:hideMark/>
          </w:tcPr>
          <w:p w14:paraId="0D215514" w14:textId="77777777" w:rsidR="00A47DEE" w:rsidRPr="003D5CD7" w:rsidRDefault="00A47DEE" w:rsidP="00EE0E23">
            <w:pPr>
              <w:widowControl w:val="0"/>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Palmier dattier, légumes fruits, luzernes</w:t>
            </w:r>
          </w:p>
        </w:tc>
        <w:tc>
          <w:tcPr>
            <w:tcW w:w="1857" w:type="dxa"/>
            <w:hideMark/>
          </w:tcPr>
          <w:p w14:paraId="52C9AB58" w14:textId="77777777" w:rsidR="00A47DEE" w:rsidRPr="003D5CD7" w:rsidRDefault="00A47DEE" w:rsidP="00EE0E23">
            <w:pPr>
              <w:widowControl w:val="0"/>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Zone aride</w:t>
            </w:r>
          </w:p>
        </w:tc>
      </w:tr>
      <w:tr w:rsidR="00A47DEE" w:rsidRPr="00F468F7" w14:paraId="6CD5C13B" w14:textId="77777777" w:rsidTr="00EE0E23">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981" w:type="dxa"/>
            <w:vMerge w:val="restart"/>
          </w:tcPr>
          <w:p w14:paraId="49931E9D" w14:textId="77777777" w:rsidR="00A47DEE" w:rsidRPr="003D5CD7" w:rsidRDefault="00A47DEE" w:rsidP="00EE0E23">
            <w:pPr>
              <w:widowControl w:val="0"/>
              <w:jc w:val="lowKashida"/>
              <w:rPr>
                <w:rFonts w:asciiTheme="minorHAnsi" w:eastAsia="Calibri" w:hAnsiTheme="minorHAnsi" w:cstheme="minorHAnsi"/>
                <w:color w:val="000000"/>
                <w:sz w:val="20"/>
                <w:szCs w:val="20"/>
                <w:lang w:eastAsia="it-IT"/>
              </w:rPr>
            </w:pPr>
          </w:p>
          <w:p w14:paraId="2C0A3E2F" w14:textId="77777777" w:rsidR="00A47DEE" w:rsidRPr="003D5CD7" w:rsidRDefault="00A47DEE" w:rsidP="00EE0E23">
            <w:pPr>
              <w:widowControl w:val="0"/>
              <w:jc w:val="lowKashida"/>
              <w:rPr>
                <w:rFonts w:asciiTheme="minorHAnsi" w:eastAsia="Calibri" w:hAnsiTheme="minorHAnsi" w:cstheme="minorHAnsi"/>
                <w:color w:val="000000"/>
                <w:sz w:val="20"/>
                <w:szCs w:val="20"/>
                <w:lang w:eastAsia="it-IT"/>
              </w:rPr>
            </w:pPr>
            <w:r w:rsidRPr="003D5CD7">
              <w:rPr>
                <w:rFonts w:asciiTheme="minorHAnsi" w:eastAsia="Calibri" w:hAnsiTheme="minorHAnsi" w:cstheme="minorHAnsi"/>
                <w:color w:val="000000"/>
                <w:sz w:val="20"/>
                <w:szCs w:val="20"/>
                <w:lang w:eastAsia="it-IT"/>
              </w:rPr>
              <w:t xml:space="preserve">Agriculture irriguée en maîtrise totale de l’eau. </w:t>
            </w:r>
          </w:p>
        </w:tc>
        <w:tc>
          <w:tcPr>
            <w:tcW w:w="1143" w:type="dxa"/>
            <w:hideMark/>
          </w:tcPr>
          <w:p w14:paraId="2000600D" w14:textId="77777777" w:rsidR="00A47DEE" w:rsidRPr="003D5CD7" w:rsidRDefault="00A47DEE" w:rsidP="00EE0E23">
            <w:pPr>
              <w:widowControl w:val="0"/>
              <w:jc w:val="right"/>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135 000</w:t>
            </w:r>
          </w:p>
        </w:tc>
        <w:tc>
          <w:tcPr>
            <w:tcW w:w="1439" w:type="dxa"/>
            <w:hideMark/>
          </w:tcPr>
          <w:p w14:paraId="4971976F" w14:textId="77777777" w:rsidR="00A47DEE" w:rsidRPr="003D5CD7" w:rsidRDefault="00A47DEE" w:rsidP="00EE0E23">
            <w:pPr>
              <w:widowControl w:val="0"/>
              <w:jc w:val="right"/>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26</w:t>
            </w:r>
          </w:p>
        </w:tc>
        <w:tc>
          <w:tcPr>
            <w:tcW w:w="1705" w:type="dxa"/>
            <w:hideMark/>
          </w:tcPr>
          <w:p w14:paraId="25CB4675" w14:textId="77777777" w:rsidR="00A47DEE" w:rsidRPr="003D5CD7" w:rsidRDefault="00A47DEE" w:rsidP="00EE0E23">
            <w:pPr>
              <w:widowControl w:val="0"/>
              <w:jc w:val="both"/>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Riz, maïs, sorgho, légumes, fruits</w:t>
            </w:r>
          </w:p>
        </w:tc>
        <w:tc>
          <w:tcPr>
            <w:tcW w:w="1857" w:type="dxa"/>
            <w:hideMark/>
          </w:tcPr>
          <w:p w14:paraId="025AB4C6" w14:textId="77777777" w:rsidR="00A47DEE" w:rsidRPr="003D5CD7" w:rsidRDefault="00A47DEE" w:rsidP="00EE0E23">
            <w:pPr>
              <w:widowControl w:val="0"/>
              <w:jc w:val="both"/>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bCs/>
                <w:color w:val="000000"/>
                <w:sz w:val="20"/>
                <w:szCs w:val="20"/>
                <w:lang w:eastAsia="it-IT"/>
              </w:rPr>
              <w:t>Zone de la vallée du fleuve Sénégal</w:t>
            </w:r>
          </w:p>
        </w:tc>
      </w:tr>
      <w:tr w:rsidR="00A47DEE" w:rsidRPr="00F468F7" w14:paraId="3E94F2FC" w14:textId="77777777" w:rsidTr="00EE0E23">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0" w:type="auto"/>
            <w:vMerge/>
            <w:hideMark/>
          </w:tcPr>
          <w:p w14:paraId="5F62E234" w14:textId="77777777" w:rsidR="00A47DEE" w:rsidRPr="003D5CD7" w:rsidRDefault="00A47DEE" w:rsidP="00EE0E23">
            <w:pPr>
              <w:jc w:val="both"/>
              <w:rPr>
                <w:rFonts w:asciiTheme="minorHAnsi" w:eastAsia="Calibri" w:hAnsiTheme="minorHAnsi" w:cstheme="minorHAnsi"/>
                <w:color w:val="000000"/>
                <w:sz w:val="20"/>
                <w:szCs w:val="20"/>
                <w:lang w:eastAsia="it-IT"/>
              </w:rPr>
            </w:pPr>
          </w:p>
        </w:tc>
        <w:tc>
          <w:tcPr>
            <w:tcW w:w="1143" w:type="dxa"/>
            <w:hideMark/>
          </w:tcPr>
          <w:p w14:paraId="6F8CD9B4" w14:textId="77777777" w:rsidR="00A47DEE" w:rsidRPr="003D5CD7" w:rsidRDefault="00A47DEE" w:rsidP="00EE0E23">
            <w:pPr>
              <w:widowControl w:val="0"/>
              <w:jc w:val="right"/>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12 000</w:t>
            </w:r>
          </w:p>
        </w:tc>
        <w:tc>
          <w:tcPr>
            <w:tcW w:w="1439" w:type="dxa"/>
            <w:hideMark/>
          </w:tcPr>
          <w:p w14:paraId="0988AF0D" w14:textId="77777777" w:rsidR="00A47DEE" w:rsidRPr="003D5CD7" w:rsidRDefault="00A47DEE" w:rsidP="00EE0E23">
            <w:pPr>
              <w:widowControl w:val="0"/>
              <w:jc w:val="right"/>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2</w:t>
            </w:r>
          </w:p>
        </w:tc>
        <w:tc>
          <w:tcPr>
            <w:tcW w:w="1705" w:type="dxa"/>
            <w:hideMark/>
          </w:tcPr>
          <w:p w14:paraId="5BB0457C" w14:textId="77777777" w:rsidR="00A47DEE" w:rsidRPr="003D5CD7" w:rsidRDefault="00A47DEE" w:rsidP="00EE0E23">
            <w:pPr>
              <w:widowControl w:val="0"/>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Légumes et fruits</w:t>
            </w:r>
          </w:p>
        </w:tc>
        <w:tc>
          <w:tcPr>
            <w:tcW w:w="1857" w:type="dxa"/>
            <w:hideMark/>
          </w:tcPr>
          <w:p w14:paraId="146695FE" w14:textId="77777777" w:rsidR="00A47DEE" w:rsidRPr="003D5CD7" w:rsidRDefault="00A47DEE" w:rsidP="00EE0E23">
            <w:pPr>
              <w:widowControl w:val="0"/>
              <w:jc w:val="both"/>
              <w:cnfStyle w:val="000000100000" w:firstRow="0" w:lastRow="0" w:firstColumn="0" w:lastColumn="0" w:oddVBand="0" w:evenVBand="0" w:oddHBand="1" w:evenHBand="0"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Zone maritime</w:t>
            </w:r>
          </w:p>
        </w:tc>
      </w:tr>
      <w:tr w:rsidR="00A47DEE" w:rsidRPr="00F468F7" w14:paraId="76AC4C8B" w14:textId="77777777" w:rsidTr="00EE0E23">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981" w:type="dxa"/>
            <w:hideMark/>
          </w:tcPr>
          <w:p w14:paraId="733A92D9" w14:textId="77777777" w:rsidR="00A47DEE" w:rsidRPr="003D5CD7" w:rsidRDefault="00A47DEE" w:rsidP="00EE0E23">
            <w:pPr>
              <w:widowControl w:val="0"/>
              <w:jc w:val="lowKashida"/>
              <w:rPr>
                <w:rFonts w:asciiTheme="minorHAnsi" w:eastAsia="Calibri" w:hAnsiTheme="minorHAnsi" w:cstheme="minorHAnsi"/>
                <w:color w:val="000000"/>
                <w:sz w:val="20"/>
                <w:szCs w:val="20"/>
                <w:lang w:eastAsia="it-IT"/>
              </w:rPr>
            </w:pPr>
            <w:r w:rsidRPr="003D5CD7">
              <w:rPr>
                <w:rFonts w:asciiTheme="minorHAnsi" w:eastAsia="Calibri" w:hAnsiTheme="minorHAnsi" w:cstheme="minorHAnsi"/>
                <w:color w:val="000000"/>
                <w:sz w:val="20"/>
                <w:szCs w:val="20"/>
                <w:lang w:eastAsia="it-IT"/>
              </w:rPr>
              <w:t>Total</w:t>
            </w:r>
          </w:p>
        </w:tc>
        <w:tc>
          <w:tcPr>
            <w:tcW w:w="1143" w:type="dxa"/>
            <w:noWrap/>
            <w:hideMark/>
          </w:tcPr>
          <w:p w14:paraId="29207EDA" w14:textId="77777777" w:rsidR="00A47DEE" w:rsidRPr="003D5CD7" w:rsidRDefault="00A47DEE" w:rsidP="00EE0E23">
            <w:pPr>
              <w:widowControl w:val="0"/>
              <w:jc w:val="right"/>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513 000</w:t>
            </w:r>
          </w:p>
        </w:tc>
        <w:tc>
          <w:tcPr>
            <w:tcW w:w="1439" w:type="dxa"/>
            <w:noWrap/>
            <w:hideMark/>
          </w:tcPr>
          <w:p w14:paraId="5EAF39F3" w14:textId="77777777" w:rsidR="00A47DEE" w:rsidRPr="003D5CD7" w:rsidRDefault="00A47DEE" w:rsidP="00EE0E23">
            <w:pPr>
              <w:widowControl w:val="0"/>
              <w:jc w:val="right"/>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100</w:t>
            </w:r>
          </w:p>
        </w:tc>
        <w:tc>
          <w:tcPr>
            <w:tcW w:w="1705" w:type="dxa"/>
            <w:noWrap/>
            <w:hideMark/>
          </w:tcPr>
          <w:p w14:paraId="034F076F" w14:textId="77777777" w:rsidR="00A47DEE" w:rsidRPr="003D5CD7" w:rsidRDefault="00A47DEE" w:rsidP="00EE0E23">
            <w:pPr>
              <w:widowControl w:val="0"/>
              <w:jc w:val="lowKashida"/>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 </w:t>
            </w:r>
          </w:p>
        </w:tc>
        <w:tc>
          <w:tcPr>
            <w:tcW w:w="1857" w:type="dxa"/>
            <w:noWrap/>
            <w:hideMark/>
          </w:tcPr>
          <w:p w14:paraId="09DCCCDF" w14:textId="77777777" w:rsidR="00A47DEE" w:rsidRPr="003D5CD7" w:rsidRDefault="00A47DEE" w:rsidP="00EE0E23">
            <w:pPr>
              <w:widowControl w:val="0"/>
              <w:jc w:val="lowKashida"/>
              <w:cnfStyle w:val="000000010000" w:firstRow="0" w:lastRow="0" w:firstColumn="0" w:lastColumn="0" w:oddVBand="0" w:evenVBand="0" w:oddHBand="0" w:evenHBand="1" w:firstRowFirstColumn="0" w:firstRowLastColumn="0" w:lastRowFirstColumn="0" w:lastRowLastColumn="0"/>
              <w:rPr>
                <w:rFonts w:eastAsia="Calibri" w:cstheme="minorHAnsi"/>
                <w:color w:val="000000"/>
                <w:sz w:val="20"/>
                <w:szCs w:val="20"/>
                <w:lang w:eastAsia="it-IT"/>
              </w:rPr>
            </w:pPr>
            <w:r w:rsidRPr="003D5CD7">
              <w:rPr>
                <w:rFonts w:eastAsia="Calibri" w:cstheme="minorHAnsi"/>
                <w:color w:val="000000"/>
                <w:sz w:val="20"/>
                <w:szCs w:val="20"/>
                <w:lang w:eastAsia="it-IT"/>
              </w:rPr>
              <w:t> </w:t>
            </w:r>
          </w:p>
        </w:tc>
      </w:tr>
    </w:tbl>
    <w:p w14:paraId="4B0176E8" w14:textId="77777777" w:rsidR="00A47DEE" w:rsidRPr="003D5CD7" w:rsidRDefault="00A47DEE" w:rsidP="00A47DEE">
      <w:pPr>
        <w:widowControl w:val="0"/>
        <w:tabs>
          <w:tab w:val="left" w:pos="1134"/>
        </w:tabs>
        <w:spacing w:after="120"/>
        <w:jc w:val="right"/>
        <w:rPr>
          <w:rFonts w:eastAsia="Calibri" w:cstheme="minorHAnsi"/>
          <w:color w:val="000000"/>
          <w:sz w:val="24"/>
          <w:szCs w:val="24"/>
        </w:rPr>
      </w:pPr>
      <w:r w:rsidRPr="003D5CD7">
        <w:rPr>
          <w:rFonts w:eastAsia="Calibri" w:cstheme="minorHAnsi"/>
          <w:i/>
          <w:color w:val="000000"/>
          <w:sz w:val="18"/>
          <w:szCs w:val="18"/>
        </w:rPr>
        <w:t xml:space="preserve"> (*) Source : SDSR</w:t>
      </w:r>
      <w:r w:rsidRPr="003D5CD7">
        <w:rPr>
          <w:rFonts w:eastAsia="Calibri" w:cstheme="minorHAnsi"/>
          <w:color w:val="000000"/>
          <w:sz w:val="24"/>
          <w:szCs w:val="24"/>
        </w:rPr>
        <w:t xml:space="preserve"> </w:t>
      </w:r>
    </w:p>
    <w:p w14:paraId="123B8E1B" w14:textId="77777777" w:rsidR="00A47DEE" w:rsidRPr="003D5CD7" w:rsidRDefault="00A47DEE" w:rsidP="00A47DEE">
      <w:pPr>
        <w:widowControl w:val="0"/>
        <w:tabs>
          <w:tab w:val="left" w:pos="1134"/>
        </w:tabs>
        <w:spacing w:after="120"/>
        <w:jc w:val="center"/>
        <w:rPr>
          <w:rFonts w:eastAsia="Calibri" w:cstheme="minorHAnsi"/>
          <w:i/>
          <w:iCs/>
          <w:sz w:val="24"/>
          <w:szCs w:val="24"/>
          <w:u w:val="single"/>
        </w:rPr>
      </w:pPr>
      <w:r w:rsidRPr="003D5CD7">
        <w:rPr>
          <w:rFonts w:eastAsia="Calibri" w:cstheme="minorHAnsi"/>
          <w:b/>
          <w:bCs/>
          <w:i/>
          <w:iCs/>
          <w:u w:val="single"/>
        </w:rPr>
        <w:t>Les fiches techniques présentées en annexe 3 résument les caractéristiques des filières agricoles.</w:t>
      </w:r>
    </w:p>
    <w:p w14:paraId="11C763E6" w14:textId="77777777" w:rsidR="00A47DEE" w:rsidRPr="003D5CD7" w:rsidRDefault="00A47DEE" w:rsidP="00A47DEE">
      <w:pPr>
        <w:pStyle w:val="Paragraphedeliste"/>
        <w:keepNext/>
        <w:keepLines/>
        <w:numPr>
          <w:ilvl w:val="1"/>
          <w:numId w:val="386"/>
        </w:numPr>
        <w:shd w:val="clear" w:color="auto" w:fill="D9E2F3"/>
        <w:tabs>
          <w:tab w:val="left" w:pos="851"/>
        </w:tabs>
        <w:spacing w:before="200"/>
        <w:jc w:val="lowKashida"/>
        <w:outlineLvl w:val="2"/>
        <w:rPr>
          <w:rFonts w:eastAsia="Calibri" w:cstheme="minorHAnsi"/>
          <w:b/>
          <w:bCs/>
          <w:color w:val="0070C0"/>
          <w:sz w:val="24"/>
          <w:szCs w:val="24"/>
        </w:rPr>
      </w:pPr>
      <w:bookmarkStart w:id="304" w:name="_Toc44970727"/>
      <w:bookmarkStart w:id="305" w:name="_Toc51580718"/>
      <w:bookmarkStart w:id="306" w:name="_Toc179577349"/>
      <w:r w:rsidRPr="003D5CD7">
        <w:rPr>
          <w:rFonts w:eastAsia="Calibri" w:cstheme="minorHAnsi"/>
          <w:b/>
          <w:bCs/>
          <w:color w:val="0070C0"/>
          <w:sz w:val="24"/>
          <w:szCs w:val="24"/>
        </w:rPr>
        <w:t>Financement agricole</w:t>
      </w:r>
      <w:bookmarkEnd w:id="304"/>
      <w:bookmarkEnd w:id="305"/>
      <w:bookmarkEnd w:id="306"/>
    </w:p>
    <w:p w14:paraId="295029F9" w14:textId="77777777" w:rsidR="00A47DEE" w:rsidRPr="003D5CD7" w:rsidRDefault="00A47DEE" w:rsidP="00A47DEE">
      <w:pPr>
        <w:spacing w:after="0"/>
        <w:jc w:val="lowKashida"/>
        <w:rPr>
          <w:rFonts w:eastAsia="Calibri" w:cstheme="minorHAnsi"/>
        </w:rPr>
      </w:pPr>
      <w:r w:rsidRPr="003D5CD7">
        <w:rPr>
          <w:rFonts w:eastAsia="Calibri" w:cstheme="minorHAnsi"/>
        </w:rPr>
        <w:t>Malgré les efforts considérables consentis par l’Etat mauritanien pour booster le développement du secteur agricole (aménagements agricoles, financement de campagnes, fourniture des intrants, commercialisation des productions, encadrements et conseils, effacement de la dette des agriculteurs, mise en place d'outils de financement (FND, UBD, SONADER, UNCACEM ; CDD, UNMICO, libéralisation du système bancaire et financier), la part du financement allouée à l'agriculture n'a jamais dépassé 5,6% du budget national (ressources internes et externes), tandis que le secteur bancaire national n'y contribue qu’à hauteur de 1,2% de son encours.</w:t>
      </w:r>
    </w:p>
    <w:p w14:paraId="036710E0" w14:textId="77777777" w:rsidR="00A47DEE" w:rsidRPr="003D5CD7" w:rsidRDefault="00A47DEE" w:rsidP="00A47DEE">
      <w:pPr>
        <w:widowControl w:val="0"/>
        <w:spacing w:after="0"/>
        <w:jc w:val="both"/>
        <w:rPr>
          <w:rFonts w:eastAsia="Calibri" w:cstheme="minorHAnsi"/>
          <w:color w:val="000000"/>
        </w:rPr>
      </w:pPr>
      <w:r w:rsidRPr="003D5CD7">
        <w:rPr>
          <w:rFonts w:eastAsia="Calibri" w:cstheme="minorHAnsi"/>
          <w:color w:val="000000"/>
        </w:rPr>
        <w:t>Le financement du secteur agricole vient des ressources mobilisées par :</w:t>
      </w:r>
    </w:p>
    <w:p w14:paraId="23FF0591" w14:textId="77777777" w:rsidR="00A47DEE" w:rsidRPr="003D5CD7" w:rsidRDefault="00A47DEE" w:rsidP="00A47DEE">
      <w:pPr>
        <w:widowControl w:val="0"/>
        <w:numPr>
          <w:ilvl w:val="0"/>
          <w:numId w:val="360"/>
        </w:numPr>
        <w:tabs>
          <w:tab w:val="num" w:pos="1440"/>
        </w:tabs>
        <w:contextualSpacing/>
        <w:jc w:val="both"/>
        <w:rPr>
          <w:rFonts w:eastAsia="Calibri" w:cstheme="minorHAnsi"/>
          <w:color w:val="000000"/>
        </w:rPr>
      </w:pPr>
      <w:r w:rsidRPr="003D5CD7">
        <w:rPr>
          <w:rFonts w:eastAsia="Calibri" w:cstheme="minorHAnsi"/>
          <w:color w:val="000000"/>
          <w:u w:val="single"/>
        </w:rPr>
        <w:t>Financement de l’Etat</w:t>
      </w:r>
      <w:r w:rsidRPr="003D5CD7">
        <w:rPr>
          <w:rFonts w:eastAsia="Calibri" w:cstheme="minorHAnsi"/>
          <w:color w:val="000000"/>
        </w:rPr>
        <w:t xml:space="preserve"> – Le budget de l’Etat est focalisé sur le fonctionnement des administrations, les aménagements, la construction et l’entretien des infrastructures. Certaines activités présentant un caractère spécial </w:t>
      </w:r>
      <w:r w:rsidRPr="003D5CD7">
        <w:rPr>
          <w:rFonts w:eastAsia="Calibri" w:cstheme="minorHAnsi"/>
          <w:iCs/>
          <w:color w:val="000000"/>
        </w:rPr>
        <w:t>(approvisionnement en intrants, travaux d’aménagement, …) sont financées</w:t>
      </w:r>
      <w:r w:rsidRPr="003D5CD7">
        <w:rPr>
          <w:rFonts w:eastAsia="Calibri" w:cstheme="minorHAnsi"/>
          <w:color w:val="000000"/>
        </w:rPr>
        <w:t xml:space="preserve">. </w:t>
      </w:r>
    </w:p>
    <w:p w14:paraId="09855B41" w14:textId="77777777" w:rsidR="00A47DEE" w:rsidRPr="003D5CD7" w:rsidRDefault="00A47DEE" w:rsidP="00A47DEE">
      <w:pPr>
        <w:widowControl w:val="0"/>
        <w:numPr>
          <w:ilvl w:val="0"/>
          <w:numId w:val="360"/>
        </w:numPr>
        <w:tabs>
          <w:tab w:val="num" w:pos="1440"/>
        </w:tabs>
        <w:contextualSpacing/>
        <w:jc w:val="both"/>
        <w:rPr>
          <w:rFonts w:eastAsia="Calibri" w:cstheme="minorHAnsi"/>
          <w:color w:val="000000"/>
        </w:rPr>
      </w:pPr>
      <w:r w:rsidRPr="003D5CD7">
        <w:rPr>
          <w:rFonts w:eastAsia="Calibri" w:cstheme="minorHAnsi"/>
          <w:color w:val="000000"/>
          <w:u w:val="single"/>
        </w:rPr>
        <w:t>Financement des Partenaires Techniques et Financiers</w:t>
      </w:r>
      <w:r w:rsidRPr="003D5CD7">
        <w:rPr>
          <w:rFonts w:eastAsia="Calibri" w:cstheme="minorHAnsi"/>
          <w:color w:val="000000"/>
        </w:rPr>
        <w:t xml:space="preserve"> - Les appuis des PTF, inscrits dans des approches projet, n’ont pas su ébranler ce mécanisme d’assistanat. Il faut enregistrer une coordination insuffisante entre PTF et un saupoudrage des investissements en projets de faible impact dont les acquis sont difficiles à pérenniser pour certains. </w:t>
      </w:r>
    </w:p>
    <w:p w14:paraId="5C0A7C57" w14:textId="77777777" w:rsidR="00A47DEE" w:rsidRPr="003D5CD7" w:rsidRDefault="00A47DEE" w:rsidP="00A47DEE">
      <w:pPr>
        <w:widowControl w:val="0"/>
        <w:numPr>
          <w:ilvl w:val="0"/>
          <w:numId w:val="360"/>
        </w:numPr>
        <w:contextualSpacing/>
        <w:jc w:val="both"/>
        <w:rPr>
          <w:rFonts w:eastAsia="Calibri" w:cstheme="minorHAnsi"/>
          <w:color w:val="000000"/>
        </w:rPr>
      </w:pPr>
      <w:r w:rsidRPr="003D5CD7">
        <w:rPr>
          <w:rFonts w:eastAsia="Calibri" w:cstheme="minorHAnsi"/>
          <w:color w:val="000000"/>
          <w:u w:val="single"/>
        </w:rPr>
        <w:t>Financement des opérateurs et investisseurs privés</w:t>
      </w:r>
      <w:r w:rsidRPr="003D5CD7">
        <w:rPr>
          <w:rFonts w:eastAsia="Calibri" w:cstheme="minorHAnsi"/>
          <w:color w:val="000000"/>
        </w:rPr>
        <w:t>- Les investisseurs et opérateurs privés mauritaniens jouent un rôle essentiel dans les avancées réalisées par l’agriculture. Par contre les investissements directs étrangers (IDE) sont actuellement très limités.</w:t>
      </w:r>
    </w:p>
    <w:p w14:paraId="19510A7F" w14:textId="77777777" w:rsidR="00A47DEE" w:rsidRPr="003D5CD7" w:rsidRDefault="00A47DEE" w:rsidP="00A47DEE">
      <w:pPr>
        <w:widowControl w:val="0"/>
        <w:numPr>
          <w:ilvl w:val="0"/>
          <w:numId w:val="360"/>
        </w:numPr>
        <w:contextualSpacing/>
        <w:jc w:val="both"/>
        <w:rPr>
          <w:rFonts w:eastAsia="Calibri" w:cstheme="minorHAnsi"/>
          <w:color w:val="000000"/>
        </w:rPr>
      </w:pPr>
      <w:r w:rsidRPr="003D5CD7">
        <w:rPr>
          <w:rFonts w:eastAsia="Calibri" w:cstheme="minorHAnsi"/>
          <w:color w:val="000000"/>
          <w:u w:val="single"/>
        </w:rPr>
        <w:t>Système financier national</w:t>
      </w:r>
      <w:r w:rsidRPr="003D5CD7">
        <w:rPr>
          <w:rFonts w:eastAsia="Calibri" w:cstheme="minorHAnsi"/>
          <w:b/>
          <w:color w:val="000000"/>
        </w:rPr>
        <w:t xml:space="preserve"> </w:t>
      </w:r>
      <w:r w:rsidRPr="003D5CD7">
        <w:rPr>
          <w:rFonts w:eastAsia="Calibri" w:cstheme="minorHAnsi"/>
          <w:color w:val="000000"/>
        </w:rPr>
        <w:t>– Les banques qui sont très peu présentes en milieu rural, ne répondent que partiellement aux besoins de financement des exploitations agricoles et posent des conditions d’accès au crédit assez éloignées des possibilités des producteurs. Les caisses de crédit oasien sur décision de l'Etat en 2014 ont été réunies dans une faitière dénommée : Union Nationale des Mutuelles d'Investissement et de Crédit Oasien et des zones pluviales (UNMICO) agréée par la Banque Centrale de Mauritanie et qui regroupe aussi les caisses de crédit agricole (CECA).</w:t>
      </w:r>
    </w:p>
    <w:p w14:paraId="550C6B66" w14:textId="77777777" w:rsidR="00A47DEE" w:rsidRPr="003D5CD7" w:rsidRDefault="00A47DEE" w:rsidP="00A47DEE">
      <w:pPr>
        <w:widowControl w:val="0"/>
        <w:spacing w:after="0"/>
        <w:ind w:left="720"/>
        <w:contextualSpacing/>
        <w:jc w:val="both"/>
        <w:rPr>
          <w:rFonts w:eastAsia="Calibri" w:cstheme="minorHAnsi"/>
          <w:color w:val="000000"/>
        </w:rPr>
      </w:pPr>
      <w:r w:rsidRPr="003D5CD7">
        <w:rPr>
          <w:rFonts w:eastAsia="Calibri" w:cstheme="minorHAnsi"/>
          <w:color w:val="000000"/>
        </w:rPr>
        <w:t xml:space="preserve">Depuis 2011, l’Etat mauritanien a mis en place la Caisse des Dépôts et de Développement (CDD) (opérationnelle en 2012). C’est un instrument financier de développement qui vise l’accompagnement des politiques sectorielles de l’Etat et fonctionne comme une agence d’appui aux départements ministériels. La CDD est un instrument régalien à vocation multiple. Même si la CDD (Crédit Agricole de Mauritanie) n’est pas un instrument spécifique au secteur du développement rural, il n’en demeure pas moins un instrument d’accompagnement de la SDSR. </w:t>
      </w:r>
    </w:p>
    <w:p w14:paraId="588109E9" w14:textId="77777777" w:rsidR="00A47DEE" w:rsidRPr="003D5CD7" w:rsidRDefault="00A47DEE" w:rsidP="00A47DEE">
      <w:pPr>
        <w:pStyle w:val="Paragraphedeliste"/>
        <w:keepNext/>
        <w:keepLines/>
        <w:numPr>
          <w:ilvl w:val="1"/>
          <w:numId w:val="386"/>
        </w:numPr>
        <w:shd w:val="clear" w:color="auto" w:fill="D9E2F3"/>
        <w:tabs>
          <w:tab w:val="left" w:pos="851"/>
        </w:tabs>
        <w:spacing w:before="200"/>
        <w:jc w:val="lowKashida"/>
        <w:outlineLvl w:val="2"/>
        <w:rPr>
          <w:rFonts w:eastAsia="Calibri" w:cstheme="minorHAnsi"/>
          <w:b/>
          <w:bCs/>
          <w:color w:val="0070C0"/>
          <w:sz w:val="24"/>
          <w:szCs w:val="24"/>
        </w:rPr>
      </w:pPr>
      <w:bookmarkStart w:id="307" w:name="_Toc179577350"/>
      <w:r w:rsidRPr="003D5CD7">
        <w:rPr>
          <w:rFonts w:eastAsia="Calibri" w:cstheme="minorHAnsi"/>
          <w:b/>
          <w:bCs/>
          <w:color w:val="0070C0"/>
          <w:sz w:val="24"/>
          <w:szCs w:val="24"/>
        </w:rPr>
        <w:t>PIB réel du secteur agricole</w:t>
      </w:r>
      <w:bookmarkEnd w:id="307"/>
    </w:p>
    <w:p w14:paraId="69661206" w14:textId="77777777" w:rsidR="00A47DEE" w:rsidRPr="003D5CD7" w:rsidRDefault="00A47DEE" w:rsidP="00A47DEE">
      <w:pPr>
        <w:widowControl w:val="0"/>
        <w:spacing w:after="0"/>
        <w:ind w:left="720"/>
        <w:contextualSpacing/>
        <w:jc w:val="both"/>
        <w:rPr>
          <w:rFonts w:eastAsia="Calibri" w:cstheme="minorHAnsi"/>
          <w:color w:val="000000"/>
        </w:rPr>
      </w:pPr>
      <w:r w:rsidRPr="003D5CD7">
        <w:rPr>
          <w:rFonts w:eastAsia="Calibri" w:cstheme="minorHAnsi"/>
          <w:color w:val="000000"/>
        </w:rPr>
        <w:t>En 2023, le PIB réel du secteur agricole a enregistré un atteint 1,2%, marquant ainsi un net ralentissement par rapport à la forte croissance de 24,9% observée en 2022. En valeur, le PIB nominal de la branche agriculture a connu un ralentissement de 9,2% en 2023, atteignant MRU 20,4 milliards, ce qui équivaut à 5,2% du PIB nominal global. Sur l’ensemble de l'année, le poids de la branche « agriculture » dans le PIB du secteur primaire a été en moyenne de 28,0% en 2023, en augmentation par rapport à 24,9% en 2022 (BCM,2023).</w:t>
      </w:r>
    </w:p>
    <w:p w14:paraId="0BCE5CFB" w14:textId="77777777" w:rsidR="00A47DEE" w:rsidRPr="00F468F7" w:rsidRDefault="00A47DEE" w:rsidP="00A47DEE">
      <w:pPr>
        <w:pStyle w:val="Paragraphedeliste"/>
        <w:keepNext/>
        <w:keepLines/>
        <w:numPr>
          <w:ilvl w:val="1"/>
          <w:numId w:val="386"/>
        </w:numPr>
        <w:shd w:val="clear" w:color="auto" w:fill="D9E2F3"/>
        <w:tabs>
          <w:tab w:val="left" w:pos="851"/>
        </w:tabs>
        <w:spacing w:before="200"/>
        <w:jc w:val="lowKashida"/>
        <w:outlineLvl w:val="2"/>
        <w:rPr>
          <w:rFonts w:eastAsia="Calibri" w:cstheme="minorHAnsi"/>
          <w:b/>
          <w:bCs/>
          <w:color w:val="0070C0"/>
          <w:sz w:val="24"/>
          <w:szCs w:val="24"/>
        </w:rPr>
      </w:pPr>
      <w:bookmarkStart w:id="308" w:name="_Toc179577351"/>
      <w:r w:rsidRPr="003D5CD7">
        <w:rPr>
          <w:rFonts w:eastAsia="Calibri" w:cstheme="minorHAnsi"/>
          <w:b/>
          <w:bCs/>
          <w:color w:val="0070C0"/>
          <w:sz w:val="24"/>
          <w:szCs w:val="24"/>
        </w:rPr>
        <w:t>Stratégies du secteur</w:t>
      </w:r>
      <w:bookmarkEnd w:id="308"/>
    </w:p>
    <w:p w14:paraId="06D1B2C6" w14:textId="77777777" w:rsidR="00A47DEE" w:rsidRPr="00110ECC" w:rsidRDefault="00A47DEE" w:rsidP="00A47DEE">
      <w:pPr>
        <w:pStyle w:val="Paragraphedeliste"/>
        <w:keepNext/>
        <w:keepLines/>
        <w:numPr>
          <w:ilvl w:val="2"/>
          <w:numId w:val="386"/>
        </w:numPr>
        <w:tabs>
          <w:tab w:val="left" w:pos="1134"/>
        </w:tabs>
        <w:spacing w:before="200"/>
        <w:jc w:val="lowKashida"/>
        <w:outlineLvl w:val="3"/>
        <w:rPr>
          <w:rFonts w:eastAsia="Calibri" w:cstheme="minorHAnsi"/>
          <w:b/>
          <w:bCs/>
          <w:color w:val="0070C0"/>
          <w:sz w:val="24"/>
          <w:szCs w:val="24"/>
        </w:rPr>
      </w:pPr>
      <w:bookmarkStart w:id="309" w:name="_Toc179577352"/>
      <w:r w:rsidRPr="00110ECC">
        <w:rPr>
          <w:rFonts w:eastAsia="Calibri" w:cstheme="minorHAnsi"/>
          <w:b/>
          <w:bCs/>
          <w:color w:val="0070C0"/>
          <w:sz w:val="24"/>
          <w:szCs w:val="24"/>
        </w:rPr>
        <w:t>Stratégie de Développement du Secteur Rural</w:t>
      </w:r>
      <w:bookmarkEnd w:id="309"/>
    </w:p>
    <w:p w14:paraId="35C40223" w14:textId="77777777" w:rsidR="00A47DEE" w:rsidRPr="003D5CD7" w:rsidRDefault="00A47DEE" w:rsidP="00A47DEE">
      <w:pPr>
        <w:widowControl w:val="0"/>
        <w:spacing w:after="120"/>
        <w:jc w:val="both"/>
        <w:rPr>
          <w:rFonts w:eastAsia="Calibri" w:cstheme="minorHAnsi"/>
          <w:bCs/>
          <w:iCs/>
          <w:color w:val="000000"/>
        </w:rPr>
      </w:pPr>
      <w:r w:rsidRPr="003D5CD7">
        <w:rPr>
          <w:rFonts w:eastAsia="Calibri" w:cstheme="minorHAnsi"/>
          <w:color w:val="181818"/>
          <w:kern w:val="24"/>
        </w:rPr>
        <w:t>La</w:t>
      </w:r>
      <w:r w:rsidRPr="003D5CD7">
        <w:rPr>
          <w:rFonts w:eastAsia="Calibri" w:cstheme="minorHAnsi"/>
          <w:bCs/>
          <w:iCs/>
          <w:color w:val="000000"/>
        </w:rPr>
        <w:t xml:space="preserve"> première Stratégie de Développement du Secteur Rural a été élaborée en 1998, puis mise en cohérence en 2001 avec le Cadre Stratégique de Lutte contre la Pauvreté (CSLP). Pour autant, ce premier document stratégique n’a pas aidé à conduire les changements relatifs aux implications successives du secteur privé et de l’État pour le développement du secteur rural au cours des années 2000.  Cette stratégie, définie pour l’horizon 2015, n’a pas non plus fait l’objet d’une évaluation permettant de vérifier la pertinence des choix stratégiques retenus. La revue du secteur rural, conduite en 2007, avait ainsi recommandé l’actualisation de cette stratégie et la mise en place d’un plan d’actions assurant sa mise œuvre effective.</w:t>
      </w:r>
    </w:p>
    <w:p w14:paraId="3B92D900" w14:textId="77777777" w:rsidR="00A47DEE" w:rsidRPr="003D5CD7" w:rsidRDefault="00A47DEE" w:rsidP="00A47DEE">
      <w:pPr>
        <w:widowControl w:val="0"/>
        <w:spacing w:after="120"/>
        <w:jc w:val="both"/>
        <w:rPr>
          <w:rFonts w:eastAsia="Calibri" w:cstheme="minorHAnsi"/>
          <w:bCs/>
          <w:iCs/>
          <w:color w:val="000000"/>
        </w:rPr>
      </w:pPr>
      <w:r w:rsidRPr="003D5CD7">
        <w:rPr>
          <w:rFonts w:eastAsia="Calibri" w:cstheme="minorHAnsi"/>
          <w:bCs/>
          <w:iCs/>
          <w:color w:val="000000"/>
        </w:rPr>
        <w:t>La formulation d’une nouvelle stratégie en 2012 concrétise donc cette recommandation. Cette nouvelle stratégie assortie d’une loi d’orientation agropastorale et d’une première ébauche d’un Plan National de Développement de l’Agriculture et de l’Elevage, détermine les conditions de mise en valeur des potentialités agro-pastorales et des ressources naturelles du pays. Il s’agit non seulement de contribuer aux objectifs de réduction de la pauvreté dans le secteur rural et d’insécurité alimentaire tels qu’ils sont définis par la Stratégie Nationale de Sécurité Alimentaire (SNSA) mise à jour en Mars 2012, mais aussi de satisfaire les besoins des marchés national et régional à l’horizon 2025 du fait notamment de la croissance démographique dans la région comme sur l’ensemble du continent africain.</w:t>
      </w:r>
    </w:p>
    <w:p w14:paraId="0B9B9824" w14:textId="77777777" w:rsidR="00A47DEE" w:rsidRPr="003D5CD7" w:rsidRDefault="00A47DEE" w:rsidP="00A47DEE">
      <w:pPr>
        <w:pBdr>
          <w:top w:val="single" w:sz="4" w:space="1" w:color="auto"/>
          <w:left w:val="single" w:sz="4" w:space="4" w:color="auto"/>
          <w:bottom w:val="single" w:sz="4" w:space="1" w:color="auto"/>
          <w:right w:val="single" w:sz="4" w:space="4" w:color="auto"/>
        </w:pBdr>
        <w:shd w:val="clear" w:color="auto" w:fill="002060"/>
        <w:spacing w:line="240" w:lineRule="auto"/>
        <w:rPr>
          <w:rFonts w:eastAsia="Calibri" w:cstheme="minorHAnsi"/>
          <w:b/>
          <w:bCs/>
          <w:color w:val="FFFFFF"/>
        </w:rPr>
      </w:pPr>
      <w:bookmarkStart w:id="310" w:name="_Toc51580166"/>
      <w:r w:rsidRPr="003D5CD7">
        <w:rPr>
          <w:rFonts w:eastAsia="Calibri" w:cstheme="minorHAnsi"/>
          <w:b/>
          <w:bCs/>
          <w:color w:val="FFFFFF"/>
        </w:rPr>
        <w:t xml:space="preserve">Encadré </w:t>
      </w:r>
      <w:r w:rsidRPr="003D5CD7">
        <w:rPr>
          <w:rFonts w:eastAsia="Calibri" w:cstheme="minorHAnsi"/>
          <w:b/>
          <w:bCs/>
          <w:color w:val="FFFFFF"/>
        </w:rPr>
        <w:fldChar w:fldCharType="begin"/>
      </w:r>
      <w:r w:rsidRPr="003D5CD7">
        <w:rPr>
          <w:rFonts w:eastAsia="Calibri" w:cstheme="minorHAnsi"/>
          <w:b/>
          <w:bCs/>
          <w:color w:val="FFFFFF"/>
        </w:rPr>
        <w:instrText xml:space="preserve"> SEQ Encadré \* ARABIC </w:instrText>
      </w:r>
      <w:r w:rsidRPr="003D5CD7">
        <w:rPr>
          <w:rFonts w:eastAsia="Calibri" w:cstheme="minorHAnsi"/>
          <w:b/>
          <w:bCs/>
          <w:color w:val="FFFFFF"/>
        </w:rPr>
        <w:fldChar w:fldCharType="separate"/>
      </w:r>
      <w:r>
        <w:rPr>
          <w:rFonts w:eastAsia="Calibri" w:cstheme="minorHAnsi"/>
          <w:b/>
          <w:bCs/>
          <w:noProof/>
          <w:color w:val="FFFFFF"/>
        </w:rPr>
        <w:t>1</w:t>
      </w:r>
      <w:r w:rsidRPr="003D5CD7">
        <w:rPr>
          <w:rFonts w:eastAsia="Calibri" w:cstheme="minorHAnsi"/>
          <w:b/>
          <w:bCs/>
          <w:color w:val="FFFFFF"/>
        </w:rPr>
        <w:fldChar w:fldCharType="end"/>
      </w:r>
      <w:r w:rsidRPr="003D5CD7">
        <w:rPr>
          <w:rFonts w:eastAsia="Calibri" w:cstheme="minorHAnsi"/>
          <w:b/>
          <w:bCs/>
          <w:color w:val="FFFFFF"/>
        </w:rPr>
        <w:t>:  La Revue Institutionnelle du Secteur Agricole et Pastoral (RISAP) en 2014</w:t>
      </w:r>
      <w:bookmarkEnd w:id="310"/>
    </w:p>
    <w:p w14:paraId="6B2846F6" w14:textId="77777777" w:rsidR="00A47DEE" w:rsidRPr="003D5CD7" w:rsidRDefault="00A47DEE" w:rsidP="00A47DEE">
      <w:pPr>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jc w:val="lowKashida"/>
        <w:rPr>
          <w:rFonts w:eastAsia="Calibri" w:cstheme="minorHAnsi"/>
          <w:color w:val="000000"/>
        </w:rPr>
      </w:pPr>
      <w:r w:rsidRPr="003D5CD7">
        <w:rPr>
          <w:rFonts w:eastAsia="Calibri" w:cstheme="minorHAnsi"/>
          <w:color w:val="000000"/>
        </w:rPr>
        <w:t>Le MDR a grandement besoin d’un modèle institutionnel basé sur des programmes et non sur des structures. Quatre axes de réformes sont retenus pour accompagner la mise en œuvre conséquente de la SDSR et son plan d’actions :</w:t>
      </w:r>
    </w:p>
    <w:p w14:paraId="033739D1" w14:textId="77777777" w:rsidR="00A47DEE" w:rsidRPr="003D5CD7" w:rsidRDefault="00A47DEE" w:rsidP="00A47DEE">
      <w:pPr>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jc w:val="lowKashida"/>
        <w:rPr>
          <w:rFonts w:eastAsia="Calibri" w:cstheme="minorHAnsi"/>
          <w:color w:val="000000"/>
        </w:rPr>
      </w:pPr>
      <w:r w:rsidRPr="003D5CD7">
        <w:rPr>
          <w:rFonts w:eastAsia="Calibri" w:cstheme="minorHAnsi"/>
          <w:color w:val="000000"/>
        </w:rPr>
        <w:t xml:space="preserve"> </w:t>
      </w:r>
      <w:r w:rsidRPr="003D5CD7">
        <w:rPr>
          <w:rFonts w:eastAsia="Calibri" w:cstheme="minorHAnsi"/>
          <w:b/>
          <w:bCs/>
          <w:color w:val="000000"/>
        </w:rPr>
        <w:t xml:space="preserve">Axe de réforme n°1 </w:t>
      </w:r>
      <w:r w:rsidRPr="003D5CD7">
        <w:rPr>
          <w:rFonts w:eastAsia="Calibri" w:cstheme="minorHAnsi"/>
          <w:color w:val="000000"/>
        </w:rPr>
        <w:t xml:space="preserve">: « Amélioration de la gouvernance politique et le pilotage stratégique du secteur » ; </w:t>
      </w:r>
      <w:r w:rsidRPr="003D5CD7">
        <w:rPr>
          <w:rFonts w:eastAsia="Calibri" w:cstheme="minorHAnsi"/>
          <w:b/>
          <w:bCs/>
          <w:color w:val="000000"/>
        </w:rPr>
        <w:t xml:space="preserve">Axe de réforme n° 2 </w:t>
      </w:r>
      <w:r w:rsidRPr="003D5CD7">
        <w:rPr>
          <w:rFonts w:eastAsia="Calibri" w:cstheme="minorHAnsi"/>
          <w:color w:val="000000"/>
        </w:rPr>
        <w:t xml:space="preserve">: « Renforcement de la qualité de la gouvernance administrative et budgétaire du ministère du développement rural » ; </w:t>
      </w:r>
      <w:r w:rsidRPr="003D5CD7">
        <w:rPr>
          <w:rFonts w:eastAsia="Calibri" w:cstheme="minorHAnsi"/>
          <w:b/>
          <w:bCs/>
          <w:color w:val="000000"/>
        </w:rPr>
        <w:t>Axe de réforme n°3</w:t>
      </w:r>
      <w:r w:rsidRPr="003D5CD7">
        <w:rPr>
          <w:rFonts w:eastAsia="Calibri" w:cstheme="minorHAnsi"/>
          <w:color w:val="000000"/>
        </w:rPr>
        <w:t xml:space="preserve"> : « Promotion d’une gouvernance économique favorable au développement des filières agropastorales, à la sécurité alimentaire et à l’emploi » ; </w:t>
      </w:r>
      <w:r w:rsidRPr="003D5CD7">
        <w:rPr>
          <w:rFonts w:eastAsia="Calibri" w:cstheme="minorHAnsi"/>
          <w:b/>
          <w:bCs/>
          <w:color w:val="000000"/>
        </w:rPr>
        <w:t>Axe de réforme n°4</w:t>
      </w:r>
      <w:r w:rsidRPr="003D5CD7">
        <w:rPr>
          <w:rFonts w:eastAsia="Calibri" w:cstheme="minorHAnsi"/>
          <w:color w:val="000000"/>
        </w:rPr>
        <w:t xml:space="preserve"> : « Intégration de la gouvernance environnementale et de l’hygiène publique dans le secteur » est configuré autour de 2 fiches actions de réformes pour 12 actions et mesures de réformes se rapportant (i) à la gestion environnementale et la santé des populations et (ii) à la sécurisation du foncier rural. </w:t>
      </w:r>
    </w:p>
    <w:p w14:paraId="78B1B082" w14:textId="77777777" w:rsidR="00A47DEE" w:rsidRPr="003D5CD7" w:rsidRDefault="00A47DEE" w:rsidP="00A47DEE">
      <w:pPr>
        <w:pStyle w:val="Paragraphedeliste"/>
        <w:keepNext/>
        <w:keepLines/>
        <w:numPr>
          <w:ilvl w:val="2"/>
          <w:numId w:val="386"/>
        </w:numPr>
        <w:tabs>
          <w:tab w:val="left" w:pos="1134"/>
        </w:tabs>
        <w:spacing w:before="200"/>
        <w:jc w:val="lowKashida"/>
        <w:outlineLvl w:val="3"/>
        <w:rPr>
          <w:rFonts w:eastAsia="Calibri" w:cstheme="minorHAnsi"/>
          <w:b/>
          <w:bCs/>
          <w:color w:val="0070C0"/>
          <w:sz w:val="24"/>
          <w:szCs w:val="24"/>
        </w:rPr>
      </w:pPr>
      <w:bookmarkStart w:id="311" w:name="_Toc471118261"/>
      <w:bookmarkStart w:id="312" w:name="_Toc470171042"/>
      <w:bookmarkStart w:id="313" w:name="_Toc179577353"/>
      <w:r w:rsidRPr="003D5CD7">
        <w:rPr>
          <w:rFonts w:eastAsia="Calibri" w:cstheme="minorHAnsi"/>
          <w:b/>
          <w:bCs/>
          <w:color w:val="0070C0"/>
          <w:sz w:val="24"/>
          <w:szCs w:val="24"/>
        </w:rPr>
        <w:t>Plan National de Développement Agricole (PNDA)</w:t>
      </w:r>
      <w:bookmarkEnd w:id="311"/>
      <w:bookmarkEnd w:id="312"/>
      <w:bookmarkEnd w:id="313"/>
      <w:r w:rsidRPr="003D5CD7">
        <w:rPr>
          <w:rFonts w:eastAsia="Calibri" w:cstheme="minorHAnsi"/>
          <w:b/>
          <w:bCs/>
          <w:color w:val="0070C0"/>
          <w:sz w:val="24"/>
          <w:szCs w:val="24"/>
        </w:rPr>
        <w:t> </w:t>
      </w:r>
    </w:p>
    <w:p w14:paraId="53CD642A" w14:textId="77777777" w:rsidR="00A47DEE" w:rsidRPr="003D5CD7" w:rsidRDefault="00A47DEE" w:rsidP="00A47DEE">
      <w:pPr>
        <w:contextualSpacing/>
        <w:jc w:val="lowKashida"/>
        <w:rPr>
          <w:rFonts w:eastAsia="Calibri" w:cstheme="minorHAnsi"/>
          <w:iCs/>
          <w:color w:val="000000"/>
        </w:rPr>
      </w:pPr>
      <w:r w:rsidRPr="003D5CD7">
        <w:rPr>
          <w:rFonts w:eastAsia="Calibri" w:cstheme="minorHAnsi"/>
          <w:iCs/>
          <w:color w:val="000000"/>
        </w:rPr>
        <w:t xml:space="preserve">Les objectifs spécifiques du PNDA se traduisent en quatre programmes principaux, </w:t>
      </w:r>
      <w:r w:rsidRPr="003D5CD7">
        <w:rPr>
          <w:rFonts w:eastAsia="Arial Unicode MS" w:cstheme="minorHAnsi"/>
          <w:iCs/>
          <w:color w:val="000000"/>
        </w:rPr>
        <w:t xml:space="preserve">déclinés en sous-programmes </w:t>
      </w:r>
      <w:r w:rsidRPr="003D5CD7">
        <w:rPr>
          <w:rFonts w:eastAsia="Calibri" w:cstheme="minorHAnsi"/>
          <w:iCs/>
          <w:color w:val="000000"/>
        </w:rPr>
        <w:t>à savoir :</w:t>
      </w:r>
    </w:p>
    <w:p w14:paraId="09887042" w14:textId="77777777" w:rsidR="00A47DEE" w:rsidRPr="003D5CD7" w:rsidRDefault="00A47DEE" w:rsidP="00A47DEE">
      <w:pPr>
        <w:widowControl w:val="0"/>
        <w:numPr>
          <w:ilvl w:val="0"/>
          <w:numId w:val="358"/>
        </w:numPr>
        <w:shd w:val="clear" w:color="auto" w:fill="FFFFFF"/>
        <w:tabs>
          <w:tab w:val="left" w:pos="142"/>
          <w:tab w:val="left" w:pos="924"/>
        </w:tabs>
        <w:ind w:left="284" w:hanging="284"/>
        <w:contextualSpacing/>
        <w:jc w:val="both"/>
        <w:rPr>
          <w:rFonts w:eastAsia="Times New Roman" w:cstheme="minorHAnsi"/>
          <w:b/>
          <w:bCs/>
          <w:iCs/>
        </w:rPr>
      </w:pPr>
      <w:r w:rsidRPr="003D5CD7">
        <w:rPr>
          <w:rFonts w:eastAsia="Times New Roman" w:cstheme="minorHAnsi"/>
          <w:b/>
          <w:bCs/>
          <w:iCs/>
        </w:rPr>
        <w:t>Programme 1. Intensification et diversification de la production agricole</w:t>
      </w:r>
    </w:p>
    <w:p w14:paraId="52475503" w14:textId="77777777" w:rsidR="00A47DEE" w:rsidRPr="003D5CD7" w:rsidRDefault="00A47DEE" w:rsidP="00A47DEE">
      <w:pPr>
        <w:widowControl w:val="0"/>
        <w:numPr>
          <w:ilvl w:val="0"/>
          <w:numId w:val="359"/>
        </w:numPr>
        <w:shd w:val="clear" w:color="auto" w:fill="FFFFFF"/>
        <w:tabs>
          <w:tab w:val="left" w:pos="142"/>
          <w:tab w:val="left" w:pos="709"/>
        </w:tabs>
        <w:ind w:left="709" w:hanging="229"/>
        <w:contextualSpacing/>
        <w:jc w:val="both"/>
        <w:rPr>
          <w:rFonts w:eastAsia="Times New Roman" w:cstheme="minorHAnsi"/>
          <w:iCs/>
        </w:rPr>
      </w:pPr>
      <w:r w:rsidRPr="003D5CD7">
        <w:rPr>
          <w:rFonts w:eastAsia="Times New Roman" w:cstheme="minorHAnsi"/>
          <w:iCs/>
        </w:rPr>
        <w:t>Sous-programme 1.1.  Intensification et diversification de la production agricole irriguée </w:t>
      </w:r>
    </w:p>
    <w:p w14:paraId="15954768" w14:textId="77777777" w:rsidR="00A47DEE" w:rsidRPr="003D5CD7" w:rsidRDefault="00A47DEE" w:rsidP="00A47DEE">
      <w:pPr>
        <w:widowControl w:val="0"/>
        <w:numPr>
          <w:ilvl w:val="0"/>
          <w:numId w:val="359"/>
        </w:numPr>
        <w:shd w:val="clear" w:color="auto" w:fill="FFFFFF"/>
        <w:tabs>
          <w:tab w:val="left" w:pos="142"/>
          <w:tab w:val="left" w:pos="709"/>
        </w:tabs>
        <w:ind w:left="709" w:hanging="229"/>
        <w:contextualSpacing/>
        <w:jc w:val="both"/>
        <w:rPr>
          <w:rFonts w:eastAsia="Times New Roman" w:cstheme="minorHAnsi"/>
          <w:iCs/>
        </w:rPr>
      </w:pPr>
      <w:r w:rsidRPr="003D5CD7">
        <w:rPr>
          <w:rFonts w:eastAsia="Times New Roman" w:cstheme="minorHAnsi"/>
          <w:iCs/>
        </w:rPr>
        <w:t xml:space="preserve">Sous-programme 1.2. Amélioration des systèmes de productions pluviales pour la valorisation des cultures traditionnelles </w:t>
      </w:r>
    </w:p>
    <w:p w14:paraId="1AE1292A" w14:textId="77777777" w:rsidR="00A47DEE" w:rsidRPr="003D5CD7" w:rsidRDefault="00A47DEE" w:rsidP="00A47DEE">
      <w:pPr>
        <w:widowControl w:val="0"/>
        <w:numPr>
          <w:ilvl w:val="0"/>
          <w:numId w:val="359"/>
        </w:numPr>
        <w:shd w:val="clear" w:color="auto" w:fill="FFFFFF"/>
        <w:tabs>
          <w:tab w:val="left" w:pos="142"/>
          <w:tab w:val="left" w:pos="709"/>
        </w:tabs>
        <w:ind w:left="709" w:hanging="229"/>
        <w:contextualSpacing/>
        <w:jc w:val="both"/>
        <w:rPr>
          <w:rFonts w:eastAsia="Times New Roman" w:cstheme="minorHAnsi"/>
          <w:iCs/>
        </w:rPr>
      </w:pPr>
      <w:r w:rsidRPr="003D5CD7">
        <w:rPr>
          <w:rFonts w:eastAsia="Times New Roman" w:cstheme="minorHAnsi"/>
          <w:iCs/>
        </w:rPr>
        <w:t xml:space="preserve">Sous-programme 1.3. Appui au développement des cultures oasiennes </w:t>
      </w:r>
    </w:p>
    <w:p w14:paraId="4AF4F591" w14:textId="77777777" w:rsidR="00A47DEE" w:rsidRPr="003D5CD7" w:rsidRDefault="00A47DEE" w:rsidP="00A47DEE">
      <w:pPr>
        <w:widowControl w:val="0"/>
        <w:numPr>
          <w:ilvl w:val="0"/>
          <w:numId w:val="358"/>
        </w:numPr>
        <w:shd w:val="clear" w:color="auto" w:fill="FFFFFF"/>
        <w:tabs>
          <w:tab w:val="left" w:pos="142"/>
          <w:tab w:val="left" w:pos="924"/>
        </w:tabs>
        <w:ind w:left="284" w:hanging="284"/>
        <w:contextualSpacing/>
        <w:jc w:val="both"/>
        <w:rPr>
          <w:rFonts w:eastAsia="Times New Roman" w:cstheme="minorHAnsi"/>
          <w:b/>
          <w:bCs/>
          <w:iCs/>
        </w:rPr>
      </w:pPr>
      <w:r w:rsidRPr="003D5CD7">
        <w:rPr>
          <w:rFonts w:eastAsia="Times New Roman" w:cstheme="minorHAnsi"/>
          <w:b/>
          <w:bCs/>
          <w:iCs/>
        </w:rPr>
        <w:t>Programme 2. Promotion de la compétitivité des filières agricoles</w:t>
      </w:r>
    </w:p>
    <w:p w14:paraId="327D9631" w14:textId="77777777" w:rsidR="00A47DEE" w:rsidRPr="003D5CD7" w:rsidRDefault="00A47DEE" w:rsidP="00A47DEE">
      <w:pPr>
        <w:widowControl w:val="0"/>
        <w:numPr>
          <w:ilvl w:val="0"/>
          <w:numId w:val="359"/>
        </w:numPr>
        <w:shd w:val="clear" w:color="auto" w:fill="FFFFFF"/>
        <w:tabs>
          <w:tab w:val="left" w:pos="142"/>
          <w:tab w:val="left" w:pos="709"/>
        </w:tabs>
        <w:ind w:left="709" w:hanging="229"/>
        <w:contextualSpacing/>
        <w:jc w:val="both"/>
        <w:rPr>
          <w:rFonts w:eastAsia="Times New Roman" w:cstheme="minorHAnsi"/>
          <w:iCs/>
        </w:rPr>
      </w:pPr>
      <w:r w:rsidRPr="003D5CD7">
        <w:rPr>
          <w:rFonts w:eastAsia="Times New Roman" w:cstheme="minorHAnsi"/>
          <w:iCs/>
        </w:rPr>
        <w:t>Sous-programme 2.1. Amélioration des infrastructures et des équipements de stockage, de transformation et   conditionnement.</w:t>
      </w:r>
    </w:p>
    <w:p w14:paraId="16F79977" w14:textId="77777777" w:rsidR="00A47DEE" w:rsidRPr="003D5CD7" w:rsidRDefault="00A47DEE" w:rsidP="00A47DEE">
      <w:pPr>
        <w:widowControl w:val="0"/>
        <w:numPr>
          <w:ilvl w:val="0"/>
          <w:numId w:val="359"/>
        </w:numPr>
        <w:shd w:val="clear" w:color="auto" w:fill="FFFFFF"/>
        <w:tabs>
          <w:tab w:val="left" w:pos="142"/>
          <w:tab w:val="left" w:pos="709"/>
        </w:tabs>
        <w:ind w:left="709" w:hanging="229"/>
        <w:contextualSpacing/>
        <w:jc w:val="both"/>
        <w:rPr>
          <w:rFonts w:eastAsia="Times New Roman" w:cstheme="minorHAnsi"/>
          <w:iCs/>
        </w:rPr>
      </w:pPr>
      <w:r w:rsidRPr="003D5CD7">
        <w:rPr>
          <w:rFonts w:eastAsia="Times New Roman" w:cstheme="minorHAnsi"/>
          <w:iCs/>
        </w:rPr>
        <w:t>Sous-programme 2.2. Amélioration de la commercialisation des produits agricoles.</w:t>
      </w:r>
    </w:p>
    <w:p w14:paraId="33C71E88" w14:textId="77777777" w:rsidR="00A47DEE" w:rsidRPr="003D5CD7" w:rsidRDefault="00A47DEE" w:rsidP="00A47DEE">
      <w:pPr>
        <w:widowControl w:val="0"/>
        <w:numPr>
          <w:ilvl w:val="0"/>
          <w:numId w:val="359"/>
        </w:numPr>
        <w:shd w:val="clear" w:color="auto" w:fill="FFFFFF"/>
        <w:tabs>
          <w:tab w:val="left" w:pos="142"/>
          <w:tab w:val="left" w:pos="709"/>
        </w:tabs>
        <w:ind w:left="709" w:hanging="229"/>
        <w:contextualSpacing/>
        <w:jc w:val="both"/>
        <w:rPr>
          <w:rFonts w:eastAsia="Times New Roman" w:cstheme="minorHAnsi"/>
          <w:iCs/>
        </w:rPr>
      </w:pPr>
      <w:r w:rsidRPr="003D5CD7">
        <w:rPr>
          <w:rFonts w:eastAsia="Times New Roman" w:cstheme="minorHAnsi"/>
          <w:iCs/>
        </w:rPr>
        <w:t xml:space="preserve">Sous-programme 2.3. Appui à la mise en place d’un environnement favorable à la compétitivité du secteur. </w:t>
      </w:r>
    </w:p>
    <w:p w14:paraId="78EB1900" w14:textId="77777777" w:rsidR="00A47DEE" w:rsidRPr="003D5CD7" w:rsidRDefault="00A47DEE" w:rsidP="00A47DEE">
      <w:pPr>
        <w:widowControl w:val="0"/>
        <w:numPr>
          <w:ilvl w:val="0"/>
          <w:numId w:val="359"/>
        </w:numPr>
        <w:shd w:val="clear" w:color="auto" w:fill="FFFFFF"/>
        <w:tabs>
          <w:tab w:val="left" w:pos="142"/>
          <w:tab w:val="left" w:pos="709"/>
        </w:tabs>
        <w:ind w:left="709" w:hanging="229"/>
        <w:contextualSpacing/>
        <w:jc w:val="both"/>
        <w:rPr>
          <w:rFonts w:eastAsia="Times New Roman" w:cstheme="minorHAnsi"/>
          <w:iCs/>
        </w:rPr>
      </w:pPr>
      <w:r w:rsidRPr="003D5CD7">
        <w:rPr>
          <w:rFonts w:eastAsia="Times New Roman" w:cstheme="minorHAnsi"/>
          <w:iCs/>
        </w:rPr>
        <w:t>Sous-programme 2.4. Renforcement des capacités techniques, organisationnelles, managériales et de négociation des acteurs des filières.</w:t>
      </w:r>
    </w:p>
    <w:p w14:paraId="6E2B0DC8" w14:textId="77777777" w:rsidR="00A47DEE" w:rsidRPr="003D5CD7" w:rsidRDefault="00A47DEE" w:rsidP="00A47DEE">
      <w:pPr>
        <w:widowControl w:val="0"/>
        <w:numPr>
          <w:ilvl w:val="0"/>
          <w:numId w:val="358"/>
        </w:numPr>
        <w:shd w:val="clear" w:color="auto" w:fill="FFFFFF"/>
        <w:tabs>
          <w:tab w:val="left" w:pos="142"/>
          <w:tab w:val="left" w:pos="924"/>
        </w:tabs>
        <w:ind w:left="284" w:hanging="284"/>
        <w:contextualSpacing/>
        <w:jc w:val="both"/>
        <w:rPr>
          <w:rFonts w:eastAsia="Times New Roman" w:cstheme="minorHAnsi"/>
          <w:b/>
          <w:bCs/>
          <w:iCs/>
        </w:rPr>
      </w:pPr>
      <w:r w:rsidRPr="003D5CD7">
        <w:rPr>
          <w:rFonts w:eastAsia="Times New Roman" w:cstheme="minorHAnsi"/>
          <w:b/>
          <w:bCs/>
          <w:iCs/>
        </w:rPr>
        <w:t>Programme 3. Gestion durable des ressources naturelles</w:t>
      </w:r>
    </w:p>
    <w:p w14:paraId="04BCAA5F" w14:textId="77777777" w:rsidR="00A47DEE" w:rsidRPr="003D5CD7" w:rsidRDefault="00A47DEE" w:rsidP="00A47DEE">
      <w:pPr>
        <w:widowControl w:val="0"/>
        <w:numPr>
          <w:ilvl w:val="0"/>
          <w:numId w:val="359"/>
        </w:numPr>
        <w:shd w:val="clear" w:color="auto" w:fill="FFFFFF"/>
        <w:tabs>
          <w:tab w:val="left" w:pos="142"/>
          <w:tab w:val="left" w:pos="709"/>
        </w:tabs>
        <w:ind w:left="709" w:hanging="229"/>
        <w:contextualSpacing/>
        <w:jc w:val="both"/>
        <w:rPr>
          <w:rFonts w:eastAsia="Times New Roman" w:cstheme="minorHAnsi"/>
          <w:iCs/>
        </w:rPr>
      </w:pPr>
      <w:r w:rsidRPr="003D5CD7">
        <w:rPr>
          <w:rFonts w:eastAsia="Times New Roman" w:cstheme="minorHAnsi"/>
          <w:iCs/>
        </w:rPr>
        <w:t>Sous-programme 3.1. Amélioration de la gestion foncière, protection et réhabilitation des terres agricoles.</w:t>
      </w:r>
    </w:p>
    <w:p w14:paraId="54E0A39A" w14:textId="77777777" w:rsidR="00A47DEE" w:rsidRPr="003D5CD7" w:rsidRDefault="00A47DEE" w:rsidP="00A47DEE">
      <w:pPr>
        <w:widowControl w:val="0"/>
        <w:numPr>
          <w:ilvl w:val="0"/>
          <w:numId w:val="359"/>
        </w:numPr>
        <w:shd w:val="clear" w:color="auto" w:fill="FFFFFF"/>
        <w:tabs>
          <w:tab w:val="left" w:pos="142"/>
          <w:tab w:val="left" w:pos="709"/>
        </w:tabs>
        <w:ind w:left="709" w:hanging="229"/>
        <w:contextualSpacing/>
        <w:jc w:val="both"/>
        <w:rPr>
          <w:rFonts w:eastAsia="Times New Roman" w:cstheme="minorHAnsi"/>
          <w:iCs/>
        </w:rPr>
      </w:pPr>
      <w:r w:rsidRPr="003D5CD7">
        <w:rPr>
          <w:rFonts w:eastAsia="Times New Roman" w:cstheme="minorHAnsi"/>
          <w:iCs/>
        </w:rPr>
        <w:t>Sous-programme 3.2. Amélioration de la gestion et de la mise en valeur des zones humides.</w:t>
      </w:r>
    </w:p>
    <w:p w14:paraId="48F1216A" w14:textId="77777777" w:rsidR="00A47DEE" w:rsidRPr="003D5CD7" w:rsidRDefault="00A47DEE" w:rsidP="00A47DEE">
      <w:pPr>
        <w:widowControl w:val="0"/>
        <w:numPr>
          <w:ilvl w:val="0"/>
          <w:numId w:val="358"/>
        </w:numPr>
        <w:shd w:val="clear" w:color="auto" w:fill="FFFFFF"/>
        <w:tabs>
          <w:tab w:val="left" w:pos="142"/>
          <w:tab w:val="left" w:pos="924"/>
        </w:tabs>
        <w:ind w:left="284" w:hanging="284"/>
        <w:contextualSpacing/>
        <w:jc w:val="both"/>
        <w:rPr>
          <w:rFonts w:eastAsia="Times New Roman" w:cstheme="minorHAnsi"/>
          <w:b/>
          <w:bCs/>
          <w:iCs/>
        </w:rPr>
      </w:pPr>
      <w:r w:rsidRPr="003D5CD7">
        <w:rPr>
          <w:rFonts w:eastAsia="Times New Roman" w:cstheme="minorHAnsi"/>
          <w:b/>
          <w:bCs/>
          <w:iCs/>
        </w:rPr>
        <w:t>Programme 4. Amélioration de la qualité des services agricoles</w:t>
      </w:r>
    </w:p>
    <w:p w14:paraId="659BAA82" w14:textId="77777777" w:rsidR="00A47DEE" w:rsidRPr="003D5CD7" w:rsidRDefault="00A47DEE" w:rsidP="00A47DEE">
      <w:pPr>
        <w:widowControl w:val="0"/>
        <w:numPr>
          <w:ilvl w:val="0"/>
          <w:numId w:val="359"/>
        </w:numPr>
        <w:shd w:val="clear" w:color="auto" w:fill="FFFFFF"/>
        <w:tabs>
          <w:tab w:val="left" w:pos="142"/>
          <w:tab w:val="left" w:pos="709"/>
        </w:tabs>
        <w:ind w:left="709" w:hanging="229"/>
        <w:contextualSpacing/>
        <w:jc w:val="both"/>
        <w:rPr>
          <w:rFonts w:eastAsia="Times New Roman" w:cstheme="minorHAnsi"/>
          <w:iCs/>
        </w:rPr>
      </w:pPr>
      <w:r w:rsidRPr="003D5CD7">
        <w:rPr>
          <w:rFonts w:eastAsia="Times New Roman" w:cstheme="minorHAnsi"/>
          <w:iCs/>
        </w:rPr>
        <w:t xml:space="preserve">Sous-programme 4.1. : Renforcement des capacités institutionnelles des services publics du secteur agricole : </w:t>
      </w:r>
    </w:p>
    <w:p w14:paraId="1FE9369D" w14:textId="77777777" w:rsidR="00A47DEE" w:rsidRPr="003D5CD7" w:rsidRDefault="00A47DEE" w:rsidP="00A47DEE">
      <w:pPr>
        <w:widowControl w:val="0"/>
        <w:numPr>
          <w:ilvl w:val="0"/>
          <w:numId w:val="359"/>
        </w:numPr>
        <w:shd w:val="clear" w:color="auto" w:fill="FFFFFF"/>
        <w:tabs>
          <w:tab w:val="left" w:pos="142"/>
          <w:tab w:val="left" w:pos="709"/>
        </w:tabs>
        <w:spacing w:after="60" w:line="240" w:lineRule="auto"/>
        <w:ind w:left="709" w:hanging="229"/>
        <w:contextualSpacing/>
        <w:jc w:val="both"/>
        <w:rPr>
          <w:rFonts w:eastAsia="Times New Roman" w:cstheme="minorHAnsi"/>
          <w:iCs/>
        </w:rPr>
      </w:pPr>
      <w:r w:rsidRPr="003D5CD7">
        <w:rPr>
          <w:rFonts w:eastAsia="Times New Roman" w:cstheme="minorHAnsi"/>
          <w:iCs/>
        </w:rPr>
        <w:t>Sous-programme 4.2. Renforcement des capacités des producteurs et de leurs organisations</w:t>
      </w:r>
    </w:p>
    <w:p w14:paraId="50E0E267" w14:textId="77777777" w:rsidR="00A47DEE" w:rsidRDefault="00A47DEE" w:rsidP="00A47DEE">
      <w:pPr>
        <w:widowControl w:val="0"/>
        <w:numPr>
          <w:ilvl w:val="0"/>
          <w:numId w:val="359"/>
        </w:numPr>
        <w:shd w:val="clear" w:color="auto" w:fill="FFFFFF"/>
        <w:tabs>
          <w:tab w:val="left" w:pos="142"/>
          <w:tab w:val="left" w:pos="709"/>
        </w:tabs>
        <w:spacing w:after="60" w:line="240" w:lineRule="auto"/>
        <w:ind w:left="709" w:hanging="229"/>
        <w:contextualSpacing/>
        <w:jc w:val="both"/>
        <w:rPr>
          <w:rFonts w:eastAsia="Times New Roman" w:cstheme="minorHAnsi"/>
          <w:iCs/>
        </w:rPr>
      </w:pPr>
      <w:r w:rsidRPr="003D5CD7">
        <w:rPr>
          <w:rFonts w:eastAsia="Times New Roman" w:cstheme="minorHAnsi"/>
          <w:iCs/>
        </w:rPr>
        <w:t xml:space="preserve">Sous-programme 4.3. Développement des produits financiers et des systèmes d’assurance agricole, adaptés au secteur de l’agriculture  </w:t>
      </w:r>
    </w:p>
    <w:p w14:paraId="5E5A5A30" w14:textId="77777777" w:rsidR="00A47DEE" w:rsidRPr="003D5CD7" w:rsidRDefault="00A47DEE" w:rsidP="00A47DEE">
      <w:pPr>
        <w:widowControl w:val="0"/>
        <w:shd w:val="clear" w:color="auto" w:fill="FFFFFF"/>
        <w:tabs>
          <w:tab w:val="left" w:pos="142"/>
          <w:tab w:val="left" w:pos="709"/>
        </w:tabs>
        <w:spacing w:after="60" w:line="240" w:lineRule="auto"/>
        <w:contextualSpacing/>
        <w:jc w:val="both"/>
        <w:rPr>
          <w:rFonts w:eastAsia="Times New Roman" w:cstheme="minorHAnsi"/>
          <w:iCs/>
        </w:rPr>
      </w:pPr>
    </w:p>
    <w:p w14:paraId="4B42DC4C" w14:textId="5CAA2FDF" w:rsidR="00A47DEE" w:rsidRDefault="00A47DEE" w:rsidP="00A47DEE">
      <w:pPr>
        <w:rPr>
          <w:rFonts w:eastAsiaTheme="majorEastAsia" w:cstheme="minorHAnsi"/>
          <w:b/>
          <w:bCs/>
          <w:color w:val="FFFFFF" w:themeColor="background1"/>
          <w:sz w:val="30"/>
          <w:szCs w:val="30"/>
        </w:rPr>
      </w:pPr>
      <w:bookmarkStart w:id="314" w:name="_Toc179577354"/>
    </w:p>
    <w:p w14:paraId="5F0A28EC" w14:textId="77777777" w:rsidR="00A47DEE" w:rsidRPr="00F468F7" w:rsidRDefault="00A47DEE" w:rsidP="00A47DEE">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after="240"/>
        <w:rPr>
          <w:rFonts w:asciiTheme="minorHAnsi" w:hAnsiTheme="minorHAnsi" w:cstheme="minorHAnsi"/>
          <w:b/>
          <w:bCs/>
          <w:color w:val="FFFFFF" w:themeColor="background1"/>
          <w:sz w:val="30"/>
          <w:szCs w:val="30"/>
        </w:rPr>
      </w:pPr>
      <w:r>
        <w:rPr>
          <w:rFonts w:asciiTheme="minorHAnsi" w:hAnsiTheme="minorHAnsi" w:cstheme="minorHAnsi"/>
          <w:b/>
          <w:bCs/>
          <w:color w:val="FFFFFF" w:themeColor="background1"/>
          <w:sz w:val="30"/>
          <w:szCs w:val="30"/>
        </w:rPr>
        <w:t xml:space="preserve">PARTIE III : </w:t>
      </w:r>
      <w:r w:rsidRPr="00F468F7">
        <w:rPr>
          <w:rFonts w:asciiTheme="minorHAnsi" w:hAnsiTheme="minorHAnsi" w:cstheme="minorHAnsi"/>
          <w:b/>
          <w:bCs/>
          <w:color w:val="FFFFFF" w:themeColor="background1"/>
          <w:sz w:val="30"/>
          <w:szCs w:val="30"/>
        </w:rPr>
        <w:t xml:space="preserve">VULNERABILITE </w:t>
      </w:r>
      <w:bookmarkEnd w:id="280"/>
      <w:r w:rsidRPr="00F468F7">
        <w:rPr>
          <w:rFonts w:asciiTheme="minorHAnsi" w:hAnsiTheme="minorHAnsi" w:cstheme="minorHAnsi"/>
          <w:b/>
          <w:bCs/>
          <w:color w:val="FFFFFF" w:themeColor="background1"/>
          <w:sz w:val="30"/>
          <w:szCs w:val="30"/>
        </w:rPr>
        <w:t>DE L’AGRICULTURE</w:t>
      </w:r>
      <w:r>
        <w:rPr>
          <w:rFonts w:asciiTheme="minorHAnsi" w:hAnsiTheme="minorHAnsi" w:cstheme="minorHAnsi"/>
          <w:b/>
          <w:bCs/>
          <w:color w:val="FFFFFF" w:themeColor="background1"/>
          <w:sz w:val="30"/>
          <w:szCs w:val="30"/>
        </w:rPr>
        <w:t xml:space="preserve"> AU CC</w:t>
      </w:r>
      <w:bookmarkEnd w:id="314"/>
    </w:p>
    <w:p w14:paraId="23D0D35B" w14:textId="77777777" w:rsidR="00A47DEE" w:rsidRPr="00110ECC" w:rsidRDefault="00A47DEE" w:rsidP="00A47DEE">
      <w:pPr>
        <w:pStyle w:val="Paragraphedeliste"/>
        <w:keepNext/>
        <w:keepLines/>
        <w:numPr>
          <w:ilvl w:val="1"/>
          <w:numId w:val="387"/>
        </w:numPr>
        <w:shd w:val="clear" w:color="auto" w:fill="2E74B5" w:themeFill="accent5" w:themeFillShade="BF"/>
        <w:tabs>
          <w:tab w:val="left" w:pos="540"/>
          <w:tab w:val="left" w:pos="851"/>
          <w:tab w:val="left" w:pos="993"/>
          <w:tab w:val="left" w:pos="1134"/>
        </w:tabs>
        <w:spacing w:before="40" w:after="120" w:line="240" w:lineRule="auto"/>
        <w:jc w:val="both"/>
        <w:outlineLvl w:val="1"/>
        <w:rPr>
          <w:rFonts w:eastAsia="Times New Roman" w:cstheme="minorHAnsi"/>
          <w:b/>
          <w:bCs/>
          <w:color w:val="FFFFFF"/>
          <w:sz w:val="24"/>
          <w:szCs w:val="24"/>
        </w:rPr>
      </w:pPr>
      <w:bookmarkStart w:id="315" w:name="_Toc51580724"/>
      <w:bookmarkStart w:id="316" w:name="_Toc179577355"/>
      <w:bookmarkStart w:id="317" w:name="_Toc126511288"/>
      <w:bookmarkEnd w:id="281"/>
      <w:bookmarkEnd w:id="282"/>
      <w:r w:rsidRPr="00110ECC">
        <w:rPr>
          <w:rFonts w:eastAsia="Times New Roman" w:cstheme="minorHAnsi"/>
          <w:b/>
          <w:bCs/>
          <w:color w:val="FFFFFF"/>
          <w:sz w:val="24"/>
          <w:szCs w:val="24"/>
        </w:rPr>
        <w:t>Principaux déterminants à l’exposition aux risques climatiques</w:t>
      </w:r>
      <w:bookmarkEnd w:id="315"/>
      <w:bookmarkEnd w:id="316"/>
    </w:p>
    <w:p w14:paraId="1D4919EF" w14:textId="77777777" w:rsidR="00A47DEE" w:rsidRPr="0007319F" w:rsidRDefault="00A47DEE" w:rsidP="00A47DEE">
      <w:pPr>
        <w:autoSpaceDE w:val="0"/>
        <w:autoSpaceDN w:val="0"/>
        <w:adjustRightInd w:val="0"/>
        <w:spacing w:after="0"/>
        <w:jc w:val="lowKashida"/>
        <w:rPr>
          <w:rFonts w:ascii="Calibri" w:eastAsia="Calibri" w:hAnsi="Calibri" w:cs="Calibri"/>
        </w:rPr>
      </w:pPr>
      <w:r w:rsidRPr="00AE1B99">
        <w:rPr>
          <w:rFonts w:ascii="Calibri" w:eastAsia="Calibri" w:hAnsi="Calibri" w:cs="Calibri"/>
        </w:rPr>
        <w:t>Selon les études sur l’évaluation de la vulnérabilité de l’agriculture au CC, effectuées dans le cadre du PANA , de la CDN et de la 4</w:t>
      </w:r>
      <w:r w:rsidRPr="00FD1BC0">
        <w:rPr>
          <w:rFonts w:ascii="Calibri" w:eastAsia="Calibri" w:hAnsi="Calibri" w:cs="Calibri"/>
          <w:vertAlign w:val="superscript"/>
        </w:rPr>
        <w:t>ème</w:t>
      </w:r>
      <w:r w:rsidRPr="00AE1B99">
        <w:rPr>
          <w:rFonts w:ascii="Calibri" w:eastAsia="Calibri" w:hAnsi="Calibri" w:cs="Calibri"/>
        </w:rPr>
        <w:t xml:space="preserve"> CN sur le CC , les principaux phénomènes climatiques extrêmes </w:t>
      </w:r>
      <w:r>
        <w:rPr>
          <w:rFonts w:ascii="Calibri" w:eastAsia="Calibri" w:hAnsi="Calibri" w:cs="Calibri"/>
        </w:rPr>
        <w:t xml:space="preserve">sont les </w:t>
      </w:r>
      <w:r w:rsidRPr="00AE1B99">
        <w:rPr>
          <w:rFonts w:ascii="Calibri" w:eastAsia="Calibri" w:hAnsi="Calibri" w:cs="Calibri"/>
        </w:rPr>
        <w:t xml:space="preserve"> sécheresses dues aux déficits pluviométriques, </w:t>
      </w:r>
      <w:r>
        <w:rPr>
          <w:rFonts w:ascii="Calibri" w:eastAsia="Calibri" w:hAnsi="Calibri" w:cs="Calibri"/>
        </w:rPr>
        <w:t xml:space="preserve">les </w:t>
      </w:r>
      <w:r w:rsidRPr="00AE1B99">
        <w:rPr>
          <w:rFonts w:ascii="Calibri" w:eastAsia="Calibri" w:hAnsi="Calibri" w:cs="Calibri"/>
        </w:rPr>
        <w:t>inondations par suites des pluies diluviennes et intenses,</w:t>
      </w:r>
      <w:r>
        <w:rPr>
          <w:rFonts w:ascii="Calibri" w:eastAsia="Calibri" w:hAnsi="Calibri" w:cs="Calibri"/>
        </w:rPr>
        <w:t xml:space="preserve"> les</w:t>
      </w:r>
      <w:r w:rsidRPr="00AE1B99">
        <w:rPr>
          <w:rFonts w:ascii="Calibri" w:eastAsia="Calibri" w:hAnsi="Calibri" w:cs="Calibri"/>
        </w:rPr>
        <w:t xml:space="preserve"> tempêtes de sable et/ou de poussière, </w:t>
      </w:r>
      <w:r>
        <w:rPr>
          <w:rFonts w:ascii="Calibri" w:eastAsia="Calibri" w:hAnsi="Calibri" w:cs="Calibri"/>
        </w:rPr>
        <w:t xml:space="preserve">les </w:t>
      </w:r>
      <w:r w:rsidRPr="00AE1B99">
        <w:rPr>
          <w:rFonts w:ascii="Calibri" w:eastAsia="Calibri" w:hAnsi="Calibri" w:cs="Calibri"/>
        </w:rPr>
        <w:t xml:space="preserve">températures extrêmes, </w:t>
      </w:r>
      <w:r>
        <w:rPr>
          <w:rFonts w:ascii="Calibri" w:eastAsia="Calibri" w:hAnsi="Calibri" w:cs="Calibri"/>
        </w:rPr>
        <w:t xml:space="preserve">les </w:t>
      </w:r>
      <w:r w:rsidRPr="00AE1B99">
        <w:rPr>
          <w:rFonts w:ascii="Calibri" w:eastAsia="Calibri" w:hAnsi="Calibri" w:cs="Calibri"/>
        </w:rPr>
        <w:t>vents violents et d’autres phénomènes non moins importants connexes tels que les attaques acridiennes, feux de brousse, etc.</w:t>
      </w:r>
      <w:r>
        <w:rPr>
          <w:rFonts w:ascii="Calibri" w:eastAsia="Calibri" w:hAnsi="Calibri" w:cs="Calibri"/>
        </w:rPr>
        <w:t xml:space="preserve"> </w:t>
      </w:r>
      <w:r w:rsidRPr="0007319F">
        <w:rPr>
          <w:rFonts w:ascii="Calibri" w:eastAsia="Calibri" w:hAnsi="Calibri" w:cs="Calibri"/>
        </w:rPr>
        <w:t>Le tableau 4 résume les impacts des CC sur les unités d’exposition</w:t>
      </w:r>
      <w:r w:rsidRPr="00737CE3">
        <w:rPr>
          <w:rFonts w:ascii="Calibri" w:eastAsia="Calibri" w:hAnsi="Calibri" w:cs="Calibri"/>
          <w:b/>
          <w:bCs/>
        </w:rPr>
        <w:t>.</w:t>
      </w:r>
      <w:r w:rsidRPr="00737CE3">
        <w:t xml:space="preserve"> </w:t>
      </w:r>
    </w:p>
    <w:p w14:paraId="1874B16E" w14:textId="77777777" w:rsidR="00A47DEE" w:rsidRDefault="00A47DEE" w:rsidP="00A47DEE">
      <w:pPr>
        <w:autoSpaceDE w:val="0"/>
        <w:autoSpaceDN w:val="0"/>
        <w:adjustRightInd w:val="0"/>
        <w:spacing w:after="0"/>
        <w:jc w:val="lowKashida"/>
        <w:rPr>
          <w:rFonts w:eastAsia="Calibri" w:cstheme="minorHAnsi"/>
        </w:rPr>
      </w:pPr>
    </w:p>
    <w:p w14:paraId="4FC78700" w14:textId="77777777" w:rsidR="00A47DEE" w:rsidRPr="00F468F7" w:rsidRDefault="00A47DEE" w:rsidP="00A47DEE">
      <w:pPr>
        <w:rPr>
          <w:rFonts w:eastAsia="Calibri" w:cstheme="minorHAnsi"/>
          <w:b/>
          <w:bCs/>
        </w:rPr>
      </w:pPr>
      <w:r w:rsidRPr="00F468F7">
        <w:rPr>
          <w:rFonts w:eastAsia="Calibri" w:cstheme="minorHAnsi"/>
          <w:b/>
          <w:bCs/>
        </w:rPr>
        <w:t>Matrice de sensibilité des unités d’exposition aux risques climatiques</w:t>
      </w:r>
      <w:bookmarkEnd w:id="317"/>
      <w:r w:rsidRPr="00F468F7">
        <w:rPr>
          <w:rFonts w:eastAsia="Calibri" w:cstheme="minorHAnsi"/>
          <w:b/>
          <w:bCs/>
        </w:rPr>
        <w:t xml:space="preserve"> </w:t>
      </w:r>
    </w:p>
    <w:tbl>
      <w:tblPr>
        <w:tblStyle w:val="Tableausimple11"/>
        <w:tblW w:w="10514" w:type="dxa"/>
        <w:jc w:val="center"/>
        <w:tblBorders>
          <w:top w:val="single" w:sz="24" w:space="0" w:color="385623" w:themeColor="accent6" w:themeShade="80"/>
          <w:left w:val="single" w:sz="24" w:space="0" w:color="385623" w:themeColor="accent6" w:themeShade="80"/>
          <w:bottom w:val="single" w:sz="24" w:space="0" w:color="385623" w:themeColor="accent6" w:themeShade="80"/>
          <w:right w:val="single" w:sz="24" w:space="0" w:color="385623" w:themeColor="accent6" w:themeShade="80"/>
          <w:insideH w:val="single" w:sz="24" w:space="0" w:color="385623" w:themeColor="accent6" w:themeShade="80"/>
          <w:insideV w:val="single" w:sz="24" w:space="0" w:color="385623" w:themeColor="accent6" w:themeShade="80"/>
        </w:tblBorders>
        <w:tblLayout w:type="fixed"/>
        <w:tblLook w:val="04A0" w:firstRow="1" w:lastRow="0" w:firstColumn="1" w:lastColumn="0" w:noHBand="0" w:noVBand="1"/>
      </w:tblPr>
      <w:tblGrid>
        <w:gridCol w:w="1955"/>
        <w:gridCol w:w="1344"/>
        <w:gridCol w:w="1148"/>
        <w:gridCol w:w="978"/>
        <w:gridCol w:w="1276"/>
        <w:gridCol w:w="992"/>
        <w:gridCol w:w="992"/>
        <w:gridCol w:w="1142"/>
        <w:gridCol w:w="687"/>
      </w:tblGrid>
      <w:tr w:rsidR="00A47DEE" w:rsidRPr="00F468F7" w14:paraId="00FF61E2" w14:textId="77777777" w:rsidTr="00EE0E23">
        <w:trPr>
          <w:cnfStyle w:val="100000000000" w:firstRow="1" w:lastRow="0" w:firstColumn="0" w:lastColumn="0" w:oddVBand="0" w:evenVBand="0" w:oddHBand="0" w:evenHBand="0" w:firstRowFirstColumn="0" w:firstRowLastColumn="0" w:lastRowFirstColumn="0" w:lastRowLastColumn="0"/>
          <w:trHeight w:val="398"/>
          <w:jc w:val="center"/>
        </w:trPr>
        <w:tc>
          <w:tcPr>
            <w:cnfStyle w:val="001000000000" w:firstRow="0" w:lastRow="0" w:firstColumn="1" w:lastColumn="0" w:oddVBand="0" w:evenVBand="0" w:oddHBand="0" w:evenHBand="0" w:firstRowFirstColumn="0" w:firstRowLastColumn="0" w:lastRowFirstColumn="0" w:lastRowLastColumn="0"/>
            <w:tcW w:w="1955" w:type="dxa"/>
            <w:hideMark/>
          </w:tcPr>
          <w:p w14:paraId="3492F420" w14:textId="77777777" w:rsidR="00A47DEE" w:rsidRPr="00F468F7" w:rsidRDefault="00A47DEE" w:rsidP="00EE0E23">
            <w:pPr>
              <w:jc w:val="center"/>
              <w:rPr>
                <w:rFonts w:eastAsia="Times New Roman" w:cstheme="minorHAnsi"/>
                <w:b w:val="0"/>
                <w:bCs w:val="0"/>
                <w:color w:val="000000"/>
                <w:sz w:val="20"/>
                <w:szCs w:val="20"/>
              </w:rPr>
            </w:pPr>
            <w:r w:rsidRPr="00F468F7">
              <w:rPr>
                <w:rFonts w:eastAsia="Times New Roman" w:cstheme="minorHAnsi"/>
                <w:b w:val="0"/>
                <w:bCs w:val="0"/>
                <w:color w:val="000000"/>
                <w:sz w:val="20"/>
                <w:szCs w:val="20"/>
              </w:rPr>
              <w:t>Unités 'exposition</w:t>
            </w:r>
          </w:p>
        </w:tc>
        <w:tc>
          <w:tcPr>
            <w:tcW w:w="1344" w:type="dxa"/>
            <w:hideMark/>
          </w:tcPr>
          <w:p w14:paraId="04AC4366"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Sècheresses</w:t>
            </w:r>
          </w:p>
        </w:tc>
        <w:tc>
          <w:tcPr>
            <w:tcW w:w="1148" w:type="dxa"/>
            <w:hideMark/>
          </w:tcPr>
          <w:p w14:paraId="5FA25660"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Pluies diluviennes</w:t>
            </w:r>
          </w:p>
        </w:tc>
        <w:tc>
          <w:tcPr>
            <w:tcW w:w="978" w:type="dxa"/>
            <w:hideMark/>
          </w:tcPr>
          <w:p w14:paraId="71D89529"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Pluies tardives</w:t>
            </w:r>
          </w:p>
        </w:tc>
        <w:tc>
          <w:tcPr>
            <w:tcW w:w="1276" w:type="dxa"/>
            <w:hideMark/>
          </w:tcPr>
          <w:p w14:paraId="1CDF4281"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Inondations</w:t>
            </w:r>
          </w:p>
        </w:tc>
        <w:tc>
          <w:tcPr>
            <w:tcW w:w="992" w:type="dxa"/>
            <w:hideMark/>
          </w:tcPr>
          <w:p w14:paraId="3C070509"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Vagues de chaleur</w:t>
            </w:r>
          </w:p>
        </w:tc>
        <w:tc>
          <w:tcPr>
            <w:tcW w:w="992" w:type="dxa"/>
            <w:hideMark/>
          </w:tcPr>
          <w:p w14:paraId="7459109E"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 xml:space="preserve">Vents violents </w:t>
            </w:r>
          </w:p>
        </w:tc>
        <w:tc>
          <w:tcPr>
            <w:tcW w:w="1142" w:type="dxa"/>
            <w:hideMark/>
          </w:tcPr>
          <w:p w14:paraId="17DF8240"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Indice d’exposition</w:t>
            </w:r>
          </w:p>
        </w:tc>
        <w:tc>
          <w:tcPr>
            <w:tcW w:w="687" w:type="dxa"/>
            <w:hideMark/>
          </w:tcPr>
          <w:p w14:paraId="749486AC"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rPr>
            </w:pPr>
            <w:r w:rsidRPr="00F468F7">
              <w:rPr>
                <w:rFonts w:eastAsia="Times New Roman" w:cstheme="minorHAnsi"/>
                <w:b w:val="0"/>
                <w:bCs w:val="0"/>
                <w:color w:val="000000"/>
                <w:sz w:val="20"/>
                <w:szCs w:val="20"/>
              </w:rPr>
              <w:t>Rang</w:t>
            </w:r>
          </w:p>
        </w:tc>
      </w:tr>
      <w:tr w:rsidR="00A47DEE" w:rsidRPr="00F468F7" w14:paraId="23401F80" w14:textId="77777777" w:rsidTr="00EE0E23">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1955" w:type="dxa"/>
            <w:hideMark/>
          </w:tcPr>
          <w:p w14:paraId="605AD612" w14:textId="77777777" w:rsidR="00A47DEE" w:rsidRPr="00F468F7" w:rsidRDefault="00A47DEE" w:rsidP="00EE0E23">
            <w:pPr>
              <w:rPr>
                <w:rFonts w:eastAsia="Times New Roman" w:cstheme="minorHAnsi"/>
                <w:b w:val="0"/>
                <w:bCs w:val="0"/>
                <w:color w:val="000000"/>
                <w:sz w:val="20"/>
                <w:szCs w:val="20"/>
              </w:rPr>
            </w:pPr>
            <w:r w:rsidRPr="00F468F7">
              <w:rPr>
                <w:rFonts w:eastAsia="Times New Roman" w:cstheme="minorHAnsi"/>
                <w:b w:val="0"/>
                <w:bCs w:val="0"/>
                <w:color w:val="000000"/>
                <w:sz w:val="20"/>
                <w:szCs w:val="20"/>
              </w:rPr>
              <w:t>Cultures pluviales</w:t>
            </w:r>
          </w:p>
        </w:tc>
        <w:tc>
          <w:tcPr>
            <w:tcW w:w="1344" w:type="dxa"/>
            <w:hideMark/>
          </w:tcPr>
          <w:p w14:paraId="17D34882"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5</w:t>
            </w:r>
          </w:p>
        </w:tc>
        <w:tc>
          <w:tcPr>
            <w:tcW w:w="1148" w:type="dxa"/>
            <w:hideMark/>
          </w:tcPr>
          <w:p w14:paraId="1F916B9C"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978" w:type="dxa"/>
            <w:hideMark/>
          </w:tcPr>
          <w:p w14:paraId="28DA04FB"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4</w:t>
            </w:r>
          </w:p>
        </w:tc>
        <w:tc>
          <w:tcPr>
            <w:tcW w:w="1276" w:type="dxa"/>
            <w:hideMark/>
          </w:tcPr>
          <w:p w14:paraId="4EFDEBB2"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4</w:t>
            </w:r>
          </w:p>
        </w:tc>
        <w:tc>
          <w:tcPr>
            <w:tcW w:w="992" w:type="dxa"/>
            <w:hideMark/>
          </w:tcPr>
          <w:p w14:paraId="7E47F5AF"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4</w:t>
            </w:r>
          </w:p>
        </w:tc>
        <w:tc>
          <w:tcPr>
            <w:tcW w:w="992" w:type="dxa"/>
            <w:hideMark/>
          </w:tcPr>
          <w:p w14:paraId="29A93B9A"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1142" w:type="dxa"/>
            <w:hideMark/>
          </w:tcPr>
          <w:p w14:paraId="5C6054B1"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23</w:t>
            </w:r>
          </w:p>
        </w:tc>
        <w:tc>
          <w:tcPr>
            <w:tcW w:w="687" w:type="dxa"/>
            <w:hideMark/>
          </w:tcPr>
          <w:p w14:paraId="769DEAA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1</w:t>
            </w:r>
            <w:r w:rsidRPr="00F468F7">
              <w:rPr>
                <w:rFonts w:eastAsia="Times New Roman" w:cstheme="minorHAnsi"/>
                <w:b/>
                <w:bCs/>
                <w:color w:val="000000"/>
                <w:sz w:val="20"/>
                <w:szCs w:val="20"/>
                <w:vertAlign w:val="superscript"/>
              </w:rPr>
              <w:t>ème</w:t>
            </w:r>
          </w:p>
        </w:tc>
      </w:tr>
      <w:tr w:rsidR="00A47DEE" w:rsidRPr="00F468F7" w14:paraId="30CA3F00" w14:textId="77777777" w:rsidTr="00EE0E23">
        <w:trPr>
          <w:trHeight w:val="286"/>
          <w:jc w:val="center"/>
        </w:trPr>
        <w:tc>
          <w:tcPr>
            <w:cnfStyle w:val="001000000000" w:firstRow="0" w:lastRow="0" w:firstColumn="1" w:lastColumn="0" w:oddVBand="0" w:evenVBand="0" w:oddHBand="0" w:evenHBand="0" w:firstRowFirstColumn="0" w:firstRowLastColumn="0" w:lastRowFirstColumn="0" w:lastRowLastColumn="0"/>
            <w:tcW w:w="1955" w:type="dxa"/>
            <w:hideMark/>
          </w:tcPr>
          <w:p w14:paraId="6E053DB3" w14:textId="77777777" w:rsidR="00A47DEE" w:rsidRPr="00F468F7" w:rsidRDefault="00A47DEE" w:rsidP="00EE0E23">
            <w:pPr>
              <w:rPr>
                <w:rFonts w:eastAsia="Times New Roman" w:cstheme="minorHAnsi"/>
                <w:b w:val="0"/>
                <w:bCs w:val="0"/>
                <w:color w:val="000000"/>
                <w:sz w:val="20"/>
                <w:szCs w:val="20"/>
              </w:rPr>
            </w:pPr>
            <w:r w:rsidRPr="00F468F7">
              <w:rPr>
                <w:rFonts w:eastAsia="Times New Roman" w:cstheme="minorHAnsi"/>
                <w:b w:val="0"/>
                <w:bCs w:val="0"/>
                <w:color w:val="000000"/>
                <w:sz w:val="20"/>
                <w:szCs w:val="20"/>
              </w:rPr>
              <w:t>Cultures irriguées</w:t>
            </w:r>
          </w:p>
        </w:tc>
        <w:tc>
          <w:tcPr>
            <w:tcW w:w="1344" w:type="dxa"/>
            <w:hideMark/>
          </w:tcPr>
          <w:p w14:paraId="5A1CF1D0"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1148" w:type="dxa"/>
            <w:hideMark/>
          </w:tcPr>
          <w:p w14:paraId="2375A715"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978" w:type="dxa"/>
            <w:hideMark/>
          </w:tcPr>
          <w:p w14:paraId="7397A765"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2</w:t>
            </w:r>
          </w:p>
        </w:tc>
        <w:tc>
          <w:tcPr>
            <w:tcW w:w="1276" w:type="dxa"/>
            <w:hideMark/>
          </w:tcPr>
          <w:p w14:paraId="1BFDB492"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4</w:t>
            </w:r>
          </w:p>
        </w:tc>
        <w:tc>
          <w:tcPr>
            <w:tcW w:w="992" w:type="dxa"/>
            <w:hideMark/>
          </w:tcPr>
          <w:p w14:paraId="6F0507A6"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4</w:t>
            </w:r>
          </w:p>
        </w:tc>
        <w:tc>
          <w:tcPr>
            <w:tcW w:w="992" w:type="dxa"/>
            <w:hideMark/>
          </w:tcPr>
          <w:p w14:paraId="2F035781"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1142" w:type="dxa"/>
            <w:hideMark/>
          </w:tcPr>
          <w:p w14:paraId="2E40AE6E"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19</w:t>
            </w:r>
          </w:p>
        </w:tc>
        <w:tc>
          <w:tcPr>
            <w:tcW w:w="687" w:type="dxa"/>
            <w:hideMark/>
          </w:tcPr>
          <w:p w14:paraId="02707F24"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2</w:t>
            </w:r>
            <w:r w:rsidRPr="00F468F7">
              <w:rPr>
                <w:rFonts w:eastAsia="Times New Roman" w:cstheme="minorHAnsi"/>
                <w:b/>
                <w:bCs/>
                <w:color w:val="000000"/>
                <w:sz w:val="20"/>
                <w:szCs w:val="20"/>
                <w:vertAlign w:val="superscript"/>
              </w:rPr>
              <w:t>ème</w:t>
            </w:r>
          </w:p>
        </w:tc>
      </w:tr>
      <w:tr w:rsidR="00A47DEE" w:rsidRPr="00F468F7" w14:paraId="7223D472" w14:textId="77777777" w:rsidTr="00EE0E23">
        <w:trPr>
          <w:cnfStyle w:val="000000100000" w:firstRow="0" w:lastRow="0" w:firstColumn="0" w:lastColumn="0" w:oddVBand="0" w:evenVBand="0" w:oddHBand="1"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1955" w:type="dxa"/>
            <w:hideMark/>
          </w:tcPr>
          <w:p w14:paraId="59DFC24F" w14:textId="77777777" w:rsidR="00A47DEE" w:rsidRPr="00F468F7" w:rsidRDefault="00A47DEE" w:rsidP="00EE0E23">
            <w:pPr>
              <w:rPr>
                <w:rFonts w:eastAsia="Times New Roman" w:cstheme="minorHAnsi"/>
                <w:b w:val="0"/>
                <w:bCs w:val="0"/>
                <w:color w:val="000000"/>
                <w:sz w:val="20"/>
                <w:szCs w:val="20"/>
              </w:rPr>
            </w:pPr>
            <w:r w:rsidRPr="00F468F7">
              <w:rPr>
                <w:rFonts w:eastAsia="Times New Roman" w:cstheme="minorHAnsi"/>
                <w:b w:val="0"/>
                <w:bCs w:val="0"/>
                <w:color w:val="000000"/>
                <w:sz w:val="20"/>
                <w:szCs w:val="20"/>
              </w:rPr>
              <w:t>Eau agricole</w:t>
            </w:r>
          </w:p>
        </w:tc>
        <w:tc>
          <w:tcPr>
            <w:tcW w:w="1344" w:type="dxa"/>
            <w:hideMark/>
          </w:tcPr>
          <w:p w14:paraId="782E4356"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5</w:t>
            </w:r>
          </w:p>
        </w:tc>
        <w:tc>
          <w:tcPr>
            <w:tcW w:w="1148" w:type="dxa"/>
            <w:hideMark/>
          </w:tcPr>
          <w:p w14:paraId="21DA3700"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2</w:t>
            </w:r>
          </w:p>
        </w:tc>
        <w:tc>
          <w:tcPr>
            <w:tcW w:w="978" w:type="dxa"/>
            <w:hideMark/>
          </w:tcPr>
          <w:p w14:paraId="4B7CBF1C"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1276" w:type="dxa"/>
            <w:hideMark/>
          </w:tcPr>
          <w:p w14:paraId="0BBC7349"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2</w:t>
            </w:r>
          </w:p>
        </w:tc>
        <w:tc>
          <w:tcPr>
            <w:tcW w:w="992" w:type="dxa"/>
            <w:hideMark/>
          </w:tcPr>
          <w:p w14:paraId="579F7064"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4</w:t>
            </w:r>
          </w:p>
        </w:tc>
        <w:tc>
          <w:tcPr>
            <w:tcW w:w="992" w:type="dxa"/>
            <w:hideMark/>
          </w:tcPr>
          <w:p w14:paraId="1AA78100"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1142" w:type="dxa"/>
            <w:hideMark/>
          </w:tcPr>
          <w:p w14:paraId="270C9A3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19</w:t>
            </w:r>
          </w:p>
        </w:tc>
        <w:tc>
          <w:tcPr>
            <w:tcW w:w="687" w:type="dxa"/>
            <w:hideMark/>
          </w:tcPr>
          <w:p w14:paraId="2985192E"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3</w:t>
            </w:r>
            <w:r w:rsidRPr="00F468F7">
              <w:rPr>
                <w:rFonts w:eastAsia="Times New Roman" w:cstheme="minorHAnsi"/>
                <w:b/>
                <w:bCs/>
                <w:color w:val="000000"/>
                <w:sz w:val="20"/>
                <w:szCs w:val="20"/>
                <w:vertAlign w:val="superscript"/>
              </w:rPr>
              <w:t>ème</w:t>
            </w:r>
          </w:p>
        </w:tc>
      </w:tr>
      <w:tr w:rsidR="00A47DEE" w:rsidRPr="00F468F7" w14:paraId="1CFDDE57" w14:textId="77777777" w:rsidTr="00EE0E23">
        <w:trPr>
          <w:trHeight w:val="195"/>
          <w:jc w:val="center"/>
        </w:trPr>
        <w:tc>
          <w:tcPr>
            <w:cnfStyle w:val="001000000000" w:firstRow="0" w:lastRow="0" w:firstColumn="1" w:lastColumn="0" w:oddVBand="0" w:evenVBand="0" w:oddHBand="0" w:evenHBand="0" w:firstRowFirstColumn="0" w:firstRowLastColumn="0" w:lastRowFirstColumn="0" w:lastRowLastColumn="0"/>
            <w:tcW w:w="1955" w:type="dxa"/>
            <w:hideMark/>
          </w:tcPr>
          <w:p w14:paraId="639A1857" w14:textId="77777777" w:rsidR="00A47DEE" w:rsidRPr="00F468F7" w:rsidRDefault="00A47DEE" w:rsidP="00EE0E23">
            <w:pPr>
              <w:rPr>
                <w:rFonts w:eastAsia="Times New Roman" w:cstheme="minorHAnsi"/>
                <w:b w:val="0"/>
                <w:bCs w:val="0"/>
                <w:color w:val="000000"/>
                <w:sz w:val="20"/>
                <w:szCs w:val="20"/>
              </w:rPr>
            </w:pPr>
            <w:r w:rsidRPr="00F468F7">
              <w:rPr>
                <w:rFonts w:eastAsia="Times New Roman" w:cstheme="minorHAnsi"/>
                <w:b w:val="0"/>
                <w:bCs w:val="0"/>
                <w:color w:val="000000"/>
                <w:sz w:val="20"/>
                <w:szCs w:val="20"/>
              </w:rPr>
              <w:t xml:space="preserve">Sol </w:t>
            </w:r>
          </w:p>
        </w:tc>
        <w:tc>
          <w:tcPr>
            <w:tcW w:w="1344" w:type="dxa"/>
            <w:hideMark/>
          </w:tcPr>
          <w:p w14:paraId="29A4B66C"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1148" w:type="dxa"/>
            <w:hideMark/>
          </w:tcPr>
          <w:p w14:paraId="2EF70788"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978" w:type="dxa"/>
            <w:hideMark/>
          </w:tcPr>
          <w:p w14:paraId="55E8AC05"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1</w:t>
            </w:r>
          </w:p>
        </w:tc>
        <w:tc>
          <w:tcPr>
            <w:tcW w:w="1276" w:type="dxa"/>
            <w:hideMark/>
          </w:tcPr>
          <w:p w14:paraId="5A1C1DD2"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5</w:t>
            </w:r>
          </w:p>
        </w:tc>
        <w:tc>
          <w:tcPr>
            <w:tcW w:w="992" w:type="dxa"/>
            <w:hideMark/>
          </w:tcPr>
          <w:p w14:paraId="03B0F19C"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2</w:t>
            </w:r>
          </w:p>
        </w:tc>
        <w:tc>
          <w:tcPr>
            <w:tcW w:w="992" w:type="dxa"/>
            <w:hideMark/>
          </w:tcPr>
          <w:p w14:paraId="3631ABDD"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4</w:t>
            </w:r>
          </w:p>
        </w:tc>
        <w:tc>
          <w:tcPr>
            <w:tcW w:w="1142" w:type="dxa"/>
            <w:hideMark/>
          </w:tcPr>
          <w:p w14:paraId="2A9B0DFC"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18</w:t>
            </w:r>
          </w:p>
        </w:tc>
        <w:tc>
          <w:tcPr>
            <w:tcW w:w="687" w:type="dxa"/>
            <w:hideMark/>
          </w:tcPr>
          <w:p w14:paraId="19744814"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 xml:space="preserve">4 </w:t>
            </w:r>
            <w:proofErr w:type="spellStart"/>
            <w:r w:rsidRPr="00F468F7">
              <w:rPr>
                <w:rFonts w:eastAsia="Times New Roman" w:cstheme="minorHAnsi"/>
                <w:b/>
                <w:bCs/>
                <w:color w:val="000000"/>
                <w:sz w:val="20"/>
                <w:szCs w:val="20"/>
                <w:vertAlign w:val="superscript"/>
              </w:rPr>
              <w:t>éme</w:t>
            </w:r>
            <w:proofErr w:type="spellEnd"/>
          </w:p>
        </w:tc>
      </w:tr>
      <w:tr w:rsidR="00A47DEE" w:rsidRPr="00F468F7" w14:paraId="43D7ED02" w14:textId="77777777" w:rsidTr="00EE0E23">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1955" w:type="dxa"/>
            <w:hideMark/>
          </w:tcPr>
          <w:p w14:paraId="5247767D" w14:textId="77777777" w:rsidR="00A47DEE" w:rsidRPr="00F468F7" w:rsidRDefault="00A47DEE" w:rsidP="00EE0E23">
            <w:pPr>
              <w:rPr>
                <w:rFonts w:eastAsia="Times New Roman" w:cstheme="minorHAnsi"/>
                <w:b w:val="0"/>
                <w:bCs w:val="0"/>
                <w:color w:val="000000"/>
                <w:sz w:val="20"/>
                <w:szCs w:val="20"/>
              </w:rPr>
            </w:pPr>
            <w:r w:rsidRPr="00F468F7">
              <w:rPr>
                <w:rFonts w:eastAsia="Times New Roman" w:cstheme="minorHAnsi"/>
                <w:b w:val="0"/>
                <w:bCs w:val="0"/>
                <w:color w:val="000000"/>
                <w:sz w:val="20"/>
                <w:szCs w:val="20"/>
              </w:rPr>
              <w:t>Agriculteurs</w:t>
            </w:r>
          </w:p>
        </w:tc>
        <w:tc>
          <w:tcPr>
            <w:tcW w:w="1344" w:type="dxa"/>
            <w:hideMark/>
          </w:tcPr>
          <w:p w14:paraId="1A996CCF"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5</w:t>
            </w:r>
          </w:p>
        </w:tc>
        <w:tc>
          <w:tcPr>
            <w:tcW w:w="1148" w:type="dxa"/>
            <w:hideMark/>
          </w:tcPr>
          <w:p w14:paraId="0AEFFB0C"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2</w:t>
            </w:r>
          </w:p>
        </w:tc>
        <w:tc>
          <w:tcPr>
            <w:tcW w:w="978" w:type="dxa"/>
            <w:hideMark/>
          </w:tcPr>
          <w:p w14:paraId="337EB787"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2</w:t>
            </w:r>
          </w:p>
        </w:tc>
        <w:tc>
          <w:tcPr>
            <w:tcW w:w="1276" w:type="dxa"/>
            <w:hideMark/>
          </w:tcPr>
          <w:p w14:paraId="1F538A6A"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992" w:type="dxa"/>
            <w:hideMark/>
          </w:tcPr>
          <w:p w14:paraId="62F1CC36"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3</w:t>
            </w:r>
          </w:p>
        </w:tc>
        <w:tc>
          <w:tcPr>
            <w:tcW w:w="992" w:type="dxa"/>
            <w:hideMark/>
          </w:tcPr>
          <w:p w14:paraId="71342D4C"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2</w:t>
            </w:r>
          </w:p>
        </w:tc>
        <w:tc>
          <w:tcPr>
            <w:tcW w:w="1142" w:type="dxa"/>
            <w:hideMark/>
          </w:tcPr>
          <w:p w14:paraId="79BABC36"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17</w:t>
            </w:r>
          </w:p>
        </w:tc>
        <w:tc>
          <w:tcPr>
            <w:tcW w:w="687" w:type="dxa"/>
            <w:hideMark/>
          </w:tcPr>
          <w:p w14:paraId="0BD34A59"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 xml:space="preserve">5 </w:t>
            </w:r>
            <w:proofErr w:type="spellStart"/>
            <w:r w:rsidRPr="00F468F7">
              <w:rPr>
                <w:rFonts w:eastAsia="Times New Roman" w:cstheme="minorHAnsi"/>
                <w:b/>
                <w:bCs/>
                <w:color w:val="000000"/>
                <w:sz w:val="20"/>
                <w:szCs w:val="20"/>
                <w:vertAlign w:val="superscript"/>
              </w:rPr>
              <w:t>éme</w:t>
            </w:r>
            <w:proofErr w:type="spellEnd"/>
          </w:p>
        </w:tc>
      </w:tr>
      <w:tr w:rsidR="00A47DEE" w:rsidRPr="00F468F7" w14:paraId="14260FD7" w14:textId="77777777" w:rsidTr="00EE0E23">
        <w:trPr>
          <w:trHeight w:val="139"/>
          <w:jc w:val="center"/>
        </w:trPr>
        <w:tc>
          <w:tcPr>
            <w:cnfStyle w:val="001000000000" w:firstRow="0" w:lastRow="0" w:firstColumn="1" w:lastColumn="0" w:oddVBand="0" w:evenVBand="0" w:oddHBand="0" w:evenHBand="0" w:firstRowFirstColumn="0" w:firstRowLastColumn="0" w:lastRowFirstColumn="0" w:lastRowLastColumn="0"/>
            <w:tcW w:w="1955" w:type="dxa"/>
            <w:hideMark/>
          </w:tcPr>
          <w:p w14:paraId="4DAC33CD" w14:textId="77777777" w:rsidR="00A47DEE" w:rsidRPr="00F468F7" w:rsidRDefault="00A47DEE" w:rsidP="00EE0E23">
            <w:pPr>
              <w:rPr>
                <w:rFonts w:eastAsia="Times New Roman" w:cstheme="minorHAnsi"/>
                <w:b w:val="0"/>
                <w:bCs w:val="0"/>
                <w:sz w:val="20"/>
                <w:szCs w:val="20"/>
              </w:rPr>
            </w:pPr>
            <w:r w:rsidRPr="00F468F7">
              <w:rPr>
                <w:rFonts w:eastAsia="Times New Roman" w:cstheme="minorHAnsi"/>
                <w:b w:val="0"/>
                <w:bCs w:val="0"/>
                <w:sz w:val="20"/>
                <w:szCs w:val="20"/>
              </w:rPr>
              <w:t>Infrastructures agricoles</w:t>
            </w:r>
          </w:p>
        </w:tc>
        <w:tc>
          <w:tcPr>
            <w:tcW w:w="1344" w:type="dxa"/>
            <w:hideMark/>
          </w:tcPr>
          <w:p w14:paraId="624C23A6"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w:t>
            </w:r>
          </w:p>
        </w:tc>
        <w:tc>
          <w:tcPr>
            <w:tcW w:w="1148" w:type="dxa"/>
            <w:hideMark/>
          </w:tcPr>
          <w:p w14:paraId="1E0091E4"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978" w:type="dxa"/>
            <w:hideMark/>
          </w:tcPr>
          <w:p w14:paraId="16E9919A"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c>
          <w:tcPr>
            <w:tcW w:w="1276" w:type="dxa"/>
            <w:hideMark/>
          </w:tcPr>
          <w:p w14:paraId="19837626"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992" w:type="dxa"/>
            <w:hideMark/>
          </w:tcPr>
          <w:p w14:paraId="635841EE"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c>
          <w:tcPr>
            <w:tcW w:w="992" w:type="dxa"/>
            <w:hideMark/>
          </w:tcPr>
          <w:p w14:paraId="4BE63528"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142" w:type="dxa"/>
            <w:hideMark/>
          </w:tcPr>
          <w:p w14:paraId="5992165F"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16</w:t>
            </w:r>
          </w:p>
        </w:tc>
        <w:tc>
          <w:tcPr>
            <w:tcW w:w="687" w:type="dxa"/>
            <w:hideMark/>
          </w:tcPr>
          <w:p w14:paraId="5471285B"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F468F7">
              <w:rPr>
                <w:rFonts w:eastAsia="Times New Roman" w:cstheme="minorHAnsi"/>
                <w:b/>
                <w:bCs/>
                <w:sz w:val="20"/>
                <w:szCs w:val="20"/>
              </w:rPr>
              <w:t>6</w:t>
            </w:r>
            <w:r w:rsidRPr="00F468F7">
              <w:rPr>
                <w:rFonts w:eastAsia="Times New Roman" w:cstheme="minorHAnsi"/>
                <w:b/>
                <w:bCs/>
                <w:sz w:val="20"/>
                <w:szCs w:val="20"/>
                <w:vertAlign w:val="superscript"/>
              </w:rPr>
              <w:t>éme</w:t>
            </w:r>
          </w:p>
        </w:tc>
      </w:tr>
      <w:tr w:rsidR="00A47DEE" w:rsidRPr="00F468F7" w14:paraId="6806B245" w14:textId="77777777" w:rsidTr="00EE0E23">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133A6A59" w14:textId="77777777" w:rsidR="00A47DEE" w:rsidRPr="00F468F7" w:rsidRDefault="00A47DEE" w:rsidP="00EE0E23">
            <w:pPr>
              <w:rPr>
                <w:rFonts w:eastAsia="Times New Roman" w:cstheme="minorHAnsi"/>
                <w:color w:val="000000"/>
                <w:sz w:val="20"/>
                <w:szCs w:val="20"/>
              </w:rPr>
            </w:pPr>
            <w:r w:rsidRPr="00F468F7">
              <w:rPr>
                <w:rFonts w:eastAsia="Times New Roman" w:cstheme="minorHAnsi"/>
                <w:color w:val="000000"/>
                <w:sz w:val="20"/>
                <w:szCs w:val="20"/>
              </w:rPr>
              <w:t>Indice d’impact</w:t>
            </w:r>
          </w:p>
        </w:tc>
        <w:tc>
          <w:tcPr>
            <w:tcW w:w="1344" w:type="dxa"/>
            <w:hideMark/>
          </w:tcPr>
          <w:p w14:paraId="430E977F"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22</w:t>
            </w:r>
          </w:p>
        </w:tc>
        <w:tc>
          <w:tcPr>
            <w:tcW w:w="1148" w:type="dxa"/>
            <w:hideMark/>
          </w:tcPr>
          <w:p w14:paraId="21D6C1B3"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17</w:t>
            </w:r>
          </w:p>
        </w:tc>
        <w:tc>
          <w:tcPr>
            <w:tcW w:w="978" w:type="dxa"/>
            <w:hideMark/>
          </w:tcPr>
          <w:p w14:paraId="46D1AC5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14</w:t>
            </w:r>
          </w:p>
        </w:tc>
        <w:tc>
          <w:tcPr>
            <w:tcW w:w="1276" w:type="dxa"/>
            <w:hideMark/>
          </w:tcPr>
          <w:p w14:paraId="74CD8E46"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21</w:t>
            </w:r>
          </w:p>
        </w:tc>
        <w:tc>
          <w:tcPr>
            <w:tcW w:w="992" w:type="dxa"/>
            <w:hideMark/>
          </w:tcPr>
          <w:p w14:paraId="0CD7F943"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19</w:t>
            </w:r>
          </w:p>
        </w:tc>
        <w:tc>
          <w:tcPr>
            <w:tcW w:w="992" w:type="dxa"/>
            <w:hideMark/>
          </w:tcPr>
          <w:p w14:paraId="54822D1F"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rPr>
            </w:pPr>
            <w:r w:rsidRPr="00F468F7">
              <w:rPr>
                <w:rFonts w:eastAsia="Times New Roman" w:cstheme="minorHAnsi"/>
                <w:b/>
                <w:bCs/>
                <w:color w:val="000000"/>
                <w:sz w:val="20"/>
                <w:szCs w:val="20"/>
              </w:rPr>
              <w:t>19</w:t>
            </w:r>
          </w:p>
        </w:tc>
        <w:tc>
          <w:tcPr>
            <w:tcW w:w="1142" w:type="dxa"/>
            <w:hideMark/>
          </w:tcPr>
          <w:p w14:paraId="2109D76E"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 </w:t>
            </w:r>
          </w:p>
        </w:tc>
        <w:tc>
          <w:tcPr>
            <w:tcW w:w="687" w:type="dxa"/>
            <w:hideMark/>
          </w:tcPr>
          <w:p w14:paraId="119A5049"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F468F7">
              <w:rPr>
                <w:rFonts w:eastAsia="Times New Roman" w:cstheme="minorHAnsi"/>
                <w:color w:val="000000"/>
                <w:sz w:val="20"/>
                <w:szCs w:val="20"/>
              </w:rPr>
              <w:t> </w:t>
            </w:r>
          </w:p>
        </w:tc>
      </w:tr>
    </w:tbl>
    <w:p w14:paraId="63F1F248" w14:textId="77777777" w:rsidR="00A47DEE" w:rsidRPr="00F468F7" w:rsidRDefault="00A47DEE" w:rsidP="00A47DEE">
      <w:pPr>
        <w:pStyle w:val="Paragraphedeliste"/>
        <w:widowControl w:val="0"/>
        <w:autoSpaceDE w:val="0"/>
        <w:autoSpaceDN w:val="0"/>
        <w:adjustRightInd w:val="0"/>
        <w:spacing w:after="0" w:line="240" w:lineRule="auto"/>
        <w:ind w:left="740" w:right="-21"/>
        <w:rPr>
          <w:rFonts w:eastAsia="Times New Roman" w:cstheme="minorHAnsi"/>
          <w:color w:val="000000"/>
        </w:rPr>
      </w:pPr>
    </w:p>
    <w:p w14:paraId="53E89F9A" w14:textId="77777777" w:rsidR="00A47DEE" w:rsidRPr="00F468F7" w:rsidRDefault="00A47DEE" w:rsidP="00A47DEE">
      <w:pPr>
        <w:pStyle w:val="Paragraphedeliste"/>
        <w:widowControl w:val="0"/>
        <w:numPr>
          <w:ilvl w:val="0"/>
          <w:numId w:val="33"/>
        </w:numPr>
        <w:shd w:val="clear" w:color="auto" w:fill="F2F2F2" w:themeFill="background1" w:themeFillShade="F2"/>
        <w:autoSpaceDE w:val="0"/>
        <w:autoSpaceDN w:val="0"/>
        <w:adjustRightInd w:val="0"/>
        <w:spacing w:after="0" w:line="240" w:lineRule="auto"/>
        <w:ind w:right="-21"/>
        <w:jc w:val="both"/>
        <w:rPr>
          <w:rFonts w:eastAsia="Times New Roman" w:cstheme="minorHAnsi"/>
          <w:color w:val="000000"/>
        </w:rPr>
      </w:pPr>
      <w:r w:rsidRPr="00F468F7">
        <w:rPr>
          <w:rFonts w:eastAsia="Times New Roman" w:cstheme="minorHAnsi"/>
          <w:color w:val="000000"/>
        </w:rPr>
        <w:t>L’indice d’impact : somme des impacts d’un risque climatique sur les unités d’exposition (permet de hiérarchiser les risques climatiques),</w:t>
      </w:r>
    </w:p>
    <w:p w14:paraId="1E3FC2EB" w14:textId="77777777" w:rsidR="00A47DEE" w:rsidRPr="00F468F7" w:rsidRDefault="00A47DEE" w:rsidP="00A47DEE">
      <w:pPr>
        <w:pStyle w:val="Paragraphedeliste"/>
        <w:widowControl w:val="0"/>
        <w:numPr>
          <w:ilvl w:val="0"/>
          <w:numId w:val="33"/>
        </w:numPr>
        <w:shd w:val="clear" w:color="auto" w:fill="F2F2F2" w:themeFill="background1" w:themeFillShade="F2"/>
        <w:autoSpaceDE w:val="0"/>
        <w:autoSpaceDN w:val="0"/>
        <w:adjustRightInd w:val="0"/>
        <w:spacing w:after="0" w:line="240" w:lineRule="auto"/>
        <w:ind w:right="-21"/>
        <w:jc w:val="both"/>
        <w:rPr>
          <w:rFonts w:eastAsia="Times New Roman" w:cstheme="minorHAnsi"/>
          <w:color w:val="000000"/>
        </w:rPr>
      </w:pPr>
      <w:r w:rsidRPr="00F468F7">
        <w:rPr>
          <w:rFonts w:eastAsia="Times New Roman" w:cstheme="minorHAnsi"/>
          <w:color w:val="000000"/>
        </w:rPr>
        <w:t>L’indice d’exposition : somme des impacts des risques climatiques sur une unité d’exposition (permet de déterminer l’unité la plus exposé</w:t>
      </w:r>
      <w:r w:rsidRPr="00F468F7">
        <w:rPr>
          <w:rFonts w:eastAsia="Times New Roman" w:cstheme="minorHAnsi"/>
          <w:color w:val="FF0000"/>
        </w:rPr>
        <w:t>e</w:t>
      </w:r>
      <w:r w:rsidRPr="00F468F7">
        <w:rPr>
          <w:rFonts w:eastAsia="Times New Roman" w:cstheme="minorHAnsi"/>
          <w:color w:val="000000"/>
        </w:rPr>
        <w:t xml:space="preserve"> aux risques climatiques),</w:t>
      </w:r>
    </w:p>
    <w:p w14:paraId="0F258166" w14:textId="77777777" w:rsidR="00A47DEE" w:rsidRPr="00F468F7" w:rsidRDefault="00A47DEE" w:rsidP="00A47DEE">
      <w:pPr>
        <w:pStyle w:val="Paragraphedeliste"/>
        <w:widowControl w:val="0"/>
        <w:numPr>
          <w:ilvl w:val="0"/>
          <w:numId w:val="33"/>
        </w:numPr>
        <w:shd w:val="clear" w:color="auto" w:fill="F2F2F2" w:themeFill="background1" w:themeFillShade="F2"/>
        <w:autoSpaceDE w:val="0"/>
        <w:autoSpaceDN w:val="0"/>
        <w:adjustRightInd w:val="0"/>
        <w:spacing w:after="0" w:line="240" w:lineRule="auto"/>
        <w:ind w:right="-21"/>
        <w:jc w:val="both"/>
        <w:rPr>
          <w:rFonts w:eastAsia="Times New Roman" w:cstheme="minorHAnsi"/>
          <w:color w:val="000000"/>
        </w:rPr>
      </w:pPr>
      <w:r w:rsidRPr="00F468F7">
        <w:rPr>
          <w:rFonts w:eastAsia="Times New Roman" w:cstheme="minorHAnsi"/>
          <w:color w:val="000000"/>
        </w:rPr>
        <w:t xml:space="preserve">Rang : permet de classer </w:t>
      </w:r>
      <w:proofErr w:type="gramStart"/>
      <w:r w:rsidRPr="00F468F7">
        <w:rPr>
          <w:rFonts w:eastAsia="Times New Roman" w:cstheme="minorHAnsi"/>
        </w:rPr>
        <w:t>les  unités</w:t>
      </w:r>
      <w:proofErr w:type="gramEnd"/>
      <w:r w:rsidRPr="00F468F7">
        <w:rPr>
          <w:rFonts w:eastAsia="Times New Roman" w:cstheme="minorHAnsi"/>
        </w:rPr>
        <w:t xml:space="preserve"> d'exposition </w:t>
      </w:r>
      <w:r w:rsidRPr="00F468F7">
        <w:rPr>
          <w:rFonts w:eastAsia="Times New Roman" w:cstheme="minorHAnsi"/>
          <w:color w:val="000000"/>
        </w:rPr>
        <w:t>impactées,</w:t>
      </w:r>
    </w:p>
    <w:p w14:paraId="2CE1D93B" w14:textId="77777777" w:rsidR="00A47DEE" w:rsidRPr="00F468F7" w:rsidRDefault="00A47DEE" w:rsidP="00A47DEE">
      <w:pPr>
        <w:pStyle w:val="Paragraphedeliste"/>
        <w:widowControl w:val="0"/>
        <w:numPr>
          <w:ilvl w:val="0"/>
          <w:numId w:val="33"/>
        </w:numPr>
        <w:shd w:val="clear" w:color="auto" w:fill="F2F2F2" w:themeFill="background1" w:themeFillShade="F2"/>
        <w:autoSpaceDE w:val="0"/>
        <w:autoSpaceDN w:val="0"/>
        <w:adjustRightInd w:val="0"/>
        <w:spacing w:after="0" w:line="240" w:lineRule="auto"/>
        <w:ind w:right="-21"/>
        <w:jc w:val="both"/>
        <w:rPr>
          <w:rFonts w:eastAsia="Times New Roman" w:cstheme="minorHAnsi"/>
          <w:color w:val="000000"/>
        </w:rPr>
      </w:pPr>
      <w:r w:rsidRPr="00F468F7">
        <w:rPr>
          <w:rFonts w:eastAsia="+mn-ea" w:cstheme="minorHAnsi"/>
          <w:b/>
          <w:bCs/>
          <w:color w:val="0000FF"/>
          <w:kern w:val="24"/>
          <w:szCs w:val="28"/>
        </w:rPr>
        <w:t>Le barème de notation de la sensibilité au risque climatique</w:t>
      </w:r>
      <w:r w:rsidRPr="00F468F7">
        <w:rPr>
          <w:rFonts w:eastAsia="+mn-ea" w:cstheme="minorHAnsi"/>
          <w:b/>
          <w:bCs/>
          <w:color w:val="FF0000"/>
          <w:kern w:val="24"/>
          <w:szCs w:val="28"/>
        </w:rPr>
        <w:t xml:space="preserve"> :  </w:t>
      </w:r>
      <w:proofErr w:type="gramStart"/>
      <w:r w:rsidRPr="00F468F7">
        <w:rPr>
          <w:rFonts w:eastAsia="+mn-ea" w:cstheme="minorHAnsi"/>
          <w:b/>
          <w:bCs/>
          <w:color w:val="FF0000"/>
          <w:kern w:val="24"/>
          <w:szCs w:val="28"/>
        </w:rPr>
        <w:t>0:</w:t>
      </w:r>
      <w:proofErr w:type="gramEnd"/>
      <w:r w:rsidRPr="00F468F7">
        <w:rPr>
          <w:rFonts w:eastAsia="+mn-ea" w:cstheme="minorHAnsi"/>
          <w:b/>
          <w:bCs/>
          <w:color w:val="FF0000"/>
          <w:kern w:val="24"/>
          <w:szCs w:val="28"/>
        </w:rPr>
        <w:t xml:space="preserve"> </w:t>
      </w:r>
      <w:r w:rsidRPr="00F468F7">
        <w:rPr>
          <w:rFonts w:eastAsia="+mn-ea" w:cstheme="minorHAnsi"/>
          <w:color w:val="000000"/>
          <w:kern w:val="24"/>
          <w:szCs w:val="28"/>
        </w:rPr>
        <w:t>le risque n’a pas d’influence sur l’unité d’exposition (ressource</w:t>
      </w:r>
      <w:r w:rsidRPr="00F468F7">
        <w:rPr>
          <w:rFonts w:eastAsia="+mn-ea" w:cstheme="minorHAnsi"/>
          <w:kern w:val="24"/>
          <w:szCs w:val="28"/>
        </w:rPr>
        <w:t>)</w:t>
      </w:r>
      <w:r w:rsidRPr="00F468F7">
        <w:rPr>
          <w:rFonts w:eastAsia="+mn-ea" w:cstheme="minorHAnsi"/>
          <w:b/>
          <w:bCs/>
          <w:color w:val="FF0000"/>
          <w:kern w:val="24"/>
          <w:szCs w:val="28"/>
        </w:rPr>
        <w:t xml:space="preserve"> 1</w:t>
      </w:r>
      <w:r w:rsidRPr="00F468F7">
        <w:rPr>
          <w:rFonts w:eastAsia="+mn-ea" w:cstheme="minorHAnsi"/>
          <w:color w:val="000000"/>
          <w:kern w:val="24"/>
          <w:szCs w:val="28"/>
        </w:rPr>
        <w:t xml:space="preserve"> : le risque a une influence faible sur l’unité d’exposition (ou la ressource) ; </w:t>
      </w:r>
      <w:r w:rsidRPr="00F468F7">
        <w:rPr>
          <w:rFonts w:eastAsia="+mn-ea" w:cstheme="minorHAnsi"/>
          <w:b/>
          <w:bCs/>
          <w:color w:val="FF0000"/>
          <w:kern w:val="24"/>
          <w:szCs w:val="28"/>
        </w:rPr>
        <w:t>2</w:t>
      </w:r>
      <w:r w:rsidRPr="00F468F7">
        <w:rPr>
          <w:rFonts w:eastAsia="+mn-ea" w:cstheme="minorHAnsi"/>
          <w:color w:val="000000"/>
          <w:kern w:val="24"/>
          <w:szCs w:val="28"/>
        </w:rPr>
        <w:t xml:space="preserve"> : Assez </w:t>
      </w:r>
      <w:proofErr w:type="gramStart"/>
      <w:r w:rsidRPr="00F468F7">
        <w:rPr>
          <w:rFonts w:eastAsia="+mn-ea" w:cstheme="minorHAnsi"/>
          <w:color w:val="000000"/>
          <w:kern w:val="24"/>
          <w:szCs w:val="28"/>
        </w:rPr>
        <w:t>faible;</w:t>
      </w:r>
      <w:proofErr w:type="gramEnd"/>
      <w:r w:rsidRPr="00F468F7">
        <w:rPr>
          <w:rFonts w:eastAsia="+mn-ea" w:cstheme="minorHAnsi"/>
          <w:color w:val="000000"/>
          <w:kern w:val="24"/>
          <w:szCs w:val="28"/>
        </w:rPr>
        <w:t xml:space="preserve"> </w:t>
      </w:r>
      <w:r w:rsidRPr="00F468F7">
        <w:rPr>
          <w:rFonts w:eastAsia="+mn-ea" w:cstheme="minorHAnsi"/>
          <w:b/>
          <w:bCs/>
          <w:color w:val="FF0000"/>
          <w:kern w:val="24"/>
          <w:szCs w:val="28"/>
        </w:rPr>
        <w:t xml:space="preserve">3 </w:t>
      </w:r>
      <w:r w:rsidRPr="00F468F7">
        <w:rPr>
          <w:rFonts w:eastAsia="+mn-ea" w:cstheme="minorHAnsi"/>
          <w:color w:val="000000"/>
          <w:kern w:val="24"/>
          <w:szCs w:val="28"/>
        </w:rPr>
        <w:t xml:space="preserve">: </w:t>
      </w:r>
      <w:proofErr w:type="gramStart"/>
      <w:r w:rsidRPr="00F468F7">
        <w:rPr>
          <w:rFonts w:eastAsia="+mn-ea" w:cstheme="minorHAnsi"/>
          <w:color w:val="000000"/>
          <w:kern w:val="24"/>
          <w:szCs w:val="28"/>
        </w:rPr>
        <w:t>Moyen</w:t>
      </w:r>
      <w:r w:rsidRPr="00F468F7">
        <w:rPr>
          <w:rFonts w:eastAsia="+mn-ea" w:cstheme="minorHAnsi"/>
          <w:strike/>
          <w:color w:val="FF0000"/>
          <w:kern w:val="24"/>
          <w:szCs w:val="28"/>
        </w:rPr>
        <w:t>ne</w:t>
      </w:r>
      <w:r w:rsidRPr="00F468F7">
        <w:rPr>
          <w:rFonts w:eastAsia="+mn-ea" w:cstheme="minorHAnsi"/>
          <w:b/>
          <w:bCs/>
          <w:color w:val="FF0000"/>
          <w:kern w:val="24"/>
          <w:szCs w:val="28"/>
        </w:rPr>
        <w:t>;</w:t>
      </w:r>
      <w:proofErr w:type="gramEnd"/>
      <w:r w:rsidRPr="00F468F7">
        <w:rPr>
          <w:rFonts w:eastAsia="+mn-ea" w:cstheme="minorHAnsi"/>
          <w:b/>
          <w:bCs/>
          <w:color w:val="FF0000"/>
          <w:kern w:val="24"/>
          <w:szCs w:val="28"/>
        </w:rPr>
        <w:t xml:space="preserve"> 4</w:t>
      </w:r>
      <w:r w:rsidRPr="00F468F7">
        <w:rPr>
          <w:rFonts w:eastAsia="+mn-ea" w:cstheme="minorHAnsi"/>
          <w:color w:val="000000"/>
          <w:kern w:val="24"/>
          <w:szCs w:val="28"/>
        </w:rPr>
        <w:t xml:space="preserve"> : Assez </w:t>
      </w:r>
      <w:proofErr w:type="gramStart"/>
      <w:r w:rsidRPr="00F468F7">
        <w:rPr>
          <w:rFonts w:eastAsia="+mn-ea" w:cstheme="minorHAnsi"/>
          <w:color w:val="000000"/>
          <w:kern w:val="24"/>
          <w:szCs w:val="28"/>
        </w:rPr>
        <w:t>fort</w:t>
      </w:r>
      <w:r w:rsidRPr="00F468F7">
        <w:rPr>
          <w:rFonts w:eastAsia="+mn-ea" w:cstheme="minorHAnsi"/>
          <w:strike/>
          <w:color w:val="FF0000"/>
          <w:kern w:val="24"/>
          <w:szCs w:val="28"/>
        </w:rPr>
        <w:t>e</w:t>
      </w:r>
      <w:r w:rsidRPr="00F468F7">
        <w:rPr>
          <w:rFonts w:eastAsia="+mn-ea" w:cstheme="minorHAnsi"/>
          <w:color w:val="000000"/>
          <w:kern w:val="24"/>
          <w:szCs w:val="28"/>
        </w:rPr>
        <w:t>;</w:t>
      </w:r>
      <w:proofErr w:type="gramEnd"/>
      <w:r w:rsidRPr="00F468F7">
        <w:rPr>
          <w:rFonts w:eastAsia="+mn-ea" w:cstheme="minorHAnsi"/>
          <w:color w:val="000000"/>
          <w:kern w:val="24"/>
          <w:szCs w:val="28"/>
        </w:rPr>
        <w:t xml:space="preserve"> </w:t>
      </w:r>
      <w:r w:rsidRPr="00F468F7">
        <w:rPr>
          <w:rFonts w:eastAsia="+mn-ea" w:cstheme="minorHAnsi"/>
          <w:b/>
          <w:bCs/>
          <w:color w:val="FF0000"/>
          <w:kern w:val="24"/>
          <w:szCs w:val="28"/>
        </w:rPr>
        <w:t>5</w:t>
      </w:r>
      <w:r w:rsidRPr="00F468F7">
        <w:rPr>
          <w:rFonts w:eastAsia="+mn-ea" w:cstheme="minorHAnsi"/>
          <w:color w:val="000000"/>
          <w:kern w:val="24"/>
          <w:szCs w:val="28"/>
        </w:rPr>
        <w:t xml:space="preserve"> : Fort</w:t>
      </w:r>
      <w:r w:rsidRPr="00F468F7">
        <w:rPr>
          <w:rFonts w:eastAsia="+mn-ea" w:cstheme="minorHAnsi"/>
          <w:strike/>
          <w:color w:val="FF0000"/>
          <w:kern w:val="24"/>
          <w:szCs w:val="28"/>
        </w:rPr>
        <w:t>e</w:t>
      </w:r>
      <w:r w:rsidRPr="00F468F7">
        <w:rPr>
          <w:rFonts w:eastAsia="+mn-ea" w:cstheme="minorHAnsi"/>
          <w:color w:val="000000"/>
          <w:kern w:val="24"/>
          <w:szCs w:val="28"/>
        </w:rPr>
        <w:t>.</w:t>
      </w:r>
    </w:p>
    <w:p w14:paraId="6F578898" w14:textId="77777777" w:rsidR="00A47DEE" w:rsidRPr="00F468F7" w:rsidRDefault="00A47DEE" w:rsidP="00A47DEE">
      <w:pPr>
        <w:rPr>
          <w:rFonts w:cstheme="minorHAnsi"/>
        </w:rPr>
        <w:sectPr w:rsidR="00A47DEE" w:rsidRPr="00F468F7" w:rsidSect="00A47DEE">
          <w:headerReference w:type="default" r:id="rId209"/>
          <w:footerReference w:type="default" r:id="rId210"/>
          <w:pgSz w:w="11906" w:h="16838"/>
          <w:pgMar w:top="1417" w:right="1417" w:bottom="1417" w:left="1417" w:header="708" w:footer="708" w:gutter="0"/>
          <w:cols w:space="720"/>
        </w:sectPr>
      </w:pPr>
    </w:p>
    <w:p w14:paraId="0C201919" w14:textId="77777777" w:rsidR="00A47DEE" w:rsidRPr="00F468F7" w:rsidRDefault="00A47DEE" w:rsidP="00A47DEE">
      <w:pPr>
        <w:spacing w:after="0"/>
        <w:ind w:hanging="142"/>
        <w:jc w:val="lowKashida"/>
        <w:rPr>
          <w:rFonts w:eastAsia="Calibri" w:cstheme="minorHAnsi"/>
          <w:iCs/>
          <w:color w:val="000000"/>
          <w:shd w:val="clear" w:color="auto" w:fill="FFFFFF"/>
        </w:rPr>
      </w:pPr>
    </w:p>
    <w:p w14:paraId="466F7A85" w14:textId="77777777" w:rsidR="00A47DEE" w:rsidRPr="00110ECC" w:rsidRDefault="00A47DEE" w:rsidP="00A47DEE">
      <w:pPr>
        <w:pStyle w:val="Paragraphedeliste"/>
        <w:keepNext/>
        <w:keepLines/>
        <w:numPr>
          <w:ilvl w:val="1"/>
          <w:numId w:val="387"/>
        </w:numPr>
        <w:shd w:val="clear" w:color="auto" w:fill="2E74B5" w:themeFill="accent5" w:themeFillShade="BF"/>
        <w:tabs>
          <w:tab w:val="left" w:pos="540"/>
          <w:tab w:val="left" w:pos="851"/>
          <w:tab w:val="left" w:pos="993"/>
          <w:tab w:val="left" w:pos="1134"/>
        </w:tabs>
        <w:spacing w:before="40" w:after="120" w:line="240" w:lineRule="auto"/>
        <w:jc w:val="both"/>
        <w:outlineLvl w:val="1"/>
        <w:rPr>
          <w:rFonts w:eastAsia="Times New Roman" w:cstheme="minorHAnsi"/>
          <w:b/>
          <w:bCs/>
          <w:color w:val="FFFFFF"/>
          <w:sz w:val="24"/>
          <w:szCs w:val="24"/>
        </w:rPr>
      </w:pPr>
      <w:r w:rsidRPr="00110ECC">
        <w:rPr>
          <w:rFonts w:eastAsia="Times New Roman" w:cstheme="minorHAnsi"/>
          <w:b/>
          <w:bCs/>
          <w:color w:val="FFFFFF"/>
          <w:sz w:val="24"/>
          <w:szCs w:val="24"/>
        </w:rPr>
        <w:t xml:space="preserve"> </w:t>
      </w:r>
      <w:bookmarkStart w:id="318" w:name="_Toc179577356"/>
      <w:r w:rsidRPr="00110ECC">
        <w:rPr>
          <w:rFonts w:eastAsia="Times New Roman" w:cstheme="minorHAnsi"/>
          <w:b/>
          <w:bCs/>
          <w:color w:val="FFFFFF"/>
          <w:sz w:val="24"/>
          <w:szCs w:val="24"/>
        </w:rPr>
        <w:t>Matrice d’impact pour le secteur agricole</w:t>
      </w:r>
      <w:bookmarkEnd w:id="318"/>
    </w:p>
    <w:tbl>
      <w:tblPr>
        <w:tblStyle w:val="Grilleclaire-Accent11"/>
        <w:tblW w:w="15421" w:type="dxa"/>
        <w:jc w:val="center"/>
        <w:tblBorders>
          <w:top w:val="single" w:sz="24" w:space="0" w:color="385623" w:themeColor="accent6" w:themeShade="80"/>
          <w:left w:val="single" w:sz="24" w:space="0" w:color="385623" w:themeColor="accent6" w:themeShade="80"/>
          <w:bottom w:val="single" w:sz="24" w:space="0" w:color="385623" w:themeColor="accent6" w:themeShade="80"/>
          <w:right w:val="single" w:sz="24" w:space="0" w:color="385623" w:themeColor="accent6" w:themeShade="80"/>
          <w:insideH w:val="single" w:sz="24" w:space="0" w:color="385623" w:themeColor="accent6" w:themeShade="80"/>
          <w:insideV w:val="single" w:sz="24" w:space="0" w:color="385623" w:themeColor="accent6" w:themeShade="80"/>
        </w:tblBorders>
        <w:tblLayout w:type="fixed"/>
        <w:tblLook w:val="04A0" w:firstRow="1" w:lastRow="0" w:firstColumn="1" w:lastColumn="0" w:noHBand="0" w:noVBand="1"/>
      </w:tblPr>
      <w:tblGrid>
        <w:gridCol w:w="1671"/>
        <w:gridCol w:w="2694"/>
        <w:gridCol w:w="2976"/>
        <w:gridCol w:w="2268"/>
        <w:gridCol w:w="2694"/>
        <w:gridCol w:w="3118"/>
      </w:tblGrid>
      <w:tr w:rsidR="00A47DEE" w:rsidRPr="00F468F7" w14:paraId="0941161E" w14:textId="77777777" w:rsidTr="00EE0E23">
        <w:trPr>
          <w:cnfStyle w:val="100000000000" w:firstRow="1" w:lastRow="0" w:firstColumn="0" w:lastColumn="0" w:oddVBand="0" w:evenVBand="0" w:oddHBand="0"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671" w:type="dxa"/>
            <w:vMerge w:val="restart"/>
            <w:tcBorders>
              <w:top w:val="none" w:sz="0" w:space="0" w:color="auto"/>
              <w:left w:val="none" w:sz="0" w:space="0" w:color="auto"/>
              <w:bottom w:val="none" w:sz="0" w:space="0" w:color="auto"/>
              <w:right w:val="none" w:sz="0" w:space="0" w:color="auto"/>
            </w:tcBorders>
            <w:shd w:val="clear" w:color="auto" w:fill="FBE4D5" w:themeFill="accent2" w:themeFillTint="33"/>
          </w:tcPr>
          <w:p w14:paraId="3DBC2120" w14:textId="77777777" w:rsidR="00A47DEE" w:rsidRPr="00F468F7" w:rsidRDefault="00A47DEE" w:rsidP="00EE0E23">
            <w:pPr>
              <w:spacing w:before="120" w:after="120"/>
              <w:jc w:val="center"/>
              <w:rPr>
                <w:rFonts w:asciiTheme="minorHAnsi" w:hAnsiTheme="minorHAnsi" w:cstheme="minorHAnsi"/>
                <w:sz w:val="24"/>
                <w:szCs w:val="24"/>
              </w:rPr>
            </w:pPr>
            <w:r w:rsidRPr="00F468F7">
              <w:rPr>
                <w:rFonts w:asciiTheme="minorHAnsi" w:hAnsiTheme="minorHAnsi" w:cstheme="minorHAnsi"/>
                <w:sz w:val="24"/>
                <w:szCs w:val="24"/>
              </w:rPr>
              <w:t>Risques climatiques</w:t>
            </w:r>
          </w:p>
        </w:tc>
        <w:tc>
          <w:tcPr>
            <w:tcW w:w="13750" w:type="dxa"/>
            <w:gridSpan w:val="5"/>
            <w:tcBorders>
              <w:top w:val="none" w:sz="0" w:space="0" w:color="auto"/>
              <w:left w:val="none" w:sz="0" w:space="0" w:color="auto"/>
              <w:bottom w:val="none" w:sz="0" w:space="0" w:color="auto"/>
              <w:right w:val="none" w:sz="0" w:space="0" w:color="auto"/>
            </w:tcBorders>
            <w:shd w:val="clear" w:color="auto" w:fill="E2EFD9" w:themeFill="accent6" w:themeFillTint="33"/>
          </w:tcPr>
          <w:p w14:paraId="754F962C"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F468F7">
              <w:rPr>
                <w:rFonts w:asciiTheme="minorHAnsi" w:hAnsiTheme="minorHAnsi" w:cstheme="minorHAnsi"/>
                <w:sz w:val="24"/>
                <w:szCs w:val="24"/>
              </w:rPr>
              <w:t>Unités d’exposition</w:t>
            </w:r>
          </w:p>
        </w:tc>
      </w:tr>
      <w:tr w:rsidR="00A47DEE" w:rsidRPr="00F468F7" w14:paraId="2539A2BB" w14:textId="77777777" w:rsidTr="00EE0E23">
        <w:trPr>
          <w:cnfStyle w:val="000000100000" w:firstRow="0" w:lastRow="0" w:firstColumn="0" w:lastColumn="0" w:oddVBand="0" w:evenVBand="0" w:oddHBand="1"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1671" w:type="dxa"/>
            <w:vMerge/>
            <w:tcBorders>
              <w:top w:val="none" w:sz="0" w:space="0" w:color="auto"/>
              <w:left w:val="none" w:sz="0" w:space="0" w:color="auto"/>
              <w:bottom w:val="none" w:sz="0" w:space="0" w:color="auto"/>
              <w:right w:val="none" w:sz="0" w:space="0" w:color="auto"/>
            </w:tcBorders>
            <w:shd w:val="clear" w:color="auto" w:fill="FBE4D5" w:themeFill="accent2" w:themeFillTint="33"/>
          </w:tcPr>
          <w:p w14:paraId="20FA2164" w14:textId="77777777" w:rsidR="00A47DEE" w:rsidRPr="00F468F7" w:rsidRDefault="00A47DEE" w:rsidP="00EE0E23">
            <w:pPr>
              <w:spacing w:before="120" w:after="120"/>
              <w:rPr>
                <w:rFonts w:asciiTheme="minorHAnsi" w:hAnsiTheme="minorHAnsi" w:cstheme="minorHAnsi"/>
                <w:sz w:val="20"/>
                <w:szCs w:val="20"/>
              </w:rPr>
            </w:pPr>
          </w:p>
        </w:tc>
        <w:tc>
          <w:tcPr>
            <w:tcW w:w="2694"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36DFBE6A" w14:textId="77777777" w:rsidR="00A47DEE" w:rsidRPr="00F468F7" w:rsidRDefault="00A47DEE" w:rsidP="00EE0E23">
            <w:pPr>
              <w:pStyle w:val="Paragraphedeliste"/>
              <w:ind w:left="0"/>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468F7">
              <w:rPr>
                <w:rFonts w:cstheme="minorHAnsi"/>
                <w:b/>
                <w:bCs/>
                <w:sz w:val="20"/>
                <w:szCs w:val="20"/>
              </w:rPr>
              <w:t>Cultures pluviales</w:t>
            </w:r>
          </w:p>
        </w:tc>
        <w:tc>
          <w:tcPr>
            <w:tcW w:w="2976"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4098AE1E" w14:textId="77777777" w:rsidR="00A47DEE" w:rsidRPr="00F468F7" w:rsidRDefault="00A47DEE" w:rsidP="00EE0E23">
            <w:pPr>
              <w:pStyle w:val="Paragraphedeliste"/>
              <w:ind w:left="0"/>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468F7">
              <w:rPr>
                <w:rFonts w:cstheme="minorHAnsi"/>
                <w:b/>
                <w:bCs/>
                <w:sz w:val="20"/>
                <w:szCs w:val="20"/>
              </w:rPr>
              <w:t>Cultures irriguées</w:t>
            </w:r>
          </w:p>
        </w:tc>
        <w:tc>
          <w:tcPr>
            <w:tcW w:w="2268"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3C5C84EC" w14:textId="77777777" w:rsidR="00A47DEE" w:rsidRPr="00F468F7" w:rsidRDefault="00A47DEE" w:rsidP="00EE0E23">
            <w:pPr>
              <w:pStyle w:val="Paragraphedeliste"/>
              <w:ind w:left="0"/>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468F7">
              <w:rPr>
                <w:rFonts w:cstheme="minorHAnsi"/>
                <w:b/>
                <w:bCs/>
                <w:sz w:val="20"/>
                <w:szCs w:val="20"/>
              </w:rPr>
              <w:t>Terres agricoles</w:t>
            </w:r>
          </w:p>
        </w:tc>
        <w:tc>
          <w:tcPr>
            <w:tcW w:w="2694"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44642B46" w14:textId="77777777" w:rsidR="00A47DEE" w:rsidRPr="00F468F7" w:rsidRDefault="00A47DEE" w:rsidP="00EE0E23">
            <w:pPr>
              <w:pStyle w:val="Paragraphedeliste"/>
              <w:ind w:left="0"/>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468F7">
              <w:rPr>
                <w:rFonts w:cstheme="minorHAnsi"/>
                <w:b/>
                <w:bCs/>
                <w:sz w:val="20"/>
                <w:szCs w:val="20"/>
              </w:rPr>
              <w:t>Eau agricole</w:t>
            </w:r>
          </w:p>
        </w:tc>
        <w:tc>
          <w:tcPr>
            <w:tcW w:w="3118"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51DCF897" w14:textId="77777777" w:rsidR="00A47DEE" w:rsidRPr="00F468F7" w:rsidRDefault="00A47DEE" w:rsidP="00EE0E23">
            <w:pPr>
              <w:pStyle w:val="Paragraphedeliste"/>
              <w:ind w:left="0"/>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468F7">
              <w:rPr>
                <w:rFonts w:cstheme="minorHAnsi"/>
                <w:b/>
                <w:bCs/>
                <w:sz w:val="20"/>
                <w:szCs w:val="20"/>
              </w:rPr>
              <w:t>Agriculteurs</w:t>
            </w:r>
          </w:p>
        </w:tc>
      </w:tr>
      <w:tr w:rsidR="00A47DEE" w:rsidRPr="00F468F7" w14:paraId="4C6CBF29" w14:textId="77777777" w:rsidTr="00EE0E23">
        <w:trPr>
          <w:cnfStyle w:val="000000010000" w:firstRow="0" w:lastRow="0" w:firstColumn="0" w:lastColumn="0" w:oddVBand="0" w:evenVBand="0" w:oddHBand="0" w:evenHBand="1" w:firstRowFirstColumn="0" w:firstRowLastColumn="0" w:lastRowFirstColumn="0" w:lastRowLastColumn="0"/>
          <w:trHeight w:val="538"/>
          <w:jc w:val="center"/>
        </w:trPr>
        <w:tc>
          <w:tcPr>
            <w:cnfStyle w:val="001000000000" w:firstRow="0" w:lastRow="0" w:firstColumn="1" w:lastColumn="0" w:oddVBand="0" w:evenVBand="0" w:oddHBand="0" w:evenHBand="0" w:firstRowFirstColumn="0" w:firstRowLastColumn="0" w:lastRowFirstColumn="0" w:lastRowLastColumn="0"/>
            <w:tcW w:w="1671" w:type="dxa"/>
            <w:tcBorders>
              <w:top w:val="none" w:sz="0" w:space="0" w:color="auto"/>
              <w:left w:val="none" w:sz="0" w:space="0" w:color="auto"/>
              <w:bottom w:val="none" w:sz="0" w:space="0" w:color="auto"/>
              <w:right w:val="none" w:sz="0" w:space="0" w:color="auto"/>
            </w:tcBorders>
            <w:shd w:val="clear" w:color="auto" w:fill="FFFFFF" w:themeFill="background1"/>
          </w:tcPr>
          <w:p w14:paraId="2F24ACA9" w14:textId="77777777" w:rsidR="00A47DEE" w:rsidRPr="00F468F7" w:rsidRDefault="00A47DEE" w:rsidP="00EE0E23">
            <w:pPr>
              <w:pStyle w:val="Paragraphedeliste"/>
              <w:ind w:left="0"/>
              <w:jc w:val="center"/>
              <w:rPr>
                <w:rFonts w:asciiTheme="minorHAnsi" w:hAnsiTheme="minorHAnsi" w:cstheme="minorHAnsi"/>
                <w:sz w:val="20"/>
                <w:szCs w:val="20"/>
              </w:rPr>
            </w:pPr>
            <w:r w:rsidRPr="00F468F7">
              <w:rPr>
                <w:rFonts w:asciiTheme="minorHAnsi" w:hAnsiTheme="minorHAnsi" w:cstheme="minorHAnsi"/>
                <w:sz w:val="20"/>
                <w:szCs w:val="20"/>
              </w:rPr>
              <w:t>Sécheresse</w:t>
            </w:r>
          </w:p>
        </w:tc>
        <w:tc>
          <w:tcPr>
            <w:tcW w:w="2694" w:type="dxa"/>
            <w:tcBorders>
              <w:top w:val="none" w:sz="0" w:space="0" w:color="auto"/>
              <w:left w:val="none" w:sz="0" w:space="0" w:color="auto"/>
              <w:bottom w:val="none" w:sz="0" w:space="0" w:color="auto"/>
              <w:right w:val="none" w:sz="0" w:space="0" w:color="auto"/>
            </w:tcBorders>
          </w:tcPr>
          <w:p w14:paraId="2D00A93C"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Ralentissement de la croissance des cultures</w:t>
            </w:r>
          </w:p>
          <w:p w14:paraId="0D693479"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Baisse de rendement</w:t>
            </w:r>
          </w:p>
          <w:p w14:paraId="180EB8FC"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Bouleversement des dates de semis</w:t>
            </w:r>
          </w:p>
        </w:tc>
        <w:tc>
          <w:tcPr>
            <w:tcW w:w="2976" w:type="dxa"/>
            <w:tcBorders>
              <w:top w:val="none" w:sz="0" w:space="0" w:color="auto"/>
              <w:left w:val="none" w:sz="0" w:space="0" w:color="auto"/>
              <w:bottom w:val="none" w:sz="0" w:space="0" w:color="auto"/>
              <w:right w:val="none" w:sz="0" w:space="0" w:color="auto"/>
            </w:tcBorders>
          </w:tcPr>
          <w:p w14:paraId="07DB69C7"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Hausse du stress hydrique</w:t>
            </w:r>
          </w:p>
          <w:p w14:paraId="07759CB0"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Baisse sévère des rendements des cultures maraichères</w:t>
            </w:r>
          </w:p>
          <w:p w14:paraId="4608B18D"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Risque de disparition des certaines variétés du dattier,</w:t>
            </w:r>
          </w:p>
        </w:tc>
        <w:tc>
          <w:tcPr>
            <w:tcW w:w="2268" w:type="dxa"/>
            <w:tcBorders>
              <w:top w:val="none" w:sz="0" w:space="0" w:color="auto"/>
              <w:left w:val="none" w:sz="0" w:space="0" w:color="auto"/>
              <w:bottom w:val="none" w:sz="0" w:space="0" w:color="auto"/>
              <w:right w:val="none" w:sz="0" w:space="0" w:color="auto"/>
            </w:tcBorders>
          </w:tcPr>
          <w:p w14:paraId="56904F1B"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Dégradation de sol</w:t>
            </w:r>
          </w:p>
          <w:p w14:paraId="79379353"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Diminution des activités microbiologiques</w:t>
            </w:r>
          </w:p>
          <w:p w14:paraId="641BD328"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Une forte Baisse de l’humidité de sol</w:t>
            </w:r>
          </w:p>
          <w:p w14:paraId="1A80970D" w14:textId="77777777" w:rsidR="00A47DEE" w:rsidRPr="00F468F7" w:rsidRDefault="00A47DEE" w:rsidP="00EE0E23">
            <w:pPr>
              <w:pStyle w:val="Paragraphedeliste"/>
              <w:ind w:left="236"/>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p>
        </w:tc>
        <w:tc>
          <w:tcPr>
            <w:tcW w:w="2694" w:type="dxa"/>
            <w:tcBorders>
              <w:top w:val="none" w:sz="0" w:space="0" w:color="auto"/>
              <w:left w:val="none" w:sz="0" w:space="0" w:color="auto"/>
              <w:bottom w:val="none" w:sz="0" w:space="0" w:color="auto"/>
              <w:right w:val="none" w:sz="0" w:space="0" w:color="auto"/>
            </w:tcBorders>
          </w:tcPr>
          <w:p w14:paraId="522F8851"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 xml:space="preserve">Assèchement précoce des eaux </w:t>
            </w:r>
          </w:p>
          <w:p w14:paraId="048D66EB"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Tarissement des nappes phréatiques</w:t>
            </w:r>
          </w:p>
          <w:p w14:paraId="3FB1F088"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Dégradation de la qualité de l’eau</w:t>
            </w:r>
          </w:p>
          <w:p w14:paraId="28655CDC" w14:textId="77777777" w:rsidR="00A47DEE" w:rsidRPr="00F468F7" w:rsidRDefault="00A47DEE" w:rsidP="00EE0E23">
            <w:pPr>
              <w:pStyle w:val="Paragraphedeliste"/>
              <w:ind w:left="236"/>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p>
        </w:tc>
        <w:tc>
          <w:tcPr>
            <w:tcW w:w="3118" w:type="dxa"/>
            <w:tcBorders>
              <w:top w:val="none" w:sz="0" w:space="0" w:color="auto"/>
              <w:left w:val="none" w:sz="0" w:space="0" w:color="auto"/>
              <w:bottom w:val="none" w:sz="0" w:space="0" w:color="auto"/>
              <w:right w:val="none" w:sz="0" w:space="0" w:color="auto"/>
            </w:tcBorders>
          </w:tcPr>
          <w:p w14:paraId="53A83A63"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Famine</w:t>
            </w:r>
          </w:p>
          <w:p w14:paraId="77D4D954"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Exaspération de la pauvreté</w:t>
            </w:r>
          </w:p>
          <w:p w14:paraId="3BA264E6"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Endettement</w:t>
            </w:r>
          </w:p>
          <w:p w14:paraId="6005AF48"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Baisse de revenu</w:t>
            </w:r>
          </w:p>
          <w:p w14:paraId="5522544B"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Perte de récolte</w:t>
            </w:r>
          </w:p>
          <w:p w14:paraId="210893BF"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Changement d’activité</w:t>
            </w:r>
          </w:p>
          <w:p w14:paraId="6118B956"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Exode Rural</w:t>
            </w:r>
          </w:p>
          <w:p w14:paraId="0C8B05DE"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Propagation de maladies liées à l’insécurité alimentaire.</w:t>
            </w:r>
          </w:p>
        </w:tc>
      </w:tr>
      <w:tr w:rsidR="00A47DEE" w:rsidRPr="00F468F7" w14:paraId="2E36A9CB" w14:textId="77777777" w:rsidTr="00EE0E23">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1671" w:type="dxa"/>
            <w:tcBorders>
              <w:top w:val="none" w:sz="0" w:space="0" w:color="auto"/>
              <w:left w:val="none" w:sz="0" w:space="0" w:color="auto"/>
              <w:bottom w:val="none" w:sz="0" w:space="0" w:color="auto"/>
              <w:right w:val="none" w:sz="0" w:space="0" w:color="auto"/>
            </w:tcBorders>
            <w:shd w:val="clear" w:color="auto" w:fill="FFFFFF" w:themeFill="background1"/>
          </w:tcPr>
          <w:p w14:paraId="02EE5380" w14:textId="77777777" w:rsidR="00A47DEE" w:rsidRPr="00F468F7" w:rsidRDefault="00A47DEE" w:rsidP="00EE0E23">
            <w:pPr>
              <w:pStyle w:val="Paragraphedeliste"/>
              <w:ind w:left="0"/>
              <w:jc w:val="center"/>
              <w:rPr>
                <w:rFonts w:asciiTheme="minorHAnsi" w:hAnsiTheme="minorHAnsi" w:cstheme="minorHAnsi"/>
                <w:sz w:val="20"/>
                <w:szCs w:val="20"/>
              </w:rPr>
            </w:pPr>
            <w:r w:rsidRPr="00F468F7">
              <w:rPr>
                <w:rFonts w:asciiTheme="minorHAnsi" w:hAnsiTheme="minorHAnsi" w:cstheme="minorHAnsi"/>
                <w:sz w:val="20"/>
                <w:szCs w:val="20"/>
              </w:rPr>
              <w:t>Vagues de chaleur</w:t>
            </w:r>
          </w:p>
        </w:tc>
        <w:tc>
          <w:tcPr>
            <w:tcW w:w="2694" w:type="dxa"/>
            <w:tcBorders>
              <w:top w:val="none" w:sz="0" w:space="0" w:color="auto"/>
              <w:left w:val="none" w:sz="0" w:space="0" w:color="auto"/>
              <w:bottom w:val="none" w:sz="0" w:space="0" w:color="auto"/>
              <w:right w:val="none" w:sz="0" w:space="0" w:color="auto"/>
            </w:tcBorders>
            <w:shd w:val="clear" w:color="auto" w:fill="FFFFFF" w:themeFill="background1"/>
          </w:tcPr>
          <w:p w14:paraId="0C06138B"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Baisse de rendement des cultures</w:t>
            </w:r>
          </w:p>
          <w:p w14:paraId="60287E42"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Stress hydrique,</w:t>
            </w:r>
          </w:p>
          <w:p w14:paraId="0C8094BE" w14:textId="77777777" w:rsidR="00A47DEE" w:rsidRPr="00F468F7" w:rsidRDefault="00A47DEE" w:rsidP="00EE0E23">
            <w:pPr>
              <w:pStyle w:val="Paragraphedeliste"/>
              <w:ind w:left="236"/>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p>
        </w:tc>
        <w:tc>
          <w:tcPr>
            <w:tcW w:w="2976" w:type="dxa"/>
            <w:tcBorders>
              <w:top w:val="none" w:sz="0" w:space="0" w:color="auto"/>
              <w:left w:val="none" w:sz="0" w:space="0" w:color="auto"/>
              <w:bottom w:val="none" w:sz="0" w:space="0" w:color="auto"/>
              <w:right w:val="none" w:sz="0" w:space="0" w:color="auto"/>
            </w:tcBorders>
            <w:shd w:val="clear" w:color="auto" w:fill="FFFFFF" w:themeFill="background1"/>
          </w:tcPr>
          <w:p w14:paraId="3BD7015C" w14:textId="77777777" w:rsidR="00A47DEE" w:rsidRPr="00F468F7" w:rsidRDefault="00A47DEE" w:rsidP="00A47DEE">
            <w:pPr>
              <w:pStyle w:val="Paragraphedeliste"/>
              <w:numPr>
                <w:ilvl w:val="0"/>
                <w:numId w:val="355"/>
              </w:numPr>
              <w:ind w:left="236" w:hanging="283"/>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Desséchement des cultures maraichères avant leur maturation</w:t>
            </w:r>
          </w:p>
          <w:p w14:paraId="425BF313"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Hausse de l’évapotranspiration</w:t>
            </w:r>
          </w:p>
          <w:p w14:paraId="5C88F2C6" w14:textId="77777777" w:rsidR="00A47DEE" w:rsidRPr="00F468F7" w:rsidRDefault="00A47DEE" w:rsidP="00A47DEE">
            <w:pPr>
              <w:pStyle w:val="Paragraphedeliste"/>
              <w:numPr>
                <w:ilvl w:val="0"/>
                <w:numId w:val="355"/>
              </w:numPr>
              <w:ind w:left="236" w:hanging="283"/>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Baisse des rendements des cultures irriguées.</w:t>
            </w: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0CD66BBA"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Baisse sensible de l’humidité du sol</w:t>
            </w:r>
          </w:p>
          <w:p w14:paraId="18EF7139"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Effets néfastes sur la faune et la flore des sols</w:t>
            </w:r>
          </w:p>
        </w:tc>
        <w:tc>
          <w:tcPr>
            <w:tcW w:w="2694" w:type="dxa"/>
            <w:tcBorders>
              <w:top w:val="none" w:sz="0" w:space="0" w:color="auto"/>
              <w:left w:val="none" w:sz="0" w:space="0" w:color="auto"/>
              <w:bottom w:val="none" w:sz="0" w:space="0" w:color="auto"/>
              <w:right w:val="none" w:sz="0" w:space="0" w:color="auto"/>
            </w:tcBorders>
            <w:shd w:val="clear" w:color="auto" w:fill="FFFFFF" w:themeFill="background1"/>
          </w:tcPr>
          <w:p w14:paraId="34D76974"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Tarissement des nappes phréatiques</w:t>
            </w:r>
          </w:p>
          <w:p w14:paraId="46F56780"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Reduction des superficies des eaux superficielles</w:t>
            </w:r>
          </w:p>
          <w:p w14:paraId="4F90639A" w14:textId="77777777" w:rsidR="00A47DEE" w:rsidRPr="00F468F7" w:rsidRDefault="00A47DEE" w:rsidP="00A47DEE">
            <w:pPr>
              <w:pStyle w:val="Paragraphedeliste"/>
              <w:numPr>
                <w:ilvl w:val="0"/>
                <w:numId w:val="355"/>
              </w:numPr>
              <w:ind w:left="236" w:hanging="283"/>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Augmentation des besoins en eau des cultures</w:t>
            </w:r>
          </w:p>
        </w:tc>
        <w:tc>
          <w:tcPr>
            <w:tcW w:w="3118" w:type="dxa"/>
            <w:tcBorders>
              <w:top w:val="none" w:sz="0" w:space="0" w:color="auto"/>
              <w:left w:val="none" w:sz="0" w:space="0" w:color="auto"/>
              <w:bottom w:val="none" w:sz="0" w:space="0" w:color="auto"/>
              <w:right w:val="none" w:sz="0" w:space="0" w:color="auto"/>
            </w:tcBorders>
            <w:shd w:val="clear" w:color="auto" w:fill="FFFFFF" w:themeFill="background1"/>
          </w:tcPr>
          <w:p w14:paraId="7149FD6F"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Augmentation de Sensibilité aux maladies</w:t>
            </w:r>
          </w:p>
          <w:p w14:paraId="3E8C7A25" w14:textId="77777777" w:rsidR="00A47DEE" w:rsidRPr="00F468F7" w:rsidRDefault="00A47DEE" w:rsidP="00EE0E23">
            <w:pPr>
              <w:pStyle w:val="Paragraphedeliste"/>
              <w:ind w:left="236"/>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p>
        </w:tc>
      </w:tr>
      <w:tr w:rsidR="00A47DEE" w:rsidRPr="00F468F7" w14:paraId="37D5C9C7" w14:textId="77777777" w:rsidTr="00EE0E23">
        <w:trPr>
          <w:cnfStyle w:val="000000010000" w:firstRow="0" w:lastRow="0" w:firstColumn="0" w:lastColumn="0" w:oddVBand="0" w:evenVBand="0" w:oddHBand="0" w:evenHBand="1"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1671" w:type="dxa"/>
            <w:tcBorders>
              <w:top w:val="none" w:sz="0" w:space="0" w:color="auto"/>
              <w:left w:val="none" w:sz="0" w:space="0" w:color="auto"/>
              <w:bottom w:val="none" w:sz="0" w:space="0" w:color="auto"/>
              <w:right w:val="none" w:sz="0" w:space="0" w:color="auto"/>
            </w:tcBorders>
            <w:shd w:val="clear" w:color="auto" w:fill="FFFFFF" w:themeFill="background1"/>
          </w:tcPr>
          <w:p w14:paraId="021CAE1C" w14:textId="77777777" w:rsidR="00A47DEE" w:rsidRPr="00F468F7" w:rsidRDefault="00A47DEE" w:rsidP="00EE0E23">
            <w:pPr>
              <w:pStyle w:val="Paragraphedeliste"/>
              <w:ind w:left="0"/>
              <w:jc w:val="center"/>
              <w:rPr>
                <w:rFonts w:asciiTheme="minorHAnsi" w:hAnsiTheme="minorHAnsi" w:cstheme="minorHAnsi"/>
                <w:sz w:val="20"/>
                <w:szCs w:val="20"/>
              </w:rPr>
            </w:pPr>
            <w:r w:rsidRPr="00F468F7">
              <w:rPr>
                <w:rFonts w:asciiTheme="minorHAnsi" w:hAnsiTheme="minorHAnsi" w:cstheme="minorHAnsi"/>
                <w:color w:val="000000"/>
                <w:sz w:val="20"/>
                <w:szCs w:val="20"/>
              </w:rPr>
              <w:t>Inondations</w:t>
            </w:r>
          </w:p>
        </w:tc>
        <w:tc>
          <w:tcPr>
            <w:tcW w:w="2694" w:type="dxa"/>
            <w:tcBorders>
              <w:top w:val="none" w:sz="0" w:space="0" w:color="auto"/>
              <w:left w:val="none" w:sz="0" w:space="0" w:color="auto"/>
              <w:bottom w:val="none" w:sz="0" w:space="0" w:color="auto"/>
              <w:right w:val="none" w:sz="0" w:space="0" w:color="auto"/>
            </w:tcBorders>
            <w:shd w:val="clear" w:color="auto" w:fill="FFFFFF" w:themeFill="background1"/>
          </w:tcPr>
          <w:p w14:paraId="21502817"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 xml:space="preserve">Rupture des ouvrages hydro-agricoles </w:t>
            </w:r>
          </w:p>
          <w:p w14:paraId="1B1EAB83"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 xml:space="preserve">Asphyxie, </w:t>
            </w:r>
          </w:p>
          <w:p w14:paraId="02A69111"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Destruction des cultures</w:t>
            </w:r>
          </w:p>
          <w:p w14:paraId="4B17EFCC"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Manifestation des nouveaux ravageurs et maladies sur les cultures.</w:t>
            </w:r>
          </w:p>
        </w:tc>
        <w:tc>
          <w:tcPr>
            <w:tcW w:w="2976" w:type="dxa"/>
            <w:tcBorders>
              <w:top w:val="none" w:sz="0" w:space="0" w:color="auto"/>
              <w:left w:val="none" w:sz="0" w:space="0" w:color="auto"/>
              <w:bottom w:val="none" w:sz="0" w:space="0" w:color="auto"/>
              <w:right w:val="none" w:sz="0" w:space="0" w:color="auto"/>
            </w:tcBorders>
            <w:shd w:val="clear" w:color="auto" w:fill="FFFFFF" w:themeFill="background1"/>
          </w:tcPr>
          <w:p w14:paraId="70574EE8"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 xml:space="preserve">Asphyxie, </w:t>
            </w:r>
          </w:p>
          <w:p w14:paraId="607B1D67"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Destruction des cultures et perte des récoltes.</w:t>
            </w:r>
          </w:p>
          <w:p w14:paraId="6E23F3D3"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cstheme="minorHAnsi"/>
                <w:sz w:val="20"/>
                <w:szCs w:val="20"/>
              </w:rPr>
              <w:t>Prolifération des adventices</w:t>
            </w: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744DC5B5" w14:textId="77777777" w:rsidR="00A47DEE" w:rsidRPr="00F468F7" w:rsidRDefault="00A47DEE" w:rsidP="00A47DEE">
            <w:pPr>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F468F7">
              <w:rPr>
                <w:rFonts w:cstheme="minorHAnsi"/>
                <w:sz w:val="20"/>
                <w:szCs w:val="20"/>
              </w:rPr>
              <w:t>Ravinement et perte en terres fertiles</w:t>
            </w:r>
          </w:p>
          <w:p w14:paraId="66A6ABDC" w14:textId="77777777" w:rsidR="00A47DEE" w:rsidRPr="00F468F7" w:rsidRDefault="00A47DEE" w:rsidP="00A47DEE">
            <w:pPr>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F468F7">
              <w:rPr>
                <w:rFonts w:cstheme="minorHAnsi"/>
                <w:sz w:val="20"/>
                <w:szCs w:val="20"/>
              </w:rPr>
              <w:t>Erosion hydrique</w:t>
            </w:r>
          </w:p>
          <w:p w14:paraId="231C018C" w14:textId="77777777" w:rsidR="00A47DEE" w:rsidRPr="00F468F7" w:rsidRDefault="00A47DEE" w:rsidP="00A47DEE">
            <w:pPr>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F468F7">
              <w:rPr>
                <w:rFonts w:cstheme="minorHAnsi"/>
                <w:sz w:val="20"/>
                <w:szCs w:val="20"/>
              </w:rPr>
              <w:t>Tassement des sols</w:t>
            </w:r>
          </w:p>
          <w:p w14:paraId="04741D8C" w14:textId="77777777" w:rsidR="00A47DEE" w:rsidRPr="00F468F7" w:rsidRDefault="00A47DEE" w:rsidP="00EE0E23">
            <w:pPr>
              <w:ind w:left="236"/>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c>
          <w:tcPr>
            <w:tcW w:w="2694" w:type="dxa"/>
            <w:tcBorders>
              <w:top w:val="none" w:sz="0" w:space="0" w:color="auto"/>
              <w:left w:val="none" w:sz="0" w:space="0" w:color="auto"/>
              <w:bottom w:val="none" w:sz="0" w:space="0" w:color="auto"/>
              <w:right w:val="none" w:sz="0" w:space="0" w:color="auto"/>
            </w:tcBorders>
            <w:shd w:val="clear" w:color="auto" w:fill="FFFFFF" w:themeFill="background1"/>
          </w:tcPr>
          <w:p w14:paraId="759E347C"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b/>
                <w:bCs/>
                <w:color w:val="00B050"/>
                <w:sz w:val="20"/>
                <w:szCs w:val="20"/>
                <w:lang w:eastAsia="fr-FR"/>
              </w:rPr>
            </w:pPr>
            <w:r w:rsidRPr="00F468F7">
              <w:rPr>
                <w:rFonts w:eastAsiaTheme="minorEastAsia" w:cstheme="minorHAnsi"/>
                <w:b/>
                <w:bCs/>
                <w:color w:val="00B050"/>
                <w:sz w:val="20"/>
                <w:szCs w:val="20"/>
                <w:lang w:eastAsia="fr-FR"/>
              </w:rPr>
              <w:t xml:space="preserve">Augmentation </w:t>
            </w:r>
            <w:r w:rsidRPr="00F468F7">
              <w:rPr>
                <w:rFonts w:cstheme="minorHAnsi"/>
                <w:b/>
                <w:bCs/>
                <w:color w:val="00B050"/>
                <w:sz w:val="20"/>
                <w:szCs w:val="20"/>
              </w:rPr>
              <w:t xml:space="preserve">de l’eau disponible, Remontée de la nappe, </w:t>
            </w:r>
          </w:p>
          <w:p w14:paraId="515074D4"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cstheme="minorHAnsi"/>
                <w:sz w:val="20"/>
                <w:szCs w:val="20"/>
              </w:rPr>
              <w:t xml:space="preserve">Inondation des puits et puisards.  </w:t>
            </w:r>
          </w:p>
        </w:tc>
        <w:tc>
          <w:tcPr>
            <w:tcW w:w="3118" w:type="dxa"/>
            <w:tcBorders>
              <w:top w:val="none" w:sz="0" w:space="0" w:color="auto"/>
              <w:left w:val="none" w:sz="0" w:space="0" w:color="auto"/>
              <w:bottom w:val="none" w:sz="0" w:space="0" w:color="auto"/>
              <w:right w:val="none" w:sz="0" w:space="0" w:color="auto"/>
            </w:tcBorders>
            <w:shd w:val="clear" w:color="auto" w:fill="FFFFFF" w:themeFill="background1"/>
          </w:tcPr>
          <w:p w14:paraId="169EC58E"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 xml:space="preserve">Perte de récolte </w:t>
            </w:r>
          </w:p>
          <w:p w14:paraId="640D9893"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Endettement</w:t>
            </w:r>
          </w:p>
          <w:p w14:paraId="78A31DE2"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Prolifération des maladies parasitaires</w:t>
            </w:r>
          </w:p>
          <w:p w14:paraId="24BE692E"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Destruction des outils de production</w:t>
            </w:r>
          </w:p>
        </w:tc>
      </w:tr>
      <w:tr w:rsidR="00A47DEE" w:rsidRPr="00F468F7" w14:paraId="5EBC7CBA" w14:textId="77777777" w:rsidTr="00EE0E23">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1671" w:type="dxa"/>
            <w:tcBorders>
              <w:top w:val="none" w:sz="0" w:space="0" w:color="auto"/>
              <w:left w:val="none" w:sz="0" w:space="0" w:color="auto"/>
              <w:bottom w:val="none" w:sz="0" w:space="0" w:color="auto"/>
              <w:right w:val="none" w:sz="0" w:space="0" w:color="auto"/>
            </w:tcBorders>
            <w:shd w:val="clear" w:color="auto" w:fill="FFFFFF" w:themeFill="background1"/>
          </w:tcPr>
          <w:p w14:paraId="1FAA9663" w14:textId="77777777" w:rsidR="00A47DEE" w:rsidRPr="00F468F7" w:rsidRDefault="00A47DEE" w:rsidP="00EE0E23">
            <w:pPr>
              <w:pStyle w:val="Paragraphedeliste"/>
              <w:ind w:left="0"/>
              <w:jc w:val="center"/>
              <w:rPr>
                <w:rFonts w:asciiTheme="minorHAnsi" w:hAnsiTheme="minorHAnsi" w:cstheme="minorHAnsi"/>
                <w:sz w:val="20"/>
                <w:szCs w:val="20"/>
              </w:rPr>
            </w:pPr>
            <w:r w:rsidRPr="00F468F7">
              <w:rPr>
                <w:rFonts w:asciiTheme="minorHAnsi" w:hAnsiTheme="minorHAnsi" w:cstheme="minorHAnsi"/>
                <w:color w:val="000000"/>
                <w:sz w:val="20"/>
                <w:szCs w:val="20"/>
              </w:rPr>
              <w:t>Vents de sable violents</w:t>
            </w:r>
          </w:p>
        </w:tc>
        <w:tc>
          <w:tcPr>
            <w:tcW w:w="2694" w:type="dxa"/>
            <w:tcBorders>
              <w:top w:val="none" w:sz="0" w:space="0" w:color="auto"/>
              <w:left w:val="none" w:sz="0" w:space="0" w:color="auto"/>
              <w:bottom w:val="none" w:sz="0" w:space="0" w:color="auto"/>
              <w:right w:val="none" w:sz="0" w:space="0" w:color="auto"/>
            </w:tcBorders>
            <w:shd w:val="clear" w:color="auto" w:fill="FFFFFF" w:themeFill="background1"/>
          </w:tcPr>
          <w:p w14:paraId="6E580531"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Ensablement des barrages et retenues d’eau</w:t>
            </w:r>
          </w:p>
          <w:p w14:paraId="41CC0F9A"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Cassure des tiges et parfois déracinement des cultures</w:t>
            </w:r>
          </w:p>
          <w:p w14:paraId="4C7F68E0"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La verse</w:t>
            </w:r>
          </w:p>
        </w:tc>
        <w:tc>
          <w:tcPr>
            <w:tcW w:w="2976" w:type="dxa"/>
            <w:tcBorders>
              <w:top w:val="none" w:sz="0" w:space="0" w:color="auto"/>
              <w:left w:val="none" w:sz="0" w:space="0" w:color="auto"/>
              <w:bottom w:val="none" w:sz="0" w:space="0" w:color="auto"/>
              <w:right w:val="none" w:sz="0" w:space="0" w:color="auto"/>
            </w:tcBorders>
            <w:shd w:val="clear" w:color="auto" w:fill="FFFFFF" w:themeFill="background1"/>
          </w:tcPr>
          <w:p w14:paraId="4EE742B9"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Cassure des tiges et parfois déracinement des cultures</w:t>
            </w:r>
          </w:p>
          <w:p w14:paraId="18F79BE2"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Déterrement de plants en pépinière</w:t>
            </w:r>
          </w:p>
          <w:p w14:paraId="6E23FD6C"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sz w:val="20"/>
                <w:szCs w:val="20"/>
                <w:lang w:eastAsia="fr-FR"/>
              </w:rPr>
            </w:pPr>
            <w:r w:rsidRPr="00F468F7">
              <w:rPr>
                <w:rFonts w:eastAsiaTheme="minorEastAsia" w:cstheme="minorHAnsi"/>
                <w:sz w:val="20"/>
                <w:szCs w:val="20"/>
                <w:lang w:eastAsia="fr-FR"/>
              </w:rPr>
              <w:t>La verse (blé)</w:t>
            </w: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75BE0DA5" w14:textId="77777777" w:rsidR="00A47DEE" w:rsidRPr="00F468F7" w:rsidRDefault="00A47DEE" w:rsidP="00A47DEE">
            <w:pPr>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68F7">
              <w:rPr>
                <w:rFonts w:cstheme="minorHAnsi"/>
                <w:sz w:val="20"/>
                <w:szCs w:val="20"/>
              </w:rPr>
              <w:t>Erosion éolien</w:t>
            </w:r>
          </w:p>
          <w:p w14:paraId="171E650F" w14:textId="77777777" w:rsidR="00A47DEE" w:rsidRPr="00F468F7" w:rsidRDefault="00A47DEE" w:rsidP="00A47DEE">
            <w:pPr>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68F7">
              <w:rPr>
                <w:rFonts w:cstheme="minorHAnsi"/>
                <w:sz w:val="20"/>
                <w:szCs w:val="20"/>
              </w:rPr>
              <w:t>Décapage des couches fertiles,</w:t>
            </w:r>
          </w:p>
          <w:p w14:paraId="0417BC81" w14:textId="77777777" w:rsidR="00A47DEE" w:rsidRPr="00F468F7" w:rsidRDefault="00A47DEE" w:rsidP="00A47DEE">
            <w:pPr>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68F7">
              <w:rPr>
                <w:rFonts w:cstheme="minorHAnsi"/>
                <w:sz w:val="20"/>
                <w:szCs w:val="20"/>
              </w:rPr>
              <w:t>Reduction des superficies arables</w:t>
            </w:r>
          </w:p>
        </w:tc>
        <w:tc>
          <w:tcPr>
            <w:tcW w:w="2694" w:type="dxa"/>
            <w:tcBorders>
              <w:top w:val="none" w:sz="0" w:space="0" w:color="auto"/>
              <w:left w:val="none" w:sz="0" w:space="0" w:color="auto"/>
              <w:bottom w:val="none" w:sz="0" w:space="0" w:color="auto"/>
              <w:right w:val="none" w:sz="0" w:space="0" w:color="auto"/>
            </w:tcBorders>
            <w:shd w:val="clear" w:color="auto" w:fill="FFFFFF" w:themeFill="background1"/>
          </w:tcPr>
          <w:p w14:paraId="1DA7625A" w14:textId="77777777" w:rsidR="00A47DEE" w:rsidRPr="00F468F7" w:rsidRDefault="00A47DEE" w:rsidP="00A47DEE">
            <w:pPr>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68F7">
              <w:rPr>
                <w:rFonts w:cstheme="minorHAnsi"/>
                <w:sz w:val="20"/>
                <w:szCs w:val="20"/>
              </w:rPr>
              <w:t>Ensablements, des mares et des puits.</w:t>
            </w:r>
          </w:p>
          <w:p w14:paraId="3974E718" w14:textId="77777777" w:rsidR="00A47DEE" w:rsidRPr="00F468F7" w:rsidRDefault="00A47DEE" w:rsidP="00A47DEE">
            <w:pPr>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118" w:type="dxa"/>
            <w:tcBorders>
              <w:top w:val="none" w:sz="0" w:space="0" w:color="auto"/>
              <w:left w:val="none" w:sz="0" w:space="0" w:color="auto"/>
              <w:bottom w:val="none" w:sz="0" w:space="0" w:color="auto"/>
              <w:right w:val="none" w:sz="0" w:space="0" w:color="auto"/>
            </w:tcBorders>
            <w:shd w:val="clear" w:color="auto" w:fill="FFFFFF" w:themeFill="background1"/>
          </w:tcPr>
          <w:p w14:paraId="54D259BC" w14:textId="77777777" w:rsidR="00A47DEE" w:rsidRPr="00F468F7" w:rsidRDefault="00A47DEE" w:rsidP="00A47DEE">
            <w:pPr>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68F7">
              <w:rPr>
                <w:rFonts w:cstheme="minorHAnsi"/>
                <w:sz w:val="20"/>
                <w:szCs w:val="20"/>
              </w:rPr>
              <w:t>Maladies respiratoires et infections oculaires</w:t>
            </w:r>
          </w:p>
          <w:p w14:paraId="24C96F38" w14:textId="77777777" w:rsidR="00A47DEE" w:rsidRPr="00F468F7" w:rsidRDefault="00A47DEE" w:rsidP="00EE0E23">
            <w:pPr>
              <w:ind w:left="236"/>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0009CD0E" w14:textId="77777777" w:rsidR="00A47DEE" w:rsidRPr="00F468F7" w:rsidRDefault="00A47DEE" w:rsidP="00A47DEE">
      <w:pPr>
        <w:rPr>
          <w:rFonts w:cstheme="minorHAnsi"/>
        </w:rPr>
        <w:sectPr w:rsidR="00A47DEE" w:rsidRPr="00F468F7" w:rsidSect="00A47DEE">
          <w:pgSz w:w="16838" w:h="11906" w:orient="landscape"/>
          <w:pgMar w:top="1418" w:right="678" w:bottom="1418" w:left="851" w:header="709" w:footer="709" w:gutter="0"/>
          <w:cols w:space="720"/>
        </w:sectPr>
      </w:pPr>
      <w:bookmarkStart w:id="319" w:name="_Toc126854437"/>
      <w:bookmarkStart w:id="320" w:name="_Toc130300125"/>
      <w:bookmarkEnd w:id="319"/>
      <w:bookmarkEnd w:id="320"/>
    </w:p>
    <w:p w14:paraId="130C51A1" w14:textId="77777777" w:rsidR="00A47DEE" w:rsidRPr="00110ECC" w:rsidRDefault="00A47DEE" w:rsidP="00A47DEE">
      <w:pPr>
        <w:pStyle w:val="Paragraphedeliste"/>
        <w:keepNext/>
        <w:keepLines/>
        <w:numPr>
          <w:ilvl w:val="2"/>
          <w:numId w:val="388"/>
        </w:numPr>
        <w:shd w:val="clear" w:color="auto" w:fill="002060"/>
        <w:tabs>
          <w:tab w:val="left" w:pos="990"/>
        </w:tabs>
        <w:spacing w:before="40" w:after="120" w:line="240" w:lineRule="auto"/>
        <w:jc w:val="both"/>
        <w:outlineLvl w:val="2"/>
        <w:rPr>
          <w:rFonts w:eastAsia="Calibri" w:cstheme="minorHAnsi"/>
          <w:b/>
          <w:bCs/>
          <w:smallCaps/>
          <w:color w:val="FFFFFF" w:themeColor="background1"/>
          <w:sz w:val="24"/>
          <w:szCs w:val="24"/>
        </w:rPr>
      </w:pPr>
      <w:bookmarkStart w:id="321" w:name="_Toc79351774"/>
      <w:bookmarkStart w:id="322" w:name="_Toc179577357"/>
      <w:bookmarkEnd w:id="275"/>
      <w:bookmarkEnd w:id="276"/>
      <w:r w:rsidRPr="00110ECC">
        <w:rPr>
          <w:rFonts w:eastAsia="Calibri" w:cstheme="minorHAnsi"/>
          <w:b/>
          <w:bCs/>
          <w:smallCaps/>
          <w:color w:val="FFFFFF" w:themeColor="background1"/>
          <w:sz w:val="24"/>
          <w:szCs w:val="24"/>
        </w:rPr>
        <w:t>Impacts du CC sur la riziculture</w:t>
      </w:r>
      <w:bookmarkEnd w:id="321"/>
      <w:bookmarkEnd w:id="322"/>
    </w:p>
    <w:p w14:paraId="5AA4422A" w14:textId="77777777" w:rsidR="00A47DEE" w:rsidRPr="003D5CD7" w:rsidRDefault="00A47DEE" w:rsidP="00A47DEE">
      <w:pPr>
        <w:autoSpaceDE w:val="0"/>
        <w:autoSpaceDN w:val="0"/>
        <w:adjustRightInd w:val="0"/>
        <w:spacing w:after="0"/>
        <w:jc w:val="lowKashida"/>
        <w:rPr>
          <w:rFonts w:eastAsia="Calibri" w:cstheme="minorHAnsi"/>
        </w:rPr>
      </w:pPr>
      <w:r w:rsidRPr="003D5CD7">
        <w:rPr>
          <w:rFonts w:eastAsia="Calibri" w:cstheme="minorHAnsi"/>
        </w:rPr>
        <w:t xml:space="preserve">La production du riz dans la vallée du fleuve Sénégal occupe une place de choix pour la réussite du programme mauritanien d'autosuffisance en riz. Cette zone a connu en 1999, 2009 et 2020 les pires inondations et/ou pluies diluviennes depuis plus de 30 ans. Les pertes occasionnées par ces intempéries sont énormes. </w:t>
      </w:r>
    </w:p>
    <w:p w14:paraId="6A8B20FD" w14:textId="77777777" w:rsidR="00A47DEE" w:rsidRPr="003D5CD7" w:rsidRDefault="00A47DEE" w:rsidP="00A47DEE">
      <w:pPr>
        <w:autoSpaceDE w:val="0"/>
        <w:autoSpaceDN w:val="0"/>
        <w:adjustRightInd w:val="0"/>
        <w:spacing w:after="0"/>
        <w:jc w:val="lowKashida"/>
        <w:rPr>
          <w:rFonts w:eastAsia="Calibri" w:cstheme="minorHAnsi"/>
        </w:rPr>
      </w:pPr>
      <w:r w:rsidRPr="003D5CD7">
        <w:rPr>
          <w:rFonts w:eastAsia="Calibri" w:cstheme="minorHAnsi"/>
        </w:rPr>
        <w:t>Il s’agit :</w:t>
      </w:r>
    </w:p>
    <w:p w14:paraId="767D6877" w14:textId="77777777" w:rsidR="00A47DEE" w:rsidRPr="003D5CD7" w:rsidRDefault="00A47DEE" w:rsidP="00A47DEE">
      <w:pPr>
        <w:numPr>
          <w:ilvl w:val="0"/>
          <w:numId w:val="354"/>
        </w:numPr>
        <w:autoSpaceDE w:val="0"/>
        <w:autoSpaceDN w:val="0"/>
        <w:adjustRightInd w:val="0"/>
        <w:spacing w:after="0" w:line="276" w:lineRule="auto"/>
        <w:ind w:left="426"/>
        <w:contextualSpacing/>
        <w:jc w:val="both"/>
        <w:rPr>
          <w:rFonts w:eastAsia="Calibri" w:cstheme="minorHAnsi"/>
        </w:rPr>
      </w:pPr>
      <w:r w:rsidRPr="003D5CD7">
        <w:rPr>
          <w:rFonts w:eastAsia="Calibri" w:cstheme="minorHAnsi"/>
        </w:rPr>
        <w:t>Des pluies successives tombées, en juillet 2020, sur la Wilaya du Trarza à un moment inhabituel et l’insuffisance de moissonneuses ont provoqué la perte de 40 % des récoltes des 29.000 ha cultivés.</w:t>
      </w:r>
    </w:p>
    <w:p w14:paraId="441DA646" w14:textId="77777777" w:rsidR="00A47DEE" w:rsidRPr="003D5CD7" w:rsidRDefault="00A47DEE" w:rsidP="00A47DEE">
      <w:pPr>
        <w:numPr>
          <w:ilvl w:val="0"/>
          <w:numId w:val="354"/>
        </w:numPr>
        <w:autoSpaceDE w:val="0"/>
        <w:autoSpaceDN w:val="0"/>
        <w:adjustRightInd w:val="0"/>
        <w:spacing w:after="0" w:line="276" w:lineRule="auto"/>
        <w:ind w:left="426"/>
        <w:contextualSpacing/>
        <w:jc w:val="both"/>
        <w:rPr>
          <w:rFonts w:eastAsia="Calibri" w:cstheme="minorHAnsi"/>
        </w:rPr>
      </w:pPr>
      <w:r w:rsidRPr="003D5CD7">
        <w:rPr>
          <w:rFonts w:eastAsia="Calibri" w:cstheme="minorHAnsi"/>
        </w:rPr>
        <w:t>Des pluies diluviennes qui se sont abattues sur la ville de Rosso et ses alentours, les 27, 28 et 29 août 2009 enregistrant des quantités exceptionnelles de l’ordre de 176 millimètres tombés en 48 heures, en dépassement à la moyenne pluviométrique annuelle au niveau de la zone. Ces inondations ont endommagé des pistes rurales, isolé des zones de production et détruit des périmètres rizicoles ainsi que des petits périmètres maraîchers (PM) exploitées par certaines coopératives féminines, entrainant ainsi la perte pour ces populations d’une partie de leurs sources de revenus.</w:t>
      </w:r>
    </w:p>
    <w:p w14:paraId="4080ADD0" w14:textId="77777777" w:rsidR="00A47DEE" w:rsidRPr="00F468F7" w:rsidRDefault="00A47DEE" w:rsidP="00A47DEE">
      <w:pPr>
        <w:numPr>
          <w:ilvl w:val="0"/>
          <w:numId w:val="354"/>
        </w:numPr>
        <w:autoSpaceDE w:val="0"/>
        <w:autoSpaceDN w:val="0"/>
        <w:adjustRightInd w:val="0"/>
        <w:spacing w:after="200" w:line="276" w:lineRule="auto"/>
        <w:ind w:left="426"/>
        <w:contextualSpacing/>
        <w:jc w:val="both"/>
        <w:rPr>
          <w:rFonts w:eastAsia="Calibri" w:cstheme="minorHAnsi"/>
        </w:rPr>
      </w:pPr>
      <w:r w:rsidRPr="003D5CD7">
        <w:rPr>
          <w:rFonts w:eastAsia="Calibri" w:cstheme="minorHAnsi"/>
        </w:rPr>
        <w:t>Les inondations enregistrées au cours de l’hivernage 1999 s’étaient propagées à toute la vallée à cause des aménagements anarchiques et notamment la construction de défluents artificiels (ou chéneaux sauvages) en particulier dans la région du Trarza qui regroupe l’essentiel</w:t>
      </w:r>
      <w:r w:rsidRPr="003D5CD7">
        <w:rPr>
          <w:rFonts w:eastAsia="Times New Roman" w:cstheme="minorHAnsi"/>
        </w:rPr>
        <w:t xml:space="preserve"> des exploitations rizicoles individuelles privées. </w:t>
      </w:r>
    </w:p>
    <w:p w14:paraId="2398CAFF" w14:textId="77777777" w:rsidR="00A47DEE" w:rsidRPr="003D5CD7" w:rsidRDefault="00A47DEE" w:rsidP="00A47DEE">
      <w:pPr>
        <w:autoSpaceDE w:val="0"/>
        <w:autoSpaceDN w:val="0"/>
        <w:adjustRightInd w:val="0"/>
        <w:spacing w:line="240" w:lineRule="auto"/>
        <w:ind w:left="426"/>
        <w:contextualSpacing/>
        <w:jc w:val="both"/>
        <w:rPr>
          <w:rFonts w:eastAsia="Calibri" w:cstheme="minorHAnsi"/>
        </w:rPr>
      </w:pPr>
    </w:p>
    <w:p w14:paraId="37B06896" w14:textId="77777777" w:rsidR="00A47DEE" w:rsidRPr="001433C6" w:rsidRDefault="00A47DEE" w:rsidP="00A47DEE">
      <w:pPr>
        <w:pStyle w:val="Paragraphedeliste"/>
        <w:keepNext/>
        <w:keepLines/>
        <w:numPr>
          <w:ilvl w:val="2"/>
          <w:numId w:val="388"/>
        </w:numPr>
        <w:shd w:val="clear" w:color="auto" w:fill="002060"/>
        <w:tabs>
          <w:tab w:val="left" w:pos="990"/>
        </w:tabs>
        <w:spacing w:before="40" w:after="120" w:line="240" w:lineRule="auto"/>
        <w:jc w:val="both"/>
        <w:outlineLvl w:val="2"/>
        <w:rPr>
          <w:rFonts w:eastAsia="Calibri" w:cstheme="minorHAnsi"/>
          <w:b/>
          <w:bCs/>
          <w:smallCaps/>
          <w:color w:val="FFFFFF" w:themeColor="background1"/>
          <w:sz w:val="24"/>
          <w:szCs w:val="24"/>
        </w:rPr>
      </w:pPr>
      <w:bookmarkStart w:id="323" w:name="_Toc79351775"/>
      <w:bookmarkStart w:id="324" w:name="_Toc179577358"/>
      <w:r w:rsidRPr="001433C6">
        <w:rPr>
          <w:rFonts w:eastAsia="Calibri" w:cstheme="minorHAnsi"/>
          <w:b/>
          <w:bCs/>
          <w:smallCaps/>
          <w:color w:val="FFFFFF" w:themeColor="background1"/>
          <w:sz w:val="24"/>
          <w:szCs w:val="24"/>
        </w:rPr>
        <w:t>Impacts du CC sur les cultures pluviales</w:t>
      </w:r>
      <w:bookmarkEnd w:id="323"/>
      <w:bookmarkEnd w:id="324"/>
    </w:p>
    <w:p w14:paraId="05A91511" w14:textId="77777777" w:rsidR="00A47DEE" w:rsidRPr="003D5CD7" w:rsidRDefault="00A47DEE" w:rsidP="00A47DEE">
      <w:pPr>
        <w:autoSpaceDE w:val="0"/>
        <w:autoSpaceDN w:val="0"/>
        <w:adjustRightInd w:val="0"/>
        <w:spacing w:after="0"/>
        <w:ind w:firstLine="360"/>
        <w:contextualSpacing/>
        <w:jc w:val="lowKashida"/>
        <w:rPr>
          <w:rFonts w:eastAsia="Calibri" w:cstheme="minorHAnsi"/>
        </w:rPr>
      </w:pPr>
      <w:r w:rsidRPr="003D5CD7">
        <w:rPr>
          <w:rFonts w:eastAsia="Calibri" w:cstheme="minorHAnsi"/>
        </w:rPr>
        <w:t>L’agriculture pluviale est étroitement liée à la pluviométrie ce qui la soumet inéluctablement aux effets adverses de la variabilité et du changement climatiques (diminution des pluies et leur caractère aléatoire, diminution de la longueur de la saison, augmentation de la fréquence et de l’intensité des séquences sèches …etc.). Les épisodes secs de longue durée qui interviennent pendant les phases sensibles de la plante (phases végétative et reproductive) peuvent entraîner la perte de la productivité et du rendement de la culture. Les superficies consacrées aux cultures pluviales se sont rétrécies et les cultures sont devenues plus aléatoires que par le passé. Elles sont essentiellement pratiquées dans les bas-fonds qui bénéficient d'apports supplémentaires des eaux de ruissellement et conservent mieux, de par leur structure plus lourde, l'humidité. Les cultures de décrue ont été non seulement réduites, mais aussi la période d'inondation est devenue plus courte que d'habitude et les variétés de sorgho à haut rendement ne sont plus cultivées car leurs besoins hydriques ne sont plus entièrement satisfaits. Les rendements s'en trouvent notoirement affectés.</w:t>
      </w:r>
    </w:p>
    <w:p w14:paraId="4299E718" w14:textId="77777777" w:rsidR="00A47DEE" w:rsidRPr="003D5CD7" w:rsidRDefault="00A47DEE" w:rsidP="00A47DEE">
      <w:pPr>
        <w:autoSpaceDE w:val="0"/>
        <w:autoSpaceDN w:val="0"/>
        <w:adjustRightInd w:val="0"/>
        <w:spacing w:after="0"/>
        <w:contextualSpacing/>
        <w:jc w:val="lowKashida"/>
        <w:rPr>
          <w:rFonts w:eastAsia="Calibri" w:cstheme="minorHAnsi"/>
        </w:rPr>
      </w:pPr>
    </w:p>
    <w:p w14:paraId="25436D38" w14:textId="77777777" w:rsidR="00A47DEE" w:rsidRPr="003D5CD7" w:rsidRDefault="00A47DEE" w:rsidP="00A47DEE">
      <w:pPr>
        <w:autoSpaceDE w:val="0"/>
        <w:autoSpaceDN w:val="0"/>
        <w:adjustRightInd w:val="0"/>
        <w:spacing w:after="0"/>
        <w:ind w:firstLine="360"/>
        <w:contextualSpacing/>
        <w:jc w:val="lowKashida"/>
        <w:rPr>
          <w:rFonts w:eastAsia="Calibri" w:cstheme="minorHAnsi"/>
        </w:rPr>
      </w:pPr>
      <w:r w:rsidRPr="003D5CD7">
        <w:rPr>
          <w:rFonts w:eastAsia="Calibri" w:cstheme="minorHAnsi"/>
        </w:rPr>
        <w:t>En effet, dans le passé, les céréales traditionnelles cultivées sur les terres de Walo étaient caractérisées par de meilleurs rendements par rapport au Diéri. Depuis plusieurs années, la situation s’est inversée et le rendement moyen de ces derniers cinq ans est de 390 Kg/ha contre 530 kg/ha du passé. Cette forte diminution est due aux conditions d’exploitation du Walo qui se sont fortement dégradées à cause de la réduction des temps de submersion des terres de décrue résultant de la gestion de la crue artificielle (elle-même tributaire des effets du changement climatique) et des attaques des ravageurs et en particulier des oiseaux granivores et de la sésamie dont la propagation s’est généralisée du fait de l’impact du changement climatique.</w:t>
      </w:r>
    </w:p>
    <w:p w14:paraId="26C1CD98" w14:textId="77777777" w:rsidR="00A47DEE" w:rsidRPr="003D5CD7" w:rsidRDefault="00A47DEE" w:rsidP="00A47DEE">
      <w:pPr>
        <w:autoSpaceDE w:val="0"/>
        <w:autoSpaceDN w:val="0"/>
        <w:adjustRightInd w:val="0"/>
        <w:spacing w:after="120"/>
        <w:contextualSpacing/>
        <w:jc w:val="lowKashida"/>
        <w:rPr>
          <w:rFonts w:eastAsia="Calibri" w:cstheme="minorHAnsi"/>
        </w:rPr>
      </w:pPr>
    </w:p>
    <w:p w14:paraId="73F9084C" w14:textId="77777777" w:rsidR="00A47DEE" w:rsidRPr="003D5CD7" w:rsidRDefault="00A47DEE" w:rsidP="00A47DEE">
      <w:pPr>
        <w:autoSpaceDE w:val="0"/>
        <w:autoSpaceDN w:val="0"/>
        <w:adjustRightInd w:val="0"/>
        <w:spacing w:after="120"/>
        <w:ind w:firstLine="360"/>
        <w:contextualSpacing/>
        <w:jc w:val="lowKashida"/>
        <w:rPr>
          <w:rFonts w:eastAsia="Calibri" w:cstheme="minorHAnsi"/>
        </w:rPr>
      </w:pPr>
      <w:r w:rsidRPr="003D5CD7">
        <w:rPr>
          <w:rFonts w:eastAsia="Calibri" w:cstheme="minorHAnsi"/>
        </w:rPr>
        <w:t>Les variétés de sorgho à haut rendement ne sont plus cultivées car leurs besoins hydriques ne sont plus entièrement satisfaits ; les rendements s'en trouvent notoirement affectés.  Les variétés à cycles courts ont aussi du mal à exprimer leur potentiel productif compte tenu du déficit pluviométrique. D’une manière générale, les cultures ne se développent plus comme avant (du fait des tallages et les ramifications moins prolifiques). A noter aussi que les pratiques culturales des producteurs ont quelque peu changé : une augmentation du nombre de graines par poquet, le démariage n’est plus systématique et il se fait à plus de 8 plants en moyenne par poquet, une perturbation du calendrier cultural, une augmentation du nombre de sarclage atteignant 4 dans certaines zones par an.</w:t>
      </w:r>
    </w:p>
    <w:p w14:paraId="33C041C6" w14:textId="77777777" w:rsidR="00A47DEE" w:rsidRPr="003D5CD7" w:rsidRDefault="00A47DEE" w:rsidP="00A47DEE">
      <w:pPr>
        <w:autoSpaceDE w:val="0"/>
        <w:autoSpaceDN w:val="0"/>
        <w:adjustRightInd w:val="0"/>
        <w:spacing w:after="120"/>
        <w:contextualSpacing/>
        <w:jc w:val="lowKashida"/>
        <w:rPr>
          <w:rFonts w:eastAsia="Calibri" w:cstheme="minorHAnsi"/>
        </w:rPr>
      </w:pPr>
    </w:p>
    <w:p w14:paraId="71A80DA3" w14:textId="77777777" w:rsidR="00A47DEE" w:rsidRPr="003D5CD7" w:rsidRDefault="00A47DEE" w:rsidP="00A47DEE">
      <w:pPr>
        <w:autoSpaceDE w:val="0"/>
        <w:autoSpaceDN w:val="0"/>
        <w:adjustRightInd w:val="0"/>
        <w:spacing w:after="0"/>
        <w:ind w:firstLine="360"/>
        <w:contextualSpacing/>
        <w:jc w:val="lowKashida"/>
        <w:rPr>
          <w:rFonts w:eastAsia="Calibri" w:cstheme="minorHAnsi"/>
        </w:rPr>
      </w:pPr>
      <w:r w:rsidRPr="003D5CD7">
        <w:rPr>
          <w:rFonts w:eastAsia="Calibri" w:cstheme="minorHAnsi"/>
        </w:rPr>
        <w:t xml:space="preserve">L’irrégularité des précipitations en zone pluviale provoquant des pertes notoires certaines années ont encouragé une main d’œuvre appauvrie à migrer vers les villes à la recherche d’emplois plus rémunérateurs causant la sous exploitation </w:t>
      </w:r>
      <w:r w:rsidRPr="00F468F7">
        <w:rPr>
          <w:rFonts w:eastAsia="Calibri" w:cstheme="minorHAnsi"/>
        </w:rPr>
        <w:t>de certaines</w:t>
      </w:r>
      <w:r w:rsidRPr="003D5CD7">
        <w:rPr>
          <w:rFonts w:eastAsia="Calibri" w:cstheme="minorHAnsi"/>
        </w:rPr>
        <w:t xml:space="preserve"> infrastructures (barrages et digues) aménagées </w:t>
      </w:r>
      <w:proofErr w:type="spellStart"/>
      <w:r w:rsidRPr="003D5CD7">
        <w:rPr>
          <w:rFonts w:eastAsia="Calibri" w:cstheme="minorHAnsi"/>
        </w:rPr>
        <w:t>grace</w:t>
      </w:r>
      <w:proofErr w:type="spellEnd"/>
      <w:r w:rsidRPr="003D5CD7">
        <w:rPr>
          <w:rFonts w:eastAsia="Calibri" w:cstheme="minorHAnsi"/>
        </w:rPr>
        <w:t xml:space="preserve"> à des financements couteux.   </w:t>
      </w:r>
    </w:p>
    <w:p w14:paraId="572015B5" w14:textId="77777777" w:rsidR="00A47DEE" w:rsidRPr="003D5CD7" w:rsidRDefault="00A47DEE" w:rsidP="00A47DEE">
      <w:pPr>
        <w:autoSpaceDE w:val="0"/>
        <w:autoSpaceDN w:val="0"/>
        <w:adjustRightInd w:val="0"/>
        <w:spacing w:after="120"/>
        <w:contextualSpacing/>
        <w:jc w:val="lowKashida"/>
        <w:rPr>
          <w:rFonts w:eastAsia="Calibri" w:cstheme="minorHAnsi"/>
        </w:rPr>
      </w:pPr>
    </w:p>
    <w:p w14:paraId="04EDA563" w14:textId="77777777" w:rsidR="00A47DEE" w:rsidRPr="001433C6" w:rsidRDefault="00A47DEE" w:rsidP="00A47DEE">
      <w:pPr>
        <w:pStyle w:val="Paragraphedeliste"/>
        <w:keepNext/>
        <w:keepLines/>
        <w:numPr>
          <w:ilvl w:val="2"/>
          <w:numId w:val="388"/>
        </w:numPr>
        <w:shd w:val="clear" w:color="auto" w:fill="002060"/>
        <w:tabs>
          <w:tab w:val="left" w:pos="990"/>
        </w:tabs>
        <w:spacing w:before="40" w:after="120" w:line="240" w:lineRule="auto"/>
        <w:jc w:val="both"/>
        <w:outlineLvl w:val="2"/>
        <w:rPr>
          <w:rFonts w:eastAsia="Calibri" w:cstheme="minorHAnsi"/>
          <w:b/>
          <w:bCs/>
          <w:smallCaps/>
          <w:color w:val="FFFFFF" w:themeColor="background1"/>
          <w:sz w:val="24"/>
          <w:szCs w:val="24"/>
        </w:rPr>
      </w:pPr>
      <w:bookmarkStart w:id="325" w:name="_Toc79351776"/>
      <w:bookmarkStart w:id="326" w:name="_Toc179577359"/>
      <w:r w:rsidRPr="001433C6">
        <w:rPr>
          <w:rFonts w:eastAsia="Calibri" w:cstheme="minorHAnsi"/>
          <w:b/>
          <w:bCs/>
          <w:smallCaps/>
          <w:color w:val="FFFFFF" w:themeColor="background1"/>
          <w:sz w:val="24"/>
          <w:szCs w:val="24"/>
        </w:rPr>
        <w:t>Impacts du CC sur les cultures maraichères</w:t>
      </w:r>
      <w:bookmarkEnd w:id="325"/>
      <w:bookmarkEnd w:id="326"/>
    </w:p>
    <w:p w14:paraId="2BEE7845" w14:textId="77777777" w:rsidR="00A47DEE" w:rsidRPr="00F468F7" w:rsidRDefault="00A47DEE" w:rsidP="00A47DEE">
      <w:pPr>
        <w:autoSpaceDE w:val="0"/>
        <w:autoSpaceDN w:val="0"/>
        <w:adjustRightInd w:val="0"/>
        <w:spacing w:after="0"/>
        <w:ind w:firstLine="360"/>
        <w:contextualSpacing/>
        <w:jc w:val="lowKashida"/>
        <w:rPr>
          <w:rFonts w:eastAsia="Calibri" w:cstheme="minorHAnsi"/>
        </w:rPr>
      </w:pPr>
      <w:r w:rsidRPr="003D5CD7">
        <w:rPr>
          <w:rFonts w:eastAsia="Calibri" w:cstheme="minorHAnsi"/>
        </w:rPr>
        <w:t>Le niveau de production maraichère est marqué par une forte dépendance aux aléas climatiques, toujours plus fréquents et d’intensité plus forte, par les attaques d’insectes et par la variation des prix ; ce qui se répercute sur la capacité des agriculteurs, en particulier les femmes et les petits producteurs. L’accès des maraîchers aux semences de qualité ainsi qu’aux autres intrants est assez limité. Ce qui fait que parfois les semences et les variétés utilisées ne sont pas adaptées aux conditions agro-climatologiques des zones de production.</w:t>
      </w:r>
    </w:p>
    <w:p w14:paraId="7688B678" w14:textId="77777777" w:rsidR="00A47DEE" w:rsidRPr="003D5CD7" w:rsidRDefault="00A47DEE" w:rsidP="00A47DEE">
      <w:pPr>
        <w:autoSpaceDE w:val="0"/>
        <w:autoSpaceDN w:val="0"/>
        <w:adjustRightInd w:val="0"/>
        <w:spacing w:after="0"/>
        <w:ind w:firstLine="360"/>
        <w:contextualSpacing/>
        <w:jc w:val="lowKashida"/>
        <w:rPr>
          <w:rFonts w:eastAsia="Calibri" w:cstheme="minorHAnsi"/>
        </w:rPr>
      </w:pPr>
      <w:r w:rsidRPr="003D5CD7">
        <w:rPr>
          <w:rFonts w:eastAsia="Calibri" w:cstheme="minorHAnsi"/>
        </w:rPr>
        <w:t xml:space="preserve"> Une grande partie de la production maraîchère réalisée par des coopératives féminines villageoises sur des micro-parcelles avec des techniques rudimentaires et archaïques ne donnent que des productions marginales et qui n’ont aucune incidence sur le marché car en grande partie destinée à la consommation des ménages pour lesquels elle constitue un apport non négligeable en protéines végétales et en vitamines lutant ainsi de manière significative contre la malnutrition.</w:t>
      </w:r>
    </w:p>
    <w:p w14:paraId="75CD1DC4" w14:textId="77777777" w:rsidR="00A47DEE" w:rsidRPr="003D5CD7" w:rsidRDefault="00A47DEE" w:rsidP="00A47DEE">
      <w:pPr>
        <w:autoSpaceDE w:val="0"/>
        <w:autoSpaceDN w:val="0"/>
        <w:adjustRightInd w:val="0"/>
        <w:spacing w:after="0"/>
        <w:contextualSpacing/>
        <w:jc w:val="lowKashida"/>
        <w:rPr>
          <w:rFonts w:eastAsia="Calibri" w:cstheme="minorHAnsi"/>
        </w:rPr>
      </w:pPr>
    </w:p>
    <w:p w14:paraId="58FBD1ED" w14:textId="77777777" w:rsidR="00A47DEE" w:rsidRPr="003D5CD7" w:rsidRDefault="00A47DEE" w:rsidP="00A47DEE">
      <w:pPr>
        <w:autoSpaceDE w:val="0"/>
        <w:autoSpaceDN w:val="0"/>
        <w:adjustRightInd w:val="0"/>
        <w:spacing w:after="0"/>
        <w:contextualSpacing/>
        <w:jc w:val="lowKashida"/>
        <w:rPr>
          <w:rFonts w:eastAsia="Calibri" w:cstheme="minorHAnsi"/>
        </w:rPr>
      </w:pPr>
      <w:r w:rsidRPr="003D5CD7">
        <w:rPr>
          <w:rFonts w:eastAsia="Calibri" w:cstheme="minorHAnsi"/>
        </w:rPr>
        <w:t>Il est à rappeler que les évènements climatiques extrêmes ont des effets néfastes sur les cultures maraîchères qui prévalent tant par le passé que par le présent (stress hydrique, accroissement de l’évaporation et de l’évapotranspiration et l’assèchement des cultures). Ceci est surtout accentué par la réduction de la saison favorable aux cultures maraîchères prise entre l’étau de la pression des déprédateurs trop nombreux en hivernage jusqu’à la mi-novembre et les chaleurs estivales de plus en plus précoces quand elles commencent à se pointer en mi-mars au lieu d’attendre mai ou juin.</w:t>
      </w:r>
    </w:p>
    <w:p w14:paraId="4FB15653" w14:textId="77777777" w:rsidR="00A47DEE" w:rsidRPr="003D5CD7" w:rsidRDefault="00A47DEE" w:rsidP="00A47DEE">
      <w:pPr>
        <w:autoSpaceDE w:val="0"/>
        <w:autoSpaceDN w:val="0"/>
        <w:adjustRightInd w:val="0"/>
        <w:spacing w:after="0"/>
        <w:contextualSpacing/>
        <w:jc w:val="lowKashida"/>
        <w:rPr>
          <w:rFonts w:eastAsia="Calibri" w:cstheme="minorHAnsi"/>
        </w:rPr>
      </w:pPr>
    </w:p>
    <w:p w14:paraId="61499733" w14:textId="77777777" w:rsidR="00A47DEE" w:rsidRPr="001433C6" w:rsidRDefault="00A47DEE" w:rsidP="00A47DEE">
      <w:pPr>
        <w:pStyle w:val="Paragraphedeliste"/>
        <w:keepNext/>
        <w:keepLines/>
        <w:numPr>
          <w:ilvl w:val="2"/>
          <w:numId w:val="388"/>
        </w:numPr>
        <w:shd w:val="clear" w:color="auto" w:fill="002060"/>
        <w:tabs>
          <w:tab w:val="left" w:pos="990"/>
        </w:tabs>
        <w:spacing w:before="40" w:after="120" w:line="240" w:lineRule="auto"/>
        <w:jc w:val="both"/>
        <w:outlineLvl w:val="2"/>
        <w:rPr>
          <w:rFonts w:eastAsia="Calibri" w:cstheme="minorHAnsi"/>
          <w:b/>
          <w:bCs/>
          <w:smallCaps/>
          <w:color w:val="FFFFFF" w:themeColor="background1"/>
          <w:sz w:val="24"/>
          <w:szCs w:val="24"/>
        </w:rPr>
      </w:pPr>
      <w:bookmarkStart w:id="327" w:name="_Toc79351777"/>
      <w:bookmarkStart w:id="328" w:name="_Toc179577360"/>
      <w:r w:rsidRPr="001433C6">
        <w:rPr>
          <w:rFonts w:eastAsia="Calibri" w:cstheme="minorHAnsi"/>
          <w:b/>
          <w:bCs/>
          <w:smallCaps/>
          <w:color w:val="FFFFFF" w:themeColor="background1"/>
          <w:sz w:val="24"/>
          <w:szCs w:val="24"/>
        </w:rPr>
        <w:t>Impacts du CC sur les oasis</w:t>
      </w:r>
      <w:bookmarkEnd w:id="327"/>
      <w:bookmarkEnd w:id="328"/>
    </w:p>
    <w:p w14:paraId="5F3A72B1" w14:textId="77777777" w:rsidR="00A47DEE" w:rsidRPr="003D5CD7" w:rsidRDefault="00A47DEE" w:rsidP="00A47DEE">
      <w:pPr>
        <w:autoSpaceDE w:val="0"/>
        <w:autoSpaceDN w:val="0"/>
        <w:adjustRightInd w:val="0"/>
        <w:spacing w:after="0"/>
        <w:ind w:firstLine="360"/>
        <w:jc w:val="lowKashida"/>
        <w:rPr>
          <w:rFonts w:eastAsia="Calibri" w:cstheme="minorHAnsi"/>
        </w:rPr>
      </w:pPr>
      <w:r w:rsidRPr="003D5CD7">
        <w:rPr>
          <w:rFonts w:eastAsia="Calibri" w:cstheme="minorHAnsi"/>
        </w:rPr>
        <w:t xml:space="preserve">L'espace oasien se caractérise au plan bioclimatique comme un espace semi-aride à aride, avec des précipitations très irrégulières d’une année à l’autre et avec une continentalité marquée. Les pluies sont souvent brutales et concentrées dans le temps sous forme d'orages, provoquant des crues violentes. Si le régime des températures est assez régulier d’une année à l’autre, celui des précipitations est très irrégulier. La variabilité interannuelle est très forte. Le caractère inéluctable de la succession des inondations et de la sécheresse marque les esprits. </w:t>
      </w:r>
    </w:p>
    <w:p w14:paraId="604ED11B" w14:textId="77777777" w:rsidR="00A47DEE" w:rsidRPr="003D5CD7" w:rsidRDefault="00A47DEE" w:rsidP="00A47DEE">
      <w:pPr>
        <w:autoSpaceDE w:val="0"/>
        <w:autoSpaceDN w:val="0"/>
        <w:adjustRightInd w:val="0"/>
        <w:spacing w:before="240" w:after="0"/>
        <w:ind w:firstLine="360"/>
        <w:jc w:val="lowKashida"/>
        <w:rPr>
          <w:rFonts w:eastAsia="Calibri" w:cstheme="minorHAnsi"/>
        </w:rPr>
      </w:pPr>
      <w:r w:rsidRPr="003D5CD7">
        <w:rPr>
          <w:rFonts w:eastAsia="Calibri" w:cstheme="minorHAnsi"/>
        </w:rPr>
        <w:t xml:space="preserve">Les vents, par leur puissance, augmentent le pouvoir évaporant de l'atmosphère et activent le transport des sables qui menacent les oasis. Cette situation confère aux zones oasiennes les caractéristiques suivantes : (i) aridité du climat et pauvreté des sols ; (ii) influences sahariennes très acerbes : érosion éolienne, vents de sable, sécheresse et désertification ; (iii) insuffisance de ressources hydriques souterraines, importance de l’évaporation et de l’évapotranspiration. </w:t>
      </w:r>
    </w:p>
    <w:p w14:paraId="4AB8ECB9" w14:textId="77777777" w:rsidR="00A47DEE" w:rsidRPr="003D5CD7" w:rsidRDefault="00A47DEE" w:rsidP="00A47DEE">
      <w:pPr>
        <w:autoSpaceDE w:val="0"/>
        <w:autoSpaceDN w:val="0"/>
        <w:adjustRightInd w:val="0"/>
        <w:spacing w:before="240" w:after="0"/>
        <w:ind w:firstLine="360"/>
        <w:jc w:val="lowKashida"/>
        <w:rPr>
          <w:rFonts w:eastAsia="Calibri" w:cstheme="minorHAnsi"/>
          <w:color w:val="000000"/>
        </w:rPr>
      </w:pPr>
      <w:r w:rsidRPr="003D5CD7">
        <w:rPr>
          <w:rFonts w:eastAsia="Calibri" w:cstheme="minorHAnsi"/>
        </w:rPr>
        <w:t>Au niveau des oasis, une pression croissante est exercée sur les nappes phréatiques d’eau douce qui sont rares, vulnérables, et distribuées inégalement dans le temps et l’espace. L’offre en eau dans les zones des oasis est fournie par un grand nombre de puits dont les réserves sont limitées et qui dépendent des précipitations. La surexploitation des nappes phréatiques conduit à la destruction irréversible de leurs caractéristiques hydrodynamiques et à des modifications de leur qualité (augmentation de la salinité). Ces phénomènes s’accentuent d’année en année et ont provoqué avec l’amélioration des capacités techniques de pompage à faible coût, une baisse progressive du niveau des nappes provoquant la sècheresse et la perte d’oasis entières.</w:t>
      </w:r>
    </w:p>
    <w:p w14:paraId="335E4EF9" w14:textId="77777777" w:rsidR="00A47DEE" w:rsidRPr="003D5CD7" w:rsidRDefault="00A47DEE" w:rsidP="00A47DEE">
      <w:pPr>
        <w:autoSpaceDE w:val="0"/>
        <w:autoSpaceDN w:val="0"/>
        <w:adjustRightInd w:val="0"/>
        <w:spacing w:after="0"/>
        <w:jc w:val="lowKashida"/>
        <w:rPr>
          <w:rFonts w:eastAsia="Calibri" w:cstheme="minorHAnsi"/>
        </w:rPr>
      </w:pPr>
    </w:p>
    <w:p w14:paraId="44087129" w14:textId="77777777" w:rsidR="00A47DEE" w:rsidRPr="003D5CD7" w:rsidRDefault="00A47DEE" w:rsidP="00A47DEE">
      <w:pPr>
        <w:autoSpaceDE w:val="0"/>
        <w:autoSpaceDN w:val="0"/>
        <w:adjustRightInd w:val="0"/>
        <w:spacing w:after="0"/>
        <w:ind w:firstLine="360"/>
        <w:jc w:val="lowKashida"/>
        <w:rPr>
          <w:rFonts w:eastAsia="Calibri" w:cstheme="minorHAnsi"/>
        </w:rPr>
      </w:pPr>
      <w:r w:rsidRPr="003D5CD7">
        <w:rPr>
          <w:rFonts w:eastAsia="Calibri" w:cstheme="minorHAnsi"/>
        </w:rPr>
        <w:t>La vulnérabilité des femmes sera vraisemblablement accentuée, car elles ne disposent pas de ressources ou de solutions alternatives. La majorité d’entre elles pourraient rester aux oasis, alors que les hommes partiraient aux grandes villes pour y trouver du travail, et subiraient de plein fouet les impacts des CC, des inondations et de la désertification.</w:t>
      </w:r>
    </w:p>
    <w:p w14:paraId="12EA0F68" w14:textId="77777777" w:rsidR="00A47DEE" w:rsidRPr="003D5CD7" w:rsidRDefault="00A47DEE" w:rsidP="00A47DEE">
      <w:pPr>
        <w:autoSpaceDE w:val="0"/>
        <w:autoSpaceDN w:val="0"/>
        <w:adjustRightInd w:val="0"/>
        <w:spacing w:after="0"/>
        <w:jc w:val="lowKashida"/>
        <w:rPr>
          <w:rFonts w:eastAsia="Calibri" w:cstheme="minorHAnsi"/>
        </w:rPr>
      </w:pPr>
    </w:p>
    <w:p w14:paraId="385DD6A2" w14:textId="77777777" w:rsidR="00A47DEE" w:rsidRPr="00110ECC" w:rsidRDefault="00A47DEE" w:rsidP="00A47DEE">
      <w:pPr>
        <w:pStyle w:val="Paragraphedeliste"/>
        <w:keepNext/>
        <w:keepLines/>
        <w:numPr>
          <w:ilvl w:val="2"/>
          <w:numId w:val="388"/>
        </w:numPr>
        <w:shd w:val="clear" w:color="auto" w:fill="002060"/>
        <w:tabs>
          <w:tab w:val="left" w:pos="990"/>
        </w:tabs>
        <w:spacing w:before="40" w:after="120" w:line="240" w:lineRule="auto"/>
        <w:jc w:val="both"/>
        <w:outlineLvl w:val="2"/>
        <w:rPr>
          <w:rFonts w:eastAsia="Calibri" w:cstheme="minorHAnsi"/>
          <w:b/>
          <w:bCs/>
          <w:smallCaps/>
          <w:color w:val="FFFFFF" w:themeColor="background1"/>
          <w:sz w:val="24"/>
          <w:szCs w:val="24"/>
        </w:rPr>
      </w:pPr>
      <w:bookmarkStart w:id="329" w:name="_Toc79351778"/>
      <w:bookmarkStart w:id="330" w:name="_Toc179577361"/>
      <w:r w:rsidRPr="00110ECC">
        <w:rPr>
          <w:rFonts w:eastAsia="Calibri" w:cstheme="minorHAnsi"/>
          <w:b/>
          <w:bCs/>
          <w:smallCaps/>
          <w:color w:val="FFFFFF" w:themeColor="background1"/>
          <w:sz w:val="24"/>
          <w:szCs w:val="24"/>
        </w:rPr>
        <w:t>Impacts du CC sur les terres agricoles.</w:t>
      </w:r>
      <w:bookmarkEnd w:id="329"/>
      <w:bookmarkEnd w:id="330"/>
    </w:p>
    <w:p w14:paraId="02FFD421" w14:textId="77777777" w:rsidR="00A47DEE" w:rsidRPr="003D5CD7" w:rsidRDefault="00A47DEE" w:rsidP="00A47DEE">
      <w:pPr>
        <w:autoSpaceDE w:val="0"/>
        <w:autoSpaceDN w:val="0"/>
        <w:adjustRightInd w:val="0"/>
        <w:spacing w:after="0"/>
        <w:ind w:firstLine="360"/>
        <w:contextualSpacing/>
        <w:jc w:val="lowKashida"/>
        <w:rPr>
          <w:rFonts w:eastAsia="Calibri" w:cstheme="minorHAnsi"/>
        </w:rPr>
      </w:pPr>
      <w:r w:rsidRPr="003D5CD7">
        <w:rPr>
          <w:rFonts w:eastAsia="Calibri" w:cstheme="minorHAnsi"/>
        </w:rPr>
        <w:t xml:space="preserve">La variabilité du climat et le CC contribuent à la dégradation des terres en exposant les sols arables non protégés à des phénomènes violents et en compromettant le potentiel des pratiques actuelles de gestion des terres à maintenir la qualité des ressources naturelles, contribuant ainsi au déboisement, à l’érosion des sols, à l’appauvrissement en matières organiques et à d’autres formes de dégradation. </w:t>
      </w:r>
    </w:p>
    <w:p w14:paraId="2B79B036" w14:textId="77777777" w:rsidR="00A47DEE" w:rsidRPr="003D5CD7" w:rsidRDefault="00A47DEE" w:rsidP="00A47DEE">
      <w:pPr>
        <w:autoSpaceDE w:val="0"/>
        <w:autoSpaceDN w:val="0"/>
        <w:adjustRightInd w:val="0"/>
        <w:spacing w:after="0"/>
        <w:contextualSpacing/>
        <w:jc w:val="lowKashida"/>
        <w:rPr>
          <w:rFonts w:eastAsia="Calibri" w:cstheme="minorHAnsi"/>
        </w:rPr>
      </w:pPr>
    </w:p>
    <w:p w14:paraId="7669C043" w14:textId="77777777" w:rsidR="00A47DEE" w:rsidRPr="00110ECC" w:rsidRDefault="00A47DEE" w:rsidP="00A47DEE">
      <w:pPr>
        <w:pStyle w:val="Paragraphedeliste"/>
        <w:keepNext/>
        <w:keepLines/>
        <w:numPr>
          <w:ilvl w:val="1"/>
          <w:numId w:val="388"/>
        </w:numPr>
        <w:shd w:val="clear" w:color="auto" w:fill="0070C0"/>
        <w:tabs>
          <w:tab w:val="left" w:pos="540"/>
        </w:tabs>
        <w:spacing w:before="40" w:after="120" w:line="240" w:lineRule="auto"/>
        <w:jc w:val="both"/>
        <w:outlineLvl w:val="1"/>
        <w:rPr>
          <w:rFonts w:eastAsia="Times New Roman" w:cstheme="minorHAnsi"/>
          <w:b/>
          <w:bCs/>
          <w:color w:val="FFFFFF"/>
          <w:sz w:val="24"/>
          <w:szCs w:val="24"/>
        </w:rPr>
      </w:pPr>
      <w:bookmarkStart w:id="331" w:name="_Toc79351779"/>
      <w:bookmarkStart w:id="332" w:name="_Toc179577362"/>
      <w:r w:rsidRPr="00110ECC">
        <w:rPr>
          <w:rFonts w:eastAsia="Times New Roman" w:cstheme="minorHAnsi"/>
          <w:b/>
          <w:bCs/>
          <w:color w:val="FFFFFF"/>
          <w:sz w:val="24"/>
          <w:szCs w:val="24"/>
        </w:rPr>
        <w:t>Conséquences et tendances des impacts climatiques</w:t>
      </w:r>
      <w:bookmarkEnd w:id="331"/>
      <w:bookmarkEnd w:id="332"/>
    </w:p>
    <w:p w14:paraId="5201C778" w14:textId="77777777" w:rsidR="00A47DEE" w:rsidRPr="003D5CD7" w:rsidRDefault="00A47DEE" w:rsidP="00A47DEE">
      <w:pPr>
        <w:autoSpaceDE w:val="0"/>
        <w:autoSpaceDN w:val="0"/>
        <w:adjustRightInd w:val="0"/>
        <w:spacing w:after="120" w:line="240" w:lineRule="auto"/>
        <w:ind w:firstLine="360"/>
        <w:jc w:val="both"/>
        <w:rPr>
          <w:rFonts w:eastAsia="Times New Roman" w:cstheme="minorHAnsi"/>
        </w:rPr>
      </w:pPr>
      <w:r w:rsidRPr="003D5CD7">
        <w:rPr>
          <w:rFonts w:eastAsia="Times New Roman" w:cstheme="minorHAnsi"/>
        </w:rPr>
        <w:t xml:space="preserve">L’agriculture est parmi les systèmes et les secteurs qui sont particulièrement vulnérables au changement climatique et seront fortement impactés. Devant l’absence au niveau national de modèles bioclimatiques validées, l’approche d’estimation de l’impact futur sur les filières agricoles, se fera par analogie à la réaction d’autres cultures ayant des métabolismes identiques. </w:t>
      </w:r>
    </w:p>
    <w:p w14:paraId="294E2D9F" w14:textId="77777777" w:rsidR="00A47DEE" w:rsidRPr="003D5CD7" w:rsidRDefault="00A47DEE" w:rsidP="00A47DEE">
      <w:pPr>
        <w:autoSpaceDE w:val="0"/>
        <w:autoSpaceDN w:val="0"/>
        <w:adjustRightInd w:val="0"/>
        <w:spacing w:before="120" w:after="120" w:line="240" w:lineRule="auto"/>
        <w:ind w:firstLine="360"/>
        <w:jc w:val="both"/>
        <w:rPr>
          <w:rFonts w:eastAsia="Calibri" w:cstheme="minorHAnsi"/>
        </w:rPr>
      </w:pPr>
      <w:r w:rsidRPr="003D5CD7">
        <w:rPr>
          <w:rFonts w:eastAsia="Calibri" w:cstheme="minorHAnsi"/>
        </w:rPr>
        <w:t>A ce titre, nos travaux sont largement inspirés des recherches menées par le Centre Agrhymet du CILSS, basé au Niger</w:t>
      </w:r>
      <w:r w:rsidRPr="003D5CD7">
        <w:rPr>
          <w:rFonts w:eastAsia="Calibri" w:cstheme="minorHAnsi"/>
          <w:vertAlign w:val="superscript"/>
        </w:rPr>
        <w:footnoteReference w:id="55"/>
      </w:r>
      <w:r w:rsidRPr="003D5CD7">
        <w:rPr>
          <w:rFonts w:eastAsia="Calibri" w:cstheme="minorHAnsi"/>
        </w:rPr>
        <w:t>.  Le Sahel est l’une des régions où les changements climatiques vont avoir un impact négatif certain en raison de la faiblesse et de la grande variabilité des ressources en eau, qui à leur tour vont affecter négativement les ressources naturelles et l’agriculture.</w:t>
      </w:r>
    </w:p>
    <w:p w14:paraId="3738FD3C" w14:textId="77777777" w:rsidR="00A47DEE" w:rsidRPr="003D5CD7" w:rsidRDefault="00A47DEE" w:rsidP="00A47DEE">
      <w:pPr>
        <w:spacing w:after="120" w:line="240" w:lineRule="auto"/>
        <w:ind w:firstLine="360"/>
        <w:jc w:val="both"/>
        <w:rPr>
          <w:rFonts w:eastAsia="Times New Roman" w:cstheme="minorHAnsi"/>
          <w:b/>
          <w:color w:val="993300"/>
          <w:sz w:val="21"/>
          <w:szCs w:val="24"/>
        </w:rPr>
      </w:pPr>
      <w:r w:rsidRPr="003D5CD7">
        <w:rPr>
          <w:rFonts w:eastAsia="Calibri" w:cstheme="minorHAnsi"/>
        </w:rPr>
        <w:t xml:space="preserve">Selon la FAO (Food </w:t>
      </w:r>
      <w:proofErr w:type="gramStart"/>
      <w:r w:rsidRPr="003D5CD7">
        <w:rPr>
          <w:rFonts w:eastAsia="Calibri" w:cstheme="minorHAnsi"/>
        </w:rPr>
        <w:t>Climate  E</w:t>
      </w:r>
      <w:proofErr w:type="gramEnd"/>
      <w:r w:rsidRPr="003D5CD7">
        <w:rPr>
          <w:rFonts w:eastAsia="Calibri" w:cstheme="minorHAnsi"/>
        </w:rPr>
        <w:t>-newsletter, déc. 2008) les impacts des changements climatiques sur le potentiel des productions céréalières en pluvial à l’horizon 2050, par rapport à la moyenne 1961-1990, seront considérables. Partant de ces prévisions, les baisses de production en Mauritanie, seront comprises entre 20% et 50%.</w:t>
      </w:r>
    </w:p>
    <w:p w14:paraId="2057C3C9" w14:textId="77777777" w:rsidR="00A47DEE" w:rsidRPr="003D5CD7" w:rsidRDefault="00A47DEE" w:rsidP="00A47DEE">
      <w:pPr>
        <w:autoSpaceDE w:val="0"/>
        <w:autoSpaceDN w:val="0"/>
        <w:adjustRightInd w:val="0"/>
        <w:spacing w:before="120" w:after="120" w:line="240" w:lineRule="auto"/>
        <w:ind w:firstLine="360"/>
        <w:jc w:val="both"/>
        <w:rPr>
          <w:rFonts w:eastAsia="Calibri" w:cstheme="minorHAnsi"/>
        </w:rPr>
      </w:pPr>
      <w:r w:rsidRPr="003D5CD7">
        <w:rPr>
          <w:rFonts w:eastAsia="Calibri" w:cstheme="minorHAnsi"/>
        </w:rPr>
        <w:t>Cette diminution de la production céréalière sera la conséquence des baisses pluviométriques et des sécheresses modélisées, qui auront pour conséquences la réduction de la disponibilité en eau de surface et souterraine, l’accroissement de l’évapotranspiration potentielle (ETP), la réduction de l’humidité du sol et partant certaines zones seront impropres à la culture. Cette tendance est corroborée par les sorties de modèles qui prévoient une réduction sensible des précipitations aux horizons 2050 et 2100 (cartes scénarii climatiques).</w:t>
      </w:r>
    </w:p>
    <w:p w14:paraId="61FEB974" w14:textId="77777777" w:rsidR="00A47DEE" w:rsidRPr="003D5CD7" w:rsidRDefault="00A47DEE" w:rsidP="00A47DEE">
      <w:pPr>
        <w:autoSpaceDE w:val="0"/>
        <w:autoSpaceDN w:val="0"/>
        <w:adjustRightInd w:val="0"/>
        <w:spacing w:before="120" w:after="120" w:line="240" w:lineRule="auto"/>
        <w:ind w:firstLine="360"/>
        <w:jc w:val="both"/>
        <w:rPr>
          <w:rFonts w:eastAsia="Calibri" w:cstheme="minorHAnsi"/>
        </w:rPr>
      </w:pPr>
      <w:r w:rsidRPr="003D5CD7">
        <w:rPr>
          <w:rFonts w:eastAsia="Calibri" w:cstheme="minorHAnsi"/>
        </w:rPr>
        <w:t xml:space="preserve">En effet, tous les modèles testés sont unanimes sur la projection de la pluviométrie. A l’horizon 2050, une baisse de 20% par rapport à la normale est prévue par CCMAB2MES et ECHAMB2MES ; HadCMB2MES prévoit une réduction comprise entre 10%-20%. Enfin, </w:t>
      </w:r>
      <w:proofErr w:type="spellStart"/>
      <w:r w:rsidRPr="003D5CD7">
        <w:rPr>
          <w:rFonts w:eastAsia="Calibri" w:cstheme="minorHAnsi"/>
        </w:rPr>
        <w:t>a</w:t>
      </w:r>
      <w:proofErr w:type="spellEnd"/>
      <w:r w:rsidRPr="003D5CD7">
        <w:rPr>
          <w:rFonts w:eastAsia="Calibri" w:cstheme="minorHAnsi"/>
        </w:rPr>
        <w:t xml:space="preserve"> l’horizon 2100, le modèle CCMAB2MES prévoit une baisse de 30%  </w:t>
      </w:r>
    </w:p>
    <w:p w14:paraId="041D8344" w14:textId="77777777" w:rsidR="00A47DEE" w:rsidRPr="003D5CD7" w:rsidRDefault="00A47DEE" w:rsidP="00A47DEE">
      <w:pPr>
        <w:autoSpaceDE w:val="0"/>
        <w:autoSpaceDN w:val="0"/>
        <w:adjustRightInd w:val="0"/>
        <w:spacing w:before="120" w:after="120" w:line="240" w:lineRule="auto"/>
        <w:ind w:firstLine="142"/>
        <w:jc w:val="both"/>
        <w:rPr>
          <w:rFonts w:eastAsia="Calibri" w:cstheme="minorHAnsi"/>
        </w:rPr>
      </w:pPr>
      <w:r w:rsidRPr="003D5CD7">
        <w:rPr>
          <w:rFonts w:eastAsia="Calibri" w:cstheme="minorHAnsi"/>
        </w:rPr>
        <w:t>Les sècheresses entraîneront une chute des récoltes et des migrations de populations ce qui induira des risques de conflits (IBID). Ces prévisions globales sont en partie confirmées par une étude récente sur les prévisions de rendement des cultures ouest africaines (maïs, mil,</w:t>
      </w:r>
      <w:r w:rsidRPr="003D5CD7">
        <w:rPr>
          <w:rFonts w:eastAsia="Times New Roman" w:cstheme="minorHAnsi"/>
          <w:sz w:val="24"/>
          <w:szCs w:val="24"/>
        </w:rPr>
        <w:t xml:space="preserve"> riz, sorgho, arachide, etc.), </w:t>
      </w:r>
      <w:r w:rsidRPr="003D5CD7">
        <w:rPr>
          <w:rFonts w:eastAsia="Calibri" w:cstheme="minorHAnsi"/>
        </w:rPr>
        <w:t>utilisant les modèles MIROC et CSIRO (horizon 2030).</w:t>
      </w:r>
    </w:p>
    <w:p w14:paraId="7B417F4C" w14:textId="77777777" w:rsidR="00A47DEE" w:rsidRPr="00A45969" w:rsidRDefault="00A47DEE" w:rsidP="00A47DEE">
      <w:pPr>
        <w:rPr>
          <w:rFonts w:eastAsiaTheme="majorEastAsia" w:cstheme="minorHAnsi"/>
          <w:b/>
          <w:bCs/>
          <w:color w:val="FFFFFF" w:themeColor="background1"/>
          <w:sz w:val="8"/>
          <w:szCs w:val="8"/>
        </w:rPr>
      </w:pPr>
    </w:p>
    <w:p w14:paraId="1ABD7E46" w14:textId="77777777" w:rsidR="00A47DEE" w:rsidRPr="003D5CD7" w:rsidRDefault="00A47DEE" w:rsidP="00A47DEE">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after="240"/>
        <w:rPr>
          <w:rFonts w:asciiTheme="minorHAnsi" w:hAnsiTheme="minorHAnsi" w:cstheme="minorHAnsi"/>
          <w:b/>
          <w:bCs/>
          <w:color w:val="FFFFFF" w:themeColor="background1"/>
          <w:sz w:val="30"/>
          <w:szCs w:val="30"/>
        </w:rPr>
      </w:pPr>
      <w:bookmarkStart w:id="333" w:name="_Toc179577363"/>
      <w:r>
        <w:rPr>
          <w:rFonts w:asciiTheme="minorHAnsi" w:hAnsiTheme="minorHAnsi" w:cstheme="minorHAnsi"/>
          <w:b/>
          <w:bCs/>
          <w:color w:val="FFFFFF" w:themeColor="background1"/>
          <w:sz w:val="30"/>
          <w:szCs w:val="30"/>
        </w:rPr>
        <w:t xml:space="preserve">PARTIE IV : </w:t>
      </w:r>
      <w:r w:rsidRPr="003D5CD7">
        <w:rPr>
          <w:rFonts w:asciiTheme="minorHAnsi" w:hAnsiTheme="minorHAnsi" w:cstheme="minorHAnsi"/>
          <w:b/>
          <w:bCs/>
          <w:color w:val="FFFFFF" w:themeColor="background1"/>
          <w:sz w:val="30"/>
          <w:szCs w:val="30"/>
        </w:rPr>
        <w:t xml:space="preserve">MESURES, INITIATIVES </w:t>
      </w:r>
      <w:r>
        <w:rPr>
          <w:rFonts w:asciiTheme="minorHAnsi" w:hAnsiTheme="minorHAnsi" w:cstheme="minorHAnsi"/>
          <w:b/>
          <w:bCs/>
          <w:color w:val="FFFFFF" w:themeColor="background1"/>
          <w:sz w:val="30"/>
          <w:szCs w:val="30"/>
        </w:rPr>
        <w:t xml:space="preserve">ET PROGRAMMES </w:t>
      </w:r>
      <w:r w:rsidRPr="00F468F7">
        <w:rPr>
          <w:rFonts w:asciiTheme="minorHAnsi" w:hAnsiTheme="minorHAnsi" w:cstheme="minorHAnsi"/>
          <w:b/>
          <w:bCs/>
          <w:color w:val="FFFFFF" w:themeColor="background1"/>
          <w:sz w:val="30"/>
          <w:szCs w:val="30"/>
        </w:rPr>
        <w:t>D’ADAPTATION</w:t>
      </w:r>
      <w:bookmarkEnd w:id="333"/>
      <w:r w:rsidRPr="00F468F7">
        <w:rPr>
          <w:rFonts w:asciiTheme="minorHAnsi" w:hAnsiTheme="minorHAnsi" w:cstheme="minorHAnsi"/>
          <w:b/>
          <w:bCs/>
          <w:color w:val="FFFFFF" w:themeColor="background1"/>
          <w:sz w:val="30"/>
          <w:szCs w:val="30"/>
        </w:rPr>
        <w:t xml:space="preserve"> </w:t>
      </w:r>
    </w:p>
    <w:p w14:paraId="72A1FA0D" w14:textId="77777777" w:rsidR="00A47DEE" w:rsidRPr="00F5476C" w:rsidRDefault="00A47DEE" w:rsidP="00A47DEE">
      <w:pPr>
        <w:pStyle w:val="Paragraphedeliste"/>
        <w:keepNext/>
        <w:keepLines/>
        <w:numPr>
          <w:ilvl w:val="1"/>
          <w:numId w:val="384"/>
        </w:numPr>
        <w:shd w:val="clear" w:color="auto" w:fill="2E74B5" w:themeFill="accent5" w:themeFillShade="BF"/>
        <w:tabs>
          <w:tab w:val="left" w:pos="284"/>
        </w:tabs>
        <w:spacing w:before="40"/>
        <w:jc w:val="lowKashida"/>
        <w:outlineLvl w:val="2"/>
        <w:rPr>
          <w:rFonts w:eastAsia="Noto Sans CJK SC" w:cstheme="minorHAnsi"/>
          <w:b/>
          <w:bCs/>
          <w:color w:val="FFFFFF" w:themeColor="background1"/>
          <w:sz w:val="24"/>
          <w:szCs w:val="24"/>
          <w:lang w:bidi="hi-IN"/>
        </w:rPr>
      </w:pPr>
      <w:bookmarkStart w:id="334" w:name="_Toc179577364"/>
      <w:r w:rsidRPr="00F5476C">
        <w:rPr>
          <w:rFonts w:eastAsia="Noto Sans CJK SC" w:cstheme="minorHAnsi"/>
          <w:b/>
          <w:bCs/>
          <w:color w:val="FFFFFF" w:themeColor="background1"/>
          <w:sz w:val="24"/>
          <w:szCs w:val="24"/>
          <w:lang w:bidi="hi-IN"/>
        </w:rPr>
        <w:t>Capacités et ressources existantes et programmes prioritaires</w:t>
      </w:r>
      <w:bookmarkEnd w:id="334"/>
    </w:p>
    <w:p w14:paraId="4B02AE85" w14:textId="77777777" w:rsidR="00A47DEE" w:rsidRPr="00F468F7" w:rsidRDefault="00A47DEE" w:rsidP="00A47DEE">
      <w:pPr>
        <w:numPr>
          <w:ilvl w:val="0"/>
          <w:numId w:val="367"/>
        </w:numPr>
        <w:autoSpaceDE w:val="0"/>
        <w:autoSpaceDN w:val="0"/>
        <w:adjustRightInd w:val="0"/>
        <w:spacing w:after="0"/>
        <w:ind w:left="426" w:hanging="284"/>
        <w:contextualSpacing/>
        <w:jc w:val="lowKashida"/>
        <w:rPr>
          <w:rFonts w:ascii="Calibri" w:eastAsia="Calibri" w:hAnsi="Calibri" w:cs="Calibri"/>
          <w:color w:val="000000"/>
        </w:rPr>
      </w:pPr>
      <w:r w:rsidRPr="00F468F7">
        <w:rPr>
          <w:rFonts w:ascii="Calibri" w:eastAsia="Calibri" w:hAnsi="Calibri" w:cs="Calibri"/>
          <w:color w:val="000000"/>
        </w:rPr>
        <w:t>L’existence d’une série de programmes de planifications et de stratégies nationales (SCAPP, CDN, EBT, Programme-pays) et sectorielles (SDSR, PNDA) qui intègrent les changements climatiques ;</w:t>
      </w:r>
    </w:p>
    <w:p w14:paraId="40EE1070" w14:textId="77777777" w:rsidR="00A47DEE" w:rsidRPr="00F468F7" w:rsidRDefault="00A47DEE" w:rsidP="00A47DEE">
      <w:pPr>
        <w:numPr>
          <w:ilvl w:val="0"/>
          <w:numId w:val="367"/>
        </w:numPr>
        <w:autoSpaceDE w:val="0"/>
        <w:autoSpaceDN w:val="0"/>
        <w:adjustRightInd w:val="0"/>
        <w:spacing w:after="0"/>
        <w:ind w:left="426" w:hanging="284"/>
        <w:contextualSpacing/>
        <w:jc w:val="lowKashida"/>
        <w:rPr>
          <w:rFonts w:ascii="Calibri" w:eastAsia="Calibri" w:hAnsi="Calibri" w:cs="Calibri"/>
          <w:color w:val="000000"/>
        </w:rPr>
      </w:pPr>
      <w:r w:rsidRPr="00F468F7">
        <w:rPr>
          <w:rFonts w:ascii="Calibri" w:eastAsia="Calibri" w:hAnsi="Calibri" w:cs="Calibri"/>
          <w:color w:val="000000"/>
        </w:rPr>
        <w:t>Il y a beaucoup d’études sur l’exposition de l’agriculture aux CC, différents types de vulnérabilité, l’évaluation de besoins en transfert des technologies, ainsi que d’autres problématiques liées aux risques (Sècheresse, inondations, etc…).</w:t>
      </w:r>
    </w:p>
    <w:p w14:paraId="07F976A7" w14:textId="77777777" w:rsidR="00A47DEE" w:rsidRPr="00F468F7" w:rsidRDefault="00A47DEE" w:rsidP="00A47DEE">
      <w:pPr>
        <w:numPr>
          <w:ilvl w:val="0"/>
          <w:numId w:val="367"/>
        </w:numPr>
        <w:autoSpaceDE w:val="0"/>
        <w:autoSpaceDN w:val="0"/>
        <w:adjustRightInd w:val="0"/>
        <w:spacing w:after="0"/>
        <w:ind w:left="426" w:hanging="284"/>
        <w:contextualSpacing/>
        <w:jc w:val="lowKashida"/>
        <w:rPr>
          <w:rFonts w:ascii="Calibri" w:eastAsia="Calibri" w:hAnsi="Calibri" w:cs="Calibri"/>
          <w:color w:val="000000"/>
        </w:rPr>
      </w:pPr>
      <w:r w:rsidRPr="00F468F7">
        <w:rPr>
          <w:rFonts w:ascii="Calibri" w:eastAsia="Calibri" w:hAnsi="Calibri" w:cs="Calibri"/>
          <w:color w:val="000000"/>
        </w:rPr>
        <w:t>Existence de point focal CC /MDR chargé de coordonner avec le MEDD et les autres départements, les activités multisectorielles CC.</w:t>
      </w:r>
    </w:p>
    <w:p w14:paraId="08498F9B" w14:textId="77777777" w:rsidR="00A47DEE" w:rsidRPr="00F468F7" w:rsidRDefault="00A47DEE" w:rsidP="00A47DEE">
      <w:pPr>
        <w:numPr>
          <w:ilvl w:val="0"/>
          <w:numId w:val="367"/>
        </w:numPr>
        <w:autoSpaceDE w:val="0"/>
        <w:autoSpaceDN w:val="0"/>
        <w:adjustRightInd w:val="0"/>
        <w:spacing w:after="0"/>
        <w:ind w:left="426" w:hanging="284"/>
        <w:contextualSpacing/>
        <w:jc w:val="lowKashida"/>
        <w:rPr>
          <w:rFonts w:ascii="Calibri" w:eastAsia="Calibri" w:hAnsi="Calibri" w:cs="Calibri"/>
          <w:color w:val="000000"/>
        </w:rPr>
      </w:pPr>
      <w:r w:rsidRPr="00F468F7">
        <w:rPr>
          <w:rFonts w:ascii="Calibri" w:eastAsia="Calibri" w:hAnsi="Calibri" w:cs="Calibri"/>
          <w:color w:val="000000"/>
        </w:rPr>
        <w:t xml:space="preserve">La recherche agricole dispose de 10 stations de recherche. </w:t>
      </w:r>
    </w:p>
    <w:p w14:paraId="0916E3DC" w14:textId="77777777" w:rsidR="00A47DEE" w:rsidRPr="00F468F7" w:rsidRDefault="00A47DEE" w:rsidP="00A47DEE">
      <w:pPr>
        <w:numPr>
          <w:ilvl w:val="0"/>
          <w:numId w:val="367"/>
        </w:numPr>
        <w:autoSpaceDE w:val="0"/>
        <w:autoSpaceDN w:val="0"/>
        <w:adjustRightInd w:val="0"/>
        <w:spacing w:after="0"/>
        <w:ind w:left="426" w:hanging="284"/>
        <w:contextualSpacing/>
        <w:jc w:val="lowKashida"/>
        <w:rPr>
          <w:rFonts w:ascii="Calibri" w:eastAsia="Calibri" w:hAnsi="Calibri" w:cs="Calibri"/>
          <w:color w:val="000000"/>
        </w:rPr>
      </w:pPr>
      <w:r w:rsidRPr="00F468F7">
        <w:rPr>
          <w:rFonts w:ascii="Calibri" w:eastAsia="Calibri" w:hAnsi="Calibri" w:cs="Calibri"/>
          <w:color w:val="000000"/>
        </w:rPr>
        <w:t>Existence de quatre (04) centres de formation agricole, l’Institut Supérieur d’Enseignement Technologique (ISET), l’École Nationale de Formation et de Vulgarisation Agricole (ENFVA), le Centre de Formation des Producteurs Ruraux de Boghé (CFPRB) et le Centre de Démonstration des Techniques Agricoles de M’Bagne (CDTAM), qui relèvent de l’ENFVA.</w:t>
      </w:r>
    </w:p>
    <w:p w14:paraId="4E302B63" w14:textId="77777777" w:rsidR="00A47DEE" w:rsidRPr="00F468F7" w:rsidRDefault="00A47DEE" w:rsidP="00A47DEE">
      <w:pPr>
        <w:numPr>
          <w:ilvl w:val="0"/>
          <w:numId w:val="367"/>
        </w:numPr>
        <w:autoSpaceDE w:val="0"/>
        <w:autoSpaceDN w:val="0"/>
        <w:adjustRightInd w:val="0"/>
        <w:spacing w:after="0"/>
        <w:ind w:left="426" w:hanging="284"/>
        <w:contextualSpacing/>
        <w:jc w:val="lowKashida"/>
        <w:rPr>
          <w:rFonts w:ascii="Calibri" w:eastAsia="Calibri" w:hAnsi="Calibri" w:cs="Calibri"/>
          <w:color w:val="000000"/>
        </w:rPr>
      </w:pPr>
      <w:r w:rsidRPr="00F468F7">
        <w:rPr>
          <w:rFonts w:ascii="Calibri" w:eastAsia="Calibri" w:hAnsi="Calibri" w:cs="Calibri"/>
          <w:color w:val="000000"/>
        </w:rPr>
        <w:t>Construction, Équipement et Appui du Laboratoire de Recherche-développement sur le palmier dattier (Culture In-vitro et phytopathologie) situé à Atar avec une capacité de production de plus de 100 000 vitro plants par an ;</w:t>
      </w:r>
    </w:p>
    <w:p w14:paraId="28FD6536" w14:textId="77777777" w:rsidR="00A47DEE" w:rsidRPr="00F468F7" w:rsidRDefault="00A47DEE" w:rsidP="00A47DEE">
      <w:pPr>
        <w:numPr>
          <w:ilvl w:val="0"/>
          <w:numId w:val="367"/>
        </w:numPr>
        <w:autoSpaceDE w:val="0"/>
        <w:autoSpaceDN w:val="0"/>
        <w:adjustRightInd w:val="0"/>
        <w:spacing w:after="0"/>
        <w:ind w:left="426" w:hanging="284"/>
        <w:contextualSpacing/>
        <w:jc w:val="lowKashida"/>
        <w:rPr>
          <w:rFonts w:ascii="Calibri" w:eastAsia="Calibri" w:hAnsi="Calibri" w:cs="Calibri"/>
          <w:color w:val="000000"/>
        </w:rPr>
      </w:pPr>
      <w:r w:rsidRPr="00F468F7">
        <w:rPr>
          <w:rFonts w:ascii="Calibri" w:eastAsia="Calibri" w:hAnsi="Calibri" w:cs="Calibri"/>
          <w:color w:val="000000"/>
        </w:rPr>
        <w:t>Construction et équipement de la première Unité de Conditionnement des Dattes et légumes en Mauritanie conformément aux normes internationales et la mise en place de la Société Toumour Mauritania (STM) située à Atar ;</w:t>
      </w:r>
    </w:p>
    <w:p w14:paraId="1C207FD8" w14:textId="77777777" w:rsidR="00A47DEE" w:rsidRPr="00F468F7" w:rsidRDefault="00A47DEE" w:rsidP="00A47DEE">
      <w:pPr>
        <w:numPr>
          <w:ilvl w:val="0"/>
          <w:numId w:val="367"/>
        </w:numPr>
        <w:autoSpaceDE w:val="0"/>
        <w:autoSpaceDN w:val="0"/>
        <w:adjustRightInd w:val="0"/>
        <w:spacing w:after="0"/>
        <w:ind w:left="426" w:hanging="284"/>
        <w:contextualSpacing/>
        <w:jc w:val="lowKashida"/>
        <w:rPr>
          <w:rFonts w:ascii="Calibri" w:eastAsia="Calibri" w:hAnsi="Calibri" w:cs="Calibri"/>
          <w:color w:val="000000"/>
        </w:rPr>
      </w:pPr>
      <w:r w:rsidRPr="00F468F7">
        <w:rPr>
          <w:rFonts w:ascii="Calibri" w:eastAsia="Calibri" w:hAnsi="Calibri" w:cs="Calibri"/>
          <w:color w:val="000000"/>
        </w:rPr>
        <w:t>Expérience du M</w:t>
      </w:r>
      <w:r>
        <w:rPr>
          <w:rFonts w:ascii="Calibri" w:eastAsia="Calibri" w:hAnsi="Calibri" w:cs="Calibri"/>
          <w:color w:val="000000"/>
        </w:rPr>
        <w:t>ASA</w:t>
      </w:r>
      <w:r w:rsidRPr="00F468F7">
        <w:rPr>
          <w:rFonts w:ascii="Calibri" w:eastAsia="Calibri" w:hAnsi="Calibri" w:cs="Calibri"/>
          <w:color w:val="000000"/>
        </w:rPr>
        <w:t xml:space="preserve"> dans la gestion des catastrophes liées au CC</w:t>
      </w:r>
    </w:p>
    <w:p w14:paraId="25D52FED" w14:textId="77777777" w:rsidR="00A47DEE" w:rsidRPr="00F468F7" w:rsidRDefault="00A47DEE" w:rsidP="00A47DEE">
      <w:pPr>
        <w:numPr>
          <w:ilvl w:val="0"/>
          <w:numId w:val="367"/>
        </w:numPr>
        <w:autoSpaceDE w:val="0"/>
        <w:autoSpaceDN w:val="0"/>
        <w:adjustRightInd w:val="0"/>
        <w:spacing w:after="0"/>
        <w:ind w:left="426" w:hanging="284"/>
        <w:contextualSpacing/>
        <w:jc w:val="lowKashida"/>
        <w:rPr>
          <w:rFonts w:ascii="Calibri" w:eastAsia="Calibri" w:hAnsi="Calibri" w:cs="Calibri"/>
          <w:color w:val="000000"/>
        </w:rPr>
      </w:pPr>
      <w:r w:rsidRPr="00F468F7">
        <w:rPr>
          <w:rFonts w:ascii="Calibri" w:eastAsia="Calibri" w:hAnsi="Calibri" w:cs="Calibri"/>
          <w:color w:val="000000"/>
        </w:rPr>
        <w:t>Le PIP prévoit, pour l’année 202</w:t>
      </w:r>
      <w:r>
        <w:rPr>
          <w:rFonts w:ascii="Calibri" w:eastAsia="Calibri" w:hAnsi="Calibri" w:cs="Calibri"/>
          <w:color w:val="000000"/>
        </w:rPr>
        <w:t>6</w:t>
      </w:r>
      <w:r w:rsidRPr="00F468F7">
        <w:rPr>
          <w:rFonts w:ascii="Calibri" w:eastAsia="Calibri" w:hAnsi="Calibri" w:cs="Calibri"/>
          <w:color w:val="000000"/>
        </w:rPr>
        <w:t xml:space="preserve">, une enveloppe financière de </w:t>
      </w:r>
      <w:r>
        <w:rPr>
          <w:rFonts w:ascii="Calibri" w:eastAsia="Calibri" w:hAnsi="Calibri" w:cs="Calibri"/>
          <w:color w:val="000000"/>
        </w:rPr>
        <w:t>31 730</w:t>
      </w:r>
      <w:r w:rsidRPr="00F468F7">
        <w:rPr>
          <w:rFonts w:ascii="Calibri" w:eastAsia="Calibri" w:hAnsi="Calibri" w:cs="Calibri"/>
          <w:color w:val="000000"/>
        </w:rPr>
        <w:t xml:space="preserve"> M.MRU pour l’agriculture et le génie rural (non compris l’hydraulique villageoise). </w:t>
      </w:r>
    </w:p>
    <w:p w14:paraId="7E9C623F" w14:textId="77777777" w:rsidR="00A47DEE" w:rsidRDefault="00A47DEE" w:rsidP="00A47DEE">
      <w:pPr>
        <w:numPr>
          <w:ilvl w:val="0"/>
          <w:numId w:val="367"/>
        </w:numPr>
        <w:autoSpaceDE w:val="0"/>
        <w:autoSpaceDN w:val="0"/>
        <w:adjustRightInd w:val="0"/>
        <w:spacing w:after="0"/>
        <w:ind w:left="426" w:hanging="284"/>
        <w:contextualSpacing/>
        <w:jc w:val="lowKashida"/>
        <w:rPr>
          <w:rFonts w:ascii="Calibri" w:eastAsia="Calibri" w:hAnsi="Calibri" w:cs="Calibri"/>
          <w:color w:val="000000"/>
        </w:rPr>
      </w:pPr>
      <w:r w:rsidRPr="00F468F7">
        <w:rPr>
          <w:rFonts w:ascii="Calibri" w:eastAsia="Calibri" w:hAnsi="Calibri" w:cs="Calibri"/>
          <w:color w:val="000000"/>
        </w:rPr>
        <w:t xml:space="preserve">Le département chargé de l’agriculture est appuyé par plusieurs partenaires techniques et financiers (FSD, BM-IDA, </w:t>
      </w:r>
      <w:proofErr w:type="gramStart"/>
      <w:r w:rsidRPr="00F468F7">
        <w:rPr>
          <w:rFonts w:ascii="Calibri" w:eastAsia="Calibri" w:hAnsi="Calibri" w:cs="Calibri"/>
          <w:color w:val="000000"/>
        </w:rPr>
        <w:t>FIDA,UE</w:t>
      </w:r>
      <w:proofErr w:type="gramEnd"/>
      <w:r w:rsidRPr="00F468F7">
        <w:rPr>
          <w:rFonts w:ascii="Calibri" w:eastAsia="Calibri" w:hAnsi="Calibri" w:cs="Calibri"/>
          <w:color w:val="000000"/>
        </w:rPr>
        <w:t>, AFD, BID, BAD, FAO, RFA –KFW, etc.).</w:t>
      </w:r>
    </w:p>
    <w:p w14:paraId="50721235" w14:textId="77777777" w:rsidR="00A47DEE" w:rsidRPr="00F468F7" w:rsidRDefault="00A47DEE" w:rsidP="00A47DEE">
      <w:pPr>
        <w:autoSpaceDE w:val="0"/>
        <w:autoSpaceDN w:val="0"/>
        <w:adjustRightInd w:val="0"/>
        <w:spacing w:after="0"/>
        <w:ind w:left="426"/>
        <w:contextualSpacing/>
        <w:jc w:val="lowKashida"/>
        <w:rPr>
          <w:rFonts w:ascii="Calibri" w:eastAsia="Calibri" w:hAnsi="Calibri" w:cs="Calibri"/>
          <w:color w:val="000000"/>
        </w:rPr>
      </w:pPr>
    </w:p>
    <w:p w14:paraId="433156E4" w14:textId="77777777" w:rsidR="00A47DEE" w:rsidRPr="00F468F7" w:rsidRDefault="00A47DEE" w:rsidP="00A47DEE">
      <w:pPr>
        <w:pStyle w:val="Paragraphedeliste"/>
        <w:keepNext/>
        <w:keepLines/>
        <w:numPr>
          <w:ilvl w:val="1"/>
          <w:numId w:val="384"/>
        </w:numPr>
        <w:shd w:val="clear" w:color="auto" w:fill="2E74B5" w:themeFill="accent5" w:themeFillShade="BF"/>
        <w:tabs>
          <w:tab w:val="left" w:pos="284"/>
        </w:tabs>
        <w:spacing w:before="40"/>
        <w:jc w:val="lowKashida"/>
        <w:outlineLvl w:val="2"/>
        <w:rPr>
          <w:rFonts w:eastAsia="Noto Sans CJK SC" w:cstheme="minorHAnsi"/>
          <w:b/>
          <w:bCs/>
          <w:color w:val="FFFFFF" w:themeColor="background1"/>
          <w:sz w:val="24"/>
          <w:szCs w:val="24"/>
          <w:lang w:bidi="hi-IN"/>
        </w:rPr>
      </w:pPr>
      <w:bookmarkStart w:id="335" w:name="_Toc419023116"/>
      <w:bookmarkStart w:id="336" w:name="_Toc419024104"/>
      <w:bookmarkStart w:id="337" w:name="_Toc419024191"/>
      <w:bookmarkStart w:id="338" w:name="_Toc419024235"/>
      <w:bookmarkStart w:id="339" w:name="_Toc420701471"/>
      <w:bookmarkStart w:id="340" w:name="_Toc420701759"/>
      <w:bookmarkStart w:id="341" w:name="_Toc424810670"/>
      <w:bookmarkStart w:id="342" w:name="_Toc424810870"/>
      <w:bookmarkStart w:id="343" w:name="_Toc424811073"/>
      <w:bookmarkStart w:id="344" w:name="_Toc424811253"/>
      <w:bookmarkStart w:id="345" w:name="_Toc427659281"/>
      <w:bookmarkStart w:id="346" w:name="_Toc479430962"/>
      <w:bookmarkStart w:id="347" w:name="_Toc51580728"/>
      <w:bookmarkStart w:id="348" w:name="_Toc179577365"/>
      <w:r w:rsidRPr="00F468F7">
        <w:rPr>
          <w:rFonts w:eastAsia="Noto Sans CJK SC" w:cstheme="minorHAnsi"/>
          <w:b/>
          <w:bCs/>
          <w:color w:val="FFFFFF" w:themeColor="background1"/>
          <w:sz w:val="24"/>
          <w:szCs w:val="24"/>
          <w:lang w:bidi="hi-IN"/>
        </w:rPr>
        <w:t xml:space="preserve">Revue des projets en cours et en </w:t>
      </w:r>
      <w:bookmarkEnd w:id="335"/>
      <w:bookmarkEnd w:id="336"/>
      <w:bookmarkEnd w:id="337"/>
      <w:bookmarkEnd w:id="338"/>
      <w:bookmarkEnd w:id="339"/>
      <w:bookmarkEnd w:id="340"/>
      <w:bookmarkEnd w:id="341"/>
      <w:bookmarkEnd w:id="342"/>
      <w:bookmarkEnd w:id="343"/>
      <w:bookmarkEnd w:id="344"/>
      <w:bookmarkEnd w:id="345"/>
      <w:bookmarkEnd w:id="346"/>
      <w:r w:rsidRPr="00F468F7">
        <w:rPr>
          <w:rFonts w:eastAsia="Noto Sans CJK SC" w:cstheme="minorHAnsi"/>
          <w:b/>
          <w:bCs/>
          <w:color w:val="FFFFFF" w:themeColor="background1"/>
          <w:sz w:val="24"/>
          <w:szCs w:val="24"/>
          <w:lang w:bidi="hi-IN"/>
        </w:rPr>
        <w:t>préparation</w:t>
      </w:r>
      <w:bookmarkEnd w:id="347"/>
      <w:bookmarkEnd w:id="348"/>
      <w:r w:rsidRPr="00F468F7">
        <w:rPr>
          <w:rFonts w:eastAsia="Noto Sans CJK SC" w:cstheme="minorHAnsi"/>
          <w:b/>
          <w:bCs/>
          <w:color w:val="FFFFFF" w:themeColor="background1"/>
          <w:sz w:val="24"/>
          <w:szCs w:val="24"/>
          <w:lang w:bidi="hi-IN"/>
        </w:rPr>
        <w:t xml:space="preserve"> </w:t>
      </w:r>
    </w:p>
    <w:p w14:paraId="56DF4849" w14:textId="77777777" w:rsidR="00A47DEE" w:rsidRPr="00863556" w:rsidRDefault="00A47DEE" w:rsidP="00A47DEE">
      <w:pPr>
        <w:widowControl w:val="0"/>
        <w:tabs>
          <w:tab w:val="num" w:pos="1440"/>
        </w:tabs>
        <w:spacing w:after="120"/>
        <w:jc w:val="both"/>
        <w:rPr>
          <w:rFonts w:eastAsia="Calibri" w:cstheme="minorHAnsi"/>
          <w:color w:val="000000"/>
        </w:rPr>
      </w:pPr>
      <w:r w:rsidRPr="00863556">
        <w:rPr>
          <w:rFonts w:eastAsia="Calibri" w:cstheme="minorHAnsi"/>
          <w:color w:val="000000"/>
        </w:rPr>
        <w:t>En réponse à la situation décrite précédemment, l’État, à travers le MDR, met en œuvre plusieurs programmes d’adaptation, qui, malheureusement, sont pour le court terme. Cette série de projets/programmes (en cours ou en préparation) participent à la mise en œuvre du PNDA et contribuent à la mise en œuvre de la SCAPP. Il s’agit de projets financés par l’État sur fonds propres (PDRI), ou à travers des projets mis en œuvre avec l’appui des partenaires techniques et financiers (FSD, BM-IDA, UE, FIDA, AFD, BID, BAD, FAO, RFA –KFW, etc.).</w:t>
      </w:r>
    </w:p>
    <w:p w14:paraId="4EE50218" w14:textId="77777777" w:rsidR="00A47DEE" w:rsidRDefault="00A47DEE" w:rsidP="00A47DEE">
      <w:pPr>
        <w:widowControl w:val="0"/>
        <w:tabs>
          <w:tab w:val="num" w:pos="1440"/>
        </w:tabs>
        <w:spacing w:after="120"/>
        <w:jc w:val="both"/>
        <w:rPr>
          <w:rFonts w:cstheme="minorHAnsi"/>
        </w:rPr>
      </w:pPr>
      <w:r w:rsidRPr="003D5CD7">
        <w:rPr>
          <w:rFonts w:eastAsia="Calibri" w:cstheme="minorHAnsi"/>
          <w:color w:val="000000"/>
        </w:rPr>
        <w:t xml:space="preserve">Les projets et programmes en cours ou prévus peuvent être répartis en quatre groupes respectivement axés sur (i) la production agricole, (ii) la compétitivité des filières agricoles, (iii) les services agricoles, et (iv) l’amélioration de la gestion durable des ressources naturelles. </w:t>
      </w:r>
    </w:p>
    <w:p w14:paraId="428E29EF" w14:textId="77777777" w:rsidR="00A47DEE" w:rsidRDefault="00A47DEE" w:rsidP="00A47DEE">
      <w:pPr>
        <w:rPr>
          <w:rFonts w:cstheme="minorHAnsi"/>
        </w:rPr>
      </w:pPr>
    </w:p>
    <w:p w14:paraId="62EBA025" w14:textId="77777777" w:rsidR="00A47DEE" w:rsidRPr="00F468F7" w:rsidRDefault="00A47DEE" w:rsidP="00A47DEE">
      <w:pPr>
        <w:rPr>
          <w:rFonts w:cstheme="minorHAnsi"/>
        </w:rPr>
        <w:sectPr w:rsidR="00A47DEE" w:rsidRPr="00F468F7" w:rsidSect="00A47DEE">
          <w:headerReference w:type="default" r:id="rId211"/>
          <w:footerReference w:type="default" r:id="rId212"/>
          <w:pgSz w:w="11906" w:h="16838"/>
          <w:pgMar w:top="1417" w:right="1417" w:bottom="1417" w:left="1417" w:header="708" w:footer="708" w:gutter="0"/>
          <w:cols w:space="720"/>
        </w:sectPr>
      </w:pPr>
    </w:p>
    <w:p w14:paraId="046BA1FB" w14:textId="77777777" w:rsidR="00A47DEE" w:rsidRPr="00F468F7" w:rsidRDefault="00A47DEE" w:rsidP="00A47DEE">
      <w:pPr>
        <w:keepNext/>
        <w:jc w:val="both"/>
        <w:rPr>
          <w:rFonts w:eastAsia="Calibri" w:cstheme="minorHAnsi"/>
          <w:b/>
          <w:bCs/>
          <w:color w:val="0070C0"/>
          <w:sz w:val="20"/>
          <w:szCs w:val="20"/>
        </w:rPr>
      </w:pPr>
      <w:bookmarkStart w:id="349" w:name="_Toc51580163"/>
      <w:bookmarkStart w:id="350" w:name="_Toc78311338"/>
      <w:r w:rsidRPr="00C438C1">
        <w:rPr>
          <w:rFonts w:eastAsia="Calibri" w:cstheme="minorHAnsi"/>
          <w:b/>
          <w:bCs/>
          <w:color w:val="0070C0"/>
          <w:sz w:val="20"/>
          <w:szCs w:val="20"/>
        </w:rPr>
        <w:t>Programme d'Investissement Public</w:t>
      </w:r>
      <w:r w:rsidRPr="00F468F7">
        <w:rPr>
          <w:rFonts w:eastAsia="Calibri" w:cstheme="minorHAnsi"/>
          <w:b/>
          <w:bCs/>
          <w:color w:val="0070C0"/>
          <w:sz w:val="20"/>
          <w:szCs w:val="20"/>
        </w:rPr>
        <w:t xml:space="preserve"> (PIP)</w:t>
      </w:r>
      <w:r w:rsidRPr="00C438C1">
        <w:rPr>
          <w:rFonts w:eastAsia="Calibri" w:cstheme="minorHAnsi"/>
          <w:b/>
          <w:bCs/>
          <w:color w:val="0070C0"/>
          <w:sz w:val="20"/>
          <w:szCs w:val="20"/>
        </w:rPr>
        <w:t xml:space="preserve"> 20</w:t>
      </w:r>
      <w:r w:rsidRPr="00F468F7">
        <w:rPr>
          <w:rFonts w:eastAsia="Calibri" w:cstheme="minorHAnsi"/>
          <w:b/>
          <w:bCs/>
          <w:color w:val="0070C0"/>
          <w:sz w:val="20"/>
          <w:szCs w:val="20"/>
        </w:rPr>
        <w:t>23</w:t>
      </w:r>
      <w:r w:rsidRPr="00C438C1">
        <w:rPr>
          <w:rFonts w:eastAsia="Calibri" w:cstheme="minorHAnsi"/>
          <w:b/>
          <w:bCs/>
          <w:color w:val="0070C0"/>
          <w:sz w:val="20"/>
          <w:szCs w:val="20"/>
        </w:rPr>
        <w:t>-202</w:t>
      </w:r>
      <w:r w:rsidRPr="00F468F7">
        <w:rPr>
          <w:rFonts w:eastAsia="Calibri" w:cstheme="minorHAnsi"/>
          <w:b/>
          <w:bCs/>
          <w:color w:val="0070C0"/>
          <w:sz w:val="20"/>
          <w:szCs w:val="20"/>
        </w:rPr>
        <w:t>6</w:t>
      </w:r>
      <w:r w:rsidRPr="00C438C1">
        <w:rPr>
          <w:rFonts w:eastAsia="Calibri" w:cstheme="minorHAnsi"/>
          <w:b/>
          <w:bCs/>
          <w:color w:val="0070C0"/>
          <w:sz w:val="20"/>
          <w:szCs w:val="20"/>
        </w:rPr>
        <w:t>/Secteur de l’Agriculture</w:t>
      </w:r>
      <w:bookmarkEnd w:id="349"/>
      <w:bookmarkEnd w:id="350"/>
    </w:p>
    <w:tbl>
      <w:tblPr>
        <w:tblStyle w:val="Grilleclaire1"/>
        <w:tblW w:w="16019" w:type="dxa"/>
        <w:tblInd w:w="-289" w:type="dxa"/>
        <w:tblLayout w:type="fixed"/>
        <w:tblLook w:val="04A0" w:firstRow="1" w:lastRow="0" w:firstColumn="1" w:lastColumn="0" w:noHBand="0" w:noVBand="1"/>
      </w:tblPr>
      <w:tblGrid>
        <w:gridCol w:w="3119"/>
        <w:gridCol w:w="1333"/>
        <w:gridCol w:w="1178"/>
        <w:gridCol w:w="1033"/>
        <w:gridCol w:w="1322"/>
        <w:gridCol w:w="1178"/>
        <w:gridCol w:w="1177"/>
        <w:gridCol w:w="1178"/>
        <w:gridCol w:w="1178"/>
        <w:gridCol w:w="1177"/>
        <w:gridCol w:w="1178"/>
        <w:gridCol w:w="968"/>
      </w:tblGrid>
      <w:tr w:rsidR="00A47DEE" w:rsidRPr="00F468F7" w14:paraId="0EFC631F" w14:textId="77777777" w:rsidTr="00EE0E23">
        <w:trPr>
          <w:cnfStyle w:val="100000000000" w:firstRow="1" w:lastRow="0" w:firstColumn="0" w:lastColumn="0" w:oddVBand="0" w:evenVBand="0" w:oddHBand="0"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311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031DB4C" w14:textId="77777777" w:rsidR="00A47DEE" w:rsidRPr="00F468F7" w:rsidRDefault="00A47DEE" w:rsidP="00EE0E23">
            <w:pPr>
              <w:jc w:val="center"/>
              <w:rPr>
                <w:rFonts w:asciiTheme="minorHAnsi" w:hAnsiTheme="minorHAnsi" w:cstheme="minorHAnsi"/>
                <w:sz w:val="18"/>
                <w:szCs w:val="18"/>
              </w:rPr>
            </w:pPr>
            <w:r w:rsidRPr="009739B9">
              <w:rPr>
                <w:rFonts w:asciiTheme="minorHAnsi" w:hAnsiTheme="minorHAnsi" w:cstheme="minorHAnsi"/>
                <w:sz w:val="18"/>
                <w:szCs w:val="18"/>
              </w:rPr>
              <w:t>Intitulé du Projet</w:t>
            </w:r>
          </w:p>
        </w:tc>
        <w:tc>
          <w:tcPr>
            <w:tcW w:w="133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3B6C688"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39B9">
              <w:rPr>
                <w:rFonts w:asciiTheme="minorHAnsi" w:hAnsiTheme="minorHAnsi" w:cstheme="minorHAnsi"/>
                <w:sz w:val="18"/>
                <w:szCs w:val="18"/>
              </w:rPr>
              <w:t>Durée</w:t>
            </w:r>
          </w:p>
        </w:tc>
        <w:tc>
          <w:tcPr>
            <w:tcW w:w="117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5EB13AB"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39B9">
              <w:rPr>
                <w:rFonts w:asciiTheme="minorHAnsi" w:hAnsiTheme="minorHAnsi" w:cstheme="minorHAnsi"/>
                <w:sz w:val="18"/>
                <w:szCs w:val="18"/>
              </w:rPr>
              <w:t>Agence d'Exécution</w:t>
            </w:r>
          </w:p>
        </w:tc>
        <w:tc>
          <w:tcPr>
            <w:tcW w:w="103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65E4CCD"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39B9">
              <w:rPr>
                <w:rFonts w:asciiTheme="minorHAnsi" w:hAnsiTheme="minorHAnsi" w:cstheme="minorHAnsi"/>
                <w:sz w:val="18"/>
                <w:szCs w:val="18"/>
              </w:rPr>
              <w:t>Bailleur</w:t>
            </w:r>
          </w:p>
        </w:tc>
        <w:tc>
          <w:tcPr>
            <w:tcW w:w="132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AB551D5"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39B9">
              <w:rPr>
                <w:rFonts w:asciiTheme="minorHAnsi" w:hAnsiTheme="minorHAnsi" w:cstheme="minorHAnsi"/>
                <w:sz w:val="18"/>
                <w:szCs w:val="18"/>
              </w:rPr>
              <w:t>Nature Financement</w:t>
            </w:r>
          </w:p>
        </w:tc>
        <w:tc>
          <w:tcPr>
            <w:tcW w:w="117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9110782"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39B9">
              <w:rPr>
                <w:rFonts w:asciiTheme="minorHAnsi" w:hAnsiTheme="minorHAnsi" w:cstheme="minorHAnsi"/>
                <w:sz w:val="18"/>
                <w:szCs w:val="18"/>
              </w:rPr>
              <w:t>Maturité du financement</w:t>
            </w:r>
          </w:p>
        </w:tc>
        <w:tc>
          <w:tcPr>
            <w:tcW w:w="117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D59E9BB"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39B9">
              <w:rPr>
                <w:rFonts w:asciiTheme="minorHAnsi" w:hAnsiTheme="minorHAnsi" w:cstheme="minorHAnsi"/>
                <w:sz w:val="18"/>
                <w:szCs w:val="18"/>
              </w:rPr>
              <w:t>Coût en million MRU</w:t>
            </w:r>
          </w:p>
        </w:tc>
        <w:tc>
          <w:tcPr>
            <w:tcW w:w="5679"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D688D2A"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39B9">
              <w:rPr>
                <w:rFonts w:asciiTheme="minorHAnsi" w:hAnsiTheme="minorHAnsi" w:cstheme="minorHAnsi"/>
                <w:sz w:val="18"/>
                <w:szCs w:val="18"/>
              </w:rPr>
              <w:t>Programmation</w:t>
            </w:r>
            <w:r w:rsidRPr="00F468F7">
              <w:rPr>
                <w:rFonts w:asciiTheme="minorHAnsi" w:hAnsiTheme="minorHAnsi" w:cstheme="minorHAnsi"/>
                <w:sz w:val="18"/>
                <w:szCs w:val="18"/>
              </w:rPr>
              <w:t xml:space="preserve"> </w:t>
            </w:r>
            <w:r w:rsidRPr="009739B9">
              <w:rPr>
                <w:rFonts w:asciiTheme="minorHAnsi" w:hAnsiTheme="minorHAnsi" w:cstheme="minorHAnsi"/>
                <w:sz w:val="18"/>
                <w:szCs w:val="18"/>
              </w:rPr>
              <w:t>en million MRU</w:t>
            </w:r>
          </w:p>
        </w:tc>
      </w:tr>
      <w:tr w:rsidR="00A47DEE" w:rsidRPr="00F468F7" w14:paraId="33988A83" w14:textId="77777777" w:rsidTr="00EE0E2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11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3734E18" w14:textId="77777777" w:rsidR="00A47DEE" w:rsidRPr="009739B9" w:rsidRDefault="00A47DEE" w:rsidP="00EE0E23">
            <w:pPr>
              <w:jc w:val="center"/>
              <w:rPr>
                <w:rFonts w:asciiTheme="minorHAnsi" w:hAnsiTheme="minorHAnsi" w:cstheme="minorHAnsi"/>
                <w:sz w:val="18"/>
                <w:szCs w:val="18"/>
              </w:rPr>
            </w:pPr>
          </w:p>
        </w:tc>
        <w:tc>
          <w:tcPr>
            <w:tcW w:w="133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9879A2D"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p>
        </w:tc>
        <w:tc>
          <w:tcPr>
            <w:tcW w:w="117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23297AC"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p>
        </w:tc>
        <w:tc>
          <w:tcPr>
            <w:tcW w:w="103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9F18DE8"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p>
        </w:tc>
        <w:tc>
          <w:tcPr>
            <w:tcW w:w="132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2DDD0C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p>
        </w:tc>
        <w:tc>
          <w:tcPr>
            <w:tcW w:w="117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29E3CEE"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p>
        </w:tc>
        <w:tc>
          <w:tcPr>
            <w:tcW w:w="117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B942E82"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p>
        </w:tc>
        <w:tc>
          <w:tcPr>
            <w:tcW w:w="1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EC905F8"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 xml:space="preserve">2023 </w:t>
            </w:r>
          </w:p>
        </w:tc>
        <w:tc>
          <w:tcPr>
            <w:tcW w:w="1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0F6E5A5"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F468F7">
              <w:rPr>
                <w:rFonts w:eastAsia="Times New Roman" w:cstheme="minorHAnsi"/>
                <w:sz w:val="18"/>
                <w:szCs w:val="18"/>
              </w:rPr>
              <w:t>2024</w:t>
            </w:r>
          </w:p>
        </w:tc>
        <w:tc>
          <w:tcPr>
            <w:tcW w:w="11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AD4A9CF"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F468F7">
              <w:rPr>
                <w:rFonts w:eastAsia="Times New Roman" w:cstheme="minorHAnsi"/>
                <w:sz w:val="18"/>
                <w:szCs w:val="18"/>
              </w:rPr>
              <w:t>2025</w:t>
            </w:r>
          </w:p>
        </w:tc>
        <w:tc>
          <w:tcPr>
            <w:tcW w:w="1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B832CE3"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F468F7">
              <w:rPr>
                <w:rFonts w:eastAsia="Times New Roman" w:cstheme="minorHAnsi"/>
                <w:sz w:val="18"/>
                <w:szCs w:val="18"/>
              </w:rPr>
              <w:t>2026</w:t>
            </w:r>
          </w:p>
        </w:tc>
        <w:tc>
          <w:tcPr>
            <w:tcW w:w="9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25DCD45"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F468F7">
              <w:rPr>
                <w:rFonts w:eastAsia="Times New Roman" w:cstheme="minorHAnsi"/>
                <w:sz w:val="18"/>
                <w:szCs w:val="18"/>
              </w:rPr>
              <w:t>2023-2026</w:t>
            </w:r>
          </w:p>
        </w:tc>
      </w:tr>
      <w:tr w:rsidR="00A47DEE" w:rsidRPr="00F468F7" w14:paraId="001A280C" w14:textId="77777777" w:rsidTr="00EE0E23">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FFFFFF" w:themeColor="background1"/>
            </w:tcBorders>
            <w:hideMark/>
          </w:tcPr>
          <w:p w14:paraId="7E069123"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Projet de développement des filières inclusives (PRODEFI)</w:t>
            </w:r>
          </w:p>
        </w:tc>
        <w:tc>
          <w:tcPr>
            <w:tcW w:w="1333" w:type="dxa"/>
            <w:tcBorders>
              <w:top w:val="single" w:sz="4" w:space="0" w:color="FFFFFF" w:themeColor="background1"/>
            </w:tcBorders>
            <w:hideMark/>
          </w:tcPr>
          <w:p w14:paraId="5CFAEBD7"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18-25</w:t>
            </w:r>
          </w:p>
        </w:tc>
        <w:tc>
          <w:tcPr>
            <w:tcW w:w="1178" w:type="dxa"/>
            <w:tcBorders>
              <w:top w:val="single" w:sz="4" w:space="0" w:color="FFFFFF" w:themeColor="background1"/>
            </w:tcBorders>
            <w:hideMark/>
          </w:tcPr>
          <w:p w14:paraId="2136885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UG-PRODEFI</w:t>
            </w:r>
          </w:p>
        </w:tc>
        <w:tc>
          <w:tcPr>
            <w:tcW w:w="1033" w:type="dxa"/>
            <w:tcBorders>
              <w:top w:val="single" w:sz="4" w:space="0" w:color="FFFFFF" w:themeColor="background1"/>
            </w:tcBorders>
            <w:hideMark/>
          </w:tcPr>
          <w:p w14:paraId="44189D3C"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FIDA</w:t>
            </w:r>
          </w:p>
        </w:tc>
        <w:tc>
          <w:tcPr>
            <w:tcW w:w="1322" w:type="dxa"/>
            <w:tcBorders>
              <w:top w:val="single" w:sz="4" w:space="0" w:color="FFFFFF" w:themeColor="background1"/>
            </w:tcBorders>
            <w:hideMark/>
          </w:tcPr>
          <w:p w14:paraId="7F54F2C4"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tcBorders>
              <w:top w:val="single" w:sz="4" w:space="0" w:color="FFFFFF" w:themeColor="background1"/>
            </w:tcBorders>
            <w:hideMark/>
          </w:tcPr>
          <w:p w14:paraId="78F23F9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tcBorders>
              <w:top w:val="single" w:sz="4" w:space="0" w:color="FFFFFF" w:themeColor="background1"/>
            </w:tcBorders>
            <w:hideMark/>
          </w:tcPr>
          <w:p w14:paraId="007E5D6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516,00</w:t>
            </w:r>
          </w:p>
        </w:tc>
        <w:tc>
          <w:tcPr>
            <w:tcW w:w="1178" w:type="dxa"/>
            <w:tcBorders>
              <w:top w:val="single" w:sz="4" w:space="0" w:color="FFFFFF" w:themeColor="background1"/>
            </w:tcBorders>
            <w:hideMark/>
          </w:tcPr>
          <w:p w14:paraId="0AD1C7EF"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57,00</w:t>
            </w:r>
          </w:p>
        </w:tc>
        <w:tc>
          <w:tcPr>
            <w:tcW w:w="1178" w:type="dxa"/>
            <w:tcBorders>
              <w:top w:val="single" w:sz="4" w:space="0" w:color="FFFFFF" w:themeColor="background1"/>
            </w:tcBorders>
            <w:hideMark/>
          </w:tcPr>
          <w:p w14:paraId="2CEFBFF1"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76,00</w:t>
            </w:r>
          </w:p>
        </w:tc>
        <w:tc>
          <w:tcPr>
            <w:tcW w:w="1177" w:type="dxa"/>
            <w:tcBorders>
              <w:top w:val="single" w:sz="4" w:space="0" w:color="FFFFFF" w:themeColor="background1"/>
            </w:tcBorders>
            <w:hideMark/>
          </w:tcPr>
          <w:p w14:paraId="04A354A9"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tcBorders>
              <w:top w:val="single" w:sz="4" w:space="0" w:color="FFFFFF" w:themeColor="background1"/>
            </w:tcBorders>
            <w:hideMark/>
          </w:tcPr>
          <w:p w14:paraId="08F399E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tcBorders>
              <w:top w:val="single" w:sz="4" w:space="0" w:color="FFFFFF" w:themeColor="background1"/>
            </w:tcBorders>
            <w:hideMark/>
          </w:tcPr>
          <w:p w14:paraId="0463B4C2"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133,00</w:t>
            </w:r>
          </w:p>
        </w:tc>
      </w:tr>
      <w:tr w:rsidR="00A47DEE" w:rsidRPr="00F468F7" w14:paraId="4C1B9E1C" w14:textId="77777777" w:rsidTr="00EE0E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067EFA9D"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Projet de développement des filières inclusives (PRODEFI)</w:t>
            </w:r>
          </w:p>
        </w:tc>
        <w:tc>
          <w:tcPr>
            <w:tcW w:w="1333" w:type="dxa"/>
            <w:hideMark/>
          </w:tcPr>
          <w:p w14:paraId="5061153E"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18-25</w:t>
            </w:r>
          </w:p>
        </w:tc>
        <w:tc>
          <w:tcPr>
            <w:tcW w:w="1178" w:type="dxa"/>
            <w:hideMark/>
          </w:tcPr>
          <w:p w14:paraId="3778BE91"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UG-PRODEFI</w:t>
            </w:r>
          </w:p>
        </w:tc>
        <w:tc>
          <w:tcPr>
            <w:tcW w:w="1033" w:type="dxa"/>
            <w:hideMark/>
          </w:tcPr>
          <w:p w14:paraId="2E33A42F"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FIDA</w:t>
            </w:r>
          </w:p>
        </w:tc>
        <w:tc>
          <w:tcPr>
            <w:tcW w:w="1322" w:type="dxa"/>
            <w:hideMark/>
          </w:tcPr>
          <w:p w14:paraId="0E2E5AF2"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2363AE6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4226CA56"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241,44</w:t>
            </w:r>
          </w:p>
        </w:tc>
        <w:tc>
          <w:tcPr>
            <w:tcW w:w="1178" w:type="dxa"/>
            <w:hideMark/>
          </w:tcPr>
          <w:p w14:paraId="652D171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24,00</w:t>
            </w:r>
          </w:p>
        </w:tc>
        <w:tc>
          <w:tcPr>
            <w:tcW w:w="1178" w:type="dxa"/>
            <w:hideMark/>
          </w:tcPr>
          <w:p w14:paraId="0DDAA82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97,44</w:t>
            </w:r>
          </w:p>
        </w:tc>
        <w:tc>
          <w:tcPr>
            <w:tcW w:w="1177" w:type="dxa"/>
            <w:hideMark/>
          </w:tcPr>
          <w:p w14:paraId="1871331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96,00</w:t>
            </w:r>
          </w:p>
        </w:tc>
        <w:tc>
          <w:tcPr>
            <w:tcW w:w="1178" w:type="dxa"/>
            <w:hideMark/>
          </w:tcPr>
          <w:p w14:paraId="49C0B95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01921D5D"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217,44</w:t>
            </w:r>
          </w:p>
        </w:tc>
      </w:tr>
      <w:tr w:rsidR="00A47DEE" w:rsidRPr="00F468F7" w14:paraId="498A8C7B" w14:textId="77777777" w:rsidTr="00EE0E23">
        <w:trPr>
          <w:cnfStyle w:val="000000010000" w:firstRow="0" w:lastRow="0" w:firstColumn="0" w:lastColumn="0" w:oddVBand="0" w:evenVBand="0" w:oddHBand="0" w:evenHBand="1"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3119" w:type="dxa"/>
            <w:hideMark/>
          </w:tcPr>
          <w:p w14:paraId="26B8D0C6"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Projet de développement des filières inclusives (PRODEFI)</w:t>
            </w:r>
          </w:p>
        </w:tc>
        <w:tc>
          <w:tcPr>
            <w:tcW w:w="1333" w:type="dxa"/>
            <w:hideMark/>
          </w:tcPr>
          <w:p w14:paraId="1B2DF9D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18-25</w:t>
            </w:r>
          </w:p>
        </w:tc>
        <w:tc>
          <w:tcPr>
            <w:tcW w:w="1178" w:type="dxa"/>
            <w:hideMark/>
          </w:tcPr>
          <w:p w14:paraId="4DD5C87A"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UG-PRODEFI</w:t>
            </w:r>
          </w:p>
        </w:tc>
        <w:tc>
          <w:tcPr>
            <w:tcW w:w="1033" w:type="dxa"/>
            <w:hideMark/>
          </w:tcPr>
          <w:p w14:paraId="1D78CC5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FIDA</w:t>
            </w:r>
          </w:p>
        </w:tc>
        <w:tc>
          <w:tcPr>
            <w:tcW w:w="1322" w:type="dxa"/>
            <w:hideMark/>
          </w:tcPr>
          <w:p w14:paraId="3E43B4D1"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467C8AE5"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32E94C48"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193,44</w:t>
            </w:r>
          </w:p>
        </w:tc>
        <w:tc>
          <w:tcPr>
            <w:tcW w:w="1178" w:type="dxa"/>
            <w:hideMark/>
          </w:tcPr>
          <w:p w14:paraId="3B203EDF"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24,00</w:t>
            </w:r>
          </w:p>
        </w:tc>
        <w:tc>
          <w:tcPr>
            <w:tcW w:w="1178" w:type="dxa"/>
            <w:hideMark/>
          </w:tcPr>
          <w:p w14:paraId="5F18CD3F"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24,00</w:t>
            </w:r>
          </w:p>
        </w:tc>
        <w:tc>
          <w:tcPr>
            <w:tcW w:w="1177" w:type="dxa"/>
            <w:hideMark/>
          </w:tcPr>
          <w:p w14:paraId="5586DABA"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3182008A"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635B8858"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48,00</w:t>
            </w:r>
          </w:p>
        </w:tc>
      </w:tr>
      <w:tr w:rsidR="00A47DEE" w:rsidRPr="00F468F7" w14:paraId="6D8D91BB" w14:textId="77777777" w:rsidTr="00EE0E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633C35D4"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Projet de développement des filières inclusives (PRODEFI)</w:t>
            </w:r>
          </w:p>
        </w:tc>
        <w:tc>
          <w:tcPr>
            <w:tcW w:w="1333" w:type="dxa"/>
            <w:hideMark/>
          </w:tcPr>
          <w:p w14:paraId="17E9FC7B"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18-25</w:t>
            </w:r>
          </w:p>
        </w:tc>
        <w:tc>
          <w:tcPr>
            <w:tcW w:w="1178" w:type="dxa"/>
            <w:hideMark/>
          </w:tcPr>
          <w:p w14:paraId="0687B4D5"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UG-PRODEFI</w:t>
            </w:r>
          </w:p>
        </w:tc>
        <w:tc>
          <w:tcPr>
            <w:tcW w:w="1033" w:type="dxa"/>
            <w:hideMark/>
          </w:tcPr>
          <w:p w14:paraId="1F31010F"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36026056"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14368C73"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0BB6DD0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175,00</w:t>
            </w:r>
          </w:p>
        </w:tc>
        <w:tc>
          <w:tcPr>
            <w:tcW w:w="1178" w:type="dxa"/>
            <w:hideMark/>
          </w:tcPr>
          <w:p w14:paraId="01498FA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3,00</w:t>
            </w:r>
          </w:p>
        </w:tc>
        <w:tc>
          <w:tcPr>
            <w:tcW w:w="1178" w:type="dxa"/>
            <w:hideMark/>
          </w:tcPr>
          <w:p w14:paraId="7E1827FE"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35,00</w:t>
            </w:r>
          </w:p>
        </w:tc>
        <w:tc>
          <w:tcPr>
            <w:tcW w:w="1177" w:type="dxa"/>
            <w:hideMark/>
          </w:tcPr>
          <w:p w14:paraId="7FC33BEC"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3,00</w:t>
            </w:r>
          </w:p>
        </w:tc>
        <w:tc>
          <w:tcPr>
            <w:tcW w:w="1178" w:type="dxa"/>
            <w:hideMark/>
          </w:tcPr>
          <w:p w14:paraId="7FDED3D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2271590A"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41,00</w:t>
            </w:r>
          </w:p>
        </w:tc>
      </w:tr>
      <w:tr w:rsidR="00A47DEE" w:rsidRPr="00F468F7" w14:paraId="14450D27" w14:textId="77777777" w:rsidTr="00EE0E23">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119" w:type="dxa"/>
            <w:hideMark/>
          </w:tcPr>
          <w:p w14:paraId="2D28D8B4"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Appui à la chaîne de valeur pour la culture de légumes</w:t>
            </w:r>
          </w:p>
        </w:tc>
        <w:tc>
          <w:tcPr>
            <w:tcW w:w="1333" w:type="dxa"/>
            <w:hideMark/>
          </w:tcPr>
          <w:p w14:paraId="130E4ED4"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21-24</w:t>
            </w:r>
          </w:p>
        </w:tc>
        <w:tc>
          <w:tcPr>
            <w:tcW w:w="1178" w:type="dxa"/>
            <w:hideMark/>
          </w:tcPr>
          <w:p w14:paraId="26F2E1E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DDFA/MA</w:t>
            </w:r>
          </w:p>
        </w:tc>
        <w:tc>
          <w:tcPr>
            <w:tcW w:w="1033" w:type="dxa"/>
            <w:hideMark/>
          </w:tcPr>
          <w:p w14:paraId="4ED107F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BID</w:t>
            </w:r>
          </w:p>
        </w:tc>
        <w:tc>
          <w:tcPr>
            <w:tcW w:w="1322" w:type="dxa"/>
            <w:hideMark/>
          </w:tcPr>
          <w:p w14:paraId="442AD57C"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3A4CD894"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311D7A2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12,54</w:t>
            </w:r>
          </w:p>
        </w:tc>
        <w:tc>
          <w:tcPr>
            <w:tcW w:w="1178" w:type="dxa"/>
            <w:hideMark/>
          </w:tcPr>
          <w:p w14:paraId="52E3586C"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9,82</w:t>
            </w:r>
          </w:p>
        </w:tc>
        <w:tc>
          <w:tcPr>
            <w:tcW w:w="1178" w:type="dxa"/>
            <w:hideMark/>
          </w:tcPr>
          <w:p w14:paraId="76C3FA8D"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7" w:type="dxa"/>
            <w:hideMark/>
          </w:tcPr>
          <w:p w14:paraId="576FF2D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7CC36F60"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7094B73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9,82</w:t>
            </w:r>
          </w:p>
        </w:tc>
      </w:tr>
      <w:tr w:rsidR="00A47DEE" w:rsidRPr="00F468F7" w14:paraId="1C51CE3D" w14:textId="77777777" w:rsidTr="00EE0E23">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119" w:type="dxa"/>
            <w:hideMark/>
          </w:tcPr>
          <w:p w14:paraId="38163AC1"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Appui à la chaîne de valeur pour la culture de légumes</w:t>
            </w:r>
          </w:p>
        </w:tc>
        <w:tc>
          <w:tcPr>
            <w:tcW w:w="1333" w:type="dxa"/>
            <w:hideMark/>
          </w:tcPr>
          <w:p w14:paraId="47D8D0AF"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21-24</w:t>
            </w:r>
          </w:p>
        </w:tc>
        <w:tc>
          <w:tcPr>
            <w:tcW w:w="1178" w:type="dxa"/>
            <w:hideMark/>
          </w:tcPr>
          <w:p w14:paraId="63CAA9DB"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DDFA/MA</w:t>
            </w:r>
          </w:p>
        </w:tc>
        <w:tc>
          <w:tcPr>
            <w:tcW w:w="1033" w:type="dxa"/>
            <w:hideMark/>
          </w:tcPr>
          <w:p w14:paraId="70E3200E"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5451AFB2"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5CCE2E2F"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6CCE97D7"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6,46</w:t>
            </w:r>
          </w:p>
        </w:tc>
        <w:tc>
          <w:tcPr>
            <w:tcW w:w="1178" w:type="dxa"/>
            <w:hideMark/>
          </w:tcPr>
          <w:p w14:paraId="4CA3F9FB"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4,00</w:t>
            </w:r>
          </w:p>
        </w:tc>
        <w:tc>
          <w:tcPr>
            <w:tcW w:w="1178" w:type="dxa"/>
            <w:hideMark/>
          </w:tcPr>
          <w:p w14:paraId="49B9FB28"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4,00</w:t>
            </w:r>
          </w:p>
        </w:tc>
        <w:tc>
          <w:tcPr>
            <w:tcW w:w="1177" w:type="dxa"/>
            <w:hideMark/>
          </w:tcPr>
          <w:p w14:paraId="7EE519B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3618D98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725CD0C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8,00</w:t>
            </w:r>
          </w:p>
        </w:tc>
      </w:tr>
      <w:tr w:rsidR="00A47DEE" w:rsidRPr="00F468F7" w14:paraId="639DD949" w14:textId="77777777" w:rsidTr="00EE0E23">
        <w:trPr>
          <w:cnfStyle w:val="000000010000" w:firstRow="0" w:lastRow="0" w:firstColumn="0" w:lastColumn="0" w:oddVBand="0" w:evenVBand="0" w:oddHBand="0" w:evenHBand="1"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3119" w:type="dxa"/>
            <w:hideMark/>
          </w:tcPr>
          <w:p w14:paraId="28DB13B4"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PDRI-Développement des Filières Agricoles</w:t>
            </w:r>
          </w:p>
        </w:tc>
        <w:tc>
          <w:tcPr>
            <w:tcW w:w="1333" w:type="dxa"/>
            <w:hideMark/>
          </w:tcPr>
          <w:p w14:paraId="778FA40C"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14-26</w:t>
            </w:r>
          </w:p>
        </w:tc>
        <w:tc>
          <w:tcPr>
            <w:tcW w:w="1178" w:type="dxa"/>
            <w:hideMark/>
          </w:tcPr>
          <w:p w14:paraId="5C956162"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DDFA/MA</w:t>
            </w:r>
          </w:p>
        </w:tc>
        <w:tc>
          <w:tcPr>
            <w:tcW w:w="1033" w:type="dxa"/>
            <w:hideMark/>
          </w:tcPr>
          <w:p w14:paraId="69C5E4B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67E3FA79"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300CE46D"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79A3F5B9"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1 428,82</w:t>
            </w:r>
          </w:p>
        </w:tc>
        <w:tc>
          <w:tcPr>
            <w:tcW w:w="1178" w:type="dxa"/>
            <w:hideMark/>
          </w:tcPr>
          <w:p w14:paraId="2216A907"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285,95</w:t>
            </w:r>
          </w:p>
        </w:tc>
        <w:tc>
          <w:tcPr>
            <w:tcW w:w="1178" w:type="dxa"/>
            <w:hideMark/>
          </w:tcPr>
          <w:p w14:paraId="5A5F3DE5"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300,00</w:t>
            </w:r>
          </w:p>
        </w:tc>
        <w:tc>
          <w:tcPr>
            <w:tcW w:w="1177" w:type="dxa"/>
            <w:hideMark/>
          </w:tcPr>
          <w:p w14:paraId="12D6578E"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300,00</w:t>
            </w:r>
          </w:p>
        </w:tc>
        <w:tc>
          <w:tcPr>
            <w:tcW w:w="1178" w:type="dxa"/>
            <w:hideMark/>
          </w:tcPr>
          <w:p w14:paraId="43E9A280"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300</w:t>
            </w:r>
          </w:p>
        </w:tc>
        <w:tc>
          <w:tcPr>
            <w:tcW w:w="968" w:type="dxa"/>
            <w:hideMark/>
          </w:tcPr>
          <w:p w14:paraId="750BE00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1 185,95</w:t>
            </w:r>
          </w:p>
        </w:tc>
      </w:tr>
      <w:tr w:rsidR="00A47DEE" w:rsidRPr="00F468F7" w14:paraId="1C9900B1" w14:textId="77777777" w:rsidTr="00EE0E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39A5ABA6"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Aménagement Périmètres Rizicole dans la zone de M’bagne</w:t>
            </w:r>
          </w:p>
        </w:tc>
        <w:tc>
          <w:tcPr>
            <w:tcW w:w="1333" w:type="dxa"/>
            <w:hideMark/>
          </w:tcPr>
          <w:p w14:paraId="23B6C8E3"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24-26</w:t>
            </w:r>
          </w:p>
        </w:tc>
        <w:tc>
          <w:tcPr>
            <w:tcW w:w="1178" w:type="dxa"/>
            <w:hideMark/>
          </w:tcPr>
          <w:p w14:paraId="36456E2E"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CAB/MA</w:t>
            </w:r>
          </w:p>
        </w:tc>
        <w:tc>
          <w:tcPr>
            <w:tcW w:w="1033" w:type="dxa"/>
            <w:hideMark/>
          </w:tcPr>
          <w:p w14:paraId="20A099A7"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 RECHERCHER</w:t>
            </w:r>
          </w:p>
        </w:tc>
        <w:tc>
          <w:tcPr>
            <w:tcW w:w="1322" w:type="dxa"/>
            <w:hideMark/>
          </w:tcPr>
          <w:p w14:paraId="4C336552"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6AC2E9D5"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Pas de requête</w:t>
            </w:r>
          </w:p>
        </w:tc>
        <w:tc>
          <w:tcPr>
            <w:tcW w:w="1177" w:type="dxa"/>
            <w:hideMark/>
          </w:tcPr>
          <w:p w14:paraId="5291718F"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603,30</w:t>
            </w:r>
          </w:p>
        </w:tc>
        <w:tc>
          <w:tcPr>
            <w:tcW w:w="1178" w:type="dxa"/>
            <w:hideMark/>
          </w:tcPr>
          <w:p w14:paraId="30BE6B58"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1428D421"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153,30</w:t>
            </w:r>
          </w:p>
        </w:tc>
        <w:tc>
          <w:tcPr>
            <w:tcW w:w="1177" w:type="dxa"/>
            <w:hideMark/>
          </w:tcPr>
          <w:p w14:paraId="7D5EC29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300,00</w:t>
            </w:r>
          </w:p>
        </w:tc>
        <w:tc>
          <w:tcPr>
            <w:tcW w:w="1178" w:type="dxa"/>
            <w:hideMark/>
          </w:tcPr>
          <w:p w14:paraId="375B009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393207C1"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453,30</w:t>
            </w:r>
          </w:p>
        </w:tc>
      </w:tr>
      <w:tr w:rsidR="00A47DEE" w:rsidRPr="00F468F7" w14:paraId="12625F60" w14:textId="77777777" w:rsidTr="00EE0E23">
        <w:trPr>
          <w:cnfStyle w:val="000000010000" w:firstRow="0" w:lastRow="0" w:firstColumn="0" w:lastColumn="0" w:oddVBand="0" w:evenVBand="0" w:oddHBand="0" w:evenHBand="1"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3119" w:type="dxa"/>
            <w:hideMark/>
          </w:tcPr>
          <w:p w14:paraId="3DEBC85B"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PDRI- Protection des Végétaux</w:t>
            </w:r>
          </w:p>
        </w:tc>
        <w:tc>
          <w:tcPr>
            <w:tcW w:w="1333" w:type="dxa"/>
            <w:hideMark/>
          </w:tcPr>
          <w:p w14:paraId="19721A09"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22-25</w:t>
            </w:r>
          </w:p>
        </w:tc>
        <w:tc>
          <w:tcPr>
            <w:tcW w:w="1178" w:type="dxa"/>
            <w:hideMark/>
          </w:tcPr>
          <w:p w14:paraId="495D8FFB"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DPV/MA</w:t>
            </w:r>
          </w:p>
        </w:tc>
        <w:tc>
          <w:tcPr>
            <w:tcW w:w="1033" w:type="dxa"/>
            <w:hideMark/>
          </w:tcPr>
          <w:p w14:paraId="25695951"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559436B1"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3202FBF8"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37892080"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93,47</w:t>
            </w:r>
          </w:p>
        </w:tc>
        <w:tc>
          <w:tcPr>
            <w:tcW w:w="1178" w:type="dxa"/>
            <w:hideMark/>
          </w:tcPr>
          <w:p w14:paraId="22B0AC50"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37,00</w:t>
            </w:r>
          </w:p>
        </w:tc>
        <w:tc>
          <w:tcPr>
            <w:tcW w:w="1178" w:type="dxa"/>
            <w:hideMark/>
          </w:tcPr>
          <w:p w14:paraId="6ECF3C6C"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15,00</w:t>
            </w:r>
          </w:p>
        </w:tc>
        <w:tc>
          <w:tcPr>
            <w:tcW w:w="1177" w:type="dxa"/>
            <w:hideMark/>
          </w:tcPr>
          <w:p w14:paraId="1F4DE064"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10,00</w:t>
            </w:r>
          </w:p>
        </w:tc>
        <w:tc>
          <w:tcPr>
            <w:tcW w:w="1178" w:type="dxa"/>
            <w:hideMark/>
          </w:tcPr>
          <w:p w14:paraId="09A6183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43FB150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62,00</w:t>
            </w:r>
          </w:p>
        </w:tc>
      </w:tr>
      <w:tr w:rsidR="00A47DEE" w:rsidRPr="00F468F7" w14:paraId="6BA75C53" w14:textId="77777777" w:rsidTr="00EE0E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62F19155"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Complexe intégré de production de sucre à Foum Gleita</w:t>
            </w:r>
          </w:p>
        </w:tc>
        <w:tc>
          <w:tcPr>
            <w:tcW w:w="1333" w:type="dxa"/>
            <w:hideMark/>
          </w:tcPr>
          <w:p w14:paraId="6861513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24-27</w:t>
            </w:r>
          </w:p>
        </w:tc>
        <w:tc>
          <w:tcPr>
            <w:tcW w:w="1178" w:type="dxa"/>
            <w:hideMark/>
          </w:tcPr>
          <w:p w14:paraId="7875243C"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CAB/MA</w:t>
            </w:r>
          </w:p>
        </w:tc>
        <w:tc>
          <w:tcPr>
            <w:tcW w:w="1033" w:type="dxa"/>
            <w:hideMark/>
          </w:tcPr>
          <w:p w14:paraId="40FC04AA"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 RECHERCHER</w:t>
            </w:r>
          </w:p>
        </w:tc>
        <w:tc>
          <w:tcPr>
            <w:tcW w:w="1322" w:type="dxa"/>
            <w:hideMark/>
          </w:tcPr>
          <w:p w14:paraId="1F4BB2C5"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PPP</w:t>
            </w:r>
          </w:p>
        </w:tc>
        <w:tc>
          <w:tcPr>
            <w:tcW w:w="1178" w:type="dxa"/>
            <w:hideMark/>
          </w:tcPr>
          <w:p w14:paraId="3615EE35"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Pas de requête</w:t>
            </w:r>
          </w:p>
        </w:tc>
        <w:tc>
          <w:tcPr>
            <w:tcW w:w="1177" w:type="dxa"/>
            <w:hideMark/>
          </w:tcPr>
          <w:p w14:paraId="02603B67"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12 920,00</w:t>
            </w:r>
          </w:p>
        </w:tc>
        <w:tc>
          <w:tcPr>
            <w:tcW w:w="1178" w:type="dxa"/>
            <w:hideMark/>
          </w:tcPr>
          <w:p w14:paraId="40D39138"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0F76F108"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3 230,00</w:t>
            </w:r>
          </w:p>
        </w:tc>
        <w:tc>
          <w:tcPr>
            <w:tcW w:w="1177" w:type="dxa"/>
            <w:hideMark/>
          </w:tcPr>
          <w:p w14:paraId="610988A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3 230,00</w:t>
            </w:r>
          </w:p>
        </w:tc>
        <w:tc>
          <w:tcPr>
            <w:tcW w:w="1178" w:type="dxa"/>
            <w:hideMark/>
          </w:tcPr>
          <w:p w14:paraId="45CCA38B"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3230</w:t>
            </w:r>
          </w:p>
        </w:tc>
        <w:tc>
          <w:tcPr>
            <w:tcW w:w="968" w:type="dxa"/>
            <w:hideMark/>
          </w:tcPr>
          <w:p w14:paraId="56AAF7C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9 690,00</w:t>
            </w:r>
          </w:p>
        </w:tc>
      </w:tr>
      <w:tr w:rsidR="00A47DEE" w:rsidRPr="00F468F7" w14:paraId="756A1C50" w14:textId="77777777" w:rsidTr="00EE0E23">
        <w:trPr>
          <w:cnfStyle w:val="000000010000" w:firstRow="0" w:lastRow="0" w:firstColumn="0" w:lastColumn="0" w:oddVBand="0" w:evenVBand="0" w:oddHBand="0" w:evenHBand="1"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3119" w:type="dxa"/>
            <w:hideMark/>
          </w:tcPr>
          <w:p w14:paraId="4E26DC80"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Projet intégré pour le développement de l'Agriculture au niveau des Communes du Hodh Echarghi</w:t>
            </w:r>
          </w:p>
        </w:tc>
        <w:tc>
          <w:tcPr>
            <w:tcW w:w="1333" w:type="dxa"/>
            <w:hideMark/>
          </w:tcPr>
          <w:p w14:paraId="43E5F83C"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24-27</w:t>
            </w:r>
          </w:p>
        </w:tc>
        <w:tc>
          <w:tcPr>
            <w:tcW w:w="1178" w:type="dxa"/>
            <w:hideMark/>
          </w:tcPr>
          <w:p w14:paraId="6870F88D"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CAB/MIDEC</w:t>
            </w:r>
          </w:p>
        </w:tc>
        <w:tc>
          <w:tcPr>
            <w:tcW w:w="1033" w:type="dxa"/>
            <w:hideMark/>
          </w:tcPr>
          <w:p w14:paraId="50FC227F"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Alliance Sahel</w:t>
            </w:r>
          </w:p>
        </w:tc>
        <w:tc>
          <w:tcPr>
            <w:tcW w:w="1322" w:type="dxa"/>
            <w:hideMark/>
          </w:tcPr>
          <w:p w14:paraId="73C443D7"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4B6B89EA"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En cours de négociation</w:t>
            </w:r>
          </w:p>
        </w:tc>
        <w:tc>
          <w:tcPr>
            <w:tcW w:w="1177" w:type="dxa"/>
            <w:hideMark/>
          </w:tcPr>
          <w:p w14:paraId="7796A4C1"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72,30</w:t>
            </w:r>
          </w:p>
        </w:tc>
        <w:tc>
          <w:tcPr>
            <w:tcW w:w="1178" w:type="dxa"/>
            <w:hideMark/>
          </w:tcPr>
          <w:p w14:paraId="693B7CA4"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2A299B9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10,00</w:t>
            </w:r>
          </w:p>
        </w:tc>
        <w:tc>
          <w:tcPr>
            <w:tcW w:w="1177" w:type="dxa"/>
            <w:hideMark/>
          </w:tcPr>
          <w:p w14:paraId="1942949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18,07</w:t>
            </w:r>
          </w:p>
        </w:tc>
        <w:tc>
          <w:tcPr>
            <w:tcW w:w="1178" w:type="dxa"/>
            <w:hideMark/>
          </w:tcPr>
          <w:p w14:paraId="2A4A7F08"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w:t>
            </w:r>
          </w:p>
        </w:tc>
        <w:tc>
          <w:tcPr>
            <w:tcW w:w="968" w:type="dxa"/>
            <w:hideMark/>
          </w:tcPr>
          <w:p w14:paraId="06F80F28"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46,07</w:t>
            </w:r>
          </w:p>
        </w:tc>
      </w:tr>
      <w:tr w:rsidR="00A47DEE" w:rsidRPr="00F468F7" w14:paraId="25AD63A5" w14:textId="77777777" w:rsidTr="00EE0E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02CD1E67"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PDRI-Infrastructures et Aménagement Rural</w:t>
            </w:r>
          </w:p>
        </w:tc>
        <w:tc>
          <w:tcPr>
            <w:tcW w:w="1333" w:type="dxa"/>
            <w:hideMark/>
          </w:tcPr>
          <w:p w14:paraId="12141A48"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14-26</w:t>
            </w:r>
          </w:p>
        </w:tc>
        <w:tc>
          <w:tcPr>
            <w:tcW w:w="1178" w:type="dxa"/>
            <w:hideMark/>
          </w:tcPr>
          <w:p w14:paraId="2840ECDD"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DAR</w:t>
            </w:r>
          </w:p>
        </w:tc>
        <w:tc>
          <w:tcPr>
            <w:tcW w:w="1033" w:type="dxa"/>
            <w:hideMark/>
          </w:tcPr>
          <w:p w14:paraId="5DCBA74F"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68DE776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3997DEB2"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12472D8E"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5 268,74</w:t>
            </w:r>
          </w:p>
        </w:tc>
        <w:tc>
          <w:tcPr>
            <w:tcW w:w="1178" w:type="dxa"/>
            <w:hideMark/>
          </w:tcPr>
          <w:p w14:paraId="4FAB60B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648,00</w:t>
            </w:r>
          </w:p>
        </w:tc>
        <w:tc>
          <w:tcPr>
            <w:tcW w:w="1178" w:type="dxa"/>
            <w:hideMark/>
          </w:tcPr>
          <w:p w14:paraId="7CAA85A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600,00</w:t>
            </w:r>
          </w:p>
        </w:tc>
        <w:tc>
          <w:tcPr>
            <w:tcW w:w="1177" w:type="dxa"/>
            <w:hideMark/>
          </w:tcPr>
          <w:p w14:paraId="34D544F6"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600,00</w:t>
            </w:r>
          </w:p>
        </w:tc>
        <w:tc>
          <w:tcPr>
            <w:tcW w:w="1178" w:type="dxa"/>
            <w:hideMark/>
          </w:tcPr>
          <w:p w14:paraId="74C3525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600</w:t>
            </w:r>
          </w:p>
        </w:tc>
        <w:tc>
          <w:tcPr>
            <w:tcW w:w="968" w:type="dxa"/>
            <w:hideMark/>
          </w:tcPr>
          <w:p w14:paraId="043A4CDE"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2 448,00</w:t>
            </w:r>
          </w:p>
        </w:tc>
      </w:tr>
      <w:tr w:rsidR="00A47DEE" w:rsidRPr="00F468F7" w14:paraId="3EEA8FB6" w14:textId="77777777" w:rsidTr="00EE0E23">
        <w:trPr>
          <w:cnfStyle w:val="000000010000" w:firstRow="0" w:lastRow="0" w:firstColumn="0" w:lastColumn="0" w:oddVBand="0" w:evenVBand="0" w:oddHBand="0" w:evenHBand="1"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3119" w:type="dxa"/>
            <w:hideMark/>
          </w:tcPr>
          <w:p w14:paraId="5B7C780F"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 xml:space="preserve">Projet </w:t>
            </w:r>
            <w:proofErr w:type="gramStart"/>
            <w:r w:rsidRPr="009739B9">
              <w:rPr>
                <w:rFonts w:asciiTheme="minorHAnsi" w:hAnsiTheme="minorHAnsi" w:cstheme="minorHAnsi"/>
                <w:b w:val="0"/>
                <w:bCs w:val="0"/>
                <w:sz w:val="18"/>
                <w:szCs w:val="18"/>
              </w:rPr>
              <w:t>d' Appui</w:t>
            </w:r>
            <w:proofErr w:type="gramEnd"/>
            <w:r w:rsidRPr="009739B9">
              <w:rPr>
                <w:rFonts w:asciiTheme="minorHAnsi" w:hAnsiTheme="minorHAnsi" w:cstheme="minorHAnsi"/>
                <w:b w:val="0"/>
                <w:bCs w:val="0"/>
                <w:sz w:val="18"/>
                <w:szCs w:val="18"/>
              </w:rPr>
              <w:t xml:space="preserve"> Régional à l'Initiative pour l'Irrigation au Sahel (PARIIS)</w:t>
            </w:r>
          </w:p>
        </w:tc>
        <w:tc>
          <w:tcPr>
            <w:tcW w:w="1333" w:type="dxa"/>
            <w:hideMark/>
          </w:tcPr>
          <w:p w14:paraId="5116AD3E"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18-24</w:t>
            </w:r>
          </w:p>
        </w:tc>
        <w:tc>
          <w:tcPr>
            <w:tcW w:w="1178" w:type="dxa"/>
            <w:hideMark/>
          </w:tcPr>
          <w:p w14:paraId="6E00FC89"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UG-PARIIS</w:t>
            </w:r>
          </w:p>
        </w:tc>
        <w:tc>
          <w:tcPr>
            <w:tcW w:w="1033" w:type="dxa"/>
            <w:hideMark/>
          </w:tcPr>
          <w:p w14:paraId="36E50BE1"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BM-IDA</w:t>
            </w:r>
          </w:p>
        </w:tc>
        <w:tc>
          <w:tcPr>
            <w:tcW w:w="1322" w:type="dxa"/>
            <w:hideMark/>
          </w:tcPr>
          <w:p w14:paraId="0C05972D"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QUASI-DON</w:t>
            </w:r>
          </w:p>
        </w:tc>
        <w:tc>
          <w:tcPr>
            <w:tcW w:w="1178" w:type="dxa"/>
            <w:hideMark/>
          </w:tcPr>
          <w:p w14:paraId="4D85440E"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0C90BB75"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849,60</w:t>
            </w:r>
          </w:p>
        </w:tc>
        <w:tc>
          <w:tcPr>
            <w:tcW w:w="1178" w:type="dxa"/>
            <w:hideMark/>
          </w:tcPr>
          <w:p w14:paraId="2774405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95,00</w:t>
            </w:r>
          </w:p>
        </w:tc>
        <w:tc>
          <w:tcPr>
            <w:tcW w:w="1178" w:type="dxa"/>
            <w:hideMark/>
          </w:tcPr>
          <w:p w14:paraId="31D4EC00"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76,00</w:t>
            </w:r>
          </w:p>
        </w:tc>
        <w:tc>
          <w:tcPr>
            <w:tcW w:w="1177" w:type="dxa"/>
            <w:hideMark/>
          </w:tcPr>
          <w:p w14:paraId="506E7DC9"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39DC744B"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596626C7"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171,00</w:t>
            </w:r>
          </w:p>
        </w:tc>
      </w:tr>
      <w:tr w:rsidR="00A47DEE" w:rsidRPr="00F468F7" w14:paraId="2DF541F3" w14:textId="77777777" w:rsidTr="00EE0E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479816C7"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 xml:space="preserve">Projet </w:t>
            </w:r>
            <w:proofErr w:type="gramStart"/>
            <w:r w:rsidRPr="009739B9">
              <w:rPr>
                <w:rFonts w:asciiTheme="minorHAnsi" w:hAnsiTheme="minorHAnsi" w:cstheme="minorHAnsi"/>
                <w:b w:val="0"/>
                <w:bCs w:val="0"/>
                <w:sz w:val="18"/>
                <w:szCs w:val="18"/>
              </w:rPr>
              <w:t>d' Appui</w:t>
            </w:r>
            <w:proofErr w:type="gramEnd"/>
            <w:r w:rsidRPr="009739B9">
              <w:rPr>
                <w:rFonts w:asciiTheme="minorHAnsi" w:hAnsiTheme="minorHAnsi" w:cstheme="minorHAnsi"/>
                <w:b w:val="0"/>
                <w:bCs w:val="0"/>
                <w:sz w:val="18"/>
                <w:szCs w:val="18"/>
              </w:rPr>
              <w:t xml:space="preserve"> Régional à l'Initiative pour l'Irrigation au Sahel (PARIIS)</w:t>
            </w:r>
          </w:p>
        </w:tc>
        <w:tc>
          <w:tcPr>
            <w:tcW w:w="1333" w:type="dxa"/>
            <w:hideMark/>
          </w:tcPr>
          <w:p w14:paraId="30AEAC15"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18-24</w:t>
            </w:r>
          </w:p>
        </w:tc>
        <w:tc>
          <w:tcPr>
            <w:tcW w:w="1178" w:type="dxa"/>
            <w:hideMark/>
          </w:tcPr>
          <w:p w14:paraId="380C68A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UG-PARIIS</w:t>
            </w:r>
          </w:p>
        </w:tc>
        <w:tc>
          <w:tcPr>
            <w:tcW w:w="1033" w:type="dxa"/>
            <w:hideMark/>
          </w:tcPr>
          <w:p w14:paraId="4F17FCBA"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6647438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56F6C20C"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537F3A0C"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87,50</w:t>
            </w:r>
          </w:p>
        </w:tc>
        <w:tc>
          <w:tcPr>
            <w:tcW w:w="1178" w:type="dxa"/>
            <w:hideMark/>
          </w:tcPr>
          <w:p w14:paraId="52E2C995"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6,24</w:t>
            </w:r>
          </w:p>
        </w:tc>
        <w:tc>
          <w:tcPr>
            <w:tcW w:w="1178" w:type="dxa"/>
            <w:hideMark/>
          </w:tcPr>
          <w:p w14:paraId="615C3032"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2,00</w:t>
            </w:r>
          </w:p>
        </w:tc>
        <w:tc>
          <w:tcPr>
            <w:tcW w:w="1177" w:type="dxa"/>
            <w:hideMark/>
          </w:tcPr>
          <w:p w14:paraId="28B1CA8D"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47B45BA3"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6D2C62F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8,24</w:t>
            </w:r>
          </w:p>
        </w:tc>
      </w:tr>
      <w:tr w:rsidR="00A47DEE" w:rsidRPr="00F468F7" w14:paraId="1EFAEA32" w14:textId="77777777" w:rsidTr="00EE0E23">
        <w:trPr>
          <w:cnfStyle w:val="000000010000" w:firstRow="0" w:lastRow="0" w:firstColumn="0" w:lastColumn="0" w:oddVBand="0" w:evenVBand="0" w:oddHBand="0" w:evenHBand="1"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3119" w:type="dxa"/>
            <w:hideMark/>
          </w:tcPr>
          <w:p w14:paraId="5AED9935"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 xml:space="preserve">Projet </w:t>
            </w:r>
            <w:proofErr w:type="gramStart"/>
            <w:r w:rsidRPr="009739B9">
              <w:rPr>
                <w:rFonts w:asciiTheme="minorHAnsi" w:hAnsiTheme="minorHAnsi" w:cstheme="minorHAnsi"/>
                <w:b w:val="0"/>
                <w:bCs w:val="0"/>
                <w:sz w:val="18"/>
                <w:szCs w:val="18"/>
              </w:rPr>
              <w:t>d' Appui</w:t>
            </w:r>
            <w:proofErr w:type="gramEnd"/>
            <w:r w:rsidRPr="009739B9">
              <w:rPr>
                <w:rFonts w:asciiTheme="minorHAnsi" w:hAnsiTheme="minorHAnsi" w:cstheme="minorHAnsi"/>
                <w:b w:val="0"/>
                <w:bCs w:val="0"/>
                <w:sz w:val="18"/>
                <w:szCs w:val="18"/>
              </w:rPr>
              <w:t xml:space="preserve"> Régional à l'Initiative pour l'Irrigation au Sahel (PARIIS)</w:t>
            </w:r>
          </w:p>
        </w:tc>
        <w:tc>
          <w:tcPr>
            <w:tcW w:w="1333" w:type="dxa"/>
            <w:hideMark/>
          </w:tcPr>
          <w:p w14:paraId="681B7C7D"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18-24</w:t>
            </w:r>
          </w:p>
        </w:tc>
        <w:tc>
          <w:tcPr>
            <w:tcW w:w="1178" w:type="dxa"/>
            <w:hideMark/>
          </w:tcPr>
          <w:p w14:paraId="0183B961"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UG-PARIIS</w:t>
            </w:r>
          </w:p>
        </w:tc>
        <w:tc>
          <w:tcPr>
            <w:tcW w:w="1033" w:type="dxa"/>
            <w:hideMark/>
          </w:tcPr>
          <w:p w14:paraId="356B7C48"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BENEF</w:t>
            </w:r>
          </w:p>
        </w:tc>
        <w:tc>
          <w:tcPr>
            <w:tcW w:w="1322" w:type="dxa"/>
            <w:hideMark/>
          </w:tcPr>
          <w:p w14:paraId="778B98EA"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AUTOFIN</w:t>
            </w:r>
          </w:p>
        </w:tc>
        <w:tc>
          <w:tcPr>
            <w:tcW w:w="1178" w:type="dxa"/>
            <w:hideMark/>
          </w:tcPr>
          <w:p w14:paraId="41764E9B"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72B2650D"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60,80</w:t>
            </w:r>
          </w:p>
        </w:tc>
        <w:tc>
          <w:tcPr>
            <w:tcW w:w="1178" w:type="dxa"/>
            <w:hideMark/>
          </w:tcPr>
          <w:p w14:paraId="40DB8E45"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7,00</w:t>
            </w:r>
          </w:p>
        </w:tc>
        <w:tc>
          <w:tcPr>
            <w:tcW w:w="1178" w:type="dxa"/>
            <w:hideMark/>
          </w:tcPr>
          <w:p w14:paraId="41EDD24B"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7,00</w:t>
            </w:r>
          </w:p>
        </w:tc>
        <w:tc>
          <w:tcPr>
            <w:tcW w:w="1177" w:type="dxa"/>
            <w:hideMark/>
          </w:tcPr>
          <w:p w14:paraId="5BA9704B"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0E45E06A"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29BEFCF4"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14,00</w:t>
            </w:r>
          </w:p>
        </w:tc>
      </w:tr>
      <w:tr w:rsidR="00A47DEE" w:rsidRPr="00F468F7" w14:paraId="65C0E9F6" w14:textId="77777777" w:rsidTr="00EE0E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1AF73391"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Programme d'Appui à la Transformation Agricole en Mauritanie (PATAM)</w:t>
            </w:r>
          </w:p>
        </w:tc>
        <w:tc>
          <w:tcPr>
            <w:tcW w:w="1333" w:type="dxa"/>
            <w:hideMark/>
          </w:tcPr>
          <w:p w14:paraId="18820C62"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5021C2C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UG-PATAM</w:t>
            </w:r>
          </w:p>
        </w:tc>
        <w:tc>
          <w:tcPr>
            <w:tcW w:w="1033" w:type="dxa"/>
            <w:hideMark/>
          </w:tcPr>
          <w:p w14:paraId="3A390D9A"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BID</w:t>
            </w:r>
          </w:p>
        </w:tc>
        <w:tc>
          <w:tcPr>
            <w:tcW w:w="1322" w:type="dxa"/>
            <w:hideMark/>
          </w:tcPr>
          <w:p w14:paraId="39CB9C38"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5334F0ED"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310B931C"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434,80</w:t>
            </w:r>
          </w:p>
        </w:tc>
        <w:tc>
          <w:tcPr>
            <w:tcW w:w="1178" w:type="dxa"/>
            <w:hideMark/>
          </w:tcPr>
          <w:p w14:paraId="241758F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120,00</w:t>
            </w:r>
          </w:p>
        </w:tc>
        <w:tc>
          <w:tcPr>
            <w:tcW w:w="1178" w:type="dxa"/>
            <w:hideMark/>
          </w:tcPr>
          <w:p w14:paraId="2EBBB8C5"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86,96</w:t>
            </w:r>
          </w:p>
        </w:tc>
        <w:tc>
          <w:tcPr>
            <w:tcW w:w="1177" w:type="dxa"/>
            <w:hideMark/>
          </w:tcPr>
          <w:p w14:paraId="72AC1F47"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80,00</w:t>
            </w:r>
          </w:p>
        </w:tc>
        <w:tc>
          <w:tcPr>
            <w:tcW w:w="1178" w:type="dxa"/>
            <w:hideMark/>
          </w:tcPr>
          <w:p w14:paraId="5038CC18"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160</w:t>
            </w:r>
          </w:p>
        </w:tc>
        <w:tc>
          <w:tcPr>
            <w:tcW w:w="968" w:type="dxa"/>
            <w:hideMark/>
          </w:tcPr>
          <w:p w14:paraId="2DFAA4BD"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446,96</w:t>
            </w:r>
          </w:p>
        </w:tc>
      </w:tr>
      <w:tr w:rsidR="00A47DEE" w:rsidRPr="00F468F7" w14:paraId="181D3520" w14:textId="77777777" w:rsidTr="00EE0E23">
        <w:trPr>
          <w:cnfStyle w:val="000000010000" w:firstRow="0" w:lastRow="0" w:firstColumn="0" w:lastColumn="0" w:oddVBand="0" w:evenVBand="0" w:oddHBand="0" w:evenHBand="1"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13E97DCA"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Programme d'Appui à la Transformation Agricole en Mauritanie (PATAM)</w:t>
            </w:r>
          </w:p>
        </w:tc>
        <w:tc>
          <w:tcPr>
            <w:tcW w:w="1333" w:type="dxa"/>
            <w:hideMark/>
          </w:tcPr>
          <w:p w14:paraId="7F8B7869"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24973FAB"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UG-PATAM</w:t>
            </w:r>
          </w:p>
        </w:tc>
        <w:tc>
          <w:tcPr>
            <w:tcW w:w="1033" w:type="dxa"/>
            <w:hideMark/>
          </w:tcPr>
          <w:p w14:paraId="59724FC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FSN</w:t>
            </w:r>
          </w:p>
        </w:tc>
        <w:tc>
          <w:tcPr>
            <w:tcW w:w="1322" w:type="dxa"/>
            <w:hideMark/>
          </w:tcPr>
          <w:p w14:paraId="116B31CE"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58625B44"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505418B8"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172,80</w:t>
            </w:r>
          </w:p>
        </w:tc>
        <w:tc>
          <w:tcPr>
            <w:tcW w:w="1178" w:type="dxa"/>
            <w:hideMark/>
          </w:tcPr>
          <w:p w14:paraId="45451C97"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48,00</w:t>
            </w:r>
          </w:p>
        </w:tc>
        <w:tc>
          <w:tcPr>
            <w:tcW w:w="1178" w:type="dxa"/>
            <w:hideMark/>
          </w:tcPr>
          <w:p w14:paraId="0766AD38"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28,80</w:t>
            </w:r>
          </w:p>
        </w:tc>
        <w:tc>
          <w:tcPr>
            <w:tcW w:w="1177" w:type="dxa"/>
            <w:hideMark/>
          </w:tcPr>
          <w:p w14:paraId="090FE117"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413AD51F"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090ECEB9"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76,80</w:t>
            </w:r>
          </w:p>
        </w:tc>
      </w:tr>
      <w:tr w:rsidR="00A47DEE" w:rsidRPr="00F468F7" w14:paraId="3FD4538F" w14:textId="77777777" w:rsidTr="00EE0E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338BBCA8"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Programme d'Appui à la Transformation Agricole en Mauritanie (PATAM)</w:t>
            </w:r>
          </w:p>
        </w:tc>
        <w:tc>
          <w:tcPr>
            <w:tcW w:w="1333" w:type="dxa"/>
            <w:hideMark/>
          </w:tcPr>
          <w:p w14:paraId="12D13D12"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00208C52"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UG-PATAM</w:t>
            </w:r>
          </w:p>
        </w:tc>
        <w:tc>
          <w:tcPr>
            <w:tcW w:w="1033" w:type="dxa"/>
            <w:hideMark/>
          </w:tcPr>
          <w:p w14:paraId="7BB3E2C7"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3F0FE6F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601BEDD7"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2A802AB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140,85</w:t>
            </w:r>
          </w:p>
        </w:tc>
        <w:tc>
          <w:tcPr>
            <w:tcW w:w="1178" w:type="dxa"/>
            <w:hideMark/>
          </w:tcPr>
          <w:p w14:paraId="11F3B7FA"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21,41</w:t>
            </w:r>
          </w:p>
        </w:tc>
        <w:tc>
          <w:tcPr>
            <w:tcW w:w="1178" w:type="dxa"/>
            <w:hideMark/>
          </w:tcPr>
          <w:p w14:paraId="4DE5B136"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28,00</w:t>
            </w:r>
          </w:p>
        </w:tc>
        <w:tc>
          <w:tcPr>
            <w:tcW w:w="1177" w:type="dxa"/>
            <w:hideMark/>
          </w:tcPr>
          <w:p w14:paraId="7FCC31B7"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28,00</w:t>
            </w:r>
          </w:p>
        </w:tc>
        <w:tc>
          <w:tcPr>
            <w:tcW w:w="1178" w:type="dxa"/>
            <w:hideMark/>
          </w:tcPr>
          <w:p w14:paraId="579C362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28</w:t>
            </w:r>
          </w:p>
        </w:tc>
        <w:tc>
          <w:tcPr>
            <w:tcW w:w="968" w:type="dxa"/>
            <w:hideMark/>
          </w:tcPr>
          <w:p w14:paraId="1ED6A65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105,41</w:t>
            </w:r>
          </w:p>
        </w:tc>
      </w:tr>
      <w:tr w:rsidR="00A47DEE" w:rsidRPr="00F468F7" w14:paraId="0ECD38F6" w14:textId="77777777" w:rsidTr="00EE0E23">
        <w:trPr>
          <w:cnfStyle w:val="000000010000" w:firstRow="0" w:lastRow="0" w:firstColumn="0" w:lastColumn="0" w:oddVBand="0" w:evenVBand="0" w:oddHBand="0" w:evenHBand="1"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3D855A7D"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Programme d'Appui à la Transformation Agricole en Mauritanie (PATAM)</w:t>
            </w:r>
          </w:p>
        </w:tc>
        <w:tc>
          <w:tcPr>
            <w:tcW w:w="1333" w:type="dxa"/>
            <w:hideMark/>
          </w:tcPr>
          <w:p w14:paraId="3FED453A"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0C85976B"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UG-PATAM</w:t>
            </w:r>
          </w:p>
        </w:tc>
        <w:tc>
          <w:tcPr>
            <w:tcW w:w="1033" w:type="dxa"/>
            <w:hideMark/>
          </w:tcPr>
          <w:p w14:paraId="7C0E931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BAD-FAD</w:t>
            </w:r>
          </w:p>
        </w:tc>
        <w:tc>
          <w:tcPr>
            <w:tcW w:w="1322" w:type="dxa"/>
            <w:hideMark/>
          </w:tcPr>
          <w:p w14:paraId="562D2A60"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1DBF8310"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5713BCA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336,00</w:t>
            </w:r>
          </w:p>
        </w:tc>
        <w:tc>
          <w:tcPr>
            <w:tcW w:w="1178" w:type="dxa"/>
            <w:hideMark/>
          </w:tcPr>
          <w:p w14:paraId="2B392338"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96,00</w:t>
            </w:r>
          </w:p>
        </w:tc>
        <w:tc>
          <w:tcPr>
            <w:tcW w:w="1178" w:type="dxa"/>
            <w:hideMark/>
          </w:tcPr>
          <w:p w14:paraId="4A08D8EF"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7" w:type="dxa"/>
            <w:hideMark/>
          </w:tcPr>
          <w:p w14:paraId="50772E80"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073FD100"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3641A11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96,00</w:t>
            </w:r>
          </w:p>
        </w:tc>
      </w:tr>
      <w:tr w:rsidR="00A47DEE" w:rsidRPr="00F468F7" w14:paraId="614A8047" w14:textId="77777777" w:rsidTr="00EE0E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720EEDC9"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Programme d'Appui à la Transformation Agricole en Mauritanie (PATAM)</w:t>
            </w:r>
          </w:p>
        </w:tc>
        <w:tc>
          <w:tcPr>
            <w:tcW w:w="1333" w:type="dxa"/>
            <w:hideMark/>
          </w:tcPr>
          <w:p w14:paraId="41C52F9B"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44C0234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UG-PATAM</w:t>
            </w:r>
          </w:p>
        </w:tc>
        <w:tc>
          <w:tcPr>
            <w:tcW w:w="1033" w:type="dxa"/>
            <w:hideMark/>
          </w:tcPr>
          <w:p w14:paraId="1A15353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FSN</w:t>
            </w:r>
          </w:p>
        </w:tc>
        <w:tc>
          <w:tcPr>
            <w:tcW w:w="1322" w:type="dxa"/>
            <w:hideMark/>
          </w:tcPr>
          <w:p w14:paraId="3AA6D565"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2D5564CD"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4008CF8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288,00</w:t>
            </w:r>
          </w:p>
        </w:tc>
        <w:tc>
          <w:tcPr>
            <w:tcW w:w="1178" w:type="dxa"/>
            <w:hideMark/>
          </w:tcPr>
          <w:p w14:paraId="2D0E840D"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48,00</w:t>
            </w:r>
          </w:p>
        </w:tc>
        <w:tc>
          <w:tcPr>
            <w:tcW w:w="1178" w:type="dxa"/>
            <w:hideMark/>
          </w:tcPr>
          <w:p w14:paraId="20ECB2ED"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48,00</w:t>
            </w:r>
          </w:p>
        </w:tc>
        <w:tc>
          <w:tcPr>
            <w:tcW w:w="1177" w:type="dxa"/>
            <w:hideMark/>
          </w:tcPr>
          <w:p w14:paraId="3398FD86"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0F42C5D7"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0FAC7983"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96,00</w:t>
            </w:r>
          </w:p>
        </w:tc>
      </w:tr>
      <w:tr w:rsidR="00A47DEE" w:rsidRPr="00F468F7" w14:paraId="00FD72CA" w14:textId="77777777" w:rsidTr="00EE0E23">
        <w:trPr>
          <w:cnfStyle w:val="000000010000" w:firstRow="0" w:lastRow="0" w:firstColumn="0" w:lastColumn="0" w:oddVBand="0" w:evenVBand="0" w:oddHBand="0" w:evenHBand="1"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2F206959"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Programme d'Appui à la Transformation Agricole en Mauritanie (PATAM)</w:t>
            </w:r>
          </w:p>
        </w:tc>
        <w:tc>
          <w:tcPr>
            <w:tcW w:w="1333" w:type="dxa"/>
            <w:hideMark/>
          </w:tcPr>
          <w:p w14:paraId="09763A3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17A37937"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UG-PATAM</w:t>
            </w:r>
          </w:p>
        </w:tc>
        <w:tc>
          <w:tcPr>
            <w:tcW w:w="1033" w:type="dxa"/>
            <w:hideMark/>
          </w:tcPr>
          <w:p w14:paraId="756DFFC7"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BID-Vente à terme</w:t>
            </w:r>
          </w:p>
        </w:tc>
        <w:tc>
          <w:tcPr>
            <w:tcW w:w="1322" w:type="dxa"/>
            <w:hideMark/>
          </w:tcPr>
          <w:p w14:paraId="17FA7C77"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7F85AEC7"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468F086C"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918,00</w:t>
            </w:r>
          </w:p>
        </w:tc>
        <w:tc>
          <w:tcPr>
            <w:tcW w:w="1178" w:type="dxa"/>
            <w:hideMark/>
          </w:tcPr>
          <w:p w14:paraId="7842E21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200,00</w:t>
            </w:r>
          </w:p>
        </w:tc>
        <w:tc>
          <w:tcPr>
            <w:tcW w:w="1178" w:type="dxa"/>
            <w:hideMark/>
          </w:tcPr>
          <w:p w14:paraId="38E85171"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183,60</w:t>
            </w:r>
          </w:p>
        </w:tc>
        <w:tc>
          <w:tcPr>
            <w:tcW w:w="1177" w:type="dxa"/>
            <w:hideMark/>
          </w:tcPr>
          <w:p w14:paraId="438921CF"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160,00</w:t>
            </w:r>
          </w:p>
        </w:tc>
        <w:tc>
          <w:tcPr>
            <w:tcW w:w="1178" w:type="dxa"/>
            <w:hideMark/>
          </w:tcPr>
          <w:p w14:paraId="7EE2E028"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320</w:t>
            </w:r>
          </w:p>
        </w:tc>
        <w:tc>
          <w:tcPr>
            <w:tcW w:w="968" w:type="dxa"/>
            <w:hideMark/>
          </w:tcPr>
          <w:p w14:paraId="60BE5631"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863,60</w:t>
            </w:r>
          </w:p>
        </w:tc>
      </w:tr>
      <w:tr w:rsidR="00A47DEE" w:rsidRPr="00F468F7" w14:paraId="6E58C27D" w14:textId="77777777" w:rsidTr="00EE0E23">
        <w:trPr>
          <w:cnfStyle w:val="000000100000" w:firstRow="0" w:lastRow="0" w:firstColumn="0" w:lastColumn="0" w:oddVBand="0" w:evenVBand="0" w:oddHBand="1"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3119" w:type="dxa"/>
            <w:hideMark/>
          </w:tcPr>
          <w:p w14:paraId="162972D2"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Appui à la Sécurité Alimentaire dans les Régions de Gorgol et Guidimagha (ASARIGG)</w:t>
            </w:r>
          </w:p>
        </w:tc>
        <w:tc>
          <w:tcPr>
            <w:tcW w:w="1333" w:type="dxa"/>
            <w:hideMark/>
          </w:tcPr>
          <w:p w14:paraId="4F26A80C"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1909BDD3"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SONADER</w:t>
            </w:r>
          </w:p>
        </w:tc>
        <w:tc>
          <w:tcPr>
            <w:tcW w:w="1033" w:type="dxa"/>
            <w:hideMark/>
          </w:tcPr>
          <w:p w14:paraId="25C40133"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6B6EC82F"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140297EE"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428B4BD2"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40,00</w:t>
            </w:r>
          </w:p>
        </w:tc>
        <w:tc>
          <w:tcPr>
            <w:tcW w:w="1178" w:type="dxa"/>
            <w:hideMark/>
          </w:tcPr>
          <w:p w14:paraId="74E8804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8,00</w:t>
            </w:r>
          </w:p>
        </w:tc>
        <w:tc>
          <w:tcPr>
            <w:tcW w:w="1178" w:type="dxa"/>
            <w:hideMark/>
          </w:tcPr>
          <w:p w14:paraId="168DADC3"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5,00</w:t>
            </w:r>
          </w:p>
        </w:tc>
        <w:tc>
          <w:tcPr>
            <w:tcW w:w="1177" w:type="dxa"/>
            <w:hideMark/>
          </w:tcPr>
          <w:p w14:paraId="544FCB75"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5,00</w:t>
            </w:r>
          </w:p>
        </w:tc>
        <w:tc>
          <w:tcPr>
            <w:tcW w:w="1178" w:type="dxa"/>
            <w:hideMark/>
          </w:tcPr>
          <w:p w14:paraId="143D3B7F"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0C203182"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18,00</w:t>
            </w:r>
          </w:p>
        </w:tc>
      </w:tr>
      <w:tr w:rsidR="00A47DEE" w:rsidRPr="00F468F7" w14:paraId="6C6F3275" w14:textId="77777777" w:rsidTr="00EE0E23">
        <w:trPr>
          <w:cnfStyle w:val="000000010000" w:firstRow="0" w:lastRow="0" w:firstColumn="0" w:lastColumn="0" w:oddVBand="0" w:evenVBand="0" w:oddHBand="0" w:evenHBand="1"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3119" w:type="dxa"/>
            <w:hideMark/>
          </w:tcPr>
          <w:p w14:paraId="17FCF916"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Appui à la Sécurité Alimentaire dans les Régions de Gorgol et Guidimagha (ASARIGG)</w:t>
            </w:r>
          </w:p>
        </w:tc>
        <w:tc>
          <w:tcPr>
            <w:tcW w:w="1333" w:type="dxa"/>
            <w:hideMark/>
          </w:tcPr>
          <w:p w14:paraId="5EEC8B52"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33A9A9D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SONADER</w:t>
            </w:r>
          </w:p>
        </w:tc>
        <w:tc>
          <w:tcPr>
            <w:tcW w:w="1033" w:type="dxa"/>
            <w:hideMark/>
          </w:tcPr>
          <w:p w14:paraId="0EE4BFC0"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FRANCE-AFD</w:t>
            </w:r>
          </w:p>
        </w:tc>
        <w:tc>
          <w:tcPr>
            <w:tcW w:w="1322" w:type="dxa"/>
            <w:hideMark/>
          </w:tcPr>
          <w:p w14:paraId="789CCFC9"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32DC443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47319E90"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166,00</w:t>
            </w:r>
          </w:p>
        </w:tc>
        <w:tc>
          <w:tcPr>
            <w:tcW w:w="1178" w:type="dxa"/>
            <w:hideMark/>
          </w:tcPr>
          <w:p w14:paraId="559CD71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7CF3C8CB"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7" w:type="dxa"/>
            <w:hideMark/>
          </w:tcPr>
          <w:p w14:paraId="2F6B0C3B"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38C11045"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619A02ED"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r>
      <w:tr w:rsidR="00A47DEE" w:rsidRPr="00F468F7" w14:paraId="206EEA08" w14:textId="77777777" w:rsidTr="00EE0E23">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3119" w:type="dxa"/>
            <w:hideMark/>
          </w:tcPr>
          <w:p w14:paraId="00EFB615"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Appui à la Sécurité Alimentaire dans les Régions de Gorgol et Guidimagha (ASARIGG)</w:t>
            </w:r>
          </w:p>
        </w:tc>
        <w:tc>
          <w:tcPr>
            <w:tcW w:w="1333" w:type="dxa"/>
            <w:hideMark/>
          </w:tcPr>
          <w:p w14:paraId="0728F59C"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49631B11"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SONADER</w:t>
            </w:r>
          </w:p>
        </w:tc>
        <w:tc>
          <w:tcPr>
            <w:tcW w:w="1033" w:type="dxa"/>
            <w:hideMark/>
          </w:tcPr>
          <w:p w14:paraId="7A1245C2"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FRANCE-AFD</w:t>
            </w:r>
          </w:p>
        </w:tc>
        <w:tc>
          <w:tcPr>
            <w:tcW w:w="1322" w:type="dxa"/>
            <w:hideMark/>
          </w:tcPr>
          <w:p w14:paraId="2A0B1F42"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07BB038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2C829EF2"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20,00</w:t>
            </w:r>
          </w:p>
        </w:tc>
        <w:tc>
          <w:tcPr>
            <w:tcW w:w="1178" w:type="dxa"/>
            <w:hideMark/>
          </w:tcPr>
          <w:p w14:paraId="2A18620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0475CEFC"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7" w:type="dxa"/>
            <w:hideMark/>
          </w:tcPr>
          <w:p w14:paraId="3692599D"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27849B2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253FF238"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r>
      <w:tr w:rsidR="00A47DEE" w:rsidRPr="00F468F7" w14:paraId="74512D67" w14:textId="77777777" w:rsidTr="00EE0E23">
        <w:trPr>
          <w:cnfStyle w:val="000000010000" w:firstRow="0" w:lastRow="0" w:firstColumn="0" w:lastColumn="0" w:oddVBand="0" w:evenVBand="0" w:oddHBand="0" w:evenHBand="1"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119" w:type="dxa"/>
            <w:hideMark/>
          </w:tcPr>
          <w:p w14:paraId="180FF097"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Appui à la Sécurité Alimentaire dans les Régions de Gorgol et Guidimagha (ASARIGG)</w:t>
            </w:r>
          </w:p>
        </w:tc>
        <w:tc>
          <w:tcPr>
            <w:tcW w:w="1333" w:type="dxa"/>
            <w:hideMark/>
          </w:tcPr>
          <w:p w14:paraId="368D93D8"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706D87C7"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SONADER</w:t>
            </w:r>
          </w:p>
        </w:tc>
        <w:tc>
          <w:tcPr>
            <w:tcW w:w="1033" w:type="dxa"/>
            <w:hideMark/>
          </w:tcPr>
          <w:p w14:paraId="34FED3FB"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FRANCE-AFD</w:t>
            </w:r>
          </w:p>
        </w:tc>
        <w:tc>
          <w:tcPr>
            <w:tcW w:w="1322" w:type="dxa"/>
            <w:hideMark/>
          </w:tcPr>
          <w:p w14:paraId="2F17133C"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2349B07A"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5D03FD54"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337,00</w:t>
            </w:r>
          </w:p>
        </w:tc>
        <w:tc>
          <w:tcPr>
            <w:tcW w:w="1178" w:type="dxa"/>
            <w:hideMark/>
          </w:tcPr>
          <w:p w14:paraId="7D1A6484"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64,00</w:t>
            </w:r>
          </w:p>
        </w:tc>
        <w:tc>
          <w:tcPr>
            <w:tcW w:w="1178" w:type="dxa"/>
            <w:hideMark/>
          </w:tcPr>
          <w:p w14:paraId="788F1675"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60,00</w:t>
            </w:r>
          </w:p>
        </w:tc>
        <w:tc>
          <w:tcPr>
            <w:tcW w:w="1177" w:type="dxa"/>
            <w:hideMark/>
          </w:tcPr>
          <w:p w14:paraId="245D861C"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60,00</w:t>
            </w:r>
          </w:p>
        </w:tc>
        <w:tc>
          <w:tcPr>
            <w:tcW w:w="1178" w:type="dxa"/>
            <w:hideMark/>
          </w:tcPr>
          <w:p w14:paraId="32EEA089"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120</w:t>
            </w:r>
          </w:p>
        </w:tc>
        <w:tc>
          <w:tcPr>
            <w:tcW w:w="968" w:type="dxa"/>
            <w:hideMark/>
          </w:tcPr>
          <w:p w14:paraId="079182BC"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304,00</w:t>
            </w:r>
          </w:p>
        </w:tc>
      </w:tr>
      <w:tr w:rsidR="00A47DEE" w:rsidRPr="00F468F7" w14:paraId="04A26CE0" w14:textId="77777777" w:rsidTr="00EE0E23">
        <w:trPr>
          <w:cnfStyle w:val="000000100000" w:firstRow="0" w:lastRow="0" w:firstColumn="0" w:lastColumn="0" w:oddVBand="0" w:evenVBand="0" w:oddHBand="1"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3119" w:type="dxa"/>
            <w:hideMark/>
          </w:tcPr>
          <w:p w14:paraId="6947B0B7"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Appui à la Sécurité Alimentaire dans les Régions de Gorgol et Guidimagha (ASARIGG)</w:t>
            </w:r>
          </w:p>
        </w:tc>
        <w:tc>
          <w:tcPr>
            <w:tcW w:w="1333" w:type="dxa"/>
            <w:hideMark/>
          </w:tcPr>
          <w:p w14:paraId="7E5356AF"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19-26</w:t>
            </w:r>
          </w:p>
        </w:tc>
        <w:tc>
          <w:tcPr>
            <w:tcW w:w="1178" w:type="dxa"/>
            <w:hideMark/>
          </w:tcPr>
          <w:p w14:paraId="5E318197"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SONADER</w:t>
            </w:r>
          </w:p>
        </w:tc>
        <w:tc>
          <w:tcPr>
            <w:tcW w:w="1033" w:type="dxa"/>
            <w:hideMark/>
          </w:tcPr>
          <w:p w14:paraId="2C456E2D"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FRANCE-AFD</w:t>
            </w:r>
          </w:p>
        </w:tc>
        <w:tc>
          <w:tcPr>
            <w:tcW w:w="1322" w:type="dxa"/>
            <w:hideMark/>
          </w:tcPr>
          <w:p w14:paraId="7EA0728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6C56E8D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5D2EFEFB"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200,00</w:t>
            </w:r>
          </w:p>
        </w:tc>
        <w:tc>
          <w:tcPr>
            <w:tcW w:w="1178" w:type="dxa"/>
            <w:hideMark/>
          </w:tcPr>
          <w:p w14:paraId="6EF8C7A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40,00</w:t>
            </w:r>
          </w:p>
        </w:tc>
        <w:tc>
          <w:tcPr>
            <w:tcW w:w="1178" w:type="dxa"/>
            <w:hideMark/>
          </w:tcPr>
          <w:p w14:paraId="59108E7C"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20,00</w:t>
            </w:r>
          </w:p>
        </w:tc>
        <w:tc>
          <w:tcPr>
            <w:tcW w:w="1177" w:type="dxa"/>
            <w:hideMark/>
          </w:tcPr>
          <w:p w14:paraId="6B37210E"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3CFC1983"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2E6B8125"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60,00</w:t>
            </w:r>
          </w:p>
        </w:tc>
      </w:tr>
      <w:tr w:rsidR="00A47DEE" w:rsidRPr="00F468F7" w14:paraId="217AC586" w14:textId="77777777" w:rsidTr="00EE0E23">
        <w:trPr>
          <w:cnfStyle w:val="000000010000" w:firstRow="0" w:lastRow="0" w:firstColumn="0" w:lastColumn="0" w:oddVBand="0" w:evenVBand="0" w:oddHBand="0" w:evenHBand="1"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3119" w:type="dxa"/>
            <w:hideMark/>
          </w:tcPr>
          <w:p w14:paraId="39DFC78C"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 xml:space="preserve">Projet de promotion et </w:t>
            </w:r>
            <w:proofErr w:type="gramStart"/>
            <w:r w:rsidRPr="009739B9">
              <w:rPr>
                <w:rFonts w:asciiTheme="minorHAnsi" w:hAnsiTheme="minorHAnsi" w:cstheme="minorHAnsi"/>
                <w:b w:val="0"/>
                <w:bCs w:val="0"/>
                <w:sz w:val="18"/>
                <w:szCs w:val="18"/>
              </w:rPr>
              <w:t>de  développement</w:t>
            </w:r>
            <w:proofErr w:type="gramEnd"/>
            <w:r w:rsidRPr="009739B9">
              <w:rPr>
                <w:rFonts w:asciiTheme="minorHAnsi" w:hAnsiTheme="minorHAnsi" w:cstheme="minorHAnsi"/>
                <w:b w:val="0"/>
                <w:bCs w:val="0"/>
                <w:sz w:val="18"/>
                <w:szCs w:val="18"/>
              </w:rPr>
              <w:t xml:space="preserve"> des Oasis</w:t>
            </w:r>
          </w:p>
        </w:tc>
        <w:tc>
          <w:tcPr>
            <w:tcW w:w="1333" w:type="dxa"/>
            <w:hideMark/>
          </w:tcPr>
          <w:p w14:paraId="58F71475"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21-26</w:t>
            </w:r>
          </w:p>
        </w:tc>
        <w:tc>
          <w:tcPr>
            <w:tcW w:w="1178" w:type="dxa"/>
            <w:hideMark/>
          </w:tcPr>
          <w:p w14:paraId="19D8BB1A"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UC-OASIS/MA</w:t>
            </w:r>
          </w:p>
        </w:tc>
        <w:tc>
          <w:tcPr>
            <w:tcW w:w="1033" w:type="dxa"/>
            <w:hideMark/>
          </w:tcPr>
          <w:p w14:paraId="2A8E8BD2"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FADES</w:t>
            </w:r>
          </w:p>
        </w:tc>
        <w:tc>
          <w:tcPr>
            <w:tcW w:w="1322" w:type="dxa"/>
            <w:hideMark/>
          </w:tcPr>
          <w:p w14:paraId="3996B3AF"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6578037C"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482A8DC1"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1 080,00</w:t>
            </w:r>
          </w:p>
        </w:tc>
        <w:tc>
          <w:tcPr>
            <w:tcW w:w="1178" w:type="dxa"/>
            <w:hideMark/>
          </w:tcPr>
          <w:p w14:paraId="238CF98F"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140,00</w:t>
            </w:r>
          </w:p>
        </w:tc>
        <w:tc>
          <w:tcPr>
            <w:tcW w:w="1178" w:type="dxa"/>
            <w:hideMark/>
          </w:tcPr>
          <w:p w14:paraId="724EB19F"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270,00</w:t>
            </w:r>
          </w:p>
        </w:tc>
        <w:tc>
          <w:tcPr>
            <w:tcW w:w="1177" w:type="dxa"/>
            <w:hideMark/>
          </w:tcPr>
          <w:p w14:paraId="5001165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240,00</w:t>
            </w:r>
          </w:p>
        </w:tc>
        <w:tc>
          <w:tcPr>
            <w:tcW w:w="1178" w:type="dxa"/>
            <w:hideMark/>
          </w:tcPr>
          <w:p w14:paraId="54C247D7"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240</w:t>
            </w:r>
          </w:p>
        </w:tc>
        <w:tc>
          <w:tcPr>
            <w:tcW w:w="968" w:type="dxa"/>
            <w:hideMark/>
          </w:tcPr>
          <w:p w14:paraId="3C4AED34"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890,00</w:t>
            </w:r>
          </w:p>
        </w:tc>
      </w:tr>
      <w:tr w:rsidR="00A47DEE" w:rsidRPr="00F468F7" w14:paraId="6F3D98D8" w14:textId="77777777" w:rsidTr="00EE0E23">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3119" w:type="dxa"/>
            <w:hideMark/>
          </w:tcPr>
          <w:p w14:paraId="7DF87327"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 xml:space="preserve">Projet de promotion et </w:t>
            </w:r>
            <w:proofErr w:type="gramStart"/>
            <w:r w:rsidRPr="009739B9">
              <w:rPr>
                <w:rFonts w:asciiTheme="minorHAnsi" w:hAnsiTheme="minorHAnsi" w:cstheme="minorHAnsi"/>
                <w:b w:val="0"/>
                <w:bCs w:val="0"/>
                <w:sz w:val="18"/>
                <w:szCs w:val="18"/>
              </w:rPr>
              <w:t>de  développement</w:t>
            </w:r>
            <w:proofErr w:type="gramEnd"/>
            <w:r w:rsidRPr="009739B9">
              <w:rPr>
                <w:rFonts w:asciiTheme="minorHAnsi" w:hAnsiTheme="minorHAnsi" w:cstheme="minorHAnsi"/>
                <w:b w:val="0"/>
                <w:bCs w:val="0"/>
                <w:sz w:val="18"/>
                <w:szCs w:val="18"/>
              </w:rPr>
              <w:t xml:space="preserve"> des Oasis</w:t>
            </w:r>
          </w:p>
        </w:tc>
        <w:tc>
          <w:tcPr>
            <w:tcW w:w="1333" w:type="dxa"/>
            <w:hideMark/>
          </w:tcPr>
          <w:p w14:paraId="3F66985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21-26</w:t>
            </w:r>
          </w:p>
        </w:tc>
        <w:tc>
          <w:tcPr>
            <w:tcW w:w="1178" w:type="dxa"/>
            <w:hideMark/>
          </w:tcPr>
          <w:p w14:paraId="5DEE9D6A"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UC-OASIS/MA</w:t>
            </w:r>
          </w:p>
        </w:tc>
        <w:tc>
          <w:tcPr>
            <w:tcW w:w="1033" w:type="dxa"/>
            <w:hideMark/>
          </w:tcPr>
          <w:p w14:paraId="2619CF9D"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473E874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44D8DFC6"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4F0D8A1E"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141,48</w:t>
            </w:r>
          </w:p>
        </w:tc>
        <w:tc>
          <w:tcPr>
            <w:tcW w:w="1178" w:type="dxa"/>
            <w:hideMark/>
          </w:tcPr>
          <w:p w14:paraId="55787CE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26,11</w:t>
            </w:r>
          </w:p>
        </w:tc>
        <w:tc>
          <w:tcPr>
            <w:tcW w:w="1178" w:type="dxa"/>
            <w:hideMark/>
          </w:tcPr>
          <w:p w14:paraId="0A5CD296"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24,00</w:t>
            </w:r>
          </w:p>
        </w:tc>
        <w:tc>
          <w:tcPr>
            <w:tcW w:w="1177" w:type="dxa"/>
            <w:hideMark/>
          </w:tcPr>
          <w:p w14:paraId="2607731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22,80</w:t>
            </w:r>
          </w:p>
        </w:tc>
        <w:tc>
          <w:tcPr>
            <w:tcW w:w="1178" w:type="dxa"/>
            <w:hideMark/>
          </w:tcPr>
          <w:p w14:paraId="06D75F2D"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0F6AF3B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72,91</w:t>
            </w:r>
          </w:p>
        </w:tc>
      </w:tr>
      <w:tr w:rsidR="00A47DEE" w:rsidRPr="00F468F7" w14:paraId="6DBD40EE" w14:textId="77777777" w:rsidTr="00EE0E23">
        <w:trPr>
          <w:cnfStyle w:val="000000010000" w:firstRow="0" w:lastRow="0" w:firstColumn="0" w:lastColumn="0" w:oddVBand="0" w:evenVBand="0" w:oddHBand="0" w:evenHBand="1"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3119" w:type="dxa"/>
            <w:hideMark/>
          </w:tcPr>
          <w:p w14:paraId="39DB592F"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Mécanisation du secteur agricole (achat de 100 brigades)</w:t>
            </w:r>
          </w:p>
        </w:tc>
        <w:tc>
          <w:tcPr>
            <w:tcW w:w="1333" w:type="dxa"/>
            <w:hideMark/>
          </w:tcPr>
          <w:p w14:paraId="2EF928AE"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24-26</w:t>
            </w:r>
          </w:p>
        </w:tc>
        <w:tc>
          <w:tcPr>
            <w:tcW w:w="1178" w:type="dxa"/>
            <w:hideMark/>
          </w:tcPr>
          <w:p w14:paraId="279A756D"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CAB/MA</w:t>
            </w:r>
          </w:p>
        </w:tc>
        <w:tc>
          <w:tcPr>
            <w:tcW w:w="1033" w:type="dxa"/>
            <w:hideMark/>
          </w:tcPr>
          <w:p w14:paraId="6B97A4BF"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 RECHERCHER</w:t>
            </w:r>
          </w:p>
        </w:tc>
        <w:tc>
          <w:tcPr>
            <w:tcW w:w="1322" w:type="dxa"/>
            <w:hideMark/>
          </w:tcPr>
          <w:p w14:paraId="33981E89"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6DD83E04"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Pas de requête</w:t>
            </w:r>
          </w:p>
        </w:tc>
        <w:tc>
          <w:tcPr>
            <w:tcW w:w="1177" w:type="dxa"/>
            <w:hideMark/>
          </w:tcPr>
          <w:p w14:paraId="1BD00DE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400,00</w:t>
            </w:r>
          </w:p>
        </w:tc>
        <w:tc>
          <w:tcPr>
            <w:tcW w:w="1178" w:type="dxa"/>
            <w:hideMark/>
          </w:tcPr>
          <w:p w14:paraId="17B20082"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22CA2770"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100,00</w:t>
            </w:r>
          </w:p>
        </w:tc>
        <w:tc>
          <w:tcPr>
            <w:tcW w:w="1177" w:type="dxa"/>
            <w:hideMark/>
          </w:tcPr>
          <w:p w14:paraId="4057AD9B"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150,00</w:t>
            </w:r>
          </w:p>
        </w:tc>
        <w:tc>
          <w:tcPr>
            <w:tcW w:w="1178" w:type="dxa"/>
            <w:hideMark/>
          </w:tcPr>
          <w:p w14:paraId="7EABFCCE"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150</w:t>
            </w:r>
          </w:p>
        </w:tc>
        <w:tc>
          <w:tcPr>
            <w:tcW w:w="968" w:type="dxa"/>
            <w:hideMark/>
          </w:tcPr>
          <w:p w14:paraId="270E617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400,00</w:t>
            </w:r>
          </w:p>
        </w:tc>
      </w:tr>
      <w:tr w:rsidR="00A47DEE" w:rsidRPr="00F468F7" w14:paraId="4EAFCBD7" w14:textId="77777777" w:rsidTr="00EE0E23">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119" w:type="dxa"/>
            <w:hideMark/>
          </w:tcPr>
          <w:p w14:paraId="1070E798"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Projet de réalisation du chenal d’Aleg</w:t>
            </w:r>
          </w:p>
        </w:tc>
        <w:tc>
          <w:tcPr>
            <w:tcW w:w="1333" w:type="dxa"/>
            <w:hideMark/>
          </w:tcPr>
          <w:p w14:paraId="567172E1"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22-27</w:t>
            </w:r>
          </w:p>
        </w:tc>
        <w:tc>
          <w:tcPr>
            <w:tcW w:w="1178" w:type="dxa"/>
            <w:hideMark/>
          </w:tcPr>
          <w:p w14:paraId="59511893"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UG-Projet Chenal d'Aleg</w:t>
            </w:r>
          </w:p>
        </w:tc>
        <w:tc>
          <w:tcPr>
            <w:tcW w:w="1033" w:type="dxa"/>
            <w:hideMark/>
          </w:tcPr>
          <w:p w14:paraId="17289C6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 ABOU DHABI</w:t>
            </w:r>
          </w:p>
        </w:tc>
        <w:tc>
          <w:tcPr>
            <w:tcW w:w="1322" w:type="dxa"/>
            <w:hideMark/>
          </w:tcPr>
          <w:p w14:paraId="0C046BC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20A703F7"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Requête envoyée</w:t>
            </w:r>
          </w:p>
        </w:tc>
        <w:tc>
          <w:tcPr>
            <w:tcW w:w="1177" w:type="dxa"/>
            <w:hideMark/>
          </w:tcPr>
          <w:p w14:paraId="424FD25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4 210,17</w:t>
            </w:r>
          </w:p>
        </w:tc>
        <w:tc>
          <w:tcPr>
            <w:tcW w:w="1178" w:type="dxa"/>
            <w:hideMark/>
          </w:tcPr>
          <w:p w14:paraId="0B44B1D1"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6566557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76,00</w:t>
            </w:r>
          </w:p>
        </w:tc>
        <w:tc>
          <w:tcPr>
            <w:tcW w:w="1177" w:type="dxa"/>
            <w:hideMark/>
          </w:tcPr>
          <w:p w14:paraId="21E9E5CA"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133,00</w:t>
            </w:r>
          </w:p>
        </w:tc>
        <w:tc>
          <w:tcPr>
            <w:tcW w:w="1178" w:type="dxa"/>
            <w:hideMark/>
          </w:tcPr>
          <w:p w14:paraId="2521404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152</w:t>
            </w:r>
          </w:p>
        </w:tc>
        <w:tc>
          <w:tcPr>
            <w:tcW w:w="968" w:type="dxa"/>
            <w:hideMark/>
          </w:tcPr>
          <w:p w14:paraId="07AB27EE"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361,00</w:t>
            </w:r>
          </w:p>
        </w:tc>
      </w:tr>
      <w:tr w:rsidR="00A47DEE" w:rsidRPr="00F468F7" w14:paraId="3083223A" w14:textId="77777777" w:rsidTr="00EE0E23">
        <w:trPr>
          <w:cnfStyle w:val="000000010000" w:firstRow="0" w:lastRow="0" w:firstColumn="0" w:lastColumn="0" w:oddVBand="0" w:evenVBand="0" w:oddHBand="0" w:evenHBand="1"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22FC9987"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Projet de réalisation du chenal d’Aleg</w:t>
            </w:r>
          </w:p>
        </w:tc>
        <w:tc>
          <w:tcPr>
            <w:tcW w:w="1333" w:type="dxa"/>
            <w:hideMark/>
          </w:tcPr>
          <w:p w14:paraId="4F9A8AA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22-27</w:t>
            </w:r>
          </w:p>
        </w:tc>
        <w:tc>
          <w:tcPr>
            <w:tcW w:w="1178" w:type="dxa"/>
            <w:hideMark/>
          </w:tcPr>
          <w:p w14:paraId="76C56AB3"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UG-Projet Chenal d'Aleg</w:t>
            </w:r>
          </w:p>
        </w:tc>
        <w:tc>
          <w:tcPr>
            <w:tcW w:w="1033" w:type="dxa"/>
            <w:hideMark/>
          </w:tcPr>
          <w:p w14:paraId="0E9B4CEA"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76E27875"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69341D55"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0F56376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75,00</w:t>
            </w:r>
          </w:p>
        </w:tc>
        <w:tc>
          <w:tcPr>
            <w:tcW w:w="1178" w:type="dxa"/>
            <w:hideMark/>
          </w:tcPr>
          <w:p w14:paraId="7997FEA5"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10,00</w:t>
            </w:r>
          </w:p>
        </w:tc>
        <w:tc>
          <w:tcPr>
            <w:tcW w:w="1178" w:type="dxa"/>
            <w:hideMark/>
          </w:tcPr>
          <w:p w14:paraId="571101CB"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15,00</w:t>
            </w:r>
          </w:p>
        </w:tc>
        <w:tc>
          <w:tcPr>
            <w:tcW w:w="1177" w:type="dxa"/>
            <w:hideMark/>
          </w:tcPr>
          <w:p w14:paraId="427E9A58"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10,00</w:t>
            </w:r>
          </w:p>
        </w:tc>
        <w:tc>
          <w:tcPr>
            <w:tcW w:w="1178" w:type="dxa"/>
            <w:hideMark/>
          </w:tcPr>
          <w:p w14:paraId="0DF3F465"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15</w:t>
            </w:r>
          </w:p>
        </w:tc>
        <w:tc>
          <w:tcPr>
            <w:tcW w:w="968" w:type="dxa"/>
            <w:hideMark/>
          </w:tcPr>
          <w:p w14:paraId="62F372AC"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50,00</w:t>
            </w:r>
          </w:p>
        </w:tc>
      </w:tr>
      <w:tr w:rsidR="00A47DEE" w:rsidRPr="00F468F7" w14:paraId="70428D97" w14:textId="77777777" w:rsidTr="00EE0E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31C4DA92"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Projet de réalisation du chenal d’Aleg</w:t>
            </w:r>
          </w:p>
        </w:tc>
        <w:tc>
          <w:tcPr>
            <w:tcW w:w="1333" w:type="dxa"/>
            <w:hideMark/>
          </w:tcPr>
          <w:p w14:paraId="6801E229"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22-27</w:t>
            </w:r>
          </w:p>
        </w:tc>
        <w:tc>
          <w:tcPr>
            <w:tcW w:w="1178" w:type="dxa"/>
            <w:hideMark/>
          </w:tcPr>
          <w:p w14:paraId="2B4E37E8"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UG-Projet Chenal d'Aleg</w:t>
            </w:r>
          </w:p>
        </w:tc>
        <w:tc>
          <w:tcPr>
            <w:tcW w:w="1033" w:type="dxa"/>
            <w:hideMark/>
          </w:tcPr>
          <w:p w14:paraId="72C3802B"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FRANCE-AFD</w:t>
            </w:r>
          </w:p>
        </w:tc>
        <w:tc>
          <w:tcPr>
            <w:tcW w:w="1322" w:type="dxa"/>
            <w:hideMark/>
          </w:tcPr>
          <w:p w14:paraId="5118D70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40FCEBB3"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41EAFD8E"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8,00</w:t>
            </w:r>
          </w:p>
        </w:tc>
        <w:tc>
          <w:tcPr>
            <w:tcW w:w="1178" w:type="dxa"/>
            <w:hideMark/>
          </w:tcPr>
          <w:p w14:paraId="6F0E0E05"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093CC311"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2,67</w:t>
            </w:r>
          </w:p>
        </w:tc>
        <w:tc>
          <w:tcPr>
            <w:tcW w:w="1177" w:type="dxa"/>
            <w:hideMark/>
          </w:tcPr>
          <w:p w14:paraId="7B14105B"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4BC4613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47D1E25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2,67</w:t>
            </w:r>
          </w:p>
        </w:tc>
      </w:tr>
      <w:tr w:rsidR="00A47DEE" w:rsidRPr="00F468F7" w14:paraId="36A03614" w14:textId="77777777" w:rsidTr="00EE0E23">
        <w:trPr>
          <w:cnfStyle w:val="000000010000" w:firstRow="0" w:lastRow="0" w:firstColumn="0" w:lastColumn="0" w:oddVBand="0" w:evenVBand="0" w:oddHBand="0" w:evenHBand="1"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3119" w:type="dxa"/>
            <w:hideMark/>
          </w:tcPr>
          <w:p w14:paraId="30FE26D3"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Augmentation de la production et des rendements agricoles/Hodh Echarghi</w:t>
            </w:r>
          </w:p>
        </w:tc>
        <w:tc>
          <w:tcPr>
            <w:tcW w:w="1333" w:type="dxa"/>
            <w:hideMark/>
          </w:tcPr>
          <w:p w14:paraId="21243DE0"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24-27</w:t>
            </w:r>
          </w:p>
        </w:tc>
        <w:tc>
          <w:tcPr>
            <w:tcW w:w="1178" w:type="dxa"/>
            <w:hideMark/>
          </w:tcPr>
          <w:p w14:paraId="06669052"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CAB/MA</w:t>
            </w:r>
          </w:p>
        </w:tc>
        <w:tc>
          <w:tcPr>
            <w:tcW w:w="1033" w:type="dxa"/>
            <w:hideMark/>
          </w:tcPr>
          <w:p w14:paraId="27BB5A61"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Alliance Sahel</w:t>
            </w:r>
          </w:p>
        </w:tc>
        <w:tc>
          <w:tcPr>
            <w:tcW w:w="1322" w:type="dxa"/>
            <w:hideMark/>
          </w:tcPr>
          <w:p w14:paraId="598704BE"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DON</w:t>
            </w:r>
          </w:p>
        </w:tc>
        <w:tc>
          <w:tcPr>
            <w:tcW w:w="1178" w:type="dxa"/>
            <w:hideMark/>
          </w:tcPr>
          <w:p w14:paraId="2BCDCE22"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En cours de négociation</w:t>
            </w:r>
          </w:p>
        </w:tc>
        <w:tc>
          <w:tcPr>
            <w:tcW w:w="1177" w:type="dxa"/>
            <w:hideMark/>
          </w:tcPr>
          <w:p w14:paraId="1169B16A"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250,00</w:t>
            </w:r>
          </w:p>
        </w:tc>
        <w:tc>
          <w:tcPr>
            <w:tcW w:w="1178" w:type="dxa"/>
            <w:hideMark/>
          </w:tcPr>
          <w:p w14:paraId="1EC7F8CA"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78A02995"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50,00</w:t>
            </w:r>
          </w:p>
        </w:tc>
        <w:tc>
          <w:tcPr>
            <w:tcW w:w="1177" w:type="dxa"/>
            <w:hideMark/>
          </w:tcPr>
          <w:p w14:paraId="33682EEB"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62,50</w:t>
            </w:r>
          </w:p>
        </w:tc>
        <w:tc>
          <w:tcPr>
            <w:tcW w:w="1178" w:type="dxa"/>
            <w:hideMark/>
          </w:tcPr>
          <w:p w14:paraId="3EDCB587"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63</w:t>
            </w:r>
          </w:p>
        </w:tc>
        <w:tc>
          <w:tcPr>
            <w:tcW w:w="968" w:type="dxa"/>
            <w:hideMark/>
          </w:tcPr>
          <w:p w14:paraId="342CD2D0"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175,50</w:t>
            </w:r>
          </w:p>
        </w:tc>
      </w:tr>
      <w:tr w:rsidR="00A47DEE" w:rsidRPr="00F468F7" w14:paraId="75C49311" w14:textId="77777777" w:rsidTr="00EE0E23">
        <w:trPr>
          <w:cnfStyle w:val="000000100000" w:firstRow="0" w:lastRow="0" w:firstColumn="0" w:lastColumn="0" w:oddVBand="0" w:evenVBand="0" w:oddHBand="1"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3119" w:type="dxa"/>
            <w:hideMark/>
          </w:tcPr>
          <w:p w14:paraId="3B475FCD"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 xml:space="preserve">Projet d’Appui au développement et </w:t>
            </w:r>
            <w:proofErr w:type="gramStart"/>
            <w:r w:rsidRPr="009739B9">
              <w:rPr>
                <w:rFonts w:asciiTheme="minorHAnsi" w:hAnsiTheme="minorHAnsi" w:cstheme="minorHAnsi"/>
                <w:b w:val="0"/>
                <w:bCs w:val="0"/>
                <w:sz w:val="18"/>
                <w:szCs w:val="18"/>
              </w:rPr>
              <w:t>aux  Innovations</w:t>
            </w:r>
            <w:proofErr w:type="gramEnd"/>
            <w:r w:rsidRPr="009739B9">
              <w:rPr>
                <w:rFonts w:asciiTheme="minorHAnsi" w:hAnsiTheme="minorHAnsi" w:cstheme="minorHAnsi"/>
                <w:b w:val="0"/>
                <w:bCs w:val="0"/>
                <w:sz w:val="18"/>
                <w:szCs w:val="18"/>
              </w:rPr>
              <w:t xml:space="preserve"> dans le Secteur Agricole en Mauritanie</w:t>
            </w:r>
          </w:p>
        </w:tc>
        <w:tc>
          <w:tcPr>
            <w:tcW w:w="1333" w:type="dxa"/>
            <w:hideMark/>
          </w:tcPr>
          <w:p w14:paraId="3C3320B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23-29</w:t>
            </w:r>
          </w:p>
        </w:tc>
        <w:tc>
          <w:tcPr>
            <w:tcW w:w="1178" w:type="dxa"/>
            <w:hideMark/>
          </w:tcPr>
          <w:p w14:paraId="107A5C1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CAB/MA</w:t>
            </w:r>
          </w:p>
        </w:tc>
        <w:tc>
          <w:tcPr>
            <w:tcW w:w="1033" w:type="dxa"/>
            <w:hideMark/>
          </w:tcPr>
          <w:p w14:paraId="412B3811"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BM-IDA</w:t>
            </w:r>
          </w:p>
        </w:tc>
        <w:tc>
          <w:tcPr>
            <w:tcW w:w="1322" w:type="dxa"/>
            <w:hideMark/>
          </w:tcPr>
          <w:p w14:paraId="3212C4FC"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PRET</w:t>
            </w:r>
          </w:p>
        </w:tc>
        <w:tc>
          <w:tcPr>
            <w:tcW w:w="1178" w:type="dxa"/>
            <w:hideMark/>
          </w:tcPr>
          <w:p w14:paraId="151BC51A"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656529D8"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1 900,00</w:t>
            </w:r>
          </w:p>
        </w:tc>
        <w:tc>
          <w:tcPr>
            <w:tcW w:w="1178" w:type="dxa"/>
            <w:hideMark/>
          </w:tcPr>
          <w:p w14:paraId="75033488"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38,00</w:t>
            </w:r>
          </w:p>
        </w:tc>
        <w:tc>
          <w:tcPr>
            <w:tcW w:w="1178" w:type="dxa"/>
            <w:hideMark/>
          </w:tcPr>
          <w:p w14:paraId="17034948"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190,00</w:t>
            </w:r>
          </w:p>
        </w:tc>
        <w:tc>
          <w:tcPr>
            <w:tcW w:w="1177" w:type="dxa"/>
            <w:hideMark/>
          </w:tcPr>
          <w:p w14:paraId="741F1D01"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266,00</w:t>
            </w:r>
          </w:p>
        </w:tc>
        <w:tc>
          <w:tcPr>
            <w:tcW w:w="1178" w:type="dxa"/>
            <w:hideMark/>
          </w:tcPr>
          <w:p w14:paraId="68A8A50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456</w:t>
            </w:r>
          </w:p>
        </w:tc>
        <w:tc>
          <w:tcPr>
            <w:tcW w:w="968" w:type="dxa"/>
            <w:hideMark/>
          </w:tcPr>
          <w:p w14:paraId="28CED1BC"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950,00</w:t>
            </w:r>
          </w:p>
        </w:tc>
      </w:tr>
      <w:tr w:rsidR="00A47DEE" w:rsidRPr="00F468F7" w14:paraId="2DBA2AA3" w14:textId="77777777" w:rsidTr="00EE0E23">
        <w:trPr>
          <w:cnfStyle w:val="000000010000" w:firstRow="0" w:lastRow="0" w:firstColumn="0" w:lastColumn="0" w:oddVBand="0" w:evenVBand="0" w:oddHBand="0" w:evenHBand="1"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119" w:type="dxa"/>
            <w:hideMark/>
          </w:tcPr>
          <w:p w14:paraId="36A998A0"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 xml:space="preserve">Projet d’Appui au développement et </w:t>
            </w:r>
            <w:r w:rsidRPr="00F468F7">
              <w:rPr>
                <w:rFonts w:asciiTheme="minorHAnsi" w:hAnsiTheme="minorHAnsi" w:cstheme="minorHAnsi"/>
                <w:b w:val="0"/>
                <w:bCs w:val="0"/>
                <w:sz w:val="18"/>
                <w:szCs w:val="18"/>
              </w:rPr>
              <w:t>aux Innovations</w:t>
            </w:r>
            <w:r w:rsidRPr="009739B9">
              <w:rPr>
                <w:rFonts w:asciiTheme="minorHAnsi" w:hAnsiTheme="minorHAnsi" w:cstheme="minorHAnsi"/>
                <w:b w:val="0"/>
                <w:bCs w:val="0"/>
                <w:sz w:val="18"/>
                <w:szCs w:val="18"/>
              </w:rPr>
              <w:t xml:space="preserve"> dans le Secteur Agricole en Mauritanie</w:t>
            </w:r>
          </w:p>
        </w:tc>
        <w:tc>
          <w:tcPr>
            <w:tcW w:w="1333" w:type="dxa"/>
            <w:hideMark/>
          </w:tcPr>
          <w:p w14:paraId="2350FC75"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23-29</w:t>
            </w:r>
          </w:p>
        </w:tc>
        <w:tc>
          <w:tcPr>
            <w:tcW w:w="1178" w:type="dxa"/>
            <w:hideMark/>
          </w:tcPr>
          <w:p w14:paraId="74F1CF2B"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CAB/MA</w:t>
            </w:r>
          </w:p>
        </w:tc>
        <w:tc>
          <w:tcPr>
            <w:tcW w:w="1033" w:type="dxa"/>
            <w:hideMark/>
          </w:tcPr>
          <w:p w14:paraId="7BA5AD70"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1DFB959B"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57A70EC9"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3EEF06B1"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30,00</w:t>
            </w:r>
          </w:p>
        </w:tc>
        <w:tc>
          <w:tcPr>
            <w:tcW w:w="1178" w:type="dxa"/>
            <w:hideMark/>
          </w:tcPr>
          <w:p w14:paraId="72E08DB0"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2BA88D87"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5,00</w:t>
            </w:r>
          </w:p>
        </w:tc>
        <w:tc>
          <w:tcPr>
            <w:tcW w:w="1177" w:type="dxa"/>
            <w:hideMark/>
          </w:tcPr>
          <w:p w14:paraId="7C4A3FCB"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4,29</w:t>
            </w:r>
          </w:p>
        </w:tc>
        <w:tc>
          <w:tcPr>
            <w:tcW w:w="1178" w:type="dxa"/>
            <w:hideMark/>
          </w:tcPr>
          <w:p w14:paraId="477E411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4,29</w:t>
            </w:r>
          </w:p>
        </w:tc>
        <w:tc>
          <w:tcPr>
            <w:tcW w:w="968" w:type="dxa"/>
            <w:hideMark/>
          </w:tcPr>
          <w:p w14:paraId="5193CA06" w14:textId="77777777" w:rsidR="00A47DEE" w:rsidRPr="009739B9"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13,58</w:t>
            </w:r>
          </w:p>
        </w:tc>
      </w:tr>
      <w:tr w:rsidR="00A47DEE" w:rsidRPr="00F468F7" w14:paraId="3875D4B3" w14:textId="77777777" w:rsidTr="00EE0E23">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3119" w:type="dxa"/>
            <w:hideMark/>
          </w:tcPr>
          <w:p w14:paraId="5A027C9D" w14:textId="77777777" w:rsidR="00A47DEE" w:rsidRPr="009739B9" w:rsidRDefault="00A47DEE" w:rsidP="00EE0E23">
            <w:pPr>
              <w:rPr>
                <w:rFonts w:asciiTheme="minorHAnsi" w:hAnsiTheme="minorHAnsi" w:cstheme="minorHAnsi"/>
                <w:b w:val="0"/>
                <w:bCs w:val="0"/>
                <w:sz w:val="18"/>
                <w:szCs w:val="18"/>
              </w:rPr>
            </w:pPr>
            <w:r w:rsidRPr="009739B9">
              <w:rPr>
                <w:rFonts w:asciiTheme="minorHAnsi" w:hAnsiTheme="minorHAnsi" w:cstheme="minorHAnsi"/>
                <w:b w:val="0"/>
                <w:bCs w:val="0"/>
                <w:sz w:val="18"/>
                <w:szCs w:val="18"/>
              </w:rPr>
              <w:t>Projet d'amélioration de la production agricole/Centre-Est Mauritanie</w:t>
            </w:r>
          </w:p>
        </w:tc>
        <w:tc>
          <w:tcPr>
            <w:tcW w:w="1333" w:type="dxa"/>
            <w:hideMark/>
          </w:tcPr>
          <w:p w14:paraId="2C73853A"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21-24</w:t>
            </w:r>
          </w:p>
        </w:tc>
        <w:tc>
          <w:tcPr>
            <w:tcW w:w="1178" w:type="dxa"/>
            <w:hideMark/>
          </w:tcPr>
          <w:p w14:paraId="66CAD504"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CSA</w:t>
            </w:r>
          </w:p>
        </w:tc>
        <w:tc>
          <w:tcPr>
            <w:tcW w:w="1033" w:type="dxa"/>
            <w:hideMark/>
          </w:tcPr>
          <w:p w14:paraId="0E5AD738"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RIM</w:t>
            </w:r>
          </w:p>
        </w:tc>
        <w:tc>
          <w:tcPr>
            <w:tcW w:w="1322" w:type="dxa"/>
            <w:hideMark/>
          </w:tcPr>
          <w:p w14:paraId="4DFF2DE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BUDGET</w:t>
            </w:r>
          </w:p>
        </w:tc>
        <w:tc>
          <w:tcPr>
            <w:tcW w:w="1178" w:type="dxa"/>
            <w:hideMark/>
          </w:tcPr>
          <w:p w14:paraId="518FBC7F"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Acquis</w:t>
            </w:r>
          </w:p>
        </w:tc>
        <w:tc>
          <w:tcPr>
            <w:tcW w:w="1177" w:type="dxa"/>
            <w:hideMark/>
          </w:tcPr>
          <w:p w14:paraId="123F30FA"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20,00</w:t>
            </w:r>
          </w:p>
        </w:tc>
        <w:tc>
          <w:tcPr>
            <w:tcW w:w="1178" w:type="dxa"/>
            <w:hideMark/>
          </w:tcPr>
          <w:p w14:paraId="1D469C52"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8,00</w:t>
            </w:r>
          </w:p>
        </w:tc>
        <w:tc>
          <w:tcPr>
            <w:tcW w:w="1178" w:type="dxa"/>
            <w:hideMark/>
          </w:tcPr>
          <w:p w14:paraId="38E7C3CA"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6,00</w:t>
            </w:r>
          </w:p>
        </w:tc>
        <w:tc>
          <w:tcPr>
            <w:tcW w:w="1177" w:type="dxa"/>
            <w:hideMark/>
          </w:tcPr>
          <w:p w14:paraId="2E4EF998"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w:t>
            </w:r>
          </w:p>
        </w:tc>
        <w:tc>
          <w:tcPr>
            <w:tcW w:w="1178" w:type="dxa"/>
            <w:hideMark/>
          </w:tcPr>
          <w:p w14:paraId="26CA1490"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0</w:t>
            </w:r>
          </w:p>
        </w:tc>
        <w:tc>
          <w:tcPr>
            <w:tcW w:w="968" w:type="dxa"/>
            <w:hideMark/>
          </w:tcPr>
          <w:p w14:paraId="318391B5" w14:textId="77777777" w:rsidR="00A47DEE" w:rsidRPr="009739B9"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9739B9">
              <w:rPr>
                <w:rFonts w:eastAsia="Times New Roman" w:cstheme="minorHAnsi"/>
                <w:sz w:val="18"/>
                <w:szCs w:val="18"/>
              </w:rPr>
              <w:t>14,00</w:t>
            </w:r>
          </w:p>
        </w:tc>
      </w:tr>
    </w:tbl>
    <w:p w14:paraId="19C21DD7" w14:textId="77777777" w:rsidR="00A47DEE" w:rsidRDefault="00A47DEE" w:rsidP="00A47DEE">
      <w:pPr>
        <w:keepNext/>
        <w:jc w:val="both"/>
        <w:rPr>
          <w:rFonts w:eastAsia="Calibri" w:cstheme="minorHAnsi"/>
          <w:b/>
          <w:bCs/>
          <w:color w:val="0070C0"/>
          <w:sz w:val="20"/>
          <w:szCs w:val="20"/>
        </w:rPr>
      </w:pPr>
    </w:p>
    <w:p w14:paraId="46FF8690" w14:textId="77777777" w:rsidR="00A47DEE" w:rsidRPr="00C438C1" w:rsidRDefault="00A47DEE" w:rsidP="00A47DEE">
      <w:pPr>
        <w:keepNext/>
        <w:jc w:val="both"/>
        <w:rPr>
          <w:rFonts w:eastAsia="Calibri" w:cstheme="minorHAnsi"/>
          <w:b/>
          <w:bCs/>
          <w:color w:val="0070C0"/>
          <w:sz w:val="20"/>
          <w:szCs w:val="20"/>
        </w:rPr>
      </w:pPr>
    </w:p>
    <w:p w14:paraId="53DA2AC3" w14:textId="77777777" w:rsidR="00A47DEE" w:rsidRPr="00F468F7" w:rsidRDefault="00A47DEE" w:rsidP="00A47DEE">
      <w:pPr>
        <w:pStyle w:val="Paragraphedeliste"/>
        <w:keepNext/>
        <w:keepLines/>
        <w:numPr>
          <w:ilvl w:val="1"/>
          <w:numId w:val="384"/>
        </w:numPr>
        <w:shd w:val="clear" w:color="auto" w:fill="2E74B5" w:themeFill="accent5" w:themeFillShade="BF"/>
        <w:tabs>
          <w:tab w:val="left" w:pos="284"/>
        </w:tabs>
        <w:spacing w:before="40"/>
        <w:jc w:val="lowKashida"/>
        <w:outlineLvl w:val="2"/>
        <w:rPr>
          <w:rFonts w:eastAsia="Noto Sans CJK SC" w:cstheme="minorHAnsi"/>
          <w:b/>
          <w:bCs/>
          <w:color w:val="FFFFFF" w:themeColor="background1"/>
          <w:sz w:val="24"/>
          <w:szCs w:val="24"/>
          <w:lang w:bidi="hi-IN"/>
        </w:rPr>
      </w:pPr>
      <w:bookmarkStart w:id="351" w:name="_Toc179577366"/>
      <w:r w:rsidRPr="00F468F7">
        <w:rPr>
          <w:rFonts w:eastAsia="Noto Sans CJK SC" w:cstheme="minorHAnsi"/>
          <w:b/>
          <w:bCs/>
          <w:color w:val="FFFFFF" w:themeColor="background1"/>
          <w:sz w:val="24"/>
          <w:szCs w:val="24"/>
          <w:lang w:bidi="hi-IN"/>
        </w:rPr>
        <w:t>Priorisations des options d’adaptation à l’aide de l’AMC</w:t>
      </w:r>
      <w:bookmarkEnd w:id="351"/>
    </w:p>
    <w:p w14:paraId="73A75C9E" w14:textId="77777777" w:rsidR="00A47DEE" w:rsidRPr="00F468F7" w:rsidRDefault="00A47DEE" w:rsidP="00A47DEE">
      <w:pPr>
        <w:spacing w:after="0"/>
        <w:ind w:hanging="142"/>
        <w:jc w:val="lowKashida"/>
        <w:rPr>
          <w:rFonts w:eastAsia="Calibri" w:cstheme="minorHAnsi"/>
          <w:iCs/>
          <w:color w:val="000000"/>
          <w:shd w:val="clear" w:color="auto" w:fill="FFFFFF"/>
        </w:rPr>
      </w:pPr>
    </w:p>
    <w:p w14:paraId="76991B2C" w14:textId="77777777" w:rsidR="00A47DEE" w:rsidRPr="00FF56CA" w:rsidRDefault="00A47DEE" w:rsidP="00A47DEE">
      <w:pPr>
        <w:pStyle w:val="Paragraphedeliste"/>
        <w:keepNext/>
        <w:keepLines/>
        <w:numPr>
          <w:ilvl w:val="2"/>
          <w:numId w:val="384"/>
        </w:numPr>
        <w:shd w:val="clear" w:color="auto" w:fill="002060"/>
        <w:tabs>
          <w:tab w:val="left" w:pos="990"/>
        </w:tabs>
        <w:spacing w:before="40" w:after="120" w:line="240" w:lineRule="auto"/>
        <w:jc w:val="both"/>
        <w:outlineLvl w:val="2"/>
        <w:rPr>
          <w:rFonts w:eastAsia="Calibri" w:cstheme="minorHAnsi"/>
          <w:b/>
          <w:bCs/>
          <w:smallCaps/>
          <w:color w:val="FFFFFF" w:themeColor="background1"/>
        </w:rPr>
      </w:pPr>
      <w:bookmarkStart w:id="352" w:name="_Toc179577367"/>
      <w:r w:rsidRPr="00FF56CA">
        <w:rPr>
          <w:rFonts w:eastAsia="Calibri" w:cstheme="minorHAnsi"/>
          <w:b/>
          <w:bCs/>
          <w:smallCaps/>
          <w:color w:val="FFFFFF" w:themeColor="background1"/>
        </w:rPr>
        <w:t>Matrice d’adaptation</w:t>
      </w:r>
      <w:bookmarkEnd w:id="352"/>
    </w:p>
    <w:tbl>
      <w:tblPr>
        <w:tblStyle w:val="Grilleclaire-Accent11"/>
        <w:tblW w:w="15421" w:type="dxa"/>
        <w:jc w:val="center"/>
        <w:tblBorders>
          <w:top w:val="single" w:sz="24" w:space="0" w:color="385623" w:themeColor="accent6" w:themeShade="80"/>
          <w:left w:val="single" w:sz="24" w:space="0" w:color="385623" w:themeColor="accent6" w:themeShade="80"/>
          <w:bottom w:val="single" w:sz="24" w:space="0" w:color="385623" w:themeColor="accent6" w:themeShade="80"/>
          <w:right w:val="single" w:sz="24" w:space="0" w:color="385623" w:themeColor="accent6" w:themeShade="80"/>
          <w:insideH w:val="single" w:sz="24" w:space="0" w:color="385623" w:themeColor="accent6" w:themeShade="80"/>
          <w:insideV w:val="single" w:sz="24" w:space="0" w:color="385623" w:themeColor="accent6" w:themeShade="80"/>
        </w:tblBorders>
        <w:tblLayout w:type="fixed"/>
        <w:tblLook w:val="04A0" w:firstRow="1" w:lastRow="0" w:firstColumn="1" w:lastColumn="0" w:noHBand="0" w:noVBand="1"/>
      </w:tblPr>
      <w:tblGrid>
        <w:gridCol w:w="1833"/>
        <w:gridCol w:w="3382"/>
        <w:gridCol w:w="3257"/>
        <w:gridCol w:w="2575"/>
        <w:gridCol w:w="2106"/>
        <w:gridCol w:w="2268"/>
      </w:tblGrid>
      <w:tr w:rsidR="00A47DEE" w:rsidRPr="00F468F7" w14:paraId="5A5E7FBC" w14:textId="77777777" w:rsidTr="00EE0E23">
        <w:trPr>
          <w:cnfStyle w:val="100000000000" w:firstRow="1" w:lastRow="0" w:firstColumn="0" w:lastColumn="0" w:oddVBand="0" w:evenVBand="0" w:oddHBand="0"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833" w:type="dxa"/>
            <w:vMerge w:val="restart"/>
            <w:tcBorders>
              <w:top w:val="none" w:sz="0" w:space="0" w:color="auto"/>
              <w:left w:val="none" w:sz="0" w:space="0" w:color="auto"/>
              <w:bottom w:val="none" w:sz="0" w:space="0" w:color="auto"/>
              <w:right w:val="none" w:sz="0" w:space="0" w:color="auto"/>
            </w:tcBorders>
            <w:shd w:val="clear" w:color="auto" w:fill="FBE4D5" w:themeFill="accent2" w:themeFillTint="33"/>
          </w:tcPr>
          <w:p w14:paraId="6AB457E6" w14:textId="77777777" w:rsidR="00A47DEE" w:rsidRPr="00F468F7" w:rsidRDefault="00A47DEE" w:rsidP="00EE0E23">
            <w:pPr>
              <w:spacing w:before="120" w:after="120"/>
              <w:jc w:val="center"/>
              <w:rPr>
                <w:rFonts w:asciiTheme="minorHAnsi" w:hAnsiTheme="minorHAnsi" w:cstheme="minorHAnsi"/>
              </w:rPr>
            </w:pPr>
            <w:r w:rsidRPr="00F468F7">
              <w:rPr>
                <w:rFonts w:asciiTheme="minorHAnsi" w:hAnsiTheme="minorHAnsi" w:cstheme="minorHAnsi"/>
              </w:rPr>
              <w:t>Risques climatiques</w:t>
            </w:r>
          </w:p>
        </w:tc>
        <w:tc>
          <w:tcPr>
            <w:tcW w:w="13588" w:type="dxa"/>
            <w:gridSpan w:val="5"/>
            <w:tcBorders>
              <w:top w:val="none" w:sz="0" w:space="0" w:color="auto"/>
              <w:left w:val="none" w:sz="0" w:space="0" w:color="auto"/>
              <w:bottom w:val="none" w:sz="0" w:space="0" w:color="auto"/>
              <w:right w:val="none" w:sz="0" w:space="0" w:color="auto"/>
            </w:tcBorders>
            <w:shd w:val="clear" w:color="auto" w:fill="E2EFD9" w:themeFill="accent6" w:themeFillTint="33"/>
          </w:tcPr>
          <w:p w14:paraId="239D0892"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468F7">
              <w:rPr>
                <w:rFonts w:asciiTheme="minorHAnsi" w:hAnsiTheme="minorHAnsi" w:cstheme="minorHAnsi"/>
              </w:rPr>
              <w:t>Unités d’exposition</w:t>
            </w:r>
          </w:p>
        </w:tc>
      </w:tr>
      <w:tr w:rsidR="00A47DEE" w:rsidRPr="00F468F7" w14:paraId="6DBF2BED" w14:textId="77777777" w:rsidTr="00EE0E23">
        <w:trPr>
          <w:cnfStyle w:val="000000100000" w:firstRow="0" w:lastRow="0" w:firstColumn="0" w:lastColumn="0" w:oddVBand="0" w:evenVBand="0" w:oddHBand="1"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1833" w:type="dxa"/>
            <w:vMerge/>
            <w:tcBorders>
              <w:top w:val="none" w:sz="0" w:space="0" w:color="auto"/>
              <w:left w:val="none" w:sz="0" w:space="0" w:color="auto"/>
              <w:bottom w:val="none" w:sz="0" w:space="0" w:color="auto"/>
              <w:right w:val="none" w:sz="0" w:space="0" w:color="auto"/>
            </w:tcBorders>
            <w:shd w:val="clear" w:color="auto" w:fill="FBE4D5" w:themeFill="accent2" w:themeFillTint="33"/>
          </w:tcPr>
          <w:p w14:paraId="76574010" w14:textId="77777777" w:rsidR="00A47DEE" w:rsidRPr="00F468F7" w:rsidRDefault="00A47DEE" w:rsidP="00EE0E23">
            <w:pPr>
              <w:spacing w:before="120" w:after="120"/>
              <w:rPr>
                <w:rFonts w:asciiTheme="minorHAnsi" w:hAnsiTheme="minorHAnsi" w:cstheme="minorHAnsi"/>
              </w:rPr>
            </w:pPr>
          </w:p>
        </w:tc>
        <w:tc>
          <w:tcPr>
            <w:tcW w:w="3382"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0C418DD1" w14:textId="77777777" w:rsidR="00A47DEE" w:rsidRPr="00F468F7" w:rsidRDefault="00A47DEE" w:rsidP="00EE0E23">
            <w:pPr>
              <w:pStyle w:val="Paragraphedeliste"/>
              <w:ind w:left="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F468F7">
              <w:rPr>
                <w:rFonts w:cstheme="minorHAnsi"/>
                <w:b/>
                <w:bCs/>
              </w:rPr>
              <w:t>Cultures pluviales</w:t>
            </w:r>
          </w:p>
        </w:tc>
        <w:tc>
          <w:tcPr>
            <w:tcW w:w="3257"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49EA42E6" w14:textId="77777777" w:rsidR="00A47DEE" w:rsidRPr="00F468F7" w:rsidRDefault="00A47DEE" w:rsidP="00EE0E23">
            <w:pPr>
              <w:pStyle w:val="Paragraphedeliste"/>
              <w:ind w:left="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F468F7">
              <w:rPr>
                <w:rFonts w:cstheme="minorHAnsi"/>
                <w:b/>
                <w:bCs/>
              </w:rPr>
              <w:t>Cultures irriguées</w:t>
            </w:r>
          </w:p>
        </w:tc>
        <w:tc>
          <w:tcPr>
            <w:tcW w:w="2575"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3B153F55" w14:textId="77777777" w:rsidR="00A47DEE" w:rsidRPr="00F468F7" w:rsidRDefault="00A47DEE" w:rsidP="00EE0E23">
            <w:pPr>
              <w:pStyle w:val="Paragraphedeliste"/>
              <w:ind w:left="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F468F7">
              <w:rPr>
                <w:rFonts w:cstheme="minorHAnsi"/>
                <w:b/>
                <w:bCs/>
              </w:rPr>
              <w:t>Terres agricoles</w:t>
            </w:r>
          </w:p>
        </w:tc>
        <w:tc>
          <w:tcPr>
            <w:tcW w:w="2106"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392B682F" w14:textId="77777777" w:rsidR="00A47DEE" w:rsidRPr="00F468F7" w:rsidRDefault="00A47DEE" w:rsidP="00EE0E23">
            <w:pPr>
              <w:pStyle w:val="Paragraphedeliste"/>
              <w:ind w:left="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F468F7">
              <w:rPr>
                <w:rFonts w:cstheme="minorHAnsi"/>
                <w:b/>
                <w:bCs/>
              </w:rPr>
              <w:t>Eau agricole</w:t>
            </w:r>
          </w:p>
        </w:tc>
        <w:tc>
          <w:tcPr>
            <w:tcW w:w="2268" w:type="dxa"/>
            <w:tcBorders>
              <w:top w:val="none" w:sz="0" w:space="0" w:color="auto"/>
              <w:left w:val="none" w:sz="0" w:space="0" w:color="auto"/>
              <w:bottom w:val="none" w:sz="0" w:space="0" w:color="auto"/>
              <w:right w:val="none" w:sz="0" w:space="0" w:color="auto"/>
            </w:tcBorders>
            <w:shd w:val="clear" w:color="auto" w:fill="E2EFD9" w:themeFill="accent6" w:themeFillTint="33"/>
          </w:tcPr>
          <w:p w14:paraId="5148B7C7" w14:textId="77777777" w:rsidR="00A47DEE" w:rsidRPr="00F468F7" w:rsidRDefault="00A47DEE" w:rsidP="00EE0E23">
            <w:pPr>
              <w:pStyle w:val="Paragraphedeliste"/>
              <w:ind w:left="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F468F7">
              <w:rPr>
                <w:rFonts w:cstheme="minorHAnsi"/>
                <w:b/>
                <w:bCs/>
              </w:rPr>
              <w:t>Agriculteurs</w:t>
            </w:r>
          </w:p>
        </w:tc>
      </w:tr>
      <w:tr w:rsidR="00A47DEE" w:rsidRPr="00F468F7" w14:paraId="010C5890" w14:textId="77777777" w:rsidTr="00EE0E23">
        <w:trPr>
          <w:cnfStyle w:val="000000010000" w:firstRow="0" w:lastRow="0" w:firstColumn="0" w:lastColumn="0" w:oddVBand="0" w:evenVBand="0" w:oddHBand="0" w:evenHBand="1" w:firstRowFirstColumn="0" w:firstRowLastColumn="0" w:lastRowFirstColumn="0" w:lastRowLastColumn="0"/>
          <w:trHeight w:val="538"/>
          <w:jc w:val="center"/>
        </w:trPr>
        <w:tc>
          <w:tcPr>
            <w:cnfStyle w:val="001000000000" w:firstRow="0" w:lastRow="0" w:firstColumn="1" w:lastColumn="0" w:oddVBand="0" w:evenVBand="0" w:oddHBand="0" w:evenHBand="0" w:firstRowFirstColumn="0" w:firstRowLastColumn="0" w:lastRowFirstColumn="0" w:lastRowLastColumn="0"/>
            <w:tcW w:w="1833" w:type="dxa"/>
            <w:tcBorders>
              <w:top w:val="none" w:sz="0" w:space="0" w:color="auto"/>
              <w:left w:val="none" w:sz="0" w:space="0" w:color="auto"/>
              <w:bottom w:val="none" w:sz="0" w:space="0" w:color="auto"/>
              <w:right w:val="none" w:sz="0" w:space="0" w:color="auto"/>
            </w:tcBorders>
            <w:shd w:val="clear" w:color="auto" w:fill="FFFFFF" w:themeFill="background1"/>
          </w:tcPr>
          <w:p w14:paraId="5A050CBF" w14:textId="77777777" w:rsidR="00A47DEE" w:rsidRPr="00F468F7" w:rsidRDefault="00A47DEE" w:rsidP="00EE0E23">
            <w:pPr>
              <w:pStyle w:val="Paragraphedeliste"/>
              <w:ind w:left="0"/>
              <w:jc w:val="center"/>
              <w:rPr>
                <w:rFonts w:asciiTheme="minorHAnsi" w:hAnsiTheme="minorHAnsi" w:cstheme="minorHAnsi"/>
              </w:rPr>
            </w:pPr>
            <w:r w:rsidRPr="00F468F7">
              <w:rPr>
                <w:rFonts w:asciiTheme="minorHAnsi" w:hAnsiTheme="minorHAnsi" w:cstheme="minorHAnsi"/>
              </w:rPr>
              <w:t>Sécheresse</w:t>
            </w:r>
          </w:p>
        </w:tc>
        <w:tc>
          <w:tcPr>
            <w:tcW w:w="3382" w:type="dxa"/>
            <w:tcBorders>
              <w:top w:val="none" w:sz="0" w:space="0" w:color="auto"/>
              <w:left w:val="none" w:sz="0" w:space="0" w:color="auto"/>
              <w:bottom w:val="none" w:sz="0" w:space="0" w:color="auto"/>
              <w:right w:val="none" w:sz="0" w:space="0" w:color="auto"/>
            </w:tcBorders>
          </w:tcPr>
          <w:p w14:paraId="0EC6D9BA"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Introduction et multiplication de nouvelles variétés à cycle court, très productives et résistantes à la sècheresse </w:t>
            </w:r>
          </w:p>
          <w:p w14:paraId="7D9B5BFB"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imes New Roman" w:cstheme="minorHAnsi"/>
              </w:rPr>
              <w:t>Développement de la filière semencière et conservation des écotypes</w:t>
            </w:r>
          </w:p>
          <w:p w14:paraId="4C249ADA"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Irrigation complémentaire</w:t>
            </w:r>
          </w:p>
          <w:p w14:paraId="335581FA" w14:textId="77777777" w:rsidR="00A47DEE" w:rsidRPr="00F468F7" w:rsidRDefault="00A47DEE" w:rsidP="00EE0E23">
            <w:pPr>
              <w:ind w:left="-47"/>
              <w:cnfStyle w:val="000000010000" w:firstRow="0" w:lastRow="0" w:firstColumn="0" w:lastColumn="0" w:oddVBand="0" w:evenVBand="0" w:oddHBand="0" w:evenHBand="1" w:firstRowFirstColumn="0" w:firstRowLastColumn="0" w:lastRowFirstColumn="0" w:lastRowLastColumn="0"/>
              <w:rPr>
                <w:rFonts w:cstheme="minorHAnsi"/>
              </w:rPr>
            </w:pPr>
          </w:p>
        </w:tc>
        <w:tc>
          <w:tcPr>
            <w:tcW w:w="3257" w:type="dxa"/>
            <w:tcBorders>
              <w:top w:val="none" w:sz="0" w:space="0" w:color="auto"/>
              <w:left w:val="none" w:sz="0" w:space="0" w:color="auto"/>
              <w:bottom w:val="none" w:sz="0" w:space="0" w:color="auto"/>
              <w:right w:val="none" w:sz="0" w:space="0" w:color="auto"/>
            </w:tcBorders>
          </w:tcPr>
          <w:p w14:paraId="7268130F"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Agriculture de conservation </w:t>
            </w:r>
          </w:p>
          <w:p w14:paraId="1DB00BFB"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Utilisation des variétés maraichères et de légumineuses adaptées </w:t>
            </w:r>
          </w:p>
          <w:p w14:paraId="05C85475"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Agroforesterie</w:t>
            </w:r>
          </w:p>
          <w:p w14:paraId="715CCFC9"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Intensification et diversification des cultures irriguées fondées sur des pratiques agroécologiques</w:t>
            </w:r>
          </w:p>
          <w:p w14:paraId="109C5692"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Développement de la filière semencière</w:t>
            </w:r>
          </w:p>
          <w:p w14:paraId="58B1DEF4"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imes New Roman" w:cstheme="minorHAnsi"/>
              </w:rPr>
              <w:t>Restauration et sauvegarde des palmeraies menacées par les impacts des CC</w:t>
            </w:r>
          </w:p>
          <w:p w14:paraId="3AC30E28" w14:textId="77777777" w:rsidR="00A47DEE" w:rsidRPr="00F468F7" w:rsidRDefault="00A47DEE" w:rsidP="00EE0E23">
            <w:pPr>
              <w:pStyle w:val="Paragraphedeliste"/>
              <w:ind w:left="236"/>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p>
        </w:tc>
        <w:tc>
          <w:tcPr>
            <w:tcW w:w="2575" w:type="dxa"/>
            <w:tcBorders>
              <w:top w:val="none" w:sz="0" w:space="0" w:color="auto"/>
              <w:left w:val="none" w:sz="0" w:space="0" w:color="auto"/>
              <w:bottom w:val="none" w:sz="0" w:space="0" w:color="auto"/>
              <w:right w:val="none" w:sz="0" w:space="0" w:color="auto"/>
            </w:tcBorders>
          </w:tcPr>
          <w:p w14:paraId="6802F45D"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Restauration de la fertilité des terres agricoles et neutralisation de leur dégradation (NDT/LDN)</w:t>
            </w:r>
          </w:p>
          <w:p w14:paraId="546579D6"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Amélioration de la fertilité du sol</w:t>
            </w:r>
          </w:p>
          <w:p w14:paraId="53FFEFB7"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Amélioration de la capacité de rétention des sols (stocks de carbone)</w:t>
            </w:r>
          </w:p>
          <w:p w14:paraId="1C9C2BAE"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color w:val="FF0000"/>
                <w:lang w:eastAsia="fr-FR"/>
              </w:rPr>
            </w:pPr>
            <w:r w:rsidRPr="00F468F7">
              <w:rPr>
                <w:rFonts w:eastAsiaTheme="minorEastAsia" w:cstheme="minorHAnsi"/>
                <w:lang w:eastAsia="fr-FR"/>
              </w:rPr>
              <w:t xml:space="preserve">Agriculture de conservation (zéro labour, chaumes, </w:t>
            </w:r>
            <w:proofErr w:type="gramStart"/>
            <w:r w:rsidRPr="00F468F7">
              <w:rPr>
                <w:rFonts w:eastAsiaTheme="minorEastAsia" w:cstheme="minorHAnsi"/>
                <w:lang w:eastAsia="fr-FR"/>
              </w:rPr>
              <w:t>retournement,...</w:t>
            </w:r>
            <w:proofErr w:type="gramEnd"/>
            <w:r w:rsidRPr="00F468F7">
              <w:rPr>
                <w:rFonts w:eastAsiaTheme="minorEastAsia" w:cstheme="minorHAnsi"/>
                <w:lang w:eastAsia="fr-FR"/>
              </w:rPr>
              <w:t>.)</w:t>
            </w:r>
          </w:p>
        </w:tc>
        <w:tc>
          <w:tcPr>
            <w:tcW w:w="2106" w:type="dxa"/>
            <w:tcBorders>
              <w:top w:val="none" w:sz="0" w:space="0" w:color="auto"/>
              <w:left w:val="none" w:sz="0" w:space="0" w:color="auto"/>
              <w:bottom w:val="none" w:sz="0" w:space="0" w:color="auto"/>
              <w:right w:val="none" w:sz="0" w:space="0" w:color="auto"/>
            </w:tcBorders>
          </w:tcPr>
          <w:p w14:paraId="2E4470C7"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Promotion de l’irrigation économe en eau</w:t>
            </w:r>
          </w:p>
          <w:p w14:paraId="12A74F79"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Réalisation des forages </w:t>
            </w:r>
          </w:p>
          <w:p w14:paraId="37A08BE1"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Bassins de rétention </w:t>
            </w:r>
          </w:p>
          <w:p w14:paraId="2523160D"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 </w:t>
            </w:r>
            <w:r w:rsidRPr="00F468F7">
              <w:rPr>
                <w:rFonts w:eastAsia="Times New Roman" w:cstheme="minorHAnsi"/>
              </w:rPr>
              <w:t>Collecte et valorisation des eaux pluviales et de ruissellement</w:t>
            </w:r>
          </w:p>
          <w:p w14:paraId="4E11A5FF" w14:textId="77777777" w:rsidR="00A47DEE" w:rsidRPr="00F468F7" w:rsidRDefault="00A47DEE" w:rsidP="00A47DEE">
            <w:pPr>
              <w:pStyle w:val="Paragraphedeliste"/>
              <w:numPr>
                <w:ilvl w:val="0"/>
                <w:numId w:val="355"/>
              </w:numPr>
              <w:ind w:left="236" w:hanging="283"/>
              <w:jc w:val="left"/>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Approfondissement des puits</w:t>
            </w:r>
          </w:p>
          <w:p w14:paraId="161A0719"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Mise en place des ouvrages de ralentissement pour la recharge de la nappe.</w:t>
            </w:r>
          </w:p>
        </w:tc>
        <w:tc>
          <w:tcPr>
            <w:tcW w:w="2268" w:type="dxa"/>
            <w:tcBorders>
              <w:top w:val="none" w:sz="0" w:space="0" w:color="auto"/>
              <w:left w:val="none" w:sz="0" w:space="0" w:color="auto"/>
              <w:bottom w:val="none" w:sz="0" w:space="0" w:color="auto"/>
              <w:right w:val="none" w:sz="0" w:space="0" w:color="auto"/>
            </w:tcBorders>
          </w:tcPr>
          <w:p w14:paraId="7F8F0D4A"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Exploitation des services climatiques  </w:t>
            </w:r>
          </w:p>
          <w:p w14:paraId="2DFDCD77"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Promotion des AGRs </w:t>
            </w:r>
          </w:p>
          <w:p w14:paraId="7CC01230"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Assurance agricole</w:t>
            </w:r>
          </w:p>
          <w:p w14:paraId="6F86B1F9"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Renforcement des activités de nutrition dans les zones vulnérables </w:t>
            </w:r>
          </w:p>
          <w:p w14:paraId="1D668516"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p>
        </w:tc>
      </w:tr>
      <w:tr w:rsidR="00A47DEE" w:rsidRPr="00F468F7" w14:paraId="0EDB3BA3" w14:textId="77777777" w:rsidTr="00EE0E23">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1833" w:type="dxa"/>
            <w:tcBorders>
              <w:top w:val="none" w:sz="0" w:space="0" w:color="auto"/>
              <w:left w:val="none" w:sz="0" w:space="0" w:color="auto"/>
              <w:bottom w:val="none" w:sz="0" w:space="0" w:color="auto"/>
              <w:right w:val="none" w:sz="0" w:space="0" w:color="auto"/>
            </w:tcBorders>
            <w:shd w:val="clear" w:color="auto" w:fill="FFFFFF" w:themeFill="background1"/>
          </w:tcPr>
          <w:p w14:paraId="51AE4F4C" w14:textId="77777777" w:rsidR="00A47DEE" w:rsidRPr="00F468F7" w:rsidRDefault="00A47DEE" w:rsidP="00EE0E23">
            <w:pPr>
              <w:pStyle w:val="Paragraphedeliste"/>
              <w:ind w:left="0"/>
              <w:jc w:val="center"/>
              <w:rPr>
                <w:rFonts w:asciiTheme="minorHAnsi" w:hAnsiTheme="minorHAnsi" w:cstheme="minorHAnsi"/>
              </w:rPr>
            </w:pPr>
            <w:r w:rsidRPr="00F468F7">
              <w:rPr>
                <w:rFonts w:asciiTheme="minorHAnsi" w:hAnsiTheme="minorHAnsi" w:cstheme="minorHAnsi"/>
              </w:rPr>
              <w:t>Vagues de chaleur</w:t>
            </w:r>
          </w:p>
        </w:tc>
        <w:tc>
          <w:tcPr>
            <w:tcW w:w="3382" w:type="dxa"/>
            <w:tcBorders>
              <w:top w:val="none" w:sz="0" w:space="0" w:color="auto"/>
              <w:left w:val="none" w:sz="0" w:space="0" w:color="auto"/>
              <w:bottom w:val="none" w:sz="0" w:space="0" w:color="auto"/>
              <w:right w:val="none" w:sz="0" w:space="0" w:color="auto"/>
            </w:tcBorders>
            <w:shd w:val="clear" w:color="auto" w:fill="FFFFFF" w:themeFill="background1"/>
          </w:tcPr>
          <w:p w14:paraId="2724FF4A"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Utilisation des variétés productives et résistantes à la chaleur</w:t>
            </w:r>
          </w:p>
        </w:tc>
        <w:tc>
          <w:tcPr>
            <w:tcW w:w="3257" w:type="dxa"/>
            <w:tcBorders>
              <w:top w:val="none" w:sz="0" w:space="0" w:color="auto"/>
              <w:left w:val="none" w:sz="0" w:space="0" w:color="auto"/>
              <w:bottom w:val="none" w:sz="0" w:space="0" w:color="auto"/>
              <w:right w:val="none" w:sz="0" w:space="0" w:color="auto"/>
            </w:tcBorders>
            <w:shd w:val="clear" w:color="auto" w:fill="FFFFFF" w:themeFill="background1"/>
          </w:tcPr>
          <w:p w14:paraId="51626F4E"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Mécanisme performant de gestion des sources d’eau,</w:t>
            </w:r>
          </w:p>
          <w:p w14:paraId="4854F0BB"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imes New Roman" w:cstheme="minorHAnsi"/>
              </w:rPr>
              <w:t>Développement de la micro-irrigation et utilisation de l'exhaure solaire</w:t>
            </w:r>
          </w:p>
        </w:tc>
        <w:tc>
          <w:tcPr>
            <w:tcW w:w="2575" w:type="dxa"/>
            <w:tcBorders>
              <w:top w:val="none" w:sz="0" w:space="0" w:color="auto"/>
              <w:left w:val="none" w:sz="0" w:space="0" w:color="auto"/>
              <w:bottom w:val="none" w:sz="0" w:space="0" w:color="auto"/>
              <w:right w:val="none" w:sz="0" w:space="0" w:color="auto"/>
            </w:tcBorders>
            <w:shd w:val="clear" w:color="auto" w:fill="FFFFFF" w:themeFill="background1"/>
          </w:tcPr>
          <w:p w14:paraId="7DA41743"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Agriculture de conservation</w:t>
            </w:r>
          </w:p>
          <w:p w14:paraId="1B1D63AC" w14:textId="77777777" w:rsidR="00A47DEE" w:rsidRPr="00F468F7" w:rsidRDefault="00A47DEE" w:rsidP="00EE0E23">
            <w:pPr>
              <w:pStyle w:val="Paragraphedeliste"/>
              <w:ind w:left="236"/>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p>
        </w:tc>
        <w:tc>
          <w:tcPr>
            <w:tcW w:w="2106" w:type="dxa"/>
            <w:tcBorders>
              <w:top w:val="none" w:sz="0" w:space="0" w:color="auto"/>
              <w:left w:val="none" w:sz="0" w:space="0" w:color="auto"/>
              <w:bottom w:val="none" w:sz="0" w:space="0" w:color="auto"/>
              <w:right w:val="none" w:sz="0" w:space="0" w:color="auto"/>
            </w:tcBorders>
            <w:shd w:val="clear" w:color="auto" w:fill="FFFFFF" w:themeFill="background1"/>
          </w:tcPr>
          <w:p w14:paraId="51857A8D"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Promotion de l’irrigation économe en eau</w:t>
            </w:r>
          </w:p>
          <w:p w14:paraId="08BB4E7D" w14:textId="77777777" w:rsidR="00A47DEE" w:rsidRPr="00F468F7" w:rsidRDefault="00A47DEE" w:rsidP="00EE0E23">
            <w:pPr>
              <w:pStyle w:val="Paragraphedeliste"/>
              <w:ind w:left="236"/>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p>
          <w:p w14:paraId="14BECE08" w14:textId="77777777" w:rsidR="00A47DEE" w:rsidRPr="00F468F7" w:rsidRDefault="00A47DEE" w:rsidP="00EE0E23">
            <w:pPr>
              <w:pStyle w:val="Paragraphedeliste"/>
              <w:ind w:left="236"/>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76F2BA5B"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Prevention et lutte contre les maladies respiratoires et infections oculaires</w:t>
            </w:r>
          </w:p>
          <w:p w14:paraId="58E430C4"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Améliorer et faciliter l'accès à l'eau potable (points d'eau, </w:t>
            </w:r>
            <w:proofErr w:type="gramStart"/>
            <w:r w:rsidRPr="00F468F7">
              <w:rPr>
                <w:rFonts w:eastAsiaTheme="minorEastAsia" w:cstheme="minorHAnsi"/>
                <w:lang w:eastAsia="fr-FR"/>
              </w:rPr>
              <w:t>fontaines,...</w:t>
            </w:r>
            <w:proofErr w:type="gramEnd"/>
            <w:r w:rsidRPr="00F468F7">
              <w:rPr>
                <w:rFonts w:eastAsiaTheme="minorEastAsia" w:cstheme="minorHAnsi"/>
                <w:lang w:eastAsia="fr-FR"/>
              </w:rPr>
              <w:t>)</w:t>
            </w:r>
          </w:p>
          <w:p w14:paraId="452FA4D9"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Prévention des jeunes et personnes âgées vulnérables des risques de déshydratation </w:t>
            </w:r>
          </w:p>
          <w:p w14:paraId="4FD3E3E9"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p>
        </w:tc>
      </w:tr>
      <w:tr w:rsidR="00A47DEE" w:rsidRPr="00F468F7" w14:paraId="648323E2" w14:textId="77777777" w:rsidTr="00EE0E23">
        <w:trPr>
          <w:cnfStyle w:val="000000010000" w:firstRow="0" w:lastRow="0" w:firstColumn="0" w:lastColumn="0" w:oddVBand="0" w:evenVBand="0" w:oddHBand="0" w:evenHBand="1"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1833" w:type="dxa"/>
            <w:tcBorders>
              <w:top w:val="none" w:sz="0" w:space="0" w:color="auto"/>
              <w:left w:val="none" w:sz="0" w:space="0" w:color="auto"/>
              <w:bottom w:val="none" w:sz="0" w:space="0" w:color="auto"/>
              <w:right w:val="none" w:sz="0" w:space="0" w:color="auto"/>
            </w:tcBorders>
            <w:shd w:val="clear" w:color="auto" w:fill="FFFFFF" w:themeFill="background1"/>
          </w:tcPr>
          <w:p w14:paraId="0B8B9577" w14:textId="77777777" w:rsidR="00A47DEE" w:rsidRPr="00F468F7" w:rsidRDefault="00A47DEE" w:rsidP="00EE0E23">
            <w:pPr>
              <w:pStyle w:val="Paragraphedeliste"/>
              <w:ind w:left="0"/>
              <w:jc w:val="center"/>
              <w:rPr>
                <w:rFonts w:asciiTheme="minorHAnsi" w:hAnsiTheme="minorHAnsi" w:cstheme="minorHAnsi"/>
              </w:rPr>
            </w:pPr>
            <w:r w:rsidRPr="00F468F7">
              <w:rPr>
                <w:rFonts w:asciiTheme="minorHAnsi" w:hAnsiTheme="minorHAnsi" w:cstheme="minorHAnsi"/>
                <w:color w:val="000000"/>
              </w:rPr>
              <w:t>Inondations</w:t>
            </w:r>
          </w:p>
        </w:tc>
        <w:tc>
          <w:tcPr>
            <w:tcW w:w="3382" w:type="dxa"/>
            <w:tcBorders>
              <w:top w:val="none" w:sz="0" w:space="0" w:color="auto"/>
              <w:left w:val="none" w:sz="0" w:space="0" w:color="auto"/>
              <w:bottom w:val="none" w:sz="0" w:space="0" w:color="auto"/>
              <w:right w:val="none" w:sz="0" w:space="0" w:color="auto"/>
            </w:tcBorders>
            <w:shd w:val="clear" w:color="auto" w:fill="FFFFFF" w:themeFill="background1"/>
          </w:tcPr>
          <w:p w14:paraId="04F1A105"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Améliorer la prévision et anticipation des évènements extrêmes scientifique</w:t>
            </w:r>
          </w:p>
          <w:p w14:paraId="44BAE56D"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Digues de protection</w:t>
            </w:r>
          </w:p>
          <w:p w14:paraId="510071AB"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Assurance agricole (elle est signalée dans la colonne agriculteurs)</w:t>
            </w:r>
          </w:p>
          <w:p w14:paraId="19159C9E"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Créer des bassins de rétention.</w:t>
            </w:r>
          </w:p>
          <w:p w14:paraId="6D2617A9" w14:textId="77777777" w:rsidR="00A47DEE" w:rsidRPr="00F468F7" w:rsidRDefault="00A47DEE" w:rsidP="00EE0E23">
            <w:pPr>
              <w:pStyle w:val="Paragraphedeliste"/>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p>
        </w:tc>
        <w:tc>
          <w:tcPr>
            <w:tcW w:w="3257" w:type="dxa"/>
            <w:tcBorders>
              <w:top w:val="none" w:sz="0" w:space="0" w:color="auto"/>
              <w:left w:val="none" w:sz="0" w:space="0" w:color="auto"/>
              <w:bottom w:val="none" w:sz="0" w:space="0" w:color="auto"/>
              <w:right w:val="none" w:sz="0" w:space="0" w:color="auto"/>
            </w:tcBorders>
            <w:shd w:val="clear" w:color="auto" w:fill="FFFFFF" w:themeFill="background1"/>
          </w:tcPr>
          <w:p w14:paraId="6966AC6C"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Systèmes d'endiguement</w:t>
            </w:r>
          </w:p>
          <w:p w14:paraId="22F19928"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Aménagements de type haies et fascines</w:t>
            </w:r>
          </w:p>
          <w:p w14:paraId="298D58EB"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Assurance agricole (elle est signalée dans la colonne agriculteurs)</w:t>
            </w:r>
          </w:p>
          <w:p w14:paraId="2E98EA7E"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Lutte intégrée, respectueuse de l’environnement, contre les adventices et des plantes aquatiques envahissantes </w:t>
            </w:r>
          </w:p>
        </w:tc>
        <w:tc>
          <w:tcPr>
            <w:tcW w:w="2575" w:type="dxa"/>
            <w:tcBorders>
              <w:top w:val="none" w:sz="0" w:space="0" w:color="auto"/>
              <w:left w:val="none" w:sz="0" w:space="0" w:color="auto"/>
              <w:bottom w:val="none" w:sz="0" w:space="0" w:color="auto"/>
              <w:right w:val="none" w:sz="0" w:space="0" w:color="auto"/>
            </w:tcBorders>
            <w:shd w:val="clear" w:color="auto" w:fill="FFFFFF" w:themeFill="background1"/>
          </w:tcPr>
          <w:p w14:paraId="3B68A350"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Aménagement antiérosif</w:t>
            </w:r>
          </w:p>
          <w:p w14:paraId="384E0F1A"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Techniques de GDT </w:t>
            </w:r>
          </w:p>
          <w:p w14:paraId="25A62686"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Techniques de défense et de restauration des sols (D.R.S.)</w:t>
            </w:r>
          </w:p>
          <w:p w14:paraId="7220A07E"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Mécanisation adaptée </w:t>
            </w:r>
          </w:p>
        </w:tc>
        <w:tc>
          <w:tcPr>
            <w:tcW w:w="2106" w:type="dxa"/>
            <w:tcBorders>
              <w:top w:val="none" w:sz="0" w:space="0" w:color="auto"/>
              <w:left w:val="none" w:sz="0" w:space="0" w:color="auto"/>
              <w:bottom w:val="none" w:sz="0" w:space="0" w:color="auto"/>
              <w:right w:val="none" w:sz="0" w:space="0" w:color="auto"/>
            </w:tcBorders>
            <w:shd w:val="clear" w:color="auto" w:fill="FFFFFF" w:themeFill="background1"/>
          </w:tcPr>
          <w:p w14:paraId="68B9FC5B"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Construction d’ouvrages de ralentissement des crues pour recharger la nappe.</w:t>
            </w:r>
          </w:p>
          <w:p w14:paraId="42130F31"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imes New Roman" w:cstheme="minorHAnsi"/>
              </w:rPr>
              <w:t>Restauration de la fertilité des terres agricoles</w:t>
            </w:r>
          </w:p>
          <w:p w14:paraId="703AA65C" w14:textId="77777777" w:rsidR="00A47DEE" w:rsidRPr="00F468F7" w:rsidRDefault="00A47DEE" w:rsidP="00EE0E23">
            <w:pPr>
              <w:pStyle w:val="Paragraphedeliste"/>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150D1647"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Protection des champs contre les inondations</w:t>
            </w:r>
          </w:p>
          <w:p w14:paraId="321C6933"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Protection des habitations et des infrastructures contre les inondations</w:t>
            </w:r>
          </w:p>
          <w:p w14:paraId="06FCA757" w14:textId="77777777" w:rsidR="00A47DEE" w:rsidRPr="00F468F7" w:rsidRDefault="00A47DEE" w:rsidP="00A47DEE">
            <w:pPr>
              <w:pStyle w:val="Paragraphedeliste"/>
              <w:numPr>
                <w:ilvl w:val="0"/>
                <w:numId w:val="355"/>
              </w:numPr>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Assurance agricole</w:t>
            </w:r>
          </w:p>
          <w:p w14:paraId="25AC77F8" w14:textId="77777777" w:rsidR="00A47DEE" w:rsidRPr="00F468F7" w:rsidRDefault="00A47DEE" w:rsidP="00EE0E23">
            <w:pPr>
              <w:pStyle w:val="Paragraphedeliste"/>
              <w:ind w:left="236" w:hanging="283"/>
              <w:cnfStyle w:val="000000010000" w:firstRow="0" w:lastRow="0" w:firstColumn="0" w:lastColumn="0" w:oddVBand="0" w:evenVBand="0" w:oddHBand="0" w:evenHBand="1" w:firstRowFirstColumn="0" w:firstRowLastColumn="0" w:lastRowFirstColumn="0" w:lastRowLastColumn="0"/>
              <w:rPr>
                <w:rFonts w:eastAsiaTheme="minorEastAsia" w:cstheme="minorHAnsi"/>
                <w:lang w:eastAsia="fr-FR"/>
              </w:rPr>
            </w:pPr>
          </w:p>
        </w:tc>
      </w:tr>
      <w:tr w:rsidR="00A47DEE" w:rsidRPr="00F468F7" w14:paraId="15DAD2B8" w14:textId="77777777" w:rsidTr="00EE0E23">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1833" w:type="dxa"/>
            <w:tcBorders>
              <w:top w:val="none" w:sz="0" w:space="0" w:color="auto"/>
              <w:left w:val="none" w:sz="0" w:space="0" w:color="auto"/>
              <w:bottom w:val="none" w:sz="0" w:space="0" w:color="auto"/>
              <w:right w:val="none" w:sz="0" w:space="0" w:color="auto"/>
            </w:tcBorders>
            <w:shd w:val="clear" w:color="auto" w:fill="FFFFFF" w:themeFill="background1"/>
          </w:tcPr>
          <w:p w14:paraId="16047730" w14:textId="77777777" w:rsidR="00A47DEE" w:rsidRPr="00F468F7" w:rsidRDefault="00A47DEE" w:rsidP="00EE0E23">
            <w:pPr>
              <w:pStyle w:val="Paragraphedeliste"/>
              <w:ind w:left="0"/>
              <w:jc w:val="center"/>
              <w:rPr>
                <w:rFonts w:asciiTheme="minorHAnsi" w:hAnsiTheme="minorHAnsi" w:cstheme="minorHAnsi"/>
              </w:rPr>
            </w:pPr>
            <w:r w:rsidRPr="00F468F7">
              <w:rPr>
                <w:rFonts w:asciiTheme="minorHAnsi" w:hAnsiTheme="minorHAnsi" w:cstheme="minorHAnsi"/>
                <w:color w:val="000000"/>
              </w:rPr>
              <w:t>Vents de sable violents</w:t>
            </w:r>
          </w:p>
        </w:tc>
        <w:tc>
          <w:tcPr>
            <w:tcW w:w="3382" w:type="dxa"/>
            <w:tcBorders>
              <w:top w:val="none" w:sz="0" w:space="0" w:color="auto"/>
              <w:left w:val="none" w:sz="0" w:space="0" w:color="auto"/>
              <w:bottom w:val="none" w:sz="0" w:space="0" w:color="auto"/>
              <w:right w:val="none" w:sz="0" w:space="0" w:color="auto"/>
            </w:tcBorders>
            <w:shd w:val="clear" w:color="auto" w:fill="FFFFFF" w:themeFill="background1"/>
          </w:tcPr>
          <w:p w14:paraId="445D16FF"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Lutte contre la l’ensablement </w:t>
            </w:r>
          </w:p>
          <w:p w14:paraId="42481512" w14:textId="77777777" w:rsidR="00A47DEE" w:rsidRPr="00F468F7" w:rsidRDefault="00A47DEE" w:rsidP="00EE0E23">
            <w:pPr>
              <w:pStyle w:val="Paragraphedeliste"/>
              <w:ind w:left="236"/>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p>
        </w:tc>
        <w:tc>
          <w:tcPr>
            <w:tcW w:w="3257" w:type="dxa"/>
            <w:tcBorders>
              <w:top w:val="none" w:sz="0" w:space="0" w:color="auto"/>
              <w:left w:val="none" w:sz="0" w:space="0" w:color="auto"/>
              <w:bottom w:val="none" w:sz="0" w:space="0" w:color="auto"/>
              <w:right w:val="none" w:sz="0" w:space="0" w:color="auto"/>
            </w:tcBorders>
            <w:shd w:val="clear" w:color="auto" w:fill="FFFFFF" w:themeFill="background1"/>
          </w:tcPr>
          <w:p w14:paraId="625D249C"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Brises vent</w:t>
            </w:r>
          </w:p>
          <w:p w14:paraId="2A52630B"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Diversification agricole (cultures étagées) </w:t>
            </w:r>
          </w:p>
        </w:tc>
        <w:tc>
          <w:tcPr>
            <w:tcW w:w="2575" w:type="dxa"/>
            <w:tcBorders>
              <w:top w:val="none" w:sz="0" w:space="0" w:color="auto"/>
              <w:left w:val="none" w:sz="0" w:space="0" w:color="auto"/>
              <w:bottom w:val="none" w:sz="0" w:space="0" w:color="auto"/>
              <w:right w:val="none" w:sz="0" w:space="0" w:color="auto"/>
            </w:tcBorders>
            <w:shd w:val="clear" w:color="auto" w:fill="FFFFFF" w:themeFill="background1"/>
          </w:tcPr>
          <w:p w14:paraId="35AE65D4"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Promotion de l’agroécologie</w:t>
            </w:r>
          </w:p>
          <w:p w14:paraId="7E853EC4"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 Lutte contre la désertification</w:t>
            </w:r>
          </w:p>
          <w:p w14:paraId="58C5F3B7" w14:textId="77777777" w:rsidR="00A47DEE" w:rsidRPr="00F468F7" w:rsidRDefault="00A47DEE" w:rsidP="00EE0E23">
            <w:pPr>
              <w:pStyle w:val="Paragraphedeliste"/>
              <w:ind w:left="236"/>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p>
        </w:tc>
        <w:tc>
          <w:tcPr>
            <w:tcW w:w="2106" w:type="dxa"/>
            <w:tcBorders>
              <w:top w:val="none" w:sz="0" w:space="0" w:color="auto"/>
              <w:left w:val="none" w:sz="0" w:space="0" w:color="auto"/>
              <w:bottom w:val="none" w:sz="0" w:space="0" w:color="auto"/>
              <w:right w:val="none" w:sz="0" w:space="0" w:color="auto"/>
            </w:tcBorders>
            <w:shd w:val="clear" w:color="auto" w:fill="FFFFFF" w:themeFill="background1"/>
          </w:tcPr>
          <w:p w14:paraId="3D239FE7"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heme="minorEastAsia" w:cstheme="minorHAnsi"/>
                <w:lang w:eastAsia="fr-FR"/>
              </w:rPr>
              <w:t xml:space="preserve">Lutte contre la l’ensablement </w:t>
            </w:r>
          </w:p>
          <w:p w14:paraId="1ABA3464" w14:textId="77777777" w:rsidR="00A47DEE" w:rsidRPr="00F468F7" w:rsidRDefault="00A47DEE" w:rsidP="00A47DEE">
            <w:pPr>
              <w:pStyle w:val="Paragraphedeliste"/>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eastAsiaTheme="minorEastAsia" w:cstheme="minorHAnsi"/>
                <w:lang w:eastAsia="fr-FR"/>
              </w:rPr>
            </w:pPr>
            <w:r w:rsidRPr="00F468F7">
              <w:rPr>
                <w:rFonts w:eastAsia="Times New Roman" w:cstheme="minorHAnsi"/>
              </w:rPr>
              <w:t>Restauration de la fertilité des terres agricoles</w:t>
            </w:r>
          </w:p>
          <w:p w14:paraId="7478A123" w14:textId="77777777" w:rsidR="00A47DEE" w:rsidRPr="00F468F7" w:rsidRDefault="00A47DEE" w:rsidP="00EE0E23">
            <w:pPr>
              <w:ind w:left="236"/>
              <w:cnfStyle w:val="000000100000" w:firstRow="0" w:lastRow="0" w:firstColumn="0" w:lastColumn="0" w:oddVBand="0" w:evenVBand="0" w:oddHBand="1" w:evenHBand="0" w:firstRowFirstColumn="0" w:firstRowLastColumn="0" w:lastRowFirstColumn="0" w:lastRowLastColumn="0"/>
              <w:rPr>
                <w:rFonts w:cstheme="minorHAnsi"/>
              </w:rPr>
            </w:pPr>
          </w:p>
        </w:tc>
        <w:tc>
          <w:tcPr>
            <w:tcW w:w="2268" w:type="dxa"/>
            <w:tcBorders>
              <w:top w:val="none" w:sz="0" w:space="0" w:color="auto"/>
              <w:left w:val="none" w:sz="0" w:space="0" w:color="auto"/>
              <w:bottom w:val="none" w:sz="0" w:space="0" w:color="auto"/>
              <w:right w:val="none" w:sz="0" w:space="0" w:color="auto"/>
            </w:tcBorders>
            <w:shd w:val="clear" w:color="auto" w:fill="FFFFFF" w:themeFill="background1"/>
          </w:tcPr>
          <w:p w14:paraId="52CAC07D" w14:textId="77777777" w:rsidR="00A47DEE" w:rsidRPr="00F468F7" w:rsidRDefault="00A47DEE" w:rsidP="00A47DEE">
            <w:pPr>
              <w:numPr>
                <w:ilvl w:val="0"/>
                <w:numId w:val="355"/>
              </w:numPr>
              <w:ind w:left="236" w:hanging="283"/>
              <w:cnfStyle w:val="000000100000" w:firstRow="0" w:lastRow="0" w:firstColumn="0" w:lastColumn="0" w:oddVBand="0" w:evenVBand="0" w:oddHBand="1" w:evenHBand="0" w:firstRowFirstColumn="0" w:firstRowLastColumn="0" w:lastRowFirstColumn="0" w:lastRowLastColumn="0"/>
              <w:rPr>
                <w:rFonts w:cstheme="minorHAnsi"/>
              </w:rPr>
            </w:pPr>
            <w:r w:rsidRPr="00F468F7">
              <w:rPr>
                <w:rFonts w:cstheme="minorHAnsi"/>
              </w:rPr>
              <w:t>Prevention et lutte contre les maladies respiratoires et infections oculaires</w:t>
            </w:r>
          </w:p>
          <w:p w14:paraId="47475027" w14:textId="77777777" w:rsidR="00A47DEE" w:rsidRPr="00F468F7" w:rsidRDefault="00A47DEE" w:rsidP="00EE0E23">
            <w:pPr>
              <w:ind w:left="236"/>
              <w:cnfStyle w:val="000000100000" w:firstRow="0" w:lastRow="0" w:firstColumn="0" w:lastColumn="0" w:oddVBand="0" w:evenVBand="0" w:oddHBand="1" w:evenHBand="0" w:firstRowFirstColumn="0" w:firstRowLastColumn="0" w:lastRowFirstColumn="0" w:lastRowLastColumn="0"/>
              <w:rPr>
                <w:rFonts w:cstheme="minorHAnsi"/>
              </w:rPr>
            </w:pPr>
          </w:p>
        </w:tc>
      </w:tr>
    </w:tbl>
    <w:p w14:paraId="06D29B90" w14:textId="77777777" w:rsidR="00A47DEE" w:rsidRPr="00F468F7" w:rsidRDefault="00A47DEE" w:rsidP="00A47DEE">
      <w:pPr>
        <w:pStyle w:val="Paragraphedeliste"/>
        <w:keepNext/>
        <w:keepLines/>
        <w:shd w:val="clear" w:color="auto" w:fill="FFFFFF" w:themeFill="background1"/>
        <w:tabs>
          <w:tab w:val="left" w:pos="990"/>
        </w:tabs>
        <w:spacing w:before="40" w:after="120"/>
        <w:ind w:left="1440"/>
        <w:jc w:val="both"/>
        <w:outlineLvl w:val="2"/>
        <w:rPr>
          <w:rFonts w:eastAsia="Calibri" w:cstheme="minorHAnsi"/>
          <w:b/>
          <w:bCs/>
          <w:smallCaps/>
          <w:color w:val="FFFFFF" w:themeColor="background1"/>
        </w:rPr>
      </w:pPr>
    </w:p>
    <w:p w14:paraId="58A69810" w14:textId="77777777" w:rsidR="00A47DEE" w:rsidRPr="00F468F7" w:rsidRDefault="00A47DEE" w:rsidP="00A47DEE">
      <w:pPr>
        <w:pStyle w:val="Paragraphedeliste"/>
        <w:keepNext/>
        <w:keepLines/>
        <w:numPr>
          <w:ilvl w:val="2"/>
          <w:numId w:val="384"/>
        </w:numPr>
        <w:shd w:val="clear" w:color="auto" w:fill="002060"/>
        <w:tabs>
          <w:tab w:val="left" w:pos="990"/>
        </w:tabs>
        <w:spacing w:before="40" w:after="120" w:line="276" w:lineRule="auto"/>
        <w:jc w:val="both"/>
        <w:outlineLvl w:val="2"/>
        <w:rPr>
          <w:rFonts w:eastAsia="Calibri" w:cstheme="minorHAnsi"/>
          <w:b/>
          <w:bCs/>
          <w:smallCaps/>
          <w:color w:val="FFFFFF" w:themeColor="background1"/>
        </w:rPr>
      </w:pPr>
      <w:bookmarkStart w:id="353" w:name="_Toc179577368"/>
      <w:r w:rsidRPr="00F468F7">
        <w:rPr>
          <w:rFonts w:eastAsia="Calibri" w:cstheme="minorHAnsi"/>
          <w:b/>
          <w:bCs/>
          <w:smallCaps/>
          <w:color w:val="FFFFFF" w:themeColor="background1"/>
        </w:rPr>
        <w:t>Critères d'hiérarchisation des options d’adaptations</w:t>
      </w:r>
      <w:bookmarkEnd w:id="353"/>
    </w:p>
    <w:p w14:paraId="0A2472DC" w14:textId="77777777" w:rsidR="00A47DEE" w:rsidRPr="00F468F7" w:rsidRDefault="00A47DEE" w:rsidP="00A47DEE">
      <w:pPr>
        <w:spacing w:before="120" w:after="120"/>
        <w:jc w:val="both"/>
        <w:rPr>
          <w:rFonts w:cstheme="minorHAnsi"/>
          <w:color w:val="000000"/>
          <w:sz w:val="24"/>
          <w:szCs w:val="24"/>
        </w:rPr>
      </w:pPr>
      <w:r w:rsidRPr="00F468F7">
        <w:rPr>
          <w:rFonts w:cstheme="minorHAnsi"/>
          <w:color w:val="000000"/>
          <w:sz w:val="24"/>
          <w:szCs w:val="24"/>
        </w:rPr>
        <w:t>Le principal but de cette étape est de mettre en place un ensemble de critères objectifs pour l’identification des technologies hautement prioritaires dans le secteur. Ces options majeures des technologies devront avoir une contribution sociale, économique et environnementale.</w:t>
      </w:r>
    </w:p>
    <w:tbl>
      <w:tblPr>
        <w:tblStyle w:val="Tableausimple14"/>
        <w:tblW w:w="15031" w:type="dxa"/>
        <w:tblLayout w:type="fixed"/>
        <w:tblLook w:val="04A0" w:firstRow="1" w:lastRow="0" w:firstColumn="1" w:lastColumn="0" w:noHBand="0" w:noVBand="1"/>
      </w:tblPr>
      <w:tblGrid>
        <w:gridCol w:w="3933"/>
        <w:gridCol w:w="5092"/>
        <w:gridCol w:w="3469"/>
        <w:gridCol w:w="2537"/>
      </w:tblGrid>
      <w:tr w:rsidR="00A47DEE" w:rsidRPr="00F468F7" w14:paraId="29EEA499" w14:textId="77777777" w:rsidTr="00EE0E23">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933" w:type="dxa"/>
            <w:shd w:val="clear" w:color="auto" w:fill="002060"/>
            <w:noWrap/>
          </w:tcPr>
          <w:p w14:paraId="33571B9E" w14:textId="77777777" w:rsidR="00A47DEE" w:rsidRPr="00F468F7" w:rsidRDefault="00A47DEE" w:rsidP="00EE0E23">
            <w:pPr>
              <w:jc w:val="center"/>
              <w:rPr>
                <w:rFonts w:cstheme="minorHAnsi"/>
              </w:rPr>
            </w:pPr>
            <w:r w:rsidRPr="00F468F7">
              <w:rPr>
                <w:rFonts w:cstheme="minorHAnsi"/>
              </w:rPr>
              <w:t>Catégorie de critères</w:t>
            </w:r>
          </w:p>
        </w:tc>
        <w:tc>
          <w:tcPr>
            <w:tcW w:w="5092" w:type="dxa"/>
            <w:shd w:val="clear" w:color="auto" w:fill="002060"/>
          </w:tcPr>
          <w:p w14:paraId="2FCB50FE"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F468F7">
              <w:rPr>
                <w:rFonts w:cstheme="minorHAnsi"/>
              </w:rPr>
              <w:t>Critères</w:t>
            </w:r>
          </w:p>
        </w:tc>
        <w:tc>
          <w:tcPr>
            <w:tcW w:w="3469" w:type="dxa"/>
            <w:shd w:val="clear" w:color="auto" w:fill="002060"/>
          </w:tcPr>
          <w:p w14:paraId="25EEFCE3"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F468F7">
              <w:rPr>
                <w:rFonts w:cstheme="minorHAnsi"/>
              </w:rPr>
              <w:t>Échelle de notation</w:t>
            </w:r>
          </w:p>
        </w:tc>
        <w:tc>
          <w:tcPr>
            <w:tcW w:w="2537" w:type="dxa"/>
            <w:shd w:val="clear" w:color="auto" w:fill="002060"/>
          </w:tcPr>
          <w:p w14:paraId="5C68576C"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F468F7">
              <w:rPr>
                <w:rFonts w:cstheme="minorHAnsi"/>
              </w:rPr>
              <w:t>Valeur préférée</w:t>
            </w:r>
          </w:p>
        </w:tc>
      </w:tr>
      <w:tr w:rsidR="00A47DEE" w:rsidRPr="00F468F7" w14:paraId="427DA2F1" w14:textId="77777777" w:rsidTr="00EE0E2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933" w:type="dxa"/>
            <w:vMerge w:val="restart"/>
            <w:noWrap/>
            <w:hideMark/>
          </w:tcPr>
          <w:p w14:paraId="432D5DAB" w14:textId="77777777" w:rsidR="00A47DEE" w:rsidRPr="00F468F7" w:rsidRDefault="00A47DEE" w:rsidP="00EE0E23">
            <w:pPr>
              <w:jc w:val="center"/>
              <w:rPr>
                <w:rFonts w:eastAsia="Times New Roman" w:cstheme="minorHAnsi"/>
              </w:rPr>
            </w:pPr>
            <w:r w:rsidRPr="00F468F7">
              <w:rPr>
                <w:rFonts w:eastAsia="Times New Roman" w:cstheme="minorHAnsi"/>
              </w:rPr>
              <w:t>Avantages socioéconomiques</w:t>
            </w:r>
          </w:p>
        </w:tc>
        <w:tc>
          <w:tcPr>
            <w:tcW w:w="5092" w:type="dxa"/>
          </w:tcPr>
          <w:p w14:paraId="3E6F4C07" w14:textId="77777777" w:rsidR="00A47DEE" w:rsidRPr="00F468F7" w:rsidRDefault="00A47DEE" w:rsidP="00EE0E23">
            <w:pPr>
              <w:ind w:right="14"/>
              <w:jc w:val="lowKashida"/>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F468F7">
              <w:rPr>
                <w:rFonts w:eastAsia="Times New Roman" w:cstheme="minorHAnsi"/>
              </w:rPr>
              <w:t>Maintien des populations dans leurs terroirs</w:t>
            </w:r>
          </w:p>
        </w:tc>
        <w:tc>
          <w:tcPr>
            <w:tcW w:w="3469" w:type="dxa"/>
          </w:tcPr>
          <w:p w14:paraId="4EC47964" w14:textId="77777777" w:rsidR="00A47DEE" w:rsidRPr="00F468F7" w:rsidRDefault="00A47DEE" w:rsidP="00EE0E23">
            <w:pPr>
              <w:spacing w:before="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F468F7">
              <w:rPr>
                <w:rFonts w:eastAsia="Times New Roman" w:cstheme="minorHAnsi"/>
              </w:rPr>
              <w:t>Score de 1 à 10</w:t>
            </w:r>
          </w:p>
        </w:tc>
        <w:tc>
          <w:tcPr>
            <w:tcW w:w="2537" w:type="dxa"/>
          </w:tcPr>
          <w:p w14:paraId="6271CACA" w14:textId="77777777" w:rsidR="00A47DEE" w:rsidRPr="00F468F7" w:rsidRDefault="00A47DEE" w:rsidP="00EE0E23">
            <w:pPr>
              <w:spacing w:before="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F468F7">
              <w:rPr>
                <w:rFonts w:eastAsia="Times New Roman" w:cstheme="minorHAnsi"/>
              </w:rPr>
              <w:t>Elevée</w:t>
            </w:r>
          </w:p>
        </w:tc>
      </w:tr>
      <w:tr w:rsidR="00A47DEE" w:rsidRPr="00F468F7" w14:paraId="27F20EAD" w14:textId="77777777" w:rsidTr="00EE0E23">
        <w:trPr>
          <w:trHeight w:val="294"/>
        </w:trPr>
        <w:tc>
          <w:tcPr>
            <w:cnfStyle w:val="001000000000" w:firstRow="0" w:lastRow="0" w:firstColumn="1" w:lastColumn="0" w:oddVBand="0" w:evenVBand="0" w:oddHBand="0" w:evenHBand="0" w:firstRowFirstColumn="0" w:firstRowLastColumn="0" w:lastRowFirstColumn="0" w:lastRowLastColumn="0"/>
            <w:tcW w:w="3933" w:type="dxa"/>
            <w:vMerge/>
            <w:noWrap/>
            <w:hideMark/>
          </w:tcPr>
          <w:p w14:paraId="68E0BF2E" w14:textId="77777777" w:rsidR="00A47DEE" w:rsidRPr="00F468F7" w:rsidRDefault="00A47DEE" w:rsidP="00EE0E23">
            <w:pPr>
              <w:jc w:val="center"/>
              <w:rPr>
                <w:rFonts w:eastAsia="Times New Roman" w:cstheme="minorHAnsi"/>
              </w:rPr>
            </w:pPr>
          </w:p>
        </w:tc>
        <w:tc>
          <w:tcPr>
            <w:tcW w:w="5092" w:type="dxa"/>
          </w:tcPr>
          <w:p w14:paraId="11133A6E" w14:textId="77777777" w:rsidR="00A47DEE" w:rsidRPr="00F468F7" w:rsidRDefault="00A47DEE" w:rsidP="00EE0E23">
            <w:pPr>
              <w:ind w:right="14"/>
              <w:jc w:val="lowKashida"/>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468F7">
              <w:rPr>
                <w:rFonts w:eastAsia="Times New Roman" w:cstheme="minorHAnsi"/>
              </w:rPr>
              <w:t xml:space="preserve">Création d’emplois </w:t>
            </w:r>
          </w:p>
        </w:tc>
        <w:tc>
          <w:tcPr>
            <w:tcW w:w="3469" w:type="dxa"/>
          </w:tcPr>
          <w:p w14:paraId="29B544F6"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cstheme="minorHAnsi"/>
                <w:strike/>
              </w:rPr>
            </w:pPr>
            <w:r w:rsidRPr="00F468F7">
              <w:rPr>
                <w:rFonts w:eastAsia="Times New Roman" w:cstheme="minorHAnsi"/>
              </w:rPr>
              <w:t>Score de 1 à 10</w:t>
            </w:r>
          </w:p>
        </w:tc>
        <w:tc>
          <w:tcPr>
            <w:tcW w:w="2537" w:type="dxa"/>
          </w:tcPr>
          <w:p w14:paraId="2A235148" w14:textId="77777777" w:rsidR="00A47DEE" w:rsidRPr="00F468F7" w:rsidRDefault="00A47DEE" w:rsidP="00EE0E23">
            <w:pPr>
              <w:spacing w:before="60"/>
              <w:jc w:val="center"/>
              <w:cnfStyle w:val="000000000000" w:firstRow="0" w:lastRow="0" w:firstColumn="0" w:lastColumn="0" w:oddVBand="0" w:evenVBand="0" w:oddHBand="0" w:evenHBand="0" w:firstRowFirstColumn="0" w:firstRowLastColumn="0" w:lastRowFirstColumn="0" w:lastRowLastColumn="0"/>
              <w:rPr>
                <w:rFonts w:eastAsia="Calibri" w:cstheme="minorHAnsi"/>
                <w:strike/>
              </w:rPr>
            </w:pPr>
            <w:r w:rsidRPr="00F468F7">
              <w:rPr>
                <w:rFonts w:eastAsia="Times New Roman" w:cstheme="minorHAnsi"/>
              </w:rPr>
              <w:t>Elevée</w:t>
            </w:r>
          </w:p>
        </w:tc>
      </w:tr>
      <w:tr w:rsidR="00A47DEE" w:rsidRPr="00F468F7" w14:paraId="24E0DAFB" w14:textId="77777777" w:rsidTr="00EE0E23">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933" w:type="dxa"/>
            <w:vMerge w:val="restart"/>
            <w:noWrap/>
            <w:hideMark/>
          </w:tcPr>
          <w:p w14:paraId="0C29BC52" w14:textId="77777777" w:rsidR="00A47DEE" w:rsidRPr="00F468F7" w:rsidRDefault="00A47DEE" w:rsidP="00EE0E23">
            <w:pPr>
              <w:jc w:val="center"/>
              <w:rPr>
                <w:rFonts w:eastAsia="Times New Roman" w:cstheme="minorHAnsi"/>
              </w:rPr>
            </w:pPr>
            <w:r w:rsidRPr="00F468F7">
              <w:rPr>
                <w:rFonts w:eastAsia="Times New Roman" w:cstheme="minorHAnsi"/>
              </w:rPr>
              <w:t>Avantages environnementaux</w:t>
            </w:r>
          </w:p>
        </w:tc>
        <w:tc>
          <w:tcPr>
            <w:tcW w:w="5092" w:type="dxa"/>
          </w:tcPr>
          <w:p w14:paraId="382A557B" w14:textId="77777777" w:rsidR="00A47DEE" w:rsidRPr="00F468F7" w:rsidRDefault="00A47DEE" w:rsidP="00EE0E23">
            <w:pPr>
              <w:ind w:right="14"/>
              <w:jc w:val="lowKashida"/>
              <w:cnfStyle w:val="000000100000" w:firstRow="0" w:lastRow="0" w:firstColumn="0" w:lastColumn="0" w:oddVBand="0" w:evenVBand="0" w:oddHBand="1" w:evenHBand="0" w:firstRowFirstColumn="0" w:firstRowLastColumn="0" w:lastRowFirstColumn="0" w:lastRowLastColumn="0"/>
              <w:rPr>
                <w:rFonts w:eastAsia="Times New Roman" w:cstheme="minorHAnsi"/>
                <w:strike/>
              </w:rPr>
            </w:pPr>
            <w:r w:rsidRPr="00F468F7">
              <w:rPr>
                <w:rFonts w:eastAsia="Times New Roman" w:cstheme="minorHAnsi"/>
              </w:rPr>
              <w:t>Appui à la sauvegarde environnementale</w:t>
            </w:r>
          </w:p>
        </w:tc>
        <w:tc>
          <w:tcPr>
            <w:tcW w:w="3469" w:type="dxa"/>
          </w:tcPr>
          <w:p w14:paraId="4B1E124B"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468F7">
              <w:rPr>
                <w:rFonts w:eastAsia="Times New Roman" w:cstheme="minorHAnsi"/>
              </w:rPr>
              <w:t>Score de 1 à 10</w:t>
            </w:r>
          </w:p>
        </w:tc>
        <w:tc>
          <w:tcPr>
            <w:tcW w:w="2537" w:type="dxa"/>
          </w:tcPr>
          <w:p w14:paraId="5BB0B371" w14:textId="77777777" w:rsidR="00A47DEE" w:rsidRPr="00F468F7" w:rsidRDefault="00A47DEE" w:rsidP="00EE0E23">
            <w:pPr>
              <w:spacing w:before="60"/>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r w:rsidRPr="00F468F7">
              <w:rPr>
                <w:rFonts w:eastAsia="Times New Roman" w:cstheme="minorHAnsi"/>
              </w:rPr>
              <w:t>Elevée</w:t>
            </w:r>
          </w:p>
        </w:tc>
      </w:tr>
      <w:tr w:rsidR="00A47DEE" w:rsidRPr="00F468F7" w14:paraId="263E893D" w14:textId="77777777" w:rsidTr="00EE0E23">
        <w:trPr>
          <w:trHeight w:val="294"/>
        </w:trPr>
        <w:tc>
          <w:tcPr>
            <w:cnfStyle w:val="001000000000" w:firstRow="0" w:lastRow="0" w:firstColumn="1" w:lastColumn="0" w:oddVBand="0" w:evenVBand="0" w:oddHBand="0" w:evenHBand="0" w:firstRowFirstColumn="0" w:firstRowLastColumn="0" w:lastRowFirstColumn="0" w:lastRowLastColumn="0"/>
            <w:tcW w:w="3933" w:type="dxa"/>
            <w:vMerge/>
            <w:noWrap/>
            <w:hideMark/>
          </w:tcPr>
          <w:p w14:paraId="613D9C5C" w14:textId="77777777" w:rsidR="00A47DEE" w:rsidRPr="00F468F7" w:rsidRDefault="00A47DEE" w:rsidP="00EE0E23">
            <w:pPr>
              <w:jc w:val="center"/>
              <w:rPr>
                <w:rFonts w:eastAsia="Times New Roman" w:cstheme="minorHAnsi"/>
              </w:rPr>
            </w:pPr>
          </w:p>
        </w:tc>
        <w:tc>
          <w:tcPr>
            <w:tcW w:w="5092" w:type="dxa"/>
          </w:tcPr>
          <w:p w14:paraId="13A452B6" w14:textId="77777777" w:rsidR="00A47DEE" w:rsidRPr="00F468F7" w:rsidRDefault="00A47DEE" w:rsidP="00EE0E23">
            <w:pPr>
              <w:ind w:right="14"/>
              <w:jc w:val="lowKashida"/>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468F7">
              <w:rPr>
                <w:rFonts w:eastAsia="Times New Roman" w:cstheme="minorHAnsi"/>
              </w:rPr>
              <w:t>Potentiel de réduction de GES</w:t>
            </w:r>
          </w:p>
        </w:tc>
        <w:tc>
          <w:tcPr>
            <w:tcW w:w="3469" w:type="dxa"/>
          </w:tcPr>
          <w:p w14:paraId="2205C911"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468F7">
              <w:rPr>
                <w:rFonts w:eastAsia="Times New Roman" w:cstheme="minorHAnsi"/>
              </w:rPr>
              <w:t>Score de 1 à 10</w:t>
            </w:r>
          </w:p>
        </w:tc>
        <w:tc>
          <w:tcPr>
            <w:tcW w:w="2537" w:type="dxa"/>
          </w:tcPr>
          <w:p w14:paraId="52FF4673" w14:textId="77777777" w:rsidR="00A47DEE" w:rsidRPr="00F468F7" w:rsidRDefault="00A47DEE" w:rsidP="00EE0E23">
            <w:pPr>
              <w:spacing w:before="6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468F7">
              <w:rPr>
                <w:rFonts w:eastAsia="Times New Roman" w:cstheme="minorHAnsi"/>
              </w:rPr>
              <w:t>Elevée</w:t>
            </w:r>
          </w:p>
        </w:tc>
      </w:tr>
      <w:tr w:rsidR="00A47DEE" w:rsidRPr="00F468F7" w14:paraId="773D7042" w14:textId="77777777" w:rsidTr="00EE0E2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933" w:type="dxa"/>
            <w:vMerge w:val="restart"/>
            <w:noWrap/>
            <w:hideMark/>
          </w:tcPr>
          <w:p w14:paraId="4823AC5F" w14:textId="77777777" w:rsidR="00A47DEE" w:rsidRPr="00F468F7" w:rsidRDefault="00A47DEE" w:rsidP="00EE0E23">
            <w:pPr>
              <w:jc w:val="center"/>
              <w:rPr>
                <w:rFonts w:eastAsia="Times New Roman" w:cstheme="minorHAnsi"/>
              </w:rPr>
            </w:pPr>
            <w:r w:rsidRPr="00F468F7">
              <w:rPr>
                <w:rFonts w:eastAsia="Times New Roman" w:cstheme="minorHAnsi"/>
              </w:rPr>
              <w:t>Faisabilité technique</w:t>
            </w:r>
          </w:p>
        </w:tc>
        <w:tc>
          <w:tcPr>
            <w:tcW w:w="5092" w:type="dxa"/>
          </w:tcPr>
          <w:p w14:paraId="1B988FBB" w14:textId="77777777" w:rsidR="00A47DEE" w:rsidRPr="00F468F7" w:rsidRDefault="00A47DEE" w:rsidP="00EE0E23">
            <w:pPr>
              <w:ind w:right="14"/>
              <w:jc w:val="lowKashida"/>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F468F7">
              <w:rPr>
                <w:rFonts w:eastAsia="Times New Roman" w:cstheme="minorHAnsi"/>
              </w:rPr>
              <w:t>Innovation technique et technologique</w:t>
            </w:r>
          </w:p>
        </w:tc>
        <w:tc>
          <w:tcPr>
            <w:tcW w:w="3469" w:type="dxa"/>
          </w:tcPr>
          <w:p w14:paraId="46CEBCE5"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468F7">
              <w:rPr>
                <w:rFonts w:eastAsia="Times New Roman" w:cstheme="minorHAnsi"/>
              </w:rPr>
              <w:t>Score de 1 à 10</w:t>
            </w:r>
          </w:p>
        </w:tc>
        <w:tc>
          <w:tcPr>
            <w:tcW w:w="2537" w:type="dxa"/>
          </w:tcPr>
          <w:p w14:paraId="04316D5E" w14:textId="77777777" w:rsidR="00A47DEE" w:rsidRPr="00F468F7" w:rsidRDefault="00A47DEE" w:rsidP="00EE0E23">
            <w:pPr>
              <w:spacing w:before="60"/>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r w:rsidRPr="00F468F7">
              <w:rPr>
                <w:rFonts w:eastAsia="Times New Roman" w:cstheme="minorHAnsi"/>
              </w:rPr>
              <w:t>Elevée</w:t>
            </w:r>
          </w:p>
        </w:tc>
      </w:tr>
      <w:tr w:rsidR="00A47DEE" w:rsidRPr="00F468F7" w14:paraId="77115419" w14:textId="77777777" w:rsidTr="00EE0E23">
        <w:trPr>
          <w:trHeight w:val="374"/>
        </w:trPr>
        <w:tc>
          <w:tcPr>
            <w:cnfStyle w:val="001000000000" w:firstRow="0" w:lastRow="0" w:firstColumn="1" w:lastColumn="0" w:oddVBand="0" w:evenVBand="0" w:oddHBand="0" w:evenHBand="0" w:firstRowFirstColumn="0" w:firstRowLastColumn="0" w:lastRowFirstColumn="0" w:lastRowLastColumn="0"/>
            <w:tcW w:w="3933" w:type="dxa"/>
            <w:vMerge/>
            <w:noWrap/>
          </w:tcPr>
          <w:p w14:paraId="0B088E43" w14:textId="77777777" w:rsidR="00A47DEE" w:rsidRPr="00F468F7" w:rsidRDefault="00A47DEE" w:rsidP="00EE0E23">
            <w:pPr>
              <w:jc w:val="center"/>
              <w:rPr>
                <w:rFonts w:eastAsia="Times New Roman" w:cstheme="minorHAnsi"/>
              </w:rPr>
            </w:pPr>
          </w:p>
        </w:tc>
        <w:tc>
          <w:tcPr>
            <w:tcW w:w="5092" w:type="dxa"/>
          </w:tcPr>
          <w:p w14:paraId="62466499" w14:textId="77777777" w:rsidR="00A47DEE" w:rsidRPr="00F468F7" w:rsidRDefault="00A47DEE" w:rsidP="00EE0E23">
            <w:pPr>
              <w:ind w:right="14"/>
              <w:jc w:val="lowKashida"/>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F468F7">
              <w:rPr>
                <w:rFonts w:eastAsia="Times New Roman" w:cstheme="minorHAnsi"/>
              </w:rPr>
              <w:t>Efficacité</w:t>
            </w:r>
          </w:p>
        </w:tc>
        <w:tc>
          <w:tcPr>
            <w:tcW w:w="3469" w:type="dxa"/>
          </w:tcPr>
          <w:p w14:paraId="418E2DA1"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F468F7">
              <w:rPr>
                <w:rFonts w:eastAsia="Times New Roman" w:cstheme="minorHAnsi"/>
              </w:rPr>
              <w:t>Score de 1 à 10</w:t>
            </w:r>
          </w:p>
        </w:tc>
        <w:tc>
          <w:tcPr>
            <w:tcW w:w="2537" w:type="dxa"/>
          </w:tcPr>
          <w:p w14:paraId="0679507C" w14:textId="77777777" w:rsidR="00A47DEE" w:rsidRPr="00F468F7" w:rsidRDefault="00A47DEE" w:rsidP="00EE0E23">
            <w:pPr>
              <w:spacing w:before="6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468F7">
              <w:rPr>
                <w:rFonts w:eastAsia="Times New Roman" w:cstheme="minorHAnsi"/>
              </w:rPr>
              <w:t>Elevée</w:t>
            </w:r>
          </w:p>
        </w:tc>
      </w:tr>
      <w:tr w:rsidR="00A47DEE" w:rsidRPr="00F468F7" w14:paraId="48829FAC" w14:textId="77777777" w:rsidTr="00EE0E2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3933" w:type="dxa"/>
            <w:noWrap/>
            <w:hideMark/>
          </w:tcPr>
          <w:p w14:paraId="6ED445FB" w14:textId="77777777" w:rsidR="00A47DEE" w:rsidRPr="00F468F7" w:rsidRDefault="00A47DEE" w:rsidP="00EE0E23">
            <w:pPr>
              <w:jc w:val="center"/>
              <w:rPr>
                <w:rFonts w:eastAsia="Times New Roman" w:cstheme="minorHAnsi"/>
              </w:rPr>
            </w:pPr>
            <w:r w:rsidRPr="00F468F7">
              <w:rPr>
                <w:rFonts w:eastAsia="Times New Roman" w:cstheme="minorHAnsi"/>
              </w:rPr>
              <w:t>Coût</w:t>
            </w:r>
          </w:p>
        </w:tc>
        <w:tc>
          <w:tcPr>
            <w:tcW w:w="5092" w:type="dxa"/>
          </w:tcPr>
          <w:p w14:paraId="608D949C" w14:textId="77777777" w:rsidR="00A47DEE" w:rsidRPr="00F468F7" w:rsidRDefault="00A47DEE" w:rsidP="00EE0E23">
            <w:pPr>
              <w:ind w:right="14"/>
              <w:jc w:val="lowKashida"/>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F468F7">
              <w:rPr>
                <w:rFonts w:eastAsia="Times New Roman" w:cstheme="minorHAnsi"/>
              </w:rPr>
              <w:t>Coût</w:t>
            </w:r>
          </w:p>
        </w:tc>
        <w:tc>
          <w:tcPr>
            <w:tcW w:w="3469" w:type="dxa"/>
          </w:tcPr>
          <w:p w14:paraId="328B0A33"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F468F7">
              <w:rPr>
                <w:rFonts w:eastAsia="Times New Roman" w:cstheme="minorHAnsi"/>
              </w:rPr>
              <w:t>Score de 1 à 10</w:t>
            </w:r>
          </w:p>
        </w:tc>
        <w:tc>
          <w:tcPr>
            <w:tcW w:w="2537" w:type="dxa"/>
          </w:tcPr>
          <w:p w14:paraId="1B132517" w14:textId="77777777" w:rsidR="00A47DEE" w:rsidRPr="00F468F7" w:rsidRDefault="00A47DEE" w:rsidP="00EE0E23">
            <w:pPr>
              <w:spacing w:before="60"/>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r w:rsidRPr="00F468F7">
              <w:rPr>
                <w:rFonts w:eastAsia="Calibri" w:cstheme="minorHAnsi"/>
              </w:rPr>
              <w:t>Faible</w:t>
            </w:r>
          </w:p>
        </w:tc>
      </w:tr>
    </w:tbl>
    <w:p w14:paraId="56346BCA" w14:textId="77777777" w:rsidR="00A47DEE" w:rsidRPr="00F468F7" w:rsidRDefault="00A47DEE" w:rsidP="00A47DEE">
      <w:pPr>
        <w:rPr>
          <w:rFonts w:cstheme="minorHAnsi"/>
        </w:rPr>
      </w:pPr>
    </w:p>
    <w:p w14:paraId="34180A36" w14:textId="77777777" w:rsidR="00A47DEE" w:rsidRPr="00F468F7" w:rsidRDefault="00A47DEE" w:rsidP="00A47DEE">
      <w:pPr>
        <w:pStyle w:val="Paragraphedeliste"/>
        <w:keepNext/>
        <w:keepLines/>
        <w:numPr>
          <w:ilvl w:val="2"/>
          <w:numId w:val="384"/>
        </w:numPr>
        <w:shd w:val="clear" w:color="auto" w:fill="002060"/>
        <w:tabs>
          <w:tab w:val="left" w:pos="990"/>
        </w:tabs>
        <w:spacing w:before="40" w:after="120" w:line="276" w:lineRule="auto"/>
        <w:jc w:val="both"/>
        <w:outlineLvl w:val="2"/>
        <w:rPr>
          <w:rFonts w:eastAsia="Calibri" w:cstheme="minorHAnsi"/>
          <w:b/>
          <w:bCs/>
          <w:smallCaps/>
          <w:color w:val="FFFFFF" w:themeColor="background1"/>
        </w:rPr>
      </w:pPr>
      <w:bookmarkStart w:id="354" w:name="_Toc179577369"/>
      <w:r w:rsidRPr="00F468F7">
        <w:rPr>
          <w:rFonts w:eastAsia="Calibri" w:cstheme="minorHAnsi"/>
          <w:b/>
          <w:bCs/>
          <w:smallCaps/>
          <w:color w:val="FFFFFF" w:themeColor="background1"/>
        </w:rPr>
        <w:t>hiérarchisation des options d’adaptation à l’aide de l’AMC</w:t>
      </w:r>
      <w:bookmarkEnd w:id="354"/>
    </w:p>
    <w:p w14:paraId="194C8DB0" w14:textId="77777777" w:rsidR="00A47DEE" w:rsidRPr="00F468F7" w:rsidRDefault="00A47DEE" w:rsidP="00A47DEE">
      <w:pPr>
        <w:spacing w:after="0"/>
        <w:rPr>
          <w:rFonts w:cstheme="minorHAnsi"/>
        </w:rPr>
      </w:pPr>
      <w:r w:rsidRPr="00F468F7">
        <w:rPr>
          <w:rFonts w:cstheme="minorHAnsi"/>
          <w:color w:val="000000"/>
          <w:sz w:val="24"/>
          <w:szCs w:val="24"/>
        </w:rPr>
        <w:t>La méthode utilisée pour classer et hiérarchiser les activités est l’analyse multicritère (AMC). Chaque option a fait l’objet de notation par rapport à chaque critère, et cette note a été attribuée par chaque structure partie prenante et la note retenue est celle dont la justification est acceptée par tous.</w:t>
      </w:r>
    </w:p>
    <w:tbl>
      <w:tblPr>
        <w:tblStyle w:val="Grilleclaire11"/>
        <w:tblW w:w="15605" w:type="dxa"/>
        <w:tblLook w:val="04A0" w:firstRow="1" w:lastRow="0" w:firstColumn="1" w:lastColumn="0" w:noHBand="0" w:noVBand="1"/>
      </w:tblPr>
      <w:tblGrid>
        <w:gridCol w:w="5053"/>
        <w:gridCol w:w="1104"/>
        <w:gridCol w:w="1375"/>
        <w:gridCol w:w="1874"/>
        <w:gridCol w:w="1414"/>
        <w:gridCol w:w="1506"/>
        <w:gridCol w:w="1045"/>
        <w:gridCol w:w="748"/>
        <w:gridCol w:w="759"/>
        <w:gridCol w:w="727"/>
      </w:tblGrid>
      <w:tr w:rsidR="00A47DEE" w:rsidRPr="00F468F7" w14:paraId="0E5A1A94" w14:textId="77777777" w:rsidTr="00EE0E23">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053" w:type="dxa"/>
            <w:vMerge w:val="restart"/>
            <w:noWrap/>
            <w:hideMark/>
          </w:tcPr>
          <w:p w14:paraId="28E46B23" w14:textId="77777777" w:rsidR="00A47DEE" w:rsidRPr="00F468F7" w:rsidRDefault="00A47DEE" w:rsidP="00EE0E23">
            <w:pPr>
              <w:rPr>
                <w:rFonts w:asciiTheme="minorHAnsi" w:hAnsiTheme="minorHAnsi" w:cstheme="minorHAnsi"/>
              </w:rPr>
            </w:pPr>
            <w:r w:rsidRPr="00F468F7">
              <w:rPr>
                <w:rFonts w:asciiTheme="minorHAnsi" w:hAnsiTheme="minorHAnsi" w:cstheme="minorHAnsi"/>
              </w:rPr>
              <w:t>Options d'adaptation</w:t>
            </w:r>
          </w:p>
        </w:tc>
        <w:tc>
          <w:tcPr>
            <w:tcW w:w="2479" w:type="dxa"/>
            <w:gridSpan w:val="2"/>
            <w:hideMark/>
          </w:tcPr>
          <w:p w14:paraId="5DEEDB28"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468F7">
              <w:rPr>
                <w:rFonts w:asciiTheme="minorHAnsi" w:hAnsiTheme="minorHAnsi" w:cstheme="minorHAnsi"/>
                <w:sz w:val="20"/>
                <w:szCs w:val="20"/>
              </w:rPr>
              <w:t>Avantages socioéconomiques</w:t>
            </w:r>
          </w:p>
        </w:tc>
        <w:tc>
          <w:tcPr>
            <w:tcW w:w="3288" w:type="dxa"/>
            <w:gridSpan w:val="2"/>
            <w:hideMark/>
          </w:tcPr>
          <w:p w14:paraId="2F5A6546"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468F7">
              <w:rPr>
                <w:rFonts w:asciiTheme="minorHAnsi" w:hAnsiTheme="minorHAnsi" w:cstheme="minorHAnsi"/>
                <w:sz w:val="20"/>
                <w:szCs w:val="20"/>
              </w:rPr>
              <w:t>Avantages environnementaux</w:t>
            </w:r>
          </w:p>
        </w:tc>
        <w:tc>
          <w:tcPr>
            <w:tcW w:w="2551" w:type="dxa"/>
            <w:gridSpan w:val="2"/>
            <w:hideMark/>
          </w:tcPr>
          <w:p w14:paraId="39EBFCCE"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468F7">
              <w:rPr>
                <w:rFonts w:asciiTheme="minorHAnsi" w:hAnsiTheme="minorHAnsi" w:cstheme="minorHAnsi"/>
                <w:sz w:val="20"/>
                <w:szCs w:val="20"/>
              </w:rPr>
              <w:t>Faisabilité technique</w:t>
            </w:r>
          </w:p>
        </w:tc>
        <w:tc>
          <w:tcPr>
            <w:tcW w:w="748" w:type="dxa"/>
            <w:vMerge w:val="restart"/>
            <w:hideMark/>
          </w:tcPr>
          <w:p w14:paraId="2D4E4487"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F468F7">
              <w:rPr>
                <w:rFonts w:asciiTheme="minorHAnsi" w:hAnsiTheme="minorHAnsi" w:cstheme="minorHAnsi"/>
                <w:sz w:val="20"/>
                <w:szCs w:val="20"/>
              </w:rPr>
              <w:t>Coùt</w:t>
            </w:r>
            <w:proofErr w:type="spellEnd"/>
          </w:p>
        </w:tc>
        <w:tc>
          <w:tcPr>
            <w:tcW w:w="759" w:type="dxa"/>
            <w:vMerge w:val="restart"/>
            <w:hideMark/>
          </w:tcPr>
          <w:p w14:paraId="2EA7B2C8"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468F7">
              <w:rPr>
                <w:rFonts w:asciiTheme="minorHAnsi" w:hAnsiTheme="minorHAnsi" w:cstheme="minorHAnsi"/>
              </w:rPr>
              <w:t>Total</w:t>
            </w:r>
          </w:p>
        </w:tc>
        <w:tc>
          <w:tcPr>
            <w:tcW w:w="727" w:type="dxa"/>
            <w:vMerge w:val="restart"/>
            <w:hideMark/>
          </w:tcPr>
          <w:p w14:paraId="72825DEC"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468F7">
              <w:rPr>
                <w:rFonts w:asciiTheme="minorHAnsi" w:hAnsiTheme="minorHAnsi" w:cstheme="minorHAnsi"/>
              </w:rPr>
              <w:t>Rang</w:t>
            </w:r>
          </w:p>
        </w:tc>
      </w:tr>
      <w:tr w:rsidR="00A47DEE" w:rsidRPr="00F468F7" w14:paraId="476F5834" w14:textId="77777777" w:rsidTr="00EE0E23">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5053" w:type="dxa"/>
            <w:vMerge/>
            <w:hideMark/>
          </w:tcPr>
          <w:p w14:paraId="31BA4C59" w14:textId="77777777" w:rsidR="00A47DEE" w:rsidRPr="00F468F7" w:rsidRDefault="00A47DEE" w:rsidP="00EE0E23">
            <w:pPr>
              <w:rPr>
                <w:rFonts w:asciiTheme="minorHAnsi" w:hAnsiTheme="minorHAnsi" w:cstheme="minorHAnsi"/>
              </w:rPr>
            </w:pPr>
          </w:p>
        </w:tc>
        <w:tc>
          <w:tcPr>
            <w:tcW w:w="1104" w:type="dxa"/>
            <w:hideMark/>
          </w:tcPr>
          <w:p w14:paraId="530FCF1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F468F7">
              <w:rPr>
                <w:rFonts w:eastAsia="Times New Roman" w:cstheme="minorHAnsi"/>
                <w:b/>
                <w:bCs/>
                <w:sz w:val="20"/>
                <w:szCs w:val="20"/>
              </w:rPr>
              <w:t xml:space="preserve">Création d’emplois </w:t>
            </w:r>
          </w:p>
        </w:tc>
        <w:tc>
          <w:tcPr>
            <w:tcW w:w="1374" w:type="dxa"/>
            <w:hideMark/>
          </w:tcPr>
          <w:p w14:paraId="2088A09D"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F468F7">
              <w:rPr>
                <w:rFonts w:eastAsia="Times New Roman" w:cstheme="minorHAnsi"/>
                <w:b/>
                <w:bCs/>
                <w:sz w:val="20"/>
                <w:szCs w:val="20"/>
              </w:rPr>
              <w:t>Maintien des populations dans leurs terroirs</w:t>
            </w:r>
          </w:p>
        </w:tc>
        <w:tc>
          <w:tcPr>
            <w:tcW w:w="1874" w:type="dxa"/>
            <w:hideMark/>
          </w:tcPr>
          <w:p w14:paraId="3486792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F468F7">
              <w:rPr>
                <w:rFonts w:eastAsia="Times New Roman" w:cstheme="minorHAnsi"/>
                <w:b/>
                <w:bCs/>
                <w:sz w:val="20"/>
                <w:szCs w:val="20"/>
              </w:rPr>
              <w:t>Appui à la sauvegarde environnementale</w:t>
            </w:r>
          </w:p>
        </w:tc>
        <w:tc>
          <w:tcPr>
            <w:tcW w:w="1414" w:type="dxa"/>
            <w:hideMark/>
          </w:tcPr>
          <w:p w14:paraId="25E2D05F"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F468F7">
              <w:rPr>
                <w:rFonts w:eastAsia="Times New Roman" w:cstheme="minorHAnsi"/>
                <w:b/>
                <w:bCs/>
                <w:sz w:val="20"/>
                <w:szCs w:val="20"/>
              </w:rPr>
              <w:t>Potentiel de réduction de GES</w:t>
            </w:r>
          </w:p>
        </w:tc>
        <w:tc>
          <w:tcPr>
            <w:tcW w:w="1506" w:type="dxa"/>
            <w:hideMark/>
          </w:tcPr>
          <w:p w14:paraId="09608204"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F468F7">
              <w:rPr>
                <w:rFonts w:eastAsia="Times New Roman" w:cstheme="minorHAnsi"/>
                <w:b/>
                <w:bCs/>
                <w:sz w:val="20"/>
                <w:szCs w:val="20"/>
              </w:rPr>
              <w:t>Innovation technique et technologique</w:t>
            </w:r>
          </w:p>
        </w:tc>
        <w:tc>
          <w:tcPr>
            <w:tcW w:w="1044" w:type="dxa"/>
            <w:hideMark/>
          </w:tcPr>
          <w:p w14:paraId="56687B17"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F468F7">
              <w:rPr>
                <w:rFonts w:eastAsia="Times New Roman" w:cstheme="minorHAnsi"/>
                <w:b/>
                <w:bCs/>
                <w:sz w:val="20"/>
                <w:szCs w:val="20"/>
              </w:rPr>
              <w:t>Efficacité</w:t>
            </w:r>
          </w:p>
        </w:tc>
        <w:tc>
          <w:tcPr>
            <w:tcW w:w="748" w:type="dxa"/>
            <w:vMerge/>
            <w:hideMark/>
          </w:tcPr>
          <w:p w14:paraId="0146FE92" w14:textId="77777777" w:rsidR="00A47DEE" w:rsidRPr="00F468F7" w:rsidRDefault="00A47DEE" w:rsidP="00EE0E23">
            <w:pP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p>
        </w:tc>
        <w:tc>
          <w:tcPr>
            <w:tcW w:w="759" w:type="dxa"/>
            <w:vMerge/>
            <w:hideMark/>
          </w:tcPr>
          <w:p w14:paraId="1BA0D905" w14:textId="77777777" w:rsidR="00A47DEE" w:rsidRPr="00F468F7" w:rsidRDefault="00A47DEE" w:rsidP="00EE0E23">
            <w:pPr>
              <w:cnfStyle w:val="000000100000" w:firstRow="0" w:lastRow="0" w:firstColumn="0" w:lastColumn="0" w:oddVBand="0" w:evenVBand="0" w:oddHBand="1" w:evenHBand="0" w:firstRowFirstColumn="0" w:firstRowLastColumn="0" w:lastRowFirstColumn="0" w:lastRowLastColumn="0"/>
              <w:rPr>
                <w:rFonts w:eastAsia="Times New Roman" w:cstheme="minorHAnsi"/>
                <w:b/>
                <w:bCs/>
              </w:rPr>
            </w:pPr>
          </w:p>
        </w:tc>
        <w:tc>
          <w:tcPr>
            <w:tcW w:w="727" w:type="dxa"/>
            <w:vMerge/>
            <w:hideMark/>
          </w:tcPr>
          <w:p w14:paraId="04B24E37" w14:textId="77777777" w:rsidR="00A47DEE" w:rsidRPr="00F468F7" w:rsidRDefault="00A47DEE" w:rsidP="00EE0E23">
            <w:pPr>
              <w:cnfStyle w:val="000000100000" w:firstRow="0" w:lastRow="0" w:firstColumn="0" w:lastColumn="0" w:oddVBand="0" w:evenVBand="0" w:oddHBand="1" w:evenHBand="0" w:firstRowFirstColumn="0" w:firstRowLastColumn="0" w:lastRowFirstColumn="0" w:lastRowLastColumn="0"/>
              <w:rPr>
                <w:rFonts w:eastAsia="Times New Roman" w:cstheme="minorHAnsi"/>
                <w:b/>
                <w:bCs/>
              </w:rPr>
            </w:pPr>
          </w:p>
        </w:tc>
      </w:tr>
      <w:tr w:rsidR="00A47DEE" w:rsidRPr="00F468F7" w14:paraId="5BEDAE16" w14:textId="77777777" w:rsidTr="00EE0E23">
        <w:trPr>
          <w:cnfStyle w:val="000000010000" w:firstRow="0" w:lastRow="0" w:firstColumn="0" w:lastColumn="0" w:oddVBand="0" w:evenVBand="0" w:oddHBand="0" w:evenHBand="1"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053" w:type="dxa"/>
            <w:hideMark/>
          </w:tcPr>
          <w:p w14:paraId="15979846"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Restauration de la fertilité des terres agricoles et neutralisation de leur dégradation (NDT/LDN)</w:t>
            </w:r>
          </w:p>
        </w:tc>
        <w:tc>
          <w:tcPr>
            <w:tcW w:w="1104" w:type="dxa"/>
            <w:hideMark/>
          </w:tcPr>
          <w:p w14:paraId="73B97B43"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374" w:type="dxa"/>
            <w:hideMark/>
          </w:tcPr>
          <w:p w14:paraId="2DBA9E45"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874" w:type="dxa"/>
            <w:hideMark/>
          </w:tcPr>
          <w:p w14:paraId="6B568A51"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414" w:type="dxa"/>
            <w:noWrap/>
            <w:hideMark/>
          </w:tcPr>
          <w:p w14:paraId="720529AD"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506" w:type="dxa"/>
            <w:noWrap/>
            <w:hideMark/>
          </w:tcPr>
          <w:p w14:paraId="4B1CD38C"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p w14:paraId="2BEC8BE2" w14:textId="77777777" w:rsidR="00A47DEE" w:rsidRPr="00F468F7" w:rsidRDefault="00A47DEE" w:rsidP="00EE0E23">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p>
          <w:p w14:paraId="2CBF37C4"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p>
        </w:tc>
        <w:tc>
          <w:tcPr>
            <w:tcW w:w="1044" w:type="dxa"/>
            <w:noWrap/>
            <w:hideMark/>
          </w:tcPr>
          <w:p w14:paraId="3ECB2BCD"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748" w:type="dxa"/>
            <w:noWrap/>
            <w:hideMark/>
          </w:tcPr>
          <w:p w14:paraId="135C29E6"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59" w:type="dxa"/>
            <w:hideMark/>
          </w:tcPr>
          <w:p w14:paraId="51C00889"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50</w:t>
            </w:r>
          </w:p>
        </w:tc>
        <w:tc>
          <w:tcPr>
            <w:tcW w:w="727" w:type="dxa"/>
            <w:hideMark/>
          </w:tcPr>
          <w:p w14:paraId="4F146183"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w:t>
            </w:r>
          </w:p>
        </w:tc>
      </w:tr>
      <w:tr w:rsidR="00A47DEE" w:rsidRPr="00F468F7" w14:paraId="19A40FE0" w14:textId="77777777" w:rsidTr="00EE0E23">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483C777B"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 xml:space="preserve">Développement de la filière semencière et des </w:t>
            </w:r>
            <w:proofErr w:type="gramStart"/>
            <w:r w:rsidRPr="00F468F7">
              <w:rPr>
                <w:rFonts w:asciiTheme="minorHAnsi" w:hAnsiTheme="minorHAnsi" w:cstheme="minorHAnsi"/>
                <w:sz w:val="20"/>
                <w:szCs w:val="20"/>
              </w:rPr>
              <w:t>écotype,  de</w:t>
            </w:r>
            <w:proofErr w:type="gramEnd"/>
            <w:r w:rsidRPr="00F468F7">
              <w:rPr>
                <w:rFonts w:asciiTheme="minorHAnsi" w:hAnsiTheme="minorHAnsi" w:cstheme="minorHAnsi"/>
                <w:sz w:val="20"/>
                <w:szCs w:val="20"/>
              </w:rPr>
              <w:t xml:space="preserve"> l'usage des espèces autochtones</w:t>
            </w:r>
          </w:p>
        </w:tc>
        <w:tc>
          <w:tcPr>
            <w:tcW w:w="1104" w:type="dxa"/>
            <w:hideMark/>
          </w:tcPr>
          <w:p w14:paraId="52C07C54"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374" w:type="dxa"/>
            <w:hideMark/>
          </w:tcPr>
          <w:p w14:paraId="3D6E89C4"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874" w:type="dxa"/>
            <w:hideMark/>
          </w:tcPr>
          <w:p w14:paraId="54A80995"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414" w:type="dxa"/>
            <w:hideMark/>
          </w:tcPr>
          <w:p w14:paraId="4D8469C0"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506" w:type="dxa"/>
            <w:hideMark/>
          </w:tcPr>
          <w:p w14:paraId="6BD9D5AC"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044" w:type="dxa"/>
            <w:hideMark/>
          </w:tcPr>
          <w:p w14:paraId="1EE7090B"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748" w:type="dxa"/>
            <w:hideMark/>
          </w:tcPr>
          <w:p w14:paraId="2052B1A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59" w:type="dxa"/>
            <w:hideMark/>
          </w:tcPr>
          <w:p w14:paraId="1F763886"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48</w:t>
            </w:r>
          </w:p>
        </w:tc>
        <w:tc>
          <w:tcPr>
            <w:tcW w:w="727" w:type="dxa"/>
            <w:hideMark/>
          </w:tcPr>
          <w:p w14:paraId="156332E4"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r>
      <w:tr w:rsidR="00A47DEE" w:rsidRPr="00F468F7" w14:paraId="213B95E0" w14:textId="77777777" w:rsidTr="00EE0E23">
        <w:trPr>
          <w:cnfStyle w:val="000000010000" w:firstRow="0" w:lastRow="0" w:firstColumn="0" w:lastColumn="0" w:oddVBand="0" w:evenVBand="0" w:oddHBand="0" w:evenHBand="1"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5053" w:type="dxa"/>
            <w:hideMark/>
          </w:tcPr>
          <w:p w14:paraId="4601BCF2"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Amélioration des systèmes de productions pluviales</w:t>
            </w:r>
          </w:p>
        </w:tc>
        <w:tc>
          <w:tcPr>
            <w:tcW w:w="1104" w:type="dxa"/>
            <w:hideMark/>
          </w:tcPr>
          <w:p w14:paraId="4BBA6F13"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374" w:type="dxa"/>
            <w:hideMark/>
          </w:tcPr>
          <w:p w14:paraId="4A43F99A"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874" w:type="dxa"/>
            <w:hideMark/>
          </w:tcPr>
          <w:p w14:paraId="2CCB70A6"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414" w:type="dxa"/>
            <w:hideMark/>
          </w:tcPr>
          <w:p w14:paraId="13AD52C5"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506" w:type="dxa"/>
            <w:hideMark/>
          </w:tcPr>
          <w:p w14:paraId="7B4D0776"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044" w:type="dxa"/>
            <w:hideMark/>
          </w:tcPr>
          <w:p w14:paraId="55242709"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748" w:type="dxa"/>
            <w:hideMark/>
          </w:tcPr>
          <w:p w14:paraId="66FA7722"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31B93EA6"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47</w:t>
            </w:r>
          </w:p>
        </w:tc>
        <w:tc>
          <w:tcPr>
            <w:tcW w:w="727" w:type="dxa"/>
            <w:hideMark/>
          </w:tcPr>
          <w:p w14:paraId="2AA54457"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r>
      <w:tr w:rsidR="00A47DEE" w:rsidRPr="00F468F7" w14:paraId="111EA17A" w14:textId="77777777" w:rsidTr="00EE0E23">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5053" w:type="dxa"/>
            <w:hideMark/>
          </w:tcPr>
          <w:p w14:paraId="05F164CE"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Mise en place d’un système d’assurance des agriculteurs contre les risques agro-climatiques</w:t>
            </w:r>
          </w:p>
        </w:tc>
        <w:tc>
          <w:tcPr>
            <w:tcW w:w="1104" w:type="dxa"/>
            <w:hideMark/>
          </w:tcPr>
          <w:p w14:paraId="18B4EFAE"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374" w:type="dxa"/>
            <w:hideMark/>
          </w:tcPr>
          <w:p w14:paraId="705BAC91"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874" w:type="dxa"/>
            <w:hideMark/>
          </w:tcPr>
          <w:p w14:paraId="07F82606"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414" w:type="dxa"/>
            <w:noWrap/>
            <w:hideMark/>
          </w:tcPr>
          <w:p w14:paraId="55D764A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506" w:type="dxa"/>
            <w:noWrap/>
            <w:hideMark/>
          </w:tcPr>
          <w:p w14:paraId="433D6EE0"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044" w:type="dxa"/>
            <w:noWrap/>
            <w:hideMark/>
          </w:tcPr>
          <w:p w14:paraId="26D36C2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748" w:type="dxa"/>
            <w:noWrap/>
            <w:hideMark/>
          </w:tcPr>
          <w:p w14:paraId="17E8F9C6"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59" w:type="dxa"/>
            <w:hideMark/>
          </w:tcPr>
          <w:p w14:paraId="5FC2E01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47</w:t>
            </w:r>
          </w:p>
        </w:tc>
        <w:tc>
          <w:tcPr>
            <w:tcW w:w="727" w:type="dxa"/>
            <w:hideMark/>
          </w:tcPr>
          <w:p w14:paraId="521BD747"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r>
      <w:tr w:rsidR="00A47DEE" w:rsidRPr="00F468F7" w14:paraId="271A3803" w14:textId="77777777" w:rsidTr="00EE0E23">
        <w:trPr>
          <w:cnfStyle w:val="000000010000" w:firstRow="0" w:lastRow="0" w:firstColumn="0" w:lastColumn="0" w:oddVBand="0" w:evenVBand="0" w:oddHBand="0" w:evenHBand="1"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5053" w:type="dxa"/>
            <w:hideMark/>
          </w:tcPr>
          <w:p w14:paraId="5F258143"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 xml:space="preserve">Collecte et valorisation des eaux pluviales et de ruissellement </w:t>
            </w:r>
          </w:p>
        </w:tc>
        <w:tc>
          <w:tcPr>
            <w:tcW w:w="1104" w:type="dxa"/>
            <w:hideMark/>
          </w:tcPr>
          <w:p w14:paraId="3CDCCD2B"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374" w:type="dxa"/>
            <w:hideMark/>
          </w:tcPr>
          <w:p w14:paraId="7DB7BEB0"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0D1B5E80"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414" w:type="dxa"/>
            <w:hideMark/>
          </w:tcPr>
          <w:p w14:paraId="6E051203"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506" w:type="dxa"/>
            <w:hideMark/>
          </w:tcPr>
          <w:p w14:paraId="53910229"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044" w:type="dxa"/>
            <w:hideMark/>
          </w:tcPr>
          <w:p w14:paraId="7D0CCF82"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hideMark/>
          </w:tcPr>
          <w:p w14:paraId="6F81AEA7"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59" w:type="dxa"/>
            <w:hideMark/>
          </w:tcPr>
          <w:p w14:paraId="5D162365"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46</w:t>
            </w:r>
          </w:p>
        </w:tc>
        <w:tc>
          <w:tcPr>
            <w:tcW w:w="727" w:type="dxa"/>
            <w:hideMark/>
          </w:tcPr>
          <w:p w14:paraId="3558B4BB"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r>
      <w:tr w:rsidR="00A47DEE" w:rsidRPr="00F468F7" w14:paraId="4D421510" w14:textId="77777777" w:rsidTr="00EE0E23">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5053" w:type="dxa"/>
            <w:hideMark/>
          </w:tcPr>
          <w:p w14:paraId="33E388E8"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Développement de l'agroforesterie</w:t>
            </w:r>
          </w:p>
        </w:tc>
        <w:tc>
          <w:tcPr>
            <w:tcW w:w="1104" w:type="dxa"/>
            <w:hideMark/>
          </w:tcPr>
          <w:p w14:paraId="3B080080"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374" w:type="dxa"/>
            <w:hideMark/>
          </w:tcPr>
          <w:p w14:paraId="3D080EA2"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874" w:type="dxa"/>
            <w:hideMark/>
          </w:tcPr>
          <w:p w14:paraId="79263869"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414" w:type="dxa"/>
            <w:hideMark/>
          </w:tcPr>
          <w:p w14:paraId="4A4F12FF"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506" w:type="dxa"/>
            <w:hideMark/>
          </w:tcPr>
          <w:p w14:paraId="5698AE6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044" w:type="dxa"/>
            <w:hideMark/>
          </w:tcPr>
          <w:p w14:paraId="3A67A99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748" w:type="dxa"/>
            <w:hideMark/>
          </w:tcPr>
          <w:p w14:paraId="35E1EF95"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37B0E5EB"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45</w:t>
            </w:r>
          </w:p>
        </w:tc>
        <w:tc>
          <w:tcPr>
            <w:tcW w:w="727" w:type="dxa"/>
            <w:hideMark/>
          </w:tcPr>
          <w:p w14:paraId="18714A74"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r>
      <w:tr w:rsidR="00A47DEE" w:rsidRPr="00F468F7" w14:paraId="0F341BB0" w14:textId="77777777" w:rsidTr="00EE0E23">
        <w:trPr>
          <w:cnfStyle w:val="000000010000" w:firstRow="0" w:lastRow="0" w:firstColumn="0" w:lastColumn="0" w:oddVBand="0" w:evenVBand="0" w:oddHBand="0" w:evenHBand="1"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5053" w:type="dxa"/>
            <w:noWrap/>
            <w:hideMark/>
          </w:tcPr>
          <w:p w14:paraId="7B2EE73E"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Promotion du maraîchage biologique</w:t>
            </w:r>
          </w:p>
        </w:tc>
        <w:tc>
          <w:tcPr>
            <w:tcW w:w="1104" w:type="dxa"/>
            <w:hideMark/>
          </w:tcPr>
          <w:p w14:paraId="516A2CF5"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374" w:type="dxa"/>
            <w:hideMark/>
          </w:tcPr>
          <w:p w14:paraId="714BA185"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7D806871"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414" w:type="dxa"/>
            <w:hideMark/>
          </w:tcPr>
          <w:p w14:paraId="4233C471"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506" w:type="dxa"/>
            <w:hideMark/>
          </w:tcPr>
          <w:p w14:paraId="5703F399"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044" w:type="dxa"/>
            <w:hideMark/>
          </w:tcPr>
          <w:p w14:paraId="4DA51889"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hideMark/>
          </w:tcPr>
          <w:p w14:paraId="51AB2572"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59" w:type="dxa"/>
            <w:hideMark/>
          </w:tcPr>
          <w:p w14:paraId="2DC872E9"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44</w:t>
            </w:r>
          </w:p>
        </w:tc>
        <w:tc>
          <w:tcPr>
            <w:tcW w:w="727" w:type="dxa"/>
            <w:hideMark/>
          </w:tcPr>
          <w:p w14:paraId="7DED2F14"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r>
      <w:tr w:rsidR="00A47DEE" w:rsidRPr="00F468F7" w14:paraId="2AEAADA4" w14:textId="77777777" w:rsidTr="00EE0E23">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053" w:type="dxa"/>
            <w:hideMark/>
          </w:tcPr>
          <w:p w14:paraId="5D16E782"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Intensification et diversification des cultures irriguées fondées sur des pratiques agroécologiques</w:t>
            </w:r>
          </w:p>
        </w:tc>
        <w:tc>
          <w:tcPr>
            <w:tcW w:w="1104" w:type="dxa"/>
            <w:hideMark/>
          </w:tcPr>
          <w:p w14:paraId="52BC4562"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374" w:type="dxa"/>
            <w:hideMark/>
          </w:tcPr>
          <w:p w14:paraId="1BBEB4AB"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874" w:type="dxa"/>
            <w:hideMark/>
          </w:tcPr>
          <w:p w14:paraId="7E25C575"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414" w:type="dxa"/>
            <w:hideMark/>
          </w:tcPr>
          <w:p w14:paraId="0A150255"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506" w:type="dxa"/>
            <w:hideMark/>
          </w:tcPr>
          <w:p w14:paraId="63072ED9"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044" w:type="dxa"/>
            <w:hideMark/>
          </w:tcPr>
          <w:p w14:paraId="259D2EF9"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748" w:type="dxa"/>
            <w:hideMark/>
          </w:tcPr>
          <w:p w14:paraId="1A1FCEC4"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514BF38B"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43</w:t>
            </w:r>
          </w:p>
        </w:tc>
        <w:tc>
          <w:tcPr>
            <w:tcW w:w="727" w:type="dxa"/>
            <w:hideMark/>
          </w:tcPr>
          <w:p w14:paraId="69CAFA21"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r>
      <w:tr w:rsidR="00A47DEE" w:rsidRPr="00F468F7" w14:paraId="36B625F0" w14:textId="77777777" w:rsidTr="00EE0E23">
        <w:trPr>
          <w:cnfStyle w:val="000000010000" w:firstRow="0" w:lastRow="0" w:firstColumn="0" w:lastColumn="0" w:oddVBand="0" w:evenVBand="0" w:oddHBand="0" w:evenHBand="1"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053" w:type="dxa"/>
            <w:hideMark/>
          </w:tcPr>
          <w:p w14:paraId="08142467"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 xml:space="preserve">Développement de la micro-irrigation et </w:t>
            </w:r>
            <w:proofErr w:type="spellStart"/>
            <w:r w:rsidRPr="00F468F7">
              <w:rPr>
                <w:rFonts w:asciiTheme="minorHAnsi" w:hAnsiTheme="minorHAnsi" w:cstheme="minorHAnsi"/>
                <w:sz w:val="20"/>
                <w:szCs w:val="20"/>
              </w:rPr>
              <w:t>utlisation</w:t>
            </w:r>
            <w:proofErr w:type="spellEnd"/>
            <w:r w:rsidRPr="00F468F7">
              <w:rPr>
                <w:rFonts w:asciiTheme="minorHAnsi" w:hAnsiTheme="minorHAnsi" w:cstheme="minorHAnsi"/>
                <w:sz w:val="20"/>
                <w:szCs w:val="20"/>
              </w:rPr>
              <w:t xml:space="preserve"> de l'exhaure </w:t>
            </w:r>
            <w:proofErr w:type="spellStart"/>
            <w:r w:rsidRPr="00F468F7">
              <w:rPr>
                <w:rFonts w:asciiTheme="minorHAnsi" w:hAnsiTheme="minorHAnsi" w:cstheme="minorHAnsi"/>
                <w:sz w:val="20"/>
                <w:szCs w:val="20"/>
              </w:rPr>
              <w:t>soalire</w:t>
            </w:r>
            <w:proofErr w:type="spellEnd"/>
          </w:p>
        </w:tc>
        <w:tc>
          <w:tcPr>
            <w:tcW w:w="1104" w:type="dxa"/>
            <w:hideMark/>
          </w:tcPr>
          <w:p w14:paraId="07C54343"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374" w:type="dxa"/>
            <w:hideMark/>
          </w:tcPr>
          <w:p w14:paraId="35B20B87"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0A70F7A3"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414" w:type="dxa"/>
            <w:hideMark/>
          </w:tcPr>
          <w:p w14:paraId="2AD8E788"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506" w:type="dxa"/>
            <w:hideMark/>
          </w:tcPr>
          <w:p w14:paraId="5E37128A"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044" w:type="dxa"/>
            <w:hideMark/>
          </w:tcPr>
          <w:p w14:paraId="01CF1293"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hideMark/>
          </w:tcPr>
          <w:p w14:paraId="00084E19"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59" w:type="dxa"/>
            <w:hideMark/>
          </w:tcPr>
          <w:p w14:paraId="59A8CD81"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43</w:t>
            </w:r>
          </w:p>
        </w:tc>
        <w:tc>
          <w:tcPr>
            <w:tcW w:w="727" w:type="dxa"/>
            <w:hideMark/>
          </w:tcPr>
          <w:p w14:paraId="3BE0B615"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r>
      <w:tr w:rsidR="00A47DEE" w:rsidRPr="00F468F7" w14:paraId="5562A2B2" w14:textId="77777777" w:rsidTr="00EE0E23">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053" w:type="dxa"/>
            <w:hideMark/>
          </w:tcPr>
          <w:p w14:paraId="04DA27A8"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Développement des périmètres irrigués villageois</w:t>
            </w:r>
          </w:p>
        </w:tc>
        <w:tc>
          <w:tcPr>
            <w:tcW w:w="1104" w:type="dxa"/>
            <w:hideMark/>
          </w:tcPr>
          <w:p w14:paraId="403005BD"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374" w:type="dxa"/>
            <w:hideMark/>
          </w:tcPr>
          <w:p w14:paraId="0D58F5DC"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874" w:type="dxa"/>
            <w:hideMark/>
          </w:tcPr>
          <w:p w14:paraId="28DCB65D"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414" w:type="dxa"/>
            <w:hideMark/>
          </w:tcPr>
          <w:p w14:paraId="364CE587"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506" w:type="dxa"/>
            <w:hideMark/>
          </w:tcPr>
          <w:p w14:paraId="3F0E3A6B"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044" w:type="dxa"/>
            <w:hideMark/>
          </w:tcPr>
          <w:p w14:paraId="1FE3F490"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748" w:type="dxa"/>
            <w:hideMark/>
          </w:tcPr>
          <w:p w14:paraId="0729FC0D"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59" w:type="dxa"/>
            <w:hideMark/>
          </w:tcPr>
          <w:p w14:paraId="70B739FD"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43</w:t>
            </w:r>
          </w:p>
        </w:tc>
        <w:tc>
          <w:tcPr>
            <w:tcW w:w="727" w:type="dxa"/>
            <w:hideMark/>
          </w:tcPr>
          <w:p w14:paraId="403892C0"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10</w:t>
            </w:r>
          </w:p>
        </w:tc>
      </w:tr>
      <w:tr w:rsidR="00A47DEE" w:rsidRPr="00F468F7" w14:paraId="3AB8B95B" w14:textId="77777777" w:rsidTr="00EE0E23">
        <w:trPr>
          <w:cnfStyle w:val="000000010000" w:firstRow="0" w:lastRow="0" w:firstColumn="0" w:lastColumn="0" w:oddVBand="0" w:evenVBand="0" w:oddHBand="0" w:evenHBand="1"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053" w:type="dxa"/>
            <w:hideMark/>
          </w:tcPr>
          <w:p w14:paraId="4408636D"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Appui à la promotion du maraîchage</w:t>
            </w:r>
          </w:p>
        </w:tc>
        <w:tc>
          <w:tcPr>
            <w:tcW w:w="1104" w:type="dxa"/>
            <w:hideMark/>
          </w:tcPr>
          <w:p w14:paraId="10DB217F"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374" w:type="dxa"/>
            <w:hideMark/>
          </w:tcPr>
          <w:p w14:paraId="41A0B0E5"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874" w:type="dxa"/>
            <w:hideMark/>
          </w:tcPr>
          <w:p w14:paraId="4CAF1E07"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414" w:type="dxa"/>
            <w:hideMark/>
          </w:tcPr>
          <w:p w14:paraId="751FCE67"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506" w:type="dxa"/>
            <w:hideMark/>
          </w:tcPr>
          <w:p w14:paraId="603E39C8"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044" w:type="dxa"/>
            <w:hideMark/>
          </w:tcPr>
          <w:p w14:paraId="4E3B8AF1"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48" w:type="dxa"/>
            <w:hideMark/>
          </w:tcPr>
          <w:p w14:paraId="5D4E1EDC"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1902B990"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42</w:t>
            </w:r>
          </w:p>
        </w:tc>
        <w:tc>
          <w:tcPr>
            <w:tcW w:w="727" w:type="dxa"/>
            <w:hideMark/>
          </w:tcPr>
          <w:p w14:paraId="18958269"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11</w:t>
            </w:r>
          </w:p>
        </w:tc>
      </w:tr>
      <w:tr w:rsidR="00A47DEE" w:rsidRPr="00F468F7" w14:paraId="202F352C" w14:textId="77777777" w:rsidTr="00EE0E23">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053" w:type="dxa"/>
            <w:hideMark/>
          </w:tcPr>
          <w:p w14:paraId="5BABAF46"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Développement de l’agriculture organique/ biologique</w:t>
            </w:r>
          </w:p>
        </w:tc>
        <w:tc>
          <w:tcPr>
            <w:tcW w:w="1104" w:type="dxa"/>
            <w:hideMark/>
          </w:tcPr>
          <w:p w14:paraId="646FFAC0"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374" w:type="dxa"/>
            <w:hideMark/>
          </w:tcPr>
          <w:p w14:paraId="36F38E4A"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874" w:type="dxa"/>
            <w:hideMark/>
          </w:tcPr>
          <w:p w14:paraId="38A66DFF"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414" w:type="dxa"/>
            <w:hideMark/>
          </w:tcPr>
          <w:p w14:paraId="63D6A38E"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506" w:type="dxa"/>
            <w:hideMark/>
          </w:tcPr>
          <w:p w14:paraId="3C4D6936"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044" w:type="dxa"/>
            <w:hideMark/>
          </w:tcPr>
          <w:p w14:paraId="00CA024E"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hideMark/>
          </w:tcPr>
          <w:p w14:paraId="60C71AF6"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c>
          <w:tcPr>
            <w:tcW w:w="759" w:type="dxa"/>
            <w:hideMark/>
          </w:tcPr>
          <w:p w14:paraId="51624B26"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41</w:t>
            </w:r>
          </w:p>
        </w:tc>
        <w:tc>
          <w:tcPr>
            <w:tcW w:w="727" w:type="dxa"/>
            <w:hideMark/>
          </w:tcPr>
          <w:p w14:paraId="42E9D8CE"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12</w:t>
            </w:r>
          </w:p>
        </w:tc>
      </w:tr>
      <w:tr w:rsidR="00A47DEE" w:rsidRPr="00F468F7" w14:paraId="3E16F277" w14:textId="77777777" w:rsidTr="00EE0E23">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53" w:type="dxa"/>
            <w:hideMark/>
          </w:tcPr>
          <w:p w14:paraId="4E17A6C2"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Conception et opérationnalisation d’un système d’alerte précoce / anticipation des risques climatiques</w:t>
            </w:r>
          </w:p>
        </w:tc>
        <w:tc>
          <w:tcPr>
            <w:tcW w:w="1104" w:type="dxa"/>
            <w:hideMark/>
          </w:tcPr>
          <w:p w14:paraId="7C654F24"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374" w:type="dxa"/>
            <w:hideMark/>
          </w:tcPr>
          <w:p w14:paraId="559A2325"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874" w:type="dxa"/>
            <w:hideMark/>
          </w:tcPr>
          <w:p w14:paraId="15432114"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414" w:type="dxa"/>
            <w:hideMark/>
          </w:tcPr>
          <w:p w14:paraId="4B58BF8D"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1506" w:type="dxa"/>
            <w:hideMark/>
          </w:tcPr>
          <w:p w14:paraId="26B96269"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044" w:type="dxa"/>
            <w:hideMark/>
          </w:tcPr>
          <w:p w14:paraId="310115FC"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748" w:type="dxa"/>
            <w:hideMark/>
          </w:tcPr>
          <w:p w14:paraId="11B53519"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759" w:type="dxa"/>
            <w:hideMark/>
          </w:tcPr>
          <w:p w14:paraId="6FC2BDAC"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41</w:t>
            </w:r>
          </w:p>
        </w:tc>
        <w:tc>
          <w:tcPr>
            <w:tcW w:w="727" w:type="dxa"/>
            <w:hideMark/>
          </w:tcPr>
          <w:p w14:paraId="1CF3552A"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13</w:t>
            </w:r>
          </w:p>
        </w:tc>
      </w:tr>
      <w:tr w:rsidR="00A47DEE" w:rsidRPr="00F468F7" w14:paraId="668046D6" w14:textId="77777777" w:rsidTr="00EE0E23">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5053" w:type="dxa"/>
            <w:hideMark/>
          </w:tcPr>
          <w:p w14:paraId="1160A0A4"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 xml:space="preserve">Sauvegarde des palmeraies traditionnelles et régénération du patrimoine phœnicicole </w:t>
            </w:r>
          </w:p>
        </w:tc>
        <w:tc>
          <w:tcPr>
            <w:tcW w:w="1104" w:type="dxa"/>
            <w:hideMark/>
          </w:tcPr>
          <w:p w14:paraId="42FF6C26"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374" w:type="dxa"/>
            <w:hideMark/>
          </w:tcPr>
          <w:p w14:paraId="5BE4CCF6"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874" w:type="dxa"/>
            <w:hideMark/>
          </w:tcPr>
          <w:p w14:paraId="7397ED6E"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414" w:type="dxa"/>
            <w:noWrap/>
            <w:hideMark/>
          </w:tcPr>
          <w:p w14:paraId="267C7CAA"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506" w:type="dxa"/>
            <w:noWrap/>
            <w:hideMark/>
          </w:tcPr>
          <w:p w14:paraId="10C74839"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044" w:type="dxa"/>
            <w:noWrap/>
            <w:hideMark/>
          </w:tcPr>
          <w:p w14:paraId="482A6A9A"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noWrap/>
            <w:hideMark/>
          </w:tcPr>
          <w:p w14:paraId="1E48831E"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5EDAE253"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41</w:t>
            </w:r>
          </w:p>
        </w:tc>
        <w:tc>
          <w:tcPr>
            <w:tcW w:w="727" w:type="dxa"/>
            <w:hideMark/>
          </w:tcPr>
          <w:p w14:paraId="0E296E7C"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14</w:t>
            </w:r>
          </w:p>
        </w:tc>
      </w:tr>
      <w:tr w:rsidR="00A47DEE" w:rsidRPr="00F468F7" w14:paraId="78D4B046" w14:textId="77777777" w:rsidTr="00EE0E23">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622A7DFF"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Lutte alternative contre les ennemis des cultures et les adventices.</w:t>
            </w:r>
          </w:p>
        </w:tc>
        <w:tc>
          <w:tcPr>
            <w:tcW w:w="1104" w:type="dxa"/>
            <w:hideMark/>
          </w:tcPr>
          <w:p w14:paraId="13307BF4"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374" w:type="dxa"/>
            <w:hideMark/>
          </w:tcPr>
          <w:p w14:paraId="460FEAB9"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874" w:type="dxa"/>
            <w:hideMark/>
          </w:tcPr>
          <w:p w14:paraId="6BACA60D"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414" w:type="dxa"/>
            <w:hideMark/>
          </w:tcPr>
          <w:p w14:paraId="596B41AC"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506" w:type="dxa"/>
            <w:hideMark/>
          </w:tcPr>
          <w:p w14:paraId="02C3548E"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044" w:type="dxa"/>
            <w:hideMark/>
          </w:tcPr>
          <w:p w14:paraId="1A8F82BC"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hideMark/>
          </w:tcPr>
          <w:p w14:paraId="0E973427"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59" w:type="dxa"/>
            <w:hideMark/>
          </w:tcPr>
          <w:p w14:paraId="59B87C15"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41</w:t>
            </w:r>
          </w:p>
        </w:tc>
        <w:tc>
          <w:tcPr>
            <w:tcW w:w="727" w:type="dxa"/>
            <w:hideMark/>
          </w:tcPr>
          <w:p w14:paraId="157D0926"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15</w:t>
            </w:r>
          </w:p>
        </w:tc>
      </w:tr>
      <w:tr w:rsidR="00A47DEE" w:rsidRPr="00F468F7" w14:paraId="573B4A17" w14:textId="77777777" w:rsidTr="00EE0E23">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5053" w:type="dxa"/>
            <w:hideMark/>
          </w:tcPr>
          <w:p w14:paraId="127B537C"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Intensification et diversification des cultures irriguées fondées sur des pratiques agroécologiques</w:t>
            </w:r>
          </w:p>
        </w:tc>
        <w:tc>
          <w:tcPr>
            <w:tcW w:w="1104" w:type="dxa"/>
            <w:hideMark/>
          </w:tcPr>
          <w:p w14:paraId="203E7ECF"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374" w:type="dxa"/>
            <w:hideMark/>
          </w:tcPr>
          <w:p w14:paraId="18939EF9"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874" w:type="dxa"/>
            <w:hideMark/>
          </w:tcPr>
          <w:p w14:paraId="72466CC7"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414" w:type="dxa"/>
            <w:hideMark/>
          </w:tcPr>
          <w:p w14:paraId="12C80296"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506" w:type="dxa"/>
            <w:hideMark/>
          </w:tcPr>
          <w:p w14:paraId="1E17E460"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044" w:type="dxa"/>
            <w:hideMark/>
          </w:tcPr>
          <w:p w14:paraId="15A0ECFA"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748" w:type="dxa"/>
            <w:hideMark/>
          </w:tcPr>
          <w:p w14:paraId="59AFEBD7"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4CF779B6"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40</w:t>
            </w:r>
          </w:p>
        </w:tc>
        <w:tc>
          <w:tcPr>
            <w:tcW w:w="727" w:type="dxa"/>
            <w:hideMark/>
          </w:tcPr>
          <w:p w14:paraId="4D051674"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16</w:t>
            </w:r>
          </w:p>
        </w:tc>
      </w:tr>
      <w:tr w:rsidR="00A47DEE" w:rsidRPr="00F468F7" w14:paraId="10357720" w14:textId="77777777" w:rsidTr="00EE0E23">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5053" w:type="dxa"/>
            <w:hideMark/>
          </w:tcPr>
          <w:p w14:paraId="1896280E"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Promotion de mécanisation agricole adaptée à l’environnement.</w:t>
            </w:r>
          </w:p>
        </w:tc>
        <w:tc>
          <w:tcPr>
            <w:tcW w:w="1104" w:type="dxa"/>
            <w:hideMark/>
          </w:tcPr>
          <w:p w14:paraId="538B5071"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374" w:type="dxa"/>
            <w:hideMark/>
          </w:tcPr>
          <w:p w14:paraId="2299D119"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01F781F4"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414" w:type="dxa"/>
            <w:hideMark/>
          </w:tcPr>
          <w:p w14:paraId="0F412744"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506" w:type="dxa"/>
            <w:hideMark/>
          </w:tcPr>
          <w:p w14:paraId="518C02F8"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044" w:type="dxa"/>
            <w:hideMark/>
          </w:tcPr>
          <w:p w14:paraId="035AB578"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hideMark/>
          </w:tcPr>
          <w:p w14:paraId="49F07A1C"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59" w:type="dxa"/>
            <w:hideMark/>
          </w:tcPr>
          <w:p w14:paraId="298962E2"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40</w:t>
            </w:r>
          </w:p>
        </w:tc>
        <w:tc>
          <w:tcPr>
            <w:tcW w:w="727" w:type="dxa"/>
            <w:hideMark/>
          </w:tcPr>
          <w:p w14:paraId="16A3425C"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17</w:t>
            </w:r>
          </w:p>
        </w:tc>
      </w:tr>
      <w:tr w:rsidR="00A47DEE" w:rsidRPr="00F468F7" w14:paraId="5E1E688B" w14:textId="77777777" w:rsidTr="00EE0E23">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6E27C6D6"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 xml:space="preserve">Intensification de la recherche sur les variétés </w:t>
            </w:r>
            <w:proofErr w:type="gramStart"/>
            <w:r w:rsidRPr="00F468F7">
              <w:rPr>
                <w:rFonts w:asciiTheme="minorHAnsi" w:hAnsiTheme="minorHAnsi" w:cstheme="minorHAnsi"/>
                <w:sz w:val="20"/>
                <w:szCs w:val="20"/>
              </w:rPr>
              <w:t>améliorées  et</w:t>
            </w:r>
            <w:proofErr w:type="gramEnd"/>
            <w:r w:rsidRPr="00F468F7">
              <w:rPr>
                <w:rFonts w:asciiTheme="minorHAnsi" w:hAnsiTheme="minorHAnsi" w:cstheme="minorHAnsi"/>
                <w:sz w:val="20"/>
                <w:szCs w:val="20"/>
              </w:rPr>
              <w:t xml:space="preserve"> les technologies climato-intelligentes</w:t>
            </w:r>
          </w:p>
        </w:tc>
        <w:tc>
          <w:tcPr>
            <w:tcW w:w="1104" w:type="dxa"/>
            <w:hideMark/>
          </w:tcPr>
          <w:p w14:paraId="0703F323"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374" w:type="dxa"/>
            <w:hideMark/>
          </w:tcPr>
          <w:p w14:paraId="3D932EB3"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52737094"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414" w:type="dxa"/>
            <w:noWrap/>
            <w:hideMark/>
          </w:tcPr>
          <w:p w14:paraId="31B2B8A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506" w:type="dxa"/>
            <w:noWrap/>
            <w:hideMark/>
          </w:tcPr>
          <w:p w14:paraId="3062C52C"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044" w:type="dxa"/>
            <w:noWrap/>
            <w:hideMark/>
          </w:tcPr>
          <w:p w14:paraId="5832EF0B"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48" w:type="dxa"/>
            <w:noWrap/>
            <w:hideMark/>
          </w:tcPr>
          <w:p w14:paraId="35094C7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40C7586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39</w:t>
            </w:r>
          </w:p>
        </w:tc>
        <w:tc>
          <w:tcPr>
            <w:tcW w:w="727" w:type="dxa"/>
            <w:hideMark/>
          </w:tcPr>
          <w:p w14:paraId="3A976C31"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18</w:t>
            </w:r>
          </w:p>
        </w:tc>
      </w:tr>
      <w:tr w:rsidR="00A47DEE" w:rsidRPr="00F468F7" w14:paraId="5E56FE7A" w14:textId="77777777" w:rsidTr="00EE0E23">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4F9D870B"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Promotion des technologies post récoltes respectueuses de l’environnement</w:t>
            </w:r>
          </w:p>
        </w:tc>
        <w:tc>
          <w:tcPr>
            <w:tcW w:w="1104" w:type="dxa"/>
            <w:hideMark/>
          </w:tcPr>
          <w:p w14:paraId="69529612"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374" w:type="dxa"/>
            <w:hideMark/>
          </w:tcPr>
          <w:p w14:paraId="20543204"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590F987F"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414" w:type="dxa"/>
            <w:noWrap/>
            <w:hideMark/>
          </w:tcPr>
          <w:p w14:paraId="465A2032"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506" w:type="dxa"/>
            <w:noWrap/>
            <w:hideMark/>
          </w:tcPr>
          <w:p w14:paraId="0A91F2C3"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044" w:type="dxa"/>
            <w:noWrap/>
            <w:hideMark/>
          </w:tcPr>
          <w:p w14:paraId="1C1AD917"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noWrap/>
            <w:hideMark/>
          </w:tcPr>
          <w:p w14:paraId="4D070E50"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22BCED6E"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39</w:t>
            </w:r>
          </w:p>
        </w:tc>
        <w:tc>
          <w:tcPr>
            <w:tcW w:w="727" w:type="dxa"/>
            <w:hideMark/>
          </w:tcPr>
          <w:p w14:paraId="44ED4AAF"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19</w:t>
            </w:r>
          </w:p>
        </w:tc>
      </w:tr>
      <w:tr w:rsidR="00A47DEE" w:rsidRPr="00F468F7" w14:paraId="259DC01F" w14:textId="77777777" w:rsidTr="00EE0E23">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4A6D8588"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Mise en place des ouvrages de ralentissement pour la recharge de la nappe.</w:t>
            </w:r>
          </w:p>
        </w:tc>
        <w:tc>
          <w:tcPr>
            <w:tcW w:w="1104" w:type="dxa"/>
            <w:hideMark/>
          </w:tcPr>
          <w:p w14:paraId="66A88BDE"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374" w:type="dxa"/>
            <w:hideMark/>
          </w:tcPr>
          <w:p w14:paraId="6B0ABF34"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874" w:type="dxa"/>
            <w:hideMark/>
          </w:tcPr>
          <w:p w14:paraId="16561BE3"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414" w:type="dxa"/>
            <w:noWrap/>
            <w:hideMark/>
          </w:tcPr>
          <w:p w14:paraId="00789FD2"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506" w:type="dxa"/>
            <w:noWrap/>
            <w:hideMark/>
          </w:tcPr>
          <w:p w14:paraId="2E97F24A"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044" w:type="dxa"/>
            <w:noWrap/>
            <w:hideMark/>
          </w:tcPr>
          <w:p w14:paraId="1636C0CD"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noWrap/>
            <w:hideMark/>
          </w:tcPr>
          <w:p w14:paraId="4D8F3520"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09F5FB1C"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39</w:t>
            </w:r>
          </w:p>
        </w:tc>
        <w:tc>
          <w:tcPr>
            <w:tcW w:w="727" w:type="dxa"/>
            <w:hideMark/>
          </w:tcPr>
          <w:p w14:paraId="3CAF2150"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20</w:t>
            </w:r>
          </w:p>
        </w:tc>
      </w:tr>
      <w:tr w:rsidR="00A47DEE" w:rsidRPr="00F468F7" w14:paraId="5FFB0D22" w14:textId="77777777" w:rsidTr="00EE0E23">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2FE038BC"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Amélioration du stockage et de la conservation des produits agricoles</w:t>
            </w:r>
          </w:p>
        </w:tc>
        <w:tc>
          <w:tcPr>
            <w:tcW w:w="1104" w:type="dxa"/>
            <w:hideMark/>
          </w:tcPr>
          <w:p w14:paraId="47ED451C"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374" w:type="dxa"/>
            <w:hideMark/>
          </w:tcPr>
          <w:p w14:paraId="74812194"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874" w:type="dxa"/>
            <w:hideMark/>
          </w:tcPr>
          <w:p w14:paraId="18F225E0"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414" w:type="dxa"/>
            <w:hideMark/>
          </w:tcPr>
          <w:p w14:paraId="1CA3C6A3"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506" w:type="dxa"/>
            <w:hideMark/>
          </w:tcPr>
          <w:p w14:paraId="520820E6"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044" w:type="dxa"/>
            <w:hideMark/>
          </w:tcPr>
          <w:p w14:paraId="1CE2EE8D"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748" w:type="dxa"/>
            <w:hideMark/>
          </w:tcPr>
          <w:p w14:paraId="48E64647"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759" w:type="dxa"/>
            <w:hideMark/>
          </w:tcPr>
          <w:p w14:paraId="4522EE54"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38</w:t>
            </w:r>
          </w:p>
        </w:tc>
        <w:tc>
          <w:tcPr>
            <w:tcW w:w="727" w:type="dxa"/>
            <w:hideMark/>
          </w:tcPr>
          <w:p w14:paraId="681DF2DE"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21</w:t>
            </w:r>
          </w:p>
        </w:tc>
      </w:tr>
      <w:tr w:rsidR="00A47DEE" w:rsidRPr="00F468F7" w14:paraId="1C522582" w14:textId="77777777" w:rsidTr="00EE0E23">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5053" w:type="dxa"/>
            <w:hideMark/>
          </w:tcPr>
          <w:p w14:paraId="3D33AD10"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Construction d’ouvrages de ralentissement des crues pour recharger la nappe.</w:t>
            </w:r>
          </w:p>
        </w:tc>
        <w:tc>
          <w:tcPr>
            <w:tcW w:w="1104" w:type="dxa"/>
            <w:hideMark/>
          </w:tcPr>
          <w:p w14:paraId="0283253E"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374" w:type="dxa"/>
            <w:hideMark/>
          </w:tcPr>
          <w:p w14:paraId="7C387A9C"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1DC4B0A2"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414" w:type="dxa"/>
            <w:noWrap/>
            <w:hideMark/>
          </w:tcPr>
          <w:p w14:paraId="1DB8E7EF"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506" w:type="dxa"/>
            <w:noWrap/>
            <w:hideMark/>
          </w:tcPr>
          <w:p w14:paraId="59A66E53"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8</w:t>
            </w:r>
          </w:p>
        </w:tc>
        <w:tc>
          <w:tcPr>
            <w:tcW w:w="1044" w:type="dxa"/>
            <w:noWrap/>
            <w:hideMark/>
          </w:tcPr>
          <w:p w14:paraId="60E35053"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748" w:type="dxa"/>
            <w:noWrap/>
            <w:hideMark/>
          </w:tcPr>
          <w:p w14:paraId="0B8D68C1"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59" w:type="dxa"/>
            <w:hideMark/>
          </w:tcPr>
          <w:p w14:paraId="4AF87D7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38</w:t>
            </w:r>
          </w:p>
        </w:tc>
        <w:tc>
          <w:tcPr>
            <w:tcW w:w="727" w:type="dxa"/>
            <w:hideMark/>
          </w:tcPr>
          <w:p w14:paraId="39F237C4"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22</w:t>
            </w:r>
          </w:p>
        </w:tc>
      </w:tr>
      <w:tr w:rsidR="00A47DEE" w:rsidRPr="00F468F7" w14:paraId="2DFCC448" w14:textId="77777777" w:rsidTr="00EE0E23">
        <w:trPr>
          <w:cnfStyle w:val="000000010000" w:firstRow="0" w:lastRow="0" w:firstColumn="0" w:lastColumn="0" w:oddVBand="0" w:evenVBand="0" w:oddHBand="0" w:evenHBand="1"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053" w:type="dxa"/>
            <w:hideMark/>
          </w:tcPr>
          <w:p w14:paraId="1675B4C3"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 xml:space="preserve">Promotion des AGRs </w:t>
            </w:r>
          </w:p>
        </w:tc>
        <w:tc>
          <w:tcPr>
            <w:tcW w:w="1104" w:type="dxa"/>
            <w:hideMark/>
          </w:tcPr>
          <w:p w14:paraId="3CA449B9"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1374" w:type="dxa"/>
            <w:hideMark/>
          </w:tcPr>
          <w:p w14:paraId="05AD107B"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5B5E0317"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414" w:type="dxa"/>
            <w:hideMark/>
          </w:tcPr>
          <w:p w14:paraId="40A98357"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506" w:type="dxa"/>
            <w:hideMark/>
          </w:tcPr>
          <w:p w14:paraId="42206F5B"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044" w:type="dxa"/>
            <w:hideMark/>
          </w:tcPr>
          <w:p w14:paraId="715CCC39"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48" w:type="dxa"/>
            <w:hideMark/>
          </w:tcPr>
          <w:p w14:paraId="1013A291"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759" w:type="dxa"/>
            <w:hideMark/>
          </w:tcPr>
          <w:p w14:paraId="5C5051E4"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37</w:t>
            </w:r>
          </w:p>
        </w:tc>
        <w:tc>
          <w:tcPr>
            <w:tcW w:w="727" w:type="dxa"/>
            <w:hideMark/>
          </w:tcPr>
          <w:p w14:paraId="10628108"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23</w:t>
            </w:r>
          </w:p>
        </w:tc>
      </w:tr>
      <w:tr w:rsidR="00A47DEE" w:rsidRPr="00F468F7" w14:paraId="0D985326" w14:textId="77777777" w:rsidTr="00EE0E23">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5053" w:type="dxa"/>
            <w:hideMark/>
          </w:tcPr>
          <w:p w14:paraId="5502D6B8"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Mise en place d’un fonds de calamités</w:t>
            </w:r>
          </w:p>
        </w:tc>
        <w:tc>
          <w:tcPr>
            <w:tcW w:w="1104" w:type="dxa"/>
            <w:hideMark/>
          </w:tcPr>
          <w:p w14:paraId="68F44581"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1374" w:type="dxa"/>
            <w:hideMark/>
          </w:tcPr>
          <w:p w14:paraId="7E1B5EF2"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7B165821"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414" w:type="dxa"/>
            <w:hideMark/>
          </w:tcPr>
          <w:p w14:paraId="233FF1AF"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1506" w:type="dxa"/>
            <w:hideMark/>
          </w:tcPr>
          <w:p w14:paraId="67279E9D"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044" w:type="dxa"/>
            <w:hideMark/>
          </w:tcPr>
          <w:p w14:paraId="75FCD74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hideMark/>
          </w:tcPr>
          <w:p w14:paraId="7FDBD4B9"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759" w:type="dxa"/>
            <w:hideMark/>
          </w:tcPr>
          <w:p w14:paraId="2F7CA8E1"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36</w:t>
            </w:r>
          </w:p>
        </w:tc>
        <w:tc>
          <w:tcPr>
            <w:tcW w:w="727" w:type="dxa"/>
            <w:hideMark/>
          </w:tcPr>
          <w:p w14:paraId="5C679A53"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24</w:t>
            </w:r>
          </w:p>
        </w:tc>
      </w:tr>
      <w:tr w:rsidR="00A47DEE" w:rsidRPr="00F468F7" w14:paraId="413EBFF8" w14:textId="77777777" w:rsidTr="00EE0E23">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27BA88FC"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Développement de l’e-agriculture pour le système d’information géolocalisé</w:t>
            </w:r>
          </w:p>
        </w:tc>
        <w:tc>
          <w:tcPr>
            <w:tcW w:w="1104" w:type="dxa"/>
            <w:hideMark/>
          </w:tcPr>
          <w:p w14:paraId="3A25FD85"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9</w:t>
            </w:r>
          </w:p>
        </w:tc>
        <w:tc>
          <w:tcPr>
            <w:tcW w:w="1374" w:type="dxa"/>
            <w:hideMark/>
          </w:tcPr>
          <w:p w14:paraId="5E7BA637"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874" w:type="dxa"/>
            <w:hideMark/>
          </w:tcPr>
          <w:p w14:paraId="48A47016"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1414" w:type="dxa"/>
            <w:noWrap/>
            <w:hideMark/>
          </w:tcPr>
          <w:p w14:paraId="676CC93E"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c>
          <w:tcPr>
            <w:tcW w:w="1506" w:type="dxa"/>
            <w:noWrap/>
            <w:hideMark/>
          </w:tcPr>
          <w:p w14:paraId="537133C7"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c>
          <w:tcPr>
            <w:tcW w:w="1044" w:type="dxa"/>
            <w:noWrap/>
            <w:hideMark/>
          </w:tcPr>
          <w:p w14:paraId="38DC347B"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7</w:t>
            </w:r>
          </w:p>
        </w:tc>
        <w:tc>
          <w:tcPr>
            <w:tcW w:w="748" w:type="dxa"/>
            <w:noWrap/>
            <w:hideMark/>
          </w:tcPr>
          <w:p w14:paraId="72D62EB1"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59" w:type="dxa"/>
            <w:hideMark/>
          </w:tcPr>
          <w:p w14:paraId="1DCA3E9A"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34</w:t>
            </w:r>
          </w:p>
        </w:tc>
        <w:tc>
          <w:tcPr>
            <w:tcW w:w="727" w:type="dxa"/>
            <w:hideMark/>
          </w:tcPr>
          <w:p w14:paraId="72D06EFC"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25</w:t>
            </w:r>
          </w:p>
        </w:tc>
      </w:tr>
      <w:tr w:rsidR="00A47DEE" w:rsidRPr="00F468F7" w14:paraId="74CBD242" w14:textId="77777777" w:rsidTr="00EE0E23">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1F5761D7"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Développement d’un système de drainage adapté aux inondations des exploitations agricoles</w:t>
            </w:r>
          </w:p>
        </w:tc>
        <w:tc>
          <w:tcPr>
            <w:tcW w:w="1104" w:type="dxa"/>
            <w:hideMark/>
          </w:tcPr>
          <w:p w14:paraId="7651394A"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374" w:type="dxa"/>
            <w:hideMark/>
          </w:tcPr>
          <w:p w14:paraId="250FB0F7"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874" w:type="dxa"/>
            <w:hideMark/>
          </w:tcPr>
          <w:p w14:paraId="6604A88E"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414" w:type="dxa"/>
            <w:hideMark/>
          </w:tcPr>
          <w:p w14:paraId="5BC32B99"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4</w:t>
            </w:r>
          </w:p>
        </w:tc>
        <w:tc>
          <w:tcPr>
            <w:tcW w:w="1506" w:type="dxa"/>
            <w:hideMark/>
          </w:tcPr>
          <w:p w14:paraId="696C6884"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044" w:type="dxa"/>
            <w:hideMark/>
          </w:tcPr>
          <w:p w14:paraId="7EF28B48"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748" w:type="dxa"/>
            <w:hideMark/>
          </w:tcPr>
          <w:p w14:paraId="39D6489C"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c>
          <w:tcPr>
            <w:tcW w:w="759" w:type="dxa"/>
            <w:hideMark/>
          </w:tcPr>
          <w:p w14:paraId="6CAC6176"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31</w:t>
            </w:r>
          </w:p>
        </w:tc>
        <w:tc>
          <w:tcPr>
            <w:tcW w:w="727" w:type="dxa"/>
            <w:hideMark/>
          </w:tcPr>
          <w:p w14:paraId="2C23CF13"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26</w:t>
            </w:r>
          </w:p>
        </w:tc>
      </w:tr>
      <w:tr w:rsidR="00A47DEE" w:rsidRPr="00F468F7" w14:paraId="1BB6AE2A" w14:textId="77777777" w:rsidTr="00EE0E23">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053" w:type="dxa"/>
            <w:hideMark/>
          </w:tcPr>
          <w:p w14:paraId="4A4E1D52" w14:textId="77777777" w:rsidR="00A47DEE" w:rsidRPr="00F468F7" w:rsidRDefault="00A47DEE" w:rsidP="00EE0E23">
            <w:pPr>
              <w:rPr>
                <w:rFonts w:asciiTheme="minorHAnsi" w:hAnsiTheme="minorHAnsi" w:cstheme="minorHAnsi"/>
                <w:sz w:val="20"/>
                <w:szCs w:val="20"/>
              </w:rPr>
            </w:pPr>
            <w:r w:rsidRPr="00F468F7">
              <w:rPr>
                <w:rFonts w:asciiTheme="minorHAnsi" w:hAnsiTheme="minorHAnsi" w:cstheme="minorHAnsi"/>
                <w:sz w:val="20"/>
                <w:szCs w:val="20"/>
              </w:rPr>
              <w:t xml:space="preserve">Réalisation des forages </w:t>
            </w:r>
          </w:p>
        </w:tc>
        <w:tc>
          <w:tcPr>
            <w:tcW w:w="1104" w:type="dxa"/>
            <w:hideMark/>
          </w:tcPr>
          <w:p w14:paraId="31C7A9A2"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5</w:t>
            </w:r>
          </w:p>
        </w:tc>
        <w:tc>
          <w:tcPr>
            <w:tcW w:w="1374" w:type="dxa"/>
            <w:hideMark/>
          </w:tcPr>
          <w:p w14:paraId="53C37355"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1874" w:type="dxa"/>
            <w:hideMark/>
          </w:tcPr>
          <w:p w14:paraId="0C2C68A9"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c>
          <w:tcPr>
            <w:tcW w:w="1414" w:type="dxa"/>
            <w:noWrap/>
            <w:hideMark/>
          </w:tcPr>
          <w:p w14:paraId="1EB7DAA3"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1506" w:type="dxa"/>
            <w:noWrap/>
            <w:hideMark/>
          </w:tcPr>
          <w:p w14:paraId="0E4B5E62"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3</w:t>
            </w:r>
          </w:p>
        </w:tc>
        <w:tc>
          <w:tcPr>
            <w:tcW w:w="1044" w:type="dxa"/>
            <w:noWrap/>
            <w:hideMark/>
          </w:tcPr>
          <w:p w14:paraId="7C708DCB"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6</w:t>
            </w:r>
          </w:p>
        </w:tc>
        <w:tc>
          <w:tcPr>
            <w:tcW w:w="748" w:type="dxa"/>
            <w:noWrap/>
            <w:hideMark/>
          </w:tcPr>
          <w:p w14:paraId="04FCADCB"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w:t>
            </w:r>
          </w:p>
        </w:tc>
        <w:tc>
          <w:tcPr>
            <w:tcW w:w="759" w:type="dxa"/>
            <w:hideMark/>
          </w:tcPr>
          <w:p w14:paraId="6CA400C3"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27</w:t>
            </w:r>
          </w:p>
        </w:tc>
        <w:tc>
          <w:tcPr>
            <w:tcW w:w="727" w:type="dxa"/>
            <w:hideMark/>
          </w:tcPr>
          <w:p w14:paraId="6ABE25A2" w14:textId="77777777" w:rsidR="00A47DEE" w:rsidRPr="00F468F7" w:rsidRDefault="00A47DEE" w:rsidP="00EE0E23">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F468F7">
              <w:rPr>
                <w:rFonts w:eastAsia="Times New Roman" w:cstheme="minorHAnsi"/>
                <w:sz w:val="20"/>
                <w:szCs w:val="20"/>
              </w:rPr>
              <w:t>27</w:t>
            </w:r>
          </w:p>
        </w:tc>
      </w:tr>
    </w:tbl>
    <w:p w14:paraId="4A4453D4" w14:textId="77777777" w:rsidR="00A47DEE" w:rsidRPr="00F468F7" w:rsidRDefault="00A47DEE" w:rsidP="00A47DEE">
      <w:pPr>
        <w:rPr>
          <w:rFonts w:eastAsia="Calibri" w:cstheme="minorHAnsi"/>
        </w:rPr>
      </w:pPr>
    </w:p>
    <w:p w14:paraId="3A50CC4D" w14:textId="77777777" w:rsidR="00A47DEE" w:rsidRPr="00F468F7" w:rsidRDefault="00A47DEE" w:rsidP="00A47DEE">
      <w:pPr>
        <w:rPr>
          <w:rFonts w:eastAsia="Calibri" w:cstheme="minorHAnsi"/>
          <w:lang w:val="fr-BE"/>
        </w:rPr>
      </w:pPr>
      <w:r w:rsidRPr="00F468F7">
        <w:rPr>
          <w:rFonts w:eastAsia="Calibri" w:cstheme="minorHAnsi"/>
        </w:rPr>
        <w:t>Grille de notation : </w:t>
      </w:r>
      <w:r w:rsidRPr="00F468F7">
        <w:rPr>
          <w:rFonts w:eastAsia="Calibri" w:cstheme="minorHAnsi"/>
          <w:lang w:val="fr-BE"/>
        </w:rPr>
        <w:t>de 1 (la moins bonne performance) jusque 10 (la meilleure performance). Pour le coût, de 1 (coût élevé) à 10 (coût faible)</w:t>
      </w:r>
    </w:p>
    <w:p w14:paraId="48BA691C" w14:textId="77777777" w:rsidR="00A47DEE" w:rsidRPr="00FF56CA" w:rsidRDefault="00A47DEE" w:rsidP="00A47DEE">
      <w:pPr>
        <w:pBdr>
          <w:top w:val="single" w:sz="4" w:space="1" w:color="auto"/>
          <w:left w:val="single" w:sz="4" w:space="4" w:color="auto"/>
          <w:bottom w:val="single" w:sz="4" w:space="1" w:color="auto"/>
          <w:right w:val="single" w:sz="4" w:space="4" w:color="auto"/>
          <w:between w:val="single" w:sz="4" w:space="1" w:color="auto"/>
          <w:bar w:val="single" w:sz="4" w:color="auto"/>
        </w:pBdr>
        <w:ind w:left="-284"/>
        <w:rPr>
          <w:rFonts w:cstheme="minorHAnsi"/>
          <w:b/>
          <w:bCs/>
          <w:sz w:val="24"/>
          <w:szCs w:val="24"/>
        </w:rPr>
      </w:pPr>
      <w:r w:rsidRPr="00FF56CA">
        <w:rPr>
          <w:rFonts w:cstheme="minorHAnsi"/>
          <w:b/>
          <w:bCs/>
          <w:sz w:val="24"/>
          <w:szCs w:val="24"/>
        </w:rPr>
        <w:t>Après le classement, vue le nombre élevé d’options, il e a été décidé d’éliminer toutes les options dont le score est inférieur à 40. C’est ainsi qu’on obtient des 13 options restantes, le résultat indiqué dans le Tableau ci-dessous.</w:t>
      </w:r>
    </w:p>
    <w:tbl>
      <w:tblPr>
        <w:tblStyle w:val="Grilleclaire-Accent321"/>
        <w:tblW w:w="14972" w:type="dxa"/>
        <w:tblLook w:val="04A0" w:firstRow="1" w:lastRow="0" w:firstColumn="1" w:lastColumn="0" w:noHBand="0" w:noVBand="1"/>
      </w:tblPr>
      <w:tblGrid>
        <w:gridCol w:w="4365"/>
        <w:gridCol w:w="10607"/>
      </w:tblGrid>
      <w:tr w:rsidR="00A47DEE" w:rsidRPr="00F468F7" w14:paraId="26C94D3A" w14:textId="77777777" w:rsidTr="00EE0E23">
        <w:trPr>
          <w:cnfStyle w:val="100000000000" w:firstRow="1" w:lastRow="0" w:firstColumn="0" w:lastColumn="0" w:oddVBand="0" w:evenVBand="0" w:oddHBand="0"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4365" w:type="dxa"/>
            <w:tcBorders>
              <w:bottom w:val="single" w:sz="4" w:space="0" w:color="auto"/>
            </w:tcBorders>
            <w:shd w:val="clear" w:color="auto" w:fill="002060"/>
            <w:hideMark/>
          </w:tcPr>
          <w:p w14:paraId="325F276C" w14:textId="77777777" w:rsidR="00A47DEE" w:rsidRPr="00F468F7" w:rsidRDefault="00A47DEE" w:rsidP="00EE0E23">
            <w:pPr>
              <w:jc w:val="center"/>
              <w:rPr>
                <w:rFonts w:asciiTheme="minorHAnsi" w:hAnsiTheme="minorHAnsi" w:cstheme="minorHAnsi" w:hint="default"/>
                <w:b w:val="0"/>
                <w:bCs w:val="0"/>
                <w:sz w:val="24"/>
                <w:szCs w:val="24"/>
              </w:rPr>
            </w:pPr>
            <w:r w:rsidRPr="00F468F7">
              <w:rPr>
                <w:rFonts w:asciiTheme="minorHAnsi" w:hAnsiTheme="minorHAnsi" w:cstheme="minorHAnsi" w:hint="default"/>
                <w:sz w:val="24"/>
                <w:szCs w:val="24"/>
              </w:rPr>
              <w:t>Programmes</w:t>
            </w:r>
          </w:p>
        </w:tc>
        <w:tc>
          <w:tcPr>
            <w:tcW w:w="10607" w:type="dxa"/>
            <w:tcBorders>
              <w:bottom w:val="single" w:sz="4" w:space="0" w:color="auto"/>
            </w:tcBorders>
            <w:shd w:val="clear" w:color="auto" w:fill="002060"/>
            <w:hideMark/>
          </w:tcPr>
          <w:p w14:paraId="07782252"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hint="default"/>
                <w:sz w:val="24"/>
                <w:szCs w:val="24"/>
              </w:rPr>
            </w:pPr>
            <w:r w:rsidRPr="00F468F7">
              <w:rPr>
                <w:rFonts w:asciiTheme="minorHAnsi" w:hAnsiTheme="minorHAnsi" w:cstheme="minorHAnsi" w:hint="default"/>
                <w:sz w:val="24"/>
                <w:szCs w:val="24"/>
              </w:rPr>
              <w:t>Actions prioritaires</w:t>
            </w:r>
          </w:p>
        </w:tc>
      </w:tr>
      <w:tr w:rsidR="00A47DEE" w:rsidRPr="00F468F7" w14:paraId="3F202DC5" w14:textId="77777777" w:rsidTr="00EE0E23">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36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3A46EB5" w14:textId="77777777" w:rsidR="00A47DEE" w:rsidRPr="00F468F7" w:rsidRDefault="00A47DEE" w:rsidP="00EE0E23">
            <w:pPr>
              <w:rPr>
                <w:rFonts w:asciiTheme="minorHAnsi" w:hAnsiTheme="minorHAnsi" w:cstheme="minorHAnsi" w:hint="default"/>
                <w:b w:val="0"/>
                <w:bCs w:val="0"/>
                <w:sz w:val="24"/>
                <w:szCs w:val="24"/>
              </w:rPr>
            </w:pPr>
            <w:r w:rsidRPr="00F468F7">
              <w:rPr>
                <w:rFonts w:asciiTheme="minorHAnsi" w:hAnsiTheme="minorHAnsi" w:cstheme="minorHAnsi" w:hint="default"/>
                <w:sz w:val="24"/>
                <w:szCs w:val="24"/>
              </w:rPr>
              <w:t>Amélioration de la résilience des systèmes de production agricole aux changements climatiques</w:t>
            </w: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37D7EB" w14:textId="77777777" w:rsidR="00A47DEE" w:rsidRPr="00F468F7" w:rsidRDefault="00A47DEE" w:rsidP="00A47DEE">
            <w:pPr>
              <w:pStyle w:val="Paragraphedeliste"/>
              <w:numPr>
                <w:ilvl w:val="0"/>
                <w:numId w:val="37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F468F7">
              <w:rPr>
                <w:rFonts w:asciiTheme="minorHAnsi" w:hAnsiTheme="minorHAnsi" w:cstheme="minorHAnsi"/>
                <w:sz w:val="24"/>
                <w:szCs w:val="24"/>
              </w:rPr>
              <w:t xml:space="preserve">Développement de la filière semencière et des </w:t>
            </w:r>
            <w:proofErr w:type="gramStart"/>
            <w:r w:rsidRPr="00F468F7">
              <w:rPr>
                <w:rFonts w:asciiTheme="minorHAnsi" w:hAnsiTheme="minorHAnsi" w:cstheme="minorHAnsi"/>
                <w:sz w:val="24"/>
                <w:szCs w:val="24"/>
              </w:rPr>
              <w:t>écotype,  de</w:t>
            </w:r>
            <w:proofErr w:type="gramEnd"/>
            <w:r w:rsidRPr="00F468F7">
              <w:rPr>
                <w:rFonts w:asciiTheme="minorHAnsi" w:hAnsiTheme="minorHAnsi" w:cstheme="minorHAnsi"/>
                <w:sz w:val="24"/>
                <w:szCs w:val="24"/>
              </w:rPr>
              <w:t xml:space="preserve"> l'usage des espèces autochtones</w:t>
            </w:r>
          </w:p>
          <w:p w14:paraId="476314C2" w14:textId="77777777" w:rsidR="00A47DEE" w:rsidRPr="00F468F7" w:rsidRDefault="00A47DEE" w:rsidP="00EE0E2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r>
      <w:tr w:rsidR="00A47DEE" w:rsidRPr="00F468F7" w14:paraId="662DCE49" w14:textId="77777777" w:rsidTr="00EE0E23">
        <w:trPr>
          <w:cnfStyle w:val="000000010000" w:firstRow="0" w:lastRow="0" w:firstColumn="0" w:lastColumn="0" w:oddVBand="0" w:evenVBand="0" w:oddHBand="0" w:evenHBand="1"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5088A97E" w14:textId="77777777" w:rsidR="00A47DEE" w:rsidRPr="00F468F7" w:rsidRDefault="00A47DEE" w:rsidP="00EE0E23">
            <w:pPr>
              <w:rPr>
                <w:rFonts w:asciiTheme="minorHAnsi"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DB3931" w14:textId="77777777" w:rsidR="00A47DEE" w:rsidRPr="00F468F7" w:rsidRDefault="00A47DEE" w:rsidP="00A47DEE">
            <w:pPr>
              <w:pStyle w:val="Paragraphedeliste"/>
              <w:numPr>
                <w:ilvl w:val="0"/>
                <w:numId w:val="376"/>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4"/>
                <w:szCs w:val="24"/>
              </w:rPr>
            </w:pPr>
            <w:r w:rsidRPr="00F468F7">
              <w:rPr>
                <w:rFonts w:asciiTheme="minorHAnsi" w:hAnsiTheme="minorHAnsi" w:cstheme="minorHAnsi"/>
                <w:sz w:val="24"/>
                <w:szCs w:val="24"/>
              </w:rPr>
              <w:t>Amélioration des systèmes de productions pluviales</w:t>
            </w:r>
          </w:p>
        </w:tc>
      </w:tr>
      <w:tr w:rsidR="00A47DEE" w:rsidRPr="00F468F7" w14:paraId="4A8D0AE7" w14:textId="77777777" w:rsidTr="00EE0E23">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064FBD49" w14:textId="77777777" w:rsidR="00A47DEE" w:rsidRPr="00F468F7" w:rsidRDefault="00A47DEE" w:rsidP="00EE0E23">
            <w:pPr>
              <w:rPr>
                <w:rFonts w:asciiTheme="minorHAnsi"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1D492D" w14:textId="77777777" w:rsidR="00A47DEE" w:rsidRPr="00F468F7" w:rsidRDefault="00A47DEE" w:rsidP="00A47DEE">
            <w:pPr>
              <w:pStyle w:val="Paragraphedeliste"/>
              <w:numPr>
                <w:ilvl w:val="0"/>
                <w:numId w:val="37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F468F7">
              <w:rPr>
                <w:rFonts w:asciiTheme="minorHAnsi" w:hAnsiTheme="minorHAnsi" w:cstheme="minorHAnsi"/>
                <w:sz w:val="24"/>
                <w:szCs w:val="24"/>
              </w:rPr>
              <w:t xml:space="preserve">Appui à la Promotion du maraîchage </w:t>
            </w:r>
          </w:p>
        </w:tc>
      </w:tr>
      <w:tr w:rsidR="00A47DEE" w:rsidRPr="00F468F7" w14:paraId="338FDC10" w14:textId="77777777" w:rsidTr="00EE0E23">
        <w:trPr>
          <w:cnfStyle w:val="000000010000" w:firstRow="0" w:lastRow="0" w:firstColumn="0" w:lastColumn="0" w:oddVBand="0" w:evenVBand="0" w:oddHBand="0" w:evenHBand="1"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1FE82BAB" w14:textId="77777777" w:rsidR="00A47DEE" w:rsidRPr="00F468F7" w:rsidRDefault="00A47DEE" w:rsidP="00EE0E23">
            <w:pPr>
              <w:rPr>
                <w:rFonts w:asciiTheme="minorHAnsi"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DFFA3E" w14:textId="77777777" w:rsidR="00A47DEE" w:rsidRPr="00F468F7" w:rsidRDefault="00A47DEE" w:rsidP="00A47DEE">
            <w:pPr>
              <w:pStyle w:val="Paragraphedeliste"/>
              <w:numPr>
                <w:ilvl w:val="0"/>
                <w:numId w:val="376"/>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4"/>
                <w:szCs w:val="24"/>
              </w:rPr>
            </w:pPr>
            <w:r w:rsidRPr="00F468F7">
              <w:rPr>
                <w:rFonts w:asciiTheme="minorHAnsi" w:hAnsiTheme="minorHAnsi" w:cstheme="minorHAnsi"/>
                <w:sz w:val="24"/>
                <w:szCs w:val="24"/>
              </w:rPr>
              <w:t xml:space="preserve">Intensification des cultures irriguées </w:t>
            </w:r>
          </w:p>
        </w:tc>
      </w:tr>
      <w:tr w:rsidR="00A47DEE" w:rsidRPr="00F468F7" w14:paraId="357ABC3F" w14:textId="77777777" w:rsidTr="00EE0E23">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30FA2CDA" w14:textId="77777777" w:rsidR="00A47DEE" w:rsidRPr="00F468F7" w:rsidRDefault="00A47DEE" w:rsidP="00EE0E23">
            <w:pPr>
              <w:rPr>
                <w:rFonts w:asciiTheme="minorHAnsi"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977546" w14:textId="77777777" w:rsidR="00A47DEE" w:rsidRPr="00F468F7" w:rsidRDefault="00A47DEE" w:rsidP="00A47DEE">
            <w:pPr>
              <w:pStyle w:val="Paragraphedeliste"/>
              <w:numPr>
                <w:ilvl w:val="0"/>
                <w:numId w:val="37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F468F7">
              <w:rPr>
                <w:rFonts w:asciiTheme="minorHAnsi" w:hAnsiTheme="minorHAnsi" w:cstheme="minorHAnsi"/>
                <w:sz w:val="24"/>
                <w:szCs w:val="24"/>
              </w:rPr>
              <w:t xml:space="preserve">Développement des périmètres irrigués villageois </w:t>
            </w:r>
          </w:p>
        </w:tc>
      </w:tr>
      <w:tr w:rsidR="00A47DEE" w:rsidRPr="00F468F7" w14:paraId="05EB311E" w14:textId="77777777" w:rsidTr="00EE0E23">
        <w:trPr>
          <w:cnfStyle w:val="000000010000" w:firstRow="0" w:lastRow="0" w:firstColumn="0" w:lastColumn="0" w:oddVBand="0" w:evenVBand="0" w:oddHBand="0" w:evenHBand="1"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4094911B" w14:textId="77777777" w:rsidR="00A47DEE" w:rsidRPr="00F468F7" w:rsidRDefault="00A47DEE" w:rsidP="00EE0E23">
            <w:pPr>
              <w:rPr>
                <w:rFonts w:asciiTheme="minorHAnsi"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8F98F2" w14:textId="77777777" w:rsidR="00A47DEE" w:rsidRPr="00F468F7" w:rsidRDefault="00A47DEE" w:rsidP="00A47DEE">
            <w:pPr>
              <w:pStyle w:val="Paragraphedeliste"/>
              <w:numPr>
                <w:ilvl w:val="0"/>
                <w:numId w:val="376"/>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4"/>
                <w:szCs w:val="24"/>
              </w:rPr>
            </w:pPr>
            <w:r w:rsidRPr="00F468F7">
              <w:rPr>
                <w:rFonts w:asciiTheme="minorHAnsi" w:hAnsiTheme="minorHAnsi" w:cstheme="minorHAnsi"/>
                <w:sz w:val="24"/>
                <w:szCs w:val="24"/>
              </w:rPr>
              <w:t xml:space="preserve">Restauration et sauvegarde des palmeraies menacées par les impacts des CC </w:t>
            </w:r>
          </w:p>
        </w:tc>
      </w:tr>
      <w:tr w:rsidR="00A47DEE" w:rsidRPr="00F468F7" w14:paraId="3C127D38" w14:textId="77777777" w:rsidTr="00EE0E23">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2AC7FE07" w14:textId="77777777" w:rsidR="00A47DEE" w:rsidRPr="00F468F7" w:rsidRDefault="00A47DEE" w:rsidP="00EE0E23">
            <w:pPr>
              <w:rPr>
                <w:rFonts w:asciiTheme="minorHAnsi"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6919E0" w14:textId="77777777" w:rsidR="00A47DEE" w:rsidRPr="00F468F7" w:rsidRDefault="00A47DEE" w:rsidP="00A47DEE">
            <w:pPr>
              <w:pStyle w:val="Paragraphedeliste"/>
              <w:numPr>
                <w:ilvl w:val="0"/>
                <w:numId w:val="37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F468F7">
              <w:rPr>
                <w:rFonts w:asciiTheme="minorHAnsi" w:hAnsiTheme="minorHAnsi" w:cstheme="minorHAnsi"/>
                <w:sz w:val="24"/>
                <w:szCs w:val="24"/>
              </w:rPr>
              <w:t>Promotion de la mécanisation agricole adaptée aux différents systèmes de production.</w:t>
            </w:r>
          </w:p>
        </w:tc>
      </w:tr>
      <w:tr w:rsidR="00A47DEE" w:rsidRPr="00F468F7" w14:paraId="341D2C91" w14:textId="77777777" w:rsidTr="00EE0E23">
        <w:trPr>
          <w:cnfStyle w:val="000000010000" w:firstRow="0" w:lastRow="0" w:firstColumn="0" w:lastColumn="0" w:oddVBand="0" w:evenVBand="0" w:oddHBand="0" w:evenHBand="1"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2C5A94D4" w14:textId="77777777" w:rsidR="00A47DEE" w:rsidRPr="00F468F7" w:rsidRDefault="00A47DEE" w:rsidP="00EE0E23">
            <w:pPr>
              <w:rPr>
                <w:rFonts w:asciiTheme="minorHAnsi"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0C476F" w14:textId="77777777" w:rsidR="00A47DEE" w:rsidRPr="00F468F7" w:rsidRDefault="00A47DEE" w:rsidP="00A47DEE">
            <w:pPr>
              <w:pStyle w:val="Paragraphedeliste"/>
              <w:numPr>
                <w:ilvl w:val="0"/>
                <w:numId w:val="376"/>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4"/>
                <w:szCs w:val="24"/>
              </w:rPr>
            </w:pPr>
            <w:r w:rsidRPr="00F468F7">
              <w:rPr>
                <w:rFonts w:asciiTheme="minorHAnsi" w:hAnsiTheme="minorHAnsi" w:cstheme="minorHAnsi"/>
                <w:sz w:val="24"/>
                <w:szCs w:val="24"/>
              </w:rPr>
              <w:t>Lutte alternative contre les ennemis des cultures et les adventices.</w:t>
            </w:r>
          </w:p>
        </w:tc>
      </w:tr>
      <w:tr w:rsidR="00A47DEE" w:rsidRPr="00F468F7" w14:paraId="47233770" w14:textId="77777777" w:rsidTr="00EE0E23">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436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4375D7" w14:textId="77777777" w:rsidR="00A47DEE" w:rsidRPr="00F468F7" w:rsidRDefault="00A47DEE" w:rsidP="00EE0E23">
            <w:pPr>
              <w:rPr>
                <w:rFonts w:asciiTheme="minorHAnsi" w:hAnsiTheme="minorHAnsi" w:cstheme="minorHAnsi" w:hint="default"/>
                <w:b w:val="0"/>
                <w:bCs w:val="0"/>
                <w:sz w:val="24"/>
                <w:szCs w:val="24"/>
              </w:rPr>
            </w:pPr>
            <w:r w:rsidRPr="00F468F7">
              <w:rPr>
                <w:rFonts w:asciiTheme="minorHAnsi" w:hAnsiTheme="minorHAnsi" w:cstheme="minorHAnsi" w:hint="default"/>
                <w:sz w:val="24"/>
                <w:szCs w:val="24"/>
              </w:rPr>
              <w:t>Prévention et gestion des risques agricoles</w:t>
            </w:r>
          </w:p>
        </w:tc>
        <w:tc>
          <w:tcPr>
            <w:tcW w:w="106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0C97AA" w14:textId="77777777" w:rsidR="00A47DEE" w:rsidRPr="00F468F7" w:rsidRDefault="00A47DEE" w:rsidP="00A47DEE">
            <w:pPr>
              <w:pStyle w:val="Paragraphedeliste"/>
              <w:numPr>
                <w:ilvl w:val="0"/>
                <w:numId w:val="37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F468F7">
              <w:rPr>
                <w:rFonts w:asciiTheme="minorHAnsi" w:hAnsiTheme="minorHAnsi" w:cstheme="minorHAnsi"/>
                <w:sz w:val="24"/>
                <w:szCs w:val="24"/>
              </w:rPr>
              <w:t>Mise en place d’un système d’assurance des agriculteurs contre les risques agro-climatiques</w:t>
            </w:r>
          </w:p>
        </w:tc>
      </w:tr>
      <w:tr w:rsidR="00A47DEE" w:rsidRPr="00F468F7" w14:paraId="4F8CA484" w14:textId="77777777" w:rsidTr="00EE0E23">
        <w:trPr>
          <w:cnfStyle w:val="000000010000" w:firstRow="0" w:lastRow="0" w:firstColumn="0" w:lastColumn="0" w:oddVBand="0" w:evenVBand="0" w:oddHBand="0" w:evenHBand="1"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12A5FF" w14:textId="77777777" w:rsidR="00A47DEE" w:rsidRPr="00F468F7" w:rsidRDefault="00A47DEE" w:rsidP="00EE0E23">
            <w:pPr>
              <w:rPr>
                <w:rFonts w:asciiTheme="minorHAnsi"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76E71A" w14:textId="77777777" w:rsidR="00A47DEE" w:rsidRPr="00F468F7" w:rsidRDefault="00A47DEE" w:rsidP="00A47DEE">
            <w:pPr>
              <w:pStyle w:val="Paragraphedeliste"/>
              <w:numPr>
                <w:ilvl w:val="0"/>
                <w:numId w:val="377"/>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4"/>
                <w:szCs w:val="24"/>
              </w:rPr>
            </w:pPr>
            <w:r w:rsidRPr="00F468F7">
              <w:rPr>
                <w:rFonts w:asciiTheme="minorHAnsi" w:hAnsiTheme="minorHAnsi" w:cstheme="minorHAnsi"/>
                <w:sz w:val="24"/>
                <w:szCs w:val="24"/>
              </w:rPr>
              <w:t>Conception et opérationnalisation d’un système d’alerte précoce / anticipation des risques climatiques</w:t>
            </w:r>
          </w:p>
        </w:tc>
      </w:tr>
      <w:tr w:rsidR="00A47DEE" w:rsidRPr="00F468F7" w14:paraId="112C776B" w14:textId="77777777" w:rsidTr="00EE0E23">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436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1902E26" w14:textId="77777777" w:rsidR="00A47DEE" w:rsidRPr="00F468F7" w:rsidRDefault="00A47DEE" w:rsidP="00EE0E23">
            <w:pPr>
              <w:rPr>
                <w:rFonts w:asciiTheme="minorHAnsi" w:hAnsiTheme="minorHAnsi" w:cstheme="minorHAnsi" w:hint="default"/>
                <w:b w:val="0"/>
                <w:bCs w:val="0"/>
                <w:sz w:val="24"/>
                <w:szCs w:val="24"/>
              </w:rPr>
            </w:pPr>
            <w:r w:rsidRPr="00F468F7">
              <w:rPr>
                <w:rFonts w:asciiTheme="minorHAnsi" w:hAnsiTheme="minorHAnsi" w:cstheme="minorHAnsi" w:hint="default"/>
                <w:sz w:val="24"/>
                <w:szCs w:val="24"/>
              </w:rPr>
              <w:t>Promotion de la gestion durable des terres agricoles</w:t>
            </w: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474B9B" w14:textId="77777777" w:rsidR="00A47DEE" w:rsidRPr="00F468F7" w:rsidRDefault="00A47DEE" w:rsidP="00A47DEE">
            <w:pPr>
              <w:pStyle w:val="Paragraphedeliste"/>
              <w:numPr>
                <w:ilvl w:val="0"/>
                <w:numId w:val="37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F468F7">
              <w:rPr>
                <w:rFonts w:asciiTheme="minorHAnsi" w:hAnsiTheme="minorHAnsi" w:cstheme="minorHAnsi"/>
                <w:sz w:val="24"/>
                <w:szCs w:val="24"/>
              </w:rPr>
              <w:t>Restauration de la fertilité des terres agricoles et neutralisation de leur dégradation (NDT/LDN)</w:t>
            </w:r>
          </w:p>
        </w:tc>
      </w:tr>
      <w:tr w:rsidR="00A47DEE" w:rsidRPr="00F468F7" w14:paraId="47E09786" w14:textId="77777777" w:rsidTr="00EE0E23">
        <w:trPr>
          <w:cnfStyle w:val="000000010000" w:firstRow="0" w:lastRow="0" w:firstColumn="0" w:lastColumn="0" w:oddVBand="0" w:evenVBand="0" w:oddHBand="0" w:evenHBand="1"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71EDEBF4" w14:textId="77777777" w:rsidR="00A47DEE" w:rsidRPr="00F468F7" w:rsidRDefault="00A47DEE" w:rsidP="00EE0E23">
            <w:pPr>
              <w:rPr>
                <w:rFonts w:asciiTheme="minorHAnsi"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81F6A9" w14:textId="77777777" w:rsidR="00A47DEE" w:rsidRPr="00F468F7" w:rsidRDefault="00A47DEE" w:rsidP="00A47DEE">
            <w:pPr>
              <w:pStyle w:val="Paragraphedeliste"/>
              <w:numPr>
                <w:ilvl w:val="0"/>
                <w:numId w:val="377"/>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4"/>
                <w:szCs w:val="24"/>
              </w:rPr>
            </w:pPr>
            <w:r w:rsidRPr="00F468F7">
              <w:rPr>
                <w:rFonts w:asciiTheme="minorHAnsi" w:hAnsiTheme="minorHAnsi" w:cstheme="minorHAnsi"/>
                <w:sz w:val="24"/>
                <w:szCs w:val="24"/>
              </w:rPr>
              <w:t>Développement de l'arboriculture fruitière et de l'agroforesterie à base d’espèces autochtones et à usages multiples</w:t>
            </w:r>
          </w:p>
        </w:tc>
      </w:tr>
      <w:tr w:rsidR="00A47DEE" w:rsidRPr="00F468F7" w14:paraId="59AE3506" w14:textId="77777777" w:rsidTr="00EE0E23">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436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21B943" w14:textId="77777777" w:rsidR="00A47DEE" w:rsidRPr="00F468F7" w:rsidRDefault="00A47DEE" w:rsidP="00EE0E23">
            <w:pPr>
              <w:rPr>
                <w:rFonts w:asciiTheme="minorHAnsi" w:hAnsiTheme="minorHAnsi" w:cstheme="minorHAnsi" w:hint="default"/>
                <w:b w:val="0"/>
                <w:bCs w:val="0"/>
                <w:sz w:val="24"/>
                <w:szCs w:val="24"/>
              </w:rPr>
            </w:pPr>
            <w:r w:rsidRPr="00F468F7">
              <w:rPr>
                <w:rFonts w:asciiTheme="minorHAnsi" w:hAnsiTheme="minorHAnsi" w:cstheme="minorHAnsi" w:hint="default"/>
                <w:sz w:val="24"/>
                <w:szCs w:val="24"/>
              </w:rPr>
              <w:t>Mobilisation et valorisation des eaux agricoles</w:t>
            </w:r>
          </w:p>
        </w:tc>
        <w:tc>
          <w:tcPr>
            <w:tcW w:w="106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CD010D" w14:textId="77777777" w:rsidR="00A47DEE" w:rsidRPr="00F468F7" w:rsidRDefault="00A47DEE" w:rsidP="00A47DEE">
            <w:pPr>
              <w:pStyle w:val="Paragraphedeliste"/>
              <w:numPr>
                <w:ilvl w:val="0"/>
                <w:numId w:val="37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F468F7">
              <w:rPr>
                <w:rFonts w:asciiTheme="minorHAnsi" w:hAnsiTheme="minorHAnsi" w:cstheme="minorHAnsi"/>
                <w:sz w:val="24"/>
                <w:szCs w:val="24"/>
              </w:rPr>
              <w:t xml:space="preserve">Collecte et valorisation des eaux pluviales et de ruissellement </w:t>
            </w:r>
          </w:p>
        </w:tc>
      </w:tr>
      <w:tr w:rsidR="00A47DEE" w:rsidRPr="00F468F7" w14:paraId="21587A70" w14:textId="77777777" w:rsidTr="00EE0E23">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36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351733" w14:textId="77777777" w:rsidR="00A47DEE" w:rsidRPr="00F468F7" w:rsidRDefault="00A47DEE" w:rsidP="00EE0E23">
            <w:pPr>
              <w:rPr>
                <w:rFonts w:asciiTheme="minorHAnsi" w:hAnsiTheme="minorHAnsi" w:cstheme="minorHAnsi" w:hint="default"/>
                <w:b w:val="0"/>
                <w:bCs w:val="0"/>
                <w:sz w:val="24"/>
                <w:szCs w:val="24"/>
              </w:rPr>
            </w:pPr>
          </w:p>
        </w:tc>
        <w:tc>
          <w:tcPr>
            <w:tcW w:w="106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C7C836" w14:textId="77777777" w:rsidR="00A47DEE" w:rsidRPr="00F468F7" w:rsidRDefault="00A47DEE" w:rsidP="00A47DEE">
            <w:pPr>
              <w:pStyle w:val="Paragraphedeliste"/>
              <w:numPr>
                <w:ilvl w:val="0"/>
                <w:numId w:val="377"/>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4"/>
                <w:szCs w:val="24"/>
              </w:rPr>
            </w:pPr>
            <w:r w:rsidRPr="00F468F7">
              <w:rPr>
                <w:rFonts w:asciiTheme="minorHAnsi" w:hAnsiTheme="minorHAnsi" w:cstheme="minorHAnsi"/>
                <w:sz w:val="24"/>
                <w:szCs w:val="24"/>
              </w:rPr>
              <w:t>Développement de la micro-irrigation et l'utilisation de l'exhaure solaire</w:t>
            </w:r>
          </w:p>
        </w:tc>
      </w:tr>
    </w:tbl>
    <w:p w14:paraId="5A5DE4B7" w14:textId="77777777" w:rsidR="00A47DEE" w:rsidRPr="00F468F7" w:rsidRDefault="00A47DEE" w:rsidP="00A47DEE">
      <w:pPr>
        <w:rPr>
          <w:rFonts w:cstheme="minorHAnsi"/>
        </w:rPr>
        <w:sectPr w:rsidR="00A47DEE" w:rsidRPr="00F468F7" w:rsidSect="00A47DEE">
          <w:pgSz w:w="16838" w:h="11906" w:orient="landscape"/>
          <w:pgMar w:top="1418" w:right="678" w:bottom="1418" w:left="851" w:header="709" w:footer="709" w:gutter="0"/>
          <w:cols w:space="720"/>
        </w:sectPr>
      </w:pPr>
    </w:p>
    <w:p w14:paraId="5F1C2C00" w14:textId="77777777" w:rsidR="00A47DEE" w:rsidRPr="0065441C" w:rsidRDefault="00A47DEE" w:rsidP="00A47DEE">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after="240"/>
        <w:ind w:right="-569"/>
        <w:rPr>
          <w:rFonts w:asciiTheme="minorHAnsi" w:hAnsiTheme="minorHAnsi" w:cstheme="minorHAnsi"/>
          <w:b/>
          <w:bCs/>
          <w:color w:val="FFFFFF" w:themeColor="background1"/>
          <w:sz w:val="24"/>
          <w:szCs w:val="24"/>
        </w:rPr>
      </w:pPr>
      <w:bookmarkStart w:id="355" w:name="_Toc71451579"/>
      <w:bookmarkStart w:id="356" w:name="_Toc71451985"/>
      <w:bookmarkStart w:id="357" w:name="_Toc79351780"/>
      <w:bookmarkStart w:id="358" w:name="_Toc179577370"/>
      <w:bookmarkStart w:id="359" w:name="_Toc45914768"/>
      <w:bookmarkStart w:id="360" w:name="_Toc51580747"/>
      <w:r w:rsidRPr="0065441C">
        <w:rPr>
          <w:rFonts w:asciiTheme="minorHAnsi" w:hAnsiTheme="minorHAnsi" w:cstheme="minorHAnsi"/>
          <w:b/>
          <w:bCs/>
          <w:color w:val="FFFFFF" w:themeColor="background1"/>
          <w:sz w:val="24"/>
          <w:szCs w:val="24"/>
        </w:rPr>
        <w:t>PARTIE V : OBSTACLES ET LACUNES AYANT TRAIT A LA MISE EN ŒUVRE DE L’ADAPTATION</w:t>
      </w:r>
      <w:bookmarkEnd w:id="355"/>
      <w:bookmarkEnd w:id="356"/>
      <w:bookmarkEnd w:id="357"/>
      <w:bookmarkEnd w:id="358"/>
    </w:p>
    <w:p w14:paraId="56D0EEF0" w14:textId="77777777" w:rsidR="00A47DEE" w:rsidRPr="00FF56CA" w:rsidRDefault="00A47DEE" w:rsidP="00A47DEE">
      <w:pPr>
        <w:spacing w:after="0"/>
        <w:ind w:firstLine="142"/>
        <w:rPr>
          <w:rFonts w:eastAsia="Calibri" w:cstheme="minorHAnsi"/>
          <w:b/>
          <w:bCs/>
          <w:u w:val="single"/>
        </w:rPr>
      </w:pPr>
      <w:bookmarkStart w:id="361" w:name="_Toc72187126"/>
      <w:bookmarkStart w:id="362" w:name="_Toc73051259"/>
      <w:r w:rsidRPr="00FF56CA">
        <w:rPr>
          <w:rFonts w:eastAsia="Calibri" w:cstheme="minorHAnsi"/>
          <w:b/>
          <w:bCs/>
          <w:u w:val="single"/>
        </w:rPr>
        <w:t xml:space="preserve">  Plusieurs obstacles et lacunes peuvent être signalés :</w:t>
      </w:r>
    </w:p>
    <w:p w14:paraId="286B5F74" w14:textId="77777777" w:rsidR="00A47DEE" w:rsidRPr="00FF56CA" w:rsidRDefault="00A47DEE" w:rsidP="00A47DEE">
      <w:pPr>
        <w:pStyle w:val="Paragraphedeliste"/>
        <w:keepNext/>
        <w:keepLines/>
        <w:numPr>
          <w:ilvl w:val="2"/>
          <w:numId w:val="385"/>
        </w:numPr>
        <w:tabs>
          <w:tab w:val="left" w:pos="284"/>
          <w:tab w:val="left" w:pos="1134"/>
        </w:tabs>
        <w:spacing w:before="200" w:after="0" w:line="276" w:lineRule="auto"/>
        <w:jc w:val="lowKashida"/>
        <w:outlineLvl w:val="3"/>
        <w:rPr>
          <w:rFonts w:eastAsia="Calibri" w:cstheme="minorHAnsi"/>
          <w:b/>
          <w:bCs/>
          <w:color w:val="0070C0"/>
        </w:rPr>
      </w:pPr>
      <w:bookmarkStart w:id="363" w:name="_Toc79351781"/>
      <w:r w:rsidRPr="00FF56CA">
        <w:rPr>
          <w:rFonts w:eastAsia="Calibri" w:cstheme="minorHAnsi"/>
          <w:b/>
          <w:bCs/>
          <w:color w:val="0070C0"/>
        </w:rPr>
        <w:t xml:space="preserve"> </w:t>
      </w:r>
      <w:bookmarkStart w:id="364" w:name="_Toc179577371"/>
      <w:r w:rsidRPr="00FF56CA">
        <w:rPr>
          <w:rFonts w:eastAsia="Calibri" w:cstheme="minorHAnsi"/>
          <w:b/>
          <w:bCs/>
          <w:color w:val="0070C0"/>
        </w:rPr>
        <w:t>Obstacles et lacunes au plan institutionnel, règlementaire et politiques</w:t>
      </w:r>
      <w:bookmarkEnd w:id="363"/>
      <w:bookmarkEnd w:id="364"/>
    </w:p>
    <w:p w14:paraId="3A39BF0E" w14:textId="77777777" w:rsidR="00A47DEE" w:rsidRPr="00FF56CA" w:rsidRDefault="00A47DEE" w:rsidP="00A47DEE">
      <w:pPr>
        <w:numPr>
          <w:ilvl w:val="0"/>
          <w:numId w:val="367"/>
        </w:numPr>
        <w:autoSpaceDE w:val="0"/>
        <w:autoSpaceDN w:val="0"/>
        <w:adjustRightInd w:val="0"/>
        <w:spacing w:after="120" w:line="276" w:lineRule="auto"/>
        <w:ind w:left="426" w:hanging="284"/>
        <w:contextualSpacing/>
        <w:jc w:val="both"/>
        <w:rPr>
          <w:rFonts w:eastAsia="Calibri" w:cstheme="minorHAnsi"/>
          <w:color w:val="000000"/>
        </w:rPr>
      </w:pPr>
      <w:r w:rsidRPr="00FF56CA">
        <w:rPr>
          <w:rFonts w:eastAsia="Calibri" w:cstheme="minorHAnsi"/>
          <w:color w:val="000000"/>
        </w:rPr>
        <w:t>L’insuffisante prise en compte des questions relatives aux risques climatiques futures dans les stratégies du secteur agricole (Prédiction agro météorologique des rendements céréaliers) ;</w:t>
      </w:r>
    </w:p>
    <w:p w14:paraId="546354BA" w14:textId="77777777" w:rsidR="00A47DEE" w:rsidRPr="00FF56CA" w:rsidRDefault="00A47DEE" w:rsidP="00A47DEE">
      <w:pPr>
        <w:numPr>
          <w:ilvl w:val="0"/>
          <w:numId w:val="367"/>
        </w:numPr>
        <w:autoSpaceDE w:val="0"/>
        <w:autoSpaceDN w:val="0"/>
        <w:adjustRightInd w:val="0"/>
        <w:spacing w:after="120" w:line="276" w:lineRule="auto"/>
        <w:ind w:left="426" w:hanging="284"/>
        <w:contextualSpacing/>
        <w:jc w:val="both"/>
        <w:rPr>
          <w:rFonts w:eastAsia="Calibri" w:cstheme="minorHAnsi"/>
          <w:color w:val="000000"/>
        </w:rPr>
      </w:pPr>
      <w:r w:rsidRPr="00FF56CA">
        <w:rPr>
          <w:rFonts w:eastAsia="Calibri" w:cstheme="minorHAnsi"/>
          <w:color w:val="000000"/>
        </w:rPr>
        <w:t xml:space="preserve">Les impacts des risques agro-climatiques futurs ne sont pas toujours pris en compte dans les coûts d'investissements, particulièrement les investissements à long terme ; </w:t>
      </w:r>
    </w:p>
    <w:p w14:paraId="01B638D8" w14:textId="77777777" w:rsidR="00A47DEE" w:rsidRPr="00FF56CA" w:rsidRDefault="00A47DEE" w:rsidP="00A47DEE">
      <w:pPr>
        <w:pStyle w:val="Paragraphedeliste"/>
        <w:keepNext/>
        <w:keepLines/>
        <w:numPr>
          <w:ilvl w:val="2"/>
          <w:numId w:val="385"/>
        </w:numPr>
        <w:tabs>
          <w:tab w:val="left" w:pos="284"/>
          <w:tab w:val="left" w:pos="1134"/>
        </w:tabs>
        <w:spacing w:before="200" w:after="0" w:line="276" w:lineRule="auto"/>
        <w:jc w:val="lowKashida"/>
        <w:outlineLvl w:val="3"/>
        <w:rPr>
          <w:rFonts w:eastAsia="Calibri" w:cstheme="minorHAnsi"/>
          <w:b/>
          <w:bCs/>
          <w:color w:val="0070C0"/>
        </w:rPr>
      </w:pPr>
      <w:bookmarkStart w:id="365" w:name="_Toc79351782"/>
      <w:bookmarkStart w:id="366" w:name="_Toc179577372"/>
      <w:r w:rsidRPr="00FF56CA">
        <w:rPr>
          <w:rFonts w:eastAsia="Calibri" w:cstheme="minorHAnsi"/>
          <w:b/>
          <w:bCs/>
          <w:color w:val="0070C0"/>
        </w:rPr>
        <w:t>Obstacles Lacunes en matière de capacités humaines</w:t>
      </w:r>
      <w:bookmarkEnd w:id="365"/>
      <w:bookmarkEnd w:id="366"/>
    </w:p>
    <w:p w14:paraId="46AF5EB5" w14:textId="77777777" w:rsidR="00A47DEE" w:rsidRPr="00FF56CA" w:rsidRDefault="00A47DEE" w:rsidP="00A47DEE">
      <w:pPr>
        <w:numPr>
          <w:ilvl w:val="0"/>
          <w:numId w:val="367"/>
        </w:numPr>
        <w:autoSpaceDE w:val="0"/>
        <w:autoSpaceDN w:val="0"/>
        <w:adjustRightInd w:val="0"/>
        <w:spacing w:after="120" w:line="276" w:lineRule="auto"/>
        <w:ind w:left="426" w:hanging="284"/>
        <w:contextualSpacing/>
        <w:jc w:val="both"/>
        <w:rPr>
          <w:rFonts w:eastAsia="Calibri" w:cstheme="minorHAnsi"/>
          <w:color w:val="000000"/>
        </w:rPr>
      </w:pPr>
      <w:r w:rsidRPr="00FF56CA">
        <w:rPr>
          <w:rFonts w:eastAsia="Calibri" w:cstheme="minorHAnsi"/>
          <w:color w:val="000000"/>
        </w:rPr>
        <w:t xml:space="preserve">L’absence d’un dispositif de formation et de perfectionnement du personnel. </w:t>
      </w:r>
    </w:p>
    <w:p w14:paraId="50D10DFD" w14:textId="77777777" w:rsidR="00A47DEE" w:rsidRPr="00FF56CA" w:rsidRDefault="00A47DEE" w:rsidP="00A47DEE">
      <w:pPr>
        <w:numPr>
          <w:ilvl w:val="0"/>
          <w:numId w:val="367"/>
        </w:numPr>
        <w:autoSpaceDE w:val="0"/>
        <w:autoSpaceDN w:val="0"/>
        <w:adjustRightInd w:val="0"/>
        <w:spacing w:after="120" w:line="276" w:lineRule="auto"/>
        <w:ind w:left="426" w:hanging="284"/>
        <w:contextualSpacing/>
        <w:jc w:val="both"/>
        <w:rPr>
          <w:rFonts w:eastAsia="Calibri" w:cstheme="minorHAnsi"/>
          <w:color w:val="000000"/>
        </w:rPr>
      </w:pPr>
      <w:r w:rsidRPr="00FF56CA">
        <w:rPr>
          <w:rFonts w:eastAsia="Calibri" w:cstheme="minorHAnsi"/>
          <w:color w:val="000000"/>
        </w:rPr>
        <w:t xml:space="preserve">L’hémorragie quasi-permanente de cadres expérimentés. </w:t>
      </w:r>
    </w:p>
    <w:p w14:paraId="7F127148" w14:textId="77777777" w:rsidR="00A47DEE" w:rsidRPr="00FF56CA" w:rsidRDefault="00A47DEE" w:rsidP="00A47DEE">
      <w:pPr>
        <w:pStyle w:val="Paragraphedeliste"/>
        <w:keepNext/>
        <w:keepLines/>
        <w:numPr>
          <w:ilvl w:val="2"/>
          <w:numId w:val="385"/>
        </w:numPr>
        <w:tabs>
          <w:tab w:val="left" w:pos="284"/>
          <w:tab w:val="left" w:pos="1134"/>
        </w:tabs>
        <w:spacing w:before="200" w:after="0" w:line="276" w:lineRule="auto"/>
        <w:jc w:val="lowKashida"/>
        <w:outlineLvl w:val="3"/>
        <w:rPr>
          <w:rFonts w:eastAsia="Calibri" w:cstheme="minorHAnsi"/>
          <w:b/>
          <w:bCs/>
          <w:color w:val="0070C0"/>
        </w:rPr>
      </w:pPr>
      <w:bookmarkStart w:id="367" w:name="_Toc79351783"/>
      <w:bookmarkStart w:id="368" w:name="_Toc179577373"/>
      <w:r w:rsidRPr="00FF56CA">
        <w:rPr>
          <w:rFonts w:eastAsia="Calibri" w:cstheme="minorHAnsi"/>
          <w:b/>
          <w:bCs/>
          <w:color w:val="0070C0"/>
        </w:rPr>
        <w:t>Lacunes et besoins en matière de transfert de technologie d’adaptation</w:t>
      </w:r>
      <w:bookmarkEnd w:id="367"/>
      <w:bookmarkEnd w:id="368"/>
    </w:p>
    <w:p w14:paraId="0190D736" w14:textId="77777777" w:rsidR="00A47DEE" w:rsidRPr="00FF56CA" w:rsidRDefault="00A47DEE" w:rsidP="00A47DEE">
      <w:pPr>
        <w:numPr>
          <w:ilvl w:val="0"/>
          <w:numId w:val="367"/>
        </w:numPr>
        <w:autoSpaceDE w:val="0"/>
        <w:autoSpaceDN w:val="0"/>
        <w:adjustRightInd w:val="0"/>
        <w:spacing w:after="120" w:line="276" w:lineRule="auto"/>
        <w:ind w:left="426" w:hanging="284"/>
        <w:contextualSpacing/>
        <w:jc w:val="both"/>
        <w:rPr>
          <w:rFonts w:eastAsia="Calibri" w:cstheme="minorHAnsi"/>
          <w:color w:val="000000"/>
        </w:rPr>
      </w:pPr>
      <w:r w:rsidRPr="00FF56CA">
        <w:rPr>
          <w:rFonts w:eastAsia="Calibri" w:cstheme="minorHAnsi"/>
          <w:color w:val="000000"/>
        </w:rPr>
        <w:t>Faiblesse des investissements pour la recherche, la formation et le transfert des technologies d’adaptation.</w:t>
      </w:r>
    </w:p>
    <w:p w14:paraId="2C9CF66E" w14:textId="77777777" w:rsidR="00A47DEE" w:rsidRPr="00FF56CA" w:rsidRDefault="00A47DEE" w:rsidP="00A47DEE">
      <w:pPr>
        <w:numPr>
          <w:ilvl w:val="0"/>
          <w:numId w:val="367"/>
        </w:numPr>
        <w:autoSpaceDE w:val="0"/>
        <w:autoSpaceDN w:val="0"/>
        <w:adjustRightInd w:val="0"/>
        <w:spacing w:after="120" w:line="276" w:lineRule="auto"/>
        <w:ind w:left="426" w:hanging="284"/>
        <w:contextualSpacing/>
        <w:jc w:val="both"/>
        <w:rPr>
          <w:rFonts w:eastAsia="Calibri" w:cstheme="minorHAnsi"/>
          <w:color w:val="000000"/>
        </w:rPr>
      </w:pPr>
      <w:r w:rsidRPr="00FF56CA">
        <w:rPr>
          <w:rFonts w:eastAsia="Calibri" w:cstheme="minorHAnsi"/>
          <w:color w:val="000000"/>
        </w:rPr>
        <w:t xml:space="preserve">Au plan technologique, on note un retard ou une insuffisance d’utilisation ou d’adoption des Technologies d’Adaptation Prioritaire (EBT). </w:t>
      </w:r>
    </w:p>
    <w:p w14:paraId="1CA69C34" w14:textId="77777777" w:rsidR="00A47DEE" w:rsidRPr="00FF56CA" w:rsidRDefault="00A47DEE" w:rsidP="00A47DEE">
      <w:pPr>
        <w:pStyle w:val="Paragraphedeliste"/>
        <w:keepNext/>
        <w:keepLines/>
        <w:numPr>
          <w:ilvl w:val="2"/>
          <w:numId w:val="385"/>
        </w:numPr>
        <w:tabs>
          <w:tab w:val="left" w:pos="284"/>
          <w:tab w:val="left" w:pos="1134"/>
        </w:tabs>
        <w:spacing w:before="200" w:after="0" w:line="276" w:lineRule="auto"/>
        <w:jc w:val="lowKashida"/>
        <w:outlineLvl w:val="3"/>
        <w:rPr>
          <w:rFonts w:eastAsia="Calibri" w:cstheme="minorHAnsi"/>
          <w:b/>
          <w:bCs/>
          <w:color w:val="0070C0"/>
        </w:rPr>
      </w:pPr>
      <w:bookmarkStart w:id="369" w:name="_Toc79351784"/>
      <w:r w:rsidRPr="00FF56CA">
        <w:rPr>
          <w:rFonts w:eastAsia="Calibri" w:cstheme="minorHAnsi"/>
          <w:b/>
          <w:bCs/>
          <w:color w:val="0070C0"/>
        </w:rPr>
        <w:t xml:space="preserve"> </w:t>
      </w:r>
      <w:bookmarkStart w:id="370" w:name="_Toc179577374"/>
      <w:r w:rsidRPr="00FF56CA">
        <w:rPr>
          <w:rFonts w:eastAsia="Calibri" w:cstheme="minorHAnsi"/>
          <w:b/>
          <w:bCs/>
          <w:color w:val="0070C0"/>
        </w:rPr>
        <w:t>Lacunes et besoin en matière de gestion des risques agricoles liés au climat</w:t>
      </w:r>
      <w:bookmarkEnd w:id="369"/>
      <w:bookmarkEnd w:id="370"/>
    </w:p>
    <w:p w14:paraId="3EC32562" w14:textId="77777777" w:rsidR="00A47DEE" w:rsidRPr="00FF56CA" w:rsidRDefault="00A47DEE" w:rsidP="00A47DEE">
      <w:pPr>
        <w:numPr>
          <w:ilvl w:val="0"/>
          <w:numId w:val="367"/>
        </w:numPr>
        <w:autoSpaceDE w:val="0"/>
        <w:autoSpaceDN w:val="0"/>
        <w:adjustRightInd w:val="0"/>
        <w:spacing w:after="120" w:line="276" w:lineRule="auto"/>
        <w:ind w:left="426" w:hanging="284"/>
        <w:contextualSpacing/>
        <w:jc w:val="both"/>
        <w:rPr>
          <w:rFonts w:eastAsia="Calibri" w:cstheme="minorHAnsi"/>
          <w:color w:val="000000"/>
        </w:rPr>
      </w:pPr>
      <w:r w:rsidRPr="00FF56CA">
        <w:rPr>
          <w:rFonts w:eastAsia="Calibri" w:cstheme="minorHAnsi"/>
          <w:color w:val="000000"/>
        </w:rPr>
        <w:t xml:space="preserve">L’absence de la cartographie du pays (SIG) dans la gestion des risques agro-climatiques. </w:t>
      </w:r>
    </w:p>
    <w:p w14:paraId="5F7E026B" w14:textId="77777777" w:rsidR="00A47DEE" w:rsidRPr="00FF56CA" w:rsidRDefault="00A47DEE" w:rsidP="00A47DEE">
      <w:pPr>
        <w:pStyle w:val="Paragraphedeliste"/>
        <w:keepNext/>
        <w:keepLines/>
        <w:numPr>
          <w:ilvl w:val="2"/>
          <w:numId w:val="385"/>
        </w:numPr>
        <w:tabs>
          <w:tab w:val="left" w:pos="284"/>
          <w:tab w:val="left" w:pos="1134"/>
        </w:tabs>
        <w:spacing w:before="200" w:after="0" w:line="276" w:lineRule="auto"/>
        <w:jc w:val="lowKashida"/>
        <w:outlineLvl w:val="3"/>
        <w:rPr>
          <w:rFonts w:eastAsia="Calibri" w:cstheme="minorHAnsi"/>
          <w:b/>
          <w:bCs/>
          <w:color w:val="0070C0"/>
        </w:rPr>
      </w:pPr>
      <w:bookmarkStart w:id="371" w:name="_Toc73051256"/>
      <w:bookmarkStart w:id="372" w:name="_Toc79351785"/>
      <w:bookmarkStart w:id="373" w:name="_Toc179577375"/>
      <w:bookmarkEnd w:id="361"/>
      <w:bookmarkEnd w:id="362"/>
      <w:r w:rsidRPr="00FF56CA">
        <w:rPr>
          <w:rFonts w:eastAsia="Calibri" w:cstheme="minorHAnsi"/>
          <w:b/>
          <w:bCs/>
          <w:color w:val="0070C0"/>
        </w:rPr>
        <w:t>Lacunes et obstacles à la conception et la planification</w:t>
      </w:r>
      <w:bookmarkEnd w:id="371"/>
      <w:bookmarkEnd w:id="372"/>
      <w:bookmarkEnd w:id="373"/>
    </w:p>
    <w:p w14:paraId="002FB4EB" w14:textId="77777777" w:rsidR="00A47DEE" w:rsidRPr="00FF56CA" w:rsidRDefault="00A47DEE" w:rsidP="00A47DEE">
      <w:pPr>
        <w:numPr>
          <w:ilvl w:val="0"/>
          <w:numId w:val="365"/>
        </w:numPr>
        <w:spacing w:after="120" w:line="276" w:lineRule="auto"/>
        <w:ind w:left="567"/>
        <w:contextualSpacing/>
        <w:jc w:val="both"/>
        <w:rPr>
          <w:rFonts w:eastAsia="Calibri" w:cstheme="minorHAnsi"/>
          <w:color w:val="000000"/>
        </w:rPr>
      </w:pPr>
      <w:r w:rsidRPr="00FF56CA">
        <w:rPr>
          <w:rFonts w:eastAsia="Calibri" w:cstheme="minorHAnsi"/>
          <w:color w:val="000000"/>
        </w:rPr>
        <w:t>La formulation de certains projets et programmes n’est pas souvent en conformité avec les orientations et axes stratégiques des politiques et stratégies, elle est parfois faite sans tenir compte de l’existant, sans concertation et coordination entre les différents partenaires au développement, et conduisant ainsi à un déficit de financement et surtout à un chevauchement d’activités et d’actions parfois dans les mêmes zones d’intervention</w:t>
      </w:r>
    </w:p>
    <w:p w14:paraId="413C3A04" w14:textId="77777777" w:rsidR="00A47DEE" w:rsidRPr="00FF56CA" w:rsidRDefault="00A47DEE" w:rsidP="00A47DEE">
      <w:pPr>
        <w:numPr>
          <w:ilvl w:val="0"/>
          <w:numId w:val="365"/>
        </w:numPr>
        <w:spacing w:after="0" w:line="276" w:lineRule="auto"/>
        <w:ind w:left="567"/>
        <w:contextualSpacing/>
        <w:jc w:val="both"/>
        <w:rPr>
          <w:rFonts w:eastAsia="Calibri" w:cstheme="minorHAnsi"/>
          <w:color w:val="000000"/>
        </w:rPr>
      </w:pPr>
      <w:r w:rsidRPr="00FF56CA">
        <w:rPr>
          <w:rFonts w:eastAsia="Calibri" w:cstheme="minorHAnsi"/>
          <w:color w:val="000000"/>
        </w:rPr>
        <w:t>Faible capacité des acteurs à formuler de projets éligibles particulièrement dans les domaines d’intervention du FEM, GCF et autres fonds climatiques.</w:t>
      </w:r>
    </w:p>
    <w:p w14:paraId="3E8A9075" w14:textId="77777777" w:rsidR="00A47DEE" w:rsidRPr="00FF56CA" w:rsidRDefault="00A47DEE" w:rsidP="00A47DEE">
      <w:pPr>
        <w:numPr>
          <w:ilvl w:val="0"/>
          <w:numId w:val="365"/>
        </w:numPr>
        <w:spacing w:after="120" w:line="276" w:lineRule="auto"/>
        <w:ind w:left="567"/>
        <w:contextualSpacing/>
        <w:jc w:val="both"/>
        <w:rPr>
          <w:rFonts w:eastAsia="Calibri" w:cstheme="minorHAnsi"/>
          <w:color w:val="000000"/>
        </w:rPr>
      </w:pPr>
      <w:r w:rsidRPr="00FF56CA">
        <w:rPr>
          <w:rFonts w:eastAsia="Calibri" w:cstheme="minorHAnsi"/>
          <w:color w:val="000000"/>
        </w:rPr>
        <w:t xml:space="preserve">Les activités retenues au sein des projets et programmes ne sont pas souvent en harmonie avec les objectifs définis par les institutions centrales. </w:t>
      </w:r>
    </w:p>
    <w:p w14:paraId="64D4BB08" w14:textId="77777777" w:rsidR="00A47DEE" w:rsidRPr="00FF56CA" w:rsidRDefault="00A47DEE" w:rsidP="00A47DEE">
      <w:pPr>
        <w:pStyle w:val="Paragraphedeliste"/>
        <w:keepNext/>
        <w:keepLines/>
        <w:numPr>
          <w:ilvl w:val="2"/>
          <w:numId w:val="385"/>
        </w:numPr>
        <w:tabs>
          <w:tab w:val="left" w:pos="284"/>
          <w:tab w:val="left" w:pos="1134"/>
        </w:tabs>
        <w:spacing w:before="200" w:after="0" w:line="276" w:lineRule="auto"/>
        <w:jc w:val="lowKashida"/>
        <w:outlineLvl w:val="3"/>
        <w:rPr>
          <w:rFonts w:eastAsia="Calibri" w:cstheme="minorHAnsi"/>
          <w:b/>
          <w:bCs/>
          <w:color w:val="0070C0"/>
        </w:rPr>
      </w:pPr>
      <w:bookmarkStart w:id="374" w:name="_Toc73051257"/>
      <w:bookmarkStart w:id="375" w:name="_Toc79351786"/>
      <w:bookmarkStart w:id="376" w:name="_Toc179577376"/>
      <w:r w:rsidRPr="00FF56CA">
        <w:rPr>
          <w:rFonts w:eastAsia="Calibri" w:cstheme="minorHAnsi"/>
          <w:b/>
          <w:bCs/>
          <w:color w:val="0070C0"/>
        </w:rPr>
        <w:t>Lacunes et obstacles liés à l'environnement naturel et institutionnel</w:t>
      </w:r>
      <w:bookmarkEnd w:id="374"/>
      <w:bookmarkEnd w:id="375"/>
      <w:bookmarkEnd w:id="376"/>
    </w:p>
    <w:p w14:paraId="50181CA3" w14:textId="77777777" w:rsidR="00A47DEE" w:rsidRPr="00FF56CA" w:rsidRDefault="00A47DEE" w:rsidP="00A47DEE">
      <w:pPr>
        <w:numPr>
          <w:ilvl w:val="0"/>
          <w:numId w:val="365"/>
        </w:numPr>
        <w:spacing w:after="0" w:line="276" w:lineRule="auto"/>
        <w:ind w:left="567"/>
        <w:contextualSpacing/>
        <w:jc w:val="both"/>
        <w:rPr>
          <w:rFonts w:eastAsia="Calibri" w:cstheme="minorHAnsi"/>
          <w:color w:val="000000"/>
        </w:rPr>
      </w:pPr>
      <w:r w:rsidRPr="00FF56CA">
        <w:rPr>
          <w:rFonts w:eastAsia="Calibri" w:cstheme="minorHAnsi"/>
          <w:color w:val="000000"/>
        </w:rPr>
        <w:t>L'accentuation d'un phénomène naturel (sécheresse/pénurie d’eau) peut modifier le contexte du projet et remettre en cause sa faisabilité. Des problèmes techniques liés au milieu naturel, non identifiés initialement, posent parfois de sérieux problèmes en cours de projet. La forte dégradation du milieu naturel dans certaines zones peut induire des coûts financiers dépassant la capacité du projet (Ensablement des zones oasiennes).</w:t>
      </w:r>
    </w:p>
    <w:p w14:paraId="480F8749" w14:textId="77777777" w:rsidR="00A47DEE" w:rsidRPr="00FF56CA" w:rsidRDefault="00A47DEE" w:rsidP="00A47DEE">
      <w:pPr>
        <w:pStyle w:val="Paragraphedeliste"/>
        <w:keepNext/>
        <w:keepLines/>
        <w:numPr>
          <w:ilvl w:val="2"/>
          <w:numId w:val="385"/>
        </w:numPr>
        <w:tabs>
          <w:tab w:val="left" w:pos="284"/>
          <w:tab w:val="left" w:pos="1134"/>
        </w:tabs>
        <w:spacing w:before="200" w:after="0" w:line="276" w:lineRule="auto"/>
        <w:jc w:val="lowKashida"/>
        <w:outlineLvl w:val="3"/>
        <w:rPr>
          <w:rFonts w:eastAsia="Calibri" w:cstheme="minorHAnsi"/>
          <w:b/>
          <w:bCs/>
          <w:color w:val="0070C0"/>
        </w:rPr>
      </w:pPr>
      <w:bookmarkStart w:id="377" w:name="_Toc73051258"/>
      <w:bookmarkStart w:id="378" w:name="_Toc79351787"/>
      <w:bookmarkStart w:id="379" w:name="_Toc179577377"/>
      <w:r w:rsidRPr="00FF56CA">
        <w:rPr>
          <w:rFonts w:eastAsia="Calibri" w:cstheme="minorHAnsi"/>
          <w:b/>
          <w:bCs/>
          <w:color w:val="0070C0"/>
        </w:rPr>
        <w:t>Lacunes et obstacles liés à la mise en œuvre</w:t>
      </w:r>
      <w:bookmarkEnd w:id="377"/>
      <w:bookmarkEnd w:id="378"/>
      <w:bookmarkEnd w:id="379"/>
    </w:p>
    <w:p w14:paraId="16C5CED8" w14:textId="77777777" w:rsidR="00A47DEE" w:rsidRPr="00FF56CA" w:rsidRDefault="00A47DEE" w:rsidP="00A47DEE">
      <w:pPr>
        <w:numPr>
          <w:ilvl w:val="0"/>
          <w:numId w:val="365"/>
        </w:numPr>
        <w:spacing w:after="0" w:line="276" w:lineRule="auto"/>
        <w:ind w:left="567"/>
        <w:contextualSpacing/>
        <w:jc w:val="both"/>
        <w:rPr>
          <w:rFonts w:eastAsia="Calibri" w:cstheme="minorHAnsi"/>
          <w:color w:val="000000"/>
        </w:rPr>
      </w:pPr>
      <w:r w:rsidRPr="00FF56CA">
        <w:rPr>
          <w:rFonts w:eastAsia="Calibri" w:cstheme="minorHAnsi"/>
          <w:color w:val="000000"/>
        </w:rPr>
        <w:t>L’insuffisance du personnel qualifié au niveau des collectivités locales et des ONG.</w:t>
      </w:r>
    </w:p>
    <w:p w14:paraId="3D9CE758" w14:textId="77777777" w:rsidR="00A47DEE" w:rsidRPr="00FF56CA" w:rsidRDefault="00A47DEE" w:rsidP="00A47DEE">
      <w:pPr>
        <w:numPr>
          <w:ilvl w:val="0"/>
          <w:numId w:val="365"/>
        </w:numPr>
        <w:spacing w:after="0" w:line="276" w:lineRule="auto"/>
        <w:ind w:left="567"/>
        <w:contextualSpacing/>
        <w:jc w:val="both"/>
        <w:rPr>
          <w:rFonts w:eastAsia="Calibri" w:cstheme="minorHAnsi"/>
          <w:color w:val="000000"/>
        </w:rPr>
      </w:pPr>
      <w:r w:rsidRPr="00FF56CA">
        <w:rPr>
          <w:rFonts w:eastAsia="Calibri" w:cstheme="minorHAnsi"/>
          <w:color w:val="000000"/>
        </w:rPr>
        <w:t xml:space="preserve">La conduite d’autres activités concernant d’autres aspects (tels que l’hydraulique, l’environnement, la santé …etc.) manquent de relation et de coordination avec les services décentralisés des autres départements concernés. Ainsi cette collaboration pourrait permettre aux collectivités de bénéficier d’un appui multiple dans les différents secteurs, et éviter parfois de mauvaises réalisations par des services non qualifiés. </w:t>
      </w:r>
    </w:p>
    <w:p w14:paraId="4764019F" w14:textId="77777777" w:rsidR="00A47DEE" w:rsidRPr="00FF56CA" w:rsidRDefault="00A47DEE" w:rsidP="00A47DEE">
      <w:pPr>
        <w:pStyle w:val="Paragraphedeliste"/>
        <w:keepNext/>
        <w:keepLines/>
        <w:numPr>
          <w:ilvl w:val="2"/>
          <w:numId w:val="385"/>
        </w:numPr>
        <w:tabs>
          <w:tab w:val="left" w:pos="284"/>
          <w:tab w:val="left" w:pos="1134"/>
        </w:tabs>
        <w:spacing w:before="200" w:after="0" w:line="276" w:lineRule="auto"/>
        <w:jc w:val="lowKashida"/>
        <w:outlineLvl w:val="3"/>
        <w:rPr>
          <w:rFonts w:eastAsia="Calibri" w:cstheme="minorHAnsi"/>
          <w:b/>
          <w:bCs/>
          <w:color w:val="0070C0"/>
        </w:rPr>
      </w:pPr>
      <w:bookmarkStart w:id="380" w:name="_Toc51580733"/>
      <w:bookmarkStart w:id="381" w:name="_Toc79351788"/>
      <w:bookmarkStart w:id="382" w:name="_Toc179577378"/>
      <w:r w:rsidRPr="00FF56CA">
        <w:rPr>
          <w:rFonts w:eastAsia="Calibri" w:cstheme="minorHAnsi"/>
          <w:b/>
          <w:bCs/>
          <w:color w:val="0070C0"/>
        </w:rPr>
        <w:t>Obstacles en matière des données</w:t>
      </w:r>
      <w:bookmarkEnd w:id="380"/>
      <w:r w:rsidRPr="00FF56CA">
        <w:rPr>
          <w:rFonts w:eastAsia="Calibri" w:cstheme="minorHAnsi"/>
          <w:b/>
          <w:bCs/>
          <w:color w:val="0070C0"/>
        </w:rPr>
        <w:t xml:space="preserve"> /Suivi-évaluation et capitalisation</w:t>
      </w:r>
      <w:bookmarkEnd w:id="381"/>
      <w:bookmarkEnd w:id="382"/>
    </w:p>
    <w:p w14:paraId="629F04C1" w14:textId="77777777" w:rsidR="00A47DEE" w:rsidRPr="00FF56CA" w:rsidRDefault="00A47DEE" w:rsidP="00A47DEE">
      <w:pPr>
        <w:numPr>
          <w:ilvl w:val="0"/>
          <w:numId w:val="368"/>
        </w:numPr>
        <w:spacing w:after="0" w:line="276" w:lineRule="auto"/>
        <w:contextualSpacing/>
        <w:jc w:val="both"/>
        <w:rPr>
          <w:rFonts w:eastAsia="Calibri" w:cstheme="minorHAnsi"/>
          <w:color w:val="000000"/>
        </w:rPr>
      </w:pPr>
      <w:r w:rsidRPr="00FF56CA">
        <w:rPr>
          <w:rFonts w:eastAsia="Calibri" w:cstheme="minorHAnsi"/>
          <w:color w:val="000000"/>
        </w:rPr>
        <w:t xml:space="preserve">L’absence de données sur les stratégies paysannes et les initiatives passées ou existantes de lutte contre les phénomènes climatiques extrêmes (sécheresse et inondation). </w:t>
      </w:r>
    </w:p>
    <w:p w14:paraId="098651B5" w14:textId="77777777" w:rsidR="00A47DEE" w:rsidRPr="00FF56CA" w:rsidRDefault="00A47DEE" w:rsidP="00A47DEE">
      <w:pPr>
        <w:numPr>
          <w:ilvl w:val="0"/>
          <w:numId w:val="368"/>
        </w:numPr>
        <w:spacing w:after="0" w:line="276" w:lineRule="auto"/>
        <w:contextualSpacing/>
        <w:jc w:val="both"/>
        <w:rPr>
          <w:rFonts w:eastAsia="Calibri" w:cstheme="minorHAnsi"/>
          <w:color w:val="000000"/>
        </w:rPr>
      </w:pPr>
      <w:r w:rsidRPr="00FF56CA">
        <w:rPr>
          <w:rFonts w:eastAsia="Calibri" w:cstheme="minorHAnsi"/>
          <w:color w:val="000000"/>
        </w:rPr>
        <w:t xml:space="preserve">Le faible niveau de connaissances des ressources agricoles du pays qui ne facilite pas la planification du développement de l’Agriculture par les décideurs et opérateurs nationaux, En effet, le suivi et l'évaluation du secteur agricole se heurtent au manque de données de référence fiables, dû à l’absence d’un recensement général de l’agriculture. </w:t>
      </w:r>
    </w:p>
    <w:p w14:paraId="00F94E52" w14:textId="77777777" w:rsidR="00A47DEE" w:rsidRPr="00FF56CA" w:rsidRDefault="00A47DEE" w:rsidP="00A47DEE">
      <w:pPr>
        <w:numPr>
          <w:ilvl w:val="0"/>
          <w:numId w:val="368"/>
        </w:numPr>
        <w:spacing w:after="0" w:line="276" w:lineRule="auto"/>
        <w:contextualSpacing/>
        <w:jc w:val="both"/>
        <w:rPr>
          <w:rFonts w:eastAsia="Calibri" w:cstheme="minorHAnsi"/>
          <w:color w:val="000000"/>
        </w:rPr>
      </w:pPr>
      <w:r w:rsidRPr="00FF56CA">
        <w:rPr>
          <w:rFonts w:eastAsia="Calibri" w:cstheme="minorHAnsi"/>
          <w:color w:val="000000"/>
        </w:rPr>
        <w:t>Faible capitalisation d'expériences et d'échanges entre les opérateurs/projets.</w:t>
      </w:r>
    </w:p>
    <w:p w14:paraId="773E50CA" w14:textId="77777777" w:rsidR="00A47DEE" w:rsidRPr="00FF56CA" w:rsidRDefault="00A47DEE" w:rsidP="00A47DEE">
      <w:pPr>
        <w:numPr>
          <w:ilvl w:val="0"/>
          <w:numId w:val="368"/>
        </w:numPr>
        <w:spacing w:after="0" w:line="276" w:lineRule="auto"/>
        <w:contextualSpacing/>
        <w:jc w:val="both"/>
        <w:rPr>
          <w:rFonts w:eastAsia="Calibri" w:cstheme="minorHAnsi"/>
          <w:color w:val="000000"/>
        </w:rPr>
      </w:pPr>
      <w:r w:rsidRPr="00FF56CA">
        <w:rPr>
          <w:rFonts w:eastAsia="Calibri" w:cstheme="minorHAnsi"/>
          <w:color w:val="000000"/>
        </w:rPr>
        <w:t>Le faible niveau de connaissances des ressources agricoles du pays qui ne facilite pas la planification du développement de l’Agriculture par les décideurs et opérateurs nationaux.</w:t>
      </w:r>
    </w:p>
    <w:p w14:paraId="2CAE4DA5" w14:textId="77777777" w:rsidR="00A47DEE" w:rsidRPr="00FF56CA" w:rsidRDefault="00A47DEE" w:rsidP="00A47DEE">
      <w:pPr>
        <w:pStyle w:val="Paragraphedeliste"/>
        <w:keepNext/>
        <w:keepLines/>
        <w:numPr>
          <w:ilvl w:val="2"/>
          <w:numId w:val="385"/>
        </w:numPr>
        <w:tabs>
          <w:tab w:val="left" w:pos="284"/>
          <w:tab w:val="left" w:pos="1134"/>
        </w:tabs>
        <w:spacing w:before="200" w:after="0" w:line="276" w:lineRule="auto"/>
        <w:jc w:val="lowKashida"/>
        <w:outlineLvl w:val="3"/>
        <w:rPr>
          <w:rFonts w:eastAsia="Calibri" w:cstheme="minorHAnsi"/>
          <w:b/>
          <w:bCs/>
          <w:color w:val="0070C0"/>
        </w:rPr>
      </w:pPr>
      <w:bookmarkStart w:id="383" w:name="_Toc51580734"/>
      <w:bookmarkStart w:id="384" w:name="_Toc79351789"/>
      <w:bookmarkStart w:id="385" w:name="_Toc179577379"/>
      <w:r w:rsidRPr="00FF56CA">
        <w:rPr>
          <w:rFonts w:eastAsia="Calibri" w:cstheme="minorHAnsi"/>
          <w:b/>
          <w:bCs/>
          <w:color w:val="0070C0"/>
        </w:rPr>
        <w:t>Obstacles en matière de capacité financière</w:t>
      </w:r>
      <w:bookmarkEnd w:id="383"/>
      <w:bookmarkEnd w:id="384"/>
      <w:bookmarkEnd w:id="385"/>
    </w:p>
    <w:p w14:paraId="35E5867D" w14:textId="77777777" w:rsidR="00A47DEE" w:rsidRPr="00FF56CA" w:rsidRDefault="00A47DEE" w:rsidP="00A47DEE">
      <w:pPr>
        <w:numPr>
          <w:ilvl w:val="0"/>
          <w:numId w:val="366"/>
        </w:numPr>
        <w:autoSpaceDE w:val="0"/>
        <w:autoSpaceDN w:val="0"/>
        <w:adjustRightInd w:val="0"/>
        <w:spacing w:after="120" w:line="276" w:lineRule="auto"/>
        <w:contextualSpacing/>
        <w:jc w:val="both"/>
        <w:rPr>
          <w:rFonts w:eastAsia="Calibri" w:cstheme="minorHAnsi"/>
          <w:color w:val="000000"/>
        </w:rPr>
      </w:pPr>
      <w:r w:rsidRPr="00FF56CA">
        <w:rPr>
          <w:rFonts w:eastAsia="Calibri" w:cstheme="minorHAnsi"/>
          <w:color w:val="000000"/>
        </w:rPr>
        <w:t xml:space="preserve">La faiblesse du rôle des structures de financement du secteur agricole dans le développement du secteur, </w:t>
      </w:r>
    </w:p>
    <w:p w14:paraId="41653131" w14:textId="77777777" w:rsidR="00A47DEE" w:rsidRPr="00FF56CA" w:rsidRDefault="00A47DEE" w:rsidP="00A47DEE">
      <w:pPr>
        <w:numPr>
          <w:ilvl w:val="0"/>
          <w:numId w:val="366"/>
        </w:numPr>
        <w:autoSpaceDE w:val="0"/>
        <w:autoSpaceDN w:val="0"/>
        <w:adjustRightInd w:val="0"/>
        <w:spacing w:after="120" w:line="276" w:lineRule="auto"/>
        <w:contextualSpacing/>
        <w:jc w:val="both"/>
        <w:rPr>
          <w:rFonts w:eastAsia="Calibri" w:cstheme="minorHAnsi"/>
          <w:color w:val="000000"/>
        </w:rPr>
      </w:pPr>
      <w:r w:rsidRPr="00FF56CA">
        <w:rPr>
          <w:rFonts w:eastAsia="Calibri" w:cstheme="minorHAnsi"/>
          <w:color w:val="000000"/>
        </w:rPr>
        <w:t>Très faible capacité des institutions de microfinance existantes à couvrir les besoins des différentes campagnes de production des filières agricoles dans toutes les zones du pays.</w:t>
      </w:r>
    </w:p>
    <w:p w14:paraId="621CFF16" w14:textId="24D03185" w:rsidR="00A47DEE" w:rsidRPr="00FF56CA" w:rsidRDefault="00A47DEE" w:rsidP="00A47DEE">
      <w:pPr>
        <w:rPr>
          <w:rFonts w:eastAsia="Times New Roman" w:cstheme="minorHAnsi"/>
        </w:rPr>
      </w:pPr>
    </w:p>
    <w:p w14:paraId="0D72EA7A" w14:textId="77777777" w:rsidR="00A47DEE" w:rsidRPr="00F04EBB" w:rsidRDefault="00A47DEE" w:rsidP="00A47DEE">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after="240"/>
        <w:rPr>
          <w:rFonts w:asciiTheme="minorHAnsi" w:hAnsiTheme="minorHAnsi" w:cstheme="minorHAnsi"/>
          <w:b/>
          <w:bCs/>
          <w:color w:val="FFFFFF" w:themeColor="background1"/>
          <w:sz w:val="30"/>
          <w:szCs w:val="30"/>
        </w:rPr>
      </w:pPr>
      <w:bookmarkStart w:id="386" w:name="_Toc179577380"/>
      <w:r w:rsidRPr="00F04EBB">
        <w:rPr>
          <w:rFonts w:asciiTheme="minorHAnsi" w:hAnsiTheme="minorHAnsi" w:cstheme="minorHAnsi"/>
          <w:b/>
          <w:bCs/>
          <w:color w:val="FFFFFF" w:themeColor="background1"/>
          <w:sz w:val="30"/>
          <w:szCs w:val="30"/>
        </w:rPr>
        <w:t>REFERENCES BIBLIOGRAPHI</w:t>
      </w:r>
      <w:bookmarkEnd w:id="359"/>
      <w:r w:rsidRPr="00F04EBB">
        <w:rPr>
          <w:rFonts w:asciiTheme="minorHAnsi" w:hAnsiTheme="minorHAnsi" w:cstheme="minorHAnsi"/>
          <w:b/>
          <w:bCs/>
          <w:color w:val="FFFFFF" w:themeColor="background1"/>
          <w:sz w:val="30"/>
          <w:szCs w:val="30"/>
        </w:rPr>
        <w:t>QUES</w:t>
      </w:r>
      <w:bookmarkEnd w:id="360"/>
      <w:bookmarkEnd w:id="386"/>
    </w:p>
    <w:p w14:paraId="0C9A0AFD" w14:textId="77777777" w:rsidR="00A47DEE" w:rsidRPr="00F04EBB" w:rsidRDefault="00A47DEE" w:rsidP="00A47DEE">
      <w:pPr>
        <w:numPr>
          <w:ilvl w:val="0"/>
          <w:numId w:val="370"/>
        </w:numPr>
        <w:tabs>
          <w:tab w:val="left" w:pos="567"/>
        </w:tabs>
        <w:spacing w:before="240" w:after="0"/>
        <w:ind w:left="284" w:hanging="284"/>
        <w:contextualSpacing/>
        <w:jc w:val="lowKashida"/>
        <w:rPr>
          <w:rFonts w:eastAsia="Times New Roman" w:cstheme="minorHAnsi"/>
          <w:b/>
          <w:bCs/>
        </w:rPr>
      </w:pPr>
      <w:r w:rsidRPr="00F04EBB">
        <w:rPr>
          <w:rFonts w:eastAsia="Times New Roman" w:cstheme="minorHAnsi"/>
          <w:b/>
          <w:bCs/>
        </w:rPr>
        <w:t>AMCC., 2013</w:t>
      </w:r>
      <w:r w:rsidRPr="00F04EBB">
        <w:rPr>
          <w:rFonts w:eastAsia="Times New Roman" w:cstheme="minorHAnsi"/>
        </w:rPr>
        <w:t>. État des lieux des projets et programmes dans le domaine du changement climatique, les acteurs impliqués et niveau d’intégration du changement climatique dans les stratégies et politiques nationales de développement : Cas de Mauritanie. 33p</w:t>
      </w:r>
    </w:p>
    <w:p w14:paraId="0CA43606"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ATI, 2010</w:t>
      </w:r>
      <w:r w:rsidRPr="00F04EBB">
        <w:rPr>
          <w:rFonts w:eastAsia="Calibri" w:cstheme="minorHAnsi"/>
          <w:color w:val="000000"/>
        </w:rPr>
        <w:t>.  Mauritanie. Evaluation de la recherche agricole. Tendance à long terme des investissements et des capacités en recherche développement agricole</w:t>
      </w:r>
    </w:p>
    <w:p w14:paraId="12B93ACE"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CAON/UE, 2014</w:t>
      </w:r>
      <w:r w:rsidRPr="00F04EBB">
        <w:rPr>
          <w:rFonts w:eastAsia="Times New Roman" w:cstheme="minorHAnsi"/>
        </w:rPr>
        <w:t>. Profil environnemental de la Mauritanie.</w:t>
      </w:r>
    </w:p>
    <w:p w14:paraId="6711B445" w14:textId="77777777" w:rsidR="00A47DEE" w:rsidRPr="00F04EBB" w:rsidRDefault="00A47DEE" w:rsidP="00A47DEE">
      <w:pPr>
        <w:numPr>
          <w:ilvl w:val="0"/>
          <w:numId w:val="370"/>
        </w:numPr>
        <w:tabs>
          <w:tab w:val="left" w:pos="567"/>
          <w:tab w:val="left" w:pos="6521"/>
        </w:tabs>
        <w:spacing w:after="0"/>
        <w:ind w:left="284" w:hanging="284"/>
        <w:contextualSpacing/>
        <w:jc w:val="lowKashida"/>
        <w:rPr>
          <w:rFonts w:eastAsia="Times New Roman" w:cstheme="minorHAnsi"/>
        </w:rPr>
      </w:pPr>
      <w:r w:rsidRPr="00F04EBB">
        <w:rPr>
          <w:rFonts w:eastAsia="Times New Roman" w:cstheme="minorHAnsi"/>
          <w:b/>
          <w:bCs/>
          <w:lang w:val="en-US"/>
        </w:rPr>
        <w:t>CASTERAN R, OULD MOHAMED AHMED M.E., 2016.</w:t>
      </w:r>
      <w:r w:rsidRPr="00F04EBB">
        <w:rPr>
          <w:rFonts w:eastAsia="Calibri" w:cstheme="minorHAnsi"/>
          <w:color w:val="3366FF"/>
          <w:sz w:val="56"/>
          <w:szCs w:val="56"/>
          <w:lang w:val="en-US"/>
        </w:rPr>
        <w:t xml:space="preserve"> </w:t>
      </w:r>
      <w:r w:rsidRPr="00F04EBB">
        <w:rPr>
          <w:rFonts w:eastAsia="Times New Roman" w:cstheme="minorHAnsi"/>
        </w:rPr>
        <w:t xml:space="preserve">Plan de formation pour les Ministères de l’Agriculture et de l’Elevage (2017-2019). Etude réalisée pour le compte de l’AECID et le RIMRAP. </w:t>
      </w:r>
    </w:p>
    <w:p w14:paraId="2D3DA730"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 xml:space="preserve">CCNUCC, 2012. </w:t>
      </w:r>
      <w:r w:rsidRPr="00F04EBB">
        <w:rPr>
          <w:rFonts w:eastAsia="Times New Roman" w:cstheme="minorHAnsi"/>
        </w:rPr>
        <w:t>PNA. Directives techniques pour les plans nationaux d’adaptation</w:t>
      </w:r>
      <w:r w:rsidRPr="00F04EBB">
        <w:rPr>
          <w:rFonts w:eastAsia="Times New Roman" w:cstheme="minorHAnsi"/>
          <w:b/>
          <w:bCs/>
        </w:rPr>
        <w:t>.</w:t>
      </w:r>
    </w:p>
    <w:p w14:paraId="3143BA66"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CMAP, 2013.</w:t>
      </w:r>
      <w:r w:rsidRPr="00F04EBB">
        <w:rPr>
          <w:rFonts w:eastAsia="Calibri" w:cstheme="minorHAnsi"/>
        </w:rPr>
        <w:t xml:space="preserve"> Analyse des méthodes de collecte des données et du Système d’Alerte Précoce sur le déficit alimentaire en Mauritanie</w:t>
      </w:r>
    </w:p>
    <w:p w14:paraId="0E52AC5B"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COULIBALY H, 2012.</w:t>
      </w:r>
      <w:r w:rsidRPr="00F04EBB">
        <w:rPr>
          <w:rFonts w:eastAsia="Times New Roman" w:cstheme="minorHAnsi"/>
          <w:b/>
          <w:bCs/>
          <w:i/>
          <w:iCs/>
          <w:color w:val="404040"/>
        </w:rPr>
        <w:t xml:space="preserve"> </w:t>
      </w:r>
      <w:r w:rsidRPr="00F04EBB">
        <w:rPr>
          <w:rFonts w:eastAsia="Times New Roman" w:cstheme="minorHAnsi"/>
        </w:rPr>
        <w:t xml:space="preserve">Adaptation de l’Agriculture Pluviale au Changement Climatique dans le Triangle de la Pauvreté en Mauritanie : Cas de la Commune Rurale de Diadjibiné. Mémoire de </w:t>
      </w:r>
      <w:proofErr w:type="spellStart"/>
      <w:r w:rsidRPr="00F04EBB">
        <w:rPr>
          <w:rFonts w:eastAsia="Times New Roman" w:cstheme="minorHAnsi"/>
        </w:rPr>
        <w:t>mastére</w:t>
      </w:r>
      <w:proofErr w:type="spellEnd"/>
      <w:r w:rsidRPr="00F04EBB">
        <w:rPr>
          <w:rFonts w:eastAsia="Times New Roman" w:cstheme="minorHAnsi"/>
        </w:rPr>
        <w:t xml:space="preserve"> en CC, Centre </w:t>
      </w:r>
      <w:proofErr w:type="spellStart"/>
      <w:r w:rsidRPr="00F04EBB">
        <w:rPr>
          <w:rFonts w:eastAsia="Times New Roman" w:cstheme="minorHAnsi"/>
        </w:rPr>
        <w:t>Regional</w:t>
      </w:r>
      <w:proofErr w:type="spellEnd"/>
      <w:r w:rsidRPr="00F04EBB">
        <w:rPr>
          <w:rFonts w:eastAsia="Times New Roman" w:cstheme="minorHAnsi"/>
        </w:rPr>
        <w:t xml:space="preserve"> AGRHYMET, 92p</w:t>
      </w:r>
    </w:p>
    <w:p w14:paraId="14AAD59C"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FIDA, 2018.</w:t>
      </w:r>
      <w:r w:rsidRPr="00F04EBB">
        <w:rPr>
          <w:rFonts w:eastAsia="Times New Roman" w:cstheme="minorHAnsi"/>
        </w:rPr>
        <w:t xml:space="preserve"> République islamique de Mauritanie. Programme d’options stratégiques pour le pays (2018-2024).</w:t>
      </w:r>
    </w:p>
    <w:p w14:paraId="78D17E23"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GUIBERT, B et KANE.H. A, 2016.</w:t>
      </w:r>
      <w:r w:rsidRPr="00F04EBB">
        <w:rPr>
          <w:rFonts w:eastAsia="Times New Roman" w:cstheme="minorHAnsi"/>
        </w:rPr>
        <w:t xml:space="preserve">  Aide-mémoire. Mission d’Étude d’identification des filières porteuses en termes économiques et en matière de renforcement de la résilience agricole et pastorale (RIMRAP)</w:t>
      </w:r>
    </w:p>
    <w:p w14:paraId="17E0F4F6"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MAED</w:t>
      </w:r>
      <w:r w:rsidRPr="00F04EBB">
        <w:rPr>
          <w:rFonts w:eastAsia="Times New Roman" w:cstheme="minorHAnsi"/>
        </w:rPr>
        <w:t>, 2011. Cadre Stratégique de Lutte Contre la Pauvreté (CSLP III) volumes 1 et 2</w:t>
      </w:r>
    </w:p>
    <w:p w14:paraId="2C2238BE"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 xml:space="preserve">MAED, 2016. </w:t>
      </w:r>
      <w:r w:rsidRPr="00F04EBB">
        <w:rPr>
          <w:rFonts w:eastAsia="Times New Roman" w:cstheme="minorHAnsi"/>
        </w:rPr>
        <w:t>Stratégie Nationale de Croissance Accélérée et de Prospérité Partagée (SCAPP 2016-2030S), volumes 1 et 2</w:t>
      </w:r>
    </w:p>
    <w:p w14:paraId="37E78D6B" w14:textId="77777777" w:rsidR="00A47DEE" w:rsidRPr="00F04EBB" w:rsidRDefault="00A47DEE" w:rsidP="00A47DEE">
      <w:pPr>
        <w:tabs>
          <w:tab w:val="left" w:pos="567"/>
        </w:tabs>
        <w:ind w:left="284"/>
        <w:contextualSpacing/>
        <w:jc w:val="lowKashida"/>
        <w:rPr>
          <w:rFonts w:eastAsia="Calibri" w:cstheme="minorHAnsi"/>
          <w:color w:val="0563C1"/>
          <w:u w:val="single"/>
        </w:rPr>
      </w:pPr>
      <w:r w:rsidRPr="00F04EBB">
        <w:rPr>
          <w:rFonts w:eastAsia="Calibri" w:cstheme="minorHAnsi"/>
          <w:b/>
          <w:bCs/>
        </w:rPr>
        <w:t>MDR et AECID 2019.</w:t>
      </w:r>
      <w:r w:rsidRPr="00F04EBB">
        <w:rPr>
          <w:rFonts w:eastAsia="Calibri" w:cstheme="minorHAnsi"/>
          <w:u w:val="single"/>
        </w:rPr>
        <w:t xml:space="preserve"> </w:t>
      </w:r>
      <w:r w:rsidRPr="00F04EBB">
        <w:rPr>
          <w:rFonts w:eastAsia="Calibri" w:cstheme="minorHAnsi"/>
          <w:color w:val="000000"/>
        </w:rPr>
        <w:t>Capitalisation et diffusion des documents des programmes des sous-secteurs des stratégies.10p</w:t>
      </w:r>
    </w:p>
    <w:p w14:paraId="492904C8"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MDR</w:t>
      </w:r>
      <w:r w:rsidRPr="00F04EBB">
        <w:rPr>
          <w:rFonts w:eastAsia="Times New Roman" w:cstheme="minorHAnsi"/>
        </w:rPr>
        <w:t xml:space="preserve">, </w:t>
      </w:r>
      <w:r w:rsidRPr="00F04EBB">
        <w:rPr>
          <w:rFonts w:eastAsia="Times New Roman" w:cstheme="minorHAnsi"/>
          <w:b/>
          <w:bCs/>
        </w:rPr>
        <w:t>2007.</w:t>
      </w:r>
      <w:r w:rsidRPr="00F04EBB">
        <w:rPr>
          <w:rFonts w:eastAsia="Times New Roman" w:cstheme="minorHAnsi"/>
        </w:rPr>
        <w:t xml:space="preserve"> Etat des lieux du secteur rural</w:t>
      </w:r>
    </w:p>
    <w:p w14:paraId="45A94E5D"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MDR, 2012</w:t>
      </w:r>
      <w:r w:rsidRPr="00F04EBB">
        <w:rPr>
          <w:rFonts w:eastAsia="Times New Roman" w:cstheme="minorHAnsi"/>
          <w:sz w:val="20"/>
          <w:szCs w:val="20"/>
        </w:rPr>
        <w:t>. Aspects institutionnels et fonciers</w:t>
      </w:r>
    </w:p>
    <w:p w14:paraId="0B301A3C"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MDR, 2012.</w:t>
      </w:r>
      <w:r w:rsidRPr="00F04EBB">
        <w:rPr>
          <w:rFonts w:eastAsia="Times New Roman" w:cstheme="minorHAnsi"/>
        </w:rPr>
        <w:t xml:space="preserve"> Stratégie Nationale de Développement du Secteur Rural (SNDSR), 2015 – 2025</w:t>
      </w:r>
    </w:p>
    <w:p w14:paraId="4F6B181C"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MDR, 2014.</w:t>
      </w:r>
      <w:r w:rsidRPr="00F04EBB">
        <w:rPr>
          <w:rFonts w:eastAsia="Times New Roman" w:cstheme="minorHAnsi"/>
        </w:rPr>
        <w:t xml:space="preserve">  Secteur Agricole et Pastoral. Revue institutionnelle, CAON/UE, 2014</w:t>
      </w:r>
    </w:p>
    <w:p w14:paraId="5A88B95F"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MDR, 2018.</w:t>
      </w:r>
      <w:r w:rsidRPr="00F04EBB">
        <w:rPr>
          <w:rFonts w:eastAsia="Times New Roman" w:cstheme="minorHAnsi"/>
        </w:rPr>
        <w:t xml:space="preserve"> Financement du secteur agricole. Document élaboré par le Comité Technique Interministériel chargé de la proposition d’un système de financement adéquat pour le développement de l’Agriculture.</w:t>
      </w:r>
    </w:p>
    <w:p w14:paraId="4A3C4B20"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MDR, 2019.</w:t>
      </w:r>
      <w:r w:rsidRPr="00F04EBB">
        <w:rPr>
          <w:rFonts w:eastAsia="Times New Roman" w:cstheme="minorHAnsi"/>
        </w:rPr>
        <w:t xml:space="preserve"> Bilans et perspectives, Présentation des structures du MDR</w:t>
      </w:r>
      <w:r w:rsidRPr="00F04EBB">
        <w:rPr>
          <w:rFonts w:eastAsia="Times New Roman" w:cstheme="minorHAnsi"/>
          <w:b/>
          <w:bCs/>
        </w:rPr>
        <w:t xml:space="preserve">. </w:t>
      </w:r>
      <w:r w:rsidRPr="00F04EBB">
        <w:rPr>
          <w:rFonts w:eastAsia="Times New Roman" w:cstheme="minorHAnsi"/>
        </w:rPr>
        <w:t>Atelier d’échanges et de sensibilisation des cadres du MDR</w:t>
      </w:r>
      <w:r w:rsidRPr="00F04EBB">
        <w:rPr>
          <w:rFonts w:eastAsia="Times New Roman" w:cstheme="minorHAnsi"/>
          <w:b/>
          <w:bCs/>
        </w:rPr>
        <w:t xml:space="preserve">. </w:t>
      </w:r>
    </w:p>
    <w:p w14:paraId="061AEDC2"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MDR, 2019</w:t>
      </w:r>
      <w:r w:rsidRPr="00F04EBB">
        <w:rPr>
          <w:rFonts w:eastAsia="Times New Roman" w:cstheme="minorHAnsi"/>
        </w:rPr>
        <w:t xml:space="preserve">. Communication en Conseil des Ministres relative au bilan des réalisations du MDR pour la période (2009-2018) et perspectives.  </w:t>
      </w:r>
    </w:p>
    <w:p w14:paraId="521FEADD"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MDR</w:t>
      </w:r>
      <w:r w:rsidRPr="00F04EBB">
        <w:rPr>
          <w:rFonts w:eastAsia="Times New Roman" w:cstheme="minorHAnsi"/>
        </w:rPr>
        <w:t xml:space="preserve">, </w:t>
      </w:r>
      <w:r w:rsidRPr="00F04EBB">
        <w:rPr>
          <w:rFonts w:eastAsia="Times New Roman" w:cstheme="minorHAnsi"/>
          <w:b/>
          <w:bCs/>
        </w:rPr>
        <w:t>2020</w:t>
      </w:r>
      <w:r w:rsidRPr="00F04EBB">
        <w:rPr>
          <w:rFonts w:eastAsia="Times New Roman" w:cstheme="minorHAnsi"/>
        </w:rPr>
        <w:t>. Bilan, Budget et Plan d’actions du MDR</w:t>
      </w:r>
    </w:p>
    <w:p w14:paraId="2D8213C0"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b/>
        </w:rPr>
      </w:pPr>
      <w:r w:rsidRPr="00F04EBB">
        <w:rPr>
          <w:rFonts w:eastAsia="Times New Roman" w:cstheme="minorHAnsi"/>
          <w:b/>
          <w:bCs/>
        </w:rPr>
        <w:t>MDR, 2020.</w:t>
      </w:r>
      <w:r w:rsidRPr="00F04EBB">
        <w:rPr>
          <w:rFonts w:eastAsia="Times New Roman" w:cstheme="minorHAnsi"/>
        </w:rPr>
        <w:t xml:space="preserve"> Communication en Conseil des Ministres relative à la campagne agricole 2020-2021.</w:t>
      </w:r>
    </w:p>
    <w:p w14:paraId="723C8311"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MDRE, 2004</w:t>
      </w:r>
      <w:r w:rsidRPr="00F04EBB">
        <w:rPr>
          <w:rFonts w:eastAsia="Times New Roman" w:cstheme="minorHAnsi"/>
        </w:rPr>
        <w:t>. Programme d’Action National d’Adaptation aux changements climatiques. PANA-Mauritanie, 73p.</w:t>
      </w:r>
    </w:p>
    <w:p w14:paraId="167D069C" w14:textId="77777777" w:rsidR="00A47DEE" w:rsidRPr="00F04EBB" w:rsidRDefault="00A47DEE" w:rsidP="00A47DEE">
      <w:pPr>
        <w:numPr>
          <w:ilvl w:val="0"/>
          <w:numId w:val="370"/>
        </w:numPr>
        <w:tabs>
          <w:tab w:val="left" w:pos="567"/>
          <w:tab w:val="left" w:pos="1560"/>
        </w:tabs>
        <w:spacing w:after="0"/>
        <w:ind w:left="284" w:hanging="284"/>
        <w:contextualSpacing/>
        <w:jc w:val="lowKashida"/>
        <w:rPr>
          <w:rFonts w:eastAsia="Times New Roman" w:cstheme="minorHAnsi"/>
        </w:rPr>
      </w:pPr>
      <w:r w:rsidRPr="00F04EBB">
        <w:rPr>
          <w:rFonts w:eastAsia="Times New Roman" w:cstheme="minorHAnsi"/>
          <w:b/>
          <w:bCs/>
        </w:rPr>
        <w:t>MEDD, 20</w:t>
      </w:r>
      <w:r w:rsidRPr="00F468F7">
        <w:rPr>
          <w:rFonts w:eastAsia="Times New Roman" w:cstheme="minorHAnsi"/>
          <w:b/>
          <w:bCs/>
        </w:rPr>
        <w:t>21</w:t>
      </w:r>
      <w:r w:rsidRPr="00F04EBB">
        <w:rPr>
          <w:rFonts w:eastAsia="Times New Roman" w:cstheme="minorHAnsi"/>
        </w:rPr>
        <w:t>.</w:t>
      </w:r>
      <w:r w:rsidRPr="00F04EBB">
        <w:rPr>
          <w:rFonts w:eastAsia="Times New Roman" w:cstheme="minorHAnsi"/>
        </w:rPr>
        <w:tab/>
        <w:t>Contribution prévue Déterminée au niveau National de la Mauritanie a la CCNUCC. Rapport national.</w:t>
      </w:r>
    </w:p>
    <w:p w14:paraId="557343A5"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MEDD ,2020.</w:t>
      </w:r>
      <w:r w:rsidRPr="00F04EBB">
        <w:rPr>
          <w:rFonts w:eastAsia="Times New Roman" w:cstheme="minorHAnsi"/>
        </w:rPr>
        <w:t xml:space="preserve"> Programme pays au Fonds Vert pour le Climat (2020 – 2025). 120p</w:t>
      </w:r>
    </w:p>
    <w:p w14:paraId="41F6FAE4"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MEDD, 2014</w:t>
      </w:r>
      <w:r w:rsidRPr="00F04EBB">
        <w:rPr>
          <w:rFonts w:eastAsia="Times New Roman" w:cstheme="minorHAnsi"/>
        </w:rPr>
        <w:t>. Quatrième Communication nationale sur les changements climatiques.</w:t>
      </w:r>
    </w:p>
    <w:p w14:paraId="3B03D086"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MEDD, 2014</w:t>
      </w:r>
      <w:r w:rsidRPr="00F04EBB">
        <w:rPr>
          <w:rFonts w:eastAsia="Times New Roman" w:cstheme="minorHAnsi"/>
        </w:rPr>
        <w:t>. Stratégie Nationale de Conservation des zones humides</w:t>
      </w:r>
    </w:p>
    <w:p w14:paraId="1C637A66"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MEDD, 2014.</w:t>
      </w:r>
      <w:r w:rsidRPr="00F04EBB">
        <w:rPr>
          <w:rFonts w:eastAsia="Times New Roman" w:cstheme="minorHAnsi"/>
        </w:rPr>
        <w:t xml:space="preserve"> Troisième Communication nationale sur les changements climatiques.</w:t>
      </w:r>
    </w:p>
    <w:p w14:paraId="2F5B6D1A"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MEDD, 2015</w:t>
      </w:r>
      <w:r w:rsidRPr="00F04EBB">
        <w:rPr>
          <w:rFonts w:eastAsia="Times New Roman" w:cstheme="minorHAnsi"/>
        </w:rPr>
        <w:t>. Changement climatique en Mauritanie, mesures de réponse.</w:t>
      </w:r>
    </w:p>
    <w:p w14:paraId="61755450"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MEDD, 2015</w:t>
      </w:r>
      <w:r w:rsidRPr="00F04EBB">
        <w:rPr>
          <w:rFonts w:eastAsia="Times New Roman" w:cstheme="minorHAnsi"/>
        </w:rPr>
        <w:t>. Plan d’Action National de Gestion des Risques de Catastrophes 2015-2018.</w:t>
      </w:r>
    </w:p>
    <w:p w14:paraId="6D30610B" w14:textId="77777777" w:rsidR="00A47DEE" w:rsidRPr="00F04EBB" w:rsidRDefault="00A47DEE" w:rsidP="00A47DEE">
      <w:pPr>
        <w:numPr>
          <w:ilvl w:val="0"/>
          <w:numId w:val="370"/>
        </w:numPr>
        <w:tabs>
          <w:tab w:val="left" w:pos="567"/>
          <w:tab w:val="left" w:pos="1560"/>
        </w:tabs>
        <w:spacing w:after="0"/>
        <w:ind w:left="284" w:hanging="284"/>
        <w:contextualSpacing/>
        <w:jc w:val="lowKashida"/>
        <w:rPr>
          <w:rFonts w:eastAsia="Times New Roman" w:cstheme="minorHAnsi"/>
        </w:rPr>
      </w:pPr>
      <w:r w:rsidRPr="00F04EBB">
        <w:rPr>
          <w:rFonts w:eastAsia="Times New Roman" w:cstheme="minorHAnsi"/>
          <w:b/>
          <w:bCs/>
        </w:rPr>
        <w:t>MEDD, 2015</w:t>
      </w:r>
      <w:r w:rsidRPr="00F04EBB">
        <w:rPr>
          <w:rFonts w:eastAsia="Times New Roman" w:cstheme="minorHAnsi"/>
        </w:rPr>
        <w:t>.</w:t>
      </w:r>
      <w:r w:rsidRPr="00F04EBB">
        <w:rPr>
          <w:rFonts w:eastAsia="Times New Roman" w:cstheme="minorHAnsi"/>
        </w:rPr>
        <w:tab/>
        <w:t>Contribution prévue Déterminée au niveau National de la Mauritanie a la CCNUCC. Rapport national.</w:t>
      </w:r>
    </w:p>
    <w:p w14:paraId="7407D6FB" w14:textId="77777777" w:rsidR="00A47DEE" w:rsidRPr="00F04EBB" w:rsidRDefault="00A47DEE" w:rsidP="00A47DEE">
      <w:pPr>
        <w:numPr>
          <w:ilvl w:val="0"/>
          <w:numId w:val="370"/>
        </w:numPr>
        <w:tabs>
          <w:tab w:val="left" w:pos="567"/>
          <w:tab w:val="left" w:pos="1560"/>
        </w:tabs>
        <w:spacing w:after="0"/>
        <w:ind w:left="284" w:hanging="284"/>
        <w:contextualSpacing/>
        <w:jc w:val="lowKashida"/>
        <w:rPr>
          <w:rFonts w:eastAsia="Times New Roman" w:cstheme="minorHAnsi"/>
        </w:rPr>
      </w:pPr>
      <w:r w:rsidRPr="00F04EBB">
        <w:rPr>
          <w:rFonts w:eastAsia="Times New Roman" w:cstheme="minorHAnsi"/>
          <w:b/>
          <w:bCs/>
        </w:rPr>
        <w:t>MEDD, 2018.</w:t>
      </w:r>
      <w:r w:rsidRPr="00F04EBB">
        <w:rPr>
          <w:rFonts w:eastAsia="Calibri" w:cstheme="minorHAnsi"/>
        </w:rPr>
        <w:t xml:space="preserve"> </w:t>
      </w:r>
      <w:r w:rsidRPr="00F04EBB">
        <w:rPr>
          <w:rFonts w:eastAsia="Times New Roman" w:cstheme="minorHAnsi"/>
        </w:rPr>
        <w:t>Evaluation des Besoins en Technologies climatiques d’adaptation (EBT) :</w:t>
      </w:r>
      <w:r w:rsidRPr="00F04EBB">
        <w:rPr>
          <w:rFonts w:eastAsia="Calibri" w:cstheme="minorHAnsi"/>
        </w:rPr>
        <w:t xml:space="preserve"> </w:t>
      </w:r>
      <w:r w:rsidRPr="00F04EBB">
        <w:rPr>
          <w:rFonts w:eastAsia="Times New Roman" w:cstheme="minorHAnsi"/>
        </w:rPr>
        <w:t>secteurs : agriculture et parcours &amp; forets.</w:t>
      </w:r>
    </w:p>
    <w:p w14:paraId="6BCF6247"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MEDD. 2015.</w:t>
      </w:r>
      <w:r w:rsidRPr="00F04EBB">
        <w:rPr>
          <w:rFonts w:eastAsia="Calibri" w:cstheme="minorHAnsi"/>
          <w:sz w:val="16"/>
          <w:szCs w:val="16"/>
        </w:rPr>
        <w:t xml:space="preserve"> </w:t>
      </w:r>
      <w:r w:rsidRPr="00F04EBB">
        <w:rPr>
          <w:rFonts w:eastAsia="Times New Roman" w:cstheme="minorHAnsi"/>
        </w:rPr>
        <w:t>MAURITANIE. Plan d’Action National de renforcement des Capacités en Réduction des Risques de Catastrophes et Préparation et Réponse aux Urgences (2015-2018)</w:t>
      </w:r>
    </w:p>
    <w:p w14:paraId="0DFA2AD1"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 xml:space="preserve">MEF, 2018. </w:t>
      </w:r>
      <w:r w:rsidRPr="00F04EBB">
        <w:rPr>
          <w:rFonts w:eastAsia="Times New Roman" w:cstheme="minorHAnsi"/>
        </w:rPr>
        <w:t>Rapport annuel de mise en œuvre du plan d’actions de la SCAPP.</w:t>
      </w:r>
    </w:p>
    <w:p w14:paraId="5149527D"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MEF, 2019.</w:t>
      </w:r>
      <w:r w:rsidRPr="00F04EBB">
        <w:rPr>
          <w:rFonts w:eastAsia="Times New Roman" w:cstheme="minorHAnsi"/>
        </w:rPr>
        <w:t xml:space="preserve"> Rapport annuel de mise en œuvre du plan d’actions de la SCAPP.</w:t>
      </w:r>
    </w:p>
    <w:p w14:paraId="04EE78F4"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b/>
          <w:bCs/>
        </w:rPr>
      </w:pPr>
      <w:r w:rsidRPr="00F04EBB">
        <w:rPr>
          <w:rFonts w:eastAsia="Times New Roman" w:cstheme="minorHAnsi"/>
          <w:b/>
          <w:bCs/>
        </w:rPr>
        <w:t xml:space="preserve">Ministère de l’Agriculture, 2016. </w:t>
      </w:r>
      <w:r w:rsidRPr="00F04EBB">
        <w:rPr>
          <w:rFonts w:eastAsia="Times New Roman" w:cstheme="minorHAnsi"/>
        </w:rPr>
        <w:t>Plan National de Développement Agricole (PNDA).</w:t>
      </w:r>
    </w:p>
    <w:p w14:paraId="4BA2DF90"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 xml:space="preserve">P.M, 2020.  </w:t>
      </w:r>
      <w:r w:rsidRPr="00F04EBB">
        <w:rPr>
          <w:rFonts w:eastAsia="Times New Roman" w:cstheme="minorHAnsi"/>
        </w:rPr>
        <w:t>Déclaration de Politique Générale du Gouvernement.</w:t>
      </w:r>
    </w:p>
    <w:p w14:paraId="4267769F" w14:textId="54B034F1"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468F7">
        <w:rPr>
          <w:rFonts w:eastAsia="Times New Roman" w:cstheme="minorHAnsi"/>
          <w:b/>
          <w:bCs/>
          <w:lang w:val="en-US"/>
        </w:rPr>
        <w:t>El Wavi M.</w:t>
      </w:r>
      <w:r w:rsidRPr="00F04EBB">
        <w:rPr>
          <w:rFonts w:eastAsia="Times New Roman" w:cstheme="minorHAnsi"/>
          <w:b/>
          <w:bCs/>
          <w:lang w:val="en-US"/>
        </w:rPr>
        <w:t>B. M.S</w:t>
      </w:r>
      <w:r w:rsidRPr="00F04EBB">
        <w:rPr>
          <w:rFonts w:eastAsia="Times New Roman" w:cstheme="minorHAnsi"/>
          <w:lang w:val="en-US"/>
        </w:rPr>
        <w:t xml:space="preserve">, 2013. </w:t>
      </w:r>
      <w:r w:rsidRPr="00F04EBB">
        <w:rPr>
          <w:rFonts w:eastAsia="Times New Roman" w:cstheme="minorHAnsi"/>
        </w:rPr>
        <w:t xml:space="preserve">Adaptation au changement climatique des agriculteurs de l’Assaba en Mauritanie : Cas des oasis appuyées par les projets financés par le FIDA et le FADES. Mémoire de </w:t>
      </w:r>
      <w:r w:rsidR="003E241E" w:rsidRPr="00F04EBB">
        <w:rPr>
          <w:rFonts w:eastAsia="Times New Roman" w:cstheme="minorHAnsi"/>
        </w:rPr>
        <w:t xml:space="preserve">Mastere </w:t>
      </w:r>
      <w:r w:rsidRPr="00F04EBB">
        <w:rPr>
          <w:rFonts w:eastAsia="Times New Roman" w:cstheme="minorHAnsi"/>
        </w:rPr>
        <w:t>en GDT, Centre Régional AGRHYMET-Niamey, 80p</w:t>
      </w:r>
    </w:p>
    <w:p w14:paraId="163E8D67"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TerrAfrica., 2009.</w:t>
      </w:r>
      <w:r w:rsidRPr="00F04EBB">
        <w:rPr>
          <w:rFonts w:eastAsia="Times New Roman" w:cstheme="minorHAnsi"/>
        </w:rPr>
        <w:t xml:space="preserve"> L’adaptation au changement climatique et l'atténuation de ses effets en Afrique Subsaharienne au moyen des pratiques de gestion durable des terres. Guide, 90p</w:t>
      </w:r>
    </w:p>
    <w:p w14:paraId="78C36183"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TerrAfrica., 2011a</w:t>
      </w:r>
      <w:r w:rsidRPr="00F04EBB">
        <w:rPr>
          <w:rFonts w:eastAsia="Times New Roman" w:cstheme="minorHAnsi"/>
        </w:rPr>
        <w:t>. Gestion durable des terres en Afrique subsaharienne : Politiques et financement, Conclusions et conseils pour les interventions version 1.0, 42p.</w:t>
      </w:r>
    </w:p>
    <w:p w14:paraId="7A80C829"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r w:rsidRPr="00F04EBB">
        <w:rPr>
          <w:rFonts w:eastAsia="Times New Roman" w:cstheme="minorHAnsi"/>
          <w:b/>
          <w:bCs/>
        </w:rPr>
        <w:t>TIMOTHY O et al., 2015.</w:t>
      </w:r>
      <w:r w:rsidRPr="00F04EBB">
        <w:rPr>
          <w:rFonts w:eastAsia="Times New Roman" w:cstheme="minorHAnsi"/>
        </w:rPr>
        <w:t xml:space="preserve"> L’Agriculture Intelligente face au Climat dans le Contexte Africain. Document de référence, élaboré avec les contributions de la FAO et de l’UNEP.</w:t>
      </w:r>
    </w:p>
    <w:p w14:paraId="398BCA8D" w14:textId="77777777" w:rsidR="00A47DEE" w:rsidRPr="00F04EBB" w:rsidRDefault="00A47DEE" w:rsidP="00A47DEE">
      <w:pPr>
        <w:numPr>
          <w:ilvl w:val="0"/>
          <w:numId w:val="370"/>
        </w:numPr>
        <w:tabs>
          <w:tab w:val="left" w:pos="567"/>
        </w:tabs>
        <w:spacing w:after="0"/>
        <w:ind w:left="284" w:hanging="284"/>
        <w:contextualSpacing/>
        <w:jc w:val="lowKashida"/>
        <w:rPr>
          <w:rFonts w:eastAsia="Times New Roman" w:cstheme="minorHAnsi"/>
        </w:rPr>
      </w:pPr>
      <w:hyperlink r:id="rId213" w:history="1">
        <w:r w:rsidRPr="00F04EBB">
          <w:rPr>
            <w:rFonts w:eastAsia="Calibri" w:cstheme="minorHAnsi"/>
            <w:color w:val="0000FF"/>
            <w:u w:val="single"/>
          </w:rPr>
          <w:t>http://www.iedafrique.org/Le-Systeme-de-Riziculture,332.html</w:t>
        </w:r>
      </w:hyperlink>
    </w:p>
    <w:p w14:paraId="42E64E3A" w14:textId="77777777" w:rsidR="00A47DEE" w:rsidRPr="00F04EBB" w:rsidRDefault="00A47DEE" w:rsidP="00A47DEE">
      <w:pPr>
        <w:numPr>
          <w:ilvl w:val="0"/>
          <w:numId w:val="370"/>
        </w:numPr>
        <w:tabs>
          <w:tab w:val="left" w:pos="567"/>
        </w:tabs>
        <w:spacing w:after="0"/>
        <w:ind w:left="284" w:hanging="284"/>
        <w:contextualSpacing/>
        <w:jc w:val="lowKashida"/>
        <w:rPr>
          <w:rFonts w:eastAsia="Calibri" w:cstheme="minorHAnsi"/>
          <w:color w:val="0000FF"/>
          <w:u w:val="single"/>
        </w:rPr>
      </w:pPr>
      <w:r w:rsidRPr="00F04EBB">
        <w:rPr>
          <w:rFonts w:eastAsia="Calibri" w:cstheme="minorHAnsi"/>
          <w:color w:val="0000FF"/>
          <w:u w:val="single"/>
        </w:rPr>
        <w:t xml:space="preserve">http://documents.wfp.org/stellent/groups/public/documents/newsroom/wfp257511.pdf  </w:t>
      </w:r>
    </w:p>
    <w:p w14:paraId="1853DA18" w14:textId="77777777" w:rsidR="00A47DEE" w:rsidRPr="00F04EBB" w:rsidRDefault="00A47DEE" w:rsidP="00A47DEE">
      <w:pPr>
        <w:rPr>
          <w:rFonts w:eastAsia="Calibri" w:cstheme="minorHAnsi"/>
        </w:rPr>
      </w:pPr>
      <w:r w:rsidRPr="00F04EBB">
        <w:rPr>
          <w:rFonts w:eastAsia="Calibri" w:cstheme="minorHAnsi"/>
        </w:rPr>
        <w:br w:type="page"/>
      </w:r>
    </w:p>
    <w:p w14:paraId="63E28815" w14:textId="77777777" w:rsidR="00A47DEE" w:rsidRPr="00F468F7" w:rsidRDefault="00A47DEE" w:rsidP="00A47DEE">
      <w:pPr>
        <w:rPr>
          <w:rFonts w:eastAsia="Calibri" w:cstheme="minorHAnsi"/>
        </w:rPr>
      </w:pPr>
    </w:p>
    <w:p w14:paraId="048B84C5" w14:textId="77777777" w:rsidR="00A47DEE" w:rsidRPr="00F468F7" w:rsidRDefault="00A47DEE" w:rsidP="00A47DEE">
      <w:pPr>
        <w:rPr>
          <w:rFonts w:eastAsia="Calibri" w:cstheme="minorHAnsi"/>
        </w:rPr>
      </w:pPr>
    </w:p>
    <w:p w14:paraId="777125B2" w14:textId="77777777" w:rsidR="00A47DEE" w:rsidRPr="00F468F7" w:rsidRDefault="00A47DEE" w:rsidP="00A47DEE">
      <w:pPr>
        <w:rPr>
          <w:rFonts w:eastAsia="Calibri" w:cstheme="minorHAnsi"/>
        </w:rPr>
      </w:pPr>
    </w:p>
    <w:p w14:paraId="4AC01D57" w14:textId="77777777" w:rsidR="00A47DEE" w:rsidRPr="00F468F7" w:rsidRDefault="00A47DEE" w:rsidP="00A47DEE">
      <w:pPr>
        <w:rPr>
          <w:rFonts w:eastAsia="Calibri" w:cstheme="minorHAnsi"/>
        </w:rPr>
      </w:pPr>
    </w:p>
    <w:p w14:paraId="4732803A" w14:textId="77777777" w:rsidR="00A47DEE" w:rsidRPr="00F468F7" w:rsidRDefault="00A47DEE" w:rsidP="00A47DEE">
      <w:pPr>
        <w:rPr>
          <w:rFonts w:eastAsia="Calibri" w:cstheme="minorHAnsi"/>
        </w:rPr>
      </w:pPr>
    </w:p>
    <w:p w14:paraId="776E00F1" w14:textId="77777777" w:rsidR="00A47DEE" w:rsidRPr="00F468F7" w:rsidRDefault="00A47DEE" w:rsidP="00A47DEE">
      <w:pPr>
        <w:rPr>
          <w:rFonts w:eastAsia="Calibri" w:cstheme="minorHAnsi"/>
        </w:rPr>
      </w:pPr>
    </w:p>
    <w:p w14:paraId="52270F84" w14:textId="77777777" w:rsidR="00A47DEE" w:rsidRPr="00F468F7" w:rsidRDefault="00A47DEE" w:rsidP="00A47DEE">
      <w:pPr>
        <w:rPr>
          <w:rFonts w:eastAsia="Calibri" w:cstheme="minorHAnsi"/>
        </w:rPr>
      </w:pPr>
    </w:p>
    <w:p w14:paraId="3F8B1F6F" w14:textId="77777777" w:rsidR="00A47DEE" w:rsidRPr="00F04EBB" w:rsidRDefault="00A47DEE" w:rsidP="00A47DEE">
      <w:pPr>
        <w:rPr>
          <w:rFonts w:eastAsia="Calibri" w:cstheme="minorHAnsi"/>
        </w:rPr>
      </w:pPr>
    </w:p>
    <w:p w14:paraId="5741AF0D" w14:textId="77777777" w:rsidR="00A47DEE" w:rsidRPr="00F04EBB" w:rsidRDefault="00A47DEE" w:rsidP="00A47DEE">
      <w:pPr>
        <w:pStyle w:val="Titre1"/>
        <w:pBdr>
          <w:top w:val="single" w:sz="4" w:space="1" w:color="auto"/>
          <w:left w:val="single" w:sz="4" w:space="4" w:color="auto"/>
          <w:bottom w:val="single" w:sz="4" w:space="1" w:color="auto"/>
          <w:right w:val="single" w:sz="4" w:space="4" w:color="auto"/>
        </w:pBdr>
        <w:shd w:val="clear" w:color="auto" w:fill="002060"/>
        <w:tabs>
          <w:tab w:val="left" w:pos="142"/>
          <w:tab w:val="left" w:pos="426"/>
        </w:tabs>
        <w:spacing w:before="0" w:after="240"/>
        <w:ind w:left="284"/>
        <w:jc w:val="center"/>
        <w:rPr>
          <w:rFonts w:asciiTheme="minorHAnsi" w:hAnsiTheme="minorHAnsi" w:cstheme="minorHAnsi"/>
          <w:b/>
          <w:bCs/>
          <w:color w:val="FFFFFF" w:themeColor="background1"/>
          <w:sz w:val="44"/>
          <w:szCs w:val="44"/>
        </w:rPr>
      </w:pPr>
      <w:bookmarkStart w:id="387" w:name="_Toc179577381"/>
      <w:r w:rsidRPr="00F04EBB">
        <w:rPr>
          <w:rFonts w:asciiTheme="minorHAnsi" w:hAnsiTheme="minorHAnsi" w:cstheme="minorHAnsi"/>
          <w:b/>
          <w:bCs/>
          <w:color w:val="FFFFFF" w:themeColor="background1"/>
          <w:sz w:val="44"/>
          <w:szCs w:val="44"/>
        </w:rPr>
        <w:t>ANNEXES</w:t>
      </w:r>
      <w:bookmarkEnd w:id="387"/>
    </w:p>
    <w:p w14:paraId="0DE57BBD" w14:textId="77777777" w:rsidR="00A47DEE" w:rsidRPr="00F04EBB" w:rsidRDefault="00A47DEE" w:rsidP="00A47DEE">
      <w:pPr>
        <w:spacing w:after="0"/>
        <w:jc w:val="lowKashida"/>
        <w:rPr>
          <w:rFonts w:eastAsia="Calibri" w:cstheme="minorHAnsi"/>
          <w:b/>
          <w:bCs/>
          <w:color w:val="385623"/>
          <w:sz w:val="144"/>
          <w:szCs w:val="144"/>
        </w:rPr>
      </w:pPr>
    </w:p>
    <w:p w14:paraId="37C8B85C" w14:textId="77777777" w:rsidR="00A47DEE" w:rsidRPr="00F04EBB" w:rsidRDefault="00A47DEE" w:rsidP="00A47DEE">
      <w:pPr>
        <w:spacing w:after="0"/>
        <w:jc w:val="lowKashida"/>
        <w:rPr>
          <w:rFonts w:eastAsia="Calibri" w:cstheme="minorHAnsi"/>
          <w:b/>
          <w:bCs/>
          <w:color w:val="385623"/>
          <w:sz w:val="144"/>
          <w:szCs w:val="144"/>
        </w:rPr>
      </w:pPr>
    </w:p>
    <w:p w14:paraId="2A556BD4" w14:textId="77777777" w:rsidR="00A47DEE" w:rsidRPr="00F04EBB" w:rsidRDefault="00A47DEE" w:rsidP="00A47DEE">
      <w:pPr>
        <w:spacing w:after="0"/>
        <w:jc w:val="lowKashida"/>
        <w:rPr>
          <w:rFonts w:eastAsia="Calibri" w:cstheme="minorHAnsi"/>
          <w:b/>
          <w:bCs/>
          <w:color w:val="385623"/>
          <w:sz w:val="144"/>
          <w:szCs w:val="144"/>
        </w:rPr>
      </w:pPr>
    </w:p>
    <w:p w14:paraId="2A1665A8" w14:textId="77777777" w:rsidR="00A47DEE" w:rsidRPr="00F04EBB" w:rsidRDefault="00A47DEE" w:rsidP="00A47DEE">
      <w:pPr>
        <w:rPr>
          <w:rFonts w:eastAsia="Calibri" w:cstheme="minorHAnsi"/>
        </w:rPr>
      </w:pPr>
      <w:r w:rsidRPr="00F04EBB">
        <w:rPr>
          <w:rFonts w:eastAsia="Calibri" w:cstheme="minorHAnsi"/>
        </w:rPr>
        <w:br w:type="page"/>
      </w:r>
    </w:p>
    <w:p w14:paraId="38469601" w14:textId="77777777" w:rsidR="00A47DEE" w:rsidRPr="00F04EBB" w:rsidRDefault="00A47DEE" w:rsidP="00A47DEE">
      <w:pPr>
        <w:autoSpaceDE w:val="0"/>
        <w:autoSpaceDN w:val="0"/>
        <w:adjustRightInd w:val="0"/>
        <w:spacing w:after="0"/>
        <w:jc w:val="lowKashida"/>
        <w:rPr>
          <w:rFonts w:eastAsia="Calibri" w:cstheme="minorHAnsi"/>
        </w:rPr>
        <w:sectPr w:rsidR="00A47DEE" w:rsidRPr="00F04EBB" w:rsidSect="00A47DEE">
          <w:pgSz w:w="11906" w:h="16838"/>
          <w:pgMar w:top="1418" w:right="1418" w:bottom="1418" w:left="1418" w:header="709" w:footer="709" w:gutter="0"/>
          <w:pgNumType w:chapStyle="1"/>
          <w:cols w:space="720"/>
        </w:sectPr>
      </w:pPr>
    </w:p>
    <w:p w14:paraId="06F57225" w14:textId="06EBD6F9" w:rsidR="00A47DEE" w:rsidRPr="00F04EBB" w:rsidRDefault="00A47DEE" w:rsidP="00A47DEE">
      <w:pPr>
        <w:keepNext/>
        <w:keepLines/>
        <w:pBdr>
          <w:bottom w:val="single" w:sz="24" w:space="1" w:color="00B050"/>
        </w:pBdr>
        <w:tabs>
          <w:tab w:val="left" w:pos="567"/>
          <w:tab w:val="left" w:pos="993"/>
          <w:tab w:val="left" w:pos="1276"/>
        </w:tabs>
        <w:spacing w:before="200" w:after="0"/>
        <w:ind w:left="-567"/>
        <w:jc w:val="lowKashida"/>
        <w:outlineLvl w:val="1"/>
        <w:rPr>
          <w:rFonts w:eastAsia="MS Gothic" w:cstheme="minorHAnsi"/>
          <w:b/>
          <w:bCs/>
          <w:color w:val="000000"/>
          <w:sz w:val="24"/>
          <w:szCs w:val="24"/>
        </w:rPr>
      </w:pPr>
      <w:bookmarkStart w:id="388" w:name="_Toc179577382"/>
      <w:r w:rsidRPr="00F04EBB">
        <w:rPr>
          <w:rFonts w:eastAsia="MS Gothic" w:cstheme="minorHAnsi"/>
          <w:b/>
          <w:bCs/>
          <w:color w:val="000000"/>
          <w:sz w:val="24"/>
          <w:szCs w:val="24"/>
        </w:rPr>
        <w:t>Annexe 1 : Evolution de la superficie (ha) par typologie et type de cu</w:t>
      </w:r>
      <w:r w:rsidR="003E241E">
        <w:rPr>
          <w:rFonts w:eastAsia="MS Gothic" w:cstheme="minorHAnsi"/>
          <w:b/>
          <w:bCs/>
          <w:color w:val="000000"/>
          <w:sz w:val="24"/>
          <w:szCs w:val="24"/>
        </w:rPr>
        <w:t>l</w:t>
      </w:r>
      <w:r w:rsidRPr="00F04EBB">
        <w:rPr>
          <w:rFonts w:eastAsia="MS Gothic" w:cstheme="minorHAnsi"/>
          <w:b/>
          <w:bCs/>
          <w:color w:val="000000"/>
          <w:sz w:val="24"/>
          <w:szCs w:val="24"/>
        </w:rPr>
        <w:t>ture</w:t>
      </w:r>
      <w:bookmarkEnd w:id="388"/>
    </w:p>
    <w:tbl>
      <w:tblPr>
        <w:tblStyle w:val="Grilledutableau1111"/>
        <w:tblW w:w="16160" w:type="dxa"/>
        <w:jc w:val="center"/>
        <w:tblLayout w:type="fixed"/>
        <w:tblLook w:val="04A0" w:firstRow="1" w:lastRow="0" w:firstColumn="1" w:lastColumn="0" w:noHBand="0" w:noVBand="1"/>
      </w:tblPr>
      <w:tblGrid>
        <w:gridCol w:w="1135"/>
        <w:gridCol w:w="866"/>
        <w:gridCol w:w="783"/>
        <w:gridCol w:w="624"/>
        <w:gridCol w:w="942"/>
        <w:gridCol w:w="783"/>
        <w:gridCol w:w="782"/>
        <w:gridCol w:w="783"/>
        <w:gridCol w:w="783"/>
        <w:gridCol w:w="783"/>
        <w:gridCol w:w="783"/>
        <w:gridCol w:w="783"/>
        <w:gridCol w:w="783"/>
        <w:gridCol w:w="782"/>
        <w:gridCol w:w="783"/>
        <w:gridCol w:w="783"/>
        <w:gridCol w:w="783"/>
        <w:gridCol w:w="783"/>
        <w:gridCol w:w="783"/>
        <w:gridCol w:w="850"/>
      </w:tblGrid>
      <w:tr w:rsidR="00A47DEE" w:rsidRPr="00F468F7" w14:paraId="31B4702D" w14:textId="77777777" w:rsidTr="00EE0E23">
        <w:trPr>
          <w:trHeight w:val="300"/>
          <w:jc w:val="center"/>
        </w:trPr>
        <w:tc>
          <w:tcPr>
            <w:tcW w:w="1135" w:type="dxa"/>
            <w:shd w:val="clear" w:color="auto" w:fill="BFBFBF"/>
            <w:noWrap/>
          </w:tcPr>
          <w:p w14:paraId="11289763" w14:textId="77777777" w:rsidR="00A47DEE" w:rsidRPr="00F04EBB" w:rsidRDefault="00A47DEE" w:rsidP="00EE0E23">
            <w:pPr>
              <w:rPr>
                <w:rFonts w:eastAsia="Times New Roman" w:cstheme="minorHAnsi"/>
                <w:b/>
                <w:bCs/>
                <w:color w:val="000000"/>
                <w:sz w:val="18"/>
                <w:szCs w:val="18"/>
              </w:rPr>
            </w:pPr>
            <w:r w:rsidRPr="00F04EBB">
              <w:rPr>
                <w:rFonts w:eastAsia="Calibri" w:cstheme="minorHAnsi"/>
                <w:color w:val="000000"/>
              </w:rPr>
              <w:t> </w:t>
            </w:r>
          </w:p>
        </w:tc>
        <w:tc>
          <w:tcPr>
            <w:tcW w:w="3215" w:type="dxa"/>
            <w:gridSpan w:val="4"/>
            <w:shd w:val="clear" w:color="auto" w:fill="BFBFBF"/>
            <w:noWrap/>
          </w:tcPr>
          <w:p w14:paraId="5D446F4E"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 xml:space="preserve">                         Diéri           </w:t>
            </w:r>
          </w:p>
        </w:tc>
        <w:tc>
          <w:tcPr>
            <w:tcW w:w="3131" w:type="dxa"/>
            <w:gridSpan w:val="4"/>
            <w:shd w:val="clear" w:color="auto" w:fill="BFBFBF"/>
            <w:noWrap/>
          </w:tcPr>
          <w:p w14:paraId="256EE1F9"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 xml:space="preserve">             Bas-Fonds/ Barrage   </w:t>
            </w:r>
          </w:p>
        </w:tc>
        <w:tc>
          <w:tcPr>
            <w:tcW w:w="2349" w:type="dxa"/>
            <w:gridSpan w:val="3"/>
            <w:shd w:val="clear" w:color="auto" w:fill="BFBFBF"/>
            <w:noWrap/>
          </w:tcPr>
          <w:p w14:paraId="29DFD0BF"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 xml:space="preserve">             Walo    </w:t>
            </w:r>
          </w:p>
        </w:tc>
        <w:tc>
          <w:tcPr>
            <w:tcW w:w="2348" w:type="dxa"/>
            <w:gridSpan w:val="3"/>
            <w:shd w:val="clear" w:color="auto" w:fill="BFBFBF"/>
            <w:noWrap/>
          </w:tcPr>
          <w:p w14:paraId="0A57E736" w14:textId="77777777" w:rsidR="00A47DEE" w:rsidRPr="00F04EBB" w:rsidRDefault="00A47DEE" w:rsidP="00EE0E23">
            <w:pPr>
              <w:jc w:val="center"/>
              <w:rPr>
                <w:rFonts w:eastAsia="Times New Roman" w:cstheme="minorHAnsi"/>
                <w:b/>
                <w:bCs/>
                <w:color w:val="000000"/>
                <w:sz w:val="18"/>
                <w:szCs w:val="18"/>
              </w:rPr>
            </w:pPr>
            <w:proofErr w:type="spellStart"/>
            <w:r w:rsidRPr="00F04EBB">
              <w:rPr>
                <w:rFonts w:eastAsia="Calibri" w:cstheme="minorHAnsi"/>
                <w:b/>
                <w:bCs/>
                <w:color w:val="000000"/>
                <w:sz w:val="18"/>
                <w:szCs w:val="18"/>
              </w:rPr>
              <w:t>Decrue</w:t>
            </w:r>
            <w:proofErr w:type="spellEnd"/>
            <w:r w:rsidRPr="00F04EBB">
              <w:rPr>
                <w:rFonts w:eastAsia="Calibri" w:cstheme="minorHAnsi"/>
                <w:b/>
                <w:bCs/>
                <w:color w:val="000000"/>
                <w:sz w:val="18"/>
                <w:szCs w:val="18"/>
              </w:rPr>
              <w:t xml:space="preserve"> SONADER</w:t>
            </w:r>
          </w:p>
        </w:tc>
        <w:tc>
          <w:tcPr>
            <w:tcW w:w="1566" w:type="dxa"/>
            <w:gridSpan w:val="2"/>
            <w:shd w:val="clear" w:color="auto" w:fill="BFBFBF"/>
            <w:noWrap/>
          </w:tcPr>
          <w:p w14:paraId="694DC274"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Hivernage</w:t>
            </w:r>
          </w:p>
        </w:tc>
        <w:tc>
          <w:tcPr>
            <w:tcW w:w="783" w:type="dxa"/>
            <w:shd w:val="clear" w:color="auto" w:fill="BFBFBF"/>
            <w:noWrap/>
          </w:tcPr>
          <w:p w14:paraId="6729D30D"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CSC</w:t>
            </w:r>
          </w:p>
        </w:tc>
        <w:tc>
          <w:tcPr>
            <w:tcW w:w="783" w:type="dxa"/>
            <w:shd w:val="clear" w:color="auto" w:fill="BFBFBF"/>
            <w:noWrap/>
          </w:tcPr>
          <w:p w14:paraId="4A927DAD"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CSF</w:t>
            </w:r>
          </w:p>
        </w:tc>
        <w:tc>
          <w:tcPr>
            <w:tcW w:w="850" w:type="dxa"/>
            <w:shd w:val="clear" w:color="auto" w:fill="BFBFBF"/>
            <w:noWrap/>
          </w:tcPr>
          <w:p w14:paraId="70EC3B86"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Total Général</w:t>
            </w:r>
          </w:p>
        </w:tc>
      </w:tr>
      <w:tr w:rsidR="00A47DEE" w:rsidRPr="00F04EBB" w14:paraId="780D000F" w14:textId="77777777" w:rsidTr="00EE0E23">
        <w:trPr>
          <w:trHeight w:val="300"/>
          <w:jc w:val="center"/>
        </w:trPr>
        <w:tc>
          <w:tcPr>
            <w:tcW w:w="1135" w:type="dxa"/>
            <w:noWrap/>
            <w:hideMark/>
          </w:tcPr>
          <w:p w14:paraId="724048C9"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Années</w:t>
            </w:r>
          </w:p>
        </w:tc>
        <w:tc>
          <w:tcPr>
            <w:tcW w:w="866" w:type="dxa"/>
            <w:noWrap/>
            <w:hideMark/>
          </w:tcPr>
          <w:p w14:paraId="27352A14"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Sorgho</w:t>
            </w:r>
          </w:p>
        </w:tc>
        <w:tc>
          <w:tcPr>
            <w:tcW w:w="783" w:type="dxa"/>
            <w:noWrap/>
            <w:hideMark/>
          </w:tcPr>
          <w:p w14:paraId="3D9BF9D6"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Mil</w:t>
            </w:r>
          </w:p>
        </w:tc>
        <w:tc>
          <w:tcPr>
            <w:tcW w:w="624" w:type="dxa"/>
            <w:noWrap/>
            <w:hideMark/>
          </w:tcPr>
          <w:p w14:paraId="23CC65E7"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Mais</w:t>
            </w:r>
          </w:p>
        </w:tc>
        <w:tc>
          <w:tcPr>
            <w:tcW w:w="942" w:type="dxa"/>
            <w:noWrap/>
            <w:hideMark/>
          </w:tcPr>
          <w:p w14:paraId="736E1C9E"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624CC119"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Sorgho</w:t>
            </w:r>
          </w:p>
        </w:tc>
        <w:tc>
          <w:tcPr>
            <w:tcW w:w="782" w:type="dxa"/>
            <w:noWrap/>
            <w:hideMark/>
          </w:tcPr>
          <w:p w14:paraId="3598C4E8"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Mais</w:t>
            </w:r>
          </w:p>
        </w:tc>
        <w:tc>
          <w:tcPr>
            <w:tcW w:w="783" w:type="dxa"/>
            <w:noWrap/>
            <w:hideMark/>
          </w:tcPr>
          <w:p w14:paraId="40C6D68B"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Blé/Orge</w:t>
            </w:r>
          </w:p>
        </w:tc>
        <w:tc>
          <w:tcPr>
            <w:tcW w:w="783" w:type="dxa"/>
            <w:noWrap/>
            <w:hideMark/>
          </w:tcPr>
          <w:p w14:paraId="2721594E"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456BD1C3"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Sorgho</w:t>
            </w:r>
          </w:p>
        </w:tc>
        <w:tc>
          <w:tcPr>
            <w:tcW w:w="783" w:type="dxa"/>
            <w:noWrap/>
            <w:hideMark/>
          </w:tcPr>
          <w:p w14:paraId="545B0A2B"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Mais</w:t>
            </w:r>
          </w:p>
        </w:tc>
        <w:tc>
          <w:tcPr>
            <w:tcW w:w="783" w:type="dxa"/>
            <w:noWrap/>
            <w:hideMark/>
          </w:tcPr>
          <w:p w14:paraId="43A1F5C7"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375EAB2F"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Sorgho</w:t>
            </w:r>
          </w:p>
        </w:tc>
        <w:tc>
          <w:tcPr>
            <w:tcW w:w="782" w:type="dxa"/>
            <w:noWrap/>
            <w:hideMark/>
          </w:tcPr>
          <w:p w14:paraId="45DA0663"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Mais</w:t>
            </w:r>
          </w:p>
        </w:tc>
        <w:tc>
          <w:tcPr>
            <w:tcW w:w="783" w:type="dxa"/>
            <w:noWrap/>
            <w:hideMark/>
          </w:tcPr>
          <w:p w14:paraId="5833D569"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578F07FE"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Riz</w:t>
            </w:r>
          </w:p>
        </w:tc>
        <w:tc>
          <w:tcPr>
            <w:tcW w:w="783" w:type="dxa"/>
            <w:noWrap/>
            <w:hideMark/>
          </w:tcPr>
          <w:p w14:paraId="253275DD"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1BE069EB"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Riz</w:t>
            </w:r>
          </w:p>
        </w:tc>
        <w:tc>
          <w:tcPr>
            <w:tcW w:w="783" w:type="dxa"/>
            <w:noWrap/>
            <w:hideMark/>
          </w:tcPr>
          <w:p w14:paraId="0B4C0C8E"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BLE</w:t>
            </w:r>
          </w:p>
        </w:tc>
        <w:tc>
          <w:tcPr>
            <w:tcW w:w="850" w:type="dxa"/>
            <w:noWrap/>
            <w:hideMark/>
          </w:tcPr>
          <w:p w14:paraId="7F8A4F31"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Total Général</w:t>
            </w:r>
          </w:p>
        </w:tc>
      </w:tr>
      <w:tr w:rsidR="00A47DEE" w:rsidRPr="00F04EBB" w14:paraId="763208AD" w14:textId="77777777" w:rsidTr="00EE0E23">
        <w:trPr>
          <w:trHeight w:val="300"/>
          <w:jc w:val="center"/>
        </w:trPr>
        <w:tc>
          <w:tcPr>
            <w:tcW w:w="1135" w:type="dxa"/>
            <w:noWrap/>
            <w:hideMark/>
          </w:tcPr>
          <w:p w14:paraId="25C849FE"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2012-2013</w:t>
            </w:r>
          </w:p>
        </w:tc>
        <w:tc>
          <w:tcPr>
            <w:tcW w:w="866" w:type="dxa"/>
            <w:noWrap/>
            <w:hideMark/>
          </w:tcPr>
          <w:p w14:paraId="0FCB6992"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197 901</w:t>
            </w:r>
          </w:p>
        </w:tc>
        <w:tc>
          <w:tcPr>
            <w:tcW w:w="783" w:type="dxa"/>
            <w:noWrap/>
            <w:hideMark/>
          </w:tcPr>
          <w:p w14:paraId="099DC6C8"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10 425</w:t>
            </w:r>
          </w:p>
        </w:tc>
        <w:tc>
          <w:tcPr>
            <w:tcW w:w="624" w:type="dxa"/>
            <w:noWrap/>
            <w:hideMark/>
          </w:tcPr>
          <w:p w14:paraId="04DF97BD"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58</w:t>
            </w:r>
          </w:p>
        </w:tc>
        <w:tc>
          <w:tcPr>
            <w:tcW w:w="942" w:type="dxa"/>
            <w:noWrap/>
            <w:hideMark/>
          </w:tcPr>
          <w:p w14:paraId="10CCE02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208 384</w:t>
            </w:r>
          </w:p>
        </w:tc>
        <w:tc>
          <w:tcPr>
            <w:tcW w:w="783" w:type="dxa"/>
            <w:noWrap/>
            <w:hideMark/>
          </w:tcPr>
          <w:p w14:paraId="1EC06F12"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35 220</w:t>
            </w:r>
          </w:p>
        </w:tc>
        <w:tc>
          <w:tcPr>
            <w:tcW w:w="782" w:type="dxa"/>
            <w:noWrap/>
            <w:hideMark/>
          </w:tcPr>
          <w:p w14:paraId="5771C7C6"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20 765</w:t>
            </w:r>
          </w:p>
        </w:tc>
        <w:tc>
          <w:tcPr>
            <w:tcW w:w="783" w:type="dxa"/>
            <w:noWrap/>
            <w:hideMark/>
          </w:tcPr>
          <w:p w14:paraId="4309E6A6"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1 718</w:t>
            </w:r>
          </w:p>
        </w:tc>
        <w:tc>
          <w:tcPr>
            <w:tcW w:w="783" w:type="dxa"/>
            <w:noWrap/>
            <w:hideMark/>
          </w:tcPr>
          <w:p w14:paraId="6DE24179"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57 703</w:t>
            </w:r>
          </w:p>
        </w:tc>
        <w:tc>
          <w:tcPr>
            <w:tcW w:w="783" w:type="dxa"/>
            <w:noWrap/>
            <w:hideMark/>
          </w:tcPr>
          <w:p w14:paraId="1BF6B0A0"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10 910</w:t>
            </w:r>
          </w:p>
        </w:tc>
        <w:tc>
          <w:tcPr>
            <w:tcW w:w="783" w:type="dxa"/>
            <w:noWrap/>
            <w:hideMark/>
          </w:tcPr>
          <w:p w14:paraId="61E2B2B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7 263</w:t>
            </w:r>
          </w:p>
        </w:tc>
        <w:tc>
          <w:tcPr>
            <w:tcW w:w="783" w:type="dxa"/>
            <w:noWrap/>
            <w:hideMark/>
          </w:tcPr>
          <w:p w14:paraId="50EF8A26"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18 173</w:t>
            </w:r>
          </w:p>
        </w:tc>
        <w:tc>
          <w:tcPr>
            <w:tcW w:w="783" w:type="dxa"/>
            <w:noWrap/>
            <w:hideMark/>
          </w:tcPr>
          <w:p w14:paraId="1093A1F5"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4 500</w:t>
            </w:r>
          </w:p>
        </w:tc>
        <w:tc>
          <w:tcPr>
            <w:tcW w:w="782" w:type="dxa"/>
            <w:noWrap/>
            <w:hideMark/>
          </w:tcPr>
          <w:p w14:paraId="0AB8F8C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5 000</w:t>
            </w:r>
          </w:p>
        </w:tc>
        <w:tc>
          <w:tcPr>
            <w:tcW w:w="783" w:type="dxa"/>
            <w:noWrap/>
            <w:hideMark/>
          </w:tcPr>
          <w:p w14:paraId="752D2D7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9 500</w:t>
            </w:r>
          </w:p>
        </w:tc>
        <w:tc>
          <w:tcPr>
            <w:tcW w:w="783" w:type="dxa"/>
            <w:noWrap/>
            <w:hideMark/>
          </w:tcPr>
          <w:p w14:paraId="6136A831"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22 839</w:t>
            </w:r>
          </w:p>
        </w:tc>
        <w:tc>
          <w:tcPr>
            <w:tcW w:w="783" w:type="dxa"/>
            <w:noWrap/>
            <w:hideMark/>
          </w:tcPr>
          <w:p w14:paraId="08DF37D8"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22 839</w:t>
            </w:r>
          </w:p>
        </w:tc>
        <w:tc>
          <w:tcPr>
            <w:tcW w:w="783" w:type="dxa"/>
            <w:noWrap/>
            <w:hideMark/>
          </w:tcPr>
          <w:p w14:paraId="766E1D5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14 162</w:t>
            </w:r>
          </w:p>
        </w:tc>
        <w:tc>
          <w:tcPr>
            <w:tcW w:w="783" w:type="dxa"/>
            <w:noWrap/>
            <w:hideMark/>
          </w:tcPr>
          <w:p w14:paraId="7968F543"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1 145</w:t>
            </w:r>
          </w:p>
        </w:tc>
        <w:tc>
          <w:tcPr>
            <w:tcW w:w="850" w:type="dxa"/>
            <w:noWrap/>
            <w:hideMark/>
          </w:tcPr>
          <w:p w14:paraId="4A95F703"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331 906</w:t>
            </w:r>
          </w:p>
        </w:tc>
      </w:tr>
      <w:tr w:rsidR="00A47DEE" w:rsidRPr="00F04EBB" w14:paraId="6BB74F4A" w14:textId="77777777" w:rsidTr="00EE0E23">
        <w:trPr>
          <w:trHeight w:val="300"/>
          <w:jc w:val="center"/>
        </w:trPr>
        <w:tc>
          <w:tcPr>
            <w:tcW w:w="1135" w:type="dxa"/>
            <w:noWrap/>
            <w:hideMark/>
          </w:tcPr>
          <w:p w14:paraId="7883C5D6"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2013-2014</w:t>
            </w:r>
          </w:p>
        </w:tc>
        <w:tc>
          <w:tcPr>
            <w:tcW w:w="866" w:type="dxa"/>
            <w:noWrap/>
            <w:hideMark/>
          </w:tcPr>
          <w:p w14:paraId="72499FA5"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155 173</w:t>
            </w:r>
          </w:p>
        </w:tc>
        <w:tc>
          <w:tcPr>
            <w:tcW w:w="783" w:type="dxa"/>
            <w:noWrap/>
            <w:hideMark/>
          </w:tcPr>
          <w:p w14:paraId="0D7E755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14 906</w:t>
            </w:r>
          </w:p>
        </w:tc>
        <w:tc>
          <w:tcPr>
            <w:tcW w:w="624" w:type="dxa"/>
            <w:noWrap/>
            <w:hideMark/>
          </w:tcPr>
          <w:p w14:paraId="4768D3A3"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49</w:t>
            </w:r>
          </w:p>
        </w:tc>
        <w:tc>
          <w:tcPr>
            <w:tcW w:w="942" w:type="dxa"/>
            <w:noWrap/>
            <w:hideMark/>
          </w:tcPr>
          <w:p w14:paraId="1B8BFB2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170 128</w:t>
            </w:r>
          </w:p>
        </w:tc>
        <w:tc>
          <w:tcPr>
            <w:tcW w:w="783" w:type="dxa"/>
            <w:noWrap/>
            <w:hideMark/>
          </w:tcPr>
          <w:p w14:paraId="642F6A20"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22 730</w:t>
            </w:r>
          </w:p>
        </w:tc>
        <w:tc>
          <w:tcPr>
            <w:tcW w:w="782" w:type="dxa"/>
            <w:noWrap/>
            <w:hideMark/>
          </w:tcPr>
          <w:p w14:paraId="0A072EBC"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6 046</w:t>
            </w:r>
          </w:p>
        </w:tc>
        <w:tc>
          <w:tcPr>
            <w:tcW w:w="783" w:type="dxa"/>
            <w:noWrap/>
            <w:hideMark/>
          </w:tcPr>
          <w:p w14:paraId="5098A55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2 356</w:t>
            </w:r>
          </w:p>
        </w:tc>
        <w:tc>
          <w:tcPr>
            <w:tcW w:w="783" w:type="dxa"/>
            <w:noWrap/>
            <w:hideMark/>
          </w:tcPr>
          <w:p w14:paraId="0B0C83B5"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31 132</w:t>
            </w:r>
          </w:p>
        </w:tc>
        <w:tc>
          <w:tcPr>
            <w:tcW w:w="783" w:type="dxa"/>
            <w:noWrap/>
            <w:hideMark/>
          </w:tcPr>
          <w:p w14:paraId="7A255C97"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5 944</w:t>
            </w:r>
          </w:p>
        </w:tc>
        <w:tc>
          <w:tcPr>
            <w:tcW w:w="783" w:type="dxa"/>
            <w:noWrap/>
            <w:hideMark/>
          </w:tcPr>
          <w:p w14:paraId="065E02A6"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3 032</w:t>
            </w:r>
          </w:p>
        </w:tc>
        <w:tc>
          <w:tcPr>
            <w:tcW w:w="783" w:type="dxa"/>
            <w:noWrap/>
            <w:hideMark/>
          </w:tcPr>
          <w:p w14:paraId="5F983C19"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8 976</w:t>
            </w:r>
          </w:p>
        </w:tc>
        <w:tc>
          <w:tcPr>
            <w:tcW w:w="783" w:type="dxa"/>
            <w:noWrap/>
            <w:hideMark/>
          </w:tcPr>
          <w:p w14:paraId="6E4661D9"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3 974</w:t>
            </w:r>
          </w:p>
        </w:tc>
        <w:tc>
          <w:tcPr>
            <w:tcW w:w="782" w:type="dxa"/>
            <w:noWrap/>
            <w:hideMark/>
          </w:tcPr>
          <w:p w14:paraId="1D24A8B6"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4 032</w:t>
            </w:r>
          </w:p>
        </w:tc>
        <w:tc>
          <w:tcPr>
            <w:tcW w:w="783" w:type="dxa"/>
            <w:noWrap/>
            <w:hideMark/>
          </w:tcPr>
          <w:p w14:paraId="226910B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8 006</w:t>
            </w:r>
          </w:p>
        </w:tc>
        <w:tc>
          <w:tcPr>
            <w:tcW w:w="783" w:type="dxa"/>
            <w:noWrap/>
            <w:hideMark/>
          </w:tcPr>
          <w:p w14:paraId="33B39BC5"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24 807</w:t>
            </w:r>
          </w:p>
        </w:tc>
        <w:tc>
          <w:tcPr>
            <w:tcW w:w="783" w:type="dxa"/>
            <w:noWrap/>
            <w:hideMark/>
          </w:tcPr>
          <w:p w14:paraId="0C6B9323"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24 807</w:t>
            </w:r>
          </w:p>
        </w:tc>
        <w:tc>
          <w:tcPr>
            <w:tcW w:w="783" w:type="dxa"/>
            <w:noWrap/>
            <w:hideMark/>
          </w:tcPr>
          <w:p w14:paraId="15F84C88"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16 094</w:t>
            </w:r>
          </w:p>
        </w:tc>
        <w:tc>
          <w:tcPr>
            <w:tcW w:w="783" w:type="dxa"/>
            <w:noWrap/>
            <w:hideMark/>
          </w:tcPr>
          <w:p w14:paraId="719CB453"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801</w:t>
            </w:r>
          </w:p>
        </w:tc>
        <w:tc>
          <w:tcPr>
            <w:tcW w:w="850" w:type="dxa"/>
            <w:noWrap/>
            <w:hideMark/>
          </w:tcPr>
          <w:p w14:paraId="23BED9D4"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259 944</w:t>
            </w:r>
          </w:p>
        </w:tc>
      </w:tr>
      <w:tr w:rsidR="00A47DEE" w:rsidRPr="00F04EBB" w14:paraId="1021D4D2" w14:textId="77777777" w:rsidTr="00EE0E23">
        <w:trPr>
          <w:trHeight w:val="300"/>
          <w:jc w:val="center"/>
        </w:trPr>
        <w:tc>
          <w:tcPr>
            <w:tcW w:w="1135" w:type="dxa"/>
            <w:noWrap/>
            <w:hideMark/>
          </w:tcPr>
          <w:p w14:paraId="7269A957"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2014-2015</w:t>
            </w:r>
          </w:p>
        </w:tc>
        <w:tc>
          <w:tcPr>
            <w:tcW w:w="866" w:type="dxa"/>
            <w:noWrap/>
            <w:hideMark/>
          </w:tcPr>
          <w:p w14:paraId="5A925854"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103 024</w:t>
            </w:r>
          </w:p>
        </w:tc>
        <w:tc>
          <w:tcPr>
            <w:tcW w:w="783" w:type="dxa"/>
            <w:noWrap/>
            <w:hideMark/>
          </w:tcPr>
          <w:p w14:paraId="3B5373BF"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7 949</w:t>
            </w:r>
          </w:p>
        </w:tc>
        <w:tc>
          <w:tcPr>
            <w:tcW w:w="624" w:type="dxa"/>
            <w:noWrap/>
            <w:hideMark/>
          </w:tcPr>
          <w:p w14:paraId="0B8C2914"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516</w:t>
            </w:r>
          </w:p>
        </w:tc>
        <w:tc>
          <w:tcPr>
            <w:tcW w:w="942" w:type="dxa"/>
            <w:noWrap/>
            <w:hideMark/>
          </w:tcPr>
          <w:p w14:paraId="1B108AB5"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111 489</w:t>
            </w:r>
          </w:p>
        </w:tc>
        <w:tc>
          <w:tcPr>
            <w:tcW w:w="783" w:type="dxa"/>
            <w:noWrap/>
            <w:hideMark/>
          </w:tcPr>
          <w:p w14:paraId="64A5FC32"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25 760</w:t>
            </w:r>
          </w:p>
        </w:tc>
        <w:tc>
          <w:tcPr>
            <w:tcW w:w="782" w:type="dxa"/>
            <w:noWrap/>
            <w:hideMark/>
          </w:tcPr>
          <w:p w14:paraId="4EC8FE14"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12 196</w:t>
            </w:r>
          </w:p>
        </w:tc>
        <w:tc>
          <w:tcPr>
            <w:tcW w:w="783" w:type="dxa"/>
            <w:noWrap/>
            <w:hideMark/>
          </w:tcPr>
          <w:p w14:paraId="0FC81F08"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1 796</w:t>
            </w:r>
          </w:p>
        </w:tc>
        <w:tc>
          <w:tcPr>
            <w:tcW w:w="783" w:type="dxa"/>
            <w:noWrap/>
            <w:hideMark/>
          </w:tcPr>
          <w:p w14:paraId="0B5B409D"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39 751</w:t>
            </w:r>
          </w:p>
        </w:tc>
        <w:tc>
          <w:tcPr>
            <w:tcW w:w="783" w:type="dxa"/>
            <w:noWrap/>
            <w:hideMark/>
          </w:tcPr>
          <w:p w14:paraId="46CA7E2F"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2 117</w:t>
            </w:r>
          </w:p>
        </w:tc>
        <w:tc>
          <w:tcPr>
            <w:tcW w:w="783" w:type="dxa"/>
            <w:noWrap/>
            <w:hideMark/>
          </w:tcPr>
          <w:p w14:paraId="61579EEC"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1 848</w:t>
            </w:r>
          </w:p>
        </w:tc>
        <w:tc>
          <w:tcPr>
            <w:tcW w:w="783" w:type="dxa"/>
            <w:noWrap/>
            <w:hideMark/>
          </w:tcPr>
          <w:p w14:paraId="7978B95E"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3 965</w:t>
            </w:r>
          </w:p>
        </w:tc>
        <w:tc>
          <w:tcPr>
            <w:tcW w:w="783" w:type="dxa"/>
            <w:noWrap/>
            <w:hideMark/>
          </w:tcPr>
          <w:p w14:paraId="276C5219"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3 969</w:t>
            </w:r>
          </w:p>
        </w:tc>
        <w:tc>
          <w:tcPr>
            <w:tcW w:w="782" w:type="dxa"/>
            <w:noWrap/>
            <w:hideMark/>
          </w:tcPr>
          <w:p w14:paraId="019641CF"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3 838</w:t>
            </w:r>
          </w:p>
        </w:tc>
        <w:tc>
          <w:tcPr>
            <w:tcW w:w="783" w:type="dxa"/>
            <w:noWrap/>
            <w:hideMark/>
          </w:tcPr>
          <w:p w14:paraId="7C674291"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7 807</w:t>
            </w:r>
          </w:p>
        </w:tc>
        <w:tc>
          <w:tcPr>
            <w:tcW w:w="783" w:type="dxa"/>
            <w:noWrap/>
            <w:hideMark/>
          </w:tcPr>
          <w:p w14:paraId="2071A080"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34 791</w:t>
            </w:r>
          </w:p>
        </w:tc>
        <w:tc>
          <w:tcPr>
            <w:tcW w:w="783" w:type="dxa"/>
            <w:noWrap/>
            <w:hideMark/>
          </w:tcPr>
          <w:p w14:paraId="42271C33"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34 791</w:t>
            </w:r>
          </w:p>
        </w:tc>
        <w:tc>
          <w:tcPr>
            <w:tcW w:w="783" w:type="dxa"/>
            <w:noWrap/>
            <w:hideMark/>
          </w:tcPr>
          <w:p w14:paraId="7171B83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22 313</w:t>
            </w:r>
          </w:p>
        </w:tc>
        <w:tc>
          <w:tcPr>
            <w:tcW w:w="783" w:type="dxa"/>
            <w:noWrap/>
            <w:hideMark/>
          </w:tcPr>
          <w:p w14:paraId="32B571E5"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1 704</w:t>
            </w:r>
          </w:p>
        </w:tc>
        <w:tc>
          <w:tcPr>
            <w:tcW w:w="850" w:type="dxa"/>
            <w:noWrap/>
            <w:hideMark/>
          </w:tcPr>
          <w:p w14:paraId="75DF3C86"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221 820</w:t>
            </w:r>
          </w:p>
        </w:tc>
      </w:tr>
      <w:tr w:rsidR="00A47DEE" w:rsidRPr="00F04EBB" w14:paraId="4CD108E0" w14:textId="77777777" w:rsidTr="00EE0E23">
        <w:trPr>
          <w:trHeight w:val="300"/>
          <w:jc w:val="center"/>
        </w:trPr>
        <w:tc>
          <w:tcPr>
            <w:tcW w:w="1135" w:type="dxa"/>
            <w:noWrap/>
            <w:hideMark/>
          </w:tcPr>
          <w:p w14:paraId="7CEE44BE"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2015-2016</w:t>
            </w:r>
          </w:p>
        </w:tc>
        <w:tc>
          <w:tcPr>
            <w:tcW w:w="866" w:type="dxa"/>
            <w:noWrap/>
            <w:hideMark/>
          </w:tcPr>
          <w:p w14:paraId="5BD01FA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155 468</w:t>
            </w:r>
          </w:p>
        </w:tc>
        <w:tc>
          <w:tcPr>
            <w:tcW w:w="783" w:type="dxa"/>
            <w:noWrap/>
            <w:hideMark/>
          </w:tcPr>
          <w:p w14:paraId="5A5B934C"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11 083</w:t>
            </w:r>
          </w:p>
        </w:tc>
        <w:tc>
          <w:tcPr>
            <w:tcW w:w="624" w:type="dxa"/>
            <w:noWrap/>
            <w:hideMark/>
          </w:tcPr>
          <w:p w14:paraId="062EC2F3"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341</w:t>
            </w:r>
          </w:p>
        </w:tc>
        <w:tc>
          <w:tcPr>
            <w:tcW w:w="942" w:type="dxa"/>
            <w:noWrap/>
            <w:hideMark/>
          </w:tcPr>
          <w:p w14:paraId="4AF98CD0"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166 892</w:t>
            </w:r>
          </w:p>
        </w:tc>
        <w:tc>
          <w:tcPr>
            <w:tcW w:w="783" w:type="dxa"/>
            <w:noWrap/>
            <w:hideMark/>
          </w:tcPr>
          <w:p w14:paraId="629BEBA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35 399</w:t>
            </w:r>
          </w:p>
        </w:tc>
        <w:tc>
          <w:tcPr>
            <w:tcW w:w="782" w:type="dxa"/>
            <w:noWrap/>
            <w:hideMark/>
          </w:tcPr>
          <w:p w14:paraId="12ACCC60"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13 854</w:t>
            </w:r>
          </w:p>
        </w:tc>
        <w:tc>
          <w:tcPr>
            <w:tcW w:w="783" w:type="dxa"/>
            <w:noWrap/>
            <w:hideMark/>
          </w:tcPr>
          <w:p w14:paraId="0A293CC5"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2 070</w:t>
            </w:r>
          </w:p>
        </w:tc>
        <w:tc>
          <w:tcPr>
            <w:tcW w:w="783" w:type="dxa"/>
            <w:noWrap/>
            <w:hideMark/>
          </w:tcPr>
          <w:p w14:paraId="6B0D0663"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51 323</w:t>
            </w:r>
          </w:p>
        </w:tc>
        <w:tc>
          <w:tcPr>
            <w:tcW w:w="783" w:type="dxa"/>
            <w:noWrap/>
            <w:hideMark/>
          </w:tcPr>
          <w:p w14:paraId="6DBB0656"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7 008</w:t>
            </w:r>
          </w:p>
        </w:tc>
        <w:tc>
          <w:tcPr>
            <w:tcW w:w="783" w:type="dxa"/>
            <w:noWrap/>
            <w:hideMark/>
          </w:tcPr>
          <w:p w14:paraId="3AEF138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2 572</w:t>
            </w:r>
          </w:p>
        </w:tc>
        <w:tc>
          <w:tcPr>
            <w:tcW w:w="783" w:type="dxa"/>
            <w:noWrap/>
            <w:hideMark/>
          </w:tcPr>
          <w:p w14:paraId="00CD908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9 580</w:t>
            </w:r>
          </w:p>
        </w:tc>
        <w:tc>
          <w:tcPr>
            <w:tcW w:w="783" w:type="dxa"/>
            <w:noWrap/>
            <w:hideMark/>
          </w:tcPr>
          <w:p w14:paraId="692EDE30"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3 889</w:t>
            </w:r>
          </w:p>
        </w:tc>
        <w:tc>
          <w:tcPr>
            <w:tcW w:w="782" w:type="dxa"/>
            <w:noWrap/>
            <w:hideMark/>
          </w:tcPr>
          <w:p w14:paraId="460ED265"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3 974</w:t>
            </w:r>
          </w:p>
        </w:tc>
        <w:tc>
          <w:tcPr>
            <w:tcW w:w="783" w:type="dxa"/>
            <w:noWrap/>
            <w:hideMark/>
          </w:tcPr>
          <w:p w14:paraId="41AA54C4"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7 863</w:t>
            </w:r>
          </w:p>
        </w:tc>
        <w:tc>
          <w:tcPr>
            <w:tcW w:w="783" w:type="dxa"/>
            <w:noWrap/>
            <w:hideMark/>
          </w:tcPr>
          <w:p w14:paraId="3E82C882"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28 425</w:t>
            </w:r>
          </w:p>
        </w:tc>
        <w:tc>
          <w:tcPr>
            <w:tcW w:w="783" w:type="dxa"/>
            <w:noWrap/>
            <w:hideMark/>
          </w:tcPr>
          <w:p w14:paraId="3A52ECE2"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28 425</w:t>
            </w:r>
          </w:p>
        </w:tc>
        <w:tc>
          <w:tcPr>
            <w:tcW w:w="783" w:type="dxa"/>
            <w:noWrap/>
            <w:hideMark/>
          </w:tcPr>
          <w:p w14:paraId="1A5662C9"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16 328</w:t>
            </w:r>
          </w:p>
        </w:tc>
        <w:tc>
          <w:tcPr>
            <w:tcW w:w="783" w:type="dxa"/>
            <w:noWrap/>
            <w:hideMark/>
          </w:tcPr>
          <w:p w14:paraId="7F1873D6"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523</w:t>
            </w:r>
          </w:p>
        </w:tc>
        <w:tc>
          <w:tcPr>
            <w:tcW w:w="850" w:type="dxa"/>
            <w:noWrap/>
            <w:hideMark/>
          </w:tcPr>
          <w:p w14:paraId="6820C922"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280 933</w:t>
            </w:r>
          </w:p>
        </w:tc>
      </w:tr>
      <w:tr w:rsidR="00A47DEE" w:rsidRPr="00F04EBB" w14:paraId="5CC0BEAD" w14:textId="77777777" w:rsidTr="00EE0E23">
        <w:trPr>
          <w:trHeight w:val="300"/>
          <w:jc w:val="center"/>
        </w:trPr>
        <w:tc>
          <w:tcPr>
            <w:tcW w:w="1135" w:type="dxa"/>
            <w:noWrap/>
            <w:hideMark/>
          </w:tcPr>
          <w:p w14:paraId="0A4E45F5"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2016-2017</w:t>
            </w:r>
          </w:p>
        </w:tc>
        <w:tc>
          <w:tcPr>
            <w:tcW w:w="866" w:type="dxa"/>
            <w:noWrap/>
            <w:hideMark/>
          </w:tcPr>
          <w:p w14:paraId="77DE6D8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135 852</w:t>
            </w:r>
          </w:p>
        </w:tc>
        <w:tc>
          <w:tcPr>
            <w:tcW w:w="783" w:type="dxa"/>
            <w:noWrap/>
            <w:hideMark/>
          </w:tcPr>
          <w:p w14:paraId="2B1D4769"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10 232</w:t>
            </w:r>
          </w:p>
        </w:tc>
        <w:tc>
          <w:tcPr>
            <w:tcW w:w="624" w:type="dxa"/>
            <w:noWrap/>
            <w:hideMark/>
          </w:tcPr>
          <w:p w14:paraId="1D495FC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265</w:t>
            </w:r>
          </w:p>
        </w:tc>
        <w:tc>
          <w:tcPr>
            <w:tcW w:w="942" w:type="dxa"/>
            <w:noWrap/>
            <w:hideMark/>
          </w:tcPr>
          <w:p w14:paraId="22EC774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146 349</w:t>
            </w:r>
          </w:p>
        </w:tc>
        <w:tc>
          <w:tcPr>
            <w:tcW w:w="783" w:type="dxa"/>
            <w:noWrap/>
            <w:hideMark/>
          </w:tcPr>
          <w:p w14:paraId="64A9207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31 017</w:t>
            </w:r>
          </w:p>
        </w:tc>
        <w:tc>
          <w:tcPr>
            <w:tcW w:w="782" w:type="dxa"/>
            <w:noWrap/>
            <w:hideMark/>
          </w:tcPr>
          <w:p w14:paraId="474FFD47"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13 571</w:t>
            </w:r>
          </w:p>
        </w:tc>
        <w:tc>
          <w:tcPr>
            <w:tcW w:w="783" w:type="dxa"/>
            <w:noWrap/>
            <w:hideMark/>
          </w:tcPr>
          <w:p w14:paraId="62B46A87"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1 213</w:t>
            </w:r>
          </w:p>
        </w:tc>
        <w:tc>
          <w:tcPr>
            <w:tcW w:w="783" w:type="dxa"/>
            <w:noWrap/>
            <w:hideMark/>
          </w:tcPr>
          <w:p w14:paraId="3E679FCD"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45 800</w:t>
            </w:r>
          </w:p>
        </w:tc>
        <w:tc>
          <w:tcPr>
            <w:tcW w:w="783" w:type="dxa"/>
            <w:noWrap/>
            <w:hideMark/>
          </w:tcPr>
          <w:p w14:paraId="286A3E63"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6 475</w:t>
            </w:r>
          </w:p>
        </w:tc>
        <w:tc>
          <w:tcPr>
            <w:tcW w:w="783" w:type="dxa"/>
            <w:noWrap/>
            <w:hideMark/>
          </w:tcPr>
          <w:p w14:paraId="0EE81750"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2 943</w:t>
            </w:r>
          </w:p>
        </w:tc>
        <w:tc>
          <w:tcPr>
            <w:tcW w:w="783" w:type="dxa"/>
            <w:noWrap/>
            <w:hideMark/>
          </w:tcPr>
          <w:p w14:paraId="78D30624"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9 418</w:t>
            </w:r>
          </w:p>
        </w:tc>
        <w:tc>
          <w:tcPr>
            <w:tcW w:w="783" w:type="dxa"/>
            <w:noWrap/>
            <w:hideMark/>
          </w:tcPr>
          <w:p w14:paraId="529F881E"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2 613</w:t>
            </w:r>
          </w:p>
        </w:tc>
        <w:tc>
          <w:tcPr>
            <w:tcW w:w="782" w:type="dxa"/>
            <w:noWrap/>
            <w:hideMark/>
          </w:tcPr>
          <w:p w14:paraId="4D35B63F"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2 869</w:t>
            </w:r>
          </w:p>
        </w:tc>
        <w:tc>
          <w:tcPr>
            <w:tcW w:w="783" w:type="dxa"/>
            <w:noWrap/>
            <w:hideMark/>
          </w:tcPr>
          <w:p w14:paraId="209D7671"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5 482</w:t>
            </w:r>
          </w:p>
        </w:tc>
        <w:tc>
          <w:tcPr>
            <w:tcW w:w="783" w:type="dxa"/>
            <w:noWrap/>
            <w:hideMark/>
          </w:tcPr>
          <w:p w14:paraId="53D58193"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18 609</w:t>
            </w:r>
          </w:p>
        </w:tc>
        <w:tc>
          <w:tcPr>
            <w:tcW w:w="783" w:type="dxa"/>
            <w:noWrap/>
            <w:hideMark/>
          </w:tcPr>
          <w:p w14:paraId="40D8CAE8"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18 609</w:t>
            </w:r>
          </w:p>
        </w:tc>
        <w:tc>
          <w:tcPr>
            <w:tcW w:w="783" w:type="dxa"/>
            <w:noWrap/>
            <w:hideMark/>
          </w:tcPr>
          <w:p w14:paraId="57ECEC57"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17 975</w:t>
            </w:r>
          </w:p>
        </w:tc>
        <w:tc>
          <w:tcPr>
            <w:tcW w:w="783" w:type="dxa"/>
            <w:noWrap/>
            <w:hideMark/>
          </w:tcPr>
          <w:p w14:paraId="37339914"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383</w:t>
            </w:r>
          </w:p>
        </w:tc>
        <w:tc>
          <w:tcPr>
            <w:tcW w:w="850" w:type="dxa"/>
            <w:noWrap/>
            <w:hideMark/>
          </w:tcPr>
          <w:p w14:paraId="51845514"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244 015</w:t>
            </w:r>
          </w:p>
        </w:tc>
      </w:tr>
      <w:tr w:rsidR="00A47DEE" w:rsidRPr="00F04EBB" w14:paraId="2E34ACE7" w14:textId="77777777" w:rsidTr="00EE0E23">
        <w:trPr>
          <w:trHeight w:val="300"/>
          <w:jc w:val="center"/>
        </w:trPr>
        <w:tc>
          <w:tcPr>
            <w:tcW w:w="1135" w:type="dxa"/>
            <w:noWrap/>
            <w:hideMark/>
          </w:tcPr>
          <w:p w14:paraId="695FC797"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2017-2018</w:t>
            </w:r>
          </w:p>
        </w:tc>
        <w:tc>
          <w:tcPr>
            <w:tcW w:w="866" w:type="dxa"/>
            <w:noWrap/>
            <w:hideMark/>
          </w:tcPr>
          <w:p w14:paraId="1A78D668"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95 394</w:t>
            </w:r>
          </w:p>
        </w:tc>
        <w:tc>
          <w:tcPr>
            <w:tcW w:w="783" w:type="dxa"/>
            <w:noWrap/>
            <w:hideMark/>
          </w:tcPr>
          <w:p w14:paraId="28C6127F"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6 349</w:t>
            </w:r>
          </w:p>
        </w:tc>
        <w:tc>
          <w:tcPr>
            <w:tcW w:w="624" w:type="dxa"/>
            <w:noWrap/>
            <w:hideMark/>
          </w:tcPr>
          <w:p w14:paraId="51C06D40"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151</w:t>
            </w:r>
          </w:p>
        </w:tc>
        <w:tc>
          <w:tcPr>
            <w:tcW w:w="942" w:type="dxa"/>
            <w:noWrap/>
            <w:hideMark/>
          </w:tcPr>
          <w:p w14:paraId="5E2C054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101 894</w:t>
            </w:r>
          </w:p>
        </w:tc>
        <w:tc>
          <w:tcPr>
            <w:tcW w:w="783" w:type="dxa"/>
            <w:noWrap/>
            <w:hideMark/>
          </w:tcPr>
          <w:p w14:paraId="59D3EE4E"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23 059</w:t>
            </w:r>
          </w:p>
        </w:tc>
        <w:tc>
          <w:tcPr>
            <w:tcW w:w="782" w:type="dxa"/>
            <w:noWrap/>
            <w:hideMark/>
          </w:tcPr>
          <w:p w14:paraId="3269FAEE"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7 860</w:t>
            </w:r>
          </w:p>
        </w:tc>
        <w:tc>
          <w:tcPr>
            <w:tcW w:w="783" w:type="dxa"/>
            <w:noWrap/>
            <w:hideMark/>
          </w:tcPr>
          <w:p w14:paraId="26CC5913"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344</w:t>
            </w:r>
          </w:p>
        </w:tc>
        <w:tc>
          <w:tcPr>
            <w:tcW w:w="783" w:type="dxa"/>
            <w:noWrap/>
            <w:hideMark/>
          </w:tcPr>
          <w:p w14:paraId="0881F4DD"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31 263</w:t>
            </w:r>
          </w:p>
        </w:tc>
        <w:tc>
          <w:tcPr>
            <w:tcW w:w="783" w:type="dxa"/>
            <w:noWrap/>
            <w:hideMark/>
          </w:tcPr>
          <w:p w14:paraId="7C9B7648" w14:textId="77777777" w:rsidR="00A47DEE" w:rsidRPr="00F04EBB" w:rsidRDefault="00A47DEE" w:rsidP="00EE0E23">
            <w:pPr>
              <w:jc w:val="right"/>
              <w:rPr>
                <w:rFonts w:eastAsia="Times New Roman" w:cstheme="minorHAnsi"/>
                <w:color w:val="000000"/>
                <w:sz w:val="18"/>
                <w:szCs w:val="18"/>
              </w:rPr>
            </w:pPr>
            <w:r w:rsidRPr="00F04EBB">
              <w:rPr>
                <w:rFonts w:eastAsia="Times New Roman" w:cstheme="minorHAnsi"/>
                <w:color w:val="000000"/>
                <w:sz w:val="18"/>
                <w:szCs w:val="18"/>
              </w:rPr>
              <w:t>4 004</w:t>
            </w:r>
          </w:p>
        </w:tc>
        <w:tc>
          <w:tcPr>
            <w:tcW w:w="783" w:type="dxa"/>
            <w:noWrap/>
            <w:hideMark/>
          </w:tcPr>
          <w:p w14:paraId="7315AA9B" w14:textId="77777777" w:rsidR="00A47DEE" w:rsidRPr="00F04EBB" w:rsidRDefault="00A47DEE" w:rsidP="00EE0E23">
            <w:pPr>
              <w:jc w:val="right"/>
              <w:rPr>
                <w:rFonts w:eastAsia="Times New Roman" w:cstheme="minorHAnsi"/>
                <w:color w:val="000000"/>
                <w:sz w:val="18"/>
                <w:szCs w:val="18"/>
              </w:rPr>
            </w:pPr>
            <w:r w:rsidRPr="00F04EBB">
              <w:rPr>
                <w:rFonts w:eastAsia="Times New Roman" w:cstheme="minorHAnsi"/>
                <w:color w:val="000000"/>
                <w:sz w:val="18"/>
                <w:szCs w:val="18"/>
              </w:rPr>
              <w:t>2 377</w:t>
            </w:r>
          </w:p>
        </w:tc>
        <w:tc>
          <w:tcPr>
            <w:tcW w:w="783" w:type="dxa"/>
            <w:noWrap/>
            <w:hideMark/>
          </w:tcPr>
          <w:p w14:paraId="213EDF4B" w14:textId="77777777" w:rsidR="00A47DEE" w:rsidRPr="00F04EBB" w:rsidRDefault="00A47DEE" w:rsidP="00EE0E23">
            <w:pPr>
              <w:jc w:val="right"/>
              <w:rPr>
                <w:rFonts w:eastAsia="Times New Roman" w:cstheme="minorHAnsi"/>
                <w:color w:val="000000"/>
                <w:sz w:val="18"/>
                <w:szCs w:val="18"/>
              </w:rPr>
            </w:pPr>
            <w:r w:rsidRPr="00F04EBB">
              <w:rPr>
                <w:rFonts w:eastAsia="Times New Roman" w:cstheme="minorHAnsi"/>
                <w:color w:val="000000"/>
                <w:sz w:val="18"/>
                <w:szCs w:val="18"/>
              </w:rPr>
              <w:t>6 381</w:t>
            </w:r>
          </w:p>
        </w:tc>
        <w:tc>
          <w:tcPr>
            <w:tcW w:w="783" w:type="dxa"/>
            <w:noWrap/>
            <w:hideMark/>
          </w:tcPr>
          <w:p w14:paraId="0408F1C7"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3 789</w:t>
            </w:r>
          </w:p>
        </w:tc>
        <w:tc>
          <w:tcPr>
            <w:tcW w:w="782" w:type="dxa"/>
            <w:noWrap/>
            <w:hideMark/>
          </w:tcPr>
          <w:p w14:paraId="6630153D"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3 943</w:t>
            </w:r>
          </w:p>
        </w:tc>
        <w:tc>
          <w:tcPr>
            <w:tcW w:w="783" w:type="dxa"/>
            <w:noWrap/>
            <w:hideMark/>
          </w:tcPr>
          <w:p w14:paraId="5DABBCF8"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7 731</w:t>
            </w:r>
          </w:p>
        </w:tc>
        <w:tc>
          <w:tcPr>
            <w:tcW w:w="783" w:type="dxa"/>
            <w:noWrap/>
            <w:hideMark/>
          </w:tcPr>
          <w:p w14:paraId="207D60F2" w14:textId="77777777" w:rsidR="00A47DEE" w:rsidRPr="00F04EBB" w:rsidRDefault="00A47DEE" w:rsidP="00EE0E23">
            <w:pPr>
              <w:jc w:val="right"/>
              <w:rPr>
                <w:rFonts w:eastAsia="Times New Roman" w:cstheme="minorHAnsi"/>
                <w:color w:val="000000"/>
                <w:sz w:val="18"/>
                <w:szCs w:val="18"/>
              </w:rPr>
            </w:pPr>
            <w:r w:rsidRPr="00F04EBB">
              <w:rPr>
                <w:rFonts w:eastAsia="Times New Roman" w:cstheme="minorHAnsi"/>
                <w:color w:val="000000"/>
                <w:sz w:val="18"/>
                <w:szCs w:val="18"/>
              </w:rPr>
              <w:t>27 005</w:t>
            </w:r>
          </w:p>
        </w:tc>
        <w:tc>
          <w:tcPr>
            <w:tcW w:w="783" w:type="dxa"/>
            <w:noWrap/>
            <w:hideMark/>
          </w:tcPr>
          <w:p w14:paraId="04FCD825" w14:textId="77777777" w:rsidR="00A47DEE" w:rsidRPr="00F04EBB" w:rsidRDefault="00A47DEE" w:rsidP="00EE0E23">
            <w:pPr>
              <w:jc w:val="right"/>
              <w:rPr>
                <w:rFonts w:eastAsia="Times New Roman" w:cstheme="minorHAnsi"/>
                <w:color w:val="000000"/>
                <w:sz w:val="18"/>
                <w:szCs w:val="18"/>
              </w:rPr>
            </w:pPr>
            <w:r w:rsidRPr="00F04EBB">
              <w:rPr>
                <w:rFonts w:eastAsia="Times New Roman" w:cstheme="minorHAnsi"/>
                <w:color w:val="000000"/>
                <w:sz w:val="18"/>
                <w:szCs w:val="18"/>
              </w:rPr>
              <w:t>27 005</w:t>
            </w:r>
          </w:p>
        </w:tc>
        <w:tc>
          <w:tcPr>
            <w:tcW w:w="783" w:type="dxa"/>
            <w:noWrap/>
            <w:hideMark/>
          </w:tcPr>
          <w:p w14:paraId="72FCA7B4" w14:textId="77777777" w:rsidR="00A47DEE" w:rsidRPr="00F04EBB" w:rsidRDefault="00A47DEE" w:rsidP="00EE0E23">
            <w:pPr>
              <w:jc w:val="right"/>
              <w:rPr>
                <w:rFonts w:eastAsia="Times New Roman" w:cstheme="minorHAnsi"/>
                <w:color w:val="000000"/>
                <w:sz w:val="18"/>
                <w:szCs w:val="18"/>
              </w:rPr>
            </w:pPr>
            <w:r w:rsidRPr="00F04EBB">
              <w:rPr>
                <w:rFonts w:eastAsia="Times New Roman" w:cstheme="minorHAnsi"/>
                <w:color w:val="000000"/>
                <w:sz w:val="18"/>
                <w:szCs w:val="18"/>
              </w:rPr>
              <w:t>27 111</w:t>
            </w:r>
          </w:p>
        </w:tc>
        <w:tc>
          <w:tcPr>
            <w:tcW w:w="783" w:type="dxa"/>
            <w:noWrap/>
            <w:hideMark/>
          </w:tcPr>
          <w:p w14:paraId="61BAA14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219</w:t>
            </w:r>
          </w:p>
        </w:tc>
        <w:tc>
          <w:tcPr>
            <w:tcW w:w="850" w:type="dxa"/>
            <w:noWrap/>
            <w:hideMark/>
          </w:tcPr>
          <w:p w14:paraId="4FCAB2A8"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174 817</w:t>
            </w:r>
          </w:p>
        </w:tc>
      </w:tr>
      <w:tr w:rsidR="00A47DEE" w:rsidRPr="00F04EBB" w14:paraId="0923C6A8" w14:textId="77777777" w:rsidTr="00EE0E23">
        <w:trPr>
          <w:trHeight w:val="300"/>
          <w:jc w:val="center"/>
        </w:trPr>
        <w:tc>
          <w:tcPr>
            <w:tcW w:w="1135" w:type="dxa"/>
            <w:noWrap/>
            <w:hideMark/>
          </w:tcPr>
          <w:p w14:paraId="35D9D38A"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2018-2019</w:t>
            </w:r>
          </w:p>
        </w:tc>
        <w:tc>
          <w:tcPr>
            <w:tcW w:w="866" w:type="dxa"/>
            <w:hideMark/>
          </w:tcPr>
          <w:p w14:paraId="009522C3"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160 057</w:t>
            </w:r>
          </w:p>
        </w:tc>
        <w:tc>
          <w:tcPr>
            <w:tcW w:w="783" w:type="dxa"/>
            <w:hideMark/>
          </w:tcPr>
          <w:p w14:paraId="74634D35"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12 392</w:t>
            </w:r>
          </w:p>
        </w:tc>
        <w:tc>
          <w:tcPr>
            <w:tcW w:w="624" w:type="dxa"/>
            <w:hideMark/>
          </w:tcPr>
          <w:p w14:paraId="2095D734"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328</w:t>
            </w:r>
          </w:p>
        </w:tc>
        <w:tc>
          <w:tcPr>
            <w:tcW w:w="942" w:type="dxa"/>
            <w:hideMark/>
          </w:tcPr>
          <w:p w14:paraId="2F6DA8F4"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172 777</w:t>
            </w:r>
          </w:p>
        </w:tc>
        <w:tc>
          <w:tcPr>
            <w:tcW w:w="783" w:type="dxa"/>
            <w:noWrap/>
            <w:hideMark/>
          </w:tcPr>
          <w:p w14:paraId="1CF761EC"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31 959</w:t>
            </w:r>
          </w:p>
        </w:tc>
        <w:tc>
          <w:tcPr>
            <w:tcW w:w="782" w:type="dxa"/>
            <w:noWrap/>
            <w:hideMark/>
          </w:tcPr>
          <w:p w14:paraId="597466EF"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11 991</w:t>
            </w:r>
          </w:p>
        </w:tc>
        <w:tc>
          <w:tcPr>
            <w:tcW w:w="783" w:type="dxa"/>
            <w:noWrap/>
            <w:hideMark/>
          </w:tcPr>
          <w:p w14:paraId="619DD49C"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1 612</w:t>
            </w:r>
          </w:p>
        </w:tc>
        <w:tc>
          <w:tcPr>
            <w:tcW w:w="783" w:type="dxa"/>
            <w:noWrap/>
            <w:hideMark/>
          </w:tcPr>
          <w:p w14:paraId="7EF25330"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45 562</w:t>
            </w:r>
          </w:p>
        </w:tc>
        <w:tc>
          <w:tcPr>
            <w:tcW w:w="783" w:type="dxa"/>
            <w:hideMark/>
          </w:tcPr>
          <w:p w14:paraId="316E5592"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6 388</w:t>
            </w:r>
          </w:p>
        </w:tc>
        <w:tc>
          <w:tcPr>
            <w:tcW w:w="783" w:type="dxa"/>
            <w:hideMark/>
          </w:tcPr>
          <w:p w14:paraId="70D582B3"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3 193</w:t>
            </w:r>
          </w:p>
        </w:tc>
        <w:tc>
          <w:tcPr>
            <w:tcW w:w="783" w:type="dxa"/>
            <w:hideMark/>
          </w:tcPr>
          <w:p w14:paraId="4A0403DD"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9 580</w:t>
            </w:r>
          </w:p>
        </w:tc>
        <w:tc>
          <w:tcPr>
            <w:tcW w:w="783" w:type="dxa"/>
            <w:hideMark/>
          </w:tcPr>
          <w:p w14:paraId="1715126D"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4 558</w:t>
            </w:r>
          </w:p>
        </w:tc>
        <w:tc>
          <w:tcPr>
            <w:tcW w:w="782" w:type="dxa"/>
            <w:hideMark/>
          </w:tcPr>
          <w:p w14:paraId="1E708A9C"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4 664</w:t>
            </w:r>
          </w:p>
        </w:tc>
        <w:tc>
          <w:tcPr>
            <w:tcW w:w="783" w:type="dxa"/>
            <w:hideMark/>
          </w:tcPr>
          <w:p w14:paraId="5E824030"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9 222</w:t>
            </w:r>
          </w:p>
        </w:tc>
        <w:tc>
          <w:tcPr>
            <w:tcW w:w="783" w:type="dxa"/>
            <w:noWrap/>
            <w:hideMark/>
          </w:tcPr>
          <w:p w14:paraId="45E55026"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31 047</w:t>
            </w:r>
          </w:p>
        </w:tc>
        <w:tc>
          <w:tcPr>
            <w:tcW w:w="783" w:type="dxa"/>
            <w:hideMark/>
          </w:tcPr>
          <w:p w14:paraId="09408C10"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31 047</w:t>
            </w:r>
          </w:p>
        </w:tc>
        <w:tc>
          <w:tcPr>
            <w:tcW w:w="783" w:type="dxa"/>
            <w:hideMark/>
          </w:tcPr>
          <w:p w14:paraId="0C49F584"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31 782</w:t>
            </w:r>
          </w:p>
        </w:tc>
        <w:tc>
          <w:tcPr>
            <w:tcW w:w="783" w:type="dxa"/>
            <w:hideMark/>
          </w:tcPr>
          <w:p w14:paraId="0C5C892C"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139</w:t>
            </w:r>
          </w:p>
        </w:tc>
        <w:tc>
          <w:tcPr>
            <w:tcW w:w="850" w:type="dxa"/>
            <w:noWrap/>
            <w:hideMark/>
          </w:tcPr>
          <w:p w14:paraId="550703A5"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300 108</w:t>
            </w:r>
          </w:p>
        </w:tc>
      </w:tr>
      <w:tr w:rsidR="00A47DEE" w:rsidRPr="00F04EBB" w14:paraId="39D255D6" w14:textId="77777777" w:rsidTr="00EE0E23">
        <w:trPr>
          <w:trHeight w:val="300"/>
          <w:jc w:val="center"/>
        </w:trPr>
        <w:tc>
          <w:tcPr>
            <w:tcW w:w="1135" w:type="dxa"/>
            <w:noWrap/>
            <w:hideMark/>
          </w:tcPr>
          <w:p w14:paraId="3C88DC38"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2019-2020</w:t>
            </w:r>
          </w:p>
        </w:tc>
        <w:tc>
          <w:tcPr>
            <w:tcW w:w="866" w:type="dxa"/>
            <w:hideMark/>
          </w:tcPr>
          <w:p w14:paraId="69752B3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107 848</w:t>
            </w:r>
          </w:p>
        </w:tc>
        <w:tc>
          <w:tcPr>
            <w:tcW w:w="783" w:type="dxa"/>
            <w:hideMark/>
          </w:tcPr>
          <w:p w14:paraId="4F085CEF"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8 123</w:t>
            </w:r>
          </w:p>
        </w:tc>
        <w:tc>
          <w:tcPr>
            <w:tcW w:w="624" w:type="dxa"/>
            <w:hideMark/>
          </w:tcPr>
          <w:p w14:paraId="0EE22940"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210</w:t>
            </w:r>
          </w:p>
        </w:tc>
        <w:tc>
          <w:tcPr>
            <w:tcW w:w="942" w:type="dxa"/>
            <w:hideMark/>
          </w:tcPr>
          <w:p w14:paraId="1555295C"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116 181</w:t>
            </w:r>
          </w:p>
        </w:tc>
        <w:tc>
          <w:tcPr>
            <w:tcW w:w="783" w:type="dxa"/>
            <w:hideMark/>
          </w:tcPr>
          <w:p w14:paraId="7F206F3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31 883</w:t>
            </w:r>
          </w:p>
        </w:tc>
        <w:tc>
          <w:tcPr>
            <w:tcW w:w="782" w:type="dxa"/>
            <w:hideMark/>
          </w:tcPr>
          <w:p w14:paraId="1A582F36"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13 950</w:t>
            </w:r>
          </w:p>
        </w:tc>
        <w:tc>
          <w:tcPr>
            <w:tcW w:w="783" w:type="dxa"/>
            <w:hideMark/>
          </w:tcPr>
          <w:p w14:paraId="4417D8FF"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1 247</w:t>
            </w:r>
          </w:p>
        </w:tc>
        <w:tc>
          <w:tcPr>
            <w:tcW w:w="783" w:type="dxa"/>
            <w:noWrap/>
            <w:hideMark/>
          </w:tcPr>
          <w:p w14:paraId="61EC992F"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47 080</w:t>
            </w:r>
          </w:p>
        </w:tc>
        <w:tc>
          <w:tcPr>
            <w:tcW w:w="783" w:type="dxa"/>
            <w:hideMark/>
          </w:tcPr>
          <w:p w14:paraId="4CBD8527"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6 106</w:t>
            </w:r>
          </w:p>
        </w:tc>
        <w:tc>
          <w:tcPr>
            <w:tcW w:w="783" w:type="dxa"/>
            <w:hideMark/>
          </w:tcPr>
          <w:p w14:paraId="1DAA0448"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3 624</w:t>
            </w:r>
          </w:p>
        </w:tc>
        <w:tc>
          <w:tcPr>
            <w:tcW w:w="783" w:type="dxa"/>
            <w:hideMark/>
          </w:tcPr>
          <w:p w14:paraId="1E731334"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9 731</w:t>
            </w:r>
          </w:p>
        </w:tc>
        <w:tc>
          <w:tcPr>
            <w:tcW w:w="783" w:type="dxa"/>
            <w:hideMark/>
          </w:tcPr>
          <w:p w14:paraId="3FB46B96"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4 540</w:t>
            </w:r>
          </w:p>
        </w:tc>
        <w:tc>
          <w:tcPr>
            <w:tcW w:w="782" w:type="dxa"/>
            <w:hideMark/>
          </w:tcPr>
          <w:p w14:paraId="07902E17"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4 985</w:t>
            </w:r>
          </w:p>
        </w:tc>
        <w:tc>
          <w:tcPr>
            <w:tcW w:w="783" w:type="dxa"/>
            <w:hideMark/>
          </w:tcPr>
          <w:p w14:paraId="4144DE9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9 525</w:t>
            </w:r>
          </w:p>
        </w:tc>
        <w:tc>
          <w:tcPr>
            <w:tcW w:w="783" w:type="dxa"/>
            <w:noWrap/>
            <w:hideMark/>
          </w:tcPr>
          <w:p w14:paraId="0A1CA745"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39 951</w:t>
            </w:r>
          </w:p>
        </w:tc>
        <w:tc>
          <w:tcPr>
            <w:tcW w:w="783" w:type="dxa"/>
            <w:hideMark/>
          </w:tcPr>
          <w:p w14:paraId="0849B612"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39 951</w:t>
            </w:r>
          </w:p>
        </w:tc>
        <w:tc>
          <w:tcPr>
            <w:tcW w:w="783" w:type="dxa"/>
            <w:hideMark/>
          </w:tcPr>
          <w:p w14:paraId="0EDA8644"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32 333</w:t>
            </w:r>
          </w:p>
        </w:tc>
        <w:tc>
          <w:tcPr>
            <w:tcW w:w="783" w:type="dxa"/>
            <w:hideMark/>
          </w:tcPr>
          <w:p w14:paraId="705D9B3E"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495</w:t>
            </w:r>
          </w:p>
        </w:tc>
        <w:tc>
          <w:tcPr>
            <w:tcW w:w="850" w:type="dxa"/>
            <w:noWrap/>
            <w:hideMark/>
          </w:tcPr>
          <w:p w14:paraId="521990BC"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255 296</w:t>
            </w:r>
          </w:p>
        </w:tc>
      </w:tr>
      <w:tr w:rsidR="00A47DEE" w:rsidRPr="00F04EBB" w14:paraId="34F16FB6" w14:textId="77777777" w:rsidTr="00EE0E23">
        <w:trPr>
          <w:trHeight w:val="300"/>
          <w:jc w:val="center"/>
        </w:trPr>
        <w:tc>
          <w:tcPr>
            <w:tcW w:w="1135" w:type="dxa"/>
            <w:noWrap/>
            <w:hideMark/>
          </w:tcPr>
          <w:p w14:paraId="5533CEE7"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2020-2021</w:t>
            </w:r>
          </w:p>
        </w:tc>
        <w:tc>
          <w:tcPr>
            <w:tcW w:w="866" w:type="dxa"/>
            <w:noWrap/>
            <w:hideMark/>
          </w:tcPr>
          <w:p w14:paraId="3F955DC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153 820</w:t>
            </w:r>
          </w:p>
        </w:tc>
        <w:tc>
          <w:tcPr>
            <w:tcW w:w="783" w:type="dxa"/>
            <w:noWrap/>
            <w:hideMark/>
          </w:tcPr>
          <w:p w14:paraId="603C0179"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11 007</w:t>
            </w:r>
          </w:p>
        </w:tc>
        <w:tc>
          <w:tcPr>
            <w:tcW w:w="624" w:type="dxa"/>
            <w:noWrap/>
            <w:hideMark/>
          </w:tcPr>
          <w:p w14:paraId="791158C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340</w:t>
            </w:r>
          </w:p>
        </w:tc>
        <w:tc>
          <w:tcPr>
            <w:tcW w:w="942" w:type="dxa"/>
            <w:noWrap/>
            <w:hideMark/>
          </w:tcPr>
          <w:p w14:paraId="29885BC8"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165 166</w:t>
            </w:r>
          </w:p>
        </w:tc>
        <w:tc>
          <w:tcPr>
            <w:tcW w:w="783" w:type="dxa"/>
            <w:noWrap/>
            <w:hideMark/>
          </w:tcPr>
          <w:p w14:paraId="6F35E131"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37 517</w:t>
            </w:r>
          </w:p>
        </w:tc>
        <w:tc>
          <w:tcPr>
            <w:tcW w:w="782" w:type="dxa"/>
            <w:noWrap/>
            <w:hideMark/>
          </w:tcPr>
          <w:p w14:paraId="010D1754"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14 839</w:t>
            </w:r>
          </w:p>
        </w:tc>
        <w:tc>
          <w:tcPr>
            <w:tcW w:w="783" w:type="dxa"/>
            <w:noWrap/>
            <w:hideMark/>
          </w:tcPr>
          <w:p w14:paraId="6E44B52C"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1 685</w:t>
            </w:r>
          </w:p>
        </w:tc>
        <w:tc>
          <w:tcPr>
            <w:tcW w:w="783" w:type="dxa"/>
            <w:noWrap/>
            <w:hideMark/>
          </w:tcPr>
          <w:p w14:paraId="5CE75A03"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54 041</w:t>
            </w:r>
          </w:p>
        </w:tc>
        <w:tc>
          <w:tcPr>
            <w:tcW w:w="783" w:type="dxa"/>
            <w:noWrap/>
            <w:hideMark/>
          </w:tcPr>
          <w:p w14:paraId="3275023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7 290</w:t>
            </w:r>
          </w:p>
        </w:tc>
        <w:tc>
          <w:tcPr>
            <w:tcW w:w="783" w:type="dxa"/>
            <w:noWrap/>
            <w:hideMark/>
          </w:tcPr>
          <w:p w14:paraId="4DE33C71"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3 436</w:t>
            </w:r>
          </w:p>
        </w:tc>
        <w:tc>
          <w:tcPr>
            <w:tcW w:w="783" w:type="dxa"/>
            <w:noWrap/>
            <w:hideMark/>
          </w:tcPr>
          <w:p w14:paraId="21929EEF"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10 726</w:t>
            </w:r>
          </w:p>
        </w:tc>
        <w:tc>
          <w:tcPr>
            <w:tcW w:w="783" w:type="dxa"/>
            <w:noWrap/>
            <w:hideMark/>
          </w:tcPr>
          <w:p w14:paraId="10E7EF2C"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5 084</w:t>
            </w:r>
          </w:p>
        </w:tc>
        <w:tc>
          <w:tcPr>
            <w:tcW w:w="782" w:type="dxa"/>
            <w:noWrap/>
            <w:hideMark/>
          </w:tcPr>
          <w:p w14:paraId="2CCF353D"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5 271</w:t>
            </w:r>
          </w:p>
        </w:tc>
        <w:tc>
          <w:tcPr>
            <w:tcW w:w="783" w:type="dxa"/>
            <w:noWrap/>
            <w:hideMark/>
          </w:tcPr>
          <w:p w14:paraId="243A3F3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10 354</w:t>
            </w:r>
          </w:p>
        </w:tc>
        <w:tc>
          <w:tcPr>
            <w:tcW w:w="783" w:type="dxa"/>
            <w:noWrap/>
            <w:hideMark/>
          </w:tcPr>
          <w:p w14:paraId="69985448"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40 604</w:t>
            </w:r>
          </w:p>
        </w:tc>
        <w:tc>
          <w:tcPr>
            <w:tcW w:w="783" w:type="dxa"/>
            <w:hideMark/>
          </w:tcPr>
          <w:p w14:paraId="13E6418D"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40 604</w:t>
            </w:r>
          </w:p>
        </w:tc>
        <w:tc>
          <w:tcPr>
            <w:tcW w:w="783" w:type="dxa"/>
            <w:noWrap/>
            <w:hideMark/>
          </w:tcPr>
          <w:p w14:paraId="036D6736"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33 851</w:t>
            </w:r>
          </w:p>
        </w:tc>
        <w:tc>
          <w:tcPr>
            <w:tcW w:w="783" w:type="dxa"/>
            <w:noWrap/>
            <w:hideMark/>
          </w:tcPr>
          <w:p w14:paraId="171D43CF"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407</w:t>
            </w:r>
          </w:p>
        </w:tc>
        <w:tc>
          <w:tcPr>
            <w:tcW w:w="850" w:type="dxa"/>
            <w:noWrap/>
            <w:hideMark/>
          </w:tcPr>
          <w:p w14:paraId="58BF10B9"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315 149</w:t>
            </w:r>
          </w:p>
        </w:tc>
      </w:tr>
      <w:tr w:rsidR="00A47DEE" w:rsidRPr="00F04EBB" w14:paraId="28DDE659" w14:textId="77777777" w:rsidTr="00EE0E23">
        <w:trPr>
          <w:trHeight w:val="300"/>
          <w:jc w:val="center"/>
        </w:trPr>
        <w:tc>
          <w:tcPr>
            <w:tcW w:w="1135" w:type="dxa"/>
            <w:noWrap/>
            <w:hideMark/>
          </w:tcPr>
          <w:p w14:paraId="2D575F2D"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2021-2022</w:t>
            </w:r>
          </w:p>
        </w:tc>
        <w:tc>
          <w:tcPr>
            <w:tcW w:w="866" w:type="dxa"/>
            <w:noWrap/>
            <w:hideMark/>
          </w:tcPr>
          <w:p w14:paraId="0BEB14D2"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98 264</w:t>
            </w:r>
          </w:p>
        </w:tc>
        <w:tc>
          <w:tcPr>
            <w:tcW w:w="783" w:type="dxa"/>
            <w:noWrap/>
            <w:hideMark/>
          </w:tcPr>
          <w:p w14:paraId="548A7D1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7 032</w:t>
            </w:r>
          </w:p>
        </w:tc>
        <w:tc>
          <w:tcPr>
            <w:tcW w:w="624" w:type="dxa"/>
            <w:noWrap/>
            <w:hideMark/>
          </w:tcPr>
          <w:p w14:paraId="5FEE2CD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217</w:t>
            </w:r>
          </w:p>
        </w:tc>
        <w:tc>
          <w:tcPr>
            <w:tcW w:w="942" w:type="dxa"/>
            <w:noWrap/>
            <w:hideMark/>
          </w:tcPr>
          <w:p w14:paraId="4F3BA24D"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105 513</w:t>
            </w:r>
          </w:p>
        </w:tc>
        <w:tc>
          <w:tcPr>
            <w:tcW w:w="783" w:type="dxa"/>
            <w:noWrap/>
            <w:hideMark/>
          </w:tcPr>
          <w:p w14:paraId="3DCE4E85"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29 142</w:t>
            </w:r>
          </w:p>
        </w:tc>
        <w:tc>
          <w:tcPr>
            <w:tcW w:w="782" w:type="dxa"/>
            <w:noWrap/>
            <w:hideMark/>
          </w:tcPr>
          <w:p w14:paraId="2EA72965"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11 755</w:t>
            </w:r>
          </w:p>
        </w:tc>
        <w:tc>
          <w:tcPr>
            <w:tcW w:w="783" w:type="dxa"/>
            <w:noWrap/>
            <w:hideMark/>
          </w:tcPr>
          <w:p w14:paraId="5DEBE2CD"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77</w:t>
            </w:r>
          </w:p>
        </w:tc>
        <w:tc>
          <w:tcPr>
            <w:tcW w:w="783" w:type="dxa"/>
            <w:noWrap/>
            <w:hideMark/>
          </w:tcPr>
          <w:p w14:paraId="3D68CDE1"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40 974</w:t>
            </w:r>
          </w:p>
        </w:tc>
        <w:tc>
          <w:tcPr>
            <w:tcW w:w="783" w:type="dxa"/>
            <w:noWrap/>
            <w:hideMark/>
          </w:tcPr>
          <w:p w14:paraId="78AF10C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5 518</w:t>
            </w:r>
          </w:p>
        </w:tc>
        <w:tc>
          <w:tcPr>
            <w:tcW w:w="783" w:type="dxa"/>
            <w:noWrap/>
            <w:hideMark/>
          </w:tcPr>
          <w:p w14:paraId="6F2436B3"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2 733</w:t>
            </w:r>
          </w:p>
        </w:tc>
        <w:tc>
          <w:tcPr>
            <w:tcW w:w="783" w:type="dxa"/>
            <w:noWrap/>
            <w:hideMark/>
          </w:tcPr>
          <w:p w14:paraId="5B537413"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8 251</w:t>
            </w:r>
          </w:p>
        </w:tc>
        <w:tc>
          <w:tcPr>
            <w:tcW w:w="783" w:type="dxa"/>
            <w:noWrap/>
            <w:hideMark/>
          </w:tcPr>
          <w:p w14:paraId="2B98F144"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3 735</w:t>
            </w:r>
          </w:p>
        </w:tc>
        <w:tc>
          <w:tcPr>
            <w:tcW w:w="782" w:type="dxa"/>
            <w:noWrap/>
            <w:hideMark/>
          </w:tcPr>
          <w:p w14:paraId="256C9AE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3 882</w:t>
            </w:r>
          </w:p>
        </w:tc>
        <w:tc>
          <w:tcPr>
            <w:tcW w:w="783" w:type="dxa"/>
            <w:noWrap/>
            <w:hideMark/>
          </w:tcPr>
          <w:p w14:paraId="527FDB59"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7 617</w:t>
            </w:r>
          </w:p>
        </w:tc>
        <w:tc>
          <w:tcPr>
            <w:tcW w:w="783" w:type="dxa"/>
            <w:noWrap/>
            <w:hideMark/>
          </w:tcPr>
          <w:p w14:paraId="0E0EC518"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38 453</w:t>
            </w:r>
          </w:p>
        </w:tc>
        <w:tc>
          <w:tcPr>
            <w:tcW w:w="783" w:type="dxa"/>
            <w:hideMark/>
          </w:tcPr>
          <w:p w14:paraId="67ABE270"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38 453</w:t>
            </w:r>
          </w:p>
        </w:tc>
        <w:tc>
          <w:tcPr>
            <w:tcW w:w="783" w:type="dxa"/>
            <w:noWrap/>
            <w:hideMark/>
          </w:tcPr>
          <w:p w14:paraId="481ACFC8"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40 943</w:t>
            </w:r>
          </w:p>
        </w:tc>
        <w:tc>
          <w:tcPr>
            <w:tcW w:w="783" w:type="dxa"/>
            <w:noWrap/>
            <w:hideMark/>
          </w:tcPr>
          <w:p w14:paraId="47A2177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40 943</w:t>
            </w:r>
          </w:p>
        </w:tc>
        <w:tc>
          <w:tcPr>
            <w:tcW w:w="850" w:type="dxa"/>
            <w:noWrap/>
            <w:hideMark/>
          </w:tcPr>
          <w:p w14:paraId="306B8BC6"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241 751</w:t>
            </w:r>
          </w:p>
        </w:tc>
      </w:tr>
      <w:tr w:rsidR="00A47DEE" w:rsidRPr="00F04EBB" w14:paraId="6111A1C5" w14:textId="77777777" w:rsidTr="00EE0E23">
        <w:trPr>
          <w:trHeight w:val="300"/>
          <w:jc w:val="center"/>
        </w:trPr>
        <w:tc>
          <w:tcPr>
            <w:tcW w:w="1135" w:type="dxa"/>
            <w:noWrap/>
            <w:hideMark/>
          </w:tcPr>
          <w:p w14:paraId="63DABFBE"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2022-2023</w:t>
            </w:r>
          </w:p>
        </w:tc>
        <w:tc>
          <w:tcPr>
            <w:tcW w:w="866" w:type="dxa"/>
            <w:noWrap/>
            <w:hideMark/>
          </w:tcPr>
          <w:p w14:paraId="59FACCF0"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190 385</w:t>
            </w:r>
          </w:p>
        </w:tc>
        <w:tc>
          <w:tcPr>
            <w:tcW w:w="783" w:type="dxa"/>
            <w:noWrap/>
            <w:hideMark/>
          </w:tcPr>
          <w:p w14:paraId="05950921"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13 260</w:t>
            </w:r>
          </w:p>
        </w:tc>
        <w:tc>
          <w:tcPr>
            <w:tcW w:w="624" w:type="dxa"/>
            <w:noWrap/>
            <w:hideMark/>
          </w:tcPr>
          <w:p w14:paraId="418BE6B8"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1 220</w:t>
            </w:r>
          </w:p>
        </w:tc>
        <w:tc>
          <w:tcPr>
            <w:tcW w:w="942" w:type="dxa"/>
            <w:noWrap/>
            <w:hideMark/>
          </w:tcPr>
          <w:p w14:paraId="2F1EEF5F"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204 866</w:t>
            </w:r>
          </w:p>
        </w:tc>
        <w:tc>
          <w:tcPr>
            <w:tcW w:w="783" w:type="dxa"/>
            <w:noWrap/>
            <w:hideMark/>
          </w:tcPr>
          <w:p w14:paraId="50D1D0C6"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37 771</w:t>
            </w:r>
          </w:p>
        </w:tc>
        <w:tc>
          <w:tcPr>
            <w:tcW w:w="782" w:type="dxa"/>
            <w:noWrap/>
            <w:hideMark/>
          </w:tcPr>
          <w:p w14:paraId="1C431DC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14 978</w:t>
            </w:r>
          </w:p>
        </w:tc>
        <w:tc>
          <w:tcPr>
            <w:tcW w:w="783" w:type="dxa"/>
            <w:noWrap/>
            <w:hideMark/>
          </w:tcPr>
          <w:p w14:paraId="55DA8A66"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551</w:t>
            </w:r>
          </w:p>
        </w:tc>
        <w:tc>
          <w:tcPr>
            <w:tcW w:w="783" w:type="dxa"/>
            <w:noWrap/>
            <w:hideMark/>
          </w:tcPr>
          <w:p w14:paraId="3BFC57DA"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53 300</w:t>
            </w:r>
          </w:p>
        </w:tc>
        <w:tc>
          <w:tcPr>
            <w:tcW w:w="783" w:type="dxa"/>
            <w:noWrap/>
            <w:hideMark/>
          </w:tcPr>
          <w:p w14:paraId="5AC31624"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24 826</w:t>
            </w:r>
          </w:p>
        </w:tc>
        <w:tc>
          <w:tcPr>
            <w:tcW w:w="783" w:type="dxa"/>
            <w:noWrap/>
            <w:hideMark/>
          </w:tcPr>
          <w:p w14:paraId="09355C04"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7 190</w:t>
            </w:r>
          </w:p>
        </w:tc>
        <w:tc>
          <w:tcPr>
            <w:tcW w:w="783" w:type="dxa"/>
            <w:noWrap/>
            <w:hideMark/>
          </w:tcPr>
          <w:p w14:paraId="5F17BF5F"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32 016</w:t>
            </w:r>
          </w:p>
        </w:tc>
        <w:tc>
          <w:tcPr>
            <w:tcW w:w="783" w:type="dxa"/>
            <w:noWrap/>
            <w:hideMark/>
          </w:tcPr>
          <w:p w14:paraId="2D158903"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5 511</w:t>
            </w:r>
          </w:p>
        </w:tc>
        <w:tc>
          <w:tcPr>
            <w:tcW w:w="782" w:type="dxa"/>
            <w:noWrap/>
            <w:hideMark/>
          </w:tcPr>
          <w:p w14:paraId="2E360857"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5 555</w:t>
            </w:r>
          </w:p>
        </w:tc>
        <w:tc>
          <w:tcPr>
            <w:tcW w:w="783" w:type="dxa"/>
            <w:noWrap/>
            <w:hideMark/>
          </w:tcPr>
          <w:p w14:paraId="69EAB9AF"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11 066</w:t>
            </w:r>
          </w:p>
        </w:tc>
        <w:tc>
          <w:tcPr>
            <w:tcW w:w="783" w:type="dxa"/>
            <w:noWrap/>
            <w:hideMark/>
          </w:tcPr>
          <w:p w14:paraId="6CE264BC"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32 489</w:t>
            </w:r>
          </w:p>
        </w:tc>
        <w:tc>
          <w:tcPr>
            <w:tcW w:w="783" w:type="dxa"/>
            <w:hideMark/>
          </w:tcPr>
          <w:p w14:paraId="443F6B4B"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32 489</w:t>
            </w:r>
          </w:p>
        </w:tc>
        <w:tc>
          <w:tcPr>
            <w:tcW w:w="783" w:type="dxa"/>
            <w:noWrap/>
            <w:hideMark/>
          </w:tcPr>
          <w:p w14:paraId="500404C5"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40 058</w:t>
            </w:r>
          </w:p>
        </w:tc>
        <w:tc>
          <w:tcPr>
            <w:tcW w:w="783" w:type="dxa"/>
            <w:noWrap/>
            <w:hideMark/>
          </w:tcPr>
          <w:p w14:paraId="4537E251" w14:textId="77777777" w:rsidR="00A47DEE" w:rsidRPr="00F04EBB" w:rsidRDefault="00A47DEE" w:rsidP="00EE0E23">
            <w:pPr>
              <w:jc w:val="center"/>
              <w:rPr>
                <w:rFonts w:eastAsia="Times New Roman" w:cstheme="minorHAnsi"/>
                <w:color w:val="000000"/>
                <w:sz w:val="18"/>
                <w:szCs w:val="18"/>
              </w:rPr>
            </w:pPr>
            <w:r w:rsidRPr="00F04EBB">
              <w:rPr>
                <w:rFonts w:eastAsia="Times New Roman" w:cstheme="minorHAnsi"/>
                <w:color w:val="000000"/>
                <w:sz w:val="18"/>
                <w:szCs w:val="18"/>
              </w:rPr>
              <w:t>185</w:t>
            </w:r>
          </w:p>
        </w:tc>
        <w:tc>
          <w:tcPr>
            <w:tcW w:w="850" w:type="dxa"/>
            <w:noWrap/>
            <w:hideMark/>
          </w:tcPr>
          <w:p w14:paraId="0BF214B9"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373 981</w:t>
            </w:r>
          </w:p>
        </w:tc>
      </w:tr>
    </w:tbl>
    <w:p w14:paraId="7C77F4FB" w14:textId="77777777" w:rsidR="00A47DEE" w:rsidRPr="00F04EBB" w:rsidRDefault="00A47DEE" w:rsidP="00A47DEE">
      <w:pPr>
        <w:spacing w:after="0" w:line="240" w:lineRule="auto"/>
        <w:rPr>
          <w:rFonts w:eastAsia="Calibri" w:cstheme="minorHAnsi"/>
          <w:b/>
          <w:color w:val="000000"/>
        </w:rPr>
      </w:pPr>
    </w:p>
    <w:p w14:paraId="20FE2909" w14:textId="77777777" w:rsidR="00A47DEE" w:rsidRPr="00F04EBB" w:rsidRDefault="00A47DEE" w:rsidP="00A47DEE">
      <w:pPr>
        <w:keepNext/>
        <w:keepLines/>
        <w:pBdr>
          <w:bottom w:val="single" w:sz="24" w:space="1" w:color="00B050"/>
        </w:pBdr>
        <w:tabs>
          <w:tab w:val="left" w:pos="567"/>
          <w:tab w:val="left" w:pos="993"/>
          <w:tab w:val="left" w:pos="1276"/>
        </w:tabs>
        <w:spacing w:before="200" w:after="0"/>
        <w:ind w:left="-567"/>
        <w:jc w:val="lowKashida"/>
        <w:outlineLvl w:val="1"/>
        <w:rPr>
          <w:rFonts w:eastAsia="MS Gothic" w:cstheme="minorHAnsi"/>
          <w:b/>
          <w:bCs/>
          <w:color w:val="000000"/>
          <w:sz w:val="24"/>
          <w:szCs w:val="24"/>
        </w:rPr>
      </w:pPr>
      <w:bookmarkStart w:id="389" w:name="_Toc179577383"/>
      <w:r w:rsidRPr="00F04EBB">
        <w:rPr>
          <w:rFonts w:eastAsia="MS Gothic" w:cstheme="minorHAnsi"/>
          <w:b/>
          <w:bCs/>
          <w:color w:val="000000"/>
          <w:sz w:val="24"/>
          <w:szCs w:val="24"/>
        </w:rPr>
        <w:t>Annexe 2 : Evolution de la production brute en tonnes par typologie et type de cuture</w:t>
      </w:r>
      <w:bookmarkEnd w:id="389"/>
    </w:p>
    <w:p w14:paraId="51790ED1" w14:textId="77777777" w:rsidR="00A47DEE" w:rsidRPr="00F04EBB" w:rsidRDefault="00A47DEE" w:rsidP="00A47DEE">
      <w:pPr>
        <w:spacing w:after="0" w:line="240" w:lineRule="auto"/>
        <w:rPr>
          <w:rFonts w:eastAsia="Calibri" w:cstheme="minorHAnsi"/>
          <w:b/>
          <w:color w:val="000000"/>
        </w:rPr>
      </w:pPr>
    </w:p>
    <w:tbl>
      <w:tblPr>
        <w:tblStyle w:val="Grilledutableau1111"/>
        <w:tblW w:w="16235" w:type="dxa"/>
        <w:jc w:val="center"/>
        <w:tblLayout w:type="fixed"/>
        <w:tblLook w:val="04A0" w:firstRow="1" w:lastRow="0" w:firstColumn="1" w:lastColumn="0" w:noHBand="0" w:noVBand="1"/>
      </w:tblPr>
      <w:tblGrid>
        <w:gridCol w:w="1210"/>
        <w:gridCol w:w="866"/>
        <w:gridCol w:w="783"/>
        <w:gridCol w:w="624"/>
        <w:gridCol w:w="942"/>
        <w:gridCol w:w="783"/>
        <w:gridCol w:w="782"/>
        <w:gridCol w:w="783"/>
        <w:gridCol w:w="783"/>
        <w:gridCol w:w="783"/>
        <w:gridCol w:w="783"/>
        <w:gridCol w:w="783"/>
        <w:gridCol w:w="783"/>
        <w:gridCol w:w="782"/>
        <w:gridCol w:w="783"/>
        <w:gridCol w:w="783"/>
        <w:gridCol w:w="783"/>
        <w:gridCol w:w="783"/>
        <w:gridCol w:w="783"/>
        <w:gridCol w:w="850"/>
      </w:tblGrid>
      <w:tr w:rsidR="00A47DEE" w:rsidRPr="00F468F7" w14:paraId="10F1A590" w14:textId="77777777" w:rsidTr="00EE0E23">
        <w:trPr>
          <w:trHeight w:val="300"/>
          <w:jc w:val="center"/>
        </w:trPr>
        <w:tc>
          <w:tcPr>
            <w:tcW w:w="1210" w:type="dxa"/>
            <w:shd w:val="clear" w:color="auto" w:fill="BFBFBF"/>
            <w:noWrap/>
          </w:tcPr>
          <w:p w14:paraId="2C3A4BE2" w14:textId="77777777" w:rsidR="00A47DEE" w:rsidRPr="00F04EBB" w:rsidRDefault="00A47DEE" w:rsidP="00EE0E23">
            <w:pPr>
              <w:rPr>
                <w:rFonts w:eastAsia="Times New Roman" w:cstheme="minorHAnsi"/>
                <w:b/>
                <w:bCs/>
                <w:color w:val="000000"/>
                <w:sz w:val="18"/>
                <w:szCs w:val="18"/>
              </w:rPr>
            </w:pPr>
            <w:r w:rsidRPr="00F04EBB">
              <w:rPr>
                <w:rFonts w:eastAsia="Calibri" w:cstheme="minorHAnsi"/>
                <w:color w:val="000000"/>
              </w:rPr>
              <w:t> </w:t>
            </w:r>
          </w:p>
        </w:tc>
        <w:tc>
          <w:tcPr>
            <w:tcW w:w="3215" w:type="dxa"/>
            <w:gridSpan w:val="4"/>
            <w:shd w:val="clear" w:color="auto" w:fill="BFBFBF"/>
            <w:noWrap/>
          </w:tcPr>
          <w:p w14:paraId="537DDC6A"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 xml:space="preserve">                         Diéri           </w:t>
            </w:r>
          </w:p>
        </w:tc>
        <w:tc>
          <w:tcPr>
            <w:tcW w:w="3131" w:type="dxa"/>
            <w:gridSpan w:val="4"/>
            <w:shd w:val="clear" w:color="auto" w:fill="BFBFBF"/>
            <w:noWrap/>
          </w:tcPr>
          <w:p w14:paraId="1E7DBB02"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 xml:space="preserve">             Bas-Fonds/ Barrage   </w:t>
            </w:r>
          </w:p>
        </w:tc>
        <w:tc>
          <w:tcPr>
            <w:tcW w:w="2349" w:type="dxa"/>
            <w:gridSpan w:val="3"/>
            <w:shd w:val="clear" w:color="auto" w:fill="BFBFBF"/>
            <w:noWrap/>
          </w:tcPr>
          <w:p w14:paraId="587BEFCD"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 xml:space="preserve">             Walo    </w:t>
            </w:r>
          </w:p>
        </w:tc>
        <w:tc>
          <w:tcPr>
            <w:tcW w:w="2348" w:type="dxa"/>
            <w:gridSpan w:val="3"/>
            <w:shd w:val="clear" w:color="auto" w:fill="BFBFBF"/>
            <w:noWrap/>
          </w:tcPr>
          <w:p w14:paraId="25AB6E88" w14:textId="77777777" w:rsidR="00A47DEE" w:rsidRPr="00F04EBB" w:rsidRDefault="00A47DEE" w:rsidP="00EE0E23">
            <w:pPr>
              <w:jc w:val="center"/>
              <w:rPr>
                <w:rFonts w:eastAsia="Times New Roman" w:cstheme="minorHAnsi"/>
                <w:b/>
                <w:bCs/>
                <w:color w:val="000000"/>
                <w:sz w:val="18"/>
                <w:szCs w:val="18"/>
              </w:rPr>
            </w:pPr>
            <w:proofErr w:type="spellStart"/>
            <w:r w:rsidRPr="00F04EBB">
              <w:rPr>
                <w:rFonts w:eastAsia="Calibri" w:cstheme="minorHAnsi"/>
                <w:b/>
                <w:bCs/>
                <w:color w:val="000000"/>
                <w:sz w:val="18"/>
                <w:szCs w:val="18"/>
              </w:rPr>
              <w:t>Decrue</w:t>
            </w:r>
            <w:proofErr w:type="spellEnd"/>
            <w:r w:rsidRPr="00F04EBB">
              <w:rPr>
                <w:rFonts w:eastAsia="Calibri" w:cstheme="minorHAnsi"/>
                <w:b/>
                <w:bCs/>
                <w:color w:val="000000"/>
                <w:sz w:val="18"/>
                <w:szCs w:val="18"/>
              </w:rPr>
              <w:t xml:space="preserve"> SONADER</w:t>
            </w:r>
          </w:p>
        </w:tc>
        <w:tc>
          <w:tcPr>
            <w:tcW w:w="1566" w:type="dxa"/>
            <w:gridSpan w:val="2"/>
            <w:shd w:val="clear" w:color="auto" w:fill="BFBFBF"/>
            <w:noWrap/>
          </w:tcPr>
          <w:p w14:paraId="3CBC0FD4"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Hivernage</w:t>
            </w:r>
          </w:p>
        </w:tc>
        <w:tc>
          <w:tcPr>
            <w:tcW w:w="783" w:type="dxa"/>
            <w:shd w:val="clear" w:color="auto" w:fill="BFBFBF"/>
            <w:noWrap/>
          </w:tcPr>
          <w:p w14:paraId="15B8093E"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CSC</w:t>
            </w:r>
          </w:p>
        </w:tc>
        <w:tc>
          <w:tcPr>
            <w:tcW w:w="783" w:type="dxa"/>
            <w:shd w:val="clear" w:color="auto" w:fill="BFBFBF"/>
            <w:noWrap/>
          </w:tcPr>
          <w:p w14:paraId="50473F1A"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CSF</w:t>
            </w:r>
          </w:p>
        </w:tc>
        <w:tc>
          <w:tcPr>
            <w:tcW w:w="850" w:type="dxa"/>
            <w:shd w:val="clear" w:color="auto" w:fill="BFBFBF"/>
            <w:noWrap/>
          </w:tcPr>
          <w:p w14:paraId="584CAF65"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Total Général</w:t>
            </w:r>
          </w:p>
        </w:tc>
      </w:tr>
      <w:tr w:rsidR="00A47DEE" w:rsidRPr="00F04EBB" w14:paraId="2CA61DE1" w14:textId="77777777" w:rsidTr="00EE0E23">
        <w:trPr>
          <w:trHeight w:val="300"/>
          <w:jc w:val="center"/>
        </w:trPr>
        <w:tc>
          <w:tcPr>
            <w:tcW w:w="1210" w:type="dxa"/>
            <w:noWrap/>
            <w:hideMark/>
          </w:tcPr>
          <w:p w14:paraId="2169400F"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Années</w:t>
            </w:r>
          </w:p>
        </w:tc>
        <w:tc>
          <w:tcPr>
            <w:tcW w:w="866" w:type="dxa"/>
            <w:noWrap/>
            <w:hideMark/>
          </w:tcPr>
          <w:p w14:paraId="5DCB4282"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Sorgho</w:t>
            </w:r>
          </w:p>
        </w:tc>
        <w:tc>
          <w:tcPr>
            <w:tcW w:w="783" w:type="dxa"/>
            <w:noWrap/>
            <w:hideMark/>
          </w:tcPr>
          <w:p w14:paraId="59C364DE"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Mil</w:t>
            </w:r>
          </w:p>
        </w:tc>
        <w:tc>
          <w:tcPr>
            <w:tcW w:w="624" w:type="dxa"/>
            <w:noWrap/>
            <w:hideMark/>
          </w:tcPr>
          <w:p w14:paraId="38018B37"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Mais</w:t>
            </w:r>
          </w:p>
        </w:tc>
        <w:tc>
          <w:tcPr>
            <w:tcW w:w="942" w:type="dxa"/>
            <w:noWrap/>
            <w:hideMark/>
          </w:tcPr>
          <w:p w14:paraId="2E468C68"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638539EF"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Sorgho</w:t>
            </w:r>
          </w:p>
        </w:tc>
        <w:tc>
          <w:tcPr>
            <w:tcW w:w="782" w:type="dxa"/>
            <w:noWrap/>
            <w:hideMark/>
          </w:tcPr>
          <w:p w14:paraId="090C82F5"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Mais</w:t>
            </w:r>
          </w:p>
        </w:tc>
        <w:tc>
          <w:tcPr>
            <w:tcW w:w="783" w:type="dxa"/>
            <w:noWrap/>
            <w:hideMark/>
          </w:tcPr>
          <w:p w14:paraId="4008B184"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Blé/Orge</w:t>
            </w:r>
          </w:p>
        </w:tc>
        <w:tc>
          <w:tcPr>
            <w:tcW w:w="783" w:type="dxa"/>
            <w:noWrap/>
            <w:hideMark/>
          </w:tcPr>
          <w:p w14:paraId="288EFDDB"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10AD796D"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Sorgho</w:t>
            </w:r>
          </w:p>
        </w:tc>
        <w:tc>
          <w:tcPr>
            <w:tcW w:w="783" w:type="dxa"/>
            <w:noWrap/>
            <w:hideMark/>
          </w:tcPr>
          <w:p w14:paraId="6A180D48"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Mais</w:t>
            </w:r>
          </w:p>
        </w:tc>
        <w:tc>
          <w:tcPr>
            <w:tcW w:w="783" w:type="dxa"/>
            <w:noWrap/>
            <w:hideMark/>
          </w:tcPr>
          <w:p w14:paraId="37C27652"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3A420899"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Sorgho</w:t>
            </w:r>
          </w:p>
        </w:tc>
        <w:tc>
          <w:tcPr>
            <w:tcW w:w="782" w:type="dxa"/>
            <w:noWrap/>
            <w:hideMark/>
          </w:tcPr>
          <w:p w14:paraId="1250A323"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Mais</w:t>
            </w:r>
          </w:p>
        </w:tc>
        <w:tc>
          <w:tcPr>
            <w:tcW w:w="783" w:type="dxa"/>
            <w:noWrap/>
            <w:hideMark/>
          </w:tcPr>
          <w:p w14:paraId="3A8F291E"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21292E9B"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Riz</w:t>
            </w:r>
          </w:p>
        </w:tc>
        <w:tc>
          <w:tcPr>
            <w:tcW w:w="783" w:type="dxa"/>
            <w:noWrap/>
            <w:hideMark/>
          </w:tcPr>
          <w:p w14:paraId="43EDA775"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Total</w:t>
            </w:r>
          </w:p>
        </w:tc>
        <w:tc>
          <w:tcPr>
            <w:tcW w:w="783" w:type="dxa"/>
            <w:noWrap/>
            <w:hideMark/>
          </w:tcPr>
          <w:p w14:paraId="0F3E015C"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Riz</w:t>
            </w:r>
          </w:p>
        </w:tc>
        <w:tc>
          <w:tcPr>
            <w:tcW w:w="783" w:type="dxa"/>
            <w:noWrap/>
            <w:hideMark/>
          </w:tcPr>
          <w:p w14:paraId="58C6CF55"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BLE</w:t>
            </w:r>
          </w:p>
        </w:tc>
        <w:tc>
          <w:tcPr>
            <w:tcW w:w="850" w:type="dxa"/>
            <w:noWrap/>
            <w:hideMark/>
          </w:tcPr>
          <w:p w14:paraId="5E0CD076" w14:textId="77777777" w:rsidR="00A47DEE" w:rsidRPr="00F04EBB" w:rsidRDefault="00A47DEE" w:rsidP="00EE0E23">
            <w:pPr>
              <w:jc w:val="center"/>
              <w:rPr>
                <w:rFonts w:eastAsia="Times New Roman" w:cstheme="minorHAnsi"/>
                <w:b/>
                <w:bCs/>
                <w:color w:val="000000"/>
                <w:sz w:val="18"/>
                <w:szCs w:val="18"/>
              </w:rPr>
            </w:pPr>
            <w:r w:rsidRPr="00F04EBB">
              <w:rPr>
                <w:rFonts w:eastAsia="Times New Roman" w:cstheme="minorHAnsi"/>
                <w:b/>
                <w:bCs/>
                <w:color w:val="000000"/>
                <w:sz w:val="18"/>
                <w:szCs w:val="18"/>
              </w:rPr>
              <w:t>Total Général</w:t>
            </w:r>
          </w:p>
        </w:tc>
      </w:tr>
      <w:tr w:rsidR="00A47DEE" w:rsidRPr="00F04EBB" w14:paraId="267755BA" w14:textId="77777777" w:rsidTr="00EE0E23">
        <w:trPr>
          <w:trHeight w:val="300"/>
          <w:jc w:val="center"/>
        </w:trPr>
        <w:tc>
          <w:tcPr>
            <w:tcW w:w="1210" w:type="dxa"/>
            <w:noWrap/>
            <w:hideMark/>
          </w:tcPr>
          <w:p w14:paraId="7BD50080"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2012-2013</w:t>
            </w:r>
          </w:p>
        </w:tc>
        <w:tc>
          <w:tcPr>
            <w:tcW w:w="866" w:type="dxa"/>
            <w:tcBorders>
              <w:top w:val="nil"/>
              <w:left w:val="nil"/>
              <w:bottom w:val="single" w:sz="8" w:space="0" w:color="auto"/>
              <w:right w:val="single" w:sz="8" w:space="0" w:color="auto"/>
            </w:tcBorders>
            <w:shd w:val="clear" w:color="auto" w:fill="auto"/>
            <w:noWrap/>
            <w:vAlign w:val="center"/>
          </w:tcPr>
          <w:p w14:paraId="35811E72"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98989</w:t>
            </w:r>
          </w:p>
        </w:tc>
        <w:tc>
          <w:tcPr>
            <w:tcW w:w="783" w:type="dxa"/>
            <w:tcBorders>
              <w:top w:val="nil"/>
              <w:left w:val="nil"/>
              <w:bottom w:val="single" w:sz="8" w:space="0" w:color="auto"/>
              <w:right w:val="single" w:sz="8" w:space="0" w:color="auto"/>
            </w:tcBorders>
            <w:shd w:val="clear" w:color="auto" w:fill="auto"/>
            <w:noWrap/>
            <w:vAlign w:val="center"/>
          </w:tcPr>
          <w:p w14:paraId="3579BD4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3128</w:t>
            </w:r>
          </w:p>
        </w:tc>
        <w:tc>
          <w:tcPr>
            <w:tcW w:w="624" w:type="dxa"/>
            <w:tcBorders>
              <w:top w:val="nil"/>
              <w:left w:val="nil"/>
              <w:bottom w:val="single" w:sz="8" w:space="0" w:color="auto"/>
              <w:right w:val="single" w:sz="8" w:space="0" w:color="auto"/>
            </w:tcBorders>
            <w:shd w:val="clear" w:color="auto" w:fill="auto"/>
            <w:noWrap/>
            <w:vAlign w:val="center"/>
          </w:tcPr>
          <w:p w14:paraId="1A5F19AC"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29</w:t>
            </w:r>
          </w:p>
        </w:tc>
        <w:tc>
          <w:tcPr>
            <w:tcW w:w="942" w:type="dxa"/>
            <w:tcBorders>
              <w:top w:val="nil"/>
              <w:left w:val="nil"/>
              <w:bottom w:val="single" w:sz="8" w:space="0" w:color="auto"/>
              <w:right w:val="single" w:sz="8" w:space="0" w:color="auto"/>
            </w:tcBorders>
            <w:shd w:val="clear" w:color="auto" w:fill="auto"/>
            <w:noWrap/>
            <w:vAlign w:val="center"/>
          </w:tcPr>
          <w:p w14:paraId="4D689CE5"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102145</w:t>
            </w:r>
          </w:p>
        </w:tc>
        <w:tc>
          <w:tcPr>
            <w:tcW w:w="783" w:type="dxa"/>
            <w:tcBorders>
              <w:top w:val="nil"/>
              <w:left w:val="nil"/>
              <w:bottom w:val="single" w:sz="8" w:space="0" w:color="auto"/>
              <w:right w:val="single" w:sz="8" w:space="0" w:color="auto"/>
            </w:tcBorders>
            <w:shd w:val="clear" w:color="auto" w:fill="auto"/>
            <w:noWrap/>
            <w:vAlign w:val="center"/>
          </w:tcPr>
          <w:p w14:paraId="4157ECFC"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19840</w:t>
            </w:r>
          </w:p>
        </w:tc>
        <w:tc>
          <w:tcPr>
            <w:tcW w:w="782" w:type="dxa"/>
            <w:tcBorders>
              <w:top w:val="nil"/>
              <w:left w:val="nil"/>
              <w:bottom w:val="single" w:sz="8" w:space="0" w:color="auto"/>
              <w:right w:val="single" w:sz="8" w:space="0" w:color="auto"/>
            </w:tcBorders>
            <w:shd w:val="clear" w:color="auto" w:fill="auto"/>
            <w:noWrap/>
            <w:vAlign w:val="center"/>
          </w:tcPr>
          <w:p w14:paraId="652B59AF"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14483</w:t>
            </w:r>
          </w:p>
        </w:tc>
        <w:tc>
          <w:tcPr>
            <w:tcW w:w="783" w:type="dxa"/>
            <w:tcBorders>
              <w:top w:val="nil"/>
              <w:left w:val="nil"/>
              <w:bottom w:val="single" w:sz="8" w:space="0" w:color="auto"/>
              <w:right w:val="single" w:sz="8" w:space="0" w:color="auto"/>
            </w:tcBorders>
            <w:shd w:val="clear" w:color="auto" w:fill="auto"/>
            <w:noWrap/>
            <w:vAlign w:val="center"/>
          </w:tcPr>
          <w:p w14:paraId="4B1C7C1E"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3092</w:t>
            </w:r>
          </w:p>
        </w:tc>
        <w:tc>
          <w:tcPr>
            <w:tcW w:w="783" w:type="dxa"/>
            <w:tcBorders>
              <w:top w:val="nil"/>
              <w:left w:val="nil"/>
              <w:bottom w:val="single" w:sz="8" w:space="0" w:color="auto"/>
              <w:right w:val="single" w:sz="8" w:space="0" w:color="auto"/>
            </w:tcBorders>
            <w:shd w:val="clear" w:color="auto" w:fill="auto"/>
            <w:noWrap/>
            <w:vAlign w:val="center"/>
          </w:tcPr>
          <w:p w14:paraId="1ED27A2B"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37415</w:t>
            </w:r>
          </w:p>
        </w:tc>
        <w:tc>
          <w:tcPr>
            <w:tcW w:w="783" w:type="dxa"/>
            <w:tcBorders>
              <w:top w:val="nil"/>
              <w:left w:val="nil"/>
              <w:bottom w:val="single" w:sz="8" w:space="0" w:color="auto"/>
              <w:right w:val="single" w:sz="8" w:space="0" w:color="auto"/>
            </w:tcBorders>
            <w:shd w:val="clear" w:color="auto" w:fill="auto"/>
            <w:noWrap/>
            <w:vAlign w:val="center"/>
          </w:tcPr>
          <w:p w14:paraId="0BA59359"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4364</w:t>
            </w:r>
          </w:p>
        </w:tc>
        <w:tc>
          <w:tcPr>
            <w:tcW w:w="783" w:type="dxa"/>
            <w:tcBorders>
              <w:top w:val="nil"/>
              <w:left w:val="nil"/>
              <w:bottom w:val="single" w:sz="8" w:space="0" w:color="auto"/>
              <w:right w:val="single" w:sz="8" w:space="0" w:color="auto"/>
            </w:tcBorders>
            <w:shd w:val="clear" w:color="auto" w:fill="auto"/>
            <w:noWrap/>
            <w:vAlign w:val="center"/>
          </w:tcPr>
          <w:p w14:paraId="6A127AFF"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4358</w:t>
            </w:r>
          </w:p>
        </w:tc>
        <w:tc>
          <w:tcPr>
            <w:tcW w:w="783" w:type="dxa"/>
            <w:tcBorders>
              <w:top w:val="nil"/>
              <w:left w:val="nil"/>
              <w:bottom w:val="single" w:sz="8" w:space="0" w:color="auto"/>
              <w:right w:val="single" w:sz="8" w:space="0" w:color="auto"/>
            </w:tcBorders>
            <w:shd w:val="clear" w:color="auto" w:fill="auto"/>
            <w:noWrap/>
            <w:vAlign w:val="center"/>
          </w:tcPr>
          <w:p w14:paraId="6205754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8722</w:t>
            </w:r>
          </w:p>
        </w:tc>
        <w:tc>
          <w:tcPr>
            <w:tcW w:w="783" w:type="dxa"/>
            <w:tcBorders>
              <w:top w:val="nil"/>
              <w:left w:val="nil"/>
              <w:bottom w:val="single" w:sz="8" w:space="0" w:color="auto"/>
              <w:right w:val="single" w:sz="8" w:space="0" w:color="auto"/>
            </w:tcBorders>
            <w:shd w:val="clear" w:color="auto" w:fill="auto"/>
            <w:noWrap/>
            <w:vAlign w:val="center"/>
          </w:tcPr>
          <w:p w14:paraId="06713389"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3150</w:t>
            </w:r>
          </w:p>
        </w:tc>
        <w:tc>
          <w:tcPr>
            <w:tcW w:w="782" w:type="dxa"/>
            <w:tcBorders>
              <w:top w:val="nil"/>
              <w:left w:val="nil"/>
              <w:bottom w:val="single" w:sz="8" w:space="0" w:color="auto"/>
              <w:right w:val="single" w:sz="8" w:space="0" w:color="auto"/>
            </w:tcBorders>
            <w:shd w:val="clear" w:color="auto" w:fill="auto"/>
            <w:noWrap/>
            <w:vAlign w:val="center"/>
          </w:tcPr>
          <w:p w14:paraId="3FD2C33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4000</w:t>
            </w:r>
          </w:p>
        </w:tc>
        <w:tc>
          <w:tcPr>
            <w:tcW w:w="783" w:type="dxa"/>
            <w:tcBorders>
              <w:top w:val="nil"/>
              <w:left w:val="nil"/>
              <w:bottom w:val="single" w:sz="8" w:space="0" w:color="auto"/>
              <w:right w:val="single" w:sz="8" w:space="0" w:color="auto"/>
            </w:tcBorders>
            <w:shd w:val="clear" w:color="auto" w:fill="auto"/>
            <w:noWrap/>
            <w:vAlign w:val="center"/>
          </w:tcPr>
          <w:p w14:paraId="13981AE1"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7150</w:t>
            </w:r>
          </w:p>
        </w:tc>
        <w:tc>
          <w:tcPr>
            <w:tcW w:w="783" w:type="dxa"/>
            <w:tcBorders>
              <w:top w:val="nil"/>
              <w:left w:val="nil"/>
              <w:bottom w:val="single" w:sz="8" w:space="0" w:color="auto"/>
              <w:right w:val="single" w:sz="8" w:space="0" w:color="auto"/>
            </w:tcBorders>
            <w:shd w:val="clear" w:color="auto" w:fill="auto"/>
            <w:noWrap/>
            <w:vAlign w:val="center"/>
          </w:tcPr>
          <w:p w14:paraId="4D4BF3EB"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96837</w:t>
            </w:r>
          </w:p>
        </w:tc>
        <w:tc>
          <w:tcPr>
            <w:tcW w:w="783" w:type="dxa"/>
            <w:tcBorders>
              <w:top w:val="nil"/>
              <w:left w:val="nil"/>
              <w:bottom w:val="single" w:sz="8" w:space="0" w:color="auto"/>
              <w:right w:val="single" w:sz="8" w:space="0" w:color="auto"/>
            </w:tcBorders>
            <w:shd w:val="clear" w:color="auto" w:fill="auto"/>
            <w:noWrap/>
            <w:vAlign w:val="center"/>
          </w:tcPr>
          <w:p w14:paraId="75D9517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96837</w:t>
            </w:r>
          </w:p>
        </w:tc>
        <w:tc>
          <w:tcPr>
            <w:tcW w:w="783" w:type="dxa"/>
            <w:tcBorders>
              <w:top w:val="nil"/>
              <w:left w:val="nil"/>
              <w:bottom w:val="single" w:sz="8" w:space="0" w:color="auto"/>
              <w:right w:val="single" w:sz="8" w:space="0" w:color="auto"/>
            </w:tcBorders>
            <w:shd w:val="clear" w:color="auto" w:fill="auto"/>
            <w:noWrap/>
            <w:vAlign w:val="center"/>
          </w:tcPr>
          <w:p w14:paraId="2D172CEE"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87380</w:t>
            </w:r>
          </w:p>
        </w:tc>
        <w:tc>
          <w:tcPr>
            <w:tcW w:w="783" w:type="dxa"/>
            <w:tcBorders>
              <w:top w:val="nil"/>
              <w:left w:val="nil"/>
              <w:bottom w:val="single" w:sz="8" w:space="0" w:color="auto"/>
              <w:right w:val="single" w:sz="8" w:space="0" w:color="auto"/>
            </w:tcBorders>
            <w:shd w:val="clear" w:color="auto" w:fill="auto"/>
            <w:noWrap/>
            <w:vAlign w:val="center"/>
          </w:tcPr>
          <w:p w14:paraId="6D23731C"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3000</w:t>
            </w:r>
          </w:p>
        </w:tc>
        <w:tc>
          <w:tcPr>
            <w:tcW w:w="850" w:type="dxa"/>
            <w:tcBorders>
              <w:top w:val="nil"/>
              <w:left w:val="nil"/>
              <w:bottom w:val="single" w:sz="8" w:space="0" w:color="auto"/>
              <w:right w:val="single" w:sz="8" w:space="0" w:color="auto"/>
            </w:tcBorders>
            <w:shd w:val="clear" w:color="auto" w:fill="auto"/>
            <w:noWrap/>
            <w:vAlign w:val="center"/>
          </w:tcPr>
          <w:p w14:paraId="0403F269"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342 649</w:t>
            </w:r>
          </w:p>
        </w:tc>
      </w:tr>
      <w:tr w:rsidR="00A47DEE" w:rsidRPr="00F04EBB" w14:paraId="5A7AB110" w14:textId="77777777" w:rsidTr="00EE0E23">
        <w:trPr>
          <w:trHeight w:val="300"/>
          <w:jc w:val="center"/>
        </w:trPr>
        <w:tc>
          <w:tcPr>
            <w:tcW w:w="1210" w:type="dxa"/>
            <w:noWrap/>
            <w:hideMark/>
          </w:tcPr>
          <w:p w14:paraId="4B208128"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2013-2014</w:t>
            </w:r>
          </w:p>
        </w:tc>
        <w:tc>
          <w:tcPr>
            <w:tcW w:w="866" w:type="dxa"/>
            <w:tcBorders>
              <w:top w:val="nil"/>
              <w:left w:val="nil"/>
              <w:bottom w:val="single" w:sz="8" w:space="0" w:color="auto"/>
              <w:right w:val="single" w:sz="8" w:space="0" w:color="auto"/>
            </w:tcBorders>
            <w:shd w:val="clear" w:color="auto" w:fill="auto"/>
            <w:noWrap/>
            <w:vAlign w:val="center"/>
          </w:tcPr>
          <w:p w14:paraId="3907CB66"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69605</w:t>
            </w:r>
          </w:p>
        </w:tc>
        <w:tc>
          <w:tcPr>
            <w:tcW w:w="783" w:type="dxa"/>
            <w:tcBorders>
              <w:top w:val="nil"/>
              <w:left w:val="nil"/>
              <w:bottom w:val="single" w:sz="8" w:space="0" w:color="auto"/>
              <w:right w:val="single" w:sz="8" w:space="0" w:color="auto"/>
            </w:tcBorders>
            <w:shd w:val="clear" w:color="auto" w:fill="auto"/>
            <w:noWrap/>
            <w:vAlign w:val="center"/>
          </w:tcPr>
          <w:p w14:paraId="7B12E929"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3951</w:t>
            </w:r>
          </w:p>
        </w:tc>
        <w:tc>
          <w:tcPr>
            <w:tcW w:w="624" w:type="dxa"/>
            <w:tcBorders>
              <w:top w:val="nil"/>
              <w:left w:val="nil"/>
              <w:bottom w:val="single" w:sz="8" w:space="0" w:color="auto"/>
              <w:right w:val="single" w:sz="8" w:space="0" w:color="auto"/>
            </w:tcBorders>
            <w:shd w:val="clear" w:color="auto" w:fill="auto"/>
            <w:noWrap/>
            <w:vAlign w:val="center"/>
          </w:tcPr>
          <w:p w14:paraId="1F87B352"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17</w:t>
            </w:r>
          </w:p>
        </w:tc>
        <w:tc>
          <w:tcPr>
            <w:tcW w:w="942" w:type="dxa"/>
            <w:tcBorders>
              <w:top w:val="nil"/>
              <w:left w:val="nil"/>
              <w:bottom w:val="single" w:sz="8" w:space="0" w:color="auto"/>
              <w:right w:val="single" w:sz="8" w:space="0" w:color="auto"/>
            </w:tcBorders>
            <w:shd w:val="clear" w:color="auto" w:fill="auto"/>
            <w:noWrap/>
            <w:vAlign w:val="center"/>
          </w:tcPr>
          <w:p w14:paraId="33F71A25"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73573</w:t>
            </w:r>
          </w:p>
        </w:tc>
        <w:tc>
          <w:tcPr>
            <w:tcW w:w="783" w:type="dxa"/>
            <w:tcBorders>
              <w:top w:val="nil"/>
              <w:left w:val="nil"/>
              <w:bottom w:val="single" w:sz="8" w:space="0" w:color="auto"/>
              <w:right w:val="single" w:sz="8" w:space="0" w:color="auto"/>
            </w:tcBorders>
            <w:shd w:val="clear" w:color="auto" w:fill="auto"/>
            <w:noWrap/>
            <w:vAlign w:val="center"/>
          </w:tcPr>
          <w:p w14:paraId="29B2D09D"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16471</w:t>
            </w:r>
          </w:p>
        </w:tc>
        <w:tc>
          <w:tcPr>
            <w:tcW w:w="782" w:type="dxa"/>
            <w:tcBorders>
              <w:top w:val="nil"/>
              <w:left w:val="nil"/>
              <w:bottom w:val="single" w:sz="8" w:space="0" w:color="auto"/>
              <w:right w:val="single" w:sz="8" w:space="0" w:color="auto"/>
            </w:tcBorders>
            <w:shd w:val="clear" w:color="auto" w:fill="auto"/>
            <w:noWrap/>
            <w:vAlign w:val="center"/>
          </w:tcPr>
          <w:p w14:paraId="4BF9E256"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1811</w:t>
            </w:r>
          </w:p>
        </w:tc>
        <w:tc>
          <w:tcPr>
            <w:tcW w:w="783" w:type="dxa"/>
            <w:tcBorders>
              <w:top w:val="nil"/>
              <w:left w:val="nil"/>
              <w:bottom w:val="single" w:sz="8" w:space="0" w:color="auto"/>
              <w:right w:val="single" w:sz="8" w:space="0" w:color="auto"/>
            </w:tcBorders>
            <w:shd w:val="clear" w:color="auto" w:fill="auto"/>
            <w:noWrap/>
            <w:vAlign w:val="center"/>
          </w:tcPr>
          <w:p w14:paraId="4C6CEC23"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4241</w:t>
            </w:r>
          </w:p>
        </w:tc>
        <w:tc>
          <w:tcPr>
            <w:tcW w:w="783" w:type="dxa"/>
            <w:tcBorders>
              <w:top w:val="nil"/>
              <w:left w:val="nil"/>
              <w:bottom w:val="single" w:sz="8" w:space="0" w:color="auto"/>
              <w:right w:val="single" w:sz="8" w:space="0" w:color="auto"/>
            </w:tcBorders>
            <w:shd w:val="clear" w:color="auto" w:fill="auto"/>
            <w:noWrap/>
            <w:vAlign w:val="center"/>
          </w:tcPr>
          <w:p w14:paraId="09ABCDF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22523</w:t>
            </w:r>
          </w:p>
        </w:tc>
        <w:tc>
          <w:tcPr>
            <w:tcW w:w="783" w:type="dxa"/>
            <w:tcBorders>
              <w:top w:val="nil"/>
              <w:left w:val="nil"/>
              <w:bottom w:val="single" w:sz="8" w:space="0" w:color="auto"/>
              <w:right w:val="single" w:sz="8" w:space="0" w:color="auto"/>
            </w:tcBorders>
            <w:shd w:val="clear" w:color="auto" w:fill="auto"/>
            <w:noWrap/>
            <w:vAlign w:val="center"/>
          </w:tcPr>
          <w:p w14:paraId="1F0928A4"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2796</w:t>
            </w:r>
          </w:p>
        </w:tc>
        <w:tc>
          <w:tcPr>
            <w:tcW w:w="783" w:type="dxa"/>
            <w:tcBorders>
              <w:top w:val="nil"/>
              <w:left w:val="nil"/>
              <w:bottom w:val="single" w:sz="8" w:space="0" w:color="auto"/>
              <w:right w:val="single" w:sz="8" w:space="0" w:color="auto"/>
            </w:tcBorders>
            <w:shd w:val="clear" w:color="auto" w:fill="auto"/>
            <w:noWrap/>
            <w:vAlign w:val="center"/>
          </w:tcPr>
          <w:p w14:paraId="3D68DFFD"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1544</w:t>
            </w:r>
          </w:p>
        </w:tc>
        <w:tc>
          <w:tcPr>
            <w:tcW w:w="783" w:type="dxa"/>
            <w:tcBorders>
              <w:top w:val="nil"/>
              <w:left w:val="nil"/>
              <w:bottom w:val="single" w:sz="8" w:space="0" w:color="auto"/>
              <w:right w:val="single" w:sz="8" w:space="0" w:color="auto"/>
            </w:tcBorders>
            <w:shd w:val="clear" w:color="auto" w:fill="auto"/>
            <w:noWrap/>
            <w:vAlign w:val="center"/>
          </w:tcPr>
          <w:p w14:paraId="7B65C08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4341</w:t>
            </w:r>
          </w:p>
        </w:tc>
        <w:tc>
          <w:tcPr>
            <w:tcW w:w="783" w:type="dxa"/>
            <w:tcBorders>
              <w:top w:val="nil"/>
              <w:left w:val="nil"/>
              <w:bottom w:val="single" w:sz="8" w:space="0" w:color="auto"/>
              <w:right w:val="single" w:sz="8" w:space="0" w:color="auto"/>
            </w:tcBorders>
            <w:shd w:val="clear" w:color="auto" w:fill="auto"/>
            <w:noWrap/>
            <w:vAlign w:val="center"/>
          </w:tcPr>
          <w:p w14:paraId="0997F029"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2098</w:t>
            </w:r>
          </w:p>
        </w:tc>
        <w:tc>
          <w:tcPr>
            <w:tcW w:w="782" w:type="dxa"/>
            <w:tcBorders>
              <w:top w:val="nil"/>
              <w:left w:val="nil"/>
              <w:bottom w:val="single" w:sz="8" w:space="0" w:color="auto"/>
              <w:right w:val="single" w:sz="8" w:space="0" w:color="auto"/>
            </w:tcBorders>
            <w:shd w:val="clear" w:color="auto" w:fill="auto"/>
            <w:noWrap/>
            <w:vAlign w:val="center"/>
          </w:tcPr>
          <w:p w14:paraId="24E504C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2871</w:t>
            </w:r>
          </w:p>
        </w:tc>
        <w:tc>
          <w:tcPr>
            <w:tcW w:w="783" w:type="dxa"/>
            <w:tcBorders>
              <w:top w:val="nil"/>
              <w:left w:val="nil"/>
              <w:bottom w:val="single" w:sz="8" w:space="0" w:color="auto"/>
              <w:right w:val="single" w:sz="8" w:space="0" w:color="auto"/>
            </w:tcBorders>
            <w:shd w:val="clear" w:color="auto" w:fill="auto"/>
            <w:noWrap/>
            <w:vAlign w:val="center"/>
          </w:tcPr>
          <w:p w14:paraId="00F4FC65"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4969</w:t>
            </w:r>
          </w:p>
        </w:tc>
        <w:tc>
          <w:tcPr>
            <w:tcW w:w="783" w:type="dxa"/>
            <w:tcBorders>
              <w:top w:val="nil"/>
              <w:left w:val="nil"/>
              <w:bottom w:val="single" w:sz="8" w:space="0" w:color="auto"/>
              <w:right w:val="single" w:sz="8" w:space="0" w:color="auto"/>
            </w:tcBorders>
            <w:shd w:val="clear" w:color="auto" w:fill="auto"/>
            <w:noWrap/>
            <w:vAlign w:val="center"/>
          </w:tcPr>
          <w:p w14:paraId="518367B6"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120292</w:t>
            </w:r>
          </w:p>
        </w:tc>
        <w:tc>
          <w:tcPr>
            <w:tcW w:w="783" w:type="dxa"/>
            <w:tcBorders>
              <w:top w:val="nil"/>
              <w:left w:val="nil"/>
              <w:bottom w:val="single" w:sz="8" w:space="0" w:color="auto"/>
              <w:right w:val="single" w:sz="8" w:space="0" w:color="auto"/>
            </w:tcBorders>
            <w:shd w:val="clear" w:color="auto" w:fill="auto"/>
            <w:noWrap/>
            <w:vAlign w:val="center"/>
          </w:tcPr>
          <w:p w14:paraId="392E93BA"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120292</w:t>
            </w:r>
          </w:p>
        </w:tc>
        <w:tc>
          <w:tcPr>
            <w:tcW w:w="783" w:type="dxa"/>
            <w:tcBorders>
              <w:top w:val="nil"/>
              <w:left w:val="nil"/>
              <w:bottom w:val="single" w:sz="8" w:space="0" w:color="auto"/>
              <w:right w:val="single" w:sz="8" w:space="0" w:color="auto"/>
            </w:tcBorders>
            <w:shd w:val="clear" w:color="auto" w:fill="auto"/>
            <w:noWrap/>
            <w:vAlign w:val="center"/>
          </w:tcPr>
          <w:p w14:paraId="4AE60702"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82255</w:t>
            </w:r>
          </w:p>
        </w:tc>
        <w:tc>
          <w:tcPr>
            <w:tcW w:w="783" w:type="dxa"/>
            <w:tcBorders>
              <w:top w:val="nil"/>
              <w:left w:val="nil"/>
              <w:bottom w:val="single" w:sz="8" w:space="0" w:color="auto"/>
              <w:right w:val="single" w:sz="8" w:space="0" w:color="auto"/>
            </w:tcBorders>
            <w:shd w:val="clear" w:color="auto" w:fill="auto"/>
            <w:noWrap/>
            <w:vAlign w:val="center"/>
          </w:tcPr>
          <w:p w14:paraId="75A7B9A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2443</w:t>
            </w:r>
          </w:p>
        </w:tc>
        <w:tc>
          <w:tcPr>
            <w:tcW w:w="850" w:type="dxa"/>
            <w:tcBorders>
              <w:top w:val="nil"/>
              <w:left w:val="nil"/>
              <w:bottom w:val="single" w:sz="8" w:space="0" w:color="auto"/>
              <w:right w:val="single" w:sz="8" w:space="0" w:color="auto"/>
            </w:tcBorders>
            <w:shd w:val="clear" w:color="auto" w:fill="auto"/>
            <w:noWrap/>
            <w:vAlign w:val="center"/>
          </w:tcPr>
          <w:p w14:paraId="3E8A4B61"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310 396</w:t>
            </w:r>
          </w:p>
        </w:tc>
      </w:tr>
      <w:tr w:rsidR="00A47DEE" w:rsidRPr="00F04EBB" w14:paraId="42752F27" w14:textId="77777777" w:rsidTr="00EE0E23">
        <w:trPr>
          <w:trHeight w:val="300"/>
          <w:jc w:val="center"/>
        </w:trPr>
        <w:tc>
          <w:tcPr>
            <w:tcW w:w="1210" w:type="dxa"/>
            <w:noWrap/>
            <w:hideMark/>
          </w:tcPr>
          <w:p w14:paraId="2FE79113"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2014-2015</w:t>
            </w:r>
          </w:p>
        </w:tc>
        <w:tc>
          <w:tcPr>
            <w:tcW w:w="866" w:type="dxa"/>
            <w:tcBorders>
              <w:top w:val="nil"/>
              <w:left w:val="nil"/>
              <w:bottom w:val="single" w:sz="8" w:space="0" w:color="auto"/>
              <w:right w:val="single" w:sz="8" w:space="0" w:color="auto"/>
            </w:tcBorders>
            <w:shd w:val="clear" w:color="auto" w:fill="auto"/>
            <w:noWrap/>
            <w:vAlign w:val="center"/>
          </w:tcPr>
          <w:p w14:paraId="61B54CB5"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41418</w:t>
            </w:r>
          </w:p>
        </w:tc>
        <w:tc>
          <w:tcPr>
            <w:tcW w:w="783" w:type="dxa"/>
            <w:tcBorders>
              <w:top w:val="nil"/>
              <w:left w:val="nil"/>
              <w:bottom w:val="single" w:sz="8" w:space="0" w:color="auto"/>
              <w:right w:val="single" w:sz="8" w:space="0" w:color="auto"/>
            </w:tcBorders>
            <w:shd w:val="clear" w:color="auto" w:fill="auto"/>
            <w:noWrap/>
            <w:vAlign w:val="center"/>
          </w:tcPr>
          <w:p w14:paraId="034CAE8C"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1824</w:t>
            </w:r>
          </w:p>
        </w:tc>
        <w:tc>
          <w:tcPr>
            <w:tcW w:w="624" w:type="dxa"/>
            <w:tcBorders>
              <w:top w:val="nil"/>
              <w:left w:val="nil"/>
              <w:bottom w:val="single" w:sz="8" w:space="0" w:color="auto"/>
              <w:right w:val="single" w:sz="8" w:space="0" w:color="auto"/>
            </w:tcBorders>
            <w:shd w:val="clear" w:color="auto" w:fill="auto"/>
            <w:noWrap/>
            <w:vAlign w:val="center"/>
          </w:tcPr>
          <w:p w14:paraId="2FD0EED4"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 </w:t>
            </w:r>
          </w:p>
        </w:tc>
        <w:tc>
          <w:tcPr>
            <w:tcW w:w="942" w:type="dxa"/>
            <w:tcBorders>
              <w:top w:val="nil"/>
              <w:left w:val="nil"/>
              <w:bottom w:val="single" w:sz="8" w:space="0" w:color="auto"/>
              <w:right w:val="single" w:sz="8" w:space="0" w:color="auto"/>
            </w:tcBorders>
            <w:shd w:val="clear" w:color="auto" w:fill="auto"/>
            <w:noWrap/>
            <w:vAlign w:val="center"/>
          </w:tcPr>
          <w:p w14:paraId="7D66F6CF"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43243</w:t>
            </w:r>
          </w:p>
        </w:tc>
        <w:tc>
          <w:tcPr>
            <w:tcW w:w="783" w:type="dxa"/>
            <w:tcBorders>
              <w:top w:val="nil"/>
              <w:left w:val="nil"/>
              <w:bottom w:val="single" w:sz="8" w:space="0" w:color="auto"/>
              <w:right w:val="single" w:sz="8" w:space="0" w:color="auto"/>
            </w:tcBorders>
            <w:shd w:val="clear" w:color="auto" w:fill="auto"/>
            <w:noWrap/>
            <w:vAlign w:val="center"/>
          </w:tcPr>
          <w:p w14:paraId="7217521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12920</w:t>
            </w:r>
          </w:p>
        </w:tc>
        <w:tc>
          <w:tcPr>
            <w:tcW w:w="782" w:type="dxa"/>
            <w:tcBorders>
              <w:top w:val="nil"/>
              <w:left w:val="nil"/>
              <w:bottom w:val="single" w:sz="8" w:space="0" w:color="auto"/>
              <w:right w:val="single" w:sz="8" w:space="0" w:color="auto"/>
            </w:tcBorders>
            <w:shd w:val="clear" w:color="auto" w:fill="auto"/>
            <w:noWrap/>
            <w:vAlign w:val="center"/>
          </w:tcPr>
          <w:p w14:paraId="03B535F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9300</w:t>
            </w:r>
          </w:p>
        </w:tc>
        <w:tc>
          <w:tcPr>
            <w:tcW w:w="783" w:type="dxa"/>
            <w:tcBorders>
              <w:top w:val="nil"/>
              <w:left w:val="nil"/>
              <w:bottom w:val="single" w:sz="8" w:space="0" w:color="auto"/>
              <w:right w:val="single" w:sz="8" w:space="0" w:color="auto"/>
            </w:tcBorders>
            <w:shd w:val="clear" w:color="auto" w:fill="auto"/>
            <w:noWrap/>
            <w:vAlign w:val="center"/>
          </w:tcPr>
          <w:p w14:paraId="59E41713"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3232</w:t>
            </w:r>
          </w:p>
        </w:tc>
        <w:tc>
          <w:tcPr>
            <w:tcW w:w="783" w:type="dxa"/>
            <w:tcBorders>
              <w:top w:val="nil"/>
              <w:left w:val="nil"/>
              <w:bottom w:val="single" w:sz="8" w:space="0" w:color="auto"/>
              <w:right w:val="single" w:sz="8" w:space="0" w:color="auto"/>
            </w:tcBorders>
            <w:shd w:val="clear" w:color="auto" w:fill="auto"/>
            <w:noWrap/>
            <w:vAlign w:val="center"/>
          </w:tcPr>
          <w:p w14:paraId="1E5625A5"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25451</w:t>
            </w:r>
          </w:p>
        </w:tc>
        <w:tc>
          <w:tcPr>
            <w:tcW w:w="783" w:type="dxa"/>
            <w:tcBorders>
              <w:top w:val="nil"/>
              <w:left w:val="nil"/>
              <w:bottom w:val="single" w:sz="8" w:space="0" w:color="auto"/>
              <w:right w:val="single" w:sz="8" w:space="0" w:color="auto"/>
            </w:tcBorders>
            <w:shd w:val="clear" w:color="auto" w:fill="auto"/>
            <w:noWrap/>
            <w:vAlign w:val="center"/>
          </w:tcPr>
          <w:p w14:paraId="69EEFA70"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218</w:t>
            </w:r>
          </w:p>
        </w:tc>
        <w:tc>
          <w:tcPr>
            <w:tcW w:w="783" w:type="dxa"/>
            <w:tcBorders>
              <w:top w:val="nil"/>
              <w:left w:val="nil"/>
              <w:bottom w:val="single" w:sz="8" w:space="0" w:color="auto"/>
              <w:right w:val="single" w:sz="8" w:space="0" w:color="auto"/>
            </w:tcBorders>
            <w:shd w:val="clear" w:color="auto" w:fill="auto"/>
            <w:noWrap/>
            <w:vAlign w:val="center"/>
          </w:tcPr>
          <w:p w14:paraId="100A902E"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327</w:t>
            </w:r>
          </w:p>
        </w:tc>
        <w:tc>
          <w:tcPr>
            <w:tcW w:w="783" w:type="dxa"/>
            <w:tcBorders>
              <w:top w:val="nil"/>
              <w:left w:val="nil"/>
              <w:bottom w:val="single" w:sz="8" w:space="0" w:color="auto"/>
              <w:right w:val="single" w:sz="8" w:space="0" w:color="auto"/>
            </w:tcBorders>
            <w:shd w:val="clear" w:color="auto" w:fill="auto"/>
            <w:noWrap/>
            <w:vAlign w:val="center"/>
          </w:tcPr>
          <w:p w14:paraId="0049E0FF"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545</w:t>
            </w:r>
          </w:p>
        </w:tc>
        <w:tc>
          <w:tcPr>
            <w:tcW w:w="783" w:type="dxa"/>
            <w:tcBorders>
              <w:top w:val="nil"/>
              <w:left w:val="nil"/>
              <w:bottom w:val="single" w:sz="8" w:space="0" w:color="auto"/>
              <w:right w:val="single" w:sz="8" w:space="0" w:color="auto"/>
            </w:tcBorders>
            <w:shd w:val="clear" w:color="auto" w:fill="auto"/>
            <w:noWrap/>
            <w:vAlign w:val="center"/>
          </w:tcPr>
          <w:p w14:paraId="2D49578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2642</w:t>
            </w:r>
          </w:p>
        </w:tc>
        <w:tc>
          <w:tcPr>
            <w:tcW w:w="782" w:type="dxa"/>
            <w:tcBorders>
              <w:top w:val="nil"/>
              <w:left w:val="nil"/>
              <w:bottom w:val="single" w:sz="8" w:space="0" w:color="auto"/>
              <w:right w:val="single" w:sz="8" w:space="0" w:color="auto"/>
            </w:tcBorders>
            <w:shd w:val="clear" w:color="auto" w:fill="auto"/>
            <w:noWrap/>
            <w:vAlign w:val="center"/>
          </w:tcPr>
          <w:p w14:paraId="71AF950E"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2938</w:t>
            </w:r>
          </w:p>
        </w:tc>
        <w:tc>
          <w:tcPr>
            <w:tcW w:w="783" w:type="dxa"/>
            <w:tcBorders>
              <w:top w:val="nil"/>
              <w:left w:val="nil"/>
              <w:bottom w:val="single" w:sz="8" w:space="0" w:color="auto"/>
              <w:right w:val="single" w:sz="8" w:space="0" w:color="auto"/>
            </w:tcBorders>
            <w:shd w:val="clear" w:color="auto" w:fill="auto"/>
            <w:noWrap/>
            <w:vAlign w:val="center"/>
          </w:tcPr>
          <w:p w14:paraId="77F63F75"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5580</w:t>
            </w:r>
          </w:p>
        </w:tc>
        <w:tc>
          <w:tcPr>
            <w:tcW w:w="783" w:type="dxa"/>
            <w:tcBorders>
              <w:top w:val="nil"/>
              <w:left w:val="nil"/>
              <w:bottom w:val="single" w:sz="8" w:space="0" w:color="auto"/>
              <w:right w:val="single" w:sz="8" w:space="0" w:color="auto"/>
            </w:tcBorders>
            <w:shd w:val="clear" w:color="auto" w:fill="auto"/>
            <w:noWrap/>
            <w:vAlign w:val="center"/>
          </w:tcPr>
          <w:p w14:paraId="3CED51A2"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177123</w:t>
            </w:r>
          </w:p>
        </w:tc>
        <w:tc>
          <w:tcPr>
            <w:tcW w:w="783" w:type="dxa"/>
            <w:tcBorders>
              <w:top w:val="nil"/>
              <w:left w:val="nil"/>
              <w:bottom w:val="single" w:sz="8" w:space="0" w:color="auto"/>
              <w:right w:val="single" w:sz="8" w:space="0" w:color="auto"/>
            </w:tcBorders>
            <w:shd w:val="clear" w:color="auto" w:fill="auto"/>
            <w:noWrap/>
            <w:vAlign w:val="center"/>
          </w:tcPr>
          <w:p w14:paraId="77617D81"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177123</w:t>
            </w:r>
          </w:p>
        </w:tc>
        <w:tc>
          <w:tcPr>
            <w:tcW w:w="783" w:type="dxa"/>
            <w:tcBorders>
              <w:top w:val="nil"/>
              <w:left w:val="nil"/>
              <w:bottom w:val="single" w:sz="8" w:space="0" w:color="auto"/>
              <w:right w:val="single" w:sz="8" w:space="0" w:color="auto"/>
            </w:tcBorders>
            <w:shd w:val="clear" w:color="auto" w:fill="auto"/>
            <w:noWrap/>
            <w:vAlign w:val="center"/>
          </w:tcPr>
          <w:p w14:paraId="7218ACE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116096</w:t>
            </w:r>
          </w:p>
        </w:tc>
        <w:tc>
          <w:tcPr>
            <w:tcW w:w="783" w:type="dxa"/>
            <w:tcBorders>
              <w:top w:val="nil"/>
              <w:left w:val="nil"/>
              <w:bottom w:val="single" w:sz="8" w:space="0" w:color="auto"/>
              <w:right w:val="single" w:sz="8" w:space="0" w:color="auto"/>
            </w:tcBorders>
            <w:shd w:val="clear" w:color="auto" w:fill="auto"/>
            <w:noWrap/>
            <w:vAlign w:val="center"/>
          </w:tcPr>
          <w:p w14:paraId="37AE219D"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3821</w:t>
            </w:r>
          </w:p>
        </w:tc>
        <w:tc>
          <w:tcPr>
            <w:tcW w:w="850" w:type="dxa"/>
            <w:tcBorders>
              <w:top w:val="nil"/>
              <w:left w:val="nil"/>
              <w:bottom w:val="single" w:sz="8" w:space="0" w:color="auto"/>
              <w:right w:val="single" w:sz="8" w:space="0" w:color="auto"/>
            </w:tcBorders>
            <w:shd w:val="clear" w:color="auto" w:fill="auto"/>
            <w:noWrap/>
            <w:vAlign w:val="center"/>
          </w:tcPr>
          <w:p w14:paraId="2E4C5C14"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371 858</w:t>
            </w:r>
          </w:p>
        </w:tc>
      </w:tr>
      <w:tr w:rsidR="00A47DEE" w:rsidRPr="00F04EBB" w14:paraId="6A68F786" w14:textId="77777777" w:rsidTr="00EE0E23">
        <w:trPr>
          <w:trHeight w:val="300"/>
          <w:jc w:val="center"/>
        </w:trPr>
        <w:tc>
          <w:tcPr>
            <w:tcW w:w="1210" w:type="dxa"/>
            <w:noWrap/>
            <w:hideMark/>
          </w:tcPr>
          <w:p w14:paraId="249EB460"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2015-2016</w:t>
            </w:r>
          </w:p>
        </w:tc>
        <w:tc>
          <w:tcPr>
            <w:tcW w:w="866" w:type="dxa"/>
            <w:tcBorders>
              <w:top w:val="nil"/>
              <w:left w:val="nil"/>
              <w:bottom w:val="single" w:sz="8" w:space="0" w:color="auto"/>
              <w:right w:val="single" w:sz="8" w:space="0" w:color="auto"/>
            </w:tcBorders>
            <w:shd w:val="clear" w:color="auto" w:fill="auto"/>
            <w:noWrap/>
            <w:vAlign w:val="center"/>
          </w:tcPr>
          <w:p w14:paraId="777A8C1B"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67751</w:t>
            </w:r>
          </w:p>
        </w:tc>
        <w:tc>
          <w:tcPr>
            <w:tcW w:w="783" w:type="dxa"/>
            <w:tcBorders>
              <w:top w:val="nil"/>
              <w:left w:val="nil"/>
              <w:bottom w:val="single" w:sz="8" w:space="0" w:color="auto"/>
              <w:right w:val="single" w:sz="8" w:space="0" w:color="auto"/>
            </w:tcBorders>
            <w:shd w:val="clear" w:color="auto" w:fill="auto"/>
            <w:noWrap/>
            <w:vAlign w:val="center"/>
          </w:tcPr>
          <w:p w14:paraId="335DE1B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2862</w:t>
            </w:r>
          </w:p>
        </w:tc>
        <w:tc>
          <w:tcPr>
            <w:tcW w:w="624" w:type="dxa"/>
            <w:tcBorders>
              <w:top w:val="nil"/>
              <w:left w:val="nil"/>
              <w:bottom w:val="single" w:sz="8" w:space="0" w:color="auto"/>
              <w:right w:val="single" w:sz="8" w:space="0" w:color="auto"/>
            </w:tcBorders>
            <w:shd w:val="clear" w:color="auto" w:fill="auto"/>
            <w:noWrap/>
            <w:vAlign w:val="center"/>
          </w:tcPr>
          <w:p w14:paraId="33A917B3"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135</w:t>
            </w:r>
          </w:p>
        </w:tc>
        <w:tc>
          <w:tcPr>
            <w:tcW w:w="942" w:type="dxa"/>
            <w:tcBorders>
              <w:top w:val="nil"/>
              <w:left w:val="nil"/>
              <w:bottom w:val="single" w:sz="8" w:space="0" w:color="auto"/>
              <w:right w:val="single" w:sz="8" w:space="0" w:color="auto"/>
            </w:tcBorders>
            <w:shd w:val="clear" w:color="auto" w:fill="auto"/>
            <w:noWrap/>
            <w:vAlign w:val="center"/>
          </w:tcPr>
          <w:p w14:paraId="78FF0F4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70748</w:t>
            </w:r>
          </w:p>
        </w:tc>
        <w:tc>
          <w:tcPr>
            <w:tcW w:w="783" w:type="dxa"/>
            <w:tcBorders>
              <w:top w:val="nil"/>
              <w:left w:val="nil"/>
              <w:bottom w:val="single" w:sz="8" w:space="0" w:color="auto"/>
              <w:right w:val="single" w:sz="8" w:space="0" w:color="auto"/>
            </w:tcBorders>
            <w:shd w:val="clear" w:color="auto" w:fill="auto"/>
            <w:noWrap/>
            <w:vAlign w:val="center"/>
          </w:tcPr>
          <w:p w14:paraId="6BFA3484"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20029</w:t>
            </w:r>
          </w:p>
        </w:tc>
        <w:tc>
          <w:tcPr>
            <w:tcW w:w="782" w:type="dxa"/>
            <w:tcBorders>
              <w:top w:val="nil"/>
              <w:left w:val="nil"/>
              <w:bottom w:val="single" w:sz="8" w:space="0" w:color="auto"/>
              <w:right w:val="single" w:sz="8" w:space="0" w:color="auto"/>
            </w:tcBorders>
            <w:shd w:val="clear" w:color="auto" w:fill="auto"/>
            <w:noWrap/>
            <w:vAlign w:val="center"/>
          </w:tcPr>
          <w:p w14:paraId="78BD936D"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11719</w:t>
            </w:r>
          </w:p>
        </w:tc>
        <w:tc>
          <w:tcPr>
            <w:tcW w:w="783" w:type="dxa"/>
            <w:tcBorders>
              <w:top w:val="nil"/>
              <w:left w:val="nil"/>
              <w:bottom w:val="single" w:sz="8" w:space="0" w:color="auto"/>
              <w:right w:val="single" w:sz="8" w:space="0" w:color="auto"/>
            </w:tcBorders>
            <w:shd w:val="clear" w:color="auto" w:fill="auto"/>
            <w:noWrap/>
            <w:vAlign w:val="center"/>
          </w:tcPr>
          <w:p w14:paraId="1BCDB6F5"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2773</w:t>
            </w:r>
          </w:p>
        </w:tc>
        <w:tc>
          <w:tcPr>
            <w:tcW w:w="783" w:type="dxa"/>
            <w:tcBorders>
              <w:top w:val="nil"/>
              <w:left w:val="nil"/>
              <w:bottom w:val="single" w:sz="8" w:space="0" w:color="auto"/>
              <w:right w:val="single" w:sz="8" w:space="0" w:color="auto"/>
            </w:tcBorders>
            <w:shd w:val="clear" w:color="auto" w:fill="auto"/>
            <w:noWrap/>
            <w:vAlign w:val="center"/>
          </w:tcPr>
          <w:p w14:paraId="3DF0A04F"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34521</w:t>
            </w:r>
          </w:p>
        </w:tc>
        <w:tc>
          <w:tcPr>
            <w:tcW w:w="783" w:type="dxa"/>
            <w:tcBorders>
              <w:top w:val="nil"/>
              <w:left w:val="nil"/>
              <w:bottom w:val="single" w:sz="8" w:space="0" w:color="auto"/>
              <w:right w:val="single" w:sz="8" w:space="0" w:color="auto"/>
            </w:tcBorders>
            <w:shd w:val="clear" w:color="auto" w:fill="auto"/>
            <w:noWrap/>
            <w:vAlign w:val="center"/>
          </w:tcPr>
          <w:p w14:paraId="5342BF3B"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3131</w:t>
            </w:r>
          </w:p>
        </w:tc>
        <w:tc>
          <w:tcPr>
            <w:tcW w:w="783" w:type="dxa"/>
            <w:tcBorders>
              <w:top w:val="nil"/>
              <w:left w:val="nil"/>
              <w:bottom w:val="single" w:sz="8" w:space="0" w:color="auto"/>
              <w:right w:val="single" w:sz="8" w:space="0" w:color="auto"/>
            </w:tcBorders>
            <w:shd w:val="clear" w:color="auto" w:fill="auto"/>
            <w:noWrap/>
            <w:vAlign w:val="center"/>
          </w:tcPr>
          <w:p w14:paraId="42AF0DAE"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1521</w:t>
            </w:r>
          </w:p>
        </w:tc>
        <w:tc>
          <w:tcPr>
            <w:tcW w:w="783" w:type="dxa"/>
            <w:tcBorders>
              <w:top w:val="nil"/>
              <w:left w:val="nil"/>
              <w:bottom w:val="single" w:sz="8" w:space="0" w:color="auto"/>
              <w:right w:val="single" w:sz="8" w:space="0" w:color="auto"/>
            </w:tcBorders>
            <w:shd w:val="clear" w:color="auto" w:fill="auto"/>
            <w:noWrap/>
            <w:vAlign w:val="center"/>
          </w:tcPr>
          <w:p w14:paraId="50AC9E7B"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4652</w:t>
            </w:r>
          </w:p>
        </w:tc>
        <w:tc>
          <w:tcPr>
            <w:tcW w:w="783" w:type="dxa"/>
            <w:tcBorders>
              <w:top w:val="nil"/>
              <w:left w:val="nil"/>
              <w:bottom w:val="single" w:sz="8" w:space="0" w:color="auto"/>
              <w:right w:val="single" w:sz="8" w:space="0" w:color="auto"/>
            </w:tcBorders>
            <w:shd w:val="clear" w:color="auto" w:fill="auto"/>
            <w:noWrap/>
            <w:vAlign w:val="center"/>
          </w:tcPr>
          <w:p w14:paraId="0948BF76"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3074</w:t>
            </w:r>
          </w:p>
        </w:tc>
        <w:tc>
          <w:tcPr>
            <w:tcW w:w="782" w:type="dxa"/>
            <w:tcBorders>
              <w:top w:val="nil"/>
              <w:left w:val="nil"/>
              <w:bottom w:val="single" w:sz="8" w:space="0" w:color="auto"/>
              <w:right w:val="single" w:sz="8" w:space="0" w:color="auto"/>
            </w:tcBorders>
            <w:shd w:val="clear" w:color="auto" w:fill="auto"/>
            <w:noWrap/>
            <w:vAlign w:val="center"/>
          </w:tcPr>
          <w:p w14:paraId="46E5BF20"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2935</w:t>
            </w:r>
          </w:p>
        </w:tc>
        <w:tc>
          <w:tcPr>
            <w:tcW w:w="783" w:type="dxa"/>
            <w:tcBorders>
              <w:top w:val="nil"/>
              <w:left w:val="nil"/>
              <w:bottom w:val="single" w:sz="8" w:space="0" w:color="auto"/>
              <w:right w:val="single" w:sz="8" w:space="0" w:color="auto"/>
            </w:tcBorders>
            <w:shd w:val="clear" w:color="auto" w:fill="auto"/>
            <w:noWrap/>
            <w:vAlign w:val="center"/>
          </w:tcPr>
          <w:p w14:paraId="76E1FD5F"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6009</w:t>
            </w:r>
          </w:p>
        </w:tc>
        <w:tc>
          <w:tcPr>
            <w:tcW w:w="783" w:type="dxa"/>
            <w:tcBorders>
              <w:top w:val="nil"/>
              <w:left w:val="nil"/>
              <w:bottom w:val="single" w:sz="8" w:space="0" w:color="auto"/>
              <w:right w:val="single" w:sz="8" w:space="0" w:color="auto"/>
            </w:tcBorders>
            <w:shd w:val="clear" w:color="auto" w:fill="auto"/>
            <w:noWrap/>
            <w:vAlign w:val="center"/>
          </w:tcPr>
          <w:p w14:paraId="56C2220B"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121400</w:t>
            </w:r>
          </w:p>
        </w:tc>
        <w:tc>
          <w:tcPr>
            <w:tcW w:w="783" w:type="dxa"/>
            <w:tcBorders>
              <w:top w:val="nil"/>
              <w:left w:val="nil"/>
              <w:bottom w:val="single" w:sz="8" w:space="0" w:color="auto"/>
              <w:right w:val="single" w:sz="8" w:space="0" w:color="auto"/>
            </w:tcBorders>
            <w:shd w:val="clear" w:color="auto" w:fill="auto"/>
            <w:noWrap/>
            <w:vAlign w:val="center"/>
          </w:tcPr>
          <w:p w14:paraId="70A0D5A3"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121400</w:t>
            </w:r>
          </w:p>
        </w:tc>
        <w:tc>
          <w:tcPr>
            <w:tcW w:w="783" w:type="dxa"/>
            <w:tcBorders>
              <w:top w:val="nil"/>
              <w:left w:val="nil"/>
              <w:bottom w:val="single" w:sz="8" w:space="0" w:color="auto"/>
              <w:right w:val="single" w:sz="8" w:space="0" w:color="auto"/>
            </w:tcBorders>
            <w:shd w:val="clear" w:color="auto" w:fill="auto"/>
            <w:noWrap/>
            <w:vAlign w:val="center"/>
          </w:tcPr>
          <w:p w14:paraId="6530BFA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100382</w:t>
            </w:r>
          </w:p>
        </w:tc>
        <w:tc>
          <w:tcPr>
            <w:tcW w:w="783" w:type="dxa"/>
            <w:tcBorders>
              <w:top w:val="nil"/>
              <w:left w:val="nil"/>
              <w:bottom w:val="single" w:sz="8" w:space="0" w:color="auto"/>
              <w:right w:val="single" w:sz="8" w:space="0" w:color="auto"/>
            </w:tcBorders>
            <w:shd w:val="clear" w:color="auto" w:fill="auto"/>
            <w:noWrap/>
            <w:vAlign w:val="center"/>
          </w:tcPr>
          <w:p w14:paraId="1A356A2C"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682</w:t>
            </w:r>
          </w:p>
        </w:tc>
        <w:tc>
          <w:tcPr>
            <w:tcW w:w="850" w:type="dxa"/>
            <w:tcBorders>
              <w:top w:val="nil"/>
              <w:left w:val="nil"/>
              <w:bottom w:val="single" w:sz="8" w:space="0" w:color="auto"/>
              <w:right w:val="single" w:sz="8" w:space="0" w:color="auto"/>
            </w:tcBorders>
            <w:shd w:val="clear" w:color="auto" w:fill="auto"/>
            <w:noWrap/>
            <w:vAlign w:val="center"/>
          </w:tcPr>
          <w:p w14:paraId="0E36E12B"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338 394</w:t>
            </w:r>
          </w:p>
        </w:tc>
      </w:tr>
      <w:tr w:rsidR="00A47DEE" w:rsidRPr="00F04EBB" w14:paraId="59ADBBC3" w14:textId="77777777" w:rsidTr="00EE0E23">
        <w:trPr>
          <w:trHeight w:val="300"/>
          <w:jc w:val="center"/>
        </w:trPr>
        <w:tc>
          <w:tcPr>
            <w:tcW w:w="1210" w:type="dxa"/>
            <w:noWrap/>
            <w:hideMark/>
          </w:tcPr>
          <w:p w14:paraId="57ECC5C4"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2016-2017</w:t>
            </w:r>
          </w:p>
        </w:tc>
        <w:tc>
          <w:tcPr>
            <w:tcW w:w="866" w:type="dxa"/>
            <w:tcBorders>
              <w:top w:val="nil"/>
              <w:left w:val="nil"/>
              <w:bottom w:val="single" w:sz="8" w:space="0" w:color="auto"/>
              <w:right w:val="single" w:sz="8" w:space="0" w:color="auto"/>
            </w:tcBorders>
            <w:shd w:val="clear" w:color="auto" w:fill="auto"/>
            <w:noWrap/>
            <w:vAlign w:val="center"/>
          </w:tcPr>
          <w:p w14:paraId="316BD43C"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58192</w:t>
            </w:r>
          </w:p>
        </w:tc>
        <w:tc>
          <w:tcPr>
            <w:tcW w:w="783" w:type="dxa"/>
            <w:tcBorders>
              <w:top w:val="nil"/>
              <w:left w:val="nil"/>
              <w:bottom w:val="single" w:sz="8" w:space="0" w:color="auto"/>
              <w:right w:val="single" w:sz="8" w:space="0" w:color="auto"/>
            </w:tcBorders>
            <w:shd w:val="clear" w:color="auto" w:fill="auto"/>
            <w:noWrap/>
            <w:vAlign w:val="center"/>
          </w:tcPr>
          <w:p w14:paraId="10B9C815"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2525</w:t>
            </w:r>
          </w:p>
        </w:tc>
        <w:tc>
          <w:tcPr>
            <w:tcW w:w="624" w:type="dxa"/>
            <w:tcBorders>
              <w:top w:val="nil"/>
              <w:left w:val="nil"/>
              <w:bottom w:val="single" w:sz="8" w:space="0" w:color="auto"/>
              <w:right w:val="single" w:sz="8" w:space="0" w:color="auto"/>
            </w:tcBorders>
            <w:shd w:val="clear" w:color="auto" w:fill="auto"/>
            <w:noWrap/>
            <w:vAlign w:val="center"/>
          </w:tcPr>
          <w:p w14:paraId="423D8FA4"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67</w:t>
            </w:r>
          </w:p>
        </w:tc>
        <w:tc>
          <w:tcPr>
            <w:tcW w:w="942" w:type="dxa"/>
            <w:tcBorders>
              <w:top w:val="nil"/>
              <w:left w:val="nil"/>
              <w:bottom w:val="single" w:sz="8" w:space="0" w:color="auto"/>
              <w:right w:val="single" w:sz="8" w:space="0" w:color="auto"/>
            </w:tcBorders>
            <w:shd w:val="clear" w:color="auto" w:fill="auto"/>
            <w:noWrap/>
            <w:vAlign w:val="center"/>
          </w:tcPr>
          <w:p w14:paraId="4EBC6164"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60783</w:t>
            </w:r>
          </w:p>
        </w:tc>
        <w:tc>
          <w:tcPr>
            <w:tcW w:w="783" w:type="dxa"/>
            <w:tcBorders>
              <w:top w:val="nil"/>
              <w:left w:val="nil"/>
              <w:bottom w:val="single" w:sz="8" w:space="0" w:color="auto"/>
              <w:right w:val="single" w:sz="8" w:space="0" w:color="auto"/>
            </w:tcBorders>
            <w:shd w:val="clear" w:color="auto" w:fill="auto"/>
            <w:noWrap/>
            <w:vAlign w:val="center"/>
          </w:tcPr>
          <w:p w14:paraId="2BF118DD"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17192</w:t>
            </w:r>
          </w:p>
        </w:tc>
        <w:tc>
          <w:tcPr>
            <w:tcW w:w="782" w:type="dxa"/>
            <w:tcBorders>
              <w:top w:val="nil"/>
              <w:left w:val="nil"/>
              <w:bottom w:val="single" w:sz="8" w:space="0" w:color="auto"/>
              <w:right w:val="single" w:sz="8" w:space="0" w:color="auto"/>
            </w:tcBorders>
            <w:shd w:val="clear" w:color="auto" w:fill="auto"/>
            <w:noWrap/>
            <w:vAlign w:val="center"/>
          </w:tcPr>
          <w:p w14:paraId="5B53A076"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10209</w:t>
            </w:r>
          </w:p>
        </w:tc>
        <w:tc>
          <w:tcPr>
            <w:tcW w:w="783" w:type="dxa"/>
            <w:tcBorders>
              <w:top w:val="nil"/>
              <w:left w:val="nil"/>
              <w:bottom w:val="single" w:sz="8" w:space="0" w:color="auto"/>
              <w:right w:val="single" w:sz="8" w:space="0" w:color="auto"/>
            </w:tcBorders>
            <w:shd w:val="clear" w:color="auto" w:fill="auto"/>
            <w:noWrap/>
            <w:vAlign w:val="center"/>
          </w:tcPr>
          <w:p w14:paraId="323FC854"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1808</w:t>
            </w:r>
          </w:p>
        </w:tc>
        <w:tc>
          <w:tcPr>
            <w:tcW w:w="783" w:type="dxa"/>
            <w:tcBorders>
              <w:top w:val="nil"/>
              <w:left w:val="nil"/>
              <w:bottom w:val="single" w:sz="8" w:space="0" w:color="auto"/>
              <w:right w:val="single" w:sz="8" w:space="0" w:color="auto"/>
            </w:tcBorders>
            <w:shd w:val="clear" w:color="auto" w:fill="auto"/>
            <w:noWrap/>
            <w:vAlign w:val="center"/>
          </w:tcPr>
          <w:p w14:paraId="53F502D9"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29209</w:t>
            </w:r>
          </w:p>
        </w:tc>
        <w:tc>
          <w:tcPr>
            <w:tcW w:w="783" w:type="dxa"/>
            <w:tcBorders>
              <w:top w:val="nil"/>
              <w:left w:val="nil"/>
              <w:bottom w:val="single" w:sz="8" w:space="0" w:color="auto"/>
              <w:right w:val="single" w:sz="8" w:space="0" w:color="auto"/>
            </w:tcBorders>
            <w:shd w:val="clear" w:color="auto" w:fill="auto"/>
            <w:noWrap/>
            <w:vAlign w:val="center"/>
          </w:tcPr>
          <w:p w14:paraId="797B31D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2323</w:t>
            </w:r>
          </w:p>
        </w:tc>
        <w:tc>
          <w:tcPr>
            <w:tcW w:w="783" w:type="dxa"/>
            <w:tcBorders>
              <w:top w:val="nil"/>
              <w:left w:val="nil"/>
              <w:bottom w:val="single" w:sz="8" w:space="0" w:color="auto"/>
              <w:right w:val="single" w:sz="8" w:space="0" w:color="auto"/>
            </w:tcBorders>
            <w:shd w:val="clear" w:color="auto" w:fill="auto"/>
            <w:noWrap/>
            <w:vAlign w:val="center"/>
          </w:tcPr>
          <w:p w14:paraId="063424B5"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1587</w:t>
            </w:r>
          </w:p>
        </w:tc>
        <w:tc>
          <w:tcPr>
            <w:tcW w:w="783" w:type="dxa"/>
            <w:tcBorders>
              <w:top w:val="nil"/>
              <w:left w:val="nil"/>
              <w:bottom w:val="single" w:sz="8" w:space="0" w:color="auto"/>
              <w:right w:val="single" w:sz="8" w:space="0" w:color="auto"/>
            </w:tcBorders>
            <w:shd w:val="clear" w:color="auto" w:fill="auto"/>
            <w:noWrap/>
            <w:vAlign w:val="center"/>
          </w:tcPr>
          <w:p w14:paraId="1970E356"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3910</w:t>
            </w:r>
          </w:p>
        </w:tc>
        <w:tc>
          <w:tcPr>
            <w:tcW w:w="783" w:type="dxa"/>
            <w:tcBorders>
              <w:top w:val="nil"/>
              <w:left w:val="nil"/>
              <w:bottom w:val="single" w:sz="8" w:space="0" w:color="auto"/>
              <w:right w:val="single" w:sz="8" w:space="0" w:color="auto"/>
            </w:tcBorders>
            <w:shd w:val="clear" w:color="auto" w:fill="auto"/>
            <w:noWrap/>
            <w:vAlign w:val="center"/>
          </w:tcPr>
          <w:p w14:paraId="1ACE1AD5"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1766</w:t>
            </w:r>
          </w:p>
        </w:tc>
        <w:tc>
          <w:tcPr>
            <w:tcW w:w="782" w:type="dxa"/>
            <w:tcBorders>
              <w:top w:val="nil"/>
              <w:left w:val="nil"/>
              <w:bottom w:val="single" w:sz="8" w:space="0" w:color="auto"/>
              <w:right w:val="single" w:sz="8" w:space="0" w:color="auto"/>
            </w:tcBorders>
            <w:shd w:val="clear" w:color="auto" w:fill="auto"/>
            <w:noWrap/>
            <w:vAlign w:val="center"/>
          </w:tcPr>
          <w:p w14:paraId="6FE826E2"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2184</w:t>
            </w:r>
          </w:p>
        </w:tc>
        <w:tc>
          <w:tcPr>
            <w:tcW w:w="783" w:type="dxa"/>
            <w:tcBorders>
              <w:top w:val="nil"/>
              <w:left w:val="nil"/>
              <w:bottom w:val="single" w:sz="8" w:space="0" w:color="auto"/>
              <w:right w:val="single" w:sz="8" w:space="0" w:color="auto"/>
            </w:tcBorders>
            <w:shd w:val="clear" w:color="auto" w:fill="auto"/>
            <w:noWrap/>
            <w:vAlign w:val="center"/>
          </w:tcPr>
          <w:p w14:paraId="38288D36"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3949</w:t>
            </w:r>
          </w:p>
        </w:tc>
        <w:tc>
          <w:tcPr>
            <w:tcW w:w="783" w:type="dxa"/>
            <w:tcBorders>
              <w:top w:val="nil"/>
              <w:left w:val="nil"/>
              <w:bottom w:val="single" w:sz="8" w:space="0" w:color="auto"/>
              <w:right w:val="single" w:sz="8" w:space="0" w:color="auto"/>
            </w:tcBorders>
            <w:shd w:val="clear" w:color="auto" w:fill="auto"/>
            <w:noWrap/>
            <w:vAlign w:val="center"/>
          </w:tcPr>
          <w:p w14:paraId="06BE13AF"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87603</w:t>
            </w:r>
          </w:p>
        </w:tc>
        <w:tc>
          <w:tcPr>
            <w:tcW w:w="783" w:type="dxa"/>
            <w:tcBorders>
              <w:top w:val="nil"/>
              <w:left w:val="nil"/>
              <w:bottom w:val="single" w:sz="8" w:space="0" w:color="auto"/>
              <w:right w:val="single" w:sz="8" w:space="0" w:color="auto"/>
            </w:tcBorders>
            <w:shd w:val="clear" w:color="auto" w:fill="auto"/>
            <w:noWrap/>
            <w:vAlign w:val="center"/>
          </w:tcPr>
          <w:p w14:paraId="4505C37E"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87603</w:t>
            </w:r>
          </w:p>
        </w:tc>
        <w:tc>
          <w:tcPr>
            <w:tcW w:w="783" w:type="dxa"/>
            <w:tcBorders>
              <w:top w:val="nil"/>
              <w:left w:val="nil"/>
              <w:bottom w:val="single" w:sz="8" w:space="0" w:color="auto"/>
              <w:right w:val="single" w:sz="8" w:space="0" w:color="auto"/>
            </w:tcBorders>
            <w:shd w:val="clear" w:color="auto" w:fill="auto"/>
            <w:noWrap/>
            <w:vAlign w:val="center"/>
          </w:tcPr>
          <w:p w14:paraId="092984FB"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119735</w:t>
            </w:r>
          </w:p>
        </w:tc>
        <w:tc>
          <w:tcPr>
            <w:tcW w:w="783" w:type="dxa"/>
            <w:tcBorders>
              <w:top w:val="nil"/>
              <w:left w:val="nil"/>
              <w:bottom w:val="single" w:sz="8" w:space="0" w:color="auto"/>
              <w:right w:val="single" w:sz="8" w:space="0" w:color="auto"/>
            </w:tcBorders>
            <w:shd w:val="clear" w:color="auto" w:fill="auto"/>
            <w:noWrap/>
            <w:vAlign w:val="center"/>
          </w:tcPr>
          <w:p w14:paraId="18DF3A3F"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1258</w:t>
            </w:r>
          </w:p>
        </w:tc>
        <w:tc>
          <w:tcPr>
            <w:tcW w:w="850" w:type="dxa"/>
            <w:tcBorders>
              <w:top w:val="nil"/>
              <w:left w:val="nil"/>
              <w:bottom w:val="single" w:sz="8" w:space="0" w:color="auto"/>
              <w:right w:val="single" w:sz="8" w:space="0" w:color="auto"/>
            </w:tcBorders>
            <w:shd w:val="clear" w:color="auto" w:fill="auto"/>
            <w:noWrap/>
            <w:vAlign w:val="center"/>
          </w:tcPr>
          <w:p w14:paraId="46CA4B0B"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306 448</w:t>
            </w:r>
          </w:p>
        </w:tc>
      </w:tr>
      <w:tr w:rsidR="00A47DEE" w:rsidRPr="00F04EBB" w14:paraId="66C8A1B5" w14:textId="77777777" w:rsidTr="00EE0E23">
        <w:trPr>
          <w:trHeight w:val="300"/>
          <w:jc w:val="center"/>
        </w:trPr>
        <w:tc>
          <w:tcPr>
            <w:tcW w:w="1210" w:type="dxa"/>
            <w:noWrap/>
            <w:hideMark/>
          </w:tcPr>
          <w:p w14:paraId="79090EB7"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2017-2018</w:t>
            </w:r>
          </w:p>
        </w:tc>
        <w:tc>
          <w:tcPr>
            <w:tcW w:w="866" w:type="dxa"/>
            <w:tcBorders>
              <w:top w:val="nil"/>
              <w:left w:val="nil"/>
              <w:bottom w:val="single" w:sz="8" w:space="0" w:color="auto"/>
              <w:right w:val="single" w:sz="8" w:space="0" w:color="auto"/>
            </w:tcBorders>
            <w:shd w:val="clear" w:color="auto" w:fill="auto"/>
            <w:noWrap/>
            <w:vAlign w:val="center"/>
          </w:tcPr>
          <w:p w14:paraId="6B866B61"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34918</w:t>
            </w:r>
          </w:p>
        </w:tc>
        <w:tc>
          <w:tcPr>
            <w:tcW w:w="783" w:type="dxa"/>
            <w:tcBorders>
              <w:top w:val="nil"/>
              <w:left w:val="nil"/>
              <w:bottom w:val="single" w:sz="8" w:space="0" w:color="auto"/>
              <w:right w:val="single" w:sz="8" w:space="0" w:color="auto"/>
            </w:tcBorders>
            <w:shd w:val="clear" w:color="auto" w:fill="auto"/>
            <w:noWrap/>
            <w:vAlign w:val="center"/>
          </w:tcPr>
          <w:p w14:paraId="1ED24D7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1177</w:t>
            </w:r>
          </w:p>
        </w:tc>
        <w:tc>
          <w:tcPr>
            <w:tcW w:w="624" w:type="dxa"/>
            <w:tcBorders>
              <w:top w:val="nil"/>
              <w:left w:val="nil"/>
              <w:bottom w:val="single" w:sz="8" w:space="0" w:color="auto"/>
              <w:right w:val="single" w:sz="8" w:space="0" w:color="auto"/>
            </w:tcBorders>
            <w:shd w:val="clear" w:color="auto" w:fill="auto"/>
            <w:noWrap/>
            <w:vAlign w:val="center"/>
          </w:tcPr>
          <w:p w14:paraId="04F2B75C"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37</w:t>
            </w:r>
          </w:p>
        </w:tc>
        <w:tc>
          <w:tcPr>
            <w:tcW w:w="942" w:type="dxa"/>
            <w:tcBorders>
              <w:top w:val="nil"/>
              <w:left w:val="nil"/>
              <w:bottom w:val="single" w:sz="8" w:space="0" w:color="auto"/>
              <w:right w:val="single" w:sz="8" w:space="0" w:color="auto"/>
            </w:tcBorders>
            <w:shd w:val="clear" w:color="auto" w:fill="auto"/>
            <w:noWrap/>
            <w:vAlign w:val="center"/>
          </w:tcPr>
          <w:p w14:paraId="6E70F1D3"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36132</w:t>
            </w:r>
          </w:p>
        </w:tc>
        <w:tc>
          <w:tcPr>
            <w:tcW w:w="783" w:type="dxa"/>
            <w:tcBorders>
              <w:top w:val="nil"/>
              <w:left w:val="nil"/>
              <w:bottom w:val="single" w:sz="8" w:space="0" w:color="auto"/>
              <w:right w:val="single" w:sz="8" w:space="0" w:color="auto"/>
            </w:tcBorders>
            <w:shd w:val="clear" w:color="auto" w:fill="auto"/>
            <w:noWrap/>
            <w:vAlign w:val="center"/>
          </w:tcPr>
          <w:p w14:paraId="7DFA2EB3"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10670</w:t>
            </w:r>
          </w:p>
        </w:tc>
        <w:tc>
          <w:tcPr>
            <w:tcW w:w="782" w:type="dxa"/>
            <w:tcBorders>
              <w:top w:val="nil"/>
              <w:left w:val="nil"/>
              <w:bottom w:val="single" w:sz="8" w:space="0" w:color="auto"/>
              <w:right w:val="single" w:sz="8" w:space="0" w:color="auto"/>
            </w:tcBorders>
            <w:shd w:val="clear" w:color="auto" w:fill="auto"/>
            <w:noWrap/>
            <w:vAlign w:val="center"/>
          </w:tcPr>
          <w:p w14:paraId="01DE7D65"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5828</w:t>
            </w:r>
          </w:p>
        </w:tc>
        <w:tc>
          <w:tcPr>
            <w:tcW w:w="783" w:type="dxa"/>
            <w:tcBorders>
              <w:top w:val="nil"/>
              <w:left w:val="nil"/>
              <w:bottom w:val="single" w:sz="8" w:space="0" w:color="auto"/>
              <w:right w:val="single" w:sz="8" w:space="0" w:color="auto"/>
            </w:tcBorders>
            <w:shd w:val="clear" w:color="auto" w:fill="auto"/>
            <w:noWrap/>
            <w:vAlign w:val="center"/>
          </w:tcPr>
          <w:p w14:paraId="4F7D429D"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475</w:t>
            </w:r>
          </w:p>
        </w:tc>
        <w:tc>
          <w:tcPr>
            <w:tcW w:w="783" w:type="dxa"/>
            <w:tcBorders>
              <w:top w:val="nil"/>
              <w:left w:val="nil"/>
              <w:bottom w:val="single" w:sz="8" w:space="0" w:color="auto"/>
              <w:right w:val="single" w:sz="8" w:space="0" w:color="auto"/>
            </w:tcBorders>
            <w:shd w:val="clear" w:color="auto" w:fill="auto"/>
            <w:noWrap/>
            <w:vAlign w:val="center"/>
          </w:tcPr>
          <w:p w14:paraId="13716059"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16973</w:t>
            </w:r>
          </w:p>
        </w:tc>
        <w:tc>
          <w:tcPr>
            <w:tcW w:w="783" w:type="dxa"/>
            <w:tcBorders>
              <w:top w:val="nil"/>
              <w:left w:val="nil"/>
              <w:bottom w:val="single" w:sz="8" w:space="0" w:color="auto"/>
              <w:right w:val="single" w:sz="8" w:space="0" w:color="auto"/>
            </w:tcBorders>
            <w:shd w:val="clear" w:color="auto" w:fill="auto"/>
            <w:noWrap/>
            <w:vAlign w:val="center"/>
          </w:tcPr>
          <w:p w14:paraId="7F8A029B" w14:textId="77777777" w:rsidR="00A47DEE" w:rsidRPr="00F04EBB" w:rsidRDefault="00A47DEE" w:rsidP="00EE0E23">
            <w:pPr>
              <w:jc w:val="right"/>
              <w:rPr>
                <w:rFonts w:eastAsia="Times New Roman" w:cstheme="minorHAnsi"/>
                <w:color w:val="000000"/>
                <w:sz w:val="18"/>
                <w:szCs w:val="18"/>
              </w:rPr>
            </w:pPr>
            <w:r w:rsidRPr="00F04EBB">
              <w:rPr>
                <w:rFonts w:eastAsia="Calibri" w:cstheme="minorHAnsi"/>
                <w:color w:val="000000"/>
                <w:sz w:val="18"/>
                <w:szCs w:val="18"/>
              </w:rPr>
              <w:t>1184</w:t>
            </w:r>
          </w:p>
        </w:tc>
        <w:tc>
          <w:tcPr>
            <w:tcW w:w="783" w:type="dxa"/>
            <w:tcBorders>
              <w:top w:val="nil"/>
              <w:left w:val="nil"/>
              <w:bottom w:val="single" w:sz="8" w:space="0" w:color="auto"/>
              <w:right w:val="single" w:sz="8" w:space="0" w:color="auto"/>
            </w:tcBorders>
            <w:shd w:val="clear" w:color="auto" w:fill="auto"/>
            <w:noWrap/>
            <w:vAlign w:val="center"/>
          </w:tcPr>
          <w:p w14:paraId="6C92F110" w14:textId="77777777" w:rsidR="00A47DEE" w:rsidRPr="00F04EBB" w:rsidRDefault="00A47DEE" w:rsidP="00EE0E23">
            <w:pPr>
              <w:jc w:val="right"/>
              <w:rPr>
                <w:rFonts w:eastAsia="Times New Roman" w:cstheme="minorHAnsi"/>
                <w:color w:val="000000"/>
                <w:sz w:val="18"/>
                <w:szCs w:val="18"/>
              </w:rPr>
            </w:pPr>
            <w:r w:rsidRPr="00F04EBB">
              <w:rPr>
                <w:rFonts w:eastAsia="Calibri" w:cstheme="minorHAnsi"/>
                <w:color w:val="000000"/>
                <w:sz w:val="18"/>
                <w:szCs w:val="18"/>
              </w:rPr>
              <w:t>1051</w:t>
            </w:r>
          </w:p>
        </w:tc>
        <w:tc>
          <w:tcPr>
            <w:tcW w:w="783" w:type="dxa"/>
            <w:tcBorders>
              <w:top w:val="nil"/>
              <w:left w:val="nil"/>
              <w:bottom w:val="single" w:sz="8" w:space="0" w:color="auto"/>
              <w:right w:val="single" w:sz="8" w:space="0" w:color="auto"/>
            </w:tcBorders>
            <w:shd w:val="clear" w:color="auto" w:fill="auto"/>
            <w:noWrap/>
            <w:vAlign w:val="center"/>
          </w:tcPr>
          <w:p w14:paraId="5C36DD49" w14:textId="77777777" w:rsidR="00A47DEE" w:rsidRPr="00F04EBB" w:rsidRDefault="00A47DEE" w:rsidP="00EE0E23">
            <w:pPr>
              <w:jc w:val="right"/>
              <w:rPr>
                <w:rFonts w:eastAsia="Times New Roman" w:cstheme="minorHAnsi"/>
                <w:color w:val="000000"/>
                <w:sz w:val="18"/>
                <w:szCs w:val="18"/>
              </w:rPr>
            </w:pPr>
            <w:r w:rsidRPr="00F04EBB">
              <w:rPr>
                <w:rFonts w:eastAsia="Calibri" w:cstheme="minorHAnsi"/>
                <w:color w:val="000000"/>
                <w:sz w:val="18"/>
                <w:szCs w:val="18"/>
              </w:rPr>
              <w:t>2234</w:t>
            </w:r>
          </w:p>
        </w:tc>
        <w:tc>
          <w:tcPr>
            <w:tcW w:w="783" w:type="dxa"/>
            <w:tcBorders>
              <w:top w:val="nil"/>
              <w:left w:val="nil"/>
              <w:bottom w:val="single" w:sz="8" w:space="0" w:color="auto"/>
              <w:right w:val="single" w:sz="8" w:space="0" w:color="auto"/>
            </w:tcBorders>
            <w:shd w:val="clear" w:color="auto" w:fill="auto"/>
            <w:noWrap/>
            <w:vAlign w:val="center"/>
          </w:tcPr>
          <w:p w14:paraId="3FD417B4"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2546</w:t>
            </w:r>
          </w:p>
        </w:tc>
        <w:tc>
          <w:tcPr>
            <w:tcW w:w="782" w:type="dxa"/>
            <w:tcBorders>
              <w:top w:val="nil"/>
              <w:left w:val="nil"/>
              <w:bottom w:val="single" w:sz="8" w:space="0" w:color="auto"/>
              <w:right w:val="single" w:sz="8" w:space="0" w:color="auto"/>
            </w:tcBorders>
            <w:shd w:val="clear" w:color="auto" w:fill="auto"/>
            <w:noWrap/>
            <w:vAlign w:val="center"/>
          </w:tcPr>
          <w:p w14:paraId="469E3A9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2979</w:t>
            </w:r>
          </w:p>
        </w:tc>
        <w:tc>
          <w:tcPr>
            <w:tcW w:w="783" w:type="dxa"/>
            <w:tcBorders>
              <w:top w:val="nil"/>
              <w:left w:val="nil"/>
              <w:bottom w:val="single" w:sz="8" w:space="0" w:color="auto"/>
              <w:right w:val="single" w:sz="8" w:space="0" w:color="auto"/>
            </w:tcBorders>
            <w:shd w:val="clear" w:color="auto" w:fill="auto"/>
            <w:noWrap/>
            <w:vAlign w:val="center"/>
          </w:tcPr>
          <w:p w14:paraId="3F3AA9C4"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5524</w:t>
            </w:r>
          </w:p>
        </w:tc>
        <w:tc>
          <w:tcPr>
            <w:tcW w:w="783" w:type="dxa"/>
            <w:tcBorders>
              <w:top w:val="nil"/>
              <w:left w:val="nil"/>
              <w:bottom w:val="single" w:sz="8" w:space="0" w:color="auto"/>
              <w:right w:val="single" w:sz="8" w:space="0" w:color="auto"/>
            </w:tcBorders>
            <w:shd w:val="clear" w:color="auto" w:fill="auto"/>
            <w:noWrap/>
            <w:vAlign w:val="center"/>
          </w:tcPr>
          <w:p w14:paraId="488FA828" w14:textId="77777777" w:rsidR="00A47DEE" w:rsidRPr="00F04EBB" w:rsidRDefault="00A47DEE" w:rsidP="00EE0E23">
            <w:pPr>
              <w:jc w:val="right"/>
              <w:rPr>
                <w:rFonts w:eastAsia="Times New Roman" w:cstheme="minorHAnsi"/>
                <w:color w:val="000000"/>
                <w:sz w:val="18"/>
                <w:szCs w:val="18"/>
              </w:rPr>
            </w:pPr>
            <w:r w:rsidRPr="00F04EBB">
              <w:rPr>
                <w:rFonts w:eastAsia="Calibri" w:cstheme="minorHAnsi"/>
                <w:color w:val="000000"/>
                <w:sz w:val="18"/>
                <w:szCs w:val="18"/>
              </w:rPr>
              <w:t>131956</w:t>
            </w:r>
          </w:p>
        </w:tc>
        <w:tc>
          <w:tcPr>
            <w:tcW w:w="783" w:type="dxa"/>
            <w:tcBorders>
              <w:top w:val="nil"/>
              <w:left w:val="nil"/>
              <w:bottom w:val="single" w:sz="8" w:space="0" w:color="auto"/>
              <w:right w:val="single" w:sz="8" w:space="0" w:color="auto"/>
            </w:tcBorders>
            <w:shd w:val="clear" w:color="auto" w:fill="auto"/>
            <w:noWrap/>
            <w:vAlign w:val="center"/>
          </w:tcPr>
          <w:p w14:paraId="4A32EC35" w14:textId="77777777" w:rsidR="00A47DEE" w:rsidRPr="00F04EBB" w:rsidRDefault="00A47DEE" w:rsidP="00EE0E23">
            <w:pPr>
              <w:jc w:val="right"/>
              <w:rPr>
                <w:rFonts w:eastAsia="Times New Roman" w:cstheme="minorHAnsi"/>
                <w:color w:val="000000"/>
                <w:sz w:val="18"/>
                <w:szCs w:val="18"/>
              </w:rPr>
            </w:pPr>
            <w:r w:rsidRPr="00F04EBB">
              <w:rPr>
                <w:rFonts w:eastAsia="Calibri" w:cstheme="minorHAnsi"/>
                <w:color w:val="000000"/>
                <w:sz w:val="18"/>
                <w:szCs w:val="18"/>
              </w:rPr>
              <w:t>131956</w:t>
            </w:r>
          </w:p>
        </w:tc>
        <w:tc>
          <w:tcPr>
            <w:tcW w:w="783" w:type="dxa"/>
            <w:tcBorders>
              <w:top w:val="nil"/>
              <w:left w:val="nil"/>
              <w:bottom w:val="single" w:sz="8" w:space="0" w:color="auto"/>
              <w:right w:val="single" w:sz="8" w:space="0" w:color="auto"/>
            </w:tcBorders>
            <w:shd w:val="clear" w:color="auto" w:fill="auto"/>
            <w:noWrap/>
            <w:vAlign w:val="center"/>
          </w:tcPr>
          <w:p w14:paraId="1E9C99C1" w14:textId="77777777" w:rsidR="00A47DEE" w:rsidRPr="00F04EBB" w:rsidRDefault="00A47DEE" w:rsidP="00EE0E23">
            <w:pPr>
              <w:jc w:val="right"/>
              <w:rPr>
                <w:rFonts w:eastAsia="Times New Roman" w:cstheme="minorHAnsi"/>
                <w:color w:val="000000"/>
                <w:sz w:val="18"/>
                <w:szCs w:val="18"/>
              </w:rPr>
            </w:pPr>
            <w:r w:rsidRPr="00F04EBB">
              <w:rPr>
                <w:rFonts w:eastAsia="Calibri" w:cstheme="minorHAnsi"/>
                <w:color w:val="000000"/>
                <w:sz w:val="18"/>
                <w:szCs w:val="18"/>
              </w:rPr>
              <w:t>168738</w:t>
            </w:r>
          </w:p>
        </w:tc>
        <w:tc>
          <w:tcPr>
            <w:tcW w:w="783" w:type="dxa"/>
            <w:tcBorders>
              <w:top w:val="nil"/>
              <w:left w:val="nil"/>
              <w:bottom w:val="single" w:sz="8" w:space="0" w:color="auto"/>
              <w:right w:val="single" w:sz="8" w:space="0" w:color="auto"/>
            </w:tcBorders>
            <w:shd w:val="clear" w:color="auto" w:fill="auto"/>
            <w:noWrap/>
            <w:vAlign w:val="center"/>
          </w:tcPr>
          <w:p w14:paraId="78C3352F"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594</w:t>
            </w:r>
          </w:p>
        </w:tc>
        <w:tc>
          <w:tcPr>
            <w:tcW w:w="850" w:type="dxa"/>
            <w:tcBorders>
              <w:top w:val="nil"/>
              <w:left w:val="nil"/>
              <w:bottom w:val="single" w:sz="8" w:space="0" w:color="auto"/>
              <w:right w:val="single" w:sz="8" w:space="0" w:color="auto"/>
            </w:tcBorders>
            <w:shd w:val="clear" w:color="auto" w:fill="auto"/>
            <w:noWrap/>
            <w:vAlign w:val="center"/>
          </w:tcPr>
          <w:p w14:paraId="73DC557D"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362 151</w:t>
            </w:r>
          </w:p>
        </w:tc>
      </w:tr>
      <w:tr w:rsidR="00A47DEE" w:rsidRPr="00F04EBB" w14:paraId="24E5F1EC" w14:textId="77777777" w:rsidTr="00EE0E23">
        <w:trPr>
          <w:trHeight w:val="300"/>
          <w:jc w:val="center"/>
        </w:trPr>
        <w:tc>
          <w:tcPr>
            <w:tcW w:w="1210" w:type="dxa"/>
            <w:noWrap/>
            <w:hideMark/>
          </w:tcPr>
          <w:p w14:paraId="39F07BFD"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2018-2019</w:t>
            </w:r>
          </w:p>
        </w:tc>
        <w:tc>
          <w:tcPr>
            <w:tcW w:w="866" w:type="dxa"/>
            <w:tcBorders>
              <w:top w:val="nil"/>
              <w:left w:val="nil"/>
              <w:bottom w:val="single" w:sz="8" w:space="0" w:color="auto"/>
              <w:right w:val="single" w:sz="8" w:space="0" w:color="auto"/>
            </w:tcBorders>
            <w:shd w:val="clear" w:color="auto" w:fill="auto"/>
            <w:vAlign w:val="center"/>
          </w:tcPr>
          <w:p w14:paraId="59D16D94"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65148</w:t>
            </w:r>
          </w:p>
        </w:tc>
        <w:tc>
          <w:tcPr>
            <w:tcW w:w="783" w:type="dxa"/>
            <w:tcBorders>
              <w:top w:val="nil"/>
              <w:left w:val="nil"/>
              <w:bottom w:val="single" w:sz="8" w:space="0" w:color="auto"/>
              <w:right w:val="single" w:sz="8" w:space="0" w:color="auto"/>
            </w:tcBorders>
            <w:shd w:val="clear" w:color="auto" w:fill="auto"/>
            <w:vAlign w:val="center"/>
          </w:tcPr>
          <w:p w14:paraId="5265AA5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2924</w:t>
            </w:r>
          </w:p>
        </w:tc>
        <w:tc>
          <w:tcPr>
            <w:tcW w:w="624" w:type="dxa"/>
            <w:tcBorders>
              <w:top w:val="nil"/>
              <w:left w:val="nil"/>
              <w:bottom w:val="single" w:sz="8" w:space="0" w:color="auto"/>
              <w:right w:val="single" w:sz="8" w:space="0" w:color="auto"/>
            </w:tcBorders>
            <w:shd w:val="clear" w:color="auto" w:fill="auto"/>
            <w:vAlign w:val="center"/>
          </w:tcPr>
          <w:p w14:paraId="2144DB2C"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55</w:t>
            </w:r>
          </w:p>
        </w:tc>
        <w:tc>
          <w:tcPr>
            <w:tcW w:w="942" w:type="dxa"/>
            <w:tcBorders>
              <w:top w:val="nil"/>
              <w:left w:val="nil"/>
              <w:bottom w:val="single" w:sz="8" w:space="0" w:color="auto"/>
              <w:right w:val="single" w:sz="8" w:space="0" w:color="auto"/>
            </w:tcBorders>
            <w:shd w:val="clear" w:color="auto" w:fill="auto"/>
            <w:vAlign w:val="center"/>
          </w:tcPr>
          <w:p w14:paraId="6998DB5B"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68127</w:t>
            </w:r>
          </w:p>
        </w:tc>
        <w:tc>
          <w:tcPr>
            <w:tcW w:w="783" w:type="dxa"/>
            <w:tcBorders>
              <w:top w:val="nil"/>
              <w:left w:val="nil"/>
              <w:bottom w:val="single" w:sz="8" w:space="0" w:color="auto"/>
              <w:right w:val="single" w:sz="8" w:space="0" w:color="auto"/>
            </w:tcBorders>
            <w:shd w:val="clear" w:color="auto" w:fill="auto"/>
            <w:noWrap/>
            <w:vAlign w:val="center"/>
          </w:tcPr>
          <w:p w14:paraId="282430FD"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16955</w:t>
            </w:r>
          </w:p>
        </w:tc>
        <w:tc>
          <w:tcPr>
            <w:tcW w:w="782" w:type="dxa"/>
            <w:tcBorders>
              <w:top w:val="nil"/>
              <w:left w:val="nil"/>
              <w:bottom w:val="single" w:sz="8" w:space="0" w:color="auto"/>
              <w:right w:val="single" w:sz="8" w:space="0" w:color="auto"/>
            </w:tcBorders>
            <w:shd w:val="clear" w:color="auto" w:fill="auto"/>
            <w:noWrap/>
            <w:vAlign w:val="center"/>
          </w:tcPr>
          <w:p w14:paraId="0F78283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6703</w:t>
            </w:r>
          </w:p>
        </w:tc>
        <w:tc>
          <w:tcPr>
            <w:tcW w:w="783" w:type="dxa"/>
            <w:tcBorders>
              <w:top w:val="nil"/>
              <w:left w:val="nil"/>
              <w:bottom w:val="single" w:sz="8" w:space="0" w:color="auto"/>
              <w:right w:val="single" w:sz="8" w:space="0" w:color="auto"/>
            </w:tcBorders>
            <w:shd w:val="clear" w:color="auto" w:fill="auto"/>
            <w:noWrap/>
            <w:vAlign w:val="center"/>
          </w:tcPr>
          <w:p w14:paraId="0FAB725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2553</w:t>
            </w:r>
          </w:p>
        </w:tc>
        <w:tc>
          <w:tcPr>
            <w:tcW w:w="783" w:type="dxa"/>
            <w:tcBorders>
              <w:top w:val="nil"/>
              <w:left w:val="nil"/>
              <w:bottom w:val="single" w:sz="8" w:space="0" w:color="auto"/>
              <w:right w:val="single" w:sz="8" w:space="0" w:color="auto"/>
            </w:tcBorders>
            <w:shd w:val="clear" w:color="auto" w:fill="auto"/>
            <w:noWrap/>
            <w:vAlign w:val="center"/>
          </w:tcPr>
          <w:p w14:paraId="3F4E3B76"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26211</w:t>
            </w:r>
          </w:p>
        </w:tc>
        <w:tc>
          <w:tcPr>
            <w:tcW w:w="783" w:type="dxa"/>
            <w:tcBorders>
              <w:top w:val="nil"/>
              <w:left w:val="nil"/>
              <w:bottom w:val="single" w:sz="8" w:space="0" w:color="auto"/>
              <w:right w:val="single" w:sz="8" w:space="0" w:color="auto"/>
            </w:tcBorders>
            <w:shd w:val="clear" w:color="auto" w:fill="auto"/>
            <w:vAlign w:val="center"/>
          </w:tcPr>
          <w:p w14:paraId="374BFF20"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2124</w:t>
            </w:r>
          </w:p>
        </w:tc>
        <w:tc>
          <w:tcPr>
            <w:tcW w:w="783" w:type="dxa"/>
            <w:tcBorders>
              <w:top w:val="nil"/>
              <w:left w:val="nil"/>
              <w:bottom w:val="single" w:sz="8" w:space="0" w:color="auto"/>
              <w:right w:val="single" w:sz="8" w:space="0" w:color="auto"/>
            </w:tcBorders>
            <w:shd w:val="clear" w:color="auto" w:fill="auto"/>
            <w:vAlign w:val="center"/>
          </w:tcPr>
          <w:p w14:paraId="79873F9F"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1486</w:t>
            </w:r>
          </w:p>
        </w:tc>
        <w:tc>
          <w:tcPr>
            <w:tcW w:w="783" w:type="dxa"/>
            <w:tcBorders>
              <w:top w:val="nil"/>
              <w:left w:val="nil"/>
              <w:bottom w:val="single" w:sz="8" w:space="0" w:color="auto"/>
              <w:right w:val="single" w:sz="8" w:space="0" w:color="auto"/>
            </w:tcBorders>
            <w:shd w:val="clear" w:color="auto" w:fill="auto"/>
            <w:vAlign w:val="center"/>
          </w:tcPr>
          <w:p w14:paraId="54A09E29"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3610</w:t>
            </w:r>
          </w:p>
        </w:tc>
        <w:tc>
          <w:tcPr>
            <w:tcW w:w="783" w:type="dxa"/>
            <w:tcBorders>
              <w:top w:val="nil"/>
              <w:left w:val="nil"/>
              <w:bottom w:val="single" w:sz="8" w:space="0" w:color="auto"/>
              <w:right w:val="single" w:sz="8" w:space="0" w:color="auto"/>
            </w:tcBorders>
            <w:shd w:val="clear" w:color="auto" w:fill="auto"/>
            <w:vAlign w:val="center"/>
          </w:tcPr>
          <w:p w14:paraId="30E07E36"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3037</w:t>
            </w:r>
          </w:p>
        </w:tc>
        <w:tc>
          <w:tcPr>
            <w:tcW w:w="782" w:type="dxa"/>
            <w:tcBorders>
              <w:top w:val="nil"/>
              <w:left w:val="nil"/>
              <w:bottom w:val="single" w:sz="8" w:space="0" w:color="auto"/>
              <w:right w:val="single" w:sz="8" w:space="0" w:color="auto"/>
            </w:tcBorders>
            <w:shd w:val="clear" w:color="auto" w:fill="auto"/>
            <w:vAlign w:val="center"/>
          </w:tcPr>
          <w:p w14:paraId="2F56A600"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3482</w:t>
            </w:r>
          </w:p>
        </w:tc>
        <w:tc>
          <w:tcPr>
            <w:tcW w:w="783" w:type="dxa"/>
            <w:tcBorders>
              <w:top w:val="nil"/>
              <w:left w:val="nil"/>
              <w:bottom w:val="single" w:sz="8" w:space="0" w:color="auto"/>
              <w:right w:val="single" w:sz="8" w:space="0" w:color="auto"/>
            </w:tcBorders>
            <w:shd w:val="clear" w:color="auto" w:fill="auto"/>
            <w:vAlign w:val="center"/>
          </w:tcPr>
          <w:p w14:paraId="2A2B134F"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6519</w:t>
            </w:r>
          </w:p>
        </w:tc>
        <w:tc>
          <w:tcPr>
            <w:tcW w:w="783" w:type="dxa"/>
            <w:tcBorders>
              <w:top w:val="nil"/>
              <w:left w:val="nil"/>
              <w:bottom w:val="single" w:sz="8" w:space="0" w:color="auto"/>
              <w:right w:val="single" w:sz="8" w:space="0" w:color="auto"/>
            </w:tcBorders>
            <w:shd w:val="clear" w:color="auto" w:fill="auto"/>
            <w:noWrap/>
            <w:vAlign w:val="center"/>
          </w:tcPr>
          <w:p w14:paraId="51909836"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125543</w:t>
            </w:r>
          </w:p>
        </w:tc>
        <w:tc>
          <w:tcPr>
            <w:tcW w:w="783" w:type="dxa"/>
            <w:tcBorders>
              <w:top w:val="nil"/>
              <w:left w:val="nil"/>
              <w:bottom w:val="single" w:sz="8" w:space="0" w:color="auto"/>
              <w:right w:val="single" w:sz="8" w:space="0" w:color="auto"/>
            </w:tcBorders>
            <w:shd w:val="clear" w:color="auto" w:fill="auto"/>
            <w:vAlign w:val="center"/>
          </w:tcPr>
          <w:p w14:paraId="332C39A4"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125543</w:t>
            </w:r>
          </w:p>
        </w:tc>
        <w:tc>
          <w:tcPr>
            <w:tcW w:w="783" w:type="dxa"/>
            <w:tcBorders>
              <w:top w:val="nil"/>
              <w:left w:val="nil"/>
              <w:bottom w:val="single" w:sz="8" w:space="0" w:color="auto"/>
              <w:right w:val="single" w:sz="8" w:space="0" w:color="auto"/>
            </w:tcBorders>
            <w:shd w:val="clear" w:color="auto" w:fill="auto"/>
            <w:vAlign w:val="center"/>
          </w:tcPr>
          <w:p w14:paraId="42AC233E"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179803</w:t>
            </w:r>
          </w:p>
        </w:tc>
        <w:tc>
          <w:tcPr>
            <w:tcW w:w="783" w:type="dxa"/>
            <w:tcBorders>
              <w:top w:val="nil"/>
              <w:left w:val="nil"/>
              <w:bottom w:val="single" w:sz="8" w:space="0" w:color="auto"/>
              <w:right w:val="single" w:sz="8" w:space="0" w:color="auto"/>
            </w:tcBorders>
            <w:shd w:val="clear" w:color="auto" w:fill="auto"/>
            <w:vAlign w:val="center"/>
          </w:tcPr>
          <w:p w14:paraId="60D0D31E"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364</w:t>
            </w:r>
          </w:p>
        </w:tc>
        <w:tc>
          <w:tcPr>
            <w:tcW w:w="850" w:type="dxa"/>
            <w:tcBorders>
              <w:top w:val="nil"/>
              <w:left w:val="nil"/>
              <w:bottom w:val="single" w:sz="8" w:space="0" w:color="auto"/>
              <w:right w:val="single" w:sz="8" w:space="0" w:color="auto"/>
            </w:tcBorders>
            <w:shd w:val="clear" w:color="auto" w:fill="auto"/>
            <w:noWrap/>
            <w:vAlign w:val="center"/>
          </w:tcPr>
          <w:p w14:paraId="46401EAF"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410 177</w:t>
            </w:r>
          </w:p>
        </w:tc>
      </w:tr>
      <w:tr w:rsidR="00A47DEE" w:rsidRPr="00F04EBB" w14:paraId="1519F378" w14:textId="77777777" w:rsidTr="00EE0E23">
        <w:trPr>
          <w:trHeight w:val="300"/>
          <w:jc w:val="center"/>
        </w:trPr>
        <w:tc>
          <w:tcPr>
            <w:tcW w:w="1210" w:type="dxa"/>
            <w:noWrap/>
            <w:hideMark/>
          </w:tcPr>
          <w:p w14:paraId="247EB61D"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2019-2020</w:t>
            </w:r>
          </w:p>
        </w:tc>
        <w:tc>
          <w:tcPr>
            <w:tcW w:w="866" w:type="dxa"/>
            <w:tcBorders>
              <w:top w:val="nil"/>
              <w:left w:val="nil"/>
              <w:bottom w:val="single" w:sz="8" w:space="0" w:color="auto"/>
              <w:right w:val="single" w:sz="8" w:space="0" w:color="auto"/>
            </w:tcBorders>
            <w:shd w:val="clear" w:color="auto" w:fill="auto"/>
            <w:vAlign w:val="center"/>
          </w:tcPr>
          <w:p w14:paraId="2C1D4609"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44252</w:t>
            </w:r>
          </w:p>
        </w:tc>
        <w:tc>
          <w:tcPr>
            <w:tcW w:w="783" w:type="dxa"/>
            <w:tcBorders>
              <w:top w:val="nil"/>
              <w:left w:val="nil"/>
              <w:bottom w:val="single" w:sz="8" w:space="0" w:color="auto"/>
              <w:right w:val="single" w:sz="8" w:space="0" w:color="auto"/>
            </w:tcBorders>
            <w:shd w:val="clear" w:color="auto" w:fill="auto"/>
            <w:vAlign w:val="center"/>
          </w:tcPr>
          <w:p w14:paraId="7A149664"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1920</w:t>
            </w:r>
          </w:p>
        </w:tc>
        <w:tc>
          <w:tcPr>
            <w:tcW w:w="624" w:type="dxa"/>
            <w:tcBorders>
              <w:top w:val="nil"/>
              <w:left w:val="nil"/>
              <w:bottom w:val="single" w:sz="8" w:space="0" w:color="auto"/>
              <w:right w:val="single" w:sz="8" w:space="0" w:color="auto"/>
            </w:tcBorders>
            <w:shd w:val="clear" w:color="auto" w:fill="auto"/>
            <w:vAlign w:val="center"/>
          </w:tcPr>
          <w:p w14:paraId="02DA735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51</w:t>
            </w:r>
          </w:p>
        </w:tc>
        <w:tc>
          <w:tcPr>
            <w:tcW w:w="942" w:type="dxa"/>
            <w:tcBorders>
              <w:top w:val="nil"/>
              <w:left w:val="nil"/>
              <w:bottom w:val="single" w:sz="8" w:space="0" w:color="auto"/>
              <w:right w:val="single" w:sz="8" w:space="0" w:color="auto"/>
            </w:tcBorders>
            <w:shd w:val="clear" w:color="auto" w:fill="auto"/>
            <w:vAlign w:val="center"/>
          </w:tcPr>
          <w:p w14:paraId="11879192"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46223</w:t>
            </w:r>
          </w:p>
        </w:tc>
        <w:tc>
          <w:tcPr>
            <w:tcW w:w="783" w:type="dxa"/>
            <w:tcBorders>
              <w:top w:val="nil"/>
              <w:left w:val="nil"/>
              <w:bottom w:val="single" w:sz="8" w:space="0" w:color="auto"/>
              <w:right w:val="single" w:sz="8" w:space="0" w:color="auto"/>
            </w:tcBorders>
            <w:shd w:val="clear" w:color="auto" w:fill="auto"/>
            <w:vAlign w:val="center"/>
          </w:tcPr>
          <w:p w14:paraId="18E8540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17783</w:t>
            </w:r>
          </w:p>
        </w:tc>
        <w:tc>
          <w:tcPr>
            <w:tcW w:w="782" w:type="dxa"/>
            <w:tcBorders>
              <w:top w:val="nil"/>
              <w:left w:val="nil"/>
              <w:bottom w:val="single" w:sz="8" w:space="0" w:color="auto"/>
              <w:right w:val="single" w:sz="8" w:space="0" w:color="auto"/>
            </w:tcBorders>
            <w:shd w:val="clear" w:color="auto" w:fill="auto"/>
            <w:vAlign w:val="center"/>
          </w:tcPr>
          <w:p w14:paraId="23EC4DB0"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9713</w:t>
            </w:r>
          </w:p>
        </w:tc>
        <w:tc>
          <w:tcPr>
            <w:tcW w:w="783" w:type="dxa"/>
            <w:tcBorders>
              <w:top w:val="nil"/>
              <w:left w:val="nil"/>
              <w:bottom w:val="single" w:sz="8" w:space="0" w:color="auto"/>
              <w:right w:val="single" w:sz="8" w:space="0" w:color="auto"/>
            </w:tcBorders>
            <w:shd w:val="clear" w:color="auto" w:fill="auto"/>
            <w:vAlign w:val="center"/>
          </w:tcPr>
          <w:p w14:paraId="3B6D14CE"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792</w:t>
            </w:r>
          </w:p>
        </w:tc>
        <w:tc>
          <w:tcPr>
            <w:tcW w:w="783" w:type="dxa"/>
            <w:tcBorders>
              <w:top w:val="nil"/>
              <w:left w:val="nil"/>
              <w:bottom w:val="single" w:sz="8" w:space="0" w:color="auto"/>
              <w:right w:val="single" w:sz="8" w:space="0" w:color="auto"/>
            </w:tcBorders>
            <w:shd w:val="clear" w:color="auto" w:fill="auto"/>
            <w:noWrap/>
            <w:vAlign w:val="center"/>
          </w:tcPr>
          <w:p w14:paraId="62C401B1"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28289</w:t>
            </w:r>
          </w:p>
        </w:tc>
        <w:tc>
          <w:tcPr>
            <w:tcW w:w="783" w:type="dxa"/>
            <w:tcBorders>
              <w:top w:val="nil"/>
              <w:left w:val="nil"/>
              <w:bottom w:val="single" w:sz="8" w:space="0" w:color="auto"/>
              <w:right w:val="single" w:sz="8" w:space="0" w:color="auto"/>
            </w:tcBorders>
            <w:shd w:val="clear" w:color="auto" w:fill="auto"/>
            <w:vAlign w:val="center"/>
          </w:tcPr>
          <w:p w14:paraId="1481E1DC"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2319</w:t>
            </w:r>
          </w:p>
        </w:tc>
        <w:tc>
          <w:tcPr>
            <w:tcW w:w="783" w:type="dxa"/>
            <w:tcBorders>
              <w:top w:val="nil"/>
              <w:left w:val="nil"/>
              <w:bottom w:val="single" w:sz="8" w:space="0" w:color="auto"/>
              <w:right w:val="single" w:sz="8" w:space="0" w:color="auto"/>
            </w:tcBorders>
            <w:shd w:val="clear" w:color="auto" w:fill="auto"/>
            <w:vAlign w:val="center"/>
          </w:tcPr>
          <w:p w14:paraId="55C26061"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1585</w:t>
            </w:r>
          </w:p>
        </w:tc>
        <w:tc>
          <w:tcPr>
            <w:tcW w:w="783" w:type="dxa"/>
            <w:tcBorders>
              <w:top w:val="nil"/>
              <w:left w:val="nil"/>
              <w:bottom w:val="single" w:sz="8" w:space="0" w:color="auto"/>
              <w:right w:val="single" w:sz="8" w:space="0" w:color="auto"/>
            </w:tcBorders>
            <w:shd w:val="clear" w:color="auto" w:fill="auto"/>
            <w:vAlign w:val="center"/>
          </w:tcPr>
          <w:p w14:paraId="1CF85091"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3904</w:t>
            </w:r>
          </w:p>
        </w:tc>
        <w:tc>
          <w:tcPr>
            <w:tcW w:w="783" w:type="dxa"/>
            <w:tcBorders>
              <w:top w:val="nil"/>
              <w:left w:val="nil"/>
              <w:bottom w:val="single" w:sz="8" w:space="0" w:color="auto"/>
              <w:right w:val="single" w:sz="8" w:space="0" w:color="auto"/>
            </w:tcBorders>
            <w:shd w:val="clear" w:color="auto" w:fill="auto"/>
            <w:vAlign w:val="center"/>
          </w:tcPr>
          <w:p w14:paraId="7D3790A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3238</w:t>
            </w:r>
          </w:p>
        </w:tc>
        <w:tc>
          <w:tcPr>
            <w:tcW w:w="782" w:type="dxa"/>
            <w:tcBorders>
              <w:top w:val="nil"/>
              <w:left w:val="nil"/>
              <w:bottom w:val="single" w:sz="8" w:space="0" w:color="auto"/>
              <w:right w:val="single" w:sz="8" w:space="0" w:color="auto"/>
            </w:tcBorders>
            <w:shd w:val="clear" w:color="auto" w:fill="auto"/>
            <w:vAlign w:val="center"/>
          </w:tcPr>
          <w:p w14:paraId="57B56FE5"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4006</w:t>
            </w:r>
          </w:p>
        </w:tc>
        <w:tc>
          <w:tcPr>
            <w:tcW w:w="783" w:type="dxa"/>
            <w:tcBorders>
              <w:top w:val="nil"/>
              <w:left w:val="nil"/>
              <w:bottom w:val="single" w:sz="8" w:space="0" w:color="auto"/>
              <w:right w:val="single" w:sz="8" w:space="0" w:color="auto"/>
            </w:tcBorders>
            <w:shd w:val="clear" w:color="auto" w:fill="auto"/>
            <w:vAlign w:val="center"/>
          </w:tcPr>
          <w:p w14:paraId="66928F90"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7244</w:t>
            </w:r>
          </w:p>
        </w:tc>
        <w:tc>
          <w:tcPr>
            <w:tcW w:w="783" w:type="dxa"/>
            <w:tcBorders>
              <w:top w:val="nil"/>
              <w:left w:val="nil"/>
              <w:bottom w:val="single" w:sz="8" w:space="0" w:color="auto"/>
              <w:right w:val="single" w:sz="8" w:space="0" w:color="auto"/>
            </w:tcBorders>
            <w:shd w:val="clear" w:color="auto" w:fill="auto"/>
            <w:noWrap/>
            <w:vAlign w:val="center"/>
          </w:tcPr>
          <w:p w14:paraId="1F9A6C51"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147082</w:t>
            </w:r>
          </w:p>
        </w:tc>
        <w:tc>
          <w:tcPr>
            <w:tcW w:w="783" w:type="dxa"/>
            <w:tcBorders>
              <w:top w:val="nil"/>
              <w:left w:val="nil"/>
              <w:bottom w:val="single" w:sz="8" w:space="0" w:color="auto"/>
              <w:right w:val="single" w:sz="8" w:space="0" w:color="auto"/>
            </w:tcBorders>
            <w:shd w:val="clear" w:color="auto" w:fill="auto"/>
            <w:vAlign w:val="center"/>
          </w:tcPr>
          <w:p w14:paraId="023A3393"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147082</w:t>
            </w:r>
          </w:p>
        </w:tc>
        <w:tc>
          <w:tcPr>
            <w:tcW w:w="783" w:type="dxa"/>
            <w:tcBorders>
              <w:top w:val="nil"/>
              <w:left w:val="nil"/>
              <w:bottom w:val="single" w:sz="8" w:space="0" w:color="auto"/>
              <w:right w:val="single" w:sz="8" w:space="0" w:color="auto"/>
            </w:tcBorders>
            <w:shd w:val="clear" w:color="auto" w:fill="auto"/>
            <w:vAlign w:val="center"/>
          </w:tcPr>
          <w:p w14:paraId="0DD94135"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108352</w:t>
            </w:r>
          </w:p>
        </w:tc>
        <w:tc>
          <w:tcPr>
            <w:tcW w:w="783" w:type="dxa"/>
            <w:tcBorders>
              <w:top w:val="nil"/>
              <w:left w:val="nil"/>
              <w:bottom w:val="single" w:sz="8" w:space="0" w:color="auto"/>
              <w:right w:val="single" w:sz="8" w:space="0" w:color="auto"/>
            </w:tcBorders>
            <w:shd w:val="clear" w:color="auto" w:fill="auto"/>
            <w:vAlign w:val="center"/>
          </w:tcPr>
          <w:p w14:paraId="62A74793"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 </w:t>
            </w:r>
          </w:p>
        </w:tc>
        <w:tc>
          <w:tcPr>
            <w:tcW w:w="850" w:type="dxa"/>
            <w:tcBorders>
              <w:top w:val="nil"/>
              <w:left w:val="nil"/>
              <w:bottom w:val="single" w:sz="8" w:space="0" w:color="auto"/>
              <w:right w:val="single" w:sz="8" w:space="0" w:color="auto"/>
            </w:tcBorders>
            <w:shd w:val="clear" w:color="auto" w:fill="auto"/>
            <w:noWrap/>
            <w:vAlign w:val="center"/>
          </w:tcPr>
          <w:p w14:paraId="4671C185"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341 094</w:t>
            </w:r>
          </w:p>
        </w:tc>
      </w:tr>
      <w:tr w:rsidR="00A47DEE" w:rsidRPr="00F04EBB" w14:paraId="448F1E16" w14:textId="77777777" w:rsidTr="00EE0E23">
        <w:trPr>
          <w:trHeight w:val="300"/>
          <w:jc w:val="center"/>
        </w:trPr>
        <w:tc>
          <w:tcPr>
            <w:tcW w:w="1210" w:type="dxa"/>
            <w:noWrap/>
            <w:hideMark/>
          </w:tcPr>
          <w:p w14:paraId="1F9E0881"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2020-2021</w:t>
            </w:r>
          </w:p>
        </w:tc>
        <w:tc>
          <w:tcPr>
            <w:tcW w:w="866" w:type="dxa"/>
            <w:tcBorders>
              <w:top w:val="nil"/>
              <w:left w:val="nil"/>
              <w:bottom w:val="single" w:sz="8" w:space="0" w:color="auto"/>
              <w:right w:val="single" w:sz="8" w:space="0" w:color="auto"/>
            </w:tcBorders>
            <w:shd w:val="clear" w:color="auto" w:fill="auto"/>
            <w:noWrap/>
            <w:vAlign w:val="center"/>
          </w:tcPr>
          <w:p w14:paraId="0CB90266"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65566</w:t>
            </w:r>
          </w:p>
        </w:tc>
        <w:tc>
          <w:tcPr>
            <w:tcW w:w="783" w:type="dxa"/>
            <w:tcBorders>
              <w:top w:val="nil"/>
              <w:left w:val="nil"/>
              <w:bottom w:val="single" w:sz="8" w:space="0" w:color="auto"/>
              <w:right w:val="single" w:sz="8" w:space="0" w:color="auto"/>
            </w:tcBorders>
            <w:shd w:val="clear" w:color="auto" w:fill="auto"/>
            <w:noWrap/>
            <w:vAlign w:val="center"/>
          </w:tcPr>
          <w:p w14:paraId="309DCC1C"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2682</w:t>
            </w:r>
          </w:p>
        </w:tc>
        <w:tc>
          <w:tcPr>
            <w:tcW w:w="624" w:type="dxa"/>
            <w:tcBorders>
              <w:top w:val="nil"/>
              <w:left w:val="nil"/>
              <w:bottom w:val="single" w:sz="8" w:space="0" w:color="auto"/>
              <w:right w:val="single" w:sz="8" w:space="0" w:color="auto"/>
            </w:tcBorders>
            <w:shd w:val="clear" w:color="auto" w:fill="auto"/>
            <w:noWrap/>
            <w:vAlign w:val="center"/>
          </w:tcPr>
          <w:p w14:paraId="30AC2BD5"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79</w:t>
            </w:r>
          </w:p>
        </w:tc>
        <w:tc>
          <w:tcPr>
            <w:tcW w:w="942" w:type="dxa"/>
            <w:tcBorders>
              <w:top w:val="nil"/>
              <w:left w:val="nil"/>
              <w:bottom w:val="single" w:sz="8" w:space="0" w:color="auto"/>
              <w:right w:val="single" w:sz="8" w:space="0" w:color="auto"/>
            </w:tcBorders>
            <w:shd w:val="clear" w:color="auto" w:fill="auto"/>
            <w:noWrap/>
            <w:vAlign w:val="center"/>
          </w:tcPr>
          <w:p w14:paraId="581A662A"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68328</w:t>
            </w:r>
          </w:p>
        </w:tc>
        <w:tc>
          <w:tcPr>
            <w:tcW w:w="783" w:type="dxa"/>
            <w:tcBorders>
              <w:top w:val="nil"/>
              <w:left w:val="nil"/>
              <w:bottom w:val="single" w:sz="8" w:space="0" w:color="auto"/>
              <w:right w:val="single" w:sz="8" w:space="0" w:color="auto"/>
            </w:tcBorders>
            <w:shd w:val="clear" w:color="auto" w:fill="auto"/>
            <w:noWrap/>
            <w:vAlign w:val="center"/>
          </w:tcPr>
          <w:p w14:paraId="07CE46A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20635</w:t>
            </w:r>
          </w:p>
        </w:tc>
        <w:tc>
          <w:tcPr>
            <w:tcW w:w="782" w:type="dxa"/>
            <w:tcBorders>
              <w:top w:val="nil"/>
              <w:left w:val="nil"/>
              <w:bottom w:val="single" w:sz="8" w:space="0" w:color="auto"/>
              <w:right w:val="single" w:sz="8" w:space="0" w:color="auto"/>
            </w:tcBorders>
            <w:shd w:val="clear" w:color="auto" w:fill="auto"/>
            <w:noWrap/>
            <w:vAlign w:val="center"/>
          </w:tcPr>
          <w:p w14:paraId="0F795601"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8946</w:t>
            </w:r>
          </w:p>
        </w:tc>
        <w:tc>
          <w:tcPr>
            <w:tcW w:w="783" w:type="dxa"/>
            <w:tcBorders>
              <w:top w:val="nil"/>
              <w:left w:val="nil"/>
              <w:bottom w:val="single" w:sz="8" w:space="0" w:color="auto"/>
              <w:right w:val="single" w:sz="8" w:space="0" w:color="auto"/>
            </w:tcBorders>
            <w:shd w:val="clear" w:color="auto" w:fill="auto"/>
            <w:noWrap/>
            <w:vAlign w:val="center"/>
          </w:tcPr>
          <w:p w14:paraId="3CE515F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2556</w:t>
            </w:r>
          </w:p>
        </w:tc>
        <w:tc>
          <w:tcPr>
            <w:tcW w:w="783" w:type="dxa"/>
            <w:tcBorders>
              <w:top w:val="nil"/>
              <w:left w:val="nil"/>
              <w:bottom w:val="single" w:sz="8" w:space="0" w:color="auto"/>
              <w:right w:val="single" w:sz="8" w:space="0" w:color="auto"/>
            </w:tcBorders>
            <w:shd w:val="clear" w:color="auto" w:fill="auto"/>
            <w:noWrap/>
            <w:vAlign w:val="center"/>
          </w:tcPr>
          <w:p w14:paraId="3B888803"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32138</w:t>
            </w:r>
          </w:p>
        </w:tc>
        <w:tc>
          <w:tcPr>
            <w:tcW w:w="783" w:type="dxa"/>
            <w:tcBorders>
              <w:top w:val="nil"/>
              <w:left w:val="nil"/>
              <w:bottom w:val="single" w:sz="8" w:space="0" w:color="auto"/>
              <w:right w:val="single" w:sz="8" w:space="0" w:color="auto"/>
            </w:tcBorders>
            <w:shd w:val="clear" w:color="auto" w:fill="auto"/>
            <w:noWrap/>
            <w:vAlign w:val="center"/>
          </w:tcPr>
          <w:p w14:paraId="7FD6A86A"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2717</w:t>
            </w:r>
          </w:p>
        </w:tc>
        <w:tc>
          <w:tcPr>
            <w:tcW w:w="783" w:type="dxa"/>
            <w:tcBorders>
              <w:top w:val="nil"/>
              <w:left w:val="nil"/>
              <w:bottom w:val="single" w:sz="8" w:space="0" w:color="auto"/>
              <w:right w:val="single" w:sz="8" w:space="0" w:color="auto"/>
            </w:tcBorders>
            <w:shd w:val="clear" w:color="auto" w:fill="auto"/>
            <w:noWrap/>
            <w:vAlign w:val="center"/>
          </w:tcPr>
          <w:p w14:paraId="6907D5BA"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1766</w:t>
            </w:r>
          </w:p>
        </w:tc>
        <w:tc>
          <w:tcPr>
            <w:tcW w:w="783" w:type="dxa"/>
            <w:tcBorders>
              <w:top w:val="nil"/>
              <w:left w:val="nil"/>
              <w:bottom w:val="single" w:sz="8" w:space="0" w:color="auto"/>
              <w:right w:val="single" w:sz="8" w:space="0" w:color="auto"/>
            </w:tcBorders>
            <w:shd w:val="clear" w:color="auto" w:fill="auto"/>
            <w:noWrap/>
            <w:vAlign w:val="center"/>
          </w:tcPr>
          <w:p w14:paraId="6C9F3E13"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4482</w:t>
            </w:r>
          </w:p>
        </w:tc>
        <w:tc>
          <w:tcPr>
            <w:tcW w:w="783" w:type="dxa"/>
            <w:tcBorders>
              <w:top w:val="nil"/>
              <w:left w:val="nil"/>
              <w:bottom w:val="single" w:sz="8" w:space="0" w:color="auto"/>
              <w:right w:val="single" w:sz="8" w:space="0" w:color="auto"/>
            </w:tcBorders>
            <w:shd w:val="clear" w:color="auto" w:fill="auto"/>
            <w:noWrap/>
            <w:vAlign w:val="center"/>
          </w:tcPr>
          <w:p w14:paraId="341D4242"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3674</w:t>
            </w:r>
          </w:p>
        </w:tc>
        <w:tc>
          <w:tcPr>
            <w:tcW w:w="782" w:type="dxa"/>
            <w:tcBorders>
              <w:top w:val="nil"/>
              <w:left w:val="nil"/>
              <w:bottom w:val="single" w:sz="8" w:space="0" w:color="auto"/>
              <w:right w:val="single" w:sz="8" w:space="0" w:color="auto"/>
            </w:tcBorders>
            <w:shd w:val="clear" w:color="auto" w:fill="auto"/>
            <w:noWrap/>
            <w:vAlign w:val="center"/>
          </w:tcPr>
          <w:p w14:paraId="6183B26B"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4082</w:t>
            </w:r>
          </w:p>
        </w:tc>
        <w:tc>
          <w:tcPr>
            <w:tcW w:w="783" w:type="dxa"/>
            <w:tcBorders>
              <w:top w:val="nil"/>
              <w:left w:val="nil"/>
              <w:bottom w:val="single" w:sz="8" w:space="0" w:color="auto"/>
              <w:right w:val="single" w:sz="8" w:space="0" w:color="auto"/>
            </w:tcBorders>
            <w:shd w:val="clear" w:color="auto" w:fill="auto"/>
            <w:noWrap/>
            <w:vAlign w:val="center"/>
          </w:tcPr>
          <w:p w14:paraId="1460A7E9"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7756</w:t>
            </w:r>
          </w:p>
        </w:tc>
        <w:tc>
          <w:tcPr>
            <w:tcW w:w="783" w:type="dxa"/>
            <w:tcBorders>
              <w:top w:val="nil"/>
              <w:left w:val="nil"/>
              <w:bottom w:val="single" w:sz="8" w:space="0" w:color="auto"/>
              <w:right w:val="single" w:sz="8" w:space="0" w:color="auto"/>
            </w:tcBorders>
            <w:shd w:val="clear" w:color="auto" w:fill="auto"/>
            <w:noWrap/>
            <w:vAlign w:val="center"/>
          </w:tcPr>
          <w:p w14:paraId="5B1664D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181877</w:t>
            </w:r>
          </w:p>
        </w:tc>
        <w:tc>
          <w:tcPr>
            <w:tcW w:w="783" w:type="dxa"/>
            <w:tcBorders>
              <w:top w:val="nil"/>
              <w:left w:val="nil"/>
              <w:bottom w:val="single" w:sz="8" w:space="0" w:color="auto"/>
              <w:right w:val="single" w:sz="8" w:space="0" w:color="auto"/>
            </w:tcBorders>
            <w:shd w:val="clear" w:color="auto" w:fill="auto"/>
            <w:vAlign w:val="center"/>
          </w:tcPr>
          <w:p w14:paraId="05278C16"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181877</w:t>
            </w:r>
          </w:p>
        </w:tc>
        <w:tc>
          <w:tcPr>
            <w:tcW w:w="783" w:type="dxa"/>
            <w:tcBorders>
              <w:top w:val="nil"/>
              <w:left w:val="nil"/>
              <w:bottom w:val="single" w:sz="8" w:space="0" w:color="auto"/>
              <w:right w:val="single" w:sz="8" w:space="0" w:color="auto"/>
            </w:tcBorders>
            <w:shd w:val="clear" w:color="auto" w:fill="auto"/>
            <w:noWrap/>
            <w:vAlign w:val="center"/>
          </w:tcPr>
          <w:p w14:paraId="5935E4C2"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197771</w:t>
            </w:r>
          </w:p>
        </w:tc>
        <w:tc>
          <w:tcPr>
            <w:tcW w:w="783" w:type="dxa"/>
            <w:tcBorders>
              <w:top w:val="nil"/>
              <w:left w:val="nil"/>
              <w:bottom w:val="single" w:sz="8" w:space="0" w:color="auto"/>
              <w:right w:val="single" w:sz="8" w:space="0" w:color="auto"/>
            </w:tcBorders>
            <w:shd w:val="clear" w:color="auto" w:fill="auto"/>
            <w:noWrap/>
            <w:vAlign w:val="center"/>
          </w:tcPr>
          <w:p w14:paraId="0395CC3C"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932</w:t>
            </w:r>
          </w:p>
        </w:tc>
        <w:tc>
          <w:tcPr>
            <w:tcW w:w="850" w:type="dxa"/>
            <w:tcBorders>
              <w:top w:val="nil"/>
              <w:left w:val="nil"/>
              <w:bottom w:val="single" w:sz="8" w:space="0" w:color="auto"/>
              <w:right w:val="single" w:sz="8" w:space="0" w:color="auto"/>
            </w:tcBorders>
            <w:shd w:val="clear" w:color="auto" w:fill="auto"/>
            <w:noWrap/>
            <w:vAlign w:val="center"/>
          </w:tcPr>
          <w:p w14:paraId="24C8C089"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493 284</w:t>
            </w:r>
          </w:p>
        </w:tc>
      </w:tr>
      <w:tr w:rsidR="00A47DEE" w:rsidRPr="00F04EBB" w14:paraId="20453CCD" w14:textId="77777777" w:rsidTr="00EE0E23">
        <w:trPr>
          <w:trHeight w:val="300"/>
          <w:jc w:val="center"/>
        </w:trPr>
        <w:tc>
          <w:tcPr>
            <w:tcW w:w="1210" w:type="dxa"/>
            <w:noWrap/>
            <w:hideMark/>
          </w:tcPr>
          <w:p w14:paraId="4182156C"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2021-2022</w:t>
            </w:r>
          </w:p>
        </w:tc>
        <w:tc>
          <w:tcPr>
            <w:tcW w:w="866" w:type="dxa"/>
            <w:tcBorders>
              <w:top w:val="nil"/>
              <w:left w:val="nil"/>
              <w:bottom w:val="single" w:sz="8" w:space="0" w:color="auto"/>
              <w:right w:val="single" w:sz="8" w:space="0" w:color="auto"/>
            </w:tcBorders>
            <w:shd w:val="clear" w:color="auto" w:fill="auto"/>
            <w:noWrap/>
            <w:vAlign w:val="center"/>
          </w:tcPr>
          <w:p w14:paraId="367CAB7F"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30771</w:t>
            </w:r>
          </w:p>
        </w:tc>
        <w:tc>
          <w:tcPr>
            <w:tcW w:w="783" w:type="dxa"/>
            <w:tcBorders>
              <w:top w:val="nil"/>
              <w:left w:val="nil"/>
              <w:bottom w:val="single" w:sz="8" w:space="0" w:color="auto"/>
              <w:right w:val="single" w:sz="8" w:space="0" w:color="auto"/>
            </w:tcBorders>
            <w:shd w:val="clear" w:color="auto" w:fill="auto"/>
            <w:noWrap/>
            <w:vAlign w:val="center"/>
          </w:tcPr>
          <w:p w14:paraId="67CC0A1D"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813</w:t>
            </w:r>
          </w:p>
        </w:tc>
        <w:tc>
          <w:tcPr>
            <w:tcW w:w="624" w:type="dxa"/>
            <w:tcBorders>
              <w:top w:val="nil"/>
              <w:left w:val="nil"/>
              <w:bottom w:val="single" w:sz="8" w:space="0" w:color="auto"/>
              <w:right w:val="single" w:sz="8" w:space="0" w:color="auto"/>
            </w:tcBorders>
            <w:shd w:val="clear" w:color="auto" w:fill="auto"/>
            <w:noWrap/>
            <w:vAlign w:val="center"/>
          </w:tcPr>
          <w:p w14:paraId="19ACF8B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28</w:t>
            </w:r>
          </w:p>
        </w:tc>
        <w:tc>
          <w:tcPr>
            <w:tcW w:w="942" w:type="dxa"/>
            <w:tcBorders>
              <w:top w:val="nil"/>
              <w:left w:val="nil"/>
              <w:bottom w:val="single" w:sz="8" w:space="0" w:color="auto"/>
              <w:right w:val="single" w:sz="8" w:space="0" w:color="auto"/>
            </w:tcBorders>
            <w:shd w:val="clear" w:color="auto" w:fill="auto"/>
            <w:noWrap/>
            <w:vAlign w:val="center"/>
          </w:tcPr>
          <w:p w14:paraId="1BCE59D4"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31612</w:t>
            </w:r>
          </w:p>
        </w:tc>
        <w:tc>
          <w:tcPr>
            <w:tcW w:w="783" w:type="dxa"/>
            <w:tcBorders>
              <w:top w:val="nil"/>
              <w:left w:val="nil"/>
              <w:bottom w:val="single" w:sz="8" w:space="0" w:color="auto"/>
              <w:right w:val="single" w:sz="8" w:space="0" w:color="auto"/>
            </w:tcBorders>
            <w:shd w:val="clear" w:color="auto" w:fill="auto"/>
            <w:noWrap/>
            <w:vAlign w:val="center"/>
          </w:tcPr>
          <w:p w14:paraId="5658C93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14896</w:t>
            </w:r>
          </w:p>
        </w:tc>
        <w:tc>
          <w:tcPr>
            <w:tcW w:w="782" w:type="dxa"/>
            <w:tcBorders>
              <w:top w:val="nil"/>
              <w:left w:val="nil"/>
              <w:bottom w:val="single" w:sz="8" w:space="0" w:color="auto"/>
              <w:right w:val="single" w:sz="8" w:space="0" w:color="auto"/>
            </w:tcBorders>
            <w:shd w:val="clear" w:color="auto" w:fill="auto"/>
            <w:noWrap/>
            <w:vAlign w:val="center"/>
          </w:tcPr>
          <w:p w14:paraId="272C53D2"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7380</w:t>
            </w:r>
          </w:p>
        </w:tc>
        <w:tc>
          <w:tcPr>
            <w:tcW w:w="783" w:type="dxa"/>
            <w:tcBorders>
              <w:top w:val="nil"/>
              <w:left w:val="nil"/>
              <w:bottom w:val="single" w:sz="8" w:space="0" w:color="auto"/>
              <w:right w:val="single" w:sz="8" w:space="0" w:color="auto"/>
            </w:tcBorders>
            <w:shd w:val="clear" w:color="auto" w:fill="auto"/>
            <w:noWrap/>
            <w:vAlign w:val="center"/>
          </w:tcPr>
          <w:p w14:paraId="6A985709"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139</w:t>
            </w:r>
          </w:p>
        </w:tc>
        <w:tc>
          <w:tcPr>
            <w:tcW w:w="783" w:type="dxa"/>
            <w:tcBorders>
              <w:top w:val="nil"/>
              <w:left w:val="nil"/>
              <w:bottom w:val="single" w:sz="8" w:space="0" w:color="auto"/>
              <w:right w:val="single" w:sz="8" w:space="0" w:color="auto"/>
            </w:tcBorders>
            <w:shd w:val="clear" w:color="auto" w:fill="auto"/>
            <w:noWrap/>
            <w:vAlign w:val="center"/>
          </w:tcPr>
          <w:p w14:paraId="714FD380"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22415</w:t>
            </w:r>
          </w:p>
        </w:tc>
        <w:tc>
          <w:tcPr>
            <w:tcW w:w="783" w:type="dxa"/>
            <w:tcBorders>
              <w:top w:val="nil"/>
              <w:left w:val="nil"/>
              <w:bottom w:val="single" w:sz="8" w:space="0" w:color="auto"/>
              <w:right w:val="single" w:sz="8" w:space="0" w:color="auto"/>
            </w:tcBorders>
            <w:shd w:val="clear" w:color="auto" w:fill="auto"/>
            <w:noWrap/>
            <w:vAlign w:val="center"/>
          </w:tcPr>
          <w:p w14:paraId="1E71D089"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2013</w:t>
            </w:r>
          </w:p>
        </w:tc>
        <w:tc>
          <w:tcPr>
            <w:tcW w:w="783" w:type="dxa"/>
            <w:tcBorders>
              <w:top w:val="nil"/>
              <w:left w:val="nil"/>
              <w:bottom w:val="single" w:sz="8" w:space="0" w:color="auto"/>
              <w:right w:val="single" w:sz="8" w:space="0" w:color="auto"/>
            </w:tcBorders>
            <w:shd w:val="clear" w:color="auto" w:fill="auto"/>
            <w:noWrap/>
            <w:vAlign w:val="center"/>
          </w:tcPr>
          <w:p w14:paraId="0F59D524"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1394</w:t>
            </w:r>
          </w:p>
        </w:tc>
        <w:tc>
          <w:tcPr>
            <w:tcW w:w="783" w:type="dxa"/>
            <w:tcBorders>
              <w:top w:val="nil"/>
              <w:left w:val="nil"/>
              <w:bottom w:val="single" w:sz="8" w:space="0" w:color="auto"/>
              <w:right w:val="single" w:sz="8" w:space="0" w:color="auto"/>
            </w:tcBorders>
            <w:shd w:val="clear" w:color="auto" w:fill="auto"/>
            <w:noWrap/>
            <w:vAlign w:val="center"/>
          </w:tcPr>
          <w:p w14:paraId="0452707E"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3407</w:t>
            </w:r>
          </w:p>
        </w:tc>
        <w:tc>
          <w:tcPr>
            <w:tcW w:w="783" w:type="dxa"/>
            <w:tcBorders>
              <w:top w:val="nil"/>
              <w:left w:val="nil"/>
              <w:bottom w:val="single" w:sz="8" w:space="0" w:color="auto"/>
              <w:right w:val="single" w:sz="8" w:space="0" w:color="auto"/>
            </w:tcBorders>
            <w:shd w:val="clear" w:color="auto" w:fill="auto"/>
            <w:noWrap/>
            <w:vAlign w:val="center"/>
          </w:tcPr>
          <w:p w14:paraId="69B23DE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2589</w:t>
            </w:r>
          </w:p>
        </w:tc>
        <w:tc>
          <w:tcPr>
            <w:tcW w:w="782" w:type="dxa"/>
            <w:tcBorders>
              <w:top w:val="nil"/>
              <w:left w:val="nil"/>
              <w:bottom w:val="single" w:sz="8" w:space="0" w:color="auto"/>
              <w:right w:val="single" w:sz="8" w:space="0" w:color="auto"/>
            </w:tcBorders>
            <w:shd w:val="clear" w:color="auto" w:fill="auto"/>
            <w:noWrap/>
            <w:vAlign w:val="center"/>
          </w:tcPr>
          <w:p w14:paraId="75FDC69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2973</w:t>
            </w:r>
          </w:p>
        </w:tc>
        <w:tc>
          <w:tcPr>
            <w:tcW w:w="783" w:type="dxa"/>
            <w:tcBorders>
              <w:top w:val="nil"/>
              <w:left w:val="nil"/>
              <w:bottom w:val="single" w:sz="8" w:space="0" w:color="auto"/>
              <w:right w:val="single" w:sz="8" w:space="0" w:color="auto"/>
            </w:tcBorders>
            <w:shd w:val="clear" w:color="auto" w:fill="auto"/>
            <w:noWrap/>
            <w:vAlign w:val="center"/>
          </w:tcPr>
          <w:p w14:paraId="23B8A2D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5562</w:t>
            </w:r>
          </w:p>
        </w:tc>
        <w:tc>
          <w:tcPr>
            <w:tcW w:w="783" w:type="dxa"/>
            <w:tcBorders>
              <w:top w:val="nil"/>
              <w:left w:val="nil"/>
              <w:bottom w:val="single" w:sz="8" w:space="0" w:color="auto"/>
              <w:right w:val="single" w:sz="8" w:space="0" w:color="auto"/>
            </w:tcBorders>
            <w:shd w:val="clear" w:color="auto" w:fill="auto"/>
            <w:noWrap/>
            <w:vAlign w:val="center"/>
          </w:tcPr>
          <w:p w14:paraId="7D4BE20D"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164288</w:t>
            </w:r>
          </w:p>
        </w:tc>
        <w:tc>
          <w:tcPr>
            <w:tcW w:w="783" w:type="dxa"/>
            <w:tcBorders>
              <w:top w:val="nil"/>
              <w:left w:val="nil"/>
              <w:bottom w:val="single" w:sz="8" w:space="0" w:color="auto"/>
              <w:right w:val="single" w:sz="8" w:space="0" w:color="auto"/>
            </w:tcBorders>
            <w:shd w:val="clear" w:color="auto" w:fill="auto"/>
            <w:vAlign w:val="center"/>
          </w:tcPr>
          <w:p w14:paraId="632C05A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164288</w:t>
            </w:r>
          </w:p>
        </w:tc>
        <w:tc>
          <w:tcPr>
            <w:tcW w:w="783" w:type="dxa"/>
            <w:tcBorders>
              <w:top w:val="nil"/>
              <w:left w:val="nil"/>
              <w:bottom w:val="single" w:sz="8" w:space="0" w:color="auto"/>
              <w:right w:val="single" w:sz="8" w:space="0" w:color="auto"/>
            </w:tcBorders>
            <w:shd w:val="clear" w:color="auto" w:fill="auto"/>
            <w:noWrap/>
            <w:vAlign w:val="center"/>
          </w:tcPr>
          <w:p w14:paraId="2AE1DE7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264112</w:t>
            </w:r>
          </w:p>
        </w:tc>
        <w:tc>
          <w:tcPr>
            <w:tcW w:w="783" w:type="dxa"/>
            <w:tcBorders>
              <w:top w:val="nil"/>
              <w:left w:val="nil"/>
              <w:bottom w:val="single" w:sz="8" w:space="0" w:color="auto"/>
              <w:right w:val="single" w:sz="8" w:space="0" w:color="auto"/>
            </w:tcBorders>
            <w:shd w:val="clear" w:color="auto" w:fill="auto"/>
            <w:noWrap/>
            <w:vAlign w:val="center"/>
          </w:tcPr>
          <w:p w14:paraId="36204C4E"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 </w:t>
            </w:r>
          </w:p>
        </w:tc>
        <w:tc>
          <w:tcPr>
            <w:tcW w:w="850" w:type="dxa"/>
            <w:tcBorders>
              <w:top w:val="nil"/>
              <w:left w:val="nil"/>
              <w:bottom w:val="single" w:sz="8" w:space="0" w:color="auto"/>
              <w:right w:val="single" w:sz="8" w:space="0" w:color="auto"/>
            </w:tcBorders>
            <w:shd w:val="clear" w:color="auto" w:fill="auto"/>
            <w:noWrap/>
            <w:vAlign w:val="center"/>
          </w:tcPr>
          <w:p w14:paraId="101C1458"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491 395</w:t>
            </w:r>
          </w:p>
        </w:tc>
      </w:tr>
      <w:tr w:rsidR="00A47DEE" w:rsidRPr="00F04EBB" w14:paraId="5AB351CA" w14:textId="77777777" w:rsidTr="00EE0E23">
        <w:trPr>
          <w:trHeight w:val="300"/>
          <w:jc w:val="center"/>
        </w:trPr>
        <w:tc>
          <w:tcPr>
            <w:tcW w:w="1210" w:type="dxa"/>
            <w:noWrap/>
            <w:hideMark/>
          </w:tcPr>
          <w:p w14:paraId="1B3A4D3B" w14:textId="77777777" w:rsidR="00A47DEE" w:rsidRPr="00F04EBB" w:rsidRDefault="00A47DEE" w:rsidP="00EE0E23">
            <w:pPr>
              <w:rPr>
                <w:rFonts w:eastAsia="Times New Roman" w:cstheme="minorHAnsi"/>
                <w:b/>
                <w:bCs/>
                <w:color w:val="000000"/>
                <w:sz w:val="18"/>
                <w:szCs w:val="18"/>
              </w:rPr>
            </w:pPr>
            <w:r w:rsidRPr="00F04EBB">
              <w:rPr>
                <w:rFonts w:eastAsia="Times New Roman" w:cstheme="minorHAnsi"/>
                <w:b/>
                <w:bCs/>
                <w:color w:val="000000"/>
                <w:sz w:val="18"/>
                <w:szCs w:val="18"/>
              </w:rPr>
              <w:t>2022-2023</w:t>
            </w:r>
          </w:p>
        </w:tc>
        <w:tc>
          <w:tcPr>
            <w:tcW w:w="866" w:type="dxa"/>
            <w:tcBorders>
              <w:top w:val="nil"/>
              <w:left w:val="nil"/>
              <w:bottom w:val="single" w:sz="8" w:space="0" w:color="auto"/>
              <w:right w:val="single" w:sz="8" w:space="0" w:color="auto"/>
            </w:tcBorders>
            <w:shd w:val="clear" w:color="auto" w:fill="auto"/>
            <w:noWrap/>
            <w:vAlign w:val="center"/>
          </w:tcPr>
          <w:p w14:paraId="26B19239"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80782</w:t>
            </w:r>
          </w:p>
        </w:tc>
        <w:tc>
          <w:tcPr>
            <w:tcW w:w="783" w:type="dxa"/>
            <w:tcBorders>
              <w:top w:val="nil"/>
              <w:left w:val="nil"/>
              <w:bottom w:val="single" w:sz="8" w:space="0" w:color="auto"/>
              <w:right w:val="single" w:sz="8" w:space="0" w:color="auto"/>
            </w:tcBorders>
            <w:shd w:val="clear" w:color="auto" w:fill="auto"/>
            <w:noWrap/>
            <w:vAlign w:val="center"/>
          </w:tcPr>
          <w:p w14:paraId="05435A9E"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3437</w:t>
            </w:r>
          </w:p>
        </w:tc>
        <w:tc>
          <w:tcPr>
            <w:tcW w:w="624" w:type="dxa"/>
            <w:tcBorders>
              <w:top w:val="nil"/>
              <w:left w:val="nil"/>
              <w:bottom w:val="single" w:sz="8" w:space="0" w:color="auto"/>
              <w:right w:val="single" w:sz="8" w:space="0" w:color="auto"/>
            </w:tcBorders>
            <w:shd w:val="clear" w:color="auto" w:fill="auto"/>
            <w:noWrap/>
            <w:vAlign w:val="center"/>
          </w:tcPr>
          <w:p w14:paraId="03F824F0"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253</w:t>
            </w:r>
          </w:p>
        </w:tc>
        <w:tc>
          <w:tcPr>
            <w:tcW w:w="942" w:type="dxa"/>
            <w:tcBorders>
              <w:top w:val="nil"/>
              <w:left w:val="nil"/>
              <w:bottom w:val="single" w:sz="8" w:space="0" w:color="auto"/>
              <w:right w:val="single" w:sz="8" w:space="0" w:color="auto"/>
            </w:tcBorders>
            <w:shd w:val="clear" w:color="auto" w:fill="auto"/>
            <w:noWrap/>
            <w:vAlign w:val="center"/>
          </w:tcPr>
          <w:p w14:paraId="61ADADE1"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84472</w:t>
            </w:r>
          </w:p>
        </w:tc>
        <w:tc>
          <w:tcPr>
            <w:tcW w:w="783" w:type="dxa"/>
            <w:tcBorders>
              <w:top w:val="nil"/>
              <w:left w:val="nil"/>
              <w:bottom w:val="single" w:sz="8" w:space="0" w:color="auto"/>
              <w:right w:val="single" w:sz="8" w:space="0" w:color="auto"/>
            </w:tcBorders>
            <w:shd w:val="clear" w:color="auto" w:fill="auto"/>
            <w:noWrap/>
            <w:vAlign w:val="center"/>
          </w:tcPr>
          <w:p w14:paraId="5EF46E66"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20051</w:t>
            </w:r>
          </w:p>
        </w:tc>
        <w:tc>
          <w:tcPr>
            <w:tcW w:w="782" w:type="dxa"/>
            <w:tcBorders>
              <w:top w:val="nil"/>
              <w:left w:val="nil"/>
              <w:bottom w:val="single" w:sz="8" w:space="0" w:color="auto"/>
              <w:right w:val="single" w:sz="8" w:space="0" w:color="auto"/>
            </w:tcBorders>
            <w:shd w:val="clear" w:color="auto" w:fill="auto"/>
            <w:noWrap/>
            <w:vAlign w:val="center"/>
          </w:tcPr>
          <w:p w14:paraId="623C1AD7"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9911</w:t>
            </w:r>
          </w:p>
        </w:tc>
        <w:tc>
          <w:tcPr>
            <w:tcW w:w="783" w:type="dxa"/>
            <w:tcBorders>
              <w:top w:val="nil"/>
              <w:left w:val="nil"/>
              <w:bottom w:val="single" w:sz="8" w:space="0" w:color="auto"/>
              <w:right w:val="single" w:sz="8" w:space="0" w:color="auto"/>
            </w:tcBorders>
            <w:shd w:val="clear" w:color="auto" w:fill="auto"/>
            <w:noWrap/>
            <w:vAlign w:val="center"/>
          </w:tcPr>
          <w:p w14:paraId="36DE9780"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966</w:t>
            </w:r>
          </w:p>
        </w:tc>
        <w:tc>
          <w:tcPr>
            <w:tcW w:w="783" w:type="dxa"/>
            <w:tcBorders>
              <w:top w:val="nil"/>
              <w:left w:val="nil"/>
              <w:bottom w:val="single" w:sz="8" w:space="0" w:color="auto"/>
              <w:right w:val="single" w:sz="8" w:space="0" w:color="auto"/>
            </w:tcBorders>
            <w:shd w:val="clear" w:color="auto" w:fill="auto"/>
            <w:noWrap/>
            <w:vAlign w:val="center"/>
          </w:tcPr>
          <w:p w14:paraId="1466EAD6"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30927</w:t>
            </w:r>
          </w:p>
        </w:tc>
        <w:tc>
          <w:tcPr>
            <w:tcW w:w="783" w:type="dxa"/>
            <w:tcBorders>
              <w:top w:val="nil"/>
              <w:left w:val="nil"/>
              <w:bottom w:val="single" w:sz="8" w:space="0" w:color="auto"/>
              <w:right w:val="single" w:sz="8" w:space="0" w:color="auto"/>
            </w:tcBorders>
            <w:shd w:val="clear" w:color="auto" w:fill="auto"/>
            <w:noWrap/>
            <w:vAlign w:val="center"/>
          </w:tcPr>
          <w:p w14:paraId="4B4BC55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19954</w:t>
            </w:r>
          </w:p>
        </w:tc>
        <w:tc>
          <w:tcPr>
            <w:tcW w:w="783" w:type="dxa"/>
            <w:tcBorders>
              <w:top w:val="nil"/>
              <w:left w:val="nil"/>
              <w:bottom w:val="single" w:sz="8" w:space="0" w:color="auto"/>
              <w:right w:val="single" w:sz="8" w:space="0" w:color="auto"/>
            </w:tcBorders>
            <w:shd w:val="clear" w:color="auto" w:fill="auto"/>
            <w:noWrap/>
            <w:vAlign w:val="center"/>
          </w:tcPr>
          <w:p w14:paraId="34DEA440"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3479</w:t>
            </w:r>
          </w:p>
        </w:tc>
        <w:tc>
          <w:tcPr>
            <w:tcW w:w="783" w:type="dxa"/>
            <w:tcBorders>
              <w:top w:val="nil"/>
              <w:left w:val="nil"/>
              <w:bottom w:val="single" w:sz="8" w:space="0" w:color="auto"/>
              <w:right w:val="single" w:sz="8" w:space="0" w:color="auto"/>
            </w:tcBorders>
            <w:shd w:val="clear" w:color="auto" w:fill="auto"/>
            <w:noWrap/>
            <w:vAlign w:val="center"/>
          </w:tcPr>
          <w:p w14:paraId="5C4FF893"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23433</w:t>
            </w:r>
          </w:p>
        </w:tc>
        <w:tc>
          <w:tcPr>
            <w:tcW w:w="783" w:type="dxa"/>
            <w:tcBorders>
              <w:top w:val="nil"/>
              <w:left w:val="nil"/>
              <w:bottom w:val="single" w:sz="8" w:space="0" w:color="auto"/>
              <w:right w:val="single" w:sz="8" w:space="0" w:color="auto"/>
            </w:tcBorders>
            <w:shd w:val="clear" w:color="auto" w:fill="auto"/>
            <w:noWrap/>
            <w:vAlign w:val="center"/>
          </w:tcPr>
          <w:p w14:paraId="03000AA1"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3821</w:t>
            </w:r>
          </w:p>
        </w:tc>
        <w:tc>
          <w:tcPr>
            <w:tcW w:w="782" w:type="dxa"/>
            <w:tcBorders>
              <w:top w:val="nil"/>
              <w:left w:val="nil"/>
              <w:bottom w:val="single" w:sz="8" w:space="0" w:color="auto"/>
              <w:right w:val="single" w:sz="8" w:space="0" w:color="auto"/>
            </w:tcBorders>
            <w:shd w:val="clear" w:color="auto" w:fill="auto"/>
            <w:noWrap/>
            <w:vAlign w:val="center"/>
          </w:tcPr>
          <w:p w14:paraId="33A47331"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4254</w:t>
            </w:r>
          </w:p>
        </w:tc>
        <w:tc>
          <w:tcPr>
            <w:tcW w:w="783" w:type="dxa"/>
            <w:tcBorders>
              <w:top w:val="nil"/>
              <w:left w:val="nil"/>
              <w:bottom w:val="single" w:sz="8" w:space="0" w:color="auto"/>
              <w:right w:val="single" w:sz="8" w:space="0" w:color="auto"/>
            </w:tcBorders>
            <w:shd w:val="clear" w:color="auto" w:fill="auto"/>
            <w:noWrap/>
            <w:vAlign w:val="center"/>
          </w:tcPr>
          <w:p w14:paraId="46E3FB31"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8074</w:t>
            </w:r>
          </w:p>
        </w:tc>
        <w:tc>
          <w:tcPr>
            <w:tcW w:w="783" w:type="dxa"/>
            <w:tcBorders>
              <w:top w:val="nil"/>
              <w:left w:val="nil"/>
              <w:bottom w:val="single" w:sz="8" w:space="0" w:color="auto"/>
              <w:right w:val="single" w:sz="8" w:space="0" w:color="auto"/>
            </w:tcBorders>
            <w:shd w:val="clear" w:color="auto" w:fill="auto"/>
            <w:noWrap/>
            <w:vAlign w:val="center"/>
          </w:tcPr>
          <w:p w14:paraId="33284FDB"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152409</w:t>
            </w:r>
          </w:p>
        </w:tc>
        <w:tc>
          <w:tcPr>
            <w:tcW w:w="783" w:type="dxa"/>
            <w:tcBorders>
              <w:top w:val="nil"/>
              <w:left w:val="nil"/>
              <w:bottom w:val="single" w:sz="8" w:space="0" w:color="auto"/>
              <w:right w:val="single" w:sz="8" w:space="0" w:color="auto"/>
            </w:tcBorders>
            <w:shd w:val="clear" w:color="auto" w:fill="auto"/>
            <w:vAlign w:val="center"/>
          </w:tcPr>
          <w:p w14:paraId="2C8C6238"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152409</w:t>
            </w:r>
          </w:p>
        </w:tc>
        <w:tc>
          <w:tcPr>
            <w:tcW w:w="783" w:type="dxa"/>
            <w:tcBorders>
              <w:top w:val="nil"/>
              <w:left w:val="nil"/>
              <w:bottom w:val="single" w:sz="8" w:space="0" w:color="auto"/>
              <w:right w:val="single" w:sz="8" w:space="0" w:color="auto"/>
            </w:tcBorders>
            <w:shd w:val="clear" w:color="auto" w:fill="auto"/>
            <w:noWrap/>
            <w:vAlign w:val="center"/>
          </w:tcPr>
          <w:p w14:paraId="20A0DA22"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242249</w:t>
            </w:r>
          </w:p>
        </w:tc>
        <w:tc>
          <w:tcPr>
            <w:tcW w:w="783" w:type="dxa"/>
            <w:tcBorders>
              <w:top w:val="nil"/>
              <w:left w:val="nil"/>
              <w:bottom w:val="single" w:sz="8" w:space="0" w:color="auto"/>
              <w:right w:val="single" w:sz="8" w:space="0" w:color="auto"/>
            </w:tcBorders>
            <w:shd w:val="clear" w:color="auto" w:fill="auto"/>
            <w:noWrap/>
            <w:vAlign w:val="center"/>
          </w:tcPr>
          <w:p w14:paraId="55DD1162" w14:textId="77777777" w:rsidR="00A47DEE" w:rsidRPr="00F04EBB" w:rsidRDefault="00A47DEE" w:rsidP="00EE0E23">
            <w:pPr>
              <w:jc w:val="center"/>
              <w:rPr>
                <w:rFonts w:eastAsia="Times New Roman" w:cstheme="minorHAnsi"/>
                <w:color w:val="000000"/>
                <w:sz w:val="18"/>
                <w:szCs w:val="18"/>
              </w:rPr>
            </w:pPr>
            <w:r w:rsidRPr="00F04EBB">
              <w:rPr>
                <w:rFonts w:eastAsia="Calibri" w:cstheme="minorHAnsi"/>
                <w:color w:val="000000"/>
                <w:sz w:val="18"/>
                <w:szCs w:val="18"/>
              </w:rPr>
              <w:t>538</w:t>
            </w:r>
          </w:p>
        </w:tc>
        <w:tc>
          <w:tcPr>
            <w:tcW w:w="850" w:type="dxa"/>
            <w:tcBorders>
              <w:top w:val="nil"/>
              <w:left w:val="nil"/>
              <w:bottom w:val="single" w:sz="8" w:space="0" w:color="auto"/>
              <w:right w:val="single" w:sz="8" w:space="0" w:color="auto"/>
            </w:tcBorders>
            <w:shd w:val="clear" w:color="auto" w:fill="auto"/>
            <w:noWrap/>
            <w:vAlign w:val="center"/>
          </w:tcPr>
          <w:p w14:paraId="1CF0BDF0" w14:textId="77777777" w:rsidR="00A47DEE" w:rsidRPr="00F04EBB" w:rsidRDefault="00A47DEE" w:rsidP="00EE0E23">
            <w:pPr>
              <w:jc w:val="center"/>
              <w:rPr>
                <w:rFonts w:eastAsia="Times New Roman" w:cstheme="minorHAnsi"/>
                <w:b/>
                <w:bCs/>
                <w:color w:val="000000"/>
                <w:sz w:val="18"/>
                <w:szCs w:val="18"/>
              </w:rPr>
            </w:pPr>
            <w:r w:rsidRPr="00F04EBB">
              <w:rPr>
                <w:rFonts w:eastAsia="Calibri" w:cstheme="minorHAnsi"/>
                <w:b/>
                <w:bCs/>
                <w:color w:val="000000"/>
                <w:sz w:val="18"/>
                <w:szCs w:val="18"/>
              </w:rPr>
              <w:t>542 102</w:t>
            </w:r>
          </w:p>
        </w:tc>
      </w:tr>
    </w:tbl>
    <w:p w14:paraId="2C5595AA" w14:textId="77777777" w:rsidR="00A47DEE" w:rsidRPr="00F04EBB" w:rsidRDefault="00A47DEE" w:rsidP="00A47DEE">
      <w:pPr>
        <w:spacing w:after="0" w:line="240" w:lineRule="auto"/>
        <w:rPr>
          <w:rFonts w:eastAsia="Calibri" w:cstheme="minorHAnsi"/>
          <w:b/>
          <w:color w:val="000000"/>
        </w:rPr>
        <w:sectPr w:rsidR="00A47DEE" w:rsidRPr="00F04EBB" w:rsidSect="00A47DEE">
          <w:pgSz w:w="16838" w:h="11906" w:orient="landscape"/>
          <w:pgMar w:top="1134" w:right="1134" w:bottom="1134" w:left="1417" w:header="708" w:footer="708" w:gutter="0"/>
          <w:cols w:space="720"/>
        </w:sectPr>
      </w:pPr>
    </w:p>
    <w:p w14:paraId="6A5B6815" w14:textId="77777777" w:rsidR="00A47DEE" w:rsidRPr="00F04EBB" w:rsidRDefault="00A47DEE" w:rsidP="00A47DEE">
      <w:pPr>
        <w:keepNext/>
        <w:keepLines/>
        <w:pBdr>
          <w:bottom w:val="single" w:sz="24" w:space="1" w:color="00B050"/>
        </w:pBdr>
        <w:tabs>
          <w:tab w:val="left" w:pos="567"/>
          <w:tab w:val="left" w:pos="993"/>
          <w:tab w:val="left" w:pos="1276"/>
        </w:tabs>
        <w:spacing w:before="200" w:after="0"/>
        <w:ind w:left="-567"/>
        <w:jc w:val="lowKashida"/>
        <w:outlineLvl w:val="1"/>
        <w:rPr>
          <w:rFonts w:eastAsia="MS Gothic" w:cstheme="minorHAnsi"/>
          <w:b/>
          <w:bCs/>
          <w:color w:val="000000"/>
          <w:sz w:val="24"/>
          <w:szCs w:val="24"/>
        </w:rPr>
      </w:pPr>
      <w:bookmarkStart w:id="390" w:name="_Toc51580750"/>
      <w:bookmarkStart w:id="391" w:name="_Toc179577384"/>
      <w:r w:rsidRPr="00F04EBB">
        <w:rPr>
          <w:rFonts w:eastAsia="MS Gothic" w:cstheme="minorHAnsi"/>
          <w:b/>
          <w:bCs/>
          <w:color w:val="000000"/>
          <w:sz w:val="24"/>
          <w:szCs w:val="24"/>
        </w:rPr>
        <w:t>Annexe 3 : Fiches techniques de synthèse des filières agricoles en Mauritanie</w:t>
      </w:r>
      <w:bookmarkEnd w:id="390"/>
      <w:bookmarkEnd w:id="391"/>
    </w:p>
    <w:p w14:paraId="4FB4D8DA" w14:textId="77777777" w:rsidR="00A47DEE" w:rsidRPr="00F04EBB" w:rsidRDefault="00A47DEE" w:rsidP="00A47DEE">
      <w:pPr>
        <w:widowControl w:val="0"/>
        <w:tabs>
          <w:tab w:val="left" w:pos="142"/>
          <w:tab w:val="left" w:pos="924"/>
        </w:tabs>
        <w:spacing w:after="60"/>
        <w:ind w:left="720"/>
        <w:contextualSpacing/>
        <w:jc w:val="both"/>
        <w:rPr>
          <w:rFonts w:eastAsia="Times New Roman" w:cstheme="minorHAnsi"/>
          <w:iCs/>
          <w:color w:val="000000"/>
        </w:rPr>
      </w:pPr>
    </w:p>
    <w:p w14:paraId="67EFFA43" w14:textId="77777777" w:rsidR="00A47DEE" w:rsidRPr="00F04EBB" w:rsidRDefault="00A47DEE" w:rsidP="00A47DEE">
      <w:pPr>
        <w:numPr>
          <w:ilvl w:val="0"/>
          <w:numId w:val="375"/>
        </w:numPr>
        <w:spacing w:after="0"/>
        <w:contextualSpacing/>
        <w:jc w:val="lowKashida"/>
        <w:rPr>
          <w:rFonts w:eastAsia="MS Mincho" w:cstheme="minorHAnsi"/>
          <w:b/>
          <w:bCs/>
        </w:rPr>
      </w:pPr>
      <w:bookmarkStart w:id="392" w:name="_Toc458373707"/>
      <w:bookmarkStart w:id="393" w:name="_Toc427659272"/>
      <w:bookmarkStart w:id="394" w:name="_Toc424811244"/>
      <w:bookmarkStart w:id="395" w:name="_Toc424810861"/>
      <w:bookmarkStart w:id="396" w:name="_Toc424810661"/>
      <w:bookmarkStart w:id="397" w:name="_Toc420701750"/>
      <w:bookmarkStart w:id="398" w:name="_Toc420701462"/>
      <w:bookmarkStart w:id="399" w:name="_Toc419024226"/>
      <w:r w:rsidRPr="00F04EBB">
        <w:rPr>
          <w:rFonts w:eastAsia="MS Mincho" w:cstheme="minorHAnsi"/>
          <w:b/>
          <w:bCs/>
        </w:rPr>
        <w:t>Filière céréales traditionnelles</w:t>
      </w:r>
      <w:bookmarkEnd w:id="392"/>
      <w:bookmarkEnd w:id="393"/>
      <w:bookmarkEnd w:id="394"/>
      <w:bookmarkEnd w:id="395"/>
      <w:bookmarkEnd w:id="396"/>
      <w:bookmarkEnd w:id="397"/>
      <w:bookmarkEnd w:id="398"/>
      <w:bookmarkEnd w:id="399"/>
    </w:p>
    <w:tbl>
      <w:tblPr>
        <w:tblStyle w:val="Grilleclaire-Accent331"/>
        <w:tblW w:w="9240" w:type="dxa"/>
        <w:tblLayout w:type="fixed"/>
        <w:tblLook w:val="04A0" w:firstRow="1" w:lastRow="0" w:firstColumn="1" w:lastColumn="0" w:noHBand="0" w:noVBand="1"/>
      </w:tblPr>
      <w:tblGrid>
        <w:gridCol w:w="2093"/>
        <w:gridCol w:w="7147"/>
      </w:tblGrid>
      <w:tr w:rsidR="00A47DEE" w:rsidRPr="00F04EBB" w14:paraId="12716165" w14:textId="77777777" w:rsidTr="00EE0E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hideMark/>
          </w:tcPr>
          <w:p w14:paraId="7C60B8B9"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Introduction</w:t>
            </w:r>
          </w:p>
        </w:tc>
        <w:tc>
          <w:tcPr>
            <w:tcW w:w="7147" w:type="dxa"/>
            <w:hideMark/>
          </w:tcPr>
          <w:p w14:paraId="259B8FFD" w14:textId="77777777" w:rsidR="00A47DEE" w:rsidRPr="00F04EBB" w:rsidRDefault="00A47DEE" w:rsidP="00EE0E23">
            <w:pPr>
              <w:widowControl w:val="0"/>
              <w:autoSpaceDE w:val="0"/>
              <w:autoSpaceDN w:val="0"/>
              <w:adjustRightInd w:val="0"/>
              <w:spacing w:after="120"/>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b w:val="0"/>
                <w:bCs w:val="0"/>
                <w:color w:val="000000"/>
                <w:kern w:val="2"/>
                <w:lang w:val="fr-FR"/>
              </w:rPr>
            </w:pPr>
            <w:r w:rsidRPr="00F04EBB">
              <w:rPr>
                <w:rFonts w:asciiTheme="minorHAnsi" w:eastAsia="MS Mincho" w:hAnsiTheme="minorHAnsi" w:cstheme="minorHAnsi"/>
                <w:b w:val="0"/>
                <w:bCs w:val="0"/>
                <w:color w:val="000000"/>
                <w:kern w:val="2"/>
                <w:lang w:val="fr-FR"/>
              </w:rPr>
              <w:t>Depuis plusieurs décennies, l’agriculture pluviale au Sahel et plus particulièrement en Mauritanie est confrontée à un problème de déficit de production. L’agriculture pluviale dans nos régions reste largement tributaire des aléas climatiques liés à la variabilité et aux extrêmes climatiques.</w:t>
            </w:r>
          </w:p>
          <w:p w14:paraId="5BEF9D46" w14:textId="77777777" w:rsidR="00A47DEE" w:rsidRPr="00F04EBB" w:rsidRDefault="00A47DEE" w:rsidP="00EE0E23">
            <w:pPr>
              <w:widowControl w:val="0"/>
              <w:autoSpaceDE w:val="0"/>
              <w:autoSpaceDN w:val="0"/>
              <w:adjustRightInd w:val="0"/>
              <w:spacing w:after="120"/>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000000"/>
                <w:kern w:val="2"/>
                <w:lang w:val="fr-FR"/>
              </w:rPr>
            </w:pPr>
            <w:r w:rsidRPr="00F04EBB">
              <w:rPr>
                <w:rFonts w:asciiTheme="minorHAnsi" w:eastAsia="MS Mincho" w:hAnsiTheme="minorHAnsi" w:cstheme="minorHAnsi"/>
                <w:b w:val="0"/>
                <w:bCs w:val="0"/>
                <w:color w:val="000000"/>
                <w:kern w:val="2"/>
                <w:lang w:val="fr-FR"/>
              </w:rPr>
              <w:t>La céréaliculture traditionnelle (mil, sorgho, maïs) est dominée par des petites exploitations familiales ou collectives, aux pratiques agricoles rudimentaires et tournées vers l’autosubsistance. Elle n’a pas encore connu les améliorations devant lui permettre de contribuer davantage à l’amélioration de la sécurité alimentaire et à la réduction de la pauvreté rurale.</w:t>
            </w:r>
            <w:r w:rsidRPr="00F04EBB">
              <w:rPr>
                <w:rFonts w:asciiTheme="minorHAnsi" w:eastAsia="MS Mincho" w:hAnsiTheme="minorHAnsi" w:cstheme="minorHAnsi"/>
                <w:color w:val="000000"/>
                <w:kern w:val="2"/>
                <w:lang w:val="fr-FR"/>
              </w:rPr>
              <w:t xml:space="preserve"> </w:t>
            </w:r>
          </w:p>
        </w:tc>
      </w:tr>
      <w:tr w:rsidR="00A47DEE" w:rsidRPr="00F04EBB" w14:paraId="532C4890"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2B226CD"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Productions et zones de production</w:t>
            </w:r>
          </w:p>
          <w:p w14:paraId="27874869" w14:textId="77777777" w:rsidR="00A47DEE" w:rsidRPr="00F04EBB" w:rsidRDefault="00A47DEE" w:rsidP="00EE0E23">
            <w:pPr>
              <w:widowControl w:val="0"/>
              <w:spacing w:after="60"/>
              <w:jc w:val="center"/>
              <w:rPr>
                <w:rFonts w:asciiTheme="minorHAnsi" w:eastAsia="MS Mincho" w:hAnsiTheme="minorHAnsi" w:cstheme="minorHAnsi"/>
                <w:color w:val="000000"/>
                <w:lang w:eastAsia="ja-JP"/>
              </w:rPr>
            </w:pPr>
          </w:p>
        </w:tc>
        <w:tc>
          <w:tcPr>
            <w:tcW w:w="7147" w:type="dxa"/>
            <w:hideMark/>
          </w:tcPr>
          <w:p w14:paraId="0BF1B7FE" w14:textId="77777777" w:rsidR="00A47DEE" w:rsidRPr="00F04EBB" w:rsidRDefault="00A47DEE" w:rsidP="00EE0E23">
            <w:pPr>
              <w:widowControl w:val="0"/>
              <w:tabs>
                <w:tab w:val="left" w:pos="708"/>
              </w:tabs>
              <w:spacing w:after="12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color w:val="000000"/>
                <w:kern w:val="2"/>
                <w:lang w:val="fr-FR"/>
              </w:rPr>
            </w:pPr>
            <w:r w:rsidRPr="00F04EBB">
              <w:rPr>
                <w:rFonts w:asciiTheme="minorHAnsi" w:eastAsia="Calibri" w:hAnsiTheme="minorHAnsi" w:cstheme="minorHAnsi"/>
                <w:bCs/>
                <w:color w:val="000000"/>
                <w:kern w:val="2"/>
                <w:lang w:val="fr-FR"/>
              </w:rPr>
              <w:t>Les céréales traditionnelles sont cultivées essentiellement dans les wilayas du sud, de l’est et du centre du pays. Avec un rendement moyen de 0,49 t/ha toutes céréales confondues, la production brute annuelle moyenne des céréales traditionnelles s’élève à 107 655 tonnes et une production nette de 91 877 tonnes (85% de la production brute). Le sorgho couvre 86% des superficies annuellement emblavées en céréales traditionnelles et sa production nette par rapport à la production totale de ces céréales est de l’ordre de 83%</w:t>
            </w:r>
          </w:p>
        </w:tc>
      </w:tr>
      <w:tr w:rsidR="00A47DEE" w:rsidRPr="00F04EBB" w14:paraId="7100FEC9" w14:textId="77777777" w:rsidTr="00EE0E23">
        <w:trPr>
          <w:cnfStyle w:val="000000010000" w:firstRow="0" w:lastRow="0" w:firstColumn="0" w:lastColumn="0" w:oddVBand="0" w:evenVBand="0" w:oddHBand="0" w:evenHBand="1" w:firstRowFirstColumn="0" w:firstRowLastColumn="0" w:lastRowFirstColumn="0" w:lastRowLastColumn="0"/>
          <w:trHeight w:val="724"/>
        </w:trPr>
        <w:tc>
          <w:tcPr>
            <w:cnfStyle w:val="001000000000" w:firstRow="0" w:lastRow="0" w:firstColumn="1" w:lastColumn="0" w:oddVBand="0" w:evenVBand="0" w:oddHBand="0" w:evenHBand="0" w:firstRowFirstColumn="0" w:firstRowLastColumn="0" w:lastRowFirstColumn="0" w:lastRowLastColumn="0"/>
            <w:tcW w:w="2093" w:type="dxa"/>
          </w:tcPr>
          <w:p w14:paraId="64E8AC7A"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Structure des exploitations</w:t>
            </w:r>
          </w:p>
          <w:p w14:paraId="4D2DC14D" w14:textId="77777777" w:rsidR="00A47DEE" w:rsidRPr="00F04EBB" w:rsidRDefault="00A47DEE" w:rsidP="00EE0E23">
            <w:pPr>
              <w:widowControl w:val="0"/>
              <w:spacing w:after="60"/>
              <w:jc w:val="center"/>
              <w:rPr>
                <w:rFonts w:asciiTheme="minorHAnsi" w:eastAsia="MS Mincho" w:hAnsiTheme="minorHAnsi" w:cstheme="minorHAnsi"/>
                <w:color w:val="000000"/>
                <w:lang w:eastAsia="ja-JP"/>
              </w:rPr>
            </w:pPr>
          </w:p>
        </w:tc>
        <w:tc>
          <w:tcPr>
            <w:tcW w:w="7147" w:type="dxa"/>
            <w:hideMark/>
          </w:tcPr>
          <w:p w14:paraId="6F5D7FE9" w14:textId="77777777" w:rsidR="00A47DEE" w:rsidRPr="00F04EBB" w:rsidRDefault="00A47DEE" w:rsidP="00EE0E23">
            <w:pPr>
              <w:widowControl w:val="0"/>
              <w:tabs>
                <w:tab w:val="left" w:pos="708"/>
              </w:tabs>
              <w:spacing w:after="120"/>
              <w:jc w:val="both"/>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000000"/>
                <w:lang w:val="fr-FR" w:eastAsia="ja-JP"/>
              </w:rPr>
            </w:pPr>
            <w:r w:rsidRPr="00F04EBB">
              <w:rPr>
                <w:rFonts w:asciiTheme="minorHAnsi" w:eastAsia="Calibri" w:hAnsiTheme="minorHAnsi" w:cstheme="minorHAnsi"/>
                <w:color w:val="000000"/>
                <w:lang w:val="fr-FR" w:eastAsia="ja-JP"/>
              </w:rPr>
              <w:t xml:space="preserve">Les exploitations se caractérisent par un morcellement des champs dans les différents lieux-dits des terroirs généralement pour répondre à une stratégie de réduction des risques liés aux variations de la pluviométrie et des crues. Bien qu’elle soit très variable, la taille moyenne de l’exploitation est estimée à 1,7 ha pour le diéri, 1,32 ha pour les bas-fonds et 0,6 ha pour le </w:t>
            </w:r>
            <w:proofErr w:type="spellStart"/>
            <w:r w:rsidRPr="00F04EBB">
              <w:rPr>
                <w:rFonts w:asciiTheme="minorHAnsi" w:eastAsia="Calibri" w:hAnsiTheme="minorHAnsi" w:cstheme="minorHAnsi"/>
                <w:color w:val="000000"/>
                <w:lang w:val="fr-FR" w:eastAsia="ja-JP"/>
              </w:rPr>
              <w:t>walo</w:t>
            </w:r>
            <w:proofErr w:type="spellEnd"/>
            <w:r w:rsidRPr="00F04EBB">
              <w:rPr>
                <w:rFonts w:asciiTheme="minorHAnsi" w:eastAsia="Calibri" w:hAnsiTheme="minorHAnsi" w:cstheme="minorHAnsi"/>
                <w:color w:val="000000"/>
                <w:lang w:val="fr-FR" w:eastAsia="ja-JP"/>
              </w:rPr>
              <w:t xml:space="preserve">.  </w:t>
            </w:r>
          </w:p>
        </w:tc>
      </w:tr>
      <w:tr w:rsidR="00A47DEE" w:rsidRPr="00F04EBB" w14:paraId="0EF8DCFD"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4E3B49A6"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Accès aux intrants</w:t>
            </w:r>
          </w:p>
          <w:p w14:paraId="53853D0B" w14:textId="77777777" w:rsidR="00A47DEE" w:rsidRPr="00F04EBB" w:rsidRDefault="00A47DEE" w:rsidP="00EE0E23">
            <w:pPr>
              <w:widowControl w:val="0"/>
              <w:spacing w:after="60"/>
              <w:jc w:val="center"/>
              <w:rPr>
                <w:rFonts w:asciiTheme="minorHAnsi" w:eastAsia="MS Mincho" w:hAnsiTheme="minorHAnsi" w:cstheme="minorHAnsi"/>
                <w:color w:val="000000"/>
                <w:lang w:eastAsia="ja-JP"/>
              </w:rPr>
            </w:pPr>
          </w:p>
        </w:tc>
        <w:tc>
          <w:tcPr>
            <w:tcW w:w="7147" w:type="dxa"/>
            <w:hideMark/>
          </w:tcPr>
          <w:p w14:paraId="3983C3BC" w14:textId="77777777" w:rsidR="00A47DEE" w:rsidRPr="00F04EBB" w:rsidRDefault="00A47DEE" w:rsidP="00EE0E23">
            <w:pPr>
              <w:widowControl w:val="0"/>
              <w:tabs>
                <w:tab w:val="left" w:pos="708"/>
              </w:tabs>
              <w:spacing w:after="12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lang w:val="fr-FR" w:eastAsia="ja-JP"/>
              </w:rPr>
            </w:pPr>
            <w:r w:rsidRPr="00F04EBB">
              <w:rPr>
                <w:rFonts w:asciiTheme="minorHAnsi" w:eastAsia="Calibri" w:hAnsiTheme="minorHAnsi" w:cstheme="minorHAnsi"/>
                <w:color w:val="000000"/>
                <w:lang w:val="fr-FR" w:eastAsia="ja-JP"/>
              </w:rPr>
              <w:t xml:space="preserve">La filière des céréales traditionnelles souffre du faible niveau d’utilisation des intrants et de leurs coûts élevés (semences, techniques culturales, fumure organique et produits phytosanitaires). </w:t>
            </w:r>
          </w:p>
        </w:tc>
      </w:tr>
      <w:tr w:rsidR="00A47DEE" w:rsidRPr="00F04EBB" w14:paraId="6B1B1E67"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C4299A4"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Stockage et conditionnement</w:t>
            </w:r>
          </w:p>
          <w:p w14:paraId="220D3093" w14:textId="77777777" w:rsidR="00A47DEE" w:rsidRPr="00F04EBB" w:rsidRDefault="00A47DEE" w:rsidP="00EE0E23">
            <w:pPr>
              <w:widowControl w:val="0"/>
              <w:spacing w:after="60"/>
              <w:jc w:val="center"/>
              <w:rPr>
                <w:rFonts w:asciiTheme="minorHAnsi" w:eastAsia="MS Mincho" w:hAnsiTheme="minorHAnsi" w:cstheme="minorHAnsi"/>
                <w:color w:val="0000CC"/>
              </w:rPr>
            </w:pPr>
          </w:p>
        </w:tc>
        <w:tc>
          <w:tcPr>
            <w:tcW w:w="7147" w:type="dxa"/>
            <w:hideMark/>
          </w:tcPr>
          <w:p w14:paraId="6F0D44F3" w14:textId="77777777" w:rsidR="00A47DEE" w:rsidRPr="00F04EBB" w:rsidRDefault="00A47DEE" w:rsidP="00EE0E23">
            <w:pPr>
              <w:widowControl w:val="0"/>
              <w:spacing w:after="12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8"/>
                <w:lang w:eastAsia="ja-JP"/>
              </w:rPr>
            </w:pPr>
            <w:r w:rsidRPr="00F04EBB">
              <w:rPr>
                <w:rFonts w:asciiTheme="minorHAnsi" w:hAnsiTheme="minorHAnsi" w:cstheme="minorHAnsi"/>
                <w:color w:val="000000"/>
                <w:lang w:val="fr-FR" w:eastAsia="ja-JP"/>
              </w:rPr>
              <w:t xml:space="preserve">Le stockage sous forme de grains conditionnés ou en vrac sous forme d’épis, est individuel au niveau des greniers appartenant aux ménages. Actuellement ces greniers d’une capacité allant de 10 à 20 tonnes, dans les zones de production sont en nombre insuffisant, parfois fortement dégradés. Des expériences de banques de céréales existent au niveau des zones de production dans plusieurs wilayas du pays associées au warrantage. </w:t>
            </w:r>
            <w:r w:rsidRPr="00F04EBB">
              <w:rPr>
                <w:rFonts w:asciiTheme="minorHAnsi" w:hAnsiTheme="minorHAnsi" w:cstheme="minorHAnsi"/>
                <w:color w:val="000000"/>
                <w:lang w:eastAsia="ja-JP"/>
              </w:rPr>
              <w:t>Il s’agit de magasin d’une capacité moyenne de 30 tonnes.</w:t>
            </w:r>
          </w:p>
        </w:tc>
      </w:tr>
      <w:tr w:rsidR="00A47DEE" w:rsidRPr="00F04EBB" w14:paraId="7DD9E10A"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A6A46A3"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Transformation</w:t>
            </w:r>
          </w:p>
          <w:p w14:paraId="2A24A060" w14:textId="77777777" w:rsidR="00A47DEE" w:rsidRPr="00F04EBB" w:rsidRDefault="00A47DEE" w:rsidP="00EE0E23">
            <w:pPr>
              <w:widowControl w:val="0"/>
              <w:spacing w:after="60"/>
              <w:jc w:val="center"/>
              <w:rPr>
                <w:rFonts w:asciiTheme="minorHAnsi" w:eastAsia="MS Mincho" w:hAnsiTheme="minorHAnsi" w:cstheme="minorHAnsi"/>
                <w:color w:val="000000"/>
                <w:lang w:eastAsia="ja-JP"/>
              </w:rPr>
            </w:pPr>
          </w:p>
        </w:tc>
        <w:tc>
          <w:tcPr>
            <w:tcW w:w="7147" w:type="dxa"/>
            <w:hideMark/>
          </w:tcPr>
          <w:p w14:paraId="5A294F73" w14:textId="77777777" w:rsidR="00A47DEE" w:rsidRPr="00F04EBB" w:rsidRDefault="00A47DEE" w:rsidP="00EE0E23">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La transformation des céréales traditionnelles est effectuée manuellement par les femmes rurales ou par des moulins à grains gérés soit par des petits promoteurs, soit par des organisations de producteurs au niveau des villages. </w:t>
            </w:r>
          </w:p>
        </w:tc>
      </w:tr>
      <w:tr w:rsidR="00A47DEE" w:rsidRPr="00F04EBB" w14:paraId="226AEBFC"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A9B3CE9" w14:textId="77777777" w:rsidR="00A47DEE" w:rsidRPr="00F04EBB" w:rsidRDefault="00A47DEE" w:rsidP="00EE0E23">
            <w:pPr>
              <w:widowControl w:val="0"/>
              <w:tabs>
                <w:tab w:val="left" w:pos="708"/>
              </w:tabs>
              <w:spacing w:after="120"/>
              <w:ind w:left="142"/>
              <w:jc w:val="center"/>
              <w:rPr>
                <w:rFonts w:asciiTheme="minorHAnsi" w:eastAsia="Calibri" w:hAnsiTheme="minorHAnsi" w:cstheme="minorHAnsi"/>
                <w:color w:val="0000CC"/>
              </w:rPr>
            </w:pPr>
            <w:r w:rsidRPr="00F04EBB">
              <w:rPr>
                <w:rFonts w:asciiTheme="minorHAnsi" w:eastAsia="Calibri" w:hAnsiTheme="minorHAnsi" w:cstheme="minorHAnsi"/>
                <w:color w:val="0000CC"/>
              </w:rPr>
              <w:t>Commercialisation et importation</w:t>
            </w:r>
          </w:p>
          <w:p w14:paraId="207C8F49" w14:textId="77777777" w:rsidR="00A47DEE" w:rsidRPr="00F04EBB" w:rsidRDefault="00A47DEE" w:rsidP="00EE0E23">
            <w:pPr>
              <w:widowControl w:val="0"/>
              <w:tabs>
                <w:tab w:val="left" w:pos="708"/>
              </w:tabs>
              <w:spacing w:after="120"/>
              <w:ind w:left="142"/>
              <w:jc w:val="center"/>
              <w:rPr>
                <w:rFonts w:asciiTheme="minorHAnsi" w:eastAsia="Calibri" w:hAnsiTheme="minorHAnsi" w:cstheme="minorHAnsi"/>
                <w:color w:val="000000"/>
                <w:kern w:val="2"/>
              </w:rPr>
            </w:pPr>
          </w:p>
        </w:tc>
        <w:tc>
          <w:tcPr>
            <w:tcW w:w="7147" w:type="dxa"/>
            <w:hideMark/>
          </w:tcPr>
          <w:p w14:paraId="6591B8C9" w14:textId="77777777" w:rsidR="00A47DEE" w:rsidRPr="00F04EBB" w:rsidRDefault="00A47DEE" w:rsidP="00EE0E23">
            <w:pPr>
              <w:widowControl w:val="0"/>
              <w:spacing w:after="12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La commercialisation des céréales traditionnelles se fait généralement de façon sporadique au niveau des marchés locaux des villages et des villes. Les quantités importées sont indiquées dans le tableau qui suit, bien que des circuits parallèles d’importation et de commercialisation existent au niveau des zones frontalières avec le Mali et le Sénégal.</w:t>
            </w:r>
          </w:p>
        </w:tc>
      </w:tr>
      <w:tr w:rsidR="00A47DEE" w:rsidRPr="00F04EBB" w14:paraId="14AC9960"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hideMark/>
          </w:tcPr>
          <w:p w14:paraId="7AEBEAC6" w14:textId="77777777" w:rsidR="00A47DEE" w:rsidRPr="00F04EBB" w:rsidRDefault="00A47DEE" w:rsidP="00EE0E23">
            <w:pPr>
              <w:widowControl w:val="0"/>
              <w:tabs>
                <w:tab w:val="left" w:pos="708"/>
              </w:tabs>
              <w:spacing w:after="120"/>
              <w:ind w:left="142"/>
              <w:jc w:val="center"/>
              <w:rPr>
                <w:rFonts w:asciiTheme="minorHAnsi" w:eastAsia="Calibri" w:hAnsiTheme="minorHAnsi" w:cstheme="minorHAnsi"/>
                <w:color w:val="0000CC"/>
              </w:rPr>
            </w:pPr>
            <w:r w:rsidRPr="00F04EBB">
              <w:rPr>
                <w:rFonts w:asciiTheme="minorHAnsi" w:eastAsia="Calibri" w:hAnsiTheme="minorHAnsi" w:cstheme="minorHAnsi"/>
                <w:color w:val="0000CC"/>
              </w:rPr>
              <w:t>Consommation</w:t>
            </w:r>
          </w:p>
        </w:tc>
        <w:tc>
          <w:tcPr>
            <w:tcW w:w="7147" w:type="dxa"/>
          </w:tcPr>
          <w:p w14:paraId="479AB207" w14:textId="77777777" w:rsidR="00A47DEE" w:rsidRPr="00F04EBB" w:rsidRDefault="00A47DEE" w:rsidP="00EE0E23">
            <w:pPr>
              <w:widowControl w:val="0"/>
              <w:spacing w:after="6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eastAsia="ja-JP"/>
              </w:rPr>
            </w:pPr>
          </w:p>
        </w:tc>
      </w:tr>
      <w:tr w:rsidR="00A47DEE" w:rsidRPr="00F04EBB" w14:paraId="32E435D9"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hideMark/>
          </w:tcPr>
          <w:p w14:paraId="3C84C1C1" w14:textId="77777777" w:rsidR="00A47DEE" w:rsidRPr="00F04EBB" w:rsidRDefault="00A47DEE" w:rsidP="00EE0E23">
            <w:pPr>
              <w:widowControl w:val="0"/>
              <w:tabs>
                <w:tab w:val="left" w:pos="708"/>
              </w:tabs>
              <w:spacing w:after="120"/>
              <w:ind w:left="142"/>
              <w:jc w:val="center"/>
              <w:rPr>
                <w:rFonts w:asciiTheme="minorHAnsi" w:eastAsia="Calibri" w:hAnsiTheme="minorHAnsi" w:cstheme="minorHAnsi"/>
                <w:color w:val="0000CC"/>
              </w:rPr>
            </w:pPr>
            <w:r w:rsidRPr="00F04EBB">
              <w:rPr>
                <w:rFonts w:asciiTheme="minorHAnsi" w:eastAsia="Calibri" w:hAnsiTheme="minorHAnsi" w:cstheme="minorHAnsi"/>
                <w:color w:val="0000CC"/>
              </w:rPr>
              <w:t>Acteurs de la filière</w:t>
            </w:r>
          </w:p>
        </w:tc>
        <w:tc>
          <w:tcPr>
            <w:tcW w:w="7147" w:type="dxa"/>
            <w:hideMark/>
          </w:tcPr>
          <w:p w14:paraId="4C09E6B3" w14:textId="77777777" w:rsidR="00A47DEE" w:rsidRPr="00F04EBB" w:rsidRDefault="00A47DEE" w:rsidP="00EE0E23">
            <w:pPr>
              <w:widowControl w:val="0"/>
              <w:spacing w:after="6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Les acteurs de la filière sont les producteurs, les structures de l’état (MA), les fournisseurs de biens et prestataires de services pour la production et l’écoulement des céréales traditionnelles, les ONG et le PTF.</w:t>
            </w:r>
          </w:p>
        </w:tc>
      </w:tr>
      <w:tr w:rsidR="00A47DEE" w:rsidRPr="00F04EBB" w14:paraId="691741F9"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7F290FB" w14:textId="77777777" w:rsidR="00A47DEE" w:rsidRPr="00F04EBB" w:rsidRDefault="00A47DEE" w:rsidP="00EE0E23">
            <w:pPr>
              <w:autoSpaceDE w:val="0"/>
              <w:autoSpaceDN w:val="0"/>
              <w:adjustRightInd w:val="0"/>
              <w:jc w:val="center"/>
              <w:rPr>
                <w:rFonts w:asciiTheme="minorHAnsi" w:eastAsia="MS Mincho" w:hAnsiTheme="minorHAnsi" w:cstheme="minorHAnsi"/>
                <w:i/>
                <w:lang w:eastAsia="ja-JP"/>
              </w:rPr>
            </w:pPr>
            <w:r w:rsidRPr="00F04EBB">
              <w:rPr>
                <w:rFonts w:asciiTheme="minorHAnsi" w:eastAsia="MS Mincho" w:hAnsiTheme="minorHAnsi" w:cstheme="minorHAnsi"/>
                <w:color w:val="0000CC"/>
              </w:rPr>
              <w:t>Contraintes liées à la filière</w:t>
            </w:r>
          </w:p>
          <w:p w14:paraId="2FB0F481" w14:textId="77777777" w:rsidR="00A47DEE" w:rsidRPr="00F04EBB" w:rsidRDefault="00A47DEE" w:rsidP="00EE0E23">
            <w:pPr>
              <w:widowControl w:val="0"/>
              <w:tabs>
                <w:tab w:val="left" w:pos="708"/>
              </w:tabs>
              <w:spacing w:after="120"/>
              <w:ind w:left="142"/>
              <w:jc w:val="center"/>
              <w:rPr>
                <w:rFonts w:asciiTheme="minorHAnsi" w:eastAsia="Calibri" w:hAnsiTheme="minorHAnsi" w:cstheme="minorHAnsi"/>
                <w:color w:val="0000CC"/>
              </w:rPr>
            </w:pPr>
          </w:p>
        </w:tc>
        <w:tc>
          <w:tcPr>
            <w:tcW w:w="7147" w:type="dxa"/>
          </w:tcPr>
          <w:p w14:paraId="32A0D480" w14:textId="77777777" w:rsidR="00A47DEE" w:rsidRPr="00F04EBB" w:rsidRDefault="00A47DEE" w:rsidP="00A47DEE">
            <w:pPr>
              <w:widowControl w:val="0"/>
              <w:numPr>
                <w:ilvl w:val="0"/>
                <w:numId w:val="371"/>
              </w:numPr>
              <w:tabs>
                <w:tab w:val="left" w:pos="326"/>
                <w:tab w:val="left" w:pos="1008"/>
                <w:tab w:val="left" w:pos="1872"/>
                <w:tab w:val="right" w:pos="4104"/>
              </w:tabs>
              <w:snapToGrid w:val="0"/>
              <w:ind w:left="245" w:right="108" w:hanging="14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Absence de régularisation des propriétés traditionnelles</w:t>
            </w:r>
          </w:p>
          <w:p w14:paraId="5F0511F5" w14:textId="77777777" w:rsidR="00A47DEE" w:rsidRPr="00F04EBB" w:rsidRDefault="00A47DEE" w:rsidP="00A47DEE">
            <w:pPr>
              <w:widowControl w:val="0"/>
              <w:numPr>
                <w:ilvl w:val="0"/>
                <w:numId w:val="371"/>
              </w:numPr>
              <w:tabs>
                <w:tab w:val="left" w:pos="326"/>
                <w:tab w:val="left" w:pos="1008"/>
                <w:tab w:val="left" w:pos="1872"/>
                <w:tab w:val="right" w:pos="4104"/>
              </w:tabs>
              <w:snapToGrid w:val="0"/>
              <w:ind w:left="245" w:right="108" w:hanging="14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Forte exposition aux aléas climatiques (sécheresses, inondations, etc.),</w:t>
            </w:r>
          </w:p>
          <w:p w14:paraId="608ECD94" w14:textId="77777777" w:rsidR="00A47DEE" w:rsidRPr="00F04EBB" w:rsidRDefault="00A47DEE" w:rsidP="00A47DEE">
            <w:pPr>
              <w:widowControl w:val="0"/>
              <w:numPr>
                <w:ilvl w:val="0"/>
                <w:numId w:val="371"/>
              </w:numPr>
              <w:tabs>
                <w:tab w:val="left" w:pos="326"/>
                <w:tab w:val="left" w:pos="1008"/>
                <w:tab w:val="left" w:pos="1872"/>
                <w:tab w:val="right" w:pos="4104"/>
              </w:tabs>
              <w:snapToGrid w:val="0"/>
              <w:ind w:left="245" w:right="108" w:hanging="14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Insuffisance du nombre, de la qualité et de l’entretien des infrastructures productives (barrages, aménagements de bassins versants, puits</w:t>
            </w:r>
            <w:proofErr w:type="gramStart"/>
            <w:r w:rsidRPr="00F04EBB">
              <w:rPr>
                <w:rFonts w:asciiTheme="minorHAnsi" w:hAnsiTheme="minorHAnsi" w:cstheme="minorHAnsi"/>
                <w:color w:val="000000"/>
                <w:lang w:val="fr-FR" w:eastAsia="ja-JP"/>
              </w:rPr>
              <w:t>);</w:t>
            </w:r>
            <w:proofErr w:type="gramEnd"/>
          </w:p>
          <w:p w14:paraId="61717DFB" w14:textId="77777777" w:rsidR="00A47DEE" w:rsidRPr="00F04EBB" w:rsidRDefault="00A47DEE" w:rsidP="00A47DEE">
            <w:pPr>
              <w:widowControl w:val="0"/>
              <w:numPr>
                <w:ilvl w:val="0"/>
                <w:numId w:val="371"/>
              </w:numPr>
              <w:tabs>
                <w:tab w:val="left" w:pos="326"/>
                <w:tab w:val="left" w:pos="1008"/>
                <w:tab w:val="left" w:pos="1872"/>
                <w:tab w:val="right" w:pos="4104"/>
              </w:tabs>
              <w:snapToGrid w:val="0"/>
              <w:ind w:left="245" w:right="108" w:hanging="14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Faible niveau d’utilisation et coût élevé des intrants </w:t>
            </w:r>
          </w:p>
          <w:p w14:paraId="59FAF081" w14:textId="77777777" w:rsidR="00A47DEE" w:rsidRPr="00F04EBB" w:rsidRDefault="00A47DEE" w:rsidP="00A47DEE">
            <w:pPr>
              <w:widowControl w:val="0"/>
              <w:numPr>
                <w:ilvl w:val="0"/>
                <w:numId w:val="371"/>
              </w:numPr>
              <w:tabs>
                <w:tab w:val="left" w:pos="326"/>
                <w:tab w:val="left" w:pos="1008"/>
                <w:tab w:val="left" w:pos="1872"/>
                <w:tab w:val="right" w:pos="4104"/>
              </w:tabs>
              <w:snapToGrid w:val="0"/>
              <w:ind w:left="245" w:right="108" w:hanging="14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Faible niveau de mécanisation intermédiaire ;</w:t>
            </w:r>
          </w:p>
          <w:p w14:paraId="0AE97B67" w14:textId="77777777" w:rsidR="00A47DEE" w:rsidRPr="00F04EBB" w:rsidRDefault="00A47DEE" w:rsidP="00A47DEE">
            <w:pPr>
              <w:widowControl w:val="0"/>
              <w:numPr>
                <w:ilvl w:val="0"/>
                <w:numId w:val="371"/>
              </w:numPr>
              <w:tabs>
                <w:tab w:val="left" w:pos="326"/>
                <w:tab w:val="left" w:pos="1008"/>
                <w:tab w:val="left" w:pos="1872"/>
                <w:tab w:val="right" w:pos="4104"/>
              </w:tabs>
              <w:snapToGrid w:val="0"/>
              <w:ind w:left="245" w:right="108" w:hanging="14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Insuffisance des magasins et mauvaises conditions de stockage des céréales</w:t>
            </w:r>
          </w:p>
          <w:p w14:paraId="3A2FDF88" w14:textId="77777777" w:rsidR="00A47DEE" w:rsidRPr="00F04EBB" w:rsidRDefault="00A47DEE" w:rsidP="00A47DEE">
            <w:pPr>
              <w:widowControl w:val="0"/>
              <w:numPr>
                <w:ilvl w:val="0"/>
                <w:numId w:val="371"/>
              </w:numPr>
              <w:tabs>
                <w:tab w:val="left" w:pos="326"/>
                <w:tab w:val="left" w:pos="1008"/>
                <w:tab w:val="left" w:pos="1872"/>
                <w:tab w:val="right" w:pos="4104"/>
              </w:tabs>
              <w:snapToGrid w:val="0"/>
              <w:ind w:left="245" w:right="108" w:hanging="14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Pertes importantes dues aux ravageurs, aux mauvaises conditions de transport et de stockage ;</w:t>
            </w:r>
          </w:p>
          <w:p w14:paraId="599F3853" w14:textId="77777777" w:rsidR="00A47DEE" w:rsidRPr="00F04EBB" w:rsidRDefault="00A47DEE" w:rsidP="00A47DEE">
            <w:pPr>
              <w:widowControl w:val="0"/>
              <w:numPr>
                <w:ilvl w:val="0"/>
                <w:numId w:val="371"/>
              </w:numPr>
              <w:tabs>
                <w:tab w:val="left" w:pos="326"/>
                <w:tab w:val="left" w:pos="1008"/>
                <w:tab w:val="left" w:pos="1872"/>
                <w:tab w:val="right" w:pos="4104"/>
              </w:tabs>
              <w:snapToGrid w:val="0"/>
              <w:ind w:left="245" w:right="108" w:hanging="142"/>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Manque d’organisation du système de commercialisation du sorgho, mil et maïs, marqué par la mainmise des commerçants usuriers</w:t>
            </w:r>
          </w:p>
          <w:p w14:paraId="4C40B2C6" w14:textId="77777777" w:rsidR="00A47DEE" w:rsidRPr="00F04EBB" w:rsidRDefault="00A47DEE" w:rsidP="00EE0E23">
            <w:pPr>
              <w:widowControl w:val="0"/>
              <w:tabs>
                <w:tab w:val="left" w:pos="326"/>
                <w:tab w:val="left" w:pos="1008"/>
                <w:tab w:val="left" w:pos="1872"/>
                <w:tab w:val="right" w:pos="4104"/>
              </w:tabs>
              <w:snapToGrid w:val="0"/>
              <w:ind w:left="245" w:right="108"/>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p>
        </w:tc>
      </w:tr>
      <w:tr w:rsidR="00A47DEE" w:rsidRPr="00F04EBB" w14:paraId="5E470032"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C4AEAD0" w14:textId="77777777" w:rsidR="00A47DEE" w:rsidRPr="00F04EBB" w:rsidRDefault="00A47DEE" w:rsidP="00EE0E23">
            <w:pPr>
              <w:widowControl w:val="0"/>
              <w:tabs>
                <w:tab w:val="left" w:pos="708"/>
              </w:tabs>
              <w:spacing w:after="120"/>
              <w:ind w:left="360"/>
              <w:jc w:val="center"/>
              <w:rPr>
                <w:rFonts w:asciiTheme="minorHAnsi" w:eastAsia="Calibri" w:hAnsiTheme="minorHAnsi" w:cstheme="minorHAnsi"/>
                <w:color w:val="0000CC"/>
              </w:rPr>
            </w:pPr>
            <w:r w:rsidRPr="00F04EBB">
              <w:rPr>
                <w:rFonts w:asciiTheme="minorHAnsi" w:eastAsia="Calibri" w:hAnsiTheme="minorHAnsi" w:cstheme="minorHAnsi"/>
                <w:color w:val="0000CC"/>
              </w:rPr>
              <w:t>Enjeux</w:t>
            </w:r>
          </w:p>
          <w:p w14:paraId="211F02FC" w14:textId="77777777" w:rsidR="00A47DEE" w:rsidRPr="00F04EBB" w:rsidRDefault="00A47DEE" w:rsidP="00EE0E23">
            <w:pPr>
              <w:widowControl w:val="0"/>
              <w:tabs>
                <w:tab w:val="left" w:pos="708"/>
              </w:tabs>
              <w:spacing w:after="120"/>
              <w:ind w:left="142"/>
              <w:jc w:val="center"/>
              <w:rPr>
                <w:rFonts w:asciiTheme="minorHAnsi" w:eastAsia="Calibri" w:hAnsiTheme="minorHAnsi" w:cstheme="minorHAnsi"/>
                <w:color w:val="0000CC"/>
              </w:rPr>
            </w:pPr>
          </w:p>
        </w:tc>
        <w:tc>
          <w:tcPr>
            <w:tcW w:w="7147" w:type="dxa"/>
            <w:hideMark/>
          </w:tcPr>
          <w:p w14:paraId="3DC233B8" w14:textId="77777777" w:rsidR="00A47DEE" w:rsidRPr="00F04EBB" w:rsidRDefault="00A47DEE" w:rsidP="00EE0E23">
            <w:pPr>
              <w:widowControl w:val="0"/>
              <w:autoSpaceDE w:val="0"/>
              <w:autoSpaceDN w:val="0"/>
              <w:adjustRightInd w:val="0"/>
              <w:spacing w:after="12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Les principaux enjeux de la filière céréales traditionnelles  peuvent se résumer comme suit : (a) La réalisation d’aménagements hydroagricoles selon les règles de l’art, et à un rythme permettant de satisfaire  les objectifs nationaux en la matière, (b) une gestion durable des ces infrastructures grâce  à la mise en place de fonds d’entretien et la maintenance avec une implication active de l’Etat et des bénéficiaires, (c) le renforcement des capacités des acteurs de la filière notamment dans les domaines techniques, organisationnel et de gestion, (d) l’amélioration de la productivité et de la compétitivité de la filière  . </w:t>
            </w:r>
          </w:p>
        </w:tc>
      </w:tr>
    </w:tbl>
    <w:p w14:paraId="64DF5CA6" w14:textId="77777777" w:rsidR="00A47DEE" w:rsidRPr="00F04EBB" w:rsidRDefault="00A47DEE" w:rsidP="00A47DEE">
      <w:pPr>
        <w:spacing w:after="0" w:line="240" w:lineRule="auto"/>
        <w:rPr>
          <w:rFonts w:eastAsia="MS Mincho" w:cstheme="minorHAnsi"/>
          <w:sz w:val="28"/>
          <w:szCs w:val="28"/>
          <w:lang w:eastAsia="ja-JP"/>
        </w:rPr>
      </w:pPr>
    </w:p>
    <w:p w14:paraId="67F22804" w14:textId="77777777" w:rsidR="00A47DEE" w:rsidRPr="00F04EBB" w:rsidRDefault="00A47DEE" w:rsidP="00A47DEE">
      <w:pPr>
        <w:numPr>
          <w:ilvl w:val="0"/>
          <w:numId w:val="375"/>
        </w:numPr>
        <w:spacing w:after="0"/>
        <w:contextualSpacing/>
        <w:jc w:val="lowKashida"/>
        <w:rPr>
          <w:rFonts w:eastAsia="MS Mincho" w:cstheme="minorHAnsi"/>
          <w:b/>
          <w:bCs/>
        </w:rPr>
      </w:pPr>
      <w:bookmarkStart w:id="400" w:name="_Toc458373708"/>
      <w:r w:rsidRPr="00F04EBB">
        <w:rPr>
          <w:rFonts w:eastAsia="MS Mincho" w:cstheme="minorHAnsi"/>
          <w:b/>
          <w:bCs/>
        </w:rPr>
        <w:t>Filière Riz</w:t>
      </w:r>
      <w:bookmarkEnd w:id="400"/>
    </w:p>
    <w:p w14:paraId="4FF607E1" w14:textId="77777777" w:rsidR="00A47DEE" w:rsidRPr="00F04EBB" w:rsidRDefault="00A47DEE" w:rsidP="00A47DEE">
      <w:pPr>
        <w:widowControl w:val="0"/>
        <w:spacing w:after="60" w:line="240" w:lineRule="auto"/>
        <w:jc w:val="both"/>
        <w:rPr>
          <w:rFonts w:eastAsia="MS Mincho" w:cstheme="minorHAnsi"/>
          <w:color w:val="000000"/>
          <w:sz w:val="20"/>
          <w:szCs w:val="20"/>
          <w:lang w:eastAsia="ja-JP"/>
        </w:rPr>
      </w:pPr>
    </w:p>
    <w:tbl>
      <w:tblPr>
        <w:tblStyle w:val="Grilleclaire-Accent331"/>
        <w:tblW w:w="0" w:type="auto"/>
        <w:tblLook w:val="04A0" w:firstRow="1" w:lastRow="0" w:firstColumn="1" w:lastColumn="0" w:noHBand="0" w:noVBand="1"/>
      </w:tblPr>
      <w:tblGrid>
        <w:gridCol w:w="2086"/>
        <w:gridCol w:w="6966"/>
      </w:tblGrid>
      <w:tr w:rsidR="00A47DEE" w:rsidRPr="00F04EBB" w14:paraId="5F335E21" w14:textId="77777777" w:rsidTr="00EE0E23">
        <w:trPr>
          <w:cnfStyle w:val="100000000000" w:firstRow="1" w:lastRow="0" w:firstColumn="0" w:lastColumn="0" w:oddVBand="0" w:evenVBand="0" w:oddHBand="0"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2093" w:type="dxa"/>
            <w:hideMark/>
          </w:tcPr>
          <w:p w14:paraId="2C992831" w14:textId="77777777" w:rsidR="00A47DEE" w:rsidRPr="00F04EBB" w:rsidRDefault="00A47DEE" w:rsidP="00EE0E23">
            <w:pPr>
              <w:widowControl w:val="0"/>
              <w:tabs>
                <w:tab w:val="left" w:pos="708"/>
              </w:tabs>
              <w:spacing w:after="120"/>
              <w:rPr>
                <w:rFonts w:asciiTheme="minorHAnsi" w:eastAsia="Calibri" w:hAnsiTheme="minorHAnsi" w:cstheme="minorHAnsi"/>
                <w:color w:val="0000CC"/>
              </w:rPr>
            </w:pPr>
            <w:r w:rsidRPr="00F04EBB">
              <w:rPr>
                <w:rFonts w:asciiTheme="minorHAnsi" w:eastAsia="Calibri" w:hAnsiTheme="minorHAnsi" w:cstheme="minorHAnsi"/>
                <w:color w:val="0000CC"/>
              </w:rPr>
              <w:t>Introduction</w:t>
            </w:r>
          </w:p>
        </w:tc>
        <w:tc>
          <w:tcPr>
            <w:tcW w:w="7149" w:type="dxa"/>
          </w:tcPr>
          <w:p w14:paraId="0AA7B765" w14:textId="77777777" w:rsidR="00A47DEE" w:rsidRPr="00F04EBB" w:rsidRDefault="00A47DEE" w:rsidP="00EE0E23">
            <w:pPr>
              <w:widowControl w:val="0"/>
              <w:spacing w:after="120"/>
              <w:ind w:hanging="11"/>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000000"/>
                <w:kern w:val="2"/>
                <w:lang w:val="fr-FR"/>
              </w:rPr>
            </w:pPr>
            <w:r w:rsidRPr="00F04EBB">
              <w:rPr>
                <w:rFonts w:asciiTheme="minorHAnsi" w:eastAsia="MS Mincho" w:hAnsiTheme="minorHAnsi" w:cstheme="minorHAnsi"/>
                <w:color w:val="000000"/>
                <w:kern w:val="2"/>
                <w:lang w:val="fr-FR"/>
              </w:rPr>
              <w:t xml:space="preserve">La Mauritanie dispose d’un potentiel de plus de 135 000 ha irrigables situés sur la rive droite du Fleuve Sénégal. </w:t>
            </w:r>
          </w:p>
        </w:tc>
      </w:tr>
      <w:tr w:rsidR="00A47DEE" w:rsidRPr="00F04EBB" w14:paraId="3C736AA4"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0AEF9EB" w14:textId="77777777" w:rsidR="00A47DEE" w:rsidRPr="00F04EBB" w:rsidRDefault="00A47DEE" w:rsidP="00EE0E23">
            <w:pPr>
              <w:widowControl w:val="0"/>
              <w:tabs>
                <w:tab w:val="left" w:pos="708"/>
              </w:tabs>
              <w:spacing w:after="120"/>
              <w:rPr>
                <w:rFonts w:asciiTheme="minorHAnsi" w:eastAsia="Calibri" w:hAnsiTheme="minorHAnsi" w:cstheme="minorHAnsi"/>
                <w:color w:val="0000CC"/>
              </w:rPr>
            </w:pPr>
            <w:r w:rsidRPr="00F04EBB">
              <w:rPr>
                <w:rFonts w:asciiTheme="minorHAnsi" w:eastAsia="Calibri" w:hAnsiTheme="minorHAnsi" w:cstheme="minorHAnsi"/>
                <w:color w:val="0000CC"/>
              </w:rPr>
              <w:t xml:space="preserve">Productions et zones de production </w:t>
            </w:r>
          </w:p>
          <w:p w14:paraId="63B695B8" w14:textId="77777777" w:rsidR="00A47DEE" w:rsidRPr="00F04EBB" w:rsidRDefault="00A47DEE" w:rsidP="00EE0E23">
            <w:pPr>
              <w:widowControl w:val="0"/>
              <w:spacing w:after="60"/>
              <w:rPr>
                <w:rFonts w:asciiTheme="minorHAnsi" w:eastAsia="MS Mincho" w:hAnsiTheme="minorHAnsi" w:cstheme="minorHAnsi"/>
                <w:color w:val="000000"/>
                <w:lang w:eastAsia="ja-JP"/>
              </w:rPr>
            </w:pPr>
          </w:p>
        </w:tc>
        <w:tc>
          <w:tcPr>
            <w:tcW w:w="7149" w:type="dxa"/>
            <w:hideMark/>
          </w:tcPr>
          <w:p w14:paraId="6E9A9C84" w14:textId="77777777" w:rsidR="00A47DEE" w:rsidRPr="00F04EBB" w:rsidRDefault="00A47DEE" w:rsidP="00EE0E23">
            <w:pPr>
              <w:widowControl w:val="0"/>
              <w:tabs>
                <w:tab w:val="left" w:pos="708"/>
              </w:tabs>
              <w:spacing w:after="12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color w:val="000000"/>
                <w:kern w:val="2"/>
                <w:lang w:val="fr-FR"/>
              </w:rPr>
            </w:pPr>
            <w:r w:rsidRPr="00F04EBB">
              <w:rPr>
                <w:rFonts w:asciiTheme="minorHAnsi" w:eastAsia="Calibri" w:hAnsiTheme="minorHAnsi" w:cstheme="minorHAnsi"/>
                <w:bCs/>
                <w:color w:val="000000"/>
                <w:kern w:val="2"/>
                <w:lang w:val="fr-FR"/>
              </w:rPr>
              <w:t xml:space="preserve">La culture du riz est pratiquée essentiellement dans les quatre wilayas de la vallée du fleuve Sénégal notamment celles du Trarza, du Brakna, du Gorgol et du Guidimagha, au niveau des périmètres irrigués qui se situent au bord du fleuve, de ses affluents et défluents. La production de paddy de cette campagne a été de 202 869 tonnes pour l’obtention de 114 277 tonnes de riz blanc avec un taux d’extraction de 57% </w:t>
            </w:r>
          </w:p>
        </w:tc>
      </w:tr>
      <w:tr w:rsidR="00A47DEE" w:rsidRPr="00F04EBB" w14:paraId="7D87637D" w14:textId="77777777" w:rsidTr="00EE0E23">
        <w:trPr>
          <w:cnfStyle w:val="000000010000" w:firstRow="0" w:lastRow="0" w:firstColumn="0" w:lastColumn="0" w:oddVBand="0" w:evenVBand="0" w:oddHBand="0" w:evenHBand="1" w:firstRowFirstColumn="0" w:firstRowLastColumn="0" w:lastRowFirstColumn="0" w:lastRowLastColumn="0"/>
          <w:trHeight w:val="724"/>
        </w:trPr>
        <w:tc>
          <w:tcPr>
            <w:cnfStyle w:val="001000000000" w:firstRow="0" w:lastRow="0" w:firstColumn="1" w:lastColumn="0" w:oddVBand="0" w:evenVBand="0" w:oddHBand="0" w:evenHBand="0" w:firstRowFirstColumn="0" w:firstRowLastColumn="0" w:lastRowFirstColumn="0" w:lastRowLastColumn="0"/>
            <w:tcW w:w="2093" w:type="dxa"/>
          </w:tcPr>
          <w:p w14:paraId="32CEE4A1" w14:textId="77777777" w:rsidR="00A47DEE" w:rsidRPr="00F04EBB" w:rsidRDefault="00A47DEE" w:rsidP="00EE0E23">
            <w:pPr>
              <w:widowControl w:val="0"/>
              <w:tabs>
                <w:tab w:val="left" w:pos="708"/>
              </w:tabs>
              <w:spacing w:after="120"/>
              <w:rPr>
                <w:rFonts w:asciiTheme="minorHAnsi" w:eastAsia="Calibri" w:hAnsiTheme="minorHAnsi" w:cstheme="minorHAnsi"/>
                <w:color w:val="0000CC"/>
              </w:rPr>
            </w:pPr>
            <w:r w:rsidRPr="00F04EBB">
              <w:rPr>
                <w:rFonts w:asciiTheme="minorHAnsi" w:eastAsia="Calibri" w:hAnsiTheme="minorHAnsi" w:cstheme="minorHAnsi"/>
                <w:color w:val="0000CC"/>
              </w:rPr>
              <w:t>Structure des exploitations </w:t>
            </w:r>
          </w:p>
          <w:p w14:paraId="4625C02A" w14:textId="77777777" w:rsidR="00A47DEE" w:rsidRPr="00F04EBB" w:rsidRDefault="00A47DEE" w:rsidP="00EE0E23">
            <w:pPr>
              <w:widowControl w:val="0"/>
              <w:spacing w:after="60"/>
              <w:jc w:val="both"/>
              <w:rPr>
                <w:rFonts w:asciiTheme="minorHAnsi" w:eastAsia="MS Mincho" w:hAnsiTheme="minorHAnsi" w:cstheme="minorHAnsi"/>
                <w:color w:val="000000"/>
                <w:lang w:eastAsia="ja-JP"/>
              </w:rPr>
            </w:pPr>
          </w:p>
        </w:tc>
        <w:tc>
          <w:tcPr>
            <w:tcW w:w="7149" w:type="dxa"/>
            <w:hideMark/>
          </w:tcPr>
          <w:p w14:paraId="3149F6A2" w14:textId="77777777" w:rsidR="00A47DEE" w:rsidRPr="00F04EBB" w:rsidRDefault="00A47DEE" w:rsidP="00EE0E23">
            <w:pPr>
              <w:widowControl w:val="0"/>
              <w:tabs>
                <w:tab w:val="left" w:pos="708"/>
              </w:tabs>
              <w:spacing w:after="120"/>
              <w:jc w:val="both"/>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Cs/>
                <w:color w:val="000000"/>
                <w:kern w:val="2"/>
                <w:lang w:val="fr-FR"/>
              </w:rPr>
            </w:pPr>
            <w:r w:rsidRPr="00F04EBB">
              <w:rPr>
                <w:rFonts w:asciiTheme="minorHAnsi" w:eastAsia="Calibri" w:hAnsiTheme="minorHAnsi" w:cstheme="minorHAnsi"/>
                <w:bCs/>
                <w:color w:val="000000"/>
                <w:kern w:val="2"/>
                <w:lang w:val="fr-FR"/>
              </w:rPr>
              <w:t xml:space="preserve">Selon la taille, les exploitations, se différencient en petits, moyens et grands périmètres, tandis que le mode de gestion fait ressortir (i) des périmètres collectifs gérés par les coopératives villageoises et (ii) des périmètres individuels privés. </w:t>
            </w:r>
          </w:p>
        </w:tc>
      </w:tr>
      <w:tr w:rsidR="00A47DEE" w:rsidRPr="00F04EBB" w14:paraId="6EC0FB25"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4E00ACEB" w14:textId="77777777" w:rsidR="00A47DEE" w:rsidRPr="00F04EBB" w:rsidRDefault="00A47DEE" w:rsidP="00EE0E23">
            <w:pPr>
              <w:widowControl w:val="0"/>
              <w:tabs>
                <w:tab w:val="left" w:pos="708"/>
              </w:tabs>
              <w:spacing w:after="120"/>
              <w:rPr>
                <w:rFonts w:asciiTheme="minorHAnsi" w:eastAsia="Calibri" w:hAnsiTheme="minorHAnsi" w:cstheme="minorHAnsi"/>
                <w:color w:val="0000CC"/>
              </w:rPr>
            </w:pPr>
            <w:r w:rsidRPr="00F04EBB">
              <w:rPr>
                <w:rFonts w:asciiTheme="minorHAnsi" w:eastAsia="Calibri" w:hAnsiTheme="minorHAnsi" w:cstheme="minorHAnsi"/>
                <w:color w:val="0000CC"/>
              </w:rPr>
              <w:t xml:space="preserve">Accès aux intrants </w:t>
            </w:r>
          </w:p>
          <w:p w14:paraId="0AF68C9D" w14:textId="77777777" w:rsidR="00A47DEE" w:rsidRPr="00F04EBB" w:rsidRDefault="00A47DEE" w:rsidP="00EE0E23">
            <w:pPr>
              <w:widowControl w:val="0"/>
              <w:spacing w:after="60"/>
              <w:jc w:val="both"/>
              <w:rPr>
                <w:rFonts w:asciiTheme="minorHAnsi" w:eastAsia="MS Mincho" w:hAnsiTheme="minorHAnsi" w:cstheme="minorHAnsi"/>
                <w:color w:val="000000"/>
                <w:lang w:eastAsia="ja-JP"/>
              </w:rPr>
            </w:pPr>
          </w:p>
        </w:tc>
        <w:tc>
          <w:tcPr>
            <w:tcW w:w="7149" w:type="dxa"/>
            <w:hideMark/>
          </w:tcPr>
          <w:p w14:paraId="2F7D2353" w14:textId="77777777" w:rsidR="00A47DEE" w:rsidRPr="00F04EBB" w:rsidRDefault="00A47DEE" w:rsidP="00EE0E23">
            <w:pPr>
              <w:widowControl w:val="0"/>
              <w:tabs>
                <w:tab w:val="left" w:pos="708"/>
              </w:tabs>
              <w:spacing w:after="12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color w:val="000000"/>
                <w:kern w:val="2"/>
                <w:lang w:val="fr-FR"/>
              </w:rPr>
            </w:pPr>
            <w:r w:rsidRPr="00F04EBB">
              <w:rPr>
                <w:rFonts w:asciiTheme="minorHAnsi" w:eastAsia="Calibri" w:hAnsiTheme="minorHAnsi" w:cstheme="minorHAnsi"/>
                <w:bCs/>
                <w:color w:val="000000"/>
                <w:kern w:val="2"/>
                <w:lang w:val="fr-FR"/>
              </w:rPr>
              <w:t xml:space="preserve">Les producteurs s’approvisionnent en engrais, produits phytosanitaires et semences auprès de la SONIMEX suivant la procédure mise en place. En ce qui concerne l’acquisition et l’utilisation des produits phytosanitaires il n’y a pas un système de suivi et de contrôle des produits qui circulent des deux côtés du fleuve Sénégal. </w:t>
            </w:r>
          </w:p>
        </w:tc>
      </w:tr>
      <w:tr w:rsidR="00A47DEE" w:rsidRPr="00F04EBB" w14:paraId="1D0D9128"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C6FAC08" w14:textId="77777777" w:rsidR="00A47DEE" w:rsidRPr="00F04EBB" w:rsidRDefault="00A47DEE" w:rsidP="00EE0E23">
            <w:pPr>
              <w:widowControl w:val="0"/>
              <w:tabs>
                <w:tab w:val="left" w:pos="708"/>
              </w:tabs>
              <w:spacing w:after="120"/>
              <w:rPr>
                <w:rFonts w:asciiTheme="minorHAnsi" w:eastAsia="Calibri" w:hAnsiTheme="minorHAnsi" w:cstheme="minorHAnsi"/>
                <w:color w:val="0000CC"/>
              </w:rPr>
            </w:pPr>
            <w:r w:rsidRPr="00F04EBB">
              <w:rPr>
                <w:rFonts w:asciiTheme="minorHAnsi" w:eastAsia="Calibri" w:hAnsiTheme="minorHAnsi" w:cstheme="minorHAnsi"/>
                <w:color w:val="0000CC"/>
              </w:rPr>
              <w:t xml:space="preserve">Stockage et conditionnement </w:t>
            </w:r>
          </w:p>
          <w:p w14:paraId="632796D4" w14:textId="77777777" w:rsidR="00A47DEE" w:rsidRPr="00F04EBB" w:rsidRDefault="00A47DEE" w:rsidP="00EE0E23">
            <w:pPr>
              <w:widowControl w:val="0"/>
              <w:spacing w:after="60"/>
              <w:rPr>
                <w:rFonts w:asciiTheme="minorHAnsi" w:eastAsia="MS Mincho" w:hAnsiTheme="minorHAnsi" w:cstheme="minorHAnsi"/>
                <w:color w:val="0000CC"/>
              </w:rPr>
            </w:pPr>
          </w:p>
        </w:tc>
        <w:tc>
          <w:tcPr>
            <w:tcW w:w="7149" w:type="dxa"/>
            <w:hideMark/>
          </w:tcPr>
          <w:p w14:paraId="00D240D3" w14:textId="77777777" w:rsidR="00A47DEE" w:rsidRPr="00F04EBB" w:rsidRDefault="00A47DEE" w:rsidP="00EE0E23">
            <w:pPr>
              <w:widowControl w:val="0"/>
              <w:tabs>
                <w:tab w:val="left" w:pos="708"/>
              </w:tabs>
              <w:spacing w:after="120"/>
              <w:jc w:val="both"/>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Cs/>
                <w:color w:val="000000"/>
                <w:kern w:val="2"/>
                <w:lang w:val="fr-FR"/>
              </w:rPr>
            </w:pPr>
            <w:r w:rsidRPr="00F04EBB">
              <w:rPr>
                <w:rFonts w:asciiTheme="minorHAnsi" w:eastAsia="Calibri" w:hAnsiTheme="minorHAnsi" w:cstheme="minorHAnsi"/>
                <w:bCs/>
                <w:color w:val="000000"/>
                <w:kern w:val="2"/>
                <w:lang w:val="fr-FR"/>
              </w:rPr>
              <w:t>Au niveau des petits agriculteurs des périmètres collectifs, le stockage se fait dans de petits magasins familiaux souvent ne répondant pas aux normes techniques d’emmagasinage. Au niveau des périmètres privés, il existe un nombre important de magasins fonctionnels avec une capacité de stockage allant de 200 à 1000 tonnes par magasin pour une capacité totale de stockage pouvant être estimée à 180 000 tonnes environ. Le riz est généralement conditionné et emballé dans des sacs en polyéthylène ou en jute de 50 kg.</w:t>
            </w:r>
          </w:p>
        </w:tc>
      </w:tr>
      <w:tr w:rsidR="00A47DEE" w:rsidRPr="00F04EBB" w14:paraId="03E1711A"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C866F58" w14:textId="77777777" w:rsidR="00A47DEE" w:rsidRPr="00F04EBB" w:rsidRDefault="00A47DEE" w:rsidP="00EE0E23">
            <w:pPr>
              <w:widowControl w:val="0"/>
              <w:tabs>
                <w:tab w:val="left" w:pos="708"/>
              </w:tabs>
              <w:spacing w:after="120"/>
              <w:jc w:val="both"/>
              <w:rPr>
                <w:rFonts w:asciiTheme="minorHAnsi" w:eastAsia="Calibri" w:hAnsiTheme="minorHAnsi" w:cstheme="minorHAnsi"/>
                <w:color w:val="0000CC"/>
              </w:rPr>
            </w:pPr>
            <w:r w:rsidRPr="00F04EBB">
              <w:rPr>
                <w:rFonts w:asciiTheme="minorHAnsi" w:eastAsia="Calibri" w:hAnsiTheme="minorHAnsi" w:cstheme="minorHAnsi"/>
                <w:color w:val="0000CC"/>
              </w:rPr>
              <w:t xml:space="preserve">Transformation </w:t>
            </w:r>
          </w:p>
          <w:p w14:paraId="3C6A50B5" w14:textId="77777777" w:rsidR="00A47DEE" w:rsidRPr="00F04EBB" w:rsidRDefault="00A47DEE" w:rsidP="00EE0E23">
            <w:pPr>
              <w:widowControl w:val="0"/>
              <w:spacing w:after="60"/>
              <w:jc w:val="both"/>
              <w:rPr>
                <w:rFonts w:asciiTheme="minorHAnsi" w:eastAsia="MS Mincho" w:hAnsiTheme="minorHAnsi" w:cstheme="minorHAnsi"/>
                <w:color w:val="000000"/>
                <w:lang w:eastAsia="ja-JP"/>
              </w:rPr>
            </w:pPr>
          </w:p>
        </w:tc>
        <w:tc>
          <w:tcPr>
            <w:tcW w:w="7149" w:type="dxa"/>
            <w:hideMark/>
          </w:tcPr>
          <w:p w14:paraId="55A707C2" w14:textId="77777777" w:rsidR="00A47DEE" w:rsidRPr="00F04EBB" w:rsidRDefault="00A47DEE" w:rsidP="00EE0E23">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La transformation du paddy en riz blanc est faite soit par de petites décortiqueuses qui sont gérées soit par des petits promoteurs ou des organisations de producteurs au niveau des villages, soit par des propriétaires de rizeries relativement bien réparties en fonction des capacités productives des zones. </w:t>
            </w:r>
          </w:p>
        </w:tc>
      </w:tr>
      <w:tr w:rsidR="00A47DEE" w:rsidRPr="00F04EBB" w14:paraId="06E83AF2"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ABC9AD4" w14:textId="77777777" w:rsidR="00A47DEE" w:rsidRPr="00F04EBB" w:rsidRDefault="00A47DEE" w:rsidP="00EE0E23">
            <w:pPr>
              <w:widowControl w:val="0"/>
              <w:tabs>
                <w:tab w:val="left" w:pos="708"/>
              </w:tabs>
              <w:spacing w:after="120"/>
              <w:ind w:left="142"/>
              <w:jc w:val="both"/>
              <w:rPr>
                <w:rFonts w:asciiTheme="minorHAnsi" w:eastAsia="Calibri" w:hAnsiTheme="minorHAnsi" w:cstheme="minorHAnsi"/>
                <w:color w:val="0000CC"/>
              </w:rPr>
            </w:pPr>
            <w:r w:rsidRPr="00F04EBB">
              <w:rPr>
                <w:rFonts w:asciiTheme="minorHAnsi" w:eastAsia="Calibri" w:hAnsiTheme="minorHAnsi" w:cstheme="minorHAnsi"/>
                <w:color w:val="0000CC"/>
              </w:rPr>
              <w:t xml:space="preserve">Commercialisation et importation </w:t>
            </w:r>
          </w:p>
          <w:p w14:paraId="308CB38C" w14:textId="77777777" w:rsidR="00A47DEE" w:rsidRPr="00F04EBB" w:rsidRDefault="00A47DEE" w:rsidP="00EE0E23">
            <w:pPr>
              <w:widowControl w:val="0"/>
              <w:tabs>
                <w:tab w:val="left" w:pos="708"/>
              </w:tabs>
              <w:spacing w:after="120"/>
              <w:ind w:left="142"/>
              <w:jc w:val="both"/>
              <w:rPr>
                <w:rFonts w:asciiTheme="minorHAnsi" w:eastAsia="Calibri" w:hAnsiTheme="minorHAnsi" w:cstheme="minorHAnsi"/>
                <w:color w:val="000000"/>
                <w:kern w:val="2"/>
              </w:rPr>
            </w:pPr>
          </w:p>
        </w:tc>
        <w:tc>
          <w:tcPr>
            <w:tcW w:w="7149" w:type="dxa"/>
            <w:hideMark/>
          </w:tcPr>
          <w:p w14:paraId="20D0D781" w14:textId="77777777" w:rsidR="00A47DEE" w:rsidRPr="00F04EBB" w:rsidRDefault="00A47DEE" w:rsidP="00EE0E23">
            <w:pPr>
              <w:widowControl w:val="0"/>
              <w:spacing w:after="12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Les petits producteurs destinent la production à l’autoconsommation. Par contre, la production des exploitants individuels privés est destinée à la commercialisation : vente aux riziers et revente à la SONIMEX. Selon les informations issues des données de la douane, les importations du riz s’élèvent à 165 250 tonnes en 2014</w:t>
            </w:r>
          </w:p>
        </w:tc>
      </w:tr>
      <w:tr w:rsidR="00A47DEE" w:rsidRPr="00F04EBB" w14:paraId="17ED942C"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hideMark/>
          </w:tcPr>
          <w:p w14:paraId="162A098B" w14:textId="77777777" w:rsidR="00A47DEE" w:rsidRPr="00F04EBB" w:rsidRDefault="00A47DEE" w:rsidP="00EE0E23">
            <w:pPr>
              <w:widowControl w:val="0"/>
              <w:tabs>
                <w:tab w:val="left" w:pos="708"/>
              </w:tabs>
              <w:spacing w:after="120"/>
              <w:ind w:left="142"/>
              <w:jc w:val="both"/>
              <w:rPr>
                <w:rFonts w:asciiTheme="minorHAnsi" w:eastAsia="Calibri" w:hAnsiTheme="minorHAnsi" w:cstheme="minorHAnsi"/>
                <w:color w:val="0000CC"/>
              </w:rPr>
            </w:pPr>
            <w:r w:rsidRPr="00F04EBB">
              <w:rPr>
                <w:rFonts w:asciiTheme="minorHAnsi" w:eastAsia="Calibri" w:hAnsiTheme="minorHAnsi" w:cstheme="minorHAnsi"/>
                <w:color w:val="0000CC"/>
              </w:rPr>
              <w:t xml:space="preserve">Consommation </w:t>
            </w:r>
          </w:p>
        </w:tc>
        <w:tc>
          <w:tcPr>
            <w:tcW w:w="7149" w:type="dxa"/>
            <w:hideMark/>
          </w:tcPr>
          <w:p w14:paraId="65BCD2BD" w14:textId="77777777" w:rsidR="00A47DEE" w:rsidRPr="00F04EBB" w:rsidRDefault="00A47DEE" w:rsidP="00EE0E23">
            <w:pPr>
              <w:widowControl w:val="0"/>
              <w:spacing w:after="6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Sur la base des normes de consommation de 46 Kg par personne et par an</w:t>
            </w:r>
            <w:r w:rsidRPr="00F04EBB">
              <w:rPr>
                <w:rFonts w:asciiTheme="minorHAnsi" w:hAnsiTheme="minorHAnsi" w:cstheme="minorHAnsi"/>
                <w:color w:val="000000"/>
                <w:vertAlign w:val="superscript"/>
                <w:lang w:eastAsia="ja-JP"/>
              </w:rPr>
              <w:footnoteReference w:id="56"/>
            </w:r>
            <w:r w:rsidRPr="00F04EBB">
              <w:rPr>
                <w:rFonts w:asciiTheme="minorHAnsi" w:hAnsiTheme="minorHAnsi" w:cstheme="minorHAnsi"/>
                <w:color w:val="000000"/>
                <w:lang w:val="fr-FR" w:eastAsia="ja-JP"/>
              </w:rPr>
              <w:t xml:space="preserve"> (norme CILSS) et du nombre d’habitants recensés (RGPH 2013), les besoins de la Mauritanie en riz blanc en 2013 étaient estimés à </w:t>
            </w:r>
            <w:r w:rsidRPr="00F04EBB">
              <w:rPr>
                <w:rFonts w:asciiTheme="minorHAnsi" w:hAnsiTheme="minorHAnsi" w:cstheme="minorHAnsi"/>
                <w:color w:val="000000"/>
                <w:lang w:val="fr-FR" w:eastAsia="it-IT"/>
              </w:rPr>
              <w:t xml:space="preserve">167 226 tonnes de riz blanc. </w:t>
            </w:r>
            <w:r w:rsidRPr="00F04EBB">
              <w:rPr>
                <w:rFonts w:asciiTheme="minorHAnsi" w:hAnsiTheme="minorHAnsi" w:cstheme="minorHAnsi"/>
                <w:color w:val="000000"/>
                <w:lang w:val="fr-FR" w:eastAsia="ja-JP"/>
              </w:rPr>
              <w:t>La production nationale de 114 277 tonnes a donc couvert près de 68% des besoins du pays soit un gap de 52 949 tonnes.</w:t>
            </w:r>
          </w:p>
        </w:tc>
      </w:tr>
      <w:tr w:rsidR="00A47DEE" w:rsidRPr="00F04EBB" w14:paraId="3894A2BC"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05A2AF6" w14:textId="77777777" w:rsidR="00A47DEE" w:rsidRPr="00F04EBB" w:rsidRDefault="00A47DEE" w:rsidP="00EE0E23">
            <w:pPr>
              <w:autoSpaceDE w:val="0"/>
              <w:autoSpaceDN w:val="0"/>
              <w:adjustRightInd w:val="0"/>
              <w:jc w:val="both"/>
              <w:rPr>
                <w:rFonts w:asciiTheme="minorHAnsi" w:eastAsia="MS Mincho" w:hAnsiTheme="minorHAnsi" w:cstheme="minorHAnsi"/>
                <w:i/>
                <w:lang w:eastAsia="ja-JP"/>
              </w:rPr>
            </w:pPr>
            <w:r w:rsidRPr="00F04EBB">
              <w:rPr>
                <w:rFonts w:asciiTheme="minorHAnsi" w:eastAsia="MS Mincho" w:hAnsiTheme="minorHAnsi" w:cstheme="minorHAnsi"/>
                <w:color w:val="0000CC"/>
              </w:rPr>
              <w:t>Contraintes liées à la filière</w:t>
            </w:r>
          </w:p>
          <w:p w14:paraId="6E2EE413" w14:textId="77777777" w:rsidR="00A47DEE" w:rsidRPr="00F04EBB" w:rsidRDefault="00A47DEE" w:rsidP="00EE0E23">
            <w:pPr>
              <w:widowControl w:val="0"/>
              <w:tabs>
                <w:tab w:val="left" w:pos="708"/>
              </w:tabs>
              <w:spacing w:after="120"/>
              <w:ind w:left="142"/>
              <w:jc w:val="both"/>
              <w:rPr>
                <w:rFonts w:asciiTheme="minorHAnsi" w:eastAsia="Calibri" w:hAnsiTheme="minorHAnsi" w:cstheme="minorHAnsi"/>
                <w:color w:val="0000CC"/>
              </w:rPr>
            </w:pPr>
          </w:p>
        </w:tc>
        <w:tc>
          <w:tcPr>
            <w:tcW w:w="7149" w:type="dxa"/>
            <w:hideMark/>
          </w:tcPr>
          <w:p w14:paraId="17F09C66" w14:textId="77777777" w:rsidR="00A47DEE" w:rsidRPr="00F04EBB" w:rsidRDefault="00A47DEE" w:rsidP="00A47DEE">
            <w:pPr>
              <w:numPr>
                <w:ilvl w:val="0"/>
                <w:numId w:val="372"/>
              </w:numPr>
              <w:suppressAutoHyphens/>
              <w:autoSpaceDE w:val="0"/>
              <w:autoSpaceDN w:val="0"/>
              <w:adjustRightInd w:val="0"/>
              <w:contextualSpacing/>
              <w:jc w:val="lowKashida"/>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lang w:val="fr-FR" w:eastAsia="ar-SA"/>
              </w:rPr>
            </w:pPr>
            <w:r w:rsidRPr="00F04EBB">
              <w:rPr>
                <w:rFonts w:asciiTheme="minorHAnsi" w:eastAsia="Times New Roman" w:hAnsiTheme="minorHAnsi" w:cstheme="minorHAnsi"/>
                <w:color w:val="000000"/>
                <w:lang w:val="fr-FR" w:eastAsia="ar-SA"/>
              </w:rPr>
              <w:t xml:space="preserve">L’insuffisance de la maîtrise des techniques de production par les exploitants. </w:t>
            </w:r>
          </w:p>
          <w:p w14:paraId="04ACB353" w14:textId="77777777" w:rsidR="00A47DEE" w:rsidRPr="00F04EBB" w:rsidRDefault="00A47DEE" w:rsidP="00A47DEE">
            <w:pPr>
              <w:numPr>
                <w:ilvl w:val="0"/>
                <w:numId w:val="372"/>
              </w:numPr>
              <w:suppressAutoHyphens/>
              <w:autoSpaceDE w:val="0"/>
              <w:autoSpaceDN w:val="0"/>
              <w:adjustRightInd w:val="0"/>
              <w:contextualSpacing/>
              <w:jc w:val="lowKashida"/>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lang w:val="fr-FR" w:eastAsia="ar-SA"/>
              </w:rPr>
            </w:pPr>
            <w:r w:rsidRPr="00F04EBB">
              <w:rPr>
                <w:rFonts w:asciiTheme="minorHAnsi" w:eastAsia="Times New Roman" w:hAnsiTheme="minorHAnsi" w:cstheme="minorHAnsi"/>
                <w:color w:val="000000"/>
                <w:lang w:val="fr-FR" w:eastAsia="ar-SA"/>
              </w:rPr>
              <w:t xml:space="preserve">Une stratégie de vulgarisation inadaptée.  </w:t>
            </w:r>
          </w:p>
          <w:p w14:paraId="70682874" w14:textId="77777777" w:rsidR="00A47DEE" w:rsidRPr="00F04EBB" w:rsidRDefault="00A47DEE" w:rsidP="00A47DEE">
            <w:pPr>
              <w:numPr>
                <w:ilvl w:val="0"/>
                <w:numId w:val="372"/>
              </w:numPr>
              <w:suppressAutoHyphens/>
              <w:autoSpaceDE w:val="0"/>
              <w:autoSpaceDN w:val="0"/>
              <w:adjustRightInd w:val="0"/>
              <w:contextualSpacing/>
              <w:jc w:val="lowKashida"/>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lang w:val="fr-FR" w:eastAsia="ar-SA"/>
              </w:rPr>
            </w:pPr>
            <w:r w:rsidRPr="00F04EBB">
              <w:rPr>
                <w:rFonts w:asciiTheme="minorHAnsi" w:eastAsia="Times New Roman" w:hAnsiTheme="minorHAnsi" w:cstheme="minorHAnsi"/>
                <w:color w:val="000000"/>
                <w:lang w:val="fr-FR" w:eastAsia="ar-SA"/>
              </w:rPr>
              <w:t>Les maladies, les insectes, les adventices et autres parasites tels que les nématodes</w:t>
            </w:r>
          </w:p>
          <w:p w14:paraId="66E4D7E9" w14:textId="77777777" w:rsidR="00A47DEE" w:rsidRPr="00F04EBB" w:rsidRDefault="00A47DEE" w:rsidP="00A47DEE">
            <w:pPr>
              <w:numPr>
                <w:ilvl w:val="0"/>
                <w:numId w:val="372"/>
              </w:numPr>
              <w:suppressAutoHyphens/>
              <w:autoSpaceDE w:val="0"/>
              <w:autoSpaceDN w:val="0"/>
              <w:adjustRightInd w:val="0"/>
              <w:contextualSpacing/>
              <w:jc w:val="lowKashida"/>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lang w:val="fr-FR" w:eastAsia="ar-SA"/>
              </w:rPr>
            </w:pPr>
            <w:r w:rsidRPr="00F04EBB">
              <w:rPr>
                <w:rFonts w:asciiTheme="minorHAnsi" w:eastAsia="Times New Roman" w:hAnsiTheme="minorHAnsi" w:cstheme="minorHAnsi"/>
                <w:color w:val="000000"/>
                <w:lang w:val="fr-FR" w:eastAsia="ar-SA"/>
              </w:rPr>
              <w:t xml:space="preserve">Des difficultés d’accès aux intrants majeurs que sont les semences et les engrais minéraux.   </w:t>
            </w:r>
          </w:p>
          <w:p w14:paraId="743BE387" w14:textId="77777777" w:rsidR="00A47DEE" w:rsidRPr="00F04EBB" w:rsidRDefault="00A47DEE" w:rsidP="00A47DEE">
            <w:pPr>
              <w:numPr>
                <w:ilvl w:val="0"/>
                <w:numId w:val="372"/>
              </w:numPr>
              <w:suppressAutoHyphens/>
              <w:autoSpaceDE w:val="0"/>
              <w:autoSpaceDN w:val="0"/>
              <w:adjustRightInd w:val="0"/>
              <w:contextualSpacing/>
              <w:jc w:val="lowKashida"/>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lang w:val="fr-FR" w:eastAsia="ar-SA"/>
              </w:rPr>
            </w:pPr>
            <w:r w:rsidRPr="00F04EBB">
              <w:rPr>
                <w:rFonts w:asciiTheme="minorHAnsi" w:eastAsia="Times New Roman" w:hAnsiTheme="minorHAnsi" w:cstheme="minorHAnsi"/>
                <w:color w:val="000000"/>
                <w:lang w:val="fr-FR" w:eastAsia="ar-SA"/>
              </w:rPr>
              <w:t>Un manque de formation des producteurs et des agents d’encadrement sur la gestion des périmètres et des ressources (équipements, matériels, intrants, etc.).</w:t>
            </w:r>
            <w:r w:rsidRPr="00F04EBB">
              <w:rPr>
                <w:rFonts w:asciiTheme="minorHAnsi" w:eastAsia="Times New Roman" w:hAnsiTheme="minorHAnsi" w:cstheme="minorHAnsi"/>
                <w:sz w:val="18"/>
                <w:szCs w:val="18"/>
                <w:lang w:val="fr-FR"/>
              </w:rPr>
              <w:t xml:space="preserve">  </w:t>
            </w:r>
          </w:p>
        </w:tc>
      </w:tr>
      <w:tr w:rsidR="00A47DEE" w:rsidRPr="00F04EBB" w14:paraId="4F8E14DB"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hideMark/>
          </w:tcPr>
          <w:p w14:paraId="3933E754" w14:textId="77777777" w:rsidR="00A47DEE" w:rsidRPr="00F04EBB" w:rsidRDefault="00A47DEE" w:rsidP="00EE0E23">
            <w:pPr>
              <w:autoSpaceDE w:val="0"/>
              <w:autoSpaceDN w:val="0"/>
              <w:adjustRightInd w:val="0"/>
              <w:jc w:val="both"/>
              <w:rPr>
                <w:rFonts w:asciiTheme="minorHAnsi" w:eastAsia="MS Mincho" w:hAnsiTheme="minorHAnsi" w:cstheme="minorHAnsi"/>
                <w:color w:val="0000CC"/>
              </w:rPr>
            </w:pPr>
            <w:r w:rsidRPr="00F04EBB">
              <w:rPr>
                <w:rFonts w:asciiTheme="minorHAnsi" w:eastAsia="MS Mincho" w:hAnsiTheme="minorHAnsi" w:cstheme="minorHAnsi"/>
                <w:color w:val="0000CC"/>
              </w:rPr>
              <w:t>Enjeux</w:t>
            </w:r>
          </w:p>
        </w:tc>
        <w:tc>
          <w:tcPr>
            <w:tcW w:w="7149" w:type="dxa"/>
          </w:tcPr>
          <w:p w14:paraId="173E63F9" w14:textId="77777777" w:rsidR="00A47DEE" w:rsidRPr="00F04EBB" w:rsidRDefault="00A47DEE" w:rsidP="00A47DEE">
            <w:pPr>
              <w:numPr>
                <w:ilvl w:val="0"/>
                <w:numId w:val="372"/>
              </w:numPr>
              <w:suppressAutoHyphens/>
              <w:autoSpaceDE w:val="0"/>
              <w:autoSpaceDN w:val="0"/>
              <w:adjustRightInd w:val="0"/>
              <w:contextualSpacing/>
              <w:jc w:val="lowKashida"/>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lang w:eastAsia="ar-SA"/>
              </w:rPr>
            </w:pPr>
          </w:p>
        </w:tc>
      </w:tr>
    </w:tbl>
    <w:p w14:paraId="18C307C1" w14:textId="77777777" w:rsidR="00A47DEE" w:rsidRPr="00F04EBB" w:rsidRDefault="00A47DEE" w:rsidP="00A47DEE">
      <w:pPr>
        <w:widowControl w:val="0"/>
        <w:spacing w:after="60" w:line="240" w:lineRule="auto"/>
        <w:jc w:val="both"/>
        <w:rPr>
          <w:rFonts w:eastAsia="MS Mincho" w:cstheme="minorHAnsi"/>
          <w:color w:val="000000"/>
          <w:sz w:val="20"/>
          <w:szCs w:val="20"/>
          <w:lang w:eastAsia="ja-JP"/>
        </w:rPr>
      </w:pPr>
    </w:p>
    <w:p w14:paraId="0D0D23B3" w14:textId="77777777" w:rsidR="00A47DEE" w:rsidRPr="00F04EBB" w:rsidRDefault="00A47DEE" w:rsidP="00A47DEE">
      <w:pPr>
        <w:numPr>
          <w:ilvl w:val="0"/>
          <w:numId w:val="375"/>
        </w:numPr>
        <w:spacing w:after="0"/>
        <w:contextualSpacing/>
        <w:jc w:val="lowKashida"/>
        <w:rPr>
          <w:rFonts w:eastAsia="MS Mincho" w:cstheme="minorHAnsi"/>
          <w:b/>
          <w:bCs/>
        </w:rPr>
      </w:pPr>
      <w:bookmarkStart w:id="401" w:name="_Toc458373709"/>
      <w:bookmarkStart w:id="402" w:name="_Toc427659273"/>
      <w:bookmarkStart w:id="403" w:name="_Toc424811245"/>
      <w:bookmarkStart w:id="404" w:name="_Toc424810862"/>
      <w:bookmarkStart w:id="405" w:name="_Toc424810662"/>
      <w:bookmarkStart w:id="406" w:name="_Toc420701751"/>
      <w:bookmarkStart w:id="407" w:name="_Toc420701463"/>
      <w:bookmarkStart w:id="408" w:name="_Toc419024227"/>
      <w:r w:rsidRPr="00F04EBB">
        <w:rPr>
          <w:rFonts w:eastAsia="MS Mincho" w:cstheme="minorHAnsi"/>
          <w:b/>
          <w:bCs/>
        </w:rPr>
        <w:t>Filière blé</w:t>
      </w:r>
      <w:bookmarkEnd w:id="401"/>
      <w:bookmarkEnd w:id="402"/>
      <w:bookmarkEnd w:id="403"/>
      <w:bookmarkEnd w:id="404"/>
      <w:bookmarkEnd w:id="405"/>
      <w:bookmarkEnd w:id="406"/>
      <w:bookmarkEnd w:id="407"/>
      <w:bookmarkEnd w:id="408"/>
    </w:p>
    <w:tbl>
      <w:tblPr>
        <w:tblStyle w:val="Grilleclaire-Accent331"/>
        <w:tblW w:w="9242" w:type="dxa"/>
        <w:tblLook w:val="04A0" w:firstRow="1" w:lastRow="0" w:firstColumn="1" w:lastColumn="0" w:noHBand="0" w:noVBand="1"/>
      </w:tblPr>
      <w:tblGrid>
        <w:gridCol w:w="1911"/>
        <w:gridCol w:w="7331"/>
      </w:tblGrid>
      <w:tr w:rsidR="00A47DEE" w:rsidRPr="00F04EBB" w14:paraId="5FBD35E5" w14:textId="77777777" w:rsidTr="00EE0E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4C1F406D"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Introduction</w:t>
            </w:r>
          </w:p>
        </w:tc>
        <w:tc>
          <w:tcPr>
            <w:tcW w:w="7331" w:type="dxa"/>
            <w:hideMark/>
          </w:tcPr>
          <w:p w14:paraId="65F76A7D" w14:textId="77777777" w:rsidR="00A47DEE" w:rsidRPr="00F04EBB" w:rsidRDefault="00A47DEE" w:rsidP="00EE0E23">
            <w:pPr>
              <w:widowControl w:val="0"/>
              <w:spacing w:after="120"/>
              <w:ind w:hanging="12"/>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 xml:space="preserve">La Mauritanie est un pays grand consommateur de blé et presque totalement dépendant des importations. Introduit avec le palmier dattier, le blé a été traditionnellement cultivé sur de très petites parcelles irriguées au niveau des oasis et en décrue dans les bas-fonds et derrière les barrages. Vu son importance dans la consommation, la production de blé a été soutenue par le Ministère chargé de l’Agriculture dans certaines Wilayas (Trarza, Gorgol </w:t>
            </w:r>
            <w:proofErr w:type="gramStart"/>
            <w:r w:rsidRPr="00F04EBB">
              <w:rPr>
                <w:rFonts w:asciiTheme="minorHAnsi" w:eastAsia="MS Mincho" w:hAnsiTheme="minorHAnsi" w:cstheme="minorHAnsi"/>
                <w:color w:val="000000"/>
                <w:lang w:val="fr-FR" w:eastAsia="ja-JP"/>
              </w:rPr>
              <w:t>et  Tagant</w:t>
            </w:r>
            <w:proofErr w:type="gramEnd"/>
            <w:r w:rsidRPr="00F04EBB">
              <w:rPr>
                <w:rFonts w:asciiTheme="minorHAnsi" w:eastAsia="MS Mincho" w:hAnsiTheme="minorHAnsi" w:cstheme="minorHAnsi"/>
                <w:color w:val="000000"/>
                <w:lang w:val="fr-FR" w:eastAsia="ja-JP"/>
              </w:rPr>
              <w:t>) à partir de la campagne agricole 2009/2010. Ensuite la SDSR, a accordé une attention particulière à cette filière, étant considérée comme suffisamment porteuse d’espoir en raison des fortes potentialités de croissance qu’elle offre.</w:t>
            </w:r>
          </w:p>
        </w:tc>
      </w:tr>
      <w:tr w:rsidR="00A47DEE" w:rsidRPr="00F04EBB" w14:paraId="71EB33C4"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78C96F06"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Productions et zones de production</w:t>
            </w:r>
          </w:p>
          <w:p w14:paraId="62B53B67" w14:textId="77777777" w:rsidR="00A47DEE" w:rsidRPr="00F04EBB" w:rsidRDefault="00A47DEE" w:rsidP="00EE0E23">
            <w:pPr>
              <w:widowControl w:val="0"/>
              <w:spacing w:after="60"/>
              <w:jc w:val="center"/>
              <w:rPr>
                <w:rFonts w:asciiTheme="minorHAnsi" w:eastAsia="MS Mincho" w:hAnsiTheme="minorHAnsi" w:cstheme="minorHAnsi"/>
                <w:color w:val="000000"/>
                <w:lang w:eastAsia="ja-JP"/>
              </w:rPr>
            </w:pPr>
          </w:p>
        </w:tc>
        <w:tc>
          <w:tcPr>
            <w:tcW w:w="7331" w:type="dxa"/>
            <w:hideMark/>
          </w:tcPr>
          <w:p w14:paraId="5DB4D2EE" w14:textId="77777777" w:rsidR="00A47DEE" w:rsidRPr="00F04EBB" w:rsidRDefault="00A47DEE" w:rsidP="00EE0E23">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lang w:val="fr-FR" w:eastAsia="ja-JP"/>
              </w:rPr>
            </w:pPr>
            <w:r w:rsidRPr="00F04EBB">
              <w:rPr>
                <w:rFonts w:asciiTheme="minorHAnsi" w:hAnsiTheme="minorHAnsi" w:cstheme="minorHAnsi"/>
                <w:bCs/>
                <w:color w:val="000000"/>
                <w:lang w:val="fr-FR" w:eastAsia="ja-JP"/>
              </w:rPr>
              <w:t xml:space="preserve">La culture du blé est actuellement pratiquée au niveau des périmètres irrigués et derrières les barrages et digues, dans les wilayas de l’Est (Hodh El Gharbi, du centre (Tagant) du Fleuve (Trarza et Brakna) et du nord (Inchiri, Adrar).  </w:t>
            </w:r>
          </w:p>
          <w:p w14:paraId="7D0CDF9B" w14:textId="77777777" w:rsidR="00A47DEE" w:rsidRPr="00F04EBB" w:rsidRDefault="00A47DEE" w:rsidP="00EE0E23">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bCs/>
                <w:color w:val="000000"/>
                <w:lang w:val="fr-FR" w:eastAsia="ja-JP"/>
              </w:rPr>
              <w:t>La production moyenne des cinq dernières années est 5026 tonnes. Les rendements moyens de la période se situent à 2,24 tonnes par hectare en irrigué et à 1,84 tonnes par hectare en pluvial</w:t>
            </w:r>
            <w:r w:rsidRPr="00F04EBB">
              <w:rPr>
                <w:rFonts w:asciiTheme="minorHAnsi" w:hAnsiTheme="minorHAnsi" w:cstheme="minorHAnsi"/>
                <w:color w:val="000000"/>
                <w:lang w:val="fr-FR" w:eastAsia="ja-JP"/>
              </w:rPr>
              <w:t xml:space="preserve">. </w:t>
            </w:r>
          </w:p>
        </w:tc>
      </w:tr>
      <w:tr w:rsidR="00A47DEE" w:rsidRPr="00F04EBB" w14:paraId="14E697C6" w14:textId="77777777" w:rsidTr="00EE0E23">
        <w:trPr>
          <w:cnfStyle w:val="000000010000" w:firstRow="0" w:lastRow="0" w:firstColumn="0" w:lastColumn="0" w:oddVBand="0" w:evenVBand="0" w:oddHBand="0" w:evenHBand="1" w:firstRowFirstColumn="0" w:firstRowLastColumn="0" w:lastRowFirstColumn="0" w:lastRowLastColumn="0"/>
          <w:trHeight w:val="724"/>
        </w:trPr>
        <w:tc>
          <w:tcPr>
            <w:cnfStyle w:val="001000000000" w:firstRow="0" w:lastRow="0" w:firstColumn="1" w:lastColumn="0" w:oddVBand="0" w:evenVBand="0" w:oddHBand="0" w:evenHBand="0" w:firstRowFirstColumn="0" w:firstRowLastColumn="0" w:lastRowFirstColumn="0" w:lastRowLastColumn="0"/>
            <w:tcW w:w="1911" w:type="dxa"/>
          </w:tcPr>
          <w:p w14:paraId="672DED26"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Structure des exploitations</w:t>
            </w:r>
          </w:p>
          <w:p w14:paraId="67EFA9E3" w14:textId="77777777" w:rsidR="00A47DEE" w:rsidRPr="00F04EBB" w:rsidRDefault="00A47DEE" w:rsidP="00EE0E23">
            <w:pPr>
              <w:widowControl w:val="0"/>
              <w:spacing w:after="60"/>
              <w:jc w:val="center"/>
              <w:rPr>
                <w:rFonts w:asciiTheme="minorHAnsi" w:eastAsia="MS Mincho" w:hAnsiTheme="minorHAnsi" w:cstheme="minorHAnsi"/>
                <w:color w:val="000000"/>
                <w:lang w:eastAsia="ja-JP"/>
              </w:rPr>
            </w:pPr>
          </w:p>
        </w:tc>
        <w:tc>
          <w:tcPr>
            <w:tcW w:w="7331" w:type="dxa"/>
            <w:hideMark/>
          </w:tcPr>
          <w:p w14:paraId="7055568F" w14:textId="77777777" w:rsidR="00A47DEE" w:rsidRPr="00F04EBB" w:rsidRDefault="00A47DEE" w:rsidP="00EE0E23">
            <w:pPr>
              <w:widowControl w:val="0"/>
              <w:spacing w:after="12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lang w:val="fr-FR" w:eastAsia="ja-JP"/>
              </w:rPr>
            </w:pPr>
            <w:r w:rsidRPr="00F04EBB">
              <w:rPr>
                <w:rFonts w:asciiTheme="minorHAnsi" w:hAnsiTheme="minorHAnsi" w:cstheme="minorHAnsi"/>
                <w:bCs/>
                <w:color w:val="000000"/>
                <w:lang w:val="fr-FR" w:eastAsia="ja-JP"/>
              </w:rPr>
              <w:t>La culture du blé est réalisée en contre saison froide au niveau (i) des périmètres irrigués avec de petites et grandes parcelles à l’instar de celles des producteurs rizicoles collectifs et individuels, et (ii) au niveau des zones de cultures derrière barrages et digues avec la même structure que les champs de sorgho. Toutefois, en l’absence d’une pratique de fertilisation, le risque d’appauvrissement rapide des terres se pose.</w:t>
            </w:r>
          </w:p>
        </w:tc>
      </w:tr>
      <w:tr w:rsidR="00A47DEE" w:rsidRPr="00F04EBB" w14:paraId="38B7C71E"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6D594917"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Accès aux intrants</w:t>
            </w:r>
          </w:p>
          <w:p w14:paraId="1555E01C" w14:textId="77777777" w:rsidR="00A47DEE" w:rsidRPr="00F04EBB" w:rsidRDefault="00A47DEE" w:rsidP="00EE0E23">
            <w:pPr>
              <w:widowControl w:val="0"/>
              <w:spacing w:after="60"/>
              <w:jc w:val="center"/>
              <w:rPr>
                <w:rFonts w:asciiTheme="minorHAnsi" w:eastAsia="MS Mincho" w:hAnsiTheme="minorHAnsi" w:cstheme="minorHAnsi"/>
                <w:color w:val="000000"/>
                <w:lang w:eastAsia="ja-JP"/>
              </w:rPr>
            </w:pPr>
          </w:p>
        </w:tc>
        <w:tc>
          <w:tcPr>
            <w:tcW w:w="7331" w:type="dxa"/>
            <w:hideMark/>
          </w:tcPr>
          <w:p w14:paraId="1A834341" w14:textId="77777777" w:rsidR="00A47DEE" w:rsidRPr="00F04EBB" w:rsidRDefault="00A47DEE" w:rsidP="00EE0E23">
            <w:pPr>
              <w:widowControl w:val="0"/>
              <w:tabs>
                <w:tab w:val="left" w:pos="708"/>
              </w:tabs>
              <w:spacing w:after="12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Cs/>
                <w:color w:val="000000"/>
                <w:kern w:val="2"/>
                <w:lang w:val="fr-FR"/>
              </w:rPr>
            </w:pPr>
            <w:r w:rsidRPr="00F04EBB">
              <w:rPr>
                <w:rFonts w:asciiTheme="minorHAnsi" w:eastAsia="Calibri" w:hAnsiTheme="minorHAnsi" w:cstheme="minorHAnsi"/>
                <w:color w:val="000000"/>
                <w:lang w:val="fr-FR" w:eastAsia="ja-JP"/>
              </w:rPr>
              <w:t xml:space="preserve">La filière blé est encore dans sa phase initiale et bénéficie d’une attention particulière en ce qui concerne l’approvisionnement en intrants agricoles. Au cours des premières années, l’Etat s’est chargé de l’acquisition et de la fourniture des semences et des engrais. Actuellement, les producteurs s’approvisionnent sur le marché dans le cadre d’un crédit agricole ou d’un achat direct sur fonds propres. </w:t>
            </w:r>
          </w:p>
        </w:tc>
      </w:tr>
      <w:tr w:rsidR="00A47DEE" w:rsidRPr="00F04EBB" w14:paraId="4014FAAE"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7D5E8DB5"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Stockage et conditionnement</w:t>
            </w:r>
          </w:p>
          <w:p w14:paraId="2F6F415B" w14:textId="77777777" w:rsidR="00A47DEE" w:rsidRPr="00F04EBB" w:rsidRDefault="00A47DEE" w:rsidP="00EE0E23">
            <w:pPr>
              <w:widowControl w:val="0"/>
              <w:spacing w:after="60"/>
              <w:jc w:val="center"/>
              <w:rPr>
                <w:rFonts w:asciiTheme="minorHAnsi" w:eastAsia="MS Mincho" w:hAnsiTheme="minorHAnsi" w:cstheme="minorHAnsi"/>
                <w:color w:val="0000CC"/>
              </w:rPr>
            </w:pPr>
          </w:p>
        </w:tc>
        <w:tc>
          <w:tcPr>
            <w:tcW w:w="7331" w:type="dxa"/>
            <w:hideMark/>
          </w:tcPr>
          <w:p w14:paraId="5A2B096A" w14:textId="77777777" w:rsidR="00A47DEE" w:rsidRPr="00F04EBB" w:rsidRDefault="00A47DEE" w:rsidP="00EE0E23">
            <w:pPr>
              <w:widowControl w:val="0"/>
              <w:tabs>
                <w:tab w:val="left" w:pos="708"/>
              </w:tabs>
              <w:spacing w:after="120"/>
              <w:jc w:val="both"/>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000000"/>
                <w:lang w:val="fr-FR" w:eastAsia="ja-JP"/>
              </w:rPr>
            </w:pPr>
            <w:r w:rsidRPr="00F04EBB">
              <w:rPr>
                <w:rFonts w:asciiTheme="minorHAnsi" w:eastAsia="Calibri" w:hAnsiTheme="minorHAnsi" w:cstheme="minorHAnsi"/>
                <w:color w:val="000000"/>
                <w:lang w:val="fr-FR" w:eastAsia="ja-JP"/>
              </w:rPr>
              <w:t>Au niveau du système irrigué, le stockage et le conditionnement se font de la même manière que le riz, et donc au travers de petits magasins familiaux ou de magasins avec une capacité plus importante pour les grandes exploitations privées. Au niveau de la décrue derrière barrages/digues, le stockage et le conditionnement se fait de la même manière que pour les céréales traditionnelles en pluvial et les mêmes greniers sont utilisés.</w:t>
            </w:r>
          </w:p>
        </w:tc>
      </w:tr>
      <w:tr w:rsidR="00A47DEE" w:rsidRPr="00F04EBB" w14:paraId="46BA5784"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7FE1B083"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Transformation</w:t>
            </w:r>
          </w:p>
          <w:p w14:paraId="103D807D" w14:textId="77777777" w:rsidR="00A47DEE" w:rsidRPr="00F04EBB" w:rsidRDefault="00A47DEE" w:rsidP="00EE0E23">
            <w:pPr>
              <w:widowControl w:val="0"/>
              <w:spacing w:after="60"/>
              <w:jc w:val="center"/>
              <w:rPr>
                <w:rFonts w:asciiTheme="minorHAnsi" w:eastAsia="MS Mincho" w:hAnsiTheme="minorHAnsi" w:cstheme="minorHAnsi"/>
                <w:color w:val="000000"/>
                <w:lang w:eastAsia="ja-JP"/>
              </w:rPr>
            </w:pPr>
          </w:p>
        </w:tc>
        <w:tc>
          <w:tcPr>
            <w:tcW w:w="7331" w:type="dxa"/>
            <w:hideMark/>
          </w:tcPr>
          <w:p w14:paraId="2276E84B" w14:textId="77777777" w:rsidR="00A47DEE" w:rsidRPr="00F04EBB" w:rsidRDefault="00A47DEE" w:rsidP="00EE0E23">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La transformation du blé est faite soit par de petites décortiqueuses qui sont gérées par des petits promoteurs ou des organisations de producteurs au niveau des villages, soit par des propriétaires de moulins au niveau des villages. </w:t>
            </w:r>
          </w:p>
        </w:tc>
      </w:tr>
      <w:tr w:rsidR="00A47DEE" w:rsidRPr="00F04EBB" w14:paraId="3B08D164"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75BC4DB9" w14:textId="77777777" w:rsidR="00A47DEE" w:rsidRPr="00F04EBB" w:rsidRDefault="00A47DEE" w:rsidP="00EE0E23">
            <w:pPr>
              <w:widowControl w:val="0"/>
              <w:tabs>
                <w:tab w:val="left" w:pos="708"/>
              </w:tabs>
              <w:spacing w:after="120"/>
              <w:ind w:left="142"/>
              <w:jc w:val="center"/>
              <w:rPr>
                <w:rFonts w:asciiTheme="minorHAnsi" w:eastAsia="Calibri" w:hAnsiTheme="minorHAnsi" w:cstheme="minorHAnsi"/>
                <w:color w:val="0000CC"/>
              </w:rPr>
            </w:pPr>
            <w:r w:rsidRPr="00F04EBB">
              <w:rPr>
                <w:rFonts w:asciiTheme="minorHAnsi" w:eastAsia="Calibri" w:hAnsiTheme="minorHAnsi" w:cstheme="minorHAnsi"/>
                <w:color w:val="0000CC"/>
              </w:rPr>
              <w:t>Commercialisation et importation</w:t>
            </w:r>
          </w:p>
          <w:p w14:paraId="53FEAC30" w14:textId="77777777" w:rsidR="00A47DEE" w:rsidRPr="00F04EBB" w:rsidRDefault="00A47DEE" w:rsidP="00EE0E23">
            <w:pPr>
              <w:widowControl w:val="0"/>
              <w:tabs>
                <w:tab w:val="left" w:pos="708"/>
              </w:tabs>
              <w:spacing w:after="120"/>
              <w:ind w:left="142"/>
              <w:jc w:val="center"/>
              <w:rPr>
                <w:rFonts w:asciiTheme="minorHAnsi" w:eastAsia="Calibri" w:hAnsiTheme="minorHAnsi" w:cstheme="minorHAnsi"/>
                <w:color w:val="000000"/>
                <w:kern w:val="2"/>
              </w:rPr>
            </w:pPr>
          </w:p>
        </w:tc>
        <w:tc>
          <w:tcPr>
            <w:tcW w:w="7331" w:type="dxa"/>
            <w:hideMark/>
          </w:tcPr>
          <w:p w14:paraId="6C20A28C" w14:textId="77777777" w:rsidR="00A47DEE" w:rsidRPr="00F04EBB" w:rsidRDefault="00A47DEE" w:rsidP="00EE0E23">
            <w:pPr>
              <w:widowControl w:val="0"/>
              <w:spacing w:after="12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La commercialisation de la production nationale de blé se fait selon deux circuits essentiels : (i) la vente directe du blé au niveau des marchés locaux des villages et des villes de la vallée, ou (ii) la vente aux minoteries. Selon les données de la douane, les importations de blé en 2013 se sont élevées à 379 218 tonnes. Ce qui ajouté à la production donne une disponibilité de 385 310 tonnes qui représente environ 1,5 fois la consommation nationale.</w:t>
            </w:r>
          </w:p>
        </w:tc>
      </w:tr>
      <w:tr w:rsidR="00A47DEE" w:rsidRPr="00F04EBB" w14:paraId="4C131816"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5C55BEF8" w14:textId="77777777" w:rsidR="00A47DEE" w:rsidRPr="00F04EBB" w:rsidRDefault="00A47DEE" w:rsidP="00EE0E23">
            <w:pPr>
              <w:widowControl w:val="0"/>
              <w:tabs>
                <w:tab w:val="left" w:pos="708"/>
              </w:tabs>
              <w:spacing w:after="120"/>
              <w:ind w:left="142"/>
              <w:jc w:val="center"/>
              <w:rPr>
                <w:rFonts w:asciiTheme="minorHAnsi" w:eastAsia="Calibri" w:hAnsiTheme="minorHAnsi" w:cstheme="minorHAnsi"/>
                <w:color w:val="0000CC"/>
              </w:rPr>
            </w:pPr>
            <w:r w:rsidRPr="00F04EBB">
              <w:rPr>
                <w:rFonts w:asciiTheme="minorHAnsi" w:eastAsia="Calibri" w:hAnsiTheme="minorHAnsi" w:cstheme="minorHAnsi"/>
                <w:color w:val="0000CC"/>
              </w:rPr>
              <w:t>Consommation</w:t>
            </w:r>
          </w:p>
        </w:tc>
        <w:tc>
          <w:tcPr>
            <w:tcW w:w="7331" w:type="dxa"/>
          </w:tcPr>
          <w:p w14:paraId="608C2189" w14:textId="77777777" w:rsidR="00A47DEE" w:rsidRPr="00F04EBB" w:rsidRDefault="00A47DEE" w:rsidP="00EE0E23">
            <w:pPr>
              <w:widowControl w:val="0"/>
              <w:shd w:val="clear" w:color="auto" w:fill="FFFFFF"/>
              <w:spacing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Sur la base des normes de consommation de 71 Kg par pers et par an (norme CILSS) et du nombre d’habitants recensés (RGPH 2013), les besoins de la Mauritanie en blé en 2013 étaient estimés à 251 153 tonnes. La production nationale qui est de 6 092 tonnes en 2013 ne couvre que 2,3% des besoins du pays soit un gap de 245 061 tonnes. </w:t>
            </w:r>
          </w:p>
          <w:p w14:paraId="7AEF5EC1" w14:textId="77777777" w:rsidR="00A47DEE" w:rsidRPr="00F04EBB" w:rsidRDefault="00A47DEE" w:rsidP="00EE0E23">
            <w:pPr>
              <w:widowControl w:val="0"/>
              <w:spacing w:after="6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p>
        </w:tc>
      </w:tr>
      <w:tr w:rsidR="00A47DEE" w:rsidRPr="00F04EBB" w14:paraId="1B92FECC"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138FD524" w14:textId="77777777" w:rsidR="00A47DEE" w:rsidRPr="00F04EBB" w:rsidRDefault="00A47DEE" w:rsidP="00EE0E23">
            <w:pPr>
              <w:widowControl w:val="0"/>
              <w:tabs>
                <w:tab w:val="left" w:pos="708"/>
              </w:tabs>
              <w:spacing w:after="120"/>
              <w:ind w:left="142"/>
              <w:jc w:val="center"/>
              <w:rPr>
                <w:rFonts w:asciiTheme="minorHAnsi" w:eastAsia="Calibri" w:hAnsiTheme="minorHAnsi" w:cstheme="minorHAnsi"/>
                <w:color w:val="0000CC"/>
              </w:rPr>
            </w:pPr>
            <w:r w:rsidRPr="00F04EBB">
              <w:rPr>
                <w:rFonts w:asciiTheme="minorHAnsi" w:eastAsia="Calibri" w:hAnsiTheme="minorHAnsi" w:cstheme="minorHAnsi"/>
                <w:color w:val="0000CC"/>
              </w:rPr>
              <w:t>Acteurs de la filière</w:t>
            </w:r>
          </w:p>
        </w:tc>
        <w:tc>
          <w:tcPr>
            <w:tcW w:w="7331" w:type="dxa"/>
            <w:hideMark/>
          </w:tcPr>
          <w:p w14:paraId="0FF0950E" w14:textId="77777777" w:rsidR="00A47DEE" w:rsidRPr="00F04EBB" w:rsidRDefault="00A47DEE" w:rsidP="00EE0E23">
            <w:pPr>
              <w:widowControl w:val="0"/>
              <w:shd w:val="clear" w:color="auto" w:fill="FFFFFF"/>
              <w:spacing w:after="120"/>
              <w:ind w:hanging="12"/>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Les acteurs de la filière sont les producteurs et leurs organisations, les structures de l’Etat (Centre de Contrôle de la Qualité des Semences et des Plants (CCQSP), recherche, conseil agricole de la SONADER et des Délégations Régionales), les fournisseurs de biens et prestataires de services pour la production, la transformation et l’écoulement du blé, les ONG et le PTF.</w:t>
            </w:r>
          </w:p>
        </w:tc>
      </w:tr>
      <w:tr w:rsidR="00A47DEE" w:rsidRPr="00F04EBB" w14:paraId="4CDE29B0"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7145A13D" w14:textId="77777777" w:rsidR="00A47DEE" w:rsidRPr="00F04EBB" w:rsidRDefault="00A47DEE" w:rsidP="00EE0E23">
            <w:pPr>
              <w:autoSpaceDE w:val="0"/>
              <w:autoSpaceDN w:val="0"/>
              <w:adjustRightInd w:val="0"/>
              <w:jc w:val="center"/>
              <w:rPr>
                <w:rFonts w:asciiTheme="minorHAnsi" w:eastAsia="MS Mincho" w:hAnsiTheme="minorHAnsi" w:cstheme="minorHAnsi"/>
                <w:i/>
                <w:lang w:eastAsia="ja-JP"/>
              </w:rPr>
            </w:pPr>
            <w:r w:rsidRPr="00F04EBB">
              <w:rPr>
                <w:rFonts w:asciiTheme="minorHAnsi" w:eastAsia="MS Mincho" w:hAnsiTheme="minorHAnsi" w:cstheme="minorHAnsi"/>
                <w:color w:val="0000CC"/>
              </w:rPr>
              <w:t>Contraintes liées à la filière</w:t>
            </w:r>
          </w:p>
          <w:p w14:paraId="174785CB" w14:textId="77777777" w:rsidR="00A47DEE" w:rsidRPr="00F04EBB" w:rsidRDefault="00A47DEE" w:rsidP="00EE0E23">
            <w:pPr>
              <w:widowControl w:val="0"/>
              <w:tabs>
                <w:tab w:val="left" w:pos="708"/>
              </w:tabs>
              <w:spacing w:after="120"/>
              <w:ind w:left="142"/>
              <w:jc w:val="center"/>
              <w:rPr>
                <w:rFonts w:asciiTheme="minorHAnsi" w:eastAsia="Calibri" w:hAnsiTheme="minorHAnsi" w:cstheme="minorHAnsi"/>
                <w:color w:val="0000CC"/>
              </w:rPr>
            </w:pPr>
          </w:p>
        </w:tc>
        <w:tc>
          <w:tcPr>
            <w:tcW w:w="7331" w:type="dxa"/>
            <w:hideMark/>
          </w:tcPr>
          <w:p w14:paraId="2DE46E20" w14:textId="77777777" w:rsidR="00A47DEE" w:rsidRPr="00F04EBB" w:rsidRDefault="00A47DEE" w:rsidP="00EE0E23">
            <w:pPr>
              <w:widowControl w:val="0"/>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La filière blé est confrontée aux mêmes problématiques existantes pour les céréales traditionnelles dans le cas de la culture derrière barrage et celles existantes pour le riz dans le cas de la culture irriguée dans les périmètres de la Vallée. </w:t>
            </w:r>
          </w:p>
          <w:p w14:paraId="2F619000" w14:textId="77777777" w:rsidR="00A47DEE" w:rsidRPr="00F04EBB" w:rsidRDefault="00A47DEE" w:rsidP="00EE0E23">
            <w:pPr>
              <w:widowControl w:val="0"/>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Néanmoins, étant une culture d’introduction plus récente, il faut mettre en exergue parmi ces contraintes, celles concernant (i) la recherche de variétés plus adaptées, (ii) en semences améliorées grâce à leur multiplication et diffusion au niveau des producteurs</w:t>
            </w:r>
            <w:r w:rsidRPr="00F04EBB">
              <w:rPr>
                <w:rFonts w:asciiTheme="minorHAnsi" w:hAnsiTheme="minorHAnsi" w:cstheme="minorHAnsi"/>
                <w:lang w:eastAsia="ja-JP"/>
              </w:rPr>
              <w:footnoteReference w:id="57"/>
            </w:r>
            <w:r w:rsidRPr="00F04EBB">
              <w:rPr>
                <w:rFonts w:asciiTheme="minorHAnsi" w:hAnsiTheme="minorHAnsi" w:cstheme="minorHAnsi"/>
                <w:color w:val="000000"/>
                <w:lang w:val="fr-FR" w:eastAsia="ja-JP"/>
              </w:rPr>
              <w:t>.</w:t>
            </w:r>
          </w:p>
        </w:tc>
      </w:tr>
      <w:tr w:rsidR="00A47DEE" w:rsidRPr="00F04EBB" w14:paraId="0FF7F754"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01F22F0A" w14:textId="77777777" w:rsidR="00A47DEE" w:rsidRPr="00F04EBB" w:rsidRDefault="00A47DEE" w:rsidP="00EE0E23">
            <w:pPr>
              <w:widowControl w:val="0"/>
              <w:tabs>
                <w:tab w:val="left" w:pos="708"/>
              </w:tabs>
              <w:spacing w:after="120"/>
              <w:ind w:left="360"/>
              <w:jc w:val="center"/>
              <w:rPr>
                <w:rFonts w:asciiTheme="minorHAnsi" w:eastAsia="Calibri" w:hAnsiTheme="minorHAnsi" w:cstheme="minorHAnsi"/>
                <w:color w:val="0000CC"/>
              </w:rPr>
            </w:pPr>
            <w:r w:rsidRPr="00F04EBB">
              <w:rPr>
                <w:rFonts w:asciiTheme="minorHAnsi" w:eastAsia="Calibri" w:hAnsiTheme="minorHAnsi" w:cstheme="minorHAnsi"/>
                <w:color w:val="0000CC"/>
              </w:rPr>
              <w:t>Enjeux</w:t>
            </w:r>
          </w:p>
          <w:p w14:paraId="43034DE7" w14:textId="77777777" w:rsidR="00A47DEE" w:rsidRPr="00F04EBB" w:rsidRDefault="00A47DEE" w:rsidP="00EE0E23">
            <w:pPr>
              <w:widowControl w:val="0"/>
              <w:tabs>
                <w:tab w:val="left" w:pos="708"/>
              </w:tabs>
              <w:spacing w:after="120"/>
              <w:ind w:left="142"/>
              <w:jc w:val="center"/>
              <w:rPr>
                <w:rFonts w:asciiTheme="minorHAnsi" w:eastAsia="Calibri" w:hAnsiTheme="minorHAnsi" w:cstheme="minorHAnsi"/>
                <w:color w:val="0000CC"/>
              </w:rPr>
            </w:pPr>
          </w:p>
        </w:tc>
        <w:tc>
          <w:tcPr>
            <w:tcW w:w="7331" w:type="dxa"/>
            <w:hideMark/>
          </w:tcPr>
          <w:p w14:paraId="70D06465" w14:textId="77777777" w:rsidR="00A47DEE" w:rsidRPr="00F04EBB" w:rsidRDefault="00A47DEE" w:rsidP="00EE0E23">
            <w:pPr>
              <w:widowControl w:val="0"/>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Les principaux enjeux de la filière blé peuvent se résumer comme suit :</w:t>
            </w:r>
          </w:p>
          <w:p w14:paraId="05A8607E" w14:textId="77777777" w:rsidR="00A47DEE" w:rsidRPr="00F04EBB" w:rsidRDefault="00A47DEE" w:rsidP="00EE0E23">
            <w:pPr>
              <w:widowControl w:val="0"/>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 (a) la mise en valeur d’une superficie pour produire une quantité de blé permettant la couverture à 16% des besoins du pays à l’horizon 2025,</w:t>
            </w:r>
          </w:p>
          <w:p w14:paraId="278A8789" w14:textId="77777777" w:rsidR="00A47DEE" w:rsidRPr="00F04EBB" w:rsidRDefault="00A47DEE" w:rsidP="00EE0E23">
            <w:pPr>
              <w:widowControl w:val="0"/>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 (b) une gestion rentable et durable des périmètres emblavés en blé et des infrastructures structurantes les desservant, ainsi que des digues et barrages permettant la culture du blé en décrue </w:t>
            </w:r>
          </w:p>
          <w:p w14:paraId="087E4A5F" w14:textId="77777777" w:rsidR="00A47DEE" w:rsidRPr="00F04EBB" w:rsidRDefault="00A47DEE" w:rsidP="00EE0E23">
            <w:pPr>
              <w:widowControl w:val="0"/>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(c) une gestion durable des infrastructures hydroagricoles ou d’intérêt général ayant des retombées sur la culture du blé </w:t>
            </w:r>
          </w:p>
          <w:p w14:paraId="6FF7C971" w14:textId="77777777" w:rsidR="00A47DEE" w:rsidRPr="00F04EBB" w:rsidRDefault="00A47DEE" w:rsidP="00EE0E23">
            <w:pPr>
              <w:widowControl w:val="0"/>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(d) la constitution d’une filière rentable et compétitive, avec des acteurs organisés en réseaux ce qui suppose le renforcement de leurs capacités d’organisation et de gestion.</w:t>
            </w:r>
          </w:p>
        </w:tc>
      </w:tr>
    </w:tbl>
    <w:p w14:paraId="36D80DFC" w14:textId="77777777" w:rsidR="00A47DEE" w:rsidRPr="00F04EBB" w:rsidRDefault="00A47DEE" w:rsidP="00A47DEE">
      <w:pPr>
        <w:spacing w:after="0" w:line="240" w:lineRule="auto"/>
        <w:rPr>
          <w:rFonts w:eastAsia="MS Mincho" w:cstheme="minorHAnsi"/>
          <w:sz w:val="28"/>
          <w:szCs w:val="28"/>
          <w:lang w:eastAsia="ja-JP"/>
        </w:rPr>
      </w:pPr>
    </w:p>
    <w:p w14:paraId="199D466E" w14:textId="77777777" w:rsidR="00A47DEE" w:rsidRPr="00F04EBB" w:rsidRDefault="00A47DEE" w:rsidP="00A47DEE">
      <w:pPr>
        <w:numPr>
          <w:ilvl w:val="0"/>
          <w:numId w:val="375"/>
        </w:numPr>
        <w:spacing w:after="0"/>
        <w:contextualSpacing/>
        <w:jc w:val="lowKashida"/>
        <w:rPr>
          <w:rFonts w:eastAsia="MS Mincho" w:cstheme="minorHAnsi"/>
          <w:b/>
          <w:bCs/>
        </w:rPr>
      </w:pPr>
      <w:bookmarkStart w:id="409" w:name="_Toc427659274"/>
      <w:bookmarkStart w:id="410" w:name="_Toc424811246"/>
      <w:bookmarkStart w:id="411" w:name="_Toc424810863"/>
      <w:bookmarkStart w:id="412" w:name="_Toc424810663"/>
      <w:bookmarkStart w:id="413" w:name="_Toc420701752"/>
      <w:bookmarkStart w:id="414" w:name="_Toc420701464"/>
      <w:bookmarkStart w:id="415" w:name="_Toc419024228"/>
      <w:bookmarkStart w:id="416" w:name="_Toc458373710"/>
      <w:r w:rsidRPr="00F04EBB">
        <w:rPr>
          <w:rFonts w:eastAsia="MS Mincho" w:cstheme="minorHAnsi"/>
          <w:b/>
          <w:bCs/>
        </w:rPr>
        <w:t xml:space="preserve">Filière horticulture </w:t>
      </w:r>
      <w:bookmarkEnd w:id="409"/>
      <w:bookmarkEnd w:id="410"/>
      <w:bookmarkEnd w:id="411"/>
      <w:bookmarkEnd w:id="412"/>
      <w:bookmarkEnd w:id="413"/>
      <w:bookmarkEnd w:id="414"/>
      <w:bookmarkEnd w:id="415"/>
      <w:r w:rsidRPr="00F04EBB">
        <w:rPr>
          <w:rFonts w:eastAsia="MS Mincho" w:cstheme="minorHAnsi"/>
          <w:b/>
          <w:bCs/>
        </w:rPr>
        <w:t>(fruits et légumes)</w:t>
      </w:r>
      <w:bookmarkEnd w:id="416"/>
    </w:p>
    <w:tbl>
      <w:tblPr>
        <w:tblStyle w:val="Grilleclaire-Accent331"/>
        <w:tblW w:w="9242" w:type="dxa"/>
        <w:tblLook w:val="04A0" w:firstRow="1" w:lastRow="0" w:firstColumn="1" w:lastColumn="0" w:noHBand="0" w:noVBand="1"/>
      </w:tblPr>
      <w:tblGrid>
        <w:gridCol w:w="1911"/>
        <w:gridCol w:w="7331"/>
      </w:tblGrid>
      <w:tr w:rsidR="00A47DEE" w:rsidRPr="00F04EBB" w14:paraId="5AD78858" w14:textId="77777777" w:rsidTr="00EE0E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41A3A12F"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Introduction</w:t>
            </w:r>
          </w:p>
        </w:tc>
        <w:tc>
          <w:tcPr>
            <w:tcW w:w="7331" w:type="dxa"/>
            <w:hideMark/>
          </w:tcPr>
          <w:p w14:paraId="3D6B5CE5" w14:textId="77777777" w:rsidR="00A47DEE" w:rsidRPr="00F04EBB" w:rsidRDefault="00A47DEE" w:rsidP="00EE0E2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L’horticulture (fruits et légumes principalement) est l’une des filières les plus dynamiques du secteur agricole en Mauritanie, en raison de la permanence de ses activités dans certaines zones, du nombre de pratiquants au niveau national, de la diversité des espèces cultivées et des régions touchées. De plus, le maraîchage joue un rôle important dans la sécurité alimentaire et la lutte contre la pauvreté du fait qu'il constitue une occupation et une activité génératrice de revenus surtout pour les femmes et les jeunes.</w:t>
            </w:r>
          </w:p>
        </w:tc>
      </w:tr>
      <w:tr w:rsidR="00A47DEE" w:rsidRPr="00F04EBB" w14:paraId="19F5EFE9"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199678EE" w14:textId="77777777" w:rsidR="00A47DEE" w:rsidRPr="00F04EBB" w:rsidRDefault="00A47DEE" w:rsidP="00EE0E23">
            <w:pPr>
              <w:widowControl w:val="0"/>
              <w:tabs>
                <w:tab w:val="left" w:pos="708"/>
              </w:tabs>
              <w:jc w:val="center"/>
              <w:rPr>
                <w:rFonts w:asciiTheme="minorHAnsi" w:eastAsia="Calibri" w:hAnsiTheme="minorHAnsi" w:cstheme="minorHAnsi"/>
                <w:color w:val="0000CC"/>
              </w:rPr>
            </w:pPr>
            <w:r w:rsidRPr="00F04EBB">
              <w:rPr>
                <w:rFonts w:asciiTheme="minorHAnsi" w:eastAsia="Calibri" w:hAnsiTheme="minorHAnsi" w:cstheme="minorHAnsi"/>
                <w:color w:val="0000CC"/>
              </w:rPr>
              <w:t>Productions et zones de production</w:t>
            </w:r>
          </w:p>
          <w:p w14:paraId="3CA9F796" w14:textId="77777777" w:rsidR="00A47DEE" w:rsidRPr="00F04EBB" w:rsidRDefault="00A47DEE" w:rsidP="00EE0E23">
            <w:pPr>
              <w:widowControl w:val="0"/>
              <w:jc w:val="center"/>
              <w:rPr>
                <w:rFonts w:asciiTheme="minorHAnsi" w:eastAsia="MS Mincho" w:hAnsiTheme="minorHAnsi" w:cstheme="minorHAnsi"/>
                <w:color w:val="000000"/>
                <w:lang w:eastAsia="ja-JP"/>
              </w:rPr>
            </w:pPr>
          </w:p>
        </w:tc>
        <w:tc>
          <w:tcPr>
            <w:tcW w:w="7331" w:type="dxa"/>
            <w:hideMark/>
          </w:tcPr>
          <w:p w14:paraId="5F8C0703" w14:textId="77777777" w:rsidR="00A47DEE" w:rsidRPr="00F04EBB" w:rsidRDefault="00A47DEE" w:rsidP="00EE0E23">
            <w:pPr>
              <w:widowControl w:val="0"/>
              <w:tabs>
                <w:tab w:val="left" w:pos="708"/>
              </w:tabs>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lang w:val="fr-FR" w:eastAsia="ja-JP"/>
              </w:rPr>
            </w:pPr>
            <w:r w:rsidRPr="00F04EBB">
              <w:rPr>
                <w:rFonts w:asciiTheme="minorHAnsi" w:eastAsia="Calibri" w:hAnsiTheme="minorHAnsi" w:cstheme="minorHAnsi"/>
                <w:color w:val="000000"/>
                <w:lang w:val="fr-FR" w:eastAsia="ja-JP"/>
              </w:rPr>
              <w:t xml:space="preserve">Les cultures maraîchères en Mauritanie se développent au niveau des périmètres irrigués dans les zones objet d’aménagements hydro-agricoles, ainsi qu’au niveau des jardins maraîchers dotés de puits, tant au niveau des villages que des </w:t>
            </w:r>
            <w:proofErr w:type="gramStart"/>
            <w:r w:rsidRPr="00F04EBB">
              <w:rPr>
                <w:rFonts w:asciiTheme="minorHAnsi" w:eastAsia="Calibri" w:hAnsiTheme="minorHAnsi" w:cstheme="minorHAnsi"/>
                <w:color w:val="000000"/>
                <w:lang w:val="fr-FR" w:eastAsia="ja-JP"/>
              </w:rPr>
              <w:t>oasis .</w:t>
            </w:r>
            <w:proofErr w:type="gramEnd"/>
            <w:r w:rsidRPr="00F04EBB">
              <w:rPr>
                <w:rFonts w:asciiTheme="minorHAnsi" w:eastAsia="Calibri" w:hAnsiTheme="minorHAnsi" w:cstheme="minorHAnsi"/>
                <w:color w:val="000000"/>
                <w:lang w:val="fr-FR" w:eastAsia="ja-JP"/>
              </w:rPr>
              <w:t xml:space="preserve"> La production nationale annuelle varie entre 40 000 et 50 000 tonnes toutes espèces confondues</w:t>
            </w:r>
            <w:r w:rsidRPr="00F04EBB">
              <w:rPr>
                <w:rFonts w:asciiTheme="minorHAnsi" w:eastAsia="Calibri" w:hAnsiTheme="minorHAnsi" w:cstheme="minorHAnsi"/>
                <w:kern w:val="2"/>
                <w:sz w:val="24"/>
                <w:szCs w:val="24"/>
                <w:lang w:val="fr-FR"/>
              </w:rPr>
              <w:t xml:space="preserve">. </w:t>
            </w:r>
            <w:r w:rsidRPr="00F04EBB">
              <w:rPr>
                <w:rFonts w:asciiTheme="minorHAnsi" w:eastAsia="Calibri" w:hAnsiTheme="minorHAnsi" w:cstheme="minorHAnsi"/>
                <w:color w:val="000000"/>
                <w:lang w:val="fr-FR" w:eastAsia="ja-JP"/>
              </w:rPr>
              <w:t xml:space="preserve">L’arboriculture fruitière est très peu développée et de manière très sporadique des arbres fruitiers se trouvent dans les oasis. Seule la banane commence à être objet d’investissement dans la région du Trarza. Des expériences existent au niveau de la station de recherche du CNRADA de Rindiao (Kaedi), d’une superficie de 25 ha. </w:t>
            </w:r>
          </w:p>
        </w:tc>
      </w:tr>
      <w:tr w:rsidR="00A47DEE" w:rsidRPr="00F04EBB" w14:paraId="49B79015" w14:textId="77777777" w:rsidTr="00EE0E23">
        <w:trPr>
          <w:cnfStyle w:val="000000010000" w:firstRow="0" w:lastRow="0" w:firstColumn="0" w:lastColumn="0" w:oddVBand="0" w:evenVBand="0" w:oddHBand="0" w:evenHBand="1" w:firstRowFirstColumn="0" w:firstRowLastColumn="0" w:lastRowFirstColumn="0" w:lastRowLastColumn="0"/>
          <w:trHeight w:val="724"/>
        </w:trPr>
        <w:tc>
          <w:tcPr>
            <w:cnfStyle w:val="001000000000" w:firstRow="0" w:lastRow="0" w:firstColumn="1" w:lastColumn="0" w:oddVBand="0" w:evenVBand="0" w:oddHBand="0" w:evenHBand="0" w:firstRowFirstColumn="0" w:firstRowLastColumn="0" w:lastRowFirstColumn="0" w:lastRowLastColumn="0"/>
            <w:tcW w:w="1911" w:type="dxa"/>
          </w:tcPr>
          <w:p w14:paraId="0B016DC1" w14:textId="77777777" w:rsidR="00A47DEE" w:rsidRPr="00F04EBB" w:rsidRDefault="00A47DEE" w:rsidP="00EE0E23">
            <w:pPr>
              <w:widowControl w:val="0"/>
              <w:tabs>
                <w:tab w:val="left" w:pos="708"/>
              </w:tabs>
              <w:jc w:val="center"/>
              <w:rPr>
                <w:rFonts w:asciiTheme="minorHAnsi" w:eastAsia="Calibri" w:hAnsiTheme="minorHAnsi" w:cstheme="minorHAnsi"/>
                <w:color w:val="0000CC"/>
              </w:rPr>
            </w:pPr>
            <w:r w:rsidRPr="00F04EBB">
              <w:rPr>
                <w:rFonts w:asciiTheme="minorHAnsi" w:eastAsia="Calibri" w:hAnsiTheme="minorHAnsi" w:cstheme="minorHAnsi"/>
                <w:color w:val="0000CC"/>
              </w:rPr>
              <w:t>Structure des exploitations</w:t>
            </w:r>
          </w:p>
          <w:p w14:paraId="50DC29C1" w14:textId="77777777" w:rsidR="00A47DEE" w:rsidRPr="00F04EBB" w:rsidRDefault="00A47DEE" w:rsidP="00EE0E23">
            <w:pPr>
              <w:widowControl w:val="0"/>
              <w:jc w:val="center"/>
              <w:rPr>
                <w:rFonts w:asciiTheme="minorHAnsi" w:eastAsia="MS Mincho" w:hAnsiTheme="minorHAnsi" w:cstheme="minorHAnsi"/>
                <w:color w:val="000000"/>
                <w:lang w:eastAsia="ja-JP"/>
              </w:rPr>
            </w:pPr>
          </w:p>
        </w:tc>
        <w:tc>
          <w:tcPr>
            <w:tcW w:w="7331" w:type="dxa"/>
          </w:tcPr>
          <w:p w14:paraId="293AA423" w14:textId="77777777" w:rsidR="00A47DEE" w:rsidRPr="00F04EBB" w:rsidRDefault="00A47DEE" w:rsidP="00EE0E23">
            <w:pPr>
              <w:widowControl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eastAsia="ja-JP"/>
              </w:rPr>
            </w:pPr>
          </w:p>
        </w:tc>
      </w:tr>
      <w:tr w:rsidR="00A47DEE" w:rsidRPr="00F04EBB" w14:paraId="07B5A06A"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221F4667" w14:textId="77777777" w:rsidR="00A47DEE" w:rsidRPr="00F04EBB" w:rsidRDefault="00A47DEE" w:rsidP="00EE0E23">
            <w:pPr>
              <w:widowControl w:val="0"/>
              <w:tabs>
                <w:tab w:val="left" w:pos="708"/>
              </w:tabs>
              <w:jc w:val="center"/>
              <w:rPr>
                <w:rFonts w:asciiTheme="minorHAnsi" w:eastAsia="Calibri" w:hAnsiTheme="minorHAnsi" w:cstheme="minorHAnsi"/>
                <w:color w:val="0000CC"/>
              </w:rPr>
            </w:pPr>
            <w:r w:rsidRPr="00F04EBB">
              <w:rPr>
                <w:rFonts w:asciiTheme="minorHAnsi" w:eastAsia="Calibri" w:hAnsiTheme="minorHAnsi" w:cstheme="minorHAnsi"/>
                <w:color w:val="0000CC"/>
              </w:rPr>
              <w:t>Accès aux intrants</w:t>
            </w:r>
          </w:p>
          <w:p w14:paraId="24DCAFEA" w14:textId="77777777" w:rsidR="00A47DEE" w:rsidRPr="00F04EBB" w:rsidRDefault="00A47DEE" w:rsidP="00EE0E23">
            <w:pPr>
              <w:widowControl w:val="0"/>
              <w:jc w:val="center"/>
              <w:rPr>
                <w:rFonts w:asciiTheme="minorHAnsi" w:eastAsia="MS Mincho" w:hAnsiTheme="minorHAnsi" w:cstheme="minorHAnsi"/>
                <w:color w:val="000000"/>
                <w:lang w:eastAsia="ja-JP"/>
              </w:rPr>
            </w:pPr>
          </w:p>
        </w:tc>
        <w:tc>
          <w:tcPr>
            <w:tcW w:w="7331" w:type="dxa"/>
            <w:hideMark/>
          </w:tcPr>
          <w:p w14:paraId="41557D53" w14:textId="77777777" w:rsidR="00A47DEE" w:rsidRPr="00F04EBB" w:rsidRDefault="00A47DEE" w:rsidP="00EE0E23">
            <w:pPr>
              <w:widowControl w:val="0"/>
              <w:tabs>
                <w:tab w:val="left" w:pos="708"/>
              </w:tabs>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kern w:val="2"/>
                <w:lang w:val="fr-FR"/>
              </w:rPr>
            </w:pPr>
            <w:r w:rsidRPr="00F04EBB">
              <w:rPr>
                <w:rFonts w:asciiTheme="minorHAnsi" w:eastAsia="Calibri" w:hAnsiTheme="minorHAnsi" w:cstheme="minorHAnsi"/>
                <w:color w:val="000000"/>
                <w:lang w:val="fr-FR" w:eastAsia="ja-JP"/>
              </w:rPr>
              <w:t>La capacité d’accès des producteurs aux semences de qualité ainsi qu’aux autres intrants (engrais et produits phytosanitaires) est assez limitée. Souvent les producteurs dépendent des projets et des services de l’Etat qui achètent auprès des commerçants placés surtout à Nouakchott et qui les importent de l’Europe, du Maroc, du Sénégal et du Mali.</w:t>
            </w:r>
          </w:p>
        </w:tc>
      </w:tr>
      <w:tr w:rsidR="00A47DEE" w:rsidRPr="00F04EBB" w14:paraId="499EFE8E"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5DD7AC04" w14:textId="77777777" w:rsidR="00A47DEE" w:rsidRPr="00F04EBB" w:rsidRDefault="00A47DEE" w:rsidP="00EE0E23">
            <w:pPr>
              <w:widowControl w:val="0"/>
              <w:tabs>
                <w:tab w:val="left" w:pos="708"/>
              </w:tabs>
              <w:jc w:val="center"/>
              <w:rPr>
                <w:rFonts w:asciiTheme="minorHAnsi" w:eastAsia="Calibri" w:hAnsiTheme="minorHAnsi" w:cstheme="minorHAnsi"/>
                <w:color w:val="0000CC"/>
              </w:rPr>
            </w:pPr>
            <w:r w:rsidRPr="00F04EBB">
              <w:rPr>
                <w:rFonts w:asciiTheme="minorHAnsi" w:eastAsia="Calibri" w:hAnsiTheme="minorHAnsi" w:cstheme="minorHAnsi"/>
                <w:color w:val="0000CC"/>
              </w:rPr>
              <w:t>Stockage et conditionnement</w:t>
            </w:r>
          </w:p>
          <w:p w14:paraId="35EF076C" w14:textId="77777777" w:rsidR="00A47DEE" w:rsidRPr="00F04EBB" w:rsidRDefault="00A47DEE" w:rsidP="00EE0E23">
            <w:pPr>
              <w:widowControl w:val="0"/>
              <w:jc w:val="center"/>
              <w:rPr>
                <w:rFonts w:asciiTheme="minorHAnsi" w:eastAsia="MS Mincho" w:hAnsiTheme="minorHAnsi" w:cstheme="minorHAnsi"/>
                <w:color w:val="0000CC"/>
              </w:rPr>
            </w:pPr>
          </w:p>
        </w:tc>
        <w:tc>
          <w:tcPr>
            <w:tcW w:w="7331" w:type="dxa"/>
            <w:hideMark/>
          </w:tcPr>
          <w:p w14:paraId="2DFC7847" w14:textId="77777777" w:rsidR="00A47DEE" w:rsidRPr="00F04EBB" w:rsidRDefault="00A47DEE" w:rsidP="00EE0E23">
            <w:pPr>
              <w:widowControl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Le stockage intéresse surtout les oignons pour lequel sont utilisés des systèmes traditionnels qui déterminent des fortes pertes. Les chambres froides pour la gestion des stocks des produits horticoles sont presqu’inexistantes. Actuellement il y a des petites unités installées essentiellement autour du grand marché de légumes à Nouakchott. A Atar une station privée pour le conditionnement des fruits et légumes est fonctionnelle. Il y a d’autres infrastructures de stockage réalisé par le PDIAIM, le PAHABO et </w:t>
            </w:r>
            <w:proofErr w:type="spellStart"/>
            <w:r w:rsidRPr="00F04EBB">
              <w:rPr>
                <w:rFonts w:asciiTheme="minorHAnsi" w:hAnsiTheme="minorHAnsi" w:cstheme="minorHAnsi"/>
                <w:color w:val="000000"/>
                <w:lang w:val="fr-FR" w:eastAsia="ja-JP"/>
              </w:rPr>
              <w:t>et</w:t>
            </w:r>
            <w:proofErr w:type="spellEnd"/>
            <w:r w:rsidRPr="00F04EBB">
              <w:rPr>
                <w:rFonts w:asciiTheme="minorHAnsi" w:hAnsiTheme="minorHAnsi" w:cstheme="minorHAnsi"/>
                <w:color w:val="000000"/>
                <w:lang w:val="fr-FR" w:eastAsia="ja-JP"/>
              </w:rPr>
              <w:t xml:space="preserve"> ProLPRAF. Le conditionnement et l’emballage des produits maraîchers se basent souvent sur des techniques traditionnelles et l’utilisation de sacs en polyéthylène ou jute de 50 kg. </w:t>
            </w:r>
          </w:p>
        </w:tc>
      </w:tr>
      <w:tr w:rsidR="00A47DEE" w:rsidRPr="00F04EBB" w14:paraId="78A8E82C"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7398615A" w14:textId="77777777" w:rsidR="00A47DEE" w:rsidRPr="00F04EBB" w:rsidRDefault="00A47DEE" w:rsidP="00EE0E23">
            <w:pPr>
              <w:widowControl w:val="0"/>
              <w:tabs>
                <w:tab w:val="left" w:pos="708"/>
              </w:tabs>
              <w:jc w:val="center"/>
              <w:rPr>
                <w:rFonts w:asciiTheme="minorHAnsi" w:eastAsia="Calibri" w:hAnsiTheme="minorHAnsi" w:cstheme="minorHAnsi"/>
                <w:color w:val="0000CC"/>
              </w:rPr>
            </w:pPr>
            <w:r w:rsidRPr="00F04EBB">
              <w:rPr>
                <w:rFonts w:asciiTheme="minorHAnsi" w:eastAsia="Calibri" w:hAnsiTheme="minorHAnsi" w:cstheme="minorHAnsi"/>
                <w:color w:val="0000CC"/>
              </w:rPr>
              <w:t>Transformation</w:t>
            </w:r>
          </w:p>
          <w:p w14:paraId="37DBBCBF" w14:textId="77777777" w:rsidR="00A47DEE" w:rsidRPr="00F04EBB" w:rsidRDefault="00A47DEE" w:rsidP="00EE0E23">
            <w:pPr>
              <w:widowControl w:val="0"/>
              <w:jc w:val="center"/>
              <w:rPr>
                <w:rFonts w:asciiTheme="minorHAnsi" w:eastAsia="MS Mincho" w:hAnsiTheme="minorHAnsi" w:cstheme="minorHAnsi"/>
                <w:color w:val="000000"/>
                <w:lang w:eastAsia="ja-JP"/>
              </w:rPr>
            </w:pPr>
          </w:p>
        </w:tc>
        <w:tc>
          <w:tcPr>
            <w:tcW w:w="7331" w:type="dxa"/>
            <w:hideMark/>
          </w:tcPr>
          <w:p w14:paraId="03E4B964" w14:textId="77777777" w:rsidR="00A47DEE" w:rsidRPr="00F04EBB" w:rsidRDefault="00A47DEE" w:rsidP="00EE0E23">
            <w:pPr>
              <w:widowControl w:val="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La transformation des produits maraîchers est très peu effectuée. Le séchage, à l’exception de celui de l’oignon, n’est pas tellement développé à cause de la faible demande du marché et/ou de la mauvaise qualité du produit fini. </w:t>
            </w:r>
          </w:p>
        </w:tc>
      </w:tr>
      <w:tr w:rsidR="00A47DEE" w:rsidRPr="00F04EBB" w14:paraId="2C7B9B02"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02DFDEB1" w14:textId="77777777" w:rsidR="00A47DEE" w:rsidRPr="00F04EBB" w:rsidRDefault="00A47DEE" w:rsidP="00EE0E23">
            <w:pPr>
              <w:widowControl w:val="0"/>
              <w:tabs>
                <w:tab w:val="left" w:pos="708"/>
              </w:tabs>
              <w:ind w:left="142"/>
              <w:jc w:val="center"/>
              <w:rPr>
                <w:rFonts w:asciiTheme="minorHAnsi" w:eastAsia="Calibri" w:hAnsiTheme="minorHAnsi" w:cstheme="minorHAnsi"/>
                <w:color w:val="0000CC"/>
              </w:rPr>
            </w:pPr>
            <w:r w:rsidRPr="00F04EBB">
              <w:rPr>
                <w:rFonts w:asciiTheme="minorHAnsi" w:eastAsia="Calibri" w:hAnsiTheme="minorHAnsi" w:cstheme="minorHAnsi"/>
                <w:color w:val="0000CC"/>
              </w:rPr>
              <w:t>Commercialisation et importation</w:t>
            </w:r>
          </w:p>
          <w:p w14:paraId="616EE5C5" w14:textId="77777777" w:rsidR="00A47DEE" w:rsidRPr="00F04EBB" w:rsidRDefault="00A47DEE" w:rsidP="00EE0E23">
            <w:pPr>
              <w:widowControl w:val="0"/>
              <w:tabs>
                <w:tab w:val="left" w:pos="708"/>
              </w:tabs>
              <w:ind w:left="142"/>
              <w:jc w:val="center"/>
              <w:rPr>
                <w:rFonts w:asciiTheme="minorHAnsi" w:eastAsia="Calibri" w:hAnsiTheme="minorHAnsi" w:cstheme="minorHAnsi"/>
                <w:color w:val="000000"/>
                <w:kern w:val="2"/>
              </w:rPr>
            </w:pPr>
          </w:p>
        </w:tc>
        <w:tc>
          <w:tcPr>
            <w:tcW w:w="7331" w:type="dxa"/>
            <w:hideMark/>
          </w:tcPr>
          <w:p w14:paraId="76719C9E" w14:textId="1AC6AE02" w:rsidR="00A47DEE" w:rsidRPr="00F04EBB" w:rsidRDefault="00A47DEE" w:rsidP="00EE0E23">
            <w:pPr>
              <w:widowControl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La production maraîchère nationale est commercialisée selon deux principaux circuits : a) la vente directe du producteur au niveau du marché local ou des centres </w:t>
            </w:r>
            <w:r w:rsidR="003E241E" w:rsidRPr="00F04EBB">
              <w:rPr>
                <w:rFonts w:asciiTheme="minorHAnsi" w:hAnsiTheme="minorHAnsi" w:cstheme="minorHAnsi"/>
                <w:color w:val="000000"/>
                <w:lang w:val="fr-FR" w:eastAsia="ja-JP"/>
              </w:rPr>
              <w:t>urbains ;</w:t>
            </w:r>
            <w:r w:rsidRPr="00F04EBB">
              <w:rPr>
                <w:rFonts w:asciiTheme="minorHAnsi" w:hAnsiTheme="minorHAnsi" w:cstheme="minorHAnsi"/>
                <w:color w:val="000000"/>
                <w:lang w:val="fr-FR" w:eastAsia="ja-JP"/>
              </w:rPr>
              <w:t xml:space="preserve"> b) la vente bord champs aux intermédiaires, qui ensuite commercialisent les produits au niveau des centres urbains. Le principal marché est celui de Nouakchott. </w:t>
            </w:r>
          </w:p>
          <w:p w14:paraId="7F92595F" w14:textId="530E4975" w:rsidR="00A47DEE" w:rsidRPr="00F04EBB" w:rsidRDefault="00A47DEE" w:rsidP="00EE0E23">
            <w:pPr>
              <w:widowControl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Les productions nationales sont insuffisantes pour satisfaire la demande. En 2014 sur un total d’environ 143 334 tonnes de produits maraîchers frais importés pour une valeur CAF de 6 340 850 860 UM. L’importation de fruits en 2014 a été égale à 24 110 tonnes dont 3 977 de bananes 16%, (</w:t>
            </w:r>
            <w:r w:rsidR="003E241E" w:rsidRPr="00F04EBB">
              <w:rPr>
                <w:rFonts w:asciiTheme="minorHAnsi" w:hAnsiTheme="minorHAnsi" w:cstheme="minorHAnsi"/>
                <w:color w:val="000000"/>
                <w:lang w:val="fr-FR" w:eastAsia="ja-JP"/>
              </w:rPr>
              <w:t>sources :</w:t>
            </w:r>
            <w:r w:rsidRPr="00F04EBB">
              <w:rPr>
                <w:rFonts w:asciiTheme="minorHAnsi" w:hAnsiTheme="minorHAnsi" w:cstheme="minorHAnsi"/>
                <w:color w:val="000000"/>
                <w:lang w:val="fr-FR" w:eastAsia="ja-JP"/>
              </w:rPr>
              <w:t xml:space="preserve"> Douane). La quantité élevée de ces derniers comprend aussi un quota dont les destinations finales sont les pays voisins.</w:t>
            </w:r>
          </w:p>
        </w:tc>
      </w:tr>
      <w:tr w:rsidR="00A47DEE" w:rsidRPr="00F04EBB" w14:paraId="73804F35"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1CF65B31" w14:textId="77777777" w:rsidR="00A47DEE" w:rsidRPr="00F04EBB" w:rsidRDefault="00A47DEE" w:rsidP="00EE0E23">
            <w:pPr>
              <w:widowControl w:val="0"/>
              <w:tabs>
                <w:tab w:val="left" w:pos="708"/>
              </w:tabs>
              <w:ind w:left="142"/>
              <w:jc w:val="center"/>
              <w:rPr>
                <w:rFonts w:asciiTheme="minorHAnsi" w:eastAsia="Calibri" w:hAnsiTheme="minorHAnsi" w:cstheme="minorHAnsi"/>
                <w:color w:val="0000CC"/>
              </w:rPr>
            </w:pPr>
            <w:r w:rsidRPr="00F04EBB">
              <w:rPr>
                <w:rFonts w:asciiTheme="minorHAnsi" w:eastAsia="Calibri" w:hAnsiTheme="minorHAnsi" w:cstheme="minorHAnsi"/>
                <w:color w:val="0000CC"/>
              </w:rPr>
              <w:t>Consommation</w:t>
            </w:r>
          </w:p>
        </w:tc>
        <w:tc>
          <w:tcPr>
            <w:tcW w:w="7331" w:type="dxa"/>
            <w:hideMark/>
          </w:tcPr>
          <w:p w14:paraId="32153ADF" w14:textId="77777777" w:rsidR="00A47DEE" w:rsidRPr="00F04EBB" w:rsidRDefault="00A47DEE" w:rsidP="00EE0E23">
            <w:pPr>
              <w:widowControl w:val="0"/>
              <w:tabs>
                <w:tab w:val="left" w:pos="708"/>
              </w:tabs>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lang w:val="fr-FR" w:eastAsia="ja-JP"/>
              </w:rPr>
            </w:pPr>
            <w:r w:rsidRPr="00F04EBB">
              <w:rPr>
                <w:rFonts w:asciiTheme="minorHAnsi" w:eastAsia="Calibri" w:hAnsiTheme="minorHAnsi" w:cstheme="minorHAnsi"/>
                <w:color w:val="000000"/>
                <w:lang w:val="fr-FR" w:eastAsia="ja-JP"/>
              </w:rPr>
              <w:t xml:space="preserve">Sur la base des productions de la campagne 2012-2013 et des importations en 2013 de produits maraîchers frais, il est estimé un besoin qui dépasse 173 000 tonnes par an avec une moyenne par personne d’environ 49 Kg dont plus de 15 kg d’oignon et environ 9 Kg de pomme de terre. </w:t>
            </w:r>
          </w:p>
        </w:tc>
      </w:tr>
      <w:tr w:rsidR="00A47DEE" w:rsidRPr="00F04EBB" w14:paraId="1461CC5F"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1C6B8810" w14:textId="77777777" w:rsidR="00A47DEE" w:rsidRPr="00F04EBB" w:rsidRDefault="00A47DEE" w:rsidP="00EE0E23">
            <w:pPr>
              <w:widowControl w:val="0"/>
              <w:tabs>
                <w:tab w:val="left" w:pos="708"/>
              </w:tabs>
              <w:ind w:left="142"/>
              <w:jc w:val="center"/>
              <w:rPr>
                <w:rFonts w:asciiTheme="minorHAnsi" w:eastAsia="Calibri" w:hAnsiTheme="minorHAnsi" w:cstheme="minorHAnsi"/>
                <w:color w:val="0000CC"/>
              </w:rPr>
            </w:pPr>
            <w:r w:rsidRPr="00F04EBB">
              <w:rPr>
                <w:rFonts w:asciiTheme="minorHAnsi" w:eastAsia="Calibri" w:hAnsiTheme="minorHAnsi" w:cstheme="minorHAnsi"/>
                <w:color w:val="0000CC"/>
              </w:rPr>
              <w:t>Acteurs de la filière</w:t>
            </w:r>
          </w:p>
        </w:tc>
        <w:tc>
          <w:tcPr>
            <w:tcW w:w="7331" w:type="dxa"/>
            <w:hideMark/>
          </w:tcPr>
          <w:p w14:paraId="644F7F30" w14:textId="77777777" w:rsidR="00A47DEE" w:rsidRPr="00F04EBB" w:rsidRDefault="00A47DEE" w:rsidP="00EE0E23">
            <w:pPr>
              <w:widowControl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Les acteurs de la filière sont les producteurs et leurs organisations, les prestataires de services publics sont la recherche agricole (CNRADA), le CCQSP et le conseil agricole.</w:t>
            </w:r>
          </w:p>
          <w:p w14:paraId="58CF492D" w14:textId="77777777" w:rsidR="00A47DEE" w:rsidRPr="00F04EBB" w:rsidRDefault="00A47DEE" w:rsidP="00EE0E23">
            <w:pPr>
              <w:widowControl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La fourniture d’intrants est pratiquée par des fournisseurs basés surtout dans les grandes villes et le crédit, est octroyé, entre autres par les Mutuelles d’Investissement et de Crédit Oasien (MICO) dans les zones oasiennes seulement.</w:t>
            </w:r>
          </w:p>
          <w:p w14:paraId="23371D0A" w14:textId="77777777" w:rsidR="00A47DEE" w:rsidRPr="00F04EBB" w:rsidRDefault="00A47DEE" w:rsidP="00EE0E23">
            <w:pPr>
              <w:widowControl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Le commerce se base sur les petits opérateurs informels qui s’occupent de la collecte et du transport des produits vers les centres urbains et de commerçants mieux structurés. Le réseau de distribution urbain comprend : (i) les grossistes, (ii) les semi-grossistes, (iii) les détaillants et commerçants ambulants, qui dominent la filière, et (iv) les épiceries et supermarchés.</w:t>
            </w:r>
          </w:p>
        </w:tc>
      </w:tr>
      <w:tr w:rsidR="00A47DEE" w:rsidRPr="00F04EBB" w14:paraId="26B47C3D"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06EA13C9" w14:textId="77777777" w:rsidR="00A47DEE" w:rsidRPr="00F04EBB" w:rsidRDefault="00A47DEE" w:rsidP="00EE0E23">
            <w:pPr>
              <w:autoSpaceDE w:val="0"/>
              <w:autoSpaceDN w:val="0"/>
              <w:adjustRightInd w:val="0"/>
              <w:jc w:val="center"/>
              <w:rPr>
                <w:rFonts w:asciiTheme="minorHAnsi" w:eastAsia="MS Mincho" w:hAnsiTheme="minorHAnsi" w:cstheme="minorHAnsi"/>
                <w:i/>
                <w:lang w:eastAsia="ja-JP"/>
              </w:rPr>
            </w:pPr>
            <w:r w:rsidRPr="00F04EBB">
              <w:rPr>
                <w:rFonts w:asciiTheme="minorHAnsi" w:eastAsia="MS Mincho" w:hAnsiTheme="minorHAnsi" w:cstheme="minorHAnsi"/>
                <w:color w:val="0000CC"/>
              </w:rPr>
              <w:t>Contraintes liées à la filière</w:t>
            </w:r>
          </w:p>
          <w:p w14:paraId="5D05AD21" w14:textId="77777777" w:rsidR="00A47DEE" w:rsidRPr="00F04EBB" w:rsidRDefault="00A47DEE" w:rsidP="00EE0E23">
            <w:pPr>
              <w:widowControl w:val="0"/>
              <w:tabs>
                <w:tab w:val="left" w:pos="708"/>
              </w:tabs>
              <w:ind w:left="142"/>
              <w:jc w:val="center"/>
              <w:rPr>
                <w:rFonts w:asciiTheme="minorHAnsi" w:eastAsia="Calibri" w:hAnsiTheme="minorHAnsi" w:cstheme="minorHAnsi"/>
                <w:color w:val="0000CC"/>
              </w:rPr>
            </w:pPr>
          </w:p>
        </w:tc>
        <w:tc>
          <w:tcPr>
            <w:tcW w:w="7331" w:type="dxa"/>
          </w:tcPr>
          <w:p w14:paraId="3DCFC426" w14:textId="77777777" w:rsidR="00A47DEE" w:rsidRPr="00F04EBB" w:rsidRDefault="00A47DEE" w:rsidP="00A47DEE">
            <w:pPr>
              <w:widowControl w:val="0"/>
              <w:numPr>
                <w:ilvl w:val="0"/>
                <w:numId w:val="373"/>
              </w:numPr>
              <w:tabs>
                <w:tab w:val="left" w:pos="326"/>
              </w:tabs>
              <w:snapToGrid w:val="0"/>
              <w:ind w:left="326" w:hanging="283"/>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Insuffisante maîtrise de l’eau : disponibilité insuffisante, inefficace gestion et diffusion des techniques d’économie d’eau et la cherté des systèmes actuels d’exhaure </w:t>
            </w:r>
          </w:p>
          <w:p w14:paraId="66A4B4A1" w14:textId="77777777" w:rsidR="00A47DEE" w:rsidRPr="00F04EBB" w:rsidRDefault="00A47DEE" w:rsidP="00A47DEE">
            <w:pPr>
              <w:widowControl w:val="0"/>
              <w:numPr>
                <w:ilvl w:val="0"/>
                <w:numId w:val="373"/>
              </w:numPr>
              <w:tabs>
                <w:tab w:val="left" w:pos="326"/>
              </w:tabs>
              <w:snapToGrid w:val="0"/>
              <w:ind w:left="326" w:hanging="283"/>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Forte concurrence des certains produits importés (exemple du Sénégal, Maroc)</w:t>
            </w:r>
          </w:p>
          <w:p w14:paraId="57B2619F" w14:textId="77777777" w:rsidR="00A47DEE" w:rsidRPr="00F04EBB" w:rsidRDefault="00A47DEE" w:rsidP="00A47DEE">
            <w:pPr>
              <w:widowControl w:val="0"/>
              <w:numPr>
                <w:ilvl w:val="0"/>
                <w:numId w:val="373"/>
              </w:numPr>
              <w:tabs>
                <w:tab w:val="left" w:pos="326"/>
              </w:tabs>
              <w:snapToGrid w:val="0"/>
              <w:ind w:left="326" w:right="108" w:hanging="283"/>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Insuffisance en nombre et en qualité des moyens de transports adaptés aux différents produits</w:t>
            </w:r>
          </w:p>
          <w:p w14:paraId="7158087F" w14:textId="77777777" w:rsidR="00A47DEE" w:rsidRPr="00F04EBB" w:rsidRDefault="00A47DEE" w:rsidP="00A47DEE">
            <w:pPr>
              <w:widowControl w:val="0"/>
              <w:numPr>
                <w:ilvl w:val="0"/>
                <w:numId w:val="373"/>
              </w:numPr>
              <w:tabs>
                <w:tab w:val="left" w:pos="326"/>
              </w:tabs>
              <w:snapToGrid w:val="0"/>
              <w:ind w:left="326" w:right="108" w:hanging="283"/>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Insuffisance d’infrastructures de conditionnement et de stockage y compris chambre froide, adaptées et fonctionnelles</w:t>
            </w:r>
          </w:p>
          <w:p w14:paraId="594AD404" w14:textId="77777777" w:rsidR="00A47DEE" w:rsidRPr="00F04EBB" w:rsidRDefault="00A47DEE" w:rsidP="00EE0E23">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p>
        </w:tc>
      </w:tr>
      <w:tr w:rsidR="00A47DEE" w:rsidRPr="00F04EBB" w14:paraId="22034628"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750F0161" w14:textId="77777777" w:rsidR="00A47DEE" w:rsidRPr="00F04EBB" w:rsidRDefault="00A47DEE" w:rsidP="00EE0E23">
            <w:pPr>
              <w:widowControl w:val="0"/>
              <w:tabs>
                <w:tab w:val="left" w:pos="708"/>
              </w:tabs>
              <w:ind w:left="360"/>
              <w:jc w:val="center"/>
              <w:rPr>
                <w:rFonts w:asciiTheme="minorHAnsi" w:eastAsia="Calibri" w:hAnsiTheme="minorHAnsi" w:cstheme="minorHAnsi"/>
                <w:color w:val="0000CC"/>
              </w:rPr>
            </w:pPr>
            <w:r w:rsidRPr="00F04EBB">
              <w:rPr>
                <w:rFonts w:asciiTheme="minorHAnsi" w:eastAsia="Calibri" w:hAnsiTheme="minorHAnsi" w:cstheme="minorHAnsi"/>
                <w:color w:val="0000CC"/>
              </w:rPr>
              <w:t>Enjeux</w:t>
            </w:r>
          </w:p>
          <w:p w14:paraId="5BB4E28B" w14:textId="77777777" w:rsidR="00A47DEE" w:rsidRPr="00F04EBB" w:rsidRDefault="00A47DEE" w:rsidP="00EE0E23">
            <w:pPr>
              <w:widowControl w:val="0"/>
              <w:tabs>
                <w:tab w:val="left" w:pos="708"/>
              </w:tabs>
              <w:ind w:left="142"/>
              <w:jc w:val="center"/>
              <w:rPr>
                <w:rFonts w:asciiTheme="minorHAnsi" w:eastAsia="Calibri" w:hAnsiTheme="minorHAnsi" w:cstheme="minorHAnsi"/>
                <w:color w:val="0000CC"/>
              </w:rPr>
            </w:pPr>
          </w:p>
        </w:tc>
        <w:tc>
          <w:tcPr>
            <w:tcW w:w="7331" w:type="dxa"/>
            <w:hideMark/>
          </w:tcPr>
          <w:p w14:paraId="4563D586" w14:textId="77777777" w:rsidR="00A47DEE" w:rsidRPr="00F04EBB" w:rsidRDefault="00A47DEE" w:rsidP="00EE0E23">
            <w:pPr>
              <w:widowControl w:val="0"/>
              <w:suppressAutoHyphens/>
              <w:contextualSpacing/>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Les enjeux de la filière maraîchère sont, entre autres, la mise en place de mécanismes de coopération et collaboration entre les acteurs de la filière (publics et privés) et la création d’un environnement institutionnel favorable tout au long de la chaîne de valeur permettant un meilleur accès aux facteurs de production (terres, eaux, intrants, financements) et aux itinéraires techniques performants, Cela pourra se traduire par une augmentation de la production destinée à satisfaire la demande du marché national et réduire les importations et en même temps assurer une augmentation des revenus pour les acteurs de la filière.</w:t>
            </w:r>
          </w:p>
        </w:tc>
      </w:tr>
    </w:tbl>
    <w:p w14:paraId="72A72327" w14:textId="77777777" w:rsidR="00A47DEE" w:rsidRPr="00F04EBB" w:rsidRDefault="00A47DEE" w:rsidP="00A47DEE">
      <w:pPr>
        <w:widowControl w:val="0"/>
        <w:spacing w:after="0" w:line="240" w:lineRule="auto"/>
        <w:jc w:val="both"/>
        <w:rPr>
          <w:rFonts w:eastAsia="MS Mincho" w:cstheme="minorHAnsi"/>
          <w:color w:val="000000"/>
          <w:sz w:val="20"/>
          <w:szCs w:val="20"/>
          <w:lang w:eastAsia="ja-JP"/>
        </w:rPr>
      </w:pPr>
    </w:p>
    <w:p w14:paraId="10FC78F8" w14:textId="77777777" w:rsidR="00A47DEE" w:rsidRPr="00F04EBB" w:rsidRDefault="00A47DEE" w:rsidP="004910EB">
      <w:pPr>
        <w:numPr>
          <w:ilvl w:val="0"/>
          <w:numId w:val="375"/>
        </w:numPr>
        <w:spacing w:after="240"/>
        <w:ind w:left="1173" w:hanging="357"/>
        <w:contextualSpacing/>
        <w:jc w:val="lowKashida"/>
        <w:rPr>
          <w:rFonts w:eastAsia="MS Mincho" w:cstheme="minorHAnsi"/>
          <w:b/>
          <w:bCs/>
        </w:rPr>
      </w:pPr>
      <w:bookmarkStart w:id="417" w:name="_Toc458373711"/>
      <w:bookmarkStart w:id="418" w:name="_Toc427659275"/>
      <w:bookmarkStart w:id="419" w:name="_Toc424811247"/>
      <w:bookmarkStart w:id="420" w:name="_Toc424810864"/>
      <w:bookmarkStart w:id="421" w:name="_Toc424810664"/>
      <w:bookmarkStart w:id="422" w:name="_Toc420701753"/>
      <w:bookmarkStart w:id="423" w:name="_Toc420701465"/>
      <w:bookmarkStart w:id="424" w:name="_Toc419024229"/>
      <w:r w:rsidRPr="00F04EBB">
        <w:rPr>
          <w:rFonts w:eastAsia="MS Mincho" w:cstheme="minorHAnsi"/>
          <w:b/>
          <w:bCs/>
        </w:rPr>
        <w:t>Filière phoenicicole</w:t>
      </w:r>
      <w:bookmarkEnd w:id="417"/>
      <w:bookmarkEnd w:id="418"/>
      <w:bookmarkEnd w:id="419"/>
      <w:bookmarkEnd w:id="420"/>
      <w:bookmarkEnd w:id="421"/>
      <w:bookmarkEnd w:id="422"/>
      <w:bookmarkEnd w:id="423"/>
      <w:bookmarkEnd w:id="424"/>
      <w:r w:rsidRPr="00F04EBB">
        <w:rPr>
          <w:rFonts w:eastAsia="MS Mincho" w:cstheme="minorHAnsi"/>
          <w:b/>
          <w:bCs/>
        </w:rPr>
        <w:t xml:space="preserve"> </w:t>
      </w:r>
    </w:p>
    <w:tbl>
      <w:tblPr>
        <w:tblStyle w:val="Grilleclaire-Accent331"/>
        <w:tblW w:w="9242" w:type="dxa"/>
        <w:tblLook w:val="04A0" w:firstRow="1" w:lastRow="0" w:firstColumn="1" w:lastColumn="0" w:noHBand="0" w:noVBand="1"/>
      </w:tblPr>
      <w:tblGrid>
        <w:gridCol w:w="1911"/>
        <w:gridCol w:w="7331"/>
      </w:tblGrid>
      <w:tr w:rsidR="00A47DEE" w:rsidRPr="00F04EBB" w14:paraId="404993D4" w14:textId="77777777" w:rsidTr="00EE0E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40B987DA"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Introduction</w:t>
            </w:r>
          </w:p>
        </w:tc>
        <w:tc>
          <w:tcPr>
            <w:tcW w:w="7331" w:type="dxa"/>
            <w:hideMark/>
          </w:tcPr>
          <w:p w14:paraId="289D9428" w14:textId="77777777" w:rsidR="00A47DEE" w:rsidRPr="00F04EBB" w:rsidRDefault="00A47DEE" w:rsidP="00EE0E23">
            <w:pPr>
              <w:widowControl w:val="0"/>
              <w:shd w:val="clear" w:color="auto" w:fill="FFFFFF"/>
              <w:tabs>
                <w:tab w:val="left" w:pos="708"/>
              </w:tabs>
              <w:spacing w:after="120"/>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lang w:val="fr-FR" w:eastAsia="ja-JP"/>
              </w:rPr>
            </w:pPr>
            <w:r w:rsidRPr="00F04EBB">
              <w:rPr>
                <w:rFonts w:asciiTheme="minorHAnsi" w:eastAsia="Calibri" w:hAnsiTheme="minorHAnsi" w:cstheme="minorHAnsi"/>
                <w:color w:val="000000"/>
                <w:lang w:val="fr-FR" w:eastAsia="ja-JP"/>
              </w:rPr>
              <w:t>La phœniciculture, représente la principale activité du système de production oasienne et le palmier dattier demeure une culture importante tant du point de vue économique que culturel. Elle reste une culture peu performante et traditionnelle caractérisée par la « Guetna », occasion de fêtes et de rencontre pour les familles durant l’époque de maturité des dattes. La palmeraie mauritanienne est composée de plus de 2,6 millions de palmiers dont plus de 1,8 million productifs répartis sur 352 palmeraies dont 120 oasis potentielles inventoriées au niveau des wilayas de l’Adrar, du Tagant, de l’Assaba, du Hodh El Gharbi et du Hodh Charghi. Ces oasis jouent un rôle important pour une population oasienne d’environ 230.000 personnes dont 30.000 familles possèdent ou exploitent des palmiers</w:t>
            </w:r>
          </w:p>
        </w:tc>
      </w:tr>
      <w:tr w:rsidR="00A47DEE" w:rsidRPr="00F04EBB" w14:paraId="7818CA56" w14:textId="77777777" w:rsidTr="00EE0E23">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1911" w:type="dxa"/>
            <w:hideMark/>
          </w:tcPr>
          <w:p w14:paraId="61B908ED"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lang w:val="fr-FR"/>
              </w:rPr>
            </w:pPr>
            <w:r w:rsidRPr="00F04EBB">
              <w:rPr>
                <w:rFonts w:asciiTheme="minorHAnsi" w:eastAsia="Calibri" w:hAnsiTheme="minorHAnsi" w:cstheme="minorHAnsi"/>
                <w:color w:val="0000CC"/>
                <w:lang w:val="fr-FR"/>
              </w:rPr>
              <w:t>Productions et zones de production</w:t>
            </w:r>
          </w:p>
        </w:tc>
        <w:tc>
          <w:tcPr>
            <w:tcW w:w="7331" w:type="dxa"/>
            <w:hideMark/>
          </w:tcPr>
          <w:p w14:paraId="12984EEE" w14:textId="77777777" w:rsidR="00A47DEE" w:rsidRPr="00F04EBB" w:rsidRDefault="00A47DEE" w:rsidP="00EE0E23">
            <w:pPr>
              <w:widowControl w:val="0"/>
              <w:tabs>
                <w:tab w:val="left" w:pos="708"/>
              </w:tabs>
              <w:spacing w:after="12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lang w:val="fr-FR" w:eastAsia="ja-JP"/>
              </w:rPr>
            </w:pPr>
            <w:r w:rsidRPr="00F04EBB">
              <w:rPr>
                <w:rFonts w:asciiTheme="minorHAnsi" w:eastAsia="Calibri" w:hAnsiTheme="minorHAnsi" w:cstheme="minorHAnsi"/>
                <w:color w:val="000000"/>
                <w:lang w:val="fr-FR" w:eastAsia="ja-JP"/>
              </w:rPr>
              <w:t>La production nationale est estimée à un peu plus de 47 000 tonnes, dont environ 30 000 tonnes seulement sont commercialisables.</w:t>
            </w:r>
          </w:p>
        </w:tc>
      </w:tr>
      <w:tr w:rsidR="00A47DEE" w:rsidRPr="00F04EBB" w14:paraId="6430CBC9" w14:textId="77777777" w:rsidTr="00EE0E23">
        <w:trPr>
          <w:cnfStyle w:val="000000010000" w:firstRow="0" w:lastRow="0" w:firstColumn="0" w:lastColumn="0" w:oddVBand="0" w:evenVBand="0" w:oddHBand="0" w:evenHBand="1" w:firstRowFirstColumn="0" w:firstRowLastColumn="0" w:lastRowFirstColumn="0" w:lastRowLastColumn="0"/>
          <w:trHeight w:val="724"/>
        </w:trPr>
        <w:tc>
          <w:tcPr>
            <w:cnfStyle w:val="001000000000" w:firstRow="0" w:lastRow="0" w:firstColumn="1" w:lastColumn="0" w:oddVBand="0" w:evenVBand="0" w:oddHBand="0" w:evenHBand="0" w:firstRowFirstColumn="0" w:firstRowLastColumn="0" w:lastRowFirstColumn="0" w:lastRowLastColumn="0"/>
            <w:tcW w:w="1911" w:type="dxa"/>
            <w:hideMark/>
          </w:tcPr>
          <w:p w14:paraId="6A174930"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Structure des exploitations</w:t>
            </w:r>
          </w:p>
        </w:tc>
        <w:tc>
          <w:tcPr>
            <w:tcW w:w="7331" w:type="dxa"/>
            <w:hideMark/>
          </w:tcPr>
          <w:p w14:paraId="1A5FB1B2" w14:textId="77777777" w:rsidR="00A47DEE" w:rsidRPr="00F04EBB" w:rsidRDefault="00A47DEE" w:rsidP="004910EB">
            <w:pPr>
              <w:autoSpaceDE w:val="0"/>
              <w:autoSpaceDN w:val="0"/>
              <w:adjustRightInd w:val="0"/>
              <w:spacing w:before="120" w:after="12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L’agriculture oasienne est une agriculture de subsistance, organisée en trois niveaux de cultures : palmiers, arbres fruitiers, maraîchage et céréales. Les exploitations sont formées de plusieurs parcelles localisées dans les oasis traditionnelles ou dans les extensions. En majorité et du fait des modes de succession, les exploitations sont de petite taille (moins d’un ha). </w:t>
            </w:r>
          </w:p>
        </w:tc>
      </w:tr>
      <w:tr w:rsidR="00A47DEE" w:rsidRPr="00F04EBB" w14:paraId="2F333B03"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3F06BADB"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Accès aux intrants</w:t>
            </w:r>
          </w:p>
          <w:p w14:paraId="003B3F6D" w14:textId="77777777" w:rsidR="00A47DEE" w:rsidRPr="00F04EBB" w:rsidRDefault="00A47DEE" w:rsidP="00EE0E23">
            <w:pPr>
              <w:widowControl w:val="0"/>
              <w:spacing w:after="60"/>
              <w:jc w:val="center"/>
              <w:rPr>
                <w:rFonts w:asciiTheme="minorHAnsi" w:eastAsia="MS Mincho" w:hAnsiTheme="minorHAnsi" w:cstheme="minorHAnsi"/>
                <w:color w:val="000000"/>
                <w:lang w:eastAsia="ja-JP"/>
              </w:rPr>
            </w:pPr>
          </w:p>
        </w:tc>
        <w:tc>
          <w:tcPr>
            <w:tcW w:w="7331" w:type="dxa"/>
            <w:hideMark/>
          </w:tcPr>
          <w:p w14:paraId="7BFCE03B" w14:textId="77777777" w:rsidR="00A47DEE" w:rsidRPr="00F04EBB" w:rsidRDefault="00A47DEE" w:rsidP="00EE0E23">
            <w:pPr>
              <w:widowControl w:val="0"/>
              <w:tabs>
                <w:tab w:val="left" w:pos="708"/>
              </w:tabs>
              <w:spacing w:after="12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000000"/>
                <w:lang w:val="fr-FR" w:eastAsia="ja-JP"/>
              </w:rPr>
            </w:pPr>
            <w:r w:rsidRPr="00F04EBB">
              <w:rPr>
                <w:rFonts w:asciiTheme="minorHAnsi" w:eastAsia="Calibri" w:hAnsiTheme="minorHAnsi" w:cstheme="minorHAnsi"/>
                <w:color w:val="000000"/>
                <w:lang w:val="fr-FR" w:eastAsia="ja-JP"/>
              </w:rPr>
              <w:t>La filière est confrontée aux problèmes qui affectent les producteurs en général : éloignement du marché et donc des fournisseurs et produits (engrais et produits phytosanitaires) non contrôlés</w:t>
            </w:r>
          </w:p>
        </w:tc>
      </w:tr>
      <w:tr w:rsidR="00A47DEE" w:rsidRPr="00F04EBB" w14:paraId="1307748C"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5B6BA274"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Stockage et conditionnement</w:t>
            </w:r>
          </w:p>
          <w:p w14:paraId="4B44171A" w14:textId="77777777" w:rsidR="00A47DEE" w:rsidRPr="00F04EBB" w:rsidRDefault="00A47DEE" w:rsidP="00EE0E23">
            <w:pPr>
              <w:widowControl w:val="0"/>
              <w:spacing w:after="60"/>
              <w:jc w:val="center"/>
              <w:rPr>
                <w:rFonts w:asciiTheme="minorHAnsi" w:eastAsia="MS Mincho" w:hAnsiTheme="minorHAnsi" w:cstheme="minorHAnsi"/>
                <w:color w:val="0000CC"/>
              </w:rPr>
            </w:pPr>
          </w:p>
        </w:tc>
        <w:tc>
          <w:tcPr>
            <w:tcW w:w="7331" w:type="dxa"/>
            <w:hideMark/>
          </w:tcPr>
          <w:p w14:paraId="0E372DEB" w14:textId="77777777" w:rsidR="00A47DEE" w:rsidRPr="00F04EBB" w:rsidRDefault="00A47DEE" w:rsidP="00EE0E23">
            <w:pPr>
              <w:widowControl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Les dattes fraîches sont destinées rapidement (après 4-5 jours) à la commercialisation. Par contre les produits séchés sont stockés au niveau des maisons, des hangars, ainsi que dans les boutiques de commerce à température ambiante. </w:t>
            </w:r>
          </w:p>
          <w:p w14:paraId="75E9524E" w14:textId="77777777" w:rsidR="00A47DEE" w:rsidRPr="00F04EBB" w:rsidRDefault="00A47DEE" w:rsidP="00EE0E23">
            <w:pPr>
              <w:widowControl w:val="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L’emballage adopté dépend de la qualité du produit. Les dattes de qualité supérieure sont présentées dans des caisses et celles de qualité moyenne ou basse sont mises dans des sacs en plastique, jute ou polyéthylène. Le séchage est l’unique technique utilisée pour la conservation des dattes.</w:t>
            </w:r>
          </w:p>
        </w:tc>
      </w:tr>
      <w:tr w:rsidR="00A47DEE" w:rsidRPr="00F04EBB" w14:paraId="2305E21F"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200EDC3A" w14:textId="77777777" w:rsidR="00A47DEE" w:rsidRPr="00F04EBB" w:rsidRDefault="00A47DEE" w:rsidP="00EE0E23">
            <w:pPr>
              <w:widowControl w:val="0"/>
              <w:tabs>
                <w:tab w:val="left" w:pos="708"/>
              </w:tabs>
              <w:spacing w:after="120"/>
              <w:jc w:val="center"/>
              <w:rPr>
                <w:rFonts w:asciiTheme="minorHAnsi" w:eastAsia="Calibri" w:hAnsiTheme="minorHAnsi" w:cstheme="minorHAnsi"/>
                <w:color w:val="0000CC"/>
              </w:rPr>
            </w:pPr>
            <w:r w:rsidRPr="00F04EBB">
              <w:rPr>
                <w:rFonts w:asciiTheme="minorHAnsi" w:eastAsia="Calibri" w:hAnsiTheme="minorHAnsi" w:cstheme="minorHAnsi"/>
                <w:color w:val="0000CC"/>
              </w:rPr>
              <w:t>Transformation</w:t>
            </w:r>
          </w:p>
          <w:p w14:paraId="75236DD7" w14:textId="77777777" w:rsidR="00A47DEE" w:rsidRPr="00F04EBB" w:rsidRDefault="00A47DEE" w:rsidP="00EE0E23">
            <w:pPr>
              <w:widowControl w:val="0"/>
              <w:spacing w:after="60"/>
              <w:jc w:val="center"/>
              <w:rPr>
                <w:rFonts w:asciiTheme="minorHAnsi" w:eastAsia="MS Mincho" w:hAnsiTheme="minorHAnsi" w:cstheme="minorHAnsi"/>
                <w:color w:val="000000"/>
                <w:lang w:eastAsia="ja-JP"/>
              </w:rPr>
            </w:pPr>
          </w:p>
        </w:tc>
        <w:tc>
          <w:tcPr>
            <w:tcW w:w="7331" w:type="dxa"/>
            <w:hideMark/>
          </w:tcPr>
          <w:p w14:paraId="6B39C9F6" w14:textId="77777777" w:rsidR="00A47DEE" w:rsidRPr="00F04EBB" w:rsidRDefault="00A47DEE" w:rsidP="00EE0E23">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La transformation traditionnelle à laquelle sont destinées les dattes de faible qualité, est effectuée généralement par les paysans et les produits transformés sont utilisés au niveau local. Parmi ces produits, il faut citer : (i) le jus de dattes ; (ii) le </w:t>
            </w:r>
            <w:proofErr w:type="gramStart"/>
            <w:r w:rsidRPr="00F04EBB">
              <w:rPr>
                <w:rFonts w:asciiTheme="minorHAnsi" w:hAnsiTheme="minorHAnsi" w:cstheme="minorHAnsi"/>
                <w:color w:val="000000"/>
                <w:lang w:val="fr-FR" w:eastAsia="ja-JP"/>
              </w:rPr>
              <w:t>robb:</w:t>
            </w:r>
            <w:proofErr w:type="gramEnd"/>
            <w:r w:rsidRPr="00F04EBB">
              <w:rPr>
                <w:rFonts w:asciiTheme="minorHAnsi" w:hAnsiTheme="minorHAnsi" w:cstheme="minorHAnsi"/>
                <w:color w:val="000000"/>
                <w:lang w:val="fr-FR" w:eastAsia="ja-JP"/>
              </w:rPr>
              <w:t xml:space="preserve"> pâte visqueuse qui va servir à enduire les parois internes des outres de peau de chèvre utilisées pour le stockage du</w:t>
            </w:r>
            <w:proofErr w:type="gramStart"/>
            <w:r w:rsidRPr="00F04EBB">
              <w:rPr>
                <w:rFonts w:asciiTheme="minorHAnsi" w:hAnsiTheme="minorHAnsi" w:cstheme="minorHAnsi"/>
                <w:color w:val="000000"/>
                <w:lang w:val="fr-FR" w:eastAsia="ja-JP"/>
              </w:rPr>
              <w:t xml:space="preserve"> «d’hane</w:t>
            </w:r>
            <w:proofErr w:type="gramEnd"/>
            <w:r w:rsidRPr="00F04EBB">
              <w:rPr>
                <w:rFonts w:asciiTheme="minorHAnsi" w:hAnsiTheme="minorHAnsi" w:cstheme="minorHAnsi"/>
                <w:color w:val="000000"/>
                <w:lang w:val="fr-FR" w:eastAsia="ja-JP"/>
              </w:rPr>
              <w:t> » (beurre salé qui a subi une oxydation</w:t>
            </w:r>
            <w:proofErr w:type="gramStart"/>
            <w:r w:rsidRPr="00F04EBB">
              <w:rPr>
                <w:rFonts w:asciiTheme="minorHAnsi" w:hAnsiTheme="minorHAnsi" w:cstheme="minorHAnsi"/>
                <w:color w:val="000000"/>
                <w:lang w:val="fr-FR" w:eastAsia="ja-JP"/>
              </w:rPr>
              <w:t>);</w:t>
            </w:r>
            <w:proofErr w:type="gramEnd"/>
            <w:r w:rsidRPr="00F04EBB">
              <w:rPr>
                <w:rFonts w:asciiTheme="minorHAnsi" w:hAnsiTheme="minorHAnsi" w:cstheme="minorHAnsi"/>
                <w:color w:val="000000"/>
                <w:lang w:val="fr-FR" w:eastAsia="ja-JP"/>
              </w:rPr>
              <w:t xml:space="preserve"> (iii) le</w:t>
            </w:r>
            <w:proofErr w:type="gramStart"/>
            <w:r w:rsidRPr="00F04EBB">
              <w:rPr>
                <w:rFonts w:asciiTheme="minorHAnsi" w:hAnsiTheme="minorHAnsi" w:cstheme="minorHAnsi"/>
                <w:color w:val="000000"/>
                <w:lang w:val="fr-FR" w:eastAsia="ja-JP"/>
              </w:rPr>
              <w:t> «kasra</w:t>
            </w:r>
            <w:proofErr w:type="gramEnd"/>
            <w:r w:rsidRPr="00F04EBB">
              <w:rPr>
                <w:rFonts w:asciiTheme="minorHAnsi" w:hAnsiTheme="minorHAnsi" w:cstheme="minorHAnsi"/>
                <w:color w:val="000000"/>
                <w:lang w:val="fr-FR" w:eastAsia="ja-JP"/>
              </w:rPr>
              <w:t> </w:t>
            </w:r>
            <w:proofErr w:type="gramStart"/>
            <w:r w:rsidRPr="00F04EBB">
              <w:rPr>
                <w:rFonts w:asciiTheme="minorHAnsi" w:hAnsiTheme="minorHAnsi" w:cstheme="minorHAnsi"/>
                <w:color w:val="000000"/>
                <w:lang w:val="fr-FR" w:eastAsia="ja-JP"/>
              </w:rPr>
              <w:t>»:</w:t>
            </w:r>
            <w:proofErr w:type="gramEnd"/>
            <w:r w:rsidRPr="00F04EBB">
              <w:rPr>
                <w:rFonts w:asciiTheme="minorHAnsi" w:hAnsiTheme="minorHAnsi" w:cstheme="minorHAnsi"/>
                <w:color w:val="000000"/>
                <w:lang w:val="fr-FR" w:eastAsia="ja-JP"/>
              </w:rPr>
              <w:t xml:space="preserve"> pâte obtenue par écrasement des dattes dénoyautées dans un mortier.</w:t>
            </w:r>
          </w:p>
        </w:tc>
      </w:tr>
      <w:tr w:rsidR="00A47DEE" w:rsidRPr="00F04EBB" w14:paraId="0F1F4121" w14:textId="77777777" w:rsidTr="00EE0E23">
        <w:trPr>
          <w:cnfStyle w:val="000000010000" w:firstRow="0" w:lastRow="0" w:firstColumn="0" w:lastColumn="0" w:oddVBand="0" w:evenVBand="0" w:oddHBand="0" w:evenHBand="1"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911" w:type="dxa"/>
            <w:hideMark/>
          </w:tcPr>
          <w:p w14:paraId="33C08D90" w14:textId="77777777" w:rsidR="00A47DEE" w:rsidRPr="00F04EBB" w:rsidRDefault="00A47DEE" w:rsidP="00EE0E23">
            <w:pPr>
              <w:widowControl w:val="0"/>
              <w:tabs>
                <w:tab w:val="left" w:pos="708"/>
              </w:tabs>
              <w:spacing w:after="120"/>
              <w:ind w:left="142"/>
              <w:jc w:val="center"/>
              <w:rPr>
                <w:rFonts w:asciiTheme="minorHAnsi" w:eastAsia="Calibri" w:hAnsiTheme="minorHAnsi" w:cstheme="minorHAnsi"/>
                <w:color w:val="0000CC"/>
              </w:rPr>
            </w:pPr>
            <w:r w:rsidRPr="00F04EBB">
              <w:rPr>
                <w:rFonts w:asciiTheme="minorHAnsi" w:eastAsia="Calibri" w:hAnsiTheme="minorHAnsi" w:cstheme="minorHAnsi"/>
                <w:color w:val="0000CC"/>
              </w:rPr>
              <w:t>Commercialisation et importation</w:t>
            </w:r>
          </w:p>
        </w:tc>
        <w:tc>
          <w:tcPr>
            <w:tcW w:w="7331" w:type="dxa"/>
            <w:hideMark/>
          </w:tcPr>
          <w:p w14:paraId="7D03A008" w14:textId="77777777" w:rsidR="00A47DEE" w:rsidRPr="00F04EBB" w:rsidRDefault="00A47DEE" w:rsidP="00EE0E23">
            <w:pPr>
              <w:widowControl w:val="0"/>
              <w:spacing w:after="12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Les dattes mauritaniennes sont commercialisées essentiellement au niveau national. Les productions nationales sont insuffisantes pour satisfaire la demande la Mauritanie a importé au cours de ces cinq dernières années une moyenne annuelle de 10000 tonnes de dattes (fraiches et séchées).</w:t>
            </w:r>
            <w:r w:rsidRPr="00F04EBB">
              <w:rPr>
                <w:rFonts w:asciiTheme="minorHAnsi" w:hAnsiTheme="minorHAnsi" w:cstheme="minorHAnsi"/>
                <w:sz w:val="24"/>
                <w:szCs w:val="24"/>
                <w:lang w:val="fr-FR" w:eastAsia="ja-JP"/>
              </w:rPr>
              <w:t xml:space="preserve">  </w:t>
            </w:r>
          </w:p>
        </w:tc>
      </w:tr>
      <w:tr w:rsidR="00A47DEE" w:rsidRPr="00F04EBB" w14:paraId="4186F460"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3D1249F5" w14:textId="77777777" w:rsidR="00A47DEE" w:rsidRPr="00F04EBB" w:rsidRDefault="00A47DEE" w:rsidP="00EE0E23">
            <w:pPr>
              <w:widowControl w:val="0"/>
              <w:tabs>
                <w:tab w:val="left" w:pos="708"/>
              </w:tabs>
              <w:spacing w:after="120"/>
              <w:ind w:left="142"/>
              <w:jc w:val="center"/>
              <w:rPr>
                <w:rFonts w:asciiTheme="minorHAnsi" w:eastAsia="Calibri" w:hAnsiTheme="minorHAnsi" w:cstheme="minorHAnsi"/>
                <w:color w:val="0000CC"/>
              </w:rPr>
            </w:pPr>
            <w:r w:rsidRPr="00F04EBB">
              <w:rPr>
                <w:rFonts w:asciiTheme="minorHAnsi" w:eastAsia="Calibri" w:hAnsiTheme="minorHAnsi" w:cstheme="minorHAnsi"/>
                <w:color w:val="0000CC"/>
              </w:rPr>
              <w:t>Consommation</w:t>
            </w:r>
          </w:p>
        </w:tc>
        <w:tc>
          <w:tcPr>
            <w:tcW w:w="7331" w:type="dxa"/>
            <w:hideMark/>
          </w:tcPr>
          <w:p w14:paraId="01AC13F9" w14:textId="77777777" w:rsidR="00A47DEE" w:rsidRPr="00F04EBB" w:rsidRDefault="00A47DEE" w:rsidP="00EE0E23">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La consommation moyenne par personne est de 19,79 Kg par an </w:t>
            </w:r>
          </w:p>
        </w:tc>
      </w:tr>
      <w:tr w:rsidR="00A47DEE" w:rsidRPr="00F04EBB" w14:paraId="7F597C43" w14:textId="77777777" w:rsidTr="00EE0E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hideMark/>
          </w:tcPr>
          <w:p w14:paraId="7159D433" w14:textId="77777777" w:rsidR="00A47DEE" w:rsidRPr="00F04EBB" w:rsidRDefault="00A47DEE" w:rsidP="00EE0E23">
            <w:pPr>
              <w:widowControl w:val="0"/>
              <w:tabs>
                <w:tab w:val="left" w:pos="708"/>
              </w:tabs>
              <w:spacing w:after="120"/>
              <w:ind w:left="142"/>
              <w:jc w:val="center"/>
              <w:rPr>
                <w:rFonts w:asciiTheme="minorHAnsi" w:eastAsia="Calibri" w:hAnsiTheme="minorHAnsi" w:cstheme="minorHAnsi"/>
                <w:color w:val="0000CC"/>
              </w:rPr>
            </w:pPr>
            <w:r w:rsidRPr="00F04EBB">
              <w:rPr>
                <w:rFonts w:asciiTheme="minorHAnsi" w:eastAsia="Calibri" w:hAnsiTheme="minorHAnsi" w:cstheme="minorHAnsi"/>
                <w:color w:val="0000CC"/>
              </w:rPr>
              <w:t>Acteurs de la filière</w:t>
            </w:r>
          </w:p>
        </w:tc>
        <w:tc>
          <w:tcPr>
            <w:tcW w:w="7331" w:type="dxa"/>
            <w:hideMark/>
          </w:tcPr>
          <w:p w14:paraId="1E2EAAC1" w14:textId="77777777" w:rsidR="00A47DEE" w:rsidRPr="00F04EBB" w:rsidRDefault="00A47DEE" w:rsidP="00EE0E23">
            <w:pPr>
              <w:widowControl w:val="0"/>
              <w:spacing w:after="12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Les acteurs de la filière sont les producteurs et leurs organisations (AGPO), les structures de l’État (programme de développement durable des </w:t>
            </w:r>
            <w:proofErr w:type="gramStart"/>
            <w:r w:rsidRPr="00F04EBB">
              <w:rPr>
                <w:rFonts w:asciiTheme="minorHAnsi" w:hAnsiTheme="minorHAnsi" w:cstheme="minorHAnsi"/>
                <w:color w:val="000000"/>
                <w:lang w:val="fr-FR" w:eastAsia="ja-JP"/>
              </w:rPr>
              <w:t>oasis(</w:t>
            </w:r>
            <w:proofErr w:type="gramEnd"/>
            <w:r w:rsidRPr="00F04EBB">
              <w:rPr>
                <w:rFonts w:asciiTheme="minorHAnsi" w:hAnsiTheme="minorHAnsi" w:cstheme="minorHAnsi"/>
                <w:color w:val="000000"/>
                <w:lang w:val="fr-FR" w:eastAsia="ja-JP"/>
              </w:rPr>
              <w:t>PDDO), recherche, conseil agricole et des Délégations Régionales), les fournisseurs de biens et prestataires de services pour la production et l’écoulement des dattes, les UAGPO et le PTF.</w:t>
            </w:r>
          </w:p>
        </w:tc>
      </w:tr>
      <w:tr w:rsidR="00A47DEE" w:rsidRPr="00F04EBB" w14:paraId="0AB24B77"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2701017D" w14:textId="77777777" w:rsidR="00A47DEE" w:rsidRPr="00F04EBB" w:rsidRDefault="00A47DEE" w:rsidP="00EE0E23">
            <w:pPr>
              <w:autoSpaceDE w:val="0"/>
              <w:autoSpaceDN w:val="0"/>
              <w:adjustRightInd w:val="0"/>
              <w:jc w:val="center"/>
              <w:rPr>
                <w:rFonts w:asciiTheme="minorHAnsi" w:eastAsia="MS Mincho" w:hAnsiTheme="minorHAnsi" w:cstheme="minorHAnsi"/>
                <w:i/>
                <w:lang w:val="fr-FR" w:eastAsia="ja-JP"/>
              </w:rPr>
            </w:pPr>
            <w:r w:rsidRPr="00F04EBB">
              <w:rPr>
                <w:rFonts w:asciiTheme="minorHAnsi" w:eastAsia="MS Mincho" w:hAnsiTheme="minorHAnsi" w:cstheme="minorHAnsi"/>
                <w:color w:val="0000CC"/>
                <w:lang w:val="fr-FR"/>
              </w:rPr>
              <w:t>Principales contraintes liées à la filière</w:t>
            </w:r>
          </w:p>
          <w:p w14:paraId="6CA2E8A8" w14:textId="77777777" w:rsidR="00A47DEE" w:rsidRPr="00F04EBB" w:rsidRDefault="00A47DEE" w:rsidP="00EE0E23">
            <w:pPr>
              <w:widowControl w:val="0"/>
              <w:tabs>
                <w:tab w:val="left" w:pos="708"/>
              </w:tabs>
              <w:spacing w:after="120"/>
              <w:ind w:left="142"/>
              <w:jc w:val="center"/>
              <w:rPr>
                <w:rFonts w:asciiTheme="minorHAnsi" w:eastAsia="Calibri" w:hAnsiTheme="minorHAnsi" w:cstheme="minorHAnsi"/>
                <w:color w:val="0000CC"/>
                <w:lang w:val="fr-FR"/>
              </w:rPr>
            </w:pPr>
          </w:p>
        </w:tc>
        <w:tc>
          <w:tcPr>
            <w:tcW w:w="7331" w:type="dxa"/>
          </w:tcPr>
          <w:p w14:paraId="40C4637A" w14:textId="77777777" w:rsidR="00A47DEE" w:rsidRPr="00F04EBB" w:rsidRDefault="00A47DEE" w:rsidP="00A47DEE">
            <w:pPr>
              <w:widowControl w:val="0"/>
              <w:numPr>
                <w:ilvl w:val="0"/>
                <w:numId w:val="374"/>
              </w:numPr>
              <w:tabs>
                <w:tab w:val="left" w:pos="326"/>
                <w:tab w:val="left" w:pos="1008"/>
                <w:tab w:val="left" w:pos="1872"/>
                <w:tab w:val="right" w:pos="4104"/>
              </w:tabs>
              <w:snapToGrid w:val="0"/>
              <w:spacing w:after="60"/>
              <w:ind w:left="326" w:right="108" w:hanging="283"/>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Insuffisante maîtrise de l’eau dans les oasis : insuffisante disponibilité, inefficace gestion, surexploitation de la nappe phréatiques, et faible diffusion des techniques d’économie d’eau et de systèmes d’exhaure à bas coût.</w:t>
            </w:r>
          </w:p>
          <w:p w14:paraId="49290F45" w14:textId="77777777" w:rsidR="00A47DEE" w:rsidRPr="00F04EBB" w:rsidRDefault="00A47DEE" w:rsidP="00A47DEE">
            <w:pPr>
              <w:widowControl w:val="0"/>
              <w:numPr>
                <w:ilvl w:val="0"/>
                <w:numId w:val="374"/>
              </w:numPr>
              <w:tabs>
                <w:tab w:val="left" w:pos="326"/>
                <w:tab w:val="left" w:pos="1008"/>
                <w:tab w:val="left" w:pos="1872"/>
                <w:tab w:val="right" w:pos="4104"/>
              </w:tabs>
              <w:snapToGrid w:val="0"/>
              <w:spacing w:after="60"/>
              <w:ind w:left="326" w:right="108" w:hanging="283"/>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Insuffisantes techniques de lutte contre les maladies et les ravageurs. </w:t>
            </w:r>
          </w:p>
          <w:p w14:paraId="473B9CA3" w14:textId="77777777" w:rsidR="00A47DEE" w:rsidRPr="00F04EBB" w:rsidRDefault="00A47DEE" w:rsidP="00A47DEE">
            <w:pPr>
              <w:widowControl w:val="0"/>
              <w:numPr>
                <w:ilvl w:val="0"/>
                <w:numId w:val="374"/>
              </w:numPr>
              <w:tabs>
                <w:tab w:val="left" w:pos="326"/>
                <w:tab w:val="left" w:pos="1008"/>
                <w:tab w:val="left" w:pos="1872"/>
                <w:tab w:val="right" w:pos="4104"/>
              </w:tabs>
              <w:snapToGrid w:val="0"/>
              <w:spacing w:after="60"/>
              <w:ind w:left="326" w:right="108" w:hanging="283"/>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Faible action de protection contre l’ensablement des oasis.</w:t>
            </w:r>
          </w:p>
          <w:p w14:paraId="54F4F97F" w14:textId="77777777" w:rsidR="00A47DEE" w:rsidRPr="00F04EBB" w:rsidRDefault="00A47DEE" w:rsidP="00A47DEE">
            <w:pPr>
              <w:widowControl w:val="0"/>
              <w:numPr>
                <w:ilvl w:val="0"/>
                <w:numId w:val="374"/>
              </w:numPr>
              <w:tabs>
                <w:tab w:val="left" w:pos="326"/>
              </w:tabs>
              <w:snapToGrid w:val="0"/>
              <w:spacing w:after="60"/>
              <w:ind w:left="326" w:right="108" w:hanging="283"/>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Insuffisance d’infrastructures de conditionnement et de stockage adaptées et fonctionnelles ;</w:t>
            </w:r>
          </w:p>
          <w:p w14:paraId="551466A3" w14:textId="77777777" w:rsidR="00A47DEE" w:rsidRPr="00F04EBB" w:rsidRDefault="00A47DEE" w:rsidP="00EE0E23">
            <w:pPr>
              <w:widowControl w:val="0"/>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p>
        </w:tc>
      </w:tr>
      <w:tr w:rsidR="00A47DEE" w:rsidRPr="00F04EBB" w14:paraId="447B91D7" w14:textId="77777777" w:rsidTr="004910EB">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11" w:type="dxa"/>
            <w:vAlign w:val="center"/>
          </w:tcPr>
          <w:p w14:paraId="7CE1B8DC" w14:textId="040BBE1F" w:rsidR="00A47DEE" w:rsidRPr="00F04EBB" w:rsidRDefault="00A47DEE" w:rsidP="004910EB">
            <w:pPr>
              <w:widowControl w:val="0"/>
              <w:tabs>
                <w:tab w:val="left" w:pos="708"/>
              </w:tabs>
              <w:spacing w:after="120"/>
              <w:ind w:left="360"/>
              <w:jc w:val="center"/>
              <w:rPr>
                <w:rFonts w:asciiTheme="minorHAnsi" w:eastAsia="Calibri" w:hAnsiTheme="minorHAnsi" w:cstheme="minorHAnsi"/>
                <w:color w:val="0000CC"/>
              </w:rPr>
            </w:pPr>
            <w:r w:rsidRPr="00F04EBB">
              <w:rPr>
                <w:rFonts w:asciiTheme="minorHAnsi" w:eastAsia="Calibri" w:hAnsiTheme="minorHAnsi" w:cstheme="minorHAnsi"/>
                <w:color w:val="0000CC"/>
              </w:rPr>
              <w:t>Enjeux</w:t>
            </w:r>
          </w:p>
        </w:tc>
        <w:tc>
          <w:tcPr>
            <w:tcW w:w="7331" w:type="dxa"/>
          </w:tcPr>
          <w:p w14:paraId="0C7F7F17" w14:textId="77777777" w:rsidR="00A47DEE" w:rsidRDefault="00A47DEE" w:rsidP="00EE0E23">
            <w:pPr>
              <w:widowControl w:val="0"/>
              <w:suppressAutoHyphens/>
              <w:spacing w:after="120"/>
              <w:contextualSpacing/>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eastAsia="ja-JP"/>
              </w:rPr>
            </w:pPr>
          </w:p>
          <w:p w14:paraId="7A7DBAFE" w14:textId="77777777" w:rsidR="00FC4ECC" w:rsidRPr="00F04EBB" w:rsidRDefault="00FC4ECC" w:rsidP="00EE0E23">
            <w:pPr>
              <w:widowControl w:val="0"/>
              <w:suppressAutoHyphens/>
              <w:spacing w:after="120"/>
              <w:contextualSpacing/>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eastAsia="ja-JP"/>
              </w:rPr>
            </w:pPr>
          </w:p>
        </w:tc>
      </w:tr>
    </w:tbl>
    <w:p w14:paraId="5396D0C7" w14:textId="77777777" w:rsidR="00A47DEE" w:rsidRPr="00F04EBB" w:rsidRDefault="00A47DEE" w:rsidP="00A47DEE">
      <w:pPr>
        <w:widowControl w:val="0"/>
        <w:spacing w:after="120" w:line="240" w:lineRule="auto"/>
        <w:jc w:val="both"/>
        <w:rPr>
          <w:rFonts w:eastAsia="MS Mincho" w:cstheme="minorHAnsi"/>
          <w:color w:val="000000"/>
          <w:sz w:val="20"/>
          <w:szCs w:val="20"/>
          <w:lang w:eastAsia="ja-JP"/>
        </w:rPr>
      </w:pPr>
    </w:p>
    <w:p w14:paraId="5BD43CCE" w14:textId="550B5707" w:rsidR="00A47DEE" w:rsidRPr="00F04EBB" w:rsidRDefault="00FC4ECC" w:rsidP="00A47DEE">
      <w:pPr>
        <w:numPr>
          <w:ilvl w:val="0"/>
          <w:numId w:val="375"/>
        </w:numPr>
        <w:spacing w:after="0"/>
        <w:contextualSpacing/>
        <w:jc w:val="lowKashida"/>
        <w:rPr>
          <w:rFonts w:eastAsia="MS Mincho" w:cstheme="minorHAnsi"/>
          <w:b/>
          <w:bCs/>
        </w:rPr>
      </w:pPr>
      <w:bookmarkStart w:id="425" w:name="_Toc458373712"/>
      <w:bookmarkStart w:id="426" w:name="_Toc427659276"/>
      <w:bookmarkStart w:id="427" w:name="_Toc424811248"/>
      <w:bookmarkStart w:id="428" w:name="_Toc424810865"/>
      <w:bookmarkStart w:id="429" w:name="_Toc424810665"/>
      <w:bookmarkStart w:id="430" w:name="_Toc420701754"/>
      <w:bookmarkStart w:id="431" w:name="_Toc420701466"/>
      <w:bookmarkStart w:id="432" w:name="_Toc419024230"/>
      <w:r>
        <w:rPr>
          <w:rFonts w:eastAsia="MS Mincho" w:cstheme="minorHAnsi"/>
          <w:b/>
          <w:bCs/>
        </w:rPr>
        <w:t xml:space="preserve">                                                   </w:t>
      </w:r>
      <w:r w:rsidR="00A47DEE" w:rsidRPr="00F04EBB">
        <w:rPr>
          <w:rFonts w:eastAsia="MS Mincho" w:cstheme="minorHAnsi"/>
          <w:b/>
          <w:bCs/>
        </w:rPr>
        <w:t>Filière sucrière</w:t>
      </w:r>
      <w:bookmarkEnd w:id="425"/>
      <w:bookmarkEnd w:id="426"/>
      <w:bookmarkEnd w:id="427"/>
      <w:bookmarkEnd w:id="428"/>
      <w:bookmarkEnd w:id="429"/>
      <w:bookmarkEnd w:id="430"/>
      <w:bookmarkEnd w:id="431"/>
      <w:bookmarkEnd w:id="432"/>
    </w:p>
    <w:tbl>
      <w:tblPr>
        <w:tblStyle w:val="Grilleclaire-Accent331"/>
        <w:tblW w:w="9242" w:type="dxa"/>
        <w:tblLook w:val="04A0" w:firstRow="1" w:lastRow="0" w:firstColumn="1" w:lastColumn="0" w:noHBand="0" w:noVBand="1"/>
      </w:tblPr>
      <w:tblGrid>
        <w:gridCol w:w="1911"/>
        <w:gridCol w:w="7331"/>
      </w:tblGrid>
      <w:tr w:rsidR="00A47DEE" w:rsidRPr="00F04EBB" w14:paraId="3601CA3D" w14:textId="77777777" w:rsidTr="00FC4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vAlign w:val="center"/>
            <w:hideMark/>
          </w:tcPr>
          <w:p w14:paraId="782D94DB" w14:textId="77777777" w:rsidR="00A47DEE" w:rsidRPr="00F04EBB" w:rsidRDefault="00A47DEE" w:rsidP="00D11756">
            <w:pPr>
              <w:widowControl w:val="0"/>
              <w:tabs>
                <w:tab w:val="left" w:pos="708"/>
              </w:tabs>
              <w:spacing w:after="120"/>
              <w:rPr>
                <w:rFonts w:asciiTheme="minorHAnsi" w:eastAsia="Calibri" w:hAnsiTheme="minorHAnsi" w:cstheme="minorHAnsi"/>
                <w:color w:val="0000CC"/>
              </w:rPr>
            </w:pPr>
            <w:r w:rsidRPr="00F04EBB">
              <w:rPr>
                <w:rFonts w:asciiTheme="minorHAnsi" w:eastAsia="Calibri" w:hAnsiTheme="minorHAnsi" w:cstheme="minorHAnsi"/>
                <w:color w:val="0000CC"/>
              </w:rPr>
              <w:t>Introduction</w:t>
            </w:r>
          </w:p>
        </w:tc>
        <w:tc>
          <w:tcPr>
            <w:tcW w:w="7331" w:type="dxa"/>
            <w:hideMark/>
          </w:tcPr>
          <w:p w14:paraId="07B49697" w14:textId="77777777" w:rsidR="00A47DEE" w:rsidRPr="00F04EBB" w:rsidRDefault="00A47DEE" w:rsidP="00EE0E23">
            <w:pPr>
              <w:widowControl w:val="0"/>
              <w:spacing w:after="120" w:line="259" w:lineRule="auto"/>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000000"/>
                <w:lang w:val="fr-FR" w:eastAsia="ja-JP"/>
              </w:rPr>
            </w:pPr>
            <w:r w:rsidRPr="00F04EBB">
              <w:rPr>
                <w:rFonts w:asciiTheme="minorHAnsi" w:eastAsia="MS Mincho" w:hAnsiTheme="minorHAnsi" w:cstheme="minorHAnsi"/>
                <w:color w:val="000000"/>
                <w:lang w:val="fr-FR" w:eastAsia="ja-JP"/>
              </w:rPr>
              <w:t>La culture de la canne à sucre a été récemment introduite en Mauritanie dans le cadre de la création d’un complexe agro-industriel destiné à la production de sucre. A ce propos, l’Etat mauritanien a créé en décembre 2011 la Société d’économie mixte dénommée Société de Sucre de Mauritanie dont le statut a été révisé en 2013 pour devenir une Société anonyme dénommée Compagnie Mauritanienne de Sucre et Dérivés. Dans le cadre de ce partenariat public-privé, l’Etat a mis à la disposition du projet, 17 000 hectares en aval du barrage de Foum Gleïta et il a entamé plusieurs contacts avec des partenaires privés pour la mobilisation de financements. A l’état actuel, le projet a pu démarrer avec des ressources financières de l’Etat. Des négociations sont en cours avec différents partenaires pour la mise en œuvre du projet et plus particulièrement la construction de l’usine</w:t>
            </w:r>
            <w:r w:rsidRPr="00F04EBB">
              <w:rPr>
                <w:rFonts w:asciiTheme="minorHAnsi" w:eastAsia="MS Mincho" w:hAnsiTheme="minorHAnsi" w:cstheme="minorHAnsi"/>
                <w:sz w:val="28"/>
                <w:szCs w:val="28"/>
                <w:lang w:val="fr-FR" w:eastAsia="es-ES"/>
              </w:rPr>
              <w:t>.</w:t>
            </w:r>
          </w:p>
        </w:tc>
      </w:tr>
      <w:tr w:rsidR="00A47DEE" w:rsidRPr="00F04EBB" w14:paraId="216A49B1" w14:textId="77777777" w:rsidTr="00FC4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vAlign w:val="center"/>
          </w:tcPr>
          <w:p w14:paraId="2641C66C" w14:textId="44439174" w:rsidR="00A47DEE" w:rsidRPr="00275D3E" w:rsidRDefault="00A47DEE" w:rsidP="00FC4ECC">
            <w:pPr>
              <w:widowControl w:val="0"/>
              <w:tabs>
                <w:tab w:val="left" w:pos="708"/>
              </w:tabs>
              <w:spacing w:after="120"/>
              <w:rPr>
                <w:rFonts w:asciiTheme="minorHAnsi" w:eastAsia="MS Mincho" w:hAnsiTheme="minorHAnsi" w:cstheme="minorHAnsi"/>
                <w:color w:val="000000"/>
                <w:lang w:val="fr-FR" w:eastAsia="ja-JP"/>
              </w:rPr>
            </w:pPr>
            <w:r w:rsidRPr="00275D3E">
              <w:rPr>
                <w:rFonts w:asciiTheme="minorHAnsi" w:eastAsia="Calibri" w:hAnsiTheme="minorHAnsi" w:cstheme="minorHAnsi"/>
                <w:color w:val="0000CC"/>
                <w:lang w:val="fr-FR"/>
              </w:rPr>
              <w:t xml:space="preserve">Productions et zones de production </w:t>
            </w:r>
          </w:p>
        </w:tc>
        <w:tc>
          <w:tcPr>
            <w:tcW w:w="7331" w:type="dxa"/>
            <w:hideMark/>
          </w:tcPr>
          <w:p w14:paraId="4465E970" w14:textId="77777777" w:rsidR="00A47DEE" w:rsidRPr="00F04EBB" w:rsidRDefault="00A47DEE" w:rsidP="00EE0E23">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La première pépinière de multiplication de boutures de canne à sucre a été installée en 2012 sur 5 ha à Foum Gleïta. </w:t>
            </w:r>
          </w:p>
          <w:p w14:paraId="14B93D1D" w14:textId="77777777" w:rsidR="00A47DEE" w:rsidRPr="00F04EBB" w:rsidRDefault="00A47DEE" w:rsidP="00EE0E23">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lang w:val="fr-FR" w:eastAsia="ja-JP"/>
              </w:rPr>
            </w:pPr>
            <w:r w:rsidRPr="00F04EBB">
              <w:rPr>
                <w:rFonts w:asciiTheme="minorHAnsi" w:hAnsiTheme="minorHAnsi" w:cstheme="minorHAnsi"/>
                <w:color w:val="000000"/>
                <w:lang w:val="fr-FR" w:eastAsia="ja-JP"/>
              </w:rPr>
              <w:t>L’extraction et la production du sucre à partir de la canne n’a pas démarré</w:t>
            </w:r>
          </w:p>
        </w:tc>
      </w:tr>
      <w:tr w:rsidR="00A47DEE" w:rsidRPr="00F04EBB" w14:paraId="32A5FCFE" w14:textId="77777777" w:rsidTr="00FC4E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vAlign w:val="center"/>
          </w:tcPr>
          <w:p w14:paraId="7B828D0D" w14:textId="6F2FD605" w:rsidR="00A47DEE" w:rsidRPr="00F04EBB" w:rsidRDefault="00A47DEE" w:rsidP="00FC4ECC">
            <w:pPr>
              <w:widowControl w:val="0"/>
              <w:tabs>
                <w:tab w:val="left" w:pos="708"/>
              </w:tabs>
              <w:spacing w:after="120"/>
              <w:rPr>
                <w:rFonts w:asciiTheme="minorHAnsi" w:eastAsia="MS Mincho" w:hAnsiTheme="minorHAnsi" w:cstheme="minorHAnsi"/>
                <w:color w:val="000000"/>
                <w:lang w:eastAsia="ja-JP"/>
              </w:rPr>
            </w:pPr>
            <w:r w:rsidRPr="00F04EBB">
              <w:rPr>
                <w:rFonts w:asciiTheme="minorHAnsi" w:eastAsia="Calibri" w:hAnsiTheme="minorHAnsi" w:cstheme="minorHAnsi"/>
                <w:color w:val="0000CC"/>
              </w:rPr>
              <w:t xml:space="preserve">Accès aux intrants </w:t>
            </w:r>
          </w:p>
        </w:tc>
        <w:tc>
          <w:tcPr>
            <w:tcW w:w="7331" w:type="dxa"/>
          </w:tcPr>
          <w:p w14:paraId="5A6A149F" w14:textId="77777777" w:rsidR="00A47DEE" w:rsidRPr="00F04EBB" w:rsidRDefault="00A47DEE" w:rsidP="00EE0E23">
            <w:pPr>
              <w:widowControl w:val="0"/>
              <w:tabs>
                <w:tab w:val="left" w:pos="708"/>
              </w:tabs>
              <w:spacing w:after="120"/>
              <w:jc w:val="both"/>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color w:val="000000"/>
                <w:lang w:eastAsia="ja-JP"/>
              </w:rPr>
            </w:pPr>
          </w:p>
        </w:tc>
      </w:tr>
      <w:tr w:rsidR="00A47DEE" w:rsidRPr="00F04EBB" w14:paraId="1DC36384"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24E75EF6" w14:textId="77777777" w:rsidR="00A47DEE" w:rsidRPr="00F04EBB" w:rsidRDefault="00A47DEE" w:rsidP="00EE0E23">
            <w:pPr>
              <w:widowControl w:val="0"/>
              <w:tabs>
                <w:tab w:val="left" w:pos="708"/>
              </w:tabs>
              <w:spacing w:after="120"/>
              <w:rPr>
                <w:rFonts w:asciiTheme="minorHAnsi" w:eastAsia="Calibri" w:hAnsiTheme="minorHAnsi" w:cstheme="minorHAnsi"/>
                <w:color w:val="0000CC"/>
              </w:rPr>
            </w:pPr>
            <w:r w:rsidRPr="00F04EBB">
              <w:rPr>
                <w:rFonts w:asciiTheme="minorHAnsi" w:eastAsia="Calibri" w:hAnsiTheme="minorHAnsi" w:cstheme="minorHAnsi"/>
                <w:color w:val="0000CC"/>
              </w:rPr>
              <w:t xml:space="preserve">Stockage et conditionnement </w:t>
            </w:r>
          </w:p>
          <w:p w14:paraId="5B32D02B" w14:textId="77777777" w:rsidR="00A47DEE" w:rsidRPr="00F04EBB" w:rsidRDefault="00A47DEE" w:rsidP="00EE0E23">
            <w:pPr>
              <w:widowControl w:val="0"/>
              <w:spacing w:after="60"/>
              <w:rPr>
                <w:rFonts w:asciiTheme="minorHAnsi" w:eastAsia="MS Mincho" w:hAnsiTheme="minorHAnsi" w:cstheme="minorHAnsi"/>
                <w:color w:val="0000CC"/>
              </w:rPr>
            </w:pPr>
          </w:p>
        </w:tc>
        <w:tc>
          <w:tcPr>
            <w:tcW w:w="7331" w:type="dxa"/>
            <w:hideMark/>
          </w:tcPr>
          <w:p w14:paraId="4768E26E" w14:textId="77777777" w:rsidR="00A47DEE" w:rsidRPr="00F04EBB" w:rsidRDefault="00A47DEE" w:rsidP="00EE0E23">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L’extraction et la production du sucre à partir de la canne n’a pas démarré</w:t>
            </w:r>
          </w:p>
        </w:tc>
      </w:tr>
      <w:tr w:rsidR="00A47DEE" w:rsidRPr="00F04EBB" w14:paraId="67F6F76A" w14:textId="77777777" w:rsidTr="00FC4E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vAlign w:val="center"/>
          </w:tcPr>
          <w:p w14:paraId="4D55A95F" w14:textId="77777777" w:rsidR="00D11756" w:rsidRPr="00275D3E" w:rsidRDefault="00D11756" w:rsidP="00D11756">
            <w:pPr>
              <w:widowControl w:val="0"/>
              <w:tabs>
                <w:tab w:val="left" w:pos="708"/>
              </w:tabs>
              <w:spacing w:after="120"/>
              <w:rPr>
                <w:rFonts w:asciiTheme="minorHAnsi" w:eastAsia="Calibri" w:hAnsiTheme="minorHAnsi" w:cstheme="minorHAnsi"/>
                <w:b w:val="0"/>
                <w:bCs w:val="0"/>
                <w:color w:val="0000CC"/>
                <w:lang w:val="fr-FR"/>
              </w:rPr>
            </w:pPr>
          </w:p>
          <w:p w14:paraId="6BCD725A" w14:textId="1251206D" w:rsidR="00A47DEE" w:rsidRPr="00F04EBB" w:rsidRDefault="00A47DEE" w:rsidP="00FC4ECC">
            <w:pPr>
              <w:widowControl w:val="0"/>
              <w:tabs>
                <w:tab w:val="left" w:pos="708"/>
              </w:tabs>
              <w:spacing w:after="120"/>
              <w:rPr>
                <w:rFonts w:asciiTheme="minorHAnsi" w:eastAsia="Calibri" w:hAnsiTheme="minorHAnsi" w:cstheme="minorHAnsi"/>
                <w:color w:val="0000CC"/>
              </w:rPr>
            </w:pPr>
            <w:r w:rsidRPr="00F04EBB">
              <w:rPr>
                <w:rFonts w:asciiTheme="minorHAnsi" w:eastAsia="Calibri" w:hAnsiTheme="minorHAnsi" w:cstheme="minorHAnsi"/>
                <w:color w:val="0000CC"/>
              </w:rPr>
              <w:t xml:space="preserve">Transformation </w:t>
            </w:r>
          </w:p>
          <w:p w14:paraId="43A8D7C3" w14:textId="77777777" w:rsidR="00A47DEE" w:rsidRPr="00F04EBB" w:rsidRDefault="00A47DEE" w:rsidP="00FC4ECC">
            <w:pPr>
              <w:widowControl w:val="0"/>
              <w:spacing w:after="60"/>
              <w:rPr>
                <w:rFonts w:asciiTheme="minorHAnsi" w:eastAsia="MS Mincho" w:hAnsiTheme="minorHAnsi" w:cstheme="minorHAnsi"/>
                <w:color w:val="000000"/>
                <w:lang w:eastAsia="ja-JP"/>
              </w:rPr>
            </w:pPr>
          </w:p>
        </w:tc>
        <w:tc>
          <w:tcPr>
            <w:tcW w:w="7331" w:type="dxa"/>
            <w:hideMark/>
          </w:tcPr>
          <w:p w14:paraId="3F6A316D" w14:textId="77777777" w:rsidR="00A47DEE" w:rsidRPr="00F04EBB" w:rsidRDefault="00A47DEE" w:rsidP="00EE0E23">
            <w:pPr>
              <w:widowControl w:val="0"/>
              <w:spacing w:after="12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eastAsia="ja-JP"/>
              </w:rPr>
            </w:pPr>
            <w:r w:rsidRPr="00F04EBB">
              <w:rPr>
                <w:rFonts w:asciiTheme="minorHAnsi" w:hAnsiTheme="minorHAnsi" w:cstheme="minorHAnsi"/>
                <w:color w:val="000000"/>
                <w:lang w:val="fr-FR" w:eastAsia="ja-JP"/>
              </w:rPr>
              <w:t xml:space="preserve">L’extraction et la production du sucre à partir de la canne n’a pas démarré. Il est prévu la création d’une raffinerie d’une capacité de 106 000 tonnes de sucre blanc, dont la réalisation est prévue toujours à Foum Gleïta. </w:t>
            </w:r>
            <w:r w:rsidRPr="00F04EBB">
              <w:rPr>
                <w:rFonts w:asciiTheme="minorHAnsi" w:hAnsiTheme="minorHAnsi" w:cstheme="minorHAnsi"/>
                <w:color w:val="000000"/>
                <w:lang w:eastAsia="ja-JP"/>
              </w:rPr>
              <w:t>Le financement pour cette réalisation est à rechercher</w:t>
            </w:r>
          </w:p>
        </w:tc>
      </w:tr>
      <w:tr w:rsidR="00A47DEE" w:rsidRPr="00F04EBB" w14:paraId="6A71187C" w14:textId="77777777" w:rsidTr="00FC4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vAlign w:val="center"/>
          </w:tcPr>
          <w:p w14:paraId="7821DA17" w14:textId="77777777" w:rsidR="00F813DE" w:rsidRDefault="00F813DE" w:rsidP="00F813DE">
            <w:pPr>
              <w:widowControl w:val="0"/>
              <w:tabs>
                <w:tab w:val="left" w:pos="708"/>
              </w:tabs>
              <w:spacing w:after="120"/>
              <w:ind w:left="142"/>
              <w:rPr>
                <w:rFonts w:asciiTheme="minorHAnsi" w:eastAsia="Calibri" w:hAnsiTheme="minorHAnsi" w:cstheme="minorHAnsi"/>
                <w:b w:val="0"/>
                <w:bCs w:val="0"/>
                <w:color w:val="0000CC"/>
              </w:rPr>
            </w:pPr>
          </w:p>
          <w:p w14:paraId="087E8F07" w14:textId="6BF02E01" w:rsidR="00A47DEE" w:rsidRPr="00F04EBB" w:rsidRDefault="00A47DEE" w:rsidP="00FC4ECC">
            <w:pPr>
              <w:widowControl w:val="0"/>
              <w:tabs>
                <w:tab w:val="left" w:pos="708"/>
              </w:tabs>
              <w:spacing w:after="120"/>
              <w:ind w:left="142"/>
              <w:rPr>
                <w:rFonts w:asciiTheme="minorHAnsi" w:eastAsia="Calibri" w:hAnsiTheme="minorHAnsi" w:cstheme="minorHAnsi"/>
                <w:color w:val="0000CC"/>
              </w:rPr>
            </w:pPr>
            <w:r w:rsidRPr="00F04EBB">
              <w:rPr>
                <w:rFonts w:asciiTheme="minorHAnsi" w:eastAsia="Calibri" w:hAnsiTheme="minorHAnsi" w:cstheme="minorHAnsi"/>
                <w:color w:val="0000CC"/>
              </w:rPr>
              <w:t xml:space="preserve">Commercialisation et importation </w:t>
            </w:r>
          </w:p>
          <w:p w14:paraId="7A41BA22" w14:textId="77777777" w:rsidR="00A47DEE" w:rsidRPr="00F04EBB" w:rsidRDefault="00A47DEE" w:rsidP="00FC4ECC">
            <w:pPr>
              <w:widowControl w:val="0"/>
              <w:tabs>
                <w:tab w:val="left" w:pos="708"/>
              </w:tabs>
              <w:spacing w:after="120"/>
              <w:ind w:left="142"/>
              <w:rPr>
                <w:rFonts w:asciiTheme="minorHAnsi" w:eastAsia="Calibri" w:hAnsiTheme="minorHAnsi" w:cstheme="minorHAnsi"/>
                <w:color w:val="000000"/>
                <w:kern w:val="2"/>
              </w:rPr>
            </w:pPr>
          </w:p>
        </w:tc>
        <w:tc>
          <w:tcPr>
            <w:tcW w:w="7331" w:type="dxa"/>
            <w:hideMark/>
          </w:tcPr>
          <w:p w14:paraId="468EAC34" w14:textId="77777777" w:rsidR="00A47DEE" w:rsidRPr="00F04EBB" w:rsidRDefault="00A47DEE" w:rsidP="00EE0E23">
            <w:pPr>
              <w:widowControl w:val="0"/>
              <w:spacing w:after="12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lang w:val="fr-FR" w:eastAsia="ja-JP"/>
              </w:rPr>
            </w:pPr>
            <w:r w:rsidRPr="00F04EBB">
              <w:rPr>
                <w:rFonts w:asciiTheme="minorHAnsi" w:hAnsiTheme="minorHAnsi" w:cstheme="minorHAnsi"/>
                <w:color w:val="000000"/>
                <w:lang w:val="fr-FR" w:eastAsia="ja-JP"/>
              </w:rPr>
              <w:t xml:space="preserve">La Mauritanie importe actuellement plus de 300 000 tonnes de sucre par an pour satisfaire ses besoins comme indiqué dans le graphique qui suit. Sur la base des importations de sucre et le nombre d’habitants le besoin moyen calculé par personne dépasse le 84 Kg par an. </w:t>
            </w:r>
          </w:p>
        </w:tc>
      </w:tr>
      <w:tr w:rsidR="00A47DEE" w:rsidRPr="00F04EBB" w14:paraId="1F4B80F3" w14:textId="77777777" w:rsidTr="00FC4E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vAlign w:val="center"/>
            <w:hideMark/>
          </w:tcPr>
          <w:p w14:paraId="0FC545D6" w14:textId="77777777" w:rsidR="00A47DEE" w:rsidRPr="00F04EBB" w:rsidRDefault="00A47DEE" w:rsidP="00FC4ECC">
            <w:pPr>
              <w:widowControl w:val="0"/>
              <w:tabs>
                <w:tab w:val="left" w:pos="708"/>
              </w:tabs>
              <w:spacing w:after="120"/>
              <w:ind w:left="142"/>
              <w:rPr>
                <w:rFonts w:asciiTheme="minorHAnsi" w:eastAsia="Calibri" w:hAnsiTheme="minorHAnsi" w:cstheme="minorHAnsi"/>
                <w:color w:val="0000CC"/>
              </w:rPr>
            </w:pPr>
            <w:r w:rsidRPr="00F04EBB">
              <w:rPr>
                <w:rFonts w:asciiTheme="minorHAnsi" w:eastAsia="Calibri" w:hAnsiTheme="minorHAnsi" w:cstheme="minorHAnsi"/>
                <w:color w:val="0000CC"/>
              </w:rPr>
              <w:t xml:space="preserve">Consommation </w:t>
            </w:r>
          </w:p>
        </w:tc>
        <w:tc>
          <w:tcPr>
            <w:tcW w:w="7331" w:type="dxa"/>
          </w:tcPr>
          <w:p w14:paraId="0C26A2F0" w14:textId="77777777" w:rsidR="00A47DEE" w:rsidRDefault="00A47DEE" w:rsidP="00EE0E23">
            <w:pPr>
              <w:widowControl w:val="0"/>
              <w:spacing w:after="12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eastAsia="ja-JP"/>
              </w:rPr>
            </w:pPr>
          </w:p>
          <w:p w14:paraId="1E14CEBA" w14:textId="77777777" w:rsidR="00F813DE" w:rsidRPr="00F04EBB" w:rsidRDefault="00F813DE" w:rsidP="00EE0E23">
            <w:pPr>
              <w:widowControl w:val="0"/>
              <w:spacing w:after="12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lang w:eastAsia="ja-JP"/>
              </w:rPr>
            </w:pPr>
          </w:p>
        </w:tc>
      </w:tr>
      <w:tr w:rsidR="00A47DEE" w:rsidRPr="00F04EBB" w14:paraId="01A17BB2" w14:textId="77777777" w:rsidTr="00EE0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Pr>
          <w:p w14:paraId="2E9EB9C7" w14:textId="77777777" w:rsidR="00A47DEE" w:rsidRPr="00F04EBB" w:rsidRDefault="00A47DEE" w:rsidP="00EE0E23">
            <w:pPr>
              <w:autoSpaceDE w:val="0"/>
              <w:autoSpaceDN w:val="0"/>
              <w:adjustRightInd w:val="0"/>
              <w:jc w:val="both"/>
              <w:rPr>
                <w:rFonts w:asciiTheme="minorHAnsi" w:eastAsia="MS Mincho" w:hAnsiTheme="minorHAnsi" w:cstheme="minorHAnsi"/>
                <w:i/>
                <w:lang w:val="fr-FR" w:eastAsia="ja-JP"/>
              </w:rPr>
            </w:pPr>
            <w:r w:rsidRPr="00F04EBB">
              <w:rPr>
                <w:rFonts w:asciiTheme="minorHAnsi" w:eastAsia="MS Mincho" w:hAnsiTheme="minorHAnsi" w:cstheme="minorHAnsi"/>
                <w:color w:val="0000CC"/>
                <w:lang w:val="fr-FR"/>
              </w:rPr>
              <w:t>Principales contraintes liées à la filière</w:t>
            </w:r>
          </w:p>
          <w:p w14:paraId="1A49D66B" w14:textId="77777777" w:rsidR="00A47DEE" w:rsidRPr="00F04EBB" w:rsidRDefault="00A47DEE" w:rsidP="00EE0E23">
            <w:pPr>
              <w:widowControl w:val="0"/>
              <w:tabs>
                <w:tab w:val="left" w:pos="708"/>
              </w:tabs>
              <w:spacing w:after="120"/>
              <w:ind w:left="142"/>
              <w:jc w:val="both"/>
              <w:rPr>
                <w:rFonts w:asciiTheme="minorHAnsi" w:eastAsia="Calibri" w:hAnsiTheme="minorHAnsi" w:cstheme="minorHAnsi"/>
                <w:color w:val="0000CC"/>
                <w:lang w:val="fr-FR"/>
              </w:rPr>
            </w:pPr>
          </w:p>
        </w:tc>
        <w:tc>
          <w:tcPr>
            <w:tcW w:w="7331" w:type="dxa"/>
            <w:hideMark/>
          </w:tcPr>
          <w:p w14:paraId="1DB39985" w14:textId="77777777" w:rsidR="00A47DEE" w:rsidRPr="00F04EBB" w:rsidRDefault="00A47DEE" w:rsidP="00A47DEE">
            <w:pPr>
              <w:numPr>
                <w:ilvl w:val="0"/>
                <w:numId w:val="372"/>
              </w:numPr>
              <w:suppressAutoHyphens/>
              <w:contextualSpacing/>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lang w:val="fr-FR" w:eastAsia="ar-SA"/>
              </w:rPr>
            </w:pPr>
            <w:r w:rsidRPr="00F04EBB">
              <w:rPr>
                <w:rFonts w:asciiTheme="minorHAnsi" w:eastAsia="Times New Roman" w:hAnsiTheme="minorHAnsi" w:cstheme="minorHAnsi"/>
                <w:color w:val="000000"/>
                <w:lang w:val="fr-FR" w:eastAsia="ar-SA"/>
              </w:rPr>
              <w:t xml:space="preserve">Faute de disponibilité des parcelles aménagées exploitables. </w:t>
            </w:r>
          </w:p>
          <w:p w14:paraId="0E154435" w14:textId="77777777" w:rsidR="00A47DEE" w:rsidRPr="00F04EBB" w:rsidRDefault="00A47DEE" w:rsidP="00A47DEE">
            <w:pPr>
              <w:numPr>
                <w:ilvl w:val="0"/>
                <w:numId w:val="372"/>
              </w:numPr>
              <w:suppressAutoHyphens/>
              <w:contextualSpacing/>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lang w:val="fr-FR" w:eastAsia="ar-SA"/>
              </w:rPr>
            </w:pPr>
            <w:r w:rsidRPr="00F04EBB">
              <w:rPr>
                <w:rFonts w:asciiTheme="minorHAnsi" w:eastAsia="Times New Roman" w:hAnsiTheme="minorHAnsi" w:cstheme="minorHAnsi"/>
                <w:color w:val="000000"/>
                <w:lang w:val="fr-FR" w:eastAsia="ar-SA"/>
              </w:rPr>
              <w:t xml:space="preserve">Retard dans la mobilisation des financements et particulièrement la construction de l’usine. </w:t>
            </w:r>
          </w:p>
          <w:p w14:paraId="60E66444" w14:textId="77777777" w:rsidR="00A47DEE" w:rsidRPr="00F04EBB" w:rsidRDefault="00A47DEE" w:rsidP="00A47DEE">
            <w:pPr>
              <w:numPr>
                <w:ilvl w:val="0"/>
                <w:numId w:val="372"/>
              </w:numPr>
              <w:suppressAutoHyphens/>
              <w:contextualSpacing/>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lang w:val="fr-FR" w:eastAsia="ar-SA"/>
              </w:rPr>
            </w:pPr>
            <w:r w:rsidRPr="00F04EBB">
              <w:rPr>
                <w:rFonts w:asciiTheme="minorHAnsi" w:eastAsia="Times New Roman" w:hAnsiTheme="minorHAnsi" w:cstheme="minorHAnsi"/>
                <w:color w:val="000000"/>
                <w:lang w:val="fr-FR" w:eastAsia="ar-SA"/>
              </w:rPr>
              <w:t>Faible capacité des chercheurs nationaux dans ce domaine</w:t>
            </w:r>
          </w:p>
        </w:tc>
      </w:tr>
      <w:tr w:rsidR="00A47DEE" w:rsidRPr="00F04EBB" w14:paraId="151CE9DE" w14:textId="77777777" w:rsidTr="00FC4E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vAlign w:val="center"/>
          </w:tcPr>
          <w:p w14:paraId="2B12F9DD" w14:textId="77777777" w:rsidR="00A47DEE" w:rsidRPr="00F04EBB" w:rsidRDefault="00A47DEE" w:rsidP="00FC4ECC">
            <w:pPr>
              <w:widowControl w:val="0"/>
              <w:tabs>
                <w:tab w:val="left" w:pos="708"/>
              </w:tabs>
              <w:spacing w:after="120"/>
              <w:ind w:left="360"/>
              <w:rPr>
                <w:rFonts w:asciiTheme="minorHAnsi" w:eastAsia="Calibri" w:hAnsiTheme="minorHAnsi" w:cstheme="minorHAnsi"/>
                <w:color w:val="0000CC"/>
              </w:rPr>
            </w:pPr>
            <w:r w:rsidRPr="00F04EBB">
              <w:rPr>
                <w:rFonts w:asciiTheme="minorHAnsi" w:eastAsia="Calibri" w:hAnsiTheme="minorHAnsi" w:cstheme="minorHAnsi"/>
                <w:color w:val="0000CC"/>
              </w:rPr>
              <w:t xml:space="preserve">Enjeux   </w:t>
            </w:r>
          </w:p>
          <w:p w14:paraId="12084E7C" w14:textId="77777777" w:rsidR="00A47DEE" w:rsidRPr="00F04EBB" w:rsidRDefault="00A47DEE" w:rsidP="00FC4ECC">
            <w:pPr>
              <w:widowControl w:val="0"/>
              <w:tabs>
                <w:tab w:val="left" w:pos="708"/>
              </w:tabs>
              <w:spacing w:after="120"/>
              <w:ind w:left="142"/>
              <w:rPr>
                <w:rFonts w:asciiTheme="minorHAnsi" w:eastAsia="Calibri" w:hAnsiTheme="minorHAnsi" w:cstheme="minorHAnsi"/>
                <w:color w:val="0000CC"/>
              </w:rPr>
            </w:pPr>
          </w:p>
        </w:tc>
        <w:tc>
          <w:tcPr>
            <w:tcW w:w="7331" w:type="dxa"/>
            <w:hideMark/>
          </w:tcPr>
          <w:p w14:paraId="63B796B1" w14:textId="77777777" w:rsidR="00A47DEE" w:rsidRPr="00F04EBB" w:rsidRDefault="00A47DEE" w:rsidP="00EE0E23">
            <w:pPr>
              <w:widowControl w:val="0"/>
              <w:spacing w:after="120"/>
              <w:jc w:val="both"/>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lang w:val="fr-FR" w:eastAsia="ja-JP"/>
              </w:rPr>
            </w:pPr>
            <w:r w:rsidRPr="00F04EBB">
              <w:rPr>
                <w:rFonts w:asciiTheme="minorHAnsi" w:hAnsiTheme="minorHAnsi" w:cstheme="minorHAnsi"/>
                <w:color w:val="000000"/>
                <w:lang w:val="fr-FR" w:eastAsia="ja-JP"/>
              </w:rPr>
              <w:t xml:space="preserve">A partir de la canne à sucre, le projet prévoit ainsi une unité de production d’éthanol d’une capacité de 10 millions de litres par an, une usine d’aliments de bétail d’une capacité de 5 000 tonnes par an et une unité de production de fertilisants, ainsi que la production d’énergie. Il prévoit également la création de 2 000 emplois permanents et 1 000 emplois saisonniers. </w:t>
            </w:r>
          </w:p>
        </w:tc>
      </w:tr>
    </w:tbl>
    <w:p w14:paraId="40EF4583" w14:textId="77777777" w:rsidR="00FC4ECC" w:rsidRDefault="00FC4ECC" w:rsidP="00F813DE">
      <w:pPr>
        <w:keepNext/>
        <w:keepLines/>
        <w:pBdr>
          <w:bottom w:val="single" w:sz="24" w:space="1" w:color="00B050"/>
        </w:pBdr>
        <w:tabs>
          <w:tab w:val="left" w:pos="567"/>
          <w:tab w:val="left" w:pos="993"/>
          <w:tab w:val="left" w:pos="1276"/>
        </w:tabs>
        <w:spacing w:before="240" w:after="240"/>
        <w:ind w:left="-567"/>
        <w:jc w:val="center"/>
        <w:outlineLvl w:val="1"/>
        <w:rPr>
          <w:rFonts w:eastAsia="MS Gothic" w:cstheme="minorHAnsi"/>
          <w:b/>
          <w:bCs/>
          <w:color w:val="000000"/>
          <w:sz w:val="24"/>
          <w:szCs w:val="24"/>
        </w:rPr>
      </w:pPr>
      <w:bookmarkStart w:id="433" w:name="_Toc179577385"/>
    </w:p>
    <w:p w14:paraId="087AEC1B" w14:textId="77777777" w:rsidR="00FC4ECC" w:rsidRDefault="00FC4ECC" w:rsidP="00F813DE">
      <w:pPr>
        <w:keepNext/>
        <w:keepLines/>
        <w:pBdr>
          <w:bottom w:val="single" w:sz="24" w:space="1" w:color="00B050"/>
        </w:pBdr>
        <w:tabs>
          <w:tab w:val="left" w:pos="567"/>
          <w:tab w:val="left" w:pos="993"/>
          <w:tab w:val="left" w:pos="1276"/>
        </w:tabs>
        <w:spacing w:before="240" w:after="240"/>
        <w:ind w:left="-567"/>
        <w:jc w:val="center"/>
        <w:outlineLvl w:val="1"/>
        <w:rPr>
          <w:rFonts w:eastAsia="MS Gothic" w:cstheme="minorHAnsi"/>
          <w:b/>
          <w:bCs/>
          <w:color w:val="000000"/>
          <w:sz w:val="24"/>
          <w:szCs w:val="24"/>
        </w:rPr>
      </w:pPr>
    </w:p>
    <w:p w14:paraId="21F98518" w14:textId="5FD84FD1" w:rsidR="00A47DEE" w:rsidRDefault="00A47DEE" w:rsidP="00F813DE">
      <w:pPr>
        <w:keepNext/>
        <w:keepLines/>
        <w:pBdr>
          <w:bottom w:val="single" w:sz="24" w:space="1" w:color="00B050"/>
        </w:pBdr>
        <w:tabs>
          <w:tab w:val="left" w:pos="567"/>
          <w:tab w:val="left" w:pos="993"/>
          <w:tab w:val="left" w:pos="1276"/>
        </w:tabs>
        <w:spacing w:before="240" w:after="240"/>
        <w:ind w:left="-567"/>
        <w:jc w:val="center"/>
        <w:outlineLvl w:val="1"/>
        <w:rPr>
          <w:rFonts w:eastAsia="MS Gothic" w:cstheme="minorHAnsi"/>
          <w:b/>
          <w:bCs/>
          <w:color w:val="000000"/>
          <w:sz w:val="24"/>
          <w:szCs w:val="24"/>
        </w:rPr>
      </w:pPr>
      <w:r>
        <w:rPr>
          <w:rFonts w:eastAsia="MS Gothic" w:cstheme="minorHAnsi"/>
          <w:b/>
          <w:bCs/>
          <w:color w:val="000000"/>
          <w:sz w:val="24"/>
          <w:szCs w:val="24"/>
        </w:rPr>
        <w:t xml:space="preserve">Annexe 3 : </w:t>
      </w:r>
      <w:r w:rsidRPr="00FF7AFB">
        <w:rPr>
          <w:rFonts w:eastAsia="MS Gothic" w:cstheme="minorHAnsi"/>
          <w:b/>
          <w:bCs/>
          <w:color w:val="000000"/>
          <w:sz w:val="24"/>
          <w:szCs w:val="24"/>
        </w:rPr>
        <w:t>Hiérarchisation des risques climatiques majeurs</w:t>
      </w:r>
      <w:bookmarkEnd w:id="433"/>
    </w:p>
    <w:p w14:paraId="1B118261" w14:textId="77777777" w:rsidR="00F813DE" w:rsidRPr="00FC4ECC" w:rsidRDefault="00F813DE" w:rsidP="00FC4ECC">
      <w:pPr>
        <w:keepNext/>
        <w:keepLines/>
        <w:pBdr>
          <w:bottom w:val="single" w:sz="24" w:space="1" w:color="00B050"/>
        </w:pBdr>
        <w:tabs>
          <w:tab w:val="left" w:pos="567"/>
          <w:tab w:val="left" w:pos="993"/>
          <w:tab w:val="left" w:pos="1276"/>
        </w:tabs>
        <w:spacing w:before="240" w:after="240"/>
        <w:ind w:left="-567"/>
        <w:jc w:val="center"/>
        <w:outlineLvl w:val="1"/>
        <w:rPr>
          <w:rFonts w:eastAsia="MS Gothic" w:cstheme="minorHAnsi"/>
          <w:b/>
          <w:bCs/>
          <w:color w:val="000000"/>
          <w:sz w:val="8"/>
          <w:szCs w:val="8"/>
        </w:rPr>
      </w:pPr>
    </w:p>
    <w:p w14:paraId="6E9ACF6B" w14:textId="77777777" w:rsidR="00FC4ECC" w:rsidRDefault="00FC4ECC" w:rsidP="00A47DEE">
      <w:pPr>
        <w:widowControl w:val="0"/>
        <w:autoSpaceDE w:val="0"/>
        <w:autoSpaceDN w:val="0"/>
        <w:adjustRightInd w:val="0"/>
        <w:spacing w:before="23" w:after="0"/>
        <w:ind w:left="20" w:right="-21"/>
        <w:jc w:val="both"/>
        <w:rPr>
          <w:rFonts w:eastAsia="Times New Roman" w:cstheme="minorHAnsi"/>
          <w:color w:val="000000"/>
        </w:rPr>
      </w:pPr>
    </w:p>
    <w:p w14:paraId="7C73A73B" w14:textId="036902BD" w:rsidR="00A47DEE" w:rsidRDefault="00A47DEE" w:rsidP="00A47DEE">
      <w:pPr>
        <w:widowControl w:val="0"/>
        <w:autoSpaceDE w:val="0"/>
        <w:autoSpaceDN w:val="0"/>
        <w:adjustRightInd w:val="0"/>
        <w:spacing w:before="23" w:after="0"/>
        <w:ind w:left="20" w:right="-21"/>
        <w:jc w:val="both"/>
        <w:rPr>
          <w:rFonts w:eastAsia="Times New Roman" w:cstheme="minorHAnsi"/>
          <w:color w:val="000000"/>
        </w:rPr>
      </w:pPr>
      <w:r w:rsidRPr="00F468F7">
        <w:rPr>
          <w:rFonts w:eastAsia="Times New Roman" w:cstheme="minorHAnsi"/>
          <w:color w:val="000000"/>
        </w:rPr>
        <w:t>Le tableau ci-dessous montre que les risques climatiques majeurs les plus fréquents pour le secteur agricole sont respectivement : les sécheresses récurrentes, les inondations, les vagues de chaleurs et les vents de sable violents</w:t>
      </w:r>
    </w:p>
    <w:p w14:paraId="28EEE92F" w14:textId="77777777" w:rsidR="00F813DE" w:rsidRPr="00F468F7" w:rsidRDefault="00F813DE" w:rsidP="00A47DEE">
      <w:pPr>
        <w:widowControl w:val="0"/>
        <w:autoSpaceDE w:val="0"/>
        <w:autoSpaceDN w:val="0"/>
        <w:adjustRightInd w:val="0"/>
        <w:spacing w:before="23" w:after="0"/>
        <w:ind w:left="20" w:right="-21"/>
        <w:jc w:val="both"/>
        <w:rPr>
          <w:rFonts w:eastAsia="Times New Roman" w:cstheme="minorHAnsi"/>
          <w:b/>
          <w:bCs/>
          <w:color w:val="000000"/>
        </w:rPr>
      </w:pPr>
    </w:p>
    <w:p w14:paraId="7BE38781" w14:textId="77777777" w:rsidR="00A47DEE" w:rsidRDefault="00A47DEE" w:rsidP="00A47DEE">
      <w:pPr>
        <w:widowControl w:val="0"/>
        <w:autoSpaceDE w:val="0"/>
        <w:autoSpaceDN w:val="0"/>
        <w:adjustRightInd w:val="0"/>
        <w:spacing w:before="23" w:after="0" w:line="360" w:lineRule="auto"/>
        <w:ind w:left="20" w:right="-21"/>
        <w:jc w:val="both"/>
        <w:rPr>
          <w:rFonts w:eastAsia="Times New Roman" w:cstheme="minorHAnsi"/>
          <w:color w:val="000000"/>
        </w:rPr>
      </w:pPr>
      <w:r w:rsidRPr="00F468F7">
        <w:rPr>
          <w:rFonts w:eastAsia="Times New Roman" w:cstheme="minorHAnsi"/>
          <w:color w:val="000000"/>
        </w:rPr>
        <w:t>Tableau : Hiérarchisation des risques climatiques</w:t>
      </w:r>
    </w:p>
    <w:p w14:paraId="73032419" w14:textId="77777777" w:rsidR="00F813DE" w:rsidRPr="00F468F7" w:rsidRDefault="00F813DE" w:rsidP="00A47DEE">
      <w:pPr>
        <w:widowControl w:val="0"/>
        <w:autoSpaceDE w:val="0"/>
        <w:autoSpaceDN w:val="0"/>
        <w:adjustRightInd w:val="0"/>
        <w:spacing w:before="23" w:after="0" w:line="360" w:lineRule="auto"/>
        <w:ind w:left="20" w:right="-21"/>
        <w:jc w:val="both"/>
        <w:rPr>
          <w:rFonts w:eastAsia="Times New Roman" w:cstheme="minorHAnsi"/>
          <w:color w:val="000000"/>
        </w:rPr>
      </w:pPr>
    </w:p>
    <w:tbl>
      <w:tblPr>
        <w:tblStyle w:val="Tableausimple11"/>
        <w:tblW w:w="9294" w:type="dxa"/>
        <w:tblBorders>
          <w:top w:val="single" w:sz="24" w:space="0" w:color="385623" w:themeColor="accent6" w:themeShade="80"/>
          <w:left w:val="single" w:sz="24" w:space="0" w:color="385623" w:themeColor="accent6" w:themeShade="80"/>
          <w:bottom w:val="single" w:sz="24" w:space="0" w:color="385623" w:themeColor="accent6" w:themeShade="80"/>
          <w:right w:val="single" w:sz="24" w:space="0" w:color="385623" w:themeColor="accent6" w:themeShade="80"/>
          <w:insideH w:val="single" w:sz="24" w:space="0" w:color="385623" w:themeColor="accent6" w:themeShade="80"/>
          <w:insideV w:val="single" w:sz="24" w:space="0" w:color="385623" w:themeColor="accent6" w:themeShade="80"/>
        </w:tblBorders>
        <w:tblLook w:val="04A0" w:firstRow="1" w:lastRow="0" w:firstColumn="1" w:lastColumn="0" w:noHBand="0" w:noVBand="1"/>
      </w:tblPr>
      <w:tblGrid>
        <w:gridCol w:w="2583"/>
        <w:gridCol w:w="2237"/>
        <w:gridCol w:w="2237"/>
        <w:gridCol w:w="2237"/>
      </w:tblGrid>
      <w:tr w:rsidR="00A47DEE" w:rsidRPr="00F468F7" w14:paraId="35F8E708" w14:textId="77777777" w:rsidTr="00EE0E23">
        <w:trPr>
          <w:cnfStyle w:val="100000000000" w:firstRow="1" w:lastRow="0" w:firstColumn="0" w:lastColumn="0" w:oddVBand="0" w:evenVBand="0" w:oddHBand="0"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583" w:type="dxa"/>
            <w:hideMark/>
          </w:tcPr>
          <w:p w14:paraId="62D2507B" w14:textId="77777777" w:rsidR="00A47DEE" w:rsidRPr="00F468F7" w:rsidRDefault="00A47DEE" w:rsidP="00EE0E23">
            <w:pPr>
              <w:rPr>
                <w:rFonts w:eastAsia="Times New Roman" w:cstheme="minorHAnsi"/>
                <w:sz w:val="20"/>
                <w:szCs w:val="20"/>
              </w:rPr>
            </w:pPr>
            <w:r w:rsidRPr="00F468F7">
              <w:rPr>
                <w:rFonts w:cstheme="minorHAnsi"/>
                <w:sz w:val="20"/>
                <w:szCs w:val="20"/>
              </w:rPr>
              <w:t xml:space="preserve">RISQUES CLIMATIQUES </w:t>
            </w:r>
          </w:p>
        </w:tc>
        <w:tc>
          <w:tcPr>
            <w:tcW w:w="2237" w:type="dxa"/>
            <w:hideMark/>
          </w:tcPr>
          <w:p w14:paraId="396658D3"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468F7">
              <w:rPr>
                <w:rFonts w:cstheme="minorHAnsi"/>
                <w:sz w:val="20"/>
                <w:szCs w:val="20"/>
              </w:rPr>
              <w:t>INDICATEUR D’IMPACT</w:t>
            </w:r>
          </w:p>
        </w:tc>
        <w:tc>
          <w:tcPr>
            <w:tcW w:w="2237" w:type="dxa"/>
            <w:hideMark/>
          </w:tcPr>
          <w:p w14:paraId="266A5DD6"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468F7">
              <w:rPr>
                <w:rFonts w:cstheme="minorHAnsi"/>
                <w:sz w:val="20"/>
                <w:szCs w:val="20"/>
              </w:rPr>
              <w:t>POURCENTAGE (%)</w:t>
            </w:r>
          </w:p>
        </w:tc>
        <w:tc>
          <w:tcPr>
            <w:tcW w:w="2237" w:type="dxa"/>
            <w:hideMark/>
          </w:tcPr>
          <w:p w14:paraId="599EA3A5" w14:textId="77777777" w:rsidR="00A47DEE" w:rsidRPr="00F468F7" w:rsidRDefault="00A47DEE" w:rsidP="00EE0E2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468F7">
              <w:rPr>
                <w:rFonts w:cstheme="minorHAnsi"/>
                <w:sz w:val="20"/>
                <w:szCs w:val="20"/>
              </w:rPr>
              <w:t>RANG</w:t>
            </w:r>
          </w:p>
        </w:tc>
      </w:tr>
      <w:tr w:rsidR="00A47DEE" w:rsidRPr="00F468F7" w14:paraId="4425F7C3" w14:textId="77777777" w:rsidTr="00EE0E23">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583" w:type="dxa"/>
            <w:hideMark/>
          </w:tcPr>
          <w:p w14:paraId="28C3DB93" w14:textId="77777777" w:rsidR="00A47DEE" w:rsidRPr="00F468F7" w:rsidRDefault="00A47DEE" w:rsidP="00EE0E23">
            <w:pPr>
              <w:rPr>
                <w:rFonts w:cstheme="minorHAnsi"/>
                <w:b w:val="0"/>
                <w:bCs w:val="0"/>
                <w:sz w:val="20"/>
                <w:szCs w:val="20"/>
              </w:rPr>
            </w:pPr>
            <w:r w:rsidRPr="00F468F7">
              <w:rPr>
                <w:rFonts w:cstheme="minorHAnsi"/>
                <w:b w:val="0"/>
                <w:bCs w:val="0"/>
                <w:sz w:val="20"/>
                <w:szCs w:val="20"/>
              </w:rPr>
              <w:t>SECHERESSE</w:t>
            </w:r>
          </w:p>
        </w:tc>
        <w:tc>
          <w:tcPr>
            <w:tcW w:w="2237" w:type="dxa"/>
            <w:hideMark/>
          </w:tcPr>
          <w:p w14:paraId="7CCB5CAF"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68F7">
              <w:rPr>
                <w:rFonts w:cstheme="minorHAnsi"/>
                <w:sz w:val="20"/>
                <w:szCs w:val="20"/>
              </w:rPr>
              <w:t>22</w:t>
            </w:r>
          </w:p>
        </w:tc>
        <w:tc>
          <w:tcPr>
            <w:tcW w:w="2237" w:type="dxa"/>
            <w:hideMark/>
          </w:tcPr>
          <w:p w14:paraId="20AF8DF4" w14:textId="77777777" w:rsidR="00A47DEE" w:rsidRPr="00F468F7" w:rsidRDefault="00A47DEE" w:rsidP="00EE0E23">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68F7">
              <w:rPr>
                <w:rFonts w:cstheme="minorHAnsi"/>
                <w:sz w:val="20"/>
                <w:szCs w:val="20"/>
              </w:rPr>
              <w:t xml:space="preserve">                  27,16   </w:t>
            </w:r>
          </w:p>
        </w:tc>
        <w:tc>
          <w:tcPr>
            <w:tcW w:w="2237" w:type="dxa"/>
            <w:hideMark/>
          </w:tcPr>
          <w:p w14:paraId="09E57E2B"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68F7">
              <w:rPr>
                <w:rFonts w:cstheme="minorHAnsi"/>
                <w:sz w:val="20"/>
                <w:szCs w:val="20"/>
              </w:rPr>
              <w:t>1</w:t>
            </w:r>
          </w:p>
        </w:tc>
      </w:tr>
      <w:tr w:rsidR="00A47DEE" w:rsidRPr="00F468F7" w14:paraId="1929F61F" w14:textId="77777777" w:rsidTr="00EE0E23">
        <w:trPr>
          <w:trHeight w:val="73"/>
        </w:trPr>
        <w:tc>
          <w:tcPr>
            <w:cnfStyle w:val="001000000000" w:firstRow="0" w:lastRow="0" w:firstColumn="1" w:lastColumn="0" w:oddVBand="0" w:evenVBand="0" w:oddHBand="0" w:evenHBand="0" w:firstRowFirstColumn="0" w:firstRowLastColumn="0" w:lastRowFirstColumn="0" w:lastRowLastColumn="0"/>
            <w:tcW w:w="2583" w:type="dxa"/>
            <w:hideMark/>
          </w:tcPr>
          <w:p w14:paraId="7F9EB9E5" w14:textId="77777777" w:rsidR="00A47DEE" w:rsidRPr="00F468F7" w:rsidRDefault="00A47DEE" w:rsidP="00EE0E23">
            <w:pPr>
              <w:rPr>
                <w:rFonts w:cstheme="minorHAnsi"/>
                <w:b w:val="0"/>
                <w:bCs w:val="0"/>
                <w:color w:val="000000"/>
                <w:sz w:val="20"/>
                <w:szCs w:val="20"/>
              </w:rPr>
            </w:pPr>
            <w:r w:rsidRPr="00F468F7">
              <w:rPr>
                <w:rFonts w:cstheme="minorHAnsi"/>
                <w:b w:val="0"/>
                <w:bCs w:val="0"/>
                <w:color w:val="000000"/>
                <w:sz w:val="20"/>
                <w:szCs w:val="20"/>
              </w:rPr>
              <w:t>INONDATIONS</w:t>
            </w:r>
          </w:p>
        </w:tc>
        <w:tc>
          <w:tcPr>
            <w:tcW w:w="2237" w:type="dxa"/>
            <w:hideMark/>
          </w:tcPr>
          <w:p w14:paraId="074E8007"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21</w:t>
            </w:r>
          </w:p>
        </w:tc>
        <w:tc>
          <w:tcPr>
            <w:tcW w:w="2237" w:type="dxa"/>
            <w:hideMark/>
          </w:tcPr>
          <w:p w14:paraId="69924D81" w14:textId="77777777" w:rsidR="00A47DEE" w:rsidRPr="00F468F7" w:rsidRDefault="00A47DEE" w:rsidP="00EE0E23">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 xml:space="preserve">                  25,93   </w:t>
            </w:r>
          </w:p>
        </w:tc>
        <w:tc>
          <w:tcPr>
            <w:tcW w:w="2237" w:type="dxa"/>
            <w:hideMark/>
          </w:tcPr>
          <w:p w14:paraId="2CB43A36"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2</w:t>
            </w:r>
          </w:p>
        </w:tc>
      </w:tr>
      <w:tr w:rsidR="00A47DEE" w:rsidRPr="00F468F7" w14:paraId="297CF8DE" w14:textId="77777777" w:rsidTr="00EE0E23">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583" w:type="dxa"/>
            <w:hideMark/>
          </w:tcPr>
          <w:p w14:paraId="79D3C831" w14:textId="77777777" w:rsidR="00A47DEE" w:rsidRPr="00F468F7" w:rsidRDefault="00A47DEE" w:rsidP="00EE0E23">
            <w:pPr>
              <w:rPr>
                <w:rFonts w:cstheme="minorHAnsi"/>
                <w:b w:val="0"/>
                <w:bCs w:val="0"/>
                <w:color w:val="000000"/>
                <w:sz w:val="18"/>
                <w:szCs w:val="18"/>
              </w:rPr>
            </w:pPr>
            <w:r w:rsidRPr="00F468F7">
              <w:rPr>
                <w:rFonts w:cstheme="minorHAnsi"/>
                <w:b w:val="0"/>
                <w:bCs w:val="0"/>
                <w:color w:val="000000"/>
                <w:sz w:val="18"/>
                <w:szCs w:val="18"/>
              </w:rPr>
              <w:t>VAGUES DE CHALEUR</w:t>
            </w:r>
          </w:p>
        </w:tc>
        <w:tc>
          <w:tcPr>
            <w:tcW w:w="2237" w:type="dxa"/>
            <w:hideMark/>
          </w:tcPr>
          <w:p w14:paraId="4CB40433"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19</w:t>
            </w:r>
          </w:p>
        </w:tc>
        <w:tc>
          <w:tcPr>
            <w:tcW w:w="2237" w:type="dxa"/>
            <w:hideMark/>
          </w:tcPr>
          <w:p w14:paraId="3111F0DE" w14:textId="77777777" w:rsidR="00A47DEE" w:rsidRPr="00F468F7" w:rsidRDefault="00A47DEE" w:rsidP="00EE0E23">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 xml:space="preserve">                  23,46   </w:t>
            </w:r>
          </w:p>
        </w:tc>
        <w:tc>
          <w:tcPr>
            <w:tcW w:w="2237" w:type="dxa"/>
            <w:hideMark/>
          </w:tcPr>
          <w:p w14:paraId="18525469" w14:textId="77777777" w:rsidR="00A47DEE" w:rsidRPr="00F468F7" w:rsidRDefault="00A47DEE" w:rsidP="00EE0E23">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3</w:t>
            </w:r>
          </w:p>
        </w:tc>
      </w:tr>
      <w:tr w:rsidR="00A47DEE" w:rsidRPr="00F468F7" w14:paraId="49FA8EBB" w14:textId="77777777" w:rsidTr="00EE0E23">
        <w:trPr>
          <w:trHeight w:val="73"/>
        </w:trPr>
        <w:tc>
          <w:tcPr>
            <w:cnfStyle w:val="001000000000" w:firstRow="0" w:lastRow="0" w:firstColumn="1" w:lastColumn="0" w:oddVBand="0" w:evenVBand="0" w:oddHBand="0" w:evenHBand="0" w:firstRowFirstColumn="0" w:firstRowLastColumn="0" w:lastRowFirstColumn="0" w:lastRowLastColumn="0"/>
            <w:tcW w:w="2583" w:type="dxa"/>
            <w:hideMark/>
          </w:tcPr>
          <w:p w14:paraId="3A642362" w14:textId="77777777" w:rsidR="00A47DEE" w:rsidRPr="00F468F7" w:rsidRDefault="00A47DEE" w:rsidP="00EE0E23">
            <w:pPr>
              <w:rPr>
                <w:rFonts w:cstheme="minorHAnsi"/>
                <w:b w:val="0"/>
                <w:bCs w:val="0"/>
                <w:color w:val="000000"/>
                <w:sz w:val="20"/>
                <w:szCs w:val="20"/>
              </w:rPr>
            </w:pPr>
            <w:r w:rsidRPr="00F468F7">
              <w:rPr>
                <w:rFonts w:cstheme="minorHAnsi"/>
                <w:b w:val="0"/>
                <w:bCs w:val="0"/>
                <w:color w:val="000000"/>
                <w:sz w:val="20"/>
                <w:szCs w:val="20"/>
              </w:rPr>
              <w:t>VENTS DE SABLE</w:t>
            </w:r>
          </w:p>
        </w:tc>
        <w:tc>
          <w:tcPr>
            <w:tcW w:w="2237" w:type="dxa"/>
            <w:hideMark/>
          </w:tcPr>
          <w:p w14:paraId="2EAE2C10"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19</w:t>
            </w:r>
          </w:p>
        </w:tc>
        <w:tc>
          <w:tcPr>
            <w:tcW w:w="2237" w:type="dxa"/>
            <w:hideMark/>
          </w:tcPr>
          <w:p w14:paraId="6ADD23E6" w14:textId="77777777" w:rsidR="00A47DEE" w:rsidRPr="00F468F7" w:rsidRDefault="00A47DEE" w:rsidP="00EE0E23">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 xml:space="preserve">                  23,46   </w:t>
            </w:r>
          </w:p>
        </w:tc>
        <w:tc>
          <w:tcPr>
            <w:tcW w:w="2237" w:type="dxa"/>
            <w:hideMark/>
          </w:tcPr>
          <w:p w14:paraId="40B71056" w14:textId="77777777" w:rsidR="00A47DEE" w:rsidRPr="00F468F7" w:rsidRDefault="00A47DEE" w:rsidP="00EE0E23">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468F7">
              <w:rPr>
                <w:rFonts w:cstheme="minorHAnsi"/>
                <w:color w:val="000000"/>
                <w:sz w:val="20"/>
                <w:szCs w:val="20"/>
              </w:rPr>
              <w:t>4</w:t>
            </w:r>
          </w:p>
        </w:tc>
      </w:tr>
    </w:tbl>
    <w:p w14:paraId="2C426D75" w14:textId="77777777" w:rsidR="00A47DEE" w:rsidRPr="00F04EBB" w:rsidRDefault="00A47DEE" w:rsidP="00A47DEE">
      <w:pPr>
        <w:widowControl w:val="0"/>
        <w:tabs>
          <w:tab w:val="left" w:pos="142"/>
          <w:tab w:val="left" w:pos="924"/>
        </w:tabs>
        <w:spacing w:after="60"/>
        <w:ind w:left="720"/>
        <w:contextualSpacing/>
        <w:jc w:val="both"/>
        <w:rPr>
          <w:rFonts w:eastAsia="Times New Roman" w:cstheme="minorHAnsi"/>
          <w:iCs/>
          <w:color w:val="000000"/>
        </w:rPr>
      </w:pPr>
    </w:p>
    <w:p w14:paraId="6C0A26BB" w14:textId="77777777" w:rsidR="00402DFD" w:rsidRDefault="00402DFD" w:rsidP="00402DFD">
      <w:pPr>
        <w:widowControl w:val="0"/>
        <w:spacing w:after="0" w:line="240" w:lineRule="auto"/>
        <w:ind w:left="360"/>
        <w:jc w:val="center"/>
        <w:rPr>
          <w:rFonts w:eastAsia="Calibri" w:cstheme="minorHAnsi"/>
          <w:b/>
          <w:bCs/>
          <w:color w:val="215868"/>
          <w:sz w:val="24"/>
          <w:szCs w:val="24"/>
        </w:rPr>
      </w:pPr>
    </w:p>
    <w:p w14:paraId="1AD9A37C" w14:textId="77777777" w:rsidR="00F813DE" w:rsidRDefault="00F813DE" w:rsidP="00402DFD">
      <w:pPr>
        <w:widowControl w:val="0"/>
        <w:spacing w:after="0" w:line="240" w:lineRule="auto"/>
        <w:ind w:left="360"/>
        <w:jc w:val="center"/>
        <w:rPr>
          <w:rFonts w:eastAsia="Calibri" w:cstheme="minorHAnsi"/>
          <w:b/>
          <w:bCs/>
          <w:color w:val="215868"/>
          <w:sz w:val="24"/>
          <w:szCs w:val="24"/>
        </w:rPr>
      </w:pPr>
    </w:p>
    <w:p w14:paraId="58E33205" w14:textId="77777777" w:rsidR="00F813DE" w:rsidRDefault="00F813DE" w:rsidP="00402DFD">
      <w:pPr>
        <w:widowControl w:val="0"/>
        <w:spacing w:after="0" w:line="240" w:lineRule="auto"/>
        <w:ind w:left="360"/>
        <w:jc w:val="center"/>
        <w:rPr>
          <w:rFonts w:eastAsia="Calibri" w:cstheme="minorHAnsi"/>
          <w:b/>
          <w:bCs/>
          <w:color w:val="215868"/>
          <w:sz w:val="24"/>
          <w:szCs w:val="24"/>
        </w:rPr>
      </w:pPr>
    </w:p>
    <w:p w14:paraId="75EE4572" w14:textId="77777777" w:rsidR="00F813DE" w:rsidRDefault="00F813DE" w:rsidP="00402DFD">
      <w:pPr>
        <w:widowControl w:val="0"/>
        <w:spacing w:after="0" w:line="240" w:lineRule="auto"/>
        <w:ind w:left="360"/>
        <w:jc w:val="center"/>
        <w:rPr>
          <w:rFonts w:eastAsia="Calibri" w:cstheme="minorHAnsi"/>
          <w:b/>
          <w:bCs/>
          <w:color w:val="215868"/>
          <w:sz w:val="24"/>
          <w:szCs w:val="24"/>
        </w:rPr>
      </w:pPr>
    </w:p>
    <w:p w14:paraId="77587016" w14:textId="77777777" w:rsidR="00F813DE" w:rsidRDefault="00F813DE" w:rsidP="00402DFD">
      <w:pPr>
        <w:widowControl w:val="0"/>
        <w:spacing w:after="0" w:line="240" w:lineRule="auto"/>
        <w:ind w:left="360"/>
        <w:jc w:val="center"/>
        <w:rPr>
          <w:rFonts w:eastAsia="Calibri" w:cstheme="minorHAnsi"/>
          <w:b/>
          <w:bCs/>
          <w:color w:val="215868"/>
          <w:sz w:val="24"/>
          <w:szCs w:val="24"/>
        </w:rPr>
      </w:pPr>
    </w:p>
    <w:p w14:paraId="203AA058" w14:textId="77777777" w:rsidR="00F813DE" w:rsidRDefault="00F813DE" w:rsidP="00402DFD">
      <w:pPr>
        <w:widowControl w:val="0"/>
        <w:spacing w:after="0" w:line="240" w:lineRule="auto"/>
        <w:ind w:left="360"/>
        <w:jc w:val="center"/>
        <w:rPr>
          <w:rFonts w:eastAsia="Calibri" w:cstheme="minorHAnsi"/>
          <w:b/>
          <w:bCs/>
          <w:color w:val="215868"/>
          <w:sz w:val="24"/>
          <w:szCs w:val="24"/>
        </w:rPr>
      </w:pPr>
    </w:p>
    <w:p w14:paraId="40B395E9" w14:textId="77777777" w:rsidR="00F813DE" w:rsidRDefault="00F813DE" w:rsidP="00402DFD">
      <w:pPr>
        <w:widowControl w:val="0"/>
        <w:spacing w:after="0" w:line="240" w:lineRule="auto"/>
        <w:ind w:left="360"/>
        <w:jc w:val="center"/>
        <w:rPr>
          <w:rFonts w:eastAsia="Calibri" w:cstheme="minorHAnsi"/>
          <w:b/>
          <w:bCs/>
          <w:color w:val="215868"/>
          <w:sz w:val="24"/>
          <w:szCs w:val="24"/>
        </w:rPr>
      </w:pPr>
    </w:p>
    <w:p w14:paraId="54F0D3E0" w14:textId="77777777" w:rsidR="00F813DE" w:rsidRDefault="00F813DE" w:rsidP="00402DFD">
      <w:pPr>
        <w:widowControl w:val="0"/>
        <w:spacing w:after="0" w:line="240" w:lineRule="auto"/>
        <w:ind w:left="360"/>
        <w:jc w:val="center"/>
        <w:rPr>
          <w:rFonts w:eastAsia="Calibri" w:cstheme="minorHAnsi"/>
          <w:b/>
          <w:bCs/>
          <w:color w:val="215868"/>
          <w:sz w:val="24"/>
          <w:szCs w:val="24"/>
        </w:rPr>
      </w:pPr>
    </w:p>
    <w:p w14:paraId="07C37830" w14:textId="77777777" w:rsidR="00F813DE" w:rsidRDefault="00F813DE" w:rsidP="00402DFD">
      <w:pPr>
        <w:widowControl w:val="0"/>
        <w:spacing w:after="0" w:line="240" w:lineRule="auto"/>
        <w:ind w:left="360"/>
        <w:jc w:val="center"/>
        <w:rPr>
          <w:rFonts w:eastAsia="Calibri" w:cstheme="minorHAnsi"/>
          <w:b/>
          <w:bCs/>
          <w:color w:val="215868"/>
          <w:sz w:val="24"/>
          <w:szCs w:val="24"/>
        </w:rPr>
      </w:pPr>
    </w:p>
    <w:p w14:paraId="1AA44DC2" w14:textId="77777777" w:rsidR="00F813DE" w:rsidRDefault="00F813DE" w:rsidP="00402DFD">
      <w:pPr>
        <w:widowControl w:val="0"/>
        <w:spacing w:after="0" w:line="240" w:lineRule="auto"/>
        <w:ind w:left="360"/>
        <w:jc w:val="center"/>
        <w:rPr>
          <w:rFonts w:eastAsia="Calibri" w:cstheme="minorHAnsi"/>
          <w:b/>
          <w:bCs/>
          <w:color w:val="215868"/>
          <w:sz w:val="24"/>
          <w:szCs w:val="24"/>
        </w:rPr>
      </w:pPr>
    </w:p>
    <w:p w14:paraId="1320E67F" w14:textId="77777777" w:rsidR="00F813DE" w:rsidRDefault="00F813DE" w:rsidP="00402DFD">
      <w:pPr>
        <w:widowControl w:val="0"/>
        <w:spacing w:after="0" w:line="240" w:lineRule="auto"/>
        <w:ind w:left="360"/>
        <w:jc w:val="center"/>
        <w:rPr>
          <w:rFonts w:eastAsia="Calibri" w:cstheme="minorHAnsi"/>
          <w:b/>
          <w:bCs/>
          <w:color w:val="215868"/>
          <w:sz w:val="24"/>
          <w:szCs w:val="24"/>
        </w:rPr>
      </w:pPr>
    </w:p>
    <w:p w14:paraId="32D3E29B" w14:textId="77777777" w:rsidR="00F813DE" w:rsidRDefault="00F813DE" w:rsidP="00402DFD">
      <w:pPr>
        <w:widowControl w:val="0"/>
        <w:spacing w:after="0" w:line="240" w:lineRule="auto"/>
        <w:ind w:left="360"/>
        <w:jc w:val="center"/>
        <w:rPr>
          <w:rFonts w:eastAsia="Calibri" w:cstheme="minorHAnsi"/>
          <w:b/>
          <w:bCs/>
          <w:color w:val="215868"/>
          <w:sz w:val="24"/>
          <w:szCs w:val="24"/>
        </w:rPr>
      </w:pPr>
    </w:p>
    <w:p w14:paraId="62B93142" w14:textId="77777777" w:rsidR="00F813DE" w:rsidRDefault="00F813DE" w:rsidP="00402DFD">
      <w:pPr>
        <w:widowControl w:val="0"/>
        <w:spacing w:after="0" w:line="240" w:lineRule="auto"/>
        <w:ind w:left="360"/>
        <w:jc w:val="center"/>
        <w:rPr>
          <w:rFonts w:eastAsia="Calibri" w:cstheme="minorHAnsi"/>
          <w:b/>
          <w:bCs/>
          <w:color w:val="215868"/>
          <w:sz w:val="24"/>
          <w:szCs w:val="24"/>
        </w:rPr>
      </w:pPr>
    </w:p>
    <w:p w14:paraId="7ADEDBCC" w14:textId="2BD8DFB4" w:rsidR="00402DFD" w:rsidRDefault="00402DFD" w:rsidP="004910EB">
      <w:pPr>
        <w:widowControl w:val="0"/>
        <w:spacing w:after="0" w:line="240" w:lineRule="auto"/>
        <w:ind w:left="360"/>
        <w:jc w:val="center"/>
        <w:rPr>
          <w:rFonts w:eastAsia="Calibri" w:cstheme="minorHAnsi"/>
          <w:b/>
          <w:bCs/>
          <w:color w:val="215868"/>
          <w:sz w:val="24"/>
          <w:szCs w:val="24"/>
        </w:rPr>
      </w:pPr>
      <w:r w:rsidRPr="008F6A71">
        <w:rPr>
          <w:rFonts w:eastAsia="Calibri" w:cstheme="minorHAnsi"/>
          <w:noProof/>
          <w:color w:val="008000"/>
        </w:rPr>
        <w:drawing>
          <wp:inline distT="0" distB="0" distL="0" distR="0" wp14:anchorId="2F895D5A" wp14:editId="00E8FBF4">
            <wp:extent cx="852147" cy="698583"/>
            <wp:effectExtent l="0" t="0" r="5715" b="6350"/>
            <wp:docPr id="24160787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859184" cy="704352"/>
                    </a:xfrm>
                    <a:prstGeom prst="rect">
                      <a:avLst/>
                    </a:prstGeom>
                    <a:noFill/>
                    <a:ln>
                      <a:noFill/>
                    </a:ln>
                  </pic:spPr>
                </pic:pic>
              </a:graphicData>
            </a:graphic>
          </wp:inline>
        </w:drawing>
      </w:r>
    </w:p>
    <w:p w14:paraId="149E419B" w14:textId="77777777" w:rsidR="00402DFD" w:rsidRDefault="00402DFD" w:rsidP="00402DFD">
      <w:pPr>
        <w:widowControl w:val="0"/>
        <w:spacing w:after="0" w:line="240" w:lineRule="auto"/>
        <w:ind w:left="360"/>
        <w:jc w:val="center"/>
        <w:rPr>
          <w:rFonts w:eastAsia="Calibri" w:cstheme="minorHAnsi"/>
          <w:b/>
          <w:bCs/>
          <w:color w:val="215868"/>
          <w:sz w:val="24"/>
          <w:szCs w:val="24"/>
        </w:rPr>
      </w:pPr>
    </w:p>
    <w:p w14:paraId="754158BE" w14:textId="0D47C005" w:rsidR="00402DFD" w:rsidRPr="008F6A71" w:rsidRDefault="00402DFD" w:rsidP="00402DFD">
      <w:pPr>
        <w:widowControl w:val="0"/>
        <w:spacing w:after="0" w:line="240" w:lineRule="auto"/>
        <w:ind w:left="360"/>
        <w:jc w:val="center"/>
        <w:rPr>
          <w:rFonts w:eastAsia="Calibri" w:cstheme="minorHAnsi"/>
          <w:b/>
          <w:bCs/>
          <w:color w:val="215868"/>
          <w:sz w:val="24"/>
          <w:szCs w:val="24"/>
        </w:rPr>
      </w:pPr>
      <w:r w:rsidRPr="00F468F7">
        <w:rPr>
          <w:rFonts w:cstheme="minorHAnsi"/>
          <w:b/>
          <w:caps/>
          <w:noProof/>
          <w:color w:val="00B050"/>
          <w:sz w:val="24"/>
          <w:szCs w:val="24"/>
        </w:rPr>
        <mc:AlternateContent>
          <mc:Choice Requires="wps">
            <w:drawing>
              <wp:anchor distT="0" distB="0" distL="114300" distR="114300" simplePos="0" relativeHeight="251753472" behindDoc="0" locked="0" layoutInCell="1" allowOverlap="1" wp14:anchorId="1537B23F" wp14:editId="14BDD57C">
                <wp:simplePos x="0" y="0"/>
                <wp:positionH relativeFrom="page">
                  <wp:align>left</wp:align>
                </wp:positionH>
                <wp:positionV relativeFrom="paragraph">
                  <wp:posOffset>-889162</wp:posOffset>
                </wp:positionV>
                <wp:extent cx="666750" cy="23597043"/>
                <wp:effectExtent l="0" t="0" r="0" b="44450"/>
                <wp:wrapNone/>
                <wp:docPr id="60960175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23597043"/>
                        </a:xfrm>
                        <a:prstGeom prst="rect">
                          <a:avLst/>
                        </a:prstGeom>
                        <a:gradFill rotWithShape="1">
                          <a:gsLst>
                            <a:gs pos="0">
                              <a:srgbClr val="DBEEF4"/>
                            </a:gs>
                            <a:gs pos="37000">
                              <a:srgbClr val="DBEEF4"/>
                            </a:gs>
                            <a:gs pos="75000">
                              <a:srgbClr val="E9F4D4"/>
                            </a:gs>
                            <a:gs pos="100000">
                              <a:srgbClr val="F3F9EA"/>
                            </a:gs>
                          </a:gsLst>
                          <a:lin ang="0" scaled="1"/>
                        </a:gradFill>
                        <a:ln>
                          <a:noFill/>
                        </a:ln>
                        <a:effectLst>
                          <a:outerShdw dist="23000" dir="5400000" rotWithShape="0">
                            <a:srgbClr val="80808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401BB8EE" w14:textId="77777777" w:rsidR="00402DFD" w:rsidRDefault="00402DFD" w:rsidP="00402DFD">
                            <w:pPr>
                              <w:jc w:val="center"/>
                              <w:rPr>
                                <w:rFonts w:ascii="Cambria" w:hAnsi="Cambria" w:cs="Tahoma"/>
                                <w:b/>
                                <w:bCs/>
                                <w:color w:val="385623" w:themeColor="accent6" w:themeShade="80"/>
                                <w:sz w:val="36"/>
                                <w:szCs w:val="36"/>
                              </w:rPr>
                            </w:pPr>
                            <w:r>
                              <w:rPr>
                                <w:rFonts w:ascii="Cambria" w:hAnsi="Cambria" w:cs="Tahoma"/>
                                <w:b/>
                                <w:bCs/>
                                <w:color w:val="385623" w:themeColor="accent6" w:themeShade="80"/>
                                <w:sz w:val="36"/>
                                <w:szCs w:val="36"/>
                              </w:rPr>
                              <w:t xml:space="preserve">                                                                                                                                                                                                                                                                                                                V</w:t>
                            </w:r>
                            <w:r w:rsidRPr="0030793D">
                              <w:rPr>
                                <w:rFonts w:ascii="Cambria" w:hAnsi="Cambria" w:cs="Tahoma"/>
                                <w:b/>
                                <w:bCs/>
                                <w:color w:val="385623" w:themeColor="accent6" w:themeShade="80"/>
                                <w:sz w:val="36"/>
                                <w:szCs w:val="36"/>
                              </w:rPr>
                              <w:t xml:space="preserve">olet </w:t>
                            </w:r>
                            <w:proofErr w:type="gramStart"/>
                            <w:r>
                              <w:rPr>
                                <w:rFonts w:ascii="Cambria" w:hAnsi="Cambria" w:cs="Tahoma"/>
                                <w:b/>
                                <w:bCs/>
                                <w:color w:val="385623" w:themeColor="accent6" w:themeShade="80"/>
                                <w:sz w:val="36"/>
                                <w:szCs w:val="36"/>
                              </w:rPr>
                              <w:t>vulnérabilité  &amp;</w:t>
                            </w:r>
                            <w:proofErr w:type="gramEnd"/>
                            <w:r>
                              <w:rPr>
                                <w:rFonts w:ascii="Cambria" w:hAnsi="Cambria" w:cs="Tahoma"/>
                                <w:b/>
                                <w:bCs/>
                                <w:color w:val="385623" w:themeColor="accent6" w:themeShade="80"/>
                                <w:sz w:val="36"/>
                                <w:szCs w:val="36"/>
                              </w:rPr>
                              <w:t xml:space="preserve">  </w:t>
                            </w:r>
                            <w:r w:rsidRPr="0030793D">
                              <w:rPr>
                                <w:rFonts w:ascii="Cambria" w:hAnsi="Cambria" w:cs="Tahoma"/>
                                <w:b/>
                                <w:bCs/>
                                <w:color w:val="385623" w:themeColor="accent6" w:themeShade="80"/>
                                <w:sz w:val="36"/>
                                <w:szCs w:val="36"/>
                              </w:rPr>
                              <w:t>adaptation</w:t>
                            </w:r>
                          </w:p>
                          <w:p w14:paraId="02926AB0" w14:textId="77777777" w:rsidR="00402DFD" w:rsidRPr="0030793D" w:rsidRDefault="00402DFD" w:rsidP="00402DFD">
                            <w:pPr>
                              <w:jc w:val="right"/>
                              <w:rPr>
                                <w:rFonts w:ascii="Cambria" w:hAnsi="Cambria" w:cs="Tahoma"/>
                                <w:b/>
                                <w:bCs/>
                                <w:color w:val="76923C"/>
                                <w:sz w:val="24"/>
                              </w:rPr>
                            </w:pPr>
                            <w:r>
                              <w:rPr>
                                <w:rFonts w:ascii="Cambria" w:hAnsi="Cambria" w:cs="Tahoma"/>
                                <w:b/>
                                <w:bCs/>
                                <w:color w:val="385623" w:themeColor="accent6" w:themeShade="80"/>
                                <w:sz w:val="36"/>
                                <w:szCs w:val="36"/>
                              </w:rPr>
                              <w:t xml:space="preserve">   </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537B23F" id="_x0000_s1061" style="position:absolute;left:0;text-align:left;margin-left:0;margin-top:-70pt;width:52.5pt;height:1858.05pt;z-index:2517534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" fillcolor="#dbeef4" stroked="f">
                <v:fill color2="#f3f9ea" rotate="t" angle="90" colors="0 #dbeef4;24248f #dbeef4;.75 #e9f4d4;1 #f3f9ea" focus="100%" type="gradient"/>
                <v:shadow on="t" opacity="22936f" origin=",.5" offset="0,.63889mm"/>
                <v:textbox style="layout-flow:vertical;mso-layout-flow-alt:bottom-to-top">
                  <w:txbxContent>
                    <w:p w14:paraId="401BB8EE" w14:textId="77777777" w:rsidR="00402DFD" w:rsidRDefault="00402DFD" w:rsidP="00402DFD">
                      <w:pPr>
                        <w:jc w:val="center"/>
                        <w:rPr>
                          <w:rFonts w:ascii="Cambria" w:hAnsi="Cambria" w:cs="Tahoma"/>
                          <w:b/>
                          <w:bCs/>
                          <w:color w:val="385623" w:themeColor="accent6" w:themeShade="80"/>
                          <w:sz w:val="36"/>
                          <w:szCs w:val="36"/>
                        </w:rPr>
                      </w:pPr>
                      <w:r>
                        <w:rPr>
                          <w:rFonts w:ascii="Cambria" w:hAnsi="Cambria" w:cs="Tahoma"/>
                          <w:b/>
                          <w:bCs/>
                          <w:color w:val="385623" w:themeColor="accent6" w:themeShade="80"/>
                          <w:sz w:val="36"/>
                          <w:szCs w:val="36"/>
                        </w:rPr>
                        <w:t xml:space="preserve">                                                                                                                                                                                                                                                                                                                V</w:t>
                      </w:r>
                      <w:r w:rsidRPr="0030793D">
                        <w:rPr>
                          <w:rFonts w:ascii="Cambria" w:hAnsi="Cambria" w:cs="Tahoma"/>
                          <w:b/>
                          <w:bCs/>
                          <w:color w:val="385623" w:themeColor="accent6" w:themeShade="80"/>
                          <w:sz w:val="36"/>
                          <w:szCs w:val="36"/>
                        </w:rPr>
                        <w:t xml:space="preserve">olet </w:t>
                      </w:r>
                      <w:proofErr w:type="gramStart"/>
                      <w:r>
                        <w:rPr>
                          <w:rFonts w:ascii="Cambria" w:hAnsi="Cambria" w:cs="Tahoma"/>
                          <w:b/>
                          <w:bCs/>
                          <w:color w:val="385623" w:themeColor="accent6" w:themeShade="80"/>
                          <w:sz w:val="36"/>
                          <w:szCs w:val="36"/>
                        </w:rPr>
                        <w:t>vulnérabilité  &amp;</w:t>
                      </w:r>
                      <w:proofErr w:type="gramEnd"/>
                      <w:r>
                        <w:rPr>
                          <w:rFonts w:ascii="Cambria" w:hAnsi="Cambria" w:cs="Tahoma"/>
                          <w:b/>
                          <w:bCs/>
                          <w:color w:val="385623" w:themeColor="accent6" w:themeShade="80"/>
                          <w:sz w:val="36"/>
                          <w:szCs w:val="36"/>
                        </w:rPr>
                        <w:t xml:space="preserve">  </w:t>
                      </w:r>
                      <w:r w:rsidRPr="0030793D">
                        <w:rPr>
                          <w:rFonts w:ascii="Cambria" w:hAnsi="Cambria" w:cs="Tahoma"/>
                          <w:b/>
                          <w:bCs/>
                          <w:color w:val="385623" w:themeColor="accent6" w:themeShade="80"/>
                          <w:sz w:val="36"/>
                          <w:szCs w:val="36"/>
                        </w:rPr>
                        <w:t>adaptation</w:t>
                      </w:r>
                    </w:p>
                    <w:p w14:paraId="02926AB0" w14:textId="77777777" w:rsidR="00402DFD" w:rsidRPr="0030793D" w:rsidRDefault="00402DFD" w:rsidP="00402DFD">
                      <w:pPr>
                        <w:jc w:val="right"/>
                        <w:rPr>
                          <w:rFonts w:ascii="Cambria" w:hAnsi="Cambria" w:cs="Tahoma"/>
                          <w:b/>
                          <w:bCs/>
                          <w:color w:val="76923C"/>
                          <w:sz w:val="24"/>
                        </w:rPr>
                      </w:pPr>
                      <w:r>
                        <w:rPr>
                          <w:rFonts w:ascii="Cambria" w:hAnsi="Cambria" w:cs="Tahoma"/>
                          <w:b/>
                          <w:bCs/>
                          <w:color w:val="385623" w:themeColor="accent6" w:themeShade="80"/>
                          <w:sz w:val="36"/>
                          <w:szCs w:val="36"/>
                        </w:rPr>
                        <w:t xml:space="preserve">   </w:t>
                      </w:r>
                    </w:p>
                  </w:txbxContent>
                </v:textbox>
                <w10:wrap anchorx="page"/>
              </v:rect>
            </w:pict>
          </mc:Fallback>
        </mc:AlternateContent>
      </w:r>
      <w:r w:rsidRPr="008F6A71">
        <w:rPr>
          <w:rFonts w:eastAsia="Calibri" w:cstheme="minorHAnsi"/>
          <w:b/>
          <w:bCs/>
          <w:color w:val="215868"/>
          <w:sz w:val="24"/>
          <w:szCs w:val="24"/>
        </w:rPr>
        <w:t>République Islamique de Mauritanie</w:t>
      </w:r>
    </w:p>
    <w:p w14:paraId="18204749" w14:textId="77777777" w:rsidR="00402DFD" w:rsidRPr="008F6A71" w:rsidRDefault="00402DFD" w:rsidP="00402DFD">
      <w:pPr>
        <w:spacing w:after="0" w:line="360" w:lineRule="auto"/>
        <w:jc w:val="center"/>
        <w:rPr>
          <w:rFonts w:eastAsia="Calibri" w:cstheme="minorHAnsi"/>
          <w:b/>
          <w:bCs/>
          <w:color w:val="215868"/>
          <w:sz w:val="20"/>
          <w:szCs w:val="20"/>
        </w:rPr>
      </w:pPr>
      <w:r w:rsidRPr="008F6A71">
        <w:rPr>
          <w:rFonts w:eastAsia="Calibri" w:cstheme="minorHAnsi"/>
          <w:b/>
          <w:bCs/>
          <w:color w:val="215868"/>
          <w:sz w:val="20"/>
          <w:szCs w:val="20"/>
        </w:rPr>
        <w:t>Honneur – Fraternité – Justice</w:t>
      </w:r>
    </w:p>
    <w:p w14:paraId="4418EB9B" w14:textId="77777777" w:rsidR="00402DFD" w:rsidRPr="008F6A71" w:rsidRDefault="00402DFD" w:rsidP="00F813DE">
      <w:pPr>
        <w:spacing w:after="0" w:line="360" w:lineRule="auto"/>
        <w:jc w:val="center"/>
        <w:rPr>
          <w:rFonts w:eastAsia="Calibri" w:cstheme="minorHAnsi"/>
          <w:b/>
          <w:bCs/>
          <w:color w:val="215868"/>
          <w:sz w:val="24"/>
          <w:szCs w:val="24"/>
        </w:rPr>
      </w:pPr>
      <w:r w:rsidRPr="008F6A71">
        <w:rPr>
          <w:rFonts w:eastAsia="Calibri" w:cstheme="minorHAnsi"/>
          <w:b/>
          <w:bCs/>
          <w:color w:val="215868"/>
          <w:sz w:val="24"/>
          <w:szCs w:val="24"/>
        </w:rPr>
        <w:t>Ministère de l’Environnement et du Développement Durable</w:t>
      </w:r>
    </w:p>
    <w:p w14:paraId="0B1376E6" w14:textId="77777777" w:rsidR="00402DFD" w:rsidRPr="008F6A71" w:rsidRDefault="00402DFD" w:rsidP="00F813DE">
      <w:pPr>
        <w:spacing w:after="0" w:line="360" w:lineRule="auto"/>
        <w:jc w:val="center"/>
        <w:rPr>
          <w:rFonts w:eastAsia="Calibri" w:cstheme="minorHAnsi"/>
          <w:b/>
          <w:bCs/>
          <w:color w:val="215868"/>
          <w:sz w:val="24"/>
          <w:szCs w:val="24"/>
        </w:rPr>
      </w:pPr>
      <w:r w:rsidRPr="008F6A71">
        <w:rPr>
          <w:rFonts w:eastAsia="Calibri" w:cstheme="minorHAnsi"/>
          <w:b/>
          <w:bCs/>
          <w:color w:val="215868"/>
          <w:sz w:val="24"/>
          <w:szCs w:val="24"/>
        </w:rPr>
        <w:t>Direction du climat et de l’économie verte</w:t>
      </w:r>
    </w:p>
    <w:p w14:paraId="04C50404" w14:textId="77777777" w:rsidR="00402DFD" w:rsidRPr="008F6A71" w:rsidRDefault="00402DFD" w:rsidP="00FC4ECC">
      <w:pPr>
        <w:spacing w:after="0" w:line="240" w:lineRule="auto"/>
        <w:jc w:val="center"/>
        <w:rPr>
          <w:rFonts w:eastAsia="Calibri" w:cstheme="minorHAnsi"/>
          <w:b/>
          <w:bCs/>
          <w:color w:val="215868"/>
          <w:sz w:val="24"/>
          <w:szCs w:val="24"/>
        </w:rPr>
      </w:pPr>
      <w:r>
        <w:rPr>
          <w:rFonts w:eastAsia="Calibri" w:cstheme="minorHAnsi"/>
          <w:b/>
          <w:bCs/>
          <w:color w:val="215868"/>
          <w:sz w:val="24"/>
          <w:szCs w:val="24"/>
        </w:rPr>
        <w:t xml:space="preserve">Activité Habilitante </w:t>
      </w:r>
      <w:r w:rsidRPr="008F6A71">
        <w:rPr>
          <w:rFonts w:eastAsia="Calibri" w:cstheme="minorHAnsi"/>
          <w:b/>
          <w:bCs/>
          <w:color w:val="215868"/>
          <w:sz w:val="24"/>
          <w:szCs w:val="24"/>
        </w:rPr>
        <w:t>Cinquième Communication Nationale sur le changement climatique - NC5</w:t>
      </w:r>
    </w:p>
    <w:p w14:paraId="5CA85ECF" w14:textId="77777777" w:rsidR="00E12950" w:rsidRPr="00EE4BD3" w:rsidRDefault="00E12950" w:rsidP="00FC4ECC">
      <w:pPr>
        <w:pStyle w:val="Normal2GC"/>
        <w:spacing w:before="0" w:after="0" w:line="240" w:lineRule="auto"/>
        <w:jc w:val="center"/>
        <w:rPr>
          <w:rFonts w:asciiTheme="majorBidi" w:hAnsiTheme="majorBidi" w:cstheme="majorBidi"/>
          <w:color w:val="000000"/>
          <w:u w:val="single"/>
          <w:lang w:val="fr-FR"/>
        </w:rPr>
      </w:pPr>
      <w:r w:rsidRPr="00EE4BD3">
        <w:rPr>
          <w:rFonts w:asciiTheme="majorBidi" w:hAnsiTheme="majorBidi" w:cstheme="majorBidi"/>
          <w:color w:val="000000"/>
          <w:u w:val="single"/>
          <w:lang w:val="fr-FR"/>
        </w:rPr>
        <w:t>Elaboré et présenté par</w:t>
      </w:r>
    </w:p>
    <w:p w14:paraId="424A08DC" w14:textId="77777777" w:rsidR="00E12950" w:rsidRPr="00EE4BD3" w:rsidRDefault="00E12950" w:rsidP="00FC4ECC">
      <w:pPr>
        <w:pStyle w:val="Normal2GC"/>
        <w:spacing w:before="0" w:after="0" w:line="240" w:lineRule="auto"/>
        <w:jc w:val="center"/>
        <w:rPr>
          <w:rFonts w:asciiTheme="majorBidi" w:hAnsiTheme="majorBidi" w:cstheme="majorBidi"/>
          <w:b/>
          <w:bCs/>
          <w:color w:val="000000"/>
          <w:sz w:val="28"/>
          <w:szCs w:val="28"/>
          <w:lang w:val="fr-FR"/>
        </w:rPr>
      </w:pPr>
      <w:r w:rsidRPr="00EE4BD3">
        <w:rPr>
          <w:rFonts w:asciiTheme="majorBidi" w:hAnsiTheme="majorBidi" w:cstheme="majorBidi"/>
          <w:b/>
          <w:bCs/>
          <w:color w:val="000000"/>
          <w:sz w:val="28"/>
          <w:szCs w:val="28"/>
          <w:lang w:val="fr-FR"/>
        </w:rPr>
        <w:t>Dr Aminetou AHMED LOULY</w:t>
      </w:r>
    </w:p>
    <w:p w14:paraId="2D42BBB6" w14:textId="77777777" w:rsidR="00E12950" w:rsidRPr="00EE4BD3" w:rsidRDefault="00E12950" w:rsidP="00E12950">
      <w:pPr>
        <w:pStyle w:val="Normal2GC"/>
        <w:spacing w:before="0" w:after="100" w:afterAutospacing="1" w:line="240" w:lineRule="auto"/>
        <w:jc w:val="center"/>
        <w:rPr>
          <w:rFonts w:asciiTheme="majorBidi" w:hAnsiTheme="majorBidi" w:cstheme="majorBidi"/>
          <w:b/>
          <w:bCs/>
          <w:color w:val="000000"/>
          <w:lang w:val="fr-FR"/>
        </w:rPr>
      </w:pPr>
      <w:r w:rsidRPr="00EE4BD3">
        <w:rPr>
          <w:rFonts w:asciiTheme="majorBidi" w:hAnsiTheme="majorBidi" w:cstheme="majorBidi"/>
          <w:b/>
          <w:bCs/>
          <w:color w:val="000000"/>
          <w:lang w:val="fr-FR"/>
        </w:rPr>
        <w:t>Biologiste /Auditeur qualité/ Spécialiste santé environnement /Expert QHSE/2024</w:t>
      </w:r>
    </w:p>
    <w:p w14:paraId="13284979" w14:textId="031D8767" w:rsidR="00A47DEE" w:rsidRPr="00F04EBB" w:rsidRDefault="00E12950" w:rsidP="00E12950">
      <w:pPr>
        <w:autoSpaceDE w:val="0"/>
        <w:autoSpaceDN w:val="0"/>
        <w:adjustRightInd w:val="0"/>
        <w:spacing w:after="120" w:line="240" w:lineRule="auto"/>
        <w:contextualSpacing/>
        <w:jc w:val="both"/>
        <w:rPr>
          <w:rFonts w:eastAsia="Calibri" w:cstheme="minorHAnsi"/>
          <w:color w:val="000000"/>
        </w:rPr>
      </w:pPr>
      <w:r w:rsidRPr="001805CA">
        <w:rPr>
          <w:noProof/>
        </w:rPr>
        <mc:AlternateContent>
          <mc:Choice Requires="wps">
            <w:drawing>
              <wp:anchor distT="0" distB="0" distL="114300" distR="114300" simplePos="0" relativeHeight="251727872" behindDoc="0" locked="0" layoutInCell="1" allowOverlap="1" wp14:anchorId="3CCD394E" wp14:editId="26815075">
                <wp:simplePos x="0" y="0"/>
                <wp:positionH relativeFrom="margin">
                  <wp:posOffset>-49005</wp:posOffset>
                </wp:positionH>
                <wp:positionV relativeFrom="paragraph">
                  <wp:posOffset>580</wp:posOffset>
                </wp:positionV>
                <wp:extent cx="6040120" cy="739140"/>
                <wp:effectExtent l="0" t="0" r="17780" b="22860"/>
                <wp:wrapSquare wrapText="bothSides"/>
                <wp:docPr id="832744107" name="Zone de texte 1"/>
                <wp:cNvGraphicFramePr/>
                <a:graphic xmlns:a="http://schemas.openxmlformats.org/drawingml/2006/main">
                  <a:graphicData uri="http://schemas.microsoft.com/office/word/2010/wordprocessingShape">
                    <wps:wsp>
                      <wps:cNvSpPr txBox="1"/>
                      <wps:spPr>
                        <a:xfrm>
                          <a:off x="0" y="0"/>
                          <a:ext cx="6040120" cy="739140"/>
                        </a:xfrm>
                        <a:prstGeom prst="rect">
                          <a:avLst/>
                        </a:prstGeom>
                        <a:noFill/>
                        <a:ln w="6350">
                          <a:solidFill>
                            <a:prstClr val="black"/>
                          </a:solidFill>
                        </a:ln>
                      </wps:spPr>
                      <wps:txbx>
                        <w:txbxContent>
                          <w:p w14:paraId="014F8631" w14:textId="761C3786" w:rsidR="00A47DEE" w:rsidRPr="00EE4BD3" w:rsidRDefault="00A47DEE" w:rsidP="00FC4ECC">
                            <w:pPr>
                              <w:pStyle w:val="CoverHeading1"/>
                              <w:spacing w:before="120"/>
                              <w:jc w:val="center"/>
                              <w:rPr>
                                <w:rFonts w:asciiTheme="minorBidi" w:hAnsiTheme="minorBidi" w:cstheme="minorBidi"/>
                                <w:color w:val="A66500"/>
                                <w:sz w:val="32"/>
                                <w:szCs w:val="32"/>
                                <w:lang w:val="fr-FR"/>
                              </w:rPr>
                            </w:pPr>
                            <w:r w:rsidRPr="00EE4BD3">
                              <w:rPr>
                                <w:rFonts w:asciiTheme="minorBidi" w:hAnsiTheme="minorBidi" w:cstheme="minorBidi"/>
                                <w:color w:val="A66500"/>
                                <w:sz w:val="32"/>
                                <w:szCs w:val="32"/>
                                <w:lang w:val="fr-FR"/>
                              </w:rPr>
                              <w:t xml:space="preserve">Evaluation de la vulnérabilité </w:t>
                            </w:r>
                            <w:r w:rsidR="00E12950">
                              <w:rPr>
                                <w:rFonts w:asciiTheme="minorBidi" w:hAnsiTheme="minorBidi" w:cstheme="minorBidi"/>
                                <w:color w:val="A66500"/>
                                <w:sz w:val="32"/>
                                <w:szCs w:val="32"/>
                                <w:lang w:val="fr-FR"/>
                              </w:rPr>
                              <w:t xml:space="preserve">et </w:t>
                            </w:r>
                            <w:r w:rsidR="00E12950" w:rsidRPr="00EE4BD3">
                              <w:rPr>
                                <w:rFonts w:asciiTheme="minorBidi" w:hAnsiTheme="minorBidi" w:cstheme="minorBidi"/>
                                <w:color w:val="A66500"/>
                                <w:sz w:val="32"/>
                                <w:szCs w:val="32"/>
                                <w:lang w:val="fr-FR"/>
                              </w:rPr>
                              <w:t xml:space="preserve">adaptation </w:t>
                            </w:r>
                            <w:r>
                              <w:rPr>
                                <w:rFonts w:asciiTheme="minorBidi" w:hAnsiTheme="minorBidi" w:cstheme="minorBidi"/>
                                <w:color w:val="A66500"/>
                                <w:sz w:val="32"/>
                                <w:szCs w:val="32"/>
                                <w:lang w:val="fr-FR"/>
                              </w:rPr>
                              <w:t>aux</w:t>
                            </w:r>
                            <w:r w:rsidRPr="00EE4BD3">
                              <w:rPr>
                                <w:rFonts w:asciiTheme="minorBidi" w:hAnsiTheme="minorBidi" w:cstheme="minorBidi"/>
                                <w:color w:val="A66500"/>
                                <w:sz w:val="32"/>
                                <w:szCs w:val="32"/>
                                <w:lang w:val="fr-FR"/>
                              </w:rPr>
                              <w:t xml:space="preserve"> changements </w:t>
                            </w:r>
                            <w:r w:rsidR="00FC4ECC" w:rsidRPr="00EE4BD3">
                              <w:rPr>
                                <w:rFonts w:asciiTheme="minorBidi" w:hAnsiTheme="minorBidi" w:cstheme="minorBidi"/>
                                <w:color w:val="A66500"/>
                                <w:sz w:val="32"/>
                                <w:szCs w:val="32"/>
                                <w:lang w:val="fr-FR"/>
                              </w:rPr>
                              <w:t>climatiques du</w:t>
                            </w:r>
                            <w:r w:rsidRPr="00EE4BD3">
                              <w:rPr>
                                <w:rFonts w:asciiTheme="minorBidi" w:hAnsiTheme="minorBidi" w:cstheme="minorBidi"/>
                                <w:color w:val="A66500"/>
                                <w:sz w:val="32"/>
                                <w:szCs w:val="32"/>
                                <w:lang w:val="fr-FR"/>
                              </w:rPr>
                              <w:t xml:space="preserve"> Secteur de la Santé  </w:t>
                            </w:r>
                          </w:p>
                          <w:p w14:paraId="62DBBBBF" w14:textId="77777777" w:rsidR="00A47DEE" w:rsidRPr="00EE4BD3" w:rsidRDefault="00A47DEE" w:rsidP="00A47DEE">
                            <w:pPr>
                              <w:pStyle w:val="CoverHeading1"/>
                              <w:spacing w:before="120" w:after="120"/>
                              <w:ind w:left="0"/>
                              <w:jc w:val="center"/>
                              <w:rPr>
                                <w:rFonts w:asciiTheme="minorBidi" w:hAnsiTheme="minorBidi" w:cstheme="minorBidi"/>
                                <w:i/>
                                <w:iCs/>
                                <w:color w:val="A66500"/>
                                <w:sz w:val="36"/>
                                <w:szCs w:val="36"/>
                                <w:lang w:val="fr-FR"/>
                              </w:rPr>
                            </w:pPr>
                            <w:r w:rsidRPr="00EE4BD3">
                              <w:rPr>
                                <w:rFonts w:asciiTheme="minorBidi" w:hAnsiTheme="minorBidi" w:cstheme="minorBidi"/>
                                <w:i/>
                                <w:iCs/>
                                <w:color w:val="A66500"/>
                                <w:sz w:val="36"/>
                                <w:szCs w:val="36"/>
                                <w:lang w:val="fr-F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D394E" id="Zone de texte 1" o:spid="_x0000_s1062" type="#_x0000_t202" style="position:absolute;left:0;text-align:left;margin-left:-3.85pt;margin-top:.05pt;width:475.6pt;height:58.2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" filled="f" strokeweight=".5pt">
                <v:textbox>
                  <w:txbxContent>
                    <w:p w14:paraId="014F8631" w14:textId="761C3786" w:rsidR="00A47DEE" w:rsidRPr="00EE4BD3" w:rsidRDefault="00A47DEE" w:rsidP="00FC4ECC">
                      <w:pPr>
                        <w:pStyle w:val="CoverHeading1"/>
                        <w:spacing w:before="120"/>
                        <w:jc w:val="center"/>
                        <w:rPr>
                          <w:rFonts w:asciiTheme="minorBidi" w:hAnsiTheme="minorBidi" w:cstheme="minorBidi"/>
                          <w:color w:val="A66500"/>
                          <w:sz w:val="32"/>
                          <w:szCs w:val="32"/>
                          <w:lang w:val="fr-FR"/>
                        </w:rPr>
                      </w:pPr>
                      <w:r w:rsidRPr="00EE4BD3">
                        <w:rPr>
                          <w:rFonts w:asciiTheme="minorBidi" w:hAnsiTheme="minorBidi" w:cstheme="minorBidi"/>
                          <w:color w:val="A66500"/>
                          <w:sz w:val="32"/>
                          <w:szCs w:val="32"/>
                          <w:lang w:val="fr-FR"/>
                        </w:rPr>
                        <w:t xml:space="preserve">Evaluation de la vulnérabilité </w:t>
                      </w:r>
                      <w:r w:rsidR="00E12950">
                        <w:rPr>
                          <w:rFonts w:asciiTheme="minorBidi" w:hAnsiTheme="minorBidi" w:cstheme="minorBidi"/>
                          <w:color w:val="A66500"/>
                          <w:sz w:val="32"/>
                          <w:szCs w:val="32"/>
                          <w:lang w:val="fr-FR"/>
                        </w:rPr>
                        <w:t xml:space="preserve">et </w:t>
                      </w:r>
                      <w:r w:rsidR="00E12950" w:rsidRPr="00EE4BD3">
                        <w:rPr>
                          <w:rFonts w:asciiTheme="minorBidi" w:hAnsiTheme="minorBidi" w:cstheme="minorBidi"/>
                          <w:color w:val="A66500"/>
                          <w:sz w:val="32"/>
                          <w:szCs w:val="32"/>
                          <w:lang w:val="fr-FR"/>
                        </w:rPr>
                        <w:t xml:space="preserve">adaptation </w:t>
                      </w:r>
                      <w:r>
                        <w:rPr>
                          <w:rFonts w:asciiTheme="minorBidi" w:hAnsiTheme="minorBidi" w:cstheme="minorBidi"/>
                          <w:color w:val="A66500"/>
                          <w:sz w:val="32"/>
                          <w:szCs w:val="32"/>
                          <w:lang w:val="fr-FR"/>
                        </w:rPr>
                        <w:t>aux</w:t>
                      </w:r>
                      <w:r w:rsidRPr="00EE4BD3">
                        <w:rPr>
                          <w:rFonts w:asciiTheme="minorBidi" w:hAnsiTheme="minorBidi" w:cstheme="minorBidi"/>
                          <w:color w:val="A66500"/>
                          <w:sz w:val="32"/>
                          <w:szCs w:val="32"/>
                          <w:lang w:val="fr-FR"/>
                        </w:rPr>
                        <w:t xml:space="preserve"> changements </w:t>
                      </w:r>
                      <w:r w:rsidR="00FC4ECC" w:rsidRPr="00EE4BD3">
                        <w:rPr>
                          <w:rFonts w:asciiTheme="minorBidi" w:hAnsiTheme="minorBidi" w:cstheme="minorBidi"/>
                          <w:color w:val="A66500"/>
                          <w:sz w:val="32"/>
                          <w:szCs w:val="32"/>
                          <w:lang w:val="fr-FR"/>
                        </w:rPr>
                        <w:t>climatiques du</w:t>
                      </w:r>
                      <w:r w:rsidRPr="00EE4BD3">
                        <w:rPr>
                          <w:rFonts w:asciiTheme="minorBidi" w:hAnsiTheme="minorBidi" w:cstheme="minorBidi"/>
                          <w:color w:val="A66500"/>
                          <w:sz w:val="32"/>
                          <w:szCs w:val="32"/>
                          <w:lang w:val="fr-FR"/>
                        </w:rPr>
                        <w:t xml:space="preserve"> Secteur de la Santé  </w:t>
                      </w:r>
                    </w:p>
                    <w:p w14:paraId="62DBBBBF" w14:textId="77777777" w:rsidR="00A47DEE" w:rsidRPr="00EE4BD3" w:rsidRDefault="00A47DEE" w:rsidP="00A47DEE">
                      <w:pPr>
                        <w:pStyle w:val="CoverHeading1"/>
                        <w:spacing w:before="120" w:after="120"/>
                        <w:ind w:left="0"/>
                        <w:jc w:val="center"/>
                        <w:rPr>
                          <w:rFonts w:asciiTheme="minorBidi" w:hAnsiTheme="minorBidi" w:cstheme="minorBidi"/>
                          <w:i/>
                          <w:iCs/>
                          <w:color w:val="A66500"/>
                          <w:sz w:val="36"/>
                          <w:szCs w:val="36"/>
                          <w:lang w:val="fr-FR"/>
                        </w:rPr>
                      </w:pPr>
                      <w:r w:rsidRPr="00EE4BD3">
                        <w:rPr>
                          <w:rFonts w:asciiTheme="minorBidi" w:hAnsiTheme="minorBidi" w:cstheme="minorBidi"/>
                          <w:i/>
                          <w:iCs/>
                          <w:color w:val="A66500"/>
                          <w:sz w:val="36"/>
                          <w:szCs w:val="36"/>
                          <w:lang w:val="fr-FR"/>
                        </w:rPr>
                        <w:t xml:space="preserve"> </w:t>
                      </w:r>
                    </w:p>
                  </w:txbxContent>
                </v:textbox>
                <w10:wrap type="square" anchorx="margin"/>
              </v:shape>
            </w:pict>
          </mc:Fallback>
        </mc:AlternateContent>
      </w:r>
      <w:r>
        <w:rPr>
          <w:rFonts w:asciiTheme="majorBidi" w:hAnsiTheme="majorBidi" w:cstheme="majorBidi"/>
          <w:b/>
          <w:bCs/>
          <w:color w:val="000000"/>
        </w:rPr>
        <w:t> </w:t>
      </w:r>
    </w:p>
    <w:p w14:paraId="22BE8633" w14:textId="0EA7489C" w:rsidR="00A47DEE" w:rsidRPr="00EE0E23" w:rsidRDefault="00A47DEE" w:rsidP="004910EB">
      <w:pPr>
        <w:pStyle w:val="Paragraphedeliste"/>
        <w:numPr>
          <w:ilvl w:val="0"/>
          <w:numId w:val="397"/>
        </w:numPr>
        <w:autoSpaceDE w:val="0"/>
        <w:autoSpaceDN w:val="0"/>
        <w:adjustRightInd w:val="0"/>
        <w:ind w:left="426" w:hanging="426"/>
        <w:jc w:val="center"/>
        <w:rPr>
          <w:rFonts w:asciiTheme="majorBidi" w:hAnsiTheme="majorBidi" w:cstheme="majorBidi"/>
          <w:color w:val="000000"/>
          <w:u w:val="single"/>
        </w:rPr>
      </w:pPr>
      <w:bookmarkStart w:id="434" w:name="_Hlk142133600"/>
      <w:r w:rsidRPr="00EE0E23">
        <w:rPr>
          <w:rFonts w:asciiTheme="majorBidi" w:hAnsiTheme="majorBidi" w:cstheme="majorBidi"/>
          <w:b/>
          <w:bCs/>
          <w:color w:val="000000"/>
          <w:sz w:val="28"/>
          <w:szCs w:val="28"/>
          <w:u w:val="single"/>
        </w:rPr>
        <w:t>Introduction</w:t>
      </w:r>
    </w:p>
    <w:p w14:paraId="022F227B" w14:textId="77777777" w:rsidR="00A47DEE" w:rsidRPr="00EE4BD3" w:rsidRDefault="00A47DEE" w:rsidP="00A47DEE">
      <w:pPr>
        <w:autoSpaceDE w:val="0"/>
        <w:autoSpaceDN w:val="0"/>
        <w:adjustRightInd w:val="0"/>
        <w:spacing w:after="120"/>
        <w:jc w:val="both"/>
        <w:rPr>
          <w:rFonts w:asciiTheme="majorBidi" w:hAnsiTheme="majorBidi" w:cstheme="majorBidi"/>
        </w:rPr>
      </w:pPr>
      <w:r w:rsidRPr="00EE4BD3">
        <w:rPr>
          <w:rFonts w:asciiTheme="majorBidi" w:hAnsiTheme="majorBidi" w:cstheme="majorBidi"/>
        </w:rPr>
        <w:t>Située à l’Ouest du continent africain, la République Islamique de Mauritanie est entre les 15ème et 27ème degré de latitude Nord et les 5ème et 17ème degré de longitude Ouest</w:t>
      </w:r>
      <w:r>
        <w:rPr>
          <w:rFonts w:asciiTheme="majorBidi" w:hAnsiTheme="majorBidi" w:cstheme="majorBidi"/>
        </w:rPr>
        <w:t xml:space="preserve"> </w:t>
      </w:r>
      <w:r w:rsidRPr="00EE4BD3">
        <w:rPr>
          <w:rFonts w:asciiTheme="majorBidi" w:hAnsiTheme="majorBidi" w:cstheme="majorBidi"/>
        </w:rPr>
        <w:t>; limitée au Nord par le Sahara occidental, le Maroc et l’Algérie, à l’Est par le Mali, au Sud par le Mali et le Sénégal, la Mauritanie est un pays charnière entre l'Afrique de l'Ouest, le Maghreb et le Sahara avec une superficie de 1 030 700 km</w:t>
      </w:r>
      <w:r w:rsidRPr="00604A3F">
        <w:rPr>
          <w:rFonts w:asciiTheme="majorBidi" w:hAnsiTheme="majorBidi" w:cstheme="majorBidi"/>
          <w:vertAlign w:val="superscript"/>
        </w:rPr>
        <w:t>2</w:t>
      </w:r>
      <w:r w:rsidRPr="00EE4BD3">
        <w:rPr>
          <w:rFonts w:asciiTheme="majorBidi" w:hAnsiTheme="majorBidi" w:cstheme="majorBidi"/>
        </w:rPr>
        <w:t xml:space="preserve">. </w:t>
      </w:r>
    </w:p>
    <w:p w14:paraId="654A74E4" w14:textId="77777777" w:rsidR="00A47DEE" w:rsidRPr="00EE4BD3" w:rsidRDefault="00A47DEE" w:rsidP="00A47DEE">
      <w:pPr>
        <w:autoSpaceDE w:val="0"/>
        <w:autoSpaceDN w:val="0"/>
        <w:adjustRightInd w:val="0"/>
        <w:spacing w:after="120"/>
        <w:jc w:val="both"/>
        <w:rPr>
          <w:rFonts w:asciiTheme="majorBidi" w:hAnsiTheme="majorBidi" w:cstheme="majorBidi"/>
        </w:rPr>
      </w:pPr>
      <w:r w:rsidRPr="00EE4BD3">
        <w:rPr>
          <w:rFonts w:asciiTheme="majorBidi" w:hAnsiTheme="majorBidi" w:cstheme="majorBidi"/>
        </w:rPr>
        <w:t>C’est essentiellement un pays désertique, avec de vastes étendues de terres pastorales et seulement 0.5% de terres arables. Le climat est généralement chaud et sec, saharien au Nord et sahélien au Sud. Il est doux en bordure d’océan atlantique et connaît quatre mois de saison des pluies (de juin à septembre). Par tout dans le pays le vent peut déclencher une tempête de sable.</w:t>
      </w:r>
    </w:p>
    <w:p w14:paraId="74732F1C" w14:textId="77777777" w:rsidR="00A47DEE" w:rsidRPr="00EE4BD3" w:rsidRDefault="00A47DEE" w:rsidP="00A47DEE">
      <w:pPr>
        <w:autoSpaceDE w:val="0"/>
        <w:autoSpaceDN w:val="0"/>
        <w:adjustRightInd w:val="0"/>
        <w:spacing w:after="120"/>
        <w:jc w:val="both"/>
        <w:rPr>
          <w:rFonts w:asciiTheme="majorBidi" w:hAnsiTheme="majorBidi" w:cstheme="majorBidi"/>
          <w:color w:val="C00000"/>
        </w:rPr>
      </w:pPr>
      <w:r w:rsidRPr="00EE4BD3">
        <w:rPr>
          <w:rFonts w:asciiTheme="majorBidi" w:hAnsiTheme="majorBidi" w:cstheme="majorBidi"/>
        </w:rPr>
        <w:t>Sur la base du Recensement Général de la Population et de l’Habitat (RGPH), effectué en 2023, la population totale de la Mauritanie est 4 927 532. Cette population est caractéris</w:t>
      </w:r>
      <w:r>
        <w:rPr>
          <w:rFonts w:asciiTheme="majorBidi" w:hAnsiTheme="majorBidi" w:cstheme="majorBidi"/>
        </w:rPr>
        <w:t>é</w:t>
      </w:r>
      <w:r w:rsidRPr="00EE4BD3">
        <w:rPr>
          <w:rFonts w:asciiTheme="majorBidi" w:hAnsiTheme="majorBidi" w:cstheme="majorBidi"/>
        </w:rPr>
        <w:t>e par sa grande jeunesse : la moities de la population est âgée de moi</w:t>
      </w:r>
      <w:r>
        <w:rPr>
          <w:rFonts w:asciiTheme="majorBidi" w:hAnsiTheme="majorBidi" w:cstheme="majorBidi"/>
        </w:rPr>
        <w:t>n</w:t>
      </w:r>
      <w:r w:rsidRPr="00EE4BD3">
        <w:rPr>
          <w:rFonts w:asciiTheme="majorBidi" w:hAnsiTheme="majorBidi" w:cstheme="majorBidi"/>
        </w:rPr>
        <w:t>s de 20 ans, en outre elle est à majorité f</w:t>
      </w:r>
      <w:r>
        <w:rPr>
          <w:rFonts w:asciiTheme="majorBidi" w:hAnsiTheme="majorBidi" w:cstheme="majorBidi"/>
        </w:rPr>
        <w:t>é</w:t>
      </w:r>
      <w:r w:rsidRPr="00EE4BD3">
        <w:rPr>
          <w:rFonts w:asciiTheme="majorBidi" w:hAnsiTheme="majorBidi" w:cstheme="majorBidi"/>
        </w:rPr>
        <w:t>minine 51,8% (source RGPH 2023).  Le taux d</w:t>
      </w:r>
      <w:r>
        <w:rPr>
          <w:rFonts w:asciiTheme="majorBidi" w:hAnsiTheme="majorBidi" w:cstheme="majorBidi"/>
        </w:rPr>
        <w:t xml:space="preserve">e </w:t>
      </w:r>
      <w:r w:rsidRPr="00EE4BD3">
        <w:rPr>
          <w:rFonts w:asciiTheme="majorBidi" w:hAnsiTheme="majorBidi" w:cstheme="majorBidi"/>
        </w:rPr>
        <w:t>croissance moyen annuel de la population entre le</w:t>
      </w:r>
      <w:r>
        <w:rPr>
          <w:rFonts w:asciiTheme="majorBidi" w:hAnsiTheme="majorBidi" w:cstheme="majorBidi"/>
        </w:rPr>
        <w:t>s</w:t>
      </w:r>
      <w:r w:rsidRPr="00EE4BD3">
        <w:rPr>
          <w:rFonts w:asciiTheme="majorBidi" w:hAnsiTheme="majorBidi" w:cstheme="majorBidi"/>
        </w:rPr>
        <w:t xml:space="preserve"> recensements </w:t>
      </w:r>
      <w:r>
        <w:rPr>
          <w:rFonts w:asciiTheme="majorBidi" w:hAnsiTheme="majorBidi" w:cstheme="majorBidi"/>
        </w:rPr>
        <w:t xml:space="preserve">de </w:t>
      </w:r>
      <w:r w:rsidRPr="00EE4BD3">
        <w:rPr>
          <w:rFonts w:asciiTheme="majorBidi" w:hAnsiTheme="majorBidi" w:cstheme="majorBidi"/>
        </w:rPr>
        <w:t>2013 et 2023 est de 3,1 %, avec une densité de 4,5 habitants par kilomètre carré</w:t>
      </w:r>
      <w:r>
        <w:rPr>
          <w:rFonts w:asciiTheme="majorBidi" w:hAnsiTheme="majorBidi" w:cstheme="majorBidi"/>
        </w:rPr>
        <w:t> ;</w:t>
      </w:r>
      <w:r w:rsidRPr="00EE4BD3">
        <w:rPr>
          <w:rFonts w:asciiTheme="majorBidi" w:hAnsiTheme="majorBidi" w:cstheme="majorBidi"/>
        </w:rPr>
        <w:t xml:space="preserve"> ce qui en fait le quatrième pays le moins densément peuplé d'Afrique. </w:t>
      </w:r>
      <w:r w:rsidRPr="005A6BD6">
        <w:rPr>
          <w:rFonts w:asciiTheme="majorBidi" w:hAnsiTheme="majorBidi" w:cstheme="majorBidi"/>
          <w:color w:val="000000"/>
        </w:rPr>
        <w:t>Elle est majoritairement rurale mais la tendance à l’urbanisation s’est accélérée au cours de ces deux dernières décennies. Le taux d’urbanisation est actuellement de 42,3%</w:t>
      </w:r>
      <w:r w:rsidRPr="00EE4BD3">
        <w:rPr>
          <w:rFonts w:asciiTheme="majorBidi" w:hAnsiTheme="majorBidi" w:cstheme="majorBidi"/>
          <w:color w:val="C00000"/>
        </w:rPr>
        <w:t>.</w:t>
      </w:r>
    </w:p>
    <w:p w14:paraId="01E345AE" w14:textId="77777777" w:rsidR="00A47DEE" w:rsidRPr="00EE4BD3" w:rsidRDefault="00A47DEE" w:rsidP="00A47DEE">
      <w:pPr>
        <w:autoSpaceDE w:val="0"/>
        <w:autoSpaceDN w:val="0"/>
        <w:adjustRightInd w:val="0"/>
        <w:jc w:val="both"/>
        <w:rPr>
          <w:rFonts w:asciiTheme="majorBidi" w:hAnsiTheme="majorBidi" w:cstheme="majorBidi"/>
        </w:rPr>
      </w:pPr>
      <w:r w:rsidRPr="00EE4BD3">
        <w:rPr>
          <w:rFonts w:asciiTheme="majorBidi" w:hAnsiTheme="majorBidi" w:cstheme="majorBidi"/>
        </w:rPr>
        <w:t>Sur le plan administratif, depuis le 25 novembre 2015 le pays est divisé en 15 Wilayas, 63 Moughataas (départements) et 220 Communes, respectivement dirigées par des Walis, des Hakems.</w:t>
      </w:r>
    </w:p>
    <w:p w14:paraId="06F4C51C" w14:textId="77777777" w:rsidR="00A47DEE" w:rsidRPr="00EE4BD3" w:rsidRDefault="00A47DEE" w:rsidP="00A47DEE">
      <w:pPr>
        <w:jc w:val="both"/>
        <w:rPr>
          <w:rFonts w:asciiTheme="majorBidi" w:hAnsiTheme="majorBidi" w:cstheme="majorBidi"/>
        </w:rPr>
      </w:pPr>
      <w:r w:rsidRPr="00EE4BD3">
        <w:rPr>
          <w:rFonts w:asciiTheme="majorBidi" w:hAnsiTheme="majorBidi" w:cstheme="majorBidi"/>
        </w:rPr>
        <w:t>Selon le rapport annuel 2023 du Programme des Nations-Unies pour le Développement (PNUD) en Mauritanie, publié en mars 2024, le bilan des Ressources Cadre de la Coopération 2018-2024 se présente comme suit :</w:t>
      </w:r>
    </w:p>
    <w:tbl>
      <w:tblPr>
        <w:tblStyle w:val="Grilledutableau"/>
        <w:tblW w:w="9039" w:type="dxa"/>
        <w:tblLayout w:type="fixed"/>
        <w:tblLook w:val="04A0" w:firstRow="1" w:lastRow="0" w:firstColumn="1" w:lastColumn="0" w:noHBand="0" w:noVBand="1"/>
      </w:tblPr>
      <w:tblGrid>
        <w:gridCol w:w="5382"/>
        <w:gridCol w:w="3657"/>
      </w:tblGrid>
      <w:tr w:rsidR="00A47DEE" w:rsidRPr="00EE4BD3" w14:paraId="190B5C30" w14:textId="77777777" w:rsidTr="00EE0E23">
        <w:trPr>
          <w:trHeight w:val="89"/>
        </w:trPr>
        <w:tc>
          <w:tcPr>
            <w:tcW w:w="5382" w:type="dxa"/>
            <w:shd w:val="clear" w:color="auto" w:fill="909EE6"/>
          </w:tcPr>
          <w:p w14:paraId="773A6CAE" w14:textId="77777777" w:rsidR="00A47DEE" w:rsidRPr="005A5ACC" w:rsidRDefault="00A47DEE" w:rsidP="00EE0E23">
            <w:pPr>
              <w:jc w:val="both"/>
              <w:rPr>
                <w:rFonts w:asciiTheme="majorBidi" w:hAnsiTheme="majorBidi" w:cstheme="majorBidi"/>
                <w:b/>
                <w:bCs/>
              </w:rPr>
            </w:pPr>
            <w:r w:rsidRPr="005A5ACC">
              <w:rPr>
                <w:rFonts w:asciiTheme="majorBidi" w:hAnsiTheme="majorBidi" w:cstheme="majorBidi"/>
                <w:b/>
                <w:bCs/>
              </w:rPr>
              <w:t>Données</w:t>
            </w:r>
          </w:p>
        </w:tc>
        <w:tc>
          <w:tcPr>
            <w:tcW w:w="3657" w:type="dxa"/>
            <w:shd w:val="clear" w:color="auto" w:fill="909EE6"/>
          </w:tcPr>
          <w:p w14:paraId="1768582C" w14:textId="77777777" w:rsidR="00A47DEE" w:rsidRPr="005A5ACC" w:rsidRDefault="00A47DEE" w:rsidP="00EE0E23">
            <w:pPr>
              <w:jc w:val="both"/>
              <w:rPr>
                <w:rFonts w:asciiTheme="majorBidi" w:hAnsiTheme="majorBidi" w:cstheme="majorBidi"/>
                <w:b/>
                <w:bCs/>
              </w:rPr>
            </w:pPr>
            <w:r w:rsidRPr="005A5ACC">
              <w:rPr>
                <w:rFonts w:asciiTheme="majorBidi" w:hAnsiTheme="majorBidi" w:cstheme="majorBidi"/>
                <w:b/>
                <w:bCs/>
              </w:rPr>
              <w:t>Paramètres</w:t>
            </w:r>
          </w:p>
        </w:tc>
      </w:tr>
      <w:tr w:rsidR="00A47DEE" w:rsidRPr="00EE4BD3" w14:paraId="02BB1FD2" w14:textId="77777777" w:rsidTr="00EE0E23">
        <w:tc>
          <w:tcPr>
            <w:tcW w:w="5382" w:type="dxa"/>
          </w:tcPr>
          <w:p w14:paraId="63DC6CDC"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Population</w:t>
            </w:r>
          </w:p>
        </w:tc>
        <w:tc>
          <w:tcPr>
            <w:tcW w:w="3657" w:type="dxa"/>
          </w:tcPr>
          <w:p w14:paraId="1A492272"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4.5 Millions d’habitants</w:t>
            </w:r>
          </w:p>
        </w:tc>
      </w:tr>
      <w:tr w:rsidR="00A47DEE" w:rsidRPr="00EE4BD3" w14:paraId="01CA48BF" w14:textId="77777777" w:rsidTr="00EE0E23">
        <w:tc>
          <w:tcPr>
            <w:tcW w:w="5382" w:type="dxa"/>
          </w:tcPr>
          <w:p w14:paraId="5FC07BCD"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Superficie</w:t>
            </w:r>
          </w:p>
        </w:tc>
        <w:tc>
          <w:tcPr>
            <w:tcW w:w="3657" w:type="dxa"/>
          </w:tcPr>
          <w:p w14:paraId="765A505F"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1 030 700 km</w:t>
            </w:r>
            <w:r w:rsidRPr="00EE4BD3">
              <w:rPr>
                <w:rFonts w:asciiTheme="majorBidi" w:hAnsiTheme="majorBidi" w:cstheme="majorBidi"/>
                <w:sz w:val="20"/>
                <w:szCs w:val="20"/>
                <w:vertAlign w:val="superscript"/>
              </w:rPr>
              <w:t>2</w:t>
            </w:r>
          </w:p>
        </w:tc>
      </w:tr>
      <w:tr w:rsidR="00A47DEE" w:rsidRPr="00EE4BD3" w14:paraId="67A50336" w14:textId="77777777" w:rsidTr="00EE0E23">
        <w:tc>
          <w:tcPr>
            <w:tcW w:w="5382" w:type="dxa"/>
          </w:tcPr>
          <w:p w14:paraId="48558128"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Espérance de vie</w:t>
            </w:r>
          </w:p>
        </w:tc>
        <w:tc>
          <w:tcPr>
            <w:tcW w:w="3657" w:type="dxa"/>
          </w:tcPr>
          <w:p w14:paraId="1348B719"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64 ans</w:t>
            </w:r>
          </w:p>
        </w:tc>
      </w:tr>
      <w:tr w:rsidR="00A47DEE" w:rsidRPr="00EE4BD3" w14:paraId="700121FD" w14:textId="77777777" w:rsidTr="00EE0E23">
        <w:trPr>
          <w:trHeight w:val="179"/>
        </w:trPr>
        <w:tc>
          <w:tcPr>
            <w:tcW w:w="5382" w:type="dxa"/>
          </w:tcPr>
          <w:p w14:paraId="4079133F"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Indice de fécondité</w:t>
            </w:r>
          </w:p>
        </w:tc>
        <w:tc>
          <w:tcPr>
            <w:tcW w:w="3657" w:type="dxa"/>
          </w:tcPr>
          <w:p w14:paraId="7FE42F8D"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4.3 enfants/femme</w:t>
            </w:r>
          </w:p>
        </w:tc>
      </w:tr>
      <w:tr w:rsidR="00A47DEE" w:rsidRPr="00EE4BD3" w14:paraId="0BF3A1B0" w14:textId="77777777" w:rsidTr="00EE0E23">
        <w:tc>
          <w:tcPr>
            <w:tcW w:w="5382" w:type="dxa"/>
          </w:tcPr>
          <w:p w14:paraId="7681EB28"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Demande céréalière produite au niveau national</w:t>
            </w:r>
          </w:p>
        </w:tc>
        <w:tc>
          <w:tcPr>
            <w:tcW w:w="3657" w:type="dxa"/>
          </w:tcPr>
          <w:p w14:paraId="71274E4C"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30 %</w:t>
            </w:r>
          </w:p>
        </w:tc>
      </w:tr>
      <w:tr w:rsidR="00A47DEE" w:rsidRPr="00EE4BD3" w14:paraId="29D3E544" w14:textId="77777777" w:rsidTr="00EE0E23">
        <w:tc>
          <w:tcPr>
            <w:tcW w:w="5382" w:type="dxa"/>
          </w:tcPr>
          <w:p w14:paraId="1C8E9BF4"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Taux de pauvreté</w:t>
            </w:r>
          </w:p>
        </w:tc>
        <w:tc>
          <w:tcPr>
            <w:tcW w:w="3657" w:type="dxa"/>
          </w:tcPr>
          <w:p w14:paraId="2601B044"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28.20 %</w:t>
            </w:r>
          </w:p>
        </w:tc>
      </w:tr>
      <w:tr w:rsidR="00A47DEE" w:rsidRPr="00EE4BD3" w14:paraId="1EF5BEBB" w14:textId="77777777" w:rsidTr="00EE0E23">
        <w:tc>
          <w:tcPr>
            <w:tcW w:w="5382" w:type="dxa"/>
          </w:tcPr>
          <w:p w14:paraId="410F1CE6"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Taux de malnutrition aiguë globale (MAG)</w:t>
            </w:r>
          </w:p>
        </w:tc>
        <w:tc>
          <w:tcPr>
            <w:tcW w:w="3657" w:type="dxa"/>
          </w:tcPr>
          <w:p w14:paraId="7BD46A0F"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11.1 %</w:t>
            </w:r>
          </w:p>
        </w:tc>
      </w:tr>
      <w:tr w:rsidR="00A47DEE" w:rsidRPr="00EE4BD3" w14:paraId="604943F4" w14:textId="77777777" w:rsidTr="00EE0E23">
        <w:tc>
          <w:tcPr>
            <w:tcW w:w="5382" w:type="dxa"/>
          </w:tcPr>
          <w:p w14:paraId="54A2DA62"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Ressources cadre de la coopération 2018-2023</w:t>
            </w:r>
          </w:p>
        </w:tc>
        <w:tc>
          <w:tcPr>
            <w:tcW w:w="3657" w:type="dxa"/>
          </w:tcPr>
          <w:p w14:paraId="06A0C243"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645.6 Millions USD</w:t>
            </w:r>
          </w:p>
        </w:tc>
      </w:tr>
      <w:tr w:rsidR="00A47DEE" w:rsidRPr="00EE4BD3" w14:paraId="4EC45B9B" w14:textId="77777777" w:rsidTr="00EE0E23">
        <w:tc>
          <w:tcPr>
            <w:tcW w:w="5382" w:type="dxa"/>
          </w:tcPr>
          <w:p w14:paraId="75C0C9A5" w14:textId="77777777" w:rsidR="00A47DEE" w:rsidRPr="00EE4BD3" w:rsidRDefault="00A47DEE" w:rsidP="00EE0E23">
            <w:pPr>
              <w:jc w:val="both"/>
              <w:rPr>
                <w:rFonts w:asciiTheme="majorBidi" w:hAnsiTheme="majorBidi" w:cstheme="majorBidi"/>
                <w:sz w:val="20"/>
                <w:szCs w:val="20"/>
              </w:rPr>
            </w:pPr>
            <w:r w:rsidRPr="00604A3F">
              <w:rPr>
                <w:rFonts w:asciiTheme="majorBidi" w:hAnsiTheme="majorBidi" w:cstheme="majorBidi"/>
                <w:color w:val="FF0000"/>
                <w:sz w:val="20"/>
                <w:szCs w:val="20"/>
              </w:rPr>
              <w:t>Personnes réfugiées ou en demande d’asile</w:t>
            </w:r>
          </w:p>
        </w:tc>
        <w:tc>
          <w:tcPr>
            <w:tcW w:w="3657" w:type="dxa"/>
          </w:tcPr>
          <w:p w14:paraId="0004AF43" w14:textId="77777777" w:rsidR="00A47DEE" w:rsidRPr="00EE4BD3" w:rsidRDefault="00A47DEE" w:rsidP="00EE0E23">
            <w:pPr>
              <w:jc w:val="both"/>
              <w:rPr>
                <w:rFonts w:asciiTheme="majorBidi" w:hAnsiTheme="majorBidi" w:cstheme="majorBidi"/>
                <w:sz w:val="20"/>
                <w:szCs w:val="20"/>
              </w:rPr>
            </w:pPr>
            <w:r w:rsidRPr="003C266B">
              <w:rPr>
                <w:rFonts w:asciiTheme="majorBidi" w:hAnsiTheme="majorBidi" w:cstheme="majorBidi"/>
                <w:color w:val="C00000"/>
                <w:sz w:val="20"/>
                <w:szCs w:val="20"/>
              </w:rPr>
              <w:t>112 021</w:t>
            </w:r>
          </w:p>
        </w:tc>
      </w:tr>
      <w:tr w:rsidR="00A47DEE" w:rsidRPr="00EE4BD3" w14:paraId="0469FCF6" w14:textId="77777777" w:rsidTr="00EE0E23">
        <w:tc>
          <w:tcPr>
            <w:tcW w:w="5382" w:type="dxa"/>
          </w:tcPr>
          <w:p w14:paraId="5DFB20F9"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Indice de risque climatique</w:t>
            </w:r>
          </w:p>
        </w:tc>
        <w:tc>
          <w:tcPr>
            <w:tcW w:w="3657" w:type="dxa"/>
          </w:tcPr>
          <w:p w14:paraId="062CEC18" w14:textId="77777777" w:rsidR="00A47DEE" w:rsidRPr="00EE4BD3" w:rsidRDefault="00A47DEE" w:rsidP="00EE0E23">
            <w:pPr>
              <w:jc w:val="both"/>
              <w:rPr>
                <w:rFonts w:asciiTheme="majorBidi" w:hAnsiTheme="majorBidi" w:cstheme="majorBidi"/>
                <w:sz w:val="20"/>
                <w:szCs w:val="20"/>
              </w:rPr>
            </w:pPr>
            <w:r w:rsidRPr="00EE4BD3">
              <w:rPr>
                <w:rFonts w:asciiTheme="majorBidi" w:hAnsiTheme="majorBidi" w:cstheme="majorBidi"/>
                <w:sz w:val="20"/>
                <w:szCs w:val="20"/>
              </w:rPr>
              <w:t>63</w:t>
            </w:r>
          </w:p>
        </w:tc>
      </w:tr>
    </w:tbl>
    <w:p w14:paraId="711A0B3B" w14:textId="77777777" w:rsidR="00A47DEE" w:rsidRPr="00EE4BD3" w:rsidRDefault="00A47DEE" w:rsidP="00A47DEE">
      <w:pPr>
        <w:spacing w:after="200" w:line="276" w:lineRule="auto"/>
        <w:jc w:val="center"/>
        <w:rPr>
          <w:rFonts w:asciiTheme="majorBidi" w:hAnsiTheme="majorBidi" w:cstheme="majorBidi"/>
          <w:sz w:val="18"/>
          <w:szCs w:val="18"/>
        </w:rPr>
      </w:pPr>
      <w:bookmarkStart w:id="435" w:name="_Toc177218801"/>
      <w:r w:rsidRPr="00EE4BD3">
        <w:rPr>
          <w:rFonts w:asciiTheme="majorBidi" w:hAnsiTheme="majorBidi" w:cstheme="majorBidi"/>
          <w:b/>
          <w:bCs/>
          <w:i/>
          <w:iCs/>
          <w:sz w:val="16"/>
          <w:szCs w:val="16"/>
          <w:u w:val="single"/>
        </w:rPr>
        <w:t xml:space="preserve">Tableau </w:t>
      </w:r>
      <w:proofErr w:type="gramStart"/>
      <w:r w:rsidRPr="00EE4BD3">
        <w:rPr>
          <w:rFonts w:asciiTheme="majorBidi" w:hAnsiTheme="majorBidi" w:cstheme="majorBidi"/>
          <w:b/>
          <w:bCs/>
          <w:i/>
          <w:iCs/>
          <w:sz w:val="16"/>
          <w:szCs w:val="16"/>
          <w:u w:val="single"/>
        </w:rPr>
        <w:t>1:</w:t>
      </w:r>
      <w:proofErr w:type="gramEnd"/>
      <w:r w:rsidRPr="00EE4BD3">
        <w:rPr>
          <w:rFonts w:asciiTheme="majorBidi" w:hAnsiTheme="majorBidi" w:cstheme="majorBidi"/>
          <w:b/>
          <w:bCs/>
          <w:i/>
          <w:iCs/>
          <w:sz w:val="16"/>
          <w:szCs w:val="16"/>
          <w:u w:val="single"/>
        </w:rPr>
        <w:t xml:space="preserve"> Bilan des ressources cadre de la coopération 2023 en Mauritanie</w:t>
      </w:r>
      <w:bookmarkEnd w:id="435"/>
      <w:r w:rsidRPr="00EE4BD3">
        <w:rPr>
          <w:rFonts w:asciiTheme="majorBidi" w:hAnsiTheme="majorBidi" w:cstheme="majorBidi"/>
          <w:sz w:val="12"/>
          <w:szCs w:val="12"/>
        </w:rPr>
        <w:t xml:space="preserve"> </w:t>
      </w:r>
    </w:p>
    <w:p w14:paraId="0F2DDA89" w14:textId="77777777" w:rsidR="00A47DEE" w:rsidRPr="00EE4BD3" w:rsidRDefault="00A47DEE" w:rsidP="00A47DEE">
      <w:pPr>
        <w:autoSpaceDE w:val="0"/>
        <w:autoSpaceDN w:val="0"/>
        <w:adjustRightInd w:val="0"/>
        <w:spacing w:after="120"/>
        <w:jc w:val="both"/>
        <w:rPr>
          <w:rFonts w:asciiTheme="majorBidi" w:hAnsiTheme="majorBidi" w:cstheme="majorBidi"/>
        </w:rPr>
      </w:pPr>
      <w:r w:rsidRPr="00EE4BD3">
        <w:rPr>
          <w:rFonts w:asciiTheme="majorBidi" w:hAnsiTheme="majorBidi" w:cstheme="majorBidi"/>
        </w:rPr>
        <w:t>En 2020, les services de base étaient très inégalement disponibles d’une wilaya à l’autre et selon le milieu socio-économique : 63,5% pour l’école primaire, 26,2% pour l’enseignement secondaire, 42,6% pour le transport public, 36,9% pour l’électricité (seulement 2,7% en milieu rural et semi urbain), 32,6% pour l’information (radio/TV). L’accès à l’eau potable était assuré à 62,1% de la population, la qualité microbiologique de l’eau de consommation domestique estimée à 52% et l’assainissement figurait parmi les plus faibles scores à 9,8 % (source Enquête EDS 2020).</w:t>
      </w:r>
    </w:p>
    <w:p w14:paraId="6D25763C" w14:textId="77777777" w:rsidR="00A47DEE" w:rsidRPr="00EE4BD3" w:rsidRDefault="00A47DEE" w:rsidP="00A47DEE">
      <w:pPr>
        <w:autoSpaceDE w:val="0"/>
        <w:autoSpaceDN w:val="0"/>
        <w:adjustRightInd w:val="0"/>
        <w:spacing w:after="240"/>
        <w:jc w:val="both"/>
        <w:rPr>
          <w:rFonts w:asciiTheme="majorBidi" w:hAnsiTheme="majorBidi" w:cstheme="majorBidi"/>
        </w:rPr>
      </w:pPr>
      <w:r w:rsidRPr="00EE4BD3">
        <w:rPr>
          <w:rFonts w:asciiTheme="majorBidi" w:hAnsiTheme="majorBidi" w:cstheme="majorBidi"/>
        </w:rPr>
        <w:t xml:space="preserve">La Mauritanie est un pays saharien dans sa grande majorité et sahélien dans le sud. C'est le désert, de sable et de pierres, qui prédomine (80% du territoire). Les terres arables ne dépassent pas 0,2% de la superficie totale. </w:t>
      </w:r>
      <w:r w:rsidRPr="00EE4BD3">
        <w:rPr>
          <w:rFonts w:asciiTheme="majorBidi" w:hAnsiTheme="majorBidi" w:cstheme="majorBidi"/>
          <w:color w:val="C00000"/>
        </w:rPr>
        <w:t xml:space="preserve">C’est un pays peu peuplé, </w:t>
      </w:r>
      <w:r w:rsidRPr="00604A3F">
        <w:rPr>
          <w:rFonts w:asciiTheme="majorBidi" w:hAnsiTheme="majorBidi" w:cstheme="majorBidi"/>
          <w:color w:val="C00000"/>
        </w:rPr>
        <w:t>aride et riche en ressources naturelles</w:t>
      </w:r>
      <w:r w:rsidRPr="00EE4BD3">
        <w:rPr>
          <w:rFonts w:asciiTheme="majorBidi" w:hAnsiTheme="majorBidi" w:cstheme="majorBidi"/>
        </w:rPr>
        <w:t>. Les rives du fleuve Sénégal connaissent une plus grande concentration humaine au km² concomitante aux spécificités des zones agricoles. Nouakchott, la capitale, est devenue une agglomération importante qui accueille, aujourd'hui, 27% de la population. La ville de Nouakchott constitue un centre de consommation en forte croissance du fait des effectifs de la population et d’un pouvoir d’achat relativement plus élevé. L’urbanisation contribue fortement aux importations de produits de consommation. Selon la revue du capital humain en Mauritanie du Groupe de la Banque mondiale en juillet 2024, le pays est classé parmi les pays à revenu intermédiaire de la tranche inférieure (PRITI), avec un revenu national brut par habitant de 1 730 USD (Dollars Américains) en 2021, supérieur à la moyenne de l’Afrique subsaharienne, qui est de 1 578 USD.</w:t>
      </w:r>
    </w:p>
    <w:p w14:paraId="5135CC0A" w14:textId="77777777" w:rsidR="00A47DEE" w:rsidRPr="00EE4BD3" w:rsidRDefault="00A47DEE" w:rsidP="00A47DEE">
      <w:pPr>
        <w:pStyle w:val="Paragraphedeliste"/>
        <w:numPr>
          <w:ilvl w:val="0"/>
          <w:numId w:val="397"/>
        </w:numPr>
        <w:autoSpaceDE w:val="0"/>
        <w:autoSpaceDN w:val="0"/>
        <w:adjustRightInd w:val="0"/>
        <w:ind w:left="426" w:hanging="426"/>
        <w:rPr>
          <w:rFonts w:asciiTheme="majorBidi" w:hAnsiTheme="majorBidi" w:cstheme="majorBidi"/>
          <w:i/>
          <w:iCs/>
          <w:color w:val="000000"/>
          <w:u w:val="single"/>
        </w:rPr>
      </w:pPr>
      <w:r w:rsidRPr="00EE4BD3">
        <w:rPr>
          <w:rFonts w:asciiTheme="majorBidi" w:hAnsiTheme="majorBidi" w:cstheme="majorBidi"/>
          <w:b/>
          <w:bCs/>
          <w:i/>
          <w:iCs/>
          <w:color w:val="000000"/>
          <w:sz w:val="28"/>
          <w:szCs w:val="28"/>
          <w:u w:val="single"/>
        </w:rPr>
        <w:t xml:space="preserve">Contexte Climatique    </w:t>
      </w:r>
    </w:p>
    <w:p w14:paraId="17E1795F" w14:textId="77777777" w:rsidR="00A47DEE" w:rsidRPr="00EE4BD3" w:rsidRDefault="00A47DEE" w:rsidP="00A47DEE">
      <w:pPr>
        <w:autoSpaceDE w:val="0"/>
        <w:autoSpaceDN w:val="0"/>
        <w:adjustRightInd w:val="0"/>
        <w:spacing w:after="120"/>
        <w:jc w:val="both"/>
        <w:rPr>
          <w:rFonts w:asciiTheme="majorBidi" w:hAnsiTheme="majorBidi" w:cstheme="majorBidi"/>
        </w:rPr>
      </w:pPr>
      <w:r w:rsidRPr="00EE4BD3">
        <w:rPr>
          <w:rFonts w:asciiTheme="majorBidi" w:hAnsiTheme="majorBidi" w:cstheme="majorBidi"/>
        </w:rPr>
        <w:t>Selon le récent rapport d’évaluation du Groupe Intergouvernemental sur l’Evolution du Climat (GIEC), le changement climatique affecte déjà la vie des milliards de personnes dans le monde, malgré les efforts déployés pour réduire les risques (</w:t>
      </w:r>
      <w:r>
        <w:rPr>
          <w:rFonts w:asciiTheme="majorBidi" w:hAnsiTheme="majorBidi" w:cstheme="majorBidi"/>
        </w:rPr>
        <w:t xml:space="preserve">source </w:t>
      </w:r>
      <w:r w:rsidRPr="00EE4BD3">
        <w:rPr>
          <w:rFonts w:asciiTheme="majorBidi" w:hAnsiTheme="majorBidi" w:cstheme="majorBidi"/>
        </w:rPr>
        <w:t xml:space="preserve">Rapport THE LANCET 2022). Selon le Programme de l’OMS de gestion des situations d’urgence sanitaire, en 2019, 500 évènements de santé publique ont été́ enregistrés dans le système de gestion des évènements de l’OMS pour 140 pays (ce qui représente une hausse de 3 % par rapport </w:t>
      </w:r>
      <w:proofErr w:type="spellStart"/>
      <w:r w:rsidRPr="00EE4BD3">
        <w:rPr>
          <w:rFonts w:asciiTheme="majorBidi" w:hAnsiTheme="majorBidi" w:cstheme="majorBidi"/>
        </w:rPr>
        <w:t>a</w:t>
      </w:r>
      <w:proofErr w:type="spellEnd"/>
      <w:r w:rsidRPr="00EE4BD3">
        <w:rPr>
          <w:rFonts w:asciiTheme="majorBidi" w:hAnsiTheme="majorBidi" w:cstheme="majorBidi"/>
        </w:rPr>
        <w:t xml:space="preserve">̀ 2018), dont 70 (14 %) étaient des catastrophes naturelles, 36 (7 %) étaient des évènements liés </w:t>
      </w:r>
      <w:proofErr w:type="spellStart"/>
      <w:r w:rsidRPr="00EE4BD3">
        <w:rPr>
          <w:rFonts w:asciiTheme="majorBidi" w:hAnsiTheme="majorBidi" w:cstheme="majorBidi"/>
        </w:rPr>
        <w:t>a</w:t>
      </w:r>
      <w:proofErr w:type="spellEnd"/>
      <w:r w:rsidRPr="00EE4BD3">
        <w:rPr>
          <w:rFonts w:asciiTheme="majorBidi" w:hAnsiTheme="majorBidi" w:cstheme="majorBidi"/>
        </w:rPr>
        <w:t xml:space="preserve">̀ des risques climatiques (source Rapport OMS 2019). </w:t>
      </w:r>
    </w:p>
    <w:p w14:paraId="3FF9EDE7" w14:textId="77777777" w:rsidR="00A47DEE" w:rsidRPr="00EE4BD3" w:rsidRDefault="00A47DEE" w:rsidP="00A47DEE">
      <w:pPr>
        <w:autoSpaceDE w:val="0"/>
        <w:autoSpaceDN w:val="0"/>
        <w:adjustRightInd w:val="0"/>
        <w:spacing w:after="120"/>
        <w:jc w:val="both"/>
        <w:rPr>
          <w:rFonts w:asciiTheme="majorBidi" w:hAnsiTheme="majorBidi" w:cstheme="majorBidi"/>
        </w:rPr>
      </w:pPr>
      <w:r w:rsidRPr="00EE4BD3">
        <w:rPr>
          <w:rFonts w:asciiTheme="majorBidi" w:hAnsiTheme="majorBidi" w:cstheme="majorBidi"/>
        </w:rPr>
        <w:t xml:space="preserve">En tenant compte des défis auxquels sont confrontés les pays dans le monde, les pays africains sont le plus touchés en matière de gestion de catastrophes, les populations et les écosystèmes les plus vulnérables et les plus exposés aux aléas climatiques et moins aptes à faire face aux dégâts sont les plus durement touchés en Afrique. </w:t>
      </w:r>
    </w:p>
    <w:p w14:paraId="7228A031" w14:textId="77777777" w:rsidR="00A47DEE" w:rsidRPr="00EE4BD3" w:rsidRDefault="00A47DEE" w:rsidP="00A47DEE">
      <w:pPr>
        <w:autoSpaceDE w:val="0"/>
        <w:autoSpaceDN w:val="0"/>
        <w:adjustRightInd w:val="0"/>
        <w:spacing w:after="120"/>
        <w:jc w:val="both"/>
        <w:rPr>
          <w:rFonts w:asciiTheme="majorBidi" w:hAnsiTheme="majorBidi" w:cstheme="majorBidi"/>
        </w:rPr>
      </w:pPr>
      <w:r w:rsidRPr="00EE4BD3">
        <w:rPr>
          <w:rFonts w:asciiTheme="majorBidi" w:hAnsiTheme="majorBidi" w:cstheme="majorBidi"/>
        </w:rPr>
        <w:t xml:space="preserve">Les pays Africains se sont engagés à contribuer dans les efforts mondiaux en termes d’atténuation et d’adaptation (communications nationales sur le changement climatique). Ce processus a pour intérêt de partager avec la communauté internationale leurs informations sur l’intégration du risque climatique dans leurs stratégies nationales mais aussi l’intégration de toutes les parties prenantes aux Contributions Déterminées Nationales en termes d’adaptation que dans l’atténuation des émissions de gaz à effet de serre. </w:t>
      </w:r>
    </w:p>
    <w:p w14:paraId="1B965983" w14:textId="77777777" w:rsidR="00A47DEE" w:rsidRPr="00EE4BD3" w:rsidRDefault="00A47DEE" w:rsidP="00A47DEE">
      <w:pPr>
        <w:autoSpaceDE w:val="0"/>
        <w:autoSpaceDN w:val="0"/>
        <w:adjustRightInd w:val="0"/>
        <w:spacing w:after="120"/>
        <w:jc w:val="both"/>
        <w:rPr>
          <w:rFonts w:asciiTheme="majorBidi" w:hAnsiTheme="majorBidi" w:cstheme="majorBidi"/>
        </w:rPr>
      </w:pPr>
      <w:r w:rsidRPr="00EE4BD3">
        <w:rPr>
          <w:rFonts w:asciiTheme="majorBidi" w:hAnsiTheme="majorBidi" w:cstheme="majorBidi"/>
        </w:rPr>
        <w:t>La Mauritanie a l’instar des pays africains ; a ratifié l'Accord de Paris en février 2017 et a élaboré en 2015 sa première Contribution Déterminée au niveau National (CDN). Elle s'est ainsi engagée, selon les directives de la Convention-Cadre des Nations unies sur les Changements Climatiques (CCNUCC), à communiquer une mise à jour de sa CDN selon un cycle de 5 années. Elle a élaboré son quatrième rapport de la communication nationale sur le changement climatique conformément aux efforts au niveau mondial en mettant l'accent sur les efforts du pays dans l’atténuation et la vision de neutralité Carbone en 2030.</w:t>
      </w:r>
    </w:p>
    <w:p w14:paraId="71F4A4AB" w14:textId="77777777" w:rsidR="00A47DEE" w:rsidRPr="00E20B2A" w:rsidRDefault="00A47DEE" w:rsidP="00A47DEE">
      <w:pPr>
        <w:autoSpaceDE w:val="0"/>
        <w:autoSpaceDN w:val="0"/>
        <w:adjustRightInd w:val="0"/>
        <w:rPr>
          <w:rFonts w:asciiTheme="majorBidi" w:hAnsiTheme="majorBidi" w:cstheme="majorBidi"/>
          <w:color w:val="000000"/>
          <w:sz w:val="16"/>
          <w:szCs w:val="16"/>
        </w:rPr>
      </w:pPr>
    </w:p>
    <w:p w14:paraId="515E2929" w14:textId="77777777" w:rsidR="00A47DEE" w:rsidRPr="00EE0E23" w:rsidRDefault="00A47DEE" w:rsidP="00A47DEE">
      <w:pPr>
        <w:pStyle w:val="Paragraphedeliste"/>
        <w:numPr>
          <w:ilvl w:val="0"/>
          <w:numId w:val="397"/>
        </w:numPr>
        <w:autoSpaceDE w:val="0"/>
        <w:autoSpaceDN w:val="0"/>
        <w:adjustRightInd w:val="0"/>
        <w:ind w:left="426" w:hanging="426"/>
        <w:rPr>
          <w:rFonts w:asciiTheme="majorBidi" w:hAnsiTheme="majorBidi" w:cstheme="majorBidi"/>
          <w:color w:val="000000"/>
          <w:u w:val="single"/>
        </w:rPr>
      </w:pPr>
      <w:r w:rsidRPr="00EE0E23">
        <w:rPr>
          <w:rFonts w:asciiTheme="majorBidi" w:hAnsiTheme="majorBidi" w:cstheme="majorBidi"/>
          <w:b/>
          <w:bCs/>
          <w:color w:val="000000"/>
          <w:sz w:val="28"/>
          <w:szCs w:val="28"/>
          <w:u w:val="single"/>
        </w:rPr>
        <w:t>Politique et vision Santé à l’horison 2030</w:t>
      </w:r>
    </w:p>
    <w:p w14:paraId="245DD93F" w14:textId="77777777" w:rsidR="00A47DEE" w:rsidRPr="00EE4BD3" w:rsidRDefault="00A47DEE" w:rsidP="00A47DEE">
      <w:pPr>
        <w:autoSpaceDE w:val="0"/>
        <w:autoSpaceDN w:val="0"/>
        <w:adjustRightInd w:val="0"/>
        <w:spacing w:after="120"/>
        <w:jc w:val="both"/>
        <w:rPr>
          <w:rFonts w:asciiTheme="majorBidi" w:hAnsiTheme="majorBidi" w:cstheme="majorBidi"/>
          <w:color w:val="000000"/>
        </w:rPr>
      </w:pPr>
      <w:r w:rsidRPr="00EE4BD3">
        <w:rPr>
          <w:rFonts w:asciiTheme="majorBidi" w:hAnsiTheme="majorBidi" w:cstheme="majorBidi"/>
          <w:color w:val="000000"/>
        </w:rPr>
        <w:t>Au niveau du secteur de la santé, le gouvernement a déployé au cours des quinze dernières années, d’importants efforts et entrepris des réformes pour rapprocher davantage les services de santé des populations et lutter contre la maladie à travers l’élaboration et la mise en œuvre du Plan National de Développement de la Santé (PNDS) pour la période 2012-2020. Après quatre années de mise en œuvre, le ministère de la santé a engagé une évaluation à mi-parcours de ce plan pour recadrer la phase 2016-2020 qui devrait aller en phase avec le premier plan d’action de la SCAPPP.</w:t>
      </w:r>
      <w:r>
        <w:rPr>
          <w:rFonts w:asciiTheme="majorBidi" w:hAnsiTheme="majorBidi" w:cstheme="majorBidi"/>
          <w:color w:val="000000"/>
        </w:rPr>
        <w:t xml:space="preserve"> </w:t>
      </w:r>
    </w:p>
    <w:p w14:paraId="3F640713" w14:textId="77777777" w:rsidR="00A47DEE" w:rsidRPr="00EE4BD3" w:rsidRDefault="00A47DEE" w:rsidP="00A47DEE">
      <w:pPr>
        <w:autoSpaceDE w:val="0"/>
        <w:autoSpaceDN w:val="0"/>
        <w:adjustRightInd w:val="0"/>
        <w:spacing w:after="120"/>
        <w:jc w:val="both"/>
        <w:rPr>
          <w:rFonts w:asciiTheme="majorBidi" w:hAnsiTheme="majorBidi" w:cstheme="majorBidi"/>
          <w:color w:val="000000"/>
        </w:rPr>
      </w:pPr>
      <w:r w:rsidRPr="00EE4BD3">
        <w:rPr>
          <w:rFonts w:asciiTheme="majorBidi" w:hAnsiTheme="majorBidi" w:cstheme="majorBidi"/>
          <w:color w:val="000000"/>
        </w:rPr>
        <w:t>En dépit de ces efforts, de sérieux défis persistent dans les domaines de la mortalité maternelle et infantile, de la lutte contre la maladie, de l’organisation de l’offre des services de santé, de la production et de la gestion des ressources humaines, en matière d’approvisionnement en médicaments de qualité, en réactifs, consommables, vaccins et produits et en matière de financement du secteur.</w:t>
      </w:r>
    </w:p>
    <w:p w14:paraId="7B703EC9" w14:textId="77777777" w:rsidR="00A47DEE" w:rsidRPr="00EE4BD3" w:rsidRDefault="00A47DEE" w:rsidP="00A47DEE">
      <w:pPr>
        <w:autoSpaceDE w:val="0"/>
        <w:autoSpaceDN w:val="0"/>
        <w:adjustRightInd w:val="0"/>
        <w:spacing w:after="120"/>
        <w:jc w:val="both"/>
        <w:rPr>
          <w:rFonts w:asciiTheme="majorBidi" w:hAnsiTheme="majorBidi" w:cstheme="majorBidi"/>
          <w:color w:val="000000"/>
        </w:rPr>
      </w:pPr>
      <w:r w:rsidRPr="00EE4BD3">
        <w:rPr>
          <w:rFonts w:asciiTheme="majorBidi" w:hAnsiTheme="majorBidi" w:cstheme="majorBidi"/>
          <w:color w:val="000000"/>
        </w:rPr>
        <w:t>Malgré le grand effort déployé en termes d’infrastructures et équipements sanitaires, notamment au cours des dernières années, et en termes de renforcement du dispositif national de formation des ressources humaines et de recrutement de personnels, la politique du secteur de la santé à l’horizon 2030 sera guidée par l’esprit de la constitution du pays qui prône le droit du citoyen au bien-être, les engagements pris avec la communauté internationale au titre des ODD et les recommandations acceptées par la Mauritanie à l’issue de l’EPU. Le contrôle, la prévention et la prise en charge de certaines maladies en vue de l’élimination en 2030 du VIH SIDA, de la Tuberculose et du paludisme.</w:t>
      </w:r>
    </w:p>
    <w:p w14:paraId="1C25B1E3" w14:textId="77777777" w:rsidR="00A47DEE" w:rsidRPr="00CA7ACB" w:rsidRDefault="00A47DEE" w:rsidP="00A47DEE">
      <w:pPr>
        <w:autoSpaceDE w:val="0"/>
        <w:autoSpaceDN w:val="0"/>
        <w:adjustRightInd w:val="0"/>
        <w:spacing w:after="120"/>
        <w:jc w:val="both"/>
        <w:rPr>
          <w:rFonts w:asciiTheme="majorBidi" w:hAnsiTheme="majorBidi" w:cstheme="majorBidi"/>
          <w:color w:val="000000"/>
        </w:rPr>
      </w:pPr>
      <w:r w:rsidRPr="00CA7ACB">
        <w:rPr>
          <w:rFonts w:asciiTheme="majorBidi" w:hAnsiTheme="majorBidi" w:cstheme="majorBidi"/>
        </w:rPr>
        <w:t xml:space="preserve">Les leçons apprises de la gestion de </w:t>
      </w:r>
      <w:r>
        <w:rPr>
          <w:rFonts w:asciiTheme="majorBidi" w:hAnsiTheme="majorBidi" w:cstheme="majorBidi"/>
        </w:rPr>
        <w:t xml:space="preserve">la </w:t>
      </w:r>
      <w:r w:rsidRPr="00CA7ACB">
        <w:rPr>
          <w:rFonts w:asciiTheme="majorBidi" w:hAnsiTheme="majorBidi" w:cstheme="majorBidi"/>
        </w:rPr>
        <w:t xml:space="preserve">pandémie COVID19 et autres épidémies et urgences sanitaires, a </w:t>
      </w:r>
      <w:r>
        <w:rPr>
          <w:rFonts w:asciiTheme="majorBidi" w:hAnsiTheme="majorBidi" w:cstheme="majorBidi"/>
        </w:rPr>
        <w:t xml:space="preserve">donné </w:t>
      </w:r>
      <w:r w:rsidRPr="00CA7ACB">
        <w:rPr>
          <w:rFonts w:asciiTheme="majorBidi" w:hAnsiTheme="majorBidi" w:cstheme="majorBidi"/>
        </w:rPr>
        <w:t xml:space="preserve">au secteur </w:t>
      </w:r>
      <w:r>
        <w:rPr>
          <w:rFonts w:asciiTheme="majorBidi" w:hAnsiTheme="majorBidi" w:cstheme="majorBidi"/>
        </w:rPr>
        <w:t xml:space="preserve">l’opportunité </w:t>
      </w:r>
      <w:r w:rsidRPr="00CA7ACB">
        <w:rPr>
          <w:rFonts w:asciiTheme="majorBidi" w:hAnsiTheme="majorBidi" w:cstheme="majorBidi"/>
        </w:rPr>
        <w:t>de développer son PNDS pour couvrir la période 2022-2030 et intégrer la s</w:t>
      </w:r>
      <w:r w:rsidRPr="00CA7ACB">
        <w:t xml:space="preserve"> </w:t>
      </w:r>
      <w:r w:rsidRPr="00CA7ACB">
        <w:rPr>
          <w:rFonts w:asciiTheme="majorBidi" w:hAnsiTheme="majorBidi" w:cstheme="majorBidi"/>
        </w:rPr>
        <w:t>Sécurité sanitaire, préparation et réponse aux situations d’urgences de santé publique comme axe stratégique qui contiendra les éléments du règlement sanitaire international (RSI) et qui sont contraignants pour tous les pays. Dans le même contexte le département a cré</w:t>
      </w:r>
      <w:r>
        <w:rPr>
          <w:rFonts w:asciiTheme="majorBidi" w:hAnsiTheme="majorBidi" w:cstheme="majorBidi"/>
        </w:rPr>
        <w:t>é</w:t>
      </w:r>
      <w:r w:rsidRPr="00CA7ACB">
        <w:rPr>
          <w:rFonts w:asciiTheme="majorBidi" w:hAnsiTheme="majorBidi" w:cstheme="majorBidi"/>
        </w:rPr>
        <w:t xml:space="preserve"> </w:t>
      </w:r>
      <w:r>
        <w:rPr>
          <w:rFonts w:asciiTheme="majorBidi" w:hAnsiTheme="majorBidi" w:cstheme="majorBidi"/>
          <w:color w:val="000000"/>
        </w:rPr>
        <w:t>en 2018 l</w:t>
      </w:r>
      <w:r w:rsidRPr="0028770C">
        <w:rPr>
          <w:rFonts w:asciiTheme="majorBidi" w:hAnsiTheme="majorBidi" w:cstheme="majorBidi"/>
          <w:color w:val="000000"/>
        </w:rPr>
        <w:t xml:space="preserve">e Centre National d’Opérations d’Urgence en Santé Publique (CNOUSP), </w:t>
      </w:r>
      <w:r>
        <w:rPr>
          <w:rFonts w:asciiTheme="majorBidi" w:hAnsiTheme="majorBidi" w:cstheme="majorBidi"/>
          <w:color w:val="000000"/>
        </w:rPr>
        <w:t>qui a pour objectif de prévenir et répondre dans tout type d’urgence en santé publique outiller par d</w:t>
      </w:r>
      <w:r w:rsidRPr="0028770C">
        <w:rPr>
          <w:rFonts w:asciiTheme="majorBidi" w:hAnsiTheme="majorBidi" w:cstheme="majorBidi"/>
          <w:color w:val="000000"/>
        </w:rPr>
        <w:t xml:space="preserve">es </w:t>
      </w:r>
      <w:r>
        <w:rPr>
          <w:rFonts w:asciiTheme="majorBidi" w:hAnsiTheme="majorBidi" w:cstheme="majorBidi"/>
          <w:color w:val="000000"/>
        </w:rPr>
        <w:t>E</w:t>
      </w:r>
      <w:r w:rsidRPr="0028770C">
        <w:rPr>
          <w:rFonts w:asciiTheme="majorBidi" w:hAnsiTheme="majorBidi" w:cstheme="majorBidi"/>
          <w:color w:val="000000"/>
        </w:rPr>
        <w:t xml:space="preserve">quipes multidisciplinaires d’Intervention Rapide (EIR) au niveau de chacune des wilayas et des Moughataas jouent un rôle capital dans le pilotage et la mise en œuvre d’interventions. </w:t>
      </w:r>
    </w:p>
    <w:p w14:paraId="6D261785" w14:textId="77777777" w:rsidR="00A47DEE" w:rsidRPr="00EE4BD3" w:rsidRDefault="00A47DEE" w:rsidP="00A47DEE">
      <w:pPr>
        <w:autoSpaceDE w:val="0"/>
        <w:autoSpaceDN w:val="0"/>
        <w:adjustRightInd w:val="0"/>
        <w:jc w:val="both"/>
        <w:rPr>
          <w:rFonts w:asciiTheme="majorBidi" w:hAnsiTheme="majorBidi" w:cstheme="majorBidi"/>
          <w:color w:val="000000"/>
        </w:rPr>
      </w:pPr>
      <w:r w:rsidRPr="00EE4BD3">
        <w:rPr>
          <w:rFonts w:asciiTheme="majorBidi" w:hAnsiTheme="majorBidi" w:cstheme="majorBidi"/>
          <w:color w:val="000000"/>
        </w:rPr>
        <w:t xml:space="preserve">Dans cette optique, l’action dans le secteur </w:t>
      </w:r>
      <w:r>
        <w:rPr>
          <w:rFonts w:asciiTheme="majorBidi" w:hAnsiTheme="majorBidi" w:cstheme="majorBidi"/>
          <w:color w:val="000000"/>
        </w:rPr>
        <w:t>a été</w:t>
      </w:r>
      <w:r w:rsidRPr="00EE4BD3">
        <w:rPr>
          <w:rFonts w:asciiTheme="majorBidi" w:hAnsiTheme="majorBidi" w:cstheme="majorBidi"/>
          <w:color w:val="000000"/>
        </w:rPr>
        <w:t xml:space="preserve"> axée sur les quatre domaines prioritaires suivants :</w:t>
      </w:r>
    </w:p>
    <w:p w14:paraId="69614326" w14:textId="77777777" w:rsidR="00A47DEE" w:rsidRPr="00E20B2A" w:rsidRDefault="00A47DEE" w:rsidP="00A47DEE">
      <w:pPr>
        <w:pStyle w:val="Paragraphedeliste"/>
        <w:numPr>
          <w:ilvl w:val="0"/>
          <w:numId w:val="421"/>
        </w:numPr>
        <w:autoSpaceDE w:val="0"/>
        <w:autoSpaceDN w:val="0"/>
        <w:adjustRightInd w:val="0"/>
        <w:jc w:val="both"/>
        <w:rPr>
          <w:rFonts w:asciiTheme="majorBidi" w:hAnsiTheme="majorBidi" w:cstheme="majorBidi"/>
          <w:color w:val="000000"/>
          <w:sz w:val="24"/>
          <w:szCs w:val="24"/>
        </w:rPr>
      </w:pPr>
      <w:r w:rsidRPr="00E20B2A">
        <w:rPr>
          <w:rFonts w:asciiTheme="majorBidi" w:hAnsiTheme="majorBidi" w:cstheme="majorBidi"/>
          <w:color w:val="000000"/>
          <w:sz w:val="24"/>
          <w:szCs w:val="24"/>
        </w:rPr>
        <w:t>La santé de la mère, du nouveau-né, de l’enfant et de l’adolescent à travers des composantes dédiées au couple mère et enfant, à l’immunisation, la nutrition et à la santé reproductive des jeunes et des adolescents ;</w:t>
      </w:r>
    </w:p>
    <w:p w14:paraId="5359F021" w14:textId="77777777" w:rsidR="00A47DEE" w:rsidRPr="00EE4BD3" w:rsidRDefault="00A47DEE" w:rsidP="00A47DEE">
      <w:pPr>
        <w:pStyle w:val="Paragraphedeliste"/>
        <w:numPr>
          <w:ilvl w:val="0"/>
          <w:numId w:val="421"/>
        </w:numPr>
        <w:autoSpaceDE w:val="0"/>
        <w:autoSpaceDN w:val="0"/>
        <w:adjustRightInd w:val="0"/>
        <w:jc w:val="both"/>
        <w:rPr>
          <w:rFonts w:asciiTheme="majorBidi" w:hAnsiTheme="majorBidi" w:cstheme="majorBidi"/>
          <w:color w:val="000000"/>
        </w:rPr>
      </w:pPr>
      <w:r w:rsidRPr="00E20B2A">
        <w:rPr>
          <w:rFonts w:asciiTheme="majorBidi" w:hAnsiTheme="majorBidi" w:cstheme="majorBidi"/>
          <w:color w:val="000000"/>
          <w:sz w:val="24"/>
          <w:szCs w:val="24"/>
        </w:rPr>
        <w:t xml:space="preserve"> La prévention et la prise en charge des maladies transmissibles et non transmissibles, ainsi que la gestion des urgences de santé publique </w:t>
      </w:r>
      <w:r w:rsidRPr="00EE4BD3">
        <w:rPr>
          <w:rFonts w:asciiTheme="majorBidi" w:hAnsiTheme="majorBidi" w:cstheme="majorBidi"/>
          <w:color w:val="000000"/>
        </w:rPr>
        <w:t>;</w:t>
      </w:r>
    </w:p>
    <w:p w14:paraId="3C5E0E56" w14:textId="77777777" w:rsidR="00A47DEE" w:rsidRPr="00E20B2A" w:rsidRDefault="00A47DEE" w:rsidP="00A47DEE">
      <w:pPr>
        <w:pStyle w:val="Paragraphedeliste"/>
        <w:numPr>
          <w:ilvl w:val="0"/>
          <w:numId w:val="421"/>
        </w:numPr>
        <w:autoSpaceDE w:val="0"/>
        <w:autoSpaceDN w:val="0"/>
        <w:adjustRightInd w:val="0"/>
        <w:jc w:val="both"/>
        <w:rPr>
          <w:rFonts w:asciiTheme="majorBidi" w:hAnsiTheme="majorBidi" w:cstheme="majorBidi"/>
          <w:color w:val="000000"/>
          <w:sz w:val="24"/>
          <w:szCs w:val="24"/>
        </w:rPr>
      </w:pPr>
      <w:r w:rsidRPr="00E20B2A">
        <w:rPr>
          <w:rFonts w:asciiTheme="majorBidi" w:hAnsiTheme="majorBidi" w:cstheme="majorBidi"/>
          <w:color w:val="000000"/>
          <w:sz w:val="24"/>
          <w:szCs w:val="24"/>
        </w:rPr>
        <w:t>Le renforcement du système de santé par l’amélioration de la couverture sanitaire, le renforcement des compétences et des plateaux techniques des services de santé et le financement de la demande pour tendre vers la couverture sanitaire universelle ;</w:t>
      </w:r>
    </w:p>
    <w:p w14:paraId="7F58C5BE" w14:textId="77777777" w:rsidR="00A47DEE" w:rsidRPr="00E20B2A" w:rsidRDefault="00A47DEE" w:rsidP="00A47DEE">
      <w:pPr>
        <w:pStyle w:val="Paragraphedeliste"/>
        <w:numPr>
          <w:ilvl w:val="0"/>
          <w:numId w:val="421"/>
        </w:numPr>
        <w:autoSpaceDE w:val="0"/>
        <w:autoSpaceDN w:val="0"/>
        <w:adjustRightInd w:val="0"/>
        <w:jc w:val="both"/>
        <w:rPr>
          <w:rFonts w:asciiTheme="majorBidi" w:hAnsiTheme="majorBidi" w:cstheme="majorBidi"/>
          <w:color w:val="000000"/>
          <w:sz w:val="24"/>
          <w:szCs w:val="24"/>
        </w:rPr>
      </w:pPr>
      <w:r w:rsidRPr="00E20B2A">
        <w:rPr>
          <w:rFonts w:asciiTheme="majorBidi" w:hAnsiTheme="majorBidi" w:cstheme="majorBidi"/>
          <w:color w:val="000000"/>
          <w:sz w:val="24"/>
          <w:szCs w:val="24"/>
        </w:rPr>
        <w:t>La gouvernance sanitaire par l’introduction de la gestion axée sur les résultats, la prise en compte des impacts des changements climatiques et le renforcement du</w:t>
      </w:r>
      <w:r>
        <w:rPr>
          <w:rFonts w:asciiTheme="majorBidi" w:hAnsiTheme="majorBidi" w:cstheme="majorBidi"/>
          <w:color w:val="000000"/>
          <w:sz w:val="24"/>
          <w:szCs w:val="24"/>
        </w:rPr>
        <w:t xml:space="preserve"> f</w:t>
      </w:r>
      <w:r w:rsidRPr="00E20B2A">
        <w:rPr>
          <w:rFonts w:asciiTheme="majorBidi" w:hAnsiTheme="majorBidi" w:cstheme="majorBidi"/>
          <w:color w:val="000000"/>
          <w:sz w:val="24"/>
          <w:szCs w:val="24"/>
        </w:rPr>
        <w:t>inancement et de la participation des acteurs du système de santé, en particulier les communautés.</w:t>
      </w:r>
    </w:p>
    <w:bookmarkEnd w:id="434"/>
    <w:p w14:paraId="0BA6F553" w14:textId="77777777" w:rsidR="00A47DEE" w:rsidRPr="00E20B2A" w:rsidRDefault="00A47DEE" w:rsidP="00A47DEE">
      <w:pPr>
        <w:autoSpaceDE w:val="0"/>
        <w:autoSpaceDN w:val="0"/>
        <w:adjustRightInd w:val="0"/>
        <w:spacing w:after="120"/>
        <w:rPr>
          <w:rFonts w:asciiTheme="majorBidi" w:hAnsiTheme="majorBidi" w:cstheme="majorBidi"/>
          <w:color w:val="000000"/>
          <w:sz w:val="2"/>
          <w:szCs w:val="2"/>
        </w:rPr>
      </w:pPr>
    </w:p>
    <w:p w14:paraId="1F1E28D4" w14:textId="77777777" w:rsidR="00A47DEE" w:rsidRPr="0047467B" w:rsidRDefault="00A47DEE" w:rsidP="00A47DEE">
      <w:pPr>
        <w:pStyle w:val="Paragraphedeliste"/>
        <w:numPr>
          <w:ilvl w:val="0"/>
          <w:numId w:val="397"/>
        </w:numPr>
        <w:autoSpaceDE w:val="0"/>
        <w:autoSpaceDN w:val="0"/>
        <w:adjustRightInd w:val="0"/>
        <w:ind w:left="426" w:hanging="426"/>
        <w:rPr>
          <w:rFonts w:asciiTheme="majorBidi" w:hAnsiTheme="majorBidi" w:cstheme="majorBidi"/>
          <w:color w:val="000000"/>
          <w:u w:val="single"/>
        </w:rPr>
      </w:pPr>
      <w:r w:rsidRPr="0047467B">
        <w:rPr>
          <w:rFonts w:asciiTheme="majorBidi" w:hAnsiTheme="majorBidi" w:cstheme="majorBidi"/>
          <w:b/>
          <w:bCs/>
          <w:color w:val="000000"/>
          <w:sz w:val="28"/>
          <w:szCs w:val="28"/>
          <w:u w:val="single"/>
        </w:rPr>
        <w:t>Description de secteur de la santé</w:t>
      </w:r>
      <w:proofErr w:type="gramStart"/>
      <w:r w:rsidRPr="0047467B">
        <w:rPr>
          <w:rFonts w:asciiTheme="majorBidi" w:hAnsiTheme="majorBidi" w:cstheme="majorBidi"/>
          <w:b/>
          <w:bCs/>
          <w:color w:val="000000"/>
          <w:sz w:val="28"/>
          <w:szCs w:val="28"/>
          <w:u w:val="single"/>
        </w:rPr>
        <w:t xml:space="preserve">  </w:t>
      </w:r>
      <w:r w:rsidRPr="0047467B">
        <w:rPr>
          <w:rFonts w:asciiTheme="majorBidi" w:hAnsiTheme="majorBidi" w:cstheme="majorBidi"/>
          <w:color w:val="000000"/>
          <w:u w:val="single"/>
        </w:rPr>
        <w:t> :</w:t>
      </w:r>
      <w:proofErr w:type="gramEnd"/>
    </w:p>
    <w:p w14:paraId="6310FEEB" w14:textId="77777777" w:rsidR="00A47DEE" w:rsidRPr="00EE4BD3" w:rsidRDefault="00A47DEE" w:rsidP="00A47DEE">
      <w:pPr>
        <w:spacing w:after="120"/>
        <w:jc w:val="both"/>
        <w:rPr>
          <w:rFonts w:asciiTheme="majorBidi" w:hAnsiTheme="majorBidi" w:cstheme="majorBidi"/>
        </w:rPr>
      </w:pPr>
      <w:r w:rsidRPr="00EE4BD3">
        <w:rPr>
          <w:rFonts w:asciiTheme="majorBidi" w:hAnsiTheme="majorBidi" w:cstheme="majorBidi"/>
        </w:rPr>
        <w:t>Le système de santé de la Mauritanie comprend quatre composantes à importance inégale : le secteur moderne public, le secteur moderne privé, la santé communautaire et la médecine traditionnelle.</w:t>
      </w:r>
      <w:r w:rsidRPr="00EE4BD3">
        <w:t xml:space="preserve"> </w:t>
      </w:r>
      <w:r w:rsidRPr="00EE4BD3">
        <w:rPr>
          <w:rFonts w:asciiTheme="majorBidi" w:hAnsiTheme="majorBidi" w:cstheme="majorBidi"/>
        </w:rPr>
        <w:t>L’organisation du système de santé s’appuie sur le découpage administratif du pays, qui est de type pyramidal, de trois niveaux (source PNDS 2022-2030) :</w:t>
      </w:r>
    </w:p>
    <w:p w14:paraId="1E10562A" w14:textId="77777777" w:rsidR="00A47DEE" w:rsidRPr="00EE4BD3" w:rsidRDefault="00A47DEE" w:rsidP="00A47DEE">
      <w:pPr>
        <w:pStyle w:val="Paragraphedeliste"/>
        <w:numPr>
          <w:ilvl w:val="0"/>
          <w:numId w:val="405"/>
        </w:numPr>
        <w:spacing w:after="120"/>
        <w:jc w:val="both"/>
        <w:rPr>
          <w:rFonts w:asciiTheme="majorBidi" w:hAnsiTheme="majorBidi" w:cstheme="majorBidi"/>
          <w:sz w:val="24"/>
          <w:szCs w:val="24"/>
        </w:rPr>
      </w:pPr>
      <w:r w:rsidRPr="00EE4BD3">
        <w:rPr>
          <w:rFonts w:asciiTheme="majorBidi" w:hAnsiTheme="majorBidi" w:cstheme="majorBidi"/>
          <w:sz w:val="24"/>
          <w:szCs w:val="24"/>
        </w:rPr>
        <w:t>Le niveau opérationnel ou périphérique où il existe deux types de structures : les postes de santé (823) et les centres de santé (123). Hiérarchiquement, les PS doivent se référer au chef du CS dont ils dépendent. En appui à ce niveau, plusieurs centaines d’unités de santé de base (USB) sont installées dans une partie non négligeable des agglomérations villageoises éloignées des postes et centres de santé (au-delà d’un rayon de 10 km) (Source Enquêtes SARA 2018).</w:t>
      </w:r>
    </w:p>
    <w:p w14:paraId="73C64619" w14:textId="77777777" w:rsidR="00A47DEE" w:rsidRPr="00EE4BD3" w:rsidRDefault="00A47DEE" w:rsidP="00A47DEE">
      <w:pPr>
        <w:pStyle w:val="Paragraphedeliste"/>
        <w:numPr>
          <w:ilvl w:val="0"/>
          <w:numId w:val="405"/>
        </w:numPr>
        <w:spacing w:after="120"/>
        <w:jc w:val="both"/>
        <w:rPr>
          <w:rFonts w:asciiTheme="majorBidi" w:hAnsiTheme="majorBidi" w:cstheme="majorBidi"/>
          <w:sz w:val="24"/>
          <w:szCs w:val="24"/>
        </w:rPr>
      </w:pPr>
      <w:r w:rsidRPr="00EE4BD3">
        <w:rPr>
          <w:rFonts w:asciiTheme="majorBidi" w:hAnsiTheme="majorBidi" w:cstheme="majorBidi"/>
          <w:sz w:val="24"/>
          <w:szCs w:val="24"/>
        </w:rPr>
        <w:t>Le niveau intermédiaire comprenant deux types d’hôpitaux au niveau des capitales régionales ou de Moughataa :  Les hôpitaux de Moughataa (05) et Les centres hospitaliers régionaux, (15)</w:t>
      </w:r>
    </w:p>
    <w:p w14:paraId="187C19CE" w14:textId="77777777" w:rsidR="00A47DEE" w:rsidRPr="00EE4BD3" w:rsidRDefault="00A47DEE" w:rsidP="00A47DEE">
      <w:pPr>
        <w:pStyle w:val="Paragraphedeliste"/>
        <w:numPr>
          <w:ilvl w:val="0"/>
          <w:numId w:val="405"/>
        </w:numPr>
        <w:spacing w:after="120"/>
        <w:jc w:val="both"/>
        <w:rPr>
          <w:rFonts w:asciiTheme="majorBidi" w:hAnsiTheme="majorBidi" w:cstheme="majorBidi"/>
          <w:color w:val="4472C4" w:themeColor="accent1"/>
          <w:sz w:val="24"/>
          <w:szCs w:val="24"/>
        </w:rPr>
      </w:pPr>
      <w:r w:rsidRPr="00EE4BD3">
        <w:rPr>
          <w:rFonts w:asciiTheme="majorBidi" w:hAnsiTheme="majorBidi" w:cstheme="majorBidi"/>
          <w:sz w:val="24"/>
          <w:szCs w:val="24"/>
        </w:rPr>
        <w:t>Le niveau tertiaire qui représente la référence au niveau national comprend le Centre Hospitalier Généraux (4) et les hôpitaux spécialisés (05). Le système administratif, quant à lui est organisé comme dans le Figure 1 :</w:t>
      </w:r>
    </w:p>
    <w:p w14:paraId="6BF6BCE3" w14:textId="77777777" w:rsidR="00A47DEE" w:rsidRPr="00EE4BD3" w:rsidRDefault="00A47DEE" w:rsidP="00A47DEE">
      <w:pPr>
        <w:spacing w:after="120"/>
        <w:jc w:val="center"/>
        <w:rPr>
          <w:rFonts w:asciiTheme="majorBidi" w:hAnsiTheme="majorBidi" w:cstheme="majorBidi"/>
          <w:color w:val="4472C4" w:themeColor="accent1"/>
        </w:rPr>
      </w:pPr>
      <w:r w:rsidRPr="00EE4BD3">
        <w:rPr>
          <w:rFonts w:asciiTheme="majorBidi" w:hAnsiTheme="majorBidi" w:cstheme="majorBidi"/>
          <w:noProof/>
          <w:color w:val="4472C4" w:themeColor="accent1"/>
        </w:rPr>
        <w:drawing>
          <wp:inline distT="0" distB="0" distL="0" distR="0" wp14:anchorId="6084FDF0" wp14:editId="690ECC62">
            <wp:extent cx="4147185" cy="2247900"/>
            <wp:effectExtent l="19050" t="19050" r="24765" b="19050"/>
            <wp:docPr id="101142829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229638" cy="2292592"/>
                    </a:xfrm>
                    <a:prstGeom prst="rect">
                      <a:avLst/>
                    </a:prstGeom>
                    <a:noFill/>
                    <a:ln>
                      <a:solidFill>
                        <a:schemeClr val="tx1"/>
                      </a:solidFill>
                    </a:ln>
                  </pic:spPr>
                </pic:pic>
              </a:graphicData>
            </a:graphic>
          </wp:inline>
        </w:drawing>
      </w:r>
    </w:p>
    <w:p w14:paraId="73B9547C" w14:textId="77777777" w:rsidR="00A47DEE" w:rsidRDefault="00A47DEE" w:rsidP="00A47DEE">
      <w:pPr>
        <w:autoSpaceDE w:val="0"/>
        <w:autoSpaceDN w:val="0"/>
        <w:adjustRightInd w:val="0"/>
        <w:jc w:val="center"/>
        <w:rPr>
          <w:rFonts w:asciiTheme="majorBidi" w:hAnsiTheme="majorBidi" w:cstheme="majorBidi"/>
          <w:b/>
          <w:bCs/>
          <w:i/>
          <w:iCs/>
          <w:color w:val="000000"/>
          <w:sz w:val="16"/>
          <w:szCs w:val="16"/>
          <w:u w:val="single"/>
        </w:rPr>
      </w:pPr>
      <w:r w:rsidRPr="00EE4BD3">
        <w:rPr>
          <w:rFonts w:asciiTheme="majorBidi" w:hAnsiTheme="majorBidi" w:cstheme="majorBidi"/>
          <w:b/>
          <w:bCs/>
          <w:i/>
          <w:iCs/>
          <w:color w:val="000000"/>
          <w:sz w:val="16"/>
          <w:szCs w:val="16"/>
          <w:u w:val="single"/>
        </w:rPr>
        <w:t xml:space="preserve">Figure 1 : Pyramide de sanitaire et de FOSA publiques </w:t>
      </w:r>
      <w:proofErr w:type="gramStart"/>
      <w:r w:rsidRPr="00EE4BD3">
        <w:rPr>
          <w:rFonts w:asciiTheme="majorBidi" w:hAnsiTheme="majorBidi" w:cstheme="majorBidi"/>
          <w:b/>
          <w:bCs/>
          <w:i/>
          <w:iCs/>
          <w:color w:val="000000"/>
          <w:sz w:val="16"/>
          <w:szCs w:val="16"/>
          <w:u w:val="single"/>
        </w:rPr>
        <w:t>Mauritanie  (</w:t>
      </w:r>
      <w:proofErr w:type="gramEnd"/>
      <w:r w:rsidRPr="00EE4BD3">
        <w:rPr>
          <w:rFonts w:asciiTheme="majorBidi" w:hAnsiTheme="majorBidi" w:cstheme="majorBidi"/>
          <w:b/>
          <w:bCs/>
          <w:i/>
          <w:iCs/>
          <w:color w:val="000000"/>
          <w:sz w:val="16"/>
          <w:szCs w:val="16"/>
          <w:u w:val="single"/>
        </w:rPr>
        <w:t>source Plan national développement sanitaire 2022)</w:t>
      </w:r>
    </w:p>
    <w:p w14:paraId="27EB1B59" w14:textId="77777777" w:rsidR="00A47DEE" w:rsidRPr="002D4443" w:rsidRDefault="00A47DEE" w:rsidP="00A47DEE">
      <w:pPr>
        <w:autoSpaceDE w:val="0"/>
        <w:autoSpaceDN w:val="0"/>
        <w:adjustRightInd w:val="0"/>
        <w:jc w:val="center"/>
        <w:rPr>
          <w:rFonts w:asciiTheme="majorBidi" w:hAnsiTheme="majorBidi" w:cstheme="majorBidi"/>
          <w:b/>
          <w:bCs/>
          <w:i/>
          <w:iCs/>
          <w:color w:val="000000"/>
          <w:sz w:val="14"/>
          <w:szCs w:val="14"/>
          <w:u w:val="single"/>
        </w:rPr>
      </w:pPr>
    </w:p>
    <w:p w14:paraId="0184FA61" w14:textId="77777777" w:rsidR="00A47DEE" w:rsidRPr="00256C34" w:rsidRDefault="00A47DEE" w:rsidP="00A47DEE">
      <w:pPr>
        <w:spacing w:after="120"/>
        <w:jc w:val="both"/>
        <w:rPr>
          <w:rFonts w:asciiTheme="majorBidi" w:hAnsiTheme="majorBidi" w:cstheme="majorBidi"/>
          <w:b/>
          <w:bCs/>
          <w:color w:val="C00000"/>
          <w:shd w:val="clear" w:color="auto" w:fill="FFFFFF" w:themeFill="background1"/>
        </w:rPr>
      </w:pPr>
      <w:r w:rsidRPr="00EE4BD3">
        <w:rPr>
          <w:rFonts w:asciiTheme="majorBidi" w:hAnsiTheme="majorBidi" w:cstheme="majorBidi"/>
          <w:shd w:val="clear" w:color="auto" w:fill="FFFFFF" w:themeFill="background1"/>
        </w:rPr>
        <w:t>Le secteur de la santé de la Mauritanie dispose d’un système de surveillance épidémiologique et d’information sanitaire SNIS (plat</w:t>
      </w:r>
      <w:r>
        <w:rPr>
          <w:rFonts w:asciiTheme="majorBidi" w:hAnsiTheme="majorBidi" w:cstheme="majorBidi"/>
          <w:shd w:val="clear" w:color="auto" w:fill="FFFFFF" w:themeFill="background1"/>
        </w:rPr>
        <w:t>e</w:t>
      </w:r>
      <w:r w:rsidRPr="00EE4BD3">
        <w:rPr>
          <w:rFonts w:asciiTheme="majorBidi" w:hAnsiTheme="majorBidi" w:cstheme="majorBidi"/>
          <w:shd w:val="clear" w:color="auto" w:fill="FFFFFF" w:themeFill="background1"/>
        </w:rPr>
        <w:t xml:space="preserve">forme DHIS2 depuis 2019) qui consiste à assurer de manière systématique un relevé hebdomadaire de plus de 14 maladies à déclarations obligatoires et immédiate  tel que : Anthrax ; Chikungunya ;Choléra ; Dengue ; Diarrhée sanglante ; Fièvres hémorragiques virales ; Fièvre jaune ; Fièvre typhoïde ; Infections respiratoires aiguës (IRA) sévères ; Méningite à méningocoque ; Peste ; Maladie à Virus Ebola (MVE) ; Maladie à Virus Zika ; Fièvres hémorragiques de Marburg, de la Vallée du Rift, de Lassa, de Crimée-Congo, du Nil occidental et la Covid-19. Selon le Guide SMIR ces maladies fonts l’objet de </w:t>
      </w:r>
      <w:r w:rsidRPr="00256C34">
        <w:rPr>
          <w:rFonts w:asciiTheme="majorBidi" w:hAnsiTheme="majorBidi" w:cstheme="majorBidi"/>
          <w:shd w:val="clear" w:color="auto" w:fill="FFFFFF" w:themeFill="background1"/>
        </w:rPr>
        <w:t>système vertica</w:t>
      </w:r>
      <w:r w:rsidRPr="00EE4BD3">
        <w:rPr>
          <w:rFonts w:asciiTheme="majorBidi" w:hAnsiTheme="majorBidi" w:cstheme="majorBidi"/>
          <w:shd w:val="clear" w:color="auto" w:fill="FFFFFF" w:themeFill="background1"/>
        </w:rPr>
        <w:t>l</w:t>
      </w:r>
      <w:r w:rsidRPr="00256C34">
        <w:rPr>
          <w:rFonts w:asciiTheme="majorBidi" w:hAnsiTheme="majorBidi" w:cstheme="majorBidi"/>
          <w:shd w:val="clear" w:color="auto" w:fill="FFFFFF" w:themeFill="background1"/>
        </w:rPr>
        <w:t xml:space="preserve"> de surveillance des maladies pour</w:t>
      </w:r>
      <w:r w:rsidRPr="00EE4BD3">
        <w:rPr>
          <w:rFonts w:asciiTheme="majorBidi" w:hAnsiTheme="majorBidi" w:cstheme="majorBidi"/>
          <w:shd w:val="clear" w:color="auto" w:fill="FFFFFF" w:themeFill="background1"/>
        </w:rPr>
        <w:t xml:space="preserve"> détecter précocement et réagir rapidement aux évènements de santé publique prioritaires, mais aussi pour une </w:t>
      </w:r>
      <w:r w:rsidRPr="00256C34">
        <w:rPr>
          <w:rFonts w:asciiTheme="majorBidi" w:hAnsiTheme="majorBidi" w:cstheme="majorBidi"/>
          <w:shd w:val="clear" w:color="auto" w:fill="FFFFFF" w:themeFill="background1"/>
        </w:rPr>
        <w:t>utilisation efficace et efficiente des ressources</w:t>
      </w:r>
      <w:r w:rsidRPr="00EE4BD3">
        <w:rPr>
          <w:rFonts w:asciiTheme="majorBidi" w:hAnsiTheme="majorBidi" w:cstheme="majorBidi"/>
          <w:shd w:val="clear" w:color="auto" w:fill="FFFFFF" w:themeFill="background1"/>
        </w:rPr>
        <w:t xml:space="preserve"> et a</w:t>
      </w:r>
      <w:r w:rsidRPr="00256C34">
        <w:rPr>
          <w:rFonts w:asciiTheme="majorBidi" w:hAnsiTheme="majorBidi" w:cstheme="majorBidi"/>
          <w:shd w:val="clear" w:color="auto" w:fill="FFFFFF" w:themeFill="background1"/>
        </w:rPr>
        <w:t>mélior</w:t>
      </w:r>
      <w:r w:rsidRPr="00EE4BD3">
        <w:rPr>
          <w:rFonts w:asciiTheme="majorBidi" w:hAnsiTheme="majorBidi" w:cstheme="majorBidi"/>
          <w:shd w:val="clear" w:color="auto" w:fill="FFFFFF" w:themeFill="background1"/>
        </w:rPr>
        <w:t>ation</w:t>
      </w:r>
      <w:r w:rsidRPr="00256C34">
        <w:rPr>
          <w:rFonts w:asciiTheme="majorBidi" w:hAnsiTheme="majorBidi" w:cstheme="majorBidi"/>
          <w:shd w:val="clear" w:color="auto" w:fill="FFFFFF" w:themeFill="background1"/>
        </w:rPr>
        <w:t xml:space="preserve"> </w:t>
      </w:r>
      <w:r w:rsidRPr="00EE4BD3">
        <w:rPr>
          <w:rFonts w:asciiTheme="majorBidi" w:hAnsiTheme="majorBidi" w:cstheme="majorBidi"/>
          <w:shd w:val="clear" w:color="auto" w:fill="FFFFFF" w:themeFill="background1"/>
        </w:rPr>
        <w:t>l</w:t>
      </w:r>
      <w:r w:rsidRPr="00256C34">
        <w:rPr>
          <w:rFonts w:asciiTheme="majorBidi" w:hAnsiTheme="majorBidi" w:cstheme="majorBidi"/>
          <w:shd w:val="clear" w:color="auto" w:fill="FFFFFF" w:themeFill="background1"/>
        </w:rPr>
        <w:t xml:space="preserve">e flux et l’utilisation de l’information permettant de détecter et de réagir aux menaces de santé publique </w:t>
      </w:r>
      <w:r w:rsidRPr="00EE4BD3">
        <w:rPr>
          <w:rFonts w:asciiTheme="majorBidi" w:hAnsiTheme="majorBidi" w:cstheme="majorBidi"/>
          <w:shd w:val="clear" w:color="auto" w:fill="FFFFFF" w:themeFill="background1"/>
        </w:rPr>
        <w:t>en Mauritanie (source Guide SMIR 2019).</w:t>
      </w:r>
    </w:p>
    <w:p w14:paraId="658614EE" w14:textId="77777777" w:rsidR="00A47DEE" w:rsidRPr="00EE4BD3" w:rsidRDefault="00A47DEE" w:rsidP="00A47DEE">
      <w:pPr>
        <w:shd w:val="clear" w:color="auto" w:fill="FFFFFF" w:themeFill="background1"/>
        <w:spacing w:after="120"/>
        <w:jc w:val="both"/>
        <w:rPr>
          <w:rFonts w:asciiTheme="majorBidi" w:hAnsiTheme="majorBidi" w:cstheme="majorBidi"/>
        </w:rPr>
      </w:pPr>
      <w:r w:rsidRPr="00EE4BD3">
        <w:rPr>
          <w:rFonts w:asciiTheme="majorBidi" w:hAnsiTheme="majorBidi" w:cstheme="majorBidi"/>
          <w:shd w:val="clear" w:color="auto" w:fill="FFFFFF" w:themeFill="background1"/>
        </w:rPr>
        <w:t>Le taux de mortalité brute de la population reste élevé (10 ,9‰) pour un taux de natalité (32,3‰) toutes deux responsables d’un accroissement annuel de la population d’environ 2, 8% (Sources Annuaire Statistique sanitaire 2022).</w:t>
      </w:r>
    </w:p>
    <w:p w14:paraId="63DDE96B" w14:textId="77777777" w:rsidR="00A47DEE" w:rsidRPr="00EE4BD3" w:rsidRDefault="00A47DEE" w:rsidP="00A47DEE">
      <w:pPr>
        <w:shd w:val="clear" w:color="auto" w:fill="FFFFFF" w:themeFill="background1"/>
        <w:spacing w:after="120"/>
        <w:jc w:val="both"/>
        <w:rPr>
          <w:rFonts w:asciiTheme="majorBidi" w:hAnsiTheme="majorBidi" w:cstheme="majorBidi"/>
        </w:rPr>
      </w:pPr>
      <w:r w:rsidRPr="00EE4BD3">
        <w:rPr>
          <w:rFonts w:asciiTheme="majorBidi" w:hAnsiTheme="majorBidi" w:cstheme="majorBidi"/>
          <w:shd w:val="clear" w:color="auto" w:fill="FFFFFF" w:themeFill="background1"/>
        </w:rPr>
        <w:t>La Mauritanie enregistre un Taux de Mortalité Maternel élevé dans la sous-région : 478 décès pour 100 000 Naissance Vivant (2020-7ème Mondial) et un Taux de Mortalité Infantile de 22 décès pour 10 000 NV (2020-25ème Mondial).</w:t>
      </w:r>
      <w:r w:rsidRPr="00EE4BD3">
        <w:rPr>
          <w:rFonts w:asciiTheme="majorBidi" w:hAnsiTheme="majorBidi" w:cstheme="majorBidi"/>
        </w:rPr>
        <w:t xml:space="preserve"> </w:t>
      </w:r>
    </w:p>
    <w:p w14:paraId="535095F2" w14:textId="77777777" w:rsidR="00A47DEE" w:rsidRPr="00EE4BD3" w:rsidRDefault="00A47DEE" w:rsidP="00A47DEE">
      <w:pPr>
        <w:shd w:val="clear" w:color="auto" w:fill="FFFFFF" w:themeFill="background1"/>
        <w:spacing w:after="120"/>
        <w:jc w:val="both"/>
        <w:rPr>
          <w:rFonts w:asciiTheme="majorBidi" w:hAnsiTheme="majorBidi" w:cstheme="majorBidi"/>
        </w:rPr>
      </w:pPr>
      <w:r w:rsidRPr="00EE4BD3">
        <w:rPr>
          <w:rFonts w:asciiTheme="majorBidi" w:hAnsiTheme="majorBidi" w:cstheme="majorBidi"/>
          <w:shd w:val="clear" w:color="auto" w:fill="FFFFFF" w:themeFill="background1"/>
        </w:rPr>
        <w:t>La Mauritanie accuse des déficits importants de personnels de santé si l’on considère les densités des personnels de santé pour 1000 habitants pour quelques catégories suivantes</w:t>
      </w:r>
      <w:r w:rsidRPr="00EE4BD3">
        <w:rPr>
          <w:rFonts w:asciiTheme="majorBidi" w:hAnsiTheme="majorBidi" w:cstheme="majorBidi"/>
        </w:rPr>
        <w:t xml:space="preserve"> : </w:t>
      </w:r>
    </w:p>
    <w:p w14:paraId="55954A37" w14:textId="77777777" w:rsidR="00A47DEE" w:rsidRPr="00EE4BD3" w:rsidRDefault="00A47DEE" w:rsidP="00A47DEE">
      <w:pPr>
        <w:pStyle w:val="Paragraphedeliste"/>
        <w:numPr>
          <w:ilvl w:val="0"/>
          <w:numId w:val="407"/>
        </w:numPr>
        <w:shd w:val="clear" w:color="auto" w:fill="FFFFFF" w:themeFill="background1"/>
        <w:spacing w:after="120"/>
        <w:jc w:val="both"/>
        <w:rPr>
          <w:rFonts w:asciiTheme="majorBidi" w:hAnsiTheme="majorBidi" w:cstheme="majorBidi"/>
          <w:color w:val="000000" w:themeColor="text1"/>
          <w:sz w:val="24"/>
          <w:szCs w:val="24"/>
        </w:rPr>
      </w:pPr>
      <w:r w:rsidRPr="00EE4BD3">
        <w:rPr>
          <w:rFonts w:asciiTheme="majorBidi" w:hAnsiTheme="majorBidi" w:cstheme="majorBidi"/>
          <w:color w:val="000000" w:themeColor="text1"/>
          <w:sz w:val="24"/>
          <w:szCs w:val="24"/>
        </w:rPr>
        <w:t>Médecin spécialiste (0,39 pour 1000</w:t>
      </w:r>
      <w:proofErr w:type="gramStart"/>
      <w:r w:rsidRPr="00EE4BD3">
        <w:rPr>
          <w:rFonts w:asciiTheme="majorBidi" w:hAnsiTheme="majorBidi" w:cstheme="majorBidi"/>
          <w:color w:val="000000" w:themeColor="text1"/>
          <w:sz w:val="24"/>
          <w:szCs w:val="24"/>
        </w:rPr>
        <w:t>);</w:t>
      </w:r>
      <w:proofErr w:type="gramEnd"/>
      <w:r w:rsidRPr="00EE4BD3">
        <w:rPr>
          <w:rFonts w:asciiTheme="majorBidi" w:hAnsiTheme="majorBidi" w:cstheme="majorBidi"/>
          <w:color w:val="000000" w:themeColor="text1"/>
          <w:sz w:val="24"/>
          <w:szCs w:val="24"/>
        </w:rPr>
        <w:t xml:space="preserve"> </w:t>
      </w:r>
    </w:p>
    <w:p w14:paraId="5B4D0FFF" w14:textId="77777777" w:rsidR="00A47DEE" w:rsidRPr="00EE4BD3" w:rsidRDefault="00A47DEE" w:rsidP="00A47DEE">
      <w:pPr>
        <w:pStyle w:val="Paragraphedeliste"/>
        <w:numPr>
          <w:ilvl w:val="0"/>
          <w:numId w:val="407"/>
        </w:numPr>
        <w:shd w:val="clear" w:color="auto" w:fill="FFFFFF" w:themeFill="background1"/>
        <w:spacing w:after="120"/>
        <w:jc w:val="both"/>
        <w:rPr>
          <w:rFonts w:asciiTheme="majorBidi" w:hAnsiTheme="majorBidi" w:cstheme="majorBidi"/>
          <w:color w:val="000000" w:themeColor="text1"/>
          <w:sz w:val="24"/>
          <w:szCs w:val="24"/>
        </w:rPr>
      </w:pPr>
      <w:r w:rsidRPr="00EE4BD3">
        <w:rPr>
          <w:rFonts w:asciiTheme="majorBidi" w:hAnsiTheme="majorBidi" w:cstheme="majorBidi"/>
          <w:color w:val="000000" w:themeColor="text1"/>
          <w:sz w:val="24"/>
          <w:szCs w:val="24"/>
        </w:rPr>
        <w:t>Médecin généraliste (0,41 pour 1 000</w:t>
      </w:r>
      <w:proofErr w:type="gramStart"/>
      <w:r w:rsidRPr="00EE4BD3">
        <w:rPr>
          <w:rFonts w:asciiTheme="majorBidi" w:hAnsiTheme="majorBidi" w:cstheme="majorBidi"/>
          <w:color w:val="000000" w:themeColor="text1"/>
          <w:sz w:val="24"/>
          <w:szCs w:val="24"/>
        </w:rPr>
        <w:t>);</w:t>
      </w:r>
      <w:proofErr w:type="gramEnd"/>
      <w:r w:rsidRPr="00EE4BD3">
        <w:rPr>
          <w:rFonts w:asciiTheme="majorBidi" w:hAnsiTheme="majorBidi" w:cstheme="majorBidi"/>
          <w:color w:val="000000" w:themeColor="text1"/>
          <w:sz w:val="24"/>
          <w:szCs w:val="24"/>
        </w:rPr>
        <w:t xml:space="preserve"> recommandation de l’OMS (5 pour 1000 et 25 IMS pour 1000)</w:t>
      </w:r>
    </w:p>
    <w:p w14:paraId="366B98AE" w14:textId="77777777" w:rsidR="00A47DEE" w:rsidRPr="00EE4BD3" w:rsidRDefault="00A47DEE" w:rsidP="00A47DEE">
      <w:pPr>
        <w:pStyle w:val="Paragraphedeliste"/>
        <w:numPr>
          <w:ilvl w:val="0"/>
          <w:numId w:val="407"/>
        </w:numPr>
        <w:shd w:val="clear" w:color="auto" w:fill="FFFFFF" w:themeFill="background1"/>
        <w:spacing w:after="120"/>
        <w:jc w:val="both"/>
        <w:rPr>
          <w:rFonts w:asciiTheme="majorBidi" w:hAnsiTheme="majorBidi" w:cstheme="majorBidi"/>
          <w:color w:val="000000" w:themeColor="text1"/>
          <w:sz w:val="24"/>
          <w:szCs w:val="24"/>
        </w:rPr>
      </w:pPr>
      <w:r w:rsidRPr="00EE4BD3">
        <w:rPr>
          <w:rFonts w:asciiTheme="majorBidi" w:hAnsiTheme="majorBidi" w:cstheme="majorBidi"/>
          <w:color w:val="000000" w:themeColor="text1"/>
          <w:sz w:val="24"/>
          <w:szCs w:val="24"/>
        </w:rPr>
        <w:t>Infirmier diplômé d’Etat (1,37 pour 1 000</w:t>
      </w:r>
      <w:proofErr w:type="gramStart"/>
      <w:r w:rsidRPr="00EE4BD3">
        <w:rPr>
          <w:rFonts w:asciiTheme="majorBidi" w:hAnsiTheme="majorBidi" w:cstheme="majorBidi"/>
          <w:color w:val="000000" w:themeColor="text1"/>
          <w:sz w:val="24"/>
          <w:szCs w:val="24"/>
        </w:rPr>
        <w:t>);</w:t>
      </w:r>
      <w:proofErr w:type="gramEnd"/>
      <w:r w:rsidRPr="00EE4BD3">
        <w:rPr>
          <w:rFonts w:asciiTheme="majorBidi" w:hAnsiTheme="majorBidi" w:cstheme="majorBidi"/>
          <w:color w:val="000000" w:themeColor="text1"/>
          <w:sz w:val="24"/>
          <w:szCs w:val="24"/>
        </w:rPr>
        <w:t xml:space="preserve"> IMS (2,14 pour 1 000)</w:t>
      </w:r>
    </w:p>
    <w:p w14:paraId="58CD2C64" w14:textId="77777777" w:rsidR="00A47DEE" w:rsidRPr="00EE4BD3" w:rsidRDefault="00A47DEE" w:rsidP="00A47DEE">
      <w:pPr>
        <w:pStyle w:val="Paragraphedeliste"/>
        <w:numPr>
          <w:ilvl w:val="0"/>
          <w:numId w:val="407"/>
        </w:numPr>
        <w:shd w:val="clear" w:color="auto" w:fill="FFFFFF" w:themeFill="background1"/>
        <w:spacing w:after="120"/>
        <w:jc w:val="both"/>
        <w:rPr>
          <w:rFonts w:asciiTheme="majorBidi" w:hAnsiTheme="majorBidi" w:cstheme="majorBidi"/>
          <w:color w:val="000000" w:themeColor="text1"/>
          <w:sz w:val="24"/>
          <w:szCs w:val="24"/>
        </w:rPr>
      </w:pPr>
      <w:r w:rsidRPr="00EE4BD3">
        <w:rPr>
          <w:rFonts w:asciiTheme="majorBidi" w:hAnsiTheme="majorBidi" w:cstheme="majorBidi"/>
          <w:color w:val="000000" w:themeColor="text1"/>
          <w:sz w:val="24"/>
          <w:szCs w:val="24"/>
        </w:rPr>
        <w:t>Médecin spécialiste (0,39 pour 1000</w:t>
      </w:r>
      <w:proofErr w:type="gramStart"/>
      <w:r w:rsidRPr="00EE4BD3">
        <w:rPr>
          <w:rFonts w:asciiTheme="majorBidi" w:hAnsiTheme="majorBidi" w:cstheme="majorBidi"/>
          <w:color w:val="000000" w:themeColor="text1"/>
          <w:sz w:val="24"/>
          <w:szCs w:val="24"/>
        </w:rPr>
        <w:t>);</w:t>
      </w:r>
      <w:proofErr w:type="gramEnd"/>
      <w:r w:rsidRPr="00EE4BD3">
        <w:rPr>
          <w:rFonts w:asciiTheme="majorBidi" w:hAnsiTheme="majorBidi" w:cstheme="majorBidi"/>
          <w:color w:val="000000" w:themeColor="text1"/>
          <w:sz w:val="24"/>
          <w:szCs w:val="24"/>
        </w:rPr>
        <w:t xml:space="preserve"> </w:t>
      </w:r>
    </w:p>
    <w:p w14:paraId="522CE8B8" w14:textId="77777777" w:rsidR="00A47DEE" w:rsidRDefault="00A47DEE" w:rsidP="00A47DEE">
      <w:pPr>
        <w:spacing w:after="120"/>
        <w:jc w:val="both"/>
        <w:rPr>
          <w:rFonts w:asciiTheme="majorBidi" w:hAnsiTheme="majorBidi" w:cstheme="majorBidi"/>
        </w:rPr>
      </w:pPr>
      <w:r w:rsidRPr="00EE4BD3">
        <w:rPr>
          <w:rFonts w:asciiTheme="majorBidi" w:hAnsiTheme="majorBidi" w:cstheme="majorBidi"/>
        </w:rPr>
        <w:t xml:space="preserve">L’état de santé de la population mauritanienne reste globalement marqué par : des taux encore élevés de morbidité́ et de mortalité́ maternelle, néonatale et infanto-juvénile ; une persistance du fardeau des maladies transmissibles et un accroissement rapide des Maladies Non Transmissibles, qui pour la plupart sont des maladies chroniques à soins couteux. </w:t>
      </w:r>
    </w:p>
    <w:p w14:paraId="1FE8C65E" w14:textId="77777777" w:rsidR="00A47DEE" w:rsidRPr="008A0A88" w:rsidRDefault="00A47DEE" w:rsidP="00A47DEE">
      <w:pPr>
        <w:spacing w:after="120"/>
        <w:jc w:val="both"/>
        <w:rPr>
          <w:rFonts w:asciiTheme="majorBidi" w:hAnsiTheme="majorBidi" w:cstheme="majorBidi"/>
          <w:sz w:val="16"/>
          <w:szCs w:val="16"/>
        </w:rPr>
      </w:pPr>
    </w:p>
    <w:p w14:paraId="400ED0BA" w14:textId="77777777" w:rsidR="00A47DEE" w:rsidRPr="00EE4BD3" w:rsidRDefault="00A47DEE" w:rsidP="00A47DEE">
      <w:pPr>
        <w:spacing w:after="120"/>
        <w:jc w:val="center"/>
        <w:rPr>
          <w:rFonts w:asciiTheme="majorBidi" w:hAnsiTheme="majorBidi" w:cstheme="majorBidi"/>
        </w:rPr>
      </w:pPr>
      <w:r w:rsidRPr="00EE4BD3">
        <w:rPr>
          <w:rFonts w:asciiTheme="majorBidi" w:hAnsiTheme="majorBidi" w:cstheme="majorBidi"/>
          <w:noProof/>
        </w:rPr>
        <w:drawing>
          <wp:inline distT="0" distB="0" distL="0" distR="0" wp14:anchorId="77C3B087" wp14:editId="29581E96">
            <wp:extent cx="4939768" cy="2578100"/>
            <wp:effectExtent l="19050" t="19050" r="13335" b="12700"/>
            <wp:docPr id="188656358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4951563" cy="2584256"/>
                    </a:xfrm>
                    <a:prstGeom prst="rect">
                      <a:avLst/>
                    </a:prstGeom>
                    <a:noFill/>
                    <a:ln w="6350">
                      <a:solidFill>
                        <a:schemeClr val="tx1"/>
                      </a:solidFill>
                    </a:ln>
                  </pic:spPr>
                </pic:pic>
              </a:graphicData>
            </a:graphic>
          </wp:inline>
        </w:drawing>
      </w:r>
    </w:p>
    <w:p w14:paraId="136A3B7A" w14:textId="77777777" w:rsidR="00A47DEE" w:rsidRPr="00EE4BD3" w:rsidRDefault="00A47DEE" w:rsidP="00A47DEE">
      <w:pPr>
        <w:autoSpaceDE w:val="0"/>
        <w:autoSpaceDN w:val="0"/>
        <w:adjustRightInd w:val="0"/>
        <w:spacing w:after="120"/>
        <w:jc w:val="center"/>
        <w:rPr>
          <w:rFonts w:asciiTheme="majorBidi" w:hAnsiTheme="majorBidi" w:cstheme="majorBidi"/>
          <w:b/>
          <w:bCs/>
          <w:i/>
          <w:iCs/>
          <w:color w:val="000000"/>
          <w:sz w:val="16"/>
          <w:szCs w:val="16"/>
          <w:u w:val="single"/>
        </w:rPr>
      </w:pPr>
      <w:bookmarkStart w:id="436" w:name="_Hlk179314646"/>
      <w:r w:rsidRPr="00EE4BD3">
        <w:rPr>
          <w:rFonts w:asciiTheme="majorBidi" w:hAnsiTheme="majorBidi" w:cstheme="majorBidi"/>
          <w:b/>
          <w:bCs/>
          <w:i/>
          <w:iCs/>
          <w:color w:val="000000"/>
          <w:sz w:val="16"/>
          <w:szCs w:val="16"/>
          <w:u w:val="single"/>
        </w:rPr>
        <w:t xml:space="preserve">Figure 2 : Principale cause des décès en Mauritanie 2019 (source </w:t>
      </w:r>
      <w:bookmarkEnd w:id="436"/>
      <w:r w:rsidRPr="00EE4BD3">
        <w:rPr>
          <w:rFonts w:asciiTheme="majorBidi" w:hAnsiTheme="majorBidi" w:cstheme="majorBidi"/>
          <w:b/>
          <w:bCs/>
          <w:i/>
          <w:iCs/>
          <w:color w:val="000000"/>
          <w:sz w:val="16"/>
          <w:szCs w:val="16"/>
          <w:u w:val="single"/>
        </w:rPr>
        <w:t>Plan national développement sanitaire 2022)</w:t>
      </w:r>
    </w:p>
    <w:p w14:paraId="6D786ADE" w14:textId="77777777" w:rsidR="00A47DEE" w:rsidRPr="006D06BC" w:rsidRDefault="00A47DEE" w:rsidP="00A47DEE">
      <w:pPr>
        <w:spacing w:after="120"/>
        <w:jc w:val="center"/>
        <w:rPr>
          <w:rFonts w:asciiTheme="majorBidi" w:hAnsiTheme="majorBidi" w:cstheme="majorBidi"/>
          <w:sz w:val="12"/>
          <w:szCs w:val="12"/>
        </w:rPr>
      </w:pPr>
    </w:p>
    <w:p w14:paraId="3FA8C5A7" w14:textId="77777777" w:rsidR="00A47DEE" w:rsidRPr="00EE4BD3" w:rsidRDefault="00A47DEE" w:rsidP="00A47DEE">
      <w:pPr>
        <w:pStyle w:val="Normal2GC"/>
        <w:rPr>
          <w:rFonts w:asciiTheme="majorBidi" w:hAnsiTheme="majorBidi" w:cstheme="majorBidi"/>
          <w:lang w:val="fr-FR" w:eastAsia="de-DE"/>
        </w:rPr>
      </w:pPr>
      <w:r w:rsidRPr="00EE4BD3">
        <w:rPr>
          <w:rFonts w:asciiTheme="majorBidi" w:hAnsiTheme="majorBidi" w:cstheme="majorBidi"/>
          <w:lang w:val="fr-FR" w:eastAsia="de-DE"/>
        </w:rPr>
        <w:t xml:space="preserve">L’analyse des rangs des causes de décès en Mauritanie entre 2009 et 2019 montre que les décès liés aux maladies contagieuses, maternelles, néonatales et nutritionnelles ont diminué sauf pour le paludisme dont les décès ont plus que quadruplé (+437,9%), devenant la première cause de décès. Les décès causés par les maladies non transmissibles ont beaucoup augmenté. </w:t>
      </w:r>
      <w:r w:rsidRPr="00EE4BD3">
        <w:rPr>
          <w:rFonts w:asciiTheme="majorBidi" w:hAnsiTheme="majorBidi" w:cstheme="majorBidi"/>
          <w:color w:val="auto"/>
          <w:lang w:val="fr-FR"/>
        </w:rPr>
        <w:t>Figure 2 ci-dessous donne les 10 causes les plus importantes de décès en 2009 à 2019, et leur évolution sur cette période.</w:t>
      </w:r>
    </w:p>
    <w:p w14:paraId="48B36D03" w14:textId="77777777" w:rsidR="00A47DEE" w:rsidRPr="00EE4BD3" w:rsidRDefault="00A47DEE" w:rsidP="00A47DEE">
      <w:pPr>
        <w:spacing w:after="120"/>
        <w:jc w:val="both"/>
        <w:rPr>
          <w:rFonts w:asciiTheme="majorBidi" w:hAnsiTheme="majorBidi" w:cstheme="majorBidi"/>
          <w:sz w:val="10"/>
          <w:szCs w:val="10"/>
        </w:rPr>
      </w:pPr>
    </w:p>
    <w:p w14:paraId="2669E1A9" w14:textId="77777777" w:rsidR="00A47DEE" w:rsidRPr="0047467B" w:rsidRDefault="00A47DEE" w:rsidP="00A47DEE">
      <w:pPr>
        <w:pStyle w:val="Paragraphedeliste"/>
        <w:numPr>
          <w:ilvl w:val="0"/>
          <w:numId w:val="397"/>
        </w:numPr>
        <w:autoSpaceDE w:val="0"/>
        <w:autoSpaceDN w:val="0"/>
        <w:adjustRightInd w:val="0"/>
        <w:ind w:left="426" w:hanging="426"/>
        <w:rPr>
          <w:rFonts w:asciiTheme="majorBidi" w:hAnsiTheme="majorBidi" w:cstheme="majorBidi"/>
          <w:color w:val="000000"/>
          <w:u w:val="single"/>
        </w:rPr>
      </w:pPr>
      <w:r w:rsidRPr="0047467B">
        <w:rPr>
          <w:rFonts w:asciiTheme="majorBidi" w:hAnsiTheme="majorBidi" w:cstheme="majorBidi"/>
          <w:b/>
          <w:bCs/>
          <w:color w:val="000000"/>
          <w:sz w:val="28"/>
          <w:szCs w:val="28"/>
          <w:u w:val="single"/>
        </w:rPr>
        <w:t xml:space="preserve">Climat du pays </w:t>
      </w:r>
    </w:p>
    <w:p w14:paraId="4702D481" w14:textId="77777777" w:rsidR="00A47DEE" w:rsidRPr="00EE4BD3" w:rsidRDefault="00A47DEE" w:rsidP="00A47DEE">
      <w:pPr>
        <w:pStyle w:val="Normal2GC"/>
        <w:rPr>
          <w:rFonts w:asciiTheme="majorBidi" w:hAnsiTheme="majorBidi" w:cstheme="majorBidi"/>
          <w:color w:val="auto"/>
          <w:lang w:val="fr-FR"/>
        </w:rPr>
      </w:pPr>
      <w:r w:rsidRPr="008A0A88">
        <w:rPr>
          <w:rFonts w:asciiTheme="majorBidi" w:hAnsiTheme="majorBidi" w:cstheme="majorBidi"/>
          <w:color w:val="C00000"/>
          <w:lang w:val="fr-FR"/>
        </w:rPr>
        <w:t>La Mauritanie est un pays désertique (80% du territoire) le climat est chaud, désertique dans le centre-nord, semi-désertique dans le sud, avec saison de pluie entre juin et début octobre. Sur la côte, le climat est doux et partout au pays, le vent peut déclencher des tempêtes de sable</w:t>
      </w:r>
      <w:r w:rsidRPr="00EE4BD3">
        <w:rPr>
          <w:rFonts w:asciiTheme="majorBidi" w:hAnsiTheme="majorBidi" w:cstheme="majorBidi"/>
          <w:color w:val="auto"/>
          <w:lang w:val="fr-FR"/>
        </w:rPr>
        <w:t>.</w:t>
      </w:r>
    </w:p>
    <w:p w14:paraId="529F36F9" w14:textId="77777777" w:rsidR="00A47DEE" w:rsidRPr="00EE4BD3" w:rsidRDefault="00A47DEE" w:rsidP="00A47DEE">
      <w:pPr>
        <w:autoSpaceDE w:val="0"/>
        <w:autoSpaceDN w:val="0"/>
        <w:adjustRightInd w:val="0"/>
        <w:jc w:val="both"/>
        <w:rPr>
          <w:rFonts w:asciiTheme="majorBidi" w:hAnsiTheme="majorBidi" w:cstheme="majorBidi"/>
          <w:color w:val="C00000"/>
        </w:rPr>
      </w:pPr>
      <w:r w:rsidRPr="00EE4BD3">
        <w:rPr>
          <w:rFonts w:asciiTheme="majorBidi" w:hAnsiTheme="majorBidi" w:cstheme="majorBidi"/>
          <w:lang w:eastAsia="de-DE"/>
        </w:rPr>
        <w:t>Les principales inquiétudes par rapport aux conséquences du changement climatique pour la santé en Mauritanie sont relatives à la hausse des températures, le changement dans le régime des précipitations, la baisse de disponibilité des ressources en eau, les épisodes météorologiques extrêmes, les inondations et la sécheresse (source : Plan sectoriel Santé de mise en œuvre CDN Mauritanie 2023).</w:t>
      </w:r>
      <w:r w:rsidRPr="00EE4BD3">
        <w:rPr>
          <w:rFonts w:asciiTheme="majorBidi" w:hAnsiTheme="majorBidi" w:cstheme="majorBidi"/>
          <w:color w:val="C00000"/>
        </w:rPr>
        <w:t xml:space="preserve"> </w:t>
      </w:r>
    </w:p>
    <w:p w14:paraId="410CCDB1" w14:textId="77777777" w:rsidR="00A47DEE" w:rsidRPr="00EE4BD3" w:rsidRDefault="00A47DEE" w:rsidP="00A47DEE">
      <w:pPr>
        <w:autoSpaceDE w:val="0"/>
        <w:autoSpaceDN w:val="0"/>
        <w:adjustRightInd w:val="0"/>
        <w:jc w:val="both"/>
        <w:rPr>
          <w:rFonts w:asciiTheme="majorBidi" w:hAnsiTheme="majorBidi" w:cstheme="majorBidi"/>
          <w:color w:val="C00000"/>
          <w:sz w:val="12"/>
          <w:szCs w:val="12"/>
        </w:rPr>
      </w:pPr>
    </w:p>
    <w:p w14:paraId="233BD3F9" w14:textId="77777777" w:rsidR="00A47DEE" w:rsidRPr="00EE4BD3" w:rsidRDefault="00A47DEE" w:rsidP="00A47DEE">
      <w:pPr>
        <w:autoSpaceDE w:val="0"/>
        <w:autoSpaceDN w:val="0"/>
        <w:adjustRightInd w:val="0"/>
        <w:jc w:val="both"/>
        <w:rPr>
          <w:rFonts w:asciiTheme="majorBidi" w:hAnsiTheme="majorBidi" w:cstheme="majorBidi"/>
        </w:rPr>
      </w:pPr>
      <w:r w:rsidRPr="00EE4BD3">
        <w:rPr>
          <w:rFonts w:asciiTheme="majorBidi" w:hAnsiTheme="majorBidi" w:cstheme="majorBidi"/>
        </w:rPr>
        <w:t>Les évènements météorologiques extrêmes affectent aussi l’accès aux structures sanitaires touchées. Par exemple les inondations sont de plus en plus fréquentes dans le pays, y compris dans la capitale Nouakchott. En septembre 2021 des pluies importantes ont conduit à des inondations qui ont affecté les hôpitaux, aussi bien dans des villes situées au Nord du pays, comme à Akjoujt (250 Km de Nouakchott) /Inchiri en septembre 2022 (voir Photo 1), que dans des villes au Sud, comme à Kaédi (4</w:t>
      </w:r>
      <w:r>
        <w:rPr>
          <w:rFonts w:asciiTheme="majorBidi" w:hAnsiTheme="majorBidi" w:cstheme="majorBidi"/>
        </w:rPr>
        <w:t>5</w:t>
      </w:r>
      <w:r w:rsidRPr="00EE4BD3">
        <w:rPr>
          <w:rFonts w:asciiTheme="majorBidi" w:hAnsiTheme="majorBidi" w:cstheme="majorBidi"/>
        </w:rPr>
        <w:t>0 Km de Nouakchott)</w:t>
      </w:r>
      <w:r>
        <w:rPr>
          <w:rFonts w:asciiTheme="majorBidi" w:hAnsiTheme="majorBidi" w:cstheme="majorBidi"/>
        </w:rPr>
        <w:t xml:space="preserve"> </w:t>
      </w:r>
      <w:r w:rsidRPr="00EE4BD3">
        <w:rPr>
          <w:rFonts w:asciiTheme="majorBidi" w:hAnsiTheme="majorBidi" w:cstheme="majorBidi"/>
        </w:rPr>
        <w:t>/</w:t>
      </w:r>
      <w:r>
        <w:rPr>
          <w:rFonts w:asciiTheme="majorBidi" w:hAnsiTheme="majorBidi" w:cstheme="majorBidi"/>
        </w:rPr>
        <w:t xml:space="preserve"> </w:t>
      </w:r>
      <w:r w:rsidRPr="00EE4BD3">
        <w:rPr>
          <w:rFonts w:asciiTheme="majorBidi" w:hAnsiTheme="majorBidi" w:cstheme="majorBidi"/>
        </w:rPr>
        <w:t xml:space="preserve">Gorgol en août 2022. Des pertes matérielles, équipements médicaux et des stocks médicaments ont été enregistrées causant des dégâts humains et matériels importants et bilan lourde pour le secteur. </w:t>
      </w:r>
    </w:p>
    <w:p w14:paraId="493FB4AC" w14:textId="77777777" w:rsidR="00A47DEE" w:rsidRPr="00EE4BD3" w:rsidRDefault="00A47DEE" w:rsidP="00A47DEE">
      <w:pPr>
        <w:autoSpaceDE w:val="0"/>
        <w:autoSpaceDN w:val="0"/>
        <w:adjustRightInd w:val="0"/>
        <w:jc w:val="both"/>
        <w:rPr>
          <w:rFonts w:asciiTheme="majorBidi" w:hAnsiTheme="majorBidi" w:cstheme="majorBidi"/>
        </w:rPr>
      </w:pPr>
    </w:p>
    <w:p w14:paraId="2C0313AF" w14:textId="77777777" w:rsidR="00A47DEE" w:rsidRPr="00EE4BD3" w:rsidRDefault="00A47DEE" w:rsidP="00A47DEE">
      <w:pPr>
        <w:autoSpaceDE w:val="0"/>
        <w:autoSpaceDN w:val="0"/>
        <w:adjustRightInd w:val="0"/>
        <w:spacing w:after="120"/>
        <w:jc w:val="center"/>
        <w:rPr>
          <w:rFonts w:asciiTheme="majorBidi" w:hAnsiTheme="majorBidi" w:cstheme="majorBidi"/>
        </w:rPr>
      </w:pPr>
      <w:r w:rsidRPr="00EE4BD3">
        <w:rPr>
          <w:noProof/>
        </w:rPr>
        <w:drawing>
          <wp:inline distT="0" distB="0" distL="0" distR="0" wp14:anchorId="349A1791" wp14:editId="1686DC90">
            <wp:extent cx="4655363" cy="3323590"/>
            <wp:effectExtent l="19050" t="19050" r="12065" b="10160"/>
            <wp:docPr id="14243344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666698" cy="3331683"/>
                    </a:xfrm>
                    <a:prstGeom prst="rect">
                      <a:avLst/>
                    </a:prstGeom>
                    <a:noFill/>
                    <a:ln w="6350">
                      <a:solidFill>
                        <a:schemeClr val="tx1"/>
                      </a:solidFill>
                    </a:ln>
                  </pic:spPr>
                </pic:pic>
              </a:graphicData>
            </a:graphic>
          </wp:inline>
        </w:drawing>
      </w:r>
    </w:p>
    <w:p w14:paraId="0D16FB51" w14:textId="77777777" w:rsidR="00A47DEE" w:rsidRPr="00EE4BD3" w:rsidRDefault="00A47DEE" w:rsidP="00A47DEE">
      <w:pPr>
        <w:autoSpaceDE w:val="0"/>
        <w:autoSpaceDN w:val="0"/>
        <w:adjustRightInd w:val="0"/>
        <w:jc w:val="center"/>
        <w:rPr>
          <w:rFonts w:asciiTheme="majorBidi" w:hAnsiTheme="majorBidi" w:cstheme="majorBidi"/>
          <w:b/>
          <w:bCs/>
          <w:i/>
          <w:iCs/>
          <w:color w:val="000000"/>
          <w:sz w:val="16"/>
          <w:szCs w:val="16"/>
          <w:u w:val="single"/>
        </w:rPr>
      </w:pPr>
      <w:r w:rsidRPr="00EE4BD3">
        <w:rPr>
          <w:rFonts w:asciiTheme="majorBidi" w:hAnsiTheme="majorBidi" w:cstheme="majorBidi"/>
          <w:b/>
          <w:bCs/>
          <w:i/>
          <w:iCs/>
          <w:color w:val="000000"/>
          <w:sz w:val="16"/>
          <w:szCs w:val="16"/>
          <w:u w:val="single"/>
        </w:rPr>
        <w:t>Photos 1 : L’hôpital d’Akjoujt victime d’inondation suite à de fortes pluies Septembre 2022 (Source : DHP)</w:t>
      </w:r>
    </w:p>
    <w:p w14:paraId="45B404A1" w14:textId="77777777" w:rsidR="00A47DEE" w:rsidRPr="00EE4BD3" w:rsidRDefault="00A47DEE" w:rsidP="00A47DEE">
      <w:pPr>
        <w:autoSpaceDE w:val="0"/>
        <w:autoSpaceDN w:val="0"/>
        <w:adjustRightInd w:val="0"/>
        <w:jc w:val="center"/>
        <w:rPr>
          <w:rFonts w:asciiTheme="majorBidi" w:hAnsiTheme="majorBidi" w:cstheme="majorBidi"/>
        </w:rPr>
      </w:pPr>
    </w:p>
    <w:p w14:paraId="262262CA" w14:textId="77777777" w:rsidR="00A47DEE" w:rsidRPr="00EE4BD3" w:rsidRDefault="00A47DEE" w:rsidP="00A47DEE">
      <w:pPr>
        <w:autoSpaceDE w:val="0"/>
        <w:autoSpaceDN w:val="0"/>
        <w:adjustRightInd w:val="0"/>
        <w:jc w:val="both"/>
        <w:rPr>
          <w:rFonts w:asciiTheme="majorBidi" w:hAnsiTheme="majorBidi" w:cstheme="majorBidi"/>
          <w:sz w:val="6"/>
          <w:szCs w:val="6"/>
        </w:rPr>
      </w:pPr>
    </w:p>
    <w:p w14:paraId="1034B21B" w14:textId="77777777" w:rsidR="00A47DEE" w:rsidRPr="00EE4BD3" w:rsidRDefault="00A47DEE" w:rsidP="00A47DEE">
      <w:pPr>
        <w:autoSpaceDE w:val="0"/>
        <w:autoSpaceDN w:val="0"/>
        <w:adjustRightInd w:val="0"/>
        <w:spacing w:after="120"/>
        <w:jc w:val="both"/>
        <w:rPr>
          <w:rFonts w:asciiTheme="majorBidi" w:hAnsiTheme="majorBidi" w:cstheme="majorBidi"/>
        </w:rPr>
      </w:pPr>
      <w:r w:rsidRPr="00EE4BD3">
        <w:rPr>
          <w:rFonts w:asciiTheme="majorBidi" w:hAnsiTheme="majorBidi" w:cstheme="majorBidi"/>
        </w:rPr>
        <w:t>Les effets néfastes du changement climatique sur la santé humaine sont nombreux. En plus des impacts directs qui incluent les blessures et les morts liées aux évènements extrêmes, il existe une large gamme d’impacts indirects qui affectent à la fois les maladies transmissibles et les maladies non-transmissibles. Aussi, il faut noter que les structures de santé sont principalement fréquentées par les per</w:t>
      </w:r>
      <w:r>
        <w:rPr>
          <w:rFonts w:asciiTheme="majorBidi" w:hAnsiTheme="majorBidi" w:cstheme="majorBidi"/>
        </w:rPr>
        <w:t>s</w:t>
      </w:r>
      <w:r w:rsidRPr="00EE4BD3">
        <w:rPr>
          <w:rFonts w:asciiTheme="majorBidi" w:hAnsiTheme="majorBidi" w:cstheme="majorBidi"/>
        </w:rPr>
        <w:t xml:space="preserve">onnes vulnérables (les femmes seules ou </w:t>
      </w:r>
      <w:r>
        <w:rPr>
          <w:rFonts w:asciiTheme="majorBidi" w:hAnsiTheme="majorBidi" w:cstheme="majorBidi"/>
        </w:rPr>
        <w:t>a</w:t>
      </w:r>
      <w:r w:rsidRPr="00EE4BD3">
        <w:rPr>
          <w:rFonts w:asciiTheme="majorBidi" w:hAnsiTheme="majorBidi" w:cstheme="majorBidi"/>
        </w:rPr>
        <w:t xml:space="preserve">ccompagnant leurs enfants ou proches), leur accès aux services de santé est plus difficile en cas d’évènements climatiques telles les inondations, la sécheresse, les vagues de chaleur. </w:t>
      </w:r>
    </w:p>
    <w:p w14:paraId="50A17DAA" w14:textId="77777777" w:rsidR="00A47DEE" w:rsidRPr="00EE4BD3" w:rsidRDefault="00A47DEE" w:rsidP="00A47DEE">
      <w:pPr>
        <w:autoSpaceDE w:val="0"/>
        <w:autoSpaceDN w:val="0"/>
        <w:adjustRightInd w:val="0"/>
        <w:jc w:val="both"/>
        <w:rPr>
          <w:rFonts w:asciiTheme="majorBidi" w:hAnsiTheme="majorBidi" w:cstheme="majorBidi"/>
        </w:rPr>
      </w:pPr>
      <w:r w:rsidRPr="00EE4BD3">
        <w:rPr>
          <w:rFonts w:asciiTheme="majorBidi" w:hAnsiTheme="majorBidi" w:cstheme="majorBidi"/>
        </w:rPr>
        <w:t>Autre</w:t>
      </w:r>
      <w:r>
        <w:rPr>
          <w:rFonts w:asciiTheme="majorBidi" w:hAnsiTheme="majorBidi" w:cstheme="majorBidi"/>
        </w:rPr>
        <w:t>s</w:t>
      </w:r>
      <w:r w:rsidRPr="00EE4BD3">
        <w:rPr>
          <w:rFonts w:asciiTheme="majorBidi" w:hAnsiTheme="majorBidi" w:cstheme="majorBidi"/>
        </w:rPr>
        <w:t xml:space="preserve"> impacts qui ont des répercussions particulières, par exemple, sur la santé mentale, les maladies cardiovasculaires et respiratoires, la sous-nutrition et les maladies infectieuses d’origine vectorielle, hydrique ou alimentaire. </w:t>
      </w:r>
    </w:p>
    <w:p w14:paraId="5E5EC403" w14:textId="77777777" w:rsidR="00A47DEE" w:rsidRPr="00EE4BD3" w:rsidRDefault="00A47DEE" w:rsidP="00A47DEE">
      <w:pPr>
        <w:autoSpaceDE w:val="0"/>
        <w:autoSpaceDN w:val="0"/>
        <w:adjustRightInd w:val="0"/>
        <w:jc w:val="both"/>
        <w:rPr>
          <w:rFonts w:asciiTheme="majorBidi" w:hAnsiTheme="majorBidi" w:cstheme="majorBidi"/>
          <w:sz w:val="10"/>
          <w:szCs w:val="10"/>
        </w:rPr>
      </w:pPr>
    </w:p>
    <w:p w14:paraId="74929E73" w14:textId="77777777" w:rsidR="00A47DEE" w:rsidRPr="00EE4BD3" w:rsidRDefault="00A47DEE" w:rsidP="00A47DEE">
      <w:pPr>
        <w:autoSpaceDE w:val="0"/>
        <w:autoSpaceDN w:val="0"/>
        <w:adjustRightInd w:val="0"/>
        <w:jc w:val="both"/>
        <w:rPr>
          <w:rFonts w:asciiTheme="majorBidi" w:hAnsiTheme="majorBidi" w:cstheme="majorBidi"/>
          <w:lang w:eastAsia="de-DE"/>
        </w:rPr>
      </w:pPr>
      <w:r w:rsidRPr="00EE4BD3">
        <w:rPr>
          <w:rFonts w:asciiTheme="majorBidi" w:hAnsiTheme="majorBidi" w:cstheme="majorBidi"/>
          <w:lang w:eastAsia="de-DE"/>
        </w:rPr>
        <w:t>La vulnérabilité et l’exposition dans le contexte spécifique de la Mauritanie sont marquées par non seulem</w:t>
      </w:r>
      <w:r>
        <w:rPr>
          <w:rFonts w:asciiTheme="majorBidi" w:hAnsiTheme="majorBidi" w:cstheme="majorBidi"/>
          <w:lang w:eastAsia="de-DE"/>
        </w:rPr>
        <w:t>e</w:t>
      </w:r>
      <w:r w:rsidRPr="00EE4BD3">
        <w:rPr>
          <w:rFonts w:asciiTheme="majorBidi" w:hAnsiTheme="majorBidi" w:cstheme="majorBidi"/>
          <w:lang w:eastAsia="de-DE"/>
        </w:rPr>
        <w:t>nt les conditions environnementales m</w:t>
      </w:r>
      <w:r>
        <w:rPr>
          <w:rFonts w:asciiTheme="majorBidi" w:hAnsiTheme="majorBidi" w:cstheme="majorBidi"/>
          <w:lang w:eastAsia="de-DE"/>
        </w:rPr>
        <w:t>a</w:t>
      </w:r>
      <w:r w:rsidRPr="00EE4BD3">
        <w:rPr>
          <w:rFonts w:asciiTheme="majorBidi" w:hAnsiTheme="majorBidi" w:cstheme="majorBidi"/>
          <w:lang w:eastAsia="de-DE"/>
        </w:rPr>
        <w:t>is aussi les conditions sociales de la population touché</w:t>
      </w:r>
      <w:r>
        <w:rPr>
          <w:rFonts w:asciiTheme="majorBidi" w:hAnsiTheme="majorBidi" w:cstheme="majorBidi"/>
          <w:lang w:eastAsia="de-DE"/>
        </w:rPr>
        <w:t>e</w:t>
      </w:r>
      <w:r w:rsidRPr="00EE4BD3">
        <w:rPr>
          <w:rFonts w:asciiTheme="majorBidi" w:hAnsiTheme="majorBidi" w:cstheme="majorBidi"/>
          <w:lang w:eastAsia="de-DE"/>
        </w:rPr>
        <w:t xml:space="preserve"> (voir Figure 3) tel</w:t>
      </w:r>
      <w:r>
        <w:rPr>
          <w:rFonts w:asciiTheme="majorBidi" w:hAnsiTheme="majorBidi" w:cstheme="majorBidi"/>
          <w:lang w:eastAsia="de-DE"/>
        </w:rPr>
        <w:t xml:space="preserve">le </w:t>
      </w:r>
      <w:r w:rsidRPr="00EE4BD3">
        <w:rPr>
          <w:rFonts w:asciiTheme="majorBidi" w:hAnsiTheme="majorBidi" w:cstheme="majorBidi"/>
          <w:lang w:eastAsia="de-DE"/>
        </w:rPr>
        <w:t>que la pauvreté, la vulnérabilité de quartiers précaires urbains (un habitat généralement rudimentaire hors des villes et une zone rurale sous-équipée).</w:t>
      </w:r>
    </w:p>
    <w:p w14:paraId="37D5892E" w14:textId="77777777" w:rsidR="00A47DEE" w:rsidRPr="00EE4BD3" w:rsidRDefault="00A47DEE" w:rsidP="00A47DEE">
      <w:pPr>
        <w:autoSpaceDE w:val="0"/>
        <w:autoSpaceDN w:val="0"/>
        <w:adjustRightInd w:val="0"/>
        <w:jc w:val="both"/>
        <w:rPr>
          <w:rFonts w:asciiTheme="majorBidi" w:hAnsiTheme="majorBidi" w:cstheme="majorBidi"/>
        </w:rPr>
      </w:pPr>
    </w:p>
    <w:p w14:paraId="15FC76AA" w14:textId="77777777" w:rsidR="00A47DEE" w:rsidRPr="00EE4BD3" w:rsidRDefault="00A47DEE" w:rsidP="00A47DEE">
      <w:pPr>
        <w:autoSpaceDE w:val="0"/>
        <w:autoSpaceDN w:val="0"/>
        <w:adjustRightInd w:val="0"/>
        <w:jc w:val="center"/>
        <w:rPr>
          <w:rFonts w:asciiTheme="majorBidi" w:hAnsiTheme="majorBidi" w:cstheme="majorBidi"/>
        </w:rPr>
      </w:pPr>
      <w:r w:rsidRPr="00EE4BD3">
        <w:rPr>
          <w:rFonts w:asciiTheme="majorBidi" w:hAnsiTheme="majorBidi" w:cstheme="majorBidi"/>
          <w:noProof/>
        </w:rPr>
        <w:drawing>
          <wp:inline distT="0" distB="0" distL="0" distR="0" wp14:anchorId="4EC82D58" wp14:editId="7080692D">
            <wp:extent cx="3573236" cy="2308225"/>
            <wp:effectExtent l="19050" t="19050" r="27305" b="15875"/>
            <wp:docPr id="85519531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589066" cy="2318451"/>
                    </a:xfrm>
                    <a:prstGeom prst="rect">
                      <a:avLst/>
                    </a:prstGeom>
                    <a:noFill/>
                    <a:ln w="3175">
                      <a:solidFill>
                        <a:schemeClr val="tx1"/>
                      </a:solidFill>
                    </a:ln>
                  </pic:spPr>
                </pic:pic>
              </a:graphicData>
            </a:graphic>
          </wp:inline>
        </w:drawing>
      </w:r>
    </w:p>
    <w:p w14:paraId="11612024" w14:textId="77777777" w:rsidR="00A47DEE" w:rsidRPr="00EE4BD3" w:rsidRDefault="00A47DEE" w:rsidP="00A47DEE">
      <w:pPr>
        <w:autoSpaceDE w:val="0"/>
        <w:autoSpaceDN w:val="0"/>
        <w:adjustRightInd w:val="0"/>
        <w:jc w:val="center"/>
        <w:rPr>
          <w:rFonts w:asciiTheme="majorBidi" w:hAnsiTheme="majorBidi" w:cstheme="majorBidi"/>
        </w:rPr>
      </w:pPr>
      <w:r w:rsidRPr="00EE4BD3">
        <w:rPr>
          <w:rFonts w:asciiTheme="majorBidi" w:hAnsiTheme="majorBidi" w:cstheme="majorBidi"/>
          <w:b/>
          <w:bCs/>
          <w:i/>
          <w:iCs/>
          <w:color w:val="000000"/>
          <w:sz w:val="16"/>
          <w:szCs w:val="16"/>
          <w:u w:val="single"/>
        </w:rPr>
        <w:t>Figure 3 : impact changement climatique sur la santé (source THE LANCET 2018)</w:t>
      </w:r>
    </w:p>
    <w:p w14:paraId="561ACA63" w14:textId="77777777" w:rsidR="00A47DEE" w:rsidRPr="00EE4BD3" w:rsidRDefault="00A47DEE" w:rsidP="00A47DEE">
      <w:pPr>
        <w:autoSpaceDE w:val="0"/>
        <w:autoSpaceDN w:val="0"/>
        <w:adjustRightInd w:val="0"/>
        <w:jc w:val="both"/>
        <w:rPr>
          <w:rFonts w:asciiTheme="majorBidi" w:hAnsiTheme="majorBidi" w:cstheme="majorBidi"/>
        </w:rPr>
      </w:pPr>
    </w:p>
    <w:p w14:paraId="5CD3127A" w14:textId="77777777" w:rsidR="00A47DEE" w:rsidRPr="00990088" w:rsidRDefault="00A47DEE" w:rsidP="00A47DEE">
      <w:pPr>
        <w:autoSpaceDE w:val="0"/>
        <w:autoSpaceDN w:val="0"/>
        <w:adjustRightInd w:val="0"/>
        <w:jc w:val="both"/>
        <w:rPr>
          <w:rFonts w:asciiTheme="majorBidi" w:hAnsiTheme="majorBidi" w:cstheme="majorBidi"/>
          <w:color w:val="FF0000"/>
          <w:sz w:val="20"/>
          <w:szCs w:val="20"/>
          <w:lang w:eastAsia="de-DE"/>
        </w:rPr>
      </w:pPr>
    </w:p>
    <w:p w14:paraId="2878BC58" w14:textId="77777777" w:rsidR="00A47DEE" w:rsidRPr="0047467B" w:rsidRDefault="00A47DEE" w:rsidP="00A47DEE">
      <w:pPr>
        <w:pStyle w:val="Paragraphedeliste"/>
        <w:numPr>
          <w:ilvl w:val="0"/>
          <w:numId w:val="397"/>
        </w:numPr>
        <w:autoSpaceDE w:val="0"/>
        <w:autoSpaceDN w:val="0"/>
        <w:adjustRightInd w:val="0"/>
        <w:ind w:left="426" w:hanging="426"/>
        <w:rPr>
          <w:rFonts w:asciiTheme="majorBidi" w:hAnsiTheme="majorBidi" w:cstheme="majorBidi"/>
          <w:b/>
          <w:bCs/>
          <w:color w:val="000000"/>
          <w:sz w:val="28"/>
          <w:szCs w:val="28"/>
          <w:u w:val="single"/>
        </w:rPr>
      </w:pPr>
      <w:r w:rsidRPr="0047467B">
        <w:rPr>
          <w:rFonts w:asciiTheme="majorBidi" w:hAnsiTheme="majorBidi" w:cstheme="majorBidi"/>
          <w:b/>
          <w:bCs/>
          <w:color w:val="000000"/>
          <w:sz w:val="28"/>
          <w:szCs w:val="28"/>
          <w:u w:val="single"/>
        </w:rPr>
        <w:t xml:space="preserve">Indice de la vulnérabilité </w:t>
      </w:r>
      <w:proofErr w:type="gramStart"/>
      <w:r w:rsidRPr="0047467B">
        <w:rPr>
          <w:rFonts w:asciiTheme="majorBidi" w:hAnsiTheme="majorBidi" w:cstheme="majorBidi"/>
          <w:b/>
          <w:bCs/>
          <w:color w:val="000000"/>
          <w:sz w:val="28"/>
          <w:szCs w:val="28"/>
          <w:u w:val="single"/>
        </w:rPr>
        <w:t>climatique  :</w:t>
      </w:r>
      <w:proofErr w:type="gramEnd"/>
    </w:p>
    <w:p w14:paraId="3ADE56A2" w14:textId="77777777" w:rsidR="00A47DEE" w:rsidRPr="00EE4BD3" w:rsidRDefault="00A47DEE" w:rsidP="00A47DEE">
      <w:pPr>
        <w:autoSpaceDE w:val="0"/>
        <w:autoSpaceDN w:val="0"/>
        <w:adjustRightInd w:val="0"/>
        <w:spacing w:after="120"/>
        <w:jc w:val="both"/>
      </w:pPr>
      <w:r w:rsidRPr="00EE4BD3">
        <w:rPr>
          <w:rFonts w:asciiTheme="majorBidi" w:hAnsiTheme="majorBidi" w:cstheme="majorBidi"/>
          <w:lang w:eastAsia="de-DE"/>
        </w:rPr>
        <w:t>La Mauritanie occupe le 58ème rang des pays les plus exposés aux risques du changement climatique (2021) et le 165ème rang sur 180 pays selon l’indice de performance environnementale (2022) (BAD, 2023). Le Rapport de la Quatrième Communication Nationale de la Mauritanie sur le changement climatique, édité en 2019, indique que « Le climat mauritanien évoluera, d’ici une vingtaine d’années, vers une plus grande aridité, une augmentation de fréquence des évènements climatiques extrêmes (canicules, averses orageuses…) et une diminution progressive des précipitations » (Ministère de l'Environnement et du Développement Durable, 2019). Cette évolution aura des conséquences importantes sur la santé des populations en Mauritanie, dans les différentes zones environnementales et climatiques.</w:t>
      </w:r>
      <w:r w:rsidRPr="00EE4BD3">
        <w:t xml:space="preserve"> </w:t>
      </w:r>
    </w:p>
    <w:p w14:paraId="7EAE5672" w14:textId="77777777" w:rsidR="00A47DEE" w:rsidRPr="00990088" w:rsidRDefault="00A47DEE" w:rsidP="00A47DEE">
      <w:pPr>
        <w:suppressAutoHyphens/>
        <w:autoSpaceDN w:val="0"/>
        <w:spacing w:line="276" w:lineRule="auto"/>
        <w:contextualSpacing/>
        <w:jc w:val="both"/>
        <w:textAlignment w:val="baseline"/>
        <w:rPr>
          <w:rFonts w:asciiTheme="majorBidi" w:hAnsiTheme="majorBidi" w:cstheme="majorBidi"/>
        </w:rPr>
      </w:pPr>
      <w:r w:rsidRPr="00990088">
        <w:rPr>
          <w:rFonts w:asciiTheme="majorBidi" w:hAnsiTheme="majorBidi" w:cstheme="majorBidi"/>
        </w:rPr>
        <w:t>En Mauritanie l'indice de risque climatique est 63 selon le rapport PNUD du bilan des Ressources Cadre de la Coopération mars 2024, cet indice à long terme mesure le degré d'exposition et sera calculé sur les bases de données annuelles moyennes. Il est calcul</w:t>
      </w:r>
      <w:r>
        <w:rPr>
          <w:rFonts w:asciiTheme="majorBidi" w:hAnsiTheme="majorBidi" w:cstheme="majorBidi"/>
        </w:rPr>
        <w:t>é</w:t>
      </w:r>
      <w:r w:rsidRPr="00990088">
        <w:rPr>
          <w:rFonts w:asciiTheme="majorBidi" w:hAnsiTheme="majorBidi" w:cstheme="majorBidi"/>
        </w:rPr>
        <w:t xml:space="preserve"> sur les données IRC (Indice mondial de risque climatique de German Watch) qui mesure les impacts des événements météorologiques et des événements climatologiques à la fois en termes de pertes économiques directes et de décès, il classe les pays </w:t>
      </w:r>
      <w:r>
        <w:rPr>
          <w:rFonts w:asciiTheme="majorBidi" w:hAnsiTheme="majorBidi" w:cstheme="majorBidi"/>
        </w:rPr>
        <w:t>selon</w:t>
      </w:r>
      <w:r w:rsidRPr="00990088">
        <w:rPr>
          <w:rFonts w:asciiTheme="majorBidi" w:hAnsiTheme="majorBidi" w:cstheme="majorBidi"/>
        </w:rPr>
        <w:t xml:space="preserve"> qua</w:t>
      </w:r>
      <w:r>
        <w:rPr>
          <w:rFonts w:asciiTheme="majorBidi" w:hAnsiTheme="majorBidi" w:cstheme="majorBidi"/>
        </w:rPr>
        <w:t>t</w:t>
      </w:r>
      <w:r w:rsidRPr="00990088">
        <w:rPr>
          <w:rFonts w:asciiTheme="majorBidi" w:hAnsiTheme="majorBidi" w:cstheme="majorBidi"/>
        </w:rPr>
        <w:t>re catégories : le nombre de décès de chaque événement climatique, nombre des décès pour 100 000 habitants, les pertes totales en millions de dollars US</w:t>
      </w:r>
      <w:r>
        <w:rPr>
          <w:rFonts w:asciiTheme="majorBidi" w:hAnsiTheme="majorBidi" w:cstheme="majorBidi"/>
        </w:rPr>
        <w:t xml:space="preserve"> et </w:t>
      </w:r>
      <w:r w:rsidRPr="00990088">
        <w:rPr>
          <w:rFonts w:asciiTheme="majorBidi" w:hAnsiTheme="majorBidi" w:cstheme="majorBidi"/>
        </w:rPr>
        <w:t>les pertes par unité de PIB en %.</w:t>
      </w:r>
    </w:p>
    <w:p w14:paraId="01374C34" w14:textId="77777777" w:rsidR="00A47DEE" w:rsidRPr="0026369A" w:rsidRDefault="00A47DEE" w:rsidP="00A47DEE">
      <w:pPr>
        <w:suppressAutoHyphens/>
        <w:autoSpaceDN w:val="0"/>
        <w:spacing w:line="276" w:lineRule="auto"/>
        <w:contextualSpacing/>
        <w:jc w:val="both"/>
        <w:textAlignment w:val="baseline"/>
        <w:rPr>
          <w:rFonts w:cstheme="minorHAnsi"/>
          <w:sz w:val="18"/>
          <w:szCs w:val="18"/>
        </w:rPr>
      </w:pPr>
    </w:p>
    <w:p w14:paraId="417312E0" w14:textId="77777777" w:rsidR="00A47DEE" w:rsidRDefault="00A47DEE" w:rsidP="00A47DEE">
      <w:pPr>
        <w:autoSpaceDE w:val="0"/>
        <w:autoSpaceDN w:val="0"/>
        <w:adjustRightInd w:val="0"/>
        <w:jc w:val="both"/>
        <w:rPr>
          <w:rFonts w:asciiTheme="majorBidi" w:hAnsiTheme="majorBidi" w:cstheme="majorBidi"/>
          <w:lang w:eastAsia="de-DE"/>
        </w:rPr>
      </w:pPr>
      <w:r w:rsidRPr="0026369A">
        <w:rPr>
          <w:rFonts w:asciiTheme="majorBidi" w:hAnsiTheme="majorBidi" w:cstheme="majorBidi"/>
          <w:lang w:eastAsia="de-DE"/>
        </w:rPr>
        <w:t xml:space="preserve">La vulnérabilité et l’exposition aux effets du changement climatique dans le contexte spécifique en Mauritanie </w:t>
      </w:r>
      <w:r>
        <w:rPr>
          <w:rFonts w:asciiTheme="majorBidi" w:hAnsiTheme="majorBidi" w:cstheme="majorBidi"/>
          <w:lang w:eastAsia="de-DE"/>
        </w:rPr>
        <w:t xml:space="preserve">comme les plus part des pays Africains </w:t>
      </w:r>
      <w:r w:rsidRPr="0026369A">
        <w:rPr>
          <w:rFonts w:asciiTheme="majorBidi" w:hAnsiTheme="majorBidi" w:cstheme="majorBidi"/>
          <w:lang w:eastAsia="de-DE"/>
        </w:rPr>
        <w:t>sont marquées par plusieurs indicateurs socio-économique</w:t>
      </w:r>
      <w:r>
        <w:rPr>
          <w:rFonts w:asciiTheme="majorBidi" w:hAnsiTheme="majorBidi" w:cstheme="majorBidi"/>
          <w:lang w:eastAsia="de-DE"/>
        </w:rPr>
        <w:t>s</w:t>
      </w:r>
      <w:r w:rsidRPr="0026369A">
        <w:rPr>
          <w:rFonts w:asciiTheme="majorBidi" w:hAnsiTheme="majorBidi" w:cstheme="majorBidi"/>
          <w:lang w:eastAsia="de-DE"/>
        </w:rPr>
        <w:t xml:space="preserve"> et leur gravité dépendra des zones géographique</w:t>
      </w:r>
      <w:r>
        <w:rPr>
          <w:rFonts w:asciiTheme="majorBidi" w:hAnsiTheme="majorBidi" w:cstheme="majorBidi"/>
          <w:lang w:eastAsia="de-DE"/>
        </w:rPr>
        <w:t>s</w:t>
      </w:r>
      <w:r w:rsidRPr="0026369A">
        <w:rPr>
          <w:rFonts w:asciiTheme="majorBidi" w:hAnsiTheme="majorBidi" w:cstheme="majorBidi"/>
          <w:lang w:eastAsia="de-DE"/>
        </w:rPr>
        <w:t xml:space="preserve"> urbaines ou et semi-urbains</w:t>
      </w:r>
      <w:r>
        <w:rPr>
          <w:rFonts w:asciiTheme="majorBidi" w:hAnsiTheme="majorBidi" w:cstheme="majorBidi"/>
          <w:lang w:eastAsia="de-DE"/>
        </w:rPr>
        <w:t xml:space="preserve"> (voir Figure 4)</w:t>
      </w:r>
      <w:r w:rsidRPr="0026369A">
        <w:rPr>
          <w:rFonts w:asciiTheme="majorBidi" w:hAnsiTheme="majorBidi" w:cstheme="majorBidi"/>
          <w:lang w:eastAsia="de-DE"/>
        </w:rPr>
        <w:t>. Les principales inquiétudes direct</w:t>
      </w:r>
      <w:r>
        <w:rPr>
          <w:rFonts w:asciiTheme="majorBidi" w:hAnsiTheme="majorBidi" w:cstheme="majorBidi"/>
          <w:lang w:eastAsia="de-DE"/>
        </w:rPr>
        <w:t>e</w:t>
      </w:r>
      <w:r w:rsidRPr="0026369A">
        <w:rPr>
          <w:rFonts w:asciiTheme="majorBidi" w:hAnsiTheme="majorBidi" w:cstheme="majorBidi"/>
          <w:lang w:eastAsia="de-DE"/>
        </w:rPr>
        <w:t xml:space="preserve">s par rapport aux conséquences du changement climatique pour la santé en Mauritanie sont relatives à la hausse des températures, le changement dans le régime des précipitations, la baisse de disponibilité des ressources en eau, les épisodes météorologiques extrêmes, les inondations et la sécheresse (GIZ profit climatique </w:t>
      </w:r>
      <w:r>
        <w:rPr>
          <w:rFonts w:asciiTheme="majorBidi" w:hAnsiTheme="majorBidi" w:cstheme="majorBidi"/>
          <w:lang w:eastAsia="de-DE"/>
        </w:rPr>
        <w:t>MR</w:t>
      </w:r>
      <w:r w:rsidRPr="0026369A">
        <w:rPr>
          <w:rFonts w:asciiTheme="majorBidi" w:hAnsiTheme="majorBidi" w:cstheme="majorBidi"/>
          <w:lang w:eastAsia="de-DE"/>
        </w:rPr>
        <w:t xml:space="preserve"> 2021). </w:t>
      </w:r>
      <w:r w:rsidRPr="00EE4BD3">
        <w:rPr>
          <w:rFonts w:asciiTheme="majorBidi" w:hAnsiTheme="majorBidi" w:cstheme="majorBidi"/>
          <w:lang w:eastAsia="de-DE"/>
        </w:rPr>
        <w:t xml:space="preserve">De manière indirecte </w:t>
      </w:r>
      <w:r w:rsidRPr="0026369A">
        <w:rPr>
          <w:rFonts w:asciiTheme="majorBidi" w:hAnsiTheme="majorBidi" w:cstheme="majorBidi"/>
          <w:lang w:eastAsia="de-DE"/>
        </w:rPr>
        <w:t>l</w:t>
      </w:r>
      <w:r w:rsidRPr="00EE4BD3">
        <w:rPr>
          <w:rFonts w:asciiTheme="majorBidi" w:hAnsiTheme="majorBidi" w:cstheme="majorBidi"/>
          <w:lang w:eastAsia="de-DE"/>
        </w:rPr>
        <w:t>es changements climatiques affectent la santé </w:t>
      </w:r>
      <w:r w:rsidRPr="0026369A">
        <w:rPr>
          <w:rFonts w:asciiTheme="majorBidi" w:hAnsiTheme="majorBidi" w:cstheme="majorBidi"/>
          <w:lang w:eastAsia="de-DE"/>
        </w:rPr>
        <w:t xml:space="preserve">en Mauritanie </w:t>
      </w:r>
      <w:r w:rsidRPr="00EE4BD3">
        <w:rPr>
          <w:rFonts w:asciiTheme="majorBidi" w:hAnsiTheme="majorBidi" w:cstheme="majorBidi"/>
          <w:lang w:eastAsia="de-DE"/>
        </w:rPr>
        <w:t xml:space="preserve">via une incidence négative sur les déterminants socio-environnementaux de la santé </w:t>
      </w:r>
      <w:r>
        <w:rPr>
          <w:rFonts w:asciiTheme="majorBidi" w:hAnsiTheme="majorBidi" w:cstheme="majorBidi"/>
          <w:lang w:eastAsia="de-DE"/>
        </w:rPr>
        <w:t>(exemple</w:t>
      </w:r>
      <w:r w:rsidRPr="00EE4BD3">
        <w:rPr>
          <w:rFonts w:asciiTheme="majorBidi" w:hAnsiTheme="majorBidi" w:cstheme="majorBidi"/>
          <w:lang w:eastAsia="de-DE"/>
        </w:rPr>
        <w:t> :</w:t>
      </w:r>
      <w:r w:rsidRPr="0026369A">
        <w:rPr>
          <w:rFonts w:asciiTheme="majorBidi" w:hAnsiTheme="majorBidi" w:cstheme="majorBidi"/>
          <w:lang w:eastAsia="de-DE"/>
        </w:rPr>
        <w:t xml:space="preserve"> </w:t>
      </w:r>
      <w:r w:rsidRPr="00EE4BD3">
        <w:rPr>
          <w:rFonts w:asciiTheme="majorBidi" w:hAnsiTheme="majorBidi" w:cstheme="majorBidi"/>
          <w:lang w:eastAsia="de-DE"/>
        </w:rPr>
        <w:t>l’eau potable</w:t>
      </w:r>
      <w:r>
        <w:rPr>
          <w:rFonts w:asciiTheme="majorBidi" w:hAnsiTheme="majorBidi" w:cstheme="majorBidi"/>
          <w:lang w:eastAsia="de-DE"/>
        </w:rPr>
        <w:t xml:space="preserve">, </w:t>
      </w:r>
      <w:proofErr w:type="gramStart"/>
      <w:r w:rsidRPr="00EE4BD3">
        <w:rPr>
          <w:rFonts w:asciiTheme="majorBidi" w:hAnsiTheme="majorBidi" w:cstheme="majorBidi"/>
          <w:lang w:eastAsia="de-DE"/>
        </w:rPr>
        <w:t>l’assainissement</w:t>
      </w:r>
      <w:r>
        <w:rPr>
          <w:rFonts w:asciiTheme="majorBidi" w:hAnsiTheme="majorBidi" w:cstheme="majorBidi"/>
          <w:lang w:eastAsia="de-DE"/>
        </w:rPr>
        <w:t>….</w:t>
      </w:r>
      <w:proofErr w:type="gramEnd"/>
      <w:r>
        <w:rPr>
          <w:rFonts w:asciiTheme="majorBidi" w:hAnsiTheme="majorBidi" w:cstheme="majorBidi"/>
          <w:lang w:eastAsia="de-DE"/>
        </w:rPr>
        <w:t xml:space="preserve">etc). </w:t>
      </w:r>
    </w:p>
    <w:p w14:paraId="76A7E6C0" w14:textId="77777777" w:rsidR="00A47DEE" w:rsidRPr="0026369A" w:rsidRDefault="00A47DEE" w:rsidP="00A47DEE">
      <w:pPr>
        <w:autoSpaceDE w:val="0"/>
        <w:autoSpaceDN w:val="0"/>
        <w:adjustRightInd w:val="0"/>
        <w:jc w:val="both"/>
        <w:rPr>
          <w:rFonts w:asciiTheme="majorBidi" w:hAnsiTheme="majorBidi" w:cstheme="majorBidi"/>
          <w:lang w:eastAsia="de-DE"/>
        </w:rPr>
      </w:pPr>
    </w:p>
    <w:p w14:paraId="224C5514" w14:textId="77777777" w:rsidR="00A47DEE" w:rsidRPr="00EE4BD3" w:rsidRDefault="00A47DEE" w:rsidP="00A47DEE">
      <w:pPr>
        <w:autoSpaceDE w:val="0"/>
        <w:autoSpaceDN w:val="0"/>
        <w:adjustRightInd w:val="0"/>
        <w:jc w:val="center"/>
        <w:rPr>
          <w:rFonts w:asciiTheme="majorBidi" w:hAnsiTheme="majorBidi" w:cstheme="majorBidi"/>
          <w:lang w:eastAsia="de-DE"/>
        </w:rPr>
      </w:pPr>
      <w:r w:rsidRPr="00EE4BD3">
        <w:rPr>
          <w:rFonts w:asciiTheme="majorBidi" w:hAnsiTheme="majorBidi" w:cstheme="majorBidi"/>
          <w:noProof/>
          <w:lang w:eastAsia="de-DE"/>
        </w:rPr>
        <w:drawing>
          <wp:inline distT="0" distB="0" distL="0" distR="0" wp14:anchorId="094FC5E2" wp14:editId="54671D2E">
            <wp:extent cx="5930900" cy="3679493"/>
            <wp:effectExtent l="19050" t="19050" r="12700" b="16510"/>
            <wp:docPr id="107235638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986269" cy="3713844"/>
                    </a:xfrm>
                    <a:prstGeom prst="rect">
                      <a:avLst/>
                    </a:prstGeom>
                    <a:noFill/>
                    <a:ln>
                      <a:solidFill>
                        <a:schemeClr val="accent1"/>
                      </a:solidFill>
                    </a:ln>
                  </pic:spPr>
                </pic:pic>
              </a:graphicData>
            </a:graphic>
          </wp:inline>
        </w:drawing>
      </w:r>
    </w:p>
    <w:p w14:paraId="6568A785" w14:textId="77777777" w:rsidR="00A47DEE" w:rsidRPr="00EE4BD3" w:rsidRDefault="00A47DEE" w:rsidP="00A47DEE">
      <w:pPr>
        <w:autoSpaceDE w:val="0"/>
        <w:autoSpaceDN w:val="0"/>
        <w:adjustRightInd w:val="0"/>
        <w:jc w:val="center"/>
        <w:rPr>
          <w:rFonts w:asciiTheme="majorBidi" w:hAnsiTheme="majorBidi" w:cstheme="majorBidi"/>
        </w:rPr>
      </w:pPr>
      <w:r w:rsidRPr="00EE4BD3">
        <w:rPr>
          <w:rFonts w:asciiTheme="majorBidi" w:hAnsiTheme="majorBidi" w:cstheme="majorBidi"/>
          <w:b/>
          <w:bCs/>
          <w:i/>
          <w:iCs/>
          <w:color w:val="000000"/>
          <w:sz w:val="16"/>
          <w:szCs w:val="16"/>
          <w:u w:val="single"/>
        </w:rPr>
        <w:t xml:space="preserve">Figure 4 : risque sanitaire </w:t>
      </w:r>
      <w:proofErr w:type="spellStart"/>
      <w:r w:rsidRPr="00EE4BD3">
        <w:rPr>
          <w:rFonts w:asciiTheme="majorBidi" w:hAnsiTheme="majorBidi" w:cstheme="majorBidi"/>
          <w:b/>
          <w:bCs/>
          <w:i/>
          <w:iCs/>
          <w:color w:val="000000"/>
          <w:sz w:val="16"/>
          <w:szCs w:val="16"/>
          <w:u w:val="single"/>
        </w:rPr>
        <w:t>senssible</w:t>
      </w:r>
      <w:proofErr w:type="spellEnd"/>
      <w:r w:rsidRPr="00EE4BD3">
        <w:rPr>
          <w:rFonts w:asciiTheme="majorBidi" w:hAnsiTheme="majorBidi" w:cstheme="majorBidi"/>
          <w:b/>
          <w:bCs/>
          <w:i/>
          <w:iCs/>
          <w:color w:val="000000"/>
          <w:sz w:val="16"/>
          <w:szCs w:val="16"/>
          <w:u w:val="single"/>
        </w:rPr>
        <w:t xml:space="preserve"> au </w:t>
      </w:r>
      <w:proofErr w:type="gramStart"/>
      <w:r w:rsidRPr="00EE4BD3">
        <w:rPr>
          <w:rFonts w:asciiTheme="majorBidi" w:hAnsiTheme="majorBidi" w:cstheme="majorBidi"/>
          <w:b/>
          <w:bCs/>
          <w:i/>
          <w:iCs/>
          <w:color w:val="000000"/>
          <w:sz w:val="16"/>
          <w:szCs w:val="16"/>
          <w:u w:val="single"/>
        </w:rPr>
        <w:t>climat  (</w:t>
      </w:r>
      <w:proofErr w:type="gramEnd"/>
      <w:r w:rsidRPr="00EE4BD3">
        <w:rPr>
          <w:rFonts w:asciiTheme="majorBidi" w:hAnsiTheme="majorBidi" w:cstheme="majorBidi"/>
          <w:b/>
          <w:bCs/>
          <w:i/>
          <w:iCs/>
          <w:color w:val="000000"/>
          <w:sz w:val="16"/>
          <w:szCs w:val="16"/>
          <w:u w:val="single"/>
        </w:rPr>
        <w:t>source OMS 2019)</w:t>
      </w:r>
    </w:p>
    <w:p w14:paraId="7AEF8F8D" w14:textId="77777777" w:rsidR="00A47DEE" w:rsidRPr="00EE4BD3" w:rsidRDefault="00A47DEE" w:rsidP="00A47DEE">
      <w:pPr>
        <w:autoSpaceDE w:val="0"/>
        <w:autoSpaceDN w:val="0"/>
        <w:adjustRightInd w:val="0"/>
        <w:jc w:val="both"/>
        <w:rPr>
          <w:rFonts w:asciiTheme="majorBidi" w:hAnsiTheme="majorBidi" w:cstheme="majorBidi"/>
          <w:lang w:eastAsia="de-DE"/>
        </w:rPr>
      </w:pPr>
    </w:p>
    <w:p w14:paraId="53630630" w14:textId="77777777" w:rsidR="00A47DEE" w:rsidRPr="0047467B" w:rsidRDefault="00A47DEE" w:rsidP="00A47DEE">
      <w:pPr>
        <w:pStyle w:val="Paragraphedeliste"/>
        <w:numPr>
          <w:ilvl w:val="0"/>
          <w:numId w:val="397"/>
        </w:numPr>
        <w:autoSpaceDE w:val="0"/>
        <w:autoSpaceDN w:val="0"/>
        <w:adjustRightInd w:val="0"/>
        <w:ind w:left="426" w:hanging="426"/>
        <w:rPr>
          <w:rFonts w:asciiTheme="majorBidi" w:hAnsiTheme="majorBidi" w:cstheme="majorBidi"/>
          <w:b/>
          <w:bCs/>
          <w:color w:val="000000"/>
          <w:sz w:val="28"/>
          <w:szCs w:val="28"/>
          <w:u w:val="single"/>
        </w:rPr>
      </w:pPr>
      <w:r w:rsidRPr="0047467B">
        <w:rPr>
          <w:rFonts w:asciiTheme="majorBidi" w:hAnsiTheme="majorBidi" w:cstheme="majorBidi"/>
          <w:b/>
          <w:bCs/>
          <w:color w:val="000000"/>
          <w:sz w:val="28"/>
          <w:szCs w:val="28"/>
          <w:u w:val="single"/>
        </w:rPr>
        <w:t>Maladies lies aux climats (profit épidémiologique) :</w:t>
      </w:r>
    </w:p>
    <w:p w14:paraId="18F143EB" w14:textId="77777777" w:rsidR="00A47DEE" w:rsidRPr="002F6759" w:rsidRDefault="00A47DEE" w:rsidP="00A47DEE">
      <w:pPr>
        <w:autoSpaceDE w:val="0"/>
        <w:autoSpaceDN w:val="0"/>
        <w:adjustRightInd w:val="0"/>
        <w:jc w:val="both"/>
        <w:rPr>
          <w:rFonts w:asciiTheme="majorBidi" w:hAnsiTheme="majorBidi" w:cstheme="majorBidi"/>
          <w:color w:val="C00000"/>
          <w:sz w:val="4"/>
          <w:szCs w:val="4"/>
        </w:rPr>
      </w:pPr>
    </w:p>
    <w:p w14:paraId="7AC75819" w14:textId="77777777" w:rsidR="00A47DEE" w:rsidRPr="000B0D94" w:rsidRDefault="00A47DEE" w:rsidP="00A47DEE">
      <w:pPr>
        <w:spacing w:before="120" w:after="120" w:line="276" w:lineRule="auto"/>
        <w:jc w:val="both"/>
        <w:rPr>
          <w:rFonts w:asciiTheme="majorBidi" w:hAnsiTheme="majorBidi" w:cstheme="majorBidi"/>
          <w:lang w:eastAsia="de-DE"/>
        </w:rPr>
      </w:pPr>
      <w:r w:rsidRPr="000B0D94">
        <w:rPr>
          <w:rFonts w:asciiTheme="majorBidi" w:hAnsiTheme="majorBidi" w:cstheme="majorBidi"/>
          <w:lang w:eastAsia="de-DE"/>
        </w:rPr>
        <w:t>La politique du secteur de la santé à l’horizon 2030 a d</w:t>
      </w:r>
      <w:r>
        <w:rPr>
          <w:rFonts w:asciiTheme="majorBidi" w:hAnsiTheme="majorBidi" w:cstheme="majorBidi"/>
          <w:lang w:eastAsia="de-DE"/>
        </w:rPr>
        <w:t>é</w:t>
      </w:r>
      <w:r w:rsidRPr="000B0D94">
        <w:rPr>
          <w:rFonts w:asciiTheme="majorBidi" w:hAnsiTheme="majorBidi" w:cstheme="majorBidi"/>
          <w:lang w:eastAsia="de-DE"/>
        </w:rPr>
        <w:t>veloppé une analyse du système de santé, leurs problèmes prioritaires et les défis majeur</w:t>
      </w:r>
      <w:r>
        <w:rPr>
          <w:rFonts w:asciiTheme="majorBidi" w:hAnsiTheme="majorBidi" w:cstheme="majorBidi"/>
          <w:lang w:eastAsia="de-DE"/>
        </w:rPr>
        <w:t>s</w:t>
      </w:r>
      <w:r w:rsidRPr="000B0D94">
        <w:rPr>
          <w:rFonts w:asciiTheme="majorBidi" w:hAnsiTheme="majorBidi" w:cstheme="majorBidi"/>
          <w:lang w:eastAsia="de-DE"/>
        </w:rPr>
        <w:t xml:space="preserve"> de secteur de la santé. Dans les quatre programmes prioritaires les problèmes de santé suivants demeur</w:t>
      </w:r>
      <w:r>
        <w:rPr>
          <w:rFonts w:asciiTheme="majorBidi" w:hAnsiTheme="majorBidi" w:cstheme="majorBidi"/>
          <w:lang w:eastAsia="de-DE"/>
        </w:rPr>
        <w:t>ent</w:t>
      </w:r>
      <w:r w:rsidRPr="000B0D94">
        <w:rPr>
          <w:rFonts w:asciiTheme="majorBidi" w:hAnsiTheme="majorBidi" w:cstheme="majorBidi"/>
          <w:lang w:eastAsia="de-DE"/>
        </w:rPr>
        <w:t xml:space="preserve"> </w:t>
      </w:r>
      <w:r>
        <w:rPr>
          <w:rFonts w:asciiTheme="majorBidi" w:hAnsiTheme="majorBidi" w:cstheme="majorBidi"/>
          <w:lang w:eastAsia="de-DE"/>
        </w:rPr>
        <w:t xml:space="preserve">des </w:t>
      </w:r>
      <w:r w:rsidRPr="000B0D94">
        <w:rPr>
          <w:rFonts w:asciiTheme="majorBidi" w:hAnsiTheme="majorBidi" w:cstheme="majorBidi"/>
          <w:lang w:eastAsia="de-DE"/>
        </w:rPr>
        <w:t xml:space="preserve">défis pour le secteur en évidence : </w:t>
      </w:r>
    </w:p>
    <w:p w14:paraId="4C8BAD18" w14:textId="77777777" w:rsidR="00A47DEE" w:rsidRPr="000B0D94" w:rsidRDefault="00A47DEE" w:rsidP="00A47DEE">
      <w:pPr>
        <w:pStyle w:val="Paragraphedeliste"/>
        <w:numPr>
          <w:ilvl w:val="0"/>
          <w:numId w:val="423"/>
        </w:numPr>
        <w:spacing w:before="120" w:after="120" w:line="276" w:lineRule="auto"/>
        <w:jc w:val="both"/>
        <w:rPr>
          <w:rFonts w:asciiTheme="majorBidi" w:hAnsiTheme="majorBidi" w:cstheme="majorBidi"/>
          <w:sz w:val="24"/>
          <w:szCs w:val="24"/>
          <w:lang w:eastAsia="de-DE"/>
        </w:rPr>
      </w:pPr>
      <w:r w:rsidRPr="000B0D94">
        <w:rPr>
          <w:rFonts w:asciiTheme="majorBidi" w:hAnsiTheme="majorBidi" w:cstheme="majorBidi"/>
          <w:sz w:val="24"/>
          <w:szCs w:val="24"/>
          <w:lang w:eastAsia="de-DE"/>
        </w:rPr>
        <w:t>Une mortalité maternelle, néonatale et infanto-juvénile élevée ;</w:t>
      </w:r>
    </w:p>
    <w:p w14:paraId="257C4EDB" w14:textId="77777777" w:rsidR="00A47DEE" w:rsidRPr="000B0D94" w:rsidRDefault="00A47DEE" w:rsidP="00A47DEE">
      <w:pPr>
        <w:pStyle w:val="Paragraphedeliste"/>
        <w:numPr>
          <w:ilvl w:val="0"/>
          <w:numId w:val="423"/>
        </w:numPr>
        <w:spacing w:before="120" w:after="120" w:line="276" w:lineRule="auto"/>
        <w:jc w:val="both"/>
        <w:rPr>
          <w:rFonts w:asciiTheme="majorBidi" w:hAnsiTheme="majorBidi" w:cstheme="majorBidi"/>
          <w:sz w:val="24"/>
          <w:szCs w:val="24"/>
          <w:lang w:eastAsia="de-DE"/>
        </w:rPr>
      </w:pPr>
      <w:r w:rsidRPr="000B0D94">
        <w:rPr>
          <w:rFonts w:asciiTheme="majorBidi" w:hAnsiTheme="majorBidi" w:cstheme="majorBidi"/>
          <w:sz w:val="24"/>
          <w:szCs w:val="24"/>
          <w:lang w:eastAsia="de-DE"/>
        </w:rPr>
        <w:t>Une prévalence des maladies transmissibles et maladies à potentiel épidémique émergentes (méningites, rougeole, fièvres hémorragiques, Covid19, etc.) élevée ;</w:t>
      </w:r>
    </w:p>
    <w:p w14:paraId="2CE9F8EF" w14:textId="77777777" w:rsidR="00A47DEE" w:rsidRPr="000B0D94" w:rsidRDefault="00A47DEE" w:rsidP="00A47DEE">
      <w:pPr>
        <w:pStyle w:val="Paragraphedeliste"/>
        <w:numPr>
          <w:ilvl w:val="0"/>
          <w:numId w:val="423"/>
        </w:numPr>
        <w:spacing w:before="120" w:after="120" w:line="276" w:lineRule="auto"/>
        <w:jc w:val="both"/>
        <w:rPr>
          <w:rFonts w:asciiTheme="majorBidi" w:hAnsiTheme="majorBidi" w:cstheme="majorBidi"/>
          <w:sz w:val="24"/>
          <w:szCs w:val="24"/>
          <w:lang w:eastAsia="de-DE"/>
        </w:rPr>
      </w:pPr>
      <w:r w:rsidRPr="000B0D94">
        <w:rPr>
          <w:rFonts w:asciiTheme="majorBidi" w:hAnsiTheme="majorBidi" w:cstheme="majorBidi"/>
          <w:sz w:val="24"/>
          <w:szCs w:val="24"/>
          <w:lang w:eastAsia="de-DE"/>
        </w:rPr>
        <w:t>Une prévalence des maladies non transmissibles en croissance ;</w:t>
      </w:r>
    </w:p>
    <w:p w14:paraId="26FFA658" w14:textId="77777777" w:rsidR="00A47DEE" w:rsidRDefault="00A47DEE" w:rsidP="00A47DEE">
      <w:pPr>
        <w:spacing w:before="120" w:after="120" w:line="276" w:lineRule="auto"/>
        <w:jc w:val="both"/>
        <w:rPr>
          <w:rFonts w:asciiTheme="majorBidi" w:hAnsiTheme="majorBidi" w:cstheme="majorBidi"/>
          <w:lang w:eastAsia="de-DE"/>
        </w:rPr>
      </w:pPr>
      <w:r w:rsidRPr="005021C5">
        <w:rPr>
          <w:rFonts w:asciiTheme="majorBidi" w:hAnsiTheme="majorBidi" w:cstheme="majorBidi"/>
          <w:lang w:eastAsia="de-DE"/>
        </w:rPr>
        <w:t xml:space="preserve">Le genre est aussi bien figuré dans la Politique Nationale de la Santé à l’horizon 2030. Cependant en pratique, des inégalités de genre persistent et affectent la santé. Des obstacles socio-économiques et culturels limitent l’accès de la femme à la santé au niveau de la demande de services et ceci s’applique d’autant plus dans des domaines comme la planification familiale ; les violences basées sur le Genre (VBG) sous différentes manifestations (viols, agressions sexuelles, harcèlements, attouchements, etc.), mais aussi </w:t>
      </w:r>
      <w:r>
        <w:rPr>
          <w:rFonts w:asciiTheme="majorBidi" w:hAnsiTheme="majorBidi" w:cstheme="majorBidi"/>
          <w:lang w:eastAsia="de-DE"/>
        </w:rPr>
        <w:t>l</w:t>
      </w:r>
      <w:r w:rsidRPr="005021C5">
        <w:rPr>
          <w:rFonts w:asciiTheme="majorBidi" w:hAnsiTheme="majorBidi" w:cstheme="majorBidi"/>
          <w:lang w:eastAsia="de-DE"/>
        </w:rPr>
        <w:t>es pratiques sociales, traditionnelles préjudiciables aux femmes et aux filles, notamment les mutilations génitales féminines, les mariages précoces, le gavage..</w:t>
      </w:r>
      <w:r>
        <w:rPr>
          <w:rFonts w:asciiTheme="majorBidi" w:hAnsiTheme="majorBidi" w:cstheme="majorBidi"/>
          <w:lang w:eastAsia="de-DE"/>
        </w:rPr>
        <w:t xml:space="preserve"> </w:t>
      </w:r>
      <w:r w:rsidRPr="005021C5">
        <w:rPr>
          <w:rFonts w:asciiTheme="majorBidi" w:hAnsiTheme="majorBidi" w:cstheme="majorBidi"/>
          <w:lang w:eastAsia="de-DE"/>
        </w:rPr>
        <w:t>etc.</w:t>
      </w:r>
    </w:p>
    <w:p w14:paraId="389D3651" w14:textId="77777777" w:rsidR="00A47DEE" w:rsidRDefault="00A47DEE" w:rsidP="00A47DEE">
      <w:pPr>
        <w:spacing w:before="120" w:after="120" w:line="276" w:lineRule="auto"/>
        <w:jc w:val="both"/>
        <w:rPr>
          <w:rFonts w:asciiTheme="majorBidi" w:hAnsiTheme="majorBidi" w:cstheme="majorBidi"/>
          <w:lang w:eastAsia="de-DE"/>
        </w:rPr>
      </w:pPr>
      <w:r w:rsidRPr="002F6759">
        <w:rPr>
          <w:rFonts w:asciiTheme="majorBidi" w:hAnsiTheme="majorBidi" w:cstheme="majorBidi"/>
          <w:lang w:eastAsia="de-DE"/>
        </w:rPr>
        <w:t xml:space="preserve">La Mauritanie a conduit </w:t>
      </w:r>
      <w:r>
        <w:rPr>
          <w:rFonts w:asciiTheme="majorBidi" w:hAnsiTheme="majorBidi" w:cstheme="majorBidi"/>
          <w:lang w:eastAsia="de-DE"/>
        </w:rPr>
        <w:t xml:space="preserve">en </w:t>
      </w:r>
      <w:r w:rsidRPr="002F6759">
        <w:rPr>
          <w:rFonts w:asciiTheme="majorBidi" w:hAnsiTheme="majorBidi" w:cstheme="majorBidi"/>
          <w:lang w:eastAsia="de-DE"/>
        </w:rPr>
        <w:t>2017, une évaluation volontaire des capacités requises dans le</w:t>
      </w:r>
      <w:r>
        <w:rPr>
          <w:rFonts w:asciiTheme="majorBidi" w:hAnsiTheme="majorBidi" w:cstheme="majorBidi"/>
          <w:lang w:eastAsia="de-DE"/>
        </w:rPr>
        <w:t xml:space="preserve"> </w:t>
      </w:r>
      <w:r w:rsidRPr="002F6759">
        <w:rPr>
          <w:rFonts w:asciiTheme="majorBidi" w:hAnsiTheme="majorBidi" w:cstheme="majorBidi"/>
          <w:lang w:eastAsia="de-DE"/>
        </w:rPr>
        <w:t>cadre de la mise en œuvre du Règlement Sanitaire International (RSI 2005) utilisant l’outil d’évaluation</w:t>
      </w:r>
      <w:r>
        <w:rPr>
          <w:rFonts w:asciiTheme="majorBidi" w:hAnsiTheme="majorBidi" w:cstheme="majorBidi"/>
          <w:lang w:eastAsia="de-DE"/>
        </w:rPr>
        <w:t xml:space="preserve"> </w:t>
      </w:r>
      <w:r w:rsidRPr="002F6759">
        <w:rPr>
          <w:rFonts w:asciiTheme="majorBidi" w:hAnsiTheme="majorBidi" w:cstheme="majorBidi"/>
          <w:lang w:eastAsia="de-DE"/>
        </w:rPr>
        <w:t>externe conjoint développé par l’OMS et ses partenaires</w:t>
      </w:r>
      <w:r>
        <w:rPr>
          <w:rFonts w:asciiTheme="majorBidi" w:hAnsiTheme="majorBidi" w:cstheme="majorBidi"/>
          <w:lang w:eastAsia="de-DE"/>
        </w:rPr>
        <w:t xml:space="preserve"> (source Rapport évaluation externe capacité </w:t>
      </w:r>
      <w:r w:rsidRPr="005021C5">
        <w:rPr>
          <w:rFonts w:asciiTheme="majorBidi" w:hAnsiTheme="majorBidi" w:cstheme="majorBidi"/>
          <w:lang w:eastAsia="de-DE"/>
        </w:rPr>
        <w:t>RSI MR 2017). Concernant les différents risques couverts par le RSI, le dispositif de surveillance et de riposte aux événements liés à la santé publique est faible avec une insuffisance de coordination entre les structures concernées malgré l’existence de normes, de textes législatifs et réglementaires.</w:t>
      </w:r>
    </w:p>
    <w:p w14:paraId="02398BAF" w14:textId="77777777" w:rsidR="00A47DEE" w:rsidRPr="00EE4BD3" w:rsidRDefault="00A47DEE" w:rsidP="00A47DEE">
      <w:pPr>
        <w:spacing w:before="120" w:after="120" w:line="276" w:lineRule="auto"/>
        <w:jc w:val="both"/>
        <w:rPr>
          <w:rFonts w:asciiTheme="majorBidi" w:hAnsiTheme="majorBidi" w:cstheme="majorBidi"/>
          <w:lang w:eastAsia="de-DE"/>
        </w:rPr>
      </w:pPr>
      <w:r w:rsidRPr="00EE4BD3">
        <w:rPr>
          <w:rFonts w:asciiTheme="majorBidi" w:hAnsiTheme="majorBidi" w:cstheme="majorBidi"/>
          <w:lang w:eastAsia="de-DE"/>
        </w:rPr>
        <w:t>La morbidité et la mortalité liées au changement climatique sont essentiellement relatives aux maladies d’origine vectorielles (paludisme, Dengue…etc</w:t>
      </w:r>
      <w:r>
        <w:rPr>
          <w:rFonts w:asciiTheme="majorBidi" w:hAnsiTheme="majorBidi" w:cstheme="majorBidi"/>
          <w:lang w:eastAsia="de-DE"/>
        </w:rPr>
        <w:t>.</w:t>
      </w:r>
      <w:r w:rsidRPr="00EE4BD3">
        <w:rPr>
          <w:rFonts w:asciiTheme="majorBidi" w:hAnsiTheme="majorBidi" w:cstheme="majorBidi"/>
          <w:lang w:eastAsia="de-DE"/>
        </w:rPr>
        <w:t xml:space="preserve">), les maladies d'origine hydrique ou alimentaire liées à des événements météorologiques extrêmes (exemples de la diarrhée et du </w:t>
      </w:r>
      <w:proofErr w:type="gramStart"/>
      <w:r w:rsidRPr="00EE4BD3">
        <w:rPr>
          <w:rFonts w:asciiTheme="majorBidi" w:hAnsiTheme="majorBidi" w:cstheme="majorBidi"/>
          <w:lang w:eastAsia="de-DE"/>
        </w:rPr>
        <w:t>choléra….</w:t>
      </w:r>
      <w:proofErr w:type="gramEnd"/>
      <w:r w:rsidRPr="00EE4BD3">
        <w:rPr>
          <w:rFonts w:asciiTheme="majorBidi" w:hAnsiTheme="majorBidi" w:cstheme="majorBidi"/>
          <w:lang w:eastAsia="de-DE"/>
        </w:rPr>
        <w:t>), les maladies respiratoires, la tuberculose, la malnutrition et les décès liés à ces problèmes de santé (source FR adaptation du secteur de la santé aux changements climatiques 2022-2024).</w:t>
      </w:r>
    </w:p>
    <w:p w14:paraId="74B06C46" w14:textId="77777777" w:rsidR="00A47DEE" w:rsidRPr="00EE4BD3" w:rsidRDefault="00A47DEE" w:rsidP="00A47DEE">
      <w:pPr>
        <w:spacing w:before="120" w:after="120" w:line="276" w:lineRule="auto"/>
        <w:jc w:val="both"/>
        <w:rPr>
          <w:rFonts w:asciiTheme="majorBidi" w:hAnsiTheme="majorBidi" w:cstheme="majorBidi"/>
          <w:lang w:eastAsia="de-DE"/>
        </w:rPr>
      </w:pPr>
      <w:r w:rsidRPr="00EE4BD3">
        <w:rPr>
          <w:rFonts w:asciiTheme="majorBidi" w:hAnsiTheme="majorBidi" w:cstheme="majorBidi"/>
          <w:lang w:eastAsia="de-DE"/>
        </w:rPr>
        <w:t xml:space="preserve">Conformément aux engagements dans la CDN2 de la Mauritanie septembre 2021, </w:t>
      </w:r>
      <w:r w:rsidRPr="00EE4BD3">
        <w:rPr>
          <w:rFonts w:asciiTheme="majorBidi" w:hAnsiTheme="majorBidi" w:cstheme="majorBidi"/>
        </w:rPr>
        <w:t xml:space="preserve">le secteur de la santé en se fixe trois objectifs généraux qui couvrent aussi bien l’adaptation que l’atténuation regroupées dans le tableau suivant : </w:t>
      </w:r>
    </w:p>
    <w:p w14:paraId="2F36A003" w14:textId="77777777" w:rsidR="00A47DEE" w:rsidRPr="00EE4BD3" w:rsidRDefault="00A47DEE" w:rsidP="00A47DEE">
      <w:pPr>
        <w:spacing w:before="120" w:after="120" w:line="276" w:lineRule="auto"/>
        <w:jc w:val="both"/>
        <w:rPr>
          <w:rFonts w:ascii="Bookman Old Style" w:hAnsi="Bookman Old Style" w:cstheme="minorHAnsi"/>
          <w:i/>
          <w:sz w:val="8"/>
          <w:szCs w:val="8"/>
        </w:rPr>
      </w:pPr>
    </w:p>
    <w:tbl>
      <w:tblPr>
        <w:tblW w:w="10632"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35"/>
        <w:gridCol w:w="2268"/>
        <w:gridCol w:w="3543"/>
        <w:gridCol w:w="3686"/>
      </w:tblGrid>
      <w:tr w:rsidR="00A47DEE" w:rsidRPr="00EE4BD3" w14:paraId="2D125098" w14:textId="77777777" w:rsidTr="00EE0E23">
        <w:trPr>
          <w:trHeight w:val="868"/>
        </w:trPr>
        <w:tc>
          <w:tcPr>
            <w:tcW w:w="1135" w:type="dxa"/>
            <w:shd w:val="clear" w:color="auto" w:fill="909EE6"/>
          </w:tcPr>
          <w:p w14:paraId="5DA550C1" w14:textId="77777777" w:rsidR="00A47DEE" w:rsidRPr="00EE4BD3" w:rsidRDefault="00A47DEE" w:rsidP="00EE0E23">
            <w:pPr>
              <w:widowControl w:val="0"/>
              <w:autoSpaceDE w:val="0"/>
              <w:autoSpaceDN w:val="0"/>
              <w:ind w:left="116" w:right="81" w:hanging="30"/>
              <w:rPr>
                <w:rFonts w:asciiTheme="majorBidi" w:eastAsia="Arial" w:hAnsiTheme="majorBidi" w:cstheme="majorBidi"/>
                <w:b/>
                <w:sz w:val="20"/>
                <w:szCs w:val="20"/>
              </w:rPr>
            </w:pPr>
            <w:r w:rsidRPr="00EE4BD3">
              <w:rPr>
                <w:rFonts w:asciiTheme="majorBidi" w:eastAsia="Arial" w:hAnsiTheme="majorBidi" w:cstheme="majorBidi"/>
                <w:b/>
                <w:sz w:val="20"/>
                <w:szCs w:val="20"/>
              </w:rPr>
              <w:t>Secteurs /</w:t>
            </w:r>
            <w:r w:rsidRPr="00EE4BD3">
              <w:rPr>
                <w:rFonts w:asciiTheme="majorBidi" w:eastAsia="Arial" w:hAnsiTheme="majorBidi" w:cstheme="majorBidi"/>
                <w:b/>
                <w:spacing w:val="1"/>
                <w:sz w:val="20"/>
                <w:szCs w:val="20"/>
              </w:rPr>
              <w:t xml:space="preserve"> </w:t>
            </w:r>
            <w:r w:rsidRPr="00EE4BD3">
              <w:rPr>
                <w:rFonts w:asciiTheme="majorBidi" w:eastAsia="Arial" w:hAnsiTheme="majorBidi" w:cstheme="majorBidi"/>
                <w:b/>
                <w:sz w:val="20"/>
                <w:szCs w:val="20"/>
              </w:rPr>
              <w:t>Sous-Secteurs</w:t>
            </w:r>
          </w:p>
        </w:tc>
        <w:tc>
          <w:tcPr>
            <w:tcW w:w="2268" w:type="dxa"/>
            <w:shd w:val="clear" w:color="auto" w:fill="909EE6"/>
          </w:tcPr>
          <w:p w14:paraId="2A17E8C3" w14:textId="77777777" w:rsidR="00A47DEE" w:rsidRPr="00EE4BD3" w:rsidRDefault="00A47DEE" w:rsidP="00EE0E23">
            <w:pPr>
              <w:widowControl w:val="0"/>
              <w:autoSpaceDE w:val="0"/>
              <w:autoSpaceDN w:val="0"/>
              <w:ind w:left="75" w:right="127"/>
              <w:rPr>
                <w:rFonts w:asciiTheme="majorBidi" w:eastAsia="Arial" w:hAnsiTheme="majorBidi" w:cstheme="majorBidi"/>
                <w:b/>
                <w:sz w:val="20"/>
                <w:szCs w:val="20"/>
              </w:rPr>
            </w:pPr>
            <w:r w:rsidRPr="00EE4BD3">
              <w:rPr>
                <w:rFonts w:asciiTheme="majorBidi" w:eastAsia="Arial" w:hAnsiTheme="majorBidi" w:cstheme="majorBidi"/>
                <w:b/>
                <w:sz w:val="20"/>
                <w:szCs w:val="20"/>
              </w:rPr>
              <w:t>Aléas climatiques / Projections</w:t>
            </w:r>
          </w:p>
        </w:tc>
        <w:tc>
          <w:tcPr>
            <w:tcW w:w="3543" w:type="dxa"/>
            <w:shd w:val="clear" w:color="auto" w:fill="909EE6"/>
          </w:tcPr>
          <w:p w14:paraId="724942D9" w14:textId="77777777" w:rsidR="00A47DEE" w:rsidRPr="00EE4BD3" w:rsidRDefault="00A47DEE" w:rsidP="00EE0E23">
            <w:pPr>
              <w:widowControl w:val="0"/>
              <w:autoSpaceDE w:val="0"/>
              <w:autoSpaceDN w:val="0"/>
              <w:spacing w:before="1"/>
              <w:ind w:left="20"/>
              <w:rPr>
                <w:rFonts w:asciiTheme="majorBidi" w:eastAsia="Arial" w:hAnsiTheme="majorBidi" w:cstheme="majorBidi"/>
                <w:b/>
                <w:sz w:val="20"/>
                <w:szCs w:val="20"/>
              </w:rPr>
            </w:pPr>
            <w:r w:rsidRPr="00EE4BD3">
              <w:rPr>
                <w:rFonts w:asciiTheme="majorBidi" w:eastAsia="Arial" w:hAnsiTheme="majorBidi" w:cstheme="majorBidi"/>
                <w:b/>
                <w:sz w:val="20"/>
                <w:szCs w:val="20"/>
              </w:rPr>
              <w:t>Défis</w:t>
            </w:r>
            <w:r w:rsidRPr="00EE4BD3">
              <w:rPr>
                <w:rFonts w:asciiTheme="majorBidi" w:eastAsia="Arial" w:hAnsiTheme="majorBidi" w:cstheme="majorBidi"/>
                <w:b/>
                <w:spacing w:val="-1"/>
                <w:sz w:val="20"/>
                <w:szCs w:val="20"/>
              </w:rPr>
              <w:t xml:space="preserve"> </w:t>
            </w:r>
            <w:r w:rsidRPr="00EE4BD3">
              <w:rPr>
                <w:rFonts w:asciiTheme="majorBidi" w:eastAsia="Arial" w:hAnsiTheme="majorBidi" w:cstheme="majorBidi"/>
                <w:b/>
                <w:sz w:val="20"/>
                <w:szCs w:val="20"/>
              </w:rPr>
              <w:t>/</w:t>
            </w:r>
            <w:r w:rsidRPr="00EE4BD3">
              <w:rPr>
                <w:rFonts w:asciiTheme="majorBidi" w:eastAsia="Arial" w:hAnsiTheme="majorBidi" w:cstheme="majorBidi"/>
                <w:b/>
                <w:spacing w:val="-2"/>
                <w:sz w:val="20"/>
                <w:szCs w:val="20"/>
              </w:rPr>
              <w:t xml:space="preserve"> </w:t>
            </w:r>
            <w:r w:rsidRPr="00EE4BD3">
              <w:rPr>
                <w:rFonts w:asciiTheme="majorBidi" w:eastAsia="Arial" w:hAnsiTheme="majorBidi" w:cstheme="majorBidi"/>
                <w:b/>
                <w:sz w:val="20"/>
                <w:szCs w:val="20"/>
              </w:rPr>
              <w:t>Contraintes</w:t>
            </w:r>
          </w:p>
          <w:p w14:paraId="7F968001" w14:textId="77777777" w:rsidR="00A47DEE" w:rsidRPr="00EE4BD3" w:rsidRDefault="00A47DEE" w:rsidP="00EE0E23">
            <w:pPr>
              <w:widowControl w:val="0"/>
              <w:autoSpaceDE w:val="0"/>
              <w:autoSpaceDN w:val="0"/>
              <w:spacing w:before="1"/>
              <w:ind w:left="133" w:right="81"/>
              <w:rPr>
                <w:rFonts w:asciiTheme="majorBidi" w:eastAsia="Arial" w:hAnsiTheme="majorBidi" w:cstheme="majorBidi"/>
                <w:b/>
                <w:sz w:val="20"/>
                <w:szCs w:val="20"/>
              </w:rPr>
            </w:pPr>
            <w:r w:rsidRPr="00EE4BD3">
              <w:rPr>
                <w:rFonts w:asciiTheme="majorBidi" w:eastAsia="Arial" w:hAnsiTheme="majorBidi" w:cstheme="majorBidi"/>
                <w:b/>
                <w:sz w:val="20"/>
                <w:szCs w:val="20"/>
              </w:rPr>
              <w:t>Vulnérabilités et impacts</w:t>
            </w:r>
          </w:p>
        </w:tc>
        <w:tc>
          <w:tcPr>
            <w:tcW w:w="3686" w:type="dxa"/>
            <w:shd w:val="clear" w:color="auto" w:fill="909EE6"/>
          </w:tcPr>
          <w:p w14:paraId="4BB9AC42" w14:textId="77777777" w:rsidR="00A47DEE" w:rsidRPr="00EE4BD3" w:rsidRDefault="00A47DEE" w:rsidP="00EE0E23">
            <w:pPr>
              <w:widowControl w:val="0"/>
              <w:autoSpaceDE w:val="0"/>
              <w:autoSpaceDN w:val="0"/>
              <w:spacing w:before="1"/>
              <w:ind w:left="269" w:hanging="249"/>
              <w:rPr>
                <w:rFonts w:asciiTheme="majorBidi" w:eastAsia="Arial" w:hAnsiTheme="majorBidi" w:cstheme="majorBidi"/>
                <w:b/>
                <w:sz w:val="20"/>
                <w:szCs w:val="20"/>
              </w:rPr>
            </w:pPr>
            <w:r w:rsidRPr="00EE4BD3">
              <w:rPr>
                <w:rFonts w:asciiTheme="majorBidi" w:eastAsia="Arial" w:hAnsiTheme="majorBidi" w:cstheme="majorBidi"/>
                <w:b/>
                <w:sz w:val="20"/>
                <w:szCs w:val="20"/>
              </w:rPr>
              <w:t>Mesures</w:t>
            </w:r>
            <w:r w:rsidRPr="00EE4BD3">
              <w:rPr>
                <w:rFonts w:asciiTheme="majorBidi" w:eastAsia="Arial" w:hAnsiTheme="majorBidi" w:cstheme="majorBidi"/>
                <w:b/>
                <w:spacing w:val="-2"/>
                <w:sz w:val="20"/>
                <w:szCs w:val="20"/>
              </w:rPr>
              <w:t xml:space="preserve"> </w:t>
            </w:r>
            <w:r w:rsidRPr="00EE4BD3">
              <w:rPr>
                <w:rFonts w:asciiTheme="majorBidi" w:eastAsia="Arial" w:hAnsiTheme="majorBidi" w:cstheme="majorBidi"/>
                <w:b/>
                <w:sz w:val="20"/>
                <w:szCs w:val="20"/>
              </w:rPr>
              <w:t>préconisées</w:t>
            </w:r>
          </w:p>
        </w:tc>
      </w:tr>
      <w:tr w:rsidR="00A47DEE" w:rsidRPr="00EE4BD3" w14:paraId="5CA421C5" w14:textId="77777777" w:rsidTr="00EE0E23">
        <w:trPr>
          <w:trHeight w:val="2312"/>
        </w:trPr>
        <w:tc>
          <w:tcPr>
            <w:tcW w:w="1135" w:type="dxa"/>
          </w:tcPr>
          <w:p w14:paraId="32AAB149" w14:textId="77777777" w:rsidR="00A47DEE" w:rsidRPr="00EE4BD3" w:rsidRDefault="00A47DEE" w:rsidP="00EE0E23">
            <w:pPr>
              <w:widowControl w:val="0"/>
              <w:tabs>
                <w:tab w:val="left" w:pos="767"/>
              </w:tabs>
              <w:autoSpaceDE w:val="0"/>
              <w:autoSpaceDN w:val="0"/>
              <w:spacing w:before="20" w:after="20"/>
              <w:ind w:left="109" w:right="74" w:hanging="30"/>
              <w:rPr>
                <w:rFonts w:asciiTheme="majorBidi" w:eastAsia="Arial" w:hAnsiTheme="majorBidi" w:cstheme="majorBidi"/>
                <w:bCs/>
                <w:sz w:val="20"/>
                <w:szCs w:val="20"/>
              </w:rPr>
            </w:pPr>
            <w:r w:rsidRPr="00EE4BD3">
              <w:rPr>
                <w:rFonts w:asciiTheme="majorBidi" w:eastAsia="Arial" w:hAnsiTheme="majorBidi" w:cstheme="majorBidi"/>
                <w:bCs/>
                <w:sz w:val="20"/>
                <w:szCs w:val="20"/>
              </w:rPr>
              <w:t>SANTE</w:t>
            </w:r>
          </w:p>
        </w:tc>
        <w:tc>
          <w:tcPr>
            <w:tcW w:w="2268" w:type="dxa"/>
          </w:tcPr>
          <w:p w14:paraId="595FFDBB" w14:textId="77777777" w:rsidR="00A47DEE" w:rsidRPr="00EE4BD3" w:rsidRDefault="00A47DEE" w:rsidP="00A47DEE">
            <w:pPr>
              <w:widowControl w:val="0"/>
              <w:numPr>
                <w:ilvl w:val="0"/>
                <w:numId w:val="391"/>
              </w:numPr>
              <w:autoSpaceDE w:val="0"/>
              <w:autoSpaceDN w:val="0"/>
              <w:spacing w:before="20" w:after="20" w:line="276" w:lineRule="auto"/>
              <w:ind w:left="127" w:right="92" w:hanging="127"/>
              <w:rPr>
                <w:rFonts w:asciiTheme="majorBidi" w:eastAsia="Arial" w:hAnsiTheme="majorBidi" w:cstheme="majorBidi"/>
                <w:sz w:val="20"/>
                <w:szCs w:val="20"/>
              </w:rPr>
            </w:pPr>
            <w:r w:rsidRPr="00EE4BD3">
              <w:rPr>
                <w:rFonts w:asciiTheme="majorBidi" w:eastAsia="Arial" w:hAnsiTheme="majorBidi" w:cstheme="majorBidi"/>
                <w:sz w:val="20"/>
                <w:szCs w:val="20"/>
              </w:rPr>
              <w:t>Perturbation de la</w:t>
            </w:r>
            <w:r w:rsidRPr="00EE4BD3">
              <w:rPr>
                <w:rFonts w:asciiTheme="majorBidi" w:eastAsia="Arial" w:hAnsiTheme="majorBidi" w:cstheme="majorBidi"/>
                <w:spacing w:val="1"/>
                <w:sz w:val="20"/>
                <w:szCs w:val="20"/>
              </w:rPr>
              <w:t xml:space="preserve"> </w:t>
            </w:r>
            <w:r w:rsidRPr="00EE4BD3">
              <w:rPr>
                <w:rFonts w:asciiTheme="majorBidi" w:eastAsia="Arial" w:hAnsiTheme="majorBidi" w:cstheme="majorBidi"/>
                <w:sz w:val="20"/>
                <w:szCs w:val="20"/>
              </w:rPr>
              <w:t>saison</w:t>
            </w:r>
            <w:r w:rsidRPr="00EE4BD3">
              <w:rPr>
                <w:rFonts w:asciiTheme="majorBidi" w:eastAsia="Arial" w:hAnsiTheme="majorBidi" w:cstheme="majorBidi"/>
                <w:spacing w:val="-2"/>
                <w:sz w:val="20"/>
                <w:szCs w:val="20"/>
              </w:rPr>
              <w:t xml:space="preserve"> </w:t>
            </w:r>
            <w:r w:rsidRPr="00EE4BD3">
              <w:rPr>
                <w:rFonts w:asciiTheme="majorBidi" w:eastAsia="Arial" w:hAnsiTheme="majorBidi" w:cstheme="majorBidi"/>
                <w:sz w:val="20"/>
                <w:szCs w:val="20"/>
              </w:rPr>
              <w:t>des</w:t>
            </w:r>
            <w:r w:rsidRPr="00EE4BD3">
              <w:rPr>
                <w:rFonts w:asciiTheme="majorBidi" w:eastAsia="Arial" w:hAnsiTheme="majorBidi" w:cstheme="majorBidi"/>
                <w:spacing w:val="-1"/>
                <w:sz w:val="20"/>
                <w:szCs w:val="20"/>
              </w:rPr>
              <w:t xml:space="preserve"> </w:t>
            </w:r>
            <w:r w:rsidRPr="00EE4BD3">
              <w:rPr>
                <w:rFonts w:asciiTheme="majorBidi" w:eastAsia="Arial" w:hAnsiTheme="majorBidi" w:cstheme="majorBidi"/>
                <w:sz w:val="20"/>
                <w:szCs w:val="20"/>
              </w:rPr>
              <w:t>pluies, Pluies</w:t>
            </w:r>
            <w:r w:rsidRPr="00EE4BD3">
              <w:rPr>
                <w:rFonts w:asciiTheme="majorBidi" w:eastAsia="Arial" w:hAnsiTheme="majorBidi" w:cstheme="majorBidi"/>
                <w:spacing w:val="1"/>
                <w:sz w:val="20"/>
                <w:szCs w:val="20"/>
              </w:rPr>
              <w:t xml:space="preserve"> </w:t>
            </w:r>
            <w:r w:rsidRPr="00EE4BD3">
              <w:rPr>
                <w:rFonts w:asciiTheme="majorBidi" w:eastAsia="Arial" w:hAnsiTheme="majorBidi" w:cstheme="majorBidi"/>
                <w:sz w:val="20"/>
                <w:szCs w:val="20"/>
              </w:rPr>
              <w:t>intenses</w:t>
            </w:r>
            <w:r w:rsidRPr="00EE4BD3">
              <w:rPr>
                <w:rFonts w:asciiTheme="majorBidi" w:eastAsia="Arial" w:hAnsiTheme="majorBidi" w:cstheme="majorBidi"/>
                <w:spacing w:val="1"/>
                <w:sz w:val="20"/>
                <w:szCs w:val="20"/>
              </w:rPr>
              <w:t xml:space="preserve"> </w:t>
            </w:r>
            <w:r w:rsidRPr="00EE4BD3">
              <w:rPr>
                <w:rFonts w:asciiTheme="majorBidi" w:eastAsia="Arial" w:hAnsiTheme="majorBidi" w:cstheme="majorBidi"/>
                <w:sz w:val="20"/>
                <w:szCs w:val="20"/>
              </w:rPr>
              <w:t>plus</w:t>
            </w:r>
            <w:r w:rsidRPr="00EE4BD3">
              <w:rPr>
                <w:rFonts w:asciiTheme="majorBidi" w:eastAsia="Arial" w:hAnsiTheme="majorBidi" w:cstheme="majorBidi"/>
                <w:spacing w:val="-1"/>
                <w:sz w:val="20"/>
                <w:szCs w:val="20"/>
              </w:rPr>
              <w:t xml:space="preserve"> </w:t>
            </w:r>
            <w:r w:rsidRPr="00EE4BD3">
              <w:rPr>
                <w:rFonts w:asciiTheme="majorBidi" w:eastAsia="Arial" w:hAnsiTheme="majorBidi" w:cstheme="majorBidi"/>
                <w:sz w:val="20"/>
                <w:szCs w:val="20"/>
              </w:rPr>
              <w:t>sévères et Inondations</w:t>
            </w:r>
          </w:p>
          <w:p w14:paraId="5295E253" w14:textId="77777777" w:rsidR="00A47DEE" w:rsidRPr="00EE4BD3" w:rsidRDefault="00A47DEE" w:rsidP="00A47DEE">
            <w:pPr>
              <w:widowControl w:val="0"/>
              <w:numPr>
                <w:ilvl w:val="0"/>
                <w:numId w:val="391"/>
              </w:numPr>
              <w:autoSpaceDE w:val="0"/>
              <w:autoSpaceDN w:val="0"/>
              <w:spacing w:before="20" w:after="20" w:line="276" w:lineRule="auto"/>
              <w:ind w:left="127" w:right="92" w:hanging="127"/>
              <w:rPr>
                <w:rFonts w:asciiTheme="majorBidi" w:eastAsia="Arial" w:hAnsiTheme="majorBidi" w:cstheme="majorBidi"/>
                <w:sz w:val="20"/>
                <w:szCs w:val="20"/>
              </w:rPr>
            </w:pPr>
            <w:r w:rsidRPr="00EE4BD3">
              <w:rPr>
                <w:rFonts w:asciiTheme="majorBidi" w:eastAsia="Arial" w:hAnsiTheme="majorBidi" w:cstheme="majorBidi"/>
                <w:sz w:val="20"/>
                <w:szCs w:val="20"/>
              </w:rPr>
              <w:t>Fluctuations extrêmes</w:t>
            </w:r>
            <w:r w:rsidRPr="00EE4BD3">
              <w:rPr>
                <w:rFonts w:asciiTheme="majorBidi" w:eastAsia="Arial" w:hAnsiTheme="majorBidi" w:cstheme="majorBidi"/>
                <w:spacing w:val="59"/>
                <w:sz w:val="20"/>
                <w:szCs w:val="20"/>
              </w:rPr>
              <w:t xml:space="preserve"> </w:t>
            </w:r>
            <w:r w:rsidRPr="00EE4BD3">
              <w:rPr>
                <w:rFonts w:asciiTheme="majorBidi" w:eastAsia="Arial" w:hAnsiTheme="majorBidi" w:cstheme="majorBidi"/>
                <w:sz w:val="20"/>
                <w:szCs w:val="20"/>
              </w:rPr>
              <w:t>de la température</w:t>
            </w:r>
          </w:p>
          <w:p w14:paraId="5B185980" w14:textId="77777777" w:rsidR="00A47DEE" w:rsidRPr="00EE4BD3" w:rsidRDefault="00A47DEE" w:rsidP="00A47DEE">
            <w:pPr>
              <w:widowControl w:val="0"/>
              <w:numPr>
                <w:ilvl w:val="0"/>
                <w:numId w:val="391"/>
              </w:numPr>
              <w:autoSpaceDE w:val="0"/>
              <w:autoSpaceDN w:val="0"/>
              <w:spacing w:before="20" w:after="20" w:line="276" w:lineRule="auto"/>
              <w:ind w:left="127" w:right="92" w:hanging="127"/>
              <w:rPr>
                <w:rFonts w:asciiTheme="majorBidi" w:eastAsia="Arial" w:hAnsiTheme="majorBidi" w:cstheme="majorBidi"/>
                <w:sz w:val="20"/>
                <w:szCs w:val="20"/>
              </w:rPr>
            </w:pPr>
            <w:r w:rsidRPr="00EE4BD3">
              <w:rPr>
                <w:rFonts w:asciiTheme="majorBidi" w:eastAsia="Arial" w:hAnsiTheme="majorBidi" w:cstheme="majorBidi"/>
                <w:sz w:val="20"/>
                <w:szCs w:val="20"/>
              </w:rPr>
              <w:t>Sécheresses</w:t>
            </w:r>
            <w:r w:rsidRPr="00EE4BD3">
              <w:rPr>
                <w:rFonts w:asciiTheme="majorBidi" w:eastAsia="Arial" w:hAnsiTheme="majorBidi" w:cstheme="majorBidi"/>
                <w:spacing w:val="1"/>
                <w:sz w:val="20"/>
                <w:szCs w:val="20"/>
              </w:rPr>
              <w:t xml:space="preserve"> </w:t>
            </w:r>
            <w:r w:rsidRPr="00EE4BD3">
              <w:rPr>
                <w:rFonts w:asciiTheme="majorBidi" w:eastAsia="Arial" w:hAnsiTheme="majorBidi" w:cstheme="majorBidi"/>
                <w:sz w:val="20"/>
                <w:szCs w:val="20"/>
              </w:rPr>
              <w:t>plus</w:t>
            </w:r>
            <w:r w:rsidRPr="00EE4BD3">
              <w:rPr>
                <w:rFonts w:asciiTheme="majorBidi" w:eastAsia="Arial" w:hAnsiTheme="majorBidi" w:cstheme="majorBidi"/>
                <w:spacing w:val="1"/>
                <w:sz w:val="20"/>
                <w:szCs w:val="20"/>
              </w:rPr>
              <w:t xml:space="preserve"> </w:t>
            </w:r>
            <w:r w:rsidRPr="00EE4BD3">
              <w:rPr>
                <w:rFonts w:asciiTheme="majorBidi" w:eastAsia="Arial" w:hAnsiTheme="majorBidi" w:cstheme="majorBidi"/>
                <w:sz w:val="20"/>
                <w:szCs w:val="20"/>
              </w:rPr>
              <w:t>fréquentes et plus</w:t>
            </w:r>
            <w:r w:rsidRPr="00EE4BD3">
              <w:rPr>
                <w:rFonts w:asciiTheme="majorBidi" w:eastAsia="Arial" w:hAnsiTheme="majorBidi" w:cstheme="majorBidi"/>
                <w:spacing w:val="1"/>
                <w:sz w:val="20"/>
                <w:szCs w:val="20"/>
              </w:rPr>
              <w:t xml:space="preserve"> </w:t>
            </w:r>
            <w:r w:rsidRPr="00EE4BD3">
              <w:rPr>
                <w:rFonts w:asciiTheme="majorBidi" w:eastAsia="Arial" w:hAnsiTheme="majorBidi" w:cstheme="majorBidi"/>
                <w:sz w:val="20"/>
                <w:szCs w:val="20"/>
              </w:rPr>
              <w:t>sévères</w:t>
            </w:r>
          </w:p>
          <w:p w14:paraId="502E6B0D" w14:textId="77777777" w:rsidR="00A47DEE" w:rsidRPr="00EE4BD3" w:rsidRDefault="00A47DEE" w:rsidP="00A47DEE">
            <w:pPr>
              <w:widowControl w:val="0"/>
              <w:numPr>
                <w:ilvl w:val="0"/>
                <w:numId w:val="391"/>
              </w:numPr>
              <w:autoSpaceDE w:val="0"/>
              <w:autoSpaceDN w:val="0"/>
              <w:spacing w:before="20" w:after="20" w:line="276" w:lineRule="auto"/>
              <w:ind w:left="127" w:right="92" w:hanging="127"/>
              <w:rPr>
                <w:rFonts w:asciiTheme="majorBidi" w:eastAsia="Arial" w:hAnsiTheme="majorBidi" w:cstheme="majorBidi"/>
                <w:sz w:val="20"/>
                <w:szCs w:val="20"/>
              </w:rPr>
            </w:pPr>
            <w:r w:rsidRPr="00EE4BD3">
              <w:rPr>
                <w:rFonts w:asciiTheme="majorBidi" w:eastAsia="Arial" w:hAnsiTheme="majorBidi" w:cstheme="majorBidi"/>
                <w:sz w:val="20"/>
                <w:szCs w:val="20"/>
              </w:rPr>
              <w:t>Vents de sables et pollutions de l’air</w:t>
            </w:r>
          </w:p>
        </w:tc>
        <w:tc>
          <w:tcPr>
            <w:tcW w:w="3543" w:type="dxa"/>
          </w:tcPr>
          <w:p w14:paraId="1FCDAC9D" w14:textId="77777777" w:rsidR="00A47DEE" w:rsidRPr="00EE4BD3" w:rsidRDefault="00A47DEE" w:rsidP="00A47DEE">
            <w:pPr>
              <w:widowControl w:val="0"/>
              <w:numPr>
                <w:ilvl w:val="0"/>
                <w:numId w:val="390"/>
              </w:numPr>
              <w:tabs>
                <w:tab w:val="left" w:pos="468"/>
              </w:tabs>
              <w:autoSpaceDE w:val="0"/>
              <w:autoSpaceDN w:val="0"/>
              <w:spacing w:before="20" w:after="20" w:line="276" w:lineRule="auto"/>
              <w:ind w:left="267" w:hanging="218"/>
              <w:rPr>
                <w:rFonts w:asciiTheme="majorBidi" w:eastAsia="Arial" w:hAnsiTheme="majorBidi" w:cstheme="majorBidi"/>
                <w:sz w:val="20"/>
                <w:szCs w:val="20"/>
              </w:rPr>
            </w:pPr>
            <w:r w:rsidRPr="00EE4BD3">
              <w:rPr>
                <w:rFonts w:asciiTheme="majorBidi" w:eastAsia="Arial" w:hAnsiTheme="majorBidi" w:cstheme="majorBidi"/>
                <w:sz w:val="20"/>
                <w:szCs w:val="20"/>
              </w:rPr>
              <w:t>Faiblesses au niveau institutionnel (politiques, régulation, ressources humaines, finances)</w:t>
            </w:r>
          </w:p>
          <w:p w14:paraId="3063C32D" w14:textId="77777777" w:rsidR="00A47DEE" w:rsidRPr="00EE4BD3" w:rsidRDefault="00A47DEE" w:rsidP="00A47DEE">
            <w:pPr>
              <w:widowControl w:val="0"/>
              <w:numPr>
                <w:ilvl w:val="0"/>
                <w:numId w:val="390"/>
              </w:numPr>
              <w:tabs>
                <w:tab w:val="left" w:pos="468"/>
              </w:tabs>
              <w:autoSpaceDE w:val="0"/>
              <w:autoSpaceDN w:val="0"/>
              <w:spacing w:before="20" w:after="20" w:line="276" w:lineRule="auto"/>
              <w:ind w:left="267" w:hanging="218"/>
              <w:rPr>
                <w:rFonts w:asciiTheme="majorBidi" w:eastAsia="Arial" w:hAnsiTheme="majorBidi" w:cstheme="majorBidi"/>
                <w:sz w:val="20"/>
                <w:szCs w:val="20"/>
              </w:rPr>
            </w:pPr>
            <w:r w:rsidRPr="00EE4BD3">
              <w:rPr>
                <w:rFonts w:asciiTheme="majorBidi" w:eastAsia="Arial" w:hAnsiTheme="majorBidi" w:cstheme="majorBidi"/>
                <w:sz w:val="20"/>
                <w:szCs w:val="20"/>
              </w:rPr>
              <w:t>Risques sanitaires liés aux fluctuations de Température (maladies cardiovasculaires, santé mentale)</w:t>
            </w:r>
          </w:p>
          <w:p w14:paraId="7E435B67" w14:textId="77777777" w:rsidR="00A47DEE" w:rsidRPr="00EE4BD3" w:rsidRDefault="00A47DEE" w:rsidP="00A47DEE">
            <w:pPr>
              <w:widowControl w:val="0"/>
              <w:numPr>
                <w:ilvl w:val="0"/>
                <w:numId w:val="390"/>
              </w:numPr>
              <w:tabs>
                <w:tab w:val="left" w:pos="468"/>
              </w:tabs>
              <w:autoSpaceDE w:val="0"/>
              <w:autoSpaceDN w:val="0"/>
              <w:spacing w:before="20" w:after="20" w:line="276" w:lineRule="auto"/>
              <w:ind w:left="267" w:hanging="218"/>
              <w:rPr>
                <w:rFonts w:asciiTheme="majorBidi" w:eastAsia="Arial" w:hAnsiTheme="majorBidi" w:cstheme="majorBidi"/>
                <w:sz w:val="20"/>
                <w:szCs w:val="20"/>
              </w:rPr>
            </w:pPr>
            <w:r w:rsidRPr="00EE4BD3">
              <w:rPr>
                <w:rFonts w:asciiTheme="majorBidi" w:eastAsia="Arial" w:hAnsiTheme="majorBidi" w:cstheme="majorBidi"/>
                <w:sz w:val="20"/>
                <w:szCs w:val="20"/>
              </w:rPr>
              <w:t>Risques sanitaires liés aux inondations (Maladies</w:t>
            </w:r>
            <w:r w:rsidRPr="00EE4BD3">
              <w:rPr>
                <w:rFonts w:asciiTheme="majorBidi" w:eastAsia="Arial" w:hAnsiTheme="majorBidi" w:cstheme="majorBidi"/>
                <w:spacing w:val="-2"/>
                <w:sz w:val="20"/>
                <w:szCs w:val="20"/>
              </w:rPr>
              <w:t xml:space="preserve"> diarrhéiques, paludisme, dengue, maladies vectorielles)</w:t>
            </w:r>
          </w:p>
          <w:p w14:paraId="79167840" w14:textId="77777777" w:rsidR="00A47DEE" w:rsidRPr="00EE4BD3" w:rsidRDefault="00A47DEE" w:rsidP="00A47DEE">
            <w:pPr>
              <w:widowControl w:val="0"/>
              <w:numPr>
                <w:ilvl w:val="0"/>
                <w:numId w:val="390"/>
              </w:numPr>
              <w:tabs>
                <w:tab w:val="left" w:pos="468"/>
              </w:tabs>
              <w:autoSpaceDE w:val="0"/>
              <w:autoSpaceDN w:val="0"/>
              <w:spacing w:before="20" w:after="20" w:line="276" w:lineRule="auto"/>
              <w:ind w:left="267" w:hanging="218"/>
              <w:rPr>
                <w:rFonts w:asciiTheme="majorBidi" w:eastAsia="Arial" w:hAnsiTheme="majorBidi" w:cstheme="majorBidi"/>
                <w:sz w:val="20"/>
                <w:szCs w:val="20"/>
              </w:rPr>
            </w:pPr>
            <w:r w:rsidRPr="00EE4BD3">
              <w:rPr>
                <w:rFonts w:asciiTheme="majorBidi" w:eastAsia="Arial" w:hAnsiTheme="majorBidi" w:cstheme="majorBidi"/>
                <w:spacing w:val="-2"/>
                <w:sz w:val="20"/>
                <w:szCs w:val="20"/>
              </w:rPr>
              <w:t>Risques sanitaires liés à la sècheresse (malnutrition, santé mentale)</w:t>
            </w:r>
          </w:p>
          <w:p w14:paraId="6E101693" w14:textId="77777777" w:rsidR="00A47DEE" w:rsidRPr="00EE4BD3" w:rsidRDefault="00A47DEE" w:rsidP="00A47DEE">
            <w:pPr>
              <w:widowControl w:val="0"/>
              <w:numPr>
                <w:ilvl w:val="0"/>
                <w:numId w:val="390"/>
              </w:numPr>
              <w:tabs>
                <w:tab w:val="left" w:pos="468"/>
              </w:tabs>
              <w:autoSpaceDE w:val="0"/>
              <w:autoSpaceDN w:val="0"/>
              <w:spacing w:before="20" w:after="20" w:line="276" w:lineRule="auto"/>
              <w:ind w:left="267" w:hanging="218"/>
              <w:rPr>
                <w:rFonts w:asciiTheme="majorBidi" w:eastAsia="Arial" w:hAnsiTheme="majorBidi" w:cstheme="majorBidi"/>
                <w:sz w:val="20"/>
                <w:szCs w:val="20"/>
              </w:rPr>
            </w:pPr>
            <w:r w:rsidRPr="00EE4BD3">
              <w:rPr>
                <w:rFonts w:asciiTheme="majorBidi" w:eastAsia="Arial" w:hAnsiTheme="majorBidi" w:cstheme="majorBidi"/>
                <w:spacing w:val="-2"/>
                <w:sz w:val="20"/>
                <w:szCs w:val="20"/>
              </w:rPr>
              <w:t>Risques sanitaires liés à la pollution de l’air (maladies respiratoires)</w:t>
            </w:r>
          </w:p>
          <w:p w14:paraId="7A3EF1D2" w14:textId="77777777" w:rsidR="00A47DEE" w:rsidRPr="00EE4BD3" w:rsidRDefault="00A47DEE" w:rsidP="00A47DEE">
            <w:pPr>
              <w:widowControl w:val="0"/>
              <w:numPr>
                <w:ilvl w:val="0"/>
                <w:numId w:val="390"/>
              </w:numPr>
              <w:tabs>
                <w:tab w:val="left" w:pos="468"/>
              </w:tabs>
              <w:autoSpaceDE w:val="0"/>
              <w:autoSpaceDN w:val="0"/>
              <w:spacing w:before="20" w:after="20" w:line="276" w:lineRule="auto"/>
              <w:ind w:left="267" w:hanging="218"/>
              <w:rPr>
                <w:rFonts w:asciiTheme="majorBidi" w:eastAsia="Arial" w:hAnsiTheme="majorBidi" w:cstheme="majorBidi"/>
                <w:sz w:val="20"/>
                <w:szCs w:val="20"/>
              </w:rPr>
            </w:pPr>
            <w:r w:rsidRPr="00EE4BD3">
              <w:rPr>
                <w:rFonts w:asciiTheme="majorBidi" w:eastAsia="Arial" w:hAnsiTheme="majorBidi" w:cstheme="majorBidi"/>
                <w:spacing w:val="-2"/>
                <w:sz w:val="20"/>
                <w:szCs w:val="20"/>
              </w:rPr>
              <w:t>Risques de destruction des infrastructures de santé par les évènements extrêmes</w:t>
            </w:r>
          </w:p>
        </w:tc>
        <w:tc>
          <w:tcPr>
            <w:tcW w:w="3686" w:type="dxa"/>
          </w:tcPr>
          <w:p w14:paraId="5BCFFF32" w14:textId="77777777" w:rsidR="00A47DEE" w:rsidRPr="00EE4BD3" w:rsidRDefault="00A47DEE" w:rsidP="00A47DEE">
            <w:pPr>
              <w:widowControl w:val="0"/>
              <w:numPr>
                <w:ilvl w:val="0"/>
                <w:numId w:val="389"/>
              </w:numPr>
              <w:tabs>
                <w:tab w:val="left" w:pos="413"/>
              </w:tabs>
              <w:autoSpaceDE w:val="0"/>
              <w:autoSpaceDN w:val="0"/>
              <w:spacing w:before="20" w:after="20" w:line="276" w:lineRule="auto"/>
              <w:ind w:left="413" w:right="97" w:hanging="413"/>
              <w:rPr>
                <w:rFonts w:asciiTheme="majorBidi" w:eastAsia="Arial" w:hAnsiTheme="majorBidi" w:cstheme="majorBidi"/>
                <w:sz w:val="20"/>
                <w:szCs w:val="20"/>
              </w:rPr>
            </w:pPr>
            <w:r w:rsidRPr="00EE4BD3">
              <w:rPr>
                <w:rFonts w:asciiTheme="majorBidi" w:eastAsia="Arial" w:hAnsiTheme="majorBidi" w:cstheme="majorBidi"/>
                <w:sz w:val="20"/>
                <w:szCs w:val="20"/>
              </w:rPr>
              <w:t>Programme 1 : Renforcement du cadre politique et institutionnel pour faire face aux impacts</w:t>
            </w:r>
          </w:p>
          <w:p w14:paraId="557E0F62" w14:textId="77777777" w:rsidR="00A47DEE" w:rsidRPr="00EE4BD3" w:rsidRDefault="00A47DEE" w:rsidP="00A47DEE">
            <w:pPr>
              <w:widowControl w:val="0"/>
              <w:numPr>
                <w:ilvl w:val="0"/>
                <w:numId w:val="389"/>
              </w:numPr>
              <w:tabs>
                <w:tab w:val="left" w:pos="413"/>
              </w:tabs>
              <w:autoSpaceDE w:val="0"/>
              <w:autoSpaceDN w:val="0"/>
              <w:spacing w:before="20" w:after="20" w:line="276" w:lineRule="auto"/>
              <w:ind w:left="413" w:right="97" w:hanging="413"/>
              <w:rPr>
                <w:rFonts w:asciiTheme="majorBidi" w:eastAsia="Arial" w:hAnsiTheme="majorBidi" w:cstheme="majorBidi"/>
                <w:sz w:val="20"/>
                <w:szCs w:val="20"/>
              </w:rPr>
            </w:pPr>
            <w:r w:rsidRPr="00EE4BD3">
              <w:rPr>
                <w:rFonts w:asciiTheme="majorBidi" w:eastAsia="Arial" w:hAnsiTheme="majorBidi" w:cstheme="majorBidi"/>
                <w:sz w:val="20"/>
                <w:szCs w:val="20"/>
              </w:rPr>
              <w:t>Programme 2 : Renforcement des actions de lutte contre les principales maladies sensibles au climat.</w:t>
            </w:r>
          </w:p>
          <w:p w14:paraId="602103DB" w14:textId="77777777" w:rsidR="00A47DEE" w:rsidRPr="00EE4BD3" w:rsidRDefault="00A47DEE" w:rsidP="00A47DEE">
            <w:pPr>
              <w:widowControl w:val="0"/>
              <w:numPr>
                <w:ilvl w:val="0"/>
                <w:numId w:val="389"/>
              </w:numPr>
              <w:tabs>
                <w:tab w:val="left" w:pos="413"/>
              </w:tabs>
              <w:autoSpaceDE w:val="0"/>
              <w:autoSpaceDN w:val="0"/>
              <w:spacing w:before="20" w:after="20" w:line="276" w:lineRule="auto"/>
              <w:ind w:left="413" w:right="97" w:hanging="413"/>
              <w:rPr>
                <w:rFonts w:asciiTheme="majorBidi" w:eastAsia="Arial" w:hAnsiTheme="majorBidi" w:cstheme="majorBidi"/>
                <w:sz w:val="20"/>
                <w:szCs w:val="20"/>
              </w:rPr>
            </w:pPr>
            <w:r w:rsidRPr="00EE4BD3">
              <w:rPr>
                <w:rFonts w:asciiTheme="majorBidi" w:eastAsia="Arial" w:hAnsiTheme="majorBidi" w:cstheme="majorBidi"/>
                <w:sz w:val="20"/>
                <w:szCs w:val="20"/>
              </w:rPr>
              <w:t>Programme 3 : Renforcement des actions de préparation aux urgences et catastrophes sanitaires liées au climat, y compris un</w:t>
            </w:r>
            <w:r w:rsidRPr="00EE4BD3">
              <w:rPr>
                <w:rFonts w:asciiTheme="majorBidi" w:eastAsia="Arial" w:hAnsiTheme="majorBidi" w:cstheme="majorBidi"/>
                <w:spacing w:val="6"/>
                <w:sz w:val="20"/>
                <w:szCs w:val="20"/>
              </w:rPr>
              <w:t xml:space="preserve"> </w:t>
            </w:r>
            <w:r w:rsidRPr="00EE4BD3">
              <w:rPr>
                <w:rFonts w:asciiTheme="majorBidi" w:eastAsia="Arial" w:hAnsiTheme="majorBidi" w:cstheme="majorBidi"/>
                <w:sz w:val="20"/>
                <w:szCs w:val="20"/>
              </w:rPr>
              <w:t>réseau</w:t>
            </w:r>
            <w:r w:rsidRPr="00EE4BD3">
              <w:rPr>
                <w:rFonts w:asciiTheme="majorBidi" w:eastAsia="Arial" w:hAnsiTheme="majorBidi" w:cstheme="majorBidi"/>
                <w:spacing w:val="6"/>
                <w:sz w:val="20"/>
                <w:szCs w:val="20"/>
              </w:rPr>
              <w:t xml:space="preserve"> </w:t>
            </w:r>
            <w:r w:rsidRPr="00EE4BD3">
              <w:rPr>
                <w:rFonts w:asciiTheme="majorBidi" w:eastAsia="Arial" w:hAnsiTheme="majorBidi" w:cstheme="majorBidi"/>
                <w:sz w:val="20"/>
                <w:szCs w:val="20"/>
              </w:rPr>
              <w:t>de</w:t>
            </w:r>
            <w:r w:rsidRPr="00EE4BD3">
              <w:rPr>
                <w:rFonts w:asciiTheme="majorBidi" w:eastAsia="Arial" w:hAnsiTheme="majorBidi" w:cstheme="majorBidi"/>
                <w:spacing w:val="7"/>
                <w:sz w:val="20"/>
                <w:szCs w:val="20"/>
              </w:rPr>
              <w:t xml:space="preserve"> </w:t>
            </w:r>
            <w:r w:rsidRPr="00EE4BD3">
              <w:rPr>
                <w:rFonts w:asciiTheme="majorBidi" w:eastAsia="Arial" w:hAnsiTheme="majorBidi" w:cstheme="majorBidi"/>
                <w:sz w:val="20"/>
                <w:szCs w:val="20"/>
              </w:rPr>
              <w:t>surveillance</w:t>
            </w:r>
            <w:r w:rsidRPr="00EE4BD3">
              <w:rPr>
                <w:rFonts w:asciiTheme="majorBidi" w:eastAsia="Arial" w:hAnsiTheme="majorBidi" w:cstheme="majorBidi"/>
                <w:spacing w:val="8"/>
                <w:sz w:val="20"/>
                <w:szCs w:val="20"/>
              </w:rPr>
              <w:t xml:space="preserve"> </w:t>
            </w:r>
            <w:r w:rsidRPr="00EE4BD3">
              <w:rPr>
                <w:rFonts w:asciiTheme="majorBidi" w:eastAsia="Arial" w:hAnsiTheme="majorBidi" w:cstheme="majorBidi"/>
                <w:sz w:val="20"/>
                <w:szCs w:val="20"/>
              </w:rPr>
              <w:t>et</w:t>
            </w:r>
            <w:r w:rsidRPr="00EE4BD3">
              <w:rPr>
                <w:rFonts w:asciiTheme="majorBidi" w:eastAsia="Arial" w:hAnsiTheme="majorBidi" w:cstheme="majorBidi"/>
                <w:spacing w:val="7"/>
                <w:sz w:val="20"/>
                <w:szCs w:val="20"/>
              </w:rPr>
              <w:t xml:space="preserve"> </w:t>
            </w:r>
            <w:r w:rsidRPr="00EE4BD3">
              <w:rPr>
                <w:rFonts w:asciiTheme="majorBidi" w:eastAsia="Arial" w:hAnsiTheme="majorBidi" w:cstheme="majorBidi"/>
                <w:sz w:val="20"/>
                <w:szCs w:val="20"/>
              </w:rPr>
              <w:t>un</w:t>
            </w:r>
            <w:r w:rsidRPr="00EE4BD3">
              <w:rPr>
                <w:rFonts w:asciiTheme="majorBidi" w:eastAsia="Arial" w:hAnsiTheme="majorBidi" w:cstheme="majorBidi"/>
                <w:spacing w:val="6"/>
                <w:sz w:val="20"/>
                <w:szCs w:val="20"/>
              </w:rPr>
              <w:t xml:space="preserve"> </w:t>
            </w:r>
            <w:r w:rsidRPr="00EE4BD3">
              <w:rPr>
                <w:rFonts w:asciiTheme="majorBidi" w:eastAsia="Arial" w:hAnsiTheme="majorBidi" w:cstheme="majorBidi"/>
                <w:sz w:val="20"/>
                <w:szCs w:val="20"/>
              </w:rPr>
              <w:t>système</w:t>
            </w:r>
            <w:r w:rsidRPr="00EE4BD3">
              <w:rPr>
                <w:rFonts w:asciiTheme="majorBidi" w:eastAsia="Arial" w:hAnsiTheme="majorBidi" w:cstheme="majorBidi"/>
                <w:spacing w:val="-47"/>
                <w:sz w:val="20"/>
                <w:szCs w:val="20"/>
              </w:rPr>
              <w:t xml:space="preserve"> </w:t>
            </w:r>
            <w:r w:rsidRPr="00EE4BD3">
              <w:rPr>
                <w:rFonts w:asciiTheme="majorBidi" w:eastAsia="Arial" w:hAnsiTheme="majorBidi" w:cstheme="majorBidi"/>
                <w:sz w:val="20"/>
                <w:szCs w:val="20"/>
              </w:rPr>
              <w:t>d’alerte précoce.</w:t>
            </w:r>
          </w:p>
          <w:p w14:paraId="6D9DDFEB" w14:textId="77777777" w:rsidR="00A47DEE" w:rsidRPr="00EE4BD3" w:rsidRDefault="00A47DEE" w:rsidP="00A47DEE">
            <w:pPr>
              <w:widowControl w:val="0"/>
              <w:numPr>
                <w:ilvl w:val="0"/>
                <w:numId w:val="389"/>
              </w:numPr>
              <w:tabs>
                <w:tab w:val="left" w:pos="413"/>
              </w:tabs>
              <w:autoSpaceDE w:val="0"/>
              <w:autoSpaceDN w:val="0"/>
              <w:spacing w:before="20" w:after="20" w:line="276" w:lineRule="auto"/>
              <w:ind w:left="413" w:right="97" w:hanging="413"/>
              <w:rPr>
                <w:rFonts w:asciiTheme="majorBidi" w:eastAsia="Arial" w:hAnsiTheme="majorBidi" w:cstheme="majorBidi"/>
                <w:sz w:val="20"/>
                <w:szCs w:val="20"/>
              </w:rPr>
            </w:pPr>
            <w:r w:rsidRPr="00EE4BD3">
              <w:rPr>
                <w:rFonts w:asciiTheme="majorBidi" w:eastAsia="Arial" w:hAnsiTheme="majorBidi" w:cstheme="majorBidi"/>
                <w:sz w:val="20"/>
                <w:szCs w:val="20"/>
              </w:rPr>
              <w:t>Programme 4 : Renforcement de la recherche et l’évaluation régulière portant sur les vulnérabilités, les impacts et l‘adaptation</w:t>
            </w:r>
          </w:p>
        </w:tc>
      </w:tr>
    </w:tbl>
    <w:p w14:paraId="1FB075E2" w14:textId="77777777" w:rsidR="00A47DEE" w:rsidRPr="00EE4BD3" w:rsidRDefault="00A47DEE" w:rsidP="00A47DEE">
      <w:pPr>
        <w:spacing w:before="120" w:after="120" w:line="276" w:lineRule="auto"/>
        <w:jc w:val="center"/>
        <w:rPr>
          <w:rFonts w:asciiTheme="majorBidi" w:hAnsiTheme="majorBidi" w:cstheme="majorBidi"/>
          <w:lang w:eastAsia="de-DE"/>
        </w:rPr>
      </w:pPr>
      <w:r w:rsidRPr="00EE4BD3">
        <w:rPr>
          <w:rFonts w:asciiTheme="majorBidi" w:hAnsiTheme="majorBidi" w:cstheme="majorBidi"/>
          <w:b/>
          <w:bCs/>
          <w:i/>
          <w:sz w:val="18"/>
          <w:szCs w:val="18"/>
          <w:u w:val="single"/>
        </w:rPr>
        <w:t xml:space="preserve">Tableau </w:t>
      </w:r>
      <w:r w:rsidRPr="00EE4BD3">
        <w:rPr>
          <w:rFonts w:asciiTheme="majorBidi" w:hAnsiTheme="majorBidi" w:cstheme="majorBidi"/>
          <w:b/>
          <w:bCs/>
          <w:i/>
          <w:spacing w:val="-2"/>
          <w:sz w:val="18"/>
          <w:szCs w:val="18"/>
          <w:u w:val="single"/>
        </w:rPr>
        <w:t xml:space="preserve">1 </w:t>
      </w:r>
      <w:r w:rsidRPr="00EE4BD3">
        <w:rPr>
          <w:rFonts w:asciiTheme="majorBidi" w:hAnsiTheme="majorBidi" w:cstheme="majorBidi"/>
          <w:b/>
          <w:bCs/>
          <w:i/>
          <w:sz w:val="18"/>
          <w:szCs w:val="18"/>
          <w:u w:val="single"/>
        </w:rPr>
        <w:t>:</w:t>
      </w:r>
      <w:r w:rsidRPr="00EE4BD3">
        <w:rPr>
          <w:rFonts w:asciiTheme="majorBidi" w:hAnsiTheme="majorBidi" w:cstheme="majorBidi"/>
          <w:b/>
          <w:bCs/>
          <w:i/>
          <w:spacing w:val="-2"/>
          <w:sz w:val="18"/>
          <w:szCs w:val="18"/>
          <w:u w:val="single"/>
        </w:rPr>
        <w:t xml:space="preserve"> </w:t>
      </w:r>
      <w:r w:rsidRPr="00EE4BD3">
        <w:rPr>
          <w:rFonts w:asciiTheme="majorBidi" w:hAnsiTheme="majorBidi" w:cstheme="majorBidi"/>
          <w:b/>
          <w:bCs/>
          <w:i/>
          <w:sz w:val="18"/>
          <w:szCs w:val="18"/>
          <w:u w:val="single"/>
        </w:rPr>
        <w:t>Mesures</w:t>
      </w:r>
      <w:r w:rsidRPr="00EE4BD3">
        <w:rPr>
          <w:rFonts w:asciiTheme="majorBidi" w:hAnsiTheme="majorBidi" w:cstheme="majorBidi"/>
          <w:b/>
          <w:bCs/>
          <w:i/>
          <w:spacing w:val="-2"/>
          <w:sz w:val="18"/>
          <w:szCs w:val="18"/>
          <w:u w:val="single"/>
        </w:rPr>
        <w:t xml:space="preserve"> </w:t>
      </w:r>
      <w:r w:rsidRPr="00EE4BD3">
        <w:rPr>
          <w:rFonts w:asciiTheme="majorBidi" w:hAnsiTheme="majorBidi" w:cstheme="majorBidi"/>
          <w:b/>
          <w:bCs/>
          <w:i/>
          <w:sz w:val="18"/>
          <w:szCs w:val="18"/>
          <w:u w:val="single"/>
        </w:rPr>
        <w:t>d’adaptation</w:t>
      </w:r>
      <w:r w:rsidRPr="00EE4BD3">
        <w:rPr>
          <w:rFonts w:asciiTheme="majorBidi" w:hAnsiTheme="majorBidi" w:cstheme="majorBidi"/>
          <w:b/>
          <w:bCs/>
          <w:i/>
          <w:spacing w:val="-3"/>
          <w:sz w:val="18"/>
          <w:szCs w:val="18"/>
          <w:u w:val="single"/>
        </w:rPr>
        <w:t xml:space="preserve"> </w:t>
      </w:r>
      <w:r w:rsidRPr="00EE4BD3">
        <w:rPr>
          <w:rFonts w:asciiTheme="majorBidi" w:hAnsiTheme="majorBidi" w:cstheme="majorBidi"/>
          <w:b/>
          <w:bCs/>
          <w:i/>
          <w:sz w:val="18"/>
          <w:szCs w:val="18"/>
          <w:u w:val="single"/>
        </w:rPr>
        <w:t>de</w:t>
      </w:r>
      <w:r w:rsidRPr="00EE4BD3">
        <w:rPr>
          <w:rFonts w:asciiTheme="majorBidi" w:hAnsiTheme="majorBidi" w:cstheme="majorBidi"/>
          <w:b/>
          <w:bCs/>
          <w:i/>
          <w:spacing w:val="-2"/>
          <w:sz w:val="18"/>
          <w:szCs w:val="18"/>
          <w:u w:val="single"/>
        </w:rPr>
        <w:t xml:space="preserve"> </w:t>
      </w:r>
      <w:r w:rsidRPr="00EE4BD3">
        <w:rPr>
          <w:rFonts w:asciiTheme="majorBidi" w:hAnsiTheme="majorBidi" w:cstheme="majorBidi"/>
          <w:b/>
          <w:bCs/>
          <w:i/>
          <w:sz w:val="18"/>
          <w:szCs w:val="18"/>
          <w:u w:val="single"/>
        </w:rPr>
        <w:t>la</w:t>
      </w:r>
      <w:r w:rsidRPr="00EE4BD3">
        <w:rPr>
          <w:rFonts w:asciiTheme="majorBidi" w:hAnsiTheme="majorBidi" w:cstheme="majorBidi"/>
          <w:b/>
          <w:bCs/>
          <w:i/>
          <w:spacing w:val="-4"/>
          <w:sz w:val="18"/>
          <w:szCs w:val="18"/>
          <w:u w:val="single"/>
        </w:rPr>
        <w:t xml:space="preserve"> </w:t>
      </w:r>
      <w:r w:rsidRPr="00EE4BD3">
        <w:rPr>
          <w:rFonts w:asciiTheme="majorBidi" w:hAnsiTheme="majorBidi" w:cstheme="majorBidi"/>
          <w:b/>
          <w:bCs/>
          <w:i/>
          <w:sz w:val="18"/>
          <w:szCs w:val="18"/>
          <w:u w:val="single"/>
        </w:rPr>
        <w:t>CDN</w:t>
      </w:r>
      <w:r w:rsidRPr="00EE4BD3">
        <w:rPr>
          <w:rFonts w:asciiTheme="majorBidi" w:hAnsiTheme="majorBidi" w:cstheme="majorBidi"/>
          <w:b/>
          <w:bCs/>
          <w:i/>
          <w:spacing w:val="-1"/>
          <w:sz w:val="18"/>
          <w:szCs w:val="18"/>
          <w:u w:val="single"/>
        </w:rPr>
        <w:t xml:space="preserve"> </w:t>
      </w:r>
      <w:r w:rsidRPr="00EE4BD3">
        <w:rPr>
          <w:rFonts w:asciiTheme="majorBidi" w:hAnsiTheme="majorBidi" w:cstheme="majorBidi"/>
          <w:b/>
          <w:bCs/>
          <w:i/>
          <w:sz w:val="18"/>
          <w:szCs w:val="18"/>
          <w:u w:val="single"/>
        </w:rPr>
        <w:t xml:space="preserve">2021 </w:t>
      </w:r>
      <w:r w:rsidRPr="00EE4BD3">
        <w:rPr>
          <w:rFonts w:asciiTheme="majorBidi" w:hAnsiTheme="majorBidi" w:cstheme="majorBidi"/>
          <w:b/>
          <w:bCs/>
          <w:i/>
          <w:spacing w:val="-2"/>
          <w:sz w:val="18"/>
          <w:szCs w:val="18"/>
          <w:u w:val="single"/>
        </w:rPr>
        <w:t>(</w:t>
      </w:r>
      <w:r w:rsidRPr="00EE4BD3">
        <w:rPr>
          <w:rFonts w:asciiTheme="majorBidi" w:hAnsiTheme="majorBidi" w:cstheme="majorBidi"/>
          <w:b/>
          <w:bCs/>
          <w:i/>
          <w:sz w:val="18"/>
          <w:szCs w:val="18"/>
          <w:u w:val="single"/>
        </w:rPr>
        <w:t>actualisées</w:t>
      </w:r>
      <w:r w:rsidRPr="00EE4BD3">
        <w:rPr>
          <w:rFonts w:asciiTheme="majorBidi" w:hAnsiTheme="majorBidi" w:cstheme="majorBidi"/>
          <w:b/>
          <w:bCs/>
          <w:i/>
          <w:spacing w:val="-2"/>
          <w:sz w:val="18"/>
          <w:szCs w:val="18"/>
          <w:u w:val="single"/>
        </w:rPr>
        <w:t xml:space="preserve"> pour le secteur de la santé à vision 2030)</w:t>
      </w:r>
      <w:r w:rsidRPr="00EE4BD3">
        <w:rPr>
          <w:rFonts w:ascii="Bookman Old Style" w:hAnsi="Bookman Old Style" w:cstheme="minorHAnsi"/>
          <w:i/>
          <w:sz w:val="18"/>
          <w:szCs w:val="18"/>
        </w:rPr>
        <w:t xml:space="preserve"> </w:t>
      </w:r>
    </w:p>
    <w:p w14:paraId="4FA7277B" w14:textId="77777777" w:rsidR="00A47DEE" w:rsidRPr="00EE4BD3" w:rsidRDefault="00A47DEE" w:rsidP="00A47DEE">
      <w:pPr>
        <w:spacing w:after="120"/>
        <w:jc w:val="both"/>
        <w:rPr>
          <w:rFonts w:asciiTheme="majorBidi" w:hAnsiTheme="majorBidi" w:cstheme="majorBidi"/>
          <w:color w:val="C00000"/>
          <w:sz w:val="8"/>
          <w:szCs w:val="8"/>
        </w:rPr>
      </w:pPr>
    </w:p>
    <w:p w14:paraId="5AA2855B" w14:textId="77777777" w:rsidR="00A47DEE" w:rsidRPr="00EE4BD3" w:rsidRDefault="00A47DEE" w:rsidP="00A47DEE">
      <w:pPr>
        <w:spacing w:after="120"/>
        <w:jc w:val="both"/>
        <w:rPr>
          <w:rFonts w:asciiTheme="majorBidi" w:hAnsiTheme="majorBidi" w:cstheme="majorBidi"/>
        </w:rPr>
      </w:pPr>
      <w:r w:rsidRPr="00EE4BD3">
        <w:rPr>
          <w:rFonts w:asciiTheme="majorBidi" w:hAnsiTheme="majorBidi" w:cstheme="majorBidi"/>
        </w:rPr>
        <w:t xml:space="preserve">IL existe plusieurs facteurs qui affectes de manière indirecte via une incidence négative sur les déterminants socio-environnementaux de la santé et qui sont : l’eau potable et l’assainissement, la qualité de l’air, la sécurité alimentaire, sécurité sanitaire des aliments et la nutrition, les vecteurs de maladies et la rupture sociale.  </w:t>
      </w:r>
    </w:p>
    <w:p w14:paraId="27E2CE93" w14:textId="6624F953" w:rsidR="00A47DEE" w:rsidRPr="00EE4BD3" w:rsidRDefault="00A47DEE" w:rsidP="00A47DEE">
      <w:pPr>
        <w:spacing w:after="120"/>
        <w:jc w:val="both"/>
        <w:rPr>
          <w:rFonts w:asciiTheme="majorBidi" w:hAnsiTheme="majorBidi" w:cstheme="majorBidi"/>
        </w:rPr>
      </w:pPr>
      <w:r w:rsidRPr="00EE4BD3">
        <w:rPr>
          <w:rFonts w:asciiTheme="majorBidi" w:hAnsiTheme="majorBidi" w:cstheme="majorBidi"/>
        </w:rPr>
        <w:t xml:space="preserve">Par exemple la problématique de la qualité de l’air est énoncée comme problème de santé publique due au changement climatique. Dans ce sens la Région de Nouakchott a </w:t>
      </w:r>
      <w:r w:rsidR="002C511E" w:rsidRPr="00EE4BD3">
        <w:rPr>
          <w:rFonts w:asciiTheme="majorBidi" w:hAnsiTheme="majorBidi" w:cstheme="majorBidi"/>
        </w:rPr>
        <w:t>publié</w:t>
      </w:r>
      <w:r w:rsidRPr="00EE4BD3">
        <w:rPr>
          <w:rFonts w:asciiTheme="majorBidi" w:hAnsiTheme="majorBidi" w:cstheme="majorBidi"/>
        </w:rPr>
        <w:t xml:space="preserve"> une étude sur la qualité de l’air de la ville de Nouakchott dont l’hôpital de Cheikh Zayed (situé à Nouakchott Nord) a participé à cette étude en 2023. L’étude a fait : l’identification des polluants atmosphériques et de leurs sources, la mesure de ces polluants par des campagnes adaptées pour la Région de Nouakchott, la modélisation numérique qui permet d’expliciter les liens entre les causes (sources de pollution), les conditions météorologiques, la qualité de l’air et leurs effets.</w:t>
      </w:r>
    </w:p>
    <w:p w14:paraId="431BA110" w14:textId="77777777" w:rsidR="00A47DEE" w:rsidRPr="00EE4BD3" w:rsidRDefault="00A47DEE" w:rsidP="00A47DEE">
      <w:pPr>
        <w:spacing w:after="120"/>
        <w:jc w:val="both"/>
        <w:rPr>
          <w:rFonts w:asciiTheme="majorBidi" w:hAnsiTheme="majorBidi" w:cstheme="majorBidi"/>
        </w:rPr>
      </w:pPr>
      <w:r w:rsidRPr="00EE4BD3">
        <w:rPr>
          <w:rFonts w:asciiTheme="majorBidi" w:hAnsiTheme="majorBidi" w:cstheme="majorBidi"/>
        </w:rPr>
        <w:t xml:space="preserve">Cet </w:t>
      </w:r>
      <w:r w:rsidRPr="00EE4BD3">
        <w:rPr>
          <w:rFonts w:asciiTheme="majorBidi" w:hAnsiTheme="majorBidi" w:cstheme="majorBidi"/>
          <w:kern w:val="2"/>
          <w14:ligatures w14:val="standardContextual"/>
        </w:rPr>
        <w:t>état des lieux de la pollution à Nouakchott a fourni des informations en termes d’émissions et de cartographie de la pollution grâce à des outils de modélisation et des observations satellites.</w:t>
      </w:r>
      <w:r w:rsidRPr="00EE4BD3">
        <w:rPr>
          <w:rFonts w:asciiTheme="majorBidi" w:hAnsiTheme="majorBidi" w:cstheme="majorBidi"/>
        </w:rPr>
        <w:t xml:space="preserve"> </w:t>
      </w:r>
      <w:r w:rsidRPr="00EE4BD3">
        <w:rPr>
          <w:rFonts w:asciiTheme="majorBidi" w:hAnsiTheme="majorBidi" w:cstheme="majorBidi"/>
          <w:kern w:val="2"/>
          <w14:ligatures w14:val="standardContextual"/>
        </w:rPr>
        <w:t>Les principaux secteurs en termes de participation aux émissions polluantes de cette étude montrent que les polluants prépondérants à Nouakchott sont les PM</w:t>
      </w:r>
      <w:r w:rsidRPr="00EE4BD3">
        <w:rPr>
          <w:rFonts w:asciiTheme="majorBidi" w:hAnsiTheme="majorBidi" w:cstheme="majorBidi"/>
          <w:kern w:val="2"/>
          <w:vertAlign w:val="subscript"/>
          <w14:ligatures w14:val="standardContextual"/>
        </w:rPr>
        <w:t xml:space="preserve">2.5 </w:t>
      </w:r>
      <w:r w:rsidRPr="00EE4BD3">
        <w:rPr>
          <w:rFonts w:asciiTheme="majorBidi" w:hAnsiTheme="majorBidi" w:cstheme="majorBidi"/>
          <w:kern w:val="2"/>
          <w14:ligatures w14:val="standardContextual"/>
        </w:rPr>
        <w:t>et PM</w:t>
      </w:r>
      <w:r w:rsidRPr="00EE4BD3">
        <w:rPr>
          <w:rFonts w:asciiTheme="majorBidi" w:hAnsiTheme="majorBidi" w:cstheme="majorBidi"/>
          <w:kern w:val="2"/>
          <w:vertAlign w:val="subscript"/>
          <w14:ligatures w14:val="standardContextual"/>
        </w:rPr>
        <w:t>10</w:t>
      </w:r>
      <w:r w:rsidRPr="00EE4BD3">
        <w:rPr>
          <w:rFonts w:asciiTheme="majorBidi" w:hAnsiTheme="majorBidi" w:cstheme="majorBidi"/>
          <w:kern w:val="2"/>
          <w14:ligatures w14:val="standardContextual"/>
        </w:rPr>
        <w:t xml:space="preserve"> anthropiques, le secteur résidentiel est le principal émetteur, pour les NOx (Oxydes d'azote) le transport est le principal émetteur avec 44 % de contribution, suivi de l'industrie (31 %), et pour les VOC (Composés Organiques Volatils) l'industrie est le principal contributeur aux émissions de VOC (54 %), suivi du secteur résidentiel (31 %) (source Etude de la qualité de l’air sur le territoire de la Région de Nouakchott Mai 2023). </w:t>
      </w:r>
    </w:p>
    <w:p w14:paraId="15FEBD7B" w14:textId="7C456EB9" w:rsidR="00A47DEE" w:rsidRPr="00001825" w:rsidRDefault="00A47DEE" w:rsidP="00A47DEE">
      <w:pPr>
        <w:jc w:val="both"/>
        <w:rPr>
          <w:rFonts w:asciiTheme="majorBidi" w:hAnsiTheme="majorBidi" w:cstheme="majorBidi"/>
          <w:kern w:val="2"/>
          <w14:ligatures w14:val="standardContextual"/>
        </w:rPr>
      </w:pPr>
      <w:r w:rsidRPr="00EE4BD3">
        <w:rPr>
          <w:rFonts w:asciiTheme="majorBidi" w:hAnsiTheme="majorBidi" w:cstheme="majorBidi"/>
          <w:kern w:val="2"/>
          <w14:ligatures w14:val="standardContextual"/>
        </w:rPr>
        <w:t xml:space="preserve"> L’exploitation de cette étude confirme que les émissions rapportées au nombre d’habitants peuvent être relativement élevées pour certains polluants tels que le CO, le NH</w:t>
      </w:r>
      <w:r w:rsidRPr="00EE4BD3">
        <w:rPr>
          <w:rFonts w:asciiTheme="majorBidi" w:hAnsiTheme="majorBidi" w:cstheme="majorBidi"/>
          <w:kern w:val="2"/>
          <w:vertAlign w:val="subscript"/>
          <w14:ligatures w14:val="standardContextual"/>
        </w:rPr>
        <w:t>3</w:t>
      </w:r>
      <w:r w:rsidRPr="00EE4BD3">
        <w:rPr>
          <w:rFonts w:asciiTheme="majorBidi" w:hAnsiTheme="majorBidi" w:cstheme="majorBidi"/>
          <w:kern w:val="2"/>
          <w14:ligatures w14:val="standardContextual"/>
        </w:rPr>
        <w:t xml:space="preserve"> et les particules </w:t>
      </w:r>
      <w:r w:rsidRPr="00001825">
        <w:rPr>
          <w:rFonts w:asciiTheme="majorBidi" w:hAnsiTheme="majorBidi" w:cstheme="majorBidi"/>
          <w:kern w:val="2"/>
          <w14:ligatures w14:val="standardContextual"/>
        </w:rPr>
        <w:t>fines PM</w:t>
      </w:r>
      <w:r w:rsidRPr="00001825">
        <w:rPr>
          <w:rFonts w:asciiTheme="majorBidi" w:hAnsiTheme="majorBidi" w:cstheme="majorBidi"/>
          <w:kern w:val="2"/>
          <w:vertAlign w:val="subscript"/>
          <w14:ligatures w14:val="standardContextual"/>
        </w:rPr>
        <w:t>2.5</w:t>
      </w:r>
      <w:r w:rsidRPr="00001825">
        <w:rPr>
          <w:rFonts w:asciiTheme="majorBidi" w:hAnsiTheme="majorBidi" w:cstheme="majorBidi"/>
          <w:kern w:val="2"/>
          <w14:ligatures w14:val="standardContextual"/>
        </w:rPr>
        <w:t xml:space="preserve"> et PM</w:t>
      </w:r>
      <w:r w:rsidRPr="00001825">
        <w:rPr>
          <w:rFonts w:asciiTheme="majorBidi" w:hAnsiTheme="majorBidi" w:cstheme="majorBidi"/>
          <w:kern w:val="2"/>
          <w:vertAlign w:val="subscript"/>
          <w14:ligatures w14:val="standardContextual"/>
        </w:rPr>
        <w:t>10</w:t>
      </w:r>
      <w:r w:rsidRPr="00001825">
        <w:rPr>
          <w:rFonts w:asciiTheme="majorBidi" w:hAnsiTheme="majorBidi" w:cstheme="majorBidi"/>
          <w:kern w:val="2"/>
          <w14:ligatures w14:val="standardContextual"/>
        </w:rPr>
        <w:t xml:space="preserve"> d'origine anthropique dans la ville de Nouakchott.  Sur les 2 dernières décennies (2000 à 2018), ces émissions montrent une augmentation variant de 2 à 5% par an selon les polluants (Source : COPERNICUS 2019). Sachant que la pollution de l’air est </w:t>
      </w:r>
      <w:r w:rsidR="002C511E" w:rsidRPr="00001825">
        <w:rPr>
          <w:rFonts w:asciiTheme="majorBidi" w:hAnsiTheme="majorBidi" w:cstheme="majorBidi"/>
          <w:kern w:val="2"/>
          <w14:ligatures w14:val="standardContextual"/>
        </w:rPr>
        <w:t>responsable</w:t>
      </w:r>
      <w:r w:rsidRPr="00001825">
        <w:rPr>
          <w:rFonts w:asciiTheme="majorBidi" w:hAnsiTheme="majorBidi" w:cstheme="majorBidi"/>
          <w:kern w:val="2"/>
          <w14:ligatures w14:val="standardContextual"/>
        </w:rPr>
        <w:t xml:space="preserve"> d’environ 7 millions de décès prématurés par an dans le monde selon l’OMS, cette </w:t>
      </w:r>
      <w:r w:rsidR="002C511E" w:rsidRPr="00001825">
        <w:rPr>
          <w:rFonts w:asciiTheme="majorBidi" w:hAnsiTheme="majorBidi" w:cstheme="majorBidi"/>
          <w:kern w:val="2"/>
          <w14:ligatures w14:val="standardContextual"/>
        </w:rPr>
        <w:t>étude</w:t>
      </w:r>
      <w:r w:rsidRPr="00001825">
        <w:rPr>
          <w:rFonts w:asciiTheme="majorBidi" w:hAnsiTheme="majorBidi" w:cstheme="majorBidi"/>
          <w:kern w:val="2"/>
          <w14:ligatures w14:val="standardContextual"/>
        </w:rPr>
        <w:t xml:space="preserve"> a fait ressortir les points suivants : </w:t>
      </w:r>
    </w:p>
    <w:p w14:paraId="68B7C2EA" w14:textId="77777777" w:rsidR="00A47DEE" w:rsidRPr="00001825" w:rsidRDefault="00A47DEE" w:rsidP="00A47DEE">
      <w:pPr>
        <w:pStyle w:val="Paragraphedeliste"/>
        <w:numPr>
          <w:ilvl w:val="0"/>
          <w:numId w:val="428"/>
        </w:numPr>
        <w:jc w:val="both"/>
        <w:rPr>
          <w:rFonts w:asciiTheme="majorBidi" w:hAnsiTheme="majorBidi" w:cstheme="majorBidi"/>
          <w:kern w:val="2"/>
          <w:sz w:val="24"/>
          <w:szCs w:val="24"/>
          <w14:ligatures w14:val="standardContextual"/>
        </w:rPr>
      </w:pPr>
      <w:r w:rsidRPr="00001825">
        <w:rPr>
          <w:rFonts w:asciiTheme="majorBidi" w:hAnsiTheme="majorBidi" w:cstheme="majorBidi"/>
          <w:kern w:val="2"/>
          <w:sz w:val="24"/>
          <w:szCs w:val="24"/>
          <w14:ligatures w14:val="standardContextual"/>
        </w:rPr>
        <w:t>L’indice de qualité de l’ai</w:t>
      </w:r>
      <w:r>
        <w:rPr>
          <w:rFonts w:asciiTheme="majorBidi" w:hAnsiTheme="majorBidi" w:cstheme="majorBidi"/>
          <w:kern w:val="2"/>
          <w:sz w:val="24"/>
          <w:szCs w:val="24"/>
          <w14:ligatures w14:val="standardContextual"/>
        </w:rPr>
        <w:t>r</w:t>
      </w:r>
      <w:r w:rsidRPr="00001825">
        <w:rPr>
          <w:rFonts w:asciiTheme="majorBidi" w:hAnsiTheme="majorBidi" w:cstheme="majorBidi"/>
          <w:kern w:val="2"/>
          <w:sz w:val="24"/>
          <w:szCs w:val="24"/>
          <w14:ligatures w14:val="standardContextual"/>
        </w:rPr>
        <w:t xml:space="preserve"> (IQA) </w:t>
      </w:r>
      <w:r>
        <w:rPr>
          <w:rFonts w:asciiTheme="majorBidi" w:hAnsiTheme="majorBidi" w:cstheme="majorBidi"/>
          <w:kern w:val="2"/>
          <w:sz w:val="24"/>
          <w:szCs w:val="24"/>
          <w14:ligatures w14:val="standardContextual"/>
        </w:rPr>
        <w:t>enregistré à Nouakchott dépasse les recommandations de l’OMS surtout pendant les tempêtes de sable, et en 2023 cet indice IQA moyen à Nouakchott était souvent classé « malsain pour les groupes sensibles »,</w:t>
      </w:r>
    </w:p>
    <w:p w14:paraId="6CBD83CA" w14:textId="77777777" w:rsidR="00A47DEE" w:rsidRPr="00001825" w:rsidRDefault="00A47DEE" w:rsidP="00A47DEE">
      <w:pPr>
        <w:pStyle w:val="Paragraphedeliste"/>
        <w:numPr>
          <w:ilvl w:val="0"/>
          <w:numId w:val="428"/>
        </w:numPr>
        <w:jc w:val="both"/>
        <w:rPr>
          <w:rFonts w:asciiTheme="majorBidi" w:hAnsiTheme="majorBidi" w:cstheme="majorBidi"/>
          <w:kern w:val="2"/>
          <w:sz w:val="24"/>
          <w:szCs w:val="24"/>
          <w14:ligatures w14:val="standardContextual"/>
        </w:rPr>
      </w:pPr>
      <w:r>
        <w:rPr>
          <w:rFonts w:asciiTheme="majorBidi" w:hAnsiTheme="majorBidi" w:cstheme="majorBidi"/>
          <w:kern w:val="2"/>
          <w:sz w:val="24"/>
          <w:szCs w:val="24"/>
          <w14:ligatures w14:val="standardContextual"/>
        </w:rPr>
        <w:t>Le niveau de PM</w:t>
      </w:r>
      <w:r w:rsidRPr="00001825">
        <w:rPr>
          <w:rFonts w:asciiTheme="majorBidi" w:hAnsiTheme="majorBidi" w:cstheme="majorBidi"/>
          <w:kern w:val="2"/>
          <w:sz w:val="24"/>
          <w:szCs w:val="24"/>
          <w:vertAlign w:val="subscript"/>
          <w14:ligatures w14:val="standardContextual"/>
        </w:rPr>
        <w:t>2.5</w:t>
      </w:r>
      <w:r>
        <w:rPr>
          <w:rFonts w:asciiTheme="majorBidi" w:hAnsiTheme="majorBidi" w:cstheme="majorBidi"/>
          <w:kern w:val="2"/>
          <w:sz w:val="24"/>
          <w:szCs w:val="24"/>
          <w:vertAlign w:val="subscript"/>
          <w14:ligatures w14:val="standardContextual"/>
        </w:rPr>
        <w:t xml:space="preserve"> </w:t>
      </w:r>
      <w:r>
        <w:rPr>
          <w:rFonts w:asciiTheme="majorBidi" w:hAnsiTheme="majorBidi" w:cstheme="majorBidi"/>
          <w:kern w:val="2"/>
          <w:sz w:val="24"/>
          <w:szCs w:val="24"/>
          <w14:ligatures w14:val="standardContextual"/>
        </w:rPr>
        <w:t>peut atteindre des valeurs dangereuses particulièrement pour la santé humaine.</w:t>
      </w:r>
    </w:p>
    <w:p w14:paraId="3D75D518" w14:textId="77777777" w:rsidR="00A47DEE" w:rsidRPr="00001825" w:rsidRDefault="00A47DEE" w:rsidP="00A47DEE">
      <w:pPr>
        <w:rPr>
          <w:kern w:val="2"/>
          <w:sz w:val="2"/>
          <w:szCs w:val="2"/>
          <w14:ligatures w14:val="standardContextual"/>
        </w:rPr>
      </w:pPr>
    </w:p>
    <w:p w14:paraId="6C7CC52B" w14:textId="77777777" w:rsidR="00A47DEE" w:rsidRPr="00EE4BD3" w:rsidRDefault="00A47DEE" w:rsidP="00A47DEE">
      <w:pPr>
        <w:jc w:val="both"/>
        <w:rPr>
          <w:rFonts w:asciiTheme="majorBidi" w:hAnsiTheme="majorBidi" w:cstheme="majorBidi"/>
        </w:rPr>
      </w:pPr>
      <w:r w:rsidRPr="00EE4BD3">
        <w:rPr>
          <w:rFonts w:asciiTheme="majorBidi" w:hAnsiTheme="majorBidi" w:cstheme="majorBidi"/>
        </w:rPr>
        <w:t>Nous constatons l’augmentation des cas d’IRA (infections Respiratoires Aigües) depuis plusieurs années dans les données enregistrés par le secteur de la santé</w:t>
      </w:r>
      <w:r>
        <w:rPr>
          <w:rFonts w:asciiTheme="majorBidi" w:hAnsiTheme="majorBidi" w:cstheme="majorBidi"/>
        </w:rPr>
        <w:t xml:space="preserve"> spécialement dans les grandes villes</w:t>
      </w:r>
      <w:r w:rsidRPr="00EE4BD3">
        <w:rPr>
          <w:rFonts w:asciiTheme="majorBidi" w:hAnsiTheme="majorBidi" w:cstheme="majorBidi"/>
        </w:rPr>
        <w:t xml:space="preserve">.  Le tableau suivant montre les données de la Morbidité et mortalité de certaines maladies liées aux changement climatiques dans quelques willaya (Nord, Sud et Nouakchott) en 2022 :  </w:t>
      </w:r>
    </w:p>
    <w:p w14:paraId="09A4FF75" w14:textId="77777777" w:rsidR="00A47DEE" w:rsidRPr="00EE4BD3" w:rsidRDefault="00A47DEE" w:rsidP="00A47DEE">
      <w:pPr>
        <w:rPr>
          <w:rFonts w:asciiTheme="majorBidi" w:hAnsiTheme="majorBidi" w:cstheme="majorBidi"/>
        </w:rPr>
      </w:pPr>
    </w:p>
    <w:tbl>
      <w:tblPr>
        <w:tblStyle w:val="Grilledutableau"/>
        <w:tblW w:w="10773" w:type="dxa"/>
        <w:tblInd w:w="-572" w:type="dxa"/>
        <w:tblLook w:val="04A0" w:firstRow="1" w:lastRow="0" w:firstColumn="1" w:lastColumn="0" w:noHBand="0" w:noVBand="1"/>
      </w:tblPr>
      <w:tblGrid>
        <w:gridCol w:w="993"/>
        <w:gridCol w:w="1275"/>
        <w:gridCol w:w="1134"/>
        <w:gridCol w:w="1134"/>
        <w:gridCol w:w="1843"/>
        <w:gridCol w:w="1418"/>
        <w:gridCol w:w="1559"/>
        <w:gridCol w:w="1417"/>
      </w:tblGrid>
      <w:tr w:rsidR="00A47DEE" w:rsidRPr="00EE4BD3" w14:paraId="4AE4724B" w14:textId="77777777" w:rsidTr="00EE0E23">
        <w:trPr>
          <w:trHeight w:val="509"/>
        </w:trPr>
        <w:tc>
          <w:tcPr>
            <w:tcW w:w="993" w:type="dxa"/>
            <w:vMerge w:val="restart"/>
            <w:shd w:val="clear" w:color="auto" w:fill="909EE6"/>
            <w:vAlign w:val="center"/>
          </w:tcPr>
          <w:p w14:paraId="19E8D04C" w14:textId="77777777" w:rsidR="00A47DEE" w:rsidRPr="00EE4BD3" w:rsidRDefault="00A47DEE" w:rsidP="00EE0E23">
            <w:pPr>
              <w:rPr>
                <w:rFonts w:asciiTheme="majorBidi" w:hAnsiTheme="majorBidi" w:cstheme="majorBidi"/>
                <w:b/>
                <w:bCs/>
                <w:sz w:val="18"/>
                <w:szCs w:val="18"/>
              </w:rPr>
            </w:pPr>
            <w:r w:rsidRPr="00EE4BD3">
              <w:rPr>
                <w:rFonts w:asciiTheme="majorBidi" w:hAnsiTheme="majorBidi" w:cstheme="majorBidi"/>
                <w:b/>
                <w:bCs/>
                <w:sz w:val="18"/>
                <w:szCs w:val="18"/>
              </w:rPr>
              <w:t>Wilaya</w:t>
            </w:r>
          </w:p>
        </w:tc>
        <w:tc>
          <w:tcPr>
            <w:tcW w:w="2409" w:type="dxa"/>
            <w:gridSpan w:val="2"/>
            <w:shd w:val="clear" w:color="auto" w:fill="909EE6"/>
            <w:vAlign w:val="center"/>
          </w:tcPr>
          <w:p w14:paraId="138BAE35" w14:textId="77777777" w:rsidR="00A47DEE" w:rsidRPr="00EE4BD3" w:rsidRDefault="00A47DEE" w:rsidP="00EE0E23">
            <w:pPr>
              <w:jc w:val="center"/>
              <w:rPr>
                <w:rFonts w:asciiTheme="majorBidi" w:hAnsiTheme="majorBidi" w:cstheme="majorBidi"/>
                <w:b/>
                <w:bCs/>
                <w:sz w:val="18"/>
                <w:szCs w:val="18"/>
              </w:rPr>
            </w:pPr>
            <w:r w:rsidRPr="00EE4BD3">
              <w:rPr>
                <w:rFonts w:asciiTheme="majorBidi" w:hAnsiTheme="majorBidi" w:cstheme="majorBidi"/>
                <w:b/>
                <w:bCs/>
                <w:sz w:val="18"/>
                <w:szCs w:val="18"/>
              </w:rPr>
              <w:t>Paludisme</w:t>
            </w:r>
          </w:p>
        </w:tc>
        <w:tc>
          <w:tcPr>
            <w:tcW w:w="2977" w:type="dxa"/>
            <w:gridSpan w:val="2"/>
            <w:shd w:val="clear" w:color="auto" w:fill="909EE6"/>
            <w:vAlign w:val="center"/>
          </w:tcPr>
          <w:p w14:paraId="70A6DC60" w14:textId="77777777" w:rsidR="00A47DEE" w:rsidRPr="00EE4BD3" w:rsidRDefault="00A47DEE" w:rsidP="00EE0E23">
            <w:pPr>
              <w:jc w:val="center"/>
              <w:rPr>
                <w:rFonts w:asciiTheme="majorBidi" w:hAnsiTheme="majorBidi" w:cstheme="majorBidi"/>
                <w:b/>
                <w:bCs/>
                <w:sz w:val="18"/>
                <w:szCs w:val="18"/>
              </w:rPr>
            </w:pPr>
            <w:r w:rsidRPr="00EE4BD3">
              <w:rPr>
                <w:rFonts w:asciiTheme="majorBidi" w:hAnsiTheme="majorBidi" w:cstheme="majorBidi"/>
                <w:b/>
                <w:bCs/>
                <w:sz w:val="18"/>
                <w:szCs w:val="18"/>
              </w:rPr>
              <w:t>Diarrhées</w:t>
            </w:r>
          </w:p>
        </w:tc>
        <w:tc>
          <w:tcPr>
            <w:tcW w:w="4394" w:type="dxa"/>
            <w:gridSpan w:val="3"/>
            <w:shd w:val="clear" w:color="auto" w:fill="909EE6"/>
            <w:vAlign w:val="center"/>
          </w:tcPr>
          <w:p w14:paraId="4C6146C3" w14:textId="77777777" w:rsidR="00A47DEE" w:rsidRPr="00EE4BD3" w:rsidRDefault="00A47DEE" w:rsidP="00EE0E23">
            <w:pPr>
              <w:jc w:val="center"/>
              <w:rPr>
                <w:rFonts w:asciiTheme="majorBidi" w:hAnsiTheme="majorBidi" w:cstheme="majorBidi"/>
                <w:b/>
                <w:bCs/>
                <w:sz w:val="18"/>
                <w:szCs w:val="18"/>
              </w:rPr>
            </w:pPr>
            <w:r w:rsidRPr="00EE4BD3">
              <w:rPr>
                <w:rFonts w:asciiTheme="majorBidi" w:hAnsiTheme="majorBidi" w:cstheme="majorBidi"/>
                <w:b/>
                <w:bCs/>
                <w:sz w:val="18"/>
                <w:szCs w:val="18"/>
              </w:rPr>
              <w:t>Infections respiratoires aigües IRA</w:t>
            </w:r>
          </w:p>
        </w:tc>
      </w:tr>
      <w:tr w:rsidR="00A47DEE" w:rsidRPr="00EE4BD3" w14:paraId="55D1BED6" w14:textId="77777777" w:rsidTr="00EE0E23">
        <w:trPr>
          <w:trHeight w:val="509"/>
        </w:trPr>
        <w:tc>
          <w:tcPr>
            <w:tcW w:w="993" w:type="dxa"/>
            <w:vMerge/>
            <w:shd w:val="clear" w:color="auto" w:fill="909EE6"/>
          </w:tcPr>
          <w:p w14:paraId="39017DB7" w14:textId="77777777" w:rsidR="00A47DEE" w:rsidRPr="00EE4BD3" w:rsidRDefault="00A47DEE" w:rsidP="00EE0E23">
            <w:pPr>
              <w:rPr>
                <w:rFonts w:asciiTheme="majorBidi" w:hAnsiTheme="majorBidi" w:cstheme="majorBidi"/>
                <w:b/>
                <w:bCs/>
                <w:sz w:val="18"/>
                <w:szCs w:val="18"/>
              </w:rPr>
            </w:pPr>
          </w:p>
        </w:tc>
        <w:tc>
          <w:tcPr>
            <w:tcW w:w="1275" w:type="dxa"/>
            <w:shd w:val="clear" w:color="auto" w:fill="909EE6"/>
          </w:tcPr>
          <w:p w14:paraId="0940A07D" w14:textId="77777777" w:rsidR="00A47DEE" w:rsidRPr="00EE4BD3" w:rsidRDefault="00A47DEE" w:rsidP="00EE0E23">
            <w:pPr>
              <w:rPr>
                <w:rFonts w:asciiTheme="majorBidi" w:hAnsiTheme="majorBidi" w:cstheme="majorBidi"/>
                <w:b/>
                <w:bCs/>
                <w:sz w:val="18"/>
                <w:szCs w:val="18"/>
              </w:rPr>
            </w:pPr>
            <w:r w:rsidRPr="00EE4BD3">
              <w:rPr>
                <w:rFonts w:asciiTheme="majorBidi" w:hAnsiTheme="majorBidi" w:cstheme="majorBidi"/>
                <w:b/>
                <w:bCs/>
                <w:sz w:val="18"/>
                <w:szCs w:val="18"/>
              </w:rPr>
              <w:t xml:space="preserve">Cas suspects Paludisme </w:t>
            </w:r>
          </w:p>
        </w:tc>
        <w:tc>
          <w:tcPr>
            <w:tcW w:w="1134" w:type="dxa"/>
            <w:shd w:val="clear" w:color="auto" w:fill="909EE6"/>
          </w:tcPr>
          <w:p w14:paraId="0F598812" w14:textId="77777777" w:rsidR="00A47DEE" w:rsidRPr="00EE4BD3" w:rsidRDefault="00A47DEE" w:rsidP="00EE0E23">
            <w:pPr>
              <w:rPr>
                <w:rFonts w:asciiTheme="majorBidi" w:hAnsiTheme="majorBidi" w:cstheme="majorBidi"/>
                <w:b/>
                <w:bCs/>
                <w:sz w:val="18"/>
                <w:szCs w:val="18"/>
              </w:rPr>
            </w:pPr>
            <w:r w:rsidRPr="00EE4BD3">
              <w:rPr>
                <w:rFonts w:asciiTheme="majorBidi" w:hAnsiTheme="majorBidi" w:cstheme="majorBidi"/>
                <w:b/>
                <w:bCs/>
                <w:sz w:val="18"/>
                <w:szCs w:val="18"/>
              </w:rPr>
              <w:t xml:space="preserve">Paludisme grave pris en charge </w:t>
            </w:r>
          </w:p>
        </w:tc>
        <w:tc>
          <w:tcPr>
            <w:tcW w:w="1134" w:type="dxa"/>
            <w:shd w:val="clear" w:color="auto" w:fill="909EE6"/>
          </w:tcPr>
          <w:p w14:paraId="78C5D7E7" w14:textId="77777777" w:rsidR="00A47DEE" w:rsidRPr="00EE4BD3" w:rsidRDefault="00A47DEE" w:rsidP="00EE0E23">
            <w:pPr>
              <w:spacing w:after="160" w:line="259" w:lineRule="auto"/>
              <w:rPr>
                <w:rFonts w:asciiTheme="majorBidi" w:hAnsiTheme="majorBidi" w:cstheme="majorBidi"/>
                <w:b/>
                <w:bCs/>
                <w:sz w:val="18"/>
                <w:szCs w:val="18"/>
              </w:rPr>
            </w:pPr>
            <w:r w:rsidRPr="00EE4BD3">
              <w:rPr>
                <w:rFonts w:asciiTheme="majorBidi" w:hAnsiTheme="majorBidi" w:cstheme="majorBidi"/>
                <w:b/>
                <w:bCs/>
                <w:sz w:val="18"/>
                <w:szCs w:val="18"/>
              </w:rPr>
              <w:t xml:space="preserve">Diarrhées chez les enfants 0-59 mois </w:t>
            </w:r>
          </w:p>
        </w:tc>
        <w:tc>
          <w:tcPr>
            <w:tcW w:w="1843" w:type="dxa"/>
            <w:shd w:val="clear" w:color="auto" w:fill="909EE6"/>
          </w:tcPr>
          <w:p w14:paraId="58F8B00E" w14:textId="77777777" w:rsidR="00A47DEE" w:rsidRPr="00EE4BD3" w:rsidRDefault="00A47DEE" w:rsidP="00EE0E23">
            <w:pPr>
              <w:rPr>
                <w:rFonts w:asciiTheme="majorBidi" w:hAnsiTheme="majorBidi" w:cstheme="majorBidi"/>
                <w:b/>
                <w:bCs/>
                <w:sz w:val="18"/>
                <w:szCs w:val="18"/>
              </w:rPr>
            </w:pPr>
            <w:r w:rsidRPr="00EE4BD3">
              <w:rPr>
                <w:rFonts w:asciiTheme="majorBidi" w:hAnsiTheme="majorBidi" w:cstheme="majorBidi"/>
                <w:b/>
                <w:bCs/>
                <w:sz w:val="18"/>
                <w:szCs w:val="18"/>
              </w:rPr>
              <w:t xml:space="preserve">Diarrhées avec déshydratations chez les enfants 0-59 mois </w:t>
            </w:r>
          </w:p>
        </w:tc>
        <w:tc>
          <w:tcPr>
            <w:tcW w:w="1418" w:type="dxa"/>
            <w:shd w:val="clear" w:color="auto" w:fill="909EE6"/>
          </w:tcPr>
          <w:p w14:paraId="5786DBBB" w14:textId="77777777" w:rsidR="00A47DEE" w:rsidRPr="00EE4BD3" w:rsidRDefault="00A47DEE" w:rsidP="00EE0E23">
            <w:pPr>
              <w:spacing w:after="160" w:line="259" w:lineRule="auto"/>
              <w:rPr>
                <w:rFonts w:asciiTheme="majorBidi" w:hAnsiTheme="majorBidi" w:cstheme="majorBidi"/>
                <w:b/>
                <w:bCs/>
                <w:sz w:val="18"/>
                <w:szCs w:val="18"/>
              </w:rPr>
            </w:pPr>
            <w:r w:rsidRPr="00EE4BD3">
              <w:rPr>
                <w:rFonts w:asciiTheme="majorBidi" w:hAnsiTheme="majorBidi" w:cstheme="majorBidi"/>
                <w:b/>
                <w:bCs/>
                <w:sz w:val="18"/>
                <w:szCs w:val="18"/>
              </w:rPr>
              <w:t xml:space="preserve">IRA chez les enfants 0-59 mois </w:t>
            </w:r>
          </w:p>
        </w:tc>
        <w:tc>
          <w:tcPr>
            <w:tcW w:w="1559" w:type="dxa"/>
            <w:shd w:val="clear" w:color="auto" w:fill="909EE6"/>
          </w:tcPr>
          <w:p w14:paraId="6BA87C2F" w14:textId="77777777" w:rsidR="00A47DEE" w:rsidRPr="00EE4BD3" w:rsidRDefault="00A47DEE" w:rsidP="00EE0E23">
            <w:pPr>
              <w:spacing w:after="160" w:line="259" w:lineRule="auto"/>
              <w:rPr>
                <w:rFonts w:asciiTheme="majorBidi" w:hAnsiTheme="majorBidi" w:cstheme="majorBidi"/>
                <w:b/>
                <w:bCs/>
                <w:sz w:val="18"/>
                <w:szCs w:val="18"/>
              </w:rPr>
            </w:pPr>
            <w:r w:rsidRPr="00EE4BD3">
              <w:rPr>
                <w:rFonts w:asciiTheme="majorBidi" w:hAnsiTheme="majorBidi" w:cstheme="majorBidi"/>
                <w:b/>
                <w:bCs/>
                <w:sz w:val="18"/>
                <w:szCs w:val="18"/>
              </w:rPr>
              <w:t xml:space="preserve">Proportion des </w:t>
            </w:r>
            <w:proofErr w:type="gramStart"/>
            <w:r w:rsidRPr="00EE4BD3">
              <w:rPr>
                <w:rFonts w:asciiTheme="majorBidi" w:hAnsiTheme="majorBidi" w:cstheme="majorBidi"/>
                <w:b/>
                <w:bCs/>
                <w:sz w:val="18"/>
                <w:szCs w:val="18"/>
              </w:rPr>
              <w:t>cas  d’IRA</w:t>
            </w:r>
            <w:proofErr w:type="gramEnd"/>
            <w:r w:rsidRPr="00EE4BD3">
              <w:rPr>
                <w:rFonts w:asciiTheme="majorBidi" w:hAnsiTheme="majorBidi" w:cstheme="majorBidi"/>
                <w:b/>
                <w:bCs/>
                <w:sz w:val="18"/>
                <w:szCs w:val="18"/>
              </w:rPr>
              <w:t xml:space="preserve"> chez les enfants 0-59 mois </w:t>
            </w:r>
          </w:p>
        </w:tc>
        <w:tc>
          <w:tcPr>
            <w:tcW w:w="1417" w:type="dxa"/>
            <w:shd w:val="clear" w:color="auto" w:fill="909EE6"/>
          </w:tcPr>
          <w:p w14:paraId="39B0FC74" w14:textId="77777777" w:rsidR="00A47DEE" w:rsidRPr="00EE4BD3" w:rsidRDefault="00A47DEE" w:rsidP="00EE0E23">
            <w:pPr>
              <w:rPr>
                <w:rFonts w:asciiTheme="majorBidi" w:hAnsiTheme="majorBidi" w:cstheme="majorBidi"/>
                <w:b/>
                <w:bCs/>
                <w:sz w:val="18"/>
                <w:szCs w:val="18"/>
              </w:rPr>
            </w:pPr>
            <w:r w:rsidRPr="00EE4BD3">
              <w:rPr>
                <w:rFonts w:asciiTheme="majorBidi" w:hAnsiTheme="majorBidi" w:cstheme="majorBidi"/>
                <w:b/>
                <w:bCs/>
                <w:sz w:val="18"/>
                <w:szCs w:val="18"/>
              </w:rPr>
              <w:t xml:space="preserve">Proportion de cas Pneumonies chez les enfants 0-59 mois </w:t>
            </w:r>
          </w:p>
        </w:tc>
      </w:tr>
      <w:tr w:rsidR="00A47DEE" w:rsidRPr="00EE4BD3" w14:paraId="0E80B7E2" w14:textId="77777777" w:rsidTr="00EE0E23">
        <w:trPr>
          <w:trHeight w:val="56"/>
        </w:trPr>
        <w:tc>
          <w:tcPr>
            <w:tcW w:w="993" w:type="dxa"/>
          </w:tcPr>
          <w:p w14:paraId="6A9309A2" w14:textId="77777777" w:rsidR="00A47DEE" w:rsidRPr="00EE4BD3" w:rsidRDefault="00A47DEE" w:rsidP="00EE0E23">
            <w:pPr>
              <w:spacing w:line="259" w:lineRule="auto"/>
              <w:rPr>
                <w:rFonts w:asciiTheme="majorBidi" w:hAnsiTheme="majorBidi" w:cstheme="majorBidi"/>
                <w:sz w:val="18"/>
                <w:szCs w:val="18"/>
              </w:rPr>
            </w:pPr>
            <w:r w:rsidRPr="00EE4BD3">
              <w:rPr>
                <w:rFonts w:asciiTheme="majorBidi" w:hAnsiTheme="majorBidi" w:cstheme="majorBidi"/>
                <w:sz w:val="18"/>
                <w:szCs w:val="18"/>
              </w:rPr>
              <w:t xml:space="preserve">Adrar </w:t>
            </w:r>
          </w:p>
        </w:tc>
        <w:tc>
          <w:tcPr>
            <w:tcW w:w="1275" w:type="dxa"/>
          </w:tcPr>
          <w:p w14:paraId="25E5694A"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318</w:t>
            </w:r>
          </w:p>
        </w:tc>
        <w:tc>
          <w:tcPr>
            <w:tcW w:w="1134" w:type="dxa"/>
          </w:tcPr>
          <w:p w14:paraId="6D0502C3"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4</w:t>
            </w:r>
          </w:p>
        </w:tc>
        <w:tc>
          <w:tcPr>
            <w:tcW w:w="1134" w:type="dxa"/>
          </w:tcPr>
          <w:p w14:paraId="7447EC98"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1837</w:t>
            </w:r>
          </w:p>
        </w:tc>
        <w:tc>
          <w:tcPr>
            <w:tcW w:w="1843" w:type="dxa"/>
          </w:tcPr>
          <w:p w14:paraId="064C89DE"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41</w:t>
            </w:r>
          </w:p>
        </w:tc>
        <w:tc>
          <w:tcPr>
            <w:tcW w:w="1418" w:type="dxa"/>
          </w:tcPr>
          <w:p w14:paraId="4151CCDC"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2725</w:t>
            </w:r>
          </w:p>
        </w:tc>
        <w:tc>
          <w:tcPr>
            <w:tcW w:w="1559" w:type="dxa"/>
          </w:tcPr>
          <w:p w14:paraId="7A2CEB23"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51,9</w:t>
            </w:r>
          </w:p>
        </w:tc>
        <w:tc>
          <w:tcPr>
            <w:tcW w:w="1417" w:type="dxa"/>
          </w:tcPr>
          <w:p w14:paraId="2845880A"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2,0</w:t>
            </w:r>
          </w:p>
        </w:tc>
      </w:tr>
      <w:tr w:rsidR="00A47DEE" w:rsidRPr="00EE4BD3" w14:paraId="1EFE2810" w14:textId="77777777" w:rsidTr="00EE0E23">
        <w:trPr>
          <w:trHeight w:val="56"/>
        </w:trPr>
        <w:tc>
          <w:tcPr>
            <w:tcW w:w="993" w:type="dxa"/>
          </w:tcPr>
          <w:p w14:paraId="7B1B212E" w14:textId="77777777" w:rsidR="00A47DEE" w:rsidRPr="00EE4BD3" w:rsidRDefault="00A47DEE" w:rsidP="00EE0E23">
            <w:pPr>
              <w:spacing w:line="259" w:lineRule="auto"/>
              <w:rPr>
                <w:rFonts w:asciiTheme="majorBidi" w:hAnsiTheme="majorBidi" w:cstheme="majorBidi"/>
                <w:sz w:val="18"/>
                <w:szCs w:val="18"/>
              </w:rPr>
            </w:pPr>
            <w:r w:rsidRPr="00EE4BD3">
              <w:rPr>
                <w:rFonts w:asciiTheme="majorBidi" w:hAnsiTheme="majorBidi" w:cstheme="majorBidi"/>
                <w:sz w:val="18"/>
                <w:szCs w:val="18"/>
              </w:rPr>
              <w:t xml:space="preserve">Trarza </w:t>
            </w:r>
          </w:p>
        </w:tc>
        <w:tc>
          <w:tcPr>
            <w:tcW w:w="1275" w:type="dxa"/>
          </w:tcPr>
          <w:p w14:paraId="5AD4D7DF"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6368</w:t>
            </w:r>
          </w:p>
        </w:tc>
        <w:tc>
          <w:tcPr>
            <w:tcW w:w="1134" w:type="dxa"/>
          </w:tcPr>
          <w:p w14:paraId="326A7116"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94</w:t>
            </w:r>
          </w:p>
        </w:tc>
        <w:tc>
          <w:tcPr>
            <w:tcW w:w="1134" w:type="dxa"/>
          </w:tcPr>
          <w:p w14:paraId="3881221F"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6623</w:t>
            </w:r>
          </w:p>
        </w:tc>
        <w:tc>
          <w:tcPr>
            <w:tcW w:w="1843" w:type="dxa"/>
          </w:tcPr>
          <w:p w14:paraId="4D06E3E4"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675</w:t>
            </w:r>
          </w:p>
        </w:tc>
        <w:tc>
          <w:tcPr>
            <w:tcW w:w="1418" w:type="dxa"/>
          </w:tcPr>
          <w:p w14:paraId="1C61797F"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7829</w:t>
            </w:r>
          </w:p>
        </w:tc>
        <w:tc>
          <w:tcPr>
            <w:tcW w:w="1559" w:type="dxa"/>
          </w:tcPr>
          <w:p w14:paraId="627EC48B"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36,5</w:t>
            </w:r>
          </w:p>
        </w:tc>
        <w:tc>
          <w:tcPr>
            <w:tcW w:w="1417" w:type="dxa"/>
          </w:tcPr>
          <w:p w14:paraId="3446E64F"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9,7</w:t>
            </w:r>
          </w:p>
        </w:tc>
      </w:tr>
      <w:tr w:rsidR="00A47DEE" w:rsidRPr="00EE4BD3" w14:paraId="35DEC1FC" w14:textId="77777777" w:rsidTr="00EE0E23">
        <w:tc>
          <w:tcPr>
            <w:tcW w:w="993" w:type="dxa"/>
          </w:tcPr>
          <w:p w14:paraId="1753AC9B" w14:textId="77777777" w:rsidR="00A47DEE" w:rsidRPr="00EE4BD3" w:rsidRDefault="00A47DEE" w:rsidP="00EE0E23">
            <w:pPr>
              <w:spacing w:line="259" w:lineRule="auto"/>
              <w:rPr>
                <w:rFonts w:asciiTheme="majorBidi" w:hAnsiTheme="majorBidi" w:cstheme="majorBidi"/>
                <w:sz w:val="18"/>
                <w:szCs w:val="18"/>
              </w:rPr>
            </w:pPr>
            <w:r w:rsidRPr="00EE4BD3">
              <w:rPr>
                <w:rFonts w:asciiTheme="majorBidi" w:hAnsiTheme="majorBidi" w:cstheme="majorBidi"/>
                <w:sz w:val="18"/>
                <w:szCs w:val="18"/>
              </w:rPr>
              <w:t xml:space="preserve">Assaba </w:t>
            </w:r>
          </w:p>
        </w:tc>
        <w:tc>
          <w:tcPr>
            <w:tcW w:w="1275" w:type="dxa"/>
          </w:tcPr>
          <w:p w14:paraId="00117208"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19125</w:t>
            </w:r>
          </w:p>
        </w:tc>
        <w:tc>
          <w:tcPr>
            <w:tcW w:w="1134" w:type="dxa"/>
          </w:tcPr>
          <w:p w14:paraId="38504777"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1047</w:t>
            </w:r>
          </w:p>
        </w:tc>
        <w:tc>
          <w:tcPr>
            <w:tcW w:w="1134" w:type="dxa"/>
          </w:tcPr>
          <w:p w14:paraId="7AD280A9"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6139</w:t>
            </w:r>
          </w:p>
        </w:tc>
        <w:tc>
          <w:tcPr>
            <w:tcW w:w="1843" w:type="dxa"/>
          </w:tcPr>
          <w:p w14:paraId="789ED877"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683</w:t>
            </w:r>
          </w:p>
        </w:tc>
        <w:tc>
          <w:tcPr>
            <w:tcW w:w="1418" w:type="dxa"/>
          </w:tcPr>
          <w:p w14:paraId="00E33DDA"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11975</w:t>
            </w:r>
          </w:p>
        </w:tc>
        <w:tc>
          <w:tcPr>
            <w:tcW w:w="1559" w:type="dxa"/>
          </w:tcPr>
          <w:p w14:paraId="28C887F9"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39,3</w:t>
            </w:r>
          </w:p>
        </w:tc>
        <w:tc>
          <w:tcPr>
            <w:tcW w:w="1417" w:type="dxa"/>
          </w:tcPr>
          <w:p w14:paraId="301522A4"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4,3</w:t>
            </w:r>
          </w:p>
        </w:tc>
      </w:tr>
      <w:tr w:rsidR="00A47DEE" w:rsidRPr="00EE4BD3" w14:paraId="69E1DCDD" w14:textId="77777777" w:rsidTr="00EE0E23">
        <w:tc>
          <w:tcPr>
            <w:tcW w:w="993" w:type="dxa"/>
          </w:tcPr>
          <w:p w14:paraId="3DC4BEEB" w14:textId="77777777" w:rsidR="00A47DEE" w:rsidRPr="00EE4BD3" w:rsidRDefault="00A47DEE" w:rsidP="00EE0E23">
            <w:pPr>
              <w:spacing w:line="259" w:lineRule="auto"/>
              <w:rPr>
                <w:rFonts w:asciiTheme="majorBidi" w:hAnsiTheme="majorBidi" w:cstheme="majorBidi"/>
                <w:sz w:val="18"/>
                <w:szCs w:val="18"/>
              </w:rPr>
            </w:pPr>
            <w:r w:rsidRPr="00EE4BD3">
              <w:rPr>
                <w:rFonts w:asciiTheme="majorBidi" w:hAnsiTheme="majorBidi" w:cstheme="majorBidi"/>
                <w:sz w:val="18"/>
                <w:szCs w:val="18"/>
              </w:rPr>
              <w:t xml:space="preserve">NKTN </w:t>
            </w:r>
          </w:p>
        </w:tc>
        <w:tc>
          <w:tcPr>
            <w:tcW w:w="1275" w:type="dxa"/>
          </w:tcPr>
          <w:p w14:paraId="3FDD21C6"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11502</w:t>
            </w:r>
          </w:p>
        </w:tc>
        <w:tc>
          <w:tcPr>
            <w:tcW w:w="1134" w:type="dxa"/>
          </w:tcPr>
          <w:p w14:paraId="2165920E"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54</w:t>
            </w:r>
          </w:p>
        </w:tc>
        <w:tc>
          <w:tcPr>
            <w:tcW w:w="1134" w:type="dxa"/>
          </w:tcPr>
          <w:p w14:paraId="50A0F6DB"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4180</w:t>
            </w:r>
          </w:p>
        </w:tc>
        <w:tc>
          <w:tcPr>
            <w:tcW w:w="1843" w:type="dxa"/>
          </w:tcPr>
          <w:p w14:paraId="4A2B0C3F"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672</w:t>
            </w:r>
          </w:p>
        </w:tc>
        <w:tc>
          <w:tcPr>
            <w:tcW w:w="1418" w:type="dxa"/>
          </w:tcPr>
          <w:p w14:paraId="70819ACF"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6623</w:t>
            </w:r>
          </w:p>
        </w:tc>
        <w:tc>
          <w:tcPr>
            <w:tcW w:w="1559" w:type="dxa"/>
          </w:tcPr>
          <w:p w14:paraId="371CF3CE"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39,9</w:t>
            </w:r>
          </w:p>
        </w:tc>
        <w:tc>
          <w:tcPr>
            <w:tcW w:w="1417" w:type="dxa"/>
          </w:tcPr>
          <w:p w14:paraId="6CC2025F"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9,5</w:t>
            </w:r>
          </w:p>
        </w:tc>
      </w:tr>
      <w:tr w:rsidR="00A47DEE" w:rsidRPr="00EE4BD3" w14:paraId="3D2369B4" w14:textId="77777777" w:rsidTr="00EE0E23">
        <w:tc>
          <w:tcPr>
            <w:tcW w:w="993" w:type="dxa"/>
          </w:tcPr>
          <w:p w14:paraId="18E2E8EC" w14:textId="77777777" w:rsidR="00A47DEE" w:rsidRPr="00EE4BD3" w:rsidRDefault="00A47DEE" w:rsidP="00EE0E23">
            <w:pPr>
              <w:spacing w:line="259" w:lineRule="auto"/>
              <w:rPr>
                <w:rFonts w:asciiTheme="majorBidi" w:hAnsiTheme="majorBidi" w:cstheme="majorBidi"/>
                <w:sz w:val="18"/>
                <w:szCs w:val="18"/>
              </w:rPr>
            </w:pPr>
            <w:r w:rsidRPr="00EE4BD3">
              <w:rPr>
                <w:rFonts w:asciiTheme="majorBidi" w:hAnsiTheme="majorBidi" w:cstheme="majorBidi"/>
                <w:sz w:val="18"/>
                <w:szCs w:val="18"/>
              </w:rPr>
              <w:t xml:space="preserve">NKTO </w:t>
            </w:r>
          </w:p>
        </w:tc>
        <w:tc>
          <w:tcPr>
            <w:tcW w:w="1275" w:type="dxa"/>
          </w:tcPr>
          <w:p w14:paraId="540E6905"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381</w:t>
            </w:r>
          </w:p>
        </w:tc>
        <w:tc>
          <w:tcPr>
            <w:tcW w:w="1134" w:type="dxa"/>
          </w:tcPr>
          <w:p w14:paraId="47DFC300"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11</w:t>
            </w:r>
          </w:p>
        </w:tc>
        <w:tc>
          <w:tcPr>
            <w:tcW w:w="1134" w:type="dxa"/>
          </w:tcPr>
          <w:p w14:paraId="6E48BD33"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813</w:t>
            </w:r>
          </w:p>
        </w:tc>
        <w:tc>
          <w:tcPr>
            <w:tcW w:w="1843" w:type="dxa"/>
          </w:tcPr>
          <w:p w14:paraId="778F446F"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21</w:t>
            </w:r>
          </w:p>
        </w:tc>
        <w:tc>
          <w:tcPr>
            <w:tcW w:w="1418" w:type="dxa"/>
          </w:tcPr>
          <w:p w14:paraId="4E4160B7"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1419</w:t>
            </w:r>
          </w:p>
        </w:tc>
        <w:tc>
          <w:tcPr>
            <w:tcW w:w="1559" w:type="dxa"/>
          </w:tcPr>
          <w:p w14:paraId="3D283934"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34,8</w:t>
            </w:r>
          </w:p>
        </w:tc>
        <w:tc>
          <w:tcPr>
            <w:tcW w:w="1417" w:type="dxa"/>
          </w:tcPr>
          <w:p w14:paraId="4B2748DF"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13,7</w:t>
            </w:r>
          </w:p>
        </w:tc>
      </w:tr>
      <w:tr w:rsidR="00A47DEE" w:rsidRPr="00EE4BD3" w14:paraId="7820D481" w14:textId="77777777" w:rsidTr="00EE0E23">
        <w:tc>
          <w:tcPr>
            <w:tcW w:w="993" w:type="dxa"/>
          </w:tcPr>
          <w:p w14:paraId="129AFE4D" w14:textId="77777777" w:rsidR="00A47DEE" w:rsidRPr="00EE4BD3" w:rsidRDefault="00A47DEE" w:rsidP="00EE0E23">
            <w:pPr>
              <w:spacing w:line="259" w:lineRule="auto"/>
              <w:rPr>
                <w:rFonts w:asciiTheme="majorBidi" w:hAnsiTheme="majorBidi" w:cstheme="majorBidi"/>
                <w:sz w:val="18"/>
                <w:szCs w:val="18"/>
              </w:rPr>
            </w:pPr>
            <w:r w:rsidRPr="00EE4BD3">
              <w:rPr>
                <w:rFonts w:asciiTheme="majorBidi" w:hAnsiTheme="majorBidi" w:cstheme="majorBidi"/>
                <w:sz w:val="18"/>
                <w:szCs w:val="18"/>
              </w:rPr>
              <w:t xml:space="preserve">NKTS </w:t>
            </w:r>
          </w:p>
        </w:tc>
        <w:tc>
          <w:tcPr>
            <w:tcW w:w="1275" w:type="dxa"/>
          </w:tcPr>
          <w:p w14:paraId="5F1A96A1"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3692</w:t>
            </w:r>
          </w:p>
        </w:tc>
        <w:tc>
          <w:tcPr>
            <w:tcW w:w="1134" w:type="dxa"/>
          </w:tcPr>
          <w:p w14:paraId="1A118358"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55</w:t>
            </w:r>
          </w:p>
        </w:tc>
        <w:tc>
          <w:tcPr>
            <w:tcW w:w="1134" w:type="dxa"/>
          </w:tcPr>
          <w:p w14:paraId="2CE88D2E"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4722</w:t>
            </w:r>
          </w:p>
        </w:tc>
        <w:tc>
          <w:tcPr>
            <w:tcW w:w="1843" w:type="dxa"/>
          </w:tcPr>
          <w:p w14:paraId="707CD8C0"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306</w:t>
            </w:r>
          </w:p>
        </w:tc>
        <w:tc>
          <w:tcPr>
            <w:tcW w:w="1418" w:type="dxa"/>
          </w:tcPr>
          <w:p w14:paraId="0094430D"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5248</w:t>
            </w:r>
          </w:p>
        </w:tc>
        <w:tc>
          <w:tcPr>
            <w:tcW w:w="1559" w:type="dxa"/>
          </w:tcPr>
          <w:p w14:paraId="52DD0298"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44,6</w:t>
            </w:r>
          </w:p>
        </w:tc>
        <w:tc>
          <w:tcPr>
            <w:tcW w:w="1417" w:type="dxa"/>
          </w:tcPr>
          <w:p w14:paraId="03B955E5" w14:textId="77777777" w:rsidR="00A47DEE" w:rsidRPr="00EE4BD3" w:rsidRDefault="00A47DEE" w:rsidP="00EE0E23">
            <w:pPr>
              <w:jc w:val="right"/>
              <w:rPr>
                <w:rFonts w:asciiTheme="majorBidi" w:hAnsiTheme="majorBidi" w:cstheme="majorBidi"/>
                <w:sz w:val="18"/>
                <w:szCs w:val="18"/>
              </w:rPr>
            </w:pPr>
            <w:r w:rsidRPr="00EE4BD3">
              <w:rPr>
                <w:rFonts w:asciiTheme="majorBidi" w:hAnsiTheme="majorBidi" w:cstheme="majorBidi"/>
                <w:sz w:val="18"/>
                <w:szCs w:val="18"/>
              </w:rPr>
              <w:t>10,0</w:t>
            </w:r>
          </w:p>
        </w:tc>
      </w:tr>
      <w:tr w:rsidR="00A47DEE" w:rsidRPr="00EE4BD3" w14:paraId="7D6994F4" w14:textId="77777777" w:rsidTr="00EE0E23">
        <w:trPr>
          <w:trHeight w:val="156"/>
        </w:trPr>
        <w:tc>
          <w:tcPr>
            <w:tcW w:w="993" w:type="dxa"/>
          </w:tcPr>
          <w:p w14:paraId="1E856069" w14:textId="77777777" w:rsidR="00A47DEE" w:rsidRPr="00EE4BD3" w:rsidRDefault="00A47DEE" w:rsidP="00EE0E23">
            <w:pPr>
              <w:spacing w:after="160" w:line="259" w:lineRule="auto"/>
              <w:rPr>
                <w:rFonts w:asciiTheme="majorBidi" w:hAnsiTheme="majorBidi" w:cstheme="majorBidi"/>
                <w:b/>
                <w:bCs/>
                <w:sz w:val="18"/>
                <w:szCs w:val="18"/>
              </w:rPr>
            </w:pPr>
            <w:r w:rsidRPr="00EE4BD3">
              <w:rPr>
                <w:rFonts w:asciiTheme="majorBidi" w:hAnsiTheme="majorBidi" w:cstheme="majorBidi"/>
                <w:b/>
                <w:bCs/>
                <w:sz w:val="18"/>
                <w:szCs w:val="18"/>
              </w:rPr>
              <w:t xml:space="preserve">National </w:t>
            </w:r>
          </w:p>
        </w:tc>
        <w:tc>
          <w:tcPr>
            <w:tcW w:w="1275" w:type="dxa"/>
          </w:tcPr>
          <w:p w14:paraId="7DD0663F" w14:textId="77777777" w:rsidR="00A47DEE" w:rsidRPr="00EE4BD3" w:rsidRDefault="00A47DEE" w:rsidP="00EE0E23">
            <w:pPr>
              <w:jc w:val="right"/>
              <w:rPr>
                <w:rFonts w:asciiTheme="majorBidi" w:hAnsiTheme="majorBidi" w:cstheme="majorBidi"/>
                <w:b/>
                <w:bCs/>
                <w:sz w:val="18"/>
                <w:szCs w:val="18"/>
              </w:rPr>
            </w:pPr>
            <w:r w:rsidRPr="00EE4BD3">
              <w:rPr>
                <w:rFonts w:asciiTheme="majorBidi" w:hAnsiTheme="majorBidi" w:cstheme="majorBidi"/>
                <w:b/>
                <w:bCs/>
                <w:sz w:val="18"/>
                <w:szCs w:val="18"/>
              </w:rPr>
              <w:t>120251</w:t>
            </w:r>
          </w:p>
        </w:tc>
        <w:tc>
          <w:tcPr>
            <w:tcW w:w="1134" w:type="dxa"/>
          </w:tcPr>
          <w:p w14:paraId="3EEF7161" w14:textId="77777777" w:rsidR="00A47DEE" w:rsidRPr="00EE4BD3" w:rsidRDefault="00A47DEE" w:rsidP="00EE0E23">
            <w:pPr>
              <w:jc w:val="right"/>
              <w:rPr>
                <w:rFonts w:asciiTheme="majorBidi" w:hAnsiTheme="majorBidi" w:cstheme="majorBidi"/>
                <w:b/>
                <w:bCs/>
                <w:sz w:val="18"/>
                <w:szCs w:val="18"/>
              </w:rPr>
            </w:pPr>
            <w:r w:rsidRPr="00EE4BD3">
              <w:rPr>
                <w:rFonts w:asciiTheme="majorBidi" w:hAnsiTheme="majorBidi" w:cstheme="majorBidi"/>
                <w:b/>
                <w:bCs/>
                <w:sz w:val="18"/>
                <w:szCs w:val="18"/>
              </w:rPr>
              <w:t>8000</w:t>
            </w:r>
          </w:p>
        </w:tc>
        <w:tc>
          <w:tcPr>
            <w:tcW w:w="1134" w:type="dxa"/>
          </w:tcPr>
          <w:p w14:paraId="02DD5EB3" w14:textId="77777777" w:rsidR="00A47DEE" w:rsidRPr="00EE4BD3" w:rsidRDefault="00A47DEE" w:rsidP="00EE0E23">
            <w:pPr>
              <w:jc w:val="right"/>
              <w:rPr>
                <w:rFonts w:asciiTheme="majorBidi" w:hAnsiTheme="majorBidi" w:cstheme="majorBidi"/>
                <w:b/>
                <w:bCs/>
                <w:sz w:val="18"/>
                <w:szCs w:val="18"/>
              </w:rPr>
            </w:pPr>
            <w:r w:rsidRPr="00EE4BD3">
              <w:rPr>
                <w:rFonts w:asciiTheme="majorBidi" w:hAnsiTheme="majorBidi" w:cstheme="majorBidi"/>
                <w:b/>
                <w:bCs/>
                <w:sz w:val="18"/>
                <w:szCs w:val="18"/>
              </w:rPr>
              <w:t>54467</w:t>
            </w:r>
          </w:p>
        </w:tc>
        <w:tc>
          <w:tcPr>
            <w:tcW w:w="1843" w:type="dxa"/>
          </w:tcPr>
          <w:p w14:paraId="01869EF2" w14:textId="77777777" w:rsidR="00A47DEE" w:rsidRPr="00EE4BD3" w:rsidRDefault="00A47DEE" w:rsidP="00EE0E23">
            <w:pPr>
              <w:jc w:val="right"/>
              <w:rPr>
                <w:rFonts w:asciiTheme="majorBidi" w:hAnsiTheme="majorBidi" w:cstheme="majorBidi"/>
                <w:b/>
                <w:bCs/>
                <w:sz w:val="18"/>
                <w:szCs w:val="18"/>
              </w:rPr>
            </w:pPr>
            <w:r w:rsidRPr="00EE4BD3">
              <w:rPr>
                <w:rFonts w:asciiTheme="majorBidi" w:hAnsiTheme="majorBidi" w:cstheme="majorBidi"/>
                <w:b/>
                <w:bCs/>
                <w:sz w:val="18"/>
                <w:szCs w:val="18"/>
              </w:rPr>
              <w:t>5711</w:t>
            </w:r>
          </w:p>
        </w:tc>
        <w:tc>
          <w:tcPr>
            <w:tcW w:w="1418" w:type="dxa"/>
          </w:tcPr>
          <w:p w14:paraId="248C59F3" w14:textId="77777777" w:rsidR="00A47DEE" w:rsidRPr="00EE4BD3" w:rsidRDefault="00A47DEE" w:rsidP="00EE0E23">
            <w:pPr>
              <w:jc w:val="right"/>
              <w:rPr>
                <w:rFonts w:asciiTheme="majorBidi" w:hAnsiTheme="majorBidi" w:cstheme="majorBidi"/>
                <w:b/>
                <w:bCs/>
                <w:sz w:val="18"/>
                <w:szCs w:val="18"/>
              </w:rPr>
            </w:pPr>
            <w:r w:rsidRPr="00EE4BD3">
              <w:rPr>
                <w:rFonts w:asciiTheme="majorBidi" w:hAnsiTheme="majorBidi" w:cstheme="majorBidi"/>
                <w:b/>
                <w:bCs/>
                <w:sz w:val="18"/>
                <w:szCs w:val="18"/>
              </w:rPr>
              <w:t>82645</w:t>
            </w:r>
          </w:p>
        </w:tc>
        <w:tc>
          <w:tcPr>
            <w:tcW w:w="1559" w:type="dxa"/>
          </w:tcPr>
          <w:p w14:paraId="376373F2" w14:textId="77777777" w:rsidR="00A47DEE" w:rsidRPr="00EE4BD3" w:rsidRDefault="00A47DEE" w:rsidP="00EE0E23">
            <w:pPr>
              <w:jc w:val="right"/>
              <w:rPr>
                <w:rFonts w:asciiTheme="majorBidi" w:hAnsiTheme="majorBidi" w:cstheme="majorBidi"/>
                <w:b/>
                <w:bCs/>
                <w:sz w:val="18"/>
                <w:szCs w:val="18"/>
              </w:rPr>
            </w:pPr>
            <w:r w:rsidRPr="00EE4BD3">
              <w:rPr>
                <w:rFonts w:asciiTheme="majorBidi" w:hAnsiTheme="majorBidi" w:cstheme="majorBidi"/>
                <w:b/>
                <w:bCs/>
                <w:sz w:val="18"/>
                <w:szCs w:val="18"/>
              </w:rPr>
              <w:t>39,8</w:t>
            </w:r>
          </w:p>
        </w:tc>
        <w:tc>
          <w:tcPr>
            <w:tcW w:w="1417" w:type="dxa"/>
          </w:tcPr>
          <w:p w14:paraId="7D63EC34" w14:textId="77777777" w:rsidR="00A47DEE" w:rsidRPr="00EE4BD3" w:rsidRDefault="00A47DEE" w:rsidP="00EE0E23">
            <w:pPr>
              <w:jc w:val="right"/>
              <w:rPr>
                <w:rFonts w:asciiTheme="majorBidi" w:hAnsiTheme="majorBidi" w:cstheme="majorBidi"/>
                <w:b/>
                <w:bCs/>
                <w:sz w:val="18"/>
                <w:szCs w:val="18"/>
              </w:rPr>
            </w:pPr>
            <w:r w:rsidRPr="00EE4BD3">
              <w:rPr>
                <w:rFonts w:asciiTheme="majorBidi" w:hAnsiTheme="majorBidi" w:cstheme="majorBidi"/>
                <w:b/>
                <w:bCs/>
                <w:sz w:val="18"/>
                <w:szCs w:val="18"/>
              </w:rPr>
              <w:t>8,4</w:t>
            </w:r>
          </w:p>
        </w:tc>
      </w:tr>
    </w:tbl>
    <w:p w14:paraId="56843D77" w14:textId="77777777" w:rsidR="00A47DEE" w:rsidRPr="00EE4BD3" w:rsidRDefault="00A47DEE" w:rsidP="00A47DEE">
      <w:pPr>
        <w:autoSpaceDE w:val="0"/>
        <w:autoSpaceDN w:val="0"/>
        <w:adjustRightInd w:val="0"/>
        <w:jc w:val="center"/>
        <w:rPr>
          <w:rFonts w:asciiTheme="majorBidi" w:hAnsiTheme="majorBidi" w:cstheme="majorBidi"/>
          <w:b/>
          <w:bCs/>
          <w:i/>
          <w:iCs/>
          <w:sz w:val="16"/>
          <w:szCs w:val="16"/>
          <w:u w:val="single"/>
        </w:rPr>
      </w:pPr>
      <w:r w:rsidRPr="00EE4BD3">
        <w:rPr>
          <w:rFonts w:asciiTheme="majorBidi" w:hAnsiTheme="majorBidi" w:cstheme="majorBidi"/>
          <w:b/>
          <w:bCs/>
          <w:i/>
          <w:iCs/>
          <w:sz w:val="16"/>
          <w:szCs w:val="16"/>
          <w:u w:val="single"/>
        </w:rPr>
        <w:t>Tableau 2 : Morbidité de certaines maladies/ indicateur liées aux tranches d’âge par willaya /Moughataa (source annuaires statistiques SNIS 2022)</w:t>
      </w:r>
    </w:p>
    <w:p w14:paraId="2A36DC91" w14:textId="77777777" w:rsidR="00A47DEE" w:rsidRPr="00EE4BD3" w:rsidRDefault="00A47DEE" w:rsidP="00A47DEE">
      <w:pPr>
        <w:rPr>
          <w:rFonts w:asciiTheme="majorBidi" w:hAnsiTheme="majorBidi" w:cstheme="majorBidi"/>
        </w:rPr>
      </w:pPr>
    </w:p>
    <w:p w14:paraId="15B87474" w14:textId="77777777" w:rsidR="00A47DEE" w:rsidRPr="00EE4BD3" w:rsidRDefault="00A47DEE" w:rsidP="00A47DEE">
      <w:pPr>
        <w:jc w:val="both"/>
        <w:rPr>
          <w:rFonts w:asciiTheme="majorBidi" w:hAnsiTheme="majorBidi" w:cstheme="majorBidi"/>
        </w:rPr>
      </w:pPr>
      <w:r w:rsidRPr="005A5ACC">
        <w:rPr>
          <w:rFonts w:asciiTheme="majorBidi" w:hAnsiTheme="majorBidi" w:cstheme="majorBidi"/>
        </w:rPr>
        <w:t xml:space="preserve">Le fonctionnement du Système national d’information sanitaire (SNIS) reste un réel </w:t>
      </w:r>
      <w:r>
        <w:rPr>
          <w:rFonts w:asciiTheme="majorBidi" w:hAnsiTheme="majorBidi" w:cstheme="majorBidi"/>
        </w:rPr>
        <w:t>défi</w:t>
      </w:r>
      <w:r w:rsidRPr="005A5ACC">
        <w:rPr>
          <w:rFonts w:asciiTheme="majorBidi" w:hAnsiTheme="majorBidi" w:cstheme="majorBidi"/>
        </w:rPr>
        <w:t xml:space="preserve"> en Mauritanie, car ne permet pas de rendre disponible à temps l’information dont les décideurs et les prestataires ont besoin pour la prise de décision. En effet, plusieurs évaluations du SNIS ont montré </w:t>
      </w:r>
      <w:r>
        <w:rPr>
          <w:rFonts w:asciiTheme="majorBidi" w:hAnsiTheme="majorBidi" w:cstheme="majorBidi"/>
        </w:rPr>
        <w:t xml:space="preserve">une moyenne </w:t>
      </w:r>
      <w:r w:rsidRPr="005A5ACC">
        <w:rPr>
          <w:rFonts w:asciiTheme="majorBidi" w:hAnsiTheme="majorBidi" w:cstheme="majorBidi"/>
        </w:rPr>
        <w:t xml:space="preserve">complétude et promptitude des données, leur qualité </w:t>
      </w:r>
      <w:r>
        <w:rPr>
          <w:rFonts w:asciiTheme="majorBidi" w:hAnsiTheme="majorBidi" w:cstheme="majorBidi"/>
        </w:rPr>
        <w:t>faible</w:t>
      </w:r>
      <w:r w:rsidRPr="005A5ACC">
        <w:rPr>
          <w:rFonts w:asciiTheme="majorBidi" w:hAnsiTheme="majorBidi" w:cstheme="majorBidi"/>
        </w:rPr>
        <w:t xml:space="preserve"> et leur discordance, dues essentiellement au parallélisme des systèmes de gestion de données qui entraîne une multitude de rapportages. </w:t>
      </w:r>
      <w:r>
        <w:rPr>
          <w:rFonts w:asciiTheme="majorBidi" w:hAnsiTheme="majorBidi" w:cstheme="majorBidi"/>
        </w:rPr>
        <w:t xml:space="preserve"> </w:t>
      </w:r>
      <w:r w:rsidRPr="00EE4BD3">
        <w:rPr>
          <w:rFonts w:asciiTheme="majorBidi" w:hAnsiTheme="majorBidi" w:cstheme="majorBidi"/>
        </w:rPr>
        <w:t>Il existe aussi un système de surveillance épidémiologique qui enregistre les cas liés aux maladies à déclaration épidémiologique obligatoire par le secteur. Selon la DISSE (direction de l’information sanitaire et la surveillance épidémiologique) ; les cas liés aux maladies sous surveillance épidémiologique en 2019 par exemple sont regroupés dans le tableau suivant :</w:t>
      </w:r>
    </w:p>
    <w:p w14:paraId="36C6501E" w14:textId="77777777" w:rsidR="00A47DEE" w:rsidRPr="00EE4BD3" w:rsidRDefault="00A47DEE" w:rsidP="00A47DEE">
      <w:pPr>
        <w:rPr>
          <w:rFonts w:asciiTheme="majorBidi" w:hAnsiTheme="majorBidi" w:cstheme="majorBidi"/>
        </w:rPr>
      </w:pPr>
    </w:p>
    <w:tbl>
      <w:tblPr>
        <w:tblStyle w:val="Grilledutableau"/>
        <w:tblW w:w="0" w:type="auto"/>
        <w:jc w:val="center"/>
        <w:tblLook w:val="04A0" w:firstRow="1" w:lastRow="0" w:firstColumn="1" w:lastColumn="0" w:noHBand="0" w:noVBand="1"/>
      </w:tblPr>
      <w:tblGrid>
        <w:gridCol w:w="3545"/>
        <w:gridCol w:w="1990"/>
        <w:gridCol w:w="1701"/>
      </w:tblGrid>
      <w:tr w:rsidR="00A47DEE" w:rsidRPr="00EE4BD3" w14:paraId="3FCFBC03" w14:textId="77777777" w:rsidTr="00EE0E23">
        <w:trPr>
          <w:jc w:val="center"/>
        </w:trPr>
        <w:tc>
          <w:tcPr>
            <w:tcW w:w="3545" w:type="dxa"/>
            <w:shd w:val="clear" w:color="auto" w:fill="909EE6"/>
          </w:tcPr>
          <w:p w14:paraId="70FC6D88" w14:textId="77777777" w:rsidR="00A47DEE" w:rsidRPr="00EE4BD3" w:rsidRDefault="00A47DEE" w:rsidP="00EE0E23">
            <w:pPr>
              <w:rPr>
                <w:rFonts w:asciiTheme="majorBidi" w:hAnsiTheme="majorBidi" w:cstheme="majorBidi"/>
                <w:b/>
                <w:bCs/>
              </w:rPr>
            </w:pPr>
            <w:r w:rsidRPr="00EE4BD3">
              <w:rPr>
                <w:rFonts w:asciiTheme="majorBidi" w:hAnsiTheme="majorBidi" w:cstheme="majorBidi"/>
                <w:b/>
                <w:bCs/>
              </w:rPr>
              <w:t>Maladies</w:t>
            </w:r>
          </w:p>
        </w:tc>
        <w:tc>
          <w:tcPr>
            <w:tcW w:w="1990" w:type="dxa"/>
            <w:shd w:val="clear" w:color="auto" w:fill="909EE6"/>
          </w:tcPr>
          <w:p w14:paraId="1F02E40F" w14:textId="77777777" w:rsidR="00A47DEE" w:rsidRPr="00EE4BD3" w:rsidRDefault="00A47DEE" w:rsidP="00EE0E23">
            <w:pPr>
              <w:rPr>
                <w:rFonts w:asciiTheme="majorBidi" w:hAnsiTheme="majorBidi" w:cstheme="majorBidi"/>
                <w:b/>
                <w:bCs/>
              </w:rPr>
            </w:pPr>
            <w:r w:rsidRPr="00EE4BD3">
              <w:rPr>
                <w:rFonts w:asciiTheme="majorBidi" w:hAnsiTheme="majorBidi" w:cstheme="majorBidi"/>
                <w:b/>
                <w:bCs/>
              </w:rPr>
              <w:t>Cas suspects</w:t>
            </w:r>
          </w:p>
        </w:tc>
        <w:tc>
          <w:tcPr>
            <w:tcW w:w="1701" w:type="dxa"/>
            <w:shd w:val="clear" w:color="auto" w:fill="909EE6"/>
          </w:tcPr>
          <w:p w14:paraId="4CF3CB6C" w14:textId="77777777" w:rsidR="00A47DEE" w:rsidRPr="00EE4BD3" w:rsidRDefault="00A47DEE" w:rsidP="00EE0E23">
            <w:pPr>
              <w:rPr>
                <w:rFonts w:asciiTheme="majorBidi" w:hAnsiTheme="majorBidi" w:cstheme="majorBidi"/>
                <w:b/>
                <w:bCs/>
              </w:rPr>
            </w:pPr>
            <w:r w:rsidRPr="00EE4BD3">
              <w:rPr>
                <w:rFonts w:asciiTheme="majorBidi" w:hAnsiTheme="majorBidi" w:cstheme="majorBidi"/>
                <w:b/>
                <w:bCs/>
              </w:rPr>
              <w:t xml:space="preserve">Cas confirmé </w:t>
            </w:r>
          </w:p>
        </w:tc>
      </w:tr>
      <w:tr w:rsidR="00A47DEE" w:rsidRPr="00EE4BD3" w14:paraId="7B2ED8CC" w14:textId="77777777" w:rsidTr="00EE0E23">
        <w:trPr>
          <w:jc w:val="center"/>
        </w:trPr>
        <w:tc>
          <w:tcPr>
            <w:tcW w:w="3545" w:type="dxa"/>
          </w:tcPr>
          <w:p w14:paraId="1F6C8766" w14:textId="77777777" w:rsidR="00A47DEE" w:rsidRPr="006D06BC" w:rsidRDefault="00A47DEE" w:rsidP="00EE0E23">
            <w:pPr>
              <w:rPr>
                <w:rFonts w:asciiTheme="majorBidi" w:hAnsiTheme="majorBidi" w:cstheme="majorBidi"/>
                <w:sz w:val="18"/>
                <w:szCs w:val="18"/>
              </w:rPr>
            </w:pPr>
            <w:r w:rsidRPr="006D06BC">
              <w:rPr>
                <w:rFonts w:asciiTheme="majorBidi" w:hAnsiTheme="majorBidi" w:cstheme="majorBidi"/>
                <w:sz w:val="18"/>
                <w:szCs w:val="18"/>
              </w:rPr>
              <w:t>Choléra</w:t>
            </w:r>
          </w:p>
        </w:tc>
        <w:tc>
          <w:tcPr>
            <w:tcW w:w="1990" w:type="dxa"/>
          </w:tcPr>
          <w:p w14:paraId="21931266"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w:t>
            </w:r>
          </w:p>
        </w:tc>
        <w:tc>
          <w:tcPr>
            <w:tcW w:w="1701" w:type="dxa"/>
          </w:tcPr>
          <w:p w14:paraId="22358B54"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w:t>
            </w:r>
          </w:p>
        </w:tc>
      </w:tr>
      <w:tr w:rsidR="00A47DEE" w:rsidRPr="00EE4BD3" w14:paraId="57FC84D0" w14:textId="77777777" w:rsidTr="00EE0E23">
        <w:trPr>
          <w:trHeight w:val="102"/>
          <w:jc w:val="center"/>
        </w:trPr>
        <w:tc>
          <w:tcPr>
            <w:tcW w:w="3545" w:type="dxa"/>
          </w:tcPr>
          <w:p w14:paraId="4F400EA8" w14:textId="77777777" w:rsidR="00A47DEE" w:rsidRPr="006D06BC" w:rsidRDefault="00A47DEE" w:rsidP="00EE0E23">
            <w:pPr>
              <w:spacing w:line="259" w:lineRule="auto"/>
              <w:rPr>
                <w:rFonts w:asciiTheme="majorBidi" w:hAnsiTheme="majorBidi" w:cstheme="majorBidi"/>
                <w:sz w:val="18"/>
                <w:szCs w:val="18"/>
              </w:rPr>
            </w:pPr>
            <w:r w:rsidRPr="006D06BC">
              <w:rPr>
                <w:rFonts w:asciiTheme="majorBidi" w:hAnsiTheme="majorBidi" w:cstheme="majorBidi"/>
                <w:sz w:val="18"/>
                <w:szCs w:val="18"/>
              </w:rPr>
              <w:t xml:space="preserve">Fièvre jaune </w:t>
            </w:r>
          </w:p>
        </w:tc>
        <w:tc>
          <w:tcPr>
            <w:tcW w:w="1990" w:type="dxa"/>
          </w:tcPr>
          <w:p w14:paraId="677F294E"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w:t>
            </w:r>
          </w:p>
        </w:tc>
        <w:tc>
          <w:tcPr>
            <w:tcW w:w="1701" w:type="dxa"/>
          </w:tcPr>
          <w:p w14:paraId="14609338"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w:t>
            </w:r>
          </w:p>
        </w:tc>
      </w:tr>
      <w:tr w:rsidR="00A47DEE" w:rsidRPr="00EE4BD3" w14:paraId="1201A3AA" w14:textId="77777777" w:rsidTr="00EE0E23">
        <w:trPr>
          <w:jc w:val="center"/>
        </w:trPr>
        <w:tc>
          <w:tcPr>
            <w:tcW w:w="3545" w:type="dxa"/>
          </w:tcPr>
          <w:p w14:paraId="0D80059E" w14:textId="77777777" w:rsidR="00A47DEE" w:rsidRPr="006D06BC" w:rsidRDefault="00A47DEE" w:rsidP="00EE0E23">
            <w:pPr>
              <w:spacing w:line="259" w:lineRule="auto"/>
              <w:rPr>
                <w:rFonts w:asciiTheme="majorBidi" w:hAnsiTheme="majorBidi" w:cstheme="majorBidi"/>
                <w:sz w:val="18"/>
                <w:szCs w:val="18"/>
              </w:rPr>
            </w:pPr>
            <w:r w:rsidRPr="006D06BC">
              <w:rPr>
                <w:rFonts w:asciiTheme="majorBidi" w:hAnsiTheme="majorBidi" w:cstheme="majorBidi"/>
                <w:sz w:val="18"/>
                <w:szCs w:val="18"/>
              </w:rPr>
              <w:t xml:space="preserve">Méningite </w:t>
            </w:r>
          </w:p>
        </w:tc>
        <w:tc>
          <w:tcPr>
            <w:tcW w:w="1990" w:type="dxa"/>
          </w:tcPr>
          <w:p w14:paraId="03644104"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0 0</w:t>
            </w:r>
          </w:p>
        </w:tc>
        <w:tc>
          <w:tcPr>
            <w:tcW w:w="1701" w:type="dxa"/>
          </w:tcPr>
          <w:p w14:paraId="381ED5EC"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w:t>
            </w:r>
          </w:p>
        </w:tc>
      </w:tr>
      <w:tr w:rsidR="00A47DEE" w:rsidRPr="00EE4BD3" w14:paraId="70E18651" w14:textId="77777777" w:rsidTr="00EE0E23">
        <w:trPr>
          <w:jc w:val="center"/>
        </w:trPr>
        <w:tc>
          <w:tcPr>
            <w:tcW w:w="3545" w:type="dxa"/>
          </w:tcPr>
          <w:p w14:paraId="63F07DEF" w14:textId="77777777" w:rsidR="00A47DEE" w:rsidRPr="006D06BC" w:rsidRDefault="00A47DEE" w:rsidP="00EE0E23">
            <w:pPr>
              <w:spacing w:line="259" w:lineRule="auto"/>
              <w:rPr>
                <w:rFonts w:asciiTheme="majorBidi" w:hAnsiTheme="majorBidi" w:cstheme="majorBidi"/>
                <w:sz w:val="18"/>
                <w:szCs w:val="18"/>
              </w:rPr>
            </w:pPr>
            <w:r w:rsidRPr="006D06BC">
              <w:rPr>
                <w:rFonts w:asciiTheme="majorBidi" w:hAnsiTheme="majorBidi" w:cstheme="majorBidi"/>
                <w:sz w:val="18"/>
                <w:szCs w:val="18"/>
              </w:rPr>
              <w:t xml:space="preserve">Rougeole </w:t>
            </w:r>
          </w:p>
        </w:tc>
        <w:tc>
          <w:tcPr>
            <w:tcW w:w="1990" w:type="dxa"/>
          </w:tcPr>
          <w:p w14:paraId="1C1C171D"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196</w:t>
            </w:r>
          </w:p>
        </w:tc>
        <w:tc>
          <w:tcPr>
            <w:tcW w:w="1701" w:type="dxa"/>
          </w:tcPr>
          <w:p w14:paraId="7CAF6C7A"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188</w:t>
            </w:r>
          </w:p>
        </w:tc>
      </w:tr>
      <w:tr w:rsidR="00A47DEE" w:rsidRPr="00EE4BD3" w14:paraId="792A550B" w14:textId="77777777" w:rsidTr="00EE0E23">
        <w:trPr>
          <w:trHeight w:val="100"/>
          <w:jc w:val="center"/>
        </w:trPr>
        <w:tc>
          <w:tcPr>
            <w:tcW w:w="3545" w:type="dxa"/>
          </w:tcPr>
          <w:p w14:paraId="16EAD753" w14:textId="77777777" w:rsidR="00A47DEE" w:rsidRPr="006D06BC" w:rsidRDefault="00A47DEE" w:rsidP="00EE0E23">
            <w:pPr>
              <w:spacing w:line="259" w:lineRule="auto"/>
              <w:rPr>
                <w:rFonts w:asciiTheme="majorBidi" w:hAnsiTheme="majorBidi" w:cstheme="majorBidi"/>
                <w:sz w:val="18"/>
                <w:szCs w:val="18"/>
              </w:rPr>
            </w:pPr>
            <w:r w:rsidRPr="006D06BC">
              <w:rPr>
                <w:rFonts w:asciiTheme="majorBidi" w:hAnsiTheme="majorBidi" w:cstheme="majorBidi"/>
                <w:sz w:val="18"/>
                <w:szCs w:val="18"/>
              </w:rPr>
              <w:t xml:space="preserve">Rubéole </w:t>
            </w:r>
          </w:p>
        </w:tc>
        <w:tc>
          <w:tcPr>
            <w:tcW w:w="1990" w:type="dxa"/>
          </w:tcPr>
          <w:p w14:paraId="4A535568"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w:t>
            </w:r>
          </w:p>
        </w:tc>
        <w:tc>
          <w:tcPr>
            <w:tcW w:w="1701" w:type="dxa"/>
          </w:tcPr>
          <w:p w14:paraId="7A0050D8"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w:t>
            </w:r>
          </w:p>
        </w:tc>
      </w:tr>
      <w:tr w:rsidR="00A47DEE" w:rsidRPr="00EE4BD3" w14:paraId="00B2DF05" w14:textId="77777777" w:rsidTr="00EE0E23">
        <w:trPr>
          <w:jc w:val="center"/>
        </w:trPr>
        <w:tc>
          <w:tcPr>
            <w:tcW w:w="3545" w:type="dxa"/>
          </w:tcPr>
          <w:p w14:paraId="680D7A75" w14:textId="77777777" w:rsidR="00A47DEE" w:rsidRPr="006D06BC" w:rsidRDefault="00A47DEE" w:rsidP="00EE0E23">
            <w:pPr>
              <w:rPr>
                <w:rFonts w:asciiTheme="majorBidi" w:hAnsiTheme="majorBidi" w:cstheme="majorBidi"/>
                <w:sz w:val="18"/>
                <w:szCs w:val="18"/>
              </w:rPr>
            </w:pPr>
            <w:r w:rsidRPr="006D06BC">
              <w:rPr>
                <w:rFonts w:asciiTheme="majorBidi" w:hAnsiTheme="majorBidi" w:cstheme="majorBidi"/>
                <w:sz w:val="18"/>
                <w:szCs w:val="18"/>
              </w:rPr>
              <w:t>Diarrhée Sanglante</w:t>
            </w:r>
          </w:p>
        </w:tc>
        <w:tc>
          <w:tcPr>
            <w:tcW w:w="1990" w:type="dxa"/>
          </w:tcPr>
          <w:p w14:paraId="681FD742"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11323</w:t>
            </w:r>
          </w:p>
        </w:tc>
        <w:tc>
          <w:tcPr>
            <w:tcW w:w="1701" w:type="dxa"/>
          </w:tcPr>
          <w:p w14:paraId="2891E960"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w:t>
            </w:r>
          </w:p>
        </w:tc>
      </w:tr>
      <w:tr w:rsidR="00A47DEE" w:rsidRPr="00EE4BD3" w14:paraId="78A8B91A" w14:textId="77777777" w:rsidTr="00EE0E23">
        <w:trPr>
          <w:jc w:val="center"/>
        </w:trPr>
        <w:tc>
          <w:tcPr>
            <w:tcW w:w="3545" w:type="dxa"/>
          </w:tcPr>
          <w:p w14:paraId="69227FCE" w14:textId="77777777" w:rsidR="00A47DEE" w:rsidRPr="006D06BC" w:rsidRDefault="00A47DEE" w:rsidP="00EE0E23">
            <w:pPr>
              <w:rPr>
                <w:rFonts w:asciiTheme="majorBidi" w:hAnsiTheme="majorBidi" w:cstheme="majorBidi"/>
                <w:sz w:val="18"/>
                <w:szCs w:val="18"/>
              </w:rPr>
            </w:pPr>
            <w:r w:rsidRPr="006D06BC">
              <w:rPr>
                <w:rFonts w:asciiTheme="majorBidi" w:hAnsiTheme="majorBidi" w:cstheme="majorBidi"/>
                <w:sz w:val="18"/>
                <w:szCs w:val="18"/>
              </w:rPr>
              <w:t>PFA (paralysie flasque aigüe)</w:t>
            </w:r>
          </w:p>
        </w:tc>
        <w:tc>
          <w:tcPr>
            <w:tcW w:w="1990" w:type="dxa"/>
          </w:tcPr>
          <w:p w14:paraId="6B8DFC7E"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55</w:t>
            </w:r>
          </w:p>
        </w:tc>
        <w:tc>
          <w:tcPr>
            <w:tcW w:w="1701" w:type="dxa"/>
          </w:tcPr>
          <w:p w14:paraId="411C6057"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w:t>
            </w:r>
          </w:p>
        </w:tc>
      </w:tr>
      <w:tr w:rsidR="00A47DEE" w:rsidRPr="00EE4BD3" w14:paraId="4D4D83B8" w14:textId="77777777" w:rsidTr="00EE0E23">
        <w:trPr>
          <w:jc w:val="center"/>
        </w:trPr>
        <w:tc>
          <w:tcPr>
            <w:tcW w:w="3545" w:type="dxa"/>
          </w:tcPr>
          <w:p w14:paraId="7BD20FEE" w14:textId="77777777" w:rsidR="00A47DEE" w:rsidRPr="006D06BC" w:rsidRDefault="00A47DEE" w:rsidP="00EE0E23">
            <w:pPr>
              <w:rPr>
                <w:rFonts w:asciiTheme="majorBidi" w:hAnsiTheme="majorBidi" w:cstheme="majorBidi"/>
                <w:sz w:val="18"/>
                <w:szCs w:val="18"/>
              </w:rPr>
            </w:pPr>
            <w:r w:rsidRPr="006D06BC">
              <w:rPr>
                <w:rFonts w:asciiTheme="majorBidi" w:hAnsiTheme="majorBidi" w:cstheme="majorBidi"/>
                <w:sz w:val="18"/>
                <w:szCs w:val="18"/>
              </w:rPr>
              <w:t>TNN (Tétanos néonatal)</w:t>
            </w:r>
          </w:p>
        </w:tc>
        <w:tc>
          <w:tcPr>
            <w:tcW w:w="1990" w:type="dxa"/>
          </w:tcPr>
          <w:p w14:paraId="44BA1678"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w:t>
            </w:r>
          </w:p>
        </w:tc>
        <w:tc>
          <w:tcPr>
            <w:tcW w:w="1701" w:type="dxa"/>
          </w:tcPr>
          <w:p w14:paraId="31FCE0EC"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w:t>
            </w:r>
          </w:p>
        </w:tc>
      </w:tr>
      <w:tr w:rsidR="00A47DEE" w:rsidRPr="00EE4BD3" w14:paraId="1C0A41EE" w14:textId="77777777" w:rsidTr="00EE0E23">
        <w:trPr>
          <w:jc w:val="center"/>
        </w:trPr>
        <w:tc>
          <w:tcPr>
            <w:tcW w:w="3545" w:type="dxa"/>
          </w:tcPr>
          <w:p w14:paraId="31C2F659" w14:textId="77777777" w:rsidR="00A47DEE" w:rsidRPr="006D06BC" w:rsidRDefault="00A47DEE" w:rsidP="00EE0E23">
            <w:pPr>
              <w:rPr>
                <w:rFonts w:asciiTheme="majorBidi" w:hAnsiTheme="majorBidi" w:cstheme="majorBidi"/>
                <w:sz w:val="18"/>
                <w:szCs w:val="18"/>
              </w:rPr>
            </w:pPr>
            <w:r w:rsidRPr="006D06BC">
              <w:rPr>
                <w:rFonts w:asciiTheme="majorBidi" w:hAnsiTheme="majorBidi" w:cstheme="majorBidi"/>
                <w:sz w:val="18"/>
                <w:szCs w:val="18"/>
              </w:rPr>
              <w:t>Coqueluche</w:t>
            </w:r>
          </w:p>
        </w:tc>
        <w:tc>
          <w:tcPr>
            <w:tcW w:w="1990" w:type="dxa"/>
          </w:tcPr>
          <w:p w14:paraId="1F717945"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26</w:t>
            </w:r>
          </w:p>
        </w:tc>
        <w:tc>
          <w:tcPr>
            <w:tcW w:w="1701" w:type="dxa"/>
          </w:tcPr>
          <w:p w14:paraId="5F4603BD"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w:t>
            </w:r>
          </w:p>
        </w:tc>
      </w:tr>
      <w:tr w:rsidR="00A47DEE" w:rsidRPr="00EE4BD3" w14:paraId="4AAC3F73" w14:textId="77777777" w:rsidTr="00EE0E23">
        <w:trPr>
          <w:jc w:val="center"/>
        </w:trPr>
        <w:tc>
          <w:tcPr>
            <w:tcW w:w="3545" w:type="dxa"/>
          </w:tcPr>
          <w:p w14:paraId="508FF9E3" w14:textId="77777777" w:rsidR="00A47DEE" w:rsidRPr="006D06BC" w:rsidRDefault="00A47DEE" w:rsidP="00EE0E23">
            <w:pPr>
              <w:rPr>
                <w:rFonts w:asciiTheme="majorBidi" w:hAnsiTheme="majorBidi" w:cstheme="majorBidi"/>
                <w:sz w:val="18"/>
                <w:szCs w:val="18"/>
              </w:rPr>
            </w:pPr>
            <w:r w:rsidRPr="006D06BC">
              <w:rPr>
                <w:rFonts w:asciiTheme="majorBidi" w:hAnsiTheme="majorBidi" w:cstheme="majorBidi"/>
                <w:sz w:val="18"/>
                <w:szCs w:val="18"/>
              </w:rPr>
              <w:t>FVR (fièvre vallée du Rift)</w:t>
            </w:r>
          </w:p>
        </w:tc>
        <w:tc>
          <w:tcPr>
            <w:tcW w:w="1990" w:type="dxa"/>
          </w:tcPr>
          <w:p w14:paraId="3E725CAC"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w:t>
            </w:r>
          </w:p>
        </w:tc>
        <w:tc>
          <w:tcPr>
            <w:tcW w:w="1701" w:type="dxa"/>
          </w:tcPr>
          <w:p w14:paraId="4459F8D8"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w:t>
            </w:r>
          </w:p>
        </w:tc>
      </w:tr>
      <w:tr w:rsidR="00A47DEE" w:rsidRPr="00EE4BD3" w14:paraId="31545E2C" w14:textId="77777777" w:rsidTr="00EE0E23">
        <w:trPr>
          <w:jc w:val="center"/>
        </w:trPr>
        <w:tc>
          <w:tcPr>
            <w:tcW w:w="3545" w:type="dxa"/>
          </w:tcPr>
          <w:p w14:paraId="4D0AF578" w14:textId="77777777" w:rsidR="00A47DEE" w:rsidRPr="006D06BC" w:rsidRDefault="00A47DEE" w:rsidP="00EE0E23">
            <w:pPr>
              <w:rPr>
                <w:rFonts w:asciiTheme="majorBidi" w:hAnsiTheme="majorBidi" w:cstheme="majorBidi"/>
                <w:sz w:val="18"/>
                <w:szCs w:val="18"/>
              </w:rPr>
            </w:pPr>
            <w:r w:rsidRPr="006D06BC">
              <w:rPr>
                <w:rFonts w:asciiTheme="majorBidi" w:hAnsiTheme="majorBidi" w:cstheme="majorBidi"/>
                <w:sz w:val="18"/>
                <w:szCs w:val="18"/>
              </w:rPr>
              <w:t>Dengue</w:t>
            </w:r>
          </w:p>
        </w:tc>
        <w:tc>
          <w:tcPr>
            <w:tcW w:w="1990" w:type="dxa"/>
          </w:tcPr>
          <w:p w14:paraId="3877DC81"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7</w:t>
            </w:r>
          </w:p>
        </w:tc>
        <w:tc>
          <w:tcPr>
            <w:tcW w:w="1701" w:type="dxa"/>
          </w:tcPr>
          <w:p w14:paraId="69530785"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7</w:t>
            </w:r>
          </w:p>
        </w:tc>
      </w:tr>
      <w:tr w:rsidR="00A47DEE" w:rsidRPr="00EE4BD3" w14:paraId="5AFCF5AC" w14:textId="77777777" w:rsidTr="00EE0E23">
        <w:trPr>
          <w:jc w:val="center"/>
        </w:trPr>
        <w:tc>
          <w:tcPr>
            <w:tcW w:w="3545" w:type="dxa"/>
          </w:tcPr>
          <w:p w14:paraId="0CAD8432" w14:textId="77777777" w:rsidR="00A47DEE" w:rsidRPr="006D06BC" w:rsidRDefault="00A47DEE" w:rsidP="00EE0E23">
            <w:pPr>
              <w:rPr>
                <w:rFonts w:asciiTheme="majorBidi" w:hAnsiTheme="majorBidi" w:cstheme="majorBidi"/>
                <w:sz w:val="18"/>
                <w:szCs w:val="18"/>
              </w:rPr>
            </w:pPr>
            <w:r w:rsidRPr="006D06BC">
              <w:rPr>
                <w:rFonts w:asciiTheme="majorBidi" w:hAnsiTheme="majorBidi" w:cstheme="majorBidi"/>
                <w:sz w:val="18"/>
                <w:szCs w:val="18"/>
              </w:rPr>
              <w:t>FHCC (fièvre hémorragique Crimée-Congo)</w:t>
            </w:r>
          </w:p>
        </w:tc>
        <w:tc>
          <w:tcPr>
            <w:tcW w:w="1990" w:type="dxa"/>
          </w:tcPr>
          <w:p w14:paraId="77B52D34"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w:t>
            </w:r>
          </w:p>
        </w:tc>
        <w:tc>
          <w:tcPr>
            <w:tcW w:w="1701" w:type="dxa"/>
          </w:tcPr>
          <w:p w14:paraId="7C94292F" w14:textId="77777777" w:rsidR="00A47DEE" w:rsidRPr="006D06BC" w:rsidRDefault="00A47DEE" w:rsidP="00EE0E23">
            <w:pPr>
              <w:jc w:val="center"/>
              <w:rPr>
                <w:rFonts w:asciiTheme="majorBidi" w:hAnsiTheme="majorBidi" w:cstheme="majorBidi"/>
                <w:sz w:val="18"/>
                <w:szCs w:val="18"/>
              </w:rPr>
            </w:pPr>
            <w:r w:rsidRPr="006D06BC">
              <w:rPr>
                <w:rFonts w:asciiTheme="majorBidi" w:hAnsiTheme="majorBidi" w:cstheme="majorBidi"/>
                <w:sz w:val="18"/>
                <w:szCs w:val="18"/>
              </w:rPr>
              <w:t>0</w:t>
            </w:r>
          </w:p>
        </w:tc>
      </w:tr>
    </w:tbl>
    <w:p w14:paraId="35699C3B" w14:textId="77777777" w:rsidR="00A47DEE" w:rsidRPr="0047467B" w:rsidRDefault="00A47DEE" w:rsidP="00A47DEE">
      <w:pPr>
        <w:spacing w:after="120"/>
        <w:jc w:val="center"/>
        <w:rPr>
          <w:rFonts w:asciiTheme="majorBidi" w:hAnsiTheme="majorBidi" w:cstheme="majorBidi"/>
          <w:color w:val="C00000"/>
          <w:sz w:val="32"/>
          <w:szCs w:val="32"/>
        </w:rPr>
      </w:pPr>
      <w:r w:rsidRPr="0047467B">
        <w:rPr>
          <w:rFonts w:asciiTheme="majorBidi" w:hAnsiTheme="majorBidi" w:cstheme="majorBidi"/>
          <w:b/>
          <w:bCs/>
          <w:i/>
          <w:iCs/>
          <w:sz w:val="20"/>
          <w:szCs w:val="20"/>
          <w:u w:val="single"/>
        </w:rPr>
        <w:t xml:space="preserve">Tableau 3 : Cas liés aux maladies sous surveillance épidémiologique 2019 </w:t>
      </w:r>
      <w:proofErr w:type="gramStart"/>
      <w:r w:rsidRPr="0047467B">
        <w:rPr>
          <w:rFonts w:asciiTheme="majorBidi" w:hAnsiTheme="majorBidi" w:cstheme="majorBidi"/>
          <w:b/>
          <w:bCs/>
          <w:i/>
          <w:iCs/>
          <w:sz w:val="20"/>
          <w:szCs w:val="20"/>
          <w:u w:val="single"/>
        </w:rPr>
        <w:t>( Source</w:t>
      </w:r>
      <w:proofErr w:type="gramEnd"/>
      <w:r w:rsidRPr="0047467B">
        <w:rPr>
          <w:rFonts w:asciiTheme="majorBidi" w:hAnsiTheme="majorBidi" w:cstheme="majorBidi"/>
          <w:b/>
          <w:bCs/>
          <w:i/>
          <w:iCs/>
          <w:sz w:val="20"/>
          <w:szCs w:val="20"/>
          <w:u w:val="single"/>
        </w:rPr>
        <w:t xml:space="preserve"> DISSE SITREP  2019</w:t>
      </w:r>
    </w:p>
    <w:p w14:paraId="2F9B479F" w14:textId="77777777" w:rsidR="00A47DEE" w:rsidRPr="00EE4BD3" w:rsidRDefault="00A47DEE" w:rsidP="00A47DEE">
      <w:pPr>
        <w:pStyle w:val="NormalWeb"/>
        <w:spacing w:before="0" w:beforeAutospacing="0" w:after="0" w:afterAutospacing="0"/>
        <w:jc w:val="center"/>
        <w:rPr>
          <w:rFonts w:asciiTheme="majorBidi" w:hAnsiTheme="majorBidi" w:cstheme="majorBidi"/>
          <w:i/>
          <w:iCs/>
          <w:sz w:val="14"/>
          <w:szCs w:val="14"/>
          <w:u w:val="single"/>
        </w:rPr>
      </w:pPr>
    </w:p>
    <w:p w14:paraId="73175D79" w14:textId="77777777" w:rsidR="00A47DEE" w:rsidRDefault="00A47DEE" w:rsidP="00A47DEE">
      <w:pPr>
        <w:jc w:val="both"/>
        <w:rPr>
          <w:rFonts w:asciiTheme="majorBidi" w:hAnsiTheme="majorBidi" w:cstheme="majorBidi"/>
        </w:rPr>
      </w:pPr>
      <w:r>
        <w:rPr>
          <w:rFonts w:asciiTheme="majorBidi" w:hAnsiTheme="majorBidi" w:cstheme="majorBidi"/>
        </w:rPr>
        <w:t>Malgré cette</w:t>
      </w:r>
      <w:r w:rsidRPr="005A5ACC">
        <w:rPr>
          <w:rFonts w:asciiTheme="majorBidi" w:hAnsiTheme="majorBidi" w:cstheme="majorBidi"/>
        </w:rPr>
        <w:t xml:space="preserve"> situation</w:t>
      </w:r>
      <w:r>
        <w:rPr>
          <w:rFonts w:asciiTheme="majorBidi" w:hAnsiTheme="majorBidi" w:cstheme="majorBidi"/>
        </w:rPr>
        <w:t xml:space="preserve">, des rapports et des données sont diffusés de manière systématique et le secteur est en cours de développer la plateforme DHIS2 pour l’accès unique à </w:t>
      </w:r>
      <w:r w:rsidRPr="005A5ACC">
        <w:rPr>
          <w:rFonts w:asciiTheme="majorBidi" w:hAnsiTheme="majorBidi" w:cstheme="majorBidi"/>
        </w:rPr>
        <w:t>l’information sanitaire</w:t>
      </w:r>
      <w:r>
        <w:rPr>
          <w:rFonts w:asciiTheme="majorBidi" w:hAnsiTheme="majorBidi" w:cstheme="majorBidi"/>
        </w:rPr>
        <w:t xml:space="preserve"> de la Mauritanie.</w:t>
      </w:r>
    </w:p>
    <w:p w14:paraId="6269EC6E" w14:textId="77777777" w:rsidR="00A47DEE" w:rsidRDefault="00A47DEE" w:rsidP="00A47DEE">
      <w:pPr>
        <w:jc w:val="both"/>
        <w:rPr>
          <w:rFonts w:asciiTheme="majorBidi" w:hAnsiTheme="majorBidi" w:cstheme="majorBidi"/>
        </w:rPr>
      </w:pPr>
    </w:p>
    <w:p w14:paraId="14A0335F" w14:textId="77777777" w:rsidR="00A47DEE" w:rsidRPr="005A5ACC" w:rsidRDefault="00A47DEE" w:rsidP="00A47DEE">
      <w:pPr>
        <w:jc w:val="both"/>
        <w:rPr>
          <w:rFonts w:asciiTheme="majorBidi" w:hAnsiTheme="majorBidi" w:cstheme="majorBidi"/>
          <w:sz w:val="16"/>
          <w:szCs w:val="16"/>
        </w:rPr>
      </w:pPr>
    </w:p>
    <w:p w14:paraId="60DF7D34" w14:textId="4599D9FF" w:rsidR="00A47DEE" w:rsidRPr="0047467B" w:rsidRDefault="00A47DEE" w:rsidP="00A47DEE">
      <w:pPr>
        <w:pStyle w:val="Paragraphedeliste"/>
        <w:numPr>
          <w:ilvl w:val="0"/>
          <w:numId w:val="397"/>
        </w:numPr>
        <w:autoSpaceDE w:val="0"/>
        <w:autoSpaceDN w:val="0"/>
        <w:adjustRightInd w:val="0"/>
        <w:ind w:left="426" w:hanging="426"/>
        <w:rPr>
          <w:rFonts w:asciiTheme="majorBidi" w:hAnsiTheme="majorBidi" w:cstheme="majorBidi"/>
          <w:color w:val="000000"/>
          <w:u w:val="single"/>
        </w:rPr>
      </w:pPr>
      <w:r w:rsidRPr="0047467B">
        <w:rPr>
          <w:rFonts w:asciiTheme="majorBidi" w:hAnsiTheme="majorBidi" w:cstheme="majorBidi"/>
          <w:b/>
          <w:bCs/>
          <w:color w:val="000000"/>
          <w:sz w:val="28"/>
          <w:szCs w:val="28"/>
          <w:u w:val="single"/>
        </w:rPr>
        <w:t xml:space="preserve">Vulnérabilité du secteur de santé </w:t>
      </w:r>
      <w:r w:rsidR="00F5618E">
        <w:rPr>
          <w:rFonts w:asciiTheme="majorBidi" w:hAnsiTheme="majorBidi" w:cstheme="majorBidi"/>
          <w:b/>
          <w:bCs/>
          <w:color w:val="000000"/>
          <w:sz w:val="28"/>
          <w:szCs w:val="28"/>
          <w:u w:val="single"/>
        </w:rPr>
        <w:t xml:space="preserve">y compris au changement </w:t>
      </w:r>
      <w:proofErr w:type="gramStart"/>
      <w:r w:rsidR="00F5618E">
        <w:rPr>
          <w:rFonts w:asciiTheme="majorBidi" w:hAnsiTheme="majorBidi" w:cstheme="majorBidi"/>
          <w:b/>
          <w:bCs/>
          <w:color w:val="000000"/>
          <w:sz w:val="28"/>
          <w:szCs w:val="28"/>
          <w:u w:val="single"/>
        </w:rPr>
        <w:t>climatique</w:t>
      </w:r>
      <w:r w:rsidRPr="0047467B">
        <w:rPr>
          <w:rFonts w:asciiTheme="majorBidi" w:hAnsiTheme="majorBidi" w:cstheme="majorBidi"/>
          <w:color w:val="000000"/>
          <w:u w:val="single"/>
        </w:rPr>
        <w:t>:</w:t>
      </w:r>
      <w:proofErr w:type="gramEnd"/>
    </w:p>
    <w:p w14:paraId="78D32ED8" w14:textId="77777777" w:rsidR="00A47DEE" w:rsidRPr="006D3FB2" w:rsidRDefault="00A47DEE" w:rsidP="00A47DEE">
      <w:pPr>
        <w:autoSpaceDE w:val="0"/>
        <w:autoSpaceDN w:val="0"/>
        <w:adjustRightInd w:val="0"/>
        <w:rPr>
          <w:rFonts w:asciiTheme="majorBidi" w:hAnsiTheme="majorBidi" w:cstheme="majorBidi"/>
          <w:i/>
          <w:iCs/>
          <w:color w:val="000000"/>
          <w:sz w:val="14"/>
          <w:szCs w:val="14"/>
          <w:u w:val="single"/>
        </w:rPr>
      </w:pPr>
    </w:p>
    <w:p w14:paraId="58B91771" w14:textId="77777777" w:rsidR="00A47DEE" w:rsidRPr="00EE4BD3" w:rsidRDefault="00A47DEE" w:rsidP="00A47DEE">
      <w:pPr>
        <w:spacing w:after="120"/>
        <w:jc w:val="both"/>
        <w:rPr>
          <w:rFonts w:asciiTheme="majorBidi" w:hAnsiTheme="majorBidi" w:cstheme="majorBidi"/>
        </w:rPr>
      </w:pPr>
      <w:r w:rsidRPr="00EE4BD3">
        <w:rPr>
          <w:rFonts w:asciiTheme="majorBidi" w:hAnsiTheme="majorBidi" w:cstheme="majorBidi"/>
        </w:rPr>
        <w:t xml:space="preserve">De 2018 à nos jours, la Mauritanie a été confrontée régulièrement à des épidémies de rougeole, de fièvre de la vallée de rift, fièvre Crimée Congo, dengue, grippe saisonnière et récemment l’épidémie de la COVID-19. </w:t>
      </w:r>
      <w:r w:rsidRPr="00EE4BD3">
        <w:rPr>
          <w:rFonts w:asciiTheme="majorBidi" w:eastAsia="Times New Roman" w:hAnsiTheme="majorBidi" w:cstheme="majorBidi"/>
          <w:lang w:eastAsia="fr-FR"/>
        </w:rPr>
        <w:t xml:space="preserve">En 2021 le secteur de la santé a réalisé une évaluation des risques pour la préparation et la réponse aux urgences sanitaires en Mauritanie. Ce processus </w:t>
      </w:r>
      <w:r w:rsidRPr="00EE4BD3">
        <w:rPr>
          <w:rFonts w:asciiTheme="majorBidi" w:hAnsiTheme="majorBidi" w:cstheme="majorBidi"/>
        </w:rPr>
        <w:t xml:space="preserve">commence par l'identification des risques prioritaires puis la mise en place d’un dispositif de préparation nécessaire à leur gestion. </w:t>
      </w:r>
    </w:p>
    <w:p w14:paraId="4FC5375F" w14:textId="77777777" w:rsidR="00A47DEE" w:rsidRPr="00EE4BD3" w:rsidRDefault="00A47DEE" w:rsidP="00A47DEE">
      <w:pPr>
        <w:spacing w:after="120"/>
        <w:jc w:val="both"/>
        <w:rPr>
          <w:rFonts w:asciiTheme="majorBidi" w:hAnsiTheme="majorBidi" w:cstheme="majorBidi"/>
        </w:rPr>
      </w:pPr>
      <w:r w:rsidRPr="00EE4BD3">
        <w:rPr>
          <w:rFonts w:asciiTheme="majorBidi" w:hAnsiTheme="majorBidi" w:cstheme="majorBidi"/>
        </w:rPr>
        <w:t xml:space="preserve">Depuis 2016, l'OMS, avec l'outil stratégique pour l'évaluation des risques (STAR : Strategic Tool for Assessing Risk), a appuyé 21 pays dont la Mauritanie pour déterminer leurs profils de risque sanitaire ; et examiner ces risques actuels de Santé Publique en Mauritanie en vue d’identifier ceux qui doivent faire l'objet d'une action de préparation prioritaire. Cet exercice a été basé sur l’identification de différentes situations du changement climatique en Mauritanie (températures et vagues de chaleur, inondations, sécheresse, élévation du niveau de la mer et érosion côtière…etc.), leurs conséquences, échelle et exposition avec l’identification de la probabilité de l’événement et sa saisonnalité. </w:t>
      </w:r>
    </w:p>
    <w:p w14:paraId="5BEA11E0" w14:textId="77777777" w:rsidR="00A47DEE" w:rsidRPr="00EE4BD3" w:rsidRDefault="00A47DEE" w:rsidP="00A47DEE">
      <w:pPr>
        <w:pStyle w:val="Normal2GC"/>
        <w:rPr>
          <w:rFonts w:asciiTheme="majorBidi" w:eastAsia="Times New Roman" w:hAnsiTheme="majorBidi" w:cstheme="majorBidi"/>
          <w:color w:val="auto"/>
          <w:lang w:val="fr-FR" w:eastAsia="fr-FR"/>
        </w:rPr>
      </w:pPr>
      <w:r w:rsidRPr="00EE4BD3">
        <w:rPr>
          <w:rFonts w:asciiTheme="majorBidi" w:hAnsiTheme="majorBidi" w:cstheme="majorBidi"/>
          <w:color w:val="auto"/>
          <w:lang w:val="fr-FR"/>
        </w:rPr>
        <w:t xml:space="preserve">Et par la suite la détermination du niveau du risque ; leur </w:t>
      </w:r>
      <w:r>
        <w:rPr>
          <w:rFonts w:asciiTheme="majorBidi" w:hAnsiTheme="majorBidi" w:cstheme="majorBidi"/>
          <w:color w:val="auto"/>
          <w:lang w:val="fr-FR"/>
        </w:rPr>
        <w:t>g</w:t>
      </w:r>
      <w:r w:rsidRPr="00EE4BD3">
        <w:rPr>
          <w:rFonts w:asciiTheme="majorBidi" w:hAnsiTheme="majorBidi" w:cstheme="majorBidi"/>
          <w:color w:val="auto"/>
          <w:lang w:val="fr-FR"/>
        </w:rPr>
        <w:t xml:space="preserve">ravité et </w:t>
      </w:r>
      <w:r w:rsidRPr="00EE4BD3">
        <w:rPr>
          <w:rFonts w:asciiTheme="majorBidi" w:eastAsia="Times New Roman" w:hAnsiTheme="majorBidi" w:cstheme="majorBidi"/>
          <w:color w:val="auto"/>
          <w:lang w:val="fr-FR" w:eastAsia="fr-FR"/>
        </w:rPr>
        <w:t xml:space="preserve">l’évaluation de la vulnérabilité selon des facteurs généralement liés à la communauté, et au système de santé avec un score de vulnérabilité (très élevé, élevé,  modéré,  faible , très faible); et l’évaluation de la capacité d’adaptation pouvant réduire les risques de catastrophe et renforcer la résilience avec un score précis (très élevé,  élevé,  modéré,  faible,  très faible) (source Matrice des Risques Mauritanie Rapport Evaluation STAR MR 2021). </w:t>
      </w:r>
    </w:p>
    <w:p w14:paraId="3DBC9A76" w14:textId="77777777" w:rsidR="00A47DEE" w:rsidRPr="00EE4BD3" w:rsidRDefault="00A47DEE" w:rsidP="00A47DEE">
      <w:pPr>
        <w:pStyle w:val="Normal2GC"/>
        <w:rPr>
          <w:rFonts w:asciiTheme="majorBidi" w:hAnsiTheme="majorBidi" w:cstheme="majorBidi"/>
          <w:color w:val="auto"/>
          <w:lang w:val="fr-FR"/>
        </w:rPr>
      </w:pPr>
      <w:r w:rsidRPr="00EE4BD3">
        <w:rPr>
          <w:rFonts w:asciiTheme="majorBidi" w:hAnsiTheme="majorBidi" w:cstheme="majorBidi"/>
          <w:color w:val="auto"/>
          <w:lang w:val="fr-FR"/>
        </w:rPr>
        <w:t xml:space="preserve">Figure </w:t>
      </w:r>
      <w:r>
        <w:rPr>
          <w:rFonts w:asciiTheme="majorBidi" w:hAnsiTheme="majorBidi" w:cstheme="majorBidi"/>
          <w:color w:val="auto"/>
          <w:lang w:val="fr-FR"/>
        </w:rPr>
        <w:t>5</w:t>
      </w:r>
      <w:r w:rsidRPr="00EE4BD3">
        <w:rPr>
          <w:rFonts w:asciiTheme="majorBidi" w:hAnsiTheme="majorBidi" w:cstheme="majorBidi"/>
          <w:color w:val="auto"/>
          <w:lang w:val="fr-FR"/>
        </w:rPr>
        <w:t xml:space="preserve"> ci-dessous donne une récapitulative de niveau des risques et leurs Maladies comme suit : </w:t>
      </w:r>
    </w:p>
    <w:p w14:paraId="077E83C7" w14:textId="77777777" w:rsidR="00A47DEE" w:rsidRPr="00EE4BD3" w:rsidRDefault="00A47DEE" w:rsidP="00A47DEE">
      <w:pPr>
        <w:pStyle w:val="Normal2GC"/>
        <w:numPr>
          <w:ilvl w:val="0"/>
          <w:numId w:val="418"/>
        </w:numPr>
        <w:spacing w:after="0"/>
        <w:ind w:left="714" w:hanging="357"/>
        <w:rPr>
          <w:rFonts w:asciiTheme="majorBidi" w:hAnsiTheme="majorBidi" w:cstheme="majorBidi"/>
          <w:color w:val="auto"/>
          <w:lang w:val="fr-FR"/>
        </w:rPr>
      </w:pPr>
      <w:r w:rsidRPr="00EE4BD3">
        <w:rPr>
          <w:rFonts w:asciiTheme="majorBidi" w:hAnsiTheme="majorBidi" w:cstheme="majorBidi"/>
          <w:color w:val="auto"/>
          <w:lang w:val="fr-FR"/>
        </w:rPr>
        <w:t xml:space="preserve">Risques très élevés : Dengue, TB multi résistante, Covid-19 ; </w:t>
      </w:r>
    </w:p>
    <w:p w14:paraId="1B9213C8" w14:textId="77777777" w:rsidR="00A47DEE" w:rsidRPr="00EE4BD3" w:rsidRDefault="00A47DEE" w:rsidP="00A47DEE">
      <w:pPr>
        <w:pStyle w:val="Normal2GC"/>
        <w:numPr>
          <w:ilvl w:val="0"/>
          <w:numId w:val="418"/>
        </w:numPr>
        <w:spacing w:after="0"/>
        <w:ind w:left="714" w:hanging="357"/>
        <w:rPr>
          <w:rFonts w:asciiTheme="majorBidi" w:hAnsiTheme="majorBidi" w:cstheme="majorBidi"/>
          <w:color w:val="auto"/>
          <w:lang w:val="fr-FR"/>
        </w:rPr>
      </w:pPr>
      <w:r w:rsidRPr="00EE4BD3">
        <w:rPr>
          <w:rFonts w:asciiTheme="majorBidi" w:hAnsiTheme="majorBidi" w:cstheme="majorBidi"/>
          <w:color w:val="auto"/>
          <w:lang w:val="fr-FR"/>
        </w:rPr>
        <w:t xml:space="preserve">Risques élevés : déchets liquides et solides, températures extrêmes et canicule, vols et agression dans les grandes villes ; hépatite B ; Résistance Anti Microbienne, </w:t>
      </w:r>
    </w:p>
    <w:p w14:paraId="4E0D92C2" w14:textId="77777777" w:rsidR="00A47DEE" w:rsidRPr="00EE4BD3" w:rsidRDefault="00A47DEE" w:rsidP="00A47DEE">
      <w:pPr>
        <w:pStyle w:val="Normal2GC"/>
        <w:numPr>
          <w:ilvl w:val="0"/>
          <w:numId w:val="418"/>
        </w:numPr>
        <w:spacing w:after="0"/>
        <w:ind w:left="714" w:hanging="357"/>
        <w:rPr>
          <w:rFonts w:asciiTheme="majorBidi" w:hAnsiTheme="majorBidi" w:cstheme="majorBidi"/>
          <w:color w:val="auto"/>
          <w:lang w:val="fr-FR"/>
        </w:rPr>
      </w:pPr>
      <w:r w:rsidRPr="00EE4BD3">
        <w:rPr>
          <w:rFonts w:asciiTheme="majorBidi" w:hAnsiTheme="majorBidi" w:cstheme="majorBidi"/>
          <w:color w:val="auto"/>
          <w:lang w:val="fr-FR"/>
        </w:rPr>
        <w:t xml:space="preserve">Risques modérés : feux de brousse, choléra, fièvre hémorragique Crimée-Congo, pollution atmosphérique ;  </w:t>
      </w:r>
    </w:p>
    <w:p w14:paraId="79C3F1AB" w14:textId="77777777" w:rsidR="00A47DEE" w:rsidRPr="00EE4BD3" w:rsidRDefault="00A47DEE" w:rsidP="00A47DEE">
      <w:pPr>
        <w:pStyle w:val="Normal2GC"/>
        <w:numPr>
          <w:ilvl w:val="0"/>
          <w:numId w:val="418"/>
        </w:numPr>
        <w:spacing w:after="0"/>
        <w:ind w:left="714" w:hanging="357"/>
        <w:rPr>
          <w:rFonts w:asciiTheme="majorBidi" w:hAnsiTheme="majorBidi" w:cstheme="majorBidi"/>
          <w:color w:val="auto"/>
          <w:lang w:val="fr-FR"/>
        </w:rPr>
      </w:pPr>
      <w:r w:rsidRPr="00EE4BD3">
        <w:rPr>
          <w:rFonts w:asciiTheme="majorBidi" w:hAnsiTheme="majorBidi" w:cstheme="majorBidi"/>
          <w:color w:val="auto"/>
          <w:lang w:val="fr-FR"/>
        </w:rPr>
        <w:t xml:space="preserve">Risques faibles : troubles sociaux divers, tempêtes et vent violents, naufrage des bateaux ; </w:t>
      </w:r>
    </w:p>
    <w:p w14:paraId="6D1B1B1D" w14:textId="77777777" w:rsidR="00A47DEE" w:rsidRPr="00EE4BD3" w:rsidRDefault="00A47DEE" w:rsidP="00A47DEE">
      <w:pPr>
        <w:pStyle w:val="Normal2GC"/>
        <w:numPr>
          <w:ilvl w:val="0"/>
          <w:numId w:val="418"/>
        </w:numPr>
        <w:rPr>
          <w:rFonts w:asciiTheme="majorBidi" w:hAnsiTheme="majorBidi" w:cstheme="majorBidi"/>
          <w:color w:val="auto"/>
          <w:lang w:val="fr-FR"/>
        </w:rPr>
      </w:pPr>
      <w:r w:rsidRPr="00EE4BD3">
        <w:rPr>
          <w:rFonts w:asciiTheme="majorBidi" w:hAnsiTheme="majorBidi" w:cstheme="majorBidi"/>
          <w:color w:val="auto"/>
          <w:lang w:val="fr-FR"/>
        </w:rPr>
        <w:t xml:space="preserve">Risques très faibles : déversements des produits chimiques et fuites de gaz, vagues de froid et conflits armés, attentats et terrorisme. </w:t>
      </w:r>
    </w:p>
    <w:p w14:paraId="43EC1A40" w14:textId="77777777" w:rsidR="00A47DEE" w:rsidRPr="00EE4BD3" w:rsidRDefault="00A47DEE" w:rsidP="00A47DEE">
      <w:pPr>
        <w:pStyle w:val="Normal2GC"/>
        <w:spacing w:after="0"/>
        <w:jc w:val="center"/>
        <w:rPr>
          <w:rFonts w:asciiTheme="majorBidi" w:hAnsiTheme="majorBidi" w:cstheme="majorBidi"/>
          <w:color w:val="auto"/>
          <w:lang w:val="fr-FR"/>
        </w:rPr>
      </w:pPr>
      <w:r w:rsidRPr="00EE4BD3">
        <w:rPr>
          <w:rFonts w:asciiTheme="majorBidi" w:hAnsiTheme="majorBidi" w:cstheme="majorBidi"/>
          <w:noProof/>
          <w:color w:val="auto"/>
          <w:lang w:val="fr-FR"/>
        </w:rPr>
        <w:drawing>
          <wp:inline distT="0" distB="0" distL="0" distR="0" wp14:anchorId="12D762C1" wp14:editId="6BF42EF2">
            <wp:extent cx="6183858" cy="3126740"/>
            <wp:effectExtent l="19050" t="19050" r="26670" b="16510"/>
            <wp:docPr id="167220405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237713" cy="3153971"/>
                    </a:xfrm>
                    <a:prstGeom prst="rect">
                      <a:avLst/>
                    </a:prstGeom>
                    <a:noFill/>
                    <a:ln>
                      <a:solidFill>
                        <a:schemeClr val="tx1"/>
                      </a:solidFill>
                    </a:ln>
                  </pic:spPr>
                </pic:pic>
              </a:graphicData>
            </a:graphic>
          </wp:inline>
        </w:drawing>
      </w:r>
    </w:p>
    <w:p w14:paraId="53B7E6AF" w14:textId="77777777" w:rsidR="00A47DEE" w:rsidRPr="00EE4BD3" w:rsidRDefault="00A47DEE" w:rsidP="00A47DEE">
      <w:pPr>
        <w:autoSpaceDE w:val="0"/>
        <w:autoSpaceDN w:val="0"/>
        <w:adjustRightInd w:val="0"/>
        <w:jc w:val="center"/>
        <w:rPr>
          <w:rFonts w:asciiTheme="majorBidi" w:hAnsiTheme="majorBidi" w:cstheme="majorBidi"/>
          <w:b/>
          <w:bCs/>
          <w:i/>
          <w:iCs/>
          <w:color w:val="000000"/>
          <w:sz w:val="16"/>
          <w:szCs w:val="16"/>
          <w:u w:val="single"/>
        </w:rPr>
      </w:pPr>
      <w:r w:rsidRPr="00EE4BD3">
        <w:rPr>
          <w:rFonts w:asciiTheme="majorBidi" w:hAnsiTheme="majorBidi" w:cstheme="majorBidi"/>
          <w:b/>
          <w:bCs/>
          <w:i/>
          <w:iCs/>
          <w:color w:val="000000"/>
          <w:sz w:val="16"/>
          <w:szCs w:val="16"/>
          <w:u w:val="single"/>
        </w:rPr>
        <w:t xml:space="preserve">Figure </w:t>
      </w:r>
      <w:r>
        <w:rPr>
          <w:rFonts w:asciiTheme="majorBidi" w:hAnsiTheme="majorBidi" w:cstheme="majorBidi"/>
          <w:b/>
          <w:bCs/>
          <w:i/>
          <w:iCs/>
          <w:color w:val="000000"/>
          <w:sz w:val="16"/>
          <w:szCs w:val="16"/>
          <w:u w:val="single"/>
        </w:rPr>
        <w:t>5</w:t>
      </w:r>
      <w:r w:rsidRPr="00EE4BD3">
        <w:rPr>
          <w:rFonts w:asciiTheme="majorBidi" w:hAnsiTheme="majorBidi" w:cstheme="majorBidi"/>
          <w:b/>
          <w:bCs/>
          <w:i/>
          <w:iCs/>
          <w:color w:val="000000"/>
          <w:sz w:val="16"/>
          <w:szCs w:val="16"/>
          <w:u w:val="single"/>
        </w:rPr>
        <w:t xml:space="preserve"> : Matrice des Risques </w:t>
      </w:r>
      <w:proofErr w:type="gramStart"/>
      <w:r w:rsidRPr="00EE4BD3">
        <w:rPr>
          <w:rFonts w:asciiTheme="majorBidi" w:hAnsiTheme="majorBidi" w:cstheme="majorBidi"/>
          <w:b/>
          <w:bCs/>
          <w:i/>
          <w:iCs/>
          <w:color w:val="000000"/>
          <w:sz w:val="16"/>
          <w:szCs w:val="16"/>
          <w:u w:val="single"/>
        </w:rPr>
        <w:t>Sanitaire  en</w:t>
      </w:r>
      <w:proofErr w:type="gramEnd"/>
      <w:r w:rsidRPr="00EE4BD3">
        <w:rPr>
          <w:rFonts w:asciiTheme="majorBidi" w:hAnsiTheme="majorBidi" w:cstheme="majorBidi"/>
          <w:b/>
          <w:bCs/>
          <w:i/>
          <w:iCs/>
          <w:color w:val="000000"/>
          <w:sz w:val="16"/>
          <w:szCs w:val="16"/>
          <w:u w:val="single"/>
        </w:rPr>
        <w:t xml:space="preserve"> Mauritanie 2021 (source Rapport de L’Evaluation des risques pour la préparation aux urgences sanitaires en Mauritanie 2021)</w:t>
      </w:r>
    </w:p>
    <w:p w14:paraId="5119B4D2" w14:textId="77777777" w:rsidR="00A47DEE" w:rsidRPr="00EE4BD3" w:rsidRDefault="00A47DEE" w:rsidP="00A47DEE">
      <w:pPr>
        <w:autoSpaceDE w:val="0"/>
        <w:autoSpaceDN w:val="0"/>
        <w:adjustRightInd w:val="0"/>
        <w:jc w:val="center"/>
        <w:rPr>
          <w:rFonts w:asciiTheme="majorBidi" w:hAnsiTheme="majorBidi" w:cstheme="majorBidi"/>
          <w:b/>
          <w:bCs/>
          <w:i/>
          <w:iCs/>
          <w:color w:val="000000"/>
          <w:sz w:val="16"/>
          <w:szCs w:val="16"/>
          <w:u w:val="single"/>
        </w:rPr>
      </w:pPr>
    </w:p>
    <w:p w14:paraId="623AAFAF" w14:textId="77777777" w:rsidR="00A47DEE" w:rsidRPr="006D06BC" w:rsidRDefault="00A47DEE" w:rsidP="00A47DEE">
      <w:pPr>
        <w:autoSpaceDE w:val="0"/>
        <w:autoSpaceDN w:val="0"/>
        <w:adjustRightInd w:val="0"/>
        <w:rPr>
          <w:rFonts w:asciiTheme="majorBidi" w:hAnsiTheme="majorBidi" w:cstheme="majorBidi"/>
          <w:sz w:val="14"/>
          <w:szCs w:val="14"/>
          <w:lang w:eastAsia="de-DE"/>
        </w:rPr>
      </w:pPr>
    </w:p>
    <w:p w14:paraId="0072ACC9" w14:textId="77777777" w:rsidR="00A47DEE" w:rsidRPr="00C16BBD" w:rsidRDefault="00A47DEE" w:rsidP="00A47DEE">
      <w:pPr>
        <w:autoSpaceDE w:val="0"/>
        <w:autoSpaceDN w:val="0"/>
        <w:adjustRightInd w:val="0"/>
        <w:rPr>
          <w:sz w:val="8"/>
          <w:szCs w:val="8"/>
        </w:rPr>
      </w:pPr>
    </w:p>
    <w:p w14:paraId="4A5B5730" w14:textId="77777777" w:rsidR="00A47DEE" w:rsidRPr="0047467B" w:rsidRDefault="00A47DEE" w:rsidP="00A47DEE">
      <w:pPr>
        <w:pStyle w:val="Paragraphedeliste"/>
        <w:numPr>
          <w:ilvl w:val="0"/>
          <w:numId w:val="397"/>
        </w:numPr>
        <w:autoSpaceDE w:val="0"/>
        <w:autoSpaceDN w:val="0"/>
        <w:adjustRightInd w:val="0"/>
        <w:ind w:left="426" w:hanging="426"/>
        <w:rPr>
          <w:rFonts w:asciiTheme="majorBidi" w:hAnsiTheme="majorBidi" w:cstheme="majorBidi"/>
          <w:color w:val="000000"/>
          <w:u w:val="single"/>
        </w:rPr>
      </w:pPr>
      <w:r w:rsidRPr="0047467B">
        <w:rPr>
          <w:rFonts w:asciiTheme="majorBidi" w:hAnsiTheme="majorBidi" w:cstheme="majorBidi"/>
          <w:b/>
          <w:bCs/>
          <w:color w:val="000000"/>
          <w:sz w:val="28"/>
          <w:szCs w:val="28"/>
          <w:u w:val="single"/>
        </w:rPr>
        <w:t xml:space="preserve">Effets du changement climatique sur la santé :  </w:t>
      </w:r>
    </w:p>
    <w:p w14:paraId="2421F85F" w14:textId="77777777" w:rsidR="00A47DEE" w:rsidRDefault="00A47DEE" w:rsidP="00A47DEE">
      <w:pPr>
        <w:autoSpaceDE w:val="0"/>
        <w:autoSpaceDN w:val="0"/>
        <w:adjustRightInd w:val="0"/>
        <w:jc w:val="both"/>
        <w:rPr>
          <w:rFonts w:asciiTheme="majorBidi" w:hAnsiTheme="majorBidi" w:cstheme="majorBidi"/>
        </w:rPr>
      </w:pPr>
      <w:r w:rsidRPr="006D3FB2">
        <w:rPr>
          <w:rFonts w:asciiTheme="majorBidi" w:hAnsiTheme="majorBidi" w:cstheme="majorBidi"/>
          <w:lang w:eastAsia="de-DE"/>
        </w:rPr>
        <w:t>Le secteur de la santé s’est engagé dans son Plan sectori</w:t>
      </w:r>
      <w:r>
        <w:rPr>
          <w:rFonts w:asciiTheme="majorBidi" w:hAnsiTheme="majorBidi" w:cstheme="majorBidi"/>
          <w:lang w:eastAsia="de-DE"/>
        </w:rPr>
        <w:t>e</w:t>
      </w:r>
      <w:r w:rsidRPr="006D3FB2">
        <w:rPr>
          <w:rFonts w:asciiTheme="majorBidi" w:hAnsiTheme="majorBidi" w:cstheme="majorBidi"/>
          <w:lang w:eastAsia="de-DE"/>
        </w:rPr>
        <w:t xml:space="preserve">l santé de la mise en œuvre de </w:t>
      </w:r>
      <w:r>
        <w:rPr>
          <w:rFonts w:asciiTheme="majorBidi" w:hAnsiTheme="majorBidi" w:cstheme="majorBidi"/>
          <w:lang w:eastAsia="de-DE"/>
        </w:rPr>
        <w:t xml:space="preserve">la </w:t>
      </w:r>
      <w:r w:rsidRPr="006D3FB2">
        <w:rPr>
          <w:rFonts w:asciiTheme="majorBidi" w:hAnsiTheme="majorBidi" w:cstheme="majorBidi"/>
          <w:lang w:eastAsia="de-DE"/>
        </w:rPr>
        <w:t>CDN Mauritanie</w:t>
      </w:r>
      <w:r>
        <w:rPr>
          <w:rFonts w:asciiTheme="majorBidi" w:hAnsiTheme="majorBidi" w:cstheme="majorBidi"/>
          <w:lang w:eastAsia="de-DE"/>
        </w:rPr>
        <w:t xml:space="preserve"> 2023</w:t>
      </w:r>
      <w:r w:rsidRPr="006D3FB2">
        <w:rPr>
          <w:rFonts w:asciiTheme="majorBidi" w:hAnsiTheme="majorBidi" w:cstheme="majorBidi"/>
          <w:lang w:eastAsia="de-DE"/>
        </w:rPr>
        <w:t xml:space="preserve"> </w:t>
      </w:r>
      <w:r>
        <w:rPr>
          <w:rFonts w:asciiTheme="majorBidi" w:hAnsiTheme="majorBidi" w:cstheme="majorBidi"/>
          <w:lang w:eastAsia="de-DE"/>
        </w:rPr>
        <w:t>à</w:t>
      </w:r>
      <w:r w:rsidRPr="006D3FB2">
        <w:rPr>
          <w:rFonts w:asciiTheme="majorBidi" w:hAnsiTheme="majorBidi" w:cstheme="majorBidi"/>
          <w:lang w:eastAsia="de-DE"/>
        </w:rPr>
        <w:t xml:space="preserve"> d</w:t>
      </w:r>
      <w:r w:rsidRPr="002F6759">
        <w:rPr>
          <w:rFonts w:asciiTheme="majorBidi" w:hAnsiTheme="majorBidi" w:cstheme="majorBidi"/>
          <w:lang w:eastAsia="de-DE"/>
        </w:rPr>
        <w:t>évelopper un système de santé durable et sobre en Carbone</w:t>
      </w:r>
      <w:r w:rsidRPr="006D3FB2">
        <w:rPr>
          <w:rFonts w:asciiTheme="majorBidi" w:hAnsiTheme="majorBidi" w:cstheme="majorBidi"/>
          <w:lang w:eastAsia="de-DE"/>
        </w:rPr>
        <w:t>, de d</w:t>
      </w:r>
      <w:r w:rsidRPr="002F6759">
        <w:rPr>
          <w:rFonts w:asciiTheme="majorBidi" w:hAnsiTheme="majorBidi" w:cstheme="majorBidi"/>
          <w:lang w:eastAsia="de-DE"/>
        </w:rPr>
        <w:t>émunie  le nombre  de décès dus à la fréquences des épidémies  et à des évènements climatiques extrêmes</w:t>
      </w:r>
      <w:r w:rsidRPr="006D3FB2">
        <w:rPr>
          <w:rFonts w:asciiTheme="majorBidi" w:hAnsiTheme="majorBidi" w:cstheme="majorBidi"/>
          <w:lang w:eastAsia="de-DE"/>
        </w:rPr>
        <w:t>, d’i</w:t>
      </w:r>
      <w:r w:rsidRPr="002F6759">
        <w:rPr>
          <w:rFonts w:asciiTheme="majorBidi" w:hAnsiTheme="majorBidi" w:cstheme="majorBidi"/>
          <w:lang w:eastAsia="de-DE"/>
        </w:rPr>
        <w:t xml:space="preserve">ntensifier l’adaptation du PNDS au  </w:t>
      </w:r>
      <w:r w:rsidRPr="006D3FB2">
        <w:rPr>
          <w:rFonts w:asciiTheme="majorBidi" w:hAnsiTheme="majorBidi" w:cstheme="majorBidi"/>
          <w:lang w:eastAsia="de-DE"/>
        </w:rPr>
        <w:t xml:space="preserve">changement climatique, et de </w:t>
      </w:r>
      <w:r>
        <w:rPr>
          <w:rFonts w:asciiTheme="majorBidi" w:hAnsiTheme="majorBidi" w:cstheme="majorBidi"/>
          <w:lang w:eastAsia="de-DE"/>
        </w:rPr>
        <w:t>développer ou initier</w:t>
      </w:r>
      <w:r w:rsidRPr="006D3FB2">
        <w:rPr>
          <w:rFonts w:asciiTheme="majorBidi" w:hAnsiTheme="majorBidi" w:cstheme="majorBidi"/>
          <w:lang w:eastAsia="de-DE"/>
        </w:rPr>
        <w:t xml:space="preserve"> des </w:t>
      </w:r>
      <w:r w:rsidRPr="006D3FB2">
        <w:rPr>
          <w:rFonts w:asciiTheme="majorBidi" w:hAnsiTheme="majorBidi" w:cstheme="majorBidi"/>
        </w:rPr>
        <w:t xml:space="preserve">actions d’adaptation selon les maladies dans les différentes zones tout en identifient les </w:t>
      </w:r>
      <w:r>
        <w:rPr>
          <w:rFonts w:asciiTheme="majorBidi" w:hAnsiTheme="majorBidi" w:cstheme="majorBidi"/>
        </w:rPr>
        <w:t>six</w:t>
      </w:r>
      <w:r w:rsidRPr="006D3FB2">
        <w:rPr>
          <w:rFonts w:asciiTheme="majorBidi" w:hAnsiTheme="majorBidi" w:cstheme="majorBidi"/>
        </w:rPr>
        <w:t xml:space="preserve"> grandes catégories de problèmes de santé sensibles au climat. Le Tableau 4 présente </w:t>
      </w:r>
      <w:r>
        <w:rPr>
          <w:rFonts w:asciiTheme="majorBidi" w:hAnsiTheme="majorBidi" w:cstheme="majorBidi"/>
        </w:rPr>
        <w:t xml:space="preserve">quatre </w:t>
      </w:r>
      <w:r w:rsidRPr="006D3FB2">
        <w:rPr>
          <w:rFonts w:asciiTheme="majorBidi" w:hAnsiTheme="majorBidi" w:cstheme="majorBidi"/>
        </w:rPr>
        <w:t xml:space="preserve">catégories d’actions d’adaptation proposé par le secteur de la santé selon les 4 principaux aléas climatiques et ces six catégories de maladies prioritaires sensibles au climat en Mauritanie comme suit : </w:t>
      </w:r>
    </w:p>
    <w:p w14:paraId="46421FD1" w14:textId="77777777" w:rsidR="00A47DEE" w:rsidRPr="00EE4BD3" w:rsidRDefault="00A47DEE" w:rsidP="00A47DEE">
      <w:pPr>
        <w:autoSpaceDE w:val="0"/>
        <w:autoSpaceDN w:val="0"/>
        <w:adjustRightInd w:val="0"/>
        <w:rPr>
          <w:rFonts w:asciiTheme="majorBidi" w:hAnsiTheme="majorBidi" w:cstheme="majorBidi"/>
          <w:color w:val="FF0000"/>
        </w:rPr>
      </w:pPr>
    </w:p>
    <w:tbl>
      <w:tblPr>
        <w:tblStyle w:val="Grilledutableau"/>
        <w:tblW w:w="10065" w:type="dxa"/>
        <w:tblInd w:w="-714" w:type="dxa"/>
        <w:tblLayout w:type="fixed"/>
        <w:tblLook w:val="04A0" w:firstRow="1" w:lastRow="0" w:firstColumn="1" w:lastColumn="0" w:noHBand="0" w:noVBand="1"/>
      </w:tblPr>
      <w:tblGrid>
        <w:gridCol w:w="1908"/>
        <w:gridCol w:w="1636"/>
        <w:gridCol w:w="2127"/>
        <w:gridCol w:w="2409"/>
        <w:gridCol w:w="1985"/>
      </w:tblGrid>
      <w:tr w:rsidR="00A47DEE" w:rsidRPr="00F37E2C" w14:paraId="5607AC18" w14:textId="77777777" w:rsidTr="00EE0E23">
        <w:tc>
          <w:tcPr>
            <w:tcW w:w="1908" w:type="dxa"/>
            <w:vMerge w:val="restart"/>
            <w:shd w:val="clear" w:color="auto" w:fill="909EE6"/>
            <w:vAlign w:val="center"/>
          </w:tcPr>
          <w:p w14:paraId="71CB5D74" w14:textId="77777777" w:rsidR="00A47DEE" w:rsidRPr="00F37E2C" w:rsidRDefault="00A47DEE" w:rsidP="00EE0E23">
            <w:pPr>
              <w:spacing w:after="200" w:line="276" w:lineRule="auto"/>
              <w:jc w:val="center"/>
              <w:rPr>
                <w:rFonts w:asciiTheme="majorBidi" w:eastAsia="Times New Roman" w:hAnsiTheme="majorBidi" w:cstheme="majorBidi"/>
                <w:b/>
                <w:bCs/>
                <w:sz w:val="20"/>
                <w:szCs w:val="20"/>
                <w:lang w:eastAsia="fr-FR"/>
              </w:rPr>
            </w:pPr>
            <w:proofErr w:type="gramStart"/>
            <w:r w:rsidRPr="00F37E2C">
              <w:rPr>
                <w:rFonts w:asciiTheme="majorBidi" w:hAnsiTheme="majorBidi" w:cstheme="majorBidi"/>
                <w:b/>
                <w:bCs/>
                <w:sz w:val="28"/>
                <w:szCs w:val="28"/>
              </w:rPr>
              <w:t>aléas</w:t>
            </w:r>
            <w:proofErr w:type="gramEnd"/>
            <w:r w:rsidRPr="00F37E2C">
              <w:rPr>
                <w:rFonts w:asciiTheme="majorBidi" w:hAnsiTheme="majorBidi" w:cstheme="majorBidi"/>
                <w:b/>
                <w:bCs/>
                <w:sz w:val="28"/>
                <w:szCs w:val="28"/>
              </w:rPr>
              <w:t xml:space="preserve"> climatiques</w:t>
            </w:r>
          </w:p>
        </w:tc>
        <w:tc>
          <w:tcPr>
            <w:tcW w:w="8157" w:type="dxa"/>
            <w:gridSpan w:val="4"/>
            <w:shd w:val="clear" w:color="auto" w:fill="909EE6"/>
            <w:vAlign w:val="center"/>
          </w:tcPr>
          <w:p w14:paraId="21CD24C0" w14:textId="77777777" w:rsidR="00A47DEE" w:rsidRPr="00F37E2C" w:rsidRDefault="00A47DEE" w:rsidP="00EE0E23">
            <w:pPr>
              <w:spacing w:after="200" w:line="276" w:lineRule="auto"/>
              <w:jc w:val="center"/>
              <w:rPr>
                <w:rFonts w:asciiTheme="majorBidi" w:eastAsia="Times New Roman" w:hAnsiTheme="majorBidi" w:cstheme="majorBidi"/>
                <w:b/>
                <w:bCs/>
                <w:sz w:val="20"/>
                <w:szCs w:val="20"/>
                <w:lang w:eastAsia="fr-FR"/>
              </w:rPr>
            </w:pPr>
            <w:r w:rsidRPr="00160876">
              <w:rPr>
                <w:rFonts w:asciiTheme="majorBidi" w:eastAsia="Times New Roman" w:hAnsiTheme="majorBidi" w:cstheme="majorBidi"/>
                <w:b/>
                <w:bCs/>
                <w:sz w:val="32"/>
                <w:szCs w:val="32"/>
                <w:lang w:eastAsia="fr-FR"/>
              </w:rPr>
              <w:t>Secteur</w:t>
            </w:r>
            <w:r w:rsidRPr="00F37E2C">
              <w:rPr>
                <w:rFonts w:asciiTheme="majorBidi" w:eastAsia="Times New Roman" w:hAnsiTheme="majorBidi" w:cstheme="majorBidi"/>
                <w:b/>
                <w:bCs/>
                <w:sz w:val="32"/>
                <w:szCs w:val="32"/>
                <w:lang w:eastAsia="fr-FR"/>
              </w:rPr>
              <w:t xml:space="preserve"> de santé</w:t>
            </w:r>
          </w:p>
        </w:tc>
      </w:tr>
      <w:tr w:rsidR="00A47DEE" w:rsidRPr="00F37E2C" w14:paraId="7B4B1D0D" w14:textId="77777777" w:rsidTr="00EE0E23">
        <w:trPr>
          <w:trHeight w:val="526"/>
        </w:trPr>
        <w:tc>
          <w:tcPr>
            <w:tcW w:w="1908" w:type="dxa"/>
            <w:vMerge/>
            <w:shd w:val="clear" w:color="auto" w:fill="909EE6"/>
          </w:tcPr>
          <w:p w14:paraId="7F620675" w14:textId="77777777" w:rsidR="00A47DEE" w:rsidRPr="00160876" w:rsidRDefault="00A47DEE" w:rsidP="00EE0E23">
            <w:pPr>
              <w:spacing w:after="200" w:line="276" w:lineRule="auto"/>
              <w:jc w:val="center"/>
              <w:rPr>
                <w:rFonts w:asciiTheme="majorBidi" w:eastAsia="Times New Roman" w:hAnsiTheme="majorBidi" w:cstheme="majorBidi"/>
                <w:b/>
                <w:bCs/>
                <w:sz w:val="20"/>
                <w:szCs w:val="20"/>
                <w:lang w:eastAsia="fr-FR"/>
              </w:rPr>
            </w:pPr>
          </w:p>
        </w:tc>
        <w:tc>
          <w:tcPr>
            <w:tcW w:w="1636" w:type="dxa"/>
            <w:shd w:val="clear" w:color="auto" w:fill="909EE6"/>
          </w:tcPr>
          <w:p w14:paraId="6E9EAC5D" w14:textId="77777777" w:rsidR="00A47DEE" w:rsidRPr="006D06BC" w:rsidRDefault="00A47DEE" w:rsidP="00EE0E23">
            <w:pPr>
              <w:autoSpaceDE w:val="0"/>
              <w:autoSpaceDN w:val="0"/>
              <w:adjustRightInd w:val="0"/>
              <w:rPr>
                <w:rFonts w:asciiTheme="majorBidi" w:hAnsiTheme="majorBidi" w:cstheme="majorBidi"/>
                <w:b/>
                <w:bCs/>
                <w:sz w:val="18"/>
                <w:szCs w:val="18"/>
              </w:rPr>
            </w:pPr>
            <w:proofErr w:type="gramStart"/>
            <w:r w:rsidRPr="006D06BC">
              <w:rPr>
                <w:rFonts w:asciiTheme="majorBidi" w:hAnsiTheme="majorBidi" w:cstheme="majorBidi"/>
                <w:b/>
                <w:bCs/>
                <w:sz w:val="18"/>
                <w:szCs w:val="18"/>
              </w:rPr>
              <w:t>les</w:t>
            </w:r>
            <w:proofErr w:type="gramEnd"/>
            <w:r w:rsidRPr="006D06BC">
              <w:rPr>
                <w:rFonts w:asciiTheme="majorBidi" w:hAnsiTheme="majorBidi" w:cstheme="majorBidi"/>
                <w:b/>
                <w:bCs/>
                <w:sz w:val="18"/>
                <w:szCs w:val="18"/>
              </w:rPr>
              <w:t xml:space="preserve"> maladies hydriques (diarrhéiques, parasitaires), maladies infectieuses</w:t>
            </w:r>
          </w:p>
          <w:p w14:paraId="58476159" w14:textId="77777777" w:rsidR="00A47DEE" w:rsidRPr="006D06BC" w:rsidRDefault="00A47DEE" w:rsidP="00EE0E23">
            <w:pPr>
              <w:spacing w:after="200" w:line="276" w:lineRule="auto"/>
              <w:ind w:hanging="104"/>
              <w:rPr>
                <w:rFonts w:asciiTheme="majorBidi" w:hAnsiTheme="majorBidi" w:cstheme="majorBidi"/>
                <w:b/>
                <w:bCs/>
                <w:sz w:val="18"/>
                <w:szCs w:val="18"/>
              </w:rPr>
            </w:pPr>
          </w:p>
        </w:tc>
        <w:tc>
          <w:tcPr>
            <w:tcW w:w="2127" w:type="dxa"/>
            <w:shd w:val="clear" w:color="auto" w:fill="909EE6"/>
          </w:tcPr>
          <w:p w14:paraId="456E6D05" w14:textId="77777777" w:rsidR="00A47DEE" w:rsidRPr="006D06BC" w:rsidRDefault="00A47DEE" w:rsidP="00EE0E23">
            <w:pPr>
              <w:spacing w:after="200" w:line="276" w:lineRule="auto"/>
              <w:ind w:hanging="104"/>
              <w:rPr>
                <w:rFonts w:asciiTheme="majorBidi" w:eastAsia="Times New Roman" w:hAnsiTheme="majorBidi" w:cstheme="majorBidi"/>
                <w:b/>
                <w:bCs/>
                <w:sz w:val="18"/>
                <w:szCs w:val="18"/>
                <w:lang w:eastAsia="fr-FR"/>
              </w:rPr>
            </w:pPr>
            <w:proofErr w:type="gramStart"/>
            <w:r w:rsidRPr="006D06BC">
              <w:rPr>
                <w:rFonts w:asciiTheme="majorBidi" w:hAnsiTheme="majorBidi" w:cstheme="majorBidi"/>
                <w:b/>
                <w:bCs/>
                <w:sz w:val="18"/>
                <w:szCs w:val="18"/>
              </w:rPr>
              <w:t>les</w:t>
            </w:r>
            <w:proofErr w:type="gramEnd"/>
            <w:r w:rsidRPr="006D06BC">
              <w:rPr>
                <w:rFonts w:asciiTheme="majorBidi" w:hAnsiTheme="majorBidi" w:cstheme="majorBidi"/>
                <w:b/>
                <w:bCs/>
                <w:sz w:val="18"/>
                <w:szCs w:val="18"/>
              </w:rPr>
              <w:t xml:space="preserve"> maladies à transmission vectorielle (paludisme, dengue, Zika…)</w:t>
            </w:r>
          </w:p>
        </w:tc>
        <w:tc>
          <w:tcPr>
            <w:tcW w:w="2409" w:type="dxa"/>
            <w:shd w:val="clear" w:color="auto" w:fill="909EE6"/>
          </w:tcPr>
          <w:p w14:paraId="385942EA" w14:textId="77777777" w:rsidR="00A47DEE" w:rsidRPr="006D06BC" w:rsidRDefault="00A47DEE" w:rsidP="00EE0E23">
            <w:pPr>
              <w:rPr>
                <w:rFonts w:asciiTheme="majorBidi" w:hAnsiTheme="majorBidi" w:cstheme="majorBidi"/>
                <w:b/>
                <w:bCs/>
                <w:sz w:val="18"/>
                <w:szCs w:val="18"/>
              </w:rPr>
            </w:pPr>
            <w:proofErr w:type="gramStart"/>
            <w:r w:rsidRPr="006D06BC">
              <w:rPr>
                <w:rFonts w:asciiTheme="majorBidi" w:hAnsiTheme="majorBidi" w:cstheme="majorBidi"/>
                <w:b/>
                <w:bCs/>
                <w:sz w:val="18"/>
                <w:szCs w:val="18"/>
              </w:rPr>
              <w:t>les</w:t>
            </w:r>
            <w:proofErr w:type="gramEnd"/>
            <w:r w:rsidRPr="006D06BC">
              <w:rPr>
                <w:rFonts w:asciiTheme="majorBidi" w:hAnsiTheme="majorBidi" w:cstheme="majorBidi"/>
                <w:b/>
                <w:bCs/>
                <w:sz w:val="18"/>
                <w:szCs w:val="18"/>
              </w:rPr>
              <w:t xml:space="preserve"> maladies respiratoires (</w:t>
            </w:r>
            <w:proofErr w:type="gramStart"/>
            <w:r w:rsidRPr="006D06BC">
              <w:rPr>
                <w:rFonts w:asciiTheme="majorBidi" w:hAnsiTheme="majorBidi" w:cstheme="majorBidi"/>
                <w:b/>
                <w:bCs/>
                <w:sz w:val="18"/>
                <w:szCs w:val="18"/>
              </w:rPr>
              <w:t>Asthme ,</w:t>
            </w:r>
            <w:proofErr w:type="gramEnd"/>
            <w:r w:rsidRPr="006D06BC">
              <w:rPr>
                <w:rFonts w:asciiTheme="majorBidi" w:hAnsiTheme="majorBidi" w:cstheme="majorBidi"/>
                <w:b/>
                <w:bCs/>
                <w:sz w:val="18"/>
                <w:szCs w:val="18"/>
              </w:rPr>
              <w:t xml:space="preserve"> </w:t>
            </w:r>
            <w:r w:rsidRPr="00E7668C">
              <w:rPr>
                <w:rFonts w:asciiTheme="majorBidi" w:hAnsiTheme="majorBidi" w:cstheme="majorBidi"/>
                <w:b/>
                <w:bCs/>
                <w:sz w:val="18"/>
                <w:szCs w:val="18"/>
              </w:rPr>
              <w:t xml:space="preserve">Maladies </w:t>
            </w:r>
            <w:r w:rsidRPr="006D06BC">
              <w:rPr>
                <w:rFonts w:asciiTheme="majorBidi" w:hAnsiTheme="majorBidi" w:cstheme="majorBidi"/>
                <w:b/>
                <w:bCs/>
                <w:sz w:val="18"/>
                <w:szCs w:val="18"/>
              </w:rPr>
              <w:t>r</w:t>
            </w:r>
            <w:r w:rsidRPr="00E7668C">
              <w:rPr>
                <w:rFonts w:asciiTheme="majorBidi" w:hAnsiTheme="majorBidi" w:cstheme="majorBidi"/>
                <w:b/>
                <w:bCs/>
                <w:sz w:val="18"/>
                <w:szCs w:val="18"/>
              </w:rPr>
              <w:t xml:space="preserve">espiratoires </w:t>
            </w:r>
            <w:r w:rsidRPr="006D06BC">
              <w:rPr>
                <w:rFonts w:asciiTheme="majorBidi" w:hAnsiTheme="majorBidi" w:cstheme="majorBidi"/>
                <w:b/>
                <w:bCs/>
                <w:sz w:val="18"/>
                <w:szCs w:val="18"/>
              </w:rPr>
              <w:t>a</w:t>
            </w:r>
            <w:r w:rsidRPr="00E7668C">
              <w:rPr>
                <w:rFonts w:asciiTheme="majorBidi" w:hAnsiTheme="majorBidi" w:cstheme="majorBidi"/>
                <w:b/>
                <w:bCs/>
                <w:sz w:val="18"/>
                <w:szCs w:val="18"/>
              </w:rPr>
              <w:t>igües ou chroniques</w:t>
            </w:r>
            <w:r w:rsidRPr="006D06BC">
              <w:rPr>
                <w:rFonts w:asciiTheme="majorBidi" w:hAnsiTheme="majorBidi" w:cstheme="majorBidi"/>
                <w:b/>
                <w:bCs/>
                <w:sz w:val="18"/>
                <w:szCs w:val="18"/>
              </w:rPr>
              <w:t>, Cancer du poumon, allergies respiratoires, a</w:t>
            </w:r>
            <w:r w:rsidRPr="001A21E6">
              <w:rPr>
                <w:rFonts w:asciiTheme="majorBidi" w:hAnsiTheme="majorBidi" w:cstheme="majorBidi"/>
                <w:b/>
                <w:bCs/>
                <w:sz w:val="18"/>
                <w:szCs w:val="18"/>
              </w:rPr>
              <w:t>ffections bronchiques</w:t>
            </w:r>
            <w:r w:rsidRPr="006D06BC">
              <w:rPr>
                <w:rFonts w:asciiTheme="majorBidi" w:hAnsiTheme="majorBidi" w:cstheme="majorBidi"/>
                <w:b/>
                <w:bCs/>
                <w:sz w:val="18"/>
                <w:szCs w:val="18"/>
              </w:rPr>
              <w:t>, inflammations pulmonaires)</w:t>
            </w:r>
          </w:p>
        </w:tc>
        <w:tc>
          <w:tcPr>
            <w:tcW w:w="1985" w:type="dxa"/>
            <w:shd w:val="clear" w:color="auto" w:fill="909EE6"/>
          </w:tcPr>
          <w:p w14:paraId="5368ECA3" w14:textId="77777777" w:rsidR="00A47DEE" w:rsidRPr="006D06BC" w:rsidRDefault="00A47DEE" w:rsidP="00EE0E23">
            <w:pPr>
              <w:rPr>
                <w:rFonts w:asciiTheme="majorBidi" w:eastAsia="Times New Roman" w:hAnsiTheme="majorBidi" w:cstheme="majorBidi"/>
                <w:b/>
                <w:bCs/>
                <w:sz w:val="18"/>
                <w:szCs w:val="18"/>
                <w:lang w:eastAsia="fr-FR"/>
              </w:rPr>
            </w:pPr>
            <w:proofErr w:type="gramStart"/>
            <w:r w:rsidRPr="006D06BC">
              <w:rPr>
                <w:rFonts w:asciiTheme="majorBidi" w:hAnsiTheme="majorBidi" w:cstheme="majorBidi"/>
                <w:b/>
                <w:bCs/>
                <w:sz w:val="18"/>
                <w:szCs w:val="18"/>
              </w:rPr>
              <w:t>les</w:t>
            </w:r>
            <w:proofErr w:type="gramEnd"/>
            <w:r w:rsidRPr="006D06BC">
              <w:rPr>
                <w:rFonts w:asciiTheme="majorBidi" w:hAnsiTheme="majorBidi" w:cstheme="majorBidi"/>
                <w:b/>
                <w:bCs/>
                <w:sz w:val="18"/>
                <w:szCs w:val="18"/>
              </w:rPr>
              <w:t xml:space="preserve"> maladies non transmissibles (malnutrition troubles mentaux, cardiovasculaires…</w:t>
            </w:r>
          </w:p>
        </w:tc>
      </w:tr>
      <w:tr w:rsidR="00A47DEE" w:rsidRPr="00F37E2C" w14:paraId="08F60C70" w14:textId="77777777" w:rsidTr="00EE0E23">
        <w:tc>
          <w:tcPr>
            <w:tcW w:w="1908" w:type="dxa"/>
            <w:shd w:val="clear" w:color="auto" w:fill="909EE6"/>
            <w:vAlign w:val="center"/>
          </w:tcPr>
          <w:p w14:paraId="0BA674E3" w14:textId="77777777" w:rsidR="00A47DEE" w:rsidRPr="00FC6938" w:rsidRDefault="00A47DEE" w:rsidP="00EE0E23">
            <w:pPr>
              <w:spacing w:after="200" w:line="276" w:lineRule="auto"/>
              <w:rPr>
                <w:rFonts w:asciiTheme="majorBidi" w:hAnsiTheme="majorBidi" w:cstheme="majorBidi"/>
                <w:b/>
                <w:bCs/>
                <w:sz w:val="18"/>
                <w:szCs w:val="18"/>
              </w:rPr>
            </w:pPr>
            <w:r w:rsidRPr="00FC6938">
              <w:rPr>
                <w:rFonts w:asciiTheme="majorBidi" w:hAnsiTheme="majorBidi" w:cstheme="majorBidi"/>
                <w:b/>
                <w:bCs/>
                <w:sz w:val="18"/>
                <w:szCs w:val="18"/>
              </w:rPr>
              <w:t>Pluies intenses et Inondations</w:t>
            </w:r>
          </w:p>
        </w:tc>
        <w:tc>
          <w:tcPr>
            <w:tcW w:w="1636" w:type="dxa"/>
            <w:shd w:val="clear" w:color="auto" w:fill="FFFFFF" w:themeFill="background1"/>
            <w:vAlign w:val="center"/>
          </w:tcPr>
          <w:p w14:paraId="0BDED101" w14:textId="77777777" w:rsidR="00A47DEE" w:rsidRPr="00FC6938" w:rsidRDefault="00A47DEE" w:rsidP="00EE0E23">
            <w:pPr>
              <w:ind w:left="-102"/>
              <w:rPr>
                <w:rFonts w:asciiTheme="majorBidi" w:hAnsiTheme="majorBidi" w:cstheme="majorBidi"/>
                <w:b/>
                <w:bCs/>
                <w:sz w:val="18"/>
                <w:szCs w:val="18"/>
              </w:rPr>
            </w:pPr>
            <w:r w:rsidRPr="00FC6938">
              <w:rPr>
                <w:rFonts w:asciiTheme="majorBidi" w:hAnsiTheme="majorBidi" w:cstheme="majorBidi"/>
                <w:b/>
                <w:bCs/>
                <w:sz w:val="18"/>
                <w:szCs w:val="18"/>
              </w:rPr>
              <w:t xml:space="preserve">Programme : Lutte contre les maladies </w:t>
            </w:r>
          </w:p>
          <w:p w14:paraId="7E04D11A" w14:textId="77777777" w:rsidR="00A47DEE" w:rsidRPr="00FC6938" w:rsidRDefault="00A47DEE" w:rsidP="00EE0E23">
            <w:pPr>
              <w:ind w:hanging="102"/>
              <w:rPr>
                <w:rFonts w:asciiTheme="majorBidi" w:hAnsiTheme="majorBidi" w:cstheme="majorBidi"/>
                <w:b/>
                <w:bCs/>
                <w:sz w:val="18"/>
                <w:szCs w:val="18"/>
              </w:rPr>
            </w:pPr>
            <w:r w:rsidRPr="00FC6938">
              <w:rPr>
                <w:rFonts w:asciiTheme="majorBidi" w:hAnsiTheme="majorBidi" w:cstheme="majorBidi"/>
                <w:b/>
                <w:bCs/>
                <w:sz w:val="18"/>
                <w:szCs w:val="18"/>
              </w:rPr>
              <w:t xml:space="preserve">Transmissibles </w:t>
            </w:r>
          </w:p>
        </w:tc>
        <w:tc>
          <w:tcPr>
            <w:tcW w:w="2127" w:type="dxa"/>
            <w:shd w:val="clear" w:color="auto" w:fill="FFFFFF" w:themeFill="background1"/>
            <w:vAlign w:val="center"/>
          </w:tcPr>
          <w:p w14:paraId="19D6C610" w14:textId="77777777" w:rsidR="00A47DEE" w:rsidRPr="00FC6938" w:rsidRDefault="00A47DEE" w:rsidP="00EE0E23">
            <w:pPr>
              <w:ind w:hanging="102"/>
              <w:rPr>
                <w:rFonts w:asciiTheme="majorBidi" w:hAnsiTheme="majorBidi" w:cstheme="majorBidi"/>
                <w:b/>
                <w:bCs/>
                <w:sz w:val="18"/>
                <w:szCs w:val="18"/>
              </w:rPr>
            </w:pPr>
            <w:r w:rsidRPr="00FC6938">
              <w:rPr>
                <w:rFonts w:asciiTheme="majorBidi" w:hAnsiTheme="majorBidi" w:cstheme="majorBidi"/>
                <w:b/>
                <w:bCs/>
                <w:sz w:val="18"/>
                <w:szCs w:val="18"/>
              </w:rPr>
              <w:t>Programme Paludisme, VIH, Tuberculose (autres maladies à transmissions</w:t>
            </w:r>
          </w:p>
          <w:p w14:paraId="5F7911C7" w14:textId="77777777" w:rsidR="00A47DEE" w:rsidRPr="00FC6938" w:rsidRDefault="00A47DEE" w:rsidP="00EE0E23">
            <w:pPr>
              <w:ind w:hanging="102"/>
              <w:rPr>
                <w:rFonts w:asciiTheme="majorBidi" w:hAnsiTheme="majorBidi" w:cstheme="majorBidi"/>
                <w:b/>
                <w:bCs/>
                <w:sz w:val="18"/>
                <w:szCs w:val="18"/>
              </w:rPr>
            </w:pPr>
            <w:proofErr w:type="gramStart"/>
            <w:r w:rsidRPr="00FC6938">
              <w:rPr>
                <w:rFonts w:asciiTheme="majorBidi" w:hAnsiTheme="majorBidi" w:cstheme="majorBidi"/>
                <w:b/>
                <w:bCs/>
                <w:sz w:val="18"/>
                <w:szCs w:val="18"/>
              </w:rPr>
              <w:t>vectorielles</w:t>
            </w:r>
            <w:proofErr w:type="gramEnd"/>
            <w:r w:rsidRPr="00FC6938">
              <w:rPr>
                <w:rFonts w:asciiTheme="majorBidi" w:hAnsiTheme="majorBidi" w:cstheme="majorBidi"/>
                <w:b/>
                <w:bCs/>
                <w:sz w:val="18"/>
                <w:szCs w:val="18"/>
              </w:rPr>
              <w:t>)</w:t>
            </w:r>
          </w:p>
        </w:tc>
        <w:tc>
          <w:tcPr>
            <w:tcW w:w="2409" w:type="dxa"/>
            <w:shd w:val="clear" w:color="auto" w:fill="FFFFFF" w:themeFill="background1"/>
          </w:tcPr>
          <w:p w14:paraId="42ABE173" w14:textId="77777777" w:rsidR="00A47DEE" w:rsidRPr="00FC6938" w:rsidRDefault="00A47DEE" w:rsidP="00EE0E23">
            <w:pPr>
              <w:spacing w:after="200" w:line="276" w:lineRule="auto"/>
              <w:jc w:val="center"/>
              <w:rPr>
                <w:rFonts w:asciiTheme="majorBidi" w:hAnsiTheme="majorBidi" w:cstheme="majorBidi"/>
                <w:b/>
                <w:bCs/>
                <w:sz w:val="18"/>
                <w:szCs w:val="18"/>
              </w:rPr>
            </w:pPr>
            <w:r w:rsidRPr="00FC6938">
              <w:rPr>
                <w:rFonts w:asciiTheme="majorBidi" w:hAnsiTheme="majorBidi" w:cstheme="majorBidi"/>
                <w:b/>
                <w:bCs/>
                <w:sz w:val="18"/>
                <w:szCs w:val="18"/>
              </w:rPr>
              <w:t>-</w:t>
            </w:r>
          </w:p>
        </w:tc>
        <w:tc>
          <w:tcPr>
            <w:tcW w:w="1985" w:type="dxa"/>
            <w:shd w:val="clear" w:color="auto" w:fill="FFFFFF" w:themeFill="background1"/>
          </w:tcPr>
          <w:p w14:paraId="56F4D0AB" w14:textId="77777777" w:rsidR="00A47DEE" w:rsidRPr="00FC6938" w:rsidRDefault="00A47DEE" w:rsidP="00EE0E23">
            <w:pPr>
              <w:spacing w:after="200" w:line="276" w:lineRule="auto"/>
              <w:rPr>
                <w:rFonts w:asciiTheme="majorBidi" w:hAnsiTheme="majorBidi" w:cstheme="majorBidi"/>
                <w:b/>
                <w:bCs/>
                <w:sz w:val="18"/>
                <w:szCs w:val="18"/>
              </w:rPr>
            </w:pPr>
            <w:r w:rsidRPr="00FC6938">
              <w:rPr>
                <w:rFonts w:asciiTheme="majorBidi" w:hAnsiTheme="majorBidi" w:cstheme="majorBidi"/>
                <w:b/>
                <w:bCs/>
                <w:sz w:val="18"/>
                <w:szCs w:val="18"/>
              </w:rPr>
              <w:t xml:space="preserve">Programme de Lutte contre les maladies non transmissibles </w:t>
            </w:r>
          </w:p>
        </w:tc>
      </w:tr>
      <w:tr w:rsidR="00A47DEE" w:rsidRPr="00F37E2C" w14:paraId="37FEA021" w14:textId="77777777" w:rsidTr="00EE0E23">
        <w:tc>
          <w:tcPr>
            <w:tcW w:w="1908" w:type="dxa"/>
            <w:shd w:val="clear" w:color="auto" w:fill="909EE6"/>
            <w:vAlign w:val="center"/>
          </w:tcPr>
          <w:p w14:paraId="6247CFC5" w14:textId="77777777" w:rsidR="00A47DEE" w:rsidRPr="00FC6938" w:rsidRDefault="00A47DEE" w:rsidP="00EE0E23">
            <w:pPr>
              <w:spacing w:after="200" w:line="276" w:lineRule="auto"/>
              <w:rPr>
                <w:rFonts w:asciiTheme="majorBidi" w:hAnsiTheme="majorBidi" w:cstheme="majorBidi"/>
                <w:b/>
                <w:bCs/>
                <w:sz w:val="18"/>
                <w:szCs w:val="18"/>
              </w:rPr>
            </w:pPr>
            <w:r w:rsidRPr="00FC6938">
              <w:rPr>
                <w:rFonts w:asciiTheme="majorBidi" w:hAnsiTheme="majorBidi" w:cstheme="majorBidi"/>
                <w:b/>
                <w:bCs/>
                <w:sz w:val="18"/>
                <w:szCs w:val="18"/>
              </w:rPr>
              <w:t>Sécheresses</w:t>
            </w:r>
          </w:p>
        </w:tc>
        <w:tc>
          <w:tcPr>
            <w:tcW w:w="1636" w:type="dxa"/>
            <w:shd w:val="clear" w:color="auto" w:fill="FFFFFF" w:themeFill="background1"/>
            <w:vAlign w:val="center"/>
          </w:tcPr>
          <w:p w14:paraId="77FAA369" w14:textId="77777777" w:rsidR="00A47DEE" w:rsidRPr="00FC6938" w:rsidRDefault="00A47DEE" w:rsidP="00EE0E23">
            <w:pPr>
              <w:spacing w:after="200" w:line="276" w:lineRule="auto"/>
              <w:ind w:hanging="104"/>
              <w:jc w:val="center"/>
              <w:rPr>
                <w:rFonts w:asciiTheme="majorBidi" w:hAnsiTheme="majorBidi" w:cstheme="majorBidi"/>
                <w:b/>
                <w:bCs/>
                <w:sz w:val="18"/>
                <w:szCs w:val="18"/>
              </w:rPr>
            </w:pPr>
            <w:r w:rsidRPr="00FC6938">
              <w:rPr>
                <w:rFonts w:asciiTheme="majorBidi" w:hAnsiTheme="majorBidi" w:cstheme="majorBidi"/>
                <w:b/>
                <w:bCs/>
                <w:sz w:val="18"/>
                <w:szCs w:val="18"/>
              </w:rPr>
              <w:t>-</w:t>
            </w:r>
          </w:p>
        </w:tc>
        <w:tc>
          <w:tcPr>
            <w:tcW w:w="2127" w:type="dxa"/>
            <w:shd w:val="clear" w:color="auto" w:fill="FFFFFF" w:themeFill="background1"/>
            <w:vAlign w:val="center"/>
          </w:tcPr>
          <w:p w14:paraId="655BF418" w14:textId="77777777" w:rsidR="00A47DEE" w:rsidRPr="00FC6938" w:rsidRDefault="00A47DEE" w:rsidP="00EE0E23">
            <w:pPr>
              <w:spacing w:after="200" w:line="276" w:lineRule="auto"/>
              <w:ind w:hanging="104"/>
              <w:jc w:val="center"/>
              <w:rPr>
                <w:rFonts w:asciiTheme="majorBidi" w:hAnsiTheme="majorBidi" w:cstheme="majorBidi"/>
                <w:b/>
                <w:bCs/>
                <w:sz w:val="18"/>
                <w:szCs w:val="18"/>
              </w:rPr>
            </w:pPr>
            <w:r w:rsidRPr="00FC6938">
              <w:rPr>
                <w:rFonts w:asciiTheme="majorBidi" w:hAnsiTheme="majorBidi" w:cstheme="majorBidi"/>
                <w:b/>
                <w:bCs/>
                <w:sz w:val="18"/>
                <w:szCs w:val="18"/>
              </w:rPr>
              <w:t>-</w:t>
            </w:r>
          </w:p>
        </w:tc>
        <w:tc>
          <w:tcPr>
            <w:tcW w:w="2409" w:type="dxa"/>
            <w:shd w:val="clear" w:color="auto" w:fill="FFFFFF" w:themeFill="background1"/>
            <w:vAlign w:val="center"/>
          </w:tcPr>
          <w:p w14:paraId="13B02DCA" w14:textId="77777777" w:rsidR="00A47DEE" w:rsidRPr="00FC6938" w:rsidRDefault="00A47DEE" w:rsidP="00EE0E23">
            <w:pPr>
              <w:spacing w:after="200" w:line="276" w:lineRule="auto"/>
              <w:jc w:val="center"/>
              <w:rPr>
                <w:rFonts w:asciiTheme="majorBidi" w:hAnsiTheme="majorBidi" w:cstheme="majorBidi"/>
                <w:b/>
                <w:bCs/>
                <w:sz w:val="18"/>
                <w:szCs w:val="18"/>
              </w:rPr>
            </w:pPr>
            <w:r w:rsidRPr="00FC6938">
              <w:rPr>
                <w:rFonts w:asciiTheme="majorBidi" w:hAnsiTheme="majorBidi" w:cstheme="majorBidi"/>
                <w:b/>
                <w:bCs/>
                <w:sz w:val="18"/>
                <w:szCs w:val="18"/>
              </w:rPr>
              <w:t>-</w:t>
            </w:r>
          </w:p>
        </w:tc>
        <w:tc>
          <w:tcPr>
            <w:tcW w:w="1985" w:type="dxa"/>
            <w:shd w:val="clear" w:color="auto" w:fill="FFFFFF" w:themeFill="background1"/>
          </w:tcPr>
          <w:p w14:paraId="68D95587" w14:textId="77777777" w:rsidR="00A47DEE" w:rsidRPr="00FC6938" w:rsidRDefault="00A47DEE" w:rsidP="00EE0E23">
            <w:pPr>
              <w:rPr>
                <w:rFonts w:asciiTheme="majorBidi" w:hAnsiTheme="majorBidi" w:cstheme="majorBidi"/>
                <w:b/>
                <w:bCs/>
                <w:sz w:val="18"/>
                <w:szCs w:val="18"/>
              </w:rPr>
            </w:pPr>
            <w:r w:rsidRPr="00FC6938">
              <w:rPr>
                <w:rFonts w:asciiTheme="majorBidi" w:hAnsiTheme="majorBidi" w:cstheme="majorBidi"/>
                <w:b/>
                <w:bCs/>
                <w:sz w:val="18"/>
                <w:szCs w:val="18"/>
              </w:rPr>
              <w:t>Renforcement de la</w:t>
            </w:r>
          </w:p>
          <w:p w14:paraId="74B31041" w14:textId="77777777" w:rsidR="00A47DEE" w:rsidRPr="00FC6938" w:rsidRDefault="00A47DEE" w:rsidP="00EE0E23">
            <w:pPr>
              <w:rPr>
                <w:rFonts w:asciiTheme="majorBidi" w:hAnsiTheme="majorBidi" w:cstheme="majorBidi"/>
                <w:b/>
                <w:bCs/>
                <w:sz w:val="18"/>
                <w:szCs w:val="18"/>
              </w:rPr>
            </w:pPr>
            <w:proofErr w:type="gramStart"/>
            <w:r w:rsidRPr="00FC6938">
              <w:rPr>
                <w:rFonts w:asciiTheme="majorBidi" w:hAnsiTheme="majorBidi" w:cstheme="majorBidi"/>
                <w:b/>
                <w:bCs/>
                <w:sz w:val="18"/>
                <w:szCs w:val="18"/>
              </w:rPr>
              <w:t>lutte</w:t>
            </w:r>
            <w:proofErr w:type="gramEnd"/>
            <w:r w:rsidRPr="00FC6938">
              <w:rPr>
                <w:rFonts w:asciiTheme="majorBidi" w:hAnsiTheme="majorBidi" w:cstheme="majorBidi"/>
                <w:b/>
                <w:bCs/>
                <w:sz w:val="18"/>
                <w:szCs w:val="18"/>
              </w:rPr>
              <w:t xml:space="preserve"> contre la</w:t>
            </w:r>
          </w:p>
          <w:p w14:paraId="14838341" w14:textId="77777777" w:rsidR="00A47DEE" w:rsidRPr="00FC6938" w:rsidRDefault="00A47DEE" w:rsidP="00EE0E23">
            <w:pPr>
              <w:rPr>
                <w:rFonts w:asciiTheme="majorBidi" w:hAnsiTheme="majorBidi" w:cstheme="majorBidi"/>
                <w:b/>
                <w:bCs/>
                <w:sz w:val="18"/>
                <w:szCs w:val="18"/>
              </w:rPr>
            </w:pPr>
            <w:proofErr w:type="gramStart"/>
            <w:r w:rsidRPr="00FC6938">
              <w:rPr>
                <w:rFonts w:asciiTheme="majorBidi" w:hAnsiTheme="majorBidi" w:cstheme="majorBidi"/>
                <w:b/>
                <w:bCs/>
                <w:sz w:val="18"/>
                <w:szCs w:val="18"/>
              </w:rPr>
              <w:t>malnutrition</w:t>
            </w:r>
            <w:proofErr w:type="gramEnd"/>
            <w:r w:rsidRPr="00FC6938">
              <w:rPr>
                <w:rFonts w:asciiTheme="majorBidi" w:hAnsiTheme="majorBidi" w:cstheme="majorBidi"/>
                <w:b/>
                <w:bCs/>
                <w:sz w:val="18"/>
                <w:szCs w:val="18"/>
              </w:rPr>
              <w:t xml:space="preserve"> ;  </w:t>
            </w:r>
          </w:p>
          <w:p w14:paraId="144F0EFC" w14:textId="77777777" w:rsidR="00A47DEE" w:rsidRPr="00FC6938" w:rsidRDefault="00A47DEE" w:rsidP="00EE0E23">
            <w:pPr>
              <w:rPr>
                <w:rFonts w:asciiTheme="majorBidi" w:hAnsiTheme="majorBidi" w:cstheme="majorBidi"/>
                <w:b/>
                <w:bCs/>
                <w:sz w:val="18"/>
                <w:szCs w:val="18"/>
              </w:rPr>
            </w:pPr>
            <w:r w:rsidRPr="00FC6938">
              <w:rPr>
                <w:rFonts w:asciiTheme="majorBidi" w:hAnsiTheme="majorBidi" w:cstheme="majorBidi"/>
                <w:b/>
                <w:bCs/>
                <w:sz w:val="18"/>
                <w:szCs w:val="18"/>
              </w:rPr>
              <w:t xml:space="preserve">Programme </w:t>
            </w:r>
            <w:r>
              <w:rPr>
                <w:rFonts w:asciiTheme="majorBidi" w:hAnsiTheme="majorBidi" w:cstheme="majorBidi"/>
                <w:b/>
                <w:bCs/>
                <w:sz w:val="18"/>
                <w:szCs w:val="18"/>
              </w:rPr>
              <w:t xml:space="preserve">de </w:t>
            </w:r>
            <w:r w:rsidRPr="00FC6938">
              <w:rPr>
                <w:rFonts w:asciiTheme="majorBidi" w:hAnsiTheme="majorBidi" w:cstheme="majorBidi"/>
                <w:b/>
                <w:bCs/>
                <w:sz w:val="18"/>
                <w:szCs w:val="18"/>
              </w:rPr>
              <w:t>Santé mentale</w:t>
            </w:r>
          </w:p>
        </w:tc>
      </w:tr>
      <w:tr w:rsidR="00A47DEE" w:rsidRPr="00F37E2C" w14:paraId="3CF3D84A" w14:textId="77777777" w:rsidTr="00EE0E23">
        <w:tc>
          <w:tcPr>
            <w:tcW w:w="1908" w:type="dxa"/>
            <w:shd w:val="clear" w:color="auto" w:fill="909EE6"/>
            <w:vAlign w:val="center"/>
          </w:tcPr>
          <w:p w14:paraId="3E51EFE0" w14:textId="77777777" w:rsidR="00A47DEE" w:rsidRPr="00FC6938" w:rsidRDefault="00A47DEE" w:rsidP="00EE0E23">
            <w:pPr>
              <w:spacing w:after="200" w:line="276" w:lineRule="auto"/>
              <w:rPr>
                <w:rFonts w:asciiTheme="majorBidi" w:hAnsiTheme="majorBidi" w:cstheme="majorBidi"/>
                <w:b/>
                <w:bCs/>
                <w:sz w:val="18"/>
                <w:szCs w:val="18"/>
              </w:rPr>
            </w:pPr>
            <w:r w:rsidRPr="00FC6938">
              <w:rPr>
                <w:rFonts w:asciiTheme="majorBidi" w:hAnsiTheme="majorBidi" w:cstheme="majorBidi"/>
                <w:b/>
                <w:bCs/>
                <w:sz w:val="18"/>
                <w:szCs w:val="18"/>
              </w:rPr>
              <w:t>Fluctuations de températures</w:t>
            </w:r>
          </w:p>
        </w:tc>
        <w:tc>
          <w:tcPr>
            <w:tcW w:w="1636" w:type="dxa"/>
            <w:shd w:val="clear" w:color="auto" w:fill="FFFFFF" w:themeFill="background1"/>
            <w:vAlign w:val="center"/>
          </w:tcPr>
          <w:p w14:paraId="686C2EB4" w14:textId="77777777" w:rsidR="00A47DEE" w:rsidRPr="00FC6938" w:rsidRDefault="00A47DEE" w:rsidP="00EE0E23">
            <w:pPr>
              <w:spacing w:after="200" w:line="276" w:lineRule="auto"/>
              <w:ind w:hanging="104"/>
              <w:jc w:val="center"/>
              <w:rPr>
                <w:rFonts w:asciiTheme="majorBidi" w:hAnsiTheme="majorBidi" w:cstheme="majorBidi"/>
                <w:b/>
                <w:bCs/>
                <w:sz w:val="18"/>
                <w:szCs w:val="18"/>
              </w:rPr>
            </w:pPr>
            <w:r w:rsidRPr="00FC6938">
              <w:rPr>
                <w:rFonts w:asciiTheme="majorBidi" w:hAnsiTheme="majorBidi" w:cstheme="majorBidi"/>
                <w:b/>
                <w:bCs/>
                <w:sz w:val="18"/>
                <w:szCs w:val="18"/>
              </w:rPr>
              <w:t>-</w:t>
            </w:r>
          </w:p>
        </w:tc>
        <w:tc>
          <w:tcPr>
            <w:tcW w:w="2127" w:type="dxa"/>
            <w:shd w:val="clear" w:color="auto" w:fill="FFFFFF" w:themeFill="background1"/>
            <w:vAlign w:val="center"/>
          </w:tcPr>
          <w:p w14:paraId="1948906D" w14:textId="77777777" w:rsidR="00A47DEE" w:rsidRPr="00FC6938" w:rsidRDefault="00A47DEE" w:rsidP="00EE0E23">
            <w:pPr>
              <w:spacing w:after="200" w:line="276" w:lineRule="auto"/>
              <w:ind w:hanging="104"/>
              <w:jc w:val="center"/>
              <w:rPr>
                <w:rFonts w:asciiTheme="majorBidi" w:hAnsiTheme="majorBidi" w:cstheme="majorBidi"/>
                <w:b/>
                <w:bCs/>
                <w:sz w:val="18"/>
                <w:szCs w:val="18"/>
              </w:rPr>
            </w:pPr>
            <w:r w:rsidRPr="00FC6938">
              <w:rPr>
                <w:rFonts w:asciiTheme="majorBidi" w:hAnsiTheme="majorBidi" w:cstheme="majorBidi"/>
                <w:b/>
                <w:bCs/>
                <w:sz w:val="18"/>
                <w:szCs w:val="18"/>
              </w:rPr>
              <w:t>-</w:t>
            </w:r>
          </w:p>
        </w:tc>
        <w:tc>
          <w:tcPr>
            <w:tcW w:w="2409" w:type="dxa"/>
            <w:shd w:val="clear" w:color="auto" w:fill="FFFFFF" w:themeFill="background1"/>
            <w:vAlign w:val="center"/>
          </w:tcPr>
          <w:p w14:paraId="0FD961B2" w14:textId="77777777" w:rsidR="00A47DEE" w:rsidRPr="00FC6938" w:rsidRDefault="00A47DEE" w:rsidP="00EE0E23">
            <w:pPr>
              <w:spacing w:after="200" w:line="276" w:lineRule="auto"/>
              <w:jc w:val="center"/>
              <w:rPr>
                <w:rFonts w:asciiTheme="majorBidi" w:hAnsiTheme="majorBidi" w:cstheme="majorBidi"/>
                <w:b/>
                <w:bCs/>
                <w:sz w:val="18"/>
                <w:szCs w:val="18"/>
              </w:rPr>
            </w:pPr>
            <w:r w:rsidRPr="00FC6938">
              <w:rPr>
                <w:rFonts w:asciiTheme="majorBidi" w:hAnsiTheme="majorBidi" w:cstheme="majorBidi"/>
                <w:b/>
                <w:bCs/>
                <w:sz w:val="18"/>
                <w:szCs w:val="18"/>
              </w:rPr>
              <w:t>-</w:t>
            </w:r>
          </w:p>
        </w:tc>
        <w:tc>
          <w:tcPr>
            <w:tcW w:w="1985" w:type="dxa"/>
            <w:shd w:val="clear" w:color="auto" w:fill="FFFFFF" w:themeFill="background1"/>
          </w:tcPr>
          <w:p w14:paraId="218590B4" w14:textId="77777777" w:rsidR="00A47DEE" w:rsidRPr="00FC6938" w:rsidRDefault="00A47DEE" w:rsidP="00EE0E23">
            <w:pPr>
              <w:rPr>
                <w:rFonts w:asciiTheme="majorBidi" w:hAnsiTheme="majorBidi" w:cstheme="majorBidi"/>
                <w:b/>
                <w:bCs/>
                <w:sz w:val="18"/>
                <w:szCs w:val="18"/>
              </w:rPr>
            </w:pPr>
            <w:r w:rsidRPr="00FC6938">
              <w:rPr>
                <w:rFonts w:asciiTheme="majorBidi" w:hAnsiTheme="majorBidi" w:cstheme="majorBidi"/>
                <w:b/>
                <w:bCs/>
                <w:sz w:val="18"/>
                <w:szCs w:val="18"/>
              </w:rPr>
              <w:t xml:space="preserve">Programme </w:t>
            </w:r>
            <w:r>
              <w:rPr>
                <w:rFonts w:asciiTheme="majorBidi" w:hAnsiTheme="majorBidi" w:cstheme="majorBidi"/>
                <w:b/>
                <w:bCs/>
                <w:sz w:val="18"/>
                <w:szCs w:val="18"/>
              </w:rPr>
              <w:t>de</w:t>
            </w:r>
          </w:p>
          <w:p w14:paraId="1C0D1538" w14:textId="77777777" w:rsidR="00A47DEE" w:rsidRPr="00FC6938" w:rsidRDefault="00A47DEE" w:rsidP="00EE0E23">
            <w:pPr>
              <w:rPr>
                <w:rFonts w:asciiTheme="majorBidi" w:hAnsiTheme="majorBidi" w:cstheme="majorBidi"/>
                <w:b/>
                <w:bCs/>
                <w:sz w:val="18"/>
                <w:szCs w:val="18"/>
              </w:rPr>
            </w:pPr>
            <w:proofErr w:type="gramStart"/>
            <w:r w:rsidRPr="00FC6938">
              <w:rPr>
                <w:rFonts w:asciiTheme="majorBidi" w:hAnsiTheme="majorBidi" w:cstheme="majorBidi"/>
                <w:b/>
                <w:bCs/>
                <w:sz w:val="18"/>
                <w:szCs w:val="18"/>
              </w:rPr>
              <w:t>prévention</w:t>
            </w:r>
            <w:proofErr w:type="gramEnd"/>
            <w:r w:rsidRPr="00FC6938">
              <w:rPr>
                <w:rFonts w:asciiTheme="majorBidi" w:hAnsiTheme="majorBidi" w:cstheme="majorBidi"/>
                <w:b/>
                <w:bCs/>
                <w:sz w:val="18"/>
                <w:szCs w:val="18"/>
              </w:rPr>
              <w:t xml:space="preserve"> contre les risques cardiovasculaires**</w:t>
            </w:r>
          </w:p>
        </w:tc>
      </w:tr>
      <w:tr w:rsidR="00A47DEE" w:rsidRPr="00F37E2C" w14:paraId="474FAFDB" w14:textId="77777777" w:rsidTr="00EE0E23">
        <w:tc>
          <w:tcPr>
            <w:tcW w:w="1908" w:type="dxa"/>
            <w:shd w:val="clear" w:color="auto" w:fill="909EE6"/>
            <w:vAlign w:val="center"/>
          </w:tcPr>
          <w:p w14:paraId="71BD6BA4" w14:textId="77777777" w:rsidR="00A47DEE" w:rsidRPr="00FC6938" w:rsidRDefault="00A47DEE" w:rsidP="00EE0E23">
            <w:pPr>
              <w:spacing w:after="200" w:line="276" w:lineRule="auto"/>
              <w:rPr>
                <w:rFonts w:asciiTheme="majorBidi" w:hAnsiTheme="majorBidi" w:cstheme="majorBidi"/>
                <w:b/>
                <w:bCs/>
                <w:sz w:val="18"/>
                <w:szCs w:val="18"/>
              </w:rPr>
            </w:pPr>
            <w:r w:rsidRPr="00FC6938">
              <w:rPr>
                <w:rFonts w:asciiTheme="majorBidi" w:hAnsiTheme="majorBidi" w:cstheme="majorBidi"/>
                <w:b/>
                <w:bCs/>
                <w:sz w:val="18"/>
                <w:szCs w:val="18"/>
              </w:rPr>
              <w:t>Vents et pollutions atmosphériques</w:t>
            </w:r>
          </w:p>
        </w:tc>
        <w:tc>
          <w:tcPr>
            <w:tcW w:w="1636" w:type="dxa"/>
            <w:shd w:val="clear" w:color="auto" w:fill="FFFFFF" w:themeFill="background1"/>
            <w:vAlign w:val="center"/>
          </w:tcPr>
          <w:p w14:paraId="0AD76DD7" w14:textId="77777777" w:rsidR="00A47DEE" w:rsidRPr="00FC6938" w:rsidRDefault="00A47DEE" w:rsidP="00EE0E23">
            <w:pPr>
              <w:spacing w:after="200" w:line="276" w:lineRule="auto"/>
              <w:ind w:hanging="104"/>
              <w:jc w:val="center"/>
              <w:rPr>
                <w:rFonts w:asciiTheme="majorBidi" w:hAnsiTheme="majorBidi" w:cstheme="majorBidi"/>
                <w:b/>
                <w:bCs/>
                <w:sz w:val="18"/>
                <w:szCs w:val="18"/>
              </w:rPr>
            </w:pPr>
            <w:r w:rsidRPr="00FC6938">
              <w:rPr>
                <w:rFonts w:asciiTheme="majorBidi" w:hAnsiTheme="majorBidi" w:cstheme="majorBidi"/>
                <w:b/>
                <w:bCs/>
                <w:sz w:val="18"/>
                <w:szCs w:val="18"/>
              </w:rPr>
              <w:t>-</w:t>
            </w:r>
          </w:p>
        </w:tc>
        <w:tc>
          <w:tcPr>
            <w:tcW w:w="2127" w:type="dxa"/>
            <w:shd w:val="clear" w:color="auto" w:fill="FFFFFF" w:themeFill="background1"/>
            <w:vAlign w:val="center"/>
          </w:tcPr>
          <w:p w14:paraId="059D7CF1" w14:textId="77777777" w:rsidR="00A47DEE" w:rsidRPr="00FC6938" w:rsidRDefault="00A47DEE" w:rsidP="00EE0E23">
            <w:pPr>
              <w:spacing w:after="200" w:line="276" w:lineRule="auto"/>
              <w:ind w:hanging="104"/>
              <w:jc w:val="center"/>
              <w:rPr>
                <w:rFonts w:asciiTheme="majorBidi" w:hAnsiTheme="majorBidi" w:cstheme="majorBidi"/>
                <w:b/>
                <w:bCs/>
                <w:sz w:val="18"/>
                <w:szCs w:val="18"/>
              </w:rPr>
            </w:pPr>
            <w:r w:rsidRPr="00FC6938">
              <w:rPr>
                <w:rFonts w:asciiTheme="majorBidi" w:hAnsiTheme="majorBidi" w:cstheme="majorBidi"/>
                <w:b/>
                <w:bCs/>
                <w:sz w:val="18"/>
                <w:szCs w:val="18"/>
              </w:rPr>
              <w:t>-</w:t>
            </w:r>
          </w:p>
        </w:tc>
        <w:tc>
          <w:tcPr>
            <w:tcW w:w="2409" w:type="dxa"/>
            <w:shd w:val="clear" w:color="auto" w:fill="FFFFFF" w:themeFill="background1"/>
          </w:tcPr>
          <w:p w14:paraId="05CEE6FF" w14:textId="77777777" w:rsidR="00A47DEE" w:rsidRPr="00FC6938" w:rsidRDefault="00A47DEE" w:rsidP="00EE0E23">
            <w:pPr>
              <w:rPr>
                <w:rFonts w:asciiTheme="majorBidi" w:hAnsiTheme="majorBidi" w:cstheme="majorBidi"/>
                <w:b/>
                <w:bCs/>
                <w:sz w:val="18"/>
                <w:szCs w:val="18"/>
              </w:rPr>
            </w:pPr>
            <w:r w:rsidRPr="00FC6938">
              <w:rPr>
                <w:rFonts w:asciiTheme="majorBidi" w:hAnsiTheme="majorBidi" w:cstheme="majorBidi"/>
                <w:b/>
                <w:bCs/>
                <w:sz w:val="18"/>
                <w:szCs w:val="18"/>
              </w:rPr>
              <w:t>Renforcement</w:t>
            </w:r>
            <w:r>
              <w:rPr>
                <w:rFonts w:asciiTheme="majorBidi" w:hAnsiTheme="majorBidi" w:cstheme="majorBidi"/>
                <w:b/>
                <w:bCs/>
                <w:sz w:val="18"/>
                <w:szCs w:val="18"/>
              </w:rPr>
              <w:t xml:space="preserve"> </w:t>
            </w:r>
            <w:r w:rsidRPr="00FC6938">
              <w:rPr>
                <w:rFonts w:asciiTheme="majorBidi" w:hAnsiTheme="majorBidi" w:cstheme="majorBidi"/>
                <w:b/>
                <w:bCs/>
                <w:sz w:val="18"/>
                <w:szCs w:val="18"/>
              </w:rPr>
              <w:t xml:space="preserve">de la lutte contre les maladies </w:t>
            </w:r>
            <w:proofErr w:type="gramStart"/>
            <w:r w:rsidRPr="00FC6938">
              <w:rPr>
                <w:rFonts w:asciiTheme="majorBidi" w:hAnsiTheme="majorBidi" w:cstheme="majorBidi"/>
                <w:b/>
                <w:bCs/>
                <w:sz w:val="18"/>
                <w:szCs w:val="18"/>
              </w:rPr>
              <w:t>respiratoires ,</w:t>
            </w:r>
            <w:proofErr w:type="gramEnd"/>
          </w:p>
          <w:p w14:paraId="6D807603" w14:textId="77777777" w:rsidR="00A47DEE" w:rsidRPr="00FC6938" w:rsidRDefault="00A47DEE" w:rsidP="00EE0E23">
            <w:pPr>
              <w:rPr>
                <w:rFonts w:asciiTheme="majorBidi" w:hAnsiTheme="majorBidi" w:cstheme="majorBidi"/>
                <w:b/>
                <w:bCs/>
                <w:sz w:val="18"/>
                <w:szCs w:val="18"/>
              </w:rPr>
            </w:pPr>
            <w:r w:rsidRPr="00FC6938">
              <w:rPr>
                <w:rFonts w:asciiTheme="majorBidi" w:hAnsiTheme="majorBidi" w:cstheme="majorBidi"/>
                <w:b/>
                <w:bCs/>
                <w:sz w:val="18"/>
                <w:szCs w:val="18"/>
              </w:rPr>
              <w:t>Mise en place d’un programme de mesures de la pollution de l’air ; Amélioration de système d’alerte précoce*</w:t>
            </w:r>
          </w:p>
        </w:tc>
        <w:tc>
          <w:tcPr>
            <w:tcW w:w="1985" w:type="dxa"/>
            <w:shd w:val="clear" w:color="auto" w:fill="FFFFFF" w:themeFill="background1"/>
            <w:vAlign w:val="center"/>
          </w:tcPr>
          <w:p w14:paraId="743C45D3" w14:textId="77777777" w:rsidR="00A47DEE" w:rsidRPr="00FC6938" w:rsidRDefault="00A47DEE" w:rsidP="00EE0E23">
            <w:pPr>
              <w:spacing w:after="200" w:line="276" w:lineRule="auto"/>
              <w:jc w:val="center"/>
              <w:rPr>
                <w:rFonts w:asciiTheme="majorBidi" w:hAnsiTheme="majorBidi" w:cstheme="majorBidi"/>
                <w:b/>
                <w:bCs/>
                <w:sz w:val="18"/>
                <w:szCs w:val="18"/>
              </w:rPr>
            </w:pPr>
            <w:r w:rsidRPr="00FC6938">
              <w:rPr>
                <w:rFonts w:asciiTheme="majorBidi" w:hAnsiTheme="majorBidi" w:cstheme="majorBidi"/>
                <w:b/>
                <w:bCs/>
                <w:sz w:val="18"/>
                <w:szCs w:val="18"/>
              </w:rPr>
              <w:t>-</w:t>
            </w:r>
          </w:p>
        </w:tc>
      </w:tr>
    </w:tbl>
    <w:p w14:paraId="571A364E" w14:textId="77777777" w:rsidR="00A47DEE" w:rsidRPr="0047467B" w:rsidRDefault="00A47DEE" w:rsidP="00A47DEE">
      <w:pPr>
        <w:spacing w:after="120"/>
        <w:jc w:val="center"/>
        <w:rPr>
          <w:rFonts w:asciiTheme="majorBidi" w:hAnsiTheme="majorBidi" w:cstheme="majorBidi"/>
          <w:color w:val="C00000"/>
          <w:sz w:val="28"/>
          <w:szCs w:val="28"/>
        </w:rPr>
      </w:pPr>
      <w:r w:rsidRPr="0047467B">
        <w:rPr>
          <w:rFonts w:asciiTheme="majorBidi" w:hAnsiTheme="majorBidi" w:cstheme="majorBidi"/>
          <w:b/>
          <w:bCs/>
          <w:i/>
          <w:iCs/>
          <w:sz w:val="18"/>
          <w:szCs w:val="18"/>
          <w:u w:val="single"/>
        </w:rPr>
        <w:t xml:space="preserve">Tableau 4 : </w:t>
      </w:r>
      <w:proofErr w:type="gramStart"/>
      <w:r w:rsidRPr="0047467B">
        <w:rPr>
          <w:rFonts w:asciiTheme="majorBidi" w:hAnsiTheme="majorBidi" w:cstheme="majorBidi"/>
          <w:b/>
          <w:bCs/>
          <w:i/>
          <w:iCs/>
          <w:sz w:val="18"/>
          <w:szCs w:val="18"/>
          <w:u w:val="single"/>
        </w:rPr>
        <w:t>Matrice  des</w:t>
      </w:r>
      <w:proofErr w:type="gramEnd"/>
      <w:r w:rsidRPr="0047467B">
        <w:rPr>
          <w:rFonts w:asciiTheme="majorBidi" w:hAnsiTheme="majorBidi" w:cstheme="majorBidi"/>
          <w:b/>
          <w:bCs/>
          <w:i/>
          <w:iCs/>
          <w:sz w:val="18"/>
          <w:szCs w:val="18"/>
          <w:u w:val="single"/>
        </w:rPr>
        <w:t xml:space="preserve"> programmes secteur santé selon les maladies face aux aléas climatiques (source Plan Sectoriel SANTE 2023)</w:t>
      </w:r>
    </w:p>
    <w:p w14:paraId="23A22EB2" w14:textId="77777777" w:rsidR="00A47DEE" w:rsidRPr="00DD474F" w:rsidRDefault="00A47DEE" w:rsidP="00A47DEE">
      <w:pPr>
        <w:autoSpaceDE w:val="0"/>
        <w:autoSpaceDN w:val="0"/>
        <w:adjustRightInd w:val="0"/>
        <w:jc w:val="center"/>
        <w:rPr>
          <w:rFonts w:asciiTheme="majorBidi" w:hAnsiTheme="majorBidi" w:cstheme="majorBidi"/>
          <w:i/>
          <w:iCs/>
          <w:sz w:val="16"/>
          <w:szCs w:val="16"/>
          <w:u w:val="single"/>
        </w:rPr>
      </w:pPr>
    </w:p>
    <w:p w14:paraId="1FE62CC5" w14:textId="77777777" w:rsidR="00A47DEE" w:rsidRPr="00FC1D2C" w:rsidRDefault="00A47DEE" w:rsidP="00A47DEE">
      <w:pPr>
        <w:jc w:val="both"/>
        <w:rPr>
          <w:rFonts w:asciiTheme="majorBidi" w:hAnsiTheme="majorBidi" w:cstheme="majorBidi"/>
          <w:color w:val="006666"/>
          <w:sz w:val="16"/>
          <w:szCs w:val="16"/>
        </w:rPr>
      </w:pPr>
      <w:r w:rsidRPr="00FC1D2C">
        <w:rPr>
          <w:rFonts w:asciiTheme="majorBidi" w:hAnsiTheme="majorBidi" w:cstheme="majorBidi"/>
          <w:color w:val="006666"/>
          <w:sz w:val="16"/>
          <w:szCs w:val="16"/>
        </w:rPr>
        <w:t xml:space="preserve">*NB : il existe le centre national de l’oncologie pour </w:t>
      </w:r>
      <w:proofErr w:type="gramStart"/>
      <w:r w:rsidRPr="00FC1D2C">
        <w:rPr>
          <w:rFonts w:asciiTheme="majorBidi" w:hAnsiTheme="majorBidi" w:cstheme="majorBidi"/>
          <w:color w:val="006666"/>
          <w:sz w:val="16"/>
          <w:szCs w:val="16"/>
        </w:rPr>
        <w:t>les prise</w:t>
      </w:r>
      <w:proofErr w:type="gramEnd"/>
      <w:r w:rsidRPr="00FC1D2C">
        <w:rPr>
          <w:rFonts w:asciiTheme="majorBidi" w:hAnsiTheme="majorBidi" w:cstheme="majorBidi"/>
          <w:color w:val="006666"/>
          <w:sz w:val="16"/>
          <w:szCs w:val="16"/>
        </w:rPr>
        <w:t xml:space="preserve"> en charge des pathologie cancer de poumon et le centre national de cardiologie pour </w:t>
      </w:r>
      <w:proofErr w:type="gramStart"/>
      <w:r w:rsidRPr="00FC1D2C">
        <w:rPr>
          <w:rFonts w:asciiTheme="majorBidi" w:hAnsiTheme="majorBidi" w:cstheme="majorBidi"/>
          <w:color w:val="006666"/>
          <w:sz w:val="16"/>
          <w:szCs w:val="16"/>
        </w:rPr>
        <w:t>les pathologie cardiovasculaires</w:t>
      </w:r>
      <w:proofErr w:type="gramEnd"/>
      <w:r w:rsidRPr="00FC1D2C">
        <w:rPr>
          <w:rFonts w:asciiTheme="majorBidi" w:hAnsiTheme="majorBidi" w:cstheme="majorBidi"/>
          <w:color w:val="006666"/>
          <w:sz w:val="16"/>
          <w:szCs w:val="16"/>
        </w:rPr>
        <w:t xml:space="preserve"> </w:t>
      </w:r>
    </w:p>
    <w:p w14:paraId="5C504DB1" w14:textId="77777777" w:rsidR="00A47DEE" w:rsidRPr="00FC1D2C" w:rsidRDefault="00A47DEE" w:rsidP="00A47DEE">
      <w:pPr>
        <w:rPr>
          <w:rFonts w:asciiTheme="majorBidi" w:hAnsiTheme="majorBidi" w:cstheme="majorBidi"/>
          <w:color w:val="006666"/>
          <w:sz w:val="16"/>
          <w:szCs w:val="16"/>
        </w:rPr>
      </w:pPr>
      <w:r w:rsidRPr="00FC1D2C">
        <w:rPr>
          <w:rFonts w:asciiTheme="majorBidi" w:hAnsiTheme="majorBidi" w:cstheme="majorBidi"/>
          <w:color w:val="006666"/>
          <w:sz w:val="16"/>
          <w:szCs w:val="16"/>
        </w:rPr>
        <w:t>** NB : Le département ne dispose pas de programme pour les maladies respiratoires, (Direction Lutte contre les maladies non transmissibles) source Décret n° 159-2021 du 20 octobre 2021, fixant l’organisation de Ministère de la santé et de son administration centrale</w:t>
      </w:r>
    </w:p>
    <w:p w14:paraId="0FC16E1F" w14:textId="77777777" w:rsidR="00A47DEE" w:rsidRPr="00FC1D2C" w:rsidRDefault="00A47DEE" w:rsidP="00A47DEE">
      <w:pPr>
        <w:rPr>
          <w:rFonts w:asciiTheme="majorBidi" w:hAnsiTheme="majorBidi" w:cstheme="majorBidi"/>
          <w:color w:val="006666"/>
          <w:sz w:val="16"/>
          <w:szCs w:val="16"/>
        </w:rPr>
      </w:pPr>
    </w:p>
    <w:p w14:paraId="0AAA678B" w14:textId="77777777" w:rsidR="00A47DEE" w:rsidRPr="00DB15AB" w:rsidRDefault="00A47DEE" w:rsidP="00A47DEE">
      <w:pPr>
        <w:jc w:val="both"/>
        <w:rPr>
          <w:rFonts w:eastAsia="Times New Roman" w:cstheme="minorHAnsi"/>
          <w:color w:val="DC3939"/>
          <w:sz w:val="8"/>
          <w:szCs w:val="8"/>
          <w:lang w:eastAsia="fr-FR"/>
        </w:rPr>
      </w:pPr>
    </w:p>
    <w:p w14:paraId="4652EF86" w14:textId="77777777" w:rsidR="00A47DEE" w:rsidRPr="0047467B" w:rsidRDefault="00A47DEE" w:rsidP="00A47DEE">
      <w:pPr>
        <w:pStyle w:val="Paragraphedeliste"/>
        <w:numPr>
          <w:ilvl w:val="0"/>
          <w:numId w:val="397"/>
        </w:numPr>
        <w:autoSpaceDE w:val="0"/>
        <w:autoSpaceDN w:val="0"/>
        <w:adjustRightInd w:val="0"/>
        <w:ind w:left="426" w:hanging="426"/>
        <w:rPr>
          <w:rFonts w:asciiTheme="majorBidi" w:hAnsiTheme="majorBidi" w:cstheme="majorBidi"/>
          <w:b/>
          <w:bCs/>
          <w:color w:val="000000"/>
          <w:sz w:val="28"/>
          <w:szCs w:val="28"/>
          <w:u w:val="single"/>
        </w:rPr>
      </w:pPr>
      <w:r w:rsidRPr="0047467B">
        <w:rPr>
          <w:rFonts w:asciiTheme="majorBidi" w:hAnsiTheme="majorBidi" w:cstheme="majorBidi"/>
          <w:b/>
          <w:bCs/>
          <w:color w:val="000000"/>
          <w:sz w:val="28"/>
          <w:szCs w:val="28"/>
          <w:u w:val="single"/>
        </w:rPr>
        <w:t>Mesures d’adaptation :</w:t>
      </w:r>
    </w:p>
    <w:p w14:paraId="76BBD213" w14:textId="77777777" w:rsidR="00A47DEE" w:rsidRDefault="00A47DEE" w:rsidP="00A47DEE">
      <w:pPr>
        <w:pStyle w:val="Normal2GC"/>
        <w:rPr>
          <w:rFonts w:asciiTheme="majorBidi" w:hAnsiTheme="majorBidi" w:cstheme="majorBidi"/>
          <w:color w:val="auto"/>
          <w:lang w:val="fr-FR"/>
        </w:rPr>
      </w:pPr>
      <w:r w:rsidRPr="00EE4BD3">
        <w:rPr>
          <w:rFonts w:asciiTheme="majorBidi" w:hAnsiTheme="majorBidi" w:cstheme="majorBidi"/>
          <w:color w:val="auto"/>
          <w:lang w:val="fr-FR"/>
        </w:rPr>
        <w:t xml:space="preserve">Le secteur de la santé en Mauritanie présente, à l’horizon 2030, un niveau d’adaptation et de résilience lui garantissant de faire face aux risques sanitaires liés au climat, ainsi que des systèmes de santé ayant atteint un niveau zéro d’émission carbone. L’analyse du cadre institutionnel de prise en charge des questions de changement climatique au sein du Ministère de la santé fait ressortir que le sujet relève actuellement de la compétence de la Direction de l’Hygiène Publique (DHP), dont la directrice assure la fonction de Point Focal Changement Climatique. Le département de la santé a élaboré une feuille de route pour la </w:t>
      </w:r>
      <w:bookmarkStart w:id="437" w:name="_Hlk175142595"/>
      <w:r w:rsidRPr="00EE4BD3">
        <w:rPr>
          <w:rFonts w:asciiTheme="majorBidi" w:hAnsiTheme="majorBidi" w:cstheme="majorBidi"/>
          <w:color w:val="auto"/>
          <w:lang w:val="fr-FR"/>
        </w:rPr>
        <w:t>construction de système de santé résilients au climat, durables et à faible émission de carbone en 2023</w:t>
      </w:r>
      <w:bookmarkEnd w:id="437"/>
      <w:r>
        <w:rPr>
          <w:rFonts w:asciiTheme="majorBidi" w:hAnsiTheme="majorBidi" w:cstheme="majorBidi"/>
          <w:color w:val="auto"/>
          <w:lang w:val="fr-FR"/>
        </w:rPr>
        <w:t xml:space="preserve">, à l’instar des secteurs gouvernementaux, le secteur de la santé a élaboré son </w:t>
      </w:r>
      <w:r w:rsidRPr="00294466">
        <w:rPr>
          <w:rFonts w:asciiTheme="majorBidi" w:hAnsiTheme="majorBidi" w:cstheme="majorBidi"/>
          <w:b/>
          <w:bCs/>
          <w:color w:val="00CC66"/>
          <w:lang w:val="fr-FR"/>
        </w:rPr>
        <w:t>Plan sectoriel Santé 2023-2030 pour la mise en œuvre de la CDN Mauritanie</w:t>
      </w:r>
      <w:r w:rsidRPr="00EE4BD3">
        <w:rPr>
          <w:rFonts w:asciiTheme="majorBidi" w:hAnsiTheme="majorBidi" w:cstheme="majorBidi"/>
          <w:color w:val="auto"/>
          <w:lang w:val="fr-FR"/>
        </w:rPr>
        <w:t xml:space="preserve">. </w:t>
      </w:r>
    </w:p>
    <w:p w14:paraId="1E772069" w14:textId="77777777" w:rsidR="00A47DEE" w:rsidRPr="00EE4BD3" w:rsidRDefault="00A47DEE" w:rsidP="00A47DEE">
      <w:pPr>
        <w:pStyle w:val="Normal2GC"/>
        <w:rPr>
          <w:rFonts w:asciiTheme="majorBidi" w:hAnsiTheme="majorBidi" w:cstheme="majorBidi"/>
          <w:color w:val="auto"/>
          <w:lang w:val="fr-FR"/>
        </w:rPr>
      </w:pPr>
      <w:r w:rsidRPr="00EE4BD3">
        <w:rPr>
          <w:rFonts w:asciiTheme="majorBidi" w:hAnsiTheme="majorBidi" w:cstheme="majorBidi"/>
          <w:color w:val="auto"/>
          <w:lang w:val="fr-FR"/>
        </w:rPr>
        <w:t xml:space="preserve">Les activités de mise en œuvre </w:t>
      </w:r>
      <w:r>
        <w:rPr>
          <w:rFonts w:asciiTheme="majorBidi" w:hAnsiTheme="majorBidi" w:cstheme="majorBidi"/>
          <w:color w:val="auto"/>
          <w:lang w:val="fr-FR"/>
        </w:rPr>
        <w:t xml:space="preserve">de ce plan est basée sur trois </w:t>
      </w:r>
      <w:r w:rsidRPr="00EE4BD3">
        <w:rPr>
          <w:rFonts w:asciiTheme="majorBidi" w:hAnsiTheme="majorBidi" w:cstheme="majorBidi"/>
          <w:color w:val="auto"/>
          <w:lang w:val="fr-FR"/>
        </w:rPr>
        <w:t>objectifs d’engagement</w:t>
      </w:r>
      <w:r>
        <w:rPr>
          <w:rFonts w:asciiTheme="majorBidi" w:hAnsiTheme="majorBidi" w:cstheme="majorBidi"/>
          <w:color w:val="auto"/>
          <w:lang w:val="fr-FR"/>
        </w:rPr>
        <w:t> : Adaptation, Atténuation et Gouvernance.</w:t>
      </w:r>
    </w:p>
    <w:p w14:paraId="5B231936" w14:textId="77777777" w:rsidR="00A47DEE" w:rsidRPr="0047467B" w:rsidRDefault="00A47DEE" w:rsidP="00A47DEE">
      <w:pPr>
        <w:pStyle w:val="Normal2GC"/>
        <w:ind w:firstLine="426"/>
        <w:rPr>
          <w:rFonts w:asciiTheme="majorBidi" w:hAnsiTheme="majorBidi" w:cstheme="majorBidi"/>
          <w:b/>
          <w:bCs/>
          <w:color w:val="auto"/>
          <w:u w:val="single"/>
          <w:lang w:val="fr-FR"/>
        </w:rPr>
      </w:pPr>
      <w:r w:rsidRPr="0047467B">
        <w:rPr>
          <w:rFonts w:asciiTheme="majorBidi" w:hAnsiTheme="majorBidi" w:cstheme="majorBidi"/>
          <w:b/>
          <w:bCs/>
          <w:color w:val="auto"/>
          <w:u w:val="single"/>
          <w:lang w:val="fr-FR"/>
        </w:rPr>
        <w:t xml:space="preserve">10.1 Adaptation </w:t>
      </w:r>
    </w:p>
    <w:p w14:paraId="6C8B07E1" w14:textId="77777777" w:rsidR="00A47DEE" w:rsidRPr="00EE4BD3" w:rsidRDefault="00A47DEE" w:rsidP="00A47DEE">
      <w:pPr>
        <w:pStyle w:val="Normal2GC"/>
        <w:rPr>
          <w:rFonts w:asciiTheme="majorBidi" w:hAnsiTheme="majorBidi" w:cstheme="majorBidi"/>
          <w:color w:val="auto"/>
          <w:lang w:val="fr-FR"/>
        </w:rPr>
      </w:pPr>
      <w:r>
        <w:rPr>
          <w:rFonts w:asciiTheme="majorBidi" w:hAnsiTheme="majorBidi" w:cstheme="majorBidi"/>
          <w:color w:val="auto"/>
          <w:lang w:val="fr-FR"/>
        </w:rPr>
        <w:t>Le département identifie la m</w:t>
      </w:r>
      <w:r w:rsidRPr="00DB15AB">
        <w:rPr>
          <w:rFonts w:asciiTheme="majorBidi" w:hAnsiTheme="majorBidi" w:cstheme="majorBidi"/>
          <w:color w:val="auto"/>
          <w:lang w:val="fr-FR"/>
        </w:rPr>
        <w:t xml:space="preserve">atrice de sensibilité, impacts et options d’adaptation pour </w:t>
      </w:r>
      <w:r>
        <w:rPr>
          <w:rFonts w:asciiTheme="majorBidi" w:hAnsiTheme="majorBidi" w:cstheme="majorBidi"/>
          <w:color w:val="auto"/>
          <w:lang w:val="fr-FR"/>
        </w:rPr>
        <w:t xml:space="preserve">le secteur. </w:t>
      </w:r>
      <w:r w:rsidRPr="00EE4BD3">
        <w:rPr>
          <w:rFonts w:asciiTheme="majorBidi" w:hAnsiTheme="majorBidi" w:cstheme="majorBidi"/>
          <w:color w:val="auto"/>
          <w:lang w:val="fr-FR"/>
        </w:rPr>
        <w:t>Le P</w:t>
      </w:r>
      <w:r>
        <w:rPr>
          <w:rFonts w:asciiTheme="majorBidi" w:hAnsiTheme="majorBidi" w:cstheme="majorBidi"/>
          <w:color w:val="auto"/>
          <w:lang w:val="fr-FR"/>
        </w:rPr>
        <w:t xml:space="preserve">lan d’action </w:t>
      </w:r>
      <w:r w:rsidRPr="00EE4BD3">
        <w:rPr>
          <w:rFonts w:asciiTheme="majorBidi" w:hAnsiTheme="majorBidi" w:cstheme="majorBidi"/>
          <w:color w:val="auto"/>
          <w:lang w:val="fr-FR"/>
        </w:rPr>
        <w:t>Santé propose 4 programmes avec 16 actions et idées de projets d’adaptation.</w:t>
      </w:r>
      <w:r>
        <w:rPr>
          <w:rFonts w:asciiTheme="majorBidi" w:hAnsiTheme="majorBidi" w:cstheme="majorBidi"/>
          <w:color w:val="auto"/>
          <w:lang w:val="fr-FR"/>
        </w:rPr>
        <w:t xml:space="preserve"> Dans ce sens il propose :</w:t>
      </w:r>
    </w:p>
    <w:p w14:paraId="2CBA25B8" w14:textId="77777777" w:rsidR="00A47DEE" w:rsidRPr="00294466" w:rsidRDefault="00A47DEE" w:rsidP="00A47DEE">
      <w:pPr>
        <w:pStyle w:val="Normal2GC"/>
        <w:numPr>
          <w:ilvl w:val="0"/>
          <w:numId w:val="433"/>
        </w:numPr>
        <w:ind w:left="426"/>
        <w:rPr>
          <w:rFonts w:asciiTheme="majorBidi" w:hAnsiTheme="majorBidi" w:cstheme="majorBidi"/>
          <w:b/>
          <w:bCs/>
          <w:color w:val="833C0B" w:themeColor="accent2" w:themeShade="80"/>
          <w:u w:val="single"/>
          <w:lang w:val="fr-FR"/>
        </w:rPr>
      </w:pPr>
      <w:r w:rsidRPr="00294466">
        <w:rPr>
          <w:rFonts w:asciiTheme="majorBidi" w:hAnsiTheme="majorBidi" w:cstheme="majorBidi"/>
          <w:b/>
          <w:bCs/>
          <w:color w:val="833C0B" w:themeColor="accent2" w:themeShade="80"/>
          <w:u w:val="single"/>
          <w:lang w:val="fr-FR"/>
        </w:rPr>
        <w:t>Programme 1 : Renforcement du cadre politique et institutionnel pour faire face aux impacts du changement climatique sur la santé :</w:t>
      </w:r>
    </w:p>
    <w:p w14:paraId="7C45DBBB" w14:textId="77777777" w:rsidR="00A47DEE" w:rsidRDefault="00A47DEE" w:rsidP="00A47DEE">
      <w:pPr>
        <w:pStyle w:val="Normal2GC"/>
        <w:rPr>
          <w:rFonts w:asciiTheme="majorBidi" w:hAnsiTheme="majorBidi" w:cstheme="majorBidi"/>
          <w:color w:val="auto"/>
          <w:lang w:val="fr-FR"/>
        </w:rPr>
      </w:pPr>
      <w:r>
        <w:rPr>
          <w:rFonts w:asciiTheme="majorBidi" w:hAnsiTheme="majorBidi" w:cstheme="majorBidi"/>
          <w:color w:val="auto"/>
          <w:lang w:val="fr-FR"/>
        </w:rPr>
        <w:t>Dans ce programme il développe la r</w:t>
      </w:r>
      <w:r w:rsidRPr="00DB15AB">
        <w:rPr>
          <w:rFonts w:asciiTheme="majorBidi" w:hAnsiTheme="majorBidi" w:cstheme="majorBidi"/>
          <w:color w:val="auto"/>
          <w:lang w:val="fr-FR"/>
        </w:rPr>
        <w:t>éalisation régulière d’évaluations de la vulnérabilité et de l'adaptation au changement</w:t>
      </w:r>
      <w:r>
        <w:rPr>
          <w:rFonts w:asciiTheme="majorBidi" w:hAnsiTheme="majorBidi" w:cstheme="majorBidi"/>
          <w:color w:val="auto"/>
          <w:lang w:val="fr-FR"/>
        </w:rPr>
        <w:t xml:space="preserve"> </w:t>
      </w:r>
      <w:r w:rsidRPr="00EE4BD3">
        <w:rPr>
          <w:rFonts w:asciiTheme="majorBidi" w:hAnsiTheme="majorBidi" w:cstheme="majorBidi"/>
          <w:color w:val="auto"/>
          <w:lang w:val="fr-FR"/>
        </w:rPr>
        <w:t>climatique et à la santé (V&amp;A) au niveau des populations et des établissements de soins de santé</w:t>
      </w:r>
      <w:r>
        <w:rPr>
          <w:rFonts w:asciiTheme="majorBidi" w:hAnsiTheme="majorBidi" w:cstheme="majorBidi"/>
          <w:color w:val="auto"/>
          <w:lang w:val="fr-FR"/>
        </w:rPr>
        <w:t>. Et l’é</w:t>
      </w:r>
      <w:r w:rsidRPr="00EE4BD3">
        <w:rPr>
          <w:rFonts w:asciiTheme="majorBidi" w:hAnsiTheme="majorBidi" w:cstheme="majorBidi"/>
          <w:color w:val="auto"/>
          <w:lang w:val="fr-FR"/>
        </w:rPr>
        <w:t>laboration d</w:t>
      </w:r>
      <w:r>
        <w:rPr>
          <w:rFonts w:asciiTheme="majorBidi" w:hAnsiTheme="majorBidi" w:cstheme="majorBidi"/>
          <w:color w:val="auto"/>
          <w:lang w:val="fr-FR"/>
        </w:rPr>
        <w:t>u</w:t>
      </w:r>
      <w:r w:rsidRPr="00EE4BD3">
        <w:rPr>
          <w:rFonts w:asciiTheme="majorBidi" w:hAnsiTheme="majorBidi" w:cstheme="majorBidi"/>
          <w:color w:val="auto"/>
          <w:lang w:val="fr-FR"/>
        </w:rPr>
        <w:t xml:space="preserve"> plan national d'adaptation dans le domaine de la santé (PNAS) fondé sur</w:t>
      </w:r>
      <w:r>
        <w:rPr>
          <w:rFonts w:asciiTheme="majorBidi" w:hAnsiTheme="majorBidi" w:cstheme="majorBidi"/>
          <w:color w:val="auto"/>
          <w:lang w:val="fr-FR"/>
        </w:rPr>
        <w:t xml:space="preserve"> </w:t>
      </w:r>
      <w:r w:rsidRPr="00EE4BD3">
        <w:rPr>
          <w:rFonts w:asciiTheme="majorBidi" w:hAnsiTheme="majorBidi" w:cstheme="majorBidi"/>
          <w:color w:val="auto"/>
          <w:lang w:val="fr-FR"/>
        </w:rPr>
        <w:t>la V&amp;A dans le domaine de la santé, qui fait partie du Plan National d‘Adaptation (PNA) ; un PNAS de</w:t>
      </w:r>
      <w:r>
        <w:rPr>
          <w:rFonts w:asciiTheme="majorBidi" w:hAnsiTheme="majorBidi" w:cstheme="majorBidi"/>
          <w:color w:val="auto"/>
          <w:lang w:val="fr-FR"/>
        </w:rPr>
        <w:t xml:space="preserve"> </w:t>
      </w:r>
      <w:r w:rsidRPr="00EE4BD3">
        <w:rPr>
          <w:rFonts w:asciiTheme="majorBidi" w:hAnsiTheme="majorBidi" w:cstheme="majorBidi"/>
          <w:color w:val="auto"/>
          <w:lang w:val="fr-FR"/>
        </w:rPr>
        <w:t>base, suivi d’actualisations à mi- période</w:t>
      </w:r>
      <w:r>
        <w:rPr>
          <w:rFonts w:asciiTheme="majorBidi" w:hAnsiTheme="majorBidi" w:cstheme="majorBidi"/>
          <w:color w:val="auto"/>
          <w:lang w:val="fr-FR"/>
        </w:rPr>
        <w:t xml:space="preserve"> de ce plan.</w:t>
      </w:r>
    </w:p>
    <w:p w14:paraId="1F0B979C" w14:textId="77777777" w:rsidR="00A47DEE" w:rsidRPr="00294466" w:rsidRDefault="00A47DEE" w:rsidP="00A47DEE">
      <w:pPr>
        <w:pStyle w:val="Normal2GC"/>
        <w:numPr>
          <w:ilvl w:val="0"/>
          <w:numId w:val="433"/>
        </w:numPr>
        <w:ind w:left="426"/>
        <w:rPr>
          <w:rFonts w:asciiTheme="majorBidi" w:hAnsiTheme="majorBidi" w:cstheme="majorBidi"/>
          <w:b/>
          <w:bCs/>
          <w:color w:val="833C0B" w:themeColor="accent2" w:themeShade="80"/>
          <w:u w:val="single"/>
          <w:lang w:val="fr-FR"/>
        </w:rPr>
      </w:pPr>
      <w:r w:rsidRPr="00294466">
        <w:rPr>
          <w:rFonts w:asciiTheme="majorBidi" w:hAnsiTheme="majorBidi" w:cstheme="majorBidi"/>
          <w:b/>
          <w:bCs/>
          <w:color w:val="833C0B" w:themeColor="accent2" w:themeShade="80"/>
          <w:u w:val="single"/>
          <w:lang w:val="fr-FR"/>
        </w:rPr>
        <w:t>Programme 2 : Renforcement des actions de lutte contre les principales maladies sensibles au climat (diarrhées et maladies hydriques, paludisme et maladies vectorielles, malnutrition, maladies cardiovasculaires, maladies mentales) :</w:t>
      </w:r>
    </w:p>
    <w:p w14:paraId="1AC40D1F" w14:textId="02933445" w:rsidR="00A47DEE" w:rsidRDefault="00A47DEE" w:rsidP="00A47DEE">
      <w:pPr>
        <w:pStyle w:val="Normal2GC"/>
        <w:rPr>
          <w:rFonts w:asciiTheme="majorBidi" w:hAnsiTheme="majorBidi" w:cstheme="majorBidi"/>
          <w:color w:val="auto"/>
          <w:lang w:val="fr-FR"/>
        </w:rPr>
      </w:pPr>
      <w:r>
        <w:rPr>
          <w:rFonts w:asciiTheme="majorBidi" w:hAnsiTheme="majorBidi" w:cstheme="majorBidi"/>
          <w:color w:val="auto"/>
          <w:lang w:val="fr-FR"/>
        </w:rPr>
        <w:t>Le secteur propose le r</w:t>
      </w:r>
      <w:r w:rsidRPr="00EE4BD3">
        <w:rPr>
          <w:rFonts w:asciiTheme="majorBidi" w:hAnsiTheme="majorBidi" w:cstheme="majorBidi"/>
          <w:color w:val="auto"/>
          <w:lang w:val="fr-FR"/>
        </w:rPr>
        <w:t xml:space="preserve">enforcement de la lutte contre les maladies </w:t>
      </w:r>
      <w:r>
        <w:rPr>
          <w:rFonts w:asciiTheme="majorBidi" w:hAnsiTheme="majorBidi" w:cstheme="majorBidi"/>
          <w:color w:val="auto"/>
          <w:lang w:val="fr-FR"/>
        </w:rPr>
        <w:t xml:space="preserve">sensible au climat dans </w:t>
      </w:r>
      <w:r w:rsidRPr="00EE4BD3">
        <w:rPr>
          <w:rFonts w:asciiTheme="majorBidi" w:hAnsiTheme="majorBidi" w:cstheme="majorBidi"/>
          <w:color w:val="auto"/>
          <w:lang w:val="fr-FR"/>
        </w:rPr>
        <w:t>toutes zones</w:t>
      </w:r>
      <w:r>
        <w:rPr>
          <w:rFonts w:asciiTheme="majorBidi" w:hAnsiTheme="majorBidi" w:cstheme="majorBidi"/>
          <w:color w:val="auto"/>
          <w:lang w:val="fr-FR"/>
        </w:rPr>
        <w:t xml:space="preserve"> en Mauritanie </w:t>
      </w:r>
      <w:r w:rsidRPr="00EE4BD3">
        <w:rPr>
          <w:rFonts w:asciiTheme="majorBidi" w:hAnsiTheme="majorBidi" w:cstheme="majorBidi"/>
          <w:color w:val="auto"/>
          <w:lang w:val="fr-FR"/>
        </w:rPr>
        <w:t>pour</w:t>
      </w:r>
      <w:r>
        <w:rPr>
          <w:rFonts w:asciiTheme="majorBidi" w:hAnsiTheme="majorBidi" w:cstheme="majorBidi"/>
          <w:color w:val="auto"/>
          <w:lang w:val="fr-FR"/>
        </w:rPr>
        <w:t xml:space="preserve"> </w:t>
      </w:r>
      <w:r w:rsidRPr="00EE4BD3">
        <w:rPr>
          <w:rFonts w:asciiTheme="majorBidi" w:hAnsiTheme="majorBidi" w:cstheme="majorBidi"/>
          <w:color w:val="auto"/>
          <w:lang w:val="fr-FR"/>
        </w:rPr>
        <w:t>l’adaptation au changement au climatique</w:t>
      </w:r>
      <w:r>
        <w:rPr>
          <w:rFonts w:asciiTheme="majorBidi" w:hAnsiTheme="majorBidi" w:cstheme="majorBidi"/>
          <w:color w:val="auto"/>
          <w:lang w:val="fr-FR"/>
        </w:rPr>
        <w:t>, mai</w:t>
      </w:r>
      <w:r w:rsidR="002C511E">
        <w:rPr>
          <w:rFonts w:asciiTheme="majorBidi" w:hAnsiTheme="majorBidi" w:cstheme="majorBidi"/>
          <w:color w:val="auto"/>
          <w:lang w:val="fr-FR"/>
        </w:rPr>
        <w:t>s</w:t>
      </w:r>
      <w:r>
        <w:rPr>
          <w:rFonts w:asciiTheme="majorBidi" w:hAnsiTheme="majorBidi" w:cstheme="majorBidi"/>
          <w:color w:val="auto"/>
          <w:lang w:val="fr-FR"/>
        </w:rPr>
        <w:t xml:space="preserve"> aussi le renforcement de </w:t>
      </w:r>
      <w:r w:rsidRPr="00EE4BD3">
        <w:rPr>
          <w:rFonts w:asciiTheme="majorBidi" w:hAnsiTheme="majorBidi" w:cstheme="majorBidi"/>
          <w:color w:val="auto"/>
          <w:lang w:val="fr-FR"/>
        </w:rPr>
        <w:t>la prévention et de prise en charge de</w:t>
      </w:r>
      <w:r>
        <w:rPr>
          <w:rFonts w:asciiTheme="majorBidi" w:hAnsiTheme="majorBidi" w:cstheme="majorBidi"/>
          <w:color w:val="auto"/>
          <w:lang w:val="fr-FR"/>
        </w:rPr>
        <w:t xml:space="preserve"> ces maladies </w:t>
      </w:r>
      <w:r w:rsidRPr="00EE4BD3">
        <w:rPr>
          <w:rFonts w:asciiTheme="majorBidi" w:hAnsiTheme="majorBidi" w:cstheme="majorBidi"/>
          <w:color w:val="auto"/>
          <w:lang w:val="fr-FR"/>
        </w:rPr>
        <w:t xml:space="preserve">notamment chez </w:t>
      </w:r>
      <w:r>
        <w:rPr>
          <w:rFonts w:asciiTheme="majorBidi" w:hAnsiTheme="majorBidi" w:cstheme="majorBidi"/>
          <w:color w:val="auto"/>
          <w:lang w:val="fr-FR"/>
        </w:rPr>
        <w:t>les personnes vulnérables (</w:t>
      </w:r>
      <w:r w:rsidRPr="00EE4BD3">
        <w:rPr>
          <w:rFonts w:asciiTheme="majorBidi" w:hAnsiTheme="majorBidi" w:cstheme="majorBidi"/>
          <w:color w:val="auto"/>
          <w:lang w:val="fr-FR"/>
        </w:rPr>
        <w:t>les enfants</w:t>
      </w:r>
      <w:r>
        <w:rPr>
          <w:rFonts w:asciiTheme="majorBidi" w:hAnsiTheme="majorBidi" w:cstheme="majorBidi"/>
          <w:color w:val="auto"/>
          <w:lang w:val="fr-FR"/>
        </w:rPr>
        <w:t xml:space="preserve"> et les femmes</w:t>
      </w:r>
      <w:proofErr w:type="gramStart"/>
      <w:r>
        <w:rPr>
          <w:rFonts w:asciiTheme="majorBidi" w:hAnsiTheme="majorBidi" w:cstheme="majorBidi"/>
          <w:color w:val="auto"/>
          <w:lang w:val="fr-FR"/>
        </w:rPr>
        <w:t>) ,</w:t>
      </w:r>
      <w:proofErr w:type="gramEnd"/>
      <w:r>
        <w:rPr>
          <w:rFonts w:asciiTheme="majorBidi" w:hAnsiTheme="majorBidi" w:cstheme="majorBidi"/>
          <w:color w:val="auto"/>
          <w:lang w:val="fr-FR"/>
        </w:rPr>
        <w:t xml:space="preserve"> avec l’amélioration de système de riposte et d</w:t>
      </w:r>
      <w:r w:rsidRPr="00D5462D">
        <w:rPr>
          <w:rFonts w:asciiTheme="majorBidi" w:hAnsiTheme="majorBidi" w:cstheme="majorBidi"/>
          <w:color w:val="auto"/>
          <w:lang w:val="fr-FR"/>
        </w:rPr>
        <w:t>’alerte</w:t>
      </w:r>
      <w:r>
        <w:rPr>
          <w:rFonts w:asciiTheme="majorBidi" w:hAnsiTheme="majorBidi" w:cstheme="majorBidi"/>
          <w:color w:val="auto"/>
          <w:lang w:val="fr-FR"/>
        </w:rPr>
        <w:t xml:space="preserve"> </w:t>
      </w:r>
      <w:r w:rsidRPr="00D5462D">
        <w:rPr>
          <w:rFonts w:asciiTheme="majorBidi" w:hAnsiTheme="majorBidi" w:cstheme="majorBidi"/>
          <w:color w:val="auto"/>
          <w:lang w:val="fr-FR"/>
        </w:rPr>
        <w:t>précoce</w:t>
      </w:r>
      <w:r>
        <w:rPr>
          <w:rFonts w:asciiTheme="majorBidi" w:hAnsiTheme="majorBidi" w:cstheme="majorBidi"/>
          <w:color w:val="auto"/>
          <w:lang w:val="fr-FR"/>
        </w:rPr>
        <w:t>. Le secteur propose la m</w:t>
      </w:r>
      <w:r w:rsidRPr="00D5462D">
        <w:rPr>
          <w:rFonts w:asciiTheme="majorBidi" w:hAnsiTheme="majorBidi" w:cstheme="majorBidi"/>
          <w:color w:val="auto"/>
          <w:lang w:val="fr-FR"/>
        </w:rPr>
        <w:t xml:space="preserve">ise en place </w:t>
      </w:r>
      <w:r>
        <w:rPr>
          <w:rFonts w:asciiTheme="majorBidi" w:hAnsiTheme="majorBidi" w:cstheme="majorBidi"/>
          <w:color w:val="auto"/>
          <w:lang w:val="fr-FR"/>
        </w:rPr>
        <w:t>des</w:t>
      </w:r>
      <w:r w:rsidRPr="00D5462D">
        <w:rPr>
          <w:rFonts w:asciiTheme="majorBidi" w:hAnsiTheme="majorBidi" w:cstheme="majorBidi"/>
          <w:color w:val="auto"/>
          <w:lang w:val="fr-FR"/>
        </w:rPr>
        <w:t xml:space="preserve"> programme</w:t>
      </w:r>
      <w:r>
        <w:rPr>
          <w:rFonts w:asciiTheme="majorBidi" w:hAnsiTheme="majorBidi" w:cstheme="majorBidi"/>
          <w:color w:val="auto"/>
          <w:lang w:val="fr-FR"/>
        </w:rPr>
        <w:t xml:space="preserve">s chargés des maladies respiratoire et maladies hydriques pour </w:t>
      </w:r>
      <w:r w:rsidRPr="00EE4BD3">
        <w:rPr>
          <w:rFonts w:asciiTheme="majorBidi" w:hAnsiTheme="majorBidi" w:cstheme="majorBidi"/>
          <w:color w:val="auto"/>
          <w:lang w:val="fr-FR"/>
        </w:rPr>
        <w:t>l’adaptation au changement climatique</w:t>
      </w:r>
      <w:r>
        <w:rPr>
          <w:rFonts w:asciiTheme="majorBidi" w:hAnsiTheme="majorBidi" w:cstheme="majorBidi"/>
          <w:color w:val="auto"/>
          <w:lang w:val="fr-FR"/>
        </w:rPr>
        <w:t>.</w:t>
      </w:r>
    </w:p>
    <w:p w14:paraId="6E3822BE" w14:textId="77777777" w:rsidR="00A47DEE" w:rsidRPr="00294466" w:rsidRDefault="00A47DEE" w:rsidP="00A47DEE">
      <w:pPr>
        <w:pStyle w:val="Normal2GC"/>
        <w:numPr>
          <w:ilvl w:val="0"/>
          <w:numId w:val="433"/>
        </w:numPr>
        <w:ind w:left="426"/>
        <w:rPr>
          <w:rFonts w:asciiTheme="majorBidi" w:hAnsiTheme="majorBidi" w:cstheme="majorBidi"/>
          <w:b/>
          <w:bCs/>
          <w:color w:val="833C0B" w:themeColor="accent2" w:themeShade="80"/>
          <w:u w:val="single"/>
          <w:lang w:val="fr-FR"/>
        </w:rPr>
      </w:pPr>
      <w:r w:rsidRPr="00294466">
        <w:rPr>
          <w:rFonts w:asciiTheme="majorBidi" w:hAnsiTheme="majorBidi" w:cstheme="majorBidi"/>
          <w:b/>
          <w:bCs/>
          <w:color w:val="833C0B" w:themeColor="accent2" w:themeShade="80"/>
          <w:u w:val="single"/>
          <w:lang w:val="fr-FR"/>
        </w:rPr>
        <w:t xml:space="preserve">Programme 3 : Renforcement des actions de préparation aux urgences et catastrophes sanitaires liées au climat, y compris celles relatives à un réseau de surveillance et un système d’alerte précoce : </w:t>
      </w:r>
    </w:p>
    <w:p w14:paraId="7A99D3F9" w14:textId="77777777" w:rsidR="00A47DEE" w:rsidRPr="00EE4BD3" w:rsidRDefault="00A47DEE" w:rsidP="00A47DEE">
      <w:pPr>
        <w:pStyle w:val="Normal2GC"/>
        <w:rPr>
          <w:rFonts w:asciiTheme="majorBidi" w:hAnsiTheme="majorBidi" w:cstheme="majorBidi"/>
          <w:color w:val="auto"/>
          <w:lang w:val="fr-FR"/>
        </w:rPr>
      </w:pPr>
      <w:r>
        <w:rPr>
          <w:rFonts w:asciiTheme="majorBidi" w:hAnsiTheme="majorBidi" w:cstheme="majorBidi"/>
          <w:color w:val="auto"/>
          <w:lang w:val="fr-FR"/>
        </w:rPr>
        <w:t>Ce programme est basé sur le r</w:t>
      </w:r>
      <w:r w:rsidRPr="00EE4BD3">
        <w:rPr>
          <w:rFonts w:asciiTheme="majorBidi" w:hAnsiTheme="majorBidi" w:cstheme="majorBidi"/>
          <w:color w:val="auto"/>
          <w:lang w:val="fr-FR"/>
        </w:rPr>
        <w:t>enforcement des systèmes de surveillance des maladies sensibles au climat, du</w:t>
      </w:r>
      <w:r w:rsidRPr="00DB3BBF">
        <w:rPr>
          <w:rFonts w:asciiTheme="majorBidi" w:hAnsiTheme="majorBidi" w:cstheme="majorBidi"/>
          <w:color w:val="auto"/>
          <w:lang w:val="fr-FR"/>
        </w:rPr>
        <w:t xml:space="preserve"> </w:t>
      </w:r>
      <w:r w:rsidRPr="00EE4BD3">
        <w:rPr>
          <w:rFonts w:asciiTheme="majorBidi" w:hAnsiTheme="majorBidi" w:cstheme="majorBidi"/>
          <w:color w:val="auto"/>
          <w:lang w:val="fr-FR"/>
        </w:rPr>
        <w:t>situations météorologiques, environnementales et sociodémographiques</w:t>
      </w:r>
      <w:r>
        <w:rPr>
          <w:rFonts w:asciiTheme="majorBidi" w:hAnsiTheme="majorBidi" w:cstheme="majorBidi"/>
          <w:color w:val="auto"/>
          <w:lang w:val="fr-FR"/>
        </w:rPr>
        <w:t>, avec la m</w:t>
      </w:r>
      <w:r w:rsidRPr="00EE4BD3">
        <w:rPr>
          <w:rFonts w:asciiTheme="majorBidi" w:hAnsiTheme="majorBidi" w:cstheme="majorBidi"/>
          <w:color w:val="auto"/>
          <w:lang w:val="fr-FR"/>
        </w:rPr>
        <w:t>ise en place d’un</w:t>
      </w:r>
      <w:r>
        <w:rPr>
          <w:rFonts w:asciiTheme="majorBidi" w:hAnsiTheme="majorBidi" w:cstheme="majorBidi"/>
          <w:color w:val="auto"/>
          <w:lang w:val="fr-FR"/>
        </w:rPr>
        <w:t xml:space="preserve"> </w:t>
      </w:r>
      <w:r w:rsidRPr="00EE4BD3">
        <w:rPr>
          <w:rFonts w:asciiTheme="majorBidi" w:hAnsiTheme="majorBidi" w:cstheme="majorBidi"/>
          <w:color w:val="auto"/>
          <w:lang w:val="fr-FR"/>
        </w:rPr>
        <w:t>système d'alerte précoce pour déclencher une intervention rapide de santé publique lorsque</w:t>
      </w:r>
      <w:r>
        <w:rPr>
          <w:rFonts w:asciiTheme="majorBidi" w:hAnsiTheme="majorBidi" w:cstheme="majorBidi"/>
          <w:color w:val="auto"/>
          <w:lang w:val="fr-FR"/>
        </w:rPr>
        <w:t xml:space="preserve"> </w:t>
      </w:r>
      <w:r w:rsidRPr="00EE4BD3">
        <w:rPr>
          <w:rFonts w:asciiTheme="majorBidi" w:hAnsiTheme="majorBidi" w:cstheme="majorBidi"/>
          <w:color w:val="auto"/>
          <w:lang w:val="fr-FR"/>
        </w:rPr>
        <w:t>certaines variables dépassent un seuil défini.</w:t>
      </w:r>
      <w:r>
        <w:rPr>
          <w:rFonts w:asciiTheme="majorBidi" w:hAnsiTheme="majorBidi" w:cstheme="majorBidi"/>
          <w:color w:val="auto"/>
          <w:lang w:val="fr-FR"/>
        </w:rPr>
        <w:t xml:space="preserve"> Ce programme nécessite l’implication des autres secteurs concernées (Environnement, collectivité territoriale, </w:t>
      </w:r>
      <w:proofErr w:type="gramStart"/>
      <w:r>
        <w:rPr>
          <w:rFonts w:asciiTheme="majorBidi" w:hAnsiTheme="majorBidi" w:cstheme="majorBidi"/>
          <w:color w:val="auto"/>
          <w:lang w:val="fr-FR"/>
        </w:rPr>
        <w:t>finance..</w:t>
      </w:r>
      <w:proofErr w:type="gramEnd"/>
      <w:r>
        <w:rPr>
          <w:rFonts w:asciiTheme="majorBidi" w:hAnsiTheme="majorBidi" w:cstheme="majorBidi"/>
          <w:color w:val="auto"/>
          <w:lang w:val="fr-FR"/>
        </w:rPr>
        <w:t>etc.).</w:t>
      </w:r>
    </w:p>
    <w:p w14:paraId="7A65E885" w14:textId="77777777" w:rsidR="00A47DEE" w:rsidRPr="00EE4BD3" w:rsidRDefault="00A47DEE" w:rsidP="00A47DEE">
      <w:pPr>
        <w:pStyle w:val="Normal2GC"/>
        <w:numPr>
          <w:ilvl w:val="0"/>
          <w:numId w:val="433"/>
        </w:numPr>
        <w:ind w:left="426"/>
        <w:rPr>
          <w:rFonts w:asciiTheme="majorBidi" w:hAnsiTheme="majorBidi" w:cstheme="majorBidi"/>
          <w:color w:val="auto"/>
          <w:lang w:val="fr-FR"/>
        </w:rPr>
      </w:pPr>
      <w:r w:rsidRPr="00294466">
        <w:rPr>
          <w:rFonts w:asciiTheme="majorBidi" w:hAnsiTheme="majorBidi" w:cstheme="majorBidi"/>
          <w:b/>
          <w:bCs/>
          <w:color w:val="833C0B" w:themeColor="accent2" w:themeShade="80"/>
          <w:u w:val="single"/>
          <w:lang w:val="fr-FR"/>
        </w:rPr>
        <w:t>Programme 4 : Renforcement</w:t>
      </w:r>
      <w:r w:rsidRPr="00504496">
        <w:rPr>
          <w:rFonts w:asciiTheme="majorBidi" w:hAnsiTheme="majorBidi" w:cstheme="majorBidi"/>
          <w:color w:val="auto"/>
          <w:u w:val="single"/>
          <w:lang w:val="fr-FR"/>
        </w:rPr>
        <w:t xml:space="preserve"> </w:t>
      </w:r>
      <w:r w:rsidRPr="00294466">
        <w:rPr>
          <w:rFonts w:asciiTheme="majorBidi" w:hAnsiTheme="majorBidi" w:cstheme="majorBidi"/>
          <w:b/>
          <w:bCs/>
          <w:color w:val="833C0B" w:themeColor="accent2" w:themeShade="80"/>
          <w:u w:val="single"/>
          <w:lang w:val="fr-FR"/>
        </w:rPr>
        <w:t>de la recherche et l’évaluation régulière de la situation portant sur les vulnérabilités, les impacts et l’adaptation au changement climatique </w:t>
      </w:r>
      <w:r>
        <w:rPr>
          <w:rFonts w:asciiTheme="majorBidi" w:hAnsiTheme="majorBidi" w:cstheme="majorBidi"/>
          <w:color w:val="auto"/>
          <w:lang w:val="fr-FR"/>
        </w:rPr>
        <w:t>:</w:t>
      </w:r>
    </w:p>
    <w:p w14:paraId="32963A44" w14:textId="2B358CD2" w:rsidR="00A47DEE" w:rsidRPr="005C6392" w:rsidRDefault="00A47DEE" w:rsidP="00A47DEE">
      <w:pPr>
        <w:pStyle w:val="Normal2GC"/>
        <w:rPr>
          <w:rFonts w:asciiTheme="majorBidi" w:hAnsiTheme="majorBidi" w:cstheme="majorBidi"/>
          <w:color w:val="auto"/>
          <w:lang w:val="fr-FR"/>
        </w:rPr>
      </w:pPr>
      <w:r>
        <w:rPr>
          <w:rFonts w:asciiTheme="majorBidi" w:hAnsiTheme="majorBidi" w:cstheme="majorBidi"/>
          <w:color w:val="auto"/>
          <w:lang w:val="fr-FR"/>
        </w:rPr>
        <w:t xml:space="preserve">Le secteur propose dans ce programme de </w:t>
      </w:r>
      <w:r w:rsidRPr="00EE4BD3">
        <w:rPr>
          <w:rFonts w:asciiTheme="majorBidi" w:hAnsiTheme="majorBidi" w:cstheme="majorBidi"/>
          <w:color w:val="auto"/>
          <w:lang w:val="fr-FR"/>
        </w:rPr>
        <w:t>recherche sur les liens entre santé et climat,</w:t>
      </w:r>
      <w:r>
        <w:rPr>
          <w:rFonts w:asciiTheme="majorBidi" w:hAnsiTheme="majorBidi" w:cstheme="majorBidi"/>
          <w:color w:val="auto"/>
          <w:lang w:val="fr-FR"/>
        </w:rPr>
        <w:t xml:space="preserve"> </w:t>
      </w:r>
      <w:r w:rsidRPr="00EE4BD3">
        <w:rPr>
          <w:rFonts w:asciiTheme="majorBidi" w:hAnsiTheme="majorBidi" w:cstheme="majorBidi"/>
          <w:color w:val="auto"/>
          <w:lang w:val="fr-FR"/>
        </w:rPr>
        <w:t>notamment sur les vulnérabilités, les impacts et l’adaptation en Mauritanie</w:t>
      </w:r>
      <w:r>
        <w:rPr>
          <w:rFonts w:asciiTheme="majorBidi" w:hAnsiTheme="majorBidi" w:cstheme="majorBidi"/>
          <w:color w:val="auto"/>
          <w:lang w:val="fr-FR"/>
        </w:rPr>
        <w:t xml:space="preserve">, tout </w:t>
      </w:r>
      <w:proofErr w:type="gramStart"/>
      <w:r>
        <w:rPr>
          <w:rFonts w:asciiTheme="majorBidi" w:hAnsiTheme="majorBidi" w:cstheme="majorBidi"/>
          <w:color w:val="auto"/>
          <w:lang w:val="fr-FR"/>
        </w:rPr>
        <w:t>en  r</w:t>
      </w:r>
      <w:r w:rsidRPr="00EE4BD3">
        <w:rPr>
          <w:rFonts w:asciiTheme="majorBidi" w:hAnsiTheme="majorBidi" w:cstheme="majorBidi"/>
          <w:color w:val="auto"/>
          <w:lang w:val="fr-FR"/>
        </w:rPr>
        <w:t>enfor</w:t>
      </w:r>
      <w:r>
        <w:rPr>
          <w:rFonts w:asciiTheme="majorBidi" w:hAnsiTheme="majorBidi" w:cstheme="majorBidi"/>
          <w:color w:val="auto"/>
          <w:lang w:val="fr-FR"/>
        </w:rPr>
        <w:t>ça</w:t>
      </w:r>
      <w:r w:rsidRPr="00EE4BD3">
        <w:rPr>
          <w:rFonts w:asciiTheme="majorBidi" w:hAnsiTheme="majorBidi" w:cstheme="majorBidi"/>
          <w:color w:val="auto"/>
          <w:lang w:val="fr-FR"/>
        </w:rPr>
        <w:t>nt</w:t>
      </w:r>
      <w:proofErr w:type="gramEnd"/>
      <w:r w:rsidRPr="00EE4BD3">
        <w:rPr>
          <w:rFonts w:asciiTheme="majorBidi" w:hAnsiTheme="majorBidi" w:cstheme="majorBidi"/>
          <w:color w:val="auto"/>
          <w:lang w:val="fr-FR"/>
        </w:rPr>
        <w:t xml:space="preserve"> </w:t>
      </w:r>
      <w:proofErr w:type="gramStart"/>
      <w:r>
        <w:rPr>
          <w:rFonts w:asciiTheme="majorBidi" w:hAnsiTheme="majorBidi" w:cstheme="majorBidi"/>
          <w:color w:val="auto"/>
          <w:lang w:val="fr-FR"/>
        </w:rPr>
        <w:t xml:space="preserve">le </w:t>
      </w:r>
      <w:r w:rsidRPr="00EE4BD3">
        <w:rPr>
          <w:rFonts w:asciiTheme="majorBidi" w:hAnsiTheme="majorBidi" w:cstheme="majorBidi"/>
          <w:color w:val="auto"/>
          <w:lang w:val="fr-FR"/>
        </w:rPr>
        <w:t xml:space="preserve"> partage</w:t>
      </w:r>
      <w:proofErr w:type="gramEnd"/>
      <w:r w:rsidRPr="00EE4BD3">
        <w:rPr>
          <w:rFonts w:asciiTheme="majorBidi" w:hAnsiTheme="majorBidi" w:cstheme="majorBidi"/>
          <w:color w:val="auto"/>
          <w:lang w:val="fr-FR"/>
        </w:rPr>
        <w:t xml:space="preserve"> des informations scientifiques </w:t>
      </w:r>
      <w:r>
        <w:rPr>
          <w:rFonts w:asciiTheme="majorBidi" w:hAnsiTheme="majorBidi" w:cstheme="majorBidi"/>
          <w:color w:val="auto"/>
          <w:lang w:val="fr-FR"/>
        </w:rPr>
        <w:t xml:space="preserve">et les recherches sur les maladies sensibles au climat </w:t>
      </w:r>
      <w:r w:rsidRPr="00EE4BD3">
        <w:rPr>
          <w:rFonts w:asciiTheme="majorBidi" w:hAnsiTheme="majorBidi" w:cstheme="majorBidi"/>
          <w:color w:val="auto"/>
          <w:lang w:val="fr-FR"/>
        </w:rPr>
        <w:t xml:space="preserve">au </w:t>
      </w:r>
      <w:proofErr w:type="spellStart"/>
      <w:r w:rsidRPr="00EE4BD3">
        <w:rPr>
          <w:rFonts w:asciiTheme="majorBidi" w:hAnsiTheme="majorBidi" w:cstheme="majorBidi"/>
          <w:color w:val="auto"/>
          <w:lang w:val="fr-FR"/>
        </w:rPr>
        <w:t>nivea</w:t>
      </w:r>
      <w:r w:rsidR="004A73D9">
        <w:rPr>
          <w:rFonts w:asciiTheme="majorBidi" w:hAnsiTheme="majorBidi" w:cstheme="majorBidi"/>
          <w:color w:val="auto"/>
          <w:lang w:val="fr-FR"/>
        </w:rPr>
        <w:t>e</w:t>
      </w:r>
      <w:r w:rsidRPr="00EE4BD3">
        <w:rPr>
          <w:rFonts w:asciiTheme="majorBidi" w:hAnsiTheme="majorBidi" w:cstheme="majorBidi"/>
          <w:color w:val="auto"/>
          <w:lang w:val="fr-FR"/>
        </w:rPr>
        <w:t>u</w:t>
      </w:r>
      <w:proofErr w:type="spellEnd"/>
      <w:r w:rsidRPr="00EE4BD3">
        <w:rPr>
          <w:rFonts w:asciiTheme="majorBidi" w:hAnsiTheme="majorBidi" w:cstheme="majorBidi"/>
          <w:color w:val="auto"/>
          <w:lang w:val="fr-FR"/>
        </w:rPr>
        <w:t xml:space="preserve"> local, national et</w:t>
      </w:r>
      <w:r>
        <w:rPr>
          <w:rFonts w:asciiTheme="majorBidi" w:hAnsiTheme="majorBidi" w:cstheme="majorBidi"/>
          <w:color w:val="auto"/>
          <w:lang w:val="fr-FR"/>
        </w:rPr>
        <w:t xml:space="preserve"> </w:t>
      </w:r>
      <w:r w:rsidRPr="00EE4BD3">
        <w:rPr>
          <w:rFonts w:asciiTheme="majorBidi" w:hAnsiTheme="majorBidi" w:cstheme="majorBidi"/>
          <w:color w:val="auto"/>
          <w:lang w:val="fr-FR"/>
        </w:rPr>
        <w:t>internationa</w:t>
      </w:r>
      <w:r>
        <w:rPr>
          <w:rFonts w:asciiTheme="majorBidi" w:hAnsiTheme="majorBidi" w:cstheme="majorBidi"/>
          <w:color w:val="auto"/>
          <w:lang w:val="fr-FR"/>
        </w:rPr>
        <w:t xml:space="preserve">l. </w:t>
      </w:r>
    </w:p>
    <w:p w14:paraId="48461799" w14:textId="72BE8090" w:rsidR="00A47DEE" w:rsidRDefault="00A47DEE" w:rsidP="00A47DEE">
      <w:pPr>
        <w:pStyle w:val="Normal2GC"/>
        <w:rPr>
          <w:rFonts w:asciiTheme="majorBidi" w:hAnsiTheme="majorBidi" w:cstheme="majorBidi"/>
          <w:color w:val="auto"/>
          <w:lang w:val="fr-FR"/>
        </w:rPr>
      </w:pPr>
      <w:r>
        <w:rPr>
          <w:rFonts w:asciiTheme="majorBidi" w:hAnsiTheme="majorBidi" w:cstheme="majorBidi"/>
          <w:color w:val="auto"/>
          <w:lang w:val="fr-FR"/>
        </w:rPr>
        <w:t>Lors de l’élaboration des actions d’adaptation du secteur, le point focal changement climatique (</w:t>
      </w:r>
      <w:proofErr w:type="spellStart"/>
      <w:r>
        <w:rPr>
          <w:rFonts w:asciiTheme="majorBidi" w:hAnsiTheme="majorBidi" w:cstheme="majorBidi"/>
          <w:color w:val="auto"/>
          <w:lang w:val="fr-FR"/>
        </w:rPr>
        <w:t>a</w:t>
      </w:r>
      <w:proofErr w:type="spellEnd"/>
      <w:r>
        <w:rPr>
          <w:rFonts w:asciiTheme="majorBidi" w:hAnsiTheme="majorBidi" w:cstheme="majorBidi"/>
          <w:color w:val="auto"/>
          <w:lang w:val="fr-FR"/>
        </w:rPr>
        <w:t xml:space="preserve"> savoir la Direction de l’Hygiène Publique) a envoy</w:t>
      </w:r>
      <w:r w:rsidR="004A73D9">
        <w:rPr>
          <w:rFonts w:asciiTheme="majorBidi" w:hAnsiTheme="majorBidi" w:cstheme="majorBidi"/>
          <w:color w:val="auto"/>
          <w:lang w:val="fr-FR"/>
        </w:rPr>
        <w:t>é</w:t>
      </w:r>
      <w:r>
        <w:rPr>
          <w:rFonts w:asciiTheme="majorBidi" w:hAnsiTheme="majorBidi" w:cstheme="majorBidi"/>
          <w:color w:val="auto"/>
          <w:lang w:val="fr-FR"/>
        </w:rPr>
        <w:t xml:space="preserve"> des requêtes adress</w:t>
      </w:r>
      <w:r w:rsidR="004A73D9">
        <w:rPr>
          <w:rFonts w:asciiTheme="majorBidi" w:hAnsiTheme="majorBidi" w:cstheme="majorBidi"/>
          <w:color w:val="auto"/>
          <w:lang w:val="fr-FR"/>
        </w:rPr>
        <w:t>é</w:t>
      </w:r>
      <w:r>
        <w:rPr>
          <w:rFonts w:asciiTheme="majorBidi" w:hAnsiTheme="majorBidi" w:cstheme="majorBidi"/>
          <w:color w:val="auto"/>
          <w:lang w:val="fr-FR"/>
        </w:rPr>
        <w:t>e au PTF impliqu</w:t>
      </w:r>
      <w:r w:rsidR="004A73D9">
        <w:rPr>
          <w:rFonts w:asciiTheme="majorBidi" w:hAnsiTheme="majorBidi" w:cstheme="majorBidi"/>
          <w:color w:val="auto"/>
          <w:lang w:val="fr-FR"/>
        </w:rPr>
        <w:t>é</w:t>
      </w:r>
      <w:r>
        <w:rPr>
          <w:rFonts w:asciiTheme="majorBidi" w:hAnsiTheme="majorBidi" w:cstheme="majorBidi"/>
          <w:color w:val="auto"/>
          <w:lang w:val="fr-FR"/>
        </w:rPr>
        <w:t>s, à noter que seulement Deux requêtes ont été approuvés par le PTF (OMS, NDC Partnership)  afin de r</w:t>
      </w:r>
      <w:r w:rsidRPr="0051471B">
        <w:rPr>
          <w:rFonts w:asciiTheme="majorBidi" w:hAnsiTheme="majorBidi" w:cstheme="majorBidi"/>
          <w:color w:val="auto"/>
          <w:lang w:val="fr-FR"/>
        </w:rPr>
        <w:t>enforcer la résilience du système de santé au climat, sa capacité à contribuer à la réduction des risques sanitaires pour les principales maladies sensibles au climat et à faire face de façon appropriée aux urgences et catastrophes sanitaires liées au climat</w:t>
      </w:r>
      <w:r>
        <w:rPr>
          <w:rFonts w:asciiTheme="majorBidi" w:hAnsiTheme="majorBidi" w:cstheme="majorBidi"/>
          <w:color w:val="auto"/>
          <w:lang w:val="fr-FR"/>
        </w:rPr>
        <w:t>.</w:t>
      </w:r>
    </w:p>
    <w:p w14:paraId="44041AB4" w14:textId="77777777" w:rsidR="00A47DEE" w:rsidRPr="002769FE" w:rsidRDefault="00A47DEE" w:rsidP="00A47DEE">
      <w:pPr>
        <w:pStyle w:val="Normal2GC"/>
        <w:rPr>
          <w:rFonts w:asciiTheme="majorBidi" w:hAnsiTheme="majorBidi" w:cstheme="majorBidi"/>
          <w:color w:val="auto"/>
          <w:sz w:val="10"/>
          <w:szCs w:val="10"/>
          <w:lang w:val="fr-FR"/>
        </w:rPr>
      </w:pPr>
    </w:p>
    <w:p w14:paraId="6C814839" w14:textId="77777777" w:rsidR="00A47DEE" w:rsidRPr="0047467B" w:rsidRDefault="00A47DEE" w:rsidP="00A47DEE">
      <w:pPr>
        <w:pStyle w:val="Normal2GC"/>
        <w:ind w:firstLine="142"/>
        <w:rPr>
          <w:rFonts w:asciiTheme="majorBidi" w:hAnsiTheme="majorBidi" w:cstheme="majorBidi"/>
          <w:b/>
          <w:bCs/>
          <w:color w:val="auto"/>
          <w:sz w:val="28"/>
          <w:szCs w:val="28"/>
          <w:u w:val="single"/>
          <w:lang w:val="fr-FR"/>
        </w:rPr>
      </w:pPr>
      <w:r w:rsidRPr="0047467B">
        <w:rPr>
          <w:rFonts w:asciiTheme="majorBidi" w:hAnsiTheme="majorBidi" w:cstheme="majorBidi"/>
          <w:b/>
          <w:bCs/>
          <w:color w:val="auto"/>
          <w:u w:val="single"/>
          <w:lang w:val="fr-FR"/>
        </w:rPr>
        <w:t>10</w:t>
      </w:r>
      <w:r w:rsidRPr="0047467B">
        <w:rPr>
          <w:rFonts w:asciiTheme="majorBidi" w:hAnsiTheme="majorBidi" w:cstheme="majorBidi"/>
          <w:b/>
          <w:bCs/>
          <w:color w:val="auto"/>
          <w:sz w:val="28"/>
          <w:szCs w:val="28"/>
          <w:u w:val="single"/>
          <w:lang w:val="fr-FR"/>
        </w:rPr>
        <w:t xml:space="preserve">.2 Atténuation  </w:t>
      </w:r>
    </w:p>
    <w:p w14:paraId="36BCB4EF" w14:textId="77777777" w:rsidR="00A47DEE" w:rsidRPr="002769FE" w:rsidRDefault="00A47DEE" w:rsidP="00A47DEE">
      <w:pPr>
        <w:pStyle w:val="Normal2GC"/>
        <w:ind w:firstLine="708"/>
        <w:rPr>
          <w:rFonts w:asciiTheme="majorBidi" w:hAnsiTheme="majorBidi" w:cstheme="majorBidi"/>
          <w:b/>
          <w:bCs/>
          <w:i/>
          <w:iCs/>
          <w:color w:val="auto"/>
          <w:sz w:val="14"/>
          <w:szCs w:val="14"/>
          <w:u w:val="single"/>
          <w:lang w:val="fr-FR"/>
        </w:rPr>
      </w:pPr>
    </w:p>
    <w:p w14:paraId="007602FB" w14:textId="1D0F6CE1" w:rsidR="00A47DEE" w:rsidRDefault="00A47DEE" w:rsidP="00A47DEE">
      <w:pPr>
        <w:pStyle w:val="Normal2GC"/>
        <w:rPr>
          <w:rFonts w:asciiTheme="majorBidi" w:hAnsiTheme="majorBidi" w:cstheme="majorBidi"/>
          <w:color w:val="auto"/>
          <w:lang w:val="fr-FR"/>
        </w:rPr>
      </w:pPr>
      <w:r>
        <w:rPr>
          <w:rFonts w:asciiTheme="majorBidi" w:hAnsiTheme="majorBidi" w:cstheme="majorBidi"/>
          <w:color w:val="auto"/>
          <w:lang w:val="fr-FR"/>
        </w:rPr>
        <w:t>Malgré que le secteur de la santé ne fa</w:t>
      </w:r>
      <w:r w:rsidR="004A73D9">
        <w:rPr>
          <w:rFonts w:asciiTheme="majorBidi" w:hAnsiTheme="majorBidi" w:cstheme="majorBidi"/>
          <w:color w:val="auto"/>
          <w:lang w:val="fr-FR"/>
        </w:rPr>
        <w:t>sse</w:t>
      </w:r>
      <w:r>
        <w:rPr>
          <w:rFonts w:asciiTheme="majorBidi" w:hAnsiTheme="majorBidi" w:cstheme="majorBidi"/>
          <w:color w:val="auto"/>
          <w:lang w:val="fr-FR"/>
        </w:rPr>
        <w:t xml:space="preserve"> pas partie de AFAT (Agriculture, Forestier</w:t>
      </w:r>
      <w:proofErr w:type="gramStart"/>
      <w:r>
        <w:rPr>
          <w:rFonts w:asciiTheme="majorBidi" w:hAnsiTheme="majorBidi" w:cstheme="majorBidi"/>
          <w:color w:val="auto"/>
          <w:lang w:val="fr-FR"/>
        </w:rPr>
        <w:t>, )</w:t>
      </w:r>
      <w:proofErr w:type="gramEnd"/>
      <w:r>
        <w:rPr>
          <w:rFonts w:asciiTheme="majorBidi" w:hAnsiTheme="majorBidi" w:cstheme="majorBidi"/>
          <w:color w:val="auto"/>
          <w:lang w:val="fr-FR"/>
        </w:rPr>
        <w:t xml:space="preserve"> l’action proposée par le secteur pour contribuer aux efforts du Gouvernement en </w:t>
      </w:r>
      <w:r w:rsidRPr="00EE4BD3">
        <w:rPr>
          <w:rFonts w:asciiTheme="majorBidi" w:eastAsia="Times New Roman" w:hAnsiTheme="majorBidi" w:cstheme="majorBidi"/>
          <w:color w:val="auto"/>
          <w:lang w:val="fr-FR" w:eastAsia="fr-FR"/>
        </w:rPr>
        <w:t>matière d’atténuation avec un objectif de neutralité carbone dans un horizon déterminé en 2030</w:t>
      </w:r>
      <w:r>
        <w:rPr>
          <w:rFonts w:asciiTheme="majorBidi" w:eastAsia="Times New Roman" w:hAnsiTheme="majorBidi" w:cstheme="majorBidi"/>
          <w:color w:val="auto"/>
          <w:lang w:val="fr-FR" w:eastAsia="fr-FR"/>
        </w:rPr>
        <w:t xml:space="preserve"> ; est </w:t>
      </w:r>
      <w:r>
        <w:rPr>
          <w:rFonts w:asciiTheme="majorBidi" w:hAnsiTheme="majorBidi" w:cstheme="majorBidi"/>
          <w:color w:val="auto"/>
          <w:lang w:val="fr-FR"/>
        </w:rPr>
        <w:t>:</w:t>
      </w:r>
    </w:p>
    <w:p w14:paraId="4A5CF59B" w14:textId="77777777" w:rsidR="00A47DEE" w:rsidRPr="00504496" w:rsidRDefault="00A47DEE" w:rsidP="00A47DEE">
      <w:pPr>
        <w:pStyle w:val="Normal2GC"/>
        <w:numPr>
          <w:ilvl w:val="0"/>
          <w:numId w:val="433"/>
        </w:numPr>
        <w:ind w:left="426"/>
        <w:rPr>
          <w:rFonts w:asciiTheme="majorBidi" w:hAnsiTheme="majorBidi" w:cstheme="majorBidi"/>
          <w:color w:val="auto"/>
          <w:u w:val="single"/>
          <w:lang w:val="fr-FR"/>
        </w:rPr>
      </w:pPr>
      <w:r w:rsidRPr="00504496">
        <w:rPr>
          <w:rFonts w:asciiTheme="majorBidi" w:hAnsiTheme="majorBidi" w:cstheme="majorBidi"/>
          <w:color w:val="auto"/>
          <w:u w:val="single"/>
          <w:lang w:val="fr-FR"/>
        </w:rPr>
        <w:t xml:space="preserve">Développer un système de santé durable et à faible émission de gaz à effet de serre : </w:t>
      </w:r>
    </w:p>
    <w:p w14:paraId="6B470B68" w14:textId="77777777" w:rsidR="00A47DEE" w:rsidRDefault="00A47DEE" w:rsidP="00A47DEE">
      <w:pPr>
        <w:pStyle w:val="Normal2GC"/>
        <w:rPr>
          <w:rFonts w:asciiTheme="majorBidi" w:eastAsia="Times New Roman" w:hAnsiTheme="majorBidi" w:cstheme="majorBidi"/>
          <w:color w:val="auto"/>
          <w:lang w:val="fr-FR" w:eastAsia="fr-FR"/>
        </w:rPr>
      </w:pPr>
      <w:r>
        <w:rPr>
          <w:rFonts w:asciiTheme="majorBidi" w:hAnsiTheme="majorBidi" w:cstheme="majorBidi"/>
          <w:color w:val="auto"/>
          <w:lang w:val="fr-FR"/>
        </w:rPr>
        <w:t xml:space="preserve">Il propose une </w:t>
      </w:r>
      <w:r w:rsidRPr="00EE4BD3">
        <w:rPr>
          <w:rFonts w:asciiTheme="majorBidi" w:eastAsia="Times New Roman" w:hAnsiTheme="majorBidi" w:cstheme="majorBidi"/>
          <w:color w:val="auto"/>
          <w:lang w:val="fr-FR" w:eastAsia="fr-FR"/>
        </w:rPr>
        <w:t>évaluation de référence des émissions de Gaz Effet de serre (GES) du secteur de la santé autrement appeler « l’empreinte climatique du secteur de la santé » qui représente selon le dernier rapport THE LANCET 2022 : 5,2 % des émissions mondiales de GES proviennent du secteur de la santé avec plus de 70 % de l’empreinte climatique mondiale provient des achats de leur chaîne d’approvisionnement</w:t>
      </w:r>
      <w:r>
        <w:rPr>
          <w:rFonts w:asciiTheme="majorBidi" w:eastAsia="Times New Roman" w:hAnsiTheme="majorBidi" w:cstheme="majorBidi"/>
          <w:color w:val="auto"/>
          <w:lang w:val="fr-FR" w:eastAsia="fr-FR"/>
        </w:rPr>
        <w:t>.</w:t>
      </w:r>
    </w:p>
    <w:p w14:paraId="1F8D80C1" w14:textId="5404CEF5" w:rsidR="00A47DEE" w:rsidRDefault="00A47DEE" w:rsidP="00A47DEE">
      <w:pPr>
        <w:spacing w:after="120"/>
        <w:jc w:val="both"/>
        <w:rPr>
          <w:rFonts w:asciiTheme="majorBidi" w:eastAsia="Times New Roman" w:hAnsiTheme="majorBidi" w:cstheme="majorBidi"/>
          <w:lang w:eastAsia="fr-FR"/>
        </w:rPr>
      </w:pPr>
      <w:r w:rsidRPr="002769FE">
        <w:rPr>
          <w:rFonts w:asciiTheme="majorBidi" w:eastAsia="Times New Roman" w:hAnsiTheme="majorBidi" w:cstheme="majorBidi"/>
          <w:lang w:eastAsia="fr-FR"/>
        </w:rPr>
        <w:t>Le département de santé compte réalis</w:t>
      </w:r>
      <w:r w:rsidR="004A73D9">
        <w:rPr>
          <w:rFonts w:asciiTheme="majorBidi" w:eastAsia="Times New Roman" w:hAnsiTheme="majorBidi" w:cstheme="majorBidi"/>
          <w:lang w:eastAsia="fr-FR"/>
        </w:rPr>
        <w:t>er</w:t>
      </w:r>
      <w:r w:rsidRPr="002769FE">
        <w:rPr>
          <w:rFonts w:asciiTheme="majorBidi" w:eastAsia="Times New Roman" w:hAnsiTheme="majorBidi" w:cstheme="majorBidi"/>
          <w:lang w:eastAsia="fr-FR"/>
        </w:rPr>
        <w:t xml:space="preserve"> avec l’appui technique de</w:t>
      </w:r>
      <w:r>
        <w:rPr>
          <w:rFonts w:asciiTheme="majorBidi" w:eastAsia="Times New Roman" w:hAnsiTheme="majorBidi" w:cstheme="majorBidi"/>
          <w:lang w:eastAsia="fr-FR"/>
        </w:rPr>
        <w:t>s</w:t>
      </w:r>
      <w:r w:rsidRPr="002769FE">
        <w:rPr>
          <w:rFonts w:asciiTheme="majorBidi" w:eastAsia="Times New Roman" w:hAnsiTheme="majorBidi" w:cstheme="majorBidi"/>
          <w:lang w:eastAsia="fr-FR"/>
        </w:rPr>
        <w:t xml:space="preserve"> PTF un inventaire d’émission du secteur en matière des GES </w:t>
      </w:r>
      <w:r w:rsidRPr="002769FE">
        <w:rPr>
          <w:rFonts w:asciiTheme="majorBidi" w:hAnsiTheme="majorBidi" w:cstheme="majorBidi"/>
        </w:rPr>
        <w:t xml:space="preserve">du système de santé (soins de santé, énergie, </w:t>
      </w:r>
      <w:r w:rsidRPr="002769FE">
        <w:rPr>
          <w:rFonts w:asciiTheme="majorBidi" w:eastAsia="Times New Roman" w:hAnsiTheme="majorBidi" w:cstheme="majorBidi"/>
          <w:lang w:eastAsia="fr-FR"/>
        </w:rPr>
        <w:t>centrales d’Oxygène, chambre froid, Groupes électrogènes, incinérateurs des déchets médicaux</w:t>
      </w:r>
      <w:r w:rsidRPr="002769FE">
        <w:rPr>
          <w:rFonts w:asciiTheme="majorBidi" w:hAnsiTheme="majorBidi" w:cstheme="majorBidi"/>
        </w:rPr>
        <w:t>, transport médical,</w:t>
      </w:r>
      <w:r w:rsidR="004A73D9">
        <w:rPr>
          <w:rFonts w:asciiTheme="majorBidi" w:eastAsia="Times New Roman" w:hAnsiTheme="majorBidi" w:cstheme="majorBidi"/>
          <w:lang w:eastAsia="fr-FR"/>
        </w:rPr>
        <w:t xml:space="preserve"> </w:t>
      </w:r>
      <w:r w:rsidRPr="002769FE">
        <w:rPr>
          <w:rFonts w:asciiTheme="majorBidi" w:eastAsia="Times New Roman" w:hAnsiTheme="majorBidi" w:cstheme="majorBidi"/>
          <w:lang w:eastAsia="fr-FR"/>
        </w:rPr>
        <w:t xml:space="preserve">etc.) en 2024. Cet inventaire va développer par la suite une feuille de route ou un plan d’action pour la réduction des émissions </w:t>
      </w:r>
      <w:r>
        <w:rPr>
          <w:rFonts w:asciiTheme="majorBidi" w:eastAsia="Times New Roman" w:hAnsiTheme="majorBidi" w:cstheme="majorBidi"/>
          <w:lang w:eastAsia="fr-FR"/>
        </w:rPr>
        <w:t xml:space="preserve">de </w:t>
      </w:r>
      <w:r w:rsidRPr="002769FE">
        <w:rPr>
          <w:rFonts w:asciiTheme="majorBidi" w:eastAsia="Times New Roman" w:hAnsiTheme="majorBidi" w:cstheme="majorBidi"/>
          <w:lang w:eastAsia="fr-FR"/>
        </w:rPr>
        <w:t xml:space="preserve">GES du secteur de la santé. </w:t>
      </w:r>
    </w:p>
    <w:p w14:paraId="12913C37" w14:textId="5C40D483" w:rsidR="00A47DEE" w:rsidRPr="002769FE" w:rsidRDefault="00A47DEE" w:rsidP="00A47DEE">
      <w:pPr>
        <w:spacing w:after="120"/>
        <w:jc w:val="both"/>
        <w:rPr>
          <w:rFonts w:asciiTheme="majorBidi" w:hAnsiTheme="majorBidi" w:cstheme="majorBidi"/>
        </w:rPr>
      </w:pPr>
      <w:r w:rsidRPr="002769FE">
        <w:rPr>
          <w:rFonts w:asciiTheme="majorBidi" w:eastAsia="Times New Roman" w:hAnsiTheme="majorBidi" w:cstheme="majorBidi"/>
          <w:lang w:eastAsia="fr-FR"/>
        </w:rPr>
        <w:t>Dans ce plan</w:t>
      </w:r>
      <w:r w:rsidR="004A73D9">
        <w:rPr>
          <w:rFonts w:asciiTheme="majorBidi" w:eastAsia="Times New Roman" w:hAnsiTheme="majorBidi" w:cstheme="majorBidi"/>
          <w:lang w:eastAsia="fr-FR"/>
        </w:rPr>
        <w:t>,</w:t>
      </w:r>
      <w:r w:rsidRPr="002769FE">
        <w:rPr>
          <w:rFonts w:asciiTheme="majorBidi" w:eastAsia="Times New Roman" w:hAnsiTheme="majorBidi" w:cstheme="majorBidi"/>
          <w:lang w:eastAsia="fr-FR"/>
        </w:rPr>
        <w:t xml:space="preserve"> le secteur peut réaliser des </w:t>
      </w:r>
      <w:r w:rsidRPr="002769FE">
        <w:rPr>
          <w:rFonts w:asciiTheme="majorBidi" w:hAnsiTheme="majorBidi" w:cstheme="majorBidi"/>
        </w:rPr>
        <w:t>évaluation</w:t>
      </w:r>
      <w:r>
        <w:rPr>
          <w:rFonts w:asciiTheme="majorBidi" w:hAnsiTheme="majorBidi" w:cstheme="majorBidi"/>
        </w:rPr>
        <w:t>s</w:t>
      </w:r>
      <w:r w:rsidRPr="002769FE">
        <w:rPr>
          <w:rFonts w:asciiTheme="majorBidi" w:hAnsiTheme="majorBidi" w:cstheme="majorBidi"/>
        </w:rPr>
        <w:t xml:space="preserve"> régulière</w:t>
      </w:r>
      <w:r>
        <w:rPr>
          <w:rFonts w:asciiTheme="majorBidi" w:hAnsiTheme="majorBidi" w:cstheme="majorBidi"/>
        </w:rPr>
        <w:t>s</w:t>
      </w:r>
      <w:r w:rsidRPr="002769FE">
        <w:rPr>
          <w:rFonts w:asciiTheme="majorBidi" w:hAnsiTheme="majorBidi" w:cstheme="majorBidi"/>
        </w:rPr>
        <w:t xml:space="preserve"> de ces émissions de GES avec des actions de réduction entre autres : l’abandon des combustibles fossiles par la prestation de soins de santé, les installations, les opérations, ainsi que la chaîne d'approvisionnement du secteur, et l’investissement dans des infrastructures et bâtiments à zéro émission, mais aussi la transition vers des déplacements et des transports médicaux durables à émissions nulles.</w:t>
      </w:r>
    </w:p>
    <w:p w14:paraId="68BFC41F" w14:textId="77777777" w:rsidR="00A47DEE" w:rsidRPr="00504496" w:rsidRDefault="00A47DEE" w:rsidP="00A47DEE">
      <w:pPr>
        <w:rPr>
          <w:rFonts w:asciiTheme="majorBidi" w:hAnsiTheme="majorBidi" w:cstheme="majorBidi"/>
          <w:color w:val="C00000"/>
          <w:sz w:val="2"/>
          <w:szCs w:val="2"/>
        </w:rPr>
      </w:pPr>
    </w:p>
    <w:p w14:paraId="1FD3D7AB" w14:textId="77777777" w:rsidR="00A47DEE" w:rsidRPr="0047467B" w:rsidRDefault="00A47DEE" w:rsidP="00A47DEE">
      <w:pPr>
        <w:pStyle w:val="Normal2GC"/>
        <w:ind w:firstLine="142"/>
        <w:rPr>
          <w:rFonts w:asciiTheme="majorBidi" w:hAnsiTheme="majorBidi" w:cstheme="majorBidi"/>
          <w:b/>
          <w:bCs/>
          <w:color w:val="auto"/>
          <w:sz w:val="28"/>
          <w:szCs w:val="28"/>
          <w:u w:val="single"/>
          <w:lang w:val="fr-FR"/>
        </w:rPr>
      </w:pPr>
      <w:r w:rsidRPr="0047467B">
        <w:rPr>
          <w:rFonts w:asciiTheme="majorBidi" w:hAnsiTheme="majorBidi" w:cstheme="majorBidi"/>
          <w:b/>
          <w:bCs/>
          <w:color w:val="auto"/>
          <w:sz w:val="28"/>
          <w:szCs w:val="28"/>
          <w:u w:val="single"/>
          <w:lang w:val="fr-FR"/>
        </w:rPr>
        <w:t xml:space="preserve">10.3 Gouvernance </w:t>
      </w:r>
    </w:p>
    <w:p w14:paraId="1D057F02" w14:textId="77777777" w:rsidR="00A47DEE" w:rsidRDefault="00A47DEE" w:rsidP="00A47DEE">
      <w:pPr>
        <w:adjustRightInd w:val="0"/>
        <w:ind w:right="77"/>
        <w:jc w:val="both"/>
        <w:rPr>
          <w:rFonts w:asciiTheme="majorBidi" w:hAnsiTheme="majorBidi" w:cstheme="majorBidi"/>
        </w:rPr>
      </w:pPr>
      <w:r>
        <w:rPr>
          <w:rFonts w:asciiTheme="majorBidi" w:hAnsiTheme="majorBidi" w:cstheme="majorBidi"/>
        </w:rPr>
        <w:t>Dans l’axe gouvernance et politique, l</w:t>
      </w:r>
      <w:r w:rsidRPr="00EE4BD3">
        <w:rPr>
          <w:rFonts w:asciiTheme="majorBidi" w:hAnsiTheme="majorBidi" w:cstheme="majorBidi"/>
        </w:rPr>
        <w:t xml:space="preserve">e secteur de la santé entreprendra les actions prioritaires </w:t>
      </w:r>
      <w:r>
        <w:rPr>
          <w:rFonts w:asciiTheme="majorBidi" w:hAnsiTheme="majorBidi" w:cstheme="majorBidi"/>
        </w:rPr>
        <w:t xml:space="preserve">pour </w:t>
      </w:r>
      <w:r w:rsidRPr="00EE4BD3">
        <w:rPr>
          <w:rFonts w:asciiTheme="majorBidi" w:hAnsiTheme="majorBidi" w:cstheme="majorBidi"/>
        </w:rPr>
        <w:t>la prise en compte des dimensions climat dans les politiques et plans d’action</w:t>
      </w:r>
      <w:r>
        <w:rPr>
          <w:rFonts w:asciiTheme="majorBidi" w:hAnsiTheme="majorBidi" w:cstheme="majorBidi"/>
        </w:rPr>
        <w:t xml:space="preserve"> stratégiques </w:t>
      </w:r>
      <w:r w:rsidRPr="00EE4BD3">
        <w:rPr>
          <w:rFonts w:asciiTheme="majorBidi" w:hAnsiTheme="majorBidi" w:cstheme="majorBidi"/>
        </w:rPr>
        <w:t>d</w:t>
      </w:r>
      <w:r>
        <w:rPr>
          <w:rFonts w:asciiTheme="majorBidi" w:hAnsiTheme="majorBidi" w:cstheme="majorBidi"/>
        </w:rPr>
        <w:t>u</w:t>
      </w:r>
      <w:r w:rsidRPr="00EE4BD3">
        <w:rPr>
          <w:rFonts w:asciiTheme="majorBidi" w:hAnsiTheme="majorBidi" w:cstheme="majorBidi"/>
        </w:rPr>
        <w:t xml:space="preserve"> secteur de la santé</w:t>
      </w:r>
      <w:r>
        <w:rPr>
          <w:rFonts w:asciiTheme="majorBidi" w:hAnsiTheme="majorBidi" w:cstheme="majorBidi"/>
        </w:rPr>
        <w:t xml:space="preserve"> (PNDS 2030)</w:t>
      </w:r>
      <w:r w:rsidRPr="00EE4BD3">
        <w:rPr>
          <w:rFonts w:asciiTheme="majorBidi" w:hAnsiTheme="majorBidi" w:cstheme="majorBidi"/>
        </w:rPr>
        <w:t xml:space="preserve">, ainsi que </w:t>
      </w:r>
      <w:r>
        <w:rPr>
          <w:rFonts w:asciiTheme="majorBidi" w:hAnsiTheme="majorBidi" w:cstheme="majorBidi"/>
        </w:rPr>
        <w:t>le r</w:t>
      </w:r>
      <w:r w:rsidRPr="00EE4BD3">
        <w:rPr>
          <w:rFonts w:asciiTheme="majorBidi" w:hAnsiTheme="majorBidi" w:cstheme="majorBidi"/>
        </w:rPr>
        <w:t>enforce</w:t>
      </w:r>
      <w:r>
        <w:rPr>
          <w:rFonts w:asciiTheme="majorBidi" w:hAnsiTheme="majorBidi" w:cstheme="majorBidi"/>
        </w:rPr>
        <w:t>ment</w:t>
      </w:r>
      <w:r w:rsidRPr="00EE4BD3">
        <w:rPr>
          <w:rFonts w:asciiTheme="majorBidi" w:hAnsiTheme="majorBidi" w:cstheme="majorBidi"/>
        </w:rPr>
        <w:t xml:space="preserve"> </w:t>
      </w:r>
      <w:r>
        <w:rPr>
          <w:rFonts w:asciiTheme="majorBidi" w:hAnsiTheme="majorBidi" w:cstheme="majorBidi"/>
        </w:rPr>
        <w:t xml:space="preserve">de </w:t>
      </w:r>
      <w:r w:rsidRPr="00EE4BD3">
        <w:rPr>
          <w:rFonts w:asciiTheme="majorBidi" w:hAnsiTheme="majorBidi" w:cstheme="majorBidi"/>
        </w:rPr>
        <w:t xml:space="preserve">la communication, </w:t>
      </w:r>
      <w:r>
        <w:rPr>
          <w:rFonts w:asciiTheme="majorBidi" w:hAnsiTheme="majorBidi" w:cstheme="majorBidi"/>
        </w:rPr>
        <w:t xml:space="preserve">de </w:t>
      </w:r>
      <w:r w:rsidRPr="00EE4BD3">
        <w:rPr>
          <w:rFonts w:asciiTheme="majorBidi" w:hAnsiTheme="majorBidi" w:cstheme="majorBidi"/>
        </w:rPr>
        <w:t>l’information et la formation sur les défis du climat pour la</w:t>
      </w:r>
      <w:r>
        <w:rPr>
          <w:rFonts w:asciiTheme="majorBidi" w:hAnsiTheme="majorBidi" w:cstheme="majorBidi"/>
        </w:rPr>
        <w:t xml:space="preserve"> </w:t>
      </w:r>
      <w:r w:rsidRPr="00EE4BD3">
        <w:rPr>
          <w:rFonts w:asciiTheme="majorBidi" w:hAnsiTheme="majorBidi" w:cstheme="majorBidi"/>
        </w:rPr>
        <w:t>santé</w:t>
      </w:r>
      <w:r>
        <w:rPr>
          <w:rFonts w:asciiTheme="majorBidi" w:hAnsiTheme="majorBidi" w:cstheme="majorBidi"/>
        </w:rPr>
        <w:t xml:space="preserve">. La mesure phare et prioritaire du </w:t>
      </w:r>
      <w:r w:rsidRPr="005028CB">
        <w:rPr>
          <w:rFonts w:asciiTheme="majorBidi" w:hAnsiTheme="majorBidi" w:cstheme="majorBidi"/>
          <w:b/>
          <w:bCs/>
          <w:color w:val="00CC00"/>
        </w:rPr>
        <w:t>Plan d’Action du secteur de la santé CDN 2021-2030 – Mauritanie, est le renforcement du cadre politique et institutionnel pour faire face aux impacts du changement climatique sur la santé ; qui va créer les conditions favorables à l’atteinte des objectifs de l’action climat du secteur de la santé</w:t>
      </w:r>
      <w:r w:rsidRPr="00EE4BD3">
        <w:rPr>
          <w:rFonts w:asciiTheme="majorBidi" w:hAnsiTheme="majorBidi" w:cstheme="majorBidi"/>
        </w:rPr>
        <w:t>.</w:t>
      </w:r>
    </w:p>
    <w:p w14:paraId="76E638EE" w14:textId="4EE16385" w:rsidR="00A47DEE" w:rsidRDefault="00A47DEE" w:rsidP="00A47DEE">
      <w:pPr>
        <w:pStyle w:val="Normal2GC"/>
        <w:rPr>
          <w:rFonts w:asciiTheme="majorBidi" w:hAnsiTheme="majorBidi" w:cstheme="majorBidi"/>
          <w:color w:val="auto"/>
          <w:lang w:val="fr-FR"/>
        </w:rPr>
      </w:pPr>
      <w:r>
        <w:rPr>
          <w:rFonts w:asciiTheme="majorBidi" w:hAnsiTheme="majorBidi" w:cstheme="majorBidi"/>
          <w:color w:val="auto"/>
          <w:lang w:val="fr-FR"/>
        </w:rPr>
        <w:t xml:space="preserve">Ajoutons à cela  le plaidoyer des moyens d’actions  y compris </w:t>
      </w:r>
      <w:r w:rsidRPr="00EE4BD3">
        <w:rPr>
          <w:rFonts w:asciiTheme="majorBidi" w:hAnsiTheme="majorBidi" w:cstheme="majorBidi"/>
          <w:color w:val="auto"/>
          <w:lang w:val="fr-FR"/>
        </w:rPr>
        <w:t>l’augmentation des</w:t>
      </w:r>
      <w:r>
        <w:rPr>
          <w:rFonts w:asciiTheme="majorBidi" w:hAnsiTheme="majorBidi" w:cstheme="majorBidi"/>
          <w:color w:val="auto"/>
          <w:lang w:val="fr-FR"/>
        </w:rPr>
        <w:t xml:space="preserve"> </w:t>
      </w:r>
      <w:r w:rsidRPr="00EE4BD3">
        <w:rPr>
          <w:rFonts w:asciiTheme="majorBidi" w:hAnsiTheme="majorBidi" w:cstheme="majorBidi"/>
          <w:color w:val="auto"/>
          <w:lang w:val="fr-FR"/>
        </w:rPr>
        <w:t>financements pour l’atténuation et l’adaptation dans le secteur de la santé, la protection des</w:t>
      </w:r>
      <w:r>
        <w:rPr>
          <w:rFonts w:asciiTheme="majorBidi" w:hAnsiTheme="majorBidi" w:cstheme="majorBidi"/>
          <w:color w:val="auto"/>
          <w:lang w:val="fr-FR"/>
        </w:rPr>
        <w:t xml:space="preserve"> </w:t>
      </w:r>
      <w:r w:rsidRPr="00EE4BD3">
        <w:rPr>
          <w:rFonts w:asciiTheme="majorBidi" w:hAnsiTheme="majorBidi" w:cstheme="majorBidi"/>
          <w:color w:val="auto"/>
          <w:lang w:val="fr-FR"/>
        </w:rPr>
        <w:t>infrastructures contre les évènements extrêmes</w:t>
      </w:r>
      <w:r>
        <w:rPr>
          <w:rFonts w:asciiTheme="majorBidi" w:hAnsiTheme="majorBidi" w:cstheme="majorBidi"/>
          <w:color w:val="auto"/>
          <w:lang w:val="fr-FR"/>
        </w:rPr>
        <w:t>, mais aussi le s</w:t>
      </w:r>
      <w:r w:rsidRPr="00EE4BD3">
        <w:rPr>
          <w:rFonts w:asciiTheme="majorBidi" w:hAnsiTheme="majorBidi" w:cstheme="majorBidi"/>
          <w:color w:val="auto"/>
          <w:lang w:val="fr-FR"/>
        </w:rPr>
        <w:t>outien aux actions améliorant les déterminants</w:t>
      </w:r>
      <w:r>
        <w:rPr>
          <w:rFonts w:asciiTheme="majorBidi" w:hAnsiTheme="majorBidi" w:cstheme="majorBidi"/>
          <w:color w:val="auto"/>
          <w:lang w:val="fr-FR"/>
        </w:rPr>
        <w:t xml:space="preserve"> </w:t>
      </w:r>
      <w:r w:rsidRPr="00EE4BD3">
        <w:rPr>
          <w:rFonts w:asciiTheme="majorBidi" w:hAnsiTheme="majorBidi" w:cstheme="majorBidi"/>
          <w:color w:val="auto"/>
          <w:lang w:val="fr-FR"/>
        </w:rPr>
        <w:t>environnementaux et sociaux de la santé, notamment ceux jouant un rôle majeur sur les maladies</w:t>
      </w:r>
      <w:r>
        <w:rPr>
          <w:rFonts w:asciiTheme="majorBidi" w:hAnsiTheme="majorBidi" w:cstheme="majorBidi"/>
          <w:color w:val="auto"/>
          <w:lang w:val="fr-FR"/>
        </w:rPr>
        <w:t xml:space="preserve"> </w:t>
      </w:r>
      <w:r w:rsidRPr="00EE4BD3">
        <w:rPr>
          <w:rFonts w:asciiTheme="majorBidi" w:hAnsiTheme="majorBidi" w:cstheme="majorBidi"/>
          <w:color w:val="auto"/>
          <w:lang w:val="fr-FR"/>
        </w:rPr>
        <w:t>prioritaires sensibles au climat (exemples : eau, assainissement, agriculture, pêche, lutte contre la</w:t>
      </w:r>
      <w:r>
        <w:rPr>
          <w:rFonts w:asciiTheme="majorBidi" w:hAnsiTheme="majorBidi" w:cstheme="majorBidi"/>
          <w:color w:val="auto"/>
          <w:lang w:val="fr-FR"/>
        </w:rPr>
        <w:t xml:space="preserve"> </w:t>
      </w:r>
      <w:r w:rsidRPr="00EE4BD3">
        <w:rPr>
          <w:rFonts w:asciiTheme="majorBidi" w:hAnsiTheme="majorBidi" w:cstheme="majorBidi"/>
          <w:color w:val="auto"/>
          <w:lang w:val="fr-FR"/>
        </w:rPr>
        <w:t xml:space="preserve">pauvreté, </w:t>
      </w:r>
      <w:r w:rsidR="00185981">
        <w:rPr>
          <w:rFonts w:asciiTheme="majorBidi" w:hAnsiTheme="majorBidi" w:cstheme="majorBidi"/>
          <w:color w:val="auto"/>
          <w:lang w:val="fr-FR"/>
        </w:rPr>
        <w:t xml:space="preserve">lutte contre le paludisme (endémie favorisée par la pluie </w:t>
      </w:r>
      <w:r w:rsidRPr="00EE4BD3">
        <w:rPr>
          <w:rFonts w:asciiTheme="majorBidi" w:hAnsiTheme="majorBidi" w:cstheme="majorBidi"/>
          <w:color w:val="auto"/>
          <w:lang w:val="fr-FR"/>
        </w:rPr>
        <w:t>…</w:t>
      </w:r>
      <w:r>
        <w:rPr>
          <w:rFonts w:asciiTheme="majorBidi" w:hAnsiTheme="majorBidi" w:cstheme="majorBidi"/>
          <w:color w:val="auto"/>
          <w:lang w:val="fr-FR"/>
        </w:rPr>
        <w:t>etc.</w:t>
      </w:r>
      <w:r w:rsidRPr="00EE4BD3">
        <w:rPr>
          <w:rFonts w:asciiTheme="majorBidi" w:hAnsiTheme="majorBidi" w:cstheme="majorBidi"/>
          <w:color w:val="auto"/>
          <w:lang w:val="fr-FR"/>
        </w:rPr>
        <w:t>)</w:t>
      </w:r>
      <w:r>
        <w:rPr>
          <w:rFonts w:asciiTheme="majorBidi" w:hAnsiTheme="majorBidi" w:cstheme="majorBidi"/>
          <w:color w:val="auto"/>
          <w:lang w:val="fr-FR"/>
        </w:rPr>
        <w:t xml:space="preserve">. </w:t>
      </w:r>
    </w:p>
    <w:p w14:paraId="7922EE0E" w14:textId="77777777" w:rsidR="00A47DEE" w:rsidRDefault="00A47DEE" w:rsidP="00A47DEE">
      <w:pPr>
        <w:pStyle w:val="Normal2GC"/>
        <w:rPr>
          <w:rFonts w:asciiTheme="majorBidi" w:hAnsiTheme="majorBidi" w:cstheme="majorBidi"/>
          <w:color w:val="auto"/>
          <w:lang w:val="fr-FR"/>
        </w:rPr>
      </w:pPr>
      <w:r>
        <w:rPr>
          <w:rFonts w:asciiTheme="majorBidi" w:hAnsiTheme="majorBidi" w:cstheme="majorBidi"/>
          <w:color w:val="auto"/>
          <w:lang w:val="fr-FR"/>
        </w:rPr>
        <w:t>Par ailleurs dans ce plan l’axe gouvernance propose aussi le r</w:t>
      </w:r>
      <w:r w:rsidRPr="00EE4BD3">
        <w:rPr>
          <w:rFonts w:asciiTheme="majorBidi" w:hAnsiTheme="majorBidi" w:cstheme="majorBidi"/>
          <w:color w:val="auto"/>
          <w:lang w:val="fr-FR"/>
        </w:rPr>
        <w:t>enforcement des capacités du personnel sanitaire</w:t>
      </w:r>
      <w:r>
        <w:rPr>
          <w:rFonts w:asciiTheme="majorBidi" w:hAnsiTheme="majorBidi" w:cstheme="majorBidi"/>
          <w:color w:val="auto"/>
          <w:lang w:val="fr-FR"/>
        </w:rPr>
        <w:t xml:space="preserve"> </w:t>
      </w:r>
      <w:r w:rsidRPr="00EE4BD3">
        <w:rPr>
          <w:rFonts w:asciiTheme="majorBidi" w:hAnsiTheme="majorBidi" w:cstheme="majorBidi"/>
          <w:color w:val="auto"/>
          <w:lang w:val="fr-FR"/>
        </w:rPr>
        <w:t>sur les risques et effets liés aux changements climatiques, et amélioration des connaissances des</w:t>
      </w:r>
      <w:r>
        <w:rPr>
          <w:rFonts w:asciiTheme="majorBidi" w:hAnsiTheme="majorBidi" w:cstheme="majorBidi"/>
          <w:color w:val="auto"/>
          <w:lang w:val="fr-FR"/>
        </w:rPr>
        <w:t xml:space="preserve"> </w:t>
      </w:r>
      <w:r w:rsidRPr="00EE4BD3">
        <w:rPr>
          <w:rFonts w:asciiTheme="majorBidi" w:hAnsiTheme="majorBidi" w:cstheme="majorBidi"/>
          <w:color w:val="auto"/>
          <w:lang w:val="fr-FR"/>
        </w:rPr>
        <w:t>populations et des parties prenantes sur les liens entre climat et santé</w:t>
      </w:r>
      <w:r>
        <w:rPr>
          <w:rFonts w:asciiTheme="majorBidi" w:hAnsiTheme="majorBidi" w:cstheme="majorBidi"/>
          <w:color w:val="auto"/>
          <w:lang w:val="fr-FR"/>
        </w:rPr>
        <w:t>, ainsi que le r</w:t>
      </w:r>
      <w:r w:rsidRPr="00EE4BD3">
        <w:rPr>
          <w:rFonts w:asciiTheme="majorBidi" w:hAnsiTheme="majorBidi" w:cstheme="majorBidi"/>
          <w:color w:val="auto"/>
          <w:lang w:val="fr-FR"/>
        </w:rPr>
        <w:t>enforcement de la communication, l’information sur les défis du climat</w:t>
      </w:r>
      <w:r>
        <w:rPr>
          <w:rFonts w:asciiTheme="majorBidi" w:hAnsiTheme="majorBidi" w:cstheme="majorBidi"/>
          <w:color w:val="auto"/>
          <w:lang w:val="fr-FR"/>
        </w:rPr>
        <w:t xml:space="preserve"> </w:t>
      </w:r>
      <w:r w:rsidRPr="00EE4BD3">
        <w:rPr>
          <w:rFonts w:asciiTheme="majorBidi" w:hAnsiTheme="majorBidi" w:cstheme="majorBidi"/>
          <w:color w:val="auto"/>
          <w:lang w:val="fr-FR"/>
        </w:rPr>
        <w:t xml:space="preserve">pour la santé ; </w:t>
      </w:r>
      <w:r>
        <w:rPr>
          <w:rFonts w:asciiTheme="majorBidi" w:hAnsiTheme="majorBidi" w:cstheme="majorBidi"/>
          <w:color w:val="auto"/>
          <w:lang w:val="fr-FR"/>
        </w:rPr>
        <w:t>l’é</w:t>
      </w:r>
      <w:r w:rsidRPr="00EE4BD3">
        <w:rPr>
          <w:rFonts w:asciiTheme="majorBidi" w:hAnsiTheme="majorBidi" w:cstheme="majorBidi"/>
          <w:color w:val="auto"/>
          <w:lang w:val="fr-FR"/>
        </w:rPr>
        <w:t>ducation</w:t>
      </w:r>
      <w:r>
        <w:rPr>
          <w:rFonts w:asciiTheme="majorBidi" w:hAnsiTheme="majorBidi" w:cstheme="majorBidi"/>
          <w:color w:val="auto"/>
          <w:lang w:val="fr-FR"/>
        </w:rPr>
        <w:t xml:space="preserve"> nationale</w:t>
      </w:r>
      <w:r w:rsidRPr="00EE4BD3">
        <w:rPr>
          <w:rFonts w:asciiTheme="majorBidi" w:hAnsiTheme="majorBidi" w:cstheme="majorBidi"/>
          <w:color w:val="auto"/>
          <w:lang w:val="fr-FR"/>
        </w:rPr>
        <w:t xml:space="preserve"> et </w:t>
      </w:r>
      <w:r>
        <w:rPr>
          <w:rFonts w:asciiTheme="majorBidi" w:hAnsiTheme="majorBidi" w:cstheme="majorBidi"/>
          <w:color w:val="auto"/>
          <w:lang w:val="fr-FR"/>
        </w:rPr>
        <w:t>l’</w:t>
      </w:r>
      <w:r w:rsidRPr="00EE4BD3">
        <w:rPr>
          <w:rFonts w:asciiTheme="majorBidi" w:hAnsiTheme="majorBidi" w:cstheme="majorBidi"/>
          <w:color w:val="auto"/>
          <w:lang w:val="fr-FR"/>
        </w:rPr>
        <w:t xml:space="preserve">information du </w:t>
      </w:r>
      <w:r>
        <w:rPr>
          <w:rFonts w:asciiTheme="majorBidi" w:hAnsiTheme="majorBidi" w:cstheme="majorBidi"/>
          <w:color w:val="auto"/>
          <w:lang w:val="fr-FR"/>
        </w:rPr>
        <w:t xml:space="preserve">grand </w:t>
      </w:r>
      <w:r w:rsidRPr="00EE4BD3">
        <w:rPr>
          <w:rFonts w:asciiTheme="majorBidi" w:hAnsiTheme="majorBidi" w:cstheme="majorBidi"/>
          <w:color w:val="auto"/>
          <w:lang w:val="fr-FR"/>
        </w:rPr>
        <w:t>public sur les mesures nécessaires pour protéger la santé</w:t>
      </w:r>
      <w:r>
        <w:rPr>
          <w:rFonts w:asciiTheme="majorBidi" w:hAnsiTheme="majorBidi" w:cstheme="majorBidi"/>
          <w:color w:val="auto"/>
          <w:lang w:val="fr-FR"/>
        </w:rPr>
        <w:t xml:space="preserve"> </w:t>
      </w:r>
      <w:r w:rsidRPr="00EE4BD3">
        <w:rPr>
          <w:rFonts w:asciiTheme="majorBidi" w:hAnsiTheme="majorBidi" w:cstheme="majorBidi"/>
          <w:color w:val="auto"/>
          <w:lang w:val="fr-FR"/>
        </w:rPr>
        <w:t>des effets néfastes du changement climatique</w:t>
      </w:r>
      <w:r>
        <w:rPr>
          <w:rFonts w:asciiTheme="majorBidi" w:hAnsiTheme="majorBidi" w:cstheme="majorBidi"/>
          <w:color w:val="auto"/>
          <w:lang w:val="fr-FR"/>
        </w:rPr>
        <w:t>.</w:t>
      </w:r>
    </w:p>
    <w:p w14:paraId="4C1388FE" w14:textId="77777777" w:rsidR="00A47DEE" w:rsidRPr="00EE4BD3" w:rsidRDefault="00A47DEE" w:rsidP="00A47DEE">
      <w:pPr>
        <w:pStyle w:val="Normal2GC"/>
        <w:rPr>
          <w:rFonts w:asciiTheme="majorBidi" w:hAnsiTheme="majorBidi" w:cstheme="majorBidi"/>
          <w:color w:val="auto"/>
          <w:lang w:val="fr-FR"/>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00"/>
        <w:gridCol w:w="6667"/>
      </w:tblGrid>
      <w:tr w:rsidR="00A47DEE" w:rsidRPr="00EE4BD3" w14:paraId="05BAF0E8" w14:textId="77777777" w:rsidTr="00EE0E23">
        <w:trPr>
          <w:trHeight w:val="314"/>
        </w:trPr>
        <w:tc>
          <w:tcPr>
            <w:tcW w:w="2400" w:type="dxa"/>
            <w:shd w:val="clear" w:color="auto" w:fill="8EAADB" w:themeFill="accent1" w:themeFillTint="99"/>
            <w:tcMar>
              <w:top w:w="72" w:type="dxa"/>
              <w:left w:w="144" w:type="dxa"/>
              <w:bottom w:w="72" w:type="dxa"/>
              <w:right w:w="144" w:type="dxa"/>
            </w:tcMar>
            <w:hideMark/>
          </w:tcPr>
          <w:p w14:paraId="247B667F" w14:textId="77777777" w:rsidR="00A47DEE" w:rsidRPr="00EE4BD3" w:rsidRDefault="00A47DEE" w:rsidP="00EE0E23">
            <w:pPr>
              <w:rPr>
                <w:rFonts w:asciiTheme="majorBidi" w:eastAsia="Times New Roman" w:hAnsiTheme="majorBidi" w:cstheme="majorBidi"/>
                <w:lang w:eastAsia="fr-FR"/>
              </w:rPr>
            </w:pPr>
            <w:r w:rsidRPr="00EE4BD3">
              <w:rPr>
                <w:rFonts w:asciiTheme="majorBidi" w:eastAsia="Times New Roman" w:hAnsiTheme="majorBidi" w:cstheme="majorBidi"/>
                <w:b/>
                <w:bCs/>
                <w:kern w:val="24"/>
                <w:lang w:eastAsia="fr-FR"/>
              </w:rPr>
              <w:t>Composante</w:t>
            </w:r>
            <w:r>
              <w:rPr>
                <w:rFonts w:asciiTheme="majorBidi" w:eastAsia="Times New Roman" w:hAnsiTheme="majorBidi" w:cstheme="majorBidi"/>
                <w:b/>
                <w:bCs/>
                <w:kern w:val="24"/>
                <w:lang w:eastAsia="fr-FR"/>
              </w:rPr>
              <w:t>s</w:t>
            </w:r>
            <w:r w:rsidRPr="00EE4BD3">
              <w:rPr>
                <w:rFonts w:asciiTheme="majorBidi" w:eastAsia="Times New Roman" w:hAnsiTheme="majorBidi" w:cstheme="majorBidi"/>
                <w:b/>
                <w:bCs/>
                <w:kern w:val="24"/>
                <w:lang w:eastAsia="fr-FR"/>
              </w:rPr>
              <w:t xml:space="preserve"> </w:t>
            </w:r>
          </w:p>
        </w:tc>
        <w:tc>
          <w:tcPr>
            <w:tcW w:w="6667" w:type="dxa"/>
            <w:shd w:val="clear" w:color="auto" w:fill="8EAADB" w:themeFill="accent1" w:themeFillTint="99"/>
            <w:tcMar>
              <w:top w:w="72" w:type="dxa"/>
              <w:left w:w="144" w:type="dxa"/>
              <w:bottom w:w="72" w:type="dxa"/>
              <w:right w:w="144" w:type="dxa"/>
            </w:tcMar>
            <w:hideMark/>
          </w:tcPr>
          <w:p w14:paraId="2D17D108" w14:textId="77777777" w:rsidR="00A47DEE" w:rsidRPr="00EE4BD3" w:rsidRDefault="00A47DEE" w:rsidP="00EE0E23">
            <w:pPr>
              <w:rPr>
                <w:rFonts w:asciiTheme="majorBidi" w:eastAsia="Times New Roman" w:hAnsiTheme="majorBidi" w:cstheme="majorBidi"/>
                <w:lang w:eastAsia="fr-FR"/>
              </w:rPr>
            </w:pPr>
            <w:r w:rsidRPr="00EE4BD3">
              <w:rPr>
                <w:rFonts w:asciiTheme="majorBidi" w:eastAsia="Times New Roman" w:hAnsiTheme="majorBidi" w:cstheme="majorBidi"/>
                <w:b/>
                <w:bCs/>
                <w:kern w:val="24"/>
                <w:lang w:eastAsia="fr-FR"/>
              </w:rPr>
              <w:t>Action Clé</w:t>
            </w:r>
          </w:p>
        </w:tc>
      </w:tr>
      <w:tr w:rsidR="00A47DEE" w:rsidRPr="00EE4BD3" w14:paraId="79B5A6F5" w14:textId="77777777" w:rsidTr="00EE0E23">
        <w:trPr>
          <w:trHeight w:val="584"/>
        </w:trPr>
        <w:tc>
          <w:tcPr>
            <w:tcW w:w="2400" w:type="dxa"/>
            <w:shd w:val="clear" w:color="auto" w:fill="B4C6E7" w:themeFill="accent1" w:themeFillTint="66"/>
            <w:tcMar>
              <w:top w:w="72" w:type="dxa"/>
              <w:left w:w="144" w:type="dxa"/>
              <w:bottom w:w="72" w:type="dxa"/>
              <w:right w:w="144" w:type="dxa"/>
            </w:tcMar>
            <w:hideMark/>
          </w:tcPr>
          <w:p w14:paraId="6FB8B551" w14:textId="77777777" w:rsidR="00A47DEE" w:rsidRPr="00EE4BD3" w:rsidRDefault="00A47DEE" w:rsidP="00EE0E23">
            <w:pPr>
              <w:rPr>
                <w:rFonts w:asciiTheme="majorBidi" w:eastAsia="Times New Roman" w:hAnsiTheme="majorBidi" w:cstheme="majorBidi"/>
                <w:lang w:eastAsia="fr-FR"/>
              </w:rPr>
            </w:pPr>
            <w:r w:rsidRPr="00EE4BD3">
              <w:rPr>
                <w:rFonts w:asciiTheme="majorBidi" w:hAnsiTheme="majorBidi" w:cstheme="majorBidi"/>
                <w:b/>
                <w:bCs/>
                <w:color w:val="000000" w:themeColor="dark1"/>
                <w:kern w:val="24"/>
                <w:lang w:eastAsia="fr-FR"/>
              </w:rPr>
              <w:t xml:space="preserve">Adaptation </w:t>
            </w:r>
          </w:p>
        </w:tc>
        <w:tc>
          <w:tcPr>
            <w:tcW w:w="6667" w:type="dxa"/>
            <w:shd w:val="clear" w:color="auto" w:fill="auto"/>
            <w:tcMar>
              <w:top w:w="72" w:type="dxa"/>
              <w:left w:w="144" w:type="dxa"/>
              <w:bottom w:w="72" w:type="dxa"/>
              <w:right w:w="144" w:type="dxa"/>
            </w:tcMar>
            <w:hideMark/>
          </w:tcPr>
          <w:p w14:paraId="1C10D7BE" w14:textId="77777777" w:rsidR="00A47DEE" w:rsidRPr="003757E1" w:rsidRDefault="00A47DEE" w:rsidP="00EE0E23">
            <w:pPr>
              <w:pStyle w:val="Normal2GC"/>
              <w:rPr>
                <w:rFonts w:asciiTheme="majorBidi" w:hAnsiTheme="majorBidi" w:cstheme="majorBidi"/>
                <w:b/>
                <w:bCs/>
                <w:color w:val="339933"/>
                <w:sz w:val="22"/>
                <w:szCs w:val="22"/>
                <w:lang w:val="fr-FR"/>
              </w:rPr>
            </w:pPr>
            <w:r w:rsidRPr="003757E1">
              <w:rPr>
                <w:rFonts w:asciiTheme="majorBidi" w:hAnsiTheme="majorBidi" w:cstheme="majorBidi"/>
                <w:b/>
                <w:bCs/>
                <w:color w:val="339933"/>
                <w:sz w:val="22"/>
                <w:szCs w:val="22"/>
                <w:lang w:val="fr-FR"/>
              </w:rPr>
              <w:t xml:space="preserve">Entreprendre une évaluation de la vulnérabilité et l'adaptation au changement climatique pour la santé </w:t>
            </w:r>
          </w:p>
          <w:p w14:paraId="4D315C7B" w14:textId="77777777" w:rsidR="00A47DEE" w:rsidRPr="000F0CF5" w:rsidRDefault="00A47DEE" w:rsidP="00EE0E23">
            <w:pPr>
              <w:pStyle w:val="Normal2GC"/>
              <w:rPr>
                <w:rFonts w:asciiTheme="majorBidi" w:eastAsia="Times New Roman" w:hAnsiTheme="majorBidi" w:cstheme="majorBidi"/>
                <w:color w:val="C00000"/>
                <w:sz w:val="22"/>
                <w:szCs w:val="22"/>
                <w:lang w:eastAsia="fr-FR"/>
              </w:rPr>
            </w:pPr>
            <w:r w:rsidRPr="003757E1">
              <w:rPr>
                <w:rFonts w:asciiTheme="majorBidi" w:hAnsiTheme="majorBidi" w:cstheme="majorBidi"/>
                <w:b/>
                <w:bCs/>
                <w:color w:val="339933"/>
                <w:sz w:val="22"/>
                <w:szCs w:val="22"/>
                <w:lang w:val="fr-FR"/>
              </w:rPr>
              <w:t>Elaboration de Plan National d’Adaptation du secteur de la Santé</w:t>
            </w:r>
            <w:r w:rsidRPr="000F0CF5">
              <w:rPr>
                <w:rFonts w:asciiTheme="majorBidi" w:hAnsiTheme="majorBidi" w:cstheme="majorBidi"/>
                <w:color w:val="C00000"/>
                <w:sz w:val="22"/>
                <w:szCs w:val="22"/>
              </w:rPr>
              <w:t xml:space="preserve"> </w:t>
            </w:r>
          </w:p>
        </w:tc>
      </w:tr>
      <w:tr w:rsidR="00A47DEE" w:rsidRPr="00EE4BD3" w14:paraId="3B9CBE33" w14:textId="77777777" w:rsidTr="00EE0E23">
        <w:trPr>
          <w:trHeight w:val="1478"/>
        </w:trPr>
        <w:tc>
          <w:tcPr>
            <w:tcW w:w="2400" w:type="dxa"/>
            <w:shd w:val="clear" w:color="auto" w:fill="B4C6E7" w:themeFill="accent1" w:themeFillTint="66"/>
            <w:tcMar>
              <w:top w:w="72" w:type="dxa"/>
              <w:left w:w="144" w:type="dxa"/>
              <w:bottom w:w="72" w:type="dxa"/>
              <w:right w:w="144" w:type="dxa"/>
            </w:tcMar>
            <w:hideMark/>
          </w:tcPr>
          <w:p w14:paraId="48D301C2" w14:textId="77777777" w:rsidR="00A47DEE" w:rsidRPr="00EE4BD3" w:rsidRDefault="00A47DEE" w:rsidP="00EE0E23">
            <w:pPr>
              <w:rPr>
                <w:rFonts w:asciiTheme="majorBidi" w:eastAsia="Times New Roman" w:hAnsiTheme="majorBidi" w:cstheme="majorBidi"/>
                <w:lang w:eastAsia="fr-FR"/>
              </w:rPr>
            </w:pPr>
            <w:r w:rsidRPr="00EE4BD3">
              <w:rPr>
                <w:rFonts w:asciiTheme="majorBidi" w:hAnsiTheme="majorBidi" w:cstheme="majorBidi"/>
                <w:b/>
                <w:bCs/>
                <w:color w:val="000000" w:themeColor="dark1"/>
                <w:kern w:val="24"/>
                <w:lang w:eastAsia="fr-FR"/>
              </w:rPr>
              <w:t xml:space="preserve">Atténuation </w:t>
            </w:r>
          </w:p>
        </w:tc>
        <w:tc>
          <w:tcPr>
            <w:tcW w:w="6667" w:type="dxa"/>
            <w:shd w:val="clear" w:color="auto" w:fill="auto"/>
            <w:tcMar>
              <w:top w:w="72" w:type="dxa"/>
              <w:left w:w="144" w:type="dxa"/>
              <w:bottom w:w="72" w:type="dxa"/>
              <w:right w:w="144" w:type="dxa"/>
            </w:tcMar>
            <w:hideMark/>
          </w:tcPr>
          <w:p w14:paraId="61F759F3" w14:textId="77777777" w:rsidR="00A47DEE" w:rsidRPr="003757E1" w:rsidRDefault="00A47DEE" w:rsidP="00EE0E23">
            <w:pPr>
              <w:rPr>
                <w:rFonts w:asciiTheme="majorBidi" w:hAnsiTheme="majorBidi" w:cstheme="majorBidi"/>
                <w:b/>
                <w:bCs/>
                <w:color w:val="339933"/>
                <w:kern w:val="24"/>
                <w:lang w:eastAsia="fr-FR"/>
              </w:rPr>
            </w:pPr>
            <w:r w:rsidRPr="003757E1">
              <w:rPr>
                <w:rFonts w:asciiTheme="majorBidi" w:hAnsiTheme="majorBidi" w:cstheme="majorBidi"/>
                <w:b/>
                <w:bCs/>
                <w:color w:val="339933"/>
                <w:kern w:val="24"/>
                <w:lang w:eastAsia="fr-FR"/>
              </w:rPr>
              <w:t>Entreprendre une évaluation de base des émissions de gaz à effet de serre du système de santé.</w:t>
            </w:r>
            <w:r w:rsidRPr="003757E1">
              <w:rPr>
                <w:rFonts w:asciiTheme="majorBidi" w:hAnsiTheme="majorBidi" w:cstheme="majorBidi"/>
                <w:b/>
                <w:bCs/>
                <w:color w:val="339933"/>
                <w:kern w:val="24"/>
                <w:lang w:eastAsia="fr-FR"/>
              </w:rPr>
              <w:tab/>
            </w:r>
          </w:p>
          <w:p w14:paraId="69429D63" w14:textId="77777777" w:rsidR="00A47DEE" w:rsidRPr="000F0CF5" w:rsidRDefault="00A47DEE" w:rsidP="00EE0E23">
            <w:pPr>
              <w:pStyle w:val="Normal2GC"/>
              <w:rPr>
                <w:rFonts w:asciiTheme="majorBidi" w:eastAsia="Times New Roman" w:hAnsiTheme="majorBidi" w:cstheme="majorBidi"/>
                <w:color w:val="C00000"/>
                <w:sz w:val="22"/>
                <w:szCs w:val="22"/>
                <w:lang w:eastAsia="fr-FR"/>
              </w:rPr>
            </w:pPr>
            <w:r w:rsidRPr="003757E1">
              <w:rPr>
                <w:rFonts w:asciiTheme="majorBidi" w:hAnsiTheme="majorBidi" w:cstheme="majorBidi"/>
                <w:b/>
                <w:bCs/>
                <w:color w:val="339933"/>
                <w:sz w:val="22"/>
                <w:szCs w:val="22"/>
                <w:lang w:val="fr-FR"/>
              </w:rPr>
              <w:t xml:space="preserve">Une </w:t>
            </w:r>
            <w:bookmarkStart w:id="438" w:name="_Hlk175143166"/>
            <w:r w:rsidRPr="003757E1">
              <w:rPr>
                <w:rFonts w:asciiTheme="majorBidi" w:hAnsiTheme="majorBidi" w:cstheme="majorBidi"/>
                <w:b/>
                <w:bCs/>
                <w:color w:val="339933"/>
                <w:sz w:val="22"/>
                <w:szCs w:val="22"/>
                <w:lang w:val="fr-FR"/>
              </w:rPr>
              <w:t>feuille de route pour la réduction des gaz à effet de serre du Ministère avec un objectif de neutralité carbone dans un horizon déterminé, complété au plus tard en 2030</w:t>
            </w:r>
            <w:bookmarkEnd w:id="438"/>
            <w:r w:rsidRPr="000F0CF5">
              <w:rPr>
                <w:rFonts w:asciiTheme="majorBidi" w:hAnsiTheme="majorBidi" w:cstheme="majorBidi"/>
                <w:color w:val="C00000"/>
                <w:sz w:val="22"/>
                <w:szCs w:val="22"/>
                <w:lang w:val="fr-FR"/>
              </w:rPr>
              <w:t xml:space="preserve">. </w:t>
            </w:r>
          </w:p>
        </w:tc>
      </w:tr>
      <w:tr w:rsidR="00A47DEE" w:rsidRPr="00EE4BD3" w14:paraId="079EA373" w14:textId="77777777" w:rsidTr="00EE0E23">
        <w:trPr>
          <w:trHeight w:val="584"/>
        </w:trPr>
        <w:tc>
          <w:tcPr>
            <w:tcW w:w="2400" w:type="dxa"/>
            <w:shd w:val="clear" w:color="auto" w:fill="B4C6E7" w:themeFill="accent1" w:themeFillTint="66"/>
            <w:tcMar>
              <w:top w:w="72" w:type="dxa"/>
              <w:left w:w="144" w:type="dxa"/>
              <w:bottom w:w="72" w:type="dxa"/>
              <w:right w:w="144" w:type="dxa"/>
            </w:tcMar>
            <w:hideMark/>
          </w:tcPr>
          <w:p w14:paraId="07397F33" w14:textId="77777777" w:rsidR="00A47DEE" w:rsidRPr="00EE4BD3" w:rsidRDefault="00A47DEE" w:rsidP="00EE0E23">
            <w:pPr>
              <w:rPr>
                <w:rFonts w:asciiTheme="majorBidi" w:eastAsia="Times New Roman" w:hAnsiTheme="majorBidi" w:cstheme="majorBidi"/>
                <w:lang w:eastAsia="fr-FR"/>
              </w:rPr>
            </w:pPr>
            <w:r w:rsidRPr="00EE4BD3">
              <w:rPr>
                <w:rFonts w:asciiTheme="majorBidi" w:hAnsiTheme="majorBidi" w:cstheme="majorBidi"/>
                <w:b/>
                <w:bCs/>
                <w:color w:val="000000" w:themeColor="dark1"/>
                <w:kern w:val="24"/>
                <w:lang w:eastAsia="fr-FR"/>
              </w:rPr>
              <w:t>Gouvernance</w:t>
            </w:r>
          </w:p>
        </w:tc>
        <w:tc>
          <w:tcPr>
            <w:tcW w:w="6667" w:type="dxa"/>
            <w:shd w:val="clear" w:color="auto" w:fill="auto"/>
            <w:tcMar>
              <w:top w:w="72" w:type="dxa"/>
              <w:left w:w="144" w:type="dxa"/>
              <w:bottom w:w="72" w:type="dxa"/>
              <w:right w:w="144" w:type="dxa"/>
            </w:tcMar>
            <w:hideMark/>
          </w:tcPr>
          <w:p w14:paraId="43D184BE" w14:textId="77777777" w:rsidR="00A47DEE" w:rsidRPr="003757E1" w:rsidRDefault="00A47DEE" w:rsidP="00EE0E23">
            <w:pPr>
              <w:pStyle w:val="Normal2GC"/>
              <w:rPr>
                <w:rFonts w:asciiTheme="majorBidi" w:hAnsiTheme="majorBidi" w:cstheme="majorBidi"/>
                <w:b/>
                <w:bCs/>
                <w:color w:val="339966"/>
                <w:kern w:val="24"/>
                <w:sz w:val="22"/>
                <w:szCs w:val="22"/>
                <w:lang w:val="fr-FR" w:eastAsia="fr-FR"/>
              </w:rPr>
            </w:pPr>
            <w:r w:rsidRPr="003757E1">
              <w:rPr>
                <w:rFonts w:asciiTheme="majorBidi" w:hAnsiTheme="majorBidi" w:cstheme="majorBidi"/>
                <w:b/>
                <w:bCs/>
                <w:color w:val="339966"/>
                <w:kern w:val="24"/>
                <w:sz w:val="22"/>
                <w:szCs w:val="22"/>
                <w:lang w:val="fr-FR" w:eastAsia="fr-FR"/>
              </w:rPr>
              <w:t>Renforcer la prise en compte des dimensions climat dans les politiques, vision et plans d’action santé PNDS 2030</w:t>
            </w:r>
          </w:p>
          <w:p w14:paraId="57DE5639" w14:textId="77777777" w:rsidR="00A47DEE" w:rsidRPr="000F0CF5" w:rsidRDefault="00A47DEE" w:rsidP="00EE0E23">
            <w:pPr>
              <w:pStyle w:val="Normal2GC"/>
              <w:rPr>
                <w:rFonts w:asciiTheme="majorBidi" w:hAnsiTheme="majorBidi" w:cstheme="majorBidi"/>
                <w:color w:val="C00000"/>
                <w:sz w:val="22"/>
                <w:szCs w:val="22"/>
                <w:lang w:val="fr-FR"/>
              </w:rPr>
            </w:pPr>
            <w:r w:rsidRPr="003757E1">
              <w:rPr>
                <w:rFonts w:asciiTheme="majorBidi" w:hAnsiTheme="majorBidi" w:cstheme="majorBidi"/>
                <w:b/>
                <w:bCs/>
                <w:color w:val="339966"/>
                <w:sz w:val="22"/>
                <w:szCs w:val="22"/>
                <w:lang w:val="fr-FR"/>
              </w:rPr>
              <w:t>Le développement des projets santé pour le FVC</w:t>
            </w:r>
            <w:r w:rsidRPr="000F0CF5">
              <w:rPr>
                <w:rFonts w:asciiTheme="majorBidi" w:hAnsiTheme="majorBidi" w:cstheme="majorBidi"/>
                <w:color w:val="C00000"/>
                <w:sz w:val="22"/>
                <w:szCs w:val="22"/>
                <w:lang w:val="fr-FR"/>
              </w:rPr>
              <w:t xml:space="preserve"> </w:t>
            </w:r>
          </w:p>
        </w:tc>
      </w:tr>
    </w:tbl>
    <w:p w14:paraId="6BF124FA" w14:textId="77777777" w:rsidR="00A47DEE" w:rsidRDefault="00A47DEE" w:rsidP="00A47DEE">
      <w:pPr>
        <w:spacing w:before="120" w:after="120" w:line="276" w:lineRule="auto"/>
        <w:jc w:val="center"/>
        <w:rPr>
          <w:rFonts w:ascii="Bookman Old Style" w:hAnsi="Bookman Old Style" w:cstheme="minorHAnsi"/>
          <w:i/>
          <w:sz w:val="18"/>
          <w:szCs w:val="18"/>
        </w:rPr>
      </w:pPr>
      <w:r w:rsidRPr="00EE4BD3">
        <w:rPr>
          <w:rFonts w:asciiTheme="majorBidi" w:hAnsiTheme="majorBidi" w:cstheme="majorBidi"/>
          <w:b/>
          <w:bCs/>
          <w:i/>
          <w:sz w:val="18"/>
          <w:szCs w:val="18"/>
          <w:u w:val="single"/>
        </w:rPr>
        <w:t>Tableau 4</w:t>
      </w:r>
      <w:r w:rsidRPr="00EE4BD3">
        <w:rPr>
          <w:rFonts w:asciiTheme="majorBidi" w:hAnsiTheme="majorBidi" w:cstheme="majorBidi"/>
          <w:b/>
          <w:bCs/>
          <w:i/>
          <w:spacing w:val="-2"/>
          <w:sz w:val="18"/>
          <w:szCs w:val="18"/>
          <w:u w:val="single"/>
        </w:rPr>
        <w:t xml:space="preserve"> </w:t>
      </w:r>
      <w:r w:rsidRPr="00EE4BD3">
        <w:rPr>
          <w:rFonts w:asciiTheme="majorBidi" w:hAnsiTheme="majorBidi" w:cstheme="majorBidi"/>
          <w:b/>
          <w:bCs/>
          <w:i/>
          <w:sz w:val="18"/>
          <w:szCs w:val="18"/>
          <w:u w:val="single"/>
        </w:rPr>
        <w:t>:</w:t>
      </w:r>
      <w:r w:rsidRPr="00EE4BD3">
        <w:rPr>
          <w:rFonts w:asciiTheme="majorBidi" w:hAnsiTheme="majorBidi" w:cstheme="majorBidi"/>
          <w:b/>
          <w:bCs/>
          <w:i/>
          <w:spacing w:val="-2"/>
          <w:sz w:val="18"/>
          <w:szCs w:val="18"/>
          <w:u w:val="single"/>
        </w:rPr>
        <w:t xml:space="preserve"> </w:t>
      </w:r>
      <w:r w:rsidRPr="00EE4BD3">
        <w:rPr>
          <w:rFonts w:asciiTheme="majorBidi" w:hAnsiTheme="majorBidi" w:cstheme="majorBidi"/>
          <w:b/>
          <w:bCs/>
          <w:i/>
          <w:sz w:val="18"/>
          <w:szCs w:val="18"/>
          <w:u w:val="single"/>
        </w:rPr>
        <w:t xml:space="preserve">Composante et action </w:t>
      </w:r>
      <w:proofErr w:type="gramStart"/>
      <w:r w:rsidRPr="00EE4BD3">
        <w:rPr>
          <w:rFonts w:asciiTheme="majorBidi" w:hAnsiTheme="majorBidi" w:cstheme="majorBidi"/>
          <w:b/>
          <w:bCs/>
          <w:i/>
          <w:sz w:val="18"/>
          <w:szCs w:val="18"/>
          <w:u w:val="single"/>
        </w:rPr>
        <w:t xml:space="preserve">clé  </w:t>
      </w:r>
      <w:r w:rsidRPr="00EE4BD3">
        <w:rPr>
          <w:rFonts w:asciiTheme="majorBidi" w:hAnsiTheme="majorBidi" w:cstheme="majorBidi"/>
          <w:b/>
          <w:bCs/>
          <w:i/>
          <w:spacing w:val="-2"/>
          <w:sz w:val="18"/>
          <w:szCs w:val="18"/>
          <w:u w:val="single"/>
        </w:rPr>
        <w:t>(</w:t>
      </w:r>
      <w:proofErr w:type="gramEnd"/>
      <w:r w:rsidRPr="00EE4BD3">
        <w:rPr>
          <w:rFonts w:asciiTheme="majorBidi" w:hAnsiTheme="majorBidi" w:cstheme="majorBidi"/>
          <w:b/>
          <w:bCs/>
          <w:i/>
          <w:spacing w:val="-2"/>
          <w:sz w:val="18"/>
          <w:szCs w:val="18"/>
          <w:u w:val="single"/>
        </w:rPr>
        <w:t xml:space="preserve">FR </w:t>
      </w:r>
      <w:r w:rsidRPr="00EE4BD3">
        <w:rPr>
          <w:rFonts w:asciiTheme="majorBidi" w:hAnsiTheme="majorBidi" w:cstheme="majorBidi"/>
          <w:b/>
          <w:bCs/>
          <w:i/>
          <w:sz w:val="18"/>
          <w:szCs w:val="18"/>
          <w:u w:val="single"/>
        </w:rPr>
        <w:t>construire de système de santé résilients au climat, durables et à faible émission de carbone en Mauritanie 2023</w:t>
      </w:r>
      <w:r w:rsidRPr="00EE4BD3">
        <w:rPr>
          <w:rFonts w:asciiTheme="majorBidi" w:hAnsiTheme="majorBidi" w:cstheme="majorBidi"/>
          <w:b/>
          <w:bCs/>
          <w:i/>
          <w:spacing w:val="-2"/>
          <w:sz w:val="18"/>
          <w:szCs w:val="18"/>
          <w:u w:val="single"/>
        </w:rPr>
        <w:t>)</w:t>
      </w:r>
      <w:r w:rsidRPr="00EE4BD3">
        <w:rPr>
          <w:rFonts w:ascii="Bookman Old Style" w:hAnsi="Bookman Old Style" w:cstheme="minorHAnsi"/>
          <w:i/>
          <w:sz w:val="18"/>
          <w:szCs w:val="18"/>
        </w:rPr>
        <w:t xml:space="preserve"> </w:t>
      </w:r>
    </w:p>
    <w:p w14:paraId="334A4F4B" w14:textId="77777777" w:rsidR="00A47DEE" w:rsidRPr="00EE4BD3" w:rsidRDefault="00A47DEE" w:rsidP="00A47DEE">
      <w:pPr>
        <w:pStyle w:val="Normal2GC"/>
        <w:spacing w:before="0" w:after="100" w:afterAutospacing="1" w:line="240" w:lineRule="auto"/>
        <w:jc w:val="center"/>
        <w:rPr>
          <w:rFonts w:asciiTheme="majorBidi" w:hAnsiTheme="majorBidi" w:cstheme="majorBidi"/>
          <w:color w:val="000000"/>
          <w:u w:val="single"/>
          <w:lang w:val="fr-FR"/>
        </w:rPr>
      </w:pPr>
      <w:r w:rsidRPr="00EE4BD3">
        <w:rPr>
          <w:rFonts w:asciiTheme="majorBidi" w:hAnsiTheme="majorBidi" w:cstheme="majorBidi"/>
          <w:color w:val="000000"/>
          <w:u w:val="single"/>
          <w:lang w:val="fr-FR"/>
        </w:rPr>
        <w:t>Elaboré et présenté par</w:t>
      </w:r>
    </w:p>
    <w:p w14:paraId="44D0CD62" w14:textId="77777777" w:rsidR="00A47DEE" w:rsidRPr="00EE4BD3" w:rsidRDefault="00A47DEE" w:rsidP="00A47DEE">
      <w:pPr>
        <w:pStyle w:val="Normal2GC"/>
        <w:spacing w:before="0" w:after="100" w:afterAutospacing="1" w:line="240" w:lineRule="auto"/>
        <w:jc w:val="center"/>
        <w:rPr>
          <w:rFonts w:asciiTheme="majorBidi" w:hAnsiTheme="majorBidi" w:cstheme="majorBidi"/>
          <w:b/>
          <w:bCs/>
          <w:color w:val="000000"/>
          <w:sz w:val="28"/>
          <w:szCs w:val="28"/>
          <w:lang w:val="fr-FR"/>
        </w:rPr>
      </w:pPr>
      <w:r w:rsidRPr="00EE4BD3">
        <w:rPr>
          <w:rFonts w:asciiTheme="majorBidi" w:hAnsiTheme="majorBidi" w:cstheme="majorBidi"/>
          <w:b/>
          <w:bCs/>
          <w:color w:val="000000"/>
          <w:sz w:val="28"/>
          <w:szCs w:val="28"/>
          <w:lang w:val="fr-FR"/>
        </w:rPr>
        <w:t>Dr Aminetou AHMED LOULY</w:t>
      </w:r>
    </w:p>
    <w:p w14:paraId="1963F9FA" w14:textId="77777777" w:rsidR="00A47DEE" w:rsidRPr="00EE4BD3" w:rsidRDefault="00A47DEE" w:rsidP="00A47DEE">
      <w:pPr>
        <w:pStyle w:val="Normal2GC"/>
        <w:spacing w:before="0" w:after="100" w:afterAutospacing="1" w:line="240" w:lineRule="auto"/>
        <w:jc w:val="center"/>
        <w:rPr>
          <w:rFonts w:asciiTheme="majorBidi" w:hAnsiTheme="majorBidi" w:cstheme="majorBidi"/>
          <w:b/>
          <w:bCs/>
          <w:color w:val="000000"/>
          <w:lang w:val="fr-FR"/>
        </w:rPr>
      </w:pPr>
      <w:r w:rsidRPr="00EE4BD3">
        <w:rPr>
          <w:rFonts w:asciiTheme="majorBidi" w:hAnsiTheme="majorBidi" w:cstheme="majorBidi"/>
          <w:b/>
          <w:bCs/>
          <w:color w:val="000000"/>
          <w:lang w:val="fr-FR"/>
        </w:rPr>
        <w:t>Biologiste /Auditeur qualité/ Spécialiste santé environnement /Expert QHSE/2024</w:t>
      </w:r>
    </w:p>
    <w:p w14:paraId="2B79A957" w14:textId="77777777" w:rsidR="00A47DEE" w:rsidRDefault="00A47DEE" w:rsidP="00A47DEE">
      <w:pPr>
        <w:pStyle w:val="Normal2GC"/>
        <w:spacing w:before="0" w:after="100" w:afterAutospacing="1" w:line="240" w:lineRule="auto"/>
        <w:jc w:val="center"/>
        <w:rPr>
          <w:rFonts w:asciiTheme="majorBidi" w:hAnsiTheme="majorBidi" w:cstheme="majorBidi"/>
          <w:b/>
          <w:bCs/>
          <w:color w:val="000000"/>
          <w:lang w:val="fr-FR"/>
        </w:rPr>
      </w:pPr>
      <w:r>
        <w:rPr>
          <w:rFonts w:asciiTheme="majorBidi" w:hAnsiTheme="majorBidi" w:cstheme="majorBidi"/>
          <w:b/>
          <w:bCs/>
          <w:color w:val="000000"/>
          <w:lang w:val="fr-FR"/>
        </w:rPr>
        <w:t xml:space="preserve">Commentaire final : Le rapport est acceptable et original pour le secteur de santé ; </w:t>
      </w:r>
    </w:p>
    <w:p w14:paraId="517D28E5" w14:textId="7D197B04" w:rsidR="00A47DEE" w:rsidRPr="00090C68" w:rsidRDefault="00A47DEE" w:rsidP="00A47DEE">
      <w:pPr>
        <w:pStyle w:val="Normal2GC"/>
        <w:spacing w:before="0" w:after="100" w:afterAutospacing="1" w:line="240" w:lineRule="auto"/>
        <w:jc w:val="center"/>
        <w:rPr>
          <w:rFonts w:asciiTheme="majorBidi" w:hAnsiTheme="majorBidi" w:cstheme="majorBidi"/>
          <w:b/>
          <w:bCs/>
          <w:color w:val="003399"/>
          <w:sz w:val="4"/>
          <w:szCs w:val="4"/>
          <w:lang w:val="fr-FR"/>
        </w:rPr>
      </w:pPr>
      <w:r w:rsidRPr="00090C68">
        <w:rPr>
          <w:rFonts w:asciiTheme="majorBidi" w:hAnsiTheme="majorBidi" w:cstheme="majorBidi"/>
          <w:b/>
          <w:bCs/>
          <w:color w:val="003399"/>
          <w:lang w:val="fr-FR"/>
        </w:rPr>
        <w:t xml:space="preserve"> </w:t>
      </w:r>
    </w:p>
    <w:p w14:paraId="4996B354" w14:textId="77777777" w:rsidR="00A47DEE" w:rsidRPr="005A6BD6" w:rsidRDefault="00A47DEE" w:rsidP="00A47DEE">
      <w:pPr>
        <w:pStyle w:val="Normal2GC"/>
        <w:spacing w:before="0" w:after="100" w:afterAutospacing="1" w:line="240" w:lineRule="auto"/>
        <w:jc w:val="center"/>
        <w:rPr>
          <w:rFonts w:asciiTheme="majorBidi" w:hAnsiTheme="majorBidi" w:cstheme="majorBidi"/>
          <w:b/>
          <w:bCs/>
          <w:color w:val="000000"/>
          <w:lang w:val="en-US"/>
        </w:rPr>
      </w:pPr>
      <w:r>
        <w:rPr>
          <w:rFonts w:asciiTheme="majorBidi" w:hAnsiTheme="majorBidi" w:cstheme="majorBidi"/>
          <w:b/>
          <w:bCs/>
          <w:color w:val="000000"/>
          <w:lang w:val="en-US"/>
        </w:rPr>
        <w:t>___________________________________________________________________________</w:t>
      </w:r>
    </w:p>
    <w:p w14:paraId="356A8B10" w14:textId="77777777" w:rsidR="00A47DEE" w:rsidRPr="005A6BD6" w:rsidRDefault="00A47DEE" w:rsidP="00A47DEE">
      <w:pPr>
        <w:jc w:val="both"/>
        <w:rPr>
          <w:rFonts w:asciiTheme="majorBidi" w:hAnsiTheme="majorBidi" w:cstheme="majorBidi"/>
          <w:b/>
          <w:u w:val="single"/>
        </w:rPr>
      </w:pPr>
      <w:r w:rsidRPr="005A6BD6">
        <w:rPr>
          <w:rFonts w:asciiTheme="majorBidi" w:hAnsiTheme="majorBidi" w:cstheme="majorBidi"/>
          <w:b/>
          <w:u w:val="single"/>
        </w:rPr>
        <w:t xml:space="preserve">Abréviation : </w:t>
      </w:r>
    </w:p>
    <w:p w14:paraId="5365ADB8" w14:textId="77777777" w:rsidR="00A47DEE" w:rsidRPr="005A6BD6" w:rsidRDefault="00A47DEE" w:rsidP="00A47DEE">
      <w:pPr>
        <w:pStyle w:val="Paragraphedeliste"/>
        <w:numPr>
          <w:ilvl w:val="0"/>
          <w:numId w:val="403"/>
        </w:numPr>
        <w:autoSpaceDE w:val="0"/>
        <w:autoSpaceDN w:val="0"/>
        <w:adjustRightInd w:val="0"/>
        <w:spacing w:after="0" w:line="240" w:lineRule="auto"/>
        <w:rPr>
          <w:rFonts w:asciiTheme="majorBidi" w:hAnsiTheme="majorBidi" w:cstheme="majorBidi"/>
        </w:rPr>
      </w:pPr>
      <w:r w:rsidRPr="005A6BD6">
        <w:rPr>
          <w:rFonts w:asciiTheme="majorBidi" w:hAnsiTheme="majorBidi" w:cstheme="majorBidi"/>
        </w:rPr>
        <w:t xml:space="preserve">MS : ministère de la santé </w:t>
      </w:r>
    </w:p>
    <w:p w14:paraId="7EC63B90" w14:textId="77777777" w:rsidR="00A47DEE" w:rsidRPr="005A6BD6" w:rsidRDefault="00A47DEE" w:rsidP="00A47DEE">
      <w:pPr>
        <w:pStyle w:val="Paragraphedeliste"/>
        <w:numPr>
          <w:ilvl w:val="0"/>
          <w:numId w:val="403"/>
        </w:numPr>
        <w:autoSpaceDE w:val="0"/>
        <w:autoSpaceDN w:val="0"/>
        <w:adjustRightInd w:val="0"/>
        <w:spacing w:after="0" w:line="240" w:lineRule="auto"/>
        <w:rPr>
          <w:rFonts w:asciiTheme="majorBidi" w:hAnsiTheme="majorBidi" w:cstheme="majorBidi"/>
        </w:rPr>
      </w:pPr>
      <w:r w:rsidRPr="005A6BD6">
        <w:rPr>
          <w:rFonts w:asciiTheme="majorBidi" w:hAnsiTheme="majorBidi" w:cstheme="majorBidi"/>
        </w:rPr>
        <w:t>DHP : direction de l’hygiène publique</w:t>
      </w:r>
    </w:p>
    <w:p w14:paraId="15E80DB5" w14:textId="5DF97966" w:rsidR="00A47DEE" w:rsidRPr="005A6BD6" w:rsidRDefault="00A47DEE" w:rsidP="00A47DEE">
      <w:pPr>
        <w:pStyle w:val="Paragraphedeliste"/>
        <w:numPr>
          <w:ilvl w:val="0"/>
          <w:numId w:val="403"/>
        </w:numPr>
        <w:autoSpaceDE w:val="0"/>
        <w:autoSpaceDN w:val="0"/>
        <w:adjustRightInd w:val="0"/>
        <w:spacing w:after="0" w:line="240" w:lineRule="auto"/>
        <w:rPr>
          <w:rFonts w:asciiTheme="majorBidi" w:hAnsiTheme="majorBidi" w:cstheme="majorBidi"/>
        </w:rPr>
      </w:pPr>
      <w:r w:rsidRPr="005A6BD6">
        <w:rPr>
          <w:rFonts w:asciiTheme="majorBidi" w:hAnsiTheme="majorBidi" w:cstheme="majorBidi"/>
        </w:rPr>
        <w:t>OMS</w:t>
      </w:r>
      <w:proofErr w:type="gramStart"/>
      <w:r w:rsidRPr="005A6BD6">
        <w:rPr>
          <w:rFonts w:asciiTheme="majorBidi" w:hAnsiTheme="majorBidi" w:cstheme="majorBidi"/>
        </w:rPr>
        <w:t> :</w:t>
      </w:r>
      <w:r w:rsidR="00E93398">
        <w:rPr>
          <w:rFonts w:asciiTheme="majorBidi" w:hAnsiTheme="majorBidi" w:cstheme="majorBidi"/>
        </w:rPr>
        <w:t>Office</w:t>
      </w:r>
      <w:proofErr w:type="gramEnd"/>
      <w:r w:rsidR="00E93398">
        <w:rPr>
          <w:rFonts w:asciiTheme="majorBidi" w:hAnsiTheme="majorBidi" w:cstheme="majorBidi"/>
        </w:rPr>
        <w:t xml:space="preserve"> Mondial de la Santé</w:t>
      </w:r>
    </w:p>
    <w:p w14:paraId="02629F1E" w14:textId="0DB133CE" w:rsidR="00A47DEE" w:rsidRPr="005A6BD6" w:rsidRDefault="00A47DEE" w:rsidP="00A47DEE">
      <w:pPr>
        <w:pStyle w:val="Paragraphedeliste"/>
        <w:numPr>
          <w:ilvl w:val="0"/>
          <w:numId w:val="403"/>
        </w:numPr>
        <w:autoSpaceDE w:val="0"/>
        <w:autoSpaceDN w:val="0"/>
        <w:adjustRightInd w:val="0"/>
        <w:spacing w:after="0" w:line="240" w:lineRule="auto"/>
        <w:rPr>
          <w:rFonts w:asciiTheme="majorBidi" w:hAnsiTheme="majorBidi" w:cstheme="majorBidi"/>
        </w:rPr>
      </w:pPr>
      <w:r w:rsidRPr="005A6BD6">
        <w:rPr>
          <w:rFonts w:asciiTheme="majorBidi" w:hAnsiTheme="majorBidi" w:cstheme="majorBidi"/>
        </w:rPr>
        <w:t>CDN :</w:t>
      </w:r>
      <w:r w:rsidR="00E93398">
        <w:rPr>
          <w:rFonts w:asciiTheme="majorBidi" w:hAnsiTheme="majorBidi" w:cstheme="majorBidi"/>
        </w:rPr>
        <w:t xml:space="preserve"> Contribution Déterminée au niveau National</w:t>
      </w:r>
    </w:p>
    <w:p w14:paraId="1C7EE485" w14:textId="77777777" w:rsidR="00A47DEE" w:rsidRPr="005A6BD6" w:rsidRDefault="00A47DEE" w:rsidP="00A47DEE">
      <w:pPr>
        <w:pStyle w:val="Paragraphedeliste"/>
        <w:numPr>
          <w:ilvl w:val="0"/>
          <w:numId w:val="403"/>
        </w:numPr>
        <w:autoSpaceDE w:val="0"/>
        <w:autoSpaceDN w:val="0"/>
        <w:adjustRightInd w:val="0"/>
        <w:spacing w:after="0" w:line="240" w:lineRule="auto"/>
        <w:rPr>
          <w:rFonts w:asciiTheme="majorBidi" w:hAnsiTheme="majorBidi" w:cstheme="majorBidi"/>
        </w:rPr>
      </w:pPr>
      <w:r w:rsidRPr="005A6BD6">
        <w:rPr>
          <w:rFonts w:asciiTheme="majorBidi" w:hAnsiTheme="majorBidi" w:cstheme="majorBidi"/>
        </w:rPr>
        <w:t xml:space="preserve">FOSA : Formation sanitaire </w:t>
      </w:r>
    </w:p>
    <w:p w14:paraId="4B1172A6" w14:textId="27550A67" w:rsidR="00A47DEE" w:rsidRPr="005A6BD6" w:rsidRDefault="00A47DEE" w:rsidP="00A47DEE">
      <w:pPr>
        <w:pStyle w:val="Paragraphedeliste"/>
        <w:numPr>
          <w:ilvl w:val="0"/>
          <w:numId w:val="403"/>
        </w:numPr>
        <w:autoSpaceDE w:val="0"/>
        <w:autoSpaceDN w:val="0"/>
        <w:adjustRightInd w:val="0"/>
        <w:spacing w:after="0" w:line="240" w:lineRule="auto"/>
        <w:rPr>
          <w:rFonts w:asciiTheme="majorBidi" w:hAnsiTheme="majorBidi" w:cstheme="majorBidi"/>
        </w:rPr>
      </w:pPr>
      <w:r w:rsidRPr="005A6BD6">
        <w:rPr>
          <w:rFonts w:asciiTheme="majorBidi" w:hAnsiTheme="majorBidi" w:cstheme="majorBidi"/>
        </w:rPr>
        <w:t xml:space="preserve">SCAPP : </w:t>
      </w:r>
      <w:r w:rsidR="00E93398">
        <w:rPr>
          <w:rFonts w:asciiTheme="majorBidi" w:hAnsiTheme="majorBidi" w:cstheme="majorBidi"/>
        </w:rPr>
        <w:t xml:space="preserve">Stratégie </w:t>
      </w:r>
    </w:p>
    <w:p w14:paraId="77681AD9" w14:textId="77777777" w:rsidR="00A47DEE" w:rsidRPr="005A6BD6" w:rsidRDefault="00A47DEE" w:rsidP="00A47DEE">
      <w:pPr>
        <w:pStyle w:val="Paragraphedeliste"/>
        <w:numPr>
          <w:ilvl w:val="0"/>
          <w:numId w:val="403"/>
        </w:numPr>
        <w:autoSpaceDE w:val="0"/>
        <w:autoSpaceDN w:val="0"/>
        <w:adjustRightInd w:val="0"/>
        <w:spacing w:after="0" w:line="240" w:lineRule="auto"/>
        <w:rPr>
          <w:rFonts w:asciiTheme="majorBidi" w:hAnsiTheme="majorBidi" w:cstheme="majorBidi"/>
        </w:rPr>
      </w:pPr>
      <w:r w:rsidRPr="005A6BD6">
        <w:rPr>
          <w:rFonts w:asciiTheme="majorBidi" w:hAnsiTheme="majorBidi" w:cstheme="majorBidi"/>
        </w:rPr>
        <w:t>EPU :</w:t>
      </w:r>
      <w:r>
        <w:rPr>
          <w:rFonts w:asciiTheme="majorBidi" w:hAnsiTheme="majorBidi" w:cstheme="majorBidi"/>
        </w:rPr>
        <w:t xml:space="preserve"> </w:t>
      </w:r>
      <w:r w:rsidRPr="005A6BD6">
        <w:rPr>
          <w:rFonts w:asciiTheme="majorBidi" w:hAnsiTheme="majorBidi" w:cstheme="majorBidi"/>
        </w:rPr>
        <w:t>Examen Périodique Universel</w:t>
      </w:r>
    </w:p>
    <w:p w14:paraId="6FDB0126" w14:textId="1D01E953" w:rsidR="00A47DEE" w:rsidRPr="005A6BD6" w:rsidRDefault="00A47DEE" w:rsidP="00A47DEE">
      <w:pPr>
        <w:pStyle w:val="Paragraphedeliste"/>
        <w:numPr>
          <w:ilvl w:val="0"/>
          <w:numId w:val="403"/>
        </w:numPr>
        <w:autoSpaceDE w:val="0"/>
        <w:autoSpaceDN w:val="0"/>
        <w:adjustRightInd w:val="0"/>
        <w:spacing w:after="0" w:line="240" w:lineRule="auto"/>
        <w:rPr>
          <w:rFonts w:asciiTheme="majorBidi" w:hAnsiTheme="majorBidi" w:cstheme="majorBidi"/>
        </w:rPr>
      </w:pPr>
      <w:r w:rsidRPr="005A6BD6">
        <w:rPr>
          <w:rFonts w:asciiTheme="majorBidi" w:hAnsiTheme="majorBidi" w:cstheme="majorBidi"/>
        </w:rPr>
        <w:t xml:space="preserve">PTF : </w:t>
      </w:r>
      <w:r w:rsidR="00E93398">
        <w:rPr>
          <w:rFonts w:asciiTheme="majorBidi" w:hAnsiTheme="majorBidi" w:cstheme="majorBidi"/>
        </w:rPr>
        <w:t>Partenaires Techniques et Financiers</w:t>
      </w:r>
    </w:p>
    <w:p w14:paraId="3FC7F4A2" w14:textId="5FD360EB" w:rsidR="00A47DEE" w:rsidRPr="005A6BD6" w:rsidRDefault="00A47DEE" w:rsidP="00A47DEE">
      <w:pPr>
        <w:pStyle w:val="Paragraphedeliste"/>
        <w:numPr>
          <w:ilvl w:val="0"/>
          <w:numId w:val="403"/>
        </w:numPr>
        <w:autoSpaceDE w:val="0"/>
        <w:autoSpaceDN w:val="0"/>
        <w:adjustRightInd w:val="0"/>
        <w:spacing w:after="0" w:line="240" w:lineRule="auto"/>
        <w:rPr>
          <w:rFonts w:asciiTheme="majorBidi" w:hAnsiTheme="majorBidi" w:cstheme="majorBidi"/>
        </w:rPr>
      </w:pPr>
      <w:r w:rsidRPr="005A6BD6">
        <w:rPr>
          <w:rFonts w:asciiTheme="majorBidi" w:hAnsiTheme="majorBidi" w:cstheme="majorBidi"/>
        </w:rPr>
        <w:t xml:space="preserve">GES : </w:t>
      </w:r>
      <w:r w:rsidR="00E93398">
        <w:rPr>
          <w:rFonts w:asciiTheme="majorBidi" w:hAnsiTheme="majorBidi" w:cstheme="majorBidi"/>
        </w:rPr>
        <w:t>Gaz à effet de serre</w:t>
      </w:r>
    </w:p>
    <w:p w14:paraId="7500BEFE" w14:textId="77777777" w:rsidR="00A47DEE" w:rsidRPr="00EE4BD3" w:rsidRDefault="00A47DEE" w:rsidP="00A47DEE">
      <w:pPr>
        <w:spacing w:line="360" w:lineRule="auto"/>
        <w:rPr>
          <w:rFonts w:asciiTheme="majorBidi" w:hAnsiTheme="majorBidi" w:cstheme="majorBidi"/>
          <w:b/>
          <w:bCs/>
          <w:sz w:val="4"/>
          <w:szCs w:val="4"/>
          <w:u w:val="single"/>
        </w:rPr>
      </w:pPr>
    </w:p>
    <w:p w14:paraId="38AC15CD" w14:textId="77777777" w:rsidR="00A47DEE" w:rsidRPr="005028CB" w:rsidRDefault="00A47DEE" w:rsidP="00A47DEE">
      <w:pPr>
        <w:pStyle w:val="Normal2GC"/>
        <w:spacing w:before="0" w:after="100" w:afterAutospacing="1" w:line="240" w:lineRule="auto"/>
        <w:jc w:val="left"/>
        <w:rPr>
          <w:rFonts w:asciiTheme="majorBidi" w:hAnsiTheme="majorBidi" w:cstheme="majorBidi"/>
          <w:b/>
          <w:bCs/>
          <w:color w:val="000000"/>
          <w:sz w:val="28"/>
          <w:szCs w:val="28"/>
          <w:lang w:val="fr-FR"/>
        </w:rPr>
      </w:pPr>
    </w:p>
    <w:p w14:paraId="18840FF1" w14:textId="5A4D2390" w:rsidR="00A47DEE" w:rsidRDefault="00A47DEE" w:rsidP="00DF1579">
      <w:pPr>
        <w:jc w:val="both"/>
        <w:rPr>
          <w:rFonts w:ascii="Century Gothic" w:hAnsi="Century Gothic"/>
        </w:rPr>
      </w:pPr>
    </w:p>
    <w:p w14:paraId="0CB9EABA" w14:textId="77777777" w:rsidR="00BC6C8B" w:rsidRDefault="00BC6C8B" w:rsidP="00DF1579">
      <w:pPr>
        <w:jc w:val="both"/>
        <w:rPr>
          <w:rFonts w:ascii="Century Gothic" w:hAnsi="Century Gothic"/>
        </w:rPr>
      </w:pPr>
    </w:p>
    <w:p w14:paraId="5CCACB61" w14:textId="77777777" w:rsidR="004910EB" w:rsidRDefault="004910EB" w:rsidP="004910EB">
      <w:pPr>
        <w:widowControl w:val="0"/>
        <w:spacing w:after="0" w:line="240" w:lineRule="auto"/>
        <w:ind w:left="360"/>
        <w:jc w:val="center"/>
        <w:rPr>
          <w:rFonts w:eastAsia="Calibri" w:cstheme="minorHAnsi"/>
          <w:b/>
          <w:bCs/>
          <w:color w:val="215868"/>
          <w:sz w:val="24"/>
          <w:szCs w:val="24"/>
        </w:rPr>
      </w:pPr>
      <w:r w:rsidRPr="008F6A71">
        <w:rPr>
          <w:rFonts w:eastAsia="Calibri" w:cstheme="minorHAnsi"/>
          <w:noProof/>
          <w:color w:val="008000"/>
        </w:rPr>
        <w:drawing>
          <wp:inline distT="0" distB="0" distL="0" distR="0" wp14:anchorId="2D9B3AA9" wp14:editId="37261FFD">
            <wp:extent cx="852147" cy="698583"/>
            <wp:effectExtent l="0" t="0" r="5715" b="6350"/>
            <wp:docPr id="16334427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859184" cy="704352"/>
                    </a:xfrm>
                    <a:prstGeom prst="rect">
                      <a:avLst/>
                    </a:prstGeom>
                    <a:noFill/>
                    <a:ln>
                      <a:noFill/>
                    </a:ln>
                  </pic:spPr>
                </pic:pic>
              </a:graphicData>
            </a:graphic>
          </wp:inline>
        </w:drawing>
      </w:r>
    </w:p>
    <w:p w14:paraId="6AE92753" w14:textId="77777777" w:rsidR="004910EB" w:rsidRDefault="004910EB" w:rsidP="004910EB">
      <w:pPr>
        <w:widowControl w:val="0"/>
        <w:spacing w:after="0" w:line="240" w:lineRule="auto"/>
        <w:ind w:left="360"/>
        <w:jc w:val="center"/>
        <w:rPr>
          <w:rFonts w:eastAsia="Calibri" w:cstheme="minorHAnsi"/>
          <w:b/>
          <w:bCs/>
          <w:color w:val="215868"/>
          <w:sz w:val="24"/>
          <w:szCs w:val="24"/>
        </w:rPr>
      </w:pPr>
    </w:p>
    <w:p w14:paraId="0D9678E4" w14:textId="57F81D6D" w:rsidR="004910EB" w:rsidRPr="008F6A71" w:rsidRDefault="004910EB" w:rsidP="004910EB">
      <w:pPr>
        <w:widowControl w:val="0"/>
        <w:spacing w:after="0" w:line="240" w:lineRule="auto"/>
        <w:ind w:left="360"/>
        <w:jc w:val="center"/>
        <w:rPr>
          <w:rFonts w:eastAsia="Calibri" w:cstheme="minorHAnsi"/>
          <w:b/>
          <w:bCs/>
          <w:color w:val="215868"/>
          <w:sz w:val="24"/>
          <w:szCs w:val="24"/>
        </w:rPr>
      </w:pPr>
      <w:proofErr w:type="spellStart"/>
      <w:proofErr w:type="gramStart"/>
      <w:r w:rsidRPr="008F6A71">
        <w:rPr>
          <w:rFonts w:eastAsia="Calibri" w:cstheme="minorHAnsi"/>
          <w:b/>
          <w:bCs/>
          <w:color w:val="215868"/>
          <w:sz w:val="24"/>
          <w:szCs w:val="24"/>
        </w:rPr>
        <w:t>épublique</w:t>
      </w:r>
      <w:proofErr w:type="spellEnd"/>
      <w:proofErr w:type="gramEnd"/>
      <w:r w:rsidRPr="008F6A71">
        <w:rPr>
          <w:rFonts w:eastAsia="Calibri" w:cstheme="minorHAnsi"/>
          <w:b/>
          <w:bCs/>
          <w:color w:val="215868"/>
          <w:sz w:val="24"/>
          <w:szCs w:val="24"/>
        </w:rPr>
        <w:t xml:space="preserve"> Islamique de Mauritanie</w:t>
      </w:r>
    </w:p>
    <w:p w14:paraId="60A87F4B" w14:textId="77777777" w:rsidR="004910EB" w:rsidRPr="008F6A71" w:rsidRDefault="004910EB" w:rsidP="004910EB">
      <w:pPr>
        <w:spacing w:after="0" w:line="360" w:lineRule="auto"/>
        <w:jc w:val="center"/>
        <w:rPr>
          <w:rFonts w:eastAsia="Calibri" w:cstheme="minorHAnsi"/>
          <w:b/>
          <w:bCs/>
          <w:color w:val="215868"/>
          <w:sz w:val="20"/>
          <w:szCs w:val="20"/>
        </w:rPr>
      </w:pPr>
      <w:r w:rsidRPr="008F6A71">
        <w:rPr>
          <w:rFonts w:eastAsia="Calibri" w:cstheme="minorHAnsi"/>
          <w:b/>
          <w:bCs/>
          <w:color w:val="215868"/>
          <w:sz w:val="20"/>
          <w:szCs w:val="20"/>
        </w:rPr>
        <w:t>Honneur – Fraternité – Justice</w:t>
      </w:r>
    </w:p>
    <w:p w14:paraId="3B28507D" w14:textId="77777777" w:rsidR="004910EB" w:rsidRPr="008F6A71" w:rsidRDefault="004910EB" w:rsidP="004910EB">
      <w:pPr>
        <w:spacing w:after="0" w:line="360" w:lineRule="auto"/>
        <w:jc w:val="center"/>
        <w:rPr>
          <w:rFonts w:eastAsia="Calibri" w:cstheme="minorHAnsi"/>
          <w:b/>
          <w:bCs/>
          <w:color w:val="215868"/>
          <w:sz w:val="24"/>
          <w:szCs w:val="24"/>
        </w:rPr>
      </w:pPr>
      <w:r w:rsidRPr="008F6A71">
        <w:rPr>
          <w:rFonts w:eastAsia="Calibri" w:cstheme="minorHAnsi"/>
          <w:b/>
          <w:bCs/>
          <w:color w:val="215868"/>
          <w:sz w:val="24"/>
          <w:szCs w:val="24"/>
        </w:rPr>
        <w:t>Ministère de l’Environnement et du Développement Durable</w:t>
      </w:r>
    </w:p>
    <w:p w14:paraId="14A4A900" w14:textId="77777777" w:rsidR="004910EB" w:rsidRPr="008F6A71" w:rsidRDefault="004910EB" w:rsidP="004910EB">
      <w:pPr>
        <w:spacing w:after="0" w:line="360" w:lineRule="auto"/>
        <w:jc w:val="center"/>
        <w:rPr>
          <w:rFonts w:eastAsia="Calibri" w:cstheme="minorHAnsi"/>
          <w:b/>
          <w:bCs/>
          <w:color w:val="215868"/>
          <w:sz w:val="24"/>
          <w:szCs w:val="24"/>
        </w:rPr>
      </w:pPr>
      <w:r w:rsidRPr="008F6A71">
        <w:rPr>
          <w:rFonts w:eastAsia="Calibri" w:cstheme="minorHAnsi"/>
          <w:b/>
          <w:bCs/>
          <w:color w:val="215868"/>
          <w:sz w:val="24"/>
          <w:szCs w:val="24"/>
        </w:rPr>
        <w:t>Direction du climat et de l’économie verte</w:t>
      </w:r>
    </w:p>
    <w:p w14:paraId="4BE51E15" w14:textId="77777777" w:rsidR="004910EB" w:rsidRPr="00E44B56" w:rsidRDefault="004910EB" w:rsidP="004910EB">
      <w:pPr>
        <w:spacing w:before="120" w:after="120" w:line="240" w:lineRule="auto"/>
        <w:jc w:val="center"/>
        <w:rPr>
          <w:rFonts w:asciiTheme="majorBidi" w:eastAsia="SimSun" w:hAnsiTheme="majorBidi" w:cstheme="majorBidi"/>
          <w:b/>
          <w:bCs/>
          <w:sz w:val="18"/>
          <w:szCs w:val="18"/>
          <w:lang w:eastAsia="zh-CN"/>
        </w:rPr>
      </w:pPr>
      <w:r w:rsidRPr="00E44B56">
        <w:rPr>
          <w:rFonts w:asciiTheme="majorBidi" w:eastAsia="SimSun" w:hAnsiTheme="majorBidi" w:cstheme="majorBidi"/>
          <w:b/>
          <w:bCs/>
          <w:sz w:val="18"/>
          <w:szCs w:val="18"/>
          <w:lang w:eastAsia="zh-CN"/>
        </w:rPr>
        <w:t>UNITE DE GESTION DE LA CINQUIEME COMMUNICATION NATIONALE SUR LES CHANGEMENTS CLIMATIQUES. – NC5</w:t>
      </w:r>
    </w:p>
    <w:p w14:paraId="0BF41376" w14:textId="767CA4D8" w:rsidR="004910EB" w:rsidRPr="008F6A71" w:rsidRDefault="00E44B56" w:rsidP="004910EB">
      <w:pPr>
        <w:spacing w:after="0" w:line="240" w:lineRule="auto"/>
        <w:jc w:val="center"/>
        <w:rPr>
          <w:rFonts w:eastAsia="Calibri" w:cstheme="minorHAnsi"/>
          <w:b/>
          <w:bCs/>
          <w:color w:val="215868"/>
          <w:sz w:val="24"/>
          <w:szCs w:val="24"/>
        </w:rPr>
      </w:pPr>
      <w:r w:rsidRPr="00B53F31">
        <w:rPr>
          <w:rFonts w:asciiTheme="majorBidi" w:eastAsia="Times New Roman" w:hAnsiTheme="majorBidi" w:cstheme="majorBidi"/>
          <w:b/>
          <w:bCs/>
          <w:noProof/>
          <w:sz w:val="24"/>
          <w:szCs w:val="24"/>
          <w:lang w:eastAsia="fr-FR"/>
        </w:rPr>
        <mc:AlternateContent>
          <mc:Choice Requires="wps">
            <w:drawing>
              <wp:anchor distT="0" distB="0" distL="114300" distR="114300" simplePos="0" relativeHeight="251729920" behindDoc="0" locked="0" layoutInCell="1" allowOverlap="1" wp14:anchorId="70C2545A" wp14:editId="70BE645F">
                <wp:simplePos x="0" y="0"/>
                <wp:positionH relativeFrom="margin">
                  <wp:posOffset>-233045</wp:posOffset>
                </wp:positionH>
                <wp:positionV relativeFrom="paragraph">
                  <wp:posOffset>350520</wp:posOffset>
                </wp:positionV>
                <wp:extent cx="6271260" cy="1277620"/>
                <wp:effectExtent l="0" t="0" r="15240" b="18415"/>
                <wp:wrapNone/>
                <wp:docPr id="155019865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1277620"/>
                        </a:xfrm>
                        <a:prstGeom prst="rect">
                          <a:avLst/>
                        </a:prstGeom>
                        <a:solidFill>
                          <a:srgbClr val="FFFFFF"/>
                        </a:solidFill>
                        <a:ln w="9525">
                          <a:solidFill>
                            <a:srgbClr val="000000"/>
                          </a:solidFill>
                          <a:miter lim="800000"/>
                          <a:headEnd/>
                          <a:tailEnd/>
                        </a:ln>
                      </wps:spPr>
                      <wps:txbx>
                        <w:txbxContent>
                          <w:p w14:paraId="5FA9C678" w14:textId="7F42415E" w:rsidR="00BC6C8B" w:rsidRPr="00E44B56" w:rsidRDefault="00E44B56" w:rsidP="00BC6C8B">
                            <w:pPr>
                              <w:shd w:val="clear" w:color="auto" w:fill="538135" w:themeFill="accent6" w:themeFillShade="BF"/>
                              <w:spacing w:after="0"/>
                              <w:ind w:right="-58"/>
                              <w:jc w:val="center"/>
                              <w:rPr>
                                <w:rFonts w:ascii="Calibri" w:eastAsia="Calibri" w:hAnsi="Calibri" w:cs="Calibri"/>
                                <w:b/>
                                <w:bCs/>
                                <w:color w:val="FFFFCC"/>
                                <w:sz w:val="36"/>
                                <w:szCs w:val="14"/>
                              </w:rPr>
                            </w:pPr>
                            <w:r>
                              <w:rPr>
                                <w:rFonts w:ascii="Calibri" w:eastAsia="Calibri" w:hAnsi="Calibri" w:cs="Calibri"/>
                                <w:b/>
                                <w:bCs/>
                                <w:color w:val="FFFFCC"/>
                                <w:sz w:val="36"/>
                                <w:szCs w:val="14"/>
                              </w:rPr>
                              <w:t>COMPOSANTE 3 :</w:t>
                            </w:r>
                            <w:r w:rsidRPr="00E44B56">
                              <w:rPr>
                                <w:rFonts w:ascii="Calibri" w:eastAsia="Calibri" w:hAnsi="Calibri" w:cs="Calibri"/>
                                <w:b/>
                                <w:bCs/>
                                <w:color w:val="FFFFCC"/>
                                <w:sz w:val="36"/>
                                <w:szCs w:val="14"/>
                              </w:rPr>
                              <w:t xml:space="preserve"> Evaluation </w:t>
                            </w:r>
                            <w:r w:rsidR="00BC6C8B" w:rsidRPr="00E44B56">
                              <w:rPr>
                                <w:rFonts w:ascii="Calibri" w:eastAsia="Calibri" w:hAnsi="Calibri" w:cs="Calibri"/>
                                <w:b/>
                                <w:bCs/>
                                <w:color w:val="FFFFCC"/>
                                <w:sz w:val="36"/>
                                <w:szCs w:val="14"/>
                              </w:rPr>
                              <w:t xml:space="preserve">de la vulnérabilité et adaptation au changement climatique du secteur de L’Habitat, de L’Urbanisme et </w:t>
                            </w:r>
                            <w:r>
                              <w:rPr>
                                <w:rFonts w:ascii="Calibri" w:eastAsia="Calibri" w:hAnsi="Calibri" w:cs="Calibri"/>
                                <w:b/>
                                <w:bCs/>
                                <w:color w:val="FFFFCC"/>
                                <w:sz w:val="36"/>
                                <w:szCs w:val="14"/>
                              </w:rPr>
                              <w:t>de L</w:t>
                            </w:r>
                            <w:r w:rsidR="00BC6C8B" w:rsidRPr="00E44B56">
                              <w:rPr>
                                <w:rFonts w:ascii="Calibri" w:eastAsia="Calibri" w:hAnsi="Calibri" w:cs="Calibri"/>
                                <w:b/>
                                <w:bCs/>
                                <w:color w:val="FFFFCC"/>
                                <w:sz w:val="36"/>
                                <w:szCs w:val="14"/>
                              </w:rPr>
                              <w:t xml:space="preserve">’Aménagement du Territoire -HUAT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C2545A" id="Text Box 13" o:spid="_x0000_s1063" type="#_x0000_t202" style="position:absolute;left:0;text-align:left;margin-left:-18.35pt;margin-top:27.6pt;width:493.8pt;height:100.6pt;z-index:25172992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">
                <v:textbox style="mso-fit-shape-to-text:t">
                  <w:txbxContent>
                    <w:p w14:paraId="5FA9C678" w14:textId="7F42415E" w:rsidR="00BC6C8B" w:rsidRPr="00E44B56" w:rsidRDefault="00E44B56" w:rsidP="00BC6C8B">
                      <w:pPr>
                        <w:shd w:val="clear" w:color="auto" w:fill="538135" w:themeFill="accent6" w:themeFillShade="BF"/>
                        <w:spacing w:after="0"/>
                        <w:ind w:right="-58"/>
                        <w:jc w:val="center"/>
                        <w:rPr>
                          <w:rFonts w:ascii="Calibri" w:eastAsia="Calibri" w:hAnsi="Calibri" w:cs="Calibri"/>
                          <w:b/>
                          <w:bCs/>
                          <w:color w:val="FFFFCC"/>
                          <w:sz w:val="36"/>
                          <w:szCs w:val="14"/>
                        </w:rPr>
                      </w:pPr>
                      <w:r>
                        <w:rPr>
                          <w:rFonts w:ascii="Calibri" w:eastAsia="Calibri" w:hAnsi="Calibri" w:cs="Calibri"/>
                          <w:b/>
                          <w:bCs/>
                          <w:color w:val="FFFFCC"/>
                          <w:sz w:val="36"/>
                          <w:szCs w:val="14"/>
                        </w:rPr>
                        <w:t>COMPOSANTE 3 :</w:t>
                      </w:r>
                      <w:r w:rsidRPr="00E44B56">
                        <w:rPr>
                          <w:rFonts w:ascii="Calibri" w:eastAsia="Calibri" w:hAnsi="Calibri" w:cs="Calibri"/>
                          <w:b/>
                          <w:bCs/>
                          <w:color w:val="FFFFCC"/>
                          <w:sz w:val="36"/>
                          <w:szCs w:val="14"/>
                        </w:rPr>
                        <w:t xml:space="preserve"> Evaluation </w:t>
                      </w:r>
                      <w:r w:rsidR="00BC6C8B" w:rsidRPr="00E44B56">
                        <w:rPr>
                          <w:rFonts w:ascii="Calibri" w:eastAsia="Calibri" w:hAnsi="Calibri" w:cs="Calibri"/>
                          <w:b/>
                          <w:bCs/>
                          <w:color w:val="FFFFCC"/>
                          <w:sz w:val="36"/>
                          <w:szCs w:val="14"/>
                        </w:rPr>
                        <w:t xml:space="preserve">de la vulnérabilité et adaptation au changement climatique du secteur de L’Habitat, de L’Urbanisme et </w:t>
                      </w:r>
                      <w:r>
                        <w:rPr>
                          <w:rFonts w:ascii="Calibri" w:eastAsia="Calibri" w:hAnsi="Calibri" w:cs="Calibri"/>
                          <w:b/>
                          <w:bCs/>
                          <w:color w:val="FFFFCC"/>
                          <w:sz w:val="36"/>
                          <w:szCs w:val="14"/>
                        </w:rPr>
                        <w:t>de L</w:t>
                      </w:r>
                      <w:r w:rsidR="00BC6C8B" w:rsidRPr="00E44B56">
                        <w:rPr>
                          <w:rFonts w:ascii="Calibri" w:eastAsia="Calibri" w:hAnsi="Calibri" w:cs="Calibri"/>
                          <w:b/>
                          <w:bCs/>
                          <w:color w:val="FFFFCC"/>
                          <w:sz w:val="36"/>
                          <w:szCs w:val="14"/>
                        </w:rPr>
                        <w:t xml:space="preserve">’Aménagement du Territoire -HUAT  </w:t>
                      </w:r>
                    </w:p>
                  </w:txbxContent>
                </v:textbox>
                <w10:wrap anchorx="margin"/>
              </v:shape>
            </w:pict>
          </mc:Fallback>
        </mc:AlternateContent>
      </w:r>
      <w:r w:rsidR="004910EB">
        <w:rPr>
          <w:rFonts w:eastAsia="Calibri" w:cstheme="minorHAnsi"/>
          <w:b/>
          <w:bCs/>
          <w:color w:val="215868"/>
          <w:sz w:val="24"/>
          <w:szCs w:val="24"/>
        </w:rPr>
        <w:t xml:space="preserve">Activité Habilitante </w:t>
      </w:r>
      <w:r w:rsidR="004910EB" w:rsidRPr="008F6A71">
        <w:rPr>
          <w:rFonts w:eastAsia="Calibri" w:cstheme="minorHAnsi"/>
          <w:b/>
          <w:bCs/>
          <w:color w:val="215868"/>
          <w:sz w:val="24"/>
          <w:szCs w:val="24"/>
        </w:rPr>
        <w:t>Cinquième Communication Nationale sur le changement climatique - NC5</w:t>
      </w:r>
    </w:p>
    <w:p w14:paraId="00F000B2" w14:textId="77777777" w:rsidR="00BC6C8B" w:rsidRPr="00B53F31" w:rsidRDefault="00BC6C8B" w:rsidP="00BC6C8B">
      <w:pPr>
        <w:spacing w:after="0" w:line="360" w:lineRule="auto"/>
        <w:jc w:val="center"/>
        <w:rPr>
          <w:rFonts w:asciiTheme="majorBidi" w:eastAsia="Times New Roman" w:hAnsiTheme="majorBidi" w:cstheme="majorBidi"/>
          <w:b/>
          <w:bCs/>
          <w:noProof/>
          <w:sz w:val="24"/>
          <w:szCs w:val="24"/>
          <w:lang w:eastAsia="fr-FR"/>
        </w:rPr>
      </w:pPr>
      <w:r w:rsidRPr="00B53F31">
        <w:rPr>
          <w:rFonts w:asciiTheme="majorBidi" w:eastAsia="Times New Roman" w:hAnsiTheme="majorBidi" w:cstheme="majorBidi"/>
          <w:b/>
          <w:bCs/>
          <w:noProof/>
          <w:sz w:val="24"/>
          <w:szCs w:val="24"/>
          <w:lang w:eastAsia="fr-FR"/>
        </w:rPr>
        <w:t>------------------------------</w:t>
      </w:r>
    </w:p>
    <w:p w14:paraId="2181889D" w14:textId="170002EB" w:rsidR="00BC6C8B" w:rsidRPr="00B53F31" w:rsidRDefault="00BC6C8B" w:rsidP="00BC6C8B">
      <w:pPr>
        <w:spacing w:after="0" w:line="360" w:lineRule="auto"/>
        <w:jc w:val="both"/>
        <w:rPr>
          <w:rFonts w:asciiTheme="majorBidi" w:eastAsia="Times New Roman" w:hAnsiTheme="majorBidi" w:cstheme="majorBidi"/>
          <w:b/>
          <w:bCs/>
          <w:sz w:val="24"/>
          <w:szCs w:val="24"/>
          <w:lang w:eastAsia="fr-FR"/>
        </w:rPr>
      </w:pPr>
    </w:p>
    <w:p w14:paraId="0162B76C" w14:textId="77777777" w:rsidR="00BC6C8B" w:rsidRPr="00B53F31" w:rsidRDefault="00BC6C8B" w:rsidP="00BC6C8B">
      <w:pPr>
        <w:spacing w:after="0" w:line="360" w:lineRule="auto"/>
        <w:jc w:val="both"/>
        <w:rPr>
          <w:rFonts w:asciiTheme="majorBidi" w:eastAsia="Times New Roman" w:hAnsiTheme="majorBidi" w:cstheme="majorBidi"/>
          <w:b/>
          <w:bCs/>
          <w:sz w:val="24"/>
          <w:szCs w:val="24"/>
          <w:lang w:eastAsia="fr-FR"/>
        </w:rPr>
      </w:pPr>
    </w:p>
    <w:p w14:paraId="4323492E" w14:textId="77777777" w:rsidR="00BC6C8B" w:rsidRPr="00B53F31" w:rsidRDefault="00BC6C8B" w:rsidP="00BC6C8B">
      <w:pPr>
        <w:spacing w:after="0" w:line="360" w:lineRule="auto"/>
        <w:jc w:val="both"/>
        <w:rPr>
          <w:rFonts w:asciiTheme="majorBidi" w:eastAsia="Times New Roman" w:hAnsiTheme="majorBidi" w:cstheme="majorBidi"/>
          <w:b/>
          <w:bCs/>
          <w:sz w:val="24"/>
          <w:szCs w:val="24"/>
          <w:lang w:eastAsia="fr-FR"/>
        </w:rPr>
      </w:pPr>
    </w:p>
    <w:p w14:paraId="189926EA" w14:textId="2655593A" w:rsidR="00BC6C8B" w:rsidRPr="00E44B56" w:rsidRDefault="00BC6C8B" w:rsidP="00BC6C8B">
      <w:pPr>
        <w:spacing w:after="0" w:line="360" w:lineRule="auto"/>
        <w:rPr>
          <w:rFonts w:asciiTheme="majorBidi" w:eastAsia="Times New Roman" w:hAnsiTheme="majorBidi" w:cstheme="majorBidi"/>
          <w:b/>
          <w:bCs/>
          <w:sz w:val="24"/>
          <w:szCs w:val="24"/>
          <w:lang w:eastAsia="fr-FR"/>
        </w:rPr>
      </w:pPr>
      <w:r w:rsidRPr="00E44B56">
        <w:rPr>
          <w:rFonts w:asciiTheme="majorBidi" w:eastAsia="Times New Roman" w:hAnsiTheme="majorBidi" w:cstheme="majorBidi"/>
          <w:b/>
          <w:bCs/>
          <w:sz w:val="24"/>
          <w:szCs w:val="24"/>
          <w:lang w:eastAsia="fr-FR"/>
        </w:rPr>
        <w:t xml:space="preserve">                          </w:t>
      </w:r>
      <w:r w:rsidR="00E44B56" w:rsidRPr="00E44B56">
        <w:rPr>
          <w:rFonts w:asciiTheme="majorBidi" w:eastAsia="Times New Roman" w:hAnsiTheme="majorBidi" w:cstheme="majorBidi"/>
          <w:b/>
          <w:bCs/>
          <w:sz w:val="24"/>
          <w:szCs w:val="24"/>
          <w:lang w:eastAsia="fr-FR"/>
        </w:rPr>
        <w:t>AUTEUR</w:t>
      </w:r>
      <w:r w:rsidRPr="00E44B56">
        <w:rPr>
          <w:rFonts w:asciiTheme="majorBidi" w:eastAsia="Times New Roman" w:hAnsiTheme="majorBidi" w:cstheme="majorBidi"/>
          <w:b/>
          <w:bCs/>
          <w:sz w:val="24"/>
          <w:szCs w:val="24"/>
          <w:lang w:eastAsia="fr-FR"/>
        </w:rPr>
        <w:t xml:space="preserve"> :   Mohamed Seyidi </w:t>
      </w:r>
      <w:r w:rsidR="00E44B56" w:rsidRPr="00E44B56">
        <w:rPr>
          <w:rFonts w:asciiTheme="majorBidi" w:eastAsia="Times New Roman" w:hAnsiTheme="majorBidi" w:cstheme="majorBidi"/>
          <w:b/>
          <w:bCs/>
          <w:sz w:val="24"/>
          <w:szCs w:val="24"/>
          <w:lang w:eastAsia="fr-FR"/>
        </w:rPr>
        <w:t>assisté</w:t>
      </w:r>
      <w:r w:rsidR="00E44B56">
        <w:rPr>
          <w:rFonts w:asciiTheme="majorBidi" w:eastAsia="Times New Roman" w:hAnsiTheme="majorBidi" w:cstheme="majorBidi"/>
          <w:b/>
          <w:bCs/>
          <w:sz w:val="24"/>
          <w:szCs w:val="24"/>
          <w:lang w:eastAsia="fr-FR"/>
        </w:rPr>
        <w:t xml:space="preserve"> de</w:t>
      </w:r>
      <w:r w:rsidRPr="00E44B56">
        <w:rPr>
          <w:rFonts w:asciiTheme="majorBidi" w:eastAsia="Times New Roman" w:hAnsiTheme="majorBidi" w:cstheme="majorBidi"/>
          <w:b/>
          <w:bCs/>
          <w:sz w:val="24"/>
          <w:szCs w:val="24"/>
          <w:lang w:eastAsia="fr-FR"/>
        </w:rPr>
        <w:t xml:space="preserve"> Elhassene Ahmed   Ewbek</w:t>
      </w:r>
    </w:p>
    <w:p w14:paraId="50B88FDF" w14:textId="0FFD8A45" w:rsidR="00BC6C8B" w:rsidRPr="00B53F31" w:rsidRDefault="00BC6C8B" w:rsidP="00E44B56">
      <w:pPr>
        <w:spacing w:after="0" w:line="360" w:lineRule="auto"/>
        <w:jc w:val="center"/>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 xml:space="preserve">24 Octobre </w:t>
      </w:r>
      <w:r w:rsidRPr="00B53F31">
        <w:rPr>
          <w:rFonts w:asciiTheme="majorBidi" w:eastAsia="Times New Roman" w:hAnsiTheme="majorBidi" w:cstheme="majorBidi"/>
          <w:b/>
          <w:bCs/>
          <w:sz w:val="24"/>
          <w:szCs w:val="24"/>
          <w:lang w:eastAsia="fr-FR"/>
        </w:rPr>
        <w:t>2024</w:t>
      </w:r>
    </w:p>
    <w:p w14:paraId="0E73040A" w14:textId="3DAD2A57" w:rsidR="00BC6C8B" w:rsidRPr="00DF1268" w:rsidRDefault="00BC6C8B" w:rsidP="00E44B56">
      <w:pPr>
        <w:spacing w:after="0" w:line="360" w:lineRule="auto"/>
        <w:jc w:val="both"/>
        <w:rPr>
          <w:rFonts w:asciiTheme="majorBidi" w:eastAsia="Times New Roman" w:hAnsiTheme="majorBidi" w:cstheme="majorBidi"/>
          <w:lang w:eastAsia="fr-FR"/>
        </w:rPr>
      </w:pPr>
      <w:r>
        <w:rPr>
          <w:rFonts w:asciiTheme="majorBidi" w:eastAsia="Times New Roman" w:hAnsiTheme="majorBidi" w:cstheme="majorBidi"/>
          <w:b/>
          <w:bCs/>
          <w:lang w:eastAsia="fr-FR"/>
        </w:rPr>
        <w:t xml:space="preserve">                                                           </w:t>
      </w:r>
      <w:r w:rsidR="00E44B56">
        <w:rPr>
          <w:rFonts w:asciiTheme="majorBidi" w:eastAsia="Times New Roman" w:hAnsiTheme="majorBidi" w:cstheme="majorBidi"/>
          <w:b/>
          <w:bCs/>
          <w:lang w:eastAsia="fr-FR"/>
        </w:rPr>
        <w:t xml:space="preserve">     </w:t>
      </w:r>
      <w:r w:rsidRPr="00DF1268">
        <w:rPr>
          <w:rFonts w:asciiTheme="majorBidi" w:eastAsia="Times New Roman" w:hAnsiTheme="majorBidi" w:cstheme="majorBidi"/>
          <w:b/>
          <w:bCs/>
          <w:lang w:eastAsia="fr-FR"/>
        </w:rPr>
        <w:t>Table de matières</w:t>
      </w:r>
    </w:p>
    <w:p w14:paraId="6D6EBD96"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r w:rsidRPr="00301A83">
        <w:rPr>
          <w:rFonts w:asciiTheme="majorBidi" w:eastAsia="Times New Roman" w:hAnsiTheme="majorBidi" w:cstheme="majorBidi"/>
          <w:bCs/>
          <w:lang w:eastAsia="fr-FR"/>
        </w:rPr>
        <w:fldChar w:fldCharType="begin"/>
      </w:r>
      <w:r w:rsidRPr="00301A83">
        <w:rPr>
          <w:rFonts w:asciiTheme="majorBidi" w:eastAsia="Times New Roman" w:hAnsiTheme="majorBidi" w:cstheme="majorBidi"/>
          <w:bCs/>
          <w:lang w:eastAsia="fr-FR"/>
        </w:rPr>
        <w:instrText xml:space="preserve"> TOC \o "1-3" \h \z \u </w:instrText>
      </w:r>
      <w:r w:rsidRPr="00301A83">
        <w:rPr>
          <w:rFonts w:asciiTheme="majorBidi" w:eastAsia="Times New Roman" w:hAnsiTheme="majorBidi" w:cstheme="majorBidi"/>
          <w:bCs/>
          <w:lang w:eastAsia="fr-FR"/>
        </w:rPr>
        <w:fldChar w:fldCharType="separate"/>
      </w:r>
    </w:p>
    <w:p w14:paraId="4C6C080C"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696" w:history="1">
        <w:r>
          <w:rPr>
            <w:rStyle w:val="Lienhypertexte"/>
            <w:rFonts w:asciiTheme="majorBidi" w:eastAsia="Times New Roman" w:hAnsiTheme="majorBidi" w:cstheme="majorBidi"/>
            <w:bCs/>
            <w:lang w:eastAsia="fr-FR"/>
          </w:rPr>
          <w:t>Chapitre 1 : contexte</w:t>
        </w:r>
        <w:r w:rsidRPr="00301A83">
          <w:rPr>
            <w:rStyle w:val="Lienhypertexte"/>
            <w:rFonts w:asciiTheme="majorBidi" w:eastAsia="Times New Roman" w:hAnsiTheme="majorBidi" w:cstheme="majorBidi"/>
            <w:bCs/>
            <w:webHidden/>
            <w:lang w:eastAsia="fr-FR"/>
          </w:rPr>
          <w:tab/>
        </w:r>
      </w:hyperlink>
      <w:r>
        <w:rPr>
          <w:rStyle w:val="Lienhypertexte"/>
          <w:rFonts w:asciiTheme="majorBidi" w:eastAsia="Times New Roman" w:hAnsiTheme="majorBidi" w:cstheme="majorBidi"/>
          <w:bCs/>
          <w:lang w:eastAsia="fr-FR"/>
        </w:rPr>
        <w:t>…………………………………………………………………………. 3</w:t>
      </w:r>
    </w:p>
    <w:p w14:paraId="677D8534"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697" w:history="1">
        <w:r w:rsidRPr="00301A83">
          <w:rPr>
            <w:rStyle w:val="Lienhypertexte"/>
            <w:rFonts w:asciiTheme="majorBidi" w:eastAsia="Times New Roman" w:hAnsiTheme="majorBidi" w:cstheme="majorBidi"/>
            <w:bCs/>
            <w:lang w:eastAsia="fr-FR"/>
          </w:rPr>
          <w:t>Partie 1 Compréhension des te</w:t>
        </w:r>
        <w:r>
          <w:rPr>
            <w:rStyle w:val="Lienhypertexte"/>
            <w:rFonts w:asciiTheme="majorBidi" w:eastAsia="Times New Roman" w:hAnsiTheme="majorBidi" w:cstheme="majorBidi"/>
            <w:bCs/>
            <w:lang w:eastAsia="fr-FR"/>
          </w:rPr>
          <w:t xml:space="preserve">rmes de référence du livrable </w:t>
        </w:r>
        <w:r w:rsidRPr="00301A83">
          <w:rPr>
            <w:rStyle w:val="Lienhypertexte"/>
            <w:rFonts w:asciiTheme="majorBidi" w:eastAsia="Times New Roman" w:hAnsiTheme="majorBidi" w:cstheme="majorBidi"/>
            <w:bCs/>
            <w:lang w:eastAsia="fr-FR"/>
          </w:rPr>
          <w:t>et approche méthodologique</w:t>
        </w:r>
        <w:r>
          <w:rPr>
            <w:rStyle w:val="Lienhypertexte"/>
            <w:rFonts w:asciiTheme="majorBidi" w:eastAsia="Times New Roman" w:hAnsiTheme="majorBidi" w:cstheme="majorBidi"/>
            <w:bCs/>
            <w:lang w:eastAsia="fr-FR"/>
          </w:rPr>
          <w:t xml:space="preserve"> ……   4</w:t>
        </w:r>
        <w:r w:rsidRPr="00301A83">
          <w:rPr>
            <w:rStyle w:val="Lienhypertexte"/>
            <w:rFonts w:asciiTheme="majorBidi" w:eastAsia="Times New Roman" w:hAnsiTheme="majorBidi" w:cstheme="majorBidi"/>
            <w:bCs/>
            <w:webHidden/>
            <w:lang w:eastAsia="fr-FR"/>
          </w:rPr>
          <w:tab/>
        </w:r>
      </w:hyperlink>
    </w:p>
    <w:p w14:paraId="556C1BB8" w14:textId="77777777" w:rsidR="00BC6C8B" w:rsidRPr="00301A83" w:rsidRDefault="00BC6C8B" w:rsidP="00BC6C8B">
      <w:pPr>
        <w:spacing w:after="0" w:line="360" w:lineRule="auto"/>
        <w:ind w:right="-993"/>
        <w:jc w:val="both"/>
        <w:rPr>
          <w:rFonts w:asciiTheme="majorBidi" w:eastAsia="Times New Roman" w:hAnsiTheme="majorBidi" w:cstheme="majorBidi"/>
          <w:bCs/>
          <w:lang w:eastAsia="fr-FR"/>
        </w:rPr>
      </w:pPr>
      <w:hyperlink w:anchor="_Toc58061698" w:history="1">
        <w:r w:rsidRPr="00301A83">
          <w:rPr>
            <w:rStyle w:val="Lienhypertexte"/>
            <w:rFonts w:asciiTheme="majorBidi" w:eastAsia="Times New Roman" w:hAnsiTheme="majorBidi" w:cstheme="majorBidi"/>
            <w:bCs/>
            <w:lang w:eastAsia="fr-FR"/>
          </w:rPr>
          <w:t>Chapitre 2 – Compréhension des termes de référence du livrable attendu</w:t>
        </w:r>
        <w:r w:rsidRPr="00301A83">
          <w:rPr>
            <w:rStyle w:val="Lienhypertexte"/>
            <w:rFonts w:asciiTheme="majorBidi" w:eastAsia="Times New Roman" w:hAnsiTheme="majorBidi" w:cstheme="majorBidi"/>
            <w:bCs/>
            <w:webHidden/>
            <w:lang w:eastAsia="fr-FR"/>
          </w:rPr>
          <w:tab/>
        </w:r>
      </w:hyperlink>
      <w:r>
        <w:rPr>
          <w:rStyle w:val="Lienhypertexte"/>
          <w:rFonts w:asciiTheme="majorBidi" w:eastAsia="Times New Roman" w:hAnsiTheme="majorBidi" w:cstheme="majorBidi"/>
          <w:bCs/>
          <w:lang w:eastAsia="fr-FR"/>
        </w:rPr>
        <w:t xml:space="preserve"> ………………………5</w:t>
      </w:r>
    </w:p>
    <w:p w14:paraId="2F70370A"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699" w:history="1">
        <w:r w:rsidRPr="00301A83">
          <w:rPr>
            <w:rStyle w:val="Lienhypertexte"/>
            <w:rFonts w:asciiTheme="majorBidi" w:eastAsia="Times New Roman" w:hAnsiTheme="majorBidi" w:cstheme="majorBidi"/>
            <w:bCs/>
            <w:lang w:eastAsia="fr-FR"/>
          </w:rPr>
          <w:t>Chapitre 3 – Approche méthodologique</w:t>
        </w:r>
        <w:r w:rsidRPr="00301A83">
          <w:rPr>
            <w:rStyle w:val="Lienhypertexte"/>
            <w:rFonts w:asciiTheme="majorBidi" w:eastAsia="Times New Roman" w:hAnsiTheme="majorBidi" w:cstheme="majorBidi"/>
            <w:bCs/>
            <w:webHidden/>
            <w:lang w:eastAsia="fr-FR"/>
          </w:rPr>
          <w:tab/>
        </w:r>
      </w:hyperlink>
      <w:r>
        <w:rPr>
          <w:rStyle w:val="Lienhypertexte"/>
          <w:rFonts w:asciiTheme="majorBidi" w:eastAsia="Times New Roman" w:hAnsiTheme="majorBidi" w:cstheme="majorBidi"/>
          <w:bCs/>
          <w:lang w:eastAsia="fr-FR"/>
        </w:rPr>
        <w:t xml:space="preserve"> …………………………………………………………...</w:t>
      </w:r>
    </w:p>
    <w:p w14:paraId="7EFC4243"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700" w:history="1">
        <w:r w:rsidRPr="00301A83">
          <w:rPr>
            <w:rStyle w:val="Lienhypertexte"/>
            <w:rFonts w:asciiTheme="majorBidi" w:eastAsia="Times New Roman" w:hAnsiTheme="majorBidi" w:cstheme="majorBidi"/>
            <w:bCs/>
            <w:lang w:eastAsia="fr-FR"/>
          </w:rPr>
          <w:t>Partie 2 – Etat des lieux du secteur</w:t>
        </w:r>
        <w:r w:rsidRPr="00301A83">
          <w:rPr>
            <w:rStyle w:val="Lienhypertexte"/>
            <w:rFonts w:asciiTheme="majorBidi" w:eastAsia="Times New Roman" w:hAnsiTheme="majorBidi" w:cstheme="majorBidi"/>
            <w:bCs/>
            <w:webHidden/>
            <w:lang w:eastAsia="fr-FR"/>
          </w:rPr>
          <w:tab/>
        </w:r>
      </w:hyperlink>
      <w:r>
        <w:rPr>
          <w:rStyle w:val="Lienhypertexte"/>
          <w:rFonts w:asciiTheme="majorBidi" w:eastAsia="Times New Roman" w:hAnsiTheme="majorBidi" w:cstheme="majorBidi"/>
          <w:bCs/>
          <w:lang w:eastAsia="fr-FR"/>
        </w:rPr>
        <w:t>…………………………………………………………..</w:t>
      </w:r>
    </w:p>
    <w:p w14:paraId="2E86F70E"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701" w:history="1">
        <w:r w:rsidRPr="00301A83">
          <w:rPr>
            <w:rStyle w:val="Lienhypertexte"/>
            <w:rFonts w:asciiTheme="majorBidi" w:eastAsia="Times New Roman" w:hAnsiTheme="majorBidi" w:cstheme="majorBidi"/>
            <w:bCs/>
            <w:lang w:eastAsia="fr-FR"/>
          </w:rPr>
          <w:t>Chapitre 4 – Présentation du secteur</w:t>
        </w:r>
        <w:r>
          <w:rPr>
            <w:rStyle w:val="Lienhypertexte"/>
            <w:rFonts w:asciiTheme="majorBidi" w:eastAsia="Times New Roman" w:hAnsiTheme="majorBidi" w:cstheme="majorBidi"/>
            <w:bCs/>
            <w:lang w:eastAsia="fr-FR"/>
          </w:rPr>
          <w:t xml:space="preserve"> et son exposition aux changements climatiques …………..</w:t>
        </w:r>
        <w:r w:rsidRPr="00301A83">
          <w:rPr>
            <w:rStyle w:val="Lienhypertexte"/>
            <w:rFonts w:asciiTheme="majorBidi" w:eastAsia="Times New Roman" w:hAnsiTheme="majorBidi" w:cstheme="majorBidi"/>
            <w:bCs/>
            <w:webHidden/>
            <w:lang w:eastAsia="fr-FR"/>
          </w:rPr>
          <w:tab/>
        </w:r>
      </w:hyperlink>
    </w:p>
    <w:p w14:paraId="0AC0B186"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702" w:history="1">
        <w:r w:rsidRPr="00301A83">
          <w:rPr>
            <w:rStyle w:val="Lienhypertexte"/>
            <w:rFonts w:asciiTheme="majorBidi" w:eastAsia="Times New Roman" w:hAnsiTheme="majorBidi" w:cstheme="majorBidi"/>
            <w:bCs/>
            <w:lang w:eastAsia="fr-FR"/>
          </w:rPr>
          <w:t>4.1.</w:t>
        </w:r>
        <w:r w:rsidRPr="00301A83">
          <w:rPr>
            <w:rStyle w:val="Lienhypertexte"/>
            <w:rFonts w:asciiTheme="majorBidi" w:eastAsia="Times New Roman" w:hAnsiTheme="majorBidi" w:cstheme="majorBidi"/>
            <w:bCs/>
            <w:lang w:eastAsia="fr-FR"/>
          </w:rPr>
          <w:tab/>
          <w:t>Le cadre institutionnel et normatif du secteur</w:t>
        </w:r>
        <w:r w:rsidRPr="00301A83">
          <w:rPr>
            <w:rStyle w:val="Lienhypertexte"/>
            <w:rFonts w:asciiTheme="majorBidi" w:eastAsia="Times New Roman" w:hAnsiTheme="majorBidi" w:cstheme="majorBidi"/>
            <w:bCs/>
            <w:webHidden/>
            <w:lang w:eastAsia="fr-FR"/>
          </w:rPr>
          <w:tab/>
        </w:r>
      </w:hyperlink>
      <w:r>
        <w:rPr>
          <w:rStyle w:val="Lienhypertexte"/>
          <w:rFonts w:asciiTheme="majorBidi" w:eastAsia="Times New Roman" w:hAnsiTheme="majorBidi" w:cstheme="majorBidi"/>
          <w:bCs/>
          <w:lang w:eastAsia="fr-FR"/>
        </w:rPr>
        <w:t>…………………………………………</w:t>
      </w:r>
    </w:p>
    <w:p w14:paraId="1D672890"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703" w:history="1">
        <w:r w:rsidRPr="00301A83">
          <w:rPr>
            <w:rStyle w:val="Lienhypertexte"/>
            <w:rFonts w:asciiTheme="majorBidi" w:eastAsia="Times New Roman" w:hAnsiTheme="majorBidi" w:cstheme="majorBidi"/>
            <w:bCs/>
            <w:lang w:eastAsia="fr-FR"/>
          </w:rPr>
          <w:t>4.1.1.</w:t>
        </w:r>
        <w:r w:rsidRPr="00301A83">
          <w:rPr>
            <w:rStyle w:val="Lienhypertexte"/>
            <w:rFonts w:asciiTheme="majorBidi" w:eastAsia="Times New Roman" w:hAnsiTheme="majorBidi" w:cstheme="majorBidi"/>
            <w:bCs/>
            <w:lang w:eastAsia="fr-FR"/>
          </w:rPr>
          <w:tab/>
          <w:t>Le cadre institutionnel</w:t>
        </w:r>
        <w:r w:rsidRPr="00301A83">
          <w:rPr>
            <w:rStyle w:val="Lienhypertexte"/>
            <w:rFonts w:asciiTheme="majorBidi" w:eastAsia="Times New Roman" w:hAnsiTheme="majorBidi" w:cstheme="majorBidi"/>
            <w:bCs/>
            <w:webHidden/>
            <w:lang w:eastAsia="fr-FR"/>
          </w:rPr>
          <w:tab/>
        </w:r>
      </w:hyperlink>
      <w:r>
        <w:rPr>
          <w:rStyle w:val="Lienhypertexte"/>
          <w:rFonts w:asciiTheme="majorBidi" w:eastAsia="Times New Roman" w:hAnsiTheme="majorBidi" w:cstheme="majorBidi"/>
          <w:bCs/>
          <w:lang w:eastAsia="fr-FR"/>
        </w:rPr>
        <w:t>………………………………………………………………….</w:t>
      </w:r>
    </w:p>
    <w:p w14:paraId="198BEFB6"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704" w:history="1">
        <w:r w:rsidRPr="00301A83">
          <w:rPr>
            <w:rStyle w:val="Lienhypertexte"/>
            <w:rFonts w:asciiTheme="majorBidi" w:eastAsia="Times New Roman" w:hAnsiTheme="majorBidi" w:cstheme="majorBidi"/>
            <w:bCs/>
            <w:lang w:eastAsia="fr-FR"/>
          </w:rPr>
          <w:t>4.1.2.</w:t>
        </w:r>
        <w:r w:rsidRPr="00301A83">
          <w:rPr>
            <w:rStyle w:val="Lienhypertexte"/>
            <w:rFonts w:asciiTheme="majorBidi" w:eastAsia="Times New Roman" w:hAnsiTheme="majorBidi" w:cstheme="majorBidi"/>
            <w:bCs/>
            <w:lang w:eastAsia="fr-FR"/>
          </w:rPr>
          <w:tab/>
          <w:t>Le cadre normatif</w:t>
        </w:r>
        <w:r>
          <w:rPr>
            <w:rStyle w:val="Lienhypertexte"/>
            <w:rFonts w:asciiTheme="majorBidi" w:eastAsia="Times New Roman" w:hAnsiTheme="majorBidi" w:cstheme="majorBidi"/>
            <w:bCs/>
            <w:lang w:eastAsia="fr-FR"/>
          </w:rPr>
          <w:t xml:space="preserve"> ………………………………………………………………………...</w:t>
        </w:r>
        <w:r w:rsidRPr="00301A83">
          <w:rPr>
            <w:rStyle w:val="Lienhypertexte"/>
            <w:rFonts w:asciiTheme="majorBidi" w:eastAsia="Times New Roman" w:hAnsiTheme="majorBidi" w:cstheme="majorBidi"/>
            <w:bCs/>
            <w:webHidden/>
            <w:lang w:eastAsia="fr-FR"/>
          </w:rPr>
          <w:tab/>
        </w:r>
      </w:hyperlink>
    </w:p>
    <w:p w14:paraId="2877D2F7" w14:textId="77777777" w:rsidR="00BC6C8B" w:rsidRDefault="00BC6C8B" w:rsidP="00BC6C8B">
      <w:pPr>
        <w:spacing w:after="0" w:line="360" w:lineRule="auto"/>
        <w:jc w:val="both"/>
        <w:rPr>
          <w:rStyle w:val="Lienhypertexte"/>
          <w:rFonts w:asciiTheme="majorBidi" w:eastAsia="Times New Roman" w:hAnsiTheme="majorBidi" w:cstheme="majorBidi"/>
          <w:bCs/>
          <w:lang w:eastAsia="fr-FR"/>
        </w:rPr>
      </w:pPr>
      <w:hyperlink w:anchor="_Toc58061711" w:history="1">
        <w:r w:rsidRPr="00301A83">
          <w:rPr>
            <w:rStyle w:val="Lienhypertexte"/>
            <w:rFonts w:asciiTheme="majorBidi" w:eastAsia="Times New Roman" w:hAnsiTheme="majorBidi" w:cstheme="majorBidi"/>
            <w:bCs/>
            <w:lang w:eastAsia="fr-FR"/>
          </w:rPr>
          <w:t>Partie 3 – Princ</w:t>
        </w:r>
        <w:r>
          <w:rPr>
            <w:rStyle w:val="Lienhypertexte"/>
            <w:rFonts w:asciiTheme="majorBidi" w:eastAsia="Times New Roman" w:hAnsiTheme="majorBidi" w:cstheme="majorBidi"/>
            <w:bCs/>
            <w:lang w:eastAsia="fr-FR"/>
          </w:rPr>
          <w:t xml:space="preserve">ipaux résultats de l’analyse de la vulnérabilité du secteur </w:t>
        </w:r>
        <w:r w:rsidRPr="00301A83">
          <w:rPr>
            <w:rStyle w:val="Lienhypertexte"/>
            <w:rFonts w:asciiTheme="majorBidi" w:eastAsia="Times New Roman" w:hAnsiTheme="majorBidi" w:cstheme="majorBidi"/>
            <w:bCs/>
            <w:lang w:eastAsia="fr-FR"/>
          </w:rPr>
          <w:t xml:space="preserve"> lacunes et des besoins</w:t>
        </w:r>
        <w:r w:rsidRPr="00301A83">
          <w:rPr>
            <w:rStyle w:val="Lienhypertexte"/>
            <w:rFonts w:asciiTheme="majorBidi" w:eastAsia="Times New Roman" w:hAnsiTheme="majorBidi" w:cstheme="majorBidi"/>
            <w:bCs/>
            <w:webHidden/>
            <w:lang w:eastAsia="fr-FR"/>
          </w:rPr>
          <w:tab/>
        </w:r>
      </w:hyperlink>
    </w:p>
    <w:p w14:paraId="17E509E7" w14:textId="77777777" w:rsidR="00BC6C8B" w:rsidRPr="00121F89" w:rsidRDefault="00BC6C8B" w:rsidP="00BC6C8B">
      <w:pPr>
        <w:spacing w:after="0" w:line="360" w:lineRule="auto"/>
        <w:jc w:val="both"/>
        <w:rPr>
          <w:rFonts w:asciiTheme="majorBidi" w:eastAsia="Times New Roman" w:hAnsiTheme="majorBidi" w:cstheme="majorBidi"/>
          <w:bCs/>
          <w:lang w:eastAsia="fr-FR"/>
        </w:rPr>
      </w:pPr>
      <w:r w:rsidRPr="00121F89">
        <w:rPr>
          <w:rFonts w:asciiTheme="majorBidi" w:eastAsia="Times New Roman" w:hAnsiTheme="majorBidi" w:cstheme="majorBidi"/>
          <w:bCs/>
          <w:lang w:eastAsia="fr-FR"/>
        </w:rPr>
        <w:t>3.1.</w:t>
      </w:r>
      <w:r>
        <w:rPr>
          <w:rFonts w:asciiTheme="majorBidi" w:eastAsia="Times New Roman" w:hAnsiTheme="majorBidi" w:cstheme="majorBidi"/>
          <w:bCs/>
          <w:lang w:eastAsia="fr-FR"/>
        </w:rPr>
        <w:t xml:space="preserve"> </w:t>
      </w:r>
      <w:r w:rsidRPr="00121F89">
        <w:rPr>
          <w:rFonts w:asciiTheme="majorBidi" w:eastAsia="Times New Roman" w:hAnsiTheme="majorBidi" w:cstheme="majorBidi"/>
          <w:bCs/>
          <w:lang w:eastAsia="fr-FR"/>
        </w:rPr>
        <w:t>Définition des termes clés dans l’exercice d’évaluation de la vulnérabilité et adaptation au changement climatique</w:t>
      </w:r>
      <w:r>
        <w:rPr>
          <w:rFonts w:asciiTheme="majorBidi" w:eastAsia="Times New Roman" w:hAnsiTheme="majorBidi" w:cstheme="majorBidi"/>
          <w:bCs/>
          <w:lang w:eastAsia="fr-FR"/>
        </w:rPr>
        <w:t xml:space="preserve">  </w:t>
      </w:r>
    </w:p>
    <w:p w14:paraId="48B990EC"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712" w:history="1">
        <w:r w:rsidRPr="00301A83">
          <w:rPr>
            <w:rStyle w:val="Lienhypertexte"/>
            <w:rFonts w:asciiTheme="majorBidi" w:eastAsia="Times New Roman" w:hAnsiTheme="majorBidi" w:cstheme="majorBidi"/>
            <w:bCs/>
            <w:lang w:eastAsia="fr-FR"/>
          </w:rPr>
          <w:t>Chapitre 5 – Exposition des résultats stratégiques clés aux risques climatiques</w:t>
        </w:r>
        <w:r w:rsidRPr="00301A83">
          <w:rPr>
            <w:rStyle w:val="Lienhypertexte"/>
            <w:rFonts w:asciiTheme="majorBidi" w:eastAsia="Times New Roman" w:hAnsiTheme="majorBidi" w:cstheme="majorBidi"/>
            <w:bCs/>
            <w:webHidden/>
            <w:lang w:eastAsia="fr-FR"/>
          </w:rPr>
          <w:tab/>
        </w:r>
      </w:hyperlink>
    </w:p>
    <w:p w14:paraId="11F99BCF" w14:textId="77777777" w:rsidR="00BC6C8B" w:rsidRPr="00301A83" w:rsidRDefault="00BC6C8B" w:rsidP="00BC6C8B">
      <w:pPr>
        <w:spacing w:after="0" w:line="360" w:lineRule="auto"/>
        <w:ind w:right="-284"/>
        <w:jc w:val="both"/>
        <w:rPr>
          <w:rFonts w:asciiTheme="majorBidi" w:eastAsia="Times New Roman" w:hAnsiTheme="majorBidi" w:cstheme="majorBidi"/>
          <w:bCs/>
          <w:lang w:eastAsia="fr-FR"/>
        </w:rPr>
      </w:pPr>
      <w:hyperlink w:anchor="_Toc58061713" w:history="1">
        <w:r w:rsidRPr="00301A83">
          <w:rPr>
            <w:rStyle w:val="Lienhypertexte"/>
            <w:rFonts w:asciiTheme="majorBidi" w:eastAsia="Times New Roman" w:hAnsiTheme="majorBidi" w:cstheme="majorBidi"/>
            <w:bCs/>
            <w:lang w:eastAsia="fr-FR"/>
          </w:rPr>
          <w:t>Chapitre 6 – Mesures, activités ou initiatives en cours ou programmées pour faire face aux enjeux du C</w:t>
        </w:r>
      </w:hyperlink>
      <w:r>
        <w:rPr>
          <w:rStyle w:val="Lienhypertexte"/>
          <w:rFonts w:asciiTheme="majorBidi" w:eastAsia="Times New Roman" w:hAnsiTheme="majorBidi" w:cstheme="majorBidi"/>
          <w:bCs/>
          <w:lang w:eastAsia="fr-FR"/>
        </w:rPr>
        <w:t>C</w:t>
      </w:r>
    </w:p>
    <w:p w14:paraId="2FDB0128"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714" w:history="1">
        <w:r w:rsidRPr="00301A83">
          <w:rPr>
            <w:rStyle w:val="Lienhypertexte"/>
            <w:rFonts w:asciiTheme="majorBidi" w:eastAsia="Times New Roman" w:hAnsiTheme="majorBidi" w:cstheme="majorBidi"/>
            <w:bCs/>
            <w:i/>
            <w:lang w:eastAsia="fr-FR"/>
          </w:rPr>
          <w:t>6.1.</w:t>
        </w:r>
        <w:r w:rsidRPr="00301A83">
          <w:rPr>
            <w:rStyle w:val="Lienhypertexte"/>
            <w:rFonts w:asciiTheme="majorBidi" w:eastAsia="Times New Roman" w:hAnsiTheme="majorBidi" w:cstheme="majorBidi"/>
            <w:bCs/>
            <w:lang w:eastAsia="fr-FR"/>
          </w:rPr>
          <w:tab/>
        </w:r>
        <w:r w:rsidRPr="00301A83">
          <w:rPr>
            <w:rStyle w:val="Lienhypertexte"/>
            <w:rFonts w:asciiTheme="majorBidi" w:eastAsia="Times New Roman" w:hAnsiTheme="majorBidi" w:cstheme="majorBidi"/>
            <w:bCs/>
            <w:i/>
            <w:lang w:eastAsia="fr-FR"/>
          </w:rPr>
          <w:t>Chantiers urbains :</w:t>
        </w:r>
        <w:r w:rsidRPr="00301A83">
          <w:rPr>
            <w:rStyle w:val="Lienhypertexte"/>
            <w:rFonts w:asciiTheme="majorBidi" w:eastAsia="Times New Roman" w:hAnsiTheme="majorBidi" w:cstheme="majorBidi"/>
            <w:bCs/>
            <w:webHidden/>
            <w:lang w:eastAsia="fr-FR"/>
          </w:rPr>
          <w:tab/>
        </w:r>
      </w:hyperlink>
    </w:p>
    <w:p w14:paraId="7FC834C4"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715" w:history="1">
        <w:r w:rsidRPr="00301A83">
          <w:rPr>
            <w:rStyle w:val="Lienhypertexte"/>
            <w:rFonts w:asciiTheme="majorBidi" w:eastAsia="Times New Roman" w:hAnsiTheme="majorBidi" w:cstheme="majorBidi"/>
            <w:bCs/>
            <w:i/>
            <w:lang w:eastAsia="fr-FR"/>
          </w:rPr>
          <w:t>6.2.</w:t>
        </w:r>
        <w:r w:rsidRPr="00301A83">
          <w:rPr>
            <w:rStyle w:val="Lienhypertexte"/>
            <w:rFonts w:asciiTheme="majorBidi" w:eastAsia="Times New Roman" w:hAnsiTheme="majorBidi" w:cstheme="majorBidi"/>
            <w:bCs/>
            <w:lang w:eastAsia="fr-FR"/>
          </w:rPr>
          <w:tab/>
        </w:r>
        <w:r w:rsidRPr="00301A83">
          <w:rPr>
            <w:rStyle w:val="Lienhypertexte"/>
            <w:rFonts w:asciiTheme="majorBidi" w:eastAsia="Times New Roman" w:hAnsiTheme="majorBidi" w:cstheme="majorBidi"/>
            <w:bCs/>
            <w:i/>
            <w:lang w:eastAsia="fr-FR"/>
          </w:rPr>
          <w:t>Chantiers d’habitat</w:t>
        </w:r>
        <w:r w:rsidRPr="00301A83">
          <w:rPr>
            <w:rStyle w:val="Lienhypertexte"/>
            <w:rFonts w:asciiTheme="majorBidi" w:eastAsia="Times New Roman" w:hAnsiTheme="majorBidi" w:cstheme="majorBidi"/>
            <w:bCs/>
            <w:webHidden/>
            <w:lang w:eastAsia="fr-FR"/>
          </w:rPr>
          <w:tab/>
        </w:r>
      </w:hyperlink>
    </w:p>
    <w:p w14:paraId="3E9D5038"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716" w:history="1">
        <w:r w:rsidRPr="00301A83">
          <w:rPr>
            <w:rStyle w:val="Lienhypertexte"/>
            <w:rFonts w:asciiTheme="majorBidi" w:eastAsia="Times New Roman" w:hAnsiTheme="majorBidi" w:cstheme="majorBidi"/>
            <w:bCs/>
            <w:i/>
            <w:lang w:eastAsia="fr-FR"/>
          </w:rPr>
          <w:t>6.3.</w:t>
        </w:r>
        <w:r w:rsidRPr="00301A83">
          <w:rPr>
            <w:rStyle w:val="Lienhypertexte"/>
            <w:rFonts w:asciiTheme="majorBidi" w:eastAsia="Times New Roman" w:hAnsiTheme="majorBidi" w:cstheme="majorBidi"/>
            <w:bCs/>
            <w:lang w:eastAsia="fr-FR"/>
          </w:rPr>
          <w:tab/>
        </w:r>
        <w:r w:rsidRPr="00301A83">
          <w:rPr>
            <w:rStyle w:val="Lienhypertexte"/>
            <w:rFonts w:asciiTheme="majorBidi" w:eastAsia="Times New Roman" w:hAnsiTheme="majorBidi" w:cstheme="majorBidi"/>
            <w:bCs/>
            <w:i/>
            <w:lang w:eastAsia="fr-FR"/>
          </w:rPr>
          <w:t>Chantiers de construction de bâtiments et équipements publics</w:t>
        </w:r>
        <w:r w:rsidRPr="00301A83">
          <w:rPr>
            <w:rStyle w:val="Lienhypertexte"/>
            <w:rFonts w:asciiTheme="majorBidi" w:eastAsia="Times New Roman" w:hAnsiTheme="majorBidi" w:cstheme="majorBidi"/>
            <w:bCs/>
            <w:webHidden/>
            <w:lang w:eastAsia="fr-FR"/>
          </w:rPr>
          <w:tab/>
        </w:r>
      </w:hyperlink>
    </w:p>
    <w:p w14:paraId="341B487D"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717" w:history="1">
        <w:r w:rsidRPr="00301A83">
          <w:rPr>
            <w:rStyle w:val="Lienhypertexte"/>
            <w:rFonts w:asciiTheme="majorBidi" w:eastAsia="Times New Roman" w:hAnsiTheme="majorBidi" w:cstheme="majorBidi"/>
            <w:bCs/>
            <w:i/>
            <w:lang w:eastAsia="fr-FR"/>
          </w:rPr>
          <w:t>6.4.</w:t>
        </w:r>
        <w:r w:rsidRPr="00301A83">
          <w:rPr>
            <w:rStyle w:val="Lienhypertexte"/>
            <w:rFonts w:asciiTheme="majorBidi" w:eastAsia="Times New Roman" w:hAnsiTheme="majorBidi" w:cstheme="majorBidi"/>
            <w:bCs/>
            <w:lang w:eastAsia="fr-FR"/>
          </w:rPr>
          <w:tab/>
        </w:r>
        <w:r w:rsidRPr="00301A83">
          <w:rPr>
            <w:rStyle w:val="Lienhypertexte"/>
            <w:rFonts w:asciiTheme="majorBidi" w:eastAsia="Times New Roman" w:hAnsiTheme="majorBidi" w:cstheme="majorBidi"/>
            <w:bCs/>
            <w:i/>
            <w:lang w:eastAsia="fr-FR"/>
          </w:rPr>
          <w:t>Chantiers d’Aménagement du Territoire</w:t>
        </w:r>
        <w:r w:rsidRPr="00301A83">
          <w:rPr>
            <w:rStyle w:val="Lienhypertexte"/>
            <w:rFonts w:asciiTheme="majorBidi" w:eastAsia="Times New Roman" w:hAnsiTheme="majorBidi" w:cstheme="majorBidi"/>
            <w:bCs/>
            <w:webHidden/>
            <w:lang w:eastAsia="fr-FR"/>
          </w:rPr>
          <w:tab/>
        </w:r>
      </w:hyperlink>
    </w:p>
    <w:p w14:paraId="15B8BC94"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718" w:history="1">
        <w:r w:rsidRPr="00301A83">
          <w:rPr>
            <w:rStyle w:val="Lienhypertexte"/>
            <w:rFonts w:asciiTheme="majorBidi" w:eastAsia="Times New Roman" w:hAnsiTheme="majorBidi" w:cstheme="majorBidi"/>
            <w:bCs/>
            <w:lang w:eastAsia="fr-FR"/>
          </w:rPr>
          <w:t>Chapitre 7 – Lacunes et besoins d’adaptation au changement climatique</w:t>
        </w:r>
        <w:r w:rsidRPr="00301A83">
          <w:rPr>
            <w:rStyle w:val="Lienhypertexte"/>
            <w:rFonts w:asciiTheme="majorBidi" w:eastAsia="Times New Roman" w:hAnsiTheme="majorBidi" w:cstheme="majorBidi"/>
            <w:bCs/>
            <w:webHidden/>
            <w:lang w:eastAsia="fr-FR"/>
          </w:rPr>
          <w:tab/>
        </w:r>
      </w:hyperlink>
    </w:p>
    <w:p w14:paraId="6B273315"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719" w:history="1">
        <w:r w:rsidRPr="00301A83">
          <w:rPr>
            <w:rStyle w:val="Lienhypertexte"/>
            <w:rFonts w:asciiTheme="majorBidi" w:eastAsia="Times New Roman" w:hAnsiTheme="majorBidi" w:cstheme="majorBidi"/>
            <w:bCs/>
            <w:i/>
            <w:lang w:eastAsia="fr-FR"/>
          </w:rPr>
          <w:t>7.1.</w:t>
        </w:r>
        <w:r w:rsidRPr="00301A83">
          <w:rPr>
            <w:rStyle w:val="Lienhypertexte"/>
            <w:rFonts w:asciiTheme="majorBidi" w:eastAsia="Times New Roman" w:hAnsiTheme="majorBidi" w:cstheme="majorBidi"/>
            <w:bCs/>
            <w:lang w:eastAsia="fr-FR"/>
          </w:rPr>
          <w:tab/>
        </w:r>
        <w:r w:rsidRPr="00301A83">
          <w:rPr>
            <w:rStyle w:val="Lienhypertexte"/>
            <w:rFonts w:asciiTheme="majorBidi" w:eastAsia="Times New Roman" w:hAnsiTheme="majorBidi" w:cstheme="majorBidi"/>
            <w:bCs/>
            <w:i/>
            <w:lang w:eastAsia="fr-FR"/>
          </w:rPr>
          <w:t>Analyse des lacunes</w:t>
        </w:r>
        <w:r w:rsidRPr="00301A83">
          <w:rPr>
            <w:rStyle w:val="Lienhypertexte"/>
            <w:rFonts w:asciiTheme="majorBidi" w:eastAsia="Times New Roman" w:hAnsiTheme="majorBidi" w:cstheme="majorBidi"/>
            <w:bCs/>
            <w:webHidden/>
            <w:lang w:eastAsia="fr-FR"/>
          </w:rPr>
          <w:tab/>
        </w:r>
      </w:hyperlink>
    </w:p>
    <w:p w14:paraId="59DFAB1B"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720" w:history="1">
        <w:r w:rsidRPr="00301A83">
          <w:rPr>
            <w:rStyle w:val="Lienhypertexte"/>
            <w:rFonts w:asciiTheme="majorBidi" w:eastAsia="Times New Roman" w:hAnsiTheme="majorBidi" w:cstheme="majorBidi"/>
            <w:bCs/>
            <w:i/>
            <w:lang w:eastAsia="fr-FR"/>
          </w:rPr>
          <w:t>7.2.</w:t>
        </w:r>
        <w:r w:rsidRPr="00301A83">
          <w:rPr>
            <w:rStyle w:val="Lienhypertexte"/>
            <w:rFonts w:asciiTheme="majorBidi" w:eastAsia="Times New Roman" w:hAnsiTheme="majorBidi" w:cstheme="majorBidi"/>
            <w:bCs/>
            <w:lang w:eastAsia="fr-FR"/>
          </w:rPr>
          <w:tab/>
        </w:r>
        <w:r w:rsidRPr="00301A83">
          <w:rPr>
            <w:rStyle w:val="Lienhypertexte"/>
            <w:rFonts w:asciiTheme="majorBidi" w:eastAsia="Times New Roman" w:hAnsiTheme="majorBidi" w:cstheme="majorBidi"/>
            <w:bCs/>
            <w:i/>
            <w:lang w:eastAsia="fr-FR"/>
          </w:rPr>
          <w:t>Analyse des besoins</w:t>
        </w:r>
        <w:r w:rsidRPr="00301A83">
          <w:rPr>
            <w:rStyle w:val="Lienhypertexte"/>
            <w:rFonts w:asciiTheme="majorBidi" w:eastAsia="Times New Roman" w:hAnsiTheme="majorBidi" w:cstheme="majorBidi"/>
            <w:bCs/>
            <w:webHidden/>
            <w:lang w:eastAsia="fr-FR"/>
          </w:rPr>
          <w:tab/>
        </w:r>
      </w:hyperlink>
    </w:p>
    <w:p w14:paraId="74B41C06"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721" w:history="1">
        <w:r w:rsidRPr="00301A83">
          <w:rPr>
            <w:rStyle w:val="Lienhypertexte"/>
            <w:rFonts w:asciiTheme="majorBidi" w:eastAsia="Times New Roman" w:hAnsiTheme="majorBidi" w:cstheme="majorBidi"/>
            <w:bCs/>
            <w:lang w:eastAsia="fr-FR"/>
          </w:rPr>
          <w:t>Partie 4 – Conclusions - recommandations</w:t>
        </w:r>
        <w:r w:rsidRPr="00301A83">
          <w:rPr>
            <w:rStyle w:val="Lienhypertexte"/>
            <w:rFonts w:asciiTheme="majorBidi" w:eastAsia="Times New Roman" w:hAnsiTheme="majorBidi" w:cstheme="majorBidi"/>
            <w:bCs/>
            <w:webHidden/>
            <w:lang w:eastAsia="fr-FR"/>
          </w:rPr>
          <w:tab/>
        </w:r>
      </w:hyperlink>
    </w:p>
    <w:p w14:paraId="3CA3FDA1"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hyperlink w:anchor="_Toc58061722" w:history="1">
        <w:r w:rsidRPr="00301A83">
          <w:rPr>
            <w:rStyle w:val="Lienhypertexte"/>
            <w:rFonts w:asciiTheme="majorBidi" w:eastAsia="Times New Roman" w:hAnsiTheme="majorBidi" w:cstheme="majorBidi"/>
            <w:bCs/>
            <w:lang w:eastAsia="fr-FR"/>
          </w:rPr>
          <w:t>Chapitre 8 – Recommandations à l’endroit des différentes parties prenantes</w:t>
        </w:r>
        <w:r w:rsidRPr="00301A83">
          <w:rPr>
            <w:rStyle w:val="Lienhypertexte"/>
            <w:rFonts w:asciiTheme="majorBidi" w:eastAsia="Times New Roman" w:hAnsiTheme="majorBidi" w:cstheme="majorBidi"/>
            <w:bCs/>
            <w:webHidden/>
            <w:lang w:eastAsia="fr-FR"/>
          </w:rPr>
          <w:tab/>
        </w:r>
      </w:hyperlink>
    </w:p>
    <w:p w14:paraId="7A45CF3E" w14:textId="77777777" w:rsidR="00BC6C8B" w:rsidRDefault="00BC6C8B" w:rsidP="00BC6C8B">
      <w:pPr>
        <w:spacing w:after="0" w:line="360" w:lineRule="auto"/>
        <w:jc w:val="both"/>
        <w:rPr>
          <w:rFonts w:asciiTheme="majorBidi" w:eastAsia="Times New Roman" w:hAnsiTheme="majorBidi" w:cstheme="majorBidi"/>
          <w:bCs/>
          <w:lang w:eastAsia="fr-FR"/>
        </w:rPr>
      </w:pPr>
      <w:hyperlink w:anchor="_Toc58061723" w:history="1">
        <w:r w:rsidRPr="00301A83">
          <w:rPr>
            <w:rStyle w:val="Lienhypertexte"/>
            <w:rFonts w:asciiTheme="majorBidi" w:eastAsia="Times New Roman" w:hAnsiTheme="majorBidi" w:cstheme="majorBidi"/>
            <w:bCs/>
            <w:lang w:eastAsia="fr-FR"/>
          </w:rPr>
          <w:t>Chapitre 9 – Conclusions</w:t>
        </w:r>
        <w:r w:rsidRPr="00301A83">
          <w:rPr>
            <w:rStyle w:val="Lienhypertexte"/>
            <w:rFonts w:asciiTheme="majorBidi" w:eastAsia="Times New Roman" w:hAnsiTheme="majorBidi" w:cstheme="majorBidi"/>
            <w:bCs/>
            <w:webHidden/>
            <w:lang w:eastAsia="fr-FR"/>
          </w:rPr>
          <w:tab/>
        </w:r>
      </w:hyperlink>
    </w:p>
    <w:p w14:paraId="632C81D8"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r>
        <w:rPr>
          <w:rFonts w:asciiTheme="majorBidi" w:eastAsia="Times New Roman" w:hAnsiTheme="majorBidi" w:cstheme="majorBidi"/>
          <w:bCs/>
          <w:lang w:eastAsia="fr-FR"/>
        </w:rPr>
        <w:t>Annexes</w:t>
      </w:r>
    </w:p>
    <w:p w14:paraId="3D7E3348"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p>
    <w:p w14:paraId="2D8215A4" w14:textId="77777777" w:rsidR="00BC6C8B" w:rsidRPr="00301A83" w:rsidRDefault="00BC6C8B" w:rsidP="00BC6C8B">
      <w:pPr>
        <w:spacing w:after="0" w:line="360" w:lineRule="auto"/>
        <w:jc w:val="both"/>
        <w:rPr>
          <w:rFonts w:asciiTheme="majorBidi" w:eastAsia="Times New Roman" w:hAnsiTheme="majorBidi" w:cstheme="majorBidi"/>
          <w:bCs/>
          <w:lang w:eastAsia="fr-FR"/>
        </w:rPr>
      </w:pPr>
      <w:r w:rsidRPr="00301A83">
        <w:rPr>
          <w:rFonts w:asciiTheme="majorBidi" w:eastAsia="Times New Roman" w:hAnsiTheme="majorBidi" w:cstheme="majorBidi"/>
          <w:bCs/>
          <w:lang w:eastAsia="fr-FR"/>
        </w:rPr>
        <w:fldChar w:fldCharType="end"/>
      </w:r>
    </w:p>
    <w:p w14:paraId="72850F2A" w14:textId="77777777" w:rsidR="00BC6C8B" w:rsidRDefault="00BC6C8B" w:rsidP="00BC6C8B">
      <w:pPr>
        <w:spacing w:after="0" w:line="360" w:lineRule="auto"/>
        <w:jc w:val="both"/>
        <w:rPr>
          <w:rFonts w:asciiTheme="majorBidi" w:eastAsia="Times New Roman" w:hAnsiTheme="majorBidi" w:cstheme="majorBidi"/>
          <w:sz w:val="24"/>
          <w:szCs w:val="24"/>
          <w:lang w:eastAsia="fr-FR"/>
        </w:rPr>
      </w:pPr>
    </w:p>
    <w:p w14:paraId="75A3AF3F" w14:textId="77777777" w:rsidR="00BC6C8B" w:rsidRDefault="00BC6C8B" w:rsidP="00BC6C8B">
      <w:pPr>
        <w:spacing w:after="0" w:line="360" w:lineRule="auto"/>
        <w:jc w:val="both"/>
        <w:rPr>
          <w:rFonts w:asciiTheme="majorBidi" w:eastAsia="Times New Roman" w:hAnsiTheme="majorBidi" w:cstheme="majorBidi"/>
          <w:sz w:val="24"/>
          <w:szCs w:val="24"/>
          <w:lang w:eastAsia="fr-FR"/>
        </w:rPr>
      </w:pPr>
    </w:p>
    <w:p w14:paraId="238700CB" w14:textId="77777777" w:rsidR="00BC6C8B" w:rsidRDefault="00BC6C8B" w:rsidP="00BC6C8B">
      <w:pPr>
        <w:tabs>
          <w:tab w:val="left" w:pos="1760"/>
        </w:tabs>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ab/>
      </w:r>
    </w:p>
    <w:p w14:paraId="0D363DCC" w14:textId="77777777" w:rsidR="00BC6C8B" w:rsidRPr="00301A83" w:rsidRDefault="00BC6C8B" w:rsidP="00BC6C8B">
      <w:pPr>
        <w:spacing w:after="0" w:line="360" w:lineRule="auto"/>
        <w:jc w:val="both"/>
        <w:rPr>
          <w:rFonts w:asciiTheme="majorBidi" w:eastAsia="Times New Roman" w:hAnsiTheme="majorBidi" w:cstheme="majorBidi"/>
          <w:b/>
          <w:bCs/>
          <w:sz w:val="24"/>
          <w:szCs w:val="24"/>
          <w:lang w:eastAsia="fr-FR"/>
        </w:rPr>
      </w:pPr>
      <w:r w:rsidRPr="00BD5C8D">
        <w:rPr>
          <w:rFonts w:asciiTheme="majorBidi" w:eastAsia="Times New Roman" w:hAnsiTheme="majorBidi" w:cstheme="majorBidi"/>
          <w:sz w:val="24"/>
          <w:szCs w:val="24"/>
          <w:lang w:eastAsia="fr-FR"/>
        </w:rPr>
        <w:br w:type="page"/>
      </w:r>
      <w:r w:rsidRPr="00301A83">
        <w:rPr>
          <w:rFonts w:asciiTheme="majorBidi" w:eastAsia="Times New Roman" w:hAnsiTheme="majorBidi" w:cstheme="majorBidi"/>
          <w:b/>
          <w:sz w:val="24"/>
          <w:szCs w:val="24"/>
          <w:lang w:eastAsia="fr-FR"/>
        </w:rPr>
        <w:t xml:space="preserve">Chapitre I : </w:t>
      </w:r>
      <w:r w:rsidRPr="00301A83">
        <w:rPr>
          <w:rFonts w:asciiTheme="majorBidi" w:eastAsia="Times New Roman" w:hAnsiTheme="majorBidi" w:cstheme="majorBidi"/>
          <w:b/>
          <w:bCs/>
          <w:sz w:val="24"/>
          <w:szCs w:val="24"/>
          <w:lang w:eastAsia="fr-FR"/>
        </w:rPr>
        <w:t>Contexte </w:t>
      </w:r>
    </w:p>
    <w:p w14:paraId="74ED6A9C" w14:textId="77777777" w:rsidR="00BC6C8B" w:rsidRPr="00B53F31" w:rsidRDefault="00BC6C8B" w:rsidP="00BC6C8B">
      <w:pPr>
        <w:pStyle w:val="Default"/>
        <w:spacing w:before="120" w:after="120" w:line="23" w:lineRule="atLeast"/>
        <w:jc w:val="both"/>
        <w:rPr>
          <w:rFonts w:asciiTheme="majorBidi" w:hAnsiTheme="majorBidi" w:cstheme="majorBidi"/>
        </w:rPr>
      </w:pPr>
      <w:r w:rsidRPr="00B53F31">
        <w:rPr>
          <w:rFonts w:asciiTheme="majorBidi" w:hAnsiTheme="majorBidi" w:cstheme="majorBidi"/>
        </w:rPr>
        <w:t xml:space="preserve"> </w:t>
      </w:r>
      <w:r>
        <w:rPr>
          <w:rFonts w:asciiTheme="majorBidi" w:hAnsiTheme="majorBidi" w:cstheme="majorBidi"/>
        </w:rPr>
        <w:t>La Mauritanie est un pays</w:t>
      </w:r>
      <w:r w:rsidRPr="006E0CA7">
        <w:rPr>
          <w:rFonts w:asciiTheme="majorBidi" w:hAnsiTheme="majorBidi" w:cstheme="majorBidi"/>
        </w:rPr>
        <w:t xml:space="preserve"> </w:t>
      </w:r>
      <w:r w:rsidRPr="00B53F31">
        <w:rPr>
          <w:rFonts w:asciiTheme="majorBidi" w:hAnsiTheme="majorBidi" w:cstheme="majorBidi"/>
        </w:rPr>
        <w:t>saharo-sahélien</w:t>
      </w:r>
      <w:r>
        <w:rPr>
          <w:rFonts w:asciiTheme="majorBidi" w:hAnsiTheme="majorBidi" w:cstheme="majorBidi"/>
        </w:rPr>
        <w:t>, il se trouve dans</w:t>
      </w:r>
      <w:r w:rsidRPr="00B53F31">
        <w:rPr>
          <w:rFonts w:asciiTheme="majorBidi" w:hAnsiTheme="majorBidi" w:cstheme="majorBidi"/>
        </w:rPr>
        <w:t xml:space="preserve"> une situation environnementale caractérisée par un régime pluviométrique très fluctuant et globalement déficitaire. La forte tendance à la désertification (ensablement, déforestation, perte de biodiversité, dégradation des sols et écosystèmes…) s’est ralentie faiblement les dernières années grâce à une pluviométrie relativement favorable et à plusieurs efforts et mesures réglementaires efficaces (p.ex. reboisement, lutte antiérosive, réglementation de la filière du bois d’énergie etc.). </w:t>
      </w:r>
    </w:p>
    <w:p w14:paraId="531FE904" w14:textId="77777777" w:rsidR="00BC6C8B" w:rsidRPr="00B53F31" w:rsidRDefault="00BC6C8B" w:rsidP="00BC6C8B">
      <w:pPr>
        <w:spacing w:after="0" w:line="360" w:lineRule="auto"/>
        <w:jc w:val="both"/>
        <w:rPr>
          <w:rFonts w:asciiTheme="majorBidi" w:hAnsiTheme="majorBidi" w:cstheme="majorBidi"/>
          <w:sz w:val="24"/>
          <w:szCs w:val="24"/>
        </w:rPr>
      </w:pPr>
      <w:r w:rsidRPr="00B53F31">
        <w:rPr>
          <w:rFonts w:asciiTheme="majorBidi" w:hAnsiTheme="majorBidi" w:cstheme="majorBidi"/>
          <w:sz w:val="24"/>
          <w:szCs w:val="24"/>
        </w:rPr>
        <w:t>Néanmoins</w:t>
      </w:r>
      <w:r>
        <w:rPr>
          <w:rFonts w:asciiTheme="majorBidi" w:hAnsiTheme="majorBidi" w:cstheme="majorBidi"/>
          <w:sz w:val="24"/>
          <w:szCs w:val="24"/>
        </w:rPr>
        <w:t>,</w:t>
      </w:r>
      <w:r w:rsidRPr="00B53F31">
        <w:rPr>
          <w:rFonts w:asciiTheme="majorBidi" w:hAnsiTheme="majorBidi" w:cstheme="majorBidi"/>
          <w:sz w:val="24"/>
          <w:szCs w:val="24"/>
        </w:rPr>
        <w:t xml:space="preserve"> la tendance à la dégradation des ressources naturelles continue, favorisée par la persistance de la pauvreté en milieu rural et des modes d’exploitation des ressources naturelles peu adaptés (PEP, 2013)</w:t>
      </w:r>
      <w:r>
        <w:rPr>
          <w:rFonts w:asciiTheme="majorBidi" w:hAnsiTheme="majorBidi" w:cstheme="majorBidi"/>
          <w:sz w:val="24"/>
          <w:szCs w:val="24"/>
        </w:rPr>
        <w:t>.</w:t>
      </w:r>
    </w:p>
    <w:p w14:paraId="0A3B3285" w14:textId="77777777" w:rsidR="00BC6C8B" w:rsidRDefault="00BC6C8B" w:rsidP="00BC6C8B">
      <w:pPr>
        <w:jc w:val="both"/>
        <w:rPr>
          <w:rFonts w:asciiTheme="majorBidi" w:hAnsiTheme="majorBidi" w:cstheme="majorBidi"/>
          <w:sz w:val="24"/>
          <w:szCs w:val="24"/>
        </w:rPr>
      </w:pPr>
      <w:r w:rsidRPr="00B53F31">
        <w:rPr>
          <w:rFonts w:asciiTheme="majorBidi" w:hAnsiTheme="majorBidi" w:cstheme="majorBidi"/>
          <w:sz w:val="24"/>
          <w:szCs w:val="24"/>
        </w:rPr>
        <w:t>Les écosystèmes notamment sahéliens et les zones humides (oasis et mares) sont fortement déséquilibrés par les effets des sécheresses et surtout par les activités humaines, peu adaptées à la fragilité des systèmes naturels, la variation météo-climatique naturelle et les potentialités de régénération naturelle des ress</w:t>
      </w:r>
      <w:r>
        <w:rPr>
          <w:rFonts w:asciiTheme="majorBidi" w:hAnsiTheme="majorBidi" w:cstheme="majorBidi"/>
          <w:sz w:val="24"/>
          <w:szCs w:val="24"/>
        </w:rPr>
        <w:t>ources. Ils</w:t>
      </w:r>
      <w:r w:rsidRPr="00B53F31">
        <w:rPr>
          <w:rFonts w:asciiTheme="majorBidi" w:hAnsiTheme="majorBidi" w:cstheme="majorBidi"/>
          <w:sz w:val="24"/>
          <w:szCs w:val="24"/>
        </w:rPr>
        <w:t xml:space="preserve"> souffrent ainsi de leur fragmentation, transformation et de la perte de l’inter connectivité, particulièrement dans les zones à présence humaine relativement forte (par les routes et infrastructures, l’extension de l’agriculture, l’augmentation et la mobilité réduite de l’élevage et l’augmentation des villes / villages et des zones d’exploitation minière). La surexploitation des ressources provoque la rupture de l’équilibre des systèmes et la modification de l’ensemble des écosystèmes avec l’appauvrissement de la diversité et la réduction forte des services éco systémiques offerts par la nature à l’homme pour ses besoins en nourriture, énergie et eau potable. </w:t>
      </w:r>
    </w:p>
    <w:p w14:paraId="1C0DD9A8" w14:textId="77777777" w:rsidR="00BC6C8B" w:rsidRPr="006E0CA7" w:rsidRDefault="00BC6C8B" w:rsidP="00BC6C8B">
      <w:pPr>
        <w:jc w:val="both"/>
        <w:rPr>
          <w:rFonts w:asciiTheme="majorBidi" w:hAnsiTheme="majorBidi" w:cstheme="majorBidi"/>
          <w:sz w:val="24"/>
          <w:szCs w:val="24"/>
        </w:rPr>
      </w:pPr>
      <w:r>
        <w:rPr>
          <w:rFonts w:asciiTheme="majorBidi" w:hAnsiTheme="majorBidi" w:cstheme="majorBidi"/>
          <w:sz w:val="24"/>
          <w:szCs w:val="24"/>
        </w:rPr>
        <w:t>A cet effet</w:t>
      </w:r>
      <w:r w:rsidRPr="00B53F31">
        <w:rPr>
          <w:rFonts w:asciiTheme="majorBidi" w:hAnsiTheme="majorBidi" w:cstheme="majorBidi"/>
          <w:sz w:val="24"/>
          <w:szCs w:val="24"/>
        </w:rPr>
        <w:t xml:space="preserve">, et afin de mieux prendre en compte son extrême vulnérabilité au changement climatique, </w:t>
      </w:r>
      <w:r w:rsidRPr="006E0CA7">
        <w:rPr>
          <w:rFonts w:asciiTheme="majorBidi" w:hAnsiTheme="majorBidi" w:cstheme="majorBidi"/>
          <w:sz w:val="24"/>
          <w:szCs w:val="24"/>
        </w:rPr>
        <w:t>La Mauritanie, à l’instar de la plupart des pays du monde, s’est résolument engagée dans les diverses initiatives internationales visant la lutte contre le changement climatique. Partie à la Convention Cadre des Nations Unies sur les Changements Climatiques (CCNUCC) depuis 1994, elle a ratifié le Protocole de Kyoto, a publié quatre Communications Nationales sur le changement climatique, en 2001, 2008, 2014 et 2019, et a élaboré un premier Plan National d’Adaptation au Changement Climatique en 2004. Enfin, le pays a adhéré et ratifié l'Accord de Paris sur le climat en 2016.</w:t>
      </w:r>
    </w:p>
    <w:p w14:paraId="5A63C47E" w14:textId="77777777" w:rsidR="00BC6C8B" w:rsidRPr="006E0CA7" w:rsidRDefault="00BC6C8B" w:rsidP="00BC6C8B">
      <w:pPr>
        <w:jc w:val="both"/>
        <w:rPr>
          <w:rFonts w:asciiTheme="majorBidi" w:hAnsiTheme="majorBidi" w:cstheme="majorBidi"/>
          <w:sz w:val="24"/>
          <w:szCs w:val="24"/>
        </w:rPr>
      </w:pPr>
      <w:r w:rsidRPr="006E0CA7">
        <w:rPr>
          <w:rFonts w:asciiTheme="majorBidi" w:hAnsiTheme="majorBidi" w:cstheme="majorBidi"/>
          <w:sz w:val="24"/>
          <w:szCs w:val="24"/>
        </w:rPr>
        <w:t>La constance de cet engagement s’est concrétisée à travers la présentation de sa première Contribution Déterminée au Niveau National (CDN), en 2015, et son actualisation en 2021 (CDN 2021 – 2030), conformément aux dispositions de l’Accord de Paris.</w:t>
      </w:r>
    </w:p>
    <w:p w14:paraId="4075F409" w14:textId="77777777" w:rsidR="00BC6C8B" w:rsidRPr="00B53F31" w:rsidRDefault="00BC6C8B" w:rsidP="00BC6C8B">
      <w:pPr>
        <w:jc w:val="both"/>
        <w:rPr>
          <w:rFonts w:asciiTheme="majorBidi" w:hAnsiTheme="majorBidi" w:cstheme="majorBidi"/>
          <w:sz w:val="24"/>
          <w:szCs w:val="24"/>
        </w:rPr>
      </w:pPr>
      <w:r>
        <w:rPr>
          <w:rFonts w:asciiTheme="majorBidi" w:hAnsiTheme="majorBidi" w:cstheme="majorBidi"/>
          <w:sz w:val="24"/>
          <w:szCs w:val="24"/>
        </w:rPr>
        <w:t>Aussi, elle</w:t>
      </w:r>
      <w:r w:rsidRPr="00B53F31">
        <w:rPr>
          <w:rFonts w:asciiTheme="majorBidi" w:hAnsiTheme="majorBidi" w:cstheme="majorBidi"/>
          <w:sz w:val="24"/>
          <w:szCs w:val="24"/>
        </w:rPr>
        <w:t xml:space="preserve"> a élargi le périmètre de ses secteurs d’adaptation, en y incluant notamment, le secteur de l’Habitat, de </w:t>
      </w:r>
      <w:r>
        <w:rPr>
          <w:rFonts w:asciiTheme="majorBidi" w:hAnsiTheme="majorBidi" w:cstheme="majorBidi"/>
          <w:sz w:val="24"/>
          <w:szCs w:val="24"/>
        </w:rPr>
        <w:t xml:space="preserve">L’urbanisme, de l’aménagement du territoire </w:t>
      </w:r>
      <w:r w:rsidRPr="00B53F31">
        <w:rPr>
          <w:rFonts w:asciiTheme="majorBidi" w:hAnsiTheme="majorBidi" w:cstheme="majorBidi"/>
          <w:sz w:val="24"/>
          <w:szCs w:val="24"/>
        </w:rPr>
        <w:t xml:space="preserve">et de la construction. </w:t>
      </w:r>
    </w:p>
    <w:p w14:paraId="081FC415" w14:textId="77777777" w:rsidR="00BC6C8B" w:rsidRPr="00B53F31" w:rsidRDefault="00BC6C8B" w:rsidP="00BC6C8B">
      <w:pPr>
        <w:jc w:val="both"/>
        <w:rPr>
          <w:rFonts w:asciiTheme="majorBidi" w:hAnsiTheme="majorBidi" w:cstheme="majorBidi"/>
          <w:sz w:val="24"/>
          <w:szCs w:val="24"/>
        </w:rPr>
      </w:pPr>
      <w:r w:rsidRPr="00B53F31">
        <w:rPr>
          <w:rFonts w:asciiTheme="majorBidi" w:hAnsiTheme="majorBidi" w:cstheme="majorBidi"/>
          <w:sz w:val="24"/>
          <w:szCs w:val="24"/>
        </w:rPr>
        <w:t xml:space="preserve">Car, ce secteur contribue aux effets néfastes du changement climatique, en ce sens que l’urbanisation et la sédentarisation </w:t>
      </w:r>
      <w:r>
        <w:rPr>
          <w:rFonts w:asciiTheme="majorBidi" w:hAnsiTheme="majorBidi" w:cstheme="majorBidi"/>
          <w:sz w:val="24"/>
          <w:szCs w:val="24"/>
        </w:rPr>
        <w:t xml:space="preserve">observée en Mauritanie </w:t>
      </w:r>
      <w:r w:rsidRPr="00B53F31">
        <w:rPr>
          <w:rFonts w:asciiTheme="majorBidi" w:hAnsiTheme="majorBidi" w:cstheme="majorBidi"/>
          <w:sz w:val="24"/>
          <w:szCs w:val="24"/>
        </w:rPr>
        <w:t>se sont accompagnées d’une modification profonde de la nature de l’habitat aussi bien en villes que dans les campagnes ou la construction en dur consommatrice de matériaux et fortement émettrice de Gaz à effet de serre s’est imposée au détriment des matériaux traditionnels locaux.</w:t>
      </w:r>
    </w:p>
    <w:p w14:paraId="45B1FFB1" w14:textId="77777777" w:rsidR="00BC6C8B" w:rsidRPr="00B53F31" w:rsidRDefault="00BC6C8B" w:rsidP="00BC6C8B">
      <w:pPr>
        <w:jc w:val="both"/>
        <w:rPr>
          <w:rFonts w:asciiTheme="majorBidi" w:hAnsiTheme="majorBidi" w:cstheme="majorBidi"/>
          <w:sz w:val="24"/>
          <w:szCs w:val="24"/>
        </w:rPr>
      </w:pPr>
      <w:r w:rsidRPr="00B53F31">
        <w:rPr>
          <w:rFonts w:asciiTheme="majorBidi" w:hAnsiTheme="majorBidi" w:cstheme="majorBidi"/>
          <w:sz w:val="24"/>
          <w:szCs w:val="24"/>
        </w:rPr>
        <w:t>Ces risques viendront s’ajouter, et sans doute aggraver, les effets des autres évolutions globales prévisibles (dynamiques démographiques, urbanisation non contrôlée, fortes chaleurs, inondations, ensablement du bâti, littoralisation, changement d’usage des sols et les besoins relatifs au développement économique (activités agricoles, industrielles, etc.)</w:t>
      </w:r>
      <w:proofErr w:type="gramStart"/>
      <w:r w:rsidRPr="00B53F31">
        <w:rPr>
          <w:rFonts w:asciiTheme="majorBidi" w:hAnsiTheme="majorBidi" w:cstheme="majorBidi"/>
          <w:sz w:val="24"/>
          <w:szCs w:val="24"/>
        </w:rPr>
        <w:t>. .</w:t>
      </w:r>
      <w:proofErr w:type="gramEnd"/>
    </w:p>
    <w:p w14:paraId="58AB0DA1" w14:textId="77777777" w:rsidR="00BC6C8B" w:rsidRPr="00B53F31" w:rsidRDefault="00BC6C8B" w:rsidP="00BC6C8B">
      <w:pPr>
        <w:jc w:val="both"/>
        <w:rPr>
          <w:rFonts w:asciiTheme="majorBidi" w:hAnsiTheme="majorBidi" w:cstheme="majorBidi"/>
          <w:sz w:val="24"/>
          <w:szCs w:val="24"/>
        </w:rPr>
      </w:pPr>
      <w:r w:rsidRPr="00B53F31">
        <w:rPr>
          <w:rFonts w:asciiTheme="majorBidi" w:hAnsiTheme="majorBidi" w:cstheme="majorBidi"/>
          <w:sz w:val="24"/>
          <w:szCs w:val="24"/>
        </w:rPr>
        <w:t>En somme le secteur de l’habitat, de l’urbanisme</w:t>
      </w:r>
      <w:r>
        <w:rPr>
          <w:rFonts w:asciiTheme="majorBidi" w:hAnsiTheme="majorBidi" w:cstheme="majorBidi"/>
          <w:sz w:val="24"/>
          <w:szCs w:val="24"/>
        </w:rPr>
        <w:t xml:space="preserve">, de l’aménagement du territoire </w:t>
      </w:r>
      <w:r w:rsidRPr="00B53F31">
        <w:rPr>
          <w:rFonts w:asciiTheme="majorBidi" w:hAnsiTheme="majorBidi" w:cstheme="majorBidi"/>
          <w:sz w:val="24"/>
          <w:szCs w:val="24"/>
        </w:rPr>
        <w:t>et de la construction   en Mauritanie est à la fois un contributeur et une conséquence des effets néfastes du changement climatique.</w:t>
      </w:r>
    </w:p>
    <w:p w14:paraId="3536BBA5" w14:textId="77777777" w:rsidR="00BC6C8B" w:rsidRPr="00B53F31" w:rsidRDefault="00BC6C8B" w:rsidP="00BC6C8B">
      <w:pPr>
        <w:jc w:val="both"/>
        <w:rPr>
          <w:rFonts w:asciiTheme="majorBidi" w:hAnsiTheme="majorBidi" w:cstheme="majorBidi"/>
          <w:sz w:val="24"/>
          <w:szCs w:val="24"/>
        </w:rPr>
      </w:pPr>
      <w:r w:rsidRPr="00B53F31">
        <w:rPr>
          <w:rFonts w:asciiTheme="majorBidi" w:hAnsiTheme="majorBidi" w:cstheme="majorBidi"/>
          <w:sz w:val="24"/>
          <w:szCs w:val="24"/>
        </w:rPr>
        <w:t>Face à ces multiples défis, il devient donc évi</w:t>
      </w:r>
      <w:r>
        <w:rPr>
          <w:rFonts w:asciiTheme="majorBidi" w:hAnsiTheme="majorBidi" w:cstheme="majorBidi"/>
          <w:sz w:val="24"/>
          <w:szCs w:val="24"/>
        </w:rPr>
        <w:t xml:space="preserve">dent pour le pays de mettre en place les moyens et les outils nécessaires </w:t>
      </w:r>
      <w:r w:rsidRPr="00B53F31">
        <w:rPr>
          <w:rFonts w:asciiTheme="majorBidi" w:hAnsiTheme="majorBidi" w:cstheme="majorBidi"/>
          <w:sz w:val="24"/>
          <w:szCs w:val="24"/>
        </w:rPr>
        <w:t>pour l’adaptation au changement climatique pour ce secteur vital pour la Mauritanie afin de répondre à la fois à l’augmentation des besoins et des usagers, à la nécessité de préserver les ressources et les écosystèmes des risques induits par le réchauffement du climat qui exacerbe les tensions existantes.</w:t>
      </w:r>
    </w:p>
    <w:p w14:paraId="0FC980D6" w14:textId="77777777" w:rsidR="00BC6C8B" w:rsidRPr="00B53F31" w:rsidRDefault="00BC6C8B" w:rsidP="00BC6C8B">
      <w:pPr>
        <w:jc w:val="both"/>
        <w:rPr>
          <w:rFonts w:asciiTheme="majorBidi" w:hAnsiTheme="majorBidi" w:cstheme="majorBidi"/>
          <w:sz w:val="24"/>
          <w:szCs w:val="24"/>
        </w:rPr>
      </w:pPr>
      <w:r w:rsidRPr="00B53F31">
        <w:rPr>
          <w:rFonts w:asciiTheme="majorBidi" w:hAnsiTheme="majorBidi" w:cstheme="majorBidi"/>
          <w:sz w:val="24"/>
          <w:szCs w:val="24"/>
        </w:rPr>
        <w:t>L’intégration de l’habitat, de l’urbanisme</w:t>
      </w:r>
      <w:r>
        <w:rPr>
          <w:rFonts w:asciiTheme="majorBidi" w:hAnsiTheme="majorBidi" w:cstheme="majorBidi"/>
          <w:sz w:val="24"/>
          <w:szCs w:val="24"/>
        </w:rPr>
        <w:t xml:space="preserve">, de l’aménagement du territoire </w:t>
      </w:r>
      <w:r w:rsidRPr="00B53F31">
        <w:rPr>
          <w:rFonts w:asciiTheme="majorBidi" w:hAnsiTheme="majorBidi" w:cstheme="majorBidi"/>
          <w:sz w:val="24"/>
          <w:szCs w:val="24"/>
        </w:rPr>
        <w:t>et de la construction dans les secteurs d’adaptation de la CDN offre au MHUAT une réelle opportunité de réviser les politiques, les stratégies et le mode opératoire du secteur afin de les adapter aux nombreux défis que pose le changement climatique.</w:t>
      </w:r>
    </w:p>
    <w:p w14:paraId="406047B1" w14:textId="77777777" w:rsidR="00BC6C8B" w:rsidRPr="00B53F31" w:rsidRDefault="00BC6C8B" w:rsidP="00BC6C8B">
      <w:pPr>
        <w:jc w:val="both"/>
        <w:rPr>
          <w:rFonts w:asciiTheme="majorBidi" w:hAnsiTheme="majorBidi" w:cstheme="majorBidi"/>
          <w:sz w:val="24"/>
          <w:szCs w:val="24"/>
        </w:rPr>
      </w:pPr>
      <w:r w:rsidRPr="00B53F31">
        <w:rPr>
          <w:rFonts w:asciiTheme="majorBidi" w:hAnsiTheme="majorBidi" w:cstheme="majorBidi"/>
          <w:sz w:val="24"/>
          <w:szCs w:val="24"/>
        </w:rPr>
        <w:t>Enfin, la Mauritanie, à travers son Ministère chargé de l’environnement</w:t>
      </w:r>
      <w:r>
        <w:rPr>
          <w:rFonts w:asciiTheme="majorBidi" w:hAnsiTheme="majorBidi" w:cstheme="majorBidi"/>
          <w:sz w:val="24"/>
          <w:szCs w:val="24"/>
        </w:rPr>
        <w:t xml:space="preserve"> et du développement durable </w:t>
      </w:r>
      <w:r w:rsidRPr="00B53F31">
        <w:rPr>
          <w:rFonts w:asciiTheme="majorBidi" w:hAnsiTheme="majorBidi" w:cstheme="majorBidi"/>
          <w:sz w:val="24"/>
          <w:szCs w:val="24"/>
        </w:rPr>
        <w:t xml:space="preserve">a bénéficié d’un financement du Fonds Vert pour le Climat pour, notamment, accompagner le processus d’élaboration d’un Plan National d’Adaptation. Ce cadre programmatique, destiné à répondre aux besoins immédiats du pays compte tenu de sa vulnérabilité, offre également au Département l’opportunité d’initier l’opérationnalisation du processus visant une meilleure intégration des enjeux climatiques dans ses politiques et stratégies de développement et d’engager les actions prioritaires d’adaptation du secteur aux impacts climatiques, déjà identifiés.  </w:t>
      </w:r>
    </w:p>
    <w:p w14:paraId="48AB22BF" w14:textId="77777777" w:rsidR="00BC6C8B" w:rsidRPr="00B53F31" w:rsidRDefault="00BC6C8B" w:rsidP="00BC6C8B">
      <w:pPr>
        <w:jc w:val="both"/>
        <w:rPr>
          <w:rFonts w:asciiTheme="majorBidi" w:hAnsiTheme="majorBidi" w:cstheme="majorBidi"/>
          <w:sz w:val="24"/>
          <w:szCs w:val="24"/>
        </w:rPr>
      </w:pPr>
      <w:r w:rsidRPr="00B53F31">
        <w:rPr>
          <w:rFonts w:asciiTheme="majorBidi" w:hAnsiTheme="majorBidi" w:cstheme="majorBidi"/>
          <w:sz w:val="24"/>
          <w:szCs w:val="24"/>
        </w:rPr>
        <w:t>La présente mission a donc pour objet de formuler la cinquième communication sur les mesures d’adaptation en cours d’exécution par le département pour faire face à la vulnérabilité du secteur et de faire des propositions sous forme de programme ou projets sur la base des critères d’adaptations visant une meilleure prise en compte des enjeux climatiques dans la stratégie sectorielle.</w:t>
      </w:r>
    </w:p>
    <w:p w14:paraId="6860E43B" w14:textId="77777777" w:rsidR="00BC6C8B" w:rsidRDefault="00BC6C8B" w:rsidP="00BC6C8B">
      <w:pPr>
        <w:spacing w:after="0" w:line="360" w:lineRule="auto"/>
        <w:rPr>
          <w:rFonts w:asciiTheme="majorBidi" w:hAnsiTheme="majorBidi" w:cstheme="majorBidi"/>
          <w:b/>
          <w:sz w:val="24"/>
          <w:szCs w:val="24"/>
        </w:rPr>
      </w:pPr>
      <w:r w:rsidRPr="00301A83">
        <w:rPr>
          <w:rFonts w:asciiTheme="majorBidi" w:hAnsiTheme="majorBidi" w:cstheme="majorBidi"/>
          <w:b/>
          <w:sz w:val="24"/>
          <w:szCs w:val="24"/>
        </w:rPr>
        <w:t>Partie 1 – COMPREHENSION DES TERMES DE REFERENCE DU LIVRABLE 1 ET APPROCHE METHODOLOGIQUE</w:t>
      </w:r>
      <w:r>
        <w:rPr>
          <w:rFonts w:asciiTheme="majorBidi" w:hAnsiTheme="majorBidi" w:cstheme="majorBidi"/>
          <w:b/>
          <w:sz w:val="24"/>
          <w:szCs w:val="24"/>
        </w:rPr>
        <w:t>.</w:t>
      </w:r>
    </w:p>
    <w:p w14:paraId="6820AC62" w14:textId="77777777" w:rsidR="00BC6C8B" w:rsidRDefault="00BC6C8B" w:rsidP="00BC6C8B">
      <w:pPr>
        <w:spacing w:after="0" w:line="240" w:lineRule="auto"/>
        <w:jc w:val="both"/>
        <w:rPr>
          <w:rFonts w:asciiTheme="majorBidi" w:hAnsiTheme="majorBidi" w:cstheme="majorBidi"/>
          <w:b/>
          <w:sz w:val="24"/>
          <w:szCs w:val="24"/>
        </w:rPr>
      </w:pPr>
      <w:r w:rsidRPr="00301A83">
        <w:rPr>
          <w:rFonts w:asciiTheme="majorBidi" w:hAnsiTheme="majorBidi" w:cstheme="majorBidi"/>
          <w:b/>
          <w:sz w:val="24"/>
          <w:szCs w:val="24"/>
        </w:rPr>
        <w:t>Chapitre 2 – Compréhension des termes de référence du livrable attendu</w:t>
      </w:r>
      <w:r>
        <w:rPr>
          <w:rFonts w:asciiTheme="majorBidi" w:hAnsiTheme="majorBidi" w:cstheme="majorBidi"/>
          <w:b/>
          <w:sz w:val="24"/>
          <w:szCs w:val="24"/>
        </w:rPr>
        <w:t> :</w:t>
      </w:r>
    </w:p>
    <w:p w14:paraId="48821C98" w14:textId="77777777" w:rsidR="00BC6C8B" w:rsidRPr="00976E9F" w:rsidRDefault="00BC6C8B" w:rsidP="00BC6C8B">
      <w:pPr>
        <w:spacing w:before="100" w:beforeAutospacing="1" w:after="100" w:afterAutospacing="1" w:line="23" w:lineRule="atLeast"/>
        <w:ind w:right="-426"/>
        <w:jc w:val="both"/>
        <w:rPr>
          <w:rFonts w:ascii="Calibri" w:eastAsia="Times New Roman" w:hAnsi="Calibri" w:cs="Calibri"/>
          <w:color w:val="0C1518"/>
          <w:lang w:bidi="en-US"/>
        </w:rPr>
      </w:pPr>
      <w:r w:rsidRPr="00626848">
        <w:rPr>
          <w:rFonts w:ascii="Calibri" w:eastAsia="Times New Roman" w:hAnsi="Calibri" w:cs="Calibri"/>
          <w:color w:val="0C1518"/>
          <w:sz w:val="24"/>
          <w:szCs w:val="24"/>
          <w:lang w:bidi="en-US"/>
        </w:rPr>
        <w:t xml:space="preserve">Pour les besoins de la production et de la vulgarisation de </w:t>
      </w:r>
      <w:r>
        <w:rPr>
          <w:rFonts w:ascii="Calibri" w:eastAsia="Times New Roman" w:hAnsi="Calibri" w:cs="Calibri"/>
          <w:color w:val="0C1518"/>
          <w:sz w:val="24"/>
          <w:szCs w:val="24"/>
          <w:lang w:bidi="en-US"/>
        </w:rPr>
        <w:t xml:space="preserve">l‘évaluation de la vulnérabilité et adaptation du secteur HUAT au titre de </w:t>
      </w:r>
      <w:r w:rsidRPr="00626848">
        <w:rPr>
          <w:rFonts w:ascii="Calibri" w:eastAsia="Times New Roman" w:hAnsi="Calibri" w:cs="Calibri"/>
          <w:color w:val="0C1518"/>
          <w:sz w:val="24"/>
          <w:szCs w:val="24"/>
          <w:lang w:bidi="en-US"/>
        </w:rPr>
        <w:t xml:space="preserve">la cinquième communication nationale sur les changements climatiques le Plan National d'Adaptation basé sur les priorités d'adaptation sectorielles et infranationales, un vaste processus de consultations des parties prenantes est lancé aux fins d’évaluer la vulnérabilité du secteur de l’Habitat, de L’urbanisme, de l’aménagement du territoire et de la construction face aux changements climatiques.  Cette évaluation est axée sur les capacités des parties prenantes à intégrer </w:t>
      </w:r>
      <w:bookmarkStart w:id="439" w:name="_Hlk178671592"/>
      <w:r w:rsidRPr="00626848">
        <w:rPr>
          <w:rFonts w:ascii="Calibri" w:eastAsia="Times New Roman" w:hAnsi="Calibri" w:cs="Calibri"/>
          <w:color w:val="0C1518"/>
          <w:sz w:val="24"/>
          <w:szCs w:val="24"/>
          <w:lang w:bidi="en-US"/>
        </w:rPr>
        <w:t xml:space="preserve">les changements climatiques </w:t>
      </w:r>
      <w:bookmarkEnd w:id="439"/>
      <w:r w:rsidRPr="00626848">
        <w:rPr>
          <w:rFonts w:ascii="Calibri" w:eastAsia="Times New Roman" w:hAnsi="Calibri" w:cs="Calibri"/>
          <w:color w:val="0C1518"/>
          <w:sz w:val="24"/>
          <w:szCs w:val="24"/>
          <w:lang w:bidi="en-US"/>
        </w:rPr>
        <w:t>dans les politiques, plans et programmes de développement sectoriel et à mobiliser les financements nécessaires pour la mise en œuvre des projets d'adaptation priorisés. C’est dans ce cadre qu’est conduite cette étude sur le Secteur de l’Habitat, de l’Urbanisme et de l’Aménagement du Territoire.</w:t>
      </w:r>
      <w:r>
        <w:rPr>
          <w:rFonts w:ascii="Calibri" w:eastAsia="Times New Roman" w:hAnsi="Calibri" w:cs="Calibri"/>
          <w:color w:val="0C1518"/>
          <w:sz w:val="24"/>
          <w:szCs w:val="24"/>
          <w:lang w:bidi="en-US"/>
        </w:rPr>
        <w:t xml:space="preserve"> </w:t>
      </w:r>
    </w:p>
    <w:p w14:paraId="428FC9C3" w14:textId="77777777" w:rsidR="00BC6C8B" w:rsidRPr="00B53F31" w:rsidRDefault="00BC6C8B" w:rsidP="00BC6C8B">
      <w:pPr>
        <w:jc w:val="both"/>
        <w:rPr>
          <w:rFonts w:asciiTheme="majorBidi" w:hAnsiTheme="majorBidi" w:cstheme="majorBidi"/>
          <w:b/>
          <w:bCs/>
          <w:sz w:val="24"/>
          <w:szCs w:val="24"/>
          <w:u w:val="single"/>
        </w:rPr>
      </w:pPr>
      <w:r w:rsidRPr="00976E9F">
        <w:rPr>
          <w:rFonts w:asciiTheme="majorBidi" w:hAnsiTheme="majorBidi" w:cstheme="majorBidi"/>
          <w:b/>
          <w:bCs/>
          <w:sz w:val="24"/>
          <w:szCs w:val="24"/>
          <w:u w:val="single"/>
        </w:rPr>
        <w:t>Chapitre 3 – Approche méthodologique</w:t>
      </w:r>
      <w:r>
        <w:rPr>
          <w:rFonts w:asciiTheme="majorBidi" w:hAnsiTheme="majorBidi" w:cstheme="majorBidi"/>
          <w:b/>
          <w:bCs/>
          <w:sz w:val="24"/>
          <w:szCs w:val="24"/>
          <w:u w:val="single"/>
        </w:rPr>
        <w:t> :</w:t>
      </w:r>
    </w:p>
    <w:p w14:paraId="213C0FD0" w14:textId="77777777" w:rsidR="00BC6C8B" w:rsidRPr="00B53F31" w:rsidRDefault="00BC6C8B" w:rsidP="00BC6C8B">
      <w:pPr>
        <w:spacing w:before="100" w:beforeAutospacing="1" w:after="100" w:afterAutospacing="1" w:line="23" w:lineRule="atLeast"/>
        <w:ind w:right="-426"/>
        <w:jc w:val="both"/>
        <w:rPr>
          <w:rFonts w:asciiTheme="majorBidi" w:hAnsiTheme="majorBidi" w:cstheme="majorBidi"/>
          <w:sz w:val="24"/>
          <w:szCs w:val="24"/>
        </w:rPr>
      </w:pPr>
      <w:r w:rsidRPr="00B53F31">
        <w:rPr>
          <w:rFonts w:asciiTheme="majorBidi" w:hAnsiTheme="majorBidi" w:cstheme="majorBidi"/>
          <w:sz w:val="24"/>
          <w:szCs w:val="24"/>
        </w:rPr>
        <w:t xml:space="preserve">La méthodologie adoptée consiste à mobiliser une expertise en appui au département </w:t>
      </w:r>
      <w:r w:rsidRPr="00225BDF">
        <w:rPr>
          <w:rFonts w:ascii="Calibri" w:eastAsia="Times New Roman" w:hAnsi="Calibri" w:cs="Calibri"/>
          <w:color w:val="0C1518"/>
          <w:sz w:val="24"/>
          <w:szCs w:val="24"/>
          <w:lang w:bidi="en-US"/>
        </w:rPr>
        <w:t>pour</w:t>
      </w:r>
      <w:r w:rsidRPr="00B53F31">
        <w:rPr>
          <w:rFonts w:asciiTheme="majorBidi" w:hAnsiTheme="majorBidi" w:cstheme="majorBidi"/>
          <w:sz w:val="24"/>
          <w:szCs w:val="24"/>
        </w:rPr>
        <w:t xml:space="preserve"> élaborer un vrai diagnostic de la vulnérabilité du Secteur et proposer un plan d’action adapté pour celui-ci.</w:t>
      </w:r>
      <w:r>
        <w:rPr>
          <w:rFonts w:asciiTheme="majorBidi" w:hAnsiTheme="majorBidi" w:cstheme="majorBidi"/>
          <w:sz w:val="24"/>
          <w:szCs w:val="24"/>
        </w:rPr>
        <w:t xml:space="preserve"> </w:t>
      </w:r>
      <w:r w:rsidRPr="00B53F31">
        <w:rPr>
          <w:rFonts w:asciiTheme="majorBidi" w:hAnsiTheme="majorBidi" w:cstheme="majorBidi"/>
          <w:sz w:val="24"/>
          <w:szCs w:val="24"/>
        </w:rPr>
        <w:t>Pour ce faire, il est obligatoire de tenir des réunions d’informations avec toutes les parties prenantes afin de bien mener et d’une manière concertée cette mission.</w:t>
      </w:r>
      <w:r>
        <w:rPr>
          <w:rFonts w:asciiTheme="majorBidi" w:hAnsiTheme="majorBidi" w:cstheme="majorBidi"/>
          <w:sz w:val="24"/>
          <w:szCs w:val="24"/>
        </w:rPr>
        <w:t xml:space="preserve"> </w:t>
      </w:r>
      <w:r w:rsidRPr="00B53F31">
        <w:rPr>
          <w:rFonts w:asciiTheme="majorBidi" w:hAnsiTheme="majorBidi" w:cstheme="majorBidi"/>
          <w:sz w:val="24"/>
          <w:szCs w:val="24"/>
        </w:rPr>
        <w:t>L’intervention repose sur six étapes déclinées comme suit :</w:t>
      </w:r>
    </w:p>
    <w:p w14:paraId="18376D77" w14:textId="77777777" w:rsidR="00BC6C8B" w:rsidRPr="00B53F31" w:rsidRDefault="00BC6C8B" w:rsidP="00BC6C8B">
      <w:pPr>
        <w:spacing w:before="100" w:beforeAutospacing="1" w:after="100" w:afterAutospacing="1" w:line="23" w:lineRule="atLeast"/>
        <w:ind w:right="-426"/>
        <w:jc w:val="both"/>
        <w:rPr>
          <w:rFonts w:asciiTheme="majorBidi" w:hAnsiTheme="majorBidi" w:cstheme="majorBidi"/>
          <w:sz w:val="24"/>
          <w:szCs w:val="24"/>
        </w:rPr>
      </w:pPr>
      <w:r w:rsidRPr="00B53F31">
        <w:rPr>
          <w:rFonts w:asciiTheme="majorBidi" w:hAnsiTheme="majorBidi" w:cstheme="majorBidi"/>
          <w:sz w:val="24"/>
          <w:szCs w:val="24"/>
        </w:rPr>
        <w:t xml:space="preserve">La tenue d’une réunion d’information avec les parties prenantes </w:t>
      </w:r>
      <w:r w:rsidRPr="00225BDF">
        <w:rPr>
          <w:rFonts w:ascii="Calibri" w:eastAsia="Times New Roman" w:hAnsi="Calibri" w:cs="Calibri"/>
          <w:color w:val="0C1518"/>
          <w:sz w:val="24"/>
          <w:szCs w:val="24"/>
          <w:lang w:bidi="en-US"/>
        </w:rPr>
        <w:t>coordinateur</w:t>
      </w:r>
      <w:r w:rsidRPr="00B53F31">
        <w:rPr>
          <w:rFonts w:asciiTheme="majorBidi" w:hAnsiTheme="majorBidi" w:cstheme="majorBidi"/>
          <w:sz w:val="24"/>
          <w:szCs w:val="24"/>
        </w:rPr>
        <w:t xml:space="preserve"> du Programme, ministère de l’environnement, ministère de l’Habitat, de L’Urbanisme et de L’Aménagement du Territoire, personnes ressources…. Etc. ;</w:t>
      </w:r>
    </w:p>
    <w:p w14:paraId="216F2BF9" w14:textId="77777777" w:rsidR="00BC6C8B" w:rsidRPr="00B53F31" w:rsidRDefault="00BC6C8B" w:rsidP="00BC6C8B">
      <w:pPr>
        <w:spacing w:after="0" w:line="240" w:lineRule="auto"/>
        <w:ind w:right="-425"/>
        <w:jc w:val="both"/>
        <w:rPr>
          <w:rFonts w:asciiTheme="majorBidi" w:hAnsiTheme="majorBidi" w:cstheme="majorBidi"/>
          <w:sz w:val="24"/>
          <w:szCs w:val="24"/>
        </w:rPr>
      </w:pPr>
      <w:r w:rsidRPr="00B53F31">
        <w:rPr>
          <w:rFonts w:asciiTheme="majorBidi" w:hAnsiTheme="majorBidi" w:cstheme="majorBidi"/>
          <w:sz w:val="24"/>
          <w:szCs w:val="24"/>
        </w:rPr>
        <w:t xml:space="preserve">L’identification des parties prenantes impliquées dans le secteur et collecte des informations sur les changements climatiques, les données climatiques sur le </w:t>
      </w:r>
      <w:r w:rsidRPr="00225BDF">
        <w:rPr>
          <w:rFonts w:ascii="Calibri" w:eastAsia="Times New Roman" w:hAnsi="Calibri" w:cs="Calibri"/>
          <w:color w:val="0C1518"/>
          <w:sz w:val="24"/>
          <w:szCs w:val="24"/>
          <w:lang w:bidi="en-US"/>
        </w:rPr>
        <w:t>secteur</w:t>
      </w:r>
      <w:r w:rsidRPr="00B53F31">
        <w:rPr>
          <w:rFonts w:asciiTheme="majorBidi" w:hAnsiTheme="majorBidi" w:cstheme="majorBidi"/>
          <w:sz w:val="24"/>
          <w:szCs w:val="24"/>
        </w:rPr>
        <w:t> ;</w:t>
      </w:r>
    </w:p>
    <w:p w14:paraId="40F6BCB5" w14:textId="77777777" w:rsidR="00BC6C8B" w:rsidRPr="00B53F31" w:rsidRDefault="00BC6C8B" w:rsidP="00BC6C8B">
      <w:pPr>
        <w:numPr>
          <w:ilvl w:val="0"/>
          <w:numId w:val="115"/>
        </w:numPr>
        <w:spacing w:after="0" w:line="240" w:lineRule="auto"/>
        <w:contextualSpacing/>
        <w:rPr>
          <w:rFonts w:asciiTheme="majorBidi" w:hAnsiTheme="majorBidi" w:cstheme="majorBidi"/>
          <w:sz w:val="24"/>
          <w:szCs w:val="24"/>
        </w:rPr>
      </w:pPr>
      <w:r w:rsidRPr="00B53F31">
        <w:rPr>
          <w:rFonts w:asciiTheme="majorBidi" w:hAnsiTheme="majorBidi" w:cstheme="majorBidi"/>
          <w:sz w:val="24"/>
          <w:szCs w:val="24"/>
        </w:rPr>
        <w:t>La réalisation d’un diagnostic participatif de la vulnérabilité du secteur</w:t>
      </w:r>
    </w:p>
    <w:p w14:paraId="54B25002" w14:textId="77777777" w:rsidR="00BC6C8B" w:rsidRPr="00B53F31" w:rsidRDefault="00BC6C8B" w:rsidP="00BC6C8B">
      <w:pPr>
        <w:numPr>
          <w:ilvl w:val="0"/>
          <w:numId w:val="115"/>
        </w:numPr>
        <w:spacing w:after="0" w:line="240" w:lineRule="auto"/>
        <w:contextualSpacing/>
        <w:rPr>
          <w:rFonts w:asciiTheme="majorBidi" w:hAnsiTheme="majorBidi" w:cstheme="majorBidi"/>
          <w:sz w:val="24"/>
          <w:szCs w:val="24"/>
        </w:rPr>
      </w:pPr>
      <w:r w:rsidRPr="00B53F31">
        <w:rPr>
          <w:rFonts w:asciiTheme="majorBidi" w:hAnsiTheme="majorBidi" w:cstheme="majorBidi"/>
          <w:sz w:val="24"/>
          <w:szCs w:val="24"/>
        </w:rPr>
        <w:t xml:space="preserve"> Collecter les données et les informations ;</w:t>
      </w:r>
    </w:p>
    <w:p w14:paraId="57B437EA" w14:textId="77777777" w:rsidR="00BC6C8B" w:rsidRPr="00B53F31" w:rsidRDefault="00BC6C8B" w:rsidP="00BC6C8B">
      <w:pPr>
        <w:numPr>
          <w:ilvl w:val="0"/>
          <w:numId w:val="115"/>
        </w:numPr>
        <w:spacing w:after="0" w:line="240" w:lineRule="auto"/>
        <w:contextualSpacing/>
        <w:rPr>
          <w:rFonts w:asciiTheme="majorBidi" w:hAnsiTheme="majorBidi" w:cstheme="majorBidi"/>
          <w:sz w:val="24"/>
          <w:szCs w:val="24"/>
        </w:rPr>
      </w:pPr>
      <w:r w:rsidRPr="00B53F31">
        <w:rPr>
          <w:rFonts w:asciiTheme="majorBidi" w:hAnsiTheme="majorBidi" w:cstheme="majorBidi"/>
          <w:sz w:val="24"/>
          <w:szCs w:val="24"/>
        </w:rPr>
        <w:t>Identifier et analyser les forces, faiblesses, contraintes, opportunités et menaces ;</w:t>
      </w:r>
    </w:p>
    <w:p w14:paraId="37D1E805" w14:textId="77777777" w:rsidR="00BC6C8B" w:rsidRPr="00B53F31" w:rsidRDefault="00BC6C8B" w:rsidP="00BC6C8B">
      <w:pPr>
        <w:numPr>
          <w:ilvl w:val="0"/>
          <w:numId w:val="115"/>
        </w:numPr>
        <w:spacing w:after="0" w:line="240" w:lineRule="auto"/>
        <w:ind w:right="-567"/>
        <w:contextualSpacing/>
        <w:rPr>
          <w:rFonts w:asciiTheme="majorBidi" w:hAnsiTheme="majorBidi" w:cstheme="majorBidi"/>
          <w:sz w:val="24"/>
          <w:szCs w:val="24"/>
        </w:rPr>
      </w:pPr>
      <w:r w:rsidRPr="00B53F31">
        <w:rPr>
          <w:rFonts w:asciiTheme="majorBidi" w:hAnsiTheme="majorBidi" w:cstheme="majorBidi"/>
          <w:sz w:val="24"/>
          <w:szCs w:val="24"/>
        </w:rPr>
        <w:t>Traitement des informations et données collectées, l’analyse des résultats et la</w:t>
      </w:r>
      <w:r>
        <w:rPr>
          <w:rFonts w:asciiTheme="majorBidi" w:hAnsiTheme="majorBidi" w:cstheme="majorBidi"/>
          <w:sz w:val="24"/>
          <w:szCs w:val="24"/>
        </w:rPr>
        <w:t xml:space="preserve"> </w:t>
      </w:r>
      <w:r w:rsidRPr="00B53F31">
        <w:rPr>
          <w:rFonts w:asciiTheme="majorBidi" w:hAnsiTheme="majorBidi" w:cstheme="majorBidi"/>
          <w:sz w:val="24"/>
          <w:szCs w:val="24"/>
        </w:rPr>
        <w:t>production du livrable (rapport final) décrivant les résultats obtenus et les recommandations.</w:t>
      </w:r>
    </w:p>
    <w:p w14:paraId="0ABEE3C2" w14:textId="77777777" w:rsidR="00BC6C8B" w:rsidRDefault="00BC6C8B" w:rsidP="00BC6C8B">
      <w:pPr>
        <w:spacing w:after="0" w:line="240" w:lineRule="auto"/>
        <w:ind w:left="720"/>
        <w:contextualSpacing/>
        <w:rPr>
          <w:rFonts w:asciiTheme="majorBidi" w:hAnsiTheme="majorBidi" w:cstheme="majorBidi"/>
          <w:sz w:val="24"/>
          <w:szCs w:val="24"/>
        </w:rPr>
      </w:pPr>
    </w:p>
    <w:p w14:paraId="58343815" w14:textId="77777777" w:rsidR="00BC6C8B" w:rsidRPr="00B53F31" w:rsidRDefault="00BC6C8B" w:rsidP="00BC6C8B">
      <w:pPr>
        <w:spacing w:after="0" w:line="240" w:lineRule="auto"/>
        <w:contextualSpacing/>
        <w:rPr>
          <w:rFonts w:asciiTheme="majorBidi" w:hAnsiTheme="majorBidi" w:cstheme="majorBidi"/>
          <w:b/>
          <w:bCs/>
          <w:sz w:val="24"/>
          <w:szCs w:val="24"/>
        </w:rPr>
      </w:pPr>
      <w:r w:rsidRPr="00976E9F">
        <w:rPr>
          <w:rFonts w:asciiTheme="majorBidi" w:hAnsiTheme="majorBidi" w:cstheme="majorBidi"/>
          <w:b/>
          <w:bCs/>
          <w:sz w:val="24"/>
          <w:szCs w:val="24"/>
        </w:rPr>
        <w:t>Partie 2 – ETAT DES LIEUX DU SECTEUR</w:t>
      </w:r>
      <w:r>
        <w:rPr>
          <w:rFonts w:asciiTheme="majorBidi" w:hAnsiTheme="majorBidi" w:cstheme="majorBidi"/>
          <w:b/>
          <w:bCs/>
          <w:sz w:val="24"/>
          <w:szCs w:val="24"/>
        </w:rPr>
        <w:t> :</w:t>
      </w:r>
    </w:p>
    <w:p w14:paraId="665856B7" w14:textId="77777777" w:rsidR="00BC6C8B" w:rsidRPr="00B53F31" w:rsidRDefault="00BC6C8B" w:rsidP="00BC6C8B">
      <w:pPr>
        <w:spacing w:after="0" w:line="240" w:lineRule="auto"/>
        <w:contextualSpacing/>
        <w:rPr>
          <w:rFonts w:asciiTheme="majorBidi" w:hAnsiTheme="majorBidi" w:cstheme="majorBidi"/>
          <w:b/>
          <w:bCs/>
          <w:sz w:val="24"/>
          <w:szCs w:val="24"/>
        </w:rPr>
      </w:pPr>
    </w:p>
    <w:p w14:paraId="6603A98F" w14:textId="77777777" w:rsidR="00BC6C8B" w:rsidRPr="00976E9F" w:rsidRDefault="00BC6C8B" w:rsidP="00BC6C8B">
      <w:pPr>
        <w:spacing w:after="120" w:line="240" w:lineRule="auto"/>
        <w:ind w:right="-284"/>
        <w:rPr>
          <w:rFonts w:asciiTheme="majorBidi" w:eastAsia="Times New Roman" w:hAnsiTheme="majorBidi" w:cstheme="majorBidi"/>
          <w:b/>
          <w:bCs/>
          <w:sz w:val="24"/>
          <w:szCs w:val="24"/>
          <w:lang w:eastAsia="fr-FR"/>
        </w:rPr>
      </w:pPr>
      <w:bookmarkStart w:id="440" w:name="_Toc515037701"/>
      <w:r w:rsidRPr="00976E9F">
        <w:rPr>
          <w:rFonts w:asciiTheme="majorBidi" w:eastAsia="Times New Roman" w:hAnsiTheme="majorBidi" w:cstheme="majorBidi"/>
          <w:b/>
          <w:bCs/>
          <w:color w:val="000000"/>
          <w:sz w:val="24"/>
          <w:szCs w:val="24"/>
          <w:lang w:eastAsia="fr-FR"/>
        </w:rPr>
        <w:t xml:space="preserve">Chapitre 4 – Présentation du secteur </w:t>
      </w:r>
      <w:r w:rsidRPr="00976E9F">
        <w:rPr>
          <w:rFonts w:asciiTheme="majorBidi" w:eastAsia="Times New Roman" w:hAnsiTheme="majorBidi" w:cstheme="majorBidi"/>
          <w:b/>
          <w:bCs/>
          <w:sz w:val="24"/>
          <w:szCs w:val="24"/>
          <w:lang w:eastAsia="fr-FR"/>
        </w:rPr>
        <w:t>de L’Habitat, de L’Urbanisme et de L’Aménagement du Territoire</w:t>
      </w:r>
      <w:bookmarkEnd w:id="440"/>
      <w:r w:rsidRPr="00976E9F">
        <w:rPr>
          <w:rFonts w:asciiTheme="majorBidi" w:eastAsia="Times New Roman" w:hAnsiTheme="majorBidi" w:cstheme="majorBidi"/>
          <w:b/>
          <w:bCs/>
          <w:sz w:val="24"/>
          <w:szCs w:val="24"/>
          <w:lang w:eastAsia="fr-FR"/>
        </w:rPr>
        <w:t xml:space="preserve"> et son exposition aux impacts du changement climatique.</w:t>
      </w:r>
    </w:p>
    <w:p w14:paraId="358CAF30" w14:textId="77777777" w:rsidR="00BC6C8B" w:rsidRPr="006E576D" w:rsidRDefault="00BC6C8B" w:rsidP="00BC6C8B">
      <w:pPr>
        <w:ind w:right="-284"/>
        <w:jc w:val="both"/>
        <w:rPr>
          <w:rFonts w:asciiTheme="majorBidi" w:hAnsiTheme="majorBidi" w:cstheme="majorBidi"/>
          <w:sz w:val="24"/>
          <w:szCs w:val="24"/>
        </w:rPr>
      </w:pPr>
      <w:r w:rsidRPr="006E576D">
        <w:rPr>
          <w:rFonts w:asciiTheme="majorBidi" w:hAnsiTheme="majorBidi" w:cstheme="majorBidi"/>
          <w:sz w:val="24"/>
          <w:szCs w:val="24"/>
        </w:rPr>
        <w:t>Depuis plusieurs décennies, la Mauritanie connaît une croissance démographique soutenue, particulièrement concentrée dans ses centres urbains. L'urbanisation rapide est principalement alimentée par la migration des populations rurales vers les villes, motivée par la recherche d'opportunités économiques, l'accès à des services de base et l'amélioration des conditions de vie. Cette croissance non maîtrisée pose des défis importants en matière de gestion urbaine, d’accès au foncier, et de l'offre de logements adéquats. La pression sur les infrastructures et les services urbains est particulièrement forte, et aggrave les inégalités sociales et la formation de quartiers informels.</w:t>
      </w:r>
    </w:p>
    <w:p w14:paraId="71298EEA" w14:textId="77777777" w:rsidR="00BC6C8B" w:rsidRPr="006E576D" w:rsidRDefault="00BC6C8B" w:rsidP="00BC6C8B">
      <w:pPr>
        <w:jc w:val="both"/>
        <w:rPr>
          <w:rFonts w:asciiTheme="majorBidi" w:hAnsiTheme="majorBidi" w:cstheme="majorBidi"/>
          <w:sz w:val="24"/>
          <w:szCs w:val="24"/>
        </w:rPr>
      </w:pPr>
      <w:r w:rsidRPr="006E576D">
        <w:rPr>
          <w:rFonts w:asciiTheme="majorBidi" w:hAnsiTheme="majorBidi" w:cstheme="majorBidi"/>
          <w:sz w:val="24"/>
          <w:szCs w:val="24"/>
        </w:rPr>
        <w:t>L'évolution démographique en Mauritanie montre u</w:t>
      </w:r>
      <w:r>
        <w:rPr>
          <w:rFonts w:asciiTheme="majorBidi" w:hAnsiTheme="majorBidi" w:cstheme="majorBidi"/>
          <w:sz w:val="24"/>
          <w:szCs w:val="24"/>
        </w:rPr>
        <w:t xml:space="preserve">ne augmentation constante de la </w:t>
      </w:r>
      <w:r w:rsidRPr="006E576D">
        <w:rPr>
          <w:rFonts w:asciiTheme="majorBidi" w:hAnsiTheme="majorBidi" w:cstheme="majorBidi"/>
          <w:sz w:val="24"/>
          <w:szCs w:val="24"/>
        </w:rPr>
        <w:t>Population urbaine. Entre 2003 et 2022, la populat</w:t>
      </w:r>
      <w:r>
        <w:rPr>
          <w:rFonts w:asciiTheme="majorBidi" w:hAnsiTheme="majorBidi" w:cstheme="majorBidi"/>
          <w:sz w:val="24"/>
          <w:szCs w:val="24"/>
        </w:rPr>
        <w:t xml:space="preserve">ion urbaine a augmenté de façon </w:t>
      </w:r>
      <w:r w:rsidRPr="006E576D">
        <w:rPr>
          <w:rFonts w:asciiTheme="majorBidi" w:hAnsiTheme="majorBidi" w:cstheme="majorBidi"/>
          <w:sz w:val="24"/>
          <w:szCs w:val="24"/>
        </w:rPr>
        <w:t>Significative, passant de 2,90 à 4,18 millions d'habitant</w:t>
      </w:r>
      <w:r>
        <w:rPr>
          <w:rFonts w:asciiTheme="majorBidi" w:hAnsiTheme="majorBidi" w:cstheme="majorBidi"/>
          <w:sz w:val="24"/>
          <w:szCs w:val="24"/>
        </w:rPr>
        <w:t xml:space="preserve">. Cette progression reflète une </w:t>
      </w:r>
      <w:r w:rsidRPr="006E576D">
        <w:rPr>
          <w:rFonts w:asciiTheme="majorBidi" w:hAnsiTheme="majorBidi" w:cstheme="majorBidi"/>
          <w:sz w:val="24"/>
          <w:szCs w:val="24"/>
        </w:rPr>
        <w:t>Migration continue des zones rurales vers les centres urbains, ainsi qu'un taux de croissance démographique naturel élevé. La capitale Nouakchott, en particulier, a absorbé une grande partie de cette croissance, avec une population qui dépasse désormais 1,431,5391 habitants, contre 626,913 habitants en 2003.</w:t>
      </w:r>
    </w:p>
    <w:p w14:paraId="625C95FA" w14:textId="77777777" w:rsidR="00BC6C8B" w:rsidRDefault="00BC6C8B" w:rsidP="00BC6C8B">
      <w:pPr>
        <w:jc w:val="both"/>
        <w:rPr>
          <w:rFonts w:asciiTheme="majorBidi" w:hAnsiTheme="majorBidi" w:cstheme="majorBidi"/>
          <w:sz w:val="24"/>
          <w:szCs w:val="24"/>
        </w:rPr>
      </w:pPr>
      <w:r w:rsidRPr="006E576D">
        <w:rPr>
          <w:rFonts w:asciiTheme="majorBidi" w:hAnsiTheme="majorBidi" w:cstheme="majorBidi"/>
          <w:sz w:val="24"/>
          <w:szCs w:val="24"/>
        </w:rPr>
        <w:t>Le tableau ci-dessous illustre une augmentation continue et soutenue de la population urbaine entre 2003 et 2022. En 2003 elle représentait 1,25 million de personnes, soit 43 % de la population totale. En 2022, ce chiffre a presque doublé pour atteindre 2,74 millions de personnes, représentant désormais 65,6 % de la pop</w:t>
      </w:r>
      <w:r>
        <w:rPr>
          <w:rFonts w:asciiTheme="majorBidi" w:hAnsiTheme="majorBidi" w:cstheme="majorBidi"/>
          <w:sz w:val="24"/>
          <w:szCs w:val="24"/>
        </w:rPr>
        <w:t xml:space="preserve">ulation totale. Ce phénomène de </w:t>
      </w:r>
      <w:r w:rsidRPr="006E576D">
        <w:rPr>
          <w:rFonts w:asciiTheme="majorBidi" w:hAnsiTheme="majorBidi" w:cstheme="majorBidi"/>
          <w:sz w:val="24"/>
          <w:szCs w:val="24"/>
        </w:rPr>
        <w:t>Croissance urbaine reflète une forte migration des zones r</w:t>
      </w:r>
      <w:r>
        <w:rPr>
          <w:rFonts w:asciiTheme="majorBidi" w:hAnsiTheme="majorBidi" w:cstheme="majorBidi"/>
          <w:sz w:val="24"/>
          <w:szCs w:val="24"/>
        </w:rPr>
        <w:t xml:space="preserve">urales vers les zones urbaines, </w:t>
      </w:r>
      <w:r w:rsidRPr="006E576D">
        <w:rPr>
          <w:rFonts w:asciiTheme="majorBidi" w:hAnsiTheme="majorBidi" w:cstheme="majorBidi"/>
          <w:sz w:val="24"/>
          <w:szCs w:val="24"/>
        </w:rPr>
        <w:t>Alimentée par la recherche d’opportunités économiques, l’a</w:t>
      </w:r>
      <w:r>
        <w:rPr>
          <w:rFonts w:asciiTheme="majorBidi" w:hAnsiTheme="majorBidi" w:cstheme="majorBidi"/>
          <w:sz w:val="24"/>
          <w:szCs w:val="24"/>
        </w:rPr>
        <w:t xml:space="preserve">ccès à des meilleures </w:t>
      </w:r>
      <w:r w:rsidRPr="006E576D">
        <w:rPr>
          <w:rFonts w:asciiTheme="majorBidi" w:hAnsiTheme="majorBidi" w:cstheme="majorBidi"/>
          <w:sz w:val="24"/>
          <w:szCs w:val="24"/>
        </w:rPr>
        <w:t>Infrastructures, et l’attractivité des centres urbains, n</w:t>
      </w:r>
      <w:r>
        <w:rPr>
          <w:rFonts w:asciiTheme="majorBidi" w:hAnsiTheme="majorBidi" w:cstheme="majorBidi"/>
          <w:sz w:val="24"/>
          <w:szCs w:val="24"/>
        </w:rPr>
        <w:t>otamment pour les jeunes et les t</w:t>
      </w:r>
      <w:r w:rsidRPr="006E576D">
        <w:rPr>
          <w:rFonts w:asciiTheme="majorBidi" w:hAnsiTheme="majorBidi" w:cstheme="majorBidi"/>
          <w:sz w:val="24"/>
          <w:szCs w:val="24"/>
        </w:rPr>
        <w:t>ravailleurs</w:t>
      </w:r>
      <w:r>
        <w:rPr>
          <w:rFonts w:asciiTheme="majorBidi" w:hAnsiTheme="majorBidi" w:cstheme="majorBidi"/>
          <w:sz w:val="24"/>
          <w:szCs w:val="24"/>
        </w:rPr>
        <w:t xml:space="preserve"> en quête de meilleurs revenus.</w:t>
      </w:r>
    </w:p>
    <w:p w14:paraId="14F2721D" w14:textId="77777777" w:rsidR="00BC6C8B" w:rsidRDefault="00BC6C8B" w:rsidP="00BC6C8B">
      <w:pPr>
        <w:jc w:val="both"/>
        <w:rPr>
          <w:rFonts w:asciiTheme="majorBidi" w:hAnsiTheme="majorBidi" w:cstheme="majorBidi"/>
          <w:sz w:val="24"/>
          <w:szCs w:val="24"/>
        </w:rPr>
      </w:pPr>
      <w:r w:rsidRPr="006E576D">
        <w:rPr>
          <w:rFonts w:asciiTheme="majorBidi" w:hAnsiTheme="majorBidi" w:cstheme="majorBidi"/>
          <w:sz w:val="24"/>
          <w:szCs w:val="24"/>
        </w:rPr>
        <w:t>Le graphique ci-joint (figure) illustre visuellement cette tendance et met en évidence l'augmentation marquée de la population urbaine au fil des années</w:t>
      </w:r>
      <w:r>
        <w:rPr>
          <w:rFonts w:asciiTheme="majorBidi" w:hAnsiTheme="majorBidi" w:cstheme="majorBidi"/>
          <w:sz w:val="24"/>
          <w:szCs w:val="24"/>
        </w:rPr>
        <w:t>.</w:t>
      </w:r>
    </w:p>
    <w:p w14:paraId="3410714B" w14:textId="77777777" w:rsidR="00BC6C8B" w:rsidRPr="009651C3" w:rsidRDefault="00BC6C8B" w:rsidP="00BC6C8B">
      <w:pPr>
        <w:spacing w:before="120" w:after="120"/>
        <w:jc w:val="center"/>
        <w:rPr>
          <w:rFonts w:ascii="Times New Roman" w:eastAsia="Times New Roman" w:hAnsi="Times New Roman" w:cs="Times New Roman"/>
          <w:b/>
          <w:bCs/>
          <w:color w:val="4472C4"/>
        </w:rPr>
      </w:pPr>
      <w:bookmarkStart w:id="441" w:name="_Toc177576932"/>
      <w:bookmarkStart w:id="442" w:name="_Toc178026196"/>
      <w:r w:rsidRPr="009651C3">
        <w:rPr>
          <w:rFonts w:ascii="Times New Roman" w:eastAsia="Times New Roman" w:hAnsi="Times New Roman" w:cs="Times New Roman"/>
          <w:b/>
          <w:bCs/>
          <w:color w:val="4472C4"/>
        </w:rPr>
        <w:t xml:space="preserve">Tableau </w:t>
      </w:r>
      <w:r w:rsidRPr="009651C3">
        <w:rPr>
          <w:rFonts w:ascii="Times New Roman" w:eastAsia="Times New Roman" w:hAnsi="Times New Roman" w:cs="Times New Roman"/>
          <w:b/>
          <w:bCs/>
          <w:color w:val="4472C4"/>
        </w:rPr>
        <w:fldChar w:fldCharType="begin"/>
      </w:r>
      <w:r w:rsidRPr="009651C3">
        <w:rPr>
          <w:rFonts w:ascii="Times New Roman" w:eastAsia="Times New Roman" w:hAnsi="Times New Roman" w:cs="Times New Roman"/>
          <w:b/>
          <w:bCs/>
          <w:color w:val="4472C4"/>
        </w:rPr>
        <w:instrText xml:space="preserve"> SEQ Tableau \* ARABIC </w:instrText>
      </w:r>
      <w:r w:rsidRPr="009651C3">
        <w:rPr>
          <w:rFonts w:ascii="Times New Roman" w:eastAsia="Times New Roman" w:hAnsi="Times New Roman" w:cs="Times New Roman"/>
          <w:b/>
          <w:bCs/>
          <w:color w:val="4472C4"/>
        </w:rPr>
        <w:fldChar w:fldCharType="separate"/>
      </w:r>
      <w:r>
        <w:rPr>
          <w:rFonts w:ascii="Times New Roman" w:eastAsia="Times New Roman" w:hAnsi="Times New Roman" w:cs="Times New Roman"/>
          <w:b/>
          <w:bCs/>
          <w:noProof/>
          <w:color w:val="4472C4"/>
        </w:rPr>
        <w:t>1</w:t>
      </w:r>
      <w:r w:rsidRPr="009651C3">
        <w:rPr>
          <w:rFonts w:ascii="Times New Roman" w:eastAsia="Times New Roman" w:hAnsi="Times New Roman" w:cs="Times New Roman"/>
          <w:b/>
          <w:bCs/>
          <w:noProof/>
          <w:color w:val="4472C4"/>
        </w:rPr>
        <w:fldChar w:fldCharType="end"/>
      </w:r>
      <w:r w:rsidRPr="009651C3">
        <w:rPr>
          <w:rFonts w:ascii="Times New Roman" w:eastAsia="Times New Roman" w:hAnsi="Times New Roman" w:cs="Times New Roman"/>
          <w:b/>
          <w:bCs/>
          <w:color w:val="4472C4"/>
        </w:rPr>
        <w:t>: Évolution de la population en Mauritanie (2003-2022)</w:t>
      </w:r>
      <w:bookmarkEnd w:id="441"/>
      <w:bookmarkEnd w:id="442"/>
    </w:p>
    <w:tbl>
      <w:tblPr>
        <w:tblStyle w:val="GridTable1Light1"/>
        <w:tblW w:w="9121" w:type="dxa"/>
        <w:tblLook w:val="04A0" w:firstRow="1" w:lastRow="0" w:firstColumn="1" w:lastColumn="0" w:noHBand="0" w:noVBand="1"/>
      </w:tblPr>
      <w:tblGrid>
        <w:gridCol w:w="1243"/>
        <w:gridCol w:w="1846"/>
        <w:gridCol w:w="1846"/>
        <w:gridCol w:w="1846"/>
        <w:gridCol w:w="2340"/>
      </w:tblGrid>
      <w:tr w:rsidR="00BC6C8B" w:rsidRPr="009651C3" w14:paraId="115D5537" w14:textId="77777777" w:rsidTr="00EE0E2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75D70AE8"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Année</w:t>
            </w:r>
            <w:r>
              <w:rPr>
                <w:rFonts w:ascii="Calibri" w:eastAsia="Times New Roman" w:hAnsi="Calibri" w:cs="Calibri"/>
                <w:sz w:val="20"/>
                <w:szCs w:val="20"/>
              </w:rPr>
              <w:t>s</w:t>
            </w:r>
          </w:p>
        </w:tc>
        <w:tc>
          <w:tcPr>
            <w:tcW w:w="1846" w:type="dxa"/>
            <w:vAlign w:val="center"/>
            <w:hideMark/>
          </w:tcPr>
          <w:p w14:paraId="55CA5D1E" w14:textId="77777777" w:rsidR="00BC6C8B" w:rsidRPr="009651C3" w:rsidRDefault="00BC6C8B" w:rsidP="00EE0E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 xml:space="preserve">Population </w:t>
            </w:r>
            <w:proofErr w:type="spellStart"/>
            <w:r w:rsidRPr="009651C3">
              <w:rPr>
                <w:rFonts w:ascii="Calibri" w:eastAsia="Times New Roman" w:hAnsi="Calibri" w:cs="Calibri"/>
                <w:sz w:val="20"/>
                <w:szCs w:val="20"/>
              </w:rPr>
              <w:t>totale</w:t>
            </w:r>
            <w:proofErr w:type="spellEnd"/>
            <w:r w:rsidRPr="009651C3">
              <w:rPr>
                <w:rFonts w:ascii="Calibri" w:eastAsia="Times New Roman" w:hAnsi="Calibri" w:cs="Calibri"/>
                <w:sz w:val="20"/>
                <w:szCs w:val="20"/>
              </w:rPr>
              <w:t xml:space="preserve"> (millions)</w:t>
            </w:r>
          </w:p>
        </w:tc>
        <w:tc>
          <w:tcPr>
            <w:tcW w:w="1846" w:type="dxa"/>
            <w:vAlign w:val="center"/>
            <w:hideMark/>
          </w:tcPr>
          <w:p w14:paraId="4F632509" w14:textId="77777777" w:rsidR="00BC6C8B" w:rsidRPr="009651C3" w:rsidRDefault="00BC6C8B" w:rsidP="00EE0E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 xml:space="preserve">Population </w:t>
            </w:r>
            <w:proofErr w:type="spellStart"/>
            <w:r w:rsidRPr="009651C3">
              <w:rPr>
                <w:rFonts w:ascii="Calibri" w:eastAsia="Times New Roman" w:hAnsi="Calibri" w:cs="Calibri"/>
                <w:sz w:val="20"/>
                <w:szCs w:val="20"/>
              </w:rPr>
              <w:t>urbaine</w:t>
            </w:r>
            <w:proofErr w:type="spellEnd"/>
            <w:r w:rsidRPr="009651C3">
              <w:rPr>
                <w:rFonts w:ascii="Calibri" w:eastAsia="Times New Roman" w:hAnsi="Calibri" w:cs="Calibri"/>
                <w:sz w:val="20"/>
                <w:szCs w:val="20"/>
              </w:rPr>
              <w:t xml:space="preserve"> (millions)</w:t>
            </w:r>
          </w:p>
        </w:tc>
        <w:tc>
          <w:tcPr>
            <w:tcW w:w="1846" w:type="dxa"/>
            <w:vAlign w:val="center"/>
            <w:hideMark/>
          </w:tcPr>
          <w:p w14:paraId="29909BA5" w14:textId="77777777" w:rsidR="00BC6C8B" w:rsidRPr="009651C3" w:rsidRDefault="00BC6C8B" w:rsidP="00EE0E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 xml:space="preserve">Population </w:t>
            </w:r>
            <w:proofErr w:type="spellStart"/>
            <w:r w:rsidRPr="009651C3">
              <w:rPr>
                <w:rFonts w:ascii="Calibri" w:eastAsia="Times New Roman" w:hAnsi="Calibri" w:cs="Calibri"/>
                <w:sz w:val="20"/>
                <w:szCs w:val="20"/>
              </w:rPr>
              <w:t>rurale</w:t>
            </w:r>
            <w:proofErr w:type="spellEnd"/>
            <w:r w:rsidRPr="009651C3">
              <w:rPr>
                <w:rFonts w:ascii="Calibri" w:eastAsia="Times New Roman" w:hAnsi="Calibri" w:cs="Calibri"/>
                <w:sz w:val="20"/>
                <w:szCs w:val="20"/>
              </w:rPr>
              <w:t xml:space="preserve"> (millions)</w:t>
            </w:r>
          </w:p>
        </w:tc>
        <w:tc>
          <w:tcPr>
            <w:tcW w:w="2340" w:type="dxa"/>
            <w:vAlign w:val="center"/>
            <w:hideMark/>
          </w:tcPr>
          <w:p w14:paraId="2BAFC676" w14:textId="77777777" w:rsidR="00BC6C8B" w:rsidRPr="009651C3" w:rsidRDefault="00BC6C8B" w:rsidP="00EE0E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 xml:space="preserve">Taux </w:t>
            </w:r>
            <w:proofErr w:type="spellStart"/>
            <w:r w:rsidRPr="009651C3">
              <w:rPr>
                <w:rFonts w:ascii="Calibri" w:eastAsia="Times New Roman" w:hAnsi="Calibri" w:cs="Calibri"/>
                <w:sz w:val="20"/>
                <w:szCs w:val="20"/>
              </w:rPr>
              <w:t>d'urbanisation</w:t>
            </w:r>
            <w:proofErr w:type="spellEnd"/>
            <w:r w:rsidRPr="009651C3">
              <w:rPr>
                <w:rFonts w:ascii="Calibri" w:eastAsia="Times New Roman" w:hAnsi="Calibri" w:cs="Calibri"/>
                <w:sz w:val="20"/>
                <w:szCs w:val="20"/>
              </w:rPr>
              <w:t xml:space="preserve"> (%)</w:t>
            </w:r>
          </w:p>
        </w:tc>
      </w:tr>
      <w:tr w:rsidR="00BC6C8B" w:rsidRPr="009651C3" w14:paraId="4D342AF4"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449AE93C"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2003</w:t>
            </w:r>
          </w:p>
        </w:tc>
        <w:tc>
          <w:tcPr>
            <w:tcW w:w="1846" w:type="dxa"/>
            <w:vAlign w:val="center"/>
            <w:hideMark/>
          </w:tcPr>
          <w:p w14:paraId="05F27CDD"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bookmarkStart w:id="443" w:name="_Hlk177766848"/>
            <w:r w:rsidRPr="009651C3">
              <w:rPr>
                <w:rFonts w:ascii="Calibri" w:eastAsia="Times New Roman" w:hAnsi="Calibri" w:cs="Calibri"/>
                <w:sz w:val="20"/>
                <w:szCs w:val="20"/>
              </w:rPr>
              <w:t>2,90</w:t>
            </w:r>
            <w:bookmarkEnd w:id="443"/>
          </w:p>
        </w:tc>
        <w:tc>
          <w:tcPr>
            <w:tcW w:w="1846" w:type="dxa"/>
            <w:vAlign w:val="center"/>
            <w:hideMark/>
          </w:tcPr>
          <w:p w14:paraId="42ACEA80"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1,25</w:t>
            </w:r>
          </w:p>
        </w:tc>
        <w:tc>
          <w:tcPr>
            <w:tcW w:w="1846" w:type="dxa"/>
            <w:vAlign w:val="center"/>
            <w:hideMark/>
          </w:tcPr>
          <w:p w14:paraId="7EACFD86"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1,65</w:t>
            </w:r>
          </w:p>
        </w:tc>
        <w:tc>
          <w:tcPr>
            <w:tcW w:w="2340" w:type="dxa"/>
            <w:vAlign w:val="center"/>
            <w:hideMark/>
          </w:tcPr>
          <w:p w14:paraId="4D86F364"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43,10</w:t>
            </w:r>
          </w:p>
        </w:tc>
      </w:tr>
      <w:tr w:rsidR="00BC6C8B" w:rsidRPr="009651C3" w14:paraId="6FE0CDBC"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6560B47F"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2004</w:t>
            </w:r>
          </w:p>
        </w:tc>
        <w:tc>
          <w:tcPr>
            <w:tcW w:w="1846" w:type="dxa"/>
            <w:vAlign w:val="center"/>
            <w:hideMark/>
          </w:tcPr>
          <w:p w14:paraId="49F94E84"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2,95</w:t>
            </w:r>
          </w:p>
        </w:tc>
        <w:tc>
          <w:tcPr>
            <w:tcW w:w="1846" w:type="dxa"/>
            <w:vAlign w:val="center"/>
            <w:hideMark/>
          </w:tcPr>
          <w:p w14:paraId="7C460ABF"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1,30</w:t>
            </w:r>
          </w:p>
        </w:tc>
        <w:tc>
          <w:tcPr>
            <w:tcW w:w="1846" w:type="dxa"/>
            <w:vAlign w:val="center"/>
            <w:hideMark/>
          </w:tcPr>
          <w:p w14:paraId="261737B3"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1,65</w:t>
            </w:r>
          </w:p>
        </w:tc>
        <w:tc>
          <w:tcPr>
            <w:tcW w:w="2340" w:type="dxa"/>
            <w:vAlign w:val="center"/>
            <w:hideMark/>
          </w:tcPr>
          <w:p w14:paraId="63C0A0AC"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44,10</w:t>
            </w:r>
          </w:p>
        </w:tc>
      </w:tr>
      <w:tr w:rsidR="00BC6C8B" w:rsidRPr="009651C3" w14:paraId="5A4B7384"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1E418AAD"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2005</w:t>
            </w:r>
          </w:p>
        </w:tc>
        <w:tc>
          <w:tcPr>
            <w:tcW w:w="1846" w:type="dxa"/>
            <w:vAlign w:val="center"/>
            <w:hideMark/>
          </w:tcPr>
          <w:p w14:paraId="5371DF8B"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3,00</w:t>
            </w:r>
          </w:p>
        </w:tc>
        <w:tc>
          <w:tcPr>
            <w:tcW w:w="1846" w:type="dxa"/>
            <w:vAlign w:val="center"/>
            <w:hideMark/>
          </w:tcPr>
          <w:p w14:paraId="5299C963"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1,35</w:t>
            </w:r>
          </w:p>
        </w:tc>
        <w:tc>
          <w:tcPr>
            <w:tcW w:w="1846" w:type="dxa"/>
            <w:vAlign w:val="center"/>
            <w:hideMark/>
          </w:tcPr>
          <w:p w14:paraId="70CFB866"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1,65</w:t>
            </w:r>
          </w:p>
        </w:tc>
        <w:tc>
          <w:tcPr>
            <w:tcW w:w="2340" w:type="dxa"/>
            <w:vAlign w:val="center"/>
            <w:hideMark/>
          </w:tcPr>
          <w:p w14:paraId="6BE20E4C"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45,00</w:t>
            </w:r>
          </w:p>
        </w:tc>
      </w:tr>
      <w:tr w:rsidR="00BC6C8B" w:rsidRPr="009651C3" w14:paraId="3ED2237E"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1B9B7D2D"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2006</w:t>
            </w:r>
          </w:p>
        </w:tc>
        <w:tc>
          <w:tcPr>
            <w:tcW w:w="1846" w:type="dxa"/>
            <w:vAlign w:val="center"/>
            <w:hideMark/>
          </w:tcPr>
          <w:p w14:paraId="371DE23E"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3,05</w:t>
            </w:r>
          </w:p>
        </w:tc>
        <w:tc>
          <w:tcPr>
            <w:tcW w:w="1846" w:type="dxa"/>
            <w:vAlign w:val="center"/>
            <w:hideMark/>
          </w:tcPr>
          <w:p w14:paraId="107D3586"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1,40</w:t>
            </w:r>
          </w:p>
        </w:tc>
        <w:tc>
          <w:tcPr>
            <w:tcW w:w="1846" w:type="dxa"/>
            <w:vAlign w:val="center"/>
            <w:hideMark/>
          </w:tcPr>
          <w:p w14:paraId="2E7B16B8"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1,65</w:t>
            </w:r>
          </w:p>
        </w:tc>
        <w:tc>
          <w:tcPr>
            <w:tcW w:w="2340" w:type="dxa"/>
            <w:vAlign w:val="center"/>
            <w:hideMark/>
          </w:tcPr>
          <w:p w14:paraId="43235DCC"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45,90</w:t>
            </w:r>
          </w:p>
        </w:tc>
      </w:tr>
      <w:tr w:rsidR="00BC6C8B" w:rsidRPr="009651C3" w14:paraId="39BBBFFD"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1EA85E16"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2007</w:t>
            </w:r>
          </w:p>
        </w:tc>
        <w:tc>
          <w:tcPr>
            <w:tcW w:w="1846" w:type="dxa"/>
            <w:vAlign w:val="center"/>
            <w:hideMark/>
          </w:tcPr>
          <w:p w14:paraId="3C2E2625"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3,11</w:t>
            </w:r>
          </w:p>
        </w:tc>
        <w:tc>
          <w:tcPr>
            <w:tcW w:w="1846" w:type="dxa"/>
            <w:vAlign w:val="center"/>
            <w:hideMark/>
          </w:tcPr>
          <w:p w14:paraId="517A1D1A"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1,46</w:t>
            </w:r>
          </w:p>
        </w:tc>
        <w:tc>
          <w:tcPr>
            <w:tcW w:w="1846" w:type="dxa"/>
            <w:vAlign w:val="center"/>
            <w:hideMark/>
          </w:tcPr>
          <w:p w14:paraId="54BB491C"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1,65</w:t>
            </w:r>
          </w:p>
        </w:tc>
        <w:tc>
          <w:tcPr>
            <w:tcW w:w="2340" w:type="dxa"/>
            <w:vAlign w:val="center"/>
            <w:hideMark/>
          </w:tcPr>
          <w:p w14:paraId="2FF088C5"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46,90</w:t>
            </w:r>
          </w:p>
        </w:tc>
      </w:tr>
      <w:tr w:rsidR="00BC6C8B" w:rsidRPr="009651C3" w14:paraId="360EBC68"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72C11F41"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2008</w:t>
            </w:r>
          </w:p>
        </w:tc>
        <w:tc>
          <w:tcPr>
            <w:tcW w:w="1846" w:type="dxa"/>
            <w:vAlign w:val="center"/>
            <w:hideMark/>
          </w:tcPr>
          <w:p w14:paraId="75D8F25A"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3,17</w:t>
            </w:r>
          </w:p>
        </w:tc>
        <w:tc>
          <w:tcPr>
            <w:tcW w:w="1846" w:type="dxa"/>
            <w:vAlign w:val="center"/>
            <w:hideMark/>
          </w:tcPr>
          <w:p w14:paraId="1ED65CB6"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1,53</w:t>
            </w:r>
          </w:p>
        </w:tc>
        <w:tc>
          <w:tcPr>
            <w:tcW w:w="1846" w:type="dxa"/>
            <w:vAlign w:val="center"/>
            <w:hideMark/>
          </w:tcPr>
          <w:p w14:paraId="20AF68E4"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1,64</w:t>
            </w:r>
          </w:p>
        </w:tc>
        <w:tc>
          <w:tcPr>
            <w:tcW w:w="2340" w:type="dxa"/>
            <w:vAlign w:val="center"/>
            <w:hideMark/>
          </w:tcPr>
          <w:p w14:paraId="0457C434"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48,30</w:t>
            </w:r>
          </w:p>
        </w:tc>
      </w:tr>
      <w:tr w:rsidR="00BC6C8B" w:rsidRPr="009651C3" w14:paraId="672DB866"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6E5EC07D"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2009</w:t>
            </w:r>
          </w:p>
        </w:tc>
        <w:tc>
          <w:tcPr>
            <w:tcW w:w="1846" w:type="dxa"/>
            <w:vAlign w:val="center"/>
            <w:hideMark/>
          </w:tcPr>
          <w:p w14:paraId="440B6C07"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3,23</w:t>
            </w:r>
          </w:p>
        </w:tc>
        <w:tc>
          <w:tcPr>
            <w:tcW w:w="1846" w:type="dxa"/>
            <w:vAlign w:val="center"/>
            <w:hideMark/>
          </w:tcPr>
          <w:p w14:paraId="053C22B0"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1,60</w:t>
            </w:r>
          </w:p>
        </w:tc>
        <w:tc>
          <w:tcPr>
            <w:tcW w:w="1846" w:type="dxa"/>
            <w:vAlign w:val="center"/>
            <w:hideMark/>
          </w:tcPr>
          <w:p w14:paraId="6F0B5AC1"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1,63</w:t>
            </w:r>
          </w:p>
        </w:tc>
        <w:tc>
          <w:tcPr>
            <w:tcW w:w="2340" w:type="dxa"/>
            <w:vAlign w:val="center"/>
            <w:hideMark/>
          </w:tcPr>
          <w:p w14:paraId="21A58D62"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49,50</w:t>
            </w:r>
          </w:p>
        </w:tc>
      </w:tr>
      <w:tr w:rsidR="00BC6C8B" w:rsidRPr="009651C3" w14:paraId="11222088"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60080C0D"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2010</w:t>
            </w:r>
          </w:p>
        </w:tc>
        <w:tc>
          <w:tcPr>
            <w:tcW w:w="1846" w:type="dxa"/>
            <w:vAlign w:val="center"/>
            <w:hideMark/>
          </w:tcPr>
          <w:p w14:paraId="2FC33740"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3,29</w:t>
            </w:r>
          </w:p>
        </w:tc>
        <w:tc>
          <w:tcPr>
            <w:tcW w:w="1846" w:type="dxa"/>
            <w:vAlign w:val="center"/>
            <w:hideMark/>
          </w:tcPr>
          <w:p w14:paraId="6F2B54A2"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1,68</w:t>
            </w:r>
          </w:p>
        </w:tc>
        <w:tc>
          <w:tcPr>
            <w:tcW w:w="1846" w:type="dxa"/>
            <w:vAlign w:val="center"/>
            <w:hideMark/>
          </w:tcPr>
          <w:p w14:paraId="6C5AC881"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1,61</w:t>
            </w:r>
          </w:p>
        </w:tc>
        <w:tc>
          <w:tcPr>
            <w:tcW w:w="2340" w:type="dxa"/>
            <w:vAlign w:val="center"/>
            <w:hideMark/>
          </w:tcPr>
          <w:p w14:paraId="71CAEE3A"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51,10</w:t>
            </w:r>
          </w:p>
        </w:tc>
      </w:tr>
      <w:tr w:rsidR="00BC6C8B" w:rsidRPr="009651C3" w14:paraId="4A8A7316"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6546C5D0"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2011</w:t>
            </w:r>
          </w:p>
        </w:tc>
        <w:tc>
          <w:tcPr>
            <w:tcW w:w="1846" w:type="dxa"/>
            <w:vAlign w:val="center"/>
            <w:hideMark/>
          </w:tcPr>
          <w:p w14:paraId="671FB68B"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3,36</w:t>
            </w:r>
          </w:p>
        </w:tc>
        <w:tc>
          <w:tcPr>
            <w:tcW w:w="1846" w:type="dxa"/>
            <w:vAlign w:val="center"/>
            <w:hideMark/>
          </w:tcPr>
          <w:p w14:paraId="46AAE79C"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1,76</w:t>
            </w:r>
          </w:p>
        </w:tc>
        <w:tc>
          <w:tcPr>
            <w:tcW w:w="1846" w:type="dxa"/>
            <w:vAlign w:val="center"/>
            <w:hideMark/>
          </w:tcPr>
          <w:p w14:paraId="258421D7"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1,60</w:t>
            </w:r>
          </w:p>
        </w:tc>
        <w:tc>
          <w:tcPr>
            <w:tcW w:w="2340" w:type="dxa"/>
            <w:vAlign w:val="center"/>
            <w:hideMark/>
          </w:tcPr>
          <w:p w14:paraId="59130A99"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52,40</w:t>
            </w:r>
          </w:p>
        </w:tc>
      </w:tr>
      <w:tr w:rsidR="00BC6C8B" w:rsidRPr="009651C3" w14:paraId="438FE7B8"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3C6DF539"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2012</w:t>
            </w:r>
          </w:p>
        </w:tc>
        <w:tc>
          <w:tcPr>
            <w:tcW w:w="1846" w:type="dxa"/>
            <w:vAlign w:val="center"/>
            <w:hideMark/>
          </w:tcPr>
          <w:p w14:paraId="61656A91"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3,42</w:t>
            </w:r>
          </w:p>
        </w:tc>
        <w:tc>
          <w:tcPr>
            <w:tcW w:w="1846" w:type="dxa"/>
            <w:vAlign w:val="center"/>
            <w:hideMark/>
          </w:tcPr>
          <w:p w14:paraId="0AB614DF"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1,84</w:t>
            </w:r>
          </w:p>
        </w:tc>
        <w:tc>
          <w:tcPr>
            <w:tcW w:w="1846" w:type="dxa"/>
            <w:vAlign w:val="center"/>
            <w:hideMark/>
          </w:tcPr>
          <w:p w14:paraId="064B5A79"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1,58</w:t>
            </w:r>
          </w:p>
        </w:tc>
        <w:tc>
          <w:tcPr>
            <w:tcW w:w="2340" w:type="dxa"/>
            <w:vAlign w:val="center"/>
            <w:hideMark/>
          </w:tcPr>
          <w:p w14:paraId="13DA94EC"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53,80</w:t>
            </w:r>
          </w:p>
        </w:tc>
      </w:tr>
      <w:tr w:rsidR="00BC6C8B" w:rsidRPr="009651C3" w14:paraId="6EA1FCF9"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02B94A59"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2013</w:t>
            </w:r>
          </w:p>
        </w:tc>
        <w:tc>
          <w:tcPr>
            <w:tcW w:w="1846" w:type="dxa"/>
            <w:vAlign w:val="center"/>
            <w:hideMark/>
          </w:tcPr>
          <w:p w14:paraId="1965FD45"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3,49</w:t>
            </w:r>
          </w:p>
        </w:tc>
        <w:tc>
          <w:tcPr>
            <w:tcW w:w="1846" w:type="dxa"/>
            <w:vAlign w:val="center"/>
            <w:hideMark/>
          </w:tcPr>
          <w:p w14:paraId="78B1F7BD"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1,92</w:t>
            </w:r>
          </w:p>
        </w:tc>
        <w:tc>
          <w:tcPr>
            <w:tcW w:w="1846" w:type="dxa"/>
            <w:vAlign w:val="center"/>
            <w:hideMark/>
          </w:tcPr>
          <w:p w14:paraId="5E79FCED"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1,57</w:t>
            </w:r>
          </w:p>
        </w:tc>
        <w:tc>
          <w:tcPr>
            <w:tcW w:w="2340" w:type="dxa"/>
            <w:vAlign w:val="center"/>
            <w:hideMark/>
          </w:tcPr>
          <w:p w14:paraId="08E90643"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55,00</w:t>
            </w:r>
          </w:p>
        </w:tc>
      </w:tr>
      <w:tr w:rsidR="00BC6C8B" w:rsidRPr="009651C3" w14:paraId="39029A65"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5772C4FB"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2014</w:t>
            </w:r>
          </w:p>
        </w:tc>
        <w:tc>
          <w:tcPr>
            <w:tcW w:w="1846" w:type="dxa"/>
            <w:vAlign w:val="center"/>
            <w:hideMark/>
          </w:tcPr>
          <w:p w14:paraId="68FBBA02"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3,56</w:t>
            </w:r>
          </w:p>
        </w:tc>
        <w:tc>
          <w:tcPr>
            <w:tcW w:w="1846" w:type="dxa"/>
            <w:vAlign w:val="center"/>
            <w:hideMark/>
          </w:tcPr>
          <w:p w14:paraId="1C1BBCFD"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2,00</w:t>
            </w:r>
          </w:p>
        </w:tc>
        <w:tc>
          <w:tcPr>
            <w:tcW w:w="1846" w:type="dxa"/>
            <w:vAlign w:val="center"/>
            <w:hideMark/>
          </w:tcPr>
          <w:p w14:paraId="6F2DFCB7"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1,56</w:t>
            </w:r>
          </w:p>
        </w:tc>
        <w:tc>
          <w:tcPr>
            <w:tcW w:w="2340" w:type="dxa"/>
            <w:vAlign w:val="center"/>
            <w:hideMark/>
          </w:tcPr>
          <w:p w14:paraId="5244EB45"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56,20</w:t>
            </w:r>
          </w:p>
        </w:tc>
      </w:tr>
      <w:tr w:rsidR="00BC6C8B" w:rsidRPr="009651C3" w14:paraId="44E0AB87"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33E9F6D9"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2015</w:t>
            </w:r>
          </w:p>
        </w:tc>
        <w:tc>
          <w:tcPr>
            <w:tcW w:w="1846" w:type="dxa"/>
            <w:vAlign w:val="center"/>
            <w:hideMark/>
          </w:tcPr>
          <w:p w14:paraId="31AFBAB9"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3,63</w:t>
            </w:r>
          </w:p>
        </w:tc>
        <w:tc>
          <w:tcPr>
            <w:tcW w:w="1846" w:type="dxa"/>
            <w:vAlign w:val="center"/>
            <w:hideMark/>
          </w:tcPr>
          <w:p w14:paraId="3D9B2785"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2,08</w:t>
            </w:r>
          </w:p>
        </w:tc>
        <w:tc>
          <w:tcPr>
            <w:tcW w:w="1846" w:type="dxa"/>
            <w:vAlign w:val="center"/>
            <w:hideMark/>
          </w:tcPr>
          <w:p w14:paraId="0447EAC4"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1,55</w:t>
            </w:r>
          </w:p>
        </w:tc>
        <w:tc>
          <w:tcPr>
            <w:tcW w:w="2340" w:type="dxa"/>
            <w:vAlign w:val="center"/>
            <w:hideMark/>
          </w:tcPr>
          <w:p w14:paraId="560625B0"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57,30</w:t>
            </w:r>
          </w:p>
        </w:tc>
      </w:tr>
      <w:tr w:rsidR="00BC6C8B" w:rsidRPr="009651C3" w14:paraId="1009F72C"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7A2124AB"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2016</w:t>
            </w:r>
          </w:p>
        </w:tc>
        <w:tc>
          <w:tcPr>
            <w:tcW w:w="1846" w:type="dxa"/>
            <w:vAlign w:val="center"/>
            <w:hideMark/>
          </w:tcPr>
          <w:p w14:paraId="6488B106"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3,71</w:t>
            </w:r>
          </w:p>
        </w:tc>
        <w:tc>
          <w:tcPr>
            <w:tcW w:w="1846" w:type="dxa"/>
            <w:vAlign w:val="center"/>
            <w:hideMark/>
          </w:tcPr>
          <w:p w14:paraId="6AFC2B96"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2,17</w:t>
            </w:r>
          </w:p>
        </w:tc>
        <w:tc>
          <w:tcPr>
            <w:tcW w:w="1846" w:type="dxa"/>
            <w:vAlign w:val="center"/>
            <w:hideMark/>
          </w:tcPr>
          <w:p w14:paraId="672115B9"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1,54</w:t>
            </w:r>
          </w:p>
        </w:tc>
        <w:tc>
          <w:tcPr>
            <w:tcW w:w="2340" w:type="dxa"/>
            <w:vAlign w:val="center"/>
            <w:hideMark/>
          </w:tcPr>
          <w:p w14:paraId="7B4B3A56"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58,50</w:t>
            </w:r>
          </w:p>
        </w:tc>
      </w:tr>
      <w:tr w:rsidR="00BC6C8B" w:rsidRPr="009651C3" w14:paraId="501C69D1"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695C0542"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2017</w:t>
            </w:r>
          </w:p>
        </w:tc>
        <w:tc>
          <w:tcPr>
            <w:tcW w:w="1846" w:type="dxa"/>
            <w:vAlign w:val="center"/>
            <w:hideMark/>
          </w:tcPr>
          <w:p w14:paraId="0A42B09D"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3,78</w:t>
            </w:r>
          </w:p>
        </w:tc>
        <w:tc>
          <w:tcPr>
            <w:tcW w:w="1846" w:type="dxa"/>
            <w:vAlign w:val="center"/>
            <w:hideMark/>
          </w:tcPr>
          <w:p w14:paraId="3B7E1F46"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2,26</w:t>
            </w:r>
          </w:p>
        </w:tc>
        <w:tc>
          <w:tcPr>
            <w:tcW w:w="1846" w:type="dxa"/>
            <w:vAlign w:val="center"/>
            <w:hideMark/>
          </w:tcPr>
          <w:p w14:paraId="708288A8"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1,52</w:t>
            </w:r>
          </w:p>
        </w:tc>
        <w:tc>
          <w:tcPr>
            <w:tcW w:w="2340" w:type="dxa"/>
            <w:vAlign w:val="center"/>
            <w:hideMark/>
          </w:tcPr>
          <w:p w14:paraId="5AC19921"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59,70</w:t>
            </w:r>
          </w:p>
        </w:tc>
      </w:tr>
      <w:tr w:rsidR="00BC6C8B" w:rsidRPr="009651C3" w14:paraId="006F1FC4"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6D14672A"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2018</w:t>
            </w:r>
          </w:p>
        </w:tc>
        <w:tc>
          <w:tcPr>
            <w:tcW w:w="1846" w:type="dxa"/>
            <w:vAlign w:val="center"/>
            <w:hideMark/>
          </w:tcPr>
          <w:p w14:paraId="42C6BA35"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3,86</w:t>
            </w:r>
          </w:p>
        </w:tc>
        <w:tc>
          <w:tcPr>
            <w:tcW w:w="1846" w:type="dxa"/>
            <w:vAlign w:val="center"/>
            <w:hideMark/>
          </w:tcPr>
          <w:p w14:paraId="5CE25825"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2,35</w:t>
            </w:r>
          </w:p>
        </w:tc>
        <w:tc>
          <w:tcPr>
            <w:tcW w:w="1846" w:type="dxa"/>
            <w:vAlign w:val="center"/>
            <w:hideMark/>
          </w:tcPr>
          <w:p w14:paraId="725C7BEC"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1,51</w:t>
            </w:r>
          </w:p>
        </w:tc>
        <w:tc>
          <w:tcPr>
            <w:tcW w:w="2340" w:type="dxa"/>
            <w:vAlign w:val="center"/>
            <w:hideMark/>
          </w:tcPr>
          <w:p w14:paraId="610B0FEF"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60,90</w:t>
            </w:r>
          </w:p>
        </w:tc>
      </w:tr>
      <w:tr w:rsidR="00BC6C8B" w:rsidRPr="009651C3" w14:paraId="4EFA0132"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422250CF"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2019</w:t>
            </w:r>
          </w:p>
        </w:tc>
        <w:tc>
          <w:tcPr>
            <w:tcW w:w="1846" w:type="dxa"/>
            <w:vAlign w:val="center"/>
            <w:hideMark/>
          </w:tcPr>
          <w:p w14:paraId="3982EE4A"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3,94</w:t>
            </w:r>
          </w:p>
        </w:tc>
        <w:tc>
          <w:tcPr>
            <w:tcW w:w="1846" w:type="dxa"/>
            <w:vAlign w:val="center"/>
            <w:hideMark/>
          </w:tcPr>
          <w:p w14:paraId="6EFC710F"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2,44</w:t>
            </w:r>
          </w:p>
        </w:tc>
        <w:tc>
          <w:tcPr>
            <w:tcW w:w="1846" w:type="dxa"/>
            <w:vAlign w:val="center"/>
            <w:hideMark/>
          </w:tcPr>
          <w:p w14:paraId="658A4708"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1,50</w:t>
            </w:r>
          </w:p>
        </w:tc>
        <w:tc>
          <w:tcPr>
            <w:tcW w:w="2340" w:type="dxa"/>
            <w:vAlign w:val="center"/>
            <w:hideMark/>
          </w:tcPr>
          <w:p w14:paraId="04D3DE0B"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61,90</w:t>
            </w:r>
          </w:p>
        </w:tc>
      </w:tr>
      <w:tr w:rsidR="00BC6C8B" w:rsidRPr="009651C3" w14:paraId="36898E9E"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680CB3A7"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2020</w:t>
            </w:r>
          </w:p>
        </w:tc>
        <w:tc>
          <w:tcPr>
            <w:tcW w:w="1846" w:type="dxa"/>
            <w:vAlign w:val="center"/>
            <w:hideMark/>
          </w:tcPr>
          <w:p w14:paraId="4A54FB5D"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4,02</w:t>
            </w:r>
          </w:p>
        </w:tc>
        <w:tc>
          <w:tcPr>
            <w:tcW w:w="1846" w:type="dxa"/>
            <w:vAlign w:val="center"/>
            <w:hideMark/>
          </w:tcPr>
          <w:p w14:paraId="393BF5A1"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2,54</w:t>
            </w:r>
          </w:p>
        </w:tc>
        <w:tc>
          <w:tcPr>
            <w:tcW w:w="1846" w:type="dxa"/>
            <w:vAlign w:val="center"/>
            <w:hideMark/>
          </w:tcPr>
          <w:p w14:paraId="4C4AE8F8"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1,48</w:t>
            </w:r>
          </w:p>
        </w:tc>
        <w:tc>
          <w:tcPr>
            <w:tcW w:w="2340" w:type="dxa"/>
            <w:vAlign w:val="center"/>
            <w:hideMark/>
          </w:tcPr>
          <w:p w14:paraId="70D856DF"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63,10</w:t>
            </w:r>
          </w:p>
        </w:tc>
      </w:tr>
      <w:tr w:rsidR="00BC6C8B" w:rsidRPr="009651C3" w14:paraId="688DC7C8"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56310290"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2021</w:t>
            </w:r>
          </w:p>
        </w:tc>
        <w:tc>
          <w:tcPr>
            <w:tcW w:w="1846" w:type="dxa"/>
            <w:vAlign w:val="center"/>
            <w:hideMark/>
          </w:tcPr>
          <w:p w14:paraId="313C2CE0"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4,10</w:t>
            </w:r>
          </w:p>
        </w:tc>
        <w:tc>
          <w:tcPr>
            <w:tcW w:w="1846" w:type="dxa"/>
            <w:vAlign w:val="center"/>
            <w:hideMark/>
          </w:tcPr>
          <w:p w14:paraId="6C9249B1"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2,64</w:t>
            </w:r>
          </w:p>
        </w:tc>
        <w:tc>
          <w:tcPr>
            <w:tcW w:w="1846" w:type="dxa"/>
            <w:vAlign w:val="center"/>
            <w:hideMark/>
          </w:tcPr>
          <w:p w14:paraId="4321ED9B"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1,46</w:t>
            </w:r>
          </w:p>
        </w:tc>
        <w:tc>
          <w:tcPr>
            <w:tcW w:w="2340" w:type="dxa"/>
            <w:vAlign w:val="center"/>
            <w:hideMark/>
          </w:tcPr>
          <w:p w14:paraId="07A53924"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64,40</w:t>
            </w:r>
          </w:p>
        </w:tc>
      </w:tr>
      <w:tr w:rsidR="00BC6C8B" w:rsidRPr="009651C3" w14:paraId="0637AF39" w14:textId="77777777" w:rsidTr="00EE0E23">
        <w:trPr>
          <w:trHeight w:val="233"/>
        </w:trPr>
        <w:tc>
          <w:tcPr>
            <w:cnfStyle w:val="001000000000" w:firstRow="0" w:lastRow="0" w:firstColumn="1" w:lastColumn="0" w:oddVBand="0" w:evenVBand="0" w:oddHBand="0" w:evenHBand="0" w:firstRowFirstColumn="0" w:firstRowLastColumn="0" w:lastRowFirstColumn="0" w:lastRowLastColumn="0"/>
            <w:tcW w:w="1243" w:type="dxa"/>
            <w:vAlign w:val="center"/>
            <w:hideMark/>
          </w:tcPr>
          <w:p w14:paraId="22363C38" w14:textId="77777777" w:rsidR="00BC6C8B" w:rsidRPr="009651C3" w:rsidRDefault="00BC6C8B" w:rsidP="00EE0E23">
            <w:pPr>
              <w:jc w:val="center"/>
              <w:rPr>
                <w:rFonts w:ascii="Calibri" w:eastAsia="Times New Roman" w:hAnsi="Calibri" w:cs="Calibri"/>
                <w:sz w:val="20"/>
                <w:szCs w:val="20"/>
              </w:rPr>
            </w:pPr>
            <w:r w:rsidRPr="009651C3">
              <w:rPr>
                <w:rFonts w:ascii="Calibri" w:eastAsia="Times New Roman" w:hAnsi="Calibri" w:cs="Calibri"/>
                <w:sz w:val="20"/>
                <w:szCs w:val="20"/>
              </w:rPr>
              <w:t>2022</w:t>
            </w:r>
          </w:p>
        </w:tc>
        <w:tc>
          <w:tcPr>
            <w:tcW w:w="1846" w:type="dxa"/>
            <w:vAlign w:val="center"/>
            <w:hideMark/>
          </w:tcPr>
          <w:p w14:paraId="15B0EDCA"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4,18</w:t>
            </w:r>
          </w:p>
        </w:tc>
        <w:tc>
          <w:tcPr>
            <w:tcW w:w="1846" w:type="dxa"/>
            <w:vAlign w:val="center"/>
            <w:hideMark/>
          </w:tcPr>
          <w:p w14:paraId="3F9F0FC3"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2,74</w:t>
            </w:r>
          </w:p>
        </w:tc>
        <w:tc>
          <w:tcPr>
            <w:tcW w:w="1846" w:type="dxa"/>
            <w:vAlign w:val="center"/>
            <w:hideMark/>
          </w:tcPr>
          <w:p w14:paraId="542C7A37"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1,44</w:t>
            </w:r>
          </w:p>
        </w:tc>
        <w:tc>
          <w:tcPr>
            <w:tcW w:w="2340" w:type="dxa"/>
            <w:vAlign w:val="center"/>
            <w:hideMark/>
          </w:tcPr>
          <w:p w14:paraId="495969AB" w14:textId="77777777" w:rsidR="00BC6C8B" w:rsidRPr="009651C3" w:rsidRDefault="00BC6C8B" w:rsidP="00EE0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9651C3">
              <w:rPr>
                <w:rFonts w:ascii="Calibri" w:eastAsia="Times New Roman" w:hAnsi="Calibri" w:cs="Calibri"/>
                <w:sz w:val="20"/>
                <w:szCs w:val="20"/>
              </w:rPr>
              <w:t>65,60</w:t>
            </w:r>
          </w:p>
        </w:tc>
      </w:tr>
    </w:tbl>
    <w:p w14:paraId="2149D8FA" w14:textId="77777777" w:rsidR="00BC6C8B" w:rsidRDefault="00BC6C8B" w:rsidP="00BC6C8B">
      <w:pPr>
        <w:spacing w:after="0" w:line="360" w:lineRule="auto"/>
        <w:jc w:val="both"/>
        <w:rPr>
          <w:rFonts w:ascii="Calibri" w:eastAsia="Times New Roman" w:hAnsi="Calibri" w:cs="Calibri"/>
          <w:lang w:bidi="en-US"/>
        </w:rPr>
      </w:pPr>
      <w:r w:rsidRPr="00A4087C">
        <w:rPr>
          <w:rFonts w:ascii="Calibri" w:eastAsia="Times New Roman" w:hAnsi="Calibri" w:cs="Calibri"/>
          <w:lang w:bidi="en-US"/>
        </w:rPr>
        <w:t>Source : Banque Mondiale (World Bank) – rapports et indicateurs de développement sur la Mauritanie</w:t>
      </w:r>
    </w:p>
    <w:p w14:paraId="2915BC4C" w14:textId="77777777" w:rsidR="00BC6C8B" w:rsidRPr="00301A83" w:rsidRDefault="00BC6C8B" w:rsidP="00BC6C8B">
      <w:pPr>
        <w:spacing w:after="240" w:line="240" w:lineRule="auto"/>
        <w:rPr>
          <w:rFonts w:ascii="Calibri" w:eastAsia="Times New Roman" w:hAnsi="Calibri" w:cs="Calibri"/>
          <w:lang w:bidi="en-US"/>
        </w:rPr>
      </w:pPr>
      <w:r w:rsidRPr="00301A83">
        <w:rPr>
          <w:rFonts w:ascii="Calibri" w:eastAsia="Times New Roman" w:hAnsi="Calibri" w:cs="Calibri"/>
          <w:lang w:bidi="en-US"/>
        </w:rPr>
        <w:t xml:space="preserve">Population estimée à Nouakchott en 2022 </w:t>
      </w:r>
      <w:hyperlink r:id="rId220" w:history="1">
        <w:r w:rsidRPr="00301A83">
          <w:rPr>
            <w:rStyle w:val="Lienhypertexte"/>
            <w:rFonts w:ascii="Calibri" w:eastAsia="Times New Roman" w:hAnsi="Calibri" w:cs="Calibri"/>
            <w:lang w:bidi="en-US"/>
          </w:rPr>
          <w:t>https://worldpopulationreview.com/cities/mauritania/nouakchott</w:t>
        </w:r>
      </w:hyperlink>
    </w:p>
    <w:p w14:paraId="41E58268" w14:textId="77777777" w:rsidR="00BC6C8B" w:rsidRDefault="00BC6C8B" w:rsidP="00BC6C8B">
      <w:pPr>
        <w:spacing w:after="120" w:line="360" w:lineRule="auto"/>
        <w:jc w:val="both"/>
        <w:rPr>
          <w:rFonts w:asciiTheme="majorBidi" w:eastAsia="Times New Roman" w:hAnsiTheme="majorBidi" w:cstheme="majorBidi"/>
          <w:b/>
          <w:bCs/>
          <w:color w:val="000000"/>
          <w:sz w:val="24"/>
          <w:szCs w:val="24"/>
          <w:lang w:eastAsia="fr-FR"/>
        </w:rPr>
      </w:pPr>
      <w:r w:rsidRPr="00226BBA">
        <w:rPr>
          <w:rFonts w:asciiTheme="majorBidi" w:eastAsia="Times New Roman" w:hAnsiTheme="majorBidi" w:cstheme="majorBidi"/>
          <w:b/>
          <w:bCs/>
          <w:color w:val="000000"/>
          <w:sz w:val="28"/>
          <w:szCs w:val="28"/>
          <w:u w:val="single"/>
          <w:lang w:eastAsia="fr-FR"/>
        </w:rPr>
        <w:t>Urbanisation et défis de l'habitat</w:t>
      </w:r>
      <w:r>
        <w:rPr>
          <w:rFonts w:asciiTheme="majorBidi" w:eastAsia="Times New Roman" w:hAnsiTheme="majorBidi" w:cstheme="majorBidi"/>
          <w:b/>
          <w:bCs/>
          <w:color w:val="000000"/>
          <w:sz w:val="24"/>
          <w:szCs w:val="24"/>
          <w:lang w:eastAsia="fr-FR"/>
        </w:rPr>
        <w:t> :</w:t>
      </w:r>
      <w:r w:rsidRPr="00DF7412">
        <w:t xml:space="preserve"> </w:t>
      </w:r>
    </w:p>
    <w:p w14:paraId="1CC89E9C" w14:textId="77777777" w:rsidR="00BC6C8B" w:rsidRPr="00340758" w:rsidRDefault="00BC6C8B" w:rsidP="00BC6C8B">
      <w:pPr>
        <w:spacing w:after="120" w:line="240" w:lineRule="auto"/>
        <w:jc w:val="both"/>
        <w:rPr>
          <w:rFonts w:ascii="Calibri" w:eastAsia="Times New Roman" w:hAnsi="Calibri" w:cs="Calibri"/>
          <w:lang w:bidi="en-US"/>
        </w:rPr>
      </w:pPr>
      <w:r w:rsidRPr="00340758">
        <w:rPr>
          <w:rFonts w:ascii="Calibri" w:eastAsia="Times New Roman" w:hAnsi="Calibri" w:cs="Calibri"/>
          <w:lang w:bidi="en-US"/>
        </w:rPr>
        <w:t>L’Exode rural est le principal moteur de cette urbanisation, in</w:t>
      </w:r>
      <w:r>
        <w:rPr>
          <w:rFonts w:ascii="Calibri" w:eastAsia="Times New Roman" w:hAnsi="Calibri" w:cs="Calibri"/>
          <w:lang w:bidi="en-US"/>
        </w:rPr>
        <w:t>tensifié par la dégradation des c</w:t>
      </w:r>
      <w:r w:rsidRPr="00340758">
        <w:rPr>
          <w:rFonts w:ascii="Calibri" w:eastAsia="Times New Roman" w:hAnsi="Calibri" w:cs="Calibri"/>
          <w:lang w:bidi="en-US"/>
        </w:rPr>
        <w:t xml:space="preserve">onditions de vie dans les zones rurales. Les sécheresses </w:t>
      </w:r>
      <w:r>
        <w:rPr>
          <w:rFonts w:ascii="Calibri" w:eastAsia="Times New Roman" w:hAnsi="Calibri" w:cs="Calibri"/>
          <w:lang w:bidi="en-US"/>
        </w:rPr>
        <w:t>récurrentes, la désertification c</w:t>
      </w:r>
      <w:r w:rsidRPr="00340758">
        <w:rPr>
          <w:rFonts w:ascii="Calibri" w:eastAsia="Times New Roman" w:hAnsi="Calibri" w:cs="Calibri"/>
          <w:lang w:bidi="en-US"/>
        </w:rPr>
        <w:t>roissante, ainsi que la faiblesse des infrastructures rurales</w:t>
      </w:r>
      <w:r>
        <w:rPr>
          <w:rFonts w:ascii="Calibri" w:eastAsia="Times New Roman" w:hAnsi="Calibri" w:cs="Calibri"/>
          <w:lang w:bidi="en-US"/>
        </w:rPr>
        <w:t xml:space="preserve"> (routes, santé, éducation) ont </w:t>
      </w:r>
      <w:r w:rsidRPr="00340758">
        <w:rPr>
          <w:rFonts w:ascii="Calibri" w:eastAsia="Times New Roman" w:hAnsi="Calibri" w:cs="Calibri"/>
          <w:lang w:bidi="en-US"/>
        </w:rPr>
        <w:t>Poussé les populations à migrer vers les villes, à la reche</w:t>
      </w:r>
      <w:r>
        <w:rPr>
          <w:rFonts w:ascii="Calibri" w:eastAsia="Times New Roman" w:hAnsi="Calibri" w:cs="Calibri"/>
          <w:lang w:bidi="en-US"/>
        </w:rPr>
        <w:t xml:space="preserve">rche de meilleures opportunités </w:t>
      </w:r>
      <w:r w:rsidRPr="00340758">
        <w:rPr>
          <w:rFonts w:ascii="Calibri" w:eastAsia="Times New Roman" w:hAnsi="Calibri" w:cs="Calibri"/>
          <w:lang w:bidi="en-US"/>
        </w:rPr>
        <w:t>économiques et sociales.</w:t>
      </w:r>
    </w:p>
    <w:p w14:paraId="57797D71" w14:textId="77777777" w:rsidR="00BC6C8B" w:rsidRPr="00340758" w:rsidRDefault="00BC6C8B" w:rsidP="00BC6C8B">
      <w:pPr>
        <w:spacing w:after="120" w:line="240" w:lineRule="auto"/>
        <w:jc w:val="both"/>
        <w:rPr>
          <w:rFonts w:ascii="Calibri" w:eastAsia="Times New Roman" w:hAnsi="Calibri" w:cs="Calibri"/>
          <w:lang w:bidi="en-US"/>
        </w:rPr>
      </w:pPr>
      <w:r w:rsidRPr="00340758">
        <w:rPr>
          <w:rFonts w:ascii="Calibri" w:eastAsia="Times New Roman" w:hAnsi="Calibri" w:cs="Calibri"/>
          <w:lang w:bidi="en-US"/>
        </w:rPr>
        <w:t>Cette croissance urbaine rapide et souvent non planifiée a exercé une pression accrue sur les infrastructures urbaines existantes, déjà insuffisantes. En conséquence, des quartiers informels se sont multipliés, souvent dépourvus de services de base tels que l’eau potable, l’électricité et des systèmes d’assainissement adéquats.</w:t>
      </w:r>
    </w:p>
    <w:p w14:paraId="6ACE4FC9" w14:textId="77777777" w:rsidR="00BC6C8B" w:rsidRPr="00340758" w:rsidRDefault="00BC6C8B" w:rsidP="00BC6C8B">
      <w:pPr>
        <w:spacing w:after="0" w:line="240" w:lineRule="auto"/>
        <w:jc w:val="both"/>
        <w:rPr>
          <w:rFonts w:ascii="Calibri" w:eastAsia="Times New Roman" w:hAnsi="Calibri" w:cs="Calibri"/>
          <w:lang w:bidi="en-US"/>
        </w:rPr>
      </w:pPr>
      <w:r w:rsidRPr="00340758">
        <w:rPr>
          <w:rFonts w:ascii="Calibri" w:eastAsia="Times New Roman" w:hAnsi="Calibri" w:cs="Calibri"/>
          <w:lang w:bidi="en-US"/>
        </w:rPr>
        <w:t>Ces quartiers informels posent des défis majeurs en matière d'aménagement urbain et d'inclusion sociale. Ils sont également le symptôme d'une gestion foncière inadéquate et d'une incapacité à répondre à la demande croissante de logements.</w:t>
      </w:r>
    </w:p>
    <w:p w14:paraId="07D7B5E7" w14:textId="77777777" w:rsidR="00BC6C8B" w:rsidRPr="00340758" w:rsidRDefault="00BC6C8B" w:rsidP="00BC6C8B">
      <w:pPr>
        <w:spacing w:after="0" w:line="240" w:lineRule="auto"/>
        <w:jc w:val="both"/>
        <w:rPr>
          <w:rFonts w:ascii="Calibri" w:eastAsia="Times New Roman" w:hAnsi="Calibri" w:cs="Calibri"/>
          <w:lang w:bidi="en-US"/>
        </w:rPr>
      </w:pPr>
      <w:r w:rsidRPr="00340758">
        <w:rPr>
          <w:rFonts w:ascii="Calibri" w:eastAsia="Times New Roman" w:hAnsi="Calibri" w:cs="Calibri"/>
          <w:lang w:bidi="en-US"/>
        </w:rPr>
        <w:t>Les deux principales villes de Mauritanie, Nouakchott et N</w:t>
      </w:r>
      <w:r>
        <w:rPr>
          <w:rFonts w:ascii="Calibri" w:eastAsia="Times New Roman" w:hAnsi="Calibri" w:cs="Calibri"/>
          <w:lang w:bidi="en-US"/>
        </w:rPr>
        <w:t>ouadhibou, concentrent une part</w:t>
      </w:r>
      <w:r w:rsidRPr="00340758">
        <w:rPr>
          <w:rFonts w:ascii="Calibri" w:eastAsia="Times New Roman" w:hAnsi="Calibri" w:cs="Calibri"/>
          <w:lang w:bidi="en-US"/>
        </w:rPr>
        <w:t xml:space="preserve"> Significative de la population urbaine et génèrent des défis spécifiques :</w:t>
      </w:r>
    </w:p>
    <w:p w14:paraId="796A1756" w14:textId="77777777" w:rsidR="00BC6C8B" w:rsidRPr="00340758" w:rsidRDefault="00BC6C8B" w:rsidP="00BC6C8B">
      <w:pPr>
        <w:pStyle w:val="Paragraphedeliste"/>
        <w:numPr>
          <w:ilvl w:val="0"/>
          <w:numId w:val="115"/>
        </w:numPr>
        <w:spacing w:before="120" w:after="120" w:line="240" w:lineRule="auto"/>
        <w:ind w:left="425" w:hanging="357"/>
        <w:contextualSpacing w:val="0"/>
        <w:jc w:val="both"/>
        <w:rPr>
          <w:rFonts w:ascii="Calibri" w:eastAsia="Times New Roman" w:hAnsi="Calibri" w:cs="Calibri"/>
          <w:lang w:bidi="en-US"/>
        </w:rPr>
      </w:pPr>
      <w:r w:rsidRPr="00340758">
        <w:rPr>
          <w:rFonts w:ascii="Calibri" w:eastAsia="Times New Roman" w:hAnsi="Calibri" w:cs="Calibri"/>
          <w:lang w:bidi="en-US"/>
        </w:rPr>
        <w:t>Nouakchott, capitale du pays, absorbe une grande partie de la migration interne et fait face à un déficit chronique de logements formels et réglementés, ce qui contribue à l’expansion des quartiers précaires. L'absence d'une planification urbaine efficace et les inondations récurrentes, causées par une gestion inadéquate des eaux pluviales, aggravent ces conditions.</w:t>
      </w:r>
    </w:p>
    <w:p w14:paraId="760E35D3" w14:textId="77777777" w:rsidR="00BC6C8B" w:rsidRPr="00340758" w:rsidRDefault="00BC6C8B" w:rsidP="00BC6C8B">
      <w:pPr>
        <w:pStyle w:val="Paragraphedeliste"/>
        <w:numPr>
          <w:ilvl w:val="0"/>
          <w:numId w:val="115"/>
        </w:numPr>
        <w:spacing w:after="0" w:line="240" w:lineRule="auto"/>
        <w:ind w:left="425" w:hanging="357"/>
        <w:contextualSpacing w:val="0"/>
        <w:jc w:val="both"/>
        <w:rPr>
          <w:rFonts w:ascii="Calibri" w:eastAsia="Times New Roman" w:hAnsi="Calibri" w:cs="Calibri"/>
          <w:lang w:bidi="en-US"/>
        </w:rPr>
      </w:pPr>
      <w:r w:rsidRPr="00340758">
        <w:rPr>
          <w:rFonts w:ascii="Calibri" w:eastAsia="Times New Roman" w:hAnsi="Calibri" w:cs="Calibri"/>
          <w:lang w:bidi="en-US"/>
        </w:rPr>
        <w:t xml:space="preserve">Nouadhibou, pôle économique et portuaire stratégique, attire également une population en quête d’emplois, notamment dans les secteurs de la pêche et des industries extractives. Toutefois, la ville peine à répondre aux besoins en logements des travailleurs migrants, ce qui accentue la pression sur les infrastructures urbaines et favorise l’émergence de quartiers informels. </w:t>
      </w:r>
    </w:p>
    <w:p w14:paraId="1A33DBF6" w14:textId="77777777" w:rsidR="00BC6C8B" w:rsidRPr="00340758" w:rsidRDefault="00BC6C8B" w:rsidP="00BC6C8B">
      <w:pPr>
        <w:spacing w:before="120" w:after="120" w:line="240" w:lineRule="auto"/>
        <w:jc w:val="both"/>
        <w:rPr>
          <w:rFonts w:ascii="Calibri" w:eastAsia="Times New Roman" w:hAnsi="Calibri" w:cs="Calibri"/>
          <w:lang w:bidi="en-US"/>
        </w:rPr>
      </w:pPr>
      <w:r w:rsidRPr="00340758">
        <w:rPr>
          <w:rFonts w:ascii="Calibri" w:eastAsia="Times New Roman" w:hAnsi="Calibri" w:cs="Calibri"/>
          <w:lang w:bidi="en-US"/>
        </w:rPr>
        <w:t>Cette situation souligne l'urgence d'une planification plus proactive pour gérer la croissance urbaine de manière durable. S’y ajoutent les problèmes liés à l’environnement notamment la sédentarisation anarchique, l’urbanisation galopante, la salinité, les inondations, l’affleurement de la nappe, l’ensablement, l’assainissement, le traitement des déchets, la protection des villes, L’extension des villes sur les terres agricoles ou sur des espaces sableux et impropres à l’habitation, les pressions croissantes sur les ressources naturelles du fait de la sédentarisation, L’érosion côtière et les risques d’intrusion marine dus à une exploitation non contrôlée du littoral ainsi que l’utilisation massive de matériaux de construction de forte teneur en GES.</w:t>
      </w:r>
    </w:p>
    <w:p w14:paraId="528A2D08" w14:textId="77777777" w:rsidR="00BC6C8B" w:rsidRPr="00340758" w:rsidRDefault="00BC6C8B" w:rsidP="00BC6C8B">
      <w:pPr>
        <w:spacing w:before="120" w:after="120" w:line="240" w:lineRule="auto"/>
        <w:jc w:val="both"/>
        <w:rPr>
          <w:rFonts w:ascii="Calibri" w:eastAsia="Times New Roman" w:hAnsi="Calibri" w:cs="Calibri"/>
          <w:lang w:bidi="en-US"/>
        </w:rPr>
      </w:pPr>
      <w:r w:rsidRPr="00340758">
        <w:rPr>
          <w:rFonts w:ascii="Calibri" w:eastAsia="Times New Roman" w:hAnsi="Calibri" w:cs="Calibri"/>
          <w:lang w:bidi="en-US"/>
        </w:rPr>
        <w:t>Cette situation a rendu difficile et coûteux l’équipement des quartiers. A Nouakchott, par exemple, près de 38% des ménages vivent dans des quartiers périphériques sous équipés et dépourvus de services urbains essentiels. La situation est semblable dans les autres villes mais à des degrés moindres.</w:t>
      </w:r>
    </w:p>
    <w:p w14:paraId="19EE5C62" w14:textId="77777777" w:rsidR="00BC6C8B" w:rsidRPr="00340758" w:rsidRDefault="00BC6C8B" w:rsidP="00BC6C8B">
      <w:pPr>
        <w:spacing w:before="120" w:after="120" w:line="240" w:lineRule="auto"/>
        <w:jc w:val="both"/>
        <w:rPr>
          <w:rFonts w:ascii="Calibri" w:eastAsia="Times New Roman" w:hAnsi="Calibri" w:cs="Calibri"/>
          <w:lang w:bidi="en-US"/>
        </w:rPr>
      </w:pPr>
      <w:r w:rsidRPr="00340758">
        <w:rPr>
          <w:rFonts w:ascii="Calibri" w:eastAsia="Times New Roman" w:hAnsi="Calibri" w:cs="Calibri"/>
          <w:lang w:bidi="en-US"/>
        </w:rPr>
        <w:t>En matière de gestion du foncier et d’attribution des terrains, la situation est marquée par des procédures très peu transparentes et ne favorisant point l’accès et la sécurisation foncière des plus démunis. Ces contraintes sont accentuées par l’inexistence d’un système d’informations foncières et d’un marché foncier formel, le manque de coordination entre les administrations concernées, le chevauchement des compétences et l’insuffisance des ressources financières des communes. En outre, le cadre juridique actuel régissant l’urbanisme demeure incomplet.</w:t>
      </w:r>
    </w:p>
    <w:p w14:paraId="685AD239" w14:textId="77777777" w:rsidR="00BC6C8B" w:rsidRPr="00340758" w:rsidRDefault="00BC6C8B" w:rsidP="00BC6C8B">
      <w:pPr>
        <w:spacing w:before="120" w:after="120" w:line="240" w:lineRule="auto"/>
        <w:jc w:val="both"/>
        <w:rPr>
          <w:rFonts w:ascii="Calibri" w:eastAsia="Times New Roman" w:hAnsi="Calibri" w:cs="Calibri"/>
          <w:lang w:bidi="en-US"/>
        </w:rPr>
      </w:pPr>
      <w:r w:rsidRPr="00340758">
        <w:rPr>
          <w:rFonts w:ascii="Calibri" w:eastAsia="Times New Roman" w:hAnsi="Calibri" w:cs="Calibri"/>
          <w:lang w:bidi="en-US"/>
        </w:rPr>
        <w:t>S’agissant des bâtiments, si la construction de nouveaux bâtiments administratifs à usage de bureaux a connu une bonne progression, des besoins importants en écoles, hôpitaux, postes et centres de santé restent à satisfaire, en plus du nécessaire assainissement de la gestion du patrimoine bâti de l’Etat. Aussi, en raison des goulots d’étranglement constatés dans le secteur des BTP, les opérateurs privés connaissent de grosses difficultés. Le levé de ces contraintes autant que la professionnalisation du secteur, sont absolument indispensables pour la réalisation des objectifs du Département. Le développement du secteur des BTP est également tributaire des progrès qui pourront être faits dans la promotion et la valorisation des matériaux locaux, notamment la pierre et la terre.</w:t>
      </w:r>
    </w:p>
    <w:p w14:paraId="7F3FBE81" w14:textId="77777777" w:rsidR="00BC6C8B" w:rsidRDefault="00BC6C8B" w:rsidP="00BC6C8B">
      <w:pPr>
        <w:spacing w:before="120" w:after="120" w:line="240" w:lineRule="auto"/>
        <w:jc w:val="both"/>
        <w:rPr>
          <w:rFonts w:ascii="Calibri" w:eastAsia="Times New Roman" w:hAnsi="Calibri" w:cs="Calibri"/>
          <w:lang w:bidi="en-US"/>
        </w:rPr>
      </w:pPr>
      <w:r w:rsidRPr="00340758">
        <w:rPr>
          <w:rFonts w:ascii="Calibri" w:eastAsia="Times New Roman" w:hAnsi="Calibri" w:cs="Calibri"/>
          <w:lang w:bidi="en-US"/>
        </w:rPr>
        <w:t>Cette situation souligne l'urgence de développer des mécanismes de financement des logements adaptés au contexte mauritanien et des politiques et stratégies publiques efficaces en matière d’habitat et de l’urbanisme, d’aménagement du territoire et de la construction pour atténuer la crise du logement et anticiper les flux migratoires futurs du milieu rural vers le milieu urbain. Face à cette pression croissante sur les infrastructures urbaines, il est essentiel de renforcer la planification urbaine et de moderniser et de renforcer l’offre nationale en matière d’infrastructures pour mieux répondre aux besoins des populations en pleine expansion.</w:t>
      </w:r>
    </w:p>
    <w:p w14:paraId="4B7C46FC" w14:textId="77777777" w:rsidR="00BC6C8B" w:rsidRPr="001C3757" w:rsidRDefault="00BC6C8B" w:rsidP="00BC6C8B">
      <w:pPr>
        <w:numPr>
          <w:ilvl w:val="1"/>
          <w:numId w:val="441"/>
        </w:numPr>
        <w:spacing w:before="120" w:after="120" w:line="240" w:lineRule="auto"/>
        <w:ind w:right="-108"/>
        <w:jc w:val="both"/>
        <w:outlineLvl w:val="1"/>
        <w:rPr>
          <w:rFonts w:ascii="Calibri" w:eastAsia="Times New Roman" w:hAnsi="Calibri" w:cs="Calibri"/>
          <w:b/>
          <w:lang w:bidi="en-US"/>
        </w:rPr>
      </w:pPr>
      <w:bookmarkStart w:id="444" w:name="_Toc58061702"/>
      <w:r w:rsidRPr="001C3757">
        <w:rPr>
          <w:rFonts w:ascii="Calibri" w:eastAsia="Times New Roman" w:hAnsi="Calibri" w:cs="Calibri"/>
          <w:b/>
          <w:lang w:bidi="en-US"/>
        </w:rPr>
        <w:t>Le cadre institutionnel et normatif du secteur</w:t>
      </w:r>
      <w:bookmarkEnd w:id="444"/>
    </w:p>
    <w:p w14:paraId="79BC0F94" w14:textId="77777777" w:rsidR="00BC6C8B" w:rsidRPr="001C3757" w:rsidRDefault="00BC6C8B" w:rsidP="00BC6C8B">
      <w:pPr>
        <w:numPr>
          <w:ilvl w:val="2"/>
          <w:numId w:val="441"/>
        </w:numPr>
        <w:autoSpaceDE w:val="0"/>
        <w:autoSpaceDN w:val="0"/>
        <w:adjustRightInd w:val="0"/>
        <w:spacing w:before="120" w:after="120" w:line="240" w:lineRule="auto"/>
        <w:ind w:left="993" w:hanging="709"/>
        <w:jc w:val="both"/>
        <w:outlineLvl w:val="2"/>
        <w:rPr>
          <w:rFonts w:ascii="Calibri" w:eastAsia="Calibri" w:hAnsi="Calibri" w:cs="Calibri"/>
          <w:b/>
          <w:lang w:bidi="en-US"/>
        </w:rPr>
      </w:pPr>
      <w:bookmarkStart w:id="445" w:name="_Toc58061703"/>
      <w:r w:rsidRPr="001C3757">
        <w:rPr>
          <w:rFonts w:ascii="Calibri" w:eastAsia="Times New Roman" w:hAnsi="Calibri" w:cs="Calibri"/>
          <w:b/>
          <w:lang w:bidi="en-US"/>
        </w:rPr>
        <w:t>Le cadre institutionnel</w:t>
      </w:r>
      <w:bookmarkEnd w:id="445"/>
    </w:p>
    <w:p w14:paraId="3EAE9F65" w14:textId="77777777" w:rsidR="00BC6C8B" w:rsidRPr="001C3757" w:rsidRDefault="00BC6C8B" w:rsidP="00BC6C8B">
      <w:pPr>
        <w:autoSpaceDE w:val="0"/>
        <w:autoSpaceDN w:val="0"/>
        <w:adjustRightInd w:val="0"/>
        <w:spacing w:before="120" w:after="120" w:line="240" w:lineRule="auto"/>
        <w:jc w:val="both"/>
        <w:rPr>
          <w:rFonts w:ascii="Calibri" w:eastAsia="Calibri" w:hAnsi="Calibri" w:cs="Calibri"/>
          <w:lang w:bidi="en-US"/>
        </w:rPr>
      </w:pPr>
      <w:r w:rsidRPr="001C3757">
        <w:rPr>
          <w:rFonts w:ascii="Calibri" w:eastAsia="Calibri" w:hAnsi="Calibri" w:cs="Calibri"/>
          <w:lang w:bidi="en-US"/>
        </w:rPr>
        <w:t>Le Secteur de l’Habitat, de l’Urbanisme et de l’Amén</w:t>
      </w:r>
      <w:r>
        <w:rPr>
          <w:rFonts w:ascii="Calibri" w:eastAsia="Calibri" w:hAnsi="Calibri" w:cs="Calibri"/>
          <w:lang w:bidi="en-US"/>
        </w:rPr>
        <w:t xml:space="preserve">agement du Territoire </w:t>
      </w:r>
      <w:r w:rsidRPr="001C3757">
        <w:rPr>
          <w:rFonts w:ascii="Calibri" w:eastAsia="Calibri" w:hAnsi="Calibri" w:cs="Calibri"/>
          <w:lang w:bidi="en-US"/>
        </w:rPr>
        <w:t xml:space="preserve">a pour missions générales, aux termes du </w:t>
      </w:r>
      <w:r>
        <w:rPr>
          <w:rFonts w:ascii="Calibri" w:eastAsia="Calibri" w:hAnsi="Calibri" w:cs="Calibri"/>
          <w:i/>
          <w:iCs/>
          <w:lang w:bidi="en-US"/>
        </w:rPr>
        <w:t>décret n°062-2022/PM/MHUAT</w:t>
      </w:r>
      <w:r w:rsidRPr="001C3757">
        <w:rPr>
          <w:rFonts w:ascii="Calibri" w:eastAsia="Calibri" w:hAnsi="Calibri" w:cs="Calibri"/>
          <w:i/>
          <w:iCs/>
          <w:lang w:bidi="en-US"/>
        </w:rPr>
        <w:t>, fixant les attributions du Ministre de l’Habitat, de l’Urbanisme et de l’Aménagement du Territoire et l’organisation de l’administration centrale de son Département</w:t>
      </w:r>
      <w:r w:rsidRPr="001C3757">
        <w:rPr>
          <w:rFonts w:ascii="Calibri" w:eastAsia="Calibri" w:hAnsi="Calibri" w:cs="Calibri"/>
          <w:lang w:bidi="en-US"/>
        </w:rPr>
        <w:t xml:space="preserve"> : </w:t>
      </w:r>
    </w:p>
    <w:p w14:paraId="4C25BEA2" w14:textId="77777777" w:rsidR="00BC6C8B" w:rsidRPr="00025547" w:rsidRDefault="00BC6C8B" w:rsidP="00BC6C8B">
      <w:pPr>
        <w:numPr>
          <w:ilvl w:val="0"/>
          <w:numId w:val="445"/>
        </w:numPr>
        <w:spacing w:before="120" w:after="120" w:line="240" w:lineRule="auto"/>
        <w:ind w:left="714" w:hanging="357"/>
        <w:jc w:val="both"/>
        <w:rPr>
          <w:rFonts w:ascii="Calibri" w:eastAsia="Times New Roman" w:hAnsi="Calibri" w:cs="Calibri"/>
          <w:b/>
          <w:bCs/>
          <w:color w:val="00CC66"/>
          <w:lang w:bidi="en-US"/>
        </w:rPr>
      </w:pPr>
      <w:r w:rsidRPr="000257D4">
        <w:rPr>
          <w:rFonts w:ascii="Calibri" w:eastAsia="Times New Roman" w:hAnsi="Calibri" w:cs="Calibri"/>
          <w:b/>
          <w:bCs/>
          <w:color w:val="00CC66"/>
          <w:lang w:bidi="en-US"/>
        </w:rPr>
        <w:t>La préparation et la mise</w:t>
      </w:r>
      <w:r w:rsidRPr="001C3757">
        <w:rPr>
          <w:rFonts w:ascii="Calibri" w:eastAsia="Times New Roman" w:hAnsi="Calibri" w:cs="Calibri"/>
          <w:lang w:bidi="en-US"/>
        </w:rPr>
        <w:t xml:space="preserve"> </w:t>
      </w:r>
      <w:r w:rsidRPr="000257D4">
        <w:rPr>
          <w:rFonts w:ascii="Calibri" w:eastAsia="Times New Roman" w:hAnsi="Calibri" w:cs="Calibri"/>
          <w:b/>
          <w:bCs/>
          <w:color w:val="00CC66"/>
          <w:lang w:bidi="en-US"/>
        </w:rPr>
        <w:t>en œuvre d</w:t>
      </w:r>
      <w:r w:rsidRPr="009D3798">
        <w:rPr>
          <w:rFonts w:ascii="Calibri" w:eastAsia="Times New Roman" w:hAnsi="Calibri" w:cs="Calibri"/>
          <w:b/>
          <w:bCs/>
          <w:color w:val="00CC66"/>
          <w:lang w:bidi="en-US"/>
        </w:rPr>
        <w:t xml:space="preserve">’une </w:t>
      </w:r>
      <w:r w:rsidRPr="00025547">
        <w:rPr>
          <w:rFonts w:ascii="Calibri" w:eastAsia="Times New Roman" w:hAnsi="Calibri" w:cs="Calibri"/>
          <w:b/>
          <w:bCs/>
          <w:color w:val="00CC66"/>
          <w:lang w:bidi="en-US"/>
        </w:rPr>
        <w:t>stratégie nationale dans les domaines de l’Habitat, de l’Urbanisme, des Bâtiments et des Equipements Publics, de l’Aménagement du Territoire, de la Cartographie et des Travaux géographiques ;</w:t>
      </w:r>
      <w:r>
        <w:rPr>
          <w:rFonts w:ascii="Calibri" w:eastAsia="Times New Roman" w:hAnsi="Calibri" w:cs="Calibri"/>
          <w:b/>
          <w:bCs/>
          <w:color w:val="00CC66"/>
          <w:lang w:bidi="en-US"/>
        </w:rPr>
        <w:t xml:space="preserve"> celle-ci prendra en compte les normes de distance dans les installations du bâti ouvrant la prise en compte des facteurs naturels d’aération et de l’éclairage, sources d’une forte consommation d’énergies. </w:t>
      </w:r>
    </w:p>
    <w:p w14:paraId="5F0F17A1"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La préparation des lois, décrets et règlements nécessaires à l’exécution de la politique du Gouvernement dans les domaines de l’Habitat, de l’Urbanisme, des Bâtiments et des Equipements Publics, de l’Aménagement du Territoire, de la Cartographie et des Travaux géographiques ;</w:t>
      </w:r>
    </w:p>
    <w:p w14:paraId="610A5FF7"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L’application des lois et règlements en vigueur dans les domaines de l’Habitat, de l’Urbanisme, des Bâtiments et des Equipements Publics, de l’Aménagement du Territoire, de la Cartographie et des Travaux géographiques ;</w:t>
      </w:r>
    </w:p>
    <w:p w14:paraId="661076D2"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La gestion du Domaine Public Foncier, à l’exception des Domaines Publics spécifiques dont la gestion est confiée à d’autres Départements ;</w:t>
      </w:r>
    </w:p>
    <w:p w14:paraId="20AB4C4E"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Le contrôle des opérations relatives à la propriété foncière et au cadastre en liaison avec le ministère chargé des Finances ;</w:t>
      </w:r>
    </w:p>
    <w:p w14:paraId="669B0308"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Le contrôle du respect des règles de l’art pour toute construction publique ou privée ;</w:t>
      </w:r>
    </w:p>
    <w:p w14:paraId="63D03AAC"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La construction, la réhabilitation et la préservation de l’ensemble des bâtiments et équipements publics ;</w:t>
      </w:r>
    </w:p>
    <w:p w14:paraId="4667C07C"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L’identification et l’homologation des méthodes, outils et équipements de contrôle et d’expertise dans les différents domaines d’activité du Département ;</w:t>
      </w:r>
    </w:p>
    <w:p w14:paraId="15503362"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L’agrément des bureaux de contrôle, d’études, d’ingénierie, d’architecture opérant dans les domaines relevant de la compétence du Département ;</w:t>
      </w:r>
    </w:p>
    <w:p w14:paraId="40D00461"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L’agrément des Promoteurs Immobiliers et assimilés ;</w:t>
      </w:r>
    </w:p>
    <w:p w14:paraId="0744C58C"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La mise en place et la gestion de banques de données relatives aux différents prestataires opérant dans les domaines relevant de la compétence du Département ;</w:t>
      </w:r>
    </w:p>
    <w:p w14:paraId="745B4A32"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La promotion des matériaux locaux, des nouvelles Technologies de construction et la vulgarisa</w:t>
      </w:r>
      <w:r>
        <w:rPr>
          <w:rFonts w:ascii="Calibri" w:eastAsia="Times New Roman" w:hAnsi="Calibri" w:cs="Calibri"/>
          <w:lang w:bidi="en-US"/>
        </w:rPr>
        <w:t>tion des normes de construction</w:t>
      </w:r>
      <w:r w:rsidRPr="001C3757">
        <w:rPr>
          <w:rFonts w:ascii="Calibri" w:eastAsia="Times New Roman" w:hAnsi="Calibri" w:cs="Calibri"/>
          <w:lang w:bidi="en-US"/>
        </w:rPr>
        <w:t xml:space="preserve"> ;</w:t>
      </w:r>
    </w:p>
    <w:p w14:paraId="6D3A6529"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La prise en considération de la qualité et de l’harmonie architecturales ;</w:t>
      </w:r>
    </w:p>
    <w:p w14:paraId="7447BF9E"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La protection des sites archéologiques et des abords des monuments historiques en rapport avec les Administrations concernées ;</w:t>
      </w:r>
    </w:p>
    <w:p w14:paraId="7F8EF59F"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L’élaboration et le suivi des outils de planification et de gestion des espaces urbains et ruraux ;</w:t>
      </w:r>
    </w:p>
    <w:p w14:paraId="2A71E440"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L’élaboration, la mise en œuvre et le suivi des politiques de regroupement organisé des localités et d’encadrement de la sédentarisation ;</w:t>
      </w:r>
    </w:p>
    <w:p w14:paraId="6E4E3F18"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La restructuration des quartiers précaires ;</w:t>
      </w:r>
    </w:p>
    <w:p w14:paraId="4AD75F60"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La conception et l’exécution des programmes d’habitat ;</w:t>
      </w:r>
    </w:p>
    <w:p w14:paraId="4372AFD4"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La promotion et le développement de l’Habitat social ;</w:t>
      </w:r>
    </w:p>
    <w:p w14:paraId="21D03C92"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Le suivi et le contrôle des prestataires dans le domaine de l’habitat ;</w:t>
      </w:r>
    </w:p>
    <w:p w14:paraId="4CB07DBD"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La conception et le pilotage de la politique nationale en matière d’aménagement du territoire ;</w:t>
      </w:r>
    </w:p>
    <w:p w14:paraId="29D48731" w14:textId="77777777" w:rsidR="00BC6C8B" w:rsidRPr="001C3757" w:rsidRDefault="00BC6C8B" w:rsidP="00BC6C8B">
      <w:pPr>
        <w:numPr>
          <w:ilvl w:val="0"/>
          <w:numId w:val="445"/>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L’élaboration, la mise en œuvre et le suivi des politiques nationales en Cartographie, Toponymie et Systèmes d’Informations Géographiques ;</w:t>
      </w:r>
    </w:p>
    <w:p w14:paraId="595319DF" w14:textId="77777777" w:rsidR="00BC6C8B" w:rsidRDefault="00BC6C8B" w:rsidP="00BC6C8B">
      <w:pPr>
        <w:numPr>
          <w:ilvl w:val="0"/>
          <w:numId w:val="445"/>
        </w:numPr>
        <w:spacing w:after="0" w:line="240" w:lineRule="auto"/>
        <w:ind w:left="714" w:hanging="357"/>
        <w:jc w:val="both"/>
        <w:rPr>
          <w:rFonts w:ascii="Calibri" w:eastAsia="Times New Roman" w:hAnsi="Calibri" w:cs="Calibri"/>
          <w:lang w:bidi="en-US"/>
        </w:rPr>
      </w:pPr>
      <w:r w:rsidRPr="001C3757">
        <w:rPr>
          <w:rFonts w:ascii="Calibri" w:eastAsia="Times New Roman" w:hAnsi="Calibri" w:cs="Calibri"/>
          <w:lang w:bidi="en-US"/>
        </w:rPr>
        <w:t>Le développement et la gestion des Cartes de base.</w:t>
      </w:r>
    </w:p>
    <w:p w14:paraId="64146D41" w14:textId="77777777" w:rsidR="00BC6C8B" w:rsidRPr="001C3757" w:rsidRDefault="00BC6C8B" w:rsidP="00BC6C8B">
      <w:pPr>
        <w:numPr>
          <w:ilvl w:val="2"/>
          <w:numId w:val="441"/>
        </w:numPr>
        <w:autoSpaceDE w:val="0"/>
        <w:autoSpaceDN w:val="0"/>
        <w:adjustRightInd w:val="0"/>
        <w:spacing w:before="120" w:after="120" w:line="240" w:lineRule="auto"/>
        <w:ind w:left="993" w:hanging="709"/>
        <w:jc w:val="both"/>
        <w:outlineLvl w:val="2"/>
        <w:rPr>
          <w:rFonts w:ascii="Calibri" w:eastAsia="Times New Roman" w:hAnsi="Calibri" w:cs="Calibri"/>
          <w:b/>
          <w:lang w:bidi="en-US"/>
        </w:rPr>
      </w:pPr>
      <w:bookmarkStart w:id="446" w:name="_Toc58061704"/>
      <w:r w:rsidRPr="001C3757">
        <w:rPr>
          <w:rFonts w:ascii="Calibri" w:eastAsia="Times New Roman" w:hAnsi="Calibri" w:cs="Calibri"/>
          <w:b/>
          <w:lang w:bidi="en-US"/>
        </w:rPr>
        <w:t>Le cadre normatif</w:t>
      </w:r>
      <w:bookmarkEnd w:id="446"/>
    </w:p>
    <w:p w14:paraId="7EB0505E" w14:textId="77777777" w:rsidR="00BC6C8B" w:rsidRPr="00340758" w:rsidRDefault="00BC6C8B" w:rsidP="00BC6C8B">
      <w:pPr>
        <w:spacing w:before="100" w:beforeAutospacing="1" w:after="120" w:line="240" w:lineRule="auto"/>
        <w:jc w:val="both"/>
        <w:rPr>
          <w:rFonts w:ascii="Calibri" w:eastAsia="Times New Roman" w:hAnsi="Calibri" w:cs="Calibri"/>
          <w:lang w:bidi="en-US"/>
        </w:rPr>
      </w:pPr>
      <w:r w:rsidRPr="001C3757">
        <w:rPr>
          <w:rFonts w:ascii="Calibri" w:eastAsia="Times New Roman" w:hAnsi="Calibri" w:cs="Calibri"/>
          <w:lang w:bidi="en-US"/>
        </w:rPr>
        <w:t xml:space="preserve">Le cadre normatif du secteur </w:t>
      </w:r>
      <w:r>
        <w:rPr>
          <w:rFonts w:ascii="Calibri" w:eastAsia="Times New Roman" w:hAnsi="Calibri" w:cs="Calibri"/>
          <w:lang w:bidi="en-US"/>
        </w:rPr>
        <w:t xml:space="preserve">de l’Habitat, de l’Urbanisme et de L’Aménagement du territoire </w:t>
      </w:r>
      <w:r w:rsidRPr="001C3757">
        <w:rPr>
          <w:rFonts w:ascii="Calibri" w:eastAsia="Times New Roman" w:hAnsi="Calibri" w:cs="Calibri"/>
          <w:lang w:bidi="en-US"/>
        </w:rPr>
        <w:t>repose sur un référentiel législat</w:t>
      </w:r>
      <w:r>
        <w:rPr>
          <w:rFonts w:ascii="Calibri" w:eastAsia="Times New Roman" w:hAnsi="Calibri" w:cs="Calibri"/>
          <w:lang w:bidi="en-US"/>
        </w:rPr>
        <w:t xml:space="preserve">if de trois lois </w:t>
      </w:r>
      <w:r w:rsidRPr="001C3757">
        <w:rPr>
          <w:rFonts w:ascii="Calibri" w:eastAsia="Times New Roman" w:hAnsi="Calibri" w:cs="Calibri"/>
          <w:lang w:bidi="en-US"/>
        </w:rPr>
        <w:t xml:space="preserve">: (i) </w:t>
      </w:r>
      <w:r w:rsidRPr="00340758">
        <w:rPr>
          <w:rFonts w:ascii="Calibri" w:eastAsia="Times New Roman" w:hAnsi="Calibri" w:cs="Calibri"/>
          <w:lang w:bidi="en-US"/>
        </w:rPr>
        <w:t>Le nouveau Code de l’Urbanisme et de la construction ; la nouvelle loi sur la promotion immobilière et (ii) La Loi d’Orientation sur l’Aménagement du Territoire :</w:t>
      </w:r>
    </w:p>
    <w:p w14:paraId="4D082CB8" w14:textId="77777777" w:rsidR="00BC6C8B" w:rsidRPr="001C3757" w:rsidRDefault="00BC6C8B" w:rsidP="00BC6C8B">
      <w:pPr>
        <w:numPr>
          <w:ilvl w:val="0"/>
          <w:numId w:val="444"/>
        </w:numPr>
        <w:spacing w:after="0" w:line="240" w:lineRule="auto"/>
        <w:ind w:left="567" w:hanging="567"/>
        <w:jc w:val="both"/>
        <w:rPr>
          <w:rFonts w:ascii="Calibri" w:eastAsia="Times New Roman" w:hAnsi="Calibri" w:cs="Calibri"/>
          <w:b/>
          <w:lang w:bidi="en-US"/>
        </w:rPr>
      </w:pPr>
      <w:r w:rsidRPr="001C3757">
        <w:rPr>
          <w:rFonts w:ascii="Calibri" w:eastAsia="Times New Roman" w:hAnsi="Calibri" w:cs="Calibri"/>
          <w:b/>
          <w:lang w:bidi="en-US"/>
        </w:rPr>
        <w:t xml:space="preserve">Le </w:t>
      </w:r>
      <w:r>
        <w:rPr>
          <w:rFonts w:ascii="Calibri" w:eastAsia="Times New Roman" w:hAnsi="Calibri" w:cs="Calibri"/>
          <w:b/>
          <w:lang w:bidi="en-US"/>
        </w:rPr>
        <w:t xml:space="preserve">Nouveau </w:t>
      </w:r>
      <w:r w:rsidRPr="001C3757">
        <w:rPr>
          <w:rFonts w:ascii="Calibri" w:eastAsia="Times New Roman" w:hAnsi="Calibri" w:cs="Calibri"/>
          <w:b/>
          <w:lang w:bidi="en-US"/>
        </w:rPr>
        <w:t xml:space="preserve">Code de l’Urbanisme </w:t>
      </w:r>
      <w:r>
        <w:rPr>
          <w:rFonts w:ascii="Calibri" w:eastAsia="Times New Roman" w:hAnsi="Calibri" w:cs="Calibri"/>
          <w:b/>
          <w:lang w:bidi="en-US"/>
        </w:rPr>
        <w:t xml:space="preserve">et de la construction </w:t>
      </w:r>
      <w:r w:rsidRPr="001C3757">
        <w:rPr>
          <w:rFonts w:ascii="Calibri" w:eastAsia="Times New Roman" w:hAnsi="Calibri" w:cs="Calibri"/>
          <w:b/>
          <w:lang w:bidi="en-US"/>
        </w:rPr>
        <w:t>:</w:t>
      </w:r>
    </w:p>
    <w:p w14:paraId="4DA87160" w14:textId="77777777" w:rsidR="00BC6C8B" w:rsidRPr="001C3757" w:rsidRDefault="00BC6C8B" w:rsidP="00BC6C8B">
      <w:pPr>
        <w:spacing w:before="120" w:after="0" w:line="240" w:lineRule="auto"/>
        <w:jc w:val="both"/>
        <w:rPr>
          <w:rFonts w:ascii="Calibri" w:eastAsia="Times New Roman" w:hAnsi="Calibri" w:cs="Calibri"/>
          <w:lang w:bidi="en-US"/>
        </w:rPr>
      </w:pPr>
      <w:r w:rsidRPr="001C3757">
        <w:rPr>
          <w:rFonts w:ascii="Calibri" w:eastAsia="Times New Roman" w:hAnsi="Calibri" w:cs="Calibri"/>
          <w:lang w:bidi="en-US"/>
        </w:rPr>
        <w:t>La Mauritanie s’est dotée tardivement d’un cadre normatif sur l’urbain</w:t>
      </w:r>
      <w:r>
        <w:rPr>
          <w:rFonts w:ascii="Calibri" w:eastAsia="Times New Roman" w:hAnsi="Calibri" w:cs="Calibri"/>
          <w:lang w:bidi="en-US"/>
        </w:rPr>
        <w:t xml:space="preserve"> et la construction.</w:t>
      </w:r>
      <w:r w:rsidRPr="001C3757">
        <w:rPr>
          <w:rFonts w:ascii="Calibri" w:eastAsia="Times New Roman" w:hAnsi="Calibri" w:cs="Calibri"/>
          <w:lang w:bidi="en-US"/>
        </w:rPr>
        <w:t xml:space="preserve"> Ceci s’explique par le fait que le pays, jadis principalement nomade, a été brutalement propulsé dans le monde de l’urbain sans y être préparé. La péjoration climatique observée depuis les années 70 a bouleversé de fond en comble la structure et la répartition des établissements urbains. Le taux de sédentarisation qui était de 30% en 1969 est passé à 63,6% en 1977, 87,9% en 1988 et à 98,1% en 2013. Dans le même temps, le taux d’urbanisation est passé de 22,7% en 1977 à 48,3% en 2013, soit un doublement en 36 ans. Selon les projections de la Division de la Population des Nations unies, la Mauritanie devrait devenir un pays majoritairement urbain vers 2025. A cet horizon, la</w:t>
      </w:r>
      <w:r>
        <w:rPr>
          <w:rFonts w:ascii="Calibri" w:eastAsia="Times New Roman" w:hAnsi="Calibri" w:cs="Calibri"/>
          <w:lang w:bidi="en-US"/>
        </w:rPr>
        <w:t xml:space="preserve"> population compterait plus de 50 000 000 habitants, d’ici 2030</w:t>
      </w:r>
      <w:r w:rsidRPr="001C3757">
        <w:rPr>
          <w:rFonts w:ascii="Calibri" w:eastAsia="Times New Roman" w:hAnsi="Calibri" w:cs="Calibri"/>
          <w:lang w:bidi="en-US"/>
        </w:rPr>
        <w:t xml:space="preserve"> Il sera alors le pays le plus urbanisé d’Afrique.</w:t>
      </w:r>
    </w:p>
    <w:p w14:paraId="5212443E" w14:textId="77777777" w:rsidR="00BC6C8B" w:rsidRPr="001C3757" w:rsidRDefault="00BC6C8B" w:rsidP="00BC6C8B">
      <w:p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La rapidité du phénomène a fait que la Mauritanie subit l’urbanisation plus qu’elle ne le planifie. La loi portant Code de l’Urbanisme</w:t>
      </w:r>
      <w:r>
        <w:rPr>
          <w:rFonts w:ascii="Calibri" w:eastAsia="Times New Roman" w:hAnsi="Calibri" w:cs="Calibri"/>
          <w:lang w:bidi="en-US"/>
        </w:rPr>
        <w:t xml:space="preserve"> et de la construction</w:t>
      </w:r>
      <w:r w:rsidRPr="001C3757">
        <w:rPr>
          <w:rFonts w:ascii="Calibri" w:eastAsia="Times New Roman" w:hAnsi="Calibri" w:cs="Calibri"/>
          <w:lang w:bidi="en-US"/>
        </w:rPr>
        <w:t xml:space="preserve"> a </w:t>
      </w:r>
      <w:r>
        <w:rPr>
          <w:rFonts w:ascii="Calibri" w:eastAsia="Times New Roman" w:hAnsi="Calibri" w:cs="Calibri"/>
          <w:lang w:bidi="en-US"/>
        </w:rPr>
        <w:t>été adoptée et approuvée en 2024</w:t>
      </w:r>
      <w:r w:rsidRPr="001C3757">
        <w:rPr>
          <w:rFonts w:ascii="Calibri" w:eastAsia="Times New Roman" w:hAnsi="Calibri" w:cs="Calibri"/>
          <w:lang w:bidi="en-US"/>
        </w:rPr>
        <w:t xml:space="preserve"> afin de combler le vide juridique en matière de normes urbaines et de gestion de l’espace urbain. Ce vide est la base de l’anarchie observée en matière de développement urbain et de dysfonctionnement dans le rôle des différents acteurs.</w:t>
      </w:r>
    </w:p>
    <w:p w14:paraId="21D0EC98" w14:textId="77777777" w:rsidR="00BC6C8B" w:rsidRPr="001C3757" w:rsidRDefault="00BC6C8B" w:rsidP="00BC6C8B">
      <w:p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 xml:space="preserve">Les principales préoccupations du </w:t>
      </w:r>
      <w:r>
        <w:rPr>
          <w:rFonts w:ascii="Calibri" w:eastAsia="Times New Roman" w:hAnsi="Calibri" w:cs="Calibri"/>
          <w:lang w:bidi="en-US"/>
        </w:rPr>
        <w:t xml:space="preserve">nouveau </w:t>
      </w:r>
      <w:r w:rsidRPr="001C3757">
        <w:rPr>
          <w:rFonts w:ascii="Calibri" w:eastAsia="Times New Roman" w:hAnsi="Calibri" w:cs="Calibri"/>
          <w:lang w:bidi="en-US"/>
        </w:rPr>
        <w:t xml:space="preserve">Code </w:t>
      </w:r>
      <w:r>
        <w:rPr>
          <w:rFonts w:ascii="Calibri" w:eastAsia="Times New Roman" w:hAnsi="Calibri" w:cs="Calibri"/>
          <w:lang w:bidi="en-US"/>
        </w:rPr>
        <w:t xml:space="preserve">de l’urbanisme et de la construction </w:t>
      </w:r>
      <w:r w:rsidRPr="001C3757">
        <w:rPr>
          <w:rFonts w:ascii="Calibri" w:eastAsia="Times New Roman" w:hAnsi="Calibri" w:cs="Calibri"/>
          <w:lang w:bidi="en-US"/>
        </w:rPr>
        <w:t>sont :</w:t>
      </w:r>
    </w:p>
    <w:p w14:paraId="67115689" w14:textId="77777777" w:rsidR="00BC6C8B" w:rsidRPr="001C3757" w:rsidRDefault="00BC6C8B" w:rsidP="00BC6C8B">
      <w:pPr>
        <w:numPr>
          <w:ilvl w:val="0"/>
          <w:numId w:val="442"/>
        </w:numPr>
        <w:spacing w:before="100" w:beforeAutospacing="1" w:after="100" w:afterAutospacing="1" w:line="23" w:lineRule="atLeast"/>
        <w:ind w:left="714" w:hanging="357"/>
        <w:jc w:val="both"/>
        <w:rPr>
          <w:rFonts w:ascii="Calibri" w:eastAsia="Times New Roman" w:hAnsi="Calibri" w:cs="Calibri"/>
          <w:lang w:bidi="en-US"/>
        </w:rPr>
      </w:pPr>
      <w:r w:rsidRPr="001C3757">
        <w:rPr>
          <w:rFonts w:ascii="Calibri" w:eastAsia="Times New Roman" w:hAnsi="Calibri" w:cs="Calibri"/>
          <w:lang w:bidi="en-US"/>
        </w:rPr>
        <w:t>La définition des principaux outils urbains (</w:t>
      </w:r>
      <w:r w:rsidRPr="001C3757">
        <w:rPr>
          <w:rFonts w:ascii="Calibri" w:eastAsia="Times New Roman" w:hAnsi="Calibri" w:cs="Calibri"/>
          <w:bCs/>
          <w:lang w:bidi="en-US"/>
        </w:rPr>
        <w:t>Schéma de Développement et d’Aménagement Urbain -SDAU-, Plan Local d’Urbanisme –PLU- et Plan d’Aménagement de Détail –PAD-)</w:t>
      </w:r>
      <w:r w:rsidRPr="001C3757">
        <w:rPr>
          <w:rFonts w:ascii="Calibri" w:eastAsia="Times New Roman" w:hAnsi="Calibri" w:cs="Calibri"/>
          <w:lang w:bidi="en-US"/>
        </w:rPr>
        <w:t xml:space="preserve"> ainsi que leur hiérarchie et leur opposabilité juridique ;</w:t>
      </w:r>
    </w:p>
    <w:p w14:paraId="1F31C560" w14:textId="77777777" w:rsidR="00BC6C8B" w:rsidRPr="001C3757" w:rsidRDefault="00BC6C8B" w:rsidP="00BC6C8B">
      <w:pPr>
        <w:numPr>
          <w:ilvl w:val="0"/>
          <w:numId w:val="442"/>
        </w:numPr>
        <w:spacing w:before="100" w:beforeAutospacing="1" w:after="100" w:afterAutospacing="1" w:line="23" w:lineRule="atLeast"/>
        <w:ind w:left="714" w:hanging="357"/>
        <w:jc w:val="both"/>
        <w:rPr>
          <w:rFonts w:ascii="Calibri" w:eastAsia="Times New Roman" w:hAnsi="Calibri" w:cs="Calibri"/>
          <w:lang w:bidi="en-US"/>
        </w:rPr>
      </w:pPr>
      <w:r w:rsidRPr="001C3757">
        <w:rPr>
          <w:rFonts w:ascii="Calibri" w:eastAsia="Times New Roman" w:hAnsi="Calibri" w:cs="Calibri"/>
          <w:lang w:bidi="en-US"/>
        </w:rPr>
        <w:t>L’instruction</w:t>
      </w:r>
      <w:r>
        <w:rPr>
          <w:rFonts w:ascii="Calibri" w:eastAsia="Times New Roman" w:hAnsi="Calibri" w:cs="Calibri"/>
          <w:lang w:bidi="en-US"/>
        </w:rPr>
        <w:t xml:space="preserve"> et la numérisation</w:t>
      </w:r>
      <w:r w:rsidRPr="001C3757">
        <w:rPr>
          <w:rFonts w:ascii="Calibri" w:eastAsia="Times New Roman" w:hAnsi="Calibri" w:cs="Calibri"/>
          <w:lang w:bidi="en-US"/>
        </w:rPr>
        <w:t xml:space="preserve"> du permis de construire ;</w:t>
      </w:r>
    </w:p>
    <w:p w14:paraId="536DB42A" w14:textId="77777777" w:rsidR="00BC6C8B" w:rsidRPr="001C3757" w:rsidRDefault="00BC6C8B" w:rsidP="00BC6C8B">
      <w:pPr>
        <w:numPr>
          <w:ilvl w:val="0"/>
          <w:numId w:val="442"/>
        </w:numPr>
        <w:spacing w:before="100" w:beforeAutospacing="1" w:after="100" w:afterAutospacing="1" w:line="23" w:lineRule="atLeast"/>
        <w:ind w:left="714" w:hanging="357"/>
        <w:jc w:val="both"/>
        <w:rPr>
          <w:rFonts w:ascii="Calibri" w:eastAsia="Times New Roman" w:hAnsi="Calibri" w:cs="Calibri"/>
          <w:lang w:bidi="en-US"/>
        </w:rPr>
      </w:pPr>
      <w:r w:rsidRPr="001C3757">
        <w:rPr>
          <w:rFonts w:ascii="Calibri" w:eastAsia="Times New Roman" w:hAnsi="Calibri" w:cs="Calibri"/>
          <w:lang w:bidi="en-US"/>
        </w:rPr>
        <w:t>La mise en place de contrôleurs urbains ;</w:t>
      </w:r>
    </w:p>
    <w:p w14:paraId="32A58341" w14:textId="77777777" w:rsidR="00BC6C8B" w:rsidRDefault="00BC6C8B" w:rsidP="00BC6C8B">
      <w:pPr>
        <w:numPr>
          <w:ilvl w:val="0"/>
          <w:numId w:val="442"/>
        </w:numPr>
        <w:spacing w:before="100" w:beforeAutospacing="1" w:after="100" w:afterAutospacing="1" w:line="23" w:lineRule="atLeast"/>
        <w:ind w:left="714" w:hanging="357"/>
        <w:jc w:val="both"/>
        <w:rPr>
          <w:rFonts w:ascii="Calibri" w:eastAsia="Times New Roman" w:hAnsi="Calibri" w:cs="Calibri"/>
          <w:lang w:bidi="en-US"/>
        </w:rPr>
      </w:pPr>
      <w:r w:rsidRPr="001C3757">
        <w:rPr>
          <w:rFonts w:ascii="Calibri" w:eastAsia="Times New Roman" w:hAnsi="Calibri" w:cs="Calibri"/>
          <w:lang w:bidi="en-US"/>
        </w:rPr>
        <w:t>Le recours obligatoire, sous certaines conditions, aux hommes de l’art dans la conception et l’exécution</w:t>
      </w:r>
      <w:r>
        <w:rPr>
          <w:rFonts w:ascii="Calibri" w:eastAsia="Times New Roman" w:hAnsi="Calibri" w:cs="Calibri"/>
          <w:lang w:bidi="en-US"/>
        </w:rPr>
        <w:t xml:space="preserve"> de projets urbains et de construction</w:t>
      </w:r>
      <w:r w:rsidRPr="001C3757">
        <w:rPr>
          <w:rFonts w:ascii="Calibri" w:eastAsia="Times New Roman" w:hAnsi="Calibri" w:cs="Calibri"/>
          <w:lang w:bidi="en-US"/>
        </w:rPr>
        <w:t>.</w:t>
      </w:r>
    </w:p>
    <w:p w14:paraId="12A91FD8" w14:textId="77777777" w:rsidR="00BC6C8B" w:rsidRDefault="00BC6C8B" w:rsidP="00BC6C8B">
      <w:pPr>
        <w:numPr>
          <w:ilvl w:val="0"/>
          <w:numId w:val="442"/>
        </w:numPr>
        <w:spacing w:before="100" w:beforeAutospacing="1" w:after="100" w:afterAutospacing="1" w:line="23" w:lineRule="atLeast"/>
        <w:ind w:left="714" w:hanging="357"/>
        <w:jc w:val="both"/>
        <w:rPr>
          <w:rFonts w:ascii="Calibri" w:eastAsia="Times New Roman" w:hAnsi="Calibri" w:cs="Calibri"/>
          <w:lang w:bidi="en-US"/>
        </w:rPr>
      </w:pPr>
      <w:r>
        <w:rPr>
          <w:rFonts w:ascii="Calibri" w:eastAsia="Times New Roman" w:hAnsi="Calibri" w:cs="Calibri"/>
          <w:lang w:bidi="en-US"/>
        </w:rPr>
        <w:t>La prise en compte des questions liées aux aspects environnementaux notamment la création des espaces verts dans le tissu urbain, l’intégration des indicateurs dans la conception des projets de bâtiments permettant d’assurer le confort, l’économie en termes d’énergie (favorisant simultanément la lumière naturelle et la température ambiante en observant un écartement adéquat entre les parcelles bâties et les hauteurs) et la résilience.</w:t>
      </w:r>
    </w:p>
    <w:p w14:paraId="7D376307" w14:textId="77777777" w:rsidR="00BC6C8B" w:rsidRPr="001C3757" w:rsidRDefault="00BC6C8B" w:rsidP="00BC6C8B">
      <w:pPr>
        <w:spacing w:before="100" w:beforeAutospacing="1" w:after="100" w:afterAutospacing="1" w:line="23" w:lineRule="atLeast"/>
        <w:jc w:val="both"/>
        <w:rPr>
          <w:rFonts w:ascii="Calibri" w:eastAsia="Times New Roman" w:hAnsi="Calibri" w:cs="Calibri"/>
          <w:lang w:bidi="en-US"/>
        </w:rPr>
      </w:pPr>
      <w:r>
        <w:rPr>
          <w:rFonts w:ascii="Calibri" w:eastAsia="Times New Roman" w:hAnsi="Calibri" w:cs="Calibri"/>
          <w:lang w:bidi="en-US"/>
        </w:rPr>
        <w:t xml:space="preserve">Donc la présente loi régit et organise les règles applicables en matière d’urbanisme dont le but est la gestion rationnelle de l’espace urbain comme elle définit, régit et organise également le domaine de la construction en vue d’améliorer l’environnement globale du bâtiment et garantir en même temps un seuil maximum de qualité, de sécurité et de résilience pour les ouvrages. </w:t>
      </w:r>
    </w:p>
    <w:p w14:paraId="50DF0146" w14:textId="77777777" w:rsidR="00BC6C8B" w:rsidRDefault="00BC6C8B" w:rsidP="00BC6C8B">
      <w:pPr>
        <w:spacing w:before="100" w:beforeAutospacing="1" w:after="100" w:afterAutospacing="1" w:line="23" w:lineRule="atLeast"/>
        <w:jc w:val="both"/>
        <w:rPr>
          <w:rFonts w:ascii="Calibri" w:eastAsia="Times New Roman" w:hAnsi="Calibri" w:cs="Calibri"/>
          <w:lang w:bidi="en-US"/>
        </w:rPr>
      </w:pPr>
      <w:r>
        <w:rPr>
          <w:rFonts w:ascii="Calibri" w:eastAsia="Times New Roman" w:hAnsi="Calibri" w:cs="Calibri"/>
          <w:lang w:bidi="en-US"/>
        </w:rPr>
        <w:t>Contrairement à l’ancien code de l’urbanisme,</w:t>
      </w:r>
      <w:r w:rsidRPr="001C3757">
        <w:rPr>
          <w:rFonts w:ascii="Calibri" w:eastAsia="Times New Roman" w:hAnsi="Calibri" w:cs="Calibri"/>
          <w:lang w:bidi="en-US"/>
        </w:rPr>
        <w:t xml:space="preserve"> il s’agit plus de</w:t>
      </w:r>
      <w:r>
        <w:rPr>
          <w:rFonts w:ascii="Calibri" w:eastAsia="Times New Roman" w:hAnsi="Calibri" w:cs="Calibri"/>
          <w:lang w:bidi="en-US"/>
        </w:rPr>
        <w:t xml:space="preserve"> rattraper ce qui peut l’être et de</w:t>
      </w:r>
      <w:r w:rsidRPr="001C3757">
        <w:rPr>
          <w:rFonts w:ascii="Calibri" w:eastAsia="Times New Roman" w:hAnsi="Calibri" w:cs="Calibri"/>
          <w:lang w:bidi="en-US"/>
        </w:rPr>
        <w:t xml:space="preserve"> ré</w:t>
      </w:r>
      <w:r>
        <w:rPr>
          <w:rFonts w:ascii="Calibri" w:eastAsia="Times New Roman" w:hAnsi="Calibri" w:cs="Calibri"/>
          <w:lang w:bidi="en-US"/>
        </w:rPr>
        <w:t xml:space="preserve">organiser ce qui est chaotique et de tenir compte de la </w:t>
      </w:r>
      <w:r w:rsidRPr="001C3757">
        <w:rPr>
          <w:rFonts w:ascii="Calibri" w:eastAsia="Times New Roman" w:hAnsi="Calibri" w:cs="Calibri"/>
          <w:lang w:bidi="en-US"/>
        </w:rPr>
        <w:t>prise de conscience réelle d’une nécessaire adaptation a</w:t>
      </w:r>
      <w:r>
        <w:rPr>
          <w:rFonts w:ascii="Calibri" w:eastAsia="Times New Roman" w:hAnsi="Calibri" w:cs="Calibri"/>
          <w:lang w:bidi="en-US"/>
        </w:rPr>
        <w:t>ux changement climatiques.</w:t>
      </w:r>
    </w:p>
    <w:p w14:paraId="1640AC7B" w14:textId="77777777" w:rsidR="00BC6C8B" w:rsidRDefault="00BC6C8B" w:rsidP="00BC6C8B">
      <w:pPr>
        <w:spacing w:before="100" w:beforeAutospacing="1" w:after="100" w:afterAutospacing="1" w:line="23" w:lineRule="atLeast"/>
        <w:jc w:val="both"/>
        <w:rPr>
          <w:rFonts w:ascii="Calibri" w:eastAsia="Times New Roman" w:hAnsi="Calibri" w:cs="Calibri"/>
          <w:lang w:bidi="en-US"/>
        </w:rPr>
      </w:pPr>
      <w:r>
        <w:rPr>
          <w:rFonts w:ascii="Calibri" w:eastAsia="Times New Roman" w:hAnsi="Calibri" w:cs="Calibri"/>
          <w:lang w:bidi="en-US"/>
        </w:rPr>
        <w:t xml:space="preserve"> Ce </w:t>
      </w:r>
      <w:r w:rsidRPr="001C3757">
        <w:rPr>
          <w:rFonts w:ascii="Calibri" w:eastAsia="Times New Roman" w:hAnsi="Calibri" w:cs="Calibri"/>
          <w:lang w:bidi="en-US"/>
        </w:rPr>
        <w:t>texte est une avancée majeure en ce sens que l’élaboration des outils est participative et le contrôle citoyen effectif à travers l’obligation d’enquête publique avant adoption des documents d’urbanisme.</w:t>
      </w:r>
    </w:p>
    <w:p w14:paraId="4A259A30" w14:textId="77777777" w:rsidR="00BC6C8B" w:rsidRDefault="00BC6C8B" w:rsidP="00BC6C8B">
      <w:pPr>
        <w:spacing w:before="80" w:after="80" w:line="240" w:lineRule="auto"/>
        <w:jc w:val="both"/>
        <w:rPr>
          <w:rFonts w:ascii="Calibri" w:eastAsia="Times New Roman" w:hAnsi="Calibri" w:cs="Calibri"/>
          <w:lang w:bidi="en-US"/>
        </w:rPr>
      </w:pPr>
      <w:r>
        <w:rPr>
          <w:rFonts w:ascii="Calibri" w:eastAsia="Times New Roman" w:hAnsi="Calibri" w:cs="Calibri"/>
          <w:lang w:bidi="en-US"/>
        </w:rPr>
        <w:t>Mais aussi par le renforcement de la décentralisation en donnant aux structures décentralisées et délocalisées de l’Etat notamment les walis, la possibilité d’initier l’élaboration des documents de planification et de gestion urbaine de leurs villes à condition de les faire valider par les services techniques du département en charge de l’urbanisme.</w:t>
      </w:r>
    </w:p>
    <w:p w14:paraId="1F99036C" w14:textId="77777777" w:rsidR="00BC6C8B" w:rsidRDefault="00BC6C8B" w:rsidP="00BC6C8B">
      <w:pPr>
        <w:spacing w:after="80" w:line="240" w:lineRule="auto"/>
        <w:jc w:val="both"/>
        <w:rPr>
          <w:rFonts w:ascii="Calibri" w:eastAsia="Times New Roman" w:hAnsi="Calibri" w:cs="Calibri"/>
          <w:lang w:bidi="en-US"/>
        </w:rPr>
      </w:pPr>
      <w:r>
        <w:rPr>
          <w:rFonts w:ascii="Calibri" w:eastAsia="Times New Roman" w:hAnsi="Calibri" w:cs="Calibri"/>
          <w:lang w:bidi="en-US"/>
        </w:rPr>
        <w:t xml:space="preserve">En matière d’Aménagement du Territoire, </w:t>
      </w:r>
      <w:r w:rsidRPr="00B36A63">
        <w:rPr>
          <w:rFonts w:ascii="Calibri" w:eastAsia="Times New Roman" w:hAnsi="Calibri" w:cs="Calibri"/>
          <w:lang w:bidi="en-US"/>
        </w:rPr>
        <w:t>Le Département de l'habitat, de L’urbanisme et de L’Aménagement du Territoire continu de travailler à la mise en œuvre des grands objectifs</w:t>
      </w:r>
      <w:r w:rsidRPr="00B36A63">
        <w:t xml:space="preserve"> </w:t>
      </w:r>
      <w:r w:rsidRPr="00B36A63">
        <w:rPr>
          <w:rFonts w:ascii="Calibri" w:eastAsia="Times New Roman" w:hAnsi="Calibri" w:cs="Calibri"/>
          <w:lang w:bidi="en-US"/>
        </w:rPr>
        <w:t>traduit dans la politique du gouvernement</w:t>
      </w:r>
      <w:r>
        <w:rPr>
          <w:rFonts w:ascii="Calibri" w:eastAsia="Times New Roman" w:hAnsi="Calibri" w:cs="Calibri"/>
          <w:lang w:bidi="en-US"/>
        </w:rPr>
        <w:t>.</w:t>
      </w:r>
      <w:r w:rsidRPr="00B36A63">
        <w:rPr>
          <w:rFonts w:ascii="Arial Narrow" w:eastAsia="Times New Roman" w:hAnsi="Arial Narrow" w:cs="Times New Roman"/>
          <w:color w:val="202124"/>
          <w:sz w:val="24"/>
          <w:szCs w:val="24"/>
          <w:lang w:eastAsia="fr-FR"/>
        </w:rPr>
        <w:t xml:space="preserve"> </w:t>
      </w:r>
      <w:r w:rsidRPr="00B36A63">
        <w:rPr>
          <w:rFonts w:ascii="Calibri" w:eastAsia="Times New Roman" w:hAnsi="Calibri" w:cs="Calibri"/>
          <w:lang w:bidi="en-US"/>
        </w:rPr>
        <w:t>Dans ce qui suit, nous passons en revue les réalisations les plus marquantes à cet égard</w:t>
      </w:r>
      <w:r>
        <w:rPr>
          <w:rFonts w:ascii="Calibri" w:eastAsia="Times New Roman" w:hAnsi="Calibri" w:cs="Calibri"/>
          <w:lang w:bidi="en-US"/>
        </w:rPr>
        <w:t> :</w:t>
      </w:r>
    </w:p>
    <w:p w14:paraId="4C2513DC" w14:textId="77777777" w:rsidR="00BC6C8B" w:rsidRPr="00B36A63" w:rsidRDefault="00BC6C8B" w:rsidP="00BC6C8B">
      <w:pPr>
        <w:numPr>
          <w:ilvl w:val="0"/>
          <w:numId w:val="470"/>
        </w:numPr>
        <w:spacing w:after="0" w:line="240" w:lineRule="auto"/>
        <w:ind w:left="426" w:hanging="426"/>
        <w:jc w:val="both"/>
        <w:rPr>
          <w:rFonts w:ascii="Calibri" w:eastAsia="Times New Roman" w:hAnsi="Calibri" w:cs="Calibri"/>
          <w:lang w:bidi="en-US"/>
        </w:rPr>
      </w:pPr>
      <w:r w:rsidRPr="00B36A63">
        <w:rPr>
          <w:rFonts w:ascii="Calibri" w:eastAsia="Times New Roman" w:hAnsi="Calibri" w:cs="Calibri"/>
          <w:lang w:bidi="en-US"/>
        </w:rPr>
        <w:t>L’élaboration et l’approbation en conseils des ministres d’un décret précisant les formes, les contenus et les modalités d’élaboration, d’application, de suivi et d’évaluation des outils de l’aménagement du territoire ;</w:t>
      </w:r>
    </w:p>
    <w:p w14:paraId="4577BFA7" w14:textId="77777777" w:rsidR="00BC6C8B" w:rsidRDefault="00BC6C8B" w:rsidP="00BC6C8B">
      <w:pPr>
        <w:numPr>
          <w:ilvl w:val="0"/>
          <w:numId w:val="470"/>
        </w:numPr>
        <w:spacing w:after="0" w:line="240" w:lineRule="auto"/>
        <w:ind w:left="426" w:hanging="426"/>
        <w:jc w:val="both"/>
        <w:rPr>
          <w:rFonts w:ascii="Calibri" w:eastAsia="Times New Roman" w:hAnsi="Calibri" w:cs="Calibri"/>
          <w:lang w:bidi="en-US"/>
        </w:rPr>
      </w:pPr>
      <w:r w:rsidRPr="00B36A63">
        <w:rPr>
          <w:rFonts w:ascii="Calibri" w:eastAsia="Times New Roman" w:hAnsi="Calibri" w:cs="Calibri"/>
          <w:lang w:bidi="en-US"/>
        </w:rPr>
        <w:t xml:space="preserve">L’élaboration et l’approbation en conseil des ministres d’un décret abrogeant et remplaçant le décret n° 31-2010 du 9 février 2010 portant l’organisation et </w:t>
      </w:r>
    </w:p>
    <w:p w14:paraId="1E00569E" w14:textId="77777777" w:rsidR="00BC6C8B" w:rsidRPr="00B36A63" w:rsidRDefault="00BC6C8B" w:rsidP="00BC6C8B">
      <w:pPr>
        <w:numPr>
          <w:ilvl w:val="0"/>
          <w:numId w:val="470"/>
        </w:numPr>
        <w:spacing w:after="0" w:line="240" w:lineRule="auto"/>
        <w:ind w:left="426" w:hanging="426"/>
        <w:jc w:val="both"/>
        <w:rPr>
          <w:rFonts w:ascii="Calibri" w:eastAsia="Times New Roman" w:hAnsi="Calibri" w:cs="Calibri"/>
          <w:lang w:bidi="en-US"/>
        </w:rPr>
      </w:pPr>
      <w:proofErr w:type="gramStart"/>
      <w:r w:rsidRPr="00B36A63">
        <w:rPr>
          <w:rFonts w:ascii="Calibri" w:eastAsia="Times New Roman" w:hAnsi="Calibri" w:cs="Calibri"/>
          <w:lang w:bidi="en-US"/>
        </w:rPr>
        <w:t>le</w:t>
      </w:r>
      <w:proofErr w:type="gramEnd"/>
      <w:r w:rsidRPr="00B36A63">
        <w:rPr>
          <w:rFonts w:ascii="Calibri" w:eastAsia="Times New Roman" w:hAnsi="Calibri" w:cs="Calibri"/>
          <w:lang w:bidi="en-US"/>
        </w:rPr>
        <w:t xml:space="preserve"> fonctionnement de l’Observatoire national de l’aménagement du territoire ;</w:t>
      </w:r>
    </w:p>
    <w:p w14:paraId="0E07A2EC" w14:textId="77777777" w:rsidR="00BC6C8B" w:rsidRDefault="00BC6C8B" w:rsidP="00BC6C8B">
      <w:pPr>
        <w:numPr>
          <w:ilvl w:val="0"/>
          <w:numId w:val="470"/>
        </w:numPr>
        <w:spacing w:after="0" w:line="240" w:lineRule="auto"/>
        <w:ind w:left="426" w:hanging="426"/>
        <w:jc w:val="both"/>
        <w:rPr>
          <w:rFonts w:ascii="Calibri" w:eastAsia="Times New Roman" w:hAnsi="Calibri" w:cs="Calibri"/>
          <w:lang w:bidi="en-US"/>
        </w:rPr>
      </w:pPr>
      <w:r w:rsidRPr="00B36A63">
        <w:rPr>
          <w:rFonts w:ascii="Calibri" w:eastAsia="Times New Roman" w:hAnsi="Calibri" w:cs="Calibri"/>
          <w:lang w:bidi="en-US"/>
        </w:rPr>
        <w:t>La révision et l’approbation en conseil des ministres du décret N° 2020-077 du 14 Juillet 2020 portant typologie et tailles des établissements humains et les règles générales de sédentarisation et fixant les critères et normes de répartition des infrastructures socio-collectives</w:t>
      </w:r>
      <w:r>
        <w:rPr>
          <w:rFonts w:ascii="Calibri" w:eastAsia="Times New Roman" w:hAnsi="Calibri" w:cs="Calibri"/>
          <w:lang w:bidi="en-US"/>
        </w:rPr>
        <w:t> ;</w:t>
      </w:r>
      <w:r w:rsidRPr="00B36A63">
        <w:rPr>
          <w:rFonts w:ascii="Calibri" w:eastAsia="Times New Roman" w:hAnsi="Calibri" w:cs="Calibri"/>
          <w:lang w:bidi="en-US"/>
        </w:rPr>
        <w:t xml:space="preserve"> </w:t>
      </w:r>
    </w:p>
    <w:p w14:paraId="56020210" w14:textId="77777777" w:rsidR="00BC6C8B" w:rsidRDefault="00BC6C8B" w:rsidP="00BC6C8B">
      <w:pPr>
        <w:numPr>
          <w:ilvl w:val="0"/>
          <w:numId w:val="470"/>
        </w:numPr>
        <w:spacing w:after="0" w:line="240" w:lineRule="auto"/>
        <w:ind w:left="426" w:hanging="426"/>
        <w:jc w:val="both"/>
        <w:rPr>
          <w:rFonts w:ascii="Calibri" w:eastAsia="Times New Roman" w:hAnsi="Calibri" w:cs="Calibri"/>
          <w:lang w:bidi="en-US"/>
        </w:rPr>
      </w:pPr>
      <w:r>
        <w:rPr>
          <w:rFonts w:ascii="Calibri" w:eastAsia="Times New Roman" w:hAnsi="Calibri" w:cs="Calibri"/>
          <w:lang w:bidi="en-US"/>
        </w:rPr>
        <w:t>Le lancement de l’élaboration d’un schéma national d’aménagement du Territoire et ses déclinaisons régionales ;</w:t>
      </w:r>
    </w:p>
    <w:p w14:paraId="261600D9" w14:textId="77777777" w:rsidR="00BC6C8B" w:rsidRPr="00300C59" w:rsidRDefault="00BC6C8B" w:rsidP="00BC6C8B">
      <w:pPr>
        <w:numPr>
          <w:ilvl w:val="0"/>
          <w:numId w:val="470"/>
        </w:numPr>
        <w:spacing w:after="120" w:line="240" w:lineRule="auto"/>
        <w:ind w:left="425" w:hanging="425"/>
        <w:jc w:val="both"/>
        <w:rPr>
          <w:rFonts w:ascii="Calibri" w:eastAsia="Times New Roman" w:hAnsi="Calibri" w:cs="Calibri"/>
          <w:lang w:bidi="en-US"/>
        </w:rPr>
      </w:pPr>
      <w:r w:rsidRPr="00300C59">
        <w:rPr>
          <w:rFonts w:ascii="Calibri" w:eastAsia="Times New Roman" w:hAnsi="Calibri" w:cs="Calibri"/>
          <w:lang w:bidi="en-US"/>
        </w:rPr>
        <w:t>La réalisation en cours de la Stratégie d'encadrement de la sédentarisation (20%).</w:t>
      </w:r>
    </w:p>
    <w:p w14:paraId="352B40ED" w14:textId="77777777" w:rsidR="00BC6C8B" w:rsidRPr="00300C59" w:rsidRDefault="00BC6C8B" w:rsidP="00BC6C8B">
      <w:pPr>
        <w:spacing w:before="100" w:beforeAutospacing="1" w:after="100" w:afterAutospacing="1" w:line="23" w:lineRule="atLeast"/>
        <w:jc w:val="both"/>
        <w:rPr>
          <w:rFonts w:ascii="Calibri" w:eastAsia="Times New Roman" w:hAnsi="Calibri" w:cs="Calibri"/>
          <w:lang w:bidi="en-US"/>
        </w:rPr>
      </w:pPr>
      <w:r w:rsidRPr="00300C59">
        <w:rPr>
          <w:rFonts w:ascii="Calibri" w:eastAsia="Times New Roman" w:hAnsi="Calibri" w:cs="Calibri"/>
          <w:lang w:bidi="en-US"/>
        </w:rPr>
        <w:t>Aussi le département a initié l’élaboration de la politique nationale de l’aménag</w:t>
      </w:r>
      <w:r>
        <w:rPr>
          <w:rFonts w:ascii="Calibri" w:eastAsia="Times New Roman" w:hAnsi="Calibri" w:cs="Calibri"/>
          <w:lang w:bidi="en-US"/>
        </w:rPr>
        <w:t>ement du Territoire (PNAT)</w:t>
      </w:r>
      <w:r w:rsidRPr="00300C59">
        <w:rPr>
          <w:rFonts w:ascii="Calibri" w:eastAsia="Times New Roman" w:hAnsi="Calibri" w:cs="Calibri"/>
          <w:lang w:bidi="en-US"/>
        </w:rPr>
        <w:t>.</w:t>
      </w:r>
    </w:p>
    <w:p w14:paraId="5766917F" w14:textId="77777777" w:rsidR="00BC6C8B" w:rsidRPr="001C3757" w:rsidRDefault="00BC6C8B" w:rsidP="00BC6C8B">
      <w:pPr>
        <w:numPr>
          <w:ilvl w:val="0"/>
          <w:numId w:val="444"/>
        </w:numPr>
        <w:spacing w:before="120" w:after="120" w:line="23" w:lineRule="atLeast"/>
        <w:ind w:left="567" w:hanging="567"/>
        <w:jc w:val="both"/>
        <w:rPr>
          <w:rFonts w:ascii="Calibri" w:eastAsia="Times New Roman" w:hAnsi="Calibri" w:cs="Calibri"/>
          <w:b/>
          <w:lang w:bidi="en-US"/>
        </w:rPr>
      </w:pPr>
      <w:r w:rsidRPr="001C3757">
        <w:rPr>
          <w:rFonts w:ascii="Calibri" w:eastAsia="Times New Roman" w:hAnsi="Calibri" w:cs="Calibri"/>
          <w:b/>
          <w:lang w:bidi="en-US"/>
        </w:rPr>
        <w:t>La Loi d’Orientation sur l’Aménagement du Territoire ;</w:t>
      </w:r>
    </w:p>
    <w:p w14:paraId="14E8A755" w14:textId="77777777" w:rsidR="00BC6C8B" w:rsidRPr="001C3757" w:rsidRDefault="00BC6C8B" w:rsidP="00BC6C8B">
      <w:pPr>
        <w:spacing w:after="0" w:line="240" w:lineRule="auto"/>
        <w:jc w:val="both"/>
        <w:rPr>
          <w:rFonts w:ascii="Calibri" w:eastAsia="Times New Roman" w:hAnsi="Calibri" w:cs="Calibri"/>
          <w:lang w:bidi="en-US"/>
        </w:rPr>
      </w:pPr>
      <w:r w:rsidRPr="001C3757">
        <w:rPr>
          <w:rFonts w:ascii="Calibri" w:eastAsia="Times New Roman" w:hAnsi="Calibri" w:cs="Calibri"/>
          <w:lang w:bidi="en-US"/>
        </w:rPr>
        <w:t>La Mauritanie se doit de relever des défis majeurs :</w:t>
      </w:r>
    </w:p>
    <w:p w14:paraId="3C681476" w14:textId="77777777" w:rsidR="00BC6C8B" w:rsidRPr="001C3757" w:rsidRDefault="00BC6C8B" w:rsidP="00BC6C8B">
      <w:pPr>
        <w:numPr>
          <w:ilvl w:val="0"/>
          <w:numId w:val="443"/>
        </w:numPr>
        <w:spacing w:before="120" w:after="120" w:line="240" w:lineRule="auto"/>
        <w:ind w:left="714" w:hanging="357"/>
        <w:jc w:val="both"/>
        <w:rPr>
          <w:rFonts w:ascii="Calibri" w:eastAsia="Times New Roman" w:hAnsi="Calibri" w:cs="Calibri"/>
          <w:lang w:bidi="en-US"/>
        </w:rPr>
      </w:pPr>
      <w:r w:rsidRPr="001C3757">
        <w:rPr>
          <w:rFonts w:ascii="Calibri" w:eastAsia="Times New Roman" w:hAnsi="Calibri" w:cs="Calibri"/>
          <w:lang w:bidi="en-US"/>
        </w:rPr>
        <w:t>Nécessité de se doter d’une vision claire du développement national à travers un Schéma National d’Aménagement du Territoire ;</w:t>
      </w:r>
    </w:p>
    <w:p w14:paraId="7FE5CFA0" w14:textId="77777777" w:rsidR="00BC6C8B" w:rsidRPr="001C3757" w:rsidRDefault="00BC6C8B" w:rsidP="00BC6C8B">
      <w:pPr>
        <w:numPr>
          <w:ilvl w:val="0"/>
          <w:numId w:val="443"/>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Exigence de mettre en place les outils adéquats pour normaliser et suivre les politiques économiques et sociales de l’Etat afin d’assurer u</w:t>
      </w:r>
      <w:r w:rsidRPr="001C3757">
        <w:rPr>
          <w:rFonts w:ascii="Calibri" w:eastAsia="Times New Roman" w:hAnsi="Calibri" w:cs="Calibri"/>
          <w:color w:val="000000"/>
          <w:shd w:val="clear" w:color="auto" w:fill="FFFFFF"/>
          <w:lang w:bidi="en-US"/>
        </w:rPr>
        <w:t>ne organisation de l’espace favorisant le développement économique, l'intégration des populations, la solidarité dans la répartition des infrastructures, des activités et des services ;</w:t>
      </w:r>
    </w:p>
    <w:p w14:paraId="2E5B2862" w14:textId="77777777" w:rsidR="00BC6C8B" w:rsidRPr="001C3757" w:rsidRDefault="00BC6C8B" w:rsidP="00BC6C8B">
      <w:pPr>
        <w:numPr>
          <w:ilvl w:val="0"/>
          <w:numId w:val="443"/>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 xml:space="preserve">Devoir de soutenir </w:t>
      </w:r>
      <w:r w:rsidRPr="001C3757">
        <w:rPr>
          <w:rFonts w:ascii="Calibri" w:eastAsia="Times New Roman" w:hAnsi="Calibri" w:cs="Calibri"/>
          <w:color w:val="000000"/>
          <w:shd w:val="clear" w:color="auto" w:fill="FFFFFF"/>
          <w:lang w:bidi="en-US"/>
        </w:rPr>
        <w:t>les territoires en difficulté, notamment les territoires ruraux exposés à des risques récurrents, les poches de pauvreté, les territoires urbains déstructurés ou de grande précarité cumulant des handicaps économiques et sociaux et les zones enclavées ;</w:t>
      </w:r>
    </w:p>
    <w:p w14:paraId="7A2909CB" w14:textId="77777777" w:rsidR="00BC6C8B" w:rsidRPr="001C3757" w:rsidRDefault="00BC6C8B" w:rsidP="00BC6C8B">
      <w:pPr>
        <w:numPr>
          <w:ilvl w:val="0"/>
          <w:numId w:val="443"/>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 xml:space="preserve">Pertinence </w:t>
      </w:r>
      <w:r w:rsidRPr="001C3757">
        <w:rPr>
          <w:rFonts w:ascii="Calibri" w:eastAsia="Times New Roman" w:hAnsi="Calibri" w:cs="Calibri"/>
          <w:color w:val="000000"/>
          <w:shd w:val="clear" w:color="auto" w:fill="FFFFFF"/>
          <w:lang w:bidi="en-US"/>
        </w:rPr>
        <w:t xml:space="preserve">d’appuyer le développement local, organisé dans le cadre des collectivités territoriales et leurs groupements et les organisations interrégionales ou transfrontalières. </w:t>
      </w:r>
    </w:p>
    <w:p w14:paraId="1369BAEB" w14:textId="77777777" w:rsidR="00BC6C8B" w:rsidRPr="001C3757" w:rsidRDefault="00BC6C8B" w:rsidP="00BC6C8B">
      <w:pPr>
        <w:numPr>
          <w:ilvl w:val="0"/>
          <w:numId w:val="443"/>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Opportunités de c</w:t>
      </w:r>
      <w:r w:rsidRPr="001C3757">
        <w:rPr>
          <w:rFonts w:ascii="Calibri" w:eastAsia="Times New Roman" w:hAnsi="Calibri" w:cs="Calibri"/>
          <w:color w:val="000000"/>
          <w:shd w:val="clear" w:color="auto" w:fill="FFFFFF"/>
          <w:lang w:bidi="en-US"/>
        </w:rPr>
        <w:t>réer et/ou renforcer des pôles de développement à vocation nationale, sous-régionale et internationale, susceptibles de favoriser la compétitivité des territoires, la croissance et le développement durable.</w:t>
      </w:r>
    </w:p>
    <w:p w14:paraId="5A347ABF" w14:textId="77777777" w:rsidR="00BC6C8B" w:rsidRPr="001C3757" w:rsidRDefault="00BC6C8B" w:rsidP="00BC6C8B">
      <w:pPr>
        <w:spacing w:before="100" w:beforeAutospacing="1" w:after="120" w:line="240" w:lineRule="auto"/>
        <w:jc w:val="both"/>
        <w:rPr>
          <w:rFonts w:ascii="Calibri" w:eastAsia="Times New Roman" w:hAnsi="Calibri" w:cs="Calibri"/>
          <w:bCs/>
          <w:lang w:bidi="en-US"/>
        </w:rPr>
      </w:pPr>
      <w:r w:rsidRPr="001C3757">
        <w:rPr>
          <w:rFonts w:ascii="Calibri" w:eastAsia="Times New Roman" w:hAnsi="Calibri" w:cs="Calibri"/>
          <w:bCs/>
          <w:lang w:bidi="en-US"/>
        </w:rPr>
        <w:t xml:space="preserve">Face à un vaste pays aux trois quarts désertiques avec une côte qui </w:t>
      </w:r>
      <w:r w:rsidRPr="001C3757">
        <w:rPr>
          <w:rFonts w:ascii="Calibri" w:eastAsia="Times New Roman" w:hAnsi="Calibri" w:cs="Calibri"/>
          <w:color w:val="222222"/>
          <w:shd w:val="clear" w:color="auto" w:fill="FFFFFF"/>
          <w:lang w:bidi="en-US"/>
        </w:rPr>
        <w:t xml:space="preserve">s'étend sur près </w:t>
      </w:r>
      <w:r w:rsidRPr="001C3757">
        <w:rPr>
          <w:rFonts w:ascii="Calibri" w:eastAsia="Times New Roman" w:hAnsi="Calibri" w:cs="Calibri"/>
          <w:bCs/>
          <w:lang w:bidi="en-US"/>
        </w:rPr>
        <w:t xml:space="preserve">de 800 kilomètres, les écarts de richesses aggravés par la disparité des ressources et l’accélération de la fréquence des risques, la production d’une vision globale cohérente et solidaire s’impose. Elle s’impose d’autant plus que le pays connait une forte sédentarisation. </w:t>
      </w:r>
      <w:r w:rsidRPr="00340758">
        <w:rPr>
          <w:rFonts w:ascii="Calibri" w:eastAsia="Times New Roman" w:hAnsi="Calibri" w:cs="Calibri"/>
          <w:bCs/>
          <w:lang w:bidi="en-US"/>
        </w:rPr>
        <w:t>La loi d’orientation sur l’aménagement du territoire, adoptée et promulguée vise à encadrer cette exigence à travers </w:t>
      </w:r>
      <w:r w:rsidRPr="001C3757">
        <w:rPr>
          <w:rFonts w:ascii="Calibri" w:eastAsia="Times New Roman" w:hAnsi="Calibri" w:cs="Calibri"/>
          <w:bCs/>
          <w:lang w:bidi="en-US"/>
        </w:rPr>
        <w:t>:</w:t>
      </w:r>
    </w:p>
    <w:p w14:paraId="2A55E620" w14:textId="77777777" w:rsidR="00BC6C8B" w:rsidRPr="001C3757" w:rsidRDefault="00BC6C8B" w:rsidP="00BC6C8B">
      <w:pPr>
        <w:numPr>
          <w:ilvl w:val="0"/>
          <w:numId w:val="443"/>
        </w:numPr>
        <w:spacing w:before="120" w:after="120" w:line="240" w:lineRule="auto"/>
        <w:ind w:left="714" w:hanging="357"/>
        <w:jc w:val="both"/>
        <w:rPr>
          <w:rFonts w:ascii="Calibri" w:eastAsia="Times New Roman" w:hAnsi="Calibri" w:cs="Calibri"/>
          <w:lang w:bidi="en-US"/>
        </w:rPr>
      </w:pPr>
      <w:r w:rsidRPr="001C3757">
        <w:rPr>
          <w:rFonts w:ascii="Calibri" w:eastAsia="Times New Roman" w:hAnsi="Calibri" w:cs="Calibri"/>
          <w:lang w:bidi="en-US"/>
        </w:rPr>
        <w:t>La précision des défis et enjeux de l’aménagement du territoire en Mauritanie ;</w:t>
      </w:r>
    </w:p>
    <w:p w14:paraId="3C6A3351" w14:textId="77777777" w:rsidR="00BC6C8B" w:rsidRPr="001C3757" w:rsidRDefault="00BC6C8B" w:rsidP="00BC6C8B">
      <w:pPr>
        <w:numPr>
          <w:ilvl w:val="0"/>
          <w:numId w:val="443"/>
        </w:numPr>
        <w:spacing w:before="100" w:beforeAutospacing="1" w:after="100" w:afterAutospacing="1" w:line="23" w:lineRule="atLeast"/>
        <w:jc w:val="both"/>
        <w:rPr>
          <w:rFonts w:ascii="Calibri" w:eastAsia="Times New Roman" w:hAnsi="Calibri" w:cs="Calibri"/>
          <w:lang w:bidi="en-US"/>
        </w:rPr>
      </w:pPr>
      <w:r w:rsidRPr="001C3757">
        <w:rPr>
          <w:rFonts w:ascii="Calibri" w:eastAsia="Times New Roman" w:hAnsi="Calibri" w:cs="Calibri"/>
          <w:lang w:bidi="en-US"/>
        </w:rPr>
        <w:t>L’énoncé des orientations majeures de la politique nationale en matière d‘aménagement du territoire ; et</w:t>
      </w:r>
    </w:p>
    <w:p w14:paraId="513F6E29" w14:textId="77777777" w:rsidR="00BC6C8B" w:rsidRPr="001C3757" w:rsidRDefault="00BC6C8B" w:rsidP="00BC6C8B">
      <w:pPr>
        <w:numPr>
          <w:ilvl w:val="0"/>
          <w:numId w:val="443"/>
        </w:numPr>
        <w:spacing w:before="100" w:beforeAutospacing="1" w:after="100" w:afterAutospacing="1" w:line="23" w:lineRule="atLeast"/>
        <w:jc w:val="both"/>
        <w:rPr>
          <w:rFonts w:ascii="Calibri" w:eastAsia="Times New Roman" w:hAnsi="Calibri" w:cs="Calibri"/>
          <w:bCs/>
          <w:lang w:bidi="en-US"/>
        </w:rPr>
      </w:pPr>
      <w:r w:rsidRPr="001C3757">
        <w:rPr>
          <w:rFonts w:ascii="Calibri" w:eastAsia="Times New Roman" w:hAnsi="Calibri" w:cs="Calibri"/>
          <w:lang w:bidi="en-US"/>
        </w:rPr>
        <w:t>La définition des outils et des structures de l’aménagement</w:t>
      </w:r>
      <w:r w:rsidRPr="001C3757">
        <w:rPr>
          <w:rFonts w:ascii="Calibri" w:eastAsia="Times New Roman" w:hAnsi="Calibri" w:cs="Calibri"/>
          <w:bCs/>
          <w:lang w:bidi="en-US"/>
        </w:rPr>
        <w:t xml:space="preserve"> du territoire.</w:t>
      </w:r>
    </w:p>
    <w:p w14:paraId="0971FC88" w14:textId="77777777" w:rsidR="00BC6C8B" w:rsidRPr="00FA274D" w:rsidRDefault="00BC6C8B" w:rsidP="00BC6C8B">
      <w:pPr>
        <w:spacing w:after="120" w:line="240" w:lineRule="auto"/>
        <w:ind w:right="-108"/>
        <w:jc w:val="both"/>
        <w:rPr>
          <w:rFonts w:ascii="Calibri" w:eastAsia="Times New Roman" w:hAnsi="Calibri" w:cs="Calibri"/>
          <w:bCs/>
          <w:lang w:bidi="en-US"/>
        </w:rPr>
      </w:pPr>
      <w:r w:rsidRPr="001C3757">
        <w:rPr>
          <w:rFonts w:ascii="Calibri" w:eastAsia="Times New Roman" w:hAnsi="Calibri" w:cs="Calibri"/>
          <w:bCs/>
          <w:lang w:bidi="en-US"/>
        </w:rPr>
        <w:t>Comme on le remarque aisément, cette loi est directive et non prescriptive. Elle ne comporte pas de dispositions opposables à l’Administration ou aux tiers. Les directives et orientations ne tiennent en compte du changement climatique que d’une manière implicite. Il y est plus question d’environnement et de développement durable que de changement climatique, même si la plupart des orientations peuvent s’inscrire dans des mécanismes adaptatifs au changement climatique.</w:t>
      </w:r>
    </w:p>
    <w:p w14:paraId="74F19484" w14:textId="77777777" w:rsidR="00BC6C8B" w:rsidRPr="00A9093A" w:rsidRDefault="00BC6C8B" w:rsidP="00BC6C8B">
      <w:pPr>
        <w:numPr>
          <w:ilvl w:val="0"/>
          <w:numId w:val="444"/>
        </w:numPr>
        <w:spacing w:before="120" w:after="120" w:line="23" w:lineRule="atLeast"/>
        <w:ind w:left="499" w:hanging="357"/>
        <w:jc w:val="both"/>
        <w:rPr>
          <w:rFonts w:ascii="Calibri" w:eastAsia="Times New Roman" w:hAnsi="Calibri" w:cs="Calibri"/>
          <w:lang w:bidi="en-US"/>
        </w:rPr>
      </w:pPr>
      <w:r w:rsidRPr="00A9093A">
        <w:rPr>
          <w:rFonts w:ascii="Calibri" w:eastAsia="Times New Roman" w:hAnsi="Calibri" w:cs="Calibri"/>
          <w:bCs/>
          <w:lang w:bidi="en-US"/>
        </w:rPr>
        <w:t xml:space="preserve"> </w:t>
      </w:r>
      <w:r w:rsidRPr="00A9093A">
        <w:rPr>
          <w:rFonts w:ascii="Calibri" w:eastAsia="Times New Roman" w:hAnsi="Calibri" w:cs="Calibri"/>
          <w:b/>
          <w:bCs/>
          <w:lang w:bidi="en-US"/>
        </w:rPr>
        <w:t>Une nouvelle loi</w:t>
      </w:r>
      <w:r w:rsidRPr="00A9093A">
        <w:rPr>
          <w:rFonts w:ascii="Calibri" w:eastAsia="Times New Roman" w:hAnsi="Calibri" w:cs="Calibri"/>
          <w:b/>
          <w:lang w:bidi="en-US"/>
        </w:rPr>
        <w:t xml:space="preserve"> sur la promotion immobilière qui a pour objet de fixer</w:t>
      </w:r>
      <w:r w:rsidRPr="00A9093A">
        <w:rPr>
          <w:rFonts w:ascii="Calibri" w:eastAsia="Times New Roman" w:hAnsi="Calibri" w:cs="Calibri"/>
          <w:lang w:bidi="en-US"/>
        </w:rPr>
        <w:t> :</w:t>
      </w:r>
    </w:p>
    <w:p w14:paraId="72DB851C" w14:textId="77777777" w:rsidR="00BC6C8B" w:rsidRPr="00A9093A" w:rsidRDefault="00BC6C8B" w:rsidP="00BC6C8B">
      <w:pPr>
        <w:numPr>
          <w:ilvl w:val="0"/>
          <w:numId w:val="443"/>
        </w:numPr>
        <w:spacing w:before="120" w:after="0" w:line="240" w:lineRule="auto"/>
        <w:ind w:left="714" w:hanging="357"/>
        <w:jc w:val="both"/>
        <w:rPr>
          <w:rFonts w:ascii="Calibri" w:eastAsia="Times New Roman" w:hAnsi="Calibri" w:cs="Calibri"/>
          <w:lang w:bidi="en-US"/>
        </w:rPr>
      </w:pPr>
      <w:r w:rsidRPr="00A9093A">
        <w:rPr>
          <w:rFonts w:ascii="Calibri" w:eastAsia="Times New Roman" w:hAnsi="Calibri" w:cs="Calibri"/>
          <w:lang w:bidi="en-US"/>
        </w:rPr>
        <w:t xml:space="preserve"> Les règles applicables à l’activité de promotion immobilière,</w:t>
      </w:r>
    </w:p>
    <w:p w14:paraId="6A8E786F" w14:textId="77777777" w:rsidR="00BC6C8B" w:rsidRPr="00A9093A" w:rsidRDefault="00BC6C8B" w:rsidP="00BC6C8B">
      <w:pPr>
        <w:numPr>
          <w:ilvl w:val="0"/>
          <w:numId w:val="443"/>
        </w:numPr>
        <w:spacing w:before="100" w:beforeAutospacing="1" w:after="100" w:afterAutospacing="1" w:line="23" w:lineRule="atLeast"/>
        <w:jc w:val="both"/>
        <w:rPr>
          <w:rFonts w:ascii="Calibri" w:eastAsia="Times New Roman" w:hAnsi="Calibri" w:cs="Calibri"/>
          <w:lang w:bidi="en-US"/>
        </w:rPr>
      </w:pPr>
      <w:r w:rsidRPr="00A9093A">
        <w:rPr>
          <w:rFonts w:ascii="Calibri" w:eastAsia="Times New Roman" w:hAnsi="Calibri" w:cs="Calibri"/>
          <w:lang w:bidi="en-US"/>
        </w:rPr>
        <w:t xml:space="preserve"> Les conditions auxquelles doivent satisfaire les projets de la promotion immobilière</w:t>
      </w:r>
    </w:p>
    <w:p w14:paraId="76AF1E80" w14:textId="77777777" w:rsidR="00BC6C8B" w:rsidRPr="00A4087C" w:rsidRDefault="00BC6C8B" w:rsidP="00BC6C8B">
      <w:pPr>
        <w:numPr>
          <w:ilvl w:val="0"/>
          <w:numId w:val="443"/>
        </w:numPr>
        <w:spacing w:before="100" w:beforeAutospacing="1" w:after="100" w:afterAutospacing="1" w:line="23" w:lineRule="atLeast"/>
        <w:jc w:val="both"/>
        <w:rPr>
          <w:rFonts w:ascii="Calibri" w:eastAsia="Times New Roman" w:hAnsi="Calibri" w:cs="Calibri"/>
          <w:lang w:bidi="en-US"/>
        </w:rPr>
      </w:pPr>
      <w:r w:rsidRPr="00A9093A">
        <w:rPr>
          <w:rFonts w:ascii="Calibri" w:eastAsia="Times New Roman" w:hAnsi="Calibri" w:cs="Calibri"/>
          <w:lang w:bidi="en-US"/>
        </w:rPr>
        <w:t xml:space="preserve">Les rapports entre les promoteurs immobiliers et les acquéreurs </w:t>
      </w:r>
    </w:p>
    <w:p w14:paraId="37320F15" w14:textId="77777777" w:rsidR="00BC6C8B" w:rsidRDefault="00BC6C8B" w:rsidP="00BC6C8B">
      <w:pPr>
        <w:spacing w:before="300" w:after="40"/>
        <w:jc w:val="both"/>
        <w:outlineLvl w:val="0"/>
        <w:rPr>
          <w:rFonts w:ascii="Calibri" w:eastAsia="Times New Roman" w:hAnsi="Calibri" w:cs="Calibri"/>
          <w:smallCaps/>
          <w:spacing w:val="5"/>
          <w:lang w:bidi="en-US"/>
        </w:rPr>
      </w:pPr>
      <w:bookmarkStart w:id="447" w:name="_Toc58061711"/>
      <w:r w:rsidRPr="004A622D">
        <w:rPr>
          <w:rFonts w:ascii="Calibri" w:eastAsia="Times New Roman" w:hAnsi="Calibri" w:cs="Calibri"/>
          <w:b/>
          <w:caps/>
          <w:smallCaps/>
          <w:spacing w:val="5"/>
          <w:lang w:bidi="en-US"/>
        </w:rPr>
        <w:t>Partie 3 – Princ</w:t>
      </w:r>
      <w:r>
        <w:rPr>
          <w:rFonts w:ascii="Calibri" w:eastAsia="Times New Roman" w:hAnsi="Calibri" w:cs="Calibri"/>
          <w:b/>
          <w:caps/>
          <w:smallCaps/>
          <w:spacing w:val="5"/>
          <w:lang w:bidi="en-US"/>
        </w:rPr>
        <w:t>ipaux résultats de l’EVALUATION de la vulnérabilité ET ADAPTATION du SECTEUR, LACUNES</w:t>
      </w:r>
      <w:r w:rsidRPr="004A622D">
        <w:rPr>
          <w:rFonts w:ascii="Calibri" w:eastAsia="Times New Roman" w:hAnsi="Calibri" w:cs="Calibri"/>
          <w:b/>
          <w:caps/>
          <w:smallCaps/>
          <w:spacing w:val="5"/>
          <w:lang w:bidi="en-US"/>
        </w:rPr>
        <w:t xml:space="preserve"> et des besoins</w:t>
      </w:r>
      <w:bookmarkEnd w:id="447"/>
      <w:r w:rsidRPr="004A622D">
        <w:rPr>
          <w:rFonts w:ascii="Calibri" w:eastAsia="Times New Roman" w:hAnsi="Calibri" w:cs="Calibri"/>
          <w:smallCaps/>
          <w:spacing w:val="5"/>
          <w:lang w:bidi="en-US"/>
        </w:rPr>
        <w:t xml:space="preserve"> </w:t>
      </w:r>
    </w:p>
    <w:p w14:paraId="167978C4" w14:textId="77777777" w:rsidR="00BC6C8B" w:rsidRPr="00041DD9" w:rsidRDefault="00BC6C8B" w:rsidP="00BC6C8B">
      <w:pPr>
        <w:pStyle w:val="Titre1"/>
        <w:numPr>
          <w:ilvl w:val="0"/>
          <w:numId w:val="461"/>
        </w:numPr>
        <w:ind w:left="426" w:hanging="219"/>
        <w:rPr>
          <w:rFonts w:asciiTheme="minorHAnsi" w:hAnsiTheme="minorHAnsi" w:cstheme="minorHAnsi"/>
          <w:b/>
          <w:bCs/>
          <w:sz w:val="24"/>
          <w:szCs w:val="24"/>
        </w:rPr>
      </w:pPr>
      <w:bookmarkStart w:id="448" w:name="_Toc177215672"/>
      <w:r w:rsidRPr="00041DD9">
        <w:rPr>
          <w:rFonts w:asciiTheme="minorHAnsi" w:hAnsiTheme="minorHAnsi" w:cstheme="minorHAnsi"/>
          <w:b/>
          <w:bCs/>
          <w:sz w:val="24"/>
          <w:szCs w:val="24"/>
        </w:rPr>
        <w:t>Définition des termes clés dans l’exercice d’évaluation de la vulnérabilité et adaptation au changement climatique :</w:t>
      </w:r>
      <w:bookmarkEnd w:id="448"/>
    </w:p>
    <w:p w14:paraId="4D1AAC67" w14:textId="77777777" w:rsidR="00BC6C8B" w:rsidRDefault="00BC6C8B" w:rsidP="00BC6C8B">
      <w:pPr>
        <w:spacing w:after="0"/>
        <w:rPr>
          <w:sz w:val="24"/>
          <w:szCs w:val="24"/>
        </w:rPr>
      </w:pPr>
    </w:p>
    <w:p w14:paraId="1354C3E9" w14:textId="77777777" w:rsidR="00BC6C8B" w:rsidRPr="009C67C7" w:rsidRDefault="00BC6C8B" w:rsidP="00BC6C8B">
      <w:pPr>
        <w:spacing w:after="0"/>
        <w:ind w:left="426"/>
        <w:jc w:val="both"/>
        <w:rPr>
          <w:sz w:val="24"/>
          <w:szCs w:val="24"/>
        </w:rPr>
      </w:pPr>
      <w:r w:rsidRPr="00900AA8">
        <w:rPr>
          <w:sz w:val="24"/>
          <w:szCs w:val="24"/>
        </w:rPr>
        <w:t>Avant de commencer, il est important de comprendre le concept de vulnérabilité aux changements climatiques et d’être cohérent dans l’utilisation de termes spécifiques. La terminologie utilisée tout au long de ce matériel de formation provient du glossaire des termes utilisés dans le GIEC. AR5, qui dispose d’un glossaire spécifique et est disponible en ligne (GIEC, 2014). Quelques</w:t>
      </w:r>
      <w:r>
        <w:rPr>
          <w:sz w:val="24"/>
          <w:szCs w:val="24"/>
        </w:rPr>
        <w:t>-unes</w:t>
      </w:r>
      <w:r w:rsidRPr="00900AA8">
        <w:rPr>
          <w:sz w:val="24"/>
          <w:szCs w:val="24"/>
        </w:rPr>
        <w:t xml:space="preserve"> des modifications des définitions du rapport du GIEC ont été apportées.</w:t>
      </w:r>
    </w:p>
    <w:p w14:paraId="35EC88FA" w14:textId="77777777" w:rsidR="00BC6C8B" w:rsidRPr="00086B41" w:rsidRDefault="00BC6C8B" w:rsidP="00BC6C8B">
      <w:pPr>
        <w:pStyle w:val="Titre2"/>
        <w:ind w:left="426" w:hanging="426"/>
        <w:rPr>
          <w:b/>
          <w:bCs/>
          <w:sz w:val="24"/>
          <w:szCs w:val="24"/>
        </w:rPr>
      </w:pPr>
      <w:r w:rsidRPr="00D43488">
        <w:rPr>
          <w:b/>
          <w:bCs/>
        </w:rPr>
        <w:t xml:space="preserve">       </w:t>
      </w:r>
      <w:bookmarkStart w:id="449" w:name="_Toc177215673"/>
      <w:r w:rsidRPr="00D43488">
        <w:rPr>
          <w:b/>
          <w:bCs/>
        </w:rPr>
        <w:t>T</w:t>
      </w:r>
      <w:r w:rsidRPr="00086B41">
        <w:rPr>
          <w:b/>
          <w:bCs/>
          <w:sz w:val="24"/>
          <w:szCs w:val="24"/>
        </w:rPr>
        <w:t>ermes techniques clés utilisés tout au long de cette évaluation sont définis ci-dessous :</w:t>
      </w:r>
      <w:bookmarkEnd w:id="449"/>
    </w:p>
    <w:p w14:paraId="4E4FB5A9" w14:textId="77777777" w:rsidR="00BC6C8B" w:rsidRPr="0041032D" w:rsidRDefault="00BC6C8B" w:rsidP="00BC6C8B">
      <w:pPr>
        <w:numPr>
          <w:ilvl w:val="0"/>
          <w:numId w:val="462"/>
        </w:numPr>
        <w:spacing w:after="0"/>
        <w:jc w:val="both"/>
        <w:rPr>
          <w:sz w:val="24"/>
          <w:szCs w:val="24"/>
        </w:rPr>
      </w:pPr>
      <w:r w:rsidRPr="0041032D">
        <w:rPr>
          <w:b/>
          <w:bCs/>
          <w:sz w:val="24"/>
          <w:szCs w:val="24"/>
        </w:rPr>
        <w:t>Adaptation</w:t>
      </w:r>
      <w:r w:rsidRPr="0041032D">
        <w:rPr>
          <w:sz w:val="24"/>
          <w:szCs w:val="24"/>
        </w:rPr>
        <w:t xml:space="preserve"> : le processus d'ajustement au climat réel ou prévu et à ses effets. Dans les systèmes humains, l’adaptation cherche à modérer ou à éviter les dommages ou à prendre profiter d’opportunités avantageuses. Dans certains systèmes naturels, l'homme l’intervention peut faciliter l’ajustement au climat attendu et à ses effets. </w:t>
      </w:r>
    </w:p>
    <w:p w14:paraId="62F9023D" w14:textId="77777777" w:rsidR="00BC6C8B" w:rsidRPr="005645D2" w:rsidRDefault="00BC6C8B" w:rsidP="00BC6C8B">
      <w:pPr>
        <w:numPr>
          <w:ilvl w:val="0"/>
          <w:numId w:val="462"/>
        </w:numPr>
        <w:spacing w:after="0"/>
        <w:jc w:val="both"/>
        <w:rPr>
          <w:b/>
          <w:bCs/>
          <w:sz w:val="24"/>
          <w:szCs w:val="24"/>
        </w:rPr>
      </w:pPr>
      <w:r w:rsidRPr="0041032D">
        <w:rPr>
          <w:b/>
          <w:bCs/>
          <w:sz w:val="24"/>
          <w:szCs w:val="24"/>
        </w:rPr>
        <w:t>L’adaptation peut prendre différentes formes</w:t>
      </w:r>
      <w:r w:rsidRPr="005645D2">
        <w:rPr>
          <w:b/>
          <w:bCs/>
          <w:sz w:val="24"/>
          <w:szCs w:val="24"/>
        </w:rPr>
        <w:t xml:space="preserve">, notamment : </w:t>
      </w:r>
    </w:p>
    <w:p w14:paraId="05D7C2F1" w14:textId="77777777" w:rsidR="00BC6C8B" w:rsidRPr="005645D2" w:rsidRDefault="00BC6C8B" w:rsidP="00BC6C8B">
      <w:pPr>
        <w:numPr>
          <w:ilvl w:val="0"/>
          <w:numId w:val="462"/>
        </w:numPr>
        <w:spacing w:after="0"/>
        <w:jc w:val="both"/>
        <w:rPr>
          <w:sz w:val="24"/>
          <w:szCs w:val="24"/>
        </w:rPr>
      </w:pPr>
      <w:r w:rsidRPr="005645D2">
        <w:rPr>
          <w:sz w:val="24"/>
          <w:szCs w:val="24"/>
        </w:rPr>
        <w:t xml:space="preserve">Des </w:t>
      </w:r>
      <w:r w:rsidRPr="00E23408">
        <w:rPr>
          <w:b/>
          <w:bCs/>
          <w:color w:val="0033CC"/>
          <w:sz w:val="24"/>
          <w:szCs w:val="24"/>
        </w:rPr>
        <w:t>adaptations réactives</w:t>
      </w:r>
      <w:r w:rsidRPr="005645D2">
        <w:rPr>
          <w:sz w:val="24"/>
          <w:szCs w:val="24"/>
        </w:rPr>
        <w:t xml:space="preserve"> sont effectuées en réponse aux conditions climatiques changeantes ; </w:t>
      </w:r>
    </w:p>
    <w:p w14:paraId="415E56CA" w14:textId="77777777" w:rsidR="00BC6C8B" w:rsidRPr="005645D2" w:rsidRDefault="00BC6C8B" w:rsidP="00BC6C8B">
      <w:pPr>
        <w:numPr>
          <w:ilvl w:val="0"/>
          <w:numId w:val="462"/>
        </w:numPr>
        <w:spacing w:after="0"/>
        <w:jc w:val="both"/>
        <w:rPr>
          <w:sz w:val="24"/>
          <w:szCs w:val="24"/>
        </w:rPr>
      </w:pPr>
      <w:r w:rsidRPr="005645D2">
        <w:rPr>
          <w:b/>
          <w:bCs/>
          <w:sz w:val="24"/>
          <w:szCs w:val="24"/>
        </w:rPr>
        <w:t xml:space="preserve">Les </w:t>
      </w:r>
      <w:r w:rsidRPr="00E23408">
        <w:rPr>
          <w:b/>
          <w:bCs/>
          <w:color w:val="00CC66"/>
          <w:sz w:val="24"/>
          <w:szCs w:val="24"/>
        </w:rPr>
        <w:t>adaptations sans regret</w:t>
      </w:r>
      <w:r w:rsidRPr="005645D2">
        <w:rPr>
          <w:sz w:val="24"/>
          <w:szCs w:val="24"/>
        </w:rPr>
        <w:t xml:space="preserve"> sont des adaptations qui peuvent être justifiées sur la base des conditions observées, mais peut également être justifié en considérant le climat futur </w:t>
      </w:r>
      <w:r>
        <w:rPr>
          <w:sz w:val="24"/>
          <w:szCs w:val="24"/>
        </w:rPr>
        <w:t xml:space="preserve">en </w:t>
      </w:r>
      <w:r w:rsidRPr="005645D2">
        <w:rPr>
          <w:sz w:val="24"/>
          <w:szCs w:val="24"/>
        </w:rPr>
        <w:t xml:space="preserve">changement ; </w:t>
      </w:r>
    </w:p>
    <w:p w14:paraId="5B3468E9" w14:textId="77777777" w:rsidR="00BC6C8B" w:rsidRPr="005645D2" w:rsidRDefault="00BC6C8B" w:rsidP="00BC6C8B">
      <w:pPr>
        <w:numPr>
          <w:ilvl w:val="0"/>
          <w:numId w:val="462"/>
        </w:numPr>
        <w:spacing w:after="0"/>
        <w:jc w:val="both"/>
        <w:rPr>
          <w:sz w:val="24"/>
          <w:szCs w:val="24"/>
        </w:rPr>
      </w:pPr>
      <w:r w:rsidRPr="005645D2">
        <w:rPr>
          <w:b/>
          <w:bCs/>
          <w:sz w:val="24"/>
          <w:szCs w:val="24"/>
        </w:rPr>
        <w:t>Les adaptations incrémentielles</w:t>
      </w:r>
      <w:r w:rsidRPr="005645D2">
        <w:rPr>
          <w:sz w:val="24"/>
          <w:szCs w:val="24"/>
        </w:rPr>
        <w:t xml:space="preserve"> sont des ajustements apportés pour anticiper le changement climatique mais qui souvent ne changent pas les fonctions d'un système ; </w:t>
      </w:r>
    </w:p>
    <w:p w14:paraId="04A99135" w14:textId="77777777" w:rsidR="00BC6C8B" w:rsidRPr="005645D2" w:rsidRDefault="00BC6C8B" w:rsidP="00BC6C8B">
      <w:pPr>
        <w:numPr>
          <w:ilvl w:val="0"/>
          <w:numId w:val="462"/>
        </w:numPr>
        <w:spacing w:after="0"/>
        <w:jc w:val="both"/>
        <w:rPr>
          <w:sz w:val="24"/>
          <w:szCs w:val="24"/>
        </w:rPr>
      </w:pPr>
      <w:r w:rsidRPr="005645D2">
        <w:rPr>
          <w:b/>
          <w:bCs/>
          <w:sz w:val="24"/>
          <w:szCs w:val="24"/>
        </w:rPr>
        <w:t>Les adaptations transformationnelles</w:t>
      </w:r>
      <w:r w:rsidRPr="005645D2">
        <w:rPr>
          <w:sz w:val="24"/>
          <w:szCs w:val="24"/>
        </w:rPr>
        <w:t xml:space="preserve"> sont des changements dans la forme ou la fonction d'un système tel comme un changement de lieu, d'utilisation ou de moyens de subsistance ; </w:t>
      </w:r>
    </w:p>
    <w:p w14:paraId="78345A91" w14:textId="77777777" w:rsidR="00BC6C8B" w:rsidRPr="005645D2" w:rsidRDefault="00BC6C8B" w:rsidP="00BC6C8B">
      <w:pPr>
        <w:numPr>
          <w:ilvl w:val="0"/>
          <w:numId w:val="462"/>
        </w:numPr>
        <w:spacing w:after="0"/>
        <w:jc w:val="both"/>
        <w:rPr>
          <w:sz w:val="24"/>
          <w:szCs w:val="24"/>
        </w:rPr>
      </w:pPr>
      <w:r w:rsidRPr="0041032D">
        <w:rPr>
          <w:b/>
          <w:bCs/>
          <w:sz w:val="24"/>
          <w:szCs w:val="24"/>
        </w:rPr>
        <w:t>Capacité d'adaptation</w:t>
      </w:r>
      <w:r w:rsidRPr="005645D2">
        <w:rPr>
          <w:b/>
          <w:bCs/>
          <w:sz w:val="24"/>
          <w:szCs w:val="24"/>
        </w:rPr>
        <w:t xml:space="preserve"> : </w:t>
      </w:r>
      <w:r w:rsidRPr="005645D2">
        <w:rPr>
          <w:sz w:val="24"/>
          <w:szCs w:val="24"/>
        </w:rPr>
        <w:t>La capacité des systèmes, des institutions, des humains et autres organismes à s'adapter aux dommages potentiels, à profiter des opportunités ou à réagir aux conséquences ; Matériel de formation CGE pour l'évaluation de la vulnérabilité et de l'adaptation Page 10 sur 12.</w:t>
      </w:r>
    </w:p>
    <w:p w14:paraId="0B837559" w14:textId="77777777" w:rsidR="00BC6C8B" w:rsidRPr="005645D2" w:rsidRDefault="00BC6C8B" w:rsidP="00BC6C8B">
      <w:pPr>
        <w:numPr>
          <w:ilvl w:val="0"/>
          <w:numId w:val="462"/>
        </w:numPr>
        <w:spacing w:after="0"/>
        <w:jc w:val="both"/>
        <w:rPr>
          <w:b/>
          <w:bCs/>
          <w:sz w:val="24"/>
          <w:szCs w:val="24"/>
        </w:rPr>
      </w:pPr>
      <w:r w:rsidRPr="0041032D">
        <w:rPr>
          <w:b/>
          <w:bCs/>
          <w:sz w:val="24"/>
          <w:szCs w:val="24"/>
        </w:rPr>
        <w:t>Impacts du changement climatique</w:t>
      </w:r>
      <w:r w:rsidRPr="005645D2">
        <w:rPr>
          <w:b/>
          <w:bCs/>
          <w:sz w:val="24"/>
          <w:szCs w:val="24"/>
        </w:rPr>
        <w:t xml:space="preserve"> : </w:t>
      </w:r>
      <w:r w:rsidRPr="005645D2">
        <w:rPr>
          <w:sz w:val="24"/>
          <w:szCs w:val="24"/>
        </w:rPr>
        <w:t xml:space="preserve">effets sur les systèmes naturels et humains. Cela comprend les effets sur les systèmes naturels et humains des événements météorologiques et climatiques extrêmes et du changement climatique. Les impacts font généralement référence aux effets sur les vies, les moyens de subsistance, santé, écosystèmes, économies, sociétés, cultures, services et infrastructures en raison de l'interaction des changements climatiques ou d'événements climatiques dangereux qui se produisent dans une période de temps spécifique et la vulnérabilité d’une société ou d’un système exposé. Les impacts sont également appelés conséquences et résultats. Les impacts de changement climatique sur les systèmes géophysiques, y compris les inondations, les sécheresses et le niveau de la mer augmentent, sont un sous-ensemble d’impacts appelés </w:t>
      </w:r>
      <w:r w:rsidRPr="00976893">
        <w:rPr>
          <w:b/>
          <w:bCs/>
          <w:color w:val="A66500"/>
          <w:sz w:val="24"/>
          <w:szCs w:val="24"/>
        </w:rPr>
        <w:t>impacts physiques</w:t>
      </w:r>
      <w:r w:rsidRPr="00976893">
        <w:rPr>
          <w:color w:val="A66500"/>
          <w:sz w:val="24"/>
          <w:szCs w:val="24"/>
        </w:rPr>
        <w:t> </w:t>
      </w:r>
      <w:r w:rsidRPr="005645D2">
        <w:rPr>
          <w:sz w:val="24"/>
          <w:szCs w:val="24"/>
        </w:rPr>
        <w:t>;</w:t>
      </w:r>
      <w:r w:rsidRPr="005645D2">
        <w:rPr>
          <w:b/>
          <w:bCs/>
          <w:sz w:val="24"/>
          <w:szCs w:val="24"/>
        </w:rPr>
        <w:t xml:space="preserve"> </w:t>
      </w:r>
    </w:p>
    <w:p w14:paraId="4D3996CC" w14:textId="77777777" w:rsidR="00BC6C8B" w:rsidRPr="005645D2" w:rsidRDefault="00BC6C8B" w:rsidP="00BC6C8B">
      <w:pPr>
        <w:numPr>
          <w:ilvl w:val="0"/>
          <w:numId w:val="462"/>
        </w:numPr>
        <w:spacing w:after="0"/>
        <w:ind w:right="-142"/>
        <w:jc w:val="both"/>
        <w:rPr>
          <w:sz w:val="24"/>
          <w:szCs w:val="24"/>
        </w:rPr>
      </w:pPr>
      <w:r w:rsidRPr="0041032D">
        <w:rPr>
          <w:b/>
          <w:bCs/>
          <w:sz w:val="24"/>
          <w:szCs w:val="24"/>
        </w:rPr>
        <w:t>Impacts potentiels</w:t>
      </w:r>
      <w:r w:rsidRPr="005645D2">
        <w:rPr>
          <w:b/>
          <w:bCs/>
          <w:sz w:val="24"/>
          <w:szCs w:val="24"/>
        </w:rPr>
        <w:t xml:space="preserve"> : </w:t>
      </w:r>
      <w:r w:rsidRPr="005645D2">
        <w:rPr>
          <w:sz w:val="24"/>
          <w:szCs w:val="24"/>
        </w:rPr>
        <w:t xml:space="preserve">tous les impacts qui peuvent survenir compte tenu d'un changement climatique projeté, sans considérer l’adaptation ; </w:t>
      </w:r>
    </w:p>
    <w:p w14:paraId="355AE42E" w14:textId="77777777" w:rsidR="00BC6C8B" w:rsidRPr="005645D2" w:rsidRDefault="00BC6C8B" w:rsidP="00BC6C8B">
      <w:pPr>
        <w:numPr>
          <w:ilvl w:val="0"/>
          <w:numId w:val="462"/>
        </w:numPr>
        <w:spacing w:after="0"/>
        <w:jc w:val="both"/>
        <w:rPr>
          <w:sz w:val="24"/>
          <w:szCs w:val="24"/>
        </w:rPr>
      </w:pPr>
      <w:r w:rsidRPr="0041032D">
        <w:rPr>
          <w:b/>
          <w:bCs/>
          <w:sz w:val="24"/>
          <w:szCs w:val="24"/>
        </w:rPr>
        <w:t>Impacts résiduels</w:t>
      </w:r>
      <w:r w:rsidRPr="005645D2">
        <w:rPr>
          <w:b/>
          <w:bCs/>
          <w:sz w:val="24"/>
          <w:szCs w:val="24"/>
        </w:rPr>
        <w:t xml:space="preserve"> : </w:t>
      </w:r>
      <w:r w:rsidRPr="005645D2">
        <w:rPr>
          <w:sz w:val="24"/>
          <w:szCs w:val="24"/>
        </w:rPr>
        <w:t xml:space="preserve">Les impacts du changement climatique qui se produiraient après adaptation ; </w:t>
      </w:r>
    </w:p>
    <w:p w14:paraId="7AF08AE7" w14:textId="77777777" w:rsidR="00BC6C8B" w:rsidRPr="00FF4D74" w:rsidRDefault="00BC6C8B" w:rsidP="00BC6C8B">
      <w:pPr>
        <w:numPr>
          <w:ilvl w:val="0"/>
          <w:numId w:val="462"/>
        </w:numPr>
        <w:spacing w:after="0"/>
        <w:jc w:val="both"/>
        <w:rPr>
          <w:sz w:val="24"/>
          <w:szCs w:val="24"/>
        </w:rPr>
      </w:pPr>
      <w:r w:rsidRPr="00FF4D74">
        <w:rPr>
          <w:b/>
          <w:bCs/>
          <w:sz w:val="24"/>
          <w:szCs w:val="24"/>
        </w:rPr>
        <w:t>Sensibilité</w:t>
      </w:r>
      <w:r w:rsidRPr="00FF4D74">
        <w:rPr>
          <w:sz w:val="24"/>
          <w:szCs w:val="24"/>
        </w:rPr>
        <w:t xml:space="preserve"> : degré auquel un système est affecté, soit négativement, soit bénéfiquement, par la variabilité climatique ou le changement climatique. L'effet peut être direct (par ex. un changement dans le rendement des cultures en réponse à un changement dans la moyenne, la plage ou la variabilité de température) ou indirects (par exemple dommages causés par une augmentation de la fréquence des inondations côtières dues à l'élévation du niveau de la mer) ; </w:t>
      </w:r>
    </w:p>
    <w:p w14:paraId="790DCA15" w14:textId="77777777" w:rsidR="00BC6C8B" w:rsidRPr="0062000E" w:rsidRDefault="00BC6C8B" w:rsidP="00BC6C8B">
      <w:pPr>
        <w:pStyle w:val="Paragraphedeliste"/>
        <w:numPr>
          <w:ilvl w:val="0"/>
          <w:numId w:val="462"/>
        </w:numPr>
        <w:spacing w:after="0"/>
        <w:jc w:val="both"/>
        <w:rPr>
          <w:sz w:val="24"/>
          <w:szCs w:val="24"/>
        </w:rPr>
      </w:pPr>
      <w:r w:rsidRPr="0062000E">
        <w:rPr>
          <w:b/>
          <w:bCs/>
          <w:sz w:val="24"/>
          <w:szCs w:val="24"/>
        </w:rPr>
        <w:t>Vulnérabilité</w:t>
      </w:r>
      <w:r w:rsidRPr="0062000E">
        <w:rPr>
          <w:sz w:val="24"/>
          <w:szCs w:val="24"/>
        </w:rPr>
        <w:t xml:space="preserve"> : propension ou prédisposition à être affecté négativement par la variabilité ou le changement </w:t>
      </w:r>
      <w:r>
        <w:rPr>
          <w:sz w:val="24"/>
          <w:szCs w:val="24"/>
        </w:rPr>
        <w:t xml:space="preserve">du </w:t>
      </w:r>
      <w:r w:rsidRPr="0062000E">
        <w:rPr>
          <w:sz w:val="24"/>
          <w:szCs w:val="24"/>
        </w:rPr>
        <w:t>climat. La vulnérabilité englobe une variété de concepts et éléments tels que la sensibilité ou la susceptibilité aux dommages, l’exposition à la variabilité ou au changement climatique et le manque de capacité à faire face et à s’adapter.</w:t>
      </w:r>
    </w:p>
    <w:p w14:paraId="210E85BC" w14:textId="77777777" w:rsidR="00BC6C8B" w:rsidRPr="00B77BB7" w:rsidRDefault="00BC6C8B" w:rsidP="00BC6C8B">
      <w:pPr>
        <w:pStyle w:val="Titre2"/>
        <w:ind w:left="426"/>
        <w:rPr>
          <w:b/>
          <w:bCs/>
        </w:rPr>
      </w:pPr>
      <w:r w:rsidRPr="00454839">
        <w:rPr>
          <w:b/>
          <w:bCs/>
          <w:sz w:val="24"/>
          <w:szCs w:val="24"/>
        </w:rPr>
        <w:t>3.2 Clarification de certains concepts en lien avec les changements climatiques :</w:t>
      </w:r>
    </w:p>
    <w:p w14:paraId="452D4BBF" w14:textId="77777777" w:rsidR="00BC6C8B" w:rsidRPr="006840A3" w:rsidRDefault="00BC6C8B" w:rsidP="00BC6C8B">
      <w:pPr>
        <w:pStyle w:val="Paragraphedeliste"/>
        <w:numPr>
          <w:ilvl w:val="0"/>
          <w:numId w:val="462"/>
        </w:numPr>
        <w:spacing w:after="0"/>
        <w:jc w:val="both"/>
        <w:rPr>
          <w:rFonts w:cstheme="minorHAnsi"/>
          <w:b/>
        </w:rPr>
      </w:pPr>
      <w:r w:rsidRPr="006840A3">
        <w:rPr>
          <w:b/>
          <w:bCs/>
        </w:rPr>
        <w:t>Les pertes et préjudices</w:t>
      </w:r>
      <w:r w:rsidRPr="006E2E42">
        <w:t xml:space="preserve"> représentent la manifestation réell</w:t>
      </w:r>
      <w:r>
        <w:t xml:space="preserve">e et/ou potentielle des impacts climatiques </w:t>
      </w:r>
      <w:r w:rsidRPr="006E2E42">
        <w:t>qui influent négativement</w:t>
      </w:r>
      <w:r>
        <w:t xml:space="preserve"> sur</w:t>
      </w:r>
      <w:r w:rsidRPr="006E2E42">
        <w:t xml:space="preserve"> les systèmes humains et naturels.</w:t>
      </w:r>
    </w:p>
    <w:p w14:paraId="75BFBF0B" w14:textId="77777777" w:rsidR="00BC6C8B" w:rsidRPr="00B7419F" w:rsidRDefault="00BC6C8B" w:rsidP="00BC6C8B">
      <w:pPr>
        <w:pStyle w:val="Paragraphedeliste"/>
        <w:numPr>
          <w:ilvl w:val="0"/>
          <w:numId w:val="462"/>
        </w:numPr>
        <w:spacing w:after="0"/>
        <w:jc w:val="both"/>
        <w:rPr>
          <w:rFonts w:eastAsia="Calibri" w:cs="Times New Roman"/>
        </w:rPr>
      </w:pPr>
      <w:r w:rsidRPr="00B7419F">
        <w:rPr>
          <w:rFonts w:eastAsia="Calibri" w:cs="Times New Roman"/>
          <w:b/>
          <w:bCs/>
        </w:rPr>
        <w:t>Les « préjudices »</w:t>
      </w:r>
      <w:r w:rsidRPr="00B7419F">
        <w:rPr>
          <w:rFonts w:eastAsia="Calibri" w:cs="Times New Roman"/>
        </w:rPr>
        <w:t xml:space="preserve"> peuvent être considérés comme des impacts négatifs qui peuvent être réparés ou restaurés (tels que les dommages au toit d'un bâtiment dus à une tempête ou les dommages dus à un ouragan subis par une mangrove côtière et affectant des villages). </w:t>
      </w:r>
    </w:p>
    <w:p w14:paraId="5810EEF9" w14:textId="77777777" w:rsidR="00BC6C8B" w:rsidRDefault="00BC6C8B" w:rsidP="00BC6C8B">
      <w:pPr>
        <w:pStyle w:val="Paragraphedeliste"/>
        <w:numPr>
          <w:ilvl w:val="0"/>
          <w:numId w:val="462"/>
        </w:numPr>
        <w:spacing w:after="0"/>
        <w:jc w:val="both"/>
        <w:rPr>
          <w:rFonts w:eastAsia="Calibri" w:cs="Times New Roman"/>
        </w:rPr>
      </w:pPr>
      <w:r w:rsidRPr="00B7419F">
        <w:rPr>
          <w:rFonts w:eastAsia="Calibri" w:cs="Times New Roman"/>
          <w:b/>
          <w:bCs/>
        </w:rPr>
        <w:t>Les « pertes »</w:t>
      </w:r>
      <w:r w:rsidRPr="00B7419F">
        <w:rPr>
          <w:rFonts w:eastAsia="Calibri" w:cs="Times New Roman"/>
        </w:rPr>
        <w:t xml:space="preserve"> peuvent être caractérisées comme des impacts négatifs qui ne peuvent pas être réparés ou restaurés (comme la perte de sources d'eau douce géologique liée à la fonte des glaciers ou à la désertification, ou la perte d’éléments culturels ou du patrimoine associée au déplacement d’une population en dehors de zones devenues inhospitalières au fil du temps ou côtière et affectant des villages) Les « pertes » peuvent être caractérisées comme des impacts négatifs qui ne peuvent pas être réparés ou restaurés (comme la perte de sources d'eau douce géologique liée à la fonte des glaciers ou à la désertification, ou la perte d’éléments culturels ou du patrimoine associée au déplacement d’une population en dehors de zones devenues inhospitalières au fil du temps avec les changements climatiques).</w:t>
      </w:r>
    </w:p>
    <w:p w14:paraId="1CACA88A" w14:textId="77777777" w:rsidR="00BC6C8B" w:rsidRPr="00454839" w:rsidRDefault="00BC6C8B" w:rsidP="00BC6C8B">
      <w:pPr>
        <w:pStyle w:val="Paragraphedeliste"/>
        <w:numPr>
          <w:ilvl w:val="0"/>
          <w:numId w:val="462"/>
        </w:numPr>
        <w:spacing w:after="0"/>
        <w:jc w:val="both"/>
        <w:rPr>
          <w:rFonts w:eastAsia="Calibri" w:cs="Times New Roman"/>
          <w:color w:val="0066CC"/>
        </w:rPr>
      </w:pPr>
      <w:r w:rsidRPr="00454839">
        <w:rPr>
          <w:rFonts w:eastAsia="Calibri" w:cs="Times New Roman"/>
          <w:color w:val="0066CC"/>
        </w:rPr>
        <w:t>Les « pertes et dommages/préjudices » désignent les conséquences des effets climatiques qui échappent aux mesures d'adaptation et d'atténuation. Les « dommages » font référence à ce qu'il est possible de reconstituer ou de réparer, infrastructures, logements, terres agricoles, cultures ou autre (bétail).</w:t>
      </w:r>
    </w:p>
    <w:p w14:paraId="26CA870F" w14:textId="77777777" w:rsidR="00BC6C8B" w:rsidRDefault="00BC6C8B" w:rsidP="00BC6C8B">
      <w:pPr>
        <w:pStyle w:val="Paragraphedeliste"/>
        <w:numPr>
          <w:ilvl w:val="0"/>
          <w:numId w:val="462"/>
        </w:numPr>
        <w:spacing w:after="0"/>
        <w:jc w:val="both"/>
        <w:rPr>
          <w:rFonts w:eastAsia="Calibri" w:cs="Times New Roman"/>
        </w:rPr>
      </w:pPr>
      <w:r w:rsidRPr="007504B6">
        <w:rPr>
          <w:rFonts w:eastAsia="Calibri" w:cs="Times New Roman"/>
        </w:rPr>
        <w:t>Les effets dévastateurs des changements climatiques peuvent entraîner des pertes et des préjudices inestimables, en particulier pour de nombreux pays</w:t>
      </w:r>
      <w:r>
        <w:rPr>
          <w:rFonts w:eastAsia="Calibri" w:cs="Times New Roman"/>
        </w:rPr>
        <w:t xml:space="preserve"> et en particulier la Mauritanie (au cours des dernières années : 2016 à 2024).</w:t>
      </w:r>
    </w:p>
    <w:p w14:paraId="42AC0485" w14:textId="77777777" w:rsidR="00BC6C8B" w:rsidRDefault="00BC6C8B" w:rsidP="00BC6C8B">
      <w:pPr>
        <w:pStyle w:val="Paragraphedeliste"/>
        <w:numPr>
          <w:ilvl w:val="0"/>
          <w:numId w:val="462"/>
        </w:numPr>
        <w:spacing w:after="0"/>
        <w:jc w:val="both"/>
        <w:rPr>
          <w:rFonts w:eastAsia="Calibri" w:cs="Times New Roman"/>
        </w:rPr>
      </w:pPr>
      <w:r>
        <w:rPr>
          <w:rFonts w:eastAsia="Calibri" w:cs="Times New Roman"/>
        </w:rPr>
        <w:t xml:space="preserve">Le </w:t>
      </w:r>
      <w:r w:rsidRPr="00F473C6">
        <w:rPr>
          <w:rFonts w:eastAsia="Calibri" w:cs="Times New Roman"/>
        </w:rPr>
        <w:t xml:space="preserve">Rapport </w:t>
      </w:r>
      <w:r>
        <w:rPr>
          <w:rFonts w:eastAsia="Calibri" w:cs="Times New Roman"/>
        </w:rPr>
        <w:t xml:space="preserve">récent du </w:t>
      </w:r>
      <w:proofErr w:type="spellStart"/>
      <w:r>
        <w:rPr>
          <w:rFonts w:eastAsia="Calibri" w:cs="Times New Roman"/>
        </w:rPr>
        <w:t>Gropede</w:t>
      </w:r>
      <w:proofErr w:type="spellEnd"/>
      <w:r>
        <w:rPr>
          <w:rFonts w:eastAsia="Calibri" w:cs="Times New Roman"/>
        </w:rPr>
        <w:t xml:space="preserve"> la Banque Mondiale </w:t>
      </w:r>
      <w:r w:rsidRPr="00F473C6">
        <w:rPr>
          <w:rFonts w:eastAsia="Calibri" w:cs="Times New Roman"/>
        </w:rPr>
        <w:t xml:space="preserve">sur la situation </w:t>
      </w:r>
      <w:r>
        <w:rPr>
          <w:rFonts w:eastAsia="Calibri" w:cs="Times New Roman"/>
        </w:rPr>
        <w:t>é</w:t>
      </w:r>
      <w:r w:rsidRPr="00F473C6">
        <w:rPr>
          <w:rFonts w:eastAsia="Calibri" w:cs="Times New Roman"/>
        </w:rPr>
        <w:t xml:space="preserve">conomique de la Mauritanie </w:t>
      </w:r>
      <w:r>
        <w:rPr>
          <w:rFonts w:eastAsia="Calibri" w:cs="Times New Roman"/>
        </w:rPr>
        <w:t>intitulé : "</w:t>
      </w:r>
      <w:r w:rsidRPr="00F473C6">
        <w:rPr>
          <w:rFonts w:eastAsia="Calibri" w:cs="Times New Roman"/>
        </w:rPr>
        <w:t>Naviguer dans la tempête - Comment l’urbanisation et le changement climatique affectent les risques d’inondation en Mauritanie</w:t>
      </w:r>
      <w:r>
        <w:rPr>
          <w:rFonts w:eastAsia="Calibri" w:cs="Times New Roman"/>
        </w:rPr>
        <w:t>" (2023) en dit long (page 53 à 70).</w:t>
      </w:r>
    </w:p>
    <w:p w14:paraId="5C363363" w14:textId="77777777" w:rsidR="00BC6C8B" w:rsidRPr="00B7419F" w:rsidRDefault="00BC6C8B" w:rsidP="00BC6C8B">
      <w:pPr>
        <w:pStyle w:val="Paragraphedeliste"/>
        <w:spacing w:after="0"/>
        <w:ind w:left="1080"/>
        <w:jc w:val="both"/>
        <w:rPr>
          <w:rFonts w:eastAsia="Calibri" w:cs="Times New Roman"/>
        </w:rPr>
      </w:pPr>
    </w:p>
    <w:p w14:paraId="265E4B56" w14:textId="77777777" w:rsidR="00BC6C8B" w:rsidRPr="009F56D3" w:rsidRDefault="00BC6C8B" w:rsidP="00BC6C8B">
      <w:pPr>
        <w:pStyle w:val="Sansinterligne"/>
        <w:numPr>
          <w:ilvl w:val="0"/>
          <w:numId w:val="465"/>
        </w:numPr>
        <w:spacing w:after="120"/>
        <w:ind w:left="992" w:hanging="357"/>
        <w:rPr>
          <w:rFonts w:ascii="Calibri" w:hAnsi="Calibri" w:cstheme="minorHAnsi"/>
          <w:b/>
        </w:rPr>
      </w:pPr>
      <w:r w:rsidRPr="00D34B3E">
        <w:rPr>
          <w:b/>
          <w:bCs/>
        </w:rPr>
        <w:t>Des relations dynamiques entre vulnérabilité et adaptation</w:t>
      </w:r>
      <w:r>
        <w:rPr>
          <w:b/>
          <w:bCs/>
        </w:rPr>
        <w:t> :</w:t>
      </w:r>
      <w:r w:rsidRPr="009F56D3">
        <w:rPr>
          <w:rFonts w:cstheme="minorHAnsi"/>
          <w:bCs/>
          <w:noProof/>
          <w:lang w:eastAsia="fr-FR"/>
        </w:rPr>
        <w:drawing>
          <wp:inline distT="0" distB="0" distL="0" distR="0" wp14:anchorId="0DA9167F" wp14:editId="2AD0BE7C">
            <wp:extent cx="5241925" cy="2482564"/>
            <wp:effectExtent l="0" t="0" r="0" b="0"/>
            <wp:docPr id="1798649238" name="Image 179864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6186" t="29444" r="40618" b="7579"/>
                    <a:stretch/>
                  </pic:blipFill>
                  <pic:spPr bwMode="auto">
                    <a:xfrm>
                      <a:off x="0" y="0"/>
                      <a:ext cx="5269522" cy="2495634"/>
                    </a:xfrm>
                    <a:prstGeom prst="rect">
                      <a:avLst/>
                    </a:prstGeom>
                    <a:ln>
                      <a:noFill/>
                    </a:ln>
                    <a:extLst>
                      <a:ext uri="{53640926-AAD7-44D8-BBD7-CCE9431645EC}">
                        <a14:shadowObscured xmlns:a14="http://schemas.microsoft.com/office/drawing/2010/main"/>
                      </a:ext>
                    </a:extLst>
                  </pic:spPr>
                </pic:pic>
              </a:graphicData>
            </a:graphic>
          </wp:inline>
        </w:drawing>
      </w:r>
    </w:p>
    <w:p w14:paraId="0A7CEB13" w14:textId="77777777" w:rsidR="00BC6C8B" w:rsidRPr="00944ACB" w:rsidRDefault="00BC6C8B" w:rsidP="00BC6C8B">
      <w:pPr>
        <w:tabs>
          <w:tab w:val="left" w:pos="567"/>
        </w:tabs>
        <w:spacing w:before="120"/>
        <w:rPr>
          <w:rFonts w:cstheme="minorHAnsi"/>
          <w:b/>
          <w:sz w:val="20"/>
          <w:szCs w:val="20"/>
        </w:rPr>
      </w:pPr>
      <w:bookmarkStart w:id="450" w:name="_Toc177218762"/>
      <w:r w:rsidRPr="00944ACB">
        <w:rPr>
          <w:b/>
          <w:bCs/>
          <w:i/>
        </w:rPr>
        <w:t xml:space="preserve">Figure </w:t>
      </w:r>
      <w:r w:rsidRPr="00944ACB">
        <w:rPr>
          <w:b/>
          <w:bCs/>
          <w:i/>
        </w:rPr>
        <w:fldChar w:fldCharType="begin"/>
      </w:r>
      <w:r w:rsidRPr="00944ACB">
        <w:rPr>
          <w:b/>
          <w:bCs/>
          <w:i/>
        </w:rPr>
        <w:instrText xml:space="preserve"> SEQ Figure \* ARABIC </w:instrText>
      </w:r>
      <w:r w:rsidRPr="00944ACB">
        <w:rPr>
          <w:b/>
          <w:bCs/>
          <w:i/>
        </w:rPr>
        <w:fldChar w:fldCharType="separate"/>
      </w:r>
      <w:r>
        <w:rPr>
          <w:b/>
          <w:bCs/>
          <w:i/>
          <w:noProof/>
        </w:rPr>
        <w:t>1</w:t>
      </w:r>
      <w:r w:rsidRPr="00944ACB">
        <w:rPr>
          <w:b/>
          <w:bCs/>
          <w:i/>
        </w:rPr>
        <w:fldChar w:fldCharType="end"/>
      </w:r>
      <w:r w:rsidRPr="00944ACB">
        <w:rPr>
          <w:i/>
        </w:rPr>
        <w:t>:Bases conceptuelles de l'adaptation et de l'atténuation avec les changements climatiques</w:t>
      </w:r>
      <w:bookmarkEnd w:id="450"/>
    </w:p>
    <w:p w14:paraId="755300A8" w14:textId="77777777" w:rsidR="00BC6C8B" w:rsidRDefault="00BC6C8B" w:rsidP="00BC6C8B">
      <w:pPr>
        <w:pStyle w:val="Paragraphedeliste"/>
        <w:numPr>
          <w:ilvl w:val="0"/>
          <w:numId w:val="462"/>
        </w:numPr>
        <w:spacing w:after="0"/>
        <w:jc w:val="both"/>
        <w:rPr>
          <w:rFonts w:cstheme="minorHAnsi"/>
          <w:bCs/>
        </w:rPr>
      </w:pPr>
      <w:r w:rsidRPr="00B77BB7">
        <w:rPr>
          <w:rFonts w:eastAsia="Calibri" w:cs="Times New Roman"/>
          <w:b/>
          <w:bCs/>
        </w:rPr>
        <w:t>L’essence même de l’analyse de la vulnérabilité d’un système est de comprendre</w:t>
      </w:r>
      <w:r w:rsidRPr="00E30D70">
        <w:rPr>
          <w:rFonts w:cstheme="minorHAnsi"/>
          <w:bCs/>
        </w:rPr>
        <w:t xml:space="preserve"> </w:t>
      </w:r>
      <w:r w:rsidRPr="004A2C16">
        <w:rPr>
          <w:rFonts w:cstheme="minorHAnsi"/>
          <w:b/>
          <w:color w:val="A66500"/>
        </w:rPr>
        <w:t>comment ce dernier fonctionne (quels risques ? Quels enjeux ? Quelles régulations sont nécessaires ?), pour ensuite envisager des scénarios d’avenir et proposer des réponses pragmatiques. En retour, la mise en œuvre de stratégies d’adaptation a pour but de réduire la vulnérabilité du territoire aux risques naturels sur le long terme.</w:t>
      </w:r>
    </w:p>
    <w:p w14:paraId="0C4D152F" w14:textId="77777777" w:rsidR="00BC6C8B" w:rsidRPr="00B77BB7" w:rsidRDefault="00BC6C8B" w:rsidP="00BC6C8B">
      <w:pPr>
        <w:pStyle w:val="Paragraphedeliste"/>
        <w:numPr>
          <w:ilvl w:val="0"/>
          <w:numId w:val="462"/>
        </w:numPr>
        <w:spacing w:after="0"/>
        <w:jc w:val="both"/>
        <w:rPr>
          <w:rFonts w:eastAsia="Calibri" w:cs="Times New Roman"/>
          <w:b/>
          <w:bCs/>
        </w:rPr>
      </w:pPr>
      <w:r w:rsidRPr="00B77BB7">
        <w:rPr>
          <w:rFonts w:eastAsia="Calibri" w:cs="Times New Roman"/>
          <w:b/>
          <w:bCs/>
        </w:rPr>
        <w:t xml:space="preserve">La capacité d’adaptation </w:t>
      </w:r>
    </w:p>
    <w:p w14:paraId="04327223" w14:textId="77777777" w:rsidR="00BC6C8B" w:rsidRDefault="00BC6C8B" w:rsidP="00BC6C8B">
      <w:pPr>
        <w:pStyle w:val="Paragraphedeliste"/>
        <w:spacing w:after="0"/>
        <w:ind w:left="1080"/>
        <w:jc w:val="both"/>
        <w:rPr>
          <w:rFonts w:cstheme="minorHAnsi"/>
          <w:bCs/>
        </w:rPr>
      </w:pPr>
      <w:r w:rsidRPr="00A27564">
        <w:rPr>
          <w:rFonts w:cstheme="minorHAnsi"/>
          <w:bCs/>
        </w:rPr>
        <w:t xml:space="preserve">« Ensemble des </w:t>
      </w:r>
      <w:r w:rsidRPr="00B77BB7">
        <w:rPr>
          <w:rFonts w:eastAsia="Calibri" w:cs="Times New Roman"/>
          <w:b/>
          <w:bCs/>
        </w:rPr>
        <w:t>capacités</w:t>
      </w:r>
      <w:r w:rsidRPr="00A27564">
        <w:rPr>
          <w:rFonts w:cstheme="minorHAnsi"/>
          <w:bCs/>
        </w:rPr>
        <w:t>, des ressources et des institutions d’un pays ou d’une région lui</w:t>
      </w:r>
      <w:r>
        <w:rPr>
          <w:rFonts w:cstheme="minorHAnsi"/>
          <w:bCs/>
        </w:rPr>
        <w:t xml:space="preserve"> </w:t>
      </w:r>
      <w:r w:rsidRPr="00A27564">
        <w:rPr>
          <w:rFonts w:cstheme="minorHAnsi"/>
          <w:bCs/>
        </w:rPr>
        <w:t>permettant de mettre en œuvre des mesures d’adaptation efficaces » (GIEC, 2008). (1) Les</w:t>
      </w:r>
      <w:r>
        <w:rPr>
          <w:rFonts w:cstheme="minorHAnsi"/>
          <w:bCs/>
        </w:rPr>
        <w:t xml:space="preserve"> </w:t>
      </w:r>
      <w:r w:rsidRPr="00A27564">
        <w:rPr>
          <w:rFonts w:cstheme="minorHAnsi"/>
          <w:bCs/>
        </w:rPr>
        <w:t>compétences, connaissances et ressources nécessaires pour s’acquitter d’une fonction. (2)</w:t>
      </w:r>
    </w:p>
    <w:p w14:paraId="1E5155D3" w14:textId="77777777" w:rsidR="00BC6C8B" w:rsidRDefault="00BC6C8B" w:rsidP="00BC6C8B">
      <w:pPr>
        <w:pStyle w:val="Paragraphedeliste"/>
        <w:numPr>
          <w:ilvl w:val="0"/>
          <w:numId w:val="462"/>
        </w:numPr>
        <w:spacing w:after="0"/>
        <w:jc w:val="both"/>
        <w:rPr>
          <w:rFonts w:cstheme="minorHAnsi"/>
          <w:bCs/>
        </w:rPr>
      </w:pPr>
      <w:r w:rsidRPr="006C14CE">
        <w:rPr>
          <w:rFonts w:cstheme="minorHAnsi"/>
          <w:bCs/>
        </w:rPr>
        <w:t xml:space="preserve">« </w:t>
      </w:r>
      <w:r w:rsidRPr="00204B07">
        <w:rPr>
          <w:rFonts w:cstheme="minorHAnsi"/>
          <w:b/>
        </w:rPr>
        <w:t>Accroître la capacité d'adaptation</w:t>
      </w:r>
      <w:r w:rsidRPr="006C14CE">
        <w:rPr>
          <w:rFonts w:cstheme="minorHAnsi"/>
          <w:bCs/>
        </w:rPr>
        <w:t xml:space="preserve"> fait partie des stratégies d'adaptation, et un système avec</w:t>
      </w:r>
      <w:r>
        <w:rPr>
          <w:rFonts w:cstheme="minorHAnsi"/>
          <w:bCs/>
        </w:rPr>
        <w:t xml:space="preserve"> </w:t>
      </w:r>
      <w:r w:rsidRPr="006C14CE">
        <w:rPr>
          <w:rFonts w:cstheme="minorHAnsi"/>
          <w:bCs/>
        </w:rPr>
        <w:t>de nombreuses options d'adaptation a généralement une plus grande capacité de s'adapter</w:t>
      </w:r>
      <w:r>
        <w:rPr>
          <w:rFonts w:cstheme="minorHAnsi"/>
          <w:bCs/>
        </w:rPr>
        <w:t xml:space="preserve"> </w:t>
      </w:r>
      <w:r w:rsidRPr="006C14CE">
        <w:rPr>
          <w:rFonts w:cstheme="minorHAnsi"/>
          <w:bCs/>
        </w:rPr>
        <w:t>qu'un système n'en ayant que peu ou pas. Certains pensent que la capacité d'adaptation peut</w:t>
      </w:r>
      <w:r>
        <w:rPr>
          <w:rFonts w:cstheme="minorHAnsi"/>
          <w:bCs/>
        </w:rPr>
        <w:t xml:space="preserve"> </w:t>
      </w:r>
      <w:r w:rsidRPr="006C14CE">
        <w:rPr>
          <w:rFonts w:cstheme="minorHAnsi"/>
          <w:bCs/>
        </w:rPr>
        <w:t>être vue comme un potentiel d'adaptation et, lorsque la capacité d'adaptation est utilisée à</w:t>
      </w:r>
      <w:r>
        <w:rPr>
          <w:rFonts w:cstheme="minorHAnsi"/>
          <w:bCs/>
        </w:rPr>
        <w:t xml:space="preserve"> </w:t>
      </w:r>
      <w:r w:rsidRPr="006C14CE">
        <w:rPr>
          <w:rFonts w:cstheme="minorHAnsi"/>
          <w:bCs/>
        </w:rPr>
        <w:t>cette fin, la vulnérabilité s'en trouve réduite ».</w:t>
      </w:r>
    </w:p>
    <w:p w14:paraId="31564077" w14:textId="77777777" w:rsidR="00BC6C8B" w:rsidRPr="00034654" w:rsidRDefault="00BC6C8B" w:rsidP="00BC6C8B">
      <w:pPr>
        <w:pStyle w:val="Paragraphedeliste"/>
        <w:numPr>
          <w:ilvl w:val="0"/>
          <w:numId w:val="462"/>
        </w:numPr>
        <w:spacing w:after="0"/>
        <w:jc w:val="both"/>
        <w:rPr>
          <w:rFonts w:cstheme="minorHAnsi"/>
          <w:b/>
        </w:rPr>
      </w:pPr>
      <w:r w:rsidRPr="00034654">
        <w:rPr>
          <w:rFonts w:cstheme="minorHAnsi"/>
          <w:b/>
        </w:rPr>
        <w:t>La vulnérabilité :</w:t>
      </w:r>
    </w:p>
    <w:p w14:paraId="54F3F3A4" w14:textId="77777777" w:rsidR="00BC6C8B" w:rsidRPr="00E30D70" w:rsidRDefault="00BC6C8B" w:rsidP="00BC6C8B">
      <w:pPr>
        <w:pStyle w:val="Paragraphedeliste"/>
        <w:spacing w:after="0"/>
        <w:ind w:left="1080"/>
        <w:jc w:val="both"/>
        <w:rPr>
          <w:rFonts w:cstheme="minorHAnsi"/>
          <w:bCs/>
        </w:rPr>
      </w:pPr>
      <w:r w:rsidRPr="00E30D70">
        <w:rPr>
          <w:rFonts w:cstheme="minorHAnsi"/>
          <w:bCs/>
        </w:rPr>
        <w:t xml:space="preserve">« </w:t>
      </w:r>
      <w:r w:rsidRPr="00204B07">
        <w:rPr>
          <w:rFonts w:cstheme="minorHAnsi"/>
          <w:b/>
        </w:rPr>
        <w:t xml:space="preserve">Mesure dans laquelle un système est </w:t>
      </w:r>
      <w:r>
        <w:rPr>
          <w:rFonts w:cstheme="minorHAnsi"/>
          <w:b/>
        </w:rPr>
        <w:t xml:space="preserve">vulnérable ou encore </w:t>
      </w:r>
      <w:r w:rsidRPr="00204B07">
        <w:rPr>
          <w:rFonts w:cstheme="minorHAnsi"/>
          <w:b/>
        </w:rPr>
        <w:t>sensible</w:t>
      </w:r>
      <w:r w:rsidRPr="00E30D70">
        <w:rPr>
          <w:rFonts w:cstheme="minorHAnsi"/>
          <w:bCs/>
        </w:rPr>
        <w:t xml:space="preserve"> – ou incapable de faire face – aux effets</w:t>
      </w:r>
      <w:r>
        <w:rPr>
          <w:rFonts w:cstheme="minorHAnsi"/>
          <w:bCs/>
        </w:rPr>
        <w:t xml:space="preserve"> </w:t>
      </w:r>
      <w:r w:rsidRPr="00E30D70">
        <w:rPr>
          <w:rFonts w:cstheme="minorHAnsi"/>
          <w:bCs/>
        </w:rPr>
        <w:t>défavorables des changements climatiques, y compris la variabilité du climat et les</w:t>
      </w:r>
      <w:r>
        <w:rPr>
          <w:rFonts w:cstheme="minorHAnsi"/>
          <w:bCs/>
        </w:rPr>
        <w:t xml:space="preserve"> </w:t>
      </w:r>
      <w:r w:rsidRPr="00AE30E7">
        <w:rPr>
          <w:rFonts w:cstheme="minorHAnsi"/>
          <w:b/>
          <w:color w:val="660033"/>
        </w:rPr>
        <w:t>phénomènes extrêmes</w:t>
      </w:r>
      <w:r w:rsidRPr="00E30D70">
        <w:rPr>
          <w:rFonts w:cstheme="minorHAnsi"/>
          <w:bCs/>
        </w:rPr>
        <w:t xml:space="preserve">. </w:t>
      </w:r>
      <w:r w:rsidRPr="00AE30E7">
        <w:rPr>
          <w:rFonts w:cstheme="minorHAnsi"/>
          <w:b/>
          <w:color w:val="660033"/>
        </w:rPr>
        <w:t>La vulnérabilité est fonction de la nature, de l’ampleur et du rythme de l’évolution et de la variation du climat à laquelle le système considéré est exposé, de la sensibilité de ce système et de sa capacité d’adaptation »</w:t>
      </w:r>
      <w:r w:rsidRPr="00AE30E7">
        <w:rPr>
          <w:rFonts w:cstheme="minorHAnsi"/>
          <w:bCs/>
          <w:color w:val="660033"/>
        </w:rPr>
        <w:t xml:space="preserve"> </w:t>
      </w:r>
      <w:r w:rsidRPr="00E30D70">
        <w:rPr>
          <w:rFonts w:cstheme="minorHAnsi"/>
          <w:bCs/>
        </w:rPr>
        <w:t>(Définition du GIEC, 2008).</w:t>
      </w:r>
    </w:p>
    <w:p w14:paraId="2DD6AF53" w14:textId="77777777" w:rsidR="00BC6C8B" w:rsidRDefault="00BC6C8B" w:rsidP="00BC6C8B">
      <w:pPr>
        <w:pStyle w:val="Sansinterligne"/>
        <w:rPr>
          <w:rFonts w:cstheme="minorHAnsi"/>
          <w:b/>
        </w:rPr>
      </w:pPr>
      <w:r>
        <w:rPr>
          <w:rFonts w:cstheme="minorHAnsi"/>
          <w:b/>
        </w:rPr>
        <w:t xml:space="preserve">Exercez-vous dans l’usage de ces termes techniques pour démontrer votre maitrise de leur usage                    </w:t>
      </w:r>
      <w:r>
        <w:rPr>
          <w:noProof/>
          <w:lang w:eastAsia="fr-FR"/>
        </w:rPr>
        <w:drawing>
          <wp:inline distT="0" distB="0" distL="0" distR="0" wp14:anchorId="2528654E" wp14:editId="19C3150A">
            <wp:extent cx="5969000" cy="2051050"/>
            <wp:effectExtent l="0" t="0" r="0" b="6350"/>
            <wp:docPr id="199690114" name="Image 199690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0"/>
                    <a:srcRect l="13196" t="24206" r="12989" b="7579"/>
                    <a:stretch/>
                  </pic:blipFill>
                  <pic:spPr bwMode="auto">
                    <a:xfrm>
                      <a:off x="0" y="0"/>
                      <a:ext cx="5971012" cy="2051741"/>
                    </a:xfrm>
                    <a:prstGeom prst="rect">
                      <a:avLst/>
                    </a:prstGeom>
                    <a:ln>
                      <a:noFill/>
                    </a:ln>
                    <a:extLst>
                      <a:ext uri="{53640926-AAD7-44D8-BBD7-CCE9431645EC}">
                        <a14:shadowObscured xmlns:a14="http://schemas.microsoft.com/office/drawing/2010/main"/>
                      </a:ext>
                    </a:extLst>
                  </pic:spPr>
                </pic:pic>
              </a:graphicData>
            </a:graphic>
          </wp:inline>
        </w:drawing>
      </w:r>
    </w:p>
    <w:p w14:paraId="2010C757" w14:textId="77777777" w:rsidR="00BC6C8B" w:rsidRPr="00383187" w:rsidRDefault="00BC6C8B" w:rsidP="00BC6C8B">
      <w:pPr>
        <w:pStyle w:val="Lgende"/>
        <w:rPr>
          <w:rFonts w:cstheme="minorHAnsi"/>
          <w:bCs/>
          <w:i w:val="0"/>
          <w:iCs w:val="0"/>
          <w:color w:val="auto"/>
          <w:sz w:val="24"/>
          <w:szCs w:val="24"/>
        </w:rPr>
      </w:pPr>
      <w:bookmarkStart w:id="451" w:name="_Toc177218763"/>
      <w:r>
        <w:rPr>
          <w:b/>
          <w:bCs/>
          <w:i w:val="0"/>
          <w:iCs w:val="0"/>
          <w:color w:val="auto"/>
          <w:sz w:val="24"/>
          <w:szCs w:val="24"/>
        </w:rPr>
        <w:t xml:space="preserve">              </w:t>
      </w:r>
      <w:r w:rsidRPr="00383187">
        <w:rPr>
          <w:b/>
          <w:bCs/>
          <w:i w:val="0"/>
          <w:iCs w:val="0"/>
          <w:color w:val="auto"/>
          <w:sz w:val="24"/>
          <w:szCs w:val="24"/>
        </w:rPr>
        <w:t xml:space="preserve">Figure </w:t>
      </w:r>
      <w:r w:rsidRPr="00383187">
        <w:rPr>
          <w:b/>
          <w:bCs/>
          <w:i w:val="0"/>
          <w:iCs w:val="0"/>
          <w:color w:val="auto"/>
          <w:sz w:val="24"/>
          <w:szCs w:val="24"/>
        </w:rPr>
        <w:fldChar w:fldCharType="begin"/>
      </w:r>
      <w:r w:rsidRPr="00383187">
        <w:rPr>
          <w:b/>
          <w:bCs/>
          <w:i w:val="0"/>
          <w:iCs w:val="0"/>
          <w:color w:val="auto"/>
          <w:sz w:val="24"/>
          <w:szCs w:val="24"/>
        </w:rPr>
        <w:instrText xml:space="preserve"> SEQ Figure \* ARABIC </w:instrText>
      </w:r>
      <w:r w:rsidRPr="00383187">
        <w:rPr>
          <w:b/>
          <w:bCs/>
          <w:i w:val="0"/>
          <w:iCs w:val="0"/>
          <w:color w:val="auto"/>
          <w:sz w:val="24"/>
          <w:szCs w:val="24"/>
        </w:rPr>
        <w:fldChar w:fldCharType="separate"/>
      </w:r>
      <w:r>
        <w:rPr>
          <w:b/>
          <w:bCs/>
          <w:i w:val="0"/>
          <w:iCs w:val="0"/>
          <w:noProof/>
          <w:color w:val="auto"/>
          <w:sz w:val="24"/>
          <w:szCs w:val="24"/>
        </w:rPr>
        <w:t>2</w:t>
      </w:r>
      <w:r w:rsidRPr="00383187">
        <w:rPr>
          <w:b/>
          <w:bCs/>
          <w:i w:val="0"/>
          <w:iCs w:val="0"/>
          <w:color w:val="auto"/>
          <w:sz w:val="24"/>
          <w:szCs w:val="24"/>
        </w:rPr>
        <w:fldChar w:fldCharType="end"/>
      </w:r>
      <w:r w:rsidRPr="00383187">
        <w:rPr>
          <w:i w:val="0"/>
          <w:iCs w:val="0"/>
          <w:color w:val="auto"/>
          <w:sz w:val="24"/>
          <w:szCs w:val="24"/>
        </w:rPr>
        <w:t xml:space="preserve">:Les </w:t>
      </w:r>
      <w:r w:rsidRPr="009277F7">
        <w:rPr>
          <w:b/>
          <w:bCs/>
          <w:i w:val="0"/>
          <w:iCs w:val="0"/>
          <w:color w:val="004E9A"/>
          <w:sz w:val="24"/>
          <w:szCs w:val="24"/>
        </w:rPr>
        <w:t>déterminants</w:t>
      </w:r>
      <w:r w:rsidRPr="00383187">
        <w:rPr>
          <w:i w:val="0"/>
          <w:iCs w:val="0"/>
          <w:color w:val="auto"/>
          <w:sz w:val="24"/>
          <w:szCs w:val="24"/>
        </w:rPr>
        <w:t xml:space="preserve"> </w:t>
      </w:r>
      <w:r w:rsidRPr="009277F7">
        <w:rPr>
          <w:b/>
          <w:bCs/>
          <w:i w:val="0"/>
          <w:iCs w:val="0"/>
          <w:color w:val="004E9A"/>
          <w:sz w:val="24"/>
          <w:szCs w:val="24"/>
        </w:rPr>
        <w:t>de la vulnérabilité</w:t>
      </w:r>
      <w:bookmarkEnd w:id="451"/>
    </w:p>
    <w:p w14:paraId="3EBC1352" w14:textId="77777777" w:rsidR="00BC6C8B" w:rsidRDefault="00BC6C8B" w:rsidP="00BC6C8B">
      <w:pPr>
        <w:spacing w:after="0" w:line="240" w:lineRule="auto"/>
        <w:rPr>
          <w:rFonts w:cstheme="minorHAnsi"/>
          <w:bCs/>
        </w:rPr>
      </w:pPr>
    </w:p>
    <w:p w14:paraId="503E0BE7" w14:textId="77777777" w:rsidR="00BC6C8B" w:rsidRDefault="00BC6C8B" w:rsidP="00BC6C8B">
      <w:pPr>
        <w:ind w:left="709"/>
        <w:jc w:val="both"/>
        <w:rPr>
          <w:rFonts w:cstheme="minorHAnsi"/>
          <w:bCs/>
        </w:rPr>
      </w:pPr>
      <w:r w:rsidRPr="00735401">
        <w:rPr>
          <w:rFonts w:cstheme="minorHAnsi"/>
          <w:bCs/>
        </w:rPr>
        <w:t xml:space="preserve">« </w:t>
      </w:r>
      <w:r w:rsidRPr="00177261">
        <w:rPr>
          <w:rFonts w:cstheme="minorHAnsi"/>
          <w:b/>
        </w:rPr>
        <w:t>La vulnérabilité</w:t>
      </w:r>
      <w:r w:rsidRPr="00735401">
        <w:rPr>
          <w:rFonts w:cstheme="minorHAnsi"/>
          <w:bCs/>
        </w:rPr>
        <w:t xml:space="preserve"> présente donc à la fois une dimension externe</w:t>
      </w:r>
      <w:r>
        <w:rPr>
          <w:rFonts w:cstheme="minorHAnsi"/>
          <w:bCs/>
        </w:rPr>
        <w:t xml:space="preserve"> (</w:t>
      </w:r>
      <w:r w:rsidRPr="00BA3EBA">
        <w:rPr>
          <w:rFonts w:cstheme="minorHAnsi"/>
          <w:bCs/>
        </w:rPr>
        <w:t>l’exposition au climat) et caractéristiques internes au système étudié (la sensibilité et la capacité d’adaptation) » (C’est ce qui différencie la sensibilité de la vulnérabilité ; la sensibilité ne tient pas compte de l’effet modérateur de l’adaptation, alors que la vulnérabilité peut être vue comme les impacts subis</w:t>
      </w:r>
      <w:r w:rsidRPr="00735401">
        <w:rPr>
          <w:rFonts w:cstheme="minorHAnsi"/>
          <w:bCs/>
        </w:rPr>
        <w:t xml:space="preserve"> une fois l’adaptation mise en œuvre (figure </w:t>
      </w:r>
      <w:r>
        <w:rPr>
          <w:rFonts w:cstheme="minorHAnsi"/>
          <w:bCs/>
        </w:rPr>
        <w:t>3 ci-dessus</w:t>
      </w:r>
      <w:r w:rsidRPr="00735401">
        <w:rPr>
          <w:rFonts w:cstheme="minorHAnsi"/>
          <w:bCs/>
        </w:rPr>
        <w:t>).</w:t>
      </w:r>
    </w:p>
    <w:p w14:paraId="775B71F5" w14:textId="77777777" w:rsidR="00BC6C8B" w:rsidRPr="00E647E1" w:rsidRDefault="00BC6C8B" w:rsidP="00BC6C8B">
      <w:pPr>
        <w:pStyle w:val="Paragraphedeliste"/>
        <w:numPr>
          <w:ilvl w:val="0"/>
          <w:numId w:val="464"/>
        </w:numPr>
        <w:ind w:left="709"/>
        <w:jc w:val="both"/>
        <w:rPr>
          <w:rFonts w:cstheme="minorHAnsi"/>
          <w:bCs/>
        </w:rPr>
      </w:pPr>
      <w:r w:rsidRPr="00E647E1">
        <w:rPr>
          <w:rFonts w:cstheme="minorHAnsi"/>
          <w:b/>
        </w:rPr>
        <w:t xml:space="preserve">La capacité d’adaptation : </w:t>
      </w:r>
      <w:r w:rsidRPr="00E647E1">
        <w:rPr>
          <w:rFonts w:cstheme="minorHAnsi"/>
          <w:bCs/>
        </w:rPr>
        <w:t>« Ensemble des capacités, des ressources et des institutions d’un pays ou d’une région lui permettant de mettre en œuvre des mesures d’adaptation efficaces » (GIEC, 2008). (1) Les compétences, connaissances et ressources nécessaires pour s’acquitter d’une fonction. (2)</w:t>
      </w:r>
    </w:p>
    <w:p w14:paraId="0A2FCA6E" w14:textId="77777777" w:rsidR="00BC6C8B" w:rsidRPr="00735401" w:rsidRDefault="00BC6C8B" w:rsidP="00BC6C8B">
      <w:pPr>
        <w:ind w:left="709"/>
        <w:jc w:val="both"/>
        <w:rPr>
          <w:rFonts w:cstheme="minorHAnsi"/>
          <w:bCs/>
        </w:rPr>
      </w:pPr>
      <w:r w:rsidRPr="00204B07">
        <w:rPr>
          <w:rFonts w:cstheme="minorHAnsi"/>
          <w:b/>
        </w:rPr>
        <w:t>« Accroître la capacité d'adaptation</w:t>
      </w:r>
      <w:r w:rsidRPr="00B34BBC">
        <w:rPr>
          <w:rFonts w:cstheme="minorHAnsi"/>
          <w:bCs/>
        </w:rPr>
        <w:t xml:space="preserve"> fait partie des stratégies d'adaptation, et un système avec</w:t>
      </w:r>
      <w:r>
        <w:rPr>
          <w:rFonts w:cstheme="minorHAnsi"/>
          <w:bCs/>
        </w:rPr>
        <w:t xml:space="preserve"> </w:t>
      </w:r>
      <w:r w:rsidRPr="00B34BBC">
        <w:rPr>
          <w:rFonts w:cstheme="minorHAnsi"/>
          <w:bCs/>
        </w:rPr>
        <w:t>de nombreuses options d'adaptation a généralement une plus grande capacité de s'adapter</w:t>
      </w:r>
      <w:r>
        <w:rPr>
          <w:rFonts w:cstheme="minorHAnsi"/>
          <w:bCs/>
        </w:rPr>
        <w:t xml:space="preserve"> </w:t>
      </w:r>
      <w:r w:rsidRPr="00B34BBC">
        <w:rPr>
          <w:rFonts w:cstheme="minorHAnsi"/>
          <w:bCs/>
        </w:rPr>
        <w:t>qu'un système n'en ayant que peu ou pas. Certains pensent que la capacité d'adaptation peut</w:t>
      </w:r>
      <w:r>
        <w:rPr>
          <w:rFonts w:cstheme="minorHAnsi"/>
          <w:bCs/>
        </w:rPr>
        <w:t xml:space="preserve"> </w:t>
      </w:r>
      <w:r w:rsidRPr="00B34BBC">
        <w:rPr>
          <w:rFonts w:cstheme="minorHAnsi"/>
          <w:bCs/>
        </w:rPr>
        <w:t xml:space="preserve">être vue comme un </w:t>
      </w:r>
      <w:r w:rsidRPr="00204B07">
        <w:rPr>
          <w:rFonts w:cstheme="minorHAnsi"/>
          <w:b/>
        </w:rPr>
        <w:t>potentiel d'adaptation</w:t>
      </w:r>
      <w:r w:rsidRPr="00B34BBC">
        <w:rPr>
          <w:rFonts w:cstheme="minorHAnsi"/>
          <w:bCs/>
        </w:rPr>
        <w:t xml:space="preserve"> et, lorsque la capacité d'adaptation est utilisée à</w:t>
      </w:r>
      <w:r>
        <w:rPr>
          <w:rFonts w:cstheme="minorHAnsi"/>
          <w:bCs/>
        </w:rPr>
        <w:t xml:space="preserve"> </w:t>
      </w:r>
      <w:r w:rsidRPr="00B34BBC">
        <w:rPr>
          <w:rFonts w:cstheme="minorHAnsi"/>
          <w:bCs/>
        </w:rPr>
        <w:t>cette fin, la vulnérabilité s'en trouve réduite ».</w:t>
      </w:r>
    </w:p>
    <w:p w14:paraId="66758C57" w14:textId="77777777" w:rsidR="00BC6C8B" w:rsidRDefault="00BC6C8B" w:rsidP="00BC6C8B">
      <w:pPr>
        <w:ind w:left="708"/>
        <w:jc w:val="both"/>
        <w:rPr>
          <w:rFonts w:cstheme="minorHAnsi"/>
          <w:bCs/>
        </w:rPr>
      </w:pPr>
      <w:r w:rsidRPr="00177261">
        <w:rPr>
          <w:rFonts w:cstheme="minorHAnsi"/>
          <w:bCs/>
        </w:rPr>
        <w:t>Ensemble de moyens (financiers et humains, techniques, administratifs, sociaux, économiques et scientifiques) mis en place en vue d’accomplir un objectif déterminé.</w:t>
      </w:r>
    </w:p>
    <w:p w14:paraId="4695D027" w14:textId="77777777" w:rsidR="00BC6C8B" w:rsidRPr="00177261" w:rsidRDefault="00BC6C8B" w:rsidP="00BC6C8B">
      <w:pPr>
        <w:jc w:val="both"/>
        <w:rPr>
          <w:rFonts w:cstheme="minorHAnsi"/>
          <w:bCs/>
        </w:rPr>
      </w:pPr>
      <w:r w:rsidRPr="00177261">
        <w:rPr>
          <w:rFonts w:cstheme="minorHAnsi"/>
          <w:bCs/>
        </w:rPr>
        <w:t xml:space="preserve"> Les</w:t>
      </w:r>
      <w:r>
        <w:rPr>
          <w:rFonts w:cstheme="minorHAnsi"/>
          <w:bCs/>
        </w:rPr>
        <w:t xml:space="preserve"> </w:t>
      </w:r>
      <w:r w:rsidRPr="00177261">
        <w:rPr>
          <w:rFonts w:cstheme="minorHAnsi"/>
          <w:bCs/>
        </w:rPr>
        <w:t xml:space="preserve">termes de </w:t>
      </w:r>
      <w:r w:rsidRPr="00204B07">
        <w:rPr>
          <w:rFonts w:cstheme="minorHAnsi"/>
          <w:b/>
        </w:rPr>
        <w:t>« capacité d'adaptation »</w:t>
      </w:r>
      <w:r w:rsidRPr="00177261">
        <w:rPr>
          <w:rFonts w:cstheme="minorHAnsi"/>
          <w:bCs/>
        </w:rPr>
        <w:t xml:space="preserve"> et </w:t>
      </w:r>
      <w:r w:rsidRPr="00204B07">
        <w:rPr>
          <w:rFonts w:cstheme="minorHAnsi"/>
          <w:b/>
        </w:rPr>
        <w:t>« d'adaptation »</w:t>
      </w:r>
      <w:r w:rsidRPr="00177261">
        <w:rPr>
          <w:rFonts w:cstheme="minorHAnsi"/>
          <w:bCs/>
        </w:rPr>
        <w:t>, même s'ils sont liés, sont bien</w:t>
      </w:r>
      <w:r>
        <w:rPr>
          <w:rFonts w:cstheme="minorHAnsi"/>
          <w:bCs/>
        </w:rPr>
        <w:t xml:space="preserve"> </w:t>
      </w:r>
      <w:r w:rsidRPr="00177261">
        <w:rPr>
          <w:rFonts w:cstheme="minorHAnsi"/>
          <w:bCs/>
        </w:rPr>
        <w:t>distincts dans la documentation sur le CC. La capacité d'adaptation est une caractéristique</w:t>
      </w:r>
      <w:r>
        <w:rPr>
          <w:rFonts w:cstheme="minorHAnsi"/>
          <w:bCs/>
        </w:rPr>
        <w:t xml:space="preserve"> </w:t>
      </w:r>
      <w:r w:rsidRPr="00177261">
        <w:rPr>
          <w:rFonts w:cstheme="minorHAnsi"/>
          <w:bCs/>
        </w:rPr>
        <w:t>d'un système qui indique son aptitude à s'adapter efficacement au changement (figure 4). Un</w:t>
      </w:r>
      <w:r>
        <w:rPr>
          <w:rFonts w:cstheme="minorHAnsi"/>
          <w:bCs/>
        </w:rPr>
        <w:t xml:space="preserve"> </w:t>
      </w:r>
      <w:r w:rsidRPr="00177261">
        <w:rPr>
          <w:rFonts w:cstheme="minorHAnsi"/>
          <w:bCs/>
        </w:rPr>
        <w:t>système doté d'une grande capacité d'adaptation serait capable de faire face aux</w:t>
      </w:r>
      <w:r>
        <w:rPr>
          <w:rFonts w:cstheme="minorHAnsi"/>
          <w:bCs/>
        </w:rPr>
        <w:t xml:space="preserve"> </w:t>
      </w:r>
      <w:r w:rsidRPr="00177261">
        <w:rPr>
          <w:rFonts w:cstheme="minorHAnsi"/>
          <w:bCs/>
        </w:rPr>
        <w:t>changements du climat, et peut-être même d'en tirer profit, alors qu'un système de faible</w:t>
      </w:r>
      <w:r>
        <w:rPr>
          <w:rFonts w:cstheme="minorHAnsi"/>
          <w:bCs/>
        </w:rPr>
        <w:t xml:space="preserve"> </w:t>
      </w:r>
      <w:r w:rsidRPr="00177261">
        <w:rPr>
          <w:rFonts w:cstheme="minorHAnsi"/>
          <w:bCs/>
        </w:rPr>
        <w:t>capacité d'adaptation serait plus susceptible de souffrir des mêmes changements.</w:t>
      </w:r>
    </w:p>
    <w:p w14:paraId="7C5F4D3E" w14:textId="77777777" w:rsidR="00BC6C8B" w:rsidRDefault="00BC6C8B" w:rsidP="00BC6C8B">
      <w:pPr>
        <w:jc w:val="both"/>
        <w:rPr>
          <w:rFonts w:cstheme="minorHAnsi"/>
          <w:bCs/>
        </w:rPr>
      </w:pPr>
      <w:r w:rsidRPr="00CB4DFF">
        <w:rPr>
          <w:rFonts w:cstheme="minorHAnsi"/>
          <w:b/>
        </w:rPr>
        <w:t>L'adaptation</w:t>
      </w:r>
      <w:r w:rsidRPr="00177261">
        <w:rPr>
          <w:rFonts w:cstheme="minorHAnsi"/>
          <w:bCs/>
        </w:rPr>
        <w:t>, quant à elle, se rapporte à un processus ou à une action spécifique.</w:t>
      </w:r>
    </w:p>
    <w:p w14:paraId="6F2344FF" w14:textId="77777777" w:rsidR="00BC6C8B" w:rsidRPr="00177261" w:rsidRDefault="00BC6C8B" w:rsidP="00BC6C8B">
      <w:pPr>
        <w:rPr>
          <w:rFonts w:cstheme="minorHAnsi"/>
          <w:bCs/>
        </w:rPr>
      </w:pPr>
      <w:r w:rsidRPr="00491E3E">
        <w:rPr>
          <w:noProof/>
          <w:sz w:val="20"/>
          <w:szCs w:val="20"/>
          <w:lang w:eastAsia="fr-FR"/>
        </w:rPr>
        <w:drawing>
          <wp:inline distT="0" distB="0" distL="0" distR="0" wp14:anchorId="6C0AE0D8" wp14:editId="7860B1DB">
            <wp:extent cx="5878282" cy="2802576"/>
            <wp:effectExtent l="0" t="0" r="8255" b="0"/>
            <wp:docPr id="224988607" name="Image 224988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2"/>
                    <a:srcRect l="15258" t="24573" r="11959" b="13446"/>
                    <a:stretch/>
                  </pic:blipFill>
                  <pic:spPr bwMode="auto">
                    <a:xfrm>
                      <a:off x="0" y="0"/>
                      <a:ext cx="5879499" cy="2803156"/>
                    </a:xfrm>
                    <a:prstGeom prst="rect">
                      <a:avLst/>
                    </a:prstGeom>
                    <a:ln>
                      <a:noFill/>
                    </a:ln>
                    <a:extLst>
                      <a:ext uri="{53640926-AAD7-44D8-BBD7-CCE9431645EC}">
                        <a14:shadowObscured xmlns:a14="http://schemas.microsoft.com/office/drawing/2010/main"/>
                      </a:ext>
                    </a:extLst>
                  </pic:spPr>
                </pic:pic>
              </a:graphicData>
            </a:graphic>
          </wp:inline>
        </w:drawing>
      </w:r>
    </w:p>
    <w:p w14:paraId="371AE60B" w14:textId="618D84F1" w:rsidR="00BC6C8B" w:rsidRDefault="00BC6C8B" w:rsidP="00BC6C8B">
      <w:pPr>
        <w:pStyle w:val="Lgende"/>
        <w:rPr>
          <w:lang w:eastAsia="fr-FR"/>
        </w:rPr>
      </w:pPr>
      <w:r>
        <w:rPr>
          <w:noProof/>
          <w:lang w:eastAsia="fr-FR"/>
        </w:rPr>
        <w:t xml:space="preserve">    </w:t>
      </w:r>
      <w:bookmarkStart w:id="452" w:name="_Toc177218764"/>
      <w:r w:rsidRPr="00A56C53">
        <w:rPr>
          <w:b/>
          <w:bCs/>
          <w:i w:val="0"/>
          <w:iCs w:val="0"/>
          <w:color w:val="auto"/>
          <w:sz w:val="24"/>
          <w:szCs w:val="24"/>
        </w:rPr>
        <w:t xml:space="preserve">Figure </w:t>
      </w:r>
      <w:r w:rsidRPr="00A56C53">
        <w:rPr>
          <w:b/>
          <w:bCs/>
          <w:i w:val="0"/>
          <w:iCs w:val="0"/>
          <w:color w:val="auto"/>
          <w:sz w:val="24"/>
          <w:szCs w:val="24"/>
        </w:rPr>
        <w:fldChar w:fldCharType="begin"/>
      </w:r>
      <w:r w:rsidRPr="00A56C53">
        <w:rPr>
          <w:b/>
          <w:bCs/>
          <w:i w:val="0"/>
          <w:iCs w:val="0"/>
          <w:color w:val="auto"/>
          <w:sz w:val="24"/>
          <w:szCs w:val="24"/>
        </w:rPr>
        <w:instrText xml:space="preserve"> SEQ Figure \* ARABIC </w:instrText>
      </w:r>
      <w:r w:rsidRPr="00A56C53">
        <w:rPr>
          <w:b/>
          <w:bCs/>
          <w:i w:val="0"/>
          <w:iCs w:val="0"/>
          <w:color w:val="auto"/>
          <w:sz w:val="24"/>
          <w:szCs w:val="24"/>
        </w:rPr>
        <w:fldChar w:fldCharType="separate"/>
      </w:r>
      <w:r>
        <w:rPr>
          <w:b/>
          <w:bCs/>
          <w:i w:val="0"/>
          <w:iCs w:val="0"/>
          <w:noProof/>
          <w:color w:val="auto"/>
          <w:sz w:val="24"/>
          <w:szCs w:val="24"/>
        </w:rPr>
        <w:t>3</w:t>
      </w:r>
      <w:r w:rsidRPr="00A56C53">
        <w:rPr>
          <w:b/>
          <w:bCs/>
          <w:i w:val="0"/>
          <w:iCs w:val="0"/>
          <w:color w:val="auto"/>
          <w:sz w:val="24"/>
          <w:szCs w:val="24"/>
        </w:rPr>
        <w:fldChar w:fldCharType="end"/>
      </w:r>
      <w:r w:rsidRPr="00A56C53">
        <w:rPr>
          <w:i w:val="0"/>
          <w:iCs w:val="0"/>
          <w:color w:val="auto"/>
          <w:sz w:val="24"/>
          <w:szCs w:val="24"/>
        </w:rPr>
        <w:t>:</w:t>
      </w:r>
      <w:r w:rsidR="00C74A2A">
        <w:rPr>
          <w:i w:val="0"/>
          <w:iCs w:val="0"/>
          <w:color w:val="auto"/>
          <w:sz w:val="24"/>
          <w:szCs w:val="24"/>
        </w:rPr>
        <w:t xml:space="preserve"> </w:t>
      </w:r>
      <w:r w:rsidRPr="009277F7">
        <w:rPr>
          <w:b/>
          <w:bCs/>
          <w:i w:val="0"/>
          <w:iCs w:val="0"/>
          <w:color w:val="800000"/>
          <w:sz w:val="24"/>
          <w:szCs w:val="24"/>
        </w:rPr>
        <w:t>Fonctions</w:t>
      </w:r>
      <w:r w:rsidRPr="00A56C53">
        <w:rPr>
          <w:i w:val="0"/>
          <w:iCs w:val="0"/>
          <w:color w:val="auto"/>
          <w:sz w:val="24"/>
          <w:szCs w:val="24"/>
        </w:rPr>
        <w:t xml:space="preserve"> </w:t>
      </w:r>
      <w:r w:rsidRPr="009277F7">
        <w:rPr>
          <w:b/>
          <w:bCs/>
          <w:i w:val="0"/>
          <w:iCs w:val="0"/>
          <w:color w:val="800000"/>
          <w:sz w:val="24"/>
          <w:szCs w:val="24"/>
        </w:rPr>
        <w:t>de la vulnérabilité</w:t>
      </w:r>
      <w:bookmarkEnd w:id="452"/>
    </w:p>
    <w:p w14:paraId="1DF81422" w14:textId="77777777" w:rsidR="00BC6C8B" w:rsidRPr="00204B07" w:rsidRDefault="00BC6C8B" w:rsidP="00BC6C8B">
      <w:pPr>
        <w:spacing w:after="0" w:line="240" w:lineRule="auto"/>
        <w:ind w:left="284"/>
        <w:jc w:val="both"/>
        <w:rPr>
          <w:rFonts w:eastAsia="Times New Roman" w:cstheme="minorHAnsi"/>
          <w:i/>
          <w:iCs/>
          <w:color w:val="004F88"/>
          <w:lang w:eastAsia="fr-FR"/>
        </w:rPr>
      </w:pPr>
      <w:r w:rsidRPr="00204B07">
        <w:rPr>
          <w:rFonts w:eastAsia="Times New Roman" w:cstheme="minorHAnsi"/>
          <w:i/>
          <w:iCs/>
          <w:color w:val="004F88"/>
          <w:lang w:eastAsia="fr-FR"/>
        </w:rPr>
        <w:t xml:space="preserve">Indice mondial d’adaptation de l’Université de Notre Dame (ND GAIN) </w:t>
      </w:r>
    </w:p>
    <w:p w14:paraId="5129118D" w14:textId="77777777" w:rsidR="00BC6C8B" w:rsidRPr="00204B07" w:rsidRDefault="00BC6C8B" w:rsidP="00BC6C8B">
      <w:pPr>
        <w:spacing w:after="0" w:line="240" w:lineRule="auto"/>
        <w:ind w:left="284"/>
        <w:jc w:val="both"/>
        <w:rPr>
          <w:rFonts w:eastAsia="Times New Roman" w:cstheme="minorHAnsi"/>
          <w:i/>
          <w:iCs/>
          <w:color w:val="004F88"/>
          <w:lang w:eastAsia="fr-FR"/>
        </w:rPr>
      </w:pPr>
      <w:proofErr w:type="gramStart"/>
      <w:r w:rsidRPr="00204B07">
        <w:rPr>
          <w:rFonts w:eastAsia="Times New Roman" w:cstheme="minorHAnsi"/>
          <w:i/>
          <w:iCs/>
          <w:color w:val="004F88"/>
          <w:lang w:eastAsia="fr-FR"/>
        </w:rPr>
        <w:t>http</w:t>
      </w:r>
      <w:proofErr w:type="gramEnd"/>
      <w:r w:rsidRPr="00204B07">
        <w:rPr>
          <w:rFonts w:eastAsia="Times New Roman" w:cstheme="minorHAnsi"/>
          <w:i/>
          <w:iCs/>
          <w:color w:val="004F88"/>
          <w:lang w:eastAsia="fr-FR"/>
        </w:rPr>
        <w:t>:// index gain.org, données disponibles en ligne.</w:t>
      </w:r>
    </w:p>
    <w:p w14:paraId="2F9326B7" w14:textId="77777777" w:rsidR="00BC6C8B" w:rsidRPr="001B12CA" w:rsidRDefault="00BC6C8B" w:rsidP="00BC6C8B">
      <w:pPr>
        <w:spacing w:after="0" w:line="240" w:lineRule="auto"/>
        <w:jc w:val="both"/>
        <w:rPr>
          <w:rFonts w:eastAsia="Times New Roman" w:cstheme="minorHAnsi"/>
          <w:lang w:eastAsia="fr-FR"/>
        </w:rPr>
      </w:pPr>
    </w:p>
    <w:p w14:paraId="3B4101D0" w14:textId="77777777" w:rsidR="00BC6C8B" w:rsidRPr="00034654" w:rsidRDefault="00BC6C8B" w:rsidP="00BC6C8B">
      <w:pPr>
        <w:pStyle w:val="Paragraphedeliste"/>
        <w:numPr>
          <w:ilvl w:val="0"/>
          <w:numId w:val="466"/>
        </w:numPr>
        <w:spacing w:after="0" w:line="240" w:lineRule="auto"/>
        <w:jc w:val="both"/>
        <w:rPr>
          <w:rFonts w:eastAsia="Times New Roman" w:cstheme="minorHAnsi"/>
          <w:b/>
          <w:bCs/>
          <w:lang w:eastAsia="fr-FR"/>
        </w:rPr>
      </w:pPr>
      <w:r w:rsidRPr="00034654">
        <w:rPr>
          <w:rFonts w:eastAsia="Times New Roman" w:cstheme="minorHAnsi"/>
          <w:b/>
          <w:bCs/>
          <w:lang w:eastAsia="fr-FR"/>
        </w:rPr>
        <w:t>ND-GAIN</w:t>
      </w:r>
      <w:r w:rsidRPr="00034654">
        <w:rPr>
          <w:rFonts w:eastAsia="Times New Roman" w:cstheme="minorHAnsi"/>
          <w:lang w:eastAsia="fr-FR"/>
        </w:rPr>
        <w:t xml:space="preserve">. </w:t>
      </w:r>
      <w:r w:rsidRPr="00034654">
        <w:rPr>
          <w:rFonts w:eastAsia="Times New Roman" w:cstheme="minorHAnsi"/>
          <w:b/>
          <w:bCs/>
          <w:lang w:eastAsia="fr-FR"/>
        </w:rPr>
        <w:t>L’indice de pays est composé de deux dimensions :</w:t>
      </w:r>
    </w:p>
    <w:p w14:paraId="47EF5F67" w14:textId="77777777" w:rsidR="00BC6C8B" w:rsidRPr="005E67BD" w:rsidRDefault="00BC6C8B" w:rsidP="00BC6C8B">
      <w:pPr>
        <w:pStyle w:val="Paragraphedeliste"/>
        <w:numPr>
          <w:ilvl w:val="0"/>
          <w:numId w:val="467"/>
        </w:numPr>
        <w:spacing w:after="0" w:line="240" w:lineRule="auto"/>
        <w:jc w:val="both"/>
        <w:rPr>
          <w:rFonts w:eastAsia="Times New Roman" w:cstheme="minorHAnsi"/>
          <w:color w:val="C00000"/>
          <w:lang w:eastAsia="fr-FR"/>
        </w:rPr>
      </w:pPr>
      <w:r w:rsidRPr="00034654">
        <w:rPr>
          <w:b/>
          <w:bCs/>
        </w:rPr>
        <w:t>L’indice de vulnérabilité</w:t>
      </w:r>
      <w:r w:rsidRPr="00034654">
        <w:rPr>
          <w:rFonts w:eastAsia="Times New Roman" w:cstheme="minorHAnsi"/>
          <w:lang w:eastAsia="fr-FR"/>
        </w:rPr>
        <w:t xml:space="preserve"> </w:t>
      </w:r>
      <w:r w:rsidRPr="00397744">
        <w:rPr>
          <w:rFonts w:eastAsia="Times New Roman" w:cstheme="minorHAnsi"/>
          <w:b/>
          <w:bCs/>
          <w:lang w:eastAsia="fr-FR"/>
        </w:rPr>
        <w:t>mesure l’exposition</w:t>
      </w:r>
      <w:r w:rsidRPr="00034654">
        <w:rPr>
          <w:rFonts w:eastAsia="Times New Roman" w:cstheme="minorHAnsi"/>
          <w:lang w:eastAsia="fr-FR"/>
        </w:rPr>
        <w:t xml:space="preserve">, la sensibilité et la capacité d’un pays à s’adapter à l’impact du changement climatique. </w:t>
      </w:r>
      <w:r w:rsidRPr="009277F7">
        <w:rPr>
          <w:b/>
          <w:bCs/>
          <w:color w:val="800000"/>
          <w:sz w:val="24"/>
          <w:szCs w:val="24"/>
        </w:rPr>
        <w:t>ND-GAIN</w:t>
      </w:r>
      <w:r w:rsidRPr="00034654">
        <w:rPr>
          <w:rFonts w:eastAsia="Times New Roman" w:cstheme="minorHAnsi"/>
          <w:lang w:eastAsia="fr-FR"/>
        </w:rPr>
        <w:t xml:space="preserve"> </w:t>
      </w:r>
      <w:r w:rsidRPr="00397744">
        <w:rPr>
          <w:rFonts w:eastAsia="Times New Roman" w:cstheme="minorHAnsi"/>
          <w:b/>
          <w:bCs/>
          <w:color w:val="C00000"/>
          <w:lang w:eastAsia="fr-FR"/>
        </w:rPr>
        <w:t xml:space="preserve">mesure la vulnérabilité globale en considérant six secteurs vitaux - </w:t>
      </w:r>
      <w:r w:rsidRPr="005E67BD">
        <w:rPr>
          <w:rFonts w:eastAsia="Times New Roman" w:cstheme="minorHAnsi"/>
          <w:color w:val="C00000"/>
          <w:lang w:eastAsia="fr-FR"/>
        </w:rPr>
        <w:t xml:space="preserve">alimentation, eau, santé, services écosystémiques, habitat humain et infrastructure. </w:t>
      </w:r>
    </w:p>
    <w:p w14:paraId="452BE043" w14:textId="77777777" w:rsidR="00BC6C8B" w:rsidRPr="005155D0" w:rsidRDefault="00BC6C8B" w:rsidP="00BC6C8B">
      <w:pPr>
        <w:pStyle w:val="Paragraphedeliste"/>
        <w:numPr>
          <w:ilvl w:val="0"/>
          <w:numId w:val="467"/>
        </w:numPr>
        <w:spacing w:after="0" w:line="240" w:lineRule="auto"/>
        <w:jc w:val="both"/>
        <w:rPr>
          <w:rFonts w:eastAsia="Times New Roman" w:cstheme="minorHAnsi"/>
          <w:b/>
          <w:bCs/>
          <w:lang w:eastAsia="fr-FR"/>
        </w:rPr>
      </w:pPr>
      <w:r w:rsidRPr="005155D0">
        <w:rPr>
          <w:rFonts w:eastAsia="Times New Roman" w:cstheme="minorHAnsi"/>
          <w:b/>
          <w:bCs/>
          <w:lang w:eastAsia="fr-FR"/>
        </w:rPr>
        <w:t xml:space="preserve">L’indice de préparation </w:t>
      </w:r>
      <w:r w:rsidRPr="00397744">
        <w:rPr>
          <w:rFonts w:eastAsia="Times New Roman" w:cstheme="minorHAnsi"/>
          <w:b/>
          <w:bCs/>
          <w:color w:val="0033CC"/>
          <w:lang w:eastAsia="fr-FR"/>
        </w:rPr>
        <w:t>mesure la capacité d’un pays à tirer parti des investissements et à les convertir en mesures d’adaptation</w:t>
      </w:r>
      <w:r w:rsidRPr="005155D0">
        <w:rPr>
          <w:rFonts w:eastAsia="Times New Roman" w:cstheme="minorHAnsi"/>
          <w:lang w:eastAsia="fr-FR"/>
        </w:rPr>
        <w:t xml:space="preserve">. ND-GAIN mesure l’état de préparation global en tenant compte de trois éléments : </w:t>
      </w:r>
      <w:r w:rsidRPr="005155D0">
        <w:rPr>
          <w:rFonts w:eastAsia="Times New Roman" w:cstheme="minorHAnsi"/>
          <w:b/>
          <w:bCs/>
          <w:lang w:eastAsia="fr-FR"/>
        </w:rPr>
        <w:t>(i) l’état de préparation économique</w:t>
      </w:r>
      <w:r w:rsidRPr="005155D0">
        <w:rPr>
          <w:rFonts w:eastAsia="Times New Roman" w:cstheme="minorHAnsi"/>
          <w:lang w:eastAsia="fr-FR"/>
        </w:rPr>
        <w:t xml:space="preserve">, (ii) </w:t>
      </w:r>
      <w:r w:rsidRPr="005155D0">
        <w:rPr>
          <w:rFonts w:eastAsia="Times New Roman" w:cstheme="minorHAnsi"/>
          <w:b/>
          <w:bCs/>
          <w:lang w:eastAsia="fr-FR"/>
        </w:rPr>
        <w:t>l’état de préparation à la gouvernance</w:t>
      </w:r>
      <w:r w:rsidRPr="005155D0">
        <w:rPr>
          <w:rFonts w:eastAsia="Times New Roman" w:cstheme="minorHAnsi"/>
          <w:lang w:eastAsia="fr-FR"/>
        </w:rPr>
        <w:t xml:space="preserve"> et (iii) </w:t>
      </w:r>
      <w:r w:rsidRPr="005155D0">
        <w:rPr>
          <w:rFonts w:eastAsia="Times New Roman" w:cstheme="minorHAnsi"/>
          <w:b/>
          <w:bCs/>
          <w:lang w:eastAsia="fr-FR"/>
        </w:rPr>
        <w:t>l’état de préparation sociale.</w:t>
      </w:r>
    </w:p>
    <w:p w14:paraId="3F474F1E" w14:textId="77777777" w:rsidR="00BC6C8B" w:rsidRDefault="00BC6C8B" w:rsidP="00BC6C8B">
      <w:pPr>
        <w:spacing w:after="0" w:line="240" w:lineRule="auto"/>
        <w:jc w:val="both"/>
        <w:rPr>
          <w:rFonts w:eastAsia="Times New Roman" w:cstheme="minorHAnsi"/>
          <w:lang w:eastAsia="fr-FR"/>
        </w:rPr>
      </w:pPr>
    </w:p>
    <w:p w14:paraId="7B453E19" w14:textId="5917DA53" w:rsidR="00BC6C8B" w:rsidRPr="00F311A0" w:rsidRDefault="00BC6C8B" w:rsidP="00BC6C8B">
      <w:pPr>
        <w:rPr>
          <w:rFonts w:ascii="Arial" w:eastAsia="Times New Roman" w:hAnsi="Arial" w:cs="Arial"/>
          <w:b/>
          <w:bCs/>
          <w:lang w:eastAsia="fr-FR"/>
        </w:rPr>
      </w:pPr>
      <w:bookmarkStart w:id="453" w:name="_Toc177218799"/>
      <w:r w:rsidRPr="00C8081F">
        <w:rPr>
          <w:b/>
          <w:bCs/>
          <w:sz w:val="24"/>
          <w:szCs w:val="24"/>
        </w:rPr>
        <w:t xml:space="preserve">Tableau </w:t>
      </w:r>
      <w:r w:rsidRPr="00C8081F">
        <w:rPr>
          <w:b/>
          <w:bCs/>
          <w:sz w:val="24"/>
          <w:szCs w:val="24"/>
        </w:rPr>
        <w:fldChar w:fldCharType="begin"/>
      </w:r>
      <w:r w:rsidRPr="00C8081F">
        <w:rPr>
          <w:b/>
          <w:bCs/>
          <w:sz w:val="24"/>
          <w:szCs w:val="24"/>
        </w:rPr>
        <w:instrText xml:space="preserve"> SEQ Tableau \* ARABIC </w:instrText>
      </w:r>
      <w:r w:rsidRPr="00C8081F">
        <w:rPr>
          <w:b/>
          <w:bCs/>
          <w:sz w:val="24"/>
          <w:szCs w:val="24"/>
        </w:rPr>
        <w:fldChar w:fldCharType="separate"/>
      </w:r>
      <w:r>
        <w:rPr>
          <w:b/>
          <w:bCs/>
          <w:noProof/>
          <w:sz w:val="24"/>
          <w:szCs w:val="24"/>
        </w:rPr>
        <w:t>2</w:t>
      </w:r>
      <w:r w:rsidRPr="00C8081F">
        <w:rPr>
          <w:b/>
          <w:bCs/>
          <w:sz w:val="24"/>
          <w:szCs w:val="24"/>
        </w:rPr>
        <w:fldChar w:fldCharType="end"/>
      </w:r>
      <w:r w:rsidRPr="00C8081F">
        <w:rPr>
          <w:b/>
          <w:bCs/>
          <w:sz w:val="24"/>
          <w:szCs w:val="24"/>
        </w:rPr>
        <w:t>:</w:t>
      </w:r>
      <w:r w:rsidR="00C74A2A">
        <w:rPr>
          <w:b/>
          <w:bCs/>
          <w:sz w:val="24"/>
          <w:szCs w:val="24"/>
        </w:rPr>
        <w:t xml:space="preserve"> </w:t>
      </w:r>
      <w:r w:rsidRPr="00275D3E">
        <w:rPr>
          <w:b/>
          <w:bCs/>
          <w:color w:val="800000"/>
          <w:sz w:val="24"/>
          <w:szCs w:val="24"/>
        </w:rPr>
        <w:t>Indice de vulnérabilité</w:t>
      </w:r>
      <w:bookmarkEnd w:id="453"/>
    </w:p>
    <w:tbl>
      <w:tblPr>
        <w:tblStyle w:val="Grilledutableau"/>
        <w:tblW w:w="0" w:type="auto"/>
        <w:tblLook w:val="04A0" w:firstRow="1" w:lastRow="0" w:firstColumn="1" w:lastColumn="0" w:noHBand="0" w:noVBand="1"/>
      </w:tblPr>
      <w:tblGrid>
        <w:gridCol w:w="1275"/>
        <w:gridCol w:w="2406"/>
        <w:gridCol w:w="2375"/>
        <w:gridCol w:w="2445"/>
      </w:tblGrid>
      <w:tr w:rsidR="00BC6C8B" w14:paraId="09A8D40B" w14:textId="77777777" w:rsidTr="00EE0E23">
        <w:tc>
          <w:tcPr>
            <w:tcW w:w="1275" w:type="dxa"/>
            <w:vAlign w:val="center"/>
          </w:tcPr>
          <w:p w14:paraId="2A6C4E21" w14:textId="77777777" w:rsidR="00BC6C8B" w:rsidRPr="001B12CA" w:rsidRDefault="00BC6C8B" w:rsidP="00EE0E23">
            <w:pPr>
              <w:jc w:val="center"/>
              <w:rPr>
                <w:rFonts w:eastAsia="Times New Roman" w:cstheme="minorHAnsi"/>
                <w:b/>
                <w:bCs/>
                <w:sz w:val="20"/>
                <w:szCs w:val="20"/>
                <w:lang w:eastAsia="fr-FR"/>
              </w:rPr>
            </w:pPr>
            <w:r>
              <w:rPr>
                <w:rFonts w:eastAsia="Times New Roman" w:cstheme="minorHAnsi"/>
                <w:b/>
                <w:bCs/>
                <w:sz w:val="20"/>
                <w:szCs w:val="20"/>
                <w:lang w:eastAsia="fr-FR"/>
              </w:rPr>
              <w:t>Secteur</w:t>
            </w:r>
          </w:p>
        </w:tc>
        <w:tc>
          <w:tcPr>
            <w:tcW w:w="2406" w:type="dxa"/>
            <w:vAlign w:val="center"/>
          </w:tcPr>
          <w:p w14:paraId="17FE0402" w14:textId="77777777" w:rsidR="00BC6C8B" w:rsidRPr="001B12CA" w:rsidRDefault="00BC6C8B" w:rsidP="00EE0E23">
            <w:pPr>
              <w:jc w:val="center"/>
              <w:rPr>
                <w:rFonts w:eastAsia="Times New Roman" w:cstheme="minorHAnsi"/>
                <w:b/>
                <w:bCs/>
                <w:sz w:val="20"/>
                <w:szCs w:val="20"/>
                <w:lang w:eastAsia="fr-FR"/>
              </w:rPr>
            </w:pPr>
            <w:r w:rsidRPr="001B12CA">
              <w:rPr>
                <w:rFonts w:eastAsia="Times New Roman" w:cstheme="minorHAnsi"/>
                <w:b/>
                <w:bCs/>
                <w:sz w:val="20"/>
                <w:szCs w:val="20"/>
                <w:lang w:eastAsia="fr-FR"/>
              </w:rPr>
              <w:t>Composante</w:t>
            </w:r>
            <w:r>
              <w:rPr>
                <w:rFonts w:eastAsia="Times New Roman" w:cstheme="minorHAnsi"/>
                <w:b/>
                <w:bCs/>
                <w:sz w:val="20"/>
                <w:szCs w:val="20"/>
                <w:lang w:eastAsia="fr-FR"/>
              </w:rPr>
              <w:t xml:space="preserve"> </w:t>
            </w:r>
            <w:r w:rsidRPr="001B12CA">
              <w:rPr>
                <w:rFonts w:eastAsia="Times New Roman" w:cstheme="minorHAnsi"/>
                <w:b/>
                <w:bCs/>
                <w:sz w:val="20"/>
                <w:szCs w:val="20"/>
                <w:lang w:eastAsia="fr-FR"/>
              </w:rPr>
              <w:t>d’exposition</w:t>
            </w:r>
          </w:p>
        </w:tc>
        <w:tc>
          <w:tcPr>
            <w:tcW w:w="2375" w:type="dxa"/>
            <w:vAlign w:val="center"/>
          </w:tcPr>
          <w:p w14:paraId="06EC872A" w14:textId="77777777" w:rsidR="00BC6C8B" w:rsidRPr="001B12CA" w:rsidRDefault="00BC6C8B" w:rsidP="00EE0E23">
            <w:pPr>
              <w:ind w:hanging="104"/>
              <w:rPr>
                <w:rFonts w:eastAsia="Times New Roman" w:cstheme="minorHAnsi"/>
                <w:b/>
                <w:bCs/>
                <w:sz w:val="20"/>
                <w:szCs w:val="20"/>
                <w:lang w:eastAsia="fr-FR"/>
              </w:rPr>
            </w:pPr>
            <w:r w:rsidRPr="001B12CA">
              <w:rPr>
                <w:rFonts w:eastAsia="Times New Roman" w:cstheme="minorHAnsi"/>
                <w:b/>
                <w:bCs/>
                <w:sz w:val="20"/>
                <w:szCs w:val="20"/>
                <w:lang w:eastAsia="fr-FR"/>
              </w:rPr>
              <w:t>Composante de sensibilité</w:t>
            </w:r>
          </w:p>
        </w:tc>
        <w:tc>
          <w:tcPr>
            <w:tcW w:w="2445" w:type="dxa"/>
          </w:tcPr>
          <w:p w14:paraId="3B09FFD8" w14:textId="77777777" w:rsidR="00BC6C8B" w:rsidRPr="001B12CA" w:rsidRDefault="00BC6C8B" w:rsidP="00EE0E23">
            <w:pPr>
              <w:jc w:val="both"/>
              <w:rPr>
                <w:rFonts w:eastAsia="Times New Roman" w:cstheme="minorHAnsi"/>
                <w:b/>
                <w:bCs/>
                <w:sz w:val="20"/>
                <w:szCs w:val="20"/>
                <w:lang w:eastAsia="fr-FR"/>
              </w:rPr>
            </w:pPr>
            <w:r w:rsidRPr="001B12CA">
              <w:rPr>
                <w:rFonts w:eastAsia="Times New Roman" w:cstheme="minorHAnsi"/>
                <w:b/>
                <w:bCs/>
                <w:sz w:val="20"/>
                <w:szCs w:val="20"/>
                <w:lang w:eastAsia="fr-FR"/>
              </w:rPr>
              <w:t>Composante de capacité d’Adaptation</w:t>
            </w:r>
          </w:p>
        </w:tc>
      </w:tr>
      <w:tr w:rsidR="00BC6C8B" w14:paraId="7FB28715" w14:textId="77777777" w:rsidTr="00EE0E23">
        <w:tc>
          <w:tcPr>
            <w:tcW w:w="1275" w:type="dxa"/>
            <w:vAlign w:val="center"/>
          </w:tcPr>
          <w:p w14:paraId="2CDB63EB" w14:textId="77777777" w:rsidR="00BC6C8B" w:rsidRPr="005055D7" w:rsidRDefault="00BC6C8B" w:rsidP="00EE0E23">
            <w:pPr>
              <w:jc w:val="center"/>
              <w:rPr>
                <w:rFonts w:eastAsia="Times New Roman" w:cstheme="minorHAnsi"/>
                <w:sz w:val="20"/>
                <w:szCs w:val="20"/>
                <w:lang w:eastAsia="fr-FR"/>
              </w:rPr>
            </w:pPr>
            <w:r w:rsidRPr="005055D7">
              <w:rPr>
                <w:rFonts w:eastAsia="Times New Roman" w:cstheme="minorHAnsi"/>
                <w:sz w:val="20"/>
                <w:szCs w:val="20"/>
                <w:lang w:eastAsia="fr-FR"/>
              </w:rPr>
              <w:t>Elevage</w:t>
            </w:r>
          </w:p>
        </w:tc>
        <w:tc>
          <w:tcPr>
            <w:tcW w:w="2406" w:type="dxa"/>
            <w:vAlign w:val="center"/>
          </w:tcPr>
          <w:p w14:paraId="7794F181" w14:textId="77777777" w:rsidR="00BC6C8B" w:rsidRPr="005055D7" w:rsidRDefault="00BC6C8B" w:rsidP="00EE0E23">
            <w:pPr>
              <w:rPr>
                <w:rFonts w:eastAsia="Times New Roman" w:cstheme="minorHAnsi"/>
                <w:sz w:val="20"/>
                <w:szCs w:val="20"/>
                <w:lang w:eastAsia="fr-FR"/>
              </w:rPr>
            </w:pPr>
            <w:r w:rsidRPr="005055D7">
              <w:rPr>
                <w:rFonts w:eastAsia="Times New Roman" w:cstheme="minorHAnsi"/>
                <w:sz w:val="20"/>
                <w:szCs w:val="20"/>
                <w:lang w:eastAsia="fr-FR"/>
              </w:rPr>
              <w:t>Ressources pastorales (eau et pâturage</w:t>
            </w:r>
            <w:r>
              <w:rPr>
                <w:rFonts w:eastAsia="Times New Roman" w:cstheme="minorHAnsi"/>
                <w:sz w:val="20"/>
                <w:szCs w:val="20"/>
                <w:lang w:eastAsia="fr-FR"/>
              </w:rPr>
              <w:t xml:space="preserve"> naturelle</w:t>
            </w:r>
            <w:r w:rsidRPr="005055D7">
              <w:rPr>
                <w:rFonts w:eastAsia="Times New Roman" w:cstheme="minorHAnsi"/>
                <w:sz w:val="20"/>
                <w:szCs w:val="20"/>
                <w:lang w:eastAsia="fr-FR"/>
              </w:rPr>
              <w:t>)</w:t>
            </w:r>
          </w:p>
        </w:tc>
        <w:tc>
          <w:tcPr>
            <w:tcW w:w="2375" w:type="dxa"/>
            <w:vAlign w:val="center"/>
          </w:tcPr>
          <w:p w14:paraId="2801D87A" w14:textId="77777777" w:rsidR="00BC6C8B" w:rsidRPr="005055D7" w:rsidRDefault="00BC6C8B" w:rsidP="00EE0E23">
            <w:pPr>
              <w:ind w:hanging="104"/>
              <w:rPr>
                <w:rFonts w:eastAsia="Times New Roman" w:cstheme="minorHAnsi"/>
                <w:sz w:val="20"/>
                <w:szCs w:val="20"/>
                <w:lang w:eastAsia="fr-FR"/>
              </w:rPr>
            </w:pPr>
            <w:r w:rsidRPr="005055D7">
              <w:rPr>
                <w:rFonts w:eastAsia="Times New Roman" w:cstheme="minorHAnsi"/>
                <w:sz w:val="20"/>
                <w:szCs w:val="20"/>
                <w:lang w:eastAsia="fr-FR"/>
              </w:rPr>
              <w:t xml:space="preserve">Dépendances des ressources </w:t>
            </w:r>
            <w:r>
              <w:rPr>
                <w:rFonts w:eastAsia="Times New Roman" w:cstheme="minorHAnsi"/>
                <w:sz w:val="20"/>
                <w:szCs w:val="20"/>
                <w:lang w:eastAsia="fr-FR"/>
              </w:rPr>
              <w:t xml:space="preserve">pastorales </w:t>
            </w:r>
            <w:r w:rsidRPr="005055D7">
              <w:rPr>
                <w:rFonts w:eastAsia="Times New Roman" w:cstheme="minorHAnsi"/>
                <w:sz w:val="20"/>
                <w:szCs w:val="20"/>
                <w:lang w:eastAsia="fr-FR"/>
              </w:rPr>
              <w:t>à la pluviométrie annuelle</w:t>
            </w:r>
          </w:p>
        </w:tc>
        <w:tc>
          <w:tcPr>
            <w:tcW w:w="2445" w:type="dxa"/>
          </w:tcPr>
          <w:p w14:paraId="69DA8879" w14:textId="77777777" w:rsidR="00BC6C8B" w:rsidRPr="005055D7" w:rsidRDefault="00BC6C8B" w:rsidP="00EE0E23">
            <w:pPr>
              <w:jc w:val="both"/>
              <w:rPr>
                <w:rFonts w:eastAsia="Times New Roman" w:cstheme="minorHAnsi"/>
                <w:sz w:val="20"/>
                <w:szCs w:val="20"/>
                <w:lang w:eastAsia="fr-FR"/>
              </w:rPr>
            </w:pPr>
            <w:r w:rsidRPr="005055D7">
              <w:rPr>
                <w:rFonts w:eastAsia="Times New Roman" w:cstheme="minorHAnsi"/>
                <w:sz w:val="20"/>
                <w:szCs w:val="20"/>
                <w:lang w:eastAsia="fr-FR"/>
              </w:rPr>
              <w:t>Développement des cultures fourragères irrigués, modernisation de l’abreuvement (puits et forage pastoraux)</w:t>
            </w:r>
          </w:p>
        </w:tc>
      </w:tr>
      <w:tr w:rsidR="00BC6C8B" w14:paraId="7B6B377C" w14:textId="77777777" w:rsidTr="00EE0E23">
        <w:tc>
          <w:tcPr>
            <w:tcW w:w="1275" w:type="dxa"/>
            <w:vMerge w:val="restart"/>
            <w:vAlign w:val="center"/>
          </w:tcPr>
          <w:p w14:paraId="7EF53DDD" w14:textId="77777777" w:rsidR="00BC6C8B" w:rsidRPr="00DD4E9D" w:rsidRDefault="00BC6C8B" w:rsidP="00EE0E23">
            <w:pPr>
              <w:rPr>
                <w:rFonts w:eastAsia="Times New Roman" w:cstheme="minorHAnsi"/>
                <w:sz w:val="20"/>
                <w:szCs w:val="20"/>
                <w:lang w:eastAsia="fr-FR"/>
              </w:rPr>
            </w:pPr>
            <w:r w:rsidRPr="009046CC">
              <w:rPr>
                <w:rFonts w:eastAsia="Times New Roman" w:cstheme="minorHAnsi"/>
                <w:sz w:val="20"/>
                <w:szCs w:val="20"/>
                <w:lang w:eastAsia="fr-FR"/>
              </w:rPr>
              <w:t>Aliments</w:t>
            </w:r>
          </w:p>
        </w:tc>
        <w:tc>
          <w:tcPr>
            <w:tcW w:w="2406" w:type="dxa"/>
          </w:tcPr>
          <w:p w14:paraId="215356A0" w14:textId="77777777" w:rsidR="00BC6C8B" w:rsidRPr="00DD4E9D" w:rsidRDefault="00BC6C8B" w:rsidP="00EE0E23">
            <w:pPr>
              <w:jc w:val="both"/>
              <w:rPr>
                <w:rFonts w:eastAsia="Times New Roman" w:cstheme="minorHAnsi"/>
                <w:sz w:val="20"/>
                <w:szCs w:val="20"/>
                <w:lang w:eastAsia="fr-FR"/>
              </w:rPr>
            </w:pPr>
            <w:r w:rsidRPr="009046CC">
              <w:rPr>
                <w:rFonts w:eastAsia="Times New Roman" w:cstheme="minorHAnsi"/>
                <w:sz w:val="20"/>
                <w:szCs w:val="20"/>
                <w:lang w:eastAsia="fr-FR"/>
              </w:rPr>
              <w:t>Changement projeté</w:t>
            </w:r>
            <w:r>
              <w:rPr>
                <w:rFonts w:eastAsia="Times New Roman" w:cstheme="minorHAnsi"/>
                <w:sz w:val="20"/>
                <w:szCs w:val="20"/>
                <w:lang w:eastAsia="fr-FR"/>
              </w:rPr>
              <w:t xml:space="preserve"> </w:t>
            </w:r>
            <w:r w:rsidRPr="009046CC">
              <w:rPr>
                <w:rFonts w:eastAsia="Times New Roman" w:cstheme="minorHAnsi"/>
                <w:sz w:val="20"/>
                <w:szCs w:val="20"/>
                <w:lang w:eastAsia="fr-FR"/>
              </w:rPr>
              <w:t>des rendements</w:t>
            </w:r>
            <w:r>
              <w:rPr>
                <w:rFonts w:eastAsia="Times New Roman" w:cstheme="minorHAnsi"/>
                <w:sz w:val="20"/>
                <w:szCs w:val="20"/>
                <w:lang w:eastAsia="fr-FR"/>
              </w:rPr>
              <w:t xml:space="preserve"> </w:t>
            </w:r>
            <w:r w:rsidRPr="009046CC">
              <w:rPr>
                <w:rFonts w:eastAsia="Times New Roman" w:cstheme="minorHAnsi"/>
                <w:sz w:val="20"/>
                <w:szCs w:val="20"/>
                <w:lang w:eastAsia="fr-FR"/>
              </w:rPr>
              <w:t>céréaliers d’exposition</w:t>
            </w:r>
          </w:p>
        </w:tc>
        <w:tc>
          <w:tcPr>
            <w:tcW w:w="2375" w:type="dxa"/>
          </w:tcPr>
          <w:p w14:paraId="152EFE09" w14:textId="77777777" w:rsidR="00BC6C8B" w:rsidRPr="002E3673" w:rsidRDefault="00BC6C8B" w:rsidP="00EE0E23">
            <w:pPr>
              <w:jc w:val="both"/>
              <w:rPr>
                <w:rFonts w:eastAsia="Times New Roman" w:cstheme="minorHAnsi"/>
                <w:sz w:val="20"/>
                <w:szCs w:val="20"/>
                <w:lang w:eastAsia="fr-FR"/>
              </w:rPr>
            </w:pPr>
            <w:r w:rsidRPr="009046CC">
              <w:rPr>
                <w:rFonts w:eastAsia="Times New Roman" w:cstheme="minorHAnsi"/>
                <w:sz w:val="20"/>
                <w:szCs w:val="20"/>
                <w:lang w:eastAsia="fr-FR"/>
              </w:rPr>
              <w:t>Dépendance aux</w:t>
            </w:r>
            <w:r>
              <w:rPr>
                <w:rFonts w:eastAsia="Times New Roman" w:cstheme="minorHAnsi"/>
                <w:sz w:val="20"/>
                <w:szCs w:val="20"/>
                <w:lang w:eastAsia="fr-FR"/>
              </w:rPr>
              <w:t xml:space="preserve"> </w:t>
            </w:r>
            <w:r w:rsidRPr="009046CC">
              <w:rPr>
                <w:rFonts w:eastAsia="Times New Roman" w:cstheme="minorHAnsi"/>
                <w:sz w:val="20"/>
                <w:szCs w:val="20"/>
                <w:lang w:eastAsia="fr-FR"/>
              </w:rPr>
              <w:t>importations</w:t>
            </w:r>
            <w:r>
              <w:rPr>
                <w:rFonts w:eastAsia="Times New Roman" w:cstheme="minorHAnsi"/>
                <w:sz w:val="20"/>
                <w:szCs w:val="20"/>
                <w:lang w:eastAsia="fr-FR"/>
              </w:rPr>
              <w:t xml:space="preserve"> </w:t>
            </w:r>
            <w:r w:rsidRPr="009046CC">
              <w:rPr>
                <w:rFonts w:eastAsia="Times New Roman" w:cstheme="minorHAnsi"/>
                <w:sz w:val="20"/>
                <w:szCs w:val="20"/>
                <w:lang w:eastAsia="fr-FR"/>
              </w:rPr>
              <w:t>alimentaires</w:t>
            </w:r>
          </w:p>
        </w:tc>
        <w:tc>
          <w:tcPr>
            <w:tcW w:w="2445" w:type="dxa"/>
          </w:tcPr>
          <w:p w14:paraId="46D464CE" w14:textId="77777777" w:rsidR="00BC6C8B" w:rsidRPr="009046CC" w:rsidRDefault="00BC6C8B" w:rsidP="00EE0E23">
            <w:pPr>
              <w:jc w:val="both"/>
              <w:rPr>
                <w:rFonts w:eastAsia="Times New Roman" w:cstheme="minorHAnsi"/>
                <w:sz w:val="20"/>
                <w:szCs w:val="20"/>
                <w:lang w:eastAsia="fr-FR"/>
              </w:rPr>
            </w:pPr>
            <w:r w:rsidRPr="009046CC">
              <w:rPr>
                <w:rFonts w:eastAsia="Times New Roman" w:cstheme="minorHAnsi"/>
                <w:sz w:val="20"/>
                <w:szCs w:val="20"/>
                <w:lang w:eastAsia="fr-FR"/>
              </w:rPr>
              <w:t>Capacité agricole</w:t>
            </w:r>
          </w:p>
          <w:p w14:paraId="5D2BFBE4" w14:textId="77777777" w:rsidR="00BC6C8B" w:rsidRPr="002E3673" w:rsidRDefault="00BC6C8B" w:rsidP="00EE0E23">
            <w:pPr>
              <w:ind w:right="-71"/>
              <w:rPr>
                <w:rFonts w:eastAsia="Times New Roman" w:cstheme="minorHAnsi"/>
                <w:sz w:val="20"/>
                <w:szCs w:val="20"/>
                <w:lang w:eastAsia="fr-FR"/>
              </w:rPr>
            </w:pPr>
            <w:r w:rsidRPr="009046CC">
              <w:rPr>
                <w:rFonts w:eastAsia="Times New Roman" w:cstheme="minorHAnsi"/>
                <w:sz w:val="20"/>
                <w:szCs w:val="20"/>
                <w:lang w:eastAsia="fr-FR"/>
              </w:rPr>
              <w:t>(Fertilisation, utilisation</w:t>
            </w:r>
            <w:r>
              <w:rPr>
                <w:rFonts w:eastAsia="Times New Roman" w:cstheme="minorHAnsi"/>
                <w:sz w:val="20"/>
                <w:szCs w:val="20"/>
                <w:lang w:eastAsia="fr-FR"/>
              </w:rPr>
              <w:t xml:space="preserve"> </w:t>
            </w:r>
            <w:r w:rsidRPr="009046CC">
              <w:rPr>
                <w:rFonts w:eastAsia="Times New Roman" w:cstheme="minorHAnsi"/>
                <w:sz w:val="20"/>
                <w:szCs w:val="20"/>
                <w:lang w:eastAsia="fr-FR"/>
              </w:rPr>
              <w:t>de tracteurs, irrigation...)</w:t>
            </w:r>
          </w:p>
        </w:tc>
      </w:tr>
      <w:tr w:rsidR="00BC6C8B" w14:paraId="527202BE" w14:textId="77777777" w:rsidTr="00EE0E23">
        <w:tc>
          <w:tcPr>
            <w:tcW w:w="1275" w:type="dxa"/>
            <w:vMerge/>
            <w:vAlign w:val="center"/>
          </w:tcPr>
          <w:p w14:paraId="5B3C9232" w14:textId="77777777" w:rsidR="00BC6C8B" w:rsidRPr="00DD4E9D" w:rsidRDefault="00BC6C8B" w:rsidP="00EE0E23">
            <w:pPr>
              <w:rPr>
                <w:rFonts w:eastAsia="Times New Roman" w:cstheme="minorHAnsi"/>
                <w:b/>
                <w:bCs/>
                <w:sz w:val="20"/>
                <w:szCs w:val="20"/>
                <w:lang w:eastAsia="fr-FR"/>
              </w:rPr>
            </w:pPr>
          </w:p>
        </w:tc>
        <w:tc>
          <w:tcPr>
            <w:tcW w:w="2406" w:type="dxa"/>
          </w:tcPr>
          <w:p w14:paraId="3DC175A2" w14:textId="77777777" w:rsidR="00BC6C8B" w:rsidRPr="00DD4E9D" w:rsidRDefault="00BC6C8B" w:rsidP="00EE0E23">
            <w:pPr>
              <w:jc w:val="both"/>
              <w:rPr>
                <w:rFonts w:eastAsia="Times New Roman" w:cstheme="minorHAnsi"/>
                <w:sz w:val="20"/>
                <w:szCs w:val="20"/>
                <w:lang w:eastAsia="fr-FR"/>
              </w:rPr>
            </w:pPr>
            <w:r w:rsidRPr="009046CC">
              <w:rPr>
                <w:rFonts w:eastAsia="Times New Roman" w:cstheme="minorHAnsi"/>
                <w:sz w:val="20"/>
                <w:szCs w:val="20"/>
                <w:lang w:eastAsia="fr-FR"/>
              </w:rPr>
              <w:t>Changement</w:t>
            </w:r>
            <w:r>
              <w:rPr>
                <w:rFonts w:eastAsia="Times New Roman" w:cstheme="minorHAnsi"/>
                <w:sz w:val="20"/>
                <w:szCs w:val="20"/>
                <w:lang w:eastAsia="fr-FR"/>
              </w:rPr>
              <w:t xml:space="preserve"> démographique projeté</w:t>
            </w:r>
          </w:p>
        </w:tc>
        <w:tc>
          <w:tcPr>
            <w:tcW w:w="2375" w:type="dxa"/>
          </w:tcPr>
          <w:p w14:paraId="41CAB027" w14:textId="77777777" w:rsidR="00BC6C8B" w:rsidRPr="00DD4E9D" w:rsidRDefault="00BC6C8B" w:rsidP="00EE0E23">
            <w:pPr>
              <w:jc w:val="both"/>
              <w:rPr>
                <w:rFonts w:eastAsia="Times New Roman" w:cstheme="minorHAnsi"/>
                <w:b/>
                <w:bCs/>
                <w:sz w:val="20"/>
                <w:szCs w:val="20"/>
                <w:lang w:eastAsia="fr-FR"/>
              </w:rPr>
            </w:pPr>
            <w:r w:rsidRPr="009046CC">
              <w:rPr>
                <w:rFonts w:eastAsia="Times New Roman" w:cstheme="minorHAnsi"/>
                <w:sz w:val="20"/>
                <w:szCs w:val="20"/>
                <w:lang w:eastAsia="fr-FR"/>
              </w:rPr>
              <w:t>Population rurale</w:t>
            </w:r>
          </w:p>
        </w:tc>
        <w:tc>
          <w:tcPr>
            <w:tcW w:w="2445" w:type="dxa"/>
          </w:tcPr>
          <w:p w14:paraId="17D49C04" w14:textId="77777777" w:rsidR="00BC6C8B" w:rsidRPr="00DD4E9D" w:rsidRDefault="00BC6C8B" w:rsidP="00EE0E23">
            <w:pPr>
              <w:jc w:val="both"/>
              <w:rPr>
                <w:rFonts w:eastAsia="Times New Roman" w:cstheme="minorHAnsi"/>
                <w:b/>
                <w:bCs/>
                <w:sz w:val="20"/>
                <w:szCs w:val="20"/>
                <w:lang w:eastAsia="fr-FR"/>
              </w:rPr>
            </w:pPr>
            <w:r w:rsidRPr="009046CC">
              <w:rPr>
                <w:rFonts w:eastAsia="Times New Roman" w:cstheme="minorHAnsi"/>
                <w:sz w:val="20"/>
                <w:szCs w:val="20"/>
                <w:lang w:eastAsia="fr-FR"/>
              </w:rPr>
              <w:t>Malnutrition</w:t>
            </w:r>
            <w:r>
              <w:rPr>
                <w:rFonts w:eastAsia="Times New Roman" w:cstheme="minorHAnsi"/>
                <w:sz w:val="20"/>
                <w:szCs w:val="20"/>
                <w:lang w:eastAsia="fr-FR"/>
              </w:rPr>
              <w:t xml:space="preserve"> </w:t>
            </w:r>
            <w:r w:rsidRPr="009046CC">
              <w:rPr>
                <w:rFonts w:eastAsia="Times New Roman" w:cstheme="minorHAnsi"/>
                <w:sz w:val="20"/>
                <w:szCs w:val="20"/>
                <w:lang w:eastAsia="fr-FR"/>
              </w:rPr>
              <w:t>infantile</w:t>
            </w:r>
          </w:p>
        </w:tc>
      </w:tr>
      <w:tr w:rsidR="00BC6C8B" w14:paraId="4A7A1739" w14:textId="77777777" w:rsidTr="00EE0E23">
        <w:tc>
          <w:tcPr>
            <w:tcW w:w="1275" w:type="dxa"/>
            <w:vMerge w:val="restart"/>
            <w:vAlign w:val="center"/>
          </w:tcPr>
          <w:p w14:paraId="7AE02330" w14:textId="77777777" w:rsidR="00BC6C8B" w:rsidRPr="00DD4E9D" w:rsidRDefault="00BC6C8B" w:rsidP="00EE0E23">
            <w:pPr>
              <w:rPr>
                <w:rFonts w:eastAsia="Times New Roman" w:cstheme="minorHAnsi"/>
                <w:b/>
                <w:bCs/>
                <w:sz w:val="20"/>
                <w:szCs w:val="20"/>
                <w:lang w:eastAsia="fr-FR"/>
              </w:rPr>
            </w:pPr>
            <w:r w:rsidRPr="00DD4E9D">
              <w:rPr>
                <w:rFonts w:eastAsia="Times New Roman" w:cstheme="minorHAnsi"/>
                <w:sz w:val="20"/>
                <w:szCs w:val="20"/>
                <w:lang w:eastAsia="fr-FR"/>
              </w:rPr>
              <w:t>Eau</w:t>
            </w:r>
          </w:p>
        </w:tc>
        <w:tc>
          <w:tcPr>
            <w:tcW w:w="2406" w:type="dxa"/>
          </w:tcPr>
          <w:p w14:paraId="03B2E56C" w14:textId="77777777" w:rsidR="00BC6C8B" w:rsidRPr="002E3673" w:rsidRDefault="00BC6C8B" w:rsidP="00EE0E23">
            <w:pPr>
              <w:jc w:val="both"/>
              <w:rPr>
                <w:rFonts w:eastAsia="Times New Roman" w:cstheme="minorHAnsi"/>
                <w:sz w:val="20"/>
                <w:szCs w:val="20"/>
                <w:lang w:eastAsia="fr-FR"/>
              </w:rPr>
            </w:pPr>
            <w:r w:rsidRPr="002F3ABA">
              <w:rPr>
                <w:rFonts w:eastAsia="Times New Roman" w:cstheme="minorHAnsi"/>
                <w:sz w:val="20"/>
                <w:szCs w:val="20"/>
                <w:lang w:eastAsia="fr-FR"/>
              </w:rPr>
              <w:t>Changement projeté</w:t>
            </w:r>
            <w:r>
              <w:rPr>
                <w:rFonts w:eastAsia="Times New Roman" w:cstheme="minorHAnsi"/>
                <w:sz w:val="20"/>
                <w:szCs w:val="20"/>
                <w:lang w:eastAsia="fr-FR"/>
              </w:rPr>
              <w:t xml:space="preserve"> </w:t>
            </w:r>
            <w:r w:rsidRPr="002F3ABA">
              <w:rPr>
                <w:rFonts w:eastAsia="Times New Roman" w:cstheme="minorHAnsi"/>
                <w:sz w:val="20"/>
                <w:szCs w:val="20"/>
                <w:lang w:eastAsia="fr-FR"/>
              </w:rPr>
              <w:t>du ruissellement</w:t>
            </w:r>
            <w:r>
              <w:rPr>
                <w:rFonts w:eastAsia="Times New Roman" w:cstheme="minorHAnsi"/>
                <w:sz w:val="20"/>
                <w:szCs w:val="20"/>
                <w:lang w:eastAsia="fr-FR"/>
              </w:rPr>
              <w:t xml:space="preserve"> </w:t>
            </w:r>
            <w:r w:rsidRPr="002F3ABA">
              <w:rPr>
                <w:rFonts w:eastAsia="Times New Roman" w:cstheme="minorHAnsi"/>
                <w:sz w:val="20"/>
                <w:szCs w:val="20"/>
                <w:lang w:eastAsia="fr-FR"/>
              </w:rPr>
              <w:t>annuel</w:t>
            </w:r>
          </w:p>
        </w:tc>
        <w:tc>
          <w:tcPr>
            <w:tcW w:w="2375" w:type="dxa"/>
          </w:tcPr>
          <w:p w14:paraId="011812D1" w14:textId="77777777" w:rsidR="00BC6C8B" w:rsidRPr="002F3ABA" w:rsidRDefault="00BC6C8B" w:rsidP="00EE0E23">
            <w:pPr>
              <w:jc w:val="both"/>
              <w:rPr>
                <w:rFonts w:eastAsia="Times New Roman" w:cstheme="minorHAnsi"/>
                <w:sz w:val="20"/>
                <w:szCs w:val="20"/>
                <w:lang w:eastAsia="fr-FR"/>
              </w:rPr>
            </w:pPr>
            <w:r w:rsidRPr="002F3ABA">
              <w:rPr>
                <w:rFonts w:eastAsia="Times New Roman" w:cstheme="minorHAnsi"/>
                <w:sz w:val="20"/>
                <w:szCs w:val="20"/>
                <w:lang w:eastAsia="fr-FR"/>
              </w:rPr>
              <w:t>Taux de prélèvement</w:t>
            </w:r>
          </w:p>
          <w:p w14:paraId="13968058" w14:textId="77777777" w:rsidR="00BC6C8B" w:rsidRPr="00DD4E9D" w:rsidRDefault="00BC6C8B" w:rsidP="00EE0E23">
            <w:pPr>
              <w:jc w:val="both"/>
              <w:rPr>
                <w:rFonts w:eastAsia="Times New Roman" w:cstheme="minorHAnsi"/>
                <w:b/>
                <w:bCs/>
                <w:sz w:val="20"/>
                <w:szCs w:val="20"/>
                <w:lang w:eastAsia="fr-FR"/>
              </w:rPr>
            </w:pPr>
            <w:r w:rsidRPr="002F3ABA">
              <w:rPr>
                <w:rFonts w:eastAsia="Times New Roman" w:cstheme="minorHAnsi"/>
                <w:sz w:val="20"/>
                <w:szCs w:val="20"/>
                <w:lang w:eastAsia="fr-FR"/>
              </w:rPr>
              <w:t>d'eau douce</w:t>
            </w:r>
          </w:p>
        </w:tc>
        <w:tc>
          <w:tcPr>
            <w:tcW w:w="2445" w:type="dxa"/>
          </w:tcPr>
          <w:p w14:paraId="0FC66E17" w14:textId="77777777" w:rsidR="00BC6C8B" w:rsidRPr="00DD4E9D" w:rsidRDefault="00BC6C8B" w:rsidP="00EE0E23">
            <w:pPr>
              <w:rPr>
                <w:rFonts w:eastAsia="Times New Roman" w:cstheme="minorHAnsi"/>
                <w:b/>
                <w:bCs/>
                <w:sz w:val="20"/>
                <w:szCs w:val="20"/>
                <w:lang w:eastAsia="fr-FR"/>
              </w:rPr>
            </w:pPr>
            <w:r>
              <w:rPr>
                <w:rFonts w:eastAsia="Times New Roman" w:cstheme="minorHAnsi"/>
                <w:sz w:val="20"/>
                <w:szCs w:val="20"/>
                <w:lang w:eastAsia="fr-FR"/>
              </w:rPr>
              <w:t>A</w:t>
            </w:r>
            <w:r w:rsidRPr="002F3ABA">
              <w:rPr>
                <w:rFonts w:eastAsia="Times New Roman" w:cstheme="minorHAnsi"/>
                <w:sz w:val="20"/>
                <w:szCs w:val="20"/>
                <w:lang w:eastAsia="fr-FR"/>
              </w:rPr>
              <w:t>ccès à de l'eau potable</w:t>
            </w:r>
            <w:r>
              <w:rPr>
                <w:rFonts w:eastAsia="Times New Roman" w:cstheme="minorHAnsi"/>
                <w:sz w:val="20"/>
                <w:szCs w:val="20"/>
                <w:lang w:eastAsia="fr-FR"/>
              </w:rPr>
              <w:t xml:space="preserve"> fiable</w:t>
            </w:r>
          </w:p>
        </w:tc>
      </w:tr>
      <w:tr w:rsidR="00BC6C8B" w14:paraId="59B33A8D" w14:textId="77777777" w:rsidTr="00EE0E23">
        <w:tc>
          <w:tcPr>
            <w:tcW w:w="1275" w:type="dxa"/>
            <w:vMerge/>
            <w:vAlign w:val="center"/>
          </w:tcPr>
          <w:p w14:paraId="48D9C401" w14:textId="77777777" w:rsidR="00BC6C8B" w:rsidRPr="00DD4E9D" w:rsidRDefault="00BC6C8B" w:rsidP="00EE0E23">
            <w:pPr>
              <w:rPr>
                <w:rFonts w:eastAsia="Times New Roman" w:cstheme="minorHAnsi"/>
                <w:b/>
                <w:bCs/>
                <w:sz w:val="20"/>
                <w:szCs w:val="20"/>
                <w:lang w:eastAsia="fr-FR"/>
              </w:rPr>
            </w:pPr>
          </w:p>
        </w:tc>
        <w:tc>
          <w:tcPr>
            <w:tcW w:w="2406" w:type="dxa"/>
          </w:tcPr>
          <w:p w14:paraId="654137DF" w14:textId="77777777" w:rsidR="00BC6C8B" w:rsidRPr="002E3673" w:rsidRDefault="00BC6C8B" w:rsidP="00EE0E23">
            <w:pPr>
              <w:jc w:val="both"/>
              <w:rPr>
                <w:rFonts w:eastAsia="Times New Roman" w:cstheme="minorHAnsi"/>
                <w:sz w:val="20"/>
                <w:szCs w:val="20"/>
                <w:lang w:eastAsia="fr-FR"/>
              </w:rPr>
            </w:pPr>
            <w:r w:rsidRPr="002F3ABA">
              <w:rPr>
                <w:rFonts w:eastAsia="Times New Roman" w:cstheme="minorHAnsi"/>
                <w:sz w:val="20"/>
                <w:szCs w:val="20"/>
                <w:lang w:eastAsia="fr-FR"/>
              </w:rPr>
              <w:t>Changement projeté</w:t>
            </w:r>
            <w:r>
              <w:rPr>
                <w:rFonts w:eastAsia="Times New Roman" w:cstheme="minorHAnsi"/>
                <w:sz w:val="20"/>
                <w:szCs w:val="20"/>
                <w:lang w:eastAsia="fr-FR"/>
              </w:rPr>
              <w:t xml:space="preserve"> </w:t>
            </w:r>
            <w:r w:rsidRPr="002F3ABA">
              <w:rPr>
                <w:rFonts w:eastAsia="Times New Roman" w:cstheme="minorHAnsi"/>
                <w:sz w:val="20"/>
                <w:szCs w:val="20"/>
                <w:lang w:eastAsia="fr-FR"/>
              </w:rPr>
              <w:t>de la recharge annuelle</w:t>
            </w:r>
            <w:r>
              <w:rPr>
                <w:rFonts w:eastAsia="Times New Roman" w:cstheme="minorHAnsi"/>
                <w:sz w:val="20"/>
                <w:szCs w:val="20"/>
                <w:lang w:eastAsia="fr-FR"/>
              </w:rPr>
              <w:t xml:space="preserve"> </w:t>
            </w:r>
            <w:r w:rsidRPr="002F3ABA">
              <w:rPr>
                <w:rFonts w:eastAsia="Times New Roman" w:cstheme="minorHAnsi"/>
                <w:sz w:val="20"/>
                <w:szCs w:val="20"/>
                <w:lang w:eastAsia="fr-FR"/>
              </w:rPr>
              <w:t>des eaux souterraines</w:t>
            </w:r>
          </w:p>
        </w:tc>
        <w:tc>
          <w:tcPr>
            <w:tcW w:w="2375" w:type="dxa"/>
          </w:tcPr>
          <w:p w14:paraId="12095A3B" w14:textId="77777777" w:rsidR="00BC6C8B" w:rsidRPr="002E3673" w:rsidRDefault="00BC6C8B" w:rsidP="00EE0E23">
            <w:pPr>
              <w:jc w:val="both"/>
              <w:rPr>
                <w:rFonts w:eastAsia="Times New Roman" w:cstheme="minorHAnsi"/>
                <w:sz w:val="20"/>
                <w:szCs w:val="20"/>
                <w:lang w:eastAsia="fr-FR"/>
              </w:rPr>
            </w:pPr>
            <w:r w:rsidRPr="002F3ABA">
              <w:rPr>
                <w:rFonts w:eastAsia="Times New Roman" w:cstheme="minorHAnsi"/>
                <w:sz w:val="20"/>
                <w:szCs w:val="20"/>
                <w:lang w:eastAsia="fr-FR"/>
              </w:rPr>
              <w:t>Rapport de</w:t>
            </w:r>
            <w:r>
              <w:rPr>
                <w:rFonts w:eastAsia="Times New Roman" w:cstheme="minorHAnsi"/>
                <w:sz w:val="20"/>
                <w:szCs w:val="20"/>
                <w:lang w:eastAsia="fr-FR"/>
              </w:rPr>
              <w:t xml:space="preserve"> </w:t>
            </w:r>
            <w:r w:rsidRPr="002F3ABA">
              <w:rPr>
                <w:rFonts w:eastAsia="Times New Roman" w:cstheme="minorHAnsi"/>
                <w:sz w:val="20"/>
                <w:szCs w:val="20"/>
                <w:lang w:eastAsia="fr-FR"/>
              </w:rPr>
              <w:t>dépendance à l'eau</w:t>
            </w:r>
          </w:p>
        </w:tc>
        <w:tc>
          <w:tcPr>
            <w:tcW w:w="2445" w:type="dxa"/>
          </w:tcPr>
          <w:p w14:paraId="0BD73259" w14:textId="77777777" w:rsidR="00BC6C8B" w:rsidRPr="00DD4E9D" w:rsidRDefault="00BC6C8B" w:rsidP="00EE0E23">
            <w:pPr>
              <w:jc w:val="both"/>
              <w:rPr>
                <w:rFonts w:eastAsia="Times New Roman" w:cstheme="minorHAnsi"/>
                <w:b/>
                <w:bCs/>
                <w:sz w:val="20"/>
                <w:szCs w:val="20"/>
                <w:lang w:eastAsia="fr-FR"/>
              </w:rPr>
            </w:pPr>
            <w:r>
              <w:rPr>
                <w:rFonts w:eastAsia="Times New Roman" w:cstheme="minorHAnsi"/>
                <w:sz w:val="20"/>
                <w:szCs w:val="20"/>
                <w:lang w:eastAsia="fr-FR"/>
              </w:rPr>
              <w:t>Capacité du barrage</w:t>
            </w:r>
          </w:p>
        </w:tc>
      </w:tr>
      <w:tr w:rsidR="00BC6C8B" w14:paraId="74A31976" w14:textId="77777777" w:rsidTr="00EE0E23">
        <w:tc>
          <w:tcPr>
            <w:tcW w:w="1275" w:type="dxa"/>
            <w:vAlign w:val="center"/>
          </w:tcPr>
          <w:p w14:paraId="4BDA123B" w14:textId="77777777" w:rsidR="00BC6C8B" w:rsidRPr="00DD4E9D" w:rsidRDefault="00BC6C8B" w:rsidP="00EE0E23">
            <w:pPr>
              <w:rPr>
                <w:rFonts w:eastAsia="Times New Roman" w:cstheme="minorHAnsi"/>
                <w:b/>
                <w:bCs/>
                <w:sz w:val="20"/>
                <w:szCs w:val="20"/>
                <w:lang w:eastAsia="fr-FR"/>
              </w:rPr>
            </w:pPr>
            <w:r w:rsidRPr="00DD4E9D">
              <w:rPr>
                <w:rFonts w:eastAsia="Times New Roman" w:cstheme="minorHAnsi"/>
                <w:sz w:val="20"/>
                <w:szCs w:val="20"/>
                <w:lang w:eastAsia="fr-FR"/>
              </w:rPr>
              <w:t>Santé</w:t>
            </w:r>
          </w:p>
        </w:tc>
        <w:tc>
          <w:tcPr>
            <w:tcW w:w="2406" w:type="dxa"/>
          </w:tcPr>
          <w:p w14:paraId="07FA4791" w14:textId="77777777" w:rsidR="00BC6C8B" w:rsidRPr="002E3673" w:rsidRDefault="00BC6C8B" w:rsidP="00EE0E23">
            <w:pPr>
              <w:rPr>
                <w:rFonts w:eastAsia="Times New Roman" w:cstheme="minorHAnsi"/>
                <w:sz w:val="20"/>
                <w:szCs w:val="20"/>
                <w:lang w:eastAsia="fr-FR"/>
              </w:rPr>
            </w:pPr>
            <w:r w:rsidRPr="002E3673">
              <w:rPr>
                <w:rFonts w:eastAsia="Times New Roman" w:cstheme="minorHAnsi"/>
                <w:sz w:val="20"/>
                <w:szCs w:val="20"/>
                <w:lang w:eastAsia="fr-FR"/>
              </w:rPr>
              <w:t>Changement prévu de la</w:t>
            </w:r>
          </w:p>
          <w:p w14:paraId="279828E5" w14:textId="77777777" w:rsidR="00BC6C8B" w:rsidRPr="002E3673" w:rsidRDefault="00BC6C8B" w:rsidP="00EE0E23">
            <w:pPr>
              <w:rPr>
                <w:rFonts w:eastAsia="Times New Roman" w:cstheme="minorHAnsi"/>
                <w:sz w:val="20"/>
                <w:szCs w:val="20"/>
                <w:lang w:eastAsia="fr-FR"/>
              </w:rPr>
            </w:pPr>
            <w:r w:rsidRPr="002E3673">
              <w:rPr>
                <w:rFonts w:eastAsia="Times New Roman" w:cstheme="minorHAnsi"/>
                <w:sz w:val="20"/>
                <w:szCs w:val="20"/>
                <w:lang w:eastAsia="fr-FR"/>
              </w:rPr>
              <w:t>Capacité de production</w:t>
            </w:r>
          </w:p>
          <w:p w14:paraId="13659AE8" w14:textId="77777777" w:rsidR="00BC6C8B" w:rsidRPr="002E3673" w:rsidRDefault="00BC6C8B" w:rsidP="00EE0E23">
            <w:pPr>
              <w:rPr>
                <w:rFonts w:eastAsia="Times New Roman" w:cstheme="minorHAnsi"/>
                <w:sz w:val="20"/>
                <w:szCs w:val="20"/>
                <w:lang w:eastAsia="fr-FR"/>
              </w:rPr>
            </w:pPr>
            <w:r w:rsidRPr="002E3673">
              <w:rPr>
                <w:rFonts w:eastAsia="Times New Roman" w:cstheme="minorHAnsi"/>
                <w:sz w:val="20"/>
                <w:szCs w:val="20"/>
                <w:lang w:eastAsia="fr-FR"/>
              </w:rPr>
              <w:t>Hydroélectriqu</w:t>
            </w:r>
            <w:r>
              <w:rPr>
                <w:rFonts w:eastAsia="Times New Roman" w:cstheme="minorHAnsi"/>
                <w:sz w:val="20"/>
                <w:szCs w:val="20"/>
                <w:lang w:eastAsia="fr-FR"/>
              </w:rPr>
              <w:t>e</w:t>
            </w:r>
          </w:p>
        </w:tc>
        <w:tc>
          <w:tcPr>
            <w:tcW w:w="2375" w:type="dxa"/>
          </w:tcPr>
          <w:p w14:paraId="3BF47539" w14:textId="77777777" w:rsidR="00BC6C8B" w:rsidRPr="002E3673" w:rsidRDefault="00BC6C8B" w:rsidP="00EE0E23">
            <w:pPr>
              <w:jc w:val="both"/>
              <w:rPr>
                <w:rFonts w:eastAsia="Times New Roman" w:cstheme="minorHAnsi"/>
                <w:sz w:val="20"/>
                <w:szCs w:val="20"/>
                <w:lang w:eastAsia="fr-FR"/>
              </w:rPr>
            </w:pPr>
            <w:r w:rsidRPr="002E3673">
              <w:rPr>
                <w:rFonts w:eastAsia="Times New Roman" w:cstheme="minorHAnsi"/>
                <w:sz w:val="20"/>
                <w:szCs w:val="20"/>
                <w:lang w:eastAsia="fr-FR"/>
              </w:rPr>
              <w:t>Dépendance</w:t>
            </w:r>
            <w:r>
              <w:rPr>
                <w:rFonts w:eastAsia="Times New Roman" w:cstheme="minorHAnsi"/>
                <w:sz w:val="20"/>
                <w:szCs w:val="20"/>
                <w:lang w:eastAsia="fr-FR"/>
              </w:rPr>
              <w:t xml:space="preserve"> à l'énergie </w:t>
            </w:r>
            <w:r w:rsidRPr="002E3673">
              <w:rPr>
                <w:rFonts w:eastAsia="Times New Roman" w:cstheme="minorHAnsi"/>
                <w:sz w:val="20"/>
                <w:szCs w:val="20"/>
                <w:lang w:eastAsia="fr-FR"/>
              </w:rPr>
              <w:t>importée</w:t>
            </w:r>
          </w:p>
        </w:tc>
        <w:tc>
          <w:tcPr>
            <w:tcW w:w="2445" w:type="dxa"/>
          </w:tcPr>
          <w:p w14:paraId="2C41D55D" w14:textId="77777777" w:rsidR="00BC6C8B" w:rsidRPr="00DD4E9D" w:rsidRDefault="00BC6C8B" w:rsidP="00EE0E23">
            <w:pPr>
              <w:jc w:val="both"/>
              <w:rPr>
                <w:rFonts w:eastAsia="Times New Roman" w:cstheme="minorHAnsi"/>
                <w:b/>
                <w:bCs/>
                <w:sz w:val="20"/>
                <w:szCs w:val="20"/>
                <w:lang w:eastAsia="fr-FR"/>
              </w:rPr>
            </w:pPr>
            <w:r w:rsidRPr="009046CC">
              <w:rPr>
                <w:rFonts w:eastAsia="Times New Roman" w:cstheme="minorHAnsi"/>
                <w:sz w:val="20"/>
                <w:szCs w:val="20"/>
                <w:lang w:eastAsia="fr-FR"/>
              </w:rPr>
              <w:t>Accès à l'électricité</w:t>
            </w:r>
          </w:p>
        </w:tc>
      </w:tr>
      <w:tr w:rsidR="00BC6C8B" w14:paraId="044A61C3" w14:textId="77777777" w:rsidTr="00EE0E23">
        <w:tc>
          <w:tcPr>
            <w:tcW w:w="1275" w:type="dxa"/>
            <w:vMerge w:val="restart"/>
            <w:vAlign w:val="center"/>
          </w:tcPr>
          <w:p w14:paraId="3014CB6A" w14:textId="77777777" w:rsidR="00BC6C8B" w:rsidRPr="00DD4E9D" w:rsidRDefault="00BC6C8B" w:rsidP="00EE0E23">
            <w:pPr>
              <w:rPr>
                <w:rFonts w:eastAsia="Times New Roman" w:cstheme="minorHAnsi"/>
                <w:b/>
                <w:bCs/>
                <w:sz w:val="20"/>
                <w:szCs w:val="20"/>
                <w:lang w:eastAsia="fr-FR"/>
              </w:rPr>
            </w:pPr>
            <w:r w:rsidRPr="00DD4E9D">
              <w:rPr>
                <w:rFonts w:eastAsia="Times New Roman" w:cstheme="minorHAnsi"/>
                <w:sz w:val="20"/>
                <w:szCs w:val="20"/>
                <w:lang w:eastAsia="fr-FR"/>
              </w:rPr>
              <w:t>Service de l’écosystème</w:t>
            </w:r>
          </w:p>
        </w:tc>
        <w:tc>
          <w:tcPr>
            <w:tcW w:w="2406" w:type="dxa"/>
          </w:tcPr>
          <w:p w14:paraId="28CC6B9D" w14:textId="77777777" w:rsidR="00BC6C8B" w:rsidRPr="00DD4E9D" w:rsidRDefault="00BC6C8B" w:rsidP="00EE0E23">
            <w:pPr>
              <w:jc w:val="both"/>
              <w:rPr>
                <w:rFonts w:eastAsia="Times New Roman" w:cstheme="minorHAnsi"/>
                <w:b/>
                <w:bCs/>
                <w:sz w:val="20"/>
                <w:szCs w:val="20"/>
                <w:lang w:eastAsia="fr-FR"/>
              </w:rPr>
            </w:pPr>
            <w:r w:rsidRPr="00DD4E9D">
              <w:rPr>
                <w:rFonts w:eastAsia="Times New Roman" w:cstheme="minorHAnsi"/>
                <w:sz w:val="20"/>
                <w:szCs w:val="20"/>
                <w:lang w:eastAsia="fr-FR"/>
              </w:rPr>
              <w:t>Changement projeté</w:t>
            </w:r>
            <w:r>
              <w:rPr>
                <w:rFonts w:eastAsia="Times New Roman" w:cstheme="minorHAnsi"/>
                <w:sz w:val="20"/>
                <w:szCs w:val="20"/>
                <w:lang w:eastAsia="fr-FR"/>
              </w:rPr>
              <w:t xml:space="preserve"> </w:t>
            </w:r>
            <w:r w:rsidRPr="00DD4E9D">
              <w:rPr>
                <w:rFonts w:eastAsia="Times New Roman" w:cstheme="minorHAnsi"/>
                <w:sz w:val="20"/>
                <w:szCs w:val="20"/>
                <w:lang w:eastAsia="fr-FR"/>
              </w:rPr>
              <w:t>de la distribution</w:t>
            </w:r>
            <w:r>
              <w:rPr>
                <w:rFonts w:eastAsia="Times New Roman" w:cstheme="minorHAnsi"/>
                <w:sz w:val="20"/>
                <w:szCs w:val="20"/>
                <w:lang w:eastAsia="fr-FR"/>
              </w:rPr>
              <w:t xml:space="preserve"> </w:t>
            </w:r>
            <w:r w:rsidRPr="00DD4E9D">
              <w:rPr>
                <w:rFonts w:eastAsia="Times New Roman" w:cstheme="minorHAnsi"/>
                <w:sz w:val="20"/>
                <w:szCs w:val="20"/>
                <w:lang w:eastAsia="fr-FR"/>
              </w:rPr>
              <w:t>des biomes</w:t>
            </w:r>
          </w:p>
        </w:tc>
        <w:tc>
          <w:tcPr>
            <w:tcW w:w="2375" w:type="dxa"/>
          </w:tcPr>
          <w:p w14:paraId="4549322A" w14:textId="77777777" w:rsidR="00BC6C8B" w:rsidRPr="00DD4E9D" w:rsidRDefault="00BC6C8B" w:rsidP="00EE0E23">
            <w:pPr>
              <w:jc w:val="both"/>
              <w:rPr>
                <w:rFonts w:eastAsia="Times New Roman" w:cstheme="minorHAnsi"/>
                <w:b/>
                <w:bCs/>
                <w:sz w:val="20"/>
                <w:szCs w:val="20"/>
                <w:lang w:eastAsia="fr-FR"/>
              </w:rPr>
            </w:pPr>
            <w:r>
              <w:rPr>
                <w:rFonts w:eastAsia="Times New Roman" w:cstheme="minorHAnsi"/>
                <w:sz w:val="20"/>
                <w:szCs w:val="20"/>
                <w:lang w:eastAsia="fr-FR"/>
              </w:rPr>
              <w:t>Dépendance au capital naturel</w:t>
            </w:r>
          </w:p>
        </w:tc>
        <w:tc>
          <w:tcPr>
            <w:tcW w:w="2445" w:type="dxa"/>
          </w:tcPr>
          <w:p w14:paraId="24163DB7" w14:textId="77777777" w:rsidR="00BC6C8B" w:rsidRPr="00DD4E9D" w:rsidRDefault="00BC6C8B" w:rsidP="00EE0E23">
            <w:pPr>
              <w:jc w:val="both"/>
              <w:rPr>
                <w:rFonts w:eastAsia="Times New Roman" w:cstheme="minorHAnsi"/>
                <w:b/>
                <w:bCs/>
                <w:sz w:val="20"/>
                <w:szCs w:val="20"/>
                <w:lang w:eastAsia="fr-FR"/>
              </w:rPr>
            </w:pPr>
            <w:r w:rsidRPr="002E3673">
              <w:rPr>
                <w:rFonts w:eastAsia="Times New Roman" w:cstheme="minorHAnsi"/>
                <w:sz w:val="20"/>
                <w:szCs w:val="20"/>
                <w:lang w:eastAsia="fr-FR"/>
              </w:rPr>
              <w:t>Biomes protégés</w:t>
            </w:r>
          </w:p>
        </w:tc>
      </w:tr>
      <w:tr w:rsidR="00BC6C8B" w14:paraId="4B73EDDA" w14:textId="77777777" w:rsidTr="00EE0E23">
        <w:tc>
          <w:tcPr>
            <w:tcW w:w="1275" w:type="dxa"/>
            <w:vMerge/>
          </w:tcPr>
          <w:p w14:paraId="349525DF" w14:textId="77777777" w:rsidR="00BC6C8B" w:rsidRPr="00DD4E9D" w:rsidRDefault="00BC6C8B" w:rsidP="00EE0E23">
            <w:pPr>
              <w:jc w:val="both"/>
              <w:rPr>
                <w:rFonts w:eastAsia="Times New Roman" w:cstheme="minorHAnsi"/>
                <w:b/>
                <w:bCs/>
                <w:sz w:val="20"/>
                <w:szCs w:val="20"/>
                <w:lang w:eastAsia="fr-FR"/>
              </w:rPr>
            </w:pPr>
          </w:p>
        </w:tc>
        <w:tc>
          <w:tcPr>
            <w:tcW w:w="2406" w:type="dxa"/>
          </w:tcPr>
          <w:p w14:paraId="58DAA00C" w14:textId="77777777" w:rsidR="00BC6C8B" w:rsidRPr="00DD4E9D" w:rsidRDefault="00BC6C8B" w:rsidP="00EE0E23">
            <w:pPr>
              <w:jc w:val="both"/>
              <w:rPr>
                <w:rFonts w:eastAsia="Times New Roman" w:cstheme="minorHAnsi"/>
                <w:b/>
                <w:bCs/>
                <w:sz w:val="20"/>
                <w:szCs w:val="20"/>
                <w:lang w:eastAsia="fr-FR"/>
              </w:rPr>
            </w:pPr>
            <w:r w:rsidRPr="00DD4E9D">
              <w:rPr>
                <w:rFonts w:eastAsia="Times New Roman" w:cstheme="minorHAnsi"/>
                <w:sz w:val="20"/>
                <w:szCs w:val="20"/>
                <w:lang w:eastAsia="fr-FR"/>
              </w:rPr>
              <w:t>Changement projeté</w:t>
            </w:r>
            <w:r>
              <w:rPr>
                <w:rFonts w:eastAsia="Times New Roman" w:cstheme="minorHAnsi"/>
                <w:sz w:val="20"/>
                <w:szCs w:val="20"/>
                <w:lang w:eastAsia="fr-FR"/>
              </w:rPr>
              <w:t xml:space="preserve"> </w:t>
            </w:r>
            <w:r w:rsidRPr="00DD4E9D">
              <w:rPr>
                <w:rFonts w:eastAsia="Times New Roman" w:cstheme="minorHAnsi"/>
                <w:sz w:val="20"/>
                <w:szCs w:val="20"/>
                <w:lang w:eastAsia="fr-FR"/>
              </w:rPr>
              <w:t>de la biodiversité</w:t>
            </w:r>
            <w:r>
              <w:rPr>
                <w:rFonts w:eastAsia="Times New Roman" w:cstheme="minorHAnsi"/>
                <w:sz w:val="20"/>
                <w:szCs w:val="20"/>
                <w:lang w:eastAsia="fr-FR"/>
              </w:rPr>
              <w:t xml:space="preserve"> </w:t>
            </w:r>
            <w:r w:rsidRPr="00DD4E9D">
              <w:rPr>
                <w:rFonts w:eastAsia="Times New Roman" w:cstheme="minorHAnsi"/>
                <w:sz w:val="20"/>
                <w:szCs w:val="20"/>
                <w:lang w:eastAsia="fr-FR"/>
              </w:rPr>
              <w:t>marine</w:t>
            </w:r>
          </w:p>
        </w:tc>
        <w:tc>
          <w:tcPr>
            <w:tcW w:w="2375" w:type="dxa"/>
          </w:tcPr>
          <w:p w14:paraId="563AC380" w14:textId="77777777" w:rsidR="00BC6C8B" w:rsidRPr="00DD4E9D" w:rsidRDefault="00BC6C8B" w:rsidP="00EE0E23">
            <w:pPr>
              <w:jc w:val="both"/>
              <w:rPr>
                <w:rFonts w:eastAsia="Times New Roman" w:cstheme="minorHAnsi"/>
                <w:b/>
                <w:bCs/>
                <w:sz w:val="20"/>
                <w:szCs w:val="20"/>
                <w:lang w:eastAsia="fr-FR"/>
              </w:rPr>
            </w:pPr>
            <w:r w:rsidRPr="00DD4E9D">
              <w:rPr>
                <w:rFonts w:eastAsia="Times New Roman" w:cstheme="minorHAnsi"/>
                <w:sz w:val="20"/>
                <w:szCs w:val="20"/>
                <w:lang w:eastAsia="fr-FR"/>
              </w:rPr>
              <w:t>Empreinte</w:t>
            </w:r>
            <w:r>
              <w:rPr>
                <w:rFonts w:eastAsia="Times New Roman" w:cstheme="minorHAnsi"/>
                <w:sz w:val="20"/>
                <w:szCs w:val="20"/>
                <w:lang w:eastAsia="fr-FR"/>
              </w:rPr>
              <w:t xml:space="preserve"> bi</w:t>
            </w:r>
            <w:r w:rsidRPr="00DD4E9D">
              <w:rPr>
                <w:rFonts w:eastAsia="Times New Roman" w:cstheme="minorHAnsi"/>
                <w:sz w:val="20"/>
                <w:szCs w:val="20"/>
                <w:lang w:eastAsia="fr-FR"/>
              </w:rPr>
              <w:t>ologique</w:t>
            </w:r>
            <w:r w:rsidRPr="00DD4E9D">
              <w:rPr>
                <w:rFonts w:eastAsia="Times New Roman" w:cstheme="minorHAnsi"/>
                <w:b/>
                <w:bCs/>
                <w:sz w:val="20"/>
                <w:szCs w:val="20"/>
                <w:lang w:eastAsia="fr-FR"/>
              </w:rPr>
              <w:t xml:space="preserve"> </w:t>
            </w:r>
          </w:p>
        </w:tc>
        <w:tc>
          <w:tcPr>
            <w:tcW w:w="2445" w:type="dxa"/>
          </w:tcPr>
          <w:p w14:paraId="276AE8DB" w14:textId="77777777" w:rsidR="00BC6C8B" w:rsidRPr="00DD4E9D" w:rsidRDefault="00BC6C8B" w:rsidP="00EE0E23">
            <w:pPr>
              <w:jc w:val="both"/>
              <w:rPr>
                <w:rFonts w:eastAsia="Times New Roman" w:cstheme="minorHAnsi"/>
                <w:b/>
                <w:bCs/>
                <w:sz w:val="20"/>
                <w:szCs w:val="20"/>
                <w:lang w:eastAsia="fr-FR"/>
              </w:rPr>
            </w:pPr>
            <w:r w:rsidRPr="002E3673">
              <w:rPr>
                <w:rFonts w:eastAsia="Times New Roman" w:cstheme="minorHAnsi"/>
                <w:sz w:val="20"/>
                <w:szCs w:val="20"/>
                <w:lang w:eastAsia="fr-FR"/>
              </w:rPr>
              <w:t>Engagement dans les conventions internationales sur l’environnement</w:t>
            </w:r>
          </w:p>
        </w:tc>
      </w:tr>
      <w:tr w:rsidR="00BC6C8B" w14:paraId="67E721C6" w14:textId="77777777" w:rsidTr="00EE0E23">
        <w:tc>
          <w:tcPr>
            <w:tcW w:w="1275" w:type="dxa"/>
            <w:vMerge w:val="restart"/>
            <w:vAlign w:val="center"/>
          </w:tcPr>
          <w:p w14:paraId="3978AB4C" w14:textId="77777777" w:rsidR="00BC6C8B" w:rsidRPr="00DD4E9D" w:rsidRDefault="00BC6C8B" w:rsidP="00EE0E23">
            <w:pPr>
              <w:rPr>
                <w:rFonts w:eastAsia="Times New Roman" w:cstheme="minorHAnsi"/>
                <w:b/>
                <w:bCs/>
                <w:sz w:val="20"/>
                <w:szCs w:val="20"/>
                <w:lang w:eastAsia="fr-FR"/>
              </w:rPr>
            </w:pPr>
            <w:r w:rsidRPr="00DD4E9D">
              <w:rPr>
                <w:rFonts w:eastAsia="Times New Roman" w:cstheme="minorHAnsi"/>
                <w:sz w:val="20"/>
                <w:szCs w:val="20"/>
                <w:lang w:eastAsia="fr-FR"/>
              </w:rPr>
              <w:t>Eau</w:t>
            </w:r>
          </w:p>
        </w:tc>
        <w:tc>
          <w:tcPr>
            <w:tcW w:w="2406" w:type="dxa"/>
          </w:tcPr>
          <w:p w14:paraId="65505A0C" w14:textId="77777777" w:rsidR="00BC6C8B" w:rsidRPr="00DD4E9D" w:rsidRDefault="00BC6C8B" w:rsidP="00EE0E23">
            <w:pPr>
              <w:jc w:val="both"/>
              <w:rPr>
                <w:rFonts w:eastAsia="Times New Roman" w:cstheme="minorHAnsi"/>
                <w:b/>
                <w:bCs/>
                <w:sz w:val="20"/>
                <w:szCs w:val="20"/>
                <w:lang w:eastAsia="fr-FR"/>
              </w:rPr>
            </w:pPr>
            <w:r w:rsidRPr="002E3673">
              <w:rPr>
                <w:rFonts w:eastAsia="Times New Roman" w:cstheme="minorHAnsi"/>
                <w:sz w:val="20"/>
                <w:szCs w:val="20"/>
                <w:lang w:eastAsia="fr-FR"/>
              </w:rPr>
              <w:t>Changement projeté</w:t>
            </w:r>
            <w:r>
              <w:rPr>
                <w:rFonts w:eastAsia="Times New Roman" w:cstheme="minorHAnsi"/>
                <w:sz w:val="20"/>
                <w:szCs w:val="20"/>
                <w:lang w:eastAsia="fr-FR"/>
              </w:rPr>
              <w:t xml:space="preserve"> </w:t>
            </w:r>
            <w:r w:rsidRPr="002E3673">
              <w:rPr>
                <w:rFonts w:eastAsia="Times New Roman" w:cstheme="minorHAnsi"/>
                <w:sz w:val="20"/>
                <w:szCs w:val="20"/>
                <w:lang w:eastAsia="fr-FR"/>
              </w:rPr>
              <w:t>de la période chaude</w:t>
            </w:r>
          </w:p>
        </w:tc>
        <w:tc>
          <w:tcPr>
            <w:tcW w:w="2375" w:type="dxa"/>
          </w:tcPr>
          <w:p w14:paraId="569B7D96" w14:textId="77777777" w:rsidR="00BC6C8B" w:rsidRPr="00DD4E9D" w:rsidRDefault="00BC6C8B" w:rsidP="00EE0E23">
            <w:pPr>
              <w:jc w:val="both"/>
              <w:rPr>
                <w:rFonts w:eastAsia="Times New Roman" w:cstheme="minorHAnsi"/>
                <w:b/>
                <w:bCs/>
                <w:sz w:val="20"/>
                <w:szCs w:val="20"/>
                <w:lang w:eastAsia="fr-FR"/>
              </w:rPr>
            </w:pPr>
            <w:r w:rsidRPr="00DD4E9D">
              <w:rPr>
                <w:rFonts w:eastAsia="Times New Roman" w:cstheme="minorHAnsi"/>
                <w:sz w:val="20"/>
                <w:szCs w:val="20"/>
                <w:lang w:eastAsia="fr-FR"/>
              </w:rPr>
              <w:t>Concentration</w:t>
            </w:r>
            <w:r>
              <w:rPr>
                <w:rFonts w:eastAsia="Times New Roman" w:cstheme="minorHAnsi"/>
                <w:sz w:val="20"/>
                <w:szCs w:val="20"/>
                <w:lang w:eastAsia="fr-FR"/>
              </w:rPr>
              <w:t xml:space="preserve"> </w:t>
            </w:r>
            <w:r w:rsidRPr="00DD4E9D">
              <w:rPr>
                <w:rFonts w:eastAsia="Times New Roman" w:cstheme="minorHAnsi"/>
                <w:sz w:val="20"/>
                <w:szCs w:val="20"/>
                <w:lang w:eastAsia="fr-FR"/>
              </w:rPr>
              <w:t>urbaine</w:t>
            </w:r>
          </w:p>
        </w:tc>
        <w:tc>
          <w:tcPr>
            <w:tcW w:w="2445" w:type="dxa"/>
          </w:tcPr>
          <w:p w14:paraId="262DCDAB" w14:textId="77777777" w:rsidR="00BC6C8B" w:rsidRPr="002E3673" w:rsidRDefault="00BC6C8B" w:rsidP="00EE0E23">
            <w:pPr>
              <w:jc w:val="both"/>
              <w:rPr>
                <w:rFonts w:eastAsia="Times New Roman" w:cstheme="minorHAnsi"/>
                <w:sz w:val="20"/>
                <w:szCs w:val="20"/>
                <w:lang w:eastAsia="fr-FR"/>
              </w:rPr>
            </w:pPr>
            <w:r w:rsidRPr="002E3673">
              <w:rPr>
                <w:rFonts w:eastAsia="Times New Roman" w:cstheme="minorHAnsi"/>
                <w:sz w:val="20"/>
                <w:szCs w:val="20"/>
                <w:lang w:eastAsia="fr-FR"/>
              </w:rPr>
              <w:t>Qualité des infrastructures</w:t>
            </w:r>
          </w:p>
          <w:p w14:paraId="4637DB5C" w14:textId="41EAD55A" w:rsidR="00BC6C8B" w:rsidRPr="007647D1" w:rsidRDefault="00164999" w:rsidP="00EE0E23">
            <w:pPr>
              <w:jc w:val="both"/>
              <w:rPr>
                <w:rFonts w:eastAsia="Times New Roman" w:cstheme="minorHAnsi"/>
                <w:sz w:val="20"/>
                <w:szCs w:val="20"/>
                <w:lang w:eastAsia="fr-FR"/>
              </w:rPr>
            </w:pPr>
            <w:r w:rsidRPr="002E3673">
              <w:rPr>
                <w:rFonts w:eastAsia="Times New Roman" w:cstheme="minorHAnsi"/>
                <w:sz w:val="20"/>
                <w:szCs w:val="20"/>
                <w:lang w:eastAsia="fr-FR"/>
              </w:rPr>
              <w:t>Commerciales</w:t>
            </w:r>
            <w:r w:rsidR="00BC6C8B" w:rsidRPr="002E3673">
              <w:rPr>
                <w:rFonts w:eastAsia="Times New Roman" w:cstheme="minorHAnsi"/>
                <w:sz w:val="20"/>
                <w:szCs w:val="20"/>
                <w:lang w:eastAsia="fr-FR"/>
              </w:rPr>
              <w:t xml:space="preserve"> et liées au</w:t>
            </w:r>
            <w:r w:rsidR="00BC6C8B">
              <w:rPr>
                <w:rFonts w:eastAsia="Times New Roman" w:cstheme="minorHAnsi"/>
                <w:sz w:val="20"/>
                <w:szCs w:val="20"/>
                <w:lang w:eastAsia="fr-FR"/>
              </w:rPr>
              <w:t xml:space="preserve"> </w:t>
            </w:r>
            <w:r w:rsidR="00BC6C8B" w:rsidRPr="002E3673">
              <w:rPr>
                <w:rFonts w:eastAsia="Times New Roman" w:cstheme="minorHAnsi"/>
                <w:sz w:val="20"/>
                <w:szCs w:val="20"/>
                <w:lang w:eastAsia="fr-FR"/>
              </w:rPr>
              <w:t>transport</w:t>
            </w:r>
          </w:p>
        </w:tc>
      </w:tr>
      <w:tr w:rsidR="00BC6C8B" w14:paraId="4BF7319D" w14:textId="77777777" w:rsidTr="00EE0E23">
        <w:tc>
          <w:tcPr>
            <w:tcW w:w="1275" w:type="dxa"/>
            <w:vMerge/>
            <w:vAlign w:val="center"/>
          </w:tcPr>
          <w:p w14:paraId="2907A277" w14:textId="77777777" w:rsidR="00BC6C8B" w:rsidRPr="00DD4E9D" w:rsidRDefault="00BC6C8B" w:rsidP="00EE0E23">
            <w:pPr>
              <w:rPr>
                <w:rFonts w:eastAsia="Times New Roman" w:cstheme="minorHAnsi"/>
                <w:b/>
                <w:bCs/>
                <w:sz w:val="20"/>
                <w:szCs w:val="20"/>
                <w:lang w:eastAsia="fr-FR"/>
              </w:rPr>
            </w:pPr>
          </w:p>
        </w:tc>
        <w:tc>
          <w:tcPr>
            <w:tcW w:w="2406" w:type="dxa"/>
          </w:tcPr>
          <w:p w14:paraId="24F07A89" w14:textId="77777777" w:rsidR="00BC6C8B" w:rsidRPr="00DD4E9D" w:rsidRDefault="00BC6C8B" w:rsidP="00EE0E23">
            <w:pPr>
              <w:jc w:val="both"/>
              <w:rPr>
                <w:rFonts w:eastAsia="Times New Roman" w:cstheme="minorHAnsi"/>
                <w:b/>
                <w:bCs/>
                <w:sz w:val="20"/>
                <w:szCs w:val="20"/>
                <w:lang w:eastAsia="fr-FR"/>
              </w:rPr>
            </w:pPr>
            <w:r w:rsidRPr="002E3673">
              <w:rPr>
                <w:rFonts w:eastAsia="Times New Roman" w:cstheme="minorHAnsi"/>
                <w:sz w:val="20"/>
                <w:szCs w:val="20"/>
                <w:lang w:eastAsia="fr-FR"/>
              </w:rPr>
              <w:t>Changement projeté</w:t>
            </w:r>
            <w:r>
              <w:rPr>
                <w:rFonts w:eastAsia="Times New Roman" w:cstheme="minorHAnsi"/>
                <w:sz w:val="20"/>
                <w:szCs w:val="20"/>
                <w:lang w:eastAsia="fr-FR"/>
              </w:rPr>
              <w:t xml:space="preserve"> </w:t>
            </w:r>
            <w:r w:rsidRPr="002E3673">
              <w:rPr>
                <w:rFonts w:eastAsia="Times New Roman" w:cstheme="minorHAnsi"/>
                <w:sz w:val="20"/>
                <w:szCs w:val="20"/>
                <w:lang w:eastAsia="fr-FR"/>
              </w:rPr>
              <w:t>du risque d'inondation</w:t>
            </w:r>
          </w:p>
        </w:tc>
        <w:tc>
          <w:tcPr>
            <w:tcW w:w="2375" w:type="dxa"/>
          </w:tcPr>
          <w:p w14:paraId="3899A24D" w14:textId="77777777" w:rsidR="00BC6C8B" w:rsidRPr="00DD4E9D" w:rsidRDefault="00BC6C8B" w:rsidP="00EE0E23">
            <w:pPr>
              <w:jc w:val="both"/>
              <w:rPr>
                <w:rFonts w:eastAsia="Times New Roman" w:cstheme="minorHAnsi"/>
                <w:b/>
                <w:bCs/>
                <w:sz w:val="20"/>
                <w:szCs w:val="20"/>
                <w:lang w:eastAsia="fr-FR"/>
              </w:rPr>
            </w:pPr>
            <w:r w:rsidRPr="002E3673">
              <w:rPr>
                <w:rFonts w:eastAsia="Times New Roman" w:cstheme="minorHAnsi"/>
                <w:sz w:val="20"/>
                <w:szCs w:val="20"/>
                <w:lang w:eastAsia="fr-FR"/>
              </w:rPr>
              <w:t>Rapport</w:t>
            </w:r>
            <w:r>
              <w:rPr>
                <w:rFonts w:eastAsia="Times New Roman" w:cstheme="minorHAnsi"/>
                <w:sz w:val="20"/>
                <w:szCs w:val="20"/>
                <w:lang w:eastAsia="fr-FR"/>
              </w:rPr>
              <w:t xml:space="preserve"> </w:t>
            </w:r>
            <w:r w:rsidRPr="002E3673">
              <w:rPr>
                <w:rFonts w:eastAsia="Times New Roman" w:cstheme="minorHAnsi"/>
                <w:sz w:val="20"/>
                <w:szCs w:val="20"/>
                <w:lang w:eastAsia="fr-FR"/>
              </w:rPr>
              <w:t>de dépendance</w:t>
            </w:r>
            <w:r>
              <w:rPr>
                <w:rFonts w:eastAsia="Times New Roman" w:cstheme="minorHAnsi"/>
                <w:sz w:val="20"/>
                <w:szCs w:val="20"/>
                <w:lang w:eastAsia="fr-FR"/>
              </w:rPr>
              <w:t xml:space="preserve"> </w:t>
            </w:r>
            <w:r w:rsidRPr="002E3673">
              <w:rPr>
                <w:rFonts w:eastAsia="Times New Roman" w:cstheme="minorHAnsi"/>
                <w:sz w:val="20"/>
                <w:szCs w:val="20"/>
                <w:lang w:eastAsia="fr-FR"/>
              </w:rPr>
              <w:t>de l'âge</w:t>
            </w:r>
          </w:p>
        </w:tc>
        <w:tc>
          <w:tcPr>
            <w:tcW w:w="2445" w:type="dxa"/>
          </w:tcPr>
          <w:p w14:paraId="78F43737" w14:textId="77777777" w:rsidR="00BC6C8B" w:rsidRPr="00DD4E9D" w:rsidRDefault="00BC6C8B" w:rsidP="00EE0E23">
            <w:pPr>
              <w:jc w:val="both"/>
              <w:rPr>
                <w:rFonts w:eastAsia="Times New Roman" w:cstheme="minorHAnsi"/>
                <w:b/>
                <w:bCs/>
                <w:sz w:val="20"/>
                <w:szCs w:val="20"/>
                <w:lang w:eastAsia="fr-FR"/>
              </w:rPr>
            </w:pPr>
            <w:r w:rsidRPr="007647D1">
              <w:rPr>
                <w:rFonts w:eastAsia="Times New Roman" w:cstheme="minorHAnsi"/>
                <w:sz w:val="20"/>
                <w:szCs w:val="20"/>
                <w:lang w:eastAsia="fr-FR"/>
              </w:rPr>
              <w:t>Capacité du barrage</w:t>
            </w:r>
          </w:p>
        </w:tc>
      </w:tr>
      <w:tr w:rsidR="00BC6C8B" w14:paraId="6A104834" w14:textId="77777777" w:rsidTr="00EE0E23">
        <w:tc>
          <w:tcPr>
            <w:tcW w:w="1275" w:type="dxa"/>
            <w:vMerge w:val="restart"/>
            <w:vAlign w:val="center"/>
          </w:tcPr>
          <w:p w14:paraId="65373EF5" w14:textId="77777777" w:rsidR="00BC6C8B" w:rsidRPr="00DD4E9D" w:rsidRDefault="00BC6C8B" w:rsidP="00EE0E23">
            <w:pPr>
              <w:rPr>
                <w:rFonts w:eastAsia="Times New Roman" w:cstheme="minorHAnsi"/>
                <w:b/>
                <w:bCs/>
                <w:sz w:val="20"/>
                <w:szCs w:val="20"/>
                <w:lang w:eastAsia="fr-FR"/>
              </w:rPr>
            </w:pPr>
            <w:r w:rsidRPr="00DD4E9D">
              <w:rPr>
                <w:rFonts w:eastAsia="Times New Roman" w:cstheme="minorHAnsi"/>
                <w:sz w:val="20"/>
                <w:szCs w:val="20"/>
                <w:lang w:eastAsia="fr-FR"/>
              </w:rPr>
              <w:t>Santé</w:t>
            </w:r>
          </w:p>
        </w:tc>
        <w:tc>
          <w:tcPr>
            <w:tcW w:w="2406" w:type="dxa"/>
          </w:tcPr>
          <w:p w14:paraId="13771E90" w14:textId="77777777" w:rsidR="00BC6C8B" w:rsidRPr="007647D1" w:rsidRDefault="00BC6C8B" w:rsidP="00EE0E23">
            <w:pPr>
              <w:jc w:val="both"/>
              <w:rPr>
                <w:rFonts w:eastAsia="Times New Roman" w:cstheme="minorHAnsi"/>
                <w:sz w:val="20"/>
                <w:szCs w:val="20"/>
                <w:lang w:eastAsia="fr-FR"/>
              </w:rPr>
            </w:pPr>
            <w:r w:rsidRPr="007647D1">
              <w:rPr>
                <w:rFonts w:eastAsia="Times New Roman" w:cstheme="minorHAnsi"/>
                <w:sz w:val="20"/>
                <w:szCs w:val="20"/>
                <w:lang w:eastAsia="fr-FR"/>
              </w:rPr>
              <w:t>Changement prévu des</w:t>
            </w:r>
            <w:r>
              <w:rPr>
                <w:rFonts w:eastAsia="Times New Roman" w:cstheme="minorHAnsi"/>
                <w:sz w:val="20"/>
                <w:szCs w:val="20"/>
                <w:lang w:eastAsia="fr-FR"/>
              </w:rPr>
              <w:t xml:space="preserve"> </w:t>
            </w:r>
            <w:r w:rsidRPr="007647D1">
              <w:rPr>
                <w:rFonts w:eastAsia="Times New Roman" w:cstheme="minorHAnsi"/>
                <w:sz w:val="20"/>
                <w:szCs w:val="20"/>
                <w:lang w:eastAsia="fr-FR"/>
              </w:rPr>
              <w:t>décès causés par des</w:t>
            </w:r>
          </w:p>
          <w:p w14:paraId="5BDC40D2" w14:textId="77777777" w:rsidR="00BC6C8B" w:rsidRPr="007647D1" w:rsidRDefault="00BC6C8B" w:rsidP="00EE0E23">
            <w:pPr>
              <w:jc w:val="both"/>
              <w:rPr>
                <w:rFonts w:eastAsia="Times New Roman" w:cstheme="minorHAnsi"/>
                <w:sz w:val="20"/>
                <w:szCs w:val="20"/>
                <w:lang w:eastAsia="fr-FR"/>
              </w:rPr>
            </w:pPr>
            <w:r w:rsidRPr="007647D1">
              <w:rPr>
                <w:rFonts w:eastAsia="Times New Roman" w:cstheme="minorHAnsi"/>
                <w:sz w:val="20"/>
                <w:szCs w:val="20"/>
                <w:lang w:eastAsia="fr-FR"/>
              </w:rPr>
              <w:t>Maladies induites par le</w:t>
            </w:r>
          </w:p>
          <w:p w14:paraId="2BAF8F35" w14:textId="6907A852" w:rsidR="00BC6C8B" w:rsidRPr="00DD4E9D" w:rsidRDefault="00164999" w:rsidP="00EE0E23">
            <w:pPr>
              <w:jc w:val="both"/>
              <w:rPr>
                <w:rFonts w:eastAsia="Times New Roman" w:cstheme="minorHAnsi"/>
                <w:b/>
                <w:bCs/>
                <w:sz w:val="20"/>
                <w:szCs w:val="20"/>
                <w:lang w:eastAsia="fr-FR"/>
              </w:rPr>
            </w:pPr>
            <w:r w:rsidRPr="007647D1">
              <w:rPr>
                <w:rFonts w:eastAsia="Times New Roman" w:cstheme="minorHAnsi"/>
                <w:sz w:val="20"/>
                <w:szCs w:val="20"/>
                <w:lang w:eastAsia="fr-FR"/>
              </w:rPr>
              <w:t>Changement</w:t>
            </w:r>
            <w:r w:rsidR="00BC6C8B" w:rsidRPr="007647D1">
              <w:rPr>
                <w:rFonts w:eastAsia="Times New Roman" w:cstheme="minorHAnsi"/>
                <w:sz w:val="20"/>
                <w:szCs w:val="20"/>
                <w:lang w:eastAsia="fr-FR"/>
              </w:rPr>
              <w:t xml:space="preserve"> climatique</w:t>
            </w:r>
          </w:p>
        </w:tc>
        <w:tc>
          <w:tcPr>
            <w:tcW w:w="2375" w:type="dxa"/>
          </w:tcPr>
          <w:p w14:paraId="0915B2B5" w14:textId="77777777" w:rsidR="00BC6C8B" w:rsidRPr="002F3ABA" w:rsidRDefault="00BC6C8B" w:rsidP="00EE0E23">
            <w:pPr>
              <w:jc w:val="both"/>
              <w:rPr>
                <w:rFonts w:eastAsia="Times New Roman" w:cstheme="minorHAnsi"/>
                <w:sz w:val="20"/>
                <w:szCs w:val="20"/>
                <w:lang w:eastAsia="fr-FR"/>
              </w:rPr>
            </w:pPr>
            <w:r>
              <w:rPr>
                <w:rFonts w:eastAsia="Times New Roman" w:cstheme="minorHAnsi"/>
                <w:sz w:val="20"/>
                <w:szCs w:val="20"/>
                <w:lang w:eastAsia="fr-FR"/>
              </w:rPr>
              <w:t xml:space="preserve"> </w:t>
            </w:r>
            <w:r w:rsidRPr="002F3ABA">
              <w:rPr>
                <w:rFonts w:eastAsia="Times New Roman" w:cstheme="minorHAnsi"/>
                <w:sz w:val="20"/>
                <w:szCs w:val="20"/>
                <w:lang w:eastAsia="fr-FR"/>
              </w:rPr>
              <w:t>Dépendance à l'égard</w:t>
            </w:r>
            <w:r>
              <w:rPr>
                <w:rFonts w:eastAsia="Times New Roman" w:cstheme="minorHAnsi"/>
                <w:sz w:val="20"/>
                <w:szCs w:val="20"/>
                <w:lang w:eastAsia="fr-FR"/>
              </w:rPr>
              <w:t xml:space="preserve"> </w:t>
            </w:r>
            <w:r w:rsidRPr="002F3ABA">
              <w:rPr>
                <w:rFonts w:eastAsia="Times New Roman" w:cstheme="minorHAnsi"/>
                <w:sz w:val="20"/>
                <w:szCs w:val="20"/>
                <w:lang w:eastAsia="fr-FR"/>
              </w:rPr>
              <w:t>de ressources externes</w:t>
            </w:r>
            <w:r>
              <w:rPr>
                <w:rFonts w:eastAsia="Times New Roman" w:cstheme="minorHAnsi"/>
                <w:sz w:val="20"/>
                <w:szCs w:val="20"/>
                <w:lang w:eastAsia="fr-FR"/>
              </w:rPr>
              <w:t xml:space="preserve"> pour les services de la santé</w:t>
            </w:r>
          </w:p>
        </w:tc>
        <w:tc>
          <w:tcPr>
            <w:tcW w:w="2445" w:type="dxa"/>
          </w:tcPr>
          <w:p w14:paraId="2075840D" w14:textId="77777777" w:rsidR="00BC6C8B" w:rsidRPr="002F3ABA" w:rsidRDefault="00BC6C8B" w:rsidP="00EE0E23">
            <w:pPr>
              <w:jc w:val="both"/>
              <w:rPr>
                <w:rFonts w:eastAsia="Times New Roman" w:cstheme="minorHAnsi"/>
                <w:sz w:val="20"/>
                <w:szCs w:val="20"/>
                <w:lang w:eastAsia="fr-FR"/>
              </w:rPr>
            </w:pPr>
            <w:r>
              <w:rPr>
                <w:rFonts w:eastAsia="Times New Roman" w:cstheme="minorHAnsi"/>
                <w:sz w:val="20"/>
                <w:szCs w:val="20"/>
                <w:lang w:eastAsia="fr-FR"/>
              </w:rPr>
              <w:t>P</w:t>
            </w:r>
            <w:r w:rsidRPr="002F3ABA">
              <w:rPr>
                <w:rFonts w:eastAsia="Times New Roman" w:cstheme="minorHAnsi"/>
                <w:sz w:val="20"/>
                <w:szCs w:val="20"/>
                <w:lang w:eastAsia="fr-FR"/>
              </w:rPr>
              <w:t>ersonnel médical</w:t>
            </w:r>
          </w:p>
          <w:p w14:paraId="5757A656" w14:textId="77777777" w:rsidR="00BC6C8B" w:rsidRPr="002F3ABA" w:rsidRDefault="00BC6C8B" w:rsidP="00EE0E23">
            <w:pPr>
              <w:jc w:val="both"/>
              <w:rPr>
                <w:rFonts w:eastAsia="Times New Roman" w:cstheme="minorHAnsi"/>
                <w:sz w:val="20"/>
                <w:szCs w:val="20"/>
                <w:lang w:eastAsia="fr-FR"/>
              </w:rPr>
            </w:pPr>
            <w:r w:rsidRPr="002F3ABA">
              <w:rPr>
                <w:rFonts w:eastAsia="Times New Roman" w:cstheme="minorHAnsi"/>
                <w:sz w:val="20"/>
                <w:szCs w:val="20"/>
                <w:lang w:eastAsia="fr-FR"/>
              </w:rPr>
              <w:t>(Médecins, infirmières</w:t>
            </w:r>
          </w:p>
          <w:p w14:paraId="5895133F" w14:textId="77777777" w:rsidR="00BC6C8B" w:rsidRPr="007647D1" w:rsidRDefault="00BC6C8B" w:rsidP="00EE0E23">
            <w:pPr>
              <w:jc w:val="both"/>
              <w:rPr>
                <w:rFonts w:eastAsia="Times New Roman" w:cstheme="minorHAnsi"/>
                <w:sz w:val="20"/>
                <w:szCs w:val="20"/>
                <w:lang w:eastAsia="fr-FR"/>
              </w:rPr>
            </w:pPr>
            <w:proofErr w:type="gramStart"/>
            <w:r w:rsidRPr="002F3ABA">
              <w:rPr>
                <w:rFonts w:eastAsia="Times New Roman" w:cstheme="minorHAnsi"/>
                <w:sz w:val="20"/>
                <w:szCs w:val="20"/>
                <w:lang w:eastAsia="fr-FR"/>
              </w:rPr>
              <w:t>et</w:t>
            </w:r>
            <w:proofErr w:type="gramEnd"/>
            <w:r w:rsidRPr="002F3ABA">
              <w:rPr>
                <w:rFonts w:eastAsia="Times New Roman" w:cstheme="minorHAnsi"/>
                <w:sz w:val="20"/>
                <w:szCs w:val="20"/>
                <w:lang w:eastAsia="fr-FR"/>
              </w:rPr>
              <w:t xml:space="preserve"> sage-femmes</w:t>
            </w:r>
          </w:p>
        </w:tc>
      </w:tr>
      <w:tr w:rsidR="00BC6C8B" w14:paraId="29FB4C99" w14:textId="77777777" w:rsidTr="00EE0E23">
        <w:tc>
          <w:tcPr>
            <w:tcW w:w="1275" w:type="dxa"/>
            <w:vMerge/>
          </w:tcPr>
          <w:p w14:paraId="0DAED773" w14:textId="77777777" w:rsidR="00BC6C8B" w:rsidRPr="00DD4E9D" w:rsidRDefault="00BC6C8B" w:rsidP="00EE0E23">
            <w:pPr>
              <w:jc w:val="both"/>
              <w:rPr>
                <w:rFonts w:eastAsia="Times New Roman" w:cstheme="minorHAnsi"/>
                <w:b/>
                <w:bCs/>
                <w:sz w:val="20"/>
                <w:szCs w:val="20"/>
                <w:lang w:eastAsia="fr-FR"/>
              </w:rPr>
            </w:pPr>
          </w:p>
        </w:tc>
        <w:tc>
          <w:tcPr>
            <w:tcW w:w="2406" w:type="dxa"/>
          </w:tcPr>
          <w:p w14:paraId="078C011E" w14:textId="77777777" w:rsidR="00BC6C8B" w:rsidRPr="007647D1" w:rsidRDefault="00BC6C8B" w:rsidP="00EE0E23">
            <w:pPr>
              <w:jc w:val="both"/>
              <w:rPr>
                <w:rFonts w:eastAsia="Times New Roman" w:cstheme="minorHAnsi"/>
                <w:sz w:val="20"/>
                <w:szCs w:val="20"/>
                <w:lang w:eastAsia="fr-FR"/>
              </w:rPr>
            </w:pPr>
            <w:r w:rsidRPr="007647D1">
              <w:rPr>
                <w:rFonts w:eastAsia="Times New Roman" w:cstheme="minorHAnsi"/>
                <w:sz w:val="20"/>
                <w:szCs w:val="20"/>
                <w:lang w:eastAsia="fr-FR"/>
              </w:rPr>
              <w:t>Changement projeté de</w:t>
            </w:r>
            <w:r>
              <w:rPr>
                <w:rFonts w:eastAsia="Times New Roman" w:cstheme="minorHAnsi"/>
                <w:sz w:val="20"/>
                <w:szCs w:val="20"/>
                <w:lang w:eastAsia="fr-FR"/>
              </w:rPr>
              <w:t xml:space="preserve"> </w:t>
            </w:r>
            <w:r w:rsidRPr="007647D1">
              <w:rPr>
                <w:rFonts w:eastAsia="Times New Roman" w:cstheme="minorHAnsi"/>
                <w:sz w:val="20"/>
                <w:szCs w:val="20"/>
                <w:lang w:eastAsia="fr-FR"/>
              </w:rPr>
              <w:t>la durée de la saison de</w:t>
            </w:r>
          </w:p>
          <w:p w14:paraId="21138111" w14:textId="77777777" w:rsidR="00BC6C8B" w:rsidRPr="007647D1" w:rsidRDefault="00BC6C8B" w:rsidP="00EE0E23">
            <w:pPr>
              <w:jc w:val="both"/>
              <w:rPr>
                <w:rFonts w:eastAsia="Times New Roman" w:cstheme="minorHAnsi"/>
                <w:sz w:val="20"/>
                <w:szCs w:val="20"/>
                <w:lang w:eastAsia="fr-FR"/>
              </w:rPr>
            </w:pPr>
            <w:r w:rsidRPr="007647D1">
              <w:rPr>
                <w:rFonts w:eastAsia="Times New Roman" w:cstheme="minorHAnsi"/>
                <w:sz w:val="20"/>
                <w:szCs w:val="20"/>
                <w:lang w:eastAsia="fr-FR"/>
              </w:rPr>
              <w:t>Transmission des maladies</w:t>
            </w:r>
          </w:p>
          <w:p w14:paraId="044B2041" w14:textId="77777777" w:rsidR="00BC6C8B" w:rsidRPr="00DD4E9D" w:rsidRDefault="00BC6C8B" w:rsidP="00EE0E23">
            <w:pPr>
              <w:jc w:val="both"/>
              <w:rPr>
                <w:rFonts w:eastAsia="Times New Roman" w:cstheme="minorHAnsi"/>
                <w:b/>
                <w:bCs/>
                <w:sz w:val="20"/>
                <w:szCs w:val="20"/>
                <w:lang w:eastAsia="fr-FR"/>
              </w:rPr>
            </w:pPr>
            <w:proofErr w:type="gramStart"/>
            <w:r w:rsidRPr="007647D1">
              <w:rPr>
                <w:rFonts w:eastAsia="Times New Roman" w:cstheme="minorHAnsi"/>
                <w:sz w:val="20"/>
                <w:szCs w:val="20"/>
                <w:lang w:eastAsia="fr-FR"/>
              </w:rPr>
              <w:t>à</w:t>
            </w:r>
            <w:proofErr w:type="gramEnd"/>
            <w:r w:rsidRPr="007647D1">
              <w:rPr>
                <w:rFonts w:eastAsia="Times New Roman" w:cstheme="minorHAnsi"/>
                <w:sz w:val="20"/>
                <w:szCs w:val="20"/>
                <w:lang w:eastAsia="fr-FR"/>
              </w:rPr>
              <w:t xml:space="preserve"> transmission vectorielle</w:t>
            </w:r>
          </w:p>
        </w:tc>
        <w:tc>
          <w:tcPr>
            <w:tcW w:w="2375" w:type="dxa"/>
          </w:tcPr>
          <w:p w14:paraId="5120FE22" w14:textId="77777777" w:rsidR="00BC6C8B" w:rsidRPr="007647D1" w:rsidRDefault="00BC6C8B" w:rsidP="00EE0E23">
            <w:pPr>
              <w:jc w:val="both"/>
              <w:rPr>
                <w:rFonts w:eastAsia="Times New Roman" w:cstheme="minorHAnsi"/>
                <w:sz w:val="20"/>
                <w:szCs w:val="20"/>
                <w:lang w:eastAsia="fr-FR"/>
              </w:rPr>
            </w:pPr>
            <w:r w:rsidRPr="007647D1">
              <w:rPr>
                <w:rFonts w:eastAsia="Times New Roman" w:cstheme="minorHAnsi"/>
                <w:sz w:val="20"/>
                <w:szCs w:val="20"/>
                <w:lang w:eastAsia="fr-FR"/>
              </w:rPr>
              <w:t>Dépendance à l'égard</w:t>
            </w:r>
            <w:r>
              <w:rPr>
                <w:rFonts w:eastAsia="Times New Roman" w:cstheme="minorHAnsi"/>
                <w:sz w:val="20"/>
                <w:szCs w:val="20"/>
                <w:lang w:eastAsia="fr-FR"/>
              </w:rPr>
              <w:t xml:space="preserve"> </w:t>
            </w:r>
            <w:r w:rsidRPr="007647D1">
              <w:rPr>
                <w:rFonts w:eastAsia="Times New Roman" w:cstheme="minorHAnsi"/>
                <w:sz w:val="20"/>
                <w:szCs w:val="20"/>
                <w:lang w:eastAsia="fr-FR"/>
              </w:rPr>
              <w:t>de ressources externes</w:t>
            </w:r>
            <w:r>
              <w:rPr>
                <w:rFonts w:eastAsia="Times New Roman" w:cstheme="minorHAnsi"/>
                <w:sz w:val="20"/>
                <w:szCs w:val="20"/>
                <w:lang w:eastAsia="fr-FR"/>
              </w:rPr>
              <w:t xml:space="preserve"> </w:t>
            </w:r>
            <w:r w:rsidRPr="007647D1">
              <w:rPr>
                <w:rFonts w:eastAsia="Times New Roman" w:cstheme="minorHAnsi"/>
                <w:sz w:val="20"/>
                <w:szCs w:val="20"/>
                <w:lang w:eastAsia="fr-FR"/>
              </w:rPr>
              <w:t>pour les services</w:t>
            </w:r>
            <w:r>
              <w:rPr>
                <w:rFonts w:eastAsia="Times New Roman" w:cstheme="minorHAnsi"/>
                <w:sz w:val="20"/>
                <w:szCs w:val="20"/>
                <w:lang w:eastAsia="fr-FR"/>
              </w:rPr>
              <w:t xml:space="preserve"> </w:t>
            </w:r>
            <w:r w:rsidRPr="007647D1">
              <w:rPr>
                <w:rFonts w:eastAsia="Times New Roman" w:cstheme="minorHAnsi"/>
                <w:sz w:val="20"/>
                <w:szCs w:val="20"/>
                <w:lang w:eastAsia="fr-FR"/>
              </w:rPr>
              <w:t>de santé</w:t>
            </w:r>
          </w:p>
        </w:tc>
        <w:tc>
          <w:tcPr>
            <w:tcW w:w="2445" w:type="dxa"/>
          </w:tcPr>
          <w:p w14:paraId="79C231BE" w14:textId="77777777" w:rsidR="00BC6C8B" w:rsidRPr="00DD4E9D" w:rsidRDefault="00BC6C8B" w:rsidP="00EE0E23">
            <w:pPr>
              <w:jc w:val="both"/>
              <w:rPr>
                <w:rFonts w:eastAsia="Times New Roman" w:cstheme="minorHAnsi"/>
                <w:b/>
                <w:bCs/>
                <w:sz w:val="20"/>
                <w:szCs w:val="20"/>
                <w:lang w:eastAsia="fr-FR"/>
              </w:rPr>
            </w:pPr>
            <w:r w:rsidRPr="007647D1">
              <w:rPr>
                <w:rFonts w:eastAsia="Times New Roman" w:cstheme="minorHAnsi"/>
                <w:sz w:val="20"/>
                <w:szCs w:val="20"/>
                <w:lang w:eastAsia="fr-FR"/>
              </w:rPr>
              <w:t>Accès à des installations</w:t>
            </w:r>
            <w:r>
              <w:rPr>
                <w:rFonts w:eastAsia="Times New Roman" w:cstheme="minorHAnsi"/>
                <w:sz w:val="20"/>
                <w:szCs w:val="20"/>
                <w:lang w:eastAsia="fr-FR"/>
              </w:rPr>
              <w:t xml:space="preserve"> </w:t>
            </w:r>
            <w:r w:rsidRPr="007647D1">
              <w:rPr>
                <w:rFonts w:eastAsia="Times New Roman" w:cstheme="minorHAnsi"/>
                <w:sz w:val="20"/>
                <w:szCs w:val="20"/>
                <w:lang w:eastAsia="fr-FR"/>
              </w:rPr>
              <w:t>sanitaires améliorées</w:t>
            </w:r>
          </w:p>
        </w:tc>
      </w:tr>
    </w:tbl>
    <w:p w14:paraId="28B645C0" w14:textId="77777777" w:rsidR="00BC6C8B" w:rsidRDefault="00BC6C8B" w:rsidP="00BC6C8B">
      <w:pPr>
        <w:spacing w:after="0" w:line="240" w:lineRule="auto"/>
        <w:jc w:val="both"/>
        <w:rPr>
          <w:rFonts w:eastAsia="Times New Roman" w:cstheme="minorHAnsi"/>
          <w:sz w:val="20"/>
          <w:szCs w:val="20"/>
          <w:lang w:eastAsia="fr-FR"/>
        </w:rPr>
      </w:pPr>
      <w:r>
        <w:rPr>
          <w:rFonts w:eastAsia="Times New Roman" w:cstheme="minorHAnsi"/>
          <w:sz w:val="20"/>
          <w:szCs w:val="20"/>
          <w:lang w:eastAsia="fr-FR"/>
        </w:rPr>
        <w:t>Source : FAO et al. « Module</w:t>
      </w:r>
      <w:r w:rsidRPr="007647D1">
        <w:rPr>
          <w:rFonts w:eastAsia="Times New Roman" w:cstheme="minorHAnsi"/>
          <w:sz w:val="20"/>
          <w:szCs w:val="20"/>
          <w:lang w:eastAsia="fr-FR"/>
        </w:rPr>
        <w:t xml:space="preserve"> 8.2: indices</w:t>
      </w:r>
      <w:r>
        <w:rPr>
          <w:rFonts w:eastAsia="Times New Roman" w:cstheme="minorHAnsi"/>
          <w:sz w:val="20"/>
          <w:szCs w:val="20"/>
          <w:lang w:eastAsia="fr-FR"/>
        </w:rPr>
        <w:t xml:space="preserve"> </w:t>
      </w:r>
      <w:r w:rsidRPr="007647D1">
        <w:rPr>
          <w:rFonts w:eastAsia="Times New Roman" w:cstheme="minorHAnsi"/>
          <w:sz w:val="20"/>
          <w:szCs w:val="20"/>
          <w:lang w:eastAsia="fr-FR"/>
        </w:rPr>
        <w:t>de vulnérabilité</w:t>
      </w:r>
      <w:r>
        <w:rPr>
          <w:rFonts w:eastAsia="Times New Roman" w:cstheme="minorHAnsi"/>
          <w:sz w:val="20"/>
          <w:szCs w:val="20"/>
          <w:lang w:eastAsia="fr-FR"/>
        </w:rPr>
        <w:t> »</w:t>
      </w:r>
    </w:p>
    <w:p w14:paraId="739EAB1E" w14:textId="77777777" w:rsidR="00BC6C8B" w:rsidRDefault="00BC6C8B" w:rsidP="00BC6C8B">
      <w:pPr>
        <w:spacing w:after="0" w:line="240" w:lineRule="auto"/>
        <w:jc w:val="both"/>
        <w:rPr>
          <w:rFonts w:eastAsia="Times New Roman" w:cstheme="minorHAnsi"/>
          <w:sz w:val="20"/>
          <w:szCs w:val="20"/>
          <w:lang w:eastAsia="fr-FR"/>
        </w:rPr>
      </w:pPr>
    </w:p>
    <w:p w14:paraId="29178BF8" w14:textId="77777777" w:rsidR="00BC6C8B" w:rsidRPr="00C8081F" w:rsidRDefault="00BC6C8B" w:rsidP="00BC6C8B">
      <w:pPr>
        <w:pStyle w:val="Lgende"/>
        <w:rPr>
          <w:rFonts w:eastAsia="Times New Roman" w:cstheme="minorHAnsi"/>
          <w:i w:val="0"/>
          <w:iCs w:val="0"/>
          <w:color w:val="auto"/>
          <w:sz w:val="28"/>
          <w:szCs w:val="28"/>
          <w:lang w:eastAsia="fr-FR"/>
        </w:rPr>
      </w:pPr>
      <w:bookmarkStart w:id="454" w:name="_Toc177218800"/>
      <w:r w:rsidRPr="00C8081F">
        <w:rPr>
          <w:b/>
          <w:bCs/>
          <w:i w:val="0"/>
          <w:iCs w:val="0"/>
          <w:color w:val="auto"/>
          <w:sz w:val="24"/>
          <w:szCs w:val="24"/>
        </w:rPr>
        <w:t xml:space="preserve">Tableau </w:t>
      </w:r>
      <w:r w:rsidRPr="00C8081F">
        <w:rPr>
          <w:b/>
          <w:bCs/>
          <w:i w:val="0"/>
          <w:iCs w:val="0"/>
          <w:color w:val="auto"/>
          <w:sz w:val="24"/>
          <w:szCs w:val="24"/>
        </w:rPr>
        <w:fldChar w:fldCharType="begin"/>
      </w:r>
      <w:r w:rsidRPr="00C8081F">
        <w:rPr>
          <w:b/>
          <w:bCs/>
          <w:i w:val="0"/>
          <w:iCs w:val="0"/>
          <w:color w:val="auto"/>
          <w:sz w:val="24"/>
          <w:szCs w:val="24"/>
        </w:rPr>
        <w:instrText xml:space="preserve"> SEQ Tableau \* ARABIC </w:instrText>
      </w:r>
      <w:r w:rsidRPr="00C8081F">
        <w:rPr>
          <w:b/>
          <w:bCs/>
          <w:i w:val="0"/>
          <w:iCs w:val="0"/>
          <w:color w:val="auto"/>
          <w:sz w:val="24"/>
          <w:szCs w:val="24"/>
        </w:rPr>
        <w:fldChar w:fldCharType="separate"/>
      </w:r>
      <w:r>
        <w:rPr>
          <w:b/>
          <w:bCs/>
          <w:i w:val="0"/>
          <w:iCs w:val="0"/>
          <w:noProof/>
          <w:color w:val="auto"/>
          <w:sz w:val="24"/>
          <w:szCs w:val="24"/>
        </w:rPr>
        <w:t>3</w:t>
      </w:r>
      <w:r w:rsidRPr="00C8081F">
        <w:rPr>
          <w:b/>
          <w:bCs/>
          <w:i w:val="0"/>
          <w:iCs w:val="0"/>
          <w:color w:val="auto"/>
          <w:sz w:val="24"/>
          <w:szCs w:val="24"/>
        </w:rPr>
        <w:fldChar w:fldCharType="end"/>
      </w:r>
      <w:r w:rsidRPr="00C8081F">
        <w:rPr>
          <w:i w:val="0"/>
          <w:iCs w:val="0"/>
          <w:color w:val="auto"/>
          <w:sz w:val="24"/>
          <w:szCs w:val="24"/>
        </w:rPr>
        <w:t>:</w:t>
      </w:r>
      <w:r w:rsidRPr="00275D3E">
        <w:rPr>
          <w:b/>
          <w:bCs/>
          <w:i w:val="0"/>
          <w:iCs w:val="0"/>
          <w:color w:val="800000"/>
          <w:sz w:val="24"/>
          <w:szCs w:val="24"/>
        </w:rPr>
        <w:t>Composants et indicateurs des indices de la vulnérabilité</w:t>
      </w:r>
      <w:bookmarkEnd w:id="454"/>
    </w:p>
    <w:p w14:paraId="07617C7E" w14:textId="77777777" w:rsidR="00BC6C8B" w:rsidRPr="007647D1" w:rsidRDefault="00BC6C8B" w:rsidP="00BC6C8B">
      <w:pPr>
        <w:spacing w:after="0" w:line="240" w:lineRule="auto"/>
        <w:jc w:val="both"/>
        <w:rPr>
          <w:rFonts w:eastAsia="Times New Roman" w:cstheme="minorHAnsi"/>
          <w:sz w:val="20"/>
          <w:szCs w:val="20"/>
          <w:lang w:eastAsia="fr-FR"/>
        </w:rPr>
      </w:pPr>
    </w:p>
    <w:tbl>
      <w:tblPr>
        <w:tblStyle w:val="Grilledutableau"/>
        <w:tblW w:w="0" w:type="auto"/>
        <w:tblLook w:val="04A0" w:firstRow="1" w:lastRow="0" w:firstColumn="1" w:lastColumn="0" w:noHBand="0" w:noVBand="1"/>
      </w:tblPr>
      <w:tblGrid>
        <w:gridCol w:w="1813"/>
        <w:gridCol w:w="1797"/>
        <w:gridCol w:w="2199"/>
        <w:gridCol w:w="1132"/>
        <w:gridCol w:w="1522"/>
        <w:gridCol w:w="7"/>
      </w:tblGrid>
      <w:tr w:rsidR="00BC6C8B" w14:paraId="2CB990D5" w14:textId="77777777" w:rsidTr="00EE0E23">
        <w:tc>
          <w:tcPr>
            <w:tcW w:w="1813" w:type="dxa"/>
          </w:tcPr>
          <w:p w14:paraId="41F1A79E" w14:textId="77777777" w:rsidR="00BC6C8B" w:rsidRPr="00D87781" w:rsidRDefault="00BC6C8B" w:rsidP="00EE0E23">
            <w:pPr>
              <w:jc w:val="both"/>
              <w:rPr>
                <w:rFonts w:eastAsia="Times New Roman" w:cstheme="minorHAnsi"/>
                <w:b/>
                <w:bCs/>
                <w:sz w:val="20"/>
                <w:szCs w:val="20"/>
                <w:lang w:eastAsia="fr-FR"/>
              </w:rPr>
            </w:pPr>
            <w:r w:rsidRPr="00D87781">
              <w:rPr>
                <w:rFonts w:eastAsia="Times New Roman" w:cstheme="minorHAnsi"/>
                <w:b/>
                <w:bCs/>
                <w:sz w:val="20"/>
                <w:szCs w:val="20"/>
                <w:lang w:eastAsia="fr-FR"/>
              </w:rPr>
              <w:t>Composant</w:t>
            </w:r>
          </w:p>
        </w:tc>
        <w:tc>
          <w:tcPr>
            <w:tcW w:w="6657" w:type="dxa"/>
            <w:gridSpan w:val="5"/>
          </w:tcPr>
          <w:p w14:paraId="6EB83AED" w14:textId="77777777" w:rsidR="00BC6C8B" w:rsidRDefault="00BC6C8B" w:rsidP="00EE0E23">
            <w:pPr>
              <w:jc w:val="center"/>
              <w:rPr>
                <w:rFonts w:ascii="Times New Roman" w:eastAsia="Times New Roman" w:hAnsi="Times New Roman" w:cs="Times New Roman"/>
                <w:sz w:val="24"/>
                <w:szCs w:val="24"/>
                <w:lang w:eastAsia="fr-FR"/>
              </w:rPr>
            </w:pPr>
            <w:r w:rsidRPr="00D87781">
              <w:rPr>
                <w:rFonts w:eastAsia="Times New Roman" w:cstheme="minorHAnsi"/>
                <w:b/>
                <w:bCs/>
                <w:sz w:val="20"/>
                <w:szCs w:val="20"/>
                <w:lang w:eastAsia="fr-FR"/>
              </w:rPr>
              <w:t>Indicateurs</w:t>
            </w:r>
          </w:p>
        </w:tc>
      </w:tr>
      <w:tr w:rsidR="00BC6C8B" w14:paraId="1A2C3508" w14:textId="77777777" w:rsidTr="00EE0E23">
        <w:tc>
          <w:tcPr>
            <w:tcW w:w="1813" w:type="dxa"/>
          </w:tcPr>
          <w:p w14:paraId="65F6033C" w14:textId="77777777" w:rsidR="00BC6C8B" w:rsidRPr="00D87781" w:rsidRDefault="00BC6C8B" w:rsidP="00EE0E23">
            <w:pPr>
              <w:jc w:val="both"/>
              <w:rPr>
                <w:rFonts w:eastAsia="Times New Roman" w:cstheme="minorHAnsi"/>
                <w:sz w:val="20"/>
                <w:szCs w:val="20"/>
                <w:lang w:eastAsia="fr-FR"/>
              </w:rPr>
            </w:pPr>
            <w:r w:rsidRPr="00D87781">
              <w:rPr>
                <w:rFonts w:eastAsia="Times New Roman" w:cstheme="minorHAnsi"/>
                <w:sz w:val="20"/>
                <w:szCs w:val="20"/>
                <w:lang w:eastAsia="fr-FR"/>
              </w:rPr>
              <w:t>Préparation</w:t>
            </w:r>
          </w:p>
          <w:p w14:paraId="29E6F60E" w14:textId="77777777" w:rsidR="00BC6C8B" w:rsidRPr="00D87781" w:rsidRDefault="00BC6C8B" w:rsidP="00EE0E23">
            <w:pPr>
              <w:jc w:val="both"/>
              <w:rPr>
                <w:rFonts w:eastAsia="Times New Roman" w:cstheme="minorHAnsi"/>
                <w:sz w:val="20"/>
                <w:szCs w:val="20"/>
                <w:lang w:eastAsia="fr-FR"/>
              </w:rPr>
            </w:pPr>
            <w:r w:rsidRPr="00D87781">
              <w:rPr>
                <w:rFonts w:eastAsia="Times New Roman" w:cstheme="minorHAnsi"/>
                <w:sz w:val="20"/>
                <w:szCs w:val="20"/>
                <w:lang w:eastAsia="fr-FR"/>
              </w:rPr>
              <w:t>Économique</w:t>
            </w:r>
          </w:p>
        </w:tc>
        <w:tc>
          <w:tcPr>
            <w:tcW w:w="6657" w:type="dxa"/>
            <w:gridSpan w:val="5"/>
          </w:tcPr>
          <w:p w14:paraId="1C7A4816" w14:textId="77777777" w:rsidR="00BC6C8B" w:rsidRDefault="00BC6C8B" w:rsidP="00EE0E23">
            <w:pPr>
              <w:jc w:val="center"/>
              <w:rPr>
                <w:rFonts w:ascii="Times New Roman" w:eastAsia="Times New Roman" w:hAnsi="Times New Roman" w:cs="Times New Roman"/>
                <w:sz w:val="24"/>
                <w:szCs w:val="24"/>
                <w:lang w:eastAsia="fr-FR"/>
              </w:rPr>
            </w:pPr>
            <w:r w:rsidRPr="00D87781">
              <w:rPr>
                <w:rFonts w:eastAsia="Times New Roman" w:cstheme="minorHAnsi"/>
                <w:sz w:val="20"/>
                <w:szCs w:val="20"/>
                <w:lang w:eastAsia="fr-FR"/>
              </w:rPr>
              <w:t>Affaires et business</w:t>
            </w:r>
          </w:p>
        </w:tc>
      </w:tr>
      <w:tr w:rsidR="00BC6C8B" w14:paraId="25D2B556" w14:textId="77777777" w:rsidTr="00EE0E23">
        <w:trPr>
          <w:gridAfter w:val="1"/>
          <w:wAfter w:w="7" w:type="dxa"/>
        </w:trPr>
        <w:tc>
          <w:tcPr>
            <w:tcW w:w="1813" w:type="dxa"/>
          </w:tcPr>
          <w:p w14:paraId="2CFB40DC" w14:textId="77777777" w:rsidR="00BC6C8B" w:rsidRPr="00D87781" w:rsidRDefault="00BC6C8B" w:rsidP="00EE0E23">
            <w:pPr>
              <w:jc w:val="both"/>
              <w:rPr>
                <w:rFonts w:eastAsia="Times New Roman" w:cstheme="minorHAnsi"/>
                <w:sz w:val="20"/>
                <w:szCs w:val="20"/>
                <w:lang w:eastAsia="fr-FR"/>
              </w:rPr>
            </w:pPr>
            <w:r w:rsidRPr="00D87781">
              <w:rPr>
                <w:rFonts w:eastAsia="Times New Roman" w:cstheme="minorHAnsi"/>
                <w:sz w:val="20"/>
                <w:szCs w:val="20"/>
                <w:lang w:eastAsia="fr-FR"/>
              </w:rPr>
              <w:t>Préparation</w:t>
            </w:r>
            <w:r>
              <w:rPr>
                <w:rFonts w:eastAsia="Times New Roman" w:cstheme="minorHAnsi"/>
                <w:sz w:val="20"/>
                <w:szCs w:val="20"/>
                <w:lang w:eastAsia="fr-FR"/>
              </w:rPr>
              <w:t xml:space="preserve"> </w:t>
            </w:r>
            <w:r w:rsidRPr="00D87781">
              <w:rPr>
                <w:rFonts w:eastAsia="Times New Roman" w:cstheme="minorHAnsi"/>
                <w:sz w:val="20"/>
                <w:szCs w:val="20"/>
                <w:lang w:eastAsia="fr-FR"/>
              </w:rPr>
              <w:t>à la gouvernance</w:t>
            </w:r>
          </w:p>
        </w:tc>
        <w:tc>
          <w:tcPr>
            <w:tcW w:w="1797" w:type="dxa"/>
          </w:tcPr>
          <w:p w14:paraId="3DF4004E" w14:textId="77777777" w:rsidR="00BC6C8B" w:rsidRPr="00D87781" w:rsidRDefault="00BC6C8B" w:rsidP="00EE0E23">
            <w:pPr>
              <w:ind w:right="-176" w:hanging="87"/>
              <w:jc w:val="both"/>
              <w:rPr>
                <w:rFonts w:eastAsia="Times New Roman" w:cstheme="minorHAnsi"/>
                <w:sz w:val="20"/>
                <w:szCs w:val="20"/>
                <w:lang w:eastAsia="fr-FR"/>
              </w:rPr>
            </w:pPr>
            <w:r w:rsidRPr="00D87781">
              <w:rPr>
                <w:rFonts w:eastAsia="Times New Roman" w:cstheme="minorHAnsi"/>
                <w:sz w:val="20"/>
                <w:szCs w:val="20"/>
                <w:lang w:eastAsia="fr-FR"/>
              </w:rPr>
              <w:t>Stabilité politique</w:t>
            </w:r>
            <w:r>
              <w:rPr>
                <w:rFonts w:eastAsia="Times New Roman" w:cstheme="minorHAnsi"/>
                <w:sz w:val="20"/>
                <w:szCs w:val="20"/>
                <w:lang w:eastAsia="fr-FR"/>
              </w:rPr>
              <w:t xml:space="preserve"> </w:t>
            </w:r>
            <w:r w:rsidRPr="00D87781">
              <w:rPr>
                <w:rFonts w:eastAsia="Times New Roman" w:cstheme="minorHAnsi"/>
                <w:sz w:val="20"/>
                <w:szCs w:val="20"/>
                <w:lang w:eastAsia="fr-FR"/>
              </w:rPr>
              <w:t>et absence</w:t>
            </w:r>
            <w:r>
              <w:rPr>
                <w:rFonts w:eastAsia="Times New Roman" w:cstheme="minorHAnsi"/>
                <w:sz w:val="20"/>
                <w:szCs w:val="20"/>
                <w:lang w:eastAsia="fr-FR"/>
              </w:rPr>
              <w:t xml:space="preserve"> </w:t>
            </w:r>
            <w:r w:rsidRPr="00D87781">
              <w:rPr>
                <w:rFonts w:eastAsia="Times New Roman" w:cstheme="minorHAnsi"/>
                <w:sz w:val="20"/>
                <w:szCs w:val="20"/>
                <w:lang w:eastAsia="fr-FR"/>
              </w:rPr>
              <w:t>de violence</w:t>
            </w:r>
          </w:p>
        </w:tc>
        <w:tc>
          <w:tcPr>
            <w:tcW w:w="2199" w:type="dxa"/>
          </w:tcPr>
          <w:p w14:paraId="54BC75A5" w14:textId="77777777" w:rsidR="00BC6C8B" w:rsidRPr="00D87781" w:rsidRDefault="00BC6C8B" w:rsidP="00EE0E23">
            <w:pPr>
              <w:ind w:right="-102"/>
              <w:rPr>
                <w:rFonts w:eastAsia="Times New Roman" w:cstheme="minorHAnsi"/>
                <w:sz w:val="20"/>
                <w:szCs w:val="20"/>
                <w:lang w:eastAsia="fr-FR"/>
              </w:rPr>
            </w:pPr>
            <w:r w:rsidRPr="00D87781">
              <w:rPr>
                <w:rFonts w:eastAsia="Times New Roman" w:cstheme="minorHAnsi"/>
                <w:sz w:val="20"/>
                <w:szCs w:val="20"/>
                <w:lang w:eastAsia="fr-FR"/>
              </w:rPr>
              <w:t>Contrôle</w:t>
            </w:r>
            <w:r>
              <w:rPr>
                <w:rFonts w:eastAsia="Times New Roman" w:cstheme="minorHAnsi"/>
                <w:sz w:val="20"/>
                <w:szCs w:val="20"/>
                <w:lang w:eastAsia="fr-FR"/>
              </w:rPr>
              <w:t xml:space="preserve"> </w:t>
            </w:r>
            <w:r w:rsidRPr="00D87781">
              <w:rPr>
                <w:rFonts w:eastAsia="Times New Roman" w:cstheme="minorHAnsi"/>
                <w:sz w:val="20"/>
                <w:szCs w:val="20"/>
                <w:lang w:eastAsia="fr-FR"/>
              </w:rPr>
              <w:t>de la corruption</w:t>
            </w:r>
          </w:p>
        </w:tc>
        <w:tc>
          <w:tcPr>
            <w:tcW w:w="1132" w:type="dxa"/>
          </w:tcPr>
          <w:p w14:paraId="5CFA1574" w14:textId="77777777" w:rsidR="00BC6C8B" w:rsidRPr="00BC47E0" w:rsidRDefault="00BC6C8B" w:rsidP="00EE0E23">
            <w:pPr>
              <w:ind w:right="-216"/>
              <w:rPr>
                <w:rFonts w:eastAsia="Times New Roman" w:cstheme="minorHAnsi"/>
                <w:sz w:val="20"/>
                <w:szCs w:val="20"/>
                <w:lang w:eastAsia="fr-FR"/>
              </w:rPr>
            </w:pPr>
            <w:r w:rsidRPr="00BC47E0">
              <w:rPr>
                <w:rFonts w:eastAsia="Times New Roman" w:cstheme="minorHAnsi"/>
                <w:sz w:val="20"/>
                <w:szCs w:val="20"/>
                <w:lang w:eastAsia="fr-FR"/>
              </w:rPr>
              <w:t>Etat de droit</w:t>
            </w:r>
          </w:p>
        </w:tc>
        <w:tc>
          <w:tcPr>
            <w:tcW w:w="1522" w:type="dxa"/>
          </w:tcPr>
          <w:p w14:paraId="0115ED2B" w14:textId="77777777" w:rsidR="00BC6C8B" w:rsidRPr="00BC47E0" w:rsidRDefault="00BC6C8B" w:rsidP="00EE0E23">
            <w:pPr>
              <w:jc w:val="both"/>
              <w:rPr>
                <w:rFonts w:eastAsia="Times New Roman" w:cstheme="minorHAnsi"/>
                <w:sz w:val="20"/>
                <w:szCs w:val="20"/>
                <w:lang w:eastAsia="fr-FR"/>
              </w:rPr>
            </w:pPr>
            <w:r w:rsidRPr="00BC47E0">
              <w:rPr>
                <w:rFonts w:eastAsia="Times New Roman" w:cstheme="minorHAnsi"/>
                <w:sz w:val="20"/>
                <w:szCs w:val="20"/>
                <w:lang w:eastAsia="fr-FR"/>
              </w:rPr>
              <w:t>Qualité de la</w:t>
            </w:r>
          </w:p>
          <w:p w14:paraId="41383EEC" w14:textId="77777777" w:rsidR="00BC6C8B" w:rsidRDefault="00BC6C8B" w:rsidP="00EE0E23">
            <w:pPr>
              <w:jc w:val="both"/>
              <w:rPr>
                <w:rFonts w:ascii="Times New Roman" w:eastAsia="Times New Roman" w:hAnsi="Times New Roman" w:cs="Times New Roman"/>
                <w:sz w:val="24"/>
                <w:szCs w:val="24"/>
                <w:lang w:eastAsia="fr-FR"/>
              </w:rPr>
            </w:pPr>
            <w:r w:rsidRPr="00BC47E0">
              <w:rPr>
                <w:rFonts w:eastAsia="Times New Roman" w:cstheme="minorHAnsi"/>
                <w:sz w:val="20"/>
                <w:szCs w:val="20"/>
                <w:lang w:eastAsia="fr-FR"/>
              </w:rPr>
              <w:t>Réglementation</w:t>
            </w:r>
          </w:p>
        </w:tc>
      </w:tr>
      <w:tr w:rsidR="00BC6C8B" w14:paraId="1B01674C" w14:textId="77777777" w:rsidTr="00EE0E23">
        <w:trPr>
          <w:gridAfter w:val="1"/>
          <w:wAfter w:w="7" w:type="dxa"/>
        </w:trPr>
        <w:tc>
          <w:tcPr>
            <w:tcW w:w="1813" w:type="dxa"/>
          </w:tcPr>
          <w:p w14:paraId="1F835BC4" w14:textId="77777777" w:rsidR="00BC6C8B" w:rsidRPr="00D87781" w:rsidRDefault="00BC6C8B" w:rsidP="00EE0E23">
            <w:pPr>
              <w:jc w:val="both"/>
              <w:rPr>
                <w:rFonts w:eastAsia="Times New Roman" w:cstheme="minorHAnsi"/>
                <w:sz w:val="20"/>
                <w:szCs w:val="20"/>
                <w:lang w:eastAsia="fr-FR"/>
              </w:rPr>
            </w:pPr>
            <w:r w:rsidRPr="00D87781">
              <w:rPr>
                <w:rFonts w:eastAsia="Times New Roman" w:cstheme="minorHAnsi"/>
                <w:sz w:val="20"/>
                <w:szCs w:val="20"/>
                <w:lang w:eastAsia="fr-FR"/>
              </w:rPr>
              <w:t>Préparation</w:t>
            </w:r>
            <w:r>
              <w:rPr>
                <w:rFonts w:eastAsia="Times New Roman" w:cstheme="minorHAnsi"/>
                <w:sz w:val="20"/>
                <w:szCs w:val="20"/>
                <w:lang w:eastAsia="fr-FR"/>
              </w:rPr>
              <w:t xml:space="preserve"> </w:t>
            </w:r>
            <w:r w:rsidRPr="00D87781">
              <w:rPr>
                <w:rFonts w:eastAsia="Times New Roman" w:cstheme="minorHAnsi"/>
                <w:sz w:val="20"/>
                <w:szCs w:val="20"/>
                <w:lang w:eastAsia="fr-FR"/>
              </w:rPr>
              <w:t>sociale</w:t>
            </w:r>
          </w:p>
        </w:tc>
        <w:tc>
          <w:tcPr>
            <w:tcW w:w="1797" w:type="dxa"/>
          </w:tcPr>
          <w:p w14:paraId="0D643889" w14:textId="77777777" w:rsidR="00BC6C8B" w:rsidRDefault="00BC6C8B" w:rsidP="00EE0E23">
            <w:pPr>
              <w:jc w:val="both"/>
              <w:rPr>
                <w:rFonts w:ascii="Times New Roman" w:eastAsia="Times New Roman" w:hAnsi="Times New Roman" w:cs="Times New Roman"/>
                <w:sz w:val="24"/>
                <w:szCs w:val="24"/>
                <w:lang w:eastAsia="fr-FR"/>
              </w:rPr>
            </w:pPr>
            <w:r w:rsidRPr="00D87781">
              <w:rPr>
                <w:rFonts w:eastAsia="Times New Roman" w:cstheme="minorHAnsi"/>
                <w:sz w:val="20"/>
                <w:szCs w:val="20"/>
                <w:lang w:eastAsia="fr-FR"/>
              </w:rPr>
              <w:t>Inégalité sociale</w:t>
            </w:r>
          </w:p>
        </w:tc>
        <w:tc>
          <w:tcPr>
            <w:tcW w:w="2199" w:type="dxa"/>
          </w:tcPr>
          <w:p w14:paraId="58D99A70" w14:textId="77777777" w:rsidR="00BC6C8B" w:rsidRPr="00B712E0" w:rsidRDefault="00BC6C8B" w:rsidP="00EE0E23">
            <w:pPr>
              <w:jc w:val="both"/>
              <w:rPr>
                <w:rFonts w:eastAsia="Times New Roman" w:cstheme="minorHAnsi"/>
                <w:sz w:val="20"/>
                <w:szCs w:val="20"/>
                <w:lang w:eastAsia="fr-FR"/>
              </w:rPr>
            </w:pPr>
            <w:r>
              <w:rPr>
                <w:rFonts w:eastAsia="Times New Roman" w:cstheme="minorHAnsi"/>
                <w:sz w:val="20"/>
                <w:szCs w:val="20"/>
                <w:lang w:eastAsia="fr-FR"/>
              </w:rPr>
              <w:t xml:space="preserve">Infrastructure </w:t>
            </w:r>
            <w:r w:rsidRPr="00D87781">
              <w:rPr>
                <w:rFonts w:eastAsia="Times New Roman" w:cstheme="minorHAnsi"/>
                <w:sz w:val="20"/>
                <w:szCs w:val="20"/>
                <w:lang w:eastAsia="fr-FR"/>
              </w:rPr>
              <w:t>des T</w:t>
            </w:r>
            <w:r>
              <w:rPr>
                <w:rFonts w:eastAsia="Times New Roman" w:cstheme="minorHAnsi"/>
                <w:sz w:val="20"/>
                <w:szCs w:val="20"/>
                <w:lang w:eastAsia="fr-FR"/>
              </w:rPr>
              <w:t>echnologies de l’Information et de la Communication (T</w:t>
            </w:r>
            <w:r w:rsidRPr="00D87781">
              <w:rPr>
                <w:rFonts w:eastAsia="Times New Roman" w:cstheme="minorHAnsi"/>
                <w:sz w:val="20"/>
                <w:szCs w:val="20"/>
                <w:lang w:eastAsia="fr-FR"/>
              </w:rPr>
              <w:t>ic</w:t>
            </w:r>
            <w:r>
              <w:rPr>
                <w:rFonts w:eastAsia="Times New Roman" w:cstheme="minorHAnsi"/>
                <w:sz w:val="20"/>
                <w:szCs w:val="20"/>
                <w:lang w:eastAsia="fr-FR"/>
              </w:rPr>
              <w:t>s)</w:t>
            </w:r>
          </w:p>
        </w:tc>
        <w:tc>
          <w:tcPr>
            <w:tcW w:w="1132" w:type="dxa"/>
          </w:tcPr>
          <w:p w14:paraId="2F069D25" w14:textId="77777777" w:rsidR="00BC6C8B" w:rsidRDefault="00BC6C8B" w:rsidP="00EE0E23">
            <w:pPr>
              <w:jc w:val="both"/>
              <w:rPr>
                <w:rFonts w:ascii="Times New Roman" w:eastAsia="Times New Roman" w:hAnsi="Times New Roman" w:cs="Times New Roman"/>
                <w:sz w:val="24"/>
                <w:szCs w:val="24"/>
                <w:lang w:eastAsia="fr-FR"/>
              </w:rPr>
            </w:pPr>
            <w:r w:rsidRPr="00BC47E0">
              <w:rPr>
                <w:rFonts w:eastAsia="Times New Roman" w:cstheme="minorHAnsi"/>
                <w:sz w:val="20"/>
                <w:szCs w:val="20"/>
                <w:lang w:eastAsia="fr-FR"/>
              </w:rPr>
              <w:t>Education</w:t>
            </w:r>
          </w:p>
        </w:tc>
        <w:tc>
          <w:tcPr>
            <w:tcW w:w="1522" w:type="dxa"/>
          </w:tcPr>
          <w:p w14:paraId="2BC761D8" w14:textId="77777777" w:rsidR="00BC6C8B" w:rsidRDefault="00BC6C8B" w:rsidP="00EE0E23">
            <w:pPr>
              <w:jc w:val="both"/>
              <w:rPr>
                <w:rFonts w:ascii="Times New Roman" w:eastAsia="Times New Roman" w:hAnsi="Times New Roman" w:cs="Times New Roman"/>
                <w:sz w:val="24"/>
                <w:szCs w:val="24"/>
                <w:lang w:eastAsia="fr-FR"/>
              </w:rPr>
            </w:pPr>
            <w:r w:rsidRPr="00BC47E0">
              <w:rPr>
                <w:rFonts w:eastAsia="Times New Roman" w:cstheme="minorHAnsi"/>
                <w:sz w:val="20"/>
                <w:szCs w:val="20"/>
                <w:lang w:eastAsia="fr-FR"/>
              </w:rPr>
              <w:t>Innovation</w:t>
            </w:r>
          </w:p>
        </w:tc>
      </w:tr>
    </w:tbl>
    <w:p w14:paraId="1FE4A18F" w14:textId="77777777" w:rsidR="00BC6C8B" w:rsidRDefault="00BC6C8B" w:rsidP="00BC6C8B">
      <w:pPr>
        <w:spacing w:after="0" w:line="240" w:lineRule="auto"/>
        <w:jc w:val="both"/>
        <w:rPr>
          <w:rFonts w:eastAsia="Times New Roman" w:cstheme="minorHAnsi"/>
          <w:sz w:val="20"/>
          <w:szCs w:val="20"/>
          <w:lang w:eastAsia="fr-FR"/>
        </w:rPr>
      </w:pPr>
      <w:r>
        <w:rPr>
          <w:rFonts w:eastAsia="Times New Roman" w:cstheme="minorHAnsi"/>
          <w:sz w:val="20"/>
          <w:szCs w:val="20"/>
          <w:lang w:eastAsia="fr-FR"/>
        </w:rPr>
        <w:t>Source : FAO et al. « Module</w:t>
      </w:r>
      <w:r w:rsidRPr="007647D1">
        <w:rPr>
          <w:rFonts w:eastAsia="Times New Roman" w:cstheme="minorHAnsi"/>
          <w:sz w:val="20"/>
          <w:szCs w:val="20"/>
          <w:lang w:eastAsia="fr-FR"/>
        </w:rPr>
        <w:t xml:space="preserve"> 8.2: indices</w:t>
      </w:r>
      <w:r>
        <w:rPr>
          <w:rFonts w:eastAsia="Times New Roman" w:cstheme="minorHAnsi"/>
          <w:sz w:val="20"/>
          <w:szCs w:val="20"/>
          <w:lang w:eastAsia="fr-FR"/>
        </w:rPr>
        <w:t xml:space="preserve"> </w:t>
      </w:r>
      <w:r w:rsidRPr="007647D1">
        <w:rPr>
          <w:rFonts w:eastAsia="Times New Roman" w:cstheme="minorHAnsi"/>
          <w:sz w:val="20"/>
          <w:szCs w:val="20"/>
          <w:lang w:eastAsia="fr-FR"/>
        </w:rPr>
        <w:t>de vulnérabilité</w:t>
      </w:r>
      <w:r>
        <w:rPr>
          <w:rFonts w:eastAsia="Times New Roman" w:cstheme="minorHAnsi"/>
          <w:sz w:val="20"/>
          <w:szCs w:val="20"/>
          <w:lang w:eastAsia="fr-FR"/>
        </w:rPr>
        <w:t> »</w:t>
      </w:r>
    </w:p>
    <w:p w14:paraId="2116A159" w14:textId="77777777" w:rsidR="00BC6C8B" w:rsidRDefault="00BC6C8B" w:rsidP="00BC6C8B">
      <w:pPr>
        <w:spacing w:after="0" w:line="240" w:lineRule="auto"/>
        <w:jc w:val="both"/>
        <w:rPr>
          <w:rFonts w:eastAsia="Times New Roman" w:cstheme="minorHAnsi"/>
          <w:sz w:val="20"/>
          <w:szCs w:val="20"/>
          <w:lang w:eastAsia="fr-FR"/>
        </w:rPr>
      </w:pPr>
    </w:p>
    <w:p w14:paraId="7C38A839" w14:textId="77777777" w:rsidR="00BC6C8B" w:rsidRPr="006E6581" w:rsidRDefault="00BC6C8B" w:rsidP="00BC6C8B">
      <w:pPr>
        <w:pStyle w:val="Paragraphedeliste"/>
        <w:numPr>
          <w:ilvl w:val="0"/>
          <w:numId w:val="149"/>
        </w:numPr>
        <w:suppressAutoHyphens/>
        <w:autoSpaceDN w:val="0"/>
        <w:spacing w:line="240" w:lineRule="auto"/>
        <w:jc w:val="both"/>
        <w:textAlignment w:val="baseline"/>
        <w:rPr>
          <w:rFonts w:cstheme="minorHAnsi"/>
        </w:rPr>
      </w:pPr>
      <w:r w:rsidRPr="006E6581">
        <w:rPr>
          <w:rFonts w:cstheme="minorHAnsi"/>
        </w:rPr>
        <w:t>Indice mondial de risque climatique de German Watch (IRC)</w:t>
      </w:r>
    </w:p>
    <w:p w14:paraId="249A8B32" w14:textId="77777777" w:rsidR="00BC6C8B" w:rsidRPr="00BC47E0" w:rsidRDefault="00BC6C8B" w:rsidP="00BC6C8B">
      <w:pPr>
        <w:ind w:left="426"/>
        <w:jc w:val="both"/>
        <w:rPr>
          <w:rFonts w:cstheme="minorHAnsi"/>
        </w:rPr>
      </w:pPr>
      <w:r w:rsidRPr="00BC47E0">
        <w:rPr>
          <w:rFonts w:cstheme="minorHAnsi"/>
        </w:rPr>
        <w:t>L'indice mesure les impacts des événements météorologiques et des événements climatologiques à la fois en termes de pertes économiques directes et de décès.</w:t>
      </w:r>
    </w:p>
    <w:p w14:paraId="57DAB3A3" w14:textId="77777777" w:rsidR="00BC6C8B" w:rsidRPr="00BC47E0" w:rsidRDefault="00BC6C8B" w:rsidP="00BC6C8B">
      <w:pPr>
        <w:pStyle w:val="Paragraphedeliste"/>
        <w:numPr>
          <w:ilvl w:val="0"/>
          <w:numId w:val="149"/>
        </w:numPr>
        <w:suppressAutoHyphens/>
        <w:autoSpaceDN w:val="0"/>
        <w:spacing w:line="240" w:lineRule="auto"/>
        <w:jc w:val="both"/>
        <w:textAlignment w:val="baseline"/>
        <w:rPr>
          <w:rFonts w:cstheme="minorHAnsi"/>
        </w:rPr>
      </w:pPr>
      <w:r w:rsidRPr="00BC47E0">
        <w:rPr>
          <w:rFonts w:cstheme="minorHAnsi"/>
        </w:rPr>
        <w:t>L'IRC est calculé comme un classement moyen des pays dans quatre catégories :</w:t>
      </w:r>
    </w:p>
    <w:p w14:paraId="7C2A5013" w14:textId="77777777" w:rsidR="00BC6C8B" w:rsidRPr="00BC47E0" w:rsidRDefault="00BC6C8B" w:rsidP="00BC6C8B">
      <w:pPr>
        <w:pStyle w:val="Paragraphedeliste"/>
        <w:numPr>
          <w:ilvl w:val="0"/>
          <w:numId w:val="149"/>
        </w:numPr>
        <w:suppressAutoHyphens/>
        <w:autoSpaceDN w:val="0"/>
        <w:spacing w:line="240" w:lineRule="auto"/>
        <w:ind w:left="709"/>
        <w:jc w:val="both"/>
        <w:textAlignment w:val="baseline"/>
        <w:rPr>
          <w:rFonts w:cstheme="minorHAnsi"/>
        </w:rPr>
      </w:pPr>
      <w:r w:rsidRPr="00BC47E0">
        <w:rPr>
          <w:rFonts w:cstheme="minorHAnsi"/>
        </w:rPr>
        <w:t>Le nombre de décès,</w:t>
      </w:r>
    </w:p>
    <w:p w14:paraId="7E4EDD43" w14:textId="77777777" w:rsidR="00BC6C8B" w:rsidRPr="00BC47E0" w:rsidRDefault="00BC6C8B" w:rsidP="00BC6C8B">
      <w:pPr>
        <w:pStyle w:val="Paragraphedeliste"/>
        <w:numPr>
          <w:ilvl w:val="0"/>
          <w:numId w:val="149"/>
        </w:numPr>
        <w:suppressAutoHyphens/>
        <w:autoSpaceDN w:val="0"/>
        <w:spacing w:line="240" w:lineRule="auto"/>
        <w:ind w:left="709"/>
        <w:jc w:val="both"/>
        <w:textAlignment w:val="baseline"/>
        <w:rPr>
          <w:rFonts w:cstheme="minorHAnsi"/>
        </w:rPr>
      </w:pPr>
      <w:r w:rsidRPr="00BC47E0">
        <w:rPr>
          <w:rFonts w:cstheme="minorHAnsi"/>
        </w:rPr>
        <w:t>Décès pour 100 000 habitants,</w:t>
      </w:r>
    </w:p>
    <w:p w14:paraId="328B56FD" w14:textId="77777777" w:rsidR="00BC6C8B" w:rsidRPr="00BC47E0" w:rsidRDefault="00BC6C8B" w:rsidP="00BC6C8B">
      <w:pPr>
        <w:pStyle w:val="Paragraphedeliste"/>
        <w:numPr>
          <w:ilvl w:val="0"/>
          <w:numId w:val="149"/>
        </w:numPr>
        <w:suppressAutoHyphens/>
        <w:autoSpaceDN w:val="0"/>
        <w:spacing w:line="240" w:lineRule="auto"/>
        <w:ind w:left="709"/>
        <w:jc w:val="both"/>
        <w:textAlignment w:val="baseline"/>
        <w:rPr>
          <w:rFonts w:cstheme="minorHAnsi"/>
        </w:rPr>
      </w:pPr>
      <w:r w:rsidRPr="00BC47E0">
        <w:rPr>
          <w:rFonts w:cstheme="minorHAnsi"/>
        </w:rPr>
        <w:t>Pertes totales en millions de dollars US,</w:t>
      </w:r>
    </w:p>
    <w:p w14:paraId="2695074C" w14:textId="77777777" w:rsidR="00BC6C8B" w:rsidRPr="00BC47E0" w:rsidRDefault="00BC6C8B" w:rsidP="00BC6C8B">
      <w:pPr>
        <w:pStyle w:val="Paragraphedeliste"/>
        <w:numPr>
          <w:ilvl w:val="0"/>
          <w:numId w:val="149"/>
        </w:numPr>
        <w:suppressAutoHyphens/>
        <w:autoSpaceDN w:val="0"/>
        <w:spacing w:line="240" w:lineRule="auto"/>
        <w:ind w:left="709"/>
        <w:jc w:val="both"/>
        <w:textAlignment w:val="baseline"/>
        <w:rPr>
          <w:rFonts w:cstheme="minorHAnsi"/>
        </w:rPr>
      </w:pPr>
      <w:r w:rsidRPr="00BC47E0">
        <w:rPr>
          <w:rFonts w:cstheme="minorHAnsi"/>
        </w:rPr>
        <w:t>Pertes par unité de PIB en %.</w:t>
      </w:r>
    </w:p>
    <w:p w14:paraId="3E45AADA" w14:textId="77777777" w:rsidR="00BC6C8B" w:rsidRPr="005F2648" w:rsidRDefault="00BC6C8B" w:rsidP="00BC6C8B">
      <w:pPr>
        <w:pStyle w:val="Paragraphedeliste"/>
        <w:numPr>
          <w:ilvl w:val="0"/>
          <w:numId w:val="149"/>
        </w:numPr>
        <w:suppressAutoHyphens/>
        <w:autoSpaceDN w:val="0"/>
        <w:spacing w:line="240" w:lineRule="auto"/>
        <w:jc w:val="both"/>
        <w:textAlignment w:val="baseline"/>
        <w:rPr>
          <w:rFonts w:cstheme="minorHAnsi"/>
        </w:rPr>
      </w:pPr>
      <w:r w:rsidRPr="005F2648">
        <w:rPr>
          <w:rFonts w:cstheme="minorHAnsi"/>
          <w:b/>
          <w:bCs/>
        </w:rPr>
        <w:t>L'indice de risque climatique</w:t>
      </w:r>
      <w:r w:rsidRPr="005F2648">
        <w:rPr>
          <w:rFonts w:cstheme="minorHAnsi"/>
        </w:rPr>
        <w:t xml:space="preserve"> à long terme mesure le degré d'exposition et est calculé sur les bases de données annuelles moyennes.</w:t>
      </w:r>
    </w:p>
    <w:p w14:paraId="11B84889" w14:textId="77777777" w:rsidR="00BC6C8B" w:rsidRDefault="00BC6C8B" w:rsidP="00BC6C8B">
      <w:pPr>
        <w:jc w:val="both"/>
        <w:rPr>
          <w:rFonts w:cstheme="minorHAnsi"/>
        </w:rPr>
      </w:pPr>
      <w:r>
        <w:rPr>
          <w:rFonts w:cstheme="minorHAnsi"/>
        </w:rPr>
        <w:t>Le rapport annuel 2023 du Programme des Nations-Unies pour le Développement (PNUD) en Mauritanie, publié en mars 2024, le bilan des Ressources Cadre de la Coopération 2018-2024 se présente comme suit :</w:t>
      </w:r>
    </w:p>
    <w:p w14:paraId="65C3735A" w14:textId="77777777" w:rsidR="00BC6C8B" w:rsidRDefault="00BC6C8B" w:rsidP="00BC6C8B">
      <w:pPr>
        <w:jc w:val="both"/>
        <w:rPr>
          <w:rFonts w:cstheme="minorHAnsi"/>
        </w:rPr>
      </w:pPr>
      <w:r w:rsidRPr="003526EE">
        <w:rPr>
          <w:b/>
          <w:bCs/>
          <w:sz w:val="24"/>
          <w:szCs w:val="24"/>
        </w:rPr>
        <w:t xml:space="preserve">Tableau </w:t>
      </w:r>
      <w:r w:rsidRPr="003526EE">
        <w:rPr>
          <w:b/>
          <w:bCs/>
          <w:sz w:val="24"/>
          <w:szCs w:val="24"/>
        </w:rPr>
        <w:fldChar w:fldCharType="begin"/>
      </w:r>
      <w:r w:rsidRPr="003526EE">
        <w:rPr>
          <w:b/>
          <w:bCs/>
          <w:sz w:val="24"/>
          <w:szCs w:val="24"/>
        </w:rPr>
        <w:instrText xml:space="preserve"> SEQ Tableau \* ARABIC </w:instrText>
      </w:r>
      <w:r w:rsidRPr="003526EE">
        <w:rPr>
          <w:b/>
          <w:bCs/>
          <w:sz w:val="24"/>
          <w:szCs w:val="24"/>
        </w:rPr>
        <w:fldChar w:fldCharType="separate"/>
      </w:r>
      <w:r>
        <w:rPr>
          <w:b/>
          <w:bCs/>
          <w:noProof/>
          <w:sz w:val="24"/>
          <w:szCs w:val="24"/>
        </w:rPr>
        <w:t>4</w:t>
      </w:r>
      <w:r w:rsidRPr="003526EE">
        <w:rPr>
          <w:b/>
          <w:bCs/>
          <w:sz w:val="24"/>
          <w:szCs w:val="24"/>
        </w:rPr>
        <w:fldChar w:fldCharType="end"/>
      </w:r>
      <w:r w:rsidRPr="003526EE">
        <w:rPr>
          <w:b/>
          <w:bCs/>
          <w:sz w:val="24"/>
          <w:szCs w:val="24"/>
        </w:rPr>
        <w:t>:</w:t>
      </w:r>
      <w:r w:rsidRPr="003526EE">
        <w:rPr>
          <w:sz w:val="24"/>
          <w:szCs w:val="24"/>
        </w:rPr>
        <w:t xml:space="preserve"> Bilan des ressources cadre de la coopération 2018-2023 en</w:t>
      </w:r>
      <w:r>
        <w:rPr>
          <w:i/>
          <w:iCs/>
          <w:sz w:val="24"/>
          <w:szCs w:val="24"/>
        </w:rPr>
        <w:t xml:space="preserve"> Mauritanie</w:t>
      </w:r>
    </w:p>
    <w:tbl>
      <w:tblPr>
        <w:tblStyle w:val="Grilledutableau"/>
        <w:tblW w:w="9039" w:type="dxa"/>
        <w:tblLayout w:type="fixed"/>
        <w:tblLook w:val="04A0" w:firstRow="1" w:lastRow="0" w:firstColumn="1" w:lastColumn="0" w:noHBand="0" w:noVBand="1"/>
      </w:tblPr>
      <w:tblGrid>
        <w:gridCol w:w="6487"/>
        <w:gridCol w:w="2552"/>
      </w:tblGrid>
      <w:tr w:rsidR="00BC6C8B" w14:paraId="7E8BBF6C" w14:textId="77777777" w:rsidTr="00EE0E23">
        <w:tc>
          <w:tcPr>
            <w:tcW w:w="6487" w:type="dxa"/>
          </w:tcPr>
          <w:p w14:paraId="162D3DC2" w14:textId="77777777" w:rsidR="00BC6C8B" w:rsidRPr="003066D9" w:rsidRDefault="00BC6C8B" w:rsidP="00EE0E23">
            <w:pPr>
              <w:jc w:val="both"/>
              <w:rPr>
                <w:rFonts w:cstheme="minorHAnsi"/>
                <w:b/>
                <w:bCs/>
                <w:sz w:val="20"/>
                <w:szCs w:val="20"/>
              </w:rPr>
            </w:pPr>
            <w:r w:rsidRPr="003066D9">
              <w:rPr>
                <w:b/>
                <w:bCs/>
                <w:sz w:val="24"/>
                <w:szCs w:val="24"/>
              </w:rPr>
              <w:t>Données</w:t>
            </w:r>
          </w:p>
        </w:tc>
        <w:tc>
          <w:tcPr>
            <w:tcW w:w="2552" w:type="dxa"/>
          </w:tcPr>
          <w:p w14:paraId="60A6EAD4" w14:textId="77777777" w:rsidR="00BC6C8B" w:rsidRPr="00B12817" w:rsidRDefault="00BC6C8B" w:rsidP="00EE0E23">
            <w:pPr>
              <w:jc w:val="both"/>
              <w:rPr>
                <w:rFonts w:cstheme="minorHAnsi"/>
                <w:b/>
                <w:bCs/>
                <w:sz w:val="20"/>
                <w:szCs w:val="20"/>
              </w:rPr>
            </w:pPr>
            <w:r w:rsidRPr="00B12817">
              <w:rPr>
                <w:rFonts w:cstheme="minorHAnsi"/>
                <w:b/>
                <w:bCs/>
                <w:sz w:val="20"/>
                <w:szCs w:val="20"/>
              </w:rPr>
              <w:t>Paramètres</w:t>
            </w:r>
          </w:p>
        </w:tc>
      </w:tr>
      <w:tr w:rsidR="00BC6C8B" w14:paraId="7EB90A58" w14:textId="77777777" w:rsidTr="00EE0E23">
        <w:tc>
          <w:tcPr>
            <w:tcW w:w="6487" w:type="dxa"/>
          </w:tcPr>
          <w:p w14:paraId="523B8E77" w14:textId="77777777" w:rsidR="00BC6C8B" w:rsidRPr="00B12817" w:rsidRDefault="00BC6C8B" w:rsidP="00EE0E23">
            <w:pPr>
              <w:jc w:val="both"/>
              <w:rPr>
                <w:rFonts w:cstheme="minorHAnsi"/>
                <w:sz w:val="20"/>
                <w:szCs w:val="20"/>
              </w:rPr>
            </w:pPr>
            <w:r w:rsidRPr="00B12817">
              <w:rPr>
                <w:rFonts w:cstheme="minorHAnsi"/>
                <w:sz w:val="20"/>
                <w:szCs w:val="20"/>
              </w:rPr>
              <w:t>Population</w:t>
            </w:r>
          </w:p>
        </w:tc>
        <w:tc>
          <w:tcPr>
            <w:tcW w:w="2552" w:type="dxa"/>
          </w:tcPr>
          <w:p w14:paraId="51D54B5D" w14:textId="77777777" w:rsidR="00BC6C8B" w:rsidRPr="00B12817" w:rsidRDefault="00BC6C8B" w:rsidP="00EE0E23">
            <w:pPr>
              <w:jc w:val="both"/>
              <w:rPr>
                <w:rFonts w:cstheme="minorHAnsi"/>
                <w:sz w:val="20"/>
                <w:szCs w:val="20"/>
              </w:rPr>
            </w:pPr>
            <w:r w:rsidRPr="00B12817">
              <w:rPr>
                <w:rFonts w:cstheme="minorHAnsi"/>
                <w:sz w:val="20"/>
                <w:szCs w:val="20"/>
              </w:rPr>
              <w:t>4.5 Millions d’habitants</w:t>
            </w:r>
          </w:p>
        </w:tc>
      </w:tr>
      <w:tr w:rsidR="00BC6C8B" w14:paraId="46457B42" w14:textId="77777777" w:rsidTr="00EE0E23">
        <w:tc>
          <w:tcPr>
            <w:tcW w:w="6487" w:type="dxa"/>
          </w:tcPr>
          <w:p w14:paraId="1BCED0D3" w14:textId="77777777" w:rsidR="00BC6C8B" w:rsidRPr="00B12817" w:rsidRDefault="00BC6C8B" w:rsidP="00EE0E23">
            <w:pPr>
              <w:jc w:val="both"/>
              <w:rPr>
                <w:rFonts w:cstheme="minorHAnsi"/>
                <w:sz w:val="20"/>
                <w:szCs w:val="20"/>
              </w:rPr>
            </w:pPr>
            <w:r w:rsidRPr="00B12817">
              <w:rPr>
                <w:rFonts w:cstheme="minorHAnsi"/>
                <w:sz w:val="20"/>
                <w:szCs w:val="20"/>
              </w:rPr>
              <w:t>Superficie</w:t>
            </w:r>
          </w:p>
        </w:tc>
        <w:tc>
          <w:tcPr>
            <w:tcW w:w="2552" w:type="dxa"/>
          </w:tcPr>
          <w:p w14:paraId="682DF60F" w14:textId="77777777" w:rsidR="00BC6C8B" w:rsidRPr="00B12817" w:rsidRDefault="00BC6C8B" w:rsidP="00EE0E23">
            <w:pPr>
              <w:jc w:val="both"/>
              <w:rPr>
                <w:rFonts w:cstheme="minorHAnsi"/>
                <w:sz w:val="20"/>
                <w:szCs w:val="20"/>
              </w:rPr>
            </w:pPr>
            <w:r w:rsidRPr="00B12817">
              <w:rPr>
                <w:rFonts w:cstheme="minorHAnsi"/>
                <w:sz w:val="20"/>
                <w:szCs w:val="20"/>
              </w:rPr>
              <w:t>1 030 000 km</w:t>
            </w:r>
            <w:r w:rsidRPr="00B12817">
              <w:rPr>
                <w:rFonts w:cstheme="minorHAnsi"/>
                <w:sz w:val="20"/>
                <w:szCs w:val="20"/>
                <w:vertAlign w:val="superscript"/>
              </w:rPr>
              <w:t>2</w:t>
            </w:r>
          </w:p>
        </w:tc>
      </w:tr>
      <w:tr w:rsidR="00BC6C8B" w14:paraId="7384FAF0" w14:textId="77777777" w:rsidTr="00EE0E23">
        <w:tc>
          <w:tcPr>
            <w:tcW w:w="6487" w:type="dxa"/>
          </w:tcPr>
          <w:p w14:paraId="72967CB3" w14:textId="77777777" w:rsidR="00BC6C8B" w:rsidRPr="00B12817" w:rsidRDefault="00BC6C8B" w:rsidP="00EE0E23">
            <w:pPr>
              <w:jc w:val="both"/>
              <w:rPr>
                <w:rFonts w:cstheme="minorHAnsi"/>
                <w:sz w:val="20"/>
                <w:szCs w:val="20"/>
              </w:rPr>
            </w:pPr>
            <w:r w:rsidRPr="00B12817">
              <w:rPr>
                <w:rFonts w:cstheme="minorHAnsi"/>
                <w:sz w:val="20"/>
                <w:szCs w:val="20"/>
              </w:rPr>
              <w:t>Espérance de vie</w:t>
            </w:r>
          </w:p>
        </w:tc>
        <w:tc>
          <w:tcPr>
            <w:tcW w:w="2552" w:type="dxa"/>
          </w:tcPr>
          <w:p w14:paraId="123AC42F" w14:textId="77777777" w:rsidR="00BC6C8B" w:rsidRPr="00B12817" w:rsidRDefault="00BC6C8B" w:rsidP="00EE0E23">
            <w:pPr>
              <w:jc w:val="both"/>
              <w:rPr>
                <w:rFonts w:cstheme="minorHAnsi"/>
                <w:sz w:val="20"/>
                <w:szCs w:val="20"/>
              </w:rPr>
            </w:pPr>
            <w:r w:rsidRPr="00B12817">
              <w:rPr>
                <w:rFonts w:cstheme="minorHAnsi"/>
                <w:sz w:val="20"/>
                <w:szCs w:val="20"/>
              </w:rPr>
              <w:t>64 ans</w:t>
            </w:r>
          </w:p>
        </w:tc>
      </w:tr>
      <w:tr w:rsidR="00BC6C8B" w14:paraId="6CE3F6CE" w14:textId="77777777" w:rsidTr="00EE0E23">
        <w:tc>
          <w:tcPr>
            <w:tcW w:w="6487" w:type="dxa"/>
          </w:tcPr>
          <w:p w14:paraId="4F9BCE69" w14:textId="77777777" w:rsidR="00BC6C8B" w:rsidRPr="00B12817" w:rsidRDefault="00BC6C8B" w:rsidP="00EE0E23">
            <w:pPr>
              <w:jc w:val="both"/>
              <w:rPr>
                <w:rFonts w:cstheme="minorHAnsi"/>
                <w:sz w:val="20"/>
                <w:szCs w:val="20"/>
              </w:rPr>
            </w:pPr>
            <w:r w:rsidRPr="00B12817">
              <w:rPr>
                <w:rFonts w:cstheme="minorHAnsi"/>
                <w:sz w:val="20"/>
                <w:szCs w:val="20"/>
              </w:rPr>
              <w:t>Indice de fécondité</w:t>
            </w:r>
          </w:p>
        </w:tc>
        <w:tc>
          <w:tcPr>
            <w:tcW w:w="2552" w:type="dxa"/>
          </w:tcPr>
          <w:p w14:paraId="274A6A7D" w14:textId="77777777" w:rsidR="00BC6C8B" w:rsidRPr="00B12817" w:rsidRDefault="00BC6C8B" w:rsidP="00EE0E23">
            <w:pPr>
              <w:jc w:val="both"/>
              <w:rPr>
                <w:rFonts w:cstheme="minorHAnsi"/>
                <w:sz w:val="20"/>
                <w:szCs w:val="20"/>
              </w:rPr>
            </w:pPr>
            <w:r w:rsidRPr="00B12817">
              <w:rPr>
                <w:rFonts w:cstheme="minorHAnsi"/>
                <w:sz w:val="20"/>
                <w:szCs w:val="20"/>
              </w:rPr>
              <w:t>4.3 enfants/femme</w:t>
            </w:r>
          </w:p>
        </w:tc>
      </w:tr>
      <w:tr w:rsidR="00BC6C8B" w14:paraId="3E7AE7ED" w14:textId="77777777" w:rsidTr="00EE0E23">
        <w:tc>
          <w:tcPr>
            <w:tcW w:w="6487" w:type="dxa"/>
          </w:tcPr>
          <w:p w14:paraId="00801BED" w14:textId="77777777" w:rsidR="00BC6C8B" w:rsidRPr="00B12817" w:rsidRDefault="00BC6C8B" w:rsidP="00EE0E23">
            <w:pPr>
              <w:jc w:val="both"/>
              <w:rPr>
                <w:rFonts w:cstheme="minorHAnsi"/>
                <w:sz w:val="20"/>
                <w:szCs w:val="20"/>
              </w:rPr>
            </w:pPr>
            <w:r w:rsidRPr="00B12817">
              <w:rPr>
                <w:rFonts w:cstheme="minorHAnsi"/>
                <w:sz w:val="20"/>
                <w:szCs w:val="20"/>
              </w:rPr>
              <w:t>Demande céréalière produite au niveau national</w:t>
            </w:r>
          </w:p>
        </w:tc>
        <w:tc>
          <w:tcPr>
            <w:tcW w:w="2552" w:type="dxa"/>
          </w:tcPr>
          <w:p w14:paraId="4DBBF38B" w14:textId="77777777" w:rsidR="00BC6C8B" w:rsidRPr="00B12817" w:rsidRDefault="00BC6C8B" w:rsidP="00EE0E23">
            <w:pPr>
              <w:jc w:val="both"/>
              <w:rPr>
                <w:rFonts w:cstheme="minorHAnsi"/>
                <w:sz w:val="20"/>
                <w:szCs w:val="20"/>
              </w:rPr>
            </w:pPr>
            <w:r w:rsidRPr="00B12817">
              <w:rPr>
                <w:rFonts w:cstheme="minorHAnsi"/>
                <w:sz w:val="20"/>
                <w:szCs w:val="20"/>
              </w:rPr>
              <w:t>30 %</w:t>
            </w:r>
          </w:p>
        </w:tc>
      </w:tr>
      <w:tr w:rsidR="00BC6C8B" w14:paraId="75DA6B41" w14:textId="77777777" w:rsidTr="00EE0E23">
        <w:tc>
          <w:tcPr>
            <w:tcW w:w="6487" w:type="dxa"/>
          </w:tcPr>
          <w:p w14:paraId="0C203888" w14:textId="77777777" w:rsidR="00BC6C8B" w:rsidRPr="00B12817" w:rsidRDefault="00BC6C8B" w:rsidP="00EE0E23">
            <w:pPr>
              <w:jc w:val="both"/>
              <w:rPr>
                <w:rFonts w:cstheme="minorHAnsi"/>
                <w:sz w:val="20"/>
                <w:szCs w:val="20"/>
              </w:rPr>
            </w:pPr>
            <w:r w:rsidRPr="00B12817">
              <w:rPr>
                <w:rFonts w:cstheme="minorHAnsi"/>
                <w:sz w:val="20"/>
                <w:szCs w:val="20"/>
              </w:rPr>
              <w:t>Taux de pauvreté</w:t>
            </w:r>
          </w:p>
        </w:tc>
        <w:tc>
          <w:tcPr>
            <w:tcW w:w="2552" w:type="dxa"/>
          </w:tcPr>
          <w:p w14:paraId="4B256D2E" w14:textId="77777777" w:rsidR="00BC6C8B" w:rsidRPr="00B12817" w:rsidRDefault="00BC6C8B" w:rsidP="00EE0E23">
            <w:pPr>
              <w:jc w:val="both"/>
              <w:rPr>
                <w:rFonts w:cstheme="minorHAnsi"/>
                <w:sz w:val="20"/>
                <w:szCs w:val="20"/>
              </w:rPr>
            </w:pPr>
            <w:r w:rsidRPr="00B12817">
              <w:rPr>
                <w:rFonts w:cstheme="minorHAnsi"/>
                <w:sz w:val="20"/>
                <w:szCs w:val="20"/>
              </w:rPr>
              <w:t>28.20 %</w:t>
            </w:r>
          </w:p>
        </w:tc>
      </w:tr>
      <w:tr w:rsidR="00BC6C8B" w14:paraId="60775E8D" w14:textId="77777777" w:rsidTr="00EE0E23">
        <w:tc>
          <w:tcPr>
            <w:tcW w:w="6487" w:type="dxa"/>
          </w:tcPr>
          <w:p w14:paraId="57518BE1" w14:textId="77777777" w:rsidR="00BC6C8B" w:rsidRPr="00B12817" w:rsidRDefault="00BC6C8B" w:rsidP="00EE0E23">
            <w:pPr>
              <w:jc w:val="both"/>
              <w:rPr>
                <w:rFonts w:cstheme="minorHAnsi"/>
                <w:sz w:val="20"/>
                <w:szCs w:val="20"/>
              </w:rPr>
            </w:pPr>
            <w:r w:rsidRPr="00B12817">
              <w:rPr>
                <w:rFonts w:cstheme="minorHAnsi"/>
                <w:sz w:val="20"/>
                <w:szCs w:val="20"/>
              </w:rPr>
              <w:t>Taux de malnutrition aiguë globale (MAG)</w:t>
            </w:r>
          </w:p>
        </w:tc>
        <w:tc>
          <w:tcPr>
            <w:tcW w:w="2552" w:type="dxa"/>
          </w:tcPr>
          <w:p w14:paraId="6E702CE6" w14:textId="77777777" w:rsidR="00BC6C8B" w:rsidRPr="00B12817" w:rsidRDefault="00BC6C8B" w:rsidP="00EE0E23">
            <w:pPr>
              <w:jc w:val="both"/>
              <w:rPr>
                <w:rFonts w:cstheme="minorHAnsi"/>
                <w:sz w:val="20"/>
                <w:szCs w:val="20"/>
              </w:rPr>
            </w:pPr>
            <w:r w:rsidRPr="00B12817">
              <w:rPr>
                <w:rFonts w:cstheme="minorHAnsi"/>
                <w:sz w:val="20"/>
                <w:szCs w:val="20"/>
              </w:rPr>
              <w:t>11.1 %</w:t>
            </w:r>
          </w:p>
        </w:tc>
      </w:tr>
      <w:tr w:rsidR="00BC6C8B" w14:paraId="667B6501" w14:textId="77777777" w:rsidTr="00EE0E23">
        <w:tc>
          <w:tcPr>
            <w:tcW w:w="6487" w:type="dxa"/>
          </w:tcPr>
          <w:p w14:paraId="5E732FBF" w14:textId="77777777" w:rsidR="00BC6C8B" w:rsidRPr="00B12817" w:rsidRDefault="00BC6C8B" w:rsidP="00EE0E23">
            <w:pPr>
              <w:jc w:val="both"/>
              <w:rPr>
                <w:rFonts w:cstheme="minorHAnsi"/>
                <w:sz w:val="20"/>
                <w:szCs w:val="20"/>
              </w:rPr>
            </w:pPr>
            <w:r w:rsidRPr="00B12817">
              <w:rPr>
                <w:rFonts w:cstheme="minorHAnsi"/>
                <w:sz w:val="20"/>
                <w:szCs w:val="20"/>
              </w:rPr>
              <w:t>Ressources cadre de la coopération 2018-2023</w:t>
            </w:r>
          </w:p>
        </w:tc>
        <w:tc>
          <w:tcPr>
            <w:tcW w:w="2552" w:type="dxa"/>
          </w:tcPr>
          <w:p w14:paraId="03FB9B24" w14:textId="77777777" w:rsidR="00BC6C8B" w:rsidRPr="00B12817" w:rsidRDefault="00BC6C8B" w:rsidP="00EE0E23">
            <w:pPr>
              <w:jc w:val="both"/>
              <w:rPr>
                <w:rFonts w:cstheme="minorHAnsi"/>
                <w:sz w:val="20"/>
                <w:szCs w:val="20"/>
              </w:rPr>
            </w:pPr>
            <w:r w:rsidRPr="00B12817">
              <w:rPr>
                <w:rFonts w:cstheme="minorHAnsi"/>
                <w:sz w:val="20"/>
                <w:szCs w:val="20"/>
              </w:rPr>
              <w:t>645.6 Millions USD</w:t>
            </w:r>
          </w:p>
        </w:tc>
      </w:tr>
      <w:tr w:rsidR="00BC6C8B" w14:paraId="51648A7B" w14:textId="77777777" w:rsidTr="00EE0E23">
        <w:tc>
          <w:tcPr>
            <w:tcW w:w="6487" w:type="dxa"/>
          </w:tcPr>
          <w:p w14:paraId="26DEC8A8" w14:textId="77777777" w:rsidR="00BC6C8B" w:rsidRPr="00B12817" w:rsidRDefault="00BC6C8B" w:rsidP="00EE0E23">
            <w:pPr>
              <w:jc w:val="both"/>
              <w:rPr>
                <w:rFonts w:cstheme="minorHAnsi"/>
                <w:sz w:val="20"/>
                <w:szCs w:val="20"/>
              </w:rPr>
            </w:pPr>
            <w:r w:rsidRPr="00B12817">
              <w:rPr>
                <w:rFonts w:cstheme="minorHAnsi"/>
                <w:sz w:val="20"/>
                <w:szCs w:val="20"/>
              </w:rPr>
              <w:t>Personnes réfugiées ou en demande d’asile</w:t>
            </w:r>
          </w:p>
        </w:tc>
        <w:tc>
          <w:tcPr>
            <w:tcW w:w="2552" w:type="dxa"/>
          </w:tcPr>
          <w:p w14:paraId="4BC4A115" w14:textId="77777777" w:rsidR="00BC6C8B" w:rsidRPr="00B12817" w:rsidRDefault="00BC6C8B" w:rsidP="00EE0E23">
            <w:pPr>
              <w:jc w:val="both"/>
              <w:rPr>
                <w:rFonts w:cstheme="minorHAnsi"/>
                <w:sz w:val="20"/>
                <w:szCs w:val="20"/>
              </w:rPr>
            </w:pPr>
            <w:r w:rsidRPr="00B12817">
              <w:rPr>
                <w:rFonts w:cstheme="minorHAnsi"/>
                <w:sz w:val="20"/>
                <w:szCs w:val="20"/>
              </w:rPr>
              <w:t>112 021</w:t>
            </w:r>
          </w:p>
        </w:tc>
      </w:tr>
      <w:tr w:rsidR="00BC6C8B" w14:paraId="0E07FFDD" w14:textId="77777777" w:rsidTr="00EE0E23">
        <w:tc>
          <w:tcPr>
            <w:tcW w:w="6487" w:type="dxa"/>
          </w:tcPr>
          <w:p w14:paraId="19216116" w14:textId="77777777" w:rsidR="00BC6C8B" w:rsidRPr="00B12817" w:rsidRDefault="00BC6C8B" w:rsidP="00EE0E23">
            <w:pPr>
              <w:jc w:val="both"/>
              <w:rPr>
                <w:rFonts w:cstheme="minorHAnsi"/>
                <w:sz w:val="20"/>
                <w:szCs w:val="20"/>
              </w:rPr>
            </w:pPr>
            <w:r w:rsidRPr="00B12817">
              <w:rPr>
                <w:rFonts w:cstheme="minorHAnsi"/>
                <w:sz w:val="20"/>
                <w:szCs w:val="20"/>
              </w:rPr>
              <w:t>Indice de risque climatique</w:t>
            </w:r>
          </w:p>
        </w:tc>
        <w:tc>
          <w:tcPr>
            <w:tcW w:w="2552" w:type="dxa"/>
          </w:tcPr>
          <w:p w14:paraId="309638A6" w14:textId="77777777" w:rsidR="00BC6C8B" w:rsidRPr="00B12817" w:rsidRDefault="00BC6C8B" w:rsidP="00EE0E23">
            <w:pPr>
              <w:jc w:val="both"/>
              <w:rPr>
                <w:rFonts w:cstheme="minorHAnsi"/>
                <w:sz w:val="20"/>
                <w:szCs w:val="20"/>
              </w:rPr>
            </w:pPr>
            <w:r w:rsidRPr="00B12817">
              <w:rPr>
                <w:rFonts w:cstheme="minorHAnsi"/>
                <w:sz w:val="20"/>
                <w:szCs w:val="20"/>
              </w:rPr>
              <w:t>63</w:t>
            </w:r>
          </w:p>
        </w:tc>
      </w:tr>
    </w:tbl>
    <w:p w14:paraId="63EF86AB" w14:textId="77777777" w:rsidR="00BC6C8B" w:rsidRPr="00B12817" w:rsidRDefault="00BC6C8B" w:rsidP="00BC6C8B">
      <w:pPr>
        <w:jc w:val="both"/>
        <w:rPr>
          <w:rFonts w:cstheme="minorHAnsi"/>
          <w:sz w:val="20"/>
          <w:szCs w:val="20"/>
        </w:rPr>
      </w:pPr>
      <w:r w:rsidRPr="00B12817">
        <w:rPr>
          <w:rFonts w:cstheme="minorHAnsi"/>
          <w:sz w:val="20"/>
          <w:szCs w:val="20"/>
        </w:rPr>
        <w:t>Source :</w:t>
      </w:r>
      <w:r>
        <w:rPr>
          <w:rFonts w:cstheme="minorHAnsi"/>
          <w:sz w:val="20"/>
          <w:szCs w:val="20"/>
        </w:rPr>
        <w:t xml:space="preserve"> </w:t>
      </w:r>
      <w:r w:rsidRPr="00204B07">
        <w:rPr>
          <w:rFonts w:cstheme="minorHAnsi"/>
          <w:i/>
          <w:iCs/>
          <w:sz w:val="20"/>
          <w:szCs w:val="20"/>
        </w:rPr>
        <w:t>PNUD, rapport annuel des Nations-Unies en Mauritanie en 2023</w:t>
      </w:r>
      <w:r>
        <w:rPr>
          <w:rFonts w:cstheme="minorHAnsi"/>
          <w:sz w:val="20"/>
          <w:szCs w:val="20"/>
        </w:rPr>
        <w:t>.</w:t>
      </w:r>
    </w:p>
    <w:p w14:paraId="770E2F9A" w14:textId="77777777" w:rsidR="00BC6C8B" w:rsidRPr="005F2648" w:rsidRDefault="00BC6C8B" w:rsidP="00BC6C8B">
      <w:pPr>
        <w:pStyle w:val="Paragraphedeliste"/>
        <w:numPr>
          <w:ilvl w:val="0"/>
          <w:numId w:val="468"/>
        </w:numPr>
        <w:jc w:val="both"/>
        <w:rPr>
          <w:rFonts w:cstheme="minorHAnsi"/>
          <w:b/>
          <w:bCs/>
        </w:rPr>
      </w:pPr>
      <w:r w:rsidRPr="005F2648">
        <w:rPr>
          <w:rFonts w:cstheme="minorHAnsi"/>
          <w:b/>
          <w:bCs/>
        </w:rPr>
        <w:t>Indice de gestion des risques (INFORM)</w:t>
      </w:r>
    </w:p>
    <w:p w14:paraId="76450CD8" w14:textId="77777777" w:rsidR="00BC6C8B" w:rsidRPr="00BC47E0" w:rsidRDefault="00BC6C8B" w:rsidP="00BC6C8B">
      <w:pPr>
        <w:jc w:val="both"/>
        <w:rPr>
          <w:rFonts w:cstheme="minorHAnsi"/>
        </w:rPr>
      </w:pPr>
      <w:r w:rsidRPr="00BC47E0">
        <w:rPr>
          <w:rFonts w:cstheme="minorHAnsi"/>
        </w:rPr>
        <w:t>INFORM est un ensemble de données permettant d'évaluer les crises et les catastrophes, la</w:t>
      </w:r>
      <w:r>
        <w:rPr>
          <w:rFonts w:cstheme="minorHAnsi"/>
        </w:rPr>
        <w:t xml:space="preserve"> </w:t>
      </w:r>
      <w:r w:rsidRPr="00BC47E0">
        <w:rPr>
          <w:rFonts w:cstheme="minorHAnsi"/>
        </w:rPr>
        <w:t>probabilité de leur survenance et leur impact probable.</w:t>
      </w:r>
      <w:r>
        <w:rPr>
          <w:rFonts w:cstheme="minorHAnsi"/>
        </w:rPr>
        <w:t xml:space="preserve"> </w:t>
      </w:r>
      <w:r w:rsidRPr="00BC47E0">
        <w:rPr>
          <w:rFonts w:cstheme="minorHAnsi"/>
        </w:rPr>
        <w:t>Il mesure 3 dimensions : 1. Vulnérabilité, 2. Dangers et exposition, 3. Capacité d'adaptation.</w:t>
      </w:r>
      <w:r>
        <w:rPr>
          <w:rFonts w:cstheme="minorHAnsi"/>
        </w:rPr>
        <w:t xml:space="preserve"> </w:t>
      </w:r>
      <w:r w:rsidRPr="00BC47E0">
        <w:rPr>
          <w:rFonts w:cstheme="minorHAnsi"/>
        </w:rPr>
        <w:t>Exemple d'indicateurs :</w:t>
      </w:r>
    </w:p>
    <w:p w14:paraId="520ABBDE" w14:textId="77777777" w:rsidR="00BC6C8B" w:rsidRDefault="00BC6C8B" w:rsidP="00BC6C8B">
      <w:pPr>
        <w:pStyle w:val="Paragraphedeliste"/>
        <w:numPr>
          <w:ilvl w:val="0"/>
          <w:numId w:val="125"/>
        </w:numPr>
        <w:suppressAutoHyphens/>
        <w:autoSpaceDN w:val="0"/>
        <w:spacing w:line="240" w:lineRule="auto"/>
        <w:jc w:val="both"/>
        <w:textAlignment w:val="baseline"/>
        <w:rPr>
          <w:rFonts w:cstheme="minorHAnsi"/>
        </w:rPr>
      </w:pPr>
      <w:r w:rsidRPr="003B04F7">
        <w:rPr>
          <w:rFonts w:cstheme="minorHAnsi"/>
        </w:rPr>
        <w:t>Exposition physique aux inondations, aux cyclon</w:t>
      </w:r>
      <w:r>
        <w:rPr>
          <w:rFonts w:cstheme="minorHAnsi"/>
        </w:rPr>
        <w:t>es tropicaux et à la sécheresse ;</w:t>
      </w:r>
    </w:p>
    <w:p w14:paraId="00D6282B" w14:textId="77777777" w:rsidR="00BC6C8B" w:rsidRDefault="00BC6C8B" w:rsidP="00BC6C8B">
      <w:pPr>
        <w:pStyle w:val="Paragraphedeliste"/>
        <w:numPr>
          <w:ilvl w:val="0"/>
          <w:numId w:val="125"/>
        </w:numPr>
        <w:suppressAutoHyphens/>
        <w:autoSpaceDN w:val="0"/>
        <w:spacing w:line="240" w:lineRule="auto"/>
        <w:jc w:val="both"/>
        <w:textAlignment w:val="baseline"/>
        <w:rPr>
          <w:rFonts w:cstheme="minorHAnsi"/>
        </w:rPr>
      </w:pPr>
      <w:r w:rsidRPr="003B04F7">
        <w:rPr>
          <w:rFonts w:cstheme="minorHAnsi"/>
        </w:rPr>
        <w:t>Personnes touchées par la sécheresse</w:t>
      </w:r>
      <w:r>
        <w:rPr>
          <w:rFonts w:cstheme="minorHAnsi"/>
        </w:rPr>
        <w:t> ;</w:t>
      </w:r>
    </w:p>
    <w:p w14:paraId="32CF980B" w14:textId="77777777" w:rsidR="00BC6C8B" w:rsidRDefault="00BC6C8B" w:rsidP="00BC6C8B">
      <w:pPr>
        <w:pStyle w:val="Paragraphedeliste"/>
        <w:numPr>
          <w:ilvl w:val="0"/>
          <w:numId w:val="125"/>
        </w:numPr>
        <w:suppressAutoHyphens/>
        <w:autoSpaceDN w:val="0"/>
        <w:spacing w:line="240" w:lineRule="auto"/>
        <w:jc w:val="both"/>
        <w:textAlignment w:val="baseline"/>
        <w:rPr>
          <w:rFonts w:cstheme="minorHAnsi"/>
        </w:rPr>
      </w:pPr>
      <w:r w:rsidRPr="003B04F7">
        <w:rPr>
          <w:rFonts w:cstheme="minorHAnsi"/>
        </w:rPr>
        <w:t>Fréquence des épisodes de sécheresse</w:t>
      </w:r>
      <w:r>
        <w:rPr>
          <w:rFonts w:cstheme="minorHAnsi"/>
        </w:rPr>
        <w:t> ;</w:t>
      </w:r>
    </w:p>
    <w:p w14:paraId="6108AE18" w14:textId="77777777" w:rsidR="00BC6C8B" w:rsidRDefault="00BC6C8B" w:rsidP="00BC6C8B">
      <w:pPr>
        <w:pStyle w:val="Paragraphedeliste"/>
        <w:numPr>
          <w:ilvl w:val="0"/>
          <w:numId w:val="125"/>
        </w:numPr>
        <w:suppressAutoHyphens/>
        <w:autoSpaceDN w:val="0"/>
        <w:spacing w:line="240" w:lineRule="auto"/>
        <w:jc w:val="both"/>
        <w:textAlignment w:val="baseline"/>
        <w:rPr>
          <w:rFonts w:cstheme="minorHAnsi"/>
        </w:rPr>
      </w:pPr>
      <w:r w:rsidRPr="003B04F7">
        <w:rPr>
          <w:rFonts w:cstheme="minorHAnsi"/>
        </w:rPr>
        <w:t>Probabilité de sécheresse agricole</w:t>
      </w:r>
      <w:r>
        <w:rPr>
          <w:rFonts w:cstheme="minorHAnsi"/>
        </w:rPr>
        <w:t> ;</w:t>
      </w:r>
    </w:p>
    <w:p w14:paraId="250BBABB" w14:textId="77777777" w:rsidR="00BC6C8B" w:rsidRDefault="00BC6C8B" w:rsidP="00BC6C8B">
      <w:pPr>
        <w:pStyle w:val="Paragraphedeliste"/>
        <w:numPr>
          <w:ilvl w:val="0"/>
          <w:numId w:val="125"/>
        </w:numPr>
        <w:suppressAutoHyphens/>
        <w:autoSpaceDN w:val="0"/>
        <w:spacing w:line="240" w:lineRule="auto"/>
        <w:jc w:val="both"/>
        <w:textAlignment w:val="baseline"/>
        <w:rPr>
          <w:rFonts w:cstheme="minorHAnsi"/>
        </w:rPr>
      </w:pPr>
      <w:r w:rsidRPr="003B04F7">
        <w:rPr>
          <w:rFonts w:cstheme="minorHAnsi"/>
        </w:rPr>
        <w:t>Sécurité alimentaire</w:t>
      </w:r>
      <w:r>
        <w:rPr>
          <w:rFonts w:cstheme="minorHAnsi"/>
        </w:rPr>
        <w:t> ;</w:t>
      </w:r>
    </w:p>
    <w:p w14:paraId="4E075839" w14:textId="77777777" w:rsidR="00BC6C8B" w:rsidRDefault="00BC6C8B" w:rsidP="00BC6C8B">
      <w:pPr>
        <w:pStyle w:val="Paragraphedeliste"/>
        <w:numPr>
          <w:ilvl w:val="0"/>
          <w:numId w:val="125"/>
        </w:numPr>
        <w:suppressAutoHyphens/>
        <w:autoSpaceDN w:val="0"/>
        <w:spacing w:line="240" w:lineRule="auto"/>
        <w:jc w:val="both"/>
        <w:textAlignment w:val="baseline"/>
        <w:rPr>
          <w:rFonts w:cstheme="minorHAnsi"/>
        </w:rPr>
      </w:pPr>
      <w:r w:rsidRPr="003B04F7">
        <w:rPr>
          <w:rFonts w:cstheme="minorHAnsi"/>
        </w:rPr>
        <w:t>Mortalité infantile</w:t>
      </w:r>
      <w:r>
        <w:rPr>
          <w:rFonts w:cstheme="minorHAnsi"/>
        </w:rPr>
        <w:t> ;</w:t>
      </w:r>
    </w:p>
    <w:p w14:paraId="0AD056B5" w14:textId="77777777" w:rsidR="00BC6C8B" w:rsidRDefault="00BC6C8B" w:rsidP="00BC6C8B">
      <w:pPr>
        <w:pStyle w:val="Paragraphedeliste"/>
        <w:numPr>
          <w:ilvl w:val="0"/>
          <w:numId w:val="125"/>
        </w:numPr>
        <w:suppressAutoHyphens/>
        <w:autoSpaceDN w:val="0"/>
        <w:spacing w:line="240" w:lineRule="auto"/>
        <w:jc w:val="both"/>
        <w:textAlignment w:val="baseline"/>
        <w:rPr>
          <w:rFonts w:cstheme="minorHAnsi"/>
        </w:rPr>
      </w:pPr>
      <w:r w:rsidRPr="003B04F7">
        <w:rPr>
          <w:rFonts w:cstheme="minorHAnsi"/>
        </w:rPr>
        <w:t>Développement humain</w:t>
      </w:r>
      <w:r>
        <w:rPr>
          <w:rFonts w:cstheme="minorHAnsi"/>
        </w:rPr>
        <w:t>.</w:t>
      </w:r>
    </w:p>
    <w:p w14:paraId="759B029E" w14:textId="77777777" w:rsidR="00BC6C8B" w:rsidRPr="00FF4D74" w:rsidRDefault="00BC6C8B" w:rsidP="00BC6C8B">
      <w:pPr>
        <w:rPr>
          <w:sz w:val="24"/>
          <w:szCs w:val="24"/>
        </w:rPr>
      </w:pPr>
      <w:r w:rsidRPr="009C34B6">
        <w:rPr>
          <w:rFonts w:eastAsia="Times New Roman" w:cstheme="minorHAnsi"/>
          <w:lang w:eastAsia="fr-FR"/>
        </w:rPr>
        <w:t xml:space="preserve">L'analyse de la </w:t>
      </w:r>
      <w:r w:rsidRPr="009C34B6">
        <w:rPr>
          <w:rFonts w:eastAsia="Times New Roman" w:cstheme="minorHAnsi"/>
          <w:b/>
          <w:bCs/>
          <w:lang w:eastAsia="fr-FR"/>
        </w:rPr>
        <w:t>vulnérabilité</w:t>
      </w:r>
      <w:r w:rsidRPr="009C34B6">
        <w:rPr>
          <w:rFonts w:eastAsia="Times New Roman" w:cstheme="minorHAnsi"/>
          <w:lang w:eastAsia="fr-FR"/>
        </w:rPr>
        <w:t xml:space="preserve"> s'appuie sur une description de l'impact du dommage selon différents critères : sensibilité au dommage, degré de dépendance, la transférabilité, </w:t>
      </w:r>
      <w:r w:rsidRPr="00E02BAE">
        <w:rPr>
          <w:rFonts w:eastAsia="Times New Roman" w:cstheme="minorHAnsi"/>
          <w:lang w:eastAsia="fr-FR"/>
        </w:rPr>
        <w:t>qui mesure</w:t>
      </w:r>
      <w:r w:rsidRPr="009C34B6">
        <w:rPr>
          <w:rFonts w:eastAsia="Times New Roman" w:cstheme="minorHAnsi"/>
          <w:lang w:eastAsia="fr-FR"/>
        </w:rPr>
        <w:t xml:space="preserve"> la capacité d'adaptation et la résilience</w:t>
      </w:r>
      <w:r w:rsidRPr="00E02BAE">
        <w:rPr>
          <w:rFonts w:eastAsia="Times New Roman" w:cstheme="minorHAnsi"/>
          <w:lang w:eastAsia="fr-FR"/>
        </w:rPr>
        <w:t>, qui mesure</w:t>
      </w:r>
      <w:r w:rsidRPr="009C34B6">
        <w:rPr>
          <w:rFonts w:eastAsia="Times New Roman" w:cstheme="minorHAnsi"/>
          <w:lang w:eastAsia="fr-FR"/>
        </w:rPr>
        <w:t xml:space="preserve"> la capacité de cicatrisation après l'événement.2 juil. 2024</w:t>
      </w:r>
      <w:r>
        <w:rPr>
          <w:rFonts w:eastAsia="Times New Roman" w:cstheme="minorHAnsi"/>
          <w:lang w:eastAsia="fr-FR"/>
        </w:rPr>
        <w:t>.</w:t>
      </w:r>
    </w:p>
    <w:p w14:paraId="56C04F53" w14:textId="77777777" w:rsidR="00BC6C8B" w:rsidRPr="005E67BD" w:rsidRDefault="00BC6C8B" w:rsidP="00BC6C8B">
      <w:pPr>
        <w:pStyle w:val="Paragraphedeliste"/>
        <w:numPr>
          <w:ilvl w:val="1"/>
          <w:numId w:val="469"/>
        </w:numPr>
        <w:spacing w:before="120" w:after="120"/>
        <w:rPr>
          <w:b/>
          <w:bCs/>
          <w:color w:val="2F5496" w:themeColor="accent1" w:themeShade="BF"/>
          <w:sz w:val="24"/>
          <w:szCs w:val="24"/>
        </w:rPr>
      </w:pPr>
      <w:bookmarkStart w:id="455" w:name="_Toc176366136"/>
      <w:r w:rsidRPr="005E67BD">
        <w:rPr>
          <w:b/>
          <w:bCs/>
          <w:color w:val="2F5496" w:themeColor="accent1" w:themeShade="BF"/>
          <w:sz w:val="24"/>
          <w:szCs w:val="24"/>
        </w:rPr>
        <w:t>Planification de l'évaluation de la vulnérabilité et de l'adaptation</w:t>
      </w:r>
      <w:bookmarkEnd w:id="455"/>
    </w:p>
    <w:p w14:paraId="2AAFFA98" w14:textId="77777777" w:rsidR="00BC6C8B" w:rsidRPr="00193BE6" w:rsidRDefault="00BC6C8B" w:rsidP="00BC6C8B">
      <w:pPr>
        <w:spacing w:after="0"/>
        <w:jc w:val="both"/>
        <w:rPr>
          <w:sz w:val="24"/>
          <w:szCs w:val="24"/>
        </w:rPr>
      </w:pPr>
      <w:r w:rsidRPr="00193BE6">
        <w:rPr>
          <w:sz w:val="24"/>
          <w:szCs w:val="24"/>
        </w:rPr>
        <w:t>Entreprendre des évaluations de la V&amp;A constitue l'une des composantes essentielles du processus de préparation de la communication nationale. La section suivante propose des directives spécifiques en matière de planification réussie des actions V&amp;A et doit être prise en compte dans le processus de planification des communications nationales.</w:t>
      </w:r>
    </w:p>
    <w:p w14:paraId="3C2D7216" w14:textId="77777777" w:rsidR="00BC6C8B" w:rsidRPr="00193BE6" w:rsidRDefault="00BC6C8B" w:rsidP="00BC6C8B">
      <w:pPr>
        <w:spacing w:after="0"/>
        <w:jc w:val="both"/>
        <w:rPr>
          <w:sz w:val="24"/>
          <w:szCs w:val="24"/>
        </w:rPr>
      </w:pPr>
      <w:r w:rsidRPr="00193BE6">
        <w:rPr>
          <w:sz w:val="24"/>
          <w:szCs w:val="24"/>
        </w:rPr>
        <w:t>Les étapes clés dans la planification de la composante V&amp;A de la communication nationale sont :</w:t>
      </w:r>
    </w:p>
    <w:p w14:paraId="367E79CE" w14:textId="77777777" w:rsidR="00BC6C8B" w:rsidRPr="00193BE6" w:rsidRDefault="00BC6C8B" w:rsidP="00BC6C8B">
      <w:pPr>
        <w:numPr>
          <w:ilvl w:val="0"/>
          <w:numId w:val="463"/>
        </w:numPr>
        <w:spacing w:after="0"/>
        <w:rPr>
          <w:sz w:val="24"/>
          <w:szCs w:val="24"/>
        </w:rPr>
      </w:pPr>
      <w:r w:rsidRPr="00193BE6">
        <w:rPr>
          <w:sz w:val="24"/>
          <w:szCs w:val="24"/>
        </w:rPr>
        <w:t>Examiner les évaluations antérieures ;</w:t>
      </w:r>
    </w:p>
    <w:p w14:paraId="2D139613" w14:textId="77777777" w:rsidR="00BC6C8B" w:rsidRPr="00193BE6" w:rsidRDefault="00BC6C8B" w:rsidP="00BC6C8B">
      <w:pPr>
        <w:numPr>
          <w:ilvl w:val="0"/>
          <w:numId w:val="463"/>
        </w:numPr>
        <w:spacing w:after="0"/>
        <w:rPr>
          <w:sz w:val="24"/>
          <w:szCs w:val="24"/>
        </w:rPr>
      </w:pPr>
      <w:r w:rsidRPr="00193BE6">
        <w:rPr>
          <w:sz w:val="24"/>
          <w:szCs w:val="24"/>
        </w:rPr>
        <w:t xml:space="preserve">Analyser l'évaluation </w:t>
      </w:r>
      <w:r>
        <w:rPr>
          <w:sz w:val="24"/>
          <w:szCs w:val="24"/>
        </w:rPr>
        <w:t xml:space="preserve">courante </w:t>
      </w:r>
      <w:r w:rsidRPr="00193BE6">
        <w:rPr>
          <w:sz w:val="24"/>
          <w:szCs w:val="24"/>
        </w:rPr>
        <w:t>(facultatif) ;</w:t>
      </w:r>
    </w:p>
    <w:p w14:paraId="63712041" w14:textId="77777777" w:rsidR="00BC6C8B" w:rsidRPr="00193BE6" w:rsidRDefault="00BC6C8B" w:rsidP="00BC6C8B">
      <w:pPr>
        <w:numPr>
          <w:ilvl w:val="0"/>
          <w:numId w:val="463"/>
        </w:numPr>
        <w:spacing w:after="0"/>
        <w:jc w:val="both"/>
        <w:rPr>
          <w:sz w:val="24"/>
          <w:szCs w:val="24"/>
        </w:rPr>
      </w:pPr>
      <w:r w:rsidRPr="00193BE6">
        <w:rPr>
          <w:sz w:val="24"/>
          <w:szCs w:val="24"/>
        </w:rPr>
        <w:t>Évaluer les opportunités de capacité et les contraintes (budget, aptitudes techniques, données) ;</w:t>
      </w:r>
    </w:p>
    <w:p w14:paraId="05EF5727" w14:textId="77777777" w:rsidR="00BC6C8B" w:rsidRPr="00193BE6" w:rsidRDefault="00BC6C8B" w:rsidP="00BC6C8B">
      <w:pPr>
        <w:numPr>
          <w:ilvl w:val="0"/>
          <w:numId w:val="463"/>
        </w:numPr>
        <w:spacing w:after="0"/>
        <w:rPr>
          <w:sz w:val="24"/>
          <w:szCs w:val="24"/>
        </w:rPr>
      </w:pPr>
      <w:r w:rsidRPr="00193BE6">
        <w:rPr>
          <w:sz w:val="24"/>
          <w:szCs w:val="24"/>
        </w:rPr>
        <w:t>Tenir compte des approches à l'optimisation de la mise en œuvre ;</w:t>
      </w:r>
    </w:p>
    <w:p w14:paraId="49EF181B" w14:textId="77777777" w:rsidR="00BC6C8B" w:rsidRPr="00193BE6" w:rsidRDefault="00BC6C8B" w:rsidP="00BC6C8B">
      <w:pPr>
        <w:numPr>
          <w:ilvl w:val="0"/>
          <w:numId w:val="463"/>
        </w:numPr>
        <w:spacing w:after="0"/>
        <w:jc w:val="both"/>
        <w:rPr>
          <w:sz w:val="24"/>
          <w:szCs w:val="24"/>
        </w:rPr>
      </w:pPr>
      <w:r w:rsidRPr="00193BE6">
        <w:rPr>
          <w:sz w:val="24"/>
          <w:szCs w:val="24"/>
        </w:rPr>
        <w:t>Élaborer un plan de mise en œuvre du projet d'évaluation de la V&amp;A ;</w:t>
      </w:r>
    </w:p>
    <w:p w14:paraId="747CB2B3" w14:textId="77777777" w:rsidR="00BC6C8B" w:rsidRPr="00193BE6" w:rsidRDefault="00BC6C8B" w:rsidP="00BC6C8B">
      <w:pPr>
        <w:spacing w:after="0"/>
        <w:jc w:val="both"/>
        <w:rPr>
          <w:sz w:val="24"/>
          <w:szCs w:val="24"/>
        </w:rPr>
      </w:pPr>
      <w:r w:rsidRPr="00AB07C5">
        <w:rPr>
          <w:b/>
          <w:bCs/>
          <w:sz w:val="24"/>
          <w:szCs w:val="24"/>
        </w:rPr>
        <w:t>La démarche méthodologique</w:t>
      </w:r>
      <w:r w:rsidRPr="00193BE6">
        <w:rPr>
          <w:sz w:val="24"/>
          <w:szCs w:val="24"/>
        </w:rPr>
        <w:t xml:space="preserve"> appliquée intègre la recherche documentaire. Cette étape a consisté à rechercher des documents en lien avec les changements climatique, la vulnérabilité et l’adaptation. Pour cela, nous avons exploité les documentations du service météorologique, des services techniques déconcentrés du ministère de l’élevage, de la FAO, et les sites internet. Elle a permis de faire un état des lieux sur le thème de recherche, c’est-à-dire, d’avoir des informations relatives aux impacts des changements climatiques et les stratégies d’adaptations développées par les producteurs ruraux. Ainsi, plusieurs ouvrages tels que les mémoires, les rapports, les articles ont été également consultés.</w:t>
      </w:r>
    </w:p>
    <w:p w14:paraId="6EE076A2" w14:textId="77777777" w:rsidR="00BC6C8B" w:rsidRPr="005E67BD" w:rsidRDefault="00BC6C8B" w:rsidP="00BC6C8B">
      <w:pPr>
        <w:pStyle w:val="Paragraphedeliste"/>
        <w:numPr>
          <w:ilvl w:val="1"/>
          <w:numId w:val="469"/>
        </w:numPr>
        <w:spacing w:before="120" w:after="120"/>
        <w:rPr>
          <w:b/>
          <w:bCs/>
          <w:color w:val="2F5496" w:themeColor="accent1" w:themeShade="BF"/>
          <w:sz w:val="24"/>
          <w:szCs w:val="24"/>
        </w:rPr>
      </w:pPr>
      <w:r w:rsidRPr="005E67BD">
        <w:rPr>
          <w:b/>
          <w:bCs/>
          <w:color w:val="2F5496" w:themeColor="accent1" w:themeShade="BF"/>
          <w:sz w:val="24"/>
          <w:szCs w:val="24"/>
        </w:rPr>
        <w:t>Examen des évaluations antérieures</w:t>
      </w:r>
    </w:p>
    <w:p w14:paraId="34341D90" w14:textId="77777777" w:rsidR="00BC6C8B" w:rsidRPr="00193BE6" w:rsidRDefault="00BC6C8B" w:rsidP="00BC6C8B">
      <w:pPr>
        <w:spacing w:after="0"/>
        <w:jc w:val="both"/>
        <w:rPr>
          <w:rFonts w:ascii="Times New Roman" w:hAnsi="Times New Roman" w:cs="Times New Roman"/>
          <w:sz w:val="24"/>
          <w:szCs w:val="24"/>
        </w:rPr>
      </w:pPr>
      <w:r w:rsidRPr="00193BE6">
        <w:rPr>
          <w:rFonts w:ascii="Times New Roman" w:hAnsi="Times New Roman" w:cs="Times New Roman"/>
          <w:sz w:val="24"/>
          <w:szCs w:val="24"/>
        </w:rPr>
        <w:t xml:space="preserve">Un certain nombre des Parties non visées à l'annexe I ont déjà entrepris au moins une </w:t>
      </w:r>
      <w:r w:rsidRPr="00AB07C5">
        <w:rPr>
          <w:sz w:val="24"/>
          <w:szCs w:val="24"/>
        </w:rPr>
        <w:t>communication</w:t>
      </w:r>
      <w:r w:rsidRPr="00193BE6">
        <w:rPr>
          <w:rFonts w:ascii="Times New Roman" w:hAnsi="Times New Roman" w:cs="Times New Roman"/>
          <w:sz w:val="24"/>
          <w:szCs w:val="24"/>
        </w:rPr>
        <w:t xml:space="preserve"> nationale, tandis que d'autres Parties comme la Mauritanie ont déjà soumis leur quatrième communication nationale. En conséquence, la majorité des Parties non visées à l'annexe I ont une certaine expérience en matière d'élaboration des évaluations V&amp;A.</w:t>
      </w:r>
    </w:p>
    <w:p w14:paraId="4E5EE8C4" w14:textId="77777777" w:rsidR="00BC6C8B" w:rsidRPr="00193BE6" w:rsidRDefault="00BC6C8B" w:rsidP="00BC6C8B">
      <w:pPr>
        <w:spacing w:after="0"/>
        <w:jc w:val="both"/>
        <w:rPr>
          <w:rFonts w:ascii="Times New Roman" w:hAnsi="Times New Roman" w:cs="Times New Roman"/>
          <w:sz w:val="24"/>
          <w:szCs w:val="24"/>
        </w:rPr>
      </w:pPr>
      <w:r w:rsidRPr="00193BE6">
        <w:rPr>
          <w:rFonts w:ascii="Times New Roman" w:hAnsi="Times New Roman" w:cs="Times New Roman"/>
          <w:sz w:val="24"/>
          <w:szCs w:val="24"/>
        </w:rPr>
        <w:t xml:space="preserve">Par ailleurs, de nombreux pays moins avancés (PMA) parmi lesquels la Mauritanie, ont </w:t>
      </w:r>
      <w:r w:rsidRPr="00AB07C5">
        <w:rPr>
          <w:sz w:val="24"/>
          <w:szCs w:val="24"/>
        </w:rPr>
        <w:t>aussi</w:t>
      </w:r>
      <w:r w:rsidRPr="00193BE6">
        <w:rPr>
          <w:rFonts w:ascii="Times New Roman" w:hAnsi="Times New Roman" w:cs="Times New Roman"/>
          <w:sz w:val="24"/>
          <w:szCs w:val="24"/>
        </w:rPr>
        <w:t xml:space="preserve"> initié des programmes d'adaptation nationaux d'actions (PANA). Dans le processus PANA, les PMA ont procédé à des évaluations participatives rapides de la vulnérabilité et à des exercices rigoureux d'identification et de priorisation des options d'adaptation potentielles. </w:t>
      </w:r>
    </w:p>
    <w:p w14:paraId="2A147DAC" w14:textId="77777777" w:rsidR="00BC6C8B" w:rsidRPr="00AB07C5" w:rsidRDefault="00BC6C8B" w:rsidP="00BC6C8B">
      <w:pPr>
        <w:spacing w:after="0"/>
        <w:jc w:val="both"/>
        <w:rPr>
          <w:sz w:val="24"/>
          <w:szCs w:val="24"/>
        </w:rPr>
      </w:pPr>
      <w:r w:rsidRPr="00193BE6">
        <w:rPr>
          <w:rFonts w:ascii="Times New Roman" w:hAnsi="Times New Roman" w:cs="Times New Roman"/>
          <w:sz w:val="24"/>
          <w:szCs w:val="24"/>
        </w:rPr>
        <w:t xml:space="preserve">Un certain nombre de pays ont officiellement soumis leur PANA à la CCNUCC (la Mauritanie en 2004), en utilisant un ensemble de processus d'engagement de parties prenantes lors de leur </w:t>
      </w:r>
      <w:r w:rsidRPr="00AB07C5">
        <w:rPr>
          <w:sz w:val="24"/>
          <w:szCs w:val="24"/>
        </w:rPr>
        <w:t>préparation.</w:t>
      </w:r>
    </w:p>
    <w:p w14:paraId="6F25FA7C" w14:textId="77777777" w:rsidR="00BC6C8B" w:rsidRPr="00AB07C5" w:rsidRDefault="00BC6C8B" w:rsidP="00BC6C8B">
      <w:pPr>
        <w:spacing w:after="0"/>
        <w:jc w:val="both"/>
        <w:rPr>
          <w:sz w:val="24"/>
          <w:szCs w:val="24"/>
        </w:rPr>
      </w:pPr>
      <w:r w:rsidRPr="00AB07C5">
        <w:rPr>
          <w:sz w:val="24"/>
          <w:szCs w:val="24"/>
        </w:rPr>
        <w:t>Nombre des Parties non visées à l'annexe I ont aussi entrepris des évaluations V&amp;A supplémentaires en parallèle au processus de communication nationale dans des domaines ; communautés ou secteurs individuels prioritaires.</w:t>
      </w:r>
    </w:p>
    <w:p w14:paraId="1F07606F" w14:textId="77777777" w:rsidR="00BC6C8B" w:rsidRPr="00193BE6" w:rsidRDefault="00BC6C8B" w:rsidP="00BC6C8B">
      <w:pPr>
        <w:spacing w:after="0"/>
        <w:jc w:val="both"/>
        <w:rPr>
          <w:rFonts w:ascii="Times New Roman" w:hAnsi="Times New Roman" w:cs="Times New Roman"/>
          <w:sz w:val="24"/>
          <w:szCs w:val="24"/>
        </w:rPr>
      </w:pPr>
      <w:r w:rsidRPr="00AB07C5">
        <w:rPr>
          <w:sz w:val="24"/>
          <w:szCs w:val="24"/>
        </w:rPr>
        <w:t xml:space="preserve">En vertu du Cadre d'adaptation de Cancun (CAC), </w:t>
      </w:r>
      <w:proofErr w:type="spellStart"/>
      <w:r w:rsidRPr="00AB07C5">
        <w:rPr>
          <w:sz w:val="24"/>
          <w:szCs w:val="24"/>
        </w:rPr>
        <w:t>CdP</w:t>
      </w:r>
      <w:proofErr w:type="spellEnd"/>
      <w:r w:rsidRPr="00AB07C5">
        <w:rPr>
          <w:sz w:val="24"/>
          <w:szCs w:val="24"/>
        </w:rPr>
        <w:t xml:space="preserve"> 17 a adopté le processus des plans nationaux d'adaptation (PAN). Ce processus permet aux PMA et autres Parties en voie de développement de réduire leur vulnérabilité aux effets des changements climatiques et facilite l'intégration de l'adaptation aux changements climatiques dans les politiques, programmes et actions nouveaux et actuels.</w:t>
      </w:r>
      <w:r w:rsidRPr="00193BE6">
        <w:rPr>
          <w:rFonts w:ascii="Times New Roman" w:hAnsi="Times New Roman" w:cs="Times New Roman"/>
          <w:sz w:val="24"/>
          <w:szCs w:val="24"/>
        </w:rPr>
        <w:t xml:space="preserve"> Ce processus a été élaboré pour s'appuyer sur l'expérience des Parties PMA dans l'élaboration et la mise en œuvre des PANA.   </w:t>
      </w:r>
    </w:p>
    <w:p w14:paraId="790B3FB0" w14:textId="77777777" w:rsidR="00BC6C8B" w:rsidRPr="00725FAD" w:rsidRDefault="00BC6C8B" w:rsidP="00BC6C8B">
      <w:pPr>
        <w:spacing w:after="0"/>
        <w:jc w:val="both"/>
        <w:rPr>
          <w:color w:val="5B9BD5" w:themeColor="accent5"/>
        </w:rPr>
      </w:pPr>
      <w:r w:rsidRPr="00193BE6">
        <w:rPr>
          <w:sz w:val="24"/>
          <w:szCs w:val="24"/>
        </w:rPr>
        <w:t>Des détails sur le processus PAN sont disponibles sur le site web du CCNUCC.</w:t>
      </w:r>
      <w:r>
        <w:rPr>
          <w:sz w:val="24"/>
          <w:szCs w:val="24"/>
        </w:rPr>
        <w:t xml:space="preserve"> </w:t>
      </w:r>
      <w:r w:rsidRPr="00193BE6">
        <w:rPr>
          <w:sz w:val="24"/>
          <w:szCs w:val="24"/>
        </w:rPr>
        <w:t>Il importe de</w:t>
      </w:r>
      <w:r>
        <w:rPr>
          <w:sz w:val="24"/>
          <w:szCs w:val="24"/>
        </w:rPr>
        <w:t xml:space="preserve"> </w:t>
      </w:r>
      <w:r w:rsidRPr="00193BE6">
        <w:rPr>
          <w:sz w:val="24"/>
          <w:szCs w:val="24"/>
        </w:rPr>
        <w:t xml:space="preserve">relever que d'autres Parties en voie de développement sont invitées à s'inspirer des modalités formulées pour appuyer les activités de planification de l'adaptation au plan national. Enfin, diverses organisations non-gouvernementales (ONG), y compris des institutions Académiques et des organisations du secteur privé, ont aussi entrepris des évaluations V&amp;A. </w:t>
      </w:r>
    </w:p>
    <w:p w14:paraId="3F973A13" w14:textId="77777777" w:rsidR="00BC6C8B" w:rsidRDefault="00BC6C8B" w:rsidP="00BC6C8B">
      <w:pPr>
        <w:rPr>
          <w:iCs/>
        </w:rPr>
      </w:pPr>
      <w:r>
        <w:rPr>
          <w:noProof/>
        </w:rPr>
        <w:t xml:space="preserve">                  </w:t>
      </w:r>
      <w:r>
        <w:rPr>
          <w:noProof/>
          <w:lang w:eastAsia="fr-FR"/>
        </w:rPr>
        <w:drawing>
          <wp:inline distT="0" distB="0" distL="0" distR="0" wp14:anchorId="30941446" wp14:editId="3BDA82B1">
            <wp:extent cx="3371850" cy="3124200"/>
            <wp:effectExtent l="0" t="0" r="0" b="0"/>
            <wp:docPr id="74489462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894624" name="Image 4"/>
                    <pic:cNvPicPr>
                      <a:picLocks noChangeAspect="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3371850" cy="3124200"/>
                    </a:xfrm>
                    <a:prstGeom prst="rect">
                      <a:avLst/>
                    </a:prstGeom>
                    <a:noFill/>
                    <a:ln>
                      <a:noFill/>
                    </a:ln>
                  </pic:spPr>
                </pic:pic>
              </a:graphicData>
            </a:graphic>
          </wp:inline>
        </w:drawing>
      </w:r>
    </w:p>
    <w:p w14:paraId="279BBD8D" w14:textId="77777777" w:rsidR="00BC6C8B" w:rsidRPr="003526EE" w:rsidRDefault="00BC6C8B" w:rsidP="00BC6C8B">
      <w:pPr>
        <w:pStyle w:val="Lgende"/>
        <w:rPr>
          <w:i w:val="0"/>
          <w:iCs w:val="0"/>
          <w:color w:val="auto"/>
          <w:sz w:val="24"/>
          <w:szCs w:val="24"/>
        </w:rPr>
      </w:pPr>
      <w:bookmarkStart w:id="456" w:name="_Toc177218802"/>
      <w:r w:rsidRPr="003526EE">
        <w:rPr>
          <w:b/>
          <w:bCs/>
          <w:i w:val="0"/>
          <w:iCs w:val="0"/>
          <w:color w:val="auto"/>
          <w:sz w:val="24"/>
          <w:szCs w:val="24"/>
        </w:rPr>
        <w:t xml:space="preserve">Tableau </w:t>
      </w:r>
      <w:r w:rsidRPr="003526EE">
        <w:rPr>
          <w:b/>
          <w:bCs/>
          <w:i w:val="0"/>
          <w:iCs w:val="0"/>
          <w:color w:val="auto"/>
          <w:sz w:val="24"/>
          <w:szCs w:val="24"/>
        </w:rPr>
        <w:fldChar w:fldCharType="begin"/>
      </w:r>
      <w:r w:rsidRPr="003526EE">
        <w:rPr>
          <w:b/>
          <w:bCs/>
          <w:i w:val="0"/>
          <w:iCs w:val="0"/>
          <w:color w:val="auto"/>
          <w:sz w:val="24"/>
          <w:szCs w:val="24"/>
        </w:rPr>
        <w:instrText xml:space="preserve"> SEQ Tableau \* ARABIC </w:instrText>
      </w:r>
      <w:r w:rsidRPr="003526EE">
        <w:rPr>
          <w:b/>
          <w:bCs/>
          <w:i w:val="0"/>
          <w:iCs w:val="0"/>
          <w:color w:val="auto"/>
          <w:sz w:val="24"/>
          <w:szCs w:val="24"/>
        </w:rPr>
        <w:fldChar w:fldCharType="separate"/>
      </w:r>
      <w:r>
        <w:rPr>
          <w:b/>
          <w:bCs/>
          <w:i w:val="0"/>
          <w:iCs w:val="0"/>
          <w:noProof/>
          <w:color w:val="auto"/>
          <w:sz w:val="24"/>
          <w:szCs w:val="24"/>
        </w:rPr>
        <w:t>5</w:t>
      </w:r>
      <w:r w:rsidRPr="003526EE">
        <w:rPr>
          <w:b/>
          <w:bCs/>
          <w:i w:val="0"/>
          <w:iCs w:val="0"/>
          <w:color w:val="auto"/>
          <w:sz w:val="24"/>
          <w:szCs w:val="24"/>
        </w:rPr>
        <w:fldChar w:fldCharType="end"/>
      </w:r>
      <w:r w:rsidRPr="003526EE">
        <w:rPr>
          <w:i w:val="0"/>
          <w:iCs w:val="0"/>
          <w:color w:val="auto"/>
          <w:sz w:val="24"/>
          <w:szCs w:val="24"/>
        </w:rPr>
        <w:t>:Cinq étapes à suivre dans le cadre de l'évaluation des risques</w:t>
      </w:r>
      <w:bookmarkEnd w:id="456"/>
    </w:p>
    <w:p w14:paraId="1CC38B1D" w14:textId="77777777" w:rsidR="00BC6C8B" w:rsidRPr="00193BE6" w:rsidRDefault="00BC6C8B" w:rsidP="00BC6C8B">
      <w:pPr>
        <w:spacing w:after="0" w:line="240" w:lineRule="auto"/>
        <w:rPr>
          <w:b/>
          <w:bCs/>
        </w:rPr>
      </w:pPr>
    </w:p>
    <w:tbl>
      <w:tblPr>
        <w:tblStyle w:val="Grilledutableau"/>
        <w:tblW w:w="9531" w:type="dxa"/>
        <w:tblLook w:val="04A0" w:firstRow="1" w:lastRow="0" w:firstColumn="1" w:lastColumn="0" w:noHBand="0" w:noVBand="1"/>
      </w:tblPr>
      <w:tblGrid>
        <w:gridCol w:w="1555"/>
        <w:gridCol w:w="2020"/>
        <w:gridCol w:w="2126"/>
        <w:gridCol w:w="1843"/>
        <w:gridCol w:w="1987"/>
      </w:tblGrid>
      <w:tr w:rsidR="00BC6C8B" w:rsidRPr="00193BE6" w14:paraId="21E86FD9" w14:textId="77777777" w:rsidTr="00EE0E23">
        <w:tc>
          <w:tcPr>
            <w:tcW w:w="9531" w:type="dxa"/>
            <w:gridSpan w:val="5"/>
            <w:tcBorders>
              <w:top w:val="single" w:sz="4" w:space="0" w:color="auto"/>
              <w:left w:val="single" w:sz="4" w:space="0" w:color="auto"/>
              <w:bottom w:val="single" w:sz="4" w:space="0" w:color="auto"/>
              <w:right w:val="single" w:sz="4" w:space="0" w:color="auto"/>
            </w:tcBorders>
            <w:hideMark/>
          </w:tcPr>
          <w:p w14:paraId="14BC968E" w14:textId="77777777" w:rsidR="00BC6C8B" w:rsidRPr="00193BE6" w:rsidRDefault="00BC6C8B" w:rsidP="00EE0E23">
            <w:r w:rsidRPr="00193BE6">
              <w:t>COMUNIQUER ET CONSULTER</w:t>
            </w:r>
          </w:p>
        </w:tc>
      </w:tr>
      <w:tr w:rsidR="00BC6C8B" w:rsidRPr="00193BE6" w14:paraId="0FC1337A" w14:textId="77777777" w:rsidTr="00EE0E23">
        <w:tc>
          <w:tcPr>
            <w:tcW w:w="1555" w:type="dxa"/>
            <w:tcBorders>
              <w:top w:val="single" w:sz="4" w:space="0" w:color="auto"/>
              <w:left w:val="single" w:sz="4" w:space="0" w:color="auto"/>
              <w:bottom w:val="single" w:sz="4" w:space="0" w:color="auto"/>
              <w:right w:val="single" w:sz="4" w:space="0" w:color="auto"/>
            </w:tcBorders>
            <w:hideMark/>
          </w:tcPr>
          <w:p w14:paraId="6D179C64" w14:textId="77777777" w:rsidR="00BC6C8B" w:rsidRPr="00193BE6" w:rsidRDefault="00BC6C8B" w:rsidP="00EE0E23">
            <w:pPr>
              <w:spacing w:line="259" w:lineRule="auto"/>
              <w:rPr>
                <w:b/>
                <w:bCs/>
              </w:rPr>
            </w:pPr>
            <w:r w:rsidRPr="00193BE6">
              <w:rPr>
                <w:b/>
                <w:bCs/>
              </w:rPr>
              <w:t>Etablir le contextes</w:t>
            </w:r>
          </w:p>
        </w:tc>
        <w:tc>
          <w:tcPr>
            <w:tcW w:w="2020" w:type="dxa"/>
            <w:vMerge w:val="restart"/>
            <w:tcBorders>
              <w:top w:val="single" w:sz="4" w:space="0" w:color="auto"/>
              <w:left w:val="single" w:sz="4" w:space="0" w:color="auto"/>
              <w:bottom w:val="single" w:sz="4" w:space="0" w:color="auto"/>
              <w:right w:val="single" w:sz="4" w:space="0" w:color="auto"/>
            </w:tcBorders>
            <w:hideMark/>
          </w:tcPr>
          <w:p w14:paraId="3DD789E3" w14:textId="77777777" w:rsidR="00BC6C8B" w:rsidRPr="00A46405" w:rsidRDefault="00BC6C8B" w:rsidP="00EE0E23">
            <w:pPr>
              <w:spacing w:line="259" w:lineRule="auto"/>
              <w:rPr>
                <w:b/>
                <w:bCs/>
                <w:sz w:val="20"/>
                <w:szCs w:val="20"/>
              </w:rPr>
            </w:pPr>
            <w:r w:rsidRPr="00A46405">
              <w:rPr>
                <w:b/>
                <w:bCs/>
                <w:sz w:val="20"/>
                <w:szCs w:val="20"/>
              </w:rPr>
              <w:t xml:space="preserve">Identifier les </w:t>
            </w:r>
          </w:p>
          <w:p w14:paraId="10D19020" w14:textId="77777777" w:rsidR="00BC6C8B" w:rsidRPr="00193BE6" w:rsidRDefault="00BC6C8B" w:rsidP="00EE0E23">
            <w:pPr>
              <w:spacing w:line="259" w:lineRule="auto"/>
              <w:rPr>
                <w:b/>
                <w:bCs/>
              </w:rPr>
            </w:pPr>
            <w:r w:rsidRPr="00A46405">
              <w:rPr>
                <w:b/>
                <w:bCs/>
                <w:sz w:val="20"/>
                <w:szCs w:val="20"/>
              </w:rPr>
              <w:t>Risques</w:t>
            </w:r>
          </w:p>
        </w:tc>
        <w:tc>
          <w:tcPr>
            <w:tcW w:w="2126" w:type="dxa"/>
            <w:tcBorders>
              <w:top w:val="single" w:sz="4" w:space="0" w:color="auto"/>
              <w:left w:val="single" w:sz="4" w:space="0" w:color="auto"/>
              <w:bottom w:val="single" w:sz="4" w:space="0" w:color="auto"/>
              <w:right w:val="single" w:sz="4" w:space="0" w:color="auto"/>
            </w:tcBorders>
            <w:hideMark/>
          </w:tcPr>
          <w:p w14:paraId="5292DA1D" w14:textId="77777777" w:rsidR="00BC6C8B" w:rsidRPr="00193BE6" w:rsidRDefault="00BC6C8B" w:rsidP="00EE0E23">
            <w:pPr>
              <w:spacing w:line="259" w:lineRule="auto"/>
            </w:pPr>
            <w:r w:rsidRPr="00193BE6">
              <w:rPr>
                <w:b/>
                <w:bCs/>
              </w:rPr>
              <w:t>Analyser les risques</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66C6771B" w14:textId="77777777" w:rsidR="00BC6C8B" w:rsidRPr="00193BE6" w:rsidRDefault="00BC6C8B" w:rsidP="00EE0E23">
            <w:pPr>
              <w:spacing w:line="259" w:lineRule="auto"/>
            </w:pPr>
            <w:r w:rsidRPr="00193BE6">
              <w:t xml:space="preserve">Evaluation des </w:t>
            </w:r>
          </w:p>
          <w:p w14:paraId="66D42837" w14:textId="77777777" w:rsidR="00BC6C8B" w:rsidRPr="00193BE6" w:rsidRDefault="00BC6C8B" w:rsidP="00EE0E23">
            <w:pPr>
              <w:spacing w:line="259" w:lineRule="auto"/>
            </w:pPr>
            <w:r>
              <w:t>risques</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7417A4E9" w14:textId="77777777" w:rsidR="00BC6C8B" w:rsidRPr="00193BE6" w:rsidRDefault="00BC6C8B" w:rsidP="00EE0E23">
            <w:pPr>
              <w:spacing w:line="259" w:lineRule="auto"/>
            </w:pPr>
            <w:r w:rsidRPr="00193BE6">
              <w:t xml:space="preserve">Traiter les </w:t>
            </w:r>
            <w:r>
              <w:t>risques</w:t>
            </w:r>
          </w:p>
          <w:p w14:paraId="4A1E842B" w14:textId="77777777" w:rsidR="00BC6C8B" w:rsidRPr="00193BE6" w:rsidRDefault="00BC6C8B" w:rsidP="00EE0E23">
            <w:pPr>
              <w:spacing w:line="259" w:lineRule="auto"/>
            </w:pPr>
          </w:p>
        </w:tc>
      </w:tr>
      <w:tr w:rsidR="00BC6C8B" w:rsidRPr="00193BE6" w14:paraId="0B08FE7E" w14:textId="77777777" w:rsidTr="00EE0E23">
        <w:tc>
          <w:tcPr>
            <w:tcW w:w="1555" w:type="dxa"/>
            <w:tcBorders>
              <w:top w:val="single" w:sz="4" w:space="0" w:color="auto"/>
              <w:left w:val="single" w:sz="4" w:space="0" w:color="auto"/>
              <w:bottom w:val="single" w:sz="4" w:space="0" w:color="auto"/>
              <w:right w:val="single" w:sz="4" w:space="0" w:color="auto"/>
            </w:tcBorders>
            <w:hideMark/>
          </w:tcPr>
          <w:p w14:paraId="01E0783C" w14:textId="77777777" w:rsidR="00BC6C8B" w:rsidRPr="00193BE6" w:rsidRDefault="00BC6C8B" w:rsidP="00EE0E23">
            <w:pPr>
              <w:spacing w:line="259" w:lineRule="auto"/>
            </w:pPr>
            <w:r w:rsidRPr="00193BE6">
              <w:t>Les objectifs</w:t>
            </w:r>
          </w:p>
        </w:tc>
        <w:tc>
          <w:tcPr>
            <w:tcW w:w="2020" w:type="dxa"/>
            <w:vMerge/>
            <w:tcBorders>
              <w:top w:val="single" w:sz="4" w:space="0" w:color="auto"/>
              <w:left w:val="single" w:sz="4" w:space="0" w:color="auto"/>
              <w:bottom w:val="single" w:sz="4" w:space="0" w:color="auto"/>
              <w:right w:val="single" w:sz="4" w:space="0" w:color="auto"/>
            </w:tcBorders>
            <w:vAlign w:val="center"/>
            <w:hideMark/>
          </w:tcPr>
          <w:p w14:paraId="1B715005" w14:textId="77777777" w:rsidR="00BC6C8B" w:rsidRPr="00193BE6" w:rsidRDefault="00BC6C8B" w:rsidP="00EE0E23">
            <w:pPr>
              <w:spacing w:line="259" w:lineRule="auto"/>
              <w:rPr>
                <w:b/>
                <w:bCs/>
              </w:rPr>
            </w:pPr>
          </w:p>
        </w:tc>
        <w:tc>
          <w:tcPr>
            <w:tcW w:w="2126" w:type="dxa"/>
            <w:tcBorders>
              <w:top w:val="single" w:sz="4" w:space="0" w:color="auto"/>
              <w:left w:val="single" w:sz="4" w:space="0" w:color="auto"/>
              <w:bottom w:val="single" w:sz="4" w:space="0" w:color="auto"/>
              <w:right w:val="single" w:sz="4" w:space="0" w:color="auto"/>
            </w:tcBorders>
            <w:hideMark/>
          </w:tcPr>
          <w:p w14:paraId="65178876" w14:textId="77777777" w:rsidR="00BC6C8B" w:rsidRPr="00193BE6" w:rsidRDefault="00BC6C8B" w:rsidP="00EE0E23">
            <w:pPr>
              <w:spacing w:line="259" w:lineRule="auto"/>
            </w:pPr>
            <w:r w:rsidRPr="00193BE6">
              <w:t>Revisiter et contrôler</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2DB13FF" w14:textId="77777777" w:rsidR="00BC6C8B" w:rsidRPr="00193BE6" w:rsidRDefault="00BC6C8B" w:rsidP="00EE0E23">
            <w:pPr>
              <w:spacing w:line="259" w:lineRule="auto"/>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99B0484" w14:textId="77777777" w:rsidR="00BC6C8B" w:rsidRPr="00193BE6" w:rsidRDefault="00BC6C8B" w:rsidP="00EE0E23">
            <w:pPr>
              <w:spacing w:after="160" w:line="259" w:lineRule="auto"/>
            </w:pPr>
          </w:p>
        </w:tc>
      </w:tr>
      <w:tr w:rsidR="00BC6C8B" w:rsidRPr="00193BE6" w14:paraId="268BB355" w14:textId="77777777" w:rsidTr="00EE0E23">
        <w:tc>
          <w:tcPr>
            <w:tcW w:w="1555" w:type="dxa"/>
            <w:tcBorders>
              <w:top w:val="single" w:sz="4" w:space="0" w:color="auto"/>
              <w:left w:val="single" w:sz="4" w:space="0" w:color="auto"/>
              <w:bottom w:val="single" w:sz="4" w:space="0" w:color="auto"/>
              <w:right w:val="single" w:sz="4" w:space="0" w:color="auto"/>
            </w:tcBorders>
            <w:hideMark/>
          </w:tcPr>
          <w:p w14:paraId="7317E6A3" w14:textId="77777777" w:rsidR="00BC6C8B" w:rsidRPr="00193BE6" w:rsidRDefault="00BC6C8B" w:rsidP="00EE0E23">
            <w:pPr>
              <w:spacing w:line="259" w:lineRule="auto"/>
            </w:pPr>
            <w:r w:rsidRPr="00193BE6">
              <w:t>Les parties prenantes</w:t>
            </w:r>
          </w:p>
        </w:tc>
        <w:tc>
          <w:tcPr>
            <w:tcW w:w="2020" w:type="dxa"/>
            <w:tcBorders>
              <w:top w:val="single" w:sz="4" w:space="0" w:color="auto"/>
              <w:left w:val="single" w:sz="4" w:space="0" w:color="auto"/>
              <w:bottom w:val="single" w:sz="4" w:space="0" w:color="auto"/>
              <w:right w:val="single" w:sz="4" w:space="0" w:color="auto"/>
            </w:tcBorders>
            <w:hideMark/>
          </w:tcPr>
          <w:p w14:paraId="76F7E443" w14:textId="65D14EB1" w:rsidR="00BC6C8B" w:rsidRPr="00193BE6" w:rsidRDefault="00164999" w:rsidP="00EE0E23">
            <w:pPr>
              <w:spacing w:line="259" w:lineRule="auto"/>
              <w:rPr>
                <w:b/>
                <w:bCs/>
              </w:rPr>
            </w:pPr>
            <w:r w:rsidRPr="00193BE6">
              <w:t>Que</w:t>
            </w:r>
            <w:r w:rsidR="00BC6C8B" w:rsidRPr="00193BE6">
              <w:t xml:space="preserve"> peut-il arriver ?</w:t>
            </w:r>
          </w:p>
        </w:tc>
        <w:tc>
          <w:tcPr>
            <w:tcW w:w="2126" w:type="dxa"/>
            <w:tcBorders>
              <w:top w:val="single" w:sz="4" w:space="0" w:color="auto"/>
              <w:left w:val="single" w:sz="4" w:space="0" w:color="auto"/>
              <w:bottom w:val="single" w:sz="4" w:space="0" w:color="auto"/>
              <w:right w:val="single" w:sz="4" w:space="0" w:color="auto"/>
            </w:tcBorders>
            <w:hideMark/>
          </w:tcPr>
          <w:p w14:paraId="1EFCD1A8" w14:textId="29C4D4A3" w:rsidR="00BC6C8B" w:rsidRPr="00193BE6" w:rsidRDefault="00164999" w:rsidP="00EE0E23">
            <w:pPr>
              <w:spacing w:line="259" w:lineRule="auto"/>
              <w:rPr>
                <w:b/>
                <w:bCs/>
              </w:rPr>
            </w:pPr>
            <w:r w:rsidRPr="00193BE6">
              <w:t>Les</w:t>
            </w:r>
            <w:r w:rsidR="00BC6C8B" w:rsidRPr="00193BE6">
              <w:t xml:space="preserve"> moyens de subsistances</w:t>
            </w:r>
          </w:p>
        </w:tc>
        <w:tc>
          <w:tcPr>
            <w:tcW w:w="1843" w:type="dxa"/>
            <w:tcBorders>
              <w:top w:val="single" w:sz="4" w:space="0" w:color="auto"/>
              <w:left w:val="single" w:sz="4" w:space="0" w:color="auto"/>
              <w:bottom w:val="single" w:sz="4" w:space="0" w:color="auto"/>
              <w:right w:val="single" w:sz="4" w:space="0" w:color="auto"/>
            </w:tcBorders>
            <w:hideMark/>
          </w:tcPr>
          <w:p w14:paraId="6403E27C" w14:textId="77777777" w:rsidR="00BC6C8B" w:rsidRPr="00193BE6" w:rsidRDefault="00BC6C8B" w:rsidP="00EE0E23">
            <w:pPr>
              <w:spacing w:line="259" w:lineRule="auto"/>
            </w:pPr>
            <w:r w:rsidRPr="00193BE6">
              <w:t>Evaluer les risques</w:t>
            </w:r>
          </w:p>
        </w:tc>
        <w:tc>
          <w:tcPr>
            <w:tcW w:w="1984" w:type="dxa"/>
            <w:tcBorders>
              <w:top w:val="single" w:sz="4" w:space="0" w:color="auto"/>
              <w:left w:val="single" w:sz="4" w:space="0" w:color="auto"/>
              <w:bottom w:val="single" w:sz="4" w:space="0" w:color="auto"/>
              <w:right w:val="single" w:sz="4" w:space="0" w:color="auto"/>
            </w:tcBorders>
            <w:hideMark/>
          </w:tcPr>
          <w:p w14:paraId="0414A1B1" w14:textId="77777777" w:rsidR="00BC6C8B" w:rsidRPr="00193BE6" w:rsidRDefault="00BC6C8B" w:rsidP="00EE0E23">
            <w:pPr>
              <w:spacing w:line="259" w:lineRule="auto"/>
            </w:pPr>
            <w:r w:rsidRPr="00193BE6">
              <w:t>Identifier les options</w:t>
            </w:r>
          </w:p>
        </w:tc>
      </w:tr>
      <w:tr w:rsidR="00BC6C8B" w:rsidRPr="00193BE6" w14:paraId="5FA20A93" w14:textId="77777777" w:rsidTr="00EE0E23">
        <w:tc>
          <w:tcPr>
            <w:tcW w:w="1555" w:type="dxa"/>
            <w:tcBorders>
              <w:top w:val="single" w:sz="4" w:space="0" w:color="auto"/>
              <w:left w:val="single" w:sz="4" w:space="0" w:color="auto"/>
              <w:bottom w:val="single" w:sz="4" w:space="0" w:color="auto"/>
              <w:right w:val="single" w:sz="4" w:space="0" w:color="auto"/>
            </w:tcBorders>
            <w:hideMark/>
          </w:tcPr>
          <w:p w14:paraId="586B87EA" w14:textId="77777777" w:rsidR="00BC6C8B" w:rsidRPr="00193BE6" w:rsidRDefault="00BC6C8B" w:rsidP="00EE0E23">
            <w:r w:rsidRPr="00193BE6">
              <w:t>Les critères et éléments clés</w:t>
            </w:r>
          </w:p>
        </w:tc>
        <w:tc>
          <w:tcPr>
            <w:tcW w:w="2020" w:type="dxa"/>
            <w:tcBorders>
              <w:top w:val="single" w:sz="4" w:space="0" w:color="auto"/>
              <w:left w:val="single" w:sz="4" w:space="0" w:color="auto"/>
              <w:bottom w:val="single" w:sz="4" w:space="0" w:color="auto"/>
              <w:right w:val="single" w:sz="4" w:space="0" w:color="auto"/>
            </w:tcBorders>
            <w:hideMark/>
          </w:tcPr>
          <w:p w14:paraId="3049F327" w14:textId="7F1E401C" w:rsidR="00BC6C8B" w:rsidRPr="00193BE6" w:rsidRDefault="00164999" w:rsidP="00EE0E23">
            <w:r w:rsidRPr="00193BE6">
              <w:t>Comment</w:t>
            </w:r>
            <w:r w:rsidR="00BC6C8B" w:rsidRPr="00193BE6">
              <w:t xml:space="preserve"> cela a-t-il pu arriver ?</w:t>
            </w:r>
          </w:p>
        </w:tc>
        <w:tc>
          <w:tcPr>
            <w:tcW w:w="2126" w:type="dxa"/>
            <w:tcBorders>
              <w:top w:val="single" w:sz="4" w:space="0" w:color="auto"/>
              <w:left w:val="single" w:sz="4" w:space="0" w:color="auto"/>
              <w:bottom w:val="single" w:sz="4" w:space="0" w:color="auto"/>
              <w:right w:val="single" w:sz="4" w:space="0" w:color="auto"/>
            </w:tcBorders>
            <w:hideMark/>
          </w:tcPr>
          <w:p w14:paraId="2001DC29" w14:textId="77777777" w:rsidR="00BC6C8B" w:rsidRPr="00193BE6" w:rsidRDefault="00BC6C8B" w:rsidP="00EE0E23">
            <w:r w:rsidRPr="00193BE6">
              <w:t xml:space="preserve">Les conséquences  </w:t>
            </w:r>
          </w:p>
        </w:tc>
        <w:tc>
          <w:tcPr>
            <w:tcW w:w="1843" w:type="dxa"/>
            <w:tcBorders>
              <w:top w:val="single" w:sz="4" w:space="0" w:color="auto"/>
              <w:left w:val="single" w:sz="4" w:space="0" w:color="auto"/>
              <w:bottom w:val="single" w:sz="4" w:space="0" w:color="auto"/>
              <w:right w:val="single" w:sz="4" w:space="0" w:color="auto"/>
            </w:tcBorders>
            <w:hideMark/>
          </w:tcPr>
          <w:p w14:paraId="0267E531" w14:textId="77777777" w:rsidR="00BC6C8B" w:rsidRPr="00193BE6" w:rsidRDefault="00BC6C8B" w:rsidP="00EE0E23">
            <w:r w:rsidRPr="00193BE6">
              <w:t>Classer les risques</w:t>
            </w:r>
          </w:p>
        </w:tc>
        <w:tc>
          <w:tcPr>
            <w:tcW w:w="1984" w:type="dxa"/>
            <w:tcBorders>
              <w:top w:val="single" w:sz="4" w:space="0" w:color="auto"/>
              <w:left w:val="single" w:sz="4" w:space="0" w:color="auto"/>
              <w:bottom w:val="single" w:sz="4" w:space="0" w:color="auto"/>
              <w:right w:val="single" w:sz="4" w:space="0" w:color="auto"/>
            </w:tcBorders>
            <w:hideMark/>
          </w:tcPr>
          <w:p w14:paraId="66D04989" w14:textId="77777777" w:rsidR="00BC6C8B" w:rsidRPr="00193BE6" w:rsidRDefault="00BC6C8B" w:rsidP="00EE0E23">
            <w:r w:rsidRPr="00193BE6">
              <w:t>Sélectionner les meilleures</w:t>
            </w:r>
          </w:p>
        </w:tc>
      </w:tr>
      <w:tr w:rsidR="00BC6C8B" w:rsidRPr="00193BE6" w14:paraId="4697DF83" w14:textId="77777777" w:rsidTr="00EE0E23">
        <w:tc>
          <w:tcPr>
            <w:tcW w:w="1555" w:type="dxa"/>
            <w:tcBorders>
              <w:top w:val="single" w:sz="4" w:space="0" w:color="auto"/>
              <w:left w:val="single" w:sz="4" w:space="0" w:color="auto"/>
              <w:bottom w:val="single" w:sz="4" w:space="0" w:color="auto"/>
              <w:right w:val="single" w:sz="4" w:space="0" w:color="auto"/>
            </w:tcBorders>
            <w:hideMark/>
          </w:tcPr>
          <w:p w14:paraId="667C9945" w14:textId="77777777" w:rsidR="00BC6C8B" w:rsidRPr="00193BE6" w:rsidRDefault="00BC6C8B" w:rsidP="00EE0E23">
            <w:r w:rsidRPr="00193BE6">
              <w:t>Les scénarios climatiques</w:t>
            </w:r>
          </w:p>
        </w:tc>
        <w:tc>
          <w:tcPr>
            <w:tcW w:w="2020" w:type="dxa"/>
            <w:tcBorders>
              <w:top w:val="single" w:sz="4" w:space="0" w:color="auto"/>
              <w:left w:val="single" w:sz="4" w:space="0" w:color="auto"/>
              <w:bottom w:val="single" w:sz="4" w:space="0" w:color="auto"/>
              <w:right w:val="single" w:sz="4" w:space="0" w:color="auto"/>
            </w:tcBorders>
          </w:tcPr>
          <w:p w14:paraId="5510CD2C" w14:textId="77777777" w:rsidR="00BC6C8B" w:rsidRPr="00193BE6" w:rsidRDefault="00BC6C8B" w:rsidP="00EE0E23"/>
        </w:tc>
        <w:tc>
          <w:tcPr>
            <w:tcW w:w="2126" w:type="dxa"/>
            <w:tcBorders>
              <w:top w:val="single" w:sz="4" w:space="0" w:color="auto"/>
              <w:left w:val="single" w:sz="4" w:space="0" w:color="auto"/>
              <w:bottom w:val="single" w:sz="4" w:space="0" w:color="auto"/>
              <w:right w:val="single" w:sz="4" w:space="0" w:color="auto"/>
            </w:tcBorders>
            <w:hideMark/>
          </w:tcPr>
          <w:p w14:paraId="009BFA6A" w14:textId="77777777" w:rsidR="00BC6C8B" w:rsidRPr="00193BE6" w:rsidRDefault="00BC6C8B" w:rsidP="00EE0E23">
            <w:r w:rsidRPr="00193BE6">
              <w:t xml:space="preserve"> Niveau du risque</w:t>
            </w:r>
          </w:p>
        </w:tc>
        <w:tc>
          <w:tcPr>
            <w:tcW w:w="1843" w:type="dxa"/>
            <w:tcBorders>
              <w:top w:val="single" w:sz="4" w:space="0" w:color="auto"/>
              <w:left w:val="single" w:sz="4" w:space="0" w:color="auto"/>
              <w:bottom w:val="single" w:sz="4" w:space="0" w:color="auto"/>
              <w:right w:val="single" w:sz="4" w:space="0" w:color="auto"/>
            </w:tcBorders>
            <w:hideMark/>
          </w:tcPr>
          <w:p w14:paraId="7AE2576C" w14:textId="468E7CA4" w:rsidR="00BC6C8B" w:rsidRPr="00193BE6" w:rsidRDefault="00164999" w:rsidP="00EE0E23">
            <w:r w:rsidRPr="00193BE6">
              <w:t>Filtrer</w:t>
            </w:r>
            <w:r w:rsidR="00BC6C8B" w:rsidRPr="00193BE6">
              <w:t xml:space="preserve"> les risques mineurs</w:t>
            </w:r>
          </w:p>
        </w:tc>
        <w:tc>
          <w:tcPr>
            <w:tcW w:w="1984" w:type="dxa"/>
            <w:tcBorders>
              <w:top w:val="single" w:sz="4" w:space="0" w:color="auto"/>
              <w:left w:val="single" w:sz="4" w:space="0" w:color="auto"/>
              <w:bottom w:val="single" w:sz="4" w:space="0" w:color="auto"/>
              <w:right w:val="single" w:sz="4" w:space="0" w:color="auto"/>
            </w:tcBorders>
            <w:hideMark/>
          </w:tcPr>
          <w:p w14:paraId="5840BCCD" w14:textId="77777777" w:rsidR="00BC6C8B" w:rsidRPr="00193BE6" w:rsidRDefault="00BC6C8B" w:rsidP="00EE0E23">
            <w:pPr>
              <w:ind w:left="-147" w:right="-68"/>
            </w:pPr>
            <w:r>
              <w:t xml:space="preserve"> </w:t>
            </w:r>
            <w:r w:rsidRPr="00193BE6">
              <w:t>Développer les</w:t>
            </w:r>
            <w:r>
              <w:t xml:space="preserve"> </w:t>
            </w:r>
            <w:r w:rsidRPr="00193BE6">
              <w:t xml:space="preserve">plans de mise en œuvre </w:t>
            </w:r>
          </w:p>
        </w:tc>
      </w:tr>
      <w:tr w:rsidR="00BC6C8B" w:rsidRPr="00193BE6" w14:paraId="3449C7F0" w14:textId="77777777" w:rsidTr="00EE0E23">
        <w:tc>
          <w:tcPr>
            <w:tcW w:w="9531"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B6672AA" w14:textId="77777777" w:rsidR="00BC6C8B" w:rsidRPr="00AB07C5" w:rsidRDefault="00BC6C8B" w:rsidP="00EE0E23">
            <w:pPr>
              <w:rPr>
                <w:b/>
                <w:bCs/>
              </w:rPr>
            </w:pPr>
            <w:r w:rsidRPr="00AB07C5">
              <w:rPr>
                <w:b/>
                <w:bCs/>
              </w:rPr>
              <w:t xml:space="preserve">                        Suivi                            et                                   évaluation</w:t>
            </w:r>
          </w:p>
        </w:tc>
      </w:tr>
    </w:tbl>
    <w:p w14:paraId="0D881669" w14:textId="77777777" w:rsidR="00BC6C8B" w:rsidRPr="00E647E1" w:rsidRDefault="00BC6C8B" w:rsidP="00BC6C8B">
      <w:pPr>
        <w:spacing w:after="0"/>
        <w:jc w:val="both"/>
        <w:rPr>
          <w:sz w:val="2"/>
          <w:szCs w:val="2"/>
        </w:rPr>
      </w:pPr>
      <w:bookmarkStart w:id="457" w:name="_Toc176366138"/>
    </w:p>
    <w:p w14:paraId="38D073EA" w14:textId="77777777" w:rsidR="00BC6C8B" w:rsidRPr="004A622D" w:rsidRDefault="00BC6C8B" w:rsidP="00BC6C8B">
      <w:pPr>
        <w:spacing w:before="300" w:after="40"/>
        <w:outlineLvl w:val="0"/>
        <w:rPr>
          <w:rFonts w:ascii="Calibri" w:eastAsia="Times New Roman" w:hAnsi="Calibri" w:cs="Calibri"/>
          <w:spacing w:val="5"/>
          <w:lang w:bidi="en-US"/>
        </w:rPr>
      </w:pPr>
      <w:bookmarkStart w:id="458" w:name="_Toc58061712"/>
      <w:bookmarkEnd w:id="457"/>
      <w:r w:rsidRPr="004A622D">
        <w:rPr>
          <w:rFonts w:ascii="Calibri" w:eastAsia="Times New Roman" w:hAnsi="Calibri" w:cs="Calibri"/>
          <w:b/>
          <w:spacing w:val="5"/>
          <w:lang w:bidi="en-US"/>
        </w:rPr>
        <w:t>Chapitre 5 – Exposition des résultats stratégiques clés aux risques climatiques</w:t>
      </w:r>
      <w:bookmarkEnd w:id="458"/>
    </w:p>
    <w:p w14:paraId="2FFBB392" w14:textId="77777777" w:rsidR="00BC6C8B" w:rsidRPr="004A622D" w:rsidRDefault="00BC6C8B" w:rsidP="00BC6C8B">
      <w:pPr>
        <w:autoSpaceDE w:val="0"/>
        <w:autoSpaceDN w:val="0"/>
        <w:adjustRightInd w:val="0"/>
        <w:spacing w:before="100" w:beforeAutospacing="1" w:after="100" w:afterAutospacing="1" w:line="23" w:lineRule="atLeast"/>
        <w:jc w:val="both"/>
        <w:rPr>
          <w:rFonts w:ascii="Calibri" w:eastAsia="Times New Roman" w:hAnsi="Calibri" w:cs="Calibri"/>
          <w:lang w:bidi="en-US"/>
        </w:rPr>
      </w:pPr>
      <w:r>
        <w:rPr>
          <w:rFonts w:ascii="Calibri" w:eastAsia="Times New Roman" w:hAnsi="Calibri" w:cs="Calibri"/>
          <w:lang w:bidi="en-US"/>
        </w:rPr>
        <w:t xml:space="preserve">Selon </w:t>
      </w:r>
      <w:r w:rsidRPr="004A622D">
        <w:rPr>
          <w:rFonts w:ascii="Calibri" w:eastAsia="Times New Roman" w:hAnsi="Calibri" w:cs="Calibri"/>
          <w:lang w:bidi="en-US"/>
        </w:rPr>
        <w:t xml:space="preserve">Les scénarii climatiques rapportés dans la NC4, 2019, la Mauritanie devra connaître une forte exposition socio-économique et écologique au changement climatique qui serait à l’origine d’importants impacts. Cependant, ces impacts, pour considérables et préjudiciables qu’ils soient, restent encore faiblement documentés, ce qui limite grandement l’évaluation des coûts socio-économiques qui en résulteraient. </w:t>
      </w:r>
    </w:p>
    <w:p w14:paraId="6624C087" w14:textId="77777777" w:rsidR="00BC6C8B" w:rsidRDefault="00BC6C8B" w:rsidP="00BC6C8B">
      <w:p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Les impacts des changements climatiques sont ainsi appréciés selon des jugements d’experts basés soit sur l’observation in situ, soit sur l’exploitation des données générales fournies par le Groupe international des experts du climat (GIEC). Ils affectent tous les secteurs de l’économie, y compris le Secteur de l’urbain et de l’aménagement du territoire.</w:t>
      </w:r>
    </w:p>
    <w:p w14:paraId="2AFAE8BD" w14:textId="77777777" w:rsidR="00BC6C8B" w:rsidRDefault="00BC6C8B" w:rsidP="00BC6C8B">
      <w:pPr>
        <w:autoSpaceDE w:val="0"/>
        <w:autoSpaceDN w:val="0"/>
        <w:adjustRightInd w:val="0"/>
        <w:spacing w:before="100" w:beforeAutospacing="1" w:after="100" w:afterAutospacing="1" w:line="23" w:lineRule="atLeast"/>
        <w:jc w:val="both"/>
        <w:rPr>
          <w:rFonts w:ascii="Calibri" w:eastAsia="Times New Roman" w:hAnsi="Calibri" w:cs="Calibri"/>
          <w:lang w:bidi="en-US"/>
        </w:rPr>
      </w:pPr>
    </w:p>
    <w:p w14:paraId="76BF7180" w14:textId="77777777" w:rsidR="00BC6C8B" w:rsidRDefault="00BC6C8B" w:rsidP="00BC6C8B">
      <w:pPr>
        <w:autoSpaceDE w:val="0"/>
        <w:autoSpaceDN w:val="0"/>
        <w:adjustRightInd w:val="0"/>
        <w:spacing w:before="100" w:beforeAutospacing="1" w:after="100" w:afterAutospacing="1" w:line="23" w:lineRule="atLeast"/>
        <w:jc w:val="both"/>
        <w:rPr>
          <w:rFonts w:ascii="Calibri" w:eastAsia="Times New Roman" w:hAnsi="Calibri" w:cs="Calibri"/>
          <w:lang w:bidi="en-US"/>
        </w:rPr>
      </w:pPr>
    </w:p>
    <w:p w14:paraId="29722959" w14:textId="77777777" w:rsidR="00BC6C8B" w:rsidRPr="00025547" w:rsidRDefault="00BC6C8B" w:rsidP="00BC6C8B">
      <w:pPr>
        <w:pStyle w:val="Paragraphedeliste"/>
        <w:numPr>
          <w:ilvl w:val="0"/>
          <w:numId w:val="460"/>
        </w:numPr>
        <w:autoSpaceDE w:val="0"/>
        <w:autoSpaceDN w:val="0"/>
        <w:adjustRightInd w:val="0"/>
        <w:spacing w:before="100" w:beforeAutospacing="1" w:after="100" w:afterAutospacing="1" w:line="23" w:lineRule="atLeast"/>
        <w:ind w:left="709"/>
        <w:jc w:val="both"/>
        <w:rPr>
          <w:rFonts w:ascii="Calibri" w:eastAsia="Times New Roman" w:hAnsi="Calibri" w:cs="Calibri"/>
          <w:b/>
          <w:iCs/>
          <w:lang w:bidi="en-US"/>
        </w:rPr>
      </w:pPr>
      <w:r w:rsidRPr="00025547">
        <w:rPr>
          <w:rFonts w:ascii="Calibri" w:eastAsia="Times New Roman" w:hAnsi="Calibri" w:cs="Calibri"/>
          <w:b/>
          <w:iCs/>
          <w:lang w:bidi="en-US"/>
        </w:rPr>
        <w:t>L’urbain et le changement climatique</w:t>
      </w:r>
    </w:p>
    <w:p w14:paraId="1BA8F9E6" w14:textId="77777777" w:rsidR="00BC6C8B" w:rsidRPr="004A622D" w:rsidRDefault="00BC6C8B" w:rsidP="00BC6C8B">
      <w:pPr>
        <w:autoSpaceDE w:val="0"/>
        <w:autoSpaceDN w:val="0"/>
        <w:adjustRightInd w:val="0"/>
        <w:spacing w:before="120" w:after="120" w:line="23" w:lineRule="atLeast"/>
        <w:jc w:val="both"/>
        <w:rPr>
          <w:rFonts w:ascii="Calibri" w:eastAsia="Times New Roman" w:hAnsi="Calibri" w:cs="Calibri"/>
          <w:lang w:bidi="en-US"/>
        </w:rPr>
      </w:pPr>
      <w:r w:rsidRPr="004A622D">
        <w:rPr>
          <w:rFonts w:ascii="Calibri" w:eastAsia="Times New Roman" w:hAnsi="Calibri" w:cs="Calibri"/>
          <w:lang w:bidi="en-US"/>
        </w:rPr>
        <w:t>Comme précédemment démontré, l’ampleur du phénomène urbain en Mauritanie est en lui-même une conséquence du changement climatique. La plupart des néo-urbains sont en réalité des réfugiés climatiques. La rapidité du phénomène explique les dramatiques conditions d’urbanisation marquées par :</w:t>
      </w:r>
    </w:p>
    <w:p w14:paraId="3C87B9BB" w14:textId="77777777" w:rsidR="00BC6C8B" w:rsidRPr="004A622D" w:rsidRDefault="00BC6C8B" w:rsidP="00BC6C8B">
      <w:pPr>
        <w:numPr>
          <w:ilvl w:val="0"/>
          <w:numId w:val="449"/>
        </w:numPr>
        <w:autoSpaceDE w:val="0"/>
        <w:autoSpaceDN w:val="0"/>
        <w:adjustRightInd w:val="0"/>
        <w:spacing w:before="120" w:after="0" w:line="23" w:lineRule="atLeast"/>
        <w:ind w:left="714" w:hanging="357"/>
        <w:jc w:val="both"/>
        <w:rPr>
          <w:rFonts w:ascii="Calibri" w:eastAsia="Times New Roman" w:hAnsi="Calibri" w:cs="Calibri"/>
          <w:lang w:bidi="en-US"/>
        </w:rPr>
      </w:pPr>
      <w:r w:rsidRPr="004A622D">
        <w:rPr>
          <w:rFonts w:ascii="Calibri" w:eastAsia="Times New Roman" w:hAnsi="Calibri" w:cs="Calibri"/>
          <w:lang w:bidi="en-US"/>
        </w:rPr>
        <w:t>La multiplication des quartiers précaires dans les centres urbains ;</w:t>
      </w:r>
    </w:p>
    <w:p w14:paraId="3DED1838" w14:textId="77777777" w:rsidR="00BC6C8B" w:rsidRPr="004A622D" w:rsidRDefault="00BC6C8B" w:rsidP="00BC6C8B">
      <w:pPr>
        <w:numPr>
          <w:ilvl w:val="0"/>
          <w:numId w:val="449"/>
        </w:num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L’écart considérable entre offres et demandes de services urbains (eau, électricité, assainissement, voieries, gestion des déchets, éducation, santé, transport, etc.) ;</w:t>
      </w:r>
    </w:p>
    <w:p w14:paraId="4BC6FBA7" w14:textId="77777777" w:rsidR="00BC6C8B" w:rsidRPr="004A622D" w:rsidRDefault="00BC6C8B" w:rsidP="00BC6C8B">
      <w:pPr>
        <w:numPr>
          <w:ilvl w:val="0"/>
          <w:numId w:val="449"/>
        </w:num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L’exposition des villes à l’ensablement, aux inondations, aux intrusions marines, aux battements des nappes phréatiques… ;</w:t>
      </w:r>
    </w:p>
    <w:p w14:paraId="2BB1114F" w14:textId="77777777" w:rsidR="00BC6C8B" w:rsidRPr="004A622D" w:rsidRDefault="00BC6C8B" w:rsidP="00BC6C8B">
      <w:pPr>
        <w:numPr>
          <w:ilvl w:val="0"/>
          <w:numId w:val="449"/>
        </w:num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 xml:space="preserve">L’extension des villes sur les terres agricoles ou sur des espaces </w:t>
      </w:r>
      <w:r w:rsidRPr="004A622D">
        <w:rPr>
          <w:rFonts w:ascii="Calibri" w:eastAsia="Times New Roman" w:hAnsi="Calibri" w:cs="Calibri"/>
          <w:i/>
          <w:lang w:bidi="en-US"/>
        </w:rPr>
        <w:t>non aedificandi</w:t>
      </w:r>
      <w:r w:rsidRPr="004A622D">
        <w:rPr>
          <w:rFonts w:ascii="Calibri" w:eastAsia="Times New Roman" w:hAnsi="Calibri" w:cs="Calibri"/>
          <w:lang w:bidi="en-US"/>
        </w:rPr>
        <w:t> ;</w:t>
      </w:r>
    </w:p>
    <w:p w14:paraId="42F1BCCB" w14:textId="77777777" w:rsidR="00BC6C8B" w:rsidRPr="004A622D" w:rsidRDefault="00BC6C8B" w:rsidP="00BC6C8B">
      <w:pPr>
        <w:numPr>
          <w:ilvl w:val="0"/>
          <w:numId w:val="449"/>
        </w:num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La forte littoralisation des hommes et des activités qui accroit encore davantage les problèmes d’érosion côtière.</w:t>
      </w:r>
    </w:p>
    <w:p w14:paraId="4EE4A152" w14:textId="77777777" w:rsidR="00BC6C8B" w:rsidRPr="004A622D" w:rsidRDefault="00BC6C8B" w:rsidP="00BC6C8B">
      <w:p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L’ampleur de la vulnérabilité de l’urbain devient préoccupante face aux faiblesses des capacités à y faire face, et face surtout à la conduite de politiques publiques décalées par rapport aux exigences de l’adaptation.</w:t>
      </w:r>
    </w:p>
    <w:p w14:paraId="340D9E02" w14:textId="77777777" w:rsidR="00BC6C8B" w:rsidRPr="00025547" w:rsidRDefault="00BC6C8B" w:rsidP="00BC6C8B">
      <w:pPr>
        <w:pStyle w:val="Paragraphedeliste"/>
        <w:numPr>
          <w:ilvl w:val="0"/>
          <w:numId w:val="460"/>
        </w:numPr>
        <w:autoSpaceDE w:val="0"/>
        <w:autoSpaceDN w:val="0"/>
        <w:adjustRightInd w:val="0"/>
        <w:spacing w:before="100" w:beforeAutospacing="1" w:after="100" w:afterAutospacing="1" w:line="23" w:lineRule="atLeast"/>
        <w:ind w:left="709"/>
        <w:jc w:val="both"/>
        <w:rPr>
          <w:rFonts w:ascii="Calibri" w:eastAsia="Times New Roman" w:hAnsi="Calibri" w:cs="Calibri"/>
          <w:b/>
          <w:iCs/>
          <w:lang w:bidi="en-US"/>
        </w:rPr>
      </w:pPr>
      <w:r w:rsidRPr="00025547">
        <w:rPr>
          <w:rFonts w:ascii="Calibri" w:eastAsia="Times New Roman" w:hAnsi="Calibri" w:cs="Calibri"/>
          <w:b/>
          <w:iCs/>
          <w:lang w:bidi="en-US"/>
        </w:rPr>
        <w:t>L’habitat et le changement climatique</w:t>
      </w:r>
    </w:p>
    <w:p w14:paraId="097376B1" w14:textId="77777777" w:rsidR="00BC6C8B" w:rsidRDefault="00BC6C8B" w:rsidP="00BC6C8B">
      <w:pPr>
        <w:autoSpaceDE w:val="0"/>
        <w:autoSpaceDN w:val="0"/>
        <w:adjustRightInd w:val="0"/>
        <w:spacing w:after="120" w:line="240" w:lineRule="auto"/>
        <w:jc w:val="both"/>
        <w:rPr>
          <w:rFonts w:ascii="Calibri" w:eastAsia="Times New Roman" w:hAnsi="Calibri" w:cs="Calibri"/>
          <w:lang w:bidi="en-US"/>
        </w:rPr>
      </w:pPr>
      <w:r w:rsidRPr="004A622D">
        <w:rPr>
          <w:rFonts w:ascii="Calibri" w:eastAsia="Times New Roman" w:hAnsi="Calibri" w:cs="Calibri"/>
          <w:lang w:bidi="en-US"/>
        </w:rPr>
        <w:t xml:space="preserve">Avec le changement climatique, l’habitat a été profondément modifié. Ainsi, il devient un indicateur du statut social, en ce sens que l’habitat en dur est celui des riches et les pauvres devant se contenter d’habitats précaires construits en dehors des règles de l’art. </w:t>
      </w:r>
    </w:p>
    <w:p w14:paraId="2D9D0E1D" w14:textId="77777777" w:rsidR="00BC6C8B" w:rsidRPr="004A622D" w:rsidRDefault="00BC6C8B" w:rsidP="00BC6C8B">
      <w:pPr>
        <w:autoSpaceDE w:val="0"/>
        <w:autoSpaceDN w:val="0"/>
        <w:adjustRightInd w:val="0"/>
        <w:spacing w:after="120" w:line="240" w:lineRule="auto"/>
        <w:jc w:val="both"/>
        <w:rPr>
          <w:rFonts w:ascii="Calibri" w:eastAsia="Times New Roman" w:hAnsi="Calibri" w:cs="Calibri"/>
          <w:lang w:bidi="en-US"/>
        </w:rPr>
      </w:pPr>
      <w:r w:rsidRPr="004A622D">
        <w:rPr>
          <w:rFonts w:ascii="Calibri" w:eastAsia="Times New Roman" w:hAnsi="Calibri" w:cs="Calibri"/>
          <w:lang w:bidi="en-US"/>
        </w:rPr>
        <w:t>Si l’auto-construction comme mode d’accès au logement a perduré, en revanche, l’usage des matériaux locaux a beaucoup régressé, engendrant une forte dépendance des produits et matériaux importés. A cette dépendance s’ajoutent les risques liés aux intempéries qui sont de plus en plus fréquentes face auxquelles une résilience est à construire. L’urgence d’un habitat décent, abordable, résiliant et sûr devient ainsi une impérieuse nécessité</w:t>
      </w:r>
      <w:r>
        <w:rPr>
          <w:rFonts w:ascii="Calibri" w:eastAsia="Times New Roman" w:hAnsi="Calibri" w:cs="Calibri"/>
          <w:lang w:bidi="en-US"/>
        </w:rPr>
        <w:t> :</w:t>
      </w:r>
    </w:p>
    <w:p w14:paraId="7D332FA5" w14:textId="77777777" w:rsidR="00BC6C8B" w:rsidRPr="00025547" w:rsidRDefault="00BC6C8B" w:rsidP="00BC6C8B">
      <w:pPr>
        <w:numPr>
          <w:ilvl w:val="0"/>
          <w:numId w:val="448"/>
        </w:numPr>
        <w:autoSpaceDE w:val="0"/>
        <w:autoSpaceDN w:val="0"/>
        <w:adjustRightInd w:val="0"/>
        <w:spacing w:before="120" w:after="120" w:line="240" w:lineRule="auto"/>
        <w:ind w:left="1066" w:hanging="357"/>
        <w:jc w:val="both"/>
        <w:rPr>
          <w:rFonts w:ascii="Calibri" w:eastAsia="Times New Roman" w:hAnsi="Calibri" w:cs="Calibri"/>
          <w:b/>
          <w:iCs/>
          <w:lang w:bidi="en-US"/>
        </w:rPr>
      </w:pPr>
      <w:r w:rsidRPr="00025547">
        <w:rPr>
          <w:rFonts w:ascii="Calibri" w:eastAsia="Times New Roman" w:hAnsi="Calibri" w:cs="Calibri"/>
          <w:b/>
          <w:iCs/>
          <w:lang w:bidi="en-US"/>
        </w:rPr>
        <w:t>Les BTP et le changement climatique</w:t>
      </w:r>
      <w:r>
        <w:rPr>
          <w:rFonts w:ascii="Calibri" w:eastAsia="Times New Roman" w:hAnsi="Calibri" w:cs="Calibri"/>
          <w:b/>
          <w:iCs/>
          <w:lang w:bidi="en-US"/>
        </w:rPr>
        <w:t> :</w:t>
      </w:r>
    </w:p>
    <w:p w14:paraId="2FB7C73A" w14:textId="77777777" w:rsidR="00BC6C8B" w:rsidRPr="004A622D" w:rsidRDefault="00BC6C8B" w:rsidP="00BC6C8B">
      <w:pPr>
        <w:autoSpaceDE w:val="0"/>
        <w:autoSpaceDN w:val="0"/>
        <w:adjustRightInd w:val="0"/>
        <w:spacing w:after="120" w:line="240" w:lineRule="auto"/>
        <w:ind w:left="992"/>
        <w:jc w:val="both"/>
        <w:rPr>
          <w:rFonts w:ascii="Calibri" w:eastAsia="Times New Roman" w:hAnsi="Calibri" w:cs="Calibri"/>
          <w:lang w:bidi="en-US"/>
        </w:rPr>
      </w:pPr>
      <w:r w:rsidRPr="004A622D">
        <w:rPr>
          <w:rFonts w:ascii="Calibri" w:eastAsia="Times New Roman" w:hAnsi="Calibri" w:cs="Calibri"/>
          <w:lang w:bidi="en-US"/>
        </w:rPr>
        <w:t>Les bâtiments publics (résidences, bureaux, écoles) construits durant l’époque coloniale sont en grande partie réalisés en matériaux locaux (pierres, argiles etc.). Ils avaient l’avance d’être adaptés aux conditions climatiques par le confort thermique qu’ils procuraient</w:t>
      </w:r>
      <w:r>
        <w:rPr>
          <w:rFonts w:ascii="Calibri" w:eastAsia="Times New Roman" w:hAnsi="Calibri" w:cs="Calibri"/>
          <w:lang w:bidi="en-US"/>
        </w:rPr>
        <w:t> ;</w:t>
      </w:r>
      <w:r w:rsidRPr="004A622D">
        <w:rPr>
          <w:rFonts w:ascii="Calibri" w:eastAsia="Times New Roman" w:hAnsi="Calibri" w:cs="Calibri"/>
          <w:lang w:bidi="en-US"/>
        </w:rPr>
        <w:t xml:space="preserve"> la robustesse de leur structure et la facilité des entretiens et maintenances. Cet art constructif avec les matériaux locaux s’est hélas aujourd’hui évanoui avec le changement climatique. Il en résulte une dépendance de plus en plus forte en ciment et autres matériaux de construction partiellement ou totalement importés. </w:t>
      </w:r>
    </w:p>
    <w:p w14:paraId="3862C055" w14:textId="77777777" w:rsidR="00BC6C8B" w:rsidRPr="00025547" w:rsidRDefault="00BC6C8B" w:rsidP="00BC6C8B">
      <w:pPr>
        <w:numPr>
          <w:ilvl w:val="0"/>
          <w:numId w:val="448"/>
        </w:numPr>
        <w:autoSpaceDE w:val="0"/>
        <w:autoSpaceDN w:val="0"/>
        <w:adjustRightInd w:val="0"/>
        <w:spacing w:before="120" w:after="120" w:line="240" w:lineRule="auto"/>
        <w:ind w:left="1066" w:hanging="357"/>
        <w:jc w:val="both"/>
        <w:rPr>
          <w:rFonts w:ascii="Calibri" w:eastAsia="Times New Roman" w:hAnsi="Calibri" w:cs="Calibri"/>
          <w:b/>
          <w:iCs/>
          <w:lang w:bidi="en-US"/>
        </w:rPr>
      </w:pPr>
      <w:r w:rsidRPr="00025547">
        <w:rPr>
          <w:rFonts w:ascii="Calibri" w:eastAsia="Times New Roman" w:hAnsi="Calibri" w:cs="Calibri"/>
          <w:b/>
          <w:iCs/>
          <w:lang w:bidi="en-US"/>
        </w:rPr>
        <w:t>L’aménagement du territoire et le changement climatique</w:t>
      </w:r>
    </w:p>
    <w:p w14:paraId="3F794290" w14:textId="77777777" w:rsidR="00BC6C8B" w:rsidRPr="004A622D" w:rsidRDefault="00BC6C8B" w:rsidP="00BC6C8B">
      <w:pPr>
        <w:autoSpaceDE w:val="0"/>
        <w:autoSpaceDN w:val="0"/>
        <w:adjustRightInd w:val="0"/>
        <w:spacing w:after="0" w:line="240" w:lineRule="auto"/>
        <w:ind w:left="992"/>
        <w:jc w:val="both"/>
        <w:rPr>
          <w:rFonts w:ascii="Calibri" w:eastAsia="Times New Roman" w:hAnsi="Calibri" w:cs="Calibri"/>
          <w:lang w:bidi="en-US"/>
        </w:rPr>
      </w:pPr>
      <w:r w:rsidRPr="004A622D">
        <w:rPr>
          <w:rFonts w:ascii="Calibri" w:eastAsia="Times New Roman" w:hAnsi="Calibri" w:cs="Calibri"/>
          <w:lang w:bidi="en-US"/>
        </w:rPr>
        <w:t>En 1977, la Mauritanie comptait 2 904 localités</w:t>
      </w:r>
      <w:r>
        <w:rPr>
          <w:rFonts w:ascii="Calibri" w:eastAsia="Times New Roman" w:hAnsi="Calibri" w:cs="Calibri"/>
          <w:lang w:bidi="en-US"/>
        </w:rPr>
        <w:t> ;</w:t>
      </w:r>
      <w:r w:rsidRPr="004A622D">
        <w:rPr>
          <w:rFonts w:ascii="Calibri" w:eastAsia="Times New Roman" w:hAnsi="Calibri" w:cs="Calibri"/>
          <w:lang w:bidi="en-US"/>
        </w:rPr>
        <w:t xml:space="preserve"> soit une taille moyenne de 384 habitants par localité. Entre 2000 et 2013 le nombre de localités est passé de 5 561 à 8 138 localités. Durant la même période, le nombre de localités de moins de 50 habitants est passé de 4 425 à 5 561 localités. Ces données montrent, en très peu de temps, une sédentarisation massive, atomisée et anarchique avec une nette prépondérance d’établissements humains de moins de 50 habitants et donc non viables.</w:t>
      </w:r>
    </w:p>
    <w:p w14:paraId="29FB654E" w14:textId="77777777" w:rsidR="00BC6C8B" w:rsidRPr="004A622D" w:rsidRDefault="00BC6C8B" w:rsidP="00BC6C8B">
      <w:pPr>
        <w:autoSpaceDE w:val="0"/>
        <w:autoSpaceDN w:val="0"/>
        <w:adjustRightInd w:val="0"/>
        <w:spacing w:before="120" w:after="0" w:line="240" w:lineRule="auto"/>
        <w:ind w:left="992"/>
        <w:jc w:val="both"/>
        <w:rPr>
          <w:rFonts w:ascii="Calibri" w:eastAsia="Times New Roman" w:hAnsi="Calibri" w:cs="Calibri"/>
          <w:lang w:bidi="en-US"/>
        </w:rPr>
      </w:pPr>
      <w:r w:rsidRPr="004A622D">
        <w:rPr>
          <w:rFonts w:ascii="Calibri" w:eastAsia="Times New Roman" w:hAnsi="Calibri" w:cs="Calibri"/>
          <w:lang w:bidi="en-US"/>
        </w:rPr>
        <w:t xml:space="preserve">Face à un phénomène d’une si grande ampleur, les cadres de vie s’en trouvent profondément affectés : crises récurrentes d’eau potable, abaissement des nappes phréatiques, réduction voire assèchement des plans d’eau, dégradations des terres agricoles et des pâturages avec amenuisement du capital semencier et donc perte de biodiversité, etc. L’un dans l’autre, les modes vie ruraux ressemblent à très peu de choses près ceux urbains, avec la profusion de décharges à ciel ouvert largement dominées par les matières plastiques qui ont pris la place, peu à peu, de l’artisanat utilitaire local. </w:t>
      </w:r>
    </w:p>
    <w:p w14:paraId="2C6A36C1" w14:textId="77777777" w:rsidR="00BC6C8B" w:rsidRPr="004A622D" w:rsidRDefault="00BC6C8B" w:rsidP="00BC6C8B">
      <w:pPr>
        <w:autoSpaceDE w:val="0"/>
        <w:autoSpaceDN w:val="0"/>
        <w:adjustRightInd w:val="0"/>
        <w:spacing w:before="120" w:after="0" w:line="240" w:lineRule="auto"/>
        <w:ind w:left="992"/>
        <w:jc w:val="both"/>
        <w:rPr>
          <w:rFonts w:ascii="Calibri" w:eastAsia="Times New Roman" w:hAnsi="Calibri" w:cs="Calibri"/>
          <w:color w:val="000000"/>
          <w:lang w:bidi="en-US"/>
        </w:rPr>
      </w:pPr>
      <w:r w:rsidRPr="004A622D">
        <w:rPr>
          <w:rFonts w:ascii="Calibri" w:eastAsia="Times New Roman" w:hAnsi="Calibri" w:cs="Calibri"/>
          <w:color w:val="000000"/>
          <w:lang w:bidi="en-US"/>
        </w:rPr>
        <w:t>Ainsi, l’amélioration du cadre de vie des sédentaires passe nécessairement par la construction d’établissements humains suffisamment compétitifs en termes de densités, effectivement viables en termes d’accès aux besoins essentiels et réellement résilients aux chocs incontournables induits par le changement climatique.</w:t>
      </w:r>
    </w:p>
    <w:p w14:paraId="01C366A7" w14:textId="77777777" w:rsidR="00BC6C8B" w:rsidRPr="004A622D" w:rsidRDefault="00BC6C8B" w:rsidP="00BC6C8B">
      <w:pPr>
        <w:spacing w:before="300" w:after="40"/>
        <w:jc w:val="both"/>
        <w:outlineLvl w:val="0"/>
        <w:rPr>
          <w:rFonts w:ascii="Calibri" w:eastAsia="Times New Roman" w:hAnsi="Calibri" w:cs="Calibri"/>
          <w:bCs/>
          <w:noProof/>
          <w:spacing w:val="5"/>
          <w:lang w:bidi="en-US"/>
        </w:rPr>
      </w:pPr>
      <w:bookmarkStart w:id="459" w:name="_Toc58061713"/>
      <w:r w:rsidRPr="004A622D">
        <w:rPr>
          <w:rFonts w:ascii="Calibri" w:eastAsia="Times New Roman" w:hAnsi="Calibri" w:cs="Calibri"/>
          <w:b/>
          <w:spacing w:val="5"/>
          <w:lang w:bidi="en-US"/>
        </w:rPr>
        <w:t>Chapitre 6 – Mesures, activités ou initiatives en cours ou programmées pour faire face aux enjeux du C</w:t>
      </w:r>
      <w:r>
        <w:rPr>
          <w:rFonts w:ascii="Calibri" w:eastAsia="Times New Roman" w:hAnsi="Calibri" w:cs="Calibri"/>
          <w:b/>
          <w:spacing w:val="5"/>
          <w:lang w:bidi="en-US"/>
        </w:rPr>
        <w:t xml:space="preserve">hangement </w:t>
      </w:r>
      <w:r w:rsidRPr="004A622D">
        <w:rPr>
          <w:rFonts w:ascii="Calibri" w:eastAsia="Times New Roman" w:hAnsi="Calibri" w:cs="Calibri"/>
          <w:b/>
          <w:spacing w:val="5"/>
          <w:lang w:bidi="en-US"/>
        </w:rPr>
        <w:t>C</w:t>
      </w:r>
      <w:bookmarkEnd w:id="459"/>
      <w:r w:rsidRPr="008454F0">
        <w:rPr>
          <w:rFonts w:ascii="Calibri" w:eastAsia="Times New Roman" w:hAnsi="Calibri" w:cs="Calibri"/>
          <w:b/>
          <w:spacing w:val="5"/>
          <w:lang w:bidi="en-US"/>
        </w:rPr>
        <w:t>limatique</w:t>
      </w:r>
      <w:r>
        <w:rPr>
          <w:rFonts w:ascii="Calibri" w:eastAsia="Times New Roman" w:hAnsi="Calibri" w:cs="Calibri"/>
          <w:bCs/>
          <w:noProof/>
          <w:spacing w:val="5"/>
          <w:lang w:bidi="en-US"/>
        </w:rPr>
        <w:t xml:space="preserve"> : </w:t>
      </w:r>
    </w:p>
    <w:p w14:paraId="4045D4A8" w14:textId="77777777" w:rsidR="00BC6C8B" w:rsidRPr="004A622D" w:rsidRDefault="00BC6C8B" w:rsidP="00BC6C8B">
      <w:pPr>
        <w:widowControl w:val="0"/>
        <w:autoSpaceDE w:val="0"/>
        <w:autoSpaceDN w:val="0"/>
        <w:spacing w:before="100" w:beforeAutospacing="1" w:after="100" w:afterAutospacing="1" w:line="23" w:lineRule="atLeast"/>
        <w:jc w:val="both"/>
        <w:rPr>
          <w:rFonts w:ascii="Calibri" w:eastAsia="Times New Roman" w:hAnsi="Calibri" w:cs="Calibri"/>
          <w:bCs/>
          <w:noProof/>
          <w:lang w:bidi="en-US"/>
        </w:rPr>
      </w:pPr>
      <w:r>
        <w:rPr>
          <w:rFonts w:ascii="Calibri" w:eastAsia="Times New Roman" w:hAnsi="Calibri" w:cs="Calibri"/>
          <w:bCs/>
          <w:noProof/>
          <w:lang w:bidi="en-US"/>
        </w:rPr>
        <w:t>Les deux programmes respectivement TAAHOUDATY et Mes AMBITIONS POUR LA PATRIE sont</w:t>
      </w:r>
      <w:r w:rsidRPr="004A622D">
        <w:rPr>
          <w:rFonts w:ascii="Calibri" w:eastAsia="Times New Roman" w:hAnsi="Calibri" w:cs="Calibri"/>
          <w:bCs/>
          <w:noProof/>
          <w:lang w:bidi="en-US"/>
        </w:rPr>
        <w:t xml:space="preserve"> largement inspiré de</w:t>
      </w:r>
      <w:r>
        <w:rPr>
          <w:rFonts w:ascii="Calibri" w:eastAsia="Times New Roman" w:hAnsi="Calibri" w:cs="Calibri"/>
          <w:bCs/>
          <w:noProof/>
          <w:lang w:bidi="en-US"/>
        </w:rPr>
        <w:t xml:space="preserve"> la SCAPP et s’articule, pour leurs</w:t>
      </w:r>
      <w:r w:rsidRPr="004A622D">
        <w:rPr>
          <w:rFonts w:ascii="Calibri" w:eastAsia="Times New Roman" w:hAnsi="Calibri" w:cs="Calibri"/>
          <w:bCs/>
          <w:noProof/>
          <w:lang w:bidi="en-US"/>
        </w:rPr>
        <w:t xml:space="preserve"> composante</w:t>
      </w:r>
      <w:r>
        <w:rPr>
          <w:rFonts w:ascii="Calibri" w:eastAsia="Times New Roman" w:hAnsi="Calibri" w:cs="Calibri"/>
          <w:bCs/>
          <w:noProof/>
          <w:lang w:bidi="en-US"/>
        </w:rPr>
        <w:t>s</w:t>
      </w:r>
      <w:r w:rsidRPr="004A622D">
        <w:rPr>
          <w:rFonts w:ascii="Calibri" w:eastAsia="Times New Roman" w:hAnsi="Calibri" w:cs="Calibri"/>
          <w:bCs/>
          <w:noProof/>
          <w:lang w:bidi="en-US"/>
        </w:rPr>
        <w:t xml:space="preserve"> habitat, urbanisme et aménagement du  territoire, autour des chantiers stratégiques suivants :</w:t>
      </w:r>
    </w:p>
    <w:p w14:paraId="51FC0F84" w14:textId="77777777" w:rsidR="00BC6C8B" w:rsidRPr="00025547" w:rsidRDefault="00BC6C8B" w:rsidP="00BC6C8B">
      <w:pPr>
        <w:widowControl w:val="0"/>
        <w:numPr>
          <w:ilvl w:val="1"/>
          <w:numId w:val="450"/>
        </w:numPr>
        <w:autoSpaceDE w:val="0"/>
        <w:spacing w:before="100" w:beforeAutospacing="1" w:after="100" w:afterAutospacing="1" w:line="23" w:lineRule="atLeast"/>
        <w:ind w:hanging="578"/>
        <w:jc w:val="both"/>
        <w:outlineLvl w:val="1"/>
        <w:rPr>
          <w:rFonts w:ascii="Calibri" w:eastAsia="Times New Roman" w:hAnsi="Calibri" w:cs="Calibri"/>
          <w:b/>
          <w:bCs/>
          <w:iCs/>
          <w:noProof/>
          <w:lang w:bidi="en-US"/>
        </w:rPr>
      </w:pPr>
      <w:bookmarkStart w:id="460" w:name="_Toc58061714"/>
      <w:r w:rsidRPr="00025547">
        <w:rPr>
          <w:rFonts w:ascii="Calibri" w:eastAsia="Times New Roman" w:hAnsi="Calibri" w:cs="Calibri"/>
          <w:b/>
          <w:bCs/>
          <w:iCs/>
          <w:noProof/>
          <w:lang w:bidi="en-US"/>
        </w:rPr>
        <w:t>Chantiers urbains :</w:t>
      </w:r>
      <w:bookmarkEnd w:id="460"/>
    </w:p>
    <w:p w14:paraId="4DEC2DAB" w14:textId="77777777" w:rsidR="00BC6C8B" w:rsidRPr="004A622D" w:rsidRDefault="00BC6C8B" w:rsidP="00BC6C8B">
      <w:pPr>
        <w:autoSpaceDE w:val="0"/>
        <w:autoSpaceDN w:val="0"/>
        <w:adjustRightInd w:val="0"/>
        <w:spacing w:before="100" w:beforeAutospacing="1" w:after="120" w:line="23" w:lineRule="atLeast"/>
        <w:ind w:left="709"/>
        <w:jc w:val="both"/>
        <w:rPr>
          <w:rFonts w:ascii="Calibri" w:eastAsia="Times New Roman" w:hAnsi="Calibri" w:cs="Calibri"/>
          <w:lang w:bidi="en-US"/>
        </w:rPr>
      </w:pPr>
      <w:r w:rsidRPr="004A622D">
        <w:rPr>
          <w:rFonts w:ascii="Calibri" w:eastAsia="Times New Roman" w:hAnsi="Calibri" w:cs="Calibri"/>
          <w:lang w:bidi="en-US"/>
        </w:rPr>
        <w:t>Les chantiers urbains visent :</w:t>
      </w:r>
    </w:p>
    <w:p w14:paraId="78A0D67B" w14:textId="77777777" w:rsidR="00BC6C8B" w:rsidRPr="004A622D" w:rsidRDefault="00BC6C8B" w:rsidP="00BC6C8B">
      <w:pPr>
        <w:numPr>
          <w:ilvl w:val="0"/>
          <w:numId w:val="446"/>
        </w:numPr>
        <w:autoSpaceDE w:val="0"/>
        <w:adjustRightInd w:val="0"/>
        <w:spacing w:before="100" w:beforeAutospacing="1" w:after="100" w:afterAutospacing="1" w:line="23" w:lineRule="atLeast"/>
        <w:ind w:left="851" w:hanging="425"/>
        <w:jc w:val="both"/>
        <w:rPr>
          <w:rFonts w:ascii="Calibri" w:eastAsia="Arial" w:hAnsi="Calibri" w:cs="Calibri"/>
          <w:lang w:bidi="en-US"/>
        </w:rPr>
      </w:pPr>
      <w:r w:rsidRPr="004A622D">
        <w:rPr>
          <w:rFonts w:ascii="Calibri" w:eastAsia="Arial" w:hAnsi="Calibri" w:cs="Calibri"/>
          <w:lang w:bidi="en-US"/>
        </w:rPr>
        <w:t>Le renforcement des dispositifs de planification et de gestion urbaine (mettre en place un cadastre urbain géo localisé, renforcer le système de planification</w:t>
      </w:r>
      <w:r>
        <w:rPr>
          <w:rFonts w:ascii="Calibri" w:eastAsia="Arial" w:hAnsi="Calibri" w:cs="Calibri"/>
          <w:lang w:bidi="en-US"/>
        </w:rPr>
        <w:t xml:space="preserve"> et de gestion</w:t>
      </w:r>
      <w:r w:rsidRPr="004A622D">
        <w:rPr>
          <w:rFonts w:ascii="Calibri" w:eastAsia="Arial" w:hAnsi="Calibri" w:cs="Calibri"/>
          <w:lang w:bidi="en-US"/>
        </w:rPr>
        <w:t xml:space="preserve"> urbaine</w:t>
      </w:r>
      <w:r>
        <w:rPr>
          <w:rFonts w:ascii="Calibri" w:eastAsia="Arial" w:hAnsi="Calibri" w:cs="Calibri"/>
          <w:lang w:bidi="en-US"/>
        </w:rPr>
        <w:t xml:space="preserve"> des villes, agglomérations et centres urbains)</w:t>
      </w:r>
      <w:r w:rsidRPr="004A622D">
        <w:rPr>
          <w:rFonts w:ascii="Calibri" w:eastAsia="Arial" w:hAnsi="Calibri" w:cs="Calibri"/>
          <w:lang w:bidi="en-US"/>
        </w:rPr>
        <w:t xml:space="preserve"> ; </w:t>
      </w:r>
    </w:p>
    <w:p w14:paraId="4D5112F6" w14:textId="77777777" w:rsidR="00BC6C8B" w:rsidRPr="00097358" w:rsidRDefault="00BC6C8B" w:rsidP="00BC6C8B">
      <w:pPr>
        <w:numPr>
          <w:ilvl w:val="0"/>
          <w:numId w:val="446"/>
        </w:numPr>
        <w:autoSpaceDE w:val="0"/>
        <w:adjustRightInd w:val="0"/>
        <w:spacing w:before="100" w:beforeAutospacing="1" w:after="100" w:afterAutospacing="1" w:line="23" w:lineRule="atLeast"/>
        <w:ind w:left="851" w:hanging="425"/>
        <w:jc w:val="both"/>
        <w:rPr>
          <w:rFonts w:ascii="Calibri" w:eastAsia="Arial" w:hAnsi="Calibri" w:cs="Calibri"/>
          <w:lang w:bidi="en-US"/>
        </w:rPr>
      </w:pPr>
      <w:r w:rsidRPr="004A622D">
        <w:rPr>
          <w:rFonts w:ascii="Calibri" w:eastAsia="Arial" w:hAnsi="Calibri" w:cs="Calibri"/>
          <w:lang w:bidi="en-US"/>
        </w:rPr>
        <w:t xml:space="preserve">La réalisation d’infrastructures urbaines (mise en place d’un programme spécial de financement des infrastructures urbaines et système de collecte et de traitement des déchets solides </w:t>
      </w:r>
      <w:r>
        <w:rPr>
          <w:rFonts w:ascii="Calibri" w:eastAsia="Arial" w:hAnsi="Calibri" w:cs="Calibri"/>
          <w:lang w:bidi="en-US"/>
        </w:rPr>
        <w:t>des villes ;</w:t>
      </w:r>
    </w:p>
    <w:p w14:paraId="3A513EF6" w14:textId="77777777" w:rsidR="00BC6C8B" w:rsidRPr="004A622D" w:rsidRDefault="00BC6C8B" w:rsidP="00BC6C8B">
      <w:pPr>
        <w:numPr>
          <w:ilvl w:val="0"/>
          <w:numId w:val="446"/>
        </w:numPr>
        <w:autoSpaceDE w:val="0"/>
        <w:adjustRightInd w:val="0"/>
        <w:spacing w:before="100" w:beforeAutospacing="1" w:after="100" w:afterAutospacing="1" w:line="23" w:lineRule="atLeast"/>
        <w:ind w:left="851" w:hanging="425"/>
        <w:jc w:val="both"/>
        <w:rPr>
          <w:rFonts w:ascii="Calibri" w:eastAsia="Arial" w:hAnsi="Calibri" w:cs="Calibri"/>
          <w:lang w:bidi="en-US"/>
        </w:rPr>
      </w:pPr>
      <w:r w:rsidRPr="004A622D">
        <w:rPr>
          <w:rFonts w:ascii="Calibri" w:eastAsia="Arial" w:hAnsi="Calibri" w:cs="Calibri"/>
          <w:lang w:bidi="en-US"/>
        </w:rPr>
        <w:t>La réalisation de travaux de protect</w:t>
      </w:r>
      <w:r>
        <w:rPr>
          <w:rFonts w:ascii="Calibri" w:eastAsia="Arial" w:hAnsi="Calibri" w:cs="Calibri"/>
          <w:lang w:bidi="en-US"/>
        </w:rPr>
        <w:t>ion des villes de Nouakchott,</w:t>
      </w:r>
      <w:r w:rsidRPr="004A622D">
        <w:rPr>
          <w:rFonts w:ascii="Calibri" w:eastAsia="Arial" w:hAnsi="Calibri" w:cs="Calibri"/>
          <w:lang w:bidi="en-US"/>
        </w:rPr>
        <w:t xml:space="preserve"> Nouadhibou </w:t>
      </w:r>
      <w:r>
        <w:rPr>
          <w:rFonts w:ascii="Calibri" w:eastAsia="Arial" w:hAnsi="Calibri" w:cs="Calibri"/>
          <w:lang w:bidi="en-US"/>
        </w:rPr>
        <w:t>et d’autres villes de l’intérieur (Akjoujt, Touldé….etc.)</w:t>
      </w:r>
      <w:r w:rsidRPr="004A622D">
        <w:rPr>
          <w:rFonts w:ascii="Calibri" w:eastAsia="Arial" w:hAnsi="Calibri" w:cs="Calibri"/>
          <w:lang w:bidi="en-US"/>
        </w:rPr>
        <w:t xml:space="preserve"> ;</w:t>
      </w:r>
    </w:p>
    <w:p w14:paraId="59E923CE" w14:textId="77777777" w:rsidR="00BC6C8B" w:rsidRPr="004A622D" w:rsidRDefault="00BC6C8B" w:rsidP="00BC6C8B">
      <w:pPr>
        <w:numPr>
          <w:ilvl w:val="0"/>
          <w:numId w:val="446"/>
        </w:numPr>
        <w:autoSpaceDE w:val="0"/>
        <w:adjustRightInd w:val="0"/>
        <w:spacing w:before="100" w:beforeAutospacing="1" w:after="100" w:afterAutospacing="1" w:line="23" w:lineRule="atLeast"/>
        <w:ind w:left="851" w:hanging="425"/>
        <w:jc w:val="both"/>
        <w:rPr>
          <w:rFonts w:ascii="Calibri" w:eastAsia="Arial" w:hAnsi="Calibri" w:cs="Calibri"/>
          <w:lang w:bidi="en-US"/>
        </w:rPr>
      </w:pPr>
      <w:r w:rsidRPr="004A622D">
        <w:rPr>
          <w:rFonts w:ascii="Calibri" w:eastAsia="Arial" w:hAnsi="Calibri" w:cs="Calibri"/>
          <w:lang w:bidi="en-US"/>
        </w:rPr>
        <w:t>La rigueur dans l’application de la réglementation en vigueur dans tous les domaines et particulièrement ceux relatifs à la vie quotidienne et aux conditions de délivrance de services publics et à la gestion de la cité (santé, hygiène, restauration, transport, commerce, habitat, contrôle urbain, travail, etc.) ;</w:t>
      </w:r>
    </w:p>
    <w:p w14:paraId="600F77C4" w14:textId="77777777" w:rsidR="00BC6C8B" w:rsidRDefault="00BC6C8B" w:rsidP="00BC6C8B">
      <w:pPr>
        <w:numPr>
          <w:ilvl w:val="0"/>
          <w:numId w:val="446"/>
        </w:numPr>
        <w:autoSpaceDE w:val="0"/>
        <w:adjustRightInd w:val="0"/>
        <w:spacing w:before="100" w:beforeAutospacing="1" w:after="100" w:afterAutospacing="1" w:line="23" w:lineRule="atLeast"/>
        <w:ind w:left="851" w:hanging="425"/>
        <w:jc w:val="both"/>
        <w:rPr>
          <w:rFonts w:ascii="Calibri" w:eastAsia="Arial" w:hAnsi="Calibri" w:cs="Calibri"/>
          <w:lang w:bidi="en-US"/>
        </w:rPr>
      </w:pPr>
      <w:r w:rsidRPr="004A622D">
        <w:rPr>
          <w:rFonts w:ascii="Calibri" w:eastAsia="Arial" w:hAnsi="Calibri" w:cs="Calibri"/>
          <w:lang w:bidi="en-US"/>
        </w:rPr>
        <w:t>La mise en œuvre d’une réforme foncière juste et équitable pour favoriser le développement économique ;</w:t>
      </w:r>
    </w:p>
    <w:p w14:paraId="4C72838D" w14:textId="77777777" w:rsidR="00BC6C8B" w:rsidRDefault="00BC6C8B" w:rsidP="00BC6C8B">
      <w:pPr>
        <w:numPr>
          <w:ilvl w:val="0"/>
          <w:numId w:val="446"/>
        </w:numPr>
        <w:autoSpaceDE w:val="0"/>
        <w:adjustRightInd w:val="0"/>
        <w:spacing w:before="100" w:beforeAutospacing="1" w:after="100" w:afterAutospacing="1" w:line="23" w:lineRule="atLeast"/>
        <w:ind w:left="851" w:hanging="425"/>
        <w:jc w:val="both"/>
        <w:rPr>
          <w:rFonts w:ascii="Calibri" w:eastAsia="Arial" w:hAnsi="Calibri" w:cs="Calibri"/>
          <w:lang w:bidi="en-US"/>
        </w:rPr>
      </w:pPr>
      <w:r>
        <w:rPr>
          <w:rFonts w:ascii="Calibri" w:eastAsia="Arial" w:hAnsi="Calibri" w:cs="Calibri"/>
          <w:lang w:bidi="en-US"/>
        </w:rPr>
        <w:t>L’intégration des espaces verts et des espaces jeunes dans le tissu urbain ;</w:t>
      </w:r>
    </w:p>
    <w:p w14:paraId="602DA0E5" w14:textId="77777777" w:rsidR="00BC6C8B" w:rsidRDefault="00BC6C8B" w:rsidP="00BC6C8B">
      <w:pPr>
        <w:numPr>
          <w:ilvl w:val="0"/>
          <w:numId w:val="446"/>
        </w:numPr>
        <w:autoSpaceDE w:val="0"/>
        <w:adjustRightInd w:val="0"/>
        <w:spacing w:before="100" w:beforeAutospacing="1" w:after="100" w:afterAutospacing="1" w:line="23" w:lineRule="atLeast"/>
        <w:ind w:left="851" w:hanging="425"/>
        <w:jc w:val="both"/>
        <w:rPr>
          <w:rFonts w:ascii="Calibri" w:eastAsia="Arial" w:hAnsi="Calibri" w:cs="Calibri"/>
          <w:lang w:bidi="en-US"/>
        </w:rPr>
      </w:pPr>
      <w:r>
        <w:rPr>
          <w:rFonts w:ascii="Calibri" w:eastAsia="Arial" w:hAnsi="Calibri" w:cs="Calibri"/>
          <w:lang w:bidi="en-US"/>
        </w:rPr>
        <w:t>La lutte contre l’étalement des villes dans des espaces non appropriés à l’Habitat.</w:t>
      </w:r>
    </w:p>
    <w:p w14:paraId="518267E1" w14:textId="77777777" w:rsidR="00BC6C8B" w:rsidRPr="004A622D" w:rsidRDefault="00BC6C8B" w:rsidP="00BC6C8B">
      <w:pPr>
        <w:numPr>
          <w:ilvl w:val="0"/>
          <w:numId w:val="446"/>
        </w:numPr>
        <w:autoSpaceDE w:val="0"/>
        <w:adjustRightInd w:val="0"/>
        <w:spacing w:before="100" w:beforeAutospacing="1" w:after="100" w:afterAutospacing="1" w:line="23" w:lineRule="atLeast"/>
        <w:ind w:left="851" w:hanging="425"/>
        <w:jc w:val="both"/>
        <w:rPr>
          <w:rFonts w:ascii="Calibri" w:eastAsia="Arial" w:hAnsi="Calibri" w:cs="Calibri"/>
          <w:lang w:bidi="en-US"/>
        </w:rPr>
      </w:pPr>
      <w:r>
        <w:rPr>
          <w:rFonts w:ascii="Calibri" w:eastAsia="Arial" w:hAnsi="Calibri" w:cs="Calibri"/>
          <w:lang w:bidi="en-US"/>
        </w:rPr>
        <w:t>L’aménagement et la construction des places publiques.</w:t>
      </w:r>
    </w:p>
    <w:p w14:paraId="12D7F1CA" w14:textId="77777777" w:rsidR="00BC6C8B" w:rsidRPr="000257D4" w:rsidRDefault="00BC6C8B" w:rsidP="00BC6C8B">
      <w:pPr>
        <w:widowControl w:val="0"/>
        <w:numPr>
          <w:ilvl w:val="1"/>
          <w:numId w:val="450"/>
        </w:numPr>
        <w:autoSpaceDE w:val="0"/>
        <w:spacing w:before="100" w:beforeAutospacing="1" w:after="100" w:afterAutospacing="1" w:line="23" w:lineRule="atLeast"/>
        <w:ind w:hanging="578"/>
        <w:jc w:val="both"/>
        <w:outlineLvl w:val="1"/>
        <w:rPr>
          <w:rFonts w:ascii="Calibri" w:eastAsia="Times New Roman" w:hAnsi="Calibri" w:cs="Calibri"/>
          <w:b/>
          <w:bCs/>
          <w:iCs/>
          <w:noProof/>
          <w:lang w:bidi="en-US"/>
        </w:rPr>
      </w:pPr>
      <w:bookmarkStart w:id="461" w:name="_Toc58061715"/>
      <w:r w:rsidRPr="000257D4">
        <w:rPr>
          <w:rFonts w:ascii="Calibri" w:eastAsia="Times New Roman" w:hAnsi="Calibri" w:cs="Calibri"/>
          <w:b/>
          <w:bCs/>
          <w:iCs/>
          <w:noProof/>
          <w:lang w:bidi="en-US"/>
        </w:rPr>
        <w:t>Chantiers à objectif d’habitat</w:t>
      </w:r>
      <w:bookmarkEnd w:id="461"/>
    </w:p>
    <w:p w14:paraId="01639E11" w14:textId="77777777" w:rsidR="00BC6C8B" w:rsidRDefault="00BC6C8B" w:rsidP="00BC6C8B">
      <w:p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 xml:space="preserve">Les chantiers d’habitat sont essentiellement axés autour </w:t>
      </w:r>
      <w:r>
        <w:rPr>
          <w:rFonts w:ascii="Calibri" w:eastAsia="Times New Roman" w:hAnsi="Calibri" w:cs="Calibri"/>
          <w:lang w:bidi="en-US"/>
        </w:rPr>
        <w:t xml:space="preserve">du développement des politiques de développement de l’habitat et de la promotion immobilière qui luttent contre la pauvreté, favorisant l’accès à la propriété foncière et immobilière et qui favorisent la  </w:t>
      </w:r>
      <w:r w:rsidRPr="004A622D">
        <w:rPr>
          <w:rFonts w:ascii="Calibri" w:eastAsia="Times New Roman" w:hAnsi="Calibri" w:cs="Calibri"/>
          <w:lang w:bidi="en-US"/>
        </w:rPr>
        <w:t xml:space="preserve"> production de logements sociaux et économiques au profit des h</w:t>
      </w:r>
      <w:r>
        <w:rPr>
          <w:rFonts w:ascii="Calibri" w:eastAsia="Times New Roman" w:hAnsi="Calibri" w:cs="Calibri"/>
          <w:lang w:bidi="en-US"/>
        </w:rPr>
        <w:t>abitants</w:t>
      </w:r>
      <w:r w:rsidRPr="004A622D">
        <w:rPr>
          <w:rFonts w:ascii="Calibri" w:eastAsia="Times New Roman" w:hAnsi="Calibri" w:cs="Calibri"/>
          <w:lang w:bidi="en-US"/>
        </w:rPr>
        <w:t xml:space="preserve"> des grandes villes</w:t>
      </w:r>
      <w:r>
        <w:rPr>
          <w:rFonts w:ascii="Calibri" w:eastAsia="Times New Roman" w:hAnsi="Calibri" w:cs="Calibri"/>
          <w:lang w:bidi="en-US"/>
        </w:rPr>
        <w:t xml:space="preserve"> à travers entre autres la mise en place des mécanismes de financement de l’Habitat adaptés au contexte mauritanien.</w:t>
      </w:r>
    </w:p>
    <w:p w14:paraId="65B390D2" w14:textId="77777777" w:rsidR="00BC6C8B" w:rsidRPr="000257D4" w:rsidRDefault="00BC6C8B" w:rsidP="00BC6C8B">
      <w:pPr>
        <w:widowControl w:val="0"/>
        <w:numPr>
          <w:ilvl w:val="1"/>
          <w:numId w:val="450"/>
        </w:numPr>
        <w:autoSpaceDE w:val="0"/>
        <w:spacing w:before="100" w:beforeAutospacing="1" w:after="100" w:afterAutospacing="1" w:line="23" w:lineRule="atLeast"/>
        <w:ind w:hanging="578"/>
        <w:jc w:val="both"/>
        <w:outlineLvl w:val="1"/>
        <w:rPr>
          <w:rFonts w:ascii="Calibri" w:eastAsia="Times New Roman" w:hAnsi="Calibri" w:cs="Calibri"/>
          <w:b/>
          <w:bCs/>
          <w:iCs/>
          <w:noProof/>
          <w:lang w:bidi="en-US"/>
        </w:rPr>
      </w:pPr>
      <w:bookmarkStart w:id="462" w:name="_Toc58061716"/>
      <w:r w:rsidRPr="000257D4">
        <w:rPr>
          <w:rFonts w:ascii="Calibri" w:eastAsia="Times New Roman" w:hAnsi="Calibri" w:cs="Calibri"/>
          <w:b/>
          <w:bCs/>
          <w:iCs/>
          <w:noProof/>
          <w:lang w:bidi="en-US"/>
        </w:rPr>
        <w:t>Chantiers de construction de bâtiments et équipements publics</w:t>
      </w:r>
      <w:bookmarkEnd w:id="462"/>
    </w:p>
    <w:p w14:paraId="34C7AD4B" w14:textId="77777777" w:rsidR="00BC6C8B" w:rsidRPr="004A622D" w:rsidRDefault="00BC6C8B" w:rsidP="00BC6C8B">
      <w:p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Les chantiers de construction visent à réduire le gap constaté dans les domaines des bâtiments et équipements publics. Ils concerneront :</w:t>
      </w:r>
    </w:p>
    <w:p w14:paraId="6B4FF5DA" w14:textId="63506CD4" w:rsidR="00BC6C8B" w:rsidRPr="004A622D" w:rsidRDefault="00BC6C8B" w:rsidP="00BC6C8B">
      <w:pPr>
        <w:numPr>
          <w:ilvl w:val="0"/>
          <w:numId w:val="454"/>
        </w:numPr>
        <w:autoSpaceDE w:val="0"/>
        <w:autoSpaceDN w:val="0"/>
        <w:adjustRightInd w:val="0"/>
        <w:spacing w:before="100" w:beforeAutospacing="1" w:after="100" w:afterAutospacing="1" w:line="23" w:lineRule="atLeast"/>
        <w:contextualSpacing/>
        <w:jc w:val="both"/>
        <w:rPr>
          <w:rFonts w:ascii="Calibri" w:eastAsia="Times New Roman" w:hAnsi="Calibri" w:cs="Calibri"/>
          <w:lang w:bidi="en-US"/>
        </w:rPr>
      </w:pPr>
      <w:r>
        <w:rPr>
          <w:rFonts w:ascii="Calibri" w:eastAsia="Times New Roman" w:hAnsi="Calibri" w:cs="Calibri"/>
          <w:lang w:bidi="en-US"/>
        </w:rPr>
        <w:t xml:space="preserve">Le renforcement de l’offre national </w:t>
      </w:r>
      <w:r w:rsidR="00164999">
        <w:rPr>
          <w:rFonts w:ascii="Calibri" w:eastAsia="Times New Roman" w:hAnsi="Calibri" w:cs="Calibri"/>
          <w:lang w:bidi="en-US"/>
        </w:rPr>
        <w:t>en matière de</w:t>
      </w:r>
      <w:r>
        <w:rPr>
          <w:rFonts w:ascii="Calibri" w:eastAsia="Times New Roman" w:hAnsi="Calibri" w:cs="Calibri"/>
          <w:lang w:bidi="en-US"/>
        </w:rPr>
        <w:t xml:space="preserve"> bâtiments et équipement publics (l</w:t>
      </w:r>
      <w:r w:rsidRPr="004A622D">
        <w:rPr>
          <w:rFonts w:ascii="Calibri" w:eastAsia="Times New Roman" w:hAnsi="Calibri" w:cs="Calibri"/>
          <w:lang w:bidi="en-US"/>
        </w:rPr>
        <w:t>es équipements culturels, religieux et d’enseignement religieux (mosquées et mahadra) ainsi que les équipements</w:t>
      </w:r>
      <w:r>
        <w:rPr>
          <w:rFonts w:ascii="Calibri" w:eastAsia="Times New Roman" w:hAnsi="Calibri" w:cs="Calibri"/>
          <w:lang w:bidi="en-US"/>
        </w:rPr>
        <w:t xml:space="preserve"> culturels publics de proximité, </w:t>
      </w:r>
      <w:r w:rsidRPr="004A622D">
        <w:rPr>
          <w:rFonts w:ascii="Calibri" w:eastAsia="Times New Roman" w:hAnsi="Calibri" w:cs="Calibri"/>
          <w:lang w:bidi="en-US"/>
        </w:rPr>
        <w:t xml:space="preserve">Les équipements d’éducation </w:t>
      </w:r>
      <w:r>
        <w:rPr>
          <w:rFonts w:ascii="Calibri" w:eastAsia="Times New Roman" w:hAnsi="Calibri" w:cs="Calibri"/>
          <w:lang w:bidi="en-US"/>
        </w:rPr>
        <w:t xml:space="preserve">(écoles, collèges et lycées), de souveraineté et </w:t>
      </w:r>
      <w:r w:rsidRPr="004A622D">
        <w:rPr>
          <w:rFonts w:ascii="Calibri" w:eastAsia="Times New Roman" w:hAnsi="Calibri" w:cs="Calibri"/>
          <w:lang w:bidi="en-US"/>
        </w:rPr>
        <w:t>de formation profe</w:t>
      </w:r>
      <w:r w:rsidRPr="008454F0">
        <w:rPr>
          <w:rFonts w:ascii="Calibri" w:eastAsia="Times New Roman" w:hAnsi="Calibri" w:cs="Calibri"/>
          <w:lang w:bidi="en-US"/>
        </w:rPr>
        <w:t>ssionnelle</w:t>
      </w:r>
      <w:proofErr w:type="gramStart"/>
      <w:r>
        <w:rPr>
          <w:rFonts w:ascii="Calibri" w:eastAsia="Times New Roman" w:hAnsi="Calibri" w:cs="Calibri"/>
          <w:lang w:bidi="en-US"/>
        </w:rPr>
        <w:t>…….</w:t>
      </w:r>
      <w:proofErr w:type="gramEnd"/>
      <w:r>
        <w:rPr>
          <w:rFonts w:ascii="Calibri" w:eastAsia="Times New Roman" w:hAnsi="Calibri" w:cs="Calibri"/>
          <w:lang w:bidi="en-US"/>
        </w:rPr>
        <w:t>etc.</w:t>
      </w:r>
    </w:p>
    <w:p w14:paraId="7597A3B4" w14:textId="16A508C9" w:rsidR="00BC6C8B" w:rsidRPr="004A622D" w:rsidRDefault="00BC6C8B" w:rsidP="00BC6C8B">
      <w:pPr>
        <w:numPr>
          <w:ilvl w:val="0"/>
          <w:numId w:val="454"/>
        </w:numPr>
        <w:autoSpaceDE w:val="0"/>
        <w:autoSpaceDN w:val="0"/>
        <w:adjustRightInd w:val="0"/>
        <w:spacing w:before="100" w:beforeAutospacing="1" w:after="100" w:afterAutospacing="1" w:line="23" w:lineRule="atLeast"/>
        <w:contextualSpacing/>
        <w:jc w:val="both"/>
        <w:rPr>
          <w:rFonts w:ascii="Calibri" w:eastAsia="Times New Roman" w:hAnsi="Calibri" w:cs="Calibri"/>
          <w:lang w:bidi="en-US"/>
        </w:rPr>
      </w:pPr>
      <w:r w:rsidRPr="004A622D">
        <w:rPr>
          <w:rFonts w:ascii="Calibri" w:eastAsia="Times New Roman" w:hAnsi="Calibri" w:cs="Calibri"/>
          <w:lang w:bidi="en-US"/>
        </w:rPr>
        <w:t>La mise à niveau et l’augmentation des capacités des centres de développement des compétences dans les</w:t>
      </w:r>
      <w:r>
        <w:rPr>
          <w:rFonts w:ascii="Calibri" w:eastAsia="Times New Roman" w:hAnsi="Calibri" w:cs="Calibri"/>
          <w:lang w:bidi="en-US"/>
        </w:rPr>
        <w:t xml:space="preserve"> domaines de l’industrie,</w:t>
      </w:r>
      <w:r w:rsidRPr="004A622D">
        <w:rPr>
          <w:rFonts w:ascii="Calibri" w:eastAsia="Times New Roman" w:hAnsi="Calibri" w:cs="Calibri"/>
          <w:lang w:bidi="en-US"/>
        </w:rPr>
        <w:t xml:space="preserve"> et des services, notamment l’extension des capacités de l’ISET de Rosso</w:t>
      </w:r>
      <w:r>
        <w:rPr>
          <w:rFonts w:ascii="Calibri" w:eastAsia="Times New Roman" w:hAnsi="Calibri" w:cs="Calibri"/>
          <w:lang w:bidi="en-US"/>
        </w:rPr>
        <w:t>, l’ENAJM</w:t>
      </w:r>
      <w:proofErr w:type="gramStart"/>
      <w:r>
        <w:rPr>
          <w:rFonts w:ascii="Calibri" w:eastAsia="Times New Roman" w:hAnsi="Calibri" w:cs="Calibri"/>
          <w:lang w:bidi="en-US"/>
        </w:rPr>
        <w:t>…….</w:t>
      </w:r>
      <w:proofErr w:type="gramEnd"/>
      <w:r w:rsidR="0016499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etc.</w:t>
      </w:r>
      <w:r w:rsidR="00164999">
        <w:rPr>
          <w:rFonts w:ascii="Calibri" w:eastAsia="Times New Roman" w:hAnsi="Calibri" w:cs="Calibri"/>
          <w:lang w:bidi="en-US"/>
        </w:rPr>
        <w:t xml:space="preserve">, </w:t>
      </w:r>
      <w:r w:rsidR="00164999" w:rsidRPr="004A622D">
        <w:rPr>
          <w:rFonts w:ascii="Calibri" w:eastAsia="Times New Roman" w:hAnsi="Calibri" w:cs="Calibri"/>
          <w:lang w:bidi="en-US"/>
        </w:rPr>
        <w:t>pour</w:t>
      </w:r>
      <w:r w:rsidRPr="004A622D">
        <w:rPr>
          <w:rFonts w:ascii="Calibri" w:eastAsia="Times New Roman" w:hAnsi="Calibri" w:cs="Calibri"/>
          <w:lang w:bidi="en-US"/>
        </w:rPr>
        <w:t xml:space="preserve"> faire face à l’augmentation de la demande en emploi de niveau supérieur dans les secteurs de</w:t>
      </w:r>
      <w:r>
        <w:rPr>
          <w:rFonts w:ascii="Calibri" w:eastAsia="Times New Roman" w:hAnsi="Calibri" w:cs="Calibri"/>
          <w:lang w:bidi="en-US"/>
        </w:rPr>
        <w:t xml:space="preserve"> l’agriculture, </w:t>
      </w:r>
      <w:r w:rsidR="00164999">
        <w:rPr>
          <w:rFonts w:ascii="Calibri" w:eastAsia="Times New Roman" w:hAnsi="Calibri" w:cs="Calibri"/>
          <w:lang w:bidi="en-US"/>
        </w:rPr>
        <w:t xml:space="preserve">de </w:t>
      </w:r>
      <w:r w:rsidR="00164999" w:rsidRPr="004A622D">
        <w:rPr>
          <w:rFonts w:ascii="Calibri" w:eastAsia="Times New Roman" w:hAnsi="Calibri" w:cs="Calibri"/>
          <w:lang w:bidi="en-US"/>
        </w:rPr>
        <w:t>l’administration</w:t>
      </w:r>
      <w:r>
        <w:rPr>
          <w:rFonts w:ascii="Calibri" w:eastAsia="Times New Roman" w:hAnsi="Calibri" w:cs="Calibri"/>
          <w:lang w:bidi="en-US"/>
        </w:rPr>
        <w:t>, du journalisme, de la magistrature du pétrole, du gaz……etc.</w:t>
      </w:r>
    </w:p>
    <w:p w14:paraId="557025CD" w14:textId="77777777" w:rsidR="00BC6C8B" w:rsidRDefault="00BC6C8B" w:rsidP="00BC6C8B">
      <w:pPr>
        <w:autoSpaceDE w:val="0"/>
        <w:autoSpaceDN w:val="0"/>
        <w:adjustRightInd w:val="0"/>
        <w:spacing w:before="100" w:beforeAutospacing="1" w:after="100" w:afterAutospacing="1" w:line="23" w:lineRule="atLeast"/>
        <w:ind w:left="928"/>
        <w:contextualSpacing/>
        <w:jc w:val="both"/>
        <w:rPr>
          <w:rFonts w:ascii="Calibri" w:eastAsia="Times New Roman" w:hAnsi="Calibri" w:cs="Calibri"/>
          <w:lang w:bidi="en-US"/>
        </w:rPr>
      </w:pPr>
    </w:p>
    <w:p w14:paraId="4A671B97" w14:textId="77777777" w:rsidR="00BC6C8B" w:rsidRPr="000257D4" w:rsidRDefault="00BC6C8B" w:rsidP="00BC6C8B">
      <w:pPr>
        <w:widowControl w:val="0"/>
        <w:numPr>
          <w:ilvl w:val="1"/>
          <w:numId w:val="450"/>
        </w:numPr>
        <w:autoSpaceDE w:val="0"/>
        <w:spacing w:before="100" w:beforeAutospacing="1" w:after="100" w:afterAutospacing="1" w:line="23" w:lineRule="atLeast"/>
        <w:ind w:hanging="578"/>
        <w:jc w:val="both"/>
        <w:outlineLvl w:val="1"/>
        <w:rPr>
          <w:rFonts w:ascii="Calibri" w:eastAsia="Times New Roman" w:hAnsi="Calibri" w:cs="Calibri"/>
          <w:b/>
          <w:bCs/>
          <w:iCs/>
          <w:noProof/>
          <w:lang w:bidi="en-US"/>
        </w:rPr>
      </w:pPr>
      <w:bookmarkStart w:id="463" w:name="_Toc58061717"/>
      <w:r w:rsidRPr="000257D4">
        <w:rPr>
          <w:rFonts w:ascii="Calibri" w:eastAsia="Times New Roman" w:hAnsi="Calibri" w:cs="Calibri"/>
          <w:b/>
          <w:bCs/>
          <w:iCs/>
          <w:noProof/>
          <w:lang w:bidi="en-US"/>
        </w:rPr>
        <w:t>Chantiers d’Aménagement du Territoire</w:t>
      </w:r>
      <w:bookmarkEnd w:id="463"/>
    </w:p>
    <w:p w14:paraId="709A3BD5" w14:textId="77777777" w:rsidR="00BC6C8B" w:rsidRPr="004A622D" w:rsidRDefault="00BC6C8B" w:rsidP="00BC6C8B">
      <w:p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Les chantiers d’aménagement du territoire poursuivent un objectif péréquationnel à travers le renforcement de la politique de regroupement des localités et un objectif de valorisation des dotations factorielles et avantages comparatifs à travers une politique de "pooling".</w:t>
      </w:r>
    </w:p>
    <w:p w14:paraId="67F63B42" w14:textId="77777777" w:rsidR="00BC6C8B" w:rsidRDefault="00BC6C8B" w:rsidP="00BC6C8B">
      <w:p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En matière de péréquatio</w:t>
      </w:r>
      <w:r>
        <w:rPr>
          <w:rFonts w:ascii="Calibri" w:eastAsia="Times New Roman" w:hAnsi="Calibri" w:cs="Calibri"/>
          <w:lang w:bidi="en-US"/>
        </w:rPr>
        <w:t xml:space="preserve">n territoriale, les deux programmes respectivement </w:t>
      </w:r>
      <w:r w:rsidRPr="004A622D">
        <w:rPr>
          <w:rFonts w:ascii="Calibri" w:eastAsia="Times New Roman" w:hAnsi="Calibri" w:cs="Calibri"/>
          <w:lang w:bidi="en-US"/>
        </w:rPr>
        <w:t>«</w:t>
      </w:r>
      <w:r>
        <w:rPr>
          <w:rFonts w:ascii="Calibri" w:eastAsia="Times New Roman" w:hAnsi="Calibri" w:cs="Calibri"/>
          <w:lang w:bidi="en-US"/>
        </w:rPr>
        <w:t> </w:t>
      </w:r>
      <w:r w:rsidRPr="004A622D">
        <w:rPr>
          <w:rFonts w:ascii="Calibri" w:eastAsia="Times New Roman" w:hAnsi="Calibri" w:cs="Calibri"/>
          <w:lang w:bidi="en-US"/>
        </w:rPr>
        <w:t>TAAHOUDATY</w:t>
      </w:r>
      <w:r>
        <w:rPr>
          <w:rFonts w:ascii="Calibri" w:eastAsia="Times New Roman" w:hAnsi="Calibri" w:cs="Calibri"/>
          <w:lang w:bidi="en-US"/>
        </w:rPr>
        <w:t> » et « MES AMBITIONS POUR LA PATRIE »</w:t>
      </w:r>
      <w:r w:rsidRPr="004A622D">
        <w:rPr>
          <w:rFonts w:ascii="Calibri" w:eastAsia="Times New Roman" w:hAnsi="Calibri" w:cs="Calibri"/>
          <w:lang w:bidi="en-US"/>
        </w:rPr>
        <w:t xml:space="preserve"> visent à donner plus de consistance au regroupement des </w:t>
      </w:r>
      <w:r>
        <w:rPr>
          <w:rFonts w:ascii="Calibri" w:eastAsia="Times New Roman" w:hAnsi="Calibri" w:cs="Calibri"/>
          <w:lang w:bidi="en-US"/>
        </w:rPr>
        <w:t>localités.</w:t>
      </w:r>
    </w:p>
    <w:p w14:paraId="6C4C4DEE" w14:textId="1BE5DCC6" w:rsidR="00BC6C8B" w:rsidRPr="00A146BA" w:rsidRDefault="00BC6C8B" w:rsidP="00BC6C8B">
      <w:pPr>
        <w:jc w:val="both"/>
        <w:rPr>
          <w:rFonts w:ascii="LouguiyaFR" w:hAnsi="LouguiyaFR" w:cstheme="majorBidi"/>
          <w:color w:val="006666"/>
        </w:rPr>
      </w:pPr>
      <w:r w:rsidRPr="00A146BA">
        <w:rPr>
          <w:rFonts w:ascii="Calibri" w:eastAsia="Times New Roman" w:hAnsi="Calibri" w:cs="Calibri"/>
          <w:color w:val="006666"/>
          <w:lang w:bidi="en-US"/>
        </w:rPr>
        <w:t xml:space="preserve">Dans ce cadre plusieurs regroupements de localités entre autres ont été réalisés </w:t>
      </w:r>
      <w:r w:rsidRPr="00A146BA">
        <w:rPr>
          <w:rFonts w:ascii="LouguiyaFR" w:hAnsi="LouguiyaFR" w:cstheme="majorBidi"/>
          <w:color w:val="006666"/>
        </w:rPr>
        <w:t>les actions du département  s’articulent autour de l’installation organisée des populations sur des espaces appropriés, apprêtés, lotis et viabilisés, la construction des bâtiments administratifs et collectifs, des infrastructures et équipements dans les règles de l’art, la création des conditions favorables à l’émergence d’un développement local harmonieux et l’amélioration de la gouvernance (administrabilité</w:t>
      </w:r>
      <w:r w:rsidR="00164999">
        <w:rPr>
          <w:rFonts w:ascii="LouguiyaFR" w:hAnsi="LouguiyaFR" w:cstheme="majorBidi"/>
          <w:color w:val="006666"/>
        </w:rPr>
        <w:t>)</w:t>
      </w:r>
      <w:r w:rsidRPr="00A146BA">
        <w:rPr>
          <w:rFonts w:ascii="LouguiyaFR" w:hAnsi="LouguiyaFR" w:cstheme="majorBidi"/>
          <w:color w:val="006666"/>
        </w:rPr>
        <w:t xml:space="preserve"> des populations par la déconcentration et la délocalisation des services essentiels de proximité.</w:t>
      </w:r>
    </w:p>
    <w:p w14:paraId="4656A66F" w14:textId="77777777" w:rsidR="00BC6C8B" w:rsidRPr="00A146BA" w:rsidRDefault="00BC6C8B" w:rsidP="00BC6C8B">
      <w:pPr>
        <w:jc w:val="both"/>
        <w:rPr>
          <w:rFonts w:ascii="LouguiyaFR" w:hAnsi="LouguiyaFR" w:cstheme="majorBidi"/>
          <w:color w:val="006666"/>
        </w:rPr>
      </w:pPr>
      <w:r w:rsidRPr="00A146BA">
        <w:rPr>
          <w:rFonts w:ascii="LouguiyaFR" w:hAnsi="LouguiyaFR" w:cstheme="majorBidi"/>
          <w:color w:val="006666"/>
        </w:rPr>
        <w:t xml:space="preserve"> Le bilan de l’année 2023 du département fait ressortir les réalisations dans les différents regroupements suivants :</w:t>
      </w:r>
    </w:p>
    <w:p w14:paraId="053BDDA6" w14:textId="77777777" w:rsidR="00BC6C8B" w:rsidRPr="00A146BA" w:rsidRDefault="00BC6C8B" w:rsidP="00BC6C8B">
      <w:pPr>
        <w:numPr>
          <w:ilvl w:val="0"/>
          <w:numId w:val="475"/>
        </w:numPr>
        <w:jc w:val="both"/>
        <w:rPr>
          <w:rFonts w:ascii="LouguiyaFR" w:hAnsi="LouguiyaFR" w:cstheme="majorBidi"/>
          <w:color w:val="006666"/>
        </w:rPr>
      </w:pPr>
      <w:r w:rsidRPr="00A146BA">
        <w:rPr>
          <w:rFonts w:ascii="LouguiyaFR" w:hAnsi="LouguiyaFR" w:cstheme="majorBidi"/>
          <w:b/>
          <w:bCs/>
          <w:color w:val="006666"/>
          <w:u w:val="single"/>
        </w:rPr>
        <w:t xml:space="preserve">Regroupement de Tenwemend, Chinguetti, en Adrar : </w:t>
      </w:r>
      <w:r w:rsidRPr="00A146BA">
        <w:rPr>
          <w:rFonts w:ascii="LouguiyaFR" w:hAnsi="LouguiyaFR" w:cstheme="majorBidi"/>
          <w:color w:val="006666"/>
        </w:rPr>
        <w:t>Les travaux de construction des équipements publics sont terminés, les familles ont été recensées, l’alimentation en eau (AE) est en cours de réalisation par le Ministère de l’Hydraulique.</w:t>
      </w:r>
    </w:p>
    <w:p w14:paraId="64B2DD4E" w14:textId="77777777" w:rsidR="00BC6C8B" w:rsidRPr="00A146BA" w:rsidRDefault="00BC6C8B" w:rsidP="00BC6C8B">
      <w:pPr>
        <w:numPr>
          <w:ilvl w:val="0"/>
          <w:numId w:val="475"/>
        </w:numPr>
        <w:jc w:val="both"/>
        <w:rPr>
          <w:rFonts w:ascii="LouguiyaFR" w:hAnsi="LouguiyaFR" w:cstheme="majorBidi"/>
          <w:color w:val="006666"/>
        </w:rPr>
      </w:pPr>
      <w:r w:rsidRPr="00A146BA">
        <w:rPr>
          <w:rFonts w:ascii="LouguiyaFR" w:hAnsi="LouguiyaFR" w:cstheme="majorBidi"/>
          <w:b/>
          <w:bCs/>
          <w:color w:val="006666"/>
          <w:u w:val="single"/>
        </w:rPr>
        <w:t>Regroupement de Koundi 3, (Tékane-Trarza) </w:t>
      </w:r>
      <w:r w:rsidRPr="00A146BA">
        <w:rPr>
          <w:rFonts w:ascii="LouguiyaFR" w:hAnsi="LouguiyaFR" w:cstheme="majorBidi"/>
          <w:b/>
          <w:bCs/>
          <w:color w:val="006666"/>
        </w:rPr>
        <w:t xml:space="preserve">: </w:t>
      </w:r>
      <w:r w:rsidRPr="00A146BA">
        <w:rPr>
          <w:rFonts w:ascii="LouguiyaFR" w:hAnsi="LouguiyaFR" w:cstheme="majorBidi"/>
          <w:color w:val="006666"/>
        </w:rPr>
        <w:t>le Plan de Lotissement a été adopté en Conseil des Ministres, le regroupement est doté d’une école, d’un collège, d’un complexe islamique et d’un point de santé, il est déjà alimenté en eau potable et l’installation des populations a été effectuée.</w:t>
      </w:r>
    </w:p>
    <w:p w14:paraId="3CE0D56C" w14:textId="77777777" w:rsidR="00BC6C8B" w:rsidRPr="00A146BA" w:rsidRDefault="00BC6C8B" w:rsidP="00BC6C8B">
      <w:pPr>
        <w:numPr>
          <w:ilvl w:val="0"/>
          <w:numId w:val="475"/>
        </w:numPr>
        <w:jc w:val="both"/>
        <w:rPr>
          <w:rFonts w:ascii="LouguiyaFR" w:hAnsi="LouguiyaFR" w:cstheme="majorBidi"/>
          <w:color w:val="006666"/>
        </w:rPr>
      </w:pPr>
      <w:r w:rsidRPr="00A146BA">
        <w:rPr>
          <w:rFonts w:ascii="LouguiyaFR" w:hAnsi="LouguiyaFR" w:cstheme="majorBidi"/>
          <w:b/>
          <w:bCs/>
          <w:color w:val="006666"/>
          <w:u w:val="single"/>
        </w:rPr>
        <w:t>Regroupement de Boughle à Adel Bagrou (Hodh El charghi) :</w:t>
      </w:r>
      <w:r w:rsidRPr="00A146BA">
        <w:rPr>
          <w:rFonts w:ascii="LouguiyaFR" w:hAnsi="LouguiyaFR" w:cstheme="majorBidi"/>
          <w:color w:val="006666"/>
        </w:rPr>
        <w:t xml:space="preserve"> les travaux de construction des équipements publics ont atteint un pourcentage moyen de (98%) et les travaux d’alimentation en eau potable (AEP) sont achevés. </w:t>
      </w:r>
    </w:p>
    <w:p w14:paraId="18687324" w14:textId="77777777" w:rsidR="00BC6C8B" w:rsidRPr="00A146BA" w:rsidRDefault="00BC6C8B" w:rsidP="00BC6C8B">
      <w:pPr>
        <w:jc w:val="both"/>
        <w:rPr>
          <w:rFonts w:ascii="LouguiyaFR" w:hAnsi="LouguiyaFR" w:cstheme="majorBidi"/>
          <w:color w:val="006666"/>
        </w:rPr>
      </w:pPr>
      <w:r w:rsidRPr="00A146BA">
        <w:rPr>
          <w:rFonts w:ascii="LouguiyaFR" w:hAnsi="LouguiyaFR" w:cstheme="majorBidi"/>
          <w:color w:val="006666"/>
        </w:rPr>
        <w:t xml:space="preserve">Aussi, le département prévoit de créer des nouveaux regroupements dénommés beder </w:t>
      </w:r>
      <w:r>
        <w:rPr>
          <w:rFonts w:ascii="LouguiyaFR" w:hAnsi="LouguiyaFR" w:cstheme="majorBidi"/>
          <w:color w:val="006666"/>
        </w:rPr>
        <w:t>au</w:t>
      </w:r>
      <w:r w:rsidRPr="00A146BA">
        <w:rPr>
          <w:rFonts w:ascii="LouguiyaFR" w:hAnsi="LouguiyaFR" w:cstheme="majorBidi"/>
          <w:color w:val="006666"/>
        </w:rPr>
        <w:t xml:space="preserve"> Hodh el Gharbi et a procédé au lancement du regroupement de Hweiriya à Néma et N’beytness à Timbedra (Hodh Chargui) les travaux d’alimentation en eau potable de ces deux regroupements sont en cours (50%) et leurs plans de lotissement ont été élaborés.</w:t>
      </w:r>
    </w:p>
    <w:p w14:paraId="7A15FCEC" w14:textId="77777777" w:rsidR="00BC6C8B" w:rsidRPr="005E67BD" w:rsidRDefault="00BC6C8B" w:rsidP="00BC6C8B">
      <w:pPr>
        <w:jc w:val="both"/>
        <w:rPr>
          <w:rFonts w:ascii="LouguiyaFR" w:hAnsi="LouguiyaFR" w:cstheme="majorBidi"/>
          <w:color w:val="FF0000"/>
        </w:rPr>
      </w:pPr>
    </w:p>
    <w:p w14:paraId="3894E990" w14:textId="77777777" w:rsidR="00BC6C8B" w:rsidRPr="00E12EC8" w:rsidRDefault="00BC6C8B" w:rsidP="00BC6C8B">
      <w:pPr>
        <w:jc w:val="both"/>
        <w:rPr>
          <w:rFonts w:ascii="LouguiyaFR" w:hAnsi="LouguiyaFR" w:cstheme="majorBidi"/>
        </w:rPr>
      </w:pPr>
    </w:p>
    <w:p w14:paraId="43D10EA8" w14:textId="77777777" w:rsidR="00BC6C8B" w:rsidRPr="004A622D" w:rsidRDefault="00BC6C8B" w:rsidP="00BC6C8B">
      <w:p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En mati</w:t>
      </w:r>
      <w:r>
        <w:rPr>
          <w:rFonts w:ascii="Calibri" w:eastAsia="Times New Roman" w:hAnsi="Calibri" w:cs="Calibri"/>
          <w:lang w:bidi="en-US"/>
        </w:rPr>
        <w:t xml:space="preserve">ère de pooling, les objectifs </w:t>
      </w:r>
      <w:r w:rsidRPr="004A622D">
        <w:rPr>
          <w:rFonts w:ascii="Calibri" w:eastAsia="Times New Roman" w:hAnsi="Calibri" w:cs="Calibri"/>
          <w:lang w:bidi="en-US"/>
        </w:rPr>
        <w:t>visent :</w:t>
      </w:r>
    </w:p>
    <w:p w14:paraId="462C1899" w14:textId="77777777" w:rsidR="00BC6C8B" w:rsidRPr="004A622D" w:rsidRDefault="00BC6C8B" w:rsidP="00BC6C8B">
      <w:pPr>
        <w:numPr>
          <w:ilvl w:val="0"/>
          <w:numId w:val="447"/>
        </w:numPr>
        <w:autoSpaceDE w:val="0"/>
        <w:adjustRightInd w:val="0"/>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La création de centres régionaux d’administration publique, la création de bassins de production du fourrage au nivea</w:t>
      </w:r>
      <w:r>
        <w:rPr>
          <w:rFonts w:ascii="Calibri" w:eastAsia="Arial" w:hAnsi="Calibri" w:cs="Calibri"/>
          <w:lang w:bidi="en-US"/>
        </w:rPr>
        <w:t xml:space="preserve">u des villes </w:t>
      </w:r>
      <w:r w:rsidRPr="004A622D">
        <w:rPr>
          <w:rFonts w:ascii="Calibri" w:eastAsia="Arial" w:hAnsi="Calibri" w:cs="Calibri"/>
          <w:lang w:bidi="en-US"/>
        </w:rPr>
        <w:t xml:space="preserve"> </w:t>
      </w:r>
    </w:p>
    <w:p w14:paraId="24B8900F" w14:textId="77777777" w:rsidR="00BC6C8B" w:rsidRDefault="00BC6C8B" w:rsidP="00BC6C8B">
      <w:pPr>
        <w:numPr>
          <w:ilvl w:val="0"/>
          <w:numId w:val="447"/>
        </w:numPr>
        <w:autoSpaceDE w:val="0"/>
        <w:adjustRightInd w:val="0"/>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La création d’un pôle de compétitivité autour du port multifonction</w:t>
      </w:r>
      <w:r>
        <w:rPr>
          <w:rFonts w:ascii="Calibri" w:eastAsia="Arial" w:hAnsi="Calibri" w:cs="Calibri"/>
          <w:lang w:bidi="en-US"/>
        </w:rPr>
        <w:t>s</w:t>
      </w:r>
      <w:r w:rsidRPr="004A622D">
        <w:rPr>
          <w:rFonts w:ascii="Calibri" w:eastAsia="Arial" w:hAnsi="Calibri" w:cs="Calibri"/>
          <w:lang w:bidi="en-US"/>
        </w:rPr>
        <w:t xml:space="preserve"> de N’Diago. Ce pôle permettra de maximiser un contenu local des activités pétrolières, en ayant comme priorité, la formation professionnelle des jeunes mauritaniens dans les différents domaines d’expertise liés au secteur, la mise à niveau des sociétés nationales pour leur permettre de répondre aux standards de l’industrie pétrolière et gazière. </w:t>
      </w:r>
    </w:p>
    <w:p w14:paraId="577B4732" w14:textId="77777777" w:rsidR="00BC6C8B" w:rsidRPr="004A622D" w:rsidRDefault="00BC6C8B" w:rsidP="00BC6C8B">
      <w:pPr>
        <w:autoSpaceDE w:val="0"/>
        <w:adjustRightInd w:val="0"/>
        <w:spacing w:before="100" w:beforeAutospacing="1" w:after="100" w:afterAutospacing="1" w:line="23" w:lineRule="atLeast"/>
        <w:ind w:left="720"/>
        <w:jc w:val="both"/>
        <w:rPr>
          <w:rFonts w:ascii="Calibri" w:eastAsia="Arial" w:hAnsi="Calibri" w:cs="Calibri"/>
          <w:lang w:bidi="en-US"/>
        </w:rPr>
      </w:pPr>
      <w:r w:rsidRPr="004A622D">
        <w:rPr>
          <w:rFonts w:ascii="Calibri" w:eastAsia="Arial" w:hAnsi="Calibri" w:cs="Calibri"/>
          <w:lang w:bidi="en-US"/>
        </w:rPr>
        <w:t>Ce pôle permettra aussi de mettre en place les infrastructures nécessaires au développement du secteur (stockage, transport distribution, capacités portuaires) dans l’objectif de faire de la Mauritanie un HUB régional de l’industrie pétrolière et gazière</w:t>
      </w:r>
      <w:r w:rsidRPr="004A622D">
        <w:rPr>
          <w:rFonts w:ascii="Calibri" w:eastAsia="Arial" w:hAnsi="Calibri" w:cs="Calibri"/>
          <w:color w:val="000000"/>
          <w:lang w:bidi="en-US"/>
        </w:rPr>
        <w:t>.</w:t>
      </w:r>
    </w:p>
    <w:p w14:paraId="2F672866" w14:textId="77777777" w:rsidR="00BC6C8B" w:rsidRPr="004A622D" w:rsidRDefault="00BC6C8B" w:rsidP="00BC6C8B">
      <w:pPr>
        <w:autoSpaceDE w:val="0"/>
        <w:autoSpaceDN w:val="0"/>
        <w:adjustRightInd w:val="0"/>
        <w:spacing w:before="100" w:beforeAutospacing="1" w:after="100" w:afterAutospacing="1" w:line="23" w:lineRule="atLeast"/>
        <w:ind w:left="142"/>
        <w:jc w:val="both"/>
        <w:rPr>
          <w:rFonts w:ascii="Calibri" w:eastAsia="Calibri" w:hAnsi="Calibri" w:cs="Calibri"/>
          <w:bCs/>
          <w:iCs/>
          <w:lang w:bidi="en-US"/>
        </w:rPr>
      </w:pPr>
      <w:r w:rsidRPr="004A622D">
        <w:rPr>
          <w:rFonts w:ascii="Calibri" w:eastAsia="Calibri" w:hAnsi="Calibri" w:cs="Calibri"/>
          <w:bCs/>
          <w:iCs/>
          <w:lang w:bidi="en-US"/>
        </w:rPr>
        <w:t xml:space="preserve">Les politiques du secteur, inspirées de la </w:t>
      </w:r>
      <w:r w:rsidRPr="004A622D">
        <w:rPr>
          <w:rFonts w:ascii="Calibri" w:eastAsia="Times New Roman" w:hAnsi="Calibri" w:cs="Calibri"/>
          <w:lang w:bidi="en-US"/>
        </w:rPr>
        <w:t>Stratégie de Croissance Accélérée et de Prospérité Partagée (SCAPP)</w:t>
      </w:r>
      <w:r>
        <w:rPr>
          <w:rFonts w:ascii="Calibri" w:eastAsia="Calibri" w:hAnsi="Calibri" w:cs="Calibri"/>
          <w:bCs/>
          <w:iCs/>
          <w:lang w:bidi="en-US"/>
        </w:rPr>
        <w:t xml:space="preserve"> et des deux </w:t>
      </w:r>
      <w:r w:rsidRPr="004A622D">
        <w:rPr>
          <w:rFonts w:ascii="Calibri" w:eastAsia="Calibri" w:hAnsi="Calibri" w:cs="Calibri"/>
          <w:bCs/>
          <w:iCs/>
          <w:lang w:bidi="en-US"/>
        </w:rPr>
        <w:t>Programme</w:t>
      </w:r>
      <w:r>
        <w:rPr>
          <w:rFonts w:ascii="Calibri" w:eastAsia="Calibri" w:hAnsi="Calibri" w:cs="Calibri"/>
          <w:bCs/>
          <w:iCs/>
          <w:lang w:bidi="en-US"/>
        </w:rPr>
        <w:t>s</w:t>
      </w:r>
      <w:r w:rsidRPr="004A622D">
        <w:rPr>
          <w:rFonts w:ascii="Calibri" w:eastAsia="Calibri" w:hAnsi="Calibri" w:cs="Calibri"/>
          <w:bCs/>
          <w:iCs/>
          <w:lang w:bidi="en-US"/>
        </w:rPr>
        <w:t xml:space="preserve"> </w:t>
      </w:r>
      <w:r>
        <w:rPr>
          <w:rFonts w:ascii="Calibri" w:eastAsia="Calibri" w:hAnsi="Calibri" w:cs="Calibri"/>
          <w:bCs/>
          <w:iCs/>
          <w:lang w:bidi="en-US"/>
        </w:rPr>
        <w:t>« </w:t>
      </w:r>
      <w:r w:rsidRPr="004A622D">
        <w:rPr>
          <w:rFonts w:ascii="Calibri" w:eastAsia="Calibri" w:hAnsi="Calibri" w:cs="Calibri"/>
          <w:bCs/>
          <w:iCs/>
          <w:lang w:bidi="en-US"/>
        </w:rPr>
        <w:t>TAAHOUDATY</w:t>
      </w:r>
      <w:r>
        <w:rPr>
          <w:rFonts w:ascii="Calibri" w:eastAsia="Calibri" w:hAnsi="Calibri" w:cs="Calibri"/>
          <w:bCs/>
          <w:iCs/>
          <w:lang w:bidi="en-US"/>
        </w:rPr>
        <w:t> »</w:t>
      </w:r>
      <w:r w:rsidRPr="004A622D">
        <w:rPr>
          <w:rFonts w:ascii="Calibri" w:eastAsia="Calibri" w:hAnsi="Calibri" w:cs="Calibri"/>
          <w:bCs/>
          <w:iCs/>
          <w:lang w:bidi="en-US"/>
        </w:rPr>
        <w:t>,</w:t>
      </w:r>
      <w:r>
        <w:rPr>
          <w:rFonts w:ascii="Calibri" w:eastAsia="Calibri" w:hAnsi="Calibri" w:cs="Calibri"/>
          <w:bCs/>
          <w:iCs/>
          <w:lang w:bidi="en-US"/>
        </w:rPr>
        <w:t xml:space="preserve"> et « MES AMBITIONS POUR LA PATRIE » </w:t>
      </w:r>
      <w:r w:rsidRPr="004A622D">
        <w:rPr>
          <w:rFonts w:ascii="Calibri" w:eastAsia="Calibri" w:hAnsi="Calibri" w:cs="Calibri"/>
          <w:bCs/>
          <w:iCs/>
          <w:lang w:bidi="en-US"/>
        </w:rPr>
        <w:t>sont axées autour de cinq objectifs stratégiques que sont :</w:t>
      </w:r>
    </w:p>
    <w:p w14:paraId="2385A5BA" w14:textId="77777777" w:rsidR="00BC6C8B" w:rsidRPr="004A622D" w:rsidRDefault="00BC6C8B" w:rsidP="00BC6C8B">
      <w:pPr>
        <w:numPr>
          <w:ilvl w:val="0"/>
          <w:numId w:val="451"/>
        </w:numPr>
        <w:autoSpaceDE w:val="0"/>
        <w:adjustRightInd w:val="0"/>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Permettre un accès pour tous à un habitat décent à travers la promotion et la valorisation des matériaux locaux de construction, la mise en place d’outils performants de promotion immobilière et des mécanismes adaptés de financement de l’habitat ;</w:t>
      </w:r>
    </w:p>
    <w:p w14:paraId="59338DC9" w14:textId="77777777" w:rsidR="00BC6C8B" w:rsidRPr="004A622D" w:rsidRDefault="00BC6C8B" w:rsidP="00BC6C8B">
      <w:pPr>
        <w:numPr>
          <w:ilvl w:val="0"/>
          <w:numId w:val="451"/>
        </w:numPr>
        <w:autoSpaceDE w:val="0"/>
        <w:adjustRightInd w:val="0"/>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Substituer à la logique de l’urbanisme de fait</w:t>
      </w:r>
      <w:r>
        <w:rPr>
          <w:rFonts w:ascii="Calibri" w:eastAsia="Arial" w:hAnsi="Calibri" w:cs="Calibri"/>
          <w:lang w:bidi="en-US"/>
        </w:rPr>
        <w:t xml:space="preserve"> à</w:t>
      </w:r>
      <w:r w:rsidRPr="004A622D">
        <w:rPr>
          <w:rFonts w:ascii="Calibri" w:eastAsia="Arial" w:hAnsi="Calibri" w:cs="Calibri"/>
          <w:lang w:bidi="en-US"/>
        </w:rPr>
        <w:t xml:space="preserve"> une logique d’urbanisme volontariste ;</w:t>
      </w:r>
    </w:p>
    <w:p w14:paraId="29D34138" w14:textId="77777777" w:rsidR="00BC6C8B" w:rsidRPr="004A622D" w:rsidRDefault="00BC6C8B" w:rsidP="00BC6C8B">
      <w:pPr>
        <w:numPr>
          <w:ilvl w:val="0"/>
          <w:numId w:val="451"/>
        </w:numPr>
        <w:autoSpaceDE w:val="0"/>
        <w:adjustRightInd w:val="0"/>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Faire du secteur des bâtiments et équipements publics un moyen d’amélioration du service public et un moteur de croissance créateur d’emplois ;</w:t>
      </w:r>
    </w:p>
    <w:p w14:paraId="2879DC15" w14:textId="77777777" w:rsidR="00BC6C8B" w:rsidRPr="004A622D" w:rsidRDefault="00BC6C8B" w:rsidP="00BC6C8B">
      <w:pPr>
        <w:numPr>
          <w:ilvl w:val="0"/>
          <w:numId w:val="451"/>
        </w:numPr>
        <w:autoSpaceDE w:val="0"/>
        <w:adjustRightInd w:val="0"/>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Promouvoir un aménagement du territoire rationnel et équilibré ;</w:t>
      </w:r>
    </w:p>
    <w:p w14:paraId="65FCEA31" w14:textId="77777777" w:rsidR="00BC6C8B" w:rsidRPr="004A622D" w:rsidRDefault="00BC6C8B" w:rsidP="00BC6C8B">
      <w:pPr>
        <w:numPr>
          <w:ilvl w:val="0"/>
          <w:numId w:val="451"/>
        </w:numPr>
        <w:autoSpaceDE w:val="0"/>
        <w:adjustRightInd w:val="0"/>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Faire de la cartographie et de l’information géographique un outil de base de la planification nationale.</w:t>
      </w:r>
    </w:p>
    <w:p w14:paraId="32B14E77" w14:textId="77777777" w:rsidR="00BC6C8B" w:rsidRPr="004A622D" w:rsidRDefault="00BC6C8B" w:rsidP="00BC6C8B">
      <w:pPr>
        <w:autoSpaceDE w:val="0"/>
        <w:autoSpaceDN w:val="0"/>
        <w:adjustRightInd w:val="0"/>
        <w:spacing w:before="100" w:beforeAutospacing="1" w:after="120" w:line="23" w:lineRule="atLeast"/>
        <w:ind w:left="142"/>
        <w:jc w:val="both"/>
        <w:rPr>
          <w:rFonts w:ascii="Calibri" w:eastAsia="Calibri" w:hAnsi="Calibri" w:cs="Calibri"/>
          <w:bCs/>
          <w:iCs/>
          <w:lang w:bidi="en-US"/>
        </w:rPr>
      </w:pPr>
      <w:r w:rsidRPr="004A622D">
        <w:rPr>
          <w:rFonts w:ascii="Calibri" w:eastAsia="Calibri" w:hAnsi="Calibri" w:cs="Calibri"/>
          <w:bCs/>
          <w:iCs/>
          <w:lang w:bidi="en-US"/>
        </w:rPr>
        <w:t>Ces objectifs stratégiques sont déclinés en objectifs spécifiques :</w:t>
      </w:r>
    </w:p>
    <w:p w14:paraId="571BFDF3" w14:textId="77777777" w:rsidR="00BC6C8B" w:rsidRPr="004A622D" w:rsidRDefault="00BC6C8B" w:rsidP="00BC6C8B">
      <w:pPr>
        <w:numPr>
          <w:ilvl w:val="0"/>
          <w:numId w:val="452"/>
        </w:numPr>
        <w:spacing w:before="120" w:after="0" w:line="23" w:lineRule="atLeast"/>
        <w:jc w:val="both"/>
        <w:rPr>
          <w:rFonts w:ascii="Calibri" w:eastAsia="Arial" w:hAnsi="Calibri" w:cs="Calibri"/>
          <w:lang w:bidi="en-US"/>
        </w:rPr>
      </w:pPr>
      <w:r w:rsidRPr="004A622D">
        <w:rPr>
          <w:rFonts w:ascii="Calibri" w:eastAsia="Arial" w:hAnsi="Calibri" w:cs="Calibri"/>
          <w:lang w:bidi="en-US"/>
        </w:rPr>
        <w:t>Améliorer le cadre institutionnel et normatif de l’habitat ;</w:t>
      </w:r>
    </w:p>
    <w:p w14:paraId="67EA417F" w14:textId="77777777" w:rsidR="00BC6C8B" w:rsidRPr="004A622D" w:rsidRDefault="00BC6C8B" w:rsidP="00BC6C8B">
      <w:pPr>
        <w:numPr>
          <w:ilvl w:val="0"/>
          <w:numId w:val="452"/>
        </w:numPr>
        <w:spacing w:before="100" w:beforeAutospacing="1" w:after="100" w:afterAutospacing="1" w:line="23" w:lineRule="atLeast"/>
        <w:jc w:val="both"/>
        <w:rPr>
          <w:rFonts w:ascii="Calibri" w:eastAsia="Times New Roman" w:hAnsi="Calibri" w:cs="Calibri"/>
          <w:szCs w:val="20"/>
          <w:lang w:bidi="en-US"/>
        </w:rPr>
      </w:pPr>
      <w:r w:rsidRPr="004A622D">
        <w:rPr>
          <w:rFonts w:ascii="Calibri" w:eastAsia="Arial" w:hAnsi="Calibri" w:cs="Calibri"/>
          <w:lang w:bidi="en-US"/>
        </w:rPr>
        <w:t xml:space="preserve">Développer la promotion immobilière </w:t>
      </w:r>
      <w:r w:rsidRPr="004A622D">
        <w:rPr>
          <w:rFonts w:ascii="Calibri" w:eastAsia="Times New Roman" w:hAnsi="Calibri" w:cs="Calibri"/>
          <w:szCs w:val="20"/>
          <w:lang w:bidi="en-US"/>
        </w:rPr>
        <w:t>la promotion de changements paradigmatiques et de changements transformationnels face au changement climatique, pour trouver les moyens de modifier fondamentalement la forme et le fonctionnement des systèmes urbains ;</w:t>
      </w:r>
    </w:p>
    <w:p w14:paraId="20DF8665" w14:textId="77777777" w:rsidR="00BC6C8B" w:rsidRPr="004A622D" w:rsidRDefault="00BC6C8B" w:rsidP="00BC6C8B">
      <w:pPr>
        <w:numPr>
          <w:ilvl w:val="0"/>
          <w:numId w:val="452"/>
        </w:numPr>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Améliorer l’accès des ménages à des parcelles viabilisées et à des logements ;</w:t>
      </w:r>
    </w:p>
    <w:p w14:paraId="3A33A1B1" w14:textId="77777777" w:rsidR="00BC6C8B" w:rsidRPr="004A622D" w:rsidRDefault="00BC6C8B" w:rsidP="00BC6C8B">
      <w:pPr>
        <w:numPr>
          <w:ilvl w:val="0"/>
          <w:numId w:val="452"/>
        </w:numPr>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Améliorer le cadre institutionnel et normatif de l’urbain ;</w:t>
      </w:r>
    </w:p>
    <w:p w14:paraId="69CEC456" w14:textId="77777777" w:rsidR="00BC6C8B" w:rsidRPr="004A622D" w:rsidRDefault="00BC6C8B" w:rsidP="00BC6C8B">
      <w:pPr>
        <w:numPr>
          <w:ilvl w:val="0"/>
          <w:numId w:val="452"/>
        </w:numPr>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Sécuriser, étendre et moderniser les principales villes du pays ;</w:t>
      </w:r>
    </w:p>
    <w:p w14:paraId="3C4F0A8F" w14:textId="77777777" w:rsidR="00BC6C8B" w:rsidRPr="004A622D" w:rsidRDefault="00BC6C8B" w:rsidP="00BC6C8B">
      <w:pPr>
        <w:numPr>
          <w:ilvl w:val="0"/>
          <w:numId w:val="452"/>
        </w:numPr>
        <w:spacing w:before="100" w:beforeAutospacing="1" w:after="100" w:afterAutospacing="1" w:line="23" w:lineRule="atLeast"/>
        <w:jc w:val="both"/>
        <w:rPr>
          <w:rFonts w:ascii="Calibri" w:eastAsia="Times New Roman" w:hAnsi="Calibri" w:cs="Calibri"/>
          <w:bCs/>
          <w:iCs/>
          <w:lang w:bidi="en-US"/>
        </w:rPr>
      </w:pPr>
      <w:r w:rsidRPr="004A622D">
        <w:rPr>
          <w:rFonts w:ascii="Calibri" w:eastAsia="Arial" w:hAnsi="Calibri" w:cs="Calibri"/>
          <w:lang w:bidi="en-US"/>
        </w:rPr>
        <w:t>Eradiquer les quartiers précaires des villes et normaliser l’espace urbain ;</w:t>
      </w:r>
    </w:p>
    <w:p w14:paraId="3F54D855" w14:textId="77777777" w:rsidR="00BC6C8B" w:rsidRPr="004A622D" w:rsidRDefault="00BC6C8B" w:rsidP="00BC6C8B">
      <w:pPr>
        <w:numPr>
          <w:ilvl w:val="0"/>
          <w:numId w:val="452"/>
        </w:numPr>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Améliorer le cadre institutionnel et normatif des BTP ;</w:t>
      </w:r>
    </w:p>
    <w:p w14:paraId="34FBFA30" w14:textId="77777777" w:rsidR="00BC6C8B" w:rsidRPr="004A622D" w:rsidRDefault="00BC6C8B" w:rsidP="00BC6C8B">
      <w:pPr>
        <w:numPr>
          <w:ilvl w:val="0"/>
          <w:numId w:val="452"/>
        </w:numPr>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Promouvoir une politique active de résorption des déficits par la construction de bâtiments et équipements publics adaptés et de qualité ;</w:t>
      </w:r>
    </w:p>
    <w:p w14:paraId="41B9DDF3" w14:textId="77777777" w:rsidR="00BC6C8B" w:rsidRPr="004A622D" w:rsidRDefault="00BC6C8B" w:rsidP="00BC6C8B">
      <w:pPr>
        <w:numPr>
          <w:ilvl w:val="0"/>
          <w:numId w:val="452"/>
        </w:numPr>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Rénover le secteur des BTP en levant les goulots d’étranglement et en mettant en place un cadre propice à la professionnalisation du secteur ;</w:t>
      </w:r>
    </w:p>
    <w:p w14:paraId="12849D4E" w14:textId="77777777" w:rsidR="00BC6C8B" w:rsidRPr="004A622D" w:rsidRDefault="00BC6C8B" w:rsidP="00BC6C8B">
      <w:pPr>
        <w:numPr>
          <w:ilvl w:val="0"/>
          <w:numId w:val="452"/>
        </w:numPr>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Améliorer le cadre institutionnel et normatif de l’aménagement du territoire ;</w:t>
      </w:r>
    </w:p>
    <w:p w14:paraId="04936DA4" w14:textId="77777777" w:rsidR="00BC6C8B" w:rsidRPr="004A622D" w:rsidRDefault="00BC6C8B" w:rsidP="00BC6C8B">
      <w:pPr>
        <w:numPr>
          <w:ilvl w:val="0"/>
          <w:numId w:val="452"/>
        </w:numPr>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Elaborer et mettre en œuvre les stratégies et outils de l’aménagement du territoire ;</w:t>
      </w:r>
    </w:p>
    <w:p w14:paraId="26E1D7D0" w14:textId="77777777" w:rsidR="00BC6C8B" w:rsidRPr="004A622D" w:rsidRDefault="00BC6C8B" w:rsidP="00BC6C8B">
      <w:pPr>
        <w:numPr>
          <w:ilvl w:val="0"/>
          <w:numId w:val="452"/>
        </w:numPr>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Promouvoir une politique active d’équilibre régional et de compétitivité territoriale ;</w:t>
      </w:r>
    </w:p>
    <w:p w14:paraId="412118FC" w14:textId="77777777" w:rsidR="00BC6C8B" w:rsidRPr="004A622D" w:rsidRDefault="00BC6C8B" w:rsidP="00BC6C8B">
      <w:pPr>
        <w:numPr>
          <w:ilvl w:val="0"/>
          <w:numId w:val="452"/>
        </w:numPr>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Améliorer le cadre institutionnel et normatif de la cartographie et de l’information géographique ;</w:t>
      </w:r>
    </w:p>
    <w:p w14:paraId="2DC84DE5" w14:textId="77777777" w:rsidR="00BC6C8B" w:rsidRPr="004A622D" w:rsidRDefault="00BC6C8B" w:rsidP="00BC6C8B">
      <w:pPr>
        <w:numPr>
          <w:ilvl w:val="0"/>
          <w:numId w:val="452"/>
        </w:numPr>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Fournir à toutes les administrations publiques et privées une cartographie de base fiable ;</w:t>
      </w:r>
    </w:p>
    <w:p w14:paraId="78611591" w14:textId="77777777" w:rsidR="00BC6C8B" w:rsidRPr="004A622D" w:rsidRDefault="00BC6C8B" w:rsidP="00BC6C8B">
      <w:pPr>
        <w:numPr>
          <w:ilvl w:val="0"/>
          <w:numId w:val="452"/>
        </w:numPr>
        <w:spacing w:before="100" w:beforeAutospacing="1" w:after="100" w:afterAutospacing="1" w:line="23" w:lineRule="atLeast"/>
        <w:jc w:val="both"/>
        <w:rPr>
          <w:rFonts w:ascii="Calibri" w:eastAsia="Arial" w:hAnsi="Calibri" w:cs="Calibri"/>
          <w:bCs/>
          <w:iCs/>
          <w:lang w:bidi="en-US"/>
        </w:rPr>
      </w:pPr>
      <w:r w:rsidRPr="004A622D">
        <w:rPr>
          <w:rFonts w:ascii="Calibri" w:eastAsia="Arial" w:hAnsi="Calibri" w:cs="Calibri"/>
          <w:lang w:bidi="en-US"/>
        </w:rPr>
        <w:t>Couvrir les besoins spécifiques et prioritaires en cartographie et information géographique (urbanisme et assainissement).</w:t>
      </w:r>
    </w:p>
    <w:p w14:paraId="3F85518A" w14:textId="77777777" w:rsidR="00BC6C8B" w:rsidRPr="004A622D" w:rsidRDefault="00BC6C8B" w:rsidP="00BC6C8B">
      <w:pPr>
        <w:autoSpaceDE w:val="0"/>
        <w:autoSpaceDN w:val="0"/>
        <w:adjustRightInd w:val="0"/>
        <w:spacing w:before="100" w:beforeAutospacing="1" w:after="100" w:afterAutospacing="1" w:line="23" w:lineRule="atLeast"/>
        <w:ind w:left="142"/>
        <w:jc w:val="both"/>
        <w:rPr>
          <w:rFonts w:ascii="Calibri" w:eastAsia="Times New Roman" w:hAnsi="Calibri" w:cs="Calibri"/>
          <w:lang w:bidi="en-US"/>
        </w:rPr>
      </w:pPr>
      <w:r w:rsidRPr="004A622D">
        <w:rPr>
          <w:rFonts w:ascii="Calibri" w:eastAsia="Times New Roman" w:hAnsi="Calibri" w:cs="Calibri"/>
          <w:lang w:bidi="en-US"/>
        </w:rPr>
        <w:t>L’atteinte des objectifs du secteur sont recherchés à travers la formula</w:t>
      </w:r>
      <w:r>
        <w:rPr>
          <w:rFonts w:ascii="Calibri" w:eastAsia="Times New Roman" w:hAnsi="Calibri" w:cs="Calibri"/>
          <w:lang w:bidi="en-US"/>
        </w:rPr>
        <w:t>tion et la mise en œuvre de plusieurs</w:t>
      </w:r>
      <w:r w:rsidRPr="004A622D">
        <w:rPr>
          <w:rFonts w:ascii="Calibri" w:eastAsia="Times New Roman" w:hAnsi="Calibri" w:cs="Calibri"/>
          <w:lang w:bidi="en-US"/>
        </w:rPr>
        <w:t xml:space="preserve"> programmes et un projet concurrent à la réalisation des objectifs du Secteur :</w:t>
      </w:r>
    </w:p>
    <w:p w14:paraId="7895EA54" w14:textId="77777777" w:rsidR="00BC6C8B" w:rsidRPr="004A622D" w:rsidRDefault="00BC6C8B" w:rsidP="00BC6C8B">
      <w:pPr>
        <w:numPr>
          <w:ilvl w:val="0"/>
          <w:numId w:val="453"/>
        </w:numPr>
        <w:autoSpaceDE w:val="0"/>
        <w:adjustRightInd w:val="0"/>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Programme de Restructuration des Quartiers Précaires ;</w:t>
      </w:r>
    </w:p>
    <w:p w14:paraId="2A4B987F" w14:textId="77777777" w:rsidR="00BC6C8B" w:rsidRPr="004A622D" w:rsidRDefault="00BC6C8B" w:rsidP="00BC6C8B">
      <w:pPr>
        <w:numPr>
          <w:ilvl w:val="0"/>
          <w:numId w:val="453"/>
        </w:numPr>
        <w:autoSpaceDE w:val="0"/>
        <w:adjustRightInd w:val="0"/>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Programme d’Extension et de Modernisation des Villes ;</w:t>
      </w:r>
    </w:p>
    <w:p w14:paraId="3125FCE8" w14:textId="77777777" w:rsidR="00BC6C8B" w:rsidRPr="004A622D" w:rsidRDefault="00BC6C8B" w:rsidP="00BC6C8B">
      <w:pPr>
        <w:numPr>
          <w:ilvl w:val="0"/>
          <w:numId w:val="453"/>
        </w:numPr>
        <w:autoSpaceDE w:val="0"/>
        <w:adjustRightInd w:val="0"/>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Programme Moudoun (financé par la Banque Mondiale)</w:t>
      </w:r>
    </w:p>
    <w:p w14:paraId="19640FAC" w14:textId="77777777" w:rsidR="00BC6C8B" w:rsidRPr="004A622D" w:rsidRDefault="00BC6C8B" w:rsidP="00BC6C8B">
      <w:pPr>
        <w:numPr>
          <w:ilvl w:val="0"/>
          <w:numId w:val="453"/>
        </w:numPr>
        <w:autoSpaceDE w:val="0"/>
        <w:adjustRightInd w:val="0"/>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Programme de Construction de Logements Sociaux</w:t>
      </w:r>
      <w:r>
        <w:rPr>
          <w:rFonts w:ascii="Calibri" w:eastAsia="Arial" w:hAnsi="Calibri" w:cs="Calibri"/>
          <w:lang w:bidi="en-US"/>
        </w:rPr>
        <w:t xml:space="preserve"> et économiques de préférence </w:t>
      </w:r>
      <w:r w:rsidRPr="004A622D">
        <w:rPr>
          <w:rFonts w:ascii="Calibri" w:eastAsia="Arial" w:hAnsi="Calibri" w:cs="Calibri"/>
          <w:lang w:bidi="en-US"/>
        </w:rPr>
        <w:t>en Matériaux Locaux</w:t>
      </w:r>
    </w:p>
    <w:p w14:paraId="2EBA0696" w14:textId="77777777" w:rsidR="00BC6C8B" w:rsidRPr="004A622D" w:rsidRDefault="00BC6C8B" w:rsidP="00BC6C8B">
      <w:pPr>
        <w:numPr>
          <w:ilvl w:val="0"/>
          <w:numId w:val="453"/>
        </w:numPr>
        <w:autoSpaceDE w:val="0"/>
        <w:adjustRightInd w:val="0"/>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Programme Bâtiments et équipements publics prioritaires ;</w:t>
      </w:r>
    </w:p>
    <w:p w14:paraId="319B7ED0" w14:textId="77777777" w:rsidR="00BC6C8B" w:rsidRDefault="00BC6C8B" w:rsidP="00BC6C8B">
      <w:pPr>
        <w:numPr>
          <w:ilvl w:val="0"/>
          <w:numId w:val="453"/>
        </w:numPr>
        <w:autoSpaceDE w:val="0"/>
        <w:adjustRightInd w:val="0"/>
        <w:spacing w:before="100" w:beforeAutospacing="1" w:after="100" w:afterAutospacing="1" w:line="23" w:lineRule="atLeast"/>
        <w:jc w:val="both"/>
        <w:rPr>
          <w:rFonts w:ascii="Calibri" w:eastAsia="Arial" w:hAnsi="Calibri" w:cs="Calibri"/>
          <w:lang w:bidi="en-US"/>
        </w:rPr>
      </w:pPr>
      <w:r>
        <w:rPr>
          <w:rFonts w:ascii="Calibri" w:eastAsia="Arial" w:hAnsi="Calibri" w:cs="Calibri"/>
          <w:lang w:bidi="en-US"/>
        </w:rPr>
        <w:t>Programme de l’école républicaine (</w:t>
      </w:r>
      <w:r w:rsidRPr="004A622D">
        <w:rPr>
          <w:rFonts w:ascii="Calibri" w:eastAsia="Arial" w:hAnsi="Calibri" w:cs="Calibri"/>
          <w:lang w:bidi="en-US"/>
        </w:rPr>
        <w:t>Education</w:t>
      </w:r>
      <w:proofErr w:type="gramStart"/>
      <w:r>
        <w:rPr>
          <w:rFonts w:ascii="Calibri" w:eastAsia="Arial" w:hAnsi="Calibri" w:cs="Calibri"/>
          <w:lang w:bidi="en-US"/>
        </w:rPr>
        <w:t>)</w:t>
      </w:r>
      <w:r w:rsidRPr="004A622D">
        <w:rPr>
          <w:rFonts w:ascii="Calibri" w:eastAsia="Arial" w:hAnsi="Calibri" w:cs="Calibri"/>
          <w:lang w:bidi="en-US"/>
        </w:rPr>
        <w:t>;</w:t>
      </w:r>
      <w:proofErr w:type="gramEnd"/>
    </w:p>
    <w:p w14:paraId="355CAEA1" w14:textId="77777777" w:rsidR="00BC6C8B" w:rsidRPr="004A622D" w:rsidRDefault="00BC6C8B" w:rsidP="00BC6C8B">
      <w:pPr>
        <w:numPr>
          <w:ilvl w:val="0"/>
          <w:numId w:val="453"/>
        </w:numPr>
        <w:autoSpaceDE w:val="0"/>
        <w:adjustRightInd w:val="0"/>
        <w:spacing w:before="100" w:beforeAutospacing="1" w:after="100" w:afterAutospacing="1" w:line="23" w:lineRule="atLeast"/>
        <w:jc w:val="both"/>
        <w:rPr>
          <w:rFonts w:ascii="Calibri" w:eastAsia="Arial" w:hAnsi="Calibri" w:cs="Calibri"/>
          <w:lang w:bidi="en-US"/>
        </w:rPr>
      </w:pPr>
      <w:r>
        <w:rPr>
          <w:rFonts w:ascii="Calibri" w:eastAsia="Arial" w:hAnsi="Calibri" w:cs="Calibri"/>
          <w:lang w:bidi="en-US"/>
        </w:rPr>
        <w:t>Programmes de construction des hôpitaux, centres et postes de santé ;</w:t>
      </w:r>
    </w:p>
    <w:p w14:paraId="3FA431C0" w14:textId="77777777" w:rsidR="00BC6C8B" w:rsidRPr="004A622D" w:rsidRDefault="00BC6C8B" w:rsidP="00BC6C8B">
      <w:pPr>
        <w:numPr>
          <w:ilvl w:val="0"/>
          <w:numId w:val="453"/>
        </w:numPr>
        <w:autoSpaceDE w:val="0"/>
        <w:adjustRightInd w:val="0"/>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Programme de Regroupements des Localités</w:t>
      </w:r>
    </w:p>
    <w:p w14:paraId="191575BC" w14:textId="77777777" w:rsidR="00BC6C8B" w:rsidRPr="004A622D" w:rsidRDefault="00BC6C8B" w:rsidP="00BC6C8B">
      <w:pPr>
        <w:numPr>
          <w:ilvl w:val="0"/>
          <w:numId w:val="453"/>
        </w:numPr>
        <w:autoSpaceDE w:val="0"/>
        <w:adjustRightInd w:val="0"/>
        <w:spacing w:before="100" w:beforeAutospacing="1" w:after="100" w:afterAutospacing="1" w:line="23" w:lineRule="atLeast"/>
        <w:jc w:val="both"/>
        <w:rPr>
          <w:rFonts w:ascii="Calibri" w:eastAsia="Arial" w:hAnsi="Calibri" w:cs="Calibri"/>
          <w:lang w:bidi="en-US"/>
        </w:rPr>
      </w:pPr>
      <w:r w:rsidRPr="004A622D">
        <w:rPr>
          <w:rFonts w:ascii="Calibri" w:eastAsia="Arial" w:hAnsi="Calibri" w:cs="Calibri"/>
          <w:lang w:bidi="en-US"/>
        </w:rPr>
        <w:t>Projet du Pole du Port Multifonction de N’Diago</w:t>
      </w:r>
    </w:p>
    <w:p w14:paraId="67525EBF" w14:textId="77777777" w:rsidR="00BC6C8B" w:rsidRDefault="00BC6C8B" w:rsidP="00BC6C8B">
      <w:pPr>
        <w:spacing w:before="300" w:after="40"/>
        <w:jc w:val="both"/>
        <w:outlineLvl w:val="0"/>
        <w:rPr>
          <w:rFonts w:ascii="Calibri" w:eastAsia="Times New Roman" w:hAnsi="Calibri" w:cs="Calibri"/>
          <w:b/>
          <w:spacing w:val="5"/>
          <w:lang w:bidi="en-US"/>
        </w:rPr>
      </w:pPr>
      <w:r>
        <w:rPr>
          <w:rFonts w:ascii="Calibri" w:eastAsia="Times New Roman" w:hAnsi="Calibri" w:cs="Calibri"/>
          <w:lang w:bidi="en-US"/>
        </w:rPr>
        <w:t xml:space="preserve">Ces programmes et projets </w:t>
      </w:r>
      <w:r w:rsidRPr="004A622D">
        <w:rPr>
          <w:rFonts w:ascii="Calibri" w:eastAsia="Times New Roman" w:hAnsi="Calibri" w:cs="Calibri"/>
          <w:lang w:bidi="en-US"/>
        </w:rPr>
        <w:t>sont exécutés suivant les disponibilités budgétaires car, à l’exception du Programme Moudoun, tous les autres sont financés sur le budget de l’Etat.</w:t>
      </w:r>
      <w:bookmarkStart w:id="464" w:name="_Toc58061718"/>
    </w:p>
    <w:p w14:paraId="5E09C118" w14:textId="77777777" w:rsidR="00BC6C8B" w:rsidRPr="004A622D" w:rsidRDefault="00BC6C8B" w:rsidP="00BC6C8B">
      <w:pPr>
        <w:spacing w:before="300" w:after="40"/>
        <w:jc w:val="both"/>
        <w:outlineLvl w:val="0"/>
        <w:rPr>
          <w:rFonts w:ascii="Calibri" w:eastAsia="Times New Roman" w:hAnsi="Calibri" w:cs="Calibri"/>
          <w:b/>
          <w:spacing w:val="5"/>
          <w:lang w:bidi="en-US"/>
        </w:rPr>
      </w:pPr>
      <w:r w:rsidRPr="004A622D">
        <w:rPr>
          <w:rFonts w:ascii="Calibri" w:eastAsia="Times New Roman" w:hAnsi="Calibri" w:cs="Calibri"/>
          <w:b/>
          <w:spacing w:val="5"/>
          <w:lang w:bidi="en-US"/>
        </w:rPr>
        <w:t>Chapitre 7 – Lacunes et besoins d’adaptation au changement climatique</w:t>
      </w:r>
      <w:bookmarkEnd w:id="464"/>
    </w:p>
    <w:p w14:paraId="37418B4A" w14:textId="77777777" w:rsidR="00BC6C8B" w:rsidRPr="00025547" w:rsidRDefault="00BC6C8B" w:rsidP="00BC6C8B">
      <w:pPr>
        <w:numPr>
          <w:ilvl w:val="2"/>
          <w:numId w:val="456"/>
        </w:numPr>
        <w:autoSpaceDE w:val="0"/>
        <w:autoSpaceDN w:val="0"/>
        <w:adjustRightInd w:val="0"/>
        <w:spacing w:before="100" w:beforeAutospacing="1" w:after="100" w:afterAutospacing="1" w:line="23" w:lineRule="atLeast"/>
        <w:ind w:left="567" w:hanging="425"/>
        <w:jc w:val="both"/>
        <w:rPr>
          <w:rFonts w:ascii="Calibri" w:eastAsia="Times New Roman" w:hAnsi="Calibri" w:cs="Calibri"/>
          <w:b/>
          <w:iCs/>
          <w:lang w:val="en-US" w:bidi="en-US"/>
        </w:rPr>
      </w:pPr>
      <w:bookmarkStart w:id="465" w:name="_Toc58061719"/>
      <w:r w:rsidRPr="00025547">
        <w:rPr>
          <w:rFonts w:ascii="Calibri" w:eastAsia="Times New Roman" w:hAnsi="Calibri" w:cs="Calibri"/>
          <w:b/>
          <w:iCs/>
          <w:lang w:val="en-US" w:bidi="en-US"/>
        </w:rPr>
        <w:t>Analyze des lacunes</w:t>
      </w:r>
      <w:bookmarkEnd w:id="465"/>
    </w:p>
    <w:p w14:paraId="688959FE" w14:textId="77777777" w:rsidR="00BC6C8B" w:rsidRPr="004A622D" w:rsidRDefault="00BC6C8B" w:rsidP="00BC6C8B">
      <w:pPr>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Les approches mises en œuvre par le Secteur sont surtout réactives à court terme aux problèmes constatés (restructuration des quartiers précaires, atomisation de l’habitat et précarité) à la place du traitement des causes d’un problème (stratégie de gestion de la sédentarisation et de l’urbanisation) et faible planification environnementale préventive (viabilisation et mise en place des réseaux).</w:t>
      </w:r>
    </w:p>
    <w:p w14:paraId="784E4361" w14:textId="77777777" w:rsidR="00BC6C8B" w:rsidRPr="004A622D" w:rsidRDefault="00BC6C8B" w:rsidP="00BC6C8B">
      <w:pPr>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Les mécanismes et organes</w:t>
      </w:r>
      <w:r w:rsidRPr="004A622D">
        <w:rPr>
          <w:rFonts w:ascii="Calibri" w:eastAsia="Times New Roman" w:hAnsi="Calibri" w:cs="Calibri"/>
          <w:vertAlign w:val="superscript"/>
          <w:lang w:bidi="en-US"/>
        </w:rPr>
        <w:footnoteReference w:id="58"/>
      </w:r>
      <w:r w:rsidRPr="004A622D">
        <w:rPr>
          <w:rFonts w:ascii="Calibri" w:eastAsia="Times New Roman" w:hAnsi="Calibri" w:cs="Calibri"/>
          <w:lang w:bidi="en-US"/>
        </w:rPr>
        <w:t xml:space="preserve"> (CNEDD, CTEDD, CREDD) élaborés par le MEDD et approuvés par le Gouvernement sont ignorés ou faiblement appropriés par le Secteur, et même un outil fédérateur comme le Plan d’Aménagement du Littoral (PDALM) est ignoré. Il en résulte donc une très faible prise en compte de la dimension changement climatique dans les politiques sectorielles.</w:t>
      </w:r>
    </w:p>
    <w:p w14:paraId="6D7BE5D5" w14:textId="77777777" w:rsidR="00BC6C8B" w:rsidRPr="004A622D" w:rsidRDefault="00BC6C8B" w:rsidP="00BC6C8B">
      <w:pPr>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L’absence des données relatives aux changements climatiques et leurs impacts sur le Secteur sont également de nature à ne pas encourager cette prise en compte. Ceci est imputable à l’inexistence d’un Système National de Suivi Ecologique pour collecter et traiter les données environnementales pertinentes pour les différents secteurs impactés par le changement climatique.</w:t>
      </w:r>
    </w:p>
    <w:p w14:paraId="452D177C" w14:textId="77777777" w:rsidR="00BC6C8B" w:rsidRPr="004A622D" w:rsidRDefault="00BC6C8B" w:rsidP="00BC6C8B">
      <w:pPr>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L’arsenal juridique du Secteur</w:t>
      </w:r>
      <w:r>
        <w:rPr>
          <w:rFonts w:ascii="Calibri" w:eastAsia="Times New Roman" w:hAnsi="Calibri" w:cs="Calibri"/>
          <w:lang w:bidi="en-US"/>
        </w:rPr>
        <w:t xml:space="preserve"> souffre du manque de décret d’application des lois (cadre réglementaire) </w:t>
      </w:r>
      <w:r w:rsidRPr="004A622D">
        <w:rPr>
          <w:rFonts w:ascii="Calibri" w:eastAsia="Times New Roman" w:hAnsi="Calibri" w:cs="Calibri"/>
          <w:lang w:bidi="en-US"/>
        </w:rPr>
        <w:t>et n’est même pas appliqué dans toute sa rigueur. Les conventions internationales dont la Mauritanie est partie sur les questions environnementales et de changement climatique ne sont pas prises en compte par le Secteur. Les ressources humaines du Secteur, du fait même de leurs formations initiales et de leurs expériences, ont une idée assez éclectique du changement climatique d’où leur incapacité pratique à les intégrer dans leurs politiques. Les questions environnementales et du changement climatique sont souvent perçues à travers le prisme déformant du contrôle environnemental à priori (études d’impact environnemental et social) -qui n’est d’ailleurs applicable qu’à certains projets et programmes spécifiques-, et s’exercent plus comme une formalité légale que comme une réelle prise de conscience de l’importance du changement climatique dans la structuration des systèmes de vie. Ce problème de ressources humaines a eu une incidence directe sur les faibles capacités de mobilisation des financements qui elles-mêmes, sont dépendantes de la qualité et de la maturité des projets et programmes soumis aux financements extérieurs.</w:t>
      </w:r>
    </w:p>
    <w:p w14:paraId="6DEADAAB" w14:textId="77777777" w:rsidR="00BC6C8B" w:rsidRPr="004A622D" w:rsidRDefault="00BC6C8B" w:rsidP="00BC6C8B">
      <w:p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 xml:space="preserve">La prise en compte du changement climatique ne saurait être effective dans les politiques publiques avec l’élaboration d’un simple canevas prescriptif, si étoffé soit-il, mais bien en l’intégrant comme cadre général des systèmes de planification nationale et sectorielle. Le changement climatique n’est pas un phénomène conjoncturel dont il faut gérer les nuisances par réductions d’impacts, mais bien un phénomène structurel qui requiert résiliences et adaptations, jusques-et-y-compris dans les cadres institutionnels et normatifs. </w:t>
      </w:r>
    </w:p>
    <w:p w14:paraId="65D3BE2A" w14:textId="77777777" w:rsidR="00BC6C8B" w:rsidRPr="004A622D" w:rsidRDefault="00BC6C8B" w:rsidP="00BC6C8B">
      <w:pPr>
        <w:numPr>
          <w:ilvl w:val="2"/>
          <w:numId w:val="456"/>
        </w:numPr>
        <w:autoSpaceDE w:val="0"/>
        <w:autoSpaceDN w:val="0"/>
        <w:adjustRightInd w:val="0"/>
        <w:spacing w:before="100" w:beforeAutospacing="1" w:after="100" w:afterAutospacing="1" w:line="23" w:lineRule="atLeast"/>
        <w:ind w:left="567" w:hanging="425"/>
        <w:jc w:val="both"/>
        <w:rPr>
          <w:rFonts w:ascii="Calibri" w:eastAsia="Times New Roman" w:hAnsi="Calibri" w:cs="Calibri"/>
          <w:b/>
          <w:lang w:bidi="en-US"/>
        </w:rPr>
      </w:pPr>
      <w:r w:rsidRPr="004A622D">
        <w:rPr>
          <w:rFonts w:ascii="Calibri" w:eastAsia="Times New Roman" w:hAnsi="Calibri" w:cs="Calibri"/>
          <w:b/>
          <w:lang w:bidi="en-US"/>
        </w:rPr>
        <w:t>Analyse des lacunes des politiques urbaines</w:t>
      </w:r>
    </w:p>
    <w:p w14:paraId="07334EC4" w14:textId="77777777" w:rsidR="00BC6C8B" w:rsidRPr="004A622D" w:rsidRDefault="00BC6C8B" w:rsidP="004E6B37">
      <w:pPr>
        <w:autoSpaceDE w:val="0"/>
        <w:autoSpaceDN w:val="0"/>
        <w:adjustRightInd w:val="0"/>
        <w:spacing w:before="100" w:beforeAutospacing="1" w:after="120" w:line="23" w:lineRule="atLeast"/>
        <w:jc w:val="both"/>
        <w:rPr>
          <w:rFonts w:ascii="Calibri" w:eastAsia="Times New Roman" w:hAnsi="Calibri" w:cs="Calibri"/>
          <w:lang w:bidi="en-US"/>
        </w:rPr>
      </w:pPr>
      <w:r w:rsidRPr="004A622D">
        <w:rPr>
          <w:rFonts w:ascii="Calibri" w:eastAsia="Times New Roman" w:hAnsi="Calibri" w:cs="Calibri"/>
          <w:lang w:bidi="en-US"/>
        </w:rPr>
        <w:t>Les ambitions affichées tout comme les programmes exécutés ressemblent plus à un mode de gestion des urgences et des impacts du changement climatique, qu’à une réelle prise de conscience de la nécessaire adaptation à ce changement. Ces écarts se manifestent à plusieurs niveaux :</w:t>
      </w:r>
    </w:p>
    <w:p w14:paraId="56617232" w14:textId="77777777" w:rsidR="00BC6C8B" w:rsidRPr="004A622D" w:rsidRDefault="00BC6C8B" w:rsidP="00BC6C8B">
      <w:pPr>
        <w:numPr>
          <w:ilvl w:val="0"/>
          <w:numId w:val="455"/>
        </w:numPr>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Au niveau normat</w:t>
      </w:r>
      <w:r>
        <w:rPr>
          <w:rFonts w:ascii="Calibri" w:eastAsia="Times New Roman" w:hAnsi="Calibri" w:cs="Calibri"/>
          <w:lang w:bidi="en-US"/>
        </w:rPr>
        <w:t>if : Absence d</w:t>
      </w:r>
      <w:r w:rsidRPr="004A622D">
        <w:rPr>
          <w:rFonts w:ascii="Calibri" w:eastAsia="Times New Roman" w:hAnsi="Calibri" w:cs="Calibri"/>
          <w:lang w:bidi="en-US"/>
        </w:rPr>
        <w:t>es textes règlementaires</w:t>
      </w:r>
      <w:r>
        <w:rPr>
          <w:rFonts w:ascii="Calibri" w:eastAsia="Times New Roman" w:hAnsi="Calibri" w:cs="Calibri"/>
          <w:lang w:bidi="en-US"/>
        </w:rPr>
        <w:t xml:space="preserve"> de la loi sur l’urbanisme et la construction</w:t>
      </w:r>
      <w:r w:rsidRPr="004A622D">
        <w:rPr>
          <w:rFonts w:ascii="Calibri" w:eastAsia="Times New Roman" w:hAnsi="Calibri" w:cs="Calibri"/>
          <w:lang w:bidi="en-US"/>
        </w:rPr>
        <w:t>.</w:t>
      </w:r>
    </w:p>
    <w:p w14:paraId="7366BC75" w14:textId="77777777" w:rsidR="00BC6C8B" w:rsidRPr="004A622D" w:rsidRDefault="00BC6C8B" w:rsidP="004E6B37">
      <w:pPr>
        <w:numPr>
          <w:ilvl w:val="0"/>
          <w:numId w:val="455"/>
        </w:numPr>
        <w:spacing w:before="100" w:beforeAutospacing="1" w:after="120" w:line="23" w:lineRule="atLeast"/>
        <w:ind w:left="714" w:hanging="357"/>
        <w:jc w:val="both"/>
        <w:rPr>
          <w:rFonts w:ascii="Calibri" w:eastAsia="Times New Roman" w:hAnsi="Calibri" w:cs="Calibri"/>
          <w:lang w:bidi="en-US"/>
        </w:rPr>
      </w:pPr>
      <w:r w:rsidRPr="004A622D">
        <w:rPr>
          <w:rFonts w:ascii="Calibri" w:eastAsia="Times New Roman" w:hAnsi="Calibri" w:cs="Calibri"/>
          <w:lang w:bidi="en-US"/>
        </w:rPr>
        <w:t>Au niveau des projets urbains, il s’agit plus de combler les déficits en matière de planification urbaine, d’infrastructures et d’offres en parcelles d’habitation que d’esquisser le schéma de villes productives et résilientes. Les réponses apportées sont souvent plus « prescriptives » qu’adaptatives (délimitation des zones non aedificandi, spécifications zonales et affectations d’espaces, règles générales d’urbanisme imposées, etc.). La notion de cadre de vie, vocable qui donne à l’urbanisme une autre dimension qui celle d’un écosystème équilibré et stable, est absente de nos pratiques urbaines.</w:t>
      </w:r>
    </w:p>
    <w:p w14:paraId="4758BB9B" w14:textId="77777777" w:rsidR="00BC6C8B" w:rsidRPr="004A622D" w:rsidRDefault="00BC6C8B" w:rsidP="00BC6C8B">
      <w:pPr>
        <w:numPr>
          <w:ilvl w:val="2"/>
          <w:numId w:val="456"/>
        </w:numPr>
        <w:autoSpaceDE w:val="0"/>
        <w:autoSpaceDN w:val="0"/>
        <w:adjustRightInd w:val="0"/>
        <w:spacing w:before="100" w:beforeAutospacing="1" w:after="100" w:afterAutospacing="1" w:line="23" w:lineRule="atLeast"/>
        <w:ind w:left="567" w:hanging="425"/>
        <w:jc w:val="both"/>
        <w:rPr>
          <w:rFonts w:ascii="Calibri" w:eastAsia="Times New Roman" w:hAnsi="Calibri" w:cs="Calibri"/>
          <w:b/>
          <w:lang w:bidi="en-US"/>
        </w:rPr>
      </w:pPr>
      <w:r w:rsidRPr="004A622D">
        <w:rPr>
          <w:rFonts w:ascii="Calibri" w:eastAsia="Times New Roman" w:hAnsi="Calibri" w:cs="Calibri"/>
          <w:b/>
          <w:lang w:bidi="en-US"/>
        </w:rPr>
        <w:t>Analyse des lacunes des politiques d’aménagement du territoire</w:t>
      </w:r>
    </w:p>
    <w:p w14:paraId="322200C0" w14:textId="77777777" w:rsidR="00BC6C8B" w:rsidRPr="004A622D" w:rsidRDefault="00BC6C8B" w:rsidP="00BC6C8B">
      <w:p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En l’absence d’un Schéma National d’Aménagement du Territoire, les politiques publiques en la matière ne sont pas sous-tendues par une vision prospective du territoire national. Une telle vision serait le résultat d’un choix entre les scenarii tendanciels, probables et souhaitables. Naturellement, la question du changement climatique serait au centre de cette vision.</w:t>
      </w:r>
    </w:p>
    <w:p w14:paraId="5D839E9D" w14:textId="77777777" w:rsidR="00BC6C8B" w:rsidRPr="004A622D" w:rsidRDefault="00BC6C8B" w:rsidP="00BC6C8B">
      <w:p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 xml:space="preserve">Faute de vision, les politiques d’aménagement du territoire restent centrées sur les pôles de développement et le regroupement de localités. Ce dernier est en soi une réponse adaptative au changement climatique, il reste perfectible sur bien des aspects, notamment en intégrant la notion de cadre de vie dans le paquet de projets proposés aux regroupements. </w:t>
      </w:r>
    </w:p>
    <w:p w14:paraId="1D68D736" w14:textId="77777777" w:rsidR="00BC6C8B" w:rsidRPr="004A622D" w:rsidRDefault="00BC6C8B" w:rsidP="00BC6C8B">
      <w:p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En revanche les politiques de pôles de développement présentent l’inconvénient majeur que les préoccupations de croissance et de création d’emplois sont plus déterminantes que l’adaptation aux changements climatiques. Le pôle du Port Multifonction de N’Diago en est une parfaite illustration, en ce sens qu’il nécessitera, à terme, des mesures correctives en lieu et place de celle adaptatives.</w:t>
      </w:r>
    </w:p>
    <w:p w14:paraId="5A14F4DA" w14:textId="56BE1FA3" w:rsidR="00BC6C8B" w:rsidRPr="00025547" w:rsidRDefault="00164999" w:rsidP="00BC6C8B">
      <w:pPr>
        <w:numPr>
          <w:ilvl w:val="2"/>
          <w:numId w:val="456"/>
        </w:numPr>
        <w:autoSpaceDE w:val="0"/>
        <w:autoSpaceDN w:val="0"/>
        <w:adjustRightInd w:val="0"/>
        <w:spacing w:before="100" w:beforeAutospacing="1" w:after="100" w:afterAutospacing="1" w:line="23" w:lineRule="atLeast"/>
        <w:ind w:left="567" w:hanging="425"/>
        <w:jc w:val="both"/>
        <w:rPr>
          <w:rFonts w:ascii="Calibri" w:eastAsia="Times New Roman" w:hAnsi="Calibri" w:cs="Calibri"/>
          <w:b/>
          <w:iCs/>
          <w:lang w:val="en-US" w:bidi="en-US"/>
        </w:rPr>
      </w:pPr>
      <w:bookmarkStart w:id="466" w:name="_Toc58061720"/>
      <w:r w:rsidRPr="00025547">
        <w:rPr>
          <w:rFonts w:ascii="Calibri" w:eastAsia="Times New Roman" w:hAnsi="Calibri" w:cs="Calibri"/>
          <w:b/>
          <w:iCs/>
          <w:lang w:val="en-US" w:bidi="en-US"/>
        </w:rPr>
        <w:t>Analy</w:t>
      </w:r>
      <w:r>
        <w:rPr>
          <w:rFonts w:ascii="Calibri" w:eastAsia="Times New Roman" w:hAnsi="Calibri" w:cs="Calibri"/>
          <w:b/>
          <w:iCs/>
          <w:lang w:val="en-US" w:bidi="en-US"/>
        </w:rPr>
        <w:t>z</w:t>
      </w:r>
      <w:r w:rsidRPr="00025547">
        <w:rPr>
          <w:rFonts w:ascii="Calibri" w:eastAsia="Times New Roman" w:hAnsi="Calibri" w:cs="Calibri"/>
          <w:b/>
          <w:iCs/>
          <w:lang w:val="en-US" w:bidi="en-US"/>
        </w:rPr>
        <w:t>e</w:t>
      </w:r>
      <w:r w:rsidR="00BC6C8B" w:rsidRPr="00025547">
        <w:rPr>
          <w:rFonts w:ascii="Calibri" w:eastAsia="Times New Roman" w:hAnsi="Calibri" w:cs="Calibri"/>
          <w:b/>
          <w:iCs/>
          <w:lang w:val="en-US" w:bidi="en-US"/>
        </w:rPr>
        <w:t xml:space="preserve"> des besoins</w:t>
      </w:r>
      <w:bookmarkEnd w:id="466"/>
    </w:p>
    <w:p w14:paraId="71023EE9" w14:textId="77777777" w:rsidR="00BC6C8B" w:rsidRPr="004A622D" w:rsidRDefault="00BC6C8B" w:rsidP="00BC6C8B">
      <w:p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L’intégration effective du changement climatique dans la planification du développement requiert des attitudes et aptitudes à acquérir. Le premier besoin est d’abord celui d’une connaissance scientifique du changement climatique. Mesures des phénomènes et mesures des impacts sont incontournables des stratégies adaptatives puissent être fondées sur des données fiables et pertinentes.</w:t>
      </w:r>
    </w:p>
    <w:p w14:paraId="7E346A2D" w14:textId="77777777" w:rsidR="00BC6C8B" w:rsidRPr="004A622D" w:rsidRDefault="00BC6C8B" w:rsidP="00BC6C8B">
      <w:pPr>
        <w:autoSpaceDE w:val="0"/>
        <w:autoSpaceDN w:val="0"/>
        <w:adjustRightInd w:val="0"/>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Avoir des données fiables et pertinentes est certes un besoin essentiel, mais il est en lui-même insuffisant. Les personnels chargés de la conception et de la mise en œuvre des politiques ont besoin de formations pour acquérir les notions essentielles en matière de changement climatique et de ses impacts sur leur secteur</w:t>
      </w:r>
      <w:r>
        <w:rPr>
          <w:rFonts w:ascii="Calibri" w:eastAsia="Times New Roman" w:hAnsi="Calibri" w:cs="Calibri"/>
          <w:lang w:bidi="en-US"/>
        </w:rPr>
        <w:t>, d’où s’impose la nécessité de mobilisation de financement pour lancer des programmes continus de renforcement de capacité</w:t>
      </w:r>
      <w:r w:rsidRPr="004A622D">
        <w:rPr>
          <w:rFonts w:ascii="Calibri" w:eastAsia="Times New Roman" w:hAnsi="Calibri" w:cs="Calibri"/>
          <w:lang w:bidi="en-US"/>
        </w:rPr>
        <w:t>.</w:t>
      </w:r>
    </w:p>
    <w:p w14:paraId="3BDA322A" w14:textId="77777777" w:rsidR="00BC6C8B" w:rsidRDefault="00BC6C8B" w:rsidP="00BC6C8B">
      <w:pPr>
        <w:spacing w:after="0" w:line="240" w:lineRule="auto"/>
        <w:jc w:val="both"/>
        <w:rPr>
          <w:rFonts w:asciiTheme="majorBidi" w:eastAsia="Times New Roman" w:hAnsiTheme="majorBidi" w:cstheme="majorBidi"/>
          <w:b/>
          <w:bCs/>
          <w:sz w:val="24"/>
          <w:szCs w:val="24"/>
          <w:lang w:eastAsia="fr-FR"/>
        </w:rPr>
      </w:pPr>
      <w:r w:rsidRPr="004A622D">
        <w:rPr>
          <w:rFonts w:ascii="Calibri" w:eastAsia="Times New Roman" w:hAnsi="Calibri" w:cs="Calibri"/>
          <w:color w:val="000000"/>
          <w:lang w:bidi="en-US"/>
        </w:rPr>
        <w:t>La prise en compte du changement climatique dans la planification du développement est en soi un changement de paradigme qui demande des financements conséquents. Pour ce faire, les modes classiques de financement doivent être revus, car tout ne pourra pas être financé sur fonds publics ou par les partenaires au développement. Les projets d’adaptation, pour être réalisables, ont besoin d’être axés sur des financements innovants faisant appel à plusieurs acteurs et partenaires, chacun dans son domaine de compétences et suivants ses avantages comparatifs.</w:t>
      </w:r>
    </w:p>
    <w:p w14:paraId="3CC34BCD" w14:textId="77777777" w:rsidR="00BC6C8B" w:rsidRPr="004A622D" w:rsidRDefault="00BC6C8B" w:rsidP="00BC6C8B">
      <w:pPr>
        <w:spacing w:before="120" w:after="120"/>
        <w:jc w:val="both"/>
        <w:outlineLvl w:val="0"/>
        <w:rPr>
          <w:rFonts w:ascii="Calibri" w:eastAsia="Times New Roman" w:hAnsi="Calibri" w:cs="Calibri"/>
          <w:smallCaps/>
          <w:spacing w:val="5"/>
          <w:lang w:bidi="en-US"/>
        </w:rPr>
      </w:pPr>
      <w:bookmarkStart w:id="467" w:name="_Toc58061721"/>
      <w:r w:rsidRPr="004A622D">
        <w:rPr>
          <w:rFonts w:ascii="Calibri" w:eastAsia="Times New Roman" w:hAnsi="Calibri" w:cs="Calibri"/>
          <w:b/>
          <w:caps/>
          <w:smallCaps/>
          <w:spacing w:val="5"/>
          <w:lang w:bidi="en-US"/>
        </w:rPr>
        <w:t>Partie 4 – Conclusions - recommandations</w:t>
      </w:r>
      <w:bookmarkEnd w:id="467"/>
    </w:p>
    <w:p w14:paraId="2B3FC972" w14:textId="77777777" w:rsidR="00BC6C8B" w:rsidRPr="004A622D" w:rsidRDefault="00BC6C8B" w:rsidP="00BC6C8B">
      <w:pPr>
        <w:spacing w:before="120" w:after="120"/>
        <w:outlineLvl w:val="0"/>
        <w:rPr>
          <w:rFonts w:ascii="Calibri" w:eastAsia="Times New Roman" w:hAnsi="Calibri" w:cs="Calibri"/>
          <w:spacing w:val="5"/>
          <w:lang w:bidi="en-US"/>
        </w:rPr>
      </w:pPr>
      <w:bookmarkStart w:id="468" w:name="_Toc58061722"/>
      <w:r w:rsidRPr="004A622D">
        <w:rPr>
          <w:rFonts w:ascii="Calibri" w:eastAsia="Times New Roman" w:hAnsi="Calibri" w:cs="Calibri"/>
          <w:b/>
          <w:spacing w:val="5"/>
          <w:lang w:bidi="en-US"/>
        </w:rPr>
        <w:t>Chapitre 8 – Recommandations à l’endroit des différentes parties prenantes</w:t>
      </w:r>
      <w:bookmarkEnd w:id="468"/>
    </w:p>
    <w:p w14:paraId="491FE950" w14:textId="77777777" w:rsidR="00BC6C8B" w:rsidRPr="004A622D" w:rsidRDefault="00BC6C8B" w:rsidP="00BC6C8B">
      <w:pPr>
        <w:spacing w:after="120" w:line="240" w:lineRule="auto"/>
        <w:jc w:val="both"/>
        <w:rPr>
          <w:rFonts w:ascii="Calibri" w:eastAsia="Times New Roman" w:hAnsi="Calibri" w:cs="Calibri"/>
          <w:lang w:bidi="en-US"/>
        </w:rPr>
      </w:pPr>
      <w:r w:rsidRPr="004A622D">
        <w:rPr>
          <w:rFonts w:ascii="Calibri" w:eastAsia="Times New Roman" w:hAnsi="Calibri" w:cs="Calibri"/>
          <w:lang w:bidi="en-US"/>
        </w:rPr>
        <w:t>Au vu de ces lacunes et besoins, il est recommandé ce qui suit :</w:t>
      </w:r>
    </w:p>
    <w:p w14:paraId="6846862A" w14:textId="77777777" w:rsidR="00BC6C8B" w:rsidRPr="004A622D" w:rsidRDefault="00BC6C8B" w:rsidP="00BC6C8B">
      <w:pPr>
        <w:numPr>
          <w:ilvl w:val="0"/>
          <w:numId w:val="458"/>
        </w:numPr>
        <w:spacing w:after="120" w:line="240" w:lineRule="auto"/>
        <w:jc w:val="both"/>
        <w:rPr>
          <w:rFonts w:ascii="Calibri" w:eastAsia="Times New Roman" w:hAnsi="Calibri" w:cs="Calibri"/>
          <w:lang w:bidi="en-US"/>
        </w:rPr>
      </w:pPr>
      <w:r w:rsidRPr="004A622D">
        <w:rPr>
          <w:rFonts w:ascii="Calibri" w:eastAsia="Times New Roman" w:hAnsi="Calibri" w:cs="Calibri"/>
          <w:lang w:bidi="en-US"/>
        </w:rPr>
        <w:t xml:space="preserve">Revue complète de la réglementation du secteur afin de l’adapter aux textes relatifs au changement climatique et à l’environnement </w:t>
      </w:r>
      <w:r>
        <w:rPr>
          <w:rFonts w:ascii="Calibri" w:eastAsia="Times New Roman" w:hAnsi="Calibri" w:cs="Calibri"/>
          <w:lang w:bidi="en-US"/>
        </w:rPr>
        <w:t>(</w:t>
      </w:r>
      <w:r w:rsidRPr="004A622D">
        <w:rPr>
          <w:rFonts w:ascii="Calibri" w:eastAsia="Times New Roman" w:hAnsi="Calibri" w:cs="Calibri"/>
          <w:lang w:bidi="en-US"/>
        </w:rPr>
        <w:t>la loi-cadre sur l’environnement)</w:t>
      </w:r>
    </w:p>
    <w:p w14:paraId="7495ECDF" w14:textId="77777777" w:rsidR="00BC6C8B" w:rsidRPr="004A622D" w:rsidRDefault="00BC6C8B" w:rsidP="00BC6C8B">
      <w:pPr>
        <w:numPr>
          <w:ilvl w:val="0"/>
          <w:numId w:val="458"/>
        </w:numPr>
        <w:spacing w:before="100" w:beforeAutospacing="1" w:after="120" w:line="240" w:lineRule="auto"/>
        <w:jc w:val="both"/>
        <w:rPr>
          <w:rFonts w:ascii="Calibri" w:eastAsia="Times New Roman" w:hAnsi="Calibri" w:cs="Calibri"/>
          <w:lang w:bidi="en-US"/>
        </w:rPr>
      </w:pPr>
      <w:r w:rsidRPr="004A622D">
        <w:rPr>
          <w:rFonts w:ascii="Calibri" w:eastAsia="Times New Roman" w:hAnsi="Calibri" w:cs="Calibri"/>
          <w:lang w:bidi="en-US"/>
        </w:rPr>
        <w:t>Revue complète des cadres de stratégies du Secteur pour véritablement prendre en compte le changement climatique comme donnée structurelle</w:t>
      </w:r>
    </w:p>
    <w:p w14:paraId="36AD0B44" w14:textId="77777777" w:rsidR="00BC6C8B" w:rsidRPr="004A622D" w:rsidRDefault="00BC6C8B" w:rsidP="00BC6C8B">
      <w:pPr>
        <w:numPr>
          <w:ilvl w:val="0"/>
          <w:numId w:val="458"/>
        </w:numPr>
        <w:spacing w:before="100" w:beforeAutospacing="1" w:after="120" w:line="240" w:lineRule="auto"/>
        <w:jc w:val="both"/>
        <w:rPr>
          <w:rFonts w:ascii="Calibri" w:eastAsia="Times New Roman" w:hAnsi="Calibri" w:cs="Calibri"/>
          <w:lang w:bidi="en-US"/>
        </w:rPr>
      </w:pPr>
      <w:r w:rsidRPr="004A622D">
        <w:rPr>
          <w:rFonts w:ascii="Calibri" w:eastAsia="Times New Roman" w:hAnsi="Calibri" w:cs="Calibri"/>
          <w:lang w:bidi="en-US"/>
        </w:rPr>
        <w:t>Organisation de séances d’appropriation par les cadres du Secteur des stratégies et outils sur le changement climatique ainsi que sur les opportunités de financement y afférents. Intégrer dans cette démarche les organismes décentralisés (établissements publics et collectivités territoriales), le privé à travers leurs organisations socioprofessionnelles et les organisations de la société civile travaillant dans le Secteur.</w:t>
      </w:r>
    </w:p>
    <w:p w14:paraId="27960B0B" w14:textId="77777777" w:rsidR="00BC6C8B" w:rsidRPr="004A622D" w:rsidRDefault="00BC6C8B" w:rsidP="00BC6C8B">
      <w:pPr>
        <w:numPr>
          <w:ilvl w:val="0"/>
          <w:numId w:val="458"/>
        </w:numPr>
        <w:spacing w:before="100" w:beforeAutospacing="1" w:after="120" w:line="240" w:lineRule="auto"/>
        <w:jc w:val="both"/>
        <w:rPr>
          <w:rFonts w:ascii="Calibri" w:eastAsia="Times New Roman" w:hAnsi="Calibri" w:cs="Calibri"/>
          <w:lang w:bidi="en-US"/>
        </w:rPr>
      </w:pPr>
      <w:r w:rsidRPr="004A622D">
        <w:rPr>
          <w:rFonts w:ascii="Calibri" w:eastAsia="Times New Roman" w:hAnsi="Calibri" w:cs="Calibri"/>
          <w:lang w:bidi="en-US"/>
        </w:rPr>
        <w:t>Organisation d’un séminaire sur les opportunités de financement dans le cadre du changement climatique aux fins de réviser certains programmes majeurs directement impactés, notamment :</w:t>
      </w:r>
    </w:p>
    <w:p w14:paraId="42326895" w14:textId="77777777" w:rsidR="00BC6C8B" w:rsidRPr="004A622D" w:rsidRDefault="00BC6C8B" w:rsidP="00BC6C8B">
      <w:pPr>
        <w:numPr>
          <w:ilvl w:val="1"/>
          <w:numId w:val="458"/>
        </w:numPr>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Le Programme National de Regroupement des Localités</w:t>
      </w:r>
    </w:p>
    <w:p w14:paraId="22E2EFD3" w14:textId="77777777" w:rsidR="00BC6C8B" w:rsidRPr="004A622D" w:rsidRDefault="00BC6C8B" w:rsidP="00BC6C8B">
      <w:pPr>
        <w:numPr>
          <w:ilvl w:val="1"/>
          <w:numId w:val="458"/>
        </w:numPr>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Le Programme de Construction et de Valorisation des Matériaux Locaux (terre, pierre, typha …)</w:t>
      </w:r>
    </w:p>
    <w:p w14:paraId="7717475E" w14:textId="77777777" w:rsidR="00BC6C8B" w:rsidRPr="004A622D" w:rsidRDefault="00BC6C8B" w:rsidP="00BC6C8B">
      <w:pPr>
        <w:numPr>
          <w:ilvl w:val="1"/>
          <w:numId w:val="458"/>
        </w:numPr>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Le Programme Prioritaire issu du portefeuille de projets urbains du SDAU de Nouakchott</w:t>
      </w:r>
    </w:p>
    <w:p w14:paraId="5319D98F" w14:textId="77777777" w:rsidR="00BC6C8B" w:rsidRPr="004A622D" w:rsidRDefault="00BC6C8B" w:rsidP="00BC6C8B">
      <w:pPr>
        <w:numPr>
          <w:ilvl w:val="1"/>
          <w:numId w:val="458"/>
        </w:numPr>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 xml:space="preserve">La gestion de la littoralisation des activités et des hommes </w:t>
      </w:r>
    </w:p>
    <w:p w14:paraId="21BC18E5" w14:textId="77777777" w:rsidR="00BC6C8B" w:rsidRPr="004A622D" w:rsidRDefault="00BC6C8B" w:rsidP="00BC6C8B">
      <w:pPr>
        <w:numPr>
          <w:ilvl w:val="1"/>
          <w:numId w:val="458"/>
        </w:numPr>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Programmes et projets de gestion des ordures ménagères</w:t>
      </w:r>
    </w:p>
    <w:p w14:paraId="4813C9C8" w14:textId="77777777" w:rsidR="00BC6C8B" w:rsidRDefault="00BC6C8B" w:rsidP="00BC6C8B">
      <w:pPr>
        <w:numPr>
          <w:ilvl w:val="0"/>
          <w:numId w:val="458"/>
        </w:numPr>
        <w:spacing w:before="100" w:beforeAutospacing="1" w:after="100" w:afterAutospacing="1" w:line="23" w:lineRule="atLeast"/>
        <w:jc w:val="both"/>
        <w:rPr>
          <w:rFonts w:ascii="Calibri" w:eastAsia="Times New Roman" w:hAnsi="Calibri" w:cs="Calibri"/>
          <w:lang w:bidi="en-US"/>
        </w:rPr>
      </w:pPr>
      <w:r w:rsidRPr="004A622D">
        <w:rPr>
          <w:rFonts w:ascii="Calibri" w:eastAsia="Times New Roman" w:hAnsi="Calibri" w:cs="Calibri"/>
          <w:lang w:bidi="en-US"/>
        </w:rPr>
        <w:t>Mise en place au sein du MEDD d’un Système de Suivi Ecologique prenant en compte les données de changement climatique impactant le Secteur et par rapport auxquels les stratégies d’adaptation doivent être définies.</w:t>
      </w:r>
    </w:p>
    <w:p w14:paraId="3A30C729" w14:textId="77777777" w:rsidR="00BC6C8B" w:rsidRPr="00B94425" w:rsidRDefault="00BC6C8B" w:rsidP="00BC6C8B">
      <w:pPr>
        <w:spacing w:before="300" w:after="40"/>
        <w:outlineLvl w:val="0"/>
        <w:rPr>
          <w:rFonts w:ascii="Calibri" w:eastAsia="Times New Roman" w:hAnsi="Calibri" w:cs="Calibri"/>
          <w:b/>
          <w:spacing w:val="5"/>
          <w:lang w:bidi="en-US"/>
        </w:rPr>
      </w:pPr>
      <w:bookmarkStart w:id="469" w:name="_Toc58061723"/>
      <w:r w:rsidRPr="00B94425">
        <w:rPr>
          <w:rFonts w:ascii="Calibri" w:eastAsia="Times New Roman" w:hAnsi="Calibri" w:cs="Calibri"/>
          <w:b/>
          <w:spacing w:val="5"/>
          <w:lang w:bidi="en-US"/>
        </w:rPr>
        <w:t>Chapitre 9 – Conclusions</w:t>
      </w:r>
      <w:bookmarkEnd w:id="469"/>
      <w:r w:rsidRPr="00B94425">
        <w:rPr>
          <w:rFonts w:ascii="Calibri" w:eastAsia="Times New Roman" w:hAnsi="Calibri" w:cs="Calibri"/>
          <w:b/>
          <w:spacing w:val="5"/>
          <w:lang w:bidi="en-US"/>
        </w:rPr>
        <w:t xml:space="preserve"> </w:t>
      </w:r>
    </w:p>
    <w:p w14:paraId="7C555100" w14:textId="77777777" w:rsidR="00BC6C8B" w:rsidRPr="00B94425" w:rsidRDefault="00BC6C8B" w:rsidP="00BC6C8B">
      <w:pPr>
        <w:autoSpaceDE w:val="0"/>
        <w:adjustRightInd w:val="0"/>
        <w:spacing w:before="100" w:beforeAutospacing="1" w:after="100" w:afterAutospacing="1" w:line="23" w:lineRule="atLeast"/>
        <w:jc w:val="both"/>
        <w:rPr>
          <w:rFonts w:ascii="Calibri" w:eastAsia="Times New Roman" w:hAnsi="Calibri" w:cs="Calibri"/>
          <w:lang w:bidi="en-US"/>
        </w:rPr>
      </w:pPr>
      <w:r w:rsidRPr="00B94425">
        <w:rPr>
          <w:rFonts w:ascii="Calibri" w:eastAsia="Times New Roman" w:hAnsi="Calibri" w:cs="Calibri"/>
          <w:lang w:bidi="en-US"/>
        </w:rPr>
        <w:t xml:space="preserve">Le secteur de l’Habitat, de l’Urbanisme et de l’Aménagement du Territoire est un secteur clef de la vie nationale. En effet, l’urbanisation est désormais une donnée essentielle de la Mauritanie qui compte parmi les pays les plus urbanisés de l’Afrique. Mais il s’agit d’une urbanisation de contrainte par son caractère rapide et anarchique lié au changement climatique. Cette urbanisation se combine avec une sédentarisation massive et atomisée des populations naguère nomades. L’un dans l’autre, s’est produit un bouleversement profond du mode de vie des citoyens. L’urbanisation et la sédentarisation de contrainte peuvent cependant être transformées en atouts. C’est connu, l’urbain est milieu favorable à la production et à la créativité et donc potentiellement porteur de croissance et de bien vivre. </w:t>
      </w:r>
    </w:p>
    <w:p w14:paraId="7011566C" w14:textId="77777777" w:rsidR="00BC6C8B" w:rsidRDefault="00BC6C8B" w:rsidP="00BC6C8B">
      <w:pPr>
        <w:autoSpaceDE w:val="0"/>
        <w:adjustRightInd w:val="0"/>
        <w:spacing w:before="120" w:after="120" w:line="23" w:lineRule="atLeast"/>
        <w:jc w:val="both"/>
        <w:rPr>
          <w:rFonts w:ascii="Calibri" w:eastAsia="Times New Roman" w:hAnsi="Calibri" w:cs="Calibri"/>
          <w:lang w:bidi="en-US"/>
        </w:rPr>
      </w:pPr>
      <w:r w:rsidRPr="00B94425">
        <w:rPr>
          <w:rFonts w:ascii="Calibri" w:eastAsia="Times New Roman" w:hAnsi="Calibri" w:cs="Calibri"/>
          <w:lang w:bidi="en-US"/>
        </w:rPr>
        <w:t>Les politiques publiques du secteur sont jusqu’ici marquées par de timides prises en compte des questions environnementales, vues principalement sous l’angle de gestion des nuisances. Cependant la structuralité du changement climatique est telle qu’il n’est plus possible de l’envisager sous la forme d’événement conjoncturel ne nécessitant que des réponses ponctuelles. La vulnérabilité du secteur au changement climatique est très importante. Se combinant avec la structuralité, elle impose des approches nouvelles fondées sur des mécanismes adaptatifs et sa transcription dans le paysage institutionnel et normatif du secteur.</w:t>
      </w:r>
    </w:p>
    <w:p w14:paraId="642D5CF3" w14:textId="77777777" w:rsidR="00BC6C8B" w:rsidRDefault="00BC6C8B" w:rsidP="00BC6C8B">
      <w:pPr>
        <w:autoSpaceDE w:val="0"/>
        <w:adjustRightInd w:val="0"/>
        <w:spacing w:before="120" w:after="120" w:line="23" w:lineRule="atLeast"/>
        <w:jc w:val="both"/>
        <w:rPr>
          <w:rFonts w:ascii="Calibri" w:eastAsia="Times New Roman" w:hAnsi="Calibri" w:cs="Calibri"/>
          <w:lang w:bidi="en-US"/>
        </w:rPr>
      </w:pPr>
      <w:r w:rsidRPr="00B94425">
        <w:rPr>
          <w:rFonts w:ascii="Calibri" w:eastAsia="Times New Roman" w:hAnsi="Calibri" w:cs="Calibri"/>
          <w:lang w:bidi="en-US"/>
        </w:rPr>
        <w:t xml:space="preserve">Ce changement de paradigme est la clé pour transformer les contraintes du changement climatique en atouts pour le développement. Pour cela, le secteur gagnerait à collecter, mesurer, suivre et analyser les impacts du changement climatique afin de fonder ses stratégies adaptatives sur des données pertinentes et fiables. </w:t>
      </w:r>
    </w:p>
    <w:p w14:paraId="3B53CFE3" w14:textId="77777777" w:rsidR="00BC6C8B" w:rsidRPr="00B94425" w:rsidRDefault="00BC6C8B" w:rsidP="00BC6C8B">
      <w:pPr>
        <w:autoSpaceDE w:val="0"/>
        <w:adjustRightInd w:val="0"/>
        <w:spacing w:before="120" w:after="120" w:line="23" w:lineRule="atLeast"/>
        <w:jc w:val="both"/>
        <w:rPr>
          <w:rFonts w:ascii="Calibri" w:eastAsia="Times New Roman" w:hAnsi="Calibri" w:cs="Calibri"/>
          <w:lang w:bidi="en-US"/>
        </w:rPr>
      </w:pPr>
      <w:r w:rsidRPr="00B94425">
        <w:rPr>
          <w:rFonts w:ascii="Calibri" w:eastAsia="Times New Roman" w:hAnsi="Calibri" w:cs="Calibri"/>
          <w:lang w:bidi="en-US"/>
        </w:rPr>
        <w:t>Ces stratégies, pour se donner le maximum de chance d’éviter les écarts et d’être applicables, devront être portées par des ressources humaines de qualité et assorties de mécanismes de financements innovants.</w:t>
      </w:r>
    </w:p>
    <w:p w14:paraId="195B09BD" w14:textId="77777777" w:rsidR="00BC6C8B" w:rsidRPr="00B94425" w:rsidRDefault="00BC6C8B" w:rsidP="00BC6C8B">
      <w:pPr>
        <w:autoSpaceDE w:val="0"/>
        <w:autoSpaceDN w:val="0"/>
        <w:adjustRightInd w:val="0"/>
        <w:spacing w:before="120" w:after="120" w:line="23" w:lineRule="atLeast"/>
        <w:ind w:left="851"/>
        <w:jc w:val="both"/>
        <w:rPr>
          <w:rFonts w:ascii="Calibri" w:eastAsia="Times New Roman" w:hAnsi="Calibri" w:cs="Calibri"/>
          <w:lang w:bidi="en-US"/>
        </w:rPr>
      </w:pPr>
    </w:p>
    <w:p w14:paraId="54915C12" w14:textId="77777777" w:rsidR="00BC6C8B" w:rsidRDefault="00BC6C8B" w:rsidP="00BC6C8B">
      <w:pPr>
        <w:spacing w:after="0" w:line="360" w:lineRule="auto"/>
        <w:jc w:val="both"/>
        <w:rPr>
          <w:rFonts w:asciiTheme="majorBidi" w:eastAsia="Times New Roman" w:hAnsiTheme="majorBidi" w:cstheme="majorBidi"/>
          <w:b/>
          <w:bCs/>
          <w:sz w:val="24"/>
          <w:szCs w:val="24"/>
          <w:lang w:eastAsia="fr-FR"/>
        </w:rPr>
      </w:pPr>
    </w:p>
    <w:p w14:paraId="6785F228" w14:textId="77777777" w:rsidR="00BC6C8B" w:rsidRDefault="00BC6C8B" w:rsidP="00BC6C8B">
      <w:pPr>
        <w:spacing w:after="0" w:line="360" w:lineRule="auto"/>
        <w:jc w:val="both"/>
        <w:rPr>
          <w:rFonts w:asciiTheme="majorBidi" w:eastAsia="Times New Roman" w:hAnsiTheme="majorBidi" w:cstheme="majorBidi"/>
          <w:b/>
          <w:bCs/>
          <w:sz w:val="24"/>
          <w:szCs w:val="24"/>
          <w:lang w:eastAsia="fr-FR"/>
        </w:rPr>
      </w:pPr>
    </w:p>
    <w:p w14:paraId="18A7DDA6" w14:textId="77777777" w:rsidR="00BC6C8B" w:rsidRDefault="00BC6C8B" w:rsidP="00BC6C8B">
      <w:pPr>
        <w:spacing w:after="0" w:line="360" w:lineRule="auto"/>
        <w:jc w:val="both"/>
        <w:rPr>
          <w:rFonts w:asciiTheme="majorBidi" w:eastAsia="Times New Roman" w:hAnsiTheme="majorBidi" w:cstheme="majorBidi"/>
          <w:b/>
          <w:bCs/>
          <w:sz w:val="24"/>
          <w:szCs w:val="24"/>
          <w:lang w:eastAsia="fr-FR"/>
        </w:rPr>
      </w:pPr>
    </w:p>
    <w:p w14:paraId="7AEED91B" w14:textId="77777777" w:rsidR="00BC6C8B" w:rsidRDefault="00BC6C8B" w:rsidP="00BC6C8B">
      <w:pPr>
        <w:spacing w:after="0" w:line="360" w:lineRule="auto"/>
        <w:jc w:val="both"/>
        <w:rPr>
          <w:rFonts w:asciiTheme="majorBidi" w:eastAsia="Times New Roman" w:hAnsiTheme="majorBidi" w:cstheme="majorBidi"/>
          <w:b/>
          <w:bCs/>
          <w:sz w:val="24"/>
          <w:szCs w:val="24"/>
          <w:lang w:eastAsia="fr-FR"/>
        </w:rPr>
      </w:pPr>
    </w:p>
    <w:p w14:paraId="380BDCAA" w14:textId="77777777" w:rsidR="00BC6C8B" w:rsidRDefault="00BC6C8B" w:rsidP="00BC6C8B">
      <w:pPr>
        <w:spacing w:after="0" w:line="360" w:lineRule="auto"/>
        <w:jc w:val="both"/>
        <w:rPr>
          <w:rFonts w:asciiTheme="majorBidi" w:eastAsia="Times New Roman" w:hAnsiTheme="majorBidi" w:cstheme="majorBidi"/>
          <w:b/>
          <w:bCs/>
          <w:sz w:val="24"/>
          <w:szCs w:val="24"/>
          <w:lang w:eastAsia="fr-FR"/>
        </w:rPr>
      </w:pPr>
    </w:p>
    <w:p w14:paraId="67A808CA" w14:textId="7C866CA3" w:rsidR="00BC6C8B" w:rsidRDefault="00BC6C8B" w:rsidP="00BC6C8B">
      <w:pPr>
        <w:spacing w:after="0" w:line="240" w:lineRule="auto"/>
        <w:jc w:val="center"/>
        <w:rPr>
          <w:rFonts w:asciiTheme="majorBidi" w:eastAsia="Times New Roman" w:hAnsiTheme="majorBidi" w:cstheme="majorBidi"/>
          <w:b/>
          <w:bCs/>
          <w:sz w:val="96"/>
          <w:szCs w:val="96"/>
          <w:lang w:eastAsia="fr-FR"/>
        </w:rPr>
      </w:pPr>
      <w:r w:rsidRPr="004E6B37">
        <w:rPr>
          <w:rFonts w:asciiTheme="majorBidi" w:eastAsia="Times New Roman" w:hAnsiTheme="majorBidi" w:cstheme="majorBidi"/>
          <w:b/>
          <w:bCs/>
          <w:sz w:val="28"/>
          <w:szCs w:val="28"/>
          <w:lang w:eastAsia="fr-FR"/>
        </w:rPr>
        <w:t>ANNEXES</w:t>
      </w:r>
      <w:r w:rsidRPr="00437002">
        <w:rPr>
          <w:rFonts w:asciiTheme="majorBidi" w:eastAsia="Times New Roman" w:hAnsiTheme="majorBidi" w:cstheme="majorBidi"/>
          <w:b/>
          <w:bCs/>
          <w:sz w:val="96"/>
          <w:szCs w:val="96"/>
          <w:lang w:eastAsia="fr-FR"/>
        </w:rPr>
        <w:t> </w:t>
      </w:r>
    </w:p>
    <w:p w14:paraId="34661C21" w14:textId="77777777" w:rsidR="00BC6C8B" w:rsidRPr="00B704EE" w:rsidRDefault="00BC6C8B" w:rsidP="00BC6C8B">
      <w:pPr>
        <w:rPr>
          <w:rFonts w:ascii="Times New Roman" w:eastAsia="Calibri" w:hAnsi="Times New Roman" w:cs="Times New Roman"/>
          <w:sz w:val="24"/>
          <w:szCs w:val="24"/>
        </w:rPr>
      </w:pPr>
      <w:r w:rsidRPr="00B704EE">
        <w:rPr>
          <w:rFonts w:ascii="Times New Roman" w:eastAsia="Calibri" w:hAnsi="Times New Roman" w:cs="Times New Roman"/>
          <w:sz w:val="24"/>
          <w:szCs w:val="24"/>
        </w:rPr>
        <w:t>Tableau</w:t>
      </w:r>
      <w:r>
        <w:rPr>
          <w:rFonts w:ascii="Times New Roman" w:eastAsia="Calibri" w:hAnsi="Times New Roman" w:cs="Times New Roman"/>
          <w:sz w:val="24"/>
          <w:szCs w:val="24"/>
        </w:rPr>
        <w:t xml:space="preserve"> </w:t>
      </w:r>
      <w:r w:rsidRPr="00B704EE">
        <w:rPr>
          <w:rFonts w:ascii="Times New Roman" w:eastAsia="Calibri" w:hAnsi="Times New Roman" w:cs="Times New Roman"/>
          <w:sz w:val="24"/>
          <w:szCs w:val="24"/>
        </w:rPr>
        <w:t>1 : Matrice d’hiérarchisation globale des risques liés au changement climatique</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592"/>
        <w:gridCol w:w="2388"/>
        <w:gridCol w:w="2354"/>
      </w:tblGrid>
      <w:tr w:rsidR="00BC6C8B" w:rsidRPr="00270077" w14:paraId="16524B8B" w14:textId="77777777" w:rsidTr="00EE0E23">
        <w:tc>
          <w:tcPr>
            <w:tcW w:w="2245" w:type="dxa"/>
            <w:shd w:val="clear" w:color="auto" w:fill="auto"/>
          </w:tcPr>
          <w:p w14:paraId="4C51E34C" w14:textId="77777777" w:rsidR="00BC6C8B" w:rsidRPr="00270077" w:rsidRDefault="00BC6C8B" w:rsidP="00EE0E23">
            <w:pPr>
              <w:spacing w:after="0" w:line="240" w:lineRule="auto"/>
              <w:rPr>
                <w:rFonts w:ascii="Times New Roman" w:eastAsia="Calibri" w:hAnsi="Times New Roman" w:cs="Times New Roman"/>
                <w:b/>
                <w:bCs/>
                <w:sz w:val="24"/>
                <w:szCs w:val="24"/>
              </w:rPr>
            </w:pPr>
            <w:r w:rsidRPr="00270077">
              <w:rPr>
                <w:rFonts w:ascii="Times New Roman" w:eastAsia="Calibri" w:hAnsi="Times New Roman" w:cs="Times New Roman"/>
                <w:b/>
                <w:bCs/>
                <w:sz w:val="24"/>
                <w:szCs w:val="24"/>
              </w:rPr>
              <w:t xml:space="preserve">Sédentarisation anarchique </w:t>
            </w:r>
          </w:p>
        </w:tc>
        <w:tc>
          <w:tcPr>
            <w:tcW w:w="2592" w:type="dxa"/>
            <w:shd w:val="clear" w:color="auto" w:fill="auto"/>
          </w:tcPr>
          <w:p w14:paraId="7C89B51F" w14:textId="77777777" w:rsidR="00BC6C8B" w:rsidRPr="00270077" w:rsidRDefault="00BC6C8B" w:rsidP="00EE0E23">
            <w:pPr>
              <w:spacing w:after="0" w:line="240" w:lineRule="auto"/>
              <w:rPr>
                <w:rFonts w:ascii="Times New Roman" w:eastAsia="Calibri" w:hAnsi="Times New Roman" w:cs="Times New Roman"/>
                <w:b/>
                <w:bCs/>
                <w:sz w:val="24"/>
                <w:szCs w:val="24"/>
              </w:rPr>
            </w:pPr>
            <w:r w:rsidRPr="00270077">
              <w:rPr>
                <w:rFonts w:ascii="Times New Roman" w:eastAsia="Calibri" w:hAnsi="Times New Roman" w:cs="Times New Roman"/>
                <w:b/>
                <w:bCs/>
                <w:sz w:val="24"/>
                <w:szCs w:val="24"/>
              </w:rPr>
              <w:t>Urbanisation galopante</w:t>
            </w:r>
          </w:p>
        </w:tc>
        <w:tc>
          <w:tcPr>
            <w:tcW w:w="2388" w:type="dxa"/>
            <w:shd w:val="clear" w:color="auto" w:fill="auto"/>
          </w:tcPr>
          <w:p w14:paraId="49F65049" w14:textId="77777777" w:rsidR="00BC6C8B" w:rsidRPr="00270077" w:rsidRDefault="00BC6C8B" w:rsidP="00EE0E23">
            <w:pPr>
              <w:spacing w:after="0" w:line="240" w:lineRule="auto"/>
              <w:rPr>
                <w:rFonts w:ascii="Times New Roman" w:eastAsia="Calibri" w:hAnsi="Times New Roman" w:cs="Times New Roman"/>
                <w:b/>
                <w:bCs/>
                <w:sz w:val="24"/>
                <w:szCs w:val="24"/>
              </w:rPr>
            </w:pPr>
            <w:r w:rsidRPr="00270077">
              <w:rPr>
                <w:rFonts w:ascii="Times New Roman" w:eastAsia="Calibri" w:hAnsi="Times New Roman" w:cs="Times New Roman"/>
                <w:b/>
                <w:bCs/>
                <w:sz w:val="24"/>
                <w:szCs w:val="24"/>
              </w:rPr>
              <w:t>Inondation et ensablement</w:t>
            </w:r>
          </w:p>
        </w:tc>
        <w:tc>
          <w:tcPr>
            <w:tcW w:w="2354" w:type="dxa"/>
            <w:shd w:val="clear" w:color="auto" w:fill="auto"/>
          </w:tcPr>
          <w:p w14:paraId="0972DB43" w14:textId="77777777" w:rsidR="00BC6C8B" w:rsidRPr="00270077" w:rsidRDefault="00BC6C8B" w:rsidP="00EE0E23">
            <w:pPr>
              <w:spacing w:after="0" w:line="240" w:lineRule="auto"/>
              <w:ind w:right="-112"/>
              <w:rPr>
                <w:rFonts w:ascii="Times New Roman" w:eastAsia="Calibri" w:hAnsi="Times New Roman" w:cs="Times New Roman"/>
                <w:b/>
                <w:bCs/>
                <w:sz w:val="24"/>
                <w:szCs w:val="24"/>
              </w:rPr>
            </w:pPr>
            <w:r w:rsidRPr="000257D4">
              <w:rPr>
                <w:rFonts w:ascii="Times New Roman" w:eastAsia="Calibri" w:hAnsi="Times New Roman" w:cs="Times New Roman"/>
                <w:b/>
                <w:bCs/>
                <w:sz w:val="20"/>
                <w:szCs w:val="20"/>
              </w:rPr>
              <w:t>Utilisation massive de matériaux de construction de forte teneur en GES</w:t>
            </w:r>
          </w:p>
        </w:tc>
      </w:tr>
      <w:tr w:rsidR="00BC6C8B" w:rsidRPr="00270077" w14:paraId="79543E15" w14:textId="77777777" w:rsidTr="00EE0E23">
        <w:tc>
          <w:tcPr>
            <w:tcW w:w="2245" w:type="dxa"/>
            <w:shd w:val="clear" w:color="auto" w:fill="auto"/>
          </w:tcPr>
          <w:p w14:paraId="6E28E1CB" w14:textId="77777777" w:rsidR="00BC6C8B" w:rsidRPr="00270077" w:rsidRDefault="00BC6C8B" w:rsidP="00EE0E23">
            <w:pPr>
              <w:spacing w:after="0" w:line="240" w:lineRule="auto"/>
              <w:rPr>
                <w:rFonts w:ascii="Times New Roman" w:eastAsia="Calibri" w:hAnsi="Times New Roman" w:cs="Times New Roman"/>
                <w:sz w:val="24"/>
                <w:szCs w:val="24"/>
              </w:rPr>
            </w:pPr>
            <w:r w:rsidRPr="00270077">
              <w:rPr>
                <w:rFonts w:ascii="Times New Roman" w:eastAsia="Calibri" w:hAnsi="Times New Roman" w:cs="Times New Roman"/>
                <w:sz w:val="24"/>
                <w:szCs w:val="24"/>
              </w:rPr>
              <w:t>Taux élevé de sédentarisation (87,9% en 1988 à 98,1% en 2013)</w:t>
            </w:r>
          </w:p>
          <w:p w14:paraId="316B21D5" w14:textId="77777777" w:rsidR="00BC6C8B" w:rsidRDefault="00BC6C8B" w:rsidP="00EE0E23">
            <w:pPr>
              <w:spacing w:after="0" w:line="240" w:lineRule="auto"/>
              <w:rPr>
                <w:rFonts w:ascii="Times New Roman" w:eastAsia="Calibri" w:hAnsi="Times New Roman" w:cs="Times New Roman"/>
                <w:sz w:val="24"/>
                <w:szCs w:val="24"/>
              </w:rPr>
            </w:pPr>
            <w:r w:rsidRPr="00270077">
              <w:rPr>
                <w:rFonts w:ascii="Times New Roman" w:eastAsia="Calibri" w:hAnsi="Times New Roman" w:cs="Times New Roman"/>
                <w:sz w:val="24"/>
                <w:szCs w:val="24"/>
              </w:rPr>
              <w:t>- Ubiquité des regroupements villageois se caractérise par une ponction alarmante du couvert végétal et ligneux ;</w:t>
            </w:r>
          </w:p>
          <w:p w14:paraId="75FDB03B" w14:textId="77777777" w:rsidR="00BC6C8B" w:rsidRDefault="00BC6C8B" w:rsidP="00EE0E23">
            <w:pPr>
              <w:spacing w:after="0" w:line="240" w:lineRule="auto"/>
              <w:rPr>
                <w:rFonts w:ascii="Times New Roman" w:eastAsia="Calibri" w:hAnsi="Times New Roman" w:cs="Times New Roman"/>
                <w:sz w:val="24"/>
                <w:szCs w:val="24"/>
              </w:rPr>
            </w:pPr>
          </w:p>
          <w:p w14:paraId="205ECF0E" w14:textId="77777777" w:rsidR="00BC6C8B" w:rsidRPr="00270077" w:rsidRDefault="00BC6C8B" w:rsidP="00EE0E23">
            <w:pPr>
              <w:spacing w:after="0" w:line="240" w:lineRule="auto"/>
              <w:rPr>
                <w:rFonts w:ascii="Times New Roman" w:eastAsia="Calibri" w:hAnsi="Times New Roman" w:cs="Times New Roman"/>
                <w:sz w:val="24"/>
                <w:szCs w:val="24"/>
              </w:rPr>
            </w:pPr>
          </w:p>
          <w:p w14:paraId="703A1D3B" w14:textId="77777777" w:rsidR="00BC6C8B" w:rsidRPr="00270077" w:rsidRDefault="00BC6C8B" w:rsidP="00EE0E23">
            <w:pPr>
              <w:spacing w:after="0" w:line="240" w:lineRule="auto"/>
              <w:rPr>
                <w:rFonts w:ascii="Times New Roman" w:eastAsia="Calibri" w:hAnsi="Times New Roman" w:cs="Times New Roman"/>
                <w:sz w:val="24"/>
                <w:szCs w:val="24"/>
              </w:rPr>
            </w:pPr>
            <w:r w:rsidRPr="00270077">
              <w:rPr>
                <w:rFonts w:ascii="Times New Roman" w:eastAsia="Calibri" w:hAnsi="Times New Roman" w:cs="Times New Roman"/>
                <w:sz w:val="24"/>
                <w:szCs w:val="24"/>
              </w:rPr>
              <w:t xml:space="preserve">- Réduction des parcours pastoraux et des superficies cultivables ; </w:t>
            </w:r>
          </w:p>
          <w:p w14:paraId="008055C7" w14:textId="77777777" w:rsidR="00BC6C8B" w:rsidRPr="00270077" w:rsidRDefault="00BC6C8B" w:rsidP="00EE0E23">
            <w:pPr>
              <w:spacing w:after="0" w:line="240" w:lineRule="auto"/>
              <w:rPr>
                <w:rFonts w:ascii="Times New Roman" w:eastAsia="Calibri" w:hAnsi="Times New Roman" w:cs="Times New Roman"/>
                <w:sz w:val="24"/>
                <w:szCs w:val="24"/>
              </w:rPr>
            </w:pPr>
          </w:p>
        </w:tc>
        <w:tc>
          <w:tcPr>
            <w:tcW w:w="2592" w:type="dxa"/>
            <w:shd w:val="clear" w:color="auto" w:fill="auto"/>
          </w:tcPr>
          <w:p w14:paraId="566751CA" w14:textId="77777777" w:rsidR="00BC6C8B" w:rsidRPr="00270077" w:rsidRDefault="00BC6C8B" w:rsidP="00EE0E23">
            <w:pPr>
              <w:spacing w:after="0" w:line="240" w:lineRule="auto"/>
              <w:ind w:left="67"/>
              <w:rPr>
                <w:rFonts w:ascii="Times New Roman" w:eastAsia="Calibri" w:hAnsi="Times New Roman" w:cs="Times New Roman"/>
                <w:sz w:val="24"/>
                <w:szCs w:val="24"/>
              </w:rPr>
            </w:pPr>
            <w:r w:rsidRPr="00270077">
              <w:rPr>
                <w:rFonts w:ascii="Times New Roman" w:eastAsia="Calibri" w:hAnsi="Times New Roman" w:cs="Times New Roman"/>
                <w:sz w:val="24"/>
                <w:szCs w:val="24"/>
              </w:rPr>
              <w:t>Taux d’accroissement élevé et préoccupant (48,3 % en 2013, 60,1% en 2030 et 69,0% en 2043) ;</w:t>
            </w:r>
          </w:p>
          <w:p w14:paraId="54B98973" w14:textId="77777777" w:rsidR="00BC6C8B" w:rsidRPr="00270077" w:rsidRDefault="00BC6C8B" w:rsidP="00BC6C8B">
            <w:pPr>
              <w:numPr>
                <w:ilvl w:val="0"/>
                <w:numId w:val="459"/>
              </w:numPr>
              <w:spacing w:after="0" w:line="240" w:lineRule="auto"/>
              <w:rPr>
                <w:rFonts w:ascii="Times New Roman" w:eastAsia="Calibri" w:hAnsi="Times New Roman" w:cs="Times New Roman"/>
                <w:sz w:val="24"/>
                <w:szCs w:val="24"/>
              </w:rPr>
            </w:pPr>
            <w:r w:rsidRPr="00270077">
              <w:rPr>
                <w:rFonts w:ascii="Times New Roman" w:eastAsia="Calibri" w:hAnsi="Times New Roman" w:cs="Times New Roman"/>
                <w:sz w:val="24"/>
                <w:szCs w:val="24"/>
              </w:rPr>
              <w:t>Forte pression sur les infrastructures, les équipements et les services de base ;</w:t>
            </w:r>
          </w:p>
          <w:p w14:paraId="6CDAE8A0" w14:textId="77777777" w:rsidR="00BC6C8B" w:rsidRPr="00270077" w:rsidRDefault="00BC6C8B" w:rsidP="00EE0E23">
            <w:pPr>
              <w:spacing w:after="0" w:line="240" w:lineRule="auto"/>
              <w:rPr>
                <w:rFonts w:ascii="Times New Roman" w:eastAsia="Calibri" w:hAnsi="Times New Roman" w:cs="Times New Roman"/>
                <w:sz w:val="24"/>
                <w:szCs w:val="24"/>
              </w:rPr>
            </w:pPr>
            <w:r w:rsidRPr="00270077">
              <w:rPr>
                <w:rFonts w:ascii="Times New Roman" w:eastAsia="Calibri" w:hAnsi="Times New Roman" w:cs="Times New Roman"/>
                <w:sz w:val="24"/>
                <w:szCs w:val="24"/>
              </w:rPr>
              <w:t>Déficit d’infrastructures de base (transport, eau, électricité, santé, éducation, logement, assainissement, espaces verts ou récréatifs, etc.) ;</w:t>
            </w:r>
          </w:p>
          <w:p w14:paraId="251B38E3" w14:textId="77777777" w:rsidR="00BC6C8B" w:rsidRPr="00270077" w:rsidRDefault="00BC6C8B" w:rsidP="00EE0E23">
            <w:pPr>
              <w:spacing w:after="0" w:line="240" w:lineRule="auto"/>
              <w:ind w:left="360"/>
              <w:rPr>
                <w:rFonts w:ascii="Times New Roman" w:eastAsia="Calibri" w:hAnsi="Times New Roman" w:cs="Times New Roman"/>
                <w:sz w:val="24"/>
                <w:szCs w:val="24"/>
              </w:rPr>
            </w:pPr>
            <w:r w:rsidRPr="00270077">
              <w:rPr>
                <w:rFonts w:ascii="Times New Roman" w:eastAsia="Calibri" w:hAnsi="Times New Roman" w:cs="Times New Roman"/>
                <w:sz w:val="24"/>
                <w:szCs w:val="24"/>
              </w:rPr>
              <w:t>Occupation d’espaces inondables ou menacés d’ensablement ;</w:t>
            </w:r>
          </w:p>
        </w:tc>
        <w:tc>
          <w:tcPr>
            <w:tcW w:w="2388" w:type="dxa"/>
            <w:shd w:val="clear" w:color="auto" w:fill="auto"/>
          </w:tcPr>
          <w:p w14:paraId="2062328F" w14:textId="77777777" w:rsidR="00BC6C8B" w:rsidRPr="00270077" w:rsidRDefault="00BC6C8B" w:rsidP="00EE0E23">
            <w:pPr>
              <w:spacing w:after="0" w:line="240" w:lineRule="auto"/>
              <w:ind w:left="58"/>
              <w:rPr>
                <w:rFonts w:ascii="Times New Roman" w:eastAsia="Calibri" w:hAnsi="Times New Roman" w:cs="Times New Roman"/>
                <w:sz w:val="24"/>
                <w:szCs w:val="24"/>
              </w:rPr>
            </w:pPr>
            <w:r w:rsidRPr="00270077">
              <w:rPr>
                <w:rFonts w:ascii="Times New Roman" w:eastAsia="Calibri" w:hAnsi="Times New Roman" w:cs="Times New Roman"/>
                <w:sz w:val="24"/>
                <w:szCs w:val="24"/>
              </w:rPr>
              <w:t xml:space="preserve">Plusieurs villes ces dernières années sont l’objet d’inondations récurrentes ; </w:t>
            </w:r>
          </w:p>
          <w:p w14:paraId="723A6679" w14:textId="77777777" w:rsidR="00BC6C8B" w:rsidRPr="00270077" w:rsidRDefault="00BC6C8B" w:rsidP="00EE0E23">
            <w:pPr>
              <w:spacing w:after="0" w:line="240" w:lineRule="auto"/>
              <w:ind w:left="58"/>
              <w:rPr>
                <w:rFonts w:ascii="Times New Roman" w:eastAsia="Calibri" w:hAnsi="Times New Roman" w:cs="Times New Roman"/>
                <w:sz w:val="24"/>
                <w:szCs w:val="24"/>
              </w:rPr>
            </w:pPr>
            <w:r w:rsidRPr="00270077">
              <w:rPr>
                <w:rFonts w:ascii="Times New Roman" w:eastAsia="Calibri" w:hAnsi="Times New Roman" w:cs="Times New Roman"/>
                <w:sz w:val="24"/>
                <w:szCs w:val="24"/>
              </w:rPr>
              <w:t>Affleurement de la nappe, en particulier dans les zones basses des villes comme Nouakchott ;</w:t>
            </w:r>
          </w:p>
          <w:p w14:paraId="457A1795" w14:textId="77777777" w:rsidR="00BC6C8B" w:rsidRPr="00270077" w:rsidRDefault="00BC6C8B" w:rsidP="00EE0E23">
            <w:pPr>
              <w:spacing w:after="0" w:line="240" w:lineRule="auto"/>
              <w:ind w:left="58"/>
              <w:rPr>
                <w:rFonts w:ascii="Times New Roman" w:eastAsia="Calibri" w:hAnsi="Times New Roman" w:cs="Times New Roman"/>
                <w:sz w:val="24"/>
                <w:szCs w:val="24"/>
              </w:rPr>
            </w:pPr>
            <w:r w:rsidRPr="00270077">
              <w:rPr>
                <w:rFonts w:ascii="Times New Roman" w:eastAsia="Calibri" w:hAnsi="Times New Roman" w:cs="Times New Roman"/>
                <w:sz w:val="24"/>
                <w:szCs w:val="24"/>
              </w:rPr>
              <w:t>Remontée des eaux de surface dans les centres urbains suite aux débordements des cours d’eau ou à une saturation due à la faible infiltration des eaux ;</w:t>
            </w:r>
          </w:p>
          <w:p w14:paraId="77E7910F" w14:textId="77777777" w:rsidR="00BC6C8B" w:rsidRPr="00270077" w:rsidRDefault="00BC6C8B" w:rsidP="00EE0E23">
            <w:pPr>
              <w:spacing w:after="0" w:line="240" w:lineRule="auto"/>
              <w:ind w:left="58" w:right="-116"/>
              <w:rPr>
                <w:rFonts w:ascii="Times New Roman" w:eastAsia="Calibri" w:hAnsi="Times New Roman" w:cs="Times New Roman"/>
                <w:sz w:val="24"/>
                <w:szCs w:val="24"/>
              </w:rPr>
            </w:pPr>
            <w:r w:rsidRPr="00270077">
              <w:rPr>
                <w:rFonts w:ascii="Times New Roman" w:eastAsia="Calibri" w:hAnsi="Times New Roman" w:cs="Times New Roman"/>
                <w:sz w:val="24"/>
                <w:szCs w:val="24"/>
              </w:rPr>
              <w:t xml:space="preserve">De fréquents centres urbains submergés par les eaux de pluie, exemple Adel Bagrou, Akjoujt, Bassiknou, Kaédi, Nouakchott, Rosso, Sélibaby, Tintane, </w:t>
            </w:r>
            <w:proofErr w:type="gramStart"/>
            <w:r w:rsidRPr="00270077">
              <w:rPr>
                <w:rFonts w:ascii="Times New Roman" w:eastAsia="Calibri" w:hAnsi="Times New Roman" w:cs="Times New Roman"/>
                <w:sz w:val="24"/>
                <w:szCs w:val="24"/>
              </w:rPr>
              <w:t>etc;</w:t>
            </w:r>
            <w:proofErr w:type="gramEnd"/>
          </w:p>
        </w:tc>
        <w:tc>
          <w:tcPr>
            <w:tcW w:w="2354" w:type="dxa"/>
            <w:shd w:val="clear" w:color="auto" w:fill="auto"/>
          </w:tcPr>
          <w:p w14:paraId="09B4D5CD" w14:textId="77777777" w:rsidR="00BC6C8B" w:rsidRPr="00270077" w:rsidRDefault="00BC6C8B" w:rsidP="00EE0E23">
            <w:pPr>
              <w:spacing w:after="0" w:line="240" w:lineRule="auto"/>
              <w:ind w:left="38"/>
              <w:rPr>
                <w:rFonts w:ascii="Times New Roman" w:eastAsia="Calibri" w:hAnsi="Times New Roman" w:cs="Times New Roman"/>
                <w:sz w:val="24"/>
                <w:szCs w:val="24"/>
              </w:rPr>
            </w:pPr>
            <w:r w:rsidRPr="00270077">
              <w:rPr>
                <w:rFonts w:ascii="Times New Roman" w:eastAsia="Calibri" w:hAnsi="Times New Roman" w:cs="Times New Roman"/>
                <w:sz w:val="24"/>
                <w:szCs w:val="24"/>
              </w:rPr>
              <w:t>Utilisation de matériaux de construction industrielle au détriment des matériaux locaux</w:t>
            </w:r>
          </w:p>
          <w:p w14:paraId="797ADBEE" w14:textId="77777777" w:rsidR="00BC6C8B" w:rsidRPr="00270077" w:rsidRDefault="00BC6C8B" w:rsidP="00EE0E23">
            <w:pPr>
              <w:spacing w:after="0" w:line="240" w:lineRule="auto"/>
              <w:rPr>
                <w:rFonts w:ascii="Times New Roman" w:eastAsia="Calibri" w:hAnsi="Times New Roman" w:cs="Times New Roman"/>
                <w:sz w:val="24"/>
                <w:szCs w:val="24"/>
              </w:rPr>
            </w:pPr>
            <w:r w:rsidRPr="00270077">
              <w:rPr>
                <w:rFonts w:ascii="Times New Roman" w:eastAsia="Calibri" w:hAnsi="Times New Roman" w:cs="Times New Roman"/>
                <w:sz w:val="24"/>
                <w:szCs w:val="24"/>
              </w:rPr>
              <w:t>Utilisation de ciment et dérivés contribuant à la croissance des émissions de gaz à effet de serre (GES).</w:t>
            </w:r>
          </w:p>
        </w:tc>
      </w:tr>
      <w:tr w:rsidR="00BC6C8B" w:rsidRPr="00270077" w14:paraId="265999CF" w14:textId="77777777" w:rsidTr="00EE0E23">
        <w:tc>
          <w:tcPr>
            <w:tcW w:w="2245" w:type="dxa"/>
            <w:shd w:val="clear" w:color="auto" w:fill="auto"/>
          </w:tcPr>
          <w:p w14:paraId="2FDE98F3" w14:textId="77777777" w:rsidR="00BC6C8B" w:rsidRPr="00270077" w:rsidRDefault="00BC6C8B" w:rsidP="00EE0E23">
            <w:pPr>
              <w:spacing w:after="0" w:line="240" w:lineRule="auto"/>
              <w:rPr>
                <w:rFonts w:ascii="Times New Roman" w:eastAsia="Calibri" w:hAnsi="Times New Roman" w:cs="Times New Roman"/>
                <w:sz w:val="24"/>
                <w:szCs w:val="24"/>
              </w:rPr>
            </w:pPr>
            <w:r w:rsidRPr="00270077">
              <w:rPr>
                <w:rFonts w:ascii="Times New Roman" w:eastAsia="Calibri" w:hAnsi="Times New Roman" w:cs="Times New Roman"/>
                <w:sz w:val="24"/>
                <w:szCs w:val="24"/>
              </w:rPr>
              <w:t>Forte sédentarisation exerçant des pressions croissantes sur les ressources naturelles</w:t>
            </w:r>
          </w:p>
        </w:tc>
        <w:tc>
          <w:tcPr>
            <w:tcW w:w="2592" w:type="dxa"/>
            <w:shd w:val="clear" w:color="auto" w:fill="auto"/>
          </w:tcPr>
          <w:p w14:paraId="099E7CB8" w14:textId="77777777" w:rsidR="00BC6C8B" w:rsidRPr="00095766" w:rsidRDefault="00BC6C8B" w:rsidP="00EE0E23">
            <w:pPr>
              <w:spacing w:after="0" w:line="240" w:lineRule="auto"/>
              <w:rPr>
                <w:rFonts w:ascii="Times New Roman" w:eastAsia="Calibri" w:hAnsi="Times New Roman" w:cs="Times New Roman"/>
              </w:rPr>
            </w:pPr>
            <w:r w:rsidRPr="00095766">
              <w:rPr>
                <w:rFonts w:ascii="Times New Roman" w:eastAsia="Calibri" w:hAnsi="Times New Roman" w:cs="Times New Roman"/>
              </w:rPr>
              <w:t>Absence de planification urbaine durable ;</w:t>
            </w:r>
          </w:p>
        </w:tc>
        <w:tc>
          <w:tcPr>
            <w:tcW w:w="2388" w:type="dxa"/>
            <w:shd w:val="clear" w:color="auto" w:fill="auto"/>
          </w:tcPr>
          <w:p w14:paraId="20235B8A" w14:textId="77777777" w:rsidR="00BC6C8B" w:rsidRPr="00095766" w:rsidRDefault="00BC6C8B" w:rsidP="00EE0E23">
            <w:pPr>
              <w:spacing w:after="0" w:line="240" w:lineRule="auto"/>
              <w:ind w:right="-110"/>
              <w:rPr>
                <w:rFonts w:ascii="Times New Roman" w:eastAsia="Calibri" w:hAnsi="Times New Roman" w:cs="Times New Roman"/>
              </w:rPr>
            </w:pPr>
            <w:r w:rsidRPr="00095766">
              <w:rPr>
                <w:rFonts w:ascii="Times New Roman" w:eastAsia="Calibri" w:hAnsi="Times New Roman" w:cs="Times New Roman"/>
              </w:rPr>
              <w:t>L’absence de protection et /ou la destruction de protection naturelle accentue l’ensablement des établissements humains ;</w:t>
            </w:r>
          </w:p>
        </w:tc>
        <w:tc>
          <w:tcPr>
            <w:tcW w:w="2354" w:type="dxa"/>
            <w:shd w:val="clear" w:color="auto" w:fill="auto"/>
          </w:tcPr>
          <w:p w14:paraId="077B758F" w14:textId="77777777" w:rsidR="00BC6C8B" w:rsidRPr="00270077" w:rsidRDefault="00BC6C8B" w:rsidP="00EE0E23">
            <w:pPr>
              <w:spacing w:after="0" w:line="240" w:lineRule="auto"/>
              <w:rPr>
                <w:rFonts w:ascii="Times New Roman" w:eastAsia="Calibri" w:hAnsi="Times New Roman" w:cs="Times New Roman"/>
                <w:sz w:val="24"/>
                <w:szCs w:val="24"/>
              </w:rPr>
            </w:pPr>
          </w:p>
        </w:tc>
      </w:tr>
      <w:tr w:rsidR="00BC6C8B" w:rsidRPr="00270077" w14:paraId="3EC551AD" w14:textId="77777777" w:rsidTr="00EE0E23">
        <w:tc>
          <w:tcPr>
            <w:tcW w:w="2245" w:type="dxa"/>
            <w:shd w:val="clear" w:color="auto" w:fill="auto"/>
          </w:tcPr>
          <w:p w14:paraId="566E7024" w14:textId="77777777" w:rsidR="00BC6C8B" w:rsidRPr="00270077" w:rsidRDefault="00BC6C8B" w:rsidP="00EE0E23">
            <w:pPr>
              <w:spacing w:after="0" w:line="240" w:lineRule="auto"/>
              <w:rPr>
                <w:rFonts w:ascii="Times New Roman" w:eastAsia="Calibri" w:hAnsi="Times New Roman" w:cs="Times New Roman"/>
                <w:sz w:val="24"/>
                <w:szCs w:val="24"/>
              </w:rPr>
            </w:pPr>
          </w:p>
        </w:tc>
        <w:tc>
          <w:tcPr>
            <w:tcW w:w="2592" w:type="dxa"/>
            <w:shd w:val="clear" w:color="auto" w:fill="auto"/>
          </w:tcPr>
          <w:p w14:paraId="65D0FC07" w14:textId="77777777" w:rsidR="00BC6C8B" w:rsidRPr="00095766" w:rsidRDefault="00BC6C8B" w:rsidP="00EE0E23">
            <w:pPr>
              <w:spacing w:after="0" w:line="240" w:lineRule="auto"/>
              <w:rPr>
                <w:rFonts w:ascii="Times New Roman" w:eastAsia="Calibri" w:hAnsi="Times New Roman" w:cs="Times New Roman"/>
              </w:rPr>
            </w:pPr>
            <w:r w:rsidRPr="00095766">
              <w:rPr>
                <w:rFonts w:ascii="Times New Roman" w:eastAsia="Calibri" w:hAnsi="Times New Roman" w:cs="Times New Roman"/>
              </w:rPr>
              <w:t>Développement rapide et désordonné des quartiers précaires et une forte extension spatiale des villes </w:t>
            </w:r>
          </w:p>
        </w:tc>
        <w:tc>
          <w:tcPr>
            <w:tcW w:w="2388" w:type="dxa"/>
            <w:shd w:val="clear" w:color="auto" w:fill="auto"/>
          </w:tcPr>
          <w:p w14:paraId="1D61886A" w14:textId="77777777" w:rsidR="00BC6C8B" w:rsidRPr="00095766" w:rsidRDefault="00BC6C8B" w:rsidP="00EE0E23">
            <w:pPr>
              <w:spacing w:after="0" w:line="240" w:lineRule="auto"/>
              <w:rPr>
                <w:rFonts w:ascii="Times New Roman" w:eastAsia="Calibri" w:hAnsi="Times New Roman" w:cs="Times New Roman"/>
              </w:rPr>
            </w:pPr>
            <w:r w:rsidRPr="00095766">
              <w:rPr>
                <w:rFonts w:ascii="Times New Roman" w:eastAsia="Calibri" w:hAnsi="Times New Roman" w:cs="Times New Roman"/>
              </w:rPr>
              <w:t>Avancée du désert menaçant de nombreux établissements humains en milieu urbain, comme en milieu rural.</w:t>
            </w:r>
          </w:p>
        </w:tc>
        <w:tc>
          <w:tcPr>
            <w:tcW w:w="2354" w:type="dxa"/>
            <w:shd w:val="clear" w:color="auto" w:fill="auto"/>
          </w:tcPr>
          <w:p w14:paraId="41BB0540" w14:textId="77777777" w:rsidR="00BC6C8B" w:rsidRPr="00270077" w:rsidRDefault="00BC6C8B" w:rsidP="00EE0E23">
            <w:pPr>
              <w:spacing w:after="0" w:line="240" w:lineRule="auto"/>
              <w:rPr>
                <w:rFonts w:ascii="Times New Roman" w:eastAsia="Calibri" w:hAnsi="Times New Roman" w:cs="Times New Roman"/>
                <w:sz w:val="24"/>
                <w:szCs w:val="24"/>
              </w:rPr>
            </w:pPr>
          </w:p>
        </w:tc>
      </w:tr>
      <w:tr w:rsidR="00BC6C8B" w:rsidRPr="00270077" w14:paraId="3D984C9F" w14:textId="77777777" w:rsidTr="00EE0E23">
        <w:tc>
          <w:tcPr>
            <w:tcW w:w="2245" w:type="dxa"/>
            <w:shd w:val="clear" w:color="auto" w:fill="auto"/>
          </w:tcPr>
          <w:p w14:paraId="32DB2321" w14:textId="77777777" w:rsidR="00BC6C8B" w:rsidRPr="00270077" w:rsidRDefault="00BC6C8B" w:rsidP="00EE0E23">
            <w:pPr>
              <w:spacing w:after="0" w:line="240" w:lineRule="auto"/>
              <w:rPr>
                <w:rFonts w:ascii="Times New Roman" w:eastAsia="Calibri" w:hAnsi="Times New Roman" w:cs="Times New Roman"/>
                <w:sz w:val="24"/>
                <w:szCs w:val="24"/>
              </w:rPr>
            </w:pPr>
          </w:p>
        </w:tc>
        <w:tc>
          <w:tcPr>
            <w:tcW w:w="2592" w:type="dxa"/>
            <w:shd w:val="clear" w:color="auto" w:fill="auto"/>
          </w:tcPr>
          <w:p w14:paraId="1BDF7531" w14:textId="77777777" w:rsidR="00BC6C8B" w:rsidRPr="00095766" w:rsidRDefault="00BC6C8B" w:rsidP="00EE0E23">
            <w:pPr>
              <w:spacing w:after="0" w:line="240" w:lineRule="auto"/>
              <w:rPr>
                <w:rFonts w:ascii="Times New Roman" w:eastAsia="Calibri" w:hAnsi="Times New Roman" w:cs="Times New Roman"/>
              </w:rPr>
            </w:pPr>
            <w:r w:rsidRPr="00095766">
              <w:rPr>
                <w:rFonts w:ascii="Times New Roman" w:eastAsia="Calibri" w:hAnsi="Times New Roman" w:cs="Times New Roman"/>
              </w:rPr>
              <w:t xml:space="preserve">Faiblesse, voire absence d’assainissement et de traitement des déchets solides et liquides. </w:t>
            </w:r>
          </w:p>
          <w:p w14:paraId="669FA839" w14:textId="77777777" w:rsidR="00BC6C8B" w:rsidRPr="00095766" w:rsidRDefault="00BC6C8B" w:rsidP="00EE0E23">
            <w:pPr>
              <w:spacing w:after="0" w:line="240" w:lineRule="auto"/>
              <w:rPr>
                <w:rFonts w:ascii="Times New Roman" w:eastAsia="Calibri" w:hAnsi="Times New Roman" w:cs="Times New Roman"/>
              </w:rPr>
            </w:pPr>
          </w:p>
        </w:tc>
        <w:tc>
          <w:tcPr>
            <w:tcW w:w="2388" w:type="dxa"/>
            <w:shd w:val="clear" w:color="auto" w:fill="auto"/>
          </w:tcPr>
          <w:p w14:paraId="1605813B" w14:textId="77777777" w:rsidR="00BC6C8B" w:rsidRPr="00270077" w:rsidRDefault="00BC6C8B" w:rsidP="00EE0E23">
            <w:pPr>
              <w:spacing w:after="0" w:line="240" w:lineRule="auto"/>
              <w:rPr>
                <w:rFonts w:ascii="Times New Roman" w:eastAsia="Calibri" w:hAnsi="Times New Roman" w:cs="Times New Roman"/>
                <w:sz w:val="24"/>
                <w:szCs w:val="24"/>
              </w:rPr>
            </w:pPr>
          </w:p>
        </w:tc>
        <w:tc>
          <w:tcPr>
            <w:tcW w:w="2354" w:type="dxa"/>
            <w:shd w:val="clear" w:color="auto" w:fill="auto"/>
          </w:tcPr>
          <w:p w14:paraId="6C3B64D6" w14:textId="77777777" w:rsidR="00BC6C8B" w:rsidRPr="00270077" w:rsidRDefault="00BC6C8B" w:rsidP="00EE0E23">
            <w:pPr>
              <w:spacing w:after="0" w:line="240" w:lineRule="auto"/>
              <w:rPr>
                <w:rFonts w:ascii="Times New Roman" w:eastAsia="Calibri" w:hAnsi="Times New Roman" w:cs="Times New Roman"/>
                <w:sz w:val="24"/>
                <w:szCs w:val="24"/>
              </w:rPr>
            </w:pPr>
          </w:p>
        </w:tc>
      </w:tr>
    </w:tbl>
    <w:p w14:paraId="16C03260" w14:textId="77777777" w:rsidR="00BC6C8B" w:rsidRDefault="00BC6C8B" w:rsidP="00BC6C8B">
      <w:pPr>
        <w:spacing w:after="0" w:line="360" w:lineRule="auto"/>
        <w:jc w:val="both"/>
        <w:rPr>
          <w:rFonts w:asciiTheme="majorBidi" w:eastAsia="Times New Roman" w:hAnsiTheme="majorBidi" w:cstheme="majorBidi"/>
          <w:b/>
          <w:bCs/>
          <w:sz w:val="24"/>
          <w:szCs w:val="24"/>
          <w:lang w:eastAsia="fr-FR"/>
        </w:rPr>
      </w:pPr>
    </w:p>
    <w:p w14:paraId="665952B5" w14:textId="77777777" w:rsidR="00BC6C8B" w:rsidRPr="000257D4" w:rsidRDefault="00BC6C8B" w:rsidP="00BC6C8B">
      <w:pPr>
        <w:keepNext/>
        <w:keepLines/>
        <w:spacing w:after="0" w:line="240" w:lineRule="auto"/>
        <w:outlineLvl w:val="2"/>
        <w:rPr>
          <w:rFonts w:ascii="Calibri Light" w:eastAsia="Times New Roman" w:hAnsi="Calibri Light" w:cs="Times New Roman"/>
          <w:b/>
          <w:bCs/>
          <w:color w:val="1F4D78"/>
          <w:sz w:val="24"/>
          <w:szCs w:val="24"/>
        </w:rPr>
      </w:pPr>
      <w:bookmarkStart w:id="470" w:name="_Toc142911921"/>
      <w:r w:rsidRPr="000257D4">
        <w:rPr>
          <w:rFonts w:ascii="Calibri Light" w:eastAsia="Times New Roman" w:hAnsi="Calibri Light" w:cs="Times New Roman"/>
          <w:b/>
          <w:bCs/>
          <w:color w:val="1F4D78"/>
          <w:sz w:val="24"/>
          <w:szCs w:val="24"/>
        </w:rPr>
        <w:t xml:space="preserve"> Matrice des mesures d’adaptation liées au changement climatique</w:t>
      </w:r>
      <w:bookmarkEnd w:id="470"/>
    </w:p>
    <w:p w14:paraId="0BC6CEB0" w14:textId="77777777" w:rsidR="00BC6C8B" w:rsidRPr="000257D4" w:rsidRDefault="00BC6C8B" w:rsidP="00BC6C8B">
      <w:pPr>
        <w:spacing w:after="0" w:line="240" w:lineRule="auto"/>
        <w:jc w:val="center"/>
        <w:rPr>
          <w:rFonts w:ascii="Times New Roman" w:eastAsia="Calibri" w:hAnsi="Times New Roman" w:cs="Times New Roman"/>
          <w:b/>
          <w:bCs/>
          <w:i/>
          <w:iCs/>
          <w:color w:val="44546A"/>
          <w:sz w:val="18"/>
          <w:szCs w:val="18"/>
        </w:rPr>
      </w:pPr>
      <w:bookmarkStart w:id="471" w:name="_Toc142911928"/>
      <w:r w:rsidRPr="000257D4">
        <w:rPr>
          <w:rFonts w:ascii="Calibri" w:eastAsia="Calibri" w:hAnsi="Calibri" w:cs="Arial"/>
          <w:b/>
          <w:bCs/>
          <w:i/>
          <w:iCs/>
          <w:color w:val="44546A"/>
          <w:sz w:val="18"/>
          <w:szCs w:val="18"/>
        </w:rPr>
        <w:t xml:space="preserve">Tableau </w:t>
      </w:r>
      <w:r w:rsidRPr="000257D4">
        <w:rPr>
          <w:rFonts w:ascii="Calibri" w:eastAsia="Calibri" w:hAnsi="Calibri" w:cs="Arial"/>
          <w:b/>
          <w:bCs/>
          <w:i/>
          <w:iCs/>
          <w:color w:val="44546A"/>
          <w:sz w:val="18"/>
          <w:szCs w:val="18"/>
        </w:rPr>
        <w:fldChar w:fldCharType="begin"/>
      </w:r>
      <w:r w:rsidRPr="000257D4">
        <w:rPr>
          <w:rFonts w:ascii="Calibri" w:eastAsia="Calibri" w:hAnsi="Calibri" w:cs="Arial"/>
          <w:b/>
          <w:bCs/>
          <w:i/>
          <w:iCs/>
          <w:color w:val="44546A"/>
          <w:sz w:val="18"/>
          <w:szCs w:val="18"/>
        </w:rPr>
        <w:instrText xml:space="preserve"> SEQ Tableau \* ARABIC </w:instrText>
      </w:r>
      <w:r w:rsidRPr="000257D4">
        <w:rPr>
          <w:rFonts w:ascii="Calibri" w:eastAsia="Calibri" w:hAnsi="Calibri" w:cs="Arial"/>
          <w:b/>
          <w:bCs/>
          <w:i/>
          <w:iCs/>
          <w:color w:val="44546A"/>
          <w:sz w:val="18"/>
          <w:szCs w:val="18"/>
        </w:rPr>
        <w:fldChar w:fldCharType="separate"/>
      </w:r>
      <w:r>
        <w:rPr>
          <w:rFonts w:ascii="Calibri" w:eastAsia="Calibri" w:hAnsi="Calibri" w:cs="Arial"/>
          <w:b/>
          <w:bCs/>
          <w:i/>
          <w:iCs/>
          <w:noProof/>
          <w:color w:val="44546A"/>
          <w:sz w:val="18"/>
          <w:szCs w:val="18"/>
        </w:rPr>
        <w:t>6</w:t>
      </w:r>
      <w:r w:rsidRPr="000257D4">
        <w:rPr>
          <w:rFonts w:ascii="Calibri" w:eastAsia="Calibri" w:hAnsi="Calibri" w:cs="Arial"/>
          <w:b/>
          <w:bCs/>
          <w:i/>
          <w:iCs/>
          <w:noProof/>
          <w:color w:val="44546A"/>
          <w:sz w:val="18"/>
          <w:szCs w:val="18"/>
        </w:rPr>
        <w:fldChar w:fldCharType="end"/>
      </w:r>
      <w:r w:rsidRPr="000257D4">
        <w:rPr>
          <w:rFonts w:ascii="Calibri" w:eastAsia="Calibri" w:hAnsi="Calibri" w:cs="Arial"/>
          <w:b/>
          <w:bCs/>
          <w:i/>
          <w:iCs/>
          <w:color w:val="44546A"/>
          <w:sz w:val="18"/>
          <w:szCs w:val="18"/>
        </w:rPr>
        <w:t>: matrice des actions prioritaires d'adaptation du secteur de l'habitat et de l'urbanisme</w:t>
      </w:r>
      <w:bookmarkEnd w:id="471"/>
    </w:p>
    <w:tbl>
      <w:tblPr>
        <w:tblW w:w="94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2"/>
        <w:gridCol w:w="2408"/>
        <w:gridCol w:w="4361"/>
      </w:tblGrid>
      <w:tr w:rsidR="00BC6C8B" w:rsidRPr="0066690C" w14:paraId="0A48A868" w14:textId="77777777" w:rsidTr="00EE0E23">
        <w:tc>
          <w:tcPr>
            <w:tcW w:w="2662" w:type="dxa"/>
            <w:shd w:val="clear" w:color="auto" w:fill="auto"/>
          </w:tcPr>
          <w:p w14:paraId="64F3DCC0" w14:textId="77777777" w:rsidR="00BC6C8B" w:rsidRPr="0066690C" w:rsidRDefault="00BC6C8B" w:rsidP="00EE0E23">
            <w:pPr>
              <w:rPr>
                <w:rFonts w:ascii="Times New Roman" w:hAnsi="Times New Roman" w:cs="Times New Roman"/>
                <w:b/>
                <w:bCs/>
              </w:rPr>
            </w:pPr>
            <w:r w:rsidRPr="0066690C">
              <w:rPr>
                <w:rFonts w:ascii="Times New Roman" w:hAnsi="Times New Roman" w:cs="Times New Roman"/>
                <w:b/>
                <w:bCs/>
              </w:rPr>
              <w:t xml:space="preserve">Sédentarisation anarchique </w:t>
            </w:r>
          </w:p>
        </w:tc>
        <w:tc>
          <w:tcPr>
            <w:tcW w:w="2408" w:type="dxa"/>
            <w:shd w:val="clear" w:color="auto" w:fill="auto"/>
          </w:tcPr>
          <w:p w14:paraId="7A688F08" w14:textId="77777777" w:rsidR="00BC6C8B" w:rsidRPr="0066690C" w:rsidRDefault="00BC6C8B" w:rsidP="00EE0E23">
            <w:pPr>
              <w:rPr>
                <w:rFonts w:ascii="Times New Roman" w:hAnsi="Times New Roman" w:cs="Times New Roman"/>
                <w:b/>
                <w:bCs/>
              </w:rPr>
            </w:pPr>
            <w:r w:rsidRPr="0066690C">
              <w:rPr>
                <w:rFonts w:ascii="Times New Roman" w:hAnsi="Times New Roman" w:cs="Times New Roman"/>
                <w:b/>
                <w:bCs/>
              </w:rPr>
              <w:t>Habitat</w:t>
            </w:r>
          </w:p>
        </w:tc>
        <w:tc>
          <w:tcPr>
            <w:tcW w:w="4361" w:type="dxa"/>
            <w:shd w:val="clear" w:color="auto" w:fill="auto"/>
          </w:tcPr>
          <w:p w14:paraId="18442B95" w14:textId="77777777" w:rsidR="00BC6C8B" w:rsidRPr="0066690C" w:rsidRDefault="00BC6C8B" w:rsidP="00EE0E23">
            <w:pPr>
              <w:rPr>
                <w:rFonts w:ascii="Times New Roman" w:hAnsi="Times New Roman" w:cs="Times New Roman"/>
                <w:b/>
                <w:bCs/>
              </w:rPr>
            </w:pPr>
            <w:r w:rsidRPr="0066690C">
              <w:rPr>
                <w:rFonts w:ascii="Times New Roman" w:hAnsi="Times New Roman" w:cs="Times New Roman"/>
                <w:b/>
                <w:bCs/>
              </w:rPr>
              <w:t>Urbanisme et équipement public</w:t>
            </w:r>
          </w:p>
        </w:tc>
      </w:tr>
      <w:tr w:rsidR="00BC6C8B" w:rsidRPr="0066690C" w14:paraId="50C24117" w14:textId="77777777" w:rsidTr="00EE0E23">
        <w:trPr>
          <w:trHeight w:val="2175"/>
        </w:trPr>
        <w:tc>
          <w:tcPr>
            <w:tcW w:w="2662" w:type="dxa"/>
            <w:shd w:val="clear" w:color="auto" w:fill="auto"/>
          </w:tcPr>
          <w:p w14:paraId="207156E1" w14:textId="77777777" w:rsidR="00BC6C8B" w:rsidRPr="0066690C" w:rsidRDefault="00BC6C8B" w:rsidP="00EE0E23">
            <w:pPr>
              <w:rPr>
                <w:rFonts w:ascii="Times New Roman" w:hAnsi="Times New Roman" w:cs="Times New Roman"/>
              </w:rPr>
            </w:pPr>
            <w:r w:rsidRPr="0066690C">
              <w:rPr>
                <w:rFonts w:ascii="Times New Roman" w:hAnsi="Times New Roman" w:cs="Times New Roman"/>
              </w:rPr>
              <w:t xml:space="preserve">Regroupement de localités dans la plupart des wilayas afin </w:t>
            </w:r>
            <w:r>
              <w:rPr>
                <w:rFonts w:ascii="Times New Roman" w:hAnsi="Times New Roman" w:cs="Times New Roman"/>
              </w:rPr>
              <w:t xml:space="preserve">de </w:t>
            </w:r>
            <w:r w:rsidRPr="0066690C">
              <w:rPr>
                <w:rFonts w:ascii="Times New Roman" w:hAnsi="Times New Roman" w:cs="Times New Roman"/>
              </w:rPr>
              <w:t>réduire la pression sur les ressources naturelles</w:t>
            </w:r>
          </w:p>
        </w:tc>
        <w:tc>
          <w:tcPr>
            <w:tcW w:w="2408" w:type="dxa"/>
            <w:shd w:val="clear" w:color="auto" w:fill="auto"/>
          </w:tcPr>
          <w:p w14:paraId="371EB8F3" w14:textId="77777777" w:rsidR="00BC6C8B" w:rsidRPr="0066690C" w:rsidRDefault="00BC6C8B" w:rsidP="00EE0E23">
            <w:pPr>
              <w:rPr>
                <w:rFonts w:ascii="Times New Roman" w:hAnsi="Times New Roman" w:cs="Times New Roman"/>
              </w:rPr>
            </w:pPr>
            <w:r w:rsidRPr="0066690C">
              <w:rPr>
                <w:rFonts w:ascii="Times New Roman" w:hAnsi="Times New Roman" w:cs="Times New Roman"/>
              </w:rPr>
              <w:t>Mise en œuvre de la réglementation en matière d’habitat ;</w:t>
            </w:r>
          </w:p>
          <w:p w14:paraId="30AA197F" w14:textId="77777777" w:rsidR="00BC6C8B" w:rsidRPr="0066690C" w:rsidRDefault="00BC6C8B" w:rsidP="00EE0E23">
            <w:pPr>
              <w:spacing w:after="0" w:line="240" w:lineRule="auto"/>
              <w:rPr>
                <w:rFonts w:ascii="Times New Roman" w:hAnsi="Times New Roman" w:cs="Times New Roman"/>
              </w:rPr>
            </w:pPr>
            <w:r w:rsidRPr="0066690C">
              <w:rPr>
                <w:rFonts w:ascii="Times New Roman" w:hAnsi="Times New Roman" w:cs="Times New Roman"/>
              </w:rPr>
              <w:t>Accès des populations, surtout pauvres, à un habitat décent et une sécurité foncière. </w:t>
            </w:r>
          </w:p>
        </w:tc>
        <w:tc>
          <w:tcPr>
            <w:tcW w:w="4361" w:type="dxa"/>
            <w:shd w:val="clear" w:color="auto" w:fill="auto"/>
          </w:tcPr>
          <w:p w14:paraId="08A0E11A" w14:textId="77777777" w:rsidR="00BC6C8B" w:rsidRPr="000257D4" w:rsidRDefault="00BC6C8B" w:rsidP="00BC6C8B">
            <w:pPr>
              <w:pStyle w:val="Paragraphedeliste"/>
              <w:numPr>
                <w:ilvl w:val="0"/>
                <w:numId w:val="459"/>
              </w:numPr>
              <w:spacing w:after="200" w:line="276" w:lineRule="auto"/>
              <w:ind w:left="64" w:hanging="141"/>
              <w:rPr>
                <w:rFonts w:ascii="Times New Roman" w:hAnsi="Times New Roman" w:cs="Times New Roman"/>
              </w:rPr>
            </w:pPr>
            <w:r w:rsidRPr="000257D4">
              <w:rPr>
                <w:rFonts w:ascii="Times New Roman" w:hAnsi="Times New Roman" w:cs="Times New Roman"/>
              </w:rPr>
              <w:t>Mise en place de ceintures vertes pour protéger les villes contre l’ensablement ;</w:t>
            </w:r>
          </w:p>
          <w:p w14:paraId="1EE84C42" w14:textId="77777777" w:rsidR="00BC6C8B" w:rsidRPr="000257D4" w:rsidRDefault="00BC6C8B" w:rsidP="00BC6C8B">
            <w:pPr>
              <w:pStyle w:val="Paragraphedeliste"/>
              <w:numPr>
                <w:ilvl w:val="0"/>
                <w:numId w:val="459"/>
              </w:numPr>
              <w:spacing w:after="200" w:line="276" w:lineRule="auto"/>
              <w:ind w:left="64" w:hanging="141"/>
              <w:rPr>
                <w:rFonts w:ascii="Times New Roman" w:hAnsi="Times New Roman" w:cs="Times New Roman"/>
              </w:rPr>
            </w:pPr>
            <w:r w:rsidRPr="000257D4">
              <w:rPr>
                <w:rFonts w:ascii="Times New Roman" w:hAnsi="Times New Roman" w:cs="Times New Roman"/>
              </w:rPr>
              <w:t>Construction d’un canal de protection contre les inondations des communes de Sebkha et d’Elmina</w:t>
            </w:r>
          </w:p>
        </w:tc>
      </w:tr>
      <w:tr w:rsidR="00BC6C8B" w:rsidRPr="0066690C" w14:paraId="049CEAB0" w14:textId="77777777" w:rsidTr="00EE0E23">
        <w:tc>
          <w:tcPr>
            <w:tcW w:w="2662" w:type="dxa"/>
            <w:shd w:val="clear" w:color="auto" w:fill="auto"/>
          </w:tcPr>
          <w:p w14:paraId="4747E346" w14:textId="77777777" w:rsidR="00BC6C8B" w:rsidRPr="0066690C" w:rsidRDefault="00BC6C8B" w:rsidP="00EE0E23">
            <w:pPr>
              <w:rPr>
                <w:rFonts w:ascii="Times New Roman" w:hAnsi="Times New Roman" w:cs="Times New Roman"/>
              </w:rPr>
            </w:pPr>
            <w:r w:rsidRPr="0066690C">
              <w:rPr>
                <w:rFonts w:ascii="Times New Roman" w:hAnsi="Times New Roman" w:cs="Times New Roman"/>
              </w:rPr>
              <w:t>Développement d’infrastructures socio-économiques en milieu rural</w:t>
            </w:r>
          </w:p>
        </w:tc>
        <w:tc>
          <w:tcPr>
            <w:tcW w:w="2408" w:type="dxa"/>
            <w:shd w:val="clear" w:color="auto" w:fill="auto"/>
          </w:tcPr>
          <w:p w14:paraId="2BE6DF0E" w14:textId="77777777" w:rsidR="00BC6C8B" w:rsidRPr="0066690C" w:rsidRDefault="00BC6C8B" w:rsidP="00EE0E23">
            <w:pPr>
              <w:spacing w:after="0" w:line="240" w:lineRule="auto"/>
              <w:jc w:val="both"/>
              <w:rPr>
                <w:rFonts w:ascii="Times New Roman" w:hAnsi="Times New Roman" w:cs="Times New Roman"/>
              </w:rPr>
            </w:pPr>
            <w:r w:rsidRPr="0066690C">
              <w:rPr>
                <w:rFonts w:ascii="Times New Roman" w:hAnsi="Times New Roman" w:cs="Times New Roman"/>
              </w:rPr>
              <w:t>Création et mise en place d’un mécanisme de financement de l’Habitat</w:t>
            </w:r>
          </w:p>
          <w:p w14:paraId="5307E1C5" w14:textId="77777777" w:rsidR="00BC6C8B" w:rsidRPr="0066690C" w:rsidRDefault="00BC6C8B" w:rsidP="00EE0E23">
            <w:pPr>
              <w:ind w:left="720"/>
              <w:rPr>
                <w:rFonts w:ascii="Times New Roman" w:hAnsi="Times New Roman" w:cs="Times New Roman"/>
              </w:rPr>
            </w:pPr>
          </w:p>
        </w:tc>
        <w:tc>
          <w:tcPr>
            <w:tcW w:w="4361" w:type="dxa"/>
            <w:shd w:val="clear" w:color="auto" w:fill="auto"/>
          </w:tcPr>
          <w:p w14:paraId="706D198E" w14:textId="77777777" w:rsidR="00BC6C8B" w:rsidRPr="0066690C" w:rsidRDefault="00BC6C8B" w:rsidP="00EE0E23">
            <w:pPr>
              <w:ind w:left="64"/>
              <w:jc w:val="both"/>
              <w:rPr>
                <w:rFonts w:ascii="Times New Roman" w:hAnsi="Times New Roman" w:cs="Times New Roman"/>
              </w:rPr>
            </w:pPr>
            <w:r w:rsidRPr="0066690C">
              <w:rPr>
                <w:rFonts w:ascii="Times New Roman" w:hAnsi="Times New Roman" w:cs="Times New Roman"/>
              </w:rPr>
              <w:t>Construction d’une digue de protection du quartier de Touldé et le renforcement de la digue existante de Kaédi ;</w:t>
            </w:r>
          </w:p>
          <w:p w14:paraId="247A585F" w14:textId="77777777" w:rsidR="00BC6C8B" w:rsidRPr="0066690C" w:rsidRDefault="00BC6C8B" w:rsidP="00EE0E23">
            <w:pPr>
              <w:jc w:val="both"/>
              <w:rPr>
                <w:rFonts w:ascii="Times New Roman" w:hAnsi="Times New Roman" w:cs="Times New Roman"/>
              </w:rPr>
            </w:pPr>
            <w:r w:rsidRPr="0066690C">
              <w:rPr>
                <w:rFonts w:ascii="Times New Roman" w:hAnsi="Times New Roman" w:cs="Times New Roman"/>
              </w:rPr>
              <w:t>Construction d’une digue de protection de la ville de Tékane afin de la protéger contre les inondations et les remontées des eaux pluviales.</w:t>
            </w:r>
          </w:p>
        </w:tc>
      </w:tr>
      <w:tr w:rsidR="00BC6C8B" w:rsidRPr="0066690C" w14:paraId="0CFF4584" w14:textId="77777777" w:rsidTr="00EE0E23">
        <w:tc>
          <w:tcPr>
            <w:tcW w:w="2662" w:type="dxa"/>
            <w:shd w:val="clear" w:color="auto" w:fill="auto"/>
          </w:tcPr>
          <w:p w14:paraId="12E421EE" w14:textId="77777777" w:rsidR="00BC6C8B" w:rsidRPr="0066690C" w:rsidRDefault="00BC6C8B" w:rsidP="00EE0E23">
            <w:pPr>
              <w:rPr>
                <w:rFonts w:ascii="Times New Roman" w:hAnsi="Times New Roman" w:cs="Times New Roman"/>
              </w:rPr>
            </w:pPr>
            <w:r w:rsidRPr="0066690C">
              <w:rPr>
                <w:rFonts w:ascii="Times New Roman" w:hAnsi="Times New Roman" w:cs="Times New Roman"/>
              </w:rPr>
              <w:t>Accès des populations rurales aux services de base</w:t>
            </w:r>
          </w:p>
        </w:tc>
        <w:tc>
          <w:tcPr>
            <w:tcW w:w="2408" w:type="dxa"/>
            <w:shd w:val="clear" w:color="auto" w:fill="auto"/>
          </w:tcPr>
          <w:p w14:paraId="54F65F95" w14:textId="77777777" w:rsidR="00BC6C8B" w:rsidRPr="0066690C" w:rsidRDefault="00BC6C8B" w:rsidP="00EE0E23">
            <w:pPr>
              <w:spacing w:after="0" w:line="240" w:lineRule="auto"/>
              <w:jc w:val="both"/>
              <w:rPr>
                <w:rFonts w:ascii="Times New Roman" w:hAnsi="Times New Roman" w:cs="Times New Roman"/>
              </w:rPr>
            </w:pPr>
            <w:r w:rsidRPr="0066690C">
              <w:rPr>
                <w:rFonts w:ascii="Times New Roman" w:hAnsi="Times New Roman" w:cs="Times New Roman"/>
              </w:rPr>
              <w:t>Valorisation</w:t>
            </w:r>
            <w:r>
              <w:rPr>
                <w:rFonts w:ascii="Times New Roman" w:hAnsi="Times New Roman" w:cs="Times New Roman"/>
              </w:rPr>
              <w:t xml:space="preserve"> </w:t>
            </w:r>
            <w:r w:rsidRPr="0066690C">
              <w:rPr>
                <w:rFonts w:ascii="Times New Roman" w:hAnsi="Times New Roman" w:cs="Times New Roman"/>
              </w:rPr>
              <w:t>des matériaux locaux</w:t>
            </w:r>
          </w:p>
          <w:p w14:paraId="0ABDB2D8" w14:textId="77777777" w:rsidR="00BC6C8B" w:rsidRPr="0066690C" w:rsidRDefault="00BC6C8B" w:rsidP="00EE0E23">
            <w:pPr>
              <w:spacing w:after="0" w:line="240" w:lineRule="auto"/>
              <w:rPr>
                <w:rFonts w:ascii="Times New Roman" w:hAnsi="Times New Roman" w:cs="Times New Roman"/>
              </w:rPr>
            </w:pPr>
            <w:r w:rsidRPr="0066690C">
              <w:rPr>
                <w:rFonts w:ascii="Times New Roman" w:hAnsi="Times New Roman" w:cs="Times New Roman"/>
              </w:rPr>
              <w:t>Construction de logements en matériaux locaux </w:t>
            </w:r>
          </w:p>
          <w:p w14:paraId="2A82C889" w14:textId="77777777" w:rsidR="00BC6C8B" w:rsidRPr="0066690C" w:rsidRDefault="00BC6C8B" w:rsidP="00EE0E23">
            <w:pPr>
              <w:rPr>
                <w:rFonts w:ascii="Times New Roman" w:hAnsi="Times New Roman" w:cs="Times New Roman"/>
              </w:rPr>
            </w:pPr>
            <w:r w:rsidRPr="0066690C">
              <w:rPr>
                <w:rFonts w:ascii="Times New Roman" w:hAnsi="Times New Roman" w:cs="Times New Roman"/>
              </w:rPr>
              <w:t>Lutte contre les GES</w:t>
            </w:r>
          </w:p>
        </w:tc>
        <w:tc>
          <w:tcPr>
            <w:tcW w:w="4361" w:type="dxa"/>
            <w:shd w:val="clear" w:color="auto" w:fill="auto"/>
          </w:tcPr>
          <w:p w14:paraId="7653EEDB" w14:textId="77777777" w:rsidR="00BC6C8B" w:rsidRPr="0066690C" w:rsidRDefault="00BC6C8B" w:rsidP="00EE0E23">
            <w:pPr>
              <w:ind w:left="64"/>
              <w:jc w:val="both"/>
              <w:rPr>
                <w:rFonts w:ascii="Times New Roman" w:hAnsi="Times New Roman" w:cs="Times New Roman"/>
              </w:rPr>
            </w:pPr>
            <w:r w:rsidRPr="0066690C">
              <w:rPr>
                <w:rFonts w:ascii="Times New Roman" w:hAnsi="Times New Roman" w:cs="Times New Roman"/>
              </w:rPr>
              <w:t>Travaux d’extension et de renforcement de la digue de protection de la ville d’Akjoujt</w:t>
            </w:r>
          </w:p>
        </w:tc>
      </w:tr>
      <w:tr w:rsidR="00BC6C8B" w:rsidRPr="0066690C" w14:paraId="50F06D1B" w14:textId="77777777" w:rsidTr="00EE0E23">
        <w:trPr>
          <w:trHeight w:val="280"/>
        </w:trPr>
        <w:tc>
          <w:tcPr>
            <w:tcW w:w="2662" w:type="dxa"/>
            <w:shd w:val="clear" w:color="auto" w:fill="auto"/>
          </w:tcPr>
          <w:p w14:paraId="381A9978" w14:textId="77777777" w:rsidR="00BC6C8B" w:rsidRPr="0066690C" w:rsidRDefault="00BC6C8B" w:rsidP="00EE0E23">
            <w:pPr>
              <w:rPr>
                <w:rFonts w:ascii="Times New Roman" w:hAnsi="Times New Roman" w:cs="Times New Roman"/>
              </w:rPr>
            </w:pPr>
          </w:p>
        </w:tc>
        <w:tc>
          <w:tcPr>
            <w:tcW w:w="2408" w:type="dxa"/>
            <w:shd w:val="clear" w:color="auto" w:fill="auto"/>
          </w:tcPr>
          <w:p w14:paraId="6F7E5321" w14:textId="77777777" w:rsidR="00BC6C8B" w:rsidRPr="0066690C" w:rsidRDefault="00BC6C8B" w:rsidP="00EE0E23">
            <w:pPr>
              <w:spacing w:after="0" w:line="240" w:lineRule="auto"/>
              <w:jc w:val="both"/>
              <w:rPr>
                <w:rFonts w:ascii="Times New Roman" w:hAnsi="Times New Roman" w:cs="Times New Roman"/>
              </w:rPr>
            </w:pPr>
            <w:r w:rsidRPr="0066690C">
              <w:rPr>
                <w:rFonts w:ascii="Times New Roman" w:hAnsi="Times New Roman" w:cs="Times New Roman"/>
              </w:rPr>
              <w:t>Promotion de villes et cités résilientes</w:t>
            </w:r>
          </w:p>
        </w:tc>
        <w:tc>
          <w:tcPr>
            <w:tcW w:w="4361" w:type="dxa"/>
            <w:shd w:val="clear" w:color="auto" w:fill="auto"/>
          </w:tcPr>
          <w:p w14:paraId="5C47FE37" w14:textId="77777777" w:rsidR="00BC6C8B" w:rsidRPr="0066690C" w:rsidRDefault="00BC6C8B" w:rsidP="00EE0E23">
            <w:pPr>
              <w:rPr>
                <w:rFonts w:ascii="Times New Roman" w:hAnsi="Times New Roman" w:cs="Times New Roman"/>
              </w:rPr>
            </w:pPr>
          </w:p>
        </w:tc>
      </w:tr>
      <w:tr w:rsidR="00BC6C8B" w:rsidRPr="0066690C" w14:paraId="05BC046C" w14:textId="77777777" w:rsidTr="00EE0E23">
        <w:tc>
          <w:tcPr>
            <w:tcW w:w="2662" w:type="dxa"/>
            <w:shd w:val="clear" w:color="auto" w:fill="auto"/>
          </w:tcPr>
          <w:p w14:paraId="32967894" w14:textId="77777777" w:rsidR="00BC6C8B" w:rsidRPr="0066690C" w:rsidRDefault="00BC6C8B" w:rsidP="00EE0E23">
            <w:pPr>
              <w:rPr>
                <w:rFonts w:ascii="Times New Roman" w:hAnsi="Times New Roman" w:cs="Times New Roman"/>
              </w:rPr>
            </w:pPr>
          </w:p>
        </w:tc>
        <w:tc>
          <w:tcPr>
            <w:tcW w:w="2408" w:type="dxa"/>
            <w:shd w:val="clear" w:color="auto" w:fill="auto"/>
          </w:tcPr>
          <w:p w14:paraId="519CA274" w14:textId="77777777" w:rsidR="00BC6C8B" w:rsidRPr="0066690C" w:rsidRDefault="00BC6C8B" w:rsidP="00EE0E23">
            <w:pPr>
              <w:spacing w:after="0" w:line="240" w:lineRule="auto"/>
              <w:jc w:val="both"/>
              <w:rPr>
                <w:rFonts w:ascii="Times New Roman" w:hAnsi="Times New Roman" w:cs="Times New Roman"/>
              </w:rPr>
            </w:pPr>
            <w:r w:rsidRPr="0066690C">
              <w:rPr>
                <w:rFonts w:ascii="Times New Roman" w:hAnsi="Times New Roman" w:cs="Times New Roman"/>
              </w:rPr>
              <w:t>Développement d’espaces verts et de parcs récréatifs</w:t>
            </w:r>
          </w:p>
        </w:tc>
        <w:tc>
          <w:tcPr>
            <w:tcW w:w="4361" w:type="dxa"/>
            <w:shd w:val="clear" w:color="auto" w:fill="auto"/>
          </w:tcPr>
          <w:p w14:paraId="01110A12" w14:textId="77777777" w:rsidR="00BC6C8B" w:rsidRPr="0066690C" w:rsidRDefault="00BC6C8B" w:rsidP="00EE0E23">
            <w:pPr>
              <w:rPr>
                <w:rFonts w:ascii="Times New Roman" w:hAnsi="Times New Roman" w:cs="Times New Roman"/>
              </w:rPr>
            </w:pPr>
          </w:p>
        </w:tc>
      </w:tr>
    </w:tbl>
    <w:p w14:paraId="19025956" w14:textId="77777777" w:rsidR="00BC6C8B" w:rsidRDefault="00BC6C8B" w:rsidP="00BC6C8B">
      <w:pPr>
        <w:keepNext/>
        <w:keepLines/>
        <w:spacing w:before="40" w:after="0" w:line="240" w:lineRule="auto"/>
        <w:outlineLvl w:val="2"/>
        <w:rPr>
          <w:rFonts w:ascii="Calibri Light" w:eastAsia="Times New Roman" w:hAnsi="Calibri Light" w:cs="Times New Roman"/>
          <w:color w:val="1F4D78"/>
          <w:sz w:val="24"/>
          <w:szCs w:val="24"/>
        </w:rPr>
      </w:pPr>
      <w:bookmarkStart w:id="472" w:name="_Toc142911922"/>
    </w:p>
    <w:p w14:paraId="0A29FCC3" w14:textId="77777777" w:rsidR="00BC6C8B" w:rsidRDefault="00BC6C8B" w:rsidP="00BC6C8B">
      <w:pPr>
        <w:keepNext/>
        <w:keepLines/>
        <w:spacing w:before="40" w:after="0" w:line="240" w:lineRule="auto"/>
        <w:outlineLvl w:val="2"/>
        <w:rPr>
          <w:rFonts w:ascii="Calibri Light" w:eastAsia="Times New Roman" w:hAnsi="Calibri Light" w:cs="Times New Roman"/>
          <w:color w:val="1F4D78"/>
          <w:sz w:val="24"/>
          <w:szCs w:val="24"/>
        </w:rPr>
      </w:pPr>
    </w:p>
    <w:p w14:paraId="07D2881C" w14:textId="77777777" w:rsidR="00BC6C8B" w:rsidRDefault="00BC6C8B" w:rsidP="00BC6C8B">
      <w:pPr>
        <w:keepNext/>
        <w:keepLines/>
        <w:spacing w:before="40" w:after="0" w:line="240" w:lineRule="auto"/>
        <w:outlineLvl w:val="2"/>
        <w:rPr>
          <w:rFonts w:ascii="Calibri Light" w:eastAsia="Times New Roman" w:hAnsi="Calibri Light" w:cs="Times New Roman"/>
          <w:color w:val="1F4D78"/>
          <w:sz w:val="24"/>
          <w:szCs w:val="24"/>
        </w:rPr>
      </w:pPr>
    </w:p>
    <w:p w14:paraId="32BC59D8" w14:textId="77777777" w:rsidR="00BC6C8B" w:rsidRDefault="00BC6C8B" w:rsidP="00BC6C8B">
      <w:pPr>
        <w:keepNext/>
        <w:keepLines/>
        <w:spacing w:before="40" w:after="0" w:line="240" w:lineRule="auto"/>
        <w:outlineLvl w:val="2"/>
        <w:rPr>
          <w:rFonts w:ascii="Calibri Light" w:eastAsia="Times New Roman" w:hAnsi="Calibri Light" w:cs="Times New Roman"/>
          <w:color w:val="1F4D78"/>
          <w:sz w:val="24"/>
          <w:szCs w:val="24"/>
        </w:rPr>
      </w:pPr>
    </w:p>
    <w:p w14:paraId="7ECF7DED" w14:textId="77777777" w:rsidR="00BC6C8B" w:rsidRDefault="00BC6C8B" w:rsidP="00BC6C8B">
      <w:pPr>
        <w:keepNext/>
        <w:keepLines/>
        <w:spacing w:before="40" w:after="0" w:line="240" w:lineRule="auto"/>
        <w:outlineLvl w:val="2"/>
        <w:rPr>
          <w:rFonts w:ascii="Calibri Light" w:eastAsia="Times New Roman" w:hAnsi="Calibri Light" w:cs="Times New Roman"/>
          <w:color w:val="1F4D78"/>
          <w:sz w:val="24"/>
          <w:szCs w:val="24"/>
        </w:rPr>
      </w:pPr>
      <w:r w:rsidRPr="00270077">
        <w:rPr>
          <w:rFonts w:ascii="Calibri Light" w:eastAsia="Times New Roman" w:hAnsi="Calibri Light" w:cs="Times New Roman"/>
          <w:color w:val="1F4D78"/>
          <w:sz w:val="24"/>
          <w:szCs w:val="24"/>
        </w:rPr>
        <w:t xml:space="preserve"> </w:t>
      </w:r>
    </w:p>
    <w:p w14:paraId="791EE3EE" w14:textId="77777777" w:rsidR="00BC6C8B" w:rsidRDefault="00BC6C8B" w:rsidP="00BC6C8B">
      <w:pPr>
        <w:rPr>
          <w:rFonts w:ascii="Calibri Light" w:eastAsia="Times New Roman" w:hAnsi="Calibri Light" w:cs="Times New Roman"/>
          <w:color w:val="1F4D78"/>
          <w:sz w:val="24"/>
          <w:szCs w:val="24"/>
        </w:rPr>
      </w:pPr>
      <w:r>
        <w:rPr>
          <w:rFonts w:ascii="Calibri Light" w:eastAsia="Times New Roman" w:hAnsi="Calibri Light" w:cs="Times New Roman"/>
          <w:color w:val="1F4D78"/>
          <w:sz w:val="24"/>
          <w:szCs w:val="24"/>
        </w:rPr>
        <w:br w:type="page"/>
      </w:r>
    </w:p>
    <w:p w14:paraId="311B24F6" w14:textId="77777777" w:rsidR="00BC6C8B" w:rsidRPr="00395414" w:rsidRDefault="00BC6C8B" w:rsidP="00BC6C8B">
      <w:pPr>
        <w:keepNext/>
        <w:keepLines/>
        <w:spacing w:before="40" w:after="0" w:line="240" w:lineRule="auto"/>
        <w:outlineLvl w:val="2"/>
        <w:rPr>
          <w:rFonts w:ascii="Times New Roman" w:eastAsia="Times New Roman" w:hAnsi="Times New Roman" w:cs="Times New Roman"/>
          <w:b/>
          <w:bCs/>
          <w:color w:val="1F4D78"/>
          <w:sz w:val="28"/>
          <w:szCs w:val="28"/>
        </w:rPr>
      </w:pPr>
      <w:r w:rsidRPr="00395414">
        <w:rPr>
          <w:rFonts w:ascii="Calibri Light" w:eastAsia="Times New Roman" w:hAnsi="Calibri Light" w:cs="Times New Roman"/>
          <w:b/>
          <w:bCs/>
          <w:color w:val="1F4D78"/>
          <w:sz w:val="28"/>
          <w:szCs w:val="28"/>
        </w:rPr>
        <w:t>Matrice globale du plan d’action de mise en œuvre de la CDN</w:t>
      </w:r>
      <w:bookmarkEnd w:id="472"/>
    </w:p>
    <w:p w14:paraId="7965C2D0" w14:textId="77777777" w:rsidR="00BC6C8B" w:rsidRPr="00270077" w:rsidRDefault="00BC6C8B" w:rsidP="00BC6C8B">
      <w:pPr>
        <w:spacing w:line="240" w:lineRule="auto"/>
        <w:rPr>
          <w:rFonts w:ascii="Times New Roman" w:eastAsia="Calibri" w:hAnsi="Times New Roman" w:cs="Times New Roman"/>
          <w:i/>
          <w:iCs/>
          <w:color w:val="44546A"/>
          <w:sz w:val="18"/>
          <w:szCs w:val="18"/>
        </w:rPr>
      </w:pPr>
      <w:bookmarkStart w:id="473" w:name="_Toc142911929"/>
      <w:r w:rsidRPr="00270077">
        <w:rPr>
          <w:rFonts w:ascii="Calibri" w:eastAsia="Calibri" w:hAnsi="Calibri" w:cs="Arial"/>
          <w:i/>
          <w:iCs/>
          <w:color w:val="44546A"/>
          <w:sz w:val="18"/>
          <w:szCs w:val="18"/>
        </w:rPr>
        <w:t xml:space="preserve">Tableau </w:t>
      </w:r>
      <w:r w:rsidRPr="00270077">
        <w:rPr>
          <w:rFonts w:ascii="Calibri" w:eastAsia="Calibri" w:hAnsi="Calibri" w:cs="Arial"/>
          <w:i/>
          <w:iCs/>
          <w:color w:val="44546A"/>
          <w:sz w:val="18"/>
          <w:szCs w:val="18"/>
        </w:rPr>
        <w:fldChar w:fldCharType="begin"/>
      </w:r>
      <w:r w:rsidRPr="00270077">
        <w:rPr>
          <w:rFonts w:ascii="Calibri" w:eastAsia="Calibri" w:hAnsi="Calibri" w:cs="Arial"/>
          <w:i/>
          <w:iCs/>
          <w:color w:val="44546A"/>
          <w:sz w:val="18"/>
          <w:szCs w:val="18"/>
        </w:rPr>
        <w:instrText xml:space="preserve"> SEQ Tableau \* ARABIC </w:instrText>
      </w:r>
      <w:r w:rsidRPr="00270077">
        <w:rPr>
          <w:rFonts w:ascii="Calibri" w:eastAsia="Calibri" w:hAnsi="Calibri" w:cs="Arial"/>
          <w:i/>
          <w:iCs/>
          <w:color w:val="44546A"/>
          <w:sz w:val="18"/>
          <w:szCs w:val="18"/>
        </w:rPr>
        <w:fldChar w:fldCharType="separate"/>
      </w:r>
      <w:r>
        <w:rPr>
          <w:rFonts w:ascii="Calibri" w:eastAsia="Calibri" w:hAnsi="Calibri" w:cs="Arial"/>
          <w:i/>
          <w:iCs/>
          <w:noProof/>
          <w:color w:val="44546A"/>
          <w:sz w:val="18"/>
          <w:szCs w:val="18"/>
        </w:rPr>
        <w:t>7</w:t>
      </w:r>
      <w:r w:rsidRPr="00270077">
        <w:rPr>
          <w:rFonts w:ascii="Calibri" w:eastAsia="Calibri" w:hAnsi="Calibri" w:cs="Arial"/>
          <w:i/>
          <w:iCs/>
          <w:noProof/>
          <w:color w:val="44546A"/>
          <w:sz w:val="18"/>
          <w:szCs w:val="18"/>
        </w:rPr>
        <w:fldChar w:fldCharType="end"/>
      </w:r>
      <w:r w:rsidRPr="00270077">
        <w:rPr>
          <w:rFonts w:ascii="Calibri" w:eastAsia="Calibri" w:hAnsi="Calibri" w:cs="Arial"/>
          <w:i/>
          <w:iCs/>
          <w:color w:val="44546A"/>
          <w:sz w:val="18"/>
          <w:szCs w:val="18"/>
        </w:rPr>
        <w:t xml:space="preserve">: Matrice globale de mise en œuvre de la CDN-Coûts et </w:t>
      </w:r>
      <w:bookmarkEnd w:id="473"/>
      <w:r w:rsidRPr="00270077">
        <w:rPr>
          <w:rFonts w:ascii="Calibri" w:eastAsia="Calibri" w:hAnsi="Calibri" w:cs="Arial"/>
          <w:i/>
          <w:iCs/>
          <w:color w:val="44546A"/>
          <w:sz w:val="18"/>
          <w:szCs w:val="18"/>
        </w:rPr>
        <w:t>bénéfices</w:t>
      </w:r>
    </w:p>
    <w:tbl>
      <w:tblPr>
        <w:tblW w:w="1042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182"/>
        <w:gridCol w:w="1450"/>
        <w:gridCol w:w="1072"/>
        <w:gridCol w:w="4173"/>
      </w:tblGrid>
      <w:tr w:rsidR="00BC6C8B" w:rsidRPr="009A2F7C" w14:paraId="3E958DDC" w14:textId="77777777" w:rsidTr="00EE0E23">
        <w:trPr>
          <w:trHeight w:val="1357"/>
        </w:trPr>
        <w:tc>
          <w:tcPr>
            <w:tcW w:w="2552" w:type="dxa"/>
            <w:shd w:val="clear" w:color="auto" w:fill="auto"/>
          </w:tcPr>
          <w:p w14:paraId="4FEF9069" w14:textId="77777777" w:rsidR="00BC6C8B" w:rsidRPr="009A2F7C" w:rsidRDefault="00BC6C8B" w:rsidP="00EE0E23">
            <w:pPr>
              <w:rPr>
                <w:rFonts w:ascii="Times New Roman" w:hAnsi="Times New Roman" w:cs="Times New Roman"/>
                <w:b/>
                <w:bCs/>
              </w:rPr>
            </w:pPr>
            <w:r w:rsidRPr="009A2F7C">
              <w:rPr>
                <w:rFonts w:ascii="Times New Roman" w:hAnsi="Times New Roman" w:cs="Times New Roman"/>
                <w:b/>
                <w:bCs/>
              </w:rPr>
              <w:t>Actions de la CDN : Horizon 2030</w:t>
            </w:r>
          </w:p>
        </w:tc>
        <w:tc>
          <w:tcPr>
            <w:tcW w:w="1182" w:type="dxa"/>
            <w:shd w:val="clear" w:color="auto" w:fill="auto"/>
          </w:tcPr>
          <w:p w14:paraId="3483E6E2" w14:textId="77777777" w:rsidR="00BC6C8B" w:rsidRPr="009A2F7C" w:rsidRDefault="00BC6C8B" w:rsidP="00EE0E23">
            <w:pPr>
              <w:spacing w:after="0" w:line="240" w:lineRule="auto"/>
              <w:ind w:right="-62"/>
              <w:rPr>
                <w:rFonts w:ascii="Times New Roman" w:hAnsi="Times New Roman" w:cs="Times New Roman"/>
                <w:b/>
                <w:bCs/>
              </w:rPr>
            </w:pPr>
            <w:r w:rsidRPr="009A2F7C">
              <w:rPr>
                <w:rFonts w:ascii="Times New Roman" w:hAnsi="Times New Roman" w:cs="Times New Roman"/>
                <w:b/>
                <w:bCs/>
              </w:rPr>
              <w:t>Réf. Stratégies du secteur (SCAPP, etc…)</w:t>
            </w:r>
          </w:p>
        </w:tc>
        <w:tc>
          <w:tcPr>
            <w:tcW w:w="1450" w:type="dxa"/>
            <w:shd w:val="clear" w:color="auto" w:fill="auto"/>
          </w:tcPr>
          <w:p w14:paraId="433D44AB" w14:textId="77777777" w:rsidR="00BC6C8B" w:rsidRPr="009A2F7C" w:rsidRDefault="00BC6C8B" w:rsidP="00EE0E23">
            <w:pPr>
              <w:spacing w:after="0" w:line="240" w:lineRule="auto"/>
              <w:rPr>
                <w:rFonts w:ascii="Times New Roman" w:hAnsi="Times New Roman" w:cs="Times New Roman"/>
                <w:b/>
                <w:bCs/>
              </w:rPr>
            </w:pPr>
            <w:r w:rsidRPr="009A2F7C">
              <w:rPr>
                <w:rFonts w:ascii="Times New Roman" w:hAnsi="Times New Roman" w:cs="Times New Roman"/>
                <w:b/>
                <w:bCs/>
              </w:rPr>
              <w:t>Réf. Stratégies du secteur (SCAPP, etc…)</w:t>
            </w:r>
          </w:p>
        </w:tc>
        <w:tc>
          <w:tcPr>
            <w:tcW w:w="1072" w:type="dxa"/>
            <w:shd w:val="clear" w:color="auto" w:fill="auto"/>
          </w:tcPr>
          <w:p w14:paraId="2080226C" w14:textId="77777777" w:rsidR="00BC6C8B" w:rsidRPr="009A2F7C" w:rsidRDefault="00BC6C8B" w:rsidP="00EE0E23">
            <w:pPr>
              <w:spacing w:after="0" w:line="240" w:lineRule="auto"/>
              <w:rPr>
                <w:rFonts w:ascii="Times New Roman" w:hAnsi="Times New Roman" w:cs="Times New Roman"/>
                <w:b/>
                <w:bCs/>
              </w:rPr>
            </w:pPr>
            <w:r w:rsidRPr="009A2F7C">
              <w:rPr>
                <w:rFonts w:ascii="Times New Roman" w:hAnsi="Times New Roman" w:cs="Times New Roman"/>
                <w:b/>
                <w:bCs/>
              </w:rPr>
              <w:t>ODD principal visé / ODD indirects</w:t>
            </w:r>
          </w:p>
        </w:tc>
        <w:tc>
          <w:tcPr>
            <w:tcW w:w="4173" w:type="dxa"/>
            <w:shd w:val="clear" w:color="auto" w:fill="auto"/>
          </w:tcPr>
          <w:p w14:paraId="6EB55BF4" w14:textId="77777777" w:rsidR="00BC6C8B" w:rsidRPr="009A2F7C" w:rsidRDefault="00BC6C8B" w:rsidP="00EE0E23">
            <w:pPr>
              <w:rPr>
                <w:rFonts w:ascii="Times New Roman" w:hAnsi="Times New Roman" w:cs="Times New Roman"/>
                <w:b/>
                <w:bCs/>
              </w:rPr>
            </w:pPr>
            <w:r w:rsidRPr="009A2F7C">
              <w:rPr>
                <w:rFonts w:ascii="Times New Roman" w:hAnsi="Times New Roman" w:cs="Times New Roman"/>
                <w:b/>
                <w:bCs/>
              </w:rPr>
              <w:t>Coûts-Bénéfices et rapport Bénéfice/coût</w:t>
            </w:r>
          </w:p>
        </w:tc>
      </w:tr>
      <w:tr w:rsidR="00BC6C8B" w:rsidRPr="009A2F7C" w14:paraId="45EF6E43" w14:textId="77777777" w:rsidTr="00EE0E23">
        <w:trPr>
          <w:trHeight w:val="3553"/>
        </w:trPr>
        <w:tc>
          <w:tcPr>
            <w:tcW w:w="2552" w:type="dxa"/>
            <w:shd w:val="clear" w:color="auto" w:fill="auto"/>
          </w:tcPr>
          <w:p w14:paraId="0A701242" w14:textId="77777777" w:rsidR="00BC6C8B" w:rsidRDefault="00BC6C8B" w:rsidP="00EE0E23">
            <w:pPr>
              <w:rPr>
                <w:rFonts w:ascii="Times New Roman" w:hAnsi="Times New Roman" w:cs="Times New Roman"/>
                <w:b/>
                <w:bCs/>
                <w:color w:val="000000"/>
              </w:rPr>
            </w:pPr>
            <w:r w:rsidRPr="009A2F7C">
              <w:rPr>
                <w:rFonts w:ascii="Times New Roman" w:hAnsi="Times New Roman" w:cs="Times New Roman"/>
                <w:b/>
                <w:bCs/>
                <w:color w:val="000000"/>
              </w:rPr>
              <w:t>Amélioration de l’accès au logement des groupes vulnérables</w:t>
            </w:r>
            <w:r>
              <w:rPr>
                <w:rFonts w:ascii="Times New Roman" w:hAnsi="Times New Roman" w:cs="Times New Roman"/>
                <w:b/>
                <w:bCs/>
                <w:color w:val="000000"/>
              </w:rPr>
              <w:t xml:space="preserve"> </w:t>
            </w:r>
            <w:r w:rsidRPr="009A2F7C">
              <w:rPr>
                <w:rFonts w:ascii="Times New Roman" w:hAnsi="Times New Roman" w:cs="Times New Roman"/>
                <w:b/>
                <w:bCs/>
                <w:color w:val="000000"/>
              </w:rPr>
              <w:t xml:space="preserve">: </w:t>
            </w:r>
          </w:p>
          <w:p w14:paraId="08791F95" w14:textId="77777777" w:rsidR="00BC6C8B" w:rsidRPr="00095766" w:rsidRDefault="00BC6C8B" w:rsidP="00BC6C8B">
            <w:pPr>
              <w:pStyle w:val="Paragraphedeliste"/>
              <w:numPr>
                <w:ilvl w:val="1"/>
                <w:numId w:val="452"/>
              </w:numPr>
              <w:spacing w:after="200" w:line="276" w:lineRule="auto"/>
              <w:ind w:left="172" w:hanging="218"/>
              <w:rPr>
                <w:rFonts w:ascii="Times New Roman" w:hAnsi="Times New Roman" w:cs="Times New Roman"/>
                <w:color w:val="000000"/>
              </w:rPr>
            </w:pPr>
            <w:r w:rsidRPr="00095766">
              <w:rPr>
                <w:rFonts w:ascii="Times New Roman" w:hAnsi="Times New Roman" w:cs="Times New Roman"/>
                <w:color w:val="000000"/>
              </w:rPr>
              <w:t xml:space="preserve">Regroupement de 47 localités dans la wilaya du Hodh Echargui, </w:t>
            </w:r>
          </w:p>
          <w:p w14:paraId="29BD540C" w14:textId="77777777" w:rsidR="00BC6C8B" w:rsidRPr="00095766" w:rsidRDefault="00BC6C8B" w:rsidP="00BC6C8B">
            <w:pPr>
              <w:pStyle w:val="Paragraphedeliste"/>
              <w:numPr>
                <w:ilvl w:val="1"/>
                <w:numId w:val="452"/>
              </w:numPr>
              <w:spacing w:after="200" w:line="276" w:lineRule="auto"/>
              <w:ind w:left="172" w:right="-185" w:hanging="218"/>
              <w:rPr>
                <w:rFonts w:ascii="Times New Roman" w:hAnsi="Times New Roman" w:cs="Times New Roman"/>
              </w:rPr>
            </w:pPr>
            <w:r w:rsidRPr="00095766">
              <w:rPr>
                <w:rFonts w:ascii="Times New Roman" w:hAnsi="Times New Roman" w:cs="Times New Roman"/>
                <w:color w:val="000000"/>
              </w:rPr>
              <w:t xml:space="preserve"> Regroupement de 33 localités dans les wilayas du Gorgol, de</w:t>
            </w:r>
            <w:r>
              <w:rPr>
                <w:rFonts w:ascii="Times New Roman" w:hAnsi="Times New Roman" w:cs="Times New Roman"/>
                <w:color w:val="000000"/>
              </w:rPr>
              <w:t xml:space="preserve"> </w:t>
            </w:r>
            <w:r w:rsidRPr="00095766">
              <w:rPr>
                <w:rFonts w:ascii="Times New Roman" w:hAnsi="Times New Roman" w:cs="Times New Roman"/>
                <w:color w:val="000000"/>
              </w:rPr>
              <w:t>l'Adrar, du Trarza et de l'Assaba)</w:t>
            </w:r>
          </w:p>
        </w:tc>
        <w:tc>
          <w:tcPr>
            <w:tcW w:w="1182" w:type="dxa"/>
            <w:shd w:val="clear" w:color="auto" w:fill="auto"/>
          </w:tcPr>
          <w:p w14:paraId="5F4E1DAF" w14:textId="77777777" w:rsidR="00BC6C8B" w:rsidRPr="009A2F7C" w:rsidRDefault="00BC6C8B" w:rsidP="00EE0E23">
            <w:pPr>
              <w:spacing w:after="240"/>
              <w:rPr>
                <w:rFonts w:ascii="Times New Roman" w:hAnsi="Times New Roman" w:cs="Times New Roman"/>
                <w:b/>
                <w:bCs/>
                <w:color w:val="0070C0"/>
                <w:lang w:val="en-US"/>
              </w:rPr>
            </w:pPr>
            <w:proofErr w:type="gramStart"/>
            <w:r w:rsidRPr="009A2F7C">
              <w:rPr>
                <w:rFonts w:ascii="Times New Roman" w:hAnsi="Times New Roman" w:cs="Times New Roman"/>
                <w:b/>
                <w:bCs/>
                <w:color w:val="0070C0"/>
              </w:rPr>
              <w:t>SCAPP:</w:t>
            </w:r>
            <w:proofErr w:type="gramEnd"/>
            <w:r w:rsidRPr="009A2F7C">
              <w:rPr>
                <w:rFonts w:ascii="Times New Roman" w:hAnsi="Times New Roman" w:cs="Times New Roman"/>
                <w:b/>
                <w:bCs/>
                <w:color w:val="0070C0"/>
              </w:rPr>
              <w:t xml:space="preserve"> </w:t>
            </w:r>
            <w:r w:rsidRPr="009A2F7C">
              <w:rPr>
                <w:rFonts w:ascii="Times New Roman" w:hAnsi="Times New Roman" w:cs="Times New Roman"/>
              </w:rPr>
              <w:t>Levier stratégique 1, 2 et 3</w:t>
            </w:r>
          </w:p>
          <w:p w14:paraId="52D5ADCC" w14:textId="77777777" w:rsidR="00BC6C8B" w:rsidRPr="009A2F7C" w:rsidRDefault="00BC6C8B" w:rsidP="00EE0E23">
            <w:pPr>
              <w:rPr>
                <w:rFonts w:ascii="Times New Roman" w:hAnsi="Times New Roman" w:cs="Times New Roman"/>
              </w:rPr>
            </w:pPr>
          </w:p>
        </w:tc>
        <w:tc>
          <w:tcPr>
            <w:tcW w:w="1450" w:type="dxa"/>
            <w:shd w:val="clear" w:color="auto" w:fill="auto"/>
          </w:tcPr>
          <w:p w14:paraId="6A79422C" w14:textId="77777777" w:rsidR="00BC6C8B" w:rsidRPr="009A2F7C" w:rsidRDefault="00BC6C8B" w:rsidP="00EE0E23">
            <w:pPr>
              <w:spacing w:after="240"/>
              <w:rPr>
                <w:rFonts w:ascii="Times New Roman" w:hAnsi="Times New Roman" w:cs="Times New Roman"/>
              </w:rPr>
            </w:pPr>
            <w:proofErr w:type="gramStart"/>
            <w:r w:rsidRPr="009A2F7C">
              <w:rPr>
                <w:rFonts w:ascii="Times New Roman" w:hAnsi="Times New Roman" w:cs="Times New Roman"/>
                <w:b/>
                <w:bCs/>
                <w:color w:val="0066CC"/>
              </w:rPr>
              <w:t>CDN:</w:t>
            </w:r>
            <w:proofErr w:type="gramEnd"/>
            <w:r w:rsidRPr="009A2F7C">
              <w:rPr>
                <w:rFonts w:ascii="Times New Roman" w:hAnsi="Times New Roman" w:cs="Times New Roman"/>
                <w:b/>
                <w:bCs/>
                <w:color w:val="0066CC"/>
              </w:rPr>
              <w:t xml:space="preserve"> </w:t>
            </w:r>
            <w:r w:rsidRPr="009A2F7C">
              <w:rPr>
                <w:rFonts w:ascii="Times New Roman" w:hAnsi="Times New Roman" w:cs="Times New Roman"/>
              </w:rPr>
              <w:t>Liste des actions d’adaptation proposées par le secteur (</w:t>
            </w:r>
            <w:proofErr w:type="gramStart"/>
            <w:r w:rsidRPr="009A2F7C">
              <w:rPr>
                <w:rFonts w:ascii="Times New Roman" w:hAnsi="Times New Roman" w:cs="Times New Roman"/>
              </w:rPr>
              <w:t>p:</w:t>
            </w:r>
            <w:proofErr w:type="gramEnd"/>
            <w:r w:rsidRPr="009A2F7C">
              <w:rPr>
                <w:rFonts w:ascii="Times New Roman" w:hAnsi="Times New Roman" w:cs="Times New Roman"/>
              </w:rPr>
              <w:t>63)</w:t>
            </w:r>
          </w:p>
          <w:p w14:paraId="48EC94BC" w14:textId="77777777" w:rsidR="00BC6C8B" w:rsidRPr="009A2F7C" w:rsidRDefault="00BC6C8B" w:rsidP="00EE0E23">
            <w:pPr>
              <w:rPr>
                <w:rFonts w:ascii="Times New Roman" w:hAnsi="Times New Roman" w:cs="Times New Roman"/>
              </w:rPr>
            </w:pPr>
          </w:p>
        </w:tc>
        <w:tc>
          <w:tcPr>
            <w:tcW w:w="1072" w:type="dxa"/>
            <w:shd w:val="clear" w:color="auto" w:fill="auto"/>
          </w:tcPr>
          <w:p w14:paraId="3712C8B7" w14:textId="77777777" w:rsidR="00BC6C8B" w:rsidRPr="009A2F7C" w:rsidRDefault="00BC6C8B" w:rsidP="00EE0E23">
            <w:pPr>
              <w:jc w:val="center"/>
              <w:rPr>
                <w:rFonts w:ascii="Times New Roman" w:hAnsi="Times New Roman" w:cs="Times New Roman"/>
                <w:color w:val="000000"/>
                <w:lang w:val="en-US"/>
              </w:rPr>
            </w:pPr>
            <w:r w:rsidRPr="009A2F7C">
              <w:rPr>
                <w:rFonts w:ascii="Times New Roman" w:hAnsi="Times New Roman" w:cs="Times New Roman"/>
                <w:color w:val="000000"/>
              </w:rPr>
              <w:t xml:space="preserve">ODD 4, 6 et 7 </w:t>
            </w:r>
          </w:p>
          <w:p w14:paraId="66AAD4D8" w14:textId="77777777" w:rsidR="00BC6C8B" w:rsidRPr="009A2F7C" w:rsidRDefault="00BC6C8B" w:rsidP="00EE0E23">
            <w:pPr>
              <w:rPr>
                <w:rFonts w:ascii="Times New Roman" w:hAnsi="Times New Roman" w:cs="Times New Roman"/>
              </w:rPr>
            </w:pPr>
          </w:p>
        </w:tc>
        <w:tc>
          <w:tcPr>
            <w:tcW w:w="4173" w:type="dxa"/>
            <w:shd w:val="clear" w:color="auto" w:fill="auto"/>
          </w:tcPr>
          <w:p w14:paraId="42B43D6F" w14:textId="77777777" w:rsidR="00BC6C8B" w:rsidRPr="00095766" w:rsidRDefault="00BC6C8B" w:rsidP="00BC6C8B">
            <w:pPr>
              <w:pStyle w:val="Paragraphedeliste"/>
              <w:numPr>
                <w:ilvl w:val="0"/>
                <w:numId w:val="480"/>
              </w:numPr>
              <w:spacing w:after="200" w:line="276" w:lineRule="auto"/>
              <w:ind w:left="234"/>
              <w:rPr>
                <w:rFonts w:ascii="Times New Roman" w:hAnsi="Times New Roman" w:cs="Times New Roman"/>
              </w:rPr>
            </w:pPr>
            <w:r w:rsidRPr="00095766">
              <w:rPr>
                <w:rFonts w:ascii="Times New Roman" w:hAnsi="Times New Roman" w:cs="Times New Roman"/>
                <w:color w:val="000000"/>
              </w:rPr>
              <w:t xml:space="preserve">La Restructuration des quartiers précaires dans les grandes villes a permis à des milliers de populations issues des groupes vulnérables à l'accès l'habitat et à la sécurité foncière    </w:t>
            </w:r>
          </w:p>
          <w:p w14:paraId="17A5926F" w14:textId="77777777" w:rsidR="00BC6C8B" w:rsidRPr="00095766" w:rsidRDefault="00BC6C8B" w:rsidP="00BC6C8B">
            <w:pPr>
              <w:pStyle w:val="Paragraphedeliste"/>
              <w:numPr>
                <w:ilvl w:val="0"/>
                <w:numId w:val="480"/>
              </w:numPr>
              <w:spacing w:after="0" w:line="276" w:lineRule="auto"/>
              <w:ind w:left="232" w:hanging="357"/>
              <w:contextualSpacing w:val="0"/>
              <w:rPr>
                <w:rFonts w:ascii="Times New Roman" w:hAnsi="Times New Roman" w:cs="Times New Roman"/>
              </w:rPr>
            </w:pPr>
            <w:r w:rsidRPr="00095766">
              <w:rPr>
                <w:rFonts w:ascii="Times New Roman" w:hAnsi="Times New Roman" w:cs="Times New Roman"/>
                <w:color w:val="000000"/>
              </w:rPr>
              <w:t>Regroupements de localités a permis de lutter contre la sédentarisation anarchique, tout en offrant aux populations rurales vulnérables l'accès aux services sociaux de base (éducation, santé, eau potable, énergie renouvelable, lotissement moderne), etc.,</w:t>
            </w:r>
          </w:p>
        </w:tc>
      </w:tr>
      <w:tr w:rsidR="00BC6C8B" w:rsidRPr="009A2F7C" w14:paraId="1A25FB88" w14:textId="77777777" w:rsidTr="00EE0E23">
        <w:trPr>
          <w:trHeight w:val="978"/>
        </w:trPr>
        <w:tc>
          <w:tcPr>
            <w:tcW w:w="2552" w:type="dxa"/>
            <w:shd w:val="clear" w:color="auto" w:fill="auto"/>
          </w:tcPr>
          <w:p w14:paraId="0D65D430" w14:textId="77777777" w:rsidR="00BC6C8B" w:rsidRDefault="00BC6C8B" w:rsidP="00EE0E23">
            <w:pPr>
              <w:ind w:right="-185"/>
              <w:rPr>
                <w:rFonts w:ascii="Times New Roman" w:hAnsi="Times New Roman" w:cs="Times New Roman"/>
                <w:color w:val="000000"/>
              </w:rPr>
            </w:pPr>
            <w:r w:rsidRPr="009A2F7C">
              <w:rPr>
                <w:rFonts w:ascii="Times New Roman" w:hAnsi="Times New Roman" w:cs="Times New Roman"/>
                <w:b/>
                <w:bCs/>
                <w:color w:val="000000"/>
              </w:rPr>
              <w:t>La viabilisation et la modernisation</w:t>
            </w:r>
            <w:r>
              <w:rPr>
                <w:rFonts w:ascii="Times New Roman" w:hAnsi="Times New Roman" w:cs="Times New Roman"/>
                <w:b/>
                <w:bCs/>
                <w:color w:val="000000"/>
              </w:rPr>
              <w:t xml:space="preserve"> </w:t>
            </w:r>
            <w:r w:rsidRPr="009A2F7C">
              <w:rPr>
                <w:rFonts w:ascii="Times New Roman" w:hAnsi="Times New Roman" w:cs="Times New Roman"/>
                <w:b/>
                <w:bCs/>
                <w:color w:val="000000"/>
              </w:rPr>
              <w:t xml:space="preserve">des villes et des </w:t>
            </w:r>
            <w:r>
              <w:rPr>
                <w:rFonts w:ascii="Times New Roman" w:hAnsi="Times New Roman" w:cs="Times New Roman"/>
                <w:b/>
                <w:bCs/>
                <w:color w:val="000000"/>
              </w:rPr>
              <w:t xml:space="preserve">cités </w:t>
            </w:r>
            <w:r w:rsidRPr="009A2F7C">
              <w:rPr>
                <w:rFonts w:ascii="Times New Roman" w:hAnsi="Times New Roman" w:cs="Times New Roman"/>
                <w:color w:val="000000"/>
              </w:rPr>
              <w:t>:</w:t>
            </w:r>
          </w:p>
          <w:p w14:paraId="1689F2BB" w14:textId="77777777" w:rsidR="00BC6C8B" w:rsidRPr="00095766" w:rsidRDefault="00BC6C8B" w:rsidP="00BC6C8B">
            <w:pPr>
              <w:pStyle w:val="Paragraphedeliste"/>
              <w:numPr>
                <w:ilvl w:val="1"/>
                <w:numId w:val="451"/>
              </w:numPr>
              <w:spacing w:after="200" w:line="276" w:lineRule="auto"/>
              <w:ind w:left="314" w:right="-185"/>
              <w:rPr>
                <w:rFonts w:ascii="Times New Roman" w:hAnsi="Times New Roman" w:cs="Times New Roman"/>
                <w:color w:val="000000"/>
              </w:rPr>
            </w:pPr>
            <w:r w:rsidRPr="00095766">
              <w:rPr>
                <w:rFonts w:ascii="Times New Roman" w:hAnsi="Times New Roman" w:cs="Times New Roman"/>
                <w:color w:val="000000"/>
              </w:rPr>
              <w:t xml:space="preserve">Etude d'évaluation de la vulnérabilité urbaines de 15 villes face aux changements climatiques ; </w:t>
            </w:r>
          </w:p>
          <w:p w14:paraId="4531B9BD" w14:textId="77777777" w:rsidR="00BC6C8B" w:rsidRPr="00095766" w:rsidRDefault="00BC6C8B" w:rsidP="00BC6C8B">
            <w:pPr>
              <w:pStyle w:val="Paragraphedeliste"/>
              <w:numPr>
                <w:ilvl w:val="1"/>
                <w:numId w:val="451"/>
              </w:numPr>
              <w:spacing w:after="200" w:line="276" w:lineRule="auto"/>
              <w:ind w:left="314" w:right="-185"/>
              <w:rPr>
                <w:rFonts w:ascii="Times New Roman" w:hAnsi="Times New Roman" w:cs="Times New Roman"/>
                <w:color w:val="000000"/>
              </w:rPr>
            </w:pPr>
            <w:r w:rsidRPr="00095766">
              <w:rPr>
                <w:rFonts w:ascii="Times New Roman" w:hAnsi="Times New Roman" w:cs="Times New Roman"/>
                <w:color w:val="000000"/>
              </w:rPr>
              <w:t xml:space="preserve">Etudes d'évaluation de la vulnérabilité aux changements climatiques des principales villes ; </w:t>
            </w:r>
          </w:p>
          <w:p w14:paraId="1FAF5E48" w14:textId="77777777" w:rsidR="00BC6C8B" w:rsidRPr="00395414" w:rsidRDefault="00BC6C8B" w:rsidP="00BC6C8B">
            <w:pPr>
              <w:pStyle w:val="Paragraphedeliste"/>
              <w:numPr>
                <w:ilvl w:val="1"/>
                <w:numId w:val="451"/>
              </w:numPr>
              <w:spacing w:after="0" w:line="240" w:lineRule="auto"/>
              <w:ind w:left="314" w:right="-187"/>
              <w:rPr>
                <w:rFonts w:ascii="Times New Roman" w:hAnsi="Times New Roman" w:cs="Times New Roman"/>
              </w:rPr>
            </w:pPr>
            <w:r w:rsidRPr="00095766">
              <w:rPr>
                <w:rFonts w:ascii="Times New Roman" w:hAnsi="Times New Roman" w:cs="Times New Roman"/>
                <w:color w:val="000000"/>
              </w:rPr>
              <w:t xml:space="preserve">Elaboration de </w:t>
            </w:r>
            <w:r w:rsidRPr="00095766">
              <w:rPr>
                <w:rFonts w:ascii="Times New Roman" w:hAnsi="Times New Roman" w:cs="Times New Roman"/>
                <w:color w:val="000000"/>
                <w:sz w:val="20"/>
                <w:szCs w:val="20"/>
              </w:rPr>
              <w:t>SDAU</w:t>
            </w:r>
            <w:r w:rsidRPr="00095766">
              <w:rPr>
                <w:rFonts w:ascii="Times New Roman" w:hAnsi="Times New Roman" w:cs="Times New Roman"/>
                <w:color w:val="000000"/>
              </w:rPr>
              <w:t xml:space="preserve"> simplifiés pour les villes de plus de </w:t>
            </w:r>
            <w:r w:rsidRPr="00395414">
              <w:rPr>
                <w:rFonts w:ascii="Times New Roman" w:hAnsi="Times New Roman" w:cs="Times New Roman"/>
                <w:color w:val="000000"/>
                <w:sz w:val="20"/>
                <w:szCs w:val="20"/>
              </w:rPr>
              <w:t>20 000 hbts</w:t>
            </w:r>
          </w:p>
        </w:tc>
        <w:tc>
          <w:tcPr>
            <w:tcW w:w="1182" w:type="dxa"/>
            <w:shd w:val="clear" w:color="auto" w:fill="auto"/>
          </w:tcPr>
          <w:p w14:paraId="25C0A2BC" w14:textId="77777777" w:rsidR="00BC6C8B" w:rsidRPr="009A2F7C" w:rsidRDefault="00BC6C8B" w:rsidP="00EE0E23">
            <w:pPr>
              <w:rPr>
                <w:rFonts w:ascii="Times New Roman" w:hAnsi="Times New Roman" w:cs="Times New Roman"/>
              </w:rPr>
            </w:pPr>
            <w:proofErr w:type="gramStart"/>
            <w:r w:rsidRPr="009A2F7C">
              <w:rPr>
                <w:rFonts w:ascii="Times New Roman" w:hAnsi="Times New Roman" w:cs="Times New Roman"/>
                <w:b/>
                <w:bCs/>
                <w:color w:val="0070C0"/>
              </w:rPr>
              <w:t>SCAPP:</w:t>
            </w:r>
            <w:proofErr w:type="gramEnd"/>
            <w:r w:rsidRPr="009A2F7C">
              <w:rPr>
                <w:rFonts w:ascii="Times New Roman" w:hAnsi="Times New Roman" w:cs="Times New Roman"/>
                <w:b/>
                <w:bCs/>
                <w:color w:val="0070C0"/>
              </w:rPr>
              <w:t xml:space="preserve"> </w:t>
            </w:r>
            <w:r w:rsidRPr="009A2F7C">
              <w:rPr>
                <w:rFonts w:ascii="Times New Roman" w:hAnsi="Times New Roman" w:cs="Times New Roman"/>
              </w:rPr>
              <w:t>Levier stratégique 1, 2 et 3</w:t>
            </w:r>
          </w:p>
        </w:tc>
        <w:tc>
          <w:tcPr>
            <w:tcW w:w="1450" w:type="dxa"/>
            <w:shd w:val="clear" w:color="auto" w:fill="auto"/>
          </w:tcPr>
          <w:p w14:paraId="6A2FD113" w14:textId="77777777" w:rsidR="00BC6C8B" w:rsidRPr="009A2F7C" w:rsidRDefault="00BC6C8B" w:rsidP="00EE0E23">
            <w:pPr>
              <w:rPr>
                <w:rFonts w:ascii="Times New Roman" w:hAnsi="Times New Roman" w:cs="Times New Roman"/>
              </w:rPr>
            </w:pPr>
            <w:proofErr w:type="gramStart"/>
            <w:r w:rsidRPr="009A2F7C">
              <w:rPr>
                <w:rFonts w:ascii="Times New Roman" w:hAnsi="Times New Roman" w:cs="Times New Roman"/>
              </w:rPr>
              <w:t>CDN:</w:t>
            </w:r>
            <w:proofErr w:type="gramEnd"/>
            <w:r w:rsidRPr="009A2F7C">
              <w:rPr>
                <w:rFonts w:ascii="Times New Roman" w:hAnsi="Times New Roman" w:cs="Times New Roman"/>
              </w:rPr>
              <w:t xml:space="preserve"> Liste des actions d’adaptation proposées par le secteur (</w:t>
            </w:r>
            <w:proofErr w:type="gramStart"/>
            <w:r w:rsidRPr="009A2F7C">
              <w:rPr>
                <w:rFonts w:ascii="Times New Roman" w:hAnsi="Times New Roman" w:cs="Times New Roman"/>
              </w:rPr>
              <w:t>p:</w:t>
            </w:r>
            <w:proofErr w:type="gramEnd"/>
            <w:r w:rsidRPr="009A2F7C">
              <w:rPr>
                <w:rFonts w:ascii="Times New Roman" w:hAnsi="Times New Roman" w:cs="Times New Roman"/>
              </w:rPr>
              <w:t>63)</w:t>
            </w:r>
          </w:p>
        </w:tc>
        <w:tc>
          <w:tcPr>
            <w:tcW w:w="1072" w:type="dxa"/>
            <w:shd w:val="clear" w:color="auto" w:fill="auto"/>
          </w:tcPr>
          <w:p w14:paraId="4774AA62" w14:textId="77777777" w:rsidR="00BC6C8B" w:rsidRPr="009A2F7C" w:rsidRDefault="00BC6C8B" w:rsidP="00EE0E23">
            <w:pPr>
              <w:rPr>
                <w:rFonts w:ascii="Times New Roman" w:hAnsi="Times New Roman" w:cs="Times New Roman"/>
              </w:rPr>
            </w:pPr>
            <w:r w:rsidRPr="009A2F7C">
              <w:rPr>
                <w:rFonts w:ascii="Times New Roman" w:hAnsi="Times New Roman" w:cs="Times New Roman"/>
                <w:color w:val="000000"/>
              </w:rPr>
              <w:t xml:space="preserve">ODD 4, 6, 7 et 8 </w:t>
            </w:r>
          </w:p>
        </w:tc>
        <w:tc>
          <w:tcPr>
            <w:tcW w:w="4173" w:type="dxa"/>
            <w:shd w:val="clear" w:color="auto" w:fill="auto"/>
          </w:tcPr>
          <w:p w14:paraId="61B93B54" w14:textId="77777777" w:rsidR="00BC6C8B" w:rsidRPr="009A2F7C" w:rsidRDefault="00BC6C8B" w:rsidP="00EE0E23">
            <w:pPr>
              <w:rPr>
                <w:rFonts w:ascii="Times New Roman" w:hAnsi="Times New Roman" w:cs="Times New Roman"/>
              </w:rPr>
            </w:pPr>
            <w:r w:rsidRPr="009A2F7C">
              <w:rPr>
                <w:rFonts w:ascii="Times New Roman" w:hAnsi="Times New Roman" w:cs="Times New Roman"/>
                <w:color w:val="000000"/>
              </w:rPr>
              <w:t>* Les populations vivant dans les centres urbains cibles disposent de données fiables permettant d'éviter les zones inondables ou menacées d’ensablement</w:t>
            </w:r>
            <w:proofErr w:type="gramStart"/>
            <w:r w:rsidRPr="009A2F7C">
              <w:rPr>
                <w:rFonts w:ascii="Times New Roman" w:hAnsi="Times New Roman" w:cs="Times New Roman"/>
                <w:color w:val="000000"/>
              </w:rPr>
              <w:t xml:space="preserve"> ;Les</w:t>
            </w:r>
            <w:proofErr w:type="gramEnd"/>
            <w:r w:rsidRPr="009A2F7C">
              <w:rPr>
                <w:rFonts w:ascii="Times New Roman" w:hAnsi="Times New Roman" w:cs="Times New Roman"/>
                <w:color w:val="000000"/>
              </w:rPr>
              <w:t xml:space="preserve"> SDAU simplifiés permettent une meilleure organisation des villes pour éviter le désordre et l'encombrement qui caractérisent nos centres urbains,</w:t>
            </w:r>
          </w:p>
        </w:tc>
      </w:tr>
      <w:tr w:rsidR="00BC6C8B" w:rsidRPr="009A2F7C" w14:paraId="486588A3" w14:textId="77777777" w:rsidTr="00EE0E23">
        <w:trPr>
          <w:trHeight w:val="3671"/>
        </w:trPr>
        <w:tc>
          <w:tcPr>
            <w:tcW w:w="2552" w:type="dxa"/>
            <w:shd w:val="clear" w:color="auto" w:fill="auto"/>
          </w:tcPr>
          <w:p w14:paraId="3E2F471B" w14:textId="45B3B46B" w:rsidR="00BC6C8B" w:rsidRDefault="00BC6C8B" w:rsidP="004E6B37">
            <w:pPr>
              <w:spacing w:after="0"/>
              <w:ind w:left="-104" w:right="-153"/>
              <w:rPr>
                <w:rFonts w:ascii="Times New Roman" w:hAnsi="Times New Roman" w:cs="Times New Roman"/>
                <w:b/>
                <w:bCs/>
                <w:color w:val="000000"/>
              </w:rPr>
            </w:pPr>
            <w:r w:rsidRPr="009A2F7C">
              <w:rPr>
                <w:rFonts w:ascii="Times New Roman" w:hAnsi="Times New Roman" w:cs="Times New Roman"/>
                <w:b/>
                <w:bCs/>
                <w:color w:val="000000"/>
              </w:rPr>
              <w:t>Le développement de</w:t>
            </w:r>
            <w:r w:rsidR="00063047">
              <w:rPr>
                <w:rFonts w:ascii="Times New Roman" w:hAnsi="Times New Roman" w:cs="Times New Roman"/>
                <w:b/>
                <w:bCs/>
                <w:color w:val="000000"/>
              </w:rPr>
              <w:t xml:space="preserve"> </w:t>
            </w:r>
            <w:r w:rsidRPr="009A2F7C">
              <w:rPr>
                <w:rFonts w:ascii="Times New Roman" w:hAnsi="Times New Roman" w:cs="Times New Roman"/>
                <w:b/>
                <w:bCs/>
                <w:color w:val="000000"/>
              </w:rPr>
              <w:t xml:space="preserve"> </w:t>
            </w:r>
            <w:r w:rsidR="00063047">
              <w:rPr>
                <w:rFonts w:ascii="Times New Roman" w:hAnsi="Times New Roman" w:cs="Times New Roman"/>
                <w:b/>
                <w:bCs/>
                <w:color w:val="000000"/>
              </w:rPr>
              <w:t xml:space="preserve">  </w:t>
            </w:r>
            <w:r w:rsidRPr="009A2F7C">
              <w:rPr>
                <w:rFonts w:ascii="Times New Roman" w:hAnsi="Times New Roman" w:cs="Times New Roman"/>
                <w:b/>
                <w:bCs/>
                <w:color w:val="000000"/>
              </w:rPr>
              <w:t>politiques de l'habitat et la</w:t>
            </w:r>
            <w:r w:rsidR="00063047">
              <w:rPr>
                <w:rFonts w:ascii="Times New Roman" w:hAnsi="Times New Roman" w:cs="Times New Roman"/>
                <w:b/>
                <w:bCs/>
                <w:color w:val="000000"/>
              </w:rPr>
              <w:t xml:space="preserve">   </w:t>
            </w:r>
            <w:r w:rsidRPr="009A2F7C">
              <w:rPr>
                <w:rFonts w:ascii="Times New Roman" w:hAnsi="Times New Roman" w:cs="Times New Roman"/>
                <w:b/>
                <w:bCs/>
                <w:color w:val="000000"/>
              </w:rPr>
              <w:t xml:space="preserve"> promotion immobilière</w:t>
            </w:r>
            <w:r>
              <w:rPr>
                <w:rFonts w:ascii="Times New Roman" w:hAnsi="Times New Roman" w:cs="Times New Roman"/>
                <w:b/>
                <w:bCs/>
                <w:color w:val="000000"/>
              </w:rPr>
              <w:t xml:space="preserve"> </w:t>
            </w:r>
            <w:r w:rsidRPr="009A2F7C">
              <w:rPr>
                <w:rFonts w:ascii="Times New Roman" w:hAnsi="Times New Roman" w:cs="Times New Roman"/>
                <w:b/>
                <w:bCs/>
                <w:color w:val="000000"/>
              </w:rPr>
              <w:t xml:space="preserve">: </w:t>
            </w:r>
          </w:p>
          <w:p w14:paraId="36C7A137" w14:textId="77777777" w:rsidR="00BC6C8B" w:rsidRPr="001F52A8" w:rsidRDefault="00BC6C8B" w:rsidP="00BC6C8B">
            <w:pPr>
              <w:pStyle w:val="Paragraphedeliste"/>
              <w:numPr>
                <w:ilvl w:val="0"/>
                <w:numId w:val="481"/>
              </w:numPr>
              <w:spacing w:after="0" w:line="276" w:lineRule="auto"/>
              <w:ind w:left="314" w:right="-153"/>
              <w:rPr>
                <w:rFonts w:ascii="Times New Roman" w:hAnsi="Times New Roman" w:cs="Times New Roman"/>
                <w:color w:val="000000"/>
              </w:rPr>
            </w:pPr>
            <w:r w:rsidRPr="001F52A8">
              <w:rPr>
                <w:rFonts w:ascii="Times New Roman" w:hAnsi="Times New Roman" w:cs="Times New Roman"/>
                <w:color w:val="000000"/>
              </w:rPr>
              <w:t xml:space="preserve">Mise en place d'un cadre juridique régissant la promotion immobilière ; </w:t>
            </w:r>
          </w:p>
          <w:p w14:paraId="23807C9F" w14:textId="77777777" w:rsidR="00BC6C8B" w:rsidRPr="001F52A8" w:rsidRDefault="00BC6C8B" w:rsidP="00BC6C8B">
            <w:pPr>
              <w:pStyle w:val="Paragraphedeliste"/>
              <w:numPr>
                <w:ilvl w:val="0"/>
                <w:numId w:val="481"/>
              </w:numPr>
              <w:spacing w:after="0" w:line="240" w:lineRule="auto"/>
              <w:ind w:left="312" w:right="-153" w:hanging="357"/>
              <w:contextualSpacing w:val="0"/>
              <w:rPr>
                <w:rFonts w:ascii="Times New Roman" w:hAnsi="Times New Roman" w:cs="Times New Roman"/>
              </w:rPr>
            </w:pPr>
            <w:r w:rsidRPr="001F52A8">
              <w:rPr>
                <w:rFonts w:ascii="Times New Roman" w:hAnsi="Times New Roman" w:cs="Times New Roman"/>
                <w:color w:val="000000"/>
              </w:rPr>
              <w:t xml:space="preserve">Création et mise en place d'un mécanisme de financement de l'habitat, </w:t>
            </w:r>
          </w:p>
        </w:tc>
        <w:tc>
          <w:tcPr>
            <w:tcW w:w="1182" w:type="dxa"/>
            <w:shd w:val="clear" w:color="auto" w:fill="auto"/>
          </w:tcPr>
          <w:p w14:paraId="133997BC" w14:textId="404C4AFB" w:rsidR="00BC6C8B" w:rsidRPr="009A2F7C" w:rsidRDefault="00063047" w:rsidP="00EE0E23">
            <w:pPr>
              <w:rPr>
                <w:rFonts w:ascii="Times New Roman" w:hAnsi="Times New Roman" w:cs="Times New Roman"/>
              </w:rPr>
            </w:pPr>
            <w:r w:rsidRPr="009A2F7C">
              <w:rPr>
                <w:rFonts w:ascii="Times New Roman" w:hAnsi="Times New Roman" w:cs="Times New Roman"/>
                <w:b/>
                <w:bCs/>
                <w:color w:val="0070C0"/>
              </w:rPr>
              <w:t>SCAPP :</w:t>
            </w:r>
            <w:r w:rsidR="00BC6C8B" w:rsidRPr="009A2F7C">
              <w:rPr>
                <w:rFonts w:ascii="Times New Roman" w:hAnsi="Times New Roman" w:cs="Times New Roman"/>
                <w:b/>
                <w:bCs/>
                <w:color w:val="0070C0"/>
              </w:rPr>
              <w:t xml:space="preserve"> </w:t>
            </w:r>
            <w:r w:rsidR="00BC6C8B" w:rsidRPr="009A2F7C">
              <w:rPr>
                <w:rFonts w:ascii="Times New Roman" w:hAnsi="Times New Roman" w:cs="Times New Roman"/>
              </w:rPr>
              <w:t>Levier stratégique 1, 2 et 3</w:t>
            </w:r>
          </w:p>
        </w:tc>
        <w:tc>
          <w:tcPr>
            <w:tcW w:w="1450" w:type="dxa"/>
            <w:shd w:val="clear" w:color="auto" w:fill="auto"/>
          </w:tcPr>
          <w:p w14:paraId="237ED513" w14:textId="77777777" w:rsidR="00BC6C8B" w:rsidRPr="009A2F7C" w:rsidRDefault="00BC6C8B" w:rsidP="00EE0E23">
            <w:pPr>
              <w:rPr>
                <w:rFonts w:ascii="Times New Roman" w:hAnsi="Times New Roman" w:cs="Times New Roman"/>
              </w:rPr>
            </w:pPr>
            <w:proofErr w:type="gramStart"/>
            <w:r w:rsidRPr="009A2F7C">
              <w:rPr>
                <w:rFonts w:ascii="Times New Roman" w:hAnsi="Times New Roman" w:cs="Times New Roman"/>
              </w:rPr>
              <w:t>CDN:</w:t>
            </w:r>
            <w:proofErr w:type="gramEnd"/>
            <w:r w:rsidRPr="009A2F7C">
              <w:rPr>
                <w:rFonts w:ascii="Times New Roman" w:hAnsi="Times New Roman" w:cs="Times New Roman"/>
              </w:rPr>
              <w:t xml:space="preserve"> Liste des actions d’adaptation proposées par le secteur (</w:t>
            </w:r>
            <w:proofErr w:type="gramStart"/>
            <w:r w:rsidRPr="009A2F7C">
              <w:rPr>
                <w:rFonts w:ascii="Times New Roman" w:hAnsi="Times New Roman" w:cs="Times New Roman"/>
              </w:rPr>
              <w:t>p:</w:t>
            </w:r>
            <w:proofErr w:type="gramEnd"/>
            <w:r w:rsidRPr="009A2F7C">
              <w:rPr>
                <w:rFonts w:ascii="Times New Roman" w:hAnsi="Times New Roman" w:cs="Times New Roman"/>
              </w:rPr>
              <w:t>63)</w:t>
            </w:r>
          </w:p>
        </w:tc>
        <w:tc>
          <w:tcPr>
            <w:tcW w:w="1072" w:type="dxa"/>
            <w:shd w:val="clear" w:color="auto" w:fill="auto"/>
          </w:tcPr>
          <w:p w14:paraId="53C10235" w14:textId="77777777" w:rsidR="00BC6C8B" w:rsidRPr="009A2F7C" w:rsidRDefault="00BC6C8B" w:rsidP="00EE0E23">
            <w:pPr>
              <w:rPr>
                <w:rFonts w:ascii="Times New Roman" w:hAnsi="Times New Roman" w:cs="Times New Roman"/>
              </w:rPr>
            </w:pPr>
            <w:r w:rsidRPr="009A2F7C">
              <w:rPr>
                <w:rFonts w:ascii="Times New Roman" w:hAnsi="Times New Roman" w:cs="Times New Roman"/>
                <w:i/>
                <w:iCs/>
                <w:color w:val="000000"/>
              </w:rPr>
              <w:t>ODD 8</w:t>
            </w:r>
          </w:p>
        </w:tc>
        <w:tc>
          <w:tcPr>
            <w:tcW w:w="4173" w:type="dxa"/>
            <w:shd w:val="clear" w:color="auto" w:fill="auto"/>
          </w:tcPr>
          <w:p w14:paraId="2E7E8FF5" w14:textId="77777777" w:rsidR="00BC6C8B" w:rsidRPr="009A2F7C" w:rsidRDefault="00BC6C8B" w:rsidP="00EE0E23">
            <w:pPr>
              <w:spacing w:after="0" w:line="240" w:lineRule="auto"/>
              <w:rPr>
                <w:rFonts w:ascii="Times New Roman" w:hAnsi="Times New Roman" w:cs="Times New Roman"/>
                <w:color w:val="000000"/>
              </w:rPr>
            </w:pPr>
            <w:r w:rsidRPr="009A2F7C">
              <w:rPr>
                <w:rFonts w:ascii="Times New Roman" w:hAnsi="Times New Roman" w:cs="Times New Roman"/>
                <w:color w:val="000000"/>
              </w:rPr>
              <w:t xml:space="preserve">L'adoption du cadre juridique permet de promouvoir l'implication du secteur privé dans la politique du développement de l’habitat, La mise en place d'un mécanisme de financement de l'habitat permettra d'encourager le secteur privé et les particuliers à s'impliquer activement dans ce domaine fortement déficitaire. </w:t>
            </w:r>
          </w:p>
        </w:tc>
      </w:tr>
      <w:tr w:rsidR="00BC6C8B" w:rsidRPr="009A2F7C" w14:paraId="50766CE7" w14:textId="77777777" w:rsidTr="00EE0E23">
        <w:tc>
          <w:tcPr>
            <w:tcW w:w="2552" w:type="dxa"/>
            <w:shd w:val="clear" w:color="auto" w:fill="auto"/>
          </w:tcPr>
          <w:p w14:paraId="7A37BEDC" w14:textId="77777777" w:rsidR="00BC6C8B" w:rsidRDefault="00BC6C8B" w:rsidP="00BC6C8B">
            <w:pPr>
              <w:pStyle w:val="Paragraphedeliste"/>
              <w:numPr>
                <w:ilvl w:val="0"/>
                <w:numId w:val="483"/>
              </w:numPr>
              <w:spacing w:after="0" w:line="240" w:lineRule="auto"/>
              <w:ind w:left="314"/>
              <w:rPr>
                <w:rFonts w:ascii="Times New Roman" w:hAnsi="Times New Roman" w:cs="Times New Roman"/>
                <w:color w:val="000000"/>
              </w:rPr>
            </w:pPr>
            <w:r w:rsidRPr="001F52A8">
              <w:rPr>
                <w:rFonts w:ascii="Times New Roman" w:hAnsi="Times New Roman" w:cs="Times New Roman"/>
                <w:color w:val="000000"/>
              </w:rPr>
              <w:t>La protection de l’environnement</w:t>
            </w:r>
            <w:r w:rsidRPr="009A2F7C">
              <w:rPr>
                <w:rFonts w:ascii="Times New Roman" w:hAnsi="Times New Roman" w:cs="Times New Roman"/>
                <w:color w:val="000000"/>
              </w:rPr>
              <w:t xml:space="preserve"> : </w:t>
            </w:r>
          </w:p>
          <w:p w14:paraId="47A20278" w14:textId="77777777" w:rsidR="00BC6C8B" w:rsidRPr="00DC56D5" w:rsidRDefault="00BC6C8B" w:rsidP="00BC6C8B">
            <w:pPr>
              <w:pStyle w:val="Paragraphedeliste"/>
              <w:numPr>
                <w:ilvl w:val="0"/>
                <w:numId w:val="483"/>
              </w:numPr>
              <w:spacing w:after="0" w:line="240" w:lineRule="auto"/>
              <w:ind w:left="314"/>
              <w:rPr>
                <w:rFonts w:ascii="Times New Roman" w:hAnsi="Times New Roman" w:cs="Times New Roman"/>
                <w:color w:val="000000"/>
              </w:rPr>
            </w:pPr>
            <w:r w:rsidRPr="00DC56D5">
              <w:rPr>
                <w:rFonts w:ascii="Times New Roman" w:hAnsi="Times New Roman" w:cs="Times New Roman"/>
                <w:color w:val="000000"/>
              </w:rPr>
              <w:t xml:space="preserve">Création d'une ceinture verte autour de Nouakchott, </w:t>
            </w:r>
          </w:p>
          <w:p w14:paraId="2D459BDF" w14:textId="77777777" w:rsidR="00BC6C8B" w:rsidRPr="00DC56D5" w:rsidRDefault="00BC6C8B" w:rsidP="00BC6C8B">
            <w:pPr>
              <w:pStyle w:val="Paragraphedeliste"/>
              <w:numPr>
                <w:ilvl w:val="0"/>
                <w:numId w:val="483"/>
              </w:numPr>
              <w:spacing w:after="0" w:line="240" w:lineRule="auto"/>
              <w:ind w:left="314"/>
              <w:rPr>
                <w:rFonts w:ascii="Times New Roman" w:hAnsi="Times New Roman" w:cs="Times New Roman"/>
                <w:color w:val="000000"/>
              </w:rPr>
            </w:pPr>
            <w:r w:rsidRPr="00DC56D5">
              <w:rPr>
                <w:rFonts w:ascii="Times New Roman" w:hAnsi="Times New Roman" w:cs="Times New Roman"/>
                <w:color w:val="000000"/>
              </w:rPr>
              <w:t xml:space="preserve">Développement d'espaces verts et de parcs récréatifs dans les quartiers périphériques de Nouakchott, </w:t>
            </w:r>
          </w:p>
          <w:p w14:paraId="62799187" w14:textId="77777777" w:rsidR="00BC6C8B" w:rsidRPr="001F52A8" w:rsidRDefault="00BC6C8B" w:rsidP="00BC6C8B">
            <w:pPr>
              <w:pStyle w:val="Paragraphedeliste"/>
              <w:numPr>
                <w:ilvl w:val="0"/>
                <w:numId w:val="483"/>
              </w:numPr>
              <w:spacing w:after="0" w:line="240" w:lineRule="auto"/>
              <w:ind w:left="314"/>
              <w:rPr>
                <w:rFonts w:ascii="Times New Roman" w:hAnsi="Times New Roman" w:cs="Times New Roman"/>
                <w:color w:val="000000"/>
              </w:rPr>
            </w:pPr>
            <w:r w:rsidRPr="001F52A8">
              <w:rPr>
                <w:rFonts w:ascii="Times New Roman" w:hAnsi="Times New Roman" w:cs="Times New Roman"/>
                <w:color w:val="000000"/>
              </w:rPr>
              <w:t>Réalisation</w:t>
            </w:r>
            <w:r w:rsidRPr="00DC56D5">
              <w:rPr>
                <w:rFonts w:ascii="Times New Roman" w:hAnsi="Times New Roman" w:cs="Times New Roman"/>
                <w:color w:val="000000"/>
              </w:rPr>
              <w:t xml:space="preserve"> d'un canal de protection contre les </w:t>
            </w:r>
            <w:r w:rsidRPr="001F52A8">
              <w:rPr>
                <w:rFonts w:ascii="Times New Roman" w:hAnsi="Times New Roman" w:cs="Times New Roman"/>
                <w:color w:val="000000"/>
              </w:rPr>
              <w:t>inondations</w:t>
            </w:r>
            <w:r w:rsidRPr="00DC56D5">
              <w:rPr>
                <w:rFonts w:ascii="Times New Roman" w:hAnsi="Times New Roman" w:cs="Times New Roman"/>
                <w:color w:val="000000"/>
              </w:rPr>
              <w:t xml:space="preserve"> des Communes de </w:t>
            </w:r>
            <w:r w:rsidRPr="001F52A8">
              <w:rPr>
                <w:rFonts w:ascii="Times New Roman" w:hAnsi="Times New Roman" w:cs="Times New Roman"/>
                <w:color w:val="000000"/>
              </w:rPr>
              <w:t>'El Mina</w:t>
            </w:r>
            <w:r w:rsidRPr="00DC56D5">
              <w:rPr>
                <w:rFonts w:ascii="Times New Roman" w:hAnsi="Times New Roman" w:cs="Times New Roman"/>
                <w:color w:val="000000"/>
              </w:rPr>
              <w:t xml:space="preserve"> et de </w:t>
            </w:r>
            <w:r w:rsidRPr="001F52A8">
              <w:rPr>
                <w:rFonts w:ascii="Times New Roman" w:hAnsi="Times New Roman" w:cs="Times New Roman"/>
                <w:color w:val="000000"/>
              </w:rPr>
              <w:t>Sebkha</w:t>
            </w:r>
            <w:r w:rsidRPr="00DC56D5">
              <w:rPr>
                <w:rFonts w:ascii="Times New Roman" w:hAnsi="Times New Roman" w:cs="Times New Roman"/>
                <w:color w:val="000000"/>
              </w:rPr>
              <w:t>,</w:t>
            </w:r>
          </w:p>
          <w:p w14:paraId="6CD0C7E0" w14:textId="77777777" w:rsidR="00BC6C8B" w:rsidRPr="001F52A8" w:rsidRDefault="00BC6C8B" w:rsidP="00BC6C8B">
            <w:pPr>
              <w:pStyle w:val="Paragraphedeliste"/>
              <w:numPr>
                <w:ilvl w:val="0"/>
                <w:numId w:val="483"/>
              </w:numPr>
              <w:spacing w:after="0" w:line="240" w:lineRule="auto"/>
              <w:ind w:left="314"/>
              <w:rPr>
                <w:rFonts w:ascii="Times New Roman" w:hAnsi="Times New Roman" w:cs="Times New Roman"/>
                <w:color w:val="000000"/>
              </w:rPr>
            </w:pPr>
            <w:r w:rsidRPr="001F52A8">
              <w:rPr>
                <w:rFonts w:ascii="Times New Roman" w:hAnsi="Times New Roman" w:cs="Times New Roman"/>
                <w:color w:val="000000"/>
              </w:rPr>
              <w:t>Construction</w:t>
            </w:r>
            <w:r w:rsidRPr="006914A9">
              <w:rPr>
                <w:rFonts w:ascii="Times New Roman" w:hAnsi="Times New Roman" w:cs="Times New Roman"/>
                <w:color w:val="000000"/>
              </w:rPr>
              <w:t xml:space="preserve"> de digues de </w:t>
            </w:r>
            <w:r w:rsidRPr="001F52A8">
              <w:rPr>
                <w:rFonts w:ascii="Times New Roman" w:hAnsi="Times New Roman" w:cs="Times New Roman"/>
                <w:color w:val="000000"/>
              </w:rPr>
              <w:t>protection</w:t>
            </w:r>
            <w:r w:rsidRPr="006914A9">
              <w:rPr>
                <w:rFonts w:ascii="Times New Roman" w:hAnsi="Times New Roman" w:cs="Times New Roman"/>
                <w:color w:val="000000"/>
              </w:rPr>
              <w:t xml:space="preserve"> contre les </w:t>
            </w:r>
            <w:r w:rsidRPr="001F52A8">
              <w:rPr>
                <w:rFonts w:ascii="Times New Roman" w:hAnsi="Times New Roman" w:cs="Times New Roman"/>
                <w:color w:val="000000"/>
              </w:rPr>
              <w:t>inondations</w:t>
            </w:r>
            <w:r w:rsidRPr="006914A9">
              <w:rPr>
                <w:rFonts w:ascii="Times New Roman" w:hAnsi="Times New Roman" w:cs="Times New Roman"/>
                <w:color w:val="000000"/>
              </w:rPr>
              <w:t xml:space="preserve"> et la remontée des eaux du fleuve des quartiers de Touldé (Kaédi), de la ville de Tékane et de la digue de protection de la ville d'Akjoujt,</w:t>
            </w:r>
          </w:p>
        </w:tc>
        <w:tc>
          <w:tcPr>
            <w:tcW w:w="1182" w:type="dxa"/>
            <w:shd w:val="clear" w:color="auto" w:fill="auto"/>
          </w:tcPr>
          <w:p w14:paraId="2090C26E" w14:textId="77777777" w:rsidR="00BC6C8B" w:rsidRPr="009A2F7C" w:rsidRDefault="00BC6C8B" w:rsidP="00EE0E23">
            <w:pPr>
              <w:rPr>
                <w:rFonts w:ascii="Times New Roman" w:hAnsi="Times New Roman" w:cs="Times New Roman"/>
              </w:rPr>
            </w:pPr>
            <w:r w:rsidRPr="009A2F7C">
              <w:rPr>
                <w:rFonts w:ascii="Times New Roman" w:hAnsi="Times New Roman" w:cs="Times New Roman"/>
                <w:b/>
                <w:bCs/>
                <w:color w:val="0070C0"/>
              </w:rPr>
              <w:t>SCAPP</w:t>
            </w:r>
            <w:r>
              <w:rPr>
                <w:rFonts w:ascii="Times New Roman" w:hAnsi="Times New Roman" w:cs="Times New Roman"/>
                <w:b/>
                <w:bCs/>
                <w:color w:val="0070C0"/>
              </w:rPr>
              <w:t xml:space="preserve"> </w:t>
            </w:r>
            <w:r w:rsidRPr="009A2F7C">
              <w:rPr>
                <w:rFonts w:ascii="Times New Roman" w:hAnsi="Times New Roman" w:cs="Times New Roman"/>
                <w:b/>
                <w:bCs/>
                <w:color w:val="0070C0"/>
              </w:rPr>
              <w:t xml:space="preserve">: </w:t>
            </w:r>
            <w:r w:rsidRPr="009A2F7C">
              <w:rPr>
                <w:rFonts w:ascii="Times New Roman" w:hAnsi="Times New Roman" w:cs="Times New Roman"/>
              </w:rPr>
              <w:t>Levier stratégique 1, 2 et 3</w:t>
            </w:r>
          </w:p>
        </w:tc>
        <w:tc>
          <w:tcPr>
            <w:tcW w:w="1450" w:type="dxa"/>
            <w:shd w:val="clear" w:color="auto" w:fill="auto"/>
          </w:tcPr>
          <w:p w14:paraId="6C7FB8B8" w14:textId="77777777" w:rsidR="00BC6C8B" w:rsidRPr="009A2F7C" w:rsidRDefault="00BC6C8B" w:rsidP="00EE0E23">
            <w:pPr>
              <w:rPr>
                <w:rFonts w:ascii="Times New Roman" w:hAnsi="Times New Roman" w:cs="Times New Roman"/>
              </w:rPr>
            </w:pPr>
            <w:r w:rsidRPr="009A2F7C">
              <w:rPr>
                <w:rFonts w:ascii="Times New Roman" w:hAnsi="Times New Roman" w:cs="Times New Roman"/>
              </w:rPr>
              <w:t>CDN</w:t>
            </w:r>
            <w:r>
              <w:rPr>
                <w:rFonts w:ascii="Times New Roman" w:hAnsi="Times New Roman" w:cs="Times New Roman"/>
              </w:rPr>
              <w:t xml:space="preserve"> </w:t>
            </w:r>
            <w:r w:rsidRPr="009A2F7C">
              <w:rPr>
                <w:rFonts w:ascii="Times New Roman" w:hAnsi="Times New Roman" w:cs="Times New Roman"/>
              </w:rPr>
              <w:t>: Liste des actions d’adaptation proposées par le secteur (</w:t>
            </w:r>
            <w:proofErr w:type="gramStart"/>
            <w:r w:rsidRPr="009A2F7C">
              <w:rPr>
                <w:rFonts w:ascii="Times New Roman" w:hAnsi="Times New Roman" w:cs="Times New Roman"/>
              </w:rPr>
              <w:t>p:</w:t>
            </w:r>
            <w:proofErr w:type="gramEnd"/>
            <w:r w:rsidRPr="009A2F7C">
              <w:rPr>
                <w:rFonts w:ascii="Times New Roman" w:hAnsi="Times New Roman" w:cs="Times New Roman"/>
              </w:rPr>
              <w:t>63)</w:t>
            </w:r>
          </w:p>
        </w:tc>
        <w:tc>
          <w:tcPr>
            <w:tcW w:w="1072" w:type="dxa"/>
            <w:shd w:val="clear" w:color="auto" w:fill="auto"/>
            <w:vAlign w:val="center"/>
          </w:tcPr>
          <w:p w14:paraId="7ADE64F9" w14:textId="77777777" w:rsidR="00BC6C8B" w:rsidRPr="009A2F7C" w:rsidRDefault="00BC6C8B" w:rsidP="00EE0E23">
            <w:pPr>
              <w:rPr>
                <w:rFonts w:ascii="Times New Roman" w:hAnsi="Times New Roman" w:cs="Times New Roman"/>
              </w:rPr>
            </w:pPr>
            <w:r w:rsidRPr="009A2F7C">
              <w:rPr>
                <w:rFonts w:ascii="Times New Roman" w:hAnsi="Times New Roman" w:cs="Times New Roman"/>
                <w:color w:val="000000"/>
              </w:rPr>
              <w:t xml:space="preserve">ODD 4, ODD 6 et ODD 7 </w:t>
            </w:r>
          </w:p>
        </w:tc>
        <w:tc>
          <w:tcPr>
            <w:tcW w:w="4173" w:type="dxa"/>
            <w:shd w:val="clear" w:color="auto" w:fill="auto"/>
          </w:tcPr>
          <w:p w14:paraId="40D4A7A8" w14:textId="77777777" w:rsidR="00BC6C8B" w:rsidRPr="004833AF" w:rsidRDefault="00BC6C8B" w:rsidP="00BC6C8B">
            <w:pPr>
              <w:pStyle w:val="Paragraphedeliste"/>
              <w:numPr>
                <w:ilvl w:val="1"/>
                <w:numId w:val="454"/>
              </w:numPr>
              <w:spacing w:after="200" w:line="276" w:lineRule="auto"/>
              <w:ind w:left="376"/>
              <w:rPr>
                <w:rFonts w:ascii="Times New Roman" w:hAnsi="Times New Roman" w:cs="Times New Roman"/>
                <w:color w:val="000000"/>
              </w:rPr>
            </w:pPr>
            <w:r w:rsidRPr="004833AF">
              <w:rPr>
                <w:rFonts w:ascii="Times New Roman" w:hAnsi="Times New Roman" w:cs="Times New Roman"/>
                <w:color w:val="000000"/>
              </w:rPr>
              <w:t>Les zones exposé</w:t>
            </w:r>
            <w:r>
              <w:rPr>
                <w:rFonts w:ascii="Times New Roman" w:hAnsi="Times New Roman" w:cs="Times New Roman"/>
                <w:color w:val="000000"/>
              </w:rPr>
              <w:t>e</w:t>
            </w:r>
            <w:r w:rsidRPr="004833AF">
              <w:rPr>
                <w:rFonts w:ascii="Times New Roman" w:hAnsi="Times New Roman" w:cs="Times New Roman"/>
                <w:color w:val="000000"/>
              </w:rPr>
              <w:t xml:space="preserve">s aux menaces d'ensablement bénéficient d'une protection, </w:t>
            </w:r>
          </w:p>
          <w:p w14:paraId="3930B3F8" w14:textId="77777777" w:rsidR="00BC6C8B" w:rsidRPr="004833AF" w:rsidRDefault="00BC6C8B" w:rsidP="00BC6C8B">
            <w:pPr>
              <w:pStyle w:val="Paragraphedeliste"/>
              <w:numPr>
                <w:ilvl w:val="0"/>
                <w:numId w:val="484"/>
              </w:numPr>
              <w:spacing w:after="0" w:line="240" w:lineRule="auto"/>
              <w:ind w:left="376"/>
              <w:rPr>
                <w:rFonts w:ascii="Times New Roman" w:hAnsi="Times New Roman" w:cs="Times New Roman"/>
                <w:color w:val="000000"/>
              </w:rPr>
            </w:pPr>
            <w:r w:rsidRPr="004833AF">
              <w:rPr>
                <w:rFonts w:ascii="Times New Roman" w:hAnsi="Times New Roman" w:cs="Times New Roman"/>
                <w:color w:val="000000"/>
              </w:rPr>
              <w:t>La création d'espaces verts permet aux populations riveraines de disposer d'un environnement récréatif approprié,</w:t>
            </w:r>
          </w:p>
          <w:p w14:paraId="1C750611" w14:textId="77777777" w:rsidR="00BC6C8B" w:rsidRPr="004833AF" w:rsidRDefault="00BC6C8B" w:rsidP="00BC6C8B">
            <w:pPr>
              <w:pStyle w:val="Paragraphedeliste"/>
              <w:numPr>
                <w:ilvl w:val="0"/>
                <w:numId w:val="484"/>
              </w:numPr>
              <w:spacing w:after="200" w:line="276" w:lineRule="auto"/>
              <w:ind w:left="376"/>
              <w:rPr>
                <w:rFonts w:ascii="Times New Roman" w:hAnsi="Times New Roman" w:cs="Times New Roman"/>
                <w:color w:val="000000"/>
              </w:rPr>
            </w:pPr>
            <w:r w:rsidRPr="004833AF">
              <w:rPr>
                <w:rFonts w:ascii="Times New Roman" w:hAnsi="Times New Roman" w:cs="Times New Roman"/>
                <w:color w:val="000000"/>
              </w:rPr>
              <w:t xml:space="preserve">Les populations de ces communes bénéficient d'une protection sûre contre les inondations récurrentes, </w:t>
            </w:r>
          </w:p>
        </w:tc>
      </w:tr>
      <w:tr w:rsidR="00BC6C8B" w:rsidRPr="009A2F7C" w14:paraId="0E882F89" w14:textId="77777777" w:rsidTr="00EE0E23">
        <w:tc>
          <w:tcPr>
            <w:tcW w:w="2552" w:type="dxa"/>
            <w:shd w:val="clear" w:color="auto" w:fill="auto"/>
          </w:tcPr>
          <w:p w14:paraId="6A3CB2A1" w14:textId="77777777" w:rsidR="00BC6C8B" w:rsidRDefault="00BC6C8B" w:rsidP="00EE0E23">
            <w:pPr>
              <w:ind w:right="-185"/>
              <w:rPr>
                <w:rFonts w:ascii="Times New Roman" w:hAnsi="Times New Roman" w:cs="Times New Roman"/>
                <w:b/>
                <w:bCs/>
                <w:color w:val="000000"/>
              </w:rPr>
            </w:pPr>
            <w:r w:rsidRPr="009A2F7C">
              <w:rPr>
                <w:rFonts w:ascii="Times New Roman" w:hAnsi="Times New Roman" w:cs="Times New Roman"/>
                <w:b/>
                <w:bCs/>
                <w:color w:val="000000"/>
              </w:rPr>
              <w:t>Promotion de l'utilisation matériaux locaux dans la construction de l'habitat</w:t>
            </w:r>
            <w:r>
              <w:rPr>
                <w:rFonts w:ascii="Times New Roman" w:hAnsi="Times New Roman" w:cs="Times New Roman"/>
                <w:b/>
                <w:bCs/>
                <w:color w:val="000000"/>
              </w:rPr>
              <w:t xml:space="preserve"> </w:t>
            </w:r>
            <w:r w:rsidRPr="009A2F7C">
              <w:rPr>
                <w:rFonts w:ascii="Times New Roman" w:hAnsi="Times New Roman" w:cs="Times New Roman"/>
                <w:b/>
                <w:bCs/>
                <w:color w:val="000000"/>
              </w:rPr>
              <w:t xml:space="preserve">: </w:t>
            </w:r>
          </w:p>
          <w:p w14:paraId="359DCD17" w14:textId="77777777" w:rsidR="00BC6C8B" w:rsidRPr="006914A9" w:rsidRDefault="00BC6C8B" w:rsidP="00BC6C8B">
            <w:pPr>
              <w:pStyle w:val="Paragraphedeliste"/>
              <w:numPr>
                <w:ilvl w:val="1"/>
                <w:numId w:val="451"/>
              </w:numPr>
              <w:spacing w:after="200" w:line="276" w:lineRule="auto"/>
              <w:ind w:left="172" w:hanging="218"/>
              <w:rPr>
                <w:rFonts w:ascii="Times New Roman" w:hAnsi="Times New Roman" w:cs="Times New Roman"/>
                <w:color w:val="000000"/>
              </w:rPr>
            </w:pPr>
            <w:r w:rsidRPr="006914A9">
              <w:rPr>
                <w:rFonts w:ascii="Times New Roman" w:hAnsi="Times New Roman" w:cs="Times New Roman"/>
                <w:color w:val="000000"/>
              </w:rPr>
              <w:t xml:space="preserve">Construction de 35 000 logements en matériaux locaux (BTC, Pisé, pierre et Adobe) au profit des fonctionnaires dans les capitales régionales et les capitales de Moughataa, </w:t>
            </w:r>
          </w:p>
          <w:p w14:paraId="01D1B5D7" w14:textId="77777777" w:rsidR="00BC6C8B" w:rsidRPr="006914A9" w:rsidRDefault="00BC6C8B" w:rsidP="00BC6C8B">
            <w:pPr>
              <w:pStyle w:val="Paragraphedeliste"/>
              <w:numPr>
                <w:ilvl w:val="1"/>
                <w:numId w:val="451"/>
              </w:numPr>
              <w:spacing w:after="200" w:line="276" w:lineRule="auto"/>
              <w:ind w:left="172" w:hanging="218"/>
              <w:rPr>
                <w:rFonts w:ascii="Times New Roman" w:hAnsi="Times New Roman" w:cs="Times New Roman"/>
                <w:color w:val="000000"/>
              </w:rPr>
            </w:pPr>
            <w:r w:rsidRPr="006914A9">
              <w:rPr>
                <w:rFonts w:ascii="Times New Roman" w:hAnsi="Times New Roman" w:cs="Times New Roman"/>
                <w:color w:val="000000"/>
              </w:rPr>
              <w:t xml:space="preserve">Construction de 2000 logements terriens, </w:t>
            </w:r>
          </w:p>
          <w:p w14:paraId="65399B59" w14:textId="77777777" w:rsidR="00BC6C8B" w:rsidRPr="006914A9" w:rsidRDefault="00BC6C8B" w:rsidP="00BC6C8B">
            <w:pPr>
              <w:pStyle w:val="Paragraphedeliste"/>
              <w:numPr>
                <w:ilvl w:val="1"/>
                <w:numId w:val="451"/>
              </w:numPr>
              <w:spacing w:after="200" w:line="276" w:lineRule="auto"/>
              <w:ind w:left="172" w:hanging="218"/>
              <w:rPr>
                <w:rFonts w:ascii="Times New Roman" w:hAnsi="Times New Roman" w:cs="Times New Roman"/>
                <w:color w:val="000000"/>
              </w:rPr>
            </w:pPr>
            <w:r w:rsidRPr="006914A9">
              <w:rPr>
                <w:rFonts w:ascii="Times New Roman" w:hAnsi="Times New Roman" w:cs="Times New Roman"/>
                <w:color w:val="000000"/>
              </w:rPr>
              <w:t xml:space="preserve">Construction d'un siège démonstratif de l'ETER-ML et son centre de développement des matériaux locaux, </w:t>
            </w:r>
          </w:p>
          <w:p w14:paraId="6E097F8C" w14:textId="77777777" w:rsidR="00BC6C8B" w:rsidRPr="006914A9" w:rsidRDefault="00BC6C8B" w:rsidP="00BC6C8B">
            <w:pPr>
              <w:pStyle w:val="Paragraphedeliste"/>
              <w:numPr>
                <w:ilvl w:val="1"/>
                <w:numId w:val="451"/>
              </w:numPr>
              <w:spacing w:after="200" w:line="276" w:lineRule="auto"/>
              <w:ind w:left="172" w:hanging="218"/>
              <w:rPr>
                <w:rFonts w:ascii="Times New Roman" w:hAnsi="Times New Roman" w:cs="Times New Roman"/>
              </w:rPr>
            </w:pPr>
            <w:r w:rsidRPr="006914A9">
              <w:rPr>
                <w:rFonts w:ascii="Times New Roman" w:hAnsi="Times New Roman" w:cs="Times New Roman"/>
                <w:color w:val="000000"/>
              </w:rPr>
              <w:t xml:space="preserve">Construction d'un siège terrien modèle zéro carbone pour le MEDD, </w:t>
            </w:r>
          </w:p>
          <w:p w14:paraId="7D6F0302" w14:textId="77777777" w:rsidR="00BC6C8B" w:rsidRPr="006914A9" w:rsidRDefault="00BC6C8B" w:rsidP="00BC6C8B">
            <w:pPr>
              <w:pStyle w:val="Paragraphedeliste"/>
              <w:numPr>
                <w:ilvl w:val="1"/>
                <w:numId w:val="451"/>
              </w:numPr>
              <w:spacing w:after="200" w:line="276" w:lineRule="auto"/>
              <w:ind w:left="314"/>
              <w:rPr>
                <w:rFonts w:ascii="Times New Roman" w:hAnsi="Times New Roman" w:cs="Times New Roman"/>
              </w:rPr>
            </w:pPr>
            <w:r w:rsidRPr="006914A9">
              <w:rPr>
                <w:rFonts w:ascii="Times New Roman" w:hAnsi="Times New Roman" w:cs="Times New Roman"/>
                <w:color w:val="000000"/>
              </w:rPr>
              <w:t>Réalisation de quatre zones piétonnes dans certains quartiers des villes de Nouakchott, Nouadhibou et Zouérate</w:t>
            </w:r>
          </w:p>
        </w:tc>
        <w:tc>
          <w:tcPr>
            <w:tcW w:w="1182" w:type="dxa"/>
            <w:shd w:val="clear" w:color="auto" w:fill="auto"/>
          </w:tcPr>
          <w:p w14:paraId="26D36C53" w14:textId="77777777" w:rsidR="00BC6C8B" w:rsidRPr="009A2F7C" w:rsidRDefault="00BC6C8B" w:rsidP="00EE0E23">
            <w:pPr>
              <w:rPr>
                <w:rFonts w:ascii="Times New Roman" w:hAnsi="Times New Roman" w:cs="Times New Roman"/>
              </w:rPr>
            </w:pPr>
            <w:r w:rsidRPr="009A2F7C">
              <w:rPr>
                <w:rFonts w:ascii="Times New Roman" w:hAnsi="Times New Roman" w:cs="Times New Roman"/>
                <w:b/>
                <w:bCs/>
                <w:color w:val="0070C0"/>
              </w:rPr>
              <w:t xml:space="preserve">SCAPP: </w:t>
            </w:r>
            <w:r w:rsidRPr="009A2F7C">
              <w:rPr>
                <w:rFonts w:ascii="Times New Roman" w:hAnsi="Times New Roman" w:cs="Times New Roman"/>
              </w:rPr>
              <w:t>Levier stratégique 1, 2 et 3</w:t>
            </w:r>
          </w:p>
        </w:tc>
        <w:tc>
          <w:tcPr>
            <w:tcW w:w="1450" w:type="dxa"/>
            <w:shd w:val="clear" w:color="auto" w:fill="auto"/>
          </w:tcPr>
          <w:p w14:paraId="17EF64BA" w14:textId="77777777" w:rsidR="00BC6C8B" w:rsidRPr="009A2F7C" w:rsidRDefault="00BC6C8B" w:rsidP="00EE0E23">
            <w:pPr>
              <w:rPr>
                <w:rFonts w:ascii="Times New Roman" w:hAnsi="Times New Roman" w:cs="Times New Roman"/>
              </w:rPr>
            </w:pPr>
            <w:r w:rsidRPr="009A2F7C">
              <w:rPr>
                <w:rFonts w:ascii="Times New Roman" w:hAnsi="Times New Roman" w:cs="Times New Roman"/>
              </w:rPr>
              <w:t>CDN</w:t>
            </w:r>
            <w:r>
              <w:rPr>
                <w:rFonts w:ascii="Times New Roman" w:hAnsi="Times New Roman" w:cs="Times New Roman"/>
              </w:rPr>
              <w:t xml:space="preserve"> </w:t>
            </w:r>
            <w:r w:rsidRPr="009A2F7C">
              <w:rPr>
                <w:rFonts w:ascii="Times New Roman" w:hAnsi="Times New Roman" w:cs="Times New Roman"/>
              </w:rPr>
              <w:t>: Liste des actions d’adaptation proposées par le secteur (</w:t>
            </w:r>
            <w:proofErr w:type="gramStart"/>
            <w:r w:rsidRPr="009A2F7C">
              <w:rPr>
                <w:rFonts w:ascii="Times New Roman" w:hAnsi="Times New Roman" w:cs="Times New Roman"/>
              </w:rPr>
              <w:t>p:</w:t>
            </w:r>
            <w:proofErr w:type="gramEnd"/>
            <w:r w:rsidRPr="009A2F7C">
              <w:rPr>
                <w:rFonts w:ascii="Times New Roman" w:hAnsi="Times New Roman" w:cs="Times New Roman"/>
              </w:rPr>
              <w:t>63)</w:t>
            </w:r>
          </w:p>
        </w:tc>
        <w:tc>
          <w:tcPr>
            <w:tcW w:w="1072" w:type="dxa"/>
            <w:shd w:val="clear" w:color="auto" w:fill="auto"/>
          </w:tcPr>
          <w:p w14:paraId="55F7EC5D" w14:textId="77777777" w:rsidR="00BC6C8B" w:rsidRPr="009A2F7C" w:rsidRDefault="00BC6C8B" w:rsidP="00EE0E23">
            <w:pPr>
              <w:rPr>
                <w:rFonts w:ascii="Times New Roman" w:hAnsi="Times New Roman" w:cs="Times New Roman"/>
              </w:rPr>
            </w:pPr>
            <w:r w:rsidRPr="009A2F7C">
              <w:rPr>
                <w:rFonts w:ascii="Times New Roman" w:hAnsi="Times New Roman" w:cs="Times New Roman"/>
                <w:color w:val="000000"/>
              </w:rPr>
              <w:t>ODD 8</w:t>
            </w:r>
          </w:p>
        </w:tc>
        <w:tc>
          <w:tcPr>
            <w:tcW w:w="4173" w:type="dxa"/>
            <w:shd w:val="clear" w:color="auto" w:fill="auto"/>
          </w:tcPr>
          <w:p w14:paraId="23339FDA" w14:textId="77777777" w:rsidR="00BC6C8B" w:rsidRPr="009A2F7C" w:rsidRDefault="00BC6C8B" w:rsidP="00EE0E23">
            <w:pPr>
              <w:rPr>
                <w:rFonts w:ascii="Times New Roman" w:hAnsi="Times New Roman" w:cs="Times New Roman"/>
              </w:rPr>
            </w:pPr>
            <w:r w:rsidRPr="009A2F7C">
              <w:rPr>
                <w:rFonts w:ascii="Times New Roman" w:hAnsi="Times New Roman" w:cs="Times New Roman"/>
                <w:color w:val="000000"/>
              </w:rPr>
              <w:t xml:space="preserve">+ Lutte contre les GES dans la construction par l'utilisation de matériaux locaux </w:t>
            </w:r>
            <w:r w:rsidRPr="009A2F7C">
              <w:rPr>
                <w:rFonts w:ascii="Times New Roman" w:hAnsi="Times New Roman" w:cs="Times New Roman"/>
                <w:color w:val="000000"/>
              </w:rPr>
              <w:br/>
              <w:t>+ Disponibilité de logements économiques et écologiques pour les fonctionnaires de l'Etat,</w:t>
            </w:r>
            <w:r w:rsidRPr="009A2F7C">
              <w:rPr>
                <w:rFonts w:ascii="Times New Roman" w:hAnsi="Times New Roman" w:cs="Times New Roman"/>
                <w:color w:val="000000"/>
              </w:rPr>
              <w:br/>
              <w:t>+ Le centre de développement des matériaux locaux permettra de promouvoir l'écoconstruction,</w:t>
            </w:r>
            <w:r w:rsidRPr="009A2F7C">
              <w:rPr>
                <w:rFonts w:ascii="Times New Roman" w:hAnsi="Times New Roman" w:cs="Times New Roman"/>
                <w:color w:val="000000"/>
              </w:rPr>
              <w:br/>
              <w:t>+ Construction du siège du MEDD en matériaux locaux encourage l'utilisation de ces matériaux,</w:t>
            </w:r>
            <w:r w:rsidRPr="009A2F7C">
              <w:rPr>
                <w:rFonts w:ascii="Times New Roman" w:hAnsi="Times New Roman" w:cs="Times New Roman"/>
                <w:color w:val="000000"/>
              </w:rPr>
              <w:br/>
              <w:t>+ L'utilisation de matériaux locaux en zones piétonnes encourage la réduction de matériaux nocifs à l'environnement</w:t>
            </w:r>
          </w:p>
        </w:tc>
      </w:tr>
    </w:tbl>
    <w:p w14:paraId="19945D3C" w14:textId="77777777" w:rsidR="00BC6C8B" w:rsidRDefault="00BC6C8B" w:rsidP="00BC6C8B">
      <w:pPr>
        <w:tabs>
          <w:tab w:val="left" w:pos="1060"/>
        </w:tabs>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ab/>
      </w:r>
    </w:p>
    <w:p w14:paraId="6BC97EB1" w14:textId="77777777" w:rsidR="00BC6C8B" w:rsidRPr="00395414" w:rsidRDefault="00BC6C8B" w:rsidP="00BC6C8B">
      <w:pPr>
        <w:tabs>
          <w:tab w:val="left" w:pos="3735"/>
        </w:tabs>
        <w:rPr>
          <w:rStyle w:val="Titre3Car"/>
          <w:b/>
          <w:bCs/>
          <w:sz w:val="28"/>
          <w:szCs w:val="28"/>
        </w:rPr>
      </w:pPr>
      <w:bookmarkStart w:id="474" w:name="_Toc142911923"/>
      <w:r w:rsidRPr="00395414">
        <w:rPr>
          <w:rStyle w:val="Titre3Car"/>
          <w:b/>
          <w:bCs/>
          <w:sz w:val="28"/>
          <w:szCs w:val="28"/>
        </w:rPr>
        <w:t>Plan de mise en œuvre : cout financier</w:t>
      </w:r>
      <w:bookmarkEnd w:id="474"/>
      <w:r w:rsidRPr="00395414">
        <w:rPr>
          <w:rStyle w:val="Titre3Car"/>
          <w:b/>
          <w:bCs/>
          <w:sz w:val="28"/>
          <w:szCs w:val="28"/>
        </w:rPr>
        <w:t xml:space="preserve"> </w:t>
      </w:r>
    </w:p>
    <w:p w14:paraId="2C0E3979" w14:textId="77777777" w:rsidR="00BC6C8B" w:rsidRDefault="00BC6C8B" w:rsidP="00BC6C8B">
      <w:pPr>
        <w:tabs>
          <w:tab w:val="left" w:pos="3735"/>
        </w:tabs>
      </w:pPr>
      <w:bookmarkStart w:id="475" w:name="_Toc142911930"/>
      <w:r>
        <w:t xml:space="preserve">Tableau </w:t>
      </w:r>
      <w:fldSimple w:instr=" SEQ Tableau \* ARABIC ">
        <w:r>
          <w:rPr>
            <w:noProof/>
          </w:rPr>
          <w:t>8</w:t>
        </w:r>
      </w:fldSimple>
      <w:r>
        <w:t>: matrice du coût financier pour la mise en œuvre de la CDN</w:t>
      </w:r>
      <w:bookmarkEnd w:id="475"/>
    </w:p>
    <w:tbl>
      <w:tblPr>
        <w:tblW w:w="10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293"/>
        <w:gridCol w:w="1495"/>
        <w:gridCol w:w="1220"/>
        <w:gridCol w:w="1704"/>
        <w:gridCol w:w="1562"/>
      </w:tblGrid>
      <w:tr w:rsidR="00BC6C8B" w:rsidRPr="002B069F" w14:paraId="16194CB6" w14:textId="77777777" w:rsidTr="00EE0E23">
        <w:tc>
          <w:tcPr>
            <w:tcW w:w="2972" w:type="dxa"/>
            <w:shd w:val="clear" w:color="auto" w:fill="auto"/>
          </w:tcPr>
          <w:p w14:paraId="38BFA376" w14:textId="77777777" w:rsidR="00BC6C8B" w:rsidRPr="002B069F" w:rsidRDefault="00BC6C8B" w:rsidP="00EE0E23">
            <w:pPr>
              <w:rPr>
                <w:rFonts w:ascii="Times New Roman" w:hAnsi="Times New Roman" w:cs="Times New Roman"/>
                <w:b/>
                <w:bCs/>
              </w:rPr>
            </w:pPr>
            <w:r w:rsidRPr="002B069F">
              <w:rPr>
                <w:rFonts w:ascii="Times New Roman" w:hAnsi="Times New Roman" w:cs="Times New Roman"/>
                <w:b/>
                <w:bCs/>
              </w:rPr>
              <w:t>Actions de la CDN Horizon 2030</w:t>
            </w:r>
          </w:p>
        </w:tc>
        <w:tc>
          <w:tcPr>
            <w:tcW w:w="1293" w:type="dxa"/>
            <w:shd w:val="clear" w:color="auto" w:fill="auto"/>
          </w:tcPr>
          <w:p w14:paraId="2AEEAACE" w14:textId="77777777" w:rsidR="00BC6C8B" w:rsidRDefault="00BC6C8B" w:rsidP="00EE0E23">
            <w:pPr>
              <w:spacing w:after="0" w:line="240" w:lineRule="auto"/>
              <w:ind w:left="-187" w:right="-181"/>
              <w:rPr>
                <w:rFonts w:ascii="Times New Roman" w:hAnsi="Times New Roman" w:cs="Times New Roman"/>
                <w:b/>
                <w:bCs/>
              </w:rPr>
            </w:pPr>
            <w:r>
              <w:rPr>
                <w:rFonts w:ascii="Times New Roman" w:hAnsi="Times New Roman" w:cs="Times New Roman"/>
                <w:b/>
                <w:bCs/>
              </w:rPr>
              <w:t xml:space="preserve">  </w:t>
            </w:r>
            <w:r w:rsidRPr="002B069F">
              <w:rPr>
                <w:rFonts w:ascii="Times New Roman" w:hAnsi="Times New Roman" w:cs="Times New Roman"/>
                <w:b/>
                <w:bCs/>
              </w:rPr>
              <w:t xml:space="preserve">Partenaire </w:t>
            </w:r>
            <w:r>
              <w:rPr>
                <w:rFonts w:ascii="Times New Roman" w:hAnsi="Times New Roman" w:cs="Times New Roman"/>
                <w:b/>
                <w:bCs/>
              </w:rPr>
              <w:t xml:space="preserve">     </w:t>
            </w:r>
          </w:p>
          <w:p w14:paraId="211B5883" w14:textId="77777777" w:rsidR="00BC6C8B" w:rsidRPr="002B069F" w:rsidRDefault="00BC6C8B" w:rsidP="00EE0E23">
            <w:pPr>
              <w:ind w:left="-47" w:right="-181"/>
              <w:rPr>
                <w:rFonts w:ascii="Times New Roman" w:hAnsi="Times New Roman" w:cs="Times New Roman"/>
                <w:b/>
                <w:bCs/>
              </w:rPr>
            </w:pPr>
            <w:r w:rsidRPr="00025547">
              <w:rPr>
                <w:rFonts w:ascii="Times New Roman" w:hAnsi="Times New Roman" w:cs="Times New Roman"/>
                <w:b/>
                <w:bCs/>
                <w:sz w:val="20"/>
                <w:szCs w:val="20"/>
              </w:rPr>
              <w:t>principal</w:t>
            </w:r>
            <w:r w:rsidRPr="002B069F">
              <w:rPr>
                <w:rFonts w:ascii="Times New Roman" w:hAnsi="Times New Roman" w:cs="Times New Roman"/>
                <w:b/>
                <w:bCs/>
              </w:rPr>
              <w:t xml:space="preserve"> de</w:t>
            </w:r>
            <w:r>
              <w:rPr>
                <w:rFonts w:ascii="Times New Roman" w:hAnsi="Times New Roman" w:cs="Times New Roman"/>
                <w:b/>
                <w:bCs/>
              </w:rPr>
              <w:t xml:space="preserve"> </w:t>
            </w:r>
            <w:r w:rsidRPr="002B069F">
              <w:rPr>
                <w:rFonts w:ascii="Times New Roman" w:hAnsi="Times New Roman" w:cs="Times New Roman"/>
                <w:b/>
                <w:bCs/>
              </w:rPr>
              <w:t xml:space="preserve">mise en </w:t>
            </w:r>
            <w:r w:rsidRPr="00025547">
              <w:rPr>
                <w:rFonts w:ascii="Times New Roman" w:hAnsi="Times New Roman" w:cs="Times New Roman"/>
                <w:b/>
                <w:bCs/>
                <w:sz w:val="20"/>
                <w:szCs w:val="20"/>
              </w:rPr>
              <w:t>œuvre</w:t>
            </w:r>
          </w:p>
        </w:tc>
        <w:tc>
          <w:tcPr>
            <w:tcW w:w="1495" w:type="dxa"/>
            <w:shd w:val="clear" w:color="auto" w:fill="auto"/>
          </w:tcPr>
          <w:p w14:paraId="311F4B7E" w14:textId="77777777" w:rsidR="00BC6C8B" w:rsidRPr="002B069F" w:rsidRDefault="00BC6C8B" w:rsidP="00EE0E23">
            <w:pPr>
              <w:spacing w:after="0" w:line="240" w:lineRule="auto"/>
              <w:ind w:right="-130"/>
              <w:rPr>
                <w:rFonts w:ascii="Times New Roman" w:hAnsi="Times New Roman" w:cs="Times New Roman"/>
                <w:b/>
                <w:bCs/>
              </w:rPr>
            </w:pPr>
            <w:r w:rsidRPr="002B069F">
              <w:rPr>
                <w:rFonts w:ascii="Times New Roman" w:hAnsi="Times New Roman" w:cs="Times New Roman"/>
                <w:b/>
                <w:bCs/>
              </w:rPr>
              <w:t xml:space="preserve">Autres partenaires mise en œuvre </w:t>
            </w:r>
          </w:p>
        </w:tc>
        <w:tc>
          <w:tcPr>
            <w:tcW w:w="1220" w:type="dxa"/>
            <w:shd w:val="clear" w:color="auto" w:fill="auto"/>
          </w:tcPr>
          <w:p w14:paraId="189FF991" w14:textId="77777777" w:rsidR="00BC6C8B" w:rsidRPr="002B069F" w:rsidRDefault="00BC6C8B" w:rsidP="00EE0E23">
            <w:pPr>
              <w:rPr>
                <w:rFonts w:ascii="Times New Roman" w:hAnsi="Times New Roman" w:cs="Times New Roman"/>
                <w:b/>
                <w:bCs/>
              </w:rPr>
            </w:pPr>
            <w:r w:rsidRPr="002B069F">
              <w:rPr>
                <w:rFonts w:ascii="Times New Roman" w:hAnsi="Times New Roman" w:cs="Times New Roman"/>
                <w:b/>
                <w:bCs/>
              </w:rPr>
              <w:t>Période mise en œuvre</w:t>
            </w:r>
          </w:p>
        </w:tc>
        <w:tc>
          <w:tcPr>
            <w:tcW w:w="1704" w:type="dxa"/>
            <w:shd w:val="clear" w:color="auto" w:fill="auto"/>
          </w:tcPr>
          <w:p w14:paraId="4C35EC84" w14:textId="77777777" w:rsidR="00BC6C8B" w:rsidRPr="002B069F" w:rsidRDefault="00BC6C8B" w:rsidP="00EE0E23">
            <w:pPr>
              <w:spacing w:after="0" w:line="240" w:lineRule="auto"/>
              <w:rPr>
                <w:rFonts w:ascii="Times New Roman" w:hAnsi="Times New Roman" w:cs="Times New Roman"/>
                <w:b/>
                <w:bCs/>
              </w:rPr>
            </w:pPr>
            <w:r w:rsidRPr="002B069F">
              <w:rPr>
                <w:rFonts w:ascii="Times New Roman" w:hAnsi="Times New Roman" w:cs="Times New Roman"/>
                <w:b/>
                <w:bCs/>
              </w:rPr>
              <w:t>Coût estimatif inconditionnel</w:t>
            </w:r>
          </w:p>
          <w:p w14:paraId="4BBF70AC" w14:textId="77777777" w:rsidR="00BC6C8B" w:rsidRPr="002B069F" w:rsidRDefault="00BC6C8B" w:rsidP="00EE0E23">
            <w:pPr>
              <w:rPr>
                <w:rFonts w:ascii="Times New Roman" w:hAnsi="Times New Roman" w:cs="Times New Roman"/>
                <w:b/>
                <w:bCs/>
              </w:rPr>
            </w:pPr>
            <w:r w:rsidRPr="002B069F">
              <w:rPr>
                <w:rFonts w:ascii="Times New Roman" w:hAnsi="Times New Roman" w:cs="Times New Roman"/>
                <w:b/>
                <w:bCs/>
              </w:rPr>
              <w:t>(Million MRU)</w:t>
            </w:r>
          </w:p>
        </w:tc>
        <w:tc>
          <w:tcPr>
            <w:tcW w:w="1562" w:type="dxa"/>
            <w:shd w:val="clear" w:color="auto" w:fill="auto"/>
          </w:tcPr>
          <w:p w14:paraId="0A5265D5" w14:textId="77777777" w:rsidR="00BC6C8B" w:rsidRPr="002B069F" w:rsidRDefault="00BC6C8B" w:rsidP="00EE0E23">
            <w:pPr>
              <w:spacing w:after="0" w:line="240" w:lineRule="auto"/>
              <w:ind w:right="-113"/>
              <w:rPr>
                <w:rFonts w:ascii="Times New Roman" w:hAnsi="Times New Roman" w:cs="Times New Roman"/>
                <w:b/>
                <w:bCs/>
              </w:rPr>
            </w:pPr>
            <w:r w:rsidRPr="002B069F">
              <w:rPr>
                <w:rFonts w:ascii="Times New Roman" w:hAnsi="Times New Roman" w:cs="Times New Roman"/>
                <w:b/>
                <w:bCs/>
              </w:rPr>
              <w:t>Coût estimatif conditionnel (Million MRU)</w:t>
            </w:r>
          </w:p>
        </w:tc>
      </w:tr>
      <w:tr w:rsidR="00BC6C8B" w:rsidRPr="002B069F" w14:paraId="337DCEA5" w14:textId="77777777" w:rsidTr="00EE0E23">
        <w:tc>
          <w:tcPr>
            <w:tcW w:w="2972" w:type="dxa"/>
            <w:shd w:val="clear" w:color="auto" w:fill="auto"/>
          </w:tcPr>
          <w:p w14:paraId="63A09BA9" w14:textId="77777777" w:rsidR="00BC6C8B" w:rsidRDefault="00BC6C8B" w:rsidP="00EE0E23">
            <w:pPr>
              <w:spacing w:after="0" w:line="240" w:lineRule="auto"/>
              <w:rPr>
                <w:rFonts w:ascii="Times New Roman" w:hAnsi="Times New Roman" w:cs="Times New Roman"/>
                <w:bCs/>
                <w:color w:val="000000"/>
              </w:rPr>
            </w:pPr>
            <w:r w:rsidRPr="002B069F">
              <w:rPr>
                <w:rFonts w:ascii="Times New Roman" w:hAnsi="Times New Roman" w:cs="Times New Roman"/>
                <w:bCs/>
                <w:color w:val="000000"/>
              </w:rPr>
              <w:t xml:space="preserve">Amélioration de l’accès au logement des groupes vulnérables : </w:t>
            </w:r>
          </w:p>
          <w:p w14:paraId="23808F6B" w14:textId="77777777" w:rsidR="00BC6C8B" w:rsidRPr="004833AF" w:rsidRDefault="00BC6C8B" w:rsidP="00BC6C8B">
            <w:pPr>
              <w:pStyle w:val="Paragraphedeliste"/>
              <w:numPr>
                <w:ilvl w:val="0"/>
                <w:numId w:val="485"/>
              </w:numPr>
              <w:spacing w:after="0" w:line="240" w:lineRule="auto"/>
              <w:ind w:left="316"/>
              <w:rPr>
                <w:rFonts w:ascii="Times New Roman" w:hAnsi="Times New Roman" w:cs="Times New Roman"/>
                <w:bCs/>
                <w:color w:val="000000"/>
              </w:rPr>
            </w:pPr>
            <w:r w:rsidRPr="004833AF">
              <w:rPr>
                <w:rFonts w:ascii="Times New Roman" w:hAnsi="Times New Roman" w:cs="Times New Roman"/>
                <w:bCs/>
                <w:color w:val="000000"/>
              </w:rPr>
              <w:t xml:space="preserve">Regroupement de 47 localités dans la wilaya du Hodh Echargui, </w:t>
            </w:r>
          </w:p>
          <w:p w14:paraId="160ABA5D" w14:textId="77777777" w:rsidR="00BC6C8B" w:rsidRPr="004833AF" w:rsidRDefault="00BC6C8B" w:rsidP="00BC6C8B">
            <w:pPr>
              <w:pStyle w:val="Paragraphedeliste"/>
              <w:numPr>
                <w:ilvl w:val="0"/>
                <w:numId w:val="485"/>
              </w:numPr>
              <w:spacing w:after="0" w:line="240" w:lineRule="auto"/>
              <w:ind w:left="316"/>
              <w:rPr>
                <w:rFonts w:ascii="Times New Roman" w:hAnsi="Times New Roman" w:cs="Times New Roman"/>
              </w:rPr>
            </w:pPr>
            <w:r w:rsidRPr="004833AF">
              <w:rPr>
                <w:rFonts w:ascii="Times New Roman" w:hAnsi="Times New Roman" w:cs="Times New Roman"/>
                <w:bCs/>
                <w:color w:val="000000"/>
              </w:rPr>
              <w:t xml:space="preserve">Regroupement de 33 localités dans les wilayas du Gorgol, de l'Adrar, du Trarza et de l'Assaba)  </w:t>
            </w:r>
          </w:p>
        </w:tc>
        <w:tc>
          <w:tcPr>
            <w:tcW w:w="1293" w:type="dxa"/>
            <w:shd w:val="clear" w:color="auto" w:fill="auto"/>
          </w:tcPr>
          <w:p w14:paraId="349C47FE"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MHU</w:t>
            </w:r>
            <w:r>
              <w:rPr>
                <w:rFonts w:ascii="Times New Roman" w:hAnsi="Times New Roman" w:cs="Times New Roman"/>
                <w:bCs/>
                <w:color w:val="000000"/>
              </w:rPr>
              <w:t>AT</w:t>
            </w:r>
          </w:p>
        </w:tc>
        <w:tc>
          <w:tcPr>
            <w:tcW w:w="1495" w:type="dxa"/>
            <w:shd w:val="clear" w:color="auto" w:fill="auto"/>
          </w:tcPr>
          <w:p w14:paraId="6A82BCAE"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w:t>
            </w:r>
          </w:p>
        </w:tc>
        <w:tc>
          <w:tcPr>
            <w:tcW w:w="1220" w:type="dxa"/>
            <w:shd w:val="clear" w:color="auto" w:fill="auto"/>
          </w:tcPr>
          <w:p w14:paraId="348D3E25"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2023-2030</w:t>
            </w:r>
          </w:p>
        </w:tc>
        <w:tc>
          <w:tcPr>
            <w:tcW w:w="1704" w:type="dxa"/>
            <w:shd w:val="clear" w:color="auto" w:fill="auto"/>
          </w:tcPr>
          <w:p w14:paraId="2995F09A" w14:textId="77777777" w:rsidR="00BC6C8B" w:rsidRPr="002B069F" w:rsidRDefault="00BC6C8B" w:rsidP="00EE0E23">
            <w:pPr>
              <w:jc w:val="center"/>
              <w:rPr>
                <w:rFonts w:ascii="Times New Roman" w:hAnsi="Times New Roman" w:cs="Times New Roman"/>
              </w:rPr>
            </w:pPr>
            <w:r w:rsidRPr="002B069F">
              <w:rPr>
                <w:rFonts w:ascii="Times New Roman" w:hAnsi="Times New Roman" w:cs="Times New Roman"/>
                <w:bCs/>
                <w:color w:val="000000"/>
              </w:rPr>
              <w:t>360</w:t>
            </w:r>
          </w:p>
        </w:tc>
        <w:tc>
          <w:tcPr>
            <w:tcW w:w="1562" w:type="dxa"/>
            <w:shd w:val="clear" w:color="auto" w:fill="auto"/>
          </w:tcPr>
          <w:p w14:paraId="783C11A5"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 xml:space="preserve">                 700   </w:t>
            </w:r>
          </w:p>
        </w:tc>
      </w:tr>
      <w:tr w:rsidR="00BC6C8B" w:rsidRPr="002B069F" w14:paraId="322FE0DA" w14:textId="77777777" w:rsidTr="00EE0E23">
        <w:trPr>
          <w:trHeight w:val="1833"/>
        </w:trPr>
        <w:tc>
          <w:tcPr>
            <w:tcW w:w="2972" w:type="dxa"/>
            <w:shd w:val="clear" w:color="auto" w:fill="auto"/>
          </w:tcPr>
          <w:p w14:paraId="7C6D5266" w14:textId="77777777" w:rsidR="00BC6C8B" w:rsidRDefault="00BC6C8B" w:rsidP="00EE0E23">
            <w:pPr>
              <w:spacing w:after="0" w:line="240" w:lineRule="auto"/>
              <w:ind w:right="-176"/>
              <w:rPr>
                <w:rFonts w:ascii="Times New Roman" w:hAnsi="Times New Roman" w:cs="Times New Roman"/>
                <w:bCs/>
                <w:color w:val="000000"/>
              </w:rPr>
            </w:pPr>
            <w:r w:rsidRPr="002B069F">
              <w:rPr>
                <w:rFonts w:ascii="Times New Roman" w:hAnsi="Times New Roman" w:cs="Times New Roman"/>
                <w:bCs/>
                <w:color w:val="000000"/>
              </w:rPr>
              <w:t>La viabilisation et la modernisation des villes et des cités :</w:t>
            </w:r>
          </w:p>
          <w:p w14:paraId="08FF17AE" w14:textId="77777777" w:rsidR="00BC6C8B" w:rsidRPr="00642C5B" w:rsidRDefault="00BC6C8B" w:rsidP="00BC6C8B">
            <w:pPr>
              <w:pStyle w:val="Paragraphedeliste"/>
              <w:numPr>
                <w:ilvl w:val="1"/>
                <w:numId w:val="484"/>
              </w:numPr>
              <w:spacing w:after="0" w:line="240" w:lineRule="auto"/>
              <w:ind w:left="316" w:right="-176" w:hanging="316"/>
              <w:rPr>
                <w:rFonts w:ascii="Times New Roman" w:hAnsi="Times New Roman" w:cs="Times New Roman"/>
                <w:bCs/>
                <w:color w:val="000000"/>
              </w:rPr>
            </w:pPr>
            <w:r w:rsidRPr="00642C5B">
              <w:rPr>
                <w:rFonts w:ascii="Times New Roman" w:hAnsi="Times New Roman" w:cs="Times New Roman"/>
                <w:bCs/>
                <w:color w:val="000000"/>
              </w:rPr>
              <w:t xml:space="preserve">Etude d'évaluation de la vulnérabilité urbaine de 15 villes face aux changements climatiques ; </w:t>
            </w:r>
          </w:p>
          <w:p w14:paraId="3D3C352B" w14:textId="77777777" w:rsidR="00BC6C8B" w:rsidRPr="00642C5B" w:rsidRDefault="00BC6C8B" w:rsidP="00BC6C8B">
            <w:pPr>
              <w:pStyle w:val="Paragraphedeliste"/>
              <w:numPr>
                <w:ilvl w:val="1"/>
                <w:numId w:val="484"/>
              </w:numPr>
              <w:spacing w:after="0" w:line="240" w:lineRule="auto"/>
              <w:ind w:left="316" w:right="-176" w:hanging="316"/>
              <w:rPr>
                <w:rFonts w:ascii="Times New Roman" w:hAnsi="Times New Roman" w:cs="Times New Roman"/>
                <w:bCs/>
                <w:color w:val="000000"/>
              </w:rPr>
            </w:pPr>
            <w:r w:rsidRPr="00642C5B">
              <w:rPr>
                <w:rFonts w:ascii="Times New Roman" w:hAnsi="Times New Roman" w:cs="Times New Roman"/>
                <w:bCs/>
                <w:color w:val="000000"/>
              </w:rPr>
              <w:t>Etudes d'évaluation de la vulnérabilité aux changements climatiques des principales villes ;</w:t>
            </w:r>
          </w:p>
          <w:p w14:paraId="49D08CFC" w14:textId="77777777" w:rsidR="00BC6C8B" w:rsidRPr="00642C5B" w:rsidRDefault="00BC6C8B" w:rsidP="00BC6C8B">
            <w:pPr>
              <w:pStyle w:val="Paragraphedeliste"/>
              <w:numPr>
                <w:ilvl w:val="1"/>
                <w:numId w:val="484"/>
              </w:numPr>
              <w:spacing w:after="0" w:line="240" w:lineRule="auto"/>
              <w:ind w:left="316" w:right="-176" w:hanging="316"/>
              <w:rPr>
                <w:rFonts w:ascii="Times New Roman" w:hAnsi="Times New Roman" w:cs="Times New Roman"/>
              </w:rPr>
            </w:pPr>
            <w:r w:rsidRPr="00642C5B">
              <w:rPr>
                <w:rFonts w:ascii="Times New Roman" w:hAnsi="Times New Roman" w:cs="Times New Roman"/>
                <w:bCs/>
                <w:color w:val="000000"/>
              </w:rPr>
              <w:t xml:space="preserve">Elaboration de </w:t>
            </w:r>
            <w:r w:rsidRPr="00642C5B">
              <w:rPr>
                <w:rFonts w:ascii="Times New Roman" w:hAnsi="Times New Roman" w:cs="Times New Roman"/>
                <w:bCs/>
                <w:color w:val="000000"/>
                <w:sz w:val="20"/>
                <w:szCs w:val="20"/>
              </w:rPr>
              <w:t>SDAUs</w:t>
            </w:r>
            <w:r w:rsidRPr="00642C5B">
              <w:rPr>
                <w:rFonts w:ascii="Times New Roman" w:hAnsi="Times New Roman" w:cs="Times New Roman"/>
                <w:bCs/>
                <w:color w:val="000000"/>
              </w:rPr>
              <w:t xml:space="preserve"> </w:t>
            </w:r>
            <w:r w:rsidRPr="00642C5B">
              <w:rPr>
                <w:rFonts w:ascii="Times New Roman" w:hAnsi="Times New Roman" w:cs="Times New Roman"/>
                <w:bCs/>
                <w:color w:val="000000"/>
                <w:sz w:val="18"/>
                <w:szCs w:val="18"/>
              </w:rPr>
              <w:t>simplifiés</w:t>
            </w:r>
            <w:r w:rsidRPr="00642C5B">
              <w:rPr>
                <w:rFonts w:ascii="Times New Roman" w:hAnsi="Times New Roman" w:cs="Times New Roman"/>
                <w:bCs/>
                <w:color w:val="000000"/>
              </w:rPr>
              <w:t xml:space="preserve"> </w:t>
            </w:r>
            <w:r w:rsidRPr="00642C5B">
              <w:rPr>
                <w:rFonts w:ascii="Times New Roman" w:hAnsi="Times New Roman" w:cs="Times New Roman"/>
                <w:bCs/>
                <w:color w:val="000000"/>
                <w:sz w:val="20"/>
                <w:szCs w:val="20"/>
              </w:rPr>
              <w:t>pour les villes de plus de 20 000 habitants</w:t>
            </w:r>
            <w:r w:rsidRPr="00642C5B">
              <w:rPr>
                <w:rFonts w:ascii="Times New Roman" w:hAnsi="Times New Roman" w:cs="Times New Roman"/>
                <w:bCs/>
                <w:color w:val="000000"/>
              </w:rPr>
              <w:t>,</w:t>
            </w:r>
          </w:p>
        </w:tc>
        <w:tc>
          <w:tcPr>
            <w:tcW w:w="1293" w:type="dxa"/>
            <w:shd w:val="clear" w:color="auto" w:fill="auto"/>
          </w:tcPr>
          <w:p w14:paraId="60BD7BA2"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MHU</w:t>
            </w:r>
            <w:r>
              <w:rPr>
                <w:rFonts w:ascii="Times New Roman" w:hAnsi="Times New Roman" w:cs="Times New Roman"/>
                <w:bCs/>
                <w:color w:val="000000"/>
              </w:rPr>
              <w:t>AT</w:t>
            </w:r>
          </w:p>
        </w:tc>
        <w:tc>
          <w:tcPr>
            <w:tcW w:w="1495" w:type="dxa"/>
            <w:shd w:val="clear" w:color="auto" w:fill="auto"/>
          </w:tcPr>
          <w:p w14:paraId="603CD8C1"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Banque Mondiale</w:t>
            </w:r>
          </w:p>
        </w:tc>
        <w:tc>
          <w:tcPr>
            <w:tcW w:w="1220" w:type="dxa"/>
            <w:shd w:val="clear" w:color="auto" w:fill="auto"/>
          </w:tcPr>
          <w:p w14:paraId="19545B54"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2023-2030</w:t>
            </w:r>
          </w:p>
        </w:tc>
        <w:tc>
          <w:tcPr>
            <w:tcW w:w="1704" w:type="dxa"/>
            <w:shd w:val="clear" w:color="auto" w:fill="auto"/>
          </w:tcPr>
          <w:p w14:paraId="5440589E" w14:textId="77777777" w:rsidR="00BC6C8B" w:rsidRPr="002B069F" w:rsidRDefault="00BC6C8B" w:rsidP="00EE0E23">
            <w:pPr>
              <w:jc w:val="center"/>
              <w:rPr>
                <w:rFonts w:ascii="Times New Roman" w:hAnsi="Times New Roman" w:cs="Times New Roman"/>
              </w:rPr>
            </w:pPr>
            <w:r w:rsidRPr="002B069F">
              <w:rPr>
                <w:rFonts w:ascii="Times New Roman" w:hAnsi="Times New Roman" w:cs="Times New Roman"/>
                <w:bCs/>
                <w:color w:val="000000"/>
              </w:rPr>
              <w:t>250</w:t>
            </w:r>
          </w:p>
        </w:tc>
        <w:tc>
          <w:tcPr>
            <w:tcW w:w="1562" w:type="dxa"/>
            <w:shd w:val="clear" w:color="auto" w:fill="auto"/>
          </w:tcPr>
          <w:p w14:paraId="43947A98" w14:textId="77777777" w:rsidR="00BC6C8B" w:rsidRPr="002B069F" w:rsidRDefault="00BC6C8B" w:rsidP="00EE0E23">
            <w:pPr>
              <w:jc w:val="center"/>
              <w:rPr>
                <w:rFonts w:ascii="Times New Roman" w:hAnsi="Times New Roman" w:cs="Times New Roman"/>
              </w:rPr>
            </w:pPr>
            <w:r w:rsidRPr="002B069F">
              <w:rPr>
                <w:rFonts w:ascii="Times New Roman" w:hAnsi="Times New Roman" w:cs="Times New Roman"/>
                <w:bCs/>
                <w:color w:val="000000"/>
              </w:rPr>
              <w:t>90</w:t>
            </w:r>
          </w:p>
        </w:tc>
      </w:tr>
      <w:tr w:rsidR="00BC6C8B" w:rsidRPr="002B069F" w14:paraId="236317B1" w14:textId="77777777" w:rsidTr="00EE0E23">
        <w:tc>
          <w:tcPr>
            <w:tcW w:w="2972" w:type="dxa"/>
            <w:shd w:val="clear" w:color="auto" w:fill="auto"/>
          </w:tcPr>
          <w:p w14:paraId="71D1D78B" w14:textId="77777777" w:rsidR="00BC6C8B" w:rsidRPr="002B069F" w:rsidRDefault="00BC6C8B" w:rsidP="00EE0E23">
            <w:pPr>
              <w:spacing w:after="0" w:line="240" w:lineRule="auto"/>
              <w:ind w:left="-110" w:right="-176"/>
              <w:rPr>
                <w:rFonts w:ascii="Times New Roman" w:hAnsi="Times New Roman" w:cs="Times New Roman"/>
              </w:rPr>
            </w:pPr>
            <w:r w:rsidRPr="002B069F">
              <w:rPr>
                <w:rFonts w:ascii="Times New Roman" w:hAnsi="Times New Roman" w:cs="Times New Roman"/>
                <w:bCs/>
                <w:color w:val="000000"/>
              </w:rPr>
              <w:t>Le développement de politiques de L’habitat</w:t>
            </w:r>
            <w:r>
              <w:rPr>
                <w:rFonts w:ascii="Times New Roman" w:hAnsi="Times New Roman" w:cs="Times New Roman"/>
                <w:bCs/>
                <w:color w:val="000000"/>
              </w:rPr>
              <w:t xml:space="preserve"> </w:t>
            </w:r>
            <w:r w:rsidRPr="002B069F">
              <w:rPr>
                <w:rFonts w:ascii="Times New Roman" w:hAnsi="Times New Roman" w:cs="Times New Roman"/>
                <w:bCs/>
                <w:color w:val="000000"/>
              </w:rPr>
              <w:t>et la promotion immobilière : 1 Mise en place d'un cadre juridique régissant la promotion immobilière ; 2- Création et mise en place d'un mécanisme de financement de l'habitat</w:t>
            </w:r>
          </w:p>
        </w:tc>
        <w:tc>
          <w:tcPr>
            <w:tcW w:w="1293" w:type="dxa"/>
            <w:shd w:val="clear" w:color="auto" w:fill="auto"/>
          </w:tcPr>
          <w:p w14:paraId="1A46F339" w14:textId="77777777" w:rsidR="00BC6C8B" w:rsidRPr="002B069F" w:rsidRDefault="00BC6C8B" w:rsidP="00EE0E23">
            <w:pPr>
              <w:rPr>
                <w:rFonts w:ascii="Times New Roman" w:hAnsi="Times New Roman" w:cs="Times New Roman"/>
                <w:bCs/>
                <w:color w:val="000000"/>
              </w:rPr>
            </w:pPr>
          </w:p>
          <w:p w14:paraId="2EED91C6"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MHUAT</w:t>
            </w:r>
          </w:p>
        </w:tc>
        <w:tc>
          <w:tcPr>
            <w:tcW w:w="1495" w:type="dxa"/>
            <w:shd w:val="clear" w:color="auto" w:fill="auto"/>
          </w:tcPr>
          <w:p w14:paraId="6AFE1804"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Secteur privé, BIT, Banques, CDD et ONG</w:t>
            </w:r>
          </w:p>
        </w:tc>
        <w:tc>
          <w:tcPr>
            <w:tcW w:w="1220" w:type="dxa"/>
            <w:shd w:val="clear" w:color="auto" w:fill="auto"/>
          </w:tcPr>
          <w:p w14:paraId="30EC4F69"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2023-2030</w:t>
            </w:r>
          </w:p>
        </w:tc>
        <w:tc>
          <w:tcPr>
            <w:tcW w:w="1704" w:type="dxa"/>
            <w:shd w:val="clear" w:color="auto" w:fill="auto"/>
          </w:tcPr>
          <w:p w14:paraId="74AF2FA8" w14:textId="77777777" w:rsidR="00BC6C8B" w:rsidRPr="002B069F" w:rsidRDefault="00BC6C8B" w:rsidP="00EE0E23">
            <w:pPr>
              <w:jc w:val="center"/>
              <w:rPr>
                <w:rFonts w:ascii="Times New Roman" w:hAnsi="Times New Roman" w:cs="Times New Roman"/>
              </w:rPr>
            </w:pPr>
            <w:r w:rsidRPr="002B069F">
              <w:rPr>
                <w:rFonts w:ascii="Times New Roman" w:hAnsi="Times New Roman" w:cs="Times New Roman"/>
                <w:bCs/>
                <w:color w:val="000000"/>
              </w:rPr>
              <w:t>45</w:t>
            </w:r>
          </w:p>
        </w:tc>
        <w:tc>
          <w:tcPr>
            <w:tcW w:w="1562" w:type="dxa"/>
            <w:shd w:val="clear" w:color="auto" w:fill="auto"/>
          </w:tcPr>
          <w:p w14:paraId="7FC428ED"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 xml:space="preserve">             3 200   </w:t>
            </w:r>
          </w:p>
        </w:tc>
      </w:tr>
      <w:tr w:rsidR="00BC6C8B" w:rsidRPr="002B069F" w14:paraId="280112D4" w14:textId="77777777" w:rsidTr="00EE0E23">
        <w:tc>
          <w:tcPr>
            <w:tcW w:w="2972" w:type="dxa"/>
            <w:shd w:val="clear" w:color="auto" w:fill="auto"/>
          </w:tcPr>
          <w:p w14:paraId="2B90A410" w14:textId="77777777" w:rsidR="00BC6C8B" w:rsidRDefault="00BC6C8B" w:rsidP="00EE0E23">
            <w:pPr>
              <w:spacing w:after="0" w:line="240" w:lineRule="auto"/>
              <w:ind w:right="-107"/>
              <w:rPr>
                <w:rFonts w:ascii="Times New Roman" w:hAnsi="Times New Roman" w:cs="Times New Roman"/>
                <w:bCs/>
                <w:color w:val="000000"/>
              </w:rPr>
            </w:pPr>
            <w:r w:rsidRPr="002B069F">
              <w:rPr>
                <w:rFonts w:ascii="Times New Roman" w:hAnsi="Times New Roman" w:cs="Times New Roman"/>
                <w:bCs/>
                <w:color w:val="000000"/>
              </w:rPr>
              <w:t xml:space="preserve">La protection de </w:t>
            </w:r>
            <w:r>
              <w:rPr>
                <w:rFonts w:ascii="Times New Roman" w:hAnsi="Times New Roman" w:cs="Times New Roman"/>
                <w:bCs/>
                <w:color w:val="000000"/>
              </w:rPr>
              <w:t>l</w:t>
            </w:r>
            <w:r w:rsidRPr="002B069F">
              <w:rPr>
                <w:rFonts w:ascii="Times New Roman" w:hAnsi="Times New Roman" w:cs="Times New Roman"/>
                <w:bCs/>
                <w:color w:val="000000"/>
              </w:rPr>
              <w:t xml:space="preserve">’environnement : </w:t>
            </w:r>
          </w:p>
          <w:p w14:paraId="66F2CD95" w14:textId="77777777" w:rsidR="00BC6C8B" w:rsidRDefault="00BC6C8B" w:rsidP="00BC6C8B">
            <w:pPr>
              <w:pStyle w:val="Paragraphedeliste"/>
              <w:numPr>
                <w:ilvl w:val="0"/>
                <w:numId w:val="488"/>
              </w:numPr>
              <w:spacing w:after="0" w:line="240" w:lineRule="auto"/>
              <w:ind w:left="316" w:right="-107"/>
              <w:rPr>
                <w:rFonts w:ascii="Times New Roman" w:hAnsi="Times New Roman" w:cs="Times New Roman"/>
                <w:bCs/>
                <w:color w:val="000000"/>
              </w:rPr>
            </w:pPr>
            <w:r w:rsidRPr="00945A46">
              <w:rPr>
                <w:rFonts w:ascii="Times New Roman" w:hAnsi="Times New Roman" w:cs="Times New Roman"/>
                <w:bCs/>
                <w:color w:val="000000"/>
              </w:rPr>
              <w:t>Création d'une ceinture verte autour de Nouakchott,</w:t>
            </w:r>
          </w:p>
          <w:p w14:paraId="0BC5A9D2" w14:textId="77777777" w:rsidR="00BC6C8B" w:rsidRPr="0033698E" w:rsidRDefault="00BC6C8B" w:rsidP="00BC6C8B">
            <w:pPr>
              <w:pStyle w:val="Paragraphedeliste"/>
              <w:numPr>
                <w:ilvl w:val="0"/>
                <w:numId w:val="488"/>
              </w:numPr>
              <w:spacing w:after="0" w:line="240" w:lineRule="auto"/>
              <w:ind w:left="316" w:right="-107"/>
              <w:rPr>
                <w:rFonts w:ascii="Times New Roman" w:hAnsi="Times New Roman" w:cs="Times New Roman"/>
              </w:rPr>
            </w:pPr>
            <w:r w:rsidRPr="000A3EE9">
              <w:rPr>
                <w:rFonts w:ascii="Times New Roman" w:hAnsi="Times New Roman" w:cs="Times New Roman"/>
                <w:bCs/>
                <w:color w:val="000000"/>
              </w:rPr>
              <w:t xml:space="preserve">Développement d'espaces verts et de parcs récréatifs dans les quartiers périphériques de Nouakchott, Réalisation d'un canal de protection contre les inondations des Communes d'El Mina et de Sebkha, </w:t>
            </w:r>
          </w:p>
          <w:p w14:paraId="391084DA" w14:textId="77777777" w:rsidR="00BC6C8B" w:rsidRPr="0033698E" w:rsidRDefault="00BC6C8B" w:rsidP="00BC6C8B">
            <w:pPr>
              <w:pStyle w:val="Paragraphedeliste"/>
              <w:numPr>
                <w:ilvl w:val="0"/>
                <w:numId w:val="488"/>
              </w:numPr>
              <w:spacing w:after="0" w:line="240" w:lineRule="auto"/>
              <w:ind w:left="316" w:right="-107"/>
              <w:rPr>
                <w:rFonts w:ascii="Times New Roman" w:hAnsi="Times New Roman" w:cs="Times New Roman"/>
              </w:rPr>
            </w:pPr>
            <w:r w:rsidRPr="0033698E">
              <w:rPr>
                <w:rFonts w:ascii="Times New Roman" w:hAnsi="Times New Roman" w:cs="Times New Roman"/>
                <w:bCs/>
                <w:color w:val="000000"/>
              </w:rPr>
              <w:t>Construction de digues de protection contre les inondations et la remontée des eaux du fleuve des quartiers de Touldé (Kaédi), de la ville de Tékane et de la digue de protection de la ville d'Akjoujt.</w:t>
            </w:r>
          </w:p>
        </w:tc>
        <w:tc>
          <w:tcPr>
            <w:tcW w:w="1293" w:type="dxa"/>
            <w:shd w:val="clear" w:color="auto" w:fill="auto"/>
          </w:tcPr>
          <w:p w14:paraId="49C57570" w14:textId="77777777" w:rsidR="00BC6C8B" w:rsidRPr="002B069F" w:rsidRDefault="00BC6C8B" w:rsidP="00EE0E23">
            <w:pPr>
              <w:jc w:val="center"/>
              <w:rPr>
                <w:rFonts w:ascii="Times New Roman" w:hAnsi="Times New Roman" w:cs="Times New Roman"/>
              </w:rPr>
            </w:pPr>
            <w:r w:rsidRPr="002B069F">
              <w:rPr>
                <w:rFonts w:ascii="Times New Roman" w:hAnsi="Times New Roman" w:cs="Times New Roman"/>
                <w:bCs/>
                <w:color w:val="000000"/>
              </w:rPr>
              <w:t>MHUAT</w:t>
            </w:r>
          </w:p>
        </w:tc>
        <w:tc>
          <w:tcPr>
            <w:tcW w:w="1495" w:type="dxa"/>
            <w:shd w:val="clear" w:color="auto" w:fill="auto"/>
          </w:tcPr>
          <w:p w14:paraId="37372626"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 xml:space="preserve">Secteur privé </w:t>
            </w:r>
          </w:p>
        </w:tc>
        <w:tc>
          <w:tcPr>
            <w:tcW w:w="1220" w:type="dxa"/>
            <w:shd w:val="clear" w:color="auto" w:fill="auto"/>
          </w:tcPr>
          <w:p w14:paraId="59BF5F30"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2023-2030</w:t>
            </w:r>
          </w:p>
        </w:tc>
        <w:tc>
          <w:tcPr>
            <w:tcW w:w="1704" w:type="dxa"/>
            <w:shd w:val="clear" w:color="auto" w:fill="auto"/>
          </w:tcPr>
          <w:p w14:paraId="1DB3970C" w14:textId="77777777" w:rsidR="00BC6C8B" w:rsidRPr="002B069F" w:rsidRDefault="00BC6C8B" w:rsidP="00EE0E23">
            <w:pPr>
              <w:jc w:val="center"/>
              <w:rPr>
                <w:rFonts w:ascii="Times New Roman" w:hAnsi="Times New Roman" w:cs="Times New Roman"/>
              </w:rPr>
            </w:pPr>
            <w:r w:rsidRPr="002B069F">
              <w:rPr>
                <w:rFonts w:ascii="Times New Roman" w:hAnsi="Times New Roman" w:cs="Times New Roman"/>
                <w:bCs/>
                <w:color w:val="000000"/>
              </w:rPr>
              <w:t>200</w:t>
            </w:r>
          </w:p>
        </w:tc>
        <w:tc>
          <w:tcPr>
            <w:tcW w:w="1562" w:type="dxa"/>
            <w:shd w:val="clear" w:color="auto" w:fill="auto"/>
          </w:tcPr>
          <w:p w14:paraId="0DB65C56"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 xml:space="preserve">             1 210   </w:t>
            </w:r>
          </w:p>
        </w:tc>
      </w:tr>
      <w:tr w:rsidR="00BC6C8B" w:rsidRPr="002B069F" w14:paraId="16D70646" w14:textId="77777777" w:rsidTr="00EE0E23">
        <w:trPr>
          <w:trHeight w:val="6506"/>
        </w:trPr>
        <w:tc>
          <w:tcPr>
            <w:tcW w:w="2972" w:type="dxa"/>
            <w:shd w:val="clear" w:color="auto" w:fill="auto"/>
          </w:tcPr>
          <w:p w14:paraId="4C3C22B6" w14:textId="77777777" w:rsidR="00BC6C8B" w:rsidRPr="0033698E" w:rsidRDefault="00BC6C8B" w:rsidP="00EE0E23">
            <w:pPr>
              <w:spacing w:after="0" w:line="240" w:lineRule="auto"/>
              <w:ind w:right="-176"/>
              <w:rPr>
                <w:rFonts w:ascii="Times New Roman" w:hAnsi="Times New Roman" w:cs="Times New Roman"/>
                <w:b/>
                <w:color w:val="000000"/>
              </w:rPr>
            </w:pPr>
            <w:r w:rsidRPr="0033698E">
              <w:rPr>
                <w:rFonts w:ascii="Times New Roman" w:hAnsi="Times New Roman" w:cs="Times New Roman"/>
                <w:b/>
                <w:color w:val="000000"/>
              </w:rPr>
              <w:t xml:space="preserve">Promotion de l'utilisation matériaux locaux dans la construction de l'habitat : </w:t>
            </w:r>
          </w:p>
          <w:p w14:paraId="3A0C75D6" w14:textId="77777777" w:rsidR="00BC6C8B" w:rsidRPr="000A3EE9" w:rsidRDefault="00BC6C8B" w:rsidP="00BC6C8B">
            <w:pPr>
              <w:pStyle w:val="Paragraphedeliste"/>
              <w:numPr>
                <w:ilvl w:val="1"/>
                <w:numId w:val="446"/>
              </w:numPr>
              <w:spacing w:after="0" w:line="240" w:lineRule="auto"/>
              <w:ind w:left="316" w:right="-176"/>
              <w:rPr>
                <w:rFonts w:ascii="Times New Roman" w:hAnsi="Times New Roman" w:cs="Times New Roman"/>
                <w:bCs/>
                <w:color w:val="000000"/>
              </w:rPr>
            </w:pPr>
            <w:r w:rsidRPr="000A3EE9">
              <w:rPr>
                <w:rFonts w:ascii="Times New Roman" w:hAnsi="Times New Roman" w:cs="Times New Roman"/>
                <w:bCs/>
                <w:color w:val="000000"/>
              </w:rPr>
              <w:t xml:space="preserve">Construction de 35 000 logements en matériaux locaux (BTC, Pisé, pierre et Adobe) au profit des fonctionnaires dans les capitales régionales et les capitales de Moughataa, </w:t>
            </w:r>
          </w:p>
          <w:p w14:paraId="0B1164CB" w14:textId="77777777" w:rsidR="00BC6C8B" w:rsidRPr="000A3EE9" w:rsidRDefault="00BC6C8B" w:rsidP="00BC6C8B">
            <w:pPr>
              <w:pStyle w:val="Paragraphedeliste"/>
              <w:numPr>
                <w:ilvl w:val="1"/>
                <w:numId w:val="446"/>
              </w:numPr>
              <w:spacing w:after="0" w:line="240" w:lineRule="auto"/>
              <w:ind w:left="316" w:right="-176"/>
              <w:rPr>
                <w:rFonts w:ascii="Times New Roman" w:hAnsi="Times New Roman" w:cs="Times New Roman"/>
                <w:bCs/>
                <w:color w:val="000000"/>
              </w:rPr>
            </w:pPr>
            <w:r w:rsidRPr="000A3EE9">
              <w:rPr>
                <w:rFonts w:ascii="Times New Roman" w:hAnsi="Times New Roman" w:cs="Times New Roman"/>
                <w:bCs/>
                <w:color w:val="000000"/>
              </w:rPr>
              <w:t xml:space="preserve">Construction de 2000 logements terriens, </w:t>
            </w:r>
          </w:p>
          <w:p w14:paraId="35546F40" w14:textId="77777777" w:rsidR="00BC6C8B" w:rsidRPr="000A3EE9" w:rsidRDefault="00BC6C8B" w:rsidP="00BC6C8B">
            <w:pPr>
              <w:pStyle w:val="Paragraphedeliste"/>
              <w:numPr>
                <w:ilvl w:val="1"/>
                <w:numId w:val="446"/>
              </w:numPr>
              <w:spacing w:after="0" w:line="240" w:lineRule="auto"/>
              <w:ind w:left="316" w:right="-176"/>
              <w:rPr>
                <w:rFonts w:ascii="Times New Roman" w:hAnsi="Times New Roman" w:cs="Times New Roman"/>
                <w:bCs/>
                <w:color w:val="000000"/>
              </w:rPr>
            </w:pPr>
            <w:r w:rsidRPr="000A3EE9">
              <w:rPr>
                <w:rFonts w:ascii="Times New Roman" w:hAnsi="Times New Roman" w:cs="Times New Roman"/>
                <w:bCs/>
                <w:color w:val="000000"/>
              </w:rPr>
              <w:t xml:space="preserve">Construction d'un siège démonstratif de l'ETER-ML et son centre de développement des matériaux locaux, </w:t>
            </w:r>
          </w:p>
          <w:p w14:paraId="033CCA3D" w14:textId="77777777" w:rsidR="00BC6C8B" w:rsidRPr="0033698E" w:rsidRDefault="00BC6C8B" w:rsidP="00BC6C8B">
            <w:pPr>
              <w:pStyle w:val="Paragraphedeliste"/>
              <w:numPr>
                <w:ilvl w:val="1"/>
                <w:numId w:val="446"/>
              </w:numPr>
              <w:spacing w:after="0" w:line="240" w:lineRule="auto"/>
              <w:ind w:left="316" w:right="-176"/>
              <w:rPr>
                <w:rFonts w:ascii="Times New Roman" w:hAnsi="Times New Roman" w:cs="Times New Roman"/>
              </w:rPr>
            </w:pPr>
            <w:r w:rsidRPr="000A3EE9">
              <w:rPr>
                <w:rFonts w:ascii="Times New Roman" w:hAnsi="Times New Roman" w:cs="Times New Roman"/>
                <w:bCs/>
                <w:color w:val="000000"/>
              </w:rPr>
              <w:t>Construction d'un siège terrien modèle zéro carbone pour le MEDD,</w:t>
            </w:r>
          </w:p>
          <w:p w14:paraId="4E272D6C" w14:textId="77777777" w:rsidR="00BC6C8B" w:rsidRPr="0033698E" w:rsidRDefault="00BC6C8B" w:rsidP="00BC6C8B">
            <w:pPr>
              <w:pStyle w:val="Paragraphedeliste"/>
              <w:numPr>
                <w:ilvl w:val="1"/>
                <w:numId w:val="446"/>
              </w:numPr>
              <w:spacing w:after="0" w:line="240" w:lineRule="auto"/>
              <w:ind w:left="312" w:right="-176" w:hanging="357"/>
              <w:contextualSpacing w:val="0"/>
              <w:rPr>
                <w:rFonts w:ascii="Times New Roman" w:hAnsi="Times New Roman" w:cs="Times New Roman"/>
              </w:rPr>
            </w:pPr>
            <w:r w:rsidRPr="0033698E">
              <w:rPr>
                <w:rFonts w:ascii="Times New Roman" w:hAnsi="Times New Roman" w:cs="Times New Roman"/>
                <w:bCs/>
                <w:color w:val="000000"/>
              </w:rPr>
              <w:t>Réalisation de quatre zones piétonnes dans certains quartiers des villes de Nouakchott, Nouadhibou et Zouérate</w:t>
            </w:r>
          </w:p>
        </w:tc>
        <w:tc>
          <w:tcPr>
            <w:tcW w:w="1293" w:type="dxa"/>
            <w:shd w:val="clear" w:color="auto" w:fill="auto"/>
          </w:tcPr>
          <w:p w14:paraId="500668F8" w14:textId="77777777" w:rsidR="00BC6C8B" w:rsidRPr="002B069F" w:rsidRDefault="00BC6C8B" w:rsidP="00EE0E23">
            <w:pPr>
              <w:jc w:val="center"/>
              <w:rPr>
                <w:rFonts w:ascii="Times New Roman" w:hAnsi="Times New Roman" w:cs="Times New Roman"/>
              </w:rPr>
            </w:pPr>
            <w:r w:rsidRPr="002B069F">
              <w:rPr>
                <w:rFonts w:ascii="Times New Roman" w:hAnsi="Times New Roman" w:cs="Times New Roman"/>
                <w:bCs/>
                <w:color w:val="000000"/>
              </w:rPr>
              <w:t>MHUAT</w:t>
            </w:r>
          </w:p>
        </w:tc>
        <w:tc>
          <w:tcPr>
            <w:tcW w:w="1495" w:type="dxa"/>
            <w:shd w:val="clear" w:color="auto" w:fill="auto"/>
          </w:tcPr>
          <w:p w14:paraId="20F5CFAE"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Secteur privé, BIT, Banques, CDD et ONG</w:t>
            </w:r>
          </w:p>
        </w:tc>
        <w:tc>
          <w:tcPr>
            <w:tcW w:w="1220" w:type="dxa"/>
            <w:shd w:val="clear" w:color="auto" w:fill="auto"/>
          </w:tcPr>
          <w:p w14:paraId="112D1B08"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2023-2030</w:t>
            </w:r>
          </w:p>
        </w:tc>
        <w:tc>
          <w:tcPr>
            <w:tcW w:w="1704" w:type="dxa"/>
            <w:shd w:val="clear" w:color="auto" w:fill="auto"/>
          </w:tcPr>
          <w:p w14:paraId="0A72CD10" w14:textId="77777777" w:rsidR="00BC6C8B" w:rsidRPr="002B069F" w:rsidRDefault="00BC6C8B" w:rsidP="00EE0E23">
            <w:pPr>
              <w:jc w:val="center"/>
              <w:rPr>
                <w:rFonts w:ascii="Times New Roman" w:hAnsi="Times New Roman" w:cs="Times New Roman"/>
              </w:rPr>
            </w:pPr>
            <w:r w:rsidRPr="002B069F">
              <w:rPr>
                <w:rFonts w:ascii="Times New Roman" w:hAnsi="Times New Roman" w:cs="Times New Roman"/>
                <w:bCs/>
                <w:color w:val="000000"/>
              </w:rPr>
              <w:t>475</w:t>
            </w:r>
          </w:p>
        </w:tc>
        <w:tc>
          <w:tcPr>
            <w:tcW w:w="1562" w:type="dxa"/>
            <w:shd w:val="clear" w:color="auto" w:fill="auto"/>
          </w:tcPr>
          <w:p w14:paraId="71319967" w14:textId="77777777" w:rsidR="00BC6C8B" w:rsidRPr="002B069F" w:rsidRDefault="00BC6C8B" w:rsidP="00EE0E23">
            <w:pPr>
              <w:rPr>
                <w:rFonts w:ascii="Times New Roman" w:hAnsi="Times New Roman" w:cs="Times New Roman"/>
              </w:rPr>
            </w:pPr>
            <w:r w:rsidRPr="002B069F">
              <w:rPr>
                <w:rFonts w:ascii="Times New Roman" w:hAnsi="Times New Roman" w:cs="Times New Roman"/>
                <w:bCs/>
                <w:color w:val="000000"/>
              </w:rPr>
              <w:t xml:space="preserve">             1 917   </w:t>
            </w:r>
          </w:p>
        </w:tc>
      </w:tr>
    </w:tbl>
    <w:p w14:paraId="521856AA" w14:textId="77777777" w:rsidR="00BC6C8B" w:rsidRDefault="00BC6C8B" w:rsidP="00BC6C8B">
      <w:pPr>
        <w:pStyle w:val="Titre3"/>
      </w:pPr>
      <w:bookmarkStart w:id="476" w:name="_Toc142911924"/>
      <w:r>
        <w:t>Plan de renforcement des capacités du secteur</w:t>
      </w:r>
      <w:bookmarkEnd w:id="476"/>
      <w:r>
        <w:t xml:space="preserve"> </w:t>
      </w:r>
    </w:p>
    <w:p w14:paraId="0AC18A2F" w14:textId="77777777" w:rsidR="00BC6C8B" w:rsidRPr="00CA3CA0" w:rsidRDefault="00BC6C8B" w:rsidP="00BC6C8B">
      <w:pPr>
        <w:pStyle w:val="Lgende"/>
      </w:pPr>
      <w:bookmarkStart w:id="477" w:name="_Toc142911931"/>
      <w:r>
        <w:t xml:space="preserve">Tableau </w:t>
      </w:r>
      <w:fldSimple w:instr=" SEQ Tableau \* ARABIC ">
        <w:r>
          <w:rPr>
            <w:noProof/>
          </w:rPr>
          <w:t>9</w:t>
        </w:r>
      </w:fldSimple>
      <w:r>
        <w:t>: Mesures et besoins de renforcement en capacités du secteur de l'habitat et de l'urbanisme</w:t>
      </w:r>
      <w:bookmarkEnd w:id="4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1610"/>
        <w:gridCol w:w="1471"/>
        <w:gridCol w:w="1300"/>
        <w:gridCol w:w="1381"/>
        <w:gridCol w:w="850"/>
        <w:gridCol w:w="770"/>
      </w:tblGrid>
      <w:tr w:rsidR="00BC6C8B" w:rsidRPr="00CF395B" w14:paraId="3DE48FBD" w14:textId="77777777" w:rsidTr="00EE0E23">
        <w:trPr>
          <w:trHeight w:val="510"/>
        </w:trPr>
        <w:tc>
          <w:tcPr>
            <w:tcW w:w="1951" w:type="dxa"/>
            <w:vMerge w:val="restart"/>
            <w:shd w:val="clear" w:color="auto" w:fill="auto"/>
          </w:tcPr>
          <w:p w14:paraId="3DDED90F" w14:textId="77777777" w:rsidR="00BC6C8B" w:rsidRPr="00CF395B" w:rsidRDefault="00BC6C8B" w:rsidP="00EE0E23">
            <w:pPr>
              <w:spacing w:after="0" w:line="240" w:lineRule="auto"/>
              <w:rPr>
                <w:rFonts w:ascii="Times New Roman" w:hAnsi="Times New Roman" w:cs="Times New Roman"/>
                <w:b/>
                <w:bCs/>
              </w:rPr>
            </w:pPr>
            <w:r w:rsidRPr="00CF395B">
              <w:rPr>
                <w:rFonts w:ascii="Times New Roman" w:hAnsi="Times New Roman" w:cs="Times New Roman"/>
                <w:b/>
                <w:bCs/>
              </w:rPr>
              <w:t xml:space="preserve">Action de la CDN  </w:t>
            </w:r>
          </w:p>
          <w:p w14:paraId="2939DFD4" w14:textId="5277E1E8" w:rsidR="00BC6C8B" w:rsidRPr="00CF395B" w:rsidRDefault="00BC6C8B" w:rsidP="00EE0E23">
            <w:pPr>
              <w:rPr>
                <w:rFonts w:ascii="Times New Roman" w:hAnsi="Times New Roman" w:cs="Times New Roman"/>
                <w:b/>
                <w:bCs/>
              </w:rPr>
            </w:pPr>
            <w:r w:rsidRPr="00CF395B">
              <w:rPr>
                <w:rFonts w:ascii="Times New Roman" w:hAnsi="Times New Roman" w:cs="Times New Roman"/>
                <w:b/>
                <w:bCs/>
              </w:rPr>
              <w:t>(</w:t>
            </w:r>
            <w:r w:rsidR="00063047">
              <w:rPr>
                <w:rFonts w:ascii="Times New Roman" w:hAnsi="Times New Roman" w:cs="Times New Roman"/>
                <w:b/>
                <w:bCs/>
              </w:rPr>
              <w:t xml:space="preserve"> </w:t>
            </w:r>
            <w:r w:rsidRPr="00CF395B">
              <w:rPr>
                <w:rFonts w:ascii="Times New Roman" w:hAnsi="Times New Roman" w:cs="Times New Roman"/>
                <w:b/>
                <w:bCs/>
              </w:rPr>
              <w:t>horizon 2030)</w:t>
            </w:r>
          </w:p>
        </w:tc>
        <w:tc>
          <w:tcPr>
            <w:tcW w:w="2977" w:type="dxa"/>
            <w:tcBorders>
              <w:right w:val="nil"/>
            </w:tcBorders>
            <w:shd w:val="clear" w:color="auto" w:fill="auto"/>
            <w:vAlign w:val="center"/>
          </w:tcPr>
          <w:p w14:paraId="2C4C9784" w14:textId="77777777" w:rsidR="00BC6C8B" w:rsidRPr="00CF395B" w:rsidRDefault="00BC6C8B" w:rsidP="00EE0E23">
            <w:pPr>
              <w:spacing w:after="0" w:line="240" w:lineRule="auto"/>
              <w:jc w:val="center"/>
              <w:rPr>
                <w:rFonts w:ascii="Times New Roman" w:hAnsi="Times New Roman" w:cs="Times New Roman"/>
                <w:b/>
                <w:bCs/>
              </w:rPr>
            </w:pPr>
            <w:r w:rsidRPr="00CF395B">
              <w:rPr>
                <w:rFonts w:ascii="Times New Roman" w:hAnsi="Times New Roman" w:cs="Times New Roman"/>
                <w:b/>
                <w:bCs/>
              </w:rPr>
              <w:t>Besoins requis</w:t>
            </w:r>
          </w:p>
        </w:tc>
        <w:tc>
          <w:tcPr>
            <w:tcW w:w="1984" w:type="dxa"/>
            <w:tcBorders>
              <w:left w:val="nil"/>
              <w:right w:val="single" w:sz="4" w:space="0" w:color="auto"/>
            </w:tcBorders>
            <w:shd w:val="clear" w:color="auto" w:fill="auto"/>
          </w:tcPr>
          <w:p w14:paraId="115D7215" w14:textId="77777777" w:rsidR="00BC6C8B" w:rsidRPr="00CF395B" w:rsidRDefault="00BC6C8B" w:rsidP="00EE0E23">
            <w:pPr>
              <w:rPr>
                <w:rFonts w:ascii="Times New Roman" w:hAnsi="Times New Roman" w:cs="Times New Roman"/>
                <w:b/>
                <w:bCs/>
              </w:rPr>
            </w:pPr>
          </w:p>
        </w:tc>
        <w:tc>
          <w:tcPr>
            <w:tcW w:w="1560" w:type="dxa"/>
            <w:tcBorders>
              <w:left w:val="single" w:sz="4" w:space="0" w:color="auto"/>
              <w:right w:val="single" w:sz="4" w:space="0" w:color="auto"/>
            </w:tcBorders>
            <w:shd w:val="clear" w:color="auto" w:fill="auto"/>
          </w:tcPr>
          <w:p w14:paraId="48EE3BE9" w14:textId="77777777" w:rsidR="00BC6C8B" w:rsidRPr="00CF395B" w:rsidRDefault="00BC6C8B" w:rsidP="00EE0E23">
            <w:pPr>
              <w:rPr>
                <w:rFonts w:ascii="Times New Roman" w:hAnsi="Times New Roman" w:cs="Times New Roman"/>
                <w:b/>
                <w:bCs/>
              </w:rPr>
            </w:pPr>
          </w:p>
        </w:tc>
        <w:tc>
          <w:tcPr>
            <w:tcW w:w="1538" w:type="dxa"/>
            <w:tcBorders>
              <w:left w:val="single" w:sz="4" w:space="0" w:color="auto"/>
              <w:right w:val="single" w:sz="4" w:space="0" w:color="auto"/>
            </w:tcBorders>
            <w:shd w:val="clear" w:color="auto" w:fill="auto"/>
          </w:tcPr>
          <w:p w14:paraId="767D40E5" w14:textId="77777777" w:rsidR="00BC6C8B" w:rsidRPr="00CF395B" w:rsidRDefault="00BC6C8B" w:rsidP="00EE0E23">
            <w:pPr>
              <w:rPr>
                <w:rFonts w:ascii="Times New Roman" w:hAnsi="Times New Roman" w:cs="Times New Roman"/>
                <w:b/>
                <w:bCs/>
              </w:rPr>
            </w:pPr>
          </w:p>
        </w:tc>
        <w:tc>
          <w:tcPr>
            <w:tcW w:w="2976" w:type="dxa"/>
            <w:gridSpan w:val="2"/>
            <w:tcBorders>
              <w:left w:val="single" w:sz="4" w:space="0" w:color="auto"/>
            </w:tcBorders>
            <w:shd w:val="clear" w:color="auto" w:fill="auto"/>
          </w:tcPr>
          <w:p w14:paraId="3E2F7692" w14:textId="77777777" w:rsidR="00BC6C8B" w:rsidRPr="00CF395B" w:rsidRDefault="00BC6C8B" w:rsidP="00EE0E23">
            <w:pPr>
              <w:jc w:val="center"/>
              <w:rPr>
                <w:rFonts w:ascii="Times New Roman" w:hAnsi="Times New Roman" w:cs="Times New Roman"/>
                <w:b/>
                <w:bCs/>
              </w:rPr>
            </w:pPr>
            <w:r w:rsidRPr="00CF395B">
              <w:rPr>
                <w:rFonts w:ascii="Times New Roman" w:hAnsi="Times New Roman" w:cs="Times New Roman"/>
                <w:b/>
                <w:bCs/>
              </w:rPr>
              <w:t>Cibles</w:t>
            </w:r>
          </w:p>
        </w:tc>
      </w:tr>
      <w:tr w:rsidR="00BC6C8B" w:rsidRPr="00CF395B" w14:paraId="04C03E99" w14:textId="77777777" w:rsidTr="00EE0E23">
        <w:trPr>
          <w:trHeight w:val="510"/>
        </w:trPr>
        <w:tc>
          <w:tcPr>
            <w:tcW w:w="1951" w:type="dxa"/>
            <w:vMerge/>
            <w:shd w:val="clear" w:color="auto" w:fill="auto"/>
          </w:tcPr>
          <w:p w14:paraId="046B1131" w14:textId="77777777" w:rsidR="00BC6C8B" w:rsidRPr="00CF395B" w:rsidRDefault="00BC6C8B" w:rsidP="00EE0E23">
            <w:pPr>
              <w:rPr>
                <w:rFonts w:ascii="Times New Roman" w:hAnsi="Times New Roman" w:cs="Times New Roman"/>
                <w:b/>
                <w:bCs/>
              </w:rPr>
            </w:pPr>
          </w:p>
        </w:tc>
        <w:tc>
          <w:tcPr>
            <w:tcW w:w="2977" w:type="dxa"/>
            <w:shd w:val="clear" w:color="auto" w:fill="auto"/>
          </w:tcPr>
          <w:p w14:paraId="1A7F3BE0" w14:textId="77777777" w:rsidR="00BC6C8B" w:rsidRPr="00CF395B" w:rsidRDefault="00BC6C8B" w:rsidP="00EE0E23">
            <w:pPr>
              <w:ind w:right="-181"/>
              <w:rPr>
                <w:rFonts w:ascii="Times New Roman" w:hAnsi="Times New Roman" w:cs="Times New Roman"/>
                <w:b/>
                <w:bCs/>
              </w:rPr>
            </w:pPr>
            <w:r w:rsidRPr="00CF395B">
              <w:rPr>
                <w:rFonts w:ascii="Times New Roman" w:hAnsi="Times New Roman" w:cs="Times New Roman"/>
                <w:b/>
                <w:bCs/>
              </w:rPr>
              <w:t>Renforcement de capacités humaines et institutionnelles</w:t>
            </w:r>
          </w:p>
        </w:tc>
        <w:tc>
          <w:tcPr>
            <w:tcW w:w="1984" w:type="dxa"/>
            <w:shd w:val="clear" w:color="auto" w:fill="auto"/>
          </w:tcPr>
          <w:p w14:paraId="1E28C742" w14:textId="77777777" w:rsidR="00BC6C8B" w:rsidRPr="00CF395B" w:rsidRDefault="00BC6C8B" w:rsidP="00EE0E23">
            <w:pPr>
              <w:ind w:right="-128"/>
              <w:rPr>
                <w:rFonts w:ascii="Times New Roman" w:hAnsi="Times New Roman" w:cs="Times New Roman"/>
                <w:b/>
                <w:bCs/>
              </w:rPr>
            </w:pPr>
            <w:r w:rsidRPr="00CF395B">
              <w:rPr>
                <w:rFonts w:ascii="Times New Roman" w:hAnsi="Times New Roman" w:cs="Times New Roman"/>
                <w:b/>
                <w:bCs/>
              </w:rPr>
              <w:t>Transferts de technologies</w:t>
            </w:r>
          </w:p>
        </w:tc>
        <w:tc>
          <w:tcPr>
            <w:tcW w:w="1560" w:type="dxa"/>
            <w:shd w:val="clear" w:color="auto" w:fill="auto"/>
          </w:tcPr>
          <w:p w14:paraId="1D710260" w14:textId="77777777" w:rsidR="00BC6C8B" w:rsidRPr="00CF395B" w:rsidRDefault="00BC6C8B" w:rsidP="00EE0E23">
            <w:pPr>
              <w:ind w:right="-236"/>
              <w:rPr>
                <w:rFonts w:ascii="Times New Roman" w:hAnsi="Times New Roman" w:cs="Times New Roman"/>
                <w:b/>
                <w:bCs/>
              </w:rPr>
            </w:pPr>
            <w:r w:rsidRPr="00CF395B">
              <w:rPr>
                <w:rFonts w:ascii="Times New Roman" w:hAnsi="Times New Roman" w:cs="Times New Roman"/>
                <w:b/>
                <w:bCs/>
              </w:rPr>
              <w:t>Sources de financement</w:t>
            </w:r>
          </w:p>
        </w:tc>
        <w:tc>
          <w:tcPr>
            <w:tcW w:w="1538" w:type="dxa"/>
            <w:shd w:val="clear" w:color="auto" w:fill="auto"/>
          </w:tcPr>
          <w:p w14:paraId="1374D6B9" w14:textId="77777777" w:rsidR="00BC6C8B" w:rsidRPr="00CF395B" w:rsidRDefault="00BC6C8B" w:rsidP="00EE0E23">
            <w:pPr>
              <w:rPr>
                <w:rFonts w:ascii="Times New Roman" w:hAnsi="Times New Roman" w:cs="Times New Roman"/>
                <w:b/>
                <w:bCs/>
              </w:rPr>
            </w:pPr>
            <w:r w:rsidRPr="00CF395B">
              <w:rPr>
                <w:rFonts w:ascii="Times New Roman" w:hAnsi="Times New Roman" w:cs="Times New Roman"/>
                <w:b/>
                <w:bCs/>
              </w:rPr>
              <w:t>Indicateurs</w:t>
            </w:r>
          </w:p>
        </w:tc>
        <w:tc>
          <w:tcPr>
            <w:tcW w:w="1404" w:type="dxa"/>
            <w:shd w:val="clear" w:color="auto" w:fill="auto"/>
          </w:tcPr>
          <w:p w14:paraId="045E3361" w14:textId="77777777" w:rsidR="00BC6C8B" w:rsidRPr="00CF395B" w:rsidRDefault="00BC6C8B" w:rsidP="00EE0E23">
            <w:pPr>
              <w:rPr>
                <w:rFonts w:ascii="Times New Roman" w:hAnsi="Times New Roman" w:cs="Times New Roman"/>
                <w:b/>
                <w:bCs/>
              </w:rPr>
            </w:pPr>
            <w:r w:rsidRPr="00CF395B">
              <w:rPr>
                <w:rFonts w:ascii="Times New Roman" w:hAnsi="Times New Roman" w:cs="Times New Roman"/>
                <w:b/>
                <w:bCs/>
              </w:rPr>
              <w:t>2021-2025</w:t>
            </w:r>
          </w:p>
        </w:tc>
        <w:tc>
          <w:tcPr>
            <w:tcW w:w="1572" w:type="dxa"/>
            <w:shd w:val="clear" w:color="auto" w:fill="auto"/>
          </w:tcPr>
          <w:p w14:paraId="2CE5BE3F" w14:textId="77777777" w:rsidR="00BC6C8B" w:rsidRPr="00CF395B" w:rsidRDefault="00BC6C8B" w:rsidP="00EE0E23">
            <w:pPr>
              <w:rPr>
                <w:rFonts w:ascii="Times New Roman" w:hAnsi="Times New Roman" w:cs="Times New Roman"/>
                <w:b/>
                <w:bCs/>
              </w:rPr>
            </w:pPr>
            <w:r w:rsidRPr="00CF395B">
              <w:rPr>
                <w:rFonts w:ascii="Times New Roman" w:hAnsi="Times New Roman" w:cs="Times New Roman"/>
                <w:b/>
                <w:bCs/>
              </w:rPr>
              <w:t>2026-2030</w:t>
            </w:r>
          </w:p>
        </w:tc>
      </w:tr>
      <w:tr w:rsidR="00BC6C8B" w:rsidRPr="00CF395B" w14:paraId="613FE4E3" w14:textId="77777777" w:rsidTr="00EE0E23">
        <w:trPr>
          <w:trHeight w:val="4164"/>
        </w:trPr>
        <w:tc>
          <w:tcPr>
            <w:tcW w:w="1951" w:type="dxa"/>
            <w:shd w:val="clear" w:color="auto" w:fill="auto"/>
          </w:tcPr>
          <w:p w14:paraId="5E2E208A" w14:textId="77777777" w:rsidR="00BC6C8B" w:rsidRDefault="00BC6C8B" w:rsidP="00EE0E23">
            <w:pPr>
              <w:spacing w:after="0" w:line="240" w:lineRule="auto"/>
              <w:ind w:left="-108" w:right="-91"/>
              <w:rPr>
                <w:rFonts w:ascii="Times New Roman" w:hAnsi="Times New Roman" w:cs="Times New Roman"/>
              </w:rPr>
            </w:pPr>
            <w:r w:rsidRPr="0033698E">
              <w:rPr>
                <w:rFonts w:ascii="Times New Roman" w:hAnsi="Times New Roman" w:cs="Times New Roman"/>
                <w:b/>
                <w:bCs/>
              </w:rPr>
              <w:t>Amélioration de l’accès au logement des groupes vulnérables :</w:t>
            </w:r>
            <w:r w:rsidRPr="00CF395B">
              <w:rPr>
                <w:rFonts w:ascii="Times New Roman" w:hAnsi="Times New Roman" w:cs="Times New Roman"/>
              </w:rPr>
              <w:t xml:space="preserve"> </w:t>
            </w:r>
          </w:p>
          <w:p w14:paraId="2AA32760" w14:textId="77777777" w:rsidR="00BC6C8B" w:rsidRPr="0033698E" w:rsidRDefault="00BC6C8B" w:rsidP="00BC6C8B">
            <w:pPr>
              <w:pStyle w:val="Paragraphedeliste"/>
              <w:numPr>
                <w:ilvl w:val="0"/>
                <w:numId w:val="490"/>
              </w:numPr>
              <w:spacing w:after="0" w:line="240" w:lineRule="auto"/>
              <w:ind w:left="174" w:right="-91"/>
              <w:rPr>
                <w:rFonts w:ascii="Times New Roman" w:hAnsi="Times New Roman" w:cs="Times New Roman"/>
              </w:rPr>
            </w:pPr>
            <w:r w:rsidRPr="0033698E">
              <w:rPr>
                <w:rFonts w:ascii="Times New Roman" w:hAnsi="Times New Roman" w:cs="Times New Roman"/>
              </w:rPr>
              <w:t xml:space="preserve">Regroupement de 47 localités dans la wilaya du </w:t>
            </w:r>
            <w:r w:rsidRPr="0033698E">
              <w:rPr>
                <w:rFonts w:ascii="Times New Roman" w:hAnsi="Times New Roman" w:cs="Times New Roman"/>
                <w:sz w:val="20"/>
                <w:szCs w:val="20"/>
              </w:rPr>
              <w:t>Hodh</w:t>
            </w:r>
            <w:r w:rsidRPr="0033698E">
              <w:rPr>
                <w:rFonts w:ascii="Times New Roman" w:hAnsi="Times New Roman" w:cs="Times New Roman"/>
              </w:rPr>
              <w:t xml:space="preserve"> </w:t>
            </w:r>
            <w:r w:rsidRPr="0033698E">
              <w:rPr>
                <w:rFonts w:ascii="Times New Roman" w:hAnsi="Times New Roman" w:cs="Times New Roman"/>
                <w:sz w:val="20"/>
                <w:szCs w:val="20"/>
              </w:rPr>
              <w:t>Echargui</w:t>
            </w:r>
            <w:r w:rsidRPr="0033698E">
              <w:rPr>
                <w:rFonts w:ascii="Times New Roman" w:hAnsi="Times New Roman" w:cs="Times New Roman"/>
              </w:rPr>
              <w:t xml:space="preserve">, </w:t>
            </w:r>
          </w:p>
          <w:p w14:paraId="502A4E2A" w14:textId="77777777" w:rsidR="00BC6C8B" w:rsidRPr="00EF5C6F" w:rsidRDefault="00BC6C8B" w:rsidP="00BC6C8B">
            <w:pPr>
              <w:pStyle w:val="Paragraphedeliste"/>
              <w:numPr>
                <w:ilvl w:val="0"/>
                <w:numId w:val="490"/>
              </w:numPr>
              <w:spacing w:after="0" w:line="240" w:lineRule="auto"/>
              <w:ind w:left="174" w:right="-91"/>
              <w:rPr>
                <w:rFonts w:ascii="Times New Roman" w:hAnsi="Times New Roman" w:cs="Times New Roman"/>
              </w:rPr>
            </w:pPr>
            <w:r w:rsidRPr="0033698E">
              <w:rPr>
                <w:rFonts w:ascii="Times New Roman" w:hAnsi="Times New Roman" w:cs="Times New Roman"/>
                <w:sz w:val="20"/>
                <w:szCs w:val="20"/>
              </w:rPr>
              <w:t>Regroupement</w:t>
            </w:r>
            <w:r w:rsidRPr="0033698E">
              <w:rPr>
                <w:rFonts w:ascii="Times New Roman" w:hAnsi="Times New Roman" w:cs="Times New Roman"/>
              </w:rPr>
              <w:t xml:space="preserve"> de 33 </w:t>
            </w:r>
            <w:r w:rsidRPr="00EF5C6F">
              <w:rPr>
                <w:rFonts w:ascii="Times New Roman" w:hAnsi="Times New Roman" w:cs="Times New Roman"/>
              </w:rPr>
              <w:t xml:space="preserve">localités dans les wilayas du </w:t>
            </w:r>
            <w:r w:rsidRPr="00EF5C6F">
              <w:rPr>
                <w:rFonts w:ascii="Times New Roman" w:hAnsi="Times New Roman" w:cs="Times New Roman"/>
                <w:sz w:val="20"/>
                <w:szCs w:val="20"/>
              </w:rPr>
              <w:t>Gorgol</w:t>
            </w:r>
            <w:r w:rsidRPr="00EF5C6F">
              <w:rPr>
                <w:rFonts w:ascii="Times New Roman" w:hAnsi="Times New Roman" w:cs="Times New Roman"/>
              </w:rPr>
              <w:t xml:space="preserve">, de l'Adrar, du </w:t>
            </w:r>
            <w:r w:rsidRPr="00EF5C6F">
              <w:rPr>
                <w:rFonts w:ascii="Times New Roman" w:hAnsi="Times New Roman" w:cs="Times New Roman"/>
                <w:sz w:val="20"/>
                <w:szCs w:val="20"/>
              </w:rPr>
              <w:t>Trarza</w:t>
            </w:r>
            <w:r w:rsidRPr="00EF5C6F">
              <w:rPr>
                <w:rFonts w:ascii="Times New Roman" w:hAnsi="Times New Roman" w:cs="Times New Roman"/>
              </w:rPr>
              <w:t xml:space="preserve"> et de l'Assaba)  </w:t>
            </w:r>
          </w:p>
        </w:tc>
        <w:tc>
          <w:tcPr>
            <w:tcW w:w="2977" w:type="dxa"/>
            <w:shd w:val="clear" w:color="auto" w:fill="auto"/>
          </w:tcPr>
          <w:p w14:paraId="02057542" w14:textId="77777777" w:rsidR="00BC6C8B" w:rsidRPr="00CF395B" w:rsidRDefault="00BC6C8B" w:rsidP="00EE0E23">
            <w:pPr>
              <w:spacing w:after="0" w:line="240" w:lineRule="auto"/>
              <w:rPr>
                <w:rFonts w:ascii="Times New Roman" w:hAnsi="Times New Roman" w:cs="Times New Roman"/>
              </w:rPr>
            </w:pPr>
            <w:r w:rsidRPr="00CF395B">
              <w:rPr>
                <w:rFonts w:ascii="Times New Roman" w:hAnsi="Times New Roman" w:cs="Times New Roman"/>
              </w:rPr>
              <w:t xml:space="preserve">- Renforcement de capacités du personnel, </w:t>
            </w:r>
          </w:p>
          <w:p w14:paraId="267009D8" w14:textId="77777777" w:rsidR="00BC6C8B" w:rsidRPr="00CF395B" w:rsidRDefault="00BC6C8B" w:rsidP="00EE0E23">
            <w:pPr>
              <w:spacing w:after="0" w:line="240" w:lineRule="auto"/>
              <w:rPr>
                <w:rFonts w:ascii="Times New Roman" w:hAnsi="Times New Roman" w:cs="Times New Roman"/>
              </w:rPr>
            </w:pPr>
            <w:r w:rsidRPr="00CF395B">
              <w:rPr>
                <w:rFonts w:ascii="Times New Roman" w:hAnsi="Times New Roman" w:cs="Times New Roman"/>
              </w:rPr>
              <w:t>- Acquisition d'équipements spécialisés ;</w:t>
            </w:r>
          </w:p>
          <w:p w14:paraId="33366509"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 Renforcer les capacités humaines et techniques de la structure pour être en mesure d'accompagner le processus</w:t>
            </w:r>
          </w:p>
        </w:tc>
        <w:tc>
          <w:tcPr>
            <w:tcW w:w="1984" w:type="dxa"/>
            <w:shd w:val="clear" w:color="auto" w:fill="auto"/>
          </w:tcPr>
          <w:p w14:paraId="48CED247"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 xml:space="preserve"> </w:t>
            </w:r>
          </w:p>
          <w:p w14:paraId="4165B6A0" w14:textId="77777777" w:rsidR="00BC6C8B" w:rsidRPr="00CF395B" w:rsidRDefault="00BC6C8B" w:rsidP="00EE0E23">
            <w:pPr>
              <w:ind w:right="-128" w:hanging="39"/>
              <w:rPr>
                <w:rFonts w:ascii="Times New Roman" w:hAnsi="Times New Roman" w:cs="Times New Roman"/>
              </w:rPr>
            </w:pPr>
            <w:r w:rsidRPr="00CF395B">
              <w:rPr>
                <w:rFonts w:ascii="Times New Roman" w:hAnsi="Times New Roman" w:cs="Times New Roman"/>
              </w:rPr>
              <w:t>Doter les structures de moyens technologiques indispensables pour la réalisation de leurs projets d’adaptation aux changements climatiques.</w:t>
            </w:r>
          </w:p>
        </w:tc>
        <w:tc>
          <w:tcPr>
            <w:tcW w:w="1560" w:type="dxa"/>
            <w:shd w:val="clear" w:color="auto" w:fill="auto"/>
          </w:tcPr>
          <w:p w14:paraId="761BE0E1"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Etat, secteur privé +PTF</w:t>
            </w:r>
          </w:p>
        </w:tc>
        <w:tc>
          <w:tcPr>
            <w:tcW w:w="1538" w:type="dxa"/>
            <w:shd w:val="clear" w:color="auto" w:fill="auto"/>
            <w:vAlign w:val="center"/>
          </w:tcPr>
          <w:p w14:paraId="268EFFE4" w14:textId="77777777" w:rsidR="00BC6C8B" w:rsidRDefault="00BC6C8B" w:rsidP="00EE0E23">
            <w:pPr>
              <w:spacing w:after="0" w:line="240" w:lineRule="auto"/>
              <w:ind w:left="-136" w:right="-62"/>
              <w:rPr>
                <w:rFonts w:ascii="Times New Roman" w:hAnsi="Times New Roman" w:cs="Times New Roman"/>
              </w:rPr>
            </w:pPr>
            <w:r w:rsidRPr="00CF395B">
              <w:rPr>
                <w:rFonts w:ascii="Times New Roman" w:hAnsi="Times New Roman" w:cs="Times New Roman"/>
              </w:rPr>
              <w:t xml:space="preserve">Réception des </w:t>
            </w:r>
            <w:r>
              <w:rPr>
                <w:rFonts w:ascii="Times New Roman" w:hAnsi="Times New Roman" w:cs="Times New Roman"/>
              </w:rPr>
              <w:t xml:space="preserve"> </w:t>
            </w:r>
          </w:p>
          <w:p w14:paraId="56FB93E3" w14:textId="77777777" w:rsidR="00BC6C8B" w:rsidRPr="00CF395B" w:rsidRDefault="00BC6C8B" w:rsidP="00EE0E23">
            <w:pPr>
              <w:ind w:left="-136" w:right="-61"/>
              <w:rPr>
                <w:rFonts w:ascii="Times New Roman" w:hAnsi="Times New Roman" w:cs="Times New Roman"/>
              </w:rPr>
            </w:pPr>
            <w:r>
              <w:rPr>
                <w:rFonts w:ascii="Times New Roman" w:hAnsi="Times New Roman" w:cs="Times New Roman"/>
              </w:rPr>
              <w:t xml:space="preserve"> </w:t>
            </w:r>
            <w:r w:rsidRPr="00CF395B">
              <w:rPr>
                <w:rFonts w:ascii="Times New Roman" w:hAnsi="Times New Roman" w:cs="Times New Roman"/>
              </w:rPr>
              <w:t>Infrastructures</w:t>
            </w:r>
            <w:proofErr w:type="gramStart"/>
            <w:r>
              <w:rPr>
                <w:rFonts w:ascii="Times New Roman" w:hAnsi="Times New Roman" w:cs="Times New Roman"/>
              </w:rPr>
              <w:t xml:space="preserve">  </w:t>
            </w:r>
            <w:r w:rsidRPr="00CF395B">
              <w:rPr>
                <w:rFonts w:ascii="Times New Roman" w:hAnsi="Times New Roman" w:cs="Times New Roman"/>
              </w:rPr>
              <w:t xml:space="preserve"> ;</w:t>
            </w:r>
            <w:proofErr w:type="gramEnd"/>
            <w:r w:rsidRPr="00CF395B">
              <w:rPr>
                <w:rFonts w:ascii="Times New Roman" w:hAnsi="Times New Roman" w:cs="Times New Roman"/>
              </w:rPr>
              <w:t xml:space="preserve"> </w:t>
            </w:r>
          </w:p>
          <w:p w14:paraId="0C653EF0"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Réception des travaux d'AEP et équipements énergétiques</w:t>
            </w:r>
          </w:p>
        </w:tc>
        <w:tc>
          <w:tcPr>
            <w:tcW w:w="1404" w:type="dxa"/>
            <w:shd w:val="clear" w:color="auto" w:fill="auto"/>
            <w:vAlign w:val="center"/>
          </w:tcPr>
          <w:p w14:paraId="232C3E01"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 xml:space="preserve">                                    20   </w:t>
            </w:r>
          </w:p>
        </w:tc>
        <w:tc>
          <w:tcPr>
            <w:tcW w:w="1572" w:type="dxa"/>
            <w:shd w:val="clear" w:color="auto" w:fill="auto"/>
            <w:vAlign w:val="center"/>
          </w:tcPr>
          <w:p w14:paraId="73536468"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 xml:space="preserve">                                    50   </w:t>
            </w:r>
          </w:p>
        </w:tc>
      </w:tr>
      <w:tr w:rsidR="00BC6C8B" w:rsidRPr="00CF395B" w14:paraId="768ABBF0" w14:textId="77777777" w:rsidTr="00EE0E23">
        <w:tc>
          <w:tcPr>
            <w:tcW w:w="1951" w:type="dxa"/>
            <w:shd w:val="clear" w:color="auto" w:fill="auto"/>
          </w:tcPr>
          <w:p w14:paraId="6B3CC316" w14:textId="2E97E8DB" w:rsidR="00BC6C8B" w:rsidRPr="00CF395B" w:rsidRDefault="00BC6C8B" w:rsidP="00EE0E23">
            <w:pPr>
              <w:spacing w:after="0" w:line="240" w:lineRule="auto"/>
              <w:ind w:right="-170"/>
              <w:rPr>
                <w:rFonts w:ascii="Times New Roman" w:hAnsi="Times New Roman" w:cs="Times New Roman"/>
              </w:rPr>
            </w:pPr>
            <w:r w:rsidRPr="00CF395B">
              <w:rPr>
                <w:rFonts w:ascii="Times New Roman" w:hAnsi="Times New Roman" w:cs="Times New Roman"/>
              </w:rPr>
              <w:t>La viabilisation et la</w:t>
            </w:r>
            <w:r w:rsidR="00063047">
              <w:rPr>
                <w:rFonts w:ascii="Times New Roman" w:hAnsi="Times New Roman" w:cs="Times New Roman"/>
              </w:rPr>
              <w:t xml:space="preserve"> </w:t>
            </w:r>
            <w:r w:rsidRPr="004045DE">
              <w:rPr>
                <w:rFonts w:ascii="Times New Roman" w:hAnsi="Times New Roman" w:cs="Times New Roman"/>
              </w:rPr>
              <w:t>modernisation</w:t>
            </w:r>
            <w:r w:rsidRPr="00CF395B">
              <w:rPr>
                <w:rFonts w:ascii="Times New Roman" w:hAnsi="Times New Roman" w:cs="Times New Roman"/>
              </w:rPr>
              <w:t xml:space="preserve"> des villes et des cités :</w:t>
            </w:r>
          </w:p>
          <w:p w14:paraId="15150F0B" w14:textId="77777777" w:rsidR="00BC6C8B" w:rsidRPr="0033698E" w:rsidRDefault="00BC6C8B" w:rsidP="00BC6C8B">
            <w:pPr>
              <w:pStyle w:val="Paragraphedeliste"/>
              <w:numPr>
                <w:ilvl w:val="1"/>
                <w:numId w:val="444"/>
              </w:numPr>
              <w:spacing w:after="0" w:line="240" w:lineRule="auto"/>
              <w:ind w:left="316" w:right="-114" w:hanging="316"/>
              <w:rPr>
                <w:rFonts w:ascii="Times New Roman" w:hAnsi="Times New Roman" w:cs="Times New Roman"/>
              </w:rPr>
            </w:pPr>
            <w:r w:rsidRPr="0033698E">
              <w:rPr>
                <w:rFonts w:ascii="Times New Roman" w:hAnsi="Times New Roman" w:cs="Times New Roman"/>
              </w:rPr>
              <w:t xml:space="preserve">Etude d'évaluation de la vulnérabilité urbaines de 15 villes face aux changements climatiques ; </w:t>
            </w:r>
          </w:p>
          <w:p w14:paraId="63EEC9C6" w14:textId="77777777" w:rsidR="00BC6C8B" w:rsidRPr="0033698E" w:rsidRDefault="00BC6C8B" w:rsidP="00BC6C8B">
            <w:pPr>
              <w:pStyle w:val="Paragraphedeliste"/>
              <w:numPr>
                <w:ilvl w:val="1"/>
                <w:numId w:val="444"/>
              </w:numPr>
              <w:spacing w:after="0" w:line="240" w:lineRule="auto"/>
              <w:ind w:left="316" w:hanging="316"/>
              <w:rPr>
                <w:rFonts w:ascii="Times New Roman" w:hAnsi="Times New Roman" w:cs="Times New Roman"/>
              </w:rPr>
            </w:pPr>
            <w:r w:rsidRPr="0033698E">
              <w:rPr>
                <w:rFonts w:ascii="Times New Roman" w:hAnsi="Times New Roman" w:cs="Times New Roman"/>
              </w:rPr>
              <w:t xml:space="preserve">Etudes d'évaluation de la vulnérabilité aux </w:t>
            </w:r>
            <w:r w:rsidRPr="0033698E">
              <w:rPr>
                <w:rFonts w:ascii="Times New Roman" w:hAnsi="Times New Roman" w:cs="Times New Roman"/>
                <w:sz w:val="20"/>
                <w:szCs w:val="20"/>
              </w:rPr>
              <w:t>changements</w:t>
            </w:r>
            <w:r w:rsidRPr="0033698E">
              <w:rPr>
                <w:rFonts w:ascii="Times New Roman" w:hAnsi="Times New Roman" w:cs="Times New Roman"/>
              </w:rPr>
              <w:t xml:space="preserve"> climatiques des principales villes ;</w:t>
            </w:r>
          </w:p>
          <w:p w14:paraId="5ABF9449" w14:textId="77777777" w:rsidR="00BC6C8B" w:rsidRPr="00EF5C6F" w:rsidRDefault="00BC6C8B" w:rsidP="00BC6C8B">
            <w:pPr>
              <w:pStyle w:val="Paragraphedeliste"/>
              <w:numPr>
                <w:ilvl w:val="1"/>
                <w:numId w:val="444"/>
              </w:numPr>
              <w:spacing w:after="0" w:line="240" w:lineRule="auto"/>
              <w:ind w:left="316" w:right="-201" w:hanging="316"/>
              <w:rPr>
                <w:rFonts w:ascii="Times New Roman" w:hAnsi="Times New Roman" w:cs="Times New Roman"/>
              </w:rPr>
            </w:pPr>
            <w:r w:rsidRPr="00EF5C6F">
              <w:rPr>
                <w:rFonts w:ascii="Times New Roman" w:hAnsi="Times New Roman" w:cs="Times New Roman"/>
                <w:sz w:val="20"/>
                <w:szCs w:val="20"/>
              </w:rPr>
              <w:t>Elaboration de SDAU simplifiés pour les villes de plus d</w:t>
            </w:r>
            <w:r w:rsidRPr="0033698E">
              <w:rPr>
                <w:rFonts w:ascii="Times New Roman" w:hAnsi="Times New Roman" w:cs="Times New Roman"/>
              </w:rPr>
              <w:t xml:space="preserve">e </w:t>
            </w:r>
            <w:r w:rsidRPr="00EF5C6F">
              <w:rPr>
                <w:rFonts w:ascii="Times New Roman" w:hAnsi="Times New Roman" w:cs="Times New Roman"/>
                <w:sz w:val="20"/>
                <w:szCs w:val="20"/>
              </w:rPr>
              <w:t xml:space="preserve">20 </w:t>
            </w:r>
            <w:r w:rsidRPr="00EF5C6F">
              <w:rPr>
                <w:rFonts w:ascii="Times New Roman" w:hAnsi="Times New Roman" w:cs="Times New Roman"/>
                <w:sz w:val="18"/>
                <w:szCs w:val="18"/>
              </w:rPr>
              <w:t>000</w:t>
            </w:r>
            <w:r w:rsidRPr="00EF5C6F">
              <w:rPr>
                <w:rFonts w:ascii="Times New Roman" w:hAnsi="Times New Roman" w:cs="Times New Roman"/>
                <w:sz w:val="20"/>
                <w:szCs w:val="20"/>
              </w:rPr>
              <w:t xml:space="preserve"> </w:t>
            </w:r>
            <w:r w:rsidRPr="0033698E">
              <w:rPr>
                <w:rFonts w:ascii="Times New Roman" w:hAnsi="Times New Roman" w:cs="Times New Roman"/>
              </w:rPr>
              <w:t>habitants,</w:t>
            </w:r>
          </w:p>
        </w:tc>
        <w:tc>
          <w:tcPr>
            <w:tcW w:w="2977" w:type="dxa"/>
            <w:shd w:val="clear" w:color="auto" w:fill="auto"/>
          </w:tcPr>
          <w:p w14:paraId="02A888D1"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Renforcer et intensifier les formations sur les techniques durables pour des villes résilientes.</w:t>
            </w:r>
          </w:p>
        </w:tc>
        <w:tc>
          <w:tcPr>
            <w:tcW w:w="1984" w:type="dxa"/>
            <w:shd w:val="clear" w:color="auto" w:fill="auto"/>
          </w:tcPr>
          <w:p w14:paraId="16957AAB"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Technologies plus adaptées aux changements climatiques.</w:t>
            </w:r>
            <w:r w:rsidRPr="00CF395B">
              <w:rPr>
                <w:rFonts w:ascii="Times New Roman" w:hAnsi="Times New Roman" w:cs="Times New Roman"/>
              </w:rPr>
              <w:br/>
            </w:r>
          </w:p>
        </w:tc>
        <w:tc>
          <w:tcPr>
            <w:tcW w:w="1560" w:type="dxa"/>
            <w:shd w:val="clear" w:color="auto" w:fill="auto"/>
          </w:tcPr>
          <w:p w14:paraId="7F8FA333"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Etat +PTF</w:t>
            </w:r>
          </w:p>
        </w:tc>
        <w:tc>
          <w:tcPr>
            <w:tcW w:w="1538" w:type="dxa"/>
            <w:shd w:val="clear" w:color="auto" w:fill="auto"/>
            <w:vAlign w:val="center"/>
          </w:tcPr>
          <w:p w14:paraId="4474CB65"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Etudes et SDAU réalisés</w:t>
            </w:r>
          </w:p>
        </w:tc>
        <w:tc>
          <w:tcPr>
            <w:tcW w:w="1404" w:type="dxa"/>
            <w:shd w:val="clear" w:color="auto" w:fill="auto"/>
            <w:vAlign w:val="center"/>
          </w:tcPr>
          <w:p w14:paraId="4FABC2DF" w14:textId="77777777" w:rsidR="00BC6C8B" w:rsidRPr="00CF395B" w:rsidRDefault="00BC6C8B" w:rsidP="00EE0E23">
            <w:pPr>
              <w:ind w:right="-112"/>
              <w:rPr>
                <w:rFonts w:ascii="Times New Roman" w:hAnsi="Times New Roman" w:cs="Times New Roman"/>
              </w:rPr>
            </w:pPr>
            <w:r w:rsidRPr="00CF395B">
              <w:rPr>
                <w:rFonts w:ascii="Times New Roman" w:hAnsi="Times New Roman" w:cs="Times New Roman"/>
              </w:rPr>
              <w:t>60,10%</w:t>
            </w:r>
          </w:p>
        </w:tc>
        <w:tc>
          <w:tcPr>
            <w:tcW w:w="1572" w:type="dxa"/>
            <w:shd w:val="clear" w:color="auto" w:fill="auto"/>
            <w:vAlign w:val="center"/>
          </w:tcPr>
          <w:p w14:paraId="0B5FD568" w14:textId="77777777" w:rsidR="00BC6C8B" w:rsidRPr="00CF395B" w:rsidRDefault="00BC6C8B" w:rsidP="00EE0E23">
            <w:pPr>
              <w:ind w:left="-86" w:right="-112"/>
              <w:rPr>
                <w:rFonts w:ascii="Times New Roman" w:hAnsi="Times New Roman" w:cs="Times New Roman"/>
              </w:rPr>
            </w:pPr>
            <w:r w:rsidRPr="00CF395B">
              <w:rPr>
                <w:rFonts w:ascii="Times New Roman" w:hAnsi="Times New Roman" w:cs="Times New Roman"/>
              </w:rPr>
              <w:t>72,90%</w:t>
            </w:r>
          </w:p>
        </w:tc>
      </w:tr>
      <w:tr w:rsidR="00BC6C8B" w:rsidRPr="00CF395B" w14:paraId="51C2D513" w14:textId="77777777" w:rsidTr="00EE0E23">
        <w:tc>
          <w:tcPr>
            <w:tcW w:w="1951" w:type="dxa"/>
            <w:shd w:val="clear" w:color="auto" w:fill="auto"/>
          </w:tcPr>
          <w:p w14:paraId="4358D921" w14:textId="77777777" w:rsidR="00BC6C8B" w:rsidRDefault="00BC6C8B" w:rsidP="00EE0E23">
            <w:pPr>
              <w:spacing w:after="0" w:line="240" w:lineRule="auto"/>
              <w:ind w:left="-108" w:right="-170"/>
              <w:rPr>
                <w:rFonts w:ascii="Times New Roman" w:hAnsi="Times New Roman" w:cs="Times New Roman"/>
              </w:rPr>
            </w:pPr>
            <w:r>
              <w:rPr>
                <w:rFonts w:ascii="Times New Roman" w:hAnsi="Times New Roman" w:cs="Times New Roman"/>
              </w:rPr>
              <w:t xml:space="preserve"> </w:t>
            </w:r>
            <w:r w:rsidRPr="00EF5C6F">
              <w:rPr>
                <w:rFonts w:ascii="Times New Roman" w:hAnsi="Times New Roman" w:cs="Times New Roman"/>
                <w:b/>
                <w:bCs/>
              </w:rPr>
              <w:t xml:space="preserve">Le </w:t>
            </w:r>
            <w:r w:rsidRPr="00EF5C6F">
              <w:rPr>
                <w:rFonts w:ascii="Times New Roman" w:hAnsi="Times New Roman" w:cs="Times New Roman"/>
                <w:b/>
                <w:bCs/>
                <w:sz w:val="20"/>
                <w:szCs w:val="20"/>
              </w:rPr>
              <w:t>développement</w:t>
            </w:r>
            <w:r w:rsidRPr="00EF5C6F">
              <w:rPr>
                <w:rFonts w:ascii="Times New Roman" w:hAnsi="Times New Roman" w:cs="Times New Roman"/>
                <w:b/>
                <w:bCs/>
              </w:rPr>
              <w:t xml:space="preserve"> de politiques de l'habitat et la promotion immobilière :</w:t>
            </w:r>
            <w:r w:rsidRPr="00CF395B">
              <w:rPr>
                <w:rFonts w:ascii="Times New Roman" w:hAnsi="Times New Roman" w:cs="Times New Roman"/>
              </w:rPr>
              <w:t xml:space="preserve"> </w:t>
            </w:r>
          </w:p>
          <w:p w14:paraId="428E930A" w14:textId="77777777" w:rsidR="00BC6C8B" w:rsidRDefault="00BC6C8B" w:rsidP="00BC6C8B">
            <w:pPr>
              <w:pStyle w:val="Paragraphedeliste"/>
              <w:numPr>
                <w:ilvl w:val="0"/>
                <w:numId w:val="492"/>
              </w:numPr>
              <w:spacing w:after="0" w:line="240" w:lineRule="auto"/>
              <w:ind w:left="174" w:right="-170" w:hanging="218"/>
              <w:rPr>
                <w:rFonts w:ascii="Times New Roman" w:hAnsi="Times New Roman" w:cs="Times New Roman"/>
              </w:rPr>
            </w:pPr>
            <w:r w:rsidRPr="00DD31FF">
              <w:rPr>
                <w:rFonts w:ascii="Times New Roman" w:hAnsi="Times New Roman" w:cs="Times New Roman"/>
              </w:rPr>
              <w:t>La Mise en place d'un cadre juridique régissant la promotion immobilière ;</w:t>
            </w:r>
          </w:p>
          <w:p w14:paraId="72ABCE7B" w14:textId="77777777" w:rsidR="00BC6C8B" w:rsidRPr="00DD31FF" w:rsidRDefault="00BC6C8B" w:rsidP="00BC6C8B">
            <w:pPr>
              <w:pStyle w:val="Paragraphedeliste"/>
              <w:numPr>
                <w:ilvl w:val="0"/>
                <w:numId w:val="492"/>
              </w:numPr>
              <w:spacing w:after="0" w:line="240" w:lineRule="auto"/>
              <w:ind w:left="174" w:right="-170" w:hanging="218"/>
              <w:rPr>
                <w:rFonts w:ascii="Times New Roman" w:hAnsi="Times New Roman" w:cs="Times New Roman"/>
              </w:rPr>
            </w:pPr>
            <w:r w:rsidRPr="00DD31FF">
              <w:rPr>
                <w:rFonts w:ascii="Times New Roman" w:hAnsi="Times New Roman" w:cs="Times New Roman"/>
              </w:rPr>
              <w:t>Création et mise en place d'un mécanisme de financement de l'habitat</w:t>
            </w:r>
          </w:p>
        </w:tc>
        <w:tc>
          <w:tcPr>
            <w:tcW w:w="2977" w:type="dxa"/>
            <w:shd w:val="clear" w:color="auto" w:fill="auto"/>
          </w:tcPr>
          <w:p w14:paraId="441D3B72"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Renforcer les capacités institutionnelles pour développer un habitat durable.</w:t>
            </w:r>
          </w:p>
        </w:tc>
        <w:tc>
          <w:tcPr>
            <w:tcW w:w="1984" w:type="dxa"/>
            <w:shd w:val="clear" w:color="auto" w:fill="auto"/>
          </w:tcPr>
          <w:p w14:paraId="307E5A82"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Renforcement des capacités humaines des structures chargées de la promotion immobilière.</w:t>
            </w:r>
          </w:p>
        </w:tc>
        <w:tc>
          <w:tcPr>
            <w:tcW w:w="1560" w:type="dxa"/>
            <w:shd w:val="clear" w:color="auto" w:fill="auto"/>
          </w:tcPr>
          <w:p w14:paraId="7A62FBC0"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Etat, secteur privé +PTF</w:t>
            </w:r>
          </w:p>
        </w:tc>
        <w:tc>
          <w:tcPr>
            <w:tcW w:w="1538" w:type="dxa"/>
            <w:shd w:val="clear" w:color="auto" w:fill="auto"/>
            <w:vAlign w:val="center"/>
          </w:tcPr>
          <w:p w14:paraId="4260DC60"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Cadre juridique approuvé et fonds créé</w:t>
            </w:r>
          </w:p>
          <w:p w14:paraId="18F330CF" w14:textId="77777777" w:rsidR="00BC6C8B" w:rsidRPr="00CF395B" w:rsidRDefault="00BC6C8B" w:rsidP="00EE0E23">
            <w:pPr>
              <w:rPr>
                <w:rFonts w:ascii="Times New Roman" w:hAnsi="Times New Roman" w:cs="Times New Roman"/>
              </w:rPr>
            </w:pPr>
          </w:p>
        </w:tc>
        <w:tc>
          <w:tcPr>
            <w:tcW w:w="1404" w:type="dxa"/>
            <w:shd w:val="clear" w:color="auto" w:fill="auto"/>
            <w:vAlign w:val="center"/>
          </w:tcPr>
          <w:p w14:paraId="44A4382F"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 xml:space="preserve">                                    20   </w:t>
            </w:r>
          </w:p>
        </w:tc>
        <w:tc>
          <w:tcPr>
            <w:tcW w:w="1572" w:type="dxa"/>
            <w:shd w:val="clear" w:color="auto" w:fill="auto"/>
            <w:vAlign w:val="center"/>
          </w:tcPr>
          <w:p w14:paraId="6B0C4BBF"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 xml:space="preserve">                                    80   </w:t>
            </w:r>
          </w:p>
        </w:tc>
      </w:tr>
      <w:tr w:rsidR="00BC6C8B" w:rsidRPr="00CF395B" w14:paraId="2119126D" w14:textId="77777777" w:rsidTr="00EE0E23">
        <w:tc>
          <w:tcPr>
            <w:tcW w:w="1951" w:type="dxa"/>
            <w:shd w:val="clear" w:color="auto" w:fill="auto"/>
          </w:tcPr>
          <w:p w14:paraId="3A7508F4" w14:textId="77777777" w:rsidR="00BC6C8B" w:rsidRDefault="00BC6C8B" w:rsidP="00EE0E23">
            <w:pPr>
              <w:spacing w:after="0" w:line="240" w:lineRule="auto"/>
              <w:ind w:left="-108" w:right="-119"/>
              <w:rPr>
                <w:rFonts w:ascii="Times New Roman" w:hAnsi="Times New Roman" w:cs="Times New Roman"/>
              </w:rPr>
            </w:pPr>
            <w:r w:rsidRPr="00DD31FF">
              <w:rPr>
                <w:rFonts w:ascii="Times New Roman" w:hAnsi="Times New Roman" w:cs="Times New Roman"/>
                <w:b/>
                <w:bCs/>
              </w:rPr>
              <w:t xml:space="preserve">La protection de </w:t>
            </w:r>
            <w:r w:rsidRPr="00977150">
              <w:rPr>
                <w:rFonts w:ascii="Times New Roman" w:hAnsi="Times New Roman" w:cs="Times New Roman"/>
                <w:b/>
                <w:bCs/>
              </w:rPr>
              <w:t>l’environnement</w:t>
            </w:r>
            <w:r w:rsidRPr="00CF395B">
              <w:rPr>
                <w:rFonts w:ascii="Times New Roman" w:hAnsi="Times New Roman" w:cs="Times New Roman"/>
              </w:rPr>
              <w:t xml:space="preserve"> : </w:t>
            </w:r>
          </w:p>
          <w:p w14:paraId="36E54452" w14:textId="77777777" w:rsidR="00BC6C8B" w:rsidRDefault="00BC6C8B" w:rsidP="00BC6C8B">
            <w:pPr>
              <w:pStyle w:val="Paragraphedeliste"/>
              <w:numPr>
                <w:ilvl w:val="0"/>
                <w:numId w:val="494"/>
              </w:numPr>
              <w:spacing w:after="0" w:line="240" w:lineRule="auto"/>
              <w:ind w:left="174" w:right="-119" w:hanging="284"/>
              <w:rPr>
                <w:rFonts w:ascii="Times New Roman" w:hAnsi="Times New Roman" w:cs="Times New Roman"/>
              </w:rPr>
            </w:pPr>
            <w:r w:rsidRPr="00977150">
              <w:rPr>
                <w:rFonts w:ascii="Times New Roman" w:hAnsi="Times New Roman" w:cs="Times New Roman"/>
              </w:rPr>
              <w:t xml:space="preserve">Création d'une ceinture verte autour de </w:t>
            </w:r>
            <w:r w:rsidRPr="00977150">
              <w:rPr>
                <w:rFonts w:ascii="Times New Roman" w:hAnsi="Times New Roman" w:cs="Times New Roman"/>
                <w:sz w:val="20"/>
                <w:szCs w:val="20"/>
              </w:rPr>
              <w:t>Nouakchott</w:t>
            </w:r>
            <w:r w:rsidRPr="00977150">
              <w:rPr>
                <w:rFonts w:ascii="Times New Roman" w:hAnsi="Times New Roman" w:cs="Times New Roman"/>
              </w:rPr>
              <w:t xml:space="preserve">, </w:t>
            </w:r>
          </w:p>
          <w:p w14:paraId="147AC2CD" w14:textId="77777777" w:rsidR="00BC6C8B" w:rsidRPr="00977150" w:rsidRDefault="00BC6C8B" w:rsidP="00BC6C8B">
            <w:pPr>
              <w:pStyle w:val="Paragraphedeliste"/>
              <w:numPr>
                <w:ilvl w:val="0"/>
                <w:numId w:val="494"/>
              </w:numPr>
              <w:spacing w:after="0" w:line="240" w:lineRule="auto"/>
              <w:ind w:left="174" w:right="-119" w:hanging="284"/>
              <w:rPr>
                <w:rFonts w:ascii="Times New Roman" w:hAnsi="Times New Roman" w:cs="Times New Roman"/>
              </w:rPr>
            </w:pPr>
            <w:r w:rsidRPr="00977150">
              <w:rPr>
                <w:rFonts w:ascii="Times New Roman" w:hAnsi="Times New Roman" w:cs="Times New Roman"/>
              </w:rPr>
              <w:t xml:space="preserve">Développement d'espaces verts et de parcs récréatifs dans les quartiers périphériques de Nouakchott, </w:t>
            </w:r>
          </w:p>
          <w:p w14:paraId="448FF11D" w14:textId="77777777" w:rsidR="00BC6C8B" w:rsidRPr="00DD31FF" w:rsidRDefault="00BC6C8B" w:rsidP="00BC6C8B">
            <w:pPr>
              <w:pStyle w:val="Paragraphedeliste"/>
              <w:numPr>
                <w:ilvl w:val="0"/>
                <w:numId w:val="494"/>
              </w:numPr>
              <w:spacing w:after="0" w:line="240" w:lineRule="auto"/>
              <w:ind w:right="-119"/>
              <w:rPr>
                <w:rFonts w:ascii="Times New Roman" w:hAnsi="Times New Roman" w:cs="Times New Roman"/>
              </w:rPr>
            </w:pPr>
            <w:r w:rsidRPr="00DD31FF">
              <w:rPr>
                <w:rFonts w:ascii="Times New Roman" w:hAnsi="Times New Roman" w:cs="Times New Roman"/>
              </w:rPr>
              <w:t xml:space="preserve">Réalisation d'un canal de protection contre les inondations des </w:t>
            </w:r>
            <w:r w:rsidRPr="00DD31FF">
              <w:rPr>
                <w:rFonts w:ascii="Times New Roman" w:hAnsi="Times New Roman" w:cs="Times New Roman"/>
                <w:sz w:val="20"/>
                <w:szCs w:val="20"/>
              </w:rPr>
              <w:t>Communes</w:t>
            </w:r>
            <w:r w:rsidRPr="00DD31FF">
              <w:rPr>
                <w:rFonts w:ascii="Times New Roman" w:hAnsi="Times New Roman" w:cs="Times New Roman"/>
              </w:rPr>
              <w:t xml:space="preserve"> d'El Mina et de Sebkha,</w:t>
            </w:r>
          </w:p>
          <w:p w14:paraId="6121B9AE" w14:textId="77777777" w:rsidR="00BC6C8B" w:rsidRPr="00DD31FF" w:rsidRDefault="00BC6C8B" w:rsidP="00BC6C8B">
            <w:pPr>
              <w:pStyle w:val="Paragraphedeliste"/>
              <w:numPr>
                <w:ilvl w:val="0"/>
                <w:numId w:val="494"/>
              </w:numPr>
              <w:spacing w:after="0" w:line="240" w:lineRule="auto"/>
              <w:ind w:right="-119"/>
              <w:rPr>
                <w:rFonts w:ascii="Times New Roman" w:hAnsi="Times New Roman" w:cs="Times New Roman"/>
              </w:rPr>
            </w:pPr>
            <w:r w:rsidRPr="00DD31FF">
              <w:rPr>
                <w:rFonts w:ascii="Times New Roman" w:hAnsi="Times New Roman" w:cs="Times New Roman"/>
              </w:rPr>
              <w:t>Construction de digues de protection contre les inondations et la remontée des eaux du fleuve des quartiers de Touldé (Kaédi), de la ville de Tékane et de la digue de protection de la ville d'Akjoujt.</w:t>
            </w:r>
          </w:p>
        </w:tc>
        <w:tc>
          <w:tcPr>
            <w:tcW w:w="2977" w:type="dxa"/>
            <w:shd w:val="clear" w:color="auto" w:fill="auto"/>
          </w:tcPr>
          <w:p w14:paraId="65DD2160"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Formation et appui-conseil aux structures en charge de la lutte contre les aléas climatiques en milieu urbain.</w:t>
            </w:r>
          </w:p>
        </w:tc>
        <w:tc>
          <w:tcPr>
            <w:tcW w:w="1984" w:type="dxa"/>
            <w:shd w:val="clear" w:color="auto" w:fill="auto"/>
          </w:tcPr>
          <w:p w14:paraId="6F563F8E"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Le développement des nouvelles techniques de lutte contre les inondations et l’ensablement des établissements humains.</w:t>
            </w:r>
          </w:p>
        </w:tc>
        <w:tc>
          <w:tcPr>
            <w:tcW w:w="1560" w:type="dxa"/>
            <w:shd w:val="clear" w:color="auto" w:fill="auto"/>
          </w:tcPr>
          <w:p w14:paraId="5AD12910"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Etat, secteur privé +PTF</w:t>
            </w:r>
          </w:p>
        </w:tc>
        <w:tc>
          <w:tcPr>
            <w:tcW w:w="1538" w:type="dxa"/>
            <w:shd w:val="clear" w:color="auto" w:fill="auto"/>
            <w:vAlign w:val="center"/>
          </w:tcPr>
          <w:p w14:paraId="25213C08"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Espaces verts créés, communes protégées contre les inondations et ville protégée contre l'ensablement ++ Renforcement de villes plus résilientes aux changements climatiques ;</w:t>
            </w:r>
          </w:p>
          <w:p w14:paraId="0708C3FE"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 xml:space="preserve">, </w:t>
            </w:r>
          </w:p>
          <w:p w14:paraId="7653ACE1" w14:textId="77777777" w:rsidR="00BC6C8B" w:rsidRPr="00CF395B" w:rsidRDefault="00BC6C8B" w:rsidP="00EE0E23">
            <w:pPr>
              <w:rPr>
                <w:rFonts w:ascii="Times New Roman" w:hAnsi="Times New Roman" w:cs="Times New Roman"/>
              </w:rPr>
            </w:pPr>
          </w:p>
        </w:tc>
        <w:tc>
          <w:tcPr>
            <w:tcW w:w="1404" w:type="dxa"/>
            <w:shd w:val="clear" w:color="auto" w:fill="auto"/>
            <w:vAlign w:val="center"/>
          </w:tcPr>
          <w:p w14:paraId="031C2A21"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 xml:space="preserve">                                 119   </w:t>
            </w:r>
          </w:p>
        </w:tc>
        <w:tc>
          <w:tcPr>
            <w:tcW w:w="1572" w:type="dxa"/>
            <w:shd w:val="clear" w:color="auto" w:fill="auto"/>
            <w:vAlign w:val="center"/>
          </w:tcPr>
          <w:p w14:paraId="6A88E729"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 xml:space="preserve">                                 124   </w:t>
            </w:r>
          </w:p>
        </w:tc>
      </w:tr>
      <w:tr w:rsidR="00BC6C8B" w:rsidRPr="00CF395B" w14:paraId="122C8323" w14:textId="77777777" w:rsidTr="00EE0E23">
        <w:tc>
          <w:tcPr>
            <w:tcW w:w="1951" w:type="dxa"/>
            <w:shd w:val="clear" w:color="auto" w:fill="auto"/>
          </w:tcPr>
          <w:p w14:paraId="59E493BF" w14:textId="77777777" w:rsidR="00BC6C8B" w:rsidRPr="00DD31FF" w:rsidRDefault="00BC6C8B" w:rsidP="00EE0E23">
            <w:pPr>
              <w:spacing w:after="0" w:line="240" w:lineRule="auto"/>
              <w:ind w:left="-108" w:right="-120"/>
              <w:rPr>
                <w:rFonts w:ascii="Times New Roman" w:hAnsi="Times New Roman" w:cs="Times New Roman"/>
                <w:b/>
                <w:bCs/>
              </w:rPr>
            </w:pPr>
            <w:r w:rsidRPr="00DD31FF">
              <w:rPr>
                <w:rFonts w:ascii="Times New Roman" w:hAnsi="Times New Roman" w:cs="Times New Roman"/>
                <w:b/>
                <w:bCs/>
              </w:rPr>
              <w:t xml:space="preserve">Promotion de l'utilisation matériaux locaux dans la construction de l'habitat : </w:t>
            </w:r>
          </w:p>
          <w:p w14:paraId="3104F069" w14:textId="77777777" w:rsidR="00BC6C8B" w:rsidRPr="00DD31FF" w:rsidRDefault="00BC6C8B" w:rsidP="00BC6C8B">
            <w:pPr>
              <w:pStyle w:val="Paragraphedeliste"/>
              <w:numPr>
                <w:ilvl w:val="0"/>
                <w:numId w:val="496"/>
              </w:numPr>
              <w:spacing w:after="0" w:line="240" w:lineRule="auto"/>
              <w:ind w:right="-72"/>
              <w:rPr>
                <w:rFonts w:ascii="Times New Roman" w:hAnsi="Times New Roman" w:cs="Times New Roman"/>
              </w:rPr>
            </w:pPr>
            <w:r w:rsidRPr="00DD31FF">
              <w:rPr>
                <w:rFonts w:ascii="Times New Roman" w:hAnsi="Times New Roman" w:cs="Times New Roman"/>
              </w:rPr>
              <w:t xml:space="preserve">Construction de 35 000 logements en matériaux locaux (BTC, Pisé, pierre et Adobe) au profit des fonctionnaires dans les </w:t>
            </w:r>
            <w:r w:rsidRPr="00DD31FF">
              <w:rPr>
                <w:rFonts w:ascii="Times New Roman" w:hAnsi="Times New Roman" w:cs="Times New Roman"/>
                <w:sz w:val="20"/>
                <w:szCs w:val="20"/>
              </w:rPr>
              <w:t>capitales</w:t>
            </w:r>
            <w:r w:rsidRPr="00DD31FF">
              <w:rPr>
                <w:rFonts w:ascii="Times New Roman" w:hAnsi="Times New Roman" w:cs="Times New Roman"/>
              </w:rPr>
              <w:t xml:space="preserve"> régionales et les capitales de Moughataa, </w:t>
            </w:r>
          </w:p>
          <w:p w14:paraId="2587C6CF" w14:textId="77777777" w:rsidR="00BC6C8B" w:rsidRPr="00DD31FF" w:rsidRDefault="00BC6C8B" w:rsidP="00BC6C8B">
            <w:pPr>
              <w:pStyle w:val="Paragraphedeliste"/>
              <w:numPr>
                <w:ilvl w:val="0"/>
                <w:numId w:val="496"/>
              </w:numPr>
              <w:spacing w:after="0" w:line="240" w:lineRule="auto"/>
              <w:ind w:right="-72"/>
              <w:rPr>
                <w:rFonts w:ascii="Times New Roman" w:hAnsi="Times New Roman" w:cs="Times New Roman"/>
              </w:rPr>
            </w:pPr>
            <w:r w:rsidRPr="00DD31FF">
              <w:rPr>
                <w:rFonts w:ascii="Times New Roman" w:hAnsi="Times New Roman" w:cs="Times New Roman"/>
              </w:rPr>
              <w:t xml:space="preserve">Construction de 2000 logements terriens, </w:t>
            </w:r>
          </w:p>
          <w:p w14:paraId="64E2C4CB" w14:textId="77777777" w:rsidR="00BC6C8B" w:rsidRPr="00DD31FF" w:rsidRDefault="00BC6C8B" w:rsidP="00BC6C8B">
            <w:pPr>
              <w:pStyle w:val="Paragraphedeliste"/>
              <w:numPr>
                <w:ilvl w:val="0"/>
                <w:numId w:val="496"/>
              </w:numPr>
              <w:spacing w:after="0" w:line="240" w:lineRule="auto"/>
              <w:ind w:right="-101"/>
              <w:rPr>
                <w:rFonts w:ascii="Times New Roman" w:hAnsi="Times New Roman" w:cs="Times New Roman"/>
              </w:rPr>
            </w:pPr>
            <w:r w:rsidRPr="00CF395B">
              <w:rPr>
                <w:rFonts w:ascii="Times New Roman" w:hAnsi="Times New Roman" w:cs="Times New Roman"/>
              </w:rPr>
              <w:t xml:space="preserve"> Construction d'un siège démonstratif de l'ETER-ML et son centre de </w:t>
            </w:r>
            <w:r w:rsidRPr="00CB7FF2">
              <w:rPr>
                <w:rFonts w:ascii="Times New Roman" w:hAnsi="Times New Roman" w:cs="Times New Roman"/>
                <w:sz w:val="20"/>
                <w:szCs w:val="20"/>
              </w:rPr>
              <w:t>développement</w:t>
            </w:r>
            <w:r w:rsidRPr="00CF395B">
              <w:rPr>
                <w:rFonts w:ascii="Times New Roman" w:hAnsi="Times New Roman" w:cs="Times New Roman"/>
              </w:rPr>
              <w:t xml:space="preserve"> des matériaux locaux, </w:t>
            </w:r>
            <w:r w:rsidRPr="00DD31FF">
              <w:rPr>
                <w:rFonts w:ascii="Times New Roman" w:hAnsi="Times New Roman" w:cs="Times New Roman"/>
                <w:color w:val="000000"/>
              </w:rPr>
              <w:t xml:space="preserve">Habitants </w:t>
            </w:r>
          </w:p>
          <w:p w14:paraId="6AA49887" w14:textId="77777777" w:rsidR="00BC6C8B" w:rsidRPr="00DD31FF" w:rsidRDefault="00BC6C8B" w:rsidP="00BC6C8B">
            <w:pPr>
              <w:pStyle w:val="Paragraphedeliste"/>
              <w:numPr>
                <w:ilvl w:val="0"/>
                <w:numId w:val="496"/>
              </w:numPr>
              <w:spacing w:after="0" w:line="240" w:lineRule="auto"/>
              <w:ind w:right="-72"/>
              <w:rPr>
                <w:rFonts w:ascii="Times New Roman" w:hAnsi="Times New Roman" w:cs="Times New Roman"/>
              </w:rPr>
            </w:pPr>
            <w:r w:rsidRPr="00DD31FF">
              <w:rPr>
                <w:rFonts w:ascii="Times New Roman" w:hAnsi="Times New Roman" w:cs="Times New Roman"/>
              </w:rPr>
              <w:t xml:space="preserve">Construction d'un siège terrien modèle zéro carbone pour le MEDD, </w:t>
            </w:r>
          </w:p>
          <w:p w14:paraId="477C6BC1" w14:textId="77777777" w:rsidR="00BC6C8B" w:rsidRPr="00DD31FF" w:rsidRDefault="00BC6C8B" w:rsidP="00BC6C8B">
            <w:pPr>
              <w:pStyle w:val="Paragraphedeliste"/>
              <w:numPr>
                <w:ilvl w:val="0"/>
                <w:numId w:val="496"/>
              </w:numPr>
              <w:spacing w:after="0" w:line="240" w:lineRule="auto"/>
              <w:ind w:right="-72"/>
              <w:rPr>
                <w:rFonts w:ascii="Times New Roman" w:hAnsi="Times New Roman" w:cs="Times New Roman"/>
              </w:rPr>
            </w:pPr>
            <w:r w:rsidRPr="00DD31FF">
              <w:rPr>
                <w:rFonts w:ascii="Times New Roman" w:hAnsi="Times New Roman" w:cs="Times New Roman"/>
              </w:rPr>
              <w:t>Réalisation de quatre zones piétonnes dans certains quartiers des villes de Nouakchott, Nouadhibou et Zouérate</w:t>
            </w:r>
          </w:p>
        </w:tc>
        <w:tc>
          <w:tcPr>
            <w:tcW w:w="2977" w:type="dxa"/>
            <w:shd w:val="clear" w:color="auto" w:fill="auto"/>
          </w:tcPr>
          <w:p w14:paraId="0B3E967F"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Formation et appui-conseil aux structures en charge de la promotion de l’utilisation des matériaux locaux</w:t>
            </w:r>
          </w:p>
        </w:tc>
        <w:tc>
          <w:tcPr>
            <w:tcW w:w="1984" w:type="dxa"/>
            <w:shd w:val="clear" w:color="auto" w:fill="auto"/>
          </w:tcPr>
          <w:p w14:paraId="7B202F45" w14:textId="77777777" w:rsidR="00BC6C8B" w:rsidRPr="00CF395B" w:rsidRDefault="00BC6C8B" w:rsidP="00EE0E23">
            <w:pPr>
              <w:ind w:left="-89" w:right="-140"/>
              <w:rPr>
                <w:rFonts w:ascii="Times New Roman" w:hAnsi="Times New Roman" w:cs="Times New Roman"/>
              </w:rPr>
            </w:pPr>
            <w:r w:rsidRPr="00CF395B">
              <w:rPr>
                <w:rFonts w:ascii="Times New Roman" w:hAnsi="Times New Roman" w:cs="Times New Roman"/>
              </w:rPr>
              <w:t xml:space="preserve">Le </w:t>
            </w:r>
            <w:r w:rsidRPr="00025547">
              <w:rPr>
                <w:rFonts w:ascii="Times New Roman" w:hAnsi="Times New Roman" w:cs="Times New Roman"/>
                <w:sz w:val="20"/>
                <w:szCs w:val="20"/>
              </w:rPr>
              <w:t>développement</w:t>
            </w:r>
            <w:r w:rsidRPr="00CF395B">
              <w:rPr>
                <w:rFonts w:ascii="Times New Roman" w:hAnsi="Times New Roman" w:cs="Times New Roman"/>
              </w:rPr>
              <w:t xml:space="preserve"> des nouvelles générations de technologies adaptées à l’utilisation des matériaux locaux dans les constructions.</w:t>
            </w:r>
          </w:p>
        </w:tc>
        <w:tc>
          <w:tcPr>
            <w:tcW w:w="1560" w:type="dxa"/>
            <w:shd w:val="clear" w:color="auto" w:fill="auto"/>
          </w:tcPr>
          <w:p w14:paraId="1CC25F8E"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Etat, secteur privé +PTF</w:t>
            </w:r>
          </w:p>
        </w:tc>
        <w:tc>
          <w:tcPr>
            <w:tcW w:w="1538" w:type="dxa"/>
            <w:shd w:val="clear" w:color="auto" w:fill="auto"/>
            <w:vAlign w:val="center"/>
          </w:tcPr>
          <w:p w14:paraId="67D89D3B" w14:textId="77777777" w:rsidR="00BC6C8B" w:rsidRPr="00CF395B" w:rsidRDefault="00BC6C8B" w:rsidP="00EE0E23">
            <w:pPr>
              <w:ind w:right="-145"/>
              <w:rPr>
                <w:rFonts w:ascii="Times New Roman" w:hAnsi="Times New Roman" w:cs="Times New Roman"/>
              </w:rPr>
            </w:pPr>
            <w:r w:rsidRPr="00CF395B">
              <w:rPr>
                <w:rFonts w:ascii="Times New Roman" w:hAnsi="Times New Roman" w:cs="Times New Roman"/>
              </w:rPr>
              <w:t xml:space="preserve">Logements en </w:t>
            </w:r>
            <w:r w:rsidRPr="00025547">
              <w:rPr>
                <w:rFonts w:ascii="Times New Roman" w:hAnsi="Times New Roman" w:cs="Times New Roman"/>
                <w:sz w:val="20"/>
                <w:szCs w:val="20"/>
              </w:rPr>
              <w:t>matériaux</w:t>
            </w:r>
            <w:r w:rsidRPr="00CF395B">
              <w:rPr>
                <w:rFonts w:ascii="Times New Roman" w:hAnsi="Times New Roman" w:cs="Times New Roman"/>
              </w:rPr>
              <w:t xml:space="preserve"> locaux construits, siège du </w:t>
            </w:r>
            <w:r w:rsidRPr="00025547">
              <w:rPr>
                <w:rFonts w:ascii="Times New Roman" w:hAnsi="Times New Roman" w:cs="Times New Roman"/>
                <w:sz w:val="20"/>
                <w:szCs w:val="20"/>
              </w:rPr>
              <w:t>MEDD</w:t>
            </w:r>
            <w:r w:rsidRPr="00CF395B">
              <w:rPr>
                <w:rFonts w:ascii="Times New Roman" w:hAnsi="Times New Roman" w:cs="Times New Roman"/>
              </w:rPr>
              <w:t xml:space="preserve"> construit, zones piétonnes en matériaux locaux réalisées</w:t>
            </w:r>
          </w:p>
          <w:p w14:paraId="7C14C7AE" w14:textId="77777777" w:rsidR="00BC6C8B" w:rsidRPr="00CF395B" w:rsidRDefault="00BC6C8B" w:rsidP="00EE0E23">
            <w:pPr>
              <w:rPr>
                <w:rFonts w:ascii="Times New Roman" w:hAnsi="Times New Roman" w:cs="Times New Roman"/>
              </w:rPr>
            </w:pPr>
          </w:p>
        </w:tc>
        <w:tc>
          <w:tcPr>
            <w:tcW w:w="1404" w:type="dxa"/>
            <w:shd w:val="clear" w:color="auto" w:fill="auto"/>
            <w:vAlign w:val="center"/>
          </w:tcPr>
          <w:p w14:paraId="443D69F4"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 xml:space="preserve">                                    25   </w:t>
            </w:r>
          </w:p>
        </w:tc>
        <w:tc>
          <w:tcPr>
            <w:tcW w:w="1572" w:type="dxa"/>
            <w:shd w:val="clear" w:color="auto" w:fill="auto"/>
            <w:vAlign w:val="center"/>
          </w:tcPr>
          <w:p w14:paraId="03168658" w14:textId="77777777" w:rsidR="00BC6C8B" w:rsidRPr="00CF395B" w:rsidRDefault="00BC6C8B" w:rsidP="00EE0E23">
            <w:pPr>
              <w:rPr>
                <w:rFonts w:ascii="Times New Roman" w:hAnsi="Times New Roman" w:cs="Times New Roman"/>
              </w:rPr>
            </w:pPr>
            <w:r w:rsidRPr="00CF395B">
              <w:rPr>
                <w:rFonts w:ascii="Times New Roman" w:hAnsi="Times New Roman" w:cs="Times New Roman"/>
              </w:rPr>
              <w:t xml:space="preserve">                                    60   </w:t>
            </w:r>
          </w:p>
        </w:tc>
      </w:tr>
    </w:tbl>
    <w:p w14:paraId="50AF8CCA" w14:textId="77777777" w:rsidR="00BC6C8B" w:rsidRDefault="00BC6C8B" w:rsidP="00BC6C8B">
      <w:pPr>
        <w:tabs>
          <w:tab w:val="left" w:pos="3735"/>
        </w:tabs>
      </w:pPr>
    </w:p>
    <w:p w14:paraId="79B8FF44" w14:textId="77777777" w:rsidR="00BC6C8B" w:rsidRDefault="00BC6C8B" w:rsidP="00BC6C8B">
      <w:pPr>
        <w:tabs>
          <w:tab w:val="left" w:pos="3735"/>
        </w:tabs>
      </w:pPr>
    </w:p>
    <w:p w14:paraId="4925C465" w14:textId="77777777" w:rsidR="00BC6C8B" w:rsidRDefault="00BC6C8B" w:rsidP="00BC6C8B">
      <w:pPr>
        <w:tabs>
          <w:tab w:val="left" w:pos="3735"/>
        </w:tabs>
      </w:pPr>
    </w:p>
    <w:p w14:paraId="48EC37B9" w14:textId="77777777" w:rsidR="00BC6C8B" w:rsidRDefault="00BC6C8B" w:rsidP="00BC6C8B">
      <w:pPr>
        <w:tabs>
          <w:tab w:val="left" w:pos="3735"/>
        </w:tabs>
      </w:pPr>
    </w:p>
    <w:p w14:paraId="292296AA" w14:textId="77777777" w:rsidR="00BC6C8B" w:rsidRDefault="00BC6C8B" w:rsidP="00BC6C8B">
      <w:pPr>
        <w:tabs>
          <w:tab w:val="left" w:pos="3735"/>
        </w:tabs>
      </w:pPr>
    </w:p>
    <w:p w14:paraId="2EFAC529" w14:textId="77777777" w:rsidR="00BC6C8B" w:rsidRDefault="00BC6C8B" w:rsidP="00BC6C8B">
      <w:pPr>
        <w:tabs>
          <w:tab w:val="left" w:pos="3735"/>
        </w:tabs>
      </w:pPr>
    </w:p>
    <w:p w14:paraId="123566AC" w14:textId="49E544F1" w:rsidR="00BC6C8B" w:rsidRPr="00E528A7" w:rsidRDefault="00BC6C8B" w:rsidP="00BC6C8B">
      <w:pPr>
        <w:spacing w:after="188"/>
        <w:ind w:left="489"/>
        <w:jc w:val="center"/>
      </w:pPr>
      <w:r w:rsidRPr="00E528A7">
        <w:rPr>
          <w:rFonts w:ascii="Calibri" w:eastAsia="Calibri" w:hAnsi="Calibri" w:cs="Calibri"/>
          <w:b/>
          <w:color w:val="181717"/>
          <w:sz w:val="36"/>
        </w:rPr>
        <w:t xml:space="preserve">  </w:t>
      </w:r>
    </w:p>
    <w:p w14:paraId="741928B3" w14:textId="780F0CF7" w:rsidR="009D5FE3" w:rsidRDefault="00BC6C8B" w:rsidP="009D5FE3">
      <w:pPr>
        <w:widowControl w:val="0"/>
        <w:spacing w:after="0" w:line="240" w:lineRule="auto"/>
        <w:ind w:left="360"/>
        <w:jc w:val="center"/>
        <w:rPr>
          <w:rFonts w:eastAsia="Calibri" w:cstheme="minorHAnsi"/>
          <w:b/>
          <w:bCs/>
          <w:color w:val="215868"/>
          <w:sz w:val="24"/>
          <w:szCs w:val="24"/>
        </w:rPr>
      </w:pPr>
      <w:r w:rsidRPr="00E528A7">
        <w:rPr>
          <w:rFonts w:ascii="Calibri" w:eastAsia="Calibri" w:hAnsi="Calibri" w:cs="Calibri"/>
          <w:b/>
          <w:color w:val="181717"/>
          <w:sz w:val="28"/>
          <w:szCs w:val="20"/>
        </w:rPr>
        <w:t xml:space="preserve">      </w:t>
      </w:r>
      <w:r w:rsidR="009D5FE3" w:rsidRPr="008F6A71">
        <w:rPr>
          <w:rFonts w:eastAsia="Calibri" w:cstheme="minorHAnsi"/>
          <w:noProof/>
          <w:color w:val="008000"/>
        </w:rPr>
        <w:drawing>
          <wp:inline distT="0" distB="0" distL="0" distR="0" wp14:anchorId="7FB7A636" wp14:editId="43706E70">
            <wp:extent cx="852147" cy="698583"/>
            <wp:effectExtent l="0" t="0" r="5715" b="6350"/>
            <wp:docPr id="155019830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859184" cy="704352"/>
                    </a:xfrm>
                    <a:prstGeom prst="rect">
                      <a:avLst/>
                    </a:prstGeom>
                    <a:noFill/>
                    <a:ln>
                      <a:noFill/>
                    </a:ln>
                  </pic:spPr>
                </pic:pic>
              </a:graphicData>
            </a:graphic>
          </wp:inline>
        </w:drawing>
      </w:r>
    </w:p>
    <w:p w14:paraId="043B5EE8" w14:textId="77777777" w:rsidR="009D5FE3" w:rsidRDefault="009D5FE3" w:rsidP="009D5FE3">
      <w:pPr>
        <w:widowControl w:val="0"/>
        <w:spacing w:after="0" w:line="240" w:lineRule="auto"/>
        <w:ind w:left="360"/>
        <w:jc w:val="center"/>
        <w:rPr>
          <w:rFonts w:eastAsia="Calibri" w:cstheme="minorHAnsi"/>
          <w:b/>
          <w:bCs/>
          <w:color w:val="215868"/>
          <w:sz w:val="24"/>
          <w:szCs w:val="24"/>
        </w:rPr>
      </w:pPr>
    </w:p>
    <w:p w14:paraId="74B491C4" w14:textId="77777777" w:rsidR="009D5FE3" w:rsidRPr="008F6A71" w:rsidRDefault="009D5FE3" w:rsidP="009D5FE3">
      <w:pPr>
        <w:widowControl w:val="0"/>
        <w:spacing w:after="0" w:line="240" w:lineRule="auto"/>
        <w:ind w:left="360"/>
        <w:jc w:val="center"/>
        <w:rPr>
          <w:rFonts w:eastAsia="Calibri" w:cstheme="minorHAnsi"/>
          <w:b/>
          <w:bCs/>
          <w:color w:val="215868"/>
          <w:sz w:val="24"/>
          <w:szCs w:val="24"/>
        </w:rPr>
      </w:pPr>
      <w:r w:rsidRPr="00F468F7">
        <w:rPr>
          <w:rFonts w:cstheme="minorHAnsi"/>
          <w:b/>
          <w:caps/>
          <w:noProof/>
          <w:color w:val="00B050"/>
          <w:sz w:val="24"/>
          <w:szCs w:val="24"/>
        </w:rPr>
        <mc:AlternateContent>
          <mc:Choice Requires="wps">
            <w:drawing>
              <wp:anchor distT="0" distB="0" distL="114300" distR="114300" simplePos="0" relativeHeight="251755520" behindDoc="0" locked="0" layoutInCell="1" allowOverlap="1" wp14:anchorId="4B498C3D" wp14:editId="5F95D9EC">
                <wp:simplePos x="0" y="0"/>
                <wp:positionH relativeFrom="page">
                  <wp:align>left</wp:align>
                </wp:positionH>
                <wp:positionV relativeFrom="paragraph">
                  <wp:posOffset>-889162</wp:posOffset>
                </wp:positionV>
                <wp:extent cx="666750" cy="23597043"/>
                <wp:effectExtent l="0" t="0" r="0" b="44450"/>
                <wp:wrapNone/>
                <wp:docPr id="31929596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23597043"/>
                        </a:xfrm>
                        <a:prstGeom prst="rect">
                          <a:avLst/>
                        </a:prstGeom>
                        <a:gradFill rotWithShape="1">
                          <a:gsLst>
                            <a:gs pos="0">
                              <a:srgbClr val="DBEEF4"/>
                            </a:gs>
                            <a:gs pos="37000">
                              <a:srgbClr val="DBEEF4"/>
                            </a:gs>
                            <a:gs pos="75000">
                              <a:srgbClr val="E9F4D4"/>
                            </a:gs>
                            <a:gs pos="100000">
                              <a:srgbClr val="F3F9EA"/>
                            </a:gs>
                          </a:gsLst>
                          <a:lin ang="0" scaled="1"/>
                        </a:gradFill>
                        <a:ln>
                          <a:noFill/>
                        </a:ln>
                        <a:effectLst>
                          <a:outerShdw dist="23000" dir="5400000" rotWithShape="0">
                            <a:srgbClr val="80808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79C7E07C" w14:textId="77777777" w:rsidR="009D5FE3" w:rsidRDefault="009D5FE3" w:rsidP="009D5FE3">
                            <w:pPr>
                              <w:jc w:val="center"/>
                              <w:rPr>
                                <w:rFonts w:ascii="Cambria" w:hAnsi="Cambria" w:cs="Tahoma"/>
                                <w:b/>
                                <w:bCs/>
                                <w:color w:val="385623" w:themeColor="accent6" w:themeShade="80"/>
                                <w:sz w:val="36"/>
                                <w:szCs w:val="36"/>
                              </w:rPr>
                            </w:pPr>
                            <w:r>
                              <w:rPr>
                                <w:rFonts w:ascii="Cambria" w:hAnsi="Cambria" w:cs="Tahoma"/>
                                <w:b/>
                                <w:bCs/>
                                <w:color w:val="385623" w:themeColor="accent6" w:themeShade="80"/>
                                <w:sz w:val="36"/>
                                <w:szCs w:val="36"/>
                              </w:rPr>
                              <w:t xml:space="preserve">                                                                                                                                                                                                                                                                                                                V</w:t>
                            </w:r>
                            <w:r w:rsidRPr="0030793D">
                              <w:rPr>
                                <w:rFonts w:ascii="Cambria" w:hAnsi="Cambria" w:cs="Tahoma"/>
                                <w:b/>
                                <w:bCs/>
                                <w:color w:val="385623" w:themeColor="accent6" w:themeShade="80"/>
                                <w:sz w:val="36"/>
                                <w:szCs w:val="36"/>
                              </w:rPr>
                              <w:t xml:space="preserve">olet </w:t>
                            </w:r>
                            <w:proofErr w:type="gramStart"/>
                            <w:r>
                              <w:rPr>
                                <w:rFonts w:ascii="Cambria" w:hAnsi="Cambria" w:cs="Tahoma"/>
                                <w:b/>
                                <w:bCs/>
                                <w:color w:val="385623" w:themeColor="accent6" w:themeShade="80"/>
                                <w:sz w:val="36"/>
                                <w:szCs w:val="36"/>
                              </w:rPr>
                              <w:t>vulnérabilité  &amp;</w:t>
                            </w:r>
                            <w:proofErr w:type="gramEnd"/>
                            <w:r>
                              <w:rPr>
                                <w:rFonts w:ascii="Cambria" w:hAnsi="Cambria" w:cs="Tahoma"/>
                                <w:b/>
                                <w:bCs/>
                                <w:color w:val="385623" w:themeColor="accent6" w:themeShade="80"/>
                                <w:sz w:val="36"/>
                                <w:szCs w:val="36"/>
                              </w:rPr>
                              <w:t xml:space="preserve">  </w:t>
                            </w:r>
                            <w:r w:rsidRPr="0030793D">
                              <w:rPr>
                                <w:rFonts w:ascii="Cambria" w:hAnsi="Cambria" w:cs="Tahoma"/>
                                <w:b/>
                                <w:bCs/>
                                <w:color w:val="385623" w:themeColor="accent6" w:themeShade="80"/>
                                <w:sz w:val="36"/>
                                <w:szCs w:val="36"/>
                              </w:rPr>
                              <w:t>adaptation</w:t>
                            </w:r>
                          </w:p>
                          <w:p w14:paraId="03FBF601" w14:textId="77777777" w:rsidR="009D5FE3" w:rsidRPr="0030793D" w:rsidRDefault="009D5FE3" w:rsidP="009D5FE3">
                            <w:pPr>
                              <w:jc w:val="right"/>
                              <w:rPr>
                                <w:rFonts w:ascii="Cambria" w:hAnsi="Cambria" w:cs="Tahoma"/>
                                <w:b/>
                                <w:bCs/>
                                <w:color w:val="76923C"/>
                                <w:sz w:val="24"/>
                              </w:rPr>
                            </w:pPr>
                            <w:r>
                              <w:rPr>
                                <w:rFonts w:ascii="Cambria" w:hAnsi="Cambria" w:cs="Tahoma"/>
                                <w:b/>
                                <w:bCs/>
                                <w:color w:val="385623" w:themeColor="accent6" w:themeShade="80"/>
                                <w:sz w:val="36"/>
                                <w:szCs w:val="36"/>
                              </w:rPr>
                              <w:t xml:space="preserve">   </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B498C3D" id="_x0000_s1064" style="position:absolute;left:0;text-align:left;margin-left:0;margin-top:-70pt;width:52.5pt;height:1858.05pt;z-index:2517555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" fillcolor="#dbeef4" stroked="f">
                <v:fill color2="#f3f9ea" rotate="t" angle="90" colors="0 #dbeef4;24248f #dbeef4;.75 #e9f4d4;1 #f3f9ea" focus="100%" type="gradient"/>
                <v:shadow on="t" opacity="22936f" origin=",.5" offset="0,.63889mm"/>
                <v:textbox style="layout-flow:vertical;mso-layout-flow-alt:bottom-to-top">
                  <w:txbxContent>
                    <w:p w14:paraId="79C7E07C" w14:textId="77777777" w:rsidR="009D5FE3" w:rsidRDefault="009D5FE3" w:rsidP="009D5FE3">
                      <w:pPr>
                        <w:jc w:val="center"/>
                        <w:rPr>
                          <w:rFonts w:ascii="Cambria" w:hAnsi="Cambria" w:cs="Tahoma"/>
                          <w:b/>
                          <w:bCs/>
                          <w:color w:val="385623" w:themeColor="accent6" w:themeShade="80"/>
                          <w:sz w:val="36"/>
                          <w:szCs w:val="36"/>
                        </w:rPr>
                      </w:pPr>
                      <w:r>
                        <w:rPr>
                          <w:rFonts w:ascii="Cambria" w:hAnsi="Cambria" w:cs="Tahoma"/>
                          <w:b/>
                          <w:bCs/>
                          <w:color w:val="385623" w:themeColor="accent6" w:themeShade="80"/>
                          <w:sz w:val="36"/>
                          <w:szCs w:val="36"/>
                        </w:rPr>
                        <w:t xml:space="preserve">                                                                                                                                                                                                                                                                                                                V</w:t>
                      </w:r>
                      <w:r w:rsidRPr="0030793D">
                        <w:rPr>
                          <w:rFonts w:ascii="Cambria" w:hAnsi="Cambria" w:cs="Tahoma"/>
                          <w:b/>
                          <w:bCs/>
                          <w:color w:val="385623" w:themeColor="accent6" w:themeShade="80"/>
                          <w:sz w:val="36"/>
                          <w:szCs w:val="36"/>
                        </w:rPr>
                        <w:t xml:space="preserve">olet </w:t>
                      </w:r>
                      <w:proofErr w:type="gramStart"/>
                      <w:r>
                        <w:rPr>
                          <w:rFonts w:ascii="Cambria" w:hAnsi="Cambria" w:cs="Tahoma"/>
                          <w:b/>
                          <w:bCs/>
                          <w:color w:val="385623" w:themeColor="accent6" w:themeShade="80"/>
                          <w:sz w:val="36"/>
                          <w:szCs w:val="36"/>
                        </w:rPr>
                        <w:t>vulnérabilité  &amp;</w:t>
                      </w:r>
                      <w:proofErr w:type="gramEnd"/>
                      <w:r>
                        <w:rPr>
                          <w:rFonts w:ascii="Cambria" w:hAnsi="Cambria" w:cs="Tahoma"/>
                          <w:b/>
                          <w:bCs/>
                          <w:color w:val="385623" w:themeColor="accent6" w:themeShade="80"/>
                          <w:sz w:val="36"/>
                          <w:szCs w:val="36"/>
                        </w:rPr>
                        <w:t xml:space="preserve">  </w:t>
                      </w:r>
                      <w:r w:rsidRPr="0030793D">
                        <w:rPr>
                          <w:rFonts w:ascii="Cambria" w:hAnsi="Cambria" w:cs="Tahoma"/>
                          <w:b/>
                          <w:bCs/>
                          <w:color w:val="385623" w:themeColor="accent6" w:themeShade="80"/>
                          <w:sz w:val="36"/>
                          <w:szCs w:val="36"/>
                        </w:rPr>
                        <w:t>adaptation</w:t>
                      </w:r>
                    </w:p>
                    <w:p w14:paraId="03FBF601" w14:textId="77777777" w:rsidR="009D5FE3" w:rsidRPr="0030793D" w:rsidRDefault="009D5FE3" w:rsidP="009D5FE3">
                      <w:pPr>
                        <w:jc w:val="right"/>
                        <w:rPr>
                          <w:rFonts w:ascii="Cambria" w:hAnsi="Cambria" w:cs="Tahoma"/>
                          <w:b/>
                          <w:bCs/>
                          <w:color w:val="76923C"/>
                          <w:sz w:val="24"/>
                        </w:rPr>
                      </w:pPr>
                      <w:r>
                        <w:rPr>
                          <w:rFonts w:ascii="Cambria" w:hAnsi="Cambria" w:cs="Tahoma"/>
                          <w:b/>
                          <w:bCs/>
                          <w:color w:val="385623" w:themeColor="accent6" w:themeShade="80"/>
                          <w:sz w:val="36"/>
                          <w:szCs w:val="36"/>
                        </w:rPr>
                        <w:t xml:space="preserve">   </w:t>
                      </w:r>
                    </w:p>
                  </w:txbxContent>
                </v:textbox>
                <w10:wrap anchorx="page"/>
              </v:rect>
            </w:pict>
          </mc:Fallback>
        </mc:AlternateContent>
      </w:r>
      <w:r w:rsidRPr="008F6A71">
        <w:rPr>
          <w:rFonts w:eastAsia="Calibri" w:cstheme="minorHAnsi"/>
          <w:b/>
          <w:bCs/>
          <w:color w:val="215868"/>
          <w:sz w:val="24"/>
          <w:szCs w:val="24"/>
        </w:rPr>
        <w:t>République Islamique de Mauritanie</w:t>
      </w:r>
    </w:p>
    <w:p w14:paraId="4E4901D7" w14:textId="77777777" w:rsidR="009D5FE3" w:rsidRPr="008F6A71" w:rsidRDefault="009D5FE3" w:rsidP="009D5FE3">
      <w:pPr>
        <w:spacing w:after="0" w:line="360" w:lineRule="auto"/>
        <w:jc w:val="center"/>
        <w:rPr>
          <w:rFonts w:eastAsia="Calibri" w:cstheme="minorHAnsi"/>
          <w:b/>
          <w:bCs/>
          <w:color w:val="215868"/>
          <w:sz w:val="20"/>
          <w:szCs w:val="20"/>
        </w:rPr>
      </w:pPr>
      <w:r w:rsidRPr="008F6A71">
        <w:rPr>
          <w:rFonts w:eastAsia="Calibri" w:cstheme="minorHAnsi"/>
          <w:b/>
          <w:bCs/>
          <w:color w:val="215868"/>
          <w:sz w:val="20"/>
          <w:szCs w:val="20"/>
        </w:rPr>
        <w:t>Honneur – Fraternité – Justice</w:t>
      </w:r>
    </w:p>
    <w:p w14:paraId="61D875D6" w14:textId="77777777" w:rsidR="009D5FE3" w:rsidRPr="008F6A71" w:rsidRDefault="009D5FE3" w:rsidP="009D5FE3">
      <w:pPr>
        <w:spacing w:after="0" w:line="360" w:lineRule="auto"/>
        <w:jc w:val="center"/>
        <w:rPr>
          <w:rFonts w:eastAsia="Calibri" w:cstheme="minorHAnsi"/>
          <w:b/>
          <w:bCs/>
          <w:color w:val="215868"/>
          <w:sz w:val="24"/>
          <w:szCs w:val="24"/>
        </w:rPr>
      </w:pPr>
      <w:r w:rsidRPr="008F6A71">
        <w:rPr>
          <w:rFonts w:eastAsia="Calibri" w:cstheme="minorHAnsi"/>
          <w:b/>
          <w:bCs/>
          <w:color w:val="215868"/>
          <w:sz w:val="24"/>
          <w:szCs w:val="24"/>
        </w:rPr>
        <w:t>Ministère de l’Environnement et du Développement Durable</w:t>
      </w:r>
    </w:p>
    <w:p w14:paraId="482D7FB0" w14:textId="77777777" w:rsidR="009D5FE3" w:rsidRPr="008F6A71" w:rsidRDefault="009D5FE3" w:rsidP="009D5FE3">
      <w:pPr>
        <w:spacing w:after="0" w:line="360" w:lineRule="auto"/>
        <w:jc w:val="center"/>
        <w:rPr>
          <w:rFonts w:eastAsia="Calibri" w:cstheme="minorHAnsi"/>
          <w:b/>
          <w:bCs/>
          <w:color w:val="215868"/>
          <w:sz w:val="24"/>
          <w:szCs w:val="24"/>
        </w:rPr>
      </w:pPr>
      <w:r w:rsidRPr="008F6A71">
        <w:rPr>
          <w:rFonts w:eastAsia="Calibri" w:cstheme="minorHAnsi"/>
          <w:b/>
          <w:bCs/>
          <w:color w:val="215868"/>
          <w:sz w:val="24"/>
          <w:szCs w:val="24"/>
        </w:rPr>
        <w:t>Direction du climat et de l’économie verte</w:t>
      </w:r>
    </w:p>
    <w:p w14:paraId="148860D3" w14:textId="77777777" w:rsidR="009D5FE3" w:rsidRPr="008F6A71" w:rsidRDefault="009D5FE3" w:rsidP="009D5FE3">
      <w:pPr>
        <w:spacing w:after="0" w:line="240" w:lineRule="auto"/>
        <w:jc w:val="center"/>
        <w:rPr>
          <w:rFonts w:eastAsia="Calibri" w:cstheme="minorHAnsi"/>
          <w:b/>
          <w:bCs/>
          <w:color w:val="215868"/>
          <w:sz w:val="24"/>
          <w:szCs w:val="24"/>
        </w:rPr>
      </w:pPr>
      <w:r>
        <w:rPr>
          <w:rFonts w:eastAsia="Calibri" w:cstheme="minorHAnsi"/>
          <w:b/>
          <w:bCs/>
          <w:color w:val="215868"/>
          <w:sz w:val="24"/>
          <w:szCs w:val="24"/>
        </w:rPr>
        <w:t xml:space="preserve">Activité Habilitante </w:t>
      </w:r>
      <w:r w:rsidRPr="008F6A71">
        <w:rPr>
          <w:rFonts w:eastAsia="Calibri" w:cstheme="minorHAnsi"/>
          <w:b/>
          <w:bCs/>
          <w:color w:val="215868"/>
          <w:sz w:val="24"/>
          <w:szCs w:val="24"/>
        </w:rPr>
        <w:t>Cinquième Communication Nationale sur le changement climatique - NC5</w:t>
      </w:r>
    </w:p>
    <w:p w14:paraId="54C32213" w14:textId="26B87B1F" w:rsidR="00BC6C8B" w:rsidRPr="00864152" w:rsidRDefault="00910B5F" w:rsidP="004E6B37">
      <w:pPr>
        <w:spacing w:after="136"/>
        <w:rPr>
          <w:sz w:val="32"/>
          <w:szCs w:val="32"/>
        </w:rPr>
      </w:pPr>
      <w:r>
        <w:rPr>
          <w:noProof/>
          <w:sz w:val="6"/>
          <w:szCs w:val="6"/>
        </w:rPr>
        <mc:AlternateContent>
          <mc:Choice Requires="wps">
            <w:drawing>
              <wp:anchor distT="0" distB="0" distL="114300" distR="114300" simplePos="0" relativeHeight="251756544" behindDoc="0" locked="0" layoutInCell="1" allowOverlap="1" wp14:anchorId="66522D26" wp14:editId="040B8903">
                <wp:simplePos x="0" y="0"/>
                <wp:positionH relativeFrom="column">
                  <wp:posOffset>1079500</wp:posOffset>
                </wp:positionH>
                <wp:positionV relativeFrom="paragraph">
                  <wp:posOffset>2209</wp:posOffset>
                </wp:positionV>
                <wp:extent cx="3872285" cy="675861"/>
                <wp:effectExtent l="0" t="0" r="13970" b="10160"/>
                <wp:wrapNone/>
                <wp:docPr id="1183527452" name="Zone de texte 42"/>
                <wp:cNvGraphicFramePr/>
                <a:graphic xmlns:a="http://schemas.openxmlformats.org/drawingml/2006/main">
                  <a:graphicData uri="http://schemas.microsoft.com/office/word/2010/wordprocessingShape">
                    <wps:wsp>
                      <wps:cNvSpPr txBox="1"/>
                      <wps:spPr>
                        <a:xfrm>
                          <a:off x="0" y="0"/>
                          <a:ext cx="3872285" cy="675861"/>
                        </a:xfrm>
                        <a:prstGeom prst="rect">
                          <a:avLst/>
                        </a:prstGeom>
                        <a:solidFill>
                          <a:schemeClr val="lt1"/>
                        </a:solidFill>
                        <a:ln w="6350">
                          <a:solidFill>
                            <a:prstClr val="black"/>
                          </a:solidFill>
                        </a:ln>
                      </wps:spPr>
                      <wps:txbx>
                        <w:txbxContent>
                          <w:p w14:paraId="4CC8C323" w14:textId="3D71511F" w:rsidR="00910B5F" w:rsidRDefault="00910B5F" w:rsidP="00910B5F">
                            <w:pPr>
                              <w:spacing w:after="314"/>
                              <w:jc w:val="center"/>
                              <w:rPr>
                                <w:sz w:val="28"/>
                                <w:szCs w:val="36"/>
                                <w:u w:val="single" w:color="000000"/>
                              </w:rPr>
                            </w:pPr>
                            <w:r>
                              <w:rPr>
                                <w:b/>
                                <w:sz w:val="20"/>
                              </w:rPr>
                              <w:t>VISION</w:t>
                            </w:r>
                            <w:r w:rsidRPr="00864152">
                              <w:rPr>
                                <w:b/>
                                <w:sz w:val="20"/>
                              </w:rPr>
                              <w:t xml:space="preserve"> </w:t>
                            </w:r>
                            <w:r>
                              <w:rPr>
                                <w:b/>
                                <w:sz w:val="20"/>
                              </w:rPr>
                              <w:t>SOCIOLOGIQUE DU</w:t>
                            </w:r>
                            <w:r w:rsidRPr="00864152">
                              <w:rPr>
                                <w:sz w:val="20"/>
                              </w:rPr>
                              <w:t xml:space="preserve"> </w:t>
                            </w:r>
                            <w:r w:rsidRPr="00734C13">
                              <w:rPr>
                                <w:b/>
                                <w:bCs/>
                                <w:szCs w:val="28"/>
                              </w:rPr>
                              <w:t>Dérèglement climatique</w:t>
                            </w:r>
                            <w:r>
                              <w:rPr>
                                <w:szCs w:val="28"/>
                              </w:rPr>
                              <w:t> </w:t>
                            </w:r>
                            <w:r w:rsidRPr="00C51F87">
                              <w:rPr>
                                <w:sz w:val="24"/>
                                <w:szCs w:val="32"/>
                              </w:rPr>
                              <w:t xml:space="preserve">et </w:t>
                            </w:r>
                            <w:r w:rsidR="00063047">
                              <w:rPr>
                                <w:sz w:val="24"/>
                                <w:szCs w:val="32"/>
                              </w:rPr>
                              <w:t xml:space="preserve">ses impacts, la </w:t>
                            </w:r>
                            <w:r w:rsidRPr="00C51F87">
                              <w:rPr>
                                <w:sz w:val="24"/>
                                <w:szCs w:val="32"/>
                              </w:rPr>
                              <w:t>Migration en lien avec les dynamiques Sociologiques, Patriarcales et les Traditions Religieuses en Mauritanie.</w:t>
                            </w:r>
                          </w:p>
                          <w:p w14:paraId="5BE7EC6C" w14:textId="4CF306A2" w:rsidR="00910B5F" w:rsidRPr="00C51F87" w:rsidRDefault="00910B5F" w:rsidP="00910B5F">
                            <w:pPr>
                              <w:ind w:right="-271"/>
                              <w:jc w:val="center"/>
                              <w:rPr>
                                <w:sz w:val="24"/>
                                <w:szCs w:val="32"/>
                              </w:rPr>
                            </w:pPr>
                          </w:p>
                          <w:p w14:paraId="48088B2E" w14:textId="77777777" w:rsidR="00910B5F" w:rsidRDefault="00910B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22D26" id="Zone de texte 42" o:spid="_x0000_s1065" type="#_x0000_t202" style="position:absolute;margin-left:85pt;margin-top:.15pt;width:304.9pt;height:53.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" fillcolor="white [3201]" strokeweight=".5pt">
                <v:textbox>
                  <w:txbxContent>
                    <w:p w14:paraId="4CC8C323" w14:textId="3D71511F" w:rsidR="00910B5F" w:rsidRDefault="00910B5F" w:rsidP="00910B5F">
                      <w:pPr>
                        <w:spacing w:after="314"/>
                        <w:jc w:val="center"/>
                        <w:rPr>
                          <w:sz w:val="28"/>
                          <w:szCs w:val="36"/>
                          <w:u w:val="single" w:color="000000"/>
                        </w:rPr>
                      </w:pPr>
                      <w:r>
                        <w:rPr>
                          <w:b/>
                          <w:sz w:val="20"/>
                        </w:rPr>
                        <w:t>VISION</w:t>
                      </w:r>
                      <w:r w:rsidRPr="00864152">
                        <w:rPr>
                          <w:b/>
                          <w:sz w:val="20"/>
                        </w:rPr>
                        <w:t xml:space="preserve"> </w:t>
                      </w:r>
                      <w:r>
                        <w:rPr>
                          <w:b/>
                          <w:sz w:val="20"/>
                        </w:rPr>
                        <w:t>SOCIOLOGIQUE DU</w:t>
                      </w:r>
                      <w:r w:rsidRPr="00864152">
                        <w:rPr>
                          <w:sz w:val="20"/>
                        </w:rPr>
                        <w:t xml:space="preserve"> </w:t>
                      </w:r>
                      <w:r w:rsidRPr="00734C13">
                        <w:rPr>
                          <w:b/>
                          <w:bCs/>
                          <w:szCs w:val="28"/>
                        </w:rPr>
                        <w:t>Dérèglement climatique</w:t>
                      </w:r>
                      <w:r>
                        <w:rPr>
                          <w:szCs w:val="28"/>
                        </w:rPr>
                        <w:t> </w:t>
                      </w:r>
                      <w:r w:rsidRPr="00C51F87">
                        <w:rPr>
                          <w:sz w:val="24"/>
                          <w:szCs w:val="32"/>
                        </w:rPr>
                        <w:t xml:space="preserve">et </w:t>
                      </w:r>
                      <w:r w:rsidR="00063047">
                        <w:rPr>
                          <w:sz w:val="24"/>
                          <w:szCs w:val="32"/>
                        </w:rPr>
                        <w:t xml:space="preserve">ses impacts, la </w:t>
                      </w:r>
                      <w:r w:rsidRPr="00C51F87">
                        <w:rPr>
                          <w:sz w:val="24"/>
                          <w:szCs w:val="32"/>
                        </w:rPr>
                        <w:t>Migration en lien avec les dynamiques Sociologiques, Patriarcales et les Traditions Religieuses en Mauritanie.</w:t>
                      </w:r>
                    </w:p>
                    <w:p w14:paraId="5BE7EC6C" w14:textId="4CF306A2" w:rsidR="00910B5F" w:rsidRPr="00C51F87" w:rsidRDefault="00910B5F" w:rsidP="00910B5F">
                      <w:pPr>
                        <w:ind w:right="-271"/>
                        <w:jc w:val="center"/>
                        <w:rPr>
                          <w:sz w:val="24"/>
                          <w:szCs w:val="32"/>
                        </w:rPr>
                      </w:pPr>
                    </w:p>
                    <w:p w14:paraId="48088B2E" w14:textId="77777777" w:rsidR="00910B5F" w:rsidRDefault="00910B5F"/>
                  </w:txbxContent>
                </v:textbox>
              </v:shape>
            </w:pict>
          </mc:Fallback>
        </mc:AlternateContent>
      </w:r>
    </w:p>
    <w:p w14:paraId="1583F775" w14:textId="77777777" w:rsidR="00BC6C8B" w:rsidRPr="00864152" w:rsidRDefault="00BC6C8B" w:rsidP="00BC6C8B">
      <w:pPr>
        <w:spacing w:after="314"/>
      </w:pPr>
      <w:r w:rsidRPr="00864152">
        <w:rPr>
          <w:sz w:val="20"/>
        </w:rPr>
        <w:t xml:space="preserve"> </w:t>
      </w:r>
    </w:p>
    <w:p w14:paraId="0C10368F" w14:textId="6DA8761B" w:rsidR="00BC6C8B" w:rsidRPr="00864152" w:rsidRDefault="00BC6C8B" w:rsidP="00BC6C8B">
      <w:pPr>
        <w:spacing w:after="314"/>
        <w:jc w:val="center"/>
        <w:rPr>
          <w:sz w:val="36"/>
          <w:szCs w:val="36"/>
        </w:rPr>
      </w:pPr>
      <w:r w:rsidRPr="00864152">
        <w:rPr>
          <w:sz w:val="20"/>
        </w:rPr>
        <w:t xml:space="preserve"> </w:t>
      </w:r>
      <w:r w:rsidR="00910B5F">
        <w:rPr>
          <w:sz w:val="28"/>
          <w:szCs w:val="36"/>
          <w:u w:val="single" w:color="000000"/>
        </w:rPr>
        <w:t xml:space="preserve">Auteur : </w:t>
      </w:r>
      <w:r w:rsidRPr="00864152">
        <w:rPr>
          <w:sz w:val="28"/>
          <w:szCs w:val="36"/>
        </w:rPr>
        <w:t>Ciré Kane</w:t>
      </w:r>
      <w:r w:rsidR="00063047">
        <w:rPr>
          <w:sz w:val="28"/>
          <w:szCs w:val="36"/>
        </w:rPr>
        <w:t>,</w:t>
      </w:r>
      <w:r w:rsidR="00910B5F">
        <w:rPr>
          <w:sz w:val="28"/>
          <w:szCs w:val="36"/>
        </w:rPr>
        <w:t xml:space="preserve"> </w:t>
      </w:r>
      <w:r w:rsidR="00910B5F" w:rsidRPr="00864152">
        <w:rPr>
          <w:sz w:val="28"/>
          <w:szCs w:val="36"/>
          <w:u w:val="single" w:color="000000"/>
        </w:rPr>
        <w:t>Sociologue</w:t>
      </w:r>
    </w:p>
    <w:p w14:paraId="6509C126" w14:textId="77777777" w:rsidR="00BC6C8B" w:rsidRPr="00864152" w:rsidRDefault="00BC6C8B" w:rsidP="00BC6C8B">
      <w:pPr>
        <w:spacing w:after="314"/>
      </w:pPr>
      <w:r w:rsidRPr="00864152">
        <w:rPr>
          <w:b/>
          <w:sz w:val="20"/>
        </w:rPr>
        <w:t xml:space="preserve"> </w:t>
      </w:r>
    </w:p>
    <w:p w14:paraId="4243BE4A" w14:textId="77777777" w:rsidR="00BC6C8B" w:rsidRPr="00864152" w:rsidRDefault="00BC6C8B" w:rsidP="00BC6C8B">
      <w:pPr>
        <w:spacing w:after="315"/>
      </w:pPr>
      <w:r w:rsidRPr="00864152">
        <w:rPr>
          <w:b/>
          <w:sz w:val="20"/>
        </w:rPr>
        <w:t xml:space="preserve"> </w:t>
      </w:r>
      <w:r w:rsidRPr="00864152">
        <w:rPr>
          <w:b/>
          <w:u w:val="single" w:color="000000"/>
        </w:rPr>
        <w:t>Sommaire :</w:t>
      </w:r>
      <w:r w:rsidRPr="00864152">
        <w:rPr>
          <w:b/>
        </w:rPr>
        <w:t xml:space="preserve">  </w:t>
      </w:r>
    </w:p>
    <w:p w14:paraId="3BE7F23A" w14:textId="77777777" w:rsidR="00BC6C8B" w:rsidRPr="00864152" w:rsidRDefault="00BC6C8B" w:rsidP="00BC6C8B">
      <w:pPr>
        <w:spacing w:before="120" w:after="120"/>
        <w:ind w:left="40" w:right="13"/>
      </w:pPr>
      <w:r w:rsidRPr="00864152">
        <w:rPr>
          <w:b/>
        </w:rPr>
        <w:t>Introduction</w:t>
      </w:r>
      <w:r w:rsidRPr="00864152">
        <w:t xml:space="preserve"> (Contexte et justification ; Objectif du rapport ; Méthodologie) </w:t>
      </w:r>
    </w:p>
    <w:p w14:paraId="4C4470A3" w14:textId="77777777" w:rsidR="00BC6C8B" w:rsidRPr="00864152" w:rsidRDefault="00BC6C8B" w:rsidP="00BC6C8B">
      <w:pPr>
        <w:spacing w:before="120" w:after="120"/>
        <w:ind w:left="40" w:right="13"/>
      </w:pPr>
      <w:r w:rsidRPr="00864152">
        <w:rPr>
          <w:b/>
          <w:u w:val="single" w:color="000000"/>
        </w:rPr>
        <w:t>Chapitre 1 :</w:t>
      </w:r>
      <w:r w:rsidRPr="00864152">
        <w:rPr>
          <w:b/>
        </w:rPr>
        <w:t xml:space="preserve"> </w:t>
      </w:r>
      <w:r w:rsidRPr="00864152">
        <w:t xml:space="preserve">Contexte du dérèglement climatique et de la Migration en Mauritanie. </w:t>
      </w:r>
    </w:p>
    <w:p w14:paraId="78A207AF" w14:textId="77777777" w:rsidR="00BC6C8B" w:rsidRPr="00864152" w:rsidRDefault="00BC6C8B" w:rsidP="00BC6C8B">
      <w:pPr>
        <w:spacing w:before="120" w:after="120"/>
        <w:ind w:left="40" w:right="13"/>
      </w:pPr>
      <w:r w:rsidRPr="00864152">
        <w:t xml:space="preserve">.1.1 Contexte Environnemental du dérèglement climatique en Mauritanie  </w:t>
      </w:r>
    </w:p>
    <w:p w14:paraId="7B0DC90B" w14:textId="77777777" w:rsidR="00BC6C8B" w:rsidRPr="00864152" w:rsidRDefault="00BC6C8B" w:rsidP="00BC6C8B">
      <w:pPr>
        <w:spacing w:before="120" w:after="120"/>
        <w:ind w:left="40" w:right="13"/>
      </w:pPr>
      <w:r w:rsidRPr="00864152">
        <w:t xml:space="preserve">.1.2 Mouvements Migratoires </w:t>
      </w:r>
    </w:p>
    <w:p w14:paraId="5AE6B098" w14:textId="77777777" w:rsidR="00BC6C8B" w:rsidRPr="00864152" w:rsidRDefault="00BC6C8B" w:rsidP="00BC6C8B">
      <w:pPr>
        <w:spacing w:before="120" w:after="120"/>
        <w:ind w:left="40" w:right="13"/>
      </w:pPr>
      <w:r w:rsidRPr="00864152">
        <w:t xml:space="preserve">1.3Structures sociales et Religieuses  </w:t>
      </w:r>
    </w:p>
    <w:p w14:paraId="5F118BF6" w14:textId="77777777" w:rsidR="00BC6C8B" w:rsidRPr="00864152" w:rsidRDefault="00BC6C8B" w:rsidP="00BC6C8B">
      <w:pPr>
        <w:spacing w:before="120" w:after="120"/>
        <w:ind w:left="40" w:right="13"/>
      </w:pPr>
      <w:r w:rsidRPr="00864152">
        <w:t xml:space="preserve"> 1.</w:t>
      </w:r>
      <w:proofErr w:type="gramStart"/>
      <w:r w:rsidRPr="00864152">
        <w:t>4.Conclusion</w:t>
      </w:r>
      <w:proofErr w:type="gramEnd"/>
      <w:r w:rsidRPr="00864152">
        <w:t xml:space="preserve">  </w:t>
      </w:r>
    </w:p>
    <w:p w14:paraId="3F3346EA" w14:textId="77777777" w:rsidR="00BC6C8B" w:rsidRPr="00864152" w:rsidRDefault="00BC6C8B" w:rsidP="00BC6C8B">
      <w:pPr>
        <w:spacing w:before="120" w:after="120"/>
        <w:ind w:left="40" w:right="13"/>
      </w:pPr>
      <w:r w:rsidRPr="00864152">
        <w:rPr>
          <w:b/>
          <w:u w:val="single" w:color="000000"/>
        </w:rPr>
        <w:t xml:space="preserve">Chapitre 2 : </w:t>
      </w:r>
      <w:r w:rsidRPr="00864152">
        <w:t xml:space="preserve">Impact du Dérèglement Climatique sur les Secteurs Clés des Moyens de Subsistance. </w:t>
      </w:r>
    </w:p>
    <w:p w14:paraId="2D346416" w14:textId="77777777" w:rsidR="00BC6C8B" w:rsidRPr="00864152" w:rsidRDefault="00BC6C8B" w:rsidP="00BC6C8B">
      <w:pPr>
        <w:spacing w:before="120" w:after="120"/>
        <w:ind w:left="40" w:right="13"/>
      </w:pPr>
      <w:r w:rsidRPr="00864152">
        <w:t xml:space="preserve">2.1. Impact sur l’Agriculture </w:t>
      </w:r>
    </w:p>
    <w:p w14:paraId="4DF07B1B" w14:textId="77777777" w:rsidR="00BC6C8B" w:rsidRPr="00864152" w:rsidRDefault="00BC6C8B" w:rsidP="00BC6C8B">
      <w:pPr>
        <w:spacing w:before="120" w:after="120"/>
        <w:ind w:left="40" w:right="13"/>
      </w:pPr>
      <w:r w:rsidRPr="00864152">
        <w:t xml:space="preserve">2.2. Impact sur l’Élevage  </w:t>
      </w:r>
    </w:p>
    <w:p w14:paraId="1DAF8FDB" w14:textId="77777777" w:rsidR="00BC6C8B" w:rsidRPr="00864152" w:rsidRDefault="00BC6C8B" w:rsidP="00BC6C8B">
      <w:pPr>
        <w:spacing w:before="120" w:after="120"/>
        <w:ind w:left="40" w:right="13"/>
      </w:pPr>
      <w:r w:rsidRPr="00864152">
        <w:t xml:space="preserve">2.3. Impact sur la Pêche  </w:t>
      </w:r>
    </w:p>
    <w:p w14:paraId="732E7E40" w14:textId="77777777" w:rsidR="00BC6C8B" w:rsidRPr="00864152" w:rsidRDefault="00BC6C8B" w:rsidP="00BC6C8B">
      <w:pPr>
        <w:spacing w:before="120" w:after="120"/>
        <w:ind w:left="40" w:right="13"/>
      </w:pPr>
      <w:r w:rsidRPr="00864152">
        <w:t xml:space="preserve">2.4 Impact sur le Commerce et l’Artisanat </w:t>
      </w:r>
    </w:p>
    <w:p w14:paraId="59AE5835" w14:textId="77777777" w:rsidR="00BC6C8B" w:rsidRPr="00864152" w:rsidRDefault="00BC6C8B" w:rsidP="00BC6C8B">
      <w:pPr>
        <w:spacing w:before="120" w:after="120"/>
        <w:ind w:left="40" w:right="13"/>
      </w:pPr>
      <w:r w:rsidRPr="00864152">
        <w:rPr>
          <w:b/>
          <w:u w:val="single" w:color="000000"/>
        </w:rPr>
        <w:t xml:space="preserve">Chapitre 3 : </w:t>
      </w:r>
      <w:r w:rsidRPr="00864152">
        <w:t xml:space="preserve">Impact du dérèglement climatique et de la migration sur les rôles genre. </w:t>
      </w:r>
    </w:p>
    <w:p w14:paraId="107AC5F2" w14:textId="77777777" w:rsidR="00BC6C8B" w:rsidRPr="00864152" w:rsidRDefault="00BC6C8B" w:rsidP="00BC6C8B">
      <w:pPr>
        <w:spacing w:before="120" w:after="120"/>
        <w:ind w:left="40" w:right="13"/>
      </w:pPr>
      <w:r w:rsidRPr="00864152">
        <w:t xml:space="preserve">3.1. Redistribution des rôles économiques  </w:t>
      </w:r>
    </w:p>
    <w:p w14:paraId="51087C7A" w14:textId="77777777" w:rsidR="00BC6C8B" w:rsidRPr="00864152" w:rsidRDefault="00BC6C8B" w:rsidP="00BC6C8B">
      <w:pPr>
        <w:spacing w:before="120" w:after="120"/>
        <w:ind w:left="40" w:right="13"/>
      </w:pPr>
      <w:r w:rsidRPr="00864152">
        <w:t xml:space="preserve">3.2. Transformations des dynamiques familiales  </w:t>
      </w:r>
    </w:p>
    <w:p w14:paraId="4D9C2A90" w14:textId="77777777" w:rsidR="00BC6C8B" w:rsidRPr="00864152" w:rsidRDefault="00BC6C8B" w:rsidP="00BC6C8B">
      <w:pPr>
        <w:spacing w:before="120" w:after="120"/>
        <w:ind w:left="40" w:right="13"/>
      </w:pPr>
      <w:r w:rsidRPr="00864152">
        <w:t xml:space="preserve">3.3. Rôle Accrue des femmes  </w:t>
      </w:r>
    </w:p>
    <w:p w14:paraId="7B19B2C5" w14:textId="77777777" w:rsidR="00BC6C8B" w:rsidRPr="00864152" w:rsidRDefault="00BC6C8B" w:rsidP="00BC6C8B">
      <w:pPr>
        <w:spacing w:before="120" w:after="120"/>
        <w:ind w:left="40" w:right="13"/>
      </w:pPr>
      <w:r w:rsidRPr="00864152">
        <w:t xml:space="preserve">3.4. Conclusion  </w:t>
      </w:r>
    </w:p>
    <w:p w14:paraId="23EC3551" w14:textId="77777777" w:rsidR="00BC6C8B" w:rsidRPr="00864152" w:rsidRDefault="00BC6C8B" w:rsidP="00BC6C8B">
      <w:pPr>
        <w:spacing w:before="120" w:after="120"/>
        <w:ind w:left="40" w:right="13"/>
      </w:pPr>
      <w:r w:rsidRPr="00864152">
        <w:rPr>
          <w:b/>
          <w:u w:val="single" w:color="000000"/>
        </w:rPr>
        <w:t>Chapitre 4 :</w:t>
      </w:r>
      <w:r w:rsidRPr="00864152">
        <w:rPr>
          <w:b/>
        </w:rPr>
        <w:t xml:space="preserve"> </w:t>
      </w:r>
      <w:r w:rsidRPr="00864152">
        <w:t xml:space="preserve">Impact de la Migration sur les Pratiques Religieuses et les structures patriarcales  </w:t>
      </w:r>
    </w:p>
    <w:p w14:paraId="37C620BE" w14:textId="77777777" w:rsidR="00BC6C8B" w:rsidRPr="00864152" w:rsidRDefault="00BC6C8B" w:rsidP="00BC6C8B">
      <w:pPr>
        <w:spacing w:before="120" w:after="120"/>
        <w:ind w:left="40" w:right="13"/>
      </w:pPr>
      <w:r w:rsidRPr="00864152">
        <w:t xml:space="preserve">4.1. Adaptation des Pratiques Religieuse en milieu urbain  </w:t>
      </w:r>
    </w:p>
    <w:p w14:paraId="46E2FB54" w14:textId="77777777" w:rsidR="00BC6C8B" w:rsidRPr="00864152" w:rsidRDefault="00BC6C8B" w:rsidP="00BC6C8B">
      <w:pPr>
        <w:spacing w:before="120" w:after="120"/>
        <w:ind w:left="40" w:right="13"/>
      </w:pPr>
      <w:r w:rsidRPr="00864152">
        <w:t xml:space="preserve">4.2. Transformations des Identités Religieuses </w:t>
      </w:r>
    </w:p>
    <w:p w14:paraId="0CD0AB59" w14:textId="77777777" w:rsidR="00BC6C8B" w:rsidRPr="00864152" w:rsidRDefault="00BC6C8B" w:rsidP="00BC6C8B">
      <w:pPr>
        <w:spacing w:before="120" w:after="120"/>
        <w:ind w:left="40" w:right="13"/>
      </w:pPr>
      <w:r w:rsidRPr="00864152">
        <w:t xml:space="preserve"> 4.3. Impacts sur les Structures Communautaires et les Institutions Religieuses </w:t>
      </w:r>
    </w:p>
    <w:p w14:paraId="3C4A230A" w14:textId="77777777" w:rsidR="00BC6C8B" w:rsidRPr="00864152" w:rsidRDefault="00BC6C8B" w:rsidP="00BC6C8B">
      <w:pPr>
        <w:spacing w:before="120" w:after="120"/>
        <w:ind w:left="40" w:right="13"/>
      </w:pPr>
      <w:r w:rsidRPr="00864152">
        <w:t xml:space="preserve">4.5. Conclusion  </w:t>
      </w:r>
    </w:p>
    <w:p w14:paraId="032F08D5" w14:textId="77777777" w:rsidR="00BC6C8B" w:rsidRPr="00864152" w:rsidRDefault="00BC6C8B" w:rsidP="00BC6C8B">
      <w:pPr>
        <w:spacing w:before="120" w:after="120"/>
        <w:ind w:left="40" w:right="13"/>
      </w:pPr>
      <w:r w:rsidRPr="00864152">
        <w:rPr>
          <w:b/>
          <w:u w:val="single" w:color="000000"/>
        </w:rPr>
        <w:t xml:space="preserve">Chapitre 5 : </w:t>
      </w:r>
      <w:r w:rsidRPr="00864152">
        <w:t xml:space="preserve">Transformations Sociales au Sein des Structures Patriarcales </w:t>
      </w:r>
    </w:p>
    <w:p w14:paraId="3E7290D2" w14:textId="77777777" w:rsidR="00BC6C8B" w:rsidRPr="00864152" w:rsidRDefault="00BC6C8B" w:rsidP="00BC6C8B">
      <w:pPr>
        <w:spacing w:before="120" w:after="120"/>
        <w:ind w:left="40" w:right="13"/>
      </w:pPr>
      <w:r w:rsidRPr="00864152">
        <w:t xml:space="preserve">5.1. Évolution des Rôles de Genre et Redéfinition du Patriarcat </w:t>
      </w:r>
    </w:p>
    <w:p w14:paraId="4C2AA008" w14:textId="77777777" w:rsidR="00BC6C8B" w:rsidRPr="00864152" w:rsidRDefault="00BC6C8B" w:rsidP="00BC6C8B">
      <w:pPr>
        <w:spacing w:before="120" w:after="120"/>
        <w:ind w:left="40" w:right="13"/>
      </w:pPr>
      <w:r w:rsidRPr="00864152">
        <w:t xml:space="preserve">5.2. Effets de la Migration sur les Structures Patriarcales </w:t>
      </w:r>
    </w:p>
    <w:p w14:paraId="1A4A3849" w14:textId="77777777" w:rsidR="00BC6C8B" w:rsidRPr="00864152" w:rsidRDefault="00BC6C8B" w:rsidP="00BC6C8B">
      <w:pPr>
        <w:spacing w:before="120" w:after="120"/>
        <w:ind w:left="40" w:right="13"/>
      </w:pPr>
      <w:r w:rsidRPr="00864152">
        <w:t xml:space="preserve">5.3. Résistance et Adaptation des Structures Patriarcales  </w:t>
      </w:r>
    </w:p>
    <w:p w14:paraId="2C5E1925" w14:textId="77777777" w:rsidR="00BC6C8B" w:rsidRPr="00864152" w:rsidRDefault="00BC6C8B" w:rsidP="00BC6C8B">
      <w:pPr>
        <w:spacing w:before="120" w:after="120"/>
        <w:ind w:left="40" w:right="13"/>
      </w:pPr>
      <w:r w:rsidRPr="00864152">
        <w:t xml:space="preserve">5.4. Impact à long terme sur les Relations de Pouvoirs  </w:t>
      </w:r>
    </w:p>
    <w:p w14:paraId="30F76501" w14:textId="77777777" w:rsidR="00BC6C8B" w:rsidRDefault="00BC6C8B" w:rsidP="00BC6C8B">
      <w:pPr>
        <w:spacing w:before="120" w:after="120"/>
        <w:ind w:left="40" w:right="13"/>
      </w:pPr>
      <w:r>
        <w:t xml:space="preserve">5.5. Conclusion  </w:t>
      </w:r>
    </w:p>
    <w:p w14:paraId="1DEA928F" w14:textId="77777777" w:rsidR="00BC6C8B" w:rsidRDefault="00BC6C8B" w:rsidP="00BC6C8B">
      <w:pPr>
        <w:pStyle w:val="Titre1"/>
        <w:spacing w:before="120" w:after="120" w:line="264" w:lineRule="auto"/>
        <w:ind w:left="40"/>
      </w:pPr>
      <w:r>
        <w:t xml:space="preserve">Conclusion Générale  </w:t>
      </w:r>
    </w:p>
    <w:p w14:paraId="4B053E75" w14:textId="77777777" w:rsidR="00BC6C8B" w:rsidRPr="00864152" w:rsidRDefault="00BC6C8B" w:rsidP="00BC6C8B">
      <w:pPr>
        <w:numPr>
          <w:ilvl w:val="0"/>
          <w:numId w:val="497"/>
        </w:numPr>
        <w:spacing w:before="120" w:after="120" w:line="368" w:lineRule="auto"/>
        <w:ind w:left="766" w:right="13" w:hanging="361"/>
      </w:pPr>
      <w:r w:rsidRPr="00864152">
        <w:t xml:space="preserve">Synthèse des Principales Conclusions sur l'Impact du Dérèglement Climatique et de la Migration sur les dynamiques patriarcales et les traditions religieuses en Mauritanie. </w:t>
      </w:r>
    </w:p>
    <w:p w14:paraId="2339E56C" w14:textId="77777777" w:rsidR="00BC6C8B" w:rsidRPr="00864152" w:rsidRDefault="00BC6C8B" w:rsidP="00BC6C8B">
      <w:pPr>
        <w:numPr>
          <w:ilvl w:val="0"/>
          <w:numId w:val="497"/>
        </w:numPr>
        <w:spacing w:before="120" w:after="120" w:line="368" w:lineRule="auto"/>
        <w:ind w:left="766" w:right="13" w:hanging="361"/>
      </w:pPr>
      <w:r w:rsidRPr="00864152">
        <w:t xml:space="preserve">Perspectives d'Avenir : Potentiels Changements dans les Structures Sociales et Religieuses </w:t>
      </w:r>
    </w:p>
    <w:p w14:paraId="7F232EAE" w14:textId="77777777" w:rsidR="00BC6C8B" w:rsidRPr="00864152" w:rsidRDefault="00BC6C8B" w:rsidP="00BC6C8B">
      <w:pPr>
        <w:spacing w:before="120" w:after="120" w:line="265" w:lineRule="auto"/>
        <w:ind w:left="40"/>
      </w:pPr>
      <w:r w:rsidRPr="00864152">
        <w:rPr>
          <w:b/>
          <w:u w:val="single" w:color="000000"/>
        </w:rPr>
        <w:t>Annexes et bibliographie</w:t>
      </w:r>
      <w:r w:rsidRPr="00864152">
        <w:rPr>
          <w:b/>
        </w:rPr>
        <w:t xml:space="preserve">  </w:t>
      </w:r>
    </w:p>
    <w:p w14:paraId="03C2D03C" w14:textId="77777777" w:rsidR="00BC6C8B" w:rsidRPr="00864152" w:rsidRDefault="00BC6C8B" w:rsidP="00BC6C8B">
      <w:pPr>
        <w:spacing w:before="120" w:after="120"/>
        <w:ind w:left="45"/>
      </w:pPr>
      <w:r w:rsidRPr="00864152">
        <w:rPr>
          <w:b/>
        </w:rPr>
        <w:t xml:space="preserve"> </w:t>
      </w:r>
    </w:p>
    <w:p w14:paraId="63BB4D8F" w14:textId="77777777" w:rsidR="00BC6C8B" w:rsidRPr="00864152" w:rsidRDefault="00BC6C8B" w:rsidP="00BC6C8B">
      <w:pPr>
        <w:spacing w:after="333"/>
      </w:pPr>
      <w:r w:rsidRPr="00864152">
        <w:rPr>
          <w:b/>
        </w:rPr>
        <w:t xml:space="preserve"> </w:t>
      </w:r>
    </w:p>
    <w:p w14:paraId="239B56E5" w14:textId="77777777" w:rsidR="00BC6C8B" w:rsidRPr="00864152" w:rsidRDefault="00BC6C8B" w:rsidP="00BC6C8B">
      <w:pPr>
        <w:spacing w:after="333"/>
      </w:pPr>
      <w:r w:rsidRPr="00864152">
        <w:rPr>
          <w:b/>
        </w:rPr>
        <w:t xml:space="preserve"> </w:t>
      </w:r>
    </w:p>
    <w:p w14:paraId="196150E8" w14:textId="77777777" w:rsidR="00BC6C8B" w:rsidRPr="00864152" w:rsidRDefault="00BC6C8B" w:rsidP="00BC6C8B">
      <w:pPr>
        <w:spacing w:after="334"/>
      </w:pPr>
      <w:r w:rsidRPr="00864152">
        <w:rPr>
          <w:b/>
        </w:rPr>
        <w:t xml:space="preserve"> </w:t>
      </w:r>
    </w:p>
    <w:p w14:paraId="45699339" w14:textId="77777777" w:rsidR="00BC6C8B" w:rsidRPr="00864152" w:rsidRDefault="00BC6C8B" w:rsidP="00BC6C8B">
      <w:pPr>
        <w:spacing w:after="333"/>
      </w:pPr>
      <w:r w:rsidRPr="00864152">
        <w:rPr>
          <w:b/>
        </w:rPr>
        <w:t xml:space="preserve"> </w:t>
      </w:r>
    </w:p>
    <w:p w14:paraId="7E41BB5C" w14:textId="77777777" w:rsidR="00BC6C8B" w:rsidRPr="00864152" w:rsidRDefault="00BC6C8B" w:rsidP="00BC6C8B">
      <w:pPr>
        <w:spacing w:after="0"/>
      </w:pPr>
      <w:r w:rsidRPr="00864152">
        <w:rPr>
          <w:b/>
        </w:rPr>
        <w:t xml:space="preserve"> </w:t>
      </w:r>
    </w:p>
    <w:p w14:paraId="3ABDA777" w14:textId="77777777" w:rsidR="00BC6C8B" w:rsidRDefault="00BC6C8B" w:rsidP="00BC6C8B">
      <w:pPr>
        <w:spacing w:after="382" w:line="265" w:lineRule="auto"/>
        <w:ind w:left="-5"/>
        <w:rPr>
          <w:b/>
          <w:u w:val="single" w:color="000000"/>
        </w:rPr>
      </w:pPr>
    </w:p>
    <w:p w14:paraId="18CE6191" w14:textId="77777777" w:rsidR="00BC6C8B" w:rsidRPr="00864152" w:rsidRDefault="00BC6C8B" w:rsidP="00BC6C8B">
      <w:pPr>
        <w:spacing w:after="382" w:line="265" w:lineRule="auto"/>
        <w:ind w:left="-5"/>
      </w:pPr>
      <w:r w:rsidRPr="00864152">
        <w:rPr>
          <w:b/>
          <w:u w:val="single" w:color="000000"/>
        </w:rPr>
        <w:t>Introduction :</w:t>
      </w:r>
      <w:r w:rsidRPr="00864152">
        <w:rPr>
          <w:b/>
        </w:rPr>
        <w:t xml:space="preserve">  </w:t>
      </w:r>
    </w:p>
    <w:p w14:paraId="4081A947" w14:textId="77777777" w:rsidR="00BC6C8B" w:rsidRDefault="00BC6C8B" w:rsidP="00BC6C8B">
      <w:pPr>
        <w:pStyle w:val="Titre1"/>
      </w:pPr>
      <w:r>
        <w:t xml:space="preserve">Contexte et justification </w:t>
      </w:r>
    </w:p>
    <w:p w14:paraId="4947EC13" w14:textId="77777777" w:rsidR="00BC6C8B" w:rsidRPr="00864152" w:rsidRDefault="00BC6C8B" w:rsidP="00BC6C8B">
      <w:pPr>
        <w:ind w:left="-5" w:right="13"/>
        <w:jc w:val="both"/>
      </w:pPr>
      <w:r w:rsidRPr="00864152">
        <w:t xml:space="preserve">Le dérèglement climatique représente l'un des défis les plus pressants pour la Mauritanie, un pays qui se trouve en première ligne face aux impacts de la désertification, des sécheresses répétées et des précipitations de plus en plus irrégulières. La Mauritanie, située dans la zone sahélienne, dépend fortement des ressources naturelles pour sa subsistance, en particulier l'agriculture et l'élevage, deux secteurs particulièrement vulnérables aux variations climatiques. Les populations rurales, notamment les communautés pastorales, sont directement affectées par ces changements, ce qui pousse de nombreuses personnes à migrer vers les zones urbaines ou transfrontalières à la recherche de meilleures conditions de vie. </w:t>
      </w:r>
    </w:p>
    <w:p w14:paraId="6738623A" w14:textId="77777777" w:rsidR="00BC6C8B" w:rsidRPr="00864152" w:rsidRDefault="00BC6C8B" w:rsidP="00BC6C8B">
      <w:pPr>
        <w:ind w:left="-5" w:right="13"/>
        <w:jc w:val="both"/>
      </w:pPr>
      <w:r w:rsidRPr="00864152">
        <w:t xml:space="preserve">Ces migrations, souvent forcées par les conditions climatiques, ont des répercussions profondes sur les structures sociales et culturelles du pays. En effet, les dynamiques patriarcales qui organisent les relations de pouvoir entre les hommes et les femmes, ainsi que les traditions religieuses qui régissent la vie quotidienne, sont mises à l'épreuve. Les migrations, en particulier, modifient les rôles de genre au sein des familles et des communautés, tandis que l'exposition à de nouveaux environnements urbains ou étrangers introduit des changements dans les pratiques religieuses. </w:t>
      </w:r>
    </w:p>
    <w:p w14:paraId="791D364A" w14:textId="77777777" w:rsidR="00BC6C8B" w:rsidRPr="00864152" w:rsidRDefault="00BC6C8B" w:rsidP="00BC6C8B">
      <w:pPr>
        <w:spacing w:after="254" w:line="376" w:lineRule="auto"/>
        <w:ind w:left="-5" w:right="89"/>
        <w:jc w:val="both"/>
      </w:pPr>
      <w:r w:rsidRPr="00864152">
        <w:t>Cette étude se justifie par le besoin urgent de comprendre ces transformations sociales et religieuses induites par le dérèglement climatique. En mettant en lumière les impacts sur les dynamiques patriarcales et les traditions religieuses en Mauritanie, ce rapport vise à identifier les tensions et les adaptations au sein des structures sociales face à la double pression du climat et de la migrati</w:t>
      </w:r>
      <w:r w:rsidRPr="00864152">
        <w:rPr>
          <w:b/>
        </w:rPr>
        <w:t xml:space="preserve">on.  </w:t>
      </w:r>
    </w:p>
    <w:p w14:paraId="70B8B24F" w14:textId="77777777" w:rsidR="00BC6C8B" w:rsidRDefault="00BC6C8B" w:rsidP="00BC6C8B">
      <w:pPr>
        <w:pStyle w:val="Titre1"/>
        <w:ind w:left="-5"/>
        <w:jc w:val="both"/>
      </w:pPr>
      <w:r>
        <w:t xml:space="preserve">    Objectifs du rapport  </w:t>
      </w:r>
    </w:p>
    <w:p w14:paraId="789D8399" w14:textId="77777777" w:rsidR="00BC6C8B" w:rsidRPr="00864152" w:rsidRDefault="00BC6C8B" w:rsidP="00BC6C8B">
      <w:pPr>
        <w:spacing w:after="40"/>
        <w:ind w:left="370" w:right="13"/>
        <w:jc w:val="both"/>
      </w:pPr>
      <w:r w:rsidRPr="00864152">
        <w:t xml:space="preserve">L'objectif principal de ce rapport est d'analyser les effets du dérèglement climatique et de la migration sur les dynamiques patriarcales et les traditions religieuses en Mauritanie. </w:t>
      </w:r>
    </w:p>
    <w:p w14:paraId="4DCE6B02" w14:textId="77777777" w:rsidR="00BC6C8B" w:rsidRPr="00864152" w:rsidRDefault="00BC6C8B" w:rsidP="00BC6C8B">
      <w:pPr>
        <w:ind w:left="370" w:right="13"/>
        <w:jc w:val="both"/>
      </w:pPr>
      <w:r w:rsidRPr="00864152">
        <w:t xml:space="preserve">Plus précisément, il vise à :  </w:t>
      </w:r>
    </w:p>
    <w:p w14:paraId="02EC1142" w14:textId="77777777" w:rsidR="00BC6C8B" w:rsidRPr="00864152" w:rsidRDefault="00BC6C8B" w:rsidP="00BC6C8B">
      <w:pPr>
        <w:numPr>
          <w:ilvl w:val="0"/>
          <w:numId w:val="498"/>
        </w:numPr>
        <w:spacing w:after="46" w:line="376" w:lineRule="auto"/>
        <w:ind w:right="13" w:hanging="360"/>
        <w:jc w:val="both"/>
      </w:pPr>
      <w:r w:rsidRPr="00864152">
        <w:t xml:space="preserve">Comprendre comment les conditions climatiques dégradées et les migrations subséquentes influencent les rôles de genre dans les sociétés mauritaniennes, en particulier dans les régions rurales. </w:t>
      </w:r>
    </w:p>
    <w:p w14:paraId="355EC92C" w14:textId="77777777" w:rsidR="00BC6C8B" w:rsidRPr="00864152" w:rsidRDefault="00BC6C8B" w:rsidP="00BC6C8B">
      <w:pPr>
        <w:numPr>
          <w:ilvl w:val="0"/>
          <w:numId w:val="498"/>
        </w:numPr>
        <w:spacing w:after="51" w:line="368" w:lineRule="auto"/>
        <w:ind w:right="13" w:hanging="360"/>
        <w:jc w:val="both"/>
      </w:pPr>
      <w:r w:rsidRPr="00864152">
        <w:t xml:space="preserve">Étudier l'impact de ces changements sur les structures patriarcales traditionnelles, et comment elles s'adaptent (ou non) aux nouvelles réalités. </w:t>
      </w:r>
    </w:p>
    <w:p w14:paraId="10587FAC" w14:textId="77777777" w:rsidR="00BC6C8B" w:rsidRPr="00864152" w:rsidRDefault="00BC6C8B" w:rsidP="00BC6C8B">
      <w:pPr>
        <w:numPr>
          <w:ilvl w:val="0"/>
          <w:numId w:val="498"/>
        </w:numPr>
        <w:spacing w:after="261" w:line="368" w:lineRule="auto"/>
        <w:ind w:right="13" w:hanging="360"/>
        <w:jc w:val="both"/>
      </w:pPr>
      <w:r w:rsidRPr="00864152">
        <w:t xml:space="preserve">Analyser les transformations des pratiques religieuses dans les zones touchées par les migrations climatiques et les influences sociales découlant des nouveaux modes de vie urbains ou transnationaux. </w:t>
      </w:r>
    </w:p>
    <w:p w14:paraId="2E269611" w14:textId="77777777" w:rsidR="00BC6C8B" w:rsidRDefault="00BC6C8B" w:rsidP="00BC6C8B">
      <w:pPr>
        <w:pStyle w:val="Titre1"/>
        <w:ind w:left="-5"/>
        <w:jc w:val="both"/>
      </w:pPr>
      <w:r>
        <w:t xml:space="preserve">      Méthodologie </w:t>
      </w:r>
    </w:p>
    <w:p w14:paraId="1957E6F1" w14:textId="77777777" w:rsidR="00BC6C8B" w:rsidRDefault="00BC6C8B" w:rsidP="00BC6C8B">
      <w:pPr>
        <w:spacing w:after="267" w:line="376" w:lineRule="auto"/>
        <w:ind w:left="-5" w:right="164"/>
        <w:jc w:val="both"/>
      </w:pPr>
      <w:r w:rsidRPr="00864152">
        <w:t xml:space="preserve">Pour atteindre ces objectifs, cette étude s'appuie sur une méthodologie mixte combinant des recherches documentaires, des analyses statistiques et des enquêtes qualitatives. </w:t>
      </w:r>
      <w:r>
        <w:t xml:space="preserve">Les principales méthodes utilisées incluent : </w:t>
      </w:r>
    </w:p>
    <w:p w14:paraId="5C435A14" w14:textId="77777777" w:rsidR="00BC6C8B" w:rsidRPr="00864152" w:rsidRDefault="00BC6C8B" w:rsidP="00BC6C8B">
      <w:pPr>
        <w:numPr>
          <w:ilvl w:val="0"/>
          <w:numId w:val="499"/>
        </w:numPr>
        <w:spacing w:after="56" w:line="368" w:lineRule="auto"/>
        <w:ind w:right="13" w:hanging="361"/>
        <w:jc w:val="both"/>
      </w:pPr>
      <w:r w:rsidRPr="00864152">
        <w:t xml:space="preserve">Recherches documentaires : Examen approfondi de la littérature existante sur le changement climatique, les migrations et les dynamiques sociales en Mauritanie, avec un accent particulier sur les travaux académiques et les rapports d'organisations internationales. </w:t>
      </w:r>
    </w:p>
    <w:p w14:paraId="1EE3A9C1" w14:textId="77777777" w:rsidR="00BC6C8B" w:rsidRPr="00864152" w:rsidRDefault="00BC6C8B" w:rsidP="00BC6C8B">
      <w:pPr>
        <w:numPr>
          <w:ilvl w:val="0"/>
          <w:numId w:val="499"/>
        </w:numPr>
        <w:spacing w:after="56" w:line="368" w:lineRule="auto"/>
        <w:ind w:right="13" w:hanging="361"/>
        <w:jc w:val="both"/>
      </w:pPr>
      <w:r w:rsidRPr="00864152">
        <w:t xml:space="preserve">Entretiens semi-directifs : Des entretiens ont été menés avec des acteurs locaux, notamment des chefs de famille, des femmes migrantes, des responsables religieux et des leaders communautaires, afin de recueillir des témoignages directs sur les impacts sociaux des migrations climatiques. </w:t>
      </w:r>
    </w:p>
    <w:p w14:paraId="1EF40797" w14:textId="77777777" w:rsidR="00BC6C8B" w:rsidRPr="00864152" w:rsidRDefault="00BC6C8B" w:rsidP="00BC6C8B">
      <w:pPr>
        <w:numPr>
          <w:ilvl w:val="0"/>
          <w:numId w:val="499"/>
        </w:numPr>
        <w:spacing w:after="55" w:line="368" w:lineRule="auto"/>
        <w:ind w:right="13" w:hanging="361"/>
        <w:jc w:val="both"/>
      </w:pPr>
      <w:r w:rsidRPr="00864152">
        <w:t xml:space="preserve">Analyse statistique : Utilisation de données provenant d'organisations telles que la FAO, l'IOM et les agences locales pour examiner les tendances démographiques et migratoires en lien avec le changement climatique. </w:t>
      </w:r>
    </w:p>
    <w:p w14:paraId="12D3E15B" w14:textId="77777777" w:rsidR="00BC6C8B" w:rsidRPr="00864152" w:rsidRDefault="00BC6C8B" w:rsidP="00BC6C8B">
      <w:pPr>
        <w:numPr>
          <w:ilvl w:val="0"/>
          <w:numId w:val="499"/>
        </w:numPr>
        <w:spacing w:after="200" w:line="376" w:lineRule="auto"/>
        <w:ind w:right="13" w:hanging="361"/>
        <w:jc w:val="both"/>
      </w:pPr>
      <w:r w:rsidRPr="00864152">
        <w:t xml:space="preserve">Études de cas : Analyse de cas concrets de communautés touchées par les migrations climatiques pour identifier les spécificités locales en termes de transformations sociales et religieuses. </w:t>
      </w:r>
    </w:p>
    <w:p w14:paraId="65792E0F" w14:textId="77777777" w:rsidR="00BC6C8B" w:rsidRPr="00864152" w:rsidRDefault="00BC6C8B" w:rsidP="00BC6C8B">
      <w:pPr>
        <w:spacing w:after="0"/>
        <w:jc w:val="both"/>
      </w:pPr>
      <w:r w:rsidRPr="00864152">
        <w:rPr>
          <w:b/>
        </w:rPr>
        <w:t xml:space="preserve"> </w:t>
      </w:r>
    </w:p>
    <w:p w14:paraId="74E8D2A8" w14:textId="77777777" w:rsidR="00BC6C8B" w:rsidRPr="00864152" w:rsidRDefault="00BC6C8B" w:rsidP="00BC6C8B">
      <w:pPr>
        <w:ind w:left="-5" w:right="13"/>
        <w:jc w:val="both"/>
      </w:pPr>
      <w:r w:rsidRPr="00864152">
        <w:t xml:space="preserve">Ces méthodes permettent d'obtenir une vision complète des dynamiques à l'œuvre en Mauritanie, en prenant en compte à la fois les dimensions macro (statistiques, tendances générales) et micro (témoignages individuels, études de cas) des effets du changement climatique et de la migration sur les structures sociales et religieuses en Mauritanie. </w:t>
      </w:r>
    </w:p>
    <w:p w14:paraId="22E675BD" w14:textId="77777777" w:rsidR="00BC6C8B" w:rsidRPr="00864152" w:rsidRDefault="00BC6C8B" w:rsidP="00BC6C8B">
      <w:pPr>
        <w:spacing w:after="338"/>
        <w:jc w:val="both"/>
      </w:pPr>
      <w:r w:rsidRPr="00864152">
        <w:t xml:space="preserve"> </w:t>
      </w:r>
    </w:p>
    <w:p w14:paraId="7E3F8D20" w14:textId="77777777" w:rsidR="00BC6C8B" w:rsidRPr="00864152" w:rsidRDefault="00BC6C8B" w:rsidP="00BC6C8B">
      <w:pPr>
        <w:spacing w:after="334"/>
        <w:jc w:val="both"/>
      </w:pPr>
      <w:r w:rsidRPr="00864152">
        <w:rPr>
          <w:b/>
        </w:rPr>
        <w:t xml:space="preserve"> </w:t>
      </w:r>
    </w:p>
    <w:p w14:paraId="6716110A" w14:textId="77777777" w:rsidR="00BC6C8B" w:rsidRPr="00864152" w:rsidRDefault="00BC6C8B" w:rsidP="00BC6C8B">
      <w:pPr>
        <w:spacing w:after="333"/>
      </w:pPr>
      <w:r w:rsidRPr="00864152">
        <w:rPr>
          <w:b/>
        </w:rPr>
        <w:t xml:space="preserve"> </w:t>
      </w:r>
    </w:p>
    <w:p w14:paraId="549895C2" w14:textId="77777777" w:rsidR="00BC6C8B" w:rsidRPr="00864152" w:rsidRDefault="00BC6C8B" w:rsidP="00BC6C8B">
      <w:pPr>
        <w:spacing w:after="389"/>
      </w:pPr>
      <w:r w:rsidRPr="00864152">
        <w:rPr>
          <w:b/>
        </w:rPr>
        <w:t xml:space="preserve"> </w:t>
      </w:r>
    </w:p>
    <w:p w14:paraId="7CB6073E" w14:textId="77777777" w:rsidR="00BC6C8B" w:rsidRDefault="00BC6C8B" w:rsidP="00BC6C8B">
      <w:pPr>
        <w:pStyle w:val="Titre2"/>
        <w:ind w:left="-5"/>
      </w:pPr>
      <w:r>
        <w:rPr>
          <w:u w:val="single" w:color="000000"/>
        </w:rPr>
        <w:t>Chapitre 1 :</w:t>
      </w:r>
      <w:r>
        <w:t xml:space="preserve"> Contexte du Dérèglement Climatique et de la Migration en Mauritanie </w:t>
      </w:r>
    </w:p>
    <w:p w14:paraId="6E40D892" w14:textId="77777777" w:rsidR="00BC6C8B" w:rsidRPr="00864152" w:rsidRDefault="00BC6C8B" w:rsidP="00BC6C8B">
      <w:pPr>
        <w:spacing w:after="255"/>
        <w:ind w:left="-5" w:right="13"/>
      </w:pPr>
      <w:r w:rsidRPr="00864152">
        <w:t xml:space="preserve">La Mauritanie, pays sahélo-saharien, est particulièrement vulnérable aux effets du dérèglement climatique. Ses vastes étendues désertiques et ses écosystèmes fragiles sont confrontés à des défis environnementaux croissants, tels que la désertification, la dégradation des terres, et la variabilité accrue des précipitations. Ces phénomènes ont non seulement des impacts écologiques, mais aussi des conséquences sociales et économiques profondes, notamment en matière de migration. Ce chapitre explore le contexte environnemental et migratoire en Mauritanie, mettant en lumière comment le dérèglement climatique agit comme un catalyseur de mouvements migratoires internes et externes, exacerbant les défis sociaux et économiques du pays.  </w:t>
      </w:r>
    </w:p>
    <w:p w14:paraId="48C14D67" w14:textId="77777777" w:rsidR="00BC6C8B" w:rsidRDefault="00BC6C8B" w:rsidP="00BC6C8B">
      <w:pPr>
        <w:pStyle w:val="Titre3"/>
        <w:ind w:left="-5"/>
      </w:pPr>
      <w:r>
        <w:t xml:space="preserve">1.1. Contexte Environnemental du Dérèglement Climatique en Mauritanie </w:t>
      </w:r>
    </w:p>
    <w:p w14:paraId="3AC345B4" w14:textId="77777777" w:rsidR="00BC6C8B" w:rsidRPr="00864152" w:rsidRDefault="00BC6C8B" w:rsidP="00BC6C8B">
      <w:pPr>
        <w:ind w:left="-5" w:right="13"/>
      </w:pPr>
      <w:r w:rsidRPr="00864152">
        <w:t xml:space="preserve">La Mauritanie est l'un des pays les plus touchés par le dérèglement climatique en Afrique de l'Ouest. Avec plus de 90 % de son territoire couvert par le désert du Sahara, le pays subit les effets de la désertification et de la dégradation des terres de manière aiguë. Les cycles de sécheresse récurrents, la réduction des précipitations, et l'érosion des sols ont entraîné une diminution significative de la productivité agricole et pastorale, affectant ainsi les moyens de subsistance des populations rurales. </w:t>
      </w:r>
    </w:p>
    <w:p w14:paraId="7055E9B2" w14:textId="77777777" w:rsidR="00BC6C8B" w:rsidRPr="00864152" w:rsidRDefault="00BC6C8B" w:rsidP="00BC6C8B">
      <w:pPr>
        <w:numPr>
          <w:ilvl w:val="0"/>
          <w:numId w:val="500"/>
        </w:numPr>
        <w:spacing w:after="56" w:line="368" w:lineRule="auto"/>
        <w:ind w:right="13" w:hanging="361"/>
      </w:pPr>
      <w:r w:rsidRPr="00864152">
        <w:t xml:space="preserve">Sécheresses prolongées : Les sécheresses des années 1970 et 1980 ont marqué un tournant dans l'histoire environnementale de la Mauritanie, provoquant une migration massive des populations rurales vers les centres urbains. Ces événements ont montré la vulnérabilité des écosystèmes mauritaniens aux variations climatiques et ont contribué à une dégradation accélérée des terres arables. </w:t>
      </w:r>
    </w:p>
    <w:p w14:paraId="2AF353AB" w14:textId="77777777" w:rsidR="00BC6C8B" w:rsidRPr="00864152" w:rsidRDefault="00BC6C8B" w:rsidP="00BC6C8B">
      <w:pPr>
        <w:numPr>
          <w:ilvl w:val="0"/>
          <w:numId w:val="500"/>
        </w:numPr>
        <w:spacing w:after="56" w:line="368" w:lineRule="auto"/>
        <w:ind w:right="13" w:hanging="361"/>
      </w:pPr>
      <w:r w:rsidRPr="00864152">
        <w:t xml:space="preserve">Variabilité des précipitations : Les régimes de précipitations sont devenus de plus en plus imprévisibles, avec des épisodes de pluies torrentielles suivis de longues périodes de sécheresse. Cette variabilité climatique complique la planification agricole et met en péril la sécurité alimentaire des communautés rurales. </w:t>
      </w:r>
    </w:p>
    <w:p w14:paraId="53DD804A" w14:textId="77777777" w:rsidR="00BC6C8B" w:rsidRPr="00864152" w:rsidRDefault="00BC6C8B" w:rsidP="00BC6C8B">
      <w:pPr>
        <w:numPr>
          <w:ilvl w:val="0"/>
          <w:numId w:val="500"/>
        </w:numPr>
        <w:spacing w:after="208" w:line="368" w:lineRule="auto"/>
        <w:ind w:right="13" w:hanging="361"/>
      </w:pPr>
      <w:r w:rsidRPr="00864152">
        <w:t xml:space="preserve">Avancée du désert : L'avancée du désert, ou désertification, est un phénomène majeur en Mauritanie, affectant les terres agricoles et pastorales, ainsi que les ressources en eau. Les pâturages se raréfient, obligeant les éleveurs nomades à parcourir de plus longues distances pour trouver de la nourriture pour leur bétail, ce qui augmente les conflits pour l'accès aux ressources. </w:t>
      </w:r>
    </w:p>
    <w:p w14:paraId="738F876C" w14:textId="77777777" w:rsidR="00BC6C8B" w:rsidRPr="00864152" w:rsidRDefault="00BC6C8B" w:rsidP="00BC6C8B">
      <w:pPr>
        <w:spacing w:after="385"/>
      </w:pPr>
      <w:r w:rsidRPr="00864152">
        <w:t xml:space="preserve"> </w:t>
      </w:r>
    </w:p>
    <w:p w14:paraId="644B33B1" w14:textId="77777777" w:rsidR="00BC6C8B" w:rsidRPr="00EA7FBF" w:rsidRDefault="00BC6C8B" w:rsidP="00BC6C8B">
      <w:pPr>
        <w:pStyle w:val="Titre3"/>
        <w:ind w:left="-5"/>
        <w:rPr>
          <w:b/>
          <w:bCs/>
          <w:color w:val="C00000"/>
        </w:rPr>
      </w:pPr>
      <w:r w:rsidRPr="00EA7FBF">
        <w:rPr>
          <w:b/>
          <w:bCs/>
          <w:color w:val="C00000"/>
        </w:rPr>
        <w:t xml:space="preserve">1.2. Mouvements Migratoires  </w:t>
      </w:r>
    </w:p>
    <w:p w14:paraId="340AF813" w14:textId="77777777" w:rsidR="00BC6C8B" w:rsidRPr="00864152" w:rsidRDefault="00BC6C8B" w:rsidP="00BC6C8B">
      <w:pPr>
        <w:spacing w:after="56"/>
        <w:ind w:left="432" w:right="13"/>
      </w:pPr>
      <w:r w:rsidRPr="00864152">
        <w:t xml:space="preserve">La Mauritanie est un pays marqué par des dynamiques migratoires complexes, influencées à la fois par des facteurs économiques, sociaux, politiques, et environnementaux. Les mouvements migratoires en Mauritanie peuvent être classés en plusieurs catégories, notamment la migration interne, la migration transfrontalière, et l'émigration internationale. Ces mouvements sont souvent une réponse aux conditions de vie difficiles, exacerbées par le dérèglement climatique, les tensions sociales, et la recherche de meilleures opportunités économiques.  </w:t>
      </w:r>
    </w:p>
    <w:p w14:paraId="23DBC486" w14:textId="77777777" w:rsidR="00BC6C8B" w:rsidRPr="00864152" w:rsidRDefault="00BC6C8B" w:rsidP="00BC6C8B">
      <w:pPr>
        <w:numPr>
          <w:ilvl w:val="0"/>
          <w:numId w:val="501"/>
        </w:numPr>
        <w:spacing w:after="208" w:line="368" w:lineRule="auto"/>
        <w:ind w:right="13" w:hanging="360"/>
      </w:pPr>
      <w:r w:rsidRPr="00864152">
        <w:t xml:space="preserve">Migration Interne : La migration interne en Mauritanie est largement motivée par la recherche de meilleures conditions de vie, en particulier dans un contexte de dégradation des moyens de subsistance ruraux. Les zones rurales, confrontées à la désertification, à la raréfaction des ressources en eau, et à la baisse des rendements agricoles, voient leurs populations se déplacer vers les centres urbains.  </w:t>
      </w:r>
    </w:p>
    <w:p w14:paraId="410F176E" w14:textId="77777777" w:rsidR="00BC6C8B" w:rsidRPr="00864152" w:rsidRDefault="00BC6C8B" w:rsidP="00BC6C8B">
      <w:pPr>
        <w:numPr>
          <w:ilvl w:val="1"/>
          <w:numId w:val="501"/>
        </w:numPr>
        <w:spacing w:after="56" w:line="368" w:lineRule="auto"/>
        <w:ind w:right="13" w:hanging="360"/>
      </w:pPr>
      <w:r w:rsidRPr="00864152">
        <w:t xml:space="preserve">Exode rural vers les villes : L’exode rural est l'une des dynamiques migratoires internes les plus significatives en Mauritanie. Les régions rurales, en particulier celles du centre et du nord, sont fortement touchées par les sécheresses récurrentes et la dégradation des terres. Face à la diminution des opportunités économiques, de nombreuses familles rurales migrent vers les villes, principalement Nouakchott, la capitale, et Nouadhibou, la principale ville portuaire. </w:t>
      </w:r>
    </w:p>
    <w:p w14:paraId="7B02AD20" w14:textId="77777777" w:rsidR="00BC6C8B" w:rsidRPr="00864152" w:rsidRDefault="00BC6C8B" w:rsidP="00BC6C8B">
      <w:pPr>
        <w:numPr>
          <w:ilvl w:val="0"/>
          <w:numId w:val="501"/>
        </w:numPr>
        <w:spacing w:after="57" w:line="368" w:lineRule="auto"/>
        <w:ind w:right="13" w:hanging="360"/>
      </w:pPr>
      <w:r w:rsidRPr="00864152">
        <w:t xml:space="preserve">Migration saisonnière : La migration saisonnière est une autre forme de mobilité interne en Mauritanie. Les éleveurs nomades et semi-nomades, confrontés à la pénurie de pâturages dans leurs régions d'origine, se déplacent vers des zones où les conditions sont plus favorables. Ce type de migration est crucial pour la survie des troupeaux, mais il peut entraîner des conflits avec les agriculteurs locaux, notamment dans les zones où la terre et l'eau sont déjà des ressources rares. </w:t>
      </w:r>
    </w:p>
    <w:p w14:paraId="30B8A07C" w14:textId="77777777" w:rsidR="00BC6C8B" w:rsidRPr="00864152" w:rsidRDefault="00BC6C8B" w:rsidP="00BC6C8B">
      <w:pPr>
        <w:numPr>
          <w:ilvl w:val="0"/>
          <w:numId w:val="501"/>
        </w:numPr>
        <w:spacing w:after="37" w:line="368" w:lineRule="auto"/>
        <w:ind w:right="13" w:hanging="360"/>
      </w:pPr>
      <w:r w:rsidRPr="00864152">
        <w:t xml:space="preserve">Migration Transfrontalière : La Mauritanie partage des frontières avec plusieurs pays, dont le Sénégal, le Mali, l'Algérie, et le Sahara Occidental. Ces frontières sont souvent poreuses, et les migrations transfrontalières sont courantes, que ce soit pour des raisons économiques, climatiques, ou politiques.  </w:t>
      </w:r>
    </w:p>
    <w:p w14:paraId="35F17244" w14:textId="77777777" w:rsidR="00BC6C8B" w:rsidRPr="00864152" w:rsidRDefault="00BC6C8B" w:rsidP="00BC6C8B">
      <w:pPr>
        <w:numPr>
          <w:ilvl w:val="1"/>
          <w:numId w:val="501"/>
        </w:numPr>
        <w:spacing w:after="55" w:line="368" w:lineRule="auto"/>
        <w:ind w:right="13" w:hanging="360"/>
      </w:pPr>
      <w:r w:rsidRPr="00864152">
        <w:t xml:space="preserve">Flux de migrants agricoles : La vallée du fleuve Sénégal, qui forme une frontière naturelle entre la Mauritanie et le Sénégal, est une zone d'agriculture intensive. Les Mauritaniens, particulièrement ceux des régions sud du pays, migrent vers cette zone pour travailler comme ouvriers agricoles ou pour s'installer et cultiver des terres. </w:t>
      </w:r>
    </w:p>
    <w:p w14:paraId="0AB95D8B" w14:textId="77777777" w:rsidR="00BC6C8B" w:rsidRPr="00864152" w:rsidRDefault="00BC6C8B" w:rsidP="00BC6C8B">
      <w:pPr>
        <w:numPr>
          <w:ilvl w:val="0"/>
          <w:numId w:val="501"/>
        </w:numPr>
        <w:spacing w:after="244" w:line="368" w:lineRule="auto"/>
        <w:ind w:right="13" w:hanging="360"/>
      </w:pPr>
      <w:r w:rsidRPr="00864152">
        <w:t xml:space="preserve">Émigration Internationale : Outre les migrations internes et transfrontalières, un nombre croissant de Mauritaniens choisissent d'émigrer vers des destinations plus lointaines, notamment l'Europe et les pays du Golfe.  </w:t>
      </w:r>
    </w:p>
    <w:p w14:paraId="044651E0" w14:textId="77777777" w:rsidR="00BC6C8B" w:rsidRPr="00864152" w:rsidRDefault="00BC6C8B" w:rsidP="00BC6C8B">
      <w:pPr>
        <w:spacing w:after="358"/>
      </w:pPr>
      <w:r w:rsidRPr="00864152">
        <w:t xml:space="preserve">     </w:t>
      </w:r>
    </w:p>
    <w:p w14:paraId="18BFB094" w14:textId="77777777" w:rsidR="00BC6C8B" w:rsidRPr="00864152" w:rsidRDefault="00BC6C8B" w:rsidP="00BC6C8B">
      <w:pPr>
        <w:spacing w:after="338"/>
      </w:pPr>
      <w:r w:rsidRPr="00864152">
        <w:t xml:space="preserve">  </w:t>
      </w:r>
    </w:p>
    <w:p w14:paraId="0CE5EC12" w14:textId="77777777" w:rsidR="00BC6C8B" w:rsidRPr="00864152" w:rsidRDefault="00BC6C8B" w:rsidP="00BC6C8B">
      <w:pPr>
        <w:spacing w:after="0"/>
      </w:pPr>
      <w:r w:rsidRPr="00864152">
        <w:t xml:space="preserve"> </w:t>
      </w:r>
    </w:p>
    <w:p w14:paraId="6B9E1AE5" w14:textId="77777777" w:rsidR="00BC6C8B" w:rsidRPr="00447DBF" w:rsidRDefault="00BC6C8B" w:rsidP="00BC6C8B">
      <w:pPr>
        <w:pStyle w:val="Titre3"/>
        <w:ind w:left="-5"/>
        <w:rPr>
          <w:b/>
          <w:bCs/>
        </w:rPr>
      </w:pPr>
      <w:r w:rsidRPr="00447DBF">
        <w:rPr>
          <w:b/>
          <w:bCs/>
        </w:rPr>
        <w:t xml:space="preserve">1.3. Structures sociales et religieuses  </w:t>
      </w:r>
    </w:p>
    <w:p w14:paraId="2B7AB16A" w14:textId="77777777" w:rsidR="00BC6C8B" w:rsidRPr="00864152" w:rsidRDefault="00BC6C8B" w:rsidP="00BC6C8B">
      <w:pPr>
        <w:spacing w:after="56"/>
        <w:ind w:left="432" w:right="13"/>
      </w:pPr>
      <w:r w:rsidRPr="00864152">
        <w:t xml:space="preserve">La Mauritanie, possède une histoire riche et complexe marquée par des structures sociales fortement influencées par le patriarcat. Ces structures patriarcales, qui placent les hommes en position de domination sociale, économique, et politique, se sont développées à travers les siècles, façonnées par les dynamiques tribales, les pratiques coutumières, et l'influence religieuse.  </w:t>
      </w:r>
    </w:p>
    <w:p w14:paraId="1CF4EA7B" w14:textId="77777777" w:rsidR="00BC6C8B" w:rsidRPr="00864152" w:rsidRDefault="00BC6C8B" w:rsidP="00BC6C8B">
      <w:pPr>
        <w:numPr>
          <w:ilvl w:val="0"/>
          <w:numId w:val="502"/>
        </w:numPr>
        <w:spacing w:after="43" w:line="368" w:lineRule="auto"/>
        <w:ind w:right="13" w:hanging="360"/>
      </w:pPr>
      <w:r w:rsidRPr="00864152">
        <w:t xml:space="preserve">Domination masculine dans les sphères publique et privée : La société mauritanienne reste profondément patriarcale, avec une forte domination masculine dans les sphères publique et privée. Les hommes détiennent la plupart des positions de pouvoir, que ce soit dans les domaines politique, économique, ou religieux. </w:t>
      </w:r>
      <w:r w:rsidRPr="00864152">
        <w:rPr>
          <w:b/>
        </w:rPr>
        <w:t xml:space="preserve"> </w:t>
      </w:r>
    </w:p>
    <w:p w14:paraId="7AD42248" w14:textId="77777777" w:rsidR="00BC6C8B" w:rsidRPr="00864152" w:rsidRDefault="00BC6C8B" w:rsidP="00BC6C8B">
      <w:pPr>
        <w:spacing w:after="44" w:line="376" w:lineRule="auto"/>
        <w:ind w:left="1863" w:right="89" w:hanging="360"/>
        <w:jc w:val="both"/>
      </w:pPr>
      <w:proofErr w:type="gramStart"/>
      <w:r w:rsidRPr="00864152">
        <w:rPr>
          <w:rFonts w:ascii="Courier New" w:eastAsia="Courier New" w:hAnsi="Courier New" w:cs="Courier New"/>
        </w:rPr>
        <w:t>o</w:t>
      </w:r>
      <w:proofErr w:type="gramEnd"/>
      <w:r w:rsidRPr="00864152">
        <w:rPr>
          <w:rFonts w:ascii="Arial" w:eastAsia="Arial" w:hAnsi="Arial" w:cs="Arial"/>
        </w:rPr>
        <w:t xml:space="preserve"> </w:t>
      </w:r>
      <w:r w:rsidRPr="00864152">
        <w:t xml:space="preserve">Patrilinéarité : La transmission des biens, des titres, et des privilèges se fait principalement par les hommes, renforçant ainsi l'idée que le pouvoir et l'autorité sont intrinsèquement masculins. </w:t>
      </w:r>
      <w:r w:rsidRPr="00864152">
        <w:rPr>
          <w:b/>
        </w:rPr>
        <w:t xml:space="preserve"> </w:t>
      </w:r>
    </w:p>
    <w:p w14:paraId="37342DCD" w14:textId="77777777" w:rsidR="00BC6C8B" w:rsidRPr="00864152" w:rsidRDefault="00BC6C8B" w:rsidP="00BC6C8B">
      <w:pPr>
        <w:numPr>
          <w:ilvl w:val="0"/>
          <w:numId w:val="502"/>
        </w:numPr>
        <w:spacing w:after="55" w:line="368" w:lineRule="auto"/>
        <w:ind w:right="13" w:hanging="360"/>
      </w:pPr>
      <w:r w:rsidRPr="00864152">
        <w:t>Contrôle des femmes et normes sociales : Les normes sociales en Mauritanie imposent un contrôle strict sur les femmes, leur mobilité, et leur comportement. Ce contrôle se manifeste à travers diverses pratiques et attentes sociales.</w:t>
      </w:r>
      <w:r w:rsidRPr="00864152">
        <w:rPr>
          <w:b/>
        </w:rPr>
        <w:t xml:space="preserve"> </w:t>
      </w:r>
    </w:p>
    <w:p w14:paraId="67CDDEDF" w14:textId="77777777" w:rsidR="00BC6C8B" w:rsidRPr="00864152" w:rsidRDefault="00BC6C8B" w:rsidP="00BC6C8B">
      <w:pPr>
        <w:numPr>
          <w:ilvl w:val="0"/>
          <w:numId w:val="502"/>
        </w:numPr>
        <w:spacing w:after="61" w:line="368" w:lineRule="auto"/>
        <w:ind w:right="13" w:hanging="360"/>
      </w:pPr>
      <w:r w:rsidRPr="00864152">
        <w:t>Rôle Central de l'Islam dans la Structuration des Normes Sociales : L'islam joue un rôle central dans la structuration des normes sociales et des rôles de genre en Mauritanie. En tant que religion d'État et pilier de l'identité nationale, l'islam influence profondément les lois, les pratiques sociales, et les perceptions des rôles de genre.</w:t>
      </w:r>
      <w:r w:rsidRPr="00864152">
        <w:rPr>
          <w:b/>
        </w:rPr>
        <w:t xml:space="preserve"> </w:t>
      </w:r>
    </w:p>
    <w:p w14:paraId="5FEC0333" w14:textId="77777777" w:rsidR="00BC6C8B" w:rsidRDefault="00BC6C8B" w:rsidP="00BC6C8B">
      <w:pPr>
        <w:numPr>
          <w:ilvl w:val="0"/>
          <w:numId w:val="502"/>
        </w:numPr>
        <w:spacing w:after="0" w:line="368" w:lineRule="auto"/>
        <w:ind w:right="13" w:hanging="360"/>
      </w:pPr>
      <w:r w:rsidRPr="00864152">
        <w:t xml:space="preserve">Islam et patriarcat en Mauritanie : L'islam en Mauritanie, principalement de rite malékite, est souvent interprété d'une manière qui renforce les structures patriarcales. Les interprétations religieuses traditionnelles tendent à privilégier la domination masculine et à restreindre les droits des femmes. </w:t>
      </w:r>
      <w:r>
        <w:rPr>
          <w:rFonts w:ascii="Segoe UI Symbol" w:eastAsia="Segoe UI Symbol" w:hAnsi="Segoe UI Symbol" w:cs="Segoe UI Symbol"/>
        </w:rPr>
        <w:t></w:t>
      </w:r>
      <w:r>
        <w:rPr>
          <w:rFonts w:ascii="Arial" w:eastAsia="Arial" w:hAnsi="Arial" w:cs="Arial"/>
        </w:rPr>
        <w:t xml:space="preserve"> </w:t>
      </w:r>
      <w:r>
        <w:t xml:space="preserve">Pratiques religieuses et contrôle social : Les pratiques religieuses en </w:t>
      </w:r>
    </w:p>
    <w:p w14:paraId="7C43B4D5" w14:textId="77777777" w:rsidR="00BC6C8B" w:rsidRPr="00864152" w:rsidRDefault="00BC6C8B" w:rsidP="00BC6C8B">
      <w:pPr>
        <w:ind w:left="1513" w:right="13"/>
      </w:pPr>
      <w:r w:rsidRPr="00864152">
        <w:t xml:space="preserve">Mauritanie sont également utilisées pour maintenir le contrôle social et </w:t>
      </w:r>
    </w:p>
    <w:p w14:paraId="4C7D5281" w14:textId="77777777" w:rsidR="00BC6C8B" w:rsidRPr="00864152" w:rsidRDefault="00BC6C8B" w:rsidP="00BC6C8B">
      <w:pPr>
        <w:ind w:left="1513" w:right="114"/>
      </w:pPr>
      <w:proofErr w:type="gramStart"/>
      <w:r w:rsidRPr="00864152">
        <w:t>renforcer</w:t>
      </w:r>
      <w:proofErr w:type="gramEnd"/>
      <w:r w:rsidRPr="00864152">
        <w:t xml:space="preserve"> les normes patriarcales. Les leaders religieux (oulémas) jouent un rôle clé dans la propagation de ces normes. </w:t>
      </w:r>
      <w:proofErr w:type="gramStart"/>
      <w:r w:rsidRPr="00864152">
        <w:rPr>
          <w:rFonts w:ascii="Courier New" w:eastAsia="Courier New" w:hAnsi="Courier New" w:cs="Courier New"/>
        </w:rPr>
        <w:t>o</w:t>
      </w:r>
      <w:proofErr w:type="gramEnd"/>
      <w:r w:rsidRPr="00864152">
        <w:rPr>
          <w:rFonts w:ascii="Arial" w:eastAsia="Arial" w:hAnsi="Arial" w:cs="Arial"/>
        </w:rPr>
        <w:t xml:space="preserve"> </w:t>
      </w:r>
      <w:r w:rsidRPr="00864152">
        <w:t xml:space="preserve">Éducation religieuse : L'éducation religieuse, dispensée principalement par les oulémas, est une composante essentielle de la socialisation en Mauritanie. Elle enseigne aux hommes et aux femmes leurs rôles respectifs selon les préceptes de l'islam, renforçant ainsi les attentes patriarcales. </w:t>
      </w:r>
      <w:proofErr w:type="gramStart"/>
      <w:r w:rsidRPr="00864152">
        <w:rPr>
          <w:rFonts w:ascii="Courier New" w:eastAsia="Courier New" w:hAnsi="Courier New" w:cs="Courier New"/>
        </w:rPr>
        <w:t>o</w:t>
      </w:r>
      <w:proofErr w:type="gramEnd"/>
      <w:r w:rsidRPr="00864152">
        <w:rPr>
          <w:rFonts w:ascii="Arial" w:eastAsia="Arial" w:hAnsi="Arial" w:cs="Arial"/>
        </w:rPr>
        <w:t xml:space="preserve"> </w:t>
      </w:r>
      <w:r w:rsidRPr="00864152">
        <w:t xml:space="preserve">Cérémonies et rites de passage : Les cérémonies religieuses, telles que le mariage, les funérailles, et les rites de passage, sont marquées par des pratiques qui réaffirment la domination masculine. Par exemple, les mariages sont souvent célébrés avec un accent sur l'autorité masculine et le rôle subordonné de la femme. </w:t>
      </w:r>
    </w:p>
    <w:p w14:paraId="7ED2F3E7" w14:textId="77777777" w:rsidR="00BC6C8B" w:rsidRPr="00864152" w:rsidRDefault="00BC6C8B" w:rsidP="00BC6C8B">
      <w:pPr>
        <w:spacing w:after="388"/>
      </w:pPr>
      <w:r w:rsidRPr="00864152">
        <w:t xml:space="preserve"> </w:t>
      </w:r>
    </w:p>
    <w:p w14:paraId="7DE3EB56" w14:textId="77777777" w:rsidR="00BC6C8B" w:rsidRDefault="00BC6C8B" w:rsidP="00BC6C8B">
      <w:pPr>
        <w:pStyle w:val="Titre3"/>
        <w:spacing w:after="327" w:line="265" w:lineRule="auto"/>
        <w:ind w:left="-5"/>
      </w:pPr>
      <w:r>
        <w:rPr>
          <w:b/>
        </w:rPr>
        <w:t xml:space="preserve">1.4. Conclusion  </w:t>
      </w:r>
    </w:p>
    <w:p w14:paraId="2BC83D5A" w14:textId="77777777" w:rsidR="00BC6C8B" w:rsidRPr="00864152" w:rsidRDefault="00BC6C8B" w:rsidP="00BC6C8B">
      <w:pPr>
        <w:ind w:left="-5" w:right="13"/>
      </w:pPr>
      <w:r w:rsidRPr="00864152">
        <w:t xml:space="preserve">Le dérèglement climatique et les migrations en Mauritanie sont inextricablement liés, avec des impacts profonds sur les structures sociales, économiques et culturelles du pays. Alors que les populations cherchent à s'adapter à ces changements, les mouvements migratoires deviennent à la fois une conséquence et une réponse à la crise climatique. Ce contexte souligne la nécessité de stratégies d'adaptation robustes et de politiques migratoires inclusives pour faire face à ces défis interconnectés. </w:t>
      </w:r>
    </w:p>
    <w:p w14:paraId="3BE669F5" w14:textId="77777777" w:rsidR="00BC6C8B" w:rsidRPr="00864152" w:rsidRDefault="00BC6C8B" w:rsidP="00BC6C8B">
      <w:pPr>
        <w:spacing w:after="334"/>
      </w:pPr>
      <w:r w:rsidRPr="00864152">
        <w:rPr>
          <w:b/>
        </w:rPr>
        <w:t xml:space="preserve"> </w:t>
      </w:r>
    </w:p>
    <w:p w14:paraId="117BA1B1" w14:textId="77777777" w:rsidR="00BC6C8B" w:rsidRPr="00864152" w:rsidRDefault="00BC6C8B" w:rsidP="00BC6C8B">
      <w:pPr>
        <w:spacing w:after="333"/>
      </w:pPr>
      <w:r w:rsidRPr="00864152">
        <w:rPr>
          <w:b/>
        </w:rPr>
        <w:t xml:space="preserve"> </w:t>
      </w:r>
    </w:p>
    <w:p w14:paraId="4EF6B3EE" w14:textId="77777777" w:rsidR="00BC6C8B" w:rsidRPr="00864152" w:rsidRDefault="00BC6C8B" w:rsidP="00BC6C8B">
      <w:pPr>
        <w:spacing w:after="333"/>
      </w:pPr>
      <w:r w:rsidRPr="00864152">
        <w:rPr>
          <w:b/>
        </w:rPr>
        <w:t xml:space="preserve"> </w:t>
      </w:r>
    </w:p>
    <w:p w14:paraId="696186E1" w14:textId="77777777" w:rsidR="00BC6C8B" w:rsidRPr="00864152" w:rsidRDefault="00BC6C8B" w:rsidP="00BC6C8B">
      <w:pPr>
        <w:spacing w:after="334"/>
      </w:pPr>
      <w:r w:rsidRPr="00864152">
        <w:rPr>
          <w:b/>
        </w:rPr>
        <w:t xml:space="preserve"> </w:t>
      </w:r>
    </w:p>
    <w:p w14:paraId="5D804246" w14:textId="77777777" w:rsidR="00BC6C8B" w:rsidRPr="00864152" w:rsidRDefault="00BC6C8B" w:rsidP="00BC6C8B">
      <w:pPr>
        <w:spacing w:after="333"/>
      </w:pPr>
      <w:r w:rsidRPr="00864152">
        <w:rPr>
          <w:b/>
        </w:rPr>
        <w:t xml:space="preserve"> </w:t>
      </w:r>
    </w:p>
    <w:p w14:paraId="1C7B5DC9" w14:textId="77777777" w:rsidR="00BC6C8B" w:rsidRPr="00864152" w:rsidRDefault="00BC6C8B" w:rsidP="00BC6C8B">
      <w:pPr>
        <w:spacing w:after="0"/>
      </w:pPr>
      <w:r w:rsidRPr="00864152">
        <w:rPr>
          <w:b/>
        </w:rPr>
        <w:t xml:space="preserve"> </w:t>
      </w:r>
    </w:p>
    <w:p w14:paraId="43C9A024" w14:textId="77777777" w:rsidR="00BC6C8B" w:rsidRDefault="00BC6C8B" w:rsidP="00BC6C8B">
      <w:pPr>
        <w:pStyle w:val="Titre2"/>
        <w:spacing w:after="162" w:line="403" w:lineRule="auto"/>
        <w:ind w:left="-5"/>
      </w:pPr>
      <w:r>
        <w:rPr>
          <w:u w:val="single" w:color="000000"/>
        </w:rPr>
        <w:t xml:space="preserve">Chapitre 2 : </w:t>
      </w:r>
      <w:r>
        <w:t xml:space="preserve">Impact du Dérèglement Climatique sur les Secteurs Clés des Moyens de Subsistance </w:t>
      </w:r>
    </w:p>
    <w:p w14:paraId="291160CB" w14:textId="77777777" w:rsidR="00BC6C8B" w:rsidRPr="00864152" w:rsidRDefault="00BC6C8B" w:rsidP="00BC6C8B">
      <w:pPr>
        <w:spacing w:after="334"/>
      </w:pPr>
      <w:r w:rsidRPr="00864152">
        <w:t xml:space="preserve"> </w:t>
      </w:r>
    </w:p>
    <w:p w14:paraId="1ABB0BD0" w14:textId="77777777" w:rsidR="00BC6C8B" w:rsidRPr="00864152" w:rsidRDefault="00BC6C8B" w:rsidP="00BC6C8B">
      <w:pPr>
        <w:ind w:left="-5" w:right="13"/>
      </w:pPr>
      <w:r w:rsidRPr="00864152">
        <w:t xml:space="preserve">Le dérèglement climatique a un impact considérable sur les secteurs clés des moyens de subsistance en Mauritanie selon le rapport de la quatrième communication nationale sur le changement climatique, un pays où la majorité de la population dépend de l'agriculture, de l'élevage, et de la pêche pour sa survie. Ces secteurs sont directement affectés par les variations climatiques, qui exacerbent les conditions déjà difficiles et fragilisent les économies locales. L'impact de ces changements se fait sentir à travers la diminution des ressources, la baisse de la productivité, et l'augmentation des conflits pour l'accès aux ressources naturelles.  </w:t>
      </w:r>
    </w:p>
    <w:p w14:paraId="14C0E9A8" w14:textId="77777777" w:rsidR="00BC6C8B" w:rsidRPr="00864152" w:rsidRDefault="00BC6C8B" w:rsidP="00BC6C8B">
      <w:pPr>
        <w:spacing w:after="380"/>
        <w:ind w:left="422"/>
      </w:pPr>
      <w:r w:rsidRPr="00864152">
        <w:t xml:space="preserve"> </w:t>
      </w:r>
    </w:p>
    <w:p w14:paraId="47D08342" w14:textId="77777777" w:rsidR="00BC6C8B" w:rsidRDefault="00BC6C8B" w:rsidP="00BC6C8B">
      <w:pPr>
        <w:pStyle w:val="Titre3"/>
        <w:ind w:left="-5"/>
      </w:pPr>
      <w:r>
        <w:t xml:space="preserve">2.1. Impact sur l'Agriculture </w:t>
      </w:r>
    </w:p>
    <w:p w14:paraId="254861C8" w14:textId="77777777" w:rsidR="00BC6C8B" w:rsidRPr="00864152" w:rsidRDefault="00BC6C8B" w:rsidP="00BC6C8B">
      <w:pPr>
        <w:ind w:left="-5" w:right="13"/>
      </w:pPr>
      <w:r w:rsidRPr="00864152">
        <w:t xml:space="preserve">L'agriculture en Mauritanie est fortement tributaire des conditions climatiques, en particulier des précipitations irrégulières et insuffisantes. Le dérèglement climatique aggrave cette dépendance, entraînant une série de conséquences négatives pour la production agricole ; par exemple la vallée du fleuve Sénégal est touchée par des sécheresses répétées. </w:t>
      </w:r>
    </w:p>
    <w:p w14:paraId="64DBF139" w14:textId="77777777" w:rsidR="00BC6C8B" w:rsidRPr="00864152" w:rsidRDefault="00BC6C8B" w:rsidP="00BC6C8B">
      <w:pPr>
        <w:spacing w:after="380"/>
        <w:ind w:left="422"/>
      </w:pPr>
      <w:r w:rsidRPr="00864152">
        <w:t xml:space="preserve"> </w:t>
      </w:r>
    </w:p>
    <w:p w14:paraId="64C2010E" w14:textId="77777777" w:rsidR="00BC6C8B" w:rsidRPr="00864152" w:rsidRDefault="00BC6C8B" w:rsidP="00BC6C8B">
      <w:pPr>
        <w:numPr>
          <w:ilvl w:val="0"/>
          <w:numId w:val="503"/>
        </w:numPr>
        <w:spacing w:after="333"/>
        <w:ind w:right="13" w:hanging="259"/>
      </w:pPr>
      <w:r w:rsidRPr="00864152">
        <w:t xml:space="preserve">Baisse des précipitations et sécheresses récurrentes </w:t>
      </w:r>
    </w:p>
    <w:p w14:paraId="01AF5EC4" w14:textId="77777777" w:rsidR="00BC6C8B" w:rsidRPr="00864152" w:rsidRDefault="00BC6C8B" w:rsidP="00BC6C8B">
      <w:pPr>
        <w:spacing w:after="282"/>
        <w:ind w:left="-5" w:right="13"/>
      </w:pPr>
      <w:r w:rsidRPr="00864152">
        <w:t xml:space="preserve">Les précipitations en Mauritanie sont de plus en plus irrégulières, avec des périodes de sécheresse prolongées qui réduisent la disponibilité en eau pour l'agriculture. Les sécheresses ont des effets dévastateurs sur les cultures de subsistance, telles que le mil, le sorgho, et le maïs, qui sont essentielles à la sécurité alimentaire des communautés rurales. </w:t>
      </w:r>
    </w:p>
    <w:p w14:paraId="3FD32F2A" w14:textId="77777777" w:rsidR="00BC6C8B" w:rsidRDefault="00BC6C8B" w:rsidP="00BC6C8B">
      <w:pPr>
        <w:numPr>
          <w:ilvl w:val="1"/>
          <w:numId w:val="503"/>
        </w:numPr>
        <w:spacing w:after="208" w:line="368" w:lineRule="auto"/>
        <w:ind w:right="13" w:hanging="361"/>
      </w:pPr>
      <w:r w:rsidRPr="00864152">
        <w:t xml:space="preserve">Réduction des rendements : La baisse des rendements agricoles est une conséquence directe des conditions climatiques défavorables. </w:t>
      </w:r>
      <w:r>
        <w:t xml:space="preserve">Les sécheresses réduisent la fertilité </w:t>
      </w:r>
    </w:p>
    <w:p w14:paraId="23C52D50" w14:textId="77777777" w:rsidR="00BC6C8B" w:rsidRPr="00864152" w:rsidRDefault="00BC6C8B" w:rsidP="00BC6C8B">
      <w:pPr>
        <w:spacing w:after="51"/>
        <w:ind w:left="731" w:right="13"/>
      </w:pPr>
      <w:proofErr w:type="gramStart"/>
      <w:r w:rsidRPr="00864152">
        <w:t>des</w:t>
      </w:r>
      <w:proofErr w:type="gramEnd"/>
      <w:r w:rsidRPr="00864152">
        <w:t xml:space="preserve"> sols et la disponibilité en eau, ce qui limite la capacité des agriculteurs à produire des récoltes suffisantes pour nourrir leurs familles et générer un revenu. </w:t>
      </w:r>
    </w:p>
    <w:p w14:paraId="5E681261" w14:textId="77777777" w:rsidR="00BC6C8B" w:rsidRPr="00864152" w:rsidRDefault="00BC6C8B" w:rsidP="00BC6C8B">
      <w:pPr>
        <w:numPr>
          <w:ilvl w:val="1"/>
          <w:numId w:val="503"/>
        </w:numPr>
        <w:spacing w:after="0" w:line="368" w:lineRule="auto"/>
        <w:ind w:right="13" w:hanging="361"/>
      </w:pPr>
      <w:r w:rsidRPr="00864152">
        <w:t xml:space="preserve">Dégradation des terres : Le dérèglement climatique contribue à la dégradation des terres agricoles, notamment à travers la désertification et l'érosion des sols. Les terres cultivables deviennent de plus en plus rares et moins productives, poussant les agriculteurs à abandonner leurs exploitations et à migrer vers des zones urbaines ou d'autres pays.  </w:t>
      </w:r>
    </w:p>
    <w:p w14:paraId="5995F58B" w14:textId="77777777" w:rsidR="00BC6C8B" w:rsidRPr="00864152" w:rsidRDefault="00BC6C8B" w:rsidP="00BC6C8B">
      <w:pPr>
        <w:spacing w:after="381"/>
        <w:ind w:left="721"/>
      </w:pPr>
      <w:r w:rsidRPr="00864152">
        <w:t xml:space="preserve"> </w:t>
      </w:r>
    </w:p>
    <w:p w14:paraId="68F9BB52" w14:textId="77777777" w:rsidR="00BC6C8B" w:rsidRDefault="00BC6C8B" w:rsidP="00BC6C8B">
      <w:pPr>
        <w:numPr>
          <w:ilvl w:val="0"/>
          <w:numId w:val="503"/>
        </w:numPr>
        <w:spacing w:after="333"/>
        <w:ind w:right="13" w:hanging="259"/>
      </w:pPr>
      <w:r>
        <w:t xml:space="preserve">Inondations et variabilité climatique </w:t>
      </w:r>
    </w:p>
    <w:p w14:paraId="4F943339" w14:textId="77777777" w:rsidR="00BC6C8B" w:rsidRPr="00864152" w:rsidRDefault="00BC6C8B" w:rsidP="00BC6C8B">
      <w:pPr>
        <w:spacing w:after="277"/>
        <w:ind w:left="-5" w:right="13"/>
      </w:pPr>
      <w:r w:rsidRPr="00864152">
        <w:t xml:space="preserve">Outre les sécheresses, la Mauritanie est également confrontée à des épisodes d'inondations, notamment dans la vallée du fleuve Sénégal. Ces inondations peuvent détruire les cultures, entraîner des pertes de bétail, et rendre les terres agricoles temporairement impropres à la culture. </w:t>
      </w:r>
    </w:p>
    <w:p w14:paraId="037DE3E8" w14:textId="77777777" w:rsidR="00BC6C8B" w:rsidRPr="00864152" w:rsidRDefault="00BC6C8B" w:rsidP="00BC6C8B">
      <w:pPr>
        <w:numPr>
          <w:ilvl w:val="1"/>
          <w:numId w:val="503"/>
        </w:numPr>
        <w:spacing w:after="2" w:line="368" w:lineRule="auto"/>
        <w:ind w:right="13" w:hanging="361"/>
      </w:pPr>
      <w:r w:rsidRPr="00864152">
        <w:t xml:space="preserve">Perturbation des cycles agricoles : La variabilité climatique perturbe les cycles agricoles traditionnels, rendant plus difficile pour les agriculteurs de planifier leurs activités. Les semis précoces ou tardifs, causés par des précipitations imprévisibles, peuvent entraîner des pertes importantes.  </w:t>
      </w:r>
    </w:p>
    <w:p w14:paraId="0F9CF8BA" w14:textId="77777777" w:rsidR="00BC6C8B" w:rsidRPr="00864152" w:rsidRDefault="00BC6C8B" w:rsidP="00BC6C8B">
      <w:pPr>
        <w:spacing w:after="380"/>
        <w:ind w:left="721"/>
      </w:pPr>
      <w:r w:rsidRPr="00864152">
        <w:t xml:space="preserve"> </w:t>
      </w:r>
    </w:p>
    <w:p w14:paraId="13FEA8F3" w14:textId="77777777" w:rsidR="00BC6C8B" w:rsidRDefault="00BC6C8B" w:rsidP="00BC6C8B">
      <w:pPr>
        <w:pStyle w:val="Titre3"/>
        <w:ind w:left="-5"/>
      </w:pPr>
      <w:r>
        <w:t xml:space="preserve">2.2. Impact sur l’Élevage  </w:t>
      </w:r>
    </w:p>
    <w:p w14:paraId="2BA440A7" w14:textId="77777777" w:rsidR="00BC6C8B" w:rsidRPr="00864152" w:rsidRDefault="00BC6C8B" w:rsidP="00BC6C8B">
      <w:pPr>
        <w:spacing w:after="255"/>
        <w:ind w:left="-5" w:right="13"/>
      </w:pPr>
      <w:r w:rsidRPr="00864152">
        <w:t xml:space="preserve">L'élevage est une autre pierre angulaire des moyens de subsistance en Mauritanie, en particulier pour les communautés nomades et semi-nomades. Le dérèglement climatique affecte l'élevage de plusieurs façons, en particulier à travers la réduction des pâturages et des ressources en eau. </w:t>
      </w:r>
    </w:p>
    <w:p w14:paraId="5751205B" w14:textId="77777777" w:rsidR="00BC6C8B" w:rsidRPr="00864152" w:rsidRDefault="00BC6C8B" w:rsidP="00BC6C8B">
      <w:pPr>
        <w:spacing w:after="113"/>
        <w:ind w:left="370" w:right="13"/>
      </w:pPr>
      <w:r w:rsidRPr="00864152">
        <w:t>a)</w:t>
      </w:r>
      <w:r w:rsidRPr="00864152">
        <w:rPr>
          <w:rFonts w:ascii="Arial" w:eastAsia="Arial" w:hAnsi="Arial" w:cs="Arial"/>
        </w:rPr>
        <w:t xml:space="preserve"> </w:t>
      </w:r>
      <w:r w:rsidRPr="00864152">
        <w:t xml:space="preserve">Réduction des pâturages </w:t>
      </w:r>
    </w:p>
    <w:p w14:paraId="5E532D28" w14:textId="77777777" w:rsidR="00BC6C8B" w:rsidRPr="00864152" w:rsidRDefault="00BC6C8B" w:rsidP="00BC6C8B">
      <w:pPr>
        <w:spacing w:after="0"/>
        <w:ind w:left="721"/>
      </w:pPr>
      <w:r w:rsidRPr="00864152">
        <w:t xml:space="preserve"> </w:t>
      </w:r>
    </w:p>
    <w:p w14:paraId="37F8392A" w14:textId="77777777" w:rsidR="00BC6C8B" w:rsidRPr="00864152" w:rsidRDefault="00BC6C8B" w:rsidP="00BC6C8B">
      <w:pPr>
        <w:spacing w:after="54"/>
        <w:ind w:left="731" w:right="13"/>
      </w:pPr>
      <w:r w:rsidRPr="00864152">
        <w:t xml:space="preserve"> Les zones de pâturage sont de plus en plus limitées en raison de la désertification, de la sécheresse, et de la pression démographique. Le manque de pâturages entraîne une compétition accrue entre les éleveurs, ce qui peut conduire à des conflits. </w:t>
      </w:r>
    </w:p>
    <w:p w14:paraId="48B5CDBC" w14:textId="77777777" w:rsidR="00BC6C8B" w:rsidRPr="00864152" w:rsidRDefault="00BC6C8B" w:rsidP="00BC6C8B">
      <w:pPr>
        <w:numPr>
          <w:ilvl w:val="0"/>
          <w:numId w:val="504"/>
        </w:numPr>
        <w:spacing w:after="56" w:line="368" w:lineRule="auto"/>
        <w:ind w:right="13" w:hanging="361"/>
      </w:pPr>
      <w:r w:rsidRPr="00864152">
        <w:t xml:space="preserve">Baisse de la productivité animale : Le manque de pâturages de qualité affecte directement la santé et la productivité des animaux. Les troupeaux sont plus susceptibles de souffrir de malnutrition, ce qui réduit la production de lait et de viande, et augmente la mortalité des animaux. </w:t>
      </w:r>
    </w:p>
    <w:p w14:paraId="01A27819" w14:textId="77777777" w:rsidR="00BC6C8B" w:rsidRPr="00864152" w:rsidRDefault="00BC6C8B" w:rsidP="00BC6C8B">
      <w:pPr>
        <w:numPr>
          <w:ilvl w:val="0"/>
          <w:numId w:val="504"/>
        </w:numPr>
        <w:spacing w:after="248" w:line="368" w:lineRule="auto"/>
        <w:ind w:right="13" w:hanging="361"/>
      </w:pPr>
      <w:r w:rsidRPr="00864152">
        <w:t xml:space="preserve">Déplacements saisonniers et transhumance : Les éleveurs doivent parcourir de plus grandes distances pour trouver des pâturages et des points d'eau pour leurs troupeaux. Cette situation exacerbe la vulnérabilité des éleveurs, qui sont confrontés à des conditions de plus en plus difficiles pour maintenir leurs moyens de subsistance.  </w:t>
      </w:r>
    </w:p>
    <w:p w14:paraId="50E5FF8B" w14:textId="77777777" w:rsidR="00BC6C8B" w:rsidRPr="00864152" w:rsidRDefault="00BC6C8B" w:rsidP="00BC6C8B">
      <w:pPr>
        <w:spacing w:after="382"/>
      </w:pPr>
      <w:r w:rsidRPr="00864152">
        <w:t xml:space="preserve">       </w:t>
      </w:r>
    </w:p>
    <w:p w14:paraId="228954A3" w14:textId="77777777" w:rsidR="00BC6C8B" w:rsidRPr="00864152" w:rsidRDefault="00BC6C8B" w:rsidP="00BC6C8B">
      <w:pPr>
        <w:spacing w:after="333"/>
        <w:ind w:left="370" w:right="13"/>
      </w:pPr>
      <w:r w:rsidRPr="00864152">
        <w:t>b)</w:t>
      </w:r>
      <w:r w:rsidRPr="00864152">
        <w:rPr>
          <w:rFonts w:ascii="Arial" w:eastAsia="Arial" w:hAnsi="Arial" w:cs="Arial"/>
        </w:rPr>
        <w:t xml:space="preserve"> </w:t>
      </w:r>
      <w:r w:rsidRPr="00864152">
        <w:t xml:space="preserve">Raréfaction des ressources en eau </w:t>
      </w:r>
    </w:p>
    <w:p w14:paraId="0980A7B1" w14:textId="77777777" w:rsidR="00BC6C8B" w:rsidRPr="00864152" w:rsidRDefault="00BC6C8B" w:rsidP="00BC6C8B">
      <w:pPr>
        <w:spacing w:after="275"/>
        <w:ind w:left="-5" w:right="13"/>
      </w:pPr>
      <w:r w:rsidRPr="00864152">
        <w:t xml:space="preserve">L'accès à l'eau est essentiel pour l'élevage, mais il est de plus en plus limité par le dérèglement climatique. Les points d'eau traditionnels, tels que les puits et les mares, s'assèchent plus rapidement, obligeant les éleveurs à se déplacer plus fréquemment. </w:t>
      </w:r>
    </w:p>
    <w:p w14:paraId="27ADE6CD" w14:textId="77777777" w:rsidR="00BC6C8B" w:rsidRPr="00864152" w:rsidRDefault="00BC6C8B" w:rsidP="00BC6C8B">
      <w:pPr>
        <w:spacing w:after="231"/>
        <w:ind w:left="721" w:right="13" w:hanging="361"/>
      </w:pPr>
      <w:r>
        <w:rPr>
          <w:rFonts w:ascii="Segoe UI Symbol" w:eastAsia="Segoe UI Symbol" w:hAnsi="Segoe UI Symbol" w:cs="Segoe UI Symbol"/>
        </w:rPr>
        <w:t></w:t>
      </w:r>
      <w:r w:rsidRPr="00864152">
        <w:rPr>
          <w:rFonts w:ascii="Arial" w:eastAsia="Arial" w:hAnsi="Arial" w:cs="Arial"/>
        </w:rPr>
        <w:t xml:space="preserve"> </w:t>
      </w:r>
      <w:r w:rsidRPr="00864152">
        <w:t xml:space="preserve">Surpâturage et dégradation environnementale : La concentration des troupeaux autour des rares points d'eau restants conduit souvent à un surpâturage, ce qui accélère la dégradation des terres et réduit encore davantage la disponibilité des ressources.  </w:t>
      </w:r>
    </w:p>
    <w:p w14:paraId="557C1479" w14:textId="77777777" w:rsidR="00BC6C8B" w:rsidRPr="00864152" w:rsidRDefault="00BC6C8B" w:rsidP="00BC6C8B">
      <w:pPr>
        <w:spacing w:after="380"/>
      </w:pPr>
      <w:r w:rsidRPr="00864152">
        <w:t xml:space="preserve">  </w:t>
      </w:r>
    </w:p>
    <w:p w14:paraId="142A432C" w14:textId="77777777" w:rsidR="00BC6C8B" w:rsidRDefault="00BC6C8B" w:rsidP="00BC6C8B">
      <w:pPr>
        <w:pStyle w:val="Titre3"/>
        <w:spacing w:after="115"/>
        <w:ind w:left="432"/>
      </w:pPr>
      <w:r>
        <w:t xml:space="preserve">2.3. Impact sur la Pêche </w:t>
      </w:r>
    </w:p>
    <w:p w14:paraId="345FA0F6" w14:textId="77777777" w:rsidR="00BC6C8B" w:rsidRPr="00864152" w:rsidRDefault="00BC6C8B" w:rsidP="00BC6C8B">
      <w:pPr>
        <w:spacing w:after="112"/>
        <w:ind w:left="422"/>
      </w:pPr>
      <w:r w:rsidRPr="00864152">
        <w:t xml:space="preserve"> </w:t>
      </w:r>
    </w:p>
    <w:p w14:paraId="53AEDD20" w14:textId="77777777" w:rsidR="00BC6C8B" w:rsidRPr="00864152" w:rsidRDefault="00BC6C8B" w:rsidP="00BC6C8B">
      <w:pPr>
        <w:ind w:left="432" w:right="13"/>
      </w:pPr>
      <w:r w:rsidRPr="00864152">
        <w:t xml:space="preserve">Le secteur de la pêche, en particulier la pêche artisanale, joue un rôle crucial dans la sécurité alimentaire et l'économie de la Mauritanie. Cependant, le dérèglement climatique a un impact significatif sur les écosystèmes marins et la disponibilité des ressources halieutique </w:t>
      </w:r>
    </w:p>
    <w:p w14:paraId="7665F3B5" w14:textId="77777777" w:rsidR="00BC6C8B" w:rsidRPr="00864152" w:rsidRDefault="00BC6C8B" w:rsidP="00BC6C8B">
      <w:pPr>
        <w:spacing w:after="117"/>
        <w:ind w:left="1091" w:right="13"/>
      </w:pPr>
      <w:r w:rsidRPr="00864152">
        <w:t>a)</w:t>
      </w:r>
      <w:r w:rsidRPr="00864152">
        <w:rPr>
          <w:rFonts w:ascii="Arial" w:eastAsia="Arial" w:hAnsi="Arial" w:cs="Arial"/>
        </w:rPr>
        <w:t xml:space="preserve"> </w:t>
      </w:r>
      <w:r w:rsidRPr="00864152">
        <w:t xml:space="preserve">Modification des écosystèmes marins </w:t>
      </w:r>
    </w:p>
    <w:p w14:paraId="404353DA" w14:textId="77777777" w:rsidR="00BC6C8B" w:rsidRPr="00864152" w:rsidRDefault="00BC6C8B" w:rsidP="00BC6C8B">
      <w:pPr>
        <w:spacing w:after="112"/>
        <w:ind w:left="721"/>
      </w:pPr>
      <w:r w:rsidRPr="00864152">
        <w:t xml:space="preserve"> </w:t>
      </w:r>
    </w:p>
    <w:p w14:paraId="71F497A7" w14:textId="77777777" w:rsidR="00BC6C8B" w:rsidRPr="00864152" w:rsidRDefault="00BC6C8B" w:rsidP="00BC6C8B">
      <w:pPr>
        <w:spacing w:after="56"/>
        <w:ind w:left="731" w:right="13"/>
      </w:pPr>
      <w:r w:rsidRPr="00864152">
        <w:t xml:space="preserve"> Les changements climatiques entraînent une modification des températures de l'eau, des courants marins, et de la salinité, ce qui affecte les habitats des poissons et autres ressources marines. Ces changements perturbent les cycles de reproduction et de migration des espèces de poissons, réduisant ainsi leur disponibilité pour la pêche.  </w:t>
      </w:r>
    </w:p>
    <w:p w14:paraId="4F6ACA1E" w14:textId="77777777" w:rsidR="00BC6C8B" w:rsidRPr="00864152" w:rsidRDefault="00BC6C8B" w:rsidP="00BC6C8B">
      <w:pPr>
        <w:numPr>
          <w:ilvl w:val="0"/>
          <w:numId w:val="505"/>
        </w:numPr>
        <w:spacing w:after="61" w:line="368" w:lineRule="auto"/>
        <w:ind w:right="13" w:hanging="361"/>
      </w:pPr>
      <w:r w:rsidRPr="00864152">
        <w:t xml:space="preserve">Baisse des captures : La réduction des stocks de poissons due aux conditions climatiques défavorables entraîne une baisse des captures, ce qui affecte directement les revenus des pêcheurs artisanaux. La diminution des prises oblige les pêcheurs à parcourir de plus grandes distances en mer, augmentant ainsi les coûts et les risques associés à la pêche. </w:t>
      </w:r>
    </w:p>
    <w:p w14:paraId="4ED8C2D4" w14:textId="77777777" w:rsidR="00BC6C8B" w:rsidRPr="00864152" w:rsidRDefault="00BC6C8B" w:rsidP="00BC6C8B">
      <w:pPr>
        <w:numPr>
          <w:ilvl w:val="0"/>
          <w:numId w:val="505"/>
        </w:numPr>
        <w:spacing w:after="2" w:line="368" w:lineRule="auto"/>
        <w:ind w:right="13" w:hanging="361"/>
      </w:pPr>
      <w:r w:rsidRPr="00864152">
        <w:t xml:space="preserve">Impact sur la biodiversité : La réduction des populations de poissons et la perturbation des écosystèmes marins ont également des répercussions sur la biodiversité, ce qui peut affecter l'équilibre écologique de la région et compromettre la durabilité des pêches. </w:t>
      </w:r>
    </w:p>
    <w:p w14:paraId="6CB7285D" w14:textId="77777777" w:rsidR="00BC6C8B" w:rsidRPr="00864152" w:rsidRDefault="00BC6C8B" w:rsidP="00BC6C8B">
      <w:pPr>
        <w:spacing w:after="167"/>
        <w:ind w:left="1441"/>
      </w:pPr>
      <w:r w:rsidRPr="00864152">
        <w:t xml:space="preserve"> </w:t>
      </w:r>
    </w:p>
    <w:p w14:paraId="49946076" w14:textId="77777777" w:rsidR="00BC6C8B" w:rsidRPr="00864152" w:rsidRDefault="00BC6C8B" w:rsidP="00BC6C8B">
      <w:pPr>
        <w:spacing w:after="113"/>
        <w:ind w:left="1091" w:right="13"/>
      </w:pPr>
      <w:r w:rsidRPr="00864152">
        <w:t>b)</w:t>
      </w:r>
      <w:r w:rsidRPr="00864152">
        <w:rPr>
          <w:rFonts w:ascii="Arial" w:eastAsia="Arial" w:hAnsi="Arial" w:cs="Arial"/>
        </w:rPr>
        <w:t xml:space="preserve"> </w:t>
      </w:r>
      <w:r w:rsidRPr="00864152">
        <w:t xml:space="preserve">Érosion côtière et montée du niveau de la mer </w:t>
      </w:r>
    </w:p>
    <w:p w14:paraId="5C455F44" w14:textId="77777777" w:rsidR="00BC6C8B" w:rsidRPr="00864152" w:rsidRDefault="00BC6C8B" w:rsidP="00BC6C8B">
      <w:pPr>
        <w:spacing w:after="112"/>
        <w:ind w:left="721"/>
      </w:pPr>
      <w:r w:rsidRPr="00864152">
        <w:t xml:space="preserve"> </w:t>
      </w:r>
    </w:p>
    <w:p w14:paraId="6C6489B8" w14:textId="77777777" w:rsidR="00BC6C8B" w:rsidRPr="00864152" w:rsidRDefault="00BC6C8B" w:rsidP="00BC6C8B">
      <w:pPr>
        <w:spacing w:after="56"/>
        <w:ind w:left="731" w:right="13"/>
      </w:pPr>
      <w:r w:rsidRPr="00864152">
        <w:t xml:space="preserve">L'érosion côtière et la montée du niveau de la mer sont d'autres conséquences du dérèglement climatique qui affectent les communautés de pêcheurs. L'érosion menace les infrastructures côtières, telles que les ports de pêche, les villages de pêcheurs, et les zones de transformation du poisson. </w:t>
      </w:r>
    </w:p>
    <w:p w14:paraId="680445C3" w14:textId="77777777" w:rsidR="00BC6C8B" w:rsidRPr="00864152" w:rsidRDefault="00BC6C8B" w:rsidP="00BC6C8B">
      <w:pPr>
        <w:numPr>
          <w:ilvl w:val="0"/>
          <w:numId w:val="505"/>
        </w:numPr>
        <w:spacing w:after="208" w:line="368" w:lineRule="auto"/>
        <w:ind w:right="13" w:hanging="361"/>
      </w:pPr>
      <w:r w:rsidRPr="00864152">
        <w:t xml:space="preserve">Déplacement des communautés côtières : Les villages de pêcheurs situés le long de la côte atlantique sont particulièrement vulnérables à l'érosion et à la montée du niveau de la mer. Certains de ces villages ont déjà dû être déplacés, ce qui perturbe les communautés et les moyens de subsistance des pêcheurs. </w:t>
      </w:r>
    </w:p>
    <w:p w14:paraId="06F535AA" w14:textId="77777777" w:rsidR="00BC6C8B" w:rsidRPr="00864152" w:rsidRDefault="00BC6C8B" w:rsidP="00BC6C8B">
      <w:pPr>
        <w:spacing w:after="380"/>
      </w:pPr>
      <w:r w:rsidRPr="00864152">
        <w:t xml:space="preserve"> </w:t>
      </w:r>
    </w:p>
    <w:p w14:paraId="08187CD9" w14:textId="77777777" w:rsidR="00BC6C8B" w:rsidRDefault="00BC6C8B" w:rsidP="00BC6C8B">
      <w:pPr>
        <w:pStyle w:val="Titre3"/>
        <w:ind w:left="-5"/>
      </w:pPr>
      <w:r>
        <w:t xml:space="preserve">2.4. Impact sur le Commerce et l'Artisanat </w:t>
      </w:r>
    </w:p>
    <w:p w14:paraId="2E7A4C40" w14:textId="77777777" w:rsidR="00BC6C8B" w:rsidRPr="00864152" w:rsidRDefault="00BC6C8B" w:rsidP="00BC6C8B">
      <w:pPr>
        <w:spacing w:after="247" w:line="376" w:lineRule="auto"/>
        <w:ind w:left="-5" w:right="218"/>
        <w:jc w:val="both"/>
      </w:pPr>
      <w:r w:rsidRPr="00864152">
        <w:t xml:space="preserve">Bien que l'agriculture, l'élevage, et la pêche soient les secteurs les plus directement touchés par le dérèglement climatique, le commerce et l'artisanat, qui dépendent souvent de ces secteurs, sont également affectés.  </w:t>
      </w:r>
    </w:p>
    <w:p w14:paraId="24CC0EAA" w14:textId="77777777" w:rsidR="00BC6C8B" w:rsidRDefault="00BC6C8B" w:rsidP="00BC6C8B">
      <w:pPr>
        <w:numPr>
          <w:ilvl w:val="0"/>
          <w:numId w:val="506"/>
        </w:numPr>
        <w:spacing w:after="333"/>
        <w:ind w:right="13" w:hanging="361"/>
      </w:pPr>
      <w:r>
        <w:t xml:space="preserve">Réduction des échanges commerciaux </w:t>
      </w:r>
    </w:p>
    <w:p w14:paraId="435B5A50" w14:textId="77777777" w:rsidR="00BC6C8B" w:rsidRPr="00864152" w:rsidRDefault="00BC6C8B" w:rsidP="00BC6C8B">
      <w:pPr>
        <w:spacing w:after="256"/>
        <w:ind w:left="-5" w:right="13"/>
      </w:pPr>
      <w:r w:rsidRPr="00864152">
        <w:t xml:space="preserve">La baisse de la production agricole, de l'élevage, et des pêches entraîne une réduction des échanges commerciaux au sein des marchés locaux et régionaux. Les commerçants et artisans qui dépendent de ces secteurs pour leur approvisionnement voient leur activité diminuer, ce qui affecte leurs revenus et leur capacité à soutenir leurs familles.  </w:t>
      </w:r>
    </w:p>
    <w:p w14:paraId="22A47EA3" w14:textId="77777777" w:rsidR="00BC6C8B" w:rsidRDefault="00BC6C8B" w:rsidP="00BC6C8B">
      <w:pPr>
        <w:numPr>
          <w:ilvl w:val="0"/>
          <w:numId w:val="506"/>
        </w:numPr>
        <w:spacing w:after="333"/>
        <w:ind w:right="13" w:hanging="361"/>
      </w:pPr>
      <w:r>
        <w:t xml:space="preserve">Perte de savoir-faire traditionnel  </w:t>
      </w:r>
    </w:p>
    <w:p w14:paraId="1B9B094F" w14:textId="77777777" w:rsidR="00BC6C8B" w:rsidRPr="00864152" w:rsidRDefault="00BC6C8B" w:rsidP="00BC6C8B">
      <w:pPr>
        <w:spacing w:after="256"/>
        <w:ind w:left="-5" w:right="13"/>
      </w:pPr>
      <w:r w:rsidRPr="00864152">
        <w:t xml:space="preserve">Le dérèglement climatique menace également la transmission des savoir-faire artisanaux traditionnels, notamment dans les régions rurales où ces activités sont souvent complémentaires à l'agriculture et à l'élevage. La perte de ces savoir-faire peut avoir des répercussions culturelles importantes et réduire encore davantage les options économiques pour les communautés locales.  </w:t>
      </w:r>
    </w:p>
    <w:p w14:paraId="25C0EA3A" w14:textId="77777777" w:rsidR="00BC6C8B" w:rsidRDefault="00BC6C8B" w:rsidP="00BC6C8B">
      <w:pPr>
        <w:numPr>
          <w:ilvl w:val="0"/>
          <w:numId w:val="506"/>
        </w:numPr>
        <w:spacing w:after="333"/>
        <w:ind w:right="13" w:hanging="361"/>
      </w:pPr>
      <w:r>
        <w:t xml:space="preserve">Adaptation économique  </w:t>
      </w:r>
    </w:p>
    <w:p w14:paraId="74E67454" w14:textId="77777777" w:rsidR="00BC6C8B" w:rsidRPr="00864152" w:rsidRDefault="00BC6C8B" w:rsidP="00BC6C8B">
      <w:pPr>
        <w:ind w:left="-5" w:right="13"/>
      </w:pPr>
      <w:r w:rsidRPr="00864152">
        <w:t xml:space="preserve">Pour faire face aux défis posés par le dérèglement climatique, certaines communautés cherchent à diversifier leurs sources de revenus en se tournant vers des activités moins dépendantes des conditions climatiques, comme le commerce de biens manufacturés, le développement du tourisme, ou encore l'artisanat moderne. Cependant, ces transitions nécessitent un soutien technique, financier, et institutionnel pour être viables. </w:t>
      </w:r>
    </w:p>
    <w:p w14:paraId="4809C2BC" w14:textId="77777777" w:rsidR="00BC6C8B" w:rsidRPr="00864152" w:rsidRDefault="00BC6C8B" w:rsidP="00BC6C8B">
      <w:pPr>
        <w:spacing w:after="333"/>
      </w:pPr>
      <w:r w:rsidRPr="00864152">
        <w:t xml:space="preserve"> </w:t>
      </w:r>
    </w:p>
    <w:p w14:paraId="398088D4" w14:textId="77777777" w:rsidR="00BC6C8B" w:rsidRPr="00864152" w:rsidRDefault="00BC6C8B" w:rsidP="00BC6C8B">
      <w:pPr>
        <w:ind w:left="-5" w:right="13"/>
      </w:pPr>
      <w:r w:rsidRPr="00864152">
        <w:t xml:space="preserve">En guise conclusion, le dérèglement climatique pose des défis majeurs aux secteurs clés des moyens de subsistance en Mauritanie, affectant directement l'agriculture, l'élevage, la pêche, et d'autres activités économiques connexes. Ces impacts exigent des réponses adaptées et résilientes pour garantir la sécurité alimentaire, la stabilité et le bien être des mauritaniens. </w:t>
      </w:r>
    </w:p>
    <w:p w14:paraId="130E0163" w14:textId="77777777" w:rsidR="00BC6C8B" w:rsidRPr="00864152" w:rsidRDefault="00BC6C8B" w:rsidP="00BC6C8B">
      <w:pPr>
        <w:spacing w:after="0"/>
      </w:pPr>
      <w:r w:rsidRPr="00864152">
        <w:rPr>
          <w:b/>
        </w:rPr>
        <w:t xml:space="preserve"> </w:t>
      </w:r>
    </w:p>
    <w:p w14:paraId="1B57FAAC" w14:textId="77777777" w:rsidR="00BC6C8B" w:rsidRDefault="00BC6C8B" w:rsidP="00BC6C8B">
      <w:pPr>
        <w:pStyle w:val="Titre2"/>
        <w:ind w:left="-5"/>
      </w:pPr>
      <w:r>
        <w:rPr>
          <w:u w:val="single" w:color="000000"/>
        </w:rPr>
        <w:t>Chapitre 3 :</w:t>
      </w:r>
      <w:r>
        <w:t xml:space="preserve"> Impact du Dérèglement Climatique sur les Rôles de Genre  </w:t>
      </w:r>
    </w:p>
    <w:p w14:paraId="19386BCF" w14:textId="77777777" w:rsidR="00BC6C8B" w:rsidRPr="00864152" w:rsidRDefault="00BC6C8B" w:rsidP="00BC6C8B">
      <w:pPr>
        <w:spacing w:after="255"/>
        <w:ind w:left="-5" w:right="13"/>
      </w:pPr>
      <w:r w:rsidRPr="00864152">
        <w:t xml:space="preserve">Le dérèglement climatique a des effets profonds et multidimensionnels sur les sociétés, et en Mauritanie, il redéfinit les rôles de genre de manière significative. Ce chapitre explore comment les changements climatiques bouleversent les rôles économiques, transforment les dynamiques familiales, et renforcent l'autonomie des femmes, tout en confrontant ces dernières à des résistances sociales. En analysant ces dynamiques, nous mettrons en lumière les nouvelles responsabilités assumées par les femmes dans un contexte de crise écologique, ainsi que les répercussions de ces changements sur les structures patriarcales traditionnelles. </w:t>
      </w:r>
    </w:p>
    <w:p w14:paraId="248C9714" w14:textId="77777777" w:rsidR="00BC6C8B" w:rsidRDefault="00BC6C8B" w:rsidP="00BC6C8B">
      <w:pPr>
        <w:pStyle w:val="Titre3"/>
        <w:ind w:left="-5"/>
      </w:pPr>
      <w:r>
        <w:t xml:space="preserve">3.1. Redistribution des Rôles Économiques </w:t>
      </w:r>
    </w:p>
    <w:p w14:paraId="408C9A8E" w14:textId="77777777" w:rsidR="00BC6C8B" w:rsidRPr="00864152" w:rsidRDefault="00BC6C8B" w:rsidP="00BC6C8B">
      <w:pPr>
        <w:ind w:left="-5" w:right="13"/>
      </w:pPr>
      <w:r w:rsidRPr="00864152">
        <w:t xml:space="preserve">Les effets du dérèglement climatique, tels que la dégradation des terres et la désertification, ont drastiquement diminué la productivité agricole et pastorale en Mauritanie. Ces bouleversements ont forcé une réorganisation des rôles économiques au sein des ménages et des communautés. </w:t>
      </w:r>
    </w:p>
    <w:p w14:paraId="6D120D94" w14:textId="77777777" w:rsidR="00BC6C8B" w:rsidRPr="00864152" w:rsidRDefault="00BC6C8B" w:rsidP="00BC6C8B">
      <w:pPr>
        <w:ind w:left="-5" w:right="13"/>
      </w:pPr>
      <w:r w:rsidRPr="00864152">
        <w:t xml:space="preserve"> Traditionnellement, les hommes étaient les principaux pourvoyeurs des ressources, gérant l'agriculture, l'élevage et le commerce. Cependant, avec l'appauvrissement des ressources naturelles, de nombreuses femmes ont dû s'engager dans des activités économiques pour compenser les pertes de revenus familiaux. Elles se sont impliquées dans l'agriculture, l'élevage, et même dans des activités autrefois considérées comme exclusivement masculines, telles que la pêche ou la gestion de petits commerces. </w:t>
      </w:r>
    </w:p>
    <w:p w14:paraId="689FD85B" w14:textId="77777777" w:rsidR="00BC6C8B" w:rsidRPr="00864152" w:rsidRDefault="00BC6C8B" w:rsidP="00BC6C8B">
      <w:pPr>
        <w:ind w:left="-5" w:right="13"/>
      </w:pPr>
      <w:r w:rsidRPr="00864152">
        <w:t xml:space="preserve">Exemple : Dans les régions sévèrement touchées par la sécheresse comme dans la vallée du fleuve Sénégal, des femmes ont pris en charge des tâches économiques essentielles, comme l'élevage de bétail ou la production artisanale pour générer des revenus. Cette prise de responsabilité économique, bien que nouvelle pour beaucoup de femmes, leur a permis d'acquérir des compétences et une reconnaissance qui étaient autrefois réservées aux hommes. </w:t>
      </w:r>
    </w:p>
    <w:p w14:paraId="573C02FC" w14:textId="77777777" w:rsidR="00BC6C8B" w:rsidRPr="00864152" w:rsidRDefault="00BC6C8B" w:rsidP="00BC6C8B">
      <w:pPr>
        <w:spacing w:after="333"/>
        <w:ind w:left="422"/>
      </w:pPr>
      <w:r w:rsidRPr="00864152">
        <w:t xml:space="preserve"> </w:t>
      </w:r>
    </w:p>
    <w:p w14:paraId="344B54EA" w14:textId="77777777" w:rsidR="00BC6C8B" w:rsidRPr="00864152" w:rsidRDefault="00BC6C8B" w:rsidP="00BC6C8B">
      <w:pPr>
        <w:spacing w:after="0"/>
      </w:pPr>
      <w:r w:rsidRPr="00864152">
        <w:t xml:space="preserve"> </w:t>
      </w:r>
    </w:p>
    <w:p w14:paraId="490566E7" w14:textId="77777777" w:rsidR="00BC6C8B" w:rsidRDefault="00BC6C8B" w:rsidP="00BC6C8B">
      <w:pPr>
        <w:pStyle w:val="Titre3"/>
        <w:ind w:left="-5"/>
      </w:pPr>
      <w:r>
        <w:t xml:space="preserve">3.2. Transformation des Dynamiques Familiales  </w:t>
      </w:r>
    </w:p>
    <w:p w14:paraId="6F499A36" w14:textId="77777777" w:rsidR="00BC6C8B" w:rsidRPr="00864152" w:rsidRDefault="00BC6C8B" w:rsidP="00BC6C8B">
      <w:pPr>
        <w:ind w:left="-5" w:right="13"/>
      </w:pPr>
      <w:r w:rsidRPr="00864152">
        <w:t xml:space="preserve">La migration masculine, souvent une conséquence directe de la dégradation des conditions de vie en milieu rural, a transformé les structures familiales en Mauritanie. Les hommes quittent de plus en plus les zones rurales pour chercher du travail dans les centres urbains ou à l'étranger, laissant derrière eux des familles où les femmes doivent assumer de nouvelles responsabilités. </w:t>
      </w:r>
    </w:p>
    <w:p w14:paraId="75ADF1D7" w14:textId="77777777" w:rsidR="00BC6C8B" w:rsidRPr="00864152" w:rsidRDefault="00BC6C8B" w:rsidP="00BC6C8B">
      <w:pPr>
        <w:ind w:left="-5" w:right="13"/>
      </w:pPr>
      <w:r w:rsidRPr="00864152">
        <w:t xml:space="preserve">Ces femmes, désormais chefs de famille, se voient confier la gestion des ressources, la prise de décisions cruciales pour le bien-être du ménage, et la responsabilité de subvenir aux besoins économiques de la famille. Cette nouvelle réalité modifie les dynamiques de pouvoir au sein du foyer, remettant en question le modèle patriarcal traditionnel. </w:t>
      </w:r>
    </w:p>
    <w:p w14:paraId="2D23B86C" w14:textId="77777777" w:rsidR="00BC6C8B" w:rsidRPr="00864152" w:rsidRDefault="00BC6C8B" w:rsidP="00BC6C8B">
      <w:pPr>
        <w:ind w:left="-5" w:right="13"/>
      </w:pPr>
      <w:r w:rsidRPr="00864152">
        <w:t xml:space="preserve">Exemple : Des témoignages de femmes dans les villages ruraux montrent qu'elles ont dû apprendre à gérer les finances, à prendre des décisions agricoles, et à négocier avec les marchés locaux en l'absence de leur mari. Cette nouvelle autonomie, bien que nécessaire, leur confère un pouvoir décisionnel plus important dans la gestion du foyer, ce qui change la perception traditionnelle des rôles de genre. </w:t>
      </w:r>
    </w:p>
    <w:p w14:paraId="4E66CFB1" w14:textId="77777777" w:rsidR="00BC6C8B" w:rsidRPr="00864152" w:rsidRDefault="00BC6C8B" w:rsidP="00BC6C8B">
      <w:pPr>
        <w:spacing w:after="385"/>
      </w:pPr>
      <w:r w:rsidRPr="00864152">
        <w:t xml:space="preserve"> </w:t>
      </w:r>
    </w:p>
    <w:p w14:paraId="593A8594" w14:textId="77777777" w:rsidR="00BC6C8B" w:rsidRDefault="00BC6C8B" w:rsidP="00BC6C8B">
      <w:pPr>
        <w:pStyle w:val="Titre3"/>
        <w:ind w:left="-5"/>
      </w:pPr>
      <w:r>
        <w:t xml:space="preserve">3.3. Autonomie Accrue des Femmes </w:t>
      </w:r>
    </w:p>
    <w:p w14:paraId="35235529" w14:textId="77777777" w:rsidR="00BC6C8B" w:rsidRPr="00864152" w:rsidRDefault="00BC6C8B" w:rsidP="00BC6C8B">
      <w:pPr>
        <w:ind w:left="-5" w:right="13"/>
      </w:pPr>
      <w:r w:rsidRPr="00864152">
        <w:t xml:space="preserve">Le dérèglement climatique, en perturbant les structures économiques et sociales, a offert aux femmes mauritaniennes une opportunité d'accroître leur autonomie. En prenant en charge de nouvelles responsabilités économiques et en participant à des initiatives communautaires, les femmes gagnent en indépendance, bien que cette autonomie ne soit pas sans obstacles. </w:t>
      </w:r>
    </w:p>
    <w:p w14:paraId="2786C9EE" w14:textId="77777777" w:rsidR="00BC6C8B" w:rsidRPr="00864152" w:rsidRDefault="00BC6C8B" w:rsidP="00BC6C8B">
      <w:pPr>
        <w:ind w:left="-5" w:right="13"/>
      </w:pPr>
      <w:r w:rsidRPr="00864152">
        <w:t xml:space="preserve">Exemple : L'émergence de programmes de microfinance visant à soutenir les initiatives féminines dans les zones rurales a permis à de nombreuses femmes de lancer de petites entreprises et de diversifier leurs sources de revenus.  </w:t>
      </w:r>
    </w:p>
    <w:p w14:paraId="78FD8699" w14:textId="77777777" w:rsidR="00BC6C8B" w:rsidRPr="00864152" w:rsidRDefault="00BC6C8B" w:rsidP="00BC6C8B">
      <w:pPr>
        <w:spacing w:after="252"/>
        <w:ind w:left="-5" w:right="13"/>
      </w:pPr>
      <w:r w:rsidRPr="00864152">
        <w:t xml:space="preserve">Ce gain en indépendance économique a aussi renforcé leur position sociale, bien que ces changements soient souvent accompagnés de résistances de la part des structures patriarcales traditionnelles. </w:t>
      </w:r>
    </w:p>
    <w:p w14:paraId="3121A54D" w14:textId="77777777" w:rsidR="00BC6C8B" w:rsidRDefault="00BC6C8B" w:rsidP="00BC6C8B">
      <w:pPr>
        <w:pStyle w:val="Titre3"/>
        <w:ind w:left="-5"/>
      </w:pPr>
      <w:r>
        <w:t xml:space="preserve">3.4. Conclusion </w:t>
      </w:r>
    </w:p>
    <w:p w14:paraId="72CF4F6A" w14:textId="77777777" w:rsidR="00BC6C8B" w:rsidRPr="00864152" w:rsidRDefault="00BC6C8B" w:rsidP="00BC6C8B">
      <w:pPr>
        <w:ind w:left="-5" w:right="13"/>
      </w:pPr>
      <w:r w:rsidRPr="00864152">
        <w:t xml:space="preserve">Le dérèglement climatique en Mauritanie n'est pas seulement une crise environnementale, mais aussi un moteur de transformation sociale, particulièrement en ce qui concerne les rôles de genre. En redistribuant les responsabilités économiques et en modifiant les dynamiques familiales, il remet en question les structures patriarcales établies, tout en offrant aux femmes de nouvelles opportunités d'autonomie. Cependant, ces gains sont souvent contrebalancés par des résistances sociales, indiquant que l'évolution des rôles de genre dans ce contexte reste un processus complexe et en cours. </w:t>
      </w:r>
    </w:p>
    <w:p w14:paraId="16268A8C" w14:textId="77777777" w:rsidR="00BC6C8B" w:rsidRPr="00864152" w:rsidRDefault="00BC6C8B" w:rsidP="00BC6C8B">
      <w:pPr>
        <w:spacing w:after="338"/>
      </w:pPr>
      <w:r w:rsidRPr="00864152">
        <w:t xml:space="preserve"> </w:t>
      </w:r>
    </w:p>
    <w:p w14:paraId="5F9DEC35" w14:textId="77777777" w:rsidR="00BC6C8B" w:rsidRDefault="00BC6C8B" w:rsidP="00BC6C8B">
      <w:pPr>
        <w:pStyle w:val="Titre2"/>
        <w:spacing w:after="167" w:line="399" w:lineRule="auto"/>
        <w:ind w:left="-5"/>
      </w:pPr>
      <w:r>
        <w:rPr>
          <w:u w:val="single" w:color="000000"/>
        </w:rPr>
        <w:t>Chapitre 4 :</w:t>
      </w:r>
      <w:r>
        <w:t xml:space="preserve"> Impact de la Migration sur les Pratiques Religieuses et les structures patriarcales  </w:t>
      </w:r>
    </w:p>
    <w:p w14:paraId="487B94CE" w14:textId="77777777" w:rsidR="00BC6C8B" w:rsidRPr="00864152" w:rsidRDefault="00BC6C8B" w:rsidP="00BC6C8B">
      <w:pPr>
        <w:spacing w:after="260"/>
        <w:ind w:left="-5" w:right="13"/>
      </w:pPr>
      <w:r w:rsidRPr="00864152">
        <w:t xml:space="preserve">La migration, en particulier celle motivée par les effets du dérèglement climatique, a des répercussions significatives sur les pratiques religieuses en Mauritanie. Alors que l'islam joue un rôle central dans la structuration des normes sociales et des modes de vie, les déplacements de populations, tant internes qu'externes, provoquent des changements dans la manière dont la religion est vécue et pratiquée. Ce chapitre explore comment les dynamiques migratoires influencent les pratiques religieuses, modifiant les rituels, les identités religieuses, et les structures communautaires.  </w:t>
      </w:r>
    </w:p>
    <w:p w14:paraId="48087DB9" w14:textId="77777777" w:rsidR="00BC6C8B" w:rsidRDefault="00BC6C8B" w:rsidP="00BC6C8B">
      <w:pPr>
        <w:pStyle w:val="Titre3"/>
        <w:ind w:left="-5"/>
      </w:pPr>
      <w:r>
        <w:t xml:space="preserve">4.1. Adaptation des Pratiques Religieuses en Contexte Urbain </w:t>
      </w:r>
    </w:p>
    <w:p w14:paraId="08CC08B6" w14:textId="77777777" w:rsidR="00BC6C8B" w:rsidRPr="00864152" w:rsidRDefault="00BC6C8B" w:rsidP="00BC6C8B">
      <w:pPr>
        <w:spacing w:after="229"/>
        <w:ind w:left="-5" w:right="13"/>
      </w:pPr>
      <w:r w:rsidRPr="00864152">
        <w:t xml:space="preserve">La migration des zones rurales vers les centres urbains comme Nouakchott ou Nouadhibou a transformé la manière dont les pratiques religieuses sont observées. En milieu rural, la religion est souvent ancrée dans les traditions communautaires, avec des rituels partagés et une forte interconnexion entre la vie religieuse et les cycles agricoles. L'arrivée en milieu urbain, avec ses pressions économiques et sociales, conduit à une adaptation des pratiques religieuses. </w:t>
      </w:r>
    </w:p>
    <w:p w14:paraId="1676F42E" w14:textId="77777777" w:rsidR="00BC6C8B" w:rsidRPr="00864152" w:rsidRDefault="00BC6C8B" w:rsidP="00BC6C8B">
      <w:pPr>
        <w:numPr>
          <w:ilvl w:val="0"/>
          <w:numId w:val="507"/>
        </w:numPr>
        <w:spacing w:after="57" w:line="368" w:lineRule="auto"/>
        <w:ind w:right="13" w:hanging="360"/>
      </w:pPr>
      <w:r w:rsidRPr="00864152">
        <w:t xml:space="preserve">Changements dans les rituels : Les migrants ruraux, en s'installant dans les villes, doivent souvent ajuster leurs pratiques religieuses en raison des nouvelles réalités de la vie urbaine, où les rythmes de travail et les contraintes de temps diffèrent. Par exemple, les horaires de prière peuvent être plus difficiles à respecter, et in fine le culte du rattrapage est habitude en raison des exigences du travail. </w:t>
      </w:r>
    </w:p>
    <w:p w14:paraId="6C8235D1" w14:textId="77777777" w:rsidR="00BC6C8B" w:rsidRPr="00864152" w:rsidRDefault="00BC6C8B" w:rsidP="00BC6C8B">
      <w:pPr>
        <w:numPr>
          <w:ilvl w:val="0"/>
          <w:numId w:val="507"/>
        </w:numPr>
        <w:spacing w:after="255" w:line="368" w:lineRule="auto"/>
        <w:ind w:right="13" w:hanging="360"/>
      </w:pPr>
      <w:r w:rsidRPr="00864152">
        <w:t xml:space="preserve">Émergence de nouvelles communautés religieuses : Dans les zones urbaines, de nouvelles formes de communautés religieuses émergent, souvent basées sur des liens ethniques ou régionaux. Ces communautés fournissent un soutien social et spirituel aux migrants, leur permettant de maintenir un lien avec leurs pratiques religieuses d'origine tout en s'adaptant à leur nouvel environnement. </w:t>
      </w:r>
    </w:p>
    <w:p w14:paraId="5A577A1A" w14:textId="77777777" w:rsidR="00BC6C8B" w:rsidRDefault="00BC6C8B" w:rsidP="00BC6C8B">
      <w:pPr>
        <w:pStyle w:val="Titre3"/>
        <w:ind w:left="-5"/>
      </w:pPr>
      <w:r>
        <w:t xml:space="preserve">4.2. Transformation des Identités Religieuses </w:t>
      </w:r>
    </w:p>
    <w:p w14:paraId="68F415ED" w14:textId="77777777" w:rsidR="00BC6C8B" w:rsidRPr="00864152" w:rsidRDefault="00BC6C8B" w:rsidP="00BC6C8B">
      <w:pPr>
        <w:spacing w:after="276"/>
        <w:ind w:left="-5" w:right="13"/>
      </w:pPr>
      <w:r w:rsidRPr="00864152">
        <w:t xml:space="preserve">La migration, en particulier lorsqu'elle implique des déplacements vers des environnements culturellement divers, peut provoquer une transformation des identités religieuses. Les migrants sont confrontés à de nouvelles influences religieuses et culturelles, ce qui peut conduire à un renforcement ou à une réinterprétation de leur foi. </w:t>
      </w:r>
    </w:p>
    <w:p w14:paraId="76FA272C" w14:textId="77777777" w:rsidR="00BC6C8B" w:rsidRPr="00864152" w:rsidRDefault="00BC6C8B" w:rsidP="00BC6C8B">
      <w:pPr>
        <w:numPr>
          <w:ilvl w:val="0"/>
          <w:numId w:val="508"/>
        </w:numPr>
        <w:spacing w:after="56" w:line="368" w:lineRule="auto"/>
        <w:ind w:right="13" w:hanging="361"/>
      </w:pPr>
      <w:r w:rsidRPr="00864152">
        <w:t xml:space="preserve">Renforcement de l'identité religieuse : Pour de nombreux migrants, maintenir leur foi et leurs pratiques religieuses devient un moyen de préserver leur identité dans un environnement inconnu. La religion sert de lien avec leur communauté d'origine et de source de stabilité face aux incertitudes de la migration. </w:t>
      </w:r>
    </w:p>
    <w:p w14:paraId="75BDA969" w14:textId="77777777" w:rsidR="00BC6C8B" w:rsidRPr="00864152" w:rsidRDefault="00BC6C8B" w:rsidP="00BC6C8B">
      <w:pPr>
        <w:numPr>
          <w:ilvl w:val="0"/>
          <w:numId w:val="508"/>
        </w:numPr>
        <w:spacing w:after="208" w:line="368" w:lineRule="auto"/>
        <w:ind w:right="13" w:hanging="361"/>
      </w:pPr>
      <w:r w:rsidRPr="00864152">
        <w:t xml:space="preserve">Syncrétisme et nouvelles interprétations : Dans certains cas, la migration expose les individus à d'autres pratiques et interprétations de l'islam, pouvant mener à une forme de syncrétisme religieux. Les migrants peuvent intégrer des éléments d'autres traditions religieuses ou adopter des interprétations plus libérales ou plus strictes en fonction de leurs nouvelles expériences </w:t>
      </w:r>
    </w:p>
    <w:p w14:paraId="081906AD" w14:textId="77777777" w:rsidR="00BC6C8B" w:rsidRDefault="00BC6C8B" w:rsidP="00BC6C8B">
      <w:pPr>
        <w:pStyle w:val="Titre3"/>
        <w:ind w:left="-5"/>
      </w:pPr>
      <w:r>
        <w:t xml:space="preserve">4.3. Impacts sur les Structures Communautaires et les Institutions Religieuses </w:t>
      </w:r>
    </w:p>
    <w:p w14:paraId="4321D31E" w14:textId="77777777" w:rsidR="00BC6C8B" w:rsidRPr="00864152" w:rsidRDefault="00BC6C8B" w:rsidP="00BC6C8B">
      <w:pPr>
        <w:spacing w:after="277"/>
        <w:ind w:left="-5" w:right="13"/>
      </w:pPr>
      <w:r w:rsidRPr="00864152">
        <w:t xml:space="preserve">La migration modifie également les structures communautaires et les institutions religieuses traditionnelles en Mauritanie. Les départs massifs des zones rurales affaiblissent les institutions religieuses locales, tandis que les zones urbaines voient une diversification des pratiques religieuses. </w:t>
      </w:r>
    </w:p>
    <w:p w14:paraId="03AD0F8D" w14:textId="77777777" w:rsidR="00BC6C8B" w:rsidRPr="00864152" w:rsidRDefault="00BC6C8B" w:rsidP="00BC6C8B">
      <w:pPr>
        <w:numPr>
          <w:ilvl w:val="0"/>
          <w:numId w:val="509"/>
        </w:numPr>
        <w:spacing w:after="56" w:line="368" w:lineRule="auto"/>
        <w:ind w:right="13" w:hanging="361"/>
      </w:pPr>
      <w:r w:rsidRPr="00864152">
        <w:t xml:space="preserve">Affaiblissement des institutions religieuses rurales : Le départ des jeunes et des hommes actifs des zones rurales, souvent les principaux supports des institutions religieuses locales (mosquées, écoles coraniques), peut entraîner un affaiblissement de ces structures. Cela peut avoir des conséquences sur la transmission des connaissances religieuses et sur la cohésion communautaire. </w:t>
      </w:r>
    </w:p>
    <w:p w14:paraId="213A4C0C" w14:textId="77777777" w:rsidR="00BC6C8B" w:rsidRPr="00864152" w:rsidRDefault="00BC6C8B" w:rsidP="00BC6C8B">
      <w:pPr>
        <w:numPr>
          <w:ilvl w:val="0"/>
          <w:numId w:val="509"/>
        </w:numPr>
        <w:spacing w:after="0" w:line="368" w:lineRule="auto"/>
        <w:ind w:right="13" w:hanging="361"/>
      </w:pPr>
      <w:r w:rsidRPr="00864152">
        <w:t xml:space="preserve">Diversification des pratiques religieuses en ville : En milieu urbain, la coexistence de plusieurs groupes ethniques et culturels conduit à une diversification des pratiques religieuses. Les mosquées urbaines peuvent accueillir des fidèles de différentes origines, chacun apportant ses propres traditions, ce qui peut enrichir ou, parfois, provoquer des tensions au sein des communautés religieuses. </w:t>
      </w:r>
    </w:p>
    <w:p w14:paraId="54842833" w14:textId="77777777" w:rsidR="00BC6C8B" w:rsidRPr="00864152" w:rsidRDefault="00BC6C8B" w:rsidP="00BC6C8B">
      <w:pPr>
        <w:spacing w:after="379"/>
        <w:ind w:left="721"/>
      </w:pPr>
      <w:r w:rsidRPr="00864152">
        <w:t xml:space="preserve"> </w:t>
      </w:r>
    </w:p>
    <w:p w14:paraId="6D06FD13" w14:textId="77777777" w:rsidR="00BC6C8B" w:rsidRDefault="00BC6C8B" w:rsidP="00BC6C8B">
      <w:pPr>
        <w:pStyle w:val="Titre3"/>
        <w:ind w:left="-5"/>
      </w:pPr>
      <w:r>
        <w:t xml:space="preserve">4.4. Conclusion </w:t>
      </w:r>
    </w:p>
    <w:p w14:paraId="4027A5DB" w14:textId="77777777" w:rsidR="00BC6C8B" w:rsidRPr="00864152" w:rsidRDefault="00BC6C8B" w:rsidP="00BC6C8B">
      <w:pPr>
        <w:ind w:left="-5" w:right="13"/>
      </w:pPr>
      <w:r w:rsidRPr="00864152">
        <w:t xml:space="preserve">La migration, qu'elle soit interne ou transfrontalière, a un impact profond sur les pratiques religieuses en Mauritanie. En modifiant les contextes dans lesquels la religion est vécue, la migration entraîne une adaptation des rituels, une transformation des identités religieuses, et des changements dans les structures communautaires. Ces évolutions montrent comment la religion reste un élément central de l'identité des Mauritaniens, même en période de changement et de déplacement, tout en s'adaptant aux nouvelles réalités imposées par la migration. </w:t>
      </w:r>
    </w:p>
    <w:p w14:paraId="4C12A863" w14:textId="77777777" w:rsidR="00BC6C8B" w:rsidRPr="00864152" w:rsidRDefault="00BC6C8B" w:rsidP="00BC6C8B">
      <w:pPr>
        <w:spacing w:after="334"/>
      </w:pPr>
      <w:r w:rsidRPr="00864152">
        <w:t xml:space="preserve"> </w:t>
      </w:r>
    </w:p>
    <w:p w14:paraId="02D2B20A" w14:textId="77777777" w:rsidR="00BC6C8B" w:rsidRPr="00864152" w:rsidRDefault="00BC6C8B" w:rsidP="00BC6C8B">
      <w:pPr>
        <w:spacing w:after="338"/>
      </w:pPr>
      <w:r w:rsidRPr="00864152">
        <w:t xml:space="preserve"> </w:t>
      </w:r>
    </w:p>
    <w:p w14:paraId="6804D577" w14:textId="77777777" w:rsidR="00BC6C8B" w:rsidRPr="00864152" w:rsidRDefault="00BC6C8B" w:rsidP="00BC6C8B">
      <w:pPr>
        <w:spacing w:after="0"/>
      </w:pPr>
      <w:r w:rsidRPr="00864152">
        <w:rPr>
          <w:b/>
        </w:rPr>
        <w:t xml:space="preserve"> </w:t>
      </w:r>
    </w:p>
    <w:p w14:paraId="1C7E1A0A" w14:textId="77777777" w:rsidR="00BC6C8B" w:rsidRDefault="00BC6C8B" w:rsidP="00BC6C8B">
      <w:pPr>
        <w:pStyle w:val="Titre2"/>
        <w:ind w:left="-5"/>
      </w:pPr>
      <w:r>
        <w:rPr>
          <w:u w:val="single" w:color="000000"/>
        </w:rPr>
        <w:t xml:space="preserve">Chapitre 5 : </w:t>
      </w:r>
      <w:r>
        <w:t xml:space="preserve">Transformations Sociales au Sein des Structures Patriarcales </w:t>
      </w:r>
    </w:p>
    <w:p w14:paraId="2CB9BA04" w14:textId="77777777" w:rsidR="00BC6C8B" w:rsidRPr="00864152" w:rsidRDefault="00BC6C8B" w:rsidP="00BC6C8B">
      <w:pPr>
        <w:spacing w:after="255"/>
        <w:ind w:left="-5" w:right="13"/>
      </w:pPr>
      <w:r w:rsidRPr="00864152">
        <w:t xml:space="preserve">Les structures patriarcales en Mauritanie, profondément enracinées dans les traditions culturelles et religieuses, sont en pleine mutation sous l'effet de divers facteurs, dont le dérèglement climatique, la migration, et l'évolution socio-économique. Ce chapitre explore les transformations sociales au sein de ces structures, en mettant en lumière les forces d'adaptation, de résistance, et de réinvention qui redéfinissent les relations de genre et le pouvoir au sein des communautés mauritaniennes.  </w:t>
      </w:r>
    </w:p>
    <w:p w14:paraId="6C21F0C2" w14:textId="77777777" w:rsidR="00BC6C8B" w:rsidRDefault="00BC6C8B" w:rsidP="00BC6C8B">
      <w:pPr>
        <w:pStyle w:val="Titre3"/>
        <w:ind w:left="-5"/>
      </w:pPr>
      <w:r>
        <w:t xml:space="preserve">5.1. Évolution des Rôles de Genre et Redéfinition du Patriarcat </w:t>
      </w:r>
    </w:p>
    <w:p w14:paraId="6D1E435A" w14:textId="77777777" w:rsidR="00BC6C8B" w:rsidRPr="00864152" w:rsidRDefault="00BC6C8B" w:rsidP="00BC6C8B">
      <w:pPr>
        <w:spacing w:after="268" w:line="376" w:lineRule="auto"/>
        <w:ind w:left="-5" w:right="186"/>
        <w:jc w:val="both"/>
      </w:pPr>
      <w:r w:rsidRPr="00864152">
        <w:t xml:space="preserve">Les rôles de genre, autrefois rigides et bien définis dans le cadre patriarcal, subissent des changements significatifs en Mauritanie. Ces évolutions sont en grande partie influencées par les nouvelles réalités économiques et sociales, ainsi que par les impacts du dérèglement climatique et de la migration. </w:t>
      </w:r>
    </w:p>
    <w:p w14:paraId="3D0ABDB8" w14:textId="77777777" w:rsidR="00BC6C8B" w:rsidRPr="00864152" w:rsidRDefault="00BC6C8B" w:rsidP="00BC6C8B">
      <w:pPr>
        <w:numPr>
          <w:ilvl w:val="0"/>
          <w:numId w:val="510"/>
        </w:numPr>
        <w:spacing w:after="57" w:line="368" w:lineRule="auto"/>
        <w:ind w:right="13" w:hanging="361"/>
      </w:pPr>
      <w:r w:rsidRPr="00864152">
        <w:t xml:space="preserve">Redéfinition des rôles économiques : Dans nos précédents chapitres, nous avons que traditionnellement, les hommes étaient les principaux pourvoyeurs de la famille, tandis que les femmes étaient confinées à des rôles domestiques. Cependant, les crises environnementales et les migrations massives des hommes vers les villes ou à l’étranger ont poussé les femmes à assumer des rôles économiques actifs. Cette redéfinition des responsabilités a conduit à un rééquilibrage des pouvoirs au sein du foyer, bien que cette évolution soit parfois perçue comme une menace pour l’ordre patriarcal. </w:t>
      </w:r>
    </w:p>
    <w:p w14:paraId="601D1695" w14:textId="77777777" w:rsidR="00BC6C8B" w:rsidRPr="00864152" w:rsidRDefault="00BC6C8B" w:rsidP="00BC6C8B">
      <w:pPr>
        <w:numPr>
          <w:ilvl w:val="0"/>
          <w:numId w:val="510"/>
        </w:numPr>
        <w:spacing w:after="255" w:line="368" w:lineRule="auto"/>
        <w:ind w:right="13" w:hanging="361"/>
      </w:pPr>
      <w:r w:rsidRPr="00864152">
        <w:t xml:space="preserve">Emergence de nouvelles identités féminines : Les femmes mauritaniennes, en s’impliquant davantage dans l'économie, acquièrent une autonomie accrue, ce qui entraîne l’émergence de nouvelles identités féminines. Ces femmes, devenues chefs de famille ou entrepreneuses, sont souvent perçues comme des modèles d’indépendance, remettant en cause les stéréotypes traditionnels de genre.  </w:t>
      </w:r>
    </w:p>
    <w:p w14:paraId="56F82AB1" w14:textId="77777777" w:rsidR="00BC6C8B" w:rsidRDefault="00BC6C8B" w:rsidP="00BC6C8B">
      <w:pPr>
        <w:pStyle w:val="Titre3"/>
        <w:ind w:left="-5"/>
      </w:pPr>
      <w:r>
        <w:t xml:space="preserve">5.2. Effets de la Migration sur les Structures Patriarcales </w:t>
      </w:r>
    </w:p>
    <w:p w14:paraId="098ABCF8" w14:textId="77777777" w:rsidR="00BC6C8B" w:rsidRPr="00864152" w:rsidRDefault="00BC6C8B" w:rsidP="00BC6C8B">
      <w:pPr>
        <w:spacing w:after="277"/>
        <w:ind w:left="-5" w:right="13"/>
      </w:pPr>
      <w:r w:rsidRPr="00864152">
        <w:t xml:space="preserve">La migration, qu'elle soit interne ou transfrontalière, est un autre facteur crucial dans la transformation des structures patriarcales en Mauritanie. Elle affecte non seulement la composition des ménages, mais aussi les normes sociales et les relations de pouvoir au sein des communautés. </w:t>
      </w:r>
    </w:p>
    <w:p w14:paraId="2A802274" w14:textId="77777777" w:rsidR="00BC6C8B" w:rsidRPr="00864152" w:rsidRDefault="00BC6C8B" w:rsidP="00BC6C8B">
      <w:pPr>
        <w:numPr>
          <w:ilvl w:val="0"/>
          <w:numId w:val="511"/>
        </w:numPr>
        <w:spacing w:after="62" w:line="368" w:lineRule="auto"/>
        <w:ind w:right="13" w:hanging="361"/>
      </w:pPr>
      <w:r w:rsidRPr="00864152">
        <w:t xml:space="preserve">Femmes chefs de famille : Avec l'augmentation de la migration masculine, de nombreuses femmes se retrouvent à la tête de leurs foyers. Ce changement leur confère non seulement une plus grande responsabilité mais aussi un certain pouvoir qui, dans un cadre patriarcal traditionnel, aurait été réservé aux hommes. Les femmes doivent gérer les finances, prendre des décisions importantes pour le foyer, et parfois, négocier avec des acteurs externes, ce qui modifie profondément les perceptions traditionnelles des rôles de genre. </w:t>
      </w:r>
    </w:p>
    <w:p w14:paraId="10B68400" w14:textId="77777777" w:rsidR="00BC6C8B" w:rsidRPr="00864152" w:rsidRDefault="00BC6C8B" w:rsidP="00BC6C8B">
      <w:pPr>
        <w:numPr>
          <w:ilvl w:val="0"/>
          <w:numId w:val="511"/>
        </w:numPr>
        <w:spacing w:after="208" w:line="368" w:lineRule="auto"/>
        <w:ind w:right="13" w:hanging="361"/>
      </w:pPr>
      <w:r w:rsidRPr="00864152">
        <w:t xml:space="preserve">Remise en question des normes patriarcales : La migration des hommes expose les communautés rurales à de nouvelles idées et pratiques, notamment en matière de genre. Les femmes qui restent, souvent plus instruites et autonomes qu'auparavant, commencent à remettre en question les normes patriarcales rigides. Par exemple, elles peuvent exiger plus de respect et de participation dans les décisions communautaires, ce qui constitue une rupture avec les traditions patriarcales. </w:t>
      </w:r>
    </w:p>
    <w:p w14:paraId="44F2AEE5" w14:textId="77777777" w:rsidR="00BC6C8B" w:rsidRPr="00864152" w:rsidRDefault="00BC6C8B" w:rsidP="00BC6C8B">
      <w:pPr>
        <w:spacing w:after="386"/>
      </w:pPr>
      <w:r w:rsidRPr="00864152">
        <w:t xml:space="preserve"> </w:t>
      </w:r>
    </w:p>
    <w:p w14:paraId="2D2C5831" w14:textId="77777777" w:rsidR="00BC6C8B" w:rsidRDefault="00BC6C8B" w:rsidP="00BC6C8B">
      <w:pPr>
        <w:pStyle w:val="Titre3"/>
        <w:ind w:left="-5"/>
      </w:pPr>
      <w:r>
        <w:t xml:space="preserve">5.3. Résistance et Adaptation des Structures Patriarcales  </w:t>
      </w:r>
    </w:p>
    <w:p w14:paraId="194010D7" w14:textId="77777777" w:rsidR="00BC6C8B" w:rsidRPr="00864152" w:rsidRDefault="00BC6C8B" w:rsidP="00BC6C8B">
      <w:pPr>
        <w:spacing w:after="267" w:line="376" w:lineRule="auto"/>
        <w:ind w:left="-5" w:right="243"/>
        <w:jc w:val="both"/>
      </w:pPr>
      <w:r w:rsidRPr="00864152">
        <w:t xml:space="preserve">Malgré ces transformations, les structures patriarcales en Mauritanie montrent une certaine résilience. Ces structures tentent de s'adapter ou de se réaffirmer face aux changements induits par le dérèglement climatique et la migration. </w:t>
      </w:r>
    </w:p>
    <w:p w14:paraId="49D2D50E" w14:textId="77777777" w:rsidR="00BC6C8B" w:rsidRPr="00864152" w:rsidRDefault="00BC6C8B" w:rsidP="00BC6C8B">
      <w:pPr>
        <w:numPr>
          <w:ilvl w:val="0"/>
          <w:numId w:val="512"/>
        </w:numPr>
        <w:spacing w:after="208" w:line="368" w:lineRule="auto"/>
        <w:ind w:right="13" w:hanging="361"/>
      </w:pPr>
      <w:r w:rsidRPr="00864152">
        <w:t xml:space="preserve">Réaffirmation des traditions : En réponse aux bouleversements causés par le dérèglement climatique et la migration, certaines communautés se tournent vers une réaffirmation des traditions patriarcales pour maintenir l'ordre social. Cette réaffirmation passe par un retour aux normes religieuses et culturelles, souvent perçues comme des garde-fous contre la dissolution des structures familiales traditionnelles. </w:t>
      </w:r>
    </w:p>
    <w:p w14:paraId="384468D5" w14:textId="77777777" w:rsidR="00BC6C8B" w:rsidRPr="00864152" w:rsidRDefault="00BC6C8B" w:rsidP="00BC6C8B">
      <w:pPr>
        <w:numPr>
          <w:ilvl w:val="0"/>
          <w:numId w:val="512"/>
        </w:numPr>
        <w:spacing w:after="208" w:line="368" w:lineRule="auto"/>
        <w:ind w:right="13" w:hanging="361"/>
      </w:pPr>
      <w:r w:rsidRPr="00864152">
        <w:t xml:space="preserve">Adaptation des structures patriarcales : D'autres communautés choisissent d'adapter leurs structures patriarcales pour mieux répondre aux nouvelles réalités. Par exemple, les rôles masculins peuvent être redéfinis pour intégrer une participation plus active dans la sphère domestique ou pour accepter des rôles économiques non traditionnels pour les femmes. Ces adaptations montrent une volonté de maintenir la structure patriarcale tout en permettant une certaine flexibilité face aux pressions externes. </w:t>
      </w:r>
    </w:p>
    <w:p w14:paraId="337678B0" w14:textId="77777777" w:rsidR="00BC6C8B" w:rsidRPr="00864152" w:rsidRDefault="00BC6C8B" w:rsidP="00BC6C8B">
      <w:pPr>
        <w:spacing w:after="381"/>
      </w:pPr>
      <w:r w:rsidRPr="00864152">
        <w:t xml:space="preserve"> </w:t>
      </w:r>
    </w:p>
    <w:p w14:paraId="6300D273" w14:textId="77777777" w:rsidR="00BC6C8B" w:rsidRDefault="00BC6C8B" w:rsidP="00BC6C8B">
      <w:pPr>
        <w:pStyle w:val="Titre3"/>
        <w:ind w:left="-5"/>
      </w:pPr>
      <w:r>
        <w:t xml:space="preserve">5.4. Impacts à Long Terme sur les Relations de Pouvoir </w:t>
      </w:r>
    </w:p>
    <w:p w14:paraId="31966FCD" w14:textId="77777777" w:rsidR="00BC6C8B" w:rsidRPr="00864152" w:rsidRDefault="00BC6C8B" w:rsidP="00BC6C8B">
      <w:pPr>
        <w:spacing w:after="267" w:line="376" w:lineRule="auto"/>
        <w:ind w:left="-5" w:right="89"/>
        <w:jc w:val="both"/>
      </w:pPr>
      <w:r w:rsidRPr="00864152">
        <w:t xml:space="preserve">Les changements induits par le dérèglement climatique et la migration ne sont pas seulement temporaires ; ils ont des implications à long terme pour les relations de pouvoir et les structures sociales en Mauritanie. </w:t>
      </w:r>
    </w:p>
    <w:p w14:paraId="734BE622" w14:textId="77777777" w:rsidR="00BC6C8B" w:rsidRPr="00864152" w:rsidRDefault="00BC6C8B" w:rsidP="00BC6C8B">
      <w:pPr>
        <w:numPr>
          <w:ilvl w:val="0"/>
          <w:numId w:val="513"/>
        </w:numPr>
        <w:spacing w:after="56" w:line="368" w:lineRule="auto"/>
        <w:ind w:right="13" w:hanging="361"/>
      </w:pPr>
      <w:r w:rsidRPr="00864152">
        <w:t xml:space="preserve">Évolution des identités de genre : À long terme, les transformations actuelles peuvent conduire à une évolution durable des identités de genre en Mauritanie. Les jeunes générations, témoins des rôles accrus des femmes en l'absence des hommes, peuvent développer une perception différente des normes de genre, ce qui pourrait affaiblir le patriarcat traditionnel. </w:t>
      </w:r>
    </w:p>
    <w:p w14:paraId="41C89E50" w14:textId="77777777" w:rsidR="00BC6C8B" w:rsidRPr="00864152" w:rsidRDefault="00BC6C8B" w:rsidP="00BC6C8B">
      <w:pPr>
        <w:numPr>
          <w:ilvl w:val="0"/>
          <w:numId w:val="513"/>
        </w:numPr>
        <w:spacing w:after="208" w:line="368" w:lineRule="auto"/>
        <w:ind w:right="13" w:hanging="361"/>
      </w:pPr>
      <w:r w:rsidRPr="00864152">
        <w:t xml:space="preserve">Changements dans la structure des communautés : La migration massive et la réorganisation des rôles de genre peuvent également entraîner des changements dans la structure des communautés. Avec des femmes plus autonomes et une nouvelle répartition des pouvoirs au sein des foyers, les communautés mauritaniennes pourraient voir émerger de nouvelles formes de leadership et d'organisation sociale. </w:t>
      </w:r>
    </w:p>
    <w:p w14:paraId="486E358F" w14:textId="77777777" w:rsidR="00BC6C8B" w:rsidRPr="00864152" w:rsidRDefault="00BC6C8B" w:rsidP="00BC6C8B">
      <w:pPr>
        <w:spacing w:after="384"/>
      </w:pPr>
      <w:r w:rsidRPr="00864152">
        <w:t xml:space="preserve"> </w:t>
      </w:r>
    </w:p>
    <w:p w14:paraId="47098843" w14:textId="77777777" w:rsidR="00BC6C8B" w:rsidRDefault="00BC6C8B" w:rsidP="00BC6C8B">
      <w:pPr>
        <w:pStyle w:val="Titre3"/>
        <w:ind w:left="-5"/>
      </w:pPr>
      <w:r>
        <w:t xml:space="preserve">5.5. Conclusion </w:t>
      </w:r>
    </w:p>
    <w:p w14:paraId="53BD5FF6" w14:textId="77777777" w:rsidR="00BC6C8B" w:rsidRPr="00864152" w:rsidRDefault="00BC6C8B" w:rsidP="00BC6C8B">
      <w:pPr>
        <w:spacing w:after="149" w:line="376" w:lineRule="auto"/>
        <w:ind w:left="-5" w:right="89"/>
        <w:jc w:val="both"/>
      </w:pPr>
      <w:r w:rsidRPr="00864152">
        <w:t xml:space="preserve">Les transformations sociales au sein des structures patriarcales en Mauritanie, sous l'effet du dérèglement climatique et de la migration, sont complexes et multiformes. Alors que les femmes gagnent en autonomie et que les rôles de genre évoluent, les structures patriarcales traditionnelles tentent de s'adapter ou de se réaffirmer. Ce processus de transformation est à la fois une opportunité de progrès social et un défi pour les normes établies, indiquant une société en pleine mutation où les équilibres de pouvoir sont constamment redéfinis. </w:t>
      </w:r>
    </w:p>
    <w:p w14:paraId="2317303E" w14:textId="77777777" w:rsidR="00BC6C8B" w:rsidRPr="00864152" w:rsidRDefault="00BC6C8B" w:rsidP="00BC6C8B">
      <w:pPr>
        <w:spacing w:after="334"/>
      </w:pPr>
      <w:r w:rsidRPr="00864152">
        <w:t xml:space="preserve"> </w:t>
      </w:r>
    </w:p>
    <w:p w14:paraId="4BA28620" w14:textId="77777777" w:rsidR="00BC6C8B" w:rsidRPr="00864152" w:rsidRDefault="00BC6C8B" w:rsidP="00BC6C8B">
      <w:pPr>
        <w:spacing w:after="387"/>
      </w:pPr>
      <w:r w:rsidRPr="00864152">
        <w:t xml:space="preserve"> </w:t>
      </w:r>
    </w:p>
    <w:p w14:paraId="35005E08" w14:textId="77777777" w:rsidR="00BC6C8B" w:rsidRPr="00864152" w:rsidRDefault="00BC6C8B" w:rsidP="00BC6C8B">
      <w:pPr>
        <w:spacing w:after="401" w:line="265" w:lineRule="auto"/>
        <w:ind w:left="-5"/>
      </w:pPr>
      <w:r w:rsidRPr="00864152">
        <w:rPr>
          <w:b/>
          <w:u w:val="single" w:color="000000"/>
        </w:rPr>
        <w:t>Conclusion Générale :</w:t>
      </w:r>
      <w:r w:rsidRPr="00864152">
        <w:rPr>
          <w:b/>
        </w:rPr>
        <w:t xml:space="preserve">  </w:t>
      </w:r>
    </w:p>
    <w:p w14:paraId="6A241BAA" w14:textId="77777777" w:rsidR="00BC6C8B" w:rsidRPr="00864152" w:rsidRDefault="00BC6C8B" w:rsidP="00BC6C8B">
      <w:pPr>
        <w:spacing w:after="191" w:line="378" w:lineRule="auto"/>
        <w:ind w:left="721" w:hanging="361"/>
      </w:pPr>
      <w:r>
        <w:rPr>
          <w:rFonts w:ascii="Segoe UI Symbol" w:eastAsia="Segoe UI Symbol" w:hAnsi="Segoe UI Symbol" w:cs="Segoe UI Symbol"/>
        </w:rPr>
        <w:t></w:t>
      </w:r>
      <w:r w:rsidRPr="00864152">
        <w:rPr>
          <w:rFonts w:ascii="Arial" w:eastAsia="Arial" w:hAnsi="Arial" w:cs="Arial"/>
        </w:rPr>
        <w:t xml:space="preserve"> </w:t>
      </w:r>
      <w:r w:rsidRPr="00864152">
        <w:rPr>
          <w:b/>
        </w:rPr>
        <w:t xml:space="preserve">Synthèse des Principales Conclusions sur l'Impact du Dérèglement Climatique et de la Migration sur les dynamiques patriarcales et les traditions religieuses en Mauritanie. </w:t>
      </w:r>
    </w:p>
    <w:p w14:paraId="064642E5" w14:textId="77777777" w:rsidR="00BC6C8B" w:rsidRPr="00864152" w:rsidRDefault="00BC6C8B" w:rsidP="00BC6C8B">
      <w:pPr>
        <w:ind w:left="-5" w:right="13"/>
      </w:pPr>
      <w:r w:rsidRPr="00864152">
        <w:t xml:space="preserve">L’étude de l’impact du dérèglement climatique et de la migration en Mauritanie révèle des transformations profondes et complexes au sein des structures sociales, patriarcales, et religieuses. Le dérèglement climatique, à travers la dégradation des terres, la désertification, et la variabilité accrue des précipitations, a fragilisé les moyens de subsistance traditionnels, forçant une réorganisation des rôles économiques et sociaux au sein des communautés. </w:t>
      </w:r>
    </w:p>
    <w:p w14:paraId="50810184" w14:textId="77777777" w:rsidR="00BC6C8B" w:rsidRPr="00864152" w:rsidRDefault="00BC6C8B" w:rsidP="00BC6C8B">
      <w:pPr>
        <w:ind w:left="-5" w:right="13"/>
      </w:pPr>
      <w:r w:rsidRPr="00864152">
        <w:t xml:space="preserve"> La migration, en particulier celle des hommes en quête de meilleures opportunités économiques, a entraîné une redistribution des responsabilités familiales et a renforcé l'autonomie des femmes, tout en remettant en question les normes patriarcales traditionnelles. </w:t>
      </w:r>
    </w:p>
    <w:p w14:paraId="0023F2E2" w14:textId="77777777" w:rsidR="00BC6C8B" w:rsidRPr="00864152" w:rsidRDefault="00BC6C8B" w:rsidP="00BC6C8B">
      <w:pPr>
        <w:ind w:left="-5" w:right="13"/>
      </w:pPr>
      <w:r w:rsidRPr="00864152">
        <w:t xml:space="preserve">Les changements observés ont conduit à une redéfinition des rôles de genre, où les femmes, souvent devenues chefs de famille, ont gagné en pouvoir de décision et en indépendance économique. Cependant, ces transformations ont également généré des tensions, notamment lors du retour des hommes migrants, confrontés à une nouvelle dynamique familiale et sociale. </w:t>
      </w:r>
    </w:p>
    <w:p w14:paraId="7E2977FA" w14:textId="77777777" w:rsidR="00BC6C8B" w:rsidRPr="00864152" w:rsidRDefault="00BC6C8B" w:rsidP="00BC6C8B">
      <w:pPr>
        <w:spacing w:after="238"/>
        <w:ind w:left="-5" w:right="13"/>
      </w:pPr>
      <w:r w:rsidRPr="00864152">
        <w:t xml:space="preserve">Les structures patriarcales en Mauritanie, bien que confrontées à ces pressions, n’ont pas disparu. Au contraire, elles se sont adaptées ou réaffirmées, cherchant à maintenir l’ordre social traditionnel tout en intégrant les nouvelles réalités. L’islam, qui joue un rôle central dans la structuration des normes sociales et des rôles de genre, a parfois été utilisé pour justifier le maintien des structures patriarcales, malgré les défis posés par le dérèglement climatique et la migration. </w:t>
      </w:r>
    </w:p>
    <w:p w14:paraId="17ECB4A6" w14:textId="77777777" w:rsidR="00BC6C8B" w:rsidRDefault="00BC6C8B" w:rsidP="00BC6C8B">
      <w:pPr>
        <w:pStyle w:val="Titre2"/>
        <w:spacing w:after="166" w:line="399" w:lineRule="auto"/>
        <w:ind w:left="721" w:hanging="361"/>
      </w:pPr>
      <w:r>
        <w:rPr>
          <w:rFonts w:ascii="Segoe UI Symbol" w:eastAsia="Segoe UI Symbol" w:hAnsi="Segoe UI Symbol" w:cs="Segoe UI Symbol"/>
        </w:rPr>
        <w:t></w:t>
      </w:r>
      <w:r>
        <w:rPr>
          <w:rFonts w:ascii="Arial" w:eastAsia="Arial" w:hAnsi="Arial" w:cs="Arial"/>
        </w:rPr>
        <w:t xml:space="preserve"> </w:t>
      </w:r>
      <w:r>
        <w:t xml:space="preserve">Perspectives d'Avenir : Potentiels Changements dans les Structures Sociales et Religieuses </w:t>
      </w:r>
    </w:p>
    <w:p w14:paraId="6EDB0BB5" w14:textId="77777777" w:rsidR="00BC6C8B" w:rsidRPr="00864152" w:rsidRDefault="00BC6C8B" w:rsidP="00BC6C8B">
      <w:pPr>
        <w:spacing w:after="200" w:line="376" w:lineRule="auto"/>
        <w:ind w:left="-5" w:right="245"/>
        <w:jc w:val="both"/>
      </w:pPr>
      <w:r w:rsidRPr="00864152">
        <w:t xml:space="preserve">À l'avenir, les transformations induites par le dérèglement climatique et la migration pourraient avoir des répercussions durables sur les structures sociales et religieuses en Mauritanie. La tendance à l’autonomisation des femmes, couplée à l’accès croissant à l’éducation et à la sensibilisation aux droits des femmes, pourrait progressivement affaiblir les structures patriarcales traditionnelles.  </w:t>
      </w:r>
    </w:p>
    <w:p w14:paraId="645D22ED" w14:textId="77777777" w:rsidR="00BC6C8B" w:rsidRPr="00864152" w:rsidRDefault="00BC6C8B" w:rsidP="00BC6C8B">
      <w:pPr>
        <w:ind w:left="-5" w:right="13"/>
      </w:pPr>
      <w:r w:rsidRPr="00864152">
        <w:t xml:space="preserve">Les jeunes générations, exposées à de nouvelles normes de genre et à des rôles de pouvoir différents, pourraient adopter des attitudes plus égalitaires, entraînant une évolution vers des relations de genre plus équilibrées. </w:t>
      </w:r>
    </w:p>
    <w:p w14:paraId="6411C7D2" w14:textId="77777777" w:rsidR="00BC6C8B" w:rsidRPr="00864152" w:rsidRDefault="00BC6C8B" w:rsidP="00BC6C8B">
      <w:pPr>
        <w:spacing w:after="200" w:line="376" w:lineRule="auto"/>
        <w:ind w:left="-5" w:right="89"/>
        <w:jc w:val="both"/>
      </w:pPr>
      <w:r w:rsidRPr="00864152">
        <w:t xml:space="preserve">Cependant, cette évolution ne se fera pas sans résistances. Les forces conservatrices, ancrées dans les traditions religieuses et culturelles, chercheront probablement à réaffirmer l’ordre patriarcal, en particulier dans les zones rurales où les changements sont moins prononcés.  </w:t>
      </w:r>
    </w:p>
    <w:p w14:paraId="192BA872" w14:textId="77777777" w:rsidR="00BC6C8B" w:rsidRPr="00864152" w:rsidRDefault="00BC6C8B" w:rsidP="00BC6C8B">
      <w:pPr>
        <w:ind w:left="-5" w:right="13"/>
      </w:pPr>
      <w:r w:rsidRPr="00864152">
        <w:t xml:space="preserve">L’avenir des structures sociales en Mauritanie dépendra en grande partie de la manière dont les communautés parviendront à équilibrer tradition et modernité, tout en répondant aux défis posés par le climat et la migration. </w:t>
      </w:r>
    </w:p>
    <w:p w14:paraId="3AE9D922" w14:textId="77777777" w:rsidR="00BC6C8B" w:rsidRPr="00864152" w:rsidRDefault="00BC6C8B" w:rsidP="00BC6C8B">
      <w:pPr>
        <w:spacing w:after="338"/>
      </w:pPr>
      <w:r w:rsidRPr="00864152">
        <w:t xml:space="preserve"> </w:t>
      </w:r>
    </w:p>
    <w:p w14:paraId="383BBE46" w14:textId="77777777" w:rsidR="00BC6C8B" w:rsidRPr="00864152" w:rsidRDefault="00BC6C8B" w:rsidP="00BC6C8B">
      <w:pPr>
        <w:spacing w:after="338"/>
      </w:pPr>
      <w:r w:rsidRPr="00864152">
        <w:rPr>
          <w:b/>
        </w:rPr>
        <w:t xml:space="preserve"> </w:t>
      </w:r>
    </w:p>
    <w:p w14:paraId="66FF63DC" w14:textId="77777777" w:rsidR="00BC6C8B" w:rsidRPr="00864152" w:rsidRDefault="00BC6C8B" w:rsidP="00BC6C8B">
      <w:pPr>
        <w:spacing w:after="333"/>
      </w:pPr>
      <w:r w:rsidRPr="00864152">
        <w:rPr>
          <w:b/>
        </w:rPr>
        <w:t xml:space="preserve"> </w:t>
      </w:r>
    </w:p>
    <w:p w14:paraId="6EA6E65B" w14:textId="77777777" w:rsidR="00BC6C8B" w:rsidRPr="00864152" w:rsidRDefault="00BC6C8B" w:rsidP="00BC6C8B">
      <w:pPr>
        <w:spacing w:after="333"/>
      </w:pPr>
      <w:r w:rsidRPr="00864152">
        <w:rPr>
          <w:b/>
        </w:rPr>
        <w:t xml:space="preserve"> </w:t>
      </w:r>
    </w:p>
    <w:p w14:paraId="13E01F6E" w14:textId="77777777" w:rsidR="00BC6C8B" w:rsidRPr="00864152" w:rsidRDefault="00BC6C8B" w:rsidP="00BC6C8B">
      <w:pPr>
        <w:spacing w:after="334"/>
      </w:pPr>
      <w:r w:rsidRPr="00864152">
        <w:rPr>
          <w:b/>
        </w:rPr>
        <w:t xml:space="preserve"> </w:t>
      </w:r>
    </w:p>
    <w:p w14:paraId="182287DE" w14:textId="77777777" w:rsidR="00BC6C8B" w:rsidRPr="00864152" w:rsidRDefault="00BC6C8B" w:rsidP="00BC6C8B">
      <w:pPr>
        <w:spacing w:after="0"/>
      </w:pPr>
      <w:r w:rsidRPr="00864152">
        <w:rPr>
          <w:b/>
        </w:rPr>
        <w:t xml:space="preserve"> </w:t>
      </w:r>
    </w:p>
    <w:p w14:paraId="7FC31F5E" w14:textId="77777777" w:rsidR="00BC6C8B" w:rsidRDefault="00BC6C8B" w:rsidP="00BC6C8B">
      <w:pPr>
        <w:pStyle w:val="Titre2"/>
        <w:spacing w:after="382"/>
        <w:ind w:left="-5"/>
      </w:pPr>
      <w:r>
        <w:t xml:space="preserve">Annexes et Bibliographie </w:t>
      </w:r>
    </w:p>
    <w:p w14:paraId="7B97638A" w14:textId="77777777" w:rsidR="00BC6C8B" w:rsidRPr="00864152" w:rsidRDefault="00BC6C8B" w:rsidP="00BC6C8B">
      <w:pPr>
        <w:spacing w:after="326" w:line="264" w:lineRule="auto"/>
        <w:ind w:left="-5"/>
      </w:pPr>
      <w:r w:rsidRPr="00864152">
        <w:rPr>
          <w:b/>
        </w:rPr>
        <w:t xml:space="preserve">Annexes : </w:t>
      </w:r>
    </w:p>
    <w:p w14:paraId="79D291DA" w14:textId="77777777" w:rsidR="00BC6C8B" w:rsidRPr="00864152" w:rsidRDefault="00BC6C8B" w:rsidP="00BC6C8B">
      <w:pPr>
        <w:spacing w:after="334"/>
      </w:pPr>
      <w:r w:rsidRPr="00864152">
        <w:rPr>
          <w:b/>
        </w:rPr>
        <w:t xml:space="preserve"> </w:t>
      </w:r>
    </w:p>
    <w:p w14:paraId="1E32479E" w14:textId="77777777" w:rsidR="00BC6C8B" w:rsidRPr="00864152" w:rsidRDefault="00BC6C8B" w:rsidP="00BC6C8B">
      <w:pPr>
        <w:spacing w:after="376"/>
      </w:pPr>
      <w:r w:rsidRPr="00864152">
        <w:rPr>
          <w:b/>
        </w:rPr>
        <w:t xml:space="preserve"> </w:t>
      </w:r>
    </w:p>
    <w:p w14:paraId="09F22FC6" w14:textId="77777777" w:rsidR="00BC6C8B" w:rsidRPr="00864152" w:rsidRDefault="00BC6C8B" w:rsidP="00BC6C8B">
      <w:pPr>
        <w:spacing w:after="334"/>
        <w:ind w:left="-5" w:right="13"/>
      </w:pPr>
      <w:r w:rsidRPr="00864152">
        <w:rPr>
          <w:b/>
        </w:rPr>
        <w:t xml:space="preserve">Étude de cas 1 : </w:t>
      </w:r>
      <w:r w:rsidRPr="00864152">
        <w:t xml:space="preserve">Région de l'Adrar - Impact de la sécheresse sur les rôles de genre.  </w:t>
      </w:r>
    </w:p>
    <w:p w14:paraId="2B1F7B53" w14:textId="77777777" w:rsidR="00BC6C8B" w:rsidRPr="00864152" w:rsidRDefault="00BC6C8B" w:rsidP="00BC6C8B">
      <w:pPr>
        <w:ind w:left="-5" w:right="13"/>
      </w:pPr>
      <w:r w:rsidRPr="00864152">
        <w:t xml:space="preserve">Description : Cette étude de cas examine comment la sécheresse prolongée dans la région de l'Adrar a conduit à une redéfinition des rôles économiques, avec les femmes prenant la tête des activités agricoles. </w:t>
      </w:r>
    </w:p>
    <w:p w14:paraId="71CAE210" w14:textId="77777777" w:rsidR="00BC6C8B" w:rsidRPr="00864152" w:rsidRDefault="00BC6C8B" w:rsidP="00BC6C8B">
      <w:pPr>
        <w:spacing w:after="200" w:line="376" w:lineRule="auto"/>
        <w:ind w:left="-5" w:right="311"/>
        <w:jc w:val="both"/>
      </w:pPr>
      <w:r w:rsidRPr="00864152">
        <w:rPr>
          <w:b/>
        </w:rPr>
        <w:t xml:space="preserve">Étude de cas 2 : </w:t>
      </w:r>
      <w:r w:rsidRPr="00864152">
        <w:t xml:space="preserve">Témoignages de femmes chefs de famille après la migration masculine. Description : Recueil de témoignages de femmes de la région de Trarza qui sont devenues chefs de famille après la migration de leurs maris vers les centres urbains. </w:t>
      </w:r>
    </w:p>
    <w:p w14:paraId="0F4F6186" w14:textId="77777777" w:rsidR="00BC6C8B" w:rsidRPr="00864152" w:rsidRDefault="00BC6C8B" w:rsidP="00BC6C8B">
      <w:pPr>
        <w:ind w:left="-5" w:right="13"/>
      </w:pPr>
      <w:r w:rsidRPr="00864152">
        <w:t xml:space="preserve">Rapports sur les initiatives de microfinance soutenant l'autonomisation des femmes en Mauritanie. Description : Analyse des projets de microfinance visant à soutenir les initiatives féminines dans les régions affectées par le changement climatique.  </w:t>
      </w:r>
    </w:p>
    <w:p w14:paraId="735CFFC2" w14:textId="77777777" w:rsidR="00BC6C8B" w:rsidRPr="00864152" w:rsidRDefault="00BC6C8B" w:rsidP="00BC6C8B">
      <w:pPr>
        <w:spacing w:after="406"/>
      </w:pPr>
      <w:r w:rsidRPr="00864152">
        <w:t xml:space="preserve"> </w:t>
      </w:r>
    </w:p>
    <w:p w14:paraId="51CCAA84" w14:textId="77777777" w:rsidR="00BC6C8B" w:rsidRPr="00864152" w:rsidRDefault="00BC6C8B" w:rsidP="00BC6C8B">
      <w:pPr>
        <w:spacing w:after="105" w:line="264" w:lineRule="auto"/>
        <w:ind w:left="370"/>
      </w:pPr>
      <w:r>
        <w:rPr>
          <w:rFonts w:ascii="Segoe UI Symbol" w:eastAsia="Segoe UI Symbol" w:hAnsi="Segoe UI Symbol" w:cs="Segoe UI Symbol"/>
        </w:rPr>
        <w:t></w:t>
      </w:r>
      <w:r w:rsidRPr="00864152">
        <w:rPr>
          <w:rFonts w:ascii="Arial" w:eastAsia="Arial" w:hAnsi="Arial" w:cs="Arial"/>
        </w:rPr>
        <w:t xml:space="preserve"> </w:t>
      </w:r>
      <w:r w:rsidRPr="00864152">
        <w:rPr>
          <w:b/>
        </w:rPr>
        <w:t xml:space="preserve">Livres : </w:t>
      </w:r>
    </w:p>
    <w:p w14:paraId="33B6594E" w14:textId="77777777" w:rsidR="00BC6C8B" w:rsidRPr="00864152" w:rsidRDefault="00BC6C8B" w:rsidP="00BC6C8B">
      <w:pPr>
        <w:ind w:left="1091" w:right="13"/>
      </w:pPr>
      <w:proofErr w:type="gramStart"/>
      <w:r w:rsidRPr="00864152">
        <w:rPr>
          <w:rFonts w:ascii="Courier New" w:eastAsia="Courier New" w:hAnsi="Courier New" w:cs="Courier New"/>
        </w:rPr>
        <w:t>o</w:t>
      </w:r>
      <w:proofErr w:type="gramEnd"/>
      <w:r w:rsidRPr="00864152">
        <w:rPr>
          <w:rFonts w:ascii="Arial" w:eastAsia="Arial" w:hAnsi="Arial" w:cs="Arial"/>
        </w:rPr>
        <w:t xml:space="preserve"> </w:t>
      </w:r>
      <w:r w:rsidRPr="00864152">
        <w:t xml:space="preserve">Diop, M. (2018). Genre et société en Mauritanie. Dakar : Presses Universitaires de Dakar. </w:t>
      </w:r>
      <w:proofErr w:type="gramStart"/>
      <w:r w:rsidRPr="00864152">
        <w:rPr>
          <w:rFonts w:ascii="Courier New" w:eastAsia="Courier New" w:hAnsi="Courier New" w:cs="Courier New"/>
        </w:rPr>
        <w:t>o</w:t>
      </w:r>
      <w:proofErr w:type="gramEnd"/>
      <w:r w:rsidRPr="00864152">
        <w:rPr>
          <w:rFonts w:ascii="Arial" w:eastAsia="Arial" w:hAnsi="Arial" w:cs="Arial"/>
        </w:rPr>
        <w:t xml:space="preserve"> </w:t>
      </w:r>
      <w:r w:rsidRPr="00864152">
        <w:t xml:space="preserve">Ould Abdel Kader, H. (2020). Climat et migration en Afrique de l'Ouest. Paris : </w:t>
      </w:r>
      <w:proofErr w:type="spellStart"/>
      <w:r w:rsidRPr="00864152">
        <w:t>L'Harmattan</w:t>
      </w:r>
      <w:proofErr w:type="spellEnd"/>
      <w:r w:rsidRPr="00864152">
        <w:t xml:space="preserve">. </w:t>
      </w:r>
    </w:p>
    <w:p w14:paraId="758CC685" w14:textId="77777777" w:rsidR="00BC6C8B" w:rsidRPr="00864152" w:rsidRDefault="00BC6C8B" w:rsidP="00BC6C8B">
      <w:pPr>
        <w:spacing w:after="405"/>
      </w:pPr>
      <w:r w:rsidRPr="00864152">
        <w:rPr>
          <w:b/>
        </w:rPr>
        <w:t xml:space="preserve"> </w:t>
      </w:r>
    </w:p>
    <w:p w14:paraId="34A8DD92" w14:textId="77777777" w:rsidR="00BC6C8B" w:rsidRDefault="00BC6C8B" w:rsidP="00BC6C8B">
      <w:pPr>
        <w:pStyle w:val="Titre2"/>
        <w:spacing w:after="111"/>
        <w:ind w:left="370"/>
      </w:pPr>
      <w:r>
        <w:rPr>
          <w:rFonts w:ascii="Segoe UI Symbol" w:eastAsia="Segoe UI Symbol" w:hAnsi="Segoe UI Symbol" w:cs="Segoe UI Symbol"/>
        </w:rPr>
        <w:t></w:t>
      </w:r>
      <w:r>
        <w:rPr>
          <w:rFonts w:ascii="Arial" w:eastAsia="Arial" w:hAnsi="Arial" w:cs="Arial"/>
        </w:rPr>
        <w:t xml:space="preserve"> </w:t>
      </w:r>
      <w:r>
        <w:t xml:space="preserve">Articles académiques et Rapports  </w:t>
      </w:r>
    </w:p>
    <w:p w14:paraId="4D48EA41" w14:textId="77777777" w:rsidR="00BC6C8B" w:rsidRPr="00864152" w:rsidRDefault="00BC6C8B" w:rsidP="00BC6C8B">
      <w:pPr>
        <w:spacing w:after="200" w:line="376" w:lineRule="auto"/>
        <w:ind w:left="721" w:right="89" w:hanging="361"/>
        <w:jc w:val="both"/>
      </w:pPr>
      <w:proofErr w:type="gramStart"/>
      <w:r w:rsidRPr="00275D3E">
        <w:rPr>
          <w:rFonts w:ascii="Courier New" w:eastAsia="Courier New" w:hAnsi="Courier New" w:cs="Courier New"/>
        </w:rPr>
        <w:t>o</w:t>
      </w:r>
      <w:proofErr w:type="gramEnd"/>
      <w:r w:rsidRPr="00275D3E">
        <w:rPr>
          <w:rFonts w:ascii="Arial" w:eastAsia="Arial" w:hAnsi="Arial" w:cs="Arial"/>
        </w:rPr>
        <w:t xml:space="preserve"> </w:t>
      </w:r>
      <w:r w:rsidRPr="00275D3E">
        <w:t xml:space="preserve">Benjamin Sen, T. A., </w:t>
      </w:r>
      <w:proofErr w:type="spellStart"/>
      <w:r w:rsidRPr="00275D3E">
        <w:t>Alinon</w:t>
      </w:r>
      <w:proofErr w:type="spellEnd"/>
      <w:r w:rsidRPr="00275D3E">
        <w:t xml:space="preserve">, K., </w:t>
      </w:r>
      <w:proofErr w:type="spellStart"/>
      <w:r w:rsidRPr="00275D3E">
        <w:t>Buhaug</w:t>
      </w:r>
      <w:proofErr w:type="spellEnd"/>
      <w:r w:rsidRPr="00275D3E">
        <w:t xml:space="preserve">, H., &amp; </w:t>
      </w:r>
      <w:proofErr w:type="spellStart"/>
      <w:r w:rsidRPr="00275D3E">
        <w:t>Buseth</w:t>
      </w:r>
      <w:proofErr w:type="spellEnd"/>
      <w:r w:rsidRPr="00275D3E">
        <w:t xml:space="preserve">, J. T. (2012). </w:t>
      </w:r>
      <w:r w:rsidRPr="000277BA">
        <w:rPr>
          <w:lang w:val="en-US"/>
        </w:rPr>
        <w:t xml:space="preserve">Does Climate Change Drive Land-Use </w:t>
      </w:r>
      <w:proofErr w:type="spellStart"/>
      <w:r w:rsidRPr="000277BA">
        <w:rPr>
          <w:lang w:val="en-US"/>
        </w:rPr>
        <w:t>Conflits</w:t>
      </w:r>
      <w:proofErr w:type="spellEnd"/>
      <w:r w:rsidRPr="000277BA">
        <w:rPr>
          <w:lang w:val="en-US"/>
        </w:rPr>
        <w:t xml:space="preserve"> in the Sahel? </w:t>
      </w:r>
      <w:r w:rsidRPr="00864152">
        <w:t xml:space="preserve">Journal of </w:t>
      </w:r>
      <w:proofErr w:type="spellStart"/>
      <w:r w:rsidRPr="00864152">
        <w:t>Peace</w:t>
      </w:r>
      <w:proofErr w:type="spellEnd"/>
      <w:r w:rsidRPr="00864152">
        <w:t xml:space="preserve"> </w:t>
      </w:r>
      <w:proofErr w:type="spellStart"/>
      <w:r w:rsidRPr="00864152">
        <w:t>Research</w:t>
      </w:r>
      <w:proofErr w:type="spellEnd"/>
      <w:r w:rsidRPr="00864152">
        <w:t xml:space="preserve">, 49(1), 97111. </w:t>
      </w:r>
    </w:p>
    <w:p w14:paraId="014F8CA5" w14:textId="77777777" w:rsidR="00BC6C8B" w:rsidRPr="00864152" w:rsidRDefault="00BC6C8B" w:rsidP="00BC6C8B">
      <w:pPr>
        <w:spacing w:after="36"/>
        <w:ind w:left="360" w:right="412" w:firstLine="361"/>
      </w:pPr>
      <w:r w:rsidRPr="00864152">
        <w:t xml:space="preserve">Cet article discute des conflits liés à l'utilisation des terres, exacerbés par les changements climatiques, et leur impact sur les structures sociales, y compris les rôles de genre. </w:t>
      </w:r>
      <w:proofErr w:type="gramStart"/>
      <w:r w:rsidRPr="00864152">
        <w:rPr>
          <w:rFonts w:ascii="Courier New" w:eastAsia="Courier New" w:hAnsi="Courier New" w:cs="Courier New"/>
        </w:rPr>
        <w:t>o</w:t>
      </w:r>
      <w:proofErr w:type="gramEnd"/>
      <w:r w:rsidRPr="00864152">
        <w:rPr>
          <w:rFonts w:ascii="Arial" w:eastAsia="Arial" w:hAnsi="Arial" w:cs="Arial"/>
        </w:rPr>
        <w:t xml:space="preserve"> </w:t>
      </w:r>
      <w:r w:rsidRPr="00864152">
        <w:t xml:space="preserve">Bousquet, F., &amp; Baudot, P. (2006). Changement climatique, vulnérabilités et migrations en Afrique de l’Ouest : Études des cas au Sénégal, Mali et Mauritanie. </w:t>
      </w:r>
    </w:p>
    <w:p w14:paraId="63D33EED" w14:textId="77777777" w:rsidR="00BC6C8B" w:rsidRPr="00864152" w:rsidRDefault="00BC6C8B" w:rsidP="00BC6C8B">
      <w:pPr>
        <w:spacing w:after="112"/>
        <w:ind w:left="731" w:right="13"/>
      </w:pPr>
      <w:r w:rsidRPr="00864152">
        <w:t xml:space="preserve">Cahiers de la Revue Tiers Monde, 187, 73-90. </w:t>
      </w:r>
    </w:p>
    <w:p w14:paraId="3A21F1A7" w14:textId="77777777" w:rsidR="00BC6C8B" w:rsidRPr="00864152" w:rsidRDefault="00BC6C8B" w:rsidP="00BC6C8B">
      <w:pPr>
        <w:spacing w:after="9" w:line="376" w:lineRule="auto"/>
        <w:ind w:left="360" w:right="89" w:firstLine="361"/>
        <w:jc w:val="both"/>
      </w:pPr>
      <w:r w:rsidRPr="00864152">
        <w:t xml:space="preserve">Les auteurs analysent comment les migrations causées par le changement climatique affectent les rapports de genre et les pratiques religieuses dans les sociétés </w:t>
      </w:r>
      <w:proofErr w:type="spellStart"/>
      <w:r w:rsidRPr="00864152">
        <w:t>ouestafricaines</w:t>
      </w:r>
      <w:proofErr w:type="spellEnd"/>
      <w:r w:rsidRPr="00864152">
        <w:t xml:space="preserve">. </w:t>
      </w:r>
      <w:proofErr w:type="gramStart"/>
      <w:r w:rsidRPr="00864152">
        <w:rPr>
          <w:rFonts w:ascii="Courier New" w:eastAsia="Courier New" w:hAnsi="Courier New" w:cs="Courier New"/>
        </w:rPr>
        <w:t>o</w:t>
      </w:r>
      <w:proofErr w:type="gramEnd"/>
      <w:r w:rsidRPr="00864152">
        <w:rPr>
          <w:rFonts w:ascii="Arial" w:eastAsia="Arial" w:hAnsi="Arial" w:cs="Arial"/>
        </w:rPr>
        <w:t xml:space="preserve"> </w:t>
      </w:r>
      <w:r w:rsidRPr="00864152">
        <w:t xml:space="preserve">Nyong, A., </w:t>
      </w:r>
      <w:proofErr w:type="spellStart"/>
      <w:r w:rsidRPr="00864152">
        <w:t>Adesina</w:t>
      </w:r>
      <w:proofErr w:type="spellEnd"/>
      <w:r w:rsidRPr="00864152">
        <w:t xml:space="preserve">, F., &amp; Osman </w:t>
      </w:r>
      <w:proofErr w:type="spellStart"/>
      <w:r w:rsidRPr="00864152">
        <w:t>Elasha</w:t>
      </w:r>
      <w:proofErr w:type="spellEnd"/>
      <w:r w:rsidRPr="00864152">
        <w:t xml:space="preserve">, B. (2007). </w:t>
      </w:r>
      <w:r w:rsidRPr="000277BA">
        <w:rPr>
          <w:lang w:val="en-US"/>
        </w:rPr>
        <w:t xml:space="preserve">The Value of Indigenous Knowledge in Climate Change Mitigation and Adaptation Strategies in the African Sahel. </w:t>
      </w:r>
      <w:r w:rsidRPr="00864152">
        <w:t xml:space="preserve">Mitigation and Adaptation </w:t>
      </w:r>
      <w:proofErr w:type="spellStart"/>
      <w:r w:rsidRPr="00864152">
        <w:t>Strategies</w:t>
      </w:r>
      <w:proofErr w:type="spellEnd"/>
      <w:r w:rsidRPr="00864152">
        <w:t xml:space="preserve"> for Global Change, 12(5), 787-797. Cet article examine l'importance des savoirs locaux, souvent influencés par les traditions religieuses et les normes de genre, dans les stratégies d'adaptation au changement climatique. </w:t>
      </w:r>
      <w:proofErr w:type="gramStart"/>
      <w:r w:rsidRPr="00864152">
        <w:rPr>
          <w:rFonts w:ascii="Courier New" w:eastAsia="Courier New" w:hAnsi="Courier New" w:cs="Courier New"/>
        </w:rPr>
        <w:t>o</w:t>
      </w:r>
      <w:proofErr w:type="gramEnd"/>
      <w:r w:rsidRPr="00864152">
        <w:rPr>
          <w:rFonts w:ascii="Arial" w:eastAsia="Arial" w:hAnsi="Arial" w:cs="Arial"/>
        </w:rPr>
        <w:t xml:space="preserve"> </w:t>
      </w:r>
      <w:proofErr w:type="spellStart"/>
      <w:r w:rsidRPr="00864152">
        <w:t>Bollig</w:t>
      </w:r>
      <w:proofErr w:type="spellEnd"/>
      <w:r w:rsidRPr="00864152">
        <w:t xml:space="preserve">, M. (2010). </w:t>
      </w:r>
      <w:r w:rsidRPr="000277BA">
        <w:rPr>
          <w:lang w:val="en-US"/>
        </w:rPr>
        <w:t xml:space="preserve">Risk Management in a Hazardous Environment: A Comparative Study of Two Pastoral Societies. </w:t>
      </w:r>
      <w:r w:rsidRPr="00864152">
        <w:t xml:space="preserve">New York : Springer. </w:t>
      </w:r>
    </w:p>
    <w:p w14:paraId="434053A8" w14:textId="77777777" w:rsidR="00BC6C8B" w:rsidRPr="00864152" w:rsidRDefault="00BC6C8B" w:rsidP="00BC6C8B">
      <w:pPr>
        <w:spacing w:after="28" w:line="376" w:lineRule="auto"/>
        <w:ind w:left="731" w:right="295"/>
        <w:jc w:val="both"/>
      </w:pPr>
      <w:r w:rsidRPr="00864152">
        <w:t xml:space="preserve">Une étude comparative qui discute des structures patriarcales et de la manière dont les changements environnementaux influencent les décisions migratoires dans les sociétés pastorales africaines. </w:t>
      </w:r>
    </w:p>
    <w:p w14:paraId="15D63285" w14:textId="77777777" w:rsidR="00BC6C8B" w:rsidRDefault="00BC6C8B" w:rsidP="00BC6C8B">
      <w:pPr>
        <w:numPr>
          <w:ilvl w:val="0"/>
          <w:numId w:val="514"/>
        </w:numPr>
        <w:spacing w:after="28" w:line="376" w:lineRule="auto"/>
        <w:ind w:right="89" w:hanging="361"/>
      </w:pPr>
      <w:r w:rsidRPr="00864152">
        <w:t xml:space="preserve">Ahmed, S. (2019). "Les impacts du changement climatique sur les structures familiales en Mauritanie".  </w:t>
      </w:r>
      <w:proofErr w:type="gramStart"/>
      <w:r w:rsidRPr="00864152">
        <w:rPr>
          <w:rFonts w:ascii="Courier New" w:eastAsia="Courier New" w:hAnsi="Courier New" w:cs="Courier New"/>
        </w:rPr>
        <w:t>o</w:t>
      </w:r>
      <w:proofErr w:type="gramEnd"/>
      <w:r w:rsidRPr="00864152">
        <w:rPr>
          <w:rFonts w:ascii="Arial" w:eastAsia="Arial" w:hAnsi="Arial" w:cs="Arial"/>
        </w:rPr>
        <w:t xml:space="preserve"> </w:t>
      </w:r>
      <w:r w:rsidRPr="00864152">
        <w:t xml:space="preserve">Revue des Études Africaines, 54(3), 34-56. Sow, A. (2021). "L’autonomisation des femmes rurales face à la migration en Mauritanie". </w:t>
      </w:r>
      <w:r>
        <w:t xml:space="preserve">Journal of </w:t>
      </w:r>
      <w:proofErr w:type="spellStart"/>
      <w:r>
        <w:t>African</w:t>
      </w:r>
      <w:proofErr w:type="spellEnd"/>
      <w:r>
        <w:t xml:space="preserve"> </w:t>
      </w:r>
      <w:proofErr w:type="spellStart"/>
      <w:r>
        <w:t>Studies</w:t>
      </w:r>
      <w:proofErr w:type="spellEnd"/>
      <w:r>
        <w:t xml:space="preserve">, 29(4), 102-118. </w:t>
      </w:r>
    </w:p>
    <w:p w14:paraId="555CCDAA" w14:textId="77777777" w:rsidR="00BC6C8B" w:rsidRPr="00864152" w:rsidRDefault="00BC6C8B" w:rsidP="00BC6C8B">
      <w:pPr>
        <w:numPr>
          <w:ilvl w:val="0"/>
          <w:numId w:val="514"/>
        </w:numPr>
        <w:spacing w:after="29" w:line="376" w:lineRule="auto"/>
        <w:ind w:right="89" w:hanging="361"/>
      </w:pPr>
      <w:r w:rsidRPr="00864152">
        <w:t xml:space="preserve">Noor Al Hussein « Islam, foi et changement climatique » (septembre 2015). </w:t>
      </w:r>
      <w:proofErr w:type="gramStart"/>
      <w:r w:rsidRPr="00864152">
        <w:rPr>
          <w:rFonts w:ascii="Courier New" w:eastAsia="Courier New" w:hAnsi="Courier New" w:cs="Courier New"/>
        </w:rPr>
        <w:t>o</w:t>
      </w:r>
      <w:proofErr w:type="gramEnd"/>
      <w:r w:rsidRPr="00864152">
        <w:rPr>
          <w:rFonts w:ascii="Arial" w:eastAsia="Arial" w:hAnsi="Arial" w:cs="Arial"/>
        </w:rPr>
        <w:t xml:space="preserve"> </w:t>
      </w:r>
      <w:r w:rsidRPr="00864152">
        <w:t xml:space="preserve">Rapport de la quatrième communication nationale sur le changement climatique (juillet 2019), Ministère de l’environnement et du développement durable (Cellule de Coordination du Programme National Changement Climatique). </w:t>
      </w:r>
    </w:p>
    <w:p w14:paraId="644AD92F" w14:textId="77777777" w:rsidR="00BC6C8B" w:rsidRPr="00864152" w:rsidRDefault="00BC6C8B" w:rsidP="00BC6C8B">
      <w:pPr>
        <w:numPr>
          <w:ilvl w:val="0"/>
          <w:numId w:val="514"/>
        </w:numPr>
        <w:spacing w:after="46" w:line="368" w:lineRule="auto"/>
        <w:ind w:right="89" w:hanging="361"/>
      </w:pPr>
      <w:r w:rsidRPr="00864152">
        <w:t xml:space="preserve">Oxfam Mauritanie (2022). Rapport sur l'impact du changement climatique sur les moyens de subsistance en Mauritanie.  </w:t>
      </w:r>
    </w:p>
    <w:p w14:paraId="267AC587" w14:textId="77777777" w:rsidR="00BC6C8B" w:rsidRDefault="00BC6C8B" w:rsidP="00BC6C8B">
      <w:pPr>
        <w:numPr>
          <w:ilvl w:val="0"/>
          <w:numId w:val="514"/>
        </w:numPr>
        <w:spacing w:after="0" w:line="418" w:lineRule="auto"/>
        <w:ind w:right="89" w:hanging="361"/>
      </w:pPr>
      <w:r w:rsidRPr="00864152">
        <w:t xml:space="preserve">Nouakchott : </w:t>
      </w:r>
      <w:proofErr w:type="spellStart"/>
      <w:r w:rsidRPr="00864152">
        <w:t>Oxfam.UNDP</w:t>
      </w:r>
      <w:proofErr w:type="spellEnd"/>
      <w:r w:rsidRPr="00864152">
        <w:t xml:space="preserve"> Mauritanie (2023). L’autonomisation des femmes dans les zones rurales face aux défis climatiques. </w:t>
      </w:r>
      <w:r>
        <w:t xml:space="preserve">New York : UNDP </w:t>
      </w:r>
    </w:p>
    <w:p w14:paraId="4EF8A3A2" w14:textId="77777777" w:rsidR="00BC6C8B" w:rsidRDefault="00BC6C8B" w:rsidP="00BC6C8B">
      <w:pPr>
        <w:spacing w:after="112"/>
        <w:ind w:left="721"/>
      </w:pPr>
      <w:r>
        <w:t xml:space="preserve"> </w:t>
      </w:r>
    </w:p>
    <w:p w14:paraId="33AA64A7" w14:textId="77777777" w:rsidR="00BC6C8B" w:rsidRDefault="00BC6C8B" w:rsidP="00BC6C8B">
      <w:pPr>
        <w:spacing w:after="188"/>
        <w:ind w:left="721"/>
      </w:pPr>
      <w:r>
        <w:t xml:space="preserve"> </w:t>
      </w:r>
    </w:p>
    <w:p w14:paraId="2AE43C9A" w14:textId="77777777" w:rsidR="00BC6C8B" w:rsidRPr="00864152" w:rsidRDefault="00BC6C8B" w:rsidP="00BC6C8B">
      <w:pPr>
        <w:spacing w:after="33"/>
        <w:ind w:left="1081" w:right="156" w:hanging="721"/>
      </w:pPr>
      <w:r>
        <w:rPr>
          <w:rFonts w:ascii="Segoe UI Symbol" w:eastAsia="Segoe UI Symbol" w:hAnsi="Segoe UI Symbol" w:cs="Segoe UI Symbol"/>
        </w:rPr>
        <w:t></w:t>
      </w:r>
      <w:r w:rsidRPr="00864152">
        <w:rPr>
          <w:rFonts w:ascii="Arial" w:eastAsia="Arial" w:hAnsi="Arial" w:cs="Arial"/>
        </w:rPr>
        <w:t xml:space="preserve"> </w:t>
      </w:r>
      <w:r w:rsidRPr="00864152">
        <w:rPr>
          <w:b/>
        </w:rPr>
        <w:t xml:space="preserve">Thèses et mémoires </w:t>
      </w:r>
      <w:r w:rsidRPr="00864152">
        <w:rPr>
          <w:rFonts w:ascii="Courier New" w:eastAsia="Courier New" w:hAnsi="Courier New" w:cs="Courier New"/>
        </w:rPr>
        <w:t>o</w:t>
      </w:r>
      <w:r w:rsidRPr="00864152">
        <w:rPr>
          <w:rFonts w:ascii="Arial" w:eastAsia="Arial" w:hAnsi="Arial" w:cs="Arial"/>
        </w:rPr>
        <w:t xml:space="preserve"> </w:t>
      </w:r>
      <w:r w:rsidRPr="00864152">
        <w:t xml:space="preserve">Diallo, A. (2019). L’impact du changement climatique sur les déplacements de population en Mauritanie. Mémoire de Master, Université de Nouakchott. Cette étude aborde les migrations internes causées par le changement climatique et l’impact sur les structures sociales et les rôles de genre. </w:t>
      </w:r>
    </w:p>
    <w:p w14:paraId="10F5A2EF" w14:textId="77777777" w:rsidR="00BC6C8B" w:rsidRPr="00864152" w:rsidRDefault="00BC6C8B" w:rsidP="00BC6C8B">
      <w:pPr>
        <w:numPr>
          <w:ilvl w:val="0"/>
          <w:numId w:val="514"/>
        </w:numPr>
        <w:spacing w:after="14" w:line="368" w:lineRule="auto"/>
        <w:ind w:right="89" w:hanging="361"/>
      </w:pPr>
      <w:r w:rsidRPr="000277BA">
        <w:rPr>
          <w:lang w:val="en-US"/>
        </w:rPr>
        <w:t xml:space="preserve">Ahmed, B. (2020). Rural Exodus and Climate Variability in Mauritania: A Case Study of Nouakchott. </w:t>
      </w:r>
      <w:proofErr w:type="spellStart"/>
      <w:r w:rsidRPr="00864152">
        <w:t>Ph.D</w:t>
      </w:r>
      <w:proofErr w:type="spellEnd"/>
      <w:r w:rsidRPr="00864152">
        <w:t xml:space="preserve">. Dissertation, </w:t>
      </w:r>
      <w:proofErr w:type="spellStart"/>
      <w:r w:rsidRPr="00864152">
        <w:t>University</w:t>
      </w:r>
      <w:proofErr w:type="spellEnd"/>
      <w:r w:rsidRPr="00864152">
        <w:t xml:space="preserve"> of Dakar. Cette thèse se concentre sur l'exode rural et l'influence du changement climatique sur la migration, en analysant les implications sur les dynamiques patriarcales et les pratiques religieuses. </w:t>
      </w:r>
    </w:p>
    <w:p w14:paraId="3A786D23" w14:textId="77777777" w:rsidR="00BC6C8B" w:rsidRPr="00864152" w:rsidRDefault="00BC6C8B" w:rsidP="00BC6C8B">
      <w:pPr>
        <w:spacing w:after="187"/>
        <w:ind w:left="721"/>
      </w:pPr>
      <w:r w:rsidRPr="00864152">
        <w:rPr>
          <w:b/>
        </w:rPr>
        <w:t xml:space="preserve"> </w:t>
      </w:r>
    </w:p>
    <w:p w14:paraId="38FFA80A" w14:textId="77777777" w:rsidR="00BC6C8B" w:rsidRDefault="00BC6C8B" w:rsidP="00BC6C8B">
      <w:pPr>
        <w:spacing w:after="111" w:line="264" w:lineRule="auto"/>
        <w:ind w:left="370"/>
      </w:pPr>
      <w:r>
        <w:rPr>
          <w:rFonts w:ascii="Segoe UI Symbol" w:eastAsia="Segoe UI Symbol" w:hAnsi="Segoe UI Symbol" w:cs="Segoe UI Symbol"/>
        </w:rPr>
        <w:t></w:t>
      </w:r>
      <w:r>
        <w:rPr>
          <w:rFonts w:ascii="Arial" w:eastAsia="Arial" w:hAnsi="Arial" w:cs="Arial"/>
        </w:rPr>
        <w:t xml:space="preserve"> </w:t>
      </w:r>
      <w:r>
        <w:rPr>
          <w:b/>
        </w:rPr>
        <w:t xml:space="preserve">Sites Internet : </w:t>
      </w:r>
    </w:p>
    <w:p w14:paraId="42DE56AF" w14:textId="77777777" w:rsidR="00BC6C8B" w:rsidRDefault="00BC6C8B" w:rsidP="00BC6C8B">
      <w:pPr>
        <w:numPr>
          <w:ilvl w:val="0"/>
          <w:numId w:val="515"/>
        </w:numPr>
        <w:spacing w:after="46" w:line="368" w:lineRule="auto"/>
        <w:ind w:right="13" w:hanging="360"/>
      </w:pPr>
      <w:r w:rsidRPr="00864152">
        <w:t xml:space="preserve">FAO Mauritanie. (2023). Rapports sur la sécurité alimentaire et les impacts climatiques. </w:t>
      </w:r>
      <w:r>
        <w:t xml:space="preserve">Disponible à : </w:t>
      </w:r>
      <w:hyperlink r:id="rId222">
        <w:r>
          <w:rPr>
            <w:color w:val="467886"/>
            <w:u w:val="single" w:color="467886"/>
          </w:rPr>
          <w:t>www.fao.org</w:t>
        </w:r>
      </w:hyperlink>
      <w:hyperlink r:id="rId223">
        <w:r>
          <w:t xml:space="preserve"> </w:t>
        </w:r>
      </w:hyperlink>
    </w:p>
    <w:p w14:paraId="66B04340" w14:textId="77777777" w:rsidR="00BC6C8B" w:rsidRDefault="00BC6C8B" w:rsidP="00BC6C8B">
      <w:pPr>
        <w:numPr>
          <w:ilvl w:val="0"/>
          <w:numId w:val="515"/>
        </w:numPr>
        <w:spacing w:after="208" w:line="368" w:lineRule="auto"/>
        <w:ind w:right="13" w:hanging="360"/>
      </w:pPr>
      <w:r w:rsidRPr="00864152">
        <w:t xml:space="preserve">ONU Femmes. (2024). Programmes pour l’égalité des sexes en Mauritanie. </w:t>
      </w:r>
      <w:r>
        <w:t xml:space="preserve">Disponible à : </w:t>
      </w:r>
      <w:hyperlink r:id="rId224">
        <w:r>
          <w:rPr>
            <w:color w:val="467886"/>
            <w:u w:val="single" w:color="467886"/>
          </w:rPr>
          <w:t>www.unwomen.org</w:t>
        </w:r>
      </w:hyperlink>
      <w:hyperlink r:id="rId225">
        <w:r>
          <w:t xml:space="preserve"> </w:t>
        </w:r>
      </w:hyperlink>
    </w:p>
    <w:p w14:paraId="1310D9A0" w14:textId="77777777" w:rsidR="00BC6C8B" w:rsidRDefault="00BC6C8B" w:rsidP="00BC6C8B">
      <w:pPr>
        <w:spacing w:after="333"/>
      </w:pPr>
      <w:r>
        <w:t xml:space="preserve"> </w:t>
      </w:r>
    </w:p>
    <w:p w14:paraId="08798DC5" w14:textId="77777777" w:rsidR="00BC6C8B" w:rsidRPr="00864152" w:rsidRDefault="00BC6C8B" w:rsidP="00BC6C8B">
      <w:pPr>
        <w:ind w:left="-5" w:right="13"/>
      </w:pPr>
      <w:r w:rsidRPr="00864152">
        <w:t xml:space="preserve">Ces annexes et références bibliographiques fournissent un cadre solide pour approfondir les analyses et les arguments développés dans ce rapport. </w:t>
      </w:r>
    </w:p>
    <w:p w14:paraId="3A406C59" w14:textId="77777777" w:rsidR="00BC6C8B" w:rsidRPr="00864152" w:rsidRDefault="00BC6C8B" w:rsidP="00BC6C8B">
      <w:pPr>
        <w:spacing w:after="333"/>
      </w:pPr>
      <w:r w:rsidRPr="00864152">
        <w:t xml:space="preserve"> </w:t>
      </w:r>
    </w:p>
    <w:p w14:paraId="54896B7F" w14:textId="77777777" w:rsidR="00BC6C8B" w:rsidRPr="00864152" w:rsidRDefault="00BC6C8B" w:rsidP="00BC6C8B">
      <w:pPr>
        <w:spacing w:after="334"/>
      </w:pPr>
      <w:r w:rsidRPr="00864152">
        <w:t xml:space="preserve"> </w:t>
      </w:r>
    </w:p>
    <w:p w14:paraId="36EDC6D2" w14:textId="77777777" w:rsidR="00BC6C8B" w:rsidRPr="00864152" w:rsidRDefault="00BC6C8B" w:rsidP="00BC6C8B">
      <w:pPr>
        <w:spacing w:after="333"/>
      </w:pPr>
      <w:r w:rsidRPr="00864152">
        <w:t xml:space="preserve"> </w:t>
      </w:r>
    </w:p>
    <w:p w14:paraId="5AF13E67" w14:textId="77777777" w:rsidR="00BC6C8B" w:rsidRPr="00864152" w:rsidRDefault="00BC6C8B" w:rsidP="00BC6C8B">
      <w:pPr>
        <w:spacing w:after="0"/>
      </w:pPr>
      <w:r w:rsidRPr="00864152">
        <w:t xml:space="preserve"> </w:t>
      </w:r>
    </w:p>
    <w:p w14:paraId="73F3E6A2" w14:textId="77777777" w:rsidR="00BC6C8B" w:rsidRPr="00864152" w:rsidRDefault="00BC6C8B" w:rsidP="00BC6C8B">
      <w:pPr>
        <w:spacing w:after="0"/>
        <w:jc w:val="both"/>
      </w:pPr>
      <w:r w:rsidRPr="00864152">
        <w:t xml:space="preserve"> </w:t>
      </w:r>
    </w:p>
    <w:p w14:paraId="6EE3C04C" w14:textId="77777777" w:rsidR="00BC6C8B" w:rsidRPr="00864152" w:rsidRDefault="00BC6C8B" w:rsidP="00BC6C8B">
      <w:pPr>
        <w:spacing w:after="0"/>
        <w:jc w:val="both"/>
      </w:pPr>
      <w:r w:rsidRPr="00864152">
        <w:t xml:space="preserve"> </w:t>
      </w:r>
    </w:p>
    <w:p w14:paraId="32550FBB" w14:textId="77777777" w:rsidR="00BC6C8B" w:rsidRPr="00864152" w:rsidRDefault="00BC6C8B" w:rsidP="00BC6C8B">
      <w:pPr>
        <w:spacing w:after="0"/>
        <w:jc w:val="both"/>
      </w:pPr>
      <w:r w:rsidRPr="00864152">
        <w:t xml:space="preserve"> </w:t>
      </w:r>
    </w:p>
    <w:p w14:paraId="044956F9" w14:textId="77777777" w:rsidR="00BC6C8B" w:rsidRPr="00864152" w:rsidRDefault="00BC6C8B" w:rsidP="00BC6C8B">
      <w:pPr>
        <w:spacing w:after="338"/>
        <w:jc w:val="both"/>
      </w:pPr>
      <w:r w:rsidRPr="00864152">
        <w:t xml:space="preserve"> </w:t>
      </w:r>
    </w:p>
    <w:p w14:paraId="0C9A405D" w14:textId="77777777" w:rsidR="00BC6C8B" w:rsidRPr="00864152" w:rsidRDefault="00BC6C8B" w:rsidP="00BC6C8B">
      <w:pPr>
        <w:spacing w:after="333"/>
        <w:jc w:val="both"/>
      </w:pPr>
      <w:r w:rsidRPr="00864152">
        <w:t xml:space="preserve"> </w:t>
      </w:r>
    </w:p>
    <w:p w14:paraId="14A3E237" w14:textId="77777777" w:rsidR="00BC6C8B" w:rsidRPr="00864152" w:rsidRDefault="00BC6C8B" w:rsidP="00BC6C8B">
      <w:pPr>
        <w:spacing w:after="334"/>
        <w:jc w:val="both"/>
      </w:pPr>
      <w:r w:rsidRPr="00864152">
        <w:t xml:space="preserve"> </w:t>
      </w:r>
    </w:p>
    <w:p w14:paraId="6E2A14D2" w14:textId="77777777" w:rsidR="00BC6C8B" w:rsidRPr="00864152" w:rsidRDefault="00BC6C8B" w:rsidP="00BC6C8B">
      <w:pPr>
        <w:spacing w:after="333"/>
        <w:jc w:val="both"/>
      </w:pPr>
      <w:r w:rsidRPr="00864152">
        <w:t xml:space="preserve"> </w:t>
      </w:r>
    </w:p>
    <w:p w14:paraId="406FB7BE" w14:textId="77777777" w:rsidR="004E687C" w:rsidRPr="00E7066B" w:rsidRDefault="00BC6C8B" w:rsidP="004E687C">
      <w:pPr>
        <w:spacing w:before="360"/>
        <w:jc w:val="center"/>
        <w:rPr>
          <w:rFonts w:ascii="LouguiyaFR" w:hAnsi="LouguiyaFR"/>
          <w:b/>
          <w:bCs/>
          <w:sz w:val="36"/>
          <w:szCs w:val="36"/>
        </w:rPr>
      </w:pPr>
      <w:r w:rsidRPr="00864152">
        <w:t xml:space="preserve"> </w:t>
      </w:r>
      <w:bookmarkStart w:id="478" w:name="_Toc192820585"/>
      <w:bookmarkStart w:id="479" w:name="_Toc192821006"/>
      <w:bookmarkStart w:id="480" w:name="_Toc192821135"/>
      <w:r w:rsidR="004E687C">
        <w:rPr>
          <w:noProof/>
        </w:rPr>
        <w:drawing>
          <wp:anchor distT="0" distB="0" distL="114300" distR="114300" simplePos="0" relativeHeight="251737088" behindDoc="0" locked="0" layoutInCell="1" allowOverlap="1" wp14:anchorId="6CBC05DA" wp14:editId="04395A76">
            <wp:simplePos x="0" y="0"/>
            <wp:positionH relativeFrom="column">
              <wp:posOffset>2362200</wp:posOffset>
            </wp:positionH>
            <wp:positionV relativeFrom="paragraph">
              <wp:posOffset>0</wp:posOffset>
            </wp:positionV>
            <wp:extent cx="806450" cy="782320"/>
            <wp:effectExtent l="19050" t="0" r="0" b="0"/>
            <wp:wrapNone/>
            <wp:docPr id="259775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6"/>
                    <a:srcRect/>
                    <a:stretch>
                      <a:fillRect/>
                    </a:stretch>
                  </pic:blipFill>
                  <pic:spPr bwMode="auto">
                    <a:xfrm>
                      <a:off x="0" y="0"/>
                      <a:ext cx="806450" cy="782320"/>
                    </a:xfrm>
                    <a:prstGeom prst="rect">
                      <a:avLst/>
                    </a:prstGeom>
                    <a:noFill/>
                    <a:ln w="9525">
                      <a:noFill/>
                      <a:miter lim="800000"/>
                      <a:headEnd/>
                      <a:tailEnd/>
                    </a:ln>
                  </pic:spPr>
                </pic:pic>
              </a:graphicData>
            </a:graphic>
          </wp:anchor>
        </w:drawing>
      </w:r>
    </w:p>
    <w:p w14:paraId="18E8DD86" w14:textId="77777777" w:rsidR="004E687C" w:rsidRPr="00E7066B" w:rsidRDefault="004E687C" w:rsidP="004E687C">
      <w:pPr>
        <w:spacing w:before="360"/>
        <w:jc w:val="center"/>
        <w:rPr>
          <w:rFonts w:cstheme="minorHAnsi"/>
          <w:b/>
          <w:bCs/>
          <w:sz w:val="36"/>
          <w:szCs w:val="36"/>
        </w:rPr>
      </w:pPr>
    </w:p>
    <w:p w14:paraId="38872DEE" w14:textId="77777777" w:rsidR="004E687C" w:rsidRPr="00E7066B" w:rsidRDefault="004E687C" w:rsidP="004E687C">
      <w:pPr>
        <w:spacing w:before="360"/>
        <w:jc w:val="center"/>
        <w:rPr>
          <w:rFonts w:cstheme="minorHAnsi"/>
          <w:b/>
          <w:bCs/>
          <w:sz w:val="36"/>
          <w:szCs w:val="36"/>
        </w:rPr>
      </w:pPr>
      <w:r w:rsidRPr="00E7066B">
        <w:rPr>
          <w:rFonts w:cstheme="minorHAnsi"/>
          <w:b/>
          <w:bCs/>
          <w:sz w:val="36"/>
          <w:szCs w:val="36"/>
        </w:rPr>
        <w:t>République Islamique de Mauritanie</w:t>
      </w:r>
    </w:p>
    <w:p w14:paraId="34F9CB8B" w14:textId="77777777" w:rsidR="004E687C" w:rsidRPr="00E7066B" w:rsidRDefault="004E687C" w:rsidP="004E687C">
      <w:pPr>
        <w:spacing w:before="120" w:after="120"/>
        <w:jc w:val="center"/>
        <w:rPr>
          <w:rFonts w:cstheme="minorHAnsi"/>
          <w:b/>
          <w:bCs/>
          <w:color w:val="8496B0" w:themeColor="text2" w:themeTint="99"/>
        </w:rPr>
      </w:pPr>
      <w:bookmarkStart w:id="481" w:name="_Toc336250603"/>
      <w:bookmarkStart w:id="482" w:name="_Toc338592554"/>
      <w:bookmarkStart w:id="483" w:name="_Toc365530670"/>
      <w:bookmarkStart w:id="484" w:name="_Toc365532001"/>
      <w:bookmarkStart w:id="485" w:name="_Toc499548721"/>
      <w:bookmarkStart w:id="486" w:name="_Toc499548936"/>
      <w:r w:rsidRPr="00E7066B">
        <w:rPr>
          <w:rFonts w:cstheme="minorHAnsi"/>
          <w:b/>
          <w:bCs/>
          <w:color w:val="8496B0" w:themeColor="text2" w:themeTint="99"/>
        </w:rPr>
        <w:t>Honneur – Fraternité – Justice</w:t>
      </w:r>
      <w:bookmarkEnd w:id="481"/>
      <w:bookmarkEnd w:id="482"/>
      <w:bookmarkEnd w:id="483"/>
      <w:bookmarkEnd w:id="484"/>
      <w:bookmarkEnd w:id="485"/>
      <w:bookmarkEnd w:id="486"/>
    </w:p>
    <w:p w14:paraId="6E02634B" w14:textId="77777777" w:rsidR="004E687C" w:rsidRPr="00E7066B" w:rsidRDefault="004E687C" w:rsidP="004E687C">
      <w:pPr>
        <w:spacing w:before="120" w:after="120"/>
        <w:jc w:val="center"/>
        <w:rPr>
          <w:rFonts w:cstheme="minorHAnsi"/>
          <w:b/>
          <w:iCs/>
        </w:rPr>
      </w:pPr>
      <w:bookmarkStart w:id="487" w:name="_Toc336250604"/>
      <w:bookmarkStart w:id="488" w:name="_Toc338592555"/>
      <w:bookmarkStart w:id="489" w:name="_Toc365530671"/>
      <w:bookmarkStart w:id="490" w:name="_Toc365532002"/>
      <w:bookmarkStart w:id="491" w:name="_Toc499548722"/>
      <w:r w:rsidRPr="00E7066B">
        <w:rPr>
          <w:rFonts w:cstheme="minorHAnsi"/>
          <w:b/>
          <w:iCs/>
        </w:rPr>
        <w:t xml:space="preserve">MINISTERE DE L’ENVIRONNEMENT </w:t>
      </w:r>
      <w:bookmarkEnd w:id="487"/>
      <w:bookmarkEnd w:id="488"/>
      <w:bookmarkEnd w:id="489"/>
      <w:bookmarkEnd w:id="490"/>
      <w:bookmarkEnd w:id="491"/>
    </w:p>
    <w:p w14:paraId="6CA81F3E" w14:textId="77777777" w:rsidR="004E687C" w:rsidRPr="00E7066B" w:rsidRDefault="004E687C" w:rsidP="004E687C">
      <w:pPr>
        <w:pStyle w:val="Sansinterligne"/>
        <w:spacing w:before="120" w:after="120"/>
        <w:jc w:val="center"/>
        <w:rPr>
          <w:rFonts w:cstheme="minorHAnsi"/>
          <w:b/>
          <w:bCs/>
          <w:color w:val="000000"/>
          <w:sz w:val="24"/>
          <w:szCs w:val="24"/>
        </w:rPr>
      </w:pPr>
      <w:r w:rsidRPr="00E7066B">
        <w:rPr>
          <w:rFonts w:cstheme="minorHAnsi"/>
          <w:b/>
          <w:bCs/>
          <w:color w:val="000000"/>
          <w:sz w:val="24"/>
          <w:szCs w:val="24"/>
        </w:rPr>
        <w:t>Direction du Climat et de l’Economie verte</w:t>
      </w:r>
    </w:p>
    <w:p w14:paraId="08C3760D" w14:textId="77777777" w:rsidR="004E687C" w:rsidRPr="009B093B" w:rsidRDefault="004E687C" w:rsidP="004E687C">
      <w:pPr>
        <w:ind w:left="-360"/>
        <w:jc w:val="center"/>
        <w:rPr>
          <w:rFonts w:cstheme="minorHAnsi"/>
          <w:b/>
          <w:sz w:val="4"/>
          <w:szCs w:val="4"/>
        </w:rPr>
      </w:pPr>
    </w:p>
    <w:p w14:paraId="4D94932F" w14:textId="77777777" w:rsidR="004E687C" w:rsidRPr="00D52564" w:rsidRDefault="004E687C" w:rsidP="004E687C">
      <w:pPr>
        <w:jc w:val="center"/>
        <w:rPr>
          <w:b/>
        </w:rPr>
      </w:pPr>
      <w:r>
        <w:rPr>
          <w:b/>
        </w:rPr>
        <w:t>Prof Sidaty Dah Eida</w:t>
      </w:r>
    </w:p>
    <w:p w14:paraId="57DF5055" w14:textId="77777777" w:rsidR="004E687C" w:rsidRDefault="004E687C" w:rsidP="004E687C">
      <w:pPr>
        <w:jc w:val="center"/>
        <w:rPr>
          <w:b/>
        </w:rPr>
      </w:pPr>
    </w:p>
    <w:p w14:paraId="6572801E" w14:textId="77777777" w:rsidR="004E687C" w:rsidRDefault="004E687C" w:rsidP="004E687C">
      <w:pPr>
        <w:jc w:val="center"/>
        <w:rPr>
          <w:b/>
        </w:rPr>
      </w:pPr>
    </w:p>
    <w:p w14:paraId="74A9DB35" w14:textId="77777777" w:rsidR="004E687C" w:rsidRDefault="004E687C" w:rsidP="004E687C">
      <w:pPr>
        <w:jc w:val="center"/>
        <w:rPr>
          <w:b/>
        </w:rPr>
      </w:pPr>
    </w:p>
    <w:p w14:paraId="334B7811" w14:textId="77777777" w:rsidR="004E687C" w:rsidRDefault="004E687C" w:rsidP="004E687C">
      <w:pPr>
        <w:jc w:val="center"/>
        <w:rPr>
          <w:b/>
        </w:rPr>
      </w:pPr>
    </w:p>
    <w:p w14:paraId="7149E8BC" w14:textId="77777777" w:rsidR="004E687C" w:rsidRPr="00255B61" w:rsidRDefault="004E687C" w:rsidP="004E687C">
      <w:pPr>
        <w:jc w:val="center"/>
        <w:rPr>
          <w:b/>
        </w:rPr>
      </w:pPr>
    </w:p>
    <w:p w14:paraId="3B7255DB" w14:textId="77777777" w:rsidR="004E687C" w:rsidRPr="00255B61" w:rsidRDefault="004E687C" w:rsidP="004E687C">
      <w:pPr>
        <w:pBdr>
          <w:top w:val="single" w:sz="4" w:space="1" w:color="auto"/>
          <w:left w:val="single" w:sz="4" w:space="4" w:color="auto"/>
          <w:bottom w:val="single" w:sz="4" w:space="1" w:color="auto"/>
          <w:right w:val="single" w:sz="4" w:space="31" w:color="auto"/>
        </w:pBdr>
        <w:rPr>
          <w:b/>
        </w:rPr>
      </w:pPr>
    </w:p>
    <w:p w14:paraId="2C547938" w14:textId="77777777" w:rsidR="004E687C" w:rsidRDefault="004E687C" w:rsidP="004E687C">
      <w:pPr>
        <w:pBdr>
          <w:top w:val="single" w:sz="4" w:space="1" w:color="auto"/>
          <w:left w:val="single" w:sz="4" w:space="4" w:color="auto"/>
          <w:bottom w:val="single" w:sz="4" w:space="1" w:color="auto"/>
          <w:right w:val="single" w:sz="4" w:space="31" w:color="auto"/>
        </w:pBdr>
        <w:jc w:val="center"/>
        <w:rPr>
          <w:b/>
          <w:bCs/>
          <w:color w:val="7030A0"/>
          <w:sz w:val="36"/>
          <w:szCs w:val="36"/>
        </w:rPr>
      </w:pPr>
      <w:r w:rsidRPr="00313533">
        <w:rPr>
          <w:b/>
          <w:bCs/>
          <w:color w:val="7030A0"/>
          <w:sz w:val="36"/>
          <w:szCs w:val="36"/>
        </w:rPr>
        <w:t xml:space="preserve">CINQUIEME </w:t>
      </w:r>
      <w:r>
        <w:rPr>
          <w:b/>
          <w:bCs/>
          <w:color w:val="7030A0"/>
          <w:sz w:val="36"/>
          <w:szCs w:val="36"/>
        </w:rPr>
        <w:t>COMMUNICATION NATIONALE SUR LE CHANGEMENT CLIMATIQUE (CCN)</w:t>
      </w:r>
      <w:r w:rsidRPr="00255B61">
        <w:rPr>
          <w:b/>
          <w:bCs/>
          <w:color w:val="7030A0"/>
          <w:sz w:val="36"/>
          <w:szCs w:val="36"/>
        </w:rPr>
        <w:t xml:space="preserve"> </w:t>
      </w:r>
    </w:p>
    <w:p w14:paraId="3FBB17D6" w14:textId="77777777" w:rsidR="004E687C" w:rsidRPr="00255B61" w:rsidRDefault="004E687C" w:rsidP="004E687C">
      <w:pPr>
        <w:pBdr>
          <w:top w:val="single" w:sz="4" w:space="1" w:color="auto"/>
          <w:left w:val="single" w:sz="4" w:space="4" w:color="auto"/>
          <w:bottom w:val="single" w:sz="4" w:space="1" w:color="auto"/>
          <w:right w:val="single" w:sz="4" w:space="31" w:color="auto"/>
        </w:pBdr>
        <w:jc w:val="center"/>
      </w:pPr>
    </w:p>
    <w:p w14:paraId="078E32F4" w14:textId="77777777" w:rsidR="004E687C" w:rsidRPr="000203D2" w:rsidRDefault="004E687C" w:rsidP="004E687C">
      <w:pPr>
        <w:pBdr>
          <w:top w:val="single" w:sz="4" w:space="1" w:color="auto"/>
          <w:left w:val="single" w:sz="4" w:space="4" w:color="auto"/>
          <w:bottom w:val="single" w:sz="4" w:space="1" w:color="auto"/>
          <w:right w:val="single" w:sz="4" w:space="31" w:color="auto"/>
        </w:pBdr>
        <w:jc w:val="center"/>
        <w:rPr>
          <w:b/>
          <w:bCs/>
          <w:sz w:val="32"/>
          <w:szCs w:val="32"/>
        </w:rPr>
      </w:pPr>
      <w:r w:rsidRPr="005B17FD">
        <w:rPr>
          <w:b/>
          <w:bCs/>
          <w:color w:val="660033"/>
          <w:sz w:val="32"/>
          <w:szCs w:val="32"/>
        </w:rPr>
        <w:t xml:space="preserve">Rapport </w:t>
      </w:r>
      <w:r>
        <w:rPr>
          <w:b/>
          <w:bCs/>
          <w:sz w:val="32"/>
          <w:szCs w:val="32"/>
        </w:rPr>
        <w:t>Scénarios Climatiques</w:t>
      </w:r>
      <w:r w:rsidRPr="000203D2">
        <w:rPr>
          <w:b/>
          <w:bCs/>
          <w:sz w:val="32"/>
          <w:szCs w:val="32"/>
        </w:rPr>
        <w:t xml:space="preserve"> </w:t>
      </w:r>
    </w:p>
    <w:p w14:paraId="754575AE" w14:textId="77777777" w:rsidR="004E687C" w:rsidRPr="000203D2" w:rsidRDefault="004E687C" w:rsidP="004E687C">
      <w:pPr>
        <w:pBdr>
          <w:top w:val="single" w:sz="4" w:space="1" w:color="auto"/>
          <w:left w:val="single" w:sz="4" w:space="4" w:color="auto"/>
          <w:bottom w:val="single" w:sz="4" w:space="1" w:color="auto"/>
          <w:right w:val="single" w:sz="4" w:space="31" w:color="auto"/>
        </w:pBdr>
        <w:jc w:val="center"/>
        <w:rPr>
          <w:b/>
          <w:bCs/>
          <w:sz w:val="12"/>
          <w:szCs w:val="12"/>
        </w:rPr>
      </w:pPr>
    </w:p>
    <w:p w14:paraId="04C09983" w14:textId="77777777" w:rsidR="004E687C" w:rsidRPr="00C2183B" w:rsidRDefault="004E687C" w:rsidP="004E687C">
      <w:pPr>
        <w:pBdr>
          <w:top w:val="single" w:sz="4" w:space="1" w:color="auto"/>
          <w:left w:val="single" w:sz="4" w:space="4" w:color="auto"/>
          <w:bottom w:val="single" w:sz="4" w:space="1" w:color="auto"/>
          <w:right w:val="single" w:sz="4" w:space="31" w:color="auto"/>
        </w:pBdr>
        <w:jc w:val="center"/>
        <w:rPr>
          <w:b/>
          <w:bCs/>
          <w:sz w:val="28"/>
          <w:szCs w:val="28"/>
        </w:rPr>
      </w:pPr>
      <w:r>
        <w:rPr>
          <w:b/>
          <w:bCs/>
          <w:sz w:val="28"/>
          <w:szCs w:val="28"/>
        </w:rPr>
        <w:t>Horizon 2050 et 2100</w:t>
      </w:r>
    </w:p>
    <w:p w14:paraId="6BCDEF75" w14:textId="77777777" w:rsidR="004E687C" w:rsidRPr="00CF7F80" w:rsidRDefault="004E687C" w:rsidP="004E687C">
      <w:pPr>
        <w:pStyle w:val="Sansinterligne"/>
        <w:tabs>
          <w:tab w:val="left" w:pos="5235"/>
        </w:tabs>
        <w:jc w:val="both"/>
        <w:rPr>
          <w:rFonts w:ascii="Times New Roman" w:hAnsi="Times New Roman" w:cs="Times New Roman"/>
        </w:rPr>
      </w:pPr>
      <w:r>
        <w:rPr>
          <w:rFonts w:ascii="Times New Roman" w:hAnsi="Times New Roman" w:cs="Times New Roman"/>
        </w:rPr>
        <w:tab/>
      </w:r>
    </w:p>
    <w:p w14:paraId="56685689" w14:textId="77777777" w:rsidR="004E687C" w:rsidRPr="00453A10" w:rsidRDefault="004E687C" w:rsidP="004E687C">
      <w:pPr>
        <w:pStyle w:val="Sansinterligne"/>
        <w:tabs>
          <w:tab w:val="left" w:pos="5295"/>
        </w:tabs>
        <w:jc w:val="both"/>
        <w:rPr>
          <w:rFonts w:ascii="Times New Roman" w:hAnsi="Times New Roman" w:cs="Times New Roman"/>
          <w:b/>
          <w:bCs/>
          <w:color w:val="7030A0"/>
          <w:sz w:val="24"/>
          <w:szCs w:val="24"/>
        </w:rPr>
      </w:pPr>
    </w:p>
    <w:p w14:paraId="7BCCA97F" w14:textId="77777777" w:rsidR="004E687C" w:rsidRPr="00B07250" w:rsidRDefault="004E687C" w:rsidP="004E687C">
      <w:pPr>
        <w:pStyle w:val="Sansinterligne"/>
        <w:tabs>
          <w:tab w:val="left" w:pos="5295"/>
        </w:tabs>
        <w:jc w:val="center"/>
        <w:rPr>
          <w:rFonts w:ascii="Times New Roman" w:hAnsi="Times New Roman" w:cs="Times New Roman"/>
          <w:b/>
          <w:bCs/>
          <w:color w:val="7030A0"/>
          <w:sz w:val="24"/>
          <w:szCs w:val="24"/>
        </w:rPr>
      </w:pPr>
      <w:r w:rsidRPr="00B07250">
        <w:rPr>
          <w:rFonts w:ascii="Times New Roman" w:hAnsi="Times New Roman" w:cs="Times New Roman"/>
          <w:b/>
          <w:bCs/>
          <w:color w:val="7030A0"/>
          <w:sz w:val="24"/>
          <w:szCs w:val="24"/>
        </w:rPr>
        <w:t>Dr SIDATY DAH EIDA</w:t>
      </w:r>
    </w:p>
    <w:p w14:paraId="758F6445" w14:textId="77777777" w:rsidR="004E687C" w:rsidRPr="00B07250" w:rsidRDefault="004E687C" w:rsidP="004E687C">
      <w:pPr>
        <w:pStyle w:val="Sansinterligne"/>
        <w:tabs>
          <w:tab w:val="left" w:pos="5295"/>
        </w:tabs>
        <w:jc w:val="both"/>
        <w:rPr>
          <w:rFonts w:ascii="Times New Roman" w:hAnsi="Times New Roman" w:cs="Times New Roman"/>
          <w:b/>
          <w:bCs/>
          <w:color w:val="7030A0"/>
          <w:sz w:val="24"/>
          <w:szCs w:val="24"/>
        </w:rPr>
      </w:pPr>
    </w:p>
    <w:p w14:paraId="1906A414" w14:textId="77777777" w:rsidR="004E687C" w:rsidRPr="00B07250" w:rsidRDefault="004E687C" w:rsidP="004E687C">
      <w:pPr>
        <w:pStyle w:val="Sansinterligne"/>
        <w:tabs>
          <w:tab w:val="left" w:pos="5295"/>
        </w:tabs>
        <w:jc w:val="both"/>
        <w:rPr>
          <w:rFonts w:ascii="Times New Roman" w:hAnsi="Times New Roman" w:cs="Times New Roman"/>
          <w:b/>
          <w:bCs/>
          <w:color w:val="7030A0"/>
          <w:sz w:val="24"/>
          <w:szCs w:val="24"/>
        </w:rPr>
      </w:pPr>
    </w:p>
    <w:p w14:paraId="2ED1543B" w14:textId="77777777" w:rsidR="004E687C" w:rsidRPr="00B07250" w:rsidRDefault="004E687C" w:rsidP="004E687C">
      <w:pPr>
        <w:pStyle w:val="Sansinterligne"/>
        <w:tabs>
          <w:tab w:val="left" w:pos="5295"/>
        </w:tabs>
        <w:jc w:val="both"/>
        <w:rPr>
          <w:rFonts w:ascii="Times New Roman" w:hAnsi="Times New Roman" w:cs="Times New Roman"/>
          <w:b/>
          <w:bCs/>
          <w:color w:val="7030A0"/>
          <w:sz w:val="24"/>
          <w:szCs w:val="24"/>
        </w:rPr>
      </w:pPr>
    </w:p>
    <w:p w14:paraId="2F99216B" w14:textId="77777777" w:rsidR="004E687C" w:rsidRPr="00B07250" w:rsidRDefault="004E687C" w:rsidP="004E687C">
      <w:pPr>
        <w:pStyle w:val="Sansinterligne"/>
        <w:tabs>
          <w:tab w:val="left" w:pos="5295"/>
        </w:tabs>
        <w:jc w:val="both"/>
        <w:rPr>
          <w:rFonts w:ascii="Times New Roman" w:hAnsi="Times New Roman" w:cs="Times New Roman"/>
          <w:b/>
          <w:bCs/>
          <w:color w:val="7030A0"/>
          <w:sz w:val="24"/>
          <w:szCs w:val="24"/>
        </w:rPr>
      </w:pPr>
      <w:r w:rsidRPr="00B07250">
        <w:rPr>
          <w:rFonts w:ascii="Times New Roman" w:hAnsi="Times New Roman" w:cs="Times New Roman"/>
          <w:b/>
          <w:bCs/>
          <w:color w:val="7030A0"/>
          <w:sz w:val="24"/>
          <w:szCs w:val="24"/>
        </w:rPr>
        <w:tab/>
      </w:r>
    </w:p>
    <w:p w14:paraId="20A3D260" w14:textId="77777777" w:rsidR="004E687C" w:rsidRPr="00B07250" w:rsidRDefault="004E687C" w:rsidP="004E687C">
      <w:pPr>
        <w:pStyle w:val="Sansinterligne"/>
        <w:jc w:val="both"/>
        <w:rPr>
          <w:rFonts w:ascii="Times New Roman" w:hAnsi="Times New Roman" w:cs="Times New Roman"/>
          <w:b/>
          <w:bCs/>
          <w:color w:val="7030A0"/>
          <w:sz w:val="24"/>
          <w:szCs w:val="24"/>
        </w:rPr>
      </w:pPr>
    </w:p>
    <w:p w14:paraId="47CA71CF" w14:textId="77777777" w:rsidR="004E687C" w:rsidRPr="00B07250" w:rsidRDefault="004E687C" w:rsidP="004E687C">
      <w:pPr>
        <w:pStyle w:val="Sansinterligne"/>
        <w:jc w:val="both"/>
        <w:rPr>
          <w:rFonts w:ascii="Times New Roman" w:hAnsi="Times New Roman" w:cs="Times New Roman"/>
          <w:b/>
          <w:bCs/>
          <w:color w:val="7030A0"/>
          <w:sz w:val="24"/>
          <w:szCs w:val="24"/>
        </w:rPr>
      </w:pPr>
    </w:p>
    <w:p w14:paraId="3C7CF03C" w14:textId="77777777" w:rsidR="004E687C" w:rsidRPr="00B07250" w:rsidRDefault="004E687C" w:rsidP="004E687C">
      <w:pPr>
        <w:pStyle w:val="Sansinterligne"/>
        <w:jc w:val="both"/>
        <w:rPr>
          <w:rFonts w:ascii="Times New Roman" w:hAnsi="Times New Roman" w:cs="Times New Roman"/>
          <w:b/>
          <w:bCs/>
          <w:color w:val="7030A0"/>
          <w:sz w:val="24"/>
          <w:szCs w:val="24"/>
        </w:rPr>
      </w:pPr>
    </w:p>
    <w:p w14:paraId="20190611" w14:textId="77777777" w:rsidR="004E687C" w:rsidRPr="00B07250" w:rsidRDefault="004E687C" w:rsidP="004E687C">
      <w:pPr>
        <w:pStyle w:val="Sansinterligne"/>
        <w:jc w:val="both"/>
        <w:rPr>
          <w:rFonts w:ascii="Times New Roman" w:hAnsi="Times New Roman" w:cs="Times New Roman"/>
          <w:b/>
          <w:bCs/>
          <w:color w:val="7030A0"/>
          <w:sz w:val="24"/>
          <w:szCs w:val="24"/>
        </w:rPr>
      </w:pPr>
    </w:p>
    <w:p w14:paraId="7B0A6C99" w14:textId="77777777" w:rsidR="004E687C" w:rsidRPr="00B07250" w:rsidRDefault="004E687C" w:rsidP="004E687C">
      <w:pPr>
        <w:pStyle w:val="Sansinterligne"/>
        <w:jc w:val="both"/>
        <w:rPr>
          <w:rFonts w:ascii="Times New Roman" w:hAnsi="Times New Roman" w:cs="Times New Roman"/>
          <w:b/>
          <w:bCs/>
          <w:color w:val="7030A0"/>
          <w:sz w:val="24"/>
          <w:szCs w:val="24"/>
        </w:rPr>
      </w:pPr>
    </w:p>
    <w:p w14:paraId="59F53326" w14:textId="77777777" w:rsidR="004E687C" w:rsidRPr="00210FF4" w:rsidRDefault="004E687C" w:rsidP="004E687C">
      <w:pPr>
        <w:spacing w:before="120" w:after="120"/>
        <w:ind w:firstLine="709"/>
        <w:jc w:val="center"/>
        <w:rPr>
          <w:b/>
          <w:bCs/>
          <w:color w:val="000000"/>
        </w:rPr>
      </w:pPr>
      <w:r>
        <w:rPr>
          <w:b/>
          <w:bCs/>
          <w:color w:val="000000"/>
        </w:rPr>
        <w:t>Février</w:t>
      </w:r>
      <w:r w:rsidRPr="00210FF4">
        <w:rPr>
          <w:b/>
          <w:bCs/>
          <w:color w:val="000000"/>
        </w:rPr>
        <w:t xml:space="preserve"> 20</w:t>
      </w:r>
      <w:r>
        <w:rPr>
          <w:b/>
          <w:bCs/>
          <w:color w:val="000000"/>
        </w:rPr>
        <w:t>25</w:t>
      </w:r>
    </w:p>
    <w:p w14:paraId="2EB82587" w14:textId="77777777" w:rsidR="004E687C" w:rsidRDefault="004E687C" w:rsidP="004E687C">
      <w:pPr>
        <w:spacing w:before="120" w:after="120"/>
        <w:ind w:firstLine="709"/>
        <w:jc w:val="center"/>
        <w:rPr>
          <w:b/>
          <w:bCs/>
          <w:color w:val="000000"/>
          <w:sz w:val="16"/>
          <w:szCs w:val="16"/>
        </w:rPr>
      </w:pPr>
    </w:p>
    <w:p w14:paraId="69847505" w14:textId="77777777" w:rsidR="004E687C" w:rsidRDefault="004E687C" w:rsidP="004E687C">
      <w:pPr>
        <w:jc w:val="both"/>
      </w:pPr>
      <w:r>
        <w:rPr>
          <w:noProof/>
        </w:rPr>
        <mc:AlternateContent>
          <mc:Choice Requires="wps">
            <w:drawing>
              <wp:anchor distT="0" distB="0" distL="114300" distR="114300" simplePos="0" relativeHeight="251744256" behindDoc="0" locked="0" layoutInCell="1" allowOverlap="1" wp14:anchorId="27500176" wp14:editId="4354E63B">
                <wp:simplePos x="0" y="0"/>
                <wp:positionH relativeFrom="column">
                  <wp:posOffset>5548630</wp:posOffset>
                </wp:positionH>
                <wp:positionV relativeFrom="paragraph">
                  <wp:posOffset>314960</wp:posOffset>
                </wp:positionV>
                <wp:extent cx="347980" cy="177800"/>
                <wp:effectExtent l="0" t="0" r="4445" b="0"/>
                <wp:wrapNone/>
                <wp:docPr id="55159479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80"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1944C" id="Rectangle 20" o:spid="_x0000_s1026" style="position:absolute;margin-left:436.9pt;margin-top:24.8pt;width:27.4pt;height:1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" stroked="f"/>
            </w:pict>
          </mc:Fallback>
        </mc:AlternateContent>
      </w:r>
    </w:p>
    <w:p w14:paraId="198A3DE0" w14:textId="77777777" w:rsidR="004E687C" w:rsidRDefault="004E687C" w:rsidP="004E687C">
      <w:pPr>
        <w:jc w:val="both"/>
      </w:pPr>
    </w:p>
    <w:p w14:paraId="677473EB" w14:textId="77777777" w:rsidR="004E687C" w:rsidRDefault="004E687C" w:rsidP="004E687C">
      <w:pPr>
        <w:pStyle w:val="En-ttedetabledesmatires"/>
      </w:pPr>
      <w:r>
        <w:t>Table des matières</w:t>
      </w:r>
    </w:p>
    <w:p w14:paraId="798FEB63" w14:textId="77777777" w:rsidR="004E687C" w:rsidRDefault="004E687C" w:rsidP="004E687C">
      <w:pPr>
        <w:pStyle w:val="TM1"/>
        <w:tabs>
          <w:tab w:val="left" w:pos="480"/>
        </w:tabs>
        <w:rPr>
          <w:rFonts w:asciiTheme="minorHAnsi" w:eastAsiaTheme="minorEastAsia" w:hAnsiTheme="minorHAnsi" w:cstheme="minorBidi"/>
        </w:rPr>
      </w:pPr>
      <w:r>
        <w:fldChar w:fldCharType="begin"/>
      </w:r>
      <w:r>
        <w:instrText xml:space="preserve"> TOC \o "1-3" \h \z \u </w:instrText>
      </w:r>
      <w:r>
        <w:fldChar w:fldCharType="separate"/>
      </w:r>
      <w:hyperlink w:anchor="_Toc191284964" w:history="1">
        <w:r w:rsidRPr="00682194">
          <w:rPr>
            <w:rStyle w:val="Lienhypertexte"/>
          </w:rPr>
          <w:t>I.</w:t>
        </w:r>
        <w:r>
          <w:rPr>
            <w:rFonts w:asciiTheme="minorHAnsi" w:eastAsiaTheme="minorEastAsia" w:hAnsiTheme="minorHAnsi" w:cstheme="minorBidi"/>
          </w:rPr>
          <w:tab/>
        </w:r>
        <w:r w:rsidRPr="00682194">
          <w:rPr>
            <w:rStyle w:val="Lienhypertexte"/>
          </w:rPr>
          <w:t>La problématique des changements climatiques</w:t>
        </w:r>
        <w:r>
          <w:rPr>
            <w:webHidden/>
          </w:rPr>
          <w:tab/>
        </w:r>
        <w:r>
          <w:rPr>
            <w:webHidden/>
          </w:rPr>
          <w:fldChar w:fldCharType="begin"/>
        </w:r>
        <w:r>
          <w:rPr>
            <w:webHidden/>
          </w:rPr>
          <w:instrText xml:space="preserve"> PAGEREF _Toc191284964 \h </w:instrText>
        </w:r>
        <w:r>
          <w:rPr>
            <w:webHidden/>
          </w:rPr>
        </w:r>
        <w:r>
          <w:rPr>
            <w:webHidden/>
          </w:rPr>
          <w:fldChar w:fldCharType="separate"/>
        </w:r>
        <w:r>
          <w:rPr>
            <w:webHidden/>
          </w:rPr>
          <w:t>2</w:t>
        </w:r>
        <w:r>
          <w:rPr>
            <w:webHidden/>
          </w:rPr>
          <w:fldChar w:fldCharType="end"/>
        </w:r>
      </w:hyperlink>
    </w:p>
    <w:p w14:paraId="2146402F" w14:textId="77777777" w:rsidR="004E687C" w:rsidRDefault="004E687C" w:rsidP="004E687C">
      <w:pPr>
        <w:pStyle w:val="TM2"/>
        <w:tabs>
          <w:tab w:val="left" w:pos="1100"/>
          <w:tab w:val="right" w:leader="dot" w:pos="9062"/>
        </w:tabs>
        <w:rPr>
          <w:rFonts w:eastAsiaTheme="minorEastAsia"/>
          <w:noProof/>
        </w:rPr>
      </w:pPr>
      <w:hyperlink w:anchor="_Toc191284965" w:history="1">
        <w:r w:rsidRPr="00682194">
          <w:rPr>
            <w:rStyle w:val="Lienhypertexte"/>
            <w:noProof/>
          </w:rPr>
          <w:t>1. 1.</w:t>
        </w:r>
        <w:r>
          <w:rPr>
            <w:rFonts w:eastAsiaTheme="minorEastAsia"/>
            <w:noProof/>
          </w:rPr>
          <w:tab/>
        </w:r>
        <w:r w:rsidRPr="00682194">
          <w:rPr>
            <w:rStyle w:val="Lienhypertexte"/>
            <w:noProof/>
          </w:rPr>
          <w:t>Changement climatique et variabilité du climat</w:t>
        </w:r>
        <w:r>
          <w:rPr>
            <w:noProof/>
            <w:webHidden/>
          </w:rPr>
          <w:tab/>
        </w:r>
        <w:r>
          <w:rPr>
            <w:noProof/>
            <w:webHidden/>
          </w:rPr>
          <w:fldChar w:fldCharType="begin"/>
        </w:r>
        <w:r>
          <w:rPr>
            <w:noProof/>
            <w:webHidden/>
          </w:rPr>
          <w:instrText xml:space="preserve"> PAGEREF _Toc191284965 \h </w:instrText>
        </w:r>
        <w:r>
          <w:rPr>
            <w:noProof/>
            <w:webHidden/>
          </w:rPr>
        </w:r>
        <w:r>
          <w:rPr>
            <w:noProof/>
            <w:webHidden/>
          </w:rPr>
          <w:fldChar w:fldCharType="separate"/>
        </w:r>
        <w:r>
          <w:rPr>
            <w:noProof/>
            <w:webHidden/>
          </w:rPr>
          <w:t>3</w:t>
        </w:r>
        <w:r>
          <w:rPr>
            <w:noProof/>
            <w:webHidden/>
          </w:rPr>
          <w:fldChar w:fldCharType="end"/>
        </w:r>
      </w:hyperlink>
    </w:p>
    <w:p w14:paraId="1F19116F" w14:textId="77777777" w:rsidR="004E687C" w:rsidRDefault="004E687C" w:rsidP="004E687C">
      <w:pPr>
        <w:pStyle w:val="TM2"/>
        <w:tabs>
          <w:tab w:val="left" w:pos="1100"/>
          <w:tab w:val="right" w:leader="dot" w:pos="9062"/>
        </w:tabs>
        <w:rPr>
          <w:rFonts w:eastAsiaTheme="minorEastAsia"/>
          <w:noProof/>
        </w:rPr>
      </w:pPr>
      <w:hyperlink w:anchor="_Toc191284966" w:history="1">
        <w:r w:rsidRPr="00682194">
          <w:rPr>
            <w:rStyle w:val="Lienhypertexte"/>
            <w:noProof/>
          </w:rPr>
          <w:t>1. 2.</w:t>
        </w:r>
        <w:r>
          <w:rPr>
            <w:rFonts w:eastAsiaTheme="minorEastAsia"/>
            <w:noProof/>
          </w:rPr>
          <w:tab/>
        </w:r>
        <w:r w:rsidRPr="00682194">
          <w:rPr>
            <w:rStyle w:val="Lienhypertexte"/>
            <w:noProof/>
          </w:rPr>
          <w:t>Définition du climat de référence</w:t>
        </w:r>
        <w:r>
          <w:rPr>
            <w:noProof/>
            <w:webHidden/>
          </w:rPr>
          <w:tab/>
        </w:r>
        <w:r>
          <w:rPr>
            <w:noProof/>
            <w:webHidden/>
          </w:rPr>
          <w:fldChar w:fldCharType="begin"/>
        </w:r>
        <w:r>
          <w:rPr>
            <w:noProof/>
            <w:webHidden/>
          </w:rPr>
          <w:instrText xml:space="preserve"> PAGEREF _Toc191284966 \h </w:instrText>
        </w:r>
        <w:r>
          <w:rPr>
            <w:noProof/>
            <w:webHidden/>
          </w:rPr>
        </w:r>
        <w:r>
          <w:rPr>
            <w:noProof/>
            <w:webHidden/>
          </w:rPr>
          <w:fldChar w:fldCharType="separate"/>
        </w:r>
        <w:r>
          <w:rPr>
            <w:noProof/>
            <w:webHidden/>
          </w:rPr>
          <w:t>3</w:t>
        </w:r>
        <w:r>
          <w:rPr>
            <w:noProof/>
            <w:webHidden/>
          </w:rPr>
          <w:fldChar w:fldCharType="end"/>
        </w:r>
      </w:hyperlink>
    </w:p>
    <w:p w14:paraId="1FBE984F" w14:textId="77777777" w:rsidR="004E687C" w:rsidRDefault="004E687C" w:rsidP="004E687C">
      <w:pPr>
        <w:pStyle w:val="TM3"/>
        <w:tabs>
          <w:tab w:val="left" w:pos="1320"/>
          <w:tab w:val="right" w:leader="dot" w:pos="9062"/>
        </w:tabs>
        <w:rPr>
          <w:rFonts w:eastAsiaTheme="minorEastAsia"/>
          <w:noProof/>
        </w:rPr>
      </w:pPr>
      <w:hyperlink w:anchor="_Toc191284967" w:history="1">
        <w:r w:rsidRPr="00682194">
          <w:rPr>
            <w:rStyle w:val="Lienhypertexte"/>
            <w:noProof/>
          </w:rPr>
          <w:t>1.2. 1.</w:t>
        </w:r>
        <w:r>
          <w:rPr>
            <w:rFonts w:eastAsiaTheme="minorEastAsia"/>
            <w:noProof/>
          </w:rPr>
          <w:tab/>
        </w:r>
        <w:r w:rsidRPr="00682194">
          <w:rPr>
            <w:rStyle w:val="Lienhypertexte"/>
            <w:noProof/>
          </w:rPr>
          <w:t>Choix de la période climatique de base ou  normale</w:t>
        </w:r>
        <w:r>
          <w:rPr>
            <w:noProof/>
            <w:webHidden/>
          </w:rPr>
          <w:tab/>
        </w:r>
        <w:r>
          <w:rPr>
            <w:noProof/>
            <w:webHidden/>
          </w:rPr>
          <w:fldChar w:fldCharType="begin"/>
        </w:r>
        <w:r>
          <w:rPr>
            <w:noProof/>
            <w:webHidden/>
          </w:rPr>
          <w:instrText xml:space="preserve"> PAGEREF _Toc191284967 \h </w:instrText>
        </w:r>
        <w:r>
          <w:rPr>
            <w:noProof/>
            <w:webHidden/>
          </w:rPr>
        </w:r>
        <w:r>
          <w:rPr>
            <w:noProof/>
            <w:webHidden/>
          </w:rPr>
          <w:fldChar w:fldCharType="separate"/>
        </w:r>
        <w:r>
          <w:rPr>
            <w:noProof/>
            <w:webHidden/>
          </w:rPr>
          <w:t>4</w:t>
        </w:r>
        <w:r>
          <w:rPr>
            <w:noProof/>
            <w:webHidden/>
          </w:rPr>
          <w:fldChar w:fldCharType="end"/>
        </w:r>
      </w:hyperlink>
    </w:p>
    <w:p w14:paraId="6DE5BF07" w14:textId="77777777" w:rsidR="004E687C" w:rsidRDefault="004E687C" w:rsidP="004E687C">
      <w:pPr>
        <w:pStyle w:val="TM3"/>
        <w:tabs>
          <w:tab w:val="left" w:pos="1320"/>
          <w:tab w:val="right" w:leader="dot" w:pos="9062"/>
        </w:tabs>
        <w:rPr>
          <w:rFonts w:eastAsiaTheme="minorEastAsia"/>
          <w:noProof/>
        </w:rPr>
      </w:pPr>
      <w:hyperlink w:anchor="_Toc191284968" w:history="1">
        <w:r w:rsidRPr="00682194">
          <w:rPr>
            <w:rStyle w:val="Lienhypertexte"/>
            <w:noProof/>
          </w:rPr>
          <w:t>1.2. 2.</w:t>
        </w:r>
        <w:r>
          <w:rPr>
            <w:rFonts w:eastAsiaTheme="minorEastAsia"/>
            <w:noProof/>
          </w:rPr>
          <w:tab/>
        </w:r>
        <w:r w:rsidRPr="00682194">
          <w:rPr>
            <w:rStyle w:val="Lienhypertexte"/>
            <w:noProof/>
          </w:rPr>
          <w:t>Données de base pour l’évaluation du climat actuel</w:t>
        </w:r>
        <w:r>
          <w:rPr>
            <w:noProof/>
            <w:webHidden/>
          </w:rPr>
          <w:tab/>
        </w:r>
        <w:r>
          <w:rPr>
            <w:noProof/>
            <w:webHidden/>
          </w:rPr>
          <w:fldChar w:fldCharType="begin"/>
        </w:r>
        <w:r>
          <w:rPr>
            <w:noProof/>
            <w:webHidden/>
          </w:rPr>
          <w:instrText xml:space="preserve"> PAGEREF _Toc191284968 \h </w:instrText>
        </w:r>
        <w:r>
          <w:rPr>
            <w:noProof/>
            <w:webHidden/>
          </w:rPr>
        </w:r>
        <w:r>
          <w:rPr>
            <w:noProof/>
            <w:webHidden/>
          </w:rPr>
          <w:fldChar w:fldCharType="separate"/>
        </w:r>
        <w:r>
          <w:rPr>
            <w:noProof/>
            <w:webHidden/>
          </w:rPr>
          <w:t>5</w:t>
        </w:r>
        <w:r>
          <w:rPr>
            <w:noProof/>
            <w:webHidden/>
          </w:rPr>
          <w:fldChar w:fldCharType="end"/>
        </w:r>
      </w:hyperlink>
    </w:p>
    <w:p w14:paraId="21DE4F74" w14:textId="77777777" w:rsidR="004E687C" w:rsidRDefault="004E687C" w:rsidP="004E687C">
      <w:pPr>
        <w:pStyle w:val="TM3"/>
        <w:tabs>
          <w:tab w:val="left" w:pos="1320"/>
          <w:tab w:val="right" w:leader="dot" w:pos="9062"/>
        </w:tabs>
        <w:rPr>
          <w:rFonts w:eastAsiaTheme="minorEastAsia"/>
          <w:noProof/>
        </w:rPr>
      </w:pPr>
      <w:hyperlink w:anchor="_Toc191284969" w:history="1">
        <w:r w:rsidRPr="00682194">
          <w:rPr>
            <w:rStyle w:val="Lienhypertexte"/>
            <w:noProof/>
          </w:rPr>
          <w:t>1.2. 3.</w:t>
        </w:r>
        <w:r>
          <w:rPr>
            <w:rFonts w:eastAsiaTheme="minorEastAsia"/>
            <w:noProof/>
          </w:rPr>
          <w:tab/>
        </w:r>
        <w:r w:rsidRPr="00682194">
          <w:rPr>
            <w:rStyle w:val="Lienhypertexte"/>
            <w:noProof/>
          </w:rPr>
          <w:t>Sources de données de base</w:t>
        </w:r>
        <w:r>
          <w:rPr>
            <w:noProof/>
            <w:webHidden/>
          </w:rPr>
          <w:tab/>
        </w:r>
        <w:r>
          <w:rPr>
            <w:noProof/>
            <w:webHidden/>
          </w:rPr>
          <w:fldChar w:fldCharType="begin"/>
        </w:r>
        <w:r>
          <w:rPr>
            <w:noProof/>
            <w:webHidden/>
          </w:rPr>
          <w:instrText xml:space="preserve"> PAGEREF _Toc191284969 \h </w:instrText>
        </w:r>
        <w:r>
          <w:rPr>
            <w:noProof/>
            <w:webHidden/>
          </w:rPr>
        </w:r>
        <w:r>
          <w:rPr>
            <w:noProof/>
            <w:webHidden/>
          </w:rPr>
          <w:fldChar w:fldCharType="separate"/>
        </w:r>
        <w:r>
          <w:rPr>
            <w:noProof/>
            <w:webHidden/>
          </w:rPr>
          <w:t>6</w:t>
        </w:r>
        <w:r>
          <w:rPr>
            <w:noProof/>
            <w:webHidden/>
          </w:rPr>
          <w:fldChar w:fldCharType="end"/>
        </w:r>
      </w:hyperlink>
    </w:p>
    <w:p w14:paraId="689ADBCC" w14:textId="77777777" w:rsidR="004E687C" w:rsidRDefault="004E687C" w:rsidP="004E687C">
      <w:pPr>
        <w:pStyle w:val="TM1"/>
        <w:tabs>
          <w:tab w:val="left" w:pos="480"/>
        </w:tabs>
        <w:rPr>
          <w:rFonts w:asciiTheme="minorHAnsi" w:eastAsiaTheme="minorEastAsia" w:hAnsiTheme="minorHAnsi" w:cstheme="minorBidi"/>
        </w:rPr>
      </w:pPr>
      <w:hyperlink w:anchor="_Toc191284970" w:history="1">
        <w:r w:rsidRPr="00682194">
          <w:rPr>
            <w:rStyle w:val="Lienhypertexte"/>
          </w:rPr>
          <w:t>II.</w:t>
        </w:r>
        <w:r>
          <w:rPr>
            <w:rFonts w:asciiTheme="minorHAnsi" w:eastAsiaTheme="minorEastAsia" w:hAnsiTheme="minorHAnsi" w:cstheme="minorBidi"/>
          </w:rPr>
          <w:tab/>
        </w:r>
        <w:r w:rsidRPr="00682194">
          <w:rPr>
            <w:rStyle w:val="Lienhypertexte"/>
          </w:rPr>
          <w:t>Le système de l’observation actuel</w:t>
        </w:r>
        <w:r>
          <w:rPr>
            <w:webHidden/>
          </w:rPr>
          <w:tab/>
        </w:r>
        <w:r>
          <w:rPr>
            <w:webHidden/>
          </w:rPr>
          <w:fldChar w:fldCharType="begin"/>
        </w:r>
        <w:r>
          <w:rPr>
            <w:webHidden/>
          </w:rPr>
          <w:instrText xml:space="preserve"> PAGEREF _Toc191284970 \h </w:instrText>
        </w:r>
        <w:r>
          <w:rPr>
            <w:webHidden/>
          </w:rPr>
        </w:r>
        <w:r>
          <w:rPr>
            <w:webHidden/>
          </w:rPr>
          <w:fldChar w:fldCharType="separate"/>
        </w:r>
        <w:r>
          <w:rPr>
            <w:webHidden/>
          </w:rPr>
          <w:t>6</w:t>
        </w:r>
        <w:r>
          <w:rPr>
            <w:webHidden/>
          </w:rPr>
          <w:fldChar w:fldCharType="end"/>
        </w:r>
      </w:hyperlink>
    </w:p>
    <w:p w14:paraId="17EF05F7" w14:textId="77777777" w:rsidR="004E687C" w:rsidRDefault="004E687C" w:rsidP="004E687C">
      <w:pPr>
        <w:pStyle w:val="TM2"/>
        <w:tabs>
          <w:tab w:val="left" w:pos="1100"/>
          <w:tab w:val="right" w:leader="dot" w:pos="9062"/>
        </w:tabs>
        <w:rPr>
          <w:rFonts w:eastAsiaTheme="minorEastAsia"/>
          <w:noProof/>
        </w:rPr>
      </w:pPr>
      <w:hyperlink w:anchor="_Toc191284971" w:history="1">
        <w:r w:rsidRPr="00682194">
          <w:rPr>
            <w:rStyle w:val="Lienhypertexte"/>
            <w:noProof/>
          </w:rPr>
          <w:t>2. 1.</w:t>
        </w:r>
        <w:r>
          <w:rPr>
            <w:rFonts w:eastAsiaTheme="minorEastAsia"/>
            <w:noProof/>
          </w:rPr>
          <w:tab/>
        </w:r>
        <w:r w:rsidRPr="00682194">
          <w:rPr>
            <w:rStyle w:val="Lienhypertexte"/>
            <w:noProof/>
          </w:rPr>
          <w:t>Les stations synoptiques</w:t>
        </w:r>
        <w:r>
          <w:rPr>
            <w:noProof/>
            <w:webHidden/>
          </w:rPr>
          <w:tab/>
        </w:r>
        <w:r>
          <w:rPr>
            <w:noProof/>
            <w:webHidden/>
          </w:rPr>
          <w:fldChar w:fldCharType="begin"/>
        </w:r>
        <w:r>
          <w:rPr>
            <w:noProof/>
            <w:webHidden/>
          </w:rPr>
          <w:instrText xml:space="preserve"> PAGEREF _Toc191284971 \h </w:instrText>
        </w:r>
        <w:r>
          <w:rPr>
            <w:noProof/>
            <w:webHidden/>
          </w:rPr>
        </w:r>
        <w:r>
          <w:rPr>
            <w:noProof/>
            <w:webHidden/>
          </w:rPr>
          <w:fldChar w:fldCharType="separate"/>
        </w:r>
        <w:r>
          <w:rPr>
            <w:noProof/>
            <w:webHidden/>
          </w:rPr>
          <w:t>6</w:t>
        </w:r>
        <w:r>
          <w:rPr>
            <w:noProof/>
            <w:webHidden/>
          </w:rPr>
          <w:fldChar w:fldCharType="end"/>
        </w:r>
      </w:hyperlink>
    </w:p>
    <w:p w14:paraId="47C49AF0" w14:textId="77777777" w:rsidR="004E687C" w:rsidRDefault="004E687C" w:rsidP="004E687C">
      <w:pPr>
        <w:pStyle w:val="TM2"/>
        <w:tabs>
          <w:tab w:val="left" w:pos="1100"/>
          <w:tab w:val="right" w:leader="dot" w:pos="9062"/>
        </w:tabs>
        <w:rPr>
          <w:rFonts w:eastAsiaTheme="minorEastAsia"/>
          <w:noProof/>
        </w:rPr>
      </w:pPr>
      <w:hyperlink w:anchor="_Toc191284972" w:history="1">
        <w:r w:rsidRPr="00682194">
          <w:rPr>
            <w:rStyle w:val="Lienhypertexte"/>
            <w:noProof/>
          </w:rPr>
          <w:t>2. 2.</w:t>
        </w:r>
        <w:r>
          <w:rPr>
            <w:rFonts w:eastAsiaTheme="minorEastAsia"/>
            <w:noProof/>
          </w:rPr>
          <w:tab/>
        </w:r>
        <w:r w:rsidRPr="00682194">
          <w:rPr>
            <w:rStyle w:val="Lienhypertexte"/>
            <w:noProof/>
          </w:rPr>
          <w:t>Les stations climatiques</w:t>
        </w:r>
        <w:r>
          <w:rPr>
            <w:noProof/>
            <w:webHidden/>
          </w:rPr>
          <w:tab/>
        </w:r>
        <w:r>
          <w:rPr>
            <w:noProof/>
            <w:webHidden/>
          </w:rPr>
          <w:fldChar w:fldCharType="begin"/>
        </w:r>
        <w:r>
          <w:rPr>
            <w:noProof/>
            <w:webHidden/>
          </w:rPr>
          <w:instrText xml:space="preserve"> PAGEREF _Toc191284972 \h </w:instrText>
        </w:r>
        <w:r>
          <w:rPr>
            <w:noProof/>
            <w:webHidden/>
          </w:rPr>
        </w:r>
        <w:r>
          <w:rPr>
            <w:noProof/>
            <w:webHidden/>
          </w:rPr>
          <w:fldChar w:fldCharType="separate"/>
        </w:r>
        <w:r>
          <w:rPr>
            <w:noProof/>
            <w:webHidden/>
          </w:rPr>
          <w:t>7</w:t>
        </w:r>
        <w:r>
          <w:rPr>
            <w:noProof/>
            <w:webHidden/>
          </w:rPr>
          <w:fldChar w:fldCharType="end"/>
        </w:r>
      </w:hyperlink>
    </w:p>
    <w:p w14:paraId="5C78CA98" w14:textId="77777777" w:rsidR="004E687C" w:rsidRDefault="004E687C" w:rsidP="004E687C">
      <w:pPr>
        <w:pStyle w:val="TM2"/>
        <w:tabs>
          <w:tab w:val="left" w:pos="1100"/>
          <w:tab w:val="right" w:leader="dot" w:pos="9062"/>
        </w:tabs>
        <w:rPr>
          <w:rFonts w:eastAsiaTheme="minorEastAsia"/>
          <w:noProof/>
        </w:rPr>
      </w:pPr>
      <w:hyperlink w:anchor="_Toc191284973" w:history="1">
        <w:r w:rsidRPr="00682194">
          <w:rPr>
            <w:rStyle w:val="Lienhypertexte"/>
            <w:noProof/>
          </w:rPr>
          <w:t>2. 3.</w:t>
        </w:r>
        <w:r>
          <w:rPr>
            <w:rFonts w:eastAsiaTheme="minorEastAsia"/>
            <w:noProof/>
          </w:rPr>
          <w:tab/>
        </w:r>
        <w:r w:rsidRPr="00682194">
          <w:rPr>
            <w:rStyle w:val="Lienhypertexte"/>
            <w:noProof/>
          </w:rPr>
          <w:t>Les stations climatiques réactivées</w:t>
        </w:r>
        <w:r>
          <w:rPr>
            <w:noProof/>
            <w:webHidden/>
          </w:rPr>
          <w:tab/>
        </w:r>
        <w:r>
          <w:rPr>
            <w:noProof/>
            <w:webHidden/>
          </w:rPr>
          <w:fldChar w:fldCharType="begin"/>
        </w:r>
        <w:r>
          <w:rPr>
            <w:noProof/>
            <w:webHidden/>
          </w:rPr>
          <w:instrText xml:space="preserve"> PAGEREF _Toc191284973 \h </w:instrText>
        </w:r>
        <w:r>
          <w:rPr>
            <w:noProof/>
            <w:webHidden/>
          </w:rPr>
        </w:r>
        <w:r>
          <w:rPr>
            <w:noProof/>
            <w:webHidden/>
          </w:rPr>
          <w:fldChar w:fldCharType="separate"/>
        </w:r>
        <w:r>
          <w:rPr>
            <w:noProof/>
            <w:webHidden/>
          </w:rPr>
          <w:t>7</w:t>
        </w:r>
        <w:r>
          <w:rPr>
            <w:noProof/>
            <w:webHidden/>
          </w:rPr>
          <w:fldChar w:fldCharType="end"/>
        </w:r>
      </w:hyperlink>
    </w:p>
    <w:p w14:paraId="21010828" w14:textId="77777777" w:rsidR="004E687C" w:rsidRDefault="004E687C" w:rsidP="004E687C">
      <w:pPr>
        <w:pStyle w:val="TM2"/>
        <w:tabs>
          <w:tab w:val="left" w:pos="1100"/>
          <w:tab w:val="right" w:leader="dot" w:pos="9062"/>
        </w:tabs>
        <w:rPr>
          <w:rFonts w:eastAsiaTheme="minorEastAsia"/>
          <w:noProof/>
        </w:rPr>
      </w:pPr>
      <w:hyperlink w:anchor="_Toc191284974" w:history="1">
        <w:r w:rsidRPr="00682194">
          <w:rPr>
            <w:rStyle w:val="Lienhypertexte"/>
            <w:noProof/>
          </w:rPr>
          <w:t>2. 4.</w:t>
        </w:r>
        <w:r>
          <w:rPr>
            <w:rFonts w:eastAsiaTheme="minorEastAsia"/>
            <w:noProof/>
          </w:rPr>
          <w:tab/>
        </w:r>
        <w:r w:rsidRPr="00682194">
          <w:rPr>
            <w:rStyle w:val="Lienhypertexte"/>
            <w:noProof/>
          </w:rPr>
          <w:t>Les postes pluviométriques</w:t>
        </w:r>
        <w:r>
          <w:rPr>
            <w:noProof/>
            <w:webHidden/>
          </w:rPr>
          <w:tab/>
        </w:r>
        <w:r>
          <w:rPr>
            <w:noProof/>
            <w:webHidden/>
          </w:rPr>
          <w:fldChar w:fldCharType="begin"/>
        </w:r>
        <w:r>
          <w:rPr>
            <w:noProof/>
            <w:webHidden/>
          </w:rPr>
          <w:instrText xml:space="preserve"> PAGEREF _Toc191284974 \h </w:instrText>
        </w:r>
        <w:r>
          <w:rPr>
            <w:noProof/>
            <w:webHidden/>
          </w:rPr>
        </w:r>
        <w:r>
          <w:rPr>
            <w:noProof/>
            <w:webHidden/>
          </w:rPr>
          <w:fldChar w:fldCharType="separate"/>
        </w:r>
        <w:r>
          <w:rPr>
            <w:noProof/>
            <w:webHidden/>
          </w:rPr>
          <w:t>7</w:t>
        </w:r>
        <w:r>
          <w:rPr>
            <w:noProof/>
            <w:webHidden/>
          </w:rPr>
          <w:fldChar w:fldCharType="end"/>
        </w:r>
      </w:hyperlink>
    </w:p>
    <w:p w14:paraId="3FA29F54" w14:textId="77777777" w:rsidR="004E687C" w:rsidRDefault="004E687C" w:rsidP="004E687C">
      <w:pPr>
        <w:pStyle w:val="TM2"/>
        <w:tabs>
          <w:tab w:val="left" w:pos="1100"/>
          <w:tab w:val="right" w:leader="dot" w:pos="9062"/>
        </w:tabs>
        <w:rPr>
          <w:rFonts w:eastAsiaTheme="minorEastAsia"/>
          <w:noProof/>
        </w:rPr>
      </w:pPr>
      <w:hyperlink w:anchor="_Toc191284975" w:history="1">
        <w:r w:rsidRPr="00682194">
          <w:rPr>
            <w:rStyle w:val="Lienhypertexte"/>
            <w:noProof/>
          </w:rPr>
          <w:t>2. 5.</w:t>
        </w:r>
        <w:r>
          <w:rPr>
            <w:rFonts w:eastAsiaTheme="minorEastAsia"/>
            <w:noProof/>
          </w:rPr>
          <w:tab/>
        </w:r>
        <w:r w:rsidRPr="00682194">
          <w:rPr>
            <w:rStyle w:val="Lienhypertexte"/>
            <w:noProof/>
          </w:rPr>
          <w:t>Les postes pluviométriques fiables de longues séries</w:t>
        </w:r>
        <w:r>
          <w:rPr>
            <w:noProof/>
            <w:webHidden/>
          </w:rPr>
          <w:tab/>
        </w:r>
        <w:r>
          <w:rPr>
            <w:noProof/>
            <w:webHidden/>
          </w:rPr>
          <w:fldChar w:fldCharType="begin"/>
        </w:r>
        <w:r>
          <w:rPr>
            <w:noProof/>
            <w:webHidden/>
          </w:rPr>
          <w:instrText xml:space="preserve"> PAGEREF _Toc191284975 \h </w:instrText>
        </w:r>
        <w:r>
          <w:rPr>
            <w:noProof/>
            <w:webHidden/>
          </w:rPr>
        </w:r>
        <w:r>
          <w:rPr>
            <w:noProof/>
            <w:webHidden/>
          </w:rPr>
          <w:fldChar w:fldCharType="separate"/>
        </w:r>
        <w:r>
          <w:rPr>
            <w:noProof/>
            <w:webHidden/>
          </w:rPr>
          <w:t>8</w:t>
        </w:r>
        <w:r>
          <w:rPr>
            <w:noProof/>
            <w:webHidden/>
          </w:rPr>
          <w:fldChar w:fldCharType="end"/>
        </w:r>
      </w:hyperlink>
    </w:p>
    <w:p w14:paraId="5CC72737" w14:textId="77777777" w:rsidR="004E687C" w:rsidRDefault="004E687C" w:rsidP="004E687C">
      <w:pPr>
        <w:pStyle w:val="TM1"/>
        <w:tabs>
          <w:tab w:val="left" w:pos="660"/>
        </w:tabs>
        <w:rPr>
          <w:rFonts w:asciiTheme="minorHAnsi" w:eastAsiaTheme="minorEastAsia" w:hAnsiTheme="minorHAnsi" w:cstheme="minorBidi"/>
        </w:rPr>
      </w:pPr>
      <w:hyperlink w:anchor="_Toc191284976" w:history="1">
        <w:r w:rsidRPr="00682194">
          <w:rPr>
            <w:rStyle w:val="Lienhypertexte"/>
          </w:rPr>
          <w:t>III.</w:t>
        </w:r>
        <w:r>
          <w:rPr>
            <w:rFonts w:asciiTheme="minorHAnsi" w:eastAsiaTheme="minorEastAsia" w:hAnsiTheme="minorHAnsi" w:cstheme="minorBidi"/>
          </w:rPr>
          <w:tab/>
        </w:r>
        <w:r w:rsidRPr="00682194">
          <w:rPr>
            <w:rStyle w:val="Lienhypertexte"/>
          </w:rPr>
          <w:t>Changements observés dans le climat et leurs effets</w:t>
        </w:r>
        <w:r>
          <w:rPr>
            <w:webHidden/>
          </w:rPr>
          <w:tab/>
        </w:r>
        <w:r>
          <w:rPr>
            <w:webHidden/>
          </w:rPr>
          <w:fldChar w:fldCharType="begin"/>
        </w:r>
        <w:r>
          <w:rPr>
            <w:webHidden/>
          </w:rPr>
          <w:instrText xml:space="preserve"> PAGEREF _Toc191284976 \h </w:instrText>
        </w:r>
        <w:r>
          <w:rPr>
            <w:webHidden/>
          </w:rPr>
        </w:r>
        <w:r>
          <w:rPr>
            <w:webHidden/>
          </w:rPr>
          <w:fldChar w:fldCharType="separate"/>
        </w:r>
        <w:r>
          <w:rPr>
            <w:webHidden/>
          </w:rPr>
          <w:t>9</w:t>
        </w:r>
        <w:r>
          <w:rPr>
            <w:webHidden/>
          </w:rPr>
          <w:fldChar w:fldCharType="end"/>
        </w:r>
      </w:hyperlink>
    </w:p>
    <w:p w14:paraId="5F3850AE" w14:textId="77777777" w:rsidR="004E687C" w:rsidRDefault="004E687C" w:rsidP="004E687C">
      <w:pPr>
        <w:pStyle w:val="TM2"/>
        <w:tabs>
          <w:tab w:val="left" w:pos="1100"/>
          <w:tab w:val="right" w:leader="dot" w:pos="9062"/>
        </w:tabs>
        <w:rPr>
          <w:rFonts w:eastAsiaTheme="minorEastAsia"/>
          <w:noProof/>
        </w:rPr>
      </w:pPr>
      <w:hyperlink w:anchor="_Toc191284977" w:history="1">
        <w:r w:rsidRPr="00682194">
          <w:rPr>
            <w:rStyle w:val="Lienhypertexte"/>
            <w:noProof/>
          </w:rPr>
          <w:t>3. 1.</w:t>
        </w:r>
        <w:r>
          <w:rPr>
            <w:rFonts w:eastAsiaTheme="minorEastAsia"/>
            <w:noProof/>
          </w:rPr>
          <w:tab/>
        </w:r>
        <w:r w:rsidRPr="00682194">
          <w:rPr>
            <w:rStyle w:val="Lienhypertexte"/>
            <w:noProof/>
          </w:rPr>
          <w:t>La méthodologie d’évaluation</w:t>
        </w:r>
        <w:r>
          <w:rPr>
            <w:noProof/>
            <w:webHidden/>
          </w:rPr>
          <w:tab/>
        </w:r>
        <w:r>
          <w:rPr>
            <w:noProof/>
            <w:webHidden/>
          </w:rPr>
          <w:fldChar w:fldCharType="begin"/>
        </w:r>
        <w:r>
          <w:rPr>
            <w:noProof/>
            <w:webHidden/>
          </w:rPr>
          <w:instrText xml:space="preserve"> PAGEREF _Toc191284977 \h </w:instrText>
        </w:r>
        <w:r>
          <w:rPr>
            <w:noProof/>
            <w:webHidden/>
          </w:rPr>
        </w:r>
        <w:r>
          <w:rPr>
            <w:noProof/>
            <w:webHidden/>
          </w:rPr>
          <w:fldChar w:fldCharType="separate"/>
        </w:r>
        <w:r>
          <w:rPr>
            <w:noProof/>
            <w:webHidden/>
          </w:rPr>
          <w:t>9</w:t>
        </w:r>
        <w:r>
          <w:rPr>
            <w:noProof/>
            <w:webHidden/>
          </w:rPr>
          <w:fldChar w:fldCharType="end"/>
        </w:r>
      </w:hyperlink>
    </w:p>
    <w:p w14:paraId="0E7C0C0A" w14:textId="77777777" w:rsidR="004E687C" w:rsidRDefault="004E687C" w:rsidP="004E687C">
      <w:pPr>
        <w:pStyle w:val="TM2"/>
        <w:tabs>
          <w:tab w:val="left" w:pos="1100"/>
          <w:tab w:val="right" w:leader="dot" w:pos="9062"/>
        </w:tabs>
        <w:rPr>
          <w:rFonts w:eastAsiaTheme="minorEastAsia"/>
          <w:noProof/>
        </w:rPr>
      </w:pPr>
      <w:hyperlink w:anchor="_Toc191284978" w:history="1">
        <w:r w:rsidRPr="00682194">
          <w:rPr>
            <w:rStyle w:val="Lienhypertexte"/>
            <w:noProof/>
          </w:rPr>
          <w:t>3. 2.</w:t>
        </w:r>
        <w:r>
          <w:rPr>
            <w:rFonts w:eastAsiaTheme="minorEastAsia"/>
            <w:noProof/>
          </w:rPr>
          <w:tab/>
        </w:r>
        <w:r w:rsidRPr="00682194">
          <w:rPr>
            <w:rStyle w:val="Lienhypertexte"/>
            <w:noProof/>
          </w:rPr>
          <w:t>La sécheresse</w:t>
        </w:r>
        <w:r>
          <w:rPr>
            <w:noProof/>
            <w:webHidden/>
          </w:rPr>
          <w:tab/>
        </w:r>
        <w:r>
          <w:rPr>
            <w:noProof/>
            <w:webHidden/>
          </w:rPr>
          <w:fldChar w:fldCharType="begin"/>
        </w:r>
        <w:r>
          <w:rPr>
            <w:noProof/>
            <w:webHidden/>
          </w:rPr>
          <w:instrText xml:space="preserve"> PAGEREF _Toc191284978 \h </w:instrText>
        </w:r>
        <w:r>
          <w:rPr>
            <w:noProof/>
            <w:webHidden/>
          </w:rPr>
        </w:r>
        <w:r>
          <w:rPr>
            <w:noProof/>
            <w:webHidden/>
          </w:rPr>
          <w:fldChar w:fldCharType="separate"/>
        </w:r>
        <w:r>
          <w:rPr>
            <w:noProof/>
            <w:webHidden/>
          </w:rPr>
          <w:t>9</w:t>
        </w:r>
        <w:r>
          <w:rPr>
            <w:noProof/>
            <w:webHidden/>
          </w:rPr>
          <w:fldChar w:fldCharType="end"/>
        </w:r>
      </w:hyperlink>
    </w:p>
    <w:p w14:paraId="47E69387" w14:textId="77777777" w:rsidR="004E687C" w:rsidRDefault="004E687C" w:rsidP="004E687C">
      <w:pPr>
        <w:pStyle w:val="TM3"/>
        <w:tabs>
          <w:tab w:val="left" w:pos="1320"/>
          <w:tab w:val="right" w:leader="dot" w:pos="9062"/>
        </w:tabs>
        <w:rPr>
          <w:rFonts w:eastAsiaTheme="minorEastAsia"/>
          <w:noProof/>
        </w:rPr>
      </w:pPr>
      <w:hyperlink w:anchor="_Toc191284979" w:history="1">
        <w:r w:rsidRPr="00682194">
          <w:rPr>
            <w:rStyle w:val="Lienhypertexte"/>
            <w:noProof/>
          </w:rPr>
          <w:t>3.2. 1.</w:t>
        </w:r>
        <w:r>
          <w:rPr>
            <w:rFonts w:eastAsiaTheme="minorEastAsia"/>
            <w:noProof/>
          </w:rPr>
          <w:tab/>
        </w:r>
        <w:r w:rsidRPr="00682194">
          <w:rPr>
            <w:rStyle w:val="Lienhypertexte"/>
            <w:noProof/>
          </w:rPr>
          <w:t>Evolution des précipitations totales</w:t>
        </w:r>
        <w:r>
          <w:rPr>
            <w:noProof/>
            <w:webHidden/>
          </w:rPr>
          <w:tab/>
        </w:r>
        <w:r>
          <w:rPr>
            <w:noProof/>
            <w:webHidden/>
          </w:rPr>
          <w:fldChar w:fldCharType="begin"/>
        </w:r>
        <w:r>
          <w:rPr>
            <w:noProof/>
            <w:webHidden/>
          </w:rPr>
          <w:instrText xml:space="preserve"> PAGEREF _Toc191284979 \h </w:instrText>
        </w:r>
        <w:r>
          <w:rPr>
            <w:noProof/>
            <w:webHidden/>
          </w:rPr>
        </w:r>
        <w:r>
          <w:rPr>
            <w:noProof/>
            <w:webHidden/>
          </w:rPr>
          <w:fldChar w:fldCharType="separate"/>
        </w:r>
        <w:r>
          <w:rPr>
            <w:noProof/>
            <w:webHidden/>
          </w:rPr>
          <w:t>9</w:t>
        </w:r>
        <w:r>
          <w:rPr>
            <w:noProof/>
            <w:webHidden/>
          </w:rPr>
          <w:fldChar w:fldCharType="end"/>
        </w:r>
      </w:hyperlink>
    </w:p>
    <w:p w14:paraId="73B68F36" w14:textId="77777777" w:rsidR="004E687C" w:rsidRDefault="004E687C" w:rsidP="004E687C">
      <w:pPr>
        <w:pStyle w:val="TM3"/>
        <w:tabs>
          <w:tab w:val="left" w:pos="1320"/>
          <w:tab w:val="right" w:leader="dot" w:pos="9062"/>
        </w:tabs>
        <w:rPr>
          <w:rFonts w:eastAsiaTheme="minorEastAsia"/>
          <w:noProof/>
        </w:rPr>
      </w:pPr>
      <w:hyperlink w:anchor="_Toc191284980" w:history="1">
        <w:r w:rsidRPr="00682194">
          <w:rPr>
            <w:rStyle w:val="Lienhypertexte"/>
            <w:noProof/>
          </w:rPr>
          <w:t>3.2. 2.</w:t>
        </w:r>
        <w:r>
          <w:rPr>
            <w:rFonts w:eastAsiaTheme="minorEastAsia"/>
            <w:noProof/>
          </w:rPr>
          <w:tab/>
        </w:r>
        <w:r w:rsidRPr="00682194">
          <w:rPr>
            <w:rStyle w:val="Lienhypertexte"/>
            <w:noProof/>
          </w:rPr>
          <w:t>Impactes socioéconomiques</w:t>
        </w:r>
        <w:r>
          <w:rPr>
            <w:noProof/>
            <w:webHidden/>
          </w:rPr>
          <w:tab/>
        </w:r>
        <w:r>
          <w:rPr>
            <w:noProof/>
            <w:webHidden/>
          </w:rPr>
          <w:fldChar w:fldCharType="begin"/>
        </w:r>
        <w:r>
          <w:rPr>
            <w:noProof/>
            <w:webHidden/>
          </w:rPr>
          <w:instrText xml:space="preserve"> PAGEREF _Toc191284980 \h </w:instrText>
        </w:r>
        <w:r>
          <w:rPr>
            <w:noProof/>
            <w:webHidden/>
          </w:rPr>
        </w:r>
        <w:r>
          <w:rPr>
            <w:noProof/>
            <w:webHidden/>
          </w:rPr>
          <w:fldChar w:fldCharType="separate"/>
        </w:r>
        <w:r>
          <w:rPr>
            <w:noProof/>
            <w:webHidden/>
          </w:rPr>
          <w:t>10</w:t>
        </w:r>
        <w:r>
          <w:rPr>
            <w:noProof/>
            <w:webHidden/>
          </w:rPr>
          <w:fldChar w:fldCharType="end"/>
        </w:r>
      </w:hyperlink>
    </w:p>
    <w:p w14:paraId="3DA0FD68" w14:textId="77777777" w:rsidR="004E687C" w:rsidRDefault="004E687C" w:rsidP="004E687C">
      <w:pPr>
        <w:pStyle w:val="TM3"/>
        <w:tabs>
          <w:tab w:val="left" w:pos="1320"/>
          <w:tab w:val="right" w:leader="dot" w:pos="9062"/>
        </w:tabs>
        <w:rPr>
          <w:rFonts w:eastAsiaTheme="minorEastAsia"/>
          <w:noProof/>
        </w:rPr>
      </w:pPr>
      <w:hyperlink w:anchor="_Toc191284981" w:history="1">
        <w:r w:rsidRPr="00682194">
          <w:rPr>
            <w:rStyle w:val="Lienhypertexte"/>
            <w:noProof/>
          </w:rPr>
          <w:t>3.2. 3.</w:t>
        </w:r>
        <w:r>
          <w:rPr>
            <w:rFonts w:eastAsiaTheme="minorEastAsia"/>
            <w:noProof/>
          </w:rPr>
          <w:tab/>
        </w:r>
        <w:r w:rsidRPr="00682194">
          <w:rPr>
            <w:rStyle w:val="Lienhypertexte"/>
            <w:noProof/>
          </w:rPr>
          <w:t>La longueur de la période sèche</w:t>
        </w:r>
        <w:r>
          <w:rPr>
            <w:noProof/>
            <w:webHidden/>
          </w:rPr>
          <w:tab/>
        </w:r>
        <w:r>
          <w:rPr>
            <w:noProof/>
            <w:webHidden/>
          </w:rPr>
          <w:fldChar w:fldCharType="begin"/>
        </w:r>
        <w:r>
          <w:rPr>
            <w:noProof/>
            <w:webHidden/>
          </w:rPr>
          <w:instrText xml:space="preserve"> PAGEREF _Toc191284981 \h </w:instrText>
        </w:r>
        <w:r>
          <w:rPr>
            <w:noProof/>
            <w:webHidden/>
          </w:rPr>
        </w:r>
        <w:r>
          <w:rPr>
            <w:noProof/>
            <w:webHidden/>
          </w:rPr>
          <w:fldChar w:fldCharType="separate"/>
        </w:r>
        <w:r>
          <w:rPr>
            <w:noProof/>
            <w:webHidden/>
          </w:rPr>
          <w:t>11</w:t>
        </w:r>
        <w:r>
          <w:rPr>
            <w:noProof/>
            <w:webHidden/>
          </w:rPr>
          <w:fldChar w:fldCharType="end"/>
        </w:r>
      </w:hyperlink>
    </w:p>
    <w:p w14:paraId="6426631C" w14:textId="77777777" w:rsidR="004E687C" w:rsidRDefault="004E687C" w:rsidP="004E687C">
      <w:pPr>
        <w:pStyle w:val="TM2"/>
        <w:tabs>
          <w:tab w:val="left" w:pos="1100"/>
          <w:tab w:val="right" w:leader="dot" w:pos="9062"/>
        </w:tabs>
        <w:rPr>
          <w:rFonts w:eastAsiaTheme="minorEastAsia"/>
          <w:noProof/>
        </w:rPr>
      </w:pPr>
      <w:hyperlink w:anchor="_Toc191284982" w:history="1">
        <w:r w:rsidRPr="00682194">
          <w:rPr>
            <w:rStyle w:val="Lienhypertexte"/>
            <w:noProof/>
          </w:rPr>
          <w:t>3. 3.</w:t>
        </w:r>
        <w:r>
          <w:rPr>
            <w:rFonts w:eastAsiaTheme="minorEastAsia"/>
            <w:noProof/>
          </w:rPr>
          <w:tab/>
        </w:r>
        <w:r w:rsidRPr="00682194">
          <w:rPr>
            <w:rStyle w:val="Lienhypertexte"/>
            <w:noProof/>
          </w:rPr>
          <w:t>Le réchauffement</w:t>
        </w:r>
        <w:r>
          <w:rPr>
            <w:noProof/>
            <w:webHidden/>
          </w:rPr>
          <w:tab/>
        </w:r>
        <w:r>
          <w:rPr>
            <w:noProof/>
            <w:webHidden/>
          </w:rPr>
          <w:fldChar w:fldCharType="begin"/>
        </w:r>
        <w:r>
          <w:rPr>
            <w:noProof/>
            <w:webHidden/>
          </w:rPr>
          <w:instrText xml:space="preserve"> PAGEREF _Toc191284982 \h </w:instrText>
        </w:r>
        <w:r>
          <w:rPr>
            <w:noProof/>
            <w:webHidden/>
          </w:rPr>
        </w:r>
        <w:r>
          <w:rPr>
            <w:noProof/>
            <w:webHidden/>
          </w:rPr>
          <w:fldChar w:fldCharType="separate"/>
        </w:r>
        <w:r>
          <w:rPr>
            <w:noProof/>
            <w:webHidden/>
          </w:rPr>
          <w:t>12</w:t>
        </w:r>
        <w:r>
          <w:rPr>
            <w:noProof/>
            <w:webHidden/>
          </w:rPr>
          <w:fldChar w:fldCharType="end"/>
        </w:r>
      </w:hyperlink>
    </w:p>
    <w:p w14:paraId="2FB50B54" w14:textId="77777777" w:rsidR="004E687C" w:rsidRDefault="004E687C" w:rsidP="004E687C">
      <w:pPr>
        <w:pStyle w:val="TM3"/>
        <w:tabs>
          <w:tab w:val="left" w:pos="1320"/>
          <w:tab w:val="right" w:leader="dot" w:pos="9062"/>
        </w:tabs>
        <w:rPr>
          <w:rFonts w:eastAsiaTheme="minorEastAsia"/>
          <w:noProof/>
        </w:rPr>
      </w:pPr>
      <w:hyperlink w:anchor="_Toc191284983" w:history="1">
        <w:r w:rsidRPr="00682194">
          <w:rPr>
            <w:rStyle w:val="Lienhypertexte"/>
            <w:noProof/>
          </w:rPr>
          <w:t>3.3. 1.</w:t>
        </w:r>
        <w:r>
          <w:rPr>
            <w:rFonts w:eastAsiaTheme="minorEastAsia"/>
            <w:noProof/>
          </w:rPr>
          <w:tab/>
        </w:r>
        <w:r w:rsidRPr="00682194">
          <w:rPr>
            <w:rStyle w:val="Lienhypertexte"/>
            <w:noProof/>
          </w:rPr>
          <w:t>Faibles températures</w:t>
        </w:r>
        <w:r>
          <w:rPr>
            <w:noProof/>
            <w:webHidden/>
          </w:rPr>
          <w:tab/>
        </w:r>
        <w:r>
          <w:rPr>
            <w:noProof/>
            <w:webHidden/>
          </w:rPr>
          <w:fldChar w:fldCharType="begin"/>
        </w:r>
        <w:r>
          <w:rPr>
            <w:noProof/>
            <w:webHidden/>
          </w:rPr>
          <w:instrText xml:space="preserve"> PAGEREF _Toc191284983 \h </w:instrText>
        </w:r>
        <w:r>
          <w:rPr>
            <w:noProof/>
            <w:webHidden/>
          </w:rPr>
        </w:r>
        <w:r>
          <w:rPr>
            <w:noProof/>
            <w:webHidden/>
          </w:rPr>
          <w:fldChar w:fldCharType="separate"/>
        </w:r>
        <w:r>
          <w:rPr>
            <w:noProof/>
            <w:webHidden/>
          </w:rPr>
          <w:t>12</w:t>
        </w:r>
        <w:r>
          <w:rPr>
            <w:noProof/>
            <w:webHidden/>
          </w:rPr>
          <w:fldChar w:fldCharType="end"/>
        </w:r>
      </w:hyperlink>
    </w:p>
    <w:p w14:paraId="4F806D68" w14:textId="77777777" w:rsidR="004E687C" w:rsidRDefault="004E687C" w:rsidP="004E687C">
      <w:pPr>
        <w:pStyle w:val="TM3"/>
        <w:tabs>
          <w:tab w:val="left" w:pos="1320"/>
          <w:tab w:val="right" w:leader="dot" w:pos="9062"/>
        </w:tabs>
        <w:rPr>
          <w:rFonts w:eastAsiaTheme="minorEastAsia"/>
          <w:noProof/>
        </w:rPr>
      </w:pPr>
      <w:hyperlink w:anchor="_Toc191284984" w:history="1">
        <w:r w:rsidRPr="00682194">
          <w:rPr>
            <w:rStyle w:val="Lienhypertexte"/>
            <w:noProof/>
          </w:rPr>
          <w:t>3.3. 2.</w:t>
        </w:r>
        <w:r>
          <w:rPr>
            <w:rFonts w:eastAsiaTheme="minorEastAsia"/>
            <w:noProof/>
          </w:rPr>
          <w:tab/>
        </w:r>
        <w:r w:rsidRPr="00682194">
          <w:rPr>
            <w:rStyle w:val="Lienhypertexte"/>
            <w:noProof/>
          </w:rPr>
          <w:t>Les vagues de chaleur et de froid</w:t>
        </w:r>
        <w:r>
          <w:rPr>
            <w:noProof/>
            <w:webHidden/>
          </w:rPr>
          <w:tab/>
        </w:r>
        <w:r>
          <w:rPr>
            <w:noProof/>
            <w:webHidden/>
          </w:rPr>
          <w:fldChar w:fldCharType="begin"/>
        </w:r>
        <w:r>
          <w:rPr>
            <w:noProof/>
            <w:webHidden/>
          </w:rPr>
          <w:instrText xml:space="preserve"> PAGEREF _Toc191284984 \h </w:instrText>
        </w:r>
        <w:r>
          <w:rPr>
            <w:noProof/>
            <w:webHidden/>
          </w:rPr>
        </w:r>
        <w:r>
          <w:rPr>
            <w:noProof/>
            <w:webHidden/>
          </w:rPr>
          <w:fldChar w:fldCharType="separate"/>
        </w:r>
        <w:r>
          <w:rPr>
            <w:noProof/>
            <w:webHidden/>
          </w:rPr>
          <w:t>13</w:t>
        </w:r>
        <w:r>
          <w:rPr>
            <w:noProof/>
            <w:webHidden/>
          </w:rPr>
          <w:fldChar w:fldCharType="end"/>
        </w:r>
      </w:hyperlink>
    </w:p>
    <w:p w14:paraId="0CF20B19" w14:textId="77777777" w:rsidR="004E687C" w:rsidRDefault="004E687C" w:rsidP="004E687C">
      <w:pPr>
        <w:pStyle w:val="TM2"/>
        <w:tabs>
          <w:tab w:val="left" w:pos="1100"/>
          <w:tab w:val="right" w:leader="dot" w:pos="9062"/>
        </w:tabs>
        <w:rPr>
          <w:rFonts w:eastAsiaTheme="minorEastAsia"/>
          <w:noProof/>
        </w:rPr>
      </w:pPr>
      <w:hyperlink w:anchor="_Toc191284985" w:history="1">
        <w:r w:rsidRPr="00682194">
          <w:rPr>
            <w:rStyle w:val="Lienhypertexte"/>
            <w:noProof/>
          </w:rPr>
          <w:t>3. 4.</w:t>
        </w:r>
        <w:r>
          <w:rPr>
            <w:rFonts w:eastAsiaTheme="minorEastAsia"/>
            <w:noProof/>
          </w:rPr>
          <w:tab/>
        </w:r>
        <w:r w:rsidRPr="00682194">
          <w:rPr>
            <w:rStyle w:val="Lienhypertexte"/>
            <w:noProof/>
          </w:rPr>
          <w:t>Inondations</w:t>
        </w:r>
        <w:r>
          <w:rPr>
            <w:noProof/>
            <w:webHidden/>
          </w:rPr>
          <w:tab/>
        </w:r>
        <w:r>
          <w:rPr>
            <w:noProof/>
            <w:webHidden/>
          </w:rPr>
          <w:fldChar w:fldCharType="begin"/>
        </w:r>
        <w:r>
          <w:rPr>
            <w:noProof/>
            <w:webHidden/>
          </w:rPr>
          <w:instrText xml:space="preserve"> PAGEREF _Toc191284985 \h </w:instrText>
        </w:r>
        <w:r>
          <w:rPr>
            <w:noProof/>
            <w:webHidden/>
          </w:rPr>
        </w:r>
        <w:r>
          <w:rPr>
            <w:noProof/>
            <w:webHidden/>
          </w:rPr>
          <w:fldChar w:fldCharType="separate"/>
        </w:r>
        <w:r>
          <w:rPr>
            <w:noProof/>
            <w:webHidden/>
          </w:rPr>
          <w:t>13</w:t>
        </w:r>
        <w:r>
          <w:rPr>
            <w:noProof/>
            <w:webHidden/>
          </w:rPr>
          <w:fldChar w:fldCharType="end"/>
        </w:r>
      </w:hyperlink>
    </w:p>
    <w:p w14:paraId="3CA0692B" w14:textId="77777777" w:rsidR="004E687C" w:rsidRDefault="004E687C" w:rsidP="004E687C">
      <w:pPr>
        <w:pStyle w:val="TM3"/>
        <w:tabs>
          <w:tab w:val="left" w:pos="1320"/>
          <w:tab w:val="right" w:leader="dot" w:pos="9062"/>
        </w:tabs>
        <w:rPr>
          <w:rFonts w:eastAsiaTheme="minorEastAsia"/>
          <w:noProof/>
        </w:rPr>
      </w:pPr>
      <w:hyperlink w:anchor="_Toc191284986" w:history="1">
        <w:r w:rsidRPr="00682194">
          <w:rPr>
            <w:rStyle w:val="Lienhypertexte"/>
            <w:noProof/>
          </w:rPr>
          <w:t>3.4. 1.</w:t>
        </w:r>
        <w:r>
          <w:rPr>
            <w:rFonts w:eastAsiaTheme="minorEastAsia"/>
            <w:noProof/>
          </w:rPr>
          <w:tab/>
        </w:r>
        <w:r w:rsidRPr="00682194">
          <w:rPr>
            <w:rStyle w:val="Lienhypertexte"/>
            <w:noProof/>
          </w:rPr>
          <w:t>L’intensité simple des pluies</w:t>
        </w:r>
        <w:r>
          <w:rPr>
            <w:noProof/>
            <w:webHidden/>
          </w:rPr>
          <w:tab/>
        </w:r>
        <w:r>
          <w:rPr>
            <w:noProof/>
            <w:webHidden/>
          </w:rPr>
          <w:fldChar w:fldCharType="begin"/>
        </w:r>
        <w:r>
          <w:rPr>
            <w:noProof/>
            <w:webHidden/>
          </w:rPr>
          <w:instrText xml:space="preserve"> PAGEREF _Toc191284986 \h </w:instrText>
        </w:r>
        <w:r>
          <w:rPr>
            <w:noProof/>
            <w:webHidden/>
          </w:rPr>
        </w:r>
        <w:r>
          <w:rPr>
            <w:noProof/>
            <w:webHidden/>
          </w:rPr>
          <w:fldChar w:fldCharType="separate"/>
        </w:r>
        <w:r>
          <w:rPr>
            <w:noProof/>
            <w:webHidden/>
          </w:rPr>
          <w:t>14</w:t>
        </w:r>
        <w:r>
          <w:rPr>
            <w:noProof/>
            <w:webHidden/>
          </w:rPr>
          <w:fldChar w:fldCharType="end"/>
        </w:r>
      </w:hyperlink>
    </w:p>
    <w:p w14:paraId="70EF5B1A" w14:textId="77777777" w:rsidR="004E687C" w:rsidRDefault="004E687C" w:rsidP="004E687C">
      <w:pPr>
        <w:pStyle w:val="TM3"/>
        <w:tabs>
          <w:tab w:val="left" w:pos="1320"/>
          <w:tab w:val="right" w:leader="dot" w:pos="9062"/>
        </w:tabs>
        <w:rPr>
          <w:rFonts w:eastAsiaTheme="minorEastAsia"/>
          <w:noProof/>
        </w:rPr>
      </w:pPr>
      <w:hyperlink w:anchor="_Toc191284987" w:history="1">
        <w:r w:rsidRPr="00682194">
          <w:rPr>
            <w:rStyle w:val="Lienhypertexte"/>
            <w:noProof/>
          </w:rPr>
          <w:t>3.4. 2.</w:t>
        </w:r>
        <w:r>
          <w:rPr>
            <w:rFonts w:eastAsiaTheme="minorEastAsia"/>
            <w:noProof/>
          </w:rPr>
          <w:tab/>
        </w:r>
        <w:r w:rsidRPr="00682194">
          <w:rPr>
            <w:rStyle w:val="Lienhypertexte"/>
            <w:noProof/>
          </w:rPr>
          <w:t>Fréquence de pluies diluviennes</w:t>
        </w:r>
        <w:r>
          <w:rPr>
            <w:noProof/>
            <w:webHidden/>
          </w:rPr>
          <w:tab/>
        </w:r>
        <w:r>
          <w:rPr>
            <w:noProof/>
            <w:webHidden/>
          </w:rPr>
          <w:fldChar w:fldCharType="begin"/>
        </w:r>
        <w:r>
          <w:rPr>
            <w:noProof/>
            <w:webHidden/>
          </w:rPr>
          <w:instrText xml:space="preserve"> PAGEREF _Toc191284987 \h </w:instrText>
        </w:r>
        <w:r>
          <w:rPr>
            <w:noProof/>
            <w:webHidden/>
          </w:rPr>
        </w:r>
        <w:r>
          <w:rPr>
            <w:noProof/>
            <w:webHidden/>
          </w:rPr>
          <w:fldChar w:fldCharType="separate"/>
        </w:r>
        <w:r>
          <w:rPr>
            <w:noProof/>
            <w:webHidden/>
          </w:rPr>
          <w:t>15</w:t>
        </w:r>
        <w:r>
          <w:rPr>
            <w:noProof/>
            <w:webHidden/>
          </w:rPr>
          <w:fldChar w:fldCharType="end"/>
        </w:r>
      </w:hyperlink>
    </w:p>
    <w:p w14:paraId="2986F566" w14:textId="77777777" w:rsidR="004E687C" w:rsidRDefault="004E687C" w:rsidP="004E687C">
      <w:pPr>
        <w:pStyle w:val="TM1"/>
        <w:tabs>
          <w:tab w:val="left" w:pos="660"/>
        </w:tabs>
        <w:rPr>
          <w:rFonts w:asciiTheme="minorHAnsi" w:eastAsiaTheme="minorEastAsia" w:hAnsiTheme="minorHAnsi" w:cstheme="minorBidi"/>
        </w:rPr>
      </w:pPr>
      <w:hyperlink w:anchor="_Toc191284988" w:history="1">
        <w:r w:rsidRPr="00682194">
          <w:rPr>
            <w:rStyle w:val="Lienhypertexte"/>
          </w:rPr>
          <w:t>IV.</w:t>
        </w:r>
        <w:r>
          <w:rPr>
            <w:rFonts w:asciiTheme="minorHAnsi" w:eastAsiaTheme="minorEastAsia" w:hAnsiTheme="minorHAnsi" w:cstheme="minorBidi"/>
          </w:rPr>
          <w:tab/>
        </w:r>
        <w:r w:rsidRPr="00682194">
          <w:rPr>
            <w:rStyle w:val="Lienhypertexte"/>
          </w:rPr>
          <w:t>Scénarii des changements climatiques</w:t>
        </w:r>
        <w:r>
          <w:rPr>
            <w:webHidden/>
          </w:rPr>
          <w:tab/>
        </w:r>
        <w:r>
          <w:rPr>
            <w:webHidden/>
          </w:rPr>
          <w:fldChar w:fldCharType="begin"/>
        </w:r>
        <w:r>
          <w:rPr>
            <w:webHidden/>
          </w:rPr>
          <w:instrText xml:space="preserve"> PAGEREF _Toc191284988 \h </w:instrText>
        </w:r>
        <w:r>
          <w:rPr>
            <w:webHidden/>
          </w:rPr>
        </w:r>
        <w:r>
          <w:rPr>
            <w:webHidden/>
          </w:rPr>
          <w:fldChar w:fldCharType="separate"/>
        </w:r>
        <w:r>
          <w:rPr>
            <w:webHidden/>
          </w:rPr>
          <w:t>16</w:t>
        </w:r>
        <w:r>
          <w:rPr>
            <w:webHidden/>
          </w:rPr>
          <w:fldChar w:fldCharType="end"/>
        </w:r>
      </w:hyperlink>
    </w:p>
    <w:p w14:paraId="398114C2" w14:textId="77777777" w:rsidR="004E687C" w:rsidRDefault="004E687C" w:rsidP="004E687C">
      <w:pPr>
        <w:pStyle w:val="TM2"/>
        <w:tabs>
          <w:tab w:val="left" w:pos="1100"/>
          <w:tab w:val="right" w:leader="dot" w:pos="9062"/>
        </w:tabs>
        <w:rPr>
          <w:rFonts w:eastAsiaTheme="minorEastAsia"/>
          <w:noProof/>
        </w:rPr>
      </w:pPr>
      <w:hyperlink w:anchor="_Toc191284989" w:history="1">
        <w:r w:rsidRPr="00682194">
          <w:rPr>
            <w:rStyle w:val="Lienhypertexte"/>
            <w:noProof/>
          </w:rPr>
          <w:t>4. 1.</w:t>
        </w:r>
        <w:r>
          <w:rPr>
            <w:rFonts w:eastAsiaTheme="minorEastAsia"/>
            <w:noProof/>
          </w:rPr>
          <w:tab/>
        </w:r>
        <w:r w:rsidRPr="00682194">
          <w:rPr>
            <w:rStyle w:val="Lienhypertexte"/>
            <w:noProof/>
          </w:rPr>
          <w:t>Fondement des scénarios d’émission</w:t>
        </w:r>
        <w:r>
          <w:rPr>
            <w:noProof/>
            <w:webHidden/>
          </w:rPr>
          <w:tab/>
        </w:r>
        <w:r>
          <w:rPr>
            <w:noProof/>
            <w:webHidden/>
          </w:rPr>
          <w:fldChar w:fldCharType="begin"/>
        </w:r>
        <w:r>
          <w:rPr>
            <w:noProof/>
            <w:webHidden/>
          </w:rPr>
          <w:instrText xml:space="preserve"> PAGEREF _Toc191284989 \h </w:instrText>
        </w:r>
        <w:r>
          <w:rPr>
            <w:noProof/>
            <w:webHidden/>
          </w:rPr>
        </w:r>
        <w:r>
          <w:rPr>
            <w:noProof/>
            <w:webHidden/>
          </w:rPr>
          <w:fldChar w:fldCharType="separate"/>
        </w:r>
        <w:r>
          <w:rPr>
            <w:noProof/>
            <w:webHidden/>
          </w:rPr>
          <w:t>16</w:t>
        </w:r>
        <w:r>
          <w:rPr>
            <w:noProof/>
            <w:webHidden/>
          </w:rPr>
          <w:fldChar w:fldCharType="end"/>
        </w:r>
      </w:hyperlink>
    </w:p>
    <w:p w14:paraId="280633FD" w14:textId="77777777" w:rsidR="004E687C" w:rsidRDefault="004E687C" w:rsidP="004E687C">
      <w:pPr>
        <w:pStyle w:val="TM3"/>
        <w:tabs>
          <w:tab w:val="left" w:pos="1320"/>
          <w:tab w:val="right" w:leader="dot" w:pos="9062"/>
        </w:tabs>
        <w:rPr>
          <w:rFonts w:eastAsiaTheme="minorEastAsia"/>
          <w:noProof/>
        </w:rPr>
      </w:pPr>
      <w:hyperlink w:anchor="_Toc191284990" w:history="1">
        <w:r w:rsidRPr="00682194">
          <w:rPr>
            <w:rStyle w:val="Lienhypertexte"/>
            <w:noProof/>
          </w:rPr>
          <w:t>4.1. 1.</w:t>
        </w:r>
        <w:r>
          <w:rPr>
            <w:rFonts w:eastAsiaTheme="minorEastAsia"/>
            <w:noProof/>
          </w:rPr>
          <w:tab/>
        </w:r>
        <w:r w:rsidRPr="00682194">
          <w:rPr>
            <w:rStyle w:val="Lienhypertexte"/>
            <w:noProof/>
          </w:rPr>
          <w:t>Choix des scénarios d’émission et horizon temporel</w:t>
        </w:r>
        <w:r>
          <w:rPr>
            <w:noProof/>
            <w:webHidden/>
          </w:rPr>
          <w:tab/>
        </w:r>
        <w:r>
          <w:rPr>
            <w:noProof/>
            <w:webHidden/>
          </w:rPr>
          <w:fldChar w:fldCharType="begin"/>
        </w:r>
        <w:r>
          <w:rPr>
            <w:noProof/>
            <w:webHidden/>
          </w:rPr>
          <w:instrText xml:space="preserve"> PAGEREF _Toc191284990 \h </w:instrText>
        </w:r>
        <w:r>
          <w:rPr>
            <w:noProof/>
            <w:webHidden/>
          </w:rPr>
        </w:r>
        <w:r>
          <w:rPr>
            <w:noProof/>
            <w:webHidden/>
          </w:rPr>
          <w:fldChar w:fldCharType="separate"/>
        </w:r>
        <w:r>
          <w:rPr>
            <w:noProof/>
            <w:webHidden/>
          </w:rPr>
          <w:t>16</w:t>
        </w:r>
        <w:r>
          <w:rPr>
            <w:noProof/>
            <w:webHidden/>
          </w:rPr>
          <w:fldChar w:fldCharType="end"/>
        </w:r>
      </w:hyperlink>
    </w:p>
    <w:p w14:paraId="11053EC4" w14:textId="77777777" w:rsidR="004E687C" w:rsidRDefault="004E687C" w:rsidP="004E687C">
      <w:pPr>
        <w:pStyle w:val="TM3"/>
        <w:tabs>
          <w:tab w:val="left" w:pos="1320"/>
          <w:tab w:val="right" w:leader="dot" w:pos="9062"/>
        </w:tabs>
        <w:rPr>
          <w:rFonts w:eastAsiaTheme="minorEastAsia"/>
          <w:noProof/>
        </w:rPr>
      </w:pPr>
      <w:hyperlink w:anchor="_Toc191284991" w:history="1">
        <w:r w:rsidRPr="00682194">
          <w:rPr>
            <w:rStyle w:val="Lienhypertexte"/>
            <w:noProof/>
          </w:rPr>
          <w:t>4.1. 2.</w:t>
        </w:r>
        <w:r>
          <w:rPr>
            <w:rFonts w:eastAsiaTheme="minorEastAsia"/>
            <w:noProof/>
          </w:rPr>
          <w:tab/>
        </w:r>
        <w:r w:rsidRPr="00682194">
          <w:rPr>
            <w:rStyle w:val="Lienhypertexte"/>
            <w:noProof/>
          </w:rPr>
          <w:t>Méthodologie</w:t>
        </w:r>
        <w:r>
          <w:rPr>
            <w:noProof/>
            <w:webHidden/>
          </w:rPr>
          <w:tab/>
        </w:r>
        <w:r>
          <w:rPr>
            <w:noProof/>
            <w:webHidden/>
          </w:rPr>
          <w:fldChar w:fldCharType="begin"/>
        </w:r>
        <w:r>
          <w:rPr>
            <w:noProof/>
            <w:webHidden/>
          </w:rPr>
          <w:instrText xml:space="preserve"> PAGEREF _Toc191284991 \h </w:instrText>
        </w:r>
        <w:r>
          <w:rPr>
            <w:noProof/>
            <w:webHidden/>
          </w:rPr>
        </w:r>
        <w:r>
          <w:rPr>
            <w:noProof/>
            <w:webHidden/>
          </w:rPr>
          <w:fldChar w:fldCharType="separate"/>
        </w:r>
        <w:r>
          <w:rPr>
            <w:noProof/>
            <w:webHidden/>
          </w:rPr>
          <w:t>17</w:t>
        </w:r>
        <w:r>
          <w:rPr>
            <w:noProof/>
            <w:webHidden/>
          </w:rPr>
          <w:fldChar w:fldCharType="end"/>
        </w:r>
      </w:hyperlink>
    </w:p>
    <w:p w14:paraId="11458E1E" w14:textId="77777777" w:rsidR="004E687C" w:rsidRDefault="004E687C" w:rsidP="004E687C">
      <w:pPr>
        <w:pStyle w:val="TM2"/>
        <w:tabs>
          <w:tab w:val="left" w:pos="1100"/>
          <w:tab w:val="right" w:leader="dot" w:pos="9062"/>
        </w:tabs>
        <w:rPr>
          <w:rFonts w:eastAsiaTheme="minorEastAsia"/>
          <w:noProof/>
        </w:rPr>
      </w:pPr>
      <w:hyperlink w:anchor="_Toc191284992" w:history="1">
        <w:r w:rsidRPr="00682194">
          <w:rPr>
            <w:rStyle w:val="Lienhypertexte"/>
            <w:noProof/>
          </w:rPr>
          <w:t>4. 2.</w:t>
        </w:r>
        <w:r>
          <w:rPr>
            <w:rFonts w:eastAsiaTheme="minorEastAsia"/>
            <w:noProof/>
          </w:rPr>
          <w:tab/>
        </w:r>
        <w:r w:rsidRPr="00682194">
          <w:rPr>
            <w:rStyle w:val="Lienhypertexte"/>
            <w:noProof/>
          </w:rPr>
          <w:t>Sorties des Scénarios d’émission</w:t>
        </w:r>
        <w:r>
          <w:rPr>
            <w:noProof/>
            <w:webHidden/>
          </w:rPr>
          <w:tab/>
        </w:r>
        <w:r>
          <w:rPr>
            <w:noProof/>
            <w:webHidden/>
          </w:rPr>
          <w:fldChar w:fldCharType="begin"/>
        </w:r>
        <w:r>
          <w:rPr>
            <w:noProof/>
            <w:webHidden/>
          </w:rPr>
          <w:instrText xml:space="preserve"> PAGEREF _Toc191284992 \h </w:instrText>
        </w:r>
        <w:r>
          <w:rPr>
            <w:noProof/>
            <w:webHidden/>
          </w:rPr>
        </w:r>
        <w:r>
          <w:rPr>
            <w:noProof/>
            <w:webHidden/>
          </w:rPr>
          <w:fldChar w:fldCharType="separate"/>
        </w:r>
        <w:r>
          <w:rPr>
            <w:noProof/>
            <w:webHidden/>
          </w:rPr>
          <w:t>17</w:t>
        </w:r>
        <w:r>
          <w:rPr>
            <w:noProof/>
            <w:webHidden/>
          </w:rPr>
          <w:fldChar w:fldCharType="end"/>
        </w:r>
      </w:hyperlink>
    </w:p>
    <w:p w14:paraId="3469CF1E" w14:textId="77777777" w:rsidR="004E687C" w:rsidRDefault="004E687C" w:rsidP="004E687C">
      <w:pPr>
        <w:pStyle w:val="TM3"/>
        <w:tabs>
          <w:tab w:val="left" w:pos="1320"/>
          <w:tab w:val="right" w:leader="dot" w:pos="9062"/>
        </w:tabs>
        <w:rPr>
          <w:rFonts w:eastAsiaTheme="minorEastAsia"/>
          <w:noProof/>
        </w:rPr>
      </w:pPr>
      <w:hyperlink w:anchor="_Toc191284993" w:history="1">
        <w:r w:rsidRPr="00682194">
          <w:rPr>
            <w:rStyle w:val="Lienhypertexte"/>
            <w:noProof/>
          </w:rPr>
          <w:t>4.2. 1.</w:t>
        </w:r>
        <w:r>
          <w:rPr>
            <w:rFonts w:eastAsiaTheme="minorEastAsia"/>
            <w:noProof/>
          </w:rPr>
          <w:tab/>
        </w:r>
        <w:r w:rsidRPr="00682194">
          <w:rPr>
            <w:rStyle w:val="Lienhypertexte"/>
            <w:noProof/>
          </w:rPr>
          <w:t>Températures</w:t>
        </w:r>
        <w:r>
          <w:rPr>
            <w:noProof/>
            <w:webHidden/>
          </w:rPr>
          <w:tab/>
        </w:r>
        <w:r>
          <w:rPr>
            <w:noProof/>
            <w:webHidden/>
          </w:rPr>
          <w:fldChar w:fldCharType="begin"/>
        </w:r>
        <w:r>
          <w:rPr>
            <w:noProof/>
            <w:webHidden/>
          </w:rPr>
          <w:instrText xml:space="preserve"> PAGEREF _Toc191284993 \h </w:instrText>
        </w:r>
        <w:r>
          <w:rPr>
            <w:noProof/>
            <w:webHidden/>
          </w:rPr>
        </w:r>
        <w:r>
          <w:rPr>
            <w:noProof/>
            <w:webHidden/>
          </w:rPr>
          <w:fldChar w:fldCharType="separate"/>
        </w:r>
        <w:r>
          <w:rPr>
            <w:noProof/>
            <w:webHidden/>
          </w:rPr>
          <w:t>17</w:t>
        </w:r>
        <w:r>
          <w:rPr>
            <w:noProof/>
            <w:webHidden/>
          </w:rPr>
          <w:fldChar w:fldCharType="end"/>
        </w:r>
      </w:hyperlink>
    </w:p>
    <w:p w14:paraId="5A3B90E8" w14:textId="77777777" w:rsidR="004E687C" w:rsidRDefault="004E687C" w:rsidP="004E687C">
      <w:pPr>
        <w:pStyle w:val="TM3"/>
        <w:tabs>
          <w:tab w:val="left" w:pos="1320"/>
          <w:tab w:val="right" w:leader="dot" w:pos="9062"/>
        </w:tabs>
        <w:rPr>
          <w:rFonts w:eastAsiaTheme="minorEastAsia"/>
          <w:noProof/>
        </w:rPr>
      </w:pPr>
      <w:hyperlink w:anchor="_Toc191284994" w:history="1">
        <w:r w:rsidRPr="00682194">
          <w:rPr>
            <w:rStyle w:val="Lienhypertexte"/>
            <w:noProof/>
          </w:rPr>
          <w:t>4.2. 2.</w:t>
        </w:r>
        <w:r>
          <w:rPr>
            <w:rFonts w:eastAsiaTheme="minorEastAsia"/>
            <w:noProof/>
          </w:rPr>
          <w:tab/>
        </w:r>
        <w:r w:rsidRPr="00682194">
          <w:rPr>
            <w:rStyle w:val="Lienhypertexte"/>
            <w:noProof/>
          </w:rPr>
          <w:t>Niveau de la mer</w:t>
        </w:r>
        <w:r>
          <w:rPr>
            <w:noProof/>
            <w:webHidden/>
          </w:rPr>
          <w:tab/>
        </w:r>
        <w:r>
          <w:rPr>
            <w:noProof/>
            <w:webHidden/>
          </w:rPr>
          <w:fldChar w:fldCharType="begin"/>
        </w:r>
        <w:r>
          <w:rPr>
            <w:noProof/>
            <w:webHidden/>
          </w:rPr>
          <w:instrText xml:space="preserve"> PAGEREF _Toc191284994 \h </w:instrText>
        </w:r>
        <w:r>
          <w:rPr>
            <w:noProof/>
            <w:webHidden/>
          </w:rPr>
        </w:r>
        <w:r>
          <w:rPr>
            <w:noProof/>
            <w:webHidden/>
          </w:rPr>
          <w:fldChar w:fldCharType="separate"/>
        </w:r>
        <w:r>
          <w:rPr>
            <w:noProof/>
            <w:webHidden/>
          </w:rPr>
          <w:t>18</w:t>
        </w:r>
        <w:r>
          <w:rPr>
            <w:noProof/>
            <w:webHidden/>
          </w:rPr>
          <w:fldChar w:fldCharType="end"/>
        </w:r>
      </w:hyperlink>
    </w:p>
    <w:p w14:paraId="3A32FA69" w14:textId="77777777" w:rsidR="004E687C" w:rsidRDefault="004E687C" w:rsidP="004E687C">
      <w:pPr>
        <w:pStyle w:val="TM2"/>
        <w:tabs>
          <w:tab w:val="left" w:pos="1100"/>
          <w:tab w:val="right" w:leader="dot" w:pos="9062"/>
        </w:tabs>
        <w:rPr>
          <w:rFonts w:eastAsiaTheme="minorEastAsia"/>
          <w:noProof/>
        </w:rPr>
      </w:pPr>
      <w:hyperlink w:anchor="_Toc191284995" w:history="1">
        <w:r w:rsidRPr="00682194">
          <w:rPr>
            <w:rStyle w:val="Lienhypertexte"/>
            <w:noProof/>
          </w:rPr>
          <w:t>4. 3.</w:t>
        </w:r>
        <w:r>
          <w:rPr>
            <w:rFonts w:eastAsiaTheme="minorEastAsia"/>
            <w:noProof/>
          </w:rPr>
          <w:tab/>
        </w:r>
        <w:r w:rsidRPr="00682194">
          <w:rPr>
            <w:rStyle w:val="Lienhypertexte"/>
            <w:noProof/>
          </w:rPr>
          <w:t>Application sectoriel des sorties des SE (Littoral)</w:t>
        </w:r>
        <w:r>
          <w:rPr>
            <w:noProof/>
            <w:webHidden/>
          </w:rPr>
          <w:tab/>
        </w:r>
        <w:r>
          <w:rPr>
            <w:noProof/>
            <w:webHidden/>
          </w:rPr>
          <w:fldChar w:fldCharType="begin"/>
        </w:r>
        <w:r>
          <w:rPr>
            <w:noProof/>
            <w:webHidden/>
          </w:rPr>
          <w:instrText xml:space="preserve"> PAGEREF _Toc191284995 \h </w:instrText>
        </w:r>
        <w:r>
          <w:rPr>
            <w:noProof/>
            <w:webHidden/>
          </w:rPr>
        </w:r>
        <w:r>
          <w:rPr>
            <w:noProof/>
            <w:webHidden/>
          </w:rPr>
          <w:fldChar w:fldCharType="separate"/>
        </w:r>
        <w:r>
          <w:rPr>
            <w:noProof/>
            <w:webHidden/>
          </w:rPr>
          <w:t>18</w:t>
        </w:r>
        <w:r>
          <w:rPr>
            <w:noProof/>
            <w:webHidden/>
          </w:rPr>
          <w:fldChar w:fldCharType="end"/>
        </w:r>
      </w:hyperlink>
    </w:p>
    <w:p w14:paraId="50BD57B9" w14:textId="77777777" w:rsidR="004E687C" w:rsidRDefault="004E687C" w:rsidP="004E687C">
      <w:pPr>
        <w:pStyle w:val="TM2"/>
        <w:tabs>
          <w:tab w:val="left" w:pos="1100"/>
          <w:tab w:val="right" w:leader="dot" w:pos="9062"/>
        </w:tabs>
        <w:rPr>
          <w:rFonts w:eastAsiaTheme="minorEastAsia"/>
          <w:noProof/>
        </w:rPr>
      </w:pPr>
      <w:hyperlink w:anchor="_Toc191284996" w:history="1">
        <w:r w:rsidRPr="00682194">
          <w:rPr>
            <w:rStyle w:val="Lienhypertexte"/>
            <w:noProof/>
          </w:rPr>
          <w:t>4. 4.</w:t>
        </w:r>
        <w:r>
          <w:rPr>
            <w:rFonts w:eastAsiaTheme="minorEastAsia"/>
            <w:noProof/>
          </w:rPr>
          <w:tab/>
        </w:r>
        <w:r w:rsidRPr="00682194">
          <w:rPr>
            <w:rStyle w:val="Lienhypertexte"/>
            <w:noProof/>
          </w:rPr>
          <w:t>Scénarios climatiques</w:t>
        </w:r>
        <w:r>
          <w:rPr>
            <w:noProof/>
            <w:webHidden/>
          </w:rPr>
          <w:tab/>
        </w:r>
        <w:r>
          <w:rPr>
            <w:noProof/>
            <w:webHidden/>
          </w:rPr>
          <w:fldChar w:fldCharType="begin"/>
        </w:r>
        <w:r>
          <w:rPr>
            <w:noProof/>
            <w:webHidden/>
          </w:rPr>
          <w:instrText xml:space="preserve"> PAGEREF _Toc191284996 \h </w:instrText>
        </w:r>
        <w:r>
          <w:rPr>
            <w:noProof/>
            <w:webHidden/>
          </w:rPr>
        </w:r>
        <w:r>
          <w:rPr>
            <w:noProof/>
            <w:webHidden/>
          </w:rPr>
          <w:fldChar w:fldCharType="separate"/>
        </w:r>
        <w:r>
          <w:rPr>
            <w:noProof/>
            <w:webHidden/>
          </w:rPr>
          <w:t>18</w:t>
        </w:r>
        <w:r>
          <w:rPr>
            <w:noProof/>
            <w:webHidden/>
          </w:rPr>
          <w:fldChar w:fldCharType="end"/>
        </w:r>
      </w:hyperlink>
    </w:p>
    <w:p w14:paraId="0ADB3C49" w14:textId="77777777" w:rsidR="004E687C" w:rsidRDefault="004E687C" w:rsidP="004E687C">
      <w:pPr>
        <w:pStyle w:val="TM3"/>
        <w:tabs>
          <w:tab w:val="left" w:pos="1320"/>
          <w:tab w:val="right" w:leader="dot" w:pos="9062"/>
        </w:tabs>
        <w:rPr>
          <w:rFonts w:eastAsiaTheme="minorEastAsia"/>
          <w:noProof/>
        </w:rPr>
      </w:pPr>
      <w:hyperlink w:anchor="_Toc191284997" w:history="1">
        <w:r w:rsidRPr="00682194">
          <w:rPr>
            <w:rStyle w:val="Lienhypertexte"/>
            <w:noProof/>
          </w:rPr>
          <w:t>4.4. 1.</w:t>
        </w:r>
        <w:r>
          <w:rPr>
            <w:rFonts w:eastAsiaTheme="minorEastAsia"/>
            <w:noProof/>
          </w:rPr>
          <w:tab/>
        </w:r>
        <w:r w:rsidRPr="00682194">
          <w:rPr>
            <w:rStyle w:val="Lienhypertexte"/>
            <w:noProof/>
          </w:rPr>
          <w:t>Scénarios synthétiques</w:t>
        </w:r>
        <w:r>
          <w:rPr>
            <w:noProof/>
            <w:webHidden/>
          </w:rPr>
          <w:tab/>
        </w:r>
        <w:r>
          <w:rPr>
            <w:noProof/>
            <w:webHidden/>
          </w:rPr>
          <w:fldChar w:fldCharType="begin"/>
        </w:r>
        <w:r>
          <w:rPr>
            <w:noProof/>
            <w:webHidden/>
          </w:rPr>
          <w:instrText xml:space="preserve"> PAGEREF _Toc191284997 \h </w:instrText>
        </w:r>
        <w:r>
          <w:rPr>
            <w:noProof/>
            <w:webHidden/>
          </w:rPr>
        </w:r>
        <w:r>
          <w:rPr>
            <w:noProof/>
            <w:webHidden/>
          </w:rPr>
          <w:fldChar w:fldCharType="separate"/>
        </w:r>
        <w:r>
          <w:rPr>
            <w:noProof/>
            <w:webHidden/>
          </w:rPr>
          <w:t>19</w:t>
        </w:r>
        <w:r>
          <w:rPr>
            <w:noProof/>
            <w:webHidden/>
          </w:rPr>
          <w:fldChar w:fldCharType="end"/>
        </w:r>
      </w:hyperlink>
    </w:p>
    <w:p w14:paraId="17A47B76" w14:textId="77777777" w:rsidR="004E687C" w:rsidRDefault="004E687C" w:rsidP="004E687C">
      <w:pPr>
        <w:pStyle w:val="TM3"/>
        <w:tabs>
          <w:tab w:val="left" w:pos="1320"/>
          <w:tab w:val="right" w:leader="dot" w:pos="9062"/>
        </w:tabs>
        <w:rPr>
          <w:rFonts w:eastAsiaTheme="minorEastAsia"/>
          <w:noProof/>
        </w:rPr>
      </w:pPr>
      <w:hyperlink w:anchor="_Toc191284998" w:history="1">
        <w:r w:rsidRPr="00682194">
          <w:rPr>
            <w:rStyle w:val="Lienhypertexte"/>
            <w:noProof/>
          </w:rPr>
          <w:t>4.4. 2.</w:t>
        </w:r>
        <w:r>
          <w:rPr>
            <w:rFonts w:eastAsiaTheme="minorEastAsia"/>
            <w:noProof/>
          </w:rPr>
          <w:tab/>
        </w:r>
        <w:r w:rsidRPr="00682194">
          <w:rPr>
            <w:rStyle w:val="Lienhypertexte"/>
            <w:noProof/>
          </w:rPr>
          <w:t>Scénarios analogiques</w:t>
        </w:r>
        <w:r>
          <w:rPr>
            <w:noProof/>
            <w:webHidden/>
          </w:rPr>
          <w:tab/>
        </w:r>
        <w:r>
          <w:rPr>
            <w:noProof/>
            <w:webHidden/>
          </w:rPr>
          <w:fldChar w:fldCharType="begin"/>
        </w:r>
        <w:r>
          <w:rPr>
            <w:noProof/>
            <w:webHidden/>
          </w:rPr>
          <w:instrText xml:space="preserve"> PAGEREF _Toc191284998 \h </w:instrText>
        </w:r>
        <w:r>
          <w:rPr>
            <w:noProof/>
            <w:webHidden/>
          </w:rPr>
        </w:r>
        <w:r>
          <w:rPr>
            <w:noProof/>
            <w:webHidden/>
          </w:rPr>
          <w:fldChar w:fldCharType="separate"/>
        </w:r>
        <w:r>
          <w:rPr>
            <w:noProof/>
            <w:webHidden/>
          </w:rPr>
          <w:t>20</w:t>
        </w:r>
        <w:r>
          <w:rPr>
            <w:noProof/>
            <w:webHidden/>
          </w:rPr>
          <w:fldChar w:fldCharType="end"/>
        </w:r>
      </w:hyperlink>
    </w:p>
    <w:p w14:paraId="1C212786" w14:textId="77777777" w:rsidR="004E687C" w:rsidRDefault="004E687C" w:rsidP="004E687C">
      <w:pPr>
        <w:pStyle w:val="TM3"/>
        <w:tabs>
          <w:tab w:val="left" w:pos="1320"/>
          <w:tab w:val="right" w:leader="dot" w:pos="9062"/>
        </w:tabs>
        <w:rPr>
          <w:rFonts w:eastAsiaTheme="minorEastAsia"/>
          <w:noProof/>
        </w:rPr>
      </w:pPr>
      <w:hyperlink w:anchor="_Toc191284999" w:history="1">
        <w:r w:rsidRPr="00682194">
          <w:rPr>
            <w:rStyle w:val="Lienhypertexte"/>
            <w:noProof/>
          </w:rPr>
          <w:t>4.4. 3.</w:t>
        </w:r>
        <w:r>
          <w:rPr>
            <w:rFonts w:eastAsiaTheme="minorEastAsia"/>
            <w:noProof/>
          </w:rPr>
          <w:tab/>
        </w:r>
        <w:r w:rsidRPr="00682194">
          <w:rPr>
            <w:rStyle w:val="Lienhypertexte"/>
            <w:noProof/>
          </w:rPr>
          <w:t>Scénarios découlant des MCG</w:t>
        </w:r>
        <w:r>
          <w:rPr>
            <w:noProof/>
            <w:webHidden/>
          </w:rPr>
          <w:tab/>
        </w:r>
        <w:r>
          <w:rPr>
            <w:noProof/>
            <w:webHidden/>
          </w:rPr>
          <w:fldChar w:fldCharType="begin"/>
        </w:r>
        <w:r>
          <w:rPr>
            <w:noProof/>
            <w:webHidden/>
          </w:rPr>
          <w:instrText xml:space="preserve"> PAGEREF _Toc191284999 \h </w:instrText>
        </w:r>
        <w:r>
          <w:rPr>
            <w:noProof/>
            <w:webHidden/>
          </w:rPr>
        </w:r>
        <w:r>
          <w:rPr>
            <w:noProof/>
            <w:webHidden/>
          </w:rPr>
          <w:fldChar w:fldCharType="separate"/>
        </w:r>
        <w:r>
          <w:rPr>
            <w:noProof/>
            <w:webHidden/>
          </w:rPr>
          <w:t>22</w:t>
        </w:r>
        <w:r>
          <w:rPr>
            <w:noProof/>
            <w:webHidden/>
          </w:rPr>
          <w:fldChar w:fldCharType="end"/>
        </w:r>
      </w:hyperlink>
    </w:p>
    <w:p w14:paraId="3EF6085C" w14:textId="77777777" w:rsidR="004E687C" w:rsidRDefault="004E687C" w:rsidP="004E687C">
      <w:pPr>
        <w:pStyle w:val="TM3"/>
        <w:tabs>
          <w:tab w:val="left" w:pos="1320"/>
          <w:tab w:val="right" w:leader="dot" w:pos="9062"/>
        </w:tabs>
        <w:rPr>
          <w:rFonts w:eastAsiaTheme="minorEastAsia"/>
          <w:noProof/>
        </w:rPr>
      </w:pPr>
      <w:hyperlink w:anchor="_Toc191285000" w:history="1">
        <w:r w:rsidRPr="00682194">
          <w:rPr>
            <w:rStyle w:val="Lienhypertexte"/>
            <w:noProof/>
          </w:rPr>
          <w:t>4.4. 4.</w:t>
        </w:r>
        <w:r>
          <w:rPr>
            <w:rFonts w:eastAsiaTheme="minorEastAsia"/>
            <w:noProof/>
          </w:rPr>
          <w:tab/>
        </w:r>
        <w:r w:rsidRPr="00682194">
          <w:rPr>
            <w:rStyle w:val="Lienhypertexte"/>
            <w:noProof/>
          </w:rPr>
          <w:t>Sources des scénarios de changement climatique issus des résultats de MCG</w:t>
        </w:r>
        <w:r>
          <w:rPr>
            <w:noProof/>
            <w:webHidden/>
          </w:rPr>
          <w:tab/>
        </w:r>
        <w:r>
          <w:rPr>
            <w:noProof/>
            <w:webHidden/>
          </w:rPr>
          <w:fldChar w:fldCharType="begin"/>
        </w:r>
        <w:r>
          <w:rPr>
            <w:noProof/>
            <w:webHidden/>
          </w:rPr>
          <w:instrText xml:space="preserve"> PAGEREF _Toc191285000 \h </w:instrText>
        </w:r>
        <w:r>
          <w:rPr>
            <w:noProof/>
            <w:webHidden/>
          </w:rPr>
        </w:r>
        <w:r>
          <w:rPr>
            <w:noProof/>
            <w:webHidden/>
          </w:rPr>
          <w:fldChar w:fldCharType="separate"/>
        </w:r>
        <w:r>
          <w:rPr>
            <w:noProof/>
            <w:webHidden/>
          </w:rPr>
          <w:t>24</w:t>
        </w:r>
        <w:r>
          <w:rPr>
            <w:noProof/>
            <w:webHidden/>
          </w:rPr>
          <w:fldChar w:fldCharType="end"/>
        </w:r>
      </w:hyperlink>
    </w:p>
    <w:p w14:paraId="7FAB929A" w14:textId="77777777" w:rsidR="004E687C" w:rsidRDefault="004E687C" w:rsidP="004E687C">
      <w:pPr>
        <w:pStyle w:val="TM3"/>
        <w:tabs>
          <w:tab w:val="left" w:pos="1320"/>
          <w:tab w:val="right" w:leader="dot" w:pos="9062"/>
        </w:tabs>
        <w:rPr>
          <w:rFonts w:eastAsiaTheme="minorEastAsia"/>
          <w:noProof/>
        </w:rPr>
      </w:pPr>
      <w:hyperlink w:anchor="_Toc191285001" w:history="1">
        <w:r w:rsidRPr="00682194">
          <w:rPr>
            <w:rStyle w:val="Lienhypertexte"/>
            <w:noProof/>
          </w:rPr>
          <w:t>4.4. 5.</w:t>
        </w:r>
        <w:r>
          <w:rPr>
            <w:rFonts w:eastAsiaTheme="minorEastAsia"/>
            <w:noProof/>
          </w:rPr>
          <w:tab/>
        </w:r>
        <w:r w:rsidRPr="00682194">
          <w:rPr>
            <w:rStyle w:val="Lienhypertexte"/>
            <w:noProof/>
          </w:rPr>
          <w:t>Choix des scénarios de changement climatique issus des résultats de MCG</w:t>
        </w:r>
        <w:r>
          <w:rPr>
            <w:noProof/>
            <w:webHidden/>
          </w:rPr>
          <w:tab/>
        </w:r>
        <w:r>
          <w:rPr>
            <w:noProof/>
            <w:webHidden/>
          </w:rPr>
          <w:fldChar w:fldCharType="begin"/>
        </w:r>
        <w:r>
          <w:rPr>
            <w:noProof/>
            <w:webHidden/>
          </w:rPr>
          <w:instrText xml:space="preserve"> PAGEREF _Toc191285001 \h </w:instrText>
        </w:r>
        <w:r>
          <w:rPr>
            <w:noProof/>
            <w:webHidden/>
          </w:rPr>
        </w:r>
        <w:r>
          <w:rPr>
            <w:noProof/>
            <w:webHidden/>
          </w:rPr>
          <w:fldChar w:fldCharType="separate"/>
        </w:r>
        <w:r>
          <w:rPr>
            <w:noProof/>
            <w:webHidden/>
          </w:rPr>
          <w:t>24</w:t>
        </w:r>
        <w:r>
          <w:rPr>
            <w:noProof/>
            <w:webHidden/>
          </w:rPr>
          <w:fldChar w:fldCharType="end"/>
        </w:r>
      </w:hyperlink>
    </w:p>
    <w:p w14:paraId="74240E56" w14:textId="77777777" w:rsidR="004E687C" w:rsidRDefault="004E687C" w:rsidP="004E687C">
      <w:pPr>
        <w:pStyle w:val="TM2"/>
        <w:tabs>
          <w:tab w:val="left" w:pos="1100"/>
          <w:tab w:val="right" w:leader="dot" w:pos="9062"/>
        </w:tabs>
        <w:rPr>
          <w:rFonts w:eastAsiaTheme="minorEastAsia"/>
          <w:noProof/>
        </w:rPr>
      </w:pPr>
      <w:hyperlink w:anchor="_Toc191285002" w:history="1">
        <w:r w:rsidRPr="00682194">
          <w:rPr>
            <w:rStyle w:val="Lienhypertexte"/>
            <w:noProof/>
          </w:rPr>
          <w:t>4. 5.</w:t>
        </w:r>
        <w:r>
          <w:rPr>
            <w:rFonts w:eastAsiaTheme="minorEastAsia"/>
            <w:noProof/>
          </w:rPr>
          <w:tab/>
        </w:r>
        <w:r w:rsidRPr="00682194">
          <w:rPr>
            <w:rStyle w:val="Lienhypertexte"/>
            <w:noProof/>
          </w:rPr>
          <w:t>Application des scénarios issus de MCG</w:t>
        </w:r>
        <w:r>
          <w:rPr>
            <w:noProof/>
            <w:webHidden/>
          </w:rPr>
          <w:tab/>
        </w:r>
        <w:r>
          <w:rPr>
            <w:noProof/>
            <w:webHidden/>
          </w:rPr>
          <w:fldChar w:fldCharType="begin"/>
        </w:r>
        <w:r>
          <w:rPr>
            <w:noProof/>
            <w:webHidden/>
          </w:rPr>
          <w:instrText xml:space="preserve"> PAGEREF _Toc191285002 \h </w:instrText>
        </w:r>
        <w:r>
          <w:rPr>
            <w:noProof/>
            <w:webHidden/>
          </w:rPr>
        </w:r>
        <w:r>
          <w:rPr>
            <w:noProof/>
            <w:webHidden/>
          </w:rPr>
          <w:fldChar w:fldCharType="separate"/>
        </w:r>
        <w:r>
          <w:rPr>
            <w:noProof/>
            <w:webHidden/>
          </w:rPr>
          <w:t>25</w:t>
        </w:r>
        <w:r>
          <w:rPr>
            <w:noProof/>
            <w:webHidden/>
          </w:rPr>
          <w:fldChar w:fldCharType="end"/>
        </w:r>
      </w:hyperlink>
    </w:p>
    <w:p w14:paraId="2646E4C4" w14:textId="77777777" w:rsidR="004E687C" w:rsidRDefault="004E687C" w:rsidP="004E687C">
      <w:pPr>
        <w:pStyle w:val="TM3"/>
        <w:tabs>
          <w:tab w:val="left" w:pos="1320"/>
          <w:tab w:val="right" w:leader="dot" w:pos="9062"/>
        </w:tabs>
        <w:rPr>
          <w:rFonts w:eastAsiaTheme="minorEastAsia"/>
          <w:noProof/>
        </w:rPr>
      </w:pPr>
      <w:hyperlink w:anchor="_Toc191285003" w:history="1">
        <w:r w:rsidRPr="00682194">
          <w:rPr>
            <w:rStyle w:val="Lienhypertexte"/>
            <w:noProof/>
          </w:rPr>
          <w:t>4.5. 1.</w:t>
        </w:r>
        <w:r>
          <w:rPr>
            <w:rFonts w:eastAsiaTheme="minorEastAsia"/>
            <w:noProof/>
          </w:rPr>
          <w:tab/>
        </w:r>
        <w:r w:rsidRPr="00682194">
          <w:rPr>
            <w:rStyle w:val="Lienhypertexte"/>
            <w:noProof/>
          </w:rPr>
          <w:t>Température</w:t>
        </w:r>
        <w:r>
          <w:rPr>
            <w:noProof/>
            <w:webHidden/>
          </w:rPr>
          <w:tab/>
        </w:r>
        <w:r>
          <w:rPr>
            <w:noProof/>
            <w:webHidden/>
          </w:rPr>
          <w:fldChar w:fldCharType="begin"/>
        </w:r>
        <w:r>
          <w:rPr>
            <w:noProof/>
            <w:webHidden/>
          </w:rPr>
          <w:instrText xml:space="preserve"> PAGEREF _Toc191285003 \h </w:instrText>
        </w:r>
        <w:r>
          <w:rPr>
            <w:noProof/>
            <w:webHidden/>
          </w:rPr>
        </w:r>
        <w:r>
          <w:rPr>
            <w:noProof/>
            <w:webHidden/>
          </w:rPr>
          <w:fldChar w:fldCharType="separate"/>
        </w:r>
        <w:r>
          <w:rPr>
            <w:noProof/>
            <w:webHidden/>
          </w:rPr>
          <w:t>25</w:t>
        </w:r>
        <w:r>
          <w:rPr>
            <w:noProof/>
            <w:webHidden/>
          </w:rPr>
          <w:fldChar w:fldCharType="end"/>
        </w:r>
      </w:hyperlink>
    </w:p>
    <w:p w14:paraId="08C2FFDC" w14:textId="77777777" w:rsidR="004E687C" w:rsidRDefault="004E687C" w:rsidP="004E687C">
      <w:pPr>
        <w:pStyle w:val="TM3"/>
        <w:tabs>
          <w:tab w:val="left" w:pos="1320"/>
          <w:tab w:val="right" w:leader="dot" w:pos="9062"/>
        </w:tabs>
        <w:rPr>
          <w:rFonts w:eastAsiaTheme="minorEastAsia"/>
          <w:noProof/>
        </w:rPr>
      </w:pPr>
      <w:hyperlink w:anchor="_Toc191285004" w:history="1">
        <w:r w:rsidRPr="00682194">
          <w:rPr>
            <w:rStyle w:val="Lienhypertexte"/>
            <w:noProof/>
          </w:rPr>
          <w:t>4.5. 2.</w:t>
        </w:r>
        <w:r>
          <w:rPr>
            <w:rFonts w:eastAsiaTheme="minorEastAsia"/>
            <w:noProof/>
          </w:rPr>
          <w:tab/>
        </w:r>
        <w:r w:rsidRPr="00682194">
          <w:rPr>
            <w:rStyle w:val="Lienhypertexte"/>
            <w:noProof/>
          </w:rPr>
          <w:t>Précipitations</w:t>
        </w:r>
        <w:r>
          <w:rPr>
            <w:noProof/>
            <w:webHidden/>
          </w:rPr>
          <w:tab/>
        </w:r>
        <w:r>
          <w:rPr>
            <w:noProof/>
            <w:webHidden/>
          </w:rPr>
          <w:fldChar w:fldCharType="begin"/>
        </w:r>
        <w:r>
          <w:rPr>
            <w:noProof/>
            <w:webHidden/>
          </w:rPr>
          <w:instrText xml:space="preserve"> PAGEREF _Toc191285004 \h </w:instrText>
        </w:r>
        <w:r>
          <w:rPr>
            <w:noProof/>
            <w:webHidden/>
          </w:rPr>
        </w:r>
        <w:r>
          <w:rPr>
            <w:noProof/>
            <w:webHidden/>
          </w:rPr>
          <w:fldChar w:fldCharType="separate"/>
        </w:r>
        <w:r>
          <w:rPr>
            <w:noProof/>
            <w:webHidden/>
          </w:rPr>
          <w:t>26</w:t>
        </w:r>
        <w:r>
          <w:rPr>
            <w:noProof/>
            <w:webHidden/>
          </w:rPr>
          <w:fldChar w:fldCharType="end"/>
        </w:r>
      </w:hyperlink>
    </w:p>
    <w:p w14:paraId="3BDE476E" w14:textId="77777777" w:rsidR="004E687C" w:rsidRDefault="004E687C" w:rsidP="004E687C">
      <w:pPr>
        <w:pStyle w:val="TM2"/>
        <w:tabs>
          <w:tab w:val="left" w:pos="880"/>
          <w:tab w:val="right" w:leader="dot" w:pos="9062"/>
        </w:tabs>
        <w:rPr>
          <w:rFonts w:eastAsiaTheme="minorEastAsia"/>
          <w:noProof/>
        </w:rPr>
      </w:pPr>
      <w:hyperlink w:anchor="_Toc191285005" w:history="1">
        <w:r w:rsidRPr="00682194">
          <w:rPr>
            <w:rStyle w:val="Lienhypertexte"/>
            <w:noProof/>
          </w:rPr>
          <w:t>3.1.</w:t>
        </w:r>
        <w:r>
          <w:rPr>
            <w:rFonts w:eastAsiaTheme="minorEastAsia"/>
            <w:noProof/>
          </w:rPr>
          <w:tab/>
        </w:r>
        <w:r w:rsidRPr="00682194">
          <w:rPr>
            <w:rStyle w:val="Lienhypertexte"/>
            <w:noProof/>
          </w:rPr>
          <w:t>Incertitude des scénarios de changement climatique dérivés des MCGs</w:t>
        </w:r>
        <w:r>
          <w:rPr>
            <w:noProof/>
            <w:webHidden/>
          </w:rPr>
          <w:tab/>
        </w:r>
        <w:r>
          <w:rPr>
            <w:noProof/>
            <w:webHidden/>
          </w:rPr>
          <w:fldChar w:fldCharType="begin"/>
        </w:r>
        <w:r>
          <w:rPr>
            <w:noProof/>
            <w:webHidden/>
          </w:rPr>
          <w:instrText xml:space="preserve"> PAGEREF _Toc191285005 \h </w:instrText>
        </w:r>
        <w:r>
          <w:rPr>
            <w:noProof/>
            <w:webHidden/>
          </w:rPr>
        </w:r>
        <w:r>
          <w:rPr>
            <w:noProof/>
            <w:webHidden/>
          </w:rPr>
          <w:fldChar w:fldCharType="separate"/>
        </w:r>
        <w:r>
          <w:rPr>
            <w:noProof/>
            <w:webHidden/>
          </w:rPr>
          <w:t>28</w:t>
        </w:r>
        <w:r>
          <w:rPr>
            <w:noProof/>
            <w:webHidden/>
          </w:rPr>
          <w:fldChar w:fldCharType="end"/>
        </w:r>
      </w:hyperlink>
    </w:p>
    <w:p w14:paraId="59671CC1" w14:textId="77777777" w:rsidR="004E687C" w:rsidRDefault="004E687C" w:rsidP="004E687C">
      <w:pPr>
        <w:pStyle w:val="TM1"/>
        <w:tabs>
          <w:tab w:val="left" w:pos="480"/>
        </w:tabs>
        <w:rPr>
          <w:rFonts w:asciiTheme="minorHAnsi" w:eastAsiaTheme="minorEastAsia" w:hAnsiTheme="minorHAnsi" w:cstheme="minorBidi"/>
        </w:rPr>
      </w:pPr>
      <w:hyperlink w:anchor="_Toc191285006" w:history="1">
        <w:r w:rsidRPr="00682194">
          <w:rPr>
            <w:rStyle w:val="Lienhypertexte"/>
          </w:rPr>
          <w:t>V.</w:t>
        </w:r>
        <w:r>
          <w:rPr>
            <w:rFonts w:asciiTheme="minorHAnsi" w:eastAsiaTheme="minorEastAsia" w:hAnsiTheme="minorHAnsi" w:cstheme="minorBidi"/>
          </w:rPr>
          <w:tab/>
        </w:r>
        <w:r w:rsidRPr="00682194">
          <w:rPr>
            <w:rStyle w:val="Lienhypertexte"/>
          </w:rPr>
          <w:t>Conclusion et recommandations</w:t>
        </w:r>
        <w:r>
          <w:rPr>
            <w:webHidden/>
          </w:rPr>
          <w:tab/>
        </w:r>
        <w:r>
          <w:rPr>
            <w:webHidden/>
          </w:rPr>
          <w:fldChar w:fldCharType="begin"/>
        </w:r>
        <w:r>
          <w:rPr>
            <w:webHidden/>
          </w:rPr>
          <w:instrText xml:space="preserve"> PAGEREF _Toc191285006 \h </w:instrText>
        </w:r>
        <w:r>
          <w:rPr>
            <w:webHidden/>
          </w:rPr>
        </w:r>
        <w:r>
          <w:rPr>
            <w:webHidden/>
          </w:rPr>
          <w:fldChar w:fldCharType="separate"/>
        </w:r>
        <w:r>
          <w:rPr>
            <w:webHidden/>
          </w:rPr>
          <w:t>30</w:t>
        </w:r>
        <w:r>
          <w:rPr>
            <w:webHidden/>
          </w:rPr>
          <w:fldChar w:fldCharType="end"/>
        </w:r>
      </w:hyperlink>
    </w:p>
    <w:p w14:paraId="63C6F120" w14:textId="77777777" w:rsidR="004E687C" w:rsidRDefault="004E687C" w:rsidP="004E687C">
      <w:r>
        <w:fldChar w:fldCharType="end"/>
      </w:r>
    </w:p>
    <w:p w14:paraId="621D50BC" w14:textId="77777777" w:rsidR="004E687C" w:rsidRPr="005B17FD" w:rsidRDefault="004E687C" w:rsidP="004E687C">
      <w:pPr>
        <w:pStyle w:val="Titre1"/>
        <w:numPr>
          <w:ilvl w:val="0"/>
          <w:numId w:val="185"/>
        </w:numPr>
        <w:ind w:left="720" w:hanging="360"/>
        <w:rPr>
          <w:color w:val="0000FF"/>
        </w:rPr>
      </w:pPr>
      <w:bookmarkStart w:id="492" w:name="_Toc343596101"/>
      <w:r w:rsidRPr="00662319">
        <w:rPr>
          <w:rFonts w:ascii="Times New Roman" w:hAnsi="Times New Roman" w:cs="Times New Roman"/>
          <w:color w:val="000000"/>
        </w:rPr>
        <w:br w:type="page"/>
      </w:r>
      <w:bookmarkStart w:id="493" w:name="_Toc191284964"/>
      <w:r w:rsidRPr="005B17FD">
        <w:rPr>
          <w:color w:val="0000FF"/>
        </w:rPr>
        <w:t xml:space="preserve">La problématique des changements </w:t>
      </w:r>
      <w:r w:rsidRPr="008F639A">
        <w:rPr>
          <w:color w:val="0000FF"/>
        </w:rPr>
        <w:t>climatiques</w:t>
      </w:r>
      <w:bookmarkEnd w:id="478"/>
      <w:bookmarkEnd w:id="479"/>
      <w:bookmarkEnd w:id="480"/>
      <w:bookmarkEnd w:id="492"/>
      <w:bookmarkEnd w:id="493"/>
      <w:r w:rsidRPr="005B17FD">
        <w:rPr>
          <w:color w:val="0000FF"/>
        </w:rPr>
        <w:t xml:space="preserve"> </w:t>
      </w:r>
    </w:p>
    <w:p w14:paraId="19AF1CA8" w14:textId="77777777" w:rsidR="004E687C" w:rsidRPr="00E8617F" w:rsidRDefault="004E687C" w:rsidP="004E687C">
      <w:pPr>
        <w:pStyle w:val="NormalWeb"/>
        <w:jc w:val="both"/>
        <w:rPr>
          <w:color w:val="000000"/>
        </w:rPr>
      </w:pPr>
      <w:r w:rsidRPr="00E8617F">
        <w:rPr>
          <w:color w:val="000000"/>
        </w:rPr>
        <w:t>Les conditions météorologiques</w:t>
      </w:r>
      <w:r w:rsidRPr="00E8617F">
        <w:rPr>
          <w:rStyle w:val="Appelnotedebasdep"/>
          <w:color w:val="000000"/>
        </w:rPr>
        <w:footnoteReference w:id="59"/>
      </w:r>
      <w:r w:rsidRPr="00E8617F">
        <w:rPr>
          <w:color w:val="000000"/>
        </w:rPr>
        <w:t xml:space="preserve"> et le climat</w:t>
      </w:r>
      <w:r w:rsidRPr="00E8617F">
        <w:rPr>
          <w:rStyle w:val="Appelnotedebasdep"/>
          <w:color w:val="000000"/>
        </w:rPr>
        <w:footnoteReference w:id="60"/>
      </w:r>
      <w:r w:rsidRPr="00E8617F">
        <w:rPr>
          <w:color w:val="000000"/>
        </w:rPr>
        <w:t xml:space="preserve"> ont des répercussions de taille sur les activités humaines et la nature. Tout</w:t>
      </w:r>
      <w:r>
        <w:rPr>
          <w:color w:val="000000"/>
        </w:rPr>
        <w:t xml:space="preserve"> comme</w:t>
      </w:r>
      <w:r w:rsidRPr="00E8617F">
        <w:rPr>
          <w:color w:val="000000"/>
        </w:rPr>
        <w:t xml:space="preserve"> le temps varie d’un jour et d’une semaine à l’autre, le climat varie sur un plus long horizon temporel (p. ex., d’une saison et d’une décennie à l’autre). Lorsque les conditions météorologiques moyennes varient entre années ou entre décennies, nous utiliserons ici l’expression </w:t>
      </w:r>
      <w:r w:rsidRPr="00E8617F">
        <w:rPr>
          <w:rStyle w:val="Accentuation"/>
          <w:rFonts w:eastAsiaTheme="majorEastAsia"/>
          <w:color w:val="000000"/>
        </w:rPr>
        <w:t>variabilité du climat</w:t>
      </w:r>
      <w:r w:rsidRPr="00E8617F">
        <w:rPr>
          <w:color w:val="000000"/>
        </w:rPr>
        <w:t xml:space="preserve">. Si le climat change sur plusieurs décennies, voire sur un siècle, nous parlerons de </w:t>
      </w:r>
      <w:r w:rsidRPr="00E8617F">
        <w:rPr>
          <w:rStyle w:val="Accentuation"/>
          <w:rFonts w:eastAsiaTheme="majorEastAsia"/>
          <w:color w:val="000000"/>
        </w:rPr>
        <w:t>changement climatique</w:t>
      </w:r>
      <w:r w:rsidRPr="00E8617F">
        <w:rPr>
          <w:color w:val="000000"/>
        </w:rPr>
        <w:t>. (Sur des tribunes</w:t>
      </w:r>
      <w:r>
        <w:rPr>
          <w:color w:val="000000"/>
        </w:rPr>
        <w:t xml:space="preserve"> comme</w:t>
      </w:r>
      <w:r w:rsidRPr="00E8617F">
        <w:rPr>
          <w:color w:val="000000"/>
        </w:rPr>
        <w:t xml:space="preserve"> </w:t>
      </w:r>
      <w:smartTag w:uri="urn:schemas-microsoft-com:office:smarttags" w:element="PersonName">
        <w:smartTagPr>
          <w:attr w:name="ProductID" w:val="la CCNUCC"/>
        </w:smartTagPr>
        <w:r w:rsidRPr="00E8617F">
          <w:rPr>
            <w:color w:val="000000"/>
          </w:rPr>
          <w:t>la CCNUCC</w:t>
        </w:r>
      </w:smartTag>
      <w:r w:rsidRPr="00E8617F">
        <w:rPr>
          <w:color w:val="000000"/>
        </w:rPr>
        <w:t xml:space="preserve">, le « changement climatique » se définit ainsi : « changements de climat qui sont attribués directement ou indirectement à une activité humaine altérant la composition de l’atmosphère mondiale et qui viennent s’ajouter à la variabilité naturelle du climat observée au cours de périodes comparables ». Pour le GIEC, le terme « changement climatique » s’entend de changements de climat avec le temps, soit en raison de la variabilité naturelle, soit par suite d’une activité humaine (changement de la composition de l’atmosphère) (GEIC, 2001). </w:t>
      </w:r>
    </w:p>
    <w:p w14:paraId="6DEB2322" w14:textId="77777777" w:rsidR="004E687C" w:rsidRPr="00E8617F" w:rsidRDefault="004E687C" w:rsidP="004E687C">
      <w:pPr>
        <w:pStyle w:val="NormalWeb"/>
        <w:jc w:val="both"/>
        <w:rPr>
          <w:color w:val="000000"/>
        </w:rPr>
      </w:pPr>
      <w:r w:rsidRPr="00E8617F">
        <w:rPr>
          <w:color w:val="000000"/>
        </w:rPr>
        <w:t>Le climat n’est pas naturellement statique. Il subit l’influence, sur diverses échelles de temps, de facteurs</w:t>
      </w:r>
      <w:r>
        <w:rPr>
          <w:color w:val="000000"/>
        </w:rPr>
        <w:t xml:space="preserve"> comme</w:t>
      </w:r>
      <w:r w:rsidRPr="00E8617F">
        <w:rPr>
          <w:color w:val="000000"/>
        </w:rPr>
        <w:t xml:space="preserve"> les changements du rayonnement solaire, de l’orbite de </w:t>
      </w:r>
      <w:smartTag w:uri="urn:schemas-microsoft-com:office:smarttags" w:element="PersonName">
        <w:smartTagPr>
          <w:attr w:name="ProductID" w:val="la Terre"/>
        </w:smartTagPr>
        <w:r w:rsidRPr="00E8617F">
          <w:rPr>
            <w:color w:val="000000"/>
          </w:rPr>
          <w:t>la Terre</w:t>
        </w:r>
      </w:smartTag>
      <w:r w:rsidRPr="00E8617F">
        <w:rPr>
          <w:color w:val="000000"/>
        </w:rPr>
        <w:t xml:space="preserve">, de la composition gazeuse de l’atmosphère et de la composition de </w:t>
      </w:r>
      <w:r>
        <w:rPr>
          <w:color w:val="000000"/>
        </w:rPr>
        <w:t>l</w:t>
      </w:r>
      <w:r w:rsidRPr="00E8617F">
        <w:rPr>
          <w:color w:val="000000"/>
        </w:rPr>
        <w:t xml:space="preserve">a surface terrestre (albédo), (GEIC, 2001). Le climat de </w:t>
      </w:r>
      <w:smartTag w:uri="urn:schemas-microsoft-com:office:smarttags" w:element="PersonName">
        <w:smartTagPr>
          <w:attr w:name="ProductID" w:val="la Terre"/>
        </w:smartTagPr>
        <w:r w:rsidRPr="00E8617F">
          <w:rPr>
            <w:color w:val="000000"/>
          </w:rPr>
          <w:t>la Terre</w:t>
        </w:r>
      </w:smartTag>
      <w:r w:rsidRPr="00E8617F">
        <w:rPr>
          <w:color w:val="000000"/>
        </w:rPr>
        <w:t xml:space="preserve"> est un système extrêmement complexe où entrent en jeu les océans, l’atmosphère, la biosphère ainsi que les activités humaines… </w:t>
      </w:r>
    </w:p>
    <w:p w14:paraId="70AFC1D7" w14:textId="77777777" w:rsidR="004E687C" w:rsidRPr="00E8617F" w:rsidRDefault="004E687C" w:rsidP="004E687C">
      <w:pPr>
        <w:pStyle w:val="NormalWeb"/>
        <w:jc w:val="both"/>
        <w:rPr>
          <w:color w:val="000000"/>
        </w:rPr>
      </w:pPr>
      <w:r w:rsidRPr="00E8617F">
        <w:rPr>
          <w:color w:val="000000"/>
        </w:rPr>
        <w:t xml:space="preserve">Depuis 150 ans, période durant laquelle la population a augmenté et où les progrès technologiques ont souvent fait intervenir des combustibles carbonés, on a observé des changements marqués du climat mondial. Ces changements ont été liés à des augmentations des concentrations atmosphériques de gaz à effet de serre (p. ex., CO2, méthane), ainsi qu’à des facteurs secondaires mais importants, dont les changements d’affectation des terres et la production d’aérosols. L’augmentation des concentrations de gaz à effet de serre dans l’atmosphère a été attribuée à l’activité humaine. (GEIC, 2001a). </w:t>
      </w:r>
    </w:p>
    <w:p w14:paraId="21AC43ED" w14:textId="77777777" w:rsidR="004E687C" w:rsidRDefault="004E687C" w:rsidP="004E687C">
      <w:pPr>
        <w:pStyle w:val="NormalWeb"/>
        <w:jc w:val="both"/>
        <w:rPr>
          <w:color w:val="000000"/>
        </w:rPr>
      </w:pPr>
      <w:r w:rsidRPr="00E8617F">
        <w:rPr>
          <w:color w:val="000000"/>
        </w:rPr>
        <w:t>La température moyenne à la surface du globe a accusé une hausse voisine de 0,7°C depuis le début du XXème siècle, mais cette progression n’a pas été continue. Depuis 1976, la hausse s’est nettement accélérée, atteignant 0,18°C par décennie. La période 1997-2006 est marquée par une anomalie positive moyenne de 0,53°C dans l’hémisphère Nord et de 0,27°C dans l’hémisphère Sud, par rapport à la normale calculée pour 1961-1990 (</w:t>
      </w:r>
      <w:r>
        <w:rPr>
          <w:color w:val="000000"/>
        </w:rPr>
        <w:t>ONM</w:t>
      </w:r>
      <w:r w:rsidRPr="00E8617F">
        <w:rPr>
          <w:color w:val="000000"/>
        </w:rPr>
        <w:t xml:space="preserve">, 12/2006). </w:t>
      </w:r>
    </w:p>
    <w:p w14:paraId="68B6A773" w14:textId="77777777" w:rsidR="004E687C" w:rsidRDefault="004E687C" w:rsidP="004E687C">
      <w:pPr>
        <w:pStyle w:val="NormalWeb"/>
        <w:jc w:val="both"/>
        <w:rPr>
          <w:color w:val="000000"/>
        </w:rPr>
      </w:pPr>
      <w:r w:rsidRPr="00675CCC">
        <w:rPr>
          <w:color w:val="000000"/>
        </w:rPr>
        <w:t>Le réchauffement observé depuis un siècle est peu probablement dû à la seule variabilité naturelle du climat, ce réchauffement est inhabituel et a peu de chances d’être une réaction aux seuls forçages naturels</w:t>
      </w:r>
      <w:r>
        <w:rPr>
          <w:color w:val="000000"/>
        </w:rPr>
        <w:t xml:space="preserve"> comme</w:t>
      </w:r>
      <w:r w:rsidRPr="00675CCC">
        <w:rPr>
          <w:color w:val="000000"/>
        </w:rPr>
        <w:t xml:space="preserve"> les éruptions volcaniques et les variations du rayonnement solaire. Des études de détection et d’attribution montrent que la plus grande partie du réchauffement observé est probablement due à une augmentation des concentrations de gaz à effet de serre.</w:t>
      </w:r>
    </w:p>
    <w:p w14:paraId="4242C423" w14:textId="77777777" w:rsidR="004E687C" w:rsidRPr="00675CCC" w:rsidRDefault="004E687C" w:rsidP="004E687C">
      <w:pPr>
        <w:pStyle w:val="NormalWeb"/>
        <w:jc w:val="both"/>
        <w:rPr>
          <w:color w:val="000000"/>
        </w:rPr>
      </w:pPr>
      <w:r w:rsidRPr="00675CCC">
        <w:rPr>
          <w:color w:val="000000"/>
        </w:rPr>
        <w:t>Les simulations des MCG qui tiennent compte à la fois des gaz à effet de serre et des aérosols sulfatés donnent des résultats conformes aux observations de ces 50 dernières années. L’augmentation des gaz à effet de serre est désormais perçue</w:t>
      </w:r>
      <w:r>
        <w:rPr>
          <w:color w:val="000000"/>
        </w:rPr>
        <w:t xml:space="preserve"> comme</w:t>
      </w:r>
      <w:r w:rsidRPr="00675CCC">
        <w:rPr>
          <w:color w:val="000000"/>
        </w:rPr>
        <w:t xml:space="preserve"> responsable du réchauffement observé du dernier siècle et compte tenu de l’augmentation prévue dans la concentration atmosphérique de ces gaz, on s’attend que les changements climatiques anthropiques se poursuivront pendant de nombreuses années, voire des siècles, particulièrement si l’on n’adopte pas des mesures d’atténuation de ce phénomène.</w:t>
      </w:r>
    </w:p>
    <w:p w14:paraId="166B58FF" w14:textId="77777777" w:rsidR="004E687C" w:rsidRPr="00375DAB" w:rsidRDefault="004E687C" w:rsidP="004E687C">
      <w:pPr>
        <w:pStyle w:val="Titre2"/>
        <w:numPr>
          <w:ilvl w:val="0"/>
          <w:numId w:val="155"/>
        </w:numPr>
        <w:tabs>
          <w:tab w:val="clear" w:pos="1357"/>
        </w:tabs>
        <w:ind w:left="720" w:hanging="1357"/>
        <w:jc w:val="both"/>
      </w:pPr>
      <w:bookmarkStart w:id="494" w:name="_Toc192820586"/>
      <w:bookmarkStart w:id="495" w:name="_Toc192821007"/>
      <w:bookmarkStart w:id="496" w:name="_Toc192821136"/>
      <w:bookmarkStart w:id="497" w:name="_Toc343596102"/>
      <w:bookmarkStart w:id="498" w:name="_Toc191284965"/>
      <w:r w:rsidRPr="00375DAB">
        <w:t>Changement climatique et variabilité du climat</w:t>
      </w:r>
      <w:bookmarkEnd w:id="494"/>
      <w:bookmarkEnd w:id="495"/>
      <w:bookmarkEnd w:id="496"/>
      <w:bookmarkEnd w:id="497"/>
      <w:bookmarkEnd w:id="498"/>
      <w:r w:rsidRPr="00375DAB">
        <w:t xml:space="preserve"> </w:t>
      </w:r>
    </w:p>
    <w:p w14:paraId="2F41DFCB" w14:textId="77777777" w:rsidR="004E687C" w:rsidRDefault="004E687C" w:rsidP="004E687C">
      <w:pPr>
        <w:pStyle w:val="NormalWeb"/>
        <w:spacing w:before="0" w:beforeAutospacing="0" w:after="0" w:afterAutospacing="0"/>
        <w:jc w:val="both"/>
        <w:rPr>
          <w:color w:val="000000"/>
        </w:rPr>
      </w:pPr>
      <w:r w:rsidRPr="00F37733">
        <w:rPr>
          <w:color w:val="000000"/>
        </w:rPr>
        <w:t>Les événements atmosphériques se déroulent sur diverses échelles spatiales et temporelles. Sur une échelle réduite (temporelle ou spatiale) on parle d’une variabilité climatique autour d’une normale</w:t>
      </w:r>
      <w:r w:rsidRPr="00F37733">
        <w:rPr>
          <w:rStyle w:val="Appelnotedebasdep"/>
          <w:color w:val="000000"/>
        </w:rPr>
        <w:footnoteReference w:id="61"/>
      </w:r>
      <w:r w:rsidRPr="00F37733">
        <w:rPr>
          <w:color w:val="000000"/>
        </w:rPr>
        <w:t xml:space="preserve"> ou une tendance qui peut intégrer des événements pseudo-cycliques</w:t>
      </w:r>
      <w:r w:rsidRPr="00F37733">
        <w:rPr>
          <w:rStyle w:val="Appelnotedebasdep"/>
          <w:color w:val="000000"/>
        </w:rPr>
        <w:footnoteReference w:id="62"/>
      </w:r>
      <w:r w:rsidRPr="00F37733">
        <w:rPr>
          <w:color w:val="000000"/>
        </w:rPr>
        <w:t xml:space="preserve"> susceptibles de faire basculer les conditions climatiques à un endroit donné.</w:t>
      </w:r>
    </w:p>
    <w:p w14:paraId="0D332838" w14:textId="77777777" w:rsidR="004E687C" w:rsidRDefault="004E687C" w:rsidP="004E687C">
      <w:pPr>
        <w:pStyle w:val="NormalWeb"/>
        <w:jc w:val="both"/>
        <w:rPr>
          <w:color w:val="000000"/>
          <w:sz w:val="19"/>
          <w:szCs w:val="19"/>
        </w:rPr>
      </w:pPr>
      <w:r w:rsidRPr="005B17FD">
        <w:rPr>
          <w:noProof/>
          <w:color w:val="000000"/>
          <w:sz w:val="19"/>
          <w:szCs w:val="19"/>
          <w:shd w:val="clear" w:color="auto" w:fill="FBE4D5" w:themeFill="accent2" w:themeFillTint="33"/>
        </w:rPr>
        <w:drawing>
          <wp:inline distT="0" distB="0" distL="0" distR="0" wp14:anchorId="2B114186" wp14:editId="500B6E39">
            <wp:extent cx="4264660" cy="1965325"/>
            <wp:effectExtent l="19050" t="0" r="2540" b="0"/>
            <wp:docPr id="319655099" name="Image 319655099"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Figure 3"/>
                    <pic:cNvPicPr>
                      <a:picLocks noChangeAspect="1" noChangeArrowheads="1"/>
                    </pic:cNvPicPr>
                  </pic:nvPicPr>
                  <pic:blipFill>
                    <a:blip r:embed="rId227"/>
                    <a:srcRect/>
                    <a:stretch>
                      <a:fillRect/>
                    </a:stretch>
                  </pic:blipFill>
                  <pic:spPr bwMode="auto">
                    <a:xfrm>
                      <a:off x="0" y="0"/>
                      <a:ext cx="4264660" cy="1965325"/>
                    </a:xfrm>
                    <a:prstGeom prst="rect">
                      <a:avLst/>
                    </a:prstGeom>
                    <a:noFill/>
                    <a:ln w="9525">
                      <a:noFill/>
                      <a:miter lim="800000"/>
                      <a:headEnd/>
                      <a:tailEnd/>
                    </a:ln>
                  </pic:spPr>
                </pic:pic>
              </a:graphicData>
            </a:graphic>
          </wp:inline>
        </w:drawing>
      </w:r>
    </w:p>
    <w:p w14:paraId="7E9AAC08" w14:textId="77777777" w:rsidR="004E687C" w:rsidRPr="00F37733" w:rsidRDefault="004E687C" w:rsidP="004E687C">
      <w:pPr>
        <w:pStyle w:val="NormalWeb"/>
        <w:jc w:val="both"/>
        <w:rPr>
          <w:color w:val="000000"/>
          <w:sz w:val="20"/>
          <w:szCs w:val="20"/>
        </w:rPr>
      </w:pPr>
      <w:r w:rsidRPr="00F37733">
        <w:rPr>
          <w:rStyle w:val="lev"/>
          <w:color w:val="000000"/>
          <w:sz w:val="20"/>
          <w:szCs w:val="20"/>
        </w:rPr>
        <w:t>Figure 1</w:t>
      </w:r>
      <w:r w:rsidRPr="00F37733">
        <w:rPr>
          <w:rStyle w:val="note1"/>
          <w:color w:val="000000"/>
          <w:sz w:val="20"/>
          <w:szCs w:val="20"/>
        </w:rPr>
        <w:t xml:space="preserve"> : Variabilité du climat </w:t>
      </w:r>
      <w:r>
        <w:rPr>
          <w:rStyle w:val="note1"/>
          <w:color w:val="000000"/>
          <w:sz w:val="20"/>
          <w:szCs w:val="20"/>
        </w:rPr>
        <w:t>et</w:t>
      </w:r>
      <w:r w:rsidRPr="00F37733">
        <w:rPr>
          <w:rStyle w:val="note1"/>
          <w:color w:val="000000"/>
          <w:sz w:val="20"/>
          <w:szCs w:val="20"/>
        </w:rPr>
        <w:t xml:space="preserve"> changement climatique</w:t>
      </w:r>
    </w:p>
    <w:p w14:paraId="0EC697E2" w14:textId="77777777" w:rsidR="004E687C" w:rsidRPr="00E8617F" w:rsidRDefault="004E687C" w:rsidP="004E687C">
      <w:pPr>
        <w:pStyle w:val="NormalWeb"/>
        <w:jc w:val="both"/>
        <w:rPr>
          <w:color w:val="000000"/>
        </w:rPr>
      </w:pPr>
      <w:r w:rsidRPr="00F37733">
        <w:rPr>
          <w:color w:val="000000"/>
        </w:rPr>
        <w:t>Sur une plus longue échelle de temps</w:t>
      </w:r>
      <w:r w:rsidRPr="00F37733">
        <w:rPr>
          <w:rStyle w:val="Appelnotedebasdep"/>
          <w:color w:val="000000"/>
        </w:rPr>
        <w:footnoteReference w:id="63"/>
      </w:r>
      <w:r w:rsidRPr="00F37733">
        <w:rPr>
          <w:color w:val="000000"/>
        </w:rPr>
        <w:t xml:space="preserve"> ou globale</w:t>
      </w:r>
      <w:r w:rsidRPr="00F37733">
        <w:rPr>
          <w:rStyle w:val="Appelnotedebasdep"/>
          <w:color w:val="000000"/>
        </w:rPr>
        <w:footnoteReference w:id="64"/>
      </w:r>
      <w:r w:rsidRPr="00F37733">
        <w:rPr>
          <w:color w:val="000000"/>
        </w:rPr>
        <w:t xml:space="preserve"> spatialement, le climat peut changer radicalement. Il peut devenir plus chaud ou plus froid, plus sec ou plus humide, et les valeurs moyennes peuvent s’écarter considérablement des plages observées pendant quelques décennies. Il s’agit là d’un changement climatique, qui peut se produire de façon brutale ou progressive, Naturelle</w:t>
      </w:r>
      <w:r w:rsidRPr="00F37733">
        <w:rPr>
          <w:rStyle w:val="Appelnotedebasdep"/>
          <w:color w:val="000000"/>
        </w:rPr>
        <w:footnoteReference w:id="65"/>
      </w:r>
      <w:r w:rsidRPr="00F37733">
        <w:rPr>
          <w:color w:val="000000"/>
        </w:rPr>
        <w:t xml:space="preserve"> ou entropique</w:t>
      </w:r>
      <w:r w:rsidRPr="00F37733">
        <w:rPr>
          <w:rStyle w:val="Appelnotedebasdep"/>
          <w:color w:val="000000"/>
        </w:rPr>
        <w:footnoteReference w:id="66"/>
      </w:r>
      <w:r w:rsidRPr="00F37733">
        <w:rPr>
          <w:color w:val="000000"/>
        </w:rPr>
        <w:t xml:space="preserve">.  </w:t>
      </w:r>
    </w:p>
    <w:p w14:paraId="73BD7F02" w14:textId="77777777" w:rsidR="004E687C" w:rsidRPr="00734946" w:rsidRDefault="004E687C" w:rsidP="004E687C">
      <w:pPr>
        <w:pStyle w:val="Titre2"/>
        <w:numPr>
          <w:ilvl w:val="0"/>
          <w:numId w:val="155"/>
        </w:numPr>
        <w:tabs>
          <w:tab w:val="clear" w:pos="1357"/>
        </w:tabs>
        <w:ind w:left="720" w:hanging="1357"/>
        <w:jc w:val="both"/>
        <w:rPr>
          <w:i/>
          <w:iCs/>
          <w:color w:val="0033CC"/>
        </w:rPr>
      </w:pPr>
      <w:bookmarkStart w:id="499" w:name="_Toc192820587"/>
      <w:bookmarkStart w:id="500" w:name="_Toc192821008"/>
      <w:bookmarkStart w:id="501" w:name="_Toc192821137"/>
      <w:bookmarkStart w:id="502" w:name="_Toc343596103"/>
      <w:bookmarkStart w:id="503" w:name="_Toc191284966"/>
      <w:r w:rsidRPr="00734946">
        <w:rPr>
          <w:color w:val="0033CC"/>
        </w:rPr>
        <w:t>Définition du climat de référence</w:t>
      </w:r>
      <w:bookmarkEnd w:id="499"/>
      <w:bookmarkEnd w:id="500"/>
      <w:bookmarkEnd w:id="501"/>
      <w:bookmarkEnd w:id="502"/>
      <w:bookmarkEnd w:id="503"/>
      <w:r w:rsidRPr="00734946">
        <w:rPr>
          <w:color w:val="0033CC"/>
        </w:rPr>
        <w:t xml:space="preserve"> </w:t>
      </w:r>
    </w:p>
    <w:p w14:paraId="47BE5BA0" w14:textId="77777777" w:rsidR="004E687C" w:rsidRPr="004A7F3A" w:rsidRDefault="004E687C" w:rsidP="004E687C">
      <w:pPr>
        <w:pStyle w:val="NormalWeb"/>
        <w:jc w:val="both"/>
        <w:rPr>
          <w:color w:val="000000"/>
        </w:rPr>
      </w:pPr>
      <w:r w:rsidRPr="004A7F3A">
        <w:rPr>
          <w:color w:val="000000"/>
        </w:rPr>
        <w:t xml:space="preserve">Le scénario des changements climatiques devra procéder par une analyse poussée des conditions climatiques actuelles, dont la variabilité du climat. Ce sont des analyses précieuses pour aider à comprendre le système étudié, déterminer l’influence du climat actuel sur ce système et la vulnérabilité du système au climat actuel et, ultimement, offrir un point de référence auquel comparer les résultats des études de changement climatique. Il est extrêmement important de pouvoir dégager et quantifier, dans la mesure du possible. Une des étapes fondamentales du processus d’évaluation de la vulnérabilité aux changements climatiques doit être de préciser le risque climatique actuel à l’endroit géographique ou secteur d’activité étudié. </w:t>
      </w:r>
    </w:p>
    <w:p w14:paraId="6CCDD22D" w14:textId="77777777" w:rsidR="004E687C" w:rsidRPr="00BE0ADF" w:rsidRDefault="004E687C" w:rsidP="004E687C">
      <w:pPr>
        <w:pStyle w:val="Titre3"/>
        <w:numPr>
          <w:ilvl w:val="2"/>
          <w:numId w:val="154"/>
        </w:numPr>
        <w:tabs>
          <w:tab w:val="clear" w:pos="2340"/>
          <w:tab w:val="num" w:pos="284"/>
        </w:tabs>
        <w:ind w:left="851" w:hanging="709"/>
        <w:jc w:val="both"/>
        <w:rPr>
          <w:color w:val="660033"/>
        </w:rPr>
      </w:pPr>
      <w:bookmarkStart w:id="504" w:name="_Toc192820588"/>
      <w:bookmarkStart w:id="505" w:name="_Toc192821009"/>
      <w:bookmarkStart w:id="506" w:name="_Toc192821138"/>
      <w:bookmarkStart w:id="507" w:name="_Toc343596104"/>
      <w:bookmarkStart w:id="508" w:name="_Toc191284967"/>
      <w:r w:rsidRPr="00BE0ADF">
        <w:rPr>
          <w:color w:val="660033"/>
        </w:rPr>
        <w:t xml:space="preserve">Choix de la période climatique de </w:t>
      </w:r>
      <w:r w:rsidRPr="00BE0ADF">
        <w:rPr>
          <w:color w:val="660033"/>
          <w:highlight w:val="cyan"/>
        </w:rPr>
        <w:t>base</w:t>
      </w:r>
      <w:r w:rsidRPr="00BE0ADF">
        <w:rPr>
          <w:color w:val="660033"/>
        </w:rPr>
        <w:t xml:space="preserve"> ou normale</w:t>
      </w:r>
      <w:bookmarkEnd w:id="504"/>
      <w:bookmarkEnd w:id="505"/>
      <w:bookmarkEnd w:id="506"/>
      <w:bookmarkEnd w:id="507"/>
      <w:bookmarkEnd w:id="508"/>
    </w:p>
    <w:p w14:paraId="2F050C5F" w14:textId="77777777" w:rsidR="004E687C" w:rsidRPr="004A7F3A" w:rsidRDefault="004E687C" w:rsidP="004E687C">
      <w:pPr>
        <w:pStyle w:val="NormalWeb"/>
        <w:jc w:val="both"/>
        <w:rPr>
          <w:color w:val="000000"/>
        </w:rPr>
      </w:pPr>
      <w:r w:rsidRPr="004A7F3A">
        <w:rPr>
          <w:color w:val="000000"/>
        </w:rPr>
        <w:t xml:space="preserve">Le climat « actuel » est également souvent appelé climat </w:t>
      </w:r>
      <w:r w:rsidRPr="004A7F3A">
        <w:rPr>
          <w:i/>
          <w:iCs/>
        </w:rPr>
        <w:t>de référence</w:t>
      </w:r>
      <w:r w:rsidRPr="004A7F3A">
        <w:rPr>
          <w:color w:val="000000"/>
        </w:rPr>
        <w:t xml:space="preserve"> ou </w:t>
      </w:r>
      <w:r w:rsidRPr="004A7F3A">
        <w:rPr>
          <w:i/>
          <w:iCs/>
        </w:rPr>
        <w:t>de base</w:t>
      </w:r>
      <w:r w:rsidRPr="004A7F3A">
        <w:rPr>
          <w:color w:val="000000"/>
        </w:rPr>
        <w:t xml:space="preserve">, et correspond généralement au </w:t>
      </w:r>
      <w:r w:rsidRPr="008F639A">
        <w:rPr>
          <w:color w:val="336699"/>
        </w:rPr>
        <w:t>climat</w:t>
      </w:r>
      <w:r w:rsidRPr="004A7F3A">
        <w:rPr>
          <w:color w:val="000000"/>
        </w:rPr>
        <w:t xml:space="preserve"> de la présente période de normales de 30 ans, telle que définie par l’Organisation météorologique mondiale (</w:t>
      </w:r>
      <w:r w:rsidRPr="00564503">
        <w:rPr>
          <w:color w:val="212121"/>
        </w:rPr>
        <w:t>OMM</w:t>
      </w:r>
      <w:r w:rsidRPr="004A7F3A">
        <w:rPr>
          <w:color w:val="000000"/>
        </w:rPr>
        <w:t>). Le climat des 30 années de la période de normales actuelle</w:t>
      </w:r>
      <w:r>
        <w:rPr>
          <w:color w:val="000000"/>
        </w:rPr>
        <w:t>s</w:t>
      </w:r>
      <w:r w:rsidRPr="004A7F3A">
        <w:rPr>
          <w:color w:val="000000"/>
        </w:rPr>
        <w:t xml:space="preserve"> se résume en termes de moyenne, de variabilité et de valeur</w:t>
      </w:r>
      <w:r>
        <w:rPr>
          <w:color w:val="000000"/>
        </w:rPr>
        <w:t>s</w:t>
      </w:r>
      <w:r w:rsidRPr="004A7F3A">
        <w:rPr>
          <w:color w:val="000000"/>
        </w:rPr>
        <w:t xml:space="preserve"> extrêmes</w:t>
      </w:r>
      <w:r>
        <w:rPr>
          <w:color w:val="000000"/>
        </w:rPr>
        <w:t xml:space="preserve"> </w:t>
      </w:r>
      <w:r w:rsidRPr="004A7F3A">
        <w:rPr>
          <w:color w:val="000000"/>
        </w:rPr>
        <w:t>; la période actuelle va de 1961 à 1990, elle sera remplacée par la période 1971 à 2000 d’ici deux ou trois ans, tout</w:t>
      </w:r>
      <w:r>
        <w:rPr>
          <w:color w:val="000000"/>
        </w:rPr>
        <w:t xml:space="preserve"> comme</w:t>
      </w:r>
      <w:r w:rsidRPr="004A7F3A">
        <w:rPr>
          <w:color w:val="000000"/>
        </w:rPr>
        <w:t xml:space="preserve"> la période 1961-</w:t>
      </w:r>
      <w:smartTag w:uri="urn:schemas-microsoft-com:office:smarttags" w:element="metricconverter">
        <w:smartTagPr>
          <w:attr w:name="ProductID" w:val="1990 a"/>
        </w:smartTagPr>
        <w:r w:rsidRPr="004A7F3A">
          <w:rPr>
            <w:color w:val="000000"/>
          </w:rPr>
          <w:t>1990 a</w:t>
        </w:r>
      </w:smartTag>
      <w:r w:rsidRPr="004A7F3A">
        <w:rPr>
          <w:color w:val="000000"/>
        </w:rPr>
        <w:t xml:space="preserve"> remplacé celle de 1951-1980 au début des années 1990. L’</w:t>
      </w:r>
      <w:r>
        <w:rPr>
          <w:color w:val="000000"/>
        </w:rPr>
        <w:t>ONM</w:t>
      </w:r>
      <w:r w:rsidRPr="004A7F3A">
        <w:rPr>
          <w:color w:val="000000"/>
        </w:rPr>
        <w:t xml:space="preserve"> utilise une période de 30 ans pour définir le climat moyen d’un endroit ou d’une région, et les scénarios de changement climatique reposent généralement sur des moyennes de 30 ans (voir le point 3.1.1); toutefois, cette longueur d’enregistrement pourrait n’être pas suffisante pour mettre en évidence certains des événements climatiques extrêmes moins fréquents qui pourraient être d’une importance particulière pour le système étudié. S’il existe des enregistrements climatologiques de plus de 30 ans, il est rec</w:t>
      </w:r>
      <w:r>
        <w:rPr>
          <w:color w:val="000000"/>
        </w:rPr>
        <w:t>omm</w:t>
      </w:r>
      <w:r w:rsidRPr="004A7F3A">
        <w:rPr>
          <w:color w:val="000000"/>
        </w:rPr>
        <w:t xml:space="preserve">andé de les utiliser pour amorcer une analyse plus poussée de l’impact du climat sur un système, et particulièrement pour déterminer les événements extrêmes et leurs périodes de récurrence, afin de mieux comprendre la vulnérabilité du système au climat. Toutefois, il ne faut pas oublier que les scénarios de changement climatique sont généralement construits par rapport à la période de base actuelle et ne devraient donc s’appliquer qu’aux données d’observation représentant cette période de 30 ans, plutôt qu’à un enregistrement plus long. </w:t>
      </w:r>
    </w:p>
    <w:p w14:paraId="6FB87472" w14:textId="77777777" w:rsidR="004E687C" w:rsidRPr="004A7F3A" w:rsidRDefault="004E687C" w:rsidP="004E687C">
      <w:pPr>
        <w:pStyle w:val="NormalWeb"/>
        <w:jc w:val="both"/>
        <w:rPr>
          <w:color w:val="000000"/>
        </w:rPr>
      </w:pPr>
      <w:r w:rsidRPr="004A7F3A">
        <w:rPr>
          <w:color w:val="000000"/>
        </w:rPr>
        <w:t xml:space="preserve">Pour respecter les lignes directrices du GIEC (GIEC-TGCIA, 1999), la période de base doit : </w:t>
      </w:r>
    </w:p>
    <w:p w14:paraId="125834C0" w14:textId="77777777" w:rsidR="004E687C" w:rsidRDefault="004E687C" w:rsidP="004E687C">
      <w:pPr>
        <w:numPr>
          <w:ilvl w:val="0"/>
          <w:numId w:val="152"/>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Être représentative du climat moyen actuel ou récent dans la région étudiée ; </w:t>
      </w:r>
    </w:p>
    <w:p w14:paraId="5CEC5CA0" w14:textId="77777777" w:rsidR="004E687C" w:rsidRDefault="004E687C" w:rsidP="004E687C">
      <w:pPr>
        <w:numPr>
          <w:ilvl w:val="0"/>
          <w:numId w:val="152"/>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Être assez longue pour englober l’éventail des variations du climat, y compris un certain nombre d’anomalies météorologiques importantes (p. ex., graves sécheresses</w:t>
      </w:r>
      <w:proofErr w:type="gramStart"/>
      <w:r>
        <w:rPr>
          <w:rFonts w:ascii="Arial" w:hAnsi="Arial" w:cs="Arial"/>
          <w:color w:val="000000"/>
          <w:sz w:val="19"/>
          <w:szCs w:val="19"/>
        </w:rPr>
        <w:t>);</w:t>
      </w:r>
      <w:proofErr w:type="gramEnd"/>
      <w:r>
        <w:rPr>
          <w:rFonts w:ascii="Arial" w:hAnsi="Arial" w:cs="Arial"/>
          <w:color w:val="000000"/>
          <w:sz w:val="19"/>
          <w:szCs w:val="19"/>
        </w:rPr>
        <w:t xml:space="preserve"> </w:t>
      </w:r>
    </w:p>
    <w:p w14:paraId="72AA4CC6" w14:textId="77777777" w:rsidR="004E687C" w:rsidRDefault="004E687C" w:rsidP="004E687C">
      <w:pPr>
        <w:numPr>
          <w:ilvl w:val="0"/>
          <w:numId w:val="152"/>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Couvrir une période pour laquelle on dispose, pour toutes les variables climatiques importantes, de données abondantes, bien distribuées dans l’espace et facilement disponibles ; </w:t>
      </w:r>
    </w:p>
    <w:p w14:paraId="0A50424B" w14:textId="77777777" w:rsidR="004E687C" w:rsidRDefault="004E687C" w:rsidP="004E687C">
      <w:pPr>
        <w:numPr>
          <w:ilvl w:val="0"/>
          <w:numId w:val="152"/>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Être conforme ou facilement comparable aux données climatologiques de base utilisées dans d’autres évaluations des répercussions. </w:t>
      </w:r>
    </w:p>
    <w:p w14:paraId="440BDC30" w14:textId="77777777" w:rsidR="004E687C" w:rsidRPr="004A7F3A" w:rsidRDefault="004E687C" w:rsidP="004E687C">
      <w:pPr>
        <w:pStyle w:val="NormalWeb"/>
        <w:jc w:val="both"/>
        <w:rPr>
          <w:color w:val="000000"/>
        </w:rPr>
      </w:pPr>
      <w:r w:rsidRPr="004A7F3A">
        <w:rPr>
          <w:color w:val="000000"/>
        </w:rPr>
        <w:t>La période climatologique de base ne doit pas nécessairement coïncider avec la période de normales du climat actuel. Toutefois, pour les études de changement climatique, elle doit coïncider avec la période retenue pour construire les scénarios de changement climatique. Ainsi, si les changements du scénario ont été calculés par rapport à la période 1961-1990, il est inapproprié d’appliquer ces scénarios aux données de base observées représentant la période 1951-1980. La période 1961-</w:t>
      </w:r>
      <w:smartTag w:uri="urn:schemas-microsoft-com:office:smarttags" w:element="metricconverter">
        <w:smartTagPr>
          <w:attr w:name="ProductID" w:val="1990 a"/>
        </w:smartTagPr>
        <w:r w:rsidRPr="004A7F3A">
          <w:rPr>
            <w:color w:val="000000"/>
          </w:rPr>
          <w:t>1990 a</w:t>
        </w:r>
      </w:smartTag>
      <w:r w:rsidRPr="004A7F3A">
        <w:rPr>
          <w:color w:val="000000"/>
        </w:rPr>
        <w:t xml:space="preserve"> été largement adoptée</w:t>
      </w:r>
      <w:r>
        <w:rPr>
          <w:color w:val="000000"/>
        </w:rPr>
        <w:t xml:space="preserve"> comme</w:t>
      </w:r>
      <w:r w:rsidRPr="004A7F3A">
        <w:rPr>
          <w:color w:val="000000"/>
        </w:rPr>
        <w:t xml:space="preserve"> période de référence normalisée pour un certain nombre de raisons, et non seulement parce qu’elle serait la période normale du climat actuel. La fin de la période (1990) est l’année de référence c</w:t>
      </w:r>
      <w:r>
        <w:rPr>
          <w:color w:val="000000"/>
        </w:rPr>
        <w:t>om</w:t>
      </w:r>
      <w:r w:rsidRPr="004A7F3A">
        <w:rPr>
          <w:color w:val="000000"/>
        </w:rPr>
        <w:t xml:space="preserve">mune retenue pour les projections climatiques et autres du GIEC dans ses rapports d’évaluation 1, 2 et 3 (GIEC, 1990, 1996, 2001a, c respectivement). Elle représente le climat récent auquel nombre de systèmes humains ou naturels actuels ont dû raisonnablement bien s’adapter. Dans la plupart des pays, les données climatologiques d’observation sont très faciles à obtenir pour cette période, particulièrement lorsqu’il faut des données quotidiennes en format électronique. Toutefois, il se peut qu’on ait accès plus facilement aux données d’une période antérieure (p. ex., 1951-1980). En pareil cas, il faut faire preuve de prudence dans l’application des scénarios de changement climatique. Si on utilise une période de base différente, ses caractéristiques doivent être comparées, si possible, à celles de la période 1961-1990. </w:t>
      </w:r>
    </w:p>
    <w:p w14:paraId="160AE5F9" w14:textId="77777777" w:rsidR="004E687C" w:rsidRPr="00776E35" w:rsidRDefault="004E687C" w:rsidP="004E687C">
      <w:pPr>
        <w:pStyle w:val="Titre3"/>
        <w:numPr>
          <w:ilvl w:val="2"/>
          <w:numId w:val="154"/>
        </w:numPr>
        <w:tabs>
          <w:tab w:val="clear" w:pos="2340"/>
          <w:tab w:val="num" w:pos="1276"/>
        </w:tabs>
        <w:ind w:left="1560" w:hanging="1560"/>
        <w:jc w:val="both"/>
      </w:pPr>
      <w:bookmarkStart w:id="509" w:name="_Toc192820589"/>
      <w:bookmarkStart w:id="510" w:name="_Toc192821010"/>
      <w:bookmarkStart w:id="511" w:name="_Toc192821139"/>
      <w:bookmarkStart w:id="512" w:name="_Toc343596105"/>
      <w:bookmarkStart w:id="513" w:name="_Toc191284968"/>
      <w:r w:rsidRPr="00776E35">
        <w:t>Données de base pour l’évaluation du climat actuel</w:t>
      </w:r>
      <w:bookmarkEnd w:id="509"/>
      <w:bookmarkEnd w:id="510"/>
      <w:bookmarkEnd w:id="511"/>
      <w:bookmarkEnd w:id="512"/>
      <w:bookmarkEnd w:id="513"/>
    </w:p>
    <w:p w14:paraId="3B252E57" w14:textId="77777777" w:rsidR="004E687C" w:rsidRPr="004A7F3A" w:rsidRDefault="004E687C" w:rsidP="004E687C">
      <w:pPr>
        <w:pStyle w:val="NormalWeb"/>
        <w:jc w:val="both"/>
        <w:rPr>
          <w:color w:val="000000"/>
        </w:rPr>
      </w:pPr>
      <w:r w:rsidRPr="004A7F3A">
        <w:rPr>
          <w:color w:val="000000"/>
        </w:rPr>
        <w:t xml:space="preserve">En bref, l’information climatique de base est importante aux fins suivantes : </w:t>
      </w:r>
    </w:p>
    <w:p w14:paraId="1C6F91E1" w14:textId="77777777" w:rsidR="004E687C" w:rsidRDefault="004E687C" w:rsidP="004E687C">
      <w:pPr>
        <w:numPr>
          <w:ilvl w:val="0"/>
          <w:numId w:val="153"/>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Caractériser les conditions dominantes dans lesquelles une unité soumise à exposition, fonctionne et auxquelles elle doit s’adapter ; </w:t>
      </w:r>
    </w:p>
    <w:p w14:paraId="7F3C2925" w14:textId="77777777" w:rsidR="004E687C" w:rsidRDefault="004E687C" w:rsidP="004E687C">
      <w:pPr>
        <w:numPr>
          <w:ilvl w:val="0"/>
          <w:numId w:val="153"/>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Décrire les conditions moyennes, la variabilité spatiale et temporelle et les événements extrêmes ; </w:t>
      </w:r>
    </w:p>
    <w:p w14:paraId="42036A6D" w14:textId="77777777" w:rsidR="004E687C" w:rsidRDefault="004E687C" w:rsidP="004E687C">
      <w:pPr>
        <w:numPr>
          <w:ilvl w:val="0"/>
          <w:numId w:val="153"/>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Étalonner et mettre à l’essai des modèles de répercussions sur la plage de variabilité actuelle ; </w:t>
      </w:r>
    </w:p>
    <w:p w14:paraId="1816A65A" w14:textId="77777777" w:rsidR="004E687C" w:rsidRDefault="004E687C" w:rsidP="004E687C">
      <w:pPr>
        <w:numPr>
          <w:ilvl w:val="0"/>
          <w:numId w:val="153"/>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Identifier les tendances ou cycles actuels possibles ; </w:t>
      </w:r>
    </w:p>
    <w:p w14:paraId="37F87A80" w14:textId="77777777" w:rsidR="004E687C" w:rsidRDefault="004E687C" w:rsidP="004E687C">
      <w:pPr>
        <w:numPr>
          <w:ilvl w:val="0"/>
          <w:numId w:val="153"/>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Préciser la situation de référence avec laquelle comparer les changements futurs (GIEC-TGCIA, 1999). </w:t>
      </w:r>
    </w:p>
    <w:p w14:paraId="528055FE" w14:textId="77777777" w:rsidR="004E687C" w:rsidRPr="004A7F3A" w:rsidRDefault="004E687C" w:rsidP="004E687C">
      <w:pPr>
        <w:pStyle w:val="NormalWeb"/>
        <w:jc w:val="both"/>
        <w:rPr>
          <w:color w:val="000000"/>
        </w:rPr>
      </w:pPr>
      <w:r w:rsidRPr="004A7F3A">
        <w:rPr>
          <w:color w:val="000000"/>
        </w:rPr>
        <w:t xml:space="preserve">Dans la plupart des EE, les données de base nécessaires seront généralement spécifiques aux projets. Dans le cas de projets à des sites individuels ou représentant de petites zones relativement homogènes (de l’ordre de </w:t>
      </w:r>
      <w:smartTag w:uri="urn:schemas-microsoft-com:office:smarttags" w:element="metricconverter">
        <w:smartTagPr>
          <w:attr w:name="ProductID" w:val="20 km"/>
        </w:smartTagPr>
        <w:r w:rsidRPr="004A7F3A">
          <w:rPr>
            <w:color w:val="000000"/>
          </w:rPr>
          <w:t>20 km</w:t>
        </w:r>
      </w:smartTag>
      <w:r w:rsidRPr="004A7F3A">
        <w:rPr>
          <w:color w:val="000000"/>
        </w:rPr>
        <w:t xml:space="preserve"> sur 20), on doit recourir à des données de base d’observation prises aussi près que possible du site (ou de la petite zone) en question. À défaut de données adéquates disponibles au site, on peut utiliser des données portant sur un site proche, dans la mesure où ses caractéristiques (p. ex., climat, couverture végétale, topographie, aspect, etc.) sont aussi semblables que possible à celles du site du projet. L’ensemble de données doit également comporter toutes les variables climatiques nécessaires qui, encore là, dépendront de la nature du projet. Les données doivent porter sur une période suffisante pour qu’on puisse déterminer les grandes caractéristiques climatiques de l’emplacement. Pour être utile pour déterminer les effets du changement climatique futur, la période de base doit correspondre à celle utilisée pour construire les scénarios (c.-à-d. 1961-1990 pour la plupart des scénarios actuellement disponibles), bien qu’une période d’enregistrement beaucoup plus longue puisse donner une meilleure indication de la variabilité du climat, y compris la fréquence et l’ampleur des événements extrêmes. La résolution temporelle de l’ensemble de données (c.-à-d. le besoin de données quotidiennes, mensuelles ou saisonnières) dépendra aussi du projet. </w:t>
      </w:r>
    </w:p>
    <w:p w14:paraId="206FD4C8" w14:textId="77777777" w:rsidR="004E687C" w:rsidRPr="004A7F3A" w:rsidRDefault="004E687C" w:rsidP="004E687C">
      <w:pPr>
        <w:pStyle w:val="NormalWeb"/>
        <w:jc w:val="both"/>
        <w:rPr>
          <w:color w:val="000000"/>
        </w:rPr>
      </w:pPr>
      <w:r w:rsidRPr="004A7F3A">
        <w:rPr>
          <w:color w:val="000000"/>
        </w:rPr>
        <w:t xml:space="preserve">À défaut d’ensembles de données climatiques adéquats, il peut être possible de produire des données synthétiques illustrant le climat de base à l’aide d’un générateur stochastique de conditions météorologiques (voir le point 3.2.2.5.2). On peut utiliser ces modèles statistiques pour simuler des séries chronologiques plus longues de données à un endroit spécifique, pourvu qu’on dispose d’un certain corpus de données d’observation. Ils peuvent aussi servir à générer des données synthétiques à l’égard d’un emplacement pour lequel il n’existe aucune observation. Dans ce dernier cas, il faut disposer de données de stations pour un certain nombre d’endroits proches du site du projet. Le générateur stochastique de conditions météo serait étalonné pour chacune de ces stations environnantes, les paramètres résultants interpolés en fonction du site du projet et ensuite utilisés dans un générateur de conditions météo pour simuler des données météorologiques artificielles. Les générateurs les plus fréquemment utilisés peuvent simuler les précipitations, les températures minimales et maximales et le rayonnement solaire. Certains générateurs plus complexes peuvent être en mesure de fournir des renseignements sur l’humidité atmosphérique et la vitesse du vent. </w:t>
      </w:r>
    </w:p>
    <w:p w14:paraId="7D42B885" w14:textId="77777777" w:rsidR="004E687C" w:rsidRPr="004A7F3A" w:rsidRDefault="004E687C" w:rsidP="004E687C">
      <w:pPr>
        <w:pStyle w:val="NormalWeb"/>
        <w:jc w:val="both"/>
        <w:rPr>
          <w:color w:val="000000"/>
        </w:rPr>
      </w:pPr>
      <w:r w:rsidRPr="004A7F3A">
        <w:rPr>
          <w:color w:val="000000"/>
        </w:rPr>
        <w:t xml:space="preserve">Il ne faut pas oublier qu’un générateur stochastique de conditions météo donne une simulation de données artificielles reposant sur les données d’observation utilisées pour l’étalonner. Ainsi, par exemple, si on utilise un générateur pour obtenir des séries de données sur une période plus longue à une station donnée et qu’on ne dispose que de 10 ans de données d’observation existent pour l’étalonner, les statistiques des données artificielles seront analogues à celles de données d’observations. Cela signifie que les moyennes des données artificielles, quelle que soit la durée, seront très proches des moyennes des 10 ans de données d’observation, et que la variabilité et les extrêmes de la série chronologique artificielle s’approcheront de ceux des données d’observation. Pour la plupart, les générateurs météo, par contre, ont tendance à sous-évaluer la variabilité du climat en raison de la façon dont ils sont conçus. Nous étudierons ce point plus en détail à l’Annexe E. </w:t>
      </w:r>
    </w:p>
    <w:p w14:paraId="03ADCB8B" w14:textId="77777777" w:rsidR="004E687C" w:rsidRPr="00776E35" w:rsidRDefault="004E687C" w:rsidP="004E687C">
      <w:pPr>
        <w:pStyle w:val="Titre3"/>
        <w:numPr>
          <w:ilvl w:val="2"/>
          <w:numId w:val="154"/>
        </w:numPr>
        <w:tabs>
          <w:tab w:val="clear" w:pos="2340"/>
          <w:tab w:val="num" w:pos="1276"/>
        </w:tabs>
        <w:ind w:left="1560" w:hanging="1560"/>
        <w:jc w:val="both"/>
      </w:pPr>
      <w:bookmarkStart w:id="514" w:name="_Toc192820590"/>
      <w:bookmarkStart w:id="515" w:name="_Toc192821011"/>
      <w:bookmarkStart w:id="516" w:name="_Toc192821140"/>
      <w:bookmarkStart w:id="517" w:name="_Toc343596106"/>
      <w:bookmarkStart w:id="518" w:name="_Toc191284969"/>
      <w:r w:rsidRPr="00776E35">
        <w:t>Sources de données de base</w:t>
      </w:r>
      <w:bookmarkEnd w:id="514"/>
      <w:bookmarkEnd w:id="515"/>
      <w:bookmarkEnd w:id="516"/>
      <w:bookmarkEnd w:id="517"/>
      <w:bookmarkEnd w:id="518"/>
      <w:r w:rsidRPr="00776E35">
        <w:t xml:space="preserve"> </w:t>
      </w:r>
    </w:p>
    <w:p w14:paraId="3D664579" w14:textId="77777777" w:rsidR="004E687C" w:rsidRPr="004A7F3A" w:rsidRDefault="004E687C" w:rsidP="004E687C">
      <w:pPr>
        <w:pStyle w:val="NormalWeb"/>
        <w:jc w:val="both"/>
        <w:rPr>
          <w:color w:val="000000"/>
        </w:rPr>
      </w:pPr>
      <w:r w:rsidRPr="004A7F3A">
        <w:rPr>
          <w:color w:val="000000"/>
        </w:rPr>
        <w:t>L’information météorologique mauritanienne est gérée par l</w:t>
      </w:r>
      <w:r>
        <w:rPr>
          <w:color w:val="000000"/>
        </w:rPr>
        <w:t>’ONM</w:t>
      </w:r>
      <w:r w:rsidRPr="004A7F3A">
        <w:rPr>
          <w:color w:val="000000"/>
        </w:rPr>
        <w:t xml:space="preserve"> (</w:t>
      </w:r>
      <w:r>
        <w:rPr>
          <w:color w:val="000000"/>
        </w:rPr>
        <w:t>Office National de la Météorologie</w:t>
      </w:r>
      <w:r w:rsidRPr="004A7F3A">
        <w:rPr>
          <w:color w:val="000000"/>
        </w:rPr>
        <w:t xml:space="preserve">) sauf dans les deux stations de Nouakchott et de Nouadhibou qui relèvent de l’ASECNA (l’Agence de Sécurité de Navigation Aérienne). </w:t>
      </w:r>
      <w:r>
        <w:rPr>
          <w:color w:val="000000"/>
        </w:rPr>
        <w:t xml:space="preserve">L’ONM </w:t>
      </w:r>
      <w:r w:rsidRPr="004A7F3A">
        <w:rPr>
          <w:color w:val="000000"/>
        </w:rPr>
        <w:t>dispose de onze stations</w:t>
      </w:r>
      <w:r>
        <w:rPr>
          <w:color w:val="000000"/>
        </w:rPr>
        <w:t xml:space="preserve"> (de long série)</w:t>
      </w:r>
      <w:r w:rsidRPr="004A7F3A">
        <w:rPr>
          <w:color w:val="000000"/>
        </w:rPr>
        <w:t xml:space="preserve"> reparties sur l’étendue du territoire</w:t>
      </w:r>
      <w:r>
        <w:rPr>
          <w:color w:val="000000"/>
        </w:rPr>
        <w:t>,</w:t>
      </w:r>
      <w:r w:rsidRPr="004A7F3A">
        <w:rPr>
          <w:color w:val="000000"/>
        </w:rPr>
        <w:t xml:space="preserve"> </w:t>
      </w:r>
      <w:r>
        <w:rPr>
          <w:color w:val="000000"/>
        </w:rPr>
        <w:t>en plus d’une soixantaine de postes pluviométriques</w:t>
      </w:r>
      <w:r w:rsidRPr="004A7F3A">
        <w:rPr>
          <w:color w:val="000000"/>
        </w:rPr>
        <w:t xml:space="preserve">. </w:t>
      </w:r>
    </w:p>
    <w:p w14:paraId="178412B8" w14:textId="77777777" w:rsidR="004E687C" w:rsidRPr="00776E35" w:rsidRDefault="004E687C" w:rsidP="004E687C">
      <w:pPr>
        <w:pStyle w:val="Titre1"/>
        <w:numPr>
          <w:ilvl w:val="0"/>
          <w:numId w:val="185"/>
        </w:numPr>
        <w:ind w:left="720" w:hanging="360"/>
      </w:pPr>
      <w:bookmarkStart w:id="519" w:name="_Toc192820591"/>
      <w:bookmarkStart w:id="520" w:name="_Toc192821012"/>
      <w:bookmarkStart w:id="521" w:name="_Toc192821141"/>
      <w:bookmarkStart w:id="522" w:name="_Toc343596107"/>
      <w:bookmarkStart w:id="523" w:name="_Toc191284970"/>
      <w:r w:rsidRPr="00776E35">
        <w:t>Le système de l’observation actuel</w:t>
      </w:r>
      <w:bookmarkEnd w:id="519"/>
      <w:bookmarkEnd w:id="520"/>
      <w:bookmarkEnd w:id="521"/>
      <w:bookmarkEnd w:id="522"/>
      <w:bookmarkEnd w:id="523"/>
    </w:p>
    <w:p w14:paraId="40CED591" w14:textId="77777777" w:rsidR="004E687C" w:rsidRPr="00607EE0" w:rsidRDefault="004E687C" w:rsidP="004E687C">
      <w:pPr>
        <w:pStyle w:val="Titre2"/>
        <w:numPr>
          <w:ilvl w:val="0"/>
          <w:numId w:val="186"/>
        </w:numPr>
        <w:tabs>
          <w:tab w:val="clear" w:pos="1357"/>
        </w:tabs>
        <w:ind w:left="0" w:firstLine="146"/>
        <w:jc w:val="both"/>
      </w:pPr>
      <w:bookmarkStart w:id="524" w:name="_Toc192820592"/>
      <w:bookmarkStart w:id="525" w:name="_Toc192821013"/>
      <w:bookmarkStart w:id="526" w:name="_Toc192821142"/>
      <w:bookmarkStart w:id="527" w:name="_Toc343596108"/>
      <w:bookmarkStart w:id="528" w:name="_Toc191284971"/>
      <w:r w:rsidRPr="00607EE0">
        <w:t>Les stations synoptiques</w:t>
      </w:r>
      <w:bookmarkEnd w:id="524"/>
      <w:bookmarkEnd w:id="525"/>
      <w:bookmarkEnd w:id="526"/>
      <w:bookmarkEnd w:id="527"/>
      <w:bookmarkEnd w:id="528"/>
    </w:p>
    <w:p w14:paraId="59E3E268" w14:textId="77777777" w:rsidR="004E687C" w:rsidRPr="004A7F3A" w:rsidRDefault="004E687C" w:rsidP="004E687C">
      <w:pPr>
        <w:pStyle w:val="NormalWeb"/>
        <w:jc w:val="both"/>
        <w:rPr>
          <w:color w:val="000000"/>
        </w:rPr>
      </w:pPr>
      <w:r w:rsidRPr="004A7F3A">
        <w:rPr>
          <w:color w:val="000000"/>
        </w:rPr>
        <w:t xml:space="preserve">La Mauritanie possède 13 stations synoptiques éparpillées sur une superficie de </w:t>
      </w:r>
      <w:smartTag w:uri="urn:schemas-microsoft-com:office:smarttags" w:element="metricconverter">
        <w:smartTagPr>
          <w:attr w:name="ProductID" w:val="1.034.000 kilom￨tres"/>
        </w:smartTagPr>
        <w:r w:rsidRPr="004A7F3A">
          <w:rPr>
            <w:color w:val="000000"/>
          </w:rPr>
          <w:t>1.034.000 kilomètres</w:t>
        </w:r>
      </w:smartTag>
      <w:r w:rsidRPr="004A7F3A">
        <w:rPr>
          <w:color w:val="000000"/>
        </w:rPr>
        <w:t xml:space="preserve"> carrés (tableau1). En dehors des stations de Nouakchott et de Nouadhibou qui sont toujours gérées par l'ASECNA,</w:t>
      </w:r>
      <w:r>
        <w:rPr>
          <w:color w:val="000000"/>
        </w:rPr>
        <w:t xml:space="preserve"> les autres stations sont gégées par l’ONM</w:t>
      </w:r>
      <w:r w:rsidRPr="004A7F3A">
        <w:rPr>
          <w:color w:val="000000"/>
        </w:rPr>
        <w:t>.</w:t>
      </w:r>
    </w:p>
    <w:p w14:paraId="16719B9B" w14:textId="77777777" w:rsidR="004E687C" w:rsidRPr="00502392" w:rsidRDefault="004E687C" w:rsidP="004E687C">
      <w:pPr>
        <w:pStyle w:val="NormalWeb"/>
        <w:spacing w:before="0" w:beforeAutospacing="0" w:after="0" w:afterAutospacing="0"/>
        <w:jc w:val="both"/>
        <w:rPr>
          <w:color w:val="000000"/>
          <w:sz w:val="19"/>
          <w:szCs w:val="19"/>
        </w:rPr>
      </w:pPr>
      <w:r w:rsidRPr="00502392">
        <w:rPr>
          <w:color w:val="000000"/>
          <w:sz w:val="19"/>
          <w:szCs w:val="19"/>
        </w:rPr>
        <w:t xml:space="preserve">Tableau 1 – situation géographique des stations synoptiques de </w:t>
      </w:r>
      <w:smartTag w:uri="urn:schemas-microsoft-com:office:smarttags" w:element="PersonName">
        <w:smartTagPr>
          <w:attr w:name="ProductID" w:val="la Mauritanie"/>
        </w:smartTagPr>
        <w:r w:rsidRPr="00502392">
          <w:rPr>
            <w:color w:val="000000"/>
            <w:sz w:val="19"/>
            <w:szCs w:val="19"/>
          </w:rPr>
          <w:t>la Mauritanie</w:t>
        </w:r>
      </w:smartTag>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6"/>
        <w:gridCol w:w="1163"/>
        <w:gridCol w:w="1418"/>
        <w:gridCol w:w="1559"/>
        <w:gridCol w:w="3402"/>
      </w:tblGrid>
      <w:tr w:rsidR="004E687C" w14:paraId="33CCADB7" w14:textId="77777777" w:rsidTr="00EE0E23">
        <w:tc>
          <w:tcPr>
            <w:tcW w:w="1956" w:type="dxa"/>
          </w:tcPr>
          <w:p w14:paraId="1F6B4B66" w14:textId="77777777" w:rsidR="004E687C" w:rsidRPr="00502392" w:rsidRDefault="004E687C" w:rsidP="00EE0E23">
            <w:pPr>
              <w:jc w:val="both"/>
              <w:rPr>
                <w:b/>
              </w:rPr>
            </w:pPr>
            <w:r w:rsidRPr="00502392">
              <w:rPr>
                <w:b/>
              </w:rPr>
              <w:t xml:space="preserve">Station </w:t>
            </w:r>
          </w:p>
        </w:tc>
        <w:tc>
          <w:tcPr>
            <w:tcW w:w="1163" w:type="dxa"/>
          </w:tcPr>
          <w:p w14:paraId="72384378" w14:textId="77777777" w:rsidR="004E687C" w:rsidRPr="00502392" w:rsidRDefault="004E687C" w:rsidP="00EE0E23">
            <w:pPr>
              <w:jc w:val="both"/>
              <w:rPr>
                <w:b/>
              </w:rPr>
            </w:pPr>
            <w:r w:rsidRPr="00502392">
              <w:rPr>
                <w:b/>
              </w:rPr>
              <w:t>Latitude</w:t>
            </w:r>
          </w:p>
        </w:tc>
        <w:tc>
          <w:tcPr>
            <w:tcW w:w="1418" w:type="dxa"/>
          </w:tcPr>
          <w:p w14:paraId="7381545E" w14:textId="77777777" w:rsidR="004E687C" w:rsidRPr="00502392" w:rsidRDefault="004E687C" w:rsidP="00EE0E23">
            <w:pPr>
              <w:jc w:val="both"/>
              <w:rPr>
                <w:b/>
              </w:rPr>
            </w:pPr>
            <w:r w:rsidRPr="00502392">
              <w:rPr>
                <w:b/>
              </w:rPr>
              <w:t>Longitude</w:t>
            </w:r>
          </w:p>
        </w:tc>
        <w:tc>
          <w:tcPr>
            <w:tcW w:w="1559" w:type="dxa"/>
          </w:tcPr>
          <w:p w14:paraId="438E8B11" w14:textId="77777777" w:rsidR="004E687C" w:rsidRPr="00502392" w:rsidRDefault="004E687C" w:rsidP="00EE0E23">
            <w:pPr>
              <w:jc w:val="both"/>
              <w:rPr>
                <w:b/>
              </w:rPr>
            </w:pPr>
            <w:r w:rsidRPr="00502392">
              <w:rPr>
                <w:b/>
              </w:rPr>
              <w:t xml:space="preserve">Altitude </w:t>
            </w:r>
          </w:p>
        </w:tc>
        <w:tc>
          <w:tcPr>
            <w:tcW w:w="3402" w:type="dxa"/>
          </w:tcPr>
          <w:p w14:paraId="4E79DAD3" w14:textId="77777777" w:rsidR="004E687C" w:rsidRPr="00502392" w:rsidRDefault="004E687C" w:rsidP="00EE0E23">
            <w:pPr>
              <w:jc w:val="both"/>
              <w:rPr>
                <w:b/>
              </w:rPr>
            </w:pPr>
            <w:r w:rsidRPr="00502392">
              <w:rPr>
                <w:b/>
              </w:rPr>
              <w:t>Date d'ouverture</w:t>
            </w:r>
          </w:p>
        </w:tc>
      </w:tr>
      <w:tr w:rsidR="004E687C" w14:paraId="2D485532" w14:textId="77777777" w:rsidTr="00EE0E23">
        <w:tc>
          <w:tcPr>
            <w:tcW w:w="1956" w:type="dxa"/>
          </w:tcPr>
          <w:p w14:paraId="4E310FE2" w14:textId="77777777" w:rsidR="004E687C" w:rsidRPr="00502392" w:rsidRDefault="004E687C" w:rsidP="00EE0E23">
            <w:pPr>
              <w:jc w:val="both"/>
              <w:rPr>
                <w:b/>
              </w:rPr>
            </w:pPr>
            <w:r w:rsidRPr="00502392">
              <w:rPr>
                <w:b/>
              </w:rPr>
              <w:t xml:space="preserve">Aioun </w:t>
            </w:r>
          </w:p>
        </w:tc>
        <w:tc>
          <w:tcPr>
            <w:tcW w:w="1163" w:type="dxa"/>
          </w:tcPr>
          <w:p w14:paraId="4B3B391A" w14:textId="77777777" w:rsidR="004E687C" w:rsidRPr="00540981" w:rsidRDefault="004E687C" w:rsidP="00EE0E23">
            <w:pPr>
              <w:jc w:val="both"/>
            </w:pPr>
            <w:r w:rsidRPr="00540981">
              <w:t>16°42N</w:t>
            </w:r>
          </w:p>
        </w:tc>
        <w:tc>
          <w:tcPr>
            <w:tcW w:w="1418" w:type="dxa"/>
          </w:tcPr>
          <w:p w14:paraId="3A0A78C8" w14:textId="77777777" w:rsidR="004E687C" w:rsidRPr="00540981" w:rsidRDefault="004E687C" w:rsidP="00EE0E23">
            <w:pPr>
              <w:jc w:val="both"/>
            </w:pPr>
            <w:r w:rsidRPr="00540981">
              <w:t>09°36W</w:t>
            </w:r>
          </w:p>
        </w:tc>
        <w:tc>
          <w:tcPr>
            <w:tcW w:w="1559" w:type="dxa"/>
          </w:tcPr>
          <w:p w14:paraId="3EC85E6F" w14:textId="77777777" w:rsidR="004E687C" w:rsidRPr="00540981" w:rsidRDefault="004E687C" w:rsidP="00EE0E23">
            <w:pPr>
              <w:jc w:val="both"/>
            </w:pPr>
            <w:smartTag w:uri="urn:schemas-microsoft-com:office:smarttags" w:element="metricconverter">
              <w:smartTagPr>
                <w:attr w:name="ProductID" w:val="233 m"/>
              </w:smartTagPr>
              <w:r w:rsidRPr="00540981">
                <w:t>233 m</w:t>
              </w:r>
            </w:smartTag>
          </w:p>
        </w:tc>
        <w:tc>
          <w:tcPr>
            <w:tcW w:w="3402" w:type="dxa"/>
          </w:tcPr>
          <w:p w14:paraId="27DB90A2" w14:textId="77777777" w:rsidR="004E687C" w:rsidRPr="00540981" w:rsidRDefault="004E687C" w:rsidP="00EE0E23">
            <w:pPr>
              <w:jc w:val="both"/>
            </w:pPr>
            <w:r w:rsidRPr="00540981">
              <w:t>1946</w:t>
            </w:r>
          </w:p>
        </w:tc>
      </w:tr>
      <w:tr w:rsidR="004E687C" w14:paraId="18AB60D9" w14:textId="77777777" w:rsidTr="00EE0E23">
        <w:tc>
          <w:tcPr>
            <w:tcW w:w="1956" w:type="dxa"/>
          </w:tcPr>
          <w:p w14:paraId="4AF9176F" w14:textId="77777777" w:rsidR="004E687C" w:rsidRPr="00502392" w:rsidRDefault="004E687C" w:rsidP="00EE0E23">
            <w:pPr>
              <w:jc w:val="both"/>
              <w:rPr>
                <w:b/>
              </w:rPr>
            </w:pPr>
            <w:r w:rsidRPr="00502392">
              <w:rPr>
                <w:b/>
              </w:rPr>
              <w:t>Akjoujt</w:t>
            </w:r>
          </w:p>
        </w:tc>
        <w:tc>
          <w:tcPr>
            <w:tcW w:w="1163" w:type="dxa"/>
          </w:tcPr>
          <w:p w14:paraId="5104E6F9" w14:textId="77777777" w:rsidR="004E687C" w:rsidRPr="00540981" w:rsidRDefault="004E687C" w:rsidP="00EE0E23">
            <w:pPr>
              <w:jc w:val="both"/>
              <w:rPr>
                <w:lang w:val="en-US"/>
              </w:rPr>
            </w:pPr>
            <w:r w:rsidRPr="00540981">
              <w:rPr>
                <w:lang w:val="en-US"/>
              </w:rPr>
              <w:t>19°45N</w:t>
            </w:r>
          </w:p>
        </w:tc>
        <w:tc>
          <w:tcPr>
            <w:tcW w:w="1418" w:type="dxa"/>
          </w:tcPr>
          <w:p w14:paraId="441DBCA4" w14:textId="77777777" w:rsidR="004E687C" w:rsidRPr="00540981" w:rsidRDefault="004E687C" w:rsidP="00EE0E23">
            <w:pPr>
              <w:jc w:val="both"/>
              <w:rPr>
                <w:lang w:val="en-US"/>
              </w:rPr>
            </w:pPr>
            <w:r w:rsidRPr="00540981">
              <w:rPr>
                <w:lang w:val="en-US"/>
              </w:rPr>
              <w:t>14°22W</w:t>
            </w:r>
          </w:p>
        </w:tc>
        <w:tc>
          <w:tcPr>
            <w:tcW w:w="1559" w:type="dxa"/>
          </w:tcPr>
          <w:p w14:paraId="43DAC5C8" w14:textId="77777777" w:rsidR="004E687C" w:rsidRPr="00540981" w:rsidRDefault="004E687C" w:rsidP="00EE0E23">
            <w:pPr>
              <w:jc w:val="both"/>
              <w:rPr>
                <w:lang w:val="en-US"/>
              </w:rPr>
            </w:pPr>
            <w:smartTag w:uri="urn:schemas-microsoft-com:office:smarttags" w:element="metricconverter">
              <w:smartTagPr>
                <w:attr w:name="ProductID" w:val="10 m"/>
              </w:smartTagPr>
              <w:r w:rsidRPr="00540981">
                <w:rPr>
                  <w:lang w:val="en-US"/>
                </w:rPr>
                <w:t>10 m</w:t>
              </w:r>
            </w:smartTag>
          </w:p>
        </w:tc>
        <w:tc>
          <w:tcPr>
            <w:tcW w:w="3402" w:type="dxa"/>
          </w:tcPr>
          <w:p w14:paraId="3AE25A34" w14:textId="77777777" w:rsidR="004E687C" w:rsidRPr="00540981" w:rsidRDefault="004E687C" w:rsidP="00EE0E23">
            <w:pPr>
              <w:jc w:val="both"/>
              <w:rPr>
                <w:lang w:val="en-US"/>
              </w:rPr>
            </w:pPr>
            <w:r w:rsidRPr="00540981">
              <w:rPr>
                <w:lang w:val="en-US"/>
              </w:rPr>
              <w:t>1931</w:t>
            </w:r>
          </w:p>
        </w:tc>
      </w:tr>
      <w:tr w:rsidR="004E687C" w14:paraId="048FC1CC" w14:textId="77777777" w:rsidTr="00EE0E23">
        <w:tc>
          <w:tcPr>
            <w:tcW w:w="1956" w:type="dxa"/>
          </w:tcPr>
          <w:p w14:paraId="01AF2427" w14:textId="77777777" w:rsidR="004E687C" w:rsidRPr="00502392" w:rsidRDefault="004E687C" w:rsidP="00EE0E23">
            <w:pPr>
              <w:jc w:val="both"/>
              <w:rPr>
                <w:b/>
                <w:lang w:val="en-US"/>
              </w:rPr>
            </w:pPr>
            <w:r w:rsidRPr="00502392">
              <w:rPr>
                <w:b/>
                <w:lang w:val="en-US"/>
              </w:rPr>
              <w:t>Atar</w:t>
            </w:r>
          </w:p>
        </w:tc>
        <w:tc>
          <w:tcPr>
            <w:tcW w:w="1163" w:type="dxa"/>
          </w:tcPr>
          <w:p w14:paraId="370A8BF0" w14:textId="77777777" w:rsidR="004E687C" w:rsidRPr="00540981" w:rsidRDefault="004E687C" w:rsidP="00EE0E23">
            <w:pPr>
              <w:jc w:val="both"/>
              <w:rPr>
                <w:lang w:val="de-DE"/>
              </w:rPr>
            </w:pPr>
            <w:r w:rsidRPr="00540981">
              <w:rPr>
                <w:lang w:val="de-DE"/>
              </w:rPr>
              <w:t>20°31N</w:t>
            </w:r>
          </w:p>
        </w:tc>
        <w:tc>
          <w:tcPr>
            <w:tcW w:w="1418" w:type="dxa"/>
          </w:tcPr>
          <w:p w14:paraId="2AA750A1" w14:textId="77777777" w:rsidR="004E687C" w:rsidRPr="00540981" w:rsidRDefault="004E687C" w:rsidP="00EE0E23">
            <w:pPr>
              <w:jc w:val="both"/>
              <w:rPr>
                <w:lang w:val="de-DE"/>
              </w:rPr>
            </w:pPr>
            <w:r w:rsidRPr="00540981">
              <w:rPr>
                <w:lang w:val="de-DE"/>
              </w:rPr>
              <w:t>13°04W</w:t>
            </w:r>
          </w:p>
        </w:tc>
        <w:tc>
          <w:tcPr>
            <w:tcW w:w="1559" w:type="dxa"/>
          </w:tcPr>
          <w:p w14:paraId="6FCD042E" w14:textId="77777777" w:rsidR="004E687C" w:rsidRPr="00540981" w:rsidRDefault="004E687C" w:rsidP="00EE0E23">
            <w:pPr>
              <w:jc w:val="both"/>
              <w:rPr>
                <w:lang w:val="de-DE"/>
              </w:rPr>
            </w:pPr>
            <w:smartTag w:uri="urn:schemas-microsoft-com:office:smarttags" w:element="metricconverter">
              <w:smartTagPr>
                <w:attr w:name="ProductID" w:val="224 m"/>
              </w:smartTagPr>
              <w:r w:rsidRPr="00540981">
                <w:rPr>
                  <w:lang w:val="de-DE"/>
                </w:rPr>
                <w:t>224 m</w:t>
              </w:r>
            </w:smartTag>
          </w:p>
        </w:tc>
        <w:tc>
          <w:tcPr>
            <w:tcW w:w="3402" w:type="dxa"/>
          </w:tcPr>
          <w:p w14:paraId="272654CB" w14:textId="77777777" w:rsidR="004E687C" w:rsidRPr="00540981" w:rsidRDefault="004E687C" w:rsidP="00EE0E23">
            <w:pPr>
              <w:jc w:val="both"/>
              <w:rPr>
                <w:lang w:val="de-DE"/>
              </w:rPr>
            </w:pPr>
            <w:r w:rsidRPr="00540981">
              <w:rPr>
                <w:lang w:val="de-DE"/>
              </w:rPr>
              <w:t>1921</w:t>
            </w:r>
          </w:p>
        </w:tc>
      </w:tr>
      <w:tr w:rsidR="004E687C" w14:paraId="342787D5" w14:textId="77777777" w:rsidTr="00EE0E23">
        <w:tc>
          <w:tcPr>
            <w:tcW w:w="1956" w:type="dxa"/>
          </w:tcPr>
          <w:p w14:paraId="1A0A5E9E" w14:textId="77777777" w:rsidR="004E687C" w:rsidRPr="00502392" w:rsidRDefault="004E687C" w:rsidP="00EE0E23">
            <w:pPr>
              <w:jc w:val="both"/>
              <w:rPr>
                <w:b/>
                <w:lang w:val="de-DE"/>
              </w:rPr>
            </w:pPr>
            <w:r w:rsidRPr="00502392">
              <w:rPr>
                <w:b/>
                <w:lang w:val="de-DE"/>
              </w:rPr>
              <w:t>Bir Moughrein</w:t>
            </w:r>
          </w:p>
        </w:tc>
        <w:tc>
          <w:tcPr>
            <w:tcW w:w="1163" w:type="dxa"/>
          </w:tcPr>
          <w:p w14:paraId="1ADC8D05" w14:textId="77777777" w:rsidR="004E687C" w:rsidRPr="00540981" w:rsidRDefault="004E687C" w:rsidP="00EE0E23">
            <w:pPr>
              <w:jc w:val="both"/>
            </w:pPr>
            <w:r w:rsidRPr="00540981">
              <w:t>25°14N</w:t>
            </w:r>
          </w:p>
        </w:tc>
        <w:tc>
          <w:tcPr>
            <w:tcW w:w="1418" w:type="dxa"/>
          </w:tcPr>
          <w:p w14:paraId="1A1AC672" w14:textId="77777777" w:rsidR="004E687C" w:rsidRPr="00540981" w:rsidRDefault="004E687C" w:rsidP="00EE0E23">
            <w:pPr>
              <w:jc w:val="both"/>
            </w:pPr>
            <w:r w:rsidRPr="00540981">
              <w:t>11°37W</w:t>
            </w:r>
          </w:p>
        </w:tc>
        <w:tc>
          <w:tcPr>
            <w:tcW w:w="1559" w:type="dxa"/>
          </w:tcPr>
          <w:p w14:paraId="103BBDC9" w14:textId="77777777" w:rsidR="004E687C" w:rsidRPr="00540981" w:rsidRDefault="004E687C" w:rsidP="00EE0E23">
            <w:pPr>
              <w:jc w:val="both"/>
            </w:pPr>
            <w:smartTag w:uri="urn:schemas-microsoft-com:office:smarttags" w:element="metricconverter">
              <w:smartTagPr>
                <w:attr w:name="ProductID" w:val="359 m"/>
              </w:smartTagPr>
              <w:r w:rsidRPr="00540981">
                <w:t>359 m</w:t>
              </w:r>
            </w:smartTag>
          </w:p>
        </w:tc>
        <w:tc>
          <w:tcPr>
            <w:tcW w:w="3402" w:type="dxa"/>
          </w:tcPr>
          <w:p w14:paraId="5EEC8E9A" w14:textId="77777777" w:rsidR="004E687C" w:rsidRPr="00540981" w:rsidRDefault="004E687C" w:rsidP="00EE0E23">
            <w:pPr>
              <w:jc w:val="both"/>
            </w:pPr>
            <w:r w:rsidRPr="00540981">
              <w:t>1942</w:t>
            </w:r>
          </w:p>
        </w:tc>
      </w:tr>
      <w:tr w:rsidR="004E687C" w14:paraId="6A25592D" w14:textId="77777777" w:rsidTr="00EE0E23">
        <w:tc>
          <w:tcPr>
            <w:tcW w:w="1956" w:type="dxa"/>
          </w:tcPr>
          <w:p w14:paraId="6B92C0B5" w14:textId="77777777" w:rsidR="004E687C" w:rsidRPr="00502392" w:rsidRDefault="004E687C" w:rsidP="00EE0E23">
            <w:pPr>
              <w:jc w:val="both"/>
              <w:rPr>
                <w:b/>
              </w:rPr>
            </w:pPr>
            <w:r w:rsidRPr="00502392">
              <w:rPr>
                <w:b/>
              </w:rPr>
              <w:t>Boutilimit</w:t>
            </w:r>
          </w:p>
        </w:tc>
        <w:tc>
          <w:tcPr>
            <w:tcW w:w="1163" w:type="dxa"/>
          </w:tcPr>
          <w:p w14:paraId="77F7C0C8" w14:textId="77777777" w:rsidR="004E687C" w:rsidRPr="00540981" w:rsidRDefault="004E687C" w:rsidP="00EE0E23">
            <w:pPr>
              <w:jc w:val="both"/>
            </w:pPr>
            <w:r w:rsidRPr="00540981">
              <w:t>17°32N</w:t>
            </w:r>
          </w:p>
        </w:tc>
        <w:tc>
          <w:tcPr>
            <w:tcW w:w="1418" w:type="dxa"/>
          </w:tcPr>
          <w:p w14:paraId="76ABC18C" w14:textId="77777777" w:rsidR="004E687C" w:rsidRPr="00540981" w:rsidRDefault="004E687C" w:rsidP="00EE0E23">
            <w:pPr>
              <w:jc w:val="both"/>
            </w:pPr>
            <w:r w:rsidRPr="00540981">
              <w:t>14°41W</w:t>
            </w:r>
          </w:p>
        </w:tc>
        <w:tc>
          <w:tcPr>
            <w:tcW w:w="1559" w:type="dxa"/>
          </w:tcPr>
          <w:p w14:paraId="362D12AB" w14:textId="77777777" w:rsidR="004E687C" w:rsidRPr="00540981" w:rsidRDefault="004E687C" w:rsidP="00EE0E23">
            <w:pPr>
              <w:jc w:val="both"/>
            </w:pPr>
            <w:smartTag w:uri="urn:schemas-microsoft-com:office:smarttags" w:element="metricconverter">
              <w:smartTagPr>
                <w:attr w:name="ProductID" w:val="75 m"/>
              </w:smartTagPr>
              <w:r w:rsidRPr="00540981">
                <w:t>75 m</w:t>
              </w:r>
            </w:smartTag>
          </w:p>
        </w:tc>
        <w:tc>
          <w:tcPr>
            <w:tcW w:w="3402" w:type="dxa"/>
          </w:tcPr>
          <w:p w14:paraId="7A31F8DE" w14:textId="77777777" w:rsidR="004E687C" w:rsidRPr="00540981" w:rsidRDefault="004E687C" w:rsidP="00EE0E23">
            <w:pPr>
              <w:jc w:val="both"/>
            </w:pPr>
            <w:r w:rsidRPr="00540981">
              <w:t>1921</w:t>
            </w:r>
          </w:p>
        </w:tc>
      </w:tr>
      <w:tr w:rsidR="004E687C" w14:paraId="05D1785F" w14:textId="77777777" w:rsidTr="00EE0E23">
        <w:tc>
          <w:tcPr>
            <w:tcW w:w="1956" w:type="dxa"/>
          </w:tcPr>
          <w:p w14:paraId="35DB0F5B" w14:textId="77777777" w:rsidR="004E687C" w:rsidRPr="00502392" w:rsidRDefault="004E687C" w:rsidP="00EE0E23">
            <w:pPr>
              <w:jc w:val="both"/>
              <w:rPr>
                <w:b/>
              </w:rPr>
            </w:pPr>
            <w:r w:rsidRPr="00502392">
              <w:rPr>
                <w:b/>
              </w:rPr>
              <w:t>Kaédi</w:t>
            </w:r>
          </w:p>
        </w:tc>
        <w:tc>
          <w:tcPr>
            <w:tcW w:w="1163" w:type="dxa"/>
          </w:tcPr>
          <w:p w14:paraId="2FE8E123" w14:textId="77777777" w:rsidR="004E687C" w:rsidRPr="00540981" w:rsidRDefault="004E687C" w:rsidP="00EE0E23">
            <w:pPr>
              <w:jc w:val="both"/>
              <w:rPr>
                <w:lang w:val="de-DE"/>
              </w:rPr>
            </w:pPr>
            <w:r w:rsidRPr="00540981">
              <w:rPr>
                <w:lang w:val="de-DE"/>
              </w:rPr>
              <w:t>16°09N</w:t>
            </w:r>
          </w:p>
        </w:tc>
        <w:tc>
          <w:tcPr>
            <w:tcW w:w="1418" w:type="dxa"/>
          </w:tcPr>
          <w:p w14:paraId="1411D5B5" w14:textId="77777777" w:rsidR="004E687C" w:rsidRPr="00540981" w:rsidRDefault="004E687C" w:rsidP="00EE0E23">
            <w:pPr>
              <w:jc w:val="both"/>
              <w:rPr>
                <w:lang w:val="de-DE"/>
              </w:rPr>
            </w:pPr>
            <w:r w:rsidRPr="00540981">
              <w:rPr>
                <w:lang w:val="de-DE"/>
              </w:rPr>
              <w:t>13°30W</w:t>
            </w:r>
          </w:p>
        </w:tc>
        <w:tc>
          <w:tcPr>
            <w:tcW w:w="1559" w:type="dxa"/>
          </w:tcPr>
          <w:p w14:paraId="0B403A01" w14:textId="77777777" w:rsidR="004E687C" w:rsidRPr="00540981" w:rsidRDefault="004E687C" w:rsidP="00EE0E23">
            <w:pPr>
              <w:jc w:val="both"/>
              <w:rPr>
                <w:lang w:val="de-DE"/>
              </w:rPr>
            </w:pPr>
            <w:smartTag w:uri="urn:schemas-microsoft-com:office:smarttags" w:element="metricconverter">
              <w:smartTagPr>
                <w:attr w:name="ProductID" w:val="18 m"/>
              </w:smartTagPr>
              <w:r w:rsidRPr="00540981">
                <w:rPr>
                  <w:lang w:val="de-DE"/>
                </w:rPr>
                <w:t>18 m</w:t>
              </w:r>
            </w:smartTag>
          </w:p>
        </w:tc>
        <w:tc>
          <w:tcPr>
            <w:tcW w:w="3402" w:type="dxa"/>
          </w:tcPr>
          <w:p w14:paraId="39FDE326" w14:textId="77777777" w:rsidR="004E687C" w:rsidRDefault="004E687C" w:rsidP="00EE0E23">
            <w:pPr>
              <w:jc w:val="both"/>
              <w:rPr>
                <w:lang w:val="de-DE"/>
              </w:rPr>
            </w:pPr>
            <w:r w:rsidRPr="00540981">
              <w:rPr>
                <w:lang w:val="de-DE"/>
              </w:rPr>
              <w:t xml:space="preserve">1982 </w:t>
            </w:r>
            <w:r w:rsidRPr="00540981">
              <w:t>synoptique</w:t>
            </w:r>
            <w:r w:rsidRPr="00540981">
              <w:rPr>
                <w:lang w:val="de-DE"/>
              </w:rPr>
              <w:t xml:space="preserve"> 1950</w:t>
            </w:r>
            <w:r>
              <w:rPr>
                <w:lang w:val="de-DE"/>
              </w:rPr>
              <w:t xml:space="preserve"> </w:t>
            </w:r>
            <w:proofErr w:type="spellStart"/>
            <w:r w:rsidRPr="00540981">
              <w:rPr>
                <w:lang w:val="de-DE"/>
              </w:rPr>
              <w:t>climatique</w:t>
            </w:r>
            <w:proofErr w:type="spellEnd"/>
            <w:r w:rsidRPr="00540981">
              <w:rPr>
                <w:lang w:val="de-DE"/>
              </w:rPr>
              <w:t xml:space="preserve"> </w:t>
            </w:r>
          </w:p>
          <w:p w14:paraId="5BFFF7C7" w14:textId="77777777" w:rsidR="004E687C" w:rsidRPr="00540981" w:rsidRDefault="004E687C" w:rsidP="00EE0E23">
            <w:pPr>
              <w:jc w:val="both"/>
              <w:rPr>
                <w:lang w:val="de-DE"/>
              </w:rPr>
            </w:pPr>
            <w:r w:rsidRPr="00540981">
              <w:rPr>
                <w:lang w:val="de-DE"/>
              </w:rPr>
              <w:t>1905</w:t>
            </w:r>
            <w:r>
              <w:rPr>
                <w:lang w:val="de-DE"/>
              </w:rPr>
              <w:t xml:space="preserve"> </w:t>
            </w:r>
            <w:r w:rsidRPr="00540981">
              <w:rPr>
                <w:lang w:val="de-DE"/>
              </w:rPr>
              <w:t>poste pluvio</w:t>
            </w:r>
            <w:r>
              <w:rPr>
                <w:lang w:val="de-DE"/>
              </w:rPr>
              <w:t>métrique</w:t>
            </w:r>
          </w:p>
        </w:tc>
      </w:tr>
      <w:tr w:rsidR="004E687C" w14:paraId="22605E18" w14:textId="77777777" w:rsidTr="00EE0E23">
        <w:tc>
          <w:tcPr>
            <w:tcW w:w="1956" w:type="dxa"/>
          </w:tcPr>
          <w:p w14:paraId="50037747" w14:textId="77777777" w:rsidR="004E687C" w:rsidRPr="00502392" w:rsidRDefault="004E687C" w:rsidP="00EE0E23">
            <w:pPr>
              <w:jc w:val="both"/>
              <w:rPr>
                <w:b/>
                <w:lang w:val="de-DE"/>
              </w:rPr>
            </w:pPr>
            <w:r w:rsidRPr="00502392">
              <w:rPr>
                <w:b/>
                <w:lang w:val="de-DE"/>
              </w:rPr>
              <w:t>Kiffa</w:t>
            </w:r>
          </w:p>
        </w:tc>
        <w:tc>
          <w:tcPr>
            <w:tcW w:w="1163" w:type="dxa"/>
          </w:tcPr>
          <w:p w14:paraId="3003C36C" w14:textId="77777777" w:rsidR="004E687C" w:rsidRPr="00540981" w:rsidRDefault="004E687C" w:rsidP="00EE0E23">
            <w:pPr>
              <w:tabs>
                <w:tab w:val="left" w:pos="1300"/>
              </w:tabs>
              <w:jc w:val="both"/>
            </w:pPr>
            <w:r w:rsidRPr="00540981">
              <w:t>16°38N</w:t>
            </w:r>
            <w:r w:rsidRPr="00540981">
              <w:tab/>
            </w:r>
          </w:p>
        </w:tc>
        <w:tc>
          <w:tcPr>
            <w:tcW w:w="1418" w:type="dxa"/>
          </w:tcPr>
          <w:p w14:paraId="1B6CDDE7" w14:textId="77777777" w:rsidR="004E687C" w:rsidRPr="00540981" w:rsidRDefault="004E687C" w:rsidP="00EE0E23">
            <w:pPr>
              <w:jc w:val="both"/>
            </w:pPr>
            <w:r w:rsidRPr="00540981">
              <w:t>11°24W</w:t>
            </w:r>
          </w:p>
        </w:tc>
        <w:tc>
          <w:tcPr>
            <w:tcW w:w="1559" w:type="dxa"/>
          </w:tcPr>
          <w:p w14:paraId="3A89AE53" w14:textId="77777777" w:rsidR="004E687C" w:rsidRPr="00540981" w:rsidRDefault="004E687C" w:rsidP="00EE0E23">
            <w:pPr>
              <w:jc w:val="both"/>
            </w:pPr>
            <w:smartTag w:uri="urn:schemas-microsoft-com:office:smarttags" w:element="metricconverter">
              <w:smartTagPr>
                <w:attr w:name="ProductID" w:val="115 m"/>
              </w:smartTagPr>
              <w:r w:rsidRPr="00540981">
                <w:t>115 m</w:t>
              </w:r>
            </w:smartTag>
          </w:p>
        </w:tc>
        <w:tc>
          <w:tcPr>
            <w:tcW w:w="3402" w:type="dxa"/>
          </w:tcPr>
          <w:p w14:paraId="4EF183F6" w14:textId="77777777" w:rsidR="004E687C" w:rsidRPr="00540981" w:rsidRDefault="004E687C" w:rsidP="00EE0E23">
            <w:pPr>
              <w:jc w:val="both"/>
            </w:pPr>
            <w:r w:rsidRPr="00540981">
              <w:t>1922</w:t>
            </w:r>
          </w:p>
        </w:tc>
      </w:tr>
      <w:tr w:rsidR="004E687C" w14:paraId="1180BC0A" w14:textId="77777777" w:rsidTr="00EE0E23">
        <w:tc>
          <w:tcPr>
            <w:tcW w:w="1956" w:type="dxa"/>
          </w:tcPr>
          <w:p w14:paraId="66067D82" w14:textId="77777777" w:rsidR="004E687C" w:rsidRPr="00502392" w:rsidRDefault="004E687C" w:rsidP="00EE0E23">
            <w:pPr>
              <w:jc w:val="both"/>
              <w:rPr>
                <w:b/>
              </w:rPr>
            </w:pPr>
            <w:r w:rsidRPr="00502392">
              <w:rPr>
                <w:b/>
              </w:rPr>
              <w:t>Néma</w:t>
            </w:r>
          </w:p>
        </w:tc>
        <w:tc>
          <w:tcPr>
            <w:tcW w:w="1163" w:type="dxa"/>
          </w:tcPr>
          <w:p w14:paraId="2209C64F" w14:textId="77777777" w:rsidR="004E687C" w:rsidRPr="00540981" w:rsidRDefault="004E687C" w:rsidP="00EE0E23">
            <w:pPr>
              <w:jc w:val="both"/>
            </w:pPr>
            <w:r w:rsidRPr="00540981">
              <w:t>16°36N</w:t>
            </w:r>
          </w:p>
        </w:tc>
        <w:tc>
          <w:tcPr>
            <w:tcW w:w="1418" w:type="dxa"/>
          </w:tcPr>
          <w:p w14:paraId="6C09959F" w14:textId="77777777" w:rsidR="004E687C" w:rsidRPr="00540981" w:rsidRDefault="004E687C" w:rsidP="00EE0E23">
            <w:pPr>
              <w:jc w:val="both"/>
            </w:pPr>
            <w:r w:rsidRPr="00540981">
              <w:t>07°16W</w:t>
            </w:r>
          </w:p>
        </w:tc>
        <w:tc>
          <w:tcPr>
            <w:tcW w:w="1559" w:type="dxa"/>
          </w:tcPr>
          <w:p w14:paraId="46BDD532" w14:textId="77777777" w:rsidR="004E687C" w:rsidRPr="00540981" w:rsidRDefault="004E687C" w:rsidP="00EE0E23">
            <w:pPr>
              <w:jc w:val="both"/>
            </w:pPr>
            <w:smartTag w:uri="urn:schemas-microsoft-com:office:smarttags" w:element="metricconverter">
              <w:smartTagPr>
                <w:attr w:name="ProductID" w:val="269 m"/>
              </w:smartTagPr>
              <w:r w:rsidRPr="00540981">
                <w:t>269 m</w:t>
              </w:r>
            </w:smartTag>
          </w:p>
        </w:tc>
        <w:tc>
          <w:tcPr>
            <w:tcW w:w="3402" w:type="dxa"/>
          </w:tcPr>
          <w:p w14:paraId="7BA8B04F" w14:textId="77777777" w:rsidR="004E687C" w:rsidRPr="00540981" w:rsidRDefault="004E687C" w:rsidP="00EE0E23">
            <w:pPr>
              <w:jc w:val="both"/>
            </w:pPr>
            <w:r w:rsidRPr="00540981">
              <w:t>1923</w:t>
            </w:r>
          </w:p>
        </w:tc>
      </w:tr>
      <w:tr w:rsidR="004E687C" w14:paraId="4710D44C" w14:textId="77777777" w:rsidTr="00EE0E23">
        <w:tc>
          <w:tcPr>
            <w:tcW w:w="1956" w:type="dxa"/>
          </w:tcPr>
          <w:p w14:paraId="12BA907F" w14:textId="77777777" w:rsidR="004E687C" w:rsidRPr="00502392" w:rsidRDefault="004E687C" w:rsidP="00EE0E23">
            <w:pPr>
              <w:jc w:val="both"/>
              <w:rPr>
                <w:b/>
              </w:rPr>
            </w:pPr>
            <w:r w:rsidRPr="00502392">
              <w:rPr>
                <w:b/>
              </w:rPr>
              <w:t>Nouadhibou</w:t>
            </w:r>
          </w:p>
        </w:tc>
        <w:tc>
          <w:tcPr>
            <w:tcW w:w="1163" w:type="dxa"/>
          </w:tcPr>
          <w:p w14:paraId="1A4608D8" w14:textId="77777777" w:rsidR="004E687C" w:rsidRPr="00540981" w:rsidRDefault="004E687C" w:rsidP="00EE0E23">
            <w:pPr>
              <w:jc w:val="both"/>
              <w:rPr>
                <w:lang w:val="en-US"/>
              </w:rPr>
            </w:pPr>
            <w:r w:rsidRPr="00540981">
              <w:rPr>
                <w:lang w:val="en-US"/>
              </w:rPr>
              <w:t>20°56N</w:t>
            </w:r>
          </w:p>
        </w:tc>
        <w:tc>
          <w:tcPr>
            <w:tcW w:w="1418" w:type="dxa"/>
          </w:tcPr>
          <w:p w14:paraId="0BCDFC7F" w14:textId="77777777" w:rsidR="004E687C" w:rsidRPr="00540981" w:rsidRDefault="004E687C" w:rsidP="00EE0E23">
            <w:pPr>
              <w:jc w:val="both"/>
              <w:rPr>
                <w:lang w:val="en-US"/>
              </w:rPr>
            </w:pPr>
            <w:r w:rsidRPr="00540981">
              <w:rPr>
                <w:lang w:val="en-US"/>
              </w:rPr>
              <w:t>17°02W</w:t>
            </w:r>
          </w:p>
        </w:tc>
        <w:tc>
          <w:tcPr>
            <w:tcW w:w="1559" w:type="dxa"/>
          </w:tcPr>
          <w:p w14:paraId="785C4630" w14:textId="77777777" w:rsidR="004E687C" w:rsidRPr="00540981" w:rsidRDefault="004E687C" w:rsidP="00EE0E23">
            <w:pPr>
              <w:jc w:val="both"/>
              <w:rPr>
                <w:lang w:val="en-US"/>
              </w:rPr>
            </w:pPr>
            <w:smartTag w:uri="urn:schemas-microsoft-com:office:smarttags" w:element="metricconverter">
              <w:smartTagPr>
                <w:attr w:name="ProductID" w:val="3 m"/>
              </w:smartTagPr>
              <w:r w:rsidRPr="00540981">
                <w:rPr>
                  <w:lang w:val="en-US"/>
                </w:rPr>
                <w:t>3 m</w:t>
              </w:r>
            </w:smartTag>
          </w:p>
        </w:tc>
        <w:tc>
          <w:tcPr>
            <w:tcW w:w="3402" w:type="dxa"/>
          </w:tcPr>
          <w:p w14:paraId="06FD862B" w14:textId="77777777" w:rsidR="004E687C" w:rsidRPr="00540981" w:rsidRDefault="004E687C" w:rsidP="00EE0E23">
            <w:pPr>
              <w:jc w:val="both"/>
              <w:rPr>
                <w:lang w:val="en-US"/>
              </w:rPr>
            </w:pPr>
            <w:r w:rsidRPr="00540981">
              <w:rPr>
                <w:lang w:val="en-US"/>
              </w:rPr>
              <w:t>1905</w:t>
            </w:r>
          </w:p>
        </w:tc>
      </w:tr>
      <w:tr w:rsidR="004E687C" w14:paraId="02D7B241" w14:textId="77777777" w:rsidTr="00EE0E23">
        <w:tc>
          <w:tcPr>
            <w:tcW w:w="1956" w:type="dxa"/>
          </w:tcPr>
          <w:p w14:paraId="6BAD35AF" w14:textId="77777777" w:rsidR="004E687C" w:rsidRPr="00502392" w:rsidRDefault="004E687C" w:rsidP="00EE0E23">
            <w:pPr>
              <w:jc w:val="both"/>
              <w:rPr>
                <w:b/>
                <w:lang w:val="en-US"/>
              </w:rPr>
            </w:pPr>
            <w:smartTag w:uri="urn:schemas-microsoft-com:office:smarttags" w:element="place">
              <w:smartTag w:uri="urn:schemas-microsoft-com:office:smarttags" w:element="City">
                <w:r w:rsidRPr="00502392">
                  <w:rPr>
                    <w:b/>
                    <w:lang w:val="en-US"/>
                  </w:rPr>
                  <w:t>Nouakchott</w:t>
                </w:r>
              </w:smartTag>
            </w:smartTag>
          </w:p>
        </w:tc>
        <w:tc>
          <w:tcPr>
            <w:tcW w:w="1163" w:type="dxa"/>
          </w:tcPr>
          <w:p w14:paraId="6EF15EC0" w14:textId="77777777" w:rsidR="004E687C" w:rsidRPr="00540981" w:rsidRDefault="004E687C" w:rsidP="00EE0E23">
            <w:pPr>
              <w:jc w:val="both"/>
              <w:rPr>
                <w:lang w:val="en-US"/>
              </w:rPr>
            </w:pPr>
            <w:r w:rsidRPr="00540981">
              <w:rPr>
                <w:lang w:val="en-US"/>
              </w:rPr>
              <w:t>18°06N</w:t>
            </w:r>
          </w:p>
        </w:tc>
        <w:tc>
          <w:tcPr>
            <w:tcW w:w="1418" w:type="dxa"/>
          </w:tcPr>
          <w:p w14:paraId="3CCCE668" w14:textId="77777777" w:rsidR="004E687C" w:rsidRPr="00540981" w:rsidRDefault="004E687C" w:rsidP="00EE0E23">
            <w:pPr>
              <w:jc w:val="both"/>
              <w:rPr>
                <w:lang w:val="en-US"/>
              </w:rPr>
            </w:pPr>
            <w:r w:rsidRPr="00540981">
              <w:rPr>
                <w:lang w:val="en-US"/>
              </w:rPr>
              <w:t>15°57W</w:t>
            </w:r>
          </w:p>
        </w:tc>
        <w:tc>
          <w:tcPr>
            <w:tcW w:w="1559" w:type="dxa"/>
          </w:tcPr>
          <w:p w14:paraId="1BB00AF6" w14:textId="77777777" w:rsidR="004E687C" w:rsidRPr="00540981" w:rsidRDefault="004E687C" w:rsidP="00EE0E23">
            <w:pPr>
              <w:jc w:val="both"/>
              <w:rPr>
                <w:lang w:val="en-US"/>
              </w:rPr>
            </w:pPr>
            <w:smartTag w:uri="urn:schemas-microsoft-com:office:smarttags" w:element="metricconverter">
              <w:smartTagPr>
                <w:attr w:name="ProductID" w:val="3 m"/>
              </w:smartTagPr>
              <w:r w:rsidRPr="00540981">
                <w:rPr>
                  <w:lang w:val="en-US"/>
                </w:rPr>
                <w:t>3 m</w:t>
              </w:r>
            </w:smartTag>
          </w:p>
        </w:tc>
        <w:tc>
          <w:tcPr>
            <w:tcW w:w="3402" w:type="dxa"/>
          </w:tcPr>
          <w:p w14:paraId="4BA1376A" w14:textId="77777777" w:rsidR="004E687C" w:rsidRPr="00540981" w:rsidRDefault="004E687C" w:rsidP="00EE0E23">
            <w:pPr>
              <w:jc w:val="both"/>
              <w:rPr>
                <w:lang w:val="en-US"/>
              </w:rPr>
            </w:pPr>
            <w:r w:rsidRPr="00540981">
              <w:rPr>
                <w:lang w:val="en-US"/>
              </w:rPr>
              <w:t>1930</w:t>
            </w:r>
          </w:p>
        </w:tc>
      </w:tr>
      <w:tr w:rsidR="004E687C" w14:paraId="281A63C3" w14:textId="77777777" w:rsidTr="00EE0E23">
        <w:tc>
          <w:tcPr>
            <w:tcW w:w="1956" w:type="dxa"/>
          </w:tcPr>
          <w:p w14:paraId="27DE2BCD" w14:textId="77777777" w:rsidR="004E687C" w:rsidRPr="00502392" w:rsidRDefault="004E687C" w:rsidP="00EE0E23">
            <w:pPr>
              <w:jc w:val="both"/>
              <w:rPr>
                <w:b/>
                <w:lang w:val="en-US"/>
              </w:rPr>
            </w:pPr>
            <w:r w:rsidRPr="00502392">
              <w:rPr>
                <w:b/>
                <w:lang w:val="en-US"/>
              </w:rPr>
              <w:t>Rosso</w:t>
            </w:r>
          </w:p>
        </w:tc>
        <w:tc>
          <w:tcPr>
            <w:tcW w:w="1163" w:type="dxa"/>
          </w:tcPr>
          <w:p w14:paraId="11431631" w14:textId="77777777" w:rsidR="004E687C" w:rsidRPr="00540981" w:rsidRDefault="004E687C" w:rsidP="00EE0E23">
            <w:pPr>
              <w:jc w:val="both"/>
              <w:rPr>
                <w:lang w:val="en-US"/>
              </w:rPr>
            </w:pPr>
            <w:r w:rsidRPr="00540981">
              <w:rPr>
                <w:lang w:val="en-US"/>
              </w:rPr>
              <w:t>16°30N</w:t>
            </w:r>
          </w:p>
        </w:tc>
        <w:tc>
          <w:tcPr>
            <w:tcW w:w="1418" w:type="dxa"/>
          </w:tcPr>
          <w:p w14:paraId="55B7218D" w14:textId="77777777" w:rsidR="004E687C" w:rsidRPr="00540981" w:rsidRDefault="004E687C" w:rsidP="00EE0E23">
            <w:pPr>
              <w:jc w:val="both"/>
              <w:rPr>
                <w:lang w:val="en-US"/>
              </w:rPr>
            </w:pPr>
            <w:r w:rsidRPr="00540981">
              <w:rPr>
                <w:lang w:val="en-US"/>
              </w:rPr>
              <w:t>15°49W</w:t>
            </w:r>
          </w:p>
        </w:tc>
        <w:tc>
          <w:tcPr>
            <w:tcW w:w="1559" w:type="dxa"/>
          </w:tcPr>
          <w:p w14:paraId="6D8F1090" w14:textId="77777777" w:rsidR="004E687C" w:rsidRPr="00540981" w:rsidRDefault="004E687C" w:rsidP="00EE0E23">
            <w:pPr>
              <w:jc w:val="both"/>
              <w:rPr>
                <w:lang w:val="en-US"/>
              </w:rPr>
            </w:pPr>
            <w:smartTag w:uri="urn:schemas-microsoft-com:office:smarttags" w:element="metricconverter">
              <w:smartTagPr>
                <w:attr w:name="ProductID" w:val="6 m"/>
              </w:smartTagPr>
              <w:r w:rsidRPr="00540981">
                <w:rPr>
                  <w:lang w:val="en-US"/>
                </w:rPr>
                <w:t>6 m</w:t>
              </w:r>
            </w:smartTag>
          </w:p>
        </w:tc>
        <w:tc>
          <w:tcPr>
            <w:tcW w:w="3402" w:type="dxa"/>
          </w:tcPr>
          <w:p w14:paraId="247B4532" w14:textId="77777777" w:rsidR="004E687C" w:rsidRPr="00540981" w:rsidRDefault="004E687C" w:rsidP="00EE0E23">
            <w:pPr>
              <w:jc w:val="both"/>
              <w:rPr>
                <w:lang w:val="en-US"/>
              </w:rPr>
            </w:pPr>
            <w:r w:rsidRPr="00540981">
              <w:rPr>
                <w:lang w:val="en-US"/>
              </w:rPr>
              <w:t>1934</w:t>
            </w:r>
          </w:p>
        </w:tc>
      </w:tr>
      <w:tr w:rsidR="004E687C" w14:paraId="3D936E67" w14:textId="77777777" w:rsidTr="00EE0E23">
        <w:tc>
          <w:tcPr>
            <w:tcW w:w="1956" w:type="dxa"/>
          </w:tcPr>
          <w:p w14:paraId="1771E617" w14:textId="77777777" w:rsidR="004E687C" w:rsidRPr="00502392" w:rsidRDefault="004E687C" w:rsidP="00EE0E23">
            <w:pPr>
              <w:jc w:val="both"/>
              <w:rPr>
                <w:b/>
                <w:lang w:val="en-US"/>
              </w:rPr>
            </w:pPr>
            <w:r w:rsidRPr="00502392">
              <w:rPr>
                <w:b/>
                <w:lang w:val="en-US"/>
              </w:rPr>
              <w:t>Tidjikja</w:t>
            </w:r>
          </w:p>
        </w:tc>
        <w:tc>
          <w:tcPr>
            <w:tcW w:w="1163" w:type="dxa"/>
          </w:tcPr>
          <w:p w14:paraId="0794C751" w14:textId="77777777" w:rsidR="004E687C" w:rsidRPr="00540981" w:rsidRDefault="004E687C" w:rsidP="00EE0E23">
            <w:pPr>
              <w:jc w:val="both"/>
              <w:rPr>
                <w:lang w:val="en-US"/>
              </w:rPr>
            </w:pPr>
            <w:r w:rsidRPr="00540981">
              <w:rPr>
                <w:lang w:val="en-US"/>
              </w:rPr>
              <w:t>18°34N</w:t>
            </w:r>
          </w:p>
        </w:tc>
        <w:tc>
          <w:tcPr>
            <w:tcW w:w="1418" w:type="dxa"/>
          </w:tcPr>
          <w:p w14:paraId="71AF226C" w14:textId="77777777" w:rsidR="004E687C" w:rsidRPr="00540981" w:rsidRDefault="004E687C" w:rsidP="00EE0E23">
            <w:pPr>
              <w:jc w:val="both"/>
              <w:rPr>
                <w:lang w:val="en-US"/>
              </w:rPr>
            </w:pPr>
            <w:r w:rsidRPr="00540981">
              <w:rPr>
                <w:lang w:val="en-US"/>
              </w:rPr>
              <w:t>11°26W</w:t>
            </w:r>
          </w:p>
        </w:tc>
        <w:tc>
          <w:tcPr>
            <w:tcW w:w="1559" w:type="dxa"/>
          </w:tcPr>
          <w:p w14:paraId="66C88BAF" w14:textId="77777777" w:rsidR="004E687C" w:rsidRPr="00540981" w:rsidRDefault="004E687C" w:rsidP="00EE0E23">
            <w:pPr>
              <w:jc w:val="both"/>
              <w:rPr>
                <w:lang w:val="en-US"/>
              </w:rPr>
            </w:pPr>
            <w:smartTag w:uri="urn:schemas-microsoft-com:office:smarttags" w:element="metricconverter">
              <w:smartTagPr>
                <w:attr w:name="ProductID" w:val="402 m"/>
              </w:smartTagPr>
              <w:r w:rsidRPr="00540981">
                <w:rPr>
                  <w:lang w:val="en-US"/>
                </w:rPr>
                <w:t>402 m</w:t>
              </w:r>
            </w:smartTag>
          </w:p>
        </w:tc>
        <w:tc>
          <w:tcPr>
            <w:tcW w:w="3402" w:type="dxa"/>
          </w:tcPr>
          <w:p w14:paraId="36A39B8E" w14:textId="77777777" w:rsidR="004E687C" w:rsidRPr="00540981" w:rsidRDefault="004E687C" w:rsidP="00EE0E23">
            <w:pPr>
              <w:jc w:val="both"/>
              <w:rPr>
                <w:lang w:val="en-US"/>
              </w:rPr>
            </w:pPr>
            <w:r w:rsidRPr="00540981">
              <w:rPr>
                <w:lang w:val="en-US"/>
              </w:rPr>
              <w:t>1907</w:t>
            </w:r>
          </w:p>
        </w:tc>
      </w:tr>
      <w:tr w:rsidR="004E687C" w14:paraId="44024EB9" w14:textId="77777777" w:rsidTr="00EE0E23">
        <w:tc>
          <w:tcPr>
            <w:tcW w:w="1956" w:type="dxa"/>
          </w:tcPr>
          <w:p w14:paraId="5BFF3AC3" w14:textId="77777777" w:rsidR="004E687C" w:rsidRPr="00502392" w:rsidRDefault="004E687C" w:rsidP="00EE0E23">
            <w:pPr>
              <w:jc w:val="both"/>
              <w:rPr>
                <w:b/>
                <w:lang w:val="en-US"/>
              </w:rPr>
            </w:pPr>
            <w:r w:rsidRPr="00502392">
              <w:rPr>
                <w:b/>
                <w:lang w:val="en-US"/>
              </w:rPr>
              <w:t>Zouérate</w:t>
            </w:r>
          </w:p>
        </w:tc>
        <w:tc>
          <w:tcPr>
            <w:tcW w:w="1163" w:type="dxa"/>
          </w:tcPr>
          <w:p w14:paraId="697E2068" w14:textId="77777777" w:rsidR="004E687C" w:rsidRPr="00540981" w:rsidRDefault="004E687C" w:rsidP="00EE0E23">
            <w:pPr>
              <w:jc w:val="both"/>
            </w:pPr>
            <w:r w:rsidRPr="00540981">
              <w:t>22°45N</w:t>
            </w:r>
          </w:p>
        </w:tc>
        <w:tc>
          <w:tcPr>
            <w:tcW w:w="1418" w:type="dxa"/>
          </w:tcPr>
          <w:p w14:paraId="26AE2042" w14:textId="77777777" w:rsidR="004E687C" w:rsidRPr="00540981" w:rsidRDefault="004E687C" w:rsidP="00EE0E23">
            <w:pPr>
              <w:jc w:val="both"/>
            </w:pPr>
            <w:r w:rsidRPr="00540981">
              <w:t>12°29W</w:t>
            </w:r>
          </w:p>
        </w:tc>
        <w:tc>
          <w:tcPr>
            <w:tcW w:w="1559" w:type="dxa"/>
          </w:tcPr>
          <w:p w14:paraId="01183BBA" w14:textId="77777777" w:rsidR="004E687C" w:rsidRPr="00540981" w:rsidRDefault="004E687C" w:rsidP="00EE0E23">
            <w:pPr>
              <w:jc w:val="both"/>
            </w:pPr>
            <w:smartTag w:uri="urn:schemas-microsoft-com:office:smarttags" w:element="metricconverter">
              <w:smartTagPr>
                <w:attr w:name="ProductID" w:val="343 m"/>
              </w:smartTagPr>
              <w:r w:rsidRPr="00540981">
                <w:t>343 m</w:t>
              </w:r>
            </w:smartTag>
          </w:p>
        </w:tc>
        <w:tc>
          <w:tcPr>
            <w:tcW w:w="3402" w:type="dxa"/>
          </w:tcPr>
          <w:p w14:paraId="19B80772" w14:textId="77777777" w:rsidR="004E687C" w:rsidRPr="00540981" w:rsidRDefault="004E687C" w:rsidP="00EE0E23">
            <w:pPr>
              <w:jc w:val="both"/>
            </w:pPr>
            <w:r w:rsidRPr="00540981">
              <w:t>1938</w:t>
            </w:r>
          </w:p>
        </w:tc>
      </w:tr>
    </w:tbl>
    <w:p w14:paraId="2792D7ED" w14:textId="77777777" w:rsidR="004E687C" w:rsidRPr="00502392" w:rsidRDefault="004E687C" w:rsidP="004E687C">
      <w:pPr>
        <w:ind w:right="-668"/>
        <w:jc w:val="both"/>
        <w:rPr>
          <w:sz w:val="16"/>
          <w:szCs w:val="16"/>
        </w:rPr>
      </w:pPr>
      <w:r w:rsidRPr="00502392">
        <w:rPr>
          <w:sz w:val="16"/>
          <w:szCs w:val="16"/>
        </w:rPr>
        <w:t xml:space="preserve">Source : </w:t>
      </w:r>
      <w:r>
        <w:rPr>
          <w:sz w:val="16"/>
          <w:szCs w:val="16"/>
        </w:rPr>
        <w:t>ONM</w:t>
      </w:r>
    </w:p>
    <w:p w14:paraId="4772709F" w14:textId="77777777" w:rsidR="004E687C" w:rsidRPr="004A7F3A" w:rsidRDefault="004E687C" w:rsidP="004E687C">
      <w:pPr>
        <w:pStyle w:val="NormalWeb"/>
        <w:jc w:val="both"/>
        <w:rPr>
          <w:color w:val="000000"/>
        </w:rPr>
      </w:pPr>
      <w:r w:rsidRPr="004A7F3A">
        <w:rPr>
          <w:color w:val="000000"/>
        </w:rPr>
        <w:t>L'observation tri horaire est réduite dans la plupart des stations par manque d'observateurs et du matériel (tableau 2). Les observateurs ne dépassent pas les trois par station sauf à Atar. Ils sont de qualification limitée (contrôleurs, assistants et aide météo). Et ont un fort besoin de renforcement de capacité et en particulier des formations sur les nouveautés dans le cadre de leur travail. Ce personnel continue malgré tout à travailler dans ses conditions et avec ses moyens de bord.</w:t>
      </w:r>
    </w:p>
    <w:p w14:paraId="0C574F38" w14:textId="77777777" w:rsidR="004E687C" w:rsidRPr="001D556F" w:rsidRDefault="004E687C" w:rsidP="004E687C">
      <w:pPr>
        <w:ind w:right="-668"/>
        <w:jc w:val="both"/>
      </w:pPr>
      <w:r w:rsidRPr="001D556F">
        <w:t>Tableau 2 - Les éléments observés dans les stations synoptiques</w:t>
      </w: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60"/>
        <w:gridCol w:w="1984"/>
        <w:gridCol w:w="284"/>
        <w:gridCol w:w="2268"/>
        <w:gridCol w:w="2268"/>
      </w:tblGrid>
      <w:tr w:rsidR="004E687C" w14:paraId="65DA2EA0" w14:textId="77777777" w:rsidTr="00EE0E23">
        <w:tc>
          <w:tcPr>
            <w:tcW w:w="2660" w:type="dxa"/>
          </w:tcPr>
          <w:p w14:paraId="0C86C774" w14:textId="77777777" w:rsidR="004E687C" w:rsidRPr="00502392" w:rsidRDefault="004E687C" w:rsidP="00EE0E23">
            <w:pPr>
              <w:ind w:right="-668"/>
              <w:jc w:val="both"/>
              <w:rPr>
                <w:b/>
              </w:rPr>
            </w:pPr>
            <w:r w:rsidRPr="00502392">
              <w:rPr>
                <w:b/>
              </w:rPr>
              <w:t xml:space="preserve">Eléments </w:t>
            </w:r>
          </w:p>
        </w:tc>
        <w:tc>
          <w:tcPr>
            <w:tcW w:w="1984" w:type="dxa"/>
          </w:tcPr>
          <w:p w14:paraId="299E51C8" w14:textId="77777777" w:rsidR="004E687C" w:rsidRPr="00502392" w:rsidRDefault="004E687C" w:rsidP="00EE0E23">
            <w:pPr>
              <w:ind w:right="-668"/>
              <w:jc w:val="both"/>
              <w:rPr>
                <w:b/>
              </w:rPr>
            </w:pPr>
            <w:r w:rsidRPr="00502392">
              <w:rPr>
                <w:b/>
              </w:rPr>
              <w:t xml:space="preserve">Composantes </w:t>
            </w:r>
          </w:p>
        </w:tc>
        <w:tc>
          <w:tcPr>
            <w:tcW w:w="284" w:type="dxa"/>
            <w:shd w:val="clear" w:color="auto" w:fill="C0C0C0"/>
          </w:tcPr>
          <w:p w14:paraId="39B438AD" w14:textId="77777777" w:rsidR="004E687C" w:rsidRPr="00502392" w:rsidRDefault="004E687C" w:rsidP="00EE0E23">
            <w:pPr>
              <w:ind w:right="-668"/>
              <w:jc w:val="both"/>
              <w:rPr>
                <w:b/>
              </w:rPr>
            </w:pPr>
          </w:p>
        </w:tc>
        <w:tc>
          <w:tcPr>
            <w:tcW w:w="2268" w:type="dxa"/>
          </w:tcPr>
          <w:p w14:paraId="51EF2894" w14:textId="77777777" w:rsidR="004E687C" w:rsidRPr="00502392" w:rsidRDefault="004E687C" w:rsidP="00EE0E23">
            <w:pPr>
              <w:ind w:right="-668"/>
              <w:jc w:val="both"/>
              <w:rPr>
                <w:b/>
              </w:rPr>
            </w:pPr>
            <w:r w:rsidRPr="00502392">
              <w:rPr>
                <w:b/>
              </w:rPr>
              <w:t xml:space="preserve">Eléments </w:t>
            </w:r>
          </w:p>
        </w:tc>
        <w:tc>
          <w:tcPr>
            <w:tcW w:w="2268" w:type="dxa"/>
          </w:tcPr>
          <w:p w14:paraId="5EF48689" w14:textId="77777777" w:rsidR="004E687C" w:rsidRPr="00502392" w:rsidRDefault="004E687C" w:rsidP="00EE0E23">
            <w:pPr>
              <w:ind w:right="-668"/>
              <w:jc w:val="both"/>
              <w:rPr>
                <w:b/>
              </w:rPr>
            </w:pPr>
            <w:r w:rsidRPr="00502392">
              <w:rPr>
                <w:b/>
              </w:rPr>
              <w:t xml:space="preserve">Composantes </w:t>
            </w:r>
          </w:p>
        </w:tc>
      </w:tr>
      <w:tr w:rsidR="004E687C" w14:paraId="45B45EA1" w14:textId="77777777" w:rsidTr="00EE0E23">
        <w:tc>
          <w:tcPr>
            <w:tcW w:w="2660" w:type="dxa"/>
          </w:tcPr>
          <w:p w14:paraId="7E3BAFCD" w14:textId="77777777" w:rsidR="004E687C" w:rsidRPr="00502392" w:rsidRDefault="004E687C" w:rsidP="00EE0E23">
            <w:pPr>
              <w:ind w:right="-668"/>
              <w:jc w:val="both"/>
            </w:pPr>
            <w:r w:rsidRPr="00502392">
              <w:t xml:space="preserve">Température </w:t>
            </w:r>
          </w:p>
        </w:tc>
        <w:tc>
          <w:tcPr>
            <w:tcW w:w="1984" w:type="dxa"/>
          </w:tcPr>
          <w:p w14:paraId="52D43918" w14:textId="77777777" w:rsidR="004E687C" w:rsidRPr="00502392" w:rsidRDefault="004E687C" w:rsidP="00EE0E23">
            <w:pPr>
              <w:ind w:right="-668"/>
              <w:jc w:val="both"/>
            </w:pPr>
            <w:r w:rsidRPr="00502392">
              <w:t>Sous abri mini</w:t>
            </w:r>
          </w:p>
        </w:tc>
        <w:tc>
          <w:tcPr>
            <w:tcW w:w="284" w:type="dxa"/>
            <w:shd w:val="clear" w:color="auto" w:fill="C0C0C0"/>
          </w:tcPr>
          <w:p w14:paraId="329F1DAB" w14:textId="77777777" w:rsidR="004E687C" w:rsidRPr="00502392" w:rsidRDefault="004E687C" w:rsidP="00EE0E23">
            <w:pPr>
              <w:ind w:right="-668"/>
              <w:jc w:val="both"/>
            </w:pPr>
          </w:p>
        </w:tc>
        <w:tc>
          <w:tcPr>
            <w:tcW w:w="2268" w:type="dxa"/>
          </w:tcPr>
          <w:p w14:paraId="1D41FBB2" w14:textId="77777777" w:rsidR="004E687C" w:rsidRPr="00502392" w:rsidRDefault="004E687C" w:rsidP="00EE0E23">
            <w:pPr>
              <w:ind w:right="-668"/>
              <w:jc w:val="both"/>
            </w:pPr>
            <w:r w:rsidRPr="00502392">
              <w:t xml:space="preserve">Brume humide </w:t>
            </w:r>
          </w:p>
        </w:tc>
        <w:tc>
          <w:tcPr>
            <w:tcW w:w="2268" w:type="dxa"/>
          </w:tcPr>
          <w:p w14:paraId="07619596" w14:textId="77777777" w:rsidR="004E687C" w:rsidRPr="00502392" w:rsidRDefault="004E687C" w:rsidP="00EE0E23">
            <w:pPr>
              <w:ind w:right="-668"/>
              <w:jc w:val="both"/>
            </w:pPr>
          </w:p>
        </w:tc>
      </w:tr>
      <w:tr w:rsidR="004E687C" w14:paraId="0BAA6883" w14:textId="77777777" w:rsidTr="00EE0E23">
        <w:tc>
          <w:tcPr>
            <w:tcW w:w="2660" w:type="dxa"/>
          </w:tcPr>
          <w:p w14:paraId="339F16BD" w14:textId="77777777" w:rsidR="004E687C" w:rsidRPr="00502392" w:rsidRDefault="004E687C" w:rsidP="00EE0E23">
            <w:pPr>
              <w:jc w:val="both"/>
            </w:pPr>
          </w:p>
        </w:tc>
        <w:tc>
          <w:tcPr>
            <w:tcW w:w="1984" w:type="dxa"/>
          </w:tcPr>
          <w:p w14:paraId="793818BD" w14:textId="77777777" w:rsidR="004E687C" w:rsidRPr="00502392" w:rsidRDefault="004E687C" w:rsidP="00EE0E23">
            <w:pPr>
              <w:jc w:val="both"/>
            </w:pPr>
            <w:r w:rsidRPr="00502392">
              <w:t>Sous abri maxi</w:t>
            </w:r>
          </w:p>
        </w:tc>
        <w:tc>
          <w:tcPr>
            <w:tcW w:w="284" w:type="dxa"/>
            <w:shd w:val="clear" w:color="auto" w:fill="C0C0C0"/>
          </w:tcPr>
          <w:p w14:paraId="781A00D2" w14:textId="77777777" w:rsidR="004E687C" w:rsidRPr="00502392" w:rsidRDefault="004E687C" w:rsidP="00EE0E23">
            <w:pPr>
              <w:jc w:val="both"/>
            </w:pPr>
          </w:p>
        </w:tc>
        <w:tc>
          <w:tcPr>
            <w:tcW w:w="2268" w:type="dxa"/>
          </w:tcPr>
          <w:p w14:paraId="189E635D" w14:textId="77777777" w:rsidR="004E687C" w:rsidRPr="00502392" w:rsidRDefault="004E687C" w:rsidP="00EE0E23">
            <w:pPr>
              <w:jc w:val="both"/>
            </w:pPr>
            <w:r w:rsidRPr="00502392">
              <w:t xml:space="preserve">Brouillard </w:t>
            </w:r>
          </w:p>
        </w:tc>
        <w:tc>
          <w:tcPr>
            <w:tcW w:w="2268" w:type="dxa"/>
          </w:tcPr>
          <w:p w14:paraId="0F56AFFE" w14:textId="77777777" w:rsidR="004E687C" w:rsidRPr="00502392" w:rsidRDefault="004E687C" w:rsidP="00EE0E23">
            <w:pPr>
              <w:jc w:val="both"/>
            </w:pPr>
          </w:p>
        </w:tc>
      </w:tr>
      <w:tr w:rsidR="004E687C" w14:paraId="39E7659A" w14:textId="77777777" w:rsidTr="00EE0E23">
        <w:tc>
          <w:tcPr>
            <w:tcW w:w="2660" w:type="dxa"/>
          </w:tcPr>
          <w:p w14:paraId="237816C6" w14:textId="77777777" w:rsidR="004E687C" w:rsidRPr="00502392" w:rsidRDefault="004E687C" w:rsidP="00EE0E23">
            <w:pPr>
              <w:jc w:val="both"/>
            </w:pPr>
          </w:p>
        </w:tc>
        <w:tc>
          <w:tcPr>
            <w:tcW w:w="1984" w:type="dxa"/>
          </w:tcPr>
          <w:p w14:paraId="510E71B6" w14:textId="77777777" w:rsidR="004E687C" w:rsidRPr="00502392" w:rsidRDefault="004E687C" w:rsidP="00EE0E23">
            <w:pPr>
              <w:jc w:val="both"/>
            </w:pPr>
            <w:r w:rsidRPr="00502392">
              <w:t>Absolu mini</w:t>
            </w:r>
          </w:p>
        </w:tc>
        <w:tc>
          <w:tcPr>
            <w:tcW w:w="284" w:type="dxa"/>
            <w:shd w:val="clear" w:color="auto" w:fill="C0C0C0"/>
          </w:tcPr>
          <w:p w14:paraId="322D2D68" w14:textId="77777777" w:rsidR="004E687C" w:rsidRPr="00502392" w:rsidRDefault="004E687C" w:rsidP="00EE0E23">
            <w:pPr>
              <w:jc w:val="both"/>
            </w:pPr>
          </w:p>
        </w:tc>
        <w:tc>
          <w:tcPr>
            <w:tcW w:w="2268" w:type="dxa"/>
          </w:tcPr>
          <w:p w14:paraId="0A33C3E7" w14:textId="77777777" w:rsidR="004E687C" w:rsidRPr="00502392" w:rsidRDefault="004E687C" w:rsidP="00EE0E23">
            <w:pPr>
              <w:jc w:val="both"/>
            </w:pPr>
            <w:r w:rsidRPr="00502392">
              <w:t xml:space="preserve">Orage </w:t>
            </w:r>
          </w:p>
        </w:tc>
        <w:tc>
          <w:tcPr>
            <w:tcW w:w="2268" w:type="dxa"/>
          </w:tcPr>
          <w:p w14:paraId="7EEF3594" w14:textId="77777777" w:rsidR="004E687C" w:rsidRPr="00502392" w:rsidRDefault="004E687C" w:rsidP="00EE0E23">
            <w:pPr>
              <w:jc w:val="both"/>
            </w:pPr>
          </w:p>
        </w:tc>
      </w:tr>
      <w:tr w:rsidR="004E687C" w14:paraId="10F81B45" w14:textId="77777777" w:rsidTr="00EE0E23">
        <w:tc>
          <w:tcPr>
            <w:tcW w:w="2660" w:type="dxa"/>
          </w:tcPr>
          <w:p w14:paraId="7D31A214" w14:textId="77777777" w:rsidR="004E687C" w:rsidRPr="00502392" w:rsidRDefault="004E687C" w:rsidP="00EE0E23">
            <w:pPr>
              <w:jc w:val="both"/>
            </w:pPr>
          </w:p>
        </w:tc>
        <w:tc>
          <w:tcPr>
            <w:tcW w:w="1984" w:type="dxa"/>
          </w:tcPr>
          <w:p w14:paraId="7423D100" w14:textId="77777777" w:rsidR="004E687C" w:rsidRPr="00502392" w:rsidRDefault="004E687C" w:rsidP="00EE0E23">
            <w:pPr>
              <w:jc w:val="both"/>
            </w:pPr>
            <w:r w:rsidRPr="00502392">
              <w:t>Absolu maxi</w:t>
            </w:r>
          </w:p>
        </w:tc>
        <w:tc>
          <w:tcPr>
            <w:tcW w:w="284" w:type="dxa"/>
            <w:shd w:val="clear" w:color="auto" w:fill="C0C0C0"/>
          </w:tcPr>
          <w:p w14:paraId="1D15D108" w14:textId="77777777" w:rsidR="004E687C" w:rsidRPr="00502392" w:rsidRDefault="004E687C" w:rsidP="00EE0E23">
            <w:pPr>
              <w:jc w:val="both"/>
            </w:pPr>
          </w:p>
        </w:tc>
        <w:tc>
          <w:tcPr>
            <w:tcW w:w="2268" w:type="dxa"/>
          </w:tcPr>
          <w:p w14:paraId="6900E643" w14:textId="77777777" w:rsidR="004E687C" w:rsidRPr="00502392" w:rsidRDefault="004E687C" w:rsidP="00EE0E23">
            <w:pPr>
              <w:jc w:val="both"/>
            </w:pPr>
            <w:r w:rsidRPr="00502392">
              <w:t xml:space="preserve">Grain </w:t>
            </w:r>
          </w:p>
        </w:tc>
        <w:tc>
          <w:tcPr>
            <w:tcW w:w="2268" w:type="dxa"/>
          </w:tcPr>
          <w:p w14:paraId="628E87AE" w14:textId="77777777" w:rsidR="004E687C" w:rsidRPr="00502392" w:rsidRDefault="004E687C" w:rsidP="00EE0E23">
            <w:pPr>
              <w:jc w:val="both"/>
            </w:pPr>
          </w:p>
        </w:tc>
      </w:tr>
      <w:tr w:rsidR="004E687C" w14:paraId="03E0D8E7" w14:textId="77777777" w:rsidTr="00EE0E23">
        <w:tc>
          <w:tcPr>
            <w:tcW w:w="2660" w:type="dxa"/>
          </w:tcPr>
          <w:p w14:paraId="193ADF9D" w14:textId="77777777" w:rsidR="004E687C" w:rsidRPr="00502392" w:rsidRDefault="004E687C" w:rsidP="00EE0E23">
            <w:pPr>
              <w:jc w:val="both"/>
            </w:pPr>
          </w:p>
        </w:tc>
        <w:tc>
          <w:tcPr>
            <w:tcW w:w="1984" w:type="dxa"/>
          </w:tcPr>
          <w:p w14:paraId="02A150B2" w14:textId="77777777" w:rsidR="004E687C" w:rsidRPr="00502392" w:rsidRDefault="004E687C" w:rsidP="00EE0E23">
            <w:pPr>
              <w:jc w:val="both"/>
            </w:pPr>
            <w:r w:rsidRPr="00502392">
              <w:t>Sous</w:t>
            </w:r>
            <w:r>
              <w:t>-</w:t>
            </w:r>
            <w:r w:rsidRPr="00502392">
              <w:t xml:space="preserve">sol </w:t>
            </w:r>
          </w:p>
        </w:tc>
        <w:tc>
          <w:tcPr>
            <w:tcW w:w="284" w:type="dxa"/>
            <w:shd w:val="clear" w:color="auto" w:fill="C0C0C0"/>
          </w:tcPr>
          <w:p w14:paraId="01A17B29" w14:textId="77777777" w:rsidR="004E687C" w:rsidRPr="00502392" w:rsidRDefault="004E687C" w:rsidP="00EE0E23">
            <w:pPr>
              <w:jc w:val="both"/>
            </w:pPr>
          </w:p>
        </w:tc>
        <w:tc>
          <w:tcPr>
            <w:tcW w:w="2268" w:type="dxa"/>
          </w:tcPr>
          <w:p w14:paraId="2AFE73BE" w14:textId="77777777" w:rsidR="004E687C" w:rsidRPr="00502392" w:rsidRDefault="004E687C" w:rsidP="00EE0E23">
            <w:pPr>
              <w:jc w:val="both"/>
            </w:pPr>
            <w:r w:rsidRPr="00502392">
              <w:t xml:space="preserve">Litho météores </w:t>
            </w:r>
          </w:p>
        </w:tc>
        <w:tc>
          <w:tcPr>
            <w:tcW w:w="2268" w:type="dxa"/>
          </w:tcPr>
          <w:p w14:paraId="7EAB1210" w14:textId="77777777" w:rsidR="004E687C" w:rsidRPr="00502392" w:rsidRDefault="004E687C" w:rsidP="00EE0E23">
            <w:pPr>
              <w:jc w:val="both"/>
            </w:pPr>
            <w:r w:rsidRPr="00502392">
              <w:t xml:space="preserve">Brume sèche </w:t>
            </w:r>
          </w:p>
        </w:tc>
      </w:tr>
      <w:tr w:rsidR="004E687C" w14:paraId="4BF98D6C" w14:textId="77777777" w:rsidTr="00EE0E23">
        <w:tc>
          <w:tcPr>
            <w:tcW w:w="2660" w:type="dxa"/>
          </w:tcPr>
          <w:p w14:paraId="63EDD322" w14:textId="77777777" w:rsidR="004E687C" w:rsidRPr="00502392" w:rsidRDefault="004E687C" w:rsidP="00EE0E23">
            <w:pPr>
              <w:jc w:val="both"/>
            </w:pPr>
          </w:p>
        </w:tc>
        <w:tc>
          <w:tcPr>
            <w:tcW w:w="1984" w:type="dxa"/>
          </w:tcPr>
          <w:p w14:paraId="35C9A88D" w14:textId="77777777" w:rsidR="004E687C" w:rsidRPr="00502392" w:rsidRDefault="004E687C" w:rsidP="00EE0E23">
            <w:pPr>
              <w:jc w:val="both"/>
            </w:pPr>
            <w:r w:rsidRPr="00502392">
              <w:t xml:space="preserve">Mouillé </w:t>
            </w:r>
          </w:p>
        </w:tc>
        <w:tc>
          <w:tcPr>
            <w:tcW w:w="284" w:type="dxa"/>
            <w:shd w:val="clear" w:color="auto" w:fill="C0C0C0"/>
          </w:tcPr>
          <w:p w14:paraId="145403F7" w14:textId="77777777" w:rsidR="004E687C" w:rsidRPr="00502392" w:rsidRDefault="004E687C" w:rsidP="00EE0E23">
            <w:pPr>
              <w:jc w:val="both"/>
            </w:pPr>
          </w:p>
        </w:tc>
        <w:tc>
          <w:tcPr>
            <w:tcW w:w="2268" w:type="dxa"/>
          </w:tcPr>
          <w:p w14:paraId="7628CCEE" w14:textId="77777777" w:rsidR="004E687C" w:rsidRPr="00502392" w:rsidRDefault="004E687C" w:rsidP="00EE0E23">
            <w:pPr>
              <w:jc w:val="both"/>
            </w:pPr>
          </w:p>
        </w:tc>
        <w:tc>
          <w:tcPr>
            <w:tcW w:w="2268" w:type="dxa"/>
          </w:tcPr>
          <w:p w14:paraId="164ABB21" w14:textId="77777777" w:rsidR="004E687C" w:rsidRPr="00502392" w:rsidRDefault="004E687C" w:rsidP="00EE0E23">
            <w:pPr>
              <w:jc w:val="both"/>
            </w:pPr>
            <w:r w:rsidRPr="00502392">
              <w:t>Chasse sable</w:t>
            </w:r>
          </w:p>
        </w:tc>
      </w:tr>
      <w:tr w:rsidR="004E687C" w14:paraId="2407A95A" w14:textId="77777777" w:rsidTr="00EE0E23">
        <w:tc>
          <w:tcPr>
            <w:tcW w:w="2660" w:type="dxa"/>
          </w:tcPr>
          <w:p w14:paraId="3FB3370F" w14:textId="77777777" w:rsidR="004E687C" w:rsidRPr="00502392" w:rsidRDefault="004E687C" w:rsidP="00EE0E23">
            <w:pPr>
              <w:jc w:val="both"/>
            </w:pPr>
            <w:r w:rsidRPr="00502392">
              <w:t>Tension de la vapeur</w:t>
            </w:r>
          </w:p>
        </w:tc>
        <w:tc>
          <w:tcPr>
            <w:tcW w:w="1984" w:type="dxa"/>
          </w:tcPr>
          <w:p w14:paraId="59541795" w14:textId="77777777" w:rsidR="004E687C" w:rsidRPr="00502392" w:rsidRDefault="004E687C" w:rsidP="00EE0E23">
            <w:pPr>
              <w:ind w:right="-668"/>
              <w:jc w:val="both"/>
            </w:pPr>
          </w:p>
        </w:tc>
        <w:tc>
          <w:tcPr>
            <w:tcW w:w="284" w:type="dxa"/>
            <w:shd w:val="clear" w:color="auto" w:fill="C0C0C0"/>
          </w:tcPr>
          <w:p w14:paraId="0A19A6DE" w14:textId="77777777" w:rsidR="004E687C" w:rsidRPr="00502392" w:rsidRDefault="004E687C" w:rsidP="00EE0E23">
            <w:pPr>
              <w:ind w:right="-668"/>
              <w:jc w:val="both"/>
            </w:pPr>
          </w:p>
        </w:tc>
        <w:tc>
          <w:tcPr>
            <w:tcW w:w="2268" w:type="dxa"/>
          </w:tcPr>
          <w:p w14:paraId="1523502B" w14:textId="77777777" w:rsidR="004E687C" w:rsidRPr="00502392" w:rsidRDefault="004E687C" w:rsidP="00EE0E23">
            <w:pPr>
              <w:ind w:right="-668"/>
              <w:jc w:val="both"/>
            </w:pPr>
          </w:p>
        </w:tc>
        <w:tc>
          <w:tcPr>
            <w:tcW w:w="2268" w:type="dxa"/>
          </w:tcPr>
          <w:p w14:paraId="06C739F9" w14:textId="77777777" w:rsidR="004E687C" w:rsidRPr="00502392" w:rsidRDefault="004E687C" w:rsidP="00EE0E23">
            <w:pPr>
              <w:ind w:right="-668"/>
              <w:jc w:val="both"/>
            </w:pPr>
            <w:r w:rsidRPr="00502392">
              <w:t>Tempête de sable</w:t>
            </w:r>
          </w:p>
        </w:tc>
      </w:tr>
      <w:tr w:rsidR="004E687C" w14:paraId="7E252774" w14:textId="77777777" w:rsidTr="00EE0E23">
        <w:tc>
          <w:tcPr>
            <w:tcW w:w="2660" w:type="dxa"/>
          </w:tcPr>
          <w:p w14:paraId="54F89565" w14:textId="77777777" w:rsidR="004E687C" w:rsidRPr="00502392" w:rsidRDefault="004E687C" w:rsidP="00EE0E23">
            <w:pPr>
              <w:jc w:val="both"/>
            </w:pPr>
            <w:r w:rsidRPr="00502392">
              <w:t>Insolation</w:t>
            </w:r>
          </w:p>
        </w:tc>
        <w:tc>
          <w:tcPr>
            <w:tcW w:w="1984" w:type="dxa"/>
          </w:tcPr>
          <w:p w14:paraId="5F882A44" w14:textId="77777777" w:rsidR="004E687C" w:rsidRPr="00502392" w:rsidRDefault="004E687C" w:rsidP="00EE0E23">
            <w:pPr>
              <w:jc w:val="both"/>
            </w:pPr>
          </w:p>
        </w:tc>
        <w:tc>
          <w:tcPr>
            <w:tcW w:w="284" w:type="dxa"/>
            <w:shd w:val="clear" w:color="auto" w:fill="C0C0C0"/>
          </w:tcPr>
          <w:p w14:paraId="05CA6619" w14:textId="77777777" w:rsidR="004E687C" w:rsidRPr="00502392" w:rsidRDefault="004E687C" w:rsidP="00EE0E23">
            <w:pPr>
              <w:jc w:val="both"/>
            </w:pPr>
          </w:p>
        </w:tc>
        <w:tc>
          <w:tcPr>
            <w:tcW w:w="2268" w:type="dxa"/>
          </w:tcPr>
          <w:p w14:paraId="40BB7611" w14:textId="77777777" w:rsidR="004E687C" w:rsidRPr="00502392" w:rsidRDefault="004E687C" w:rsidP="00EE0E23">
            <w:pPr>
              <w:jc w:val="both"/>
            </w:pPr>
          </w:p>
        </w:tc>
        <w:tc>
          <w:tcPr>
            <w:tcW w:w="2268" w:type="dxa"/>
          </w:tcPr>
          <w:p w14:paraId="72AD51B9" w14:textId="77777777" w:rsidR="004E687C" w:rsidRPr="00502392" w:rsidRDefault="004E687C" w:rsidP="00EE0E23">
            <w:pPr>
              <w:jc w:val="both"/>
            </w:pPr>
            <w:r w:rsidRPr="00502392">
              <w:t>Sable brassé</w:t>
            </w:r>
          </w:p>
        </w:tc>
      </w:tr>
      <w:tr w:rsidR="004E687C" w14:paraId="5AAC0524" w14:textId="77777777" w:rsidTr="00EE0E23">
        <w:tc>
          <w:tcPr>
            <w:tcW w:w="2660" w:type="dxa"/>
          </w:tcPr>
          <w:p w14:paraId="72679A14" w14:textId="77777777" w:rsidR="004E687C" w:rsidRPr="00502392" w:rsidRDefault="004E687C" w:rsidP="00EE0E23">
            <w:pPr>
              <w:jc w:val="both"/>
            </w:pPr>
            <w:r w:rsidRPr="00502392">
              <w:t xml:space="preserve">Humidité </w:t>
            </w:r>
          </w:p>
        </w:tc>
        <w:tc>
          <w:tcPr>
            <w:tcW w:w="1984" w:type="dxa"/>
          </w:tcPr>
          <w:p w14:paraId="0B8EE4BC" w14:textId="77777777" w:rsidR="004E687C" w:rsidRPr="00502392" w:rsidRDefault="004E687C" w:rsidP="00EE0E23">
            <w:pPr>
              <w:jc w:val="both"/>
            </w:pPr>
            <w:r w:rsidRPr="00502392">
              <w:t xml:space="preserve">Minimale </w:t>
            </w:r>
          </w:p>
        </w:tc>
        <w:tc>
          <w:tcPr>
            <w:tcW w:w="284" w:type="dxa"/>
            <w:shd w:val="clear" w:color="auto" w:fill="C0C0C0"/>
          </w:tcPr>
          <w:p w14:paraId="03E9B054" w14:textId="77777777" w:rsidR="004E687C" w:rsidRPr="00502392" w:rsidRDefault="004E687C" w:rsidP="00EE0E23">
            <w:pPr>
              <w:jc w:val="both"/>
            </w:pPr>
          </w:p>
        </w:tc>
        <w:tc>
          <w:tcPr>
            <w:tcW w:w="2268" w:type="dxa"/>
          </w:tcPr>
          <w:p w14:paraId="371E4A8D" w14:textId="77777777" w:rsidR="004E687C" w:rsidRPr="00502392" w:rsidRDefault="004E687C" w:rsidP="00EE0E23">
            <w:pPr>
              <w:jc w:val="both"/>
            </w:pPr>
            <w:r w:rsidRPr="00502392">
              <w:t>Pluie</w:t>
            </w:r>
          </w:p>
        </w:tc>
        <w:tc>
          <w:tcPr>
            <w:tcW w:w="2268" w:type="dxa"/>
          </w:tcPr>
          <w:p w14:paraId="201EDA5E" w14:textId="77777777" w:rsidR="004E687C" w:rsidRPr="00502392" w:rsidRDefault="004E687C" w:rsidP="00EE0E23">
            <w:pPr>
              <w:jc w:val="both"/>
            </w:pPr>
          </w:p>
        </w:tc>
      </w:tr>
      <w:tr w:rsidR="004E687C" w14:paraId="0C81AE3B" w14:textId="77777777" w:rsidTr="00EE0E23">
        <w:tc>
          <w:tcPr>
            <w:tcW w:w="2660" w:type="dxa"/>
          </w:tcPr>
          <w:p w14:paraId="144E0A60" w14:textId="77777777" w:rsidR="004E687C" w:rsidRPr="00502392" w:rsidRDefault="004E687C" w:rsidP="00EE0E23">
            <w:pPr>
              <w:jc w:val="both"/>
            </w:pPr>
          </w:p>
        </w:tc>
        <w:tc>
          <w:tcPr>
            <w:tcW w:w="1984" w:type="dxa"/>
          </w:tcPr>
          <w:p w14:paraId="10F0C59E" w14:textId="77777777" w:rsidR="004E687C" w:rsidRPr="00502392" w:rsidRDefault="004E687C" w:rsidP="00EE0E23">
            <w:pPr>
              <w:jc w:val="both"/>
            </w:pPr>
            <w:r w:rsidRPr="00502392">
              <w:t xml:space="preserve">Maximale </w:t>
            </w:r>
          </w:p>
        </w:tc>
        <w:tc>
          <w:tcPr>
            <w:tcW w:w="284" w:type="dxa"/>
            <w:shd w:val="clear" w:color="auto" w:fill="C0C0C0"/>
          </w:tcPr>
          <w:p w14:paraId="7FD9EF79" w14:textId="77777777" w:rsidR="004E687C" w:rsidRPr="00502392" w:rsidRDefault="004E687C" w:rsidP="00EE0E23">
            <w:pPr>
              <w:jc w:val="both"/>
            </w:pPr>
          </w:p>
        </w:tc>
        <w:tc>
          <w:tcPr>
            <w:tcW w:w="2268" w:type="dxa"/>
          </w:tcPr>
          <w:p w14:paraId="66C4F42F" w14:textId="77777777" w:rsidR="004E687C" w:rsidRPr="00502392" w:rsidRDefault="004E687C" w:rsidP="00EE0E23">
            <w:pPr>
              <w:jc w:val="both"/>
            </w:pPr>
            <w:r w:rsidRPr="00502392">
              <w:t xml:space="preserve">Evaporation </w:t>
            </w:r>
            <w:proofErr w:type="spellStart"/>
            <w:r w:rsidRPr="00502392">
              <w:t>piche</w:t>
            </w:r>
            <w:proofErr w:type="spellEnd"/>
          </w:p>
        </w:tc>
        <w:tc>
          <w:tcPr>
            <w:tcW w:w="2268" w:type="dxa"/>
          </w:tcPr>
          <w:p w14:paraId="2CD89966" w14:textId="77777777" w:rsidR="004E687C" w:rsidRPr="00502392" w:rsidRDefault="004E687C" w:rsidP="00EE0E23">
            <w:pPr>
              <w:jc w:val="both"/>
            </w:pPr>
          </w:p>
        </w:tc>
      </w:tr>
      <w:tr w:rsidR="004E687C" w14:paraId="4A6C39AF" w14:textId="77777777" w:rsidTr="00EE0E23">
        <w:tc>
          <w:tcPr>
            <w:tcW w:w="2660" w:type="dxa"/>
          </w:tcPr>
          <w:p w14:paraId="6605CE8B" w14:textId="77777777" w:rsidR="004E687C" w:rsidRPr="00502392" w:rsidRDefault="004E687C" w:rsidP="00EE0E23">
            <w:pPr>
              <w:jc w:val="both"/>
            </w:pPr>
            <w:r w:rsidRPr="00502392">
              <w:t>Pression mer</w:t>
            </w:r>
          </w:p>
        </w:tc>
        <w:tc>
          <w:tcPr>
            <w:tcW w:w="1984" w:type="dxa"/>
          </w:tcPr>
          <w:p w14:paraId="07D1A4C8" w14:textId="77777777" w:rsidR="004E687C" w:rsidRPr="00502392" w:rsidRDefault="004E687C" w:rsidP="00EE0E23">
            <w:pPr>
              <w:jc w:val="both"/>
            </w:pPr>
          </w:p>
        </w:tc>
        <w:tc>
          <w:tcPr>
            <w:tcW w:w="284" w:type="dxa"/>
            <w:shd w:val="clear" w:color="auto" w:fill="C0C0C0"/>
          </w:tcPr>
          <w:p w14:paraId="10AB50EB" w14:textId="77777777" w:rsidR="004E687C" w:rsidRPr="00502392" w:rsidRDefault="004E687C" w:rsidP="00EE0E23">
            <w:pPr>
              <w:jc w:val="both"/>
            </w:pPr>
          </w:p>
        </w:tc>
        <w:tc>
          <w:tcPr>
            <w:tcW w:w="2268" w:type="dxa"/>
          </w:tcPr>
          <w:p w14:paraId="174C0D0F" w14:textId="77777777" w:rsidR="004E687C" w:rsidRPr="00502392" w:rsidRDefault="004E687C" w:rsidP="00EE0E23">
            <w:pPr>
              <w:jc w:val="both"/>
            </w:pPr>
            <w:r w:rsidRPr="00502392">
              <w:t xml:space="preserve">Vent </w:t>
            </w:r>
          </w:p>
        </w:tc>
        <w:tc>
          <w:tcPr>
            <w:tcW w:w="2268" w:type="dxa"/>
          </w:tcPr>
          <w:p w14:paraId="5B9DA914" w14:textId="77777777" w:rsidR="004E687C" w:rsidRPr="00502392" w:rsidRDefault="004E687C" w:rsidP="00EE0E23">
            <w:pPr>
              <w:jc w:val="both"/>
            </w:pPr>
            <w:r w:rsidRPr="00502392">
              <w:t xml:space="preserve">Direction </w:t>
            </w:r>
          </w:p>
        </w:tc>
      </w:tr>
      <w:tr w:rsidR="004E687C" w14:paraId="4D19BFC5" w14:textId="77777777" w:rsidTr="00EE0E23">
        <w:tc>
          <w:tcPr>
            <w:tcW w:w="2660" w:type="dxa"/>
          </w:tcPr>
          <w:p w14:paraId="34EDCB1D" w14:textId="77777777" w:rsidR="004E687C" w:rsidRPr="00502392" w:rsidRDefault="004E687C" w:rsidP="00EE0E23">
            <w:pPr>
              <w:jc w:val="both"/>
            </w:pPr>
            <w:r w:rsidRPr="00502392">
              <w:t>Pression cuvette</w:t>
            </w:r>
          </w:p>
        </w:tc>
        <w:tc>
          <w:tcPr>
            <w:tcW w:w="1984" w:type="dxa"/>
          </w:tcPr>
          <w:p w14:paraId="2195D787" w14:textId="77777777" w:rsidR="004E687C" w:rsidRPr="00502392" w:rsidRDefault="004E687C" w:rsidP="00EE0E23">
            <w:pPr>
              <w:jc w:val="both"/>
            </w:pPr>
          </w:p>
        </w:tc>
        <w:tc>
          <w:tcPr>
            <w:tcW w:w="284" w:type="dxa"/>
            <w:shd w:val="clear" w:color="auto" w:fill="C0C0C0"/>
          </w:tcPr>
          <w:p w14:paraId="0C7A0E2B" w14:textId="77777777" w:rsidR="004E687C" w:rsidRPr="00502392" w:rsidRDefault="004E687C" w:rsidP="00EE0E23">
            <w:pPr>
              <w:jc w:val="both"/>
            </w:pPr>
          </w:p>
        </w:tc>
        <w:tc>
          <w:tcPr>
            <w:tcW w:w="2268" w:type="dxa"/>
          </w:tcPr>
          <w:p w14:paraId="417E3CF8" w14:textId="77777777" w:rsidR="004E687C" w:rsidRPr="00502392" w:rsidRDefault="004E687C" w:rsidP="00EE0E23">
            <w:pPr>
              <w:jc w:val="both"/>
            </w:pPr>
          </w:p>
        </w:tc>
        <w:tc>
          <w:tcPr>
            <w:tcW w:w="2268" w:type="dxa"/>
          </w:tcPr>
          <w:p w14:paraId="22F5DC86" w14:textId="77777777" w:rsidR="004E687C" w:rsidRPr="00502392" w:rsidRDefault="004E687C" w:rsidP="00EE0E23">
            <w:pPr>
              <w:jc w:val="both"/>
            </w:pPr>
            <w:r w:rsidRPr="00502392">
              <w:t xml:space="preserve">Vitesse </w:t>
            </w:r>
          </w:p>
        </w:tc>
      </w:tr>
    </w:tbl>
    <w:p w14:paraId="6FDEC028" w14:textId="77777777" w:rsidR="004E687C" w:rsidRPr="00502392" w:rsidRDefault="004E687C" w:rsidP="004E687C">
      <w:pPr>
        <w:ind w:right="-668"/>
        <w:jc w:val="both"/>
        <w:rPr>
          <w:sz w:val="16"/>
          <w:szCs w:val="16"/>
        </w:rPr>
      </w:pPr>
      <w:r w:rsidRPr="00502392">
        <w:rPr>
          <w:sz w:val="16"/>
          <w:szCs w:val="16"/>
        </w:rPr>
        <w:t xml:space="preserve">Source : </w:t>
      </w:r>
      <w:r>
        <w:rPr>
          <w:sz w:val="16"/>
          <w:szCs w:val="16"/>
        </w:rPr>
        <w:t>ONM</w:t>
      </w:r>
      <w:r w:rsidRPr="00502392">
        <w:rPr>
          <w:sz w:val="16"/>
          <w:szCs w:val="16"/>
        </w:rPr>
        <w:t xml:space="preserve"> (TCM).</w:t>
      </w:r>
    </w:p>
    <w:p w14:paraId="4F7EA555" w14:textId="77777777" w:rsidR="004E687C" w:rsidRPr="00607EE0" w:rsidRDefault="004E687C" w:rsidP="004E687C">
      <w:pPr>
        <w:pStyle w:val="Titre2"/>
        <w:numPr>
          <w:ilvl w:val="0"/>
          <w:numId w:val="186"/>
        </w:numPr>
        <w:tabs>
          <w:tab w:val="clear" w:pos="1357"/>
          <w:tab w:val="num" w:pos="709"/>
        </w:tabs>
        <w:ind w:left="709" w:hanging="709"/>
        <w:jc w:val="both"/>
      </w:pPr>
      <w:bookmarkStart w:id="529" w:name="_Toc45784501"/>
      <w:bookmarkStart w:id="530" w:name="_Toc46399653"/>
      <w:bookmarkStart w:id="531" w:name="_Toc46407301"/>
      <w:bookmarkStart w:id="532" w:name="_Toc46413875"/>
      <w:bookmarkStart w:id="533" w:name="_Toc46417091"/>
      <w:bookmarkStart w:id="534" w:name="_Toc46417298"/>
      <w:bookmarkStart w:id="535" w:name="_Toc46417696"/>
      <w:bookmarkStart w:id="536" w:name="_Toc46418026"/>
      <w:bookmarkStart w:id="537" w:name="_Toc46418100"/>
      <w:bookmarkStart w:id="538" w:name="_Toc46418306"/>
      <w:bookmarkStart w:id="539" w:name="_Toc46422450"/>
      <w:bookmarkStart w:id="540" w:name="_Toc46430546"/>
      <w:bookmarkStart w:id="541" w:name="_Toc192820593"/>
      <w:bookmarkStart w:id="542" w:name="_Toc192821014"/>
      <w:bookmarkStart w:id="543" w:name="_Toc192821143"/>
      <w:bookmarkStart w:id="544" w:name="_Toc343596109"/>
      <w:bookmarkStart w:id="545" w:name="_Toc191284972"/>
      <w:r w:rsidRPr="00607EE0">
        <w:t>Les stations climatiques</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14:paraId="48998FCF" w14:textId="77777777" w:rsidR="004E687C" w:rsidRPr="004A7F3A" w:rsidRDefault="004E687C" w:rsidP="004E687C">
      <w:pPr>
        <w:pStyle w:val="NormalWeb"/>
        <w:jc w:val="both"/>
        <w:rPr>
          <w:color w:val="000000"/>
        </w:rPr>
      </w:pPr>
      <w:r w:rsidRPr="004A7F3A">
        <w:rPr>
          <w:color w:val="000000"/>
        </w:rPr>
        <w:t xml:space="preserve">Créées dans la deuxième moitié du vingtième siècle, ces stations ont été fermées au début de l'indépendance sauf celle de Kaédi qui a été prise en charge par l'IRA (Institut des Régions Arides de Mednine en Tunisie). Ces stations de vocation climatique avec trois observations quotidiennes ont produit de courtes séries chronologiques (moins de 10ans) (tableau3). </w:t>
      </w:r>
    </w:p>
    <w:p w14:paraId="462EE18C" w14:textId="77777777" w:rsidR="004E687C" w:rsidRPr="004A7F3A" w:rsidRDefault="004E687C" w:rsidP="004E687C">
      <w:pPr>
        <w:pStyle w:val="NormalWeb"/>
        <w:jc w:val="both"/>
        <w:rPr>
          <w:color w:val="000000"/>
        </w:rPr>
      </w:pPr>
      <w:r w:rsidRPr="004A7F3A">
        <w:rPr>
          <w:color w:val="000000"/>
        </w:rPr>
        <w:t xml:space="preserve">D’autres stations climatiques ont été créées par </w:t>
      </w:r>
      <w:smartTag w:uri="urn:schemas-microsoft-com:office:smarttags" w:element="PersonName">
        <w:smartTagPr>
          <w:attr w:name="ProductID" w:val="la MIFERMA"/>
        </w:smartTagPr>
        <w:r w:rsidRPr="004A7F3A">
          <w:rPr>
            <w:color w:val="000000"/>
          </w:rPr>
          <w:t>la MIFERMA</w:t>
        </w:r>
      </w:smartTag>
      <w:r w:rsidRPr="004A7F3A">
        <w:rPr>
          <w:color w:val="000000"/>
        </w:rPr>
        <w:t xml:space="preserve"> le long de la ligne du chemin de fer. Chacune d’elles porte le nom du kilomètre ou elle se trouve sur le rail : stations PK</w:t>
      </w:r>
      <w:r>
        <w:rPr>
          <w:color w:val="000000"/>
        </w:rPr>
        <w:t xml:space="preserve"> </w:t>
      </w:r>
      <w:r w:rsidRPr="004A7F3A">
        <w:rPr>
          <w:color w:val="000000"/>
        </w:rPr>
        <w:t xml:space="preserve">: 95, 319, 460, 569. Ouvertes en 1968, elles ont été abandonnées en 1972, suite à la nationalisation de </w:t>
      </w:r>
      <w:smartTag w:uri="urn:schemas-microsoft-com:office:smarttags" w:element="PersonName">
        <w:smartTagPr>
          <w:attr w:name="ProductID" w:val="la MIFERMA"/>
        </w:smartTagPr>
        <w:r w:rsidRPr="004A7F3A">
          <w:rPr>
            <w:color w:val="000000"/>
          </w:rPr>
          <w:t>la MIFERMA</w:t>
        </w:r>
      </w:smartTag>
      <w:r w:rsidRPr="004A7F3A">
        <w:rPr>
          <w:color w:val="000000"/>
        </w:rPr>
        <w:t xml:space="preserve"> et n'ont donc assuré l'observation que pendant cinq années.</w:t>
      </w:r>
    </w:p>
    <w:p w14:paraId="0F8FA08A" w14:textId="77777777" w:rsidR="004E687C" w:rsidRPr="001D556F" w:rsidRDefault="004E687C" w:rsidP="004E687C">
      <w:pPr>
        <w:ind w:right="-668"/>
        <w:jc w:val="both"/>
      </w:pPr>
      <w:r w:rsidRPr="001D556F">
        <w:t xml:space="preserve">Tableau 3- stations climatiques de </w:t>
      </w:r>
      <w:smartTag w:uri="urn:schemas-microsoft-com:office:smarttags" w:element="PersonName">
        <w:smartTagPr>
          <w:attr w:name="ProductID" w:val="la Mauritanie"/>
        </w:smartTagPr>
        <w:r w:rsidRPr="001D556F">
          <w:t>la Mauritanie</w:t>
        </w:r>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275"/>
        <w:gridCol w:w="1418"/>
        <w:gridCol w:w="1417"/>
        <w:gridCol w:w="1560"/>
        <w:gridCol w:w="1417"/>
      </w:tblGrid>
      <w:tr w:rsidR="004E687C" w14:paraId="014D1CDE" w14:textId="77777777" w:rsidTr="00EE0E23">
        <w:tc>
          <w:tcPr>
            <w:tcW w:w="2235" w:type="dxa"/>
          </w:tcPr>
          <w:p w14:paraId="140E7818" w14:textId="77777777" w:rsidR="004E687C" w:rsidRPr="00502392" w:rsidRDefault="004E687C" w:rsidP="00EE0E23">
            <w:pPr>
              <w:ind w:right="-668"/>
              <w:jc w:val="both"/>
              <w:rPr>
                <w:b/>
              </w:rPr>
            </w:pPr>
            <w:r w:rsidRPr="00502392">
              <w:rPr>
                <w:b/>
              </w:rPr>
              <w:t xml:space="preserve">Stations </w:t>
            </w:r>
          </w:p>
        </w:tc>
        <w:tc>
          <w:tcPr>
            <w:tcW w:w="1275" w:type="dxa"/>
          </w:tcPr>
          <w:p w14:paraId="0A21FFC6" w14:textId="77777777" w:rsidR="004E687C" w:rsidRPr="00502392" w:rsidRDefault="004E687C" w:rsidP="00EE0E23">
            <w:pPr>
              <w:ind w:right="-668"/>
              <w:jc w:val="both"/>
              <w:rPr>
                <w:b/>
              </w:rPr>
            </w:pPr>
            <w:r w:rsidRPr="00502392">
              <w:rPr>
                <w:b/>
              </w:rPr>
              <w:t xml:space="preserve">Latitude </w:t>
            </w:r>
          </w:p>
        </w:tc>
        <w:tc>
          <w:tcPr>
            <w:tcW w:w="1418" w:type="dxa"/>
          </w:tcPr>
          <w:p w14:paraId="555DF43E" w14:textId="77777777" w:rsidR="004E687C" w:rsidRPr="00502392" w:rsidRDefault="004E687C" w:rsidP="00EE0E23">
            <w:pPr>
              <w:ind w:right="-668"/>
              <w:jc w:val="both"/>
              <w:rPr>
                <w:b/>
              </w:rPr>
            </w:pPr>
            <w:r w:rsidRPr="00502392">
              <w:rPr>
                <w:b/>
              </w:rPr>
              <w:t xml:space="preserve">Longitude </w:t>
            </w:r>
          </w:p>
        </w:tc>
        <w:tc>
          <w:tcPr>
            <w:tcW w:w="1417" w:type="dxa"/>
          </w:tcPr>
          <w:p w14:paraId="106FD9E6" w14:textId="77777777" w:rsidR="004E687C" w:rsidRPr="00502392" w:rsidRDefault="004E687C" w:rsidP="00EE0E23">
            <w:pPr>
              <w:ind w:right="-668"/>
              <w:jc w:val="both"/>
              <w:rPr>
                <w:b/>
              </w:rPr>
            </w:pPr>
            <w:r w:rsidRPr="00502392">
              <w:rPr>
                <w:b/>
              </w:rPr>
              <w:t xml:space="preserve">Altitude </w:t>
            </w:r>
          </w:p>
        </w:tc>
        <w:tc>
          <w:tcPr>
            <w:tcW w:w="1560" w:type="dxa"/>
          </w:tcPr>
          <w:p w14:paraId="2E070B32" w14:textId="77777777" w:rsidR="004E687C" w:rsidRPr="00502392" w:rsidRDefault="004E687C" w:rsidP="00EE0E23">
            <w:pPr>
              <w:ind w:right="-668"/>
              <w:jc w:val="both"/>
              <w:rPr>
                <w:b/>
              </w:rPr>
            </w:pPr>
            <w:r w:rsidRPr="00502392">
              <w:rPr>
                <w:b/>
              </w:rPr>
              <w:t xml:space="preserve">Ouverture </w:t>
            </w:r>
          </w:p>
        </w:tc>
        <w:tc>
          <w:tcPr>
            <w:tcW w:w="1417" w:type="dxa"/>
          </w:tcPr>
          <w:p w14:paraId="5F45514F" w14:textId="77777777" w:rsidR="004E687C" w:rsidRPr="00502392" w:rsidRDefault="004E687C" w:rsidP="00EE0E23">
            <w:pPr>
              <w:ind w:right="-668"/>
              <w:jc w:val="both"/>
              <w:rPr>
                <w:b/>
              </w:rPr>
            </w:pPr>
            <w:r w:rsidRPr="00502392">
              <w:rPr>
                <w:b/>
              </w:rPr>
              <w:t xml:space="preserve">Fermeture </w:t>
            </w:r>
          </w:p>
        </w:tc>
      </w:tr>
      <w:tr w:rsidR="004E687C" w14:paraId="5619AD1D" w14:textId="77777777" w:rsidTr="00EE0E23">
        <w:tc>
          <w:tcPr>
            <w:tcW w:w="2235" w:type="dxa"/>
          </w:tcPr>
          <w:p w14:paraId="065929F9" w14:textId="77777777" w:rsidR="004E687C" w:rsidRPr="00502392" w:rsidRDefault="004E687C" w:rsidP="00EE0E23">
            <w:pPr>
              <w:ind w:right="-668"/>
              <w:jc w:val="both"/>
              <w:rPr>
                <w:b/>
              </w:rPr>
            </w:pPr>
            <w:r w:rsidRPr="00502392">
              <w:rPr>
                <w:b/>
              </w:rPr>
              <w:t>Kaédi (IRAT)</w:t>
            </w:r>
          </w:p>
        </w:tc>
        <w:tc>
          <w:tcPr>
            <w:tcW w:w="1275" w:type="dxa"/>
          </w:tcPr>
          <w:p w14:paraId="25ABE736" w14:textId="77777777" w:rsidR="004E687C" w:rsidRPr="00502392" w:rsidRDefault="004E687C" w:rsidP="00EE0E23">
            <w:pPr>
              <w:ind w:right="-668"/>
              <w:jc w:val="both"/>
            </w:pPr>
            <w:r w:rsidRPr="00502392">
              <w:t>16°09N</w:t>
            </w:r>
          </w:p>
        </w:tc>
        <w:tc>
          <w:tcPr>
            <w:tcW w:w="1418" w:type="dxa"/>
          </w:tcPr>
          <w:p w14:paraId="4ED1D8F7" w14:textId="77777777" w:rsidR="004E687C" w:rsidRPr="00502392" w:rsidRDefault="004E687C" w:rsidP="00EE0E23">
            <w:pPr>
              <w:ind w:right="-668"/>
              <w:jc w:val="both"/>
            </w:pPr>
            <w:r w:rsidRPr="00502392">
              <w:t>13°30W</w:t>
            </w:r>
          </w:p>
        </w:tc>
        <w:tc>
          <w:tcPr>
            <w:tcW w:w="1417" w:type="dxa"/>
          </w:tcPr>
          <w:p w14:paraId="637D6E2E" w14:textId="77777777" w:rsidR="004E687C" w:rsidRPr="00502392" w:rsidRDefault="004E687C" w:rsidP="00EE0E23">
            <w:pPr>
              <w:ind w:right="-668"/>
              <w:jc w:val="both"/>
            </w:pPr>
            <w:smartTag w:uri="urn:schemas-microsoft-com:office:smarttags" w:element="metricconverter">
              <w:smartTagPr>
                <w:attr w:name="ProductID" w:val="18 m"/>
              </w:smartTagPr>
              <w:r w:rsidRPr="00502392">
                <w:t>18 m</w:t>
              </w:r>
            </w:smartTag>
          </w:p>
        </w:tc>
        <w:tc>
          <w:tcPr>
            <w:tcW w:w="1560" w:type="dxa"/>
          </w:tcPr>
          <w:p w14:paraId="5DF8D930" w14:textId="77777777" w:rsidR="004E687C" w:rsidRPr="00502392" w:rsidRDefault="004E687C" w:rsidP="00EE0E23">
            <w:pPr>
              <w:ind w:right="-668"/>
              <w:jc w:val="both"/>
            </w:pPr>
            <w:r w:rsidRPr="00502392">
              <w:t>1950</w:t>
            </w:r>
          </w:p>
        </w:tc>
        <w:tc>
          <w:tcPr>
            <w:tcW w:w="1417" w:type="dxa"/>
          </w:tcPr>
          <w:p w14:paraId="2EB0F7A8" w14:textId="77777777" w:rsidR="004E687C" w:rsidRPr="00502392" w:rsidRDefault="004E687C" w:rsidP="00EE0E23">
            <w:pPr>
              <w:ind w:right="-668"/>
              <w:jc w:val="both"/>
            </w:pPr>
            <w:r w:rsidRPr="00502392">
              <w:t>1982</w:t>
            </w:r>
          </w:p>
        </w:tc>
      </w:tr>
      <w:tr w:rsidR="004E687C" w14:paraId="4B6ACA00" w14:textId="77777777" w:rsidTr="00EE0E23">
        <w:tc>
          <w:tcPr>
            <w:tcW w:w="2235" w:type="dxa"/>
          </w:tcPr>
          <w:p w14:paraId="32131D82" w14:textId="77777777" w:rsidR="004E687C" w:rsidRPr="00502392" w:rsidRDefault="004E687C" w:rsidP="00EE0E23">
            <w:pPr>
              <w:ind w:right="-668"/>
              <w:jc w:val="both"/>
              <w:rPr>
                <w:b/>
              </w:rPr>
            </w:pPr>
            <w:r w:rsidRPr="00502392">
              <w:rPr>
                <w:b/>
              </w:rPr>
              <w:t>Kankossa</w:t>
            </w:r>
          </w:p>
        </w:tc>
        <w:tc>
          <w:tcPr>
            <w:tcW w:w="1275" w:type="dxa"/>
          </w:tcPr>
          <w:p w14:paraId="225FD441" w14:textId="77777777" w:rsidR="004E687C" w:rsidRPr="00502392" w:rsidRDefault="004E687C" w:rsidP="00EE0E23">
            <w:pPr>
              <w:ind w:right="-668"/>
              <w:jc w:val="both"/>
            </w:pPr>
            <w:r w:rsidRPr="00502392">
              <w:t>15°57N</w:t>
            </w:r>
          </w:p>
        </w:tc>
        <w:tc>
          <w:tcPr>
            <w:tcW w:w="1418" w:type="dxa"/>
          </w:tcPr>
          <w:p w14:paraId="515E74CA" w14:textId="77777777" w:rsidR="004E687C" w:rsidRPr="00502392" w:rsidRDefault="004E687C" w:rsidP="00EE0E23">
            <w:pPr>
              <w:ind w:right="-668"/>
              <w:jc w:val="both"/>
            </w:pPr>
            <w:r w:rsidRPr="00502392">
              <w:t>11°30W</w:t>
            </w:r>
          </w:p>
        </w:tc>
        <w:tc>
          <w:tcPr>
            <w:tcW w:w="1417" w:type="dxa"/>
          </w:tcPr>
          <w:p w14:paraId="2FB3458C" w14:textId="77777777" w:rsidR="004E687C" w:rsidRPr="00502392" w:rsidRDefault="004E687C" w:rsidP="00EE0E23">
            <w:pPr>
              <w:ind w:right="-668"/>
              <w:jc w:val="both"/>
            </w:pPr>
            <w:smartTag w:uri="urn:schemas-microsoft-com:office:smarttags" w:element="metricconverter">
              <w:smartTagPr>
                <w:attr w:name="ProductID" w:val="70 m"/>
              </w:smartTagPr>
              <w:r w:rsidRPr="00502392">
                <w:t>70 m</w:t>
              </w:r>
            </w:smartTag>
          </w:p>
        </w:tc>
        <w:tc>
          <w:tcPr>
            <w:tcW w:w="1560" w:type="dxa"/>
          </w:tcPr>
          <w:p w14:paraId="0B7FCF60" w14:textId="77777777" w:rsidR="004E687C" w:rsidRPr="00502392" w:rsidRDefault="004E687C" w:rsidP="00EE0E23">
            <w:pPr>
              <w:ind w:right="-668"/>
              <w:jc w:val="both"/>
            </w:pPr>
            <w:r w:rsidRPr="00502392">
              <w:t>1953</w:t>
            </w:r>
          </w:p>
        </w:tc>
        <w:tc>
          <w:tcPr>
            <w:tcW w:w="1417" w:type="dxa"/>
          </w:tcPr>
          <w:p w14:paraId="41433C3D" w14:textId="77777777" w:rsidR="004E687C" w:rsidRPr="00502392" w:rsidRDefault="004E687C" w:rsidP="00EE0E23">
            <w:pPr>
              <w:ind w:right="-668"/>
              <w:jc w:val="both"/>
            </w:pPr>
            <w:r w:rsidRPr="00502392">
              <w:t>1961</w:t>
            </w:r>
          </w:p>
        </w:tc>
      </w:tr>
      <w:tr w:rsidR="004E687C" w14:paraId="7E08BF67" w14:textId="77777777" w:rsidTr="00EE0E23">
        <w:tc>
          <w:tcPr>
            <w:tcW w:w="2235" w:type="dxa"/>
          </w:tcPr>
          <w:p w14:paraId="5AD433AC" w14:textId="77777777" w:rsidR="004E687C" w:rsidRPr="00502392" w:rsidRDefault="004E687C" w:rsidP="00EE0E23">
            <w:pPr>
              <w:ind w:right="-668"/>
              <w:jc w:val="both"/>
              <w:rPr>
                <w:b/>
              </w:rPr>
            </w:pPr>
            <w:r w:rsidRPr="00502392">
              <w:rPr>
                <w:b/>
              </w:rPr>
              <w:t>M'bout</w:t>
            </w:r>
          </w:p>
        </w:tc>
        <w:tc>
          <w:tcPr>
            <w:tcW w:w="1275" w:type="dxa"/>
          </w:tcPr>
          <w:p w14:paraId="19CF26E0" w14:textId="77777777" w:rsidR="004E687C" w:rsidRPr="00502392" w:rsidRDefault="004E687C" w:rsidP="00EE0E23">
            <w:pPr>
              <w:ind w:right="-668"/>
              <w:jc w:val="both"/>
            </w:pPr>
            <w:r w:rsidRPr="00502392">
              <w:t>16°02N</w:t>
            </w:r>
          </w:p>
        </w:tc>
        <w:tc>
          <w:tcPr>
            <w:tcW w:w="1418" w:type="dxa"/>
          </w:tcPr>
          <w:p w14:paraId="3B132D9A" w14:textId="77777777" w:rsidR="004E687C" w:rsidRPr="00502392" w:rsidRDefault="004E687C" w:rsidP="00EE0E23">
            <w:pPr>
              <w:ind w:right="-668"/>
              <w:jc w:val="both"/>
            </w:pPr>
            <w:r w:rsidRPr="00502392">
              <w:t>12°37W</w:t>
            </w:r>
          </w:p>
        </w:tc>
        <w:tc>
          <w:tcPr>
            <w:tcW w:w="1417" w:type="dxa"/>
          </w:tcPr>
          <w:p w14:paraId="69C938B2" w14:textId="77777777" w:rsidR="004E687C" w:rsidRPr="00502392" w:rsidRDefault="004E687C" w:rsidP="00EE0E23">
            <w:pPr>
              <w:ind w:right="-668"/>
              <w:jc w:val="both"/>
            </w:pPr>
            <w:smartTag w:uri="urn:schemas-microsoft-com:office:smarttags" w:element="metricconverter">
              <w:smartTagPr>
                <w:attr w:name="ProductID" w:val="44 m"/>
              </w:smartTagPr>
              <w:r w:rsidRPr="00502392">
                <w:t>44 m</w:t>
              </w:r>
            </w:smartTag>
          </w:p>
        </w:tc>
        <w:tc>
          <w:tcPr>
            <w:tcW w:w="1560" w:type="dxa"/>
          </w:tcPr>
          <w:p w14:paraId="6790F701" w14:textId="77777777" w:rsidR="004E687C" w:rsidRPr="00502392" w:rsidRDefault="004E687C" w:rsidP="00EE0E23">
            <w:pPr>
              <w:ind w:right="-668"/>
              <w:jc w:val="both"/>
            </w:pPr>
            <w:r w:rsidRPr="00502392">
              <w:t>1954</w:t>
            </w:r>
          </w:p>
        </w:tc>
        <w:tc>
          <w:tcPr>
            <w:tcW w:w="1417" w:type="dxa"/>
          </w:tcPr>
          <w:p w14:paraId="3F60C23F" w14:textId="77777777" w:rsidR="004E687C" w:rsidRPr="00502392" w:rsidRDefault="004E687C" w:rsidP="00EE0E23">
            <w:pPr>
              <w:ind w:right="-668"/>
              <w:jc w:val="both"/>
            </w:pPr>
            <w:r w:rsidRPr="00502392">
              <w:t>1961</w:t>
            </w:r>
          </w:p>
        </w:tc>
      </w:tr>
      <w:tr w:rsidR="004E687C" w14:paraId="036B0409" w14:textId="77777777" w:rsidTr="00EE0E23">
        <w:tc>
          <w:tcPr>
            <w:tcW w:w="2235" w:type="dxa"/>
          </w:tcPr>
          <w:p w14:paraId="30A3CE6D" w14:textId="77777777" w:rsidR="004E687C" w:rsidRPr="00502392" w:rsidRDefault="004E687C" w:rsidP="00EE0E23">
            <w:pPr>
              <w:ind w:right="-668"/>
              <w:jc w:val="both"/>
              <w:rPr>
                <w:b/>
              </w:rPr>
            </w:pPr>
            <w:proofErr w:type="spellStart"/>
            <w:r w:rsidRPr="00502392">
              <w:rPr>
                <w:b/>
              </w:rPr>
              <w:t>Mederdra</w:t>
            </w:r>
            <w:proofErr w:type="spellEnd"/>
          </w:p>
        </w:tc>
        <w:tc>
          <w:tcPr>
            <w:tcW w:w="1275" w:type="dxa"/>
          </w:tcPr>
          <w:p w14:paraId="1732F6C1" w14:textId="77777777" w:rsidR="004E687C" w:rsidRPr="00502392" w:rsidRDefault="004E687C" w:rsidP="00EE0E23">
            <w:pPr>
              <w:ind w:right="-668"/>
              <w:jc w:val="both"/>
            </w:pPr>
            <w:r w:rsidRPr="00502392">
              <w:t>16°55N</w:t>
            </w:r>
          </w:p>
        </w:tc>
        <w:tc>
          <w:tcPr>
            <w:tcW w:w="1418" w:type="dxa"/>
          </w:tcPr>
          <w:p w14:paraId="193104B6" w14:textId="77777777" w:rsidR="004E687C" w:rsidRPr="00502392" w:rsidRDefault="004E687C" w:rsidP="00EE0E23">
            <w:pPr>
              <w:ind w:right="-668"/>
              <w:jc w:val="both"/>
            </w:pPr>
            <w:r w:rsidRPr="00502392">
              <w:t>15°40W</w:t>
            </w:r>
          </w:p>
        </w:tc>
        <w:tc>
          <w:tcPr>
            <w:tcW w:w="1417" w:type="dxa"/>
          </w:tcPr>
          <w:p w14:paraId="088E6F3F" w14:textId="77777777" w:rsidR="004E687C" w:rsidRPr="00502392" w:rsidRDefault="004E687C" w:rsidP="00EE0E23">
            <w:pPr>
              <w:ind w:right="-668"/>
              <w:jc w:val="both"/>
            </w:pPr>
            <w:smartTag w:uri="urn:schemas-microsoft-com:office:smarttags" w:element="metricconverter">
              <w:smartTagPr>
                <w:attr w:name="ProductID" w:val="25 m"/>
              </w:smartTagPr>
              <w:r w:rsidRPr="00502392">
                <w:t>25 m</w:t>
              </w:r>
            </w:smartTag>
          </w:p>
        </w:tc>
        <w:tc>
          <w:tcPr>
            <w:tcW w:w="1560" w:type="dxa"/>
          </w:tcPr>
          <w:p w14:paraId="5B4E6F0B" w14:textId="77777777" w:rsidR="004E687C" w:rsidRPr="00502392" w:rsidRDefault="004E687C" w:rsidP="00EE0E23">
            <w:pPr>
              <w:ind w:right="-668"/>
              <w:jc w:val="both"/>
            </w:pPr>
            <w:r w:rsidRPr="00502392">
              <w:t>1950</w:t>
            </w:r>
          </w:p>
        </w:tc>
        <w:tc>
          <w:tcPr>
            <w:tcW w:w="1417" w:type="dxa"/>
          </w:tcPr>
          <w:p w14:paraId="6B06EACF" w14:textId="77777777" w:rsidR="004E687C" w:rsidRPr="00502392" w:rsidRDefault="004E687C" w:rsidP="00EE0E23">
            <w:pPr>
              <w:ind w:right="-668"/>
              <w:jc w:val="both"/>
            </w:pPr>
            <w:r w:rsidRPr="00502392">
              <w:t>1961</w:t>
            </w:r>
          </w:p>
        </w:tc>
      </w:tr>
      <w:tr w:rsidR="004E687C" w14:paraId="1FE8ACA0" w14:textId="77777777" w:rsidTr="00EE0E23">
        <w:tc>
          <w:tcPr>
            <w:tcW w:w="2235" w:type="dxa"/>
          </w:tcPr>
          <w:p w14:paraId="3B86720F" w14:textId="77777777" w:rsidR="004E687C" w:rsidRPr="00502392" w:rsidRDefault="004E687C" w:rsidP="00EE0E23">
            <w:pPr>
              <w:ind w:right="-668"/>
              <w:jc w:val="both"/>
              <w:rPr>
                <w:b/>
              </w:rPr>
            </w:pPr>
            <w:r w:rsidRPr="00502392">
              <w:rPr>
                <w:b/>
              </w:rPr>
              <w:t>Moudjéria</w:t>
            </w:r>
          </w:p>
        </w:tc>
        <w:tc>
          <w:tcPr>
            <w:tcW w:w="1275" w:type="dxa"/>
          </w:tcPr>
          <w:p w14:paraId="2FD28A68" w14:textId="77777777" w:rsidR="004E687C" w:rsidRPr="00502392" w:rsidRDefault="004E687C" w:rsidP="00EE0E23">
            <w:pPr>
              <w:ind w:right="-668"/>
              <w:jc w:val="both"/>
            </w:pPr>
            <w:r w:rsidRPr="00502392">
              <w:t>17°56N</w:t>
            </w:r>
          </w:p>
        </w:tc>
        <w:tc>
          <w:tcPr>
            <w:tcW w:w="1418" w:type="dxa"/>
          </w:tcPr>
          <w:p w14:paraId="3B149345" w14:textId="77777777" w:rsidR="004E687C" w:rsidRPr="00502392" w:rsidRDefault="004E687C" w:rsidP="00EE0E23">
            <w:pPr>
              <w:ind w:right="-668"/>
              <w:jc w:val="both"/>
            </w:pPr>
            <w:r w:rsidRPr="00502392">
              <w:t>12°21W</w:t>
            </w:r>
          </w:p>
        </w:tc>
        <w:tc>
          <w:tcPr>
            <w:tcW w:w="1417" w:type="dxa"/>
          </w:tcPr>
          <w:p w14:paraId="1F628F97" w14:textId="77777777" w:rsidR="004E687C" w:rsidRPr="00502392" w:rsidRDefault="004E687C" w:rsidP="00EE0E23">
            <w:pPr>
              <w:ind w:right="-668"/>
              <w:jc w:val="both"/>
            </w:pPr>
            <w:smartTag w:uri="urn:schemas-microsoft-com:office:smarttags" w:element="metricconverter">
              <w:smartTagPr>
                <w:attr w:name="ProductID" w:val="269 m"/>
              </w:smartTagPr>
              <w:r w:rsidRPr="00502392">
                <w:t>269 m</w:t>
              </w:r>
            </w:smartTag>
          </w:p>
        </w:tc>
        <w:tc>
          <w:tcPr>
            <w:tcW w:w="1560" w:type="dxa"/>
          </w:tcPr>
          <w:p w14:paraId="232B5F4F" w14:textId="77777777" w:rsidR="004E687C" w:rsidRPr="00502392" w:rsidRDefault="004E687C" w:rsidP="00EE0E23">
            <w:pPr>
              <w:ind w:right="-668"/>
              <w:jc w:val="both"/>
            </w:pPr>
            <w:r w:rsidRPr="00502392">
              <w:t>1951</w:t>
            </w:r>
          </w:p>
        </w:tc>
        <w:tc>
          <w:tcPr>
            <w:tcW w:w="1417" w:type="dxa"/>
          </w:tcPr>
          <w:p w14:paraId="51F4302A" w14:textId="77777777" w:rsidR="004E687C" w:rsidRPr="00502392" w:rsidRDefault="004E687C" w:rsidP="00EE0E23">
            <w:pPr>
              <w:ind w:right="-668"/>
              <w:jc w:val="both"/>
            </w:pPr>
            <w:r w:rsidRPr="00502392">
              <w:t>1961</w:t>
            </w:r>
          </w:p>
        </w:tc>
      </w:tr>
    </w:tbl>
    <w:p w14:paraId="3C334925" w14:textId="77777777" w:rsidR="004E687C" w:rsidRPr="00502392" w:rsidRDefault="004E687C" w:rsidP="004E687C">
      <w:pPr>
        <w:ind w:right="-668"/>
        <w:jc w:val="both"/>
        <w:rPr>
          <w:sz w:val="16"/>
          <w:szCs w:val="16"/>
        </w:rPr>
      </w:pPr>
      <w:r w:rsidRPr="00502392">
        <w:rPr>
          <w:sz w:val="16"/>
          <w:szCs w:val="16"/>
        </w:rPr>
        <w:t>Source : AGRHYMET</w:t>
      </w:r>
    </w:p>
    <w:p w14:paraId="1689F42C" w14:textId="77777777" w:rsidR="004E687C" w:rsidRPr="0059113C" w:rsidRDefault="004E687C" w:rsidP="004E687C">
      <w:pPr>
        <w:pStyle w:val="Titre2"/>
        <w:numPr>
          <w:ilvl w:val="0"/>
          <w:numId w:val="186"/>
        </w:numPr>
        <w:tabs>
          <w:tab w:val="clear" w:pos="1357"/>
          <w:tab w:val="num" w:pos="709"/>
        </w:tabs>
        <w:ind w:left="709" w:hanging="709"/>
        <w:jc w:val="both"/>
        <w:rPr>
          <w:i/>
          <w:iCs/>
        </w:rPr>
      </w:pPr>
      <w:bookmarkStart w:id="546" w:name="_Toc192820594"/>
      <w:bookmarkStart w:id="547" w:name="_Toc192821015"/>
      <w:bookmarkStart w:id="548" w:name="_Toc192821144"/>
      <w:bookmarkStart w:id="549" w:name="_Toc343596110"/>
      <w:bookmarkStart w:id="550" w:name="_Toc191284973"/>
      <w:r w:rsidRPr="0059113C">
        <w:t>Les stations climatiques réactivées</w:t>
      </w:r>
      <w:bookmarkEnd w:id="546"/>
      <w:bookmarkEnd w:id="547"/>
      <w:bookmarkEnd w:id="548"/>
      <w:bookmarkEnd w:id="549"/>
      <w:bookmarkEnd w:id="550"/>
    </w:p>
    <w:p w14:paraId="45690CC2" w14:textId="77777777" w:rsidR="004E687C" w:rsidRPr="004A7F3A" w:rsidRDefault="004E687C" w:rsidP="004E687C">
      <w:pPr>
        <w:pStyle w:val="NormalWeb"/>
        <w:spacing w:before="0" w:beforeAutospacing="0"/>
        <w:jc w:val="both"/>
        <w:rPr>
          <w:color w:val="000000"/>
        </w:rPr>
      </w:pPr>
      <w:r w:rsidRPr="004A7F3A">
        <w:rPr>
          <w:color w:val="000000"/>
        </w:rPr>
        <w:t xml:space="preserve">La plupart des stations climatiques abandonnées à la veille de l'indépendance ont été réactivées dans le cadre du projet de l'AGRHYMET à la fin des années </w:t>
      </w:r>
      <w:r>
        <w:rPr>
          <w:color w:val="000000"/>
        </w:rPr>
        <w:t>70</w:t>
      </w:r>
      <w:r w:rsidRPr="004A7F3A">
        <w:rPr>
          <w:color w:val="000000"/>
        </w:rPr>
        <w:t>, (tableau 4).</w:t>
      </w:r>
    </w:p>
    <w:p w14:paraId="6A1B40F8" w14:textId="77777777" w:rsidR="004E687C" w:rsidRPr="00502392" w:rsidRDefault="004E687C" w:rsidP="004E687C">
      <w:pPr>
        <w:ind w:right="-668"/>
        <w:jc w:val="both"/>
      </w:pPr>
      <w:r>
        <w:rPr>
          <w:sz w:val="28"/>
        </w:rPr>
        <w:t xml:space="preserve">  </w:t>
      </w:r>
      <w:r w:rsidRPr="00502392">
        <w:t>Tableau 4 - stations climatiques réactivées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260"/>
        <w:gridCol w:w="1260"/>
        <w:gridCol w:w="1197"/>
        <w:gridCol w:w="1560"/>
        <w:gridCol w:w="1417"/>
      </w:tblGrid>
      <w:tr w:rsidR="004E687C" w14:paraId="5EFDE896" w14:textId="77777777" w:rsidTr="00EE0E23">
        <w:tc>
          <w:tcPr>
            <w:tcW w:w="2628" w:type="dxa"/>
          </w:tcPr>
          <w:p w14:paraId="329869C6" w14:textId="77777777" w:rsidR="004E687C" w:rsidRPr="00502392" w:rsidRDefault="004E687C" w:rsidP="00EE0E23">
            <w:pPr>
              <w:ind w:right="-668"/>
              <w:jc w:val="both"/>
              <w:rPr>
                <w:b/>
              </w:rPr>
            </w:pPr>
            <w:r w:rsidRPr="00502392">
              <w:rPr>
                <w:b/>
              </w:rPr>
              <w:t>Stations</w:t>
            </w:r>
          </w:p>
        </w:tc>
        <w:tc>
          <w:tcPr>
            <w:tcW w:w="1260" w:type="dxa"/>
          </w:tcPr>
          <w:p w14:paraId="1C1E9830" w14:textId="77777777" w:rsidR="004E687C" w:rsidRPr="00502392" w:rsidRDefault="004E687C" w:rsidP="00EE0E23">
            <w:pPr>
              <w:ind w:right="-668"/>
              <w:jc w:val="both"/>
              <w:rPr>
                <w:b/>
              </w:rPr>
            </w:pPr>
            <w:r w:rsidRPr="00502392">
              <w:rPr>
                <w:b/>
              </w:rPr>
              <w:t xml:space="preserve">Latitude </w:t>
            </w:r>
          </w:p>
        </w:tc>
        <w:tc>
          <w:tcPr>
            <w:tcW w:w="1260" w:type="dxa"/>
          </w:tcPr>
          <w:p w14:paraId="5CC1394F" w14:textId="77777777" w:rsidR="004E687C" w:rsidRPr="00502392" w:rsidRDefault="004E687C" w:rsidP="00EE0E23">
            <w:pPr>
              <w:ind w:right="-668"/>
              <w:jc w:val="both"/>
              <w:rPr>
                <w:b/>
              </w:rPr>
            </w:pPr>
            <w:r w:rsidRPr="00502392">
              <w:rPr>
                <w:b/>
              </w:rPr>
              <w:t xml:space="preserve">Longitude </w:t>
            </w:r>
          </w:p>
        </w:tc>
        <w:tc>
          <w:tcPr>
            <w:tcW w:w="1197" w:type="dxa"/>
          </w:tcPr>
          <w:p w14:paraId="7BC07DA9" w14:textId="77777777" w:rsidR="004E687C" w:rsidRPr="00502392" w:rsidRDefault="004E687C" w:rsidP="00EE0E23">
            <w:pPr>
              <w:ind w:right="-668"/>
              <w:jc w:val="both"/>
              <w:rPr>
                <w:b/>
              </w:rPr>
            </w:pPr>
            <w:r w:rsidRPr="00502392">
              <w:rPr>
                <w:b/>
              </w:rPr>
              <w:t xml:space="preserve">Altitude </w:t>
            </w:r>
          </w:p>
        </w:tc>
        <w:tc>
          <w:tcPr>
            <w:tcW w:w="1560" w:type="dxa"/>
          </w:tcPr>
          <w:p w14:paraId="22A1C72A" w14:textId="77777777" w:rsidR="004E687C" w:rsidRPr="00502392" w:rsidRDefault="004E687C" w:rsidP="00EE0E23">
            <w:pPr>
              <w:ind w:right="-668"/>
              <w:jc w:val="both"/>
              <w:rPr>
                <w:b/>
              </w:rPr>
            </w:pPr>
            <w:r w:rsidRPr="00502392">
              <w:rPr>
                <w:b/>
              </w:rPr>
              <w:t xml:space="preserve">Ouverture </w:t>
            </w:r>
          </w:p>
        </w:tc>
        <w:tc>
          <w:tcPr>
            <w:tcW w:w="1417" w:type="dxa"/>
          </w:tcPr>
          <w:p w14:paraId="33625905" w14:textId="77777777" w:rsidR="004E687C" w:rsidRPr="00502392" w:rsidRDefault="004E687C" w:rsidP="00EE0E23">
            <w:pPr>
              <w:ind w:right="-668"/>
              <w:jc w:val="both"/>
              <w:rPr>
                <w:b/>
              </w:rPr>
            </w:pPr>
            <w:r w:rsidRPr="00502392">
              <w:rPr>
                <w:b/>
              </w:rPr>
              <w:t xml:space="preserve">Fermeture </w:t>
            </w:r>
          </w:p>
        </w:tc>
      </w:tr>
      <w:tr w:rsidR="004E687C" w14:paraId="7D74E26A" w14:textId="77777777" w:rsidTr="00EE0E23">
        <w:tc>
          <w:tcPr>
            <w:tcW w:w="2628" w:type="dxa"/>
          </w:tcPr>
          <w:p w14:paraId="4DD09F2E" w14:textId="77777777" w:rsidR="004E687C" w:rsidRPr="00502392" w:rsidRDefault="004E687C" w:rsidP="00EE0E23">
            <w:pPr>
              <w:ind w:right="-668"/>
              <w:jc w:val="both"/>
              <w:rPr>
                <w:b/>
              </w:rPr>
            </w:pPr>
            <w:proofErr w:type="spellStart"/>
            <w:r w:rsidRPr="00502392">
              <w:rPr>
                <w:b/>
              </w:rPr>
              <w:t>Achram</w:t>
            </w:r>
            <w:proofErr w:type="spellEnd"/>
            <w:r w:rsidRPr="00502392">
              <w:rPr>
                <w:b/>
              </w:rPr>
              <w:t xml:space="preserve"> SONADER</w:t>
            </w:r>
          </w:p>
        </w:tc>
        <w:tc>
          <w:tcPr>
            <w:tcW w:w="1260" w:type="dxa"/>
          </w:tcPr>
          <w:p w14:paraId="577775A3" w14:textId="77777777" w:rsidR="004E687C" w:rsidRPr="00502392" w:rsidRDefault="004E687C" w:rsidP="00EE0E23">
            <w:pPr>
              <w:ind w:right="-668"/>
              <w:jc w:val="both"/>
            </w:pPr>
            <w:r w:rsidRPr="00502392">
              <w:t>17°21N</w:t>
            </w:r>
          </w:p>
        </w:tc>
        <w:tc>
          <w:tcPr>
            <w:tcW w:w="1260" w:type="dxa"/>
          </w:tcPr>
          <w:p w14:paraId="1CE8C476" w14:textId="77777777" w:rsidR="004E687C" w:rsidRPr="00502392" w:rsidRDefault="004E687C" w:rsidP="00EE0E23">
            <w:pPr>
              <w:ind w:right="-668"/>
              <w:jc w:val="both"/>
            </w:pPr>
            <w:r w:rsidRPr="00502392">
              <w:t>12°24W</w:t>
            </w:r>
          </w:p>
        </w:tc>
        <w:tc>
          <w:tcPr>
            <w:tcW w:w="1197" w:type="dxa"/>
          </w:tcPr>
          <w:p w14:paraId="28C598F8" w14:textId="77777777" w:rsidR="004E687C" w:rsidRPr="00502392" w:rsidRDefault="004E687C" w:rsidP="00EE0E23">
            <w:pPr>
              <w:ind w:right="-668"/>
              <w:jc w:val="both"/>
            </w:pPr>
          </w:p>
        </w:tc>
        <w:tc>
          <w:tcPr>
            <w:tcW w:w="1560" w:type="dxa"/>
          </w:tcPr>
          <w:p w14:paraId="3F8A1B1D" w14:textId="77777777" w:rsidR="004E687C" w:rsidRPr="00502392" w:rsidRDefault="004E687C" w:rsidP="00EE0E23">
            <w:pPr>
              <w:ind w:right="-668"/>
              <w:jc w:val="both"/>
            </w:pPr>
            <w:r w:rsidRPr="00502392">
              <w:t>1984</w:t>
            </w:r>
          </w:p>
        </w:tc>
        <w:tc>
          <w:tcPr>
            <w:tcW w:w="1417" w:type="dxa"/>
          </w:tcPr>
          <w:p w14:paraId="303F0A24" w14:textId="77777777" w:rsidR="004E687C" w:rsidRPr="00502392" w:rsidRDefault="004E687C" w:rsidP="00EE0E23">
            <w:pPr>
              <w:ind w:right="-668"/>
              <w:jc w:val="both"/>
            </w:pPr>
            <w:r w:rsidRPr="00502392">
              <w:t>1989</w:t>
            </w:r>
          </w:p>
        </w:tc>
      </w:tr>
      <w:tr w:rsidR="004E687C" w14:paraId="3C752DF5" w14:textId="77777777" w:rsidTr="00EE0E23">
        <w:tc>
          <w:tcPr>
            <w:tcW w:w="2628" w:type="dxa"/>
          </w:tcPr>
          <w:p w14:paraId="081EE676" w14:textId="77777777" w:rsidR="004E687C" w:rsidRPr="00502392" w:rsidRDefault="004E687C" w:rsidP="00EE0E23">
            <w:pPr>
              <w:ind w:right="-668"/>
              <w:jc w:val="both"/>
              <w:rPr>
                <w:b/>
              </w:rPr>
            </w:pPr>
            <w:r w:rsidRPr="00502392">
              <w:rPr>
                <w:b/>
              </w:rPr>
              <w:t>Aleg</w:t>
            </w:r>
          </w:p>
        </w:tc>
        <w:tc>
          <w:tcPr>
            <w:tcW w:w="1260" w:type="dxa"/>
          </w:tcPr>
          <w:p w14:paraId="247BEA5A" w14:textId="77777777" w:rsidR="004E687C" w:rsidRPr="00502392" w:rsidRDefault="004E687C" w:rsidP="00EE0E23">
            <w:pPr>
              <w:ind w:right="-668"/>
              <w:jc w:val="both"/>
            </w:pPr>
            <w:r w:rsidRPr="00502392">
              <w:t>17°03N</w:t>
            </w:r>
          </w:p>
        </w:tc>
        <w:tc>
          <w:tcPr>
            <w:tcW w:w="1260" w:type="dxa"/>
          </w:tcPr>
          <w:p w14:paraId="40DA3BFD" w14:textId="77777777" w:rsidR="004E687C" w:rsidRPr="00502392" w:rsidRDefault="004E687C" w:rsidP="00EE0E23">
            <w:pPr>
              <w:ind w:right="-668"/>
              <w:jc w:val="both"/>
            </w:pPr>
            <w:r w:rsidRPr="00502392">
              <w:t>13°55W</w:t>
            </w:r>
          </w:p>
        </w:tc>
        <w:tc>
          <w:tcPr>
            <w:tcW w:w="1197" w:type="dxa"/>
          </w:tcPr>
          <w:p w14:paraId="0F3C22B8" w14:textId="77777777" w:rsidR="004E687C" w:rsidRPr="00502392" w:rsidRDefault="004E687C" w:rsidP="00EE0E23">
            <w:pPr>
              <w:ind w:right="-668"/>
              <w:jc w:val="both"/>
            </w:pPr>
            <w:r w:rsidRPr="00502392">
              <w:t>45</w:t>
            </w:r>
          </w:p>
        </w:tc>
        <w:tc>
          <w:tcPr>
            <w:tcW w:w="1560" w:type="dxa"/>
          </w:tcPr>
          <w:p w14:paraId="110C9D1A" w14:textId="77777777" w:rsidR="004E687C" w:rsidRPr="00502392" w:rsidRDefault="004E687C" w:rsidP="00EE0E23">
            <w:pPr>
              <w:ind w:right="-668"/>
              <w:jc w:val="both"/>
            </w:pPr>
            <w:r w:rsidRPr="00502392">
              <w:t>1981</w:t>
            </w:r>
          </w:p>
        </w:tc>
        <w:tc>
          <w:tcPr>
            <w:tcW w:w="1417" w:type="dxa"/>
          </w:tcPr>
          <w:p w14:paraId="2BF3A106" w14:textId="77777777" w:rsidR="004E687C" w:rsidRPr="00502392" w:rsidRDefault="004E687C" w:rsidP="00EE0E23">
            <w:pPr>
              <w:ind w:right="-668"/>
              <w:jc w:val="both"/>
            </w:pPr>
            <w:r w:rsidRPr="00502392">
              <w:t>1989</w:t>
            </w:r>
          </w:p>
        </w:tc>
      </w:tr>
      <w:tr w:rsidR="004E687C" w14:paraId="5D93F445" w14:textId="77777777" w:rsidTr="00EE0E23">
        <w:tc>
          <w:tcPr>
            <w:tcW w:w="2628" w:type="dxa"/>
          </w:tcPr>
          <w:p w14:paraId="7670F47B" w14:textId="77777777" w:rsidR="004E687C" w:rsidRPr="00502392" w:rsidRDefault="004E687C" w:rsidP="00EE0E23">
            <w:pPr>
              <w:ind w:right="-668"/>
              <w:jc w:val="both"/>
              <w:rPr>
                <w:b/>
              </w:rPr>
            </w:pPr>
            <w:r w:rsidRPr="00502392">
              <w:rPr>
                <w:b/>
              </w:rPr>
              <w:t>Boghé</w:t>
            </w:r>
          </w:p>
        </w:tc>
        <w:tc>
          <w:tcPr>
            <w:tcW w:w="1260" w:type="dxa"/>
          </w:tcPr>
          <w:p w14:paraId="666002C6" w14:textId="77777777" w:rsidR="004E687C" w:rsidRPr="00502392" w:rsidRDefault="004E687C" w:rsidP="00EE0E23">
            <w:pPr>
              <w:ind w:right="-668"/>
              <w:jc w:val="both"/>
            </w:pPr>
            <w:r w:rsidRPr="00502392">
              <w:t>16°34N</w:t>
            </w:r>
          </w:p>
        </w:tc>
        <w:tc>
          <w:tcPr>
            <w:tcW w:w="1260" w:type="dxa"/>
          </w:tcPr>
          <w:p w14:paraId="0C575BF2" w14:textId="77777777" w:rsidR="004E687C" w:rsidRPr="00502392" w:rsidRDefault="004E687C" w:rsidP="00EE0E23">
            <w:pPr>
              <w:ind w:right="-668"/>
              <w:jc w:val="both"/>
            </w:pPr>
            <w:r w:rsidRPr="00502392">
              <w:t>14°17W</w:t>
            </w:r>
          </w:p>
        </w:tc>
        <w:tc>
          <w:tcPr>
            <w:tcW w:w="1197" w:type="dxa"/>
          </w:tcPr>
          <w:p w14:paraId="0E6F099D" w14:textId="77777777" w:rsidR="004E687C" w:rsidRPr="00502392" w:rsidRDefault="004E687C" w:rsidP="00EE0E23">
            <w:pPr>
              <w:ind w:right="-668"/>
              <w:jc w:val="both"/>
            </w:pPr>
            <w:r w:rsidRPr="00502392">
              <w:t>11</w:t>
            </w:r>
          </w:p>
        </w:tc>
        <w:tc>
          <w:tcPr>
            <w:tcW w:w="1560" w:type="dxa"/>
          </w:tcPr>
          <w:p w14:paraId="54D09670" w14:textId="77777777" w:rsidR="004E687C" w:rsidRPr="00502392" w:rsidRDefault="004E687C" w:rsidP="00EE0E23">
            <w:pPr>
              <w:ind w:right="-668"/>
              <w:jc w:val="both"/>
            </w:pPr>
            <w:r w:rsidRPr="00502392">
              <w:t>1982</w:t>
            </w:r>
          </w:p>
        </w:tc>
        <w:tc>
          <w:tcPr>
            <w:tcW w:w="1417" w:type="dxa"/>
          </w:tcPr>
          <w:p w14:paraId="61282EB0" w14:textId="77777777" w:rsidR="004E687C" w:rsidRPr="00502392" w:rsidRDefault="004E687C" w:rsidP="00EE0E23">
            <w:pPr>
              <w:ind w:right="-668"/>
              <w:jc w:val="both"/>
            </w:pPr>
            <w:r w:rsidRPr="00502392">
              <w:t>1989</w:t>
            </w:r>
          </w:p>
        </w:tc>
      </w:tr>
      <w:tr w:rsidR="004E687C" w14:paraId="76843301" w14:textId="77777777" w:rsidTr="00EE0E23">
        <w:tc>
          <w:tcPr>
            <w:tcW w:w="2628" w:type="dxa"/>
          </w:tcPr>
          <w:p w14:paraId="100EEF35" w14:textId="77777777" w:rsidR="004E687C" w:rsidRPr="00502392" w:rsidRDefault="004E687C" w:rsidP="00EE0E23">
            <w:pPr>
              <w:ind w:right="-668"/>
              <w:jc w:val="both"/>
              <w:rPr>
                <w:b/>
              </w:rPr>
            </w:pPr>
            <w:r w:rsidRPr="00502392">
              <w:rPr>
                <w:b/>
              </w:rPr>
              <w:t>Foum-Gleita</w:t>
            </w:r>
          </w:p>
        </w:tc>
        <w:tc>
          <w:tcPr>
            <w:tcW w:w="1260" w:type="dxa"/>
          </w:tcPr>
          <w:p w14:paraId="27FB8C90" w14:textId="77777777" w:rsidR="004E687C" w:rsidRPr="00502392" w:rsidRDefault="004E687C" w:rsidP="00EE0E23">
            <w:pPr>
              <w:ind w:right="-668"/>
              <w:jc w:val="both"/>
            </w:pPr>
            <w:r w:rsidRPr="00502392">
              <w:t>16°10N</w:t>
            </w:r>
          </w:p>
        </w:tc>
        <w:tc>
          <w:tcPr>
            <w:tcW w:w="1260" w:type="dxa"/>
          </w:tcPr>
          <w:p w14:paraId="784C2EA6" w14:textId="77777777" w:rsidR="004E687C" w:rsidRPr="00502392" w:rsidRDefault="004E687C" w:rsidP="00EE0E23">
            <w:pPr>
              <w:ind w:right="-668"/>
              <w:jc w:val="both"/>
            </w:pPr>
            <w:r w:rsidRPr="00502392">
              <w:t>12°40W</w:t>
            </w:r>
          </w:p>
        </w:tc>
        <w:tc>
          <w:tcPr>
            <w:tcW w:w="1197" w:type="dxa"/>
          </w:tcPr>
          <w:p w14:paraId="1DA69B4E" w14:textId="77777777" w:rsidR="004E687C" w:rsidRPr="00502392" w:rsidRDefault="004E687C" w:rsidP="00EE0E23">
            <w:pPr>
              <w:ind w:right="-668"/>
              <w:jc w:val="both"/>
            </w:pPr>
          </w:p>
        </w:tc>
        <w:tc>
          <w:tcPr>
            <w:tcW w:w="1560" w:type="dxa"/>
          </w:tcPr>
          <w:p w14:paraId="1BA0C2B3" w14:textId="77777777" w:rsidR="004E687C" w:rsidRPr="00502392" w:rsidRDefault="004E687C" w:rsidP="00EE0E23">
            <w:pPr>
              <w:ind w:right="-668"/>
              <w:jc w:val="both"/>
            </w:pPr>
            <w:r w:rsidRPr="00502392">
              <w:t>1976</w:t>
            </w:r>
          </w:p>
        </w:tc>
        <w:tc>
          <w:tcPr>
            <w:tcW w:w="1417" w:type="dxa"/>
          </w:tcPr>
          <w:p w14:paraId="015A0BD2" w14:textId="77777777" w:rsidR="004E687C" w:rsidRPr="00502392" w:rsidRDefault="004E687C" w:rsidP="00EE0E23">
            <w:pPr>
              <w:ind w:right="-668"/>
              <w:jc w:val="both"/>
            </w:pPr>
            <w:r w:rsidRPr="00502392">
              <w:t>1989</w:t>
            </w:r>
          </w:p>
        </w:tc>
      </w:tr>
      <w:tr w:rsidR="004E687C" w14:paraId="703AB89D" w14:textId="77777777" w:rsidTr="00EE0E23">
        <w:tc>
          <w:tcPr>
            <w:tcW w:w="2628" w:type="dxa"/>
          </w:tcPr>
          <w:p w14:paraId="48A5A4A6" w14:textId="77777777" w:rsidR="004E687C" w:rsidRPr="00502392" w:rsidRDefault="004E687C" w:rsidP="00EE0E23">
            <w:pPr>
              <w:ind w:right="-668"/>
              <w:jc w:val="both"/>
              <w:rPr>
                <w:b/>
              </w:rPr>
            </w:pPr>
            <w:r w:rsidRPr="00502392">
              <w:rPr>
                <w:b/>
              </w:rPr>
              <w:t>Kaédi (centre recherche)</w:t>
            </w:r>
          </w:p>
        </w:tc>
        <w:tc>
          <w:tcPr>
            <w:tcW w:w="1260" w:type="dxa"/>
          </w:tcPr>
          <w:p w14:paraId="15AA6047" w14:textId="77777777" w:rsidR="004E687C" w:rsidRPr="00502392" w:rsidRDefault="004E687C" w:rsidP="00EE0E23">
            <w:pPr>
              <w:ind w:right="-668"/>
              <w:jc w:val="both"/>
            </w:pPr>
            <w:r w:rsidRPr="00502392">
              <w:t>16°09N</w:t>
            </w:r>
          </w:p>
        </w:tc>
        <w:tc>
          <w:tcPr>
            <w:tcW w:w="1260" w:type="dxa"/>
          </w:tcPr>
          <w:p w14:paraId="443C53D1" w14:textId="77777777" w:rsidR="004E687C" w:rsidRPr="00502392" w:rsidRDefault="004E687C" w:rsidP="00EE0E23">
            <w:pPr>
              <w:ind w:right="-668"/>
              <w:jc w:val="both"/>
            </w:pPr>
            <w:r w:rsidRPr="00502392">
              <w:t>13°31W</w:t>
            </w:r>
          </w:p>
        </w:tc>
        <w:tc>
          <w:tcPr>
            <w:tcW w:w="1197" w:type="dxa"/>
          </w:tcPr>
          <w:p w14:paraId="59685277" w14:textId="77777777" w:rsidR="004E687C" w:rsidRPr="00502392" w:rsidRDefault="004E687C" w:rsidP="00EE0E23">
            <w:pPr>
              <w:ind w:right="-668"/>
              <w:jc w:val="both"/>
            </w:pPr>
            <w:smartTag w:uri="urn:schemas-microsoft-com:office:smarttags" w:element="metricconverter">
              <w:smartTagPr>
                <w:attr w:name="ProductID" w:val="18 m"/>
              </w:smartTagPr>
              <w:r w:rsidRPr="00502392">
                <w:t>18 m</w:t>
              </w:r>
            </w:smartTag>
          </w:p>
        </w:tc>
        <w:tc>
          <w:tcPr>
            <w:tcW w:w="1560" w:type="dxa"/>
          </w:tcPr>
          <w:p w14:paraId="12307B65" w14:textId="77777777" w:rsidR="004E687C" w:rsidRPr="00502392" w:rsidRDefault="004E687C" w:rsidP="00EE0E23">
            <w:pPr>
              <w:ind w:right="-668"/>
              <w:jc w:val="both"/>
            </w:pPr>
            <w:r w:rsidRPr="00502392">
              <w:t>1980</w:t>
            </w:r>
          </w:p>
        </w:tc>
        <w:tc>
          <w:tcPr>
            <w:tcW w:w="1417" w:type="dxa"/>
          </w:tcPr>
          <w:p w14:paraId="68FA9533" w14:textId="77777777" w:rsidR="004E687C" w:rsidRPr="00502392" w:rsidRDefault="004E687C" w:rsidP="00EE0E23">
            <w:pPr>
              <w:ind w:right="-668"/>
              <w:jc w:val="both"/>
            </w:pPr>
            <w:r w:rsidRPr="00502392">
              <w:t>1989</w:t>
            </w:r>
          </w:p>
        </w:tc>
      </w:tr>
      <w:tr w:rsidR="004E687C" w14:paraId="693C91FF" w14:textId="77777777" w:rsidTr="00EE0E23">
        <w:tc>
          <w:tcPr>
            <w:tcW w:w="2628" w:type="dxa"/>
          </w:tcPr>
          <w:p w14:paraId="17C95F3E" w14:textId="77777777" w:rsidR="004E687C" w:rsidRPr="00502392" w:rsidRDefault="004E687C" w:rsidP="00EE0E23">
            <w:pPr>
              <w:ind w:right="-668"/>
              <w:jc w:val="both"/>
              <w:rPr>
                <w:b/>
              </w:rPr>
            </w:pPr>
            <w:r w:rsidRPr="00502392">
              <w:rPr>
                <w:b/>
              </w:rPr>
              <w:t>Kankossa</w:t>
            </w:r>
          </w:p>
        </w:tc>
        <w:tc>
          <w:tcPr>
            <w:tcW w:w="1260" w:type="dxa"/>
          </w:tcPr>
          <w:p w14:paraId="235778E9" w14:textId="77777777" w:rsidR="004E687C" w:rsidRPr="00502392" w:rsidRDefault="004E687C" w:rsidP="00EE0E23">
            <w:pPr>
              <w:ind w:right="-668"/>
              <w:jc w:val="both"/>
            </w:pPr>
            <w:r w:rsidRPr="00502392">
              <w:t>15°57N</w:t>
            </w:r>
          </w:p>
        </w:tc>
        <w:tc>
          <w:tcPr>
            <w:tcW w:w="1260" w:type="dxa"/>
          </w:tcPr>
          <w:p w14:paraId="6DC63CA3" w14:textId="77777777" w:rsidR="004E687C" w:rsidRPr="00502392" w:rsidRDefault="004E687C" w:rsidP="00EE0E23">
            <w:pPr>
              <w:ind w:right="-668"/>
              <w:jc w:val="both"/>
            </w:pPr>
            <w:r w:rsidRPr="00502392">
              <w:t>11°30W</w:t>
            </w:r>
          </w:p>
        </w:tc>
        <w:tc>
          <w:tcPr>
            <w:tcW w:w="1197" w:type="dxa"/>
          </w:tcPr>
          <w:p w14:paraId="691129AE" w14:textId="77777777" w:rsidR="004E687C" w:rsidRPr="00502392" w:rsidRDefault="004E687C" w:rsidP="00EE0E23">
            <w:pPr>
              <w:ind w:right="-668"/>
              <w:jc w:val="both"/>
            </w:pPr>
            <w:smartTag w:uri="urn:schemas-microsoft-com:office:smarttags" w:element="metricconverter">
              <w:smartTagPr>
                <w:attr w:name="ProductID" w:val="70 m"/>
              </w:smartTagPr>
              <w:r w:rsidRPr="00502392">
                <w:t>70 m</w:t>
              </w:r>
            </w:smartTag>
          </w:p>
        </w:tc>
        <w:tc>
          <w:tcPr>
            <w:tcW w:w="1560" w:type="dxa"/>
          </w:tcPr>
          <w:p w14:paraId="5278EAC7" w14:textId="77777777" w:rsidR="004E687C" w:rsidRPr="00502392" w:rsidRDefault="004E687C" w:rsidP="00EE0E23">
            <w:pPr>
              <w:ind w:right="-668"/>
              <w:jc w:val="both"/>
            </w:pPr>
            <w:r w:rsidRPr="00502392">
              <w:t>1084</w:t>
            </w:r>
          </w:p>
        </w:tc>
        <w:tc>
          <w:tcPr>
            <w:tcW w:w="1417" w:type="dxa"/>
          </w:tcPr>
          <w:p w14:paraId="03D3A3B9" w14:textId="77777777" w:rsidR="004E687C" w:rsidRPr="00502392" w:rsidRDefault="004E687C" w:rsidP="00EE0E23">
            <w:pPr>
              <w:ind w:right="-668"/>
              <w:jc w:val="both"/>
            </w:pPr>
            <w:r w:rsidRPr="00502392">
              <w:t>1989</w:t>
            </w:r>
          </w:p>
        </w:tc>
      </w:tr>
      <w:tr w:rsidR="004E687C" w14:paraId="5E7931E8" w14:textId="77777777" w:rsidTr="00EE0E23">
        <w:tc>
          <w:tcPr>
            <w:tcW w:w="2628" w:type="dxa"/>
          </w:tcPr>
          <w:p w14:paraId="53B9E0C4" w14:textId="77777777" w:rsidR="004E687C" w:rsidRPr="00502392" w:rsidRDefault="004E687C" w:rsidP="00EE0E23">
            <w:pPr>
              <w:ind w:right="-668"/>
              <w:jc w:val="both"/>
              <w:rPr>
                <w:b/>
              </w:rPr>
            </w:pPr>
            <w:r w:rsidRPr="00502392">
              <w:rPr>
                <w:b/>
              </w:rPr>
              <w:t>Keu</w:t>
            </w:r>
            <w:r>
              <w:rPr>
                <w:b/>
              </w:rPr>
              <w:t xml:space="preserve">r </w:t>
            </w:r>
            <w:r w:rsidRPr="00502392">
              <w:rPr>
                <w:b/>
              </w:rPr>
              <w:t>Mac</w:t>
            </w:r>
            <w:r>
              <w:rPr>
                <w:b/>
              </w:rPr>
              <w:t>è</w:t>
            </w:r>
            <w:r w:rsidRPr="00502392">
              <w:rPr>
                <w:b/>
              </w:rPr>
              <w:t>ne</w:t>
            </w:r>
          </w:p>
        </w:tc>
        <w:tc>
          <w:tcPr>
            <w:tcW w:w="1260" w:type="dxa"/>
          </w:tcPr>
          <w:p w14:paraId="1CF0A615" w14:textId="77777777" w:rsidR="004E687C" w:rsidRPr="00502392" w:rsidRDefault="004E687C" w:rsidP="00EE0E23">
            <w:pPr>
              <w:ind w:right="-668"/>
              <w:jc w:val="both"/>
            </w:pPr>
            <w:r w:rsidRPr="00502392">
              <w:t>16°33N</w:t>
            </w:r>
          </w:p>
        </w:tc>
        <w:tc>
          <w:tcPr>
            <w:tcW w:w="1260" w:type="dxa"/>
          </w:tcPr>
          <w:p w14:paraId="5720362A" w14:textId="77777777" w:rsidR="004E687C" w:rsidRPr="00502392" w:rsidRDefault="004E687C" w:rsidP="00EE0E23">
            <w:pPr>
              <w:ind w:right="-668"/>
              <w:jc w:val="both"/>
            </w:pPr>
            <w:r w:rsidRPr="00502392">
              <w:t>16°14W</w:t>
            </w:r>
          </w:p>
        </w:tc>
        <w:tc>
          <w:tcPr>
            <w:tcW w:w="1197" w:type="dxa"/>
          </w:tcPr>
          <w:p w14:paraId="09CACE7D" w14:textId="77777777" w:rsidR="004E687C" w:rsidRPr="00502392" w:rsidRDefault="004E687C" w:rsidP="00EE0E23">
            <w:pPr>
              <w:ind w:right="-668"/>
              <w:jc w:val="both"/>
            </w:pPr>
          </w:p>
        </w:tc>
        <w:tc>
          <w:tcPr>
            <w:tcW w:w="1560" w:type="dxa"/>
          </w:tcPr>
          <w:p w14:paraId="44605419" w14:textId="77777777" w:rsidR="004E687C" w:rsidRPr="00502392" w:rsidRDefault="004E687C" w:rsidP="00EE0E23">
            <w:pPr>
              <w:ind w:right="-668"/>
              <w:jc w:val="both"/>
            </w:pPr>
            <w:r w:rsidRPr="00502392">
              <w:t>1977</w:t>
            </w:r>
          </w:p>
        </w:tc>
        <w:tc>
          <w:tcPr>
            <w:tcW w:w="1417" w:type="dxa"/>
          </w:tcPr>
          <w:p w14:paraId="3E870FE2" w14:textId="77777777" w:rsidR="004E687C" w:rsidRPr="00502392" w:rsidRDefault="004E687C" w:rsidP="00EE0E23">
            <w:pPr>
              <w:ind w:right="-668"/>
              <w:jc w:val="both"/>
            </w:pPr>
            <w:r w:rsidRPr="00502392">
              <w:t>1989</w:t>
            </w:r>
          </w:p>
        </w:tc>
      </w:tr>
      <w:tr w:rsidR="004E687C" w14:paraId="5452E42C" w14:textId="77777777" w:rsidTr="00EE0E23">
        <w:tc>
          <w:tcPr>
            <w:tcW w:w="2628" w:type="dxa"/>
          </w:tcPr>
          <w:p w14:paraId="6A7C8531" w14:textId="77777777" w:rsidR="004E687C" w:rsidRPr="00502392" w:rsidRDefault="004E687C" w:rsidP="00EE0E23">
            <w:pPr>
              <w:ind w:right="-668"/>
              <w:jc w:val="both"/>
              <w:rPr>
                <w:b/>
              </w:rPr>
            </w:pPr>
            <w:r w:rsidRPr="00502392">
              <w:rPr>
                <w:b/>
              </w:rPr>
              <w:t>M'bout</w:t>
            </w:r>
          </w:p>
        </w:tc>
        <w:tc>
          <w:tcPr>
            <w:tcW w:w="1260" w:type="dxa"/>
          </w:tcPr>
          <w:p w14:paraId="460EA8EE" w14:textId="77777777" w:rsidR="004E687C" w:rsidRPr="00502392" w:rsidRDefault="004E687C" w:rsidP="00EE0E23">
            <w:pPr>
              <w:ind w:right="-668"/>
              <w:jc w:val="both"/>
            </w:pPr>
            <w:r w:rsidRPr="00502392">
              <w:t>16°02N</w:t>
            </w:r>
          </w:p>
        </w:tc>
        <w:tc>
          <w:tcPr>
            <w:tcW w:w="1260" w:type="dxa"/>
          </w:tcPr>
          <w:p w14:paraId="3B737D2A" w14:textId="77777777" w:rsidR="004E687C" w:rsidRPr="00502392" w:rsidRDefault="004E687C" w:rsidP="00EE0E23">
            <w:pPr>
              <w:ind w:right="-668"/>
              <w:jc w:val="both"/>
            </w:pPr>
            <w:r w:rsidRPr="00502392">
              <w:t>12°37W</w:t>
            </w:r>
          </w:p>
        </w:tc>
        <w:tc>
          <w:tcPr>
            <w:tcW w:w="1197" w:type="dxa"/>
          </w:tcPr>
          <w:p w14:paraId="589591C4" w14:textId="77777777" w:rsidR="004E687C" w:rsidRPr="00502392" w:rsidRDefault="004E687C" w:rsidP="00EE0E23">
            <w:pPr>
              <w:ind w:right="-668"/>
              <w:jc w:val="both"/>
            </w:pPr>
            <w:smartTag w:uri="urn:schemas-microsoft-com:office:smarttags" w:element="metricconverter">
              <w:smartTagPr>
                <w:attr w:name="ProductID" w:val="44 m"/>
              </w:smartTagPr>
              <w:r w:rsidRPr="00502392">
                <w:t>44 m</w:t>
              </w:r>
            </w:smartTag>
          </w:p>
        </w:tc>
        <w:tc>
          <w:tcPr>
            <w:tcW w:w="1560" w:type="dxa"/>
          </w:tcPr>
          <w:p w14:paraId="7D06006A" w14:textId="77777777" w:rsidR="004E687C" w:rsidRPr="00502392" w:rsidRDefault="004E687C" w:rsidP="00EE0E23">
            <w:pPr>
              <w:ind w:right="-668"/>
              <w:jc w:val="both"/>
            </w:pPr>
            <w:r w:rsidRPr="00502392">
              <w:t>1984</w:t>
            </w:r>
          </w:p>
        </w:tc>
        <w:tc>
          <w:tcPr>
            <w:tcW w:w="1417" w:type="dxa"/>
          </w:tcPr>
          <w:p w14:paraId="6A4AD825" w14:textId="77777777" w:rsidR="004E687C" w:rsidRPr="00502392" w:rsidRDefault="004E687C" w:rsidP="00EE0E23">
            <w:pPr>
              <w:ind w:right="-668"/>
              <w:jc w:val="both"/>
            </w:pPr>
            <w:r w:rsidRPr="00502392">
              <w:t>1989</w:t>
            </w:r>
          </w:p>
        </w:tc>
      </w:tr>
      <w:tr w:rsidR="004E687C" w14:paraId="7CA7B14F" w14:textId="77777777" w:rsidTr="00EE0E23">
        <w:tc>
          <w:tcPr>
            <w:tcW w:w="2628" w:type="dxa"/>
          </w:tcPr>
          <w:p w14:paraId="0B0858EF" w14:textId="77777777" w:rsidR="004E687C" w:rsidRPr="00502392" w:rsidRDefault="004E687C" w:rsidP="00EE0E23">
            <w:pPr>
              <w:ind w:right="-668"/>
              <w:jc w:val="both"/>
              <w:rPr>
                <w:b/>
              </w:rPr>
            </w:pPr>
            <w:r w:rsidRPr="00502392">
              <w:rPr>
                <w:b/>
              </w:rPr>
              <w:t>N'</w:t>
            </w:r>
            <w:r>
              <w:rPr>
                <w:b/>
              </w:rPr>
              <w:t>B</w:t>
            </w:r>
            <w:r w:rsidRPr="00502392">
              <w:rPr>
                <w:b/>
              </w:rPr>
              <w:t>eika</w:t>
            </w:r>
          </w:p>
        </w:tc>
        <w:tc>
          <w:tcPr>
            <w:tcW w:w="1260" w:type="dxa"/>
          </w:tcPr>
          <w:p w14:paraId="5A488058" w14:textId="77777777" w:rsidR="004E687C" w:rsidRPr="00502392" w:rsidRDefault="004E687C" w:rsidP="00EE0E23">
            <w:pPr>
              <w:ind w:right="-668"/>
              <w:jc w:val="both"/>
            </w:pPr>
            <w:r w:rsidRPr="00502392">
              <w:t>17°59N</w:t>
            </w:r>
          </w:p>
        </w:tc>
        <w:tc>
          <w:tcPr>
            <w:tcW w:w="1260" w:type="dxa"/>
          </w:tcPr>
          <w:p w14:paraId="2A70A0AA" w14:textId="77777777" w:rsidR="004E687C" w:rsidRPr="00502392" w:rsidRDefault="004E687C" w:rsidP="00EE0E23">
            <w:pPr>
              <w:ind w:right="-668"/>
              <w:jc w:val="both"/>
            </w:pPr>
            <w:r w:rsidRPr="00502392">
              <w:t>12°16W</w:t>
            </w:r>
          </w:p>
        </w:tc>
        <w:tc>
          <w:tcPr>
            <w:tcW w:w="1197" w:type="dxa"/>
          </w:tcPr>
          <w:p w14:paraId="3DD0546D" w14:textId="77777777" w:rsidR="004E687C" w:rsidRPr="00502392" w:rsidRDefault="004E687C" w:rsidP="00EE0E23">
            <w:pPr>
              <w:ind w:right="-668"/>
              <w:jc w:val="both"/>
            </w:pPr>
          </w:p>
        </w:tc>
        <w:tc>
          <w:tcPr>
            <w:tcW w:w="1560" w:type="dxa"/>
          </w:tcPr>
          <w:p w14:paraId="7C43BC0D" w14:textId="77777777" w:rsidR="004E687C" w:rsidRPr="00502392" w:rsidRDefault="004E687C" w:rsidP="00EE0E23">
            <w:pPr>
              <w:ind w:right="-668"/>
              <w:jc w:val="both"/>
            </w:pPr>
            <w:r w:rsidRPr="00502392">
              <w:t>1979</w:t>
            </w:r>
          </w:p>
        </w:tc>
        <w:tc>
          <w:tcPr>
            <w:tcW w:w="1417" w:type="dxa"/>
          </w:tcPr>
          <w:p w14:paraId="4D92327D" w14:textId="77777777" w:rsidR="004E687C" w:rsidRPr="00502392" w:rsidRDefault="004E687C" w:rsidP="00EE0E23">
            <w:pPr>
              <w:ind w:right="-668"/>
              <w:jc w:val="both"/>
            </w:pPr>
            <w:r w:rsidRPr="00502392">
              <w:t>1989</w:t>
            </w:r>
          </w:p>
        </w:tc>
      </w:tr>
    </w:tbl>
    <w:p w14:paraId="484A23FA" w14:textId="77777777" w:rsidR="004E687C" w:rsidRPr="00502392" w:rsidRDefault="004E687C" w:rsidP="004E687C">
      <w:pPr>
        <w:ind w:right="-668"/>
        <w:jc w:val="both"/>
        <w:rPr>
          <w:sz w:val="16"/>
          <w:szCs w:val="16"/>
        </w:rPr>
      </w:pPr>
      <w:r w:rsidRPr="00502392">
        <w:rPr>
          <w:sz w:val="16"/>
          <w:szCs w:val="16"/>
        </w:rPr>
        <w:t>Source : AGRHYMET</w:t>
      </w:r>
    </w:p>
    <w:p w14:paraId="5F530675" w14:textId="77777777" w:rsidR="004E687C" w:rsidRPr="0059113C" w:rsidRDefault="004E687C" w:rsidP="004E687C">
      <w:pPr>
        <w:pStyle w:val="Titre2"/>
        <w:numPr>
          <w:ilvl w:val="0"/>
          <w:numId w:val="186"/>
        </w:numPr>
        <w:tabs>
          <w:tab w:val="clear" w:pos="1357"/>
          <w:tab w:val="num" w:pos="709"/>
        </w:tabs>
        <w:ind w:left="709" w:hanging="709"/>
        <w:jc w:val="both"/>
        <w:rPr>
          <w:i/>
          <w:iCs/>
        </w:rPr>
      </w:pPr>
      <w:bookmarkStart w:id="551" w:name="_Toc45784502"/>
      <w:bookmarkStart w:id="552" w:name="_Toc46399654"/>
      <w:bookmarkStart w:id="553" w:name="_Toc46407302"/>
      <w:bookmarkStart w:id="554" w:name="_Toc46413876"/>
      <w:bookmarkStart w:id="555" w:name="_Toc46417092"/>
      <w:bookmarkStart w:id="556" w:name="_Toc46417299"/>
      <w:bookmarkStart w:id="557" w:name="_Toc46417697"/>
      <w:bookmarkStart w:id="558" w:name="_Toc46418027"/>
      <w:bookmarkStart w:id="559" w:name="_Toc46418101"/>
      <w:bookmarkStart w:id="560" w:name="_Toc46418307"/>
      <w:bookmarkStart w:id="561" w:name="_Toc46422451"/>
      <w:bookmarkStart w:id="562" w:name="_Toc46430547"/>
      <w:bookmarkStart w:id="563" w:name="_Toc192820595"/>
      <w:bookmarkStart w:id="564" w:name="_Toc192821016"/>
      <w:bookmarkStart w:id="565" w:name="_Toc192821145"/>
      <w:bookmarkStart w:id="566" w:name="_Toc343596111"/>
      <w:bookmarkStart w:id="567" w:name="_Toc191284974"/>
      <w:r w:rsidRPr="0059113C">
        <w:t>Les postes pluviométriques</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14:paraId="0F2BB224" w14:textId="77777777" w:rsidR="004E687C" w:rsidRPr="004A7F3A" w:rsidRDefault="004E687C" w:rsidP="004E687C">
      <w:pPr>
        <w:pStyle w:val="NormalWeb"/>
        <w:jc w:val="both"/>
        <w:rPr>
          <w:color w:val="000000"/>
        </w:rPr>
      </w:pPr>
      <w:r w:rsidRPr="004A7F3A">
        <w:rPr>
          <w:color w:val="000000"/>
        </w:rPr>
        <w:t xml:space="preserve">Le nombre des stations pluviométriques dépasse actuellement quatre-vingt stations dont la gestion est partagée entre l’AGRHYMET qui fournit le matériel et assure la formation et le contrôle de la fonctionnalité et </w:t>
      </w:r>
      <w:smartTag w:uri="urn:schemas-microsoft-com:office:smarttags" w:element="PersonName">
        <w:smartTagPr>
          <w:attr w:name="ProductID" w:val="la DATAR"/>
        </w:smartTagPr>
        <w:r w:rsidRPr="004A7F3A">
          <w:rPr>
            <w:color w:val="000000"/>
          </w:rPr>
          <w:t>la DATAR</w:t>
        </w:r>
      </w:smartTag>
      <w:r w:rsidRPr="004A7F3A">
        <w:rPr>
          <w:color w:val="000000"/>
        </w:rPr>
        <w:t xml:space="preserve"> qui met à disposition le personnel et reçoit à travers son réseau de </w:t>
      </w:r>
      <w:r>
        <w:rPr>
          <w:color w:val="000000"/>
        </w:rPr>
        <w:t>communication</w:t>
      </w:r>
      <w:r w:rsidRPr="004A7F3A">
        <w:rPr>
          <w:color w:val="000000"/>
        </w:rPr>
        <w:t xml:space="preserve"> sans fils (RAC) les informations des observateurs.</w:t>
      </w:r>
    </w:p>
    <w:p w14:paraId="1A5DB751" w14:textId="77777777" w:rsidR="004E687C" w:rsidRPr="0059113C" w:rsidRDefault="004E687C" w:rsidP="004E687C">
      <w:pPr>
        <w:pStyle w:val="Titre2"/>
        <w:numPr>
          <w:ilvl w:val="0"/>
          <w:numId w:val="186"/>
        </w:numPr>
        <w:tabs>
          <w:tab w:val="clear" w:pos="1357"/>
          <w:tab w:val="num" w:pos="709"/>
        </w:tabs>
        <w:ind w:left="709" w:hanging="709"/>
        <w:jc w:val="both"/>
        <w:rPr>
          <w:i/>
          <w:iCs/>
        </w:rPr>
      </w:pPr>
      <w:bookmarkStart w:id="568" w:name="_Toc192820596"/>
      <w:bookmarkStart w:id="569" w:name="_Toc192821017"/>
      <w:bookmarkStart w:id="570" w:name="_Toc192821146"/>
      <w:bookmarkStart w:id="571" w:name="_Toc343596112"/>
      <w:bookmarkStart w:id="572" w:name="_Toc191284975"/>
      <w:r w:rsidRPr="0059113C">
        <w:t>Les postes pluviométriques fiables de longues séries</w:t>
      </w:r>
      <w:bookmarkEnd w:id="568"/>
      <w:bookmarkEnd w:id="569"/>
      <w:bookmarkEnd w:id="570"/>
      <w:bookmarkEnd w:id="571"/>
      <w:bookmarkEnd w:id="572"/>
    </w:p>
    <w:p w14:paraId="184E66A9" w14:textId="77777777" w:rsidR="004E687C" w:rsidRPr="004A7F3A" w:rsidRDefault="004E687C" w:rsidP="004E687C">
      <w:pPr>
        <w:pStyle w:val="NormalWeb"/>
        <w:jc w:val="both"/>
        <w:rPr>
          <w:color w:val="000000"/>
        </w:rPr>
      </w:pPr>
      <w:r w:rsidRPr="004A7F3A">
        <w:rPr>
          <w:color w:val="000000"/>
        </w:rPr>
        <w:t>Soixante-douze postes pluviométriques sont considérés</w:t>
      </w:r>
      <w:r>
        <w:rPr>
          <w:color w:val="000000"/>
        </w:rPr>
        <w:t xml:space="preserve"> comme</w:t>
      </w:r>
      <w:r w:rsidRPr="004A7F3A">
        <w:rPr>
          <w:color w:val="000000"/>
        </w:rPr>
        <w:t xml:space="preserve"> fiables (tableau 6) par l’</w:t>
      </w:r>
      <w:r>
        <w:rPr>
          <w:color w:val="000000"/>
        </w:rPr>
        <w:t>ONM</w:t>
      </w:r>
      <w:r w:rsidRPr="004A7F3A">
        <w:rPr>
          <w:color w:val="000000"/>
        </w:rPr>
        <w:t>, treize de ces postes sont dans les stations synoptiques et les autres sont placés près des locaux administratifs. Les stations climatiques se transforment en poste pluviométrique en cas d’arrêt de l’observation climatique.</w:t>
      </w:r>
    </w:p>
    <w:p w14:paraId="12C518C5" w14:textId="77777777" w:rsidR="004E687C" w:rsidRPr="004A7F3A" w:rsidRDefault="004E687C" w:rsidP="004E687C">
      <w:pPr>
        <w:pStyle w:val="NormalWeb"/>
        <w:jc w:val="both"/>
        <w:rPr>
          <w:color w:val="000000"/>
        </w:rPr>
      </w:pPr>
      <w:r w:rsidRPr="004A7F3A">
        <w:rPr>
          <w:color w:val="000000"/>
        </w:rPr>
        <w:t xml:space="preserve">Seule 25 postes pluviométriques ont des longues séries satisfaisante pour décrire l’évolution des pluies durant le 20ème siècle (tableau xx ) </w:t>
      </w:r>
    </w:p>
    <w:p w14:paraId="2E53F9F6" w14:textId="77777777" w:rsidR="004E687C" w:rsidRPr="00502392" w:rsidRDefault="004E687C" w:rsidP="004E687C">
      <w:pPr>
        <w:pStyle w:val="NormalWeb"/>
        <w:spacing w:after="0" w:afterAutospacing="0"/>
        <w:jc w:val="both"/>
        <w:rPr>
          <w:color w:val="000000"/>
          <w:sz w:val="19"/>
          <w:szCs w:val="19"/>
        </w:rPr>
      </w:pPr>
      <w:r w:rsidRPr="00502392">
        <w:rPr>
          <w:color w:val="000000"/>
          <w:sz w:val="19"/>
          <w:szCs w:val="19"/>
        </w:rPr>
        <w:t xml:space="preserve">Tableau </w:t>
      </w:r>
      <w:r>
        <w:rPr>
          <w:color w:val="000000"/>
          <w:sz w:val="19"/>
          <w:szCs w:val="19"/>
        </w:rPr>
        <w:t>5</w:t>
      </w:r>
      <w:r w:rsidRPr="00502392">
        <w:rPr>
          <w:color w:val="000000"/>
          <w:sz w:val="19"/>
          <w:szCs w:val="19"/>
        </w:rPr>
        <w:t xml:space="preserve"> - postes pluviométriques fiables</w:t>
      </w:r>
    </w:p>
    <w:tbl>
      <w:tblPr>
        <w:tblW w:w="86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800"/>
        <w:gridCol w:w="1080"/>
        <w:gridCol w:w="975"/>
        <w:gridCol w:w="1134"/>
        <w:gridCol w:w="1352"/>
        <w:gridCol w:w="1803"/>
      </w:tblGrid>
      <w:tr w:rsidR="004E687C" w14:paraId="3C66216F" w14:textId="77777777" w:rsidTr="00EE0E23">
        <w:tc>
          <w:tcPr>
            <w:tcW w:w="540" w:type="dxa"/>
          </w:tcPr>
          <w:p w14:paraId="66A91547" w14:textId="77777777" w:rsidR="004E687C" w:rsidRPr="008C4BEB" w:rsidRDefault="004E687C" w:rsidP="00EE0E23">
            <w:pPr>
              <w:ind w:right="-668"/>
              <w:jc w:val="both"/>
              <w:rPr>
                <w:b/>
              </w:rPr>
            </w:pPr>
            <w:r>
              <w:rPr>
                <w:b/>
              </w:rPr>
              <w:t>N°</w:t>
            </w:r>
          </w:p>
        </w:tc>
        <w:tc>
          <w:tcPr>
            <w:tcW w:w="1800" w:type="dxa"/>
          </w:tcPr>
          <w:p w14:paraId="7FA2267F" w14:textId="77777777" w:rsidR="004E687C" w:rsidRPr="008C4BEB" w:rsidRDefault="004E687C" w:rsidP="00EE0E23">
            <w:pPr>
              <w:ind w:right="-668"/>
              <w:jc w:val="both"/>
              <w:rPr>
                <w:b/>
              </w:rPr>
            </w:pPr>
            <w:r w:rsidRPr="008C4BEB">
              <w:rPr>
                <w:b/>
              </w:rPr>
              <w:t xml:space="preserve">Stations </w:t>
            </w:r>
            <w:r w:rsidRPr="008C4BEB">
              <w:rPr>
                <w:b/>
              </w:rPr>
              <w:tab/>
            </w:r>
          </w:p>
        </w:tc>
        <w:tc>
          <w:tcPr>
            <w:tcW w:w="1080" w:type="dxa"/>
          </w:tcPr>
          <w:p w14:paraId="0AABD0F3" w14:textId="77777777" w:rsidR="004E687C" w:rsidRPr="008C4BEB" w:rsidRDefault="004E687C" w:rsidP="00EE0E23">
            <w:pPr>
              <w:ind w:right="-668"/>
              <w:jc w:val="both"/>
              <w:rPr>
                <w:b/>
              </w:rPr>
            </w:pPr>
            <w:r w:rsidRPr="008C4BEB">
              <w:rPr>
                <w:b/>
              </w:rPr>
              <w:t xml:space="preserve">Latitude </w:t>
            </w:r>
          </w:p>
        </w:tc>
        <w:tc>
          <w:tcPr>
            <w:tcW w:w="975" w:type="dxa"/>
          </w:tcPr>
          <w:p w14:paraId="7C7BA2A9" w14:textId="77777777" w:rsidR="004E687C" w:rsidRPr="008C4BEB" w:rsidRDefault="004E687C" w:rsidP="00EE0E23">
            <w:pPr>
              <w:ind w:right="-668"/>
              <w:jc w:val="both"/>
              <w:rPr>
                <w:b/>
              </w:rPr>
            </w:pPr>
            <w:r w:rsidRPr="008C4BEB">
              <w:rPr>
                <w:b/>
              </w:rPr>
              <w:t xml:space="preserve">Longitude </w:t>
            </w:r>
          </w:p>
        </w:tc>
        <w:tc>
          <w:tcPr>
            <w:tcW w:w="1134" w:type="dxa"/>
          </w:tcPr>
          <w:p w14:paraId="2E1C29ED" w14:textId="77777777" w:rsidR="004E687C" w:rsidRPr="008C4BEB" w:rsidRDefault="004E687C" w:rsidP="00EE0E23">
            <w:pPr>
              <w:ind w:right="-668"/>
              <w:jc w:val="both"/>
              <w:rPr>
                <w:b/>
              </w:rPr>
            </w:pPr>
            <w:r w:rsidRPr="008C4BEB">
              <w:rPr>
                <w:b/>
              </w:rPr>
              <w:t xml:space="preserve">Altitude </w:t>
            </w:r>
          </w:p>
        </w:tc>
        <w:tc>
          <w:tcPr>
            <w:tcW w:w="1352" w:type="dxa"/>
          </w:tcPr>
          <w:p w14:paraId="09813EBF" w14:textId="77777777" w:rsidR="004E687C" w:rsidRPr="008C4BEB" w:rsidRDefault="004E687C" w:rsidP="00EE0E23">
            <w:pPr>
              <w:ind w:right="-668"/>
              <w:jc w:val="both"/>
              <w:rPr>
                <w:b/>
              </w:rPr>
            </w:pPr>
            <w:r w:rsidRPr="008C4BEB">
              <w:rPr>
                <w:b/>
              </w:rPr>
              <w:t xml:space="preserve">Ouverture </w:t>
            </w:r>
          </w:p>
        </w:tc>
        <w:tc>
          <w:tcPr>
            <w:tcW w:w="1803" w:type="dxa"/>
          </w:tcPr>
          <w:p w14:paraId="3E50CA1A" w14:textId="77777777" w:rsidR="004E687C" w:rsidRPr="008C4BEB" w:rsidRDefault="004E687C" w:rsidP="00EE0E23">
            <w:pPr>
              <w:ind w:right="-668"/>
              <w:jc w:val="both"/>
              <w:rPr>
                <w:b/>
              </w:rPr>
            </w:pPr>
            <w:r w:rsidRPr="008C4BEB">
              <w:rPr>
                <w:b/>
              </w:rPr>
              <w:t xml:space="preserve">Gérant </w:t>
            </w:r>
          </w:p>
        </w:tc>
      </w:tr>
      <w:tr w:rsidR="004E687C" w14:paraId="30762E02" w14:textId="77777777" w:rsidTr="00EE0E23">
        <w:tc>
          <w:tcPr>
            <w:tcW w:w="540" w:type="dxa"/>
          </w:tcPr>
          <w:p w14:paraId="351D7EEF" w14:textId="77777777" w:rsidR="004E687C" w:rsidRPr="008C4BEB" w:rsidRDefault="004E687C" w:rsidP="00EE0E23">
            <w:pPr>
              <w:ind w:right="-668"/>
              <w:jc w:val="both"/>
              <w:rPr>
                <w:b/>
              </w:rPr>
            </w:pPr>
            <w:r>
              <w:rPr>
                <w:b/>
              </w:rPr>
              <w:t>1</w:t>
            </w:r>
          </w:p>
        </w:tc>
        <w:tc>
          <w:tcPr>
            <w:tcW w:w="1800" w:type="dxa"/>
          </w:tcPr>
          <w:p w14:paraId="479B67F9" w14:textId="77777777" w:rsidR="004E687C" w:rsidRPr="008C4BEB" w:rsidRDefault="004E687C" w:rsidP="00EE0E23">
            <w:pPr>
              <w:ind w:right="-668"/>
              <w:jc w:val="both"/>
              <w:rPr>
                <w:b/>
              </w:rPr>
            </w:pPr>
            <w:r w:rsidRPr="008C4BEB">
              <w:rPr>
                <w:b/>
              </w:rPr>
              <w:t xml:space="preserve">Aioun el </w:t>
            </w:r>
            <w:proofErr w:type="spellStart"/>
            <w:r w:rsidRPr="008C4BEB">
              <w:rPr>
                <w:b/>
              </w:rPr>
              <w:t>Atrouss</w:t>
            </w:r>
            <w:proofErr w:type="spellEnd"/>
          </w:p>
        </w:tc>
        <w:tc>
          <w:tcPr>
            <w:tcW w:w="1080" w:type="dxa"/>
          </w:tcPr>
          <w:p w14:paraId="2FF08A6F" w14:textId="77777777" w:rsidR="004E687C" w:rsidRPr="008C4BEB" w:rsidRDefault="004E687C" w:rsidP="00EE0E23">
            <w:pPr>
              <w:ind w:right="-668"/>
              <w:jc w:val="both"/>
            </w:pPr>
            <w:r w:rsidRPr="008C4BEB">
              <w:t>16°42N</w:t>
            </w:r>
          </w:p>
        </w:tc>
        <w:tc>
          <w:tcPr>
            <w:tcW w:w="975" w:type="dxa"/>
          </w:tcPr>
          <w:p w14:paraId="39FB8909" w14:textId="77777777" w:rsidR="004E687C" w:rsidRPr="008C4BEB" w:rsidRDefault="004E687C" w:rsidP="00EE0E23">
            <w:pPr>
              <w:ind w:right="-668"/>
              <w:jc w:val="both"/>
            </w:pPr>
            <w:r w:rsidRPr="008C4BEB">
              <w:t>09°36W</w:t>
            </w:r>
          </w:p>
        </w:tc>
        <w:tc>
          <w:tcPr>
            <w:tcW w:w="1134" w:type="dxa"/>
          </w:tcPr>
          <w:p w14:paraId="01C4E767" w14:textId="77777777" w:rsidR="004E687C" w:rsidRPr="008C4BEB" w:rsidRDefault="004E687C" w:rsidP="00EE0E23">
            <w:pPr>
              <w:ind w:right="-668"/>
              <w:jc w:val="both"/>
            </w:pPr>
            <w:r w:rsidRPr="008C4BEB">
              <w:t>233</w:t>
            </w:r>
          </w:p>
        </w:tc>
        <w:tc>
          <w:tcPr>
            <w:tcW w:w="1352" w:type="dxa"/>
          </w:tcPr>
          <w:p w14:paraId="79EE18AE" w14:textId="77777777" w:rsidR="004E687C" w:rsidRPr="008C4BEB" w:rsidRDefault="004E687C" w:rsidP="00EE0E23">
            <w:pPr>
              <w:ind w:right="-668"/>
              <w:jc w:val="both"/>
            </w:pPr>
            <w:r w:rsidRPr="008C4BEB">
              <w:t>1946</w:t>
            </w:r>
          </w:p>
        </w:tc>
        <w:tc>
          <w:tcPr>
            <w:tcW w:w="1803" w:type="dxa"/>
          </w:tcPr>
          <w:p w14:paraId="3E35C93E" w14:textId="77777777" w:rsidR="004E687C" w:rsidRPr="008C4BEB" w:rsidRDefault="004E687C" w:rsidP="00EE0E23">
            <w:pPr>
              <w:ind w:right="-668"/>
              <w:jc w:val="both"/>
            </w:pPr>
            <w:r>
              <w:t>ONM</w:t>
            </w:r>
          </w:p>
        </w:tc>
      </w:tr>
      <w:tr w:rsidR="004E687C" w14:paraId="1EB1D667" w14:textId="77777777" w:rsidTr="00EE0E23">
        <w:tc>
          <w:tcPr>
            <w:tcW w:w="540" w:type="dxa"/>
          </w:tcPr>
          <w:p w14:paraId="40CFDE70" w14:textId="77777777" w:rsidR="004E687C" w:rsidRPr="008C4BEB" w:rsidRDefault="004E687C" w:rsidP="00EE0E23">
            <w:pPr>
              <w:ind w:right="-668"/>
              <w:jc w:val="both"/>
              <w:rPr>
                <w:b/>
              </w:rPr>
            </w:pPr>
            <w:r>
              <w:rPr>
                <w:b/>
              </w:rPr>
              <w:t>2</w:t>
            </w:r>
          </w:p>
        </w:tc>
        <w:tc>
          <w:tcPr>
            <w:tcW w:w="1800" w:type="dxa"/>
          </w:tcPr>
          <w:p w14:paraId="0195551E" w14:textId="77777777" w:rsidR="004E687C" w:rsidRPr="008C4BEB" w:rsidRDefault="004E687C" w:rsidP="00EE0E23">
            <w:pPr>
              <w:ind w:right="-668"/>
              <w:jc w:val="both"/>
              <w:rPr>
                <w:b/>
              </w:rPr>
            </w:pPr>
            <w:r w:rsidRPr="008C4BEB">
              <w:rPr>
                <w:b/>
              </w:rPr>
              <w:t>Akjoujt</w:t>
            </w:r>
          </w:p>
        </w:tc>
        <w:tc>
          <w:tcPr>
            <w:tcW w:w="1080" w:type="dxa"/>
          </w:tcPr>
          <w:p w14:paraId="58EF1EFD" w14:textId="77777777" w:rsidR="004E687C" w:rsidRPr="008C4BEB" w:rsidRDefault="004E687C" w:rsidP="00EE0E23">
            <w:pPr>
              <w:ind w:right="-668"/>
              <w:jc w:val="both"/>
            </w:pPr>
            <w:r w:rsidRPr="008C4BEB">
              <w:t>19°45N</w:t>
            </w:r>
          </w:p>
        </w:tc>
        <w:tc>
          <w:tcPr>
            <w:tcW w:w="975" w:type="dxa"/>
          </w:tcPr>
          <w:p w14:paraId="6884A780" w14:textId="77777777" w:rsidR="004E687C" w:rsidRPr="008C4BEB" w:rsidRDefault="004E687C" w:rsidP="00EE0E23">
            <w:pPr>
              <w:ind w:right="-668"/>
              <w:jc w:val="both"/>
            </w:pPr>
            <w:r w:rsidRPr="008C4BEB">
              <w:t>14°22W</w:t>
            </w:r>
          </w:p>
        </w:tc>
        <w:tc>
          <w:tcPr>
            <w:tcW w:w="1134" w:type="dxa"/>
          </w:tcPr>
          <w:p w14:paraId="441ACBC4" w14:textId="77777777" w:rsidR="004E687C" w:rsidRPr="008C4BEB" w:rsidRDefault="004E687C" w:rsidP="00EE0E23">
            <w:pPr>
              <w:ind w:right="-668"/>
              <w:jc w:val="both"/>
            </w:pPr>
            <w:r w:rsidRPr="008C4BEB">
              <w:t>118</w:t>
            </w:r>
          </w:p>
        </w:tc>
        <w:tc>
          <w:tcPr>
            <w:tcW w:w="1352" w:type="dxa"/>
          </w:tcPr>
          <w:p w14:paraId="5307F81E" w14:textId="77777777" w:rsidR="004E687C" w:rsidRPr="008C4BEB" w:rsidRDefault="004E687C" w:rsidP="00EE0E23">
            <w:pPr>
              <w:ind w:right="-668"/>
              <w:jc w:val="both"/>
            </w:pPr>
            <w:r w:rsidRPr="008C4BEB">
              <w:t>1931</w:t>
            </w:r>
          </w:p>
        </w:tc>
        <w:tc>
          <w:tcPr>
            <w:tcW w:w="1803" w:type="dxa"/>
          </w:tcPr>
          <w:p w14:paraId="73C66F89" w14:textId="77777777" w:rsidR="004E687C" w:rsidRPr="008C4BEB" w:rsidRDefault="004E687C" w:rsidP="00EE0E23">
            <w:pPr>
              <w:ind w:right="-668"/>
              <w:jc w:val="both"/>
            </w:pPr>
            <w:r>
              <w:t>ONM</w:t>
            </w:r>
          </w:p>
        </w:tc>
      </w:tr>
      <w:tr w:rsidR="004E687C" w14:paraId="5C352B33" w14:textId="77777777" w:rsidTr="00EE0E23">
        <w:tc>
          <w:tcPr>
            <w:tcW w:w="540" w:type="dxa"/>
          </w:tcPr>
          <w:p w14:paraId="277AFC2B" w14:textId="77777777" w:rsidR="004E687C" w:rsidRPr="008C4BEB" w:rsidRDefault="004E687C" w:rsidP="00EE0E23">
            <w:pPr>
              <w:ind w:right="-668"/>
              <w:jc w:val="both"/>
              <w:rPr>
                <w:b/>
              </w:rPr>
            </w:pPr>
            <w:r>
              <w:rPr>
                <w:b/>
              </w:rPr>
              <w:t>3</w:t>
            </w:r>
          </w:p>
        </w:tc>
        <w:tc>
          <w:tcPr>
            <w:tcW w:w="1800" w:type="dxa"/>
          </w:tcPr>
          <w:p w14:paraId="3428D3CA" w14:textId="77777777" w:rsidR="004E687C" w:rsidRPr="008C4BEB" w:rsidRDefault="004E687C" w:rsidP="00EE0E23">
            <w:pPr>
              <w:ind w:right="-668"/>
              <w:jc w:val="both"/>
              <w:rPr>
                <w:b/>
              </w:rPr>
            </w:pPr>
            <w:r w:rsidRPr="008C4BEB">
              <w:rPr>
                <w:b/>
              </w:rPr>
              <w:t>Aleg</w:t>
            </w:r>
          </w:p>
        </w:tc>
        <w:tc>
          <w:tcPr>
            <w:tcW w:w="1080" w:type="dxa"/>
          </w:tcPr>
          <w:p w14:paraId="1D51C1E1" w14:textId="77777777" w:rsidR="004E687C" w:rsidRPr="008C4BEB" w:rsidRDefault="004E687C" w:rsidP="00EE0E23">
            <w:pPr>
              <w:ind w:right="-668"/>
              <w:jc w:val="both"/>
            </w:pPr>
            <w:r w:rsidRPr="008C4BEB">
              <w:t>17°03N</w:t>
            </w:r>
          </w:p>
        </w:tc>
        <w:tc>
          <w:tcPr>
            <w:tcW w:w="975" w:type="dxa"/>
          </w:tcPr>
          <w:p w14:paraId="648791E1" w14:textId="77777777" w:rsidR="004E687C" w:rsidRPr="008C4BEB" w:rsidRDefault="004E687C" w:rsidP="00EE0E23">
            <w:pPr>
              <w:ind w:right="-668"/>
              <w:jc w:val="both"/>
            </w:pPr>
            <w:r w:rsidRPr="008C4BEB">
              <w:t>13°55W</w:t>
            </w:r>
          </w:p>
        </w:tc>
        <w:tc>
          <w:tcPr>
            <w:tcW w:w="1134" w:type="dxa"/>
          </w:tcPr>
          <w:p w14:paraId="3FF446F8" w14:textId="77777777" w:rsidR="004E687C" w:rsidRPr="008C4BEB" w:rsidRDefault="004E687C" w:rsidP="00EE0E23">
            <w:pPr>
              <w:ind w:right="-668"/>
              <w:jc w:val="both"/>
            </w:pPr>
            <w:r w:rsidRPr="008C4BEB">
              <w:t>45</w:t>
            </w:r>
          </w:p>
        </w:tc>
        <w:tc>
          <w:tcPr>
            <w:tcW w:w="1352" w:type="dxa"/>
          </w:tcPr>
          <w:p w14:paraId="195376F5" w14:textId="77777777" w:rsidR="004E687C" w:rsidRPr="008C4BEB" w:rsidRDefault="004E687C" w:rsidP="00EE0E23">
            <w:pPr>
              <w:ind w:right="-668"/>
              <w:jc w:val="both"/>
            </w:pPr>
            <w:r w:rsidRPr="008C4BEB">
              <w:t>1921</w:t>
            </w:r>
          </w:p>
        </w:tc>
        <w:tc>
          <w:tcPr>
            <w:tcW w:w="1803" w:type="dxa"/>
          </w:tcPr>
          <w:p w14:paraId="320746D5" w14:textId="77777777" w:rsidR="004E687C" w:rsidRPr="008C4BEB" w:rsidRDefault="004E687C" w:rsidP="00EE0E23">
            <w:pPr>
              <w:ind w:right="-668"/>
              <w:jc w:val="both"/>
            </w:pPr>
            <w:r w:rsidRPr="008C4BEB">
              <w:t>AGRHYMET</w:t>
            </w:r>
          </w:p>
        </w:tc>
      </w:tr>
      <w:tr w:rsidR="004E687C" w14:paraId="4727B417" w14:textId="77777777" w:rsidTr="00EE0E23">
        <w:tc>
          <w:tcPr>
            <w:tcW w:w="540" w:type="dxa"/>
          </w:tcPr>
          <w:p w14:paraId="7EC72ADA" w14:textId="77777777" w:rsidR="004E687C" w:rsidRPr="008C4BEB" w:rsidRDefault="004E687C" w:rsidP="00EE0E23">
            <w:pPr>
              <w:ind w:right="-668"/>
              <w:jc w:val="both"/>
              <w:rPr>
                <w:b/>
              </w:rPr>
            </w:pPr>
            <w:r>
              <w:rPr>
                <w:b/>
              </w:rPr>
              <w:t>4</w:t>
            </w:r>
          </w:p>
        </w:tc>
        <w:tc>
          <w:tcPr>
            <w:tcW w:w="1800" w:type="dxa"/>
          </w:tcPr>
          <w:p w14:paraId="39C3D98B" w14:textId="77777777" w:rsidR="004E687C" w:rsidRPr="008C4BEB" w:rsidRDefault="004E687C" w:rsidP="00EE0E23">
            <w:pPr>
              <w:ind w:right="-668"/>
              <w:jc w:val="both"/>
              <w:rPr>
                <w:b/>
              </w:rPr>
            </w:pPr>
            <w:r w:rsidRPr="008C4BEB">
              <w:rPr>
                <w:b/>
              </w:rPr>
              <w:t>Atar</w:t>
            </w:r>
          </w:p>
        </w:tc>
        <w:tc>
          <w:tcPr>
            <w:tcW w:w="1080" w:type="dxa"/>
          </w:tcPr>
          <w:p w14:paraId="297D7626" w14:textId="77777777" w:rsidR="004E687C" w:rsidRPr="008C4BEB" w:rsidRDefault="004E687C" w:rsidP="00EE0E23">
            <w:pPr>
              <w:ind w:right="-668"/>
              <w:jc w:val="both"/>
            </w:pPr>
            <w:r w:rsidRPr="008C4BEB">
              <w:t>20°31N</w:t>
            </w:r>
          </w:p>
        </w:tc>
        <w:tc>
          <w:tcPr>
            <w:tcW w:w="975" w:type="dxa"/>
          </w:tcPr>
          <w:p w14:paraId="4D2A62AD" w14:textId="77777777" w:rsidR="004E687C" w:rsidRPr="008C4BEB" w:rsidRDefault="004E687C" w:rsidP="00EE0E23">
            <w:pPr>
              <w:ind w:right="-668"/>
              <w:jc w:val="both"/>
            </w:pPr>
            <w:r w:rsidRPr="008C4BEB">
              <w:t>13°04W</w:t>
            </w:r>
          </w:p>
        </w:tc>
        <w:tc>
          <w:tcPr>
            <w:tcW w:w="1134" w:type="dxa"/>
          </w:tcPr>
          <w:p w14:paraId="6E185CA3" w14:textId="77777777" w:rsidR="004E687C" w:rsidRPr="008C4BEB" w:rsidRDefault="004E687C" w:rsidP="00EE0E23">
            <w:pPr>
              <w:ind w:right="-668"/>
              <w:jc w:val="both"/>
            </w:pPr>
            <w:r w:rsidRPr="008C4BEB">
              <w:t>226</w:t>
            </w:r>
          </w:p>
        </w:tc>
        <w:tc>
          <w:tcPr>
            <w:tcW w:w="1352" w:type="dxa"/>
          </w:tcPr>
          <w:p w14:paraId="37A6D898" w14:textId="77777777" w:rsidR="004E687C" w:rsidRPr="008C4BEB" w:rsidRDefault="004E687C" w:rsidP="00EE0E23">
            <w:pPr>
              <w:ind w:right="-668"/>
              <w:jc w:val="both"/>
            </w:pPr>
            <w:r w:rsidRPr="008C4BEB">
              <w:t>1921</w:t>
            </w:r>
          </w:p>
        </w:tc>
        <w:tc>
          <w:tcPr>
            <w:tcW w:w="1803" w:type="dxa"/>
          </w:tcPr>
          <w:p w14:paraId="16D010F8" w14:textId="77777777" w:rsidR="004E687C" w:rsidRPr="008C4BEB" w:rsidRDefault="004E687C" w:rsidP="00EE0E23">
            <w:pPr>
              <w:ind w:right="-668"/>
              <w:jc w:val="both"/>
            </w:pPr>
            <w:r>
              <w:t>ONM</w:t>
            </w:r>
          </w:p>
        </w:tc>
      </w:tr>
      <w:tr w:rsidR="004E687C" w14:paraId="75C635A7" w14:textId="77777777" w:rsidTr="00EE0E23">
        <w:tc>
          <w:tcPr>
            <w:tcW w:w="540" w:type="dxa"/>
          </w:tcPr>
          <w:p w14:paraId="5934A075" w14:textId="77777777" w:rsidR="004E687C" w:rsidRPr="008C4BEB" w:rsidRDefault="004E687C" w:rsidP="00EE0E23">
            <w:pPr>
              <w:ind w:right="-668"/>
              <w:jc w:val="both"/>
              <w:rPr>
                <w:b/>
              </w:rPr>
            </w:pPr>
            <w:r>
              <w:rPr>
                <w:b/>
              </w:rPr>
              <w:t>5</w:t>
            </w:r>
          </w:p>
        </w:tc>
        <w:tc>
          <w:tcPr>
            <w:tcW w:w="1800" w:type="dxa"/>
          </w:tcPr>
          <w:p w14:paraId="52FC9AFE" w14:textId="77777777" w:rsidR="004E687C" w:rsidRPr="008C4BEB" w:rsidRDefault="004E687C" w:rsidP="00EE0E23">
            <w:pPr>
              <w:ind w:right="-668"/>
              <w:jc w:val="both"/>
              <w:rPr>
                <w:b/>
              </w:rPr>
            </w:pPr>
            <w:r w:rsidRPr="008C4BEB">
              <w:rPr>
                <w:b/>
              </w:rPr>
              <w:t>Bir Moughrein</w:t>
            </w:r>
          </w:p>
        </w:tc>
        <w:tc>
          <w:tcPr>
            <w:tcW w:w="1080" w:type="dxa"/>
          </w:tcPr>
          <w:p w14:paraId="3FD2F118" w14:textId="77777777" w:rsidR="004E687C" w:rsidRPr="008C4BEB" w:rsidRDefault="004E687C" w:rsidP="00EE0E23">
            <w:pPr>
              <w:ind w:right="-668"/>
              <w:jc w:val="both"/>
            </w:pPr>
            <w:r w:rsidRPr="008C4BEB">
              <w:t>25°14N</w:t>
            </w:r>
          </w:p>
        </w:tc>
        <w:tc>
          <w:tcPr>
            <w:tcW w:w="975" w:type="dxa"/>
          </w:tcPr>
          <w:p w14:paraId="1A77F200" w14:textId="77777777" w:rsidR="004E687C" w:rsidRPr="008C4BEB" w:rsidRDefault="004E687C" w:rsidP="00EE0E23">
            <w:pPr>
              <w:ind w:right="-668"/>
              <w:jc w:val="both"/>
            </w:pPr>
            <w:r w:rsidRPr="008C4BEB">
              <w:t>11°37W</w:t>
            </w:r>
          </w:p>
        </w:tc>
        <w:tc>
          <w:tcPr>
            <w:tcW w:w="1134" w:type="dxa"/>
          </w:tcPr>
          <w:p w14:paraId="068B9A08" w14:textId="77777777" w:rsidR="004E687C" w:rsidRPr="008C4BEB" w:rsidRDefault="004E687C" w:rsidP="00EE0E23">
            <w:pPr>
              <w:ind w:right="-668"/>
              <w:jc w:val="both"/>
            </w:pPr>
            <w:r w:rsidRPr="008C4BEB">
              <w:t>364</w:t>
            </w:r>
          </w:p>
        </w:tc>
        <w:tc>
          <w:tcPr>
            <w:tcW w:w="1352" w:type="dxa"/>
          </w:tcPr>
          <w:p w14:paraId="34A0E8F1" w14:textId="77777777" w:rsidR="004E687C" w:rsidRPr="008C4BEB" w:rsidRDefault="004E687C" w:rsidP="00EE0E23">
            <w:pPr>
              <w:ind w:right="-668"/>
              <w:jc w:val="both"/>
            </w:pPr>
            <w:r w:rsidRPr="008C4BEB">
              <w:t>1941</w:t>
            </w:r>
          </w:p>
        </w:tc>
        <w:tc>
          <w:tcPr>
            <w:tcW w:w="1803" w:type="dxa"/>
          </w:tcPr>
          <w:p w14:paraId="1C153CB2" w14:textId="77777777" w:rsidR="004E687C" w:rsidRPr="008C4BEB" w:rsidRDefault="004E687C" w:rsidP="00EE0E23">
            <w:pPr>
              <w:ind w:right="-668"/>
              <w:jc w:val="both"/>
            </w:pPr>
            <w:r>
              <w:t>ONM</w:t>
            </w:r>
          </w:p>
        </w:tc>
      </w:tr>
      <w:tr w:rsidR="004E687C" w14:paraId="7A99B301" w14:textId="77777777" w:rsidTr="00EE0E23">
        <w:tc>
          <w:tcPr>
            <w:tcW w:w="540" w:type="dxa"/>
          </w:tcPr>
          <w:p w14:paraId="50054253" w14:textId="77777777" w:rsidR="004E687C" w:rsidRPr="008C4BEB" w:rsidRDefault="004E687C" w:rsidP="00EE0E23">
            <w:pPr>
              <w:ind w:right="-668"/>
              <w:jc w:val="both"/>
              <w:rPr>
                <w:b/>
              </w:rPr>
            </w:pPr>
            <w:r>
              <w:rPr>
                <w:b/>
              </w:rPr>
              <w:t>6</w:t>
            </w:r>
          </w:p>
        </w:tc>
        <w:tc>
          <w:tcPr>
            <w:tcW w:w="1800" w:type="dxa"/>
          </w:tcPr>
          <w:p w14:paraId="74CE5153" w14:textId="77777777" w:rsidR="004E687C" w:rsidRPr="008C4BEB" w:rsidRDefault="004E687C" w:rsidP="00EE0E23">
            <w:pPr>
              <w:ind w:right="-668"/>
              <w:jc w:val="both"/>
              <w:rPr>
                <w:b/>
              </w:rPr>
            </w:pPr>
            <w:r w:rsidRPr="008C4BEB">
              <w:rPr>
                <w:b/>
              </w:rPr>
              <w:t>Boghé</w:t>
            </w:r>
          </w:p>
        </w:tc>
        <w:tc>
          <w:tcPr>
            <w:tcW w:w="1080" w:type="dxa"/>
          </w:tcPr>
          <w:p w14:paraId="2A12E1ED" w14:textId="77777777" w:rsidR="004E687C" w:rsidRPr="008C4BEB" w:rsidRDefault="004E687C" w:rsidP="00EE0E23">
            <w:pPr>
              <w:ind w:right="-668"/>
              <w:jc w:val="both"/>
            </w:pPr>
            <w:r w:rsidRPr="008C4BEB">
              <w:t>16°34N</w:t>
            </w:r>
          </w:p>
        </w:tc>
        <w:tc>
          <w:tcPr>
            <w:tcW w:w="975" w:type="dxa"/>
          </w:tcPr>
          <w:p w14:paraId="317215D8" w14:textId="77777777" w:rsidR="004E687C" w:rsidRPr="008C4BEB" w:rsidRDefault="004E687C" w:rsidP="00EE0E23">
            <w:pPr>
              <w:ind w:right="-668"/>
              <w:jc w:val="both"/>
            </w:pPr>
            <w:r w:rsidRPr="008C4BEB">
              <w:t>14°17W</w:t>
            </w:r>
          </w:p>
        </w:tc>
        <w:tc>
          <w:tcPr>
            <w:tcW w:w="1134" w:type="dxa"/>
          </w:tcPr>
          <w:p w14:paraId="00BCC3A8" w14:textId="77777777" w:rsidR="004E687C" w:rsidRPr="008C4BEB" w:rsidRDefault="004E687C" w:rsidP="00EE0E23">
            <w:pPr>
              <w:ind w:right="-668"/>
              <w:jc w:val="both"/>
            </w:pPr>
            <w:r w:rsidRPr="008C4BEB">
              <w:t>11</w:t>
            </w:r>
          </w:p>
        </w:tc>
        <w:tc>
          <w:tcPr>
            <w:tcW w:w="1352" w:type="dxa"/>
          </w:tcPr>
          <w:p w14:paraId="64AAC2BF" w14:textId="77777777" w:rsidR="004E687C" w:rsidRPr="008C4BEB" w:rsidRDefault="004E687C" w:rsidP="00EE0E23">
            <w:pPr>
              <w:ind w:right="-668"/>
              <w:jc w:val="both"/>
            </w:pPr>
            <w:r w:rsidRPr="008C4BEB">
              <w:t>1919</w:t>
            </w:r>
          </w:p>
        </w:tc>
        <w:tc>
          <w:tcPr>
            <w:tcW w:w="1803" w:type="dxa"/>
          </w:tcPr>
          <w:p w14:paraId="05FDF481" w14:textId="77777777" w:rsidR="004E687C" w:rsidRPr="008C4BEB" w:rsidRDefault="004E687C" w:rsidP="00EE0E23">
            <w:pPr>
              <w:ind w:right="-668"/>
              <w:jc w:val="both"/>
            </w:pPr>
            <w:r w:rsidRPr="008C4BEB">
              <w:t>AGRHYMET</w:t>
            </w:r>
          </w:p>
        </w:tc>
      </w:tr>
      <w:tr w:rsidR="004E687C" w14:paraId="611F7635" w14:textId="77777777" w:rsidTr="00EE0E23">
        <w:tc>
          <w:tcPr>
            <w:tcW w:w="540" w:type="dxa"/>
          </w:tcPr>
          <w:p w14:paraId="75752BC4" w14:textId="77777777" w:rsidR="004E687C" w:rsidRPr="008C4BEB" w:rsidRDefault="004E687C" w:rsidP="00EE0E23">
            <w:pPr>
              <w:ind w:right="-668"/>
              <w:jc w:val="both"/>
              <w:rPr>
                <w:b/>
              </w:rPr>
            </w:pPr>
            <w:r>
              <w:rPr>
                <w:b/>
              </w:rPr>
              <w:t>7</w:t>
            </w:r>
          </w:p>
        </w:tc>
        <w:tc>
          <w:tcPr>
            <w:tcW w:w="1800" w:type="dxa"/>
          </w:tcPr>
          <w:p w14:paraId="2B1CE887" w14:textId="77777777" w:rsidR="004E687C" w:rsidRPr="008C4BEB" w:rsidRDefault="004E687C" w:rsidP="00EE0E23">
            <w:pPr>
              <w:ind w:right="-668"/>
              <w:jc w:val="both"/>
              <w:rPr>
                <w:b/>
              </w:rPr>
            </w:pPr>
            <w:r w:rsidRPr="008C4BEB">
              <w:rPr>
                <w:b/>
              </w:rPr>
              <w:t>Boutilimit</w:t>
            </w:r>
          </w:p>
        </w:tc>
        <w:tc>
          <w:tcPr>
            <w:tcW w:w="1080" w:type="dxa"/>
          </w:tcPr>
          <w:p w14:paraId="0F11534B" w14:textId="77777777" w:rsidR="004E687C" w:rsidRPr="008C4BEB" w:rsidRDefault="004E687C" w:rsidP="00EE0E23">
            <w:pPr>
              <w:ind w:right="-668"/>
              <w:jc w:val="both"/>
            </w:pPr>
            <w:r w:rsidRPr="008C4BEB">
              <w:t>17°32N</w:t>
            </w:r>
          </w:p>
        </w:tc>
        <w:tc>
          <w:tcPr>
            <w:tcW w:w="975" w:type="dxa"/>
          </w:tcPr>
          <w:p w14:paraId="26B52C54" w14:textId="77777777" w:rsidR="004E687C" w:rsidRPr="008C4BEB" w:rsidRDefault="004E687C" w:rsidP="00EE0E23">
            <w:pPr>
              <w:ind w:right="-668"/>
              <w:jc w:val="both"/>
            </w:pPr>
            <w:r w:rsidRPr="008C4BEB">
              <w:t>14°41W</w:t>
            </w:r>
          </w:p>
        </w:tc>
        <w:tc>
          <w:tcPr>
            <w:tcW w:w="1134" w:type="dxa"/>
          </w:tcPr>
          <w:p w14:paraId="0F726251" w14:textId="77777777" w:rsidR="004E687C" w:rsidRPr="008C4BEB" w:rsidRDefault="004E687C" w:rsidP="00EE0E23">
            <w:pPr>
              <w:ind w:right="-668"/>
              <w:jc w:val="both"/>
            </w:pPr>
            <w:r w:rsidRPr="008C4BEB">
              <w:t>77</w:t>
            </w:r>
          </w:p>
        </w:tc>
        <w:tc>
          <w:tcPr>
            <w:tcW w:w="1352" w:type="dxa"/>
          </w:tcPr>
          <w:p w14:paraId="32328210" w14:textId="77777777" w:rsidR="004E687C" w:rsidRPr="008C4BEB" w:rsidRDefault="004E687C" w:rsidP="00EE0E23">
            <w:pPr>
              <w:ind w:right="-668"/>
              <w:jc w:val="both"/>
            </w:pPr>
            <w:r w:rsidRPr="008C4BEB">
              <w:t>1921</w:t>
            </w:r>
          </w:p>
        </w:tc>
        <w:tc>
          <w:tcPr>
            <w:tcW w:w="1803" w:type="dxa"/>
          </w:tcPr>
          <w:p w14:paraId="56B461F9" w14:textId="77777777" w:rsidR="004E687C" w:rsidRPr="008C4BEB" w:rsidRDefault="004E687C" w:rsidP="00EE0E23">
            <w:pPr>
              <w:ind w:right="-668"/>
              <w:jc w:val="both"/>
            </w:pPr>
            <w:r>
              <w:t>ONM</w:t>
            </w:r>
          </w:p>
        </w:tc>
      </w:tr>
      <w:tr w:rsidR="004E687C" w14:paraId="0F957CFE" w14:textId="77777777" w:rsidTr="00EE0E23">
        <w:tc>
          <w:tcPr>
            <w:tcW w:w="540" w:type="dxa"/>
          </w:tcPr>
          <w:p w14:paraId="0F06A68C" w14:textId="77777777" w:rsidR="004E687C" w:rsidRPr="008C4BEB" w:rsidRDefault="004E687C" w:rsidP="00EE0E23">
            <w:pPr>
              <w:ind w:right="-668"/>
              <w:jc w:val="both"/>
              <w:rPr>
                <w:b/>
              </w:rPr>
            </w:pPr>
            <w:r>
              <w:rPr>
                <w:b/>
              </w:rPr>
              <w:t>8</w:t>
            </w:r>
          </w:p>
        </w:tc>
        <w:tc>
          <w:tcPr>
            <w:tcW w:w="1800" w:type="dxa"/>
          </w:tcPr>
          <w:p w14:paraId="0D3013CB" w14:textId="77777777" w:rsidR="004E687C" w:rsidRPr="008C4BEB" w:rsidRDefault="004E687C" w:rsidP="00EE0E23">
            <w:pPr>
              <w:ind w:right="-668"/>
              <w:jc w:val="both"/>
              <w:rPr>
                <w:b/>
              </w:rPr>
            </w:pPr>
            <w:r w:rsidRPr="008C4BEB">
              <w:rPr>
                <w:b/>
              </w:rPr>
              <w:t>Chinguetti</w:t>
            </w:r>
          </w:p>
        </w:tc>
        <w:tc>
          <w:tcPr>
            <w:tcW w:w="1080" w:type="dxa"/>
          </w:tcPr>
          <w:p w14:paraId="0873F870" w14:textId="77777777" w:rsidR="004E687C" w:rsidRPr="008C4BEB" w:rsidRDefault="004E687C" w:rsidP="00EE0E23">
            <w:pPr>
              <w:ind w:right="-668"/>
              <w:jc w:val="both"/>
            </w:pPr>
            <w:r w:rsidRPr="008C4BEB">
              <w:t>20°27N</w:t>
            </w:r>
          </w:p>
        </w:tc>
        <w:tc>
          <w:tcPr>
            <w:tcW w:w="975" w:type="dxa"/>
          </w:tcPr>
          <w:p w14:paraId="640EA22C" w14:textId="77777777" w:rsidR="004E687C" w:rsidRPr="008C4BEB" w:rsidRDefault="004E687C" w:rsidP="00EE0E23">
            <w:pPr>
              <w:ind w:right="-668"/>
              <w:jc w:val="both"/>
            </w:pPr>
            <w:r w:rsidRPr="008C4BEB">
              <w:t>12°22W</w:t>
            </w:r>
          </w:p>
        </w:tc>
        <w:tc>
          <w:tcPr>
            <w:tcW w:w="1134" w:type="dxa"/>
          </w:tcPr>
          <w:p w14:paraId="207068BF" w14:textId="77777777" w:rsidR="004E687C" w:rsidRPr="008C4BEB" w:rsidRDefault="004E687C" w:rsidP="00EE0E23">
            <w:pPr>
              <w:ind w:right="-668"/>
              <w:jc w:val="both"/>
            </w:pPr>
            <w:r w:rsidRPr="008C4BEB">
              <w:t>500</w:t>
            </w:r>
          </w:p>
        </w:tc>
        <w:tc>
          <w:tcPr>
            <w:tcW w:w="1352" w:type="dxa"/>
          </w:tcPr>
          <w:p w14:paraId="136F3D68" w14:textId="77777777" w:rsidR="004E687C" w:rsidRPr="008C4BEB" w:rsidRDefault="004E687C" w:rsidP="00EE0E23">
            <w:pPr>
              <w:ind w:right="-668"/>
              <w:jc w:val="both"/>
            </w:pPr>
            <w:r w:rsidRPr="008C4BEB">
              <w:t>1931</w:t>
            </w:r>
          </w:p>
        </w:tc>
        <w:tc>
          <w:tcPr>
            <w:tcW w:w="1803" w:type="dxa"/>
          </w:tcPr>
          <w:p w14:paraId="2D938657" w14:textId="77777777" w:rsidR="004E687C" w:rsidRPr="008C4BEB" w:rsidRDefault="004E687C" w:rsidP="00EE0E23">
            <w:pPr>
              <w:ind w:right="-668"/>
              <w:jc w:val="both"/>
            </w:pPr>
            <w:r w:rsidRPr="008C4BEB">
              <w:t>AGRHYMET</w:t>
            </w:r>
          </w:p>
        </w:tc>
      </w:tr>
      <w:tr w:rsidR="004E687C" w14:paraId="51645E50" w14:textId="77777777" w:rsidTr="00EE0E23">
        <w:tc>
          <w:tcPr>
            <w:tcW w:w="540" w:type="dxa"/>
          </w:tcPr>
          <w:p w14:paraId="74E8D764" w14:textId="77777777" w:rsidR="004E687C" w:rsidRPr="008C4BEB" w:rsidRDefault="004E687C" w:rsidP="00EE0E23">
            <w:pPr>
              <w:ind w:right="-668"/>
              <w:jc w:val="both"/>
              <w:rPr>
                <w:b/>
              </w:rPr>
            </w:pPr>
            <w:r>
              <w:rPr>
                <w:b/>
              </w:rPr>
              <w:t>9</w:t>
            </w:r>
          </w:p>
        </w:tc>
        <w:tc>
          <w:tcPr>
            <w:tcW w:w="1800" w:type="dxa"/>
          </w:tcPr>
          <w:p w14:paraId="239BFD3C" w14:textId="77777777" w:rsidR="004E687C" w:rsidRPr="008C4BEB" w:rsidRDefault="004E687C" w:rsidP="00EE0E23">
            <w:pPr>
              <w:ind w:right="-668"/>
              <w:jc w:val="both"/>
              <w:rPr>
                <w:b/>
              </w:rPr>
            </w:pPr>
            <w:r w:rsidRPr="008C4BEB">
              <w:rPr>
                <w:b/>
              </w:rPr>
              <w:t>Kaédi</w:t>
            </w:r>
            <w:r>
              <w:rPr>
                <w:b/>
              </w:rPr>
              <w:t xml:space="preserve"> </w:t>
            </w:r>
            <w:r w:rsidRPr="008C4BEB">
              <w:rPr>
                <w:b/>
              </w:rPr>
              <w:t>(IRAT)</w:t>
            </w:r>
          </w:p>
        </w:tc>
        <w:tc>
          <w:tcPr>
            <w:tcW w:w="1080" w:type="dxa"/>
          </w:tcPr>
          <w:p w14:paraId="324E9B79" w14:textId="77777777" w:rsidR="004E687C" w:rsidRPr="008C4BEB" w:rsidRDefault="004E687C" w:rsidP="00EE0E23">
            <w:pPr>
              <w:ind w:right="-668"/>
              <w:jc w:val="both"/>
            </w:pPr>
            <w:r w:rsidRPr="008C4BEB">
              <w:t>16°09N</w:t>
            </w:r>
          </w:p>
        </w:tc>
        <w:tc>
          <w:tcPr>
            <w:tcW w:w="975" w:type="dxa"/>
          </w:tcPr>
          <w:p w14:paraId="0CAF3F09" w14:textId="77777777" w:rsidR="004E687C" w:rsidRPr="008C4BEB" w:rsidRDefault="004E687C" w:rsidP="00EE0E23">
            <w:pPr>
              <w:ind w:right="-668"/>
              <w:jc w:val="both"/>
            </w:pPr>
            <w:r w:rsidRPr="008C4BEB">
              <w:t>13°31W</w:t>
            </w:r>
          </w:p>
        </w:tc>
        <w:tc>
          <w:tcPr>
            <w:tcW w:w="1134" w:type="dxa"/>
          </w:tcPr>
          <w:p w14:paraId="3A11FA16" w14:textId="77777777" w:rsidR="004E687C" w:rsidRPr="008C4BEB" w:rsidRDefault="004E687C" w:rsidP="00EE0E23">
            <w:pPr>
              <w:ind w:right="-668"/>
              <w:jc w:val="both"/>
            </w:pPr>
            <w:smartTag w:uri="urn:schemas-microsoft-com:office:smarttags" w:element="metricconverter">
              <w:smartTagPr>
                <w:attr w:name="ProductID" w:val="18 m"/>
              </w:smartTagPr>
              <w:r w:rsidRPr="008C4BEB">
                <w:t>18 m</w:t>
              </w:r>
            </w:smartTag>
          </w:p>
        </w:tc>
        <w:tc>
          <w:tcPr>
            <w:tcW w:w="1352" w:type="dxa"/>
          </w:tcPr>
          <w:p w14:paraId="5EB3F236" w14:textId="77777777" w:rsidR="004E687C" w:rsidRPr="008C4BEB" w:rsidRDefault="004E687C" w:rsidP="00EE0E23">
            <w:pPr>
              <w:ind w:right="-668"/>
              <w:jc w:val="both"/>
            </w:pPr>
            <w:r w:rsidRPr="008C4BEB">
              <w:t>1905</w:t>
            </w:r>
          </w:p>
        </w:tc>
        <w:tc>
          <w:tcPr>
            <w:tcW w:w="1803" w:type="dxa"/>
          </w:tcPr>
          <w:p w14:paraId="385FE1C0" w14:textId="77777777" w:rsidR="004E687C" w:rsidRPr="008C4BEB" w:rsidRDefault="004E687C" w:rsidP="00EE0E23">
            <w:pPr>
              <w:ind w:right="-668"/>
              <w:jc w:val="both"/>
            </w:pPr>
            <w:r>
              <w:t>ONM</w:t>
            </w:r>
          </w:p>
        </w:tc>
      </w:tr>
      <w:tr w:rsidR="004E687C" w14:paraId="76200CBC" w14:textId="77777777" w:rsidTr="00EE0E23">
        <w:tc>
          <w:tcPr>
            <w:tcW w:w="540" w:type="dxa"/>
          </w:tcPr>
          <w:p w14:paraId="1282FB8E" w14:textId="77777777" w:rsidR="004E687C" w:rsidRPr="008C4BEB" w:rsidRDefault="004E687C" w:rsidP="00EE0E23">
            <w:pPr>
              <w:ind w:right="-668"/>
              <w:jc w:val="both"/>
              <w:rPr>
                <w:b/>
              </w:rPr>
            </w:pPr>
            <w:r>
              <w:rPr>
                <w:b/>
              </w:rPr>
              <w:t>10</w:t>
            </w:r>
          </w:p>
        </w:tc>
        <w:tc>
          <w:tcPr>
            <w:tcW w:w="1800" w:type="dxa"/>
          </w:tcPr>
          <w:p w14:paraId="45F93DEB" w14:textId="77777777" w:rsidR="004E687C" w:rsidRPr="008C4BEB" w:rsidRDefault="004E687C" w:rsidP="00EE0E23">
            <w:pPr>
              <w:ind w:right="-668"/>
              <w:jc w:val="both"/>
              <w:rPr>
                <w:b/>
              </w:rPr>
            </w:pPr>
            <w:r w:rsidRPr="008C4BEB">
              <w:rPr>
                <w:b/>
              </w:rPr>
              <w:t>Kankossa</w:t>
            </w:r>
          </w:p>
        </w:tc>
        <w:tc>
          <w:tcPr>
            <w:tcW w:w="1080" w:type="dxa"/>
          </w:tcPr>
          <w:p w14:paraId="05C93738" w14:textId="77777777" w:rsidR="004E687C" w:rsidRPr="008C4BEB" w:rsidRDefault="004E687C" w:rsidP="00EE0E23">
            <w:pPr>
              <w:ind w:right="-668"/>
              <w:jc w:val="both"/>
            </w:pPr>
            <w:r w:rsidRPr="008C4BEB">
              <w:t>15°57N</w:t>
            </w:r>
          </w:p>
        </w:tc>
        <w:tc>
          <w:tcPr>
            <w:tcW w:w="975" w:type="dxa"/>
          </w:tcPr>
          <w:p w14:paraId="13580077" w14:textId="77777777" w:rsidR="004E687C" w:rsidRPr="008C4BEB" w:rsidRDefault="004E687C" w:rsidP="00EE0E23">
            <w:pPr>
              <w:ind w:right="-668"/>
              <w:jc w:val="both"/>
            </w:pPr>
            <w:r w:rsidRPr="008C4BEB">
              <w:t>11°30W</w:t>
            </w:r>
          </w:p>
        </w:tc>
        <w:tc>
          <w:tcPr>
            <w:tcW w:w="1134" w:type="dxa"/>
          </w:tcPr>
          <w:p w14:paraId="321693A6" w14:textId="77777777" w:rsidR="004E687C" w:rsidRPr="008C4BEB" w:rsidRDefault="004E687C" w:rsidP="00EE0E23">
            <w:pPr>
              <w:ind w:right="-668"/>
              <w:jc w:val="both"/>
            </w:pPr>
            <w:smartTag w:uri="urn:schemas-microsoft-com:office:smarttags" w:element="metricconverter">
              <w:smartTagPr>
                <w:attr w:name="ProductID" w:val="70 m"/>
              </w:smartTagPr>
              <w:r w:rsidRPr="008C4BEB">
                <w:t>70 m</w:t>
              </w:r>
            </w:smartTag>
          </w:p>
        </w:tc>
        <w:tc>
          <w:tcPr>
            <w:tcW w:w="1352" w:type="dxa"/>
          </w:tcPr>
          <w:p w14:paraId="272B068C" w14:textId="77777777" w:rsidR="004E687C" w:rsidRPr="008C4BEB" w:rsidRDefault="004E687C" w:rsidP="00EE0E23">
            <w:pPr>
              <w:ind w:right="-668"/>
              <w:jc w:val="both"/>
            </w:pPr>
            <w:r w:rsidRPr="008C4BEB">
              <w:t>1950</w:t>
            </w:r>
          </w:p>
        </w:tc>
        <w:tc>
          <w:tcPr>
            <w:tcW w:w="1803" w:type="dxa"/>
          </w:tcPr>
          <w:p w14:paraId="38A6E806" w14:textId="77777777" w:rsidR="004E687C" w:rsidRPr="008C4BEB" w:rsidRDefault="004E687C" w:rsidP="00EE0E23">
            <w:pPr>
              <w:ind w:right="-668"/>
              <w:jc w:val="both"/>
            </w:pPr>
            <w:r w:rsidRPr="008C4BEB">
              <w:t>AGRHYMET</w:t>
            </w:r>
          </w:p>
        </w:tc>
      </w:tr>
      <w:tr w:rsidR="004E687C" w14:paraId="7A2F28C4" w14:textId="77777777" w:rsidTr="00EE0E23">
        <w:tc>
          <w:tcPr>
            <w:tcW w:w="540" w:type="dxa"/>
          </w:tcPr>
          <w:p w14:paraId="46959157" w14:textId="77777777" w:rsidR="004E687C" w:rsidRPr="008C4BEB" w:rsidRDefault="004E687C" w:rsidP="00EE0E23">
            <w:pPr>
              <w:ind w:right="-668"/>
              <w:jc w:val="both"/>
              <w:rPr>
                <w:b/>
              </w:rPr>
            </w:pPr>
            <w:r>
              <w:rPr>
                <w:b/>
              </w:rPr>
              <w:t>11</w:t>
            </w:r>
          </w:p>
        </w:tc>
        <w:tc>
          <w:tcPr>
            <w:tcW w:w="1800" w:type="dxa"/>
          </w:tcPr>
          <w:p w14:paraId="72F598FC" w14:textId="77777777" w:rsidR="004E687C" w:rsidRPr="008C4BEB" w:rsidRDefault="004E687C" w:rsidP="00EE0E23">
            <w:pPr>
              <w:ind w:right="-668"/>
              <w:jc w:val="both"/>
              <w:rPr>
                <w:b/>
              </w:rPr>
            </w:pPr>
            <w:r w:rsidRPr="008C4BEB">
              <w:rPr>
                <w:b/>
              </w:rPr>
              <w:t>Kiffa</w:t>
            </w:r>
          </w:p>
        </w:tc>
        <w:tc>
          <w:tcPr>
            <w:tcW w:w="1080" w:type="dxa"/>
          </w:tcPr>
          <w:p w14:paraId="52FAE858" w14:textId="77777777" w:rsidR="004E687C" w:rsidRPr="008C4BEB" w:rsidRDefault="004E687C" w:rsidP="00EE0E23">
            <w:pPr>
              <w:ind w:right="-668"/>
              <w:jc w:val="both"/>
            </w:pPr>
            <w:r w:rsidRPr="008C4BEB">
              <w:t>16°38N</w:t>
            </w:r>
          </w:p>
        </w:tc>
        <w:tc>
          <w:tcPr>
            <w:tcW w:w="975" w:type="dxa"/>
          </w:tcPr>
          <w:p w14:paraId="7EB047EA" w14:textId="77777777" w:rsidR="004E687C" w:rsidRPr="008C4BEB" w:rsidRDefault="004E687C" w:rsidP="00EE0E23">
            <w:pPr>
              <w:ind w:right="-668"/>
              <w:jc w:val="both"/>
            </w:pPr>
            <w:r w:rsidRPr="008C4BEB">
              <w:t>11°24W</w:t>
            </w:r>
          </w:p>
        </w:tc>
        <w:tc>
          <w:tcPr>
            <w:tcW w:w="1134" w:type="dxa"/>
          </w:tcPr>
          <w:p w14:paraId="4BC3D4F1" w14:textId="77777777" w:rsidR="004E687C" w:rsidRPr="008C4BEB" w:rsidRDefault="004E687C" w:rsidP="00EE0E23">
            <w:pPr>
              <w:ind w:right="-668"/>
              <w:jc w:val="both"/>
            </w:pPr>
            <w:smartTag w:uri="urn:schemas-microsoft-com:office:smarttags" w:element="metricconverter">
              <w:smartTagPr>
                <w:attr w:name="ProductID" w:val="115 m"/>
              </w:smartTagPr>
              <w:r w:rsidRPr="008C4BEB">
                <w:t>115 m</w:t>
              </w:r>
            </w:smartTag>
          </w:p>
        </w:tc>
        <w:tc>
          <w:tcPr>
            <w:tcW w:w="1352" w:type="dxa"/>
          </w:tcPr>
          <w:p w14:paraId="32CD01FC" w14:textId="77777777" w:rsidR="004E687C" w:rsidRPr="008C4BEB" w:rsidRDefault="004E687C" w:rsidP="00EE0E23">
            <w:pPr>
              <w:ind w:right="-668"/>
              <w:jc w:val="both"/>
            </w:pPr>
            <w:r w:rsidRPr="008C4BEB">
              <w:t>1922</w:t>
            </w:r>
          </w:p>
        </w:tc>
        <w:tc>
          <w:tcPr>
            <w:tcW w:w="1803" w:type="dxa"/>
          </w:tcPr>
          <w:p w14:paraId="7DD1F19E" w14:textId="77777777" w:rsidR="004E687C" w:rsidRPr="008C4BEB" w:rsidRDefault="004E687C" w:rsidP="00EE0E23">
            <w:pPr>
              <w:ind w:right="-668"/>
              <w:jc w:val="both"/>
            </w:pPr>
            <w:r>
              <w:t>ONM</w:t>
            </w:r>
          </w:p>
        </w:tc>
      </w:tr>
      <w:tr w:rsidR="004E687C" w14:paraId="74FCE4A5" w14:textId="77777777" w:rsidTr="00EE0E23">
        <w:tc>
          <w:tcPr>
            <w:tcW w:w="540" w:type="dxa"/>
          </w:tcPr>
          <w:p w14:paraId="7E3BD678" w14:textId="77777777" w:rsidR="004E687C" w:rsidRPr="008C4BEB" w:rsidRDefault="004E687C" w:rsidP="00EE0E23">
            <w:pPr>
              <w:ind w:right="-668"/>
              <w:jc w:val="both"/>
              <w:rPr>
                <w:b/>
              </w:rPr>
            </w:pPr>
            <w:r>
              <w:rPr>
                <w:b/>
              </w:rPr>
              <w:t>12</w:t>
            </w:r>
          </w:p>
        </w:tc>
        <w:tc>
          <w:tcPr>
            <w:tcW w:w="1800" w:type="dxa"/>
          </w:tcPr>
          <w:p w14:paraId="589FAFC1" w14:textId="77777777" w:rsidR="004E687C" w:rsidRPr="008C4BEB" w:rsidRDefault="004E687C" w:rsidP="00EE0E23">
            <w:pPr>
              <w:ind w:right="-668"/>
              <w:jc w:val="both"/>
              <w:rPr>
                <w:b/>
              </w:rPr>
            </w:pPr>
            <w:r w:rsidRPr="008C4BEB">
              <w:rPr>
                <w:b/>
              </w:rPr>
              <w:t>M'bout</w:t>
            </w:r>
          </w:p>
        </w:tc>
        <w:tc>
          <w:tcPr>
            <w:tcW w:w="1080" w:type="dxa"/>
          </w:tcPr>
          <w:p w14:paraId="01266A31" w14:textId="77777777" w:rsidR="004E687C" w:rsidRPr="008C4BEB" w:rsidRDefault="004E687C" w:rsidP="00EE0E23">
            <w:pPr>
              <w:ind w:right="-668"/>
              <w:jc w:val="both"/>
            </w:pPr>
            <w:r w:rsidRPr="008C4BEB">
              <w:t>16°02N</w:t>
            </w:r>
          </w:p>
        </w:tc>
        <w:tc>
          <w:tcPr>
            <w:tcW w:w="975" w:type="dxa"/>
          </w:tcPr>
          <w:p w14:paraId="39C47C91" w14:textId="77777777" w:rsidR="004E687C" w:rsidRPr="008C4BEB" w:rsidRDefault="004E687C" w:rsidP="00EE0E23">
            <w:pPr>
              <w:ind w:right="-668"/>
              <w:jc w:val="both"/>
            </w:pPr>
            <w:r w:rsidRPr="008C4BEB">
              <w:t>12°37W</w:t>
            </w:r>
          </w:p>
        </w:tc>
        <w:tc>
          <w:tcPr>
            <w:tcW w:w="1134" w:type="dxa"/>
          </w:tcPr>
          <w:p w14:paraId="41EBAB4E" w14:textId="77777777" w:rsidR="004E687C" w:rsidRPr="008C4BEB" w:rsidRDefault="004E687C" w:rsidP="00EE0E23">
            <w:pPr>
              <w:ind w:right="-668"/>
              <w:jc w:val="both"/>
            </w:pPr>
            <w:smartTag w:uri="urn:schemas-microsoft-com:office:smarttags" w:element="metricconverter">
              <w:smartTagPr>
                <w:attr w:name="ProductID" w:val="44 m"/>
              </w:smartTagPr>
              <w:r w:rsidRPr="008C4BEB">
                <w:t>44 m</w:t>
              </w:r>
            </w:smartTag>
          </w:p>
        </w:tc>
        <w:tc>
          <w:tcPr>
            <w:tcW w:w="1352" w:type="dxa"/>
          </w:tcPr>
          <w:p w14:paraId="0917B278" w14:textId="77777777" w:rsidR="004E687C" w:rsidRPr="008C4BEB" w:rsidRDefault="004E687C" w:rsidP="00EE0E23">
            <w:pPr>
              <w:ind w:right="-668"/>
              <w:jc w:val="both"/>
            </w:pPr>
            <w:r w:rsidRPr="008C4BEB">
              <w:t>1921</w:t>
            </w:r>
          </w:p>
        </w:tc>
        <w:tc>
          <w:tcPr>
            <w:tcW w:w="1803" w:type="dxa"/>
          </w:tcPr>
          <w:p w14:paraId="6D2664FB" w14:textId="77777777" w:rsidR="004E687C" w:rsidRPr="008C4BEB" w:rsidRDefault="004E687C" w:rsidP="00EE0E23">
            <w:pPr>
              <w:ind w:right="-668"/>
              <w:jc w:val="both"/>
            </w:pPr>
            <w:r w:rsidRPr="008C4BEB">
              <w:t>AGRHYMET</w:t>
            </w:r>
          </w:p>
        </w:tc>
      </w:tr>
      <w:tr w:rsidR="004E687C" w14:paraId="6DA8EF21" w14:textId="77777777" w:rsidTr="00EE0E23">
        <w:tc>
          <w:tcPr>
            <w:tcW w:w="540" w:type="dxa"/>
          </w:tcPr>
          <w:p w14:paraId="24DC8AB3" w14:textId="77777777" w:rsidR="004E687C" w:rsidRPr="008C4BEB" w:rsidRDefault="004E687C" w:rsidP="00EE0E23">
            <w:pPr>
              <w:ind w:right="-668"/>
              <w:jc w:val="both"/>
              <w:rPr>
                <w:b/>
              </w:rPr>
            </w:pPr>
            <w:r>
              <w:rPr>
                <w:b/>
              </w:rPr>
              <w:t>13</w:t>
            </w:r>
          </w:p>
        </w:tc>
        <w:tc>
          <w:tcPr>
            <w:tcW w:w="1800" w:type="dxa"/>
          </w:tcPr>
          <w:p w14:paraId="3BC1B923" w14:textId="77777777" w:rsidR="004E687C" w:rsidRPr="008C4BEB" w:rsidRDefault="004E687C" w:rsidP="00EE0E23">
            <w:pPr>
              <w:ind w:right="-668"/>
              <w:jc w:val="both"/>
              <w:rPr>
                <w:b/>
              </w:rPr>
            </w:pPr>
            <w:proofErr w:type="spellStart"/>
            <w:r w:rsidRPr="008C4BEB">
              <w:rPr>
                <w:b/>
              </w:rPr>
              <w:t>Mederdra</w:t>
            </w:r>
            <w:proofErr w:type="spellEnd"/>
          </w:p>
        </w:tc>
        <w:tc>
          <w:tcPr>
            <w:tcW w:w="1080" w:type="dxa"/>
          </w:tcPr>
          <w:p w14:paraId="11E851D4" w14:textId="77777777" w:rsidR="004E687C" w:rsidRPr="008C4BEB" w:rsidRDefault="004E687C" w:rsidP="00EE0E23">
            <w:pPr>
              <w:ind w:right="-668"/>
              <w:jc w:val="both"/>
            </w:pPr>
            <w:r w:rsidRPr="008C4BEB">
              <w:t>16°55N</w:t>
            </w:r>
          </w:p>
        </w:tc>
        <w:tc>
          <w:tcPr>
            <w:tcW w:w="975" w:type="dxa"/>
          </w:tcPr>
          <w:p w14:paraId="1897EAE4" w14:textId="77777777" w:rsidR="004E687C" w:rsidRPr="008C4BEB" w:rsidRDefault="004E687C" w:rsidP="00EE0E23">
            <w:pPr>
              <w:ind w:right="-668"/>
              <w:jc w:val="both"/>
            </w:pPr>
            <w:r w:rsidRPr="008C4BEB">
              <w:t>15°40W</w:t>
            </w:r>
          </w:p>
        </w:tc>
        <w:tc>
          <w:tcPr>
            <w:tcW w:w="1134" w:type="dxa"/>
          </w:tcPr>
          <w:p w14:paraId="171ADB23" w14:textId="77777777" w:rsidR="004E687C" w:rsidRPr="008C4BEB" w:rsidRDefault="004E687C" w:rsidP="00EE0E23">
            <w:pPr>
              <w:ind w:right="-668"/>
              <w:jc w:val="both"/>
            </w:pPr>
            <w:smartTag w:uri="urn:schemas-microsoft-com:office:smarttags" w:element="metricconverter">
              <w:smartTagPr>
                <w:attr w:name="ProductID" w:val="25 m"/>
              </w:smartTagPr>
              <w:r w:rsidRPr="008C4BEB">
                <w:t>25 m</w:t>
              </w:r>
            </w:smartTag>
          </w:p>
        </w:tc>
        <w:tc>
          <w:tcPr>
            <w:tcW w:w="1352" w:type="dxa"/>
          </w:tcPr>
          <w:p w14:paraId="7C558AEE" w14:textId="77777777" w:rsidR="004E687C" w:rsidRPr="008C4BEB" w:rsidRDefault="004E687C" w:rsidP="00EE0E23">
            <w:pPr>
              <w:ind w:right="-668"/>
              <w:jc w:val="both"/>
            </w:pPr>
            <w:r w:rsidRPr="008C4BEB">
              <w:t>1931</w:t>
            </w:r>
          </w:p>
        </w:tc>
        <w:tc>
          <w:tcPr>
            <w:tcW w:w="1803" w:type="dxa"/>
          </w:tcPr>
          <w:p w14:paraId="78BFB5A8" w14:textId="77777777" w:rsidR="004E687C" w:rsidRPr="008C4BEB" w:rsidRDefault="004E687C" w:rsidP="00EE0E23">
            <w:pPr>
              <w:ind w:right="-668"/>
              <w:jc w:val="both"/>
            </w:pPr>
            <w:r w:rsidRPr="008C4BEB">
              <w:t>AGRHYMET</w:t>
            </w:r>
          </w:p>
        </w:tc>
      </w:tr>
      <w:tr w:rsidR="004E687C" w14:paraId="6FA66ACF" w14:textId="77777777" w:rsidTr="00EE0E23">
        <w:tc>
          <w:tcPr>
            <w:tcW w:w="540" w:type="dxa"/>
          </w:tcPr>
          <w:p w14:paraId="04EAC3FF" w14:textId="77777777" w:rsidR="004E687C" w:rsidRPr="008C4BEB" w:rsidRDefault="004E687C" w:rsidP="00EE0E23">
            <w:pPr>
              <w:ind w:right="-668"/>
              <w:jc w:val="both"/>
              <w:rPr>
                <w:b/>
              </w:rPr>
            </w:pPr>
            <w:r>
              <w:rPr>
                <w:b/>
              </w:rPr>
              <w:t>14</w:t>
            </w:r>
          </w:p>
        </w:tc>
        <w:tc>
          <w:tcPr>
            <w:tcW w:w="1800" w:type="dxa"/>
          </w:tcPr>
          <w:p w14:paraId="3D6DBC9E" w14:textId="77777777" w:rsidR="004E687C" w:rsidRPr="008C4BEB" w:rsidRDefault="004E687C" w:rsidP="00EE0E23">
            <w:pPr>
              <w:ind w:right="-668"/>
              <w:jc w:val="both"/>
              <w:rPr>
                <w:b/>
              </w:rPr>
            </w:pPr>
            <w:r w:rsidRPr="008C4BEB">
              <w:rPr>
                <w:b/>
              </w:rPr>
              <w:t>Moudjéria</w:t>
            </w:r>
          </w:p>
        </w:tc>
        <w:tc>
          <w:tcPr>
            <w:tcW w:w="1080" w:type="dxa"/>
          </w:tcPr>
          <w:p w14:paraId="35E9CEF8" w14:textId="77777777" w:rsidR="004E687C" w:rsidRPr="008C4BEB" w:rsidRDefault="004E687C" w:rsidP="00EE0E23">
            <w:pPr>
              <w:ind w:right="-668"/>
              <w:jc w:val="both"/>
            </w:pPr>
            <w:r w:rsidRPr="008C4BEB">
              <w:t>17°56N</w:t>
            </w:r>
          </w:p>
        </w:tc>
        <w:tc>
          <w:tcPr>
            <w:tcW w:w="975" w:type="dxa"/>
          </w:tcPr>
          <w:p w14:paraId="65B5C434" w14:textId="77777777" w:rsidR="004E687C" w:rsidRPr="008C4BEB" w:rsidRDefault="004E687C" w:rsidP="00EE0E23">
            <w:pPr>
              <w:ind w:right="-668"/>
              <w:jc w:val="both"/>
            </w:pPr>
            <w:r w:rsidRPr="008C4BEB">
              <w:t>12°21W</w:t>
            </w:r>
          </w:p>
        </w:tc>
        <w:tc>
          <w:tcPr>
            <w:tcW w:w="1134" w:type="dxa"/>
          </w:tcPr>
          <w:p w14:paraId="0934DD01" w14:textId="77777777" w:rsidR="004E687C" w:rsidRPr="008C4BEB" w:rsidRDefault="004E687C" w:rsidP="00EE0E23">
            <w:pPr>
              <w:ind w:right="-668"/>
              <w:jc w:val="both"/>
            </w:pPr>
            <w:smartTag w:uri="urn:schemas-microsoft-com:office:smarttags" w:element="metricconverter">
              <w:smartTagPr>
                <w:attr w:name="ProductID" w:val="300 m"/>
              </w:smartTagPr>
              <w:r w:rsidRPr="008C4BEB">
                <w:t>300 m</w:t>
              </w:r>
            </w:smartTag>
          </w:p>
        </w:tc>
        <w:tc>
          <w:tcPr>
            <w:tcW w:w="1352" w:type="dxa"/>
          </w:tcPr>
          <w:p w14:paraId="4C0F283C" w14:textId="77777777" w:rsidR="004E687C" w:rsidRPr="008C4BEB" w:rsidRDefault="004E687C" w:rsidP="00EE0E23">
            <w:pPr>
              <w:ind w:right="-668"/>
              <w:jc w:val="both"/>
            </w:pPr>
            <w:r w:rsidRPr="008C4BEB">
              <w:t>1911</w:t>
            </w:r>
          </w:p>
        </w:tc>
        <w:tc>
          <w:tcPr>
            <w:tcW w:w="1803" w:type="dxa"/>
          </w:tcPr>
          <w:p w14:paraId="7C875A76" w14:textId="77777777" w:rsidR="004E687C" w:rsidRPr="008C4BEB" w:rsidRDefault="004E687C" w:rsidP="00EE0E23">
            <w:pPr>
              <w:ind w:right="-668"/>
              <w:jc w:val="both"/>
            </w:pPr>
            <w:r w:rsidRPr="008C4BEB">
              <w:t>AGRHYMET</w:t>
            </w:r>
          </w:p>
        </w:tc>
      </w:tr>
      <w:tr w:rsidR="004E687C" w14:paraId="1D746FBF" w14:textId="77777777" w:rsidTr="00EE0E23">
        <w:tc>
          <w:tcPr>
            <w:tcW w:w="540" w:type="dxa"/>
          </w:tcPr>
          <w:p w14:paraId="5E5C7079" w14:textId="77777777" w:rsidR="004E687C" w:rsidRPr="008C4BEB" w:rsidRDefault="004E687C" w:rsidP="00EE0E23">
            <w:pPr>
              <w:ind w:right="-668"/>
              <w:jc w:val="both"/>
              <w:rPr>
                <w:b/>
              </w:rPr>
            </w:pPr>
            <w:r>
              <w:rPr>
                <w:b/>
              </w:rPr>
              <w:t>15</w:t>
            </w:r>
          </w:p>
        </w:tc>
        <w:tc>
          <w:tcPr>
            <w:tcW w:w="1800" w:type="dxa"/>
          </w:tcPr>
          <w:p w14:paraId="1B53B3BE" w14:textId="77777777" w:rsidR="004E687C" w:rsidRPr="008C4BEB" w:rsidRDefault="004E687C" w:rsidP="00EE0E23">
            <w:pPr>
              <w:ind w:right="-668"/>
              <w:jc w:val="both"/>
              <w:rPr>
                <w:b/>
              </w:rPr>
            </w:pPr>
            <w:r w:rsidRPr="008C4BEB">
              <w:rPr>
                <w:b/>
              </w:rPr>
              <w:t>Néma</w:t>
            </w:r>
          </w:p>
        </w:tc>
        <w:tc>
          <w:tcPr>
            <w:tcW w:w="1080" w:type="dxa"/>
          </w:tcPr>
          <w:p w14:paraId="75233512" w14:textId="77777777" w:rsidR="004E687C" w:rsidRPr="008C4BEB" w:rsidRDefault="004E687C" w:rsidP="00EE0E23">
            <w:pPr>
              <w:ind w:right="-668"/>
              <w:jc w:val="both"/>
            </w:pPr>
            <w:r w:rsidRPr="008C4BEB">
              <w:t>16°36N</w:t>
            </w:r>
          </w:p>
        </w:tc>
        <w:tc>
          <w:tcPr>
            <w:tcW w:w="975" w:type="dxa"/>
          </w:tcPr>
          <w:p w14:paraId="62B7E474" w14:textId="77777777" w:rsidR="004E687C" w:rsidRPr="008C4BEB" w:rsidRDefault="004E687C" w:rsidP="00EE0E23">
            <w:pPr>
              <w:ind w:right="-668"/>
              <w:jc w:val="both"/>
            </w:pPr>
            <w:r w:rsidRPr="008C4BEB">
              <w:t>07°16W</w:t>
            </w:r>
          </w:p>
        </w:tc>
        <w:tc>
          <w:tcPr>
            <w:tcW w:w="1134" w:type="dxa"/>
          </w:tcPr>
          <w:p w14:paraId="43C42C27" w14:textId="77777777" w:rsidR="004E687C" w:rsidRPr="008C4BEB" w:rsidRDefault="004E687C" w:rsidP="00EE0E23">
            <w:pPr>
              <w:ind w:right="-668"/>
              <w:jc w:val="both"/>
            </w:pPr>
            <w:smartTag w:uri="urn:schemas-microsoft-com:office:smarttags" w:element="metricconverter">
              <w:smartTagPr>
                <w:attr w:name="ProductID" w:val="269 m"/>
              </w:smartTagPr>
              <w:r w:rsidRPr="008C4BEB">
                <w:t>269 m</w:t>
              </w:r>
            </w:smartTag>
          </w:p>
        </w:tc>
        <w:tc>
          <w:tcPr>
            <w:tcW w:w="1352" w:type="dxa"/>
          </w:tcPr>
          <w:p w14:paraId="57DEB13A" w14:textId="77777777" w:rsidR="004E687C" w:rsidRPr="008C4BEB" w:rsidRDefault="004E687C" w:rsidP="00EE0E23">
            <w:pPr>
              <w:ind w:right="-668"/>
              <w:jc w:val="both"/>
            </w:pPr>
            <w:r w:rsidRPr="008C4BEB">
              <w:t>1922</w:t>
            </w:r>
          </w:p>
        </w:tc>
        <w:tc>
          <w:tcPr>
            <w:tcW w:w="1803" w:type="dxa"/>
          </w:tcPr>
          <w:p w14:paraId="1541EED7" w14:textId="77777777" w:rsidR="004E687C" w:rsidRPr="008C4BEB" w:rsidRDefault="004E687C" w:rsidP="00EE0E23">
            <w:pPr>
              <w:ind w:right="-668"/>
              <w:jc w:val="both"/>
            </w:pPr>
            <w:r>
              <w:t>ONM</w:t>
            </w:r>
          </w:p>
        </w:tc>
      </w:tr>
      <w:tr w:rsidR="004E687C" w14:paraId="1AF482EC" w14:textId="77777777" w:rsidTr="00EE0E23">
        <w:tc>
          <w:tcPr>
            <w:tcW w:w="540" w:type="dxa"/>
          </w:tcPr>
          <w:p w14:paraId="16EFAA5C" w14:textId="77777777" w:rsidR="004E687C" w:rsidRPr="008C4BEB" w:rsidRDefault="004E687C" w:rsidP="00EE0E23">
            <w:pPr>
              <w:ind w:right="-668"/>
              <w:jc w:val="both"/>
              <w:rPr>
                <w:b/>
              </w:rPr>
            </w:pPr>
            <w:r>
              <w:rPr>
                <w:b/>
              </w:rPr>
              <w:t>16</w:t>
            </w:r>
          </w:p>
        </w:tc>
        <w:tc>
          <w:tcPr>
            <w:tcW w:w="1800" w:type="dxa"/>
          </w:tcPr>
          <w:p w14:paraId="03675934" w14:textId="77777777" w:rsidR="004E687C" w:rsidRPr="008C4BEB" w:rsidRDefault="004E687C" w:rsidP="00EE0E23">
            <w:pPr>
              <w:ind w:right="-668"/>
              <w:jc w:val="both"/>
              <w:rPr>
                <w:b/>
              </w:rPr>
            </w:pPr>
            <w:r w:rsidRPr="008C4BEB">
              <w:rPr>
                <w:b/>
              </w:rPr>
              <w:t>Nouadhibou</w:t>
            </w:r>
          </w:p>
        </w:tc>
        <w:tc>
          <w:tcPr>
            <w:tcW w:w="1080" w:type="dxa"/>
          </w:tcPr>
          <w:p w14:paraId="2ED5C1D6" w14:textId="77777777" w:rsidR="004E687C" w:rsidRPr="008C4BEB" w:rsidRDefault="004E687C" w:rsidP="00EE0E23">
            <w:pPr>
              <w:ind w:right="-668"/>
              <w:jc w:val="both"/>
            </w:pPr>
            <w:r w:rsidRPr="008C4BEB">
              <w:t>20°56N</w:t>
            </w:r>
          </w:p>
        </w:tc>
        <w:tc>
          <w:tcPr>
            <w:tcW w:w="975" w:type="dxa"/>
          </w:tcPr>
          <w:p w14:paraId="5979ED15" w14:textId="77777777" w:rsidR="004E687C" w:rsidRPr="008C4BEB" w:rsidRDefault="004E687C" w:rsidP="00EE0E23">
            <w:pPr>
              <w:ind w:right="-668"/>
              <w:jc w:val="both"/>
            </w:pPr>
            <w:r w:rsidRPr="008C4BEB">
              <w:t>17°02W</w:t>
            </w:r>
          </w:p>
        </w:tc>
        <w:tc>
          <w:tcPr>
            <w:tcW w:w="1134" w:type="dxa"/>
          </w:tcPr>
          <w:p w14:paraId="35891D44" w14:textId="77777777" w:rsidR="004E687C" w:rsidRPr="008C4BEB" w:rsidRDefault="004E687C" w:rsidP="00EE0E23">
            <w:pPr>
              <w:ind w:right="-668"/>
              <w:jc w:val="both"/>
            </w:pPr>
            <w:smartTag w:uri="urn:schemas-microsoft-com:office:smarttags" w:element="metricconverter">
              <w:smartTagPr>
                <w:attr w:name="ProductID" w:val="3 m"/>
              </w:smartTagPr>
              <w:r w:rsidRPr="008C4BEB">
                <w:t>3 m</w:t>
              </w:r>
            </w:smartTag>
          </w:p>
        </w:tc>
        <w:tc>
          <w:tcPr>
            <w:tcW w:w="1352" w:type="dxa"/>
          </w:tcPr>
          <w:p w14:paraId="68347CFD" w14:textId="77777777" w:rsidR="004E687C" w:rsidRPr="008C4BEB" w:rsidRDefault="004E687C" w:rsidP="00EE0E23">
            <w:pPr>
              <w:ind w:right="-668"/>
              <w:jc w:val="both"/>
            </w:pPr>
            <w:r w:rsidRPr="008C4BEB">
              <w:t>1900</w:t>
            </w:r>
          </w:p>
        </w:tc>
        <w:tc>
          <w:tcPr>
            <w:tcW w:w="1803" w:type="dxa"/>
          </w:tcPr>
          <w:p w14:paraId="40ABD418" w14:textId="77777777" w:rsidR="004E687C" w:rsidRPr="008C4BEB" w:rsidRDefault="004E687C" w:rsidP="00EE0E23">
            <w:pPr>
              <w:ind w:right="-668"/>
              <w:jc w:val="both"/>
            </w:pPr>
            <w:r>
              <w:t>ONM</w:t>
            </w:r>
          </w:p>
        </w:tc>
      </w:tr>
      <w:tr w:rsidR="004E687C" w14:paraId="626918FF" w14:textId="77777777" w:rsidTr="00EE0E23">
        <w:tc>
          <w:tcPr>
            <w:tcW w:w="540" w:type="dxa"/>
          </w:tcPr>
          <w:p w14:paraId="314F6849" w14:textId="77777777" w:rsidR="004E687C" w:rsidRPr="008C4BEB" w:rsidRDefault="004E687C" w:rsidP="00EE0E23">
            <w:pPr>
              <w:ind w:right="-668"/>
              <w:jc w:val="both"/>
              <w:rPr>
                <w:b/>
              </w:rPr>
            </w:pPr>
            <w:r>
              <w:rPr>
                <w:b/>
              </w:rPr>
              <w:t>17</w:t>
            </w:r>
          </w:p>
        </w:tc>
        <w:tc>
          <w:tcPr>
            <w:tcW w:w="1800" w:type="dxa"/>
          </w:tcPr>
          <w:p w14:paraId="4E60761C" w14:textId="77777777" w:rsidR="004E687C" w:rsidRPr="008C4BEB" w:rsidRDefault="004E687C" w:rsidP="00EE0E23">
            <w:pPr>
              <w:ind w:right="-668"/>
              <w:jc w:val="both"/>
              <w:rPr>
                <w:b/>
              </w:rPr>
            </w:pPr>
            <w:r w:rsidRPr="008C4BEB">
              <w:rPr>
                <w:b/>
              </w:rPr>
              <w:t>Nouakchott</w:t>
            </w:r>
          </w:p>
        </w:tc>
        <w:tc>
          <w:tcPr>
            <w:tcW w:w="1080" w:type="dxa"/>
          </w:tcPr>
          <w:p w14:paraId="659FF5D9" w14:textId="77777777" w:rsidR="004E687C" w:rsidRPr="008C4BEB" w:rsidRDefault="004E687C" w:rsidP="00EE0E23">
            <w:pPr>
              <w:ind w:right="-668"/>
              <w:jc w:val="both"/>
            </w:pPr>
            <w:r w:rsidRPr="008C4BEB">
              <w:t>18°06N</w:t>
            </w:r>
          </w:p>
        </w:tc>
        <w:tc>
          <w:tcPr>
            <w:tcW w:w="975" w:type="dxa"/>
          </w:tcPr>
          <w:p w14:paraId="44A77254" w14:textId="77777777" w:rsidR="004E687C" w:rsidRPr="008C4BEB" w:rsidRDefault="004E687C" w:rsidP="00EE0E23">
            <w:pPr>
              <w:ind w:right="-668"/>
              <w:jc w:val="both"/>
            </w:pPr>
            <w:r w:rsidRPr="008C4BEB">
              <w:t>15°57W</w:t>
            </w:r>
          </w:p>
        </w:tc>
        <w:tc>
          <w:tcPr>
            <w:tcW w:w="1134" w:type="dxa"/>
          </w:tcPr>
          <w:p w14:paraId="66D9DAF4" w14:textId="77777777" w:rsidR="004E687C" w:rsidRPr="008C4BEB" w:rsidRDefault="004E687C" w:rsidP="00EE0E23">
            <w:pPr>
              <w:ind w:right="-668"/>
              <w:jc w:val="both"/>
            </w:pPr>
            <w:smartTag w:uri="urn:schemas-microsoft-com:office:smarttags" w:element="metricconverter">
              <w:smartTagPr>
                <w:attr w:name="ProductID" w:val="3 m"/>
              </w:smartTagPr>
              <w:r w:rsidRPr="008C4BEB">
                <w:t>3 m</w:t>
              </w:r>
            </w:smartTag>
          </w:p>
        </w:tc>
        <w:tc>
          <w:tcPr>
            <w:tcW w:w="1352" w:type="dxa"/>
          </w:tcPr>
          <w:p w14:paraId="4EB1A5B2" w14:textId="77777777" w:rsidR="004E687C" w:rsidRPr="008C4BEB" w:rsidRDefault="004E687C" w:rsidP="00EE0E23">
            <w:pPr>
              <w:ind w:right="-668"/>
              <w:jc w:val="both"/>
            </w:pPr>
            <w:r w:rsidRPr="008C4BEB">
              <w:t>1930</w:t>
            </w:r>
          </w:p>
        </w:tc>
        <w:tc>
          <w:tcPr>
            <w:tcW w:w="1803" w:type="dxa"/>
          </w:tcPr>
          <w:p w14:paraId="102E7C74" w14:textId="77777777" w:rsidR="004E687C" w:rsidRPr="008C4BEB" w:rsidRDefault="004E687C" w:rsidP="00EE0E23">
            <w:pPr>
              <w:ind w:right="-668"/>
              <w:jc w:val="both"/>
            </w:pPr>
            <w:r>
              <w:t>ONM</w:t>
            </w:r>
          </w:p>
        </w:tc>
      </w:tr>
      <w:tr w:rsidR="004E687C" w14:paraId="778583DA" w14:textId="77777777" w:rsidTr="00EE0E23">
        <w:tc>
          <w:tcPr>
            <w:tcW w:w="540" w:type="dxa"/>
          </w:tcPr>
          <w:p w14:paraId="74F0EAF1" w14:textId="77777777" w:rsidR="004E687C" w:rsidRPr="008C4BEB" w:rsidRDefault="004E687C" w:rsidP="00EE0E23">
            <w:pPr>
              <w:ind w:right="-668"/>
              <w:jc w:val="both"/>
              <w:rPr>
                <w:b/>
              </w:rPr>
            </w:pPr>
            <w:r>
              <w:rPr>
                <w:b/>
              </w:rPr>
              <w:t>18</w:t>
            </w:r>
          </w:p>
        </w:tc>
        <w:tc>
          <w:tcPr>
            <w:tcW w:w="1800" w:type="dxa"/>
          </w:tcPr>
          <w:p w14:paraId="59720680" w14:textId="77777777" w:rsidR="004E687C" w:rsidRPr="008C4BEB" w:rsidRDefault="004E687C" w:rsidP="00EE0E23">
            <w:pPr>
              <w:ind w:right="-668"/>
              <w:jc w:val="both"/>
              <w:rPr>
                <w:b/>
              </w:rPr>
            </w:pPr>
            <w:r w:rsidRPr="008C4BEB">
              <w:rPr>
                <w:b/>
              </w:rPr>
              <w:t>Oualata</w:t>
            </w:r>
          </w:p>
        </w:tc>
        <w:tc>
          <w:tcPr>
            <w:tcW w:w="1080" w:type="dxa"/>
          </w:tcPr>
          <w:p w14:paraId="06704C86" w14:textId="77777777" w:rsidR="004E687C" w:rsidRPr="008C4BEB" w:rsidRDefault="004E687C" w:rsidP="00EE0E23">
            <w:pPr>
              <w:ind w:right="-668"/>
              <w:jc w:val="both"/>
            </w:pPr>
            <w:r w:rsidRPr="008C4BEB">
              <w:t>17°17N</w:t>
            </w:r>
          </w:p>
        </w:tc>
        <w:tc>
          <w:tcPr>
            <w:tcW w:w="975" w:type="dxa"/>
          </w:tcPr>
          <w:p w14:paraId="1D345300" w14:textId="77777777" w:rsidR="004E687C" w:rsidRPr="008C4BEB" w:rsidRDefault="004E687C" w:rsidP="00EE0E23">
            <w:pPr>
              <w:ind w:right="-668"/>
              <w:jc w:val="both"/>
            </w:pPr>
            <w:r w:rsidRPr="008C4BEB">
              <w:t>07°01W</w:t>
            </w:r>
          </w:p>
        </w:tc>
        <w:tc>
          <w:tcPr>
            <w:tcW w:w="1134" w:type="dxa"/>
          </w:tcPr>
          <w:p w14:paraId="7B60E1D1" w14:textId="77777777" w:rsidR="004E687C" w:rsidRPr="008C4BEB" w:rsidRDefault="004E687C" w:rsidP="00EE0E23">
            <w:pPr>
              <w:ind w:right="-668"/>
              <w:jc w:val="both"/>
            </w:pPr>
            <w:r w:rsidRPr="008C4BEB">
              <w:t>266</w:t>
            </w:r>
          </w:p>
        </w:tc>
        <w:tc>
          <w:tcPr>
            <w:tcW w:w="1352" w:type="dxa"/>
          </w:tcPr>
          <w:p w14:paraId="4EC3FF51" w14:textId="77777777" w:rsidR="004E687C" w:rsidRPr="008C4BEB" w:rsidRDefault="004E687C" w:rsidP="00EE0E23">
            <w:pPr>
              <w:ind w:right="-668"/>
              <w:jc w:val="both"/>
            </w:pPr>
            <w:r w:rsidRPr="008C4BEB">
              <w:t>1936</w:t>
            </w:r>
          </w:p>
        </w:tc>
        <w:tc>
          <w:tcPr>
            <w:tcW w:w="1803" w:type="dxa"/>
          </w:tcPr>
          <w:p w14:paraId="5026B1F2" w14:textId="77777777" w:rsidR="004E687C" w:rsidRPr="008C4BEB" w:rsidRDefault="004E687C" w:rsidP="00EE0E23">
            <w:pPr>
              <w:ind w:right="-668"/>
              <w:jc w:val="both"/>
            </w:pPr>
            <w:r>
              <w:t>ONM</w:t>
            </w:r>
          </w:p>
        </w:tc>
      </w:tr>
      <w:tr w:rsidR="004E687C" w14:paraId="03C4363C" w14:textId="77777777" w:rsidTr="00EE0E23">
        <w:tc>
          <w:tcPr>
            <w:tcW w:w="540" w:type="dxa"/>
          </w:tcPr>
          <w:p w14:paraId="58203476" w14:textId="77777777" w:rsidR="004E687C" w:rsidRPr="008C4BEB" w:rsidRDefault="004E687C" w:rsidP="00EE0E23">
            <w:pPr>
              <w:ind w:right="-668"/>
              <w:jc w:val="both"/>
              <w:rPr>
                <w:b/>
              </w:rPr>
            </w:pPr>
            <w:r>
              <w:rPr>
                <w:b/>
              </w:rPr>
              <w:t>19</w:t>
            </w:r>
          </w:p>
        </w:tc>
        <w:tc>
          <w:tcPr>
            <w:tcW w:w="1800" w:type="dxa"/>
          </w:tcPr>
          <w:p w14:paraId="66896CDB" w14:textId="77777777" w:rsidR="004E687C" w:rsidRPr="008C4BEB" w:rsidRDefault="004E687C" w:rsidP="00EE0E23">
            <w:pPr>
              <w:ind w:right="-668"/>
              <w:jc w:val="both"/>
              <w:rPr>
                <w:b/>
              </w:rPr>
            </w:pPr>
            <w:r w:rsidRPr="008C4BEB">
              <w:rPr>
                <w:b/>
              </w:rPr>
              <w:t>Rosso</w:t>
            </w:r>
          </w:p>
        </w:tc>
        <w:tc>
          <w:tcPr>
            <w:tcW w:w="1080" w:type="dxa"/>
          </w:tcPr>
          <w:p w14:paraId="4121ED2B" w14:textId="77777777" w:rsidR="004E687C" w:rsidRPr="008C4BEB" w:rsidRDefault="004E687C" w:rsidP="00EE0E23">
            <w:pPr>
              <w:ind w:right="-668"/>
              <w:jc w:val="both"/>
            </w:pPr>
            <w:r w:rsidRPr="008C4BEB">
              <w:t>16°30N</w:t>
            </w:r>
          </w:p>
        </w:tc>
        <w:tc>
          <w:tcPr>
            <w:tcW w:w="975" w:type="dxa"/>
          </w:tcPr>
          <w:p w14:paraId="4D945BC5" w14:textId="77777777" w:rsidR="004E687C" w:rsidRPr="008C4BEB" w:rsidRDefault="004E687C" w:rsidP="00EE0E23">
            <w:pPr>
              <w:ind w:right="-668"/>
              <w:jc w:val="both"/>
            </w:pPr>
            <w:r w:rsidRPr="008C4BEB">
              <w:t>15°49W</w:t>
            </w:r>
          </w:p>
        </w:tc>
        <w:tc>
          <w:tcPr>
            <w:tcW w:w="1134" w:type="dxa"/>
          </w:tcPr>
          <w:p w14:paraId="4F91638A" w14:textId="77777777" w:rsidR="004E687C" w:rsidRPr="008C4BEB" w:rsidRDefault="004E687C" w:rsidP="00EE0E23">
            <w:pPr>
              <w:ind w:right="-668"/>
              <w:jc w:val="both"/>
            </w:pPr>
            <w:smartTag w:uri="urn:schemas-microsoft-com:office:smarttags" w:element="metricconverter">
              <w:smartTagPr>
                <w:attr w:name="ProductID" w:val="6 m"/>
              </w:smartTagPr>
              <w:r w:rsidRPr="008C4BEB">
                <w:t>6 m</w:t>
              </w:r>
            </w:smartTag>
          </w:p>
        </w:tc>
        <w:tc>
          <w:tcPr>
            <w:tcW w:w="1352" w:type="dxa"/>
          </w:tcPr>
          <w:p w14:paraId="17A49035" w14:textId="77777777" w:rsidR="004E687C" w:rsidRPr="008C4BEB" w:rsidRDefault="004E687C" w:rsidP="00EE0E23">
            <w:pPr>
              <w:ind w:right="-668"/>
              <w:jc w:val="both"/>
            </w:pPr>
            <w:r w:rsidRPr="008C4BEB">
              <w:t>1934</w:t>
            </w:r>
          </w:p>
        </w:tc>
        <w:tc>
          <w:tcPr>
            <w:tcW w:w="1803" w:type="dxa"/>
          </w:tcPr>
          <w:p w14:paraId="1F3D0A63" w14:textId="77777777" w:rsidR="004E687C" w:rsidRPr="008C4BEB" w:rsidRDefault="004E687C" w:rsidP="00EE0E23">
            <w:pPr>
              <w:ind w:right="-668"/>
              <w:jc w:val="both"/>
            </w:pPr>
            <w:r>
              <w:t>ONM</w:t>
            </w:r>
          </w:p>
        </w:tc>
      </w:tr>
      <w:tr w:rsidR="004E687C" w14:paraId="4E9BB161" w14:textId="77777777" w:rsidTr="00EE0E23">
        <w:tc>
          <w:tcPr>
            <w:tcW w:w="540" w:type="dxa"/>
          </w:tcPr>
          <w:p w14:paraId="19614D1A" w14:textId="77777777" w:rsidR="004E687C" w:rsidRPr="008C4BEB" w:rsidRDefault="004E687C" w:rsidP="00EE0E23">
            <w:pPr>
              <w:ind w:right="-668"/>
              <w:jc w:val="both"/>
              <w:rPr>
                <w:b/>
              </w:rPr>
            </w:pPr>
            <w:r>
              <w:rPr>
                <w:b/>
              </w:rPr>
              <w:t>20</w:t>
            </w:r>
          </w:p>
        </w:tc>
        <w:tc>
          <w:tcPr>
            <w:tcW w:w="1800" w:type="dxa"/>
          </w:tcPr>
          <w:p w14:paraId="44D7A5DA" w14:textId="77777777" w:rsidR="004E687C" w:rsidRPr="008C4BEB" w:rsidRDefault="004E687C" w:rsidP="00EE0E23">
            <w:pPr>
              <w:ind w:right="-668"/>
              <w:jc w:val="both"/>
              <w:rPr>
                <w:b/>
              </w:rPr>
            </w:pPr>
            <w:r w:rsidRPr="008C4BEB">
              <w:rPr>
                <w:b/>
              </w:rPr>
              <w:t>Sélibaby</w:t>
            </w:r>
          </w:p>
        </w:tc>
        <w:tc>
          <w:tcPr>
            <w:tcW w:w="1080" w:type="dxa"/>
          </w:tcPr>
          <w:p w14:paraId="20027A02" w14:textId="77777777" w:rsidR="004E687C" w:rsidRPr="008C4BEB" w:rsidRDefault="004E687C" w:rsidP="00EE0E23">
            <w:pPr>
              <w:ind w:right="-668"/>
              <w:jc w:val="both"/>
            </w:pPr>
            <w:r w:rsidRPr="008C4BEB">
              <w:t>15°14N</w:t>
            </w:r>
          </w:p>
        </w:tc>
        <w:tc>
          <w:tcPr>
            <w:tcW w:w="975" w:type="dxa"/>
          </w:tcPr>
          <w:p w14:paraId="1A0F6217" w14:textId="77777777" w:rsidR="004E687C" w:rsidRPr="008C4BEB" w:rsidRDefault="004E687C" w:rsidP="00EE0E23">
            <w:pPr>
              <w:ind w:right="-668"/>
              <w:jc w:val="both"/>
            </w:pPr>
            <w:r w:rsidRPr="008C4BEB">
              <w:t>12°10W</w:t>
            </w:r>
          </w:p>
        </w:tc>
        <w:tc>
          <w:tcPr>
            <w:tcW w:w="1134" w:type="dxa"/>
          </w:tcPr>
          <w:p w14:paraId="5B32CB25" w14:textId="77777777" w:rsidR="004E687C" w:rsidRPr="008C4BEB" w:rsidRDefault="004E687C" w:rsidP="00EE0E23">
            <w:pPr>
              <w:ind w:right="-668"/>
              <w:jc w:val="both"/>
            </w:pPr>
            <w:r w:rsidRPr="008C4BEB">
              <w:t>60</w:t>
            </w:r>
          </w:p>
        </w:tc>
        <w:tc>
          <w:tcPr>
            <w:tcW w:w="1352" w:type="dxa"/>
          </w:tcPr>
          <w:p w14:paraId="46A82C86" w14:textId="77777777" w:rsidR="004E687C" w:rsidRPr="008C4BEB" w:rsidRDefault="004E687C" w:rsidP="00EE0E23">
            <w:pPr>
              <w:ind w:right="-668"/>
              <w:jc w:val="both"/>
            </w:pPr>
            <w:r w:rsidRPr="008C4BEB">
              <w:t>1934</w:t>
            </w:r>
          </w:p>
        </w:tc>
        <w:tc>
          <w:tcPr>
            <w:tcW w:w="1803" w:type="dxa"/>
          </w:tcPr>
          <w:p w14:paraId="3CC0E19A" w14:textId="77777777" w:rsidR="004E687C" w:rsidRPr="008C4BEB" w:rsidRDefault="004E687C" w:rsidP="00EE0E23">
            <w:pPr>
              <w:ind w:right="-668"/>
              <w:jc w:val="both"/>
            </w:pPr>
            <w:r w:rsidRPr="008C4BEB">
              <w:t>AGRHYMET</w:t>
            </w:r>
          </w:p>
        </w:tc>
      </w:tr>
      <w:tr w:rsidR="004E687C" w14:paraId="4CDDA2EA" w14:textId="77777777" w:rsidTr="00EE0E23">
        <w:tc>
          <w:tcPr>
            <w:tcW w:w="540" w:type="dxa"/>
          </w:tcPr>
          <w:p w14:paraId="45F0A750" w14:textId="77777777" w:rsidR="004E687C" w:rsidRPr="008C4BEB" w:rsidRDefault="004E687C" w:rsidP="00EE0E23">
            <w:pPr>
              <w:ind w:right="-668"/>
              <w:jc w:val="both"/>
              <w:rPr>
                <w:b/>
              </w:rPr>
            </w:pPr>
            <w:r>
              <w:rPr>
                <w:b/>
              </w:rPr>
              <w:t>21</w:t>
            </w:r>
          </w:p>
        </w:tc>
        <w:tc>
          <w:tcPr>
            <w:tcW w:w="1800" w:type="dxa"/>
          </w:tcPr>
          <w:p w14:paraId="3C4F7012" w14:textId="77777777" w:rsidR="004E687C" w:rsidRPr="008C4BEB" w:rsidRDefault="004E687C" w:rsidP="00EE0E23">
            <w:pPr>
              <w:ind w:right="-668"/>
              <w:jc w:val="both"/>
              <w:rPr>
                <w:b/>
              </w:rPr>
            </w:pPr>
            <w:r w:rsidRPr="008C4BEB">
              <w:rPr>
                <w:b/>
              </w:rPr>
              <w:t>Tamchakett</w:t>
            </w:r>
          </w:p>
        </w:tc>
        <w:tc>
          <w:tcPr>
            <w:tcW w:w="1080" w:type="dxa"/>
          </w:tcPr>
          <w:p w14:paraId="4E8B2B5E" w14:textId="77777777" w:rsidR="004E687C" w:rsidRPr="008C4BEB" w:rsidRDefault="004E687C" w:rsidP="00EE0E23">
            <w:pPr>
              <w:ind w:right="-668"/>
              <w:jc w:val="both"/>
            </w:pPr>
            <w:r w:rsidRPr="008C4BEB">
              <w:t>17°16N</w:t>
            </w:r>
          </w:p>
        </w:tc>
        <w:tc>
          <w:tcPr>
            <w:tcW w:w="975" w:type="dxa"/>
          </w:tcPr>
          <w:p w14:paraId="4C0BA444" w14:textId="77777777" w:rsidR="004E687C" w:rsidRPr="008C4BEB" w:rsidRDefault="004E687C" w:rsidP="00EE0E23">
            <w:pPr>
              <w:ind w:right="-668"/>
              <w:jc w:val="both"/>
            </w:pPr>
            <w:r w:rsidRPr="008C4BEB">
              <w:t>10°43W</w:t>
            </w:r>
          </w:p>
        </w:tc>
        <w:tc>
          <w:tcPr>
            <w:tcW w:w="1134" w:type="dxa"/>
          </w:tcPr>
          <w:p w14:paraId="75A9ACDA" w14:textId="77777777" w:rsidR="004E687C" w:rsidRPr="008C4BEB" w:rsidRDefault="004E687C" w:rsidP="00EE0E23">
            <w:pPr>
              <w:ind w:right="-668"/>
              <w:jc w:val="both"/>
            </w:pPr>
            <w:r w:rsidRPr="008C4BEB">
              <w:t>190</w:t>
            </w:r>
          </w:p>
        </w:tc>
        <w:tc>
          <w:tcPr>
            <w:tcW w:w="1352" w:type="dxa"/>
          </w:tcPr>
          <w:p w14:paraId="09591378" w14:textId="77777777" w:rsidR="004E687C" w:rsidRPr="008C4BEB" w:rsidRDefault="004E687C" w:rsidP="00EE0E23">
            <w:pPr>
              <w:ind w:right="-668"/>
              <w:jc w:val="both"/>
            </w:pPr>
            <w:r w:rsidRPr="008C4BEB">
              <w:t>1931</w:t>
            </w:r>
          </w:p>
        </w:tc>
        <w:tc>
          <w:tcPr>
            <w:tcW w:w="1803" w:type="dxa"/>
          </w:tcPr>
          <w:p w14:paraId="394CA834" w14:textId="77777777" w:rsidR="004E687C" w:rsidRPr="008C4BEB" w:rsidRDefault="004E687C" w:rsidP="00EE0E23">
            <w:pPr>
              <w:ind w:right="-668"/>
              <w:jc w:val="both"/>
            </w:pPr>
            <w:r w:rsidRPr="008C4BEB">
              <w:t>AGRHYMET</w:t>
            </w:r>
          </w:p>
        </w:tc>
      </w:tr>
      <w:tr w:rsidR="004E687C" w14:paraId="246543E7" w14:textId="77777777" w:rsidTr="00EE0E23">
        <w:tc>
          <w:tcPr>
            <w:tcW w:w="540" w:type="dxa"/>
          </w:tcPr>
          <w:p w14:paraId="6DBFC48B" w14:textId="77777777" w:rsidR="004E687C" w:rsidRPr="008C4BEB" w:rsidRDefault="004E687C" w:rsidP="00EE0E23">
            <w:pPr>
              <w:ind w:right="-668"/>
              <w:jc w:val="both"/>
              <w:rPr>
                <w:b/>
              </w:rPr>
            </w:pPr>
            <w:r>
              <w:rPr>
                <w:b/>
              </w:rPr>
              <w:t>22</w:t>
            </w:r>
          </w:p>
        </w:tc>
        <w:tc>
          <w:tcPr>
            <w:tcW w:w="1800" w:type="dxa"/>
          </w:tcPr>
          <w:p w14:paraId="70E40B05" w14:textId="77777777" w:rsidR="004E687C" w:rsidRPr="008C4BEB" w:rsidRDefault="004E687C" w:rsidP="00EE0E23">
            <w:pPr>
              <w:ind w:right="-668"/>
              <w:jc w:val="both"/>
              <w:rPr>
                <w:b/>
              </w:rPr>
            </w:pPr>
            <w:r w:rsidRPr="008C4BEB">
              <w:rPr>
                <w:b/>
              </w:rPr>
              <w:t>Tichitt</w:t>
            </w:r>
          </w:p>
        </w:tc>
        <w:tc>
          <w:tcPr>
            <w:tcW w:w="1080" w:type="dxa"/>
          </w:tcPr>
          <w:p w14:paraId="7787A8D6" w14:textId="77777777" w:rsidR="004E687C" w:rsidRPr="008C4BEB" w:rsidRDefault="004E687C" w:rsidP="00EE0E23">
            <w:pPr>
              <w:ind w:right="-668"/>
              <w:jc w:val="both"/>
            </w:pPr>
            <w:r w:rsidRPr="008C4BEB">
              <w:t>18°27N</w:t>
            </w:r>
          </w:p>
        </w:tc>
        <w:tc>
          <w:tcPr>
            <w:tcW w:w="975" w:type="dxa"/>
          </w:tcPr>
          <w:p w14:paraId="2A651AD8" w14:textId="77777777" w:rsidR="004E687C" w:rsidRPr="008C4BEB" w:rsidRDefault="004E687C" w:rsidP="00EE0E23">
            <w:pPr>
              <w:ind w:right="-668"/>
              <w:jc w:val="both"/>
            </w:pPr>
            <w:r w:rsidRPr="008C4BEB">
              <w:t>09°31W</w:t>
            </w:r>
          </w:p>
        </w:tc>
        <w:tc>
          <w:tcPr>
            <w:tcW w:w="1134" w:type="dxa"/>
          </w:tcPr>
          <w:p w14:paraId="03C3A91D" w14:textId="77777777" w:rsidR="004E687C" w:rsidRPr="008C4BEB" w:rsidRDefault="004E687C" w:rsidP="00EE0E23">
            <w:pPr>
              <w:ind w:right="-668"/>
              <w:jc w:val="both"/>
            </w:pPr>
            <w:r w:rsidRPr="008C4BEB">
              <w:t>161</w:t>
            </w:r>
          </w:p>
        </w:tc>
        <w:tc>
          <w:tcPr>
            <w:tcW w:w="1352" w:type="dxa"/>
          </w:tcPr>
          <w:p w14:paraId="043B6C72" w14:textId="77777777" w:rsidR="004E687C" w:rsidRPr="008C4BEB" w:rsidRDefault="004E687C" w:rsidP="00EE0E23">
            <w:pPr>
              <w:ind w:right="-668"/>
              <w:jc w:val="both"/>
            </w:pPr>
            <w:r w:rsidRPr="008C4BEB">
              <w:t>1921</w:t>
            </w:r>
          </w:p>
        </w:tc>
        <w:tc>
          <w:tcPr>
            <w:tcW w:w="1803" w:type="dxa"/>
          </w:tcPr>
          <w:p w14:paraId="76BBF9A6" w14:textId="77777777" w:rsidR="004E687C" w:rsidRPr="008C4BEB" w:rsidRDefault="004E687C" w:rsidP="00EE0E23">
            <w:pPr>
              <w:ind w:right="-668"/>
              <w:jc w:val="both"/>
            </w:pPr>
            <w:r w:rsidRPr="008C4BEB">
              <w:t>AGRHYMET</w:t>
            </w:r>
          </w:p>
        </w:tc>
      </w:tr>
      <w:tr w:rsidR="004E687C" w14:paraId="6CD648B1" w14:textId="77777777" w:rsidTr="00EE0E23">
        <w:tc>
          <w:tcPr>
            <w:tcW w:w="540" w:type="dxa"/>
          </w:tcPr>
          <w:p w14:paraId="5BEAAC4A" w14:textId="77777777" w:rsidR="004E687C" w:rsidRPr="008C4BEB" w:rsidRDefault="004E687C" w:rsidP="00EE0E23">
            <w:pPr>
              <w:ind w:right="-668"/>
              <w:jc w:val="both"/>
              <w:rPr>
                <w:b/>
              </w:rPr>
            </w:pPr>
            <w:r>
              <w:rPr>
                <w:b/>
              </w:rPr>
              <w:t>23</w:t>
            </w:r>
          </w:p>
        </w:tc>
        <w:tc>
          <w:tcPr>
            <w:tcW w:w="1800" w:type="dxa"/>
          </w:tcPr>
          <w:p w14:paraId="54E075A3" w14:textId="77777777" w:rsidR="004E687C" w:rsidRPr="008C4BEB" w:rsidRDefault="004E687C" w:rsidP="00EE0E23">
            <w:pPr>
              <w:ind w:right="-668"/>
              <w:jc w:val="both"/>
              <w:rPr>
                <w:b/>
              </w:rPr>
            </w:pPr>
            <w:r w:rsidRPr="008C4BEB">
              <w:rPr>
                <w:b/>
              </w:rPr>
              <w:t>Tidjikja</w:t>
            </w:r>
          </w:p>
        </w:tc>
        <w:tc>
          <w:tcPr>
            <w:tcW w:w="1080" w:type="dxa"/>
          </w:tcPr>
          <w:p w14:paraId="420DD77D" w14:textId="77777777" w:rsidR="004E687C" w:rsidRPr="008C4BEB" w:rsidRDefault="004E687C" w:rsidP="00EE0E23">
            <w:pPr>
              <w:ind w:right="-668"/>
              <w:jc w:val="both"/>
            </w:pPr>
            <w:r w:rsidRPr="008C4BEB">
              <w:t>18°34N</w:t>
            </w:r>
          </w:p>
        </w:tc>
        <w:tc>
          <w:tcPr>
            <w:tcW w:w="975" w:type="dxa"/>
          </w:tcPr>
          <w:p w14:paraId="2810B81E" w14:textId="77777777" w:rsidR="004E687C" w:rsidRPr="008C4BEB" w:rsidRDefault="004E687C" w:rsidP="00EE0E23">
            <w:pPr>
              <w:ind w:right="-668"/>
              <w:jc w:val="both"/>
            </w:pPr>
            <w:r w:rsidRPr="008C4BEB">
              <w:t>11°26W</w:t>
            </w:r>
          </w:p>
        </w:tc>
        <w:tc>
          <w:tcPr>
            <w:tcW w:w="1134" w:type="dxa"/>
          </w:tcPr>
          <w:p w14:paraId="24742B58" w14:textId="77777777" w:rsidR="004E687C" w:rsidRPr="008C4BEB" w:rsidRDefault="004E687C" w:rsidP="00EE0E23">
            <w:pPr>
              <w:ind w:right="-668"/>
              <w:jc w:val="both"/>
            </w:pPr>
            <w:smartTag w:uri="urn:schemas-microsoft-com:office:smarttags" w:element="metricconverter">
              <w:smartTagPr>
                <w:attr w:name="ProductID" w:val="402 m"/>
              </w:smartTagPr>
              <w:r w:rsidRPr="008C4BEB">
                <w:t>402 m</w:t>
              </w:r>
            </w:smartTag>
          </w:p>
        </w:tc>
        <w:tc>
          <w:tcPr>
            <w:tcW w:w="1352" w:type="dxa"/>
          </w:tcPr>
          <w:p w14:paraId="17AF9DA5" w14:textId="77777777" w:rsidR="004E687C" w:rsidRPr="008C4BEB" w:rsidRDefault="004E687C" w:rsidP="00EE0E23">
            <w:pPr>
              <w:ind w:right="-668"/>
              <w:jc w:val="both"/>
            </w:pPr>
            <w:r w:rsidRPr="008C4BEB">
              <w:t>1907</w:t>
            </w:r>
          </w:p>
        </w:tc>
        <w:tc>
          <w:tcPr>
            <w:tcW w:w="1803" w:type="dxa"/>
          </w:tcPr>
          <w:p w14:paraId="473F9224" w14:textId="77777777" w:rsidR="004E687C" w:rsidRPr="008C4BEB" w:rsidRDefault="004E687C" w:rsidP="00EE0E23">
            <w:pPr>
              <w:ind w:right="-668"/>
              <w:jc w:val="both"/>
            </w:pPr>
            <w:r>
              <w:t>ONM</w:t>
            </w:r>
          </w:p>
        </w:tc>
      </w:tr>
      <w:tr w:rsidR="004E687C" w14:paraId="7E04DA49" w14:textId="77777777" w:rsidTr="00EE0E23">
        <w:tc>
          <w:tcPr>
            <w:tcW w:w="540" w:type="dxa"/>
          </w:tcPr>
          <w:p w14:paraId="73AF916E" w14:textId="77777777" w:rsidR="004E687C" w:rsidRPr="008C4BEB" w:rsidRDefault="004E687C" w:rsidP="00EE0E23">
            <w:pPr>
              <w:ind w:right="-668"/>
              <w:jc w:val="both"/>
              <w:rPr>
                <w:b/>
              </w:rPr>
            </w:pPr>
            <w:r>
              <w:rPr>
                <w:b/>
              </w:rPr>
              <w:t>24</w:t>
            </w:r>
          </w:p>
        </w:tc>
        <w:tc>
          <w:tcPr>
            <w:tcW w:w="1800" w:type="dxa"/>
          </w:tcPr>
          <w:p w14:paraId="316B0ECA" w14:textId="77777777" w:rsidR="004E687C" w:rsidRPr="008C4BEB" w:rsidRDefault="004E687C" w:rsidP="00EE0E23">
            <w:pPr>
              <w:ind w:right="-668"/>
              <w:jc w:val="both"/>
              <w:rPr>
                <w:b/>
              </w:rPr>
            </w:pPr>
            <w:r w:rsidRPr="008C4BEB">
              <w:rPr>
                <w:b/>
              </w:rPr>
              <w:t>Timbedra</w:t>
            </w:r>
          </w:p>
        </w:tc>
        <w:tc>
          <w:tcPr>
            <w:tcW w:w="1080" w:type="dxa"/>
          </w:tcPr>
          <w:p w14:paraId="73232F86" w14:textId="77777777" w:rsidR="004E687C" w:rsidRPr="008C4BEB" w:rsidRDefault="004E687C" w:rsidP="00EE0E23">
            <w:pPr>
              <w:ind w:right="-668"/>
              <w:jc w:val="both"/>
            </w:pPr>
            <w:r w:rsidRPr="008C4BEB">
              <w:t>16°17N</w:t>
            </w:r>
          </w:p>
        </w:tc>
        <w:tc>
          <w:tcPr>
            <w:tcW w:w="975" w:type="dxa"/>
          </w:tcPr>
          <w:p w14:paraId="27E32736" w14:textId="77777777" w:rsidR="004E687C" w:rsidRPr="008C4BEB" w:rsidRDefault="004E687C" w:rsidP="00EE0E23">
            <w:pPr>
              <w:ind w:right="-668"/>
              <w:jc w:val="both"/>
            </w:pPr>
            <w:r w:rsidRPr="008C4BEB">
              <w:t>08°12W</w:t>
            </w:r>
          </w:p>
        </w:tc>
        <w:tc>
          <w:tcPr>
            <w:tcW w:w="1134" w:type="dxa"/>
          </w:tcPr>
          <w:p w14:paraId="5063FC16" w14:textId="77777777" w:rsidR="004E687C" w:rsidRPr="008C4BEB" w:rsidRDefault="004E687C" w:rsidP="00EE0E23">
            <w:pPr>
              <w:ind w:right="-668"/>
              <w:jc w:val="both"/>
            </w:pPr>
            <w:r w:rsidRPr="008C4BEB">
              <w:t>210</w:t>
            </w:r>
          </w:p>
        </w:tc>
        <w:tc>
          <w:tcPr>
            <w:tcW w:w="1352" w:type="dxa"/>
          </w:tcPr>
          <w:p w14:paraId="26CABE0C" w14:textId="77777777" w:rsidR="004E687C" w:rsidRPr="008C4BEB" w:rsidRDefault="004E687C" w:rsidP="00EE0E23">
            <w:pPr>
              <w:ind w:right="-668"/>
              <w:jc w:val="both"/>
            </w:pPr>
            <w:r w:rsidRPr="008C4BEB">
              <w:t>1929</w:t>
            </w:r>
          </w:p>
        </w:tc>
        <w:tc>
          <w:tcPr>
            <w:tcW w:w="1803" w:type="dxa"/>
          </w:tcPr>
          <w:p w14:paraId="4AE994F8" w14:textId="77777777" w:rsidR="004E687C" w:rsidRPr="008C4BEB" w:rsidRDefault="004E687C" w:rsidP="00EE0E23">
            <w:pPr>
              <w:ind w:right="-668"/>
              <w:jc w:val="both"/>
            </w:pPr>
            <w:r w:rsidRPr="008C4BEB">
              <w:t>AGRHYMET</w:t>
            </w:r>
          </w:p>
        </w:tc>
      </w:tr>
      <w:tr w:rsidR="004E687C" w14:paraId="76D4B639" w14:textId="77777777" w:rsidTr="00EE0E23">
        <w:tc>
          <w:tcPr>
            <w:tcW w:w="540" w:type="dxa"/>
          </w:tcPr>
          <w:p w14:paraId="1B372DD0" w14:textId="77777777" w:rsidR="004E687C" w:rsidRPr="008C4BEB" w:rsidRDefault="004E687C" w:rsidP="00EE0E23">
            <w:pPr>
              <w:ind w:right="-668"/>
              <w:jc w:val="both"/>
              <w:rPr>
                <w:b/>
              </w:rPr>
            </w:pPr>
            <w:r>
              <w:rPr>
                <w:b/>
              </w:rPr>
              <w:t>25</w:t>
            </w:r>
          </w:p>
        </w:tc>
        <w:tc>
          <w:tcPr>
            <w:tcW w:w="1800" w:type="dxa"/>
          </w:tcPr>
          <w:p w14:paraId="2EE551D1" w14:textId="77777777" w:rsidR="004E687C" w:rsidRPr="008C4BEB" w:rsidRDefault="004E687C" w:rsidP="00EE0E23">
            <w:pPr>
              <w:ind w:right="-668"/>
              <w:jc w:val="both"/>
              <w:rPr>
                <w:b/>
              </w:rPr>
            </w:pPr>
            <w:r w:rsidRPr="008C4BEB">
              <w:rPr>
                <w:b/>
              </w:rPr>
              <w:t>Zouérate</w:t>
            </w:r>
          </w:p>
        </w:tc>
        <w:tc>
          <w:tcPr>
            <w:tcW w:w="1080" w:type="dxa"/>
          </w:tcPr>
          <w:p w14:paraId="2E807CD1" w14:textId="77777777" w:rsidR="004E687C" w:rsidRPr="008C4BEB" w:rsidRDefault="004E687C" w:rsidP="00EE0E23">
            <w:pPr>
              <w:ind w:right="-668"/>
              <w:jc w:val="both"/>
            </w:pPr>
            <w:r w:rsidRPr="008C4BEB">
              <w:t>22°45N</w:t>
            </w:r>
          </w:p>
        </w:tc>
        <w:tc>
          <w:tcPr>
            <w:tcW w:w="975" w:type="dxa"/>
          </w:tcPr>
          <w:p w14:paraId="1241391E" w14:textId="77777777" w:rsidR="004E687C" w:rsidRPr="008C4BEB" w:rsidRDefault="004E687C" w:rsidP="00EE0E23">
            <w:pPr>
              <w:ind w:right="-668"/>
              <w:jc w:val="both"/>
            </w:pPr>
            <w:r w:rsidRPr="008C4BEB">
              <w:t>12°29W</w:t>
            </w:r>
          </w:p>
        </w:tc>
        <w:tc>
          <w:tcPr>
            <w:tcW w:w="1134" w:type="dxa"/>
          </w:tcPr>
          <w:p w14:paraId="6B38E98B" w14:textId="77777777" w:rsidR="004E687C" w:rsidRPr="008C4BEB" w:rsidRDefault="004E687C" w:rsidP="00EE0E23">
            <w:pPr>
              <w:ind w:right="-668"/>
              <w:jc w:val="both"/>
            </w:pPr>
            <w:smartTag w:uri="urn:schemas-microsoft-com:office:smarttags" w:element="metricconverter">
              <w:smartTagPr>
                <w:attr w:name="ProductID" w:val="343 m"/>
              </w:smartTagPr>
              <w:r w:rsidRPr="008C4BEB">
                <w:t>343 m</w:t>
              </w:r>
            </w:smartTag>
          </w:p>
        </w:tc>
        <w:tc>
          <w:tcPr>
            <w:tcW w:w="1352" w:type="dxa"/>
          </w:tcPr>
          <w:p w14:paraId="01647BCD" w14:textId="77777777" w:rsidR="004E687C" w:rsidRPr="008C4BEB" w:rsidRDefault="004E687C" w:rsidP="00EE0E23">
            <w:pPr>
              <w:ind w:right="-668"/>
              <w:jc w:val="both"/>
            </w:pPr>
            <w:r w:rsidRPr="008C4BEB">
              <w:t>1938</w:t>
            </w:r>
          </w:p>
        </w:tc>
        <w:tc>
          <w:tcPr>
            <w:tcW w:w="1803" w:type="dxa"/>
          </w:tcPr>
          <w:p w14:paraId="06EE1628" w14:textId="77777777" w:rsidR="004E687C" w:rsidRPr="008C4BEB" w:rsidRDefault="004E687C" w:rsidP="00EE0E23">
            <w:pPr>
              <w:ind w:right="-668"/>
              <w:jc w:val="both"/>
            </w:pPr>
            <w:r>
              <w:t>ONM</w:t>
            </w:r>
          </w:p>
        </w:tc>
      </w:tr>
    </w:tbl>
    <w:p w14:paraId="595FAF2A" w14:textId="77777777" w:rsidR="004E687C" w:rsidRDefault="004E687C" w:rsidP="004E687C">
      <w:pPr>
        <w:jc w:val="both"/>
        <w:rPr>
          <w:rtl/>
        </w:rPr>
      </w:pPr>
    </w:p>
    <w:p w14:paraId="46CFC9A1" w14:textId="77777777" w:rsidR="004E687C" w:rsidRDefault="004E687C" w:rsidP="004E687C">
      <w:pPr>
        <w:jc w:val="both"/>
      </w:pPr>
    </w:p>
    <w:p w14:paraId="2C770A7E" w14:textId="77777777" w:rsidR="004E687C" w:rsidRPr="00607EE0" w:rsidRDefault="004E687C" w:rsidP="004E687C">
      <w:pPr>
        <w:pStyle w:val="Titre1"/>
        <w:numPr>
          <w:ilvl w:val="0"/>
          <w:numId w:val="185"/>
        </w:numPr>
        <w:ind w:left="720" w:hanging="360"/>
      </w:pPr>
      <w:bookmarkStart w:id="573" w:name="_Toc343596113"/>
      <w:bookmarkStart w:id="574" w:name="_Toc191284976"/>
      <w:r w:rsidRPr="00607EE0">
        <w:t>Changements observés dans le climat et leurs effets</w:t>
      </w:r>
      <w:bookmarkEnd w:id="573"/>
      <w:bookmarkEnd w:id="574"/>
    </w:p>
    <w:p w14:paraId="6DDA57EA" w14:textId="77777777" w:rsidR="004E687C" w:rsidRDefault="004E687C" w:rsidP="004E687C">
      <w:pPr>
        <w:jc w:val="both"/>
      </w:pPr>
      <w:r w:rsidRPr="00274927">
        <w:t>Les événements précurseurs des changements climatiques sont de plus en plus évidents, conscientisant les citoyens sur la fragilité des ressources naturelles. Selon l'Organisation Météorologique Mondiale (OMM), le nombre de phénomènes extrêmes a doublé au cours des dix dernières années (Pachauri, 2002). Dans ce cadre la première partie de ce document sera consacré aux indices climatiques qui serviront comme indicateurs de ses précurseurs des CC et leurs tendances observées conformément aux données des stations d’observation météorologique les plus proches de la zone d’étude.</w:t>
      </w:r>
    </w:p>
    <w:p w14:paraId="6C6BAB89" w14:textId="77777777" w:rsidR="004E687C" w:rsidRPr="000F3577" w:rsidRDefault="004E687C" w:rsidP="004E687C">
      <w:pPr>
        <w:pStyle w:val="Titre2"/>
        <w:numPr>
          <w:ilvl w:val="0"/>
          <w:numId w:val="187"/>
        </w:numPr>
        <w:tabs>
          <w:tab w:val="clear" w:pos="1637"/>
          <w:tab w:val="num" w:pos="709"/>
        </w:tabs>
        <w:spacing w:before="120"/>
        <w:ind w:left="709" w:hanging="709"/>
        <w:jc w:val="both"/>
        <w:rPr>
          <w:i/>
          <w:iCs/>
        </w:rPr>
      </w:pPr>
      <w:bookmarkStart w:id="575" w:name="_Toc343596114"/>
      <w:bookmarkStart w:id="576" w:name="_Toc191284977"/>
      <w:r w:rsidRPr="000F3577">
        <w:t>La méthodologie d’évaluation</w:t>
      </w:r>
      <w:bookmarkEnd w:id="575"/>
      <w:bookmarkEnd w:id="576"/>
    </w:p>
    <w:p w14:paraId="79A0869A" w14:textId="77777777" w:rsidR="004E687C" w:rsidRDefault="004E687C" w:rsidP="004E687C">
      <w:pPr>
        <w:autoSpaceDE w:val="0"/>
        <w:autoSpaceDN w:val="0"/>
        <w:adjustRightInd w:val="0"/>
        <w:jc w:val="both"/>
      </w:pPr>
      <w:r>
        <w:t xml:space="preserve">La méthodologie d’évaluation du changement climatique observé est fondée sur les indices climatiques produisent par le pro-logiciels </w:t>
      </w:r>
      <w:proofErr w:type="spellStart"/>
      <w:r>
        <w:rPr>
          <w:rFonts w:ascii="TimesNewRomanPS-BoldMT" w:hAnsi="TimesNewRomanPS-BoldMT" w:cs="TimesNewRomanPS-BoldMT"/>
          <w:b/>
          <w:bCs/>
        </w:rPr>
        <w:t>RClimDex</w:t>
      </w:r>
      <w:proofErr w:type="spellEnd"/>
      <w:r>
        <w:rPr>
          <w:rFonts w:ascii="TimesNewRomanPS-BoldMT" w:hAnsi="TimesNewRomanPS-BoldMT" w:cs="TimesNewRomanPS-BoldMT"/>
          <w:b/>
          <w:bCs/>
        </w:rPr>
        <w:t xml:space="preserve"> 1</w:t>
      </w:r>
      <w:r>
        <w:t>, recommandé par l’OMM.</w:t>
      </w:r>
    </w:p>
    <w:p w14:paraId="1E58A813" w14:textId="77777777" w:rsidR="004E687C" w:rsidRDefault="004E687C" w:rsidP="004E687C">
      <w:pPr>
        <w:autoSpaceDE w:val="0"/>
        <w:autoSpaceDN w:val="0"/>
        <w:adjustRightInd w:val="0"/>
        <w:jc w:val="both"/>
      </w:pPr>
      <w:r>
        <w:t xml:space="preserve">Pour faire l’analyse de ce changement climatique, un groupe d’indicateurs a été sélectionné pour chaque question suivant leurs significations statistiques. L’analyse couvrira la zone de l’étude sur deux niveaux : (a) le niveau locale « stations les plus proches de la zone d’étude », ou les tendances des indicateurs et leurs ampleurs feront l’objet d’une analyse ponctuelle ; (b) le niveau zonal, ou on fait une spatialisation des tendances des indicateurs pour couvrir la zone de l’étude. </w:t>
      </w:r>
    </w:p>
    <w:p w14:paraId="4A34AA8E" w14:textId="77777777" w:rsidR="004E687C" w:rsidRPr="00274927" w:rsidRDefault="004E687C" w:rsidP="004E687C">
      <w:pPr>
        <w:autoSpaceDE w:val="0"/>
        <w:autoSpaceDN w:val="0"/>
        <w:adjustRightInd w:val="0"/>
        <w:jc w:val="both"/>
      </w:pPr>
      <w:r w:rsidRPr="00274927">
        <w:t xml:space="preserve">Trois stresse majeurs seront pris en compte dans cette partie, il s’agit de : </w:t>
      </w:r>
    </w:p>
    <w:p w14:paraId="617FF8A1" w14:textId="77777777" w:rsidR="004E687C" w:rsidRPr="00274927" w:rsidRDefault="004E687C" w:rsidP="004E687C">
      <w:pPr>
        <w:pStyle w:val="Paragraphedeliste"/>
        <w:numPr>
          <w:ilvl w:val="0"/>
          <w:numId w:val="156"/>
        </w:numPr>
        <w:autoSpaceDE w:val="0"/>
        <w:autoSpaceDN w:val="0"/>
        <w:adjustRightInd w:val="0"/>
        <w:spacing w:after="0" w:line="240" w:lineRule="auto"/>
        <w:jc w:val="both"/>
      </w:pPr>
      <w:r>
        <w:rPr>
          <w:noProof/>
          <w:lang w:eastAsia="fr-FR"/>
        </w:rPr>
        <w:drawing>
          <wp:anchor distT="0" distB="0" distL="114300" distR="114300" simplePos="0" relativeHeight="251732992" behindDoc="1" locked="0" layoutInCell="1" allowOverlap="1" wp14:anchorId="6190518E" wp14:editId="78958E0C">
            <wp:simplePos x="0" y="0"/>
            <wp:positionH relativeFrom="column">
              <wp:posOffset>3014980</wp:posOffset>
            </wp:positionH>
            <wp:positionV relativeFrom="paragraph">
              <wp:posOffset>113030</wp:posOffset>
            </wp:positionV>
            <wp:extent cx="3237230" cy="1844040"/>
            <wp:effectExtent l="19050" t="19050" r="20320" b="22860"/>
            <wp:wrapTight wrapText="bothSides">
              <wp:wrapPolygon edited="0">
                <wp:start x="-127" y="-223"/>
                <wp:lineTo x="-127" y="21868"/>
                <wp:lineTo x="21736" y="21868"/>
                <wp:lineTo x="21736" y="-223"/>
                <wp:lineTo x="-127" y="-223"/>
              </wp:wrapPolygon>
            </wp:wrapTight>
            <wp:docPr id="97186047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28"/>
                    <a:srcRect l="2582" t="4279" b="3743"/>
                    <a:stretch>
                      <a:fillRect/>
                    </a:stretch>
                  </pic:blipFill>
                  <pic:spPr bwMode="auto">
                    <a:xfrm>
                      <a:off x="0" y="0"/>
                      <a:ext cx="3237230" cy="1844040"/>
                    </a:xfrm>
                    <a:prstGeom prst="rect">
                      <a:avLst/>
                    </a:prstGeom>
                    <a:noFill/>
                    <a:ln w="9525">
                      <a:solidFill>
                        <a:srgbClr val="000000"/>
                      </a:solidFill>
                      <a:miter lim="800000"/>
                      <a:headEnd/>
                      <a:tailEnd/>
                    </a:ln>
                  </pic:spPr>
                </pic:pic>
              </a:graphicData>
            </a:graphic>
          </wp:anchor>
        </w:drawing>
      </w:r>
      <w:r w:rsidRPr="00274927">
        <w:t>La sécheresse ;</w:t>
      </w:r>
    </w:p>
    <w:p w14:paraId="057219AD" w14:textId="77777777" w:rsidR="004E687C" w:rsidRPr="00274927" w:rsidRDefault="004E687C" w:rsidP="004E687C">
      <w:pPr>
        <w:pStyle w:val="Paragraphedeliste"/>
        <w:numPr>
          <w:ilvl w:val="0"/>
          <w:numId w:val="156"/>
        </w:numPr>
        <w:autoSpaceDE w:val="0"/>
        <w:autoSpaceDN w:val="0"/>
        <w:adjustRightInd w:val="0"/>
        <w:spacing w:after="0" w:line="240" w:lineRule="auto"/>
        <w:jc w:val="both"/>
      </w:pPr>
      <w:r w:rsidRPr="00274927">
        <w:t xml:space="preserve">Les pluies torrentielles ; </w:t>
      </w:r>
    </w:p>
    <w:p w14:paraId="054FA584" w14:textId="77777777" w:rsidR="004E687C" w:rsidRDefault="004E687C" w:rsidP="004E687C">
      <w:pPr>
        <w:pStyle w:val="Paragraphedeliste"/>
        <w:numPr>
          <w:ilvl w:val="0"/>
          <w:numId w:val="156"/>
        </w:numPr>
        <w:autoSpaceDE w:val="0"/>
        <w:autoSpaceDN w:val="0"/>
        <w:adjustRightInd w:val="0"/>
        <w:spacing w:after="0" w:line="240" w:lineRule="auto"/>
        <w:jc w:val="both"/>
      </w:pPr>
      <w:r>
        <w:t>Le réchauffement.</w:t>
      </w:r>
    </w:p>
    <w:p w14:paraId="5B8D7E1C" w14:textId="77777777" w:rsidR="004E687C" w:rsidRDefault="004E687C" w:rsidP="004E687C">
      <w:pPr>
        <w:autoSpaceDE w:val="0"/>
        <w:autoSpaceDN w:val="0"/>
        <w:adjustRightInd w:val="0"/>
        <w:jc w:val="both"/>
      </w:pPr>
      <w:r>
        <w:t xml:space="preserve">Avant de passer à l’analyse, les </w:t>
      </w:r>
      <w:r w:rsidRPr="00DF56A4">
        <w:t xml:space="preserve">données </w:t>
      </w:r>
      <w:r>
        <w:t>climatiques ont été soumises à un contrôle de</w:t>
      </w:r>
      <w:r w:rsidRPr="00DF56A4">
        <w:t xml:space="preserve"> qualité </w:t>
      </w:r>
      <w:r>
        <w:t xml:space="preserve">et d’homogénéisation sur les deux plans </w:t>
      </w:r>
      <w:r w:rsidRPr="00DF56A4">
        <w:t>statistique et</w:t>
      </w:r>
      <w:r>
        <w:t xml:space="preserve"> </w:t>
      </w:r>
      <w:r w:rsidRPr="00DF56A4">
        <w:t xml:space="preserve">visuelle, grâce au pro-logiciel </w:t>
      </w:r>
      <w:proofErr w:type="spellStart"/>
      <w:r>
        <w:rPr>
          <w:rFonts w:ascii="TimesNewRomanPS-BoldMT" w:hAnsi="TimesNewRomanPS-BoldMT" w:cs="TimesNewRomanPS-BoldMT"/>
          <w:b/>
          <w:bCs/>
        </w:rPr>
        <w:t>RHtests</w:t>
      </w:r>
      <w:proofErr w:type="spellEnd"/>
      <w:r>
        <w:t xml:space="preserve"> version 3, recommandé par l’OMM.</w:t>
      </w:r>
    </w:p>
    <w:p w14:paraId="5E2BEB1C" w14:textId="77777777" w:rsidR="004E687C" w:rsidRPr="002B429B" w:rsidRDefault="004E687C" w:rsidP="004E687C">
      <w:pPr>
        <w:pStyle w:val="Titre2"/>
        <w:numPr>
          <w:ilvl w:val="0"/>
          <w:numId w:val="187"/>
        </w:numPr>
        <w:tabs>
          <w:tab w:val="clear" w:pos="1637"/>
          <w:tab w:val="num" w:pos="709"/>
        </w:tabs>
        <w:ind w:left="709" w:hanging="709"/>
        <w:jc w:val="both"/>
        <w:rPr>
          <w:i/>
          <w:iCs/>
        </w:rPr>
      </w:pPr>
      <w:bookmarkStart w:id="577" w:name="_Toc343596115"/>
      <w:bookmarkStart w:id="578" w:name="_Toc191284978"/>
      <w:r w:rsidRPr="002B429B">
        <w:t>La sécheresse</w:t>
      </w:r>
      <w:bookmarkEnd w:id="577"/>
      <w:bookmarkEnd w:id="578"/>
      <w:r w:rsidRPr="002B429B">
        <w:t xml:space="preserve"> </w:t>
      </w:r>
    </w:p>
    <w:p w14:paraId="55E78370" w14:textId="77777777" w:rsidR="004E687C" w:rsidRPr="00C1144D" w:rsidRDefault="004E687C" w:rsidP="004E687C">
      <w:pPr>
        <w:autoSpaceDE w:val="0"/>
        <w:autoSpaceDN w:val="0"/>
        <w:adjustRightInd w:val="0"/>
        <w:jc w:val="both"/>
      </w:pPr>
      <w:r>
        <w:rPr>
          <w:noProof/>
        </w:rPr>
        <w:drawing>
          <wp:anchor distT="0" distB="0" distL="114300" distR="114300" simplePos="0" relativeHeight="251731968" behindDoc="1" locked="0" layoutInCell="1" allowOverlap="1" wp14:anchorId="1C775DEB" wp14:editId="2A5AC814">
            <wp:simplePos x="0" y="0"/>
            <wp:positionH relativeFrom="column">
              <wp:posOffset>3281680</wp:posOffset>
            </wp:positionH>
            <wp:positionV relativeFrom="paragraph">
              <wp:posOffset>462915</wp:posOffset>
            </wp:positionV>
            <wp:extent cx="2969260" cy="3200400"/>
            <wp:effectExtent l="19050" t="19050" r="21590" b="19050"/>
            <wp:wrapTight wrapText="bothSides">
              <wp:wrapPolygon edited="0">
                <wp:start x="-139" y="-129"/>
                <wp:lineTo x="-139" y="21729"/>
                <wp:lineTo x="21757" y="21729"/>
                <wp:lineTo x="21757" y="-129"/>
                <wp:lineTo x="-139" y="-129"/>
              </wp:wrapPolygon>
            </wp:wrapTight>
            <wp:docPr id="1627227705" name="Image 3" descr="prcptot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prcptot111.jpg"/>
                    <pic:cNvPicPr>
                      <a:picLocks noChangeAspect="1" noChangeArrowheads="1"/>
                    </pic:cNvPicPr>
                  </pic:nvPicPr>
                  <pic:blipFill>
                    <a:blip r:embed="rId229"/>
                    <a:srcRect/>
                    <a:stretch>
                      <a:fillRect/>
                    </a:stretch>
                  </pic:blipFill>
                  <pic:spPr bwMode="auto">
                    <a:xfrm>
                      <a:off x="0" y="0"/>
                      <a:ext cx="2969260" cy="3200400"/>
                    </a:xfrm>
                    <a:prstGeom prst="rect">
                      <a:avLst/>
                    </a:prstGeom>
                    <a:noFill/>
                    <a:ln w="9525">
                      <a:solidFill>
                        <a:srgbClr val="000000"/>
                      </a:solidFill>
                      <a:miter lim="800000"/>
                      <a:headEnd/>
                      <a:tailEnd/>
                    </a:ln>
                  </pic:spPr>
                </pic:pic>
              </a:graphicData>
            </a:graphic>
          </wp:anchor>
        </w:drawing>
      </w:r>
      <w:r w:rsidRPr="00C1144D">
        <w:t xml:space="preserve">Pour l’analyse du stress lié à la sécheresse en Mauritanie, un groupe </w:t>
      </w:r>
      <w:r>
        <w:t xml:space="preserve">de </w:t>
      </w:r>
      <w:r w:rsidRPr="00C1144D">
        <w:t>deux indicateur</w:t>
      </w:r>
      <w:r>
        <w:t>s</w:t>
      </w:r>
      <w:r w:rsidRPr="00C1144D">
        <w:t xml:space="preserve"> ont été largement suffisant</w:t>
      </w:r>
      <w:r>
        <w:t>s</w:t>
      </w:r>
      <w:r w:rsidRPr="00C1144D">
        <w:t xml:space="preserve"> pour démontrer la pertinence de la vulnérabilité à la sécheresse déjà observée.    </w:t>
      </w:r>
    </w:p>
    <w:p w14:paraId="2DAA399A" w14:textId="77777777" w:rsidR="004E687C" w:rsidRPr="002B429B" w:rsidRDefault="004E687C" w:rsidP="004E687C">
      <w:pPr>
        <w:pStyle w:val="Titre3"/>
        <w:numPr>
          <w:ilvl w:val="2"/>
          <w:numId w:val="189"/>
        </w:numPr>
        <w:tabs>
          <w:tab w:val="clear" w:pos="2340"/>
          <w:tab w:val="num" w:pos="-284"/>
        </w:tabs>
        <w:ind w:left="567" w:right="3118" w:hanging="710"/>
      </w:pPr>
      <w:bookmarkStart w:id="579" w:name="_Toc343596116"/>
      <w:bookmarkStart w:id="580" w:name="_Toc191284979"/>
      <w:r w:rsidRPr="002B429B">
        <w:t>Evolution des précipitations totales</w:t>
      </w:r>
      <w:bookmarkEnd w:id="579"/>
      <w:bookmarkEnd w:id="580"/>
    </w:p>
    <w:p w14:paraId="7670A195" w14:textId="77777777" w:rsidR="004E687C" w:rsidRPr="00C1144D" w:rsidRDefault="004E687C" w:rsidP="004E687C">
      <w:pPr>
        <w:autoSpaceDE w:val="0"/>
        <w:autoSpaceDN w:val="0"/>
        <w:adjustRightInd w:val="0"/>
        <w:jc w:val="both"/>
      </w:pPr>
      <w:r w:rsidRPr="00C1144D">
        <w:t>Cet indicateur est basé sur la pente de la tendance des pluies observées dans une station météorologique donnée.</w:t>
      </w:r>
    </w:p>
    <w:p w14:paraId="59F3CCC2" w14:textId="77777777" w:rsidR="004E687C" w:rsidRPr="00C1144D" w:rsidRDefault="004E687C" w:rsidP="004E687C">
      <w:pPr>
        <w:autoSpaceDE w:val="0"/>
        <w:autoSpaceDN w:val="0"/>
        <w:adjustRightInd w:val="0"/>
        <w:jc w:val="both"/>
      </w:pPr>
      <w:r w:rsidRPr="00C1144D">
        <w:t>Les données de pluie dans les stations synoptiques montrent une allure générale à la baisse progressive des précipitations en Mauritanie. Le niveau de la signification statistique de cet indicateur est très élevé dans la plupart des stations, si on prend en compte que le groupe non significatif compte cinq stations (Akjoujt, Bir Mo</w:t>
      </w:r>
      <w:r>
        <w:t>u</w:t>
      </w:r>
      <w:r w:rsidRPr="00C1144D">
        <w:t>ghrein, Nouadhibou, Boutilimit et Kaédi), regroupe les trois stations de la partie hyper aride de la Mauritanie. En plus que les données de la station de Kaédi sont de faible homogénéité suite au changement du site du pluviomètre et de différence des séries chronologique</w:t>
      </w:r>
      <w:r>
        <w:t>s</w:t>
      </w:r>
      <w:r w:rsidRPr="00C1144D">
        <w:t>.</w:t>
      </w:r>
    </w:p>
    <w:p w14:paraId="79032396" w14:textId="77777777" w:rsidR="004E687C" w:rsidRPr="00D71060" w:rsidRDefault="004E687C" w:rsidP="004E687C">
      <w:pPr>
        <w:autoSpaceDE w:val="0"/>
        <w:autoSpaceDN w:val="0"/>
        <w:adjustRightInd w:val="0"/>
        <w:jc w:val="both"/>
      </w:pPr>
      <w:r w:rsidRPr="00D71060">
        <w:t>La spatialisation de cet indicateur permet de voir de près la situation dans chacune des zones d’étude sectorielle d’évaluation de la vulnérabilité.</w:t>
      </w:r>
    </w:p>
    <w:p w14:paraId="08792E07" w14:textId="77777777" w:rsidR="004E687C" w:rsidRDefault="004E687C" w:rsidP="004E687C">
      <w:pPr>
        <w:autoSpaceDE w:val="0"/>
        <w:autoSpaceDN w:val="0"/>
        <w:adjustRightInd w:val="0"/>
        <w:jc w:val="both"/>
      </w:pPr>
      <w:r w:rsidRPr="00D71060">
        <w:t>En général l’indicateur d’évolution des précipitations donne une tendance à la régression en Mauritanie. Le résultat de la spatialisation se présente comme suit :</w:t>
      </w:r>
    </w:p>
    <w:p w14:paraId="2BE771D3" w14:textId="77777777" w:rsidR="004E687C" w:rsidRPr="00CC165B" w:rsidRDefault="004E687C" w:rsidP="004E687C">
      <w:pPr>
        <w:numPr>
          <w:ilvl w:val="0"/>
          <w:numId w:val="196"/>
        </w:numPr>
        <w:autoSpaceDE w:val="0"/>
        <w:autoSpaceDN w:val="0"/>
        <w:adjustRightInd w:val="0"/>
        <w:spacing w:after="0" w:line="240" w:lineRule="auto"/>
        <w:jc w:val="both"/>
      </w:pPr>
      <w:r w:rsidRPr="00CC165B">
        <w:t>-1,5 à -2 mm dans les deux Hodhs et l’Assaba et l’est de Guidimagha et du Tagant</w:t>
      </w:r>
    </w:p>
    <w:p w14:paraId="690676BA" w14:textId="77777777" w:rsidR="004E687C" w:rsidRPr="00CC165B" w:rsidRDefault="004E687C" w:rsidP="004E687C">
      <w:pPr>
        <w:numPr>
          <w:ilvl w:val="0"/>
          <w:numId w:val="196"/>
        </w:numPr>
        <w:autoSpaceDE w:val="0"/>
        <w:autoSpaceDN w:val="0"/>
        <w:adjustRightInd w:val="0"/>
        <w:spacing w:after="0" w:line="240" w:lineRule="auto"/>
        <w:jc w:val="both"/>
      </w:pPr>
      <w:r w:rsidRPr="00CC165B">
        <w:t>-1,5 à -1 mm au Guidimagha, le nord du Brakna, l’ouest du Tagant l’Adrar, l’est de Tiris et l’ouest du Trarza y compris Nouakchott.</w:t>
      </w:r>
    </w:p>
    <w:p w14:paraId="3805BDEC" w14:textId="77777777" w:rsidR="004E687C" w:rsidRPr="00CC165B" w:rsidRDefault="004E687C" w:rsidP="004E687C">
      <w:pPr>
        <w:numPr>
          <w:ilvl w:val="0"/>
          <w:numId w:val="196"/>
        </w:numPr>
        <w:autoSpaceDE w:val="0"/>
        <w:autoSpaceDN w:val="0"/>
        <w:adjustRightInd w:val="0"/>
        <w:spacing w:after="0" w:line="240" w:lineRule="auto"/>
        <w:jc w:val="both"/>
      </w:pPr>
      <w:r w:rsidRPr="00CC165B">
        <w:t xml:space="preserve"> -1mm dans le reste du pays même dans les zones hyperarides comme la Wilaya de Dakhlet Nouadhibou.</w:t>
      </w:r>
    </w:p>
    <w:p w14:paraId="4F53E658" w14:textId="77777777" w:rsidR="004E687C" w:rsidRPr="00D71060" w:rsidRDefault="004E687C" w:rsidP="004E687C">
      <w:pPr>
        <w:pStyle w:val="Titre3"/>
        <w:numPr>
          <w:ilvl w:val="2"/>
          <w:numId w:val="189"/>
        </w:numPr>
        <w:tabs>
          <w:tab w:val="clear" w:pos="2340"/>
          <w:tab w:val="num" w:pos="-284"/>
        </w:tabs>
        <w:ind w:left="567" w:right="3827" w:hanging="710"/>
        <w:jc w:val="both"/>
      </w:pPr>
      <w:bookmarkStart w:id="581" w:name="_Toc191284980"/>
      <w:r w:rsidRPr="00D24161">
        <w:t>Impacts socioéconomiques</w:t>
      </w:r>
      <w:bookmarkEnd w:id="581"/>
      <w:r w:rsidRPr="00D24161">
        <w:t xml:space="preserve">  </w:t>
      </w:r>
    </w:p>
    <w:p w14:paraId="60B88F1D" w14:textId="77777777" w:rsidR="004E687C" w:rsidRDefault="004E687C" w:rsidP="004E687C">
      <w:pPr>
        <w:autoSpaceDE w:val="0"/>
        <w:autoSpaceDN w:val="0"/>
        <w:adjustRightInd w:val="0"/>
        <w:jc w:val="both"/>
      </w:pPr>
      <w:r>
        <w:t>Pour l’évaluation de l’impact sur les secteurs socioéconomiques de la régression des précipitations l’évaluation a été conduite suivant le classement des sécheresses. Cette dernière nous a permis de classer les sécheresses en trois catégories :</w:t>
      </w:r>
    </w:p>
    <w:p w14:paraId="235740E0" w14:textId="77777777" w:rsidR="004E687C" w:rsidRDefault="004E687C" w:rsidP="004E687C">
      <w:pPr>
        <w:autoSpaceDE w:val="0"/>
        <w:autoSpaceDN w:val="0"/>
        <w:adjustRightInd w:val="0"/>
        <w:jc w:val="both"/>
      </w:pPr>
      <w:r w:rsidRPr="007A6F03">
        <w:rPr>
          <w:u w:val="single"/>
        </w:rPr>
        <w:t>Sécheresses généralisées</w:t>
      </w:r>
      <w:r>
        <w:t> : cette catégorie comme celles des années soixante-dix et quatre-vingt couvres la totalité du pays avec des conséquences poussant à la déclaration de catastrophe.</w:t>
      </w:r>
    </w:p>
    <w:p w14:paraId="65609615" w14:textId="77777777" w:rsidR="004E687C" w:rsidRDefault="004E687C" w:rsidP="004E687C">
      <w:pPr>
        <w:autoSpaceDE w:val="0"/>
        <w:autoSpaceDN w:val="0"/>
        <w:adjustRightInd w:val="0"/>
        <w:jc w:val="both"/>
      </w:pPr>
      <w:r w:rsidRPr="007A6F03">
        <w:rPr>
          <w:u w:val="single"/>
        </w:rPr>
        <w:t>Sécheresses zonales</w:t>
      </w:r>
      <w:r>
        <w:t xml:space="preserve"> : cette catégorie est la plus fréquente ou elle était surmontable via la transhumance. </w:t>
      </w:r>
    </w:p>
    <w:p w14:paraId="456A931F" w14:textId="77777777" w:rsidR="004E687C" w:rsidRDefault="004E687C" w:rsidP="004E687C">
      <w:pPr>
        <w:autoSpaceDE w:val="0"/>
        <w:autoSpaceDN w:val="0"/>
        <w:adjustRightInd w:val="0"/>
        <w:jc w:val="both"/>
      </w:pPr>
      <w:r w:rsidRPr="00E1458E">
        <w:rPr>
          <w:u w:val="single"/>
        </w:rPr>
        <w:t>Sécheresses conduites par arrêts prolongées des pluies</w:t>
      </w:r>
      <w:r>
        <w:t> : cette dernière pourra conduire aux deux précédentes malgré un total pluviométrique normal ou proche du normal.</w:t>
      </w:r>
    </w:p>
    <w:p w14:paraId="249AF0E4" w14:textId="77777777" w:rsidR="004E687C" w:rsidRPr="007A6F03" w:rsidRDefault="004E687C" w:rsidP="004E687C">
      <w:pPr>
        <w:autoSpaceDE w:val="0"/>
        <w:autoSpaceDN w:val="0"/>
        <w:adjustRightInd w:val="0"/>
        <w:jc w:val="both"/>
      </w:pPr>
      <w:r>
        <w:t xml:space="preserve">Ces impactes couvrent l’ensemble des secteurs socioéconomiques comme suit    </w:t>
      </w:r>
    </w:p>
    <w:p w14:paraId="6718327E" w14:textId="77777777" w:rsidR="004E687C" w:rsidRPr="002B429B" w:rsidRDefault="004E687C" w:rsidP="004E687C">
      <w:pPr>
        <w:pStyle w:val="Paragraphedeliste"/>
        <w:numPr>
          <w:ilvl w:val="0"/>
          <w:numId w:val="157"/>
        </w:numPr>
        <w:spacing w:after="200" w:line="276" w:lineRule="auto"/>
        <w:jc w:val="both"/>
        <w:rPr>
          <w:rFonts w:ascii="Times New Roman" w:eastAsia="Times New Roman" w:hAnsi="Times New Roman" w:cs="Times New Roman"/>
          <w:b/>
          <w:bCs/>
          <w:sz w:val="24"/>
          <w:szCs w:val="24"/>
          <w:lang w:eastAsia="fr-FR"/>
        </w:rPr>
      </w:pPr>
      <w:r w:rsidRPr="002B429B">
        <w:rPr>
          <w:rFonts w:ascii="Times New Roman" w:eastAsia="Times New Roman" w:hAnsi="Times New Roman" w:cs="Times New Roman"/>
          <w:b/>
          <w:bCs/>
          <w:sz w:val="24"/>
          <w:szCs w:val="24"/>
          <w:lang w:eastAsia="fr-FR"/>
        </w:rPr>
        <w:t xml:space="preserve">Le secteur de l’agriculture </w:t>
      </w:r>
    </w:p>
    <w:p w14:paraId="2655F98C" w14:textId="77777777" w:rsidR="004E687C" w:rsidRPr="00CC165B" w:rsidRDefault="004E687C" w:rsidP="004E687C">
      <w:pPr>
        <w:pStyle w:val="Paragraphedeliste"/>
        <w:numPr>
          <w:ilvl w:val="1"/>
          <w:numId w:val="157"/>
        </w:numPr>
        <w:spacing w:after="200" w:line="228" w:lineRule="auto"/>
        <w:ind w:left="1434" w:hanging="357"/>
        <w:jc w:val="both"/>
        <w:rPr>
          <w:rFonts w:ascii="Times New Roman" w:eastAsia="Times New Roman" w:hAnsi="Times New Roman" w:cs="Times New Roman"/>
          <w:sz w:val="24"/>
          <w:szCs w:val="24"/>
          <w:lang w:eastAsia="fr-FR"/>
        </w:rPr>
      </w:pPr>
      <w:r w:rsidRPr="002B429B">
        <w:rPr>
          <w:rFonts w:ascii="Times New Roman" w:eastAsia="Times New Roman" w:hAnsi="Times New Roman" w:cs="Times New Roman"/>
          <w:b/>
          <w:bCs/>
          <w:color w:val="004E9A"/>
          <w:sz w:val="24"/>
          <w:szCs w:val="24"/>
          <w:lang w:eastAsia="fr-FR"/>
        </w:rPr>
        <w:t>Agriculture sous-pluie</w:t>
      </w:r>
      <w:r w:rsidRPr="002B429B">
        <w:rPr>
          <w:rFonts w:ascii="Times New Roman" w:eastAsia="Times New Roman" w:hAnsi="Times New Roman" w:cs="Times New Roman"/>
          <w:color w:val="004E9A"/>
          <w:sz w:val="24"/>
          <w:szCs w:val="24"/>
          <w:lang w:eastAsia="fr-FR"/>
        </w:rPr>
        <w:t> </w:t>
      </w:r>
      <w:r w:rsidRPr="00CC165B">
        <w:rPr>
          <w:rFonts w:ascii="Times New Roman" w:eastAsia="Times New Roman" w:hAnsi="Times New Roman" w:cs="Times New Roman"/>
          <w:sz w:val="24"/>
          <w:szCs w:val="24"/>
          <w:lang w:eastAsia="fr-FR"/>
        </w:rPr>
        <w:t>: cette composante était la plus touché</w:t>
      </w:r>
      <w:r>
        <w:rPr>
          <w:rFonts w:ascii="Times New Roman" w:eastAsia="Times New Roman" w:hAnsi="Times New Roman" w:cs="Times New Roman"/>
          <w:sz w:val="24"/>
          <w:szCs w:val="24"/>
          <w:lang w:eastAsia="fr-FR"/>
        </w:rPr>
        <w:t>e</w:t>
      </w:r>
      <w:r w:rsidRPr="00CC165B">
        <w:rPr>
          <w:rFonts w:ascii="Times New Roman" w:eastAsia="Times New Roman" w:hAnsi="Times New Roman" w:cs="Times New Roman"/>
          <w:sz w:val="24"/>
          <w:szCs w:val="24"/>
          <w:lang w:eastAsia="fr-FR"/>
        </w:rPr>
        <w:t xml:space="preserve"> particulièrement dans le sud-est du pays avec une régression de</w:t>
      </w:r>
      <w:r>
        <w:rPr>
          <w:rFonts w:ascii="Times New Roman" w:eastAsia="Times New Roman" w:hAnsi="Times New Roman" w:cs="Times New Roman"/>
          <w:sz w:val="24"/>
          <w:szCs w:val="24"/>
          <w:lang w:eastAsia="fr-FR"/>
        </w:rPr>
        <w:t>s</w:t>
      </w:r>
      <w:r w:rsidRPr="00CC165B">
        <w:rPr>
          <w:rFonts w:ascii="Times New Roman" w:eastAsia="Times New Roman" w:hAnsi="Times New Roman" w:cs="Times New Roman"/>
          <w:sz w:val="24"/>
          <w:szCs w:val="24"/>
          <w:lang w:eastAsia="fr-FR"/>
        </w:rPr>
        <w:t xml:space="preserve"> pluie</w:t>
      </w:r>
      <w:r>
        <w:rPr>
          <w:rFonts w:ascii="Times New Roman" w:eastAsia="Times New Roman" w:hAnsi="Times New Roman" w:cs="Times New Roman"/>
          <w:sz w:val="24"/>
          <w:szCs w:val="24"/>
          <w:lang w:eastAsia="fr-FR"/>
        </w:rPr>
        <w:t>s</w:t>
      </w:r>
      <w:r w:rsidRPr="00CC165B">
        <w:rPr>
          <w:rFonts w:ascii="Times New Roman" w:eastAsia="Times New Roman" w:hAnsi="Times New Roman" w:cs="Times New Roman"/>
          <w:sz w:val="24"/>
          <w:szCs w:val="24"/>
          <w:lang w:eastAsia="fr-FR"/>
        </w:rPr>
        <w:t xml:space="preserve"> dans les deux Hodhs et l’Assaba</w:t>
      </w:r>
      <w:r>
        <w:rPr>
          <w:rFonts w:ascii="Times New Roman" w:eastAsia="Times New Roman" w:hAnsi="Times New Roman" w:cs="Times New Roman"/>
          <w:sz w:val="24"/>
          <w:szCs w:val="24"/>
          <w:lang w:eastAsia="fr-FR"/>
        </w:rPr>
        <w:t> ;</w:t>
      </w:r>
      <w:r w:rsidRPr="00CC165B">
        <w:rPr>
          <w:rFonts w:ascii="Times New Roman" w:eastAsia="Times New Roman" w:hAnsi="Times New Roman" w:cs="Times New Roman"/>
          <w:sz w:val="24"/>
          <w:szCs w:val="24"/>
          <w:lang w:eastAsia="fr-FR"/>
        </w:rPr>
        <w:t xml:space="preserve"> et l’</w:t>
      </w:r>
      <w:r>
        <w:rPr>
          <w:rFonts w:ascii="Times New Roman" w:eastAsia="Times New Roman" w:hAnsi="Times New Roman" w:cs="Times New Roman"/>
          <w:sz w:val="24"/>
          <w:szCs w:val="24"/>
          <w:lang w:eastAsia="fr-FR"/>
        </w:rPr>
        <w:t>E</w:t>
      </w:r>
      <w:r w:rsidRPr="00CC165B">
        <w:rPr>
          <w:rFonts w:ascii="Times New Roman" w:eastAsia="Times New Roman" w:hAnsi="Times New Roman" w:cs="Times New Roman"/>
          <w:sz w:val="24"/>
          <w:szCs w:val="24"/>
          <w:lang w:eastAsia="fr-FR"/>
        </w:rPr>
        <w:t>st d</w:t>
      </w:r>
      <w:r>
        <w:rPr>
          <w:rFonts w:ascii="Times New Roman" w:eastAsia="Times New Roman" w:hAnsi="Times New Roman" w:cs="Times New Roman"/>
          <w:sz w:val="24"/>
          <w:szCs w:val="24"/>
          <w:lang w:eastAsia="fr-FR"/>
        </w:rPr>
        <w:t>u</w:t>
      </w:r>
      <w:r w:rsidRPr="00CC165B">
        <w:rPr>
          <w:rFonts w:ascii="Times New Roman" w:eastAsia="Times New Roman" w:hAnsi="Times New Roman" w:cs="Times New Roman"/>
          <w:sz w:val="24"/>
          <w:szCs w:val="24"/>
          <w:lang w:eastAsia="fr-FR"/>
        </w:rPr>
        <w:t xml:space="preserve"> Guidimagha. Même si les données d’autres zones donne</w:t>
      </w:r>
      <w:r>
        <w:rPr>
          <w:rFonts w:ascii="Times New Roman" w:eastAsia="Times New Roman" w:hAnsi="Times New Roman" w:cs="Times New Roman"/>
          <w:sz w:val="24"/>
          <w:szCs w:val="24"/>
          <w:lang w:eastAsia="fr-FR"/>
        </w:rPr>
        <w:t>nt</w:t>
      </w:r>
      <w:r w:rsidRPr="00CC165B">
        <w:rPr>
          <w:rFonts w:ascii="Times New Roman" w:eastAsia="Times New Roman" w:hAnsi="Times New Roman" w:cs="Times New Roman"/>
          <w:sz w:val="24"/>
          <w:szCs w:val="24"/>
          <w:lang w:eastAsia="fr-FR"/>
        </w:rPr>
        <w:t xml:space="preserve"> une régression inférieure à 1,5mm par an</w:t>
      </w:r>
      <w:r>
        <w:rPr>
          <w:rFonts w:ascii="Times New Roman" w:eastAsia="Times New Roman" w:hAnsi="Times New Roman" w:cs="Times New Roman"/>
          <w:sz w:val="24"/>
          <w:szCs w:val="24"/>
          <w:lang w:eastAsia="fr-FR"/>
        </w:rPr>
        <w:t>,</w:t>
      </w:r>
      <w:r w:rsidRPr="00CC165B">
        <w:rPr>
          <w:rFonts w:ascii="Times New Roman" w:eastAsia="Times New Roman" w:hAnsi="Times New Roman" w:cs="Times New Roman"/>
          <w:sz w:val="24"/>
          <w:szCs w:val="24"/>
          <w:lang w:eastAsia="fr-FR"/>
        </w:rPr>
        <w:t xml:space="preserve"> ce secteur reste le plus vulnérable en Mauritanie.  </w:t>
      </w:r>
    </w:p>
    <w:p w14:paraId="4B53274E" w14:textId="77777777" w:rsidR="004E687C" w:rsidRPr="00CC165B" w:rsidRDefault="004E687C" w:rsidP="004E687C">
      <w:pPr>
        <w:pStyle w:val="Paragraphedeliste"/>
        <w:numPr>
          <w:ilvl w:val="1"/>
          <w:numId w:val="157"/>
        </w:numPr>
        <w:spacing w:after="200" w:line="228" w:lineRule="auto"/>
        <w:ind w:left="1434" w:hanging="357"/>
        <w:jc w:val="both"/>
        <w:rPr>
          <w:rFonts w:ascii="Times New Roman" w:eastAsia="Times New Roman" w:hAnsi="Times New Roman" w:cs="Times New Roman"/>
          <w:sz w:val="24"/>
          <w:szCs w:val="24"/>
          <w:lang w:eastAsia="fr-FR"/>
        </w:rPr>
      </w:pPr>
      <w:r w:rsidRPr="002B429B">
        <w:rPr>
          <w:rFonts w:ascii="Times New Roman" w:eastAsia="Times New Roman" w:hAnsi="Times New Roman" w:cs="Times New Roman"/>
          <w:b/>
          <w:bCs/>
          <w:color w:val="004E9A"/>
          <w:sz w:val="24"/>
          <w:szCs w:val="24"/>
          <w:lang w:eastAsia="fr-FR"/>
        </w:rPr>
        <w:t>Agriculture derrière barrage</w:t>
      </w:r>
      <w:r w:rsidRPr="00CC165B">
        <w:rPr>
          <w:rFonts w:ascii="Times New Roman" w:eastAsia="Times New Roman" w:hAnsi="Times New Roman" w:cs="Times New Roman"/>
          <w:sz w:val="24"/>
          <w:szCs w:val="24"/>
          <w:lang w:eastAsia="fr-FR"/>
        </w:rPr>
        <w:t> : cette composante a été largement rependue comme action d’adaptation aux nouvelles conditions de régression des pluies (sécheresses successives) malgré qu’elle ait conduit à une sédentarisation accélérée de la population.  Dans les zones d’expansion de cette activité (Brakna, Sud</w:t>
      </w:r>
      <w:r>
        <w:rPr>
          <w:rFonts w:ascii="Times New Roman" w:eastAsia="Times New Roman" w:hAnsi="Times New Roman" w:cs="Times New Roman"/>
          <w:sz w:val="24"/>
          <w:szCs w:val="24"/>
          <w:lang w:eastAsia="fr-FR"/>
        </w:rPr>
        <w:t>-</w:t>
      </w:r>
      <w:r w:rsidRPr="00CC165B">
        <w:rPr>
          <w:rFonts w:ascii="Times New Roman" w:eastAsia="Times New Roman" w:hAnsi="Times New Roman" w:cs="Times New Roman"/>
          <w:sz w:val="24"/>
          <w:szCs w:val="24"/>
          <w:lang w:eastAsia="fr-FR"/>
        </w:rPr>
        <w:t>Ouest du Tagant), la régression des précipitations était entre -1,5 à -1 mm par an au Tagant et le nord du Brakna, et -0,5 à -1 mm par an au sud et au centre du Brakna. Cependant qu’elle était plus vulnérable dans les deux Hodhs et l’Assaba avec une régression de pluie d’environ -1,5 à -2 mm par an.</w:t>
      </w:r>
    </w:p>
    <w:p w14:paraId="5017C50F" w14:textId="77777777" w:rsidR="004E687C" w:rsidRPr="00CC165B" w:rsidRDefault="004E687C" w:rsidP="004E687C">
      <w:pPr>
        <w:pStyle w:val="Paragraphedeliste"/>
        <w:numPr>
          <w:ilvl w:val="0"/>
          <w:numId w:val="157"/>
        </w:numPr>
        <w:spacing w:after="120" w:line="228" w:lineRule="auto"/>
        <w:ind w:left="714" w:hanging="357"/>
        <w:contextualSpacing w:val="0"/>
        <w:jc w:val="both"/>
        <w:rPr>
          <w:rFonts w:ascii="Times New Roman" w:eastAsia="Times New Roman" w:hAnsi="Times New Roman" w:cs="Times New Roman"/>
          <w:sz w:val="24"/>
          <w:szCs w:val="24"/>
          <w:lang w:eastAsia="fr-FR"/>
        </w:rPr>
      </w:pPr>
      <w:r w:rsidRPr="002B429B">
        <w:rPr>
          <w:rFonts w:ascii="Times New Roman" w:eastAsia="Times New Roman" w:hAnsi="Times New Roman" w:cs="Times New Roman"/>
          <w:b/>
          <w:bCs/>
          <w:sz w:val="24"/>
          <w:szCs w:val="24"/>
          <w:lang w:eastAsia="fr-FR"/>
        </w:rPr>
        <w:t>Le secteur de l’élevage</w:t>
      </w:r>
      <w:r w:rsidRPr="00CC165B">
        <w:rPr>
          <w:rFonts w:ascii="Times New Roman" w:eastAsia="Times New Roman" w:hAnsi="Times New Roman" w:cs="Times New Roman"/>
          <w:sz w:val="24"/>
          <w:szCs w:val="24"/>
          <w:lang w:eastAsia="fr-FR"/>
        </w:rPr>
        <w:t>, La récurrence et l’envergure des sécheresses, avait engendré deux mouvements distincts mais souvent adventifs : un exode massif des populations rurales vers les nouvelles villes et un processus à marches forcées de sédentarisation des populations nomades. En effet, les nomades sont passés de 65% de la population totale en 1965 à 12% en 1988. Ces derniers forment à peine 5% de la population totale en 2000. Les données des statistiques du pays prouvent cet impacte comme suit :</w:t>
      </w:r>
    </w:p>
    <w:p w14:paraId="3AEFB59A" w14:textId="77777777" w:rsidR="004E687C" w:rsidRPr="00CC165B" w:rsidRDefault="004E687C" w:rsidP="004E687C">
      <w:pPr>
        <w:pStyle w:val="Paragraphedeliste"/>
        <w:spacing w:before="120" w:after="0" w:line="216" w:lineRule="auto"/>
        <w:ind w:left="714"/>
        <w:jc w:val="both"/>
        <w:rPr>
          <w:rFonts w:ascii="Times New Roman" w:eastAsia="Times New Roman" w:hAnsi="Times New Roman" w:cs="Times New Roman"/>
          <w:lang w:eastAsia="fr-FR"/>
        </w:rPr>
      </w:pPr>
      <w:r w:rsidRPr="00CC165B">
        <w:rPr>
          <w:rFonts w:ascii="Times New Roman" w:eastAsia="Times New Roman" w:hAnsi="Times New Roman" w:cs="Times New Roman"/>
          <w:lang w:eastAsia="fr-FR"/>
        </w:rPr>
        <w:t xml:space="preserve">Tableau </w:t>
      </w:r>
      <w:r>
        <w:rPr>
          <w:rFonts w:ascii="Times New Roman" w:eastAsia="Times New Roman" w:hAnsi="Times New Roman" w:cs="Times New Roman"/>
          <w:lang w:eastAsia="fr-FR"/>
        </w:rPr>
        <w:t>6</w:t>
      </w:r>
      <w:r w:rsidRPr="00CC165B">
        <w:rPr>
          <w:rFonts w:ascii="Times New Roman" w:eastAsia="Times New Roman" w:hAnsi="Times New Roman" w:cs="Times New Roman"/>
          <w:lang w:eastAsia="fr-FR"/>
        </w:rPr>
        <w:t xml:space="preserve"> : évolution de la population par milieu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
        <w:gridCol w:w="1205"/>
        <w:gridCol w:w="1349"/>
        <w:gridCol w:w="1250"/>
        <w:gridCol w:w="1748"/>
        <w:gridCol w:w="1151"/>
        <w:gridCol w:w="1215"/>
      </w:tblGrid>
      <w:tr w:rsidR="004E687C" w:rsidRPr="00F26479" w14:paraId="314BE09D" w14:textId="77777777" w:rsidTr="00EE0E23">
        <w:tc>
          <w:tcPr>
            <w:tcW w:w="1174" w:type="dxa"/>
          </w:tcPr>
          <w:p w14:paraId="1916B707" w14:textId="77777777" w:rsidR="004E687C" w:rsidRPr="00287A84" w:rsidRDefault="004E687C" w:rsidP="00EE0E23">
            <w:pPr>
              <w:autoSpaceDE w:val="0"/>
              <w:autoSpaceDN w:val="0"/>
              <w:adjustRightInd w:val="0"/>
              <w:rPr>
                <w:sz w:val="20"/>
                <w:szCs w:val="20"/>
              </w:rPr>
            </w:pPr>
            <w:r w:rsidRPr="00287A84">
              <w:rPr>
                <w:sz w:val="20"/>
                <w:szCs w:val="20"/>
              </w:rPr>
              <w:t xml:space="preserve">Année </w:t>
            </w:r>
          </w:p>
        </w:tc>
        <w:tc>
          <w:tcPr>
            <w:tcW w:w="2620" w:type="dxa"/>
            <w:gridSpan w:val="2"/>
            <w:shd w:val="clear" w:color="auto" w:fill="DEEAF6" w:themeFill="accent5" w:themeFillTint="33"/>
          </w:tcPr>
          <w:p w14:paraId="17785878" w14:textId="77777777" w:rsidR="004E687C" w:rsidRPr="00287A84" w:rsidRDefault="004E687C" w:rsidP="00EE0E23">
            <w:pPr>
              <w:autoSpaceDE w:val="0"/>
              <w:autoSpaceDN w:val="0"/>
              <w:adjustRightInd w:val="0"/>
              <w:rPr>
                <w:sz w:val="20"/>
                <w:szCs w:val="20"/>
              </w:rPr>
            </w:pPr>
            <w:r w:rsidRPr="00287A84">
              <w:rPr>
                <w:sz w:val="20"/>
                <w:szCs w:val="20"/>
              </w:rPr>
              <w:t>Effectif population rurale</w:t>
            </w:r>
          </w:p>
        </w:tc>
        <w:tc>
          <w:tcPr>
            <w:tcW w:w="1276" w:type="dxa"/>
            <w:shd w:val="clear" w:color="auto" w:fill="DEEAF6" w:themeFill="accent5" w:themeFillTint="33"/>
          </w:tcPr>
          <w:p w14:paraId="7EE6ADA9" w14:textId="77777777" w:rsidR="004E687C" w:rsidRPr="00287A84" w:rsidRDefault="004E687C" w:rsidP="00EE0E23">
            <w:pPr>
              <w:autoSpaceDE w:val="0"/>
              <w:autoSpaceDN w:val="0"/>
              <w:adjustRightInd w:val="0"/>
              <w:rPr>
                <w:sz w:val="20"/>
                <w:szCs w:val="20"/>
              </w:rPr>
            </w:pPr>
            <w:r w:rsidRPr="00287A84">
              <w:rPr>
                <w:sz w:val="20"/>
                <w:szCs w:val="20"/>
              </w:rPr>
              <w:t>Nomade</w:t>
            </w:r>
          </w:p>
        </w:tc>
        <w:tc>
          <w:tcPr>
            <w:tcW w:w="2991" w:type="dxa"/>
            <w:gridSpan w:val="2"/>
            <w:shd w:val="clear" w:color="auto" w:fill="FBE4D5" w:themeFill="accent2" w:themeFillTint="33"/>
          </w:tcPr>
          <w:p w14:paraId="72A123D4" w14:textId="77777777" w:rsidR="004E687C" w:rsidRPr="00287A84" w:rsidRDefault="004E687C" w:rsidP="00EE0E23">
            <w:pPr>
              <w:autoSpaceDE w:val="0"/>
              <w:autoSpaceDN w:val="0"/>
              <w:adjustRightInd w:val="0"/>
              <w:jc w:val="center"/>
              <w:rPr>
                <w:sz w:val="20"/>
                <w:szCs w:val="20"/>
              </w:rPr>
            </w:pPr>
            <w:r w:rsidRPr="00287A84">
              <w:rPr>
                <w:sz w:val="20"/>
                <w:szCs w:val="20"/>
              </w:rPr>
              <w:t>Effectif population urbaine</w:t>
            </w:r>
          </w:p>
        </w:tc>
        <w:tc>
          <w:tcPr>
            <w:tcW w:w="1227" w:type="dxa"/>
          </w:tcPr>
          <w:p w14:paraId="2AE86A89" w14:textId="77777777" w:rsidR="004E687C" w:rsidRPr="00287A84" w:rsidRDefault="004E687C" w:rsidP="00EE0E23">
            <w:pPr>
              <w:autoSpaceDE w:val="0"/>
              <w:autoSpaceDN w:val="0"/>
              <w:adjustRightInd w:val="0"/>
              <w:rPr>
                <w:sz w:val="20"/>
                <w:szCs w:val="20"/>
              </w:rPr>
            </w:pPr>
            <w:r w:rsidRPr="00287A84">
              <w:rPr>
                <w:sz w:val="20"/>
                <w:szCs w:val="20"/>
              </w:rPr>
              <w:t>Total</w:t>
            </w:r>
          </w:p>
        </w:tc>
      </w:tr>
      <w:tr w:rsidR="004E687C" w:rsidRPr="00F26479" w14:paraId="30D4F1E6" w14:textId="77777777" w:rsidTr="00EE0E23">
        <w:tc>
          <w:tcPr>
            <w:tcW w:w="1174" w:type="dxa"/>
          </w:tcPr>
          <w:p w14:paraId="46F4AE84" w14:textId="77777777" w:rsidR="004E687C" w:rsidRPr="00287A84" w:rsidRDefault="004E687C" w:rsidP="00EE0E23">
            <w:pPr>
              <w:autoSpaceDE w:val="0"/>
              <w:autoSpaceDN w:val="0"/>
              <w:adjustRightInd w:val="0"/>
              <w:rPr>
                <w:sz w:val="20"/>
                <w:szCs w:val="20"/>
              </w:rPr>
            </w:pPr>
            <w:r w:rsidRPr="00287A84">
              <w:rPr>
                <w:sz w:val="20"/>
                <w:szCs w:val="20"/>
              </w:rPr>
              <w:t>1965 </w:t>
            </w:r>
          </w:p>
        </w:tc>
        <w:tc>
          <w:tcPr>
            <w:tcW w:w="1227" w:type="dxa"/>
          </w:tcPr>
          <w:p w14:paraId="33D7E2BC" w14:textId="77777777" w:rsidR="004E687C" w:rsidRPr="00287A84" w:rsidRDefault="004E687C" w:rsidP="00EE0E23">
            <w:pPr>
              <w:autoSpaceDE w:val="0"/>
              <w:autoSpaceDN w:val="0"/>
              <w:adjustRightInd w:val="0"/>
              <w:rPr>
                <w:sz w:val="20"/>
                <w:szCs w:val="20"/>
              </w:rPr>
            </w:pPr>
            <w:r w:rsidRPr="00287A84">
              <w:rPr>
                <w:sz w:val="20"/>
                <w:szCs w:val="20"/>
              </w:rPr>
              <w:t xml:space="preserve"> 997 381 </w:t>
            </w:r>
          </w:p>
        </w:tc>
        <w:tc>
          <w:tcPr>
            <w:tcW w:w="1393" w:type="dxa"/>
          </w:tcPr>
          <w:p w14:paraId="7C220588" w14:textId="77777777" w:rsidR="004E687C" w:rsidRPr="00287A84" w:rsidRDefault="004E687C" w:rsidP="00EE0E23">
            <w:pPr>
              <w:autoSpaceDE w:val="0"/>
              <w:autoSpaceDN w:val="0"/>
              <w:adjustRightInd w:val="0"/>
              <w:rPr>
                <w:sz w:val="20"/>
                <w:szCs w:val="20"/>
              </w:rPr>
            </w:pPr>
            <w:r w:rsidRPr="00287A84">
              <w:rPr>
                <w:sz w:val="20"/>
                <w:szCs w:val="20"/>
              </w:rPr>
              <w:t>90,9 %</w:t>
            </w:r>
          </w:p>
        </w:tc>
        <w:tc>
          <w:tcPr>
            <w:tcW w:w="1276" w:type="dxa"/>
          </w:tcPr>
          <w:p w14:paraId="403B3E4C" w14:textId="77777777" w:rsidR="004E687C" w:rsidRPr="00287A84" w:rsidRDefault="004E687C" w:rsidP="00EE0E23">
            <w:pPr>
              <w:autoSpaceDE w:val="0"/>
              <w:autoSpaceDN w:val="0"/>
              <w:adjustRightInd w:val="0"/>
              <w:rPr>
                <w:sz w:val="20"/>
                <w:szCs w:val="20"/>
              </w:rPr>
            </w:pPr>
            <w:r w:rsidRPr="00287A84">
              <w:rPr>
                <w:sz w:val="20"/>
                <w:szCs w:val="20"/>
              </w:rPr>
              <w:t>65%</w:t>
            </w:r>
            <w:r>
              <w:rPr>
                <w:sz w:val="20"/>
                <w:szCs w:val="20"/>
                <w:vertAlign w:val="superscript"/>
              </w:rPr>
              <w:t>9</w:t>
            </w:r>
          </w:p>
        </w:tc>
        <w:tc>
          <w:tcPr>
            <w:tcW w:w="1811" w:type="dxa"/>
          </w:tcPr>
          <w:p w14:paraId="3BD1C83F" w14:textId="77777777" w:rsidR="004E687C" w:rsidRPr="00287A84" w:rsidRDefault="004E687C" w:rsidP="00EE0E23">
            <w:pPr>
              <w:autoSpaceDE w:val="0"/>
              <w:autoSpaceDN w:val="0"/>
              <w:adjustRightInd w:val="0"/>
              <w:rPr>
                <w:sz w:val="20"/>
                <w:szCs w:val="20"/>
              </w:rPr>
            </w:pPr>
            <w:r w:rsidRPr="00287A84">
              <w:rPr>
                <w:sz w:val="20"/>
                <w:szCs w:val="20"/>
              </w:rPr>
              <w:t>100 419 </w:t>
            </w:r>
          </w:p>
        </w:tc>
        <w:tc>
          <w:tcPr>
            <w:tcW w:w="1180" w:type="dxa"/>
          </w:tcPr>
          <w:p w14:paraId="79FBDC2B" w14:textId="77777777" w:rsidR="004E687C" w:rsidRPr="00287A84" w:rsidRDefault="004E687C" w:rsidP="00EE0E23">
            <w:pPr>
              <w:autoSpaceDE w:val="0"/>
              <w:autoSpaceDN w:val="0"/>
              <w:adjustRightInd w:val="0"/>
              <w:rPr>
                <w:sz w:val="20"/>
                <w:szCs w:val="20"/>
              </w:rPr>
            </w:pPr>
            <w:r w:rsidRPr="00287A84">
              <w:rPr>
                <w:sz w:val="20"/>
                <w:szCs w:val="20"/>
              </w:rPr>
              <w:t xml:space="preserve"> 9,1 %</w:t>
            </w:r>
          </w:p>
        </w:tc>
        <w:tc>
          <w:tcPr>
            <w:tcW w:w="1227" w:type="dxa"/>
          </w:tcPr>
          <w:p w14:paraId="4E3A622B" w14:textId="77777777" w:rsidR="004E687C" w:rsidRPr="00287A84" w:rsidRDefault="004E687C" w:rsidP="00EE0E23">
            <w:pPr>
              <w:autoSpaceDE w:val="0"/>
              <w:autoSpaceDN w:val="0"/>
              <w:adjustRightInd w:val="0"/>
              <w:rPr>
                <w:sz w:val="20"/>
                <w:szCs w:val="20"/>
              </w:rPr>
            </w:pPr>
            <w:r w:rsidRPr="00287A84">
              <w:rPr>
                <w:sz w:val="20"/>
                <w:szCs w:val="20"/>
              </w:rPr>
              <w:t xml:space="preserve"> 1 097 800 </w:t>
            </w:r>
          </w:p>
        </w:tc>
      </w:tr>
      <w:tr w:rsidR="004E687C" w:rsidRPr="00F26479" w14:paraId="587A52DF" w14:textId="77777777" w:rsidTr="00EE0E23">
        <w:tc>
          <w:tcPr>
            <w:tcW w:w="1174" w:type="dxa"/>
          </w:tcPr>
          <w:p w14:paraId="7450DC11" w14:textId="77777777" w:rsidR="004E687C" w:rsidRPr="00287A84" w:rsidRDefault="004E687C" w:rsidP="00EE0E23">
            <w:pPr>
              <w:autoSpaceDE w:val="0"/>
              <w:autoSpaceDN w:val="0"/>
              <w:adjustRightInd w:val="0"/>
              <w:rPr>
                <w:sz w:val="20"/>
                <w:szCs w:val="20"/>
              </w:rPr>
            </w:pPr>
            <w:r w:rsidRPr="00287A84">
              <w:rPr>
                <w:sz w:val="20"/>
                <w:szCs w:val="20"/>
              </w:rPr>
              <w:t>1977 </w:t>
            </w:r>
          </w:p>
        </w:tc>
        <w:tc>
          <w:tcPr>
            <w:tcW w:w="1227" w:type="dxa"/>
          </w:tcPr>
          <w:p w14:paraId="5D177E5F" w14:textId="77777777" w:rsidR="004E687C" w:rsidRPr="00287A84" w:rsidRDefault="004E687C" w:rsidP="00EE0E23">
            <w:pPr>
              <w:autoSpaceDE w:val="0"/>
              <w:autoSpaceDN w:val="0"/>
              <w:adjustRightInd w:val="0"/>
              <w:rPr>
                <w:sz w:val="20"/>
                <w:szCs w:val="20"/>
              </w:rPr>
            </w:pPr>
            <w:r w:rsidRPr="00287A84">
              <w:rPr>
                <w:sz w:val="20"/>
                <w:szCs w:val="20"/>
              </w:rPr>
              <w:t xml:space="preserve"> 1 035 011 </w:t>
            </w:r>
          </w:p>
        </w:tc>
        <w:tc>
          <w:tcPr>
            <w:tcW w:w="1393" w:type="dxa"/>
          </w:tcPr>
          <w:p w14:paraId="6957E8A3" w14:textId="77777777" w:rsidR="004E687C" w:rsidRPr="00287A84" w:rsidRDefault="004E687C" w:rsidP="00EE0E23">
            <w:pPr>
              <w:autoSpaceDE w:val="0"/>
              <w:autoSpaceDN w:val="0"/>
              <w:adjustRightInd w:val="0"/>
              <w:rPr>
                <w:sz w:val="20"/>
                <w:szCs w:val="20"/>
              </w:rPr>
            </w:pPr>
            <w:r w:rsidRPr="00287A84">
              <w:rPr>
                <w:sz w:val="20"/>
                <w:szCs w:val="20"/>
              </w:rPr>
              <w:t xml:space="preserve"> 77,3 %</w:t>
            </w:r>
          </w:p>
        </w:tc>
        <w:tc>
          <w:tcPr>
            <w:tcW w:w="1276" w:type="dxa"/>
          </w:tcPr>
          <w:p w14:paraId="6C84A528" w14:textId="77777777" w:rsidR="004E687C" w:rsidRPr="00287A84" w:rsidRDefault="004E687C" w:rsidP="00EE0E23">
            <w:pPr>
              <w:autoSpaceDE w:val="0"/>
              <w:autoSpaceDN w:val="0"/>
              <w:adjustRightInd w:val="0"/>
              <w:rPr>
                <w:sz w:val="20"/>
                <w:szCs w:val="20"/>
              </w:rPr>
            </w:pPr>
            <w:r w:rsidRPr="00287A84">
              <w:rPr>
                <w:sz w:val="20"/>
                <w:szCs w:val="20"/>
              </w:rPr>
              <w:t>36%</w:t>
            </w:r>
            <w:r>
              <w:rPr>
                <w:rStyle w:val="Appelnotedebasdep"/>
                <w:sz w:val="20"/>
                <w:szCs w:val="20"/>
              </w:rPr>
              <w:footnoteReference w:id="67"/>
            </w:r>
          </w:p>
        </w:tc>
        <w:tc>
          <w:tcPr>
            <w:tcW w:w="1811" w:type="dxa"/>
          </w:tcPr>
          <w:p w14:paraId="37C0D79C" w14:textId="77777777" w:rsidR="004E687C" w:rsidRPr="00287A84" w:rsidRDefault="004E687C" w:rsidP="00EE0E23">
            <w:pPr>
              <w:autoSpaceDE w:val="0"/>
              <w:autoSpaceDN w:val="0"/>
              <w:adjustRightInd w:val="0"/>
              <w:rPr>
                <w:sz w:val="20"/>
                <w:szCs w:val="20"/>
              </w:rPr>
            </w:pPr>
            <w:r w:rsidRPr="00287A84">
              <w:rPr>
                <w:sz w:val="20"/>
                <w:szCs w:val="20"/>
              </w:rPr>
              <w:t xml:space="preserve"> 303 819 </w:t>
            </w:r>
          </w:p>
        </w:tc>
        <w:tc>
          <w:tcPr>
            <w:tcW w:w="1180" w:type="dxa"/>
          </w:tcPr>
          <w:p w14:paraId="7C1C3AAF" w14:textId="77777777" w:rsidR="004E687C" w:rsidRPr="00287A84" w:rsidRDefault="004E687C" w:rsidP="00EE0E23">
            <w:pPr>
              <w:autoSpaceDE w:val="0"/>
              <w:autoSpaceDN w:val="0"/>
              <w:adjustRightInd w:val="0"/>
              <w:rPr>
                <w:sz w:val="20"/>
                <w:szCs w:val="20"/>
              </w:rPr>
            </w:pPr>
            <w:r w:rsidRPr="00287A84">
              <w:rPr>
                <w:sz w:val="20"/>
                <w:szCs w:val="20"/>
              </w:rPr>
              <w:t xml:space="preserve"> 22,7 %</w:t>
            </w:r>
          </w:p>
        </w:tc>
        <w:tc>
          <w:tcPr>
            <w:tcW w:w="1227" w:type="dxa"/>
          </w:tcPr>
          <w:p w14:paraId="6204428F" w14:textId="77777777" w:rsidR="004E687C" w:rsidRPr="00287A84" w:rsidRDefault="004E687C" w:rsidP="00EE0E23">
            <w:pPr>
              <w:autoSpaceDE w:val="0"/>
              <w:autoSpaceDN w:val="0"/>
              <w:adjustRightInd w:val="0"/>
              <w:rPr>
                <w:sz w:val="20"/>
                <w:szCs w:val="20"/>
              </w:rPr>
            </w:pPr>
            <w:r w:rsidRPr="00287A84">
              <w:rPr>
                <w:sz w:val="20"/>
                <w:szCs w:val="20"/>
              </w:rPr>
              <w:t>1 338 830 </w:t>
            </w:r>
          </w:p>
        </w:tc>
      </w:tr>
      <w:tr w:rsidR="004E687C" w:rsidRPr="00F26479" w14:paraId="45D95AA7" w14:textId="77777777" w:rsidTr="00EE0E23">
        <w:tc>
          <w:tcPr>
            <w:tcW w:w="1174" w:type="dxa"/>
          </w:tcPr>
          <w:p w14:paraId="67CA1691" w14:textId="77777777" w:rsidR="004E687C" w:rsidRPr="00287A84" w:rsidRDefault="004E687C" w:rsidP="00EE0E23">
            <w:pPr>
              <w:autoSpaceDE w:val="0"/>
              <w:autoSpaceDN w:val="0"/>
              <w:adjustRightInd w:val="0"/>
              <w:rPr>
                <w:sz w:val="20"/>
                <w:szCs w:val="20"/>
              </w:rPr>
            </w:pPr>
            <w:r w:rsidRPr="00287A84">
              <w:rPr>
                <w:sz w:val="20"/>
                <w:szCs w:val="20"/>
              </w:rPr>
              <w:t>1988 </w:t>
            </w:r>
          </w:p>
        </w:tc>
        <w:tc>
          <w:tcPr>
            <w:tcW w:w="1227" w:type="dxa"/>
          </w:tcPr>
          <w:p w14:paraId="4ED0A58C" w14:textId="77777777" w:rsidR="004E687C" w:rsidRPr="00287A84" w:rsidRDefault="004E687C" w:rsidP="00EE0E23">
            <w:pPr>
              <w:autoSpaceDE w:val="0"/>
              <w:autoSpaceDN w:val="0"/>
              <w:adjustRightInd w:val="0"/>
              <w:rPr>
                <w:sz w:val="20"/>
                <w:szCs w:val="20"/>
              </w:rPr>
            </w:pPr>
            <w:r w:rsidRPr="00287A84">
              <w:rPr>
                <w:sz w:val="20"/>
                <w:szCs w:val="20"/>
              </w:rPr>
              <w:t xml:space="preserve"> 1 100 321 </w:t>
            </w:r>
          </w:p>
        </w:tc>
        <w:tc>
          <w:tcPr>
            <w:tcW w:w="1393" w:type="dxa"/>
          </w:tcPr>
          <w:p w14:paraId="356BC2C7" w14:textId="77777777" w:rsidR="004E687C" w:rsidRPr="00287A84" w:rsidRDefault="004E687C" w:rsidP="00EE0E23">
            <w:pPr>
              <w:autoSpaceDE w:val="0"/>
              <w:autoSpaceDN w:val="0"/>
              <w:adjustRightInd w:val="0"/>
              <w:rPr>
                <w:sz w:val="20"/>
                <w:szCs w:val="20"/>
              </w:rPr>
            </w:pPr>
            <w:r w:rsidRPr="00287A84">
              <w:rPr>
                <w:sz w:val="20"/>
                <w:szCs w:val="20"/>
              </w:rPr>
              <w:t xml:space="preserve"> 59,0 %</w:t>
            </w:r>
          </w:p>
        </w:tc>
        <w:tc>
          <w:tcPr>
            <w:tcW w:w="1276" w:type="dxa"/>
          </w:tcPr>
          <w:p w14:paraId="021C1ABF" w14:textId="77777777" w:rsidR="004E687C" w:rsidRPr="00287A84" w:rsidRDefault="004E687C" w:rsidP="00EE0E23">
            <w:pPr>
              <w:autoSpaceDE w:val="0"/>
              <w:autoSpaceDN w:val="0"/>
              <w:adjustRightInd w:val="0"/>
              <w:rPr>
                <w:sz w:val="20"/>
                <w:szCs w:val="20"/>
              </w:rPr>
            </w:pPr>
            <w:r w:rsidRPr="00287A84">
              <w:rPr>
                <w:sz w:val="20"/>
                <w:szCs w:val="20"/>
              </w:rPr>
              <w:t>12%</w:t>
            </w:r>
            <w:r w:rsidRPr="00287A84">
              <w:rPr>
                <w:sz w:val="20"/>
                <w:szCs w:val="20"/>
                <w:vertAlign w:val="superscript"/>
              </w:rPr>
              <w:t>10</w:t>
            </w:r>
          </w:p>
        </w:tc>
        <w:tc>
          <w:tcPr>
            <w:tcW w:w="1811" w:type="dxa"/>
          </w:tcPr>
          <w:p w14:paraId="0B3ACBAF" w14:textId="77777777" w:rsidR="004E687C" w:rsidRPr="00287A84" w:rsidRDefault="004E687C" w:rsidP="00EE0E23">
            <w:pPr>
              <w:autoSpaceDE w:val="0"/>
              <w:autoSpaceDN w:val="0"/>
              <w:adjustRightInd w:val="0"/>
              <w:rPr>
                <w:sz w:val="20"/>
                <w:szCs w:val="20"/>
              </w:rPr>
            </w:pPr>
            <w:r w:rsidRPr="00287A84">
              <w:rPr>
                <w:sz w:val="20"/>
                <w:szCs w:val="20"/>
              </w:rPr>
              <w:t>763 915 </w:t>
            </w:r>
          </w:p>
        </w:tc>
        <w:tc>
          <w:tcPr>
            <w:tcW w:w="1180" w:type="dxa"/>
          </w:tcPr>
          <w:p w14:paraId="69A4B830" w14:textId="77777777" w:rsidR="004E687C" w:rsidRPr="00287A84" w:rsidRDefault="004E687C" w:rsidP="00EE0E23">
            <w:pPr>
              <w:autoSpaceDE w:val="0"/>
              <w:autoSpaceDN w:val="0"/>
              <w:adjustRightInd w:val="0"/>
              <w:rPr>
                <w:sz w:val="20"/>
                <w:szCs w:val="20"/>
              </w:rPr>
            </w:pPr>
            <w:r w:rsidRPr="00287A84">
              <w:rPr>
                <w:sz w:val="20"/>
                <w:szCs w:val="20"/>
              </w:rPr>
              <w:t xml:space="preserve"> 41,0 %</w:t>
            </w:r>
          </w:p>
        </w:tc>
        <w:tc>
          <w:tcPr>
            <w:tcW w:w="1227" w:type="dxa"/>
          </w:tcPr>
          <w:p w14:paraId="6F3B026F" w14:textId="77777777" w:rsidR="004E687C" w:rsidRPr="00287A84" w:rsidRDefault="004E687C" w:rsidP="00EE0E23">
            <w:pPr>
              <w:autoSpaceDE w:val="0"/>
              <w:autoSpaceDN w:val="0"/>
              <w:adjustRightInd w:val="0"/>
              <w:rPr>
                <w:sz w:val="20"/>
                <w:szCs w:val="20"/>
              </w:rPr>
            </w:pPr>
            <w:r w:rsidRPr="00287A84">
              <w:rPr>
                <w:sz w:val="20"/>
                <w:szCs w:val="20"/>
              </w:rPr>
              <w:t>1 864 236 </w:t>
            </w:r>
          </w:p>
        </w:tc>
      </w:tr>
      <w:tr w:rsidR="004E687C" w:rsidRPr="00F26479" w14:paraId="6912301E" w14:textId="77777777" w:rsidTr="00EE0E23">
        <w:tc>
          <w:tcPr>
            <w:tcW w:w="1174" w:type="dxa"/>
          </w:tcPr>
          <w:p w14:paraId="3E779C19" w14:textId="77777777" w:rsidR="004E687C" w:rsidRPr="00287A84" w:rsidRDefault="004E687C" w:rsidP="00EE0E23">
            <w:pPr>
              <w:autoSpaceDE w:val="0"/>
              <w:autoSpaceDN w:val="0"/>
              <w:adjustRightInd w:val="0"/>
              <w:rPr>
                <w:sz w:val="20"/>
                <w:szCs w:val="20"/>
              </w:rPr>
            </w:pPr>
            <w:r w:rsidRPr="00287A84">
              <w:rPr>
                <w:sz w:val="20"/>
                <w:szCs w:val="20"/>
              </w:rPr>
              <w:t>2000 </w:t>
            </w:r>
          </w:p>
        </w:tc>
        <w:tc>
          <w:tcPr>
            <w:tcW w:w="1227" w:type="dxa"/>
          </w:tcPr>
          <w:p w14:paraId="0DAC4659" w14:textId="77777777" w:rsidR="004E687C" w:rsidRPr="00287A84" w:rsidRDefault="004E687C" w:rsidP="00EE0E23">
            <w:pPr>
              <w:autoSpaceDE w:val="0"/>
              <w:autoSpaceDN w:val="0"/>
              <w:adjustRightInd w:val="0"/>
              <w:rPr>
                <w:sz w:val="20"/>
                <w:szCs w:val="20"/>
              </w:rPr>
            </w:pPr>
            <w:r w:rsidRPr="00287A84">
              <w:rPr>
                <w:sz w:val="20"/>
                <w:szCs w:val="20"/>
              </w:rPr>
              <w:t xml:space="preserve"> 1 553 774 </w:t>
            </w:r>
          </w:p>
        </w:tc>
        <w:tc>
          <w:tcPr>
            <w:tcW w:w="1393" w:type="dxa"/>
          </w:tcPr>
          <w:p w14:paraId="251380F3" w14:textId="77777777" w:rsidR="004E687C" w:rsidRPr="00287A84" w:rsidRDefault="004E687C" w:rsidP="00EE0E23">
            <w:pPr>
              <w:autoSpaceDE w:val="0"/>
              <w:autoSpaceDN w:val="0"/>
              <w:adjustRightInd w:val="0"/>
              <w:rPr>
                <w:sz w:val="20"/>
                <w:szCs w:val="20"/>
              </w:rPr>
            </w:pPr>
            <w:r w:rsidRPr="00287A84">
              <w:rPr>
                <w:sz w:val="20"/>
                <w:szCs w:val="20"/>
              </w:rPr>
              <w:t xml:space="preserve"> 61,9 %</w:t>
            </w:r>
          </w:p>
        </w:tc>
        <w:tc>
          <w:tcPr>
            <w:tcW w:w="1276" w:type="dxa"/>
          </w:tcPr>
          <w:p w14:paraId="7846C217" w14:textId="77777777" w:rsidR="004E687C" w:rsidRPr="00287A84" w:rsidRDefault="004E687C" w:rsidP="00EE0E23">
            <w:pPr>
              <w:autoSpaceDE w:val="0"/>
              <w:autoSpaceDN w:val="0"/>
              <w:adjustRightInd w:val="0"/>
              <w:rPr>
                <w:sz w:val="20"/>
                <w:szCs w:val="20"/>
              </w:rPr>
            </w:pPr>
            <w:r w:rsidRPr="00287A84">
              <w:rPr>
                <w:sz w:val="20"/>
                <w:szCs w:val="20"/>
              </w:rPr>
              <w:t>5%</w:t>
            </w:r>
            <w:r>
              <w:rPr>
                <w:rStyle w:val="Appelnotedebasdep"/>
                <w:sz w:val="20"/>
                <w:szCs w:val="20"/>
              </w:rPr>
              <w:footnoteReference w:id="68"/>
            </w:r>
          </w:p>
        </w:tc>
        <w:tc>
          <w:tcPr>
            <w:tcW w:w="1811" w:type="dxa"/>
          </w:tcPr>
          <w:p w14:paraId="4D90E810" w14:textId="77777777" w:rsidR="004E687C" w:rsidRPr="00287A84" w:rsidRDefault="004E687C" w:rsidP="00EE0E23">
            <w:pPr>
              <w:autoSpaceDE w:val="0"/>
              <w:autoSpaceDN w:val="0"/>
              <w:adjustRightInd w:val="0"/>
              <w:rPr>
                <w:sz w:val="20"/>
                <w:szCs w:val="20"/>
              </w:rPr>
            </w:pPr>
            <w:r w:rsidRPr="00287A84">
              <w:rPr>
                <w:sz w:val="20"/>
                <w:szCs w:val="20"/>
              </w:rPr>
              <w:t xml:space="preserve"> 954 385 </w:t>
            </w:r>
          </w:p>
        </w:tc>
        <w:tc>
          <w:tcPr>
            <w:tcW w:w="1180" w:type="dxa"/>
          </w:tcPr>
          <w:p w14:paraId="4B238375" w14:textId="77777777" w:rsidR="004E687C" w:rsidRPr="00287A84" w:rsidRDefault="004E687C" w:rsidP="00EE0E23">
            <w:pPr>
              <w:autoSpaceDE w:val="0"/>
              <w:autoSpaceDN w:val="0"/>
              <w:adjustRightInd w:val="0"/>
              <w:rPr>
                <w:sz w:val="20"/>
                <w:szCs w:val="20"/>
              </w:rPr>
            </w:pPr>
            <w:r w:rsidRPr="00287A84">
              <w:rPr>
                <w:sz w:val="20"/>
                <w:szCs w:val="20"/>
              </w:rPr>
              <w:t xml:space="preserve"> 38,1 %</w:t>
            </w:r>
          </w:p>
        </w:tc>
        <w:tc>
          <w:tcPr>
            <w:tcW w:w="1227" w:type="dxa"/>
          </w:tcPr>
          <w:p w14:paraId="2C76EA95" w14:textId="77777777" w:rsidR="004E687C" w:rsidRPr="00287A84" w:rsidRDefault="004E687C" w:rsidP="00EE0E23">
            <w:pPr>
              <w:autoSpaceDE w:val="0"/>
              <w:autoSpaceDN w:val="0"/>
              <w:adjustRightInd w:val="0"/>
              <w:rPr>
                <w:sz w:val="20"/>
                <w:szCs w:val="20"/>
              </w:rPr>
            </w:pPr>
            <w:r w:rsidRPr="00287A84">
              <w:rPr>
                <w:sz w:val="20"/>
                <w:szCs w:val="20"/>
              </w:rPr>
              <w:t xml:space="preserve"> 2 508 159 </w:t>
            </w:r>
          </w:p>
        </w:tc>
      </w:tr>
      <w:tr w:rsidR="004E687C" w:rsidRPr="00F26479" w14:paraId="0CBEB632" w14:textId="77777777" w:rsidTr="00EE0E23">
        <w:tc>
          <w:tcPr>
            <w:tcW w:w="1174" w:type="dxa"/>
          </w:tcPr>
          <w:p w14:paraId="79CCCE81" w14:textId="77777777" w:rsidR="004E687C" w:rsidRPr="00287A84" w:rsidRDefault="004E687C" w:rsidP="00EE0E23">
            <w:pPr>
              <w:autoSpaceDE w:val="0"/>
              <w:autoSpaceDN w:val="0"/>
              <w:adjustRightInd w:val="0"/>
              <w:rPr>
                <w:sz w:val="20"/>
                <w:szCs w:val="20"/>
              </w:rPr>
            </w:pPr>
            <w:r w:rsidRPr="00287A84">
              <w:rPr>
                <w:sz w:val="20"/>
                <w:szCs w:val="20"/>
              </w:rPr>
              <w:t>2013 </w:t>
            </w:r>
          </w:p>
        </w:tc>
        <w:tc>
          <w:tcPr>
            <w:tcW w:w="1227" w:type="dxa"/>
          </w:tcPr>
          <w:p w14:paraId="411B2260" w14:textId="77777777" w:rsidR="004E687C" w:rsidRPr="00287A84" w:rsidRDefault="004E687C" w:rsidP="00EE0E23">
            <w:pPr>
              <w:autoSpaceDE w:val="0"/>
              <w:autoSpaceDN w:val="0"/>
              <w:adjustRightInd w:val="0"/>
              <w:rPr>
                <w:sz w:val="20"/>
                <w:szCs w:val="20"/>
              </w:rPr>
            </w:pPr>
            <w:r w:rsidRPr="00287A84">
              <w:rPr>
                <w:sz w:val="20"/>
                <w:szCs w:val="20"/>
              </w:rPr>
              <w:t xml:space="preserve"> 1 760 937 </w:t>
            </w:r>
          </w:p>
        </w:tc>
        <w:tc>
          <w:tcPr>
            <w:tcW w:w="1393" w:type="dxa"/>
          </w:tcPr>
          <w:p w14:paraId="49028BED" w14:textId="77777777" w:rsidR="004E687C" w:rsidRPr="00287A84" w:rsidRDefault="004E687C" w:rsidP="00EE0E23">
            <w:pPr>
              <w:autoSpaceDE w:val="0"/>
              <w:autoSpaceDN w:val="0"/>
              <w:adjustRightInd w:val="0"/>
              <w:rPr>
                <w:sz w:val="20"/>
                <w:szCs w:val="20"/>
              </w:rPr>
            </w:pPr>
            <w:r w:rsidRPr="00287A84">
              <w:rPr>
                <w:sz w:val="20"/>
                <w:szCs w:val="20"/>
              </w:rPr>
              <w:t xml:space="preserve"> 49,8 % </w:t>
            </w:r>
          </w:p>
        </w:tc>
        <w:tc>
          <w:tcPr>
            <w:tcW w:w="1276" w:type="dxa"/>
          </w:tcPr>
          <w:p w14:paraId="01BECEC8" w14:textId="77777777" w:rsidR="004E687C" w:rsidRPr="00287A84" w:rsidRDefault="004E687C" w:rsidP="00EE0E23">
            <w:pPr>
              <w:autoSpaceDE w:val="0"/>
              <w:autoSpaceDN w:val="0"/>
              <w:adjustRightInd w:val="0"/>
              <w:rPr>
                <w:sz w:val="20"/>
                <w:szCs w:val="20"/>
              </w:rPr>
            </w:pPr>
            <w:r w:rsidRPr="00287A84">
              <w:rPr>
                <w:sz w:val="20"/>
                <w:szCs w:val="20"/>
              </w:rPr>
              <w:t>4%</w:t>
            </w:r>
          </w:p>
        </w:tc>
        <w:tc>
          <w:tcPr>
            <w:tcW w:w="1811" w:type="dxa"/>
          </w:tcPr>
          <w:p w14:paraId="100F6D4E" w14:textId="77777777" w:rsidR="004E687C" w:rsidRPr="00287A84" w:rsidRDefault="004E687C" w:rsidP="00EE0E23">
            <w:pPr>
              <w:autoSpaceDE w:val="0"/>
              <w:autoSpaceDN w:val="0"/>
              <w:adjustRightInd w:val="0"/>
              <w:rPr>
                <w:sz w:val="20"/>
                <w:szCs w:val="20"/>
              </w:rPr>
            </w:pPr>
            <w:r w:rsidRPr="00287A84">
              <w:rPr>
                <w:sz w:val="20"/>
                <w:szCs w:val="20"/>
              </w:rPr>
              <w:t xml:space="preserve"> 1 710 103 </w:t>
            </w:r>
          </w:p>
        </w:tc>
        <w:tc>
          <w:tcPr>
            <w:tcW w:w="1180" w:type="dxa"/>
          </w:tcPr>
          <w:p w14:paraId="3AE107FB" w14:textId="77777777" w:rsidR="004E687C" w:rsidRPr="00287A84" w:rsidRDefault="004E687C" w:rsidP="00EE0E23">
            <w:pPr>
              <w:autoSpaceDE w:val="0"/>
              <w:autoSpaceDN w:val="0"/>
              <w:adjustRightInd w:val="0"/>
              <w:rPr>
                <w:sz w:val="20"/>
                <w:szCs w:val="20"/>
              </w:rPr>
            </w:pPr>
            <w:r w:rsidRPr="00287A84">
              <w:rPr>
                <w:sz w:val="20"/>
                <w:szCs w:val="20"/>
              </w:rPr>
              <w:t xml:space="preserve"> 48,3 % </w:t>
            </w:r>
          </w:p>
        </w:tc>
        <w:tc>
          <w:tcPr>
            <w:tcW w:w="1227" w:type="dxa"/>
          </w:tcPr>
          <w:p w14:paraId="65FBECF7" w14:textId="77777777" w:rsidR="004E687C" w:rsidRPr="00287A84" w:rsidRDefault="004E687C" w:rsidP="00EE0E23">
            <w:pPr>
              <w:autoSpaceDE w:val="0"/>
              <w:autoSpaceDN w:val="0"/>
              <w:adjustRightInd w:val="0"/>
              <w:rPr>
                <w:sz w:val="20"/>
                <w:szCs w:val="20"/>
              </w:rPr>
            </w:pPr>
            <w:r w:rsidRPr="00287A84">
              <w:rPr>
                <w:sz w:val="20"/>
                <w:szCs w:val="20"/>
              </w:rPr>
              <w:t xml:space="preserve"> 3 537 368 </w:t>
            </w:r>
          </w:p>
        </w:tc>
      </w:tr>
    </w:tbl>
    <w:p w14:paraId="0B605650" w14:textId="77777777" w:rsidR="004E687C" w:rsidRPr="00CC165B" w:rsidRDefault="004E687C" w:rsidP="004E687C">
      <w:pPr>
        <w:pStyle w:val="Paragraphedeliste"/>
        <w:jc w:val="both"/>
        <w:rPr>
          <w:rFonts w:ascii="Times New Roman" w:eastAsia="Times New Roman" w:hAnsi="Times New Roman" w:cs="Times New Roman"/>
          <w:sz w:val="20"/>
          <w:szCs w:val="20"/>
          <w:lang w:eastAsia="fr-FR"/>
        </w:rPr>
      </w:pPr>
      <w:r w:rsidRPr="00CC165B">
        <w:rPr>
          <w:rFonts w:ascii="Times New Roman" w:eastAsia="Times New Roman" w:hAnsi="Times New Roman" w:cs="Times New Roman"/>
          <w:sz w:val="20"/>
          <w:szCs w:val="20"/>
          <w:lang w:eastAsia="fr-FR"/>
        </w:rPr>
        <w:t xml:space="preserve"> Source : Source : ONS/ED 1965 et </w:t>
      </w:r>
      <w:proofErr w:type="spellStart"/>
      <w:r w:rsidRPr="00CC165B">
        <w:rPr>
          <w:rFonts w:ascii="Times New Roman" w:eastAsia="Times New Roman" w:hAnsi="Times New Roman" w:cs="Times New Roman"/>
          <w:sz w:val="20"/>
          <w:szCs w:val="20"/>
          <w:lang w:eastAsia="fr-FR"/>
        </w:rPr>
        <w:t>RGPHs</w:t>
      </w:r>
      <w:proofErr w:type="spellEnd"/>
      <w:r w:rsidRPr="00CC165B">
        <w:rPr>
          <w:rFonts w:ascii="Times New Roman" w:eastAsia="Times New Roman" w:hAnsi="Times New Roman" w:cs="Times New Roman"/>
          <w:sz w:val="20"/>
          <w:szCs w:val="20"/>
          <w:lang w:eastAsia="fr-FR"/>
        </w:rPr>
        <w:t xml:space="preserve"> (77-2013) Annuaire Statistique 2015 </w:t>
      </w:r>
    </w:p>
    <w:p w14:paraId="09DBECBE" w14:textId="77777777" w:rsidR="004E687C" w:rsidRPr="00CC165B" w:rsidRDefault="004E687C" w:rsidP="004E687C">
      <w:pPr>
        <w:pStyle w:val="Paragraphedeliste"/>
        <w:numPr>
          <w:ilvl w:val="0"/>
          <w:numId w:val="157"/>
        </w:numPr>
        <w:spacing w:after="200" w:line="276" w:lineRule="auto"/>
        <w:jc w:val="both"/>
        <w:rPr>
          <w:rFonts w:ascii="Times New Roman" w:eastAsia="Times New Roman" w:hAnsi="Times New Roman" w:cs="Times New Roman"/>
          <w:sz w:val="24"/>
          <w:szCs w:val="24"/>
          <w:lang w:eastAsia="fr-FR"/>
        </w:rPr>
      </w:pPr>
      <w:r w:rsidRPr="002B429B">
        <w:rPr>
          <w:rFonts w:ascii="Times New Roman" w:eastAsia="Times New Roman" w:hAnsi="Times New Roman" w:cs="Times New Roman"/>
          <w:b/>
          <w:bCs/>
          <w:sz w:val="24"/>
          <w:szCs w:val="24"/>
          <w:lang w:eastAsia="fr-FR"/>
        </w:rPr>
        <w:t>Le secteur de l’eau</w:t>
      </w:r>
      <w:r w:rsidRPr="00CC165B">
        <w:rPr>
          <w:rFonts w:ascii="Times New Roman" w:eastAsia="Times New Roman" w:hAnsi="Times New Roman" w:cs="Times New Roman"/>
          <w:sz w:val="24"/>
          <w:szCs w:val="24"/>
          <w:lang w:eastAsia="fr-FR"/>
        </w:rPr>
        <w:t xml:space="preserve"> : En plus de la diminution des ressources suite à la régression des pluies, la sédentarisation et l’urbanisation de la population a conduit à une forte pression sur les ressources en eau dans les zones de concentration de la population. </w:t>
      </w:r>
    </w:p>
    <w:p w14:paraId="5515F8E8" w14:textId="77777777" w:rsidR="004E687C" w:rsidRPr="00CC165B" w:rsidRDefault="004E687C" w:rsidP="004E687C">
      <w:pPr>
        <w:pStyle w:val="Paragraphedeliste"/>
        <w:numPr>
          <w:ilvl w:val="0"/>
          <w:numId w:val="157"/>
        </w:numPr>
        <w:spacing w:after="200" w:line="276" w:lineRule="auto"/>
        <w:jc w:val="both"/>
        <w:rPr>
          <w:rFonts w:ascii="Times New Roman" w:eastAsia="Times New Roman" w:hAnsi="Times New Roman" w:cs="Times New Roman"/>
          <w:sz w:val="24"/>
          <w:szCs w:val="24"/>
          <w:lang w:eastAsia="fr-FR"/>
        </w:rPr>
      </w:pPr>
      <w:r w:rsidRPr="002B429B">
        <w:rPr>
          <w:rFonts w:ascii="Times New Roman" w:eastAsia="Times New Roman" w:hAnsi="Times New Roman" w:cs="Times New Roman"/>
          <w:b/>
          <w:bCs/>
          <w:sz w:val="24"/>
          <w:szCs w:val="24"/>
          <w:lang w:eastAsia="fr-FR"/>
        </w:rPr>
        <w:t>Le secteur des écosystèmes</w:t>
      </w:r>
      <w:r w:rsidRPr="00CC165B">
        <w:rPr>
          <w:rFonts w:ascii="Times New Roman" w:eastAsia="Times New Roman" w:hAnsi="Times New Roman" w:cs="Times New Roman"/>
          <w:sz w:val="24"/>
          <w:szCs w:val="24"/>
          <w:lang w:eastAsia="fr-FR"/>
        </w:rPr>
        <w:t> : la forte pression sur les écosystèmes suite aux sécheresses récurrentes a conduit à une dégradation continue des écosystèmes.</w:t>
      </w:r>
    </w:p>
    <w:p w14:paraId="46FACBD9" w14:textId="77777777" w:rsidR="004E687C" w:rsidRPr="00CC165B" w:rsidRDefault="004E687C" w:rsidP="004E687C">
      <w:pPr>
        <w:pStyle w:val="Paragraphedeliste"/>
        <w:numPr>
          <w:ilvl w:val="0"/>
          <w:numId w:val="157"/>
        </w:numPr>
        <w:spacing w:after="200" w:line="276" w:lineRule="auto"/>
        <w:jc w:val="both"/>
        <w:rPr>
          <w:rFonts w:ascii="Times New Roman" w:eastAsia="Times New Roman" w:hAnsi="Times New Roman" w:cs="Times New Roman"/>
          <w:sz w:val="24"/>
          <w:szCs w:val="24"/>
          <w:lang w:eastAsia="fr-FR"/>
        </w:rPr>
      </w:pPr>
      <w:r w:rsidRPr="002B429B">
        <w:rPr>
          <w:rFonts w:ascii="Times New Roman" w:eastAsia="Times New Roman" w:hAnsi="Times New Roman" w:cs="Times New Roman"/>
          <w:b/>
          <w:bCs/>
          <w:color w:val="00CC66"/>
          <w:sz w:val="24"/>
          <w:szCs w:val="24"/>
          <w:lang w:eastAsia="fr-FR"/>
        </w:rPr>
        <w:t>Le secteur de la Forêt</w:t>
      </w:r>
      <w:r w:rsidRPr="00CC165B">
        <w:rPr>
          <w:rFonts w:ascii="Times New Roman" w:eastAsia="Times New Roman" w:hAnsi="Times New Roman" w:cs="Times New Roman"/>
          <w:sz w:val="24"/>
          <w:szCs w:val="24"/>
          <w:lang w:eastAsia="fr-FR"/>
        </w:rPr>
        <w:t>, la dégradation des écosystèmes suite à la régression des pluies était plus remarquable dans les zones forestières. Les FRA</w:t>
      </w:r>
      <w:r w:rsidRPr="00CC165B">
        <w:rPr>
          <w:rStyle w:val="Appelnotedebasdep"/>
          <w:rFonts w:ascii="Times New Roman" w:eastAsia="Times New Roman" w:hAnsi="Times New Roman" w:cs="Times New Roman"/>
          <w:sz w:val="24"/>
          <w:szCs w:val="24"/>
          <w:lang w:eastAsia="fr-FR"/>
        </w:rPr>
        <w:footnoteReference w:id="69"/>
      </w:r>
      <w:r w:rsidRPr="00CC165B">
        <w:rPr>
          <w:rFonts w:ascii="Times New Roman" w:eastAsia="Times New Roman" w:hAnsi="Times New Roman" w:cs="Times New Roman"/>
          <w:sz w:val="24"/>
          <w:szCs w:val="24"/>
          <w:lang w:eastAsia="fr-FR"/>
        </w:rPr>
        <w:t xml:space="preserve"> du pays parle d’une perte annuelle d’environ 10000hectars.</w:t>
      </w:r>
    </w:p>
    <w:p w14:paraId="1E6B2F6E" w14:textId="77777777" w:rsidR="004E687C" w:rsidRPr="00CC165B" w:rsidRDefault="004E687C" w:rsidP="004E687C">
      <w:pPr>
        <w:pStyle w:val="Paragraphedeliste"/>
        <w:numPr>
          <w:ilvl w:val="0"/>
          <w:numId w:val="157"/>
        </w:numPr>
        <w:spacing w:after="200" w:line="276" w:lineRule="auto"/>
        <w:jc w:val="both"/>
        <w:rPr>
          <w:rFonts w:ascii="Times New Roman" w:eastAsia="Times New Roman" w:hAnsi="Times New Roman" w:cs="Times New Roman"/>
          <w:sz w:val="24"/>
          <w:szCs w:val="24"/>
          <w:lang w:eastAsia="fr-FR"/>
        </w:rPr>
      </w:pPr>
      <w:r w:rsidRPr="002B429B">
        <w:rPr>
          <w:rFonts w:ascii="Times New Roman" w:eastAsia="Times New Roman" w:hAnsi="Times New Roman" w:cs="Times New Roman"/>
          <w:b/>
          <w:bCs/>
          <w:noProof/>
          <w:color w:val="787800"/>
          <w:sz w:val="24"/>
          <w:szCs w:val="24"/>
          <w:lang w:eastAsia="fr-FR"/>
        </w:rPr>
        <w:drawing>
          <wp:anchor distT="0" distB="0" distL="114300" distR="114300" simplePos="0" relativeHeight="251734016" behindDoc="1" locked="0" layoutInCell="1" allowOverlap="1" wp14:anchorId="77BA7A95" wp14:editId="47FDA5BB">
            <wp:simplePos x="0" y="0"/>
            <wp:positionH relativeFrom="column">
              <wp:posOffset>3281680</wp:posOffset>
            </wp:positionH>
            <wp:positionV relativeFrom="paragraph">
              <wp:posOffset>734060</wp:posOffset>
            </wp:positionV>
            <wp:extent cx="2943225" cy="1866265"/>
            <wp:effectExtent l="19050" t="19050" r="28575" b="19685"/>
            <wp:wrapTight wrapText="bothSides">
              <wp:wrapPolygon edited="0">
                <wp:start x="-140" y="-220"/>
                <wp:lineTo x="-140" y="21828"/>
                <wp:lineTo x="21810" y="21828"/>
                <wp:lineTo x="21810" y="-220"/>
                <wp:lineTo x="-140" y="-220"/>
              </wp:wrapPolygon>
            </wp:wrapTight>
            <wp:docPr id="116230890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30"/>
                    <a:srcRect/>
                    <a:stretch>
                      <a:fillRect/>
                    </a:stretch>
                  </pic:blipFill>
                  <pic:spPr bwMode="auto">
                    <a:xfrm>
                      <a:off x="0" y="0"/>
                      <a:ext cx="2943225" cy="1866265"/>
                    </a:xfrm>
                    <a:prstGeom prst="rect">
                      <a:avLst/>
                    </a:prstGeom>
                    <a:noFill/>
                    <a:ln w="9525">
                      <a:solidFill>
                        <a:srgbClr val="000000"/>
                      </a:solidFill>
                      <a:miter lim="800000"/>
                      <a:headEnd/>
                      <a:tailEnd/>
                    </a:ln>
                  </pic:spPr>
                </pic:pic>
              </a:graphicData>
            </a:graphic>
          </wp:anchor>
        </w:drawing>
      </w:r>
      <w:r w:rsidRPr="002B429B">
        <w:rPr>
          <w:rFonts w:ascii="Times New Roman" w:eastAsia="Times New Roman" w:hAnsi="Times New Roman" w:cs="Times New Roman"/>
          <w:b/>
          <w:bCs/>
          <w:color w:val="787800"/>
          <w:sz w:val="24"/>
          <w:szCs w:val="24"/>
          <w:lang w:eastAsia="fr-FR"/>
        </w:rPr>
        <w:t>Le littoral</w:t>
      </w:r>
      <w:r w:rsidRPr="002B429B">
        <w:rPr>
          <w:rFonts w:ascii="Times New Roman" w:eastAsia="Times New Roman" w:hAnsi="Times New Roman" w:cs="Times New Roman"/>
          <w:color w:val="787800"/>
          <w:sz w:val="24"/>
          <w:szCs w:val="24"/>
          <w:lang w:eastAsia="fr-FR"/>
        </w:rPr>
        <w:t xml:space="preserve"> </w:t>
      </w:r>
      <w:r w:rsidRPr="00CC165B">
        <w:rPr>
          <w:rFonts w:ascii="Times New Roman" w:eastAsia="Times New Roman" w:hAnsi="Times New Roman" w:cs="Times New Roman"/>
          <w:sz w:val="24"/>
          <w:szCs w:val="24"/>
          <w:lang w:eastAsia="fr-FR"/>
        </w:rPr>
        <w:t>était réparti en trois bandes, du cap Timiris à l’embouchure du fleuve o</w:t>
      </w:r>
      <w:r>
        <w:rPr>
          <w:rFonts w:ascii="Times New Roman" w:eastAsia="Times New Roman" w:hAnsi="Times New Roman" w:cs="Times New Roman"/>
          <w:sz w:val="24"/>
          <w:szCs w:val="24"/>
          <w:lang w:eastAsia="fr-FR"/>
        </w:rPr>
        <w:t>ù</w:t>
      </w:r>
      <w:r w:rsidRPr="00CC165B">
        <w:rPr>
          <w:rFonts w:ascii="Times New Roman" w:eastAsia="Times New Roman" w:hAnsi="Times New Roman" w:cs="Times New Roman"/>
          <w:sz w:val="24"/>
          <w:szCs w:val="24"/>
          <w:lang w:eastAsia="fr-FR"/>
        </w:rPr>
        <w:t xml:space="preserve"> la régression est dans l’ordre de -1 à -1,5 mm par an, la zone du Banc d’Arguin avec -0,5 à -1 mm par an et la zone de Dakhlet Nouadhibou avec le plus faible tau</w:t>
      </w:r>
      <w:r>
        <w:rPr>
          <w:rFonts w:ascii="Times New Roman" w:eastAsia="Times New Roman" w:hAnsi="Times New Roman" w:cs="Times New Roman"/>
          <w:sz w:val="24"/>
          <w:szCs w:val="24"/>
          <w:lang w:eastAsia="fr-FR"/>
        </w:rPr>
        <w:t>x</w:t>
      </w:r>
      <w:r w:rsidRPr="00CC165B">
        <w:rPr>
          <w:rFonts w:ascii="Times New Roman" w:eastAsia="Times New Roman" w:hAnsi="Times New Roman" w:cs="Times New Roman"/>
          <w:sz w:val="24"/>
          <w:szCs w:val="24"/>
          <w:lang w:eastAsia="fr-FR"/>
        </w:rPr>
        <w:t xml:space="preserve"> de régression de moins de -0,5. Cependant que cette partie du pays était la plus touchée car la migration des population</w:t>
      </w:r>
      <w:r>
        <w:rPr>
          <w:rFonts w:ascii="Times New Roman" w:eastAsia="Times New Roman" w:hAnsi="Times New Roman" w:cs="Times New Roman"/>
          <w:sz w:val="24"/>
          <w:szCs w:val="24"/>
          <w:lang w:eastAsia="fr-FR"/>
        </w:rPr>
        <w:t>s</w:t>
      </w:r>
      <w:r w:rsidRPr="00CC165B">
        <w:rPr>
          <w:rFonts w:ascii="Times New Roman" w:eastAsia="Times New Roman" w:hAnsi="Times New Roman" w:cs="Times New Roman"/>
          <w:sz w:val="24"/>
          <w:szCs w:val="24"/>
          <w:lang w:eastAsia="fr-FR"/>
        </w:rPr>
        <w:t xml:space="preserve"> était à 80% orienté vers cette zone.</w:t>
      </w:r>
    </w:p>
    <w:p w14:paraId="11076282" w14:textId="77777777" w:rsidR="004E687C" w:rsidRPr="001C5951" w:rsidRDefault="004E687C" w:rsidP="004E687C">
      <w:pPr>
        <w:pStyle w:val="Titre3"/>
        <w:numPr>
          <w:ilvl w:val="2"/>
          <w:numId w:val="189"/>
        </w:numPr>
        <w:tabs>
          <w:tab w:val="clear" w:pos="2340"/>
          <w:tab w:val="num" w:pos="-284"/>
        </w:tabs>
        <w:ind w:left="567" w:right="3827" w:hanging="710"/>
        <w:jc w:val="both"/>
      </w:pPr>
      <w:bookmarkStart w:id="582" w:name="_Toc343596117"/>
      <w:bookmarkStart w:id="583" w:name="_Toc191284981"/>
      <w:r w:rsidRPr="001C5951">
        <w:t>La longueur de la période sèche</w:t>
      </w:r>
      <w:bookmarkEnd w:id="582"/>
      <w:bookmarkEnd w:id="583"/>
    </w:p>
    <w:p w14:paraId="635ADD02" w14:textId="77777777" w:rsidR="004E687C" w:rsidRDefault="004E687C" w:rsidP="004E687C">
      <w:pPr>
        <w:autoSpaceDE w:val="0"/>
        <w:autoSpaceDN w:val="0"/>
        <w:adjustRightInd w:val="0"/>
        <w:jc w:val="both"/>
      </w:pPr>
      <w:r w:rsidRPr="00D71060">
        <w:t>Cet indicateur se base sur les nombre</w:t>
      </w:r>
      <w:r>
        <w:t>s</w:t>
      </w:r>
      <w:r w:rsidRPr="00D71060">
        <w:t xml:space="preserve"> de jour</w:t>
      </w:r>
      <w:r>
        <w:t>s</w:t>
      </w:r>
    </w:p>
    <w:p w14:paraId="2FDD7004" w14:textId="77777777" w:rsidR="004E687C" w:rsidRPr="00D71060" w:rsidRDefault="004E687C" w:rsidP="004E687C">
      <w:pPr>
        <w:autoSpaceDE w:val="0"/>
        <w:autoSpaceDN w:val="0"/>
        <w:adjustRightInd w:val="0"/>
        <w:jc w:val="both"/>
      </w:pPr>
      <w:r w:rsidRPr="00D71060">
        <w:t xml:space="preserve"> Consécutifs sans pluie, ou la longueur de la saison de disette hydrique.</w:t>
      </w:r>
    </w:p>
    <w:p w14:paraId="5D1F1E92" w14:textId="77777777" w:rsidR="004E687C" w:rsidRPr="00D71060" w:rsidRDefault="004E687C" w:rsidP="004E687C">
      <w:pPr>
        <w:autoSpaceDE w:val="0"/>
        <w:autoSpaceDN w:val="0"/>
        <w:adjustRightInd w:val="0"/>
        <w:jc w:val="both"/>
      </w:pPr>
      <w:r w:rsidRPr="00D71060">
        <w:t>L’ensemble des stations météorologiques de la Mauritanie en résulte une allure vers l’augmentation de la longueur de la période sèche associée d’une signification statistique très élevée hormis dans la station de Rosso qui a un niveau d’incertitude de 12%. Cette augmentation est de l’ordre de 47 jours par décennie à Nouadhibou, 23 jours à Zouérat</w:t>
      </w:r>
      <w:r>
        <w:t>e</w:t>
      </w:r>
      <w:r w:rsidRPr="00D71060">
        <w:t xml:space="preserve"> et Bir Mo</w:t>
      </w:r>
      <w:r>
        <w:t>u</w:t>
      </w:r>
      <w:r w:rsidRPr="00D71060">
        <w:t>ghrein, et de 15 jours à Akjoujt (zone hyper aride). Elle tend vers les 10 jours par décennie dans les autres stations.</w:t>
      </w:r>
    </w:p>
    <w:p w14:paraId="0DE4AE12" w14:textId="77777777" w:rsidR="004E687C" w:rsidRPr="00D71060" w:rsidRDefault="004E687C" w:rsidP="004E687C">
      <w:pPr>
        <w:autoSpaceDE w:val="0"/>
        <w:autoSpaceDN w:val="0"/>
        <w:adjustRightInd w:val="0"/>
        <w:jc w:val="both"/>
      </w:pPr>
      <w:r>
        <w:rPr>
          <w:noProof/>
          <w:color w:val="FF0000"/>
        </w:rPr>
        <w:drawing>
          <wp:anchor distT="0" distB="0" distL="114300" distR="114300" simplePos="0" relativeHeight="251735040" behindDoc="1" locked="0" layoutInCell="1" allowOverlap="1" wp14:anchorId="68CBDDA8" wp14:editId="7003775B">
            <wp:simplePos x="0" y="0"/>
            <wp:positionH relativeFrom="column">
              <wp:posOffset>3226435</wp:posOffset>
            </wp:positionH>
            <wp:positionV relativeFrom="paragraph">
              <wp:posOffset>296545</wp:posOffset>
            </wp:positionV>
            <wp:extent cx="2955290" cy="3219450"/>
            <wp:effectExtent l="19050" t="19050" r="16510" b="19050"/>
            <wp:wrapTight wrapText="bothSides">
              <wp:wrapPolygon edited="0">
                <wp:start x="-139" y="-128"/>
                <wp:lineTo x="-139" y="21728"/>
                <wp:lineTo x="21721" y="21728"/>
                <wp:lineTo x="21721" y="-128"/>
                <wp:lineTo x="-139" y="-128"/>
              </wp:wrapPolygon>
            </wp:wrapTight>
            <wp:docPr id="1152956622" name="Image 15" descr="cdd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cdd111.jpg"/>
                    <pic:cNvPicPr>
                      <a:picLocks noChangeAspect="1" noChangeArrowheads="1"/>
                    </pic:cNvPicPr>
                  </pic:nvPicPr>
                  <pic:blipFill>
                    <a:blip r:embed="rId231"/>
                    <a:srcRect/>
                    <a:stretch>
                      <a:fillRect/>
                    </a:stretch>
                  </pic:blipFill>
                  <pic:spPr bwMode="auto">
                    <a:xfrm>
                      <a:off x="0" y="0"/>
                      <a:ext cx="2955290" cy="3219450"/>
                    </a:xfrm>
                    <a:prstGeom prst="rect">
                      <a:avLst/>
                    </a:prstGeom>
                    <a:noFill/>
                    <a:ln w="9525">
                      <a:solidFill>
                        <a:srgbClr val="000000"/>
                      </a:solidFill>
                      <a:miter lim="800000"/>
                      <a:headEnd/>
                      <a:tailEnd/>
                    </a:ln>
                  </pic:spPr>
                </pic:pic>
              </a:graphicData>
            </a:graphic>
          </wp:anchor>
        </w:drawing>
      </w:r>
      <w:r w:rsidRPr="00D71060">
        <w:t>Les résultats de la spatialisation des données de longueur de la saison sèche suivant les zones sont :</w:t>
      </w:r>
    </w:p>
    <w:p w14:paraId="18F692A7" w14:textId="77777777" w:rsidR="004E687C" w:rsidRPr="00CC165B" w:rsidRDefault="004E687C" w:rsidP="004E687C">
      <w:pPr>
        <w:pStyle w:val="Paragraphedeliste"/>
        <w:numPr>
          <w:ilvl w:val="0"/>
          <w:numId w:val="158"/>
        </w:numPr>
        <w:spacing w:after="200" w:line="276" w:lineRule="auto"/>
        <w:jc w:val="both"/>
        <w:rPr>
          <w:rFonts w:ascii="Times New Roman" w:eastAsia="Times New Roman" w:hAnsi="Times New Roman" w:cs="Times New Roman"/>
          <w:sz w:val="24"/>
          <w:szCs w:val="24"/>
          <w:lang w:eastAsia="fr-FR"/>
        </w:rPr>
      </w:pPr>
      <w:r w:rsidRPr="00CC165B">
        <w:rPr>
          <w:rFonts w:ascii="Times New Roman" w:eastAsia="Times New Roman" w:hAnsi="Times New Roman" w:cs="Times New Roman"/>
          <w:sz w:val="24"/>
          <w:szCs w:val="24"/>
          <w:lang w:eastAsia="fr-FR"/>
        </w:rPr>
        <w:t xml:space="preserve">L’augmentation de la saison sèche est de l’ordre de 5 à 10 jours par décennie dans l’est et le nord de la partie sahélienne du pays (le Hodh Charghi, l’est du Hodh el Gharbi, le Tagant « excepté le sud-ouest </w:t>
      </w:r>
      <w:proofErr w:type="gramStart"/>
      <w:r w:rsidRPr="00CC165B">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w:t>
      </w:r>
      <w:r w:rsidRPr="00CC165B">
        <w:rPr>
          <w:rFonts w:ascii="Times New Roman" w:eastAsia="Times New Roman" w:hAnsi="Times New Roman" w:cs="Times New Roman"/>
          <w:sz w:val="24"/>
          <w:szCs w:val="24"/>
          <w:lang w:eastAsia="fr-FR"/>
        </w:rPr>
        <w:t>,</w:t>
      </w:r>
      <w:proofErr w:type="gramEnd"/>
      <w:r w:rsidRPr="00CC165B">
        <w:rPr>
          <w:rFonts w:ascii="Times New Roman" w:eastAsia="Times New Roman" w:hAnsi="Times New Roman" w:cs="Times New Roman"/>
          <w:sz w:val="24"/>
          <w:szCs w:val="24"/>
          <w:lang w:eastAsia="fr-FR"/>
        </w:rPr>
        <w:t xml:space="preserve">  le nord de l’Assaba et le nord du Trarza. </w:t>
      </w:r>
    </w:p>
    <w:p w14:paraId="4664C74A" w14:textId="77777777" w:rsidR="004E687C" w:rsidRPr="00CC165B" w:rsidRDefault="004E687C" w:rsidP="004E687C">
      <w:pPr>
        <w:pStyle w:val="Paragraphedeliste"/>
        <w:numPr>
          <w:ilvl w:val="0"/>
          <w:numId w:val="158"/>
        </w:numPr>
        <w:spacing w:after="200" w:line="276" w:lineRule="auto"/>
        <w:jc w:val="both"/>
        <w:rPr>
          <w:rFonts w:ascii="Times New Roman" w:eastAsia="Times New Roman" w:hAnsi="Times New Roman" w:cs="Times New Roman"/>
          <w:sz w:val="24"/>
          <w:szCs w:val="24"/>
          <w:lang w:eastAsia="fr-FR"/>
        </w:rPr>
      </w:pPr>
      <w:r w:rsidRPr="00CC165B">
        <w:rPr>
          <w:rFonts w:ascii="Times New Roman" w:eastAsia="Times New Roman" w:hAnsi="Times New Roman" w:cs="Times New Roman"/>
          <w:sz w:val="24"/>
          <w:szCs w:val="24"/>
          <w:lang w:eastAsia="fr-FR"/>
        </w:rPr>
        <w:t>Cette situation était de moins de 5 jours dans la partie sud-ouest de la zone sahélienne du pays, particulièrement dans l’Assaba, le Guidi</w:t>
      </w:r>
      <w:r>
        <w:rPr>
          <w:rFonts w:ascii="Times New Roman" w:eastAsia="Times New Roman" w:hAnsi="Times New Roman" w:cs="Times New Roman"/>
          <w:sz w:val="24"/>
          <w:szCs w:val="24"/>
          <w:lang w:eastAsia="fr-FR"/>
        </w:rPr>
        <w:t>m</w:t>
      </w:r>
      <w:r w:rsidRPr="00CC165B">
        <w:rPr>
          <w:rFonts w:ascii="Times New Roman" w:eastAsia="Times New Roman" w:hAnsi="Times New Roman" w:cs="Times New Roman"/>
          <w:sz w:val="24"/>
          <w:szCs w:val="24"/>
          <w:lang w:eastAsia="fr-FR"/>
        </w:rPr>
        <w:t>a</w:t>
      </w:r>
      <w:r>
        <w:rPr>
          <w:rFonts w:ascii="Times New Roman" w:eastAsia="Times New Roman" w:hAnsi="Times New Roman" w:cs="Times New Roman"/>
          <w:sz w:val="24"/>
          <w:szCs w:val="24"/>
          <w:lang w:eastAsia="fr-FR"/>
        </w:rPr>
        <w:t>k</w:t>
      </w:r>
      <w:r w:rsidRPr="00CC165B">
        <w:rPr>
          <w:rFonts w:ascii="Times New Roman" w:eastAsia="Times New Roman" w:hAnsi="Times New Roman" w:cs="Times New Roman"/>
          <w:sz w:val="24"/>
          <w:szCs w:val="24"/>
          <w:lang w:eastAsia="fr-FR"/>
        </w:rPr>
        <w:t>a, le Gorgol, le Brakna, le sud du Trarza et le sud-ouest du Tagant</w:t>
      </w:r>
    </w:p>
    <w:p w14:paraId="233E4BAF" w14:textId="77777777" w:rsidR="004E687C" w:rsidRPr="00CC165B" w:rsidRDefault="004E687C" w:rsidP="004E687C">
      <w:pPr>
        <w:pStyle w:val="Paragraphedeliste"/>
        <w:numPr>
          <w:ilvl w:val="0"/>
          <w:numId w:val="158"/>
        </w:numPr>
        <w:spacing w:after="200" w:line="276" w:lineRule="auto"/>
        <w:jc w:val="both"/>
        <w:rPr>
          <w:rFonts w:ascii="Times New Roman" w:eastAsia="Times New Roman" w:hAnsi="Times New Roman" w:cs="Times New Roman"/>
          <w:sz w:val="24"/>
          <w:szCs w:val="24"/>
          <w:lang w:eastAsia="fr-FR"/>
        </w:rPr>
      </w:pPr>
      <w:r w:rsidRPr="00CC165B">
        <w:rPr>
          <w:rFonts w:ascii="Times New Roman" w:eastAsia="Times New Roman" w:hAnsi="Times New Roman" w:cs="Times New Roman"/>
          <w:sz w:val="24"/>
          <w:szCs w:val="24"/>
          <w:lang w:eastAsia="fr-FR"/>
        </w:rPr>
        <w:t>L’augmentation de la saison sèche est très forte dans le nord du pays (zone désertique) particulièrement dans l’Inchiri dont elle dépasse les 25 jours par décennie dans le nord-ouest et de moindre ampleur dans l’Adrar avec moins de 10 jours dans la zone oasienne (sud de l’Adrar), et de 10 à 15 jours dans le nord et le nord-ouest du pays.</w:t>
      </w:r>
    </w:p>
    <w:p w14:paraId="27EA3E56" w14:textId="77777777" w:rsidR="004E687C" w:rsidRPr="00D71060" w:rsidRDefault="004E687C" w:rsidP="004E687C">
      <w:pPr>
        <w:autoSpaceDE w:val="0"/>
        <w:autoSpaceDN w:val="0"/>
        <w:adjustRightInd w:val="0"/>
        <w:jc w:val="both"/>
      </w:pPr>
      <w:r w:rsidRPr="00D71060">
        <w:t xml:space="preserve">En conclusion, les cumuls pluviométriques sont en régression et la période sèche est en augmentation donc le stresse de la sécheresse est un phénomène inéluctable et persistant dans toute les zones </w:t>
      </w:r>
      <w:r>
        <w:t xml:space="preserve">d’évaluation </w:t>
      </w:r>
      <w:r w:rsidRPr="00D71060">
        <w:t xml:space="preserve">de la vulnérabilité. </w:t>
      </w:r>
      <w:r>
        <w:t>D</w:t>
      </w:r>
      <w:r w:rsidRPr="00D71060">
        <w:t xml:space="preserve">’ampleur différenciée, la sécheresse reste de faible prévisibilité, et constitue un handicap majeur de toutes programmation, planification et activités du développement sectoriel. </w:t>
      </w:r>
    </w:p>
    <w:p w14:paraId="606620D6" w14:textId="77777777" w:rsidR="004E687C" w:rsidRDefault="004E687C" w:rsidP="004E687C">
      <w:pPr>
        <w:autoSpaceDE w:val="0"/>
        <w:autoSpaceDN w:val="0"/>
        <w:adjustRightInd w:val="0"/>
        <w:jc w:val="both"/>
      </w:pPr>
      <w:r>
        <w:rPr>
          <w:noProof/>
        </w:rPr>
        <w:drawing>
          <wp:anchor distT="0" distB="0" distL="114300" distR="114300" simplePos="0" relativeHeight="251736064" behindDoc="1" locked="0" layoutInCell="1" allowOverlap="1" wp14:anchorId="5006CB87" wp14:editId="2FBAE26B">
            <wp:simplePos x="0" y="0"/>
            <wp:positionH relativeFrom="column">
              <wp:posOffset>2948305</wp:posOffset>
            </wp:positionH>
            <wp:positionV relativeFrom="paragraph">
              <wp:posOffset>20955</wp:posOffset>
            </wp:positionV>
            <wp:extent cx="3028950" cy="1771650"/>
            <wp:effectExtent l="19050" t="0" r="0" b="0"/>
            <wp:wrapTight wrapText="bothSides">
              <wp:wrapPolygon edited="0">
                <wp:start x="-136" y="0"/>
                <wp:lineTo x="-136" y="21368"/>
                <wp:lineTo x="21600" y="21368"/>
                <wp:lineTo x="21600" y="0"/>
                <wp:lineTo x="-136" y="0"/>
              </wp:wrapPolygon>
            </wp:wrapTight>
            <wp:docPr id="210581645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232"/>
                    <a:srcRect/>
                    <a:stretch>
                      <a:fillRect/>
                    </a:stretch>
                  </pic:blipFill>
                  <pic:spPr bwMode="auto">
                    <a:xfrm>
                      <a:off x="0" y="0"/>
                      <a:ext cx="3028950" cy="1771650"/>
                    </a:xfrm>
                    <a:prstGeom prst="rect">
                      <a:avLst/>
                    </a:prstGeom>
                    <a:noFill/>
                    <a:ln w="9525">
                      <a:noFill/>
                      <a:miter lim="800000"/>
                      <a:headEnd/>
                      <a:tailEnd/>
                    </a:ln>
                  </pic:spPr>
                </pic:pic>
              </a:graphicData>
            </a:graphic>
          </wp:anchor>
        </w:drawing>
      </w:r>
    </w:p>
    <w:p w14:paraId="4906A967" w14:textId="77777777" w:rsidR="004E687C" w:rsidRPr="00085260" w:rsidRDefault="004E687C" w:rsidP="004E687C">
      <w:pPr>
        <w:pStyle w:val="Titre2"/>
        <w:numPr>
          <w:ilvl w:val="0"/>
          <w:numId w:val="187"/>
        </w:numPr>
        <w:tabs>
          <w:tab w:val="clear" w:pos="1637"/>
          <w:tab w:val="num" w:pos="709"/>
        </w:tabs>
        <w:ind w:left="709" w:hanging="709"/>
        <w:jc w:val="both"/>
        <w:rPr>
          <w:i/>
          <w:iCs/>
        </w:rPr>
      </w:pPr>
      <w:bookmarkStart w:id="584" w:name="_Toc343596118"/>
      <w:bookmarkStart w:id="585" w:name="_Toc191284982"/>
      <w:r w:rsidRPr="00085260">
        <w:t>Le réchauffement</w:t>
      </w:r>
      <w:bookmarkEnd w:id="584"/>
      <w:bookmarkEnd w:id="585"/>
      <w:r w:rsidRPr="00085260">
        <w:t xml:space="preserve"> </w:t>
      </w:r>
    </w:p>
    <w:p w14:paraId="1F9DB155" w14:textId="77777777" w:rsidR="004E687C" w:rsidRPr="00D71060" w:rsidRDefault="004E687C" w:rsidP="004E687C">
      <w:pPr>
        <w:autoSpaceDE w:val="0"/>
        <w:autoSpaceDN w:val="0"/>
        <w:adjustRightInd w:val="0"/>
        <w:jc w:val="both"/>
      </w:pPr>
      <w:r w:rsidRPr="00D71060">
        <w:t xml:space="preserve">Pour l’analyse du réchauffement quatre indices ont été utilisé, dont deux de </w:t>
      </w:r>
      <w:proofErr w:type="gramStart"/>
      <w:r w:rsidRPr="00D71060">
        <w:t>durée limité</w:t>
      </w:r>
      <w:proofErr w:type="gramEnd"/>
      <w:r w:rsidRPr="00D71060">
        <w:t xml:space="preserve"> nocturne ou diurne et deux de longue durée les vagues.</w:t>
      </w:r>
    </w:p>
    <w:p w14:paraId="7FA8C658" w14:textId="77777777" w:rsidR="004E687C" w:rsidRPr="001C5951" w:rsidRDefault="004E687C" w:rsidP="004E687C">
      <w:pPr>
        <w:pStyle w:val="Titre3"/>
        <w:numPr>
          <w:ilvl w:val="2"/>
          <w:numId w:val="190"/>
        </w:numPr>
        <w:tabs>
          <w:tab w:val="clear" w:pos="2340"/>
          <w:tab w:val="num" w:pos="0"/>
        </w:tabs>
        <w:ind w:left="567" w:right="3827" w:hanging="567"/>
        <w:jc w:val="both"/>
      </w:pPr>
      <w:bookmarkStart w:id="586" w:name="_Toc343596119"/>
      <w:bookmarkStart w:id="587" w:name="_Toc191284983"/>
      <w:r w:rsidRPr="001C5951">
        <w:t>Faibles températures</w:t>
      </w:r>
      <w:bookmarkEnd w:id="586"/>
      <w:bookmarkEnd w:id="587"/>
    </w:p>
    <w:p w14:paraId="08CE0E37" w14:textId="77777777" w:rsidR="004E687C" w:rsidRDefault="004E687C" w:rsidP="004E687C">
      <w:pPr>
        <w:autoSpaceDE w:val="0"/>
        <w:autoSpaceDN w:val="0"/>
        <w:adjustRightInd w:val="0"/>
        <w:jc w:val="both"/>
      </w:pPr>
      <w:r w:rsidRPr="00D71060">
        <w:t>Les faibles températures sont exprimées en deux indices nocturne «</w:t>
      </w:r>
      <w:r>
        <w:t xml:space="preserve"> </w:t>
      </w:r>
      <w:r w:rsidRPr="00D71060">
        <w:t>nuits froides</w:t>
      </w:r>
      <w:r>
        <w:t xml:space="preserve"> </w:t>
      </w:r>
      <w:r w:rsidRPr="00D71060">
        <w:t>» et diurne «</w:t>
      </w:r>
      <w:r>
        <w:t xml:space="preserve"> </w:t>
      </w:r>
      <w:r w:rsidRPr="00D71060">
        <w:t>jours froids</w:t>
      </w:r>
      <w:r>
        <w:t xml:space="preserve"> </w:t>
      </w:r>
      <w:r w:rsidRPr="00D71060">
        <w:t>». On distingue par le terme nuits froides le Pourcentage de Nuits où la température minimale est inférieure au dixième percentile. Tandis que les jours froids désigne</w:t>
      </w:r>
      <w:r>
        <w:t>nt</w:t>
      </w:r>
      <w:r w:rsidRPr="00D71060">
        <w:t xml:space="preserve"> le Pourcentage de jours où la température maximale est inférieure au dixième percentile.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8"/>
        <w:gridCol w:w="4664"/>
      </w:tblGrid>
      <w:tr w:rsidR="004E687C" w:rsidRPr="00313533" w14:paraId="16184B0E" w14:textId="77777777" w:rsidTr="00EE0E23">
        <w:tc>
          <w:tcPr>
            <w:tcW w:w="4606" w:type="dxa"/>
          </w:tcPr>
          <w:p w14:paraId="64040B5A" w14:textId="77777777" w:rsidR="004E687C" w:rsidRPr="00313533" w:rsidRDefault="004E687C" w:rsidP="00EE0E23">
            <w:pPr>
              <w:autoSpaceDE w:val="0"/>
              <w:autoSpaceDN w:val="0"/>
              <w:adjustRightInd w:val="0"/>
              <w:jc w:val="both"/>
              <w:rPr>
                <w:sz w:val="16"/>
                <w:szCs w:val="16"/>
              </w:rPr>
            </w:pPr>
            <w:r>
              <w:rPr>
                <w:noProof/>
                <w:sz w:val="16"/>
                <w:szCs w:val="16"/>
              </w:rPr>
              <w:drawing>
                <wp:anchor distT="0" distB="0" distL="114300" distR="114300" simplePos="0" relativeHeight="251742208" behindDoc="1" locked="0" layoutInCell="1" allowOverlap="1" wp14:anchorId="2F8CFDAF" wp14:editId="4EED021B">
                  <wp:simplePos x="0" y="0"/>
                  <wp:positionH relativeFrom="column">
                    <wp:posOffset>3338830</wp:posOffset>
                  </wp:positionH>
                  <wp:positionV relativeFrom="paragraph">
                    <wp:posOffset>-304165</wp:posOffset>
                  </wp:positionV>
                  <wp:extent cx="2638425" cy="2860675"/>
                  <wp:effectExtent l="19050" t="19050" r="28575" b="15875"/>
                  <wp:wrapTight wrapText="bothSides">
                    <wp:wrapPolygon edited="0">
                      <wp:start x="-156" y="-144"/>
                      <wp:lineTo x="-156" y="21720"/>
                      <wp:lineTo x="21834" y="21720"/>
                      <wp:lineTo x="21834" y="-144"/>
                      <wp:lineTo x="-156" y="-144"/>
                    </wp:wrapPolygon>
                  </wp:wrapTight>
                  <wp:docPr id="810909733" name="Image 21" descr="tnn10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descr="tnn10p.jpg"/>
                          <pic:cNvPicPr>
                            <a:picLocks noChangeAspect="1" noChangeArrowheads="1"/>
                          </pic:cNvPicPr>
                        </pic:nvPicPr>
                        <pic:blipFill>
                          <a:blip r:embed="rId233"/>
                          <a:srcRect/>
                          <a:stretch>
                            <a:fillRect/>
                          </a:stretch>
                        </pic:blipFill>
                        <pic:spPr bwMode="auto">
                          <a:xfrm>
                            <a:off x="0" y="0"/>
                            <a:ext cx="2638425" cy="2860675"/>
                          </a:xfrm>
                          <a:prstGeom prst="rect">
                            <a:avLst/>
                          </a:prstGeom>
                          <a:noFill/>
                          <a:ln w="9525">
                            <a:solidFill>
                              <a:srgbClr val="000000"/>
                            </a:solidFill>
                            <a:miter lim="800000"/>
                            <a:headEnd/>
                            <a:tailEnd/>
                          </a:ln>
                        </pic:spPr>
                      </pic:pic>
                    </a:graphicData>
                  </a:graphic>
                </wp:anchor>
              </w:drawing>
            </w:r>
          </w:p>
        </w:tc>
        <w:tc>
          <w:tcPr>
            <w:tcW w:w="4606" w:type="dxa"/>
          </w:tcPr>
          <w:p w14:paraId="0A345E74" w14:textId="77777777" w:rsidR="004E687C" w:rsidRPr="00313533" w:rsidRDefault="004E687C" w:rsidP="00EE0E23">
            <w:pPr>
              <w:autoSpaceDE w:val="0"/>
              <w:autoSpaceDN w:val="0"/>
              <w:adjustRightInd w:val="0"/>
              <w:jc w:val="both"/>
              <w:rPr>
                <w:sz w:val="16"/>
                <w:szCs w:val="16"/>
              </w:rPr>
            </w:pPr>
            <w:r>
              <w:rPr>
                <w:noProof/>
                <w:sz w:val="16"/>
                <w:szCs w:val="16"/>
              </w:rPr>
              <w:drawing>
                <wp:anchor distT="0" distB="0" distL="114300" distR="114300" simplePos="0" relativeHeight="251743232" behindDoc="1" locked="0" layoutInCell="1" allowOverlap="1" wp14:anchorId="7576B659" wp14:editId="663E6DCA">
                  <wp:simplePos x="0" y="0"/>
                  <wp:positionH relativeFrom="column">
                    <wp:posOffset>46355</wp:posOffset>
                  </wp:positionH>
                  <wp:positionV relativeFrom="paragraph">
                    <wp:posOffset>10160</wp:posOffset>
                  </wp:positionV>
                  <wp:extent cx="2796540" cy="2860675"/>
                  <wp:effectExtent l="38100" t="19050" r="22860" b="15875"/>
                  <wp:wrapTight wrapText="bothSides">
                    <wp:wrapPolygon edited="0">
                      <wp:start x="-294" y="-144"/>
                      <wp:lineTo x="-294" y="21720"/>
                      <wp:lineTo x="21777" y="21720"/>
                      <wp:lineTo x="21777" y="-144"/>
                      <wp:lineTo x="-294" y="-144"/>
                    </wp:wrapPolygon>
                  </wp:wrapTight>
                  <wp:docPr id="1614283701" name="Image 1" descr="tx1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x10a.jpg"/>
                          <pic:cNvPicPr>
                            <a:picLocks noChangeAspect="1" noChangeArrowheads="1"/>
                          </pic:cNvPicPr>
                        </pic:nvPicPr>
                        <pic:blipFill>
                          <a:blip r:embed="rId234"/>
                          <a:srcRect/>
                          <a:stretch>
                            <a:fillRect/>
                          </a:stretch>
                        </pic:blipFill>
                        <pic:spPr bwMode="auto">
                          <a:xfrm>
                            <a:off x="0" y="0"/>
                            <a:ext cx="2796540" cy="2860675"/>
                          </a:xfrm>
                          <a:prstGeom prst="rect">
                            <a:avLst/>
                          </a:prstGeom>
                          <a:noFill/>
                          <a:ln w="9525">
                            <a:solidFill>
                              <a:srgbClr val="000000"/>
                            </a:solidFill>
                            <a:miter lim="800000"/>
                            <a:headEnd/>
                            <a:tailEnd/>
                          </a:ln>
                        </pic:spPr>
                      </pic:pic>
                    </a:graphicData>
                  </a:graphic>
                </wp:anchor>
              </w:drawing>
            </w:r>
          </w:p>
        </w:tc>
      </w:tr>
    </w:tbl>
    <w:p w14:paraId="3D04136E" w14:textId="77777777" w:rsidR="004E687C" w:rsidRPr="00D71060" w:rsidRDefault="004E687C" w:rsidP="004E687C">
      <w:pPr>
        <w:autoSpaceDE w:val="0"/>
        <w:autoSpaceDN w:val="0"/>
        <w:adjustRightInd w:val="0"/>
        <w:jc w:val="both"/>
      </w:pPr>
    </w:p>
    <w:p w14:paraId="606A3767" w14:textId="77777777" w:rsidR="004E687C" w:rsidRPr="00D71060" w:rsidRDefault="004E687C" w:rsidP="004E687C">
      <w:pPr>
        <w:autoSpaceDE w:val="0"/>
        <w:autoSpaceDN w:val="0"/>
        <w:adjustRightInd w:val="0"/>
        <w:jc w:val="both"/>
      </w:pPr>
      <w:r w:rsidRPr="00D71060">
        <w:t>En Mauritanie, les fréquences des faibles températures ont une tendance à la baisse de manière significative dans la plupart des stations (65%). Cette tendance à la régression touche plus les nuits froides avec -4nuits par décennie à Tidjikja et -3 nuits à Rosso et Kiffa. Cependant que la réduction constatée dans les jours froids ne dépasse guère les deux jours par décennie qu’à la station de Nouadhibou, ainsi un jour à Rosso.</w:t>
      </w:r>
    </w:p>
    <w:p w14:paraId="65DC5F74" w14:textId="77777777" w:rsidR="004E687C" w:rsidRPr="00D71060" w:rsidRDefault="004E687C" w:rsidP="004E687C">
      <w:pPr>
        <w:autoSpaceDE w:val="0"/>
        <w:autoSpaceDN w:val="0"/>
        <w:adjustRightInd w:val="0"/>
        <w:jc w:val="both"/>
      </w:pPr>
      <w:r w:rsidRPr="00D71060">
        <w:t>La spatialisation montre une forte tendance à la baisse des fréquences des nuits froides dans le centre et le sud du pays</w:t>
      </w:r>
      <w:r>
        <w:t xml:space="preserve"> avec :</w:t>
      </w:r>
      <w:r w:rsidRPr="00D71060">
        <w:t xml:space="preserve"> </w:t>
      </w:r>
    </w:p>
    <w:p w14:paraId="5246DAB4" w14:textId="77777777" w:rsidR="004E687C" w:rsidRPr="00CC165B" w:rsidRDefault="004E687C" w:rsidP="004E687C">
      <w:pPr>
        <w:pStyle w:val="Paragraphedeliste"/>
        <w:numPr>
          <w:ilvl w:val="0"/>
          <w:numId w:val="159"/>
        </w:numPr>
        <w:spacing w:after="200" w:line="276" w:lineRule="auto"/>
        <w:jc w:val="both"/>
        <w:rPr>
          <w:rFonts w:ascii="Times New Roman" w:eastAsia="Times New Roman" w:hAnsi="Times New Roman" w:cs="Times New Roman"/>
          <w:sz w:val="24"/>
          <w:szCs w:val="24"/>
          <w:lang w:eastAsia="fr-FR"/>
        </w:rPr>
      </w:pPr>
      <w:r w:rsidRPr="00CC165B">
        <w:rPr>
          <w:rFonts w:ascii="Times New Roman" w:eastAsia="Times New Roman" w:hAnsi="Times New Roman" w:cs="Times New Roman"/>
          <w:sz w:val="24"/>
          <w:szCs w:val="24"/>
          <w:lang w:eastAsia="fr-FR"/>
        </w:rPr>
        <w:t>Une forte baisse des nuits froides dans le nord de l’Assaba et le Nord-Ouest du Hodh EL</w:t>
      </w:r>
      <w:r>
        <w:rPr>
          <w:rFonts w:ascii="Times New Roman" w:eastAsia="Times New Roman" w:hAnsi="Times New Roman" w:cs="Times New Roman"/>
          <w:sz w:val="24"/>
          <w:szCs w:val="24"/>
          <w:lang w:eastAsia="fr-FR"/>
        </w:rPr>
        <w:t xml:space="preserve"> </w:t>
      </w:r>
      <w:r w:rsidRPr="00CC165B">
        <w:rPr>
          <w:rFonts w:ascii="Times New Roman" w:eastAsia="Times New Roman" w:hAnsi="Times New Roman" w:cs="Times New Roman"/>
          <w:sz w:val="24"/>
          <w:szCs w:val="24"/>
          <w:lang w:eastAsia="fr-FR"/>
        </w:rPr>
        <w:t>Gharbi allant de -4 à -6 nuits par décennie dans le reste de la zone domine une allure plus modérée avec -3 à -4 nuits par décennie dans toute la partie sahélienne du pays (les deux Hodh, l’Assaba, le Tagant, le Guidi</w:t>
      </w:r>
      <w:r>
        <w:rPr>
          <w:rFonts w:ascii="Times New Roman" w:eastAsia="Times New Roman" w:hAnsi="Times New Roman" w:cs="Times New Roman"/>
          <w:sz w:val="24"/>
          <w:szCs w:val="24"/>
          <w:lang w:eastAsia="fr-FR"/>
        </w:rPr>
        <w:t>m</w:t>
      </w:r>
      <w:r w:rsidRPr="00CC165B">
        <w:rPr>
          <w:rFonts w:ascii="Times New Roman" w:eastAsia="Times New Roman" w:hAnsi="Times New Roman" w:cs="Times New Roman"/>
          <w:sz w:val="24"/>
          <w:szCs w:val="24"/>
          <w:lang w:eastAsia="fr-FR"/>
        </w:rPr>
        <w:t>a</w:t>
      </w:r>
      <w:r>
        <w:rPr>
          <w:rFonts w:ascii="Times New Roman" w:eastAsia="Times New Roman" w:hAnsi="Times New Roman" w:cs="Times New Roman"/>
          <w:sz w:val="24"/>
          <w:szCs w:val="24"/>
          <w:lang w:eastAsia="fr-FR"/>
        </w:rPr>
        <w:t>k</w:t>
      </w:r>
      <w:r w:rsidRPr="00CC165B">
        <w:rPr>
          <w:rFonts w:ascii="Times New Roman" w:eastAsia="Times New Roman" w:hAnsi="Times New Roman" w:cs="Times New Roman"/>
          <w:sz w:val="24"/>
          <w:szCs w:val="24"/>
          <w:lang w:eastAsia="fr-FR"/>
        </w:rPr>
        <w:t xml:space="preserve">a, le Gorgol, le Brakna, le sud du Trarza et le sud de l’Adrar. </w:t>
      </w:r>
    </w:p>
    <w:p w14:paraId="03410502" w14:textId="77777777" w:rsidR="004E687C" w:rsidRPr="00CC165B" w:rsidRDefault="004E687C" w:rsidP="004E687C">
      <w:pPr>
        <w:pStyle w:val="Paragraphedeliste"/>
        <w:numPr>
          <w:ilvl w:val="0"/>
          <w:numId w:val="159"/>
        </w:numPr>
        <w:spacing w:after="200" w:line="276" w:lineRule="auto"/>
        <w:jc w:val="both"/>
        <w:rPr>
          <w:rFonts w:ascii="Times New Roman" w:eastAsia="Times New Roman" w:hAnsi="Times New Roman" w:cs="Times New Roman"/>
          <w:sz w:val="24"/>
          <w:szCs w:val="24"/>
          <w:lang w:eastAsia="fr-FR"/>
        </w:rPr>
      </w:pPr>
      <w:r w:rsidRPr="00CC165B">
        <w:rPr>
          <w:rFonts w:ascii="Times New Roman" w:eastAsia="Times New Roman" w:hAnsi="Times New Roman" w:cs="Times New Roman"/>
          <w:sz w:val="24"/>
          <w:szCs w:val="24"/>
          <w:lang w:eastAsia="fr-FR"/>
        </w:rPr>
        <w:t>Dans les autres partie</w:t>
      </w:r>
      <w:r>
        <w:rPr>
          <w:rFonts w:ascii="Times New Roman" w:eastAsia="Times New Roman" w:hAnsi="Times New Roman" w:cs="Times New Roman"/>
          <w:sz w:val="24"/>
          <w:szCs w:val="24"/>
          <w:lang w:eastAsia="fr-FR"/>
        </w:rPr>
        <w:t>s</w:t>
      </w:r>
      <w:r w:rsidRPr="00CC165B">
        <w:rPr>
          <w:rFonts w:ascii="Times New Roman" w:eastAsia="Times New Roman" w:hAnsi="Times New Roman" w:cs="Times New Roman"/>
          <w:sz w:val="24"/>
          <w:szCs w:val="24"/>
          <w:lang w:eastAsia="fr-FR"/>
        </w:rPr>
        <w:t xml:space="preserve"> du pays (Nord et Nord-ouest</w:t>
      </w:r>
      <w:proofErr w:type="gramStart"/>
      <w:r w:rsidRPr="00CC165B">
        <w:rPr>
          <w:rFonts w:ascii="Times New Roman" w:eastAsia="Times New Roman" w:hAnsi="Times New Roman" w:cs="Times New Roman"/>
          <w:sz w:val="24"/>
          <w:szCs w:val="24"/>
          <w:lang w:eastAsia="fr-FR"/>
        </w:rPr>
        <w:t>):</w:t>
      </w:r>
      <w:proofErr w:type="gramEnd"/>
      <w:r w:rsidRPr="00CC165B">
        <w:rPr>
          <w:rFonts w:ascii="Times New Roman" w:eastAsia="Times New Roman" w:hAnsi="Times New Roman" w:cs="Times New Roman"/>
          <w:sz w:val="24"/>
          <w:szCs w:val="24"/>
          <w:lang w:eastAsia="fr-FR"/>
        </w:rPr>
        <w:t xml:space="preserve"> la baisse des nuits froides -3 à -1 nuits par décennie </w:t>
      </w:r>
    </w:p>
    <w:p w14:paraId="7069DA7E" w14:textId="77777777" w:rsidR="004E687C" w:rsidRDefault="004E687C" w:rsidP="004E687C">
      <w:pPr>
        <w:autoSpaceDE w:val="0"/>
        <w:autoSpaceDN w:val="0"/>
        <w:adjustRightInd w:val="0"/>
        <w:jc w:val="both"/>
      </w:pPr>
      <w:r w:rsidRPr="00D71060">
        <w:t xml:space="preserve">Les jours froids ont diminué </w:t>
      </w:r>
      <w:r>
        <w:t xml:space="preserve">d’un niveau plus faible que les nuits, </w:t>
      </w:r>
      <w:r w:rsidRPr="00D71060">
        <w:t>dans l’ouest, le centre et le sud du pays</w:t>
      </w:r>
      <w:r>
        <w:t xml:space="preserve"> avec une signification statistique de plus de 90%. Le maximum de cette diminution est à Nouadhibou (environ -2 jours par décennie), suivi de Rosso avec (environ 2jours par décennie), les autres zones cannaient une régression d’environ -10 à -5 jours par siècle.    Quant au Nord et Est du pays les résultats de l’indicateur des jours froids donnent une faible tendance à l’augmentation (entre 1 à 5 jours par siècle) avec une faible signification statistique.</w:t>
      </w:r>
    </w:p>
    <w:p w14:paraId="27EFF988" w14:textId="77777777" w:rsidR="004E687C" w:rsidRPr="00B64F8D" w:rsidRDefault="004E687C" w:rsidP="004E687C">
      <w:pPr>
        <w:pStyle w:val="Titre3"/>
        <w:numPr>
          <w:ilvl w:val="2"/>
          <w:numId w:val="190"/>
        </w:numPr>
        <w:tabs>
          <w:tab w:val="clear" w:pos="2340"/>
          <w:tab w:val="num" w:pos="0"/>
        </w:tabs>
        <w:ind w:left="567" w:right="1417" w:hanging="567"/>
        <w:jc w:val="both"/>
      </w:pPr>
      <w:r>
        <w:rPr>
          <w:b/>
          <w:bCs/>
          <w:noProof/>
        </w:rPr>
        <w:drawing>
          <wp:anchor distT="0" distB="0" distL="114300" distR="114300" simplePos="0" relativeHeight="251738112" behindDoc="1" locked="0" layoutInCell="1" allowOverlap="1" wp14:anchorId="0406C929" wp14:editId="135FD727">
            <wp:simplePos x="0" y="0"/>
            <wp:positionH relativeFrom="column">
              <wp:posOffset>2556510</wp:posOffset>
            </wp:positionH>
            <wp:positionV relativeFrom="paragraph">
              <wp:posOffset>499110</wp:posOffset>
            </wp:positionV>
            <wp:extent cx="3477895" cy="2562225"/>
            <wp:effectExtent l="19050" t="19050" r="27305" b="28575"/>
            <wp:wrapTight wrapText="bothSides">
              <wp:wrapPolygon edited="0">
                <wp:start x="-118" y="-161"/>
                <wp:lineTo x="-118" y="21841"/>
                <wp:lineTo x="21770" y="21841"/>
                <wp:lineTo x="21770" y="-161"/>
                <wp:lineTo x="-118" y="-161"/>
              </wp:wrapPolygon>
            </wp:wrapTight>
            <wp:docPr id="1813503638"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235"/>
                    <a:srcRect l="3470" t="4184" r="1894" b="3346"/>
                    <a:stretch>
                      <a:fillRect/>
                    </a:stretch>
                  </pic:blipFill>
                  <pic:spPr bwMode="auto">
                    <a:xfrm>
                      <a:off x="0" y="0"/>
                      <a:ext cx="3477895" cy="2562225"/>
                    </a:xfrm>
                    <a:prstGeom prst="rect">
                      <a:avLst/>
                    </a:prstGeom>
                    <a:noFill/>
                    <a:ln w="9525">
                      <a:solidFill>
                        <a:srgbClr val="000000"/>
                      </a:solidFill>
                      <a:miter lim="800000"/>
                      <a:headEnd/>
                      <a:tailEnd/>
                    </a:ln>
                  </pic:spPr>
                </pic:pic>
              </a:graphicData>
            </a:graphic>
          </wp:anchor>
        </w:drawing>
      </w:r>
      <w:bookmarkStart w:id="588" w:name="_Toc343596120"/>
      <w:bookmarkStart w:id="589" w:name="_Toc191284984"/>
      <w:r w:rsidRPr="00B64F8D">
        <w:t>Les vagues de chaleur et de froid</w:t>
      </w:r>
      <w:bookmarkEnd w:id="588"/>
      <w:bookmarkEnd w:id="589"/>
    </w:p>
    <w:p w14:paraId="3C449439" w14:textId="77777777" w:rsidR="004E687C" w:rsidRDefault="004E687C" w:rsidP="004E687C">
      <w:pPr>
        <w:tabs>
          <w:tab w:val="left" w:pos="1050"/>
        </w:tabs>
        <w:jc w:val="both"/>
        <w:rPr>
          <w:bCs/>
        </w:rPr>
      </w:pPr>
      <w:r>
        <w:t>On définit par vague de chaleur : le n</w:t>
      </w:r>
      <w:r w:rsidRPr="00C76FFA">
        <w:t>ombre annuel de jours avec au moins 6 jours consécutifs où </w:t>
      </w:r>
      <w:r>
        <w:t xml:space="preserve">la température maximale est supérieure au </w:t>
      </w:r>
      <w:r w:rsidRPr="00C76FFA">
        <w:t>90</w:t>
      </w:r>
      <w:r w:rsidRPr="00C76FFA">
        <w:rPr>
          <w:vertAlign w:val="superscript"/>
        </w:rPr>
        <w:t>ème</w:t>
      </w:r>
      <w:r>
        <w:t xml:space="preserve"> </w:t>
      </w:r>
      <w:r w:rsidRPr="00C76FFA">
        <w:t xml:space="preserve">  percentile</w:t>
      </w:r>
      <w:r>
        <w:t xml:space="preserve">. Les séries climatiques </w:t>
      </w:r>
      <w:r w:rsidRPr="00C76FFA">
        <w:rPr>
          <w:bCs/>
        </w:rPr>
        <w:t xml:space="preserve">mettent en évidence </w:t>
      </w:r>
      <w:r>
        <w:rPr>
          <w:bCs/>
        </w:rPr>
        <w:t>l’</w:t>
      </w:r>
      <w:r w:rsidRPr="00C76FFA">
        <w:rPr>
          <w:bCs/>
        </w:rPr>
        <w:t xml:space="preserve">accroissement de </w:t>
      </w:r>
      <w:r>
        <w:rPr>
          <w:bCs/>
        </w:rPr>
        <w:t>cet indicateur en Mauritanie malgré que 6 stations donnent des tendances de faible diminution des vagues de chaleur sans signification statistique</w:t>
      </w:r>
      <w:r w:rsidRPr="00C76FFA">
        <w:rPr>
          <w:bCs/>
        </w:rPr>
        <w:t>.</w:t>
      </w:r>
      <w:r>
        <w:rPr>
          <w:bCs/>
        </w:rPr>
        <w:t xml:space="preserve"> Le maximum de d’augmentation des vagues de chaleur est observé à Rosso avec 5journées par décennie, suivi d’Aioun 3journées et de Kiffa 2 journées.</w:t>
      </w:r>
    </w:p>
    <w:p w14:paraId="2DF722EE" w14:textId="77777777" w:rsidR="004E687C" w:rsidRDefault="004E687C" w:rsidP="004E687C">
      <w:pPr>
        <w:tabs>
          <w:tab w:val="left" w:pos="1050"/>
        </w:tabs>
        <w:jc w:val="both"/>
        <w:rPr>
          <w:bCs/>
        </w:rPr>
      </w:pPr>
      <w:r>
        <w:rPr>
          <w:bCs/>
        </w:rPr>
        <w:t>La station de Zouérate présente le maximum de tendance à la diminution des vagues de chaleur avec environ 1journées par décennie (il faut noter que cette station manque d’homogénéité des données climatiques suite au transfert de la station de F’dérik environ 15Km).</w:t>
      </w:r>
    </w:p>
    <w:p w14:paraId="7D03BE3A" w14:textId="77777777" w:rsidR="004E687C" w:rsidRDefault="004E687C" w:rsidP="004E687C">
      <w:pPr>
        <w:tabs>
          <w:tab w:val="left" w:pos="1050"/>
        </w:tabs>
        <w:jc w:val="both"/>
      </w:pPr>
      <w:r>
        <w:t xml:space="preserve">La spatialisation montre une hétérogénéité dans la distribution des vagues de chaleur, avec une dominance de l’augmentation dans le sud, le centre et l’ouest du pays. </w:t>
      </w:r>
    </w:p>
    <w:p w14:paraId="13A5B900" w14:textId="77777777" w:rsidR="004E687C" w:rsidRPr="004E081C" w:rsidRDefault="004E687C" w:rsidP="004E687C">
      <w:pPr>
        <w:tabs>
          <w:tab w:val="left" w:pos="1050"/>
        </w:tabs>
        <w:jc w:val="both"/>
        <w:rPr>
          <w:noProof/>
        </w:rPr>
      </w:pPr>
      <w:r w:rsidRPr="004E081C">
        <w:rPr>
          <w:noProof/>
        </w:rPr>
        <w:t>Quand aux vagues de froid, toutes les données des stations de la Mauritanie montrent des tendances à la réduction de grande confiance statistique sauf dans les stations du nord (Zouérat, Bir, Akjoujt et Nouadhibou) qui ont les plus faibles taux de diminution.</w:t>
      </w:r>
    </w:p>
    <w:p w14:paraId="57B6E747" w14:textId="77777777" w:rsidR="004E687C" w:rsidRDefault="004E687C" w:rsidP="004E687C">
      <w:pPr>
        <w:tabs>
          <w:tab w:val="left" w:pos="1050"/>
        </w:tabs>
        <w:jc w:val="both"/>
      </w:pPr>
      <w:r>
        <w:t xml:space="preserve">La spatialisation montre une homogénéité dans la distribution des vagues de froid, avec une réduction générale de maximum dans le centre du pays (Tagant) secondé par l’embouchure du fleuve. </w:t>
      </w:r>
    </w:p>
    <w:p w14:paraId="1ED36410" w14:textId="77777777" w:rsidR="004E687C" w:rsidRPr="004E081C" w:rsidRDefault="004E687C" w:rsidP="004E687C">
      <w:pPr>
        <w:autoSpaceDE w:val="0"/>
        <w:autoSpaceDN w:val="0"/>
        <w:adjustRightInd w:val="0"/>
        <w:jc w:val="both"/>
      </w:pPr>
      <w:r>
        <w:t>En conclusion, les vagues de froid en nette baisse et ceux de chaleur en accroissement dans toute les zones d’étude donc le réchauffement est confirmé en Mauritanie malgré l’absence de données confirmant cette allure.</w:t>
      </w:r>
    </w:p>
    <w:p w14:paraId="2EB2886A" w14:textId="77777777" w:rsidR="004E687C" w:rsidRPr="00085260" w:rsidRDefault="004E687C" w:rsidP="004E687C">
      <w:pPr>
        <w:pStyle w:val="Titre2"/>
        <w:numPr>
          <w:ilvl w:val="0"/>
          <w:numId w:val="187"/>
        </w:numPr>
        <w:tabs>
          <w:tab w:val="clear" w:pos="1637"/>
          <w:tab w:val="num" w:pos="709"/>
        </w:tabs>
        <w:ind w:left="709" w:hanging="709"/>
        <w:jc w:val="both"/>
        <w:rPr>
          <w:i/>
          <w:iCs/>
        </w:rPr>
      </w:pPr>
      <w:bookmarkStart w:id="590" w:name="_Toc343596121"/>
      <w:bookmarkStart w:id="591" w:name="_Toc191284985"/>
      <w:r w:rsidRPr="00085260">
        <w:t>Inondations</w:t>
      </w:r>
      <w:bookmarkEnd w:id="590"/>
      <w:bookmarkEnd w:id="591"/>
      <w:r w:rsidRPr="00085260">
        <w:t xml:space="preserve"> </w:t>
      </w:r>
    </w:p>
    <w:p w14:paraId="122812BE" w14:textId="77777777" w:rsidR="004E687C" w:rsidRDefault="004E687C" w:rsidP="004E687C">
      <w:pPr>
        <w:tabs>
          <w:tab w:val="left" w:pos="1050"/>
        </w:tabs>
        <w:jc w:val="both"/>
        <w:rPr>
          <w:noProof/>
        </w:rPr>
      </w:pPr>
      <w:r>
        <w:rPr>
          <w:noProof/>
        </w:rPr>
        <w:t xml:space="preserve">Pour l’analyse du stress d’inondation les indicateurs de fortes pluies et de simple intensité ont été rétennus dans cette évaluation. </w:t>
      </w:r>
    </w:p>
    <w:p w14:paraId="2663BA66" w14:textId="77777777" w:rsidR="004E687C" w:rsidRPr="00B64F8D" w:rsidRDefault="004E687C" w:rsidP="004E687C">
      <w:pPr>
        <w:pStyle w:val="Titre3"/>
        <w:numPr>
          <w:ilvl w:val="2"/>
          <w:numId w:val="191"/>
        </w:numPr>
        <w:tabs>
          <w:tab w:val="clear" w:pos="2340"/>
          <w:tab w:val="num" w:pos="284"/>
        </w:tabs>
        <w:ind w:left="567" w:right="3827" w:hanging="709"/>
        <w:jc w:val="both"/>
      </w:pPr>
      <w:bookmarkStart w:id="592" w:name="_Toc343596122"/>
      <w:bookmarkStart w:id="593" w:name="_Toc191284986"/>
      <w:r w:rsidRPr="00B64F8D">
        <w:t>L’intensité simple des pluies</w:t>
      </w:r>
      <w:bookmarkEnd w:id="592"/>
      <w:bookmarkEnd w:id="593"/>
    </w:p>
    <w:p w14:paraId="5AF29772" w14:textId="77777777" w:rsidR="004E687C" w:rsidRDefault="004E687C" w:rsidP="004E687C">
      <w:pPr>
        <w:tabs>
          <w:tab w:val="left" w:pos="1050"/>
        </w:tabs>
        <w:jc w:val="both"/>
        <w:rPr>
          <w:noProof/>
        </w:rPr>
      </w:pPr>
      <w:r>
        <w:rPr>
          <w:b/>
          <w:bCs/>
          <w:i/>
          <w:iCs/>
          <w:noProof/>
        </w:rPr>
        <w:drawing>
          <wp:anchor distT="0" distB="0" distL="114300" distR="114300" simplePos="0" relativeHeight="251739136" behindDoc="1" locked="0" layoutInCell="1" allowOverlap="1" wp14:anchorId="5ECDC1EB" wp14:editId="16952A8B">
            <wp:simplePos x="0" y="0"/>
            <wp:positionH relativeFrom="column">
              <wp:posOffset>3043555</wp:posOffset>
            </wp:positionH>
            <wp:positionV relativeFrom="paragraph">
              <wp:posOffset>323850</wp:posOffset>
            </wp:positionV>
            <wp:extent cx="3209925" cy="2219325"/>
            <wp:effectExtent l="19050" t="0" r="9525" b="0"/>
            <wp:wrapTight wrapText="bothSides">
              <wp:wrapPolygon edited="0">
                <wp:start x="-128" y="0"/>
                <wp:lineTo x="-128" y="21507"/>
                <wp:lineTo x="21664" y="21507"/>
                <wp:lineTo x="21664" y="0"/>
                <wp:lineTo x="-128" y="0"/>
              </wp:wrapPolygon>
            </wp:wrapTight>
            <wp:docPr id="9298951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36"/>
                    <a:srcRect/>
                    <a:stretch>
                      <a:fillRect/>
                    </a:stretch>
                  </pic:blipFill>
                  <pic:spPr bwMode="auto">
                    <a:xfrm>
                      <a:off x="0" y="0"/>
                      <a:ext cx="3209925" cy="2219325"/>
                    </a:xfrm>
                    <a:prstGeom prst="rect">
                      <a:avLst/>
                    </a:prstGeom>
                    <a:noFill/>
                    <a:ln w="9525">
                      <a:noFill/>
                      <a:miter lim="800000"/>
                      <a:headEnd/>
                      <a:tailEnd/>
                    </a:ln>
                  </pic:spPr>
                </pic:pic>
              </a:graphicData>
            </a:graphic>
          </wp:anchor>
        </w:drawing>
      </w:r>
      <w:r>
        <w:rPr>
          <w:noProof/>
        </w:rPr>
        <w:t xml:space="preserve">La simple intensité qui représente le cumul pluviométrique annuel </w:t>
      </w:r>
      <w:r w:rsidRPr="002239B6">
        <w:rPr>
          <w:noProof/>
        </w:rPr>
        <w:t>divisé par le nombre de jours de pluie</w:t>
      </w:r>
      <w:r>
        <w:rPr>
          <w:noProof/>
        </w:rPr>
        <w:t xml:space="preserve"> dans l’année, a connu un accroissement sur le long des stations avec une firte confiance statistique dans 11 des 13 stations. Les deux stations de faible signification sont celles de faible taux d’augmentation d’intensité (Atar 0,015 mm par an avec 70% de </w:t>
      </w:r>
      <w:r>
        <w:t xml:space="preserve">P value et Tidjikja 0,032 mm par an avec 84% de P value). </w:t>
      </w:r>
    </w:p>
    <w:p w14:paraId="27A8D9B1" w14:textId="77777777" w:rsidR="004E687C" w:rsidRDefault="004E687C" w:rsidP="004E687C">
      <w:pPr>
        <w:tabs>
          <w:tab w:val="left" w:pos="1050"/>
        </w:tabs>
        <w:jc w:val="both"/>
        <w:rPr>
          <w:noProof/>
        </w:rPr>
      </w:pPr>
      <w:r>
        <w:rPr>
          <w:noProof/>
        </w:rPr>
        <w:drawing>
          <wp:anchor distT="0" distB="0" distL="114300" distR="114300" simplePos="0" relativeHeight="251740160" behindDoc="1" locked="0" layoutInCell="1" allowOverlap="1" wp14:anchorId="738DC5A0" wp14:editId="20E36EA2">
            <wp:simplePos x="0" y="0"/>
            <wp:positionH relativeFrom="column">
              <wp:posOffset>3043555</wp:posOffset>
            </wp:positionH>
            <wp:positionV relativeFrom="paragraph">
              <wp:posOffset>1473835</wp:posOffset>
            </wp:positionV>
            <wp:extent cx="2875915" cy="2981325"/>
            <wp:effectExtent l="38100" t="19050" r="19685" b="28575"/>
            <wp:wrapTight wrapText="bothSides">
              <wp:wrapPolygon edited="0">
                <wp:start x="-286" y="-138"/>
                <wp:lineTo x="-286" y="21807"/>
                <wp:lineTo x="21748" y="21807"/>
                <wp:lineTo x="21748" y="-138"/>
                <wp:lineTo x="-286" y="-138"/>
              </wp:wrapPolygon>
            </wp:wrapTight>
            <wp:docPr id="465982966" name="Image 7" descr="sd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sdiii.jpg"/>
                    <pic:cNvPicPr>
                      <a:picLocks noChangeAspect="1" noChangeArrowheads="1"/>
                    </pic:cNvPicPr>
                  </pic:nvPicPr>
                  <pic:blipFill>
                    <a:blip r:embed="rId237"/>
                    <a:srcRect/>
                    <a:stretch>
                      <a:fillRect/>
                    </a:stretch>
                  </pic:blipFill>
                  <pic:spPr bwMode="auto">
                    <a:xfrm>
                      <a:off x="0" y="0"/>
                      <a:ext cx="2875915" cy="2981325"/>
                    </a:xfrm>
                    <a:prstGeom prst="rect">
                      <a:avLst/>
                    </a:prstGeom>
                    <a:noFill/>
                    <a:ln w="9525">
                      <a:solidFill>
                        <a:srgbClr val="000000"/>
                      </a:solidFill>
                      <a:miter lim="800000"/>
                      <a:headEnd/>
                      <a:tailEnd/>
                    </a:ln>
                  </pic:spPr>
                </pic:pic>
              </a:graphicData>
            </a:graphic>
          </wp:anchor>
        </w:drawing>
      </w:r>
      <w:r>
        <w:rPr>
          <w:noProof/>
        </w:rPr>
        <w:t>Dans les autre stations de forte signifiation, on distingue trois groupes : i) le groupe de forte augmentation composé de Bir Moghreîne et Nouadhibou avec respectivement 0,164  et 0,147 mm par an ; ii) le groupe d’accroissement relativement moyen qui compte les stations de Rosso, Akjoujt, Zouérat, Kaédi, Boutilimit et Néma. Dans ce groupe l’augmentation de la simple intensité varie entre 0,086 mm par an à Rosso et 0,069mm par an à Néma ; le groupe de faible augmentation d’intensité simple de pluie qui compte les station de Nouakchott, Kiffa et Aioun. De valeurs très proche allant de 0,038mm par an à Aioun à 0,043mm par an  à Nouakchott, ce groupe est de confiance modéré par rapport aux deux précedants avec 93% à Kiffa, 91% à Aioun et 89% à  Nouakchott.</w:t>
      </w:r>
    </w:p>
    <w:p w14:paraId="13B416A6" w14:textId="77777777" w:rsidR="004E687C" w:rsidRDefault="004E687C" w:rsidP="004E687C">
      <w:pPr>
        <w:tabs>
          <w:tab w:val="left" w:pos="1050"/>
        </w:tabs>
        <w:jc w:val="both"/>
        <w:rPr>
          <w:noProof/>
        </w:rPr>
      </w:pPr>
      <w:r>
        <w:rPr>
          <w:noProof/>
        </w:rPr>
        <w:t>La spatialisation de cet indice montre un accroissement relativement élévé au nord et au nord-ouest du pays, faible au centre et moyen à fort au sud.</w:t>
      </w:r>
    </w:p>
    <w:p w14:paraId="7ED58C62" w14:textId="77777777" w:rsidR="004E687C" w:rsidRPr="00DF56A4" w:rsidRDefault="004E687C" w:rsidP="004E687C">
      <w:pPr>
        <w:tabs>
          <w:tab w:val="left" w:pos="1050"/>
        </w:tabs>
        <w:jc w:val="both"/>
        <w:rPr>
          <w:noProof/>
        </w:rPr>
      </w:pPr>
      <w:r>
        <w:rPr>
          <w:noProof/>
        </w:rPr>
        <w:t>Au niveau des zones d’études secorielles l’augmentation de l’intensité se présente comme suit :</w:t>
      </w:r>
    </w:p>
    <w:p w14:paraId="617780A3" w14:textId="77777777" w:rsidR="004E687C" w:rsidRDefault="004E687C" w:rsidP="004E687C">
      <w:pPr>
        <w:tabs>
          <w:tab w:val="left" w:pos="1050"/>
        </w:tabs>
        <w:jc w:val="both"/>
        <w:rPr>
          <w:noProof/>
        </w:rPr>
      </w:pPr>
    </w:p>
    <w:p w14:paraId="408EE2ED" w14:textId="77777777" w:rsidR="004E687C" w:rsidRPr="00CC165B" w:rsidRDefault="004E687C" w:rsidP="004E687C">
      <w:pPr>
        <w:pStyle w:val="Paragraphedeliste"/>
        <w:numPr>
          <w:ilvl w:val="0"/>
          <w:numId w:val="163"/>
        </w:numPr>
        <w:spacing w:after="200" w:line="276" w:lineRule="auto"/>
        <w:jc w:val="both"/>
        <w:rPr>
          <w:rFonts w:ascii="Times New Roman" w:eastAsia="Times New Roman" w:hAnsi="Times New Roman" w:cs="Times New Roman"/>
          <w:sz w:val="24"/>
          <w:szCs w:val="24"/>
          <w:lang w:eastAsia="fr-FR"/>
        </w:rPr>
      </w:pPr>
      <w:r w:rsidRPr="00CC165B">
        <w:rPr>
          <w:rFonts w:ascii="Times New Roman" w:eastAsia="Times New Roman" w:hAnsi="Times New Roman" w:cs="Times New Roman"/>
          <w:sz w:val="24"/>
          <w:szCs w:val="24"/>
          <w:lang w:eastAsia="fr-FR"/>
        </w:rPr>
        <w:t>Le secteur des écosystèmes (deux H</w:t>
      </w:r>
      <w:r>
        <w:rPr>
          <w:rFonts w:ascii="Times New Roman" w:eastAsia="Times New Roman" w:hAnsi="Times New Roman" w:cs="Times New Roman"/>
          <w:sz w:val="24"/>
          <w:szCs w:val="24"/>
          <w:lang w:eastAsia="fr-FR"/>
        </w:rPr>
        <w:t>odh</w:t>
      </w:r>
      <w:r w:rsidRPr="00CC165B">
        <w:rPr>
          <w:rFonts w:ascii="Times New Roman" w:eastAsia="Times New Roman" w:hAnsi="Times New Roman" w:cs="Times New Roman"/>
          <w:sz w:val="24"/>
          <w:szCs w:val="24"/>
          <w:lang w:eastAsia="fr-FR"/>
        </w:rPr>
        <w:t xml:space="preserve"> et Assaba</w:t>
      </w:r>
      <w:proofErr w:type="gramStart"/>
      <w:r w:rsidRPr="00CC165B">
        <w:rPr>
          <w:rFonts w:ascii="Times New Roman" w:eastAsia="Times New Roman" w:hAnsi="Times New Roman" w:cs="Times New Roman"/>
          <w:sz w:val="24"/>
          <w:szCs w:val="24"/>
          <w:lang w:eastAsia="fr-FR"/>
        </w:rPr>
        <w:t>):</w:t>
      </w:r>
      <w:proofErr w:type="gramEnd"/>
      <w:r w:rsidRPr="00CC165B">
        <w:rPr>
          <w:rFonts w:ascii="Times New Roman" w:eastAsia="Times New Roman" w:hAnsi="Times New Roman" w:cs="Times New Roman"/>
          <w:sz w:val="24"/>
          <w:szCs w:val="24"/>
          <w:lang w:eastAsia="fr-FR"/>
        </w:rPr>
        <w:t xml:space="preserve"> dans cette zone le simple indice d’intensité de pluie augmente </w:t>
      </w:r>
      <w:proofErr w:type="gramStart"/>
      <w:r w:rsidRPr="00CC165B">
        <w:rPr>
          <w:rFonts w:ascii="Times New Roman" w:eastAsia="Times New Roman" w:hAnsi="Times New Roman" w:cs="Times New Roman"/>
          <w:sz w:val="24"/>
          <w:szCs w:val="24"/>
          <w:lang w:eastAsia="fr-FR"/>
        </w:rPr>
        <w:t>d’une façon modéré</w:t>
      </w:r>
      <w:proofErr w:type="gramEnd"/>
      <w:r w:rsidRPr="00CC165B">
        <w:rPr>
          <w:rFonts w:ascii="Times New Roman" w:eastAsia="Times New Roman" w:hAnsi="Times New Roman" w:cs="Times New Roman"/>
          <w:sz w:val="24"/>
          <w:szCs w:val="24"/>
          <w:lang w:eastAsia="fr-FR"/>
        </w:rPr>
        <w:t xml:space="preserve"> de l’ordre de 0,07 à 0,08mm par an dans l’est du Hodh Charghi et d’un peu plus moins 0,05 à 0,06mm par an dans l’ouest du Hodh Charghi et l’extrême est du Hodh Gharbi ainsi que </w:t>
      </w:r>
      <w:proofErr w:type="gramStart"/>
      <w:r w:rsidRPr="00CC165B">
        <w:rPr>
          <w:rFonts w:ascii="Times New Roman" w:eastAsia="Times New Roman" w:hAnsi="Times New Roman" w:cs="Times New Roman"/>
          <w:sz w:val="24"/>
          <w:szCs w:val="24"/>
          <w:lang w:eastAsia="fr-FR"/>
        </w:rPr>
        <w:t>dans  l’ouest</w:t>
      </w:r>
      <w:proofErr w:type="gramEnd"/>
      <w:r w:rsidRPr="00CC165B">
        <w:rPr>
          <w:rFonts w:ascii="Times New Roman" w:eastAsia="Times New Roman" w:hAnsi="Times New Roman" w:cs="Times New Roman"/>
          <w:sz w:val="24"/>
          <w:szCs w:val="24"/>
          <w:lang w:eastAsia="fr-FR"/>
        </w:rPr>
        <w:t xml:space="preserve"> et le sud-ouest de l’Assaba. Le centre de cette zone (est, nord et centre de l’Assaba et le Hodh </w:t>
      </w:r>
      <w:r>
        <w:rPr>
          <w:rFonts w:ascii="Times New Roman" w:eastAsia="Times New Roman" w:hAnsi="Times New Roman" w:cs="Times New Roman"/>
          <w:sz w:val="24"/>
          <w:szCs w:val="24"/>
          <w:lang w:eastAsia="fr-FR"/>
        </w:rPr>
        <w:t xml:space="preserve">EL </w:t>
      </w:r>
      <w:r w:rsidRPr="00CC165B">
        <w:rPr>
          <w:rFonts w:ascii="Times New Roman" w:eastAsia="Times New Roman" w:hAnsi="Times New Roman" w:cs="Times New Roman"/>
          <w:sz w:val="24"/>
          <w:szCs w:val="24"/>
          <w:lang w:eastAsia="fr-FR"/>
        </w:rPr>
        <w:t xml:space="preserve">Gharbi) connait une augmentation d’intensité relativement faible avec moins de 0,05mm par an. </w:t>
      </w:r>
    </w:p>
    <w:p w14:paraId="44A485A6" w14:textId="77777777" w:rsidR="004E687C" w:rsidRPr="00CC165B" w:rsidRDefault="004E687C" w:rsidP="004E687C">
      <w:pPr>
        <w:pStyle w:val="Paragraphedeliste"/>
        <w:numPr>
          <w:ilvl w:val="0"/>
          <w:numId w:val="163"/>
        </w:numPr>
        <w:spacing w:after="200" w:line="276" w:lineRule="auto"/>
        <w:jc w:val="both"/>
        <w:rPr>
          <w:rFonts w:ascii="Times New Roman" w:eastAsia="Times New Roman" w:hAnsi="Times New Roman" w:cs="Times New Roman"/>
          <w:sz w:val="24"/>
          <w:szCs w:val="24"/>
          <w:lang w:eastAsia="fr-FR"/>
        </w:rPr>
      </w:pPr>
      <w:r w:rsidRPr="00CC165B">
        <w:rPr>
          <w:rFonts w:ascii="Times New Roman" w:eastAsia="Times New Roman" w:hAnsi="Times New Roman" w:cs="Times New Roman"/>
          <w:sz w:val="24"/>
          <w:szCs w:val="24"/>
          <w:lang w:eastAsia="fr-FR"/>
        </w:rPr>
        <w:t>Le secteur de l’eau (bassin versant du Gorgol</w:t>
      </w:r>
      <w:proofErr w:type="gramStart"/>
      <w:r w:rsidRPr="00CC165B">
        <w:rPr>
          <w:rFonts w:ascii="Times New Roman" w:eastAsia="Times New Roman" w:hAnsi="Times New Roman" w:cs="Times New Roman"/>
          <w:sz w:val="24"/>
          <w:szCs w:val="24"/>
          <w:lang w:eastAsia="fr-FR"/>
        </w:rPr>
        <w:t>):</w:t>
      </w:r>
      <w:proofErr w:type="gramEnd"/>
      <w:r w:rsidRPr="00CC165B">
        <w:rPr>
          <w:rFonts w:ascii="Times New Roman" w:eastAsia="Times New Roman" w:hAnsi="Times New Roman" w:cs="Times New Roman"/>
          <w:sz w:val="24"/>
          <w:szCs w:val="24"/>
          <w:lang w:eastAsia="fr-FR"/>
        </w:rPr>
        <w:t xml:space="preserve"> dans le bassin versant du Gorgol, la simple intensité de </w:t>
      </w:r>
      <w:proofErr w:type="gramStart"/>
      <w:r w:rsidRPr="00CC165B">
        <w:rPr>
          <w:rFonts w:ascii="Times New Roman" w:eastAsia="Times New Roman" w:hAnsi="Times New Roman" w:cs="Times New Roman"/>
          <w:sz w:val="24"/>
          <w:szCs w:val="24"/>
          <w:lang w:eastAsia="fr-FR"/>
        </w:rPr>
        <w:t>pluie  connait</w:t>
      </w:r>
      <w:proofErr w:type="gramEnd"/>
      <w:r w:rsidRPr="00CC165B">
        <w:rPr>
          <w:rFonts w:ascii="Times New Roman" w:eastAsia="Times New Roman" w:hAnsi="Times New Roman" w:cs="Times New Roman"/>
          <w:sz w:val="24"/>
          <w:szCs w:val="24"/>
          <w:lang w:eastAsia="fr-FR"/>
        </w:rPr>
        <w:t xml:space="preserve"> un accroissement de l’ordre de 0,03mm par décennie. Cet accroissement augmente Plus qu’on avance vers le sud-ouest pour atteindre 0,06 mm dans l’extrême sud-ouest du bassin, avec une grande confiance statistique. </w:t>
      </w:r>
    </w:p>
    <w:p w14:paraId="76A80C31" w14:textId="77777777" w:rsidR="004E687C" w:rsidRPr="00CC165B" w:rsidRDefault="004E687C" w:rsidP="004E687C">
      <w:pPr>
        <w:pStyle w:val="Paragraphedeliste"/>
        <w:numPr>
          <w:ilvl w:val="0"/>
          <w:numId w:val="163"/>
        </w:numPr>
        <w:spacing w:after="200" w:line="276" w:lineRule="auto"/>
        <w:jc w:val="both"/>
        <w:rPr>
          <w:rFonts w:ascii="Times New Roman" w:eastAsia="Times New Roman" w:hAnsi="Times New Roman" w:cs="Times New Roman"/>
          <w:sz w:val="24"/>
          <w:szCs w:val="24"/>
          <w:lang w:eastAsia="fr-FR"/>
        </w:rPr>
      </w:pPr>
      <w:r w:rsidRPr="00CC165B">
        <w:rPr>
          <w:rFonts w:ascii="Times New Roman" w:eastAsia="Times New Roman" w:hAnsi="Times New Roman" w:cs="Times New Roman"/>
          <w:sz w:val="24"/>
          <w:szCs w:val="24"/>
          <w:lang w:eastAsia="fr-FR"/>
        </w:rPr>
        <w:t>Le secteur de l’agriculture (Brakna et ouest du Tagant</w:t>
      </w:r>
      <w:proofErr w:type="gramStart"/>
      <w:r w:rsidRPr="00CC165B">
        <w:rPr>
          <w:rFonts w:ascii="Times New Roman" w:eastAsia="Times New Roman" w:hAnsi="Times New Roman" w:cs="Times New Roman"/>
          <w:sz w:val="24"/>
          <w:szCs w:val="24"/>
          <w:lang w:eastAsia="fr-FR"/>
        </w:rPr>
        <w:t>):</w:t>
      </w:r>
      <w:proofErr w:type="gramEnd"/>
      <w:r w:rsidRPr="00CC165B">
        <w:rPr>
          <w:rFonts w:ascii="Times New Roman" w:eastAsia="Times New Roman" w:hAnsi="Times New Roman" w:cs="Times New Roman"/>
          <w:sz w:val="24"/>
          <w:szCs w:val="24"/>
          <w:lang w:eastAsia="fr-FR"/>
        </w:rPr>
        <w:t xml:space="preserve"> l’augmentation de l’intensité simple des pluies partage la zone d’étude en trois </w:t>
      </w:r>
      <w:proofErr w:type="gramStart"/>
      <w:r w:rsidRPr="00CC165B">
        <w:rPr>
          <w:rFonts w:ascii="Times New Roman" w:eastAsia="Times New Roman" w:hAnsi="Times New Roman" w:cs="Times New Roman"/>
          <w:sz w:val="24"/>
          <w:szCs w:val="24"/>
          <w:lang w:eastAsia="fr-FR"/>
        </w:rPr>
        <w:t>parties  allant</w:t>
      </w:r>
      <w:proofErr w:type="gramEnd"/>
      <w:r w:rsidRPr="00CC165B">
        <w:rPr>
          <w:rFonts w:ascii="Times New Roman" w:eastAsia="Times New Roman" w:hAnsi="Times New Roman" w:cs="Times New Roman"/>
          <w:sz w:val="24"/>
          <w:szCs w:val="24"/>
          <w:lang w:eastAsia="fr-FR"/>
        </w:rPr>
        <w:t xml:space="preserve"> de moins de 0,05 mm par an dans le nord-est du Brakna et le sud-ouest du </w:t>
      </w:r>
      <w:proofErr w:type="gramStart"/>
      <w:r w:rsidRPr="00CC165B">
        <w:rPr>
          <w:rFonts w:ascii="Times New Roman" w:eastAsia="Times New Roman" w:hAnsi="Times New Roman" w:cs="Times New Roman"/>
          <w:sz w:val="24"/>
          <w:szCs w:val="24"/>
          <w:lang w:eastAsia="fr-FR"/>
        </w:rPr>
        <w:t>Tagant  à</w:t>
      </w:r>
      <w:proofErr w:type="gramEnd"/>
      <w:r w:rsidRPr="00CC165B">
        <w:rPr>
          <w:rFonts w:ascii="Times New Roman" w:eastAsia="Times New Roman" w:hAnsi="Times New Roman" w:cs="Times New Roman"/>
          <w:sz w:val="24"/>
          <w:szCs w:val="24"/>
          <w:lang w:eastAsia="fr-FR"/>
        </w:rPr>
        <w:t xml:space="preserve"> environ 0,07 mm par an dans le centre du Brakna pour atteindre 0,09 mm par an dans le sud et le sud-est du Brakna.</w:t>
      </w:r>
    </w:p>
    <w:p w14:paraId="27E89A4E" w14:textId="77777777" w:rsidR="004E687C" w:rsidRPr="00CC165B" w:rsidRDefault="004E687C" w:rsidP="004E687C">
      <w:pPr>
        <w:pStyle w:val="Paragraphedeliste"/>
        <w:numPr>
          <w:ilvl w:val="0"/>
          <w:numId w:val="163"/>
        </w:numPr>
        <w:spacing w:after="200" w:line="276" w:lineRule="auto"/>
        <w:jc w:val="both"/>
        <w:rPr>
          <w:rFonts w:ascii="Times New Roman" w:eastAsia="Times New Roman" w:hAnsi="Times New Roman" w:cs="Times New Roman"/>
          <w:sz w:val="24"/>
          <w:szCs w:val="24"/>
          <w:lang w:eastAsia="fr-FR"/>
        </w:rPr>
      </w:pPr>
      <w:r w:rsidRPr="00CC165B">
        <w:rPr>
          <w:rFonts w:ascii="Times New Roman" w:eastAsia="Times New Roman" w:hAnsi="Times New Roman" w:cs="Times New Roman"/>
          <w:sz w:val="24"/>
          <w:szCs w:val="24"/>
          <w:lang w:eastAsia="fr-FR"/>
        </w:rPr>
        <w:t>Le secteur de la Forêt (zone d’E</w:t>
      </w:r>
      <w:r>
        <w:rPr>
          <w:rFonts w:ascii="Times New Roman" w:eastAsia="Times New Roman" w:hAnsi="Times New Roman" w:cs="Times New Roman"/>
          <w:sz w:val="24"/>
          <w:szCs w:val="24"/>
          <w:lang w:eastAsia="fr-FR"/>
        </w:rPr>
        <w:t>L A</w:t>
      </w:r>
      <w:r w:rsidRPr="00CC165B">
        <w:rPr>
          <w:rFonts w:ascii="Times New Roman" w:eastAsia="Times New Roman" w:hAnsi="Times New Roman" w:cs="Times New Roman"/>
          <w:sz w:val="24"/>
          <w:szCs w:val="24"/>
          <w:lang w:eastAsia="fr-FR"/>
        </w:rPr>
        <w:t>tf (Gorgol</w:t>
      </w:r>
      <w:proofErr w:type="gramStart"/>
      <w:r w:rsidRPr="00CC165B">
        <w:rPr>
          <w:rFonts w:ascii="Times New Roman" w:eastAsia="Times New Roman" w:hAnsi="Times New Roman" w:cs="Times New Roman"/>
          <w:sz w:val="24"/>
          <w:szCs w:val="24"/>
          <w:lang w:eastAsia="fr-FR"/>
        </w:rPr>
        <w:t>):</w:t>
      </w:r>
      <w:proofErr w:type="gramEnd"/>
      <w:r w:rsidRPr="00CC165B">
        <w:rPr>
          <w:rFonts w:ascii="Times New Roman" w:eastAsia="Times New Roman" w:hAnsi="Times New Roman" w:cs="Times New Roman"/>
          <w:sz w:val="24"/>
          <w:szCs w:val="24"/>
          <w:lang w:eastAsia="fr-FR"/>
        </w:rPr>
        <w:t xml:space="preserve"> dans la zone d’E</w:t>
      </w:r>
      <w:r>
        <w:rPr>
          <w:rFonts w:ascii="Times New Roman" w:eastAsia="Times New Roman" w:hAnsi="Times New Roman" w:cs="Times New Roman"/>
          <w:sz w:val="24"/>
          <w:szCs w:val="24"/>
          <w:lang w:eastAsia="fr-FR"/>
        </w:rPr>
        <w:t>L A</w:t>
      </w:r>
      <w:r w:rsidRPr="00CC165B">
        <w:rPr>
          <w:rFonts w:ascii="Times New Roman" w:eastAsia="Times New Roman" w:hAnsi="Times New Roman" w:cs="Times New Roman"/>
          <w:sz w:val="24"/>
          <w:szCs w:val="24"/>
          <w:lang w:eastAsia="fr-FR"/>
        </w:rPr>
        <w:t xml:space="preserve">tf on observe un </w:t>
      </w:r>
      <w:proofErr w:type="gramStart"/>
      <w:r w:rsidRPr="00CC165B">
        <w:rPr>
          <w:rFonts w:ascii="Times New Roman" w:eastAsia="Times New Roman" w:hAnsi="Times New Roman" w:cs="Times New Roman"/>
          <w:sz w:val="24"/>
          <w:szCs w:val="24"/>
          <w:lang w:eastAsia="fr-FR"/>
        </w:rPr>
        <w:t>accroissement  de</w:t>
      </w:r>
      <w:proofErr w:type="gramEnd"/>
      <w:r w:rsidRPr="00CC165B">
        <w:rPr>
          <w:rFonts w:ascii="Times New Roman" w:eastAsia="Times New Roman" w:hAnsi="Times New Roman" w:cs="Times New Roman"/>
          <w:sz w:val="24"/>
          <w:szCs w:val="24"/>
          <w:lang w:eastAsia="fr-FR"/>
        </w:rPr>
        <w:t xml:space="preserve"> l’intensité simple des pluies de l’ordre de 0,07 mm qui augmente en allant vers le nord-</w:t>
      </w:r>
      <w:proofErr w:type="gramStart"/>
      <w:r w:rsidRPr="00CC165B">
        <w:rPr>
          <w:rFonts w:ascii="Times New Roman" w:eastAsia="Times New Roman" w:hAnsi="Times New Roman" w:cs="Times New Roman"/>
          <w:sz w:val="24"/>
          <w:szCs w:val="24"/>
          <w:lang w:eastAsia="fr-FR"/>
        </w:rPr>
        <w:t>ouest  pour</w:t>
      </w:r>
      <w:proofErr w:type="gramEnd"/>
      <w:r w:rsidRPr="00CC165B">
        <w:rPr>
          <w:rFonts w:ascii="Times New Roman" w:eastAsia="Times New Roman" w:hAnsi="Times New Roman" w:cs="Times New Roman"/>
          <w:sz w:val="24"/>
          <w:szCs w:val="24"/>
          <w:lang w:eastAsia="fr-FR"/>
        </w:rPr>
        <w:t xml:space="preserve"> atteindre environ 0,09mm par an, avec un niveau de confiance de plus de 95%.</w:t>
      </w:r>
    </w:p>
    <w:p w14:paraId="21746865" w14:textId="77777777" w:rsidR="004E687C" w:rsidRPr="00CC165B" w:rsidRDefault="004E687C" w:rsidP="004E687C">
      <w:pPr>
        <w:pStyle w:val="Paragraphedeliste"/>
        <w:numPr>
          <w:ilvl w:val="0"/>
          <w:numId w:val="163"/>
        </w:numPr>
        <w:spacing w:after="200" w:line="276" w:lineRule="auto"/>
        <w:jc w:val="both"/>
        <w:rPr>
          <w:rFonts w:ascii="Times New Roman" w:eastAsia="Times New Roman" w:hAnsi="Times New Roman" w:cs="Times New Roman"/>
          <w:sz w:val="24"/>
          <w:szCs w:val="24"/>
          <w:lang w:eastAsia="fr-FR"/>
        </w:rPr>
      </w:pPr>
      <w:r w:rsidRPr="00CC165B">
        <w:rPr>
          <w:rFonts w:ascii="Times New Roman" w:eastAsia="Times New Roman" w:hAnsi="Times New Roman" w:cs="Times New Roman"/>
          <w:sz w:val="24"/>
          <w:szCs w:val="24"/>
          <w:lang w:eastAsia="fr-FR"/>
        </w:rPr>
        <w:t>Le secteur de l’élevage (Adrar et Inchiri</w:t>
      </w:r>
      <w:proofErr w:type="gramStart"/>
      <w:r w:rsidRPr="00CC165B">
        <w:rPr>
          <w:rFonts w:ascii="Times New Roman" w:eastAsia="Times New Roman" w:hAnsi="Times New Roman" w:cs="Times New Roman"/>
          <w:sz w:val="24"/>
          <w:szCs w:val="24"/>
          <w:lang w:eastAsia="fr-FR"/>
        </w:rPr>
        <w:t>):</w:t>
      </w:r>
      <w:proofErr w:type="gramEnd"/>
      <w:r w:rsidRPr="00CC165B">
        <w:rPr>
          <w:rFonts w:ascii="Times New Roman" w:eastAsia="Times New Roman" w:hAnsi="Times New Roman" w:cs="Times New Roman"/>
          <w:sz w:val="24"/>
          <w:szCs w:val="24"/>
          <w:lang w:eastAsia="fr-FR"/>
        </w:rPr>
        <w:t xml:space="preserve"> cette zone connait le plus faible taux d’augmentation d’intensité simple des pluies dans le pays au centre de l’Adrar avec moins de 0,03mm par an avec une faible signification statistique pour la station d’Atar (60%). Cet accroissement augmente rapidement en allant vers l’est comme l’ouest pour atteindre 0,05 mm </w:t>
      </w:r>
      <w:proofErr w:type="gramStart"/>
      <w:r w:rsidRPr="00CC165B">
        <w:rPr>
          <w:rFonts w:ascii="Times New Roman" w:eastAsia="Times New Roman" w:hAnsi="Times New Roman" w:cs="Times New Roman"/>
          <w:sz w:val="24"/>
          <w:szCs w:val="24"/>
          <w:lang w:eastAsia="fr-FR"/>
        </w:rPr>
        <w:t>sur  la</w:t>
      </w:r>
      <w:proofErr w:type="gramEnd"/>
      <w:r w:rsidRPr="00CC165B">
        <w:rPr>
          <w:rFonts w:ascii="Times New Roman" w:eastAsia="Times New Roman" w:hAnsi="Times New Roman" w:cs="Times New Roman"/>
          <w:sz w:val="24"/>
          <w:szCs w:val="24"/>
          <w:lang w:eastAsia="fr-FR"/>
        </w:rPr>
        <w:t xml:space="preserve"> limite entre l’Adrar et l’Inchiri, et plus de 0,09 mm à l’ouest et le nord-ouest de l’Inchiri. Cette tendance d’augmentation est d’une grande confiance statistique.</w:t>
      </w:r>
    </w:p>
    <w:p w14:paraId="09D5BE2A" w14:textId="77777777" w:rsidR="004E687C" w:rsidRPr="00CC165B" w:rsidRDefault="004E687C" w:rsidP="004E687C">
      <w:pPr>
        <w:pStyle w:val="Paragraphedeliste"/>
        <w:numPr>
          <w:ilvl w:val="0"/>
          <w:numId w:val="163"/>
        </w:numPr>
        <w:autoSpaceDE w:val="0"/>
        <w:autoSpaceDN w:val="0"/>
        <w:adjustRightInd w:val="0"/>
        <w:spacing w:after="200" w:line="276" w:lineRule="auto"/>
        <w:jc w:val="both"/>
      </w:pPr>
      <w:r>
        <w:rPr>
          <w:rFonts w:ascii="Times New Roman" w:eastAsia="Times New Roman" w:hAnsi="Times New Roman" w:cs="Times New Roman"/>
          <w:noProof/>
          <w:sz w:val="24"/>
          <w:szCs w:val="24"/>
          <w:lang w:eastAsia="fr-FR"/>
        </w:rPr>
        <w:drawing>
          <wp:anchor distT="0" distB="0" distL="114300" distR="114300" simplePos="0" relativeHeight="251741184" behindDoc="1" locked="0" layoutInCell="1" allowOverlap="1" wp14:anchorId="5017F8B8" wp14:editId="42AD89B4">
            <wp:simplePos x="0" y="0"/>
            <wp:positionH relativeFrom="column">
              <wp:posOffset>2976880</wp:posOffset>
            </wp:positionH>
            <wp:positionV relativeFrom="paragraph">
              <wp:posOffset>1835785</wp:posOffset>
            </wp:positionV>
            <wp:extent cx="3398520" cy="1657350"/>
            <wp:effectExtent l="19050" t="0" r="0" b="0"/>
            <wp:wrapTight wrapText="bothSides">
              <wp:wrapPolygon edited="0">
                <wp:start x="-121" y="0"/>
                <wp:lineTo x="-121" y="21352"/>
                <wp:lineTo x="21552" y="21352"/>
                <wp:lineTo x="21552" y="0"/>
                <wp:lineTo x="-121" y="0"/>
              </wp:wrapPolygon>
            </wp:wrapTight>
            <wp:docPr id="12332266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38"/>
                    <a:srcRect/>
                    <a:stretch>
                      <a:fillRect/>
                    </a:stretch>
                  </pic:blipFill>
                  <pic:spPr bwMode="auto">
                    <a:xfrm>
                      <a:off x="0" y="0"/>
                      <a:ext cx="3398520" cy="1657350"/>
                    </a:xfrm>
                    <a:prstGeom prst="rect">
                      <a:avLst/>
                    </a:prstGeom>
                    <a:noFill/>
                    <a:ln w="9525">
                      <a:noFill/>
                      <a:miter lim="800000"/>
                      <a:headEnd/>
                      <a:tailEnd/>
                    </a:ln>
                  </pic:spPr>
                </pic:pic>
              </a:graphicData>
            </a:graphic>
          </wp:anchor>
        </w:drawing>
      </w:r>
      <w:r w:rsidRPr="00CC165B">
        <w:rPr>
          <w:rFonts w:ascii="Times New Roman" w:eastAsia="Times New Roman" w:hAnsi="Times New Roman" w:cs="Times New Roman"/>
          <w:sz w:val="24"/>
          <w:szCs w:val="24"/>
          <w:lang w:eastAsia="fr-FR"/>
        </w:rPr>
        <w:t>Le centre du littoral et particulièrement la zone de Nouakchott connait le plus faible taux d’augmentation d’intensité simple des pluies dans cette zone avec environ 0,05 mm par an et une faible signification statistique à Nouakchott (88%). Cependant que le nord du littoral (à partir du cap Timiris) connait le record d’augmentation d’intensité simple des pluies avec plus de 0,09 mm par an. Quan</w:t>
      </w:r>
      <w:r>
        <w:rPr>
          <w:rFonts w:ascii="Times New Roman" w:eastAsia="Times New Roman" w:hAnsi="Times New Roman" w:cs="Times New Roman"/>
          <w:sz w:val="24"/>
          <w:szCs w:val="24"/>
          <w:lang w:eastAsia="fr-FR"/>
        </w:rPr>
        <w:t>t</w:t>
      </w:r>
      <w:r w:rsidRPr="00CC165B">
        <w:rPr>
          <w:rFonts w:ascii="Times New Roman" w:eastAsia="Times New Roman" w:hAnsi="Times New Roman" w:cs="Times New Roman"/>
          <w:sz w:val="24"/>
          <w:szCs w:val="24"/>
          <w:lang w:eastAsia="fr-FR"/>
        </w:rPr>
        <w:t xml:space="preserve"> à la zone du delta l’augmentation de l’intensité simple des pluies est de l’ordre de 0,07 à 0,09 mm par an.  En général la signification statistique de l’augmentation de l’intensité simple des pluies dans le littoral est très élevée avec plus de 98% de P</w:t>
      </w:r>
      <w:r>
        <w:rPr>
          <w:rFonts w:ascii="Times New Roman" w:eastAsia="Times New Roman" w:hAnsi="Times New Roman" w:cs="Times New Roman"/>
          <w:sz w:val="24"/>
          <w:szCs w:val="24"/>
          <w:lang w:eastAsia="fr-FR"/>
        </w:rPr>
        <w:t>-</w:t>
      </w:r>
      <w:r w:rsidRPr="00CC165B">
        <w:rPr>
          <w:rFonts w:ascii="Times New Roman" w:eastAsia="Times New Roman" w:hAnsi="Times New Roman" w:cs="Times New Roman"/>
          <w:sz w:val="24"/>
          <w:szCs w:val="24"/>
          <w:lang w:eastAsia="fr-FR"/>
        </w:rPr>
        <w:t>value au sud et plus de 99% au Nord.</w:t>
      </w:r>
    </w:p>
    <w:p w14:paraId="67ED1212" w14:textId="77777777" w:rsidR="004E687C" w:rsidRPr="00F8205A" w:rsidRDefault="004E687C" w:rsidP="004E687C">
      <w:pPr>
        <w:pStyle w:val="Titre3"/>
        <w:numPr>
          <w:ilvl w:val="2"/>
          <w:numId w:val="191"/>
        </w:numPr>
        <w:tabs>
          <w:tab w:val="clear" w:pos="2340"/>
          <w:tab w:val="num" w:pos="284"/>
        </w:tabs>
        <w:ind w:left="567" w:right="3827" w:hanging="709"/>
        <w:jc w:val="both"/>
      </w:pPr>
      <w:bookmarkStart w:id="594" w:name="_Toc343596123"/>
      <w:bookmarkStart w:id="595" w:name="_Toc191284987"/>
      <w:r w:rsidRPr="00F8205A">
        <w:t>Fréquence de pluies diluviennes</w:t>
      </w:r>
      <w:bookmarkEnd w:id="594"/>
      <w:bookmarkEnd w:id="595"/>
    </w:p>
    <w:p w14:paraId="0CDB1AF4" w14:textId="77777777" w:rsidR="004E687C" w:rsidRPr="00A776EC" w:rsidRDefault="004E687C" w:rsidP="004E687C">
      <w:pPr>
        <w:tabs>
          <w:tab w:val="left" w:pos="1050"/>
        </w:tabs>
        <w:jc w:val="both"/>
      </w:pPr>
      <w:r>
        <w:t>L’indice de forte pluie correspond au n</w:t>
      </w:r>
      <w:r w:rsidRPr="00AE642D">
        <w:t xml:space="preserve">ombre de jours </w:t>
      </w:r>
      <w:r>
        <w:t xml:space="preserve">de cumul pluviométrique supérieure au seuil déterminé par l’utilisateur dans notre </w:t>
      </w:r>
      <w:proofErr w:type="gramStart"/>
      <w:r>
        <w:t xml:space="preserve">cas </w:t>
      </w:r>
      <w:r w:rsidRPr="00AE642D">
        <w:t> </w:t>
      </w:r>
      <w:r>
        <w:t>40</w:t>
      </w:r>
      <w:proofErr w:type="gramEnd"/>
      <w:r>
        <w:t xml:space="preserve"> mm pour le Nord du pays et 60 mm pour la partie sud du pays. </w:t>
      </w:r>
      <w:r w:rsidRPr="00A776EC">
        <w:t xml:space="preserve"> </w:t>
      </w:r>
    </w:p>
    <w:p w14:paraId="4CA5B105" w14:textId="77777777" w:rsidR="004E687C" w:rsidRDefault="004E687C" w:rsidP="004E687C">
      <w:pPr>
        <w:tabs>
          <w:tab w:val="left" w:pos="1050"/>
        </w:tabs>
        <w:jc w:val="both"/>
      </w:pPr>
      <w:r>
        <w:t>Malgré une faible signification statistique générale de l’ensemble des indicateurs de pluie diluvienne, les résultats de l’indice forte pluie montre une tendance à une faible augmentation dans 6 stations dont Boutilimit, Rosso et Kaédi dans le sud-ouest, Akjoujt et Nouadhibou dans le nord-ouest et Bir Moughrein dans le Nord du pays. Les deux stations du sud-est (Néma et Aioun) présentent des tendances nulles. Cependant que les stations du centre du pays ont des tendances de faible diminution des fortes pluies où le record est de -0,08 journée à Tidjikja.</w:t>
      </w:r>
    </w:p>
    <w:p w14:paraId="0B84F75E" w14:textId="77777777" w:rsidR="004E687C" w:rsidRDefault="004E687C" w:rsidP="004E687C">
      <w:pPr>
        <w:tabs>
          <w:tab w:val="left" w:pos="1050"/>
        </w:tabs>
        <w:jc w:val="both"/>
      </w:pPr>
    </w:p>
    <w:p w14:paraId="07128FDE" w14:textId="77777777" w:rsidR="004E687C" w:rsidRDefault="004E687C" w:rsidP="004E687C">
      <w:pPr>
        <w:tabs>
          <w:tab w:val="left" w:pos="1050"/>
        </w:tabs>
        <w:jc w:val="both"/>
        <w:rPr>
          <w:noProof/>
        </w:rPr>
      </w:pPr>
      <w:r>
        <w:rPr>
          <w:noProof/>
        </w:rPr>
        <w:t>En conclusion, les inondations sont un stress non exclu malgrés la tendance générale de régression du cumul annuel des pluies.</w:t>
      </w:r>
    </w:p>
    <w:p w14:paraId="6E25EC65" w14:textId="77777777" w:rsidR="004E687C" w:rsidRPr="00607EE0" w:rsidRDefault="004E687C" w:rsidP="004E687C">
      <w:pPr>
        <w:pStyle w:val="Titre1"/>
        <w:numPr>
          <w:ilvl w:val="0"/>
          <w:numId w:val="185"/>
        </w:numPr>
        <w:ind w:left="720" w:hanging="360"/>
      </w:pPr>
      <w:bookmarkStart w:id="596" w:name="_Toc343596124"/>
      <w:bookmarkStart w:id="597" w:name="_Toc191284988"/>
      <w:r w:rsidRPr="00607EE0">
        <w:t>Scénarii des changements climatiques</w:t>
      </w:r>
      <w:bookmarkEnd w:id="596"/>
      <w:bookmarkEnd w:id="597"/>
    </w:p>
    <w:p w14:paraId="3FEADA19" w14:textId="77777777" w:rsidR="004E687C" w:rsidRPr="00085260" w:rsidRDefault="004E687C" w:rsidP="004E687C">
      <w:pPr>
        <w:pStyle w:val="Titre2"/>
        <w:numPr>
          <w:ilvl w:val="0"/>
          <w:numId w:val="188"/>
        </w:numPr>
        <w:tabs>
          <w:tab w:val="clear" w:pos="1357"/>
        </w:tabs>
        <w:ind w:left="720" w:hanging="648"/>
        <w:jc w:val="both"/>
        <w:rPr>
          <w:i/>
          <w:iCs/>
        </w:rPr>
      </w:pPr>
      <w:bookmarkStart w:id="598" w:name="_Toc192820612"/>
      <w:bookmarkStart w:id="599" w:name="_Toc192821033"/>
      <w:bookmarkStart w:id="600" w:name="_Toc192821162"/>
      <w:bookmarkStart w:id="601" w:name="_Toc343596125"/>
      <w:bookmarkStart w:id="602" w:name="_Toc191284989"/>
      <w:r w:rsidRPr="00085260">
        <w:t>Fondement des scénarios d’émission</w:t>
      </w:r>
      <w:bookmarkEnd w:id="598"/>
      <w:bookmarkEnd w:id="599"/>
      <w:bookmarkEnd w:id="600"/>
      <w:bookmarkEnd w:id="601"/>
      <w:bookmarkEnd w:id="602"/>
    </w:p>
    <w:p w14:paraId="2FBDD137" w14:textId="77777777" w:rsidR="004E687C" w:rsidRPr="0003301E" w:rsidRDefault="004E687C" w:rsidP="004E687C">
      <w:pPr>
        <w:pStyle w:val="Corpsdetexte"/>
      </w:pPr>
      <w:r w:rsidRPr="0003301E">
        <w:t xml:space="preserve">Basant sur des hypothèses sur la façon dont la société évoluera dans l’avenir, Les scénarios d’émissions servent alors dans des modèles du climat du globe pour simuler l’évolution du climat avec le temps. Le fondement scientifique de ses scénarios est basé sur l’évolution des activités humaines émettrices des gaz à effet de serre et la concentration de ses derniers. </w:t>
      </w:r>
    </w:p>
    <w:p w14:paraId="2010068C" w14:textId="77777777" w:rsidR="004E687C" w:rsidRPr="0003301E" w:rsidRDefault="004E687C" w:rsidP="004E687C">
      <w:pPr>
        <w:pStyle w:val="Corpsdetexte"/>
      </w:pPr>
      <w:r w:rsidRPr="0003301E">
        <w:t>Pour son troisième rapport d’évaluation (GEIC 2001a, c), le GIEC a commandé un rapport spécial sur les scénarios d’émissions (</w:t>
      </w:r>
      <w:proofErr w:type="spellStart"/>
      <w:r w:rsidRPr="0003301E">
        <w:rPr>
          <w:i/>
          <w:iCs/>
        </w:rPr>
        <w:t>Special</w:t>
      </w:r>
      <w:proofErr w:type="spellEnd"/>
      <w:r w:rsidRPr="0003301E">
        <w:rPr>
          <w:i/>
          <w:iCs/>
        </w:rPr>
        <w:t xml:space="preserve"> Report on Emission Scenarios,</w:t>
      </w:r>
      <w:r w:rsidRPr="0003301E">
        <w:t xml:space="preserve"> ou SRES) (GIEC, 2000) où l’on décrit quatre canevas narratifs principaux et pourtant différents, représentant divers stades de développement démographique, social, économique, technologique et environnemental, qui peuvent être perçus de façon favorable par certaines personnes et défavorable par d’autres. À partir de ces canevas, on a dégagé quatre familles de scénarios et mis au point au total 40 scénarios d’émissions. Ils ont par la suite été convertis en projections de la composition future de l’atmosphère. On a identifié un exemple de chacune des familles de scénarios, appelés scénarios « marqueurs », à savoir A1, A2, B1 et B2. </w:t>
      </w:r>
    </w:p>
    <w:p w14:paraId="21D7DAFD" w14:textId="77777777" w:rsidR="004E687C" w:rsidRDefault="004E687C" w:rsidP="004E687C">
      <w:pPr>
        <w:numPr>
          <w:ilvl w:val="0"/>
          <w:numId w:val="165"/>
        </w:numPr>
        <w:spacing w:before="100" w:beforeAutospacing="1" w:after="100" w:afterAutospacing="1" w:line="240" w:lineRule="auto"/>
        <w:jc w:val="both"/>
        <w:rPr>
          <w:rFonts w:ascii="Arial" w:hAnsi="Arial" w:cs="Arial"/>
          <w:color w:val="000000"/>
          <w:sz w:val="19"/>
          <w:szCs w:val="19"/>
        </w:rPr>
      </w:pPr>
      <w:r>
        <w:rPr>
          <w:rStyle w:val="lev"/>
          <w:rFonts w:ascii="Arial" w:hAnsi="Arial" w:cs="Arial"/>
          <w:color w:val="000000"/>
        </w:rPr>
        <w:t xml:space="preserve">A1 </w:t>
      </w:r>
      <w:r>
        <w:rPr>
          <w:rFonts w:ascii="Arial" w:hAnsi="Arial" w:cs="Arial"/>
          <w:color w:val="000000"/>
          <w:sz w:val="19"/>
          <w:szCs w:val="19"/>
        </w:rPr>
        <w:t xml:space="preserve">: Un monde futur à croissance économique très rapide, à faible croissance démographique et à introduction rapide de technologies nouvelles et plus efficaces. Les grands thèmes sous-jacents sont la convergence économique et culturelle et le renforcement des capacités, avec une réduction substantielle des différences régionales du revenu par habitant. Dans ce monde, les gens recherchent la richesse personnelle, plutôt que la qualité de l’environnement. </w:t>
      </w:r>
    </w:p>
    <w:p w14:paraId="70F8E33D" w14:textId="77777777" w:rsidR="004E687C" w:rsidRDefault="004E687C" w:rsidP="004E687C">
      <w:pPr>
        <w:numPr>
          <w:ilvl w:val="0"/>
          <w:numId w:val="165"/>
        </w:numPr>
        <w:spacing w:before="100" w:beforeAutospacing="1" w:after="100" w:afterAutospacing="1" w:line="240" w:lineRule="auto"/>
        <w:jc w:val="both"/>
        <w:rPr>
          <w:rFonts w:ascii="Arial" w:hAnsi="Arial" w:cs="Arial"/>
          <w:color w:val="000000"/>
          <w:sz w:val="19"/>
          <w:szCs w:val="19"/>
        </w:rPr>
      </w:pPr>
      <w:r>
        <w:rPr>
          <w:rStyle w:val="lev"/>
          <w:rFonts w:ascii="Arial" w:hAnsi="Arial" w:cs="Arial"/>
          <w:color w:val="000000"/>
        </w:rPr>
        <w:t xml:space="preserve">A2 </w:t>
      </w:r>
      <w:r>
        <w:rPr>
          <w:rFonts w:ascii="Arial" w:hAnsi="Arial" w:cs="Arial"/>
          <w:color w:val="000000"/>
          <w:sz w:val="19"/>
          <w:szCs w:val="19"/>
        </w:rPr>
        <w:t xml:space="preserve">: Un monde très hétérogène. Le thème sous-jacent est celui du raffermissement des identités culturelles régionales, avec l’accent sur les valeurs familiales et les traditions locales, une forte croissance de la population et moins de préoccupations pour le développement économique rapide. </w:t>
      </w:r>
    </w:p>
    <w:p w14:paraId="1732985E" w14:textId="77777777" w:rsidR="004E687C" w:rsidRDefault="004E687C" w:rsidP="004E687C">
      <w:pPr>
        <w:numPr>
          <w:ilvl w:val="0"/>
          <w:numId w:val="165"/>
        </w:numPr>
        <w:spacing w:before="100" w:beforeAutospacing="1" w:after="100" w:afterAutospacing="1" w:line="240" w:lineRule="auto"/>
        <w:jc w:val="both"/>
        <w:rPr>
          <w:rFonts w:ascii="Arial" w:hAnsi="Arial" w:cs="Arial"/>
          <w:color w:val="000000"/>
          <w:sz w:val="19"/>
          <w:szCs w:val="19"/>
        </w:rPr>
      </w:pPr>
      <w:r>
        <w:rPr>
          <w:rStyle w:val="lev"/>
          <w:rFonts w:ascii="Arial" w:hAnsi="Arial" w:cs="Arial"/>
          <w:color w:val="000000"/>
        </w:rPr>
        <w:t xml:space="preserve">B1 </w:t>
      </w:r>
      <w:r>
        <w:rPr>
          <w:rFonts w:ascii="Arial" w:hAnsi="Arial" w:cs="Arial"/>
          <w:color w:val="000000"/>
          <w:sz w:val="19"/>
          <w:szCs w:val="19"/>
        </w:rPr>
        <w:t xml:space="preserve">: Un Monde convergeant avec changement rapide des structures économiques, dématérialisation et introduction de technologies « propres ». L’accent est sur des solutions mondiales orientées vers la durabilité sociale et environnementale, y compris des efforts concertés de développement technologique rapide, de dématérialisation de l’économie et de meilleure équité. </w:t>
      </w:r>
    </w:p>
    <w:p w14:paraId="0B0C15B5" w14:textId="77777777" w:rsidR="004E687C" w:rsidRDefault="004E687C" w:rsidP="004E687C">
      <w:pPr>
        <w:numPr>
          <w:ilvl w:val="0"/>
          <w:numId w:val="165"/>
        </w:numPr>
        <w:spacing w:before="100" w:beforeAutospacing="1" w:after="100" w:afterAutospacing="1" w:line="240" w:lineRule="auto"/>
        <w:jc w:val="both"/>
        <w:rPr>
          <w:rFonts w:ascii="Arial" w:hAnsi="Arial" w:cs="Arial"/>
          <w:color w:val="000000"/>
          <w:sz w:val="19"/>
          <w:szCs w:val="19"/>
        </w:rPr>
      </w:pPr>
      <w:r>
        <w:rPr>
          <w:rStyle w:val="lev"/>
          <w:rFonts w:ascii="Arial" w:hAnsi="Arial" w:cs="Arial"/>
          <w:color w:val="000000"/>
        </w:rPr>
        <w:t xml:space="preserve">B2 </w:t>
      </w:r>
      <w:r>
        <w:rPr>
          <w:rFonts w:ascii="Arial" w:hAnsi="Arial" w:cs="Arial"/>
          <w:color w:val="000000"/>
          <w:sz w:val="19"/>
          <w:szCs w:val="19"/>
        </w:rPr>
        <w:t xml:space="preserve">: Un Monde où l’accent est mis sur des solutions locales dans le sens de la durabilité économique, sociale et environnementale. C’est un monde hétérogène où les changements technologiques sont moins rapides et plus diversifiés, mais où on met beaucoup l’accent sur l’initiative communautaire et l’innovation sociale pour trouver des solutions locales, plutôt que globales. </w:t>
      </w:r>
    </w:p>
    <w:p w14:paraId="69A98623" w14:textId="77777777" w:rsidR="004E687C" w:rsidRPr="0003301E" w:rsidRDefault="004E687C" w:rsidP="004E687C">
      <w:pPr>
        <w:pStyle w:val="Corpsdetexte"/>
      </w:pPr>
      <w:r w:rsidRPr="0003301E">
        <w:t>Plus récemment, trois groupes de la famille de</w:t>
      </w:r>
      <w:r>
        <w:t>s</w:t>
      </w:r>
      <w:r w:rsidRPr="0003301E">
        <w:t xml:space="preserve"> scénarios A1 ont été mis en lumière, à savoir A1FI (forte intensité de combustibles fossiles), A1B (équilibré : pas de dépendance marquée vis-à-vis de telle ou telle source d’énergie) et A1T (à prédominance des combustibles autre que fossiles). Les quatre scénarios de référence, à savoir A1, A2, B1 et B2, sont progressivement adoptés par les milieux de la modélisation climatique, dans leurs plus récentes expériences avec MCG. </w:t>
      </w:r>
    </w:p>
    <w:p w14:paraId="278BCE33" w14:textId="77777777" w:rsidR="004E687C" w:rsidRPr="0003301E" w:rsidRDefault="004E687C" w:rsidP="004E687C">
      <w:pPr>
        <w:pStyle w:val="Corpsdetexte"/>
        <w:rPr>
          <w:b/>
          <w:bCs/>
          <w:i/>
          <w:iCs/>
        </w:rPr>
      </w:pPr>
      <w:r w:rsidRPr="0003301E">
        <w:rPr>
          <w:b/>
          <w:bCs/>
          <w:i/>
          <w:iCs/>
        </w:rPr>
        <w:t>Dans le présent travail</w:t>
      </w:r>
      <w:r>
        <w:rPr>
          <w:b/>
          <w:bCs/>
          <w:i/>
          <w:iCs/>
        </w:rPr>
        <w:t>,</w:t>
      </w:r>
      <w:r w:rsidRPr="0003301E">
        <w:rPr>
          <w:b/>
          <w:bCs/>
          <w:i/>
          <w:iCs/>
        </w:rPr>
        <w:t xml:space="preserve"> seul les scénarios SRES seront utilisés.</w:t>
      </w:r>
    </w:p>
    <w:p w14:paraId="39723A11" w14:textId="77777777" w:rsidR="004E687C" w:rsidRPr="00F8205A" w:rsidRDefault="004E687C" w:rsidP="004E687C">
      <w:pPr>
        <w:pStyle w:val="Titre3"/>
        <w:numPr>
          <w:ilvl w:val="2"/>
          <w:numId w:val="192"/>
        </w:numPr>
        <w:tabs>
          <w:tab w:val="clear" w:pos="2340"/>
          <w:tab w:val="left" w:pos="284"/>
        </w:tabs>
        <w:ind w:left="567" w:hanging="567"/>
        <w:jc w:val="both"/>
      </w:pPr>
      <w:bookmarkStart w:id="603" w:name="_Toc192820613"/>
      <w:bookmarkStart w:id="604" w:name="_Toc192821034"/>
      <w:bookmarkStart w:id="605" w:name="_Toc192821163"/>
      <w:bookmarkStart w:id="606" w:name="_Toc343596126"/>
      <w:bookmarkStart w:id="607" w:name="_Toc191284990"/>
      <w:r w:rsidRPr="00F8205A">
        <w:t>Choix des scénarios d’émission et horizon temporel</w:t>
      </w:r>
      <w:bookmarkEnd w:id="603"/>
      <w:bookmarkEnd w:id="604"/>
      <w:bookmarkEnd w:id="605"/>
      <w:bookmarkEnd w:id="606"/>
      <w:bookmarkEnd w:id="607"/>
      <w:r w:rsidRPr="00F8205A">
        <w:t xml:space="preserve"> </w:t>
      </w:r>
    </w:p>
    <w:p w14:paraId="6E2A7936" w14:textId="77777777" w:rsidR="004E687C" w:rsidRPr="005B3BA7" w:rsidRDefault="004E687C" w:rsidP="004E687C">
      <w:pPr>
        <w:pStyle w:val="Corpsdetexte"/>
      </w:pPr>
      <w:r w:rsidRPr="005B3BA7">
        <w:t>Pour la présente étude, les scénarios A2 et B2 o</w:t>
      </w:r>
      <w:r w:rsidRPr="00701FFF">
        <w:t xml:space="preserve">nt été retenus car </w:t>
      </w:r>
      <w:r>
        <w:t>ils</w:t>
      </w:r>
      <w:r w:rsidRPr="00701FFF">
        <w:t xml:space="preserve"> sont disponi</w:t>
      </w:r>
      <w:r>
        <w:t>bles pour tous les modèles et les plus cohérant dans la situation d’un pays comme le nôtre</w:t>
      </w:r>
      <w:r w:rsidRPr="005B3BA7">
        <w:t>. Respectivement ils représentent un futur pessimiste et optimiste. Par exemple, le scénario A2 suppose que les concentrations de CO</w:t>
      </w:r>
      <w:r w:rsidRPr="0003301E">
        <w:t>2</w:t>
      </w:r>
      <w:r w:rsidRPr="005B3BA7">
        <w:t xml:space="preserve"> atteindront 834</w:t>
      </w:r>
      <w:r>
        <w:t> </w:t>
      </w:r>
      <w:r w:rsidRPr="005B3BA7">
        <w:t>ppm en 2100 alors que le B2 prévoit 601</w:t>
      </w:r>
      <w:r>
        <w:t> </w:t>
      </w:r>
      <w:r w:rsidRPr="005B3BA7">
        <w:t>ppm. Par comparaison, le niveau mondial de CO</w:t>
      </w:r>
      <w:r w:rsidRPr="0003301E">
        <w:t>2</w:t>
      </w:r>
      <w:r w:rsidRPr="005B3BA7">
        <w:t xml:space="preserve"> en 1990 était de 354</w:t>
      </w:r>
      <w:r>
        <w:t> </w:t>
      </w:r>
      <w:r w:rsidRPr="005B3BA7">
        <w:t>ppm.</w:t>
      </w:r>
    </w:p>
    <w:p w14:paraId="6E79010E" w14:textId="77777777" w:rsidR="004E687C" w:rsidRDefault="004E687C" w:rsidP="004E687C">
      <w:pPr>
        <w:pStyle w:val="NormalWeb"/>
        <w:jc w:val="both"/>
        <w:rPr>
          <w:color w:val="000000"/>
        </w:rPr>
      </w:pPr>
      <w:r>
        <w:rPr>
          <w:color w:val="000000"/>
        </w:rPr>
        <w:t>Le groupe d’experts chargé de l’étude d’évaluation des impacts et de la vulnérabilité et l’adaptation a porté son choix sur les horizons 2020 et 2050 pour faire les évaluations des répercutions sectoriel des changements climatiques.</w:t>
      </w:r>
    </w:p>
    <w:p w14:paraId="332A5A6B" w14:textId="77777777" w:rsidR="004E687C" w:rsidRPr="00B33CE7" w:rsidRDefault="004E687C" w:rsidP="004E687C">
      <w:pPr>
        <w:pStyle w:val="Titre3"/>
        <w:numPr>
          <w:ilvl w:val="2"/>
          <w:numId w:val="192"/>
        </w:numPr>
        <w:tabs>
          <w:tab w:val="clear" w:pos="2340"/>
          <w:tab w:val="left" w:pos="284"/>
        </w:tabs>
        <w:ind w:left="567" w:hanging="567"/>
        <w:jc w:val="both"/>
      </w:pPr>
      <w:bookmarkStart w:id="608" w:name="_Toc343596127"/>
      <w:bookmarkStart w:id="609" w:name="_Toc191284991"/>
      <w:r w:rsidRPr="00B33CE7">
        <w:t>Méthodologie</w:t>
      </w:r>
      <w:bookmarkEnd w:id="608"/>
      <w:bookmarkEnd w:id="609"/>
      <w:r w:rsidRPr="00B33CE7">
        <w:t xml:space="preserve"> </w:t>
      </w:r>
    </w:p>
    <w:p w14:paraId="7ADB76BC" w14:textId="77777777" w:rsidR="004E687C" w:rsidRPr="006D4D20" w:rsidRDefault="004E687C" w:rsidP="004E687C">
      <w:pPr>
        <w:autoSpaceDE w:val="0"/>
        <w:autoSpaceDN w:val="0"/>
        <w:adjustRightInd w:val="0"/>
      </w:pPr>
      <w:r w:rsidRPr="006D4D20">
        <w:t>La méthodologie adoptée permet de réaliser des simulations d’évolution du climat et des impacts sur les secteurs vulnérables en Mauritanie :</w:t>
      </w:r>
    </w:p>
    <w:p w14:paraId="50670F85" w14:textId="77777777" w:rsidR="004E687C" w:rsidRPr="00C23BEC" w:rsidRDefault="004E687C" w:rsidP="004E687C">
      <w:pPr>
        <w:pStyle w:val="Paragraphedeliste"/>
        <w:numPr>
          <w:ilvl w:val="0"/>
          <w:numId w:val="164"/>
        </w:numPr>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C23BEC">
        <w:rPr>
          <w:rFonts w:ascii="Times New Roman" w:eastAsia="Times New Roman" w:hAnsi="Times New Roman" w:cs="Times New Roman"/>
          <w:sz w:val="24"/>
          <w:szCs w:val="24"/>
          <w:lang w:eastAsia="fr-FR"/>
        </w:rPr>
        <w:t>Les projections futures des changements climatiques ont été simulées par le modèle climatique MAGICC version 5.3. Il a été utilisé dans tous les rapports du GIEC pour établir les évolutions de la température moyenne mondiale et les changements du niveau des mers.</w:t>
      </w:r>
    </w:p>
    <w:p w14:paraId="1CCB39A9" w14:textId="77777777" w:rsidR="004E687C" w:rsidRPr="00C23BEC" w:rsidRDefault="004E687C" w:rsidP="004E687C">
      <w:pPr>
        <w:pStyle w:val="Paragraphedeliste"/>
        <w:numPr>
          <w:ilvl w:val="0"/>
          <w:numId w:val="164"/>
        </w:numPr>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C23BEC">
        <w:rPr>
          <w:rFonts w:ascii="Times New Roman" w:eastAsia="Times New Roman" w:hAnsi="Times New Roman" w:cs="Times New Roman"/>
          <w:sz w:val="24"/>
          <w:szCs w:val="24"/>
          <w:lang w:eastAsia="fr-FR"/>
        </w:rPr>
        <w:t>Pour cibler les répercussions de manière plus fine, un algorithme de régionalisation – SCENGEN est utilis</w:t>
      </w:r>
      <w:r>
        <w:rPr>
          <w:rFonts w:ascii="Times New Roman" w:eastAsia="Times New Roman" w:hAnsi="Times New Roman" w:cs="Times New Roman"/>
          <w:sz w:val="24"/>
          <w:szCs w:val="24"/>
          <w:lang w:eastAsia="fr-FR"/>
        </w:rPr>
        <w:t xml:space="preserve">é </w:t>
      </w:r>
      <w:r w:rsidRPr="00C23BEC">
        <w:rPr>
          <w:rFonts w:ascii="Times New Roman" w:eastAsia="Times New Roman" w:hAnsi="Times New Roman" w:cs="Times New Roman"/>
          <w:sz w:val="24"/>
          <w:szCs w:val="24"/>
          <w:lang w:eastAsia="fr-FR"/>
        </w:rPr>
        <w:t>comme méthode de mise à l’échelle du climat (imbrication d’une librairie de données climatiques) produisant des informations sur les changements climatiques sur une grille 2,5°x2,5° de latitude-longitude. Les résultats régionaux sont basés sur les sorties de 3 modèles de circulation générale utilisant le couplage atmosphère-océan (MCGAO).</w:t>
      </w:r>
    </w:p>
    <w:p w14:paraId="3B6FC1CA" w14:textId="77777777" w:rsidR="004E687C" w:rsidRPr="006D4D20" w:rsidRDefault="004E687C" w:rsidP="004E687C">
      <w:pPr>
        <w:pStyle w:val="Paragraphedeliste"/>
        <w:numPr>
          <w:ilvl w:val="0"/>
          <w:numId w:val="164"/>
        </w:numPr>
        <w:autoSpaceDE w:val="0"/>
        <w:autoSpaceDN w:val="0"/>
        <w:adjustRightInd w:val="0"/>
        <w:spacing w:after="0" w:line="240" w:lineRule="auto"/>
        <w:jc w:val="both"/>
      </w:pPr>
      <w:r w:rsidRPr="00C23BEC">
        <w:rPr>
          <w:rFonts w:ascii="Times New Roman" w:eastAsia="Times New Roman" w:hAnsi="Times New Roman" w:cs="Times New Roman"/>
          <w:sz w:val="24"/>
          <w:szCs w:val="24"/>
          <w:lang w:eastAsia="fr-FR"/>
        </w:rPr>
        <w:t>Ces modèles de circulation atmosphérique, quel que soit leur degré de paramétrisation, ne permettent généralement pas de rendre compte avec précision de l'évolution locale de l'atmosphère ou de l'océan. Il faut alors utiliser des méthodes de désagrégation spatiale (en anglais "down</w:t>
      </w:r>
      <w:r>
        <w:rPr>
          <w:rFonts w:ascii="Times New Roman" w:eastAsia="Times New Roman" w:hAnsi="Times New Roman" w:cs="Times New Roman"/>
          <w:sz w:val="24"/>
          <w:szCs w:val="24"/>
          <w:lang w:eastAsia="fr-FR"/>
        </w:rPr>
        <w:t>-</w:t>
      </w:r>
      <w:proofErr w:type="spellStart"/>
      <w:r w:rsidRPr="00C23BEC">
        <w:rPr>
          <w:rFonts w:ascii="Times New Roman" w:eastAsia="Times New Roman" w:hAnsi="Times New Roman" w:cs="Times New Roman"/>
          <w:sz w:val="24"/>
          <w:szCs w:val="24"/>
          <w:lang w:eastAsia="fr-FR"/>
        </w:rPr>
        <w:t>scaling</w:t>
      </w:r>
      <w:proofErr w:type="spellEnd"/>
      <w:r w:rsidRPr="00C23BEC">
        <w:rPr>
          <w:rFonts w:ascii="Times New Roman" w:eastAsia="Times New Roman" w:hAnsi="Times New Roman" w:cs="Times New Roman"/>
          <w:sz w:val="24"/>
          <w:szCs w:val="24"/>
          <w:lang w:eastAsia="fr-FR"/>
        </w:rPr>
        <w:t>"). Celle qui n’a pas pu être adopté</w:t>
      </w:r>
      <w:r>
        <w:rPr>
          <w:rFonts w:ascii="Times New Roman" w:eastAsia="Times New Roman" w:hAnsi="Times New Roman" w:cs="Times New Roman"/>
          <w:sz w:val="24"/>
          <w:szCs w:val="24"/>
          <w:lang w:eastAsia="fr-FR"/>
        </w:rPr>
        <w:t>e</w:t>
      </w:r>
      <w:r w:rsidRPr="00C23BEC">
        <w:rPr>
          <w:rFonts w:ascii="Times New Roman" w:eastAsia="Times New Roman" w:hAnsi="Times New Roman" w:cs="Times New Roman"/>
          <w:sz w:val="24"/>
          <w:szCs w:val="24"/>
          <w:lang w:eastAsia="fr-FR"/>
        </w:rPr>
        <w:t xml:space="preserve"> faute de temps. En conséquence une spatialisation des sorties du module SENGEN a été utilisé pour couvrir les zones d’étude.</w:t>
      </w:r>
    </w:p>
    <w:p w14:paraId="496A4177" w14:textId="77777777" w:rsidR="004E687C" w:rsidRDefault="004E687C" w:rsidP="004E687C">
      <w:pPr>
        <w:autoSpaceDE w:val="0"/>
        <w:autoSpaceDN w:val="0"/>
        <w:adjustRightInd w:val="0"/>
      </w:pPr>
      <w:r>
        <w:t>L</w:t>
      </w:r>
      <w:r w:rsidRPr="006D4D20">
        <w:t>es données de la pluviométrie moyenne et de la température sont celle</w:t>
      </w:r>
      <w:r>
        <w:t>s</w:t>
      </w:r>
      <w:r w:rsidRPr="006D4D20">
        <w:t xml:space="preserve"> qui ont servie dans </w:t>
      </w:r>
      <w:r>
        <w:t>c</w:t>
      </w:r>
      <w:r w:rsidRPr="006D4D20">
        <w:t>es scénarii.</w:t>
      </w:r>
    </w:p>
    <w:p w14:paraId="0C5E5F54" w14:textId="77777777" w:rsidR="004E687C" w:rsidRPr="00832AB6" w:rsidRDefault="004E687C" w:rsidP="004E687C">
      <w:pPr>
        <w:pStyle w:val="Titre2"/>
        <w:numPr>
          <w:ilvl w:val="0"/>
          <w:numId w:val="188"/>
        </w:numPr>
        <w:tabs>
          <w:tab w:val="clear" w:pos="1357"/>
          <w:tab w:val="num" w:pos="993"/>
        </w:tabs>
        <w:ind w:left="720" w:hanging="1357"/>
        <w:jc w:val="both"/>
        <w:rPr>
          <w:i/>
          <w:iCs/>
          <w:sz w:val="24"/>
          <w:szCs w:val="24"/>
        </w:rPr>
      </w:pPr>
      <w:bookmarkStart w:id="610" w:name="_Toc192820614"/>
      <w:bookmarkStart w:id="611" w:name="_Toc192821035"/>
      <w:bookmarkStart w:id="612" w:name="_Toc192821164"/>
      <w:bookmarkStart w:id="613" w:name="_Toc343596128"/>
      <w:bookmarkStart w:id="614" w:name="_Toc191284992"/>
      <w:r w:rsidRPr="00832AB6">
        <w:rPr>
          <w:sz w:val="24"/>
          <w:szCs w:val="24"/>
        </w:rPr>
        <w:t>Sorties des Scénarios d’émission</w:t>
      </w:r>
      <w:bookmarkEnd w:id="610"/>
      <w:bookmarkEnd w:id="611"/>
      <w:bookmarkEnd w:id="612"/>
      <w:bookmarkEnd w:id="613"/>
      <w:bookmarkEnd w:id="614"/>
      <w:r w:rsidRPr="00832AB6">
        <w:rPr>
          <w:sz w:val="24"/>
          <w:szCs w:val="24"/>
        </w:rPr>
        <w:t xml:space="preserve"> </w:t>
      </w:r>
    </w:p>
    <w:p w14:paraId="1B7BDEFA" w14:textId="77777777" w:rsidR="004E687C" w:rsidRDefault="004E687C" w:rsidP="004E687C">
      <w:pPr>
        <w:spacing w:before="100" w:beforeAutospacing="1" w:after="100" w:afterAutospacing="1"/>
      </w:pPr>
      <w:r w:rsidRPr="00B60BC2">
        <w:t>P</w:t>
      </w:r>
      <w:r>
        <w:t>our avoir les sorties des modèles d’émission nous avons utilisé le MAGICC version 5.3 qui nous donne une bonne idée sur le réchauffement globale fondée sur la concentration des gaz à effets de serres liées à l’activité humaine.</w:t>
      </w:r>
    </w:p>
    <w:p w14:paraId="7A25DEE7" w14:textId="77777777" w:rsidR="004E687C" w:rsidRDefault="004E687C" w:rsidP="004E687C">
      <w:pPr>
        <w:spacing w:before="100" w:beforeAutospacing="1" w:after="100" w:afterAutospacing="1"/>
      </w:pPr>
      <w:r>
        <w:t>Les horizons choisis par le groupe d’experts nationaux pour mener l’étude de vulnérabilité et de d’adaptation sont respectivement 2050 et 2100.</w:t>
      </w:r>
    </w:p>
    <w:p w14:paraId="19E54C11" w14:textId="77777777" w:rsidR="004E687C" w:rsidRPr="00B64F8D" w:rsidRDefault="004E687C" w:rsidP="004E687C">
      <w:pPr>
        <w:pStyle w:val="Titre3"/>
        <w:numPr>
          <w:ilvl w:val="2"/>
          <w:numId w:val="193"/>
        </w:numPr>
        <w:tabs>
          <w:tab w:val="clear" w:pos="2340"/>
          <w:tab w:val="num" w:pos="284"/>
        </w:tabs>
        <w:ind w:left="709" w:hanging="709"/>
        <w:jc w:val="both"/>
      </w:pPr>
      <w:bookmarkStart w:id="615" w:name="_Toc343596129"/>
      <w:bookmarkStart w:id="616" w:name="_Toc191284993"/>
      <w:r w:rsidRPr="00B64F8D">
        <w:t>Températures</w:t>
      </w:r>
      <w:bookmarkEnd w:id="615"/>
      <w:bookmarkEnd w:id="616"/>
    </w:p>
    <w:p w14:paraId="0CA3DD4E" w14:textId="77777777" w:rsidR="004E687C" w:rsidRDefault="004E687C" w:rsidP="004E687C">
      <w:pPr>
        <w:autoSpaceDE w:val="0"/>
        <w:autoSpaceDN w:val="0"/>
        <w:adjustRightInd w:val="0"/>
      </w:pPr>
      <w:r>
        <w:t xml:space="preserve">Les scénarios d’émissions montrent une tendance persistante de réchauffement de la planète de l’ordre de 1,35 ° C pour l’horizon 2050 selon le modèle SRES B2 MES, cependant que le modèle SRES A2 MES donne un réchauffement plus accentué pour le même horizon (1,44 ° </w:t>
      </w:r>
      <w:proofErr w:type="gramStart"/>
      <w:r>
        <w:t>C )</w:t>
      </w:r>
      <w:proofErr w:type="gramEnd"/>
      <w: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8"/>
        <w:gridCol w:w="828"/>
        <w:gridCol w:w="828"/>
        <w:gridCol w:w="816"/>
        <w:gridCol w:w="1123"/>
        <w:gridCol w:w="790"/>
        <w:gridCol w:w="816"/>
        <w:gridCol w:w="1123"/>
        <w:gridCol w:w="790"/>
      </w:tblGrid>
      <w:tr w:rsidR="004E687C" w14:paraId="61AD5527" w14:textId="77777777" w:rsidTr="00EE0E23">
        <w:tc>
          <w:tcPr>
            <w:tcW w:w="1408" w:type="dxa"/>
            <w:vMerge w:val="restart"/>
          </w:tcPr>
          <w:p w14:paraId="056DA480" w14:textId="77777777" w:rsidR="004E687C" w:rsidRPr="004F5E78" w:rsidRDefault="004E687C" w:rsidP="00EE0E23">
            <w:pPr>
              <w:spacing w:before="100" w:beforeAutospacing="1" w:after="100" w:afterAutospacing="1"/>
            </w:pPr>
            <w:r w:rsidRPr="004F5E78">
              <w:t xml:space="preserve">Scénarii </w:t>
            </w:r>
          </w:p>
        </w:tc>
        <w:tc>
          <w:tcPr>
            <w:tcW w:w="1656" w:type="dxa"/>
            <w:gridSpan w:val="2"/>
          </w:tcPr>
          <w:p w14:paraId="5A4C6797" w14:textId="77777777" w:rsidR="004E687C" w:rsidRPr="004F5E78" w:rsidRDefault="004E687C" w:rsidP="00EE0E23">
            <w:pPr>
              <w:spacing w:before="100" w:beforeAutospacing="1" w:after="100" w:afterAutospacing="1"/>
            </w:pPr>
            <w:proofErr w:type="gramStart"/>
            <w:r w:rsidRPr="004F5E78">
              <w:t>dT  en</w:t>
            </w:r>
            <w:proofErr w:type="gramEnd"/>
            <w:r w:rsidRPr="004F5E78">
              <w:t xml:space="preserve"> °C</w:t>
            </w:r>
          </w:p>
        </w:tc>
        <w:tc>
          <w:tcPr>
            <w:tcW w:w="5458" w:type="dxa"/>
            <w:gridSpan w:val="6"/>
          </w:tcPr>
          <w:p w14:paraId="402EE253" w14:textId="77777777" w:rsidR="004E687C" w:rsidRPr="004F5E78" w:rsidRDefault="004E687C" w:rsidP="00EE0E23">
            <w:pPr>
              <w:spacing w:before="100" w:beforeAutospacing="1" w:after="100" w:afterAutospacing="1"/>
            </w:pPr>
            <w:r w:rsidRPr="004F5E78">
              <w:t>Niveau de la Mer en cm</w:t>
            </w:r>
          </w:p>
        </w:tc>
      </w:tr>
      <w:tr w:rsidR="004E687C" w14:paraId="3FEC6D57" w14:textId="77777777" w:rsidTr="00EE0E23">
        <w:tc>
          <w:tcPr>
            <w:tcW w:w="1408" w:type="dxa"/>
            <w:vMerge/>
          </w:tcPr>
          <w:p w14:paraId="51A8B28D" w14:textId="77777777" w:rsidR="004E687C" w:rsidRPr="004F5E78" w:rsidRDefault="004E687C" w:rsidP="00EE0E23">
            <w:pPr>
              <w:spacing w:before="100" w:beforeAutospacing="1" w:after="100" w:afterAutospacing="1"/>
            </w:pPr>
          </w:p>
        </w:tc>
        <w:tc>
          <w:tcPr>
            <w:tcW w:w="828" w:type="dxa"/>
            <w:vMerge w:val="restart"/>
          </w:tcPr>
          <w:p w14:paraId="4FD6AEF4" w14:textId="77777777" w:rsidR="004E687C" w:rsidRPr="004F5E78" w:rsidRDefault="004E687C" w:rsidP="00EE0E23">
            <w:pPr>
              <w:spacing w:before="100" w:beforeAutospacing="1" w:after="100" w:afterAutospacing="1"/>
            </w:pPr>
            <w:r w:rsidRPr="004F5E78">
              <w:t>2050</w:t>
            </w:r>
          </w:p>
        </w:tc>
        <w:tc>
          <w:tcPr>
            <w:tcW w:w="828" w:type="dxa"/>
            <w:vMerge w:val="restart"/>
          </w:tcPr>
          <w:p w14:paraId="7A029769" w14:textId="77777777" w:rsidR="004E687C" w:rsidRPr="004F5E78" w:rsidRDefault="004E687C" w:rsidP="00EE0E23">
            <w:pPr>
              <w:spacing w:before="100" w:beforeAutospacing="1" w:after="100" w:afterAutospacing="1"/>
            </w:pPr>
            <w:r w:rsidRPr="004F5E78">
              <w:t>2100</w:t>
            </w:r>
          </w:p>
        </w:tc>
        <w:tc>
          <w:tcPr>
            <w:tcW w:w="2729" w:type="dxa"/>
            <w:gridSpan w:val="3"/>
          </w:tcPr>
          <w:p w14:paraId="50779001" w14:textId="77777777" w:rsidR="004E687C" w:rsidRPr="004F5E78" w:rsidRDefault="004E687C" w:rsidP="00EE0E23">
            <w:pPr>
              <w:spacing w:before="100" w:beforeAutospacing="1" w:after="100" w:afterAutospacing="1"/>
            </w:pPr>
            <w:r w:rsidRPr="004F5E78">
              <w:t>2050</w:t>
            </w:r>
          </w:p>
        </w:tc>
        <w:tc>
          <w:tcPr>
            <w:tcW w:w="2729" w:type="dxa"/>
            <w:gridSpan w:val="3"/>
          </w:tcPr>
          <w:p w14:paraId="15DC4FC1" w14:textId="77777777" w:rsidR="004E687C" w:rsidRPr="004F5E78" w:rsidRDefault="004E687C" w:rsidP="00EE0E23">
            <w:pPr>
              <w:spacing w:before="100" w:beforeAutospacing="1" w:after="100" w:afterAutospacing="1"/>
            </w:pPr>
            <w:r w:rsidRPr="004F5E78">
              <w:t>2100</w:t>
            </w:r>
          </w:p>
        </w:tc>
      </w:tr>
      <w:tr w:rsidR="004E687C" w14:paraId="33257E9F" w14:textId="77777777" w:rsidTr="00EE0E23">
        <w:tc>
          <w:tcPr>
            <w:tcW w:w="1408" w:type="dxa"/>
            <w:vMerge/>
          </w:tcPr>
          <w:p w14:paraId="6C2B6E5B" w14:textId="77777777" w:rsidR="004E687C" w:rsidRPr="004F5E78" w:rsidRDefault="004E687C" w:rsidP="00EE0E23">
            <w:pPr>
              <w:spacing w:before="100" w:beforeAutospacing="1" w:after="100" w:afterAutospacing="1"/>
            </w:pPr>
          </w:p>
        </w:tc>
        <w:tc>
          <w:tcPr>
            <w:tcW w:w="828" w:type="dxa"/>
            <w:vMerge/>
          </w:tcPr>
          <w:p w14:paraId="59358B66" w14:textId="77777777" w:rsidR="004E687C" w:rsidRPr="004F5E78" w:rsidRDefault="004E687C" w:rsidP="00EE0E23">
            <w:pPr>
              <w:spacing w:before="100" w:beforeAutospacing="1" w:after="100" w:afterAutospacing="1"/>
            </w:pPr>
          </w:p>
        </w:tc>
        <w:tc>
          <w:tcPr>
            <w:tcW w:w="828" w:type="dxa"/>
            <w:vMerge/>
          </w:tcPr>
          <w:p w14:paraId="7631A915" w14:textId="77777777" w:rsidR="004E687C" w:rsidRPr="004F5E78" w:rsidRDefault="004E687C" w:rsidP="00EE0E23">
            <w:pPr>
              <w:spacing w:before="100" w:beforeAutospacing="1" w:after="100" w:afterAutospacing="1"/>
            </w:pPr>
          </w:p>
        </w:tc>
        <w:tc>
          <w:tcPr>
            <w:tcW w:w="816" w:type="dxa"/>
          </w:tcPr>
          <w:p w14:paraId="6A309372" w14:textId="77777777" w:rsidR="004E687C" w:rsidRPr="004F5E78" w:rsidRDefault="004E687C" w:rsidP="00EE0E23">
            <w:pPr>
              <w:spacing w:before="100" w:beforeAutospacing="1" w:after="100" w:afterAutospacing="1"/>
            </w:pPr>
            <w:r w:rsidRPr="004F5E78">
              <w:t xml:space="preserve">Faible </w:t>
            </w:r>
          </w:p>
        </w:tc>
        <w:tc>
          <w:tcPr>
            <w:tcW w:w="1123" w:type="dxa"/>
          </w:tcPr>
          <w:p w14:paraId="64957054" w14:textId="77777777" w:rsidR="004E687C" w:rsidRPr="004F5E78" w:rsidRDefault="004E687C" w:rsidP="00EE0E23">
            <w:pPr>
              <w:spacing w:before="100" w:beforeAutospacing="1" w:after="100" w:afterAutospacing="1"/>
            </w:pPr>
            <w:r w:rsidRPr="004F5E78">
              <w:t>Moyenne</w:t>
            </w:r>
          </w:p>
        </w:tc>
        <w:tc>
          <w:tcPr>
            <w:tcW w:w="790" w:type="dxa"/>
          </w:tcPr>
          <w:p w14:paraId="54032047" w14:textId="77777777" w:rsidR="004E687C" w:rsidRPr="004F5E78" w:rsidRDefault="004E687C" w:rsidP="00EE0E23">
            <w:pPr>
              <w:spacing w:before="100" w:beforeAutospacing="1" w:after="100" w:afterAutospacing="1"/>
            </w:pPr>
            <w:r w:rsidRPr="004F5E78">
              <w:t xml:space="preserve">Haute </w:t>
            </w:r>
          </w:p>
        </w:tc>
        <w:tc>
          <w:tcPr>
            <w:tcW w:w="816" w:type="dxa"/>
          </w:tcPr>
          <w:p w14:paraId="16FA34DD" w14:textId="77777777" w:rsidR="004E687C" w:rsidRPr="004F5E78" w:rsidRDefault="004E687C" w:rsidP="00EE0E23">
            <w:pPr>
              <w:spacing w:before="100" w:beforeAutospacing="1" w:after="100" w:afterAutospacing="1"/>
            </w:pPr>
            <w:r w:rsidRPr="004F5E78">
              <w:t xml:space="preserve">Faible </w:t>
            </w:r>
          </w:p>
        </w:tc>
        <w:tc>
          <w:tcPr>
            <w:tcW w:w="1123" w:type="dxa"/>
          </w:tcPr>
          <w:p w14:paraId="17CAB96F" w14:textId="77777777" w:rsidR="004E687C" w:rsidRPr="004F5E78" w:rsidRDefault="004E687C" w:rsidP="00EE0E23">
            <w:pPr>
              <w:spacing w:before="100" w:beforeAutospacing="1" w:after="100" w:afterAutospacing="1"/>
            </w:pPr>
            <w:r w:rsidRPr="004F5E78">
              <w:t>Moyenne</w:t>
            </w:r>
          </w:p>
        </w:tc>
        <w:tc>
          <w:tcPr>
            <w:tcW w:w="790" w:type="dxa"/>
          </w:tcPr>
          <w:p w14:paraId="5738A52C" w14:textId="77777777" w:rsidR="004E687C" w:rsidRPr="004F5E78" w:rsidRDefault="004E687C" w:rsidP="00EE0E23">
            <w:pPr>
              <w:spacing w:before="100" w:beforeAutospacing="1" w:after="100" w:afterAutospacing="1"/>
            </w:pPr>
            <w:r w:rsidRPr="004F5E78">
              <w:t xml:space="preserve">Haute </w:t>
            </w:r>
          </w:p>
        </w:tc>
      </w:tr>
      <w:tr w:rsidR="004E687C" w14:paraId="257919A9" w14:textId="77777777" w:rsidTr="00EE0E23">
        <w:tc>
          <w:tcPr>
            <w:tcW w:w="1408" w:type="dxa"/>
          </w:tcPr>
          <w:p w14:paraId="40777A58" w14:textId="77777777" w:rsidR="004E687C" w:rsidRPr="004F5E78" w:rsidRDefault="004E687C" w:rsidP="00EE0E23">
            <w:pPr>
              <w:spacing w:before="100" w:beforeAutospacing="1" w:after="100" w:afterAutospacing="1"/>
            </w:pPr>
            <w:r w:rsidRPr="004F5E78">
              <w:t>B2MES</w:t>
            </w:r>
          </w:p>
        </w:tc>
        <w:tc>
          <w:tcPr>
            <w:tcW w:w="828" w:type="dxa"/>
          </w:tcPr>
          <w:p w14:paraId="429D60FA" w14:textId="77777777" w:rsidR="004E687C" w:rsidRPr="004F5E78" w:rsidRDefault="004E687C" w:rsidP="00EE0E23">
            <w:pPr>
              <w:spacing w:before="100" w:beforeAutospacing="1" w:after="100" w:afterAutospacing="1"/>
            </w:pPr>
            <w:r w:rsidRPr="004F5E78">
              <w:t>1,35</w:t>
            </w:r>
          </w:p>
        </w:tc>
        <w:tc>
          <w:tcPr>
            <w:tcW w:w="828" w:type="dxa"/>
          </w:tcPr>
          <w:p w14:paraId="2A9E3CF3" w14:textId="77777777" w:rsidR="004E687C" w:rsidRPr="004F5E78" w:rsidRDefault="004E687C" w:rsidP="00EE0E23">
            <w:pPr>
              <w:spacing w:before="100" w:beforeAutospacing="1" w:after="100" w:afterAutospacing="1"/>
            </w:pPr>
            <w:r w:rsidRPr="004F5E78">
              <w:t>2,6</w:t>
            </w:r>
          </w:p>
        </w:tc>
        <w:tc>
          <w:tcPr>
            <w:tcW w:w="816" w:type="dxa"/>
            <w:vAlign w:val="bottom"/>
          </w:tcPr>
          <w:p w14:paraId="1394FFDC" w14:textId="77777777" w:rsidR="004E687C" w:rsidRPr="00B86D3D" w:rsidRDefault="004E687C" w:rsidP="00EE0E23">
            <w:r w:rsidRPr="00B86D3D">
              <w:t>6,12</w:t>
            </w:r>
          </w:p>
        </w:tc>
        <w:tc>
          <w:tcPr>
            <w:tcW w:w="1123" w:type="dxa"/>
            <w:vAlign w:val="bottom"/>
          </w:tcPr>
          <w:p w14:paraId="56285CA2" w14:textId="77777777" w:rsidR="004E687C" w:rsidRPr="00B86D3D" w:rsidRDefault="004E687C" w:rsidP="00EE0E23">
            <w:r w:rsidRPr="00B86D3D">
              <w:t>13,82</w:t>
            </w:r>
          </w:p>
        </w:tc>
        <w:tc>
          <w:tcPr>
            <w:tcW w:w="790" w:type="dxa"/>
            <w:vAlign w:val="bottom"/>
          </w:tcPr>
          <w:p w14:paraId="65769827" w14:textId="77777777" w:rsidR="004E687C" w:rsidRPr="00B86D3D" w:rsidRDefault="004E687C" w:rsidP="00EE0E23">
            <w:r w:rsidRPr="00B86D3D">
              <w:t>25,41</w:t>
            </w:r>
          </w:p>
        </w:tc>
        <w:tc>
          <w:tcPr>
            <w:tcW w:w="816" w:type="dxa"/>
            <w:vAlign w:val="bottom"/>
          </w:tcPr>
          <w:p w14:paraId="11B80030" w14:textId="77777777" w:rsidR="004E687C" w:rsidRPr="00B86D3D" w:rsidRDefault="004E687C" w:rsidP="00EE0E23">
            <w:r w:rsidRPr="00B86D3D">
              <w:t>12,88</w:t>
            </w:r>
          </w:p>
        </w:tc>
        <w:tc>
          <w:tcPr>
            <w:tcW w:w="1123" w:type="dxa"/>
            <w:vAlign w:val="bottom"/>
          </w:tcPr>
          <w:p w14:paraId="5AEBFA1E" w14:textId="77777777" w:rsidR="004E687C" w:rsidRPr="00B86D3D" w:rsidRDefault="004E687C" w:rsidP="00EE0E23">
            <w:r w:rsidRPr="00B86D3D">
              <w:t>32,68</w:t>
            </w:r>
          </w:p>
        </w:tc>
        <w:tc>
          <w:tcPr>
            <w:tcW w:w="790" w:type="dxa"/>
            <w:vAlign w:val="bottom"/>
          </w:tcPr>
          <w:p w14:paraId="29E73215" w14:textId="77777777" w:rsidR="004E687C" w:rsidRPr="00B86D3D" w:rsidRDefault="004E687C" w:rsidP="00EE0E23">
            <w:r w:rsidRPr="00B86D3D">
              <w:t>65,15</w:t>
            </w:r>
          </w:p>
        </w:tc>
      </w:tr>
      <w:tr w:rsidR="004E687C" w14:paraId="43E642A6" w14:textId="77777777" w:rsidTr="00EE0E23">
        <w:tc>
          <w:tcPr>
            <w:tcW w:w="1408" w:type="dxa"/>
          </w:tcPr>
          <w:p w14:paraId="31DA2D8E" w14:textId="77777777" w:rsidR="004E687C" w:rsidRPr="004F5E78" w:rsidRDefault="004E687C" w:rsidP="00EE0E23">
            <w:pPr>
              <w:spacing w:before="100" w:beforeAutospacing="1" w:after="100" w:afterAutospacing="1"/>
            </w:pPr>
            <w:r w:rsidRPr="004F5E78">
              <w:t>A2MES</w:t>
            </w:r>
          </w:p>
        </w:tc>
        <w:tc>
          <w:tcPr>
            <w:tcW w:w="828" w:type="dxa"/>
          </w:tcPr>
          <w:p w14:paraId="1A126D2A" w14:textId="77777777" w:rsidR="004E687C" w:rsidRPr="004F5E78" w:rsidRDefault="004E687C" w:rsidP="00EE0E23">
            <w:pPr>
              <w:spacing w:before="100" w:beforeAutospacing="1" w:after="100" w:afterAutospacing="1"/>
            </w:pPr>
            <w:r w:rsidRPr="004F5E78">
              <w:t>1,44</w:t>
            </w:r>
          </w:p>
        </w:tc>
        <w:tc>
          <w:tcPr>
            <w:tcW w:w="828" w:type="dxa"/>
          </w:tcPr>
          <w:p w14:paraId="4FF2B029" w14:textId="77777777" w:rsidR="004E687C" w:rsidRPr="004F5E78" w:rsidRDefault="004E687C" w:rsidP="00EE0E23">
            <w:pPr>
              <w:spacing w:before="100" w:beforeAutospacing="1" w:after="100" w:afterAutospacing="1"/>
            </w:pPr>
            <w:r w:rsidRPr="004F5E78">
              <w:t>3,65</w:t>
            </w:r>
          </w:p>
        </w:tc>
        <w:tc>
          <w:tcPr>
            <w:tcW w:w="816" w:type="dxa"/>
            <w:vAlign w:val="bottom"/>
          </w:tcPr>
          <w:p w14:paraId="2C5CEECF" w14:textId="77777777" w:rsidR="004E687C" w:rsidRPr="00B86D3D" w:rsidRDefault="004E687C" w:rsidP="00EE0E23">
            <w:pPr>
              <w:spacing w:before="100" w:beforeAutospacing="1" w:after="100" w:afterAutospacing="1"/>
            </w:pPr>
            <w:r w:rsidRPr="00B86D3D">
              <w:t>6,62</w:t>
            </w:r>
          </w:p>
        </w:tc>
        <w:tc>
          <w:tcPr>
            <w:tcW w:w="1123" w:type="dxa"/>
            <w:vAlign w:val="bottom"/>
          </w:tcPr>
          <w:p w14:paraId="044253D8" w14:textId="77777777" w:rsidR="004E687C" w:rsidRPr="00B86D3D" w:rsidRDefault="004E687C" w:rsidP="00EE0E23">
            <w:pPr>
              <w:spacing w:before="100" w:beforeAutospacing="1" w:after="100" w:afterAutospacing="1"/>
            </w:pPr>
            <w:r w:rsidRPr="00B86D3D">
              <w:t>14,44</w:t>
            </w:r>
          </w:p>
        </w:tc>
        <w:tc>
          <w:tcPr>
            <w:tcW w:w="790" w:type="dxa"/>
            <w:vAlign w:val="bottom"/>
          </w:tcPr>
          <w:p w14:paraId="7F97345F" w14:textId="77777777" w:rsidR="004E687C" w:rsidRPr="00B86D3D" w:rsidRDefault="004E687C" w:rsidP="00EE0E23">
            <w:pPr>
              <w:spacing w:before="100" w:beforeAutospacing="1" w:after="100" w:afterAutospacing="1"/>
            </w:pPr>
            <w:r w:rsidRPr="00B86D3D">
              <w:t>26,09</w:t>
            </w:r>
          </w:p>
        </w:tc>
        <w:tc>
          <w:tcPr>
            <w:tcW w:w="816" w:type="dxa"/>
            <w:vAlign w:val="bottom"/>
          </w:tcPr>
          <w:p w14:paraId="66C11579" w14:textId="77777777" w:rsidR="004E687C" w:rsidRPr="00B86D3D" w:rsidRDefault="004E687C" w:rsidP="00EE0E23">
            <w:pPr>
              <w:spacing w:before="100" w:beforeAutospacing="1" w:after="100" w:afterAutospacing="1"/>
            </w:pPr>
            <w:r w:rsidRPr="00B86D3D">
              <w:t>16,85</w:t>
            </w:r>
          </w:p>
        </w:tc>
        <w:tc>
          <w:tcPr>
            <w:tcW w:w="1123" w:type="dxa"/>
            <w:vAlign w:val="bottom"/>
          </w:tcPr>
          <w:p w14:paraId="1861B1A1" w14:textId="77777777" w:rsidR="004E687C" w:rsidRPr="00B86D3D" w:rsidRDefault="004E687C" w:rsidP="00EE0E23">
            <w:pPr>
              <w:spacing w:before="100" w:beforeAutospacing="1" w:after="100" w:afterAutospacing="1"/>
            </w:pPr>
            <w:r w:rsidRPr="00B86D3D">
              <w:t>40,25</w:t>
            </w:r>
          </w:p>
        </w:tc>
        <w:tc>
          <w:tcPr>
            <w:tcW w:w="790" w:type="dxa"/>
            <w:vAlign w:val="bottom"/>
          </w:tcPr>
          <w:p w14:paraId="76E82BD3" w14:textId="77777777" w:rsidR="004E687C" w:rsidRPr="00B86D3D" w:rsidRDefault="004E687C" w:rsidP="00EE0E23">
            <w:pPr>
              <w:spacing w:before="100" w:beforeAutospacing="1" w:after="100" w:afterAutospacing="1"/>
            </w:pPr>
            <w:r w:rsidRPr="00B86D3D">
              <w:t>77,37</w:t>
            </w:r>
          </w:p>
        </w:tc>
      </w:tr>
    </w:tbl>
    <w:p w14:paraId="7397C407" w14:textId="77777777" w:rsidR="004E687C" w:rsidRDefault="004E687C" w:rsidP="004E687C">
      <w:pPr>
        <w:autoSpaceDE w:val="0"/>
        <w:autoSpaceDN w:val="0"/>
        <w:adjustRightInd w:val="0"/>
      </w:pPr>
    </w:p>
    <w:p w14:paraId="204825B3" w14:textId="77777777" w:rsidR="004E687C" w:rsidRDefault="004E687C" w:rsidP="004E687C">
      <w:pPr>
        <w:spacing w:before="100" w:beforeAutospacing="1" w:after="100" w:afterAutospacing="1"/>
      </w:pPr>
      <w:r>
        <w:t xml:space="preserve">Pour l’horizon 2100 la différence entre les deux modèles est très sensible (tableau XXX), avec plus d’un degré de différence. </w:t>
      </w:r>
    </w:p>
    <w:p w14:paraId="0ADAFFE6" w14:textId="77777777" w:rsidR="004E687C" w:rsidRPr="00B64F8D" w:rsidRDefault="004E687C" w:rsidP="004E687C">
      <w:pPr>
        <w:pStyle w:val="Titre3"/>
        <w:numPr>
          <w:ilvl w:val="2"/>
          <w:numId w:val="193"/>
        </w:numPr>
        <w:tabs>
          <w:tab w:val="clear" w:pos="2340"/>
          <w:tab w:val="num" w:pos="284"/>
        </w:tabs>
        <w:ind w:left="709" w:hanging="709"/>
        <w:jc w:val="both"/>
      </w:pPr>
      <w:bookmarkStart w:id="617" w:name="_Toc343596130"/>
      <w:bookmarkStart w:id="618" w:name="_Toc191284994"/>
      <w:r w:rsidRPr="00B64F8D">
        <w:t>Niveau de la mer</w:t>
      </w:r>
      <w:bookmarkEnd w:id="617"/>
      <w:bookmarkEnd w:id="618"/>
    </w:p>
    <w:p w14:paraId="0E97D30E" w14:textId="77777777" w:rsidR="004E687C" w:rsidRPr="00B60BC2" w:rsidRDefault="004E687C" w:rsidP="004E687C">
      <w:pPr>
        <w:spacing w:before="100" w:beforeAutospacing="1" w:after="100" w:afterAutospacing="1"/>
        <w:jc w:val="both"/>
      </w:pPr>
      <w:r w:rsidRPr="0090616E">
        <w:t xml:space="preserve">Sur la base de </w:t>
      </w:r>
      <w:r>
        <w:t>c</w:t>
      </w:r>
      <w:r w:rsidRPr="0090616E">
        <w:t>e réchauffement global</w:t>
      </w:r>
      <w:r>
        <w:t>,</w:t>
      </w:r>
      <w:r w:rsidRPr="0090616E">
        <w:t xml:space="preserve"> les deux modèles présentent des estimations de l’élévation du niveau de la mer de trois niveaux d’estimation (bas, moyen et élevé), variant entre 6,12 cm SRES B2 et 6,62 cm SRES A2 et pour l’horizon 2050 dans le niveau bas et 25,41cm SRES B2 26,09 cm SRES A2 dans le niveau le plus élevé. Cette différence devienne plus sensible à l’horizon 2100 avec une différence d’environ 4 cm pour le niveau bas (12,88 Cm SRES B2 et 16,85 cm SRES A2) et de plus de 10 cm dans le niveau élevé (65,15 cm SRES B2 et 77,37cm SRES A2).</w:t>
      </w:r>
    </w:p>
    <w:p w14:paraId="718871E9" w14:textId="77777777" w:rsidR="004E687C" w:rsidRPr="00832AB6" w:rsidRDefault="004E687C" w:rsidP="004E687C">
      <w:pPr>
        <w:pStyle w:val="Titre2"/>
        <w:numPr>
          <w:ilvl w:val="0"/>
          <w:numId w:val="188"/>
        </w:numPr>
        <w:tabs>
          <w:tab w:val="clear" w:pos="1357"/>
          <w:tab w:val="num" w:pos="993"/>
        </w:tabs>
        <w:ind w:left="720" w:hanging="1357"/>
        <w:jc w:val="both"/>
        <w:rPr>
          <w:i/>
          <w:iCs/>
          <w:sz w:val="24"/>
          <w:szCs w:val="24"/>
        </w:rPr>
      </w:pPr>
      <w:bookmarkStart w:id="619" w:name="_Toc192820615"/>
      <w:bookmarkStart w:id="620" w:name="_Toc192821036"/>
      <w:bookmarkStart w:id="621" w:name="_Toc192821165"/>
      <w:bookmarkStart w:id="622" w:name="_Toc343596131"/>
      <w:bookmarkStart w:id="623" w:name="_Toc191284995"/>
      <w:r w:rsidRPr="00832AB6">
        <w:rPr>
          <w:sz w:val="24"/>
          <w:szCs w:val="24"/>
        </w:rPr>
        <w:t>Application sectorielle des sorties des SE (Littoral)</w:t>
      </w:r>
      <w:bookmarkEnd w:id="619"/>
      <w:bookmarkEnd w:id="620"/>
      <w:bookmarkEnd w:id="621"/>
      <w:bookmarkEnd w:id="622"/>
      <w:bookmarkEnd w:id="623"/>
    </w:p>
    <w:p w14:paraId="1A86EFD5" w14:textId="77777777" w:rsidR="004E687C" w:rsidRDefault="004E687C" w:rsidP="004E687C">
      <w:pPr>
        <w:jc w:val="both"/>
      </w:pPr>
      <w:r w:rsidRPr="00D57AFB">
        <w:rPr>
          <w:b/>
          <w:bCs/>
          <w:color w:val="990033"/>
        </w:rPr>
        <w:t>Seul le secteur du littoral est concerné par les sorties à ce niveau via les données de l’élévation du niveau de la mer</w:t>
      </w:r>
      <w:r>
        <w:t xml:space="preserve">. </w:t>
      </w:r>
    </w:p>
    <w:p w14:paraId="45AB7F57" w14:textId="77777777" w:rsidR="004E687C" w:rsidRDefault="004E687C" w:rsidP="004E687C">
      <w:pPr>
        <w:pStyle w:val="Corpsdetexte"/>
        <w:tabs>
          <w:tab w:val="left" w:pos="2693"/>
        </w:tabs>
      </w:pPr>
      <w:r>
        <w:t>Les deux scénarios choisis reflètent le ralentissement par inertie du système océan-atmosphère dans les simulations transitoires durant les premières décennies du 21</w:t>
      </w:r>
      <w:r>
        <w:rPr>
          <w:vertAlign w:val="superscript"/>
        </w:rPr>
        <w:t>ème</w:t>
      </w:r>
      <w:r>
        <w:t xml:space="preserve"> siècle. La fig. xxx nous montre une évolution presque identique du niveau de la mer pour les deux scénarios jusqu’au 2040 avec une élévation d’environ 11 cm, la situation connaitra une légère différence de 0,6 cm entre les deux scénarios dans l’horizon 2050 ou le niveau de SRES A2 sera de 14,44cm.</w:t>
      </w:r>
    </w:p>
    <w:p w14:paraId="5F4118F3" w14:textId="77777777" w:rsidR="004E687C" w:rsidRDefault="004E687C" w:rsidP="004E687C">
      <w:pPr>
        <w:pStyle w:val="Corpsdetexte"/>
        <w:tabs>
          <w:tab w:val="left" w:pos="2693"/>
        </w:tabs>
        <w:jc w:val="center"/>
      </w:pPr>
      <w:r>
        <w:rPr>
          <w:noProof/>
        </w:rPr>
        <w:drawing>
          <wp:inline distT="0" distB="0" distL="0" distR="0" wp14:anchorId="16889696" wp14:editId="1105A3F4">
            <wp:extent cx="4633595" cy="2197100"/>
            <wp:effectExtent l="19050" t="0" r="0" b="0"/>
            <wp:docPr id="1162900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39"/>
                    <a:srcRect/>
                    <a:stretch>
                      <a:fillRect/>
                    </a:stretch>
                  </pic:blipFill>
                  <pic:spPr bwMode="auto">
                    <a:xfrm>
                      <a:off x="0" y="0"/>
                      <a:ext cx="4633595" cy="2197100"/>
                    </a:xfrm>
                    <a:prstGeom prst="rect">
                      <a:avLst/>
                    </a:prstGeom>
                    <a:noFill/>
                    <a:ln w="9525">
                      <a:noFill/>
                      <a:miter lim="800000"/>
                      <a:headEnd/>
                      <a:tailEnd/>
                    </a:ln>
                  </pic:spPr>
                </pic:pic>
              </a:graphicData>
            </a:graphic>
          </wp:inline>
        </w:drawing>
      </w:r>
    </w:p>
    <w:p w14:paraId="5F671524" w14:textId="77777777" w:rsidR="004E687C" w:rsidRDefault="004E687C" w:rsidP="004E687C">
      <w:pPr>
        <w:autoSpaceDE w:val="0"/>
        <w:autoSpaceDN w:val="0"/>
        <w:adjustRightInd w:val="0"/>
      </w:pPr>
      <w:r>
        <w:t xml:space="preserve">Avec le temps la différence entre les deux scénarios ne cesse d’augmenter pour dépasser les 7 cm pour l’horizon 2100 avec comme niveau moyen d’élévation du SRES A2 de 40,25cm.  </w:t>
      </w:r>
    </w:p>
    <w:p w14:paraId="10A2F161" w14:textId="77777777" w:rsidR="004E687C" w:rsidRPr="00832AB6" w:rsidRDefault="004E687C" w:rsidP="004E687C">
      <w:pPr>
        <w:pStyle w:val="Titre2"/>
        <w:numPr>
          <w:ilvl w:val="0"/>
          <w:numId w:val="188"/>
        </w:numPr>
        <w:tabs>
          <w:tab w:val="clear" w:pos="1357"/>
          <w:tab w:val="num" w:pos="993"/>
        </w:tabs>
        <w:ind w:left="720" w:hanging="1357"/>
        <w:jc w:val="both"/>
        <w:rPr>
          <w:i/>
          <w:iCs/>
          <w:sz w:val="24"/>
          <w:szCs w:val="24"/>
        </w:rPr>
      </w:pPr>
      <w:bookmarkStart w:id="624" w:name="_Toc192820616"/>
      <w:bookmarkStart w:id="625" w:name="_Toc192821037"/>
      <w:bookmarkStart w:id="626" w:name="_Toc192821166"/>
      <w:bookmarkStart w:id="627" w:name="_Toc343596132"/>
      <w:bookmarkStart w:id="628" w:name="_Toc191284996"/>
      <w:r w:rsidRPr="00832AB6">
        <w:rPr>
          <w:sz w:val="24"/>
          <w:szCs w:val="24"/>
        </w:rPr>
        <w:t>Scénarios climatiques</w:t>
      </w:r>
      <w:bookmarkEnd w:id="624"/>
      <w:bookmarkEnd w:id="625"/>
      <w:bookmarkEnd w:id="626"/>
      <w:bookmarkEnd w:id="627"/>
      <w:bookmarkEnd w:id="628"/>
      <w:r w:rsidRPr="00832AB6">
        <w:rPr>
          <w:sz w:val="24"/>
          <w:szCs w:val="24"/>
        </w:rPr>
        <w:t xml:space="preserve">  </w:t>
      </w:r>
    </w:p>
    <w:p w14:paraId="5612CDE9" w14:textId="77777777" w:rsidR="004E687C" w:rsidRPr="001F4F3D" w:rsidRDefault="004E687C" w:rsidP="004E687C">
      <w:pPr>
        <w:pStyle w:val="Corpsdetexte"/>
        <w:tabs>
          <w:tab w:val="left" w:pos="2693"/>
        </w:tabs>
      </w:pPr>
      <w:bookmarkStart w:id="629" w:name="_Toc192820617"/>
      <w:r w:rsidRPr="001F4F3D">
        <w:t>Les scénarios climatiques ne sont pas une prévision des conditions climatiques futures. Elles sont plutôt une représentation plausible du climat futur reposant sur un ensemble cohérent de relations entre les variables météorologiques (GIEC, 2001). La véritable fonction des scénarios est de dissiper une part de l'incertitude. Ils aident à déterminer les ramifications possibles d'un enjeu (dans le cas présent, les changements climatiques) à la lumière d'une ou de plusieurs situations plausibles (mais non déterminées) (</w:t>
      </w:r>
      <w:proofErr w:type="spellStart"/>
      <w:r w:rsidRPr="001F4F3D">
        <w:t>Mearns</w:t>
      </w:r>
      <w:proofErr w:type="spellEnd"/>
      <w:r w:rsidRPr="001F4F3D">
        <w:t xml:space="preserve"> </w:t>
      </w:r>
      <w:r w:rsidRPr="002E3A09">
        <w:t>et al</w:t>
      </w:r>
      <w:r w:rsidRPr="001F4F3D">
        <w:t>., 2001).</w:t>
      </w:r>
      <w:bookmarkEnd w:id="629"/>
    </w:p>
    <w:p w14:paraId="2A723BE9" w14:textId="77777777" w:rsidR="004E687C" w:rsidRPr="004F1071" w:rsidRDefault="004E687C" w:rsidP="004E687C">
      <w:pPr>
        <w:pStyle w:val="Corpsdetexte"/>
        <w:tabs>
          <w:tab w:val="left" w:pos="2693"/>
        </w:tabs>
      </w:pPr>
      <w:bookmarkStart w:id="630" w:name="_Toc192820618"/>
      <w:r w:rsidRPr="004F1071">
        <w:t xml:space="preserve">Smith et </w:t>
      </w:r>
      <w:proofErr w:type="spellStart"/>
      <w:r w:rsidRPr="004F1071">
        <w:t>Hulme</w:t>
      </w:r>
      <w:proofErr w:type="spellEnd"/>
      <w:r w:rsidRPr="004F1071">
        <w:t xml:space="preserve"> (1998) préconisent des </w:t>
      </w:r>
      <w:r w:rsidRPr="002E3A09">
        <w:t>critères</w:t>
      </w:r>
      <w:r w:rsidRPr="004F1071">
        <w:t xml:space="preserve"> auxquels les scénarios de changement climatique doivent se conformer, ses critères ont été repris avec plus de précision dans les lignes directrices du TGCIA (GIEC-TGCIA, 1999), ses critères sont les suivants :</w:t>
      </w:r>
      <w:bookmarkEnd w:id="630"/>
      <w:r w:rsidRPr="004F1071">
        <w:t xml:space="preserve"> </w:t>
      </w:r>
    </w:p>
    <w:p w14:paraId="7B71326E" w14:textId="77777777" w:rsidR="004E687C" w:rsidRDefault="004E687C" w:rsidP="004E687C">
      <w:pPr>
        <w:numPr>
          <w:ilvl w:val="0"/>
          <w:numId w:val="166"/>
        </w:numPr>
        <w:spacing w:before="100" w:beforeAutospacing="1" w:after="100" w:afterAutospacing="1" w:line="240" w:lineRule="auto"/>
        <w:jc w:val="both"/>
        <w:rPr>
          <w:rFonts w:ascii="Arial" w:hAnsi="Arial" w:cs="Arial"/>
          <w:color w:val="000000"/>
          <w:sz w:val="19"/>
          <w:szCs w:val="19"/>
        </w:rPr>
      </w:pPr>
      <w:r>
        <w:rPr>
          <w:rStyle w:val="lev"/>
          <w:rFonts w:ascii="Arial" w:hAnsi="Arial" w:cs="Arial"/>
          <w:color w:val="000000"/>
        </w:rPr>
        <w:t>Conformité aux projections planétaires</w:t>
      </w:r>
      <w:r>
        <w:rPr>
          <w:rFonts w:ascii="Arial" w:hAnsi="Arial" w:cs="Arial"/>
          <w:color w:val="000000"/>
          <w:sz w:val="19"/>
          <w:szCs w:val="19"/>
        </w:rPr>
        <w:t xml:space="preserve">. Les scénarios doivent se situer dans la plage générale des prévisions de changement climatique basées sur des concentrations atmosphériques accrues des gaz à effet de serre. Plus récemment, on a prévu une élévation de la température planétaire moyenne de l’air en surface de 1,4 à </w:t>
      </w:r>
      <w:smartTag w:uri="urn:schemas-microsoft-com:office:smarttags" w:element="metricconverter">
        <w:smartTagPr>
          <w:attr w:name="ProductID" w:val="5,8 ﾰC"/>
        </w:smartTagPr>
        <w:r>
          <w:rPr>
            <w:rFonts w:ascii="Arial" w:hAnsi="Arial" w:cs="Arial"/>
            <w:color w:val="000000"/>
            <w:sz w:val="19"/>
            <w:szCs w:val="19"/>
          </w:rPr>
          <w:t>5,8 °C</w:t>
        </w:r>
      </w:smartTag>
      <w:r>
        <w:rPr>
          <w:rFonts w:ascii="Arial" w:hAnsi="Arial" w:cs="Arial"/>
          <w:color w:val="000000"/>
          <w:sz w:val="19"/>
          <w:szCs w:val="19"/>
        </w:rPr>
        <w:t xml:space="preserve"> sur la période 1990-2100 (GIEC, 2001a), comparativement à 1,0 à </w:t>
      </w:r>
      <w:smartTag w:uri="urn:schemas-microsoft-com:office:smarttags" w:element="metricconverter">
        <w:smartTagPr>
          <w:attr w:name="ProductID" w:val="3,5 ﾰC"/>
        </w:smartTagPr>
        <w:r>
          <w:rPr>
            <w:rFonts w:ascii="Arial" w:hAnsi="Arial" w:cs="Arial"/>
            <w:color w:val="000000"/>
            <w:sz w:val="19"/>
            <w:szCs w:val="19"/>
          </w:rPr>
          <w:t>3,5 °C</w:t>
        </w:r>
      </w:smartTag>
      <w:r>
        <w:rPr>
          <w:rFonts w:ascii="Arial" w:hAnsi="Arial" w:cs="Arial"/>
          <w:color w:val="000000"/>
          <w:sz w:val="19"/>
          <w:szCs w:val="19"/>
        </w:rPr>
        <w:t>, plage proposée dans le deuxième rapport d’évaluation du GIEC (GIEC, 1996). L’élévation prévue de la température et l’élargissement de la plage dans cette évaluation récente sont principalement attribuables à la baisse prévue des émissions de dioxyde de soufre dans les scénarios SRES comparativement aux scénarios IS</w:t>
      </w:r>
      <w:proofErr w:type="gramStart"/>
      <w:r>
        <w:rPr>
          <w:rFonts w:ascii="Arial" w:hAnsi="Arial" w:cs="Arial"/>
          <w:color w:val="000000"/>
          <w:sz w:val="19"/>
          <w:szCs w:val="19"/>
        </w:rPr>
        <w:t>92 .</w:t>
      </w:r>
      <w:proofErr w:type="gramEnd"/>
      <w:r>
        <w:rPr>
          <w:rFonts w:ascii="Arial" w:hAnsi="Arial" w:cs="Arial"/>
          <w:color w:val="000000"/>
          <w:sz w:val="19"/>
          <w:szCs w:val="19"/>
        </w:rPr>
        <w:t xml:space="preserve"> </w:t>
      </w:r>
    </w:p>
    <w:p w14:paraId="40A8AF88" w14:textId="77777777" w:rsidR="004E687C" w:rsidRDefault="004E687C" w:rsidP="004E687C">
      <w:pPr>
        <w:numPr>
          <w:ilvl w:val="0"/>
          <w:numId w:val="166"/>
        </w:numPr>
        <w:spacing w:before="100" w:beforeAutospacing="1" w:after="100" w:afterAutospacing="1" w:line="240" w:lineRule="auto"/>
        <w:jc w:val="both"/>
        <w:rPr>
          <w:rFonts w:ascii="Arial" w:hAnsi="Arial" w:cs="Arial"/>
          <w:color w:val="000000"/>
          <w:sz w:val="19"/>
          <w:szCs w:val="19"/>
        </w:rPr>
      </w:pPr>
      <w:r>
        <w:rPr>
          <w:rStyle w:val="lev"/>
          <w:rFonts w:ascii="Arial" w:hAnsi="Arial" w:cs="Arial"/>
          <w:color w:val="000000"/>
        </w:rPr>
        <w:t>Plausibilité physique</w:t>
      </w:r>
      <w:r>
        <w:rPr>
          <w:rFonts w:ascii="Arial" w:hAnsi="Arial" w:cs="Arial"/>
          <w:color w:val="000000"/>
          <w:sz w:val="19"/>
          <w:szCs w:val="19"/>
        </w:rPr>
        <w:t xml:space="preserve">. Les scénarios doivent être conformes aux lois de la physique qui régissent le climat. Ainsi, les changements pour une région doivent être physiquement compatibles à ceux d’une autre région ainsi qu’à ceux observables à l’échelle mondiale. De plus, les variables climatiques sont souvent corrélées les unes aux autres, de sorte que des changements dans une variable doivent se traduire par des changements dans les variables connexes (p. ex., les changements de la durée d’ensoleillement doivent se refléter dans les changements de la nébulosité, qui, à leur tour, peuvent entraîner des changements dans les précipitations). </w:t>
      </w:r>
    </w:p>
    <w:p w14:paraId="2262BAC4" w14:textId="77777777" w:rsidR="004E687C" w:rsidRDefault="004E687C" w:rsidP="004E687C">
      <w:pPr>
        <w:numPr>
          <w:ilvl w:val="0"/>
          <w:numId w:val="166"/>
        </w:numPr>
        <w:spacing w:before="100" w:beforeAutospacing="1" w:after="100" w:afterAutospacing="1" w:line="240" w:lineRule="auto"/>
        <w:jc w:val="both"/>
        <w:rPr>
          <w:rFonts w:ascii="Arial" w:hAnsi="Arial" w:cs="Arial"/>
          <w:color w:val="000000"/>
          <w:sz w:val="19"/>
          <w:szCs w:val="19"/>
        </w:rPr>
      </w:pPr>
      <w:r>
        <w:rPr>
          <w:rStyle w:val="lev"/>
          <w:rFonts w:ascii="Arial" w:hAnsi="Arial" w:cs="Arial"/>
          <w:color w:val="000000"/>
        </w:rPr>
        <w:t>Applicabilité aux évaluations des répercussions</w:t>
      </w:r>
      <w:r>
        <w:rPr>
          <w:rFonts w:ascii="Arial" w:hAnsi="Arial" w:cs="Arial"/>
          <w:color w:val="000000"/>
          <w:sz w:val="19"/>
          <w:szCs w:val="19"/>
        </w:rPr>
        <w:t xml:space="preserve">. Les scénarios doivent décrire les changements dans un nombre suffisant de variables climatiques à une échelle spatiale et temporelle permettant d’évaluer les répercussions du climat. Les variables climatiques nécessaires dépendront évidemment du projet, mais les bons scénarios donneront de l’information pour tout un ensemble de variables climatiques, ce qui permettra de les utiliser, par exemple, dans les études visant l’agriculture, les ressources hydriques et l’énergie... </w:t>
      </w:r>
    </w:p>
    <w:p w14:paraId="40A3BA2F" w14:textId="77777777" w:rsidR="004E687C" w:rsidRDefault="004E687C" w:rsidP="004E687C">
      <w:pPr>
        <w:numPr>
          <w:ilvl w:val="0"/>
          <w:numId w:val="166"/>
        </w:numPr>
        <w:spacing w:before="100" w:beforeAutospacing="1" w:after="100" w:afterAutospacing="1" w:line="240" w:lineRule="auto"/>
        <w:jc w:val="both"/>
        <w:rPr>
          <w:rFonts w:ascii="Arial" w:hAnsi="Arial" w:cs="Arial"/>
          <w:color w:val="000000"/>
          <w:sz w:val="19"/>
          <w:szCs w:val="19"/>
        </w:rPr>
      </w:pPr>
      <w:r>
        <w:rPr>
          <w:rStyle w:val="lev"/>
          <w:rFonts w:ascii="Arial" w:hAnsi="Arial" w:cs="Arial"/>
          <w:color w:val="000000"/>
        </w:rPr>
        <w:t>Représentativité</w:t>
      </w:r>
      <w:r>
        <w:rPr>
          <w:rFonts w:ascii="Arial" w:hAnsi="Arial" w:cs="Arial"/>
          <w:color w:val="000000"/>
          <w:sz w:val="19"/>
          <w:szCs w:val="19"/>
        </w:rPr>
        <w:t xml:space="preserve">. Les scénarios doivent être représentatifs de la plage potentielle des changements climatiques régionaux futurs, de façon à permettre une évaluation réaliste des répercussions possibles. Ainsi, si un ensemble de scénarios ne porte que sur la sécheresse ou l’humidité, il ne permettra pas d’identifier la gamme des sensibilités au changement climatique. </w:t>
      </w:r>
    </w:p>
    <w:p w14:paraId="642A73C4" w14:textId="77777777" w:rsidR="004E687C" w:rsidRDefault="004E687C" w:rsidP="004E687C">
      <w:pPr>
        <w:numPr>
          <w:ilvl w:val="0"/>
          <w:numId w:val="166"/>
        </w:numPr>
        <w:spacing w:before="100" w:beforeAutospacing="1" w:after="100" w:afterAutospacing="1" w:line="240" w:lineRule="auto"/>
        <w:jc w:val="both"/>
        <w:rPr>
          <w:rFonts w:ascii="Arial" w:hAnsi="Arial" w:cs="Arial"/>
          <w:color w:val="000000"/>
          <w:sz w:val="19"/>
          <w:szCs w:val="19"/>
        </w:rPr>
      </w:pPr>
      <w:r>
        <w:rPr>
          <w:rStyle w:val="lev"/>
          <w:rFonts w:ascii="Arial" w:hAnsi="Arial" w:cs="Arial"/>
          <w:color w:val="000000"/>
        </w:rPr>
        <w:t>Accessibilité</w:t>
      </w:r>
      <w:r>
        <w:rPr>
          <w:rFonts w:ascii="Arial" w:hAnsi="Arial" w:cs="Arial"/>
          <w:color w:val="000000"/>
          <w:sz w:val="19"/>
          <w:szCs w:val="19"/>
        </w:rPr>
        <w:t xml:space="preserve">. Les scénarios doivent être simples à obtenir, à interpréter et à appliquer dans les évaluations des répercussions des CC. </w:t>
      </w:r>
    </w:p>
    <w:p w14:paraId="4BA8061C" w14:textId="77777777" w:rsidR="004E687C" w:rsidRPr="00D57AFB" w:rsidRDefault="004E687C" w:rsidP="004E687C">
      <w:pPr>
        <w:pStyle w:val="Titre3"/>
        <w:numPr>
          <w:ilvl w:val="2"/>
          <w:numId w:val="194"/>
        </w:numPr>
        <w:tabs>
          <w:tab w:val="clear" w:pos="2340"/>
          <w:tab w:val="num" w:pos="709"/>
        </w:tabs>
        <w:ind w:left="993" w:hanging="993"/>
        <w:jc w:val="both"/>
        <w:rPr>
          <w:color w:val="0033CC"/>
        </w:rPr>
      </w:pPr>
      <w:bookmarkStart w:id="631" w:name="_Toc192820619"/>
      <w:bookmarkStart w:id="632" w:name="_Toc192821038"/>
      <w:bookmarkStart w:id="633" w:name="_Toc192821167"/>
      <w:bookmarkStart w:id="634" w:name="_Toc343596133"/>
      <w:bookmarkStart w:id="635" w:name="_Toc191284997"/>
      <w:r w:rsidRPr="00D57AFB">
        <w:rPr>
          <w:color w:val="0033CC"/>
        </w:rPr>
        <w:t>Scénarios synthétiques</w:t>
      </w:r>
      <w:bookmarkEnd w:id="631"/>
      <w:bookmarkEnd w:id="632"/>
      <w:bookmarkEnd w:id="633"/>
      <w:bookmarkEnd w:id="634"/>
      <w:bookmarkEnd w:id="635"/>
      <w:r w:rsidRPr="00D57AFB">
        <w:rPr>
          <w:color w:val="0033CC"/>
        </w:rPr>
        <w:t xml:space="preserve"> </w:t>
      </w:r>
    </w:p>
    <w:p w14:paraId="07FF4D32" w14:textId="77777777" w:rsidR="004E687C" w:rsidRPr="006E47ED" w:rsidRDefault="004E687C" w:rsidP="004E687C">
      <w:pPr>
        <w:pStyle w:val="Corpsdetexte"/>
        <w:tabs>
          <w:tab w:val="left" w:pos="2693"/>
        </w:tabs>
      </w:pPr>
      <w:bookmarkStart w:id="636" w:name="_Toc192820620"/>
      <w:r w:rsidRPr="006E47ED">
        <w:t>Les scénarios synthétiques, ou arbitraires, sont les scénarios climatiques les plus simples qui existent. Ils servent surtout à définir la sensibilité d’une unité soumise à exposition à une gamme plausible de variations climatiques, mais ils présentent rarement un climat futur réaliste et physiquement plausible.</w:t>
      </w:r>
      <w:bookmarkEnd w:id="636"/>
      <w:r w:rsidRPr="006E47ED">
        <w:t xml:space="preserve"> </w:t>
      </w:r>
    </w:p>
    <w:p w14:paraId="684135A7" w14:textId="77777777" w:rsidR="004E687C" w:rsidRPr="006E47ED" w:rsidRDefault="004E687C" w:rsidP="004E687C">
      <w:pPr>
        <w:pStyle w:val="Corpsdetexte"/>
        <w:tabs>
          <w:tab w:val="left" w:pos="2693"/>
        </w:tabs>
        <w:spacing w:after="100" w:afterAutospacing="1"/>
      </w:pPr>
      <w:bookmarkStart w:id="637" w:name="_Toc192820621"/>
      <w:r w:rsidRPr="006E47ED">
        <w:t xml:space="preserve">Dans ce type de scénario, un enregistrement historique d’une variable climatique donnée est simplement perturbé d’une quantité arbitraire. Par exemple, une augmentation de </w:t>
      </w:r>
      <w:smartTag w:uri="urn:schemas-microsoft-com:office:smarttags" w:element="metricconverter">
        <w:smartTagPr>
          <w:attr w:name="ProductID" w:val="2 ﾰC"/>
        </w:smartTagPr>
        <w:r w:rsidRPr="006E47ED">
          <w:t>2 °C</w:t>
        </w:r>
      </w:smartTag>
      <w:r w:rsidRPr="006E47ED">
        <w:t xml:space="preserve"> peut être appliquée à un enregistrement des températures d’une station à des échelles temporelles quotidienne, mensuelle, saisonnière ou annuelle. Pour que les scénarios synthétiques soient plus réalistes, on peut tirer les changements appliqués à un enregistrement historique d’une sortie de MCG, l’ampleur de la correction appliquée étant la même tout au long de l’année ou variant selon la saison ou les mois en fonction de l’information disponible. Ainsi, supposons que les résultats d’un scénario de climat futur tiré d’un MCG indiquent que la température moyenne pour les années 2020 sera :</w:t>
      </w:r>
      <w:bookmarkEnd w:id="637"/>
      <w:r w:rsidRPr="006E47ED">
        <w:t xml:space="preserve"> </w:t>
      </w:r>
    </w:p>
    <w:p w14:paraId="28B4343E" w14:textId="77777777" w:rsidR="004E687C" w:rsidRDefault="004E687C" w:rsidP="004E687C">
      <w:pPr>
        <w:numPr>
          <w:ilvl w:val="0"/>
          <w:numId w:val="167"/>
        </w:numPr>
        <w:spacing w:before="120" w:after="100" w:afterAutospacing="1" w:line="240" w:lineRule="auto"/>
        <w:ind w:left="714" w:hanging="357"/>
        <w:rPr>
          <w:rFonts w:ascii="Arial" w:hAnsi="Arial" w:cs="Arial"/>
          <w:color w:val="000000"/>
          <w:sz w:val="19"/>
          <w:szCs w:val="19"/>
        </w:rPr>
      </w:pPr>
      <w:smartTag w:uri="urn:schemas-microsoft-com:office:smarttags" w:element="metricconverter">
        <w:smartTagPr>
          <w:attr w:name="ProductID" w:val="1,0 ﾰC"/>
        </w:smartTagPr>
        <w:r>
          <w:rPr>
            <w:rFonts w:ascii="Arial" w:hAnsi="Arial" w:cs="Arial"/>
            <w:color w:val="000000"/>
            <w:sz w:val="19"/>
            <w:szCs w:val="19"/>
          </w:rPr>
          <w:t>1,0 °C</w:t>
        </w:r>
      </w:smartTag>
      <w:r>
        <w:rPr>
          <w:rFonts w:ascii="Arial" w:hAnsi="Arial" w:cs="Arial"/>
          <w:color w:val="000000"/>
          <w:sz w:val="19"/>
          <w:szCs w:val="19"/>
        </w:rPr>
        <w:t xml:space="preserve"> plus élevée en été ; </w:t>
      </w:r>
    </w:p>
    <w:p w14:paraId="2444E992" w14:textId="77777777" w:rsidR="004E687C" w:rsidRDefault="004E687C" w:rsidP="004E687C">
      <w:pPr>
        <w:numPr>
          <w:ilvl w:val="0"/>
          <w:numId w:val="167"/>
        </w:numPr>
        <w:spacing w:before="100" w:beforeAutospacing="1" w:after="100" w:afterAutospacing="1" w:line="240" w:lineRule="auto"/>
        <w:rPr>
          <w:rFonts w:ascii="Arial" w:hAnsi="Arial" w:cs="Arial"/>
          <w:color w:val="000000"/>
          <w:sz w:val="19"/>
          <w:szCs w:val="19"/>
        </w:rPr>
      </w:pPr>
      <w:smartTag w:uri="urn:schemas-microsoft-com:office:smarttags" w:element="metricconverter">
        <w:smartTagPr>
          <w:attr w:name="ProductID" w:val="2,0 ﾰC"/>
        </w:smartTagPr>
        <w:r>
          <w:rPr>
            <w:rFonts w:ascii="Arial" w:hAnsi="Arial" w:cs="Arial"/>
            <w:color w:val="000000"/>
            <w:sz w:val="19"/>
            <w:szCs w:val="19"/>
          </w:rPr>
          <w:t>2,0 °C</w:t>
        </w:r>
      </w:smartTag>
      <w:r>
        <w:rPr>
          <w:rFonts w:ascii="Arial" w:hAnsi="Arial" w:cs="Arial"/>
          <w:color w:val="000000"/>
          <w:sz w:val="19"/>
          <w:szCs w:val="19"/>
        </w:rPr>
        <w:t xml:space="preserve"> plus élevée au printemps et à l’automne ; et </w:t>
      </w:r>
    </w:p>
    <w:p w14:paraId="02C13E9D" w14:textId="77777777" w:rsidR="004E687C" w:rsidRDefault="004E687C" w:rsidP="004E687C">
      <w:pPr>
        <w:numPr>
          <w:ilvl w:val="0"/>
          <w:numId w:val="167"/>
        </w:numPr>
        <w:spacing w:before="100" w:beforeAutospacing="1" w:after="80" w:line="240" w:lineRule="auto"/>
        <w:ind w:left="714" w:hanging="357"/>
        <w:rPr>
          <w:rFonts w:ascii="Arial" w:hAnsi="Arial" w:cs="Arial"/>
          <w:color w:val="000000"/>
          <w:sz w:val="19"/>
          <w:szCs w:val="19"/>
        </w:rPr>
      </w:pPr>
      <w:smartTag w:uri="urn:schemas-microsoft-com:office:smarttags" w:element="metricconverter">
        <w:smartTagPr>
          <w:attr w:name="ProductID" w:val="2,5 ﾰC"/>
        </w:smartTagPr>
        <w:r>
          <w:rPr>
            <w:rFonts w:ascii="Arial" w:hAnsi="Arial" w:cs="Arial"/>
            <w:color w:val="000000"/>
            <w:sz w:val="19"/>
            <w:szCs w:val="19"/>
          </w:rPr>
          <w:t>2,5 °C</w:t>
        </w:r>
      </w:smartTag>
      <w:r>
        <w:rPr>
          <w:rFonts w:ascii="Arial" w:hAnsi="Arial" w:cs="Arial"/>
          <w:color w:val="000000"/>
          <w:sz w:val="19"/>
          <w:szCs w:val="19"/>
        </w:rPr>
        <w:t xml:space="preserve"> plus élevée en hiver. </w:t>
      </w:r>
    </w:p>
    <w:p w14:paraId="4A8BC5D5" w14:textId="77777777" w:rsidR="004E687C" w:rsidRPr="006E47ED" w:rsidRDefault="004E687C" w:rsidP="004E687C">
      <w:pPr>
        <w:pStyle w:val="Corpsdetexte"/>
        <w:tabs>
          <w:tab w:val="left" w:pos="2693"/>
        </w:tabs>
      </w:pPr>
      <w:bookmarkStart w:id="638" w:name="_Toc192820622"/>
      <w:r w:rsidRPr="006E47ED">
        <w:t>Alors, ces ajustements seraient appliqués à chaque saison dans l’enregistrement observé de base afin d’obtenir un scénario synthétique plus réaliste illustrant les années 2020.</w:t>
      </w:r>
      <w:bookmarkEnd w:id="638"/>
      <w:r w:rsidRPr="006E47ED">
        <w:t xml:space="preserve"> </w:t>
      </w:r>
    </w:p>
    <w:p w14:paraId="6F314A14" w14:textId="77777777" w:rsidR="004E687C" w:rsidRPr="006E47ED" w:rsidRDefault="004E687C" w:rsidP="004E687C">
      <w:pPr>
        <w:pStyle w:val="Corpsdetexte"/>
        <w:tabs>
          <w:tab w:val="left" w:pos="2693"/>
        </w:tabs>
        <w:spacing w:before="120"/>
        <w:ind w:left="714" w:hanging="357"/>
      </w:pPr>
      <w:bookmarkStart w:id="639" w:name="_Toc192820623"/>
      <w:r w:rsidRPr="006E47ED">
        <w:t>Les avantages des scénarios synthétiques sont les suivants :</w:t>
      </w:r>
      <w:bookmarkEnd w:id="639"/>
      <w:r w:rsidRPr="006E47ED">
        <w:t xml:space="preserve"> </w:t>
      </w:r>
    </w:p>
    <w:p w14:paraId="50F3DFF8" w14:textId="77777777" w:rsidR="004E687C" w:rsidRDefault="004E687C" w:rsidP="004E687C">
      <w:pPr>
        <w:numPr>
          <w:ilvl w:val="0"/>
          <w:numId w:val="168"/>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Ils sont simples à appliquer, transparents, faciles à comprendre et à interpréter pour des non-spécialistes. </w:t>
      </w:r>
    </w:p>
    <w:p w14:paraId="36E40CEE" w14:textId="77777777" w:rsidR="004E687C" w:rsidRDefault="004E687C" w:rsidP="004E687C">
      <w:pPr>
        <w:numPr>
          <w:ilvl w:val="0"/>
          <w:numId w:val="168"/>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Ils permettent d’évaluer la sensibilité d’un projet aux changements potentiels d’une seule variable climatique, ce qui permet d’identifier les variables climatiques les plus importantes. </w:t>
      </w:r>
    </w:p>
    <w:p w14:paraId="65D0C626" w14:textId="77777777" w:rsidR="004E687C" w:rsidRDefault="004E687C" w:rsidP="004E687C">
      <w:pPr>
        <w:numPr>
          <w:ilvl w:val="0"/>
          <w:numId w:val="168"/>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On peut soumettre diverses composantes d’un projet à des changements d’une seule variable climatique pour déterminer l’effet global. </w:t>
      </w:r>
    </w:p>
    <w:p w14:paraId="154E88C8" w14:textId="77777777" w:rsidR="004E687C" w:rsidRDefault="004E687C" w:rsidP="004E687C">
      <w:pPr>
        <w:numPr>
          <w:ilvl w:val="0"/>
          <w:numId w:val="168"/>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Ils permettent d’identifier les seuils à partir desquels les effets du changement climatique ne sont plus bénéfiques ou néfastes (p. ex., lorsque les vitesses du vent dépassent le seuil des dommages aux structures.</w:t>
      </w:r>
    </w:p>
    <w:p w14:paraId="00E2267E" w14:textId="77777777" w:rsidR="004E687C" w:rsidRDefault="004E687C" w:rsidP="004E687C">
      <w:pPr>
        <w:numPr>
          <w:ilvl w:val="0"/>
          <w:numId w:val="168"/>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Ils peuvent également servir pour déterminer l’ampleur du changement climatique qu’un système peut supporter sans effet néfaste (c.-à-d. la tolérance du système au changement climatique). </w:t>
      </w:r>
    </w:p>
    <w:p w14:paraId="7EEB6E56" w14:textId="77777777" w:rsidR="004E687C" w:rsidRPr="006E47ED" w:rsidRDefault="004E687C" w:rsidP="004E687C">
      <w:pPr>
        <w:pStyle w:val="Corpsdetexte"/>
        <w:tabs>
          <w:tab w:val="left" w:pos="2693"/>
        </w:tabs>
      </w:pPr>
      <w:bookmarkStart w:id="640" w:name="_Toc192820624"/>
      <w:r w:rsidRPr="006E47ED">
        <w:t>Toutefois, ils ont deux grands inconvénients :</w:t>
      </w:r>
      <w:bookmarkEnd w:id="640"/>
      <w:r w:rsidRPr="006E47ED">
        <w:t xml:space="preserve"> </w:t>
      </w:r>
    </w:p>
    <w:p w14:paraId="28F4CCC9" w14:textId="77777777" w:rsidR="004E687C" w:rsidRDefault="004E687C" w:rsidP="004E687C">
      <w:pPr>
        <w:numPr>
          <w:ilvl w:val="0"/>
          <w:numId w:val="169"/>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Il est virtuellement impossible de décrire un </w:t>
      </w:r>
      <w:r>
        <w:rPr>
          <w:rStyle w:val="Accentuation"/>
          <w:color w:val="000000"/>
          <w:sz w:val="19"/>
          <w:szCs w:val="19"/>
        </w:rPr>
        <w:t>ensemble</w:t>
      </w:r>
      <w:r>
        <w:rPr>
          <w:rFonts w:ascii="Arial" w:hAnsi="Arial" w:cs="Arial"/>
          <w:color w:val="000000"/>
          <w:sz w:val="19"/>
          <w:szCs w:val="19"/>
        </w:rPr>
        <w:t xml:space="preserve"> réaliste de changements pour toutes les variables climatiques qui soient physiquement plausibles et intrinsèquement cohérents (infraction au critère 2</w:t>
      </w:r>
      <w:r w:rsidRPr="006E47ED">
        <w:rPr>
          <w:rFonts w:ascii="Arial" w:hAnsi="Arial" w:cs="Arial"/>
          <w:color w:val="000000"/>
          <w:sz w:val="19"/>
          <w:szCs w:val="19"/>
        </w:rPr>
        <w:t xml:space="preserve"> </w:t>
      </w:r>
      <w:r>
        <w:rPr>
          <w:rFonts w:ascii="Arial" w:hAnsi="Arial" w:cs="Arial"/>
          <w:color w:val="000000"/>
          <w:sz w:val="19"/>
          <w:szCs w:val="19"/>
        </w:rPr>
        <w:t xml:space="preserve">du paragraphe 3.2). </w:t>
      </w:r>
    </w:p>
    <w:p w14:paraId="5260FD7B" w14:textId="77777777" w:rsidR="004E687C" w:rsidRDefault="004E687C" w:rsidP="004E687C">
      <w:pPr>
        <w:numPr>
          <w:ilvl w:val="0"/>
          <w:numId w:val="169"/>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Les changements prescrits tendent à être arbitraires et peuvent ne pas respecter la plage d’incertitude des changements planétaires, quoique l’on puisse contourner cet obstacle en dérivant les changements arbitraires de l’information des MCG (infraction au critère 1du paragraphe 3.2). </w:t>
      </w:r>
    </w:p>
    <w:p w14:paraId="6DE935F1" w14:textId="77777777" w:rsidR="004E687C" w:rsidRPr="00D57AFB" w:rsidRDefault="004E687C" w:rsidP="004E687C">
      <w:pPr>
        <w:pStyle w:val="Titre3"/>
        <w:numPr>
          <w:ilvl w:val="2"/>
          <w:numId w:val="194"/>
        </w:numPr>
        <w:tabs>
          <w:tab w:val="clear" w:pos="2340"/>
          <w:tab w:val="num" w:pos="709"/>
        </w:tabs>
        <w:ind w:left="567" w:hanging="567"/>
        <w:jc w:val="both"/>
        <w:rPr>
          <w:color w:val="990033"/>
        </w:rPr>
      </w:pPr>
      <w:bookmarkStart w:id="641" w:name="_Toc192820625"/>
      <w:bookmarkStart w:id="642" w:name="_Toc192821039"/>
      <w:bookmarkStart w:id="643" w:name="_Toc192821168"/>
      <w:bookmarkStart w:id="644" w:name="_Toc343596134"/>
      <w:bookmarkStart w:id="645" w:name="_Toc191284998"/>
      <w:r w:rsidRPr="00D57AFB">
        <w:rPr>
          <w:color w:val="990033"/>
        </w:rPr>
        <w:t>Scénarios analogiques</w:t>
      </w:r>
      <w:bookmarkEnd w:id="641"/>
      <w:bookmarkEnd w:id="642"/>
      <w:bookmarkEnd w:id="643"/>
      <w:bookmarkEnd w:id="644"/>
      <w:bookmarkEnd w:id="645"/>
      <w:r w:rsidRPr="00D57AFB">
        <w:rPr>
          <w:color w:val="990033"/>
        </w:rPr>
        <w:t xml:space="preserve"> </w:t>
      </w:r>
    </w:p>
    <w:p w14:paraId="26C74BB9" w14:textId="77777777" w:rsidR="004E687C" w:rsidRDefault="004E687C" w:rsidP="004E687C">
      <w:pPr>
        <w:pStyle w:val="Corpsdetexte"/>
        <w:tabs>
          <w:tab w:val="left" w:pos="2693"/>
        </w:tabs>
      </w:pPr>
      <w:bookmarkStart w:id="646" w:name="_Toc192820626"/>
      <w:r w:rsidRPr="006E47ED">
        <w:t>Les scénarios analogiques se construisent en choisissant un régime climatique connu qui peut ressembler au climat futur prévu pour le site ou la région. On peut retrouver ces climats dans les enregistrements d’observation d’un site (</w:t>
      </w:r>
      <w:r w:rsidRPr="002E3A09">
        <w:t>analogues temporels</w:t>
      </w:r>
      <w:r w:rsidRPr="006E47ED">
        <w:t>) ou d’autres régions géographiques (</w:t>
      </w:r>
      <w:r w:rsidRPr="002E3A09">
        <w:t>analogues spatiaux</w:t>
      </w:r>
      <w:r w:rsidRPr="006E47ED">
        <w:t>). Ces enregistrements peuvent servir à évaluer les répercussions des changements de climat sur un projet et offrent l’avantage d’illustrer les conditions qui ont été effectivement observées. Toutefois, puisque les causes du climat analogue sont très probablement dues à des changements dans la circulation atmosphérique, plutôt qu’induites par les gaz à effet de serre, les scénarios de ce genre ne sauraient être normalement recommandés pour représenter le climat futur dans les évaluations quantitatives des répercussions.</w:t>
      </w:r>
      <w:bookmarkEnd w:id="646"/>
      <w:r w:rsidRPr="006E47ED">
        <w:t xml:space="preserve"> </w:t>
      </w:r>
    </w:p>
    <w:p w14:paraId="46B0C4B5" w14:textId="77777777" w:rsidR="004E687C" w:rsidRPr="006E47ED" w:rsidRDefault="004E687C" w:rsidP="004E687C">
      <w:pPr>
        <w:pStyle w:val="Corpsdetexte"/>
        <w:tabs>
          <w:tab w:val="left" w:pos="2693"/>
        </w:tabs>
      </w:pPr>
      <w:bookmarkStart w:id="647" w:name="_Toc192820627"/>
      <w:r w:rsidRPr="006E47ED">
        <w:t>L’hypothèse de base associée aux scénarios analogiques temporels et spatiaux est que le climat réagira de la même façon à un changement unitaire de forçage quelle que soit sa source et même si les conditions aux limites sont différentes.</w:t>
      </w:r>
      <w:bookmarkEnd w:id="647"/>
      <w:r w:rsidRPr="006E47ED">
        <w:t xml:space="preserve"> </w:t>
      </w:r>
    </w:p>
    <w:p w14:paraId="06773F0E" w14:textId="77777777" w:rsidR="004E687C" w:rsidRPr="00D57AFB" w:rsidRDefault="004E687C" w:rsidP="004E687C">
      <w:pPr>
        <w:numPr>
          <w:ilvl w:val="0"/>
          <w:numId w:val="176"/>
        </w:numPr>
        <w:spacing w:before="120" w:after="120" w:line="240" w:lineRule="auto"/>
        <w:ind w:left="1434" w:hanging="357"/>
        <w:rPr>
          <w:rFonts w:ascii="Arial" w:hAnsi="Arial" w:cs="Arial"/>
          <w:b/>
          <w:bCs/>
          <w:i/>
          <w:iCs/>
          <w:color w:val="00CC00"/>
        </w:rPr>
      </w:pPr>
      <w:r w:rsidRPr="00D57AFB">
        <w:rPr>
          <w:rFonts w:ascii="Arial" w:hAnsi="Arial" w:cs="Arial"/>
          <w:b/>
          <w:bCs/>
          <w:i/>
          <w:iCs/>
          <w:color w:val="00CC00"/>
        </w:rPr>
        <w:t xml:space="preserve">Analogues temporels (GIEC-TGCIA, 1999) </w:t>
      </w:r>
    </w:p>
    <w:p w14:paraId="27BAB3C2" w14:textId="77777777" w:rsidR="004E687C" w:rsidRPr="0045297F" w:rsidRDefault="004E687C" w:rsidP="004E687C">
      <w:pPr>
        <w:pStyle w:val="Corpsdetexte"/>
        <w:tabs>
          <w:tab w:val="left" w:pos="2693"/>
        </w:tabs>
      </w:pPr>
      <w:bookmarkStart w:id="648" w:name="_Toc192820628"/>
      <w:r w:rsidRPr="0045297F">
        <w:t>Les périodes climatiques du passé peuvent fournir des analogues d’éventuelles conditions climatiques futures. Ces analogues peuvent être construits à partir des données paléo</w:t>
      </w:r>
      <w:r>
        <w:t>-</w:t>
      </w:r>
      <w:r w:rsidRPr="0045297F">
        <w:t>climatologiques tirées de l’enregistrement géologique ou de l’enregis</w:t>
      </w:r>
      <w:r>
        <w:t>trement instrumental historique</w:t>
      </w:r>
      <w:r w:rsidRPr="0045297F">
        <w:t xml:space="preserve">. L’analogue temporel ne doit pas nécessairement </w:t>
      </w:r>
      <w:r>
        <w:t xml:space="preserve">provenir du même site étudié </w:t>
      </w:r>
      <w:r w:rsidRPr="0045297F">
        <w:t xml:space="preserve">mais, si on sélectionne un autre endroit pour illustrer les conditions au site, les caractéristiques de cet endroit doivent ressembler le plus possible à celles du site </w:t>
      </w:r>
      <w:r>
        <w:t>étudié</w:t>
      </w:r>
      <w:r w:rsidRPr="0045297F">
        <w:t>.</w:t>
      </w:r>
      <w:bookmarkEnd w:id="648"/>
      <w:r w:rsidRPr="0045297F">
        <w:t xml:space="preserve"> </w:t>
      </w:r>
    </w:p>
    <w:p w14:paraId="408EF1BE" w14:textId="77777777" w:rsidR="004E687C" w:rsidRPr="00D57AFB" w:rsidRDefault="004E687C" w:rsidP="004E687C">
      <w:pPr>
        <w:numPr>
          <w:ilvl w:val="0"/>
          <w:numId w:val="176"/>
        </w:numPr>
        <w:spacing w:before="120" w:after="120" w:line="240" w:lineRule="auto"/>
        <w:ind w:left="1434" w:hanging="357"/>
        <w:rPr>
          <w:rFonts w:ascii="Arial" w:hAnsi="Arial" w:cs="Arial"/>
          <w:b/>
          <w:bCs/>
          <w:i/>
          <w:iCs/>
          <w:color w:val="FF9900"/>
        </w:rPr>
      </w:pPr>
      <w:r w:rsidRPr="00D57AFB">
        <w:rPr>
          <w:rFonts w:ascii="Arial" w:hAnsi="Arial" w:cs="Arial"/>
          <w:b/>
          <w:bCs/>
          <w:i/>
          <w:iCs/>
          <w:color w:val="FF9900"/>
        </w:rPr>
        <w:t>Analogues paléo</w:t>
      </w:r>
      <w:r>
        <w:rPr>
          <w:rFonts w:ascii="Arial" w:hAnsi="Arial" w:cs="Arial"/>
          <w:b/>
          <w:bCs/>
          <w:i/>
          <w:iCs/>
          <w:color w:val="FF9900"/>
        </w:rPr>
        <w:t>c</w:t>
      </w:r>
      <w:r w:rsidRPr="00D57AFB">
        <w:rPr>
          <w:rFonts w:ascii="Arial" w:hAnsi="Arial" w:cs="Arial"/>
          <w:b/>
          <w:bCs/>
          <w:i/>
          <w:iCs/>
          <w:color w:val="FF9900"/>
        </w:rPr>
        <w:t xml:space="preserve">limatiques </w:t>
      </w:r>
    </w:p>
    <w:p w14:paraId="46DCDED0" w14:textId="77777777" w:rsidR="004E687C" w:rsidRPr="001072E1" w:rsidRDefault="004E687C" w:rsidP="004E687C">
      <w:pPr>
        <w:pStyle w:val="Corpsdetexte"/>
        <w:tabs>
          <w:tab w:val="left" w:pos="2693"/>
        </w:tabs>
      </w:pPr>
      <w:bookmarkStart w:id="649" w:name="_Toc192820629"/>
      <w:r w:rsidRPr="001072E1">
        <w:t xml:space="preserve">Il est possible de reconstruire les climats du passé à partir des informations de l’enregistrement géologique (p. ex., restes de flore et de faune fossiles et dépôts sédimentaires, anneaux de croissance des arbres « dendrochronologie », etc.). Il est possible d’obtenir l’information sur les régimes de température et de précipitations du passé à partir de ces indicateurs climatologiques substitutifs, puisque l’on connaît les conditions environnementales dans lesquelles vivent ces espères animales et végétales. Les indicateurs substitutifs de l’enregistrement géologique fournissent généralement des renseignements sur des climats du lointain passé (c.-à-d. entre 5 000 ans et plusieurs millions d’années avant le présent [BP]), tandis que l’information </w:t>
      </w:r>
      <w:proofErr w:type="spellStart"/>
      <w:r w:rsidRPr="001072E1">
        <w:t>dendro</w:t>
      </w:r>
      <w:proofErr w:type="spellEnd"/>
      <w:r>
        <w:t xml:space="preserve"> -</w:t>
      </w:r>
      <w:r w:rsidRPr="001072E1">
        <w:t>climatologique peut servir à obtenir les détails climatologiques du dernier millénaire.</w:t>
      </w:r>
      <w:bookmarkEnd w:id="649"/>
      <w:r w:rsidRPr="001072E1">
        <w:t xml:space="preserve">  </w:t>
      </w:r>
    </w:p>
    <w:p w14:paraId="225CB4C5" w14:textId="77777777" w:rsidR="004E687C" w:rsidRPr="001072E1" w:rsidRDefault="004E687C" w:rsidP="004E687C">
      <w:pPr>
        <w:pStyle w:val="Corpsdetexte"/>
        <w:tabs>
          <w:tab w:val="left" w:pos="2693"/>
        </w:tabs>
      </w:pPr>
      <w:bookmarkStart w:id="650" w:name="_Toc192820630"/>
      <w:r w:rsidRPr="001072E1">
        <w:t>Même si l’information paléo</w:t>
      </w:r>
      <w:r>
        <w:t>-</w:t>
      </w:r>
      <w:r w:rsidRPr="001072E1">
        <w:t>climatologique permet de construire des scénarios illustrant des conditions climatiques futures, son utilisation présente plusieurs inconvénients.</w:t>
      </w:r>
      <w:bookmarkEnd w:id="650"/>
      <w:r w:rsidRPr="001072E1">
        <w:t xml:space="preserve"> </w:t>
      </w:r>
    </w:p>
    <w:p w14:paraId="598FAFEC" w14:textId="77777777" w:rsidR="004E687C" w:rsidRDefault="004E687C" w:rsidP="004E687C">
      <w:pPr>
        <w:numPr>
          <w:ilvl w:val="0"/>
          <w:numId w:val="170"/>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Les changements climatiques du passé étaient peu probablement causés par une augmentation des concentrations de gaz à effet de serre, mais étaient probablement dus à des changements dans les caractéristiques de l’orbite de </w:t>
      </w:r>
      <w:smartTag w:uri="urn:schemas-microsoft-com:office:smarttags" w:element="PersonName">
        <w:smartTagPr>
          <w:attr w:name="ProductID" w:val="la Terre"/>
        </w:smartTagPr>
        <w:r>
          <w:rPr>
            <w:rFonts w:ascii="Arial" w:hAnsi="Arial" w:cs="Arial"/>
            <w:color w:val="000000"/>
            <w:sz w:val="19"/>
            <w:szCs w:val="19"/>
          </w:rPr>
          <w:t>la Terre</w:t>
        </w:r>
      </w:smartTag>
      <w:r>
        <w:rPr>
          <w:rFonts w:ascii="Arial" w:hAnsi="Arial" w:cs="Arial"/>
          <w:color w:val="000000"/>
          <w:sz w:val="19"/>
          <w:szCs w:val="19"/>
        </w:rPr>
        <w:t xml:space="preserve"> autour du Soleil. </w:t>
      </w:r>
    </w:p>
    <w:p w14:paraId="785CE013" w14:textId="77777777" w:rsidR="004E687C" w:rsidRDefault="004E687C" w:rsidP="004E687C">
      <w:pPr>
        <w:numPr>
          <w:ilvl w:val="0"/>
          <w:numId w:val="170"/>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Il peut exister de fortes incertitudes touchantes, par exemple, la datation de l’information ; de plus, les reconstructions ne sont généralement pas complètes sur le plan géographique. En outre, on ne dispose que des renseignements sur les moyennes de température et de précipitations, ce qui limite l’utilisation de ces données pour la construction de scénarios de changement climatique (infraction au critère 3du paragraphe 3.2). </w:t>
      </w:r>
    </w:p>
    <w:p w14:paraId="1E0D35F6" w14:textId="77777777" w:rsidR="004E687C" w:rsidRDefault="004E687C" w:rsidP="004E687C">
      <w:pPr>
        <w:numPr>
          <w:ilvl w:val="0"/>
          <w:numId w:val="170"/>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En règle générale, seuls les détails des conditions moyennes et, encore là, souvent uniquement saisonnières, prévalant par le passé peuvent être établis à partir de reconstructions ; il est rare que l’on dispose de renseignements fiables sur la variabilité du climat ou sur la fréquence des événements extrêmes. </w:t>
      </w:r>
    </w:p>
    <w:p w14:paraId="7BDBD7FC" w14:textId="77777777" w:rsidR="004E687C" w:rsidRDefault="004E687C" w:rsidP="004E687C">
      <w:pPr>
        <w:numPr>
          <w:ilvl w:val="0"/>
          <w:numId w:val="170"/>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Dans nombre de cas, le climat reconstruit est un climat fixe ou à l’équilibre en ce qui a trait au processus à long terme de réaction de la végétation au climat, et pourrait être bien différent, dans sa nature, du changement climatique transitoire prévu pour le XXI</w:t>
      </w:r>
      <w:r>
        <w:rPr>
          <w:rFonts w:ascii="Arial" w:hAnsi="Arial" w:cs="Arial"/>
          <w:color w:val="000000"/>
          <w:sz w:val="19"/>
          <w:szCs w:val="19"/>
          <w:vertAlign w:val="superscript"/>
        </w:rPr>
        <w:t>e</w:t>
      </w:r>
      <w:r>
        <w:rPr>
          <w:rFonts w:ascii="Arial" w:hAnsi="Arial" w:cs="Arial"/>
          <w:color w:val="000000"/>
          <w:sz w:val="19"/>
          <w:szCs w:val="19"/>
        </w:rPr>
        <w:t xml:space="preserve"> siècle. </w:t>
      </w:r>
    </w:p>
    <w:p w14:paraId="3BF9D289" w14:textId="77777777" w:rsidR="004E687C" w:rsidRDefault="004E687C" w:rsidP="004E687C">
      <w:pPr>
        <w:numPr>
          <w:ilvl w:val="0"/>
          <w:numId w:val="170"/>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Les reconstructions paléoclimatiques les plus fiables tendent à illustrer des changements climatiques qui se situent à l’extrémité inférieure de la plage du réchauffement climatique futur prévu, de sorte que les scénarios analogiques temporels dérivés de ce type de renseignements pourraient ne pas illustrer la plage de conditions climatiques futures éventuelles (infraction au critère 4). </w:t>
      </w:r>
    </w:p>
    <w:p w14:paraId="7A0EB280" w14:textId="77777777" w:rsidR="004E687C" w:rsidRPr="00F01656" w:rsidRDefault="004E687C" w:rsidP="004E687C">
      <w:pPr>
        <w:numPr>
          <w:ilvl w:val="0"/>
          <w:numId w:val="176"/>
        </w:numPr>
        <w:spacing w:before="100" w:beforeAutospacing="1" w:after="100" w:afterAutospacing="1" w:line="240" w:lineRule="auto"/>
        <w:rPr>
          <w:rFonts w:ascii="Arial" w:hAnsi="Arial" w:cs="Arial"/>
          <w:b/>
          <w:bCs/>
          <w:i/>
          <w:iCs/>
          <w:color w:val="660066"/>
        </w:rPr>
      </w:pPr>
      <w:r w:rsidRPr="00F01656">
        <w:rPr>
          <w:rFonts w:ascii="Arial" w:hAnsi="Arial" w:cs="Arial"/>
          <w:b/>
          <w:bCs/>
          <w:i/>
          <w:iCs/>
          <w:color w:val="660066"/>
        </w:rPr>
        <w:t xml:space="preserve">Analogues instrumentaux </w:t>
      </w:r>
    </w:p>
    <w:p w14:paraId="20E2C573" w14:textId="77777777" w:rsidR="004E687C" w:rsidRDefault="004E687C" w:rsidP="004E687C">
      <w:pPr>
        <w:pStyle w:val="Corpsdetexte"/>
        <w:tabs>
          <w:tab w:val="left" w:pos="2693"/>
        </w:tabs>
      </w:pPr>
      <w:bookmarkStart w:id="651" w:name="_Toc192820631"/>
      <w:r w:rsidRPr="001072E1">
        <w:t xml:space="preserve">Les analogues instrumentaux sont beaucoup plus utiles pour la construction de scénarios de changement climatique que leurs homologues paléoclimatiques. On utilise l’enregistrement instrumental pour identifier les périodes antérieures de </w:t>
      </w:r>
      <w:r>
        <w:t>conditions semblables à celles du futur.</w:t>
      </w:r>
      <w:r w:rsidRPr="001072E1">
        <w:t xml:space="preserve"> </w:t>
      </w:r>
      <w:r>
        <w:t>Il est</w:t>
      </w:r>
      <w:r w:rsidRPr="001072E1">
        <w:t xml:space="preserve"> possible de choisir des périodes de réchauffement, de sécheresse ou d’humidité à partir de l’enregistrement d’une station individuelle et d’utiliser des données des années pertinentes comme scénarios climatiques futurs possibles</w:t>
      </w:r>
      <w:r>
        <w:t>.</w:t>
      </w:r>
      <w:r w:rsidRPr="001072E1">
        <w:t xml:space="preserve"> </w:t>
      </w:r>
      <w:r>
        <w:t>Dans les conditions du possible, i</w:t>
      </w:r>
      <w:r w:rsidRPr="001072E1">
        <w:t>l</w:t>
      </w:r>
      <w:r>
        <w:t xml:space="preserve"> </w:t>
      </w:r>
      <w:r w:rsidRPr="001072E1">
        <w:t>est préférable que le choix de ces périodes soit lié aux conditions à l’échelle de l’hémisphère ou de la planète, plutôt que tiré de l’enregistrement de la station sans égard aux conditions à plus grande échelle.</w:t>
      </w:r>
      <w:bookmarkEnd w:id="651"/>
    </w:p>
    <w:p w14:paraId="36BD8473" w14:textId="77777777" w:rsidR="004E687C" w:rsidRPr="001072E1" w:rsidRDefault="004E687C" w:rsidP="004E687C">
      <w:pPr>
        <w:pStyle w:val="Corpsdetexte"/>
        <w:tabs>
          <w:tab w:val="left" w:pos="2693"/>
        </w:tabs>
      </w:pPr>
      <w:bookmarkStart w:id="652" w:name="_Toc192820632"/>
      <w:r>
        <w:t>O</w:t>
      </w:r>
      <w:r w:rsidRPr="001072E1">
        <w:t xml:space="preserve">n </w:t>
      </w:r>
      <w:r>
        <w:t xml:space="preserve">doit </w:t>
      </w:r>
      <w:r w:rsidRPr="001072E1">
        <w:t>veiller à ce que les données de la station utilisées illustrent une réaction plausible du climat local aux projections à grande échelle du climat futur.</w:t>
      </w:r>
      <w:bookmarkEnd w:id="652"/>
      <w:r w:rsidRPr="001072E1">
        <w:t xml:space="preserve"> </w:t>
      </w:r>
    </w:p>
    <w:p w14:paraId="1F8F080C" w14:textId="77777777" w:rsidR="004E687C" w:rsidRPr="001072E1" w:rsidRDefault="004E687C" w:rsidP="004E687C">
      <w:pPr>
        <w:pStyle w:val="Corpsdetexte"/>
        <w:tabs>
          <w:tab w:val="left" w:pos="2693"/>
        </w:tabs>
      </w:pPr>
      <w:bookmarkStart w:id="653" w:name="_Toc192820633"/>
      <w:r w:rsidRPr="001072E1">
        <w:t>Les analogues instrumentaux sont généralement plus conformes aux critères de scénarios définis au point 3.2.</w:t>
      </w:r>
      <w:r>
        <w:t xml:space="preserve"> </w:t>
      </w:r>
      <w:proofErr w:type="gramStart"/>
      <w:r w:rsidRPr="001072E1">
        <w:t>et</w:t>
      </w:r>
      <w:proofErr w:type="gramEnd"/>
      <w:r w:rsidRPr="001072E1">
        <w:t xml:space="preserve"> offrent les avantages suivants :</w:t>
      </w:r>
      <w:bookmarkEnd w:id="653"/>
      <w:r w:rsidRPr="001072E1">
        <w:t xml:space="preserve"> </w:t>
      </w:r>
    </w:p>
    <w:p w14:paraId="4D3466C9" w14:textId="77777777" w:rsidR="004E687C" w:rsidRDefault="004E687C" w:rsidP="004E687C">
      <w:pPr>
        <w:numPr>
          <w:ilvl w:val="0"/>
          <w:numId w:val="171"/>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Les conditions climatiques illustrées par ces types de scénarios ont été effectivement observées et sont donc physiquement plausibles et intrinsèquement cohérentes (critère 2). </w:t>
      </w:r>
    </w:p>
    <w:p w14:paraId="6E581039" w14:textId="77777777" w:rsidR="004E687C" w:rsidRDefault="004E687C" w:rsidP="004E687C">
      <w:pPr>
        <w:numPr>
          <w:ilvl w:val="0"/>
          <w:numId w:val="171"/>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L’information sur un grand nombre de variables climatiques peut généralement être tirée de l’enregistrement instrumental et aux échelles temporelles habituellement requises dans les évaluations des impacts et les EE (critère 3). </w:t>
      </w:r>
    </w:p>
    <w:p w14:paraId="4373476E" w14:textId="77777777" w:rsidR="004E687C" w:rsidRPr="005D0844" w:rsidRDefault="004E687C" w:rsidP="004E687C">
      <w:pPr>
        <w:pStyle w:val="Corpsdetexte"/>
        <w:tabs>
          <w:tab w:val="left" w:pos="2693"/>
        </w:tabs>
      </w:pPr>
      <w:bookmarkStart w:id="654" w:name="_Toc192820634"/>
      <w:bookmarkStart w:id="655" w:name="_Toc192821040"/>
      <w:bookmarkStart w:id="656" w:name="_Toc192821169"/>
      <w:bookmarkStart w:id="657" w:name="_Toc343596135"/>
      <w:bookmarkStart w:id="658" w:name="_Toc343596286"/>
      <w:r w:rsidRPr="00F01656">
        <w:rPr>
          <w:b/>
          <w:bCs/>
          <w:color w:val="660066"/>
        </w:rPr>
        <w:t>Toutefois, ils présentent également des inconvénients similaires aux analogues paléoclimatiques, à savoir</w:t>
      </w:r>
      <w:r w:rsidRPr="005D0844">
        <w:t xml:space="preserve"> :</w:t>
      </w:r>
      <w:bookmarkEnd w:id="654"/>
      <w:bookmarkEnd w:id="655"/>
      <w:bookmarkEnd w:id="656"/>
      <w:bookmarkEnd w:id="657"/>
      <w:bookmarkEnd w:id="658"/>
      <w:r w:rsidRPr="005D0844">
        <w:t xml:space="preserve"> </w:t>
      </w:r>
    </w:p>
    <w:p w14:paraId="38881004" w14:textId="77777777" w:rsidR="004E687C" w:rsidRDefault="004E687C" w:rsidP="004E687C">
      <w:pPr>
        <w:numPr>
          <w:ilvl w:val="0"/>
          <w:numId w:val="172"/>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L’ampleur du réchauffement que l’on peut tirer de l’enregistrement d’observation se situe généralement à l’extrémité inférieure du réchauffement futur prévu. </w:t>
      </w:r>
    </w:p>
    <w:p w14:paraId="56DB471D" w14:textId="77777777" w:rsidR="004E687C" w:rsidRDefault="004E687C" w:rsidP="004E687C">
      <w:pPr>
        <w:numPr>
          <w:ilvl w:val="0"/>
          <w:numId w:val="172"/>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Il est peu probable que les périodes passées de réchauffement planétaire repérées dans l’enregistrement instrumental soient le résultat de changements des concentrations atmosphériques des gaz à effet de serre ; ils sont probablement plutôt dus à des changements de la circulation atmosphérique. </w:t>
      </w:r>
    </w:p>
    <w:p w14:paraId="3543FF53" w14:textId="77777777" w:rsidR="004E687C" w:rsidRDefault="004E687C" w:rsidP="004E687C">
      <w:pPr>
        <w:numPr>
          <w:ilvl w:val="0"/>
          <w:numId w:val="172"/>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Ils n’illustrent pas la plage entière des climats futurs possibles (infraction au critère 4). </w:t>
      </w:r>
    </w:p>
    <w:p w14:paraId="0CA6DA30" w14:textId="77777777" w:rsidR="004E687C" w:rsidRPr="00F01656" w:rsidRDefault="004E687C" w:rsidP="004E687C">
      <w:pPr>
        <w:numPr>
          <w:ilvl w:val="0"/>
          <w:numId w:val="176"/>
        </w:numPr>
        <w:spacing w:before="100" w:beforeAutospacing="1" w:after="100" w:afterAutospacing="1" w:line="240" w:lineRule="auto"/>
        <w:rPr>
          <w:rFonts w:ascii="Arial" w:hAnsi="Arial" w:cs="Arial"/>
          <w:b/>
          <w:bCs/>
          <w:i/>
          <w:iCs/>
          <w:color w:val="A8D08D" w:themeColor="accent6" w:themeTint="99"/>
        </w:rPr>
      </w:pPr>
      <w:r w:rsidRPr="00F01656">
        <w:rPr>
          <w:rFonts w:ascii="Arial" w:hAnsi="Arial" w:cs="Arial"/>
          <w:b/>
          <w:bCs/>
          <w:i/>
          <w:iCs/>
          <w:color w:val="A8D08D" w:themeColor="accent6" w:themeTint="99"/>
        </w:rPr>
        <w:t xml:space="preserve">Analogues spatiaux </w:t>
      </w:r>
    </w:p>
    <w:p w14:paraId="780D1E67" w14:textId="77777777" w:rsidR="004E687C" w:rsidRPr="00E8100B" w:rsidRDefault="004E687C" w:rsidP="004E687C">
      <w:pPr>
        <w:pStyle w:val="Corpsdetexte"/>
        <w:tabs>
          <w:tab w:val="left" w:pos="2693"/>
        </w:tabs>
      </w:pPr>
      <w:bookmarkStart w:id="659" w:name="_Toc192820635"/>
      <w:r w:rsidRPr="00E8100B">
        <w:t>On entend par analogues spatiaux des régions qui ont actuellement un climat analogue à celui prévu pour l’avenir dans la région étudiée. Essentiellement, on présume que l’enregistrement climatique d’un endroit illustre le climat futur d’un autre endroit. De façon générale, la température moyenne sert à définir les régions analogiques, les enregistrements climatologiques complets des emplacements de la région actuelle étant utilisés pour fournir les renseignements sur le scénario climatique de la région étudiée.</w:t>
      </w:r>
      <w:bookmarkEnd w:id="659"/>
      <w:r w:rsidRPr="00E8100B">
        <w:t xml:space="preserve"> </w:t>
      </w:r>
    </w:p>
    <w:p w14:paraId="2A5453C0" w14:textId="77777777" w:rsidR="004E687C" w:rsidRPr="00E8100B" w:rsidRDefault="004E687C" w:rsidP="004E687C">
      <w:pPr>
        <w:pStyle w:val="Corpsdetexte"/>
        <w:tabs>
          <w:tab w:val="left" w:pos="2693"/>
        </w:tabs>
      </w:pPr>
      <w:bookmarkStart w:id="660" w:name="_Toc192820636"/>
      <w:r w:rsidRPr="00E8100B">
        <w:t>Les avantages liés à cette méthode de construction de scénarios sont très semblables à ceux des analogues instrumentaux.</w:t>
      </w:r>
      <w:bookmarkEnd w:id="660"/>
      <w:r w:rsidRPr="00E8100B">
        <w:t xml:space="preserve"> </w:t>
      </w:r>
    </w:p>
    <w:p w14:paraId="001DA9D2" w14:textId="77777777" w:rsidR="004E687C" w:rsidRDefault="004E687C" w:rsidP="004E687C">
      <w:pPr>
        <w:numPr>
          <w:ilvl w:val="0"/>
          <w:numId w:val="173"/>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Les analogues sont intrinsèquement cohérents, puisqu’ils sont dérivés de données climatologiques d’observation (critère 2). </w:t>
      </w:r>
    </w:p>
    <w:p w14:paraId="0D089231" w14:textId="77777777" w:rsidR="004E687C" w:rsidRDefault="004E687C" w:rsidP="004E687C">
      <w:pPr>
        <w:numPr>
          <w:ilvl w:val="0"/>
          <w:numId w:val="173"/>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Il existe pour nombre d’endroits des enregistrements instrumentaux intrinsèquement cohérents et complets, englobant plusieurs variables climatiques, et on peut tirer des scénarios pour d’autres régions géographiques ayant un climat analogue à celui prévu pour l’avenir au site canadien (critère 3). </w:t>
      </w:r>
    </w:p>
    <w:p w14:paraId="1CDD1E6C" w14:textId="77777777" w:rsidR="004E687C" w:rsidRPr="00E8100B" w:rsidRDefault="004E687C" w:rsidP="004E687C">
      <w:pPr>
        <w:pStyle w:val="Corpsdetexte"/>
        <w:tabs>
          <w:tab w:val="left" w:pos="2693"/>
        </w:tabs>
      </w:pPr>
      <w:bookmarkStart w:id="661" w:name="_Toc192820637"/>
      <w:r w:rsidRPr="00E8100B">
        <w:t>Toutefois, le principal inconvénient des analogues spatiaux utilisés comme scénarios du climat futur tient à :</w:t>
      </w:r>
      <w:bookmarkEnd w:id="661"/>
      <w:r w:rsidRPr="00E8100B">
        <w:t xml:space="preserve"> </w:t>
      </w:r>
    </w:p>
    <w:p w14:paraId="69E4D510" w14:textId="77777777" w:rsidR="004E687C" w:rsidRDefault="004E687C" w:rsidP="004E687C">
      <w:pPr>
        <w:numPr>
          <w:ilvl w:val="0"/>
          <w:numId w:val="174"/>
        </w:numPr>
        <w:spacing w:before="100" w:beforeAutospacing="1" w:after="100" w:afterAutospacing="1" w:line="240" w:lineRule="auto"/>
        <w:jc w:val="both"/>
        <w:rPr>
          <w:rFonts w:ascii="Arial" w:hAnsi="Arial" w:cs="Arial"/>
          <w:color w:val="000000"/>
          <w:sz w:val="19"/>
          <w:szCs w:val="19"/>
        </w:rPr>
      </w:pPr>
      <w:r>
        <w:rPr>
          <w:rFonts w:ascii="Arial" w:hAnsi="Arial" w:cs="Arial"/>
          <w:color w:val="000000"/>
          <w:sz w:val="19"/>
          <w:szCs w:val="19"/>
        </w:rPr>
        <w:t xml:space="preserve">L’absence de correspondance entre certaines caractéristiques comme la durée du jour, la couverture végétale, le type de sol, la proximité de plans d’eau et d’autres accidents géographiques. Il est donc peu probable que le scénario analogique illustre des conditions physiquement plausibles pour le site du projet à l’avenir. </w:t>
      </w:r>
    </w:p>
    <w:p w14:paraId="0ACEAE7B" w14:textId="77777777" w:rsidR="004E687C" w:rsidRPr="00B64F8D" w:rsidRDefault="004E687C" w:rsidP="004E687C">
      <w:pPr>
        <w:pStyle w:val="Titre3"/>
        <w:numPr>
          <w:ilvl w:val="2"/>
          <w:numId w:val="194"/>
        </w:numPr>
        <w:tabs>
          <w:tab w:val="clear" w:pos="2340"/>
          <w:tab w:val="num" w:pos="709"/>
        </w:tabs>
        <w:ind w:left="567" w:hanging="567"/>
        <w:jc w:val="both"/>
      </w:pPr>
      <w:bookmarkStart w:id="662" w:name="_Toc192820638"/>
      <w:bookmarkStart w:id="663" w:name="_Toc192821041"/>
      <w:bookmarkStart w:id="664" w:name="_Toc192821170"/>
      <w:bookmarkStart w:id="665" w:name="_Toc343596136"/>
      <w:bookmarkStart w:id="666" w:name="_Toc191284999"/>
      <w:r w:rsidRPr="002E3A09">
        <w:t>Scénarios découlant des MCG</w:t>
      </w:r>
      <w:bookmarkEnd w:id="662"/>
      <w:bookmarkEnd w:id="663"/>
      <w:bookmarkEnd w:id="664"/>
      <w:bookmarkEnd w:id="665"/>
      <w:bookmarkEnd w:id="666"/>
      <w:r w:rsidRPr="00B64F8D">
        <w:t xml:space="preserve"> </w:t>
      </w:r>
    </w:p>
    <w:p w14:paraId="36085071" w14:textId="77777777" w:rsidR="004E687C" w:rsidRPr="00E8100B" w:rsidRDefault="004E687C" w:rsidP="004E687C">
      <w:pPr>
        <w:pStyle w:val="Corpsdetexte"/>
        <w:tabs>
          <w:tab w:val="left" w:pos="2693"/>
        </w:tabs>
      </w:pPr>
      <w:bookmarkStart w:id="667" w:name="_Toc192820639"/>
      <w:r w:rsidRPr="00E8100B">
        <w:t>D’après le GIEC (GEIC-TGCIA, 1999), les modèles du climat du globe (MCG), également appelés modèles de circulation générale, sont les seuls outils crédibles qui existent actuellement pour simuler la réaction du système climatique mondial à l’augmentation des concentrations de gaz à effet de serre. Il s’agit de modèles tridimensionnels de l’atmosphère et de l’océan, qu’on utilise pour étudier les effets des changements de la composition atmosphérique sur le climat planétaire. Les MCG les plus récents peuvent établir la distinction entre l’effet de réchauffement des gaz à effet de serre et l’effet régional de refroidissement des aérosols sulfatés.</w:t>
      </w:r>
      <w:bookmarkEnd w:id="667"/>
      <w:r w:rsidRPr="00E8100B">
        <w:t xml:space="preserve"> </w:t>
      </w:r>
    </w:p>
    <w:p w14:paraId="7802DBE2" w14:textId="77777777" w:rsidR="004E687C" w:rsidRPr="00E8100B" w:rsidRDefault="004E687C" w:rsidP="004E687C">
      <w:pPr>
        <w:pStyle w:val="Corpsdetexte"/>
        <w:tabs>
          <w:tab w:val="left" w:pos="2693"/>
        </w:tabs>
      </w:pPr>
      <w:bookmarkStart w:id="668" w:name="_Toc192820640"/>
      <w:r w:rsidRPr="00E8100B">
        <w:t>Les aérosols sulfatés ont une incidence directe sur le climat en dispersant et absorbant le rayonnement solaire et, indirectement, en modifiant les propriétés et la durée des nuages, l’effet net étant un refroidissement de la surface. Actuellement, pour la plupart, les modèles du climat du globe ne simulent que les effets directs des aérosols sulfatés. Contrairement aux gaz à effet de serre, les aérosols sulfatés ont une durée de vie atmosphérique relativement brève. Ils sont surtout produits dans les régions industrielles et, selon les conditions atmosphériques, peuvent retomber avec la pluie en quelques jours. Pour simuler adéquatement les effets atmosphériques des aérosols sulfatés, les MCG doivent pouvoir reproduire la variation géographique de leurs concentrations dans l’atmosphère. La répartition des émissions d’aérosols peut varier considérablement d’une saison et d’une décennie à l’autre, en fonction des sources et des volumes d’émissions de sulfates, ce qui ajoute une autre source d’incertitude à la simulation du climat futur.</w:t>
      </w:r>
      <w:bookmarkEnd w:id="668"/>
      <w:r w:rsidRPr="00E8100B">
        <w:t xml:space="preserve"> </w:t>
      </w:r>
    </w:p>
    <w:p w14:paraId="20BA6F54" w14:textId="77777777" w:rsidR="004E687C" w:rsidRPr="00E8100B" w:rsidRDefault="004E687C" w:rsidP="004E687C">
      <w:pPr>
        <w:pStyle w:val="Corpsdetexte"/>
        <w:tabs>
          <w:tab w:val="left" w:pos="2693"/>
        </w:tabs>
      </w:pPr>
      <w:bookmarkStart w:id="669" w:name="_Toc192820641"/>
      <w:r w:rsidRPr="00E8100B">
        <w:t xml:space="preserve">Il existe maintenant de nombreuses expériences de MCG qui sont utilisables dans les études sur le changement climatique. Pour les spécialistes de l’évaluation des répercussions et de l’environnement qui ne sont pas familiers avec les études par MCG, le choix des expériences est vaste et, très probablement, porte à confusion. Même pour les profanes, il y a toujours eu certaines limites à l’ampleur du choix (p. ex., certaines expériences n’ont peut-être pas été entièrement archivées sous une forme accessible et publique, les variables climatiques nécessaires n’étaient peut-être pas disponibles et, dans certains cas, les chercheurs ne connaissaient pas certaines sources de renseignements des MCG). Dans le </w:t>
      </w:r>
      <w:r>
        <w:t>troisième</w:t>
      </w:r>
      <w:r w:rsidRPr="00E8100B">
        <w:t xml:space="preserve"> rapport d’évaluation du GIEC (GIEC, </w:t>
      </w:r>
      <w:r>
        <w:t>2001</w:t>
      </w:r>
      <w:r w:rsidRPr="00E8100B">
        <w:t xml:space="preserve">), on a </w:t>
      </w:r>
      <w:r>
        <w:t xml:space="preserve">réduit le nombre d’expériences MCG </w:t>
      </w:r>
      <w:proofErr w:type="gramStart"/>
      <w:r>
        <w:t xml:space="preserve">en </w:t>
      </w:r>
      <w:r w:rsidRPr="00E8100B">
        <w:t xml:space="preserve"> </w:t>
      </w:r>
      <w:r>
        <w:t>7</w:t>
      </w:r>
      <w:proofErr w:type="gramEnd"/>
      <w:r w:rsidRPr="00E8100B">
        <w:t xml:space="preserve"> </w:t>
      </w:r>
      <w:r>
        <w:t>au lieu de 24 dans le GIEC1996.</w:t>
      </w:r>
      <w:bookmarkEnd w:id="669"/>
      <w:r>
        <w:t xml:space="preserve"> </w:t>
      </w:r>
    </w:p>
    <w:p w14:paraId="2B4DB7AB" w14:textId="77777777" w:rsidR="004E687C" w:rsidRPr="00E8100B" w:rsidRDefault="004E687C" w:rsidP="004E687C">
      <w:pPr>
        <w:pStyle w:val="Corpsdetexte"/>
        <w:tabs>
          <w:tab w:val="left" w:pos="2693"/>
        </w:tabs>
      </w:pPr>
      <w:bookmarkStart w:id="670" w:name="_Toc192820642"/>
      <w:r w:rsidRPr="00E8100B">
        <w:t xml:space="preserve">Smith et </w:t>
      </w:r>
      <w:proofErr w:type="spellStart"/>
      <w:r w:rsidRPr="00E8100B">
        <w:t>Hulme</w:t>
      </w:r>
      <w:proofErr w:type="spellEnd"/>
      <w:r w:rsidRPr="00E8100B">
        <w:t xml:space="preserve"> (1998) ont préconisé un certain nombre de critères pour orienter la sélection des expériences MCG :</w:t>
      </w:r>
      <w:bookmarkEnd w:id="670"/>
      <w:r w:rsidRPr="00E8100B">
        <w:t xml:space="preserve"> </w:t>
      </w:r>
    </w:p>
    <w:p w14:paraId="5F8BDFE7" w14:textId="77777777" w:rsidR="004E687C" w:rsidRDefault="004E687C" w:rsidP="004E687C">
      <w:pPr>
        <w:numPr>
          <w:ilvl w:val="0"/>
          <w:numId w:val="175"/>
        </w:numPr>
        <w:spacing w:before="100" w:beforeAutospacing="1" w:after="100" w:afterAutospacing="1" w:line="240" w:lineRule="auto"/>
        <w:jc w:val="both"/>
        <w:rPr>
          <w:rFonts w:ascii="Arial" w:hAnsi="Arial" w:cs="Arial"/>
          <w:color w:val="000000"/>
          <w:sz w:val="19"/>
          <w:szCs w:val="19"/>
        </w:rPr>
      </w:pPr>
      <w:r>
        <w:rPr>
          <w:rStyle w:val="lev"/>
          <w:rFonts w:ascii="Arial" w:hAnsi="Arial" w:cs="Arial"/>
          <w:color w:val="000000"/>
        </w:rPr>
        <w:t xml:space="preserve">Année </w:t>
      </w:r>
      <w:r>
        <w:rPr>
          <w:rFonts w:ascii="Arial" w:hAnsi="Arial" w:cs="Arial"/>
          <w:color w:val="000000"/>
          <w:sz w:val="19"/>
          <w:szCs w:val="19"/>
        </w:rPr>
        <w:t xml:space="preserve">: Les expériences de MCG les plus récentes sont probablement plus fiables que les plus anciennes, puisqu’elles reposent sur des connaissances récentes, intègrent davantage de processus et de rétroactions et ont habituellement une résolution spatiale plus fine que les modèles précédents. </w:t>
      </w:r>
    </w:p>
    <w:p w14:paraId="14199762" w14:textId="77777777" w:rsidR="004E687C" w:rsidRDefault="004E687C" w:rsidP="004E687C">
      <w:pPr>
        <w:numPr>
          <w:ilvl w:val="0"/>
          <w:numId w:val="175"/>
        </w:numPr>
        <w:spacing w:before="100" w:beforeAutospacing="1" w:after="100" w:afterAutospacing="1" w:line="240" w:lineRule="auto"/>
        <w:jc w:val="both"/>
        <w:rPr>
          <w:rFonts w:ascii="Arial" w:hAnsi="Arial" w:cs="Arial"/>
          <w:color w:val="000000"/>
          <w:sz w:val="19"/>
          <w:szCs w:val="19"/>
        </w:rPr>
      </w:pPr>
      <w:r>
        <w:rPr>
          <w:rStyle w:val="lev"/>
          <w:rFonts w:ascii="Arial" w:hAnsi="Arial" w:cs="Arial"/>
          <w:color w:val="000000"/>
        </w:rPr>
        <w:t xml:space="preserve">Résolution </w:t>
      </w:r>
      <w:r>
        <w:rPr>
          <w:rFonts w:ascii="Arial" w:hAnsi="Arial" w:cs="Arial"/>
          <w:color w:val="000000"/>
          <w:sz w:val="19"/>
          <w:szCs w:val="19"/>
        </w:rPr>
        <w:t xml:space="preserve">: La résolution des MCG s’est accrue au fil du temps, en partie grâce aux progrès de la technologie informatique. Les modèles les plus récents ont des résolutions spatiales de l’ordre de </w:t>
      </w:r>
      <w:smartTag w:uri="urn:schemas-microsoft-com:office:smarttags" w:element="metricconverter">
        <w:smartTagPr>
          <w:attr w:name="ProductID" w:val="250 km"/>
        </w:smartTagPr>
        <w:r>
          <w:rPr>
            <w:rFonts w:ascii="Arial" w:hAnsi="Arial" w:cs="Arial"/>
            <w:color w:val="000000"/>
            <w:sz w:val="19"/>
            <w:szCs w:val="19"/>
          </w:rPr>
          <w:t>250 km</w:t>
        </w:r>
      </w:smartTag>
      <w:r>
        <w:rPr>
          <w:rFonts w:ascii="Arial" w:hAnsi="Arial" w:cs="Arial"/>
          <w:color w:val="000000"/>
          <w:sz w:val="19"/>
          <w:szCs w:val="19"/>
        </w:rPr>
        <w:t xml:space="preserve"> et environ 20 niveaux verticaux, comparativement à une résolution d’environ </w:t>
      </w:r>
      <w:smartTag w:uri="urn:schemas-microsoft-com:office:smarttags" w:element="metricconverter">
        <w:smartTagPr>
          <w:attr w:name="ProductID" w:val="1 000 km"/>
        </w:smartTagPr>
        <w:r>
          <w:rPr>
            <w:rFonts w:ascii="Arial" w:hAnsi="Arial" w:cs="Arial"/>
            <w:color w:val="000000"/>
            <w:sz w:val="19"/>
            <w:szCs w:val="19"/>
          </w:rPr>
          <w:t>1 000 km</w:t>
        </w:r>
      </w:smartTag>
      <w:r>
        <w:rPr>
          <w:rFonts w:ascii="Arial" w:hAnsi="Arial" w:cs="Arial"/>
          <w:color w:val="000000"/>
          <w:sz w:val="19"/>
          <w:szCs w:val="19"/>
        </w:rPr>
        <w:t xml:space="preserve"> et entre 2 et 10 niveaux verticaux dans les premiers MCG. Même si les modèles les plus récents comportent davantage de détails spatiaux, notamment, par exemple, des limites terre-mer mieux définies et une topographie plus complexe, leur performance n’est pas nécessairement supérieure. </w:t>
      </w:r>
    </w:p>
    <w:p w14:paraId="34D144BF" w14:textId="77777777" w:rsidR="004E687C" w:rsidRDefault="004E687C" w:rsidP="004E687C">
      <w:pPr>
        <w:numPr>
          <w:ilvl w:val="0"/>
          <w:numId w:val="175"/>
        </w:numPr>
        <w:spacing w:before="100" w:beforeAutospacing="1" w:after="100" w:afterAutospacing="1" w:line="240" w:lineRule="auto"/>
        <w:jc w:val="both"/>
        <w:rPr>
          <w:rFonts w:ascii="Arial" w:hAnsi="Arial" w:cs="Arial"/>
          <w:color w:val="000000"/>
          <w:sz w:val="19"/>
          <w:szCs w:val="19"/>
        </w:rPr>
      </w:pPr>
      <w:r>
        <w:rPr>
          <w:rStyle w:val="lev"/>
          <w:rFonts w:ascii="Arial" w:hAnsi="Arial" w:cs="Arial"/>
          <w:color w:val="000000"/>
        </w:rPr>
        <w:t xml:space="preserve">Validité </w:t>
      </w:r>
      <w:r>
        <w:rPr>
          <w:rFonts w:ascii="Arial" w:hAnsi="Arial" w:cs="Arial"/>
          <w:color w:val="000000"/>
          <w:sz w:val="19"/>
          <w:szCs w:val="19"/>
        </w:rPr>
        <w:t xml:space="preserve">: L’argument probablement le plus décisif pour le choix d’un MCG est celui de la performance du modèle (c.-à-d. sélection des MCG simulant le plus fidèlement le climat actuel). On suppose généralement que ce sont ces MCG qui donneront la représentation la plus fiable du climat futur. Toutefois, même si on peut recourir à des méthodes statistiques pour comparer les valeurs moyennes, la variabilité et les régimes climatiques des résultats des modèles et des données d’observation pour la période de base actuelle, le choix d’un MCG demeure subjectif et dépendra beaucoup de la région visée. La performance relative des MCG dépend essentiellement de la superficie d’une région, de sa situation, ainsi que des variables analysées. Il ne faut pas oublier que les comparaisons entre les données d’observation et les résultats du modèle doivent s’effectuer à la résolution du modèle, plutôt qu’à la résolution de l’ensemble de données d’observation. Les MCG fonctionnent à une résolution spatiale propre, et on ne peut leur demander de saisir des caractéristiques climatiques qui interviennent à une échelle inférieure à la maille. Il pourrait donc falloir ramener à l’échelle les données d’observation (c.-à-d. construire des climatologies régionales observées à partir des données de la station). Plutôt que d’essayer de trouver le modèle simulant le plus précisément le climat actuel, il vaudrait peut-être mieux identifier ceux dont la performance est inacceptable, particulièrement dans l’évaluation des caractéristiques climatiques qui sont d’une importance critique pour l’application des répercussions. Il existe actuellement un certain nombre de projets internationaux de comparaison des modèles, où l’on compare certains éléments des divers MCG afin de déterminer pourquoi la performance du modèle peut ne pas être particulièrement bonne dans certains cas. Il s’agit entre autres du Projet de comparaison des modèles de l’atmosphère (AMIP) et du projet de comparaison des modèles couplés (CMIP). On trouvera plus de détails sur ces projets et d’autres programmes connexes et leurs résultats à l’adresse Internet suivante : </w:t>
      </w:r>
      <w:hyperlink r:id="rId240" w:history="1">
        <w:r>
          <w:rPr>
            <w:rStyle w:val="Lienhypertexte"/>
            <w:rFonts w:ascii="Arial" w:hAnsi="Arial" w:cs="Arial"/>
            <w:sz w:val="19"/>
            <w:szCs w:val="19"/>
          </w:rPr>
          <w:t>http://www-pcmdi.llnl.gov/amip/</w:t>
        </w:r>
      </w:hyperlink>
      <w:r>
        <w:rPr>
          <w:rFonts w:ascii="Arial" w:hAnsi="Arial" w:cs="Arial"/>
          <w:color w:val="000000"/>
          <w:sz w:val="19"/>
          <w:szCs w:val="19"/>
        </w:rPr>
        <w:t xml:space="preserve">. Les responsables de l’évaluation des répercussions et de l’environnement sont invités à consulter ces renseignements avant d’entreprendre leurs propres analyses. </w:t>
      </w:r>
    </w:p>
    <w:p w14:paraId="5B472B6D" w14:textId="77777777" w:rsidR="004E687C" w:rsidRDefault="004E687C" w:rsidP="004E687C">
      <w:pPr>
        <w:numPr>
          <w:ilvl w:val="0"/>
          <w:numId w:val="175"/>
        </w:numPr>
        <w:spacing w:before="100" w:beforeAutospacing="1" w:after="100" w:afterAutospacing="1" w:line="240" w:lineRule="auto"/>
        <w:jc w:val="both"/>
        <w:rPr>
          <w:rFonts w:ascii="Arial" w:hAnsi="Arial" w:cs="Arial"/>
          <w:color w:val="000000"/>
          <w:sz w:val="19"/>
          <w:szCs w:val="19"/>
        </w:rPr>
      </w:pPr>
      <w:r>
        <w:rPr>
          <w:rStyle w:val="lev"/>
          <w:rFonts w:ascii="Arial" w:hAnsi="Arial" w:cs="Arial"/>
          <w:color w:val="000000"/>
        </w:rPr>
        <w:t xml:space="preserve">Représentativité des résultats </w:t>
      </w:r>
      <w:r>
        <w:rPr>
          <w:rFonts w:ascii="Arial" w:hAnsi="Arial" w:cs="Arial"/>
          <w:color w:val="000000"/>
          <w:sz w:val="19"/>
          <w:szCs w:val="19"/>
        </w:rPr>
        <w:t xml:space="preserve">: Il est fortement recommandé de recourir à plus d’un MCG dans toute évaluation de répercussion ou </w:t>
      </w:r>
      <w:proofErr w:type="gramStart"/>
      <w:r>
        <w:rPr>
          <w:rFonts w:ascii="Arial" w:hAnsi="Arial" w:cs="Arial"/>
          <w:color w:val="000000"/>
          <w:sz w:val="19"/>
          <w:szCs w:val="19"/>
        </w:rPr>
        <w:t>EE;</w:t>
      </w:r>
      <w:proofErr w:type="gramEnd"/>
      <w:r>
        <w:rPr>
          <w:rFonts w:ascii="Arial" w:hAnsi="Arial" w:cs="Arial"/>
          <w:color w:val="000000"/>
          <w:sz w:val="19"/>
          <w:szCs w:val="19"/>
        </w:rPr>
        <w:t xml:space="preserve"> les MCG sélectionnés doivent donner une plage de changements pour une variable climatique clé (p. ex., température, </w:t>
      </w:r>
      <w:proofErr w:type="gramStart"/>
      <w:r>
        <w:rPr>
          <w:rFonts w:ascii="Arial" w:hAnsi="Arial" w:cs="Arial"/>
          <w:color w:val="000000"/>
          <w:sz w:val="19"/>
          <w:szCs w:val="19"/>
        </w:rPr>
        <w:t>précipitations)dans</w:t>
      </w:r>
      <w:proofErr w:type="gramEnd"/>
      <w:r>
        <w:rPr>
          <w:rFonts w:ascii="Arial" w:hAnsi="Arial" w:cs="Arial"/>
          <w:color w:val="000000"/>
          <w:sz w:val="19"/>
          <w:szCs w:val="19"/>
        </w:rPr>
        <w:t xml:space="preserve"> la région étudiée. À l’échelle régionale, les MCG peuvent montrer de fortes différences dans leurs évaluations du changement climatique, particulièrement dans le cas de variables comme les précipitations, où l’un des modèles donnera des conditions plus humides et un autre, un assèchement important dans la région étudiée. Il est essentiel d’essayer de saisir cette gamme de conditions climatiques futures dans l’évaluation des répercussions du changement climatique. </w:t>
      </w:r>
    </w:p>
    <w:p w14:paraId="5459DED8" w14:textId="77777777" w:rsidR="004E687C" w:rsidRPr="00A81B82" w:rsidRDefault="004E687C" w:rsidP="004E687C">
      <w:pPr>
        <w:pStyle w:val="Corpsdetexte"/>
        <w:tabs>
          <w:tab w:val="left" w:pos="2693"/>
        </w:tabs>
      </w:pPr>
      <w:bookmarkStart w:id="671" w:name="_Toc192820643"/>
      <w:r w:rsidRPr="00A81B82">
        <w:t>Le GIEC-TGCIA partait de ces critères pour décider quelles expériences MCG seraient archivées et mises à disposition par l’entremise du CDD. De la sorte, les expériences disponibles via le CDD rendent compte des expériences des modèles de pointe et offrent une gamme représentative de résultats de divers MCG.</w:t>
      </w:r>
      <w:bookmarkEnd w:id="671"/>
      <w:r w:rsidRPr="00A81B82">
        <w:t xml:space="preserve"> </w:t>
      </w:r>
    </w:p>
    <w:p w14:paraId="16C6F40A" w14:textId="77777777" w:rsidR="004E687C" w:rsidRPr="00A81B82" w:rsidRDefault="004E687C" w:rsidP="004E687C">
      <w:pPr>
        <w:pStyle w:val="Corpsdetexte"/>
        <w:tabs>
          <w:tab w:val="left" w:pos="2693"/>
        </w:tabs>
      </w:pPr>
      <w:bookmarkStart w:id="672" w:name="_Toc192820644"/>
      <w:r w:rsidRPr="00A81B82">
        <w:t xml:space="preserve">D’après ces critères, le GIEC-TGCIA a sélectionné un certain nombre d’expériences de sept centres internationaux de modélisation du climat. Ces données </w:t>
      </w:r>
      <w:r>
        <w:t>sont</w:t>
      </w:r>
      <w:r w:rsidRPr="00A81B82">
        <w:t xml:space="preserve"> enrichies davantage d’expériences satisfaisant aux critères mentionnés. C’est pourquoi il faut utiliser d’abord les expériences disponibles du CDD dans les évaluations des répercussions, puisqu’elles respectent à la fois les critères du TGCIA et ceux préco</w:t>
      </w:r>
      <w:r>
        <w:t xml:space="preserve">nisés par Smith et </w:t>
      </w:r>
      <w:proofErr w:type="spellStart"/>
      <w:r>
        <w:t>Hulme</w:t>
      </w:r>
      <w:proofErr w:type="spellEnd"/>
      <w:r>
        <w:t xml:space="preserve"> (1998).</w:t>
      </w:r>
      <w:bookmarkEnd w:id="672"/>
    </w:p>
    <w:p w14:paraId="698CE8DD" w14:textId="77777777" w:rsidR="004E687C" w:rsidRPr="00CE4248" w:rsidRDefault="004E687C" w:rsidP="004E687C">
      <w:pPr>
        <w:pStyle w:val="Titre3"/>
        <w:numPr>
          <w:ilvl w:val="2"/>
          <w:numId w:val="194"/>
        </w:numPr>
        <w:tabs>
          <w:tab w:val="clear" w:pos="2340"/>
          <w:tab w:val="num" w:pos="709"/>
        </w:tabs>
        <w:ind w:left="851" w:hanging="851"/>
        <w:jc w:val="both"/>
      </w:pPr>
      <w:bookmarkStart w:id="673" w:name="_Toc343596137"/>
      <w:bookmarkStart w:id="674" w:name="_Toc191285000"/>
      <w:r w:rsidRPr="00CE4248">
        <w:t>Sources des scénarios de changement climatique issus des résultats de MCG</w:t>
      </w:r>
      <w:bookmarkEnd w:id="673"/>
      <w:bookmarkEnd w:id="674"/>
      <w:r w:rsidRPr="00CE4248">
        <w:t xml:space="preserve"> </w:t>
      </w:r>
    </w:p>
    <w:p w14:paraId="5DCE6031" w14:textId="77777777" w:rsidR="004E687C" w:rsidRPr="002E3A09" w:rsidRDefault="004E687C" w:rsidP="004E687C">
      <w:pPr>
        <w:pStyle w:val="Corpsdetexte"/>
        <w:tabs>
          <w:tab w:val="left" w:pos="2693"/>
        </w:tabs>
      </w:pPr>
      <w:bookmarkStart w:id="675" w:name="_Toc192820645"/>
      <w:r w:rsidRPr="00E33DEC">
        <w:t>Le CDD du GIEC (</w:t>
      </w:r>
      <w:hyperlink r:id="rId241" w:history="1">
        <w:r w:rsidRPr="00232F1B">
          <w:rPr>
            <w:rStyle w:val="Lienhypertexte"/>
          </w:rPr>
          <w:t>http://ipcc-ddc.cru.uea.ac.uk/</w:t>
        </w:r>
      </w:hyperlink>
      <w:r w:rsidRPr="00E33DEC">
        <w:t xml:space="preserve">) archive les scénarios de changement climatique construits à partir des expériences de MCG menées à sept centres internationaux de modélisation, qui satisfont aux critères indiqués au point </w:t>
      </w:r>
      <w:r>
        <w:t>précèdent.</w:t>
      </w:r>
      <w:bookmarkEnd w:id="675"/>
    </w:p>
    <w:p w14:paraId="514D25F2" w14:textId="77777777" w:rsidR="004E687C" w:rsidRPr="00E33DEC" w:rsidRDefault="004E687C" w:rsidP="004E687C">
      <w:pPr>
        <w:pStyle w:val="Corpsdetexte"/>
        <w:tabs>
          <w:tab w:val="left" w:pos="2693"/>
        </w:tabs>
      </w:pPr>
      <w:bookmarkStart w:id="676" w:name="_Toc192820646"/>
      <w:r w:rsidRPr="00E33DEC">
        <w:t xml:space="preserve">L’ensemble de données de chaque expérience de MCG se compose des valeurs </w:t>
      </w:r>
      <w:r w:rsidRPr="002E3A09">
        <w:t xml:space="preserve">mensuelles </w:t>
      </w:r>
      <w:r w:rsidRPr="00E33DEC">
        <w:t xml:space="preserve">pour huit variables de surface : taux de précipitations, pression au niveau moyen de la mer, rayonnement solaire, température moyenne de l’air, température du point de rosée, température minimum de l’air, température maximale de l’air et vitesse du vent à </w:t>
      </w:r>
      <w:smartTag w:uri="urn:schemas-microsoft-com:office:smarttags" w:element="metricconverter">
        <w:smartTagPr>
          <w:attr w:name="ProductID" w:val="10 m"/>
        </w:smartTagPr>
        <w:r w:rsidRPr="00E33DEC">
          <w:t>10 m</w:t>
        </w:r>
      </w:smartTag>
      <w:r w:rsidRPr="00E33DEC">
        <w:t xml:space="preserve">. Si une variable de la liste n’était pas disponible, elle a été remplacée par une variable de même type (p. ex., dans certains cas la pression de vapeur ou l’humidité relative est remplacée par la température du point de rosée). Les scénarios disponibles du CDD se situent à l’échelle planétaire, et les utilisateurs qui interrogent ce site Web doivent télécharger pour chaque expérience l’ensemble des champs planétaires. </w:t>
      </w:r>
      <w:r>
        <w:t>L’actuel document</w:t>
      </w:r>
      <w:r w:rsidRPr="00E33DEC">
        <w:t xml:space="preserve"> a utilisé les données du CDD pour construire des scénarios pour </w:t>
      </w:r>
      <w:smartTag w:uri="urn:schemas-microsoft-com:office:smarttags" w:element="PersonName">
        <w:smartTagPr>
          <w:attr w:name="ProductID" w:val="la Mauritanie"/>
        </w:smartTagPr>
        <w:r>
          <w:t>la Mauritanie</w:t>
        </w:r>
      </w:smartTag>
      <w:r w:rsidRPr="00E33DEC">
        <w:t xml:space="preserve"> à l’égard de </w:t>
      </w:r>
      <w:r>
        <w:t>deux</w:t>
      </w:r>
      <w:r w:rsidRPr="00E33DEC">
        <w:t xml:space="preserve"> périodes </w:t>
      </w:r>
      <w:r>
        <w:t>de choix</w:t>
      </w:r>
      <w:r w:rsidRPr="00E33DEC">
        <w:t xml:space="preserve"> (</w:t>
      </w:r>
      <w:r>
        <w:t xml:space="preserve">2020 et </w:t>
      </w:r>
      <w:r w:rsidRPr="00E33DEC">
        <w:t>2050). Tous les scénarios comportent des changements par rapport à la période de base actuelle, à savoir 1961-1990, et repos</w:t>
      </w:r>
      <w:r>
        <w:t>ent sur des moyennes de 30 ans.</w:t>
      </w:r>
      <w:bookmarkEnd w:id="676"/>
    </w:p>
    <w:p w14:paraId="17B58F35" w14:textId="77777777" w:rsidR="004E687C" w:rsidRPr="00CE4248" w:rsidRDefault="004E687C" w:rsidP="004E687C">
      <w:pPr>
        <w:pStyle w:val="Titre3"/>
        <w:numPr>
          <w:ilvl w:val="2"/>
          <w:numId w:val="194"/>
        </w:numPr>
        <w:tabs>
          <w:tab w:val="clear" w:pos="2340"/>
          <w:tab w:val="num" w:pos="709"/>
        </w:tabs>
        <w:ind w:left="851" w:hanging="851"/>
        <w:jc w:val="both"/>
      </w:pPr>
      <w:bookmarkStart w:id="677" w:name="_Toc343596138"/>
      <w:bookmarkStart w:id="678" w:name="_Toc191285001"/>
      <w:r w:rsidRPr="00CE4248">
        <w:t>Choix des scénarios de changement climatique issus des résultats de MCG</w:t>
      </w:r>
      <w:bookmarkEnd w:id="677"/>
      <w:bookmarkEnd w:id="678"/>
      <w:r w:rsidRPr="00CE4248">
        <w:t xml:space="preserve"> </w:t>
      </w:r>
    </w:p>
    <w:p w14:paraId="2B439303" w14:textId="77777777" w:rsidR="004E687C" w:rsidRDefault="004E687C" w:rsidP="004E687C">
      <w:pPr>
        <w:pStyle w:val="Corpsdetexte"/>
        <w:tabs>
          <w:tab w:val="left" w:pos="2693"/>
        </w:tabs>
      </w:pPr>
      <w:bookmarkStart w:id="679" w:name="_Toc192820647"/>
      <w:r w:rsidRPr="00E33DEC">
        <w:t>Suivant la recommandation du GIEC</w:t>
      </w:r>
      <w:r w:rsidRPr="00120BB3">
        <w:footnoteReference w:id="70"/>
      </w:r>
      <w:r w:rsidRPr="00E33DEC">
        <w:t xml:space="preserve"> (à savoir que les utilisateurs devraient se servir de scénarios multiples aux fins de l'évaluation des répercussions) la question qui s’impose est : " quels scénarios devrais-je utiliser</w:t>
      </w:r>
      <w:r>
        <w:t xml:space="preserve"> </w:t>
      </w:r>
      <w:r w:rsidRPr="00E33DEC">
        <w:t>? ".</w:t>
      </w:r>
      <w:bookmarkEnd w:id="679"/>
      <w:r w:rsidRPr="00E33DEC">
        <w:t xml:space="preserve"> </w:t>
      </w:r>
    </w:p>
    <w:p w14:paraId="5A6B9AC0" w14:textId="77777777" w:rsidR="004E687C" w:rsidRPr="00E33DEC" w:rsidRDefault="004E687C" w:rsidP="004E687C">
      <w:pPr>
        <w:pStyle w:val="Corpsdetexte"/>
        <w:tabs>
          <w:tab w:val="left" w:pos="2693"/>
        </w:tabs>
      </w:pPr>
      <w:bookmarkStart w:id="680" w:name="_Toc192820648"/>
      <w:r w:rsidRPr="00E33DEC">
        <w:t xml:space="preserve">La décision de choisir un des scénarios dépend de ce que l'on cherche à déterminer au moyen des scénarios de changements climatiques. Si </w:t>
      </w:r>
      <w:r>
        <w:t>on</w:t>
      </w:r>
      <w:r w:rsidRPr="00E33DEC">
        <w:t xml:space="preserve"> voul</w:t>
      </w:r>
      <w:r>
        <w:t>ait</w:t>
      </w:r>
      <w:r w:rsidRPr="00E33DEC">
        <w:t xml:space="preserve"> déterminer uniquement la réponse à un signal de changement climatique, </w:t>
      </w:r>
      <w:r>
        <w:t>on doit</w:t>
      </w:r>
      <w:r w:rsidRPr="00E33DEC">
        <w:t xml:space="preserve"> alors utiliser un des scénarios à moyenne d'ensemble</w:t>
      </w:r>
      <w:r>
        <w:t xml:space="preserve"> qui simule la situation de base fondée sur nos données d’observations</w:t>
      </w:r>
      <w:r w:rsidRPr="00E33DEC">
        <w:t xml:space="preserve">. Toutefois, </w:t>
      </w:r>
      <w:r>
        <w:t>on</w:t>
      </w:r>
      <w:r w:rsidRPr="00E33DEC">
        <w:t xml:space="preserve"> doit vous rappeler que la variabilité naturelle du climat inter</w:t>
      </w:r>
      <w:r>
        <w:t xml:space="preserve">viendra également, de sorte qu’on </w:t>
      </w:r>
      <w:r w:rsidRPr="00E33DEC">
        <w:t>devrait aussi utiliser une des expériences afin d'obtenir une indication de l'ampleur des effets de la variabilité naturelle en comparaison de ceux du signal de changement climatique. En comparant les résultats d'un scénario à moyenne d'ensemble avec ceux de scénarios élaborés à partir d'expériences individuelles, vous devriez être en mesure de déterminer quelle part des répercussions est attribuable au signal de changement climatique approximatif et quelle part est attribuable à la variabilité naturelle du climat.</w:t>
      </w:r>
      <w:bookmarkEnd w:id="680"/>
      <w:r w:rsidRPr="00E33DEC">
        <w:t xml:space="preserve"> </w:t>
      </w:r>
    </w:p>
    <w:p w14:paraId="6D1CAE95" w14:textId="77777777" w:rsidR="004E687C" w:rsidRDefault="004E687C" w:rsidP="004E687C">
      <w:pPr>
        <w:pStyle w:val="Corpsdetexte"/>
        <w:tabs>
          <w:tab w:val="left" w:pos="2693"/>
        </w:tabs>
      </w:pPr>
      <w:bookmarkStart w:id="681" w:name="_Toc192820649"/>
      <w:r>
        <w:t>Tous les modèles agréés par l’IPCC dans sont troisièmes rapports 2001 sont accessibles pour le public via le Site du centre de distribution des données de l’organisme (</w:t>
      </w:r>
      <w:hyperlink r:id="rId242" w:history="1">
        <w:r w:rsidRPr="00232F1B">
          <w:rPr>
            <w:rStyle w:val="Lienhypertexte"/>
          </w:rPr>
          <w:t>http://ipcc-ddc.cru.uea.ac.uk/</w:t>
        </w:r>
      </w:hyperlink>
      <w:r>
        <w:t xml:space="preserve"> ).</w:t>
      </w:r>
      <w:bookmarkEnd w:id="681"/>
    </w:p>
    <w:p w14:paraId="00628D7B" w14:textId="77777777" w:rsidR="004E687C" w:rsidRDefault="004E687C" w:rsidP="004E687C">
      <w:pPr>
        <w:pStyle w:val="Corpsdetexte"/>
        <w:tabs>
          <w:tab w:val="left" w:pos="2693"/>
        </w:tabs>
      </w:pPr>
      <w:bookmarkStart w:id="682" w:name="_Toc192820650"/>
      <w:r>
        <w:t xml:space="preserve">Sur </w:t>
      </w:r>
      <w:proofErr w:type="gramStart"/>
      <w:r>
        <w:t>le base</w:t>
      </w:r>
      <w:proofErr w:type="gramEnd"/>
      <w:r>
        <w:t xml:space="preserve"> des critères susmentionnés (paragraphe 3.2.3) et en absence de possibilité de réduction de l’échelle le choit des scénarios a été marqué par </w:t>
      </w:r>
      <w:proofErr w:type="gramStart"/>
      <w:r>
        <w:t>le critères</w:t>
      </w:r>
      <w:proofErr w:type="gramEnd"/>
      <w:r>
        <w:t xml:space="preserve"> de la résolution, dans ce cadre le HAD CM3 de l’UK Met-Office s’impose vu sa résolution de 2,8 ° X 2,8 ° suivi par l’ECHAM4 du centre européen de Hambourg (2,5 ° X 3,75 °).</w:t>
      </w:r>
      <w:bookmarkEnd w:id="682"/>
    </w:p>
    <w:p w14:paraId="5FDA6B31" w14:textId="77777777" w:rsidR="004E687C" w:rsidRDefault="004E687C" w:rsidP="004E687C">
      <w:pPr>
        <w:pStyle w:val="Corpsdetexte"/>
        <w:tabs>
          <w:tab w:val="left" w:pos="2693"/>
        </w:tabs>
      </w:pPr>
      <w:bookmarkStart w:id="683" w:name="_Toc192820651"/>
      <w:r>
        <w:t>Ses deux modèles ont été retenus pour ce travail.</w:t>
      </w:r>
      <w:bookmarkEnd w:id="683"/>
    </w:p>
    <w:p w14:paraId="594F29E4" w14:textId="77777777" w:rsidR="004E687C" w:rsidRPr="00186FF1" w:rsidRDefault="004E687C" w:rsidP="004E687C">
      <w:pPr>
        <w:pStyle w:val="Titre2"/>
        <w:numPr>
          <w:ilvl w:val="0"/>
          <w:numId w:val="188"/>
        </w:numPr>
        <w:tabs>
          <w:tab w:val="clear" w:pos="1357"/>
          <w:tab w:val="num" w:pos="426"/>
        </w:tabs>
        <w:ind w:left="426" w:hanging="426"/>
        <w:jc w:val="both"/>
        <w:rPr>
          <w:i/>
          <w:iCs/>
        </w:rPr>
      </w:pPr>
      <w:bookmarkStart w:id="684" w:name="_Toc192820652"/>
      <w:bookmarkStart w:id="685" w:name="_Toc192821042"/>
      <w:bookmarkStart w:id="686" w:name="_Toc192821171"/>
      <w:bookmarkStart w:id="687" w:name="_Toc343596139"/>
      <w:bookmarkStart w:id="688" w:name="_Toc191285002"/>
      <w:r w:rsidRPr="00186FF1">
        <w:t>Application des scénarios issus de MCG</w:t>
      </w:r>
      <w:bookmarkEnd w:id="684"/>
      <w:bookmarkEnd w:id="685"/>
      <w:bookmarkEnd w:id="686"/>
      <w:bookmarkEnd w:id="687"/>
      <w:bookmarkEnd w:id="688"/>
      <w:r w:rsidRPr="00186FF1">
        <w:t xml:space="preserve"> </w:t>
      </w:r>
    </w:p>
    <w:p w14:paraId="4D06F80E" w14:textId="77777777" w:rsidR="004E687C" w:rsidRPr="00B64F8D" w:rsidRDefault="004E687C" w:rsidP="004E687C">
      <w:pPr>
        <w:pStyle w:val="Titre3"/>
        <w:numPr>
          <w:ilvl w:val="2"/>
          <w:numId w:val="195"/>
        </w:numPr>
        <w:tabs>
          <w:tab w:val="clear" w:pos="2340"/>
          <w:tab w:val="num" w:pos="567"/>
          <w:tab w:val="left" w:pos="993"/>
        </w:tabs>
        <w:spacing w:before="120"/>
        <w:ind w:left="709" w:hanging="709"/>
        <w:jc w:val="both"/>
      </w:pPr>
      <w:bookmarkStart w:id="689" w:name="_Toc343596140"/>
      <w:bookmarkStart w:id="690" w:name="_Toc191285003"/>
      <w:r w:rsidRPr="00B64F8D">
        <w:t>Température</w:t>
      </w:r>
      <w:bookmarkEnd w:id="689"/>
      <w:bookmarkEnd w:id="690"/>
      <w:r w:rsidRPr="00B64F8D">
        <w:t xml:space="preserve"> </w:t>
      </w:r>
      <w:r w:rsidRPr="00B64F8D">
        <w:tab/>
      </w:r>
    </w:p>
    <w:p w14:paraId="1F66FDF7" w14:textId="77777777" w:rsidR="004E687C" w:rsidRDefault="004E687C" w:rsidP="004E687C">
      <w:pPr>
        <w:pStyle w:val="Corpsdetexte"/>
        <w:tabs>
          <w:tab w:val="left" w:pos="2693"/>
        </w:tabs>
      </w:pPr>
      <w:r w:rsidRPr="00061679">
        <w:rPr>
          <w:b/>
          <w:bCs/>
        </w:rPr>
        <w:t>Pour l’horizon 2050</w:t>
      </w:r>
      <w:r>
        <w:t xml:space="preserve">, une augmentation générale de la température aura lieux en Mauritanie avec un maximum dans les parties continentale de plus de 2°C, cette partie se limite au niveau des </w:t>
      </w:r>
      <w:proofErr w:type="spellStart"/>
      <w:r>
        <w:t>Majabat</w:t>
      </w:r>
      <w:proofErr w:type="spellEnd"/>
      <w:r>
        <w:t xml:space="preserve"> El </w:t>
      </w:r>
      <w:proofErr w:type="spellStart"/>
      <w:r>
        <w:t>Koubra</w:t>
      </w:r>
      <w:proofErr w:type="spellEnd"/>
      <w:r>
        <w:t xml:space="preserve"> dans le HADCM3les autres parties du pays à l’exception de la parte littorale (y compris la région de Nouakchott) connaissent une augmentation de +1,5 </w:t>
      </w:r>
      <w:proofErr w:type="spellStart"/>
      <w:r>
        <w:t>a</w:t>
      </w:r>
      <w:proofErr w:type="spellEnd"/>
      <w:r>
        <w:t xml:space="preserve"> +2°C. </w:t>
      </w:r>
      <w:proofErr w:type="spellStart"/>
      <w:proofErr w:type="gramStart"/>
      <w:r>
        <w:t>Quand</w:t>
      </w:r>
      <w:proofErr w:type="spellEnd"/>
      <w:proofErr w:type="gramEnd"/>
      <w:r>
        <w:t xml:space="preserve"> à l’ECHAM4, l’augmentation des températures de plus de 2°C concernera l’Est et le centre du pays couvrant ainsi les zones d’études des secteurs d’écosystèmes, de la forêt et de l’eau en plus de la plus grande partie de la zone d’étude de l’élevage. Les autres parties (l’ouest du pays) particulièrement l’ouest du Brakna, le Trarza y compris la Région de Nouakchott, l’Inchiri et Dakhlet Nouadhibou sont entre +1,5 </w:t>
      </w:r>
      <w:proofErr w:type="spellStart"/>
      <w:r>
        <w:t>a</w:t>
      </w:r>
      <w:proofErr w:type="spellEnd"/>
      <w:r>
        <w:t xml:space="preserve"> +2°C dans l’ECHAM4.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7"/>
        <w:gridCol w:w="4759"/>
      </w:tblGrid>
      <w:tr w:rsidR="004E687C" w14:paraId="567E6726" w14:textId="77777777" w:rsidTr="00EE0E23">
        <w:tc>
          <w:tcPr>
            <w:tcW w:w="4758" w:type="dxa"/>
          </w:tcPr>
          <w:p w14:paraId="4D29AE24" w14:textId="77777777" w:rsidR="004E687C" w:rsidRPr="004F5E78" w:rsidRDefault="004E687C" w:rsidP="00EE0E23">
            <w:pPr>
              <w:spacing w:after="100" w:afterAutospacing="1"/>
              <w:jc w:val="both"/>
            </w:pPr>
            <w:r w:rsidRPr="004F5E78">
              <w:t>Température ECHAM4, horizon 2050</w:t>
            </w:r>
          </w:p>
        </w:tc>
        <w:tc>
          <w:tcPr>
            <w:tcW w:w="4706" w:type="dxa"/>
          </w:tcPr>
          <w:p w14:paraId="530A8ADF" w14:textId="77777777" w:rsidR="004E687C" w:rsidRPr="004F5E78" w:rsidRDefault="004E687C" w:rsidP="00EE0E23">
            <w:pPr>
              <w:spacing w:after="100" w:afterAutospacing="1"/>
              <w:jc w:val="both"/>
            </w:pPr>
            <w:r w:rsidRPr="004F5E78">
              <w:t>Température HADCM3, horizon 2050</w:t>
            </w:r>
          </w:p>
        </w:tc>
      </w:tr>
      <w:tr w:rsidR="004E687C" w14:paraId="51DECEAB" w14:textId="77777777" w:rsidTr="00EE0E23">
        <w:tc>
          <w:tcPr>
            <w:tcW w:w="4758" w:type="dxa"/>
          </w:tcPr>
          <w:p w14:paraId="4A480A59" w14:textId="77777777" w:rsidR="004E687C" w:rsidRPr="004F5E78" w:rsidRDefault="004E687C" w:rsidP="00EE0E23">
            <w:pPr>
              <w:spacing w:before="120" w:after="100" w:afterAutospacing="1"/>
              <w:jc w:val="center"/>
            </w:pPr>
            <w:r>
              <w:rPr>
                <w:noProof/>
              </w:rPr>
              <w:drawing>
                <wp:inline distT="0" distB="0" distL="0" distR="0" wp14:anchorId="206F889B" wp14:editId="71D8684A">
                  <wp:extent cx="2845435" cy="2661285"/>
                  <wp:effectExtent l="19050" t="0" r="0" b="0"/>
                  <wp:docPr id="276667939" name="Image 5" descr="ECHAMT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ECHAMT50.jpg"/>
                          <pic:cNvPicPr>
                            <a:picLocks noChangeAspect="1" noChangeArrowheads="1"/>
                          </pic:cNvPicPr>
                        </pic:nvPicPr>
                        <pic:blipFill>
                          <a:blip r:embed="rId243" cstate="print"/>
                          <a:srcRect/>
                          <a:stretch>
                            <a:fillRect/>
                          </a:stretch>
                        </pic:blipFill>
                        <pic:spPr bwMode="auto">
                          <a:xfrm>
                            <a:off x="0" y="0"/>
                            <a:ext cx="2845435" cy="2661285"/>
                          </a:xfrm>
                          <a:prstGeom prst="rect">
                            <a:avLst/>
                          </a:prstGeom>
                          <a:noFill/>
                          <a:ln w="9525">
                            <a:noFill/>
                            <a:miter lim="800000"/>
                            <a:headEnd/>
                            <a:tailEnd/>
                          </a:ln>
                        </pic:spPr>
                      </pic:pic>
                    </a:graphicData>
                  </a:graphic>
                </wp:inline>
              </w:drawing>
            </w:r>
          </w:p>
        </w:tc>
        <w:tc>
          <w:tcPr>
            <w:tcW w:w="4706" w:type="dxa"/>
          </w:tcPr>
          <w:p w14:paraId="48C1E79A" w14:textId="77777777" w:rsidR="004E687C" w:rsidRPr="004F5E78" w:rsidRDefault="004E687C" w:rsidP="00EE0E23">
            <w:pPr>
              <w:spacing w:before="120" w:after="100" w:afterAutospacing="1"/>
              <w:jc w:val="center"/>
            </w:pPr>
            <w:r>
              <w:rPr>
                <w:noProof/>
              </w:rPr>
              <w:drawing>
                <wp:inline distT="0" distB="0" distL="0" distR="0" wp14:anchorId="1625D1C0" wp14:editId="43EC77C2">
                  <wp:extent cx="2865755" cy="2675255"/>
                  <wp:effectExtent l="19050" t="0" r="0" b="0"/>
                  <wp:docPr id="236631102" name="Image 7" descr="hadcm3t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adcm3t50.jpg"/>
                          <pic:cNvPicPr>
                            <a:picLocks noChangeAspect="1" noChangeArrowheads="1"/>
                          </pic:cNvPicPr>
                        </pic:nvPicPr>
                        <pic:blipFill>
                          <a:blip r:embed="rId244" cstate="print"/>
                          <a:srcRect/>
                          <a:stretch>
                            <a:fillRect/>
                          </a:stretch>
                        </pic:blipFill>
                        <pic:spPr bwMode="auto">
                          <a:xfrm>
                            <a:off x="0" y="0"/>
                            <a:ext cx="2865755" cy="2675255"/>
                          </a:xfrm>
                          <a:prstGeom prst="rect">
                            <a:avLst/>
                          </a:prstGeom>
                          <a:noFill/>
                          <a:ln w="9525">
                            <a:noFill/>
                            <a:miter lim="800000"/>
                            <a:headEnd/>
                            <a:tailEnd/>
                          </a:ln>
                        </pic:spPr>
                      </pic:pic>
                    </a:graphicData>
                  </a:graphic>
                </wp:inline>
              </w:drawing>
            </w:r>
          </w:p>
        </w:tc>
      </w:tr>
    </w:tbl>
    <w:p w14:paraId="6BAB5A26" w14:textId="77777777" w:rsidR="004E687C" w:rsidRDefault="004E687C" w:rsidP="004E687C">
      <w:pPr>
        <w:pStyle w:val="Corpsdetexte"/>
        <w:tabs>
          <w:tab w:val="left" w:pos="2693"/>
        </w:tabs>
      </w:pPr>
      <w:r>
        <w:t>Le secteur du littoral reste le moins touché avec moins de 1,5°C dans le HADCM3 et un peu plus de 1,5°C dans l’ECHAM4 pour l’horizon 2050.</w:t>
      </w:r>
    </w:p>
    <w:p w14:paraId="27AE5074" w14:textId="77777777" w:rsidR="004E687C" w:rsidRPr="00D71060" w:rsidRDefault="004E687C" w:rsidP="004E687C">
      <w:pPr>
        <w:pStyle w:val="Corpsdetexte"/>
        <w:tabs>
          <w:tab w:val="left" w:pos="2693"/>
        </w:tabs>
      </w:pPr>
      <w:r w:rsidRPr="000514AC">
        <w:rPr>
          <w:b/>
          <w:bCs/>
        </w:rPr>
        <w:t>Pour l’horizon 2100</w:t>
      </w:r>
      <w:r>
        <w:t xml:space="preserve">, une forte élévation des températures est prévue en Mauritanie avec un surplus pour le MCG ECHAM4 qui donne un maximum de plus 4,5 °C dans le sud des wilayas de </w:t>
      </w:r>
      <w:proofErr w:type="gramStart"/>
      <w:r>
        <w:t>l’Assaba  et</w:t>
      </w:r>
      <w:proofErr w:type="gramEnd"/>
      <w:r>
        <w:t xml:space="preserve"> de Guidimagha.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7"/>
        <w:gridCol w:w="4575"/>
      </w:tblGrid>
      <w:tr w:rsidR="004E687C" w14:paraId="601BCE7F" w14:textId="77777777" w:rsidTr="00EE0E23">
        <w:tc>
          <w:tcPr>
            <w:tcW w:w="4586" w:type="dxa"/>
          </w:tcPr>
          <w:p w14:paraId="6551344D" w14:textId="77777777" w:rsidR="004E687C" w:rsidRPr="004F5E78" w:rsidRDefault="004E687C" w:rsidP="00EE0E23">
            <w:pPr>
              <w:spacing w:after="100" w:afterAutospacing="1"/>
              <w:jc w:val="both"/>
            </w:pPr>
            <w:r w:rsidRPr="004F5E78">
              <w:t>Température ECHAM4, horizon 2100</w:t>
            </w:r>
          </w:p>
        </w:tc>
        <w:tc>
          <w:tcPr>
            <w:tcW w:w="4702" w:type="dxa"/>
          </w:tcPr>
          <w:p w14:paraId="775056B8" w14:textId="77777777" w:rsidR="004E687C" w:rsidRPr="004F5E78" w:rsidRDefault="004E687C" w:rsidP="00EE0E23">
            <w:pPr>
              <w:spacing w:after="100" w:afterAutospacing="1"/>
              <w:jc w:val="both"/>
            </w:pPr>
            <w:r w:rsidRPr="004F5E78">
              <w:t>Température HADCM3, horizon 2100</w:t>
            </w:r>
          </w:p>
        </w:tc>
      </w:tr>
      <w:tr w:rsidR="004E687C" w14:paraId="4D1173D5" w14:textId="77777777" w:rsidTr="00EE0E23">
        <w:tc>
          <w:tcPr>
            <w:tcW w:w="4586" w:type="dxa"/>
          </w:tcPr>
          <w:p w14:paraId="25CDCF81" w14:textId="77777777" w:rsidR="004E687C" w:rsidRPr="004F5E78" w:rsidRDefault="004E687C" w:rsidP="00EE0E23">
            <w:pPr>
              <w:pStyle w:val="Corpsdetexte"/>
              <w:tabs>
                <w:tab w:val="left" w:pos="2693"/>
              </w:tabs>
              <w:rPr>
                <w:sz w:val="22"/>
                <w:szCs w:val="22"/>
              </w:rPr>
            </w:pPr>
            <w:r>
              <w:rPr>
                <w:noProof/>
                <w:sz w:val="22"/>
                <w:szCs w:val="22"/>
              </w:rPr>
              <w:drawing>
                <wp:inline distT="0" distB="0" distL="0" distR="0" wp14:anchorId="61BB327A" wp14:editId="658C6CD3">
                  <wp:extent cx="2777490" cy="2599690"/>
                  <wp:effectExtent l="19050" t="0" r="3810" b="0"/>
                  <wp:docPr id="115870461" name="Image 19" descr="ECHAMT10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ECHAMT100d.jpg"/>
                          <pic:cNvPicPr>
                            <a:picLocks noChangeAspect="1" noChangeArrowheads="1"/>
                          </pic:cNvPicPr>
                        </pic:nvPicPr>
                        <pic:blipFill>
                          <a:blip r:embed="rId245" cstate="print"/>
                          <a:srcRect/>
                          <a:stretch>
                            <a:fillRect/>
                          </a:stretch>
                        </pic:blipFill>
                        <pic:spPr bwMode="auto">
                          <a:xfrm>
                            <a:off x="0" y="0"/>
                            <a:ext cx="2777490" cy="2599690"/>
                          </a:xfrm>
                          <a:prstGeom prst="rect">
                            <a:avLst/>
                          </a:prstGeom>
                          <a:noFill/>
                          <a:ln w="9525">
                            <a:noFill/>
                            <a:miter lim="800000"/>
                            <a:headEnd/>
                            <a:tailEnd/>
                          </a:ln>
                        </pic:spPr>
                      </pic:pic>
                    </a:graphicData>
                  </a:graphic>
                </wp:inline>
              </w:drawing>
            </w:r>
          </w:p>
        </w:tc>
        <w:tc>
          <w:tcPr>
            <w:tcW w:w="4702" w:type="dxa"/>
          </w:tcPr>
          <w:p w14:paraId="639E5AE2" w14:textId="77777777" w:rsidR="004E687C" w:rsidRPr="004F5E78" w:rsidRDefault="004E687C" w:rsidP="00EE0E23">
            <w:pPr>
              <w:pStyle w:val="Corpsdetexte"/>
              <w:tabs>
                <w:tab w:val="left" w:pos="2693"/>
              </w:tabs>
              <w:rPr>
                <w:sz w:val="22"/>
                <w:szCs w:val="22"/>
              </w:rPr>
            </w:pPr>
            <w:r>
              <w:rPr>
                <w:noProof/>
                <w:sz w:val="22"/>
                <w:szCs w:val="22"/>
              </w:rPr>
              <w:drawing>
                <wp:inline distT="0" distB="0" distL="0" distR="0" wp14:anchorId="5737DA2E" wp14:editId="14B9F666">
                  <wp:extent cx="2838450" cy="2654300"/>
                  <wp:effectExtent l="19050" t="0" r="0" b="0"/>
                  <wp:docPr id="1951801187" name="Image 22" descr="hadcm3t10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descr="hadcm3t100d.jpg"/>
                          <pic:cNvPicPr>
                            <a:picLocks noChangeAspect="1" noChangeArrowheads="1"/>
                          </pic:cNvPicPr>
                        </pic:nvPicPr>
                        <pic:blipFill>
                          <a:blip r:embed="rId246" cstate="print"/>
                          <a:srcRect/>
                          <a:stretch>
                            <a:fillRect/>
                          </a:stretch>
                        </pic:blipFill>
                        <pic:spPr bwMode="auto">
                          <a:xfrm>
                            <a:off x="0" y="0"/>
                            <a:ext cx="2838450" cy="2654300"/>
                          </a:xfrm>
                          <a:prstGeom prst="rect">
                            <a:avLst/>
                          </a:prstGeom>
                          <a:noFill/>
                          <a:ln w="9525">
                            <a:noFill/>
                            <a:miter lim="800000"/>
                            <a:headEnd/>
                            <a:tailEnd/>
                          </a:ln>
                        </pic:spPr>
                      </pic:pic>
                    </a:graphicData>
                  </a:graphic>
                </wp:inline>
              </w:drawing>
            </w:r>
          </w:p>
        </w:tc>
      </w:tr>
    </w:tbl>
    <w:p w14:paraId="31958327" w14:textId="77777777" w:rsidR="004E687C" w:rsidRDefault="004E687C" w:rsidP="004E687C">
      <w:pPr>
        <w:pStyle w:val="Corpsdetexte"/>
        <w:tabs>
          <w:tab w:val="left" w:pos="2693"/>
        </w:tabs>
      </w:pPr>
      <w:r>
        <w:t xml:space="preserve">Cette augmentation sera dans l’ordre de +4 à +4,5°C dans sud-est du pays (les deux Hodh, l’Assaba, le sud du Tagant, le Gorgol et le Guidimaka. </w:t>
      </w:r>
    </w:p>
    <w:p w14:paraId="4FD541AA" w14:textId="77777777" w:rsidR="004E687C" w:rsidRDefault="004E687C" w:rsidP="004E687C">
      <w:pPr>
        <w:pStyle w:val="Corpsdetexte"/>
        <w:tabs>
          <w:tab w:val="left" w:pos="2693"/>
        </w:tabs>
      </w:pPr>
      <w:r>
        <w:t>Le secteur du littoral reste le moins touché avec moins de 3°C dans l’ECHAM4 pour l’horizon 2100.</w:t>
      </w:r>
    </w:p>
    <w:p w14:paraId="4344F013" w14:textId="77777777" w:rsidR="004E687C" w:rsidRDefault="004E687C" w:rsidP="004E687C">
      <w:pPr>
        <w:pStyle w:val="Corpsdetexte"/>
        <w:tabs>
          <w:tab w:val="left" w:pos="2693"/>
        </w:tabs>
      </w:pPr>
      <w:r w:rsidRPr="00061679">
        <w:rPr>
          <w:b/>
          <w:bCs/>
        </w:rPr>
        <w:t>Le HADCM3</w:t>
      </w:r>
      <w:r>
        <w:t xml:space="preserve"> prédit moins de réchauffement pour l’horizon 2100, allant de moins de 2°C à Nouadhibou à plus de 3,5°C dans l’est du pays. Ce réchauffement reste entre +1,5 à +2,5 2°C dans le littoral et augmentera progressivement en allant vers l’est pour dépasser les 3,5°C dans les deux Hodh, le Tagant, le nord de l’Assaba et l’est de l’Adrar et du Tiris Zemour.</w:t>
      </w:r>
    </w:p>
    <w:p w14:paraId="46BAD029" w14:textId="77777777" w:rsidR="004E687C" w:rsidRPr="00B64F8D" w:rsidRDefault="004E687C" w:rsidP="004E687C">
      <w:pPr>
        <w:pStyle w:val="Titre3"/>
        <w:numPr>
          <w:ilvl w:val="2"/>
          <w:numId w:val="195"/>
        </w:numPr>
        <w:tabs>
          <w:tab w:val="clear" w:pos="2340"/>
          <w:tab w:val="num" w:pos="567"/>
        </w:tabs>
        <w:ind w:left="709" w:hanging="709"/>
        <w:jc w:val="both"/>
      </w:pPr>
      <w:bookmarkStart w:id="691" w:name="_Toc343596141"/>
      <w:bookmarkStart w:id="692" w:name="_Toc191285004"/>
      <w:r w:rsidRPr="00B64F8D">
        <w:t>Précipitations</w:t>
      </w:r>
      <w:bookmarkEnd w:id="691"/>
      <w:bookmarkEnd w:id="692"/>
    </w:p>
    <w:p w14:paraId="07D084C6" w14:textId="77777777" w:rsidR="004E687C" w:rsidRDefault="004E687C" w:rsidP="004E687C">
      <w:pPr>
        <w:spacing w:before="120"/>
        <w:jc w:val="both"/>
      </w:pPr>
      <w:r>
        <w:t>Les données de précipitation suivant les modèles de circulation générale de choix, à savoir l’ECHAM4 et le HAD CM3 montre une tendance nette à la régression des pluies en Mauritanie.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1"/>
        <w:gridCol w:w="4521"/>
      </w:tblGrid>
      <w:tr w:rsidR="004E687C" w14:paraId="2B113A4E" w14:textId="77777777" w:rsidTr="00EE0E23">
        <w:tc>
          <w:tcPr>
            <w:tcW w:w="4606" w:type="dxa"/>
          </w:tcPr>
          <w:p w14:paraId="6582452B" w14:textId="77777777" w:rsidR="004E687C" w:rsidRPr="004F5E78" w:rsidRDefault="004E687C" w:rsidP="00EE0E23">
            <w:pPr>
              <w:spacing w:before="120" w:after="100" w:afterAutospacing="1"/>
              <w:jc w:val="both"/>
            </w:pPr>
            <w:r w:rsidRPr="004F5E78">
              <w:t>Pluies ECHAM4, horizon 2050</w:t>
            </w:r>
          </w:p>
        </w:tc>
        <w:tc>
          <w:tcPr>
            <w:tcW w:w="4606" w:type="dxa"/>
          </w:tcPr>
          <w:p w14:paraId="51A46706" w14:textId="77777777" w:rsidR="004E687C" w:rsidRPr="004F5E78" w:rsidRDefault="004E687C" w:rsidP="00EE0E23">
            <w:pPr>
              <w:spacing w:before="120" w:after="100" w:afterAutospacing="1"/>
              <w:jc w:val="both"/>
            </w:pPr>
            <w:r w:rsidRPr="004F5E78">
              <w:t>Pluies HADCM3, horizon 2050</w:t>
            </w:r>
          </w:p>
        </w:tc>
      </w:tr>
      <w:tr w:rsidR="004E687C" w14:paraId="690DE40F" w14:textId="77777777" w:rsidTr="00EE0E23">
        <w:tc>
          <w:tcPr>
            <w:tcW w:w="4606" w:type="dxa"/>
          </w:tcPr>
          <w:p w14:paraId="4EF6961B" w14:textId="77777777" w:rsidR="004E687C" w:rsidRPr="004F5E78" w:rsidRDefault="004E687C" w:rsidP="00EE0E23">
            <w:pPr>
              <w:spacing w:before="120"/>
              <w:jc w:val="both"/>
            </w:pPr>
            <w:r>
              <w:rPr>
                <w:noProof/>
              </w:rPr>
              <w:drawing>
                <wp:inline distT="0" distB="0" distL="0" distR="0" wp14:anchorId="3D2E58CF" wp14:editId="3611C80E">
                  <wp:extent cx="2763520" cy="2586355"/>
                  <wp:effectExtent l="19050" t="0" r="0" b="0"/>
                  <wp:docPr id="658719762" name="Image 26" descr="ECHAMp5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descr="ECHAMp50d.jpg"/>
                          <pic:cNvPicPr>
                            <a:picLocks noChangeAspect="1" noChangeArrowheads="1"/>
                          </pic:cNvPicPr>
                        </pic:nvPicPr>
                        <pic:blipFill>
                          <a:blip r:embed="rId247"/>
                          <a:srcRect/>
                          <a:stretch>
                            <a:fillRect/>
                          </a:stretch>
                        </pic:blipFill>
                        <pic:spPr bwMode="auto">
                          <a:xfrm>
                            <a:off x="0" y="0"/>
                            <a:ext cx="2763520" cy="2586355"/>
                          </a:xfrm>
                          <a:prstGeom prst="rect">
                            <a:avLst/>
                          </a:prstGeom>
                          <a:noFill/>
                          <a:ln w="9525">
                            <a:noFill/>
                            <a:miter lim="800000"/>
                            <a:headEnd/>
                            <a:tailEnd/>
                          </a:ln>
                        </pic:spPr>
                      </pic:pic>
                    </a:graphicData>
                  </a:graphic>
                </wp:inline>
              </w:drawing>
            </w:r>
          </w:p>
        </w:tc>
        <w:tc>
          <w:tcPr>
            <w:tcW w:w="4606" w:type="dxa"/>
          </w:tcPr>
          <w:p w14:paraId="64E9667E" w14:textId="77777777" w:rsidR="004E687C" w:rsidRPr="004F5E78" w:rsidRDefault="004E687C" w:rsidP="00EE0E23">
            <w:pPr>
              <w:spacing w:before="120"/>
              <w:jc w:val="both"/>
            </w:pPr>
            <w:r>
              <w:rPr>
                <w:noProof/>
              </w:rPr>
              <w:drawing>
                <wp:inline distT="0" distB="0" distL="0" distR="0" wp14:anchorId="6334862B" wp14:editId="710C0B97">
                  <wp:extent cx="2750185" cy="2566035"/>
                  <wp:effectExtent l="19050" t="0" r="0" b="0"/>
                  <wp:docPr id="1928991086" name="Image 27" descr="hadcm3p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descr="hadcm3p50.jpg"/>
                          <pic:cNvPicPr>
                            <a:picLocks noChangeAspect="1" noChangeArrowheads="1"/>
                          </pic:cNvPicPr>
                        </pic:nvPicPr>
                        <pic:blipFill>
                          <a:blip r:embed="rId248" cstate="print"/>
                          <a:srcRect/>
                          <a:stretch>
                            <a:fillRect/>
                          </a:stretch>
                        </pic:blipFill>
                        <pic:spPr bwMode="auto">
                          <a:xfrm>
                            <a:off x="0" y="0"/>
                            <a:ext cx="2750185" cy="2566035"/>
                          </a:xfrm>
                          <a:prstGeom prst="rect">
                            <a:avLst/>
                          </a:prstGeom>
                          <a:noFill/>
                          <a:ln w="9525">
                            <a:noFill/>
                            <a:miter lim="800000"/>
                            <a:headEnd/>
                            <a:tailEnd/>
                          </a:ln>
                        </pic:spPr>
                      </pic:pic>
                    </a:graphicData>
                  </a:graphic>
                </wp:inline>
              </w:drawing>
            </w:r>
          </w:p>
        </w:tc>
      </w:tr>
    </w:tbl>
    <w:p w14:paraId="54F3100E" w14:textId="77777777" w:rsidR="004E687C" w:rsidRPr="00E438AC" w:rsidRDefault="004E687C" w:rsidP="004E687C">
      <w:pPr>
        <w:spacing w:before="120"/>
        <w:jc w:val="both"/>
        <w:rPr>
          <w:b/>
          <w:bCs/>
        </w:rPr>
      </w:pPr>
      <w:r w:rsidRPr="00E438AC">
        <w:rPr>
          <w:b/>
          <w:bCs/>
        </w:rPr>
        <w:t>Pour l’horizon 2050</w:t>
      </w:r>
    </w:p>
    <w:p w14:paraId="0BBBC58D" w14:textId="77777777" w:rsidR="004E687C" w:rsidRDefault="004E687C" w:rsidP="004E687C">
      <w:pPr>
        <w:spacing w:before="120"/>
        <w:jc w:val="both"/>
      </w:pPr>
      <w:r>
        <w:t xml:space="preserve">Signalons une grande différence dans cette régression entre </w:t>
      </w:r>
      <w:proofErr w:type="gramStart"/>
      <w:r>
        <w:t>les  sorties</w:t>
      </w:r>
      <w:proofErr w:type="gramEnd"/>
      <w:r>
        <w:t xml:space="preserve"> de l’ECHAM4 et celles du HAD CM3 comme dans chacun suivant le scénario démission de base.</w:t>
      </w:r>
    </w:p>
    <w:p w14:paraId="3D966B3E" w14:textId="77777777" w:rsidR="004E687C" w:rsidRPr="002508C9" w:rsidRDefault="004E687C" w:rsidP="004E687C">
      <w:pPr>
        <w:spacing w:before="120"/>
        <w:jc w:val="both"/>
        <w:rPr>
          <w:b/>
          <w:bCs/>
        </w:rPr>
      </w:pPr>
      <w:r w:rsidRPr="002508C9">
        <w:rPr>
          <w:b/>
          <w:bCs/>
        </w:rPr>
        <w:t>ECHAM4</w:t>
      </w:r>
    </w:p>
    <w:p w14:paraId="4E9D0C21" w14:textId="77777777" w:rsidR="004E687C" w:rsidRDefault="004E687C" w:rsidP="004E687C">
      <w:pPr>
        <w:spacing w:before="120"/>
        <w:jc w:val="both"/>
      </w:pPr>
      <w:r>
        <w:t>Les sorties de l’ECHAM4 sont les plus pessimistes, avec une régression inférieure à -20% de la normale de référence (1961-1990) pour l’horizon 2050 pour le B2 et un peu plus dans le A2. Malgré qu’il prédise une augmentation des pluies dans la zone de l’extrême nord-est du pays (de Ech Chaguat à Lemgheity) ou la moyenne annuelle est de moins de 20mm, elle restera dans la zone hyperaride.</w:t>
      </w:r>
    </w:p>
    <w:p w14:paraId="79E72953" w14:textId="77777777" w:rsidR="004E687C" w:rsidRPr="00CC165B" w:rsidRDefault="004E687C" w:rsidP="004E687C">
      <w:pPr>
        <w:spacing w:before="120"/>
        <w:jc w:val="both"/>
      </w:pPr>
      <w:r w:rsidRPr="00CC165B">
        <w:t xml:space="preserve">Le maximum de baisse des pluies est prévu dans le centre du pays avec -40% de la Normale (environ -30mm par an) touchant le centre de l’Adrar et du Tagant (zone </w:t>
      </w:r>
      <w:proofErr w:type="spellStart"/>
      <w:r w:rsidRPr="00CC165B">
        <w:t>Oiasienne</w:t>
      </w:r>
      <w:proofErr w:type="spellEnd"/>
      <w:r w:rsidRPr="00CC165B">
        <w:t>) et une partie du sud de Tiris-Zemour (-15mm par an) et du Nord de l’Assaba (-40mm par an)</w:t>
      </w:r>
    </w:p>
    <w:p w14:paraId="34293F1A" w14:textId="77777777" w:rsidR="004E687C" w:rsidRPr="00CC165B" w:rsidRDefault="004E687C" w:rsidP="004E687C">
      <w:pPr>
        <w:spacing w:before="120"/>
        <w:jc w:val="both"/>
      </w:pPr>
      <w:r w:rsidRPr="00CC165B">
        <w:t>Le minimum de cette régr</w:t>
      </w:r>
      <w:r>
        <w:t>e</w:t>
      </w:r>
      <w:r w:rsidRPr="00CC165B">
        <w:t>ssion sera de l’ordre -10 à -20% de la Normale dans le sud du Hodh Ech-charghi (environ -35mm par an). Les autres parties de la zone sahélienne subiront une baisse de pluviosité entre -20 à -40% du Sud vers le Nord (entre -40 dans le nord de la zone sahélienne à -100mm par an au sud de cette zone).</w:t>
      </w:r>
    </w:p>
    <w:p w14:paraId="2D669C4B" w14:textId="77777777" w:rsidR="004E687C" w:rsidRPr="003773B7" w:rsidRDefault="004E687C" w:rsidP="004E687C">
      <w:pPr>
        <w:spacing w:before="120"/>
        <w:jc w:val="both"/>
      </w:pPr>
      <w:r>
        <w:rPr>
          <w:color w:val="FF0000"/>
        </w:rPr>
        <w:t xml:space="preserve">  </w:t>
      </w:r>
    </w:p>
    <w:p w14:paraId="5486A689" w14:textId="77777777" w:rsidR="004E687C" w:rsidRPr="003836C8" w:rsidRDefault="004E687C" w:rsidP="004E687C">
      <w:pPr>
        <w:spacing w:before="120"/>
        <w:jc w:val="both"/>
        <w:rPr>
          <w:b/>
          <w:bCs/>
        </w:rPr>
      </w:pPr>
      <w:r w:rsidRPr="003836C8">
        <w:rPr>
          <w:b/>
          <w:bCs/>
        </w:rPr>
        <w:t>HADCM3</w:t>
      </w:r>
    </w:p>
    <w:p w14:paraId="4CAFC5F0" w14:textId="77777777" w:rsidR="004E687C" w:rsidRDefault="004E687C" w:rsidP="004E687C">
      <w:pPr>
        <w:spacing w:before="120"/>
        <w:jc w:val="both"/>
      </w:pPr>
      <w:r>
        <w:t>Les sorties du modèle HADCM3 sont plus optimistes avec -17% au centre de l’Adrar comme maximum de réduction prédite à l’horizon 2050 (soit une baisse de 13mm/an). Le minimum de réduction des pluies sera dans l’ordre de -5% (soit une baisse de 20mm/an) dans le sud des deux Hodhs, le sud de Guidimaka et l’extrême Sud de l’Assaba et du Gorgol. Dans la plupart de autres parties du pays (zone sahélienne, littoral y compris Nouakchott…) la régression prévisible des précipitations sera dans l’ordre de 5 et 15% de la normale de référence. Même-si les faibles régressions sont dans les zones les plus arrosées, cette situation provoquera plus de sécheresses que les vécues à la fin du 20</w:t>
      </w:r>
      <w:r w:rsidRPr="009B46F5">
        <w:rPr>
          <w:vertAlign w:val="superscript"/>
        </w:rPr>
        <w:t>ème</w:t>
      </w:r>
      <w:r>
        <w:t xml:space="preserve"> siècle (années 70 et 80).   </w:t>
      </w:r>
    </w:p>
    <w:p w14:paraId="0E495ECF" w14:textId="77777777" w:rsidR="004E687C" w:rsidRDefault="004E687C" w:rsidP="004E687C">
      <w:pPr>
        <w:spacing w:before="120"/>
        <w:jc w:val="both"/>
        <w:rPr>
          <w:b/>
          <w:bCs/>
        </w:rPr>
      </w:pPr>
      <w:r w:rsidRPr="00E438AC">
        <w:rPr>
          <w:b/>
          <w:bCs/>
        </w:rPr>
        <w:t>Pour l’horizon 2</w:t>
      </w:r>
      <w:r>
        <w:rPr>
          <w:b/>
          <w:bCs/>
        </w:rPr>
        <w:t>10</w:t>
      </w:r>
      <w:r w:rsidRPr="00E438AC">
        <w:rPr>
          <w:b/>
          <w:bCs/>
        </w:rPr>
        <w:t>0</w:t>
      </w:r>
    </w:p>
    <w:p w14:paraId="2FC6DDC7" w14:textId="77777777" w:rsidR="004E687C" w:rsidRDefault="004E687C" w:rsidP="004E687C">
      <w:pPr>
        <w:spacing w:before="120"/>
        <w:jc w:val="both"/>
      </w:pPr>
      <w:r>
        <w:t xml:space="preserve">Pour l’horizon 2100, les tendances prédites des précipitations sont à la régression en général sauf dans l’ECHAM4 dans le nord-est du pays. </w:t>
      </w:r>
    </w:p>
    <w:p w14:paraId="7B36E611" w14:textId="77777777" w:rsidR="004E687C" w:rsidRPr="002508C9" w:rsidRDefault="004E687C" w:rsidP="004E687C">
      <w:pPr>
        <w:spacing w:before="120"/>
        <w:jc w:val="both"/>
        <w:rPr>
          <w:b/>
          <w:bCs/>
        </w:rPr>
      </w:pPr>
      <w:r w:rsidRPr="002508C9">
        <w:rPr>
          <w:b/>
          <w:bCs/>
        </w:rPr>
        <w:t>ECHAM4</w:t>
      </w:r>
    </w:p>
    <w:p w14:paraId="04252506" w14:textId="77777777" w:rsidR="004E687C" w:rsidRDefault="004E687C" w:rsidP="004E687C">
      <w:pPr>
        <w:spacing w:before="120"/>
        <w:jc w:val="both"/>
      </w:pPr>
      <w:r>
        <w:t>Malgré qu’il prévoie une augmentation des pluies dans l’extrême nord-est du pays (Ech Chaguat à Lemgheity), pouvant atteindre +40% (soit une augmentation de 30mm) la zone restera comme zone désertique voir hyperaride.</w:t>
      </w:r>
    </w:p>
    <w:p w14:paraId="2009FAA0" w14:textId="77777777" w:rsidR="004E687C" w:rsidRDefault="004E687C" w:rsidP="004E687C">
      <w:pPr>
        <w:spacing w:before="120"/>
        <w:jc w:val="both"/>
      </w:pPr>
      <w:r>
        <w:t>Suivant les sorties de l’ECHAM4, la plupart des activités exercées dans les zones d’études n’aura pas lieu d’être à l’horizon 2100. Le niveau de régression des pluies atteindra son maximum dans la zone de l’Adrar (zone oasienne) avec -70% de la normal de référence (ce qui avoisine -50mm/an). Cette situation se traduit par une normale d’environ 20 mm par an, ce qui le rendra dans la zone hyperaride.</w:t>
      </w:r>
    </w:p>
    <w:p w14:paraId="39E07C61" w14:textId="77777777" w:rsidR="004E687C" w:rsidRPr="00313533" w:rsidRDefault="004E687C" w:rsidP="004E687C">
      <w:pPr>
        <w:spacing w:before="120"/>
        <w:jc w:val="both"/>
      </w:pPr>
      <w:r>
        <w:t xml:space="preserve">Avec une régression de 30 à 50% dans toute la partie sahélienne ouest du pays le modèle </w:t>
      </w:r>
      <w:r w:rsidRPr="00313533">
        <w:t xml:space="preserve">prévoit que la zone sahélienne sera limitée dans les deux extrêmes sud-est (sud du Hodh Ech-charghi), et sud-ouest (l’ouest du Trarza y compris la région de Nouakchott). Même dans les zones les moins touchées susmentionnées la baise de pluviométrie sera supérieure à 100mm/an ce qui se traduira par le quadruple voir plus de fréquence des sécheresses.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4E687C" w14:paraId="315C910A" w14:textId="77777777" w:rsidTr="00EE0E23">
        <w:tc>
          <w:tcPr>
            <w:tcW w:w="4606" w:type="dxa"/>
          </w:tcPr>
          <w:p w14:paraId="74106E2D" w14:textId="77777777" w:rsidR="004E687C" w:rsidRPr="004F5E78" w:rsidRDefault="004E687C" w:rsidP="00EE0E23">
            <w:pPr>
              <w:spacing w:before="120" w:after="100" w:afterAutospacing="1"/>
              <w:jc w:val="both"/>
            </w:pPr>
            <w:r w:rsidRPr="004F5E78">
              <w:t>Pluies ECHAM4, horizon 2100</w:t>
            </w:r>
          </w:p>
        </w:tc>
        <w:tc>
          <w:tcPr>
            <w:tcW w:w="4606" w:type="dxa"/>
          </w:tcPr>
          <w:p w14:paraId="355FA57E" w14:textId="77777777" w:rsidR="004E687C" w:rsidRPr="004F5E78" w:rsidRDefault="004E687C" w:rsidP="00EE0E23">
            <w:pPr>
              <w:spacing w:before="120" w:after="100" w:afterAutospacing="1"/>
              <w:jc w:val="both"/>
            </w:pPr>
            <w:r w:rsidRPr="004F5E78">
              <w:t>Pluies HADCM3, horizon 2100</w:t>
            </w:r>
          </w:p>
        </w:tc>
      </w:tr>
      <w:tr w:rsidR="004E687C" w14:paraId="178AF80D" w14:textId="77777777" w:rsidTr="00EE0E23">
        <w:tc>
          <w:tcPr>
            <w:tcW w:w="4606" w:type="dxa"/>
          </w:tcPr>
          <w:p w14:paraId="4735044C" w14:textId="77777777" w:rsidR="004E687C" w:rsidRPr="004F5E78" w:rsidRDefault="004E687C" w:rsidP="00EE0E23">
            <w:pPr>
              <w:spacing w:before="120"/>
              <w:jc w:val="both"/>
            </w:pPr>
            <w:r>
              <w:rPr>
                <w:noProof/>
              </w:rPr>
              <w:drawing>
                <wp:inline distT="0" distB="0" distL="0" distR="0" wp14:anchorId="7625963D" wp14:editId="1B01A211">
                  <wp:extent cx="2756535" cy="2586355"/>
                  <wp:effectExtent l="19050" t="0" r="5715" b="0"/>
                  <wp:docPr id="833194600" name="Image 32" descr="ECHAMP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descr="ECHAMP100.jpg"/>
                          <pic:cNvPicPr>
                            <a:picLocks noChangeAspect="1" noChangeArrowheads="1"/>
                          </pic:cNvPicPr>
                        </pic:nvPicPr>
                        <pic:blipFill>
                          <a:blip r:embed="rId249"/>
                          <a:srcRect/>
                          <a:stretch>
                            <a:fillRect/>
                          </a:stretch>
                        </pic:blipFill>
                        <pic:spPr bwMode="auto">
                          <a:xfrm>
                            <a:off x="0" y="0"/>
                            <a:ext cx="2756535" cy="2586355"/>
                          </a:xfrm>
                          <a:prstGeom prst="rect">
                            <a:avLst/>
                          </a:prstGeom>
                          <a:noFill/>
                          <a:ln w="9525">
                            <a:noFill/>
                            <a:miter lim="800000"/>
                            <a:headEnd/>
                            <a:tailEnd/>
                          </a:ln>
                        </pic:spPr>
                      </pic:pic>
                    </a:graphicData>
                  </a:graphic>
                </wp:inline>
              </w:drawing>
            </w:r>
          </w:p>
        </w:tc>
        <w:tc>
          <w:tcPr>
            <w:tcW w:w="4606" w:type="dxa"/>
          </w:tcPr>
          <w:p w14:paraId="57F2C561" w14:textId="77777777" w:rsidR="004E687C" w:rsidRPr="004F5E78" w:rsidRDefault="004E687C" w:rsidP="00EE0E23">
            <w:pPr>
              <w:spacing w:before="120"/>
              <w:jc w:val="both"/>
            </w:pPr>
            <w:r>
              <w:rPr>
                <w:noProof/>
              </w:rPr>
              <w:drawing>
                <wp:inline distT="0" distB="0" distL="0" distR="0" wp14:anchorId="28B31C0D" wp14:editId="7A47E933">
                  <wp:extent cx="2756535" cy="2572385"/>
                  <wp:effectExtent l="19050" t="0" r="5715" b="0"/>
                  <wp:docPr id="722255921" name="Image 33" descr="hadcm3p10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descr="hadcm3p100d.jpg"/>
                          <pic:cNvPicPr>
                            <a:picLocks noChangeAspect="1" noChangeArrowheads="1"/>
                          </pic:cNvPicPr>
                        </pic:nvPicPr>
                        <pic:blipFill>
                          <a:blip r:embed="rId250" cstate="print"/>
                          <a:srcRect/>
                          <a:stretch>
                            <a:fillRect/>
                          </a:stretch>
                        </pic:blipFill>
                        <pic:spPr bwMode="auto">
                          <a:xfrm>
                            <a:off x="0" y="0"/>
                            <a:ext cx="2756535" cy="2572385"/>
                          </a:xfrm>
                          <a:prstGeom prst="rect">
                            <a:avLst/>
                          </a:prstGeom>
                          <a:noFill/>
                          <a:ln w="9525">
                            <a:noFill/>
                            <a:miter lim="800000"/>
                            <a:headEnd/>
                            <a:tailEnd/>
                          </a:ln>
                        </pic:spPr>
                      </pic:pic>
                    </a:graphicData>
                  </a:graphic>
                </wp:inline>
              </w:drawing>
            </w:r>
          </w:p>
        </w:tc>
      </w:tr>
    </w:tbl>
    <w:p w14:paraId="495ACE15" w14:textId="77777777" w:rsidR="004E687C" w:rsidRDefault="004E687C" w:rsidP="004E687C"/>
    <w:p w14:paraId="3BA0E0C8" w14:textId="77777777" w:rsidR="004E687C" w:rsidRDefault="004E687C" w:rsidP="004E687C"/>
    <w:p w14:paraId="25DC3ABD" w14:textId="77777777" w:rsidR="004E687C" w:rsidRPr="003836C8" w:rsidRDefault="004E687C" w:rsidP="004E687C">
      <w:pPr>
        <w:rPr>
          <w:b/>
          <w:bCs/>
        </w:rPr>
      </w:pPr>
      <w:r w:rsidRPr="003836C8">
        <w:rPr>
          <w:b/>
          <w:bCs/>
        </w:rPr>
        <w:t>HADCM3</w:t>
      </w:r>
    </w:p>
    <w:p w14:paraId="0CC63596" w14:textId="77777777" w:rsidR="004E687C" w:rsidRDefault="004E687C" w:rsidP="004E687C">
      <w:pPr>
        <w:spacing w:before="120"/>
        <w:jc w:val="both"/>
      </w:pPr>
      <w:r>
        <w:t>Les sorties du modèle HADCM3 sont plus optimistes avec -23 % au centre de l’Adrar comme maximum de réduction prédite à l’horizon 2100.</w:t>
      </w:r>
      <w:r w:rsidRPr="002B634B">
        <w:t xml:space="preserve"> Cette</w:t>
      </w:r>
      <w:r>
        <w:t xml:space="preserve"> </w:t>
      </w:r>
      <w:r w:rsidRPr="002B634B">
        <w:t>zone aura une réduction maximum des pluies au centre de l’Adrar avec –20 à -2</w:t>
      </w:r>
      <w:r>
        <w:t>3</w:t>
      </w:r>
      <w:r w:rsidRPr="002B634B">
        <w:t>% au centre de l’Adrar</w:t>
      </w:r>
      <w:r>
        <w:t xml:space="preserve"> (soit une baisse de 17 à 19 mm/an)</w:t>
      </w:r>
      <w:r w:rsidRPr="002B634B">
        <w:t>. La régression des pluies sera dans l’ordre de -10 à -20% dans l’ouest de l’Adrar et le centre et l’est de l’Inchiri.  La zone d’El Hank et l’ouest de l’Inchiri connaitront une tendance prédite de régression des pluies allant de -6 à -10% de la normale de référence (1961-1990). Dans ses condition le centre de l’Adrar joindra le nord de l’Inchiri comme hyper aride.</w:t>
      </w:r>
      <w:r>
        <w:t xml:space="preserve"> </w:t>
      </w:r>
    </w:p>
    <w:p w14:paraId="2B027590" w14:textId="77777777" w:rsidR="004E687C" w:rsidRDefault="004E687C" w:rsidP="004E687C">
      <w:pPr>
        <w:spacing w:before="120"/>
        <w:jc w:val="both"/>
      </w:pPr>
      <w:r>
        <w:t>Quant à la ceinture sahélienne du pays, elle subira une régression progressive du sud à -5% au nord à -17%, ce qui se traduira par une baisse globale de l’ordre de 25 à 35mm/an. Cette situation se traduira par un doublement des fréquences des sécheresses sans exclusion des phénomènes extrêmes.</w:t>
      </w:r>
    </w:p>
    <w:p w14:paraId="1864E663" w14:textId="77777777" w:rsidR="004E687C" w:rsidRDefault="004E687C" w:rsidP="004E687C">
      <w:pPr>
        <w:spacing w:before="120"/>
        <w:jc w:val="both"/>
      </w:pPr>
      <w:r>
        <w:t>En conclusion, les scénarii climatiques prévoient une tendance accélérée de la régression des pluies sur le long du territoire nationale. Cette situation pourra produire des conditions de forte pression sur les ressources déjà limitées, chose qui pourra conduire à des circonstances socioéconomiques de plus en plus difficiles.</w:t>
      </w:r>
    </w:p>
    <w:p w14:paraId="71E72BF8" w14:textId="77777777" w:rsidR="004E687C" w:rsidRPr="00186FF1" w:rsidRDefault="004E687C" w:rsidP="004E687C">
      <w:pPr>
        <w:pStyle w:val="Titre2"/>
        <w:numPr>
          <w:ilvl w:val="0"/>
          <w:numId w:val="177"/>
        </w:numPr>
        <w:tabs>
          <w:tab w:val="clear" w:pos="1357"/>
        </w:tabs>
        <w:ind w:left="1134" w:hanging="1134"/>
        <w:rPr>
          <w:i/>
          <w:iCs/>
        </w:rPr>
      </w:pPr>
      <w:bookmarkStart w:id="693" w:name="_Toc192820655"/>
      <w:bookmarkStart w:id="694" w:name="_Toc192821045"/>
      <w:bookmarkStart w:id="695" w:name="_Toc192821174"/>
      <w:bookmarkStart w:id="696" w:name="_Toc343596142"/>
      <w:bookmarkStart w:id="697" w:name="_Toc191285005"/>
      <w:r w:rsidRPr="00186FF1">
        <w:t xml:space="preserve">Incertitude des scénarios de changement climatique dérivés des </w:t>
      </w:r>
      <w:proofErr w:type="spellStart"/>
      <w:r w:rsidRPr="00186FF1">
        <w:t>MCGs</w:t>
      </w:r>
      <w:bookmarkEnd w:id="693"/>
      <w:bookmarkEnd w:id="694"/>
      <w:bookmarkEnd w:id="695"/>
      <w:bookmarkEnd w:id="696"/>
      <w:bookmarkEnd w:id="697"/>
      <w:proofErr w:type="spellEnd"/>
      <w:r w:rsidRPr="00186FF1">
        <w:t xml:space="preserve"> </w:t>
      </w:r>
    </w:p>
    <w:p w14:paraId="4C8EB849" w14:textId="77777777" w:rsidR="004E687C" w:rsidRPr="008028F8" w:rsidRDefault="004E687C" w:rsidP="004E687C">
      <w:pPr>
        <w:jc w:val="both"/>
      </w:pPr>
      <w:r w:rsidRPr="008028F8">
        <w:t xml:space="preserve">L’avenir est incertain (Smith et </w:t>
      </w:r>
      <w:proofErr w:type="spellStart"/>
      <w:r w:rsidRPr="008028F8">
        <w:t>Hulme</w:t>
      </w:r>
      <w:proofErr w:type="spellEnd"/>
      <w:r w:rsidRPr="008028F8">
        <w:t xml:space="preserve">, 1998). Quel que soit le domaine, par exemple économique, financier, social ou climatique, l’incertitude varie avec les hypothèses posées, la connaissance des mécanismes en cause et la fidélité de la simulation à reproduire les processus essentiels qui déterminent l’état futur. Plus le processus sera connu ou défini avec précision, plus on pourra avoir confiance dans l’issue, et inversement. </w:t>
      </w:r>
    </w:p>
    <w:p w14:paraId="1A40B7A4" w14:textId="77777777" w:rsidR="004E687C" w:rsidRPr="008028F8" w:rsidRDefault="004E687C" w:rsidP="004E687C">
      <w:pPr>
        <w:jc w:val="both"/>
      </w:pPr>
      <w:r w:rsidRPr="008028F8">
        <w:t xml:space="preserve">Dans les scénarios climatiques, comme dans tout autre type de scénario, il existe de nombreuses inconnues et incertitudes. L’incertitude découle des hypothèses, de la méthodologie et des connaissances sous-jacentes aux scénarios. Un manque de connaissances ou de compréhension des principes et processus scientifiques en jeu et la difficulté de reproduire ces processus physiques par des simulations informatiques, tout cela </w:t>
      </w:r>
      <w:r>
        <w:t>s’</w:t>
      </w:r>
      <w:r w:rsidRPr="008028F8">
        <w:t xml:space="preserve">ajoute à l’incertitude inhérente aux scénarios. </w:t>
      </w:r>
    </w:p>
    <w:p w14:paraId="3FD1D05E" w14:textId="77777777" w:rsidR="004E687C" w:rsidRPr="008028F8" w:rsidRDefault="004E687C" w:rsidP="004E687C">
      <w:pPr>
        <w:jc w:val="both"/>
      </w:pPr>
      <w:r w:rsidRPr="008028F8">
        <w:t xml:space="preserve">Chaque scénario que l’on peut obtenir du CDD du GIEC représente une réponse unique à un changement imposé dans le forçage radiatif (c.-à-d. l’effet résultant des changements des concentrations atmosphériques de gaz à effet de serre sur le bilan radiatif de l’atmosphère). Par ailleurs, il est possible qu’un scénario de forçage donne un grand nombre de résultats. On le voit jusqu’à un certain point dans les expériences d’ensembles menées par le </w:t>
      </w:r>
      <w:r>
        <w:t xml:space="preserve">Centre Européen de Hambourg </w:t>
      </w:r>
      <w:r w:rsidRPr="008028F8">
        <w:t>et par le Centre Hadley de prévision et de recherche climatiques. Même si la tendance générale de la réponse du climat est analogue dans chacune de ces expériences d’ensemble, l’évolution des manifestations et de l’ampleur du changement climatique diffère pour chaque membre de l’ensemble, et ce malgré le recours à des scénarios de forçage identiques dans chaque expérience d’ensemble</w:t>
      </w:r>
      <w:r>
        <w:t xml:space="preserve"> </w:t>
      </w:r>
      <w:r w:rsidRPr="008028F8">
        <w:t xml:space="preserve">; la seule différence est le point de départ dans le climat de référence du modèle à partir duquel chaque expérience a été amorcée. En plus des nombreuses réponses possibles pour un scénario de forçage donné, même avec le même MCG, il y a d’autres sources d’incertitude qui ont un effet sur l’ampleur et les caractéristiques du changement climatique futur. Il faut, pour que les études de changement climatique soient réalistes, essayer de préciser l’ordre de grandeur de l’incertitude dans les projections de l’avenir. </w:t>
      </w:r>
    </w:p>
    <w:p w14:paraId="6F336C0E" w14:textId="77777777" w:rsidR="004E687C" w:rsidRPr="008028F8" w:rsidRDefault="004E687C" w:rsidP="004E687C">
      <w:pPr>
        <w:jc w:val="both"/>
      </w:pPr>
      <w:r w:rsidRPr="008028F8">
        <w:t xml:space="preserve">Les autres incertitudes inhérentes aux projections du climat découlent généralement des incertitudes dans la définition des facteurs (p. ex., croissance de la population, croissance et développement économiques, utilisation de l’énergie, mesures de contrôle, transfert de technologies non polluantes aux pays en développement) qui influent sur les scénarios d’émissions futures. La conversion de ces émissions en concentrations atmosphériques des gaz à effet de serre pertinents pose également un problème, puisque les sources et puits de gaz à effet de serre n’ont pas tous été adéquatement identifiés et quantifiés. En outre, il existe certaines incertitudes quant aux émissions naturelles de ces gaz. Les émissions industrielles (p. ex., le dioxyde de soufre, source des aérosols de sulfate) étant localisées et leurs effets sur le climat de courte durée, il est difficile de quantifier précisément ces effets supplémentaires. Les concentrations atmosphériques futures de ces gaz et aérosols entraîneront, à leur tour, des incertitudes quant à leur forçage radiatif (c.-à-d. leur capacité de réchauffer ou de refroidir l’atmosphère). Il existe donc nombre d’incertitudes avant même que l’on essaie de modéliser la réponse du climat à un forçage donné. L’introduction des MCG rend ces incertitudes plus complexes, puisque les incertitudes de la modélisation climatique, estime-t-on actuellement, sont aussi importantes que celles résultant des scénarios d’émissions. </w:t>
      </w:r>
    </w:p>
    <w:p w14:paraId="22C540FC" w14:textId="77777777" w:rsidR="004E687C" w:rsidRPr="008028F8" w:rsidRDefault="004E687C" w:rsidP="004E687C">
      <w:pPr>
        <w:jc w:val="both"/>
      </w:pPr>
      <w:r w:rsidRPr="008028F8">
        <w:t>Il n’est pas possible d’intégrer aux MCG tous les processus qui ont une incidence sur le climat, en raison des limites de la technologie et des temps de calcul informatique, dans certains cas, des connaissances sur la façon dont fonctionne un processus. On introduit à la place des paramétrisations, surtout pour les processus qui interviennent à une résolution plus fine que le MCG. Le couplage des modèles de l’atmosphère et de l’océan peut également introduire des erreurs dans le système climatique modélisé, le faisant s’éloigner d’un état réaliste, et imposant donc d’appliquer des corrections (c.-à-d. corrections de flux) pour l’éviter. En outre, les facteurs de forçage naturels (p. ex., éruptions volcaniques, variation de la production solaire) sont appelés à changer. Ils ne figurent pas dans les actuelles expériences par MCG où on étudie la réaction du climat aux émissions de gaz à effet de serre</w:t>
      </w:r>
      <w:r>
        <w:t xml:space="preserve"> </w:t>
      </w:r>
      <w:r w:rsidRPr="008028F8">
        <w:t xml:space="preserve">; leurs effets peuvent pourtant être importants. À titre d’exemple, l’éruption du Pinatubo en juin </w:t>
      </w:r>
      <w:smartTag w:uri="urn:schemas-microsoft-com:office:smarttags" w:element="metricconverter">
        <w:smartTagPr>
          <w:attr w:name="ProductID" w:val="1991 a"/>
        </w:smartTagPr>
        <w:r w:rsidRPr="008028F8">
          <w:t>1991 a</w:t>
        </w:r>
      </w:smartTag>
      <w:r w:rsidRPr="008028F8">
        <w:t xml:space="preserve"> provoqué un refroidissement planétaire d’une ampleur allant jusqu’à </w:t>
      </w:r>
      <w:smartTag w:uri="urn:schemas-microsoft-com:office:smarttags" w:element="metricconverter">
        <w:smartTagPr>
          <w:attr w:name="ProductID" w:val="0,5 ﾰC"/>
        </w:smartTagPr>
        <w:r w:rsidRPr="008028F8">
          <w:t>0,5 °C</w:t>
        </w:r>
      </w:smartTag>
      <w:r w:rsidRPr="008028F8">
        <w:t xml:space="preserve"> à la surface de </w:t>
      </w:r>
      <w:smartTag w:uri="urn:schemas-microsoft-com:office:smarttags" w:element="PersonName">
        <w:smartTagPr>
          <w:attr w:name="ProductID" w:val="la Terre"/>
        </w:smartTagPr>
        <w:r w:rsidRPr="008028F8">
          <w:t>la Terre</w:t>
        </w:r>
      </w:smartTag>
      <w:r w:rsidRPr="008028F8">
        <w:t xml:space="preserve"> pendant les deux ou trois années suivantes (Parker </w:t>
      </w:r>
      <w:r w:rsidRPr="008028F8">
        <w:rPr>
          <w:i/>
          <w:iCs/>
        </w:rPr>
        <w:t>et al.</w:t>
      </w:r>
      <w:r w:rsidRPr="008028F8">
        <w:t xml:space="preserve">, 1996). Même si les événements de ce genre sont des éléments importants de la variabilité à haute fréquence du climat, il est peu probable qu’ils influent substantiellement sur le réchauffement à long terme du climat futur. </w:t>
      </w:r>
    </w:p>
    <w:p w14:paraId="045ACC9B" w14:textId="77777777" w:rsidR="004E687C" w:rsidRPr="008028F8" w:rsidRDefault="004E687C" w:rsidP="004E687C">
      <w:pPr>
        <w:jc w:val="both"/>
      </w:pPr>
      <w:r w:rsidRPr="008028F8">
        <w:t xml:space="preserve">La gamme de résultats des expériences par MCG, par contre, n’est probablement pas un indice de la plage complète des incertitudes concernant le climat futur. Le GIEC-TGCIA a identifié trois grandes sources d’incertitude. </w:t>
      </w:r>
    </w:p>
    <w:p w14:paraId="2A680D9B" w14:textId="77777777" w:rsidR="004E687C" w:rsidRPr="000E72A3" w:rsidRDefault="004E687C" w:rsidP="004E687C">
      <w:pPr>
        <w:numPr>
          <w:ilvl w:val="0"/>
          <w:numId w:val="178"/>
        </w:numPr>
        <w:spacing w:before="100" w:beforeAutospacing="1" w:after="100" w:afterAutospacing="1" w:line="240" w:lineRule="auto"/>
        <w:jc w:val="both"/>
        <w:rPr>
          <w:rStyle w:val="lev"/>
          <w:b w:val="0"/>
          <w:bCs w:val="0"/>
        </w:rPr>
      </w:pPr>
      <w:r>
        <w:rPr>
          <w:rStyle w:val="lev"/>
          <w:rFonts w:ascii="Arial" w:hAnsi="Arial" w:cs="Arial"/>
          <w:color w:val="000000"/>
        </w:rPr>
        <w:t xml:space="preserve">Incertitudes concernant les émissions futures de gaz à effet de serre et d’aérosols </w:t>
      </w:r>
      <w:r>
        <w:rPr>
          <w:rFonts w:ascii="Arial" w:hAnsi="Arial" w:cs="Arial"/>
          <w:color w:val="000000"/>
          <w:sz w:val="19"/>
          <w:szCs w:val="19"/>
        </w:rPr>
        <w:t xml:space="preserve">: </w:t>
      </w:r>
      <w:r w:rsidRPr="000E72A3">
        <w:rPr>
          <w:rStyle w:val="lev"/>
        </w:rPr>
        <w:t>Chacun des scénarios d’émissions SRES supposant des niveaux différents de composition de l’atmosphère et, partant, de forçage radiatif. Jusqu’à maintenant.</w:t>
      </w:r>
    </w:p>
    <w:p w14:paraId="74DECF18" w14:textId="77777777" w:rsidR="004E687C" w:rsidRDefault="004E687C" w:rsidP="004E687C">
      <w:pPr>
        <w:numPr>
          <w:ilvl w:val="0"/>
          <w:numId w:val="178"/>
        </w:numPr>
        <w:spacing w:before="100" w:beforeAutospacing="1" w:after="100" w:afterAutospacing="1" w:line="240" w:lineRule="auto"/>
        <w:jc w:val="both"/>
        <w:rPr>
          <w:rFonts w:ascii="Arial" w:hAnsi="Arial" w:cs="Arial"/>
          <w:color w:val="000000"/>
          <w:sz w:val="19"/>
          <w:szCs w:val="19"/>
        </w:rPr>
      </w:pPr>
      <w:r>
        <w:rPr>
          <w:rStyle w:val="lev"/>
          <w:rFonts w:ascii="Arial" w:hAnsi="Arial" w:cs="Arial"/>
          <w:color w:val="000000"/>
        </w:rPr>
        <w:t xml:space="preserve">Incertitudes concernant la sensibilité du climat planétaire </w:t>
      </w:r>
      <w:r>
        <w:rPr>
          <w:rFonts w:ascii="Arial" w:hAnsi="Arial" w:cs="Arial"/>
          <w:color w:val="000000"/>
          <w:sz w:val="19"/>
          <w:szCs w:val="19"/>
        </w:rPr>
        <w:t xml:space="preserve">: </w:t>
      </w:r>
      <w:r w:rsidRPr="000E72A3">
        <w:rPr>
          <w:rStyle w:val="lev"/>
        </w:rPr>
        <w:t>Chaque MCG simule différemment les processus physiques et rétroactions définissant le climat</w:t>
      </w:r>
      <w:r>
        <w:rPr>
          <w:rStyle w:val="lev"/>
        </w:rPr>
        <w:t xml:space="preserve"> </w:t>
      </w:r>
      <w:r w:rsidRPr="000E72A3">
        <w:rPr>
          <w:rStyle w:val="lev"/>
        </w:rPr>
        <w:t>; le résultat en est que certains MCG simulent un réchauffement planétaire moyen par unité de forçage radiatif plus grand que d’autres (c.-à-d. que certains ont une sensibilité du climat élevée4 et d’autres non).</w:t>
      </w:r>
      <w:r>
        <w:rPr>
          <w:rFonts w:ascii="Arial" w:hAnsi="Arial" w:cs="Arial"/>
          <w:color w:val="000000"/>
          <w:sz w:val="19"/>
          <w:szCs w:val="19"/>
        </w:rPr>
        <w:t xml:space="preserve"> </w:t>
      </w:r>
    </w:p>
    <w:p w14:paraId="22BBB91E" w14:textId="77777777" w:rsidR="004E687C" w:rsidRPr="005021BF" w:rsidRDefault="004E687C" w:rsidP="004E687C">
      <w:pPr>
        <w:numPr>
          <w:ilvl w:val="0"/>
          <w:numId w:val="178"/>
        </w:numPr>
        <w:spacing w:before="100" w:beforeAutospacing="1" w:after="100" w:afterAutospacing="1" w:line="240" w:lineRule="auto"/>
        <w:jc w:val="both"/>
        <w:rPr>
          <w:rStyle w:val="lev"/>
          <w:b w:val="0"/>
          <w:bCs w:val="0"/>
          <w:color w:val="000000"/>
        </w:rPr>
      </w:pPr>
      <w:r w:rsidRPr="005021BF">
        <w:rPr>
          <w:rStyle w:val="lev"/>
          <w:rFonts w:ascii="Arial" w:hAnsi="Arial" w:cs="Arial"/>
          <w:color w:val="000000"/>
        </w:rPr>
        <w:t xml:space="preserve">Incertitudes concernant les changements climatiques régionaux </w:t>
      </w:r>
      <w:r w:rsidRPr="005021BF">
        <w:rPr>
          <w:rStyle w:val="lev"/>
        </w:rPr>
        <w:t xml:space="preserve">: En comparant le résultat de divers MCG au niveau régional, on constate des réponses différentes pour le même réchauffement planétaire moyen. </w:t>
      </w:r>
      <w:bookmarkStart w:id="698" w:name="note4"/>
      <w:bookmarkEnd w:id="698"/>
    </w:p>
    <w:p w14:paraId="16B96EDF" w14:textId="77777777" w:rsidR="004E687C" w:rsidRPr="000E72A3" w:rsidRDefault="004E687C" w:rsidP="004E687C">
      <w:pPr>
        <w:numPr>
          <w:ilvl w:val="0"/>
          <w:numId w:val="178"/>
        </w:numPr>
        <w:spacing w:before="100" w:beforeAutospacing="1" w:after="100" w:afterAutospacing="1" w:line="240" w:lineRule="auto"/>
        <w:jc w:val="both"/>
        <w:rPr>
          <w:rStyle w:val="lev"/>
          <w:rFonts w:ascii="Arial" w:hAnsi="Arial" w:cs="Arial"/>
          <w:b w:val="0"/>
          <w:bCs w:val="0"/>
          <w:color w:val="000000"/>
        </w:rPr>
      </w:pPr>
      <w:r w:rsidRPr="000E72A3">
        <w:rPr>
          <w:rStyle w:val="lev"/>
          <w:rFonts w:ascii="Arial" w:hAnsi="Arial" w:cs="Arial"/>
          <w:color w:val="000000"/>
        </w:rPr>
        <w:t xml:space="preserve">La sensibilité du climat </w:t>
      </w:r>
      <w:r w:rsidRPr="000E72A3">
        <w:rPr>
          <w:rStyle w:val="lev"/>
        </w:rPr>
        <w:t xml:space="preserve">se définit comme le réchauffement planétaire moyen à l’équilibre (c.-à-d. éventuel) qui se produirait si la concentration atmosphérique de CO2 doublait. On utilise généralement ce critère pour préciser la sensibilité de divers modèles du climat du globe à un changement au niveau du forçage. Il est en grande partie fixé par la force des rétroactions à l’intérieur du système climatique (p. ex., rétroaction glace-albédo) et on estime qu’il se situe entre 1,5 à </w:t>
      </w:r>
      <w:smartTag w:uri="urn:schemas-microsoft-com:office:smarttags" w:element="metricconverter">
        <w:smartTagPr>
          <w:attr w:name="ProductID" w:val="4,5 ﾰC"/>
        </w:smartTagPr>
        <w:r w:rsidRPr="000E72A3">
          <w:rPr>
            <w:rStyle w:val="lev"/>
          </w:rPr>
          <w:t>4,5 °C</w:t>
        </w:r>
      </w:smartTag>
      <w:r w:rsidRPr="000E72A3">
        <w:rPr>
          <w:rStyle w:val="lev"/>
        </w:rPr>
        <w:t xml:space="preserve">, avec une meilleure estimation de </w:t>
      </w:r>
      <w:smartTag w:uri="urn:schemas-microsoft-com:office:smarttags" w:element="metricconverter">
        <w:smartTagPr>
          <w:attr w:name="ProductID" w:val="2,5ﾰC"/>
        </w:smartTagPr>
        <w:r w:rsidRPr="000E72A3">
          <w:rPr>
            <w:rStyle w:val="lev"/>
          </w:rPr>
          <w:t>2,5°C</w:t>
        </w:r>
      </w:smartTag>
      <w:r w:rsidRPr="000E72A3">
        <w:rPr>
          <w:rStyle w:val="lev"/>
        </w:rPr>
        <w:t xml:space="preserve"> (GIEC, 2000, 1992). Les MCG qui indiquent une augmentation plus forte de la température planétaire moyenne en réponse à un changement de forçage donné manifestent une plus grande sensibilité du climat que ceux où l’on constate une augmentation moindre. Même si on le définit comme un réchauffement à l’équilibre ou éventuel, le climat continuera à changer en réponse aux changements de la composition de l’atmosphère.</w:t>
      </w:r>
      <w:r w:rsidRPr="000E72A3">
        <w:rPr>
          <w:rStyle w:val="lev"/>
          <w:rFonts w:ascii="Arial" w:hAnsi="Arial" w:cs="Arial"/>
          <w:color w:val="000000"/>
        </w:rPr>
        <w:t xml:space="preserve"> </w:t>
      </w:r>
    </w:p>
    <w:p w14:paraId="62DF129D" w14:textId="77777777" w:rsidR="004E687C" w:rsidRPr="00394363" w:rsidRDefault="004E687C" w:rsidP="004E687C">
      <w:pPr>
        <w:spacing w:before="120" w:after="120"/>
        <w:jc w:val="both"/>
      </w:pPr>
      <w:r w:rsidRPr="00394363">
        <w:t>Pour essayer d’intégrer la gamme probable de climats futurs induite par ces incertitudes, le GIEC</w:t>
      </w:r>
      <w:r>
        <w:t xml:space="preserve"> </w:t>
      </w:r>
      <w:r w:rsidRPr="00394363">
        <w:t>recommande aux utilisateurs de concevoir et d’appliquer des scénarios multiples dans les évaluations des répercussions, si ces scénarios couvrent une gamme de climats futurs possibles, plutôt que d’appliquer un scénario unique «</w:t>
      </w:r>
      <w:r>
        <w:t xml:space="preserve"> de meilleure estimation</w:t>
      </w:r>
      <w:r w:rsidRPr="00394363">
        <w:t xml:space="preserve"> ». </w:t>
      </w:r>
    </w:p>
    <w:p w14:paraId="22D9F451" w14:textId="77777777" w:rsidR="004E687C" w:rsidRDefault="004E687C" w:rsidP="004E687C">
      <w:pPr>
        <w:spacing w:before="120" w:after="120"/>
        <w:jc w:val="both"/>
      </w:pPr>
      <w:r w:rsidRPr="00394363">
        <w:t xml:space="preserve">Les scénarios de changement climatique actuellement offerts dans le CDD du GIEC donnent la gamme future probable de climats en réponse à un forçage de type </w:t>
      </w:r>
      <w:r>
        <w:t>SRES</w:t>
      </w:r>
      <w:r w:rsidRPr="00394363">
        <w:t xml:space="preserve"> (c.-à-d. qu’ils représentent l’incertitude dans la réponse du MCG au scénario d’émissions </w:t>
      </w:r>
      <w:r>
        <w:t>SRES</w:t>
      </w:r>
      <w:r w:rsidRPr="00394363">
        <w:t xml:space="preserve">, un scénario d’émissions de type « maintien du </w:t>
      </w:r>
      <w:r w:rsidRPr="00394363">
        <w:rPr>
          <w:i/>
          <w:iCs/>
        </w:rPr>
        <w:t xml:space="preserve">statu quo </w:t>
      </w:r>
      <w:r w:rsidRPr="00394363">
        <w:t xml:space="preserve">», et sont donc un sous-ensemble de la gamme des climats futurs indiqués). Le SCRC peut actuellement offrir 25 scénarios de changement climatique, nombre qui est probablement beaucoup trop élevé, à toutes fins utiles, pour la plupart des évaluations des répercussions. </w:t>
      </w:r>
    </w:p>
    <w:p w14:paraId="1E7E94C1" w14:textId="77777777" w:rsidR="004E687C" w:rsidRDefault="004E687C" w:rsidP="004E687C">
      <w:pPr>
        <w:spacing w:before="120" w:after="120"/>
        <w:jc w:val="both"/>
      </w:pPr>
      <w:r w:rsidRPr="00394363">
        <w:t>En pointant les changements de température et de précipitations associés à chaque scénario, on obtient une indication de la plage des résultats. On voit immédiatement que la plage de résultats est beaucoup plus grande pour la maille unique. Si l’on sait que l’objet de l’étude de changement climatique est particulièrement sensible aux changements touchant une variable climatique spécifique ou aux changements pour une saison ou un mois particulier, le choix des scénarios doit alors reposer sur cette variable et/ou cette période.</w:t>
      </w:r>
    </w:p>
    <w:p w14:paraId="791D74F8" w14:textId="77777777" w:rsidR="004E687C" w:rsidRPr="00394363" w:rsidRDefault="004E687C" w:rsidP="004E687C">
      <w:pPr>
        <w:spacing w:before="120" w:after="120"/>
        <w:jc w:val="both"/>
      </w:pPr>
      <w:r w:rsidRPr="00394363">
        <w:t xml:space="preserve">À titre d’exemple, il serait possible d’utiliser le scénario ECHAM avec gaz à effet de serre seulement pour illustrer les conditions chaudes et sèches, tandis que le scénario </w:t>
      </w:r>
      <w:proofErr w:type="spellStart"/>
      <w:r>
        <w:t>Had</w:t>
      </w:r>
      <w:proofErr w:type="spellEnd"/>
      <w:r>
        <w:t xml:space="preserve"> CM3</w:t>
      </w:r>
      <w:r w:rsidRPr="00394363">
        <w:t xml:space="preserve"> avec gaz à effet de serre pourrait servir à illustrer des conditions froides et humides (à remarquer que ce scénario, qui donne la plus forte augmentation des précipitations estivales, n’est pas le scénario le plus froid). Ces </w:t>
      </w:r>
      <w:r>
        <w:t>deux</w:t>
      </w:r>
      <w:r w:rsidRPr="00394363">
        <w:t xml:space="preserve"> scénarios pourraient alors servir à définir la gamme des climats futurs possibles en réponse au forçage </w:t>
      </w:r>
      <w:r>
        <w:t>SRES</w:t>
      </w:r>
      <w:r w:rsidRPr="00394363">
        <w:t xml:space="preserve">, mais le choix de scénarios illustrant des conditions froides et sèches, et chaudes et humides pourrait donner une image plus complète des conditions climatiques futures. </w:t>
      </w:r>
    </w:p>
    <w:p w14:paraId="7A1D4B85" w14:textId="77777777" w:rsidR="004E687C" w:rsidRPr="00384106" w:rsidRDefault="004E687C" w:rsidP="004E687C">
      <w:pPr>
        <w:spacing w:before="120" w:after="120"/>
        <w:jc w:val="both"/>
      </w:pPr>
      <w:r w:rsidRPr="00394363">
        <w:t xml:space="preserve">Il faut préciser que les scénarios que l’on peut obtenir du CDD du GIEC et ont, la même plausibilité (c.-à-d. qu’aucun scénario n’est considéré comme supérieur). Toutefois, on reconnaît que certains MCG parviendraient mieux que d’autres à simuler le climat dans une région particulière. Un examen des publications scientifiques décrivant les divers MCG et les résultats des nombreuses études de comparaison de modèles devrait permettre de repérer les MCG qui pourraient simuler moins bien que d’autres certaines caractéristiques du climat actuel. On essaie, dans la façon de concevoir les scénarios de changement climatique, de surmonter les lacunes de performance du modèle en utilisant à des champs de changement plutôt que la sortie du modèle proprement dite. Toutefois, certains chercheurs peuvent préférer n’utiliser que les scénarios issus des MCG offrant la représentation la plus précise du climat actuel dans la région qu’ils étudient. Il incombe donc au chercheur, et non au fournisseur de scénarios, de sélectionner ces MCG. La concordance entre modèles ne signifie pas nécessairement que la sortie du MCG est correcte. Il est possible que des MCG différents donnent des résultats extrêmement semblables dans une région en particulier tout en offrant une performance </w:t>
      </w:r>
      <w:proofErr w:type="gramStart"/>
      <w:r w:rsidRPr="00394363">
        <w:t>inférieure;</w:t>
      </w:r>
      <w:proofErr w:type="gramEnd"/>
      <w:r w:rsidRPr="00394363">
        <w:t xml:space="preserve"> cela pourrait tenir à des lacu</w:t>
      </w:r>
      <w:r>
        <w:t>nes communes dans les modèles.</w:t>
      </w:r>
    </w:p>
    <w:p w14:paraId="50E73037" w14:textId="77777777" w:rsidR="004E687C" w:rsidRPr="001C5951" w:rsidRDefault="004E687C" w:rsidP="004E687C">
      <w:pPr>
        <w:pStyle w:val="Titre1"/>
        <w:numPr>
          <w:ilvl w:val="0"/>
          <w:numId w:val="185"/>
        </w:numPr>
        <w:ind w:left="720" w:hanging="360"/>
      </w:pPr>
      <w:bookmarkStart w:id="699" w:name="_Toc192820656"/>
      <w:bookmarkStart w:id="700" w:name="_Toc192821046"/>
      <w:bookmarkStart w:id="701" w:name="_Toc192821175"/>
      <w:bookmarkStart w:id="702" w:name="_Toc343596143"/>
      <w:bookmarkStart w:id="703" w:name="_Toc191285006"/>
      <w:r w:rsidRPr="001C5951">
        <w:t>Conclusion et recommandations</w:t>
      </w:r>
      <w:bookmarkEnd w:id="699"/>
      <w:bookmarkEnd w:id="700"/>
      <w:bookmarkEnd w:id="701"/>
      <w:bookmarkEnd w:id="702"/>
      <w:bookmarkEnd w:id="703"/>
    </w:p>
    <w:p w14:paraId="50319468" w14:textId="77777777" w:rsidR="004E687C" w:rsidRDefault="004E687C" w:rsidP="004E687C">
      <w:pPr>
        <w:jc w:val="both"/>
      </w:pPr>
      <w:r w:rsidRPr="00253AF5">
        <w:rPr>
          <w:b/>
          <w:bCs/>
          <w:color w:val="0033CC"/>
        </w:rPr>
        <w:t>En conclusion</w:t>
      </w:r>
      <w:r w:rsidRPr="0084332E">
        <w:t xml:space="preserve">, </w:t>
      </w:r>
      <w:r w:rsidRPr="00253AF5">
        <w:rPr>
          <w:highlight w:val="yellow"/>
        </w:rPr>
        <w:t xml:space="preserve">le climat de la Mauritanie est d’une variabilité naturelle élevée </w:t>
      </w:r>
      <w:r>
        <w:rPr>
          <w:highlight w:val="yellow"/>
        </w:rPr>
        <w:t>s</w:t>
      </w:r>
      <w:r w:rsidRPr="00253AF5">
        <w:rPr>
          <w:highlight w:val="yellow"/>
        </w:rPr>
        <w:t>e provoquant un niveau de sensibilité (vulnérabilité) sectorielle marquée sur tous les secteurs d’activité</w:t>
      </w:r>
      <w:r>
        <w:rPr>
          <w:highlight w:val="yellow"/>
        </w:rPr>
        <w:t>s</w:t>
      </w:r>
      <w:r w:rsidRPr="00253AF5">
        <w:rPr>
          <w:highlight w:val="yellow"/>
        </w:rPr>
        <w:t xml:space="preserve"> choisis dans cette étude. La situation sera plus complexe avec </w:t>
      </w:r>
      <w:r w:rsidRPr="00186FF1">
        <w:t>les changements climatiques, pour mieux évaluer</w:t>
      </w:r>
      <w:r w:rsidRPr="00253AF5">
        <w:rPr>
          <w:highlight w:val="yellow"/>
        </w:rPr>
        <w:t xml:space="preserve"> cette vulnérabilité liée aux changements climatiques il est recommandé aux experts sectoriels de :</w:t>
      </w:r>
    </w:p>
    <w:p w14:paraId="19173F3D" w14:textId="77777777" w:rsidR="004E687C" w:rsidRPr="00253AF5" w:rsidRDefault="004E687C" w:rsidP="004E687C">
      <w:pPr>
        <w:numPr>
          <w:ilvl w:val="0"/>
          <w:numId w:val="179"/>
        </w:numPr>
        <w:spacing w:after="0" w:line="240" w:lineRule="auto"/>
        <w:jc w:val="both"/>
        <w:rPr>
          <w:b/>
          <w:bCs/>
          <w:color w:val="FF0000"/>
        </w:rPr>
      </w:pPr>
      <w:r w:rsidRPr="00253AF5">
        <w:rPr>
          <w:b/>
          <w:bCs/>
          <w:color w:val="FF0000"/>
        </w:rPr>
        <w:t xml:space="preserve">Prendre en considération la variabilité climatique dans la description de l’état de lieu du secteur. Tout en essayant d’évaluer sur la base des données sectorielles les situations de stress climatiques (tel que les sécheresses).  </w:t>
      </w:r>
    </w:p>
    <w:p w14:paraId="2BE1B864" w14:textId="77777777" w:rsidR="004E687C" w:rsidRPr="00253AF5" w:rsidRDefault="004E687C" w:rsidP="004E687C">
      <w:pPr>
        <w:numPr>
          <w:ilvl w:val="0"/>
          <w:numId w:val="179"/>
        </w:numPr>
        <w:spacing w:after="0" w:line="240" w:lineRule="auto"/>
        <w:jc w:val="both"/>
        <w:rPr>
          <w:b/>
          <w:bCs/>
          <w:color w:val="FF0000"/>
        </w:rPr>
      </w:pPr>
      <w:r w:rsidRPr="00253AF5">
        <w:rPr>
          <w:b/>
          <w:bCs/>
          <w:color w:val="FF0000"/>
        </w:rPr>
        <w:t>Sur la base de l’évaluation de la situation de base se dégage le niveau de sensibilité aux CC</w:t>
      </w:r>
      <w:r>
        <w:rPr>
          <w:b/>
          <w:bCs/>
          <w:color w:val="FF0000"/>
        </w:rPr>
        <w:t> ;</w:t>
      </w:r>
      <w:r w:rsidRPr="00253AF5">
        <w:rPr>
          <w:b/>
          <w:bCs/>
          <w:color w:val="FF0000"/>
        </w:rPr>
        <w:t xml:space="preserve"> dans ce cadre il sera utile d’introduire les résultats de la simulation en laissant de côté la marge de la variabilité déjà vécue.  </w:t>
      </w:r>
    </w:p>
    <w:p w14:paraId="0D6B94C5" w14:textId="77777777" w:rsidR="004E687C" w:rsidRPr="00253AF5" w:rsidRDefault="004E687C" w:rsidP="004E687C">
      <w:pPr>
        <w:jc w:val="both"/>
        <w:rPr>
          <w:b/>
          <w:bCs/>
          <w:color w:val="FF0000"/>
        </w:rPr>
      </w:pPr>
      <w:r w:rsidRPr="00253AF5">
        <w:rPr>
          <w:b/>
          <w:bCs/>
          <w:color w:val="FF0000"/>
        </w:rPr>
        <w:t xml:space="preserve">L’évaluation de la vulnérabilité sectorielle aux changements climatiques doit se faire sur la base des résultats des sorties ainsi que sur la simulation des extrêmes (dans notre cas les sécheresses).  </w:t>
      </w:r>
    </w:p>
    <w:p w14:paraId="73370522" w14:textId="77777777" w:rsidR="004E687C" w:rsidRDefault="004E687C" w:rsidP="004E687C">
      <w:pPr>
        <w:tabs>
          <w:tab w:val="left" w:pos="1050"/>
        </w:tabs>
        <w:jc w:val="both"/>
      </w:pPr>
      <w:r>
        <w:tab/>
      </w:r>
    </w:p>
    <w:p w14:paraId="5F6DA902" w14:textId="20CCD2B4" w:rsidR="00BC6C8B" w:rsidRPr="00864152" w:rsidRDefault="00BC6C8B" w:rsidP="00BC6C8B">
      <w:pPr>
        <w:spacing w:after="334"/>
        <w:jc w:val="both"/>
      </w:pPr>
    </w:p>
    <w:p w14:paraId="0CF9A126" w14:textId="77777777" w:rsidR="00BC6C8B" w:rsidRPr="00864152" w:rsidRDefault="00BC6C8B" w:rsidP="00BC6C8B">
      <w:pPr>
        <w:spacing w:after="333"/>
        <w:jc w:val="both"/>
      </w:pPr>
      <w:r w:rsidRPr="00864152">
        <w:t xml:space="preserve"> </w:t>
      </w:r>
    </w:p>
    <w:p w14:paraId="5FA7E61A" w14:textId="77777777" w:rsidR="00BC6C8B" w:rsidRPr="004E687C" w:rsidRDefault="00BC6C8B" w:rsidP="00BC6C8B">
      <w:pPr>
        <w:spacing w:after="333"/>
        <w:jc w:val="both"/>
        <w:rPr>
          <w:lang w:val="wo-SN"/>
        </w:rPr>
      </w:pPr>
      <w:r w:rsidRPr="004E687C">
        <w:rPr>
          <w:lang w:val="wo-SN"/>
        </w:rPr>
        <w:t xml:space="preserve"> </w:t>
      </w:r>
    </w:p>
    <w:p w14:paraId="47334F3B" w14:textId="77777777" w:rsidR="00BC6C8B" w:rsidRPr="004E687C" w:rsidRDefault="00BC6C8B" w:rsidP="00BC6C8B">
      <w:pPr>
        <w:spacing w:after="0"/>
        <w:jc w:val="both"/>
        <w:rPr>
          <w:lang w:val="wo-SN"/>
        </w:rPr>
      </w:pPr>
      <w:r w:rsidRPr="004E687C">
        <w:rPr>
          <w:lang w:val="wo-SN"/>
        </w:rPr>
        <w:t xml:space="preserve"> </w:t>
      </w:r>
    </w:p>
    <w:p w14:paraId="656A81B8" w14:textId="77777777" w:rsidR="00BC6C8B" w:rsidRPr="004E687C" w:rsidRDefault="00BC6C8B" w:rsidP="00BC6C8B">
      <w:pPr>
        <w:tabs>
          <w:tab w:val="left" w:pos="3735"/>
        </w:tabs>
        <w:rPr>
          <w:rFonts w:ascii="Times New Roman" w:hAnsi="Times New Roman" w:cs="Times New Roman"/>
          <w:lang w:val="wo-SN"/>
        </w:rPr>
      </w:pPr>
    </w:p>
    <w:p w14:paraId="41FF6927" w14:textId="77777777" w:rsidR="00BC6C8B" w:rsidRPr="004E687C" w:rsidRDefault="00BC6C8B" w:rsidP="00BC6C8B">
      <w:pPr>
        <w:tabs>
          <w:tab w:val="left" w:pos="1060"/>
        </w:tabs>
        <w:rPr>
          <w:rFonts w:asciiTheme="majorBidi" w:eastAsia="Times New Roman" w:hAnsiTheme="majorBidi" w:cstheme="majorBidi"/>
          <w:sz w:val="24"/>
          <w:szCs w:val="24"/>
          <w:lang w:val="wo-SN" w:eastAsia="fr-FR"/>
        </w:rPr>
      </w:pPr>
    </w:p>
    <w:p w14:paraId="3DE7E5E5" w14:textId="77777777" w:rsidR="00412F22" w:rsidRDefault="00412F22" w:rsidP="00412F22">
      <w:pPr>
        <w:pStyle w:val="Titre4"/>
        <w:tabs>
          <w:tab w:val="left" w:pos="426"/>
        </w:tabs>
        <w:spacing w:before="104"/>
      </w:pPr>
      <w:bookmarkStart w:id="704" w:name="_Hlk193573191"/>
      <w:r>
        <w:rPr>
          <w:noProof/>
        </w:rPr>
        <w:drawing>
          <wp:anchor distT="0" distB="0" distL="0" distR="0" simplePos="0" relativeHeight="251746304" behindDoc="0" locked="0" layoutInCell="1" allowOverlap="1" wp14:anchorId="68A6BFCF" wp14:editId="3B93A8E2">
            <wp:simplePos x="0" y="0"/>
            <wp:positionH relativeFrom="page">
              <wp:posOffset>3393440</wp:posOffset>
            </wp:positionH>
            <wp:positionV relativeFrom="paragraph">
              <wp:posOffset>0</wp:posOffset>
            </wp:positionV>
            <wp:extent cx="905510" cy="900430"/>
            <wp:effectExtent l="0" t="0" r="0" b="0"/>
            <wp:wrapTopAndBottom/>
            <wp:docPr id="658683625" name="image3.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jpeg"/>
                    <pic:cNvPicPr>
                      <a:picLocks/>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905510" cy="900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6B554A" w14:textId="77777777" w:rsidR="00412F22" w:rsidRDefault="00412F22" w:rsidP="00412F22">
      <w:pPr>
        <w:spacing w:before="120" w:after="120"/>
        <w:ind w:left="567" w:right="484"/>
        <w:jc w:val="center"/>
        <w:rPr>
          <w:b/>
          <w:sz w:val="36"/>
        </w:rPr>
      </w:pPr>
      <w:r>
        <w:rPr>
          <w:b/>
          <w:sz w:val="36"/>
        </w:rPr>
        <w:t>REPUBLIQUE ISLAMIQUE DE MAURITANIE</w:t>
      </w:r>
    </w:p>
    <w:p w14:paraId="24B3BC38" w14:textId="77777777" w:rsidR="00412F22" w:rsidRPr="00411A4D" w:rsidRDefault="00412F22" w:rsidP="00412F22">
      <w:pPr>
        <w:spacing w:before="120" w:after="120"/>
        <w:ind w:left="551" w:right="568"/>
        <w:jc w:val="center"/>
        <w:rPr>
          <w:b/>
        </w:rPr>
      </w:pPr>
      <w:r w:rsidRPr="00411A4D">
        <w:rPr>
          <w:b/>
        </w:rPr>
        <w:t>Honneur-Fraternité-Justice</w:t>
      </w:r>
    </w:p>
    <w:p w14:paraId="1E487CFF" w14:textId="77777777" w:rsidR="00412F22" w:rsidRPr="00411A4D" w:rsidRDefault="00412F22" w:rsidP="00412F22">
      <w:pPr>
        <w:spacing w:before="120" w:after="120"/>
        <w:jc w:val="center"/>
      </w:pPr>
      <w:r w:rsidRPr="00411A4D">
        <w:rPr>
          <w:b/>
        </w:rPr>
        <w:t>MINISTERE DE L’ENVIRONNEMENT ET DU DEVELOPPEMENT DURABLE</w:t>
      </w:r>
    </w:p>
    <w:p w14:paraId="5DF01582" w14:textId="77777777" w:rsidR="00412F22" w:rsidRPr="002C21C7" w:rsidRDefault="00412F22" w:rsidP="00412F22">
      <w:pPr>
        <w:jc w:val="center"/>
      </w:pPr>
      <w:r w:rsidRPr="00E4224A">
        <w:rPr>
          <w:b/>
          <w:bCs/>
          <w:color w:val="00B0F0"/>
          <w:sz w:val="36"/>
          <w:szCs w:val="36"/>
        </w:rPr>
        <w:t>Cinquième Communication Nationale</w:t>
      </w:r>
      <w:r>
        <w:rPr>
          <w:b/>
          <w:bCs/>
          <w:color w:val="00B0F0"/>
          <w:sz w:val="36"/>
          <w:szCs w:val="36"/>
        </w:rPr>
        <w:t xml:space="preserve"> sur les CC</w:t>
      </w:r>
    </w:p>
    <w:p w14:paraId="5E75F205" w14:textId="77777777" w:rsidR="00412F22" w:rsidRPr="00412F22" w:rsidRDefault="00412F22" w:rsidP="00412F22">
      <w:pPr>
        <w:rPr>
          <w:sz w:val="2"/>
          <w:szCs w:val="2"/>
        </w:rPr>
      </w:pPr>
    </w:p>
    <w:p w14:paraId="6DD282D4" w14:textId="77777777" w:rsidR="00412F22" w:rsidRPr="00352BB3" w:rsidRDefault="00412F22" w:rsidP="00412F22">
      <w:pPr>
        <w:pBdr>
          <w:top w:val="single" w:sz="4" w:space="1" w:color="auto"/>
          <w:left w:val="single" w:sz="4" w:space="4" w:color="auto"/>
          <w:bottom w:val="single" w:sz="4" w:space="1" w:color="auto"/>
          <w:right w:val="single" w:sz="4" w:space="31" w:color="auto"/>
        </w:pBdr>
        <w:jc w:val="center"/>
        <w:rPr>
          <w:b/>
          <w:bCs/>
          <w:color w:val="7030A0"/>
          <w:sz w:val="32"/>
          <w:szCs w:val="32"/>
        </w:rPr>
      </w:pPr>
      <w:r w:rsidRPr="00352BB3">
        <w:rPr>
          <w:b/>
          <w:bCs/>
          <w:color w:val="7030A0"/>
          <w:sz w:val="32"/>
          <w:szCs w:val="32"/>
        </w:rPr>
        <w:t xml:space="preserve">CHAPITRE 3 : EVALUATION DE LA VULNERABILITE AU CHANGEMENT CLIMATOQUE DES SECTEURS ET ECOSYSTEMES DE LA MAURITANIE </w:t>
      </w:r>
    </w:p>
    <w:p w14:paraId="3FF1F720" w14:textId="77777777" w:rsidR="00412F22" w:rsidRPr="00412F22" w:rsidRDefault="00412F22" w:rsidP="00412F22">
      <w:pPr>
        <w:rPr>
          <w:color w:val="00B0F0"/>
          <w:sz w:val="2"/>
          <w:szCs w:val="2"/>
        </w:rPr>
      </w:pPr>
    </w:p>
    <w:p w14:paraId="40A2670F" w14:textId="77777777" w:rsidR="00412F22" w:rsidRPr="00AB17FF" w:rsidRDefault="00412F22" w:rsidP="00412F22">
      <w:pPr>
        <w:pBdr>
          <w:top w:val="single" w:sz="4" w:space="1" w:color="auto"/>
          <w:left w:val="single" w:sz="4" w:space="4" w:color="auto"/>
          <w:bottom w:val="single" w:sz="4" w:space="1" w:color="auto"/>
          <w:right w:val="single" w:sz="4" w:space="4" w:color="auto"/>
        </w:pBdr>
        <w:jc w:val="center"/>
        <w:rPr>
          <w:b/>
          <w:bCs/>
          <w:color w:val="00B050"/>
          <w:sz w:val="40"/>
          <w:szCs w:val="40"/>
        </w:rPr>
      </w:pPr>
      <w:r>
        <w:rPr>
          <w:b/>
          <w:bCs/>
          <w:color w:val="00B050"/>
          <w:sz w:val="40"/>
          <w:szCs w:val="40"/>
        </w:rPr>
        <w:t xml:space="preserve">3. 2     </w:t>
      </w:r>
      <w:r w:rsidRPr="00AB17FF">
        <w:rPr>
          <w:b/>
          <w:bCs/>
          <w:color w:val="00B050"/>
          <w:sz w:val="40"/>
          <w:szCs w:val="40"/>
        </w:rPr>
        <w:t xml:space="preserve">Scénarios socioéconomiques de référence </w:t>
      </w:r>
    </w:p>
    <w:p w14:paraId="31587B86" w14:textId="77777777" w:rsidR="00412F22" w:rsidRPr="002C21C7" w:rsidRDefault="00412F22" w:rsidP="00412F22">
      <w:pPr>
        <w:spacing w:before="240"/>
        <w:rPr>
          <w:rFonts w:ascii="Calibri" w:hAnsi="Calibri" w:cs="Calibri"/>
          <w:b/>
          <w:bCs/>
        </w:rPr>
      </w:pPr>
      <w:r>
        <w:rPr>
          <w:rFonts w:ascii="Calibri" w:hAnsi="Calibri" w:cs="Calibri"/>
          <w:b/>
          <w:bCs/>
        </w:rPr>
        <w:t xml:space="preserve">                                                    Dr </w:t>
      </w:r>
      <w:r w:rsidRPr="002C21C7">
        <w:rPr>
          <w:rFonts w:ascii="Calibri" w:hAnsi="Calibri" w:cs="Calibri"/>
          <w:b/>
          <w:bCs/>
        </w:rPr>
        <w:t>Assane Soumaré</w:t>
      </w:r>
    </w:p>
    <w:p w14:paraId="5F5E17EC" w14:textId="77777777" w:rsidR="00412F22" w:rsidRPr="00AB17FF" w:rsidRDefault="00412F22" w:rsidP="00412F22">
      <w:pPr>
        <w:ind w:right="1137"/>
        <w:jc w:val="center"/>
        <w:rPr>
          <w:rFonts w:cstheme="minorHAnsi"/>
          <w:b/>
          <w:bCs/>
        </w:rPr>
      </w:pPr>
      <w:r>
        <w:rPr>
          <w:rFonts w:cstheme="minorHAnsi"/>
          <w:b/>
          <w:bCs/>
        </w:rPr>
        <w:t>Mars</w:t>
      </w:r>
      <w:r w:rsidRPr="004F0020">
        <w:rPr>
          <w:rFonts w:cstheme="minorHAnsi"/>
          <w:b/>
          <w:bCs/>
        </w:rPr>
        <w:t xml:space="preserve"> 2025</w:t>
      </w:r>
    </w:p>
    <w:p w14:paraId="37C8A35C" w14:textId="77777777" w:rsidR="00412F22" w:rsidRPr="004F0020" w:rsidRDefault="00412F22" w:rsidP="00412F22"/>
    <w:p w14:paraId="272FC61B" w14:textId="77777777" w:rsidR="00412F22" w:rsidRPr="004F0020" w:rsidRDefault="00412F22" w:rsidP="00412F22"/>
    <w:p w14:paraId="6ECFD0CC" w14:textId="77777777" w:rsidR="00412F22" w:rsidRPr="004F0020" w:rsidRDefault="00412F22" w:rsidP="00412F22"/>
    <w:p w14:paraId="358A1DE4" w14:textId="77777777" w:rsidR="00412F22" w:rsidRPr="004F0020" w:rsidRDefault="00412F22" w:rsidP="00412F22"/>
    <w:p w14:paraId="0EA9905E" w14:textId="77777777" w:rsidR="00412F22" w:rsidRPr="004F0020" w:rsidRDefault="00412F22" w:rsidP="00412F22"/>
    <w:p w14:paraId="1A142624" w14:textId="77777777" w:rsidR="00412F22" w:rsidRPr="004F0020" w:rsidRDefault="00412F22" w:rsidP="00412F22"/>
    <w:p w14:paraId="1207EB34" w14:textId="77777777" w:rsidR="00412F22" w:rsidRDefault="00412F22" w:rsidP="00412F22"/>
    <w:p w14:paraId="54D6DF3D" w14:textId="77777777" w:rsidR="00412F22" w:rsidRDefault="00412F22" w:rsidP="00412F22"/>
    <w:p w14:paraId="523F0D96" w14:textId="77777777" w:rsidR="00412F22" w:rsidRDefault="00412F22" w:rsidP="00412F22"/>
    <w:p w14:paraId="57F918F2" w14:textId="77777777" w:rsidR="00412F22" w:rsidRDefault="00412F22" w:rsidP="00412F22"/>
    <w:p w14:paraId="0A3ED382" w14:textId="77777777" w:rsidR="00412F22" w:rsidRDefault="00412F22" w:rsidP="00412F22"/>
    <w:p w14:paraId="2744E2AB" w14:textId="77777777" w:rsidR="00412F22" w:rsidRPr="004F0020" w:rsidRDefault="00412F22" w:rsidP="00412F22"/>
    <w:sdt>
      <w:sdtPr>
        <w:rPr>
          <w:rFonts w:asciiTheme="minorHAnsi" w:eastAsia="Times New Roman" w:hAnsiTheme="minorHAnsi" w:cstheme="minorHAnsi"/>
          <w:b/>
          <w:bCs/>
          <w:color w:val="auto"/>
          <w:sz w:val="24"/>
          <w:szCs w:val="24"/>
          <w:lang w:eastAsia="en-US"/>
        </w:rPr>
        <w:id w:val="821319453"/>
        <w:docPartObj>
          <w:docPartGallery w:val="Table of Contents"/>
          <w:docPartUnique/>
        </w:docPartObj>
      </w:sdtPr>
      <w:sdtEndPr>
        <w:rPr>
          <w:rFonts w:eastAsiaTheme="minorHAnsi" w:cstheme="minorBidi"/>
          <w:b w:val="0"/>
          <w:bCs w:val="0"/>
          <w:noProof/>
          <w:sz w:val="22"/>
          <w:szCs w:val="22"/>
        </w:rPr>
      </w:sdtEndPr>
      <w:sdtContent>
        <w:p w14:paraId="18B875B1" w14:textId="77777777" w:rsidR="00412F22" w:rsidRPr="00764A9B" w:rsidRDefault="00412F22" w:rsidP="00412F22">
          <w:pPr>
            <w:pStyle w:val="En-ttedetabledesmatires"/>
            <w:spacing w:before="0" w:line="360" w:lineRule="auto"/>
            <w:jc w:val="center"/>
            <w:rPr>
              <w:rFonts w:asciiTheme="minorHAnsi" w:eastAsia="Times New Roman" w:hAnsiTheme="minorHAnsi" w:cstheme="minorHAnsi"/>
              <w:b/>
              <w:bCs/>
              <w:color w:val="auto"/>
              <w:sz w:val="16"/>
              <w:szCs w:val="16"/>
            </w:rPr>
          </w:pPr>
        </w:p>
        <w:p w14:paraId="7787CA49" w14:textId="77777777" w:rsidR="00412F22" w:rsidRPr="00764A9B" w:rsidRDefault="00412F22" w:rsidP="00412F22">
          <w:pPr>
            <w:pStyle w:val="En-ttedetabledesmatires"/>
            <w:spacing w:before="0" w:line="240" w:lineRule="auto"/>
            <w:jc w:val="center"/>
            <w:rPr>
              <w:rFonts w:asciiTheme="minorHAnsi" w:hAnsiTheme="minorHAnsi" w:cstheme="minorHAnsi"/>
              <w:b/>
              <w:bCs/>
              <w:color w:val="000000" w:themeColor="text1"/>
              <w:sz w:val="40"/>
              <w:szCs w:val="40"/>
            </w:rPr>
          </w:pPr>
          <w:r w:rsidRPr="00764A9B">
            <w:rPr>
              <w:rFonts w:asciiTheme="minorHAnsi" w:hAnsiTheme="minorHAnsi" w:cstheme="minorHAnsi"/>
              <w:color w:val="000000" w:themeColor="text1"/>
              <w:sz w:val="40"/>
              <w:szCs w:val="40"/>
            </w:rPr>
            <w:t>Table des matières</w:t>
          </w:r>
        </w:p>
        <w:p w14:paraId="2F683B32" w14:textId="77777777" w:rsidR="00412F22" w:rsidRPr="00764A9B" w:rsidRDefault="00412F22" w:rsidP="00412F22">
          <w:pPr>
            <w:pStyle w:val="TM1"/>
            <w:tabs>
              <w:tab w:val="left" w:pos="480"/>
              <w:tab w:val="right" w:leader="dot" w:pos="10625"/>
            </w:tabs>
            <w:rPr>
              <w:rFonts w:eastAsiaTheme="minorEastAsia" w:cstheme="minorBidi"/>
              <w:b/>
              <w:bCs/>
              <w:i w:val="0"/>
              <w:iCs w:val="0"/>
              <w:kern w:val="2"/>
              <w14:ligatures w14:val="standardContextual"/>
            </w:rPr>
          </w:pPr>
          <w:r w:rsidRPr="00A54E66">
            <w:rPr>
              <w:noProof w:val="0"/>
            </w:rPr>
            <w:fldChar w:fldCharType="begin"/>
          </w:r>
          <w:r w:rsidRPr="00A54E66">
            <w:instrText>TOC \o "1-3" \h \z \u</w:instrText>
          </w:r>
          <w:r w:rsidRPr="00A54E66">
            <w:rPr>
              <w:noProof w:val="0"/>
            </w:rPr>
            <w:fldChar w:fldCharType="separate"/>
          </w:r>
          <w:hyperlink w:anchor="_Toc192462507" w:history="1">
            <w:r w:rsidRPr="00764A9B">
              <w:rPr>
                <w:rStyle w:val="Lienhypertexte"/>
              </w:rPr>
              <w:t>I.</w:t>
            </w:r>
            <w:r w:rsidRPr="00764A9B">
              <w:rPr>
                <w:rFonts w:eastAsiaTheme="minorEastAsia" w:cstheme="minorBidi"/>
                <w:i w:val="0"/>
                <w:iCs w:val="0"/>
                <w:kern w:val="2"/>
                <w14:ligatures w14:val="standardContextual"/>
              </w:rPr>
              <w:tab/>
            </w:r>
            <w:r w:rsidRPr="00764A9B">
              <w:rPr>
                <w:rStyle w:val="Lienhypertexte"/>
              </w:rPr>
              <w:t>CONTEXTE</w:t>
            </w:r>
            <w:r w:rsidRPr="00764A9B">
              <w:rPr>
                <w:webHidden/>
              </w:rPr>
              <w:tab/>
            </w:r>
            <w:r w:rsidRPr="00764A9B">
              <w:rPr>
                <w:b/>
                <w:bCs/>
                <w:webHidden/>
              </w:rPr>
              <w:fldChar w:fldCharType="begin"/>
            </w:r>
            <w:r w:rsidRPr="00764A9B">
              <w:rPr>
                <w:webHidden/>
              </w:rPr>
              <w:instrText xml:space="preserve"> PAGEREF _Toc192462507 \h </w:instrText>
            </w:r>
            <w:r w:rsidRPr="00764A9B">
              <w:rPr>
                <w:b/>
                <w:bCs/>
                <w:webHidden/>
              </w:rPr>
            </w:r>
            <w:r w:rsidRPr="00764A9B">
              <w:rPr>
                <w:b/>
                <w:bCs/>
                <w:webHidden/>
              </w:rPr>
              <w:fldChar w:fldCharType="separate"/>
            </w:r>
            <w:r w:rsidRPr="00764A9B">
              <w:rPr>
                <w:webHidden/>
              </w:rPr>
              <w:t>4</w:t>
            </w:r>
            <w:r w:rsidRPr="00764A9B">
              <w:rPr>
                <w:b/>
                <w:bCs/>
                <w:webHidden/>
              </w:rPr>
              <w:fldChar w:fldCharType="end"/>
            </w:r>
          </w:hyperlink>
        </w:p>
        <w:p w14:paraId="4CB3BD90" w14:textId="77777777" w:rsidR="00412F22" w:rsidRDefault="00412F22" w:rsidP="00412F22">
          <w:pPr>
            <w:pStyle w:val="TM1"/>
            <w:tabs>
              <w:tab w:val="left" w:pos="480"/>
              <w:tab w:val="right" w:leader="dot" w:pos="10625"/>
            </w:tabs>
            <w:rPr>
              <w:rFonts w:eastAsiaTheme="minorEastAsia" w:cstheme="minorBidi"/>
              <w:b/>
              <w:bCs/>
              <w:i w:val="0"/>
              <w:iCs w:val="0"/>
              <w:kern w:val="2"/>
              <w14:ligatures w14:val="standardContextual"/>
            </w:rPr>
          </w:pPr>
          <w:hyperlink w:anchor="_Toc192462508" w:history="1">
            <w:r w:rsidRPr="00764A9B">
              <w:rPr>
                <w:rStyle w:val="Lienhypertexte"/>
              </w:rPr>
              <w:t>II.</w:t>
            </w:r>
            <w:r w:rsidRPr="00764A9B">
              <w:rPr>
                <w:rFonts w:eastAsiaTheme="minorEastAsia" w:cstheme="minorBidi"/>
                <w:i w:val="0"/>
                <w:iCs w:val="0"/>
                <w:kern w:val="2"/>
                <w14:ligatures w14:val="standardContextual"/>
              </w:rPr>
              <w:tab/>
            </w:r>
            <w:r w:rsidRPr="00764A9B">
              <w:rPr>
                <w:rStyle w:val="Lienhypertexte"/>
              </w:rPr>
              <w:t>RAPPEL DES SCÉNARII CLIMATIQUES</w:t>
            </w:r>
            <w:r w:rsidRPr="00764A9B">
              <w:rPr>
                <w:webHidden/>
              </w:rPr>
              <w:tab/>
            </w:r>
            <w:r w:rsidRPr="00764A9B">
              <w:rPr>
                <w:b/>
                <w:bCs/>
                <w:webHidden/>
              </w:rPr>
              <w:fldChar w:fldCharType="begin"/>
            </w:r>
            <w:r w:rsidRPr="00764A9B">
              <w:rPr>
                <w:webHidden/>
              </w:rPr>
              <w:instrText xml:space="preserve"> PAGEREF _Toc192462508 \h </w:instrText>
            </w:r>
            <w:r w:rsidRPr="00764A9B">
              <w:rPr>
                <w:b/>
                <w:bCs/>
                <w:webHidden/>
              </w:rPr>
            </w:r>
            <w:r w:rsidRPr="00764A9B">
              <w:rPr>
                <w:b/>
                <w:bCs/>
                <w:webHidden/>
              </w:rPr>
              <w:fldChar w:fldCharType="separate"/>
            </w:r>
            <w:r w:rsidRPr="00764A9B">
              <w:rPr>
                <w:webHidden/>
              </w:rPr>
              <w:t>5</w:t>
            </w:r>
            <w:r w:rsidRPr="00764A9B">
              <w:rPr>
                <w:b/>
                <w:bCs/>
                <w:webHidden/>
              </w:rPr>
              <w:fldChar w:fldCharType="end"/>
            </w:r>
          </w:hyperlink>
        </w:p>
        <w:p w14:paraId="267C1355" w14:textId="77777777" w:rsidR="00412F22" w:rsidRDefault="00412F22" w:rsidP="00412F22">
          <w:pPr>
            <w:pStyle w:val="TM2"/>
            <w:tabs>
              <w:tab w:val="right" w:leader="dot" w:pos="10625"/>
            </w:tabs>
            <w:rPr>
              <w:rFonts w:eastAsiaTheme="minorEastAsia"/>
              <w:b/>
              <w:bCs/>
              <w:noProof/>
              <w:kern w:val="2"/>
              <w:sz w:val="24"/>
              <w:szCs w:val="24"/>
              <w14:ligatures w14:val="standardContextual"/>
            </w:rPr>
          </w:pPr>
          <w:hyperlink w:anchor="_Toc192462509" w:history="1">
            <w:r w:rsidRPr="009C5700">
              <w:rPr>
                <w:rStyle w:val="Lienhypertexte"/>
                <w:rFonts w:ascii="Arial Narrow" w:hAnsi="Arial Narrow"/>
                <w:noProof/>
              </w:rPr>
              <w:t>II.1 INDICATEURS DE SUIVI DES STRESS</w:t>
            </w:r>
            <w:r>
              <w:rPr>
                <w:noProof/>
                <w:webHidden/>
              </w:rPr>
              <w:tab/>
            </w:r>
            <w:r>
              <w:rPr>
                <w:noProof/>
                <w:webHidden/>
              </w:rPr>
              <w:fldChar w:fldCharType="begin"/>
            </w:r>
            <w:r>
              <w:rPr>
                <w:noProof/>
                <w:webHidden/>
              </w:rPr>
              <w:instrText xml:space="preserve"> PAGEREF _Toc192462509 \h </w:instrText>
            </w:r>
            <w:r>
              <w:rPr>
                <w:noProof/>
                <w:webHidden/>
              </w:rPr>
            </w:r>
            <w:r>
              <w:rPr>
                <w:noProof/>
                <w:webHidden/>
              </w:rPr>
              <w:fldChar w:fldCharType="separate"/>
            </w:r>
            <w:r>
              <w:rPr>
                <w:noProof/>
                <w:webHidden/>
              </w:rPr>
              <w:t>5</w:t>
            </w:r>
            <w:r>
              <w:rPr>
                <w:noProof/>
                <w:webHidden/>
              </w:rPr>
              <w:fldChar w:fldCharType="end"/>
            </w:r>
          </w:hyperlink>
        </w:p>
        <w:p w14:paraId="00FE6B71" w14:textId="77777777" w:rsidR="00412F22" w:rsidRDefault="00412F22" w:rsidP="00412F22">
          <w:pPr>
            <w:pStyle w:val="TM2"/>
            <w:tabs>
              <w:tab w:val="right" w:leader="dot" w:pos="10625"/>
            </w:tabs>
            <w:rPr>
              <w:rFonts w:eastAsiaTheme="minorEastAsia"/>
              <w:b/>
              <w:bCs/>
              <w:noProof/>
              <w:kern w:val="2"/>
              <w:sz w:val="24"/>
              <w:szCs w:val="24"/>
              <w14:ligatures w14:val="standardContextual"/>
            </w:rPr>
          </w:pPr>
          <w:hyperlink w:anchor="_Toc192462510" w:history="1">
            <w:r w:rsidRPr="009C5700">
              <w:rPr>
                <w:rStyle w:val="Lienhypertexte"/>
                <w:rFonts w:ascii="Arial Narrow" w:hAnsi="Arial Narrow"/>
                <w:noProof/>
              </w:rPr>
              <w:t>II.2 SCÉNARII CLIMATIQUES</w:t>
            </w:r>
            <w:r>
              <w:rPr>
                <w:noProof/>
                <w:webHidden/>
              </w:rPr>
              <w:tab/>
            </w:r>
            <w:r>
              <w:rPr>
                <w:noProof/>
                <w:webHidden/>
              </w:rPr>
              <w:fldChar w:fldCharType="begin"/>
            </w:r>
            <w:r>
              <w:rPr>
                <w:noProof/>
                <w:webHidden/>
              </w:rPr>
              <w:instrText xml:space="preserve"> PAGEREF _Toc192462510 \h </w:instrText>
            </w:r>
            <w:r>
              <w:rPr>
                <w:noProof/>
                <w:webHidden/>
              </w:rPr>
            </w:r>
            <w:r>
              <w:rPr>
                <w:noProof/>
                <w:webHidden/>
              </w:rPr>
              <w:fldChar w:fldCharType="separate"/>
            </w:r>
            <w:r>
              <w:rPr>
                <w:noProof/>
                <w:webHidden/>
              </w:rPr>
              <w:t>5</w:t>
            </w:r>
            <w:r>
              <w:rPr>
                <w:noProof/>
                <w:webHidden/>
              </w:rPr>
              <w:fldChar w:fldCharType="end"/>
            </w:r>
          </w:hyperlink>
        </w:p>
        <w:p w14:paraId="3B6C6D12" w14:textId="77777777" w:rsidR="00412F22" w:rsidRPr="00764A9B" w:rsidRDefault="00412F22" w:rsidP="00412F22">
          <w:pPr>
            <w:pStyle w:val="TM3"/>
            <w:tabs>
              <w:tab w:val="right" w:leader="dot" w:pos="10625"/>
            </w:tabs>
            <w:rPr>
              <w:rFonts w:eastAsiaTheme="minorEastAsia"/>
              <w:b/>
              <w:bCs/>
              <w:noProof/>
              <w:kern w:val="2"/>
              <w:sz w:val="24"/>
              <w:szCs w:val="24"/>
              <w14:ligatures w14:val="standardContextual"/>
            </w:rPr>
          </w:pPr>
          <w:hyperlink w:anchor="_Toc192462511" w:history="1">
            <w:r w:rsidRPr="00764A9B">
              <w:rPr>
                <w:rStyle w:val="Lienhypertexte"/>
                <w:rFonts w:ascii="Arial Black" w:hAnsi="Arial Black"/>
                <w:b/>
                <w:bCs/>
                <w:noProof/>
              </w:rPr>
              <w:t>II.2.1 RÉCHAUFFEMENT</w:t>
            </w:r>
            <w:r w:rsidRPr="00764A9B">
              <w:rPr>
                <w:b/>
                <w:bCs/>
                <w:noProof/>
                <w:webHidden/>
              </w:rPr>
              <w:tab/>
            </w:r>
            <w:r w:rsidRPr="00764A9B">
              <w:rPr>
                <w:b/>
                <w:bCs/>
                <w:noProof/>
                <w:webHidden/>
              </w:rPr>
              <w:fldChar w:fldCharType="begin"/>
            </w:r>
            <w:r w:rsidRPr="00764A9B">
              <w:rPr>
                <w:b/>
                <w:bCs/>
                <w:noProof/>
                <w:webHidden/>
              </w:rPr>
              <w:instrText xml:space="preserve"> PAGEREF _Toc192462511 \h </w:instrText>
            </w:r>
            <w:r w:rsidRPr="00764A9B">
              <w:rPr>
                <w:b/>
                <w:bCs/>
                <w:noProof/>
                <w:webHidden/>
              </w:rPr>
            </w:r>
            <w:r w:rsidRPr="00764A9B">
              <w:rPr>
                <w:b/>
                <w:bCs/>
                <w:noProof/>
                <w:webHidden/>
              </w:rPr>
              <w:fldChar w:fldCharType="separate"/>
            </w:r>
            <w:r w:rsidRPr="00764A9B">
              <w:rPr>
                <w:b/>
                <w:bCs/>
                <w:noProof/>
                <w:webHidden/>
              </w:rPr>
              <w:t>6</w:t>
            </w:r>
            <w:r w:rsidRPr="00764A9B">
              <w:rPr>
                <w:b/>
                <w:bCs/>
                <w:noProof/>
                <w:webHidden/>
              </w:rPr>
              <w:fldChar w:fldCharType="end"/>
            </w:r>
          </w:hyperlink>
        </w:p>
        <w:p w14:paraId="49A12D06" w14:textId="77777777" w:rsidR="00412F22" w:rsidRPr="00764A9B" w:rsidRDefault="00412F22" w:rsidP="00412F22">
          <w:pPr>
            <w:pStyle w:val="TM3"/>
            <w:tabs>
              <w:tab w:val="right" w:leader="dot" w:pos="10625"/>
            </w:tabs>
            <w:rPr>
              <w:rFonts w:eastAsiaTheme="minorEastAsia"/>
              <w:b/>
              <w:bCs/>
              <w:noProof/>
              <w:kern w:val="2"/>
              <w:sz w:val="24"/>
              <w:szCs w:val="24"/>
              <w14:ligatures w14:val="standardContextual"/>
            </w:rPr>
          </w:pPr>
          <w:hyperlink w:anchor="_Toc192462512" w:history="1">
            <w:r w:rsidRPr="00764A9B">
              <w:rPr>
                <w:rStyle w:val="Lienhypertexte"/>
                <w:rFonts w:ascii="Arial Black" w:hAnsi="Arial Black"/>
                <w:b/>
                <w:bCs/>
                <w:noProof/>
              </w:rPr>
              <w:t>II.2.2 Précipitations</w:t>
            </w:r>
            <w:r w:rsidRPr="00764A9B">
              <w:rPr>
                <w:b/>
                <w:bCs/>
                <w:noProof/>
                <w:webHidden/>
              </w:rPr>
              <w:tab/>
            </w:r>
            <w:r w:rsidRPr="00764A9B">
              <w:rPr>
                <w:b/>
                <w:bCs/>
                <w:noProof/>
                <w:webHidden/>
              </w:rPr>
              <w:fldChar w:fldCharType="begin"/>
            </w:r>
            <w:r w:rsidRPr="00764A9B">
              <w:rPr>
                <w:b/>
                <w:bCs/>
                <w:noProof/>
                <w:webHidden/>
              </w:rPr>
              <w:instrText xml:space="preserve"> PAGEREF _Toc192462512 \h </w:instrText>
            </w:r>
            <w:r w:rsidRPr="00764A9B">
              <w:rPr>
                <w:b/>
                <w:bCs/>
                <w:noProof/>
                <w:webHidden/>
              </w:rPr>
            </w:r>
            <w:r w:rsidRPr="00764A9B">
              <w:rPr>
                <w:b/>
                <w:bCs/>
                <w:noProof/>
                <w:webHidden/>
              </w:rPr>
              <w:fldChar w:fldCharType="separate"/>
            </w:r>
            <w:r w:rsidRPr="00764A9B">
              <w:rPr>
                <w:b/>
                <w:bCs/>
                <w:noProof/>
                <w:webHidden/>
              </w:rPr>
              <w:t>6</w:t>
            </w:r>
            <w:r w:rsidRPr="00764A9B">
              <w:rPr>
                <w:b/>
                <w:bCs/>
                <w:noProof/>
                <w:webHidden/>
              </w:rPr>
              <w:fldChar w:fldCharType="end"/>
            </w:r>
          </w:hyperlink>
        </w:p>
        <w:p w14:paraId="47490A2F" w14:textId="77777777" w:rsidR="00412F22" w:rsidRPr="00764A9B" w:rsidRDefault="00412F22" w:rsidP="00412F22">
          <w:pPr>
            <w:pStyle w:val="TM3"/>
            <w:tabs>
              <w:tab w:val="right" w:leader="dot" w:pos="10625"/>
            </w:tabs>
            <w:rPr>
              <w:rFonts w:eastAsiaTheme="minorEastAsia"/>
              <w:b/>
              <w:bCs/>
              <w:noProof/>
              <w:kern w:val="2"/>
              <w:sz w:val="24"/>
              <w:szCs w:val="24"/>
              <w14:ligatures w14:val="standardContextual"/>
            </w:rPr>
          </w:pPr>
          <w:hyperlink w:anchor="_Toc192462513" w:history="1">
            <w:r w:rsidRPr="00764A9B">
              <w:rPr>
                <w:rStyle w:val="Lienhypertexte"/>
                <w:rFonts w:ascii="Arial Black" w:hAnsi="Arial Black"/>
                <w:b/>
                <w:bCs/>
                <w:noProof/>
              </w:rPr>
              <w:t>II.2.3 Inondations</w:t>
            </w:r>
            <w:r w:rsidRPr="00764A9B">
              <w:rPr>
                <w:b/>
                <w:bCs/>
                <w:noProof/>
                <w:webHidden/>
              </w:rPr>
              <w:tab/>
            </w:r>
            <w:r w:rsidRPr="00764A9B">
              <w:rPr>
                <w:b/>
                <w:bCs/>
                <w:noProof/>
                <w:webHidden/>
              </w:rPr>
              <w:fldChar w:fldCharType="begin"/>
            </w:r>
            <w:r w:rsidRPr="00764A9B">
              <w:rPr>
                <w:b/>
                <w:bCs/>
                <w:noProof/>
                <w:webHidden/>
              </w:rPr>
              <w:instrText xml:space="preserve"> PAGEREF _Toc192462513 \h </w:instrText>
            </w:r>
            <w:r w:rsidRPr="00764A9B">
              <w:rPr>
                <w:b/>
                <w:bCs/>
                <w:noProof/>
                <w:webHidden/>
              </w:rPr>
            </w:r>
            <w:r w:rsidRPr="00764A9B">
              <w:rPr>
                <w:b/>
                <w:bCs/>
                <w:noProof/>
                <w:webHidden/>
              </w:rPr>
              <w:fldChar w:fldCharType="separate"/>
            </w:r>
            <w:r w:rsidRPr="00764A9B">
              <w:rPr>
                <w:b/>
                <w:bCs/>
                <w:noProof/>
                <w:webHidden/>
              </w:rPr>
              <w:t>7</w:t>
            </w:r>
            <w:r w:rsidRPr="00764A9B">
              <w:rPr>
                <w:b/>
                <w:bCs/>
                <w:noProof/>
                <w:webHidden/>
              </w:rPr>
              <w:fldChar w:fldCharType="end"/>
            </w:r>
          </w:hyperlink>
        </w:p>
        <w:p w14:paraId="58188018" w14:textId="77777777" w:rsidR="00412F22" w:rsidRPr="00764A9B" w:rsidRDefault="00412F22" w:rsidP="00412F22">
          <w:pPr>
            <w:pStyle w:val="TM2"/>
            <w:tabs>
              <w:tab w:val="right" w:leader="dot" w:pos="10625"/>
            </w:tabs>
            <w:rPr>
              <w:rFonts w:eastAsiaTheme="minorEastAsia"/>
              <w:noProof/>
              <w:kern w:val="2"/>
              <w:sz w:val="24"/>
              <w:szCs w:val="24"/>
              <w14:ligatures w14:val="standardContextual"/>
            </w:rPr>
          </w:pPr>
          <w:hyperlink w:anchor="_Toc192462514" w:history="1">
            <w:r w:rsidRPr="00764A9B">
              <w:rPr>
                <w:rStyle w:val="Lienhypertexte"/>
                <w:noProof/>
              </w:rPr>
              <w:t>II.3 Impacts associées aux projections climatiques : Evaluation de la vulnérabilité</w:t>
            </w:r>
            <w:r w:rsidRPr="00764A9B">
              <w:rPr>
                <w:noProof/>
                <w:webHidden/>
              </w:rPr>
              <w:tab/>
            </w:r>
            <w:r w:rsidRPr="00764A9B">
              <w:rPr>
                <w:noProof/>
                <w:webHidden/>
              </w:rPr>
              <w:fldChar w:fldCharType="begin"/>
            </w:r>
            <w:r w:rsidRPr="00764A9B">
              <w:rPr>
                <w:noProof/>
                <w:webHidden/>
              </w:rPr>
              <w:instrText xml:space="preserve"> PAGEREF _Toc192462514 \h </w:instrText>
            </w:r>
            <w:r w:rsidRPr="00764A9B">
              <w:rPr>
                <w:noProof/>
                <w:webHidden/>
              </w:rPr>
            </w:r>
            <w:r w:rsidRPr="00764A9B">
              <w:rPr>
                <w:noProof/>
                <w:webHidden/>
              </w:rPr>
              <w:fldChar w:fldCharType="separate"/>
            </w:r>
            <w:r w:rsidRPr="00764A9B">
              <w:rPr>
                <w:noProof/>
                <w:webHidden/>
              </w:rPr>
              <w:t>8</w:t>
            </w:r>
            <w:r w:rsidRPr="00764A9B">
              <w:rPr>
                <w:noProof/>
                <w:webHidden/>
              </w:rPr>
              <w:fldChar w:fldCharType="end"/>
            </w:r>
          </w:hyperlink>
        </w:p>
        <w:p w14:paraId="3EF6FC73" w14:textId="77777777" w:rsidR="00412F22" w:rsidRPr="00764A9B" w:rsidRDefault="00412F22" w:rsidP="00412F22">
          <w:pPr>
            <w:pStyle w:val="TM3"/>
            <w:tabs>
              <w:tab w:val="right" w:leader="dot" w:pos="10625"/>
            </w:tabs>
            <w:rPr>
              <w:rFonts w:eastAsiaTheme="minorEastAsia"/>
              <w:b/>
              <w:bCs/>
              <w:noProof/>
              <w:kern w:val="2"/>
              <w:sz w:val="24"/>
              <w:szCs w:val="24"/>
              <w14:ligatures w14:val="standardContextual"/>
            </w:rPr>
          </w:pPr>
          <w:hyperlink w:anchor="_Toc192462515" w:history="1">
            <w:r w:rsidRPr="00764A9B">
              <w:rPr>
                <w:rStyle w:val="Lienhypertexte"/>
                <w:rFonts w:ascii="Arial Black" w:hAnsi="Arial Black"/>
                <w:b/>
                <w:bCs/>
                <w:noProof/>
              </w:rPr>
              <w:t>II.3.1 Vulnérabilité de l’agriculture</w:t>
            </w:r>
            <w:r w:rsidRPr="00764A9B">
              <w:rPr>
                <w:b/>
                <w:bCs/>
                <w:noProof/>
                <w:webHidden/>
              </w:rPr>
              <w:tab/>
            </w:r>
            <w:r w:rsidRPr="00764A9B">
              <w:rPr>
                <w:b/>
                <w:bCs/>
                <w:noProof/>
                <w:webHidden/>
              </w:rPr>
              <w:fldChar w:fldCharType="begin"/>
            </w:r>
            <w:r w:rsidRPr="00764A9B">
              <w:rPr>
                <w:b/>
                <w:bCs/>
                <w:noProof/>
                <w:webHidden/>
              </w:rPr>
              <w:instrText xml:space="preserve"> PAGEREF _Toc192462515 \h </w:instrText>
            </w:r>
            <w:r w:rsidRPr="00764A9B">
              <w:rPr>
                <w:b/>
                <w:bCs/>
                <w:noProof/>
                <w:webHidden/>
              </w:rPr>
            </w:r>
            <w:r w:rsidRPr="00764A9B">
              <w:rPr>
                <w:b/>
                <w:bCs/>
                <w:noProof/>
                <w:webHidden/>
              </w:rPr>
              <w:fldChar w:fldCharType="separate"/>
            </w:r>
            <w:r w:rsidRPr="00764A9B">
              <w:rPr>
                <w:b/>
                <w:bCs/>
                <w:noProof/>
                <w:webHidden/>
              </w:rPr>
              <w:t>8</w:t>
            </w:r>
            <w:r w:rsidRPr="00764A9B">
              <w:rPr>
                <w:b/>
                <w:bCs/>
                <w:noProof/>
                <w:webHidden/>
              </w:rPr>
              <w:fldChar w:fldCharType="end"/>
            </w:r>
          </w:hyperlink>
        </w:p>
        <w:p w14:paraId="243F988D" w14:textId="77777777" w:rsidR="00412F22" w:rsidRPr="00764A9B" w:rsidRDefault="00412F22" w:rsidP="00412F22">
          <w:pPr>
            <w:pStyle w:val="TM3"/>
            <w:tabs>
              <w:tab w:val="right" w:leader="dot" w:pos="10625"/>
            </w:tabs>
            <w:rPr>
              <w:rFonts w:eastAsiaTheme="minorEastAsia"/>
              <w:b/>
              <w:bCs/>
              <w:noProof/>
              <w:kern w:val="2"/>
              <w:sz w:val="24"/>
              <w:szCs w:val="24"/>
              <w14:ligatures w14:val="standardContextual"/>
            </w:rPr>
          </w:pPr>
          <w:hyperlink w:anchor="_Toc192462516" w:history="1">
            <w:r w:rsidRPr="00764A9B">
              <w:rPr>
                <w:rStyle w:val="Lienhypertexte"/>
                <w:rFonts w:ascii="Arial Black" w:hAnsi="Arial Black"/>
                <w:b/>
                <w:bCs/>
                <w:noProof/>
              </w:rPr>
              <w:t>II.3.2 Vulnérabilité de Elevage</w:t>
            </w:r>
            <w:r w:rsidRPr="00764A9B">
              <w:rPr>
                <w:b/>
                <w:bCs/>
                <w:noProof/>
                <w:webHidden/>
              </w:rPr>
              <w:tab/>
            </w:r>
            <w:r w:rsidRPr="00764A9B">
              <w:rPr>
                <w:b/>
                <w:bCs/>
                <w:noProof/>
                <w:webHidden/>
              </w:rPr>
              <w:fldChar w:fldCharType="begin"/>
            </w:r>
            <w:r w:rsidRPr="00764A9B">
              <w:rPr>
                <w:b/>
                <w:bCs/>
                <w:noProof/>
                <w:webHidden/>
              </w:rPr>
              <w:instrText xml:space="preserve"> PAGEREF _Toc192462516 \h </w:instrText>
            </w:r>
            <w:r w:rsidRPr="00764A9B">
              <w:rPr>
                <w:b/>
                <w:bCs/>
                <w:noProof/>
                <w:webHidden/>
              </w:rPr>
            </w:r>
            <w:r w:rsidRPr="00764A9B">
              <w:rPr>
                <w:b/>
                <w:bCs/>
                <w:noProof/>
                <w:webHidden/>
              </w:rPr>
              <w:fldChar w:fldCharType="separate"/>
            </w:r>
            <w:r w:rsidRPr="00764A9B">
              <w:rPr>
                <w:b/>
                <w:bCs/>
                <w:noProof/>
                <w:webHidden/>
              </w:rPr>
              <w:t>9</w:t>
            </w:r>
            <w:r w:rsidRPr="00764A9B">
              <w:rPr>
                <w:b/>
                <w:bCs/>
                <w:noProof/>
                <w:webHidden/>
              </w:rPr>
              <w:fldChar w:fldCharType="end"/>
            </w:r>
          </w:hyperlink>
        </w:p>
        <w:p w14:paraId="36CC2BB8" w14:textId="77777777" w:rsidR="00412F22" w:rsidRPr="00764A9B" w:rsidRDefault="00412F22" w:rsidP="00412F22">
          <w:pPr>
            <w:pStyle w:val="TM3"/>
            <w:tabs>
              <w:tab w:val="right" w:leader="dot" w:pos="10625"/>
            </w:tabs>
            <w:rPr>
              <w:rFonts w:eastAsiaTheme="minorEastAsia"/>
              <w:b/>
              <w:bCs/>
              <w:noProof/>
              <w:kern w:val="2"/>
              <w:sz w:val="24"/>
              <w:szCs w:val="24"/>
              <w14:ligatures w14:val="standardContextual"/>
            </w:rPr>
          </w:pPr>
          <w:hyperlink w:anchor="_Toc192462517" w:history="1">
            <w:r w:rsidRPr="00764A9B">
              <w:rPr>
                <w:rStyle w:val="Lienhypertexte"/>
                <w:rFonts w:ascii="Arial Black" w:hAnsi="Arial Black"/>
                <w:b/>
                <w:bCs/>
                <w:noProof/>
              </w:rPr>
              <w:t>II.3.3 Vulnérabilité des Ecosystèmes arides et forestiers</w:t>
            </w:r>
            <w:r w:rsidRPr="00764A9B">
              <w:rPr>
                <w:b/>
                <w:bCs/>
                <w:noProof/>
                <w:webHidden/>
              </w:rPr>
              <w:tab/>
            </w:r>
            <w:r w:rsidRPr="00764A9B">
              <w:rPr>
                <w:b/>
                <w:bCs/>
                <w:noProof/>
                <w:webHidden/>
              </w:rPr>
              <w:fldChar w:fldCharType="begin"/>
            </w:r>
            <w:r w:rsidRPr="00764A9B">
              <w:rPr>
                <w:b/>
                <w:bCs/>
                <w:noProof/>
                <w:webHidden/>
              </w:rPr>
              <w:instrText xml:space="preserve"> PAGEREF _Toc192462517 \h </w:instrText>
            </w:r>
            <w:r w:rsidRPr="00764A9B">
              <w:rPr>
                <w:b/>
                <w:bCs/>
                <w:noProof/>
                <w:webHidden/>
              </w:rPr>
            </w:r>
            <w:r w:rsidRPr="00764A9B">
              <w:rPr>
                <w:b/>
                <w:bCs/>
                <w:noProof/>
                <w:webHidden/>
              </w:rPr>
              <w:fldChar w:fldCharType="separate"/>
            </w:r>
            <w:r w:rsidRPr="00764A9B">
              <w:rPr>
                <w:b/>
                <w:bCs/>
                <w:noProof/>
                <w:webHidden/>
              </w:rPr>
              <w:t>10</w:t>
            </w:r>
            <w:r w:rsidRPr="00764A9B">
              <w:rPr>
                <w:b/>
                <w:bCs/>
                <w:noProof/>
                <w:webHidden/>
              </w:rPr>
              <w:fldChar w:fldCharType="end"/>
            </w:r>
          </w:hyperlink>
        </w:p>
        <w:p w14:paraId="51B60B28" w14:textId="77777777" w:rsidR="00412F22" w:rsidRPr="00764A9B" w:rsidRDefault="00412F22" w:rsidP="00412F22">
          <w:pPr>
            <w:pStyle w:val="TM3"/>
            <w:tabs>
              <w:tab w:val="right" w:leader="dot" w:pos="10625"/>
            </w:tabs>
            <w:rPr>
              <w:rFonts w:eastAsiaTheme="minorEastAsia"/>
              <w:b/>
              <w:bCs/>
              <w:noProof/>
              <w:kern w:val="2"/>
              <w:sz w:val="24"/>
              <w:szCs w:val="24"/>
              <w14:ligatures w14:val="standardContextual"/>
            </w:rPr>
          </w:pPr>
          <w:hyperlink w:anchor="_Toc192462518" w:history="1">
            <w:r w:rsidRPr="00764A9B">
              <w:rPr>
                <w:rStyle w:val="Lienhypertexte"/>
                <w:rFonts w:ascii="Arial Black" w:hAnsi="Arial Black"/>
                <w:b/>
                <w:bCs/>
                <w:noProof/>
              </w:rPr>
              <w:t>II.3.4 Vulnérabilité de la Santé</w:t>
            </w:r>
            <w:r w:rsidRPr="00764A9B">
              <w:rPr>
                <w:b/>
                <w:bCs/>
                <w:noProof/>
                <w:webHidden/>
              </w:rPr>
              <w:tab/>
            </w:r>
            <w:r w:rsidRPr="00764A9B">
              <w:rPr>
                <w:b/>
                <w:bCs/>
                <w:noProof/>
                <w:webHidden/>
              </w:rPr>
              <w:fldChar w:fldCharType="begin"/>
            </w:r>
            <w:r w:rsidRPr="00764A9B">
              <w:rPr>
                <w:b/>
                <w:bCs/>
                <w:noProof/>
                <w:webHidden/>
              </w:rPr>
              <w:instrText xml:space="preserve"> PAGEREF _Toc192462518 \h </w:instrText>
            </w:r>
            <w:r w:rsidRPr="00764A9B">
              <w:rPr>
                <w:b/>
                <w:bCs/>
                <w:noProof/>
                <w:webHidden/>
              </w:rPr>
            </w:r>
            <w:r w:rsidRPr="00764A9B">
              <w:rPr>
                <w:b/>
                <w:bCs/>
                <w:noProof/>
                <w:webHidden/>
              </w:rPr>
              <w:fldChar w:fldCharType="separate"/>
            </w:r>
            <w:r w:rsidRPr="00764A9B">
              <w:rPr>
                <w:b/>
                <w:bCs/>
                <w:noProof/>
                <w:webHidden/>
              </w:rPr>
              <w:t>11</w:t>
            </w:r>
            <w:r w:rsidRPr="00764A9B">
              <w:rPr>
                <w:b/>
                <w:bCs/>
                <w:noProof/>
                <w:webHidden/>
              </w:rPr>
              <w:fldChar w:fldCharType="end"/>
            </w:r>
          </w:hyperlink>
        </w:p>
        <w:p w14:paraId="4FD6EB27" w14:textId="77777777" w:rsidR="00412F22" w:rsidRPr="00764A9B" w:rsidRDefault="00412F22" w:rsidP="00412F22">
          <w:pPr>
            <w:pStyle w:val="TM3"/>
            <w:tabs>
              <w:tab w:val="right" w:leader="dot" w:pos="10625"/>
            </w:tabs>
            <w:rPr>
              <w:rFonts w:eastAsiaTheme="minorEastAsia"/>
              <w:b/>
              <w:bCs/>
              <w:noProof/>
              <w:kern w:val="2"/>
              <w:sz w:val="24"/>
              <w:szCs w:val="24"/>
              <w14:ligatures w14:val="standardContextual"/>
            </w:rPr>
          </w:pPr>
          <w:hyperlink w:anchor="_Toc192462519" w:history="1">
            <w:r w:rsidRPr="00764A9B">
              <w:rPr>
                <w:rStyle w:val="Lienhypertexte"/>
                <w:rFonts w:ascii="Arial Black" w:hAnsi="Arial Black"/>
                <w:b/>
                <w:bCs/>
                <w:noProof/>
              </w:rPr>
              <w:t>II.3.5 Vulnérabilité des Infrastructures</w:t>
            </w:r>
            <w:r w:rsidRPr="00764A9B">
              <w:rPr>
                <w:b/>
                <w:bCs/>
                <w:noProof/>
                <w:webHidden/>
              </w:rPr>
              <w:tab/>
            </w:r>
            <w:r w:rsidRPr="00764A9B">
              <w:rPr>
                <w:b/>
                <w:bCs/>
                <w:noProof/>
                <w:webHidden/>
              </w:rPr>
              <w:fldChar w:fldCharType="begin"/>
            </w:r>
            <w:r w:rsidRPr="00764A9B">
              <w:rPr>
                <w:b/>
                <w:bCs/>
                <w:noProof/>
                <w:webHidden/>
              </w:rPr>
              <w:instrText xml:space="preserve"> PAGEREF _Toc192462519 \h </w:instrText>
            </w:r>
            <w:r w:rsidRPr="00764A9B">
              <w:rPr>
                <w:b/>
                <w:bCs/>
                <w:noProof/>
                <w:webHidden/>
              </w:rPr>
            </w:r>
            <w:r w:rsidRPr="00764A9B">
              <w:rPr>
                <w:b/>
                <w:bCs/>
                <w:noProof/>
                <w:webHidden/>
              </w:rPr>
              <w:fldChar w:fldCharType="separate"/>
            </w:r>
            <w:r w:rsidRPr="00764A9B">
              <w:rPr>
                <w:b/>
                <w:bCs/>
                <w:noProof/>
                <w:webHidden/>
              </w:rPr>
              <w:t>11</w:t>
            </w:r>
            <w:r w:rsidRPr="00764A9B">
              <w:rPr>
                <w:b/>
                <w:bCs/>
                <w:noProof/>
                <w:webHidden/>
              </w:rPr>
              <w:fldChar w:fldCharType="end"/>
            </w:r>
          </w:hyperlink>
        </w:p>
        <w:p w14:paraId="0308070C" w14:textId="77777777" w:rsidR="00412F22" w:rsidRPr="00764A9B" w:rsidRDefault="00412F22" w:rsidP="00412F22">
          <w:pPr>
            <w:pStyle w:val="TM3"/>
            <w:tabs>
              <w:tab w:val="right" w:leader="dot" w:pos="10625"/>
            </w:tabs>
            <w:rPr>
              <w:rFonts w:eastAsiaTheme="minorEastAsia"/>
              <w:b/>
              <w:bCs/>
              <w:noProof/>
              <w:kern w:val="2"/>
              <w:sz w:val="24"/>
              <w:szCs w:val="24"/>
              <w14:ligatures w14:val="standardContextual"/>
            </w:rPr>
          </w:pPr>
          <w:hyperlink w:anchor="_Toc192462520" w:history="1">
            <w:r w:rsidRPr="00764A9B">
              <w:rPr>
                <w:rStyle w:val="Lienhypertexte"/>
                <w:rFonts w:ascii="Arial Black" w:hAnsi="Arial Black"/>
                <w:b/>
                <w:bCs/>
                <w:noProof/>
              </w:rPr>
              <w:t>II.3.6 Vulnérabilité des ressources en Eau</w:t>
            </w:r>
            <w:r w:rsidRPr="00764A9B">
              <w:rPr>
                <w:b/>
                <w:bCs/>
                <w:noProof/>
                <w:webHidden/>
              </w:rPr>
              <w:tab/>
            </w:r>
            <w:r w:rsidRPr="00764A9B">
              <w:rPr>
                <w:b/>
                <w:bCs/>
                <w:noProof/>
                <w:webHidden/>
              </w:rPr>
              <w:fldChar w:fldCharType="begin"/>
            </w:r>
            <w:r w:rsidRPr="00764A9B">
              <w:rPr>
                <w:b/>
                <w:bCs/>
                <w:noProof/>
                <w:webHidden/>
              </w:rPr>
              <w:instrText xml:space="preserve"> PAGEREF _Toc192462520 \h </w:instrText>
            </w:r>
            <w:r w:rsidRPr="00764A9B">
              <w:rPr>
                <w:b/>
                <w:bCs/>
                <w:noProof/>
                <w:webHidden/>
              </w:rPr>
            </w:r>
            <w:r w:rsidRPr="00764A9B">
              <w:rPr>
                <w:b/>
                <w:bCs/>
                <w:noProof/>
                <w:webHidden/>
              </w:rPr>
              <w:fldChar w:fldCharType="separate"/>
            </w:r>
            <w:r w:rsidRPr="00764A9B">
              <w:rPr>
                <w:b/>
                <w:bCs/>
                <w:noProof/>
                <w:webHidden/>
              </w:rPr>
              <w:t>12</w:t>
            </w:r>
            <w:r w:rsidRPr="00764A9B">
              <w:rPr>
                <w:b/>
                <w:bCs/>
                <w:noProof/>
                <w:webHidden/>
              </w:rPr>
              <w:fldChar w:fldCharType="end"/>
            </w:r>
          </w:hyperlink>
        </w:p>
        <w:p w14:paraId="6602FC99" w14:textId="77777777" w:rsidR="00412F22" w:rsidRDefault="00412F22" w:rsidP="00412F22">
          <w:pPr>
            <w:pStyle w:val="TM1"/>
            <w:tabs>
              <w:tab w:val="left" w:pos="567"/>
              <w:tab w:val="right" w:leader="dot" w:pos="10625"/>
            </w:tabs>
            <w:rPr>
              <w:rFonts w:eastAsiaTheme="minorEastAsia" w:cstheme="minorBidi"/>
              <w:b/>
              <w:bCs/>
              <w:i w:val="0"/>
              <w:iCs w:val="0"/>
              <w:kern w:val="2"/>
              <w14:ligatures w14:val="standardContextual"/>
            </w:rPr>
          </w:pPr>
          <w:hyperlink w:anchor="_Toc192462521" w:history="1">
            <w:r w:rsidRPr="00764A9B">
              <w:rPr>
                <w:rStyle w:val="Lienhypertexte"/>
              </w:rPr>
              <w:t>III.</w:t>
            </w:r>
            <w:r w:rsidRPr="00764A9B">
              <w:rPr>
                <w:rFonts w:eastAsiaTheme="minorEastAsia" w:cstheme="minorBidi"/>
                <w:i w:val="0"/>
                <w:iCs w:val="0"/>
                <w:kern w:val="2"/>
                <w14:ligatures w14:val="standardContextual"/>
              </w:rPr>
              <w:tab/>
            </w:r>
            <w:r w:rsidRPr="00764A9B">
              <w:rPr>
                <w:rStyle w:val="Lienhypertexte"/>
              </w:rPr>
              <w:t>SCÉNARIOS SOCIOÉCONOMIQUES DE REFERENCE</w:t>
            </w:r>
            <w:r w:rsidRPr="00764A9B">
              <w:rPr>
                <w:webHidden/>
              </w:rPr>
              <w:tab/>
            </w:r>
            <w:r w:rsidRPr="00764A9B">
              <w:rPr>
                <w:webHidden/>
              </w:rPr>
              <w:fldChar w:fldCharType="begin"/>
            </w:r>
            <w:r w:rsidRPr="00764A9B">
              <w:rPr>
                <w:webHidden/>
              </w:rPr>
              <w:instrText xml:space="preserve"> PAGEREF _Toc192462521 \h </w:instrText>
            </w:r>
            <w:r w:rsidRPr="00764A9B">
              <w:rPr>
                <w:webHidden/>
              </w:rPr>
            </w:r>
            <w:r w:rsidRPr="00764A9B">
              <w:rPr>
                <w:webHidden/>
              </w:rPr>
              <w:fldChar w:fldCharType="separate"/>
            </w:r>
            <w:r w:rsidRPr="00764A9B">
              <w:rPr>
                <w:webHidden/>
              </w:rPr>
              <w:t>13</w:t>
            </w:r>
            <w:r w:rsidRPr="00764A9B">
              <w:rPr>
                <w:webHidden/>
              </w:rPr>
              <w:fldChar w:fldCharType="end"/>
            </w:r>
          </w:hyperlink>
        </w:p>
        <w:p w14:paraId="1BA15DFE" w14:textId="77777777" w:rsidR="00412F22" w:rsidRDefault="00412F22" w:rsidP="00412F22">
          <w:pPr>
            <w:pStyle w:val="TM2"/>
            <w:tabs>
              <w:tab w:val="right" w:leader="dot" w:pos="10625"/>
            </w:tabs>
            <w:rPr>
              <w:rFonts w:eastAsiaTheme="minorEastAsia"/>
              <w:b/>
              <w:bCs/>
              <w:noProof/>
              <w:kern w:val="2"/>
              <w:sz w:val="24"/>
              <w:szCs w:val="24"/>
              <w14:ligatures w14:val="standardContextual"/>
            </w:rPr>
          </w:pPr>
          <w:hyperlink w:anchor="_Toc192462522" w:history="1">
            <w:r w:rsidRPr="009C5700">
              <w:rPr>
                <w:rStyle w:val="Lienhypertexte"/>
                <w:noProof/>
              </w:rPr>
              <w:t>III.1 Rappels des scénarii climatiques, en termes d’émissions.</w:t>
            </w:r>
            <w:r>
              <w:rPr>
                <w:noProof/>
                <w:webHidden/>
              </w:rPr>
              <w:tab/>
            </w:r>
            <w:r>
              <w:rPr>
                <w:noProof/>
                <w:webHidden/>
              </w:rPr>
              <w:fldChar w:fldCharType="begin"/>
            </w:r>
            <w:r>
              <w:rPr>
                <w:noProof/>
                <w:webHidden/>
              </w:rPr>
              <w:instrText xml:space="preserve"> PAGEREF _Toc192462522 \h </w:instrText>
            </w:r>
            <w:r>
              <w:rPr>
                <w:noProof/>
                <w:webHidden/>
              </w:rPr>
            </w:r>
            <w:r>
              <w:rPr>
                <w:noProof/>
                <w:webHidden/>
              </w:rPr>
              <w:fldChar w:fldCharType="separate"/>
            </w:r>
            <w:r>
              <w:rPr>
                <w:noProof/>
                <w:webHidden/>
              </w:rPr>
              <w:t>13</w:t>
            </w:r>
            <w:r>
              <w:rPr>
                <w:noProof/>
                <w:webHidden/>
              </w:rPr>
              <w:fldChar w:fldCharType="end"/>
            </w:r>
          </w:hyperlink>
        </w:p>
        <w:p w14:paraId="189F8CAD" w14:textId="77777777" w:rsidR="00412F22" w:rsidRDefault="00412F22" w:rsidP="00412F22">
          <w:pPr>
            <w:pStyle w:val="TM2"/>
            <w:tabs>
              <w:tab w:val="right" w:leader="dot" w:pos="10625"/>
            </w:tabs>
            <w:rPr>
              <w:rFonts w:eastAsiaTheme="minorEastAsia"/>
              <w:b/>
              <w:bCs/>
              <w:noProof/>
              <w:kern w:val="2"/>
              <w:sz w:val="24"/>
              <w:szCs w:val="24"/>
              <w14:ligatures w14:val="standardContextual"/>
            </w:rPr>
          </w:pPr>
          <w:hyperlink w:anchor="_Toc192462523" w:history="1">
            <w:r w:rsidRPr="009C5700">
              <w:rPr>
                <w:rStyle w:val="Lienhypertexte"/>
                <w:noProof/>
              </w:rPr>
              <w:t>III.2 Contributions des secteurs au PIB</w:t>
            </w:r>
            <w:r>
              <w:rPr>
                <w:noProof/>
                <w:webHidden/>
              </w:rPr>
              <w:tab/>
            </w:r>
            <w:r>
              <w:rPr>
                <w:noProof/>
                <w:webHidden/>
              </w:rPr>
              <w:fldChar w:fldCharType="begin"/>
            </w:r>
            <w:r>
              <w:rPr>
                <w:noProof/>
                <w:webHidden/>
              </w:rPr>
              <w:instrText xml:space="preserve"> PAGEREF _Toc192462523 \h </w:instrText>
            </w:r>
            <w:r>
              <w:rPr>
                <w:noProof/>
                <w:webHidden/>
              </w:rPr>
            </w:r>
            <w:r>
              <w:rPr>
                <w:noProof/>
                <w:webHidden/>
              </w:rPr>
              <w:fldChar w:fldCharType="separate"/>
            </w:r>
            <w:r>
              <w:rPr>
                <w:noProof/>
                <w:webHidden/>
              </w:rPr>
              <w:t>14</w:t>
            </w:r>
            <w:r>
              <w:rPr>
                <w:noProof/>
                <w:webHidden/>
              </w:rPr>
              <w:fldChar w:fldCharType="end"/>
            </w:r>
          </w:hyperlink>
        </w:p>
        <w:p w14:paraId="3BE4938D" w14:textId="77777777" w:rsidR="00412F22" w:rsidRDefault="00412F22" w:rsidP="00412F22">
          <w:pPr>
            <w:pStyle w:val="TM2"/>
            <w:tabs>
              <w:tab w:val="right" w:leader="dot" w:pos="10625"/>
            </w:tabs>
            <w:rPr>
              <w:rFonts w:eastAsiaTheme="minorEastAsia"/>
              <w:b/>
              <w:bCs/>
              <w:noProof/>
              <w:kern w:val="2"/>
              <w:sz w:val="24"/>
              <w:szCs w:val="24"/>
              <w14:ligatures w14:val="standardContextual"/>
            </w:rPr>
          </w:pPr>
          <w:hyperlink w:anchor="_Toc192462524" w:history="1">
            <w:r w:rsidRPr="009C5700">
              <w:rPr>
                <w:rStyle w:val="Lienhypertexte"/>
                <w:noProof/>
              </w:rPr>
              <w:t>III.3 Evolution du PIB selon les scénarios A2 et B2 (scénarios socioéconomiques)</w:t>
            </w:r>
            <w:r>
              <w:rPr>
                <w:noProof/>
                <w:webHidden/>
              </w:rPr>
              <w:tab/>
            </w:r>
            <w:r>
              <w:rPr>
                <w:noProof/>
                <w:webHidden/>
              </w:rPr>
              <w:fldChar w:fldCharType="begin"/>
            </w:r>
            <w:r>
              <w:rPr>
                <w:noProof/>
                <w:webHidden/>
              </w:rPr>
              <w:instrText xml:space="preserve"> PAGEREF _Toc192462524 \h </w:instrText>
            </w:r>
            <w:r>
              <w:rPr>
                <w:noProof/>
                <w:webHidden/>
              </w:rPr>
            </w:r>
            <w:r>
              <w:rPr>
                <w:noProof/>
                <w:webHidden/>
              </w:rPr>
              <w:fldChar w:fldCharType="separate"/>
            </w:r>
            <w:r>
              <w:rPr>
                <w:noProof/>
                <w:webHidden/>
              </w:rPr>
              <w:t>15</w:t>
            </w:r>
            <w:r>
              <w:rPr>
                <w:noProof/>
                <w:webHidden/>
              </w:rPr>
              <w:fldChar w:fldCharType="end"/>
            </w:r>
          </w:hyperlink>
        </w:p>
        <w:p w14:paraId="4AFD65BC" w14:textId="77777777" w:rsidR="00412F22" w:rsidRDefault="00412F22" w:rsidP="00412F22">
          <w:pPr>
            <w:pStyle w:val="TM3"/>
            <w:tabs>
              <w:tab w:val="right" w:leader="dot" w:pos="10625"/>
            </w:tabs>
            <w:rPr>
              <w:rFonts w:eastAsiaTheme="minorEastAsia"/>
              <w:noProof/>
              <w:kern w:val="2"/>
              <w:sz w:val="24"/>
              <w:szCs w:val="24"/>
              <w14:ligatures w14:val="standardContextual"/>
            </w:rPr>
          </w:pPr>
          <w:hyperlink w:anchor="_Toc192462525" w:history="1">
            <w:r w:rsidRPr="009C5700">
              <w:rPr>
                <w:rStyle w:val="Lienhypertexte"/>
                <w:rFonts w:ascii="Arial Black" w:hAnsi="Arial Black"/>
                <w:b/>
                <w:bCs/>
                <w:noProof/>
              </w:rPr>
              <w:t>III.3.1 Scénario socioéconomique A2</w:t>
            </w:r>
            <w:r>
              <w:rPr>
                <w:noProof/>
                <w:webHidden/>
              </w:rPr>
              <w:tab/>
            </w:r>
            <w:r>
              <w:rPr>
                <w:noProof/>
                <w:webHidden/>
              </w:rPr>
              <w:fldChar w:fldCharType="begin"/>
            </w:r>
            <w:r>
              <w:rPr>
                <w:noProof/>
                <w:webHidden/>
              </w:rPr>
              <w:instrText xml:space="preserve"> PAGEREF _Toc192462525 \h </w:instrText>
            </w:r>
            <w:r>
              <w:rPr>
                <w:noProof/>
                <w:webHidden/>
              </w:rPr>
            </w:r>
            <w:r>
              <w:rPr>
                <w:noProof/>
                <w:webHidden/>
              </w:rPr>
              <w:fldChar w:fldCharType="separate"/>
            </w:r>
            <w:r>
              <w:rPr>
                <w:noProof/>
                <w:webHidden/>
              </w:rPr>
              <w:t>17</w:t>
            </w:r>
            <w:r>
              <w:rPr>
                <w:noProof/>
                <w:webHidden/>
              </w:rPr>
              <w:fldChar w:fldCharType="end"/>
            </w:r>
          </w:hyperlink>
        </w:p>
        <w:p w14:paraId="7634AB25" w14:textId="77777777" w:rsidR="00412F22" w:rsidRDefault="00412F22" w:rsidP="00412F22">
          <w:pPr>
            <w:pStyle w:val="TM3"/>
            <w:tabs>
              <w:tab w:val="right" w:leader="dot" w:pos="10625"/>
            </w:tabs>
            <w:rPr>
              <w:rFonts w:eastAsiaTheme="minorEastAsia"/>
              <w:noProof/>
              <w:kern w:val="2"/>
              <w:sz w:val="24"/>
              <w:szCs w:val="24"/>
              <w14:ligatures w14:val="standardContextual"/>
            </w:rPr>
          </w:pPr>
          <w:hyperlink w:anchor="_Toc192462526" w:history="1">
            <w:r w:rsidRPr="009C5700">
              <w:rPr>
                <w:rStyle w:val="Lienhypertexte"/>
                <w:rFonts w:ascii="Arial Black" w:hAnsi="Arial Black"/>
                <w:b/>
                <w:bCs/>
                <w:noProof/>
              </w:rPr>
              <w:t>III.3.2 Scénario socioéconomique B2</w:t>
            </w:r>
            <w:r>
              <w:rPr>
                <w:noProof/>
                <w:webHidden/>
              </w:rPr>
              <w:tab/>
            </w:r>
            <w:r>
              <w:rPr>
                <w:noProof/>
                <w:webHidden/>
              </w:rPr>
              <w:fldChar w:fldCharType="begin"/>
            </w:r>
            <w:r>
              <w:rPr>
                <w:noProof/>
                <w:webHidden/>
              </w:rPr>
              <w:instrText xml:space="preserve"> PAGEREF _Toc192462526 \h </w:instrText>
            </w:r>
            <w:r>
              <w:rPr>
                <w:noProof/>
                <w:webHidden/>
              </w:rPr>
            </w:r>
            <w:r>
              <w:rPr>
                <w:noProof/>
                <w:webHidden/>
              </w:rPr>
              <w:fldChar w:fldCharType="separate"/>
            </w:r>
            <w:r>
              <w:rPr>
                <w:noProof/>
                <w:webHidden/>
              </w:rPr>
              <w:t>19</w:t>
            </w:r>
            <w:r>
              <w:rPr>
                <w:noProof/>
                <w:webHidden/>
              </w:rPr>
              <w:fldChar w:fldCharType="end"/>
            </w:r>
          </w:hyperlink>
        </w:p>
        <w:p w14:paraId="5D96A014" w14:textId="77777777" w:rsidR="00412F22" w:rsidRDefault="00412F22" w:rsidP="00412F22">
          <w:pPr>
            <w:pStyle w:val="TM2"/>
            <w:tabs>
              <w:tab w:val="right" w:leader="dot" w:pos="10625"/>
            </w:tabs>
            <w:rPr>
              <w:rFonts w:eastAsiaTheme="minorEastAsia"/>
              <w:b/>
              <w:bCs/>
              <w:noProof/>
              <w:kern w:val="2"/>
              <w:sz w:val="24"/>
              <w:szCs w:val="24"/>
              <w14:ligatures w14:val="standardContextual"/>
            </w:rPr>
          </w:pPr>
          <w:hyperlink w:anchor="_Toc192462527" w:history="1">
            <w:r w:rsidRPr="009C5700">
              <w:rPr>
                <w:rStyle w:val="Lienhypertexte"/>
                <w:noProof/>
              </w:rPr>
              <w:t>III.4 Scénarios socioéconomiques et adaptation</w:t>
            </w:r>
            <w:r>
              <w:rPr>
                <w:noProof/>
                <w:webHidden/>
              </w:rPr>
              <w:tab/>
            </w:r>
            <w:r>
              <w:rPr>
                <w:noProof/>
                <w:webHidden/>
              </w:rPr>
              <w:fldChar w:fldCharType="begin"/>
            </w:r>
            <w:r>
              <w:rPr>
                <w:noProof/>
                <w:webHidden/>
              </w:rPr>
              <w:instrText xml:space="preserve"> PAGEREF _Toc192462527 \h </w:instrText>
            </w:r>
            <w:r>
              <w:rPr>
                <w:noProof/>
                <w:webHidden/>
              </w:rPr>
            </w:r>
            <w:r>
              <w:rPr>
                <w:noProof/>
                <w:webHidden/>
              </w:rPr>
              <w:fldChar w:fldCharType="separate"/>
            </w:r>
            <w:r>
              <w:rPr>
                <w:noProof/>
                <w:webHidden/>
              </w:rPr>
              <w:t>20</w:t>
            </w:r>
            <w:r>
              <w:rPr>
                <w:noProof/>
                <w:webHidden/>
              </w:rPr>
              <w:fldChar w:fldCharType="end"/>
            </w:r>
          </w:hyperlink>
        </w:p>
        <w:p w14:paraId="7687FFFF" w14:textId="77777777" w:rsidR="00412F22" w:rsidRDefault="00412F22" w:rsidP="00412F22">
          <w:pPr>
            <w:pStyle w:val="TM1"/>
            <w:tabs>
              <w:tab w:val="left" w:pos="720"/>
              <w:tab w:val="right" w:leader="dot" w:pos="10625"/>
            </w:tabs>
            <w:rPr>
              <w:rFonts w:eastAsiaTheme="minorEastAsia" w:cstheme="minorBidi"/>
              <w:b/>
              <w:bCs/>
              <w:i w:val="0"/>
              <w:iCs w:val="0"/>
              <w:kern w:val="2"/>
              <w14:ligatures w14:val="standardContextual"/>
            </w:rPr>
          </w:pPr>
          <w:hyperlink w:anchor="_Toc192462528" w:history="1">
            <w:r w:rsidRPr="009C5700">
              <w:rPr>
                <w:rStyle w:val="Lienhypertexte"/>
              </w:rPr>
              <w:t>IV.</w:t>
            </w:r>
            <w:r>
              <w:rPr>
                <w:rFonts w:eastAsiaTheme="minorEastAsia" w:cstheme="minorBidi"/>
                <w:i w:val="0"/>
                <w:iCs w:val="0"/>
                <w:kern w:val="2"/>
                <w14:ligatures w14:val="standardContextual"/>
              </w:rPr>
              <w:tab/>
            </w:r>
            <w:r w:rsidRPr="009C5700">
              <w:rPr>
                <w:rStyle w:val="Lienhypertexte"/>
              </w:rPr>
              <w:t>Conclusion</w:t>
            </w:r>
            <w:r>
              <w:rPr>
                <w:webHidden/>
              </w:rPr>
              <w:tab/>
            </w:r>
            <w:r>
              <w:rPr>
                <w:webHidden/>
              </w:rPr>
              <w:fldChar w:fldCharType="begin"/>
            </w:r>
            <w:r>
              <w:rPr>
                <w:webHidden/>
              </w:rPr>
              <w:instrText xml:space="preserve"> PAGEREF _Toc192462528 \h </w:instrText>
            </w:r>
            <w:r>
              <w:rPr>
                <w:webHidden/>
              </w:rPr>
            </w:r>
            <w:r>
              <w:rPr>
                <w:webHidden/>
              </w:rPr>
              <w:fldChar w:fldCharType="separate"/>
            </w:r>
            <w:r>
              <w:rPr>
                <w:webHidden/>
              </w:rPr>
              <w:t>21</w:t>
            </w:r>
            <w:r>
              <w:rPr>
                <w:webHidden/>
              </w:rPr>
              <w:fldChar w:fldCharType="end"/>
            </w:r>
          </w:hyperlink>
        </w:p>
        <w:p w14:paraId="5A74C695" w14:textId="77777777" w:rsidR="00412F22" w:rsidRDefault="00412F22" w:rsidP="00412F22">
          <w:pPr>
            <w:pStyle w:val="TM1"/>
            <w:tabs>
              <w:tab w:val="right" w:leader="dot" w:pos="10625"/>
            </w:tabs>
            <w:rPr>
              <w:rFonts w:eastAsiaTheme="minorEastAsia" w:cstheme="minorBidi"/>
              <w:b/>
              <w:bCs/>
              <w:i w:val="0"/>
              <w:iCs w:val="0"/>
              <w:kern w:val="2"/>
              <w14:ligatures w14:val="standardContextual"/>
            </w:rPr>
          </w:pPr>
          <w:hyperlink w:anchor="_Toc192462529" w:history="1">
            <w:r w:rsidRPr="009C5700">
              <w:rPr>
                <w:rStyle w:val="Lienhypertexte"/>
              </w:rPr>
              <w:t>Annexes</w:t>
            </w:r>
            <w:r>
              <w:rPr>
                <w:webHidden/>
              </w:rPr>
              <w:tab/>
            </w:r>
            <w:r>
              <w:rPr>
                <w:webHidden/>
              </w:rPr>
              <w:fldChar w:fldCharType="begin"/>
            </w:r>
            <w:r>
              <w:rPr>
                <w:webHidden/>
              </w:rPr>
              <w:instrText xml:space="preserve"> PAGEREF _Toc192462529 \h </w:instrText>
            </w:r>
            <w:r>
              <w:rPr>
                <w:webHidden/>
              </w:rPr>
            </w:r>
            <w:r>
              <w:rPr>
                <w:webHidden/>
              </w:rPr>
              <w:fldChar w:fldCharType="separate"/>
            </w:r>
            <w:r>
              <w:rPr>
                <w:webHidden/>
              </w:rPr>
              <w:t>22</w:t>
            </w:r>
            <w:r>
              <w:rPr>
                <w:webHidden/>
              </w:rPr>
              <w:fldChar w:fldCharType="end"/>
            </w:r>
          </w:hyperlink>
        </w:p>
        <w:p w14:paraId="4CF3202A" w14:textId="77777777" w:rsidR="00412F22" w:rsidRDefault="00412F22" w:rsidP="00412F22">
          <w:pPr>
            <w:pStyle w:val="TM2"/>
            <w:tabs>
              <w:tab w:val="right" w:leader="dot" w:pos="10625"/>
            </w:tabs>
            <w:rPr>
              <w:rFonts w:eastAsiaTheme="minorEastAsia"/>
              <w:b/>
              <w:bCs/>
              <w:noProof/>
              <w:kern w:val="2"/>
              <w:sz w:val="24"/>
              <w:szCs w:val="24"/>
              <w14:ligatures w14:val="standardContextual"/>
            </w:rPr>
          </w:pPr>
          <w:hyperlink w:anchor="_Toc192462530" w:history="1">
            <w:r w:rsidRPr="009C5700">
              <w:rPr>
                <w:rStyle w:val="Lienhypertexte"/>
                <w:noProof/>
              </w:rPr>
              <w:t>Annexe 1 : Valeurs des PIB sectoriels sur la période 2019 – 2023</w:t>
            </w:r>
            <w:r>
              <w:rPr>
                <w:noProof/>
                <w:webHidden/>
              </w:rPr>
              <w:tab/>
            </w:r>
            <w:r>
              <w:rPr>
                <w:noProof/>
                <w:webHidden/>
              </w:rPr>
              <w:fldChar w:fldCharType="begin"/>
            </w:r>
            <w:r>
              <w:rPr>
                <w:noProof/>
                <w:webHidden/>
              </w:rPr>
              <w:instrText xml:space="preserve"> PAGEREF _Toc192462530 \h </w:instrText>
            </w:r>
            <w:r>
              <w:rPr>
                <w:noProof/>
                <w:webHidden/>
              </w:rPr>
            </w:r>
            <w:r>
              <w:rPr>
                <w:noProof/>
                <w:webHidden/>
              </w:rPr>
              <w:fldChar w:fldCharType="separate"/>
            </w:r>
            <w:r>
              <w:rPr>
                <w:noProof/>
                <w:webHidden/>
              </w:rPr>
              <w:t>23</w:t>
            </w:r>
            <w:r>
              <w:rPr>
                <w:noProof/>
                <w:webHidden/>
              </w:rPr>
              <w:fldChar w:fldCharType="end"/>
            </w:r>
          </w:hyperlink>
        </w:p>
        <w:p w14:paraId="2625C386" w14:textId="77777777" w:rsidR="00412F22" w:rsidRDefault="00412F22" w:rsidP="00412F22">
          <w:pPr>
            <w:pStyle w:val="TM2"/>
            <w:tabs>
              <w:tab w:val="right" w:leader="dot" w:pos="10625"/>
            </w:tabs>
            <w:rPr>
              <w:rFonts w:eastAsiaTheme="minorEastAsia"/>
              <w:b/>
              <w:bCs/>
              <w:noProof/>
              <w:kern w:val="2"/>
              <w:sz w:val="24"/>
              <w:szCs w:val="24"/>
              <w14:ligatures w14:val="standardContextual"/>
            </w:rPr>
          </w:pPr>
          <w:hyperlink w:anchor="_Toc192462531" w:history="1">
            <w:r w:rsidRPr="009C5700">
              <w:rPr>
                <w:rStyle w:val="Lienhypertexte"/>
                <w:noProof/>
              </w:rPr>
              <w:t>Annexe 2 : Répartition sectorielle du PIB sur 2019 - 2023</w:t>
            </w:r>
            <w:r>
              <w:rPr>
                <w:noProof/>
                <w:webHidden/>
              </w:rPr>
              <w:tab/>
            </w:r>
            <w:r>
              <w:rPr>
                <w:noProof/>
                <w:webHidden/>
              </w:rPr>
              <w:fldChar w:fldCharType="begin"/>
            </w:r>
            <w:r>
              <w:rPr>
                <w:noProof/>
                <w:webHidden/>
              </w:rPr>
              <w:instrText xml:space="preserve"> PAGEREF _Toc192462531 \h </w:instrText>
            </w:r>
            <w:r>
              <w:rPr>
                <w:noProof/>
                <w:webHidden/>
              </w:rPr>
            </w:r>
            <w:r>
              <w:rPr>
                <w:noProof/>
                <w:webHidden/>
              </w:rPr>
              <w:fldChar w:fldCharType="separate"/>
            </w:r>
            <w:r>
              <w:rPr>
                <w:noProof/>
                <w:webHidden/>
              </w:rPr>
              <w:t>24</w:t>
            </w:r>
            <w:r>
              <w:rPr>
                <w:noProof/>
                <w:webHidden/>
              </w:rPr>
              <w:fldChar w:fldCharType="end"/>
            </w:r>
          </w:hyperlink>
        </w:p>
        <w:p w14:paraId="11CAC479" w14:textId="77777777" w:rsidR="00412F22" w:rsidRDefault="00412F22" w:rsidP="00412F22">
          <w:pPr>
            <w:pStyle w:val="TM2"/>
            <w:tabs>
              <w:tab w:val="right" w:leader="dot" w:pos="10625"/>
            </w:tabs>
            <w:rPr>
              <w:rFonts w:eastAsiaTheme="minorEastAsia"/>
              <w:b/>
              <w:bCs/>
              <w:noProof/>
              <w:kern w:val="2"/>
              <w:sz w:val="24"/>
              <w:szCs w:val="24"/>
              <w14:ligatures w14:val="standardContextual"/>
            </w:rPr>
          </w:pPr>
          <w:hyperlink w:anchor="_Toc192462532" w:history="1">
            <w:r w:rsidRPr="009C5700">
              <w:rPr>
                <w:rStyle w:val="Lienhypertexte"/>
                <w:noProof/>
              </w:rPr>
              <w:t>Annexe 3 : Termes de référence de l’étude</w:t>
            </w:r>
            <w:r>
              <w:rPr>
                <w:noProof/>
                <w:webHidden/>
              </w:rPr>
              <w:tab/>
            </w:r>
            <w:r>
              <w:rPr>
                <w:noProof/>
                <w:webHidden/>
              </w:rPr>
              <w:fldChar w:fldCharType="begin"/>
            </w:r>
            <w:r>
              <w:rPr>
                <w:noProof/>
                <w:webHidden/>
              </w:rPr>
              <w:instrText xml:space="preserve"> PAGEREF _Toc192462532 \h </w:instrText>
            </w:r>
            <w:r>
              <w:rPr>
                <w:noProof/>
                <w:webHidden/>
              </w:rPr>
            </w:r>
            <w:r>
              <w:rPr>
                <w:noProof/>
                <w:webHidden/>
              </w:rPr>
              <w:fldChar w:fldCharType="separate"/>
            </w:r>
            <w:r>
              <w:rPr>
                <w:noProof/>
                <w:webHidden/>
              </w:rPr>
              <w:t>25</w:t>
            </w:r>
            <w:r>
              <w:rPr>
                <w:noProof/>
                <w:webHidden/>
              </w:rPr>
              <w:fldChar w:fldCharType="end"/>
            </w:r>
          </w:hyperlink>
        </w:p>
        <w:p w14:paraId="2AE012CD" w14:textId="77777777" w:rsidR="00412F22" w:rsidRDefault="00412F22" w:rsidP="00412F22">
          <w:r w:rsidRPr="00A54E66">
            <w:rPr>
              <w:rFonts w:cstheme="minorHAnsi"/>
              <w:b/>
              <w:bCs/>
              <w:noProof/>
            </w:rPr>
            <w:fldChar w:fldCharType="end"/>
          </w:r>
        </w:p>
      </w:sdtContent>
    </w:sdt>
    <w:p w14:paraId="713E08D4" w14:textId="77777777" w:rsidR="00412F22" w:rsidRPr="003304AB" w:rsidRDefault="00412F22" w:rsidP="00412F22">
      <w:pPr>
        <w:pStyle w:val="Titre4"/>
        <w:spacing w:before="104"/>
        <w:rPr>
          <w:rFonts w:asciiTheme="minorHAnsi" w:hAnsiTheme="minorHAnsi" w:cstheme="minorHAnsi"/>
          <w:i w:val="0"/>
          <w:iCs w:val="0"/>
          <w:sz w:val="36"/>
          <w:szCs w:val="36"/>
        </w:rPr>
      </w:pPr>
      <w:r w:rsidRPr="003304AB">
        <w:rPr>
          <w:rFonts w:asciiTheme="minorHAnsi" w:hAnsiTheme="minorHAnsi" w:cstheme="minorHAnsi"/>
          <w:i w:val="0"/>
          <w:iCs w:val="0"/>
          <w:sz w:val="36"/>
          <w:szCs w:val="36"/>
        </w:rPr>
        <w:t xml:space="preserve">                   Table des tableaux</w:t>
      </w:r>
    </w:p>
    <w:p w14:paraId="73E59C5B" w14:textId="77777777" w:rsidR="00412F22" w:rsidRDefault="00412F22" w:rsidP="00412F22">
      <w:pPr>
        <w:pStyle w:val="Tabledesillustrations"/>
        <w:tabs>
          <w:tab w:val="right" w:leader="dot" w:pos="10625"/>
        </w:tabs>
        <w:ind w:right="-22"/>
        <w:rPr>
          <w:rFonts w:eastAsiaTheme="minorEastAsia"/>
          <w:noProof/>
          <w:kern w:val="2"/>
          <w14:ligatures w14:val="standardContextual"/>
        </w:rPr>
      </w:pPr>
      <w:r w:rsidRPr="00A54E66">
        <w:rPr>
          <w:rFonts w:cstheme="minorHAnsi"/>
          <w:b/>
          <w:bCs/>
          <w:i/>
          <w:iCs/>
        </w:rPr>
        <w:fldChar w:fldCharType="begin"/>
      </w:r>
      <w:r w:rsidRPr="00A54E66">
        <w:rPr>
          <w:rFonts w:cstheme="minorHAnsi"/>
          <w:b/>
          <w:bCs/>
          <w:i/>
          <w:iCs/>
        </w:rPr>
        <w:instrText xml:space="preserve"> TOC \h \z \c "Tableau" </w:instrText>
      </w:r>
      <w:r w:rsidRPr="00A54E66">
        <w:rPr>
          <w:rFonts w:cstheme="minorHAnsi"/>
          <w:b/>
          <w:bCs/>
          <w:i/>
          <w:iCs/>
        </w:rPr>
        <w:fldChar w:fldCharType="separate"/>
      </w:r>
      <w:hyperlink w:anchor="_Toc192462644" w:history="1">
        <w:r w:rsidRPr="00AA2A5D">
          <w:rPr>
            <w:rStyle w:val="Lienhypertexte"/>
            <w:b/>
            <w:bCs/>
            <w:noProof/>
          </w:rPr>
          <w:t xml:space="preserve">Tableau 1 : </w:t>
        </w:r>
        <w:r w:rsidRPr="009852B2">
          <w:rPr>
            <w:rStyle w:val="Lienhypertexte"/>
            <w:noProof/>
          </w:rPr>
          <w:t>Contribution des secteurs au PIB</w:t>
        </w:r>
        <w:r>
          <w:rPr>
            <w:noProof/>
            <w:webHidden/>
          </w:rPr>
          <w:tab/>
        </w:r>
        <w:r>
          <w:rPr>
            <w:noProof/>
            <w:webHidden/>
          </w:rPr>
          <w:fldChar w:fldCharType="begin"/>
        </w:r>
        <w:r>
          <w:rPr>
            <w:noProof/>
            <w:webHidden/>
          </w:rPr>
          <w:instrText xml:space="preserve"> PAGEREF _Toc192462644 \h </w:instrText>
        </w:r>
        <w:r>
          <w:rPr>
            <w:noProof/>
            <w:webHidden/>
          </w:rPr>
        </w:r>
        <w:r>
          <w:rPr>
            <w:noProof/>
            <w:webHidden/>
          </w:rPr>
          <w:fldChar w:fldCharType="separate"/>
        </w:r>
        <w:r>
          <w:rPr>
            <w:noProof/>
            <w:webHidden/>
          </w:rPr>
          <w:t>14</w:t>
        </w:r>
        <w:r>
          <w:rPr>
            <w:noProof/>
            <w:webHidden/>
          </w:rPr>
          <w:fldChar w:fldCharType="end"/>
        </w:r>
      </w:hyperlink>
    </w:p>
    <w:p w14:paraId="4AAC4C43" w14:textId="77777777" w:rsidR="00412F22" w:rsidRDefault="00412F22" w:rsidP="00412F22">
      <w:pPr>
        <w:pStyle w:val="Tabledesillustrations"/>
        <w:tabs>
          <w:tab w:val="right" w:leader="dot" w:pos="10625"/>
        </w:tabs>
        <w:ind w:right="-22"/>
        <w:rPr>
          <w:rFonts w:eastAsiaTheme="minorEastAsia"/>
          <w:noProof/>
          <w:kern w:val="2"/>
          <w14:ligatures w14:val="standardContextual"/>
        </w:rPr>
      </w:pPr>
      <w:hyperlink w:anchor="_Toc192462645" w:history="1">
        <w:r w:rsidRPr="00AA2A5D">
          <w:rPr>
            <w:rStyle w:val="Lienhypertexte"/>
            <w:b/>
            <w:bCs/>
            <w:noProof/>
          </w:rPr>
          <w:t xml:space="preserve">Tableau 2 : </w:t>
        </w:r>
        <w:r w:rsidRPr="009852B2">
          <w:rPr>
            <w:rStyle w:val="Lienhypertexte"/>
            <w:noProof/>
          </w:rPr>
          <w:t>Evolution du PIB national</w:t>
        </w:r>
        <w:r>
          <w:rPr>
            <w:noProof/>
            <w:webHidden/>
          </w:rPr>
          <w:tab/>
        </w:r>
        <w:r>
          <w:rPr>
            <w:noProof/>
            <w:webHidden/>
          </w:rPr>
          <w:fldChar w:fldCharType="begin"/>
        </w:r>
        <w:r>
          <w:rPr>
            <w:noProof/>
            <w:webHidden/>
          </w:rPr>
          <w:instrText xml:space="preserve"> PAGEREF _Toc192462645 \h </w:instrText>
        </w:r>
        <w:r>
          <w:rPr>
            <w:noProof/>
            <w:webHidden/>
          </w:rPr>
        </w:r>
        <w:r>
          <w:rPr>
            <w:noProof/>
            <w:webHidden/>
          </w:rPr>
          <w:fldChar w:fldCharType="separate"/>
        </w:r>
        <w:r>
          <w:rPr>
            <w:noProof/>
            <w:webHidden/>
          </w:rPr>
          <w:t>15</w:t>
        </w:r>
        <w:r>
          <w:rPr>
            <w:noProof/>
            <w:webHidden/>
          </w:rPr>
          <w:fldChar w:fldCharType="end"/>
        </w:r>
      </w:hyperlink>
    </w:p>
    <w:p w14:paraId="4EF69442" w14:textId="77777777" w:rsidR="00412F22" w:rsidRDefault="00412F22" w:rsidP="00412F22">
      <w:pPr>
        <w:pStyle w:val="Tabledesillustrations"/>
        <w:tabs>
          <w:tab w:val="right" w:leader="dot" w:pos="10625"/>
        </w:tabs>
        <w:ind w:right="-22"/>
        <w:rPr>
          <w:rFonts w:eastAsiaTheme="minorEastAsia"/>
          <w:noProof/>
          <w:kern w:val="2"/>
          <w14:ligatures w14:val="standardContextual"/>
        </w:rPr>
      </w:pPr>
      <w:hyperlink w:anchor="_Toc192462646" w:history="1">
        <w:r w:rsidRPr="00AA2A5D">
          <w:rPr>
            <w:rStyle w:val="Lienhypertexte"/>
            <w:b/>
            <w:bCs/>
            <w:noProof/>
          </w:rPr>
          <w:t>Tableau 3 :</w:t>
        </w:r>
        <w:r w:rsidRPr="009852B2">
          <w:rPr>
            <w:rStyle w:val="Lienhypertexte"/>
            <w:noProof/>
          </w:rPr>
          <w:t>Taux de croissance des scénarios reflétant le mieux la situation de la Mauritanie</w:t>
        </w:r>
        <w:r>
          <w:rPr>
            <w:noProof/>
            <w:webHidden/>
          </w:rPr>
          <w:tab/>
        </w:r>
        <w:r>
          <w:rPr>
            <w:noProof/>
            <w:webHidden/>
          </w:rPr>
          <w:fldChar w:fldCharType="begin"/>
        </w:r>
        <w:r>
          <w:rPr>
            <w:noProof/>
            <w:webHidden/>
          </w:rPr>
          <w:instrText xml:space="preserve"> PAGEREF _Toc192462646 \h </w:instrText>
        </w:r>
        <w:r>
          <w:rPr>
            <w:noProof/>
            <w:webHidden/>
          </w:rPr>
        </w:r>
        <w:r>
          <w:rPr>
            <w:noProof/>
            <w:webHidden/>
          </w:rPr>
          <w:fldChar w:fldCharType="separate"/>
        </w:r>
        <w:r>
          <w:rPr>
            <w:noProof/>
            <w:webHidden/>
          </w:rPr>
          <w:t>15</w:t>
        </w:r>
        <w:r>
          <w:rPr>
            <w:noProof/>
            <w:webHidden/>
          </w:rPr>
          <w:fldChar w:fldCharType="end"/>
        </w:r>
      </w:hyperlink>
    </w:p>
    <w:p w14:paraId="64A293B9" w14:textId="77777777" w:rsidR="00412F22" w:rsidRDefault="00412F22" w:rsidP="00412F22">
      <w:pPr>
        <w:pStyle w:val="Tabledesillustrations"/>
        <w:tabs>
          <w:tab w:val="right" w:leader="dot" w:pos="10625"/>
        </w:tabs>
        <w:ind w:right="-22"/>
        <w:rPr>
          <w:rFonts w:eastAsiaTheme="minorEastAsia"/>
          <w:noProof/>
          <w:kern w:val="2"/>
          <w14:ligatures w14:val="standardContextual"/>
        </w:rPr>
      </w:pPr>
      <w:hyperlink w:anchor="_Toc192462647" w:history="1">
        <w:r w:rsidRPr="00AA2A5D">
          <w:rPr>
            <w:rStyle w:val="Lienhypertexte"/>
            <w:b/>
            <w:bCs/>
            <w:noProof/>
          </w:rPr>
          <w:t xml:space="preserve">Tableau 4 : </w:t>
        </w:r>
        <w:r w:rsidRPr="009852B2">
          <w:rPr>
            <w:rStyle w:val="Lienhypertexte"/>
            <w:noProof/>
          </w:rPr>
          <w:t>Contribution de l’agriculture au PIB national en 2050 et 2100 avec les CC</w:t>
        </w:r>
        <w:r>
          <w:rPr>
            <w:noProof/>
            <w:webHidden/>
          </w:rPr>
          <w:tab/>
        </w:r>
        <w:r>
          <w:rPr>
            <w:noProof/>
            <w:webHidden/>
          </w:rPr>
          <w:fldChar w:fldCharType="begin"/>
        </w:r>
        <w:r>
          <w:rPr>
            <w:noProof/>
            <w:webHidden/>
          </w:rPr>
          <w:instrText xml:space="preserve"> PAGEREF _Toc192462647 \h </w:instrText>
        </w:r>
        <w:r>
          <w:rPr>
            <w:noProof/>
            <w:webHidden/>
          </w:rPr>
        </w:r>
        <w:r>
          <w:rPr>
            <w:noProof/>
            <w:webHidden/>
          </w:rPr>
          <w:fldChar w:fldCharType="separate"/>
        </w:r>
        <w:r>
          <w:rPr>
            <w:noProof/>
            <w:webHidden/>
          </w:rPr>
          <w:t>16</w:t>
        </w:r>
        <w:r>
          <w:rPr>
            <w:noProof/>
            <w:webHidden/>
          </w:rPr>
          <w:fldChar w:fldCharType="end"/>
        </w:r>
      </w:hyperlink>
    </w:p>
    <w:p w14:paraId="4C0A01B0" w14:textId="77777777" w:rsidR="00412F22" w:rsidRDefault="00412F22" w:rsidP="00412F22">
      <w:pPr>
        <w:pStyle w:val="Tabledesillustrations"/>
        <w:tabs>
          <w:tab w:val="right" w:leader="dot" w:pos="10625"/>
        </w:tabs>
        <w:ind w:right="-22"/>
        <w:rPr>
          <w:rFonts w:eastAsiaTheme="minorEastAsia"/>
          <w:noProof/>
          <w:kern w:val="2"/>
          <w14:ligatures w14:val="standardContextual"/>
        </w:rPr>
      </w:pPr>
      <w:hyperlink w:anchor="_Toc192462648" w:history="1">
        <w:r w:rsidRPr="00AA2A5D">
          <w:rPr>
            <w:rStyle w:val="Lienhypertexte"/>
            <w:b/>
            <w:bCs/>
            <w:noProof/>
          </w:rPr>
          <w:t xml:space="preserve">Tableau 5 : </w:t>
        </w:r>
        <w:r w:rsidRPr="009852B2">
          <w:rPr>
            <w:rStyle w:val="Lienhypertexte"/>
            <w:noProof/>
          </w:rPr>
          <w:t>Contribution de l’élevage au PIB national en 2050 et 2100 avec les CC</w:t>
        </w:r>
        <w:r>
          <w:rPr>
            <w:noProof/>
            <w:webHidden/>
          </w:rPr>
          <w:tab/>
        </w:r>
        <w:r>
          <w:rPr>
            <w:noProof/>
            <w:webHidden/>
          </w:rPr>
          <w:fldChar w:fldCharType="begin"/>
        </w:r>
        <w:r>
          <w:rPr>
            <w:noProof/>
            <w:webHidden/>
          </w:rPr>
          <w:instrText xml:space="preserve"> PAGEREF _Toc192462648 \h </w:instrText>
        </w:r>
        <w:r>
          <w:rPr>
            <w:noProof/>
            <w:webHidden/>
          </w:rPr>
        </w:r>
        <w:r>
          <w:rPr>
            <w:noProof/>
            <w:webHidden/>
          </w:rPr>
          <w:fldChar w:fldCharType="separate"/>
        </w:r>
        <w:r>
          <w:rPr>
            <w:noProof/>
            <w:webHidden/>
          </w:rPr>
          <w:t>16</w:t>
        </w:r>
        <w:r>
          <w:rPr>
            <w:noProof/>
            <w:webHidden/>
          </w:rPr>
          <w:fldChar w:fldCharType="end"/>
        </w:r>
      </w:hyperlink>
    </w:p>
    <w:p w14:paraId="36EFA2D7" w14:textId="77777777" w:rsidR="00412F22" w:rsidRDefault="00412F22" w:rsidP="00412F22">
      <w:pPr>
        <w:pStyle w:val="Tabledesillustrations"/>
        <w:tabs>
          <w:tab w:val="right" w:leader="dot" w:pos="10625"/>
        </w:tabs>
        <w:ind w:right="-22"/>
        <w:rPr>
          <w:rFonts w:eastAsiaTheme="minorEastAsia"/>
          <w:noProof/>
          <w:kern w:val="2"/>
          <w14:ligatures w14:val="standardContextual"/>
        </w:rPr>
      </w:pPr>
      <w:hyperlink w:anchor="_Toc192462649" w:history="1">
        <w:r w:rsidRPr="00AA2A5D">
          <w:rPr>
            <w:rStyle w:val="Lienhypertexte"/>
            <w:b/>
            <w:bCs/>
            <w:noProof/>
          </w:rPr>
          <w:t xml:space="preserve">Tableau 6: </w:t>
        </w:r>
        <w:r w:rsidRPr="009852B2">
          <w:rPr>
            <w:rStyle w:val="Lienhypertexte"/>
            <w:noProof/>
          </w:rPr>
          <w:t>Contribution des infrastructures/</w:t>
        </w:r>
        <w:r w:rsidRPr="009F18ED">
          <w:rPr>
            <w:rStyle w:val="Lienhypertexte"/>
            <w:noProof/>
          </w:rPr>
          <w:t xml:space="preserve">BTP </w:t>
        </w:r>
        <w:r w:rsidRPr="009852B2">
          <w:rPr>
            <w:rStyle w:val="Lienhypertexte"/>
            <w:noProof/>
          </w:rPr>
          <w:t xml:space="preserve">au </w:t>
        </w:r>
        <w:r w:rsidRPr="009F18ED">
          <w:rPr>
            <w:rStyle w:val="Lienhypertexte"/>
            <w:noProof/>
          </w:rPr>
          <w:t xml:space="preserve">PIB </w:t>
        </w:r>
        <w:r w:rsidRPr="009852B2">
          <w:rPr>
            <w:rStyle w:val="Lienhypertexte"/>
            <w:noProof/>
          </w:rPr>
          <w:t xml:space="preserve">national en </w:t>
        </w:r>
        <w:r w:rsidRPr="009F18ED">
          <w:rPr>
            <w:rStyle w:val="Lienhypertexte"/>
            <w:noProof/>
          </w:rPr>
          <w:t xml:space="preserve">2050 </w:t>
        </w:r>
        <w:r w:rsidRPr="009852B2">
          <w:rPr>
            <w:rStyle w:val="Lienhypertexte"/>
            <w:noProof/>
          </w:rPr>
          <w:t xml:space="preserve">et </w:t>
        </w:r>
        <w:r w:rsidRPr="009F18ED">
          <w:rPr>
            <w:rStyle w:val="Lienhypertexte"/>
            <w:noProof/>
          </w:rPr>
          <w:t xml:space="preserve">2100 </w:t>
        </w:r>
        <w:r w:rsidRPr="009852B2">
          <w:rPr>
            <w:rStyle w:val="Lienhypertexte"/>
            <w:noProof/>
          </w:rPr>
          <w:t xml:space="preserve">avec les </w:t>
        </w:r>
        <w:r w:rsidRPr="009F18ED">
          <w:rPr>
            <w:rStyle w:val="Lienhypertexte"/>
            <w:noProof/>
          </w:rPr>
          <w:t>CC</w:t>
        </w:r>
        <w:r>
          <w:rPr>
            <w:noProof/>
            <w:webHidden/>
          </w:rPr>
          <w:tab/>
        </w:r>
        <w:r>
          <w:rPr>
            <w:noProof/>
            <w:webHidden/>
          </w:rPr>
          <w:fldChar w:fldCharType="begin"/>
        </w:r>
        <w:r>
          <w:rPr>
            <w:noProof/>
            <w:webHidden/>
          </w:rPr>
          <w:instrText xml:space="preserve"> PAGEREF _Toc192462649 \h </w:instrText>
        </w:r>
        <w:r>
          <w:rPr>
            <w:noProof/>
            <w:webHidden/>
          </w:rPr>
        </w:r>
        <w:r>
          <w:rPr>
            <w:noProof/>
            <w:webHidden/>
          </w:rPr>
          <w:fldChar w:fldCharType="separate"/>
        </w:r>
        <w:r>
          <w:rPr>
            <w:noProof/>
            <w:webHidden/>
          </w:rPr>
          <w:t>17</w:t>
        </w:r>
        <w:r>
          <w:rPr>
            <w:noProof/>
            <w:webHidden/>
          </w:rPr>
          <w:fldChar w:fldCharType="end"/>
        </w:r>
      </w:hyperlink>
    </w:p>
    <w:p w14:paraId="2246ED25" w14:textId="77777777" w:rsidR="00412F22" w:rsidRDefault="00412F22" w:rsidP="00412F22">
      <w:pPr>
        <w:pStyle w:val="Tabledesillustrations"/>
        <w:tabs>
          <w:tab w:val="right" w:leader="dot" w:pos="10625"/>
        </w:tabs>
        <w:ind w:right="-22"/>
        <w:rPr>
          <w:rFonts w:eastAsiaTheme="minorEastAsia"/>
          <w:noProof/>
          <w:kern w:val="2"/>
          <w14:ligatures w14:val="standardContextual"/>
        </w:rPr>
      </w:pPr>
      <w:hyperlink w:anchor="_Toc192462650" w:history="1">
        <w:r w:rsidRPr="00AA2A5D">
          <w:rPr>
            <w:rStyle w:val="Lienhypertexte"/>
            <w:b/>
            <w:bCs/>
            <w:noProof/>
          </w:rPr>
          <w:t xml:space="preserve">Tableau 7: </w:t>
        </w:r>
        <w:r w:rsidRPr="00764A9B">
          <w:rPr>
            <w:rStyle w:val="Lienhypertexte"/>
            <w:rFonts w:cstheme="minorHAnsi"/>
            <w:noProof/>
          </w:rPr>
          <w:t>Chute du PIB due à la santé en 2050 et 2100 avec les CC</w:t>
        </w:r>
        <w:r>
          <w:rPr>
            <w:noProof/>
            <w:webHidden/>
          </w:rPr>
          <w:tab/>
        </w:r>
        <w:r>
          <w:rPr>
            <w:noProof/>
            <w:webHidden/>
          </w:rPr>
          <w:fldChar w:fldCharType="begin"/>
        </w:r>
        <w:r>
          <w:rPr>
            <w:noProof/>
            <w:webHidden/>
          </w:rPr>
          <w:instrText xml:space="preserve"> PAGEREF _Toc192462650 \h </w:instrText>
        </w:r>
        <w:r>
          <w:rPr>
            <w:noProof/>
            <w:webHidden/>
          </w:rPr>
        </w:r>
        <w:r>
          <w:rPr>
            <w:noProof/>
            <w:webHidden/>
          </w:rPr>
          <w:fldChar w:fldCharType="separate"/>
        </w:r>
        <w:r>
          <w:rPr>
            <w:noProof/>
            <w:webHidden/>
          </w:rPr>
          <w:t>17</w:t>
        </w:r>
        <w:r>
          <w:rPr>
            <w:noProof/>
            <w:webHidden/>
          </w:rPr>
          <w:fldChar w:fldCharType="end"/>
        </w:r>
      </w:hyperlink>
    </w:p>
    <w:p w14:paraId="16047285" w14:textId="77777777" w:rsidR="00412F22" w:rsidRDefault="00412F22" w:rsidP="00412F22">
      <w:pPr>
        <w:pStyle w:val="Tabledesillustrations"/>
        <w:tabs>
          <w:tab w:val="right" w:leader="dot" w:pos="10625"/>
        </w:tabs>
        <w:ind w:right="-22"/>
        <w:rPr>
          <w:rFonts w:eastAsiaTheme="minorEastAsia"/>
          <w:noProof/>
          <w:kern w:val="2"/>
          <w14:ligatures w14:val="standardContextual"/>
        </w:rPr>
      </w:pPr>
      <w:hyperlink w:anchor="_Toc192462651" w:history="1">
        <w:r w:rsidRPr="00AA2A5D">
          <w:rPr>
            <w:rStyle w:val="Lienhypertexte"/>
            <w:b/>
            <w:bCs/>
            <w:noProof/>
          </w:rPr>
          <w:t xml:space="preserve">Tableau 8: </w:t>
        </w:r>
        <w:r w:rsidRPr="00764A9B">
          <w:rPr>
            <w:rStyle w:val="Lienhypertexte"/>
            <w:noProof/>
          </w:rPr>
          <w:t>PIB national et contributions des secteurs à ce PIB en 2050</w:t>
        </w:r>
        <w:r w:rsidRPr="00AA2A5D">
          <w:rPr>
            <w:rStyle w:val="Lienhypertexte"/>
            <w:b/>
            <w:bCs/>
            <w:noProof/>
          </w:rPr>
          <w:t>,</w:t>
        </w:r>
        <w:r>
          <w:rPr>
            <w:noProof/>
            <w:webHidden/>
          </w:rPr>
          <w:tab/>
        </w:r>
        <w:r>
          <w:rPr>
            <w:noProof/>
            <w:webHidden/>
          </w:rPr>
          <w:fldChar w:fldCharType="begin"/>
        </w:r>
        <w:r>
          <w:rPr>
            <w:noProof/>
            <w:webHidden/>
          </w:rPr>
          <w:instrText xml:space="preserve"> PAGEREF _Toc192462651 \h </w:instrText>
        </w:r>
        <w:r>
          <w:rPr>
            <w:noProof/>
            <w:webHidden/>
          </w:rPr>
        </w:r>
        <w:r>
          <w:rPr>
            <w:noProof/>
            <w:webHidden/>
          </w:rPr>
          <w:fldChar w:fldCharType="separate"/>
        </w:r>
        <w:r>
          <w:rPr>
            <w:noProof/>
            <w:webHidden/>
          </w:rPr>
          <w:t>18</w:t>
        </w:r>
        <w:r>
          <w:rPr>
            <w:noProof/>
            <w:webHidden/>
          </w:rPr>
          <w:fldChar w:fldCharType="end"/>
        </w:r>
      </w:hyperlink>
    </w:p>
    <w:p w14:paraId="43AA1622" w14:textId="77777777" w:rsidR="00412F22" w:rsidRDefault="00412F22" w:rsidP="00412F22">
      <w:pPr>
        <w:pStyle w:val="Tabledesillustrations"/>
        <w:tabs>
          <w:tab w:val="right" w:leader="dot" w:pos="10625"/>
        </w:tabs>
        <w:ind w:right="-22"/>
        <w:rPr>
          <w:rFonts w:eastAsiaTheme="minorEastAsia"/>
          <w:noProof/>
          <w:kern w:val="2"/>
          <w14:ligatures w14:val="standardContextual"/>
        </w:rPr>
      </w:pPr>
      <w:hyperlink w:anchor="_Toc192462652" w:history="1">
        <w:r w:rsidRPr="00AA2A5D">
          <w:rPr>
            <w:rStyle w:val="Lienhypertexte"/>
            <w:b/>
            <w:bCs/>
            <w:noProof/>
          </w:rPr>
          <w:t xml:space="preserve">Tableau 9: </w:t>
        </w:r>
        <w:r w:rsidRPr="00764A9B">
          <w:rPr>
            <w:rStyle w:val="Lienhypertexte"/>
            <w:noProof/>
          </w:rPr>
          <w:t>PIB national et contributions des secteurs à ce PIB en 2100</w:t>
        </w:r>
        <w:r>
          <w:rPr>
            <w:noProof/>
            <w:webHidden/>
          </w:rPr>
          <w:tab/>
        </w:r>
        <w:r>
          <w:rPr>
            <w:noProof/>
            <w:webHidden/>
          </w:rPr>
          <w:fldChar w:fldCharType="begin"/>
        </w:r>
        <w:r>
          <w:rPr>
            <w:noProof/>
            <w:webHidden/>
          </w:rPr>
          <w:instrText xml:space="preserve"> PAGEREF _Toc192462652 \h </w:instrText>
        </w:r>
        <w:r>
          <w:rPr>
            <w:noProof/>
            <w:webHidden/>
          </w:rPr>
        </w:r>
        <w:r>
          <w:rPr>
            <w:noProof/>
            <w:webHidden/>
          </w:rPr>
          <w:fldChar w:fldCharType="separate"/>
        </w:r>
        <w:r>
          <w:rPr>
            <w:noProof/>
            <w:webHidden/>
          </w:rPr>
          <w:t>18</w:t>
        </w:r>
        <w:r>
          <w:rPr>
            <w:noProof/>
            <w:webHidden/>
          </w:rPr>
          <w:fldChar w:fldCharType="end"/>
        </w:r>
      </w:hyperlink>
    </w:p>
    <w:p w14:paraId="6F1FEA92" w14:textId="77777777" w:rsidR="00412F22" w:rsidRDefault="00412F22" w:rsidP="00412F22">
      <w:pPr>
        <w:pStyle w:val="Tabledesillustrations"/>
        <w:tabs>
          <w:tab w:val="right" w:leader="dot" w:pos="10625"/>
        </w:tabs>
        <w:ind w:right="-447"/>
        <w:rPr>
          <w:rFonts w:eastAsiaTheme="minorEastAsia"/>
          <w:noProof/>
          <w:kern w:val="2"/>
          <w14:ligatures w14:val="standardContextual"/>
        </w:rPr>
      </w:pPr>
      <w:hyperlink w:anchor="_Toc192462653" w:history="1">
        <w:r w:rsidRPr="00AA2A5D">
          <w:rPr>
            <w:rStyle w:val="Lienhypertexte"/>
            <w:b/>
            <w:bCs/>
            <w:noProof/>
          </w:rPr>
          <w:t xml:space="preserve">Tableau 10: </w:t>
        </w:r>
        <w:r w:rsidRPr="009F18ED">
          <w:rPr>
            <w:rStyle w:val="Lienhypertexte"/>
            <w:noProof/>
            <w:sz w:val="20"/>
            <w:szCs w:val="20"/>
          </w:rPr>
          <w:t>PIB</w:t>
        </w:r>
        <w:r w:rsidRPr="009F18ED">
          <w:rPr>
            <w:rStyle w:val="Lienhypertexte"/>
            <w:noProof/>
          </w:rPr>
          <w:t xml:space="preserve"> </w:t>
        </w:r>
        <w:r w:rsidRPr="00764A9B">
          <w:rPr>
            <w:rStyle w:val="Lienhypertexte"/>
            <w:noProof/>
          </w:rPr>
          <w:t xml:space="preserve">sans </w:t>
        </w:r>
        <w:r w:rsidRPr="009F18ED">
          <w:rPr>
            <w:rStyle w:val="Lienhypertexte"/>
            <w:noProof/>
          </w:rPr>
          <w:t xml:space="preserve">CC </w:t>
        </w:r>
        <w:r w:rsidRPr="00764A9B">
          <w:rPr>
            <w:rStyle w:val="Lienhypertexte"/>
            <w:noProof/>
          </w:rPr>
          <w:t xml:space="preserve">et </w:t>
        </w:r>
        <w:r w:rsidRPr="009F18ED">
          <w:rPr>
            <w:rStyle w:val="Lienhypertexte"/>
            <w:noProof/>
            <w:sz w:val="20"/>
            <w:szCs w:val="20"/>
          </w:rPr>
          <w:t>PIB</w:t>
        </w:r>
        <w:r w:rsidRPr="009F18ED">
          <w:rPr>
            <w:rStyle w:val="Lienhypertexte"/>
            <w:noProof/>
          </w:rPr>
          <w:t xml:space="preserve"> </w:t>
        </w:r>
        <w:r w:rsidRPr="00764A9B">
          <w:rPr>
            <w:rStyle w:val="Lienhypertexte"/>
            <w:noProof/>
          </w:rPr>
          <w:t xml:space="preserve">avec </w:t>
        </w:r>
        <w:r w:rsidRPr="009F18ED">
          <w:rPr>
            <w:rStyle w:val="Lienhypertexte"/>
            <w:noProof/>
            <w:sz w:val="20"/>
            <w:szCs w:val="20"/>
          </w:rPr>
          <w:t>CC</w:t>
        </w:r>
        <w:r w:rsidRPr="009F18ED">
          <w:rPr>
            <w:rStyle w:val="Lienhypertexte"/>
            <w:noProof/>
          </w:rPr>
          <w:t xml:space="preserve"> </w:t>
        </w:r>
        <w:r w:rsidRPr="00764A9B">
          <w:rPr>
            <w:rStyle w:val="Lienhypertexte"/>
            <w:noProof/>
          </w:rPr>
          <w:t>et sans mesures d’adaptation (</w:t>
        </w:r>
        <w:r w:rsidRPr="009F18ED">
          <w:rPr>
            <w:rStyle w:val="Lienhypertexte"/>
            <w:noProof/>
            <w:sz w:val="20"/>
            <w:szCs w:val="20"/>
          </w:rPr>
          <w:t>S</w:t>
        </w:r>
        <w:r w:rsidRPr="00764A9B">
          <w:rPr>
            <w:rStyle w:val="Lienhypertexte"/>
            <w:noProof/>
          </w:rPr>
          <w:t>cénarios soéco ré</w:t>
        </w:r>
        <w:r w:rsidRPr="009F18ED">
          <w:rPr>
            <w:rStyle w:val="Lienhypertexte"/>
            <w:noProof/>
            <w:sz w:val="20"/>
            <w:szCs w:val="20"/>
          </w:rPr>
          <w:t xml:space="preserve"> </w:t>
        </w:r>
        <w:r w:rsidRPr="009F18ED">
          <w:rPr>
            <w:rStyle w:val="Lienhypertexte"/>
            <w:noProof/>
            <w:sz w:val="18"/>
            <w:szCs w:val="18"/>
          </w:rPr>
          <w:t>2050</w:t>
        </w:r>
        <w:r w:rsidRPr="00764A9B">
          <w:rPr>
            <w:rStyle w:val="Lienhypertexte"/>
            <w:noProof/>
          </w:rPr>
          <w:t>)</w:t>
        </w:r>
        <w:r w:rsidRPr="009F18ED">
          <w:rPr>
            <w:noProof/>
            <w:webHidden/>
          </w:rPr>
          <w:fldChar w:fldCharType="begin"/>
        </w:r>
        <w:r w:rsidRPr="009F18ED">
          <w:rPr>
            <w:noProof/>
            <w:webHidden/>
          </w:rPr>
          <w:instrText xml:space="preserve"> PAGEREF _Toc192462653 \h </w:instrText>
        </w:r>
        <w:r w:rsidRPr="009F18ED">
          <w:rPr>
            <w:noProof/>
            <w:webHidden/>
          </w:rPr>
        </w:r>
        <w:r w:rsidRPr="009F18ED">
          <w:rPr>
            <w:noProof/>
            <w:webHidden/>
          </w:rPr>
          <w:fldChar w:fldCharType="separate"/>
        </w:r>
        <w:r w:rsidRPr="009F18ED">
          <w:rPr>
            <w:noProof/>
            <w:webHidden/>
          </w:rPr>
          <w:t>19</w:t>
        </w:r>
        <w:r w:rsidRPr="009F18ED">
          <w:rPr>
            <w:noProof/>
            <w:webHidden/>
          </w:rPr>
          <w:fldChar w:fldCharType="end"/>
        </w:r>
      </w:hyperlink>
    </w:p>
    <w:p w14:paraId="3676C32C" w14:textId="77777777" w:rsidR="00412F22" w:rsidRDefault="00412F22" w:rsidP="00412F22">
      <w:pPr>
        <w:pStyle w:val="Tabledesillustrations"/>
        <w:tabs>
          <w:tab w:val="right" w:leader="dot" w:pos="10625"/>
        </w:tabs>
        <w:rPr>
          <w:rFonts w:eastAsiaTheme="minorEastAsia"/>
          <w:noProof/>
          <w:kern w:val="2"/>
          <w14:ligatures w14:val="standardContextual"/>
        </w:rPr>
      </w:pPr>
      <w:hyperlink w:anchor="_Toc192462654" w:history="1">
        <w:r w:rsidRPr="00AA2A5D">
          <w:rPr>
            <w:rStyle w:val="Lienhypertexte"/>
            <w:b/>
            <w:bCs/>
            <w:noProof/>
          </w:rPr>
          <w:t xml:space="preserve">Tableau 11: </w:t>
        </w:r>
        <w:r w:rsidRPr="009F18ED">
          <w:rPr>
            <w:rStyle w:val="Lienhypertexte"/>
            <w:noProof/>
            <w:sz w:val="20"/>
            <w:szCs w:val="20"/>
          </w:rPr>
          <w:t>PIB</w:t>
        </w:r>
        <w:r w:rsidRPr="00764A9B">
          <w:rPr>
            <w:rStyle w:val="Lienhypertexte"/>
            <w:noProof/>
          </w:rPr>
          <w:t xml:space="preserve"> sans </w:t>
        </w:r>
        <w:r w:rsidRPr="009F18ED">
          <w:rPr>
            <w:rStyle w:val="Lienhypertexte"/>
            <w:noProof/>
            <w:sz w:val="20"/>
            <w:szCs w:val="20"/>
          </w:rPr>
          <w:t>CC</w:t>
        </w:r>
        <w:r w:rsidRPr="00764A9B">
          <w:rPr>
            <w:rStyle w:val="Lienhypertexte"/>
            <w:noProof/>
          </w:rPr>
          <w:t xml:space="preserve"> et </w:t>
        </w:r>
        <w:r w:rsidRPr="009F18ED">
          <w:rPr>
            <w:rStyle w:val="Lienhypertexte"/>
            <w:noProof/>
            <w:sz w:val="20"/>
            <w:szCs w:val="20"/>
          </w:rPr>
          <w:t>PIB</w:t>
        </w:r>
        <w:r w:rsidRPr="00764A9B">
          <w:rPr>
            <w:rStyle w:val="Lienhypertexte"/>
            <w:noProof/>
          </w:rPr>
          <w:t xml:space="preserve"> avec </w:t>
        </w:r>
        <w:r w:rsidRPr="009F18ED">
          <w:rPr>
            <w:rStyle w:val="Lienhypertexte"/>
            <w:noProof/>
            <w:sz w:val="20"/>
            <w:szCs w:val="20"/>
          </w:rPr>
          <w:t>CC</w:t>
        </w:r>
        <w:r w:rsidRPr="00764A9B">
          <w:rPr>
            <w:rStyle w:val="Lienhypertexte"/>
            <w:noProof/>
          </w:rPr>
          <w:t xml:space="preserve"> et sans mesures </w:t>
        </w:r>
        <w:r w:rsidRPr="009F18ED">
          <w:rPr>
            <w:rStyle w:val="Lienhypertexte"/>
            <w:noProof/>
          </w:rPr>
          <w:t>d’adaptation</w:t>
        </w:r>
        <w:r w:rsidRPr="00764A9B">
          <w:rPr>
            <w:rStyle w:val="Lienhypertexte"/>
            <w:noProof/>
          </w:rPr>
          <w:t xml:space="preserve"> (</w:t>
        </w:r>
        <w:r w:rsidRPr="009F18ED">
          <w:rPr>
            <w:rStyle w:val="Lienhypertexte"/>
            <w:noProof/>
          </w:rPr>
          <w:t>Scénarios</w:t>
        </w:r>
        <w:r w:rsidRPr="00764A9B">
          <w:rPr>
            <w:rStyle w:val="Lienhypertexte"/>
            <w:noProof/>
          </w:rPr>
          <w:t xml:space="preserve"> </w:t>
        </w:r>
        <w:r w:rsidRPr="009F18ED">
          <w:rPr>
            <w:rStyle w:val="Lienhypertexte"/>
            <w:noProof/>
          </w:rPr>
          <w:t>socécoré</w:t>
        </w:r>
        <w:r w:rsidRPr="00764A9B">
          <w:rPr>
            <w:rStyle w:val="Lienhypertexte"/>
            <w:noProof/>
          </w:rPr>
          <w:t xml:space="preserve">, </w:t>
        </w:r>
        <w:r w:rsidRPr="009F18ED">
          <w:rPr>
            <w:rStyle w:val="Lienhypertexte"/>
            <w:noProof/>
            <w:sz w:val="18"/>
            <w:szCs w:val="18"/>
          </w:rPr>
          <w:t>2100</w:t>
        </w:r>
        <w:r w:rsidRPr="00764A9B">
          <w:rPr>
            <w:rStyle w:val="Lienhypertexte"/>
            <w:noProof/>
          </w:rPr>
          <w:t>)</w:t>
        </w:r>
        <w:r>
          <w:rPr>
            <w:noProof/>
            <w:webHidden/>
          </w:rPr>
          <w:tab/>
        </w:r>
        <w:r>
          <w:rPr>
            <w:noProof/>
            <w:webHidden/>
          </w:rPr>
          <w:fldChar w:fldCharType="begin"/>
        </w:r>
        <w:r>
          <w:rPr>
            <w:noProof/>
            <w:webHidden/>
          </w:rPr>
          <w:instrText xml:space="preserve"> PAGEREF _Toc192462654 \h </w:instrText>
        </w:r>
        <w:r>
          <w:rPr>
            <w:noProof/>
            <w:webHidden/>
          </w:rPr>
        </w:r>
        <w:r>
          <w:rPr>
            <w:noProof/>
            <w:webHidden/>
          </w:rPr>
          <w:fldChar w:fldCharType="separate"/>
        </w:r>
        <w:r>
          <w:rPr>
            <w:noProof/>
            <w:webHidden/>
          </w:rPr>
          <w:t>19</w:t>
        </w:r>
        <w:r>
          <w:rPr>
            <w:noProof/>
            <w:webHidden/>
          </w:rPr>
          <w:fldChar w:fldCharType="end"/>
        </w:r>
      </w:hyperlink>
    </w:p>
    <w:p w14:paraId="052A4AA0" w14:textId="77777777" w:rsidR="00412F22" w:rsidRDefault="00412F22" w:rsidP="00412F22">
      <w:pPr>
        <w:pStyle w:val="Tabledesillustrations"/>
        <w:tabs>
          <w:tab w:val="right" w:leader="dot" w:pos="10625"/>
        </w:tabs>
        <w:ind w:right="-22"/>
        <w:rPr>
          <w:rFonts w:eastAsiaTheme="minorEastAsia"/>
          <w:noProof/>
          <w:kern w:val="2"/>
          <w14:ligatures w14:val="standardContextual"/>
        </w:rPr>
      </w:pPr>
      <w:hyperlink w:anchor="_Toc192462655" w:history="1">
        <w:r w:rsidRPr="00AA2A5D">
          <w:rPr>
            <w:rStyle w:val="Lienhypertexte"/>
            <w:b/>
            <w:bCs/>
            <w:noProof/>
          </w:rPr>
          <w:t xml:space="preserve">Tableau 12: </w:t>
        </w:r>
        <w:r w:rsidRPr="009F18ED">
          <w:rPr>
            <w:rStyle w:val="Lienhypertexte"/>
            <w:noProof/>
          </w:rPr>
          <w:t>Récapitulatif</w:t>
        </w:r>
        <w:r w:rsidRPr="00764A9B">
          <w:rPr>
            <w:rStyle w:val="Lienhypertexte"/>
            <w:noProof/>
          </w:rPr>
          <w:t xml:space="preserve"> des pertes à compenser par des </w:t>
        </w:r>
        <w:r w:rsidRPr="009F18ED">
          <w:rPr>
            <w:rStyle w:val="Lienhypertexte"/>
            <w:noProof/>
          </w:rPr>
          <w:t>mesures</w:t>
        </w:r>
        <w:r w:rsidRPr="00764A9B">
          <w:rPr>
            <w:rStyle w:val="Lienhypertexte"/>
            <w:noProof/>
          </w:rPr>
          <w:t xml:space="preserve"> </w:t>
        </w:r>
        <w:r w:rsidRPr="009F18ED">
          <w:rPr>
            <w:rStyle w:val="Lienhypertexte"/>
            <w:noProof/>
          </w:rPr>
          <w:t>d’adaptation</w:t>
        </w:r>
        <w:r w:rsidRPr="00764A9B">
          <w:rPr>
            <w:rStyle w:val="Lienhypertexte"/>
            <w:noProof/>
          </w:rPr>
          <w:t xml:space="preserve"> à </w:t>
        </w:r>
        <w:r w:rsidRPr="009F18ED">
          <w:rPr>
            <w:rStyle w:val="Lienhypertexte"/>
            <w:noProof/>
          </w:rPr>
          <w:t>l’horizon</w:t>
        </w:r>
        <w:r w:rsidRPr="00764A9B">
          <w:rPr>
            <w:rStyle w:val="Lienhypertexte"/>
            <w:noProof/>
          </w:rPr>
          <w:t xml:space="preserve"> </w:t>
        </w:r>
        <w:r w:rsidRPr="009F18ED">
          <w:rPr>
            <w:rStyle w:val="Lienhypertexte"/>
            <w:noProof/>
            <w:sz w:val="20"/>
            <w:szCs w:val="20"/>
          </w:rPr>
          <w:t>2050</w:t>
        </w:r>
        <w:r>
          <w:rPr>
            <w:noProof/>
            <w:webHidden/>
          </w:rPr>
          <w:tab/>
        </w:r>
        <w:r>
          <w:rPr>
            <w:noProof/>
            <w:webHidden/>
          </w:rPr>
          <w:fldChar w:fldCharType="begin"/>
        </w:r>
        <w:r>
          <w:rPr>
            <w:noProof/>
            <w:webHidden/>
          </w:rPr>
          <w:instrText xml:space="preserve"> PAGEREF _Toc192462655 \h </w:instrText>
        </w:r>
        <w:r>
          <w:rPr>
            <w:noProof/>
            <w:webHidden/>
          </w:rPr>
        </w:r>
        <w:r>
          <w:rPr>
            <w:noProof/>
            <w:webHidden/>
          </w:rPr>
          <w:fldChar w:fldCharType="separate"/>
        </w:r>
        <w:r>
          <w:rPr>
            <w:noProof/>
            <w:webHidden/>
          </w:rPr>
          <w:t>20</w:t>
        </w:r>
        <w:r>
          <w:rPr>
            <w:noProof/>
            <w:webHidden/>
          </w:rPr>
          <w:fldChar w:fldCharType="end"/>
        </w:r>
      </w:hyperlink>
    </w:p>
    <w:p w14:paraId="427D9538" w14:textId="77777777" w:rsidR="00412F22" w:rsidRDefault="00412F22" w:rsidP="00412F22">
      <w:pPr>
        <w:pStyle w:val="Tabledesillustrations"/>
        <w:tabs>
          <w:tab w:val="right" w:leader="dot" w:pos="10625"/>
        </w:tabs>
        <w:rPr>
          <w:rFonts w:eastAsiaTheme="minorEastAsia"/>
          <w:noProof/>
          <w:kern w:val="2"/>
          <w14:ligatures w14:val="standardContextual"/>
        </w:rPr>
      </w:pPr>
      <w:hyperlink w:anchor="_Toc192462656" w:history="1">
        <w:r w:rsidRPr="00AA2A5D">
          <w:rPr>
            <w:rStyle w:val="Lienhypertexte"/>
            <w:b/>
            <w:bCs/>
            <w:noProof/>
          </w:rPr>
          <w:t xml:space="preserve">Tableau 13: </w:t>
        </w:r>
        <w:r w:rsidRPr="00764A9B">
          <w:rPr>
            <w:rStyle w:val="Lienhypertexte"/>
            <w:noProof/>
          </w:rPr>
          <w:t>Besoins en financement pour l’adaptation, du CDN 2021 – 2030</w:t>
        </w:r>
        <w:r>
          <w:rPr>
            <w:noProof/>
            <w:webHidden/>
          </w:rPr>
          <w:tab/>
        </w:r>
        <w:r>
          <w:rPr>
            <w:noProof/>
            <w:webHidden/>
          </w:rPr>
          <w:fldChar w:fldCharType="begin"/>
        </w:r>
        <w:r>
          <w:rPr>
            <w:noProof/>
            <w:webHidden/>
          </w:rPr>
          <w:instrText xml:space="preserve"> PAGEREF _Toc192462656 \h </w:instrText>
        </w:r>
        <w:r>
          <w:rPr>
            <w:noProof/>
            <w:webHidden/>
          </w:rPr>
        </w:r>
        <w:r>
          <w:rPr>
            <w:noProof/>
            <w:webHidden/>
          </w:rPr>
          <w:fldChar w:fldCharType="separate"/>
        </w:r>
        <w:r>
          <w:rPr>
            <w:noProof/>
            <w:webHidden/>
          </w:rPr>
          <w:t>20</w:t>
        </w:r>
        <w:r>
          <w:rPr>
            <w:noProof/>
            <w:webHidden/>
          </w:rPr>
          <w:fldChar w:fldCharType="end"/>
        </w:r>
      </w:hyperlink>
    </w:p>
    <w:p w14:paraId="66D26EEA" w14:textId="77777777" w:rsidR="00412F22" w:rsidRPr="00A54E66" w:rsidRDefault="00412F22" w:rsidP="00412F22">
      <w:pPr>
        <w:pStyle w:val="Titre4"/>
        <w:spacing w:before="104" w:line="360" w:lineRule="auto"/>
        <w:rPr>
          <w:rFonts w:asciiTheme="minorHAnsi" w:hAnsiTheme="minorHAnsi" w:cstheme="minorHAnsi"/>
          <w:b/>
          <w:bCs/>
          <w:i w:val="0"/>
          <w:iCs w:val="0"/>
        </w:rPr>
      </w:pPr>
      <w:r w:rsidRPr="00A54E66">
        <w:rPr>
          <w:rFonts w:asciiTheme="minorHAnsi" w:hAnsiTheme="minorHAnsi" w:cstheme="minorHAnsi"/>
          <w:b/>
          <w:bCs/>
          <w:i w:val="0"/>
          <w:iCs w:val="0"/>
        </w:rPr>
        <w:fldChar w:fldCharType="end"/>
      </w:r>
    </w:p>
    <w:p w14:paraId="31F60497" w14:textId="77777777" w:rsidR="00412F22" w:rsidRPr="0016301A" w:rsidRDefault="00412F22" w:rsidP="00412F22">
      <w:pPr>
        <w:pStyle w:val="Titre1"/>
        <w:numPr>
          <w:ilvl w:val="0"/>
          <w:numId w:val="204"/>
        </w:numPr>
        <w:shd w:val="clear" w:color="auto" w:fill="92D050"/>
        <w:tabs>
          <w:tab w:val="left" w:pos="9356"/>
          <w:tab w:val="left" w:pos="9498"/>
          <w:tab w:val="left" w:pos="9781"/>
        </w:tabs>
        <w:ind w:left="709" w:right="1279" w:hanging="709"/>
        <w:rPr>
          <w:b/>
          <w:bCs/>
          <w:color w:val="000000" w:themeColor="text1"/>
        </w:rPr>
      </w:pPr>
      <w:bookmarkStart w:id="705" w:name="_Toc192462507"/>
      <w:r w:rsidRPr="0016301A">
        <w:rPr>
          <w:b/>
          <w:bCs/>
          <w:color w:val="000000" w:themeColor="text1"/>
        </w:rPr>
        <w:t>CONTEXTE</w:t>
      </w:r>
      <w:bookmarkEnd w:id="705"/>
    </w:p>
    <w:p w14:paraId="461AD8D1" w14:textId="77777777" w:rsidR="00412F22" w:rsidRPr="0016301A" w:rsidRDefault="00412F22" w:rsidP="00412F22">
      <w:pPr>
        <w:pStyle w:val="Titre4"/>
        <w:tabs>
          <w:tab w:val="left" w:pos="9356"/>
          <w:tab w:val="left" w:pos="9498"/>
          <w:tab w:val="left" w:pos="9781"/>
        </w:tabs>
        <w:spacing w:before="104" w:line="276" w:lineRule="auto"/>
        <w:ind w:right="1279"/>
        <w:rPr>
          <w:rFonts w:asciiTheme="minorHAnsi" w:hAnsiTheme="minorHAnsi" w:cstheme="minorHAnsi"/>
          <w:b/>
          <w:bCs/>
          <w:i w:val="0"/>
          <w:iCs w:val="0"/>
          <w:color w:val="000000" w:themeColor="text1"/>
        </w:rPr>
      </w:pPr>
      <w:r w:rsidRPr="0016301A">
        <w:rPr>
          <w:rFonts w:asciiTheme="minorHAnsi" w:hAnsiTheme="minorHAnsi" w:cstheme="minorHAnsi"/>
          <w:i w:val="0"/>
          <w:iCs w:val="0"/>
          <w:color w:val="000000" w:themeColor="text1"/>
        </w:rPr>
        <w:t>Les scénarios socioéconomiques découlent des scénarii climatiques. Ils sont donc tributaires des conditions et des limites dans lesquelles ces scénarii climatiques ont été établis, plus particulièrement de la qualité du système d’observation actuellement en place.</w:t>
      </w:r>
    </w:p>
    <w:p w14:paraId="0EFC9A1A" w14:textId="77777777" w:rsidR="00412F22" w:rsidRDefault="00412F22" w:rsidP="00412F22">
      <w:pPr>
        <w:pStyle w:val="Titre4"/>
        <w:tabs>
          <w:tab w:val="left" w:pos="9356"/>
          <w:tab w:val="left" w:pos="9498"/>
          <w:tab w:val="left" w:pos="9781"/>
        </w:tabs>
        <w:spacing w:before="104" w:line="276" w:lineRule="auto"/>
        <w:ind w:right="1279"/>
        <w:rPr>
          <w:rFonts w:asciiTheme="minorHAnsi" w:hAnsiTheme="minorHAnsi" w:cstheme="minorHAnsi"/>
          <w:b/>
          <w:bCs/>
          <w:i w:val="0"/>
          <w:iCs w:val="0"/>
          <w:color w:val="000000" w:themeColor="text1"/>
        </w:rPr>
      </w:pPr>
      <w:r>
        <w:rPr>
          <w:rFonts w:asciiTheme="minorHAnsi" w:hAnsiTheme="minorHAnsi" w:cstheme="minorHAnsi"/>
          <w:i w:val="0"/>
          <w:iCs w:val="0"/>
          <w:color w:val="000000" w:themeColor="text1"/>
        </w:rPr>
        <w:t>Le</w:t>
      </w:r>
      <w:r w:rsidRPr="0016301A">
        <w:rPr>
          <w:rFonts w:asciiTheme="minorHAnsi" w:hAnsiTheme="minorHAnsi" w:cstheme="minorHAnsi"/>
          <w:i w:val="0"/>
          <w:iCs w:val="0"/>
          <w:color w:val="000000" w:themeColor="text1"/>
        </w:rPr>
        <w:t xml:space="preserve"> système d’observation</w:t>
      </w:r>
      <w:r>
        <w:rPr>
          <w:rFonts w:asciiTheme="minorHAnsi" w:hAnsiTheme="minorHAnsi" w:cstheme="minorHAnsi"/>
          <w:i w:val="0"/>
          <w:iCs w:val="0"/>
          <w:color w:val="000000" w:themeColor="text1"/>
        </w:rPr>
        <w:t>, en Mauritanie,</w:t>
      </w:r>
      <w:r w:rsidRPr="0016301A">
        <w:rPr>
          <w:rFonts w:asciiTheme="minorHAnsi" w:hAnsiTheme="minorHAnsi" w:cstheme="minorHAnsi"/>
          <w:i w:val="0"/>
          <w:iCs w:val="0"/>
          <w:color w:val="000000" w:themeColor="text1"/>
        </w:rPr>
        <w:t xml:space="preserve"> dispose de 13 stations synoptiques gérées </w:t>
      </w:r>
      <w:r>
        <w:rPr>
          <w:rFonts w:asciiTheme="minorHAnsi" w:hAnsiTheme="minorHAnsi" w:cstheme="minorHAnsi"/>
          <w:i w:val="0"/>
          <w:iCs w:val="0"/>
          <w:color w:val="000000" w:themeColor="text1"/>
        </w:rPr>
        <w:t xml:space="preserve">par </w:t>
      </w:r>
      <w:r w:rsidRPr="0016301A">
        <w:rPr>
          <w:rFonts w:asciiTheme="minorHAnsi" w:hAnsiTheme="minorHAnsi" w:cstheme="minorHAnsi"/>
          <w:i w:val="0"/>
          <w:iCs w:val="0"/>
          <w:color w:val="000000" w:themeColor="text1"/>
        </w:rPr>
        <w:t xml:space="preserve">l’ASECNA. </w:t>
      </w:r>
      <w:r>
        <w:rPr>
          <w:rFonts w:asciiTheme="minorHAnsi" w:hAnsiTheme="minorHAnsi" w:cstheme="minorHAnsi"/>
          <w:i w:val="0"/>
          <w:iCs w:val="0"/>
          <w:color w:val="000000" w:themeColor="text1"/>
        </w:rPr>
        <w:t>A</w:t>
      </w:r>
      <w:r w:rsidRPr="0016301A">
        <w:rPr>
          <w:rFonts w:asciiTheme="minorHAnsi" w:hAnsiTheme="minorHAnsi" w:cstheme="minorHAnsi"/>
          <w:i w:val="0"/>
          <w:iCs w:val="0"/>
          <w:color w:val="000000" w:themeColor="text1"/>
        </w:rPr>
        <w:t xml:space="preserve"> la veille de l’indépendance du pays</w:t>
      </w:r>
      <w:r>
        <w:rPr>
          <w:rFonts w:asciiTheme="minorHAnsi" w:hAnsiTheme="minorHAnsi" w:cstheme="minorHAnsi"/>
          <w:i w:val="0"/>
          <w:iCs w:val="0"/>
          <w:color w:val="000000" w:themeColor="text1"/>
        </w:rPr>
        <w:t>,</w:t>
      </w:r>
      <w:r w:rsidRPr="0016301A">
        <w:rPr>
          <w:rFonts w:asciiTheme="minorHAnsi" w:hAnsiTheme="minorHAnsi" w:cstheme="minorHAnsi"/>
          <w:i w:val="0"/>
          <w:iCs w:val="0"/>
          <w:color w:val="000000" w:themeColor="text1"/>
        </w:rPr>
        <w:t xml:space="preserve"> </w:t>
      </w:r>
      <w:r>
        <w:rPr>
          <w:rFonts w:asciiTheme="minorHAnsi" w:hAnsiTheme="minorHAnsi" w:cstheme="minorHAnsi"/>
          <w:i w:val="0"/>
          <w:iCs w:val="0"/>
          <w:color w:val="000000" w:themeColor="text1"/>
        </w:rPr>
        <w:t>l</w:t>
      </w:r>
      <w:r w:rsidRPr="0016301A">
        <w:rPr>
          <w:rFonts w:asciiTheme="minorHAnsi" w:hAnsiTheme="minorHAnsi" w:cstheme="minorHAnsi"/>
          <w:i w:val="0"/>
          <w:iCs w:val="0"/>
          <w:color w:val="000000" w:themeColor="text1"/>
        </w:rPr>
        <w:t xml:space="preserve">es stations climatiques avaient été fermées, exceptée celle de Kaédi. Des stations avaient été </w:t>
      </w:r>
      <w:r>
        <w:rPr>
          <w:rFonts w:asciiTheme="minorHAnsi" w:hAnsiTheme="minorHAnsi" w:cstheme="minorHAnsi"/>
          <w:i w:val="0"/>
          <w:iCs w:val="0"/>
          <w:color w:val="000000" w:themeColor="text1"/>
        </w:rPr>
        <w:t xml:space="preserve">ensuite </w:t>
      </w:r>
      <w:r w:rsidRPr="0016301A">
        <w:rPr>
          <w:rFonts w:asciiTheme="minorHAnsi" w:hAnsiTheme="minorHAnsi" w:cstheme="minorHAnsi"/>
          <w:i w:val="0"/>
          <w:iCs w:val="0"/>
          <w:color w:val="000000" w:themeColor="text1"/>
        </w:rPr>
        <w:t>ouvertes par la MIFERMA, mais elles n’ont fonctionné que pendant cinq ans</w:t>
      </w:r>
      <w:r>
        <w:rPr>
          <w:rFonts w:asciiTheme="minorHAnsi" w:hAnsiTheme="minorHAnsi" w:cstheme="minorHAnsi"/>
          <w:i w:val="0"/>
          <w:iCs w:val="0"/>
          <w:color w:val="000000" w:themeColor="text1"/>
        </w:rPr>
        <w:t>,</w:t>
      </w:r>
      <w:r w:rsidRPr="0016301A">
        <w:rPr>
          <w:rFonts w:asciiTheme="minorHAnsi" w:hAnsiTheme="minorHAnsi" w:cstheme="minorHAnsi"/>
          <w:i w:val="0"/>
          <w:iCs w:val="0"/>
          <w:color w:val="000000" w:themeColor="text1"/>
        </w:rPr>
        <w:t xml:space="preserve"> de 1968 à 1972, ayant été fermées suite à la nationalisation de la MIFERMA, devenue SNIM. </w:t>
      </w:r>
    </w:p>
    <w:p w14:paraId="0BB09890" w14:textId="77777777" w:rsidR="00412F22" w:rsidRPr="0016301A" w:rsidRDefault="00412F22" w:rsidP="00412F22">
      <w:pPr>
        <w:pStyle w:val="Titre4"/>
        <w:tabs>
          <w:tab w:val="left" w:pos="9356"/>
          <w:tab w:val="left" w:pos="9498"/>
          <w:tab w:val="left" w:pos="9781"/>
        </w:tabs>
        <w:spacing w:before="104" w:line="276" w:lineRule="auto"/>
        <w:ind w:right="1279"/>
        <w:rPr>
          <w:rFonts w:asciiTheme="minorHAnsi" w:hAnsiTheme="minorHAnsi" w:cstheme="minorHAnsi"/>
          <w:b/>
          <w:bCs/>
          <w:i w:val="0"/>
          <w:iCs w:val="0"/>
          <w:color w:val="000000" w:themeColor="text1"/>
        </w:rPr>
      </w:pPr>
      <w:r>
        <w:rPr>
          <w:rFonts w:asciiTheme="minorHAnsi" w:hAnsiTheme="minorHAnsi" w:cstheme="minorHAnsi"/>
          <w:i w:val="0"/>
          <w:iCs w:val="0"/>
          <w:color w:val="000000" w:themeColor="text1"/>
        </w:rPr>
        <w:t xml:space="preserve">A la fin des </w:t>
      </w:r>
      <w:r w:rsidRPr="0016301A">
        <w:rPr>
          <w:rFonts w:asciiTheme="minorHAnsi" w:hAnsiTheme="minorHAnsi" w:cstheme="minorHAnsi"/>
          <w:i w:val="0"/>
          <w:iCs w:val="0"/>
          <w:color w:val="000000" w:themeColor="text1"/>
        </w:rPr>
        <w:t>années 70</w:t>
      </w:r>
      <w:r>
        <w:rPr>
          <w:rFonts w:asciiTheme="minorHAnsi" w:hAnsiTheme="minorHAnsi" w:cstheme="minorHAnsi"/>
          <w:i w:val="0"/>
          <w:iCs w:val="0"/>
          <w:color w:val="000000" w:themeColor="text1"/>
        </w:rPr>
        <w:t>, l</w:t>
      </w:r>
      <w:r w:rsidRPr="0016301A">
        <w:rPr>
          <w:rFonts w:asciiTheme="minorHAnsi" w:hAnsiTheme="minorHAnsi" w:cstheme="minorHAnsi"/>
          <w:i w:val="0"/>
          <w:iCs w:val="0"/>
          <w:color w:val="000000" w:themeColor="text1"/>
        </w:rPr>
        <w:t xml:space="preserve">es stations climatiques fermées à la veille de l’indépendance ont pour la plupart été réactivées, dans le cadre du projet AGRHYMET. </w:t>
      </w:r>
      <w:r>
        <w:rPr>
          <w:rFonts w:asciiTheme="minorHAnsi" w:hAnsiTheme="minorHAnsi" w:cstheme="minorHAnsi"/>
          <w:i w:val="0"/>
          <w:iCs w:val="0"/>
          <w:color w:val="000000" w:themeColor="text1"/>
        </w:rPr>
        <w:t>Actuellement, l</w:t>
      </w:r>
      <w:r w:rsidRPr="0016301A">
        <w:rPr>
          <w:rFonts w:asciiTheme="minorHAnsi" w:hAnsiTheme="minorHAnsi" w:cstheme="minorHAnsi"/>
          <w:i w:val="0"/>
          <w:iCs w:val="0"/>
          <w:color w:val="000000" w:themeColor="text1"/>
        </w:rPr>
        <w:t>e nombre de stations pluviométriques dépasse quatre-vingt, mais seule</w:t>
      </w:r>
      <w:r>
        <w:rPr>
          <w:rFonts w:asciiTheme="minorHAnsi" w:hAnsiTheme="minorHAnsi" w:cstheme="minorHAnsi"/>
          <w:i w:val="0"/>
          <w:iCs w:val="0"/>
          <w:color w:val="000000" w:themeColor="text1"/>
        </w:rPr>
        <w:t>ment</w:t>
      </w:r>
      <w:r w:rsidRPr="0016301A">
        <w:rPr>
          <w:rFonts w:asciiTheme="minorHAnsi" w:hAnsiTheme="minorHAnsi" w:cstheme="minorHAnsi"/>
          <w:i w:val="0"/>
          <w:iCs w:val="0"/>
          <w:color w:val="000000" w:themeColor="text1"/>
        </w:rPr>
        <w:t xml:space="preserve"> 25 d’entre elles disposent de série</w:t>
      </w:r>
      <w:r>
        <w:rPr>
          <w:rFonts w:asciiTheme="minorHAnsi" w:hAnsiTheme="minorHAnsi" w:cstheme="minorHAnsi"/>
          <w:i w:val="0"/>
          <w:iCs w:val="0"/>
          <w:color w:val="000000" w:themeColor="text1"/>
        </w:rPr>
        <w:t>s</w:t>
      </w:r>
      <w:r w:rsidRPr="0016301A">
        <w:rPr>
          <w:rFonts w:asciiTheme="minorHAnsi" w:hAnsiTheme="minorHAnsi" w:cstheme="minorHAnsi"/>
          <w:i w:val="0"/>
          <w:iCs w:val="0"/>
          <w:color w:val="000000" w:themeColor="text1"/>
        </w:rPr>
        <w:t xml:space="preserve"> d’observations suffisamment longues pour décrire l’évolution des pluies.</w:t>
      </w:r>
    </w:p>
    <w:p w14:paraId="10D979DF" w14:textId="77777777" w:rsidR="00412F22" w:rsidRPr="0016301A" w:rsidRDefault="00412F22" w:rsidP="00412F22">
      <w:pPr>
        <w:pStyle w:val="Titre4"/>
        <w:tabs>
          <w:tab w:val="left" w:pos="9356"/>
          <w:tab w:val="left" w:pos="9498"/>
          <w:tab w:val="left" w:pos="9781"/>
        </w:tabs>
        <w:spacing w:before="104" w:line="276" w:lineRule="auto"/>
        <w:ind w:right="1279"/>
        <w:rPr>
          <w:rFonts w:asciiTheme="minorHAnsi" w:hAnsiTheme="minorHAnsi" w:cstheme="minorHAnsi"/>
          <w:b/>
          <w:bCs/>
          <w:i w:val="0"/>
          <w:iCs w:val="0"/>
          <w:color w:val="000000" w:themeColor="text1"/>
        </w:rPr>
      </w:pPr>
      <w:r w:rsidRPr="0016301A">
        <w:rPr>
          <w:rFonts w:asciiTheme="minorHAnsi" w:hAnsiTheme="minorHAnsi" w:cstheme="minorHAnsi"/>
          <w:i w:val="0"/>
          <w:iCs w:val="0"/>
          <w:color w:val="000000" w:themeColor="text1"/>
        </w:rPr>
        <w:t>Les scénarios socioéconomiques de référence</w:t>
      </w:r>
      <w:r>
        <w:rPr>
          <w:rFonts w:asciiTheme="minorHAnsi" w:hAnsiTheme="minorHAnsi" w:cstheme="minorHAnsi"/>
          <w:i w:val="0"/>
          <w:iCs w:val="0"/>
          <w:color w:val="000000" w:themeColor="text1"/>
        </w:rPr>
        <w:t>,</w:t>
      </w:r>
      <w:r w:rsidRPr="0016301A">
        <w:rPr>
          <w:rFonts w:asciiTheme="minorHAnsi" w:hAnsiTheme="minorHAnsi" w:cstheme="minorHAnsi"/>
          <w:i w:val="0"/>
          <w:iCs w:val="0"/>
          <w:color w:val="000000" w:themeColor="text1"/>
        </w:rPr>
        <w:t xml:space="preserve"> présentés ici</w:t>
      </w:r>
      <w:r>
        <w:rPr>
          <w:rFonts w:asciiTheme="minorHAnsi" w:hAnsiTheme="minorHAnsi" w:cstheme="minorHAnsi"/>
          <w:i w:val="0"/>
          <w:iCs w:val="0"/>
          <w:color w:val="000000" w:themeColor="text1"/>
        </w:rPr>
        <w:t>,</w:t>
      </w:r>
      <w:r w:rsidRPr="0016301A">
        <w:rPr>
          <w:rFonts w:asciiTheme="minorHAnsi" w:hAnsiTheme="minorHAnsi" w:cstheme="minorHAnsi"/>
          <w:i w:val="0"/>
          <w:iCs w:val="0"/>
          <w:color w:val="000000" w:themeColor="text1"/>
        </w:rPr>
        <w:t xml:space="preserve"> sont </w:t>
      </w:r>
      <w:r>
        <w:rPr>
          <w:rFonts w:asciiTheme="minorHAnsi" w:hAnsiTheme="minorHAnsi" w:cstheme="minorHAnsi"/>
          <w:i w:val="0"/>
          <w:iCs w:val="0"/>
          <w:color w:val="000000" w:themeColor="text1"/>
        </w:rPr>
        <w:t>élaborés</w:t>
      </w:r>
      <w:r w:rsidRPr="0016301A">
        <w:rPr>
          <w:rFonts w:asciiTheme="minorHAnsi" w:hAnsiTheme="minorHAnsi" w:cstheme="minorHAnsi"/>
          <w:i w:val="0"/>
          <w:iCs w:val="0"/>
          <w:color w:val="000000" w:themeColor="text1"/>
        </w:rPr>
        <w:t xml:space="preserve"> sur la base de scénarii climatiques établis grâce, </w:t>
      </w:r>
      <w:r>
        <w:rPr>
          <w:rFonts w:asciiTheme="minorHAnsi" w:hAnsiTheme="minorHAnsi" w:cstheme="minorHAnsi"/>
          <w:i w:val="0"/>
          <w:iCs w:val="0"/>
          <w:color w:val="000000" w:themeColor="text1"/>
        </w:rPr>
        <w:t>principalement</w:t>
      </w:r>
      <w:r w:rsidRPr="0016301A">
        <w:rPr>
          <w:rFonts w:asciiTheme="minorHAnsi" w:hAnsiTheme="minorHAnsi" w:cstheme="minorHAnsi"/>
          <w:i w:val="0"/>
          <w:iCs w:val="0"/>
          <w:color w:val="000000" w:themeColor="text1"/>
        </w:rPr>
        <w:t>, au dispositif décrit ci-dessus.</w:t>
      </w:r>
    </w:p>
    <w:p w14:paraId="02252447" w14:textId="77777777" w:rsidR="00412F22" w:rsidRPr="0016301A" w:rsidRDefault="00412F22" w:rsidP="00412F22">
      <w:pPr>
        <w:pStyle w:val="Titre4"/>
        <w:tabs>
          <w:tab w:val="left" w:pos="9356"/>
          <w:tab w:val="left" w:pos="9498"/>
          <w:tab w:val="left" w:pos="9781"/>
        </w:tabs>
        <w:spacing w:before="104" w:line="276" w:lineRule="auto"/>
        <w:ind w:right="1279"/>
        <w:rPr>
          <w:rFonts w:asciiTheme="minorHAnsi" w:hAnsiTheme="minorHAnsi" w:cstheme="minorHAnsi"/>
          <w:b/>
          <w:bCs/>
          <w:i w:val="0"/>
          <w:iCs w:val="0"/>
          <w:color w:val="000000" w:themeColor="text1"/>
        </w:rPr>
      </w:pPr>
      <w:r w:rsidRPr="0016301A">
        <w:rPr>
          <w:rFonts w:asciiTheme="minorHAnsi" w:hAnsiTheme="minorHAnsi" w:cstheme="minorHAnsi"/>
          <w:i w:val="0"/>
          <w:iCs w:val="0"/>
          <w:color w:val="000000" w:themeColor="text1"/>
        </w:rPr>
        <w:t>La présentation des scénarios socioéconomiques de référence sera faite après un rappel des scénarii climatiques qui en sont le fondement</w:t>
      </w:r>
      <w:r>
        <w:rPr>
          <w:rFonts w:asciiTheme="minorHAnsi" w:hAnsiTheme="minorHAnsi" w:cstheme="minorHAnsi"/>
          <w:i w:val="0"/>
          <w:iCs w:val="0"/>
          <w:color w:val="000000" w:themeColor="text1"/>
        </w:rPr>
        <w:t xml:space="preserve">. Dans ces scénarii climatiques, </w:t>
      </w:r>
      <w:r w:rsidRPr="0016301A">
        <w:rPr>
          <w:rFonts w:asciiTheme="minorHAnsi" w:hAnsiTheme="minorHAnsi" w:cstheme="minorHAnsi"/>
          <w:i w:val="0"/>
          <w:iCs w:val="0"/>
          <w:color w:val="000000" w:themeColor="text1"/>
        </w:rPr>
        <w:t xml:space="preserve">les tendances </w:t>
      </w:r>
      <w:r>
        <w:rPr>
          <w:rFonts w:asciiTheme="minorHAnsi" w:hAnsiTheme="minorHAnsi" w:cstheme="minorHAnsi"/>
          <w:i w:val="0"/>
          <w:iCs w:val="0"/>
          <w:color w:val="000000" w:themeColor="text1"/>
        </w:rPr>
        <w:t>ont été établies,</w:t>
      </w:r>
      <w:r w:rsidRPr="0016301A">
        <w:rPr>
          <w:rFonts w:asciiTheme="minorHAnsi" w:hAnsiTheme="minorHAnsi" w:cstheme="minorHAnsi"/>
          <w:i w:val="0"/>
          <w:iCs w:val="0"/>
          <w:color w:val="000000" w:themeColor="text1"/>
        </w:rPr>
        <w:t xml:space="preserve"> principalement</w:t>
      </w:r>
      <w:r>
        <w:rPr>
          <w:rFonts w:asciiTheme="minorHAnsi" w:hAnsiTheme="minorHAnsi" w:cstheme="minorHAnsi"/>
          <w:i w:val="0"/>
          <w:iCs w:val="0"/>
          <w:color w:val="000000" w:themeColor="text1"/>
        </w:rPr>
        <w:t xml:space="preserve">, </w:t>
      </w:r>
      <w:r w:rsidRPr="0016301A">
        <w:rPr>
          <w:rFonts w:asciiTheme="minorHAnsi" w:hAnsiTheme="minorHAnsi" w:cstheme="minorHAnsi"/>
          <w:i w:val="0"/>
          <w:iCs w:val="0"/>
          <w:color w:val="000000" w:themeColor="text1"/>
        </w:rPr>
        <w:t xml:space="preserve">sur </w:t>
      </w:r>
      <w:r>
        <w:rPr>
          <w:rFonts w:asciiTheme="minorHAnsi" w:hAnsiTheme="minorHAnsi" w:cstheme="minorHAnsi"/>
          <w:i w:val="0"/>
          <w:iCs w:val="0"/>
          <w:color w:val="000000" w:themeColor="text1"/>
        </w:rPr>
        <w:t xml:space="preserve">la base de </w:t>
      </w:r>
      <w:r w:rsidRPr="0016301A">
        <w:rPr>
          <w:rFonts w:asciiTheme="minorHAnsi" w:hAnsiTheme="minorHAnsi" w:cstheme="minorHAnsi"/>
          <w:i w:val="0"/>
          <w:iCs w:val="0"/>
          <w:color w:val="000000" w:themeColor="text1"/>
        </w:rPr>
        <w:t>trois stress (à travers des indicateurs), à savoir :</w:t>
      </w:r>
    </w:p>
    <w:p w14:paraId="65ED571C" w14:textId="77777777" w:rsidR="00412F22" w:rsidRPr="0016301A" w:rsidRDefault="00412F22" w:rsidP="00412F22">
      <w:pPr>
        <w:pStyle w:val="Titre4"/>
        <w:numPr>
          <w:ilvl w:val="0"/>
          <w:numId w:val="205"/>
        </w:numPr>
        <w:tabs>
          <w:tab w:val="left" w:pos="9356"/>
          <w:tab w:val="left" w:pos="9498"/>
          <w:tab w:val="left" w:pos="9781"/>
        </w:tabs>
        <w:spacing w:before="60" w:line="276" w:lineRule="auto"/>
        <w:ind w:left="714" w:right="1281" w:hanging="357"/>
        <w:rPr>
          <w:rFonts w:asciiTheme="minorHAnsi" w:hAnsiTheme="minorHAnsi" w:cstheme="minorHAnsi"/>
          <w:b/>
          <w:bCs/>
          <w:i w:val="0"/>
          <w:iCs w:val="0"/>
          <w:color w:val="000000" w:themeColor="text1"/>
        </w:rPr>
      </w:pPr>
      <w:r w:rsidRPr="0016301A">
        <w:rPr>
          <w:rFonts w:asciiTheme="minorHAnsi" w:hAnsiTheme="minorHAnsi" w:cstheme="minorHAnsi"/>
          <w:i w:val="0"/>
          <w:iCs w:val="0"/>
          <w:color w:val="000000" w:themeColor="text1"/>
        </w:rPr>
        <w:t>La sécheresse ;</w:t>
      </w:r>
    </w:p>
    <w:p w14:paraId="5D33CA87" w14:textId="77777777" w:rsidR="00412F22" w:rsidRPr="0016301A" w:rsidRDefault="00412F22" w:rsidP="00412F22">
      <w:pPr>
        <w:pStyle w:val="Titre4"/>
        <w:numPr>
          <w:ilvl w:val="0"/>
          <w:numId w:val="205"/>
        </w:numPr>
        <w:tabs>
          <w:tab w:val="left" w:pos="9356"/>
          <w:tab w:val="left" w:pos="9498"/>
          <w:tab w:val="left" w:pos="9781"/>
        </w:tabs>
        <w:spacing w:before="60" w:line="276" w:lineRule="auto"/>
        <w:ind w:left="714" w:right="1281" w:hanging="357"/>
        <w:rPr>
          <w:rFonts w:asciiTheme="minorHAnsi" w:hAnsiTheme="minorHAnsi" w:cstheme="minorHAnsi"/>
          <w:b/>
          <w:bCs/>
          <w:i w:val="0"/>
          <w:iCs w:val="0"/>
          <w:color w:val="000000" w:themeColor="text1"/>
        </w:rPr>
      </w:pPr>
      <w:r w:rsidRPr="0016301A">
        <w:rPr>
          <w:rFonts w:asciiTheme="minorHAnsi" w:hAnsiTheme="minorHAnsi" w:cstheme="minorHAnsi"/>
          <w:i w:val="0"/>
          <w:iCs w:val="0"/>
          <w:color w:val="000000" w:themeColor="text1"/>
        </w:rPr>
        <w:t>Le réchauffement.</w:t>
      </w:r>
    </w:p>
    <w:p w14:paraId="26ED8977" w14:textId="77777777" w:rsidR="00412F22" w:rsidRPr="0016301A" w:rsidRDefault="00412F22" w:rsidP="00412F22">
      <w:pPr>
        <w:pStyle w:val="Titre4"/>
        <w:numPr>
          <w:ilvl w:val="0"/>
          <w:numId w:val="205"/>
        </w:numPr>
        <w:tabs>
          <w:tab w:val="left" w:pos="9356"/>
          <w:tab w:val="left" w:pos="9498"/>
          <w:tab w:val="left" w:pos="9781"/>
        </w:tabs>
        <w:spacing w:before="60" w:line="276" w:lineRule="auto"/>
        <w:ind w:left="714" w:right="1281" w:hanging="357"/>
        <w:rPr>
          <w:rFonts w:asciiTheme="minorHAnsi" w:hAnsiTheme="minorHAnsi" w:cstheme="minorHAnsi"/>
          <w:b/>
          <w:bCs/>
          <w:i w:val="0"/>
          <w:iCs w:val="0"/>
          <w:color w:val="000000" w:themeColor="text1"/>
        </w:rPr>
      </w:pPr>
      <w:r w:rsidRPr="0016301A">
        <w:rPr>
          <w:rFonts w:asciiTheme="minorHAnsi" w:hAnsiTheme="minorHAnsi" w:cstheme="minorHAnsi"/>
          <w:i w:val="0"/>
          <w:iCs w:val="0"/>
          <w:color w:val="000000" w:themeColor="text1"/>
        </w:rPr>
        <w:t>Les inondations ;</w:t>
      </w:r>
    </w:p>
    <w:p w14:paraId="01BF6DB4" w14:textId="77777777" w:rsidR="00412F22" w:rsidRDefault="00412F22" w:rsidP="00412F22">
      <w:pPr>
        <w:pStyle w:val="Titre4"/>
        <w:tabs>
          <w:tab w:val="left" w:pos="9356"/>
          <w:tab w:val="left" w:pos="9498"/>
          <w:tab w:val="left" w:pos="9781"/>
        </w:tabs>
        <w:spacing w:before="104" w:line="276" w:lineRule="auto"/>
        <w:ind w:right="1279"/>
        <w:rPr>
          <w:rFonts w:asciiTheme="minorHAnsi" w:hAnsiTheme="minorHAnsi" w:cstheme="minorHAnsi"/>
          <w:b/>
          <w:bCs/>
          <w:i w:val="0"/>
          <w:iCs w:val="0"/>
          <w:color w:val="000000" w:themeColor="text1"/>
        </w:rPr>
      </w:pPr>
      <w:r w:rsidRPr="00D34D47">
        <w:rPr>
          <w:rFonts w:asciiTheme="minorHAnsi" w:hAnsiTheme="minorHAnsi" w:cstheme="minorHAnsi"/>
          <w:i w:val="0"/>
          <w:iCs w:val="0"/>
          <w:color w:val="000000" w:themeColor="text1"/>
        </w:rPr>
        <w:t>Les scénarios socioéconomiques seront établis</w:t>
      </w:r>
      <w:r>
        <w:rPr>
          <w:rFonts w:asciiTheme="minorHAnsi" w:hAnsiTheme="minorHAnsi" w:cstheme="minorHAnsi"/>
          <w:i w:val="0"/>
          <w:iCs w:val="0"/>
          <w:color w:val="000000" w:themeColor="text1"/>
        </w:rPr>
        <w:t>, ci-dessous,</w:t>
      </w:r>
      <w:r w:rsidRPr="00D34D47">
        <w:rPr>
          <w:rFonts w:asciiTheme="minorHAnsi" w:hAnsiTheme="minorHAnsi" w:cstheme="minorHAnsi"/>
          <w:i w:val="0"/>
          <w:iCs w:val="0"/>
          <w:color w:val="000000" w:themeColor="text1"/>
        </w:rPr>
        <w:t xml:space="preserve"> pour </w:t>
      </w:r>
      <w:r>
        <w:rPr>
          <w:rFonts w:asciiTheme="minorHAnsi" w:hAnsiTheme="minorHAnsi" w:cstheme="minorHAnsi"/>
          <w:i w:val="0"/>
          <w:iCs w:val="0"/>
          <w:color w:val="000000" w:themeColor="text1"/>
        </w:rPr>
        <w:t>un ensemble de secteurs</w:t>
      </w:r>
      <w:r w:rsidRPr="00D34D47">
        <w:rPr>
          <w:rFonts w:asciiTheme="minorHAnsi" w:hAnsiTheme="minorHAnsi" w:cstheme="minorHAnsi"/>
          <w:i w:val="0"/>
          <w:iCs w:val="0"/>
          <w:color w:val="000000" w:themeColor="text1"/>
        </w:rPr>
        <w:t>, plus particulièrement</w:t>
      </w:r>
      <w:r>
        <w:rPr>
          <w:rFonts w:asciiTheme="minorHAnsi" w:hAnsiTheme="minorHAnsi" w:cstheme="minorHAnsi"/>
          <w:i w:val="0"/>
          <w:iCs w:val="0"/>
          <w:color w:val="000000" w:themeColor="text1"/>
        </w:rPr>
        <w:t>,</w:t>
      </w:r>
      <w:r w:rsidRPr="00D34D47">
        <w:rPr>
          <w:rFonts w:asciiTheme="minorHAnsi" w:hAnsiTheme="minorHAnsi" w:cstheme="minorHAnsi"/>
          <w:i w:val="0"/>
          <w:iCs w:val="0"/>
          <w:color w:val="000000" w:themeColor="text1"/>
        </w:rPr>
        <w:t xml:space="preserve"> ceux précisées dans les termes de référence, </w:t>
      </w:r>
      <w:r>
        <w:rPr>
          <w:rFonts w:asciiTheme="minorHAnsi" w:hAnsiTheme="minorHAnsi" w:cstheme="minorHAnsi"/>
          <w:i w:val="0"/>
          <w:iCs w:val="0"/>
          <w:color w:val="000000" w:themeColor="text1"/>
        </w:rPr>
        <w:t>et qui correspondent pour l’essentiel, aux</w:t>
      </w:r>
      <w:r w:rsidRPr="00D34D47">
        <w:rPr>
          <w:rFonts w:asciiTheme="minorHAnsi" w:hAnsiTheme="minorHAnsi" w:cstheme="minorHAnsi"/>
          <w:i w:val="0"/>
          <w:iCs w:val="0"/>
          <w:color w:val="000000" w:themeColor="text1"/>
        </w:rPr>
        <w:t xml:space="preserve"> éléments</w:t>
      </w:r>
      <w:r w:rsidRPr="00D34D47">
        <w:rPr>
          <w:rFonts w:asciiTheme="minorHAnsi" w:hAnsiTheme="minorHAnsi" w:cstheme="minorHAnsi"/>
          <w:i w:val="0"/>
          <w:iCs w:val="0"/>
          <w:color w:val="000000" w:themeColor="text1"/>
          <w:spacing w:val="-11"/>
        </w:rPr>
        <w:t xml:space="preserve"> </w:t>
      </w:r>
      <w:r w:rsidRPr="00D34D47">
        <w:rPr>
          <w:rFonts w:asciiTheme="minorHAnsi" w:hAnsiTheme="minorHAnsi" w:cstheme="minorHAnsi"/>
          <w:i w:val="0"/>
          <w:iCs w:val="0"/>
          <w:color w:val="000000" w:themeColor="text1"/>
        </w:rPr>
        <w:t>clés</w:t>
      </w:r>
      <w:r w:rsidRPr="00D34D47">
        <w:rPr>
          <w:rFonts w:asciiTheme="minorHAnsi" w:hAnsiTheme="minorHAnsi" w:cstheme="minorHAnsi"/>
          <w:i w:val="0"/>
          <w:iCs w:val="0"/>
          <w:color w:val="000000" w:themeColor="text1"/>
          <w:spacing w:val="-11"/>
        </w:rPr>
        <w:t xml:space="preserve"> donnant</w:t>
      </w:r>
      <w:r w:rsidRPr="00D34D47">
        <w:rPr>
          <w:rFonts w:asciiTheme="minorHAnsi" w:hAnsiTheme="minorHAnsi" w:cstheme="minorHAnsi"/>
          <w:i w:val="0"/>
          <w:iCs w:val="0"/>
          <w:color w:val="000000" w:themeColor="text1"/>
        </w:rPr>
        <w:t xml:space="preserve"> </w:t>
      </w:r>
      <w:r w:rsidRPr="00D34D47">
        <w:rPr>
          <w:rFonts w:asciiTheme="minorHAnsi" w:hAnsiTheme="minorHAnsi" w:cstheme="minorHAnsi"/>
          <w:i w:val="0"/>
          <w:iCs w:val="0"/>
          <w:color w:val="000000" w:themeColor="text1"/>
          <w:spacing w:val="-8"/>
        </w:rPr>
        <w:t>l</w:t>
      </w:r>
      <w:r w:rsidRPr="00D34D47">
        <w:rPr>
          <w:rFonts w:asciiTheme="minorHAnsi" w:hAnsiTheme="minorHAnsi" w:cstheme="minorHAnsi"/>
          <w:i w:val="0"/>
          <w:iCs w:val="0"/>
          <w:color w:val="000000" w:themeColor="text1"/>
        </w:rPr>
        <w:t>a</w:t>
      </w:r>
      <w:r w:rsidRPr="00D34D47">
        <w:rPr>
          <w:rFonts w:asciiTheme="minorHAnsi" w:hAnsiTheme="minorHAnsi" w:cstheme="minorHAnsi"/>
          <w:i w:val="0"/>
          <w:iCs w:val="0"/>
          <w:color w:val="000000" w:themeColor="text1"/>
          <w:spacing w:val="-9"/>
        </w:rPr>
        <w:t xml:space="preserve"> </w:t>
      </w:r>
      <w:r w:rsidRPr="00D34D47">
        <w:rPr>
          <w:rFonts w:asciiTheme="minorHAnsi" w:hAnsiTheme="minorHAnsi" w:cstheme="minorHAnsi"/>
          <w:i w:val="0"/>
          <w:iCs w:val="0"/>
          <w:color w:val="000000" w:themeColor="text1"/>
        </w:rPr>
        <w:t>prédisposition</w:t>
      </w:r>
      <w:r w:rsidRPr="00D34D47">
        <w:rPr>
          <w:rFonts w:asciiTheme="minorHAnsi" w:hAnsiTheme="minorHAnsi" w:cstheme="minorHAnsi"/>
          <w:i w:val="0"/>
          <w:iCs w:val="0"/>
          <w:color w:val="000000" w:themeColor="text1"/>
          <w:spacing w:val="-10"/>
        </w:rPr>
        <w:t xml:space="preserve"> </w:t>
      </w:r>
      <w:r w:rsidRPr="00D34D47">
        <w:rPr>
          <w:rFonts w:asciiTheme="minorHAnsi" w:hAnsiTheme="minorHAnsi" w:cstheme="minorHAnsi"/>
          <w:i w:val="0"/>
          <w:iCs w:val="0"/>
          <w:color w:val="000000" w:themeColor="text1"/>
        </w:rPr>
        <w:t>d’un</w:t>
      </w:r>
      <w:r w:rsidRPr="00D34D47">
        <w:rPr>
          <w:rFonts w:asciiTheme="minorHAnsi" w:hAnsiTheme="minorHAnsi" w:cstheme="minorHAnsi"/>
          <w:i w:val="0"/>
          <w:iCs w:val="0"/>
          <w:color w:val="000000" w:themeColor="text1"/>
          <w:spacing w:val="-10"/>
        </w:rPr>
        <w:t xml:space="preserve"> </w:t>
      </w:r>
      <w:r w:rsidRPr="00D34D47">
        <w:rPr>
          <w:rFonts w:asciiTheme="minorHAnsi" w:hAnsiTheme="minorHAnsi" w:cstheme="minorHAnsi"/>
          <w:i w:val="0"/>
          <w:iCs w:val="0"/>
          <w:color w:val="000000" w:themeColor="text1"/>
        </w:rPr>
        <w:t>pays</w:t>
      </w:r>
      <w:r w:rsidRPr="00D34D47">
        <w:rPr>
          <w:rFonts w:asciiTheme="minorHAnsi" w:hAnsiTheme="minorHAnsi" w:cstheme="minorHAnsi"/>
          <w:i w:val="0"/>
          <w:iCs w:val="0"/>
          <w:color w:val="000000" w:themeColor="text1"/>
          <w:spacing w:val="-9"/>
        </w:rPr>
        <w:t xml:space="preserve"> </w:t>
      </w:r>
      <w:r w:rsidRPr="00D34D47">
        <w:rPr>
          <w:rFonts w:asciiTheme="minorHAnsi" w:hAnsiTheme="minorHAnsi" w:cstheme="minorHAnsi"/>
          <w:i w:val="0"/>
          <w:iCs w:val="0"/>
          <w:color w:val="000000" w:themeColor="text1"/>
        </w:rPr>
        <w:t>à</w:t>
      </w:r>
      <w:r w:rsidRPr="00D34D47">
        <w:rPr>
          <w:rFonts w:asciiTheme="minorHAnsi" w:hAnsiTheme="minorHAnsi" w:cstheme="minorHAnsi"/>
          <w:i w:val="0"/>
          <w:iCs w:val="0"/>
          <w:color w:val="000000" w:themeColor="text1"/>
          <w:spacing w:val="-9"/>
        </w:rPr>
        <w:t xml:space="preserve"> </w:t>
      </w:r>
      <w:r w:rsidRPr="00D34D47">
        <w:rPr>
          <w:rFonts w:asciiTheme="minorHAnsi" w:hAnsiTheme="minorHAnsi" w:cstheme="minorHAnsi"/>
          <w:i w:val="0"/>
          <w:iCs w:val="0"/>
          <w:color w:val="000000" w:themeColor="text1"/>
        </w:rPr>
        <w:t>être</w:t>
      </w:r>
      <w:r w:rsidRPr="00D34D47">
        <w:rPr>
          <w:rFonts w:asciiTheme="minorHAnsi" w:hAnsiTheme="minorHAnsi" w:cstheme="minorHAnsi"/>
          <w:i w:val="0"/>
          <w:iCs w:val="0"/>
          <w:color w:val="000000" w:themeColor="text1"/>
          <w:spacing w:val="-8"/>
        </w:rPr>
        <w:t xml:space="preserve"> </w:t>
      </w:r>
      <w:r w:rsidRPr="00D34D47">
        <w:rPr>
          <w:rFonts w:asciiTheme="minorHAnsi" w:hAnsiTheme="minorHAnsi" w:cstheme="minorHAnsi"/>
          <w:i w:val="0"/>
          <w:iCs w:val="0"/>
          <w:color w:val="000000" w:themeColor="text1"/>
        </w:rPr>
        <w:t>négativement</w:t>
      </w:r>
      <w:r w:rsidRPr="00D34D47">
        <w:rPr>
          <w:rFonts w:asciiTheme="minorHAnsi" w:hAnsiTheme="minorHAnsi" w:cstheme="minorHAnsi"/>
          <w:i w:val="0"/>
          <w:iCs w:val="0"/>
          <w:color w:val="000000" w:themeColor="text1"/>
          <w:spacing w:val="-10"/>
        </w:rPr>
        <w:t xml:space="preserve"> </w:t>
      </w:r>
      <w:r w:rsidRPr="00D34D47">
        <w:rPr>
          <w:rFonts w:asciiTheme="minorHAnsi" w:hAnsiTheme="minorHAnsi" w:cstheme="minorHAnsi"/>
          <w:i w:val="0"/>
          <w:iCs w:val="0"/>
          <w:color w:val="000000" w:themeColor="text1"/>
        </w:rPr>
        <w:t>impacté</w:t>
      </w:r>
      <w:r w:rsidRPr="00D34D47">
        <w:rPr>
          <w:rFonts w:asciiTheme="minorHAnsi" w:hAnsiTheme="minorHAnsi" w:cstheme="minorHAnsi"/>
          <w:i w:val="0"/>
          <w:iCs w:val="0"/>
          <w:color w:val="000000" w:themeColor="text1"/>
          <w:spacing w:val="-8"/>
        </w:rPr>
        <w:t xml:space="preserve"> </w:t>
      </w:r>
      <w:r w:rsidRPr="00D34D47">
        <w:rPr>
          <w:rFonts w:asciiTheme="minorHAnsi" w:hAnsiTheme="minorHAnsi" w:cstheme="minorHAnsi"/>
          <w:i w:val="0"/>
          <w:iCs w:val="0"/>
          <w:color w:val="000000" w:themeColor="text1"/>
        </w:rPr>
        <w:t>par</w:t>
      </w:r>
      <w:r w:rsidRPr="00D34D47">
        <w:rPr>
          <w:rFonts w:asciiTheme="minorHAnsi" w:hAnsiTheme="minorHAnsi" w:cstheme="minorHAnsi"/>
          <w:i w:val="0"/>
          <w:iCs w:val="0"/>
          <w:color w:val="000000" w:themeColor="text1"/>
          <w:spacing w:val="-8"/>
        </w:rPr>
        <w:t xml:space="preserve"> </w:t>
      </w:r>
      <w:r w:rsidRPr="00D34D47">
        <w:rPr>
          <w:rFonts w:asciiTheme="minorHAnsi" w:hAnsiTheme="minorHAnsi" w:cstheme="minorHAnsi"/>
          <w:i w:val="0"/>
          <w:iCs w:val="0"/>
          <w:color w:val="000000" w:themeColor="text1"/>
        </w:rPr>
        <w:t>les</w:t>
      </w:r>
      <w:r w:rsidRPr="00D34D47">
        <w:rPr>
          <w:rFonts w:asciiTheme="minorHAnsi" w:hAnsiTheme="minorHAnsi" w:cstheme="minorHAnsi"/>
          <w:i w:val="0"/>
          <w:iCs w:val="0"/>
          <w:color w:val="000000" w:themeColor="text1"/>
          <w:spacing w:val="-11"/>
        </w:rPr>
        <w:t xml:space="preserve"> </w:t>
      </w:r>
      <w:r w:rsidRPr="00D34D47">
        <w:rPr>
          <w:rFonts w:asciiTheme="minorHAnsi" w:hAnsiTheme="minorHAnsi" w:cstheme="minorHAnsi"/>
          <w:i w:val="0"/>
          <w:iCs w:val="0"/>
          <w:color w:val="000000" w:themeColor="text1"/>
        </w:rPr>
        <w:t>effets</w:t>
      </w:r>
      <w:r w:rsidRPr="00D34D47">
        <w:rPr>
          <w:rFonts w:asciiTheme="minorHAnsi" w:hAnsiTheme="minorHAnsi" w:cstheme="minorHAnsi"/>
          <w:i w:val="0"/>
          <w:iCs w:val="0"/>
          <w:color w:val="000000" w:themeColor="text1"/>
          <w:spacing w:val="-9"/>
        </w:rPr>
        <w:t xml:space="preserve"> </w:t>
      </w:r>
      <w:r w:rsidRPr="00D34D47">
        <w:rPr>
          <w:rFonts w:asciiTheme="minorHAnsi" w:hAnsiTheme="minorHAnsi" w:cstheme="minorHAnsi"/>
          <w:i w:val="0"/>
          <w:iCs w:val="0"/>
          <w:color w:val="000000" w:themeColor="text1"/>
        </w:rPr>
        <w:t>des changements</w:t>
      </w:r>
      <w:r w:rsidRPr="00D34D47">
        <w:rPr>
          <w:rFonts w:asciiTheme="minorHAnsi" w:hAnsiTheme="minorHAnsi" w:cstheme="minorHAnsi"/>
          <w:i w:val="0"/>
          <w:iCs w:val="0"/>
          <w:color w:val="000000" w:themeColor="text1"/>
          <w:spacing w:val="-11"/>
        </w:rPr>
        <w:t xml:space="preserve"> </w:t>
      </w:r>
      <w:r w:rsidRPr="00D34D47">
        <w:rPr>
          <w:rFonts w:asciiTheme="minorHAnsi" w:hAnsiTheme="minorHAnsi" w:cstheme="minorHAnsi"/>
          <w:i w:val="0"/>
          <w:iCs w:val="0"/>
          <w:color w:val="000000" w:themeColor="text1"/>
        </w:rPr>
        <w:t>climatiques.</w:t>
      </w:r>
    </w:p>
    <w:p w14:paraId="27E05335" w14:textId="77777777" w:rsidR="00412F22" w:rsidRPr="0016301A" w:rsidRDefault="00412F22" w:rsidP="00412F22">
      <w:pPr>
        <w:pStyle w:val="Titre1"/>
        <w:numPr>
          <w:ilvl w:val="0"/>
          <w:numId w:val="204"/>
        </w:numPr>
        <w:shd w:val="clear" w:color="auto" w:fill="92D050"/>
        <w:tabs>
          <w:tab w:val="left" w:pos="9356"/>
          <w:tab w:val="left" w:pos="9498"/>
          <w:tab w:val="left" w:pos="9781"/>
        </w:tabs>
        <w:ind w:left="720" w:right="1279" w:hanging="1080"/>
        <w:rPr>
          <w:b/>
          <w:bCs/>
          <w:color w:val="000000" w:themeColor="text1"/>
        </w:rPr>
      </w:pPr>
      <w:bookmarkStart w:id="706" w:name="_Toc192462508"/>
      <w:r w:rsidRPr="0016301A">
        <w:rPr>
          <w:b/>
          <w:bCs/>
          <w:color w:val="000000" w:themeColor="text1"/>
        </w:rPr>
        <w:t>RAPPEL DES SCÉNARII CLIMATIQUES</w:t>
      </w:r>
      <w:bookmarkEnd w:id="706"/>
      <w:r w:rsidRPr="0016301A">
        <w:rPr>
          <w:b/>
          <w:bCs/>
          <w:color w:val="000000" w:themeColor="text1"/>
        </w:rPr>
        <w:t xml:space="preserve"> </w:t>
      </w:r>
    </w:p>
    <w:p w14:paraId="63E4D04D" w14:textId="77777777" w:rsidR="00412F22" w:rsidRPr="0016301A" w:rsidRDefault="00412F22" w:rsidP="00412F22">
      <w:pPr>
        <w:pStyle w:val="Titre4"/>
        <w:tabs>
          <w:tab w:val="left" w:pos="9356"/>
          <w:tab w:val="left" w:pos="9498"/>
          <w:tab w:val="left" w:pos="9781"/>
        </w:tabs>
        <w:spacing w:before="0" w:line="276" w:lineRule="auto"/>
        <w:ind w:right="1279"/>
        <w:rPr>
          <w:rFonts w:asciiTheme="minorHAnsi" w:hAnsiTheme="minorHAnsi" w:cstheme="minorHAnsi"/>
          <w:b/>
          <w:bCs/>
          <w:i w:val="0"/>
          <w:iCs w:val="0"/>
          <w:color w:val="000000" w:themeColor="text1"/>
        </w:rPr>
      </w:pPr>
    </w:p>
    <w:p w14:paraId="5C1805B8" w14:textId="77777777" w:rsidR="00412F22" w:rsidRPr="00763A0C" w:rsidRDefault="00412F22" w:rsidP="00412F22">
      <w:pPr>
        <w:pStyle w:val="Titre2"/>
        <w:tabs>
          <w:tab w:val="left" w:pos="9356"/>
          <w:tab w:val="left" w:pos="9498"/>
          <w:tab w:val="left" w:pos="9781"/>
        </w:tabs>
        <w:ind w:right="1279"/>
        <w:jc w:val="center"/>
        <w:rPr>
          <w:rFonts w:ascii="Arial Narrow" w:hAnsi="Arial Narrow"/>
          <w:b/>
          <w:bCs/>
          <w:color w:val="990000"/>
          <w:sz w:val="28"/>
          <w:szCs w:val="28"/>
        </w:rPr>
      </w:pPr>
      <w:bookmarkStart w:id="707" w:name="_Toc192462509"/>
      <w:r w:rsidRPr="00763A0C">
        <w:rPr>
          <w:rFonts w:ascii="Arial Narrow" w:hAnsi="Arial Narrow"/>
          <w:b/>
          <w:bCs/>
          <w:color w:val="990000"/>
          <w:sz w:val="28"/>
          <w:szCs w:val="28"/>
        </w:rPr>
        <w:t>II.1 INDICATEURS DE SUIVI DES STRESS</w:t>
      </w:r>
      <w:bookmarkEnd w:id="707"/>
    </w:p>
    <w:p w14:paraId="20A04554" w14:textId="77777777" w:rsidR="00412F22" w:rsidRPr="0016301A" w:rsidRDefault="00412F22" w:rsidP="00412F22">
      <w:pPr>
        <w:pStyle w:val="Titre4"/>
        <w:tabs>
          <w:tab w:val="left" w:pos="9356"/>
          <w:tab w:val="left" w:pos="9498"/>
          <w:tab w:val="left" w:pos="9781"/>
        </w:tabs>
        <w:spacing w:before="0" w:line="276" w:lineRule="auto"/>
        <w:ind w:right="1279"/>
        <w:rPr>
          <w:rFonts w:asciiTheme="minorHAnsi" w:hAnsiTheme="minorHAnsi" w:cstheme="minorHAnsi"/>
          <w:b/>
          <w:bCs/>
          <w:i w:val="0"/>
          <w:iCs w:val="0"/>
          <w:color w:val="000000" w:themeColor="text1"/>
        </w:rPr>
      </w:pPr>
    </w:p>
    <w:p w14:paraId="3F90670E" w14:textId="77777777" w:rsidR="00412F22" w:rsidRPr="0016301A" w:rsidRDefault="00412F22" w:rsidP="00412F22">
      <w:pPr>
        <w:pStyle w:val="Titre4"/>
        <w:tabs>
          <w:tab w:val="left" w:pos="9356"/>
          <w:tab w:val="left" w:pos="9498"/>
          <w:tab w:val="left" w:pos="9781"/>
        </w:tabs>
        <w:spacing w:before="0" w:line="276" w:lineRule="auto"/>
        <w:ind w:right="1279"/>
        <w:rPr>
          <w:rFonts w:asciiTheme="minorHAnsi" w:hAnsiTheme="minorHAnsi" w:cstheme="minorHAnsi"/>
          <w:b/>
          <w:bCs/>
          <w:i w:val="0"/>
          <w:iCs w:val="0"/>
          <w:color w:val="000000" w:themeColor="text1"/>
        </w:rPr>
      </w:pPr>
      <w:r w:rsidRPr="0016301A">
        <w:rPr>
          <w:rFonts w:asciiTheme="minorHAnsi" w:hAnsiTheme="minorHAnsi" w:cstheme="minorHAnsi"/>
          <w:i w:val="0"/>
          <w:iCs w:val="0"/>
          <w:color w:val="000000" w:themeColor="text1"/>
        </w:rPr>
        <w:t xml:space="preserve">Chacun des stress ci-dessus </w:t>
      </w:r>
      <w:r>
        <w:rPr>
          <w:rFonts w:asciiTheme="minorHAnsi" w:hAnsiTheme="minorHAnsi" w:cstheme="minorHAnsi"/>
          <w:i w:val="0"/>
          <w:iCs w:val="0"/>
          <w:color w:val="000000" w:themeColor="text1"/>
        </w:rPr>
        <w:t>a été</w:t>
      </w:r>
      <w:r w:rsidRPr="0016301A">
        <w:rPr>
          <w:rFonts w:asciiTheme="minorHAnsi" w:hAnsiTheme="minorHAnsi" w:cstheme="minorHAnsi"/>
          <w:i w:val="0"/>
          <w:iCs w:val="0"/>
          <w:color w:val="000000" w:themeColor="text1"/>
        </w:rPr>
        <w:t xml:space="preserve"> analysé</w:t>
      </w:r>
      <w:r>
        <w:rPr>
          <w:rFonts w:asciiTheme="minorHAnsi" w:hAnsiTheme="minorHAnsi" w:cstheme="minorHAnsi"/>
          <w:i w:val="0"/>
          <w:iCs w:val="0"/>
          <w:color w:val="000000" w:themeColor="text1"/>
        </w:rPr>
        <w:t>, dans le rapport traitant des scénarii climatiques,</w:t>
      </w:r>
      <w:r w:rsidRPr="0016301A">
        <w:rPr>
          <w:rFonts w:asciiTheme="minorHAnsi" w:hAnsiTheme="minorHAnsi" w:cstheme="minorHAnsi"/>
          <w:i w:val="0"/>
          <w:iCs w:val="0"/>
          <w:color w:val="000000" w:themeColor="text1"/>
        </w:rPr>
        <w:t xml:space="preserve"> par le biais d’un ensemble d’’indicateurs permettant de caractériser leurs évolutions : </w:t>
      </w:r>
    </w:p>
    <w:p w14:paraId="21CE5F20" w14:textId="77777777" w:rsidR="00412F22" w:rsidRPr="0016301A" w:rsidRDefault="00412F22" w:rsidP="00412F22">
      <w:pPr>
        <w:pStyle w:val="Titre4"/>
        <w:numPr>
          <w:ilvl w:val="0"/>
          <w:numId w:val="205"/>
        </w:numPr>
        <w:tabs>
          <w:tab w:val="left" w:pos="9356"/>
          <w:tab w:val="left" w:pos="9498"/>
          <w:tab w:val="left" w:pos="9781"/>
        </w:tabs>
        <w:spacing w:before="104" w:line="276" w:lineRule="auto"/>
        <w:ind w:right="1279"/>
        <w:rPr>
          <w:rFonts w:asciiTheme="minorHAnsi" w:hAnsiTheme="minorHAnsi" w:cstheme="minorHAnsi"/>
          <w:b/>
          <w:bCs/>
          <w:i w:val="0"/>
          <w:iCs w:val="0"/>
          <w:color w:val="000000" w:themeColor="text1"/>
        </w:rPr>
      </w:pPr>
      <w:r w:rsidRPr="0016301A">
        <w:rPr>
          <w:rFonts w:asciiTheme="minorHAnsi" w:hAnsiTheme="minorHAnsi" w:cstheme="minorHAnsi"/>
          <w:i w:val="0"/>
          <w:iCs w:val="0"/>
          <w:color w:val="000000" w:themeColor="text1"/>
        </w:rPr>
        <w:t xml:space="preserve">Les indicateurs utilisés pour le suivi de la </w:t>
      </w:r>
      <w:r w:rsidRPr="0016301A">
        <w:rPr>
          <w:rFonts w:asciiTheme="minorHAnsi" w:hAnsiTheme="minorHAnsi" w:cstheme="minorHAnsi"/>
          <w:color w:val="000000" w:themeColor="text1"/>
        </w:rPr>
        <w:t>sécheresse</w:t>
      </w:r>
      <w:r w:rsidRPr="0016301A">
        <w:rPr>
          <w:rFonts w:asciiTheme="minorHAnsi" w:hAnsiTheme="minorHAnsi" w:cstheme="minorHAnsi"/>
          <w:i w:val="0"/>
          <w:iCs w:val="0"/>
          <w:color w:val="000000" w:themeColor="text1"/>
        </w:rPr>
        <w:t>, sont au nombre de deux : (i) l’évolution des précipitations totales et (ii) la longueur de la période sèche.</w:t>
      </w:r>
    </w:p>
    <w:p w14:paraId="05241CB4" w14:textId="77777777" w:rsidR="00412F22" w:rsidRPr="0016301A" w:rsidRDefault="00412F22" w:rsidP="00412F22">
      <w:pPr>
        <w:pStyle w:val="Titre4"/>
        <w:numPr>
          <w:ilvl w:val="0"/>
          <w:numId w:val="205"/>
        </w:numPr>
        <w:tabs>
          <w:tab w:val="left" w:pos="9356"/>
          <w:tab w:val="left" w:pos="9498"/>
          <w:tab w:val="left" w:pos="9781"/>
        </w:tabs>
        <w:spacing w:before="104" w:line="276" w:lineRule="auto"/>
        <w:ind w:right="1279"/>
        <w:rPr>
          <w:rFonts w:asciiTheme="minorHAnsi" w:hAnsiTheme="minorHAnsi" w:cstheme="minorHAnsi"/>
          <w:b/>
          <w:bCs/>
          <w:i w:val="0"/>
          <w:iCs w:val="0"/>
          <w:color w:val="000000" w:themeColor="text1"/>
        </w:rPr>
      </w:pPr>
      <w:r w:rsidRPr="0016301A">
        <w:rPr>
          <w:rFonts w:asciiTheme="minorHAnsi" w:hAnsiTheme="minorHAnsi" w:cstheme="minorHAnsi"/>
          <w:i w:val="0"/>
          <w:iCs w:val="0"/>
          <w:color w:val="000000" w:themeColor="text1"/>
        </w:rPr>
        <w:t xml:space="preserve">Pour le </w:t>
      </w:r>
      <w:r w:rsidRPr="0016301A">
        <w:rPr>
          <w:rFonts w:asciiTheme="minorHAnsi" w:hAnsiTheme="minorHAnsi" w:cstheme="minorHAnsi"/>
          <w:color w:val="000000" w:themeColor="text1"/>
        </w:rPr>
        <w:t>réchauffement</w:t>
      </w:r>
      <w:r w:rsidRPr="0016301A">
        <w:rPr>
          <w:rFonts w:asciiTheme="minorHAnsi" w:hAnsiTheme="minorHAnsi" w:cstheme="minorHAnsi"/>
          <w:i w:val="0"/>
          <w:iCs w:val="0"/>
          <w:color w:val="000000" w:themeColor="text1"/>
        </w:rPr>
        <w:t xml:space="preserve"> les indicateurs utilisés sont</w:t>
      </w:r>
      <w:r>
        <w:rPr>
          <w:rFonts w:asciiTheme="minorHAnsi" w:hAnsiTheme="minorHAnsi" w:cstheme="minorHAnsi"/>
          <w:i w:val="0"/>
          <w:iCs w:val="0"/>
          <w:color w:val="000000" w:themeColor="text1"/>
        </w:rPr>
        <w:t xml:space="preserve"> </w:t>
      </w:r>
      <w:r w:rsidRPr="0016301A">
        <w:rPr>
          <w:rFonts w:asciiTheme="minorHAnsi" w:hAnsiTheme="minorHAnsi" w:cstheme="minorHAnsi"/>
          <w:i w:val="0"/>
          <w:iCs w:val="0"/>
          <w:color w:val="000000" w:themeColor="text1"/>
        </w:rPr>
        <w:t xml:space="preserve">: (i) les </w:t>
      </w:r>
      <w:r w:rsidRPr="00CF42A9">
        <w:rPr>
          <w:rFonts w:asciiTheme="minorHAnsi" w:hAnsiTheme="minorHAnsi" w:cstheme="minorHAnsi"/>
          <w:i w:val="0"/>
          <w:iCs w:val="0"/>
          <w:color w:val="000000" w:themeColor="text1"/>
        </w:rPr>
        <w:t>faibles températures</w:t>
      </w:r>
      <w:r w:rsidRPr="0016301A">
        <w:rPr>
          <w:rFonts w:asciiTheme="minorHAnsi" w:hAnsiTheme="minorHAnsi" w:cstheme="minorHAnsi"/>
          <w:i w:val="0"/>
          <w:iCs w:val="0"/>
          <w:color w:val="000000" w:themeColor="text1"/>
        </w:rPr>
        <w:t xml:space="preserve"> à travers 2 indices, le pourcentage de « nuits froides » (nocturne) et le pourcentage de « jours froids » (diurne), (ii) les </w:t>
      </w:r>
      <w:r w:rsidRPr="00CF42A9">
        <w:rPr>
          <w:rFonts w:asciiTheme="minorHAnsi" w:hAnsiTheme="minorHAnsi" w:cstheme="minorHAnsi"/>
          <w:i w:val="0"/>
          <w:iCs w:val="0"/>
          <w:color w:val="000000" w:themeColor="text1"/>
        </w:rPr>
        <w:t>vagues de chaleur</w:t>
      </w:r>
      <w:r w:rsidRPr="0016301A">
        <w:rPr>
          <w:rFonts w:asciiTheme="minorHAnsi" w:hAnsiTheme="minorHAnsi" w:cstheme="minorHAnsi"/>
          <w:i w:val="0"/>
          <w:iCs w:val="0"/>
          <w:color w:val="000000" w:themeColor="text1"/>
        </w:rPr>
        <w:t xml:space="preserve"> (le nombre annuel de jours avec au moins 6 jours consécutifs où la température maximale est supérieure au 90</w:t>
      </w:r>
      <w:r w:rsidRPr="0016301A">
        <w:rPr>
          <w:rFonts w:asciiTheme="minorHAnsi" w:hAnsiTheme="minorHAnsi" w:cstheme="minorHAnsi"/>
          <w:i w:val="0"/>
          <w:iCs w:val="0"/>
          <w:color w:val="000000" w:themeColor="text1"/>
          <w:vertAlign w:val="superscript"/>
        </w:rPr>
        <w:t>ème</w:t>
      </w:r>
      <w:r w:rsidRPr="0016301A">
        <w:rPr>
          <w:rFonts w:asciiTheme="minorHAnsi" w:hAnsiTheme="minorHAnsi" w:cstheme="minorHAnsi"/>
          <w:i w:val="0"/>
          <w:iCs w:val="0"/>
          <w:color w:val="000000" w:themeColor="text1"/>
        </w:rPr>
        <w:t xml:space="preserve"> centile) et de froid (le nombre annuel de jours avec au moins 6 jours consécutifs où la température maximale est inférieure au 10</w:t>
      </w:r>
      <w:r w:rsidRPr="0016301A">
        <w:rPr>
          <w:rFonts w:asciiTheme="minorHAnsi" w:hAnsiTheme="minorHAnsi" w:cstheme="minorHAnsi"/>
          <w:i w:val="0"/>
          <w:iCs w:val="0"/>
          <w:color w:val="000000" w:themeColor="text1"/>
          <w:vertAlign w:val="superscript"/>
        </w:rPr>
        <w:t>ème</w:t>
      </w:r>
      <w:r w:rsidRPr="0016301A">
        <w:rPr>
          <w:rFonts w:asciiTheme="minorHAnsi" w:hAnsiTheme="minorHAnsi" w:cstheme="minorHAnsi"/>
          <w:i w:val="0"/>
          <w:iCs w:val="0"/>
          <w:color w:val="000000" w:themeColor="text1"/>
        </w:rPr>
        <w:t xml:space="preserve"> centile).</w:t>
      </w:r>
    </w:p>
    <w:p w14:paraId="556DE335" w14:textId="77777777" w:rsidR="00412F22" w:rsidRPr="0016301A" w:rsidRDefault="00412F22" w:rsidP="00412F22">
      <w:pPr>
        <w:pStyle w:val="Titre4"/>
        <w:numPr>
          <w:ilvl w:val="0"/>
          <w:numId w:val="205"/>
        </w:numPr>
        <w:tabs>
          <w:tab w:val="left" w:pos="9356"/>
          <w:tab w:val="left" w:pos="9498"/>
          <w:tab w:val="left" w:pos="9781"/>
        </w:tabs>
        <w:spacing w:before="104" w:line="276" w:lineRule="auto"/>
        <w:ind w:right="1279"/>
        <w:rPr>
          <w:rFonts w:asciiTheme="minorHAnsi" w:hAnsiTheme="minorHAnsi" w:cstheme="minorHAnsi"/>
          <w:b/>
          <w:bCs/>
          <w:i w:val="0"/>
          <w:iCs w:val="0"/>
          <w:color w:val="000000" w:themeColor="text1"/>
        </w:rPr>
      </w:pPr>
      <w:r w:rsidRPr="0016301A">
        <w:rPr>
          <w:rFonts w:asciiTheme="minorHAnsi" w:hAnsiTheme="minorHAnsi" w:cstheme="minorHAnsi"/>
          <w:i w:val="0"/>
          <w:iCs w:val="0"/>
          <w:color w:val="000000" w:themeColor="text1"/>
        </w:rPr>
        <w:t xml:space="preserve">Les indicateurs utilisés pour le suivi du </w:t>
      </w:r>
      <w:r w:rsidRPr="0016301A">
        <w:rPr>
          <w:rFonts w:asciiTheme="minorHAnsi" w:hAnsiTheme="minorHAnsi" w:cstheme="minorHAnsi"/>
          <w:color w:val="000000" w:themeColor="text1"/>
        </w:rPr>
        <w:t>stress des inondations</w:t>
      </w:r>
      <w:r w:rsidRPr="0016301A">
        <w:rPr>
          <w:rFonts w:asciiTheme="minorHAnsi" w:hAnsiTheme="minorHAnsi" w:cstheme="minorHAnsi"/>
          <w:i w:val="0"/>
          <w:iCs w:val="0"/>
          <w:color w:val="000000" w:themeColor="text1"/>
        </w:rPr>
        <w:t xml:space="preserve"> sont : (i) la fréquence des pluies diluviennes (nombre de jours de cumul pluviométrique supérieure au seuil de 40 mm pour le Nord du pays et 60 mm pour le sud du pays), et (ii) l’intensité simple des pluies (</w:t>
      </w:r>
      <w:r w:rsidRPr="0016301A">
        <w:rPr>
          <w:rFonts w:asciiTheme="minorHAnsi" w:hAnsiTheme="minorHAnsi" w:cstheme="minorHAnsi"/>
          <w:i w:val="0"/>
          <w:iCs w:val="0"/>
          <w:noProof/>
          <w:color w:val="000000" w:themeColor="text1"/>
        </w:rPr>
        <w:t>le cumul pluviométrique annuel divisé par le nombre de jours de pluie dans l’année)</w:t>
      </w:r>
      <w:r>
        <w:rPr>
          <w:rFonts w:asciiTheme="minorHAnsi" w:hAnsiTheme="minorHAnsi" w:cstheme="minorHAnsi"/>
          <w:i w:val="0"/>
          <w:iCs w:val="0"/>
          <w:noProof/>
          <w:color w:val="000000" w:themeColor="text1"/>
        </w:rPr>
        <w:t>.</w:t>
      </w:r>
    </w:p>
    <w:p w14:paraId="73B23C78" w14:textId="77777777" w:rsidR="00412F22" w:rsidRPr="0016301A" w:rsidRDefault="00412F22" w:rsidP="00412F22">
      <w:pPr>
        <w:pStyle w:val="Titre4"/>
        <w:tabs>
          <w:tab w:val="left" w:pos="9356"/>
          <w:tab w:val="left" w:pos="9498"/>
          <w:tab w:val="left" w:pos="9781"/>
        </w:tabs>
        <w:spacing w:before="104" w:line="276" w:lineRule="auto"/>
        <w:ind w:right="1279"/>
        <w:rPr>
          <w:rFonts w:asciiTheme="minorHAnsi" w:hAnsiTheme="minorHAnsi" w:cstheme="minorHAnsi"/>
          <w:b/>
          <w:bCs/>
          <w:i w:val="0"/>
          <w:iCs w:val="0"/>
          <w:color w:val="000000" w:themeColor="text1"/>
        </w:rPr>
      </w:pPr>
    </w:p>
    <w:p w14:paraId="17C6CE18" w14:textId="77777777" w:rsidR="00412F22" w:rsidRPr="003B41EA" w:rsidRDefault="00412F22" w:rsidP="00412F22">
      <w:pPr>
        <w:pStyle w:val="Titre2"/>
        <w:tabs>
          <w:tab w:val="left" w:pos="9356"/>
          <w:tab w:val="left" w:pos="9498"/>
          <w:tab w:val="left" w:pos="9781"/>
        </w:tabs>
        <w:ind w:right="1279"/>
        <w:jc w:val="center"/>
        <w:rPr>
          <w:rFonts w:ascii="Arial Narrow" w:hAnsi="Arial Narrow"/>
          <w:b/>
          <w:bCs/>
          <w:color w:val="990000"/>
          <w:sz w:val="28"/>
          <w:szCs w:val="28"/>
        </w:rPr>
      </w:pPr>
      <w:bookmarkStart w:id="708" w:name="_Toc192462510"/>
      <w:r w:rsidRPr="003B41EA">
        <w:rPr>
          <w:rFonts w:ascii="Arial Narrow" w:hAnsi="Arial Narrow"/>
          <w:b/>
          <w:bCs/>
          <w:color w:val="990000"/>
          <w:sz w:val="28"/>
          <w:szCs w:val="28"/>
        </w:rPr>
        <w:t>II.2 SCÉNARII CLIMATIQUES</w:t>
      </w:r>
      <w:bookmarkEnd w:id="708"/>
    </w:p>
    <w:p w14:paraId="40DD23FE" w14:textId="77777777" w:rsidR="00412F22" w:rsidRPr="0016301A" w:rsidRDefault="00412F22" w:rsidP="00412F22">
      <w:pPr>
        <w:pStyle w:val="Corpsdetexte"/>
        <w:tabs>
          <w:tab w:val="left" w:pos="9356"/>
          <w:tab w:val="left" w:pos="9498"/>
          <w:tab w:val="left" w:pos="9781"/>
        </w:tabs>
        <w:ind w:right="1279"/>
        <w:rPr>
          <w:color w:val="000000" w:themeColor="text1"/>
        </w:rPr>
      </w:pPr>
    </w:p>
    <w:p w14:paraId="7EBAA6BB" w14:textId="77777777" w:rsidR="00412F22" w:rsidRPr="0016301A" w:rsidRDefault="00412F22" w:rsidP="00412F22">
      <w:pPr>
        <w:pStyle w:val="Corpsdetexte"/>
        <w:tabs>
          <w:tab w:val="left" w:pos="9356"/>
          <w:tab w:val="left" w:pos="9498"/>
          <w:tab w:val="left" w:pos="9781"/>
        </w:tabs>
        <w:spacing w:line="276" w:lineRule="auto"/>
        <w:ind w:right="1279"/>
        <w:rPr>
          <w:rFonts w:asciiTheme="minorHAnsi" w:hAnsiTheme="minorHAnsi" w:cstheme="minorHAnsi"/>
          <w:color w:val="000000" w:themeColor="text1"/>
        </w:rPr>
      </w:pPr>
      <w:r w:rsidRPr="0016301A">
        <w:rPr>
          <w:rFonts w:asciiTheme="minorHAnsi" w:hAnsiTheme="minorHAnsi" w:cstheme="minorHAnsi"/>
          <w:color w:val="000000" w:themeColor="text1"/>
        </w:rPr>
        <w:t xml:space="preserve">Pour la </w:t>
      </w:r>
      <w:r>
        <w:rPr>
          <w:rFonts w:asciiTheme="minorHAnsi" w:hAnsiTheme="minorHAnsi" w:cstheme="minorHAnsi"/>
          <w:color w:val="000000" w:themeColor="text1"/>
        </w:rPr>
        <w:t xml:space="preserve">Cinquième </w:t>
      </w:r>
      <w:r w:rsidRPr="0016301A">
        <w:rPr>
          <w:rFonts w:asciiTheme="minorHAnsi" w:hAnsiTheme="minorHAnsi" w:cstheme="minorHAnsi"/>
          <w:color w:val="000000" w:themeColor="text1"/>
        </w:rPr>
        <w:t xml:space="preserve">Communication nationale, </w:t>
      </w:r>
      <w:r w:rsidRPr="00EC03CB">
        <w:rPr>
          <w:rFonts w:asciiTheme="minorHAnsi" w:hAnsiTheme="minorHAnsi" w:cstheme="minorHAnsi"/>
          <w:b/>
          <w:bCs/>
          <w:color w:val="000000" w:themeColor="text1"/>
        </w:rPr>
        <w:t>les scénarios A2</w:t>
      </w:r>
      <w:r w:rsidRPr="00EC03CB">
        <w:rPr>
          <w:rStyle w:val="Appelnotedebasdep"/>
          <w:rFonts w:asciiTheme="minorHAnsi" w:hAnsiTheme="minorHAnsi" w:cstheme="minorHAnsi"/>
          <w:b/>
          <w:bCs/>
          <w:color w:val="000000" w:themeColor="text1"/>
        </w:rPr>
        <w:footnoteReference w:id="71"/>
      </w:r>
      <w:r w:rsidRPr="00EC03CB">
        <w:rPr>
          <w:rFonts w:asciiTheme="minorHAnsi" w:hAnsiTheme="minorHAnsi" w:cstheme="minorHAnsi"/>
          <w:b/>
          <w:bCs/>
          <w:color w:val="000000" w:themeColor="text1"/>
        </w:rPr>
        <w:t xml:space="preserve"> et B2</w:t>
      </w:r>
      <w:r w:rsidRPr="00EC03CB">
        <w:rPr>
          <w:rStyle w:val="Appelnotedebasdep"/>
          <w:rFonts w:asciiTheme="minorHAnsi" w:hAnsiTheme="minorHAnsi" w:cstheme="minorHAnsi"/>
          <w:b/>
          <w:bCs/>
          <w:color w:val="000000" w:themeColor="text1"/>
        </w:rPr>
        <w:footnoteReference w:id="72"/>
      </w:r>
      <w:r w:rsidRPr="00EC03CB">
        <w:rPr>
          <w:rFonts w:asciiTheme="minorHAnsi" w:hAnsiTheme="minorHAnsi" w:cstheme="minorHAnsi"/>
          <w:b/>
          <w:bCs/>
          <w:color w:val="000000" w:themeColor="text1"/>
        </w:rPr>
        <w:t xml:space="preserve"> ont été retenus</w:t>
      </w:r>
      <w:r w:rsidRPr="0016301A">
        <w:rPr>
          <w:rFonts w:asciiTheme="minorHAnsi" w:hAnsiTheme="minorHAnsi" w:cstheme="minorHAnsi"/>
          <w:color w:val="000000" w:themeColor="text1"/>
        </w:rPr>
        <w:t>, parce qu’ils apparaissent dans tous les modèles et</w:t>
      </w:r>
      <w:r>
        <w:rPr>
          <w:rFonts w:asciiTheme="minorHAnsi" w:hAnsiTheme="minorHAnsi" w:cstheme="minorHAnsi"/>
          <w:color w:val="000000" w:themeColor="text1"/>
        </w:rPr>
        <w:t>,</w:t>
      </w:r>
      <w:r w:rsidRPr="0016301A">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surtout, </w:t>
      </w:r>
      <w:r w:rsidRPr="0016301A">
        <w:rPr>
          <w:rFonts w:asciiTheme="minorHAnsi" w:hAnsiTheme="minorHAnsi" w:cstheme="minorHAnsi"/>
          <w:color w:val="000000" w:themeColor="text1"/>
        </w:rPr>
        <w:t xml:space="preserve">reflètent mieux les situations dans les pays comme </w:t>
      </w:r>
      <w:r>
        <w:rPr>
          <w:rFonts w:asciiTheme="minorHAnsi" w:hAnsiTheme="minorHAnsi" w:cstheme="minorHAnsi"/>
          <w:color w:val="000000" w:themeColor="text1"/>
        </w:rPr>
        <w:t>la Mauritanie</w:t>
      </w:r>
      <w:r w:rsidRPr="0016301A">
        <w:rPr>
          <w:rFonts w:asciiTheme="minorHAnsi" w:hAnsiTheme="minorHAnsi" w:cstheme="minorHAnsi"/>
          <w:color w:val="000000" w:themeColor="text1"/>
        </w:rPr>
        <w:t>. Le scénario A2 représente un futur pessimiste avec des concentrations de CO2 de 834 ppm en 2100 alors que le scénario B2 prévoit 601 ppm. Pour mémoire le niveau mondial de CO2 était de 354 ppm en 1990.</w:t>
      </w:r>
    </w:p>
    <w:p w14:paraId="599B3D82" w14:textId="77777777" w:rsidR="00412F22" w:rsidRDefault="00412F22" w:rsidP="00412F22">
      <w:pPr>
        <w:pStyle w:val="TableParagraph"/>
        <w:tabs>
          <w:tab w:val="left" w:pos="9356"/>
          <w:tab w:val="left" w:pos="9498"/>
          <w:tab w:val="left" w:pos="9781"/>
        </w:tabs>
        <w:spacing w:before="2" w:line="247" w:lineRule="auto"/>
        <w:ind w:right="1279"/>
        <w:jc w:val="both"/>
        <w:rPr>
          <w:rFonts w:asciiTheme="minorHAnsi" w:hAnsiTheme="minorHAnsi" w:cstheme="minorHAnsi"/>
          <w:bCs/>
          <w:color w:val="000000" w:themeColor="text1"/>
          <w:spacing w:val="-6"/>
        </w:rPr>
      </w:pPr>
    </w:p>
    <w:p w14:paraId="33937B85" w14:textId="77777777" w:rsidR="00412F22" w:rsidRPr="00B6771D" w:rsidRDefault="00412F22" w:rsidP="00412F22">
      <w:pPr>
        <w:pStyle w:val="Titre3"/>
        <w:tabs>
          <w:tab w:val="left" w:pos="9356"/>
          <w:tab w:val="left" w:pos="9498"/>
          <w:tab w:val="left" w:pos="9781"/>
        </w:tabs>
        <w:ind w:right="1279"/>
        <w:jc w:val="center"/>
        <w:rPr>
          <w:rFonts w:ascii="Arial Black" w:hAnsi="Arial Black"/>
          <w:b/>
          <w:bCs/>
          <w:color w:val="FF3399"/>
        </w:rPr>
      </w:pPr>
      <w:bookmarkStart w:id="709" w:name="_Toc192462511"/>
      <w:r w:rsidRPr="00B6771D">
        <w:rPr>
          <w:rFonts w:ascii="Arial Black" w:hAnsi="Arial Black"/>
          <w:b/>
          <w:bCs/>
          <w:color w:val="FF3399"/>
        </w:rPr>
        <w:t>II.2.1 RÉCHAUFFEMENT</w:t>
      </w:r>
      <w:bookmarkEnd w:id="709"/>
    </w:p>
    <w:p w14:paraId="3BF6683F" w14:textId="77777777" w:rsidR="00412F22" w:rsidRPr="0016301A" w:rsidRDefault="00412F22" w:rsidP="00412F22">
      <w:pPr>
        <w:pStyle w:val="TableParagraph"/>
        <w:tabs>
          <w:tab w:val="left" w:pos="9356"/>
          <w:tab w:val="left" w:pos="9498"/>
          <w:tab w:val="left" w:pos="9781"/>
        </w:tabs>
        <w:spacing w:line="247" w:lineRule="auto"/>
        <w:ind w:right="1279"/>
        <w:jc w:val="both"/>
        <w:rPr>
          <w:rFonts w:asciiTheme="minorHAnsi" w:hAnsiTheme="minorHAnsi" w:cstheme="minorHAnsi"/>
          <w:b/>
          <w:color w:val="000000" w:themeColor="text1"/>
          <w:spacing w:val="-6"/>
        </w:rPr>
      </w:pPr>
    </w:p>
    <w:p w14:paraId="770A04F0" w14:textId="77777777" w:rsidR="00412F22" w:rsidRPr="0054066F" w:rsidRDefault="00412F22" w:rsidP="00412F22">
      <w:pPr>
        <w:pStyle w:val="Titre4"/>
        <w:tabs>
          <w:tab w:val="left" w:pos="9356"/>
          <w:tab w:val="left" w:pos="9498"/>
          <w:tab w:val="left" w:pos="9781"/>
        </w:tabs>
        <w:spacing w:before="0" w:line="276" w:lineRule="auto"/>
        <w:ind w:right="1279"/>
        <w:rPr>
          <w:rFonts w:asciiTheme="minorHAnsi" w:hAnsiTheme="minorHAnsi" w:cstheme="minorHAnsi"/>
          <w:b/>
          <w:bCs/>
          <w:i w:val="0"/>
          <w:iCs w:val="0"/>
          <w:color w:val="000000" w:themeColor="text1"/>
          <w:w w:val="85"/>
        </w:rPr>
      </w:pPr>
      <w:r w:rsidRPr="0054066F">
        <w:rPr>
          <w:rFonts w:asciiTheme="minorHAnsi" w:hAnsiTheme="minorHAnsi" w:cstheme="minorHAnsi"/>
          <w:i w:val="0"/>
          <w:iCs w:val="0"/>
          <w:color w:val="000000" w:themeColor="text1"/>
          <w:w w:val="85"/>
        </w:rPr>
        <w:t xml:space="preserve">La part de la population affectée par au moins une vague de chaleur, par an, devrait augmenter, passant de 6 % en 2000 à 35 % en 2080, soit 21,87% en 2050 et 43,5% en 2100. Ce changement est lié à la recrudescence des journées très chaudes (49 supplémentaires par an). En conséquence, </w:t>
      </w:r>
      <w:r>
        <w:rPr>
          <w:rFonts w:asciiTheme="minorHAnsi" w:hAnsiTheme="minorHAnsi" w:cstheme="minorHAnsi"/>
          <w:i w:val="0"/>
          <w:iCs w:val="0"/>
          <w:color w:val="000000" w:themeColor="text1"/>
          <w:w w:val="85"/>
        </w:rPr>
        <w:t>il est estimé</w:t>
      </w:r>
      <w:r w:rsidRPr="0054066F">
        <w:rPr>
          <w:rFonts w:asciiTheme="minorHAnsi" w:hAnsiTheme="minorHAnsi" w:cstheme="minorHAnsi"/>
          <w:i w:val="0"/>
          <w:iCs w:val="0"/>
          <w:color w:val="000000" w:themeColor="text1"/>
          <w:w w:val="85"/>
        </w:rPr>
        <w:t xml:space="preserve"> que la mortalité liée à la chaleur sera multipliée par trois d'ici à 2080</w:t>
      </w:r>
      <w:r w:rsidRPr="0054066F">
        <w:rPr>
          <w:rStyle w:val="Appelnotedebasdep"/>
          <w:rFonts w:asciiTheme="minorHAnsi" w:hAnsiTheme="minorHAnsi" w:cstheme="minorHAnsi"/>
          <w:i w:val="0"/>
          <w:iCs w:val="0"/>
          <w:color w:val="000000" w:themeColor="text1"/>
          <w:w w:val="85"/>
        </w:rPr>
        <w:footnoteReference w:id="73"/>
      </w:r>
      <w:r w:rsidRPr="0054066F">
        <w:rPr>
          <w:rFonts w:asciiTheme="minorHAnsi" w:hAnsiTheme="minorHAnsi" w:cstheme="minorHAnsi"/>
          <w:i w:val="0"/>
          <w:iCs w:val="0"/>
          <w:color w:val="000000" w:themeColor="text1"/>
          <w:w w:val="85"/>
        </w:rPr>
        <w:t>.</w:t>
      </w:r>
    </w:p>
    <w:p w14:paraId="566C5309" w14:textId="77777777" w:rsidR="00412F22" w:rsidRPr="0016301A" w:rsidRDefault="00412F22" w:rsidP="00412F22">
      <w:pPr>
        <w:pStyle w:val="TableParagraph"/>
        <w:tabs>
          <w:tab w:val="left" w:pos="9356"/>
          <w:tab w:val="left" w:pos="9498"/>
          <w:tab w:val="left" w:pos="9781"/>
        </w:tabs>
        <w:spacing w:before="2" w:line="276" w:lineRule="auto"/>
        <w:ind w:right="1279"/>
        <w:jc w:val="both"/>
        <w:rPr>
          <w:rFonts w:asciiTheme="minorHAnsi" w:hAnsiTheme="minorHAnsi" w:cstheme="minorHAnsi"/>
          <w:b/>
          <w:color w:val="000000" w:themeColor="text1"/>
          <w:spacing w:val="-6"/>
        </w:rPr>
      </w:pPr>
    </w:p>
    <w:p w14:paraId="14BA772F" w14:textId="77777777" w:rsidR="00412F22" w:rsidRPr="00A00FE9" w:rsidRDefault="00412F22" w:rsidP="00412F22">
      <w:pPr>
        <w:pStyle w:val="TableParagraph"/>
        <w:tabs>
          <w:tab w:val="left" w:pos="9356"/>
          <w:tab w:val="left" w:pos="9498"/>
          <w:tab w:val="left" w:pos="9781"/>
        </w:tabs>
        <w:spacing w:before="2" w:line="247" w:lineRule="auto"/>
        <w:ind w:right="1279"/>
        <w:jc w:val="both"/>
        <w:rPr>
          <w:rFonts w:asciiTheme="minorHAnsi" w:hAnsiTheme="minorHAnsi" w:cstheme="minorHAnsi"/>
          <w:b/>
          <w:color w:val="000000" w:themeColor="text1"/>
          <w:spacing w:val="-6"/>
        </w:rPr>
      </w:pPr>
      <w:r w:rsidRPr="00A00FE9">
        <w:rPr>
          <w:rFonts w:asciiTheme="minorHAnsi" w:hAnsiTheme="minorHAnsi" w:cstheme="minorHAnsi"/>
          <w:b/>
          <w:color w:val="000000" w:themeColor="text1"/>
          <w:spacing w:val="-6"/>
        </w:rPr>
        <w:t>A l’horizon 2050</w:t>
      </w:r>
    </w:p>
    <w:p w14:paraId="507B03AA" w14:textId="77777777" w:rsidR="00412F22" w:rsidRPr="0016301A" w:rsidRDefault="00412F22" w:rsidP="00412F22">
      <w:pPr>
        <w:pStyle w:val="TableParagraph"/>
        <w:tabs>
          <w:tab w:val="left" w:pos="9356"/>
          <w:tab w:val="left" w:pos="9498"/>
          <w:tab w:val="left" w:pos="9781"/>
        </w:tabs>
        <w:spacing w:before="2" w:line="247" w:lineRule="auto"/>
        <w:ind w:right="1279"/>
        <w:jc w:val="both"/>
        <w:rPr>
          <w:rFonts w:asciiTheme="minorHAnsi" w:hAnsiTheme="minorHAnsi" w:cstheme="minorHAnsi"/>
          <w:bCs/>
          <w:color w:val="000000" w:themeColor="text1"/>
          <w:spacing w:val="-6"/>
        </w:rPr>
      </w:pPr>
    </w:p>
    <w:p w14:paraId="1A487670" w14:textId="77777777" w:rsidR="00412F22" w:rsidRPr="0016301A" w:rsidRDefault="00412F22" w:rsidP="00412F22">
      <w:pPr>
        <w:pStyle w:val="TableParagraph"/>
        <w:tabs>
          <w:tab w:val="left" w:pos="9356"/>
          <w:tab w:val="left" w:pos="9498"/>
          <w:tab w:val="left" w:pos="9781"/>
        </w:tabs>
        <w:spacing w:before="2" w:line="276" w:lineRule="auto"/>
        <w:ind w:right="1279"/>
        <w:jc w:val="both"/>
        <w:rPr>
          <w:rFonts w:asciiTheme="minorHAnsi" w:hAnsiTheme="minorHAnsi" w:cstheme="minorHAnsi"/>
          <w:bCs/>
          <w:color w:val="000000" w:themeColor="text1"/>
        </w:rPr>
      </w:pPr>
      <w:r w:rsidRPr="0016301A">
        <w:rPr>
          <w:rFonts w:asciiTheme="minorHAnsi" w:hAnsiTheme="minorHAnsi" w:cstheme="minorHAnsi"/>
          <w:bCs/>
          <w:color w:val="000000" w:themeColor="text1"/>
          <w:spacing w:val="-6"/>
        </w:rPr>
        <w:t xml:space="preserve">Il ressort du rapport sur les scénarii climatiques, pour les 2 modèles </w:t>
      </w:r>
      <w:r w:rsidRPr="0016301A">
        <w:rPr>
          <w:rFonts w:asciiTheme="minorHAnsi" w:hAnsiTheme="minorHAnsi" w:cstheme="minorHAnsi"/>
          <w:bCs/>
          <w:color w:val="000000" w:themeColor="text1"/>
          <w:shd w:val="clear" w:color="auto" w:fill="F9F9FE"/>
        </w:rPr>
        <w:t>d'évaluation des scénarios climatiques</w:t>
      </w:r>
      <w:r w:rsidRPr="0016301A">
        <w:rPr>
          <w:rFonts w:asciiTheme="minorHAnsi" w:hAnsiTheme="minorHAnsi" w:cstheme="minorHAnsi"/>
          <w:bCs/>
          <w:color w:val="000000" w:themeColor="text1"/>
        </w:rPr>
        <w:t xml:space="preserve"> (HADCM3, ECHAM4)</w:t>
      </w:r>
      <w:r>
        <w:rPr>
          <w:rFonts w:asciiTheme="minorHAnsi" w:hAnsiTheme="minorHAnsi" w:cstheme="minorHAnsi"/>
          <w:bCs/>
          <w:color w:val="000000" w:themeColor="text1"/>
        </w:rPr>
        <w:t>, communément utilisés</w:t>
      </w:r>
      <w:r w:rsidRPr="0016301A">
        <w:rPr>
          <w:rFonts w:asciiTheme="minorHAnsi" w:hAnsiTheme="minorHAnsi" w:cstheme="minorHAnsi"/>
          <w:bCs/>
          <w:color w:val="000000" w:themeColor="text1"/>
        </w:rPr>
        <w:t xml:space="preserve">, </w:t>
      </w:r>
      <w:r w:rsidRPr="0016301A">
        <w:rPr>
          <w:rFonts w:asciiTheme="minorHAnsi" w:hAnsiTheme="minorHAnsi" w:cstheme="minorHAnsi"/>
          <w:bCs/>
          <w:color w:val="000000" w:themeColor="text1"/>
          <w:spacing w:val="-6"/>
        </w:rPr>
        <w:t xml:space="preserve">une augmentation générale de la température en Mauritanie, d’au moins </w:t>
      </w:r>
      <w:r w:rsidRPr="0016301A">
        <w:rPr>
          <w:rFonts w:asciiTheme="minorHAnsi" w:hAnsiTheme="minorHAnsi" w:cstheme="minorHAnsi"/>
          <w:bCs/>
          <w:color w:val="000000" w:themeColor="text1"/>
        </w:rPr>
        <w:t>2°C</w:t>
      </w:r>
      <w:r>
        <w:rPr>
          <w:rFonts w:asciiTheme="minorHAnsi" w:hAnsiTheme="minorHAnsi" w:cstheme="minorHAnsi"/>
          <w:bCs/>
          <w:color w:val="000000" w:themeColor="text1"/>
        </w:rPr>
        <w:t>,</w:t>
      </w:r>
      <w:r w:rsidRPr="0016301A">
        <w:rPr>
          <w:rFonts w:asciiTheme="minorHAnsi" w:hAnsiTheme="minorHAnsi" w:cstheme="minorHAnsi"/>
          <w:bCs/>
          <w:color w:val="000000" w:themeColor="text1"/>
        </w:rPr>
        <w:t xml:space="preserve"> excepté pour l’ouest </w:t>
      </w:r>
      <w:r>
        <w:rPr>
          <w:rFonts w:asciiTheme="minorHAnsi" w:hAnsiTheme="minorHAnsi" w:cstheme="minorHAnsi"/>
          <w:bCs/>
          <w:color w:val="000000" w:themeColor="text1"/>
        </w:rPr>
        <w:t xml:space="preserve">du pays </w:t>
      </w:r>
      <w:r w:rsidRPr="0016301A">
        <w:rPr>
          <w:rFonts w:asciiTheme="minorHAnsi" w:hAnsiTheme="minorHAnsi" w:cstheme="minorHAnsi"/>
          <w:bCs/>
          <w:color w:val="000000" w:themeColor="text1"/>
        </w:rPr>
        <w:t xml:space="preserve">(Brakna ouest, Trarza y compris Nouakchott, l’Inchiri et Dakhlet Nouadhibou) où l’augmentation sera comprise entre 1,5 et 2°C. </w:t>
      </w:r>
    </w:p>
    <w:p w14:paraId="68F46CD1" w14:textId="77777777" w:rsidR="00412F22" w:rsidRPr="00410DEA" w:rsidRDefault="00412F22" w:rsidP="00412F22">
      <w:pPr>
        <w:pStyle w:val="TableParagraph"/>
        <w:tabs>
          <w:tab w:val="left" w:pos="9356"/>
          <w:tab w:val="left" w:pos="9498"/>
          <w:tab w:val="left" w:pos="9781"/>
        </w:tabs>
        <w:spacing w:before="2" w:line="276" w:lineRule="auto"/>
        <w:ind w:right="1279"/>
        <w:jc w:val="both"/>
        <w:rPr>
          <w:rFonts w:asciiTheme="minorHAnsi" w:hAnsiTheme="minorHAnsi" w:cstheme="minorHAnsi"/>
          <w:bCs/>
          <w:color w:val="000000" w:themeColor="text1"/>
          <w:sz w:val="10"/>
          <w:szCs w:val="10"/>
        </w:rPr>
      </w:pPr>
    </w:p>
    <w:p w14:paraId="03FF8EBB" w14:textId="77777777" w:rsidR="00412F22" w:rsidRPr="0016301A" w:rsidRDefault="00412F22" w:rsidP="00412F22">
      <w:pPr>
        <w:pStyle w:val="TableParagraph"/>
        <w:tabs>
          <w:tab w:val="left" w:pos="9356"/>
          <w:tab w:val="left" w:pos="9498"/>
          <w:tab w:val="left" w:pos="9781"/>
        </w:tabs>
        <w:spacing w:before="2" w:line="276" w:lineRule="auto"/>
        <w:ind w:right="1279"/>
        <w:jc w:val="both"/>
        <w:rPr>
          <w:rFonts w:asciiTheme="minorHAnsi" w:hAnsiTheme="minorHAnsi" w:cstheme="minorHAnsi"/>
          <w:bCs/>
          <w:color w:val="000000" w:themeColor="text1"/>
        </w:rPr>
      </w:pPr>
      <w:r w:rsidRPr="0016301A">
        <w:rPr>
          <w:rFonts w:asciiTheme="minorHAnsi" w:hAnsiTheme="minorHAnsi" w:cstheme="minorHAnsi"/>
          <w:bCs/>
          <w:color w:val="000000" w:themeColor="text1"/>
        </w:rPr>
        <w:t>Pour le scénario de réduction des émissions (RCP</w:t>
      </w:r>
      <w:r>
        <w:rPr>
          <w:rStyle w:val="Appelnotedebasdep"/>
          <w:rFonts w:asciiTheme="minorHAnsi" w:hAnsiTheme="minorHAnsi" w:cstheme="minorHAnsi"/>
          <w:bCs/>
          <w:color w:val="000000" w:themeColor="text1"/>
        </w:rPr>
        <w:footnoteReference w:id="74"/>
      </w:r>
      <w:r w:rsidRPr="0016301A">
        <w:rPr>
          <w:rFonts w:asciiTheme="minorHAnsi" w:hAnsiTheme="minorHAnsi" w:cstheme="minorHAnsi"/>
          <w:bCs/>
          <w:color w:val="000000" w:themeColor="text1"/>
        </w:rPr>
        <w:t>2.6), la médiane des températures pour l’ensemble du pays</w:t>
      </w:r>
      <w:r>
        <w:rPr>
          <w:rFonts w:asciiTheme="minorHAnsi" w:hAnsiTheme="minorHAnsi" w:cstheme="minorHAnsi"/>
          <w:bCs/>
          <w:color w:val="000000" w:themeColor="text1"/>
        </w:rPr>
        <w:t>,</w:t>
      </w:r>
      <w:r w:rsidRPr="0016301A">
        <w:rPr>
          <w:rFonts w:asciiTheme="minorHAnsi" w:hAnsiTheme="minorHAnsi" w:cstheme="minorHAnsi"/>
          <w:bCs/>
          <w:color w:val="000000" w:themeColor="text1"/>
        </w:rPr>
        <w:t xml:space="preserve"> à l’horizon 2050</w:t>
      </w:r>
      <w:r>
        <w:rPr>
          <w:rFonts w:asciiTheme="minorHAnsi" w:hAnsiTheme="minorHAnsi" w:cstheme="minorHAnsi"/>
          <w:bCs/>
          <w:color w:val="000000" w:themeColor="text1"/>
        </w:rPr>
        <w:t>,</w:t>
      </w:r>
      <w:r w:rsidRPr="0016301A">
        <w:rPr>
          <w:rFonts w:asciiTheme="minorHAnsi" w:hAnsiTheme="minorHAnsi" w:cstheme="minorHAnsi"/>
          <w:bCs/>
          <w:color w:val="000000" w:themeColor="text1"/>
        </w:rPr>
        <w:t xml:space="preserve"> est de 2,3° C. Pour le scénario des émissions moyennes à élevés (RCP6.0), cette médiane est de 2,7°C </w:t>
      </w:r>
      <w:r>
        <w:rPr>
          <w:rFonts w:asciiTheme="minorHAnsi" w:hAnsiTheme="minorHAnsi" w:cstheme="minorHAnsi"/>
          <w:bCs/>
          <w:color w:val="000000" w:themeColor="text1"/>
        </w:rPr>
        <w:t>pour le même horizon</w:t>
      </w:r>
      <w:r w:rsidRPr="0016301A">
        <w:rPr>
          <w:rFonts w:asciiTheme="minorHAnsi" w:hAnsiTheme="minorHAnsi" w:cstheme="minorHAnsi"/>
          <w:bCs/>
          <w:color w:val="000000" w:themeColor="text1"/>
        </w:rPr>
        <w:t>.</w:t>
      </w:r>
    </w:p>
    <w:p w14:paraId="7E13589F" w14:textId="77777777" w:rsidR="00412F22" w:rsidRPr="00410DEA" w:rsidRDefault="00412F22" w:rsidP="00412F22">
      <w:pPr>
        <w:pStyle w:val="TableParagraph"/>
        <w:tabs>
          <w:tab w:val="left" w:pos="9356"/>
          <w:tab w:val="left" w:pos="9498"/>
          <w:tab w:val="left" w:pos="9781"/>
        </w:tabs>
        <w:spacing w:before="2" w:line="247" w:lineRule="auto"/>
        <w:ind w:right="1279"/>
        <w:jc w:val="both"/>
        <w:rPr>
          <w:rFonts w:asciiTheme="minorHAnsi" w:hAnsiTheme="minorHAnsi" w:cstheme="minorHAnsi"/>
          <w:bCs/>
          <w:color w:val="000000" w:themeColor="text1"/>
          <w:spacing w:val="-6"/>
          <w:sz w:val="14"/>
          <w:szCs w:val="14"/>
        </w:rPr>
      </w:pPr>
    </w:p>
    <w:p w14:paraId="473BD0E9" w14:textId="77777777" w:rsidR="00412F22" w:rsidRPr="00A00FE9" w:rsidRDefault="00412F22" w:rsidP="00412F22">
      <w:pPr>
        <w:pStyle w:val="TableParagraph"/>
        <w:tabs>
          <w:tab w:val="left" w:pos="9356"/>
          <w:tab w:val="left" w:pos="9498"/>
          <w:tab w:val="left" w:pos="9781"/>
        </w:tabs>
        <w:spacing w:before="2" w:line="247" w:lineRule="auto"/>
        <w:ind w:right="1279"/>
        <w:jc w:val="both"/>
        <w:rPr>
          <w:rFonts w:asciiTheme="minorHAnsi" w:hAnsiTheme="minorHAnsi" w:cstheme="minorHAnsi"/>
          <w:b/>
          <w:color w:val="000000" w:themeColor="text1"/>
          <w:spacing w:val="-6"/>
        </w:rPr>
      </w:pPr>
      <w:r w:rsidRPr="00A00FE9">
        <w:rPr>
          <w:rFonts w:asciiTheme="minorHAnsi" w:hAnsiTheme="minorHAnsi" w:cstheme="minorHAnsi"/>
          <w:b/>
          <w:color w:val="000000" w:themeColor="text1"/>
          <w:spacing w:val="-6"/>
        </w:rPr>
        <w:t>A l’horizon 2100</w:t>
      </w:r>
    </w:p>
    <w:p w14:paraId="5CCA4BF1" w14:textId="77777777" w:rsidR="00412F22" w:rsidRPr="00410DEA" w:rsidRDefault="00412F22" w:rsidP="00412F22">
      <w:pPr>
        <w:pStyle w:val="TableParagraph"/>
        <w:tabs>
          <w:tab w:val="left" w:pos="9356"/>
          <w:tab w:val="left" w:pos="9498"/>
          <w:tab w:val="left" w:pos="9781"/>
        </w:tabs>
        <w:spacing w:before="2" w:line="247" w:lineRule="auto"/>
        <w:ind w:right="1279"/>
        <w:jc w:val="both"/>
        <w:rPr>
          <w:rFonts w:asciiTheme="minorHAnsi" w:hAnsiTheme="minorHAnsi" w:cstheme="minorHAnsi"/>
          <w:bCs/>
          <w:color w:val="000000" w:themeColor="text1"/>
          <w:spacing w:val="-6"/>
          <w:sz w:val="18"/>
          <w:szCs w:val="18"/>
        </w:rPr>
      </w:pPr>
    </w:p>
    <w:p w14:paraId="57D03976" w14:textId="77777777" w:rsidR="00412F22" w:rsidRPr="0016301A" w:rsidRDefault="00412F22" w:rsidP="00412F22">
      <w:pPr>
        <w:pStyle w:val="Corpsdetexte"/>
        <w:tabs>
          <w:tab w:val="left" w:pos="2693"/>
          <w:tab w:val="left" w:pos="9356"/>
          <w:tab w:val="left" w:pos="9498"/>
          <w:tab w:val="left" w:pos="9781"/>
        </w:tabs>
        <w:spacing w:line="276" w:lineRule="auto"/>
        <w:ind w:right="1279"/>
        <w:rPr>
          <w:rFonts w:asciiTheme="minorHAnsi" w:eastAsia="Trebuchet MS" w:hAnsiTheme="minorHAnsi" w:cstheme="minorHAnsi"/>
          <w:bCs/>
          <w:color w:val="000000" w:themeColor="text1"/>
        </w:rPr>
      </w:pPr>
      <w:r w:rsidRPr="0016301A">
        <w:rPr>
          <w:rFonts w:asciiTheme="minorHAnsi" w:eastAsia="Trebuchet MS" w:hAnsiTheme="minorHAnsi" w:cstheme="minorHAnsi"/>
          <w:bCs/>
          <w:color w:val="000000" w:themeColor="text1"/>
        </w:rPr>
        <w:t>Il ressort du rapport sur les scénarii climatiques, pour les 2 modèles d'évaluation des scénarios climatiques, une forte hausse des températures</w:t>
      </w:r>
      <w:r>
        <w:rPr>
          <w:rFonts w:asciiTheme="minorHAnsi" w:eastAsia="Trebuchet MS" w:hAnsiTheme="minorHAnsi" w:cstheme="minorHAnsi"/>
          <w:bCs/>
          <w:color w:val="000000" w:themeColor="text1"/>
        </w:rPr>
        <w:t>,</w:t>
      </w:r>
      <w:r w:rsidRPr="0016301A">
        <w:rPr>
          <w:rFonts w:asciiTheme="minorHAnsi" w:eastAsia="Trebuchet MS" w:hAnsiTheme="minorHAnsi" w:cstheme="minorHAnsi"/>
          <w:bCs/>
          <w:color w:val="000000" w:themeColor="text1"/>
        </w:rPr>
        <w:t xml:space="preserve"> au niveau de toute la Mauritanie. Entre 4 et 4,5°C pour ECHAM4. Cette augmentation peut aller à plus de 4,5 °C dans le sud des wilayas de l’Assaba et du Guidimakha. Pour le modèle HADCM3</w:t>
      </w:r>
      <w:r>
        <w:rPr>
          <w:rFonts w:asciiTheme="minorHAnsi" w:eastAsia="Trebuchet MS" w:hAnsiTheme="minorHAnsi" w:cstheme="minorHAnsi"/>
          <w:bCs/>
          <w:color w:val="000000" w:themeColor="text1"/>
        </w:rPr>
        <w:t>,</w:t>
      </w:r>
      <w:r w:rsidRPr="0016301A">
        <w:rPr>
          <w:rFonts w:asciiTheme="minorHAnsi" w:eastAsia="Trebuchet MS" w:hAnsiTheme="minorHAnsi" w:cstheme="minorHAnsi"/>
          <w:bCs/>
          <w:color w:val="000000" w:themeColor="text1"/>
        </w:rPr>
        <w:t xml:space="preserve"> le maximum est de 3,5°C. Le secteur du littoral est le moins touché</w:t>
      </w:r>
      <w:r>
        <w:rPr>
          <w:rFonts w:asciiTheme="minorHAnsi" w:eastAsia="Trebuchet MS" w:hAnsiTheme="minorHAnsi" w:cstheme="minorHAnsi"/>
          <w:bCs/>
          <w:color w:val="000000" w:themeColor="text1"/>
        </w:rPr>
        <w:t>,</w:t>
      </w:r>
      <w:r w:rsidRPr="0016301A">
        <w:rPr>
          <w:rFonts w:asciiTheme="minorHAnsi" w:eastAsia="Trebuchet MS" w:hAnsiTheme="minorHAnsi" w:cstheme="minorHAnsi"/>
          <w:bCs/>
          <w:color w:val="000000" w:themeColor="text1"/>
        </w:rPr>
        <w:t xml:space="preserve"> avec moins de 3°C </w:t>
      </w:r>
      <w:r>
        <w:rPr>
          <w:rFonts w:asciiTheme="minorHAnsi" w:eastAsia="Trebuchet MS" w:hAnsiTheme="minorHAnsi" w:cstheme="minorHAnsi"/>
          <w:bCs/>
          <w:color w:val="000000" w:themeColor="text1"/>
        </w:rPr>
        <w:t>pour le modèle</w:t>
      </w:r>
      <w:r w:rsidRPr="0016301A">
        <w:rPr>
          <w:rFonts w:asciiTheme="minorHAnsi" w:eastAsia="Trebuchet MS" w:hAnsiTheme="minorHAnsi" w:cstheme="minorHAnsi"/>
          <w:bCs/>
          <w:color w:val="000000" w:themeColor="text1"/>
        </w:rPr>
        <w:t xml:space="preserve"> l’ECHAM4 et entre 1,5° à 2,5° C </w:t>
      </w:r>
      <w:r>
        <w:rPr>
          <w:rFonts w:asciiTheme="minorHAnsi" w:eastAsia="Trebuchet MS" w:hAnsiTheme="minorHAnsi" w:cstheme="minorHAnsi"/>
          <w:bCs/>
          <w:color w:val="000000" w:themeColor="text1"/>
        </w:rPr>
        <w:t>pour</w:t>
      </w:r>
      <w:r w:rsidRPr="0016301A">
        <w:rPr>
          <w:rFonts w:asciiTheme="minorHAnsi" w:eastAsia="Trebuchet MS" w:hAnsiTheme="minorHAnsi" w:cstheme="minorHAnsi"/>
          <w:bCs/>
          <w:color w:val="000000" w:themeColor="text1"/>
        </w:rPr>
        <w:t xml:space="preserve"> le </w:t>
      </w:r>
      <w:r>
        <w:rPr>
          <w:rFonts w:asciiTheme="minorHAnsi" w:eastAsia="Trebuchet MS" w:hAnsiTheme="minorHAnsi" w:cstheme="minorHAnsi"/>
          <w:bCs/>
          <w:color w:val="000000" w:themeColor="text1"/>
        </w:rPr>
        <w:t>modèle</w:t>
      </w:r>
      <w:r w:rsidRPr="0016301A">
        <w:rPr>
          <w:rFonts w:asciiTheme="minorHAnsi" w:eastAsia="Trebuchet MS" w:hAnsiTheme="minorHAnsi" w:cstheme="minorHAnsi"/>
          <w:bCs/>
          <w:color w:val="000000" w:themeColor="text1"/>
        </w:rPr>
        <w:t xml:space="preserve"> HADCM3.</w:t>
      </w:r>
    </w:p>
    <w:p w14:paraId="6A3946B2" w14:textId="77777777" w:rsidR="00412F22" w:rsidRPr="00411A4D" w:rsidRDefault="00412F22" w:rsidP="00412F22">
      <w:pPr>
        <w:pStyle w:val="Corpsdetexte"/>
        <w:tabs>
          <w:tab w:val="left" w:pos="2693"/>
          <w:tab w:val="left" w:pos="9356"/>
          <w:tab w:val="left" w:pos="9498"/>
          <w:tab w:val="left" w:pos="9781"/>
        </w:tabs>
        <w:spacing w:line="276" w:lineRule="auto"/>
        <w:ind w:right="1279"/>
        <w:rPr>
          <w:rFonts w:asciiTheme="minorHAnsi" w:eastAsia="Trebuchet MS" w:hAnsiTheme="minorHAnsi" w:cstheme="minorHAnsi"/>
          <w:bCs/>
          <w:color w:val="000000" w:themeColor="text1"/>
          <w:sz w:val="12"/>
          <w:szCs w:val="12"/>
        </w:rPr>
      </w:pPr>
    </w:p>
    <w:p w14:paraId="325A0AE8" w14:textId="77777777" w:rsidR="00412F22" w:rsidRPr="001A5367" w:rsidRDefault="00412F22" w:rsidP="00412F22">
      <w:pPr>
        <w:pStyle w:val="Corpsdetexte"/>
        <w:tabs>
          <w:tab w:val="left" w:pos="2693"/>
          <w:tab w:val="left" w:pos="9356"/>
          <w:tab w:val="left" w:pos="9498"/>
          <w:tab w:val="left" w:pos="9781"/>
        </w:tabs>
        <w:spacing w:line="276" w:lineRule="auto"/>
        <w:ind w:right="1279"/>
        <w:rPr>
          <w:rFonts w:asciiTheme="minorHAnsi" w:hAnsiTheme="minorHAnsi" w:cstheme="minorHAnsi"/>
          <w:bCs/>
          <w:color w:val="000000" w:themeColor="text1"/>
        </w:rPr>
      </w:pPr>
      <w:r w:rsidRPr="0016301A">
        <w:rPr>
          <w:rFonts w:asciiTheme="minorHAnsi" w:hAnsiTheme="minorHAnsi" w:cstheme="minorHAnsi"/>
          <w:bCs/>
          <w:color w:val="000000" w:themeColor="text1"/>
        </w:rPr>
        <w:t xml:space="preserve">Pour le scénario de réduction des émissions (RCP2.6), la médiane des températures pour l’ensemble du pays à l’horizon </w:t>
      </w:r>
      <w:r>
        <w:rPr>
          <w:rFonts w:asciiTheme="minorHAnsi" w:hAnsiTheme="minorHAnsi" w:cstheme="minorHAnsi"/>
          <w:bCs/>
          <w:color w:val="000000" w:themeColor="text1"/>
        </w:rPr>
        <w:t xml:space="preserve">2100, est de </w:t>
      </w:r>
      <w:r w:rsidRPr="0016301A">
        <w:rPr>
          <w:rFonts w:asciiTheme="minorHAnsi" w:hAnsiTheme="minorHAnsi" w:cstheme="minorHAnsi"/>
          <w:bCs/>
          <w:color w:val="000000" w:themeColor="text1"/>
        </w:rPr>
        <w:t>3,1° C. Pour le scénario des émissions moyennes à élevés (RCP6.0), cette médiane est de 4,75°C pour 2100.</w:t>
      </w:r>
    </w:p>
    <w:p w14:paraId="436143DE" w14:textId="77777777" w:rsidR="00412F22" w:rsidRPr="00410DEA" w:rsidRDefault="00412F22" w:rsidP="00412F22">
      <w:pPr>
        <w:pStyle w:val="TableParagraph"/>
        <w:tabs>
          <w:tab w:val="left" w:pos="9356"/>
          <w:tab w:val="left" w:pos="9498"/>
          <w:tab w:val="left" w:pos="9781"/>
        </w:tabs>
        <w:spacing w:before="2" w:line="247" w:lineRule="auto"/>
        <w:ind w:right="1279"/>
        <w:jc w:val="both"/>
        <w:rPr>
          <w:rFonts w:asciiTheme="minorHAnsi" w:hAnsiTheme="minorHAnsi" w:cstheme="minorHAnsi"/>
          <w:bCs/>
          <w:i/>
          <w:iCs/>
          <w:color w:val="000000" w:themeColor="text1"/>
          <w:sz w:val="6"/>
          <w:szCs w:val="6"/>
        </w:rPr>
      </w:pPr>
    </w:p>
    <w:p w14:paraId="05757079" w14:textId="77777777" w:rsidR="00412F22" w:rsidRPr="00B6771D" w:rsidRDefault="00412F22" w:rsidP="00412F22">
      <w:pPr>
        <w:pStyle w:val="Titre3"/>
        <w:tabs>
          <w:tab w:val="left" w:pos="9356"/>
          <w:tab w:val="left" w:pos="9498"/>
          <w:tab w:val="left" w:pos="9781"/>
        </w:tabs>
        <w:ind w:right="1279"/>
        <w:jc w:val="center"/>
        <w:rPr>
          <w:rFonts w:ascii="Arial Black" w:hAnsi="Arial Black"/>
          <w:b/>
          <w:bCs/>
          <w:color w:val="FF3399"/>
        </w:rPr>
      </w:pPr>
      <w:bookmarkStart w:id="710" w:name="_Toc192462512"/>
      <w:r w:rsidRPr="00B6771D">
        <w:rPr>
          <w:rFonts w:ascii="Arial Black" w:hAnsi="Arial Black"/>
          <w:b/>
          <w:bCs/>
          <w:color w:val="FF3399"/>
        </w:rPr>
        <w:t>II.2.2 Précipitations</w:t>
      </w:r>
      <w:bookmarkEnd w:id="710"/>
    </w:p>
    <w:p w14:paraId="056876C0" w14:textId="77777777" w:rsidR="00412F22" w:rsidRPr="00410DEA" w:rsidRDefault="00412F22" w:rsidP="00412F22">
      <w:pPr>
        <w:pStyle w:val="TableParagraph"/>
        <w:tabs>
          <w:tab w:val="left" w:pos="9356"/>
          <w:tab w:val="left" w:pos="9498"/>
          <w:tab w:val="left" w:pos="9781"/>
        </w:tabs>
        <w:spacing w:before="2" w:line="247" w:lineRule="auto"/>
        <w:ind w:right="1279"/>
        <w:jc w:val="both"/>
        <w:rPr>
          <w:rFonts w:asciiTheme="minorHAnsi" w:hAnsiTheme="minorHAnsi" w:cstheme="minorHAnsi"/>
          <w:b/>
          <w:color w:val="000000" w:themeColor="text1"/>
          <w:spacing w:val="-6"/>
          <w:sz w:val="14"/>
          <w:szCs w:val="14"/>
        </w:rPr>
      </w:pPr>
    </w:p>
    <w:p w14:paraId="13A05E59" w14:textId="77777777" w:rsidR="00412F22" w:rsidRPr="0016301A" w:rsidRDefault="00412F22" w:rsidP="00412F22">
      <w:pPr>
        <w:pStyle w:val="TableParagraph"/>
        <w:tabs>
          <w:tab w:val="left" w:pos="9356"/>
          <w:tab w:val="left" w:pos="9498"/>
          <w:tab w:val="left" w:pos="9781"/>
        </w:tabs>
        <w:spacing w:before="2" w:line="276" w:lineRule="auto"/>
        <w:ind w:right="1279"/>
        <w:jc w:val="both"/>
        <w:rPr>
          <w:rFonts w:asciiTheme="minorHAnsi" w:hAnsiTheme="minorHAnsi" w:cstheme="minorHAnsi"/>
          <w:b/>
          <w:color w:val="000000" w:themeColor="text1"/>
          <w:spacing w:val="-6"/>
        </w:rPr>
      </w:pPr>
      <w:r w:rsidRPr="0016301A">
        <w:rPr>
          <w:rFonts w:asciiTheme="minorHAnsi" w:hAnsiTheme="minorHAnsi" w:cstheme="minorHAnsi"/>
          <w:color w:val="000000" w:themeColor="text1"/>
        </w:rPr>
        <w:t>Du rapport sur les scénarii climatique</w:t>
      </w:r>
      <w:r>
        <w:rPr>
          <w:rFonts w:asciiTheme="minorHAnsi" w:hAnsiTheme="minorHAnsi" w:cstheme="minorHAnsi"/>
          <w:color w:val="000000" w:themeColor="text1"/>
        </w:rPr>
        <w:t>s,</w:t>
      </w:r>
      <w:r w:rsidRPr="0016301A">
        <w:rPr>
          <w:rFonts w:asciiTheme="minorHAnsi" w:hAnsiTheme="minorHAnsi" w:cstheme="minorHAnsi"/>
          <w:color w:val="000000" w:themeColor="text1"/>
        </w:rPr>
        <w:t xml:space="preserve"> il ressort une tendance accélérée de la régression des pluies sur l’ensemble du territoire national. La conséquence est la création de conditions de fortes pressions sur des ressources déjà limitées avec de graves conséquences sur les conditions socioéconomiques.</w:t>
      </w:r>
    </w:p>
    <w:p w14:paraId="0A503176" w14:textId="77777777" w:rsidR="00412F22" w:rsidRPr="0016301A" w:rsidRDefault="00412F22" w:rsidP="00412F22">
      <w:pPr>
        <w:pStyle w:val="TableParagraph"/>
        <w:tabs>
          <w:tab w:val="left" w:pos="9356"/>
          <w:tab w:val="left" w:pos="9498"/>
          <w:tab w:val="left" w:pos="9781"/>
        </w:tabs>
        <w:spacing w:before="2" w:line="247" w:lineRule="auto"/>
        <w:ind w:right="1279"/>
        <w:jc w:val="both"/>
        <w:rPr>
          <w:rFonts w:asciiTheme="minorHAnsi" w:hAnsiTheme="minorHAnsi" w:cstheme="minorHAnsi"/>
          <w:b/>
          <w:color w:val="000000" w:themeColor="text1"/>
          <w:spacing w:val="-6"/>
        </w:rPr>
      </w:pPr>
    </w:p>
    <w:p w14:paraId="41862707" w14:textId="77777777" w:rsidR="00412F22" w:rsidRPr="00A00FE9" w:rsidRDefault="00412F22" w:rsidP="00412F22">
      <w:pPr>
        <w:pStyle w:val="TableParagraph"/>
        <w:tabs>
          <w:tab w:val="left" w:pos="9356"/>
          <w:tab w:val="left" w:pos="9498"/>
          <w:tab w:val="left" w:pos="9781"/>
        </w:tabs>
        <w:spacing w:before="2" w:line="247" w:lineRule="auto"/>
        <w:ind w:right="1279"/>
        <w:jc w:val="both"/>
        <w:rPr>
          <w:rFonts w:asciiTheme="minorHAnsi" w:hAnsiTheme="minorHAnsi" w:cstheme="minorHAnsi"/>
          <w:b/>
          <w:color w:val="000000" w:themeColor="text1"/>
          <w:spacing w:val="-6"/>
        </w:rPr>
      </w:pPr>
      <w:r w:rsidRPr="00A00FE9">
        <w:rPr>
          <w:rFonts w:asciiTheme="minorHAnsi" w:hAnsiTheme="minorHAnsi" w:cstheme="minorHAnsi"/>
          <w:b/>
          <w:color w:val="000000" w:themeColor="text1"/>
          <w:spacing w:val="-6"/>
        </w:rPr>
        <w:t>A l’horizon 2050</w:t>
      </w:r>
    </w:p>
    <w:p w14:paraId="529402FF" w14:textId="77777777" w:rsidR="00412F22" w:rsidRPr="0016301A" w:rsidRDefault="00412F22" w:rsidP="00412F22">
      <w:pPr>
        <w:tabs>
          <w:tab w:val="left" w:pos="9356"/>
          <w:tab w:val="left" w:pos="9498"/>
          <w:tab w:val="left" w:pos="9781"/>
        </w:tabs>
        <w:spacing w:before="120" w:line="276" w:lineRule="auto"/>
        <w:ind w:right="1279"/>
        <w:jc w:val="both"/>
        <w:rPr>
          <w:rFonts w:eastAsia="Trebuchet MS" w:cstheme="minorHAnsi"/>
          <w:color w:val="000000" w:themeColor="text1"/>
        </w:rPr>
      </w:pPr>
      <w:r w:rsidRPr="0016301A">
        <w:rPr>
          <w:rFonts w:eastAsia="Trebuchet MS" w:cstheme="minorHAnsi"/>
          <w:color w:val="000000" w:themeColor="text1"/>
        </w:rPr>
        <w:t xml:space="preserve">Avec le modèle ECHAM4, </w:t>
      </w:r>
      <w:r>
        <w:rPr>
          <w:rFonts w:eastAsia="Trebuchet MS" w:cstheme="minorHAnsi"/>
          <w:color w:val="000000" w:themeColor="text1"/>
        </w:rPr>
        <w:t xml:space="preserve">à l’horizon 2050, </w:t>
      </w:r>
      <w:r w:rsidRPr="0016301A">
        <w:rPr>
          <w:rFonts w:eastAsia="Trebuchet MS" w:cstheme="minorHAnsi"/>
          <w:color w:val="000000" w:themeColor="text1"/>
        </w:rPr>
        <w:t>il est prévu, une régression des pluies, inférieure à 20% pour le scénario B2 (scénario optimiste) et une régression légèrement plus importante pour le scénario A2 (scénario pessimiste). Le maximum de baisse aura lieu dans le centre du pays (- 30 mm dans l’Adrar et le Tagant). Il est cependant prévu à cet horizon, une légère augmentation du niveau des pluies à l’extrême Nord-Est du pays (de Ech Chaguat à Lemgheity), bien que cette zone, restera toujours hyperaride, avec moins de 20 mm de pluies par an.</w:t>
      </w:r>
    </w:p>
    <w:p w14:paraId="1343C71B" w14:textId="77777777" w:rsidR="00412F22" w:rsidRPr="0016301A" w:rsidRDefault="00412F22" w:rsidP="00412F22">
      <w:pPr>
        <w:tabs>
          <w:tab w:val="left" w:pos="9356"/>
          <w:tab w:val="left" w:pos="9498"/>
          <w:tab w:val="left" w:pos="9781"/>
        </w:tabs>
        <w:spacing w:before="120" w:line="276" w:lineRule="auto"/>
        <w:ind w:right="1279"/>
        <w:jc w:val="both"/>
        <w:rPr>
          <w:rFonts w:eastAsia="Trebuchet MS" w:cstheme="minorHAnsi"/>
          <w:color w:val="000000" w:themeColor="text1"/>
        </w:rPr>
      </w:pPr>
    </w:p>
    <w:p w14:paraId="2A3A21D0" w14:textId="77777777" w:rsidR="00412F22" w:rsidRPr="0016301A" w:rsidRDefault="00412F22" w:rsidP="00412F22">
      <w:pPr>
        <w:tabs>
          <w:tab w:val="left" w:pos="9356"/>
          <w:tab w:val="left" w:pos="9498"/>
          <w:tab w:val="left" w:pos="9781"/>
        </w:tabs>
        <w:spacing w:line="276" w:lineRule="auto"/>
        <w:ind w:right="1279"/>
        <w:jc w:val="both"/>
        <w:rPr>
          <w:rFonts w:eastAsia="Trebuchet MS" w:cstheme="minorHAnsi"/>
          <w:color w:val="000000" w:themeColor="text1"/>
        </w:rPr>
      </w:pPr>
      <w:r w:rsidRPr="0016301A">
        <w:rPr>
          <w:rFonts w:eastAsia="Trebuchet MS" w:cstheme="minorHAnsi"/>
          <w:color w:val="000000" w:themeColor="text1"/>
        </w:rPr>
        <w:t>Avec le modèle HADCM3, indépendamment du scénario, la réduction maximum est de 17%, soit une baisse de 13 mm Cette baisse maximum se passe en Adrar. Les</w:t>
      </w:r>
      <w:r>
        <w:rPr>
          <w:rFonts w:eastAsia="Trebuchet MS" w:cstheme="minorHAnsi"/>
          <w:color w:val="000000" w:themeColor="text1"/>
        </w:rPr>
        <w:t xml:space="preserve"> </w:t>
      </w:r>
      <w:r w:rsidRPr="0016301A">
        <w:rPr>
          <w:rFonts w:eastAsia="Trebuchet MS" w:cstheme="minorHAnsi"/>
          <w:color w:val="000000" w:themeColor="text1"/>
        </w:rPr>
        <w:t>diminution</w:t>
      </w:r>
      <w:r>
        <w:rPr>
          <w:rFonts w:eastAsia="Trebuchet MS" w:cstheme="minorHAnsi"/>
          <w:color w:val="000000" w:themeColor="text1"/>
        </w:rPr>
        <w:t>s</w:t>
      </w:r>
      <w:r w:rsidRPr="0016301A">
        <w:rPr>
          <w:rFonts w:eastAsia="Trebuchet MS" w:cstheme="minorHAnsi"/>
          <w:color w:val="000000" w:themeColor="text1"/>
        </w:rPr>
        <w:t xml:space="preserve"> les plus petites sont de l’ordre de 5%</w:t>
      </w:r>
      <w:r>
        <w:rPr>
          <w:rFonts w:eastAsia="Trebuchet MS" w:cstheme="minorHAnsi"/>
          <w:color w:val="000000" w:themeColor="text1"/>
        </w:rPr>
        <w:t xml:space="preserve">, </w:t>
      </w:r>
      <w:r w:rsidRPr="0016301A">
        <w:rPr>
          <w:rFonts w:eastAsia="Trebuchet MS" w:cstheme="minorHAnsi"/>
          <w:color w:val="000000" w:themeColor="text1"/>
        </w:rPr>
        <w:t xml:space="preserve">soit une baisse de 20 mm au niveau des 2 Hodhs, du Sud du Guidimakha, et </w:t>
      </w:r>
      <w:r>
        <w:rPr>
          <w:rFonts w:eastAsia="Trebuchet MS" w:cstheme="minorHAnsi"/>
          <w:color w:val="000000" w:themeColor="text1"/>
        </w:rPr>
        <w:t xml:space="preserve">de </w:t>
      </w:r>
      <w:r w:rsidRPr="0016301A">
        <w:rPr>
          <w:rFonts w:eastAsia="Trebuchet MS" w:cstheme="minorHAnsi"/>
          <w:color w:val="000000" w:themeColor="text1"/>
        </w:rPr>
        <w:t>l’extrême Sud de l’Assaba et du Gorgol. D’une marinière générale pour</w:t>
      </w:r>
      <w:r>
        <w:rPr>
          <w:rFonts w:eastAsia="Trebuchet MS" w:cstheme="minorHAnsi"/>
          <w:color w:val="000000" w:themeColor="text1"/>
        </w:rPr>
        <w:t xml:space="preserve"> l’ensemble du </w:t>
      </w:r>
      <w:r w:rsidRPr="0016301A">
        <w:rPr>
          <w:rFonts w:eastAsia="Trebuchet MS" w:cstheme="minorHAnsi"/>
          <w:color w:val="000000" w:themeColor="text1"/>
        </w:rPr>
        <w:t>pays</w:t>
      </w:r>
      <w:r>
        <w:rPr>
          <w:rFonts w:eastAsia="Trebuchet MS" w:cstheme="minorHAnsi"/>
          <w:color w:val="000000" w:themeColor="text1"/>
        </w:rPr>
        <w:t>,</w:t>
      </w:r>
      <w:r w:rsidRPr="0016301A">
        <w:rPr>
          <w:rFonts w:eastAsia="Trebuchet MS" w:cstheme="minorHAnsi"/>
          <w:color w:val="000000" w:themeColor="text1"/>
        </w:rPr>
        <w:t xml:space="preserve"> les baisses s</w:t>
      </w:r>
      <w:r>
        <w:rPr>
          <w:rFonts w:eastAsia="Trebuchet MS" w:cstheme="minorHAnsi"/>
          <w:color w:val="000000" w:themeColor="text1"/>
        </w:rPr>
        <w:t>er</w:t>
      </w:r>
      <w:r w:rsidRPr="0016301A">
        <w:rPr>
          <w:rFonts w:eastAsia="Trebuchet MS" w:cstheme="minorHAnsi"/>
          <w:color w:val="000000" w:themeColor="text1"/>
        </w:rPr>
        <w:t>ont entre 5% et 15% en moyenne. Il y’aura plus de sécheresses que celles de la fin du 20ème siècle, durant les années 70, 80.</w:t>
      </w:r>
    </w:p>
    <w:p w14:paraId="132FFB96" w14:textId="77777777" w:rsidR="00412F22" w:rsidRPr="0016301A" w:rsidRDefault="00412F22" w:rsidP="00412F22">
      <w:pPr>
        <w:pStyle w:val="TableParagraph"/>
        <w:tabs>
          <w:tab w:val="left" w:pos="9356"/>
          <w:tab w:val="left" w:pos="9498"/>
          <w:tab w:val="left" w:pos="9781"/>
        </w:tabs>
        <w:spacing w:before="2" w:line="247" w:lineRule="auto"/>
        <w:ind w:right="1279"/>
        <w:jc w:val="both"/>
        <w:rPr>
          <w:rFonts w:asciiTheme="minorHAnsi" w:hAnsiTheme="minorHAnsi" w:cstheme="minorHAnsi"/>
          <w:b/>
          <w:color w:val="000000" w:themeColor="text1"/>
          <w:spacing w:val="-6"/>
        </w:rPr>
      </w:pPr>
    </w:p>
    <w:p w14:paraId="32D366DC" w14:textId="77777777" w:rsidR="00412F22" w:rsidRPr="00A00FE9" w:rsidRDefault="00412F22" w:rsidP="00412F22">
      <w:pPr>
        <w:pStyle w:val="TableParagraph"/>
        <w:tabs>
          <w:tab w:val="left" w:pos="9356"/>
          <w:tab w:val="left" w:pos="9498"/>
          <w:tab w:val="left" w:pos="9781"/>
        </w:tabs>
        <w:spacing w:before="2" w:line="247" w:lineRule="auto"/>
        <w:ind w:right="1279"/>
        <w:jc w:val="both"/>
        <w:rPr>
          <w:rFonts w:asciiTheme="minorHAnsi" w:hAnsiTheme="minorHAnsi" w:cstheme="minorHAnsi"/>
          <w:b/>
          <w:color w:val="000000" w:themeColor="text1"/>
          <w:spacing w:val="-6"/>
        </w:rPr>
      </w:pPr>
      <w:r w:rsidRPr="00A00FE9">
        <w:rPr>
          <w:rFonts w:asciiTheme="minorHAnsi" w:hAnsiTheme="minorHAnsi" w:cstheme="minorHAnsi"/>
          <w:b/>
          <w:color w:val="000000" w:themeColor="text1"/>
          <w:spacing w:val="-6"/>
        </w:rPr>
        <w:t>A l’horizon 2100</w:t>
      </w:r>
    </w:p>
    <w:p w14:paraId="731DD6B1" w14:textId="77777777" w:rsidR="00412F22" w:rsidRPr="0016301A" w:rsidRDefault="00412F22" w:rsidP="00412F22">
      <w:pPr>
        <w:tabs>
          <w:tab w:val="left" w:pos="9356"/>
          <w:tab w:val="left" w:pos="9498"/>
          <w:tab w:val="left" w:pos="9781"/>
        </w:tabs>
        <w:spacing w:before="120" w:line="276" w:lineRule="auto"/>
        <w:ind w:right="1279"/>
        <w:rPr>
          <w:rFonts w:eastAsia="Trebuchet MS" w:cstheme="minorHAnsi"/>
          <w:color w:val="000000" w:themeColor="text1"/>
        </w:rPr>
      </w:pPr>
      <w:r w:rsidRPr="0016301A">
        <w:rPr>
          <w:rFonts w:eastAsia="Trebuchet MS" w:cstheme="minorHAnsi"/>
          <w:color w:val="000000" w:themeColor="text1"/>
        </w:rPr>
        <w:t xml:space="preserve">A l’horizon 2100, pour le modèle </w:t>
      </w:r>
      <w:r w:rsidRPr="00D533A0">
        <w:rPr>
          <w:rFonts w:eastAsia="Trebuchet MS" w:cstheme="minorHAnsi"/>
          <w:b/>
          <w:bCs/>
          <w:color w:val="000000" w:themeColor="text1"/>
        </w:rPr>
        <w:t>ECHAM4</w:t>
      </w:r>
      <w:r w:rsidRPr="0016301A">
        <w:rPr>
          <w:rFonts w:eastAsia="Trebuchet MS" w:cstheme="minorHAnsi"/>
          <w:color w:val="000000" w:themeColor="text1"/>
        </w:rPr>
        <w:t>, la régression des pluies sera de l’ordre de 30% à 50%. Même dans les zones les moins touchées du pays (Sud du Hodh Ech-charghi), et Sud-Ouest (l’</w:t>
      </w:r>
      <w:r>
        <w:rPr>
          <w:rFonts w:eastAsia="Trebuchet MS" w:cstheme="minorHAnsi"/>
          <w:color w:val="000000" w:themeColor="text1"/>
        </w:rPr>
        <w:t>O</w:t>
      </w:r>
      <w:r w:rsidRPr="0016301A">
        <w:rPr>
          <w:rFonts w:eastAsia="Trebuchet MS" w:cstheme="minorHAnsi"/>
          <w:color w:val="000000" w:themeColor="text1"/>
        </w:rPr>
        <w:t>uest du Trarza y compris la région de Nouakchott)</w:t>
      </w:r>
      <w:r>
        <w:rPr>
          <w:rFonts w:eastAsia="Trebuchet MS" w:cstheme="minorHAnsi"/>
          <w:color w:val="000000" w:themeColor="text1"/>
        </w:rPr>
        <w:t>,</w:t>
      </w:r>
      <w:r w:rsidRPr="0016301A">
        <w:rPr>
          <w:rFonts w:eastAsia="Trebuchet MS" w:cstheme="minorHAnsi"/>
          <w:color w:val="000000" w:themeColor="text1"/>
        </w:rPr>
        <w:t xml:space="preserve"> la baisse de pluviométrie sera au moi</w:t>
      </w:r>
      <w:r>
        <w:rPr>
          <w:rFonts w:eastAsia="Trebuchet MS" w:cstheme="minorHAnsi"/>
          <w:color w:val="000000" w:themeColor="text1"/>
        </w:rPr>
        <w:t>n</w:t>
      </w:r>
      <w:r w:rsidRPr="0016301A">
        <w:rPr>
          <w:rFonts w:eastAsia="Trebuchet MS" w:cstheme="minorHAnsi"/>
          <w:color w:val="000000" w:themeColor="text1"/>
        </w:rPr>
        <w:t>s de 100 mm par an. Le nombre de sècheresse sera au moins quadruplé.</w:t>
      </w:r>
    </w:p>
    <w:p w14:paraId="5AC23D29" w14:textId="77777777" w:rsidR="00412F22" w:rsidRPr="0016301A" w:rsidRDefault="00412F22" w:rsidP="00412F22">
      <w:pPr>
        <w:tabs>
          <w:tab w:val="left" w:pos="9356"/>
          <w:tab w:val="left" w:pos="9498"/>
          <w:tab w:val="left" w:pos="9781"/>
        </w:tabs>
        <w:spacing w:before="120" w:line="276" w:lineRule="auto"/>
        <w:ind w:right="1279"/>
        <w:jc w:val="both"/>
        <w:rPr>
          <w:rFonts w:eastAsia="Trebuchet MS" w:cstheme="minorHAnsi"/>
          <w:color w:val="000000" w:themeColor="text1"/>
        </w:rPr>
      </w:pPr>
      <w:r w:rsidRPr="0016301A">
        <w:rPr>
          <w:rFonts w:eastAsia="Trebuchet MS" w:cstheme="minorHAnsi"/>
          <w:color w:val="000000" w:themeColor="text1"/>
        </w:rPr>
        <w:t xml:space="preserve">Pour le modèle </w:t>
      </w:r>
      <w:r w:rsidRPr="00D533A0">
        <w:rPr>
          <w:rFonts w:eastAsia="Trebuchet MS" w:cstheme="minorHAnsi"/>
          <w:b/>
          <w:bCs/>
          <w:color w:val="000000" w:themeColor="text1"/>
        </w:rPr>
        <w:t>HADCM3</w:t>
      </w:r>
      <w:r w:rsidRPr="0016301A">
        <w:rPr>
          <w:rFonts w:eastAsia="Trebuchet MS" w:cstheme="minorHAnsi"/>
          <w:color w:val="000000" w:themeColor="text1"/>
        </w:rPr>
        <w:t xml:space="preserve">, bien que les sorties soient plus optimistes (baisse allant de 5% à 23%), elles se traduiront par une détérioration nette de la situation à l’horizon 2100, l’Adrar </w:t>
      </w:r>
      <w:r>
        <w:rPr>
          <w:rFonts w:eastAsia="Trebuchet MS" w:cstheme="minorHAnsi"/>
          <w:color w:val="000000" w:themeColor="text1"/>
        </w:rPr>
        <w:t>re</w:t>
      </w:r>
      <w:r w:rsidRPr="0016301A">
        <w:rPr>
          <w:rFonts w:eastAsia="Trebuchet MS" w:cstheme="minorHAnsi"/>
          <w:color w:val="000000" w:themeColor="text1"/>
        </w:rPr>
        <w:t>joindra l’Inchiri comme zone hyperaride et dans toute la ceinture sahélienne du pays, on assistera à un doublement de la fréquence des sécheresses, sans compter les phénomènes extrêmes.</w:t>
      </w:r>
    </w:p>
    <w:p w14:paraId="68B12748" w14:textId="77777777" w:rsidR="00412F22" w:rsidRPr="0016301A" w:rsidRDefault="00412F22" w:rsidP="00412F22">
      <w:pPr>
        <w:pStyle w:val="TableParagraph"/>
        <w:tabs>
          <w:tab w:val="left" w:pos="9356"/>
          <w:tab w:val="left" w:pos="9498"/>
          <w:tab w:val="left" w:pos="9781"/>
        </w:tabs>
        <w:spacing w:before="2" w:line="247" w:lineRule="auto"/>
        <w:ind w:right="1279"/>
        <w:jc w:val="both"/>
        <w:rPr>
          <w:rFonts w:asciiTheme="minorHAnsi" w:hAnsiTheme="minorHAnsi" w:cstheme="minorHAnsi"/>
          <w:b/>
          <w:color w:val="000000" w:themeColor="text1"/>
          <w:spacing w:val="-6"/>
        </w:rPr>
      </w:pPr>
    </w:p>
    <w:p w14:paraId="6F3CE9BE" w14:textId="77777777" w:rsidR="00412F22" w:rsidRPr="00B6771D" w:rsidRDefault="00412F22" w:rsidP="00412F22">
      <w:pPr>
        <w:pStyle w:val="Titre3"/>
        <w:tabs>
          <w:tab w:val="left" w:pos="9356"/>
          <w:tab w:val="left" w:pos="9498"/>
          <w:tab w:val="left" w:pos="9781"/>
        </w:tabs>
        <w:ind w:right="1279"/>
        <w:jc w:val="center"/>
        <w:rPr>
          <w:rFonts w:ascii="Arial Black" w:hAnsi="Arial Black"/>
          <w:b/>
          <w:bCs/>
          <w:color w:val="FF3399"/>
        </w:rPr>
      </w:pPr>
      <w:bookmarkStart w:id="711" w:name="_Toc192462513"/>
      <w:r w:rsidRPr="00B6771D">
        <w:rPr>
          <w:rFonts w:ascii="Arial Black" w:hAnsi="Arial Black"/>
          <w:b/>
          <w:bCs/>
          <w:color w:val="FF3399"/>
        </w:rPr>
        <w:t>II.2.3 Inondations</w:t>
      </w:r>
      <w:bookmarkEnd w:id="711"/>
    </w:p>
    <w:p w14:paraId="0EE01024" w14:textId="77777777" w:rsidR="00412F22" w:rsidRPr="0016301A" w:rsidRDefault="00412F22" w:rsidP="00412F22">
      <w:pPr>
        <w:pStyle w:val="TableParagraph"/>
        <w:tabs>
          <w:tab w:val="left" w:pos="9356"/>
          <w:tab w:val="left" w:pos="9498"/>
          <w:tab w:val="left" w:pos="9781"/>
        </w:tabs>
        <w:spacing w:before="2" w:line="247" w:lineRule="auto"/>
        <w:ind w:right="1279"/>
        <w:jc w:val="both"/>
        <w:rPr>
          <w:rFonts w:asciiTheme="minorHAnsi" w:hAnsiTheme="minorHAnsi" w:cstheme="minorHAnsi"/>
          <w:b/>
          <w:color w:val="000000" w:themeColor="text1"/>
          <w:spacing w:val="-6"/>
          <w:sz w:val="28"/>
          <w:szCs w:val="28"/>
        </w:rPr>
      </w:pPr>
    </w:p>
    <w:p w14:paraId="44D80121" w14:textId="77777777" w:rsidR="00412F22" w:rsidRPr="0016301A" w:rsidRDefault="00412F22" w:rsidP="00412F22">
      <w:pPr>
        <w:tabs>
          <w:tab w:val="left" w:pos="1050"/>
          <w:tab w:val="left" w:pos="9356"/>
          <w:tab w:val="left" w:pos="9498"/>
          <w:tab w:val="left" w:pos="9781"/>
        </w:tabs>
        <w:spacing w:line="276" w:lineRule="auto"/>
        <w:ind w:right="1279"/>
        <w:jc w:val="both"/>
        <w:rPr>
          <w:rFonts w:eastAsia="Trebuchet MS" w:cstheme="minorHAnsi"/>
          <w:color w:val="000000" w:themeColor="text1"/>
        </w:rPr>
      </w:pPr>
      <w:r w:rsidRPr="0016301A">
        <w:rPr>
          <w:rFonts w:eastAsia="Trebuchet MS" w:cstheme="minorHAnsi"/>
          <w:color w:val="000000" w:themeColor="text1"/>
        </w:rPr>
        <w:t xml:space="preserve">Les inondations sont examinées à travers deux indices, l’intensité simple des pluies et l’intensité de pluies diluviennes. </w:t>
      </w:r>
    </w:p>
    <w:p w14:paraId="2DB036D7" w14:textId="77777777" w:rsidR="00412F22" w:rsidRPr="0016301A" w:rsidRDefault="00412F22" w:rsidP="00412F22">
      <w:pPr>
        <w:tabs>
          <w:tab w:val="left" w:pos="1050"/>
          <w:tab w:val="left" w:pos="9356"/>
          <w:tab w:val="left" w:pos="9498"/>
          <w:tab w:val="left" w:pos="9781"/>
        </w:tabs>
        <w:spacing w:line="276" w:lineRule="auto"/>
        <w:ind w:right="1279"/>
        <w:jc w:val="both"/>
        <w:rPr>
          <w:rFonts w:eastAsia="Trebuchet MS" w:cstheme="minorHAnsi"/>
          <w:color w:val="000000" w:themeColor="text1"/>
        </w:rPr>
      </w:pPr>
    </w:p>
    <w:p w14:paraId="5C34A681" w14:textId="77777777" w:rsidR="00412F22" w:rsidRPr="0016301A" w:rsidRDefault="00412F22" w:rsidP="00412F22">
      <w:pPr>
        <w:tabs>
          <w:tab w:val="left" w:pos="1050"/>
          <w:tab w:val="left" w:pos="9356"/>
          <w:tab w:val="left" w:pos="9498"/>
          <w:tab w:val="left" w:pos="9781"/>
        </w:tabs>
        <w:spacing w:line="276" w:lineRule="auto"/>
        <w:ind w:right="1279"/>
        <w:jc w:val="both"/>
        <w:rPr>
          <w:rFonts w:eastAsia="Trebuchet MS" w:cstheme="minorHAnsi"/>
          <w:color w:val="000000" w:themeColor="text1"/>
        </w:rPr>
      </w:pPr>
      <w:r w:rsidRPr="0016301A">
        <w:rPr>
          <w:rFonts w:eastAsia="Trebuchet MS" w:cstheme="minorHAnsi"/>
          <w:color w:val="000000" w:themeColor="text1"/>
        </w:rPr>
        <w:t>Par rap</w:t>
      </w:r>
      <w:r>
        <w:rPr>
          <w:rFonts w:eastAsia="Trebuchet MS" w:cstheme="minorHAnsi"/>
          <w:color w:val="000000" w:themeColor="text1"/>
        </w:rPr>
        <w:t>p</w:t>
      </w:r>
      <w:r w:rsidRPr="0016301A">
        <w:rPr>
          <w:rFonts w:eastAsia="Trebuchet MS" w:cstheme="minorHAnsi"/>
          <w:color w:val="000000" w:themeColor="text1"/>
        </w:rPr>
        <w:t>ort à l’intensité simple des pluies (cumul pluviométrique annuel divisé par le nombre de jours de pluie dans l’année), il est observé, aujourd’hui, un accroissement relativement él</w:t>
      </w:r>
      <w:r>
        <w:rPr>
          <w:rFonts w:eastAsia="Trebuchet MS" w:cstheme="minorHAnsi"/>
          <w:color w:val="000000" w:themeColor="text1"/>
        </w:rPr>
        <w:t>e</w:t>
      </w:r>
      <w:r w:rsidRPr="0016301A">
        <w:rPr>
          <w:rFonts w:eastAsia="Trebuchet MS" w:cstheme="minorHAnsi"/>
          <w:color w:val="000000" w:themeColor="text1"/>
        </w:rPr>
        <w:t>vé au Nord et au Nord-Ouest du pays, faible au centre et moyen à fort au Sud.</w:t>
      </w:r>
    </w:p>
    <w:p w14:paraId="6AE478E1" w14:textId="77777777" w:rsidR="00412F22" w:rsidRPr="0016301A" w:rsidRDefault="00412F22" w:rsidP="00412F22">
      <w:pPr>
        <w:pStyle w:val="TableParagraph"/>
        <w:tabs>
          <w:tab w:val="left" w:pos="9356"/>
          <w:tab w:val="left" w:pos="9498"/>
          <w:tab w:val="left" w:pos="9781"/>
        </w:tabs>
        <w:spacing w:before="2" w:line="276" w:lineRule="auto"/>
        <w:ind w:right="1279"/>
        <w:jc w:val="both"/>
        <w:rPr>
          <w:rFonts w:asciiTheme="minorHAnsi" w:hAnsiTheme="minorHAnsi" w:cstheme="minorHAnsi"/>
          <w:color w:val="000000" w:themeColor="text1"/>
        </w:rPr>
      </w:pPr>
    </w:p>
    <w:p w14:paraId="59FE3DA8" w14:textId="77777777" w:rsidR="00412F22" w:rsidRPr="0016301A" w:rsidRDefault="00412F22" w:rsidP="00412F22">
      <w:pPr>
        <w:pStyle w:val="TableParagraph"/>
        <w:tabs>
          <w:tab w:val="left" w:pos="9356"/>
          <w:tab w:val="left" w:pos="9498"/>
          <w:tab w:val="left" w:pos="9781"/>
        </w:tabs>
        <w:spacing w:before="2" w:line="276" w:lineRule="auto"/>
        <w:ind w:right="1279"/>
        <w:jc w:val="both"/>
        <w:rPr>
          <w:rFonts w:asciiTheme="minorHAnsi" w:hAnsiTheme="minorHAnsi" w:cstheme="minorHAnsi"/>
          <w:color w:val="000000" w:themeColor="text1"/>
        </w:rPr>
      </w:pPr>
      <w:r w:rsidRPr="0016301A">
        <w:rPr>
          <w:rFonts w:asciiTheme="minorHAnsi" w:hAnsiTheme="minorHAnsi" w:cstheme="minorHAnsi"/>
          <w:color w:val="000000" w:themeColor="text1"/>
        </w:rPr>
        <w:t xml:space="preserve">Par rapport à l’intensité des pluies diluviennes, la situation actuelle montre une tendance : (i) à une faible augmentation dans le Sud-Ouest, le Nord-Ouest et </w:t>
      </w:r>
      <w:proofErr w:type="spellStart"/>
      <w:r w:rsidRPr="0016301A">
        <w:rPr>
          <w:rFonts w:asciiTheme="minorHAnsi" w:hAnsiTheme="minorHAnsi" w:cstheme="minorHAnsi"/>
          <w:color w:val="000000" w:themeColor="text1"/>
        </w:rPr>
        <w:t>et</w:t>
      </w:r>
      <w:proofErr w:type="spellEnd"/>
      <w:r w:rsidRPr="0016301A">
        <w:rPr>
          <w:rFonts w:asciiTheme="minorHAnsi" w:hAnsiTheme="minorHAnsi" w:cstheme="minorHAnsi"/>
          <w:color w:val="000000" w:themeColor="text1"/>
        </w:rPr>
        <w:t xml:space="preserve"> le Nord, (ii) nulle</w:t>
      </w:r>
      <w:r>
        <w:rPr>
          <w:rFonts w:asciiTheme="minorHAnsi" w:hAnsiTheme="minorHAnsi" w:cstheme="minorHAnsi"/>
          <w:color w:val="000000" w:themeColor="text1"/>
        </w:rPr>
        <w:t>,</w:t>
      </w:r>
      <w:r w:rsidRPr="0016301A">
        <w:rPr>
          <w:rFonts w:asciiTheme="minorHAnsi" w:hAnsiTheme="minorHAnsi" w:cstheme="minorHAnsi"/>
          <w:color w:val="000000" w:themeColor="text1"/>
        </w:rPr>
        <w:t xml:space="preserve"> au Sud-Est (Néma et Aioun) et (iii) </w:t>
      </w:r>
      <w:r>
        <w:rPr>
          <w:rFonts w:asciiTheme="minorHAnsi" w:hAnsiTheme="minorHAnsi" w:cstheme="minorHAnsi"/>
          <w:color w:val="000000" w:themeColor="text1"/>
        </w:rPr>
        <w:t xml:space="preserve">à </w:t>
      </w:r>
      <w:r w:rsidRPr="0016301A">
        <w:rPr>
          <w:rFonts w:asciiTheme="minorHAnsi" w:hAnsiTheme="minorHAnsi" w:cstheme="minorHAnsi"/>
          <w:color w:val="000000" w:themeColor="text1"/>
        </w:rPr>
        <w:t xml:space="preserve">une faible diminution des fortes pluies à Tidjikja </w:t>
      </w:r>
    </w:p>
    <w:p w14:paraId="099041DB" w14:textId="77777777" w:rsidR="00412F22" w:rsidRPr="0016301A" w:rsidRDefault="00412F22" w:rsidP="00412F22">
      <w:pPr>
        <w:pStyle w:val="TableParagraph"/>
        <w:tabs>
          <w:tab w:val="left" w:pos="9356"/>
          <w:tab w:val="left" w:pos="9498"/>
          <w:tab w:val="left" w:pos="9781"/>
        </w:tabs>
        <w:spacing w:before="2" w:line="247" w:lineRule="auto"/>
        <w:ind w:right="1279"/>
        <w:jc w:val="both"/>
        <w:rPr>
          <w:i/>
          <w:iCs/>
          <w:color w:val="000000" w:themeColor="text1"/>
        </w:rPr>
      </w:pPr>
    </w:p>
    <w:p w14:paraId="7E3B30A4" w14:textId="77777777" w:rsidR="00412F22" w:rsidRPr="0016301A" w:rsidRDefault="00412F22" w:rsidP="00412F22">
      <w:pPr>
        <w:tabs>
          <w:tab w:val="left" w:pos="1050"/>
          <w:tab w:val="left" w:pos="9356"/>
          <w:tab w:val="left" w:pos="9498"/>
          <w:tab w:val="left" w:pos="9781"/>
        </w:tabs>
        <w:spacing w:line="276" w:lineRule="auto"/>
        <w:ind w:right="1279"/>
        <w:jc w:val="both"/>
        <w:rPr>
          <w:rFonts w:eastAsia="Trebuchet MS" w:cstheme="minorHAnsi"/>
          <w:color w:val="000000" w:themeColor="text1"/>
        </w:rPr>
      </w:pPr>
      <w:r w:rsidRPr="0016301A">
        <w:rPr>
          <w:rFonts w:eastAsia="Trebuchet MS" w:cstheme="minorHAnsi"/>
          <w:color w:val="000000" w:themeColor="text1"/>
        </w:rPr>
        <w:t>On assiste donc à une tendance général</w:t>
      </w:r>
      <w:r>
        <w:rPr>
          <w:rFonts w:eastAsia="Trebuchet MS" w:cstheme="minorHAnsi"/>
          <w:color w:val="000000" w:themeColor="text1"/>
        </w:rPr>
        <w:t>e</w:t>
      </w:r>
      <w:r w:rsidRPr="0016301A">
        <w:rPr>
          <w:rFonts w:eastAsia="Trebuchet MS" w:cstheme="minorHAnsi"/>
          <w:color w:val="000000" w:themeColor="text1"/>
        </w:rPr>
        <w:t xml:space="preserve"> du cumul annuel des pluies. Cependant</w:t>
      </w:r>
      <w:r>
        <w:rPr>
          <w:rFonts w:eastAsia="Trebuchet MS" w:cstheme="minorHAnsi"/>
          <w:color w:val="000000" w:themeColor="text1"/>
        </w:rPr>
        <w:t>,</w:t>
      </w:r>
      <w:r w:rsidRPr="0016301A">
        <w:rPr>
          <w:rFonts w:eastAsia="Trebuchet MS" w:cstheme="minorHAnsi"/>
          <w:color w:val="000000" w:themeColor="text1"/>
        </w:rPr>
        <w:t xml:space="preserve"> cela ne signifie nullement qu’il faut exclure le stress lié aux inondations, </w:t>
      </w:r>
      <w:r w:rsidRPr="0016301A">
        <w:rPr>
          <w:rFonts w:eastAsia="Trebuchet MS" w:cstheme="minorHAnsi"/>
          <w:b/>
          <w:bCs/>
          <w:color w:val="000000" w:themeColor="text1"/>
        </w:rPr>
        <w:t>aux horizons 2050 et 2100.</w:t>
      </w:r>
    </w:p>
    <w:p w14:paraId="3FC60BB9" w14:textId="77777777" w:rsidR="00412F22" w:rsidRPr="0016301A" w:rsidRDefault="00412F22" w:rsidP="00412F22">
      <w:pPr>
        <w:tabs>
          <w:tab w:val="left" w:pos="1050"/>
          <w:tab w:val="left" w:pos="9356"/>
          <w:tab w:val="left" w:pos="9498"/>
          <w:tab w:val="left" w:pos="9781"/>
        </w:tabs>
        <w:ind w:right="1279"/>
        <w:jc w:val="both"/>
        <w:rPr>
          <w:rFonts w:eastAsia="Trebuchet MS" w:cstheme="minorHAnsi"/>
          <w:color w:val="000000" w:themeColor="text1"/>
        </w:rPr>
      </w:pPr>
    </w:p>
    <w:p w14:paraId="2BBC93B2" w14:textId="77777777" w:rsidR="00412F22" w:rsidRPr="003A26BA" w:rsidRDefault="00412F22" w:rsidP="00412F22">
      <w:pPr>
        <w:pStyle w:val="Titre2"/>
        <w:tabs>
          <w:tab w:val="left" w:pos="9356"/>
          <w:tab w:val="left" w:pos="9498"/>
          <w:tab w:val="left" w:pos="9781"/>
        </w:tabs>
        <w:ind w:right="1279"/>
        <w:rPr>
          <w:b/>
          <w:bCs/>
          <w:color w:val="000000" w:themeColor="text1"/>
        </w:rPr>
      </w:pPr>
      <w:bookmarkStart w:id="712" w:name="_Toc192462514"/>
      <w:r w:rsidRPr="00763A0C">
        <w:rPr>
          <w:b/>
          <w:bCs/>
          <w:color w:val="000000" w:themeColor="text1"/>
        </w:rPr>
        <w:t>II.3 Impacts associées aux projections climatiques : Evaluation de la vulnérabilité</w:t>
      </w:r>
      <w:bookmarkEnd w:id="712"/>
    </w:p>
    <w:p w14:paraId="7C7AE52F" w14:textId="77777777" w:rsidR="00412F22" w:rsidRDefault="00412F22" w:rsidP="00412F22">
      <w:pPr>
        <w:pStyle w:val="Corpsdetexte"/>
        <w:spacing w:before="23" w:line="259" w:lineRule="auto"/>
        <w:ind w:right="728"/>
        <w:rPr>
          <w:rFonts w:asciiTheme="minorHAnsi" w:eastAsia="Trebuchet MS" w:hAnsiTheme="minorHAnsi" w:cstheme="minorHAnsi"/>
          <w:color w:val="000000" w:themeColor="text1"/>
        </w:rPr>
      </w:pPr>
    </w:p>
    <w:p w14:paraId="11B72DE5" w14:textId="77777777" w:rsidR="00412F22" w:rsidRPr="0016301A" w:rsidRDefault="00412F22" w:rsidP="00412F22">
      <w:pPr>
        <w:pStyle w:val="Corpsdetexte"/>
        <w:spacing w:before="23" w:line="259" w:lineRule="auto"/>
        <w:ind w:right="1137"/>
        <w:rPr>
          <w:color w:val="000000" w:themeColor="text1"/>
          <w:highlight w:val="yellow"/>
        </w:rPr>
      </w:pPr>
      <w:r w:rsidRPr="0016301A">
        <w:rPr>
          <w:rFonts w:asciiTheme="minorHAnsi" w:eastAsia="Trebuchet MS" w:hAnsiTheme="minorHAnsi" w:cstheme="minorHAnsi"/>
          <w:color w:val="000000" w:themeColor="text1"/>
        </w:rPr>
        <w:t xml:space="preserve">L'agriculture, l’élevage, la foresterie, l'eau, la biodiversité, les infrastructures et la santé, sont particulièrement vulnérables au changement climatique. Le besoin de mesures d’adaptation dans ces secteurs est donc </w:t>
      </w:r>
      <w:r>
        <w:rPr>
          <w:rFonts w:asciiTheme="minorHAnsi" w:eastAsia="Trebuchet MS" w:hAnsiTheme="minorHAnsi" w:cstheme="minorHAnsi"/>
          <w:color w:val="000000" w:themeColor="text1"/>
        </w:rPr>
        <w:t xml:space="preserve">particulièrement élevé </w:t>
      </w:r>
      <w:r w:rsidRPr="0016301A">
        <w:rPr>
          <w:rFonts w:asciiTheme="minorHAnsi" w:eastAsia="Trebuchet MS" w:hAnsiTheme="minorHAnsi" w:cstheme="minorHAnsi"/>
          <w:color w:val="000000" w:themeColor="text1"/>
        </w:rPr>
        <w:t>pour la Mauritanie.</w:t>
      </w:r>
      <w:r w:rsidRPr="0016301A">
        <w:rPr>
          <w:color w:val="000000" w:themeColor="text1"/>
          <w:highlight w:val="yellow"/>
        </w:rPr>
        <w:t xml:space="preserve"> </w:t>
      </w:r>
    </w:p>
    <w:p w14:paraId="3B685A5F" w14:textId="77777777" w:rsidR="00412F22" w:rsidRPr="0016301A" w:rsidRDefault="00412F22" w:rsidP="00412F22">
      <w:pPr>
        <w:pStyle w:val="Corpsdetexte"/>
        <w:spacing w:before="23" w:line="259" w:lineRule="auto"/>
        <w:ind w:right="728"/>
        <w:rPr>
          <w:color w:val="000000" w:themeColor="text1"/>
          <w:highlight w:val="yellow"/>
        </w:rPr>
      </w:pPr>
    </w:p>
    <w:p w14:paraId="2D5FC07C" w14:textId="77777777" w:rsidR="00412F22" w:rsidRPr="0016301A" w:rsidRDefault="00412F22" w:rsidP="00412F22">
      <w:pPr>
        <w:pStyle w:val="Corpsdetexte"/>
        <w:spacing w:before="23" w:line="276" w:lineRule="auto"/>
        <w:ind w:right="1137"/>
        <w:rPr>
          <w:rFonts w:asciiTheme="minorHAnsi" w:hAnsiTheme="minorHAnsi" w:cstheme="minorHAnsi"/>
          <w:color w:val="000000" w:themeColor="text1"/>
        </w:rPr>
      </w:pPr>
      <w:r>
        <w:rPr>
          <w:rFonts w:asciiTheme="minorHAnsi" w:hAnsiTheme="minorHAnsi" w:cstheme="minorHAnsi"/>
          <w:color w:val="000000" w:themeColor="text1"/>
        </w:rPr>
        <w:t>L</w:t>
      </w:r>
      <w:r w:rsidRPr="0016301A">
        <w:rPr>
          <w:rFonts w:asciiTheme="minorHAnsi" w:hAnsiTheme="minorHAnsi" w:cstheme="minorHAnsi"/>
          <w:color w:val="000000" w:themeColor="text1"/>
        </w:rPr>
        <w:t>’indice ND</w:t>
      </w:r>
      <w:r>
        <w:rPr>
          <w:rStyle w:val="Appelnotedebasdep"/>
          <w:rFonts w:asciiTheme="minorHAnsi" w:hAnsiTheme="minorHAnsi" w:cstheme="minorHAnsi"/>
          <w:color w:val="000000" w:themeColor="text1"/>
        </w:rPr>
        <w:footnoteReference w:id="75"/>
      </w:r>
      <w:r>
        <w:rPr>
          <w:rFonts w:asciiTheme="minorHAnsi" w:hAnsiTheme="minorHAnsi" w:cstheme="minorHAnsi"/>
          <w:color w:val="000000" w:themeColor="text1"/>
        </w:rPr>
        <w:t>-</w:t>
      </w:r>
      <w:r w:rsidRPr="0016301A">
        <w:rPr>
          <w:rFonts w:asciiTheme="minorHAnsi" w:hAnsiTheme="minorHAnsi" w:cstheme="minorHAnsi"/>
          <w:color w:val="000000" w:themeColor="text1"/>
        </w:rPr>
        <w:t xml:space="preserve">Gain </w:t>
      </w:r>
      <w:r>
        <w:rPr>
          <w:rFonts w:asciiTheme="minorHAnsi" w:hAnsiTheme="minorHAnsi" w:cstheme="minorHAnsi"/>
          <w:color w:val="000000" w:themeColor="text1"/>
        </w:rPr>
        <w:t xml:space="preserve">de mesure de </w:t>
      </w:r>
      <w:r w:rsidRPr="0016301A">
        <w:rPr>
          <w:rFonts w:asciiTheme="minorHAnsi" w:hAnsiTheme="minorHAnsi" w:cstheme="minorHAnsi"/>
          <w:color w:val="000000" w:themeColor="text1"/>
        </w:rPr>
        <w:t>la vulnérabilité</w:t>
      </w:r>
      <w:r w:rsidRPr="0016301A">
        <w:rPr>
          <w:rFonts w:asciiTheme="minorHAnsi" w:hAnsiTheme="minorHAnsi" w:cstheme="minorHAnsi"/>
          <w:color w:val="000000" w:themeColor="text1"/>
          <w:spacing w:val="-8"/>
        </w:rPr>
        <w:t xml:space="preserve">, </w:t>
      </w:r>
      <w:r>
        <w:rPr>
          <w:rFonts w:asciiTheme="minorHAnsi" w:hAnsiTheme="minorHAnsi" w:cstheme="minorHAnsi"/>
          <w:color w:val="000000" w:themeColor="text1"/>
          <w:spacing w:val="-8"/>
        </w:rPr>
        <w:t xml:space="preserve">indique que </w:t>
      </w:r>
      <w:r w:rsidRPr="0016301A">
        <w:rPr>
          <w:rFonts w:asciiTheme="minorHAnsi" w:hAnsiTheme="minorHAnsi" w:cstheme="minorHAnsi"/>
          <w:color w:val="000000" w:themeColor="text1"/>
          <w:spacing w:val="-8"/>
        </w:rPr>
        <w:t>l</w:t>
      </w:r>
      <w:r w:rsidRPr="0016301A">
        <w:rPr>
          <w:rFonts w:asciiTheme="minorHAnsi" w:hAnsiTheme="minorHAnsi" w:cstheme="minorHAnsi"/>
          <w:color w:val="000000" w:themeColor="text1"/>
        </w:rPr>
        <w:t>a</w:t>
      </w:r>
      <w:r w:rsidRPr="0016301A">
        <w:rPr>
          <w:rFonts w:asciiTheme="minorHAnsi" w:hAnsiTheme="minorHAnsi" w:cstheme="minorHAnsi"/>
          <w:color w:val="000000" w:themeColor="text1"/>
          <w:spacing w:val="-9"/>
        </w:rPr>
        <w:t xml:space="preserve"> </w:t>
      </w:r>
      <w:r w:rsidRPr="0016301A">
        <w:rPr>
          <w:rFonts w:asciiTheme="minorHAnsi" w:hAnsiTheme="minorHAnsi" w:cstheme="minorHAnsi"/>
          <w:color w:val="000000" w:themeColor="text1"/>
        </w:rPr>
        <w:t>prédisposition</w:t>
      </w:r>
      <w:r w:rsidRPr="0016301A">
        <w:rPr>
          <w:rFonts w:asciiTheme="minorHAnsi" w:hAnsiTheme="minorHAnsi" w:cstheme="minorHAnsi"/>
          <w:color w:val="000000" w:themeColor="text1"/>
          <w:spacing w:val="-10"/>
        </w:rPr>
        <w:t xml:space="preserve"> </w:t>
      </w:r>
      <w:r w:rsidRPr="0016301A">
        <w:rPr>
          <w:rFonts w:asciiTheme="minorHAnsi" w:hAnsiTheme="minorHAnsi" w:cstheme="minorHAnsi"/>
          <w:color w:val="000000" w:themeColor="text1"/>
        </w:rPr>
        <w:t>d’un</w:t>
      </w:r>
      <w:r w:rsidRPr="0016301A">
        <w:rPr>
          <w:rFonts w:asciiTheme="minorHAnsi" w:hAnsiTheme="minorHAnsi" w:cstheme="minorHAnsi"/>
          <w:color w:val="000000" w:themeColor="text1"/>
          <w:spacing w:val="-10"/>
        </w:rPr>
        <w:t xml:space="preserve"> </w:t>
      </w:r>
      <w:r w:rsidRPr="0016301A">
        <w:rPr>
          <w:rFonts w:asciiTheme="minorHAnsi" w:hAnsiTheme="minorHAnsi" w:cstheme="minorHAnsi"/>
          <w:color w:val="000000" w:themeColor="text1"/>
        </w:rPr>
        <w:t>pays</w:t>
      </w:r>
      <w:r w:rsidRPr="0016301A">
        <w:rPr>
          <w:rFonts w:asciiTheme="minorHAnsi" w:hAnsiTheme="minorHAnsi" w:cstheme="minorHAnsi"/>
          <w:color w:val="000000" w:themeColor="text1"/>
          <w:spacing w:val="-9"/>
        </w:rPr>
        <w:t xml:space="preserve"> </w:t>
      </w:r>
      <w:r w:rsidRPr="0016301A">
        <w:rPr>
          <w:rFonts w:asciiTheme="minorHAnsi" w:hAnsiTheme="minorHAnsi" w:cstheme="minorHAnsi"/>
          <w:color w:val="000000" w:themeColor="text1"/>
        </w:rPr>
        <w:t>à</w:t>
      </w:r>
      <w:r w:rsidRPr="0016301A">
        <w:rPr>
          <w:rFonts w:asciiTheme="minorHAnsi" w:hAnsiTheme="minorHAnsi" w:cstheme="minorHAnsi"/>
          <w:color w:val="000000" w:themeColor="text1"/>
          <w:spacing w:val="-9"/>
        </w:rPr>
        <w:t xml:space="preserve"> </w:t>
      </w:r>
      <w:r w:rsidRPr="0016301A">
        <w:rPr>
          <w:rFonts w:asciiTheme="minorHAnsi" w:hAnsiTheme="minorHAnsi" w:cstheme="minorHAnsi"/>
          <w:color w:val="000000" w:themeColor="text1"/>
        </w:rPr>
        <w:t>être</w:t>
      </w:r>
      <w:r w:rsidRPr="0016301A">
        <w:rPr>
          <w:rFonts w:asciiTheme="minorHAnsi" w:hAnsiTheme="minorHAnsi" w:cstheme="minorHAnsi"/>
          <w:color w:val="000000" w:themeColor="text1"/>
          <w:spacing w:val="-8"/>
        </w:rPr>
        <w:t xml:space="preserve"> </w:t>
      </w:r>
      <w:r w:rsidRPr="0016301A">
        <w:rPr>
          <w:rFonts w:asciiTheme="minorHAnsi" w:hAnsiTheme="minorHAnsi" w:cstheme="minorHAnsi"/>
          <w:color w:val="000000" w:themeColor="text1"/>
        </w:rPr>
        <w:t>négativement</w:t>
      </w:r>
      <w:r w:rsidRPr="0016301A">
        <w:rPr>
          <w:rFonts w:asciiTheme="minorHAnsi" w:hAnsiTheme="minorHAnsi" w:cstheme="minorHAnsi"/>
          <w:color w:val="000000" w:themeColor="text1"/>
          <w:spacing w:val="-10"/>
        </w:rPr>
        <w:t xml:space="preserve"> </w:t>
      </w:r>
      <w:r w:rsidRPr="0016301A">
        <w:rPr>
          <w:rFonts w:asciiTheme="minorHAnsi" w:hAnsiTheme="minorHAnsi" w:cstheme="minorHAnsi"/>
          <w:color w:val="000000" w:themeColor="text1"/>
        </w:rPr>
        <w:t>impacté</w:t>
      </w:r>
      <w:r w:rsidRPr="0016301A">
        <w:rPr>
          <w:rFonts w:asciiTheme="minorHAnsi" w:hAnsiTheme="minorHAnsi" w:cstheme="minorHAnsi"/>
          <w:color w:val="000000" w:themeColor="text1"/>
          <w:spacing w:val="-8"/>
        </w:rPr>
        <w:t xml:space="preserve"> </w:t>
      </w:r>
      <w:r w:rsidRPr="0016301A">
        <w:rPr>
          <w:rFonts w:asciiTheme="minorHAnsi" w:hAnsiTheme="minorHAnsi" w:cstheme="minorHAnsi"/>
          <w:color w:val="000000" w:themeColor="text1"/>
        </w:rPr>
        <w:t>par</w:t>
      </w:r>
      <w:r w:rsidRPr="0016301A">
        <w:rPr>
          <w:rFonts w:asciiTheme="minorHAnsi" w:hAnsiTheme="minorHAnsi" w:cstheme="minorHAnsi"/>
          <w:color w:val="000000" w:themeColor="text1"/>
          <w:spacing w:val="-8"/>
        </w:rPr>
        <w:t xml:space="preserve"> </w:t>
      </w:r>
      <w:r w:rsidRPr="0016301A">
        <w:rPr>
          <w:rFonts w:asciiTheme="minorHAnsi" w:hAnsiTheme="minorHAnsi" w:cstheme="minorHAnsi"/>
          <w:color w:val="000000" w:themeColor="text1"/>
        </w:rPr>
        <w:t>les</w:t>
      </w:r>
      <w:r w:rsidRPr="0016301A">
        <w:rPr>
          <w:rFonts w:asciiTheme="minorHAnsi" w:hAnsiTheme="minorHAnsi" w:cstheme="minorHAnsi"/>
          <w:color w:val="000000" w:themeColor="text1"/>
          <w:spacing w:val="-11"/>
        </w:rPr>
        <w:t xml:space="preserve"> </w:t>
      </w:r>
      <w:r w:rsidRPr="0016301A">
        <w:rPr>
          <w:rFonts w:asciiTheme="minorHAnsi" w:hAnsiTheme="minorHAnsi" w:cstheme="minorHAnsi"/>
          <w:color w:val="000000" w:themeColor="text1"/>
        </w:rPr>
        <w:t>effets</w:t>
      </w:r>
      <w:r w:rsidRPr="0016301A">
        <w:rPr>
          <w:rFonts w:asciiTheme="minorHAnsi" w:hAnsiTheme="minorHAnsi" w:cstheme="minorHAnsi"/>
          <w:color w:val="000000" w:themeColor="text1"/>
          <w:spacing w:val="-9"/>
        </w:rPr>
        <w:t xml:space="preserve"> </w:t>
      </w:r>
      <w:r w:rsidRPr="0016301A">
        <w:rPr>
          <w:rFonts w:asciiTheme="minorHAnsi" w:hAnsiTheme="minorHAnsi" w:cstheme="minorHAnsi"/>
          <w:color w:val="000000" w:themeColor="text1"/>
        </w:rPr>
        <w:t>des changements</w:t>
      </w:r>
      <w:r w:rsidRPr="0016301A">
        <w:rPr>
          <w:rFonts w:asciiTheme="minorHAnsi" w:hAnsiTheme="minorHAnsi" w:cstheme="minorHAnsi"/>
          <w:color w:val="000000" w:themeColor="text1"/>
          <w:spacing w:val="-11"/>
        </w:rPr>
        <w:t xml:space="preserve"> </w:t>
      </w:r>
      <w:r w:rsidRPr="0016301A">
        <w:rPr>
          <w:rFonts w:asciiTheme="minorHAnsi" w:hAnsiTheme="minorHAnsi" w:cstheme="minorHAnsi"/>
          <w:color w:val="000000" w:themeColor="text1"/>
        </w:rPr>
        <w:t>climatiques</w:t>
      </w:r>
      <w:r w:rsidRPr="0016301A">
        <w:rPr>
          <w:rFonts w:asciiTheme="minorHAnsi" w:hAnsiTheme="minorHAnsi" w:cstheme="minorHAnsi"/>
          <w:color w:val="000000" w:themeColor="text1"/>
          <w:spacing w:val="-11"/>
        </w:rPr>
        <w:t xml:space="preserve"> </w:t>
      </w:r>
      <w:r w:rsidRPr="0016301A">
        <w:rPr>
          <w:rFonts w:asciiTheme="minorHAnsi" w:hAnsiTheme="minorHAnsi" w:cstheme="minorHAnsi"/>
          <w:color w:val="000000" w:themeColor="text1"/>
        </w:rPr>
        <w:t>»</w:t>
      </w:r>
      <w:r>
        <w:rPr>
          <w:rFonts w:asciiTheme="minorHAnsi" w:hAnsiTheme="minorHAnsi" w:cstheme="minorHAnsi"/>
          <w:color w:val="000000" w:themeColor="text1"/>
        </w:rPr>
        <w:t>,</w:t>
      </w:r>
      <w:r w:rsidRPr="0016301A">
        <w:rPr>
          <w:rFonts w:asciiTheme="minorHAnsi" w:hAnsiTheme="minorHAnsi" w:cstheme="minorHAnsi"/>
          <w:color w:val="000000" w:themeColor="text1"/>
          <w:spacing w:val="-10"/>
        </w:rPr>
        <w:t xml:space="preserve"> </w:t>
      </w:r>
      <w:r w:rsidRPr="0016301A">
        <w:rPr>
          <w:rFonts w:asciiTheme="minorHAnsi" w:hAnsiTheme="minorHAnsi" w:cstheme="minorHAnsi"/>
          <w:color w:val="000000" w:themeColor="text1"/>
        </w:rPr>
        <w:t>repose</w:t>
      </w:r>
      <w:r w:rsidRPr="0016301A">
        <w:rPr>
          <w:rFonts w:asciiTheme="minorHAnsi" w:hAnsiTheme="minorHAnsi" w:cstheme="minorHAnsi"/>
          <w:color w:val="000000" w:themeColor="text1"/>
          <w:spacing w:val="-10"/>
        </w:rPr>
        <w:t xml:space="preserve"> </w:t>
      </w:r>
      <w:r w:rsidRPr="0016301A">
        <w:rPr>
          <w:rFonts w:asciiTheme="minorHAnsi" w:hAnsiTheme="minorHAnsi" w:cstheme="minorHAnsi"/>
          <w:color w:val="000000" w:themeColor="text1"/>
        </w:rPr>
        <w:t>sur</w:t>
      </w:r>
      <w:r w:rsidRPr="0016301A">
        <w:rPr>
          <w:rFonts w:asciiTheme="minorHAnsi" w:hAnsiTheme="minorHAnsi" w:cstheme="minorHAnsi"/>
          <w:color w:val="000000" w:themeColor="text1"/>
          <w:spacing w:val="-10"/>
        </w:rPr>
        <w:t xml:space="preserve"> </w:t>
      </w:r>
      <w:r w:rsidRPr="0016301A">
        <w:rPr>
          <w:rFonts w:asciiTheme="minorHAnsi" w:hAnsiTheme="minorHAnsi" w:cstheme="minorHAnsi"/>
          <w:color w:val="000000" w:themeColor="text1"/>
        </w:rPr>
        <w:t>six</w:t>
      </w:r>
      <w:r w:rsidRPr="0016301A">
        <w:rPr>
          <w:rFonts w:asciiTheme="minorHAnsi" w:hAnsiTheme="minorHAnsi" w:cstheme="minorHAnsi"/>
          <w:color w:val="000000" w:themeColor="text1"/>
          <w:spacing w:val="-12"/>
        </w:rPr>
        <w:t xml:space="preserve"> </w:t>
      </w:r>
      <w:r w:rsidRPr="0016301A">
        <w:rPr>
          <w:rFonts w:asciiTheme="minorHAnsi" w:hAnsiTheme="minorHAnsi" w:cstheme="minorHAnsi"/>
          <w:color w:val="000000" w:themeColor="text1"/>
        </w:rPr>
        <w:t>éléments</w:t>
      </w:r>
      <w:r w:rsidRPr="0016301A">
        <w:rPr>
          <w:rFonts w:asciiTheme="minorHAnsi" w:hAnsiTheme="minorHAnsi" w:cstheme="minorHAnsi"/>
          <w:color w:val="000000" w:themeColor="text1"/>
          <w:spacing w:val="-11"/>
        </w:rPr>
        <w:t xml:space="preserve"> </w:t>
      </w:r>
      <w:r w:rsidRPr="0016301A">
        <w:rPr>
          <w:rFonts w:asciiTheme="minorHAnsi" w:hAnsiTheme="minorHAnsi" w:cstheme="minorHAnsi"/>
          <w:color w:val="000000" w:themeColor="text1"/>
        </w:rPr>
        <w:t>clés</w:t>
      </w:r>
      <w:r w:rsidRPr="0016301A">
        <w:rPr>
          <w:rFonts w:asciiTheme="minorHAnsi" w:hAnsiTheme="minorHAnsi" w:cstheme="minorHAnsi"/>
          <w:color w:val="000000" w:themeColor="text1"/>
          <w:spacing w:val="-11"/>
        </w:rPr>
        <w:t xml:space="preserve"> </w:t>
      </w:r>
      <w:r w:rsidRPr="0016301A">
        <w:rPr>
          <w:rFonts w:asciiTheme="minorHAnsi" w:hAnsiTheme="minorHAnsi" w:cstheme="minorHAnsi"/>
          <w:color w:val="000000" w:themeColor="text1"/>
        </w:rPr>
        <w:t>:</w:t>
      </w:r>
      <w:r w:rsidRPr="0016301A">
        <w:rPr>
          <w:rFonts w:asciiTheme="minorHAnsi" w:hAnsiTheme="minorHAnsi" w:cstheme="minorHAnsi"/>
          <w:color w:val="000000" w:themeColor="text1"/>
          <w:spacing w:val="-10"/>
        </w:rPr>
        <w:t xml:space="preserve"> </w:t>
      </w:r>
      <w:r w:rsidRPr="0016301A">
        <w:rPr>
          <w:rFonts w:asciiTheme="minorHAnsi" w:hAnsiTheme="minorHAnsi" w:cstheme="minorHAnsi"/>
          <w:color w:val="000000" w:themeColor="text1"/>
        </w:rPr>
        <w:t>(i)</w:t>
      </w:r>
      <w:r w:rsidRPr="0016301A">
        <w:rPr>
          <w:rFonts w:asciiTheme="minorHAnsi" w:hAnsiTheme="minorHAnsi" w:cstheme="minorHAnsi"/>
          <w:color w:val="000000" w:themeColor="text1"/>
          <w:spacing w:val="-12"/>
        </w:rPr>
        <w:t xml:space="preserve"> la </w:t>
      </w:r>
      <w:r w:rsidRPr="0016301A">
        <w:rPr>
          <w:rFonts w:asciiTheme="minorHAnsi" w:hAnsiTheme="minorHAnsi" w:cstheme="minorHAnsi"/>
          <w:color w:val="000000" w:themeColor="text1"/>
        </w:rPr>
        <w:t>Nourriture,</w:t>
      </w:r>
      <w:r w:rsidRPr="0016301A">
        <w:rPr>
          <w:rFonts w:asciiTheme="minorHAnsi" w:hAnsiTheme="minorHAnsi" w:cstheme="minorHAnsi"/>
          <w:color w:val="000000" w:themeColor="text1"/>
          <w:spacing w:val="-13"/>
        </w:rPr>
        <w:t xml:space="preserve"> </w:t>
      </w:r>
      <w:r w:rsidRPr="0016301A">
        <w:rPr>
          <w:rFonts w:asciiTheme="minorHAnsi" w:hAnsiTheme="minorHAnsi" w:cstheme="minorHAnsi"/>
          <w:color w:val="000000" w:themeColor="text1"/>
        </w:rPr>
        <w:t>(ii)</w:t>
      </w:r>
      <w:r w:rsidRPr="0016301A">
        <w:rPr>
          <w:rFonts w:asciiTheme="minorHAnsi" w:hAnsiTheme="minorHAnsi" w:cstheme="minorHAnsi"/>
          <w:color w:val="000000" w:themeColor="text1"/>
          <w:spacing w:val="-12"/>
        </w:rPr>
        <w:t xml:space="preserve"> </w:t>
      </w:r>
      <w:r>
        <w:rPr>
          <w:rFonts w:asciiTheme="minorHAnsi" w:hAnsiTheme="minorHAnsi" w:cstheme="minorHAnsi"/>
          <w:color w:val="000000" w:themeColor="text1"/>
          <w:spacing w:val="-12"/>
        </w:rPr>
        <w:t>L’</w:t>
      </w:r>
      <w:r w:rsidRPr="0016301A">
        <w:rPr>
          <w:rFonts w:asciiTheme="minorHAnsi" w:hAnsiTheme="minorHAnsi" w:cstheme="minorHAnsi"/>
          <w:color w:val="000000" w:themeColor="text1"/>
        </w:rPr>
        <w:t>Eau,</w:t>
      </w:r>
      <w:r w:rsidRPr="0016301A">
        <w:rPr>
          <w:rFonts w:asciiTheme="minorHAnsi" w:hAnsiTheme="minorHAnsi" w:cstheme="minorHAnsi"/>
          <w:color w:val="000000" w:themeColor="text1"/>
          <w:spacing w:val="-11"/>
        </w:rPr>
        <w:t xml:space="preserve"> </w:t>
      </w:r>
      <w:r w:rsidRPr="0016301A">
        <w:rPr>
          <w:rFonts w:asciiTheme="minorHAnsi" w:hAnsiTheme="minorHAnsi" w:cstheme="minorHAnsi"/>
          <w:color w:val="000000" w:themeColor="text1"/>
        </w:rPr>
        <w:t>(iii)</w:t>
      </w:r>
      <w:r w:rsidRPr="0016301A">
        <w:rPr>
          <w:rFonts w:asciiTheme="minorHAnsi" w:hAnsiTheme="minorHAnsi" w:cstheme="minorHAnsi"/>
          <w:color w:val="000000" w:themeColor="text1"/>
          <w:spacing w:val="-12"/>
        </w:rPr>
        <w:t xml:space="preserve"> </w:t>
      </w:r>
      <w:r>
        <w:rPr>
          <w:rFonts w:asciiTheme="minorHAnsi" w:hAnsiTheme="minorHAnsi" w:cstheme="minorHAnsi"/>
          <w:color w:val="000000" w:themeColor="text1"/>
          <w:spacing w:val="-12"/>
        </w:rPr>
        <w:t xml:space="preserve">La </w:t>
      </w:r>
      <w:r w:rsidRPr="0016301A">
        <w:rPr>
          <w:rFonts w:asciiTheme="minorHAnsi" w:hAnsiTheme="minorHAnsi" w:cstheme="minorHAnsi"/>
          <w:color w:val="000000" w:themeColor="text1"/>
        </w:rPr>
        <w:t>Santé,</w:t>
      </w:r>
      <w:r>
        <w:rPr>
          <w:rFonts w:asciiTheme="minorHAnsi" w:hAnsiTheme="minorHAnsi" w:cstheme="minorHAnsi"/>
          <w:color w:val="000000" w:themeColor="text1"/>
        </w:rPr>
        <w:t xml:space="preserve"> </w:t>
      </w:r>
      <w:r w:rsidRPr="0016301A">
        <w:rPr>
          <w:rFonts w:asciiTheme="minorHAnsi" w:hAnsiTheme="minorHAnsi" w:cstheme="minorHAnsi"/>
          <w:color w:val="000000" w:themeColor="text1"/>
        </w:rPr>
        <w:t>(iv)</w:t>
      </w:r>
      <w:r w:rsidRPr="0016301A">
        <w:rPr>
          <w:rFonts w:asciiTheme="minorHAnsi" w:hAnsiTheme="minorHAnsi" w:cstheme="minorHAnsi"/>
          <w:color w:val="000000" w:themeColor="text1"/>
          <w:spacing w:val="-7"/>
        </w:rPr>
        <w:t xml:space="preserve"> </w:t>
      </w:r>
      <w:r>
        <w:rPr>
          <w:rFonts w:asciiTheme="minorHAnsi" w:hAnsiTheme="minorHAnsi" w:cstheme="minorHAnsi"/>
          <w:color w:val="000000" w:themeColor="text1"/>
          <w:spacing w:val="-7"/>
        </w:rPr>
        <w:t xml:space="preserve">Les </w:t>
      </w:r>
      <w:r w:rsidRPr="0016301A">
        <w:rPr>
          <w:rFonts w:asciiTheme="minorHAnsi" w:hAnsiTheme="minorHAnsi" w:cstheme="minorHAnsi"/>
          <w:color w:val="000000" w:themeColor="text1"/>
        </w:rPr>
        <w:t>Services</w:t>
      </w:r>
      <w:r w:rsidRPr="0016301A">
        <w:rPr>
          <w:rFonts w:asciiTheme="minorHAnsi" w:hAnsiTheme="minorHAnsi" w:cstheme="minorHAnsi"/>
          <w:color w:val="000000" w:themeColor="text1"/>
          <w:spacing w:val="-6"/>
        </w:rPr>
        <w:t xml:space="preserve"> </w:t>
      </w:r>
      <w:r w:rsidRPr="0016301A">
        <w:rPr>
          <w:rFonts w:asciiTheme="minorHAnsi" w:hAnsiTheme="minorHAnsi" w:cstheme="minorHAnsi"/>
          <w:color w:val="000000" w:themeColor="text1"/>
        </w:rPr>
        <w:t>écosystémiques,</w:t>
      </w:r>
      <w:r w:rsidRPr="0016301A">
        <w:rPr>
          <w:rFonts w:asciiTheme="minorHAnsi" w:hAnsiTheme="minorHAnsi" w:cstheme="minorHAnsi"/>
          <w:color w:val="000000" w:themeColor="text1"/>
          <w:spacing w:val="-5"/>
        </w:rPr>
        <w:t xml:space="preserve"> </w:t>
      </w:r>
      <w:r w:rsidRPr="0016301A">
        <w:rPr>
          <w:rFonts w:asciiTheme="minorHAnsi" w:hAnsiTheme="minorHAnsi" w:cstheme="minorHAnsi"/>
          <w:color w:val="000000" w:themeColor="text1"/>
        </w:rPr>
        <w:t>(v)</w:t>
      </w:r>
      <w:r w:rsidRPr="0016301A">
        <w:rPr>
          <w:rFonts w:asciiTheme="minorHAnsi" w:hAnsiTheme="minorHAnsi" w:cstheme="minorHAnsi"/>
          <w:color w:val="000000" w:themeColor="text1"/>
          <w:spacing w:val="-7"/>
        </w:rPr>
        <w:t xml:space="preserve"> </w:t>
      </w:r>
      <w:r>
        <w:rPr>
          <w:rFonts w:asciiTheme="minorHAnsi" w:hAnsiTheme="minorHAnsi" w:cstheme="minorHAnsi"/>
          <w:color w:val="000000" w:themeColor="text1"/>
          <w:spacing w:val="-7"/>
        </w:rPr>
        <w:t>L’</w:t>
      </w:r>
      <w:r w:rsidRPr="0016301A">
        <w:rPr>
          <w:rFonts w:asciiTheme="minorHAnsi" w:hAnsiTheme="minorHAnsi" w:cstheme="minorHAnsi"/>
          <w:color w:val="000000" w:themeColor="text1"/>
        </w:rPr>
        <w:t>Habitat</w:t>
      </w:r>
      <w:r w:rsidRPr="0016301A">
        <w:rPr>
          <w:rFonts w:asciiTheme="minorHAnsi" w:hAnsiTheme="minorHAnsi" w:cstheme="minorHAnsi"/>
          <w:color w:val="000000" w:themeColor="text1"/>
          <w:spacing w:val="-7"/>
        </w:rPr>
        <w:t xml:space="preserve"> </w:t>
      </w:r>
      <w:r w:rsidRPr="0016301A">
        <w:rPr>
          <w:rFonts w:asciiTheme="minorHAnsi" w:hAnsiTheme="minorHAnsi" w:cstheme="minorHAnsi"/>
          <w:color w:val="000000" w:themeColor="text1"/>
        </w:rPr>
        <w:t>et</w:t>
      </w:r>
      <w:r w:rsidRPr="0016301A">
        <w:rPr>
          <w:rFonts w:asciiTheme="minorHAnsi" w:hAnsiTheme="minorHAnsi" w:cstheme="minorHAnsi"/>
          <w:color w:val="000000" w:themeColor="text1"/>
          <w:spacing w:val="-5"/>
        </w:rPr>
        <w:t xml:space="preserve"> </w:t>
      </w:r>
      <w:r w:rsidRPr="0016301A">
        <w:rPr>
          <w:rFonts w:asciiTheme="minorHAnsi" w:hAnsiTheme="minorHAnsi" w:cstheme="minorHAnsi"/>
          <w:color w:val="000000" w:themeColor="text1"/>
        </w:rPr>
        <w:t>(vi)</w:t>
      </w:r>
      <w:r w:rsidRPr="0016301A">
        <w:rPr>
          <w:rFonts w:asciiTheme="minorHAnsi" w:hAnsiTheme="minorHAnsi" w:cstheme="minorHAnsi"/>
          <w:color w:val="000000" w:themeColor="text1"/>
          <w:spacing w:val="-7"/>
        </w:rPr>
        <w:t xml:space="preserve"> </w:t>
      </w:r>
      <w:r>
        <w:rPr>
          <w:rFonts w:asciiTheme="minorHAnsi" w:hAnsiTheme="minorHAnsi" w:cstheme="minorHAnsi"/>
          <w:color w:val="000000" w:themeColor="text1"/>
          <w:spacing w:val="-7"/>
        </w:rPr>
        <w:t xml:space="preserve">Les </w:t>
      </w:r>
      <w:r w:rsidRPr="0016301A">
        <w:rPr>
          <w:rFonts w:asciiTheme="minorHAnsi" w:hAnsiTheme="minorHAnsi" w:cstheme="minorHAnsi"/>
          <w:color w:val="000000" w:themeColor="text1"/>
        </w:rPr>
        <w:t>Infrastructure</w:t>
      </w:r>
      <w:r>
        <w:rPr>
          <w:rFonts w:asciiTheme="minorHAnsi" w:hAnsiTheme="minorHAnsi" w:cstheme="minorHAnsi"/>
          <w:color w:val="000000" w:themeColor="text1"/>
        </w:rPr>
        <w:t>s</w:t>
      </w:r>
      <w:r w:rsidRPr="0016301A">
        <w:rPr>
          <w:rFonts w:asciiTheme="minorHAnsi" w:hAnsiTheme="minorHAnsi" w:cstheme="minorHAnsi"/>
          <w:color w:val="000000" w:themeColor="text1"/>
        </w:rPr>
        <w:t>.</w:t>
      </w:r>
    </w:p>
    <w:p w14:paraId="4D6823F2" w14:textId="77777777" w:rsidR="00412F22" w:rsidRPr="0016301A" w:rsidRDefault="00412F22" w:rsidP="00412F22">
      <w:pPr>
        <w:pStyle w:val="Corpsdetexte"/>
        <w:spacing w:before="23" w:line="276" w:lineRule="auto"/>
        <w:ind w:right="728"/>
        <w:rPr>
          <w:rFonts w:asciiTheme="minorHAnsi" w:hAnsiTheme="minorHAnsi" w:cstheme="minorHAnsi"/>
          <w:color w:val="000000" w:themeColor="text1"/>
        </w:rPr>
      </w:pPr>
    </w:p>
    <w:p w14:paraId="2F37DF05" w14:textId="77777777" w:rsidR="00412F22" w:rsidRPr="0016301A" w:rsidRDefault="00412F22" w:rsidP="00412F22">
      <w:pPr>
        <w:pStyle w:val="Corpsdetexte"/>
        <w:spacing w:before="23" w:line="276" w:lineRule="auto"/>
        <w:ind w:right="1137"/>
        <w:rPr>
          <w:rFonts w:asciiTheme="minorHAnsi" w:hAnsiTheme="minorHAnsi" w:cstheme="minorHAnsi"/>
          <w:color w:val="000000" w:themeColor="text1"/>
        </w:rPr>
      </w:pPr>
      <w:r w:rsidRPr="0016301A">
        <w:rPr>
          <w:rFonts w:asciiTheme="minorHAnsi" w:hAnsiTheme="minorHAnsi" w:cstheme="minorHAnsi"/>
          <w:color w:val="000000" w:themeColor="text1"/>
        </w:rPr>
        <w:t>Les secteurs pour lesquels la vulnérabilité est analysée</w:t>
      </w:r>
      <w:r>
        <w:rPr>
          <w:rFonts w:asciiTheme="minorHAnsi" w:hAnsiTheme="minorHAnsi" w:cstheme="minorHAnsi"/>
          <w:color w:val="000000" w:themeColor="text1"/>
        </w:rPr>
        <w:t>,</w:t>
      </w:r>
      <w:r w:rsidRPr="0016301A">
        <w:rPr>
          <w:rFonts w:asciiTheme="minorHAnsi" w:hAnsiTheme="minorHAnsi" w:cstheme="minorHAnsi"/>
          <w:color w:val="000000" w:themeColor="text1"/>
        </w:rPr>
        <w:t xml:space="preserve"> ci-dessous</w:t>
      </w:r>
      <w:r>
        <w:rPr>
          <w:rFonts w:asciiTheme="minorHAnsi" w:hAnsiTheme="minorHAnsi" w:cstheme="minorHAnsi"/>
          <w:color w:val="000000" w:themeColor="text1"/>
        </w:rPr>
        <w:t>,</w:t>
      </w:r>
      <w:r w:rsidRPr="0016301A">
        <w:rPr>
          <w:rFonts w:asciiTheme="minorHAnsi" w:hAnsiTheme="minorHAnsi" w:cstheme="minorHAnsi"/>
          <w:color w:val="000000" w:themeColor="text1"/>
        </w:rPr>
        <w:t xml:space="preserve"> et qui vont être à la base de l’établissement des scénarios socioéconomiques de référence</w:t>
      </w:r>
      <w:r>
        <w:rPr>
          <w:rFonts w:asciiTheme="minorHAnsi" w:hAnsiTheme="minorHAnsi" w:cstheme="minorHAnsi"/>
          <w:color w:val="000000" w:themeColor="text1"/>
        </w:rPr>
        <w:t>,</w:t>
      </w:r>
      <w:r w:rsidRPr="0016301A">
        <w:rPr>
          <w:rFonts w:asciiTheme="minorHAnsi" w:hAnsiTheme="minorHAnsi" w:cstheme="minorHAnsi"/>
          <w:color w:val="000000" w:themeColor="text1"/>
        </w:rPr>
        <w:t xml:space="preserve"> se recoupent pour l’essentiel avec ces six (6) éléments</w:t>
      </w:r>
      <w:r>
        <w:rPr>
          <w:rFonts w:asciiTheme="minorHAnsi" w:hAnsiTheme="minorHAnsi" w:cstheme="minorHAnsi"/>
          <w:color w:val="000000" w:themeColor="text1"/>
        </w:rPr>
        <w:t>.</w:t>
      </w:r>
    </w:p>
    <w:p w14:paraId="0D739012" w14:textId="77777777" w:rsidR="00412F22" w:rsidRPr="0016301A" w:rsidRDefault="00412F22" w:rsidP="00412F22">
      <w:pPr>
        <w:tabs>
          <w:tab w:val="left" w:pos="1050"/>
          <w:tab w:val="left" w:pos="9356"/>
          <w:tab w:val="left" w:pos="9498"/>
          <w:tab w:val="left" w:pos="9781"/>
        </w:tabs>
        <w:spacing w:line="276" w:lineRule="auto"/>
        <w:ind w:right="1279"/>
        <w:jc w:val="both"/>
        <w:rPr>
          <w:rFonts w:eastAsia="Trebuchet MS" w:cstheme="minorHAnsi"/>
          <w:color w:val="000000" w:themeColor="text1"/>
        </w:rPr>
      </w:pPr>
    </w:p>
    <w:p w14:paraId="256AC06F" w14:textId="77777777" w:rsidR="00412F22" w:rsidRPr="003B41EA" w:rsidRDefault="00412F22" w:rsidP="00412F22">
      <w:pPr>
        <w:pStyle w:val="Titre3"/>
        <w:tabs>
          <w:tab w:val="left" w:pos="9356"/>
          <w:tab w:val="left" w:pos="9498"/>
          <w:tab w:val="left" w:pos="9781"/>
        </w:tabs>
        <w:ind w:right="1279"/>
        <w:jc w:val="center"/>
        <w:rPr>
          <w:rFonts w:ascii="Arial Black" w:hAnsi="Arial Black"/>
          <w:b/>
          <w:bCs/>
          <w:color w:val="FF3399"/>
        </w:rPr>
      </w:pPr>
      <w:bookmarkStart w:id="713" w:name="_Toc192462515"/>
      <w:r w:rsidRPr="003B41EA">
        <w:rPr>
          <w:rFonts w:ascii="Arial Black" w:hAnsi="Arial Black"/>
          <w:b/>
          <w:bCs/>
          <w:color w:val="FF3399"/>
        </w:rPr>
        <w:t>II.3.1 Vulnérabilité de l’agriculture</w:t>
      </w:r>
      <w:bookmarkEnd w:id="713"/>
    </w:p>
    <w:p w14:paraId="0B651727" w14:textId="77777777" w:rsidR="00412F22" w:rsidRPr="0016301A" w:rsidRDefault="00412F22" w:rsidP="00412F22">
      <w:pPr>
        <w:tabs>
          <w:tab w:val="left" w:pos="9356"/>
          <w:tab w:val="left" w:pos="9498"/>
          <w:tab w:val="left" w:pos="9781"/>
        </w:tabs>
        <w:ind w:right="1279"/>
        <w:rPr>
          <w:color w:val="000000" w:themeColor="text1"/>
        </w:rPr>
      </w:pPr>
    </w:p>
    <w:p w14:paraId="4035E8D1" w14:textId="77777777" w:rsidR="00412F22" w:rsidRPr="0054526F" w:rsidRDefault="00412F22" w:rsidP="00412F22">
      <w:pPr>
        <w:tabs>
          <w:tab w:val="left" w:pos="1050"/>
          <w:tab w:val="left" w:pos="9356"/>
          <w:tab w:val="left" w:pos="9498"/>
          <w:tab w:val="left" w:pos="9781"/>
        </w:tabs>
        <w:spacing w:line="276" w:lineRule="auto"/>
        <w:ind w:right="1279"/>
        <w:jc w:val="both"/>
        <w:rPr>
          <w:rFonts w:eastAsia="Trebuchet MS" w:cstheme="minorHAnsi"/>
          <w:color w:val="000000" w:themeColor="text1"/>
        </w:rPr>
      </w:pPr>
      <w:r w:rsidRPr="0016301A">
        <w:rPr>
          <w:rFonts w:eastAsia="Trebuchet MS" w:cstheme="minorHAnsi"/>
          <w:color w:val="000000" w:themeColor="text1"/>
        </w:rPr>
        <w:t>Les scénarii climatiques ci-dessus, indiquent une possibilité d'exposition accrue à la sécheresse des terres cultivées. Les rendements des cultures, particulièrement ceux sous pluies, devraient baisser. En effet, les cultures étant principalement sous pluies, les rendements dépendent fortement de la disponibilité en eau de pluie et sont donc très sujettes aux conséquences de la sécheresse. Etant donné que les possibilités de développement des cultures irriguées restent limitées (insuffisance des aménagements et des équipements, sols sableux et pauvres en nutriments dans certaines zones)</w:t>
      </w:r>
      <w:r>
        <w:rPr>
          <w:rFonts w:eastAsia="Trebuchet MS" w:cstheme="minorHAnsi"/>
          <w:color w:val="000000" w:themeColor="text1"/>
        </w:rPr>
        <w:t>, cette vulnérabilité est quasi-structurelle.</w:t>
      </w:r>
    </w:p>
    <w:p w14:paraId="6F3175DC" w14:textId="77777777" w:rsidR="00412F22" w:rsidRPr="0016301A" w:rsidRDefault="00412F22" w:rsidP="00412F22">
      <w:pPr>
        <w:tabs>
          <w:tab w:val="left" w:pos="1050"/>
          <w:tab w:val="left" w:pos="9356"/>
          <w:tab w:val="left" w:pos="9498"/>
          <w:tab w:val="left" w:pos="9781"/>
        </w:tabs>
        <w:spacing w:line="276" w:lineRule="auto"/>
        <w:ind w:right="1279"/>
        <w:jc w:val="both"/>
        <w:rPr>
          <w:rFonts w:eastAsia="Trebuchet MS" w:cstheme="minorHAnsi"/>
          <w:color w:val="000000" w:themeColor="text1"/>
        </w:rPr>
      </w:pPr>
    </w:p>
    <w:p w14:paraId="57837441" w14:textId="77777777" w:rsidR="00412F22" w:rsidRPr="00686C1F" w:rsidRDefault="00412F22" w:rsidP="00412F22">
      <w:pPr>
        <w:tabs>
          <w:tab w:val="left" w:pos="1050"/>
          <w:tab w:val="left" w:pos="9356"/>
          <w:tab w:val="left" w:pos="9498"/>
          <w:tab w:val="left" w:pos="9781"/>
        </w:tabs>
        <w:spacing w:line="276" w:lineRule="auto"/>
        <w:ind w:right="1279"/>
        <w:jc w:val="both"/>
        <w:rPr>
          <w:rFonts w:eastAsia="Trebuchet MS" w:cstheme="minorHAnsi"/>
          <w:color w:val="000000" w:themeColor="text1"/>
        </w:rPr>
      </w:pPr>
      <w:r w:rsidRPr="0016301A">
        <w:rPr>
          <w:rFonts w:eastAsia="Trebuchet MS" w:cstheme="minorHAnsi"/>
          <w:color w:val="000000" w:themeColor="text1"/>
        </w:rPr>
        <w:t>Selon le scénario RCP</w:t>
      </w:r>
      <w:r w:rsidRPr="0016301A">
        <w:rPr>
          <w:rFonts w:eastAsia="Trebuchet MS"/>
          <w:color w:val="000000" w:themeColor="text1"/>
        </w:rPr>
        <w:footnoteReference w:id="76"/>
      </w:r>
      <w:r w:rsidRPr="0016301A">
        <w:rPr>
          <w:rFonts w:eastAsia="Trebuchet MS" w:cstheme="minorHAnsi"/>
          <w:color w:val="000000" w:themeColor="text1"/>
        </w:rPr>
        <w:t>.0 (émissions moyennes à élevées, conformément à l’accord de Paris), la superficie des terres cultivables</w:t>
      </w:r>
      <w:r>
        <w:rPr>
          <w:rFonts w:eastAsia="Trebuchet MS" w:cstheme="minorHAnsi"/>
          <w:color w:val="000000" w:themeColor="text1"/>
        </w:rPr>
        <w:t>,</w:t>
      </w:r>
      <w:r w:rsidRPr="0016301A">
        <w:rPr>
          <w:rFonts w:eastAsia="Trebuchet MS" w:cstheme="minorHAnsi"/>
          <w:color w:val="000000" w:themeColor="text1"/>
        </w:rPr>
        <w:t xml:space="preserve"> exposée à au moins une sécheresse par an</w:t>
      </w:r>
      <w:r>
        <w:rPr>
          <w:rFonts w:eastAsia="Trebuchet MS" w:cstheme="minorHAnsi"/>
          <w:color w:val="000000" w:themeColor="text1"/>
        </w:rPr>
        <w:t>,</w:t>
      </w:r>
      <w:r w:rsidRPr="0016301A">
        <w:rPr>
          <w:rFonts w:eastAsia="Trebuchet MS" w:cstheme="minorHAnsi"/>
          <w:color w:val="000000" w:themeColor="text1"/>
        </w:rPr>
        <w:t xml:space="preserve"> augmentera, elle passera de 6% en 2000 à 10% en 2080</w:t>
      </w:r>
      <w:r>
        <w:rPr>
          <w:rStyle w:val="Appelnotedebasdep"/>
          <w:rFonts w:eastAsia="Trebuchet MS" w:cstheme="minorHAnsi"/>
          <w:color w:val="000000" w:themeColor="text1"/>
        </w:rPr>
        <w:footnoteReference w:id="77"/>
      </w:r>
      <w:r w:rsidRPr="0016301A">
        <w:rPr>
          <w:rFonts w:eastAsia="Trebuchet MS" w:cstheme="minorHAnsi"/>
          <w:color w:val="000000" w:themeColor="text1"/>
        </w:rPr>
        <w:t xml:space="preserve">. Selon </w:t>
      </w:r>
      <w:r>
        <w:rPr>
          <w:rFonts w:eastAsia="Trebuchet MS" w:cstheme="minorHAnsi"/>
          <w:color w:val="000000" w:themeColor="text1"/>
        </w:rPr>
        <w:t xml:space="preserve">le </w:t>
      </w:r>
      <w:r w:rsidRPr="0016301A">
        <w:rPr>
          <w:rFonts w:eastAsia="Trebuchet MS" w:cstheme="minorHAnsi"/>
          <w:color w:val="000000" w:themeColor="text1"/>
        </w:rPr>
        <w:t>scénario RCP2.6 (réductions des émissions), cette superficie baissera plutôt et sera de 5%, au lieu de 10% en 2080.</w:t>
      </w:r>
    </w:p>
    <w:p w14:paraId="690FBADA" w14:textId="77777777" w:rsidR="00412F22" w:rsidRDefault="00412F22" w:rsidP="00412F22">
      <w:pPr>
        <w:tabs>
          <w:tab w:val="left" w:pos="1050"/>
        </w:tabs>
        <w:spacing w:line="276" w:lineRule="auto"/>
        <w:ind w:right="1279"/>
        <w:jc w:val="both"/>
        <w:rPr>
          <w:rFonts w:eastAsia="Trebuchet MS" w:cstheme="minorHAnsi"/>
          <w:color w:val="000000" w:themeColor="text1"/>
        </w:rPr>
      </w:pPr>
      <w:r w:rsidRPr="0016301A">
        <w:rPr>
          <w:rFonts w:eastAsia="Trebuchet MS" w:cstheme="minorHAnsi"/>
          <w:color w:val="000000" w:themeColor="text1"/>
        </w:rPr>
        <w:t>Ramenée</w:t>
      </w:r>
      <w:r>
        <w:rPr>
          <w:rFonts w:eastAsia="Trebuchet MS" w:cstheme="minorHAnsi"/>
          <w:color w:val="000000" w:themeColor="text1"/>
        </w:rPr>
        <w:t>s</w:t>
      </w:r>
      <w:r w:rsidRPr="0016301A">
        <w:rPr>
          <w:rFonts w:eastAsia="Trebuchet MS" w:cstheme="minorHAnsi"/>
          <w:color w:val="000000" w:themeColor="text1"/>
        </w:rPr>
        <w:t xml:space="preserve"> aux horizons 2050 et 2100, </w:t>
      </w:r>
      <w:r>
        <w:rPr>
          <w:rFonts w:eastAsia="Trebuchet MS" w:cstheme="minorHAnsi"/>
          <w:color w:val="000000" w:themeColor="text1"/>
        </w:rPr>
        <w:t>les superficies cultivables soumises à une exposition annuelle à une sécheresse,</w:t>
      </w:r>
      <w:r w:rsidRPr="0016301A">
        <w:rPr>
          <w:rFonts w:eastAsia="Trebuchet MS" w:cstheme="minorHAnsi"/>
          <w:color w:val="000000" w:themeColor="text1"/>
        </w:rPr>
        <w:t xml:space="preserve"> pour les cas extrêmes, </w:t>
      </w:r>
      <w:r>
        <w:rPr>
          <w:rFonts w:eastAsia="Trebuchet MS" w:cstheme="minorHAnsi"/>
          <w:color w:val="000000" w:themeColor="text1"/>
        </w:rPr>
        <w:t>sont de :</w:t>
      </w:r>
    </w:p>
    <w:p w14:paraId="1B8023DA" w14:textId="77777777" w:rsidR="00412F22" w:rsidRPr="003B3973" w:rsidRDefault="00412F22" w:rsidP="00412F22">
      <w:pPr>
        <w:tabs>
          <w:tab w:val="left" w:pos="1050"/>
        </w:tabs>
        <w:spacing w:line="276" w:lineRule="auto"/>
        <w:ind w:right="1279"/>
        <w:jc w:val="both"/>
        <w:rPr>
          <w:rFonts w:eastAsia="Trebuchet MS" w:cstheme="minorHAnsi"/>
          <w:color w:val="000000" w:themeColor="text1"/>
        </w:rPr>
      </w:pPr>
    </w:p>
    <w:p w14:paraId="1DEC0FD4" w14:textId="77777777" w:rsidR="00412F22" w:rsidRPr="003B3973" w:rsidRDefault="00412F22" w:rsidP="00412F22">
      <w:pPr>
        <w:pStyle w:val="Paragraphedeliste"/>
        <w:numPr>
          <w:ilvl w:val="0"/>
          <w:numId w:val="230"/>
        </w:numPr>
        <w:tabs>
          <w:tab w:val="left" w:pos="1050"/>
        </w:tabs>
        <w:spacing w:after="0" w:line="276" w:lineRule="auto"/>
        <w:ind w:right="1279"/>
        <w:contextualSpacing w:val="0"/>
        <w:jc w:val="both"/>
        <w:rPr>
          <w:rFonts w:eastAsia="Trebuchet MS" w:cstheme="minorHAnsi"/>
          <w:color w:val="000000" w:themeColor="text1"/>
        </w:rPr>
      </w:pPr>
      <w:r w:rsidRPr="003B3973">
        <w:rPr>
          <w:rFonts w:eastAsia="Trebuchet MS" w:cstheme="minorHAnsi"/>
          <w:color w:val="000000" w:themeColor="text1"/>
        </w:rPr>
        <w:t>(10%</w:t>
      </w:r>
      <w:proofErr w:type="gramStart"/>
      <w:r w:rsidRPr="003B3973">
        <w:rPr>
          <w:rFonts w:eastAsia="Trebuchet MS" w:cstheme="minorHAnsi"/>
          <w:color w:val="000000" w:themeColor="text1"/>
        </w:rPr>
        <w:t>/(</w:t>
      </w:r>
      <w:proofErr w:type="gramEnd"/>
      <w:r w:rsidRPr="003B3973">
        <w:rPr>
          <w:rFonts w:eastAsia="Trebuchet MS" w:cstheme="minorHAnsi"/>
          <w:color w:val="000000" w:themeColor="text1"/>
        </w:rPr>
        <w:t>2080-2000))</w:t>
      </w:r>
      <w:r>
        <w:rPr>
          <w:rFonts w:eastAsia="Trebuchet MS" w:cstheme="minorHAnsi"/>
          <w:color w:val="000000" w:themeColor="text1"/>
        </w:rPr>
        <w:t xml:space="preserve"> </w:t>
      </w:r>
      <w:r w:rsidRPr="003B3973">
        <w:rPr>
          <w:rFonts w:eastAsia="Trebuchet MS" w:cstheme="minorHAnsi"/>
          <w:color w:val="000000" w:themeColor="text1"/>
        </w:rPr>
        <w:t>x</w:t>
      </w:r>
      <w:r>
        <w:rPr>
          <w:rFonts w:eastAsia="Trebuchet MS" w:cstheme="minorHAnsi"/>
          <w:color w:val="000000" w:themeColor="text1"/>
        </w:rPr>
        <w:t xml:space="preserve"> </w:t>
      </w:r>
      <w:r w:rsidRPr="003B3973">
        <w:rPr>
          <w:rFonts w:eastAsia="Trebuchet MS" w:cstheme="minorHAnsi"/>
          <w:color w:val="000000" w:themeColor="text1"/>
        </w:rPr>
        <w:t xml:space="preserve">(2050-2000), soit de </w:t>
      </w:r>
      <w:r w:rsidRPr="00686C1F">
        <w:rPr>
          <w:rFonts w:eastAsia="Trebuchet MS" w:cstheme="minorHAnsi"/>
          <w:b/>
          <w:bCs/>
          <w:color w:val="000000" w:themeColor="text1"/>
        </w:rPr>
        <w:t>6,25% des superficies cultivables en 2050</w:t>
      </w:r>
      <w:r w:rsidRPr="003B3973">
        <w:rPr>
          <w:rFonts w:eastAsia="Trebuchet MS" w:cstheme="minorHAnsi"/>
          <w:color w:val="000000" w:themeColor="text1"/>
        </w:rPr>
        <w:t> ;</w:t>
      </w:r>
    </w:p>
    <w:p w14:paraId="0428033F" w14:textId="77777777" w:rsidR="00412F22" w:rsidRPr="00686C1F" w:rsidRDefault="00412F22" w:rsidP="00412F22">
      <w:pPr>
        <w:pStyle w:val="Paragraphedeliste"/>
        <w:numPr>
          <w:ilvl w:val="0"/>
          <w:numId w:val="230"/>
        </w:numPr>
        <w:tabs>
          <w:tab w:val="left" w:pos="1050"/>
        </w:tabs>
        <w:spacing w:after="0" w:line="276" w:lineRule="auto"/>
        <w:ind w:right="1279"/>
        <w:contextualSpacing w:val="0"/>
        <w:jc w:val="both"/>
        <w:rPr>
          <w:rFonts w:eastAsia="Trebuchet MS" w:cstheme="minorHAnsi"/>
          <w:b/>
          <w:bCs/>
          <w:color w:val="000000" w:themeColor="text1"/>
        </w:rPr>
      </w:pPr>
      <w:r w:rsidRPr="003B3973">
        <w:rPr>
          <w:rFonts w:eastAsia="Trebuchet MS" w:cstheme="minorHAnsi"/>
          <w:color w:val="000000" w:themeColor="text1"/>
        </w:rPr>
        <w:t>(10%</w:t>
      </w:r>
      <w:proofErr w:type="gramStart"/>
      <w:r w:rsidRPr="003B3973">
        <w:rPr>
          <w:rFonts w:eastAsia="Trebuchet MS" w:cstheme="minorHAnsi"/>
          <w:color w:val="000000" w:themeColor="text1"/>
        </w:rPr>
        <w:t>/(</w:t>
      </w:r>
      <w:proofErr w:type="gramEnd"/>
      <w:r w:rsidRPr="003B3973">
        <w:rPr>
          <w:rFonts w:eastAsia="Trebuchet MS" w:cstheme="minorHAnsi"/>
          <w:color w:val="000000" w:themeColor="text1"/>
        </w:rPr>
        <w:t>2080-2000))</w:t>
      </w:r>
      <w:r>
        <w:rPr>
          <w:rFonts w:eastAsia="Trebuchet MS" w:cstheme="minorHAnsi"/>
          <w:color w:val="000000" w:themeColor="text1"/>
        </w:rPr>
        <w:t xml:space="preserve"> </w:t>
      </w:r>
      <w:r w:rsidRPr="003B3973">
        <w:rPr>
          <w:rFonts w:eastAsia="Trebuchet MS" w:cstheme="minorHAnsi"/>
          <w:color w:val="000000" w:themeColor="text1"/>
        </w:rPr>
        <w:t>x</w:t>
      </w:r>
      <w:r>
        <w:rPr>
          <w:rFonts w:eastAsia="Trebuchet MS" w:cstheme="minorHAnsi"/>
          <w:color w:val="000000" w:themeColor="text1"/>
        </w:rPr>
        <w:t xml:space="preserve"> </w:t>
      </w:r>
      <w:r w:rsidRPr="003B3973">
        <w:rPr>
          <w:rFonts w:eastAsia="Trebuchet MS" w:cstheme="minorHAnsi"/>
          <w:color w:val="000000" w:themeColor="text1"/>
        </w:rPr>
        <w:t xml:space="preserve">(2100-2000), soit </w:t>
      </w:r>
      <w:r w:rsidRPr="00686C1F">
        <w:rPr>
          <w:rFonts w:eastAsia="Trebuchet MS" w:cstheme="minorHAnsi"/>
          <w:color w:val="000000" w:themeColor="text1"/>
        </w:rPr>
        <w:t>de</w:t>
      </w:r>
      <w:r w:rsidRPr="003B3973">
        <w:rPr>
          <w:rFonts w:eastAsia="Trebuchet MS" w:cstheme="minorHAnsi"/>
          <w:b/>
          <w:bCs/>
          <w:color w:val="000000" w:themeColor="text1"/>
        </w:rPr>
        <w:t xml:space="preserve"> </w:t>
      </w:r>
      <w:r w:rsidRPr="00686C1F">
        <w:rPr>
          <w:rFonts w:eastAsia="Trebuchet MS" w:cstheme="minorHAnsi"/>
          <w:b/>
          <w:bCs/>
          <w:color w:val="000000" w:themeColor="text1"/>
        </w:rPr>
        <w:t>12,5% des superficies cultivables en 2100.</w:t>
      </w:r>
    </w:p>
    <w:p w14:paraId="0E114974" w14:textId="77777777" w:rsidR="00412F22" w:rsidRPr="0016301A" w:rsidRDefault="00412F22" w:rsidP="00412F22">
      <w:pPr>
        <w:tabs>
          <w:tab w:val="left" w:pos="1050"/>
        </w:tabs>
        <w:spacing w:line="276" w:lineRule="auto"/>
        <w:ind w:right="1279"/>
        <w:jc w:val="both"/>
        <w:rPr>
          <w:rFonts w:eastAsia="Trebuchet MS" w:cstheme="minorHAnsi"/>
          <w:color w:val="000000" w:themeColor="text1"/>
        </w:rPr>
      </w:pPr>
    </w:p>
    <w:p w14:paraId="483B9825" w14:textId="77777777" w:rsidR="00412F22" w:rsidRPr="0016301A" w:rsidRDefault="00412F22" w:rsidP="00412F22">
      <w:pPr>
        <w:pStyle w:val="Titre4"/>
        <w:spacing w:before="104" w:line="276" w:lineRule="auto"/>
        <w:ind w:right="1279"/>
        <w:rPr>
          <w:rFonts w:asciiTheme="minorHAnsi" w:eastAsia="Trebuchet MS" w:hAnsiTheme="minorHAnsi" w:cstheme="minorHAnsi"/>
          <w:b/>
          <w:bCs/>
          <w:i w:val="0"/>
          <w:iCs w:val="0"/>
          <w:color w:val="000000" w:themeColor="text1"/>
        </w:rPr>
      </w:pPr>
      <w:r w:rsidRPr="0016301A">
        <w:rPr>
          <w:rFonts w:asciiTheme="minorHAnsi" w:eastAsia="Trebuchet MS" w:hAnsiTheme="minorHAnsi" w:cstheme="minorHAnsi"/>
          <w:i w:val="0"/>
          <w:iCs w:val="0"/>
          <w:color w:val="000000" w:themeColor="text1"/>
        </w:rPr>
        <w:t xml:space="preserve">Pour ce qui concerne les rendements, les résultats sur la base de scénarii climatiques indiquent des baisses et des hausses de rendement, suivant les modèles, et le fait que la plante tire ou </w:t>
      </w:r>
      <w:r>
        <w:rPr>
          <w:rFonts w:asciiTheme="minorHAnsi" w:eastAsia="Trebuchet MS" w:hAnsiTheme="minorHAnsi" w:cstheme="minorHAnsi"/>
          <w:i w:val="0"/>
          <w:iCs w:val="0"/>
          <w:color w:val="000000" w:themeColor="text1"/>
        </w:rPr>
        <w:t xml:space="preserve">non </w:t>
      </w:r>
      <w:r w:rsidRPr="0016301A">
        <w:rPr>
          <w:rFonts w:asciiTheme="minorHAnsi" w:eastAsia="Trebuchet MS" w:hAnsiTheme="minorHAnsi" w:cstheme="minorHAnsi"/>
          <w:i w:val="0"/>
          <w:iCs w:val="0"/>
          <w:color w:val="000000" w:themeColor="text1"/>
        </w:rPr>
        <w:t xml:space="preserve">avantage de la fertilisation </w:t>
      </w:r>
      <w:r>
        <w:rPr>
          <w:rFonts w:asciiTheme="minorHAnsi" w:eastAsia="Trebuchet MS" w:hAnsiTheme="minorHAnsi" w:cstheme="minorHAnsi"/>
          <w:i w:val="0"/>
          <w:iCs w:val="0"/>
          <w:color w:val="000000" w:themeColor="text1"/>
        </w:rPr>
        <w:t>grâce au</w:t>
      </w:r>
      <w:r w:rsidRPr="0016301A">
        <w:rPr>
          <w:rFonts w:asciiTheme="minorHAnsi" w:eastAsia="Trebuchet MS" w:hAnsiTheme="minorHAnsi" w:cstheme="minorHAnsi"/>
          <w:i w:val="0"/>
          <w:iCs w:val="0"/>
          <w:color w:val="000000" w:themeColor="text1"/>
        </w:rPr>
        <w:t xml:space="preserve"> CO2. </w:t>
      </w:r>
    </w:p>
    <w:p w14:paraId="31489557" w14:textId="77777777" w:rsidR="00412F22" w:rsidRPr="0016301A" w:rsidRDefault="00412F22" w:rsidP="00412F22">
      <w:pPr>
        <w:pStyle w:val="Titre4"/>
        <w:spacing w:before="104" w:line="276" w:lineRule="auto"/>
        <w:ind w:right="1279"/>
        <w:rPr>
          <w:rFonts w:asciiTheme="minorHAnsi" w:hAnsiTheme="minorHAnsi" w:cstheme="minorHAnsi"/>
          <w:b/>
          <w:bCs/>
          <w:i w:val="0"/>
          <w:iCs w:val="0"/>
          <w:color w:val="000000" w:themeColor="text1"/>
          <w:w w:val="85"/>
        </w:rPr>
      </w:pPr>
      <w:r w:rsidRPr="0016301A">
        <w:rPr>
          <w:rFonts w:asciiTheme="minorHAnsi" w:eastAsia="Trebuchet MS" w:hAnsiTheme="minorHAnsi" w:cstheme="minorHAnsi"/>
          <w:i w:val="0"/>
          <w:iCs w:val="0"/>
          <w:color w:val="000000" w:themeColor="text1"/>
        </w:rPr>
        <w:t xml:space="preserve">Par exemple, le niébé qui est une plante C3, tire plutôt avantage de plus fortes émissions de CO2, à l’horizon 2080, ses rendements augmentent de 4% </w:t>
      </w:r>
      <w:proofErr w:type="gramStart"/>
      <w:r w:rsidRPr="0016301A">
        <w:rPr>
          <w:rFonts w:asciiTheme="minorHAnsi" w:eastAsia="Trebuchet MS" w:hAnsiTheme="minorHAnsi" w:cstheme="minorHAnsi"/>
          <w:i w:val="0"/>
          <w:iCs w:val="0"/>
          <w:color w:val="000000" w:themeColor="text1"/>
        </w:rPr>
        <w:t>( 2</w:t>
      </w:r>
      <w:proofErr w:type="gramEnd"/>
      <w:r w:rsidRPr="0016301A">
        <w:rPr>
          <w:rFonts w:asciiTheme="minorHAnsi" w:eastAsia="Trebuchet MS" w:hAnsiTheme="minorHAnsi" w:cstheme="minorHAnsi"/>
          <w:i w:val="0"/>
          <w:iCs w:val="0"/>
          <w:color w:val="000000" w:themeColor="text1"/>
        </w:rPr>
        <w:t>,5% pour 2050, 5% pour 2100) pour le RCP6.0 (émissions élevées à moyennes) et baissent de 6% (3,75% pour 2050, 7,5% pour 2100) pour le RCP2.6 (faibles émissions). Pour le maïs à l’horizon 2080, les rendements baisseraient de 11% (6,87% pour 2050, 13,75% pour 2100) pour le RCP6.0 et augmenteraient de 3% (1,87% pour 2050, 3,75% pour 2100) pour le RCP2.6. Les rendements du sorgho enregistrent une augmentation dans les deux cas (RCP6.0 et RCP2.6) parce que tirant avantage du CO2. Les augmentations de rendement du Sorgho, pour l’horizon 2080</w:t>
      </w:r>
      <w:r>
        <w:rPr>
          <w:rFonts w:asciiTheme="minorHAnsi" w:eastAsia="Trebuchet MS" w:hAnsiTheme="minorHAnsi" w:cstheme="minorHAnsi"/>
          <w:i w:val="0"/>
          <w:iCs w:val="0"/>
          <w:color w:val="000000" w:themeColor="text1"/>
        </w:rPr>
        <w:t xml:space="preserve"> </w:t>
      </w:r>
      <w:r w:rsidRPr="0016301A">
        <w:rPr>
          <w:rFonts w:asciiTheme="minorHAnsi" w:eastAsia="Trebuchet MS" w:hAnsiTheme="minorHAnsi" w:cstheme="minorHAnsi"/>
          <w:i w:val="0"/>
          <w:iCs w:val="0"/>
          <w:color w:val="000000" w:themeColor="text1"/>
        </w:rPr>
        <w:t>vont de   de 8 % (5% pour 2050, 10% pour 2100) pour le RCP2.6 (émissions faibles</w:t>
      </w:r>
      <w:r>
        <w:rPr>
          <w:rFonts w:asciiTheme="minorHAnsi" w:eastAsia="Trebuchet MS" w:hAnsiTheme="minorHAnsi" w:cstheme="minorHAnsi"/>
          <w:i w:val="0"/>
          <w:iCs w:val="0"/>
          <w:color w:val="000000" w:themeColor="text1"/>
        </w:rPr>
        <w:t>,</w:t>
      </w:r>
      <w:r w:rsidRPr="0016301A">
        <w:rPr>
          <w:rFonts w:asciiTheme="minorHAnsi" w:eastAsia="Trebuchet MS" w:hAnsiTheme="minorHAnsi" w:cstheme="minorHAnsi"/>
          <w:i w:val="0"/>
          <w:iCs w:val="0"/>
          <w:color w:val="000000" w:themeColor="text1"/>
        </w:rPr>
        <w:t xml:space="preserve"> mais plus de pluies) et de 6 % (3,75% pour 2050, 7,5% pour 2100) pour le RCP6.0 (Emissions moyennes à élevés mais moins de pluies). Les rendements du riz ne devraient pas changer quel que soit le scénario d’émission</w:t>
      </w:r>
      <w:r w:rsidRPr="0016301A">
        <w:rPr>
          <w:rFonts w:asciiTheme="minorHAnsi" w:hAnsiTheme="minorHAnsi" w:cstheme="minorHAnsi"/>
          <w:i w:val="0"/>
          <w:iCs w:val="0"/>
          <w:color w:val="000000" w:themeColor="text1"/>
          <w:w w:val="85"/>
        </w:rPr>
        <w:t>.</w:t>
      </w:r>
    </w:p>
    <w:p w14:paraId="4895F289" w14:textId="77777777" w:rsidR="00412F22" w:rsidRPr="0016301A" w:rsidRDefault="00412F22" w:rsidP="00412F22">
      <w:pPr>
        <w:pStyle w:val="Corpsdetexte"/>
        <w:spacing w:before="68" w:line="276" w:lineRule="auto"/>
        <w:ind w:left="1418" w:right="1269"/>
        <w:rPr>
          <w:color w:val="000000" w:themeColor="text1"/>
        </w:rPr>
      </w:pPr>
    </w:p>
    <w:p w14:paraId="3B8659FF" w14:textId="77777777" w:rsidR="00412F22" w:rsidRPr="003B41EA" w:rsidRDefault="00412F22" w:rsidP="00412F22">
      <w:pPr>
        <w:pStyle w:val="Titre3"/>
        <w:tabs>
          <w:tab w:val="left" w:pos="9356"/>
          <w:tab w:val="left" w:pos="9498"/>
          <w:tab w:val="left" w:pos="9781"/>
        </w:tabs>
        <w:ind w:right="1279"/>
        <w:jc w:val="center"/>
        <w:rPr>
          <w:rFonts w:ascii="Arial Black" w:hAnsi="Arial Black"/>
          <w:b/>
          <w:bCs/>
          <w:color w:val="FF3399"/>
        </w:rPr>
      </w:pPr>
      <w:bookmarkStart w:id="714" w:name="_Toc192462516"/>
      <w:r w:rsidRPr="003B41EA">
        <w:rPr>
          <w:rFonts w:ascii="Arial Black" w:hAnsi="Arial Black"/>
          <w:b/>
          <w:bCs/>
          <w:color w:val="FF3399"/>
        </w:rPr>
        <w:t>II.3.2 Vulnérabilité de Elevage</w:t>
      </w:r>
      <w:bookmarkEnd w:id="714"/>
    </w:p>
    <w:p w14:paraId="2C375884" w14:textId="77777777" w:rsidR="00412F22" w:rsidRPr="0016301A" w:rsidRDefault="00412F22" w:rsidP="00412F22">
      <w:pPr>
        <w:rPr>
          <w:color w:val="000000" w:themeColor="text1"/>
        </w:rPr>
      </w:pPr>
    </w:p>
    <w:p w14:paraId="624B815D" w14:textId="77777777" w:rsidR="00412F22" w:rsidRPr="0016301A" w:rsidRDefault="00412F22" w:rsidP="00412F22">
      <w:pPr>
        <w:spacing w:line="276" w:lineRule="auto"/>
        <w:ind w:right="1279"/>
        <w:jc w:val="both"/>
        <w:rPr>
          <w:rFonts w:cstheme="minorHAnsi"/>
          <w:color w:val="000000" w:themeColor="text1"/>
        </w:rPr>
      </w:pPr>
      <w:r w:rsidRPr="0016301A">
        <w:rPr>
          <w:rFonts w:cstheme="minorHAnsi"/>
          <w:color w:val="000000" w:themeColor="text1"/>
        </w:rPr>
        <w:t>Les</w:t>
      </w:r>
      <w:r w:rsidRPr="0016301A">
        <w:rPr>
          <w:rFonts w:cstheme="minorHAnsi"/>
          <w:color w:val="000000" w:themeColor="text1"/>
          <w:spacing w:val="-10"/>
        </w:rPr>
        <w:t xml:space="preserve"> </w:t>
      </w:r>
      <w:r w:rsidRPr="0016301A">
        <w:rPr>
          <w:rFonts w:cstheme="minorHAnsi"/>
          <w:color w:val="000000" w:themeColor="text1"/>
        </w:rPr>
        <w:t>changements</w:t>
      </w:r>
      <w:r w:rsidRPr="0016301A">
        <w:rPr>
          <w:rFonts w:cstheme="minorHAnsi"/>
          <w:color w:val="000000" w:themeColor="text1"/>
          <w:spacing w:val="-11"/>
        </w:rPr>
        <w:t xml:space="preserve"> </w:t>
      </w:r>
      <w:r w:rsidRPr="0016301A">
        <w:rPr>
          <w:rFonts w:cstheme="minorHAnsi"/>
          <w:color w:val="000000" w:themeColor="text1"/>
        </w:rPr>
        <w:t>climatiques et la variabilité climatique</w:t>
      </w:r>
      <w:r w:rsidRPr="0016301A">
        <w:rPr>
          <w:rFonts w:cstheme="minorHAnsi"/>
          <w:color w:val="000000" w:themeColor="text1"/>
          <w:spacing w:val="-9"/>
        </w:rPr>
        <w:t xml:space="preserve"> </w:t>
      </w:r>
      <w:r w:rsidRPr="0016301A">
        <w:rPr>
          <w:rFonts w:cstheme="minorHAnsi"/>
          <w:color w:val="000000" w:themeColor="text1"/>
        </w:rPr>
        <w:t>impactent l’élevage à travers l’insuffisance des ressources en eau (assèchement des marres et autres points d’eau), la destruction des ressources herbacées et forestières et d’une manière générale la dégradation des écosystèmes.</w:t>
      </w:r>
    </w:p>
    <w:p w14:paraId="05AEBC95" w14:textId="77777777" w:rsidR="00412F22" w:rsidRPr="0016301A" w:rsidRDefault="00412F22" w:rsidP="00412F22">
      <w:pPr>
        <w:spacing w:line="276" w:lineRule="auto"/>
        <w:jc w:val="both"/>
        <w:rPr>
          <w:rFonts w:cstheme="minorHAnsi"/>
          <w:color w:val="000000" w:themeColor="text1"/>
        </w:rPr>
      </w:pPr>
    </w:p>
    <w:p w14:paraId="1B8553E8" w14:textId="77777777" w:rsidR="00412F22" w:rsidRPr="0016301A" w:rsidRDefault="00412F22" w:rsidP="00412F22">
      <w:pPr>
        <w:spacing w:line="276" w:lineRule="auto"/>
        <w:jc w:val="both"/>
        <w:rPr>
          <w:rFonts w:cstheme="minorHAnsi"/>
          <w:color w:val="000000" w:themeColor="text1"/>
        </w:rPr>
      </w:pPr>
      <w:r w:rsidRPr="0016301A">
        <w:rPr>
          <w:rFonts w:cstheme="minorHAnsi"/>
          <w:color w:val="000000" w:themeColor="text1"/>
        </w:rPr>
        <w:t xml:space="preserve">La vulnérabilité de l’élevage se manifeste par : </w:t>
      </w:r>
    </w:p>
    <w:p w14:paraId="64F0B276" w14:textId="77777777" w:rsidR="00412F22" w:rsidRPr="00385722" w:rsidRDefault="00412F22" w:rsidP="00412F22">
      <w:pPr>
        <w:pStyle w:val="Paragraphedeliste"/>
        <w:numPr>
          <w:ilvl w:val="0"/>
          <w:numId w:val="231"/>
        </w:numPr>
        <w:spacing w:after="0" w:line="276" w:lineRule="auto"/>
        <w:ind w:right="1279"/>
        <w:contextualSpacing w:val="0"/>
        <w:jc w:val="both"/>
        <w:rPr>
          <w:rFonts w:cstheme="minorHAnsi"/>
          <w:color w:val="000000" w:themeColor="text1"/>
        </w:rPr>
      </w:pPr>
      <w:r w:rsidRPr="00385722">
        <w:rPr>
          <w:rFonts w:cstheme="minorHAnsi"/>
          <w:color w:val="000000" w:themeColor="text1"/>
        </w:rPr>
        <w:t>L’augmentation de la mortalité au niveau du cheptel du fait du stress thermique et des nombreuses maladies qui en découlent ;</w:t>
      </w:r>
    </w:p>
    <w:p w14:paraId="00FB4824" w14:textId="77777777" w:rsidR="00412F22" w:rsidRPr="00385722" w:rsidRDefault="00412F22" w:rsidP="00412F22">
      <w:pPr>
        <w:pStyle w:val="Paragraphedeliste"/>
        <w:numPr>
          <w:ilvl w:val="0"/>
          <w:numId w:val="231"/>
        </w:numPr>
        <w:spacing w:after="0" w:line="276" w:lineRule="auto"/>
        <w:ind w:right="1279"/>
        <w:contextualSpacing w:val="0"/>
        <w:jc w:val="both"/>
        <w:rPr>
          <w:rFonts w:cstheme="minorHAnsi"/>
          <w:color w:val="000000" w:themeColor="text1"/>
        </w:rPr>
      </w:pPr>
      <w:r w:rsidRPr="00385722">
        <w:rPr>
          <w:rFonts w:cstheme="minorHAnsi"/>
          <w:color w:val="000000" w:themeColor="text1"/>
        </w:rPr>
        <w:t>Le manque des aliments, notamment les fourrages et les pâturages. 30% des terres de pâturages de la Mauritanie sont dégradés (FAO 2016). Les feux de brousse causés par les températures extrêmes et les vents violents jouent un grand rôle dans cette perte de pâturage (perte annuelle de 10% à 15% du couvert végétal des zones touchées) ;</w:t>
      </w:r>
    </w:p>
    <w:p w14:paraId="430B3670" w14:textId="77777777" w:rsidR="00412F22" w:rsidRPr="00385722" w:rsidRDefault="00412F22" w:rsidP="00412F22">
      <w:pPr>
        <w:pStyle w:val="Paragraphedeliste"/>
        <w:numPr>
          <w:ilvl w:val="0"/>
          <w:numId w:val="231"/>
        </w:numPr>
        <w:spacing w:after="0" w:line="276" w:lineRule="auto"/>
        <w:contextualSpacing w:val="0"/>
        <w:jc w:val="both"/>
        <w:rPr>
          <w:rFonts w:cstheme="minorHAnsi"/>
          <w:color w:val="000000" w:themeColor="text1"/>
        </w:rPr>
      </w:pPr>
      <w:r w:rsidRPr="00385722">
        <w:rPr>
          <w:rFonts w:cstheme="minorHAnsi"/>
          <w:color w:val="000000" w:themeColor="text1"/>
        </w:rPr>
        <w:t>La ba</w:t>
      </w:r>
      <w:r>
        <w:rPr>
          <w:rFonts w:cstheme="minorHAnsi"/>
          <w:color w:val="000000" w:themeColor="text1"/>
        </w:rPr>
        <w:t>i</w:t>
      </w:r>
      <w:r w:rsidRPr="00385722">
        <w:rPr>
          <w:rFonts w:cstheme="minorHAnsi"/>
          <w:color w:val="000000" w:themeColor="text1"/>
        </w:rPr>
        <w:t>sse de la reproduction, de la croissance des nouveaux nés et de la production de lait.</w:t>
      </w:r>
    </w:p>
    <w:p w14:paraId="20344AB8" w14:textId="77777777" w:rsidR="00412F22" w:rsidRPr="0016301A" w:rsidRDefault="00412F22" w:rsidP="00412F22">
      <w:pPr>
        <w:spacing w:line="276" w:lineRule="auto"/>
        <w:jc w:val="both"/>
        <w:rPr>
          <w:rFonts w:cstheme="minorHAnsi"/>
          <w:color w:val="000000" w:themeColor="text1"/>
        </w:rPr>
      </w:pPr>
    </w:p>
    <w:p w14:paraId="11234698" w14:textId="77777777" w:rsidR="00412F22" w:rsidRPr="0016301A" w:rsidRDefault="00412F22" w:rsidP="00412F22">
      <w:pPr>
        <w:spacing w:line="276" w:lineRule="auto"/>
        <w:ind w:right="1279"/>
        <w:jc w:val="both"/>
        <w:rPr>
          <w:rFonts w:cstheme="minorHAnsi"/>
          <w:color w:val="000000" w:themeColor="text1"/>
        </w:rPr>
      </w:pPr>
      <w:r w:rsidRPr="0016301A">
        <w:rPr>
          <w:rFonts w:cstheme="minorHAnsi"/>
          <w:color w:val="000000" w:themeColor="text1"/>
        </w:rPr>
        <w:t>En conséquence</w:t>
      </w:r>
      <w:r>
        <w:rPr>
          <w:rFonts w:cstheme="minorHAnsi"/>
          <w:color w:val="000000" w:themeColor="text1"/>
        </w:rPr>
        <w:t>,</w:t>
      </w:r>
      <w:r w:rsidRPr="0016301A">
        <w:rPr>
          <w:rFonts w:cstheme="minorHAnsi"/>
          <w:color w:val="000000" w:themeColor="text1"/>
        </w:rPr>
        <w:t xml:space="preserve"> l’élevage qui représente plus de 60% du PIB du secteur rural se détériore</w:t>
      </w:r>
      <w:r>
        <w:rPr>
          <w:rFonts w:cstheme="minorHAnsi"/>
          <w:color w:val="000000" w:themeColor="text1"/>
        </w:rPr>
        <w:t>ra ;</w:t>
      </w:r>
      <w:r w:rsidRPr="0016301A">
        <w:rPr>
          <w:rFonts w:cstheme="minorHAnsi"/>
          <w:color w:val="000000" w:themeColor="text1"/>
        </w:rPr>
        <w:t xml:space="preserve"> </w:t>
      </w:r>
      <w:r>
        <w:rPr>
          <w:rFonts w:cstheme="minorHAnsi"/>
          <w:color w:val="000000" w:themeColor="text1"/>
        </w:rPr>
        <w:t>ce qui se traduit par</w:t>
      </w:r>
      <w:r w:rsidRPr="0016301A">
        <w:rPr>
          <w:rFonts w:cstheme="minorHAnsi"/>
          <w:color w:val="000000" w:themeColor="text1"/>
        </w:rPr>
        <w:t xml:space="preserve"> un faible taux de croissance, 2% environ. </w:t>
      </w:r>
      <w:r>
        <w:rPr>
          <w:rFonts w:cstheme="minorHAnsi"/>
          <w:color w:val="000000" w:themeColor="text1"/>
        </w:rPr>
        <w:t>L’élevage</w:t>
      </w:r>
      <w:r w:rsidRPr="0016301A">
        <w:rPr>
          <w:rFonts w:cstheme="minorHAnsi"/>
          <w:color w:val="000000" w:themeColor="text1"/>
        </w:rPr>
        <w:t xml:space="preserve"> </w:t>
      </w:r>
      <w:r>
        <w:rPr>
          <w:rFonts w:cstheme="minorHAnsi"/>
          <w:color w:val="000000" w:themeColor="text1"/>
        </w:rPr>
        <w:t>fait face à</w:t>
      </w:r>
      <w:r w:rsidRPr="0016301A">
        <w:rPr>
          <w:rFonts w:cstheme="minorHAnsi"/>
          <w:color w:val="000000" w:themeColor="text1"/>
        </w:rPr>
        <w:t xml:space="preserve"> un bilan fourrager déficitaire</w:t>
      </w:r>
      <w:r>
        <w:rPr>
          <w:rFonts w:cstheme="minorHAnsi"/>
          <w:color w:val="000000" w:themeColor="text1"/>
        </w:rPr>
        <w:t> ;</w:t>
      </w:r>
      <w:r w:rsidRPr="0016301A">
        <w:rPr>
          <w:rFonts w:cstheme="minorHAnsi"/>
          <w:color w:val="000000" w:themeColor="text1"/>
        </w:rPr>
        <w:t xml:space="preserve"> se traduisant par</w:t>
      </w:r>
      <w:r>
        <w:rPr>
          <w:rFonts w:cstheme="minorHAnsi"/>
          <w:color w:val="000000" w:themeColor="text1"/>
        </w:rPr>
        <w:t> :</w:t>
      </w:r>
      <w:r w:rsidRPr="0016301A">
        <w:rPr>
          <w:rFonts w:cstheme="minorHAnsi"/>
          <w:color w:val="000000" w:themeColor="text1"/>
        </w:rPr>
        <w:t xml:space="preserve"> </w:t>
      </w:r>
      <w:r>
        <w:rPr>
          <w:rFonts w:cstheme="minorHAnsi"/>
          <w:color w:val="000000" w:themeColor="text1"/>
        </w:rPr>
        <w:t xml:space="preserve">(i) </w:t>
      </w:r>
      <w:r w:rsidRPr="0016301A">
        <w:rPr>
          <w:rFonts w:cstheme="minorHAnsi"/>
          <w:color w:val="000000" w:themeColor="text1"/>
        </w:rPr>
        <w:t>de longues transhumances à l’’intérieur du pays et vers les pays voisins</w:t>
      </w:r>
      <w:r>
        <w:rPr>
          <w:rFonts w:cstheme="minorHAnsi"/>
          <w:color w:val="000000" w:themeColor="text1"/>
        </w:rPr>
        <w:t xml:space="preserve"> (Mali ; Sénégal)</w:t>
      </w:r>
      <w:r w:rsidRPr="0016301A">
        <w:rPr>
          <w:rFonts w:cstheme="minorHAnsi"/>
          <w:color w:val="000000" w:themeColor="text1"/>
        </w:rPr>
        <w:t xml:space="preserve">, </w:t>
      </w:r>
      <w:r>
        <w:rPr>
          <w:rFonts w:cstheme="minorHAnsi"/>
          <w:color w:val="000000" w:themeColor="text1"/>
        </w:rPr>
        <w:t xml:space="preserve">(ii) </w:t>
      </w:r>
      <w:r w:rsidRPr="0016301A">
        <w:rPr>
          <w:rFonts w:cstheme="minorHAnsi"/>
          <w:color w:val="000000" w:themeColor="text1"/>
        </w:rPr>
        <w:t xml:space="preserve">la diminution de la productivité du cheptel, </w:t>
      </w:r>
      <w:r>
        <w:rPr>
          <w:rFonts w:cstheme="minorHAnsi"/>
          <w:color w:val="000000" w:themeColor="text1"/>
        </w:rPr>
        <w:t xml:space="preserve">(iii) </w:t>
      </w:r>
      <w:r w:rsidRPr="0016301A">
        <w:rPr>
          <w:rFonts w:cstheme="minorHAnsi"/>
          <w:color w:val="000000" w:themeColor="text1"/>
        </w:rPr>
        <w:t xml:space="preserve">de forts taux de mortalité du cheptel, </w:t>
      </w:r>
      <w:r>
        <w:rPr>
          <w:rFonts w:cstheme="minorHAnsi"/>
          <w:color w:val="000000" w:themeColor="text1"/>
        </w:rPr>
        <w:t xml:space="preserve">(iv) </w:t>
      </w:r>
      <w:r w:rsidRPr="0016301A">
        <w:rPr>
          <w:rFonts w:cstheme="minorHAnsi"/>
          <w:color w:val="000000" w:themeColor="text1"/>
        </w:rPr>
        <w:t xml:space="preserve">la sédentarisation et l’appauvrissement des éleveurs et </w:t>
      </w:r>
      <w:r>
        <w:rPr>
          <w:rFonts w:cstheme="minorHAnsi"/>
          <w:color w:val="000000" w:themeColor="text1"/>
        </w:rPr>
        <w:t xml:space="preserve">(v) </w:t>
      </w:r>
      <w:r w:rsidRPr="0016301A">
        <w:rPr>
          <w:rFonts w:cstheme="minorHAnsi"/>
          <w:color w:val="000000" w:themeColor="text1"/>
        </w:rPr>
        <w:t>l’augmentation des risques de crises alimentaires.</w:t>
      </w:r>
    </w:p>
    <w:p w14:paraId="1157EF37" w14:textId="77777777" w:rsidR="00412F22" w:rsidRPr="001B4691" w:rsidRDefault="00412F22" w:rsidP="00412F22">
      <w:pPr>
        <w:pStyle w:val="Paragraphedeliste"/>
        <w:tabs>
          <w:tab w:val="left" w:pos="2138"/>
        </w:tabs>
        <w:spacing w:line="278" w:lineRule="auto"/>
        <w:ind w:left="2138" w:right="1267"/>
        <w:rPr>
          <w:rFonts w:ascii="Symbol" w:hAnsi="Symbol"/>
          <w:color w:val="000000" w:themeColor="text1"/>
          <w:sz w:val="20"/>
        </w:rPr>
      </w:pPr>
    </w:p>
    <w:p w14:paraId="7580DB15" w14:textId="77777777" w:rsidR="00412F22" w:rsidRPr="003B41EA" w:rsidRDefault="00412F22" w:rsidP="00412F22">
      <w:pPr>
        <w:pStyle w:val="Titre3"/>
        <w:tabs>
          <w:tab w:val="left" w:pos="9356"/>
          <w:tab w:val="left" w:pos="9498"/>
          <w:tab w:val="left" w:pos="9781"/>
        </w:tabs>
        <w:ind w:right="1279"/>
        <w:rPr>
          <w:rFonts w:ascii="Arial Black" w:hAnsi="Arial Black"/>
          <w:b/>
          <w:bCs/>
          <w:color w:val="FF3399"/>
        </w:rPr>
      </w:pPr>
      <w:bookmarkStart w:id="715" w:name="_Toc192462517"/>
      <w:r w:rsidRPr="003B41EA">
        <w:rPr>
          <w:rFonts w:ascii="Arial Black" w:hAnsi="Arial Black"/>
          <w:b/>
          <w:bCs/>
          <w:color w:val="FF3399"/>
        </w:rPr>
        <w:t xml:space="preserve">II.3.3 Vulnérabilité </w:t>
      </w:r>
      <w:r>
        <w:rPr>
          <w:rFonts w:ascii="Arial Black" w:hAnsi="Arial Black"/>
          <w:b/>
          <w:bCs/>
          <w:color w:val="FF3399"/>
        </w:rPr>
        <w:t xml:space="preserve">des </w:t>
      </w:r>
      <w:r w:rsidRPr="003B41EA">
        <w:rPr>
          <w:rFonts w:ascii="Arial Black" w:hAnsi="Arial Black"/>
          <w:b/>
          <w:bCs/>
          <w:color w:val="FF3399"/>
        </w:rPr>
        <w:t>Ecosystèmes arides et forestiers</w:t>
      </w:r>
      <w:bookmarkEnd w:id="715"/>
    </w:p>
    <w:p w14:paraId="6B61A71E" w14:textId="77777777" w:rsidR="00412F22" w:rsidRPr="0016301A" w:rsidRDefault="00412F22" w:rsidP="00412F22">
      <w:pPr>
        <w:pStyle w:val="Corpsdetexte"/>
        <w:spacing w:line="278" w:lineRule="auto"/>
        <w:ind w:right="592"/>
        <w:rPr>
          <w:color w:val="000000" w:themeColor="text1"/>
        </w:rPr>
      </w:pPr>
    </w:p>
    <w:p w14:paraId="1C5518B8" w14:textId="77777777" w:rsidR="00412F22" w:rsidRPr="0016301A" w:rsidRDefault="00412F22" w:rsidP="00412F22">
      <w:pPr>
        <w:pStyle w:val="Corpsdetexte"/>
        <w:spacing w:line="276" w:lineRule="auto"/>
        <w:ind w:right="1279"/>
        <w:rPr>
          <w:rFonts w:asciiTheme="minorHAnsi" w:hAnsiTheme="minorHAnsi" w:cstheme="minorHAnsi"/>
          <w:color w:val="000000" w:themeColor="text1"/>
        </w:rPr>
      </w:pPr>
      <w:r w:rsidRPr="0016301A">
        <w:rPr>
          <w:rFonts w:asciiTheme="minorHAnsi" w:hAnsiTheme="minorHAnsi" w:cstheme="minorHAnsi"/>
          <w:color w:val="000000" w:themeColor="text1"/>
        </w:rPr>
        <w:t>Les écosystèmes arides et forestiers contribuent à la régulation des cycles hydrologiques, la conservation de la biodiversité, et à l’apport de subsistance des communautés locales. Ils sont très vulnérables</w:t>
      </w:r>
      <w:r w:rsidRPr="0016301A">
        <w:rPr>
          <w:rFonts w:asciiTheme="minorHAnsi" w:hAnsiTheme="minorHAnsi" w:cstheme="minorHAnsi"/>
          <w:color w:val="000000" w:themeColor="text1"/>
          <w:spacing w:val="-1"/>
        </w:rPr>
        <w:t xml:space="preserve"> </w:t>
      </w:r>
      <w:r w:rsidRPr="0016301A">
        <w:rPr>
          <w:rFonts w:asciiTheme="minorHAnsi" w:hAnsiTheme="minorHAnsi" w:cstheme="minorHAnsi"/>
          <w:color w:val="000000" w:themeColor="text1"/>
        </w:rPr>
        <w:t>aux</w:t>
      </w:r>
      <w:r w:rsidRPr="0016301A">
        <w:rPr>
          <w:rFonts w:asciiTheme="minorHAnsi" w:hAnsiTheme="minorHAnsi" w:cstheme="minorHAnsi"/>
          <w:color w:val="000000" w:themeColor="text1"/>
          <w:spacing w:val="-3"/>
        </w:rPr>
        <w:t xml:space="preserve"> </w:t>
      </w:r>
      <w:r w:rsidRPr="0016301A">
        <w:rPr>
          <w:rFonts w:asciiTheme="minorHAnsi" w:hAnsiTheme="minorHAnsi" w:cstheme="minorHAnsi"/>
          <w:color w:val="000000" w:themeColor="text1"/>
        </w:rPr>
        <w:t>effets</w:t>
      </w:r>
      <w:r w:rsidRPr="0016301A">
        <w:rPr>
          <w:rFonts w:asciiTheme="minorHAnsi" w:hAnsiTheme="minorHAnsi" w:cstheme="minorHAnsi"/>
          <w:color w:val="000000" w:themeColor="text1"/>
          <w:spacing w:val="-3"/>
        </w:rPr>
        <w:t xml:space="preserve"> </w:t>
      </w:r>
      <w:r w:rsidRPr="0016301A">
        <w:rPr>
          <w:rFonts w:asciiTheme="minorHAnsi" w:hAnsiTheme="minorHAnsi" w:cstheme="minorHAnsi"/>
          <w:color w:val="000000" w:themeColor="text1"/>
        </w:rPr>
        <w:t>du</w:t>
      </w:r>
      <w:r w:rsidRPr="0016301A">
        <w:rPr>
          <w:rFonts w:asciiTheme="minorHAnsi" w:hAnsiTheme="minorHAnsi" w:cstheme="minorHAnsi"/>
          <w:color w:val="000000" w:themeColor="text1"/>
          <w:spacing w:val="-2"/>
        </w:rPr>
        <w:t xml:space="preserve"> </w:t>
      </w:r>
      <w:r w:rsidRPr="0016301A">
        <w:rPr>
          <w:rFonts w:asciiTheme="minorHAnsi" w:hAnsiTheme="minorHAnsi" w:cstheme="minorHAnsi"/>
          <w:color w:val="000000" w:themeColor="text1"/>
        </w:rPr>
        <w:t>changement</w:t>
      </w:r>
      <w:r w:rsidRPr="0016301A">
        <w:rPr>
          <w:rFonts w:asciiTheme="minorHAnsi" w:hAnsiTheme="minorHAnsi" w:cstheme="minorHAnsi"/>
          <w:color w:val="000000" w:themeColor="text1"/>
          <w:spacing w:val="-1"/>
        </w:rPr>
        <w:t xml:space="preserve"> </w:t>
      </w:r>
      <w:r w:rsidRPr="0016301A">
        <w:rPr>
          <w:rFonts w:asciiTheme="minorHAnsi" w:hAnsiTheme="minorHAnsi" w:cstheme="minorHAnsi"/>
          <w:color w:val="000000" w:themeColor="text1"/>
        </w:rPr>
        <w:t>climatique,</w:t>
      </w:r>
      <w:r w:rsidRPr="0016301A">
        <w:rPr>
          <w:rFonts w:asciiTheme="minorHAnsi" w:hAnsiTheme="minorHAnsi" w:cstheme="minorHAnsi"/>
          <w:color w:val="000000" w:themeColor="text1"/>
          <w:spacing w:val="-1"/>
        </w:rPr>
        <w:t xml:space="preserve"> </w:t>
      </w:r>
      <w:r w:rsidRPr="0016301A">
        <w:rPr>
          <w:rFonts w:asciiTheme="minorHAnsi" w:hAnsiTheme="minorHAnsi" w:cstheme="minorHAnsi"/>
          <w:color w:val="000000" w:themeColor="text1"/>
        </w:rPr>
        <w:t>notamment</w:t>
      </w:r>
      <w:r w:rsidRPr="0016301A">
        <w:rPr>
          <w:rFonts w:asciiTheme="minorHAnsi" w:hAnsiTheme="minorHAnsi" w:cstheme="minorHAnsi"/>
          <w:color w:val="000000" w:themeColor="text1"/>
          <w:spacing w:val="-1"/>
        </w:rPr>
        <w:t xml:space="preserve"> du fait de leur grande sensibilité aux</w:t>
      </w:r>
      <w:r w:rsidRPr="0016301A">
        <w:rPr>
          <w:rFonts w:asciiTheme="minorHAnsi" w:hAnsiTheme="minorHAnsi" w:cstheme="minorHAnsi"/>
          <w:color w:val="000000" w:themeColor="text1"/>
          <w:spacing w:val="-4"/>
        </w:rPr>
        <w:t xml:space="preserve"> </w:t>
      </w:r>
      <w:r w:rsidRPr="0016301A">
        <w:rPr>
          <w:rFonts w:asciiTheme="minorHAnsi" w:hAnsiTheme="minorHAnsi" w:cstheme="minorHAnsi"/>
          <w:color w:val="000000" w:themeColor="text1"/>
        </w:rPr>
        <w:t>variations des</w:t>
      </w:r>
      <w:r w:rsidRPr="0016301A">
        <w:rPr>
          <w:rFonts w:asciiTheme="minorHAnsi" w:hAnsiTheme="minorHAnsi" w:cstheme="minorHAnsi"/>
          <w:color w:val="000000" w:themeColor="text1"/>
          <w:spacing w:val="-22"/>
        </w:rPr>
        <w:t xml:space="preserve"> </w:t>
      </w:r>
      <w:r w:rsidRPr="0016301A">
        <w:rPr>
          <w:rFonts w:asciiTheme="minorHAnsi" w:hAnsiTheme="minorHAnsi" w:cstheme="minorHAnsi"/>
          <w:color w:val="000000" w:themeColor="text1"/>
        </w:rPr>
        <w:t>précipitations</w:t>
      </w:r>
      <w:r w:rsidRPr="0016301A">
        <w:rPr>
          <w:rFonts w:asciiTheme="minorHAnsi" w:hAnsiTheme="minorHAnsi" w:cstheme="minorHAnsi"/>
          <w:color w:val="000000" w:themeColor="text1"/>
          <w:spacing w:val="-21"/>
        </w:rPr>
        <w:t xml:space="preserve"> </w:t>
      </w:r>
      <w:r w:rsidRPr="0016301A">
        <w:rPr>
          <w:rFonts w:asciiTheme="minorHAnsi" w:hAnsiTheme="minorHAnsi" w:cstheme="minorHAnsi"/>
          <w:color w:val="000000" w:themeColor="text1"/>
        </w:rPr>
        <w:t>et</w:t>
      </w:r>
      <w:r w:rsidRPr="0016301A">
        <w:rPr>
          <w:rFonts w:asciiTheme="minorHAnsi" w:hAnsiTheme="minorHAnsi" w:cstheme="minorHAnsi"/>
          <w:color w:val="000000" w:themeColor="text1"/>
          <w:spacing w:val="-21"/>
        </w:rPr>
        <w:t xml:space="preserve"> </w:t>
      </w:r>
      <w:r w:rsidRPr="0016301A">
        <w:rPr>
          <w:rFonts w:asciiTheme="minorHAnsi" w:hAnsiTheme="minorHAnsi" w:cstheme="minorHAnsi"/>
          <w:color w:val="000000" w:themeColor="text1"/>
        </w:rPr>
        <w:t>des</w:t>
      </w:r>
      <w:r w:rsidRPr="0016301A">
        <w:rPr>
          <w:rFonts w:asciiTheme="minorHAnsi" w:hAnsiTheme="minorHAnsi" w:cstheme="minorHAnsi"/>
          <w:color w:val="000000" w:themeColor="text1"/>
          <w:spacing w:val="-21"/>
        </w:rPr>
        <w:t xml:space="preserve"> </w:t>
      </w:r>
      <w:r w:rsidRPr="0016301A">
        <w:rPr>
          <w:rFonts w:asciiTheme="minorHAnsi" w:hAnsiTheme="minorHAnsi" w:cstheme="minorHAnsi"/>
          <w:color w:val="000000" w:themeColor="text1"/>
        </w:rPr>
        <w:t>températures.</w:t>
      </w:r>
    </w:p>
    <w:p w14:paraId="07A21733" w14:textId="77777777" w:rsidR="00412F22" w:rsidRDefault="00412F22" w:rsidP="00412F22">
      <w:pPr>
        <w:pStyle w:val="Corpsdetexte"/>
        <w:spacing w:line="276" w:lineRule="auto"/>
        <w:ind w:right="592"/>
        <w:rPr>
          <w:rFonts w:asciiTheme="minorHAnsi" w:hAnsiTheme="minorHAnsi" w:cstheme="minorHAnsi"/>
          <w:color w:val="000000" w:themeColor="text1"/>
        </w:rPr>
      </w:pPr>
    </w:p>
    <w:p w14:paraId="7060B686" w14:textId="77777777" w:rsidR="00412F22" w:rsidRPr="0016301A" w:rsidRDefault="00412F22" w:rsidP="00412F22">
      <w:pPr>
        <w:pStyle w:val="Corpsdetexte"/>
        <w:tabs>
          <w:tab w:val="left" w:pos="9356"/>
        </w:tabs>
        <w:spacing w:line="276" w:lineRule="auto"/>
        <w:ind w:right="592"/>
        <w:rPr>
          <w:rFonts w:asciiTheme="minorHAnsi" w:hAnsiTheme="minorHAnsi" w:cstheme="minorHAnsi"/>
          <w:color w:val="000000" w:themeColor="text1"/>
        </w:rPr>
      </w:pPr>
      <w:r w:rsidRPr="0016301A">
        <w:rPr>
          <w:rFonts w:asciiTheme="minorHAnsi" w:hAnsiTheme="minorHAnsi" w:cstheme="minorHAnsi"/>
          <w:color w:val="000000" w:themeColor="text1"/>
        </w:rPr>
        <w:t xml:space="preserve">Il découle des scénarii climatiques que : </w:t>
      </w:r>
    </w:p>
    <w:p w14:paraId="494718F5" w14:textId="77777777" w:rsidR="00412F22" w:rsidRPr="0016301A" w:rsidRDefault="00412F22" w:rsidP="00412F22">
      <w:pPr>
        <w:pStyle w:val="Corpsdetexte"/>
        <w:widowControl/>
        <w:numPr>
          <w:ilvl w:val="0"/>
          <w:numId w:val="205"/>
        </w:numPr>
        <w:autoSpaceDE/>
        <w:autoSpaceDN/>
        <w:spacing w:before="0" w:line="276" w:lineRule="auto"/>
        <w:ind w:right="1279"/>
        <w:rPr>
          <w:rFonts w:asciiTheme="minorHAnsi" w:hAnsiTheme="minorHAnsi" w:cstheme="minorHAnsi"/>
          <w:color w:val="000000" w:themeColor="text1"/>
        </w:rPr>
      </w:pPr>
      <w:r w:rsidRPr="0016301A">
        <w:rPr>
          <w:rFonts w:asciiTheme="minorHAnsi" w:hAnsiTheme="minorHAnsi" w:cstheme="minorHAnsi"/>
          <w:color w:val="000000" w:themeColor="text1"/>
        </w:rPr>
        <w:t>La hausse</w:t>
      </w:r>
      <w:r w:rsidRPr="0016301A">
        <w:rPr>
          <w:rFonts w:asciiTheme="minorHAnsi" w:hAnsiTheme="minorHAnsi" w:cstheme="minorHAnsi"/>
          <w:color w:val="000000" w:themeColor="text1"/>
          <w:spacing w:val="-4"/>
        </w:rPr>
        <w:t xml:space="preserve"> des</w:t>
      </w:r>
      <w:r w:rsidRPr="0016301A">
        <w:rPr>
          <w:rFonts w:asciiTheme="minorHAnsi" w:hAnsiTheme="minorHAnsi" w:cstheme="minorHAnsi"/>
          <w:color w:val="000000" w:themeColor="text1"/>
          <w:spacing w:val="-11"/>
        </w:rPr>
        <w:t xml:space="preserve"> </w:t>
      </w:r>
      <w:r w:rsidRPr="0016301A">
        <w:rPr>
          <w:rFonts w:asciiTheme="minorHAnsi" w:hAnsiTheme="minorHAnsi" w:cstheme="minorHAnsi"/>
          <w:color w:val="000000" w:themeColor="text1"/>
          <w:spacing w:val="-4"/>
        </w:rPr>
        <w:t>tempé</w:t>
      </w:r>
      <w:r w:rsidRPr="0016301A">
        <w:rPr>
          <w:rFonts w:asciiTheme="minorHAnsi" w:hAnsiTheme="minorHAnsi" w:cstheme="minorHAnsi"/>
          <w:color w:val="000000" w:themeColor="text1"/>
          <w:w w:val="90"/>
        </w:rPr>
        <w:t>ratures et l'augmentation de la fréquence et de l'intensité des sécheresses, les zones humides et les réseaux fluviaux risquent de plus en plus d’être modifiés en d'autres écosystèmes</w:t>
      </w:r>
      <w:r w:rsidRPr="0016301A">
        <w:rPr>
          <w:rFonts w:asciiTheme="minorHAnsi" w:hAnsiTheme="minorHAnsi" w:cstheme="minorHAnsi"/>
          <w:color w:val="000000" w:themeColor="text1"/>
        </w:rPr>
        <w:t xml:space="preserve"> caractérisés par de nouvelles populations végétales et une perte importante d’habitat pour la faune ;</w:t>
      </w:r>
    </w:p>
    <w:p w14:paraId="47954698" w14:textId="77777777" w:rsidR="00412F22" w:rsidRPr="0016301A" w:rsidRDefault="00412F22" w:rsidP="00412F22">
      <w:pPr>
        <w:pStyle w:val="Corpsdetexte"/>
        <w:widowControl/>
        <w:numPr>
          <w:ilvl w:val="0"/>
          <w:numId w:val="205"/>
        </w:numPr>
        <w:autoSpaceDE/>
        <w:autoSpaceDN/>
        <w:spacing w:before="0" w:line="276" w:lineRule="auto"/>
        <w:ind w:right="1279"/>
        <w:rPr>
          <w:rFonts w:asciiTheme="minorHAnsi" w:hAnsiTheme="minorHAnsi" w:cstheme="minorHAnsi"/>
          <w:color w:val="000000" w:themeColor="text1"/>
        </w:rPr>
      </w:pPr>
      <w:r w:rsidRPr="0016301A">
        <w:rPr>
          <w:rFonts w:asciiTheme="minorHAnsi" w:hAnsiTheme="minorHAnsi" w:cstheme="minorHAnsi"/>
          <w:color w:val="000000" w:themeColor="text1"/>
        </w:rPr>
        <w:t>Le sud-ouest de la Mauritanie devrait connaître une hausse d’au moins 30 % des espèces animales du fait du changement climatique ;</w:t>
      </w:r>
    </w:p>
    <w:p w14:paraId="44C21C05" w14:textId="77777777" w:rsidR="00412F22" w:rsidRPr="0016301A" w:rsidRDefault="00412F22" w:rsidP="00412F22">
      <w:pPr>
        <w:pStyle w:val="Corpsdetexte"/>
        <w:widowControl/>
        <w:numPr>
          <w:ilvl w:val="0"/>
          <w:numId w:val="205"/>
        </w:numPr>
        <w:autoSpaceDE/>
        <w:autoSpaceDN/>
        <w:spacing w:before="0" w:line="276" w:lineRule="auto"/>
        <w:ind w:right="592"/>
        <w:rPr>
          <w:rFonts w:asciiTheme="minorHAnsi" w:hAnsiTheme="minorHAnsi" w:cstheme="minorHAnsi"/>
          <w:color w:val="000000" w:themeColor="text1"/>
        </w:rPr>
      </w:pPr>
      <w:r w:rsidRPr="0016301A">
        <w:rPr>
          <w:rFonts w:asciiTheme="minorHAnsi" w:hAnsiTheme="minorHAnsi" w:cstheme="minorHAnsi"/>
          <w:color w:val="000000" w:themeColor="text1"/>
        </w:rPr>
        <w:t>Un déclin de 50% des espèces animales dans le sud-est du pays.</w:t>
      </w:r>
    </w:p>
    <w:p w14:paraId="65B9CDBF" w14:textId="77777777" w:rsidR="00412F22" w:rsidRPr="0016301A" w:rsidRDefault="00412F22" w:rsidP="00412F22">
      <w:pPr>
        <w:pStyle w:val="Corpsdetexte"/>
        <w:spacing w:line="276" w:lineRule="auto"/>
        <w:ind w:right="592"/>
        <w:rPr>
          <w:b/>
          <w:color w:val="000000" w:themeColor="text1"/>
          <w:w w:val="90"/>
          <w:sz w:val="18"/>
        </w:rPr>
      </w:pPr>
    </w:p>
    <w:p w14:paraId="241701BD" w14:textId="77777777" w:rsidR="00412F22" w:rsidRPr="0016301A" w:rsidRDefault="00412F22" w:rsidP="00412F22">
      <w:pPr>
        <w:pStyle w:val="Corpsdetexte"/>
        <w:spacing w:line="276" w:lineRule="auto"/>
        <w:ind w:right="1279"/>
        <w:rPr>
          <w:rFonts w:asciiTheme="minorHAnsi" w:hAnsiTheme="minorHAnsi" w:cstheme="minorHAnsi"/>
          <w:color w:val="000000" w:themeColor="text1"/>
        </w:rPr>
      </w:pPr>
      <w:r w:rsidRPr="0016301A">
        <w:rPr>
          <w:rFonts w:asciiTheme="minorHAnsi" w:hAnsiTheme="minorHAnsi" w:cstheme="minorHAnsi"/>
          <w:color w:val="000000" w:themeColor="text1"/>
        </w:rPr>
        <w:t xml:space="preserve">Pour ce qui concerne le couvert forestier, par rapport à l’impact des changements climatiques, les résultats des modèles qui excluent en général les impacts des activités humaines, sont très peu précis pour donner des prévisions aux horizons 2050 et 2100. Dans l’ensemble il est difficile de donner une estimation fiable du couvert forestier pour en déduire des prévisions </w:t>
      </w:r>
      <w:r>
        <w:rPr>
          <w:rFonts w:asciiTheme="minorHAnsi" w:hAnsiTheme="minorHAnsi" w:cstheme="minorHAnsi"/>
          <w:color w:val="000000" w:themeColor="text1"/>
        </w:rPr>
        <w:t>au plan</w:t>
      </w:r>
      <w:r w:rsidRPr="0016301A">
        <w:rPr>
          <w:rFonts w:asciiTheme="minorHAnsi" w:hAnsiTheme="minorHAnsi" w:cstheme="minorHAnsi"/>
          <w:color w:val="000000" w:themeColor="text1"/>
        </w:rPr>
        <w:t xml:space="preserve"> socioéconomique. Au-delà des impacts du changement climatique sur le couvert forestier, il y’a l’impact important de l’activité humaine. En effet, la végétation de la Mauritanie a subi de nombreuses perturbations dues à la pression démographique et à la hausse de la demande en pâturages, en bois de feu et en terres agricoles. Cela s’est traduit par une déforestation</w:t>
      </w:r>
      <w:r>
        <w:rPr>
          <w:rFonts w:asciiTheme="minorHAnsi" w:hAnsiTheme="minorHAnsi" w:cstheme="minorHAnsi"/>
          <w:color w:val="000000" w:themeColor="text1"/>
        </w:rPr>
        <w:t>,</w:t>
      </w:r>
      <w:r w:rsidRPr="0016301A">
        <w:rPr>
          <w:rFonts w:asciiTheme="minorHAnsi" w:hAnsiTheme="minorHAnsi" w:cstheme="minorHAnsi"/>
          <w:color w:val="000000" w:themeColor="text1"/>
        </w:rPr>
        <w:t xml:space="preserve"> à des niveaux très importants. </w:t>
      </w:r>
    </w:p>
    <w:p w14:paraId="21AA71F9" w14:textId="77777777" w:rsidR="00412F22" w:rsidRPr="0016301A" w:rsidRDefault="00412F22" w:rsidP="00412F22">
      <w:pPr>
        <w:pStyle w:val="Corpsdetexte"/>
        <w:spacing w:line="276" w:lineRule="auto"/>
        <w:ind w:right="592"/>
        <w:rPr>
          <w:rFonts w:asciiTheme="minorHAnsi" w:hAnsiTheme="minorHAnsi" w:cstheme="minorHAnsi"/>
          <w:color w:val="000000" w:themeColor="text1"/>
        </w:rPr>
      </w:pPr>
    </w:p>
    <w:p w14:paraId="22E32DC8" w14:textId="77777777" w:rsidR="00412F22" w:rsidRPr="0016301A" w:rsidRDefault="00412F22" w:rsidP="00412F22">
      <w:pPr>
        <w:pStyle w:val="Corpsdetexte"/>
        <w:spacing w:line="276" w:lineRule="auto"/>
        <w:ind w:right="1279"/>
        <w:rPr>
          <w:rFonts w:asciiTheme="minorHAnsi" w:hAnsiTheme="minorHAnsi" w:cstheme="minorHAnsi"/>
          <w:color w:val="000000" w:themeColor="text1"/>
        </w:rPr>
      </w:pPr>
      <w:r w:rsidRPr="0016301A">
        <w:rPr>
          <w:rFonts w:asciiTheme="minorHAnsi" w:hAnsiTheme="minorHAnsi" w:cstheme="minorHAnsi"/>
          <w:color w:val="000000" w:themeColor="text1"/>
        </w:rPr>
        <w:t>Le pays a perdu 86 000 ha de son couvert forestier de 2001 à 2016, soit une baisse de 28 % en 15 ans. Conservant la même tendance, les projections sur les périodes 2016 – 2050 et 2016 – 2100 donnent une perte de 63% du couvert végétal en 2050 et une déforestation totale en 2100. A ces horizons</w:t>
      </w:r>
      <w:r>
        <w:rPr>
          <w:rFonts w:asciiTheme="minorHAnsi" w:hAnsiTheme="minorHAnsi" w:cstheme="minorHAnsi"/>
          <w:color w:val="000000" w:themeColor="text1"/>
        </w:rPr>
        <w:t>,</w:t>
      </w:r>
      <w:r w:rsidRPr="0016301A">
        <w:rPr>
          <w:rFonts w:asciiTheme="minorHAnsi" w:hAnsiTheme="minorHAnsi" w:cstheme="minorHAnsi"/>
          <w:color w:val="000000" w:themeColor="text1"/>
        </w:rPr>
        <w:t xml:space="preserve"> les conflits se multiplierons entre les acteurs des différents usages du fait de la diminution des terres et des pâturages.</w:t>
      </w:r>
    </w:p>
    <w:p w14:paraId="006020B6" w14:textId="77777777" w:rsidR="00412F22" w:rsidRPr="0016301A" w:rsidRDefault="00412F22" w:rsidP="00412F22">
      <w:pPr>
        <w:pStyle w:val="Corpsdetexte"/>
        <w:spacing w:line="276" w:lineRule="auto"/>
        <w:ind w:left="-426" w:right="592"/>
        <w:rPr>
          <w:rFonts w:asciiTheme="minorHAnsi" w:hAnsiTheme="minorHAnsi" w:cstheme="minorHAnsi"/>
          <w:color w:val="000000" w:themeColor="text1"/>
        </w:rPr>
      </w:pPr>
    </w:p>
    <w:p w14:paraId="02D38B6F" w14:textId="77777777" w:rsidR="00412F22" w:rsidRPr="003B41EA" w:rsidRDefault="00412F22" w:rsidP="00412F22">
      <w:pPr>
        <w:pStyle w:val="Titre3"/>
        <w:tabs>
          <w:tab w:val="left" w:pos="9356"/>
          <w:tab w:val="left" w:pos="9498"/>
          <w:tab w:val="left" w:pos="9781"/>
        </w:tabs>
        <w:ind w:right="1279"/>
        <w:jc w:val="center"/>
        <w:rPr>
          <w:rFonts w:ascii="Arial Black" w:hAnsi="Arial Black"/>
          <w:b/>
          <w:bCs/>
          <w:color w:val="FF3399"/>
        </w:rPr>
      </w:pPr>
      <w:bookmarkStart w:id="716" w:name="_Toc192462518"/>
      <w:r w:rsidRPr="003B41EA">
        <w:rPr>
          <w:rFonts w:ascii="Arial Black" w:hAnsi="Arial Black"/>
          <w:b/>
          <w:bCs/>
          <w:color w:val="FF3399"/>
        </w:rPr>
        <w:t xml:space="preserve">II.3.4 Vulnérabilité </w:t>
      </w:r>
      <w:r>
        <w:rPr>
          <w:rFonts w:ascii="Arial Black" w:hAnsi="Arial Black"/>
          <w:b/>
          <w:bCs/>
          <w:color w:val="FF3399"/>
        </w:rPr>
        <w:t xml:space="preserve">de la </w:t>
      </w:r>
      <w:r w:rsidRPr="003B41EA">
        <w:rPr>
          <w:rFonts w:ascii="Arial Black" w:hAnsi="Arial Black"/>
          <w:b/>
          <w:bCs/>
          <w:color w:val="FF3399"/>
        </w:rPr>
        <w:t>Santé</w:t>
      </w:r>
      <w:bookmarkEnd w:id="716"/>
    </w:p>
    <w:p w14:paraId="0898E657" w14:textId="77777777" w:rsidR="00412F22" w:rsidRPr="004A440A" w:rsidRDefault="00412F22" w:rsidP="00412F22">
      <w:pPr>
        <w:pStyle w:val="Corpsdetexte"/>
        <w:spacing w:before="103" w:after="240" w:line="276" w:lineRule="auto"/>
        <w:ind w:right="1137"/>
        <w:rPr>
          <w:rFonts w:asciiTheme="minorHAnsi" w:hAnsiTheme="minorHAnsi" w:cstheme="minorHAnsi"/>
          <w:color w:val="000000" w:themeColor="text1"/>
          <w:w w:val="90"/>
        </w:rPr>
      </w:pPr>
      <w:r w:rsidRPr="004A440A">
        <w:rPr>
          <w:rFonts w:asciiTheme="minorHAnsi" w:hAnsiTheme="minorHAnsi" w:cstheme="minorHAnsi"/>
          <w:b/>
          <w:color w:val="000000" w:themeColor="text1"/>
          <w:w w:val="90"/>
        </w:rPr>
        <w:t xml:space="preserve">Le changement climatique menace le secteur de la santé </w:t>
      </w:r>
      <w:r w:rsidRPr="004A440A">
        <w:rPr>
          <w:rFonts w:asciiTheme="minorHAnsi" w:hAnsiTheme="minorHAnsi" w:cstheme="minorHAnsi"/>
          <w:color w:val="000000" w:themeColor="text1"/>
          <w:w w:val="90"/>
        </w:rPr>
        <w:t>en raison des 3 stress indiqués dans les scénarii climatiques : La fréquence accrue des vagues de chaleur, des inondations et des sécheresses. Les principaux enjeux sanitaires qui en découlent sont la mortalité</w:t>
      </w:r>
      <w:r w:rsidRPr="004A440A">
        <w:rPr>
          <w:rFonts w:asciiTheme="minorHAnsi" w:hAnsiTheme="minorHAnsi" w:cstheme="minorHAnsi"/>
          <w:color w:val="000000" w:themeColor="text1"/>
          <w:spacing w:val="-5"/>
          <w:w w:val="90"/>
        </w:rPr>
        <w:t xml:space="preserve"> </w:t>
      </w:r>
      <w:r w:rsidRPr="004A440A">
        <w:rPr>
          <w:rFonts w:asciiTheme="minorHAnsi" w:hAnsiTheme="minorHAnsi" w:cstheme="minorHAnsi"/>
          <w:color w:val="000000" w:themeColor="text1"/>
          <w:w w:val="90"/>
        </w:rPr>
        <w:t>résultant</w:t>
      </w:r>
      <w:r w:rsidRPr="004A440A">
        <w:rPr>
          <w:rFonts w:asciiTheme="minorHAnsi" w:hAnsiTheme="minorHAnsi" w:cstheme="minorHAnsi"/>
          <w:color w:val="000000" w:themeColor="text1"/>
          <w:spacing w:val="-5"/>
          <w:w w:val="90"/>
        </w:rPr>
        <w:t xml:space="preserve"> </w:t>
      </w:r>
      <w:r w:rsidRPr="004A440A">
        <w:rPr>
          <w:rFonts w:asciiTheme="minorHAnsi" w:hAnsiTheme="minorHAnsi" w:cstheme="minorHAnsi"/>
          <w:color w:val="000000" w:themeColor="text1"/>
          <w:w w:val="90"/>
        </w:rPr>
        <w:t>des</w:t>
      </w:r>
      <w:r w:rsidRPr="004A440A">
        <w:rPr>
          <w:rFonts w:asciiTheme="minorHAnsi" w:hAnsiTheme="minorHAnsi" w:cstheme="minorHAnsi"/>
          <w:color w:val="000000" w:themeColor="text1"/>
          <w:spacing w:val="-5"/>
          <w:w w:val="90"/>
        </w:rPr>
        <w:t xml:space="preserve"> </w:t>
      </w:r>
      <w:r w:rsidRPr="004A440A">
        <w:rPr>
          <w:rFonts w:asciiTheme="minorHAnsi" w:hAnsiTheme="minorHAnsi" w:cstheme="minorHAnsi"/>
          <w:color w:val="000000" w:themeColor="text1"/>
          <w:w w:val="90"/>
        </w:rPr>
        <w:t>maladies</w:t>
      </w:r>
      <w:r w:rsidRPr="004A440A">
        <w:rPr>
          <w:rFonts w:asciiTheme="minorHAnsi" w:hAnsiTheme="minorHAnsi" w:cstheme="minorHAnsi"/>
          <w:color w:val="000000" w:themeColor="text1"/>
          <w:spacing w:val="-5"/>
          <w:w w:val="90"/>
        </w:rPr>
        <w:t xml:space="preserve"> </w:t>
      </w:r>
      <w:r w:rsidRPr="004A440A">
        <w:rPr>
          <w:rFonts w:asciiTheme="minorHAnsi" w:hAnsiTheme="minorHAnsi" w:cstheme="minorHAnsi"/>
          <w:color w:val="000000" w:themeColor="text1"/>
          <w:w w:val="90"/>
        </w:rPr>
        <w:t>telles</w:t>
      </w:r>
      <w:r w:rsidRPr="004A440A">
        <w:rPr>
          <w:rFonts w:asciiTheme="minorHAnsi" w:hAnsiTheme="minorHAnsi" w:cstheme="minorHAnsi"/>
          <w:color w:val="000000" w:themeColor="text1"/>
          <w:spacing w:val="-5"/>
          <w:w w:val="90"/>
        </w:rPr>
        <w:t xml:space="preserve"> </w:t>
      </w:r>
      <w:r w:rsidRPr="004A440A">
        <w:rPr>
          <w:rFonts w:asciiTheme="minorHAnsi" w:hAnsiTheme="minorHAnsi" w:cstheme="minorHAnsi"/>
          <w:color w:val="000000" w:themeColor="text1"/>
          <w:w w:val="90"/>
        </w:rPr>
        <w:t>que</w:t>
      </w:r>
      <w:r w:rsidRPr="004A440A">
        <w:rPr>
          <w:rFonts w:asciiTheme="minorHAnsi" w:hAnsiTheme="minorHAnsi" w:cstheme="minorHAnsi"/>
          <w:color w:val="000000" w:themeColor="text1"/>
          <w:spacing w:val="-5"/>
          <w:w w:val="90"/>
        </w:rPr>
        <w:t xml:space="preserve"> </w:t>
      </w:r>
      <w:r w:rsidRPr="004A440A">
        <w:rPr>
          <w:rFonts w:asciiTheme="minorHAnsi" w:hAnsiTheme="minorHAnsi" w:cstheme="minorHAnsi"/>
          <w:color w:val="000000" w:themeColor="text1"/>
          <w:w w:val="90"/>
        </w:rPr>
        <w:t>le</w:t>
      </w:r>
      <w:r w:rsidRPr="004A440A">
        <w:rPr>
          <w:rFonts w:asciiTheme="minorHAnsi" w:hAnsiTheme="minorHAnsi" w:cstheme="minorHAnsi"/>
          <w:color w:val="000000" w:themeColor="text1"/>
          <w:spacing w:val="-5"/>
          <w:w w:val="90"/>
        </w:rPr>
        <w:t xml:space="preserve"> </w:t>
      </w:r>
      <w:r w:rsidRPr="004A440A">
        <w:rPr>
          <w:rFonts w:asciiTheme="minorHAnsi" w:hAnsiTheme="minorHAnsi" w:cstheme="minorHAnsi"/>
          <w:color w:val="000000" w:themeColor="text1"/>
          <w:w w:val="90"/>
        </w:rPr>
        <w:t xml:space="preserve">paludisme et </w:t>
      </w:r>
      <w:r w:rsidRPr="004A440A">
        <w:rPr>
          <w:rFonts w:asciiTheme="minorHAnsi" w:hAnsiTheme="minorHAnsi" w:cstheme="minorHAnsi"/>
          <w:color w:val="000000" w:themeColor="text1"/>
          <w:spacing w:val="-4"/>
        </w:rPr>
        <w:t>les</w:t>
      </w:r>
      <w:r w:rsidRPr="004A440A">
        <w:rPr>
          <w:rFonts w:asciiTheme="minorHAnsi" w:hAnsiTheme="minorHAnsi" w:cstheme="minorHAnsi"/>
          <w:color w:val="000000" w:themeColor="text1"/>
          <w:spacing w:val="-12"/>
        </w:rPr>
        <w:t xml:space="preserve"> </w:t>
      </w:r>
      <w:r w:rsidRPr="004A440A">
        <w:rPr>
          <w:rFonts w:asciiTheme="minorHAnsi" w:hAnsiTheme="minorHAnsi" w:cstheme="minorHAnsi"/>
          <w:color w:val="000000" w:themeColor="text1"/>
          <w:spacing w:val="-4"/>
        </w:rPr>
        <w:t>maladies</w:t>
      </w:r>
      <w:r w:rsidRPr="004A440A">
        <w:rPr>
          <w:rFonts w:asciiTheme="minorHAnsi" w:hAnsiTheme="minorHAnsi" w:cstheme="minorHAnsi"/>
          <w:color w:val="000000" w:themeColor="text1"/>
          <w:spacing w:val="-12"/>
        </w:rPr>
        <w:t xml:space="preserve"> </w:t>
      </w:r>
      <w:r w:rsidRPr="004A440A">
        <w:rPr>
          <w:rFonts w:asciiTheme="minorHAnsi" w:hAnsiTheme="minorHAnsi" w:cstheme="minorHAnsi"/>
          <w:color w:val="000000" w:themeColor="text1"/>
          <w:spacing w:val="-4"/>
        </w:rPr>
        <w:t>d'origine</w:t>
      </w:r>
      <w:r w:rsidRPr="004A440A">
        <w:rPr>
          <w:rFonts w:asciiTheme="minorHAnsi" w:hAnsiTheme="minorHAnsi" w:cstheme="minorHAnsi"/>
          <w:color w:val="000000" w:themeColor="text1"/>
          <w:spacing w:val="-12"/>
        </w:rPr>
        <w:t xml:space="preserve"> </w:t>
      </w:r>
      <w:r w:rsidRPr="004A440A">
        <w:rPr>
          <w:rFonts w:asciiTheme="minorHAnsi" w:hAnsiTheme="minorHAnsi" w:cstheme="minorHAnsi"/>
          <w:color w:val="000000" w:themeColor="text1"/>
          <w:spacing w:val="-4"/>
        </w:rPr>
        <w:t>hydrique</w:t>
      </w:r>
      <w:r>
        <w:rPr>
          <w:rFonts w:asciiTheme="minorHAnsi" w:hAnsiTheme="minorHAnsi" w:cstheme="minorHAnsi"/>
          <w:color w:val="000000" w:themeColor="text1"/>
          <w:spacing w:val="-12"/>
        </w:rPr>
        <w:t xml:space="preserve">, </w:t>
      </w:r>
      <w:r w:rsidRPr="004A440A">
        <w:rPr>
          <w:rFonts w:asciiTheme="minorHAnsi" w:hAnsiTheme="minorHAnsi" w:cstheme="minorHAnsi"/>
          <w:color w:val="000000" w:themeColor="text1"/>
          <w:spacing w:val="-4"/>
        </w:rPr>
        <w:t>liées</w:t>
      </w:r>
      <w:r w:rsidRPr="004A440A">
        <w:rPr>
          <w:rFonts w:asciiTheme="minorHAnsi" w:hAnsiTheme="minorHAnsi" w:cstheme="minorHAnsi"/>
          <w:color w:val="000000" w:themeColor="text1"/>
          <w:spacing w:val="-12"/>
        </w:rPr>
        <w:t xml:space="preserve"> </w:t>
      </w:r>
      <w:r w:rsidRPr="004A440A">
        <w:rPr>
          <w:rFonts w:asciiTheme="minorHAnsi" w:hAnsiTheme="minorHAnsi" w:cstheme="minorHAnsi"/>
          <w:color w:val="000000" w:themeColor="text1"/>
          <w:spacing w:val="-4"/>
        </w:rPr>
        <w:t>à</w:t>
      </w:r>
      <w:r w:rsidRPr="004A440A">
        <w:rPr>
          <w:rFonts w:asciiTheme="minorHAnsi" w:hAnsiTheme="minorHAnsi" w:cstheme="minorHAnsi"/>
          <w:color w:val="000000" w:themeColor="text1"/>
          <w:spacing w:val="-12"/>
        </w:rPr>
        <w:t xml:space="preserve"> </w:t>
      </w:r>
      <w:r w:rsidRPr="004A440A">
        <w:rPr>
          <w:rFonts w:asciiTheme="minorHAnsi" w:hAnsiTheme="minorHAnsi" w:cstheme="minorHAnsi"/>
          <w:color w:val="000000" w:themeColor="text1"/>
          <w:spacing w:val="-4"/>
        </w:rPr>
        <w:t>des</w:t>
      </w:r>
      <w:r w:rsidRPr="004A440A">
        <w:rPr>
          <w:rFonts w:asciiTheme="minorHAnsi" w:hAnsiTheme="minorHAnsi" w:cstheme="minorHAnsi"/>
          <w:color w:val="000000" w:themeColor="text1"/>
          <w:spacing w:val="-12"/>
        </w:rPr>
        <w:t xml:space="preserve"> </w:t>
      </w:r>
      <w:r w:rsidRPr="004A440A">
        <w:rPr>
          <w:rFonts w:asciiTheme="minorHAnsi" w:hAnsiTheme="minorHAnsi" w:cstheme="minorHAnsi"/>
          <w:color w:val="000000" w:themeColor="text1"/>
          <w:spacing w:val="-4"/>
        </w:rPr>
        <w:t>événements</w:t>
      </w:r>
      <w:r w:rsidRPr="004A440A">
        <w:rPr>
          <w:rFonts w:asciiTheme="minorHAnsi" w:hAnsiTheme="minorHAnsi" w:cstheme="minorHAnsi"/>
          <w:color w:val="000000" w:themeColor="text1"/>
          <w:spacing w:val="-12"/>
        </w:rPr>
        <w:t xml:space="preserve"> </w:t>
      </w:r>
      <w:r w:rsidRPr="004A440A">
        <w:rPr>
          <w:rFonts w:asciiTheme="minorHAnsi" w:hAnsiTheme="minorHAnsi" w:cstheme="minorHAnsi"/>
          <w:color w:val="000000" w:themeColor="text1"/>
          <w:spacing w:val="-4"/>
        </w:rPr>
        <w:t>météo</w:t>
      </w:r>
      <w:r w:rsidRPr="004A440A">
        <w:rPr>
          <w:rFonts w:asciiTheme="minorHAnsi" w:hAnsiTheme="minorHAnsi" w:cstheme="minorHAnsi"/>
          <w:color w:val="000000" w:themeColor="text1"/>
          <w:w w:val="90"/>
        </w:rPr>
        <w:t>rologiques extrêmes (inondations, etc.)</w:t>
      </w:r>
      <w:r>
        <w:rPr>
          <w:rFonts w:asciiTheme="minorHAnsi" w:hAnsiTheme="minorHAnsi" w:cstheme="minorHAnsi"/>
          <w:color w:val="000000" w:themeColor="text1"/>
          <w:w w:val="90"/>
        </w:rPr>
        <w:t>,</w:t>
      </w:r>
      <w:r w:rsidRPr="004A440A">
        <w:rPr>
          <w:rFonts w:asciiTheme="minorHAnsi" w:hAnsiTheme="minorHAnsi" w:cstheme="minorHAnsi"/>
          <w:color w:val="000000" w:themeColor="text1"/>
          <w:w w:val="90"/>
        </w:rPr>
        <w:t xml:space="preserve"> telles que l</w:t>
      </w:r>
      <w:r>
        <w:rPr>
          <w:rFonts w:asciiTheme="minorHAnsi" w:hAnsiTheme="minorHAnsi" w:cstheme="minorHAnsi"/>
          <w:color w:val="000000" w:themeColor="text1"/>
          <w:w w:val="90"/>
        </w:rPr>
        <w:t>es</w:t>
      </w:r>
      <w:r w:rsidRPr="004A440A">
        <w:rPr>
          <w:rFonts w:asciiTheme="minorHAnsi" w:hAnsiTheme="minorHAnsi" w:cstheme="minorHAnsi"/>
          <w:color w:val="000000" w:themeColor="text1"/>
          <w:w w:val="90"/>
        </w:rPr>
        <w:t xml:space="preserve"> diarrhée</w:t>
      </w:r>
      <w:r>
        <w:rPr>
          <w:rFonts w:asciiTheme="minorHAnsi" w:hAnsiTheme="minorHAnsi" w:cstheme="minorHAnsi"/>
          <w:color w:val="000000" w:themeColor="text1"/>
          <w:w w:val="90"/>
        </w:rPr>
        <w:t>s</w:t>
      </w:r>
      <w:r w:rsidRPr="004A440A">
        <w:rPr>
          <w:rFonts w:asciiTheme="minorHAnsi" w:hAnsiTheme="minorHAnsi" w:cstheme="minorHAnsi"/>
          <w:color w:val="000000" w:themeColor="text1"/>
          <w:w w:val="90"/>
        </w:rPr>
        <w:t xml:space="preserve">. </w:t>
      </w:r>
    </w:p>
    <w:p w14:paraId="6CC93E41" w14:textId="77777777" w:rsidR="00412F22" w:rsidRPr="0016301A" w:rsidRDefault="00412F22" w:rsidP="00412F22">
      <w:pPr>
        <w:pStyle w:val="Corpsdetexte"/>
        <w:spacing w:before="103" w:line="276" w:lineRule="auto"/>
        <w:ind w:left="-284"/>
        <w:rPr>
          <w:rFonts w:asciiTheme="minorHAnsi" w:hAnsiTheme="minorHAnsi" w:cstheme="minorHAnsi"/>
          <w:color w:val="000000" w:themeColor="text1"/>
          <w:w w:val="90"/>
        </w:rPr>
      </w:pPr>
      <w:r w:rsidRPr="0016301A">
        <w:rPr>
          <w:rFonts w:asciiTheme="minorHAnsi" w:hAnsiTheme="minorHAnsi" w:cstheme="minorHAnsi"/>
          <w:color w:val="000000" w:themeColor="text1"/>
          <w:w w:val="90"/>
        </w:rPr>
        <w:t xml:space="preserve">La vulnérabilité résultant des scenarii climatiques, dans le domaine de la santé, se manifeste à travers :     </w:t>
      </w:r>
    </w:p>
    <w:p w14:paraId="7F66396F" w14:textId="77777777" w:rsidR="00412F22" w:rsidRPr="004A440A" w:rsidRDefault="00412F22" w:rsidP="00412F22">
      <w:pPr>
        <w:pStyle w:val="Corpsdetexte"/>
        <w:widowControl/>
        <w:numPr>
          <w:ilvl w:val="0"/>
          <w:numId w:val="205"/>
        </w:numPr>
        <w:autoSpaceDE/>
        <w:autoSpaceDN/>
        <w:spacing w:before="103" w:line="276" w:lineRule="auto"/>
        <w:ind w:right="1137"/>
        <w:rPr>
          <w:rFonts w:asciiTheme="minorHAnsi" w:hAnsiTheme="minorHAnsi" w:cstheme="minorHAnsi"/>
          <w:bCs/>
          <w:color w:val="000000" w:themeColor="text1"/>
          <w:w w:val="90"/>
        </w:rPr>
      </w:pPr>
      <w:r w:rsidRPr="004A440A">
        <w:rPr>
          <w:rFonts w:asciiTheme="minorHAnsi" w:hAnsiTheme="minorHAnsi" w:cstheme="minorHAnsi"/>
          <w:bCs/>
          <w:color w:val="000000" w:themeColor="text1"/>
          <w:w w:val="90"/>
        </w:rPr>
        <w:t>Les répercussions</w:t>
      </w:r>
      <w:r w:rsidRPr="004A440A">
        <w:rPr>
          <w:rFonts w:asciiTheme="minorHAnsi" w:hAnsiTheme="minorHAnsi" w:cstheme="minorHAnsi"/>
          <w:bCs/>
          <w:color w:val="000000" w:themeColor="text1"/>
          <w:spacing w:val="-5"/>
          <w:w w:val="90"/>
        </w:rPr>
        <w:t xml:space="preserve"> du </w:t>
      </w:r>
      <w:r w:rsidRPr="004A440A">
        <w:rPr>
          <w:rFonts w:asciiTheme="minorHAnsi" w:hAnsiTheme="minorHAnsi" w:cstheme="minorHAnsi"/>
          <w:bCs/>
          <w:color w:val="000000" w:themeColor="text1"/>
          <w:w w:val="90"/>
        </w:rPr>
        <w:t>changement climatique sur</w:t>
      </w:r>
      <w:r w:rsidRPr="004A440A">
        <w:rPr>
          <w:rFonts w:asciiTheme="minorHAnsi" w:hAnsiTheme="minorHAnsi" w:cstheme="minorHAnsi"/>
          <w:bCs/>
          <w:color w:val="000000" w:themeColor="text1"/>
          <w:spacing w:val="-5"/>
          <w:w w:val="90"/>
        </w:rPr>
        <w:t xml:space="preserve"> </w:t>
      </w:r>
      <w:r w:rsidRPr="004A440A">
        <w:rPr>
          <w:rFonts w:asciiTheme="minorHAnsi" w:hAnsiTheme="minorHAnsi" w:cstheme="minorHAnsi"/>
          <w:bCs/>
          <w:color w:val="000000" w:themeColor="text1"/>
          <w:w w:val="90"/>
        </w:rPr>
        <w:t>l'approvisionnement</w:t>
      </w:r>
      <w:r w:rsidRPr="004A440A">
        <w:rPr>
          <w:rFonts w:asciiTheme="minorHAnsi" w:hAnsiTheme="minorHAnsi" w:cstheme="minorHAnsi"/>
          <w:bCs/>
          <w:color w:val="000000" w:themeColor="text1"/>
          <w:spacing w:val="-5"/>
          <w:w w:val="90"/>
        </w:rPr>
        <w:t xml:space="preserve"> </w:t>
      </w:r>
      <w:r w:rsidRPr="004A440A">
        <w:rPr>
          <w:rFonts w:asciiTheme="minorHAnsi" w:hAnsiTheme="minorHAnsi" w:cstheme="minorHAnsi"/>
          <w:bCs/>
          <w:color w:val="000000" w:themeColor="text1"/>
          <w:w w:val="90"/>
        </w:rPr>
        <w:t>en</w:t>
      </w:r>
      <w:r w:rsidRPr="004A440A">
        <w:rPr>
          <w:rFonts w:asciiTheme="minorHAnsi" w:hAnsiTheme="minorHAnsi" w:cstheme="minorHAnsi"/>
          <w:bCs/>
          <w:color w:val="000000" w:themeColor="text1"/>
          <w:spacing w:val="-5"/>
          <w:w w:val="90"/>
        </w:rPr>
        <w:t xml:space="preserve"> </w:t>
      </w:r>
      <w:r w:rsidRPr="004A440A">
        <w:rPr>
          <w:rFonts w:asciiTheme="minorHAnsi" w:hAnsiTheme="minorHAnsi" w:cstheme="minorHAnsi"/>
          <w:bCs/>
          <w:color w:val="000000" w:themeColor="text1"/>
          <w:w w:val="90"/>
        </w:rPr>
        <w:t>nourriture</w:t>
      </w:r>
      <w:r w:rsidRPr="004A440A">
        <w:rPr>
          <w:rFonts w:asciiTheme="minorHAnsi" w:hAnsiTheme="minorHAnsi" w:cstheme="minorHAnsi"/>
          <w:bCs/>
          <w:color w:val="000000" w:themeColor="text1"/>
          <w:spacing w:val="-5"/>
          <w:w w:val="90"/>
        </w:rPr>
        <w:t xml:space="preserve"> </w:t>
      </w:r>
      <w:r w:rsidRPr="004A440A">
        <w:rPr>
          <w:rFonts w:asciiTheme="minorHAnsi" w:hAnsiTheme="minorHAnsi" w:cstheme="minorHAnsi"/>
          <w:bCs/>
          <w:color w:val="000000" w:themeColor="text1"/>
          <w:w w:val="90"/>
        </w:rPr>
        <w:t>et</w:t>
      </w:r>
      <w:r w:rsidRPr="004A440A">
        <w:rPr>
          <w:rFonts w:asciiTheme="minorHAnsi" w:hAnsiTheme="minorHAnsi" w:cstheme="minorHAnsi"/>
          <w:bCs/>
          <w:color w:val="000000" w:themeColor="text1"/>
          <w:spacing w:val="-5"/>
          <w:w w:val="90"/>
        </w:rPr>
        <w:t xml:space="preserve"> </w:t>
      </w:r>
      <w:r w:rsidRPr="004A440A">
        <w:rPr>
          <w:rFonts w:asciiTheme="minorHAnsi" w:hAnsiTheme="minorHAnsi" w:cstheme="minorHAnsi"/>
          <w:bCs/>
          <w:color w:val="000000" w:themeColor="text1"/>
          <w:w w:val="90"/>
        </w:rPr>
        <w:t>en</w:t>
      </w:r>
      <w:r w:rsidRPr="004A440A">
        <w:rPr>
          <w:rFonts w:asciiTheme="minorHAnsi" w:hAnsiTheme="minorHAnsi" w:cstheme="minorHAnsi"/>
          <w:bCs/>
          <w:color w:val="000000" w:themeColor="text1"/>
          <w:spacing w:val="-5"/>
          <w:w w:val="90"/>
        </w:rPr>
        <w:t xml:space="preserve"> </w:t>
      </w:r>
      <w:r w:rsidRPr="004A440A">
        <w:rPr>
          <w:rFonts w:asciiTheme="minorHAnsi" w:hAnsiTheme="minorHAnsi" w:cstheme="minorHAnsi"/>
          <w:bCs/>
          <w:color w:val="000000" w:themeColor="text1"/>
          <w:w w:val="90"/>
        </w:rPr>
        <w:t>eau, qui</w:t>
      </w:r>
      <w:r w:rsidRPr="004A440A">
        <w:rPr>
          <w:rFonts w:asciiTheme="minorHAnsi" w:hAnsiTheme="minorHAnsi" w:cstheme="minorHAnsi"/>
          <w:bCs/>
          <w:color w:val="000000" w:themeColor="text1"/>
          <w:spacing w:val="-7"/>
          <w:w w:val="90"/>
        </w:rPr>
        <w:t xml:space="preserve"> </w:t>
      </w:r>
      <w:r w:rsidRPr="004A440A">
        <w:rPr>
          <w:rFonts w:asciiTheme="minorHAnsi" w:hAnsiTheme="minorHAnsi" w:cstheme="minorHAnsi"/>
          <w:bCs/>
          <w:color w:val="000000" w:themeColor="text1"/>
          <w:w w:val="90"/>
        </w:rPr>
        <w:t>pourraient</w:t>
      </w:r>
      <w:r w:rsidRPr="004A440A">
        <w:rPr>
          <w:rFonts w:asciiTheme="minorHAnsi" w:hAnsiTheme="minorHAnsi" w:cstheme="minorHAnsi"/>
          <w:bCs/>
          <w:color w:val="000000" w:themeColor="text1"/>
          <w:spacing w:val="-7"/>
          <w:w w:val="90"/>
        </w:rPr>
        <w:t xml:space="preserve"> </w:t>
      </w:r>
      <w:r w:rsidRPr="004A440A">
        <w:rPr>
          <w:rFonts w:asciiTheme="minorHAnsi" w:hAnsiTheme="minorHAnsi" w:cstheme="minorHAnsi"/>
          <w:bCs/>
          <w:color w:val="000000" w:themeColor="text1"/>
          <w:w w:val="90"/>
        </w:rPr>
        <w:t>accroître</w:t>
      </w:r>
      <w:r w:rsidRPr="004A440A">
        <w:rPr>
          <w:rFonts w:asciiTheme="minorHAnsi" w:hAnsiTheme="minorHAnsi" w:cstheme="minorHAnsi"/>
          <w:bCs/>
          <w:color w:val="000000" w:themeColor="text1"/>
          <w:spacing w:val="-7"/>
          <w:w w:val="90"/>
        </w:rPr>
        <w:t xml:space="preserve"> </w:t>
      </w:r>
      <w:r w:rsidRPr="004A440A">
        <w:rPr>
          <w:rFonts w:asciiTheme="minorHAnsi" w:hAnsiTheme="minorHAnsi" w:cstheme="minorHAnsi"/>
          <w:bCs/>
          <w:color w:val="000000" w:themeColor="text1"/>
          <w:w w:val="90"/>
        </w:rPr>
        <w:t>le</w:t>
      </w:r>
      <w:r w:rsidRPr="004A440A">
        <w:rPr>
          <w:rFonts w:asciiTheme="minorHAnsi" w:hAnsiTheme="minorHAnsi" w:cstheme="minorHAnsi"/>
          <w:bCs/>
          <w:color w:val="000000" w:themeColor="text1"/>
          <w:spacing w:val="-7"/>
          <w:w w:val="90"/>
        </w:rPr>
        <w:t xml:space="preserve"> </w:t>
      </w:r>
      <w:r w:rsidRPr="004A440A">
        <w:rPr>
          <w:rFonts w:asciiTheme="minorHAnsi" w:hAnsiTheme="minorHAnsi" w:cstheme="minorHAnsi"/>
          <w:bCs/>
          <w:color w:val="000000" w:themeColor="text1"/>
          <w:w w:val="90"/>
        </w:rPr>
        <w:t>risque</w:t>
      </w:r>
      <w:r w:rsidRPr="004A440A">
        <w:rPr>
          <w:rFonts w:asciiTheme="minorHAnsi" w:hAnsiTheme="minorHAnsi" w:cstheme="minorHAnsi"/>
          <w:bCs/>
          <w:color w:val="000000" w:themeColor="text1"/>
          <w:spacing w:val="-7"/>
          <w:w w:val="90"/>
        </w:rPr>
        <w:t xml:space="preserve"> </w:t>
      </w:r>
      <w:r w:rsidRPr="004A440A">
        <w:rPr>
          <w:rFonts w:asciiTheme="minorHAnsi" w:hAnsiTheme="minorHAnsi" w:cstheme="minorHAnsi"/>
          <w:bCs/>
          <w:color w:val="000000" w:themeColor="text1"/>
          <w:w w:val="90"/>
        </w:rPr>
        <w:t>de</w:t>
      </w:r>
      <w:r w:rsidRPr="004A440A">
        <w:rPr>
          <w:rFonts w:asciiTheme="minorHAnsi" w:hAnsiTheme="minorHAnsi" w:cstheme="minorHAnsi"/>
          <w:bCs/>
          <w:color w:val="000000" w:themeColor="text1"/>
          <w:spacing w:val="-7"/>
          <w:w w:val="90"/>
        </w:rPr>
        <w:t xml:space="preserve"> </w:t>
      </w:r>
      <w:r w:rsidRPr="004A440A">
        <w:rPr>
          <w:rFonts w:asciiTheme="minorHAnsi" w:hAnsiTheme="minorHAnsi" w:cstheme="minorHAnsi"/>
          <w:bCs/>
          <w:color w:val="000000" w:themeColor="text1"/>
          <w:w w:val="90"/>
        </w:rPr>
        <w:t>malnutrition,</w:t>
      </w:r>
      <w:r w:rsidRPr="004A440A">
        <w:rPr>
          <w:rFonts w:asciiTheme="minorHAnsi" w:hAnsiTheme="minorHAnsi" w:cstheme="minorHAnsi"/>
          <w:bCs/>
          <w:color w:val="000000" w:themeColor="text1"/>
          <w:spacing w:val="-7"/>
          <w:w w:val="90"/>
        </w:rPr>
        <w:t xml:space="preserve"> </w:t>
      </w:r>
      <w:r w:rsidRPr="004A440A">
        <w:rPr>
          <w:rFonts w:asciiTheme="minorHAnsi" w:hAnsiTheme="minorHAnsi" w:cstheme="minorHAnsi"/>
          <w:bCs/>
          <w:color w:val="000000" w:themeColor="text1"/>
          <w:w w:val="90"/>
        </w:rPr>
        <w:t>de</w:t>
      </w:r>
      <w:r w:rsidRPr="004A440A">
        <w:rPr>
          <w:rFonts w:asciiTheme="minorHAnsi" w:hAnsiTheme="minorHAnsi" w:cstheme="minorHAnsi"/>
          <w:bCs/>
          <w:color w:val="000000" w:themeColor="text1"/>
          <w:spacing w:val="-7"/>
          <w:w w:val="90"/>
        </w:rPr>
        <w:t xml:space="preserve"> </w:t>
      </w:r>
      <w:r w:rsidRPr="004A440A">
        <w:rPr>
          <w:rFonts w:asciiTheme="minorHAnsi" w:hAnsiTheme="minorHAnsi" w:cstheme="minorHAnsi"/>
          <w:bCs/>
          <w:color w:val="000000" w:themeColor="text1"/>
          <w:w w:val="90"/>
        </w:rPr>
        <w:t>famine</w:t>
      </w:r>
      <w:r w:rsidRPr="004A440A">
        <w:rPr>
          <w:rFonts w:asciiTheme="minorHAnsi" w:hAnsiTheme="minorHAnsi" w:cstheme="minorHAnsi"/>
          <w:bCs/>
          <w:color w:val="000000" w:themeColor="text1"/>
          <w:spacing w:val="-7"/>
          <w:w w:val="90"/>
        </w:rPr>
        <w:t xml:space="preserve"> </w:t>
      </w:r>
      <w:r w:rsidRPr="004A440A">
        <w:rPr>
          <w:rFonts w:asciiTheme="minorHAnsi" w:hAnsiTheme="minorHAnsi" w:cstheme="minorHAnsi"/>
          <w:bCs/>
          <w:color w:val="000000" w:themeColor="text1"/>
          <w:w w:val="90"/>
        </w:rPr>
        <w:t xml:space="preserve">et </w:t>
      </w:r>
      <w:r w:rsidRPr="004A440A">
        <w:rPr>
          <w:rFonts w:asciiTheme="minorHAnsi" w:hAnsiTheme="minorHAnsi" w:cstheme="minorHAnsi"/>
          <w:bCs/>
          <w:color w:val="000000" w:themeColor="text1"/>
          <w:spacing w:val="-4"/>
        </w:rPr>
        <w:t>des</w:t>
      </w:r>
      <w:r w:rsidRPr="004A440A">
        <w:rPr>
          <w:rFonts w:asciiTheme="minorHAnsi" w:hAnsiTheme="minorHAnsi" w:cstheme="minorHAnsi"/>
          <w:bCs/>
          <w:color w:val="000000" w:themeColor="text1"/>
          <w:spacing w:val="-18"/>
        </w:rPr>
        <w:t xml:space="preserve"> </w:t>
      </w:r>
      <w:r w:rsidRPr="004A440A">
        <w:rPr>
          <w:rFonts w:asciiTheme="minorHAnsi" w:hAnsiTheme="minorHAnsi" w:cstheme="minorHAnsi"/>
          <w:bCs/>
          <w:color w:val="000000" w:themeColor="text1"/>
          <w:spacing w:val="-4"/>
        </w:rPr>
        <w:t>décès</w:t>
      </w:r>
      <w:r w:rsidRPr="004A440A">
        <w:rPr>
          <w:rFonts w:asciiTheme="minorHAnsi" w:hAnsiTheme="minorHAnsi" w:cstheme="minorHAnsi"/>
          <w:bCs/>
          <w:color w:val="000000" w:themeColor="text1"/>
          <w:spacing w:val="-18"/>
        </w:rPr>
        <w:t xml:space="preserve"> </w:t>
      </w:r>
      <w:r w:rsidRPr="004A440A">
        <w:rPr>
          <w:rFonts w:asciiTheme="minorHAnsi" w:hAnsiTheme="minorHAnsi" w:cstheme="minorHAnsi"/>
          <w:bCs/>
          <w:color w:val="000000" w:themeColor="text1"/>
          <w:spacing w:val="-4"/>
        </w:rPr>
        <w:t>qui</w:t>
      </w:r>
      <w:r w:rsidRPr="004A440A">
        <w:rPr>
          <w:rFonts w:asciiTheme="minorHAnsi" w:hAnsiTheme="minorHAnsi" w:cstheme="minorHAnsi"/>
          <w:bCs/>
          <w:color w:val="000000" w:themeColor="text1"/>
          <w:spacing w:val="-18"/>
        </w:rPr>
        <w:t xml:space="preserve"> </w:t>
      </w:r>
      <w:r w:rsidRPr="004A440A">
        <w:rPr>
          <w:rFonts w:asciiTheme="minorHAnsi" w:hAnsiTheme="minorHAnsi" w:cstheme="minorHAnsi"/>
          <w:bCs/>
          <w:color w:val="000000" w:themeColor="text1"/>
          <w:spacing w:val="-4"/>
        </w:rPr>
        <w:t>y</w:t>
      </w:r>
      <w:r w:rsidRPr="004A440A">
        <w:rPr>
          <w:rFonts w:asciiTheme="minorHAnsi" w:hAnsiTheme="minorHAnsi" w:cstheme="minorHAnsi"/>
          <w:bCs/>
          <w:color w:val="000000" w:themeColor="text1"/>
          <w:spacing w:val="-18"/>
        </w:rPr>
        <w:t xml:space="preserve"> </w:t>
      </w:r>
      <w:r w:rsidRPr="004A440A">
        <w:rPr>
          <w:rFonts w:asciiTheme="minorHAnsi" w:hAnsiTheme="minorHAnsi" w:cstheme="minorHAnsi"/>
          <w:bCs/>
          <w:color w:val="000000" w:themeColor="text1"/>
          <w:spacing w:val="-4"/>
        </w:rPr>
        <w:t>sont</w:t>
      </w:r>
      <w:r w:rsidRPr="004A440A">
        <w:rPr>
          <w:rFonts w:asciiTheme="minorHAnsi" w:hAnsiTheme="minorHAnsi" w:cstheme="minorHAnsi"/>
          <w:bCs/>
          <w:color w:val="000000" w:themeColor="text1"/>
          <w:spacing w:val="-18"/>
        </w:rPr>
        <w:t xml:space="preserve"> </w:t>
      </w:r>
      <w:r w:rsidRPr="004A440A">
        <w:rPr>
          <w:rFonts w:asciiTheme="minorHAnsi" w:hAnsiTheme="minorHAnsi" w:cstheme="minorHAnsi"/>
          <w:bCs/>
          <w:color w:val="000000" w:themeColor="text1"/>
          <w:spacing w:val="-4"/>
        </w:rPr>
        <w:t>liés ;</w:t>
      </w:r>
    </w:p>
    <w:p w14:paraId="0FB65CA0" w14:textId="77777777" w:rsidR="00412F22" w:rsidRPr="004A440A" w:rsidRDefault="00412F22" w:rsidP="00412F22">
      <w:pPr>
        <w:pStyle w:val="Corpsdetexte"/>
        <w:widowControl/>
        <w:numPr>
          <w:ilvl w:val="0"/>
          <w:numId w:val="205"/>
        </w:numPr>
        <w:autoSpaceDE/>
        <w:autoSpaceDN/>
        <w:spacing w:before="103" w:line="276" w:lineRule="auto"/>
        <w:ind w:right="1137"/>
        <w:rPr>
          <w:rFonts w:asciiTheme="minorHAnsi" w:hAnsiTheme="minorHAnsi" w:cstheme="minorHAnsi"/>
          <w:bCs/>
          <w:color w:val="000000" w:themeColor="text1"/>
          <w:w w:val="90"/>
        </w:rPr>
      </w:pPr>
      <w:r w:rsidRPr="004A440A">
        <w:rPr>
          <w:rFonts w:asciiTheme="minorHAnsi" w:hAnsiTheme="minorHAnsi" w:cstheme="minorHAnsi"/>
          <w:bCs/>
          <w:color w:val="000000" w:themeColor="text1"/>
          <w:w w:val="90"/>
        </w:rPr>
        <w:t xml:space="preserve">L’augmentation des cas de paludisme </w:t>
      </w:r>
      <w:r w:rsidRPr="004A440A">
        <w:rPr>
          <w:rFonts w:asciiTheme="minorHAnsi" w:hAnsiTheme="minorHAnsi" w:cstheme="minorHAnsi"/>
          <w:bCs/>
          <w:color w:val="000000" w:themeColor="text1"/>
          <w:spacing w:val="-4"/>
        </w:rPr>
        <w:t>en</w:t>
      </w:r>
      <w:r w:rsidRPr="004A440A">
        <w:rPr>
          <w:rFonts w:asciiTheme="minorHAnsi" w:hAnsiTheme="minorHAnsi" w:cstheme="minorHAnsi"/>
          <w:bCs/>
          <w:color w:val="000000" w:themeColor="text1"/>
          <w:spacing w:val="-15"/>
        </w:rPr>
        <w:t xml:space="preserve"> </w:t>
      </w:r>
      <w:r w:rsidRPr="004A440A">
        <w:rPr>
          <w:rFonts w:asciiTheme="minorHAnsi" w:hAnsiTheme="minorHAnsi" w:cstheme="minorHAnsi"/>
          <w:bCs/>
          <w:color w:val="000000" w:themeColor="text1"/>
          <w:spacing w:val="-4"/>
        </w:rPr>
        <w:t>raison</w:t>
      </w:r>
      <w:r w:rsidRPr="004A440A">
        <w:rPr>
          <w:rFonts w:asciiTheme="minorHAnsi" w:hAnsiTheme="minorHAnsi" w:cstheme="minorHAnsi"/>
          <w:bCs/>
          <w:color w:val="000000" w:themeColor="text1"/>
          <w:spacing w:val="-15"/>
        </w:rPr>
        <w:t xml:space="preserve"> </w:t>
      </w:r>
      <w:r w:rsidRPr="004A440A">
        <w:rPr>
          <w:rFonts w:asciiTheme="minorHAnsi" w:hAnsiTheme="minorHAnsi" w:cstheme="minorHAnsi"/>
          <w:bCs/>
          <w:color w:val="000000" w:themeColor="text1"/>
          <w:spacing w:val="-4"/>
        </w:rPr>
        <w:t>de</w:t>
      </w:r>
      <w:r w:rsidRPr="004A440A">
        <w:rPr>
          <w:rFonts w:asciiTheme="minorHAnsi" w:hAnsiTheme="minorHAnsi" w:cstheme="minorHAnsi"/>
          <w:bCs/>
          <w:color w:val="000000" w:themeColor="text1"/>
          <w:spacing w:val="-15"/>
        </w:rPr>
        <w:t xml:space="preserve"> </w:t>
      </w:r>
      <w:r w:rsidRPr="004A440A">
        <w:rPr>
          <w:rFonts w:asciiTheme="minorHAnsi" w:hAnsiTheme="minorHAnsi" w:cstheme="minorHAnsi"/>
          <w:bCs/>
          <w:color w:val="000000" w:themeColor="text1"/>
          <w:spacing w:val="-4"/>
        </w:rPr>
        <w:t>la</w:t>
      </w:r>
      <w:r w:rsidRPr="004A440A">
        <w:rPr>
          <w:rFonts w:asciiTheme="minorHAnsi" w:hAnsiTheme="minorHAnsi" w:cstheme="minorHAnsi"/>
          <w:bCs/>
          <w:color w:val="000000" w:themeColor="text1"/>
          <w:spacing w:val="-15"/>
        </w:rPr>
        <w:t xml:space="preserve"> </w:t>
      </w:r>
      <w:r w:rsidRPr="004A440A">
        <w:rPr>
          <w:rFonts w:asciiTheme="minorHAnsi" w:hAnsiTheme="minorHAnsi" w:cstheme="minorHAnsi"/>
          <w:bCs/>
          <w:color w:val="000000" w:themeColor="text1"/>
          <w:spacing w:val="-4"/>
        </w:rPr>
        <w:t>hausse</w:t>
      </w:r>
      <w:r w:rsidRPr="004A440A">
        <w:rPr>
          <w:rFonts w:asciiTheme="minorHAnsi" w:hAnsiTheme="minorHAnsi" w:cstheme="minorHAnsi"/>
          <w:bCs/>
          <w:color w:val="000000" w:themeColor="text1"/>
          <w:spacing w:val="-15"/>
        </w:rPr>
        <w:t xml:space="preserve"> </w:t>
      </w:r>
      <w:r w:rsidRPr="004A440A">
        <w:rPr>
          <w:rFonts w:asciiTheme="minorHAnsi" w:hAnsiTheme="minorHAnsi" w:cstheme="minorHAnsi"/>
          <w:bCs/>
          <w:color w:val="000000" w:themeColor="text1"/>
          <w:spacing w:val="-4"/>
        </w:rPr>
        <w:t xml:space="preserve">des </w:t>
      </w:r>
      <w:r w:rsidRPr="004A440A">
        <w:rPr>
          <w:rFonts w:asciiTheme="minorHAnsi" w:hAnsiTheme="minorHAnsi" w:cstheme="minorHAnsi"/>
          <w:bCs/>
          <w:color w:val="000000" w:themeColor="text1"/>
          <w:w w:val="90"/>
        </w:rPr>
        <w:t>températures.</w:t>
      </w:r>
      <w:r w:rsidRPr="004A440A">
        <w:rPr>
          <w:rFonts w:asciiTheme="minorHAnsi" w:hAnsiTheme="minorHAnsi" w:cstheme="minorHAnsi"/>
          <w:bCs/>
          <w:color w:val="000000" w:themeColor="text1"/>
          <w:spacing w:val="-7"/>
          <w:w w:val="90"/>
        </w:rPr>
        <w:t xml:space="preserve"> </w:t>
      </w:r>
      <w:r w:rsidRPr="004A440A">
        <w:rPr>
          <w:rFonts w:asciiTheme="minorHAnsi" w:hAnsiTheme="minorHAnsi" w:cstheme="minorHAnsi"/>
          <w:bCs/>
          <w:color w:val="000000" w:themeColor="text1"/>
          <w:w w:val="90"/>
        </w:rPr>
        <w:t>Certaines</w:t>
      </w:r>
      <w:r w:rsidRPr="004A440A">
        <w:rPr>
          <w:rFonts w:asciiTheme="minorHAnsi" w:hAnsiTheme="minorHAnsi" w:cstheme="minorHAnsi"/>
          <w:bCs/>
          <w:color w:val="000000" w:themeColor="text1"/>
          <w:spacing w:val="-7"/>
          <w:w w:val="90"/>
        </w:rPr>
        <w:t xml:space="preserve"> </w:t>
      </w:r>
      <w:r w:rsidRPr="004A440A">
        <w:rPr>
          <w:rFonts w:asciiTheme="minorHAnsi" w:hAnsiTheme="minorHAnsi" w:cstheme="minorHAnsi"/>
          <w:bCs/>
          <w:color w:val="000000" w:themeColor="text1"/>
          <w:w w:val="90"/>
        </w:rPr>
        <w:t>régions</w:t>
      </w:r>
      <w:r w:rsidRPr="004A440A">
        <w:rPr>
          <w:rFonts w:asciiTheme="minorHAnsi" w:hAnsiTheme="minorHAnsi" w:cstheme="minorHAnsi"/>
          <w:bCs/>
          <w:color w:val="000000" w:themeColor="text1"/>
          <w:spacing w:val="-7"/>
          <w:w w:val="90"/>
        </w:rPr>
        <w:t xml:space="preserve"> </w:t>
      </w:r>
      <w:r w:rsidRPr="004A440A">
        <w:rPr>
          <w:rFonts w:asciiTheme="minorHAnsi" w:hAnsiTheme="minorHAnsi" w:cstheme="minorHAnsi"/>
          <w:bCs/>
          <w:color w:val="000000" w:themeColor="text1"/>
          <w:w w:val="90"/>
        </w:rPr>
        <w:t>risquent</w:t>
      </w:r>
      <w:r w:rsidRPr="004A440A">
        <w:rPr>
          <w:rFonts w:asciiTheme="minorHAnsi" w:hAnsiTheme="minorHAnsi" w:cstheme="minorHAnsi"/>
          <w:bCs/>
          <w:color w:val="000000" w:themeColor="text1"/>
          <w:spacing w:val="-7"/>
          <w:w w:val="90"/>
        </w:rPr>
        <w:t xml:space="preserve"> </w:t>
      </w:r>
      <w:proofErr w:type="gramStart"/>
      <w:r w:rsidRPr="004A440A">
        <w:rPr>
          <w:rFonts w:asciiTheme="minorHAnsi" w:hAnsiTheme="minorHAnsi" w:cstheme="minorHAnsi"/>
          <w:bCs/>
          <w:color w:val="000000" w:themeColor="text1"/>
          <w:w w:val="90"/>
        </w:rPr>
        <w:t>d’</w:t>
      </w:r>
      <w:r w:rsidRPr="004A440A">
        <w:rPr>
          <w:rFonts w:asciiTheme="minorHAnsi" w:hAnsiTheme="minorHAnsi" w:cstheme="minorHAnsi"/>
          <w:bCs/>
          <w:color w:val="000000" w:themeColor="text1"/>
          <w:spacing w:val="-7"/>
          <w:w w:val="90"/>
        </w:rPr>
        <w:t xml:space="preserve"> </w:t>
      </w:r>
      <w:r w:rsidRPr="004A440A">
        <w:rPr>
          <w:rFonts w:asciiTheme="minorHAnsi" w:hAnsiTheme="minorHAnsi" w:cstheme="minorHAnsi"/>
          <w:bCs/>
          <w:color w:val="000000" w:themeColor="text1"/>
          <w:w w:val="90"/>
        </w:rPr>
        <w:t>être</w:t>
      </w:r>
      <w:proofErr w:type="gramEnd"/>
      <w:r w:rsidRPr="004A440A">
        <w:rPr>
          <w:rFonts w:asciiTheme="minorHAnsi" w:hAnsiTheme="minorHAnsi" w:cstheme="minorHAnsi"/>
          <w:bCs/>
          <w:color w:val="000000" w:themeColor="text1"/>
          <w:w w:val="90"/>
        </w:rPr>
        <w:t xml:space="preserve"> plus vulnérables du fait de la fréquence accrue des inondations ;</w:t>
      </w:r>
    </w:p>
    <w:p w14:paraId="620C1EFE" w14:textId="77777777" w:rsidR="00412F22" w:rsidRPr="004A440A" w:rsidRDefault="00412F22" w:rsidP="00412F22">
      <w:pPr>
        <w:pStyle w:val="Corpsdetexte"/>
        <w:widowControl/>
        <w:numPr>
          <w:ilvl w:val="0"/>
          <w:numId w:val="205"/>
        </w:numPr>
        <w:autoSpaceDE/>
        <w:autoSpaceDN/>
        <w:spacing w:before="103" w:line="276" w:lineRule="auto"/>
        <w:ind w:right="996"/>
        <w:jc w:val="left"/>
        <w:rPr>
          <w:rFonts w:asciiTheme="minorHAnsi" w:hAnsiTheme="minorHAnsi" w:cstheme="minorHAnsi"/>
          <w:bCs/>
          <w:color w:val="000000" w:themeColor="text1"/>
          <w:w w:val="90"/>
        </w:rPr>
      </w:pPr>
      <w:r>
        <w:rPr>
          <w:rFonts w:asciiTheme="minorHAnsi" w:hAnsiTheme="minorHAnsi" w:cstheme="minorHAnsi"/>
          <w:bCs/>
          <w:color w:val="000000" w:themeColor="text1"/>
          <w:w w:val="90"/>
        </w:rPr>
        <w:t xml:space="preserve">L’augmentation, dans les scénarios </w:t>
      </w:r>
      <w:r w:rsidRPr="004A440A">
        <w:rPr>
          <w:rFonts w:asciiTheme="minorHAnsi" w:hAnsiTheme="minorHAnsi" w:cstheme="minorHAnsi"/>
          <w:bCs/>
          <w:color w:val="000000" w:themeColor="text1"/>
          <w:w w:val="90"/>
        </w:rPr>
        <w:t>d’émissions moyennes</w:t>
      </w:r>
      <w:r>
        <w:rPr>
          <w:rFonts w:asciiTheme="minorHAnsi" w:hAnsiTheme="minorHAnsi" w:cstheme="minorHAnsi"/>
          <w:bCs/>
          <w:color w:val="000000" w:themeColor="text1"/>
          <w:w w:val="90"/>
        </w:rPr>
        <w:t> à élevés (</w:t>
      </w:r>
      <w:r w:rsidRPr="004A440A">
        <w:rPr>
          <w:rFonts w:asciiTheme="minorHAnsi" w:hAnsiTheme="minorHAnsi" w:cstheme="minorHAnsi"/>
          <w:bCs/>
          <w:color w:val="000000" w:themeColor="text1"/>
          <w:w w:val="90"/>
        </w:rPr>
        <w:t>RCP6.0</w:t>
      </w:r>
      <w:r>
        <w:rPr>
          <w:rFonts w:asciiTheme="minorHAnsi" w:hAnsiTheme="minorHAnsi" w:cstheme="minorHAnsi"/>
          <w:bCs/>
          <w:color w:val="000000" w:themeColor="text1"/>
          <w:w w:val="90"/>
        </w:rPr>
        <w:t xml:space="preserve">), de </w:t>
      </w:r>
      <w:r w:rsidRPr="004A440A">
        <w:rPr>
          <w:rFonts w:asciiTheme="minorHAnsi" w:hAnsiTheme="minorHAnsi" w:cstheme="minorHAnsi"/>
          <w:bCs/>
          <w:color w:val="000000" w:themeColor="text1"/>
          <w:w w:val="90"/>
        </w:rPr>
        <w:t xml:space="preserve">la part de la population affectée par au moins une vague de chaleur par an, passant de 6 % en 2000 à 34 % en 2080, soit 19% en 2050 et 38% en 2100. </w:t>
      </w:r>
      <w:proofErr w:type="gramStart"/>
      <w:r w:rsidRPr="004A440A">
        <w:rPr>
          <w:rFonts w:asciiTheme="minorHAnsi" w:hAnsiTheme="minorHAnsi" w:cstheme="minorHAnsi"/>
          <w:bCs/>
          <w:color w:val="000000" w:themeColor="text1"/>
          <w:w w:val="90"/>
        </w:rPr>
        <w:t>la</w:t>
      </w:r>
      <w:proofErr w:type="gramEnd"/>
      <w:r w:rsidRPr="004A440A">
        <w:rPr>
          <w:rFonts w:asciiTheme="minorHAnsi" w:hAnsiTheme="minorHAnsi" w:cstheme="minorHAnsi"/>
          <w:bCs/>
          <w:color w:val="000000" w:themeColor="text1"/>
          <w:w w:val="90"/>
        </w:rPr>
        <w:t xml:space="preserve"> mortalité liée à la chaleur risque</w:t>
      </w:r>
      <w:r w:rsidRPr="004A440A">
        <w:rPr>
          <w:rFonts w:asciiTheme="minorHAnsi" w:hAnsiTheme="minorHAnsi" w:cstheme="minorHAnsi"/>
          <w:bCs/>
          <w:color w:val="000000" w:themeColor="text1"/>
          <w:spacing w:val="-8"/>
          <w:w w:val="90"/>
        </w:rPr>
        <w:t xml:space="preserve"> </w:t>
      </w:r>
      <w:r w:rsidRPr="004A440A">
        <w:rPr>
          <w:rFonts w:asciiTheme="minorHAnsi" w:hAnsiTheme="minorHAnsi" w:cstheme="minorHAnsi"/>
          <w:bCs/>
          <w:color w:val="000000" w:themeColor="text1"/>
          <w:w w:val="90"/>
        </w:rPr>
        <w:t>d’être</w:t>
      </w:r>
      <w:r w:rsidRPr="004A440A">
        <w:rPr>
          <w:rFonts w:asciiTheme="minorHAnsi" w:hAnsiTheme="minorHAnsi" w:cstheme="minorHAnsi"/>
          <w:bCs/>
          <w:color w:val="000000" w:themeColor="text1"/>
          <w:spacing w:val="-8"/>
          <w:w w:val="90"/>
        </w:rPr>
        <w:t xml:space="preserve"> </w:t>
      </w:r>
      <w:r w:rsidRPr="004A440A">
        <w:rPr>
          <w:rFonts w:asciiTheme="minorHAnsi" w:hAnsiTheme="minorHAnsi" w:cstheme="minorHAnsi"/>
          <w:bCs/>
          <w:color w:val="000000" w:themeColor="text1"/>
          <w:w w:val="90"/>
        </w:rPr>
        <w:t>multipliée</w:t>
      </w:r>
      <w:r w:rsidRPr="004A440A">
        <w:rPr>
          <w:rFonts w:asciiTheme="minorHAnsi" w:hAnsiTheme="minorHAnsi" w:cstheme="minorHAnsi"/>
          <w:bCs/>
          <w:color w:val="000000" w:themeColor="text1"/>
          <w:spacing w:val="-8"/>
          <w:w w:val="90"/>
        </w:rPr>
        <w:t xml:space="preserve"> </w:t>
      </w:r>
      <w:r w:rsidRPr="004A440A">
        <w:rPr>
          <w:rFonts w:asciiTheme="minorHAnsi" w:hAnsiTheme="minorHAnsi" w:cstheme="minorHAnsi"/>
          <w:bCs/>
          <w:color w:val="000000" w:themeColor="text1"/>
          <w:w w:val="90"/>
        </w:rPr>
        <w:t>par</w:t>
      </w:r>
      <w:r w:rsidRPr="004A440A">
        <w:rPr>
          <w:rFonts w:asciiTheme="minorHAnsi" w:hAnsiTheme="minorHAnsi" w:cstheme="minorHAnsi"/>
          <w:bCs/>
          <w:color w:val="000000" w:themeColor="text1"/>
          <w:spacing w:val="-8"/>
          <w:w w:val="90"/>
        </w:rPr>
        <w:t xml:space="preserve"> </w:t>
      </w:r>
      <w:r w:rsidRPr="004A440A">
        <w:rPr>
          <w:rFonts w:asciiTheme="minorHAnsi" w:hAnsiTheme="minorHAnsi" w:cstheme="minorHAnsi"/>
          <w:bCs/>
          <w:color w:val="000000" w:themeColor="text1"/>
          <w:w w:val="90"/>
        </w:rPr>
        <w:t>plus</w:t>
      </w:r>
      <w:r w:rsidRPr="004A440A">
        <w:rPr>
          <w:rFonts w:asciiTheme="minorHAnsi" w:hAnsiTheme="minorHAnsi" w:cstheme="minorHAnsi"/>
          <w:bCs/>
          <w:color w:val="000000" w:themeColor="text1"/>
          <w:spacing w:val="-8"/>
          <w:w w:val="90"/>
        </w:rPr>
        <w:t xml:space="preserve"> </w:t>
      </w:r>
      <w:r w:rsidRPr="004A440A">
        <w:rPr>
          <w:rFonts w:asciiTheme="minorHAnsi" w:hAnsiTheme="minorHAnsi" w:cstheme="minorHAnsi"/>
          <w:bCs/>
          <w:color w:val="000000" w:themeColor="text1"/>
          <w:w w:val="90"/>
        </w:rPr>
        <w:t>de</w:t>
      </w:r>
      <w:r w:rsidRPr="004A440A">
        <w:rPr>
          <w:rFonts w:asciiTheme="minorHAnsi" w:hAnsiTheme="minorHAnsi" w:cstheme="minorHAnsi"/>
          <w:bCs/>
          <w:color w:val="000000" w:themeColor="text1"/>
          <w:spacing w:val="-8"/>
          <w:w w:val="90"/>
        </w:rPr>
        <w:t xml:space="preserve"> </w:t>
      </w:r>
      <w:r w:rsidRPr="004A440A">
        <w:rPr>
          <w:rFonts w:asciiTheme="minorHAnsi" w:hAnsiTheme="minorHAnsi" w:cstheme="minorHAnsi"/>
          <w:bCs/>
          <w:color w:val="000000" w:themeColor="text1"/>
          <w:w w:val="90"/>
        </w:rPr>
        <w:t>trois</w:t>
      </w:r>
      <w:r w:rsidRPr="004A440A">
        <w:rPr>
          <w:rFonts w:asciiTheme="minorHAnsi" w:hAnsiTheme="minorHAnsi" w:cstheme="minorHAnsi"/>
          <w:bCs/>
          <w:color w:val="000000" w:themeColor="text1"/>
          <w:spacing w:val="-8"/>
          <w:w w:val="90"/>
        </w:rPr>
        <w:t xml:space="preserve"> </w:t>
      </w:r>
      <w:r w:rsidRPr="004A440A">
        <w:rPr>
          <w:rFonts w:asciiTheme="minorHAnsi" w:hAnsiTheme="minorHAnsi" w:cstheme="minorHAnsi"/>
          <w:bCs/>
          <w:color w:val="000000" w:themeColor="text1"/>
          <w:w w:val="90"/>
        </w:rPr>
        <w:t xml:space="preserve">en 2100 par rapport à 2000. </w:t>
      </w:r>
    </w:p>
    <w:p w14:paraId="060DF14F" w14:textId="77777777" w:rsidR="00412F22" w:rsidRPr="004A440A" w:rsidRDefault="00412F22" w:rsidP="00412F22">
      <w:pPr>
        <w:pStyle w:val="Corpsdetexte"/>
        <w:spacing w:before="103" w:line="297" w:lineRule="auto"/>
        <w:ind w:left="720"/>
        <w:rPr>
          <w:bCs/>
          <w:color w:val="000000" w:themeColor="text1"/>
          <w:w w:val="90"/>
        </w:rPr>
      </w:pPr>
    </w:p>
    <w:p w14:paraId="5FEF20EA" w14:textId="77777777" w:rsidR="00412F22" w:rsidRPr="003B41EA" w:rsidRDefault="00412F22" w:rsidP="00412F22">
      <w:pPr>
        <w:pStyle w:val="Titre3"/>
        <w:tabs>
          <w:tab w:val="left" w:pos="9356"/>
          <w:tab w:val="left" w:pos="9498"/>
          <w:tab w:val="left" w:pos="9781"/>
        </w:tabs>
        <w:ind w:right="1279"/>
        <w:jc w:val="center"/>
        <w:rPr>
          <w:rFonts w:ascii="Arial Black" w:hAnsi="Arial Black"/>
          <w:b/>
          <w:bCs/>
          <w:color w:val="FF3399"/>
        </w:rPr>
      </w:pPr>
      <w:bookmarkStart w:id="717" w:name="_Toc192462519"/>
      <w:r w:rsidRPr="003B41EA">
        <w:rPr>
          <w:rFonts w:ascii="Arial Black" w:hAnsi="Arial Black"/>
          <w:b/>
          <w:bCs/>
          <w:color w:val="FF3399"/>
        </w:rPr>
        <w:t xml:space="preserve">II.3.5 Vulnérabilité </w:t>
      </w:r>
      <w:r>
        <w:rPr>
          <w:rFonts w:ascii="Arial Black" w:hAnsi="Arial Black"/>
          <w:b/>
          <w:bCs/>
          <w:color w:val="FF3399"/>
        </w:rPr>
        <w:t xml:space="preserve">des </w:t>
      </w:r>
      <w:r w:rsidRPr="003B41EA">
        <w:rPr>
          <w:rFonts w:ascii="Arial Black" w:hAnsi="Arial Black"/>
          <w:b/>
          <w:bCs/>
          <w:color w:val="FF3399"/>
        </w:rPr>
        <w:t>Infrastructures</w:t>
      </w:r>
      <w:bookmarkEnd w:id="717"/>
    </w:p>
    <w:p w14:paraId="73CE9A34" w14:textId="77777777" w:rsidR="00412F22" w:rsidRPr="0016301A" w:rsidRDefault="00412F22" w:rsidP="00412F22">
      <w:pPr>
        <w:pStyle w:val="Titre4"/>
        <w:spacing w:before="104" w:after="240" w:line="276" w:lineRule="auto"/>
        <w:ind w:right="1279"/>
        <w:rPr>
          <w:rFonts w:asciiTheme="minorHAnsi" w:hAnsiTheme="minorHAnsi" w:cstheme="minorHAnsi"/>
          <w:b/>
          <w:bCs/>
          <w:i w:val="0"/>
          <w:iCs w:val="0"/>
          <w:color w:val="000000" w:themeColor="text1"/>
          <w:w w:val="90"/>
        </w:rPr>
      </w:pPr>
      <w:r w:rsidRPr="0016301A">
        <w:rPr>
          <w:rFonts w:asciiTheme="minorHAnsi" w:hAnsiTheme="minorHAnsi" w:cstheme="minorHAnsi"/>
          <w:i w:val="0"/>
          <w:iCs w:val="0"/>
          <w:color w:val="000000" w:themeColor="text1"/>
          <w:w w:val="85"/>
        </w:rPr>
        <w:t xml:space="preserve">La fréquence des événements climatiques, se traduit par un certain nombre de conséquences au niveau des infrastructures, à travers les stress dus au changement climatique. Par exemple, au niveau des routes et des ponts, </w:t>
      </w:r>
      <w:r w:rsidRPr="0016301A">
        <w:rPr>
          <w:rFonts w:asciiTheme="minorHAnsi" w:hAnsiTheme="minorHAnsi" w:cstheme="minorHAnsi"/>
          <w:i w:val="0"/>
          <w:iCs w:val="0"/>
          <w:color w:val="000000" w:themeColor="text1"/>
          <w:w w:val="90"/>
        </w:rPr>
        <w:t>les impacts prévisibles sont analysés au regard de la fréquence des stress indiquées dans les scénarii climatiques</w:t>
      </w:r>
      <w:r>
        <w:rPr>
          <w:rFonts w:asciiTheme="minorHAnsi" w:hAnsiTheme="minorHAnsi" w:cstheme="minorHAnsi"/>
          <w:i w:val="0"/>
          <w:iCs w:val="0"/>
          <w:color w:val="000000" w:themeColor="text1"/>
          <w:w w:val="90"/>
        </w:rPr>
        <w:t>,</w:t>
      </w:r>
      <w:r w:rsidRPr="0016301A">
        <w:rPr>
          <w:rFonts w:asciiTheme="minorHAnsi" w:hAnsiTheme="minorHAnsi" w:cstheme="minorHAnsi"/>
          <w:i w:val="0"/>
          <w:iCs w:val="0"/>
          <w:color w:val="000000" w:themeColor="text1"/>
          <w:w w:val="90"/>
        </w:rPr>
        <w:t xml:space="preserve"> telles que les inondations et la hausse des températures qui pourraient entrainer des fissures et des dégradations plus</w:t>
      </w:r>
      <w:r w:rsidRPr="0016301A">
        <w:rPr>
          <w:rFonts w:asciiTheme="minorHAnsi" w:hAnsiTheme="minorHAnsi" w:cstheme="minorHAnsi"/>
          <w:i w:val="0"/>
          <w:iCs w:val="0"/>
          <w:color w:val="000000" w:themeColor="text1"/>
          <w:spacing w:val="-6"/>
          <w:w w:val="90"/>
        </w:rPr>
        <w:t xml:space="preserve"> </w:t>
      </w:r>
      <w:r w:rsidRPr="0016301A">
        <w:rPr>
          <w:rFonts w:asciiTheme="minorHAnsi" w:hAnsiTheme="minorHAnsi" w:cstheme="minorHAnsi"/>
          <w:i w:val="0"/>
          <w:iCs w:val="0"/>
          <w:color w:val="000000" w:themeColor="text1"/>
          <w:w w:val="90"/>
        </w:rPr>
        <w:t>rapides</w:t>
      </w:r>
      <w:r w:rsidRPr="0016301A">
        <w:rPr>
          <w:rFonts w:asciiTheme="minorHAnsi" w:hAnsiTheme="minorHAnsi" w:cstheme="minorHAnsi"/>
          <w:i w:val="0"/>
          <w:iCs w:val="0"/>
          <w:color w:val="000000" w:themeColor="text1"/>
          <w:spacing w:val="-6"/>
          <w:w w:val="90"/>
        </w:rPr>
        <w:t xml:space="preserve"> </w:t>
      </w:r>
      <w:r w:rsidRPr="0016301A">
        <w:rPr>
          <w:rFonts w:asciiTheme="minorHAnsi" w:hAnsiTheme="minorHAnsi" w:cstheme="minorHAnsi"/>
          <w:i w:val="0"/>
          <w:iCs w:val="0"/>
          <w:color w:val="000000" w:themeColor="text1"/>
          <w:w w:val="90"/>
        </w:rPr>
        <w:t>sur</w:t>
      </w:r>
      <w:r w:rsidRPr="0016301A">
        <w:rPr>
          <w:rFonts w:asciiTheme="minorHAnsi" w:hAnsiTheme="minorHAnsi" w:cstheme="minorHAnsi"/>
          <w:i w:val="0"/>
          <w:iCs w:val="0"/>
          <w:color w:val="000000" w:themeColor="text1"/>
          <w:spacing w:val="-6"/>
          <w:w w:val="90"/>
        </w:rPr>
        <w:t xml:space="preserve"> </w:t>
      </w:r>
      <w:r>
        <w:rPr>
          <w:rFonts w:asciiTheme="minorHAnsi" w:hAnsiTheme="minorHAnsi" w:cstheme="minorHAnsi"/>
          <w:i w:val="0"/>
          <w:iCs w:val="0"/>
          <w:color w:val="000000" w:themeColor="text1"/>
          <w:w w:val="90"/>
        </w:rPr>
        <w:t>c</w:t>
      </w:r>
      <w:r w:rsidRPr="0016301A">
        <w:rPr>
          <w:rFonts w:asciiTheme="minorHAnsi" w:hAnsiTheme="minorHAnsi" w:cstheme="minorHAnsi"/>
          <w:i w:val="0"/>
          <w:iCs w:val="0"/>
          <w:color w:val="000000" w:themeColor="text1"/>
          <w:w w:val="90"/>
        </w:rPr>
        <w:t>es</w:t>
      </w:r>
      <w:r w:rsidRPr="0016301A">
        <w:rPr>
          <w:rFonts w:asciiTheme="minorHAnsi" w:hAnsiTheme="minorHAnsi" w:cstheme="minorHAnsi"/>
          <w:i w:val="0"/>
          <w:iCs w:val="0"/>
          <w:color w:val="000000" w:themeColor="text1"/>
          <w:spacing w:val="-6"/>
          <w:w w:val="90"/>
        </w:rPr>
        <w:t xml:space="preserve"> </w:t>
      </w:r>
      <w:r w:rsidRPr="0016301A">
        <w:rPr>
          <w:rFonts w:asciiTheme="minorHAnsi" w:hAnsiTheme="minorHAnsi" w:cstheme="minorHAnsi"/>
          <w:i w:val="0"/>
          <w:iCs w:val="0"/>
          <w:color w:val="000000" w:themeColor="text1"/>
          <w:w w:val="90"/>
        </w:rPr>
        <w:t>routes,</w:t>
      </w:r>
      <w:r w:rsidRPr="0016301A">
        <w:rPr>
          <w:rFonts w:asciiTheme="minorHAnsi" w:hAnsiTheme="minorHAnsi" w:cstheme="minorHAnsi"/>
          <w:i w:val="0"/>
          <w:iCs w:val="0"/>
          <w:color w:val="000000" w:themeColor="text1"/>
          <w:spacing w:val="-6"/>
          <w:w w:val="90"/>
        </w:rPr>
        <w:t xml:space="preserve"> </w:t>
      </w:r>
      <w:r>
        <w:rPr>
          <w:rFonts w:asciiTheme="minorHAnsi" w:hAnsiTheme="minorHAnsi" w:cstheme="minorHAnsi"/>
          <w:i w:val="0"/>
          <w:iCs w:val="0"/>
          <w:color w:val="000000" w:themeColor="text1"/>
          <w:w w:val="90"/>
        </w:rPr>
        <w:t>c</w:t>
      </w:r>
      <w:r w:rsidRPr="0016301A">
        <w:rPr>
          <w:rFonts w:asciiTheme="minorHAnsi" w:hAnsiTheme="minorHAnsi" w:cstheme="minorHAnsi"/>
          <w:i w:val="0"/>
          <w:iCs w:val="0"/>
          <w:color w:val="000000" w:themeColor="text1"/>
          <w:w w:val="90"/>
        </w:rPr>
        <w:t>es</w:t>
      </w:r>
      <w:r w:rsidRPr="0016301A">
        <w:rPr>
          <w:rFonts w:asciiTheme="minorHAnsi" w:hAnsiTheme="minorHAnsi" w:cstheme="minorHAnsi"/>
          <w:i w:val="0"/>
          <w:iCs w:val="0"/>
          <w:color w:val="000000" w:themeColor="text1"/>
          <w:spacing w:val="-6"/>
          <w:w w:val="90"/>
        </w:rPr>
        <w:t xml:space="preserve"> </w:t>
      </w:r>
      <w:r w:rsidRPr="0016301A">
        <w:rPr>
          <w:rFonts w:asciiTheme="minorHAnsi" w:hAnsiTheme="minorHAnsi" w:cstheme="minorHAnsi"/>
          <w:i w:val="0"/>
          <w:iCs w:val="0"/>
          <w:color w:val="000000" w:themeColor="text1"/>
          <w:w w:val="90"/>
        </w:rPr>
        <w:t>ponts</w:t>
      </w:r>
      <w:r w:rsidRPr="0016301A">
        <w:rPr>
          <w:rFonts w:asciiTheme="minorHAnsi" w:hAnsiTheme="minorHAnsi" w:cstheme="minorHAnsi"/>
          <w:i w:val="0"/>
          <w:iCs w:val="0"/>
          <w:color w:val="000000" w:themeColor="text1"/>
          <w:spacing w:val="-6"/>
          <w:w w:val="90"/>
        </w:rPr>
        <w:t xml:space="preserve"> </w:t>
      </w:r>
      <w:r w:rsidRPr="0016301A">
        <w:rPr>
          <w:rFonts w:asciiTheme="minorHAnsi" w:hAnsiTheme="minorHAnsi" w:cstheme="minorHAnsi"/>
          <w:i w:val="0"/>
          <w:iCs w:val="0"/>
          <w:color w:val="000000" w:themeColor="text1"/>
          <w:w w:val="90"/>
        </w:rPr>
        <w:t>et</w:t>
      </w:r>
      <w:r w:rsidRPr="0016301A">
        <w:rPr>
          <w:rFonts w:asciiTheme="minorHAnsi" w:hAnsiTheme="minorHAnsi" w:cstheme="minorHAnsi"/>
          <w:i w:val="0"/>
          <w:iCs w:val="0"/>
          <w:color w:val="000000" w:themeColor="text1"/>
          <w:spacing w:val="-6"/>
          <w:w w:val="90"/>
        </w:rPr>
        <w:t xml:space="preserve"> </w:t>
      </w:r>
      <w:r w:rsidRPr="0016301A">
        <w:rPr>
          <w:rFonts w:asciiTheme="minorHAnsi" w:hAnsiTheme="minorHAnsi" w:cstheme="minorHAnsi"/>
          <w:i w:val="0"/>
          <w:iCs w:val="0"/>
          <w:color w:val="000000" w:themeColor="text1"/>
          <w:w w:val="90"/>
        </w:rPr>
        <w:t>l</w:t>
      </w:r>
      <w:r>
        <w:rPr>
          <w:rFonts w:asciiTheme="minorHAnsi" w:hAnsiTheme="minorHAnsi" w:cstheme="minorHAnsi"/>
          <w:i w:val="0"/>
          <w:iCs w:val="0"/>
          <w:color w:val="000000" w:themeColor="text1"/>
          <w:w w:val="90"/>
        </w:rPr>
        <w:t>eurs</w:t>
      </w:r>
      <w:r w:rsidRPr="0016301A">
        <w:rPr>
          <w:rFonts w:asciiTheme="minorHAnsi" w:hAnsiTheme="minorHAnsi" w:cstheme="minorHAnsi"/>
          <w:i w:val="0"/>
          <w:iCs w:val="0"/>
          <w:color w:val="000000" w:themeColor="text1"/>
          <w:spacing w:val="-6"/>
          <w:w w:val="90"/>
        </w:rPr>
        <w:t xml:space="preserve"> </w:t>
      </w:r>
      <w:r w:rsidRPr="0016301A">
        <w:rPr>
          <w:rFonts w:asciiTheme="minorHAnsi" w:hAnsiTheme="minorHAnsi" w:cstheme="minorHAnsi"/>
          <w:i w:val="0"/>
          <w:iCs w:val="0"/>
          <w:color w:val="000000" w:themeColor="text1"/>
          <w:w w:val="90"/>
        </w:rPr>
        <w:t>structures</w:t>
      </w:r>
      <w:r w:rsidRPr="0016301A">
        <w:rPr>
          <w:rFonts w:asciiTheme="minorHAnsi" w:hAnsiTheme="minorHAnsi" w:cstheme="minorHAnsi"/>
          <w:i w:val="0"/>
          <w:iCs w:val="0"/>
          <w:color w:val="000000" w:themeColor="text1"/>
          <w:spacing w:val="-6"/>
          <w:w w:val="90"/>
        </w:rPr>
        <w:t xml:space="preserve"> </w:t>
      </w:r>
      <w:r w:rsidRPr="0016301A">
        <w:rPr>
          <w:rFonts w:asciiTheme="minorHAnsi" w:hAnsiTheme="minorHAnsi" w:cstheme="minorHAnsi"/>
          <w:i w:val="0"/>
          <w:iCs w:val="0"/>
          <w:color w:val="000000" w:themeColor="text1"/>
          <w:w w:val="90"/>
        </w:rPr>
        <w:t>de</w:t>
      </w:r>
      <w:r w:rsidRPr="0016301A">
        <w:rPr>
          <w:rFonts w:asciiTheme="minorHAnsi" w:hAnsiTheme="minorHAnsi" w:cstheme="minorHAnsi"/>
          <w:i w:val="0"/>
          <w:iCs w:val="0"/>
          <w:color w:val="000000" w:themeColor="text1"/>
          <w:spacing w:val="-6"/>
          <w:w w:val="90"/>
        </w:rPr>
        <w:t xml:space="preserve"> </w:t>
      </w:r>
      <w:r w:rsidRPr="0016301A">
        <w:rPr>
          <w:rFonts w:asciiTheme="minorHAnsi" w:hAnsiTheme="minorHAnsi" w:cstheme="minorHAnsi"/>
          <w:i w:val="0"/>
          <w:iCs w:val="0"/>
          <w:color w:val="000000" w:themeColor="text1"/>
          <w:w w:val="90"/>
        </w:rPr>
        <w:t xml:space="preserve">protection. </w:t>
      </w:r>
    </w:p>
    <w:p w14:paraId="57FEBDFE" w14:textId="77777777" w:rsidR="00412F22" w:rsidRPr="0016301A" w:rsidRDefault="00412F22" w:rsidP="00412F22">
      <w:pPr>
        <w:pStyle w:val="Titre4"/>
        <w:spacing w:before="104" w:line="276" w:lineRule="auto"/>
        <w:ind w:right="1279"/>
        <w:rPr>
          <w:rFonts w:asciiTheme="minorHAnsi" w:hAnsiTheme="minorHAnsi" w:cstheme="minorHAnsi"/>
          <w:b/>
          <w:bCs/>
          <w:i w:val="0"/>
          <w:iCs w:val="0"/>
          <w:color w:val="000000" w:themeColor="text1"/>
          <w:w w:val="90"/>
        </w:rPr>
      </w:pPr>
      <w:r w:rsidRPr="0016301A">
        <w:rPr>
          <w:rFonts w:asciiTheme="minorHAnsi" w:hAnsiTheme="minorHAnsi" w:cstheme="minorHAnsi"/>
          <w:i w:val="0"/>
          <w:iCs w:val="0"/>
          <w:color w:val="000000" w:themeColor="text1"/>
          <w:w w:val="90"/>
        </w:rPr>
        <w:t>Sur les horizons 2050 et 2100, l’exposition des routes et des infrastructures, sont estimées sur la base de celles faites pour 2080, dans le document « Profil de risque climatique »</w:t>
      </w:r>
      <w:r w:rsidRPr="0016301A">
        <w:rPr>
          <w:rStyle w:val="Appelnotedebasdep"/>
          <w:rFonts w:asciiTheme="minorHAnsi" w:hAnsiTheme="minorHAnsi" w:cstheme="minorHAnsi"/>
          <w:i w:val="0"/>
          <w:iCs w:val="0"/>
          <w:color w:val="000000" w:themeColor="text1"/>
          <w:w w:val="90"/>
        </w:rPr>
        <w:footnoteReference w:id="78"/>
      </w:r>
      <w:r w:rsidRPr="0016301A">
        <w:rPr>
          <w:rFonts w:asciiTheme="minorHAnsi" w:hAnsiTheme="minorHAnsi" w:cstheme="minorHAnsi"/>
          <w:i w:val="0"/>
          <w:iCs w:val="0"/>
          <w:color w:val="000000" w:themeColor="text1"/>
          <w:w w:val="90"/>
        </w:rPr>
        <w:t>.</w:t>
      </w:r>
    </w:p>
    <w:p w14:paraId="62CB91E9" w14:textId="77777777" w:rsidR="00412F22" w:rsidRPr="0016301A" w:rsidRDefault="00412F22" w:rsidP="00412F22">
      <w:pPr>
        <w:pStyle w:val="Titre4"/>
        <w:numPr>
          <w:ilvl w:val="0"/>
          <w:numId w:val="205"/>
        </w:numPr>
        <w:spacing w:before="104" w:line="276" w:lineRule="auto"/>
        <w:ind w:right="1279"/>
        <w:rPr>
          <w:rFonts w:asciiTheme="minorHAnsi" w:hAnsiTheme="minorHAnsi" w:cstheme="minorHAnsi"/>
          <w:b/>
          <w:bCs/>
          <w:i w:val="0"/>
          <w:iCs w:val="0"/>
          <w:color w:val="000000" w:themeColor="text1"/>
        </w:rPr>
      </w:pPr>
      <w:r w:rsidRPr="0016301A">
        <w:rPr>
          <w:rFonts w:asciiTheme="minorHAnsi" w:hAnsiTheme="minorHAnsi" w:cstheme="minorHAnsi"/>
          <w:i w:val="0"/>
          <w:iCs w:val="0"/>
          <w:color w:val="000000" w:themeColor="text1"/>
          <w:spacing w:val="-6"/>
        </w:rPr>
        <w:t>En</w:t>
      </w:r>
      <w:r w:rsidRPr="0016301A">
        <w:rPr>
          <w:rFonts w:asciiTheme="minorHAnsi" w:hAnsiTheme="minorHAnsi" w:cstheme="minorHAnsi"/>
          <w:i w:val="0"/>
          <w:iCs w:val="0"/>
          <w:color w:val="000000" w:themeColor="text1"/>
          <w:spacing w:val="-11"/>
        </w:rPr>
        <w:t xml:space="preserve"> </w:t>
      </w:r>
      <w:r w:rsidRPr="0016301A">
        <w:rPr>
          <w:rFonts w:asciiTheme="minorHAnsi" w:hAnsiTheme="minorHAnsi" w:cstheme="minorHAnsi"/>
          <w:i w:val="0"/>
          <w:iCs w:val="0"/>
          <w:color w:val="000000" w:themeColor="text1"/>
          <w:spacing w:val="-6"/>
        </w:rPr>
        <w:t>2000,</w:t>
      </w:r>
      <w:r w:rsidRPr="0016301A">
        <w:rPr>
          <w:rFonts w:asciiTheme="minorHAnsi" w:hAnsiTheme="minorHAnsi" w:cstheme="minorHAnsi"/>
          <w:i w:val="0"/>
          <w:iCs w:val="0"/>
          <w:color w:val="000000" w:themeColor="text1"/>
          <w:spacing w:val="-11"/>
        </w:rPr>
        <w:t xml:space="preserve"> </w:t>
      </w:r>
      <w:r>
        <w:rPr>
          <w:rFonts w:asciiTheme="minorHAnsi" w:hAnsiTheme="minorHAnsi" w:cstheme="minorHAnsi"/>
          <w:i w:val="0"/>
          <w:iCs w:val="0"/>
          <w:color w:val="000000" w:themeColor="text1"/>
          <w:spacing w:val="-11"/>
        </w:rPr>
        <w:t xml:space="preserve">plus de </w:t>
      </w:r>
      <w:r w:rsidRPr="0016301A">
        <w:rPr>
          <w:rFonts w:asciiTheme="minorHAnsi" w:hAnsiTheme="minorHAnsi" w:cstheme="minorHAnsi"/>
          <w:i w:val="0"/>
          <w:iCs w:val="0"/>
          <w:color w:val="000000" w:themeColor="text1"/>
          <w:spacing w:val="-6"/>
        </w:rPr>
        <w:t>0,4</w:t>
      </w:r>
      <w:r w:rsidRPr="0016301A">
        <w:rPr>
          <w:rFonts w:asciiTheme="minorHAnsi" w:hAnsiTheme="minorHAnsi" w:cstheme="minorHAnsi"/>
          <w:i w:val="0"/>
          <w:iCs w:val="0"/>
          <w:color w:val="000000" w:themeColor="text1"/>
          <w:spacing w:val="-11"/>
        </w:rPr>
        <w:t xml:space="preserve"> </w:t>
      </w:r>
      <w:r w:rsidRPr="0016301A">
        <w:rPr>
          <w:rFonts w:asciiTheme="minorHAnsi" w:hAnsiTheme="minorHAnsi" w:cstheme="minorHAnsi"/>
          <w:i w:val="0"/>
          <w:iCs w:val="0"/>
          <w:color w:val="000000" w:themeColor="text1"/>
          <w:spacing w:val="-6"/>
        </w:rPr>
        <w:t>%</w:t>
      </w:r>
      <w:r w:rsidRPr="0016301A">
        <w:rPr>
          <w:rFonts w:asciiTheme="minorHAnsi" w:hAnsiTheme="minorHAnsi" w:cstheme="minorHAnsi"/>
          <w:i w:val="0"/>
          <w:iCs w:val="0"/>
          <w:color w:val="000000" w:themeColor="text1"/>
          <w:spacing w:val="-11"/>
        </w:rPr>
        <w:t xml:space="preserve"> </w:t>
      </w:r>
      <w:r w:rsidRPr="0016301A">
        <w:rPr>
          <w:rFonts w:asciiTheme="minorHAnsi" w:hAnsiTheme="minorHAnsi" w:cstheme="minorHAnsi"/>
          <w:i w:val="0"/>
          <w:iCs w:val="0"/>
          <w:color w:val="000000" w:themeColor="text1"/>
          <w:spacing w:val="-6"/>
        </w:rPr>
        <w:t>des</w:t>
      </w:r>
      <w:r w:rsidRPr="0016301A">
        <w:rPr>
          <w:rFonts w:asciiTheme="minorHAnsi" w:hAnsiTheme="minorHAnsi" w:cstheme="minorHAnsi"/>
          <w:i w:val="0"/>
          <w:iCs w:val="0"/>
          <w:color w:val="000000" w:themeColor="text1"/>
          <w:spacing w:val="-11"/>
        </w:rPr>
        <w:t xml:space="preserve"> </w:t>
      </w:r>
      <w:r w:rsidRPr="0016301A">
        <w:rPr>
          <w:rFonts w:asciiTheme="minorHAnsi" w:hAnsiTheme="minorHAnsi" w:cstheme="minorHAnsi"/>
          <w:i w:val="0"/>
          <w:iCs w:val="0"/>
          <w:color w:val="000000" w:themeColor="text1"/>
          <w:spacing w:val="-6"/>
        </w:rPr>
        <w:t>grandes</w:t>
      </w:r>
      <w:r w:rsidRPr="0016301A">
        <w:rPr>
          <w:rFonts w:asciiTheme="minorHAnsi" w:hAnsiTheme="minorHAnsi" w:cstheme="minorHAnsi"/>
          <w:i w:val="0"/>
          <w:iCs w:val="0"/>
          <w:color w:val="000000" w:themeColor="text1"/>
          <w:spacing w:val="-11"/>
        </w:rPr>
        <w:t xml:space="preserve"> </w:t>
      </w:r>
      <w:r w:rsidRPr="0016301A">
        <w:rPr>
          <w:rFonts w:asciiTheme="minorHAnsi" w:hAnsiTheme="minorHAnsi" w:cstheme="minorHAnsi"/>
          <w:i w:val="0"/>
          <w:iCs w:val="0"/>
          <w:color w:val="000000" w:themeColor="text1"/>
          <w:spacing w:val="-6"/>
        </w:rPr>
        <w:t xml:space="preserve">routes </w:t>
      </w:r>
      <w:r w:rsidRPr="0016301A">
        <w:rPr>
          <w:rFonts w:asciiTheme="minorHAnsi" w:hAnsiTheme="minorHAnsi" w:cstheme="minorHAnsi"/>
          <w:i w:val="0"/>
          <w:iCs w:val="0"/>
          <w:color w:val="000000" w:themeColor="text1"/>
          <w:w w:val="90"/>
        </w:rPr>
        <w:t>étaient</w:t>
      </w:r>
      <w:r w:rsidRPr="0016301A">
        <w:rPr>
          <w:rFonts w:asciiTheme="minorHAnsi" w:hAnsiTheme="minorHAnsi" w:cstheme="minorHAnsi"/>
          <w:i w:val="0"/>
          <w:iCs w:val="0"/>
          <w:color w:val="000000" w:themeColor="text1"/>
          <w:spacing w:val="-8"/>
          <w:w w:val="90"/>
        </w:rPr>
        <w:t xml:space="preserve"> </w:t>
      </w:r>
      <w:r w:rsidRPr="0016301A">
        <w:rPr>
          <w:rFonts w:asciiTheme="minorHAnsi" w:hAnsiTheme="minorHAnsi" w:cstheme="minorHAnsi"/>
          <w:i w:val="0"/>
          <w:iCs w:val="0"/>
          <w:color w:val="000000" w:themeColor="text1"/>
          <w:w w:val="90"/>
        </w:rPr>
        <w:t>exposées</w:t>
      </w:r>
      <w:r w:rsidRPr="0016301A">
        <w:rPr>
          <w:rFonts w:asciiTheme="minorHAnsi" w:hAnsiTheme="minorHAnsi" w:cstheme="minorHAnsi"/>
          <w:i w:val="0"/>
          <w:iCs w:val="0"/>
          <w:color w:val="000000" w:themeColor="text1"/>
          <w:spacing w:val="-8"/>
          <w:w w:val="90"/>
        </w:rPr>
        <w:t xml:space="preserve"> </w:t>
      </w:r>
      <w:r w:rsidRPr="0016301A">
        <w:rPr>
          <w:rFonts w:asciiTheme="minorHAnsi" w:hAnsiTheme="minorHAnsi" w:cstheme="minorHAnsi"/>
          <w:i w:val="0"/>
          <w:iCs w:val="0"/>
          <w:color w:val="000000" w:themeColor="text1"/>
          <w:w w:val="90"/>
        </w:rPr>
        <w:t>à</w:t>
      </w:r>
      <w:r w:rsidRPr="0016301A">
        <w:rPr>
          <w:rFonts w:asciiTheme="minorHAnsi" w:hAnsiTheme="minorHAnsi" w:cstheme="minorHAnsi"/>
          <w:i w:val="0"/>
          <w:iCs w:val="0"/>
          <w:color w:val="000000" w:themeColor="text1"/>
          <w:spacing w:val="-8"/>
          <w:w w:val="90"/>
        </w:rPr>
        <w:t xml:space="preserve"> </w:t>
      </w:r>
      <w:r w:rsidRPr="0016301A">
        <w:rPr>
          <w:rFonts w:asciiTheme="minorHAnsi" w:hAnsiTheme="minorHAnsi" w:cstheme="minorHAnsi"/>
          <w:i w:val="0"/>
          <w:iCs w:val="0"/>
          <w:color w:val="000000" w:themeColor="text1"/>
          <w:w w:val="90"/>
        </w:rPr>
        <w:t>des</w:t>
      </w:r>
      <w:r w:rsidRPr="0016301A">
        <w:rPr>
          <w:rFonts w:asciiTheme="minorHAnsi" w:hAnsiTheme="minorHAnsi" w:cstheme="minorHAnsi"/>
          <w:i w:val="0"/>
          <w:iCs w:val="0"/>
          <w:color w:val="000000" w:themeColor="text1"/>
          <w:spacing w:val="-8"/>
          <w:w w:val="90"/>
        </w:rPr>
        <w:t xml:space="preserve"> </w:t>
      </w:r>
      <w:r w:rsidRPr="0016301A">
        <w:rPr>
          <w:rFonts w:asciiTheme="minorHAnsi" w:hAnsiTheme="minorHAnsi" w:cstheme="minorHAnsi"/>
          <w:i w:val="0"/>
          <w:iCs w:val="0"/>
          <w:color w:val="000000" w:themeColor="text1"/>
          <w:w w:val="90"/>
        </w:rPr>
        <w:t>inondations</w:t>
      </w:r>
      <w:r w:rsidRPr="0016301A">
        <w:rPr>
          <w:rFonts w:asciiTheme="minorHAnsi" w:hAnsiTheme="minorHAnsi" w:cstheme="minorHAnsi"/>
          <w:i w:val="0"/>
          <w:iCs w:val="0"/>
          <w:color w:val="000000" w:themeColor="text1"/>
          <w:spacing w:val="-8"/>
          <w:w w:val="90"/>
        </w:rPr>
        <w:t xml:space="preserve"> </w:t>
      </w:r>
      <w:r w:rsidRPr="0016301A">
        <w:rPr>
          <w:rFonts w:asciiTheme="minorHAnsi" w:hAnsiTheme="minorHAnsi" w:cstheme="minorHAnsi"/>
          <w:i w:val="0"/>
          <w:iCs w:val="0"/>
          <w:color w:val="000000" w:themeColor="text1"/>
          <w:w w:val="90"/>
        </w:rPr>
        <w:t>au</w:t>
      </w:r>
      <w:r w:rsidRPr="0016301A">
        <w:rPr>
          <w:rFonts w:asciiTheme="minorHAnsi" w:hAnsiTheme="minorHAnsi" w:cstheme="minorHAnsi"/>
          <w:i w:val="0"/>
          <w:iCs w:val="0"/>
          <w:color w:val="000000" w:themeColor="text1"/>
          <w:spacing w:val="-8"/>
          <w:w w:val="90"/>
        </w:rPr>
        <w:t xml:space="preserve"> </w:t>
      </w:r>
      <w:r w:rsidRPr="0016301A">
        <w:rPr>
          <w:rFonts w:asciiTheme="minorHAnsi" w:hAnsiTheme="minorHAnsi" w:cstheme="minorHAnsi"/>
          <w:i w:val="0"/>
          <w:iCs w:val="0"/>
          <w:color w:val="000000" w:themeColor="text1"/>
          <w:w w:val="90"/>
        </w:rPr>
        <w:t>moins</w:t>
      </w:r>
      <w:r w:rsidRPr="0016301A">
        <w:rPr>
          <w:rFonts w:asciiTheme="minorHAnsi" w:hAnsiTheme="minorHAnsi" w:cstheme="minorHAnsi"/>
          <w:i w:val="0"/>
          <w:iCs w:val="0"/>
          <w:color w:val="000000" w:themeColor="text1"/>
          <w:spacing w:val="-8"/>
          <w:w w:val="90"/>
        </w:rPr>
        <w:t xml:space="preserve"> </w:t>
      </w:r>
      <w:r w:rsidRPr="0016301A">
        <w:rPr>
          <w:rFonts w:asciiTheme="minorHAnsi" w:hAnsiTheme="minorHAnsi" w:cstheme="minorHAnsi"/>
          <w:i w:val="0"/>
          <w:iCs w:val="0"/>
          <w:color w:val="000000" w:themeColor="text1"/>
          <w:w w:val="90"/>
        </w:rPr>
        <w:t>une</w:t>
      </w:r>
      <w:r w:rsidRPr="0016301A">
        <w:rPr>
          <w:rFonts w:asciiTheme="minorHAnsi" w:hAnsiTheme="minorHAnsi" w:cstheme="minorHAnsi"/>
          <w:i w:val="0"/>
          <w:iCs w:val="0"/>
          <w:color w:val="000000" w:themeColor="text1"/>
          <w:spacing w:val="-8"/>
          <w:w w:val="90"/>
        </w:rPr>
        <w:t xml:space="preserve"> </w:t>
      </w:r>
      <w:r w:rsidRPr="0016301A">
        <w:rPr>
          <w:rFonts w:asciiTheme="minorHAnsi" w:hAnsiTheme="minorHAnsi" w:cstheme="minorHAnsi"/>
          <w:i w:val="0"/>
          <w:iCs w:val="0"/>
          <w:color w:val="000000" w:themeColor="text1"/>
          <w:w w:val="90"/>
        </w:rPr>
        <w:t>fois</w:t>
      </w:r>
      <w:r w:rsidRPr="0016301A">
        <w:rPr>
          <w:rFonts w:asciiTheme="minorHAnsi" w:hAnsiTheme="minorHAnsi" w:cstheme="minorHAnsi"/>
          <w:i w:val="0"/>
          <w:iCs w:val="0"/>
          <w:color w:val="000000" w:themeColor="text1"/>
          <w:spacing w:val="-8"/>
          <w:w w:val="90"/>
        </w:rPr>
        <w:t xml:space="preserve"> </w:t>
      </w:r>
      <w:r w:rsidRPr="0016301A">
        <w:rPr>
          <w:rFonts w:asciiTheme="minorHAnsi" w:hAnsiTheme="minorHAnsi" w:cstheme="minorHAnsi"/>
          <w:i w:val="0"/>
          <w:iCs w:val="0"/>
          <w:color w:val="000000" w:themeColor="text1"/>
          <w:w w:val="90"/>
        </w:rPr>
        <w:t>par</w:t>
      </w:r>
      <w:r w:rsidRPr="0016301A">
        <w:rPr>
          <w:rFonts w:asciiTheme="minorHAnsi" w:hAnsiTheme="minorHAnsi" w:cstheme="minorHAnsi"/>
          <w:i w:val="0"/>
          <w:iCs w:val="0"/>
          <w:color w:val="000000" w:themeColor="text1"/>
          <w:spacing w:val="-8"/>
          <w:w w:val="90"/>
        </w:rPr>
        <w:t xml:space="preserve"> </w:t>
      </w:r>
      <w:r w:rsidRPr="0016301A">
        <w:rPr>
          <w:rFonts w:asciiTheme="minorHAnsi" w:hAnsiTheme="minorHAnsi" w:cstheme="minorHAnsi"/>
          <w:i w:val="0"/>
          <w:iCs w:val="0"/>
          <w:color w:val="000000" w:themeColor="text1"/>
          <w:w w:val="90"/>
        </w:rPr>
        <w:t>an.</w:t>
      </w:r>
      <w:r w:rsidRPr="0016301A">
        <w:rPr>
          <w:rFonts w:asciiTheme="minorHAnsi" w:hAnsiTheme="minorHAnsi" w:cstheme="minorHAnsi"/>
          <w:i w:val="0"/>
          <w:iCs w:val="0"/>
          <w:color w:val="000000" w:themeColor="text1"/>
          <w:spacing w:val="-8"/>
          <w:w w:val="90"/>
        </w:rPr>
        <w:t xml:space="preserve"> </w:t>
      </w:r>
      <w:r w:rsidRPr="0016301A">
        <w:rPr>
          <w:rFonts w:asciiTheme="minorHAnsi" w:hAnsiTheme="minorHAnsi" w:cstheme="minorHAnsi"/>
          <w:i w:val="0"/>
          <w:iCs w:val="0"/>
          <w:color w:val="000000" w:themeColor="text1"/>
          <w:w w:val="90"/>
        </w:rPr>
        <w:t>Cette</w:t>
      </w:r>
      <w:r w:rsidRPr="0016301A">
        <w:rPr>
          <w:rFonts w:asciiTheme="minorHAnsi" w:hAnsiTheme="minorHAnsi" w:cstheme="minorHAnsi"/>
          <w:i w:val="0"/>
          <w:iCs w:val="0"/>
          <w:color w:val="000000" w:themeColor="text1"/>
          <w:spacing w:val="-4"/>
          <w:w w:val="90"/>
        </w:rPr>
        <w:t xml:space="preserve"> </w:t>
      </w:r>
      <w:r w:rsidRPr="0016301A">
        <w:rPr>
          <w:rFonts w:asciiTheme="minorHAnsi" w:hAnsiTheme="minorHAnsi" w:cstheme="minorHAnsi"/>
          <w:i w:val="0"/>
          <w:iCs w:val="0"/>
          <w:color w:val="000000" w:themeColor="text1"/>
          <w:w w:val="90"/>
        </w:rPr>
        <w:t>valeur</w:t>
      </w:r>
      <w:r w:rsidRPr="0016301A">
        <w:rPr>
          <w:rFonts w:asciiTheme="minorHAnsi" w:hAnsiTheme="minorHAnsi" w:cstheme="minorHAnsi"/>
          <w:i w:val="0"/>
          <w:iCs w:val="0"/>
          <w:color w:val="000000" w:themeColor="text1"/>
          <w:spacing w:val="-4"/>
          <w:w w:val="90"/>
        </w:rPr>
        <w:t xml:space="preserve"> </w:t>
      </w:r>
      <w:r w:rsidRPr="0016301A">
        <w:rPr>
          <w:rFonts w:asciiTheme="minorHAnsi" w:hAnsiTheme="minorHAnsi" w:cstheme="minorHAnsi"/>
          <w:i w:val="0"/>
          <w:iCs w:val="0"/>
          <w:color w:val="000000" w:themeColor="text1"/>
          <w:w w:val="90"/>
        </w:rPr>
        <w:t>ne</w:t>
      </w:r>
      <w:r w:rsidRPr="0016301A">
        <w:rPr>
          <w:rFonts w:asciiTheme="minorHAnsi" w:hAnsiTheme="minorHAnsi" w:cstheme="minorHAnsi"/>
          <w:i w:val="0"/>
          <w:iCs w:val="0"/>
          <w:color w:val="000000" w:themeColor="text1"/>
          <w:spacing w:val="-4"/>
          <w:w w:val="90"/>
        </w:rPr>
        <w:t xml:space="preserve"> </w:t>
      </w:r>
      <w:r w:rsidRPr="0016301A">
        <w:rPr>
          <w:rFonts w:asciiTheme="minorHAnsi" w:hAnsiTheme="minorHAnsi" w:cstheme="minorHAnsi"/>
          <w:i w:val="0"/>
          <w:iCs w:val="0"/>
          <w:color w:val="000000" w:themeColor="text1"/>
          <w:w w:val="90"/>
        </w:rPr>
        <w:t>devrait</w:t>
      </w:r>
      <w:r w:rsidRPr="0016301A">
        <w:rPr>
          <w:rFonts w:asciiTheme="minorHAnsi" w:hAnsiTheme="minorHAnsi" w:cstheme="minorHAnsi"/>
          <w:i w:val="0"/>
          <w:iCs w:val="0"/>
          <w:color w:val="000000" w:themeColor="text1"/>
          <w:spacing w:val="-4"/>
          <w:w w:val="90"/>
        </w:rPr>
        <w:t xml:space="preserve"> </w:t>
      </w:r>
      <w:r w:rsidRPr="0016301A">
        <w:rPr>
          <w:rFonts w:asciiTheme="minorHAnsi" w:hAnsiTheme="minorHAnsi" w:cstheme="minorHAnsi"/>
          <w:i w:val="0"/>
          <w:iCs w:val="0"/>
          <w:color w:val="000000" w:themeColor="text1"/>
          <w:w w:val="90"/>
        </w:rPr>
        <w:t>pas</w:t>
      </w:r>
      <w:r w:rsidRPr="0016301A">
        <w:rPr>
          <w:rFonts w:asciiTheme="minorHAnsi" w:hAnsiTheme="minorHAnsi" w:cstheme="minorHAnsi"/>
          <w:i w:val="0"/>
          <w:iCs w:val="0"/>
          <w:color w:val="000000" w:themeColor="text1"/>
          <w:spacing w:val="-4"/>
          <w:w w:val="90"/>
        </w:rPr>
        <w:t xml:space="preserve"> </w:t>
      </w:r>
      <w:r w:rsidRPr="0016301A">
        <w:rPr>
          <w:rFonts w:asciiTheme="minorHAnsi" w:hAnsiTheme="minorHAnsi" w:cstheme="minorHAnsi"/>
          <w:i w:val="0"/>
          <w:iCs w:val="0"/>
          <w:color w:val="000000" w:themeColor="text1"/>
          <w:w w:val="90"/>
        </w:rPr>
        <w:t xml:space="preserve">changer ou pourrait </w:t>
      </w:r>
      <w:r>
        <w:rPr>
          <w:rFonts w:asciiTheme="minorHAnsi" w:hAnsiTheme="minorHAnsi" w:cstheme="minorHAnsi"/>
          <w:i w:val="0"/>
          <w:iCs w:val="0"/>
          <w:color w:val="000000" w:themeColor="text1"/>
          <w:w w:val="90"/>
        </w:rPr>
        <w:t xml:space="preserve">même </w:t>
      </w:r>
      <w:r w:rsidRPr="0016301A">
        <w:rPr>
          <w:rFonts w:asciiTheme="minorHAnsi" w:hAnsiTheme="minorHAnsi" w:cstheme="minorHAnsi"/>
          <w:i w:val="0"/>
          <w:iCs w:val="0"/>
          <w:color w:val="000000" w:themeColor="text1"/>
          <w:w w:val="90"/>
        </w:rPr>
        <w:t>baisser</w:t>
      </w:r>
      <w:r w:rsidRPr="0016301A">
        <w:rPr>
          <w:rFonts w:asciiTheme="minorHAnsi" w:hAnsiTheme="minorHAnsi" w:cstheme="minorHAnsi"/>
          <w:i w:val="0"/>
          <w:iCs w:val="0"/>
          <w:color w:val="000000" w:themeColor="text1"/>
          <w:spacing w:val="-4"/>
          <w:w w:val="90"/>
        </w:rPr>
        <w:t xml:space="preserve"> </w:t>
      </w:r>
      <w:r w:rsidRPr="0016301A">
        <w:rPr>
          <w:rFonts w:asciiTheme="minorHAnsi" w:hAnsiTheme="minorHAnsi" w:cstheme="minorHAnsi"/>
          <w:i w:val="0"/>
          <w:iCs w:val="0"/>
          <w:color w:val="000000" w:themeColor="text1"/>
          <w:w w:val="90"/>
        </w:rPr>
        <w:t>à 0,3 % en2080 soit, 0,19% en 2050 et 0,37% en 2100. Par contre</w:t>
      </w:r>
      <w:r>
        <w:rPr>
          <w:rFonts w:asciiTheme="minorHAnsi" w:hAnsiTheme="minorHAnsi" w:cstheme="minorHAnsi"/>
          <w:i w:val="0"/>
          <w:iCs w:val="0"/>
          <w:color w:val="000000" w:themeColor="text1"/>
          <w:w w:val="90"/>
        </w:rPr>
        <w:t>,</w:t>
      </w:r>
      <w:r w:rsidRPr="0016301A">
        <w:rPr>
          <w:rFonts w:asciiTheme="minorHAnsi" w:hAnsiTheme="minorHAnsi" w:cstheme="minorHAnsi"/>
          <w:i w:val="0"/>
          <w:iCs w:val="0"/>
          <w:color w:val="000000" w:themeColor="text1"/>
          <w:w w:val="90"/>
        </w:rPr>
        <w:t xml:space="preserve"> pour le reste du réseau routier, plus particulièrement les pistes d’accès aux localités des zones rurales, </w:t>
      </w:r>
      <w:r>
        <w:rPr>
          <w:rFonts w:asciiTheme="minorHAnsi" w:hAnsiTheme="minorHAnsi" w:cstheme="minorHAnsi"/>
          <w:i w:val="0"/>
          <w:iCs w:val="0"/>
          <w:color w:val="000000" w:themeColor="text1"/>
          <w:w w:val="90"/>
        </w:rPr>
        <w:t>il est prévu une dégradation</w:t>
      </w:r>
      <w:r w:rsidRPr="0016301A">
        <w:rPr>
          <w:rFonts w:asciiTheme="minorHAnsi" w:hAnsiTheme="minorHAnsi" w:cstheme="minorHAnsi"/>
          <w:i w:val="0"/>
          <w:iCs w:val="0"/>
          <w:color w:val="000000" w:themeColor="text1"/>
          <w:w w:val="90"/>
        </w:rPr>
        <w:t xml:space="preserve">. </w:t>
      </w:r>
      <w:r>
        <w:rPr>
          <w:rFonts w:asciiTheme="minorHAnsi" w:hAnsiTheme="minorHAnsi" w:cstheme="minorHAnsi"/>
          <w:i w:val="0"/>
          <w:iCs w:val="0"/>
          <w:color w:val="000000" w:themeColor="text1"/>
          <w:w w:val="90"/>
        </w:rPr>
        <w:t xml:space="preserve">En termes d’adaptation, </w:t>
      </w:r>
      <w:r w:rsidRPr="0016301A">
        <w:rPr>
          <w:rFonts w:asciiTheme="minorHAnsi" w:hAnsiTheme="minorHAnsi" w:cstheme="minorHAnsi"/>
          <w:i w:val="0"/>
          <w:iCs w:val="0"/>
          <w:color w:val="000000" w:themeColor="text1"/>
          <w:w w:val="90"/>
        </w:rPr>
        <w:t>Il va falloir investir dans des réseaux de transport plus résistants aux changements climatiques (routes bitumées, transport ferroviaire et aérien) ;</w:t>
      </w:r>
    </w:p>
    <w:p w14:paraId="36A99347" w14:textId="77777777" w:rsidR="00412F22" w:rsidRPr="00786ED9" w:rsidRDefault="00412F22" w:rsidP="00412F22">
      <w:pPr>
        <w:pStyle w:val="Titre4"/>
        <w:numPr>
          <w:ilvl w:val="0"/>
          <w:numId w:val="205"/>
        </w:numPr>
        <w:spacing w:before="104" w:after="240" w:line="276" w:lineRule="auto"/>
        <w:ind w:right="1279"/>
        <w:rPr>
          <w:rFonts w:asciiTheme="minorHAnsi" w:hAnsiTheme="minorHAnsi" w:cstheme="minorHAnsi"/>
          <w:b/>
          <w:bCs/>
          <w:i w:val="0"/>
          <w:iCs w:val="0"/>
          <w:color w:val="000000" w:themeColor="text1"/>
        </w:rPr>
      </w:pPr>
      <w:r w:rsidRPr="0016301A">
        <w:rPr>
          <w:rFonts w:asciiTheme="minorHAnsi" w:hAnsiTheme="minorHAnsi" w:cstheme="minorHAnsi"/>
          <w:i w:val="0"/>
          <w:iCs w:val="0"/>
          <w:color w:val="000000" w:themeColor="text1"/>
          <w:w w:val="90"/>
        </w:rPr>
        <w:t>L’exposition au moins une fois par an, des infrastructures des zones urbaines (plus particulièrement les villes côtières, notamment Nouakchott</w:t>
      </w:r>
      <w:r>
        <w:rPr>
          <w:rFonts w:asciiTheme="minorHAnsi" w:hAnsiTheme="minorHAnsi" w:cstheme="minorHAnsi"/>
          <w:i w:val="0"/>
          <w:iCs w:val="0"/>
          <w:color w:val="000000" w:themeColor="text1"/>
          <w:w w:val="90"/>
        </w:rPr>
        <w:t xml:space="preserve"> et Nouadhibou</w:t>
      </w:r>
      <w:r w:rsidRPr="0016301A">
        <w:rPr>
          <w:rFonts w:asciiTheme="minorHAnsi" w:hAnsiTheme="minorHAnsi" w:cstheme="minorHAnsi"/>
          <w:i w:val="0"/>
          <w:iCs w:val="0"/>
          <w:color w:val="000000" w:themeColor="text1"/>
          <w:w w:val="90"/>
        </w:rPr>
        <w:t>) où elles sont concentrées (les maisons, les marchés et autres infrastructures), aux inondations, ne devrait presque pas changer. Au pire, elle passerait de</w:t>
      </w:r>
      <w:r w:rsidRPr="0016301A">
        <w:rPr>
          <w:rFonts w:asciiTheme="minorHAnsi" w:hAnsiTheme="minorHAnsi" w:cstheme="minorHAnsi"/>
          <w:i w:val="0"/>
          <w:iCs w:val="0"/>
          <w:color w:val="000000" w:themeColor="text1"/>
          <w:spacing w:val="-3"/>
          <w:w w:val="90"/>
        </w:rPr>
        <w:t xml:space="preserve"> </w:t>
      </w:r>
      <w:r w:rsidRPr="0016301A">
        <w:rPr>
          <w:rFonts w:asciiTheme="minorHAnsi" w:hAnsiTheme="minorHAnsi" w:cstheme="minorHAnsi"/>
          <w:i w:val="0"/>
          <w:iCs w:val="0"/>
          <w:color w:val="000000" w:themeColor="text1"/>
          <w:w w:val="90"/>
        </w:rPr>
        <w:t>0,05</w:t>
      </w:r>
      <w:r w:rsidRPr="0016301A">
        <w:rPr>
          <w:rFonts w:asciiTheme="minorHAnsi" w:hAnsiTheme="minorHAnsi" w:cstheme="minorHAnsi"/>
          <w:i w:val="0"/>
          <w:iCs w:val="0"/>
          <w:color w:val="000000" w:themeColor="text1"/>
          <w:spacing w:val="-3"/>
          <w:w w:val="90"/>
        </w:rPr>
        <w:t xml:space="preserve"> </w:t>
      </w:r>
      <w:r w:rsidRPr="0016301A">
        <w:rPr>
          <w:rFonts w:asciiTheme="minorHAnsi" w:hAnsiTheme="minorHAnsi" w:cstheme="minorHAnsi"/>
          <w:i w:val="0"/>
          <w:iCs w:val="0"/>
          <w:color w:val="000000" w:themeColor="text1"/>
          <w:w w:val="90"/>
        </w:rPr>
        <w:t>%</w:t>
      </w:r>
      <w:r w:rsidRPr="0016301A">
        <w:rPr>
          <w:rFonts w:asciiTheme="minorHAnsi" w:hAnsiTheme="minorHAnsi" w:cstheme="minorHAnsi"/>
          <w:i w:val="0"/>
          <w:iCs w:val="0"/>
          <w:color w:val="000000" w:themeColor="text1"/>
          <w:spacing w:val="-3"/>
          <w:w w:val="90"/>
        </w:rPr>
        <w:t xml:space="preserve"> </w:t>
      </w:r>
      <w:r w:rsidRPr="0016301A">
        <w:rPr>
          <w:rFonts w:asciiTheme="minorHAnsi" w:hAnsiTheme="minorHAnsi" w:cstheme="minorHAnsi"/>
          <w:i w:val="0"/>
          <w:iCs w:val="0"/>
          <w:color w:val="000000" w:themeColor="text1"/>
          <w:w w:val="90"/>
        </w:rPr>
        <w:t>en</w:t>
      </w:r>
      <w:r w:rsidRPr="0016301A">
        <w:rPr>
          <w:rFonts w:asciiTheme="minorHAnsi" w:hAnsiTheme="minorHAnsi" w:cstheme="minorHAnsi"/>
          <w:i w:val="0"/>
          <w:iCs w:val="0"/>
          <w:color w:val="000000" w:themeColor="text1"/>
          <w:spacing w:val="-3"/>
          <w:w w:val="90"/>
        </w:rPr>
        <w:t xml:space="preserve"> </w:t>
      </w:r>
      <w:r w:rsidRPr="0016301A">
        <w:rPr>
          <w:rFonts w:asciiTheme="minorHAnsi" w:hAnsiTheme="minorHAnsi" w:cstheme="minorHAnsi"/>
          <w:i w:val="0"/>
          <w:iCs w:val="0"/>
          <w:color w:val="000000" w:themeColor="text1"/>
          <w:w w:val="90"/>
        </w:rPr>
        <w:t>2000</w:t>
      </w:r>
      <w:r w:rsidRPr="0016301A">
        <w:rPr>
          <w:rFonts w:asciiTheme="minorHAnsi" w:hAnsiTheme="minorHAnsi" w:cstheme="minorHAnsi"/>
          <w:i w:val="0"/>
          <w:iCs w:val="0"/>
          <w:color w:val="000000" w:themeColor="text1"/>
          <w:spacing w:val="-3"/>
          <w:w w:val="90"/>
        </w:rPr>
        <w:t xml:space="preserve"> </w:t>
      </w:r>
      <w:r w:rsidRPr="0016301A">
        <w:rPr>
          <w:rFonts w:asciiTheme="minorHAnsi" w:hAnsiTheme="minorHAnsi" w:cstheme="minorHAnsi"/>
          <w:i w:val="0"/>
          <w:iCs w:val="0"/>
          <w:color w:val="000000" w:themeColor="text1"/>
          <w:w w:val="90"/>
        </w:rPr>
        <w:t>à</w:t>
      </w:r>
      <w:r w:rsidRPr="0016301A">
        <w:rPr>
          <w:rFonts w:asciiTheme="minorHAnsi" w:hAnsiTheme="minorHAnsi" w:cstheme="minorHAnsi"/>
          <w:i w:val="0"/>
          <w:iCs w:val="0"/>
          <w:color w:val="000000" w:themeColor="text1"/>
          <w:spacing w:val="-3"/>
          <w:w w:val="90"/>
        </w:rPr>
        <w:t xml:space="preserve"> </w:t>
      </w:r>
      <w:r w:rsidRPr="0016301A">
        <w:rPr>
          <w:rFonts w:asciiTheme="minorHAnsi" w:hAnsiTheme="minorHAnsi" w:cstheme="minorHAnsi"/>
          <w:i w:val="0"/>
          <w:iCs w:val="0"/>
          <w:color w:val="000000" w:themeColor="text1"/>
          <w:w w:val="90"/>
        </w:rPr>
        <w:t>0,14</w:t>
      </w:r>
      <w:r w:rsidRPr="0016301A">
        <w:rPr>
          <w:rFonts w:asciiTheme="minorHAnsi" w:hAnsiTheme="minorHAnsi" w:cstheme="minorHAnsi"/>
          <w:i w:val="0"/>
          <w:iCs w:val="0"/>
          <w:color w:val="000000" w:themeColor="text1"/>
          <w:spacing w:val="-3"/>
          <w:w w:val="90"/>
        </w:rPr>
        <w:t xml:space="preserve"> </w:t>
      </w:r>
      <w:r w:rsidRPr="0016301A">
        <w:rPr>
          <w:rFonts w:asciiTheme="minorHAnsi" w:hAnsiTheme="minorHAnsi" w:cstheme="minorHAnsi"/>
          <w:i w:val="0"/>
          <w:iCs w:val="0"/>
          <w:color w:val="000000" w:themeColor="text1"/>
          <w:w w:val="90"/>
        </w:rPr>
        <w:t>%</w:t>
      </w:r>
      <w:r w:rsidRPr="0016301A">
        <w:rPr>
          <w:rFonts w:asciiTheme="minorHAnsi" w:hAnsiTheme="minorHAnsi" w:cstheme="minorHAnsi"/>
          <w:i w:val="0"/>
          <w:iCs w:val="0"/>
          <w:color w:val="000000" w:themeColor="text1"/>
          <w:spacing w:val="-3"/>
          <w:w w:val="90"/>
        </w:rPr>
        <w:t xml:space="preserve"> </w:t>
      </w:r>
      <w:r w:rsidRPr="0016301A">
        <w:rPr>
          <w:rFonts w:asciiTheme="minorHAnsi" w:hAnsiTheme="minorHAnsi" w:cstheme="minorHAnsi"/>
          <w:i w:val="0"/>
          <w:iCs w:val="0"/>
          <w:color w:val="000000" w:themeColor="text1"/>
          <w:w w:val="90"/>
        </w:rPr>
        <w:t>en</w:t>
      </w:r>
      <w:r w:rsidRPr="0016301A">
        <w:rPr>
          <w:rFonts w:asciiTheme="minorHAnsi" w:hAnsiTheme="minorHAnsi" w:cstheme="minorHAnsi"/>
          <w:i w:val="0"/>
          <w:iCs w:val="0"/>
          <w:color w:val="000000" w:themeColor="text1"/>
          <w:spacing w:val="-3"/>
          <w:w w:val="90"/>
        </w:rPr>
        <w:t xml:space="preserve"> </w:t>
      </w:r>
      <w:r w:rsidRPr="0016301A">
        <w:rPr>
          <w:rFonts w:asciiTheme="minorHAnsi" w:hAnsiTheme="minorHAnsi" w:cstheme="minorHAnsi"/>
          <w:i w:val="0"/>
          <w:iCs w:val="0"/>
          <w:color w:val="000000" w:themeColor="text1"/>
          <w:w w:val="90"/>
        </w:rPr>
        <w:t>2080, soit 0,09% en 2050 et 0,18% en 2100.</w:t>
      </w:r>
    </w:p>
    <w:p w14:paraId="2283D965" w14:textId="77777777" w:rsidR="00412F22" w:rsidRPr="003B41EA" w:rsidRDefault="00412F22" w:rsidP="00412F22">
      <w:pPr>
        <w:pStyle w:val="Titre3"/>
        <w:tabs>
          <w:tab w:val="left" w:pos="9356"/>
          <w:tab w:val="left" w:pos="9498"/>
          <w:tab w:val="left" w:pos="9781"/>
        </w:tabs>
        <w:ind w:right="1279"/>
        <w:jc w:val="center"/>
        <w:rPr>
          <w:rFonts w:ascii="Arial Black" w:hAnsi="Arial Black"/>
          <w:b/>
          <w:bCs/>
          <w:color w:val="FF3399"/>
        </w:rPr>
      </w:pPr>
      <w:bookmarkStart w:id="718" w:name="_Toc192462520"/>
      <w:r w:rsidRPr="003B41EA">
        <w:rPr>
          <w:rFonts w:ascii="Arial Black" w:hAnsi="Arial Black"/>
          <w:b/>
          <w:bCs/>
          <w:color w:val="FF3399"/>
        </w:rPr>
        <w:t xml:space="preserve">II.3.6 Vulnérabilité </w:t>
      </w:r>
      <w:r>
        <w:rPr>
          <w:rFonts w:ascii="Arial Black" w:hAnsi="Arial Black"/>
          <w:b/>
          <w:bCs/>
          <w:color w:val="FF3399"/>
        </w:rPr>
        <w:t xml:space="preserve">des ressources en </w:t>
      </w:r>
      <w:r w:rsidRPr="003B41EA">
        <w:rPr>
          <w:rFonts w:ascii="Arial Black" w:hAnsi="Arial Black"/>
          <w:b/>
          <w:bCs/>
          <w:color w:val="FF3399"/>
        </w:rPr>
        <w:t>Eau</w:t>
      </w:r>
      <w:bookmarkEnd w:id="718"/>
    </w:p>
    <w:p w14:paraId="3737BFEC" w14:textId="77777777" w:rsidR="00412F22" w:rsidRPr="0016301A" w:rsidRDefault="00412F22" w:rsidP="00412F22">
      <w:pPr>
        <w:pStyle w:val="Titre4"/>
        <w:spacing w:before="104" w:line="276" w:lineRule="auto"/>
        <w:ind w:right="1279"/>
        <w:rPr>
          <w:rFonts w:asciiTheme="minorHAnsi" w:hAnsiTheme="minorHAnsi" w:cstheme="minorHAnsi"/>
          <w:b/>
          <w:bCs/>
          <w:i w:val="0"/>
          <w:iCs w:val="0"/>
          <w:color w:val="000000" w:themeColor="text1"/>
        </w:rPr>
      </w:pPr>
      <w:r w:rsidRPr="0016301A">
        <w:rPr>
          <w:rFonts w:asciiTheme="minorHAnsi" w:hAnsiTheme="minorHAnsi" w:cstheme="minorHAnsi"/>
          <w:i w:val="0"/>
          <w:iCs w:val="0"/>
          <w:color w:val="000000" w:themeColor="text1"/>
          <w:w w:val="85"/>
        </w:rPr>
        <w:t xml:space="preserve">La disponibilité de l'eau par habitant baissera, en raison de la croissance démographique, mais également </w:t>
      </w:r>
      <w:r>
        <w:rPr>
          <w:rFonts w:asciiTheme="minorHAnsi" w:hAnsiTheme="minorHAnsi" w:cstheme="minorHAnsi"/>
          <w:i w:val="0"/>
          <w:iCs w:val="0"/>
          <w:color w:val="000000" w:themeColor="text1"/>
          <w:w w:val="85"/>
        </w:rPr>
        <w:t>à cause de</w:t>
      </w:r>
      <w:r w:rsidRPr="0016301A">
        <w:rPr>
          <w:rFonts w:asciiTheme="minorHAnsi" w:hAnsiTheme="minorHAnsi" w:cstheme="minorHAnsi"/>
          <w:i w:val="0"/>
          <w:iCs w:val="0"/>
          <w:color w:val="000000" w:themeColor="text1"/>
          <w:w w:val="85"/>
        </w:rPr>
        <w:t xml:space="preserve"> la variabilité et </w:t>
      </w:r>
      <w:r>
        <w:rPr>
          <w:rFonts w:asciiTheme="minorHAnsi" w:hAnsiTheme="minorHAnsi" w:cstheme="minorHAnsi"/>
          <w:i w:val="0"/>
          <w:iCs w:val="0"/>
          <w:color w:val="000000" w:themeColor="text1"/>
          <w:w w:val="85"/>
        </w:rPr>
        <w:t>d</w:t>
      </w:r>
      <w:r w:rsidRPr="0016301A">
        <w:rPr>
          <w:rFonts w:asciiTheme="minorHAnsi" w:hAnsiTheme="minorHAnsi" w:cstheme="minorHAnsi"/>
          <w:i w:val="0"/>
          <w:iCs w:val="0"/>
          <w:color w:val="000000" w:themeColor="text1"/>
          <w:w w:val="85"/>
        </w:rPr>
        <w:t xml:space="preserve">es changements climatiques. </w:t>
      </w:r>
      <w:r w:rsidRPr="0016301A">
        <w:rPr>
          <w:rFonts w:asciiTheme="minorHAnsi" w:hAnsiTheme="minorHAnsi" w:cstheme="minorHAnsi"/>
          <w:i w:val="0"/>
          <w:iCs w:val="0"/>
          <w:color w:val="000000" w:themeColor="text1"/>
        </w:rPr>
        <w:t>Les conséquences des changements climatiques impacteront surtout les ressources en eau renouvelable</w:t>
      </w:r>
      <w:r>
        <w:rPr>
          <w:rFonts w:asciiTheme="minorHAnsi" w:hAnsiTheme="minorHAnsi" w:cstheme="minorHAnsi"/>
          <w:i w:val="0"/>
          <w:iCs w:val="0"/>
          <w:color w:val="000000" w:themeColor="text1"/>
        </w:rPr>
        <w:t>s</w:t>
      </w:r>
      <w:r w:rsidRPr="0016301A">
        <w:rPr>
          <w:rFonts w:asciiTheme="minorHAnsi" w:hAnsiTheme="minorHAnsi" w:cstheme="minorHAnsi"/>
          <w:i w:val="0"/>
          <w:iCs w:val="0"/>
          <w:color w:val="000000" w:themeColor="text1"/>
        </w:rPr>
        <w:t xml:space="preserve"> dont la plus grande partie est constituée d’eaux souterraines. </w:t>
      </w:r>
    </w:p>
    <w:p w14:paraId="70CA9E78" w14:textId="77777777" w:rsidR="00412F22" w:rsidRPr="00EB673D" w:rsidRDefault="00412F22" w:rsidP="00412F22">
      <w:pPr>
        <w:pStyle w:val="Corpsdetexte"/>
        <w:spacing w:before="121" w:line="276" w:lineRule="auto"/>
        <w:ind w:right="1268"/>
        <w:rPr>
          <w:rFonts w:asciiTheme="minorHAnsi" w:hAnsiTheme="minorHAnsi" w:cstheme="minorHAnsi"/>
          <w:color w:val="000000" w:themeColor="text1"/>
        </w:rPr>
      </w:pPr>
      <w:r w:rsidRPr="0016301A">
        <w:rPr>
          <w:rFonts w:asciiTheme="minorHAnsi" w:hAnsiTheme="minorHAnsi" w:cstheme="minorHAnsi"/>
          <w:color w:val="000000" w:themeColor="text1"/>
          <w:w w:val="85"/>
        </w:rPr>
        <w:t xml:space="preserve">La diminution des ressources en eau a des conséquences socioéconomiques qui affectent les populations dont une bonne partie des besoins </w:t>
      </w:r>
      <w:r>
        <w:rPr>
          <w:rFonts w:asciiTheme="minorHAnsi" w:hAnsiTheme="minorHAnsi" w:cstheme="minorHAnsi"/>
          <w:color w:val="000000" w:themeColor="text1"/>
          <w:w w:val="85"/>
        </w:rPr>
        <w:t>est satisfaite</w:t>
      </w:r>
      <w:r w:rsidRPr="0016301A">
        <w:rPr>
          <w:rFonts w:asciiTheme="minorHAnsi" w:hAnsiTheme="minorHAnsi" w:cstheme="minorHAnsi"/>
          <w:color w:val="000000" w:themeColor="text1"/>
          <w:w w:val="85"/>
        </w:rPr>
        <w:t xml:space="preserve"> par le biais de ressources naturelles fortement dépendantes de la disponibilité de l’eau. Par exemple, </w:t>
      </w:r>
      <w:r w:rsidRPr="0016301A">
        <w:rPr>
          <w:rFonts w:asciiTheme="minorHAnsi" w:hAnsiTheme="minorHAnsi" w:cstheme="minorHAnsi"/>
          <w:color w:val="000000" w:themeColor="text1"/>
        </w:rPr>
        <w:t>l’insuffisance des ressources en eau entraine la régression du couvert végétal qui accentue la désertification</w:t>
      </w:r>
      <w:r>
        <w:rPr>
          <w:rFonts w:asciiTheme="minorHAnsi" w:hAnsiTheme="minorHAnsi" w:cstheme="minorHAnsi"/>
          <w:color w:val="000000" w:themeColor="text1"/>
        </w:rPr>
        <w:t xml:space="preserve">, </w:t>
      </w:r>
      <w:r w:rsidRPr="0016301A">
        <w:rPr>
          <w:rFonts w:asciiTheme="minorHAnsi" w:hAnsiTheme="minorHAnsi" w:cstheme="minorHAnsi"/>
          <w:color w:val="000000" w:themeColor="text1"/>
        </w:rPr>
        <w:t xml:space="preserve">la détérioration des terres </w:t>
      </w:r>
      <w:r>
        <w:rPr>
          <w:rFonts w:asciiTheme="minorHAnsi" w:hAnsiTheme="minorHAnsi" w:cstheme="minorHAnsi"/>
          <w:color w:val="000000" w:themeColor="text1"/>
        </w:rPr>
        <w:t>par</w:t>
      </w:r>
      <w:r w:rsidRPr="0016301A">
        <w:rPr>
          <w:rFonts w:asciiTheme="minorHAnsi" w:hAnsiTheme="minorHAnsi" w:cstheme="minorHAnsi"/>
          <w:color w:val="000000" w:themeColor="text1"/>
        </w:rPr>
        <w:t xml:space="preserve"> l’érosion hydrique et éolienne</w:t>
      </w:r>
      <w:r>
        <w:rPr>
          <w:rFonts w:asciiTheme="minorHAnsi" w:hAnsiTheme="minorHAnsi" w:cstheme="minorHAnsi"/>
          <w:color w:val="000000" w:themeColor="text1"/>
        </w:rPr>
        <w:t xml:space="preserve">, </w:t>
      </w:r>
      <w:r w:rsidRPr="0016301A">
        <w:rPr>
          <w:rFonts w:asciiTheme="minorHAnsi" w:hAnsiTheme="minorHAnsi" w:cstheme="minorHAnsi"/>
          <w:color w:val="000000" w:themeColor="text1"/>
        </w:rPr>
        <w:t xml:space="preserve">la baisse des superficies cultivables et </w:t>
      </w:r>
      <w:r>
        <w:rPr>
          <w:rFonts w:asciiTheme="minorHAnsi" w:hAnsiTheme="minorHAnsi" w:cstheme="minorHAnsi"/>
          <w:color w:val="000000" w:themeColor="text1"/>
        </w:rPr>
        <w:t>d</w:t>
      </w:r>
      <w:r w:rsidRPr="0016301A">
        <w:rPr>
          <w:rFonts w:asciiTheme="minorHAnsi" w:hAnsiTheme="minorHAnsi" w:cstheme="minorHAnsi"/>
          <w:color w:val="000000" w:themeColor="text1"/>
        </w:rPr>
        <w:t xml:space="preserve">es pâturages (diminution du cheptel) </w:t>
      </w:r>
      <w:r>
        <w:rPr>
          <w:rFonts w:asciiTheme="minorHAnsi" w:hAnsiTheme="minorHAnsi" w:cstheme="minorHAnsi"/>
          <w:color w:val="000000" w:themeColor="text1"/>
        </w:rPr>
        <w:t>et d’une manière générale</w:t>
      </w:r>
      <w:r w:rsidRPr="0016301A">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la détérioration des </w:t>
      </w:r>
      <w:r w:rsidRPr="0016301A">
        <w:rPr>
          <w:rFonts w:asciiTheme="minorHAnsi" w:hAnsiTheme="minorHAnsi" w:cstheme="minorHAnsi"/>
          <w:color w:val="000000" w:themeColor="text1"/>
        </w:rPr>
        <w:t>systèmes de production</w:t>
      </w:r>
      <w:r w:rsidRPr="0016301A">
        <w:rPr>
          <w:rFonts w:asciiTheme="minorHAnsi" w:hAnsiTheme="minorHAnsi" w:cstheme="minorHAnsi"/>
          <w:color w:val="000000" w:themeColor="text1"/>
          <w:spacing w:val="-2"/>
        </w:rPr>
        <w:t xml:space="preserve"> </w:t>
      </w:r>
      <w:r w:rsidRPr="0016301A">
        <w:rPr>
          <w:rFonts w:asciiTheme="minorHAnsi" w:hAnsiTheme="minorHAnsi" w:cstheme="minorHAnsi"/>
          <w:color w:val="000000" w:themeColor="text1"/>
        </w:rPr>
        <w:t>rurale</w:t>
      </w:r>
      <w:r w:rsidRPr="0016301A">
        <w:rPr>
          <w:rFonts w:asciiTheme="minorHAnsi" w:hAnsiTheme="minorHAnsi" w:cstheme="minorHAnsi"/>
          <w:color w:val="000000" w:themeColor="text1"/>
          <w:spacing w:val="-2"/>
        </w:rPr>
        <w:t xml:space="preserve"> </w:t>
      </w:r>
      <w:r w:rsidRPr="0016301A">
        <w:rPr>
          <w:rFonts w:asciiTheme="minorHAnsi" w:hAnsiTheme="minorHAnsi" w:cstheme="minorHAnsi"/>
          <w:color w:val="000000" w:themeColor="text1"/>
        </w:rPr>
        <w:t xml:space="preserve">(agriculture, l’élevage, pêche continentale, </w:t>
      </w:r>
      <w:proofErr w:type="gramStart"/>
      <w:r w:rsidRPr="0016301A">
        <w:rPr>
          <w:rFonts w:asciiTheme="minorHAnsi" w:hAnsiTheme="minorHAnsi" w:cstheme="minorHAnsi"/>
          <w:color w:val="000000" w:themeColor="text1"/>
        </w:rPr>
        <w:t xml:space="preserve"> ..</w:t>
      </w:r>
      <w:proofErr w:type="gramEnd"/>
      <w:r w:rsidRPr="0016301A">
        <w:rPr>
          <w:rFonts w:asciiTheme="minorHAnsi" w:hAnsiTheme="minorHAnsi" w:cstheme="minorHAnsi"/>
          <w:color w:val="000000" w:themeColor="text1"/>
        </w:rPr>
        <w:t>,)</w:t>
      </w:r>
      <w:r>
        <w:rPr>
          <w:rFonts w:asciiTheme="minorHAnsi" w:hAnsiTheme="minorHAnsi" w:cstheme="minorHAnsi"/>
          <w:color w:val="000000" w:themeColor="text1"/>
        </w:rPr>
        <w:t>.</w:t>
      </w:r>
    </w:p>
    <w:p w14:paraId="282E445A" w14:textId="77777777" w:rsidR="00412F22" w:rsidRPr="00EB673D" w:rsidRDefault="00412F22" w:rsidP="00412F22">
      <w:pPr>
        <w:pStyle w:val="Corpsdetexte"/>
        <w:spacing w:before="121" w:line="276" w:lineRule="auto"/>
        <w:ind w:right="1273"/>
        <w:rPr>
          <w:rFonts w:asciiTheme="minorHAnsi" w:hAnsiTheme="minorHAnsi" w:cstheme="minorHAnsi"/>
          <w:color w:val="000000" w:themeColor="text1"/>
          <w:w w:val="85"/>
        </w:rPr>
      </w:pPr>
      <w:r w:rsidRPr="00EB673D">
        <w:rPr>
          <w:rFonts w:asciiTheme="minorHAnsi" w:hAnsiTheme="minorHAnsi" w:cstheme="minorHAnsi"/>
          <w:color w:val="000000" w:themeColor="text1"/>
          <w:w w:val="85"/>
        </w:rPr>
        <w:t xml:space="preserve">Les projections découlant des scenarii climatiques indiquent que les mesures d'économie d'eau vont devenir de plus en plus indispensables dans toute la Mauritanie dès 2030. </w:t>
      </w:r>
      <w:r w:rsidRPr="00EB673D">
        <w:rPr>
          <w:rFonts w:asciiTheme="minorHAnsi" w:hAnsiTheme="minorHAnsi" w:cstheme="minorHAnsi"/>
          <w:color w:val="000000" w:themeColor="text1"/>
          <w:w w:val="90"/>
        </w:rPr>
        <w:t xml:space="preserve">Sur la base des projections climatiques et de la croissance démographique, la disponibilité de l'eau par habitant, </w:t>
      </w:r>
      <w:r w:rsidRPr="00EB673D">
        <w:rPr>
          <w:rFonts w:asciiTheme="minorHAnsi" w:hAnsiTheme="minorHAnsi" w:cstheme="minorHAnsi"/>
          <w:color w:val="000000" w:themeColor="text1"/>
          <w:w w:val="85"/>
        </w:rPr>
        <w:t>devrait</w:t>
      </w:r>
      <w:r w:rsidRPr="00EB673D">
        <w:rPr>
          <w:rFonts w:asciiTheme="minorHAnsi" w:hAnsiTheme="minorHAnsi" w:cstheme="minorHAnsi"/>
          <w:color w:val="000000" w:themeColor="text1"/>
        </w:rPr>
        <w:t xml:space="preserve"> </w:t>
      </w:r>
      <w:r w:rsidRPr="00EB673D">
        <w:rPr>
          <w:rFonts w:asciiTheme="minorHAnsi" w:hAnsiTheme="minorHAnsi" w:cstheme="minorHAnsi"/>
          <w:color w:val="000000" w:themeColor="text1"/>
          <w:w w:val="85"/>
        </w:rPr>
        <w:t>baisser</w:t>
      </w:r>
      <w:r w:rsidRPr="00EB673D">
        <w:rPr>
          <w:rFonts w:asciiTheme="minorHAnsi" w:hAnsiTheme="minorHAnsi" w:cstheme="minorHAnsi"/>
          <w:color w:val="000000" w:themeColor="text1"/>
          <w:spacing w:val="5"/>
        </w:rPr>
        <w:t xml:space="preserve"> </w:t>
      </w:r>
      <w:r w:rsidRPr="00EB673D">
        <w:rPr>
          <w:rFonts w:asciiTheme="minorHAnsi" w:hAnsiTheme="minorHAnsi" w:cstheme="minorHAnsi"/>
          <w:color w:val="000000" w:themeColor="text1"/>
          <w:w w:val="85"/>
        </w:rPr>
        <w:t>de :</w:t>
      </w:r>
      <w:r w:rsidRPr="00EB673D">
        <w:rPr>
          <w:rFonts w:asciiTheme="minorHAnsi" w:hAnsiTheme="minorHAnsi" w:cstheme="minorHAnsi"/>
          <w:color w:val="000000" w:themeColor="text1"/>
          <w:spacing w:val="5"/>
        </w:rPr>
        <w:t xml:space="preserve"> </w:t>
      </w:r>
    </w:p>
    <w:p w14:paraId="1200F3C2" w14:textId="77777777" w:rsidR="00412F22" w:rsidRPr="00EB673D" w:rsidRDefault="00412F22" w:rsidP="00412F22">
      <w:pPr>
        <w:pStyle w:val="Titre4"/>
        <w:numPr>
          <w:ilvl w:val="0"/>
          <w:numId w:val="205"/>
        </w:numPr>
        <w:spacing w:before="104" w:line="276" w:lineRule="auto"/>
        <w:ind w:left="142" w:right="854" w:hanging="142"/>
        <w:rPr>
          <w:rFonts w:asciiTheme="minorHAnsi" w:hAnsiTheme="minorHAnsi" w:cstheme="minorHAnsi"/>
          <w:b/>
          <w:bCs/>
          <w:i w:val="0"/>
          <w:iCs w:val="0"/>
          <w:color w:val="000000" w:themeColor="text1"/>
          <w:w w:val="85"/>
        </w:rPr>
      </w:pPr>
      <w:r w:rsidRPr="00EB673D">
        <w:rPr>
          <w:rFonts w:asciiTheme="minorHAnsi" w:hAnsiTheme="minorHAnsi" w:cstheme="minorHAnsi"/>
          <w:i w:val="0"/>
          <w:iCs w:val="0"/>
          <w:color w:val="000000" w:themeColor="text1"/>
          <w:w w:val="85"/>
        </w:rPr>
        <w:t>71</w:t>
      </w:r>
      <w:r w:rsidRPr="00EB673D">
        <w:rPr>
          <w:rFonts w:asciiTheme="minorHAnsi" w:hAnsiTheme="minorHAnsi" w:cstheme="minorHAnsi"/>
          <w:i w:val="0"/>
          <w:iCs w:val="0"/>
          <w:color w:val="000000" w:themeColor="text1"/>
          <w:spacing w:val="1"/>
        </w:rPr>
        <w:t xml:space="preserve"> </w:t>
      </w:r>
      <w:r w:rsidRPr="00EB673D">
        <w:rPr>
          <w:rFonts w:asciiTheme="minorHAnsi" w:hAnsiTheme="minorHAnsi" w:cstheme="minorHAnsi"/>
          <w:i w:val="0"/>
          <w:iCs w:val="0"/>
          <w:color w:val="000000" w:themeColor="text1"/>
          <w:w w:val="85"/>
        </w:rPr>
        <w:t>%</w:t>
      </w:r>
      <w:r w:rsidRPr="00EB673D">
        <w:rPr>
          <w:rStyle w:val="Appelnotedebasdep"/>
          <w:rFonts w:asciiTheme="minorHAnsi" w:hAnsiTheme="minorHAnsi" w:cstheme="minorHAnsi"/>
          <w:i w:val="0"/>
          <w:iCs w:val="0"/>
          <w:color w:val="000000" w:themeColor="text1"/>
          <w:w w:val="85"/>
        </w:rPr>
        <w:footnoteReference w:id="79"/>
      </w:r>
      <w:r w:rsidRPr="00EB673D">
        <w:rPr>
          <w:rFonts w:asciiTheme="minorHAnsi" w:hAnsiTheme="minorHAnsi" w:cstheme="minorHAnsi"/>
          <w:i w:val="0"/>
          <w:iCs w:val="0"/>
          <w:color w:val="000000" w:themeColor="text1"/>
          <w:w w:val="85"/>
        </w:rPr>
        <w:t xml:space="preserve"> en </w:t>
      </w:r>
      <w:r w:rsidRPr="00EB673D">
        <w:rPr>
          <w:rFonts w:asciiTheme="minorHAnsi" w:hAnsiTheme="minorHAnsi" w:cstheme="minorHAnsi"/>
          <w:i w:val="0"/>
          <w:iCs w:val="0"/>
          <w:color w:val="000000" w:themeColor="text1"/>
        </w:rPr>
        <w:t xml:space="preserve">2080, soit de 44 % en 2050 et de 89% en 2100, </w:t>
      </w:r>
      <w:r w:rsidRPr="00EB673D">
        <w:rPr>
          <w:rFonts w:asciiTheme="minorHAnsi" w:hAnsiTheme="minorHAnsi" w:cstheme="minorHAnsi"/>
          <w:i w:val="0"/>
          <w:iCs w:val="0"/>
          <w:color w:val="000000" w:themeColor="text1"/>
          <w:w w:val="85"/>
        </w:rPr>
        <w:t>pour le scénario</w:t>
      </w:r>
      <w:r w:rsidRPr="00EB673D">
        <w:rPr>
          <w:rFonts w:asciiTheme="minorHAnsi" w:hAnsiTheme="minorHAnsi" w:cstheme="minorHAnsi"/>
          <w:i w:val="0"/>
          <w:iCs w:val="0"/>
          <w:color w:val="000000" w:themeColor="text1"/>
          <w:spacing w:val="1"/>
        </w:rPr>
        <w:t xml:space="preserve"> </w:t>
      </w:r>
      <w:r w:rsidRPr="00EB673D">
        <w:rPr>
          <w:rFonts w:asciiTheme="minorHAnsi" w:hAnsiTheme="minorHAnsi" w:cstheme="minorHAnsi"/>
          <w:i w:val="0"/>
          <w:iCs w:val="0"/>
          <w:color w:val="000000" w:themeColor="text1"/>
          <w:w w:val="85"/>
        </w:rPr>
        <w:t>RCP2.6, par rapport à l’an 2000 ;</w:t>
      </w:r>
      <w:r w:rsidRPr="00EB673D">
        <w:rPr>
          <w:rFonts w:asciiTheme="minorHAnsi" w:hAnsiTheme="minorHAnsi" w:cstheme="minorHAnsi"/>
          <w:i w:val="0"/>
          <w:iCs w:val="0"/>
          <w:color w:val="000000" w:themeColor="text1"/>
        </w:rPr>
        <w:t xml:space="preserve">  </w:t>
      </w:r>
    </w:p>
    <w:p w14:paraId="499422C2" w14:textId="77777777" w:rsidR="00412F22" w:rsidRPr="009B594A" w:rsidRDefault="00412F22" w:rsidP="00412F22">
      <w:pPr>
        <w:pStyle w:val="Titre4"/>
        <w:numPr>
          <w:ilvl w:val="0"/>
          <w:numId w:val="205"/>
        </w:numPr>
        <w:spacing w:before="104" w:line="276" w:lineRule="auto"/>
        <w:ind w:left="142" w:right="1279" w:hanging="142"/>
        <w:rPr>
          <w:rFonts w:asciiTheme="minorHAnsi" w:hAnsiTheme="minorHAnsi" w:cstheme="minorHAnsi"/>
          <w:b/>
          <w:bCs/>
          <w:i w:val="0"/>
          <w:iCs w:val="0"/>
          <w:color w:val="000000" w:themeColor="text1"/>
          <w:w w:val="85"/>
        </w:rPr>
      </w:pPr>
      <w:r w:rsidRPr="00EB673D">
        <w:rPr>
          <w:rFonts w:asciiTheme="minorHAnsi" w:hAnsiTheme="minorHAnsi" w:cstheme="minorHAnsi"/>
          <w:i w:val="0"/>
          <w:iCs w:val="0"/>
          <w:color w:val="000000" w:themeColor="text1"/>
          <w:w w:val="85"/>
        </w:rPr>
        <w:t>77</w:t>
      </w:r>
      <w:r w:rsidRPr="00EB673D">
        <w:rPr>
          <w:rFonts w:asciiTheme="minorHAnsi" w:hAnsiTheme="minorHAnsi" w:cstheme="minorHAnsi"/>
          <w:i w:val="0"/>
          <w:iCs w:val="0"/>
          <w:color w:val="000000" w:themeColor="text1"/>
        </w:rPr>
        <w:t xml:space="preserve"> </w:t>
      </w:r>
      <w:r w:rsidRPr="00EB673D">
        <w:rPr>
          <w:rFonts w:asciiTheme="minorHAnsi" w:hAnsiTheme="minorHAnsi" w:cstheme="minorHAnsi"/>
          <w:i w:val="0"/>
          <w:iCs w:val="0"/>
          <w:color w:val="000000" w:themeColor="text1"/>
          <w:spacing w:val="-10"/>
          <w:w w:val="85"/>
        </w:rPr>
        <w:t>%</w:t>
      </w:r>
      <w:r w:rsidRPr="00EB673D">
        <w:rPr>
          <w:rFonts w:asciiTheme="minorHAnsi" w:hAnsiTheme="minorHAnsi" w:cstheme="minorHAnsi"/>
          <w:i w:val="0"/>
          <w:iCs w:val="0"/>
          <w:color w:val="000000" w:themeColor="text1"/>
          <w:w w:val="90"/>
        </w:rPr>
        <w:t xml:space="preserve"> en</w:t>
      </w:r>
      <w:r w:rsidRPr="00EB673D">
        <w:rPr>
          <w:rFonts w:asciiTheme="minorHAnsi" w:hAnsiTheme="minorHAnsi" w:cstheme="minorHAnsi"/>
          <w:i w:val="0"/>
          <w:iCs w:val="0"/>
          <w:color w:val="000000" w:themeColor="text1"/>
          <w:spacing w:val="-11"/>
          <w:w w:val="90"/>
        </w:rPr>
        <w:t xml:space="preserve"> </w:t>
      </w:r>
      <w:r w:rsidRPr="00EB673D">
        <w:rPr>
          <w:rFonts w:asciiTheme="minorHAnsi" w:hAnsiTheme="minorHAnsi" w:cstheme="minorHAnsi"/>
          <w:i w:val="0"/>
          <w:iCs w:val="0"/>
          <w:color w:val="000000" w:themeColor="text1"/>
          <w:w w:val="90"/>
        </w:rPr>
        <w:t>2080</w:t>
      </w:r>
      <w:r w:rsidRPr="00EB673D">
        <w:rPr>
          <w:rFonts w:asciiTheme="minorHAnsi" w:hAnsiTheme="minorHAnsi" w:cstheme="minorHAnsi"/>
          <w:i w:val="0"/>
          <w:iCs w:val="0"/>
          <w:color w:val="000000" w:themeColor="text1"/>
          <w:spacing w:val="-8"/>
          <w:w w:val="90"/>
        </w:rPr>
        <w:t xml:space="preserve">, soit de 48% en 2050 et de 96 % en 2100, </w:t>
      </w:r>
      <w:r w:rsidRPr="00EB673D">
        <w:rPr>
          <w:rFonts w:asciiTheme="minorHAnsi" w:hAnsiTheme="minorHAnsi" w:cstheme="minorHAnsi"/>
          <w:i w:val="0"/>
          <w:iCs w:val="0"/>
          <w:color w:val="000000" w:themeColor="text1"/>
          <w:w w:val="90"/>
        </w:rPr>
        <w:t>pour le scénario</w:t>
      </w:r>
      <w:r w:rsidRPr="00EB673D">
        <w:rPr>
          <w:rFonts w:asciiTheme="minorHAnsi" w:hAnsiTheme="minorHAnsi" w:cstheme="minorHAnsi"/>
          <w:i w:val="0"/>
          <w:iCs w:val="0"/>
          <w:color w:val="000000" w:themeColor="text1"/>
          <w:spacing w:val="-11"/>
          <w:w w:val="90"/>
        </w:rPr>
        <w:t xml:space="preserve"> </w:t>
      </w:r>
      <w:r w:rsidRPr="00EB673D">
        <w:rPr>
          <w:rFonts w:asciiTheme="minorHAnsi" w:hAnsiTheme="minorHAnsi" w:cstheme="minorHAnsi"/>
          <w:i w:val="0"/>
          <w:iCs w:val="0"/>
          <w:color w:val="000000" w:themeColor="text1"/>
          <w:w w:val="90"/>
        </w:rPr>
        <w:t>RCP6.0</w:t>
      </w:r>
      <w:r w:rsidRPr="00EB673D">
        <w:rPr>
          <w:rFonts w:asciiTheme="minorHAnsi" w:hAnsiTheme="minorHAnsi" w:cstheme="minorHAnsi"/>
          <w:i w:val="0"/>
          <w:iCs w:val="0"/>
          <w:color w:val="000000" w:themeColor="text1"/>
          <w:spacing w:val="-11"/>
          <w:w w:val="90"/>
        </w:rPr>
        <w:t xml:space="preserve">, </w:t>
      </w:r>
      <w:r w:rsidRPr="00EB673D">
        <w:rPr>
          <w:rFonts w:asciiTheme="minorHAnsi" w:hAnsiTheme="minorHAnsi" w:cstheme="minorHAnsi"/>
          <w:i w:val="0"/>
          <w:iCs w:val="0"/>
          <w:color w:val="000000" w:themeColor="text1"/>
          <w:w w:val="90"/>
        </w:rPr>
        <w:t>par</w:t>
      </w:r>
      <w:r w:rsidRPr="00EB673D">
        <w:rPr>
          <w:rFonts w:asciiTheme="minorHAnsi" w:hAnsiTheme="minorHAnsi" w:cstheme="minorHAnsi"/>
          <w:i w:val="0"/>
          <w:iCs w:val="0"/>
          <w:color w:val="000000" w:themeColor="text1"/>
          <w:spacing w:val="-8"/>
          <w:w w:val="90"/>
        </w:rPr>
        <w:t xml:space="preserve"> </w:t>
      </w:r>
      <w:r w:rsidRPr="00EB673D">
        <w:rPr>
          <w:rFonts w:asciiTheme="minorHAnsi" w:hAnsiTheme="minorHAnsi" w:cstheme="minorHAnsi"/>
          <w:i w:val="0"/>
          <w:iCs w:val="0"/>
          <w:color w:val="000000" w:themeColor="text1"/>
          <w:w w:val="90"/>
        </w:rPr>
        <w:t>rapport</w:t>
      </w:r>
      <w:r w:rsidRPr="00EB673D">
        <w:rPr>
          <w:rFonts w:asciiTheme="minorHAnsi" w:hAnsiTheme="minorHAnsi" w:cstheme="minorHAnsi"/>
          <w:i w:val="0"/>
          <w:iCs w:val="0"/>
          <w:color w:val="000000" w:themeColor="text1"/>
          <w:spacing w:val="-8"/>
          <w:w w:val="90"/>
        </w:rPr>
        <w:t xml:space="preserve"> </w:t>
      </w:r>
      <w:r w:rsidRPr="00EB673D">
        <w:rPr>
          <w:rFonts w:asciiTheme="minorHAnsi" w:hAnsiTheme="minorHAnsi" w:cstheme="minorHAnsi"/>
          <w:i w:val="0"/>
          <w:iCs w:val="0"/>
          <w:color w:val="000000" w:themeColor="text1"/>
          <w:w w:val="90"/>
        </w:rPr>
        <w:t>à</w:t>
      </w:r>
      <w:r w:rsidRPr="00EB673D">
        <w:rPr>
          <w:rFonts w:asciiTheme="minorHAnsi" w:hAnsiTheme="minorHAnsi" w:cstheme="minorHAnsi"/>
          <w:i w:val="0"/>
          <w:iCs w:val="0"/>
          <w:color w:val="000000" w:themeColor="text1"/>
          <w:spacing w:val="-8"/>
          <w:w w:val="90"/>
        </w:rPr>
        <w:t xml:space="preserve"> </w:t>
      </w:r>
      <w:r w:rsidRPr="00EB673D">
        <w:rPr>
          <w:rFonts w:asciiTheme="minorHAnsi" w:hAnsiTheme="minorHAnsi" w:cstheme="minorHAnsi"/>
          <w:i w:val="0"/>
          <w:iCs w:val="0"/>
          <w:color w:val="000000" w:themeColor="text1"/>
          <w:w w:val="90"/>
        </w:rPr>
        <w:t>l'année</w:t>
      </w:r>
      <w:r w:rsidRPr="00EB673D">
        <w:rPr>
          <w:rFonts w:asciiTheme="minorHAnsi" w:hAnsiTheme="minorHAnsi" w:cstheme="minorHAnsi"/>
          <w:i w:val="0"/>
          <w:iCs w:val="0"/>
          <w:color w:val="000000" w:themeColor="text1"/>
          <w:spacing w:val="-8"/>
          <w:w w:val="90"/>
        </w:rPr>
        <w:t xml:space="preserve"> </w:t>
      </w:r>
      <w:r w:rsidRPr="00EB673D">
        <w:rPr>
          <w:rFonts w:asciiTheme="minorHAnsi" w:hAnsiTheme="minorHAnsi" w:cstheme="minorHAnsi"/>
          <w:i w:val="0"/>
          <w:iCs w:val="0"/>
          <w:color w:val="000000" w:themeColor="text1"/>
          <w:w w:val="90"/>
        </w:rPr>
        <w:t>2000</w:t>
      </w:r>
      <w:r w:rsidRPr="00EB673D">
        <w:rPr>
          <w:rFonts w:asciiTheme="minorHAnsi" w:hAnsiTheme="minorHAnsi" w:cstheme="minorHAnsi"/>
          <w:i w:val="0"/>
          <w:iCs w:val="0"/>
          <w:color w:val="000000" w:themeColor="text1"/>
          <w:spacing w:val="-8"/>
          <w:w w:val="90"/>
        </w:rPr>
        <w:t>.</w:t>
      </w:r>
    </w:p>
    <w:p w14:paraId="530638AE" w14:textId="77777777" w:rsidR="00412F22" w:rsidRDefault="00412F22" w:rsidP="00412F22">
      <w:pPr>
        <w:pStyle w:val="Titre4"/>
        <w:spacing w:before="104" w:line="276" w:lineRule="auto"/>
        <w:ind w:right="1279"/>
        <w:rPr>
          <w:rFonts w:asciiTheme="minorHAnsi" w:hAnsiTheme="minorHAnsi" w:cstheme="minorHAnsi"/>
          <w:b/>
          <w:bCs/>
          <w:i w:val="0"/>
          <w:iCs w:val="0"/>
          <w:color w:val="000000" w:themeColor="text1"/>
          <w:spacing w:val="-8"/>
          <w:w w:val="90"/>
        </w:rPr>
      </w:pPr>
    </w:p>
    <w:p w14:paraId="30B93AA3" w14:textId="77777777" w:rsidR="00412F22" w:rsidRDefault="00412F22" w:rsidP="00412F22">
      <w:pPr>
        <w:pStyle w:val="Titre4"/>
        <w:spacing w:before="104" w:line="276" w:lineRule="auto"/>
        <w:ind w:right="1279"/>
        <w:rPr>
          <w:rFonts w:asciiTheme="minorHAnsi" w:hAnsiTheme="minorHAnsi" w:cstheme="minorHAnsi"/>
          <w:b/>
          <w:bCs/>
          <w:i w:val="0"/>
          <w:iCs w:val="0"/>
          <w:color w:val="000000" w:themeColor="text1"/>
          <w:spacing w:val="-8"/>
          <w:w w:val="90"/>
        </w:rPr>
      </w:pPr>
    </w:p>
    <w:p w14:paraId="4D0B475F" w14:textId="77777777" w:rsidR="00412F22" w:rsidRPr="00EB673D" w:rsidRDefault="00412F22" w:rsidP="00412F22">
      <w:pPr>
        <w:pStyle w:val="Titre4"/>
        <w:spacing w:before="104" w:line="276" w:lineRule="auto"/>
        <w:ind w:right="1279"/>
        <w:rPr>
          <w:rFonts w:asciiTheme="minorHAnsi" w:hAnsiTheme="minorHAnsi" w:cstheme="minorHAnsi"/>
          <w:b/>
          <w:bCs/>
          <w:i w:val="0"/>
          <w:iCs w:val="0"/>
          <w:color w:val="000000" w:themeColor="text1"/>
          <w:w w:val="85"/>
        </w:rPr>
      </w:pPr>
    </w:p>
    <w:p w14:paraId="44BDDE47" w14:textId="77777777" w:rsidR="00412F22" w:rsidRPr="0016301A" w:rsidRDefault="00412F22" w:rsidP="00412F22">
      <w:pPr>
        <w:pStyle w:val="Titre1"/>
        <w:numPr>
          <w:ilvl w:val="0"/>
          <w:numId w:val="204"/>
        </w:numPr>
        <w:shd w:val="clear" w:color="auto" w:fill="92D050"/>
        <w:tabs>
          <w:tab w:val="left" w:pos="9356"/>
          <w:tab w:val="left" w:pos="9498"/>
          <w:tab w:val="left" w:pos="9781"/>
        </w:tabs>
        <w:ind w:left="720" w:right="1279" w:hanging="1080"/>
        <w:rPr>
          <w:b/>
          <w:bCs/>
          <w:color w:val="000000" w:themeColor="text1"/>
        </w:rPr>
      </w:pPr>
      <w:bookmarkStart w:id="719" w:name="_Toc192462521"/>
      <w:bookmarkStart w:id="720" w:name="_TOC_250066"/>
      <w:r w:rsidRPr="0016301A">
        <w:rPr>
          <w:b/>
          <w:bCs/>
          <w:color w:val="000000" w:themeColor="text1"/>
        </w:rPr>
        <w:t>SCÉNARIOS SOCIOÉCONOMIQUES</w:t>
      </w:r>
      <w:r>
        <w:rPr>
          <w:b/>
          <w:bCs/>
          <w:color w:val="000000" w:themeColor="text1"/>
        </w:rPr>
        <w:t xml:space="preserve"> DE REFERENCE</w:t>
      </w:r>
      <w:bookmarkEnd w:id="719"/>
    </w:p>
    <w:p w14:paraId="430530AB" w14:textId="77777777" w:rsidR="00412F22" w:rsidRPr="0016301A" w:rsidRDefault="00412F22" w:rsidP="00412F22">
      <w:pPr>
        <w:rPr>
          <w:color w:val="000000" w:themeColor="text1"/>
        </w:rPr>
      </w:pPr>
    </w:p>
    <w:p w14:paraId="3928F905" w14:textId="77777777" w:rsidR="00412F22" w:rsidRPr="00200C52" w:rsidRDefault="00412F22" w:rsidP="00412F22">
      <w:pPr>
        <w:pStyle w:val="Titre2"/>
        <w:tabs>
          <w:tab w:val="left" w:pos="9356"/>
          <w:tab w:val="left" w:pos="9498"/>
          <w:tab w:val="left" w:pos="9781"/>
        </w:tabs>
        <w:ind w:right="1279"/>
        <w:jc w:val="center"/>
        <w:rPr>
          <w:rFonts w:ascii="Arial Narrow" w:hAnsi="Arial Narrow"/>
          <w:b/>
          <w:bCs/>
          <w:color w:val="990000"/>
          <w:sz w:val="28"/>
          <w:szCs w:val="28"/>
        </w:rPr>
      </w:pPr>
      <w:bookmarkStart w:id="721" w:name="_Toc192462522"/>
      <w:r w:rsidRPr="00200C52">
        <w:rPr>
          <w:rFonts w:ascii="Arial Narrow" w:hAnsi="Arial Narrow"/>
          <w:b/>
          <w:bCs/>
          <w:color w:val="990000"/>
          <w:sz w:val="28"/>
          <w:szCs w:val="28"/>
        </w:rPr>
        <w:t>III.1 Rappels des scénarii climatiques, en termes d’émissions.</w:t>
      </w:r>
      <w:bookmarkEnd w:id="721"/>
    </w:p>
    <w:p w14:paraId="73E61A0B" w14:textId="77777777" w:rsidR="00412F22" w:rsidRDefault="00412F22" w:rsidP="00412F22">
      <w:pPr>
        <w:pStyle w:val="Corpsdetexte"/>
        <w:tabs>
          <w:tab w:val="left" w:pos="9356"/>
        </w:tabs>
        <w:spacing w:line="276" w:lineRule="auto"/>
        <w:ind w:right="1279"/>
        <w:rPr>
          <w:rFonts w:asciiTheme="minorHAnsi" w:hAnsiTheme="minorHAnsi" w:cstheme="minorHAnsi"/>
          <w:color w:val="000000" w:themeColor="text1"/>
        </w:rPr>
      </w:pPr>
    </w:p>
    <w:p w14:paraId="5D82010B" w14:textId="77777777" w:rsidR="00412F22" w:rsidRPr="0016301A" w:rsidRDefault="00412F22" w:rsidP="00412F22">
      <w:pPr>
        <w:pStyle w:val="Corpsdetexte"/>
        <w:tabs>
          <w:tab w:val="left" w:pos="9356"/>
        </w:tabs>
        <w:spacing w:line="276" w:lineRule="auto"/>
        <w:ind w:right="1279"/>
        <w:rPr>
          <w:rFonts w:asciiTheme="minorHAnsi" w:hAnsiTheme="minorHAnsi" w:cstheme="minorHAnsi"/>
          <w:color w:val="000000" w:themeColor="text1"/>
        </w:rPr>
      </w:pPr>
      <w:r w:rsidRPr="0016301A">
        <w:rPr>
          <w:rFonts w:asciiTheme="minorHAnsi" w:hAnsiTheme="minorHAnsi" w:cstheme="minorHAnsi"/>
          <w:color w:val="000000" w:themeColor="text1"/>
        </w:rPr>
        <w:t xml:space="preserve">Le </w:t>
      </w:r>
      <w:r>
        <w:rPr>
          <w:rFonts w:asciiTheme="minorHAnsi" w:hAnsiTheme="minorHAnsi" w:cstheme="minorHAnsi"/>
          <w:color w:val="000000" w:themeColor="text1"/>
        </w:rPr>
        <w:t>G</w:t>
      </w:r>
      <w:r w:rsidRPr="0016301A">
        <w:rPr>
          <w:rFonts w:asciiTheme="minorHAnsi" w:hAnsiTheme="minorHAnsi" w:cstheme="minorHAnsi"/>
          <w:color w:val="000000" w:themeColor="text1"/>
        </w:rPr>
        <w:t>IEC a identifié quatre familles de scénarios d’émissions, A1, A2, B1, B2, appelés scénarios marqueurs. Ces quatre scénarios de référence ont été adoptés par les milieux de la modélisation climatique.</w:t>
      </w:r>
    </w:p>
    <w:p w14:paraId="5F6EF64F" w14:textId="77777777" w:rsidR="00412F22" w:rsidRPr="0016301A" w:rsidRDefault="00412F22" w:rsidP="00412F22">
      <w:pPr>
        <w:numPr>
          <w:ilvl w:val="0"/>
          <w:numId w:val="165"/>
        </w:numPr>
        <w:tabs>
          <w:tab w:val="left" w:pos="9639"/>
        </w:tabs>
        <w:spacing w:before="100" w:beforeAutospacing="1" w:after="100" w:afterAutospacing="1" w:line="276" w:lineRule="auto"/>
        <w:ind w:right="1279"/>
        <w:jc w:val="both"/>
        <w:rPr>
          <w:rFonts w:cstheme="minorHAnsi"/>
          <w:color w:val="000000" w:themeColor="text1"/>
        </w:rPr>
      </w:pPr>
      <w:r w:rsidRPr="0016301A">
        <w:rPr>
          <w:rStyle w:val="lev"/>
          <w:rFonts w:cstheme="minorHAnsi"/>
          <w:color w:val="000000" w:themeColor="text1"/>
        </w:rPr>
        <w:t xml:space="preserve">A1 </w:t>
      </w:r>
      <w:r w:rsidRPr="0016301A">
        <w:rPr>
          <w:rFonts w:cstheme="minorHAnsi"/>
          <w:color w:val="000000" w:themeColor="text1"/>
        </w:rPr>
        <w:t xml:space="preserve">: Un monde futur à </w:t>
      </w:r>
      <w:r w:rsidRPr="00F27F14">
        <w:rPr>
          <w:rFonts w:cstheme="minorHAnsi"/>
          <w:b/>
          <w:bCs/>
          <w:color w:val="000000" w:themeColor="text1"/>
        </w:rPr>
        <w:t>croissance économique très rapide</w:t>
      </w:r>
      <w:r w:rsidRPr="0016301A">
        <w:rPr>
          <w:rFonts w:cstheme="minorHAnsi"/>
          <w:color w:val="000000" w:themeColor="text1"/>
        </w:rPr>
        <w:t xml:space="preserve">, à faible croissance démographique et à introduction rapide de technologies nouvelles et plus efficaces. Les grands thèmes sous-jacents sont la convergence économique et culturelle et le renforcement des capacités, avec une réduction substantielle des différences régionales du revenu par habitant. Dans ce monde, </w:t>
      </w:r>
      <w:r w:rsidRPr="0016301A">
        <w:rPr>
          <w:rFonts w:cstheme="minorHAnsi"/>
          <w:b/>
          <w:bCs/>
          <w:color w:val="000000" w:themeColor="text1"/>
        </w:rPr>
        <w:t>les gens recherchent la richesse personnelle,</w:t>
      </w:r>
      <w:r w:rsidRPr="0016301A">
        <w:rPr>
          <w:rFonts w:cstheme="minorHAnsi"/>
          <w:color w:val="000000" w:themeColor="text1"/>
        </w:rPr>
        <w:t xml:space="preserve"> plutôt que la qualité de l’environnement. </w:t>
      </w:r>
    </w:p>
    <w:p w14:paraId="3EEC2372" w14:textId="77777777" w:rsidR="00412F22" w:rsidRPr="00F27F14" w:rsidRDefault="00412F22" w:rsidP="00412F22">
      <w:pPr>
        <w:numPr>
          <w:ilvl w:val="0"/>
          <w:numId w:val="165"/>
        </w:numPr>
        <w:shd w:val="clear" w:color="auto" w:fill="E2EFD9" w:themeFill="accent6" w:themeFillTint="33"/>
        <w:spacing w:before="100" w:beforeAutospacing="1" w:after="100" w:afterAutospacing="1" w:line="276" w:lineRule="auto"/>
        <w:ind w:right="1279"/>
        <w:jc w:val="both"/>
        <w:rPr>
          <w:rFonts w:cstheme="minorHAnsi"/>
          <w:b/>
          <w:bCs/>
          <w:color w:val="000000" w:themeColor="text1"/>
        </w:rPr>
      </w:pPr>
      <w:r w:rsidRPr="0016301A">
        <w:rPr>
          <w:rStyle w:val="lev"/>
          <w:rFonts w:cstheme="minorHAnsi"/>
          <w:color w:val="000000" w:themeColor="text1"/>
        </w:rPr>
        <w:t xml:space="preserve">A2 </w:t>
      </w:r>
      <w:r w:rsidRPr="0016301A">
        <w:rPr>
          <w:rFonts w:cstheme="minorHAnsi"/>
          <w:color w:val="000000" w:themeColor="text1"/>
        </w:rPr>
        <w:t xml:space="preserve">: Un monde très hétérogène. Le thème sous-jacent est celui du raffermissement des identités culturelles régionales, avec l’accent sur les valeurs familiales et les </w:t>
      </w:r>
      <w:r w:rsidRPr="00F27F14">
        <w:rPr>
          <w:rFonts w:cstheme="minorHAnsi"/>
          <w:b/>
          <w:bCs/>
          <w:color w:val="000000" w:themeColor="text1"/>
        </w:rPr>
        <w:t>traditions locales</w:t>
      </w:r>
      <w:r w:rsidRPr="0016301A">
        <w:rPr>
          <w:rFonts w:cstheme="minorHAnsi"/>
          <w:color w:val="000000" w:themeColor="text1"/>
        </w:rPr>
        <w:t xml:space="preserve">, une forte croissance de la population et </w:t>
      </w:r>
      <w:r w:rsidRPr="00F27F14">
        <w:rPr>
          <w:rFonts w:cstheme="minorHAnsi"/>
          <w:b/>
          <w:bCs/>
          <w:color w:val="000000" w:themeColor="text1"/>
        </w:rPr>
        <w:t xml:space="preserve">moins de préoccupations pour le développement économique rapide. </w:t>
      </w:r>
    </w:p>
    <w:p w14:paraId="041891BA" w14:textId="77777777" w:rsidR="00412F22" w:rsidRPr="0016301A" w:rsidRDefault="00412F22" w:rsidP="00412F22">
      <w:pPr>
        <w:numPr>
          <w:ilvl w:val="0"/>
          <w:numId w:val="165"/>
        </w:numPr>
        <w:spacing w:before="100" w:beforeAutospacing="1" w:after="100" w:afterAutospacing="1" w:line="276" w:lineRule="auto"/>
        <w:ind w:right="1279"/>
        <w:jc w:val="both"/>
        <w:rPr>
          <w:rFonts w:cstheme="minorHAnsi"/>
          <w:color w:val="000000" w:themeColor="text1"/>
        </w:rPr>
      </w:pPr>
      <w:r w:rsidRPr="0016301A">
        <w:rPr>
          <w:rStyle w:val="lev"/>
          <w:rFonts w:cstheme="minorHAnsi"/>
          <w:color w:val="000000" w:themeColor="text1"/>
        </w:rPr>
        <w:t xml:space="preserve">B1 </w:t>
      </w:r>
      <w:r w:rsidRPr="0016301A">
        <w:rPr>
          <w:rFonts w:cstheme="minorHAnsi"/>
          <w:color w:val="000000" w:themeColor="text1"/>
        </w:rPr>
        <w:t xml:space="preserve">: Monde convergeant avec </w:t>
      </w:r>
      <w:r w:rsidRPr="00F27F14">
        <w:rPr>
          <w:rFonts w:cstheme="minorHAnsi"/>
          <w:b/>
          <w:bCs/>
          <w:color w:val="000000" w:themeColor="text1"/>
        </w:rPr>
        <w:t>changement rapide des structures économiques</w:t>
      </w:r>
      <w:r w:rsidRPr="0016301A">
        <w:rPr>
          <w:rFonts w:cstheme="minorHAnsi"/>
          <w:color w:val="000000" w:themeColor="text1"/>
        </w:rPr>
        <w:t xml:space="preserve">, dématérialisation et introduction de technologies « propres ». L’accent est sur des solutions mondiales orientées vers la </w:t>
      </w:r>
      <w:r w:rsidRPr="00F27F14">
        <w:rPr>
          <w:rFonts w:cstheme="minorHAnsi"/>
          <w:b/>
          <w:bCs/>
          <w:color w:val="000000" w:themeColor="text1"/>
        </w:rPr>
        <w:t>durabilité sociale et environnementale</w:t>
      </w:r>
      <w:r w:rsidRPr="0016301A">
        <w:rPr>
          <w:rFonts w:cstheme="minorHAnsi"/>
          <w:color w:val="000000" w:themeColor="text1"/>
        </w:rPr>
        <w:t xml:space="preserve">, y compris des efforts concertés de développement technologique rapide, de dématérialisation de l’économie et de meilleure équité. </w:t>
      </w:r>
    </w:p>
    <w:p w14:paraId="3D9B40B9" w14:textId="77777777" w:rsidR="00412F22" w:rsidRPr="0016301A" w:rsidRDefault="00412F22" w:rsidP="00412F22">
      <w:pPr>
        <w:numPr>
          <w:ilvl w:val="0"/>
          <w:numId w:val="165"/>
        </w:numPr>
        <w:shd w:val="clear" w:color="auto" w:fill="E2EFD9" w:themeFill="accent6" w:themeFillTint="33"/>
        <w:spacing w:before="100" w:beforeAutospacing="1" w:after="100" w:afterAutospacing="1" w:line="276" w:lineRule="auto"/>
        <w:ind w:right="1279"/>
        <w:jc w:val="both"/>
        <w:rPr>
          <w:rFonts w:cstheme="minorHAnsi"/>
          <w:color w:val="000000" w:themeColor="text1"/>
        </w:rPr>
      </w:pPr>
      <w:r w:rsidRPr="0016301A">
        <w:rPr>
          <w:rStyle w:val="lev"/>
          <w:rFonts w:cstheme="minorHAnsi"/>
          <w:color w:val="000000" w:themeColor="text1"/>
        </w:rPr>
        <w:t xml:space="preserve">B2 </w:t>
      </w:r>
      <w:r w:rsidRPr="0016301A">
        <w:rPr>
          <w:rFonts w:cstheme="minorHAnsi"/>
          <w:color w:val="000000" w:themeColor="text1"/>
        </w:rPr>
        <w:t xml:space="preserve">: Monde où l’accent est mis sur des </w:t>
      </w:r>
      <w:r w:rsidRPr="00F27F14">
        <w:rPr>
          <w:rFonts w:cstheme="minorHAnsi"/>
          <w:b/>
          <w:bCs/>
          <w:color w:val="000000" w:themeColor="text1"/>
        </w:rPr>
        <w:t>solutions locales</w:t>
      </w:r>
      <w:r w:rsidRPr="0016301A">
        <w:rPr>
          <w:rFonts w:cstheme="minorHAnsi"/>
          <w:color w:val="000000" w:themeColor="text1"/>
        </w:rPr>
        <w:t xml:space="preserve"> dans le sens de la </w:t>
      </w:r>
      <w:r w:rsidRPr="00F27F14">
        <w:rPr>
          <w:rFonts w:cstheme="minorHAnsi"/>
          <w:b/>
          <w:bCs/>
          <w:color w:val="000000" w:themeColor="text1"/>
        </w:rPr>
        <w:t>durabilité économique, sociale et environnementale</w:t>
      </w:r>
      <w:r w:rsidRPr="0016301A">
        <w:rPr>
          <w:rFonts w:cstheme="minorHAnsi"/>
          <w:color w:val="000000" w:themeColor="text1"/>
        </w:rPr>
        <w:t xml:space="preserve">. C’est un monde hétérogène où les changements technologiques sont moins rapides et plus diversifiés, mais où on met beaucoup l’accent sur l’initiative communautaire et l’innovation sociale pour trouver des solutions locales, plutôt que globales. </w:t>
      </w:r>
    </w:p>
    <w:p w14:paraId="080EBCDF" w14:textId="77777777" w:rsidR="00412F22" w:rsidRDefault="00412F22" w:rsidP="00412F22">
      <w:pPr>
        <w:pStyle w:val="Corpsdetexte"/>
        <w:spacing w:line="276" w:lineRule="auto"/>
        <w:ind w:right="1279"/>
        <w:rPr>
          <w:rFonts w:asciiTheme="minorHAnsi" w:hAnsiTheme="minorHAnsi" w:cstheme="minorHAnsi"/>
          <w:color w:val="000000" w:themeColor="text1"/>
        </w:rPr>
      </w:pPr>
      <w:r w:rsidRPr="0016301A">
        <w:rPr>
          <w:rFonts w:asciiTheme="minorHAnsi" w:hAnsiTheme="minorHAnsi" w:cstheme="minorHAnsi"/>
          <w:color w:val="000000" w:themeColor="text1"/>
        </w:rPr>
        <w:t>Les scénarios A2 et B2 ont été choisis, parce reflétant le mieux la situation d’un pays comme la Mauritanie. Ils ont également l’avantage d’être disponibles pour tous les modèles. Ces deux scénarios représentent, respectivement un futur pessimiste et optimiste. Avec le scénario A2, le niveau de concentration de CO2 sera de 834 ppm en 2100, alors qu’il ne sera que de 601 pour le scénario B2.</w:t>
      </w:r>
    </w:p>
    <w:p w14:paraId="38706B50" w14:textId="77777777" w:rsidR="00412F22" w:rsidRDefault="00412F22" w:rsidP="00412F22">
      <w:pPr>
        <w:pStyle w:val="Corpsdetexte"/>
        <w:spacing w:line="276" w:lineRule="auto"/>
        <w:ind w:right="1279"/>
        <w:rPr>
          <w:rFonts w:asciiTheme="minorHAnsi" w:hAnsiTheme="minorHAnsi" w:cstheme="minorHAnsi"/>
          <w:color w:val="000000" w:themeColor="text1"/>
        </w:rPr>
      </w:pPr>
    </w:p>
    <w:p w14:paraId="4BD1ADA9" w14:textId="77777777" w:rsidR="00412F22" w:rsidRPr="00200C52" w:rsidRDefault="00412F22" w:rsidP="00412F22">
      <w:pPr>
        <w:pStyle w:val="Titre2"/>
        <w:tabs>
          <w:tab w:val="left" w:pos="9356"/>
          <w:tab w:val="left" w:pos="9498"/>
          <w:tab w:val="left" w:pos="9781"/>
        </w:tabs>
        <w:ind w:right="1279"/>
        <w:jc w:val="center"/>
        <w:rPr>
          <w:rFonts w:ascii="Arial Narrow" w:hAnsi="Arial Narrow"/>
          <w:b/>
          <w:bCs/>
          <w:color w:val="990000"/>
          <w:sz w:val="28"/>
          <w:szCs w:val="28"/>
        </w:rPr>
      </w:pPr>
      <w:bookmarkStart w:id="722" w:name="_Toc192462523"/>
      <w:r w:rsidRPr="00200C52">
        <w:rPr>
          <w:rFonts w:ascii="Arial Narrow" w:hAnsi="Arial Narrow"/>
          <w:b/>
          <w:bCs/>
          <w:color w:val="990000"/>
          <w:sz w:val="28"/>
          <w:szCs w:val="28"/>
        </w:rPr>
        <w:t>III.2 Contributions des secteurs au PIB</w:t>
      </w:r>
      <w:bookmarkEnd w:id="722"/>
    </w:p>
    <w:p w14:paraId="45FFFED1" w14:textId="77777777" w:rsidR="00412F22" w:rsidRDefault="00412F22" w:rsidP="00412F22">
      <w:pPr>
        <w:pStyle w:val="Corpsdetexte"/>
        <w:spacing w:line="276" w:lineRule="auto"/>
        <w:ind w:right="1279"/>
        <w:rPr>
          <w:rFonts w:asciiTheme="minorHAnsi" w:hAnsiTheme="minorHAnsi" w:cstheme="minorHAnsi"/>
          <w:color w:val="000000" w:themeColor="text1"/>
        </w:rPr>
      </w:pPr>
    </w:p>
    <w:p w14:paraId="08DF6A47" w14:textId="77777777" w:rsidR="00412F22" w:rsidRDefault="00412F22" w:rsidP="00412F22">
      <w:pPr>
        <w:pStyle w:val="Corpsdetexte"/>
        <w:spacing w:line="276" w:lineRule="auto"/>
        <w:ind w:right="1279"/>
        <w:rPr>
          <w:rFonts w:asciiTheme="minorHAnsi" w:hAnsiTheme="minorHAnsi" w:cstheme="minorHAnsi"/>
          <w:color w:val="000000" w:themeColor="text1"/>
        </w:rPr>
      </w:pPr>
      <w:r w:rsidRPr="0016301A">
        <w:rPr>
          <w:rFonts w:asciiTheme="minorHAnsi" w:hAnsiTheme="minorHAnsi" w:cstheme="minorHAnsi"/>
          <w:color w:val="000000" w:themeColor="text1"/>
        </w:rPr>
        <w:t>Pour décliner les scénarios socioéconomiques</w:t>
      </w:r>
      <w:r>
        <w:rPr>
          <w:rFonts w:asciiTheme="minorHAnsi" w:hAnsiTheme="minorHAnsi" w:cstheme="minorHAnsi"/>
          <w:color w:val="000000" w:themeColor="text1"/>
        </w:rPr>
        <w:t xml:space="preserve"> de référence</w:t>
      </w:r>
      <w:r w:rsidRPr="0016301A">
        <w:rPr>
          <w:rFonts w:asciiTheme="minorHAnsi" w:hAnsiTheme="minorHAnsi" w:cstheme="minorHAnsi"/>
          <w:color w:val="000000" w:themeColor="text1"/>
        </w:rPr>
        <w:t>, les contributions actuel</w:t>
      </w:r>
      <w:r>
        <w:rPr>
          <w:rFonts w:asciiTheme="minorHAnsi" w:hAnsiTheme="minorHAnsi" w:cstheme="minorHAnsi"/>
          <w:color w:val="000000" w:themeColor="text1"/>
        </w:rPr>
        <w:t>le</w:t>
      </w:r>
      <w:r w:rsidRPr="0016301A">
        <w:rPr>
          <w:rFonts w:asciiTheme="minorHAnsi" w:hAnsiTheme="minorHAnsi" w:cstheme="minorHAnsi"/>
          <w:color w:val="000000" w:themeColor="text1"/>
        </w:rPr>
        <w:t>s au PIB, de chacun des secteurs dont la vulnérabilité a été analysé</w:t>
      </w:r>
      <w:r>
        <w:rPr>
          <w:rFonts w:asciiTheme="minorHAnsi" w:hAnsiTheme="minorHAnsi" w:cstheme="minorHAnsi"/>
          <w:color w:val="000000" w:themeColor="text1"/>
        </w:rPr>
        <w:t xml:space="preserve">, ci-dessus, </w:t>
      </w:r>
      <w:r w:rsidRPr="0016301A">
        <w:rPr>
          <w:rFonts w:asciiTheme="minorHAnsi" w:hAnsiTheme="minorHAnsi" w:cstheme="minorHAnsi"/>
          <w:color w:val="000000" w:themeColor="text1"/>
        </w:rPr>
        <w:t>sur la base des scenarii climatiques</w:t>
      </w:r>
      <w:r>
        <w:rPr>
          <w:rFonts w:asciiTheme="minorHAnsi" w:hAnsiTheme="minorHAnsi" w:cstheme="minorHAnsi"/>
          <w:color w:val="000000" w:themeColor="text1"/>
        </w:rPr>
        <w:t>,</w:t>
      </w:r>
      <w:r w:rsidRPr="0016301A">
        <w:rPr>
          <w:rFonts w:asciiTheme="minorHAnsi" w:hAnsiTheme="minorHAnsi" w:cstheme="minorHAnsi"/>
          <w:color w:val="000000" w:themeColor="text1"/>
        </w:rPr>
        <w:t xml:space="preserve"> seront </w:t>
      </w:r>
      <w:r>
        <w:rPr>
          <w:rFonts w:asciiTheme="minorHAnsi" w:hAnsiTheme="minorHAnsi" w:cstheme="minorHAnsi"/>
          <w:color w:val="000000" w:themeColor="text1"/>
        </w:rPr>
        <w:t>la</w:t>
      </w:r>
      <w:r w:rsidRPr="0016301A">
        <w:rPr>
          <w:rFonts w:asciiTheme="minorHAnsi" w:hAnsiTheme="minorHAnsi" w:cstheme="minorHAnsi"/>
          <w:color w:val="000000" w:themeColor="text1"/>
        </w:rPr>
        <w:t xml:space="preserve"> base de départ. </w:t>
      </w:r>
    </w:p>
    <w:p w14:paraId="7DFCCACE" w14:textId="77777777" w:rsidR="00412F22" w:rsidRDefault="00412F22" w:rsidP="00412F22">
      <w:pPr>
        <w:pStyle w:val="Corpsdetexte"/>
        <w:spacing w:line="276" w:lineRule="auto"/>
        <w:ind w:right="1279"/>
        <w:rPr>
          <w:rFonts w:asciiTheme="minorHAnsi" w:hAnsiTheme="minorHAnsi" w:cstheme="minorHAnsi"/>
          <w:color w:val="000000" w:themeColor="text1"/>
        </w:rPr>
      </w:pPr>
    </w:p>
    <w:p w14:paraId="65FD36B2" w14:textId="77777777" w:rsidR="00412F22" w:rsidRPr="0016301A" w:rsidRDefault="00412F22" w:rsidP="00412F22">
      <w:pPr>
        <w:pStyle w:val="Corpsdetexte"/>
        <w:spacing w:after="80" w:line="276" w:lineRule="auto"/>
        <w:ind w:left="-142" w:right="947"/>
        <w:rPr>
          <w:rFonts w:asciiTheme="minorHAnsi" w:hAnsiTheme="minorHAnsi" w:cstheme="minorHAnsi"/>
          <w:color w:val="000000" w:themeColor="text1"/>
        </w:rPr>
      </w:pPr>
      <w:r>
        <w:rPr>
          <w:rFonts w:asciiTheme="minorHAnsi" w:hAnsiTheme="minorHAnsi" w:cstheme="minorHAnsi"/>
          <w:color w:val="000000" w:themeColor="text1"/>
        </w:rPr>
        <w:t>L</w:t>
      </w:r>
      <w:r w:rsidRPr="0016301A">
        <w:rPr>
          <w:rFonts w:asciiTheme="minorHAnsi" w:hAnsiTheme="minorHAnsi" w:cstheme="minorHAnsi"/>
          <w:color w:val="000000" w:themeColor="text1"/>
        </w:rPr>
        <w:t xml:space="preserve">es contributions de ces secteurs sont données dans le tableau ci-après, pour les secteurs dont la vulnérabilité a été analysée ci-dessus et pour lesquels les contributions au PIB sont disponibles.  Le dernier rapport annuel de la Banque Centrale de Mauritanie (BCM) donne les contributions au PIB national de : (i) l’Agriculture, Sylviculture (pêche continentale) et de l’exploitation forestière, (ii) l’élevage et chasse, (iii) les Bâtiments et Travaux Publics (BTP). Etant donné que ces secteurs correspondent, à peu de choses près, aux secteurs pour lesquels la vulnérabilité a été analysée, pour simplifier, </w:t>
      </w:r>
      <w:r>
        <w:rPr>
          <w:rFonts w:asciiTheme="minorHAnsi" w:hAnsiTheme="minorHAnsi" w:cstheme="minorHAnsi"/>
          <w:color w:val="000000" w:themeColor="text1"/>
        </w:rPr>
        <w:t xml:space="preserve">dans la suite, </w:t>
      </w:r>
      <w:r w:rsidRPr="0016301A">
        <w:rPr>
          <w:rFonts w:asciiTheme="minorHAnsi" w:hAnsiTheme="minorHAnsi" w:cstheme="minorHAnsi"/>
          <w:color w:val="000000" w:themeColor="text1"/>
        </w:rPr>
        <w:t xml:space="preserve">il est considéré ce qui suit : </w:t>
      </w:r>
    </w:p>
    <w:p w14:paraId="3E28403A" w14:textId="77777777" w:rsidR="00412F22" w:rsidRPr="0016301A" w:rsidRDefault="00412F22" w:rsidP="00412F22">
      <w:pPr>
        <w:pStyle w:val="Corpsdetexte"/>
        <w:widowControl/>
        <w:numPr>
          <w:ilvl w:val="0"/>
          <w:numId w:val="205"/>
        </w:numPr>
        <w:autoSpaceDE/>
        <w:autoSpaceDN/>
        <w:spacing w:before="0" w:line="276" w:lineRule="auto"/>
        <w:ind w:left="426" w:right="1279" w:hanging="284"/>
        <w:rPr>
          <w:rFonts w:asciiTheme="minorHAnsi" w:hAnsiTheme="minorHAnsi" w:cstheme="minorHAnsi"/>
          <w:color w:val="000000" w:themeColor="text1"/>
        </w:rPr>
      </w:pPr>
      <w:r w:rsidRPr="0016301A">
        <w:rPr>
          <w:rFonts w:asciiTheme="minorHAnsi" w:hAnsiTheme="minorHAnsi" w:cstheme="minorHAnsi"/>
          <w:color w:val="000000" w:themeColor="text1"/>
        </w:rPr>
        <w:t>Les points II.3.1 (agriculture), II.3.3 (écosystèmes arides et forestiers) et II.3.6 (eau) sont assimilés avec la rubrique Agriculture, pêche continentale et de l’exploitation forestière du rapport annuel 2023 de la BCM ;</w:t>
      </w:r>
    </w:p>
    <w:p w14:paraId="2934CAB0" w14:textId="77777777" w:rsidR="00412F22" w:rsidRPr="0016301A" w:rsidRDefault="00412F22" w:rsidP="00412F22">
      <w:pPr>
        <w:pStyle w:val="Corpsdetexte"/>
        <w:widowControl/>
        <w:numPr>
          <w:ilvl w:val="0"/>
          <w:numId w:val="205"/>
        </w:numPr>
        <w:autoSpaceDE/>
        <w:autoSpaceDN/>
        <w:spacing w:before="0" w:line="276" w:lineRule="auto"/>
        <w:ind w:left="426" w:right="1279" w:hanging="284"/>
        <w:rPr>
          <w:rFonts w:asciiTheme="minorHAnsi" w:hAnsiTheme="minorHAnsi" w:cstheme="minorHAnsi"/>
          <w:color w:val="000000" w:themeColor="text1"/>
        </w:rPr>
      </w:pPr>
      <w:r w:rsidRPr="0016301A">
        <w:rPr>
          <w:rFonts w:asciiTheme="minorHAnsi" w:hAnsiTheme="minorHAnsi" w:cstheme="minorHAnsi"/>
          <w:color w:val="000000" w:themeColor="text1"/>
        </w:rPr>
        <w:t>Le point II.3.2 (Elevage) est assimilé à la rubrique Elevage et chasse du rapport annuel de la BCM</w:t>
      </w:r>
    </w:p>
    <w:p w14:paraId="69507EB4" w14:textId="77777777" w:rsidR="00412F22" w:rsidRPr="0016301A" w:rsidRDefault="00412F22" w:rsidP="00412F22">
      <w:pPr>
        <w:pStyle w:val="Corpsdetexte"/>
        <w:widowControl/>
        <w:numPr>
          <w:ilvl w:val="0"/>
          <w:numId w:val="205"/>
        </w:numPr>
        <w:autoSpaceDE/>
        <w:autoSpaceDN/>
        <w:spacing w:before="0" w:line="276" w:lineRule="auto"/>
        <w:ind w:left="426" w:right="1279" w:hanging="284"/>
        <w:rPr>
          <w:rFonts w:asciiTheme="minorHAnsi" w:hAnsiTheme="minorHAnsi" w:cstheme="minorHAnsi"/>
          <w:color w:val="000000" w:themeColor="text1"/>
        </w:rPr>
      </w:pPr>
      <w:r w:rsidRPr="0016301A">
        <w:rPr>
          <w:rFonts w:asciiTheme="minorHAnsi" w:hAnsiTheme="minorHAnsi" w:cstheme="minorHAnsi"/>
          <w:color w:val="000000" w:themeColor="text1"/>
        </w:rPr>
        <w:t>Le points II.3.5 (Infrastructures) est assimilé à la rubrique BTP du rapport annuel de la BCM.</w:t>
      </w:r>
    </w:p>
    <w:p w14:paraId="5019A525" w14:textId="77777777" w:rsidR="00412F22" w:rsidRPr="009852B2" w:rsidRDefault="00412F22" w:rsidP="00412F22">
      <w:pPr>
        <w:pStyle w:val="Corpsdetexte"/>
        <w:spacing w:line="276" w:lineRule="auto"/>
        <w:ind w:left="720" w:right="1279"/>
        <w:rPr>
          <w:rFonts w:asciiTheme="minorHAnsi" w:hAnsiTheme="minorHAnsi" w:cstheme="minorHAnsi"/>
          <w:color w:val="000000" w:themeColor="text1"/>
          <w:sz w:val="10"/>
          <w:szCs w:val="10"/>
        </w:rPr>
      </w:pPr>
    </w:p>
    <w:p w14:paraId="02E1498C" w14:textId="77777777" w:rsidR="00412F22" w:rsidRDefault="00412F22" w:rsidP="00412F22">
      <w:pPr>
        <w:pStyle w:val="Corpsdetexte"/>
        <w:spacing w:line="276" w:lineRule="auto"/>
        <w:ind w:left="720" w:right="1279"/>
        <w:rPr>
          <w:rFonts w:asciiTheme="minorHAnsi" w:hAnsiTheme="minorHAnsi" w:cstheme="minorHAnsi"/>
          <w:color w:val="000000" w:themeColor="text1"/>
        </w:rPr>
      </w:pPr>
      <w:r>
        <w:rPr>
          <w:rFonts w:asciiTheme="minorHAnsi" w:hAnsiTheme="minorHAnsi" w:cstheme="minorHAnsi"/>
          <w:color w:val="000000" w:themeColor="text1"/>
        </w:rPr>
        <w:t>Les contributions de ces secteurs sont données ci-après.</w:t>
      </w:r>
    </w:p>
    <w:p w14:paraId="17CF2FD1" w14:textId="77777777" w:rsidR="00412F22" w:rsidRPr="009852B2" w:rsidRDefault="00412F22" w:rsidP="00412F22">
      <w:pPr>
        <w:pStyle w:val="Corpsdetexte"/>
        <w:spacing w:line="276" w:lineRule="auto"/>
        <w:ind w:left="720" w:right="1279"/>
        <w:rPr>
          <w:rFonts w:asciiTheme="minorHAnsi" w:hAnsiTheme="minorHAnsi" w:cstheme="minorHAnsi"/>
          <w:color w:val="000000" w:themeColor="text1"/>
          <w:sz w:val="10"/>
          <w:szCs w:val="10"/>
        </w:rPr>
      </w:pPr>
    </w:p>
    <w:p w14:paraId="026A2200" w14:textId="77777777" w:rsidR="00412F22" w:rsidRPr="001E0152" w:rsidRDefault="00412F22" w:rsidP="00412F22">
      <w:pPr>
        <w:pStyle w:val="Lgende"/>
        <w:ind w:left="-284"/>
        <w:jc w:val="center"/>
        <w:rPr>
          <w:b/>
          <w:bCs/>
          <w:i w:val="0"/>
          <w:iCs w:val="0"/>
          <w:color w:val="000000" w:themeColor="text1"/>
          <w:sz w:val="22"/>
          <w:szCs w:val="22"/>
        </w:rPr>
      </w:pPr>
      <w:bookmarkStart w:id="723" w:name="_Toc192462644"/>
      <w:r w:rsidRPr="001E0152">
        <w:rPr>
          <w:b/>
          <w:bCs/>
          <w:i w:val="0"/>
          <w:iCs w:val="0"/>
          <w:color w:val="000000" w:themeColor="text1"/>
          <w:sz w:val="22"/>
          <w:szCs w:val="22"/>
        </w:rPr>
        <w:t xml:space="preserve">Tableau </w:t>
      </w:r>
      <w:r w:rsidRPr="001E0152">
        <w:rPr>
          <w:b/>
          <w:bCs/>
          <w:i w:val="0"/>
          <w:iCs w:val="0"/>
          <w:color w:val="000000" w:themeColor="text1"/>
          <w:sz w:val="22"/>
          <w:szCs w:val="22"/>
        </w:rPr>
        <w:fldChar w:fldCharType="begin"/>
      </w:r>
      <w:r w:rsidRPr="001E0152">
        <w:rPr>
          <w:b/>
          <w:bCs/>
          <w:i w:val="0"/>
          <w:iCs w:val="0"/>
          <w:color w:val="000000" w:themeColor="text1"/>
          <w:sz w:val="22"/>
          <w:szCs w:val="22"/>
        </w:rPr>
        <w:instrText xml:space="preserve"> SEQ Tableau \* ARABIC </w:instrText>
      </w:r>
      <w:r w:rsidRPr="001E0152">
        <w:rPr>
          <w:b/>
          <w:bCs/>
          <w:i w:val="0"/>
          <w:iCs w:val="0"/>
          <w:color w:val="000000" w:themeColor="text1"/>
          <w:sz w:val="22"/>
          <w:szCs w:val="22"/>
        </w:rPr>
        <w:fldChar w:fldCharType="separate"/>
      </w:r>
      <w:r w:rsidRPr="001E0152">
        <w:rPr>
          <w:b/>
          <w:bCs/>
          <w:i w:val="0"/>
          <w:iCs w:val="0"/>
          <w:noProof/>
          <w:color w:val="000000" w:themeColor="text1"/>
          <w:sz w:val="22"/>
          <w:szCs w:val="22"/>
        </w:rPr>
        <w:t>1</w:t>
      </w:r>
      <w:r w:rsidRPr="001E0152">
        <w:rPr>
          <w:b/>
          <w:bCs/>
          <w:i w:val="0"/>
          <w:iCs w:val="0"/>
          <w:color w:val="000000" w:themeColor="text1"/>
          <w:sz w:val="22"/>
          <w:szCs w:val="22"/>
        </w:rPr>
        <w:fldChar w:fldCharType="end"/>
      </w:r>
      <w:r w:rsidRPr="001E0152">
        <w:rPr>
          <w:b/>
          <w:bCs/>
          <w:i w:val="0"/>
          <w:iCs w:val="0"/>
          <w:color w:val="000000" w:themeColor="text1"/>
          <w:sz w:val="22"/>
          <w:szCs w:val="22"/>
        </w:rPr>
        <w:t> : Contribution des secteurs au PIB</w:t>
      </w:r>
      <w:bookmarkEnd w:id="723"/>
    </w:p>
    <w:tbl>
      <w:tblPr>
        <w:tblStyle w:val="TableNormal"/>
        <w:tblW w:w="77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852"/>
        <w:gridCol w:w="682"/>
        <w:gridCol w:w="685"/>
        <w:gridCol w:w="682"/>
        <w:gridCol w:w="643"/>
      </w:tblGrid>
      <w:tr w:rsidR="00412F22" w:rsidRPr="0016301A" w14:paraId="6DA62B0C" w14:textId="77777777" w:rsidTr="00EE0E23">
        <w:trPr>
          <w:trHeight w:val="229"/>
        </w:trPr>
        <w:tc>
          <w:tcPr>
            <w:tcW w:w="7797" w:type="dxa"/>
            <w:gridSpan w:val="6"/>
            <w:shd w:val="clear" w:color="auto" w:fill="FFFF00"/>
          </w:tcPr>
          <w:p w14:paraId="3CA6FF8A" w14:textId="77777777" w:rsidR="00412F22" w:rsidRPr="0016301A" w:rsidRDefault="00412F22" w:rsidP="00EE0E23">
            <w:pPr>
              <w:pStyle w:val="TableParagraph"/>
              <w:spacing w:line="210" w:lineRule="exact"/>
              <w:ind w:left="16"/>
              <w:jc w:val="center"/>
              <w:rPr>
                <w:b/>
                <w:color w:val="000000" w:themeColor="text1"/>
                <w:sz w:val="20"/>
                <w:lang w:val="fr-FR"/>
              </w:rPr>
            </w:pPr>
            <w:r w:rsidRPr="0016301A">
              <w:rPr>
                <w:b/>
                <w:color w:val="000000" w:themeColor="text1"/>
                <w:sz w:val="20"/>
                <w:lang w:val="fr-FR"/>
              </w:rPr>
              <w:t>Répartition</w:t>
            </w:r>
            <w:r w:rsidRPr="0016301A">
              <w:rPr>
                <w:b/>
                <w:color w:val="000000" w:themeColor="text1"/>
                <w:spacing w:val="-6"/>
                <w:sz w:val="20"/>
                <w:lang w:val="fr-FR"/>
              </w:rPr>
              <w:t xml:space="preserve"> </w:t>
            </w:r>
            <w:r w:rsidRPr="0016301A">
              <w:rPr>
                <w:b/>
                <w:color w:val="000000" w:themeColor="text1"/>
                <w:sz w:val="20"/>
                <w:lang w:val="fr-FR"/>
              </w:rPr>
              <w:t>sectorielle</w:t>
            </w:r>
            <w:r w:rsidRPr="0016301A">
              <w:rPr>
                <w:b/>
                <w:color w:val="000000" w:themeColor="text1"/>
                <w:spacing w:val="-5"/>
                <w:sz w:val="20"/>
                <w:lang w:val="fr-FR"/>
              </w:rPr>
              <w:t xml:space="preserve"> </w:t>
            </w:r>
            <w:r w:rsidRPr="0016301A">
              <w:rPr>
                <w:b/>
                <w:color w:val="000000" w:themeColor="text1"/>
                <w:sz w:val="20"/>
                <w:lang w:val="fr-FR"/>
              </w:rPr>
              <w:t>du</w:t>
            </w:r>
            <w:r w:rsidRPr="0016301A">
              <w:rPr>
                <w:b/>
                <w:color w:val="000000" w:themeColor="text1"/>
                <w:spacing w:val="-5"/>
                <w:sz w:val="20"/>
                <w:lang w:val="fr-FR"/>
              </w:rPr>
              <w:t xml:space="preserve"> </w:t>
            </w:r>
            <w:r w:rsidRPr="0016301A">
              <w:rPr>
                <w:b/>
                <w:color w:val="000000" w:themeColor="text1"/>
                <w:sz w:val="20"/>
                <w:lang w:val="fr-FR"/>
              </w:rPr>
              <w:t>PIB</w:t>
            </w:r>
            <w:r w:rsidRPr="0016301A">
              <w:rPr>
                <w:b/>
                <w:color w:val="000000" w:themeColor="text1"/>
                <w:spacing w:val="-6"/>
                <w:sz w:val="20"/>
                <w:lang w:val="fr-FR"/>
              </w:rPr>
              <w:t xml:space="preserve"> </w:t>
            </w:r>
            <w:r w:rsidRPr="0016301A">
              <w:rPr>
                <w:b/>
                <w:color w:val="000000" w:themeColor="text1"/>
                <w:sz w:val="20"/>
                <w:lang w:val="fr-FR"/>
              </w:rPr>
              <w:t>courant</w:t>
            </w:r>
            <w:r w:rsidRPr="0016301A">
              <w:rPr>
                <w:b/>
                <w:color w:val="000000" w:themeColor="text1"/>
                <w:spacing w:val="-5"/>
                <w:sz w:val="20"/>
                <w:lang w:val="fr-FR"/>
              </w:rPr>
              <w:t xml:space="preserve"> </w:t>
            </w:r>
            <w:r w:rsidRPr="0016301A">
              <w:rPr>
                <w:b/>
                <w:color w:val="000000" w:themeColor="text1"/>
                <w:sz w:val="20"/>
                <w:lang w:val="fr-FR"/>
              </w:rPr>
              <w:t>(En</w:t>
            </w:r>
            <w:r w:rsidRPr="0016301A">
              <w:rPr>
                <w:b/>
                <w:color w:val="000000" w:themeColor="text1"/>
                <w:spacing w:val="-5"/>
                <w:sz w:val="20"/>
                <w:lang w:val="fr-FR"/>
              </w:rPr>
              <w:t xml:space="preserve"> %)</w:t>
            </w:r>
            <w:r w:rsidRPr="0016301A">
              <w:rPr>
                <w:b/>
                <w:color w:val="000000" w:themeColor="text1"/>
                <w:sz w:val="20"/>
                <w:lang w:val="fr-FR"/>
              </w:rPr>
              <w:t xml:space="preserve"> (En</w:t>
            </w:r>
            <w:r w:rsidRPr="0016301A">
              <w:rPr>
                <w:b/>
                <w:color w:val="000000" w:themeColor="text1"/>
                <w:spacing w:val="-5"/>
                <w:sz w:val="20"/>
                <w:lang w:val="fr-FR"/>
              </w:rPr>
              <w:t xml:space="preserve"> </w:t>
            </w:r>
            <w:r w:rsidRPr="0016301A">
              <w:rPr>
                <w:b/>
                <w:color w:val="000000" w:themeColor="text1"/>
                <w:sz w:val="20"/>
                <w:lang w:val="fr-FR"/>
              </w:rPr>
              <w:t>Milliards</w:t>
            </w:r>
            <w:r w:rsidRPr="0016301A">
              <w:rPr>
                <w:b/>
                <w:color w:val="000000" w:themeColor="text1"/>
                <w:spacing w:val="-5"/>
                <w:sz w:val="20"/>
                <w:lang w:val="fr-FR"/>
              </w:rPr>
              <w:t xml:space="preserve"> </w:t>
            </w:r>
            <w:r w:rsidRPr="0016301A">
              <w:rPr>
                <w:b/>
                <w:color w:val="000000" w:themeColor="text1"/>
                <w:spacing w:val="-4"/>
                <w:sz w:val="20"/>
                <w:lang w:val="fr-FR"/>
              </w:rPr>
              <w:t>MRU)</w:t>
            </w:r>
          </w:p>
        </w:tc>
      </w:tr>
      <w:tr w:rsidR="00412F22" w:rsidRPr="0016301A" w14:paraId="79ABCD63" w14:textId="77777777" w:rsidTr="00EE0E23">
        <w:trPr>
          <w:trHeight w:val="237"/>
        </w:trPr>
        <w:tc>
          <w:tcPr>
            <w:tcW w:w="4253" w:type="dxa"/>
            <w:shd w:val="clear" w:color="auto" w:fill="auto"/>
          </w:tcPr>
          <w:p w14:paraId="1ACE5B01" w14:textId="77777777" w:rsidR="00412F22" w:rsidRPr="0016301A" w:rsidRDefault="00412F22" w:rsidP="00EE0E23">
            <w:pPr>
              <w:pStyle w:val="TableParagraph"/>
              <w:spacing w:line="207" w:lineRule="exact"/>
              <w:ind w:left="2124"/>
              <w:rPr>
                <w:b/>
                <w:color w:val="000000" w:themeColor="text1"/>
                <w:sz w:val="18"/>
              </w:rPr>
            </w:pPr>
            <w:r w:rsidRPr="0016301A">
              <w:rPr>
                <w:b/>
                <w:color w:val="000000" w:themeColor="text1"/>
                <w:sz w:val="18"/>
                <w:lang w:val="fr-FR"/>
              </w:rPr>
              <w:t>Rubriques</w:t>
            </w:r>
          </w:p>
        </w:tc>
        <w:tc>
          <w:tcPr>
            <w:tcW w:w="852" w:type="dxa"/>
            <w:shd w:val="clear" w:color="auto" w:fill="auto"/>
          </w:tcPr>
          <w:p w14:paraId="798601B6" w14:textId="77777777" w:rsidR="00412F22" w:rsidRPr="0016301A" w:rsidRDefault="00412F22" w:rsidP="00EE0E23">
            <w:pPr>
              <w:pStyle w:val="TableParagraph"/>
              <w:spacing w:line="207" w:lineRule="exact"/>
              <w:ind w:left="20" w:right="3"/>
              <w:rPr>
                <w:b/>
                <w:color w:val="000000" w:themeColor="text1"/>
                <w:sz w:val="18"/>
              </w:rPr>
            </w:pPr>
            <w:r w:rsidRPr="0016301A">
              <w:rPr>
                <w:b/>
                <w:color w:val="000000" w:themeColor="text1"/>
                <w:spacing w:val="-4"/>
                <w:sz w:val="18"/>
              </w:rPr>
              <w:t>2019</w:t>
            </w:r>
          </w:p>
        </w:tc>
        <w:tc>
          <w:tcPr>
            <w:tcW w:w="682" w:type="dxa"/>
            <w:shd w:val="clear" w:color="auto" w:fill="auto"/>
          </w:tcPr>
          <w:p w14:paraId="24FCA6D8" w14:textId="77777777" w:rsidR="00412F22" w:rsidRPr="0016301A" w:rsidRDefault="00412F22" w:rsidP="00EE0E23">
            <w:pPr>
              <w:pStyle w:val="TableParagraph"/>
              <w:spacing w:line="207" w:lineRule="exact"/>
              <w:ind w:left="20" w:right="2"/>
              <w:rPr>
                <w:b/>
                <w:color w:val="000000" w:themeColor="text1"/>
                <w:sz w:val="18"/>
              </w:rPr>
            </w:pPr>
            <w:r w:rsidRPr="0016301A">
              <w:rPr>
                <w:b/>
                <w:color w:val="000000" w:themeColor="text1"/>
                <w:spacing w:val="-4"/>
                <w:sz w:val="18"/>
              </w:rPr>
              <w:t>2020</w:t>
            </w:r>
          </w:p>
        </w:tc>
        <w:tc>
          <w:tcPr>
            <w:tcW w:w="685" w:type="dxa"/>
            <w:shd w:val="clear" w:color="auto" w:fill="auto"/>
          </w:tcPr>
          <w:p w14:paraId="0B996C89" w14:textId="77777777" w:rsidR="00412F22" w:rsidRPr="0016301A" w:rsidRDefault="00412F22" w:rsidP="00EE0E23">
            <w:pPr>
              <w:pStyle w:val="TableParagraph"/>
              <w:spacing w:line="207" w:lineRule="exact"/>
              <w:ind w:left="20"/>
              <w:rPr>
                <w:b/>
                <w:color w:val="000000" w:themeColor="text1"/>
                <w:sz w:val="18"/>
              </w:rPr>
            </w:pPr>
            <w:r w:rsidRPr="0016301A">
              <w:rPr>
                <w:b/>
                <w:color w:val="000000" w:themeColor="text1"/>
                <w:spacing w:val="-4"/>
                <w:sz w:val="18"/>
              </w:rPr>
              <w:t>2021</w:t>
            </w:r>
          </w:p>
        </w:tc>
        <w:tc>
          <w:tcPr>
            <w:tcW w:w="682" w:type="dxa"/>
            <w:shd w:val="clear" w:color="auto" w:fill="auto"/>
          </w:tcPr>
          <w:p w14:paraId="17E582DD" w14:textId="77777777" w:rsidR="00412F22" w:rsidRPr="0016301A" w:rsidRDefault="00412F22" w:rsidP="00EE0E23">
            <w:pPr>
              <w:pStyle w:val="TableParagraph"/>
              <w:spacing w:line="207" w:lineRule="exact"/>
              <w:ind w:left="20" w:right="3"/>
              <w:rPr>
                <w:b/>
                <w:color w:val="000000" w:themeColor="text1"/>
                <w:sz w:val="18"/>
              </w:rPr>
            </w:pPr>
            <w:r w:rsidRPr="0016301A">
              <w:rPr>
                <w:b/>
                <w:color w:val="000000" w:themeColor="text1"/>
                <w:spacing w:val="-4"/>
                <w:sz w:val="18"/>
              </w:rPr>
              <w:t>2022</w:t>
            </w:r>
          </w:p>
        </w:tc>
        <w:tc>
          <w:tcPr>
            <w:tcW w:w="643" w:type="dxa"/>
            <w:shd w:val="clear" w:color="auto" w:fill="auto"/>
          </w:tcPr>
          <w:p w14:paraId="5ADA0983" w14:textId="77777777" w:rsidR="00412F22" w:rsidRPr="0016301A" w:rsidRDefault="00412F22" w:rsidP="00EE0E23">
            <w:pPr>
              <w:pStyle w:val="TableParagraph"/>
              <w:spacing w:line="207" w:lineRule="exact"/>
              <w:ind w:left="20"/>
              <w:rPr>
                <w:b/>
                <w:color w:val="000000" w:themeColor="text1"/>
                <w:sz w:val="18"/>
              </w:rPr>
            </w:pPr>
            <w:r w:rsidRPr="0016301A">
              <w:rPr>
                <w:b/>
                <w:color w:val="000000" w:themeColor="text1"/>
                <w:spacing w:val="-2"/>
                <w:sz w:val="18"/>
              </w:rPr>
              <w:t>2023*</w:t>
            </w:r>
          </w:p>
        </w:tc>
      </w:tr>
      <w:tr w:rsidR="00412F22" w:rsidRPr="0016301A" w14:paraId="2C670709" w14:textId="77777777" w:rsidTr="00EE0E23">
        <w:trPr>
          <w:trHeight w:val="237"/>
        </w:trPr>
        <w:tc>
          <w:tcPr>
            <w:tcW w:w="4253" w:type="dxa"/>
            <w:tcBorders>
              <w:left w:val="single" w:sz="8" w:space="0" w:color="000000"/>
              <w:bottom w:val="single" w:sz="8" w:space="0" w:color="000000"/>
              <w:right w:val="single" w:sz="8" w:space="0" w:color="000000"/>
            </w:tcBorders>
            <w:shd w:val="clear" w:color="auto" w:fill="C5DFB3"/>
          </w:tcPr>
          <w:p w14:paraId="4EF35742" w14:textId="77777777" w:rsidR="00412F22" w:rsidRPr="0016301A" w:rsidRDefault="00412F22" w:rsidP="00EE0E23">
            <w:pPr>
              <w:pStyle w:val="TableParagraph"/>
              <w:spacing w:line="207" w:lineRule="exact"/>
              <w:rPr>
                <w:color w:val="000000" w:themeColor="text1"/>
                <w:sz w:val="18"/>
                <w:lang w:val="fr-FR"/>
              </w:rPr>
            </w:pPr>
            <w:r w:rsidRPr="0016301A">
              <w:rPr>
                <w:color w:val="000000" w:themeColor="text1"/>
                <w:sz w:val="18"/>
                <w:lang w:val="fr-FR"/>
              </w:rPr>
              <w:t>Agriculture,</w:t>
            </w:r>
            <w:r w:rsidRPr="0016301A">
              <w:rPr>
                <w:color w:val="000000" w:themeColor="text1"/>
                <w:spacing w:val="-2"/>
                <w:sz w:val="18"/>
                <w:lang w:val="fr-FR"/>
              </w:rPr>
              <w:t xml:space="preserve"> </w:t>
            </w:r>
            <w:r w:rsidRPr="0016301A">
              <w:rPr>
                <w:color w:val="000000" w:themeColor="text1"/>
                <w:sz w:val="18"/>
                <w:lang w:val="fr-FR"/>
              </w:rPr>
              <w:t>Sylviculture</w:t>
            </w:r>
            <w:r w:rsidRPr="0016301A">
              <w:rPr>
                <w:color w:val="000000" w:themeColor="text1"/>
                <w:spacing w:val="-4"/>
                <w:sz w:val="18"/>
                <w:lang w:val="fr-FR"/>
              </w:rPr>
              <w:t xml:space="preserve"> </w:t>
            </w:r>
            <w:r w:rsidRPr="0016301A">
              <w:rPr>
                <w:color w:val="000000" w:themeColor="text1"/>
                <w:sz w:val="18"/>
                <w:lang w:val="fr-FR"/>
              </w:rPr>
              <w:t>et</w:t>
            </w:r>
            <w:r w:rsidRPr="0016301A">
              <w:rPr>
                <w:color w:val="000000" w:themeColor="text1"/>
                <w:spacing w:val="-1"/>
                <w:sz w:val="18"/>
                <w:lang w:val="fr-FR"/>
              </w:rPr>
              <w:t xml:space="preserve"> </w:t>
            </w:r>
            <w:r w:rsidRPr="0016301A">
              <w:rPr>
                <w:color w:val="000000" w:themeColor="text1"/>
                <w:sz w:val="18"/>
                <w:lang w:val="fr-FR"/>
              </w:rPr>
              <w:t>Exploit</w:t>
            </w:r>
            <w:r>
              <w:rPr>
                <w:color w:val="000000" w:themeColor="text1"/>
                <w:sz w:val="18"/>
                <w:lang w:val="fr-FR"/>
              </w:rPr>
              <w:t>ation</w:t>
            </w:r>
            <w:r w:rsidRPr="0016301A">
              <w:rPr>
                <w:color w:val="000000" w:themeColor="text1"/>
                <w:spacing w:val="-1"/>
                <w:sz w:val="18"/>
                <w:lang w:val="fr-FR"/>
              </w:rPr>
              <w:t xml:space="preserve"> </w:t>
            </w:r>
            <w:r w:rsidRPr="0016301A">
              <w:rPr>
                <w:color w:val="000000" w:themeColor="text1"/>
                <w:spacing w:val="-2"/>
                <w:sz w:val="18"/>
                <w:lang w:val="fr-FR"/>
              </w:rPr>
              <w:t>Forestière</w:t>
            </w:r>
          </w:p>
        </w:tc>
        <w:tc>
          <w:tcPr>
            <w:tcW w:w="852" w:type="dxa"/>
            <w:tcBorders>
              <w:left w:val="single" w:sz="8" w:space="0" w:color="000000"/>
              <w:bottom w:val="single" w:sz="8" w:space="0" w:color="000000"/>
              <w:right w:val="single" w:sz="8" w:space="0" w:color="000000"/>
            </w:tcBorders>
            <w:shd w:val="clear" w:color="auto" w:fill="C5DFB3"/>
          </w:tcPr>
          <w:p w14:paraId="68676866" w14:textId="77777777" w:rsidR="00412F22" w:rsidRPr="0016301A" w:rsidRDefault="00412F22" w:rsidP="00EE0E23">
            <w:pPr>
              <w:pStyle w:val="TableParagraph"/>
              <w:spacing w:before="4"/>
              <w:ind w:left="20" w:right="3"/>
              <w:rPr>
                <w:color w:val="000000" w:themeColor="text1"/>
                <w:sz w:val="18"/>
              </w:rPr>
            </w:pPr>
            <w:r w:rsidRPr="0016301A">
              <w:rPr>
                <w:color w:val="000000" w:themeColor="text1"/>
                <w:spacing w:val="-5"/>
                <w:sz w:val="18"/>
              </w:rPr>
              <w:t>4,2</w:t>
            </w:r>
          </w:p>
        </w:tc>
        <w:tc>
          <w:tcPr>
            <w:tcW w:w="682" w:type="dxa"/>
            <w:tcBorders>
              <w:left w:val="single" w:sz="8" w:space="0" w:color="000000"/>
              <w:bottom w:val="single" w:sz="8" w:space="0" w:color="000000"/>
              <w:right w:val="single" w:sz="8" w:space="0" w:color="000000"/>
            </w:tcBorders>
            <w:shd w:val="clear" w:color="auto" w:fill="C5DFB3"/>
          </w:tcPr>
          <w:p w14:paraId="621D00B2" w14:textId="77777777" w:rsidR="00412F22" w:rsidRPr="0016301A" w:rsidRDefault="00412F22" w:rsidP="00EE0E23">
            <w:pPr>
              <w:pStyle w:val="TableParagraph"/>
              <w:spacing w:before="4"/>
              <w:ind w:left="20" w:right="2"/>
              <w:rPr>
                <w:color w:val="000000" w:themeColor="text1"/>
                <w:sz w:val="18"/>
              </w:rPr>
            </w:pPr>
            <w:r w:rsidRPr="0016301A">
              <w:rPr>
                <w:color w:val="000000" w:themeColor="text1"/>
                <w:spacing w:val="-5"/>
                <w:sz w:val="18"/>
              </w:rPr>
              <w:t>3,8</w:t>
            </w:r>
          </w:p>
        </w:tc>
        <w:tc>
          <w:tcPr>
            <w:tcW w:w="685" w:type="dxa"/>
            <w:tcBorders>
              <w:left w:val="single" w:sz="8" w:space="0" w:color="000000"/>
              <w:bottom w:val="single" w:sz="8" w:space="0" w:color="000000"/>
              <w:right w:val="single" w:sz="8" w:space="0" w:color="000000"/>
            </w:tcBorders>
            <w:shd w:val="clear" w:color="auto" w:fill="C5DFB3"/>
          </w:tcPr>
          <w:p w14:paraId="0DB09F3C" w14:textId="77777777" w:rsidR="00412F22" w:rsidRPr="0016301A" w:rsidRDefault="00412F22" w:rsidP="00EE0E23">
            <w:pPr>
              <w:pStyle w:val="TableParagraph"/>
              <w:spacing w:before="4"/>
              <w:ind w:left="20" w:right="2"/>
              <w:rPr>
                <w:color w:val="000000" w:themeColor="text1"/>
                <w:sz w:val="18"/>
              </w:rPr>
            </w:pPr>
            <w:r w:rsidRPr="0016301A">
              <w:rPr>
                <w:color w:val="000000" w:themeColor="text1"/>
                <w:spacing w:val="-5"/>
                <w:sz w:val="18"/>
              </w:rPr>
              <w:t>3,9</w:t>
            </w:r>
          </w:p>
        </w:tc>
        <w:tc>
          <w:tcPr>
            <w:tcW w:w="682" w:type="dxa"/>
            <w:tcBorders>
              <w:left w:val="single" w:sz="8" w:space="0" w:color="000000"/>
              <w:bottom w:val="single" w:sz="8" w:space="0" w:color="000000"/>
              <w:right w:val="single" w:sz="8" w:space="0" w:color="000000"/>
            </w:tcBorders>
            <w:shd w:val="clear" w:color="auto" w:fill="C5DFB3"/>
          </w:tcPr>
          <w:p w14:paraId="4BD969DB" w14:textId="77777777" w:rsidR="00412F22" w:rsidRPr="0016301A" w:rsidRDefault="00412F22" w:rsidP="00EE0E23">
            <w:pPr>
              <w:pStyle w:val="TableParagraph"/>
              <w:spacing w:before="4"/>
              <w:ind w:left="20" w:right="2"/>
              <w:rPr>
                <w:color w:val="000000" w:themeColor="text1"/>
                <w:sz w:val="18"/>
              </w:rPr>
            </w:pPr>
            <w:r w:rsidRPr="0016301A">
              <w:rPr>
                <w:color w:val="000000" w:themeColor="text1"/>
                <w:spacing w:val="-5"/>
                <w:sz w:val="18"/>
              </w:rPr>
              <w:t>5,3</w:t>
            </w:r>
          </w:p>
        </w:tc>
        <w:tc>
          <w:tcPr>
            <w:tcW w:w="643" w:type="dxa"/>
            <w:tcBorders>
              <w:left w:val="single" w:sz="8" w:space="0" w:color="000000"/>
              <w:bottom w:val="single" w:sz="8" w:space="0" w:color="000000"/>
              <w:right w:val="single" w:sz="8" w:space="0" w:color="000000"/>
            </w:tcBorders>
            <w:shd w:val="clear" w:color="auto" w:fill="C5DFB3"/>
          </w:tcPr>
          <w:p w14:paraId="6EBEE513" w14:textId="77777777" w:rsidR="00412F22" w:rsidRPr="0016301A" w:rsidRDefault="00412F22" w:rsidP="00EE0E23">
            <w:pPr>
              <w:pStyle w:val="TableParagraph"/>
              <w:spacing w:before="4"/>
              <w:ind w:left="20" w:right="10"/>
              <w:rPr>
                <w:color w:val="000000" w:themeColor="text1"/>
                <w:sz w:val="18"/>
              </w:rPr>
            </w:pPr>
            <w:r w:rsidRPr="0016301A">
              <w:rPr>
                <w:color w:val="000000" w:themeColor="text1"/>
                <w:spacing w:val="-5"/>
                <w:sz w:val="18"/>
              </w:rPr>
              <w:t>5,2</w:t>
            </w:r>
          </w:p>
        </w:tc>
      </w:tr>
      <w:tr w:rsidR="00412F22" w:rsidRPr="0016301A" w14:paraId="1BA92516" w14:textId="77777777" w:rsidTr="00EE0E23">
        <w:trPr>
          <w:trHeight w:val="315"/>
        </w:trPr>
        <w:tc>
          <w:tcPr>
            <w:tcW w:w="4253" w:type="dxa"/>
            <w:tcBorders>
              <w:top w:val="single" w:sz="8" w:space="0" w:color="000000"/>
            </w:tcBorders>
          </w:tcPr>
          <w:p w14:paraId="0785A4F0" w14:textId="77777777" w:rsidR="00412F22" w:rsidRPr="0016301A" w:rsidRDefault="00412F22" w:rsidP="00EE0E23">
            <w:pPr>
              <w:pStyle w:val="TableParagraph"/>
              <w:spacing w:before="2"/>
              <w:rPr>
                <w:color w:val="000000" w:themeColor="text1"/>
                <w:sz w:val="18"/>
              </w:rPr>
            </w:pPr>
            <w:proofErr w:type="spellStart"/>
            <w:r w:rsidRPr="0016301A">
              <w:rPr>
                <w:color w:val="000000" w:themeColor="text1"/>
                <w:sz w:val="18"/>
              </w:rPr>
              <w:t>Elevage</w:t>
            </w:r>
            <w:proofErr w:type="spellEnd"/>
            <w:r w:rsidRPr="0016301A">
              <w:rPr>
                <w:color w:val="000000" w:themeColor="text1"/>
                <w:spacing w:val="-2"/>
                <w:sz w:val="18"/>
              </w:rPr>
              <w:t xml:space="preserve"> </w:t>
            </w:r>
            <w:r w:rsidRPr="0016301A">
              <w:rPr>
                <w:color w:val="000000" w:themeColor="text1"/>
                <w:sz w:val="18"/>
              </w:rPr>
              <w:t xml:space="preserve">et </w:t>
            </w:r>
            <w:r w:rsidRPr="0016301A">
              <w:rPr>
                <w:color w:val="000000" w:themeColor="text1"/>
                <w:spacing w:val="-2"/>
                <w:sz w:val="18"/>
              </w:rPr>
              <w:t>chasse</w:t>
            </w:r>
          </w:p>
        </w:tc>
        <w:tc>
          <w:tcPr>
            <w:tcW w:w="852" w:type="dxa"/>
            <w:tcBorders>
              <w:top w:val="single" w:sz="8" w:space="0" w:color="000000"/>
            </w:tcBorders>
          </w:tcPr>
          <w:p w14:paraId="2D15354C" w14:textId="77777777" w:rsidR="00412F22" w:rsidRPr="0016301A" w:rsidRDefault="00412F22" w:rsidP="00EE0E23">
            <w:pPr>
              <w:pStyle w:val="TableParagraph"/>
              <w:spacing w:line="207" w:lineRule="exact"/>
              <w:ind w:left="20" w:right="3"/>
              <w:rPr>
                <w:color w:val="000000" w:themeColor="text1"/>
                <w:sz w:val="18"/>
              </w:rPr>
            </w:pPr>
            <w:r w:rsidRPr="0016301A">
              <w:rPr>
                <w:color w:val="000000" w:themeColor="text1"/>
                <w:spacing w:val="-5"/>
                <w:sz w:val="18"/>
              </w:rPr>
              <w:t>9,2</w:t>
            </w:r>
          </w:p>
        </w:tc>
        <w:tc>
          <w:tcPr>
            <w:tcW w:w="682" w:type="dxa"/>
            <w:tcBorders>
              <w:top w:val="single" w:sz="8" w:space="0" w:color="000000"/>
            </w:tcBorders>
          </w:tcPr>
          <w:p w14:paraId="21AA8199" w14:textId="77777777" w:rsidR="00412F22" w:rsidRPr="0016301A" w:rsidRDefault="00412F22" w:rsidP="00EE0E23">
            <w:pPr>
              <w:pStyle w:val="TableParagraph"/>
              <w:spacing w:line="207" w:lineRule="exact"/>
              <w:ind w:left="20" w:right="2"/>
              <w:rPr>
                <w:color w:val="000000" w:themeColor="text1"/>
                <w:sz w:val="18"/>
              </w:rPr>
            </w:pPr>
            <w:r w:rsidRPr="0016301A">
              <w:rPr>
                <w:color w:val="000000" w:themeColor="text1"/>
                <w:spacing w:val="-5"/>
                <w:sz w:val="18"/>
              </w:rPr>
              <w:t>9,0</w:t>
            </w:r>
          </w:p>
        </w:tc>
        <w:tc>
          <w:tcPr>
            <w:tcW w:w="685" w:type="dxa"/>
            <w:tcBorders>
              <w:top w:val="single" w:sz="8" w:space="0" w:color="000000"/>
            </w:tcBorders>
          </w:tcPr>
          <w:p w14:paraId="253A8E05" w14:textId="77777777" w:rsidR="00412F22" w:rsidRPr="0016301A" w:rsidRDefault="00412F22" w:rsidP="00EE0E23">
            <w:pPr>
              <w:pStyle w:val="TableParagraph"/>
              <w:spacing w:line="207" w:lineRule="exact"/>
              <w:ind w:left="20"/>
              <w:rPr>
                <w:color w:val="000000" w:themeColor="text1"/>
                <w:sz w:val="18"/>
              </w:rPr>
            </w:pPr>
            <w:r w:rsidRPr="0016301A">
              <w:rPr>
                <w:color w:val="000000" w:themeColor="text1"/>
                <w:spacing w:val="-4"/>
                <w:sz w:val="18"/>
              </w:rPr>
              <w:t>10,1</w:t>
            </w:r>
          </w:p>
        </w:tc>
        <w:tc>
          <w:tcPr>
            <w:tcW w:w="682" w:type="dxa"/>
            <w:tcBorders>
              <w:top w:val="single" w:sz="8" w:space="0" w:color="000000"/>
            </w:tcBorders>
          </w:tcPr>
          <w:p w14:paraId="52671B93" w14:textId="77777777" w:rsidR="00412F22" w:rsidRPr="0016301A" w:rsidRDefault="00412F22" w:rsidP="00EE0E23">
            <w:pPr>
              <w:pStyle w:val="TableParagraph"/>
              <w:spacing w:line="207" w:lineRule="exact"/>
              <w:ind w:left="20"/>
              <w:rPr>
                <w:color w:val="000000" w:themeColor="text1"/>
                <w:sz w:val="18"/>
              </w:rPr>
            </w:pPr>
            <w:r w:rsidRPr="0016301A">
              <w:rPr>
                <w:color w:val="000000" w:themeColor="text1"/>
                <w:spacing w:val="-4"/>
                <w:sz w:val="18"/>
              </w:rPr>
              <w:t>11,6</w:t>
            </w:r>
          </w:p>
        </w:tc>
        <w:tc>
          <w:tcPr>
            <w:tcW w:w="643" w:type="dxa"/>
            <w:tcBorders>
              <w:top w:val="single" w:sz="8" w:space="0" w:color="000000"/>
            </w:tcBorders>
          </w:tcPr>
          <w:p w14:paraId="5899B45C" w14:textId="77777777" w:rsidR="00412F22" w:rsidRPr="0016301A" w:rsidRDefault="00412F22" w:rsidP="00EE0E23">
            <w:pPr>
              <w:pStyle w:val="TableParagraph"/>
              <w:spacing w:line="207" w:lineRule="exact"/>
              <w:ind w:left="20" w:right="12"/>
              <w:rPr>
                <w:color w:val="000000" w:themeColor="text1"/>
                <w:sz w:val="18"/>
              </w:rPr>
            </w:pPr>
            <w:r w:rsidRPr="0016301A">
              <w:rPr>
                <w:color w:val="000000" w:themeColor="text1"/>
                <w:spacing w:val="-4"/>
                <w:sz w:val="18"/>
              </w:rPr>
              <w:t>10,7</w:t>
            </w:r>
          </w:p>
        </w:tc>
      </w:tr>
      <w:tr w:rsidR="00412F22" w:rsidRPr="0016301A" w14:paraId="56EA4A4C" w14:textId="77777777" w:rsidTr="00EE0E23">
        <w:trPr>
          <w:trHeight w:val="239"/>
        </w:trPr>
        <w:tc>
          <w:tcPr>
            <w:tcW w:w="4253" w:type="dxa"/>
            <w:tcBorders>
              <w:top w:val="single" w:sz="8" w:space="0" w:color="000000"/>
            </w:tcBorders>
          </w:tcPr>
          <w:p w14:paraId="4300738A" w14:textId="77777777" w:rsidR="00412F22" w:rsidRPr="0016301A" w:rsidRDefault="00412F22" w:rsidP="00EE0E23">
            <w:pPr>
              <w:pStyle w:val="TableParagraph"/>
              <w:rPr>
                <w:color w:val="000000" w:themeColor="text1"/>
                <w:sz w:val="18"/>
              </w:rPr>
            </w:pPr>
            <w:proofErr w:type="spellStart"/>
            <w:r w:rsidRPr="0016301A">
              <w:rPr>
                <w:color w:val="000000" w:themeColor="text1"/>
                <w:sz w:val="18"/>
              </w:rPr>
              <w:t>Bâtiment</w:t>
            </w:r>
            <w:proofErr w:type="spellEnd"/>
            <w:r w:rsidRPr="0016301A">
              <w:rPr>
                <w:color w:val="000000" w:themeColor="text1"/>
                <w:spacing w:val="-1"/>
                <w:sz w:val="18"/>
              </w:rPr>
              <w:t xml:space="preserve"> </w:t>
            </w:r>
            <w:r w:rsidRPr="0016301A">
              <w:rPr>
                <w:color w:val="000000" w:themeColor="text1"/>
                <w:sz w:val="18"/>
              </w:rPr>
              <w:t>et</w:t>
            </w:r>
            <w:r w:rsidRPr="0016301A">
              <w:rPr>
                <w:color w:val="000000" w:themeColor="text1"/>
                <w:spacing w:val="-2"/>
                <w:sz w:val="18"/>
              </w:rPr>
              <w:t xml:space="preserve"> </w:t>
            </w:r>
            <w:r w:rsidRPr="0016301A">
              <w:rPr>
                <w:color w:val="000000" w:themeColor="text1"/>
                <w:sz w:val="18"/>
              </w:rPr>
              <w:t>travaux-</w:t>
            </w:r>
            <w:r w:rsidRPr="0016301A">
              <w:rPr>
                <w:color w:val="000000" w:themeColor="text1"/>
                <w:spacing w:val="-2"/>
                <w:sz w:val="18"/>
              </w:rPr>
              <w:t>publics</w:t>
            </w:r>
          </w:p>
        </w:tc>
        <w:tc>
          <w:tcPr>
            <w:tcW w:w="852" w:type="dxa"/>
            <w:tcBorders>
              <w:top w:val="single" w:sz="8" w:space="0" w:color="000000"/>
            </w:tcBorders>
          </w:tcPr>
          <w:p w14:paraId="035D57F8" w14:textId="77777777" w:rsidR="00412F22" w:rsidRPr="0016301A" w:rsidRDefault="00412F22" w:rsidP="00EE0E23">
            <w:pPr>
              <w:pStyle w:val="TableParagraph"/>
              <w:spacing w:line="207" w:lineRule="exact"/>
              <w:ind w:left="20"/>
              <w:rPr>
                <w:b/>
                <w:color w:val="000000" w:themeColor="text1"/>
                <w:sz w:val="18"/>
              </w:rPr>
            </w:pPr>
            <w:r w:rsidRPr="0016301A">
              <w:rPr>
                <w:b/>
                <w:color w:val="000000" w:themeColor="text1"/>
                <w:sz w:val="18"/>
              </w:rPr>
              <w:t>4,7</w:t>
            </w:r>
          </w:p>
        </w:tc>
        <w:tc>
          <w:tcPr>
            <w:tcW w:w="682" w:type="dxa"/>
            <w:tcBorders>
              <w:top w:val="single" w:sz="8" w:space="0" w:color="000000"/>
            </w:tcBorders>
          </w:tcPr>
          <w:p w14:paraId="2F04689C" w14:textId="77777777" w:rsidR="00412F22" w:rsidRPr="0016301A" w:rsidRDefault="00412F22" w:rsidP="00EE0E23">
            <w:pPr>
              <w:pStyle w:val="TableParagraph"/>
              <w:spacing w:line="207" w:lineRule="exact"/>
              <w:ind w:left="20"/>
              <w:rPr>
                <w:b/>
                <w:color w:val="000000" w:themeColor="text1"/>
                <w:sz w:val="18"/>
              </w:rPr>
            </w:pPr>
            <w:r w:rsidRPr="0016301A">
              <w:rPr>
                <w:b/>
                <w:color w:val="000000" w:themeColor="text1"/>
                <w:sz w:val="18"/>
              </w:rPr>
              <w:t>3,8</w:t>
            </w:r>
          </w:p>
        </w:tc>
        <w:tc>
          <w:tcPr>
            <w:tcW w:w="685" w:type="dxa"/>
            <w:tcBorders>
              <w:top w:val="single" w:sz="8" w:space="0" w:color="000000"/>
            </w:tcBorders>
          </w:tcPr>
          <w:p w14:paraId="572E0642" w14:textId="77777777" w:rsidR="00412F22" w:rsidRPr="0016301A" w:rsidRDefault="00412F22" w:rsidP="00EE0E23">
            <w:pPr>
              <w:pStyle w:val="TableParagraph"/>
              <w:spacing w:line="207" w:lineRule="exact"/>
              <w:ind w:left="20"/>
              <w:rPr>
                <w:b/>
                <w:color w:val="000000" w:themeColor="text1"/>
                <w:sz w:val="18"/>
              </w:rPr>
            </w:pPr>
            <w:r w:rsidRPr="0016301A">
              <w:rPr>
                <w:b/>
                <w:color w:val="000000" w:themeColor="text1"/>
                <w:sz w:val="18"/>
              </w:rPr>
              <w:t>3,7</w:t>
            </w:r>
          </w:p>
        </w:tc>
        <w:tc>
          <w:tcPr>
            <w:tcW w:w="682" w:type="dxa"/>
            <w:tcBorders>
              <w:top w:val="single" w:sz="8" w:space="0" w:color="000000"/>
            </w:tcBorders>
          </w:tcPr>
          <w:p w14:paraId="1BB2E6CC" w14:textId="77777777" w:rsidR="00412F22" w:rsidRPr="0016301A" w:rsidRDefault="00412F22" w:rsidP="00EE0E23">
            <w:pPr>
              <w:pStyle w:val="TableParagraph"/>
              <w:spacing w:line="207" w:lineRule="exact"/>
              <w:ind w:left="20"/>
              <w:rPr>
                <w:b/>
                <w:color w:val="000000" w:themeColor="text1"/>
                <w:sz w:val="18"/>
              </w:rPr>
            </w:pPr>
            <w:r w:rsidRPr="0016301A">
              <w:rPr>
                <w:b/>
                <w:color w:val="000000" w:themeColor="text1"/>
                <w:sz w:val="18"/>
              </w:rPr>
              <w:t>3,4</w:t>
            </w:r>
          </w:p>
        </w:tc>
        <w:tc>
          <w:tcPr>
            <w:tcW w:w="643" w:type="dxa"/>
            <w:tcBorders>
              <w:top w:val="single" w:sz="8" w:space="0" w:color="000000"/>
            </w:tcBorders>
          </w:tcPr>
          <w:p w14:paraId="394CEB43" w14:textId="77777777" w:rsidR="00412F22" w:rsidRPr="0016301A" w:rsidRDefault="00412F22" w:rsidP="00EE0E23">
            <w:pPr>
              <w:pStyle w:val="TableParagraph"/>
              <w:spacing w:line="207" w:lineRule="exact"/>
              <w:ind w:left="20"/>
              <w:rPr>
                <w:b/>
                <w:color w:val="000000" w:themeColor="text1"/>
                <w:sz w:val="18"/>
              </w:rPr>
            </w:pPr>
            <w:r w:rsidRPr="0016301A">
              <w:rPr>
                <w:b/>
                <w:color w:val="000000" w:themeColor="text1"/>
                <w:sz w:val="18"/>
              </w:rPr>
              <w:t>3,3</w:t>
            </w:r>
          </w:p>
        </w:tc>
      </w:tr>
    </w:tbl>
    <w:p w14:paraId="75312118" w14:textId="77777777" w:rsidR="00412F22" w:rsidRPr="0016301A" w:rsidRDefault="00412F22" w:rsidP="00412F22">
      <w:pPr>
        <w:pStyle w:val="Corpsdetexte"/>
        <w:spacing w:line="276" w:lineRule="auto"/>
        <w:ind w:left="708"/>
        <w:rPr>
          <w:rFonts w:asciiTheme="minorHAnsi" w:hAnsiTheme="minorHAnsi" w:cstheme="minorHAnsi"/>
          <w:b/>
          <w:bCs/>
          <w:color w:val="000000" w:themeColor="text1"/>
          <w:sz w:val="20"/>
          <w:szCs w:val="20"/>
        </w:rPr>
      </w:pPr>
      <w:r w:rsidRPr="00FA3B50">
        <w:rPr>
          <w:rFonts w:asciiTheme="minorHAnsi" w:hAnsiTheme="minorHAnsi" w:cstheme="minorHAnsi"/>
          <w:b/>
          <w:bCs/>
          <w:color w:val="000000" w:themeColor="text1"/>
          <w:sz w:val="20"/>
          <w:szCs w:val="20"/>
        </w:rPr>
        <w:t>Source : Rapport annuel de 2023, de la Banque Centrale de Mauritanie (BCM).</w:t>
      </w:r>
      <w:r w:rsidRPr="0016301A">
        <w:rPr>
          <w:rFonts w:asciiTheme="minorHAnsi" w:hAnsiTheme="minorHAnsi" w:cstheme="minorHAnsi"/>
          <w:b/>
          <w:bCs/>
          <w:color w:val="000000" w:themeColor="text1"/>
          <w:sz w:val="20"/>
          <w:szCs w:val="20"/>
        </w:rPr>
        <w:t xml:space="preserve"> </w:t>
      </w:r>
    </w:p>
    <w:p w14:paraId="78CF8D9A" w14:textId="77777777" w:rsidR="00412F22" w:rsidRPr="0016301A" w:rsidRDefault="00412F22" w:rsidP="00412F22">
      <w:pPr>
        <w:pStyle w:val="Corpsdetexte"/>
        <w:spacing w:line="276" w:lineRule="auto"/>
        <w:ind w:left="-567" w:right="1279"/>
        <w:rPr>
          <w:rFonts w:asciiTheme="minorHAnsi" w:hAnsiTheme="minorHAnsi" w:cstheme="minorHAnsi"/>
          <w:color w:val="000000" w:themeColor="text1"/>
        </w:rPr>
      </w:pPr>
    </w:p>
    <w:p w14:paraId="4D783EC3" w14:textId="77777777" w:rsidR="00412F22" w:rsidRPr="0016301A" w:rsidRDefault="00412F22" w:rsidP="00412F22">
      <w:pPr>
        <w:pStyle w:val="Corpsdetexte"/>
        <w:spacing w:line="276" w:lineRule="auto"/>
        <w:ind w:right="1279"/>
        <w:rPr>
          <w:rFonts w:asciiTheme="minorHAnsi" w:hAnsiTheme="minorHAnsi" w:cstheme="minorHAnsi"/>
          <w:color w:val="000000" w:themeColor="text1"/>
        </w:rPr>
      </w:pPr>
      <w:r w:rsidRPr="0016301A">
        <w:rPr>
          <w:rFonts w:asciiTheme="minorHAnsi" w:hAnsiTheme="minorHAnsi" w:cstheme="minorHAnsi"/>
          <w:color w:val="000000" w:themeColor="text1"/>
        </w:rPr>
        <w:t>Les contributions, aux PIB sont estimées aux horizon 2050 et 2100, sur la base des données des scénarii climatiques</w:t>
      </w:r>
      <w:r>
        <w:rPr>
          <w:rFonts w:asciiTheme="minorHAnsi" w:hAnsiTheme="minorHAnsi" w:cstheme="minorHAnsi"/>
          <w:color w:val="000000" w:themeColor="text1"/>
        </w:rPr>
        <w:t xml:space="preserve"> et des considérations ci-après</w:t>
      </w:r>
      <w:r w:rsidRPr="0016301A">
        <w:rPr>
          <w:rFonts w:asciiTheme="minorHAnsi" w:hAnsiTheme="minorHAnsi" w:cstheme="minorHAnsi"/>
          <w:color w:val="000000" w:themeColor="text1"/>
        </w:rPr>
        <w:t> :</w:t>
      </w:r>
    </w:p>
    <w:p w14:paraId="190C9562" w14:textId="77777777" w:rsidR="00412F22" w:rsidRPr="00C31EAE" w:rsidRDefault="00412F22" w:rsidP="00412F22">
      <w:pPr>
        <w:pStyle w:val="Corpsdetexte"/>
        <w:spacing w:line="276" w:lineRule="auto"/>
        <w:ind w:left="-142" w:right="946"/>
        <w:rPr>
          <w:rFonts w:asciiTheme="minorHAnsi" w:hAnsiTheme="minorHAnsi" w:cstheme="minorHAnsi"/>
          <w:color w:val="000000" w:themeColor="text1"/>
          <w:sz w:val="12"/>
          <w:szCs w:val="12"/>
        </w:rPr>
      </w:pPr>
    </w:p>
    <w:p w14:paraId="12CBA294" w14:textId="77777777" w:rsidR="00412F22" w:rsidRPr="0016301A" w:rsidRDefault="00412F22" w:rsidP="00412F22">
      <w:pPr>
        <w:pStyle w:val="Corpsdetexte"/>
        <w:widowControl/>
        <w:numPr>
          <w:ilvl w:val="0"/>
          <w:numId w:val="205"/>
        </w:numPr>
        <w:autoSpaceDE/>
        <w:autoSpaceDN/>
        <w:spacing w:before="0" w:line="276" w:lineRule="auto"/>
        <w:ind w:left="426" w:right="1279" w:hanging="284"/>
        <w:rPr>
          <w:rFonts w:asciiTheme="minorHAnsi" w:hAnsiTheme="minorHAnsi" w:cstheme="minorHAnsi"/>
          <w:color w:val="000000" w:themeColor="text1"/>
        </w:rPr>
      </w:pPr>
      <w:r w:rsidRPr="0016301A">
        <w:rPr>
          <w:rFonts w:asciiTheme="minorHAnsi" w:hAnsiTheme="minorHAnsi" w:cstheme="minorHAnsi"/>
          <w:color w:val="000000" w:themeColor="text1"/>
        </w:rPr>
        <w:t>Perte de superficies cultivables pour l’agriculture</w:t>
      </w:r>
      <w:r>
        <w:rPr>
          <w:rFonts w:asciiTheme="minorHAnsi" w:hAnsiTheme="minorHAnsi" w:cstheme="minorHAnsi"/>
          <w:color w:val="000000" w:themeColor="text1"/>
        </w:rPr>
        <w:t xml:space="preserve"> </w:t>
      </w:r>
      <w:r w:rsidRPr="0016301A">
        <w:rPr>
          <w:rFonts w:asciiTheme="minorHAnsi" w:hAnsiTheme="minorHAnsi" w:cstheme="minorHAnsi"/>
          <w:color w:val="000000" w:themeColor="text1"/>
        </w:rPr>
        <w:t>: 6,25% à l’horizon 2050 et 12,5% à l’horizon 2100, en l’absence de données sur la part revenant à la foresterie sur la contribution de la rubrique « Agriculture, Sylviculture et Exploit</w:t>
      </w:r>
      <w:r>
        <w:rPr>
          <w:rFonts w:asciiTheme="minorHAnsi" w:hAnsiTheme="minorHAnsi" w:cstheme="minorHAnsi"/>
          <w:color w:val="000000" w:themeColor="text1"/>
        </w:rPr>
        <w:t>ation</w:t>
      </w:r>
      <w:r w:rsidRPr="0016301A">
        <w:rPr>
          <w:rFonts w:asciiTheme="minorHAnsi" w:hAnsiTheme="minorHAnsi" w:cstheme="minorHAnsi"/>
          <w:color w:val="000000" w:themeColor="text1"/>
        </w:rPr>
        <w:t xml:space="preserve"> Forestière », il est considéré 6,25% de perte pour toute cette rubrique.</w:t>
      </w:r>
    </w:p>
    <w:p w14:paraId="2928B04E" w14:textId="77777777" w:rsidR="00412F22" w:rsidRPr="009852B2" w:rsidRDefault="00412F22" w:rsidP="00412F22">
      <w:pPr>
        <w:pStyle w:val="Corpsdetexte"/>
        <w:spacing w:line="276" w:lineRule="auto"/>
        <w:ind w:right="1279"/>
        <w:rPr>
          <w:rFonts w:asciiTheme="minorHAnsi" w:hAnsiTheme="minorHAnsi" w:cstheme="minorHAnsi"/>
          <w:color w:val="000000" w:themeColor="text1"/>
          <w:sz w:val="6"/>
          <w:szCs w:val="6"/>
        </w:rPr>
      </w:pPr>
    </w:p>
    <w:p w14:paraId="19005E14" w14:textId="77777777" w:rsidR="00412F22" w:rsidRPr="0016301A" w:rsidRDefault="00412F22" w:rsidP="00412F22">
      <w:pPr>
        <w:pStyle w:val="Corpsdetexte"/>
        <w:widowControl/>
        <w:numPr>
          <w:ilvl w:val="0"/>
          <w:numId w:val="205"/>
        </w:numPr>
        <w:autoSpaceDE/>
        <w:autoSpaceDN/>
        <w:spacing w:before="0" w:line="276" w:lineRule="auto"/>
        <w:ind w:left="426" w:right="1279" w:hanging="284"/>
        <w:rPr>
          <w:rFonts w:asciiTheme="minorHAnsi" w:hAnsiTheme="minorHAnsi" w:cstheme="minorHAnsi"/>
          <w:color w:val="000000" w:themeColor="text1"/>
        </w:rPr>
      </w:pPr>
      <w:r w:rsidRPr="0016301A">
        <w:rPr>
          <w:rFonts w:asciiTheme="minorHAnsi" w:hAnsiTheme="minorHAnsi" w:cstheme="minorHAnsi"/>
          <w:color w:val="000000" w:themeColor="text1"/>
        </w:rPr>
        <w:t>Le taux de croissance du PIB national</w:t>
      </w:r>
      <w:r>
        <w:rPr>
          <w:rFonts w:asciiTheme="minorHAnsi" w:hAnsiTheme="minorHAnsi" w:cstheme="minorHAnsi"/>
          <w:color w:val="000000" w:themeColor="text1"/>
        </w:rPr>
        <w:t xml:space="preserve">, </w:t>
      </w:r>
      <w:r w:rsidRPr="0016301A">
        <w:rPr>
          <w:rFonts w:asciiTheme="minorHAnsi" w:hAnsiTheme="minorHAnsi" w:cstheme="minorHAnsi"/>
          <w:color w:val="000000" w:themeColor="text1"/>
        </w:rPr>
        <w:t xml:space="preserve">donné ci-dessous </w:t>
      </w:r>
      <w:r>
        <w:rPr>
          <w:rFonts w:asciiTheme="minorHAnsi" w:hAnsiTheme="minorHAnsi" w:cstheme="minorHAnsi"/>
          <w:color w:val="000000" w:themeColor="text1"/>
        </w:rPr>
        <w:t xml:space="preserve">sur la période </w:t>
      </w:r>
      <w:r w:rsidRPr="0016301A">
        <w:rPr>
          <w:rFonts w:asciiTheme="minorHAnsi" w:hAnsiTheme="minorHAnsi" w:cstheme="minorHAnsi"/>
          <w:color w:val="000000" w:themeColor="text1"/>
        </w:rPr>
        <w:t>2019 à 2023</w:t>
      </w:r>
      <w:r>
        <w:rPr>
          <w:rFonts w:asciiTheme="minorHAnsi" w:hAnsiTheme="minorHAnsi" w:cstheme="minorHAnsi"/>
          <w:color w:val="000000" w:themeColor="text1"/>
        </w:rPr>
        <w:t xml:space="preserve"> et donnant un taux moyen annuel de croissance du PIB de 7,84%.</w:t>
      </w:r>
    </w:p>
    <w:p w14:paraId="3E25F284" w14:textId="77777777" w:rsidR="00412F22" w:rsidRPr="0016301A" w:rsidRDefault="00412F22" w:rsidP="00412F22">
      <w:pPr>
        <w:pStyle w:val="Corpsdetexte"/>
        <w:rPr>
          <w:rFonts w:asciiTheme="minorHAnsi" w:hAnsiTheme="minorHAnsi" w:cstheme="minorHAnsi"/>
          <w:color w:val="000000" w:themeColor="text1"/>
        </w:rPr>
      </w:pPr>
    </w:p>
    <w:tbl>
      <w:tblPr>
        <w:tblStyle w:val="TableNormal"/>
        <w:tblpPr w:leftFromText="141" w:rightFromText="141" w:vertAnchor="text" w:horzAnchor="margin" w:tblpY="3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1"/>
        <w:gridCol w:w="643"/>
        <w:gridCol w:w="602"/>
        <w:gridCol w:w="595"/>
        <w:gridCol w:w="686"/>
        <w:gridCol w:w="786"/>
      </w:tblGrid>
      <w:tr w:rsidR="00412F22" w:rsidRPr="0016301A" w14:paraId="4AFDF48A" w14:textId="77777777" w:rsidTr="00EE0E23">
        <w:trPr>
          <w:trHeight w:val="248"/>
        </w:trPr>
        <w:tc>
          <w:tcPr>
            <w:tcW w:w="4531" w:type="dxa"/>
            <w:tcBorders>
              <w:top w:val="single" w:sz="4" w:space="0" w:color="auto"/>
              <w:left w:val="single" w:sz="4" w:space="0" w:color="auto"/>
              <w:bottom w:val="single" w:sz="4" w:space="0" w:color="auto"/>
              <w:right w:val="single" w:sz="4" w:space="0" w:color="auto"/>
            </w:tcBorders>
            <w:shd w:val="clear" w:color="auto" w:fill="FFFF00"/>
          </w:tcPr>
          <w:p w14:paraId="50D59635" w14:textId="77777777" w:rsidR="00412F22" w:rsidRPr="0016301A" w:rsidRDefault="00412F22" w:rsidP="00EE0E23">
            <w:pPr>
              <w:pStyle w:val="TableParagraph"/>
              <w:spacing w:before="11"/>
              <w:ind w:left="19"/>
              <w:rPr>
                <w:b/>
                <w:color w:val="000000" w:themeColor="text1"/>
                <w:sz w:val="18"/>
              </w:rPr>
            </w:pPr>
            <w:r w:rsidRPr="0016301A">
              <w:rPr>
                <w:b/>
                <w:color w:val="000000" w:themeColor="text1"/>
                <w:sz w:val="18"/>
              </w:rPr>
              <w:t xml:space="preserve">Années </w:t>
            </w:r>
          </w:p>
        </w:tc>
        <w:tc>
          <w:tcPr>
            <w:tcW w:w="643" w:type="dxa"/>
            <w:tcBorders>
              <w:top w:val="single" w:sz="4" w:space="0" w:color="auto"/>
              <w:left w:val="single" w:sz="4" w:space="0" w:color="auto"/>
              <w:bottom w:val="single" w:sz="4" w:space="0" w:color="auto"/>
              <w:right w:val="single" w:sz="4" w:space="0" w:color="auto"/>
            </w:tcBorders>
            <w:shd w:val="clear" w:color="auto" w:fill="FFFF00"/>
          </w:tcPr>
          <w:p w14:paraId="2CF04A71" w14:textId="77777777" w:rsidR="00412F22" w:rsidRPr="0016301A" w:rsidRDefault="00412F22" w:rsidP="00EE0E23">
            <w:pPr>
              <w:pStyle w:val="TableParagraph"/>
              <w:spacing w:before="6"/>
              <w:ind w:left="29"/>
              <w:rPr>
                <w:b/>
                <w:color w:val="000000" w:themeColor="text1"/>
                <w:sz w:val="18"/>
              </w:rPr>
            </w:pPr>
            <w:r w:rsidRPr="0016301A">
              <w:rPr>
                <w:b/>
                <w:color w:val="000000" w:themeColor="text1"/>
                <w:spacing w:val="-4"/>
                <w:sz w:val="18"/>
              </w:rPr>
              <w:t>2019</w:t>
            </w:r>
          </w:p>
        </w:tc>
        <w:tc>
          <w:tcPr>
            <w:tcW w:w="602" w:type="dxa"/>
            <w:tcBorders>
              <w:top w:val="single" w:sz="4" w:space="0" w:color="auto"/>
              <w:left w:val="single" w:sz="4" w:space="0" w:color="auto"/>
              <w:bottom w:val="single" w:sz="4" w:space="0" w:color="auto"/>
              <w:right w:val="single" w:sz="4" w:space="0" w:color="auto"/>
            </w:tcBorders>
            <w:shd w:val="clear" w:color="auto" w:fill="FFFF00"/>
          </w:tcPr>
          <w:p w14:paraId="1964AD11" w14:textId="77777777" w:rsidR="00412F22" w:rsidRPr="0016301A" w:rsidRDefault="00412F22" w:rsidP="00EE0E23">
            <w:pPr>
              <w:pStyle w:val="TableParagraph"/>
              <w:spacing w:before="6"/>
              <w:ind w:left="35" w:right="3"/>
              <w:rPr>
                <w:b/>
                <w:color w:val="000000" w:themeColor="text1"/>
                <w:sz w:val="18"/>
              </w:rPr>
            </w:pPr>
            <w:r w:rsidRPr="0016301A">
              <w:rPr>
                <w:b/>
                <w:color w:val="000000" w:themeColor="text1"/>
                <w:spacing w:val="-4"/>
                <w:sz w:val="18"/>
              </w:rPr>
              <w:t>2020</w:t>
            </w:r>
          </w:p>
        </w:tc>
        <w:tc>
          <w:tcPr>
            <w:tcW w:w="595" w:type="dxa"/>
            <w:tcBorders>
              <w:top w:val="single" w:sz="4" w:space="0" w:color="auto"/>
              <w:left w:val="single" w:sz="4" w:space="0" w:color="auto"/>
              <w:bottom w:val="single" w:sz="4" w:space="0" w:color="auto"/>
              <w:right w:val="single" w:sz="4" w:space="0" w:color="auto"/>
            </w:tcBorders>
            <w:shd w:val="clear" w:color="auto" w:fill="FFFF00"/>
          </w:tcPr>
          <w:p w14:paraId="46501AC0" w14:textId="77777777" w:rsidR="00412F22" w:rsidRPr="0016301A" w:rsidRDefault="00412F22" w:rsidP="00EE0E23">
            <w:pPr>
              <w:pStyle w:val="TableParagraph"/>
              <w:spacing w:before="6"/>
              <w:ind w:left="35"/>
              <w:rPr>
                <w:b/>
                <w:color w:val="000000" w:themeColor="text1"/>
                <w:sz w:val="18"/>
              </w:rPr>
            </w:pPr>
            <w:r w:rsidRPr="0016301A">
              <w:rPr>
                <w:b/>
                <w:color w:val="000000" w:themeColor="text1"/>
                <w:spacing w:val="-4"/>
                <w:sz w:val="18"/>
              </w:rPr>
              <w:t>2021</w:t>
            </w:r>
          </w:p>
        </w:tc>
        <w:tc>
          <w:tcPr>
            <w:tcW w:w="686" w:type="dxa"/>
            <w:tcBorders>
              <w:top w:val="single" w:sz="4" w:space="0" w:color="auto"/>
              <w:left w:val="single" w:sz="4" w:space="0" w:color="auto"/>
              <w:bottom w:val="single" w:sz="4" w:space="0" w:color="auto"/>
              <w:right w:val="single" w:sz="4" w:space="0" w:color="auto"/>
            </w:tcBorders>
            <w:shd w:val="clear" w:color="auto" w:fill="FFFF00"/>
          </w:tcPr>
          <w:p w14:paraId="0A1F0CB9" w14:textId="77777777" w:rsidR="00412F22" w:rsidRPr="0016301A" w:rsidRDefault="00412F22" w:rsidP="00EE0E23">
            <w:pPr>
              <w:pStyle w:val="TableParagraph"/>
              <w:spacing w:before="6"/>
              <w:ind w:left="37"/>
              <w:rPr>
                <w:b/>
                <w:color w:val="000000" w:themeColor="text1"/>
                <w:sz w:val="18"/>
              </w:rPr>
            </w:pPr>
            <w:r w:rsidRPr="0016301A">
              <w:rPr>
                <w:b/>
                <w:color w:val="000000" w:themeColor="text1"/>
                <w:spacing w:val="-4"/>
                <w:sz w:val="18"/>
              </w:rPr>
              <w:t>2022</w:t>
            </w:r>
          </w:p>
        </w:tc>
        <w:tc>
          <w:tcPr>
            <w:tcW w:w="786" w:type="dxa"/>
            <w:tcBorders>
              <w:top w:val="single" w:sz="4" w:space="0" w:color="auto"/>
              <w:left w:val="single" w:sz="4" w:space="0" w:color="auto"/>
              <w:bottom w:val="single" w:sz="4" w:space="0" w:color="auto"/>
              <w:right w:val="single" w:sz="4" w:space="0" w:color="auto"/>
            </w:tcBorders>
            <w:shd w:val="clear" w:color="auto" w:fill="FFFF00"/>
          </w:tcPr>
          <w:p w14:paraId="6437C7EE" w14:textId="77777777" w:rsidR="00412F22" w:rsidRPr="0016301A" w:rsidRDefault="00412F22" w:rsidP="00EE0E23">
            <w:pPr>
              <w:pStyle w:val="TableParagraph"/>
              <w:spacing w:before="6"/>
              <w:ind w:left="64" w:right="25"/>
              <w:rPr>
                <w:b/>
                <w:color w:val="000000" w:themeColor="text1"/>
                <w:sz w:val="18"/>
              </w:rPr>
            </w:pPr>
            <w:r w:rsidRPr="0016301A">
              <w:rPr>
                <w:b/>
                <w:color w:val="000000" w:themeColor="text1"/>
                <w:spacing w:val="-2"/>
                <w:sz w:val="18"/>
              </w:rPr>
              <w:t>2023*</w:t>
            </w:r>
          </w:p>
        </w:tc>
      </w:tr>
      <w:tr w:rsidR="00412F22" w:rsidRPr="0016301A" w14:paraId="08A9A882" w14:textId="77777777" w:rsidTr="00EE0E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7"/>
        </w:trPr>
        <w:tc>
          <w:tcPr>
            <w:tcW w:w="4531" w:type="dxa"/>
            <w:tcBorders>
              <w:top w:val="single" w:sz="4" w:space="0" w:color="auto"/>
              <w:left w:val="single" w:sz="4" w:space="0" w:color="auto"/>
              <w:bottom w:val="single" w:sz="4" w:space="0" w:color="auto"/>
              <w:right w:val="single" w:sz="4" w:space="0" w:color="auto"/>
            </w:tcBorders>
            <w:vAlign w:val="center"/>
          </w:tcPr>
          <w:p w14:paraId="0B9B2E60" w14:textId="77777777" w:rsidR="00412F22" w:rsidRPr="0016301A" w:rsidRDefault="00412F22" w:rsidP="00EE0E23">
            <w:pPr>
              <w:pStyle w:val="TableParagraph"/>
              <w:spacing w:before="2"/>
              <w:rPr>
                <w:b/>
                <w:color w:val="000000" w:themeColor="text1"/>
                <w:sz w:val="18"/>
                <w:lang w:val="fr-FR"/>
              </w:rPr>
            </w:pPr>
            <w:r>
              <w:rPr>
                <w:b/>
                <w:color w:val="000000" w:themeColor="text1"/>
                <w:sz w:val="18"/>
                <w:lang w:val="fr-FR"/>
              </w:rPr>
              <w:t xml:space="preserve"> </w:t>
            </w:r>
            <w:r w:rsidRPr="0016301A">
              <w:rPr>
                <w:b/>
                <w:color w:val="000000" w:themeColor="text1"/>
                <w:sz w:val="18"/>
                <w:lang w:val="fr-FR"/>
              </w:rPr>
              <w:t>PIB national (pour mémoire)</w:t>
            </w:r>
          </w:p>
        </w:tc>
        <w:tc>
          <w:tcPr>
            <w:tcW w:w="643" w:type="dxa"/>
            <w:tcBorders>
              <w:top w:val="single" w:sz="4" w:space="0" w:color="auto"/>
              <w:left w:val="single" w:sz="4" w:space="0" w:color="auto"/>
              <w:bottom w:val="single" w:sz="4" w:space="0" w:color="auto"/>
              <w:right w:val="single" w:sz="4" w:space="0" w:color="auto"/>
            </w:tcBorders>
            <w:vAlign w:val="center"/>
          </w:tcPr>
          <w:p w14:paraId="5B4EBCFD" w14:textId="77777777" w:rsidR="00412F22" w:rsidRPr="0016301A" w:rsidRDefault="00412F22" w:rsidP="00EE0E23">
            <w:pPr>
              <w:pStyle w:val="TableParagraph"/>
              <w:spacing w:before="2"/>
              <w:ind w:left="22" w:right="2"/>
              <w:rPr>
                <w:b/>
                <w:color w:val="000000" w:themeColor="text1"/>
                <w:sz w:val="18"/>
              </w:rPr>
            </w:pPr>
            <w:r w:rsidRPr="0016301A">
              <w:rPr>
                <w:b/>
                <w:color w:val="000000" w:themeColor="text1"/>
                <w:spacing w:val="-2"/>
                <w:sz w:val="18"/>
              </w:rPr>
              <w:t>289,7</w:t>
            </w:r>
          </w:p>
        </w:tc>
        <w:tc>
          <w:tcPr>
            <w:tcW w:w="602" w:type="dxa"/>
            <w:tcBorders>
              <w:top w:val="single" w:sz="4" w:space="0" w:color="auto"/>
              <w:left w:val="single" w:sz="4" w:space="0" w:color="auto"/>
              <w:bottom w:val="single" w:sz="4" w:space="0" w:color="auto"/>
              <w:right w:val="single" w:sz="4" w:space="0" w:color="auto"/>
            </w:tcBorders>
            <w:vAlign w:val="center"/>
          </w:tcPr>
          <w:p w14:paraId="76B524E0" w14:textId="77777777" w:rsidR="00412F22" w:rsidRPr="0016301A" w:rsidRDefault="00412F22" w:rsidP="00EE0E23">
            <w:pPr>
              <w:pStyle w:val="TableParagraph"/>
              <w:spacing w:before="2"/>
              <w:ind w:left="25" w:right="8"/>
              <w:rPr>
                <w:b/>
                <w:color w:val="000000" w:themeColor="text1"/>
                <w:sz w:val="18"/>
              </w:rPr>
            </w:pPr>
            <w:r w:rsidRPr="0016301A">
              <w:rPr>
                <w:b/>
                <w:color w:val="000000" w:themeColor="text1"/>
                <w:spacing w:val="-2"/>
                <w:sz w:val="18"/>
              </w:rPr>
              <w:t>307,2</w:t>
            </w:r>
          </w:p>
        </w:tc>
        <w:tc>
          <w:tcPr>
            <w:tcW w:w="595" w:type="dxa"/>
            <w:tcBorders>
              <w:top w:val="single" w:sz="4" w:space="0" w:color="auto"/>
              <w:left w:val="single" w:sz="4" w:space="0" w:color="auto"/>
              <w:bottom w:val="single" w:sz="4" w:space="0" w:color="auto"/>
              <w:right w:val="single" w:sz="4" w:space="0" w:color="auto"/>
            </w:tcBorders>
            <w:vAlign w:val="center"/>
          </w:tcPr>
          <w:p w14:paraId="1E54A5F4" w14:textId="77777777" w:rsidR="00412F22" w:rsidRPr="0016301A" w:rsidRDefault="00412F22" w:rsidP="00EE0E23">
            <w:pPr>
              <w:pStyle w:val="TableParagraph"/>
              <w:spacing w:before="2"/>
              <w:ind w:left="20" w:right="2"/>
              <w:rPr>
                <w:b/>
                <w:color w:val="000000" w:themeColor="text1"/>
                <w:sz w:val="18"/>
              </w:rPr>
            </w:pPr>
            <w:r w:rsidRPr="0016301A">
              <w:rPr>
                <w:b/>
                <w:color w:val="000000" w:themeColor="text1"/>
                <w:spacing w:val="-2"/>
                <w:sz w:val="18"/>
              </w:rPr>
              <w:t>332,6</w:t>
            </w:r>
          </w:p>
        </w:tc>
        <w:tc>
          <w:tcPr>
            <w:tcW w:w="686" w:type="dxa"/>
            <w:tcBorders>
              <w:top w:val="single" w:sz="4" w:space="0" w:color="auto"/>
              <w:left w:val="single" w:sz="4" w:space="0" w:color="auto"/>
              <w:bottom w:val="single" w:sz="4" w:space="0" w:color="auto"/>
              <w:right w:val="single" w:sz="4" w:space="0" w:color="auto"/>
            </w:tcBorders>
            <w:vAlign w:val="center"/>
          </w:tcPr>
          <w:p w14:paraId="306F4FCB" w14:textId="77777777" w:rsidR="00412F22" w:rsidRPr="0016301A" w:rsidRDefault="00412F22" w:rsidP="00EE0E23">
            <w:pPr>
              <w:pStyle w:val="TableParagraph"/>
              <w:spacing w:before="2"/>
              <w:ind w:left="25" w:right="10"/>
              <w:rPr>
                <w:b/>
                <w:color w:val="000000" w:themeColor="text1"/>
                <w:sz w:val="18"/>
              </w:rPr>
            </w:pPr>
            <w:r w:rsidRPr="0016301A">
              <w:rPr>
                <w:b/>
                <w:color w:val="000000" w:themeColor="text1"/>
                <w:spacing w:val="-2"/>
                <w:sz w:val="18"/>
              </w:rPr>
              <w:t>353,0</w:t>
            </w:r>
          </w:p>
        </w:tc>
        <w:tc>
          <w:tcPr>
            <w:tcW w:w="786" w:type="dxa"/>
            <w:tcBorders>
              <w:top w:val="single" w:sz="4" w:space="0" w:color="auto"/>
              <w:left w:val="single" w:sz="4" w:space="0" w:color="auto"/>
              <w:bottom w:val="single" w:sz="4" w:space="0" w:color="auto"/>
              <w:right w:val="single" w:sz="4" w:space="0" w:color="auto"/>
            </w:tcBorders>
            <w:vAlign w:val="center"/>
          </w:tcPr>
          <w:p w14:paraId="3954E388" w14:textId="77777777" w:rsidR="00412F22" w:rsidRPr="0016301A" w:rsidRDefault="00412F22" w:rsidP="00EE0E23">
            <w:pPr>
              <w:pStyle w:val="TableParagraph"/>
              <w:spacing w:before="2"/>
              <w:ind w:left="22" w:right="5"/>
              <w:rPr>
                <w:b/>
                <w:color w:val="000000" w:themeColor="text1"/>
                <w:sz w:val="18"/>
              </w:rPr>
            </w:pPr>
            <w:r w:rsidRPr="0016301A">
              <w:rPr>
                <w:b/>
                <w:color w:val="000000" w:themeColor="text1"/>
                <w:spacing w:val="-2"/>
                <w:sz w:val="18"/>
              </w:rPr>
              <w:t>388,7</w:t>
            </w:r>
          </w:p>
        </w:tc>
      </w:tr>
      <w:tr w:rsidR="00412F22" w:rsidRPr="0016301A" w14:paraId="0D0B24D0" w14:textId="77777777" w:rsidTr="00EE0E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5"/>
        </w:trPr>
        <w:tc>
          <w:tcPr>
            <w:tcW w:w="4531" w:type="dxa"/>
            <w:tcBorders>
              <w:top w:val="single" w:sz="4" w:space="0" w:color="auto"/>
              <w:left w:val="single" w:sz="4" w:space="0" w:color="auto"/>
              <w:bottom w:val="single" w:sz="4" w:space="0" w:color="auto"/>
              <w:right w:val="single" w:sz="4" w:space="0" w:color="auto"/>
            </w:tcBorders>
            <w:vAlign w:val="center"/>
          </w:tcPr>
          <w:p w14:paraId="6FB23D5E" w14:textId="77777777" w:rsidR="00412F22" w:rsidRPr="0016301A" w:rsidRDefault="00412F22" w:rsidP="00EE0E23">
            <w:pPr>
              <w:pStyle w:val="TableParagraph"/>
              <w:spacing w:before="2"/>
              <w:ind w:left="76"/>
              <w:rPr>
                <w:b/>
                <w:color w:val="000000" w:themeColor="text1"/>
                <w:sz w:val="18"/>
                <w:lang w:val="fr-FR"/>
              </w:rPr>
            </w:pPr>
            <w:r w:rsidRPr="0016301A">
              <w:rPr>
                <w:b/>
                <w:color w:val="000000" w:themeColor="text1"/>
                <w:sz w:val="18"/>
                <w:lang w:val="fr-FR"/>
              </w:rPr>
              <w:t>Taux de croissance du P.I.B national</w:t>
            </w:r>
          </w:p>
        </w:tc>
        <w:tc>
          <w:tcPr>
            <w:tcW w:w="643" w:type="dxa"/>
            <w:tcBorders>
              <w:top w:val="single" w:sz="4" w:space="0" w:color="auto"/>
              <w:left w:val="single" w:sz="4" w:space="0" w:color="auto"/>
              <w:bottom w:val="single" w:sz="4" w:space="0" w:color="auto"/>
              <w:right w:val="single" w:sz="4" w:space="0" w:color="auto"/>
            </w:tcBorders>
            <w:vAlign w:val="center"/>
          </w:tcPr>
          <w:p w14:paraId="23E93D8E" w14:textId="77777777" w:rsidR="00412F22" w:rsidRPr="0016301A" w:rsidRDefault="00412F22" w:rsidP="00EE0E23">
            <w:pPr>
              <w:pStyle w:val="TableParagraph"/>
              <w:spacing w:before="2"/>
              <w:ind w:left="29"/>
              <w:rPr>
                <w:b/>
                <w:color w:val="000000" w:themeColor="text1"/>
                <w:sz w:val="18"/>
              </w:rPr>
            </w:pPr>
            <w:r w:rsidRPr="0016301A">
              <w:rPr>
                <w:b/>
                <w:color w:val="000000" w:themeColor="text1"/>
                <w:spacing w:val="-5"/>
                <w:sz w:val="18"/>
              </w:rPr>
              <w:t>8,6%</w:t>
            </w:r>
          </w:p>
        </w:tc>
        <w:tc>
          <w:tcPr>
            <w:tcW w:w="602" w:type="dxa"/>
            <w:tcBorders>
              <w:top w:val="single" w:sz="4" w:space="0" w:color="auto"/>
              <w:left w:val="single" w:sz="4" w:space="0" w:color="auto"/>
              <w:bottom w:val="single" w:sz="4" w:space="0" w:color="auto"/>
              <w:right w:val="single" w:sz="4" w:space="0" w:color="auto"/>
            </w:tcBorders>
            <w:vAlign w:val="center"/>
          </w:tcPr>
          <w:p w14:paraId="45EB348C" w14:textId="77777777" w:rsidR="00412F22" w:rsidRPr="0016301A" w:rsidRDefault="00412F22" w:rsidP="00EE0E23">
            <w:pPr>
              <w:pStyle w:val="TableParagraph"/>
              <w:spacing w:before="2"/>
              <w:ind w:left="35" w:right="3"/>
              <w:rPr>
                <w:b/>
                <w:color w:val="000000" w:themeColor="text1"/>
                <w:sz w:val="18"/>
              </w:rPr>
            </w:pPr>
            <w:r w:rsidRPr="0016301A">
              <w:rPr>
                <w:b/>
                <w:color w:val="000000" w:themeColor="text1"/>
                <w:spacing w:val="-5"/>
                <w:sz w:val="18"/>
              </w:rPr>
              <w:t>6,1%</w:t>
            </w:r>
          </w:p>
        </w:tc>
        <w:tc>
          <w:tcPr>
            <w:tcW w:w="595" w:type="dxa"/>
            <w:tcBorders>
              <w:top w:val="single" w:sz="4" w:space="0" w:color="auto"/>
              <w:left w:val="single" w:sz="4" w:space="0" w:color="auto"/>
              <w:bottom w:val="single" w:sz="4" w:space="0" w:color="auto"/>
              <w:right w:val="single" w:sz="4" w:space="0" w:color="auto"/>
            </w:tcBorders>
            <w:vAlign w:val="center"/>
          </w:tcPr>
          <w:p w14:paraId="6B4BAF08" w14:textId="77777777" w:rsidR="00412F22" w:rsidRPr="0016301A" w:rsidRDefault="00412F22" w:rsidP="00EE0E23">
            <w:pPr>
              <w:pStyle w:val="TableParagraph"/>
              <w:spacing w:before="2"/>
              <w:ind w:left="35"/>
              <w:rPr>
                <w:b/>
                <w:color w:val="000000" w:themeColor="text1"/>
                <w:sz w:val="18"/>
              </w:rPr>
            </w:pPr>
            <w:r w:rsidRPr="0016301A">
              <w:rPr>
                <w:b/>
                <w:color w:val="000000" w:themeColor="text1"/>
                <w:spacing w:val="-5"/>
                <w:sz w:val="18"/>
              </w:rPr>
              <w:t>8,3%</w:t>
            </w:r>
          </w:p>
        </w:tc>
        <w:tc>
          <w:tcPr>
            <w:tcW w:w="686" w:type="dxa"/>
            <w:tcBorders>
              <w:top w:val="single" w:sz="4" w:space="0" w:color="auto"/>
              <w:left w:val="single" w:sz="4" w:space="0" w:color="auto"/>
              <w:bottom w:val="single" w:sz="4" w:space="0" w:color="auto"/>
              <w:right w:val="single" w:sz="4" w:space="0" w:color="auto"/>
            </w:tcBorders>
            <w:vAlign w:val="center"/>
          </w:tcPr>
          <w:p w14:paraId="5186AD62" w14:textId="77777777" w:rsidR="00412F22" w:rsidRPr="0016301A" w:rsidRDefault="00412F22" w:rsidP="00EE0E23">
            <w:pPr>
              <w:pStyle w:val="TableParagraph"/>
              <w:spacing w:before="2"/>
              <w:ind w:left="37"/>
              <w:rPr>
                <w:b/>
                <w:color w:val="000000" w:themeColor="text1"/>
                <w:sz w:val="18"/>
              </w:rPr>
            </w:pPr>
            <w:r w:rsidRPr="0016301A">
              <w:rPr>
                <w:b/>
                <w:color w:val="000000" w:themeColor="text1"/>
                <w:spacing w:val="-5"/>
                <w:sz w:val="18"/>
              </w:rPr>
              <w:t>6,1%</w:t>
            </w:r>
          </w:p>
        </w:tc>
        <w:tc>
          <w:tcPr>
            <w:tcW w:w="786" w:type="dxa"/>
            <w:tcBorders>
              <w:top w:val="single" w:sz="4" w:space="0" w:color="auto"/>
              <w:left w:val="single" w:sz="4" w:space="0" w:color="auto"/>
              <w:bottom w:val="single" w:sz="4" w:space="0" w:color="auto"/>
              <w:right w:val="single" w:sz="4" w:space="0" w:color="auto"/>
            </w:tcBorders>
            <w:vAlign w:val="center"/>
          </w:tcPr>
          <w:p w14:paraId="36B65C99" w14:textId="77777777" w:rsidR="00412F22" w:rsidRPr="0016301A" w:rsidRDefault="00412F22" w:rsidP="00EE0E23">
            <w:pPr>
              <w:pStyle w:val="TableParagraph"/>
              <w:spacing w:before="2"/>
              <w:ind w:left="64" w:right="32"/>
              <w:rPr>
                <w:b/>
                <w:color w:val="000000" w:themeColor="text1"/>
                <w:sz w:val="18"/>
              </w:rPr>
            </w:pPr>
            <w:r w:rsidRPr="0016301A">
              <w:rPr>
                <w:b/>
                <w:color w:val="000000" w:themeColor="text1"/>
                <w:spacing w:val="-4"/>
                <w:sz w:val="18"/>
              </w:rPr>
              <w:t>10,1%</w:t>
            </w:r>
          </w:p>
        </w:tc>
      </w:tr>
    </w:tbl>
    <w:p w14:paraId="7F90011F" w14:textId="77777777" w:rsidR="00412F22" w:rsidRPr="00624824" w:rsidRDefault="00412F22" w:rsidP="00412F22">
      <w:pPr>
        <w:pStyle w:val="Lgende"/>
        <w:jc w:val="center"/>
        <w:rPr>
          <w:b/>
          <w:bCs/>
          <w:i w:val="0"/>
          <w:iCs w:val="0"/>
          <w:color w:val="000000" w:themeColor="text1"/>
          <w:sz w:val="22"/>
          <w:szCs w:val="22"/>
        </w:rPr>
      </w:pPr>
      <w:r w:rsidRPr="00624824">
        <w:rPr>
          <w:b/>
          <w:bCs/>
          <w:i w:val="0"/>
          <w:iCs w:val="0"/>
          <w:color w:val="000000" w:themeColor="text1"/>
          <w:sz w:val="22"/>
          <w:szCs w:val="22"/>
        </w:rPr>
        <w:t xml:space="preserve">         </w:t>
      </w:r>
      <w:bookmarkStart w:id="724" w:name="_Toc192462645"/>
      <w:r w:rsidRPr="00624824">
        <w:rPr>
          <w:b/>
          <w:bCs/>
          <w:i w:val="0"/>
          <w:iCs w:val="0"/>
          <w:color w:val="000000" w:themeColor="text1"/>
          <w:sz w:val="22"/>
          <w:szCs w:val="22"/>
        </w:rPr>
        <w:t xml:space="preserve">Tableau </w:t>
      </w:r>
      <w:r w:rsidRPr="00624824">
        <w:rPr>
          <w:b/>
          <w:bCs/>
          <w:i w:val="0"/>
          <w:iCs w:val="0"/>
          <w:color w:val="000000" w:themeColor="text1"/>
          <w:sz w:val="22"/>
          <w:szCs w:val="22"/>
        </w:rPr>
        <w:fldChar w:fldCharType="begin"/>
      </w:r>
      <w:r w:rsidRPr="00624824">
        <w:rPr>
          <w:b/>
          <w:bCs/>
          <w:i w:val="0"/>
          <w:iCs w:val="0"/>
          <w:color w:val="000000" w:themeColor="text1"/>
          <w:sz w:val="22"/>
          <w:szCs w:val="22"/>
        </w:rPr>
        <w:instrText xml:space="preserve"> SEQ Tableau \* ARABIC </w:instrText>
      </w:r>
      <w:r w:rsidRPr="00624824">
        <w:rPr>
          <w:b/>
          <w:bCs/>
          <w:i w:val="0"/>
          <w:iCs w:val="0"/>
          <w:color w:val="000000" w:themeColor="text1"/>
          <w:sz w:val="22"/>
          <w:szCs w:val="22"/>
        </w:rPr>
        <w:fldChar w:fldCharType="separate"/>
      </w:r>
      <w:r w:rsidRPr="00624824">
        <w:rPr>
          <w:b/>
          <w:bCs/>
          <w:i w:val="0"/>
          <w:iCs w:val="0"/>
          <w:noProof/>
          <w:color w:val="000000" w:themeColor="text1"/>
          <w:sz w:val="22"/>
          <w:szCs w:val="22"/>
        </w:rPr>
        <w:t>2</w:t>
      </w:r>
      <w:r w:rsidRPr="00624824">
        <w:rPr>
          <w:b/>
          <w:bCs/>
          <w:i w:val="0"/>
          <w:iCs w:val="0"/>
          <w:color w:val="000000" w:themeColor="text1"/>
          <w:sz w:val="22"/>
          <w:szCs w:val="22"/>
        </w:rPr>
        <w:fldChar w:fldCharType="end"/>
      </w:r>
      <w:r w:rsidRPr="00624824">
        <w:rPr>
          <w:b/>
          <w:bCs/>
          <w:i w:val="0"/>
          <w:iCs w:val="0"/>
          <w:color w:val="000000" w:themeColor="text1"/>
          <w:sz w:val="22"/>
          <w:szCs w:val="22"/>
        </w:rPr>
        <w:t> : Evolution du PIB national</w:t>
      </w:r>
      <w:bookmarkEnd w:id="724"/>
    </w:p>
    <w:p w14:paraId="5287FFFE" w14:textId="77777777" w:rsidR="00412F22" w:rsidRDefault="00412F22" w:rsidP="00412F22">
      <w:pPr>
        <w:pStyle w:val="Corpsdetexte"/>
        <w:spacing w:before="240" w:line="276" w:lineRule="auto"/>
        <w:ind w:left="709"/>
        <w:rPr>
          <w:rFonts w:asciiTheme="minorHAnsi" w:hAnsiTheme="minorHAnsi" w:cstheme="minorHAnsi"/>
          <w:b/>
          <w:bCs/>
          <w:color w:val="000000" w:themeColor="text1"/>
          <w:sz w:val="20"/>
          <w:szCs w:val="20"/>
        </w:rPr>
      </w:pPr>
    </w:p>
    <w:p w14:paraId="46748552" w14:textId="77777777" w:rsidR="00412F22" w:rsidRDefault="00412F22" w:rsidP="00412F22">
      <w:pPr>
        <w:pStyle w:val="Corpsdetexte"/>
        <w:spacing w:before="240" w:line="276" w:lineRule="auto"/>
        <w:rPr>
          <w:rFonts w:asciiTheme="minorHAnsi" w:hAnsiTheme="minorHAnsi" w:cstheme="minorHAnsi"/>
          <w:b/>
          <w:bCs/>
          <w:color w:val="000000" w:themeColor="text1"/>
          <w:sz w:val="20"/>
          <w:szCs w:val="20"/>
        </w:rPr>
      </w:pPr>
    </w:p>
    <w:p w14:paraId="7F2B70A7" w14:textId="77777777" w:rsidR="00412F22" w:rsidRPr="0016301A" w:rsidRDefault="00412F22" w:rsidP="00412F22">
      <w:pPr>
        <w:pStyle w:val="Corpsdetexte"/>
        <w:spacing w:after="120" w:line="276" w:lineRule="auto"/>
        <w:ind w:right="2081"/>
        <w:rPr>
          <w:rFonts w:asciiTheme="minorHAnsi" w:hAnsiTheme="minorHAnsi" w:cstheme="minorHAnsi"/>
          <w:b/>
          <w:bCs/>
          <w:color w:val="000000" w:themeColor="text1"/>
          <w:sz w:val="20"/>
          <w:szCs w:val="20"/>
        </w:rPr>
      </w:pPr>
      <w:r>
        <w:rPr>
          <w:rFonts w:asciiTheme="minorHAnsi" w:hAnsiTheme="minorHAnsi" w:cstheme="minorHAnsi"/>
          <w:b/>
          <w:bCs/>
          <w:color w:val="000000" w:themeColor="text1"/>
          <w:sz w:val="20"/>
          <w:szCs w:val="20"/>
        </w:rPr>
        <w:t xml:space="preserve">             </w:t>
      </w:r>
      <w:r w:rsidRPr="00FA3B50">
        <w:rPr>
          <w:rFonts w:asciiTheme="minorHAnsi" w:hAnsiTheme="minorHAnsi" w:cstheme="minorHAnsi"/>
          <w:b/>
          <w:bCs/>
          <w:color w:val="000000" w:themeColor="text1"/>
          <w:sz w:val="20"/>
          <w:szCs w:val="20"/>
        </w:rPr>
        <w:t>Source : Rapport annuel de 20</w:t>
      </w:r>
      <w:r>
        <w:rPr>
          <w:rFonts w:asciiTheme="minorHAnsi" w:hAnsiTheme="minorHAnsi" w:cstheme="minorHAnsi"/>
          <w:b/>
          <w:bCs/>
          <w:color w:val="000000" w:themeColor="text1"/>
          <w:sz w:val="20"/>
          <w:szCs w:val="20"/>
        </w:rPr>
        <w:t>2</w:t>
      </w:r>
      <w:r w:rsidRPr="00FA3B50">
        <w:rPr>
          <w:rFonts w:asciiTheme="minorHAnsi" w:hAnsiTheme="minorHAnsi" w:cstheme="minorHAnsi"/>
          <w:b/>
          <w:bCs/>
          <w:color w:val="000000" w:themeColor="text1"/>
          <w:sz w:val="20"/>
          <w:szCs w:val="20"/>
        </w:rPr>
        <w:t>3,</w:t>
      </w:r>
      <w:r>
        <w:rPr>
          <w:rFonts w:asciiTheme="minorHAnsi" w:hAnsiTheme="minorHAnsi" w:cstheme="minorHAnsi"/>
          <w:b/>
          <w:bCs/>
          <w:color w:val="000000" w:themeColor="text1"/>
          <w:sz w:val="20"/>
          <w:szCs w:val="20"/>
        </w:rPr>
        <w:t xml:space="preserve"> </w:t>
      </w:r>
      <w:r w:rsidRPr="00FA3B50">
        <w:rPr>
          <w:rFonts w:asciiTheme="minorHAnsi" w:hAnsiTheme="minorHAnsi" w:cstheme="minorHAnsi"/>
          <w:b/>
          <w:bCs/>
          <w:color w:val="000000" w:themeColor="text1"/>
          <w:sz w:val="20"/>
          <w:szCs w:val="20"/>
        </w:rPr>
        <w:t>de la Banque Centrale de Mauritanie (BCM).</w:t>
      </w:r>
      <w:r w:rsidRPr="0016301A">
        <w:rPr>
          <w:rFonts w:asciiTheme="minorHAnsi" w:hAnsiTheme="minorHAnsi" w:cstheme="minorHAnsi"/>
          <w:b/>
          <w:bCs/>
          <w:color w:val="000000" w:themeColor="text1"/>
          <w:sz w:val="20"/>
          <w:szCs w:val="20"/>
        </w:rPr>
        <w:t xml:space="preserve"> </w:t>
      </w:r>
    </w:p>
    <w:p w14:paraId="408DBD04" w14:textId="77777777" w:rsidR="00412F22" w:rsidRPr="0016301A" w:rsidRDefault="00412F22" w:rsidP="00412F22">
      <w:pPr>
        <w:pStyle w:val="Corpsdetexte"/>
        <w:rPr>
          <w:rFonts w:asciiTheme="minorHAnsi" w:hAnsiTheme="minorHAnsi" w:cstheme="minorHAnsi"/>
          <w:color w:val="000000" w:themeColor="text1"/>
        </w:rPr>
      </w:pPr>
    </w:p>
    <w:p w14:paraId="18991028" w14:textId="77777777" w:rsidR="00412F22" w:rsidRPr="0016301A" w:rsidRDefault="00412F22" w:rsidP="00412F22">
      <w:pPr>
        <w:pStyle w:val="Corpsdetexte"/>
        <w:widowControl/>
        <w:numPr>
          <w:ilvl w:val="0"/>
          <w:numId w:val="205"/>
        </w:numPr>
        <w:autoSpaceDE/>
        <w:autoSpaceDN/>
        <w:spacing w:before="0" w:line="276" w:lineRule="auto"/>
        <w:ind w:right="1279"/>
        <w:rPr>
          <w:rFonts w:asciiTheme="minorHAnsi" w:hAnsiTheme="minorHAnsi" w:cstheme="minorHAnsi"/>
          <w:color w:val="000000" w:themeColor="text1"/>
        </w:rPr>
      </w:pPr>
      <w:r w:rsidRPr="0016301A">
        <w:rPr>
          <w:rFonts w:asciiTheme="minorHAnsi" w:hAnsiTheme="minorHAnsi" w:cstheme="minorHAnsi"/>
          <w:color w:val="000000" w:themeColor="text1"/>
        </w:rPr>
        <w:t>L’impact de la vulnérabilité au niveau de la santé (analysé plus haut), sur le plan socioéconomique, estimé sur la base de la perte de productivité résultant des temps d’incapacité de travail du fait des maladies liées au changement climatique. Les données</w:t>
      </w:r>
      <w:r>
        <w:rPr>
          <w:rFonts w:asciiTheme="minorHAnsi" w:hAnsiTheme="minorHAnsi" w:cstheme="minorHAnsi"/>
          <w:color w:val="000000" w:themeColor="text1"/>
        </w:rPr>
        <w:t xml:space="preserve"> pour les calculs</w:t>
      </w:r>
      <w:r w:rsidRPr="0016301A">
        <w:rPr>
          <w:rFonts w:asciiTheme="minorHAnsi" w:hAnsiTheme="minorHAnsi" w:cstheme="minorHAnsi"/>
          <w:color w:val="000000" w:themeColor="text1"/>
        </w:rPr>
        <w:t xml:space="preserve">, </w:t>
      </w:r>
      <w:r>
        <w:rPr>
          <w:rFonts w:asciiTheme="minorHAnsi" w:hAnsiTheme="minorHAnsi" w:cstheme="minorHAnsi"/>
          <w:color w:val="000000" w:themeColor="text1"/>
        </w:rPr>
        <w:t>sont indiquées</w:t>
      </w:r>
      <w:r w:rsidRPr="0016301A">
        <w:rPr>
          <w:rFonts w:asciiTheme="minorHAnsi" w:hAnsiTheme="minorHAnsi" w:cstheme="minorHAnsi"/>
          <w:color w:val="000000" w:themeColor="text1"/>
        </w:rPr>
        <w:t xml:space="preserve"> </w:t>
      </w:r>
      <w:r>
        <w:rPr>
          <w:rFonts w:asciiTheme="minorHAnsi" w:hAnsiTheme="minorHAnsi" w:cstheme="minorHAnsi"/>
          <w:color w:val="000000" w:themeColor="text1"/>
        </w:rPr>
        <w:t>par</w:t>
      </w:r>
      <w:r w:rsidRPr="0016301A">
        <w:rPr>
          <w:rFonts w:asciiTheme="minorHAnsi" w:hAnsiTheme="minorHAnsi" w:cstheme="minorHAnsi"/>
          <w:color w:val="000000" w:themeColor="text1"/>
        </w:rPr>
        <w:t xml:space="preserve"> les scénarii climatiques </w:t>
      </w:r>
      <w:r>
        <w:rPr>
          <w:rFonts w:asciiTheme="minorHAnsi" w:hAnsiTheme="minorHAnsi" w:cstheme="minorHAnsi"/>
          <w:color w:val="000000" w:themeColor="text1"/>
        </w:rPr>
        <w:t>qui notent</w:t>
      </w:r>
      <w:r w:rsidRPr="0016301A">
        <w:rPr>
          <w:rFonts w:asciiTheme="minorHAnsi" w:hAnsiTheme="minorHAnsi" w:cstheme="minorHAnsi"/>
          <w:color w:val="000000" w:themeColor="text1"/>
        </w:rPr>
        <w:t xml:space="preserve"> 49 journées de vagues de chaleur affectant les populations à travers des maladies les empêchant de travailler. Il ressort également que 19% de la population est affectée par au moins une vague de chaleur à l’horizon 2050 et 38% </w:t>
      </w:r>
      <w:r>
        <w:rPr>
          <w:rFonts w:asciiTheme="minorHAnsi" w:hAnsiTheme="minorHAnsi" w:cstheme="minorHAnsi"/>
          <w:color w:val="000000" w:themeColor="text1"/>
        </w:rPr>
        <w:t xml:space="preserve">de cette population est affectée </w:t>
      </w:r>
      <w:r w:rsidRPr="0016301A">
        <w:rPr>
          <w:rFonts w:asciiTheme="minorHAnsi" w:hAnsiTheme="minorHAnsi" w:cstheme="minorHAnsi"/>
          <w:color w:val="000000" w:themeColor="text1"/>
        </w:rPr>
        <w:t>à l’horizon 2100. Il est également pris en compte, le fait, que plusieurs études considèrent que la part du travail dans le PIB, en Afrique subsaharienne, est comprise entre 50% et 60%, soit une moyenne de 55%.</w:t>
      </w:r>
    </w:p>
    <w:p w14:paraId="430D8FDE" w14:textId="77777777" w:rsidR="00412F22" w:rsidRPr="0016301A" w:rsidRDefault="00412F22" w:rsidP="00412F22">
      <w:pPr>
        <w:pStyle w:val="Corpsdetexte"/>
        <w:spacing w:line="276" w:lineRule="auto"/>
        <w:ind w:right="1279"/>
        <w:rPr>
          <w:rFonts w:asciiTheme="minorHAnsi" w:hAnsiTheme="minorHAnsi" w:cstheme="minorHAnsi"/>
          <w:color w:val="000000" w:themeColor="text1"/>
        </w:rPr>
      </w:pPr>
    </w:p>
    <w:p w14:paraId="7A552078" w14:textId="77777777" w:rsidR="00412F22" w:rsidRPr="00200C52" w:rsidRDefault="00412F22" w:rsidP="00412F22">
      <w:pPr>
        <w:pStyle w:val="Titre2"/>
        <w:tabs>
          <w:tab w:val="left" w:pos="0"/>
          <w:tab w:val="left" w:pos="9356"/>
          <w:tab w:val="left" w:pos="9498"/>
          <w:tab w:val="left" w:pos="9781"/>
        </w:tabs>
        <w:ind w:right="1279"/>
        <w:jc w:val="center"/>
        <w:rPr>
          <w:rFonts w:ascii="Arial Narrow" w:hAnsi="Arial Narrow"/>
          <w:b/>
          <w:bCs/>
          <w:color w:val="990000"/>
          <w:sz w:val="28"/>
          <w:szCs w:val="28"/>
        </w:rPr>
      </w:pPr>
      <w:bookmarkStart w:id="725" w:name="_Toc192462524"/>
      <w:r w:rsidRPr="00200C52">
        <w:rPr>
          <w:rFonts w:ascii="Arial Narrow" w:hAnsi="Arial Narrow"/>
          <w:b/>
          <w:bCs/>
          <w:color w:val="990000"/>
          <w:sz w:val="28"/>
          <w:szCs w:val="28"/>
        </w:rPr>
        <w:t>III.3 Evolution du PIB selon les scénarios A2 et B2 (scénarios socioéconomiques)</w:t>
      </w:r>
      <w:bookmarkEnd w:id="725"/>
    </w:p>
    <w:p w14:paraId="2ECBA038" w14:textId="77777777" w:rsidR="00412F22" w:rsidRDefault="00412F22" w:rsidP="00412F22">
      <w:pPr>
        <w:pStyle w:val="NormalWeb"/>
        <w:spacing w:before="0" w:beforeAutospacing="0" w:after="0" w:afterAutospacing="0" w:line="276" w:lineRule="auto"/>
        <w:ind w:right="1279"/>
        <w:jc w:val="both"/>
        <w:rPr>
          <w:rFonts w:asciiTheme="minorHAnsi" w:hAnsiTheme="minorHAnsi" w:cstheme="minorHAnsi"/>
          <w:color w:val="000000" w:themeColor="text1"/>
        </w:rPr>
      </w:pPr>
    </w:p>
    <w:p w14:paraId="54CE4B4D" w14:textId="77777777" w:rsidR="00412F22" w:rsidRDefault="00412F22" w:rsidP="00412F22">
      <w:pPr>
        <w:pStyle w:val="NormalWeb"/>
        <w:spacing w:before="0" w:beforeAutospacing="0" w:after="0" w:afterAutospacing="0" w:line="276" w:lineRule="auto"/>
        <w:ind w:right="1279"/>
        <w:jc w:val="both"/>
        <w:rPr>
          <w:rFonts w:asciiTheme="minorHAnsi" w:hAnsiTheme="minorHAnsi" w:cstheme="minorHAnsi"/>
          <w:color w:val="000000" w:themeColor="text1"/>
        </w:rPr>
      </w:pPr>
      <w:r w:rsidRPr="0016301A">
        <w:rPr>
          <w:rFonts w:asciiTheme="minorHAnsi" w:hAnsiTheme="minorHAnsi" w:cstheme="minorHAnsi"/>
          <w:color w:val="000000" w:themeColor="text1"/>
        </w:rPr>
        <w:t>Le tableau suivant donne une évaluation du taux moyen de croissance annuelle du PIB, selon les scénarios A2 et B2, sur la base d’un recoupement de différentes source</w:t>
      </w:r>
      <w:r>
        <w:rPr>
          <w:rFonts w:asciiTheme="minorHAnsi" w:hAnsiTheme="minorHAnsi" w:cstheme="minorHAnsi"/>
          <w:color w:val="000000" w:themeColor="text1"/>
        </w:rPr>
        <w:t>s</w:t>
      </w:r>
      <w:r w:rsidRPr="0016301A">
        <w:rPr>
          <w:rFonts w:asciiTheme="minorHAnsi" w:hAnsiTheme="minorHAnsi" w:cstheme="minorHAnsi"/>
          <w:color w:val="000000" w:themeColor="text1"/>
        </w:rPr>
        <w:t xml:space="preserve"> (GIEC et autres). </w:t>
      </w:r>
    </w:p>
    <w:p w14:paraId="092BA357" w14:textId="77777777" w:rsidR="00412F22" w:rsidRPr="0016301A" w:rsidRDefault="00412F22" w:rsidP="00412F22">
      <w:pPr>
        <w:pStyle w:val="NormalWeb"/>
        <w:spacing w:before="0" w:beforeAutospacing="0" w:after="0" w:afterAutospacing="0" w:line="276" w:lineRule="auto"/>
        <w:ind w:right="1279"/>
        <w:jc w:val="both"/>
        <w:rPr>
          <w:rFonts w:asciiTheme="minorHAnsi" w:hAnsiTheme="minorHAnsi" w:cstheme="minorHAnsi"/>
          <w:color w:val="000000" w:themeColor="text1"/>
        </w:rPr>
      </w:pPr>
    </w:p>
    <w:p w14:paraId="6A25F654" w14:textId="77777777" w:rsidR="00412F22" w:rsidRPr="000928E0" w:rsidRDefault="00412F22" w:rsidP="00412F22">
      <w:pPr>
        <w:pStyle w:val="Lgende"/>
        <w:jc w:val="center"/>
        <w:rPr>
          <w:b/>
          <w:bCs/>
          <w:color w:val="000000" w:themeColor="text1"/>
          <w:sz w:val="22"/>
          <w:szCs w:val="22"/>
        </w:rPr>
      </w:pPr>
      <w:bookmarkStart w:id="726" w:name="_Toc192462646"/>
      <w:r w:rsidRPr="000928E0">
        <w:rPr>
          <w:b/>
          <w:bCs/>
          <w:color w:val="000000" w:themeColor="text1"/>
          <w:sz w:val="22"/>
          <w:szCs w:val="22"/>
        </w:rPr>
        <w:t xml:space="preserve">Tableau </w:t>
      </w:r>
      <w:r w:rsidRPr="000928E0">
        <w:rPr>
          <w:b/>
          <w:bCs/>
          <w:color w:val="000000" w:themeColor="text1"/>
          <w:sz w:val="22"/>
          <w:szCs w:val="22"/>
        </w:rPr>
        <w:fldChar w:fldCharType="begin"/>
      </w:r>
      <w:r w:rsidRPr="000928E0">
        <w:rPr>
          <w:b/>
          <w:bCs/>
          <w:color w:val="000000" w:themeColor="text1"/>
          <w:sz w:val="22"/>
          <w:szCs w:val="22"/>
        </w:rPr>
        <w:instrText xml:space="preserve"> SEQ Tableau \* ARABIC </w:instrText>
      </w:r>
      <w:r w:rsidRPr="000928E0">
        <w:rPr>
          <w:b/>
          <w:bCs/>
          <w:color w:val="000000" w:themeColor="text1"/>
          <w:sz w:val="22"/>
          <w:szCs w:val="22"/>
        </w:rPr>
        <w:fldChar w:fldCharType="separate"/>
      </w:r>
      <w:r>
        <w:rPr>
          <w:b/>
          <w:bCs/>
          <w:noProof/>
          <w:color w:val="000000" w:themeColor="text1"/>
          <w:sz w:val="22"/>
          <w:szCs w:val="22"/>
        </w:rPr>
        <w:t>3</w:t>
      </w:r>
      <w:r w:rsidRPr="000928E0">
        <w:rPr>
          <w:b/>
          <w:bCs/>
          <w:color w:val="000000" w:themeColor="text1"/>
          <w:sz w:val="22"/>
          <w:szCs w:val="22"/>
        </w:rPr>
        <w:fldChar w:fldCharType="end"/>
      </w:r>
      <w:r w:rsidRPr="000928E0">
        <w:rPr>
          <w:b/>
          <w:bCs/>
          <w:color w:val="000000" w:themeColor="text1"/>
          <w:sz w:val="22"/>
          <w:szCs w:val="22"/>
        </w:rPr>
        <w:t xml:space="preserve"> : Taux de croissance des scénarios reflétant le mieux la situation de la Mauritanie</w:t>
      </w:r>
      <w:bookmarkEnd w:id="726"/>
    </w:p>
    <w:tbl>
      <w:tblPr>
        <w:tblStyle w:val="Grilledutableau"/>
        <w:tblW w:w="0" w:type="auto"/>
        <w:jc w:val="center"/>
        <w:tblLook w:val="04A0" w:firstRow="1" w:lastRow="0" w:firstColumn="1" w:lastColumn="0" w:noHBand="0" w:noVBand="1"/>
      </w:tblPr>
      <w:tblGrid>
        <w:gridCol w:w="1060"/>
        <w:gridCol w:w="5031"/>
        <w:gridCol w:w="2268"/>
      </w:tblGrid>
      <w:tr w:rsidR="00412F22" w:rsidRPr="0016301A" w14:paraId="5A7E43E9" w14:textId="77777777" w:rsidTr="00EE0E23">
        <w:trPr>
          <w:jc w:val="center"/>
        </w:trPr>
        <w:tc>
          <w:tcPr>
            <w:tcW w:w="1060" w:type="dxa"/>
            <w:vAlign w:val="center"/>
          </w:tcPr>
          <w:p w14:paraId="4D67D76C" w14:textId="77777777" w:rsidR="00412F22" w:rsidRPr="0016301A" w:rsidRDefault="00412F22" w:rsidP="00EE0E23">
            <w:pPr>
              <w:pStyle w:val="Corpsdetexte"/>
              <w:rPr>
                <w:rFonts w:asciiTheme="minorHAnsi" w:hAnsiTheme="minorHAnsi" w:cstheme="minorHAnsi"/>
                <w:color w:val="000000" w:themeColor="text1"/>
              </w:rPr>
            </w:pPr>
            <w:r w:rsidRPr="0016301A">
              <w:rPr>
                <w:rFonts w:ascii="Segoe UI" w:hAnsi="Segoe UI" w:cs="Segoe UI"/>
                <w:b/>
                <w:bCs/>
                <w:color w:val="000000" w:themeColor="text1"/>
                <w:sz w:val="21"/>
                <w:szCs w:val="21"/>
              </w:rPr>
              <w:t>Scénario</w:t>
            </w:r>
          </w:p>
        </w:tc>
        <w:tc>
          <w:tcPr>
            <w:tcW w:w="5031" w:type="dxa"/>
            <w:vAlign w:val="center"/>
          </w:tcPr>
          <w:p w14:paraId="23C01B16" w14:textId="77777777" w:rsidR="00412F22" w:rsidRPr="0016301A" w:rsidRDefault="00412F22" w:rsidP="00EE0E23">
            <w:pPr>
              <w:pStyle w:val="Corpsdetexte"/>
              <w:rPr>
                <w:rFonts w:asciiTheme="minorHAnsi" w:hAnsiTheme="minorHAnsi" w:cstheme="minorHAnsi"/>
                <w:color w:val="000000" w:themeColor="text1"/>
              </w:rPr>
            </w:pPr>
            <w:r w:rsidRPr="0016301A">
              <w:rPr>
                <w:rFonts w:ascii="Segoe UI" w:hAnsi="Segoe UI" w:cs="Segoe UI"/>
                <w:b/>
                <w:bCs/>
                <w:color w:val="000000" w:themeColor="text1"/>
                <w:sz w:val="21"/>
                <w:szCs w:val="21"/>
              </w:rPr>
              <w:t>Type de Croissance</w:t>
            </w:r>
          </w:p>
        </w:tc>
        <w:tc>
          <w:tcPr>
            <w:tcW w:w="2268" w:type="dxa"/>
            <w:vAlign w:val="center"/>
          </w:tcPr>
          <w:p w14:paraId="1BDBCE19" w14:textId="77777777" w:rsidR="00412F22" w:rsidRPr="0016301A" w:rsidRDefault="00412F22" w:rsidP="00EE0E23">
            <w:pPr>
              <w:pStyle w:val="Corpsdetexte"/>
              <w:jc w:val="center"/>
              <w:rPr>
                <w:rFonts w:asciiTheme="minorHAnsi" w:hAnsiTheme="minorHAnsi" w:cstheme="minorHAnsi"/>
                <w:color w:val="000000" w:themeColor="text1"/>
              </w:rPr>
            </w:pPr>
            <w:r w:rsidRPr="0016301A">
              <w:rPr>
                <w:rFonts w:ascii="Segoe UI" w:hAnsi="Segoe UI" w:cs="Segoe UI"/>
                <w:b/>
                <w:bCs/>
                <w:color w:val="000000" w:themeColor="text1"/>
                <w:sz w:val="21"/>
                <w:szCs w:val="21"/>
              </w:rPr>
              <w:t>Taux de Croissance Annuel du PIB (%)</w:t>
            </w:r>
          </w:p>
        </w:tc>
      </w:tr>
      <w:tr w:rsidR="00412F22" w:rsidRPr="0016301A" w14:paraId="770AEB90" w14:textId="77777777" w:rsidTr="00EE0E23">
        <w:trPr>
          <w:jc w:val="center"/>
        </w:trPr>
        <w:tc>
          <w:tcPr>
            <w:tcW w:w="1060" w:type="dxa"/>
            <w:vAlign w:val="center"/>
          </w:tcPr>
          <w:p w14:paraId="39002FA4" w14:textId="77777777" w:rsidR="00412F22" w:rsidRPr="0016301A" w:rsidRDefault="00412F22" w:rsidP="00EE0E23">
            <w:pPr>
              <w:pStyle w:val="Corpsdetexte"/>
              <w:rPr>
                <w:rFonts w:asciiTheme="minorHAnsi" w:hAnsiTheme="minorHAnsi" w:cstheme="minorHAnsi"/>
                <w:color w:val="000000" w:themeColor="text1"/>
              </w:rPr>
            </w:pPr>
            <w:r w:rsidRPr="0016301A">
              <w:rPr>
                <w:rFonts w:asciiTheme="minorHAnsi" w:hAnsiTheme="minorHAnsi" w:cstheme="minorHAnsi"/>
                <w:color w:val="000000" w:themeColor="text1"/>
              </w:rPr>
              <w:t>A2</w:t>
            </w:r>
          </w:p>
        </w:tc>
        <w:tc>
          <w:tcPr>
            <w:tcW w:w="5031" w:type="dxa"/>
            <w:vAlign w:val="center"/>
          </w:tcPr>
          <w:p w14:paraId="573072EE" w14:textId="77777777" w:rsidR="00412F22" w:rsidRPr="0016301A" w:rsidRDefault="00412F22" w:rsidP="00EE0E23">
            <w:pPr>
              <w:pStyle w:val="Corpsdetexte"/>
              <w:rPr>
                <w:rFonts w:asciiTheme="minorHAnsi" w:hAnsiTheme="minorHAnsi" w:cstheme="minorHAnsi"/>
                <w:color w:val="000000" w:themeColor="text1"/>
              </w:rPr>
            </w:pPr>
            <w:r w:rsidRPr="0016301A">
              <w:rPr>
                <w:rFonts w:asciiTheme="minorHAnsi" w:hAnsiTheme="minorHAnsi" w:cstheme="minorHAnsi"/>
                <w:color w:val="000000" w:themeColor="text1"/>
              </w:rPr>
              <w:t>Croissance fragmentée (forte croissance de la population et moins de préoccupations pour le développement économique rapide)</w:t>
            </w:r>
          </w:p>
        </w:tc>
        <w:tc>
          <w:tcPr>
            <w:tcW w:w="2268" w:type="dxa"/>
            <w:vAlign w:val="center"/>
          </w:tcPr>
          <w:p w14:paraId="78B5F1D2" w14:textId="77777777" w:rsidR="00412F22" w:rsidRPr="0016301A" w:rsidRDefault="00412F22" w:rsidP="00EE0E23">
            <w:pPr>
              <w:pStyle w:val="Corpsdetexte"/>
              <w:rPr>
                <w:rFonts w:asciiTheme="minorHAnsi" w:hAnsiTheme="minorHAnsi" w:cstheme="minorHAnsi"/>
                <w:color w:val="000000" w:themeColor="text1"/>
              </w:rPr>
            </w:pPr>
            <w:r w:rsidRPr="0016301A">
              <w:rPr>
                <w:rFonts w:ascii="Segoe UI" w:hAnsi="Segoe UI" w:cs="Segoe UI"/>
                <w:color w:val="000000" w:themeColor="text1"/>
                <w:sz w:val="21"/>
                <w:szCs w:val="21"/>
              </w:rPr>
              <w:t>2% à 3,5%</w:t>
            </w:r>
          </w:p>
        </w:tc>
      </w:tr>
      <w:tr w:rsidR="00412F22" w:rsidRPr="0016301A" w14:paraId="7A7C00EE" w14:textId="77777777" w:rsidTr="00EE0E23">
        <w:trPr>
          <w:jc w:val="center"/>
        </w:trPr>
        <w:tc>
          <w:tcPr>
            <w:tcW w:w="1060" w:type="dxa"/>
            <w:vAlign w:val="center"/>
          </w:tcPr>
          <w:p w14:paraId="78FBF144" w14:textId="77777777" w:rsidR="00412F22" w:rsidRPr="0016301A" w:rsidRDefault="00412F22" w:rsidP="00EE0E23">
            <w:pPr>
              <w:pStyle w:val="Corpsdetexte"/>
              <w:rPr>
                <w:rFonts w:asciiTheme="minorHAnsi" w:hAnsiTheme="minorHAnsi" w:cstheme="minorHAnsi"/>
                <w:color w:val="000000" w:themeColor="text1"/>
              </w:rPr>
            </w:pPr>
            <w:r w:rsidRPr="0016301A">
              <w:rPr>
                <w:rFonts w:asciiTheme="minorHAnsi" w:hAnsiTheme="minorHAnsi" w:cstheme="minorHAnsi"/>
                <w:color w:val="000000" w:themeColor="text1"/>
              </w:rPr>
              <w:t>B2</w:t>
            </w:r>
          </w:p>
        </w:tc>
        <w:tc>
          <w:tcPr>
            <w:tcW w:w="5031" w:type="dxa"/>
            <w:vAlign w:val="center"/>
          </w:tcPr>
          <w:p w14:paraId="7463A494" w14:textId="77777777" w:rsidR="00412F22" w:rsidRPr="0016301A" w:rsidRDefault="00412F22" w:rsidP="00EE0E23">
            <w:pPr>
              <w:pStyle w:val="Corpsdetexte"/>
              <w:rPr>
                <w:rFonts w:asciiTheme="minorHAnsi" w:hAnsiTheme="minorHAnsi" w:cstheme="minorHAnsi"/>
                <w:color w:val="000000" w:themeColor="text1"/>
              </w:rPr>
            </w:pPr>
            <w:r w:rsidRPr="0016301A">
              <w:rPr>
                <w:rFonts w:asciiTheme="minorHAnsi" w:hAnsiTheme="minorHAnsi" w:cstheme="minorHAnsi"/>
                <w:color w:val="000000" w:themeColor="text1"/>
              </w:rPr>
              <w:t>Croissance fondée sur le développement durable</w:t>
            </w:r>
          </w:p>
        </w:tc>
        <w:tc>
          <w:tcPr>
            <w:tcW w:w="2268" w:type="dxa"/>
            <w:vAlign w:val="center"/>
          </w:tcPr>
          <w:p w14:paraId="2DADAABE" w14:textId="77777777" w:rsidR="00412F22" w:rsidRPr="0016301A" w:rsidRDefault="00412F22" w:rsidP="00EE0E23">
            <w:pPr>
              <w:pStyle w:val="Corpsdetexte"/>
              <w:rPr>
                <w:rFonts w:asciiTheme="minorHAnsi" w:hAnsiTheme="minorHAnsi" w:cstheme="minorHAnsi"/>
                <w:color w:val="000000" w:themeColor="text1"/>
              </w:rPr>
            </w:pPr>
            <w:r w:rsidRPr="0016301A">
              <w:rPr>
                <w:rFonts w:ascii="Segoe UI" w:hAnsi="Segoe UI" w:cs="Segoe UI"/>
                <w:color w:val="000000" w:themeColor="text1"/>
                <w:sz w:val="21"/>
                <w:szCs w:val="21"/>
              </w:rPr>
              <w:t>2,5% à 4 %</w:t>
            </w:r>
          </w:p>
        </w:tc>
      </w:tr>
    </w:tbl>
    <w:p w14:paraId="023C965D" w14:textId="77777777" w:rsidR="00412F22" w:rsidRPr="0016301A" w:rsidRDefault="00412F22" w:rsidP="00412F22">
      <w:pPr>
        <w:pStyle w:val="Corpsdetexte"/>
        <w:rPr>
          <w:rFonts w:asciiTheme="minorHAnsi" w:hAnsiTheme="minorHAnsi" w:cstheme="minorHAnsi"/>
          <w:color w:val="000000" w:themeColor="text1"/>
        </w:rPr>
      </w:pPr>
    </w:p>
    <w:p w14:paraId="6961107A" w14:textId="77777777" w:rsidR="00412F22" w:rsidRPr="0016301A" w:rsidRDefault="00412F22" w:rsidP="00412F22">
      <w:pPr>
        <w:pStyle w:val="Corpsdetexte"/>
        <w:spacing w:line="276" w:lineRule="auto"/>
        <w:ind w:right="1279"/>
        <w:rPr>
          <w:rFonts w:asciiTheme="minorHAnsi" w:hAnsiTheme="minorHAnsi" w:cstheme="minorHAnsi"/>
          <w:color w:val="000000" w:themeColor="text1"/>
        </w:rPr>
      </w:pPr>
      <w:r w:rsidRPr="0016301A">
        <w:rPr>
          <w:rFonts w:asciiTheme="minorHAnsi" w:hAnsiTheme="minorHAnsi" w:cstheme="minorHAnsi"/>
          <w:color w:val="000000" w:themeColor="text1"/>
        </w:rPr>
        <w:t>Dans la suite, nous prenons la borne supérieure de ces estimations, à savoir 3,5% pour le scénario A2 et 4% pour le scénario B2. Pour rappel, sans effet des changements climatiques, la croissance annuelle moyenne est de 7,84% (tableau n°</w:t>
      </w:r>
      <w:r>
        <w:rPr>
          <w:rFonts w:asciiTheme="minorHAnsi" w:hAnsiTheme="minorHAnsi" w:cstheme="minorHAnsi"/>
          <w:color w:val="000000" w:themeColor="text1"/>
        </w:rPr>
        <w:t xml:space="preserve"> 2 </w:t>
      </w:r>
      <w:r w:rsidRPr="0016301A">
        <w:rPr>
          <w:rFonts w:asciiTheme="minorHAnsi" w:hAnsiTheme="minorHAnsi" w:cstheme="minorHAnsi"/>
          <w:color w:val="000000" w:themeColor="text1"/>
        </w:rPr>
        <w:t>Ci-dessus).</w:t>
      </w:r>
    </w:p>
    <w:p w14:paraId="4BC1F5FC" w14:textId="77777777" w:rsidR="00412F22" w:rsidRPr="0016301A" w:rsidRDefault="00412F22" w:rsidP="00412F22">
      <w:pPr>
        <w:pStyle w:val="Corpsdetexte"/>
        <w:spacing w:line="276" w:lineRule="auto"/>
        <w:rPr>
          <w:rFonts w:asciiTheme="minorHAnsi" w:hAnsiTheme="minorHAnsi" w:cstheme="minorHAnsi"/>
          <w:color w:val="000000" w:themeColor="text1"/>
        </w:rPr>
      </w:pPr>
    </w:p>
    <w:p w14:paraId="6B0690F9" w14:textId="77777777" w:rsidR="00412F22" w:rsidRPr="0016301A" w:rsidRDefault="00412F22" w:rsidP="00412F22">
      <w:pPr>
        <w:pStyle w:val="Corpsdetexte"/>
        <w:spacing w:line="276" w:lineRule="auto"/>
        <w:ind w:right="1279"/>
        <w:rPr>
          <w:rFonts w:asciiTheme="minorHAnsi" w:hAnsiTheme="minorHAnsi" w:cstheme="minorHAnsi"/>
          <w:color w:val="000000" w:themeColor="text1"/>
        </w:rPr>
      </w:pPr>
      <w:r w:rsidRPr="0016301A">
        <w:rPr>
          <w:rFonts w:asciiTheme="minorHAnsi" w:hAnsiTheme="minorHAnsi" w:cstheme="minorHAnsi"/>
          <w:color w:val="000000" w:themeColor="text1"/>
        </w:rPr>
        <w:t xml:space="preserve">Sans changement climatique, la contribution des secteurs est stable et est estimée égale à la moyenne des contributions sur </w:t>
      </w:r>
      <w:r>
        <w:rPr>
          <w:rFonts w:asciiTheme="minorHAnsi" w:hAnsiTheme="minorHAnsi" w:cstheme="minorHAnsi"/>
          <w:color w:val="000000" w:themeColor="text1"/>
        </w:rPr>
        <w:t xml:space="preserve">la période </w:t>
      </w:r>
      <w:r w:rsidRPr="0016301A">
        <w:rPr>
          <w:rFonts w:asciiTheme="minorHAnsi" w:hAnsiTheme="minorHAnsi" w:cstheme="minorHAnsi"/>
          <w:color w:val="000000" w:themeColor="text1"/>
        </w:rPr>
        <w:t xml:space="preserve">2019 – 2023. Avec </w:t>
      </w:r>
      <w:r>
        <w:rPr>
          <w:rFonts w:asciiTheme="minorHAnsi" w:hAnsiTheme="minorHAnsi" w:cstheme="minorHAnsi"/>
          <w:color w:val="000000" w:themeColor="text1"/>
        </w:rPr>
        <w:t xml:space="preserve">les </w:t>
      </w:r>
      <w:r w:rsidRPr="0016301A">
        <w:rPr>
          <w:rFonts w:asciiTheme="minorHAnsi" w:hAnsiTheme="minorHAnsi" w:cstheme="minorHAnsi"/>
          <w:color w:val="000000" w:themeColor="text1"/>
        </w:rPr>
        <w:t>changement climatiques</w:t>
      </w:r>
      <w:r>
        <w:rPr>
          <w:rFonts w:asciiTheme="minorHAnsi" w:hAnsiTheme="minorHAnsi" w:cstheme="minorHAnsi"/>
          <w:color w:val="000000" w:themeColor="text1"/>
        </w:rPr>
        <w:t xml:space="preserve"> (CC)</w:t>
      </w:r>
      <w:r w:rsidRPr="0016301A">
        <w:rPr>
          <w:rFonts w:asciiTheme="minorHAnsi" w:hAnsiTheme="minorHAnsi" w:cstheme="minorHAnsi"/>
          <w:color w:val="000000" w:themeColor="text1"/>
        </w:rPr>
        <w:t>, ces parts sont recalculées sur la base des vulnérabilités.  Les parts des contributions actuelles et des contributions aux différents horizons (2050 et 2100) sont données ci-après.</w:t>
      </w:r>
    </w:p>
    <w:p w14:paraId="75F484C8" w14:textId="77777777" w:rsidR="00412F22" w:rsidRPr="0016301A" w:rsidRDefault="00412F22" w:rsidP="00412F22">
      <w:pPr>
        <w:pStyle w:val="Corpsdetexte"/>
        <w:rPr>
          <w:rFonts w:asciiTheme="minorHAnsi" w:hAnsiTheme="minorHAnsi" w:cstheme="minorHAnsi"/>
          <w:color w:val="000000" w:themeColor="text1"/>
        </w:rPr>
      </w:pPr>
    </w:p>
    <w:p w14:paraId="4096F540" w14:textId="77777777" w:rsidR="00412F22" w:rsidRPr="0016301A" w:rsidRDefault="00412F22" w:rsidP="00412F22">
      <w:pPr>
        <w:pStyle w:val="Corpsdetexte"/>
        <w:rPr>
          <w:rFonts w:asciiTheme="minorHAnsi" w:hAnsiTheme="minorHAnsi" w:cstheme="minorHAnsi"/>
          <w:b/>
          <w:bCs/>
          <w:color w:val="000000" w:themeColor="text1"/>
        </w:rPr>
      </w:pPr>
      <w:r w:rsidRPr="0016301A">
        <w:rPr>
          <w:rFonts w:asciiTheme="minorHAnsi" w:hAnsiTheme="minorHAnsi" w:cstheme="minorHAnsi"/>
          <w:b/>
          <w:bCs/>
          <w:color w:val="000000" w:themeColor="text1"/>
        </w:rPr>
        <w:t>« Secteur » l’Agriculture, Sylviculture (pêche continentale) et de l’exploitation forestière (écosystèmes, …)</w:t>
      </w:r>
    </w:p>
    <w:p w14:paraId="7A4B772E" w14:textId="77777777" w:rsidR="00412F22" w:rsidRPr="0016301A" w:rsidRDefault="00412F22" w:rsidP="00412F22">
      <w:pPr>
        <w:pStyle w:val="Corpsdetexte"/>
        <w:spacing w:line="276" w:lineRule="auto"/>
        <w:rPr>
          <w:rFonts w:asciiTheme="minorHAnsi" w:hAnsiTheme="minorHAnsi" w:cstheme="minorHAnsi"/>
          <w:color w:val="000000" w:themeColor="text1"/>
        </w:rPr>
      </w:pPr>
    </w:p>
    <w:p w14:paraId="3C28253C" w14:textId="77777777" w:rsidR="00412F22" w:rsidRPr="0016301A" w:rsidRDefault="00412F22" w:rsidP="00412F22">
      <w:pPr>
        <w:pStyle w:val="Corpsdetexte"/>
        <w:spacing w:line="276" w:lineRule="auto"/>
        <w:rPr>
          <w:rFonts w:asciiTheme="minorHAnsi" w:hAnsiTheme="minorHAnsi" w:cstheme="minorHAnsi"/>
          <w:color w:val="000000" w:themeColor="text1"/>
        </w:rPr>
      </w:pPr>
      <w:r w:rsidRPr="0016301A">
        <w:rPr>
          <w:rFonts w:asciiTheme="minorHAnsi" w:hAnsiTheme="minorHAnsi" w:cstheme="minorHAnsi"/>
          <w:color w:val="000000" w:themeColor="text1"/>
        </w:rPr>
        <w:t xml:space="preserve">L’estimation de l’impact du changement climatique, en termes socioéconomique (PIB comme indicateur de synthèse) sur ce secteur est faite en se basant sur les pertes de superficies cultivables, aux horizons 2050 et 2100 (6,25% et 12, 5%, respectivement). Pour simplifier, et faute de données, ces taux sont utilisés pour évaluer les pertes en termes de contribution au PIB, dues aux CC, </w:t>
      </w:r>
      <w:r>
        <w:rPr>
          <w:rFonts w:asciiTheme="minorHAnsi" w:hAnsiTheme="minorHAnsi" w:cstheme="minorHAnsi"/>
          <w:color w:val="000000" w:themeColor="text1"/>
        </w:rPr>
        <w:t>pour</w:t>
      </w:r>
      <w:r w:rsidRPr="0016301A">
        <w:rPr>
          <w:rFonts w:asciiTheme="minorHAnsi" w:hAnsiTheme="minorHAnsi" w:cstheme="minorHAnsi"/>
          <w:color w:val="000000" w:themeColor="text1"/>
        </w:rPr>
        <w:t xml:space="preserve"> la pêche continentale et l’exploitation forestière et des écosystèmes</w:t>
      </w:r>
    </w:p>
    <w:p w14:paraId="6B293CA5" w14:textId="77777777" w:rsidR="00412F22" w:rsidRPr="0016301A" w:rsidRDefault="00412F22" w:rsidP="00412F22">
      <w:pPr>
        <w:pStyle w:val="Corpsdetexte"/>
        <w:spacing w:line="276" w:lineRule="auto"/>
        <w:rPr>
          <w:rFonts w:asciiTheme="minorHAnsi" w:hAnsiTheme="minorHAnsi" w:cstheme="minorHAnsi"/>
          <w:color w:val="000000" w:themeColor="text1"/>
        </w:rPr>
      </w:pPr>
    </w:p>
    <w:p w14:paraId="28087B95" w14:textId="77777777" w:rsidR="00412F22" w:rsidRPr="000928E0" w:rsidRDefault="00412F22" w:rsidP="00412F22">
      <w:pPr>
        <w:pStyle w:val="Lgende"/>
        <w:jc w:val="center"/>
        <w:rPr>
          <w:b/>
          <w:bCs/>
          <w:color w:val="000000" w:themeColor="text1"/>
          <w:sz w:val="22"/>
          <w:szCs w:val="22"/>
        </w:rPr>
      </w:pPr>
      <w:bookmarkStart w:id="727" w:name="_Toc192462647"/>
      <w:r w:rsidRPr="000928E0">
        <w:rPr>
          <w:b/>
          <w:bCs/>
          <w:color w:val="000000" w:themeColor="text1"/>
          <w:sz w:val="22"/>
          <w:szCs w:val="22"/>
        </w:rPr>
        <w:t xml:space="preserve">Tableau </w:t>
      </w:r>
      <w:r w:rsidRPr="000928E0">
        <w:rPr>
          <w:b/>
          <w:bCs/>
          <w:color w:val="000000" w:themeColor="text1"/>
          <w:sz w:val="22"/>
          <w:szCs w:val="22"/>
        </w:rPr>
        <w:fldChar w:fldCharType="begin"/>
      </w:r>
      <w:r w:rsidRPr="000928E0">
        <w:rPr>
          <w:b/>
          <w:bCs/>
          <w:color w:val="000000" w:themeColor="text1"/>
          <w:sz w:val="22"/>
          <w:szCs w:val="22"/>
        </w:rPr>
        <w:instrText xml:space="preserve"> SEQ Tableau \* ARABIC </w:instrText>
      </w:r>
      <w:r w:rsidRPr="000928E0">
        <w:rPr>
          <w:b/>
          <w:bCs/>
          <w:color w:val="000000" w:themeColor="text1"/>
          <w:sz w:val="22"/>
          <w:szCs w:val="22"/>
        </w:rPr>
        <w:fldChar w:fldCharType="separate"/>
      </w:r>
      <w:r>
        <w:rPr>
          <w:b/>
          <w:bCs/>
          <w:noProof/>
          <w:color w:val="000000" w:themeColor="text1"/>
          <w:sz w:val="22"/>
          <w:szCs w:val="22"/>
        </w:rPr>
        <w:t>4</w:t>
      </w:r>
      <w:r w:rsidRPr="000928E0">
        <w:rPr>
          <w:b/>
          <w:bCs/>
          <w:color w:val="000000" w:themeColor="text1"/>
          <w:sz w:val="22"/>
          <w:szCs w:val="22"/>
        </w:rPr>
        <w:fldChar w:fldCharType="end"/>
      </w:r>
      <w:r w:rsidRPr="000928E0">
        <w:rPr>
          <w:b/>
          <w:bCs/>
          <w:color w:val="000000" w:themeColor="text1"/>
          <w:sz w:val="22"/>
          <w:szCs w:val="22"/>
        </w:rPr>
        <w:t> : Contribution de l’agriculture au PIB national en 2050 et 2100 avec les CC</w:t>
      </w:r>
      <w:bookmarkEnd w:id="727"/>
    </w:p>
    <w:tbl>
      <w:tblPr>
        <w:tblW w:w="9108" w:type="dxa"/>
        <w:tblCellMar>
          <w:left w:w="70" w:type="dxa"/>
          <w:right w:w="70" w:type="dxa"/>
        </w:tblCellMar>
        <w:tblLook w:val="04A0" w:firstRow="1" w:lastRow="0" w:firstColumn="1" w:lastColumn="0" w:noHBand="0" w:noVBand="1"/>
      </w:tblPr>
      <w:tblGrid>
        <w:gridCol w:w="1408"/>
        <w:gridCol w:w="2500"/>
        <w:gridCol w:w="2620"/>
        <w:gridCol w:w="2580"/>
      </w:tblGrid>
      <w:tr w:rsidR="00412F22" w:rsidRPr="001C2928" w14:paraId="6ED82630" w14:textId="77777777" w:rsidTr="00EE0E23">
        <w:trPr>
          <w:trHeight w:val="1043"/>
        </w:trPr>
        <w:tc>
          <w:tcPr>
            <w:tcW w:w="1408" w:type="dxa"/>
            <w:tcBorders>
              <w:top w:val="single" w:sz="8" w:space="0" w:color="auto"/>
              <w:left w:val="single" w:sz="8" w:space="0" w:color="auto"/>
              <w:bottom w:val="single" w:sz="8" w:space="0" w:color="auto"/>
              <w:right w:val="nil"/>
            </w:tcBorders>
            <w:shd w:val="clear" w:color="auto" w:fill="auto"/>
            <w:noWrap/>
            <w:vAlign w:val="center"/>
            <w:hideMark/>
          </w:tcPr>
          <w:p w14:paraId="6879BD7F" w14:textId="77777777" w:rsidR="00412F22" w:rsidRPr="001C2928" w:rsidRDefault="00412F22" w:rsidP="00EE0E23">
            <w:pPr>
              <w:rPr>
                <w:rFonts w:ascii="Calibri" w:hAnsi="Calibri" w:cs="Calibri"/>
                <w:b/>
                <w:bCs/>
                <w:color w:val="000000" w:themeColor="text1"/>
              </w:rPr>
            </w:pPr>
            <w:r w:rsidRPr="001C2928">
              <w:rPr>
                <w:rFonts w:ascii="Calibri" w:hAnsi="Calibri" w:cs="Calibri"/>
                <w:b/>
                <w:bCs/>
                <w:color w:val="000000" w:themeColor="text1"/>
              </w:rPr>
              <w:t>Horizons</w:t>
            </w:r>
          </w:p>
        </w:tc>
        <w:tc>
          <w:tcPr>
            <w:tcW w:w="25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1679E16" w14:textId="77777777" w:rsidR="00412F22" w:rsidRPr="001C2928" w:rsidRDefault="00412F22" w:rsidP="00EE0E23">
            <w:pPr>
              <w:jc w:val="center"/>
              <w:rPr>
                <w:rFonts w:ascii="Calibri" w:hAnsi="Calibri" w:cs="Calibri"/>
                <w:b/>
                <w:bCs/>
                <w:color w:val="000000" w:themeColor="text1"/>
              </w:rPr>
            </w:pPr>
            <w:r w:rsidRPr="001C2928">
              <w:rPr>
                <w:rFonts w:ascii="Calibri" w:hAnsi="Calibri" w:cs="Calibri"/>
                <w:b/>
                <w:bCs/>
                <w:color w:val="000000" w:themeColor="text1"/>
              </w:rPr>
              <w:t xml:space="preserve">Pertes </w:t>
            </w:r>
            <w:r>
              <w:rPr>
                <w:rFonts w:ascii="Calibri" w:hAnsi="Calibri" w:cs="Calibri"/>
                <w:b/>
                <w:bCs/>
                <w:color w:val="000000" w:themeColor="text1"/>
              </w:rPr>
              <w:t xml:space="preserve">de </w:t>
            </w:r>
            <w:r w:rsidRPr="001C2928">
              <w:rPr>
                <w:rFonts w:ascii="Calibri" w:hAnsi="Calibri" w:cs="Calibri"/>
                <w:b/>
                <w:bCs/>
                <w:color w:val="000000" w:themeColor="text1"/>
              </w:rPr>
              <w:t>superfic</w:t>
            </w:r>
            <w:r>
              <w:rPr>
                <w:rFonts w:ascii="Calibri" w:hAnsi="Calibri" w:cs="Calibri"/>
                <w:b/>
                <w:bCs/>
                <w:color w:val="000000" w:themeColor="text1"/>
              </w:rPr>
              <w:t>i</w:t>
            </w:r>
            <w:r w:rsidRPr="001C2928">
              <w:rPr>
                <w:rFonts w:ascii="Calibri" w:hAnsi="Calibri" w:cs="Calibri"/>
                <w:b/>
                <w:bCs/>
                <w:color w:val="000000" w:themeColor="text1"/>
              </w:rPr>
              <w:t xml:space="preserve">e </w:t>
            </w:r>
            <w:r>
              <w:rPr>
                <w:rFonts w:ascii="Calibri" w:hAnsi="Calibri" w:cs="Calibri"/>
                <w:b/>
                <w:bCs/>
                <w:color w:val="000000" w:themeColor="text1"/>
              </w:rPr>
              <w:t xml:space="preserve">des </w:t>
            </w:r>
            <w:r w:rsidRPr="001C2928">
              <w:rPr>
                <w:rFonts w:ascii="Calibri" w:hAnsi="Calibri" w:cs="Calibri"/>
                <w:b/>
                <w:bCs/>
                <w:color w:val="000000" w:themeColor="text1"/>
              </w:rPr>
              <w:t>terres cultivables à l’horizon</w:t>
            </w:r>
          </w:p>
        </w:tc>
        <w:tc>
          <w:tcPr>
            <w:tcW w:w="2620" w:type="dxa"/>
            <w:tcBorders>
              <w:top w:val="single" w:sz="8" w:space="0" w:color="auto"/>
              <w:left w:val="nil"/>
              <w:bottom w:val="single" w:sz="8" w:space="0" w:color="auto"/>
              <w:right w:val="nil"/>
            </w:tcBorders>
            <w:shd w:val="clear" w:color="auto" w:fill="auto"/>
            <w:vAlign w:val="center"/>
            <w:hideMark/>
          </w:tcPr>
          <w:p w14:paraId="1F286984" w14:textId="77777777" w:rsidR="00412F22" w:rsidRPr="001C2928" w:rsidRDefault="00412F22" w:rsidP="00EE0E23">
            <w:pPr>
              <w:jc w:val="center"/>
              <w:rPr>
                <w:rFonts w:ascii="Calibri" w:hAnsi="Calibri" w:cs="Calibri"/>
                <w:b/>
                <w:bCs/>
                <w:color w:val="000000" w:themeColor="text1"/>
              </w:rPr>
            </w:pPr>
            <w:r w:rsidRPr="001C2928">
              <w:rPr>
                <w:rFonts w:ascii="Calibri" w:hAnsi="Calibri" w:cs="Calibri"/>
                <w:b/>
                <w:bCs/>
                <w:color w:val="000000" w:themeColor="text1"/>
              </w:rPr>
              <w:t>Contribution moyenne du secteur au PIB sur la période 2019 -2023</w:t>
            </w:r>
          </w:p>
        </w:tc>
        <w:tc>
          <w:tcPr>
            <w:tcW w:w="25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C64B748" w14:textId="77777777" w:rsidR="00412F22" w:rsidRPr="001C2928" w:rsidRDefault="00412F22" w:rsidP="00EE0E23">
            <w:pPr>
              <w:jc w:val="center"/>
              <w:rPr>
                <w:rFonts w:ascii="Calibri" w:hAnsi="Calibri" w:cs="Calibri"/>
                <w:b/>
                <w:bCs/>
                <w:color w:val="000000" w:themeColor="text1"/>
              </w:rPr>
            </w:pPr>
            <w:r w:rsidRPr="001C2928">
              <w:rPr>
                <w:rFonts w:ascii="Calibri" w:hAnsi="Calibri" w:cs="Calibri"/>
                <w:b/>
                <w:bCs/>
                <w:color w:val="000000" w:themeColor="text1"/>
              </w:rPr>
              <w:t xml:space="preserve"> PIB du « Secteur » à l'horizon</w:t>
            </w:r>
          </w:p>
        </w:tc>
      </w:tr>
      <w:tr w:rsidR="00412F22" w:rsidRPr="0016301A" w14:paraId="21129390" w14:textId="77777777" w:rsidTr="00EE0E23">
        <w:trPr>
          <w:trHeight w:val="320"/>
        </w:trPr>
        <w:tc>
          <w:tcPr>
            <w:tcW w:w="1408" w:type="dxa"/>
            <w:tcBorders>
              <w:top w:val="nil"/>
              <w:left w:val="single" w:sz="8" w:space="0" w:color="auto"/>
              <w:bottom w:val="single" w:sz="4" w:space="0" w:color="auto"/>
              <w:right w:val="nil"/>
            </w:tcBorders>
            <w:shd w:val="clear" w:color="auto" w:fill="auto"/>
            <w:noWrap/>
            <w:vAlign w:val="bottom"/>
            <w:hideMark/>
          </w:tcPr>
          <w:p w14:paraId="753DE1F7" w14:textId="77777777" w:rsidR="00412F22" w:rsidRPr="0016301A" w:rsidRDefault="00412F22" w:rsidP="00EE0E23">
            <w:pPr>
              <w:jc w:val="center"/>
              <w:rPr>
                <w:rFonts w:ascii="Calibri" w:hAnsi="Calibri" w:cs="Calibri"/>
                <w:color w:val="000000" w:themeColor="text1"/>
              </w:rPr>
            </w:pPr>
            <w:r w:rsidRPr="0016301A">
              <w:rPr>
                <w:rFonts w:ascii="Calibri" w:hAnsi="Calibri" w:cs="Calibri"/>
                <w:color w:val="000000" w:themeColor="text1"/>
              </w:rPr>
              <w:t>2050</w:t>
            </w:r>
          </w:p>
        </w:tc>
        <w:tc>
          <w:tcPr>
            <w:tcW w:w="2500" w:type="dxa"/>
            <w:tcBorders>
              <w:top w:val="nil"/>
              <w:left w:val="single" w:sz="8" w:space="0" w:color="auto"/>
              <w:bottom w:val="single" w:sz="4" w:space="0" w:color="auto"/>
              <w:right w:val="single" w:sz="8" w:space="0" w:color="auto"/>
            </w:tcBorders>
            <w:shd w:val="clear" w:color="auto" w:fill="auto"/>
            <w:noWrap/>
            <w:vAlign w:val="bottom"/>
            <w:hideMark/>
          </w:tcPr>
          <w:p w14:paraId="6212BB89" w14:textId="77777777" w:rsidR="00412F22" w:rsidRPr="0016301A" w:rsidRDefault="00412F22" w:rsidP="00EE0E23">
            <w:pPr>
              <w:jc w:val="right"/>
              <w:rPr>
                <w:rFonts w:ascii="Calibri" w:hAnsi="Calibri" w:cs="Calibri"/>
                <w:color w:val="000000" w:themeColor="text1"/>
              </w:rPr>
            </w:pPr>
            <w:r w:rsidRPr="0016301A">
              <w:rPr>
                <w:rFonts w:ascii="Calibri" w:hAnsi="Calibri" w:cs="Calibri"/>
                <w:color w:val="000000" w:themeColor="text1"/>
              </w:rPr>
              <w:t>6,25%</w:t>
            </w:r>
          </w:p>
        </w:tc>
        <w:tc>
          <w:tcPr>
            <w:tcW w:w="2620" w:type="dxa"/>
            <w:tcBorders>
              <w:top w:val="nil"/>
              <w:left w:val="nil"/>
              <w:bottom w:val="single" w:sz="4" w:space="0" w:color="auto"/>
              <w:right w:val="single" w:sz="8" w:space="0" w:color="auto"/>
            </w:tcBorders>
            <w:shd w:val="clear" w:color="auto" w:fill="auto"/>
            <w:noWrap/>
            <w:vAlign w:val="bottom"/>
            <w:hideMark/>
          </w:tcPr>
          <w:p w14:paraId="03B16BE3" w14:textId="77777777" w:rsidR="00412F22" w:rsidRPr="0016301A" w:rsidRDefault="00412F22" w:rsidP="00EE0E23">
            <w:pPr>
              <w:jc w:val="right"/>
              <w:rPr>
                <w:rFonts w:ascii="Calibri" w:hAnsi="Calibri" w:cs="Calibri"/>
                <w:color w:val="000000" w:themeColor="text1"/>
              </w:rPr>
            </w:pPr>
            <w:r w:rsidRPr="0016301A">
              <w:rPr>
                <w:rFonts w:ascii="Calibri" w:hAnsi="Calibri" w:cs="Calibri"/>
                <w:color w:val="000000" w:themeColor="text1"/>
              </w:rPr>
              <w:t>4,48%</w:t>
            </w:r>
          </w:p>
        </w:tc>
        <w:tc>
          <w:tcPr>
            <w:tcW w:w="2580" w:type="dxa"/>
            <w:tcBorders>
              <w:top w:val="nil"/>
              <w:left w:val="nil"/>
              <w:bottom w:val="single" w:sz="4" w:space="0" w:color="auto"/>
              <w:right w:val="single" w:sz="8" w:space="0" w:color="auto"/>
            </w:tcBorders>
            <w:shd w:val="clear" w:color="auto" w:fill="auto"/>
            <w:noWrap/>
            <w:vAlign w:val="bottom"/>
            <w:hideMark/>
          </w:tcPr>
          <w:p w14:paraId="48849345" w14:textId="77777777" w:rsidR="00412F22" w:rsidRPr="0016301A" w:rsidRDefault="00412F22" w:rsidP="00EE0E23">
            <w:pPr>
              <w:jc w:val="right"/>
              <w:rPr>
                <w:rFonts w:ascii="Calibri" w:hAnsi="Calibri" w:cs="Calibri"/>
                <w:color w:val="000000" w:themeColor="text1"/>
              </w:rPr>
            </w:pPr>
            <w:r w:rsidRPr="0016301A">
              <w:rPr>
                <w:rFonts w:ascii="Calibri" w:hAnsi="Calibri" w:cs="Calibri"/>
                <w:color w:val="000000" w:themeColor="text1"/>
              </w:rPr>
              <w:t>4,20%</w:t>
            </w:r>
          </w:p>
        </w:tc>
      </w:tr>
      <w:tr w:rsidR="00412F22" w:rsidRPr="0016301A" w14:paraId="63A5CE36" w14:textId="77777777" w:rsidTr="00EE0E23">
        <w:trPr>
          <w:trHeight w:val="171"/>
        </w:trPr>
        <w:tc>
          <w:tcPr>
            <w:tcW w:w="1408" w:type="dxa"/>
            <w:tcBorders>
              <w:top w:val="nil"/>
              <w:left w:val="single" w:sz="8" w:space="0" w:color="auto"/>
              <w:bottom w:val="single" w:sz="8" w:space="0" w:color="auto"/>
              <w:right w:val="nil"/>
            </w:tcBorders>
            <w:shd w:val="clear" w:color="auto" w:fill="auto"/>
            <w:noWrap/>
            <w:vAlign w:val="bottom"/>
            <w:hideMark/>
          </w:tcPr>
          <w:p w14:paraId="60B3B874" w14:textId="77777777" w:rsidR="00412F22" w:rsidRPr="0016301A" w:rsidRDefault="00412F22" w:rsidP="00EE0E23">
            <w:pPr>
              <w:jc w:val="center"/>
              <w:rPr>
                <w:rFonts w:ascii="Calibri" w:hAnsi="Calibri" w:cs="Calibri"/>
                <w:color w:val="000000" w:themeColor="text1"/>
              </w:rPr>
            </w:pPr>
            <w:r w:rsidRPr="0016301A">
              <w:rPr>
                <w:rFonts w:ascii="Calibri" w:hAnsi="Calibri" w:cs="Calibri"/>
                <w:color w:val="000000" w:themeColor="text1"/>
              </w:rPr>
              <w:t>2100</w:t>
            </w:r>
          </w:p>
        </w:tc>
        <w:tc>
          <w:tcPr>
            <w:tcW w:w="2500" w:type="dxa"/>
            <w:tcBorders>
              <w:top w:val="nil"/>
              <w:left w:val="single" w:sz="8" w:space="0" w:color="auto"/>
              <w:bottom w:val="single" w:sz="8" w:space="0" w:color="auto"/>
              <w:right w:val="single" w:sz="8" w:space="0" w:color="auto"/>
            </w:tcBorders>
            <w:shd w:val="clear" w:color="auto" w:fill="auto"/>
            <w:noWrap/>
            <w:vAlign w:val="bottom"/>
            <w:hideMark/>
          </w:tcPr>
          <w:p w14:paraId="69B81C5F" w14:textId="77777777" w:rsidR="00412F22" w:rsidRPr="0016301A" w:rsidRDefault="00412F22" w:rsidP="00EE0E23">
            <w:pPr>
              <w:jc w:val="right"/>
              <w:rPr>
                <w:rFonts w:ascii="Calibri" w:hAnsi="Calibri" w:cs="Calibri"/>
                <w:color w:val="000000" w:themeColor="text1"/>
              </w:rPr>
            </w:pPr>
            <w:r w:rsidRPr="0016301A">
              <w:rPr>
                <w:rFonts w:ascii="Calibri" w:hAnsi="Calibri" w:cs="Calibri"/>
                <w:color w:val="000000" w:themeColor="text1"/>
              </w:rPr>
              <w:t>12,50%</w:t>
            </w:r>
          </w:p>
        </w:tc>
        <w:tc>
          <w:tcPr>
            <w:tcW w:w="2620" w:type="dxa"/>
            <w:tcBorders>
              <w:top w:val="nil"/>
              <w:left w:val="nil"/>
              <w:bottom w:val="single" w:sz="4" w:space="0" w:color="auto"/>
              <w:right w:val="single" w:sz="8" w:space="0" w:color="auto"/>
            </w:tcBorders>
            <w:shd w:val="clear" w:color="auto" w:fill="auto"/>
            <w:noWrap/>
            <w:vAlign w:val="bottom"/>
            <w:hideMark/>
          </w:tcPr>
          <w:p w14:paraId="5725475F" w14:textId="77777777" w:rsidR="00412F22" w:rsidRPr="0016301A" w:rsidRDefault="00412F22" w:rsidP="00EE0E23">
            <w:pPr>
              <w:jc w:val="right"/>
              <w:rPr>
                <w:rFonts w:ascii="Calibri" w:hAnsi="Calibri" w:cs="Calibri"/>
                <w:color w:val="000000" w:themeColor="text1"/>
              </w:rPr>
            </w:pPr>
            <w:r w:rsidRPr="0016301A">
              <w:rPr>
                <w:rFonts w:ascii="Calibri" w:hAnsi="Calibri" w:cs="Calibri"/>
                <w:color w:val="000000" w:themeColor="text1"/>
              </w:rPr>
              <w:t>4,48%</w:t>
            </w:r>
          </w:p>
        </w:tc>
        <w:tc>
          <w:tcPr>
            <w:tcW w:w="2580" w:type="dxa"/>
            <w:tcBorders>
              <w:top w:val="nil"/>
              <w:left w:val="nil"/>
              <w:bottom w:val="single" w:sz="4" w:space="0" w:color="auto"/>
              <w:right w:val="single" w:sz="8" w:space="0" w:color="auto"/>
            </w:tcBorders>
            <w:shd w:val="clear" w:color="auto" w:fill="auto"/>
            <w:noWrap/>
            <w:vAlign w:val="bottom"/>
            <w:hideMark/>
          </w:tcPr>
          <w:p w14:paraId="4C2FDFB4" w14:textId="77777777" w:rsidR="00412F22" w:rsidRPr="0016301A" w:rsidRDefault="00412F22" w:rsidP="00EE0E23">
            <w:pPr>
              <w:jc w:val="right"/>
              <w:rPr>
                <w:rFonts w:ascii="Calibri" w:hAnsi="Calibri" w:cs="Calibri"/>
                <w:color w:val="000000" w:themeColor="text1"/>
              </w:rPr>
            </w:pPr>
            <w:r w:rsidRPr="0016301A">
              <w:rPr>
                <w:rFonts w:ascii="Calibri" w:hAnsi="Calibri" w:cs="Calibri"/>
                <w:color w:val="000000" w:themeColor="text1"/>
              </w:rPr>
              <w:t>3,92%</w:t>
            </w:r>
          </w:p>
        </w:tc>
      </w:tr>
    </w:tbl>
    <w:p w14:paraId="6AE4D4F1" w14:textId="77777777" w:rsidR="00412F22" w:rsidRDefault="00412F22" w:rsidP="00412F22">
      <w:pPr>
        <w:pStyle w:val="Corpsdetexte"/>
        <w:rPr>
          <w:rFonts w:asciiTheme="minorHAnsi" w:hAnsiTheme="minorHAnsi" w:cstheme="minorHAnsi"/>
          <w:color w:val="000000" w:themeColor="text1"/>
        </w:rPr>
      </w:pPr>
      <w:r w:rsidRPr="0016301A">
        <w:rPr>
          <w:rFonts w:asciiTheme="minorHAnsi" w:hAnsiTheme="minorHAnsi" w:cstheme="minorHAnsi"/>
          <w:color w:val="000000" w:themeColor="text1"/>
        </w:rPr>
        <w:t xml:space="preserve"> : </w:t>
      </w:r>
    </w:p>
    <w:p w14:paraId="67CA0DE5" w14:textId="77777777" w:rsidR="00412F22" w:rsidRDefault="00412F22" w:rsidP="00412F22">
      <w:pPr>
        <w:pStyle w:val="Corpsdetexte"/>
        <w:rPr>
          <w:rFonts w:asciiTheme="minorHAnsi" w:hAnsiTheme="minorHAnsi" w:cstheme="minorHAnsi"/>
          <w:color w:val="000000" w:themeColor="text1"/>
        </w:rPr>
      </w:pPr>
    </w:p>
    <w:p w14:paraId="4D83FD35" w14:textId="77777777" w:rsidR="00412F22" w:rsidRDefault="00412F22" w:rsidP="00412F22">
      <w:pPr>
        <w:rPr>
          <w:rFonts w:cstheme="minorHAnsi"/>
          <w:b/>
          <w:bCs/>
          <w:color w:val="000000" w:themeColor="text1"/>
        </w:rPr>
      </w:pPr>
    </w:p>
    <w:p w14:paraId="5B95AD20" w14:textId="77777777" w:rsidR="00412F22" w:rsidRPr="0016301A" w:rsidRDefault="00412F22" w:rsidP="00412F22">
      <w:pPr>
        <w:pStyle w:val="Corpsdetexte"/>
        <w:jc w:val="center"/>
        <w:rPr>
          <w:rFonts w:asciiTheme="minorHAnsi" w:hAnsiTheme="minorHAnsi" w:cstheme="minorHAnsi"/>
          <w:b/>
          <w:bCs/>
          <w:color w:val="000000" w:themeColor="text1"/>
        </w:rPr>
      </w:pPr>
      <w:r w:rsidRPr="0016301A">
        <w:rPr>
          <w:rFonts w:asciiTheme="minorHAnsi" w:hAnsiTheme="minorHAnsi" w:cstheme="minorHAnsi"/>
          <w:b/>
          <w:bCs/>
          <w:color w:val="000000" w:themeColor="text1"/>
        </w:rPr>
        <w:t>SECTEUR ELEVAGE</w:t>
      </w:r>
    </w:p>
    <w:p w14:paraId="181F7A6C" w14:textId="77777777" w:rsidR="00412F22" w:rsidRPr="0016301A" w:rsidRDefault="00412F22" w:rsidP="00412F22">
      <w:pPr>
        <w:pStyle w:val="Corpsdetexte"/>
        <w:rPr>
          <w:rFonts w:asciiTheme="minorHAnsi" w:hAnsiTheme="minorHAnsi" w:cstheme="minorHAnsi"/>
          <w:b/>
          <w:bCs/>
          <w:color w:val="000000" w:themeColor="text1"/>
        </w:rPr>
      </w:pPr>
    </w:p>
    <w:p w14:paraId="0AA833E4" w14:textId="77777777" w:rsidR="00412F22" w:rsidRPr="0016301A" w:rsidRDefault="00412F22" w:rsidP="00412F22">
      <w:pPr>
        <w:pStyle w:val="Corpsdetexte"/>
        <w:spacing w:line="276" w:lineRule="auto"/>
        <w:rPr>
          <w:rFonts w:asciiTheme="minorHAnsi" w:hAnsiTheme="minorHAnsi" w:cstheme="minorHAnsi"/>
          <w:color w:val="000000" w:themeColor="text1"/>
        </w:rPr>
      </w:pPr>
      <w:r w:rsidRPr="00721CC8">
        <w:rPr>
          <w:rFonts w:asciiTheme="minorHAnsi" w:hAnsiTheme="minorHAnsi" w:cstheme="minorHAnsi"/>
          <w:color w:val="000000" w:themeColor="text1"/>
        </w:rPr>
        <w:t xml:space="preserve">Pour le secteur de l’élevage, </w:t>
      </w:r>
      <w:r>
        <w:rPr>
          <w:rFonts w:asciiTheme="minorHAnsi" w:hAnsiTheme="minorHAnsi" w:cstheme="minorHAnsi"/>
          <w:color w:val="000000" w:themeColor="text1"/>
        </w:rPr>
        <w:t>il y’a peu de données quantitatives sur l’évolution des pâturages, due aux changements climatiques. Des estimations indiquent une perte totale de 86 000 ha, sur la période allant de 2001 à 2016</w:t>
      </w:r>
      <w:r>
        <w:rPr>
          <w:rStyle w:val="Appelnotedebasdep"/>
          <w:rFonts w:asciiTheme="minorHAnsi" w:hAnsiTheme="minorHAnsi" w:cstheme="minorHAnsi"/>
          <w:color w:val="000000" w:themeColor="text1"/>
        </w:rPr>
        <w:footnoteReference w:id="80"/>
      </w:r>
      <w:r w:rsidRPr="00721CC8">
        <w:rPr>
          <w:rFonts w:asciiTheme="minorHAnsi" w:hAnsiTheme="minorHAnsi" w:cstheme="minorHAnsi"/>
          <w:color w:val="000000" w:themeColor="text1"/>
        </w:rPr>
        <w:t xml:space="preserve">.  </w:t>
      </w:r>
      <w:r>
        <w:rPr>
          <w:rFonts w:asciiTheme="minorHAnsi" w:hAnsiTheme="minorHAnsi" w:cstheme="minorHAnsi"/>
          <w:color w:val="000000" w:themeColor="text1"/>
        </w:rPr>
        <w:t>Considérant que la superficie totale des pâturages, en Mauritanie, est de 38 Millions d’ha, le pourcentage de perte annuelle est de 0,02% par an, soit 0,41% à l’horizon 2050 et 1,16% à l’horizon 2100. Il en découle les contributions de l’élevage de 10,08% à l’horizon 2050 et 10% à l’horizon 2100.</w:t>
      </w:r>
    </w:p>
    <w:p w14:paraId="71DB5D35" w14:textId="77777777" w:rsidR="00412F22" w:rsidRPr="00081166" w:rsidRDefault="00412F22" w:rsidP="00412F22">
      <w:pPr>
        <w:pStyle w:val="Corpsdetexte"/>
        <w:spacing w:line="276" w:lineRule="auto"/>
        <w:rPr>
          <w:rFonts w:asciiTheme="minorHAnsi" w:hAnsiTheme="minorHAnsi" w:cstheme="minorHAnsi"/>
          <w:color w:val="000000" w:themeColor="text1"/>
          <w:sz w:val="14"/>
          <w:szCs w:val="14"/>
        </w:rPr>
      </w:pPr>
    </w:p>
    <w:p w14:paraId="0793C0FB" w14:textId="77777777" w:rsidR="00412F22" w:rsidRPr="000928E0" w:rsidRDefault="00412F22" w:rsidP="00412F22">
      <w:pPr>
        <w:pStyle w:val="Lgende"/>
        <w:jc w:val="center"/>
        <w:rPr>
          <w:b/>
          <w:bCs/>
          <w:color w:val="000000" w:themeColor="text1"/>
          <w:sz w:val="22"/>
          <w:szCs w:val="22"/>
        </w:rPr>
      </w:pPr>
      <w:bookmarkStart w:id="728" w:name="_Toc192462648"/>
      <w:r w:rsidRPr="000928E0">
        <w:rPr>
          <w:b/>
          <w:bCs/>
          <w:color w:val="000000" w:themeColor="text1"/>
          <w:sz w:val="22"/>
          <w:szCs w:val="22"/>
        </w:rPr>
        <w:t xml:space="preserve">Tableau </w:t>
      </w:r>
      <w:r w:rsidRPr="000928E0">
        <w:rPr>
          <w:b/>
          <w:bCs/>
          <w:color w:val="000000" w:themeColor="text1"/>
          <w:sz w:val="22"/>
          <w:szCs w:val="22"/>
        </w:rPr>
        <w:fldChar w:fldCharType="begin"/>
      </w:r>
      <w:r w:rsidRPr="000928E0">
        <w:rPr>
          <w:b/>
          <w:bCs/>
          <w:color w:val="000000" w:themeColor="text1"/>
          <w:sz w:val="22"/>
          <w:szCs w:val="22"/>
        </w:rPr>
        <w:instrText xml:space="preserve"> SEQ Tableau \* ARABIC </w:instrText>
      </w:r>
      <w:r w:rsidRPr="000928E0">
        <w:rPr>
          <w:b/>
          <w:bCs/>
          <w:color w:val="000000" w:themeColor="text1"/>
          <w:sz w:val="22"/>
          <w:szCs w:val="22"/>
        </w:rPr>
        <w:fldChar w:fldCharType="separate"/>
      </w:r>
      <w:r>
        <w:rPr>
          <w:b/>
          <w:bCs/>
          <w:noProof/>
          <w:color w:val="000000" w:themeColor="text1"/>
          <w:sz w:val="22"/>
          <w:szCs w:val="22"/>
        </w:rPr>
        <w:t>5</w:t>
      </w:r>
      <w:r w:rsidRPr="000928E0">
        <w:rPr>
          <w:b/>
          <w:bCs/>
          <w:color w:val="000000" w:themeColor="text1"/>
          <w:sz w:val="22"/>
          <w:szCs w:val="22"/>
        </w:rPr>
        <w:fldChar w:fldCharType="end"/>
      </w:r>
      <w:r w:rsidRPr="000928E0">
        <w:rPr>
          <w:b/>
          <w:bCs/>
          <w:color w:val="000000" w:themeColor="text1"/>
          <w:sz w:val="22"/>
          <w:szCs w:val="22"/>
        </w:rPr>
        <w:t> : Contribution de l’élevage au PIB national en 2050 et 2100 avec les CC</w:t>
      </w:r>
      <w:bookmarkEnd w:id="728"/>
    </w:p>
    <w:tbl>
      <w:tblPr>
        <w:tblW w:w="9346" w:type="dxa"/>
        <w:tblCellMar>
          <w:left w:w="70" w:type="dxa"/>
          <w:right w:w="70" w:type="dxa"/>
        </w:tblCellMar>
        <w:tblLook w:val="04A0" w:firstRow="1" w:lastRow="0" w:firstColumn="1" w:lastColumn="0" w:noHBand="0" w:noVBand="1"/>
      </w:tblPr>
      <w:tblGrid>
        <w:gridCol w:w="2740"/>
        <w:gridCol w:w="2500"/>
        <w:gridCol w:w="2620"/>
        <w:gridCol w:w="1486"/>
      </w:tblGrid>
      <w:tr w:rsidR="00412F22" w14:paraId="7695EAEB" w14:textId="77777777" w:rsidTr="00EE0E23">
        <w:trPr>
          <w:trHeight w:val="455"/>
        </w:trPr>
        <w:tc>
          <w:tcPr>
            <w:tcW w:w="2740" w:type="dxa"/>
            <w:tcBorders>
              <w:top w:val="single" w:sz="8" w:space="0" w:color="auto"/>
              <w:left w:val="single" w:sz="8" w:space="0" w:color="auto"/>
              <w:bottom w:val="single" w:sz="8" w:space="0" w:color="auto"/>
              <w:right w:val="nil"/>
            </w:tcBorders>
            <w:shd w:val="clear" w:color="auto" w:fill="auto"/>
            <w:noWrap/>
            <w:vAlign w:val="center"/>
            <w:hideMark/>
          </w:tcPr>
          <w:p w14:paraId="4A5F0113" w14:textId="77777777" w:rsidR="00412F22" w:rsidRDefault="00412F22" w:rsidP="00EE0E23">
            <w:pPr>
              <w:jc w:val="center"/>
              <w:rPr>
                <w:rFonts w:ascii="Calibri" w:hAnsi="Calibri" w:cs="Calibri"/>
                <w:color w:val="000000"/>
              </w:rPr>
            </w:pPr>
            <w:r>
              <w:rPr>
                <w:rFonts w:ascii="Calibri" w:hAnsi="Calibri" w:cs="Calibri"/>
                <w:color w:val="000000"/>
              </w:rPr>
              <w:t>Horizons</w:t>
            </w:r>
          </w:p>
        </w:tc>
        <w:tc>
          <w:tcPr>
            <w:tcW w:w="25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9B90FF8" w14:textId="77777777" w:rsidR="00412F22" w:rsidRDefault="00412F22" w:rsidP="00EE0E23">
            <w:pPr>
              <w:jc w:val="center"/>
              <w:rPr>
                <w:rFonts w:ascii="Calibri" w:hAnsi="Calibri" w:cs="Calibri"/>
                <w:color w:val="000000"/>
              </w:rPr>
            </w:pPr>
            <w:r w:rsidRPr="0016301A">
              <w:rPr>
                <w:rFonts w:ascii="Calibri" w:hAnsi="Calibri" w:cs="Calibri"/>
                <w:color w:val="000000" w:themeColor="text1"/>
              </w:rPr>
              <w:t>Pertes pâturages à l’horizon</w:t>
            </w:r>
          </w:p>
        </w:tc>
        <w:tc>
          <w:tcPr>
            <w:tcW w:w="2620" w:type="dxa"/>
            <w:tcBorders>
              <w:top w:val="single" w:sz="8" w:space="0" w:color="auto"/>
              <w:left w:val="nil"/>
              <w:bottom w:val="single" w:sz="8" w:space="0" w:color="auto"/>
              <w:right w:val="nil"/>
            </w:tcBorders>
            <w:shd w:val="clear" w:color="auto" w:fill="auto"/>
            <w:vAlign w:val="center"/>
            <w:hideMark/>
          </w:tcPr>
          <w:p w14:paraId="0BA65D50" w14:textId="77777777" w:rsidR="00412F22" w:rsidRDefault="00412F22" w:rsidP="00EE0E23">
            <w:pPr>
              <w:jc w:val="center"/>
              <w:rPr>
                <w:rFonts w:ascii="Calibri" w:hAnsi="Calibri" w:cs="Calibri"/>
                <w:color w:val="000000"/>
              </w:rPr>
            </w:pPr>
            <w:r>
              <w:rPr>
                <w:rFonts w:ascii="Calibri" w:hAnsi="Calibri" w:cs="Calibri"/>
                <w:color w:val="000000"/>
              </w:rPr>
              <w:t>Contribution moyenne au PIB de 2019 à 2023</w:t>
            </w:r>
          </w:p>
        </w:tc>
        <w:tc>
          <w:tcPr>
            <w:tcW w:w="148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566CBB" w14:textId="77777777" w:rsidR="00412F22" w:rsidRDefault="00412F22" w:rsidP="00EE0E23">
            <w:pPr>
              <w:jc w:val="center"/>
              <w:rPr>
                <w:rFonts w:ascii="Calibri" w:hAnsi="Calibri" w:cs="Calibri"/>
                <w:color w:val="000000"/>
              </w:rPr>
            </w:pPr>
            <w:r>
              <w:rPr>
                <w:rFonts w:ascii="Calibri" w:hAnsi="Calibri" w:cs="Calibri"/>
                <w:color w:val="000000"/>
              </w:rPr>
              <w:t>PIB élevage à l'horizon</w:t>
            </w:r>
          </w:p>
        </w:tc>
      </w:tr>
      <w:tr w:rsidR="00412F22" w14:paraId="19BC967B" w14:textId="77777777" w:rsidTr="00EE0E23">
        <w:trPr>
          <w:trHeight w:val="138"/>
        </w:trPr>
        <w:tc>
          <w:tcPr>
            <w:tcW w:w="2740" w:type="dxa"/>
            <w:tcBorders>
              <w:top w:val="nil"/>
              <w:left w:val="single" w:sz="8" w:space="0" w:color="auto"/>
              <w:bottom w:val="single" w:sz="4" w:space="0" w:color="auto"/>
              <w:right w:val="nil"/>
            </w:tcBorders>
            <w:shd w:val="clear" w:color="auto" w:fill="auto"/>
            <w:noWrap/>
            <w:vAlign w:val="bottom"/>
            <w:hideMark/>
          </w:tcPr>
          <w:p w14:paraId="706220EB" w14:textId="77777777" w:rsidR="00412F22" w:rsidRDefault="00412F22" w:rsidP="00EE0E23">
            <w:pPr>
              <w:jc w:val="center"/>
              <w:rPr>
                <w:rFonts w:ascii="Calibri" w:hAnsi="Calibri" w:cs="Calibri"/>
                <w:color w:val="000000"/>
              </w:rPr>
            </w:pPr>
            <w:r>
              <w:rPr>
                <w:rFonts w:ascii="Calibri" w:hAnsi="Calibri" w:cs="Calibri"/>
                <w:color w:val="000000"/>
              </w:rPr>
              <w:t>2050</w:t>
            </w:r>
          </w:p>
        </w:tc>
        <w:tc>
          <w:tcPr>
            <w:tcW w:w="2500" w:type="dxa"/>
            <w:tcBorders>
              <w:top w:val="nil"/>
              <w:left w:val="single" w:sz="8" w:space="0" w:color="auto"/>
              <w:bottom w:val="single" w:sz="4" w:space="0" w:color="auto"/>
              <w:right w:val="single" w:sz="8" w:space="0" w:color="auto"/>
            </w:tcBorders>
            <w:shd w:val="clear" w:color="auto" w:fill="auto"/>
            <w:noWrap/>
            <w:vAlign w:val="bottom"/>
            <w:hideMark/>
          </w:tcPr>
          <w:p w14:paraId="7F95D8C5" w14:textId="77777777" w:rsidR="00412F22" w:rsidRDefault="00412F22" w:rsidP="00EE0E23">
            <w:pPr>
              <w:rPr>
                <w:rFonts w:ascii="Calibri" w:hAnsi="Calibri" w:cs="Calibri"/>
                <w:color w:val="000000"/>
              </w:rPr>
            </w:pPr>
            <w:r>
              <w:rPr>
                <w:rFonts w:ascii="Calibri" w:hAnsi="Calibri" w:cs="Calibri"/>
                <w:color w:val="000000"/>
              </w:rPr>
              <w:t>0,41%</w:t>
            </w:r>
          </w:p>
        </w:tc>
        <w:tc>
          <w:tcPr>
            <w:tcW w:w="2620" w:type="dxa"/>
            <w:tcBorders>
              <w:top w:val="nil"/>
              <w:left w:val="nil"/>
              <w:bottom w:val="single" w:sz="4" w:space="0" w:color="auto"/>
              <w:right w:val="single" w:sz="8" w:space="0" w:color="auto"/>
            </w:tcBorders>
            <w:shd w:val="clear" w:color="auto" w:fill="auto"/>
            <w:noWrap/>
            <w:vAlign w:val="bottom"/>
            <w:hideMark/>
          </w:tcPr>
          <w:p w14:paraId="32A9F215" w14:textId="77777777" w:rsidR="00412F22" w:rsidRDefault="00412F22" w:rsidP="00EE0E23">
            <w:pPr>
              <w:jc w:val="center"/>
              <w:rPr>
                <w:rFonts w:ascii="Calibri" w:hAnsi="Calibri" w:cs="Calibri"/>
                <w:color w:val="000000"/>
              </w:rPr>
            </w:pPr>
            <w:r>
              <w:rPr>
                <w:rFonts w:ascii="Calibri" w:hAnsi="Calibri" w:cs="Calibri"/>
                <w:color w:val="000000"/>
              </w:rPr>
              <w:t>10,12%</w:t>
            </w:r>
          </w:p>
        </w:tc>
        <w:tc>
          <w:tcPr>
            <w:tcW w:w="1486" w:type="dxa"/>
            <w:tcBorders>
              <w:top w:val="nil"/>
              <w:left w:val="nil"/>
              <w:bottom w:val="single" w:sz="4" w:space="0" w:color="auto"/>
              <w:right w:val="single" w:sz="8" w:space="0" w:color="auto"/>
            </w:tcBorders>
            <w:shd w:val="clear" w:color="auto" w:fill="auto"/>
            <w:noWrap/>
            <w:vAlign w:val="bottom"/>
            <w:hideMark/>
          </w:tcPr>
          <w:p w14:paraId="3CB8D47D" w14:textId="77777777" w:rsidR="00412F22" w:rsidRDefault="00412F22" w:rsidP="00EE0E23">
            <w:pPr>
              <w:jc w:val="center"/>
              <w:rPr>
                <w:rFonts w:ascii="Calibri" w:hAnsi="Calibri" w:cs="Calibri"/>
                <w:color w:val="000000"/>
              </w:rPr>
            </w:pPr>
            <w:r>
              <w:rPr>
                <w:rFonts w:ascii="Calibri" w:hAnsi="Calibri" w:cs="Calibri"/>
                <w:color w:val="000000"/>
              </w:rPr>
              <w:t>10,08%</w:t>
            </w:r>
          </w:p>
        </w:tc>
      </w:tr>
      <w:tr w:rsidR="00412F22" w14:paraId="243C0997" w14:textId="77777777" w:rsidTr="00EE0E23">
        <w:trPr>
          <w:trHeight w:val="265"/>
        </w:trPr>
        <w:tc>
          <w:tcPr>
            <w:tcW w:w="2740" w:type="dxa"/>
            <w:tcBorders>
              <w:top w:val="nil"/>
              <w:left w:val="single" w:sz="8" w:space="0" w:color="auto"/>
              <w:bottom w:val="single" w:sz="8" w:space="0" w:color="auto"/>
              <w:right w:val="nil"/>
            </w:tcBorders>
            <w:shd w:val="clear" w:color="auto" w:fill="auto"/>
            <w:noWrap/>
            <w:vAlign w:val="bottom"/>
            <w:hideMark/>
          </w:tcPr>
          <w:p w14:paraId="72E5A2B4" w14:textId="77777777" w:rsidR="00412F22" w:rsidRDefault="00412F22" w:rsidP="00EE0E23">
            <w:pPr>
              <w:jc w:val="center"/>
              <w:rPr>
                <w:rFonts w:ascii="Calibri" w:hAnsi="Calibri" w:cs="Calibri"/>
                <w:color w:val="000000"/>
              </w:rPr>
            </w:pPr>
            <w:r>
              <w:rPr>
                <w:rFonts w:ascii="Calibri" w:hAnsi="Calibri" w:cs="Calibri"/>
                <w:color w:val="000000"/>
              </w:rPr>
              <w:t>2100</w:t>
            </w:r>
          </w:p>
        </w:tc>
        <w:tc>
          <w:tcPr>
            <w:tcW w:w="2500" w:type="dxa"/>
            <w:tcBorders>
              <w:top w:val="nil"/>
              <w:left w:val="single" w:sz="8" w:space="0" w:color="auto"/>
              <w:bottom w:val="single" w:sz="4" w:space="0" w:color="auto"/>
              <w:right w:val="single" w:sz="8" w:space="0" w:color="auto"/>
            </w:tcBorders>
            <w:shd w:val="clear" w:color="auto" w:fill="auto"/>
            <w:noWrap/>
            <w:vAlign w:val="bottom"/>
            <w:hideMark/>
          </w:tcPr>
          <w:p w14:paraId="6E9FD22B" w14:textId="77777777" w:rsidR="00412F22" w:rsidRDefault="00412F22" w:rsidP="00EE0E23">
            <w:pPr>
              <w:rPr>
                <w:rFonts w:ascii="Calibri" w:hAnsi="Calibri" w:cs="Calibri"/>
                <w:color w:val="000000"/>
              </w:rPr>
            </w:pPr>
            <w:r>
              <w:rPr>
                <w:rFonts w:ascii="Calibri" w:hAnsi="Calibri" w:cs="Calibri"/>
                <w:color w:val="000000"/>
              </w:rPr>
              <w:t>1,16%</w:t>
            </w:r>
          </w:p>
        </w:tc>
        <w:tc>
          <w:tcPr>
            <w:tcW w:w="2620" w:type="dxa"/>
            <w:tcBorders>
              <w:top w:val="nil"/>
              <w:left w:val="nil"/>
              <w:bottom w:val="single" w:sz="4" w:space="0" w:color="auto"/>
              <w:right w:val="single" w:sz="8" w:space="0" w:color="auto"/>
            </w:tcBorders>
            <w:shd w:val="clear" w:color="auto" w:fill="auto"/>
            <w:noWrap/>
            <w:vAlign w:val="bottom"/>
            <w:hideMark/>
          </w:tcPr>
          <w:p w14:paraId="044EA25A" w14:textId="77777777" w:rsidR="00412F22" w:rsidRDefault="00412F22" w:rsidP="00EE0E23">
            <w:pPr>
              <w:jc w:val="center"/>
              <w:rPr>
                <w:rFonts w:ascii="Calibri" w:hAnsi="Calibri" w:cs="Calibri"/>
                <w:color w:val="000000"/>
              </w:rPr>
            </w:pPr>
            <w:r>
              <w:rPr>
                <w:rFonts w:ascii="Calibri" w:hAnsi="Calibri" w:cs="Calibri"/>
                <w:color w:val="000000"/>
              </w:rPr>
              <w:t>10,12%</w:t>
            </w:r>
          </w:p>
        </w:tc>
        <w:tc>
          <w:tcPr>
            <w:tcW w:w="1486" w:type="dxa"/>
            <w:tcBorders>
              <w:top w:val="nil"/>
              <w:left w:val="nil"/>
              <w:bottom w:val="single" w:sz="4" w:space="0" w:color="auto"/>
              <w:right w:val="single" w:sz="8" w:space="0" w:color="auto"/>
            </w:tcBorders>
            <w:shd w:val="clear" w:color="auto" w:fill="auto"/>
            <w:noWrap/>
            <w:vAlign w:val="bottom"/>
            <w:hideMark/>
          </w:tcPr>
          <w:p w14:paraId="57B70B5E" w14:textId="77777777" w:rsidR="00412F22" w:rsidRDefault="00412F22" w:rsidP="00EE0E23">
            <w:pPr>
              <w:jc w:val="center"/>
              <w:rPr>
                <w:rFonts w:ascii="Calibri" w:hAnsi="Calibri" w:cs="Calibri"/>
                <w:color w:val="000000"/>
              </w:rPr>
            </w:pPr>
            <w:r>
              <w:rPr>
                <w:rFonts w:ascii="Calibri" w:hAnsi="Calibri" w:cs="Calibri"/>
                <w:color w:val="000000"/>
              </w:rPr>
              <w:t>10,00%</w:t>
            </w:r>
          </w:p>
        </w:tc>
      </w:tr>
    </w:tbl>
    <w:p w14:paraId="2E48A3AC" w14:textId="77777777" w:rsidR="00412F22" w:rsidRDefault="00412F22" w:rsidP="00412F22">
      <w:pPr>
        <w:pStyle w:val="Corpsdetexte"/>
        <w:rPr>
          <w:rFonts w:asciiTheme="minorHAnsi" w:hAnsiTheme="minorHAnsi" w:cstheme="minorHAnsi"/>
          <w:b/>
          <w:bCs/>
          <w:color w:val="000000" w:themeColor="text1"/>
        </w:rPr>
      </w:pPr>
    </w:p>
    <w:p w14:paraId="33BBD1B4" w14:textId="77777777" w:rsidR="00412F22" w:rsidRDefault="00412F22" w:rsidP="00412F22">
      <w:pPr>
        <w:pStyle w:val="Corpsdetexte"/>
        <w:rPr>
          <w:rFonts w:asciiTheme="minorHAnsi" w:hAnsiTheme="minorHAnsi" w:cstheme="minorHAnsi"/>
          <w:b/>
          <w:bCs/>
          <w:color w:val="000000" w:themeColor="text1"/>
          <w:sz w:val="10"/>
          <w:szCs w:val="10"/>
        </w:rPr>
      </w:pPr>
    </w:p>
    <w:p w14:paraId="4768C686" w14:textId="77777777" w:rsidR="00412F22" w:rsidRDefault="00412F22" w:rsidP="00412F22">
      <w:pPr>
        <w:pStyle w:val="Corpsdetexte"/>
        <w:rPr>
          <w:rFonts w:asciiTheme="minorHAnsi" w:hAnsiTheme="minorHAnsi" w:cstheme="minorHAnsi"/>
          <w:b/>
          <w:bCs/>
          <w:color w:val="000000" w:themeColor="text1"/>
          <w:sz w:val="10"/>
          <w:szCs w:val="10"/>
        </w:rPr>
      </w:pPr>
    </w:p>
    <w:p w14:paraId="1994DE3F" w14:textId="77777777" w:rsidR="00412F22" w:rsidRDefault="00412F22" w:rsidP="00412F22">
      <w:pPr>
        <w:pStyle w:val="Corpsdetexte"/>
        <w:rPr>
          <w:rFonts w:asciiTheme="minorHAnsi" w:hAnsiTheme="minorHAnsi" w:cstheme="minorHAnsi"/>
          <w:b/>
          <w:bCs/>
          <w:color w:val="000000" w:themeColor="text1"/>
          <w:sz w:val="10"/>
          <w:szCs w:val="10"/>
        </w:rPr>
      </w:pPr>
    </w:p>
    <w:p w14:paraId="7F1EC903" w14:textId="77777777" w:rsidR="00412F22" w:rsidRDefault="00412F22" w:rsidP="00412F22">
      <w:pPr>
        <w:pStyle w:val="Corpsdetexte"/>
        <w:rPr>
          <w:rFonts w:asciiTheme="minorHAnsi" w:hAnsiTheme="minorHAnsi" w:cstheme="minorHAnsi"/>
          <w:b/>
          <w:bCs/>
          <w:color w:val="000000" w:themeColor="text1"/>
          <w:sz w:val="10"/>
          <w:szCs w:val="10"/>
        </w:rPr>
      </w:pPr>
    </w:p>
    <w:p w14:paraId="5B1265C9" w14:textId="77777777" w:rsidR="00412F22" w:rsidRDefault="00412F22" w:rsidP="00412F22">
      <w:pPr>
        <w:pStyle w:val="Corpsdetexte"/>
        <w:rPr>
          <w:rFonts w:asciiTheme="minorHAnsi" w:hAnsiTheme="minorHAnsi" w:cstheme="minorHAnsi"/>
          <w:b/>
          <w:bCs/>
          <w:color w:val="000000" w:themeColor="text1"/>
          <w:sz w:val="10"/>
          <w:szCs w:val="10"/>
        </w:rPr>
      </w:pPr>
    </w:p>
    <w:p w14:paraId="6BD7A6DC" w14:textId="77777777" w:rsidR="00412F22" w:rsidRDefault="00412F22" w:rsidP="00412F22">
      <w:pPr>
        <w:pStyle w:val="Corpsdetexte"/>
        <w:rPr>
          <w:rFonts w:asciiTheme="minorHAnsi" w:hAnsiTheme="minorHAnsi" w:cstheme="minorHAnsi"/>
          <w:b/>
          <w:bCs/>
          <w:color w:val="000000" w:themeColor="text1"/>
          <w:sz w:val="10"/>
          <w:szCs w:val="10"/>
        </w:rPr>
      </w:pPr>
    </w:p>
    <w:p w14:paraId="4B2933C4" w14:textId="77777777" w:rsidR="00412F22" w:rsidRDefault="00412F22" w:rsidP="00412F22">
      <w:pPr>
        <w:pStyle w:val="Corpsdetexte"/>
        <w:rPr>
          <w:rFonts w:asciiTheme="minorHAnsi" w:hAnsiTheme="minorHAnsi" w:cstheme="minorHAnsi"/>
          <w:b/>
          <w:bCs/>
          <w:color w:val="000000" w:themeColor="text1"/>
          <w:sz w:val="10"/>
          <w:szCs w:val="10"/>
        </w:rPr>
      </w:pPr>
    </w:p>
    <w:p w14:paraId="06B3CB23" w14:textId="77777777" w:rsidR="00412F22" w:rsidRDefault="00412F22" w:rsidP="00412F22">
      <w:pPr>
        <w:pStyle w:val="Corpsdetexte"/>
        <w:rPr>
          <w:rFonts w:asciiTheme="minorHAnsi" w:hAnsiTheme="minorHAnsi" w:cstheme="minorHAnsi"/>
          <w:b/>
          <w:bCs/>
          <w:color w:val="000000" w:themeColor="text1"/>
          <w:sz w:val="10"/>
          <w:szCs w:val="10"/>
        </w:rPr>
      </w:pPr>
    </w:p>
    <w:p w14:paraId="3A84A487" w14:textId="77777777" w:rsidR="00412F22" w:rsidRDefault="00412F22" w:rsidP="00412F22">
      <w:pPr>
        <w:pStyle w:val="Corpsdetexte"/>
        <w:rPr>
          <w:rFonts w:asciiTheme="minorHAnsi" w:hAnsiTheme="minorHAnsi" w:cstheme="minorHAnsi"/>
          <w:b/>
          <w:bCs/>
          <w:color w:val="000000" w:themeColor="text1"/>
          <w:sz w:val="10"/>
          <w:szCs w:val="10"/>
        </w:rPr>
      </w:pPr>
    </w:p>
    <w:p w14:paraId="0DA8AC55" w14:textId="77777777" w:rsidR="00412F22" w:rsidRPr="006C25B2" w:rsidRDefault="00412F22" w:rsidP="00412F22">
      <w:pPr>
        <w:pStyle w:val="Corpsdetexte"/>
        <w:rPr>
          <w:rFonts w:asciiTheme="minorHAnsi" w:hAnsiTheme="minorHAnsi" w:cstheme="minorHAnsi"/>
          <w:b/>
          <w:bCs/>
          <w:color w:val="000000" w:themeColor="text1"/>
          <w:sz w:val="10"/>
          <w:szCs w:val="10"/>
        </w:rPr>
      </w:pPr>
    </w:p>
    <w:p w14:paraId="1AE7F1D4" w14:textId="77777777" w:rsidR="00412F22" w:rsidRPr="0016301A" w:rsidRDefault="00412F22" w:rsidP="00412F22">
      <w:pPr>
        <w:pStyle w:val="Corpsdetexte"/>
        <w:jc w:val="center"/>
        <w:rPr>
          <w:rFonts w:asciiTheme="minorHAnsi" w:hAnsiTheme="minorHAnsi" w:cstheme="minorHAnsi"/>
          <w:b/>
          <w:bCs/>
          <w:color w:val="000000" w:themeColor="text1"/>
        </w:rPr>
      </w:pPr>
      <w:r w:rsidRPr="0016301A">
        <w:rPr>
          <w:rFonts w:asciiTheme="minorHAnsi" w:hAnsiTheme="minorHAnsi" w:cstheme="minorHAnsi"/>
          <w:b/>
          <w:bCs/>
          <w:color w:val="000000" w:themeColor="text1"/>
        </w:rPr>
        <w:t>« SECTEUR » INFRASTRUCTURES</w:t>
      </w:r>
    </w:p>
    <w:p w14:paraId="4F35074A" w14:textId="77777777" w:rsidR="00412F22" w:rsidRPr="00081166" w:rsidRDefault="00412F22" w:rsidP="00412F22">
      <w:pPr>
        <w:pStyle w:val="Corpsdetexte"/>
        <w:spacing w:line="276" w:lineRule="auto"/>
        <w:rPr>
          <w:rFonts w:asciiTheme="minorHAnsi" w:hAnsiTheme="minorHAnsi" w:cstheme="minorHAnsi"/>
          <w:color w:val="000000" w:themeColor="text1"/>
          <w:sz w:val="16"/>
          <w:szCs w:val="16"/>
        </w:rPr>
      </w:pPr>
    </w:p>
    <w:p w14:paraId="40658157" w14:textId="77777777" w:rsidR="00412F22" w:rsidRDefault="00412F22" w:rsidP="00412F22">
      <w:pPr>
        <w:pStyle w:val="Corpsdetexte"/>
        <w:spacing w:line="276" w:lineRule="auto"/>
        <w:ind w:right="1279"/>
        <w:rPr>
          <w:rFonts w:asciiTheme="minorHAnsi" w:hAnsiTheme="minorHAnsi" w:cstheme="minorHAnsi"/>
          <w:color w:val="000000" w:themeColor="text1"/>
        </w:rPr>
      </w:pPr>
      <w:r w:rsidRPr="0016301A">
        <w:rPr>
          <w:rFonts w:asciiTheme="minorHAnsi" w:hAnsiTheme="minorHAnsi" w:cstheme="minorHAnsi"/>
          <w:color w:val="000000" w:themeColor="text1"/>
        </w:rPr>
        <w:t xml:space="preserve">Pour les </w:t>
      </w:r>
      <w:r>
        <w:rPr>
          <w:rFonts w:asciiTheme="minorHAnsi" w:hAnsiTheme="minorHAnsi" w:cstheme="minorHAnsi"/>
          <w:color w:val="000000" w:themeColor="text1"/>
        </w:rPr>
        <w:t xml:space="preserve">infrastructures, </w:t>
      </w:r>
      <w:r w:rsidRPr="0016301A">
        <w:rPr>
          <w:rFonts w:asciiTheme="minorHAnsi" w:hAnsiTheme="minorHAnsi" w:cstheme="minorHAnsi"/>
          <w:color w:val="000000" w:themeColor="text1"/>
        </w:rPr>
        <w:t>les estimations sont faites en se référant aux inondations</w:t>
      </w:r>
      <w:r>
        <w:rPr>
          <w:rFonts w:asciiTheme="minorHAnsi" w:hAnsiTheme="minorHAnsi" w:cstheme="minorHAnsi"/>
          <w:color w:val="000000" w:themeColor="text1"/>
        </w:rPr>
        <w:t xml:space="preserve">, </w:t>
      </w:r>
      <w:r w:rsidRPr="0016301A">
        <w:rPr>
          <w:rFonts w:asciiTheme="minorHAnsi" w:hAnsiTheme="minorHAnsi" w:cstheme="minorHAnsi"/>
          <w:color w:val="000000" w:themeColor="text1"/>
        </w:rPr>
        <w:t>comme cause principale des impacts dues aux changements climatiques. Il est donc fait recours aux pourcentages d’infrastructures exposées une fois par an aux inondations</w:t>
      </w:r>
    </w:p>
    <w:p w14:paraId="111FD02F" w14:textId="77777777" w:rsidR="00412F22" w:rsidRPr="00081166" w:rsidRDefault="00412F22" w:rsidP="00412F22">
      <w:pPr>
        <w:pStyle w:val="Corpsdetexte"/>
        <w:spacing w:line="276" w:lineRule="auto"/>
        <w:rPr>
          <w:rFonts w:asciiTheme="minorHAnsi" w:hAnsiTheme="minorHAnsi" w:cstheme="minorHAnsi"/>
          <w:color w:val="000000" w:themeColor="text1"/>
          <w:sz w:val="14"/>
          <w:szCs w:val="14"/>
        </w:rPr>
      </w:pPr>
    </w:p>
    <w:p w14:paraId="0C824BEE" w14:textId="77777777" w:rsidR="00412F22" w:rsidRPr="000928E0" w:rsidRDefault="00412F22" w:rsidP="00412F22">
      <w:pPr>
        <w:pStyle w:val="Lgende"/>
        <w:spacing w:after="0"/>
        <w:jc w:val="center"/>
        <w:rPr>
          <w:b/>
          <w:bCs/>
          <w:color w:val="000000" w:themeColor="text1"/>
          <w:sz w:val="22"/>
          <w:szCs w:val="22"/>
        </w:rPr>
      </w:pPr>
      <w:bookmarkStart w:id="729" w:name="_Toc192462649"/>
      <w:r w:rsidRPr="000928E0">
        <w:rPr>
          <w:b/>
          <w:bCs/>
          <w:color w:val="000000" w:themeColor="text1"/>
          <w:sz w:val="22"/>
          <w:szCs w:val="22"/>
        </w:rPr>
        <w:t xml:space="preserve">Tableau </w:t>
      </w:r>
      <w:r w:rsidRPr="000928E0">
        <w:rPr>
          <w:b/>
          <w:bCs/>
          <w:color w:val="000000" w:themeColor="text1"/>
          <w:sz w:val="22"/>
          <w:szCs w:val="22"/>
        </w:rPr>
        <w:fldChar w:fldCharType="begin"/>
      </w:r>
      <w:r w:rsidRPr="000928E0">
        <w:rPr>
          <w:b/>
          <w:bCs/>
          <w:color w:val="000000" w:themeColor="text1"/>
          <w:sz w:val="22"/>
          <w:szCs w:val="22"/>
        </w:rPr>
        <w:instrText xml:space="preserve"> SEQ Tableau \* ARABIC </w:instrText>
      </w:r>
      <w:r w:rsidRPr="000928E0">
        <w:rPr>
          <w:b/>
          <w:bCs/>
          <w:color w:val="000000" w:themeColor="text1"/>
          <w:sz w:val="22"/>
          <w:szCs w:val="22"/>
        </w:rPr>
        <w:fldChar w:fldCharType="separate"/>
      </w:r>
      <w:r>
        <w:rPr>
          <w:b/>
          <w:bCs/>
          <w:noProof/>
          <w:color w:val="000000" w:themeColor="text1"/>
          <w:sz w:val="22"/>
          <w:szCs w:val="22"/>
        </w:rPr>
        <w:t>6</w:t>
      </w:r>
      <w:r w:rsidRPr="000928E0">
        <w:rPr>
          <w:b/>
          <w:bCs/>
          <w:color w:val="000000" w:themeColor="text1"/>
          <w:sz w:val="22"/>
          <w:szCs w:val="22"/>
        </w:rPr>
        <w:fldChar w:fldCharType="end"/>
      </w:r>
      <w:r w:rsidRPr="000928E0">
        <w:rPr>
          <w:b/>
          <w:bCs/>
          <w:color w:val="000000" w:themeColor="text1"/>
          <w:sz w:val="22"/>
          <w:szCs w:val="22"/>
        </w:rPr>
        <w:t>: Contribution des infrastructures</w:t>
      </w:r>
      <w:r>
        <w:rPr>
          <w:b/>
          <w:bCs/>
          <w:color w:val="000000" w:themeColor="text1"/>
          <w:sz w:val="22"/>
          <w:szCs w:val="22"/>
        </w:rPr>
        <w:t>/BTP</w:t>
      </w:r>
      <w:r w:rsidRPr="000928E0">
        <w:rPr>
          <w:b/>
          <w:bCs/>
          <w:color w:val="000000" w:themeColor="text1"/>
          <w:sz w:val="22"/>
          <w:szCs w:val="22"/>
        </w:rPr>
        <w:t xml:space="preserve"> au PIB national en 2050 et 2100 avec les CC</w:t>
      </w:r>
      <w:bookmarkEnd w:id="729"/>
    </w:p>
    <w:tbl>
      <w:tblPr>
        <w:tblW w:w="8547" w:type="dxa"/>
        <w:jc w:val="center"/>
        <w:tblCellMar>
          <w:left w:w="70" w:type="dxa"/>
          <w:right w:w="70" w:type="dxa"/>
        </w:tblCellMar>
        <w:tblLook w:val="04A0" w:firstRow="1" w:lastRow="0" w:firstColumn="1" w:lastColumn="0" w:noHBand="0" w:noVBand="1"/>
      </w:tblPr>
      <w:tblGrid>
        <w:gridCol w:w="941"/>
        <w:gridCol w:w="2500"/>
        <w:gridCol w:w="2620"/>
        <w:gridCol w:w="2580"/>
      </w:tblGrid>
      <w:tr w:rsidR="00412F22" w:rsidRPr="001C2928" w14:paraId="4B15E798" w14:textId="77777777" w:rsidTr="00EE0E23">
        <w:trPr>
          <w:trHeight w:val="1020"/>
          <w:jc w:val="center"/>
        </w:trPr>
        <w:tc>
          <w:tcPr>
            <w:tcW w:w="847" w:type="dxa"/>
            <w:tcBorders>
              <w:top w:val="single" w:sz="8" w:space="0" w:color="auto"/>
              <w:left w:val="single" w:sz="8" w:space="0" w:color="auto"/>
              <w:bottom w:val="single" w:sz="8" w:space="0" w:color="auto"/>
              <w:right w:val="nil"/>
            </w:tcBorders>
            <w:shd w:val="clear" w:color="auto" w:fill="auto"/>
            <w:noWrap/>
            <w:vAlign w:val="center"/>
            <w:hideMark/>
          </w:tcPr>
          <w:p w14:paraId="7DA7AD6B" w14:textId="77777777" w:rsidR="00412F22" w:rsidRPr="00081166" w:rsidRDefault="00412F22" w:rsidP="00EE0E23">
            <w:pPr>
              <w:rPr>
                <w:rFonts w:ascii="Calibri" w:hAnsi="Calibri" w:cs="Calibri"/>
                <w:b/>
                <w:bCs/>
                <w:color w:val="000000" w:themeColor="text1"/>
              </w:rPr>
            </w:pPr>
            <w:r w:rsidRPr="00081166">
              <w:rPr>
                <w:rFonts w:ascii="Calibri" w:hAnsi="Calibri" w:cs="Calibri"/>
                <w:b/>
                <w:bCs/>
                <w:color w:val="000000" w:themeColor="text1"/>
              </w:rPr>
              <w:t>Horizons</w:t>
            </w:r>
          </w:p>
        </w:tc>
        <w:tc>
          <w:tcPr>
            <w:tcW w:w="25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4B4D869" w14:textId="77777777" w:rsidR="00412F22" w:rsidRPr="00081166" w:rsidRDefault="00412F22" w:rsidP="00EE0E23">
            <w:pPr>
              <w:jc w:val="center"/>
              <w:rPr>
                <w:rFonts w:ascii="Calibri" w:hAnsi="Calibri" w:cs="Calibri"/>
                <w:b/>
                <w:bCs/>
                <w:color w:val="000000" w:themeColor="text1"/>
              </w:rPr>
            </w:pPr>
            <w:r w:rsidRPr="00081166">
              <w:rPr>
                <w:rFonts w:ascii="Calibri" w:hAnsi="Calibri" w:cs="Calibri"/>
                <w:b/>
                <w:bCs/>
                <w:color w:val="000000" w:themeColor="text1"/>
              </w:rPr>
              <w:t>Expositions au moins une fois par an aux inondations</w:t>
            </w:r>
          </w:p>
        </w:tc>
        <w:tc>
          <w:tcPr>
            <w:tcW w:w="2620" w:type="dxa"/>
            <w:tcBorders>
              <w:top w:val="single" w:sz="8" w:space="0" w:color="auto"/>
              <w:left w:val="nil"/>
              <w:bottom w:val="single" w:sz="8" w:space="0" w:color="auto"/>
              <w:right w:val="nil"/>
            </w:tcBorders>
            <w:shd w:val="clear" w:color="auto" w:fill="auto"/>
            <w:vAlign w:val="center"/>
            <w:hideMark/>
          </w:tcPr>
          <w:p w14:paraId="48DEF568" w14:textId="77777777" w:rsidR="00412F22" w:rsidRPr="00081166" w:rsidRDefault="00412F22" w:rsidP="00EE0E23">
            <w:pPr>
              <w:jc w:val="center"/>
              <w:rPr>
                <w:rFonts w:ascii="Calibri" w:hAnsi="Calibri" w:cs="Calibri"/>
                <w:b/>
                <w:bCs/>
                <w:color w:val="000000" w:themeColor="text1"/>
              </w:rPr>
            </w:pPr>
            <w:r w:rsidRPr="00081166">
              <w:rPr>
                <w:rFonts w:ascii="Calibri" w:hAnsi="Calibri" w:cs="Calibri"/>
                <w:b/>
                <w:bCs/>
                <w:color w:val="000000" w:themeColor="text1"/>
              </w:rPr>
              <w:t>Contribution moyenne du secteur au PIB sur la période 2019 -2023</w:t>
            </w:r>
          </w:p>
        </w:tc>
        <w:tc>
          <w:tcPr>
            <w:tcW w:w="25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7978A4" w14:textId="77777777" w:rsidR="00412F22" w:rsidRPr="00081166" w:rsidRDefault="00412F22" w:rsidP="00EE0E23">
            <w:pPr>
              <w:jc w:val="center"/>
              <w:rPr>
                <w:rFonts w:ascii="Calibri" w:hAnsi="Calibri" w:cs="Calibri"/>
                <w:b/>
                <w:bCs/>
                <w:color w:val="000000" w:themeColor="text1"/>
              </w:rPr>
            </w:pPr>
            <w:r w:rsidRPr="00081166">
              <w:rPr>
                <w:rFonts w:ascii="Calibri" w:hAnsi="Calibri" w:cs="Calibri"/>
                <w:b/>
                <w:bCs/>
                <w:color w:val="000000" w:themeColor="text1"/>
              </w:rPr>
              <w:t>PIB des infrastructures/BTP à l'horizon</w:t>
            </w:r>
          </w:p>
        </w:tc>
      </w:tr>
      <w:tr w:rsidR="00412F22" w:rsidRPr="0016301A" w14:paraId="5777884C" w14:textId="77777777" w:rsidTr="00EE0E23">
        <w:trPr>
          <w:trHeight w:val="185"/>
          <w:jc w:val="center"/>
        </w:trPr>
        <w:tc>
          <w:tcPr>
            <w:tcW w:w="847" w:type="dxa"/>
            <w:tcBorders>
              <w:top w:val="nil"/>
              <w:left w:val="single" w:sz="8" w:space="0" w:color="auto"/>
              <w:bottom w:val="single" w:sz="4" w:space="0" w:color="auto"/>
              <w:right w:val="nil"/>
            </w:tcBorders>
            <w:shd w:val="clear" w:color="auto" w:fill="auto"/>
            <w:noWrap/>
            <w:vAlign w:val="bottom"/>
            <w:hideMark/>
          </w:tcPr>
          <w:p w14:paraId="22629F04" w14:textId="77777777" w:rsidR="00412F22" w:rsidRPr="00081166" w:rsidRDefault="00412F22" w:rsidP="00EE0E23">
            <w:pPr>
              <w:jc w:val="right"/>
              <w:rPr>
                <w:rFonts w:ascii="Calibri" w:hAnsi="Calibri" w:cs="Calibri"/>
                <w:color w:val="000000" w:themeColor="text1"/>
              </w:rPr>
            </w:pPr>
            <w:r w:rsidRPr="00081166">
              <w:rPr>
                <w:rFonts w:ascii="Calibri" w:hAnsi="Calibri" w:cs="Calibri"/>
                <w:color w:val="000000" w:themeColor="text1"/>
              </w:rPr>
              <w:t>2050</w:t>
            </w:r>
          </w:p>
        </w:tc>
        <w:tc>
          <w:tcPr>
            <w:tcW w:w="2500" w:type="dxa"/>
            <w:tcBorders>
              <w:top w:val="nil"/>
              <w:left w:val="single" w:sz="8" w:space="0" w:color="auto"/>
              <w:bottom w:val="single" w:sz="4" w:space="0" w:color="auto"/>
              <w:right w:val="single" w:sz="8" w:space="0" w:color="auto"/>
            </w:tcBorders>
            <w:shd w:val="clear" w:color="auto" w:fill="auto"/>
            <w:noWrap/>
            <w:vAlign w:val="bottom"/>
            <w:hideMark/>
          </w:tcPr>
          <w:p w14:paraId="3C7B2C67" w14:textId="77777777" w:rsidR="00412F22" w:rsidRPr="00081166" w:rsidRDefault="00412F22" w:rsidP="00EE0E23">
            <w:pPr>
              <w:jc w:val="right"/>
              <w:rPr>
                <w:rFonts w:ascii="Calibri" w:hAnsi="Calibri" w:cs="Calibri"/>
                <w:color w:val="000000" w:themeColor="text1"/>
              </w:rPr>
            </w:pPr>
            <w:r w:rsidRPr="00081166">
              <w:rPr>
                <w:rFonts w:ascii="Calibri" w:hAnsi="Calibri" w:cs="Calibri"/>
                <w:color w:val="000000" w:themeColor="text1"/>
              </w:rPr>
              <w:t>0,09%</w:t>
            </w:r>
          </w:p>
        </w:tc>
        <w:tc>
          <w:tcPr>
            <w:tcW w:w="2620" w:type="dxa"/>
            <w:tcBorders>
              <w:top w:val="nil"/>
              <w:left w:val="nil"/>
              <w:bottom w:val="single" w:sz="4" w:space="0" w:color="auto"/>
              <w:right w:val="single" w:sz="8" w:space="0" w:color="auto"/>
            </w:tcBorders>
            <w:shd w:val="clear" w:color="auto" w:fill="auto"/>
            <w:noWrap/>
            <w:vAlign w:val="bottom"/>
            <w:hideMark/>
          </w:tcPr>
          <w:p w14:paraId="5C633DFD" w14:textId="77777777" w:rsidR="00412F22" w:rsidRPr="00081166" w:rsidRDefault="00412F22" w:rsidP="00EE0E23">
            <w:pPr>
              <w:jc w:val="right"/>
              <w:rPr>
                <w:rFonts w:ascii="Calibri" w:hAnsi="Calibri" w:cs="Calibri"/>
                <w:color w:val="000000" w:themeColor="text1"/>
              </w:rPr>
            </w:pPr>
            <w:r w:rsidRPr="00081166">
              <w:rPr>
                <w:rFonts w:ascii="Calibri" w:hAnsi="Calibri" w:cs="Calibri"/>
                <w:color w:val="000000" w:themeColor="text1"/>
              </w:rPr>
              <w:t>3,78%</w:t>
            </w:r>
          </w:p>
        </w:tc>
        <w:tc>
          <w:tcPr>
            <w:tcW w:w="2580" w:type="dxa"/>
            <w:tcBorders>
              <w:top w:val="nil"/>
              <w:left w:val="nil"/>
              <w:bottom w:val="single" w:sz="4" w:space="0" w:color="auto"/>
              <w:right w:val="single" w:sz="8" w:space="0" w:color="auto"/>
            </w:tcBorders>
            <w:shd w:val="clear" w:color="auto" w:fill="auto"/>
            <w:noWrap/>
            <w:vAlign w:val="bottom"/>
            <w:hideMark/>
          </w:tcPr>
          <w:p w14:paraId="664DF331" w14:textId="77777777" w:rsidR="00412F22" w:rsidRPr="00081166" w:rsidRDefault="00412F22" w:rsidP="00EE0E23">
            <w:pPr>
              <w:jc w:val="right"/>
              <w:rPr>
                <w:rFonts w:ascii="Calibri" w:hAnsi="Calibri" w:cs="Calibri"/>
                <w:color w:val="000000" w:themeColor="text1"/>
              </w:rPr>
            </w:pPr>
            <w:r w:rsidRPr="00081166">
              <w:rPr>
                <w:rFonts w:ascii="Calibri" w:hAnsi="Calibri" w:cs="Calibri"/>
                <w:color w:val="000000" w:themeColor="text1"/>
              </w:rPr>
              <w:t>3,78%</w:t>
            </w:r>
          </w:p>
        </w:tc>
      </w:tr>
      <w:tr w:rsidR="00412F22" w:rsidRPr="0016301A" w14:paraId="52869426" w14:textId="77777777" w:rsidTr="00EE0E23">
        <w:trPr>
          <w:trHeight w:val="52"/>
          <w:jc w:val="center"/>
        </w:trPr>
        <w:tc>
          <w:tcPr>
            <w:tcW w:w="847" w:type="dxa"/>
            <w:tcBorders>
              <w:top w:val="nil"/>
              <w:left w:val="single" w:sz="8" w:space="0" w:color="auto"/>
              <w:bottom w:val="single" w:sz="8" w:space="0" w:color="auto"/>
              <w:right w:val="nil"/>
            </w:tcBorders>
            <w:shd w:val="clear" w:color="auto" w:fill="auto"/>
            <w:noWrap/>
            <w:vAlign w:val="bottom"/>
            <w:hideMark/>
          </w:tcPr>
          <w:p w14:paraId="1FB4C239" w14:textId="77777777" w:rsidR="00412F22" w:rsidRPr="00081166" w:rsidRDefault="00412F22" w:rsidP="00EE0E23">
            <w:pPr>
              <w:jc w:val="right"/>
              <w:rPr>
                <w:rFonts w:ascii="Calibri" w:hAnsi="Calibri" w:cs="Calibri"/>
                <w:color w:val="000000" w:themeColor="text1"/>
              </w:rPr>
            </w:pPr>
            <w:r w:rsidRPr="00081166">
              <w:rPr>
                <w:rFonts w:ascii="Calibri" w:hAnsi="Calibri" w:cs="Calibri"/>
                <w:color w:val="000000" w:themeColor="text1"/>
              </w:rPr>
              <w:t>2100</w:t>
            </w:r>
          </w:p>
        </w:tc>
        <w:tc>
          <w:tcPr>
            <w:tcW w:w="2500" w:type="dxa"/>
            <w:tcBorders>
              <w:top w:val="nil"/>
              <w:left w:val="single" w:sz="8" w:space="0" w:color="auto"/>
              <w:bottom w:val="single" w:sz="8" w:space="0" w:color="auto"/>
              <w:right w:val="single" w:sz="8" w:space="0" w:color="auto"/>
            </w:tcBorders>
            <w:shd w:val="clear" w:color="auto" w:fill="auto"/>
            <w:noWrap/>
            <w:vAlign w:val="bottom"/>
            <w:hideMark/>
          </w:tcPr>
          <w:p w14:paraId="748BCCC9" w14:textId="77777777" w:rsidR="00412F22" w:rsidRPr="00081166" w:rsidRDefault="00412F22" w:rsidP="00EE0E23">
            <w:pPr>
              <w:jc w:val="right"/>
              <w:rPr>
                <w:rFonts w:ascii="Calibri" w:hAnsi="Calibri" w:cs="Calibri"/>
                <w:color w:val="000000" w:themeColor="text1"/>
              </w:rPr>
            </w:pPr>
            <w:r w:rsidRPr="00081166">
              <w:rPr>
                <w:rFonts w:ascii="Calibri" w:hAnsi="Calibri" w:cs="Calibri"/>
                <w:color w:val="000000" w:themeColor="text1"/>
              </w:rPr>
              <w:t>0,18%</w:t>
            </w:r>
          </w:p>
        </w:tc>
        <w:tc>
          <w:tcPr>
            <w:tcW w:w="2620" w:type="dxa"/>
            <w:tcBorders>
              <w:top w:val="nil"/>
              <w:left w:val="nil"/>
              <w:bottom w:val="single" w:sz="4" w:space="0" w:color="auto"/>
              <w:right w:val="single" w:sz="8" w:space="0" w:color="auto"/>
            </w:tcBorders>
            <w:shd w:val="clear" w:color="auto" w:fill="auto"/>
            <w:noWrap/>
            <w:vAlign w:val="bottom"/>
            <w:hideMark/>
          </w:tcPr>
          <w:p w14:paraId="323C312F" w14:textId="77777777" w:rsidR="00412F22" w:rsidRPr="00081166" w:rsidRDefault="00412F22" w:rsidP="00EE0E23">
            <w:pPr>
              <w:jc w:val="right"/>
              <w:rPr>
                <w:rFonts w:ascii="Calibri" w:hAnsi="Calibri" w:cs="Calibri"/>
                <w:color w:val="000000" w:themeColor="text1"/>
              </w:rPr>
            </w:pPr>
            <w:r w:rsidRPr="00081166">
              <w:rPr>
                <w:rFonts w:ascii="Calibri" w:hAnsi="Calibri" w:cs="Calibri"/>
                <w:color w:val="000000" w:themeColor="text1"/>
              </w:rPr>
              <w:t>3,78%</w:t>
            </w:r>
          </w:p>
        </w:tc>
        <w:tc>
          <w:tcPr>
            <w:tcW w:w="2580" w:type="dxa"/>
            <w:tcBorders>
              <w:top w:val="nil"/>
              <w:left w:val="nil"/>
              <w:bottom w:val="single" w:sz="4" w:space="0" w:color="auto"/>
              <w:right w:val="single" w:sz="8" w:space="0" w:color="auto"/>
            </w:tcBorders>
            <w:shd w:val="clear" w:color="auto" w:fill="auto"/>
            <w:noWrap/>
            <w:vAlign w:val="bottom"/>
            <w:hideMark/>
          </w:tcPr>
          <w:p w14:paraId="4A379CC8" w14:textId="77777777" w:rsidR="00412F22" w:rsidRPr="00081166" w:rsidRDefault="00412F22" w:rsidP="00EE0E23">
            <w:pPr>
              <w:jc w:val="right"/>
              <w:rPr>
                <w:rFonts w:ascii="Calibri" w:hAnsi="Calibri" w:cs="Calibri"/>
                <w:color w:val="000000" w:themeColor="text1"/>
              </w:rPr>
            </w:pPr>
            <w:r w:rsidRPr="00081166">
              <w:rPr>
                <w:rFonts w:ascii="Calibri" w:hAnsi="Calibri" w:cs="Calibri"/>
                <w:color w:val="000000" w:themeColor="text1"/>
              </w:rPr>
              <w:t>3,77%</w:t>
            </w:r>
          </w:p>
        </w:tc>
      </w:tr>
    </w:tbl>
    <w:p w14:paraId="0FEE5A70" w14:textId="77777777" w:rsidR="00412F22" w:rsidRPr="00407A0A" w:rsidRDefault="00412F22" w:rsidP="00412F22">
      <w:pPr>
        <w:pStyle w:val="Corpsdetexte"/>
        <w:spacing w:line="276" w:lineRule="auto"/>
        <w:ind w:right="1279"/>
        <w:rPr>
          <w:rFonts w:asciiTheme="minorHAnsi" w:hAnsiTheme="minorHAnsi" w:cstheme="minorHAnsi"/>
          <w:color w:val="000000" w:themeColor="text1"/>
          <w:sz w:val="14"/>
          <w:szCs w:val="14"/>
        </w:rPr>
      </w:pPr>
    </w:p>
    <w:p w14:paraId="46102BFE" w14:textId="77777777" w:rsidR="00412F22" w:rsidRDefault="00412F22" w:rsidP="00412F22">
      <w:pPr>
        <w:pStyle w:val="Corpsdetexte"/>
        <w:spacing w:after="120" w:line="276" w:lineRule="auto"/>
        <w:ind w:right="238"/>
        <w:rPr>
          <w:b/>
          <w:bCs/>
          <w:color w:val="000000" w:themeColor="text1"/>
          <w:sz w:val="22"/>
          <w:szCs w:val="22"/>
        </w:rPr>
      </w:pPr>
      <w:r w:rsidRPr="0016301A">
        <w:rPr>
          <w:rFonts w:asciiTheme="minorHAnsi" w:hAnsiTheme="minorHAnsi" w:cstheme="minorHAnsi"/>
          <w:color w:val="000000" w:themeColor="text1"/>
        </w:rPr>
        <w:t xml:space="preserve">Pour ce qui concerne la vulnérabilité au niveau de la santé, elle </w:t>
      </w:r>
      <w:r>
        <w:rPr>
          <w:rFonts w:asciiTheme="minorHAnsi" w:hAnsiTheme="minorHAnsi" w:cstheme="minorHAnsi"/>
          <w:color w:val="000000" w:themeColor="text1"/>
        </w:rPr>
        <w:t xml:space="preserve">est </w:t>
      </w:r>
      <w:r w:rsidRPr="0016301A">
        <w:rPr>
          <w:rFonts w:asciiTheme="minorHAnsi" w:hAnsiTheme="minorHAnsi" w:cstheme="minorHAnsi"/>
          <w:color w:val="000000" w:themeColor="text1"/>
        </w:rPr>
        <w:t xml:space="preserve">prise en compte au niveau socioéconomique, </w:t>
      </w:r>
      <w:r>
        <w:rPr>
          <w:rFonts w:asciiTheme="minorHAnsi" w:hAnsiTheme="minorHAnsi" w:cstheme="minorHAnsi"/>
          <w:color w:val="000000" w:themeColor="text1"/>
        </w:rPr>
        <w:t>sur la base de</w:t>
      </w:r>
      <w:r w:rsidRPr="0016301A">
        <w:rPr>
          <w:rFonts w:asciiTheme="minorHAnsi" w:hAnsiTheme="minorHAnsi" w:cstheme="minorHAnsi"/>
          <w:color w:val="000000" w:themeColor="text1"/>
        </w:rPr>
        <w:t xml:space="preserve"> l’estimation de la chute de la productivité au niveau des différents secteurs, à travers les jours de travail perdus, du fait des maladies due</w:t>
      </w:r>
      <w:r>
        <w:rPr>
          <w:rFonts w:asciiTheme="minorHAnsi" w:hAnsiTheme="minorHAnsi" w:cstheme="minorHAnsi"/>
          <w:color w:val="000000" w:themeColor="text1"/>
        </w:rPr>
        <w:t>s</w:t>
      </w:r>
      <w:r w:rsidRPr="0016301A">
        <w:rPr>
          <w:rFonts w:asciiTheme="minorHAnsi" w:hAnsiTheme="minorHAnsi" w:cstheme="minorHAnsi"/>
          <w:color w:val="000000" w:themeColor="text1"/>
        </w:rPr>
        <w:t xml:space="preserve"> au CC, principalement les températures extrêmes.  Cela est répercuté au niveau du PIB, en considérant, comme expliqué plus haut que la part du travail dans le PIB représente 50% à 60%</w:t>
      </w:r>
      <w:r>
        <w:rPr>
          <w:rFonts w:asciiTheme="minorHAnsi" w:hAnsiTheme="minorHAnsi" w:cstheme="minorHAnsi"/>
          <w:color w:val="000000" w:themeColor="text1"/>
        </w:rPr>
        <w:t xml:space="preserve"> (55% en moyenne)</w:t>
      </w:r>
      <w:r w:rsidRPr="0016301A">
        <w:rPr>
          <w:rFonts w:asciiTheme="minorHAnsi" w:hAnsiTheme="minorHAnsi" w:cstheme="minorHAnsi"/>
          <w:color w:val="000000" w:themeColor="text1"/>
        </w:rPr>
        <w:t>.</w:t>
      </w:r>
      <w:r w:rsidRPr="00407A0A">
        <w:rPr>
          <w:b/>
          <w:bCs/>
          <w:color w:val="000000" w:themeColor="text1"/>
          <w:sz w:val="22"/>
          <w:szCs w:val="22"/>
        </w:rPr>
        <w:t xml:space="preserve"> </w:t>
      </w:r>
    </w:p>
    <w:p w14:paraId="757476AD" w14:textId="77777777" w:rsidR="00412F22" w:rsidRPr="000928E0" w:rsidRDefault="00412F22" w:rsidP="00412F22">
      <w:pPr>
        <w:pStyle w:val="Lgende"/>
        <w:spacing w:after="0"/>
        <w:rPr>
          <w:rFonts w:cstheme="minorHAnsi"/>
          <w:b/>
          <w:bCs/>
          <w:color w:val="000000" w:themeColor="text1"/>
          <w:sz w:val="22"/>
          <w:szCs w:val="22"/>
        </w:rPr>
      </w:pPr>
      <w:r w:rsidRPr="000928E0">
        <w:rPr>
          <w:b/>
          <w:bCs/>
          <w:color w:val="000000" w:themeColor="text1"/>
          <w:sz w:val="22"/>
          <w:szCs w:val="22"/>
        </w:rPr>
        <w:t xml:space="preserve">Tableau </w:t>
      </w:r>
      <w:r w:rsidRPr="000928E0">
        <w:rPr>
          <w:b/>
          <w:bCs/>
          <w:color w:val="000000" w:themeColor="text1"/>
          <w:sz w:val="22"/>
          <w:szCs w:val="22"/>
        </w:rPr>
        <w:fldChar w:fldCharType="begin"/>
      </w:r>
      <w:r w:rsidRPr="000928E0">
        <w:rPr>
          <w:b/>
          <w:bCs/>
          <w:color w:val="000000" w:themeColor="text1"/>
          <w:sz w:val="22"/>
          <w:szCs w:val="22"/>
        </w:rPr>
        <w:instrText xml:space="preserve"> SEQ Tableau \* ARABIC </w:instrText>
      </w:r>
      <w:r w:rsidRPr="000928E0">
        <w:rPr>
          <w:b/>
          <w:bCs/>
          <w:color w:val="000000" w:themeColor="text1"/>
          <w:sz w:val="22"/>
          <w:szCs w:val="22"/>
        </w:rPr>
        <w:fldChar w:fldCharType="separate"/>
      </w:r>
      <w:r>
        <w:rPr>
          <w:b/>
          <w:bCs/>
          <w:noProof/>
          <w:color w:val="000000" w:themeColor="text1"/>
          <w:sz w:val="22"/>
          <w:szCs w:val="22"/>
        </w:rPr>
        <w:t>7</w:t>
      </w:r>
      <w:r w:rsidRPr="000928E0">
        <w:rPr>
          <w:b/>
          <w:bCs/>
          <w:color w:val="000000" w:themeColor="text1"/>
          <w:sz w:val="22"/>
          <w:szCs w:val="22"/>
        </w:rPr>
        <w:fldChar w:fldCharType="end"/>
      </w:r>
      <w:r w:rsidRPr="000928E0">
        <w:rPr>
          <w:b/>
          <w:bCs/>
          <w:color w:val="000000" w:themeColor="text1"/>
          <w:sz w:val="22"/>
          <w:szCs w:val="22"/>
        </w:rPr>
        <w:t xml:space="preserve">: </w:t>
      </w:r>
      <w:r w:rsidRPr="000928E0">
        <w:rPr>
          <w:rFonts w:cstheme="minorHAnsi"/>
          <w:b/>
          <w:bCs/>
          <w:color w:val="000000" w:themeColor="text1"/>
          <w:sz w:val="22"/>
          <w:szCs w:val="22"/>
        </w:rPr>
        <w:t>Chute du PIB due à la santé en</w:t>
      </w:r>
      <w:r>
        <w:rPr>
          <w:rFonts w:cstheme="minorHAnsi"/>
          <w:b/>
          <w:bCs/>
          <w:color w:val="000000" w:themeColor="text1"/>
          <w:sz w:val="22"/>
          <w:szCs w:val="22"/>
        </w:rPr>
        <w:t xml:space="preserve"> </w:t>
      </w:r>
      <w:r w:rsidRPr="000928E0">
        <w:rPr>
          <w:rFonts w:cstheme="minorHAnsi"/>
          <w:b/>
          <w:bCs/>
          <w:color w:val="000000" w:themeColor="text1"/>
          <w:sz w:val="22"/>
          <w:szCs w:val="22"/>
        </w:rPr>
        <w:t>2050 et 2100 avec les CC</w:t>
      </w:r>
    </w:p>
    <w:p w14:paraId="0FF9CF06" w14:textId="77777777" w:rsidR="00412F22" w:rsidRPr="008C4AA4" w:rsidRDefault="00412F22" w:rsidP="00412F22">
      <w:pPr>
        <w:pStyle w:val="Corpsdetexte"/>
        <w:spacing w:line="276" w:lineRule="auto"/>
        <w:ind w:right="1279"/>
        <w:rPr>
          <w:rFonts w:asciiTheme="minorHAnsi" w:hAnsiTheme="minorHAnsi" w:cstheme="minorHAnsi"/>
          <w:color w:val="000000" w:themeColor="text1"/>
          <w:sz w:val="2"/>
          <w:szCs w:val="2"/>
        </w:rPr>
      </w:pPr>
    </w:p>
    <w:tbl>
      <w:tblPr>
        <w:tblpPr w:leftFromText="141" w:rightFromText="141" w:vertAnchor="text" w:horzAnchor="margin" w:tblpY="233"/>
        <w:tblW w:w="8779" w:type="dxa"/>
        <w:tblCellMar>
          <w:left w:w="70" w:type="dxa"/>
          <w:right w:w="70" w:type="dxa"/>
        </w:tblCellMar>
        <w:tblLook w:val="04A0" w:firstRow="1" w:lastRow="0" w:firstColumn="1" w:lastColumn="0" w:noHBand="0" w:noVBand="1"/>
      </w:tblPr>
      <w:tblGrid>
        <w:gridCol w:w="1418"/>
        <w:gridCol w:w="3347"/>
        <w:gridCol w:w="4014"/>
      </w:tblGrid>
      <w:tr w:rsidR="00412F22" w:rsidRPr="007E4B7E" w14:paraId="2B67A59C" w14:textId="77777777" w:rsidTr="00EE0E23">
        <w:trPr>
          <w:trHeight w:val="656"/>
        </w:trPr>
        <w:tc>
          <w:tcPr>
            <w:tcW w:w="1418" w:type="dxa"/>
            <w:tcBorders>
              <w:top w:val="single" w:sz="8" w:space="0" w:color="auto"/>
              <w:left w:val="single" w:sz="8" w:space="0" w:color="auto"/>
              <w:bottom w:val="single" w:sz="8" w:space="0" w:color="auto"/>
              <w:right w:val="nil"/>
            </w:tcBorders>
            <w:shd w:val="clear" w:color="auto" w:fill="auto"/>
            <w:noWrap/>
            <w:vAlign w:val="center"/>
            <w:hideMark/>
          </w:tcPr>
          <w:p w14:paraId="7D87DC89" w14:textId="77777777" w:rsidR="00412F22" w:rsidRPr="007E4B7E" w:rsidRDefault="00412F22" w:rsidP="00EE0E23">
            <w:pPr>
              <w:rPr>
                <w:rFonts w:ascii="Calibri" w:hAnsi="Calibri" w:cs="Calibri"/>
                <w:b/>
                <w:bCs/>
                <w:color w:val="000000" w:themeColor="text1"/>
              </w:rPr>
            </w:pPr>
            <w:bookmarkStart w:id="730" w:name="_Toc192462650"/>
            <w:r w:rsidRPr="007E4B7E">
              <w:rPr>
                <w:rFonts w:ascii="Calibri" w:hAnsi="Calibri" w:cs="Calibri"/>
                <w:b/>
                <w:bCs/>
                <w:color w:val="000000" w:themeColor="text1"/>
              </w:rPr>
              <w:t>Horizons</w:t>
            </w:r>
          </w:p>
        </w:tc>
        <w:tc>
          <w:tcPr>
            <w:tcW w:w="334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0247F49" w14:textId="77777777" w:rsidR="00412F22" w:rsidRPr="007E4B7E" w:rsidRDefault="00412F22" w:rsidP="00EE0E23">
            <w:pPr>
              <w:jc w:val="center"/>
              <w:rPr>
                <w:rFonts w:ascii="Calibri" w:hAnsi="Calibri" w:cs="Calibri"/>
                <w:b/>
                <w:bCs/>
                <w:color w:val="000000" w:themeColor="text1"/>
              </w:rPr>
            </w:pPr>
            <w:r w:rsidRPr="007E4B7E">
              <w:rPr>
                <w:rFonts w:ascii="Calibri" w:hAnsi="Calibri" w:cs="Calibri"/>
                <w:b/>
                <w:bCs/>
                <w:color w:val="000000" w:themeColor="text1"/>
              </w:rPr>
              <w:t>Part population affectée par, au moins une vague de chaleur</w:t>
            </w:r>
          </w:p>
        </w:tc>
        <w:tc>
          <w:tcPr>
            <w:tcW w:w="4014" w:type="dxa"/>
            <w:tcBorders>
              <w:top w:val="single" w:sz="8" w:space="0" w:color="auto"/>
              <w:left w:val="nil"/>
              <w:bottom w:val="single" w:sz="8" w:space="0" w:color="auto"/>
              <w:right w:val="single" w:sz="8" w:space="0" w:color="auto"/>
            </w:tcBorders>
            <w:shd w:val="clear" w:color="auto" w:fill="auto"/>
            <w:vAlign w:val="center"/>
            <w:hideMark/>
          </w:tcPr>
          <w:p w14:paraId="7333F5BF" w14:textId="77777777" w:rsidR="00412F22" w:rsidRPr="007E4B7E" w:rsidRDefault="00412F22" w:rsidP="00EE0E23">
            <w:pPr>
              <w:jc w:val="center"/>
              <w:rPr>
                <w:rFonts w:ascii="Calibri" w:hAnsi="Calibri" w:cs="Calibri"/>
                <w:b/>
                <w:bCs/>
                <w:color w:val="000000" w:themeColor="text1"/>
              </w:rPr>
            </w:pPr>
            <w:r w:rsidRPr="007E4B7E">
              <w:rPr>
                <w:rFonts w:ascii="Calibri" w:hAnsi="Calibri" w:cs="Calibri"/>
                <w:b/>
                <w:bCs/>
                <w:color w:val="000000" w:themeColor="text1"/>
              </w:rPr>
              <w:t>Chute PIB, du fait de la baisse de la productivité du travai</w:t>
            </w:r>
            <w:r>
              <w:rPr>
                <w:rFonts w:ascii="Calibri" w:hAnsi="Calibri" w:cs="Calibri"/>
                <w:b/>
                <w:bCs/>
                <w:color w:val="000000" w:themeColor="text1"/>
              </w:rPr>
              <w:t>l</w:t>
            </w:r>
            <w:r w:rsidRPr="007E4B7E">
              <w:rPr>
                <w:rFonts w:ascii="Calibri" w:hAnsi="Calibri" w:cs="Calibri"/>
                <w:b/>
                <w:bCs/>
                <w:color w:val="000000" w:themeColor="text1"/>
              </w:rPr>
              <w:t xml:space="preserve"> </w:t>
            </w:r>
          </w:p>
        </w:tc>
      </w:tr>
      <w:tr w:rsidR="00412F22" w:rsidRPr="0016301A" w14:paraId="0A9C291B" w14:textId="77777777" w:rsidTr="00EE0E23">
        <w:trPr>
          <w:trHeight w:val="320"/>
        </w:trPr>
        <w:tc>
          <w:tcPr>
            <w:tcW w:w="1418" w:type="dxa"/>
            <w:tcBorders>
              <w:top w:val="nil"/>
              <w:left w:val="single" w:sz="8" w:space="0" w:color="auto"/>
              <w:bottom w:val="single" w:sz="4" w:space="0" w:color="auto"/>
              <w:right w:val="nil"/>
            </w:tcBorders>
            <w:shd w:val="clear" w:color="auto" w:fill="auto"/>
            <w:noWrap/>
            <w:vAlign w:val="bottom"/>
            <w:hideMark/>
          </w:tcPr>
          <w:p w14:paraId="42492A03" w14:textId="77777777" w:rsidR="00412F22" w:rsidRPr="0016301A" w:rsidRDefault="00412F22" w:rsidP="00EE0E23">
            <w:pPr>
              <w:jc w:val="center"/>
              <w:rPr>
                <w:rFonts w:ascii="Calibri" w:hAnsi="Calibri" w:cs="Calibri"/>
                <w:color w:val="000000" w:themeColor="text1"/>
              </w:rPr>
            </w:pPr>
            <w:r w:rsidRPr="0016301A">
              <w:rPr>
                <w:rFonts w:ascii="Calibri" w:hAnsi="Calibri" w:cs="Calibri"/>
                <w:color w:val="000000" w:themeColor="text1"/>
              </w:rPr>
              <w:t>2050</w:t>
            </w:r>
          </w:p>
        </w:tc>
        <w:tc>
          <w:tcPr>
            <w:tcW w:w="3347" w:type="dxa"/>
            <w:tcBorders>
              <w:top w:val="nil"/>
              <w:left w:val="single" w:sz="8" w:space="0" w:color="auto"/>
              <w:bottom w:val="single" w:sz="4" w:space="0" w:color="auto"/>
              <w:right w:val="single" w:sz="8" w:space="0" w:color="auto"/>
            </w:tcBorders>
            <w:shd w:val="clear" w:color="auto" w:fill="auto"/>
            <w:noWrap/>
            <w:vAlign w:val="bottom"/>
            <w:hideMark/>
          </w:tcPr>
          <w:p w14:paraId="0BDD94DA" w14:textId="77777777" w:rsidR="00412F22" w:rsidRPr="0016301A" w:rsidRDefault="00412F22" w:rsidP="00EE0E23">
            <w:pPr>
              <w:jc w:val="center"/>
              <w:rPr>
                <w:rFonts w:ascii="Calibri" w:hAnsi="Calibri" w:cs="Calibri"/>
                <w:color w:val="000000" w:themeColor="text1"/>
              </w:rPr>
            </w:pPr>
            <w:r w:rsidRPr="0016301A">
              <w:rPr>
                <w:rFonts w:ascii="Calibri" w:hAnsi="Calibri" w:cs="Calibri"/>
                <w:color w:val="000000" w:themeColor="text1"/>
              </w:rPr>
              <w:t>19,00%</w:t>
            </w:r>
          </w:p>
        </w:tc>
        <w:tc>
          <w:tcPr>
            <w:tcW w:w="4014" w:type="dxa"/>
            <w:tcBorders>
              <w:top w:val="nil"/>
              <w:left w:val="nil"/>
              <w:bottom w:val="single" w:sz="4" w:space="0" w:color="auto"/>
              <w:right w:val="single" w:sz="8" w:space="0" w:color="auto"/>
            </w:tcBorders>
            <w:shd w:val="clear" w:color="auto" w:fill="auto"/>
            <w:noWrap/>
            <w:vAlign w:val="bottom"/>
            <w:hideMark/>
          </w:tcPr>
          <w:p w14:paraId="4EA427EA" w14:textId="77777777" w:rsidR="00412F22" w:rsidRPr="0016301A" w:rsidRDefault="00412F22" w:rsidP="00EE0E23">
            <w:pPr>
              <w:jc w:val="center"/>
              <w:rPr>
                <w:rFonts w:ascii="Calibri" w:hAnsi="Calibri" w:cs="Calibri"/>
                <w:color w:val="000000" w:themeColor="text1"/>
              </w:rPr>
            </w:pPr>
            <w:r w:rsidRPr="0016301A">
              <w:rPr>
                <w:rFonts w:ascii="Calibri" w:hAnsi="Calibri" w:cs="Calibri"/>
                <w:color w:val="000000" w:themeColor="text1"/>
              </w:rPr>
              <w:t>0,26%</w:t>
            </w:r>
          </w:p>
        </w:tc>
      </w:tr>
      <w:tr w:rsidR="00412F22" w:rsidRPr="0016301A" w14:paraId="3DA4A9B1" w14:textId="77777777" w:rsidTr="00EE0E23">
        <w:trPr>
          <w:trHeight w:val="52"/>
        </w:trPr>
        <w:tc>
          <w:tcPr>
            <w:tcW w:w="1418" w:type="dxa"/>
            <w:tcBorders>
              <w:top w:val="nil"/>
              <w:left w:val="single" w:sz="8" w:space="0" w:color="auto"/>
              <w:bottom w:val="single" w:sz="8" w:space="0" w:color="auto"/>
              <w:right w:val="nil"/>
            </w:tcBorders>
            <w:shd w:val="clear" w:color="auto" w:fill="auto"/>
            <w:noWrap/>
            <w:vAlign w:val="bottom"/>
            <w:hideMark/>
          </w:tcPr>
          <w:p w14:paraId="23E1B645" w14:textId="77777777" w:rsidR="00412F22" w:rsidRPr="0016301A" w:rsidRDefault="00412F22" w:rsidP="00EE0E23">
            <w:pPr>
              <w:jc w:val="center"/>
              <w:rPr>
                <w:rFonts w:ascii="Calibri" w:hAnsi="Calibri" w:cs="Calibri"/>
                <w:color w:val="000000" w:themeColor="text1"/>
              </w:rPr>
            </w:pPr>
            <w:r w:rsidRPr="0016301A">
              <w:rPr>
                <w:rFonts w:ascii="Calibri" w:hAnsi="Calibri" w:cs="Calibri"/>
                <w:color w:val="000000" w:themeColor="text1"/>
              </w:rPr>
              <w:t>2100</w:t>
            </w:r>
          </w:p>
        </w:tc>
        <w:tc>
          <w:tcPr>
            <w:tcW w:w="3347" w:type="dxa"/>
            <w:tcBorders>
              <w:top w:val="nil"/>
              <w:left w:val="single" w:sz="8" w:space="0" w:color="auto"/>
              <w:bottom w:val="single" w:sz="8" w:space="0" w:color="auto"/>
              <w:right w:val="single" w:sz="8" w:space="0" w:color="auto"/>
            </w:tcBorders>
            <w:shd w:val="clear" w:color="auto" w:fill="auto"/>
            <w:noWrap/>
            <w:vAlign w:val="bottom"/>
            <w:hideMark/>
          </w:tcPr>
          <w:p w14:paraId="251A3728" w14:textId="77777777" w:rsidR="00412F22" w:rsidRPr="0016301A" w:rsidRDefault="00412F22" w:rsidP="00EE0E23">
            <w:pPr>
              <w:jc w:val="center"/>
              <w:rPr>
                <w:rFonts w:ascii="Calibri" w:hAnsi="Calibri" w:cs="Calibri"/>
                <w:color w:val="000000" w:themeColor="text1"/>
              </w:rPr>
            </w:pPr>
            <w:r w:rsidRPr="0016301A">
              <w:rPr>
                <w:rFonts w:ascii="Calibri" w:hAnsi="Calibri" w:cs="Calibri"/>
                <w:color w:val="000000" w:themeColor="text1"/>
              </w:rPr>
              <w:t>38,00%</w:t>
            </w:r>
          </w:p>
        </w:tc>
        <w:tc>
          <w:tcPr>
            <w:tcW w:w="4014" w:type="dxa"/>
            <w:tcBorders>
              <w:top w:val="nil"/>
              <w:left w:val="nil"/>
              <w:bottom w:val="single" w:sz="8" w:space="0" w:color="auto"/>
              <w:right w:val="single" w:sz="8" w:space="0" w:color="auto"/>
            </w:tcBorders>
            <w:shd w:val="clear" w:color="auto" w:fill="auto"/>
            <w:noWrap/>
            <w:vAlign w:val="bottom"/>
            <w:hideMark/>
          </w:tcPr>
          <w:p w14:paraId="79C2B4F2" w14:textId="77777777" w:rsidR="00412F22" w:rsidRPr="0016301A" w:rsidRDefault="00412F22" w:rsidP="00EE0E23">
            <w:pPr>
              <w:jc w:val="center"/>
              <w:rPr>
                <w:rFonts w:ascii="Calibri" w:hAnsi="Calibri" w:cs="Calibri"/>
                <w:color w:val="000000" w:themeColor="text1"/>
              </w:rPr>
            </w:pPr>
            <w:r w:rsidRPr="0016301A">
              <w:rPr>
                <w:rFonts w:ascii="Calibri" w:hAnsi="Calibri" w:cs="Calibri"/>
                <w:color w:val="000000" w:themeColor="text1"/>
              </w:rPr>
              <w:t>1,04%</w:t>
            </w:r>
          </w:p>
        </w:tc>
      </w:tr>
    </w:tbl>
    <w:p w14:paraId="710EB5DA" w14:textId="77777777" w:rsidR="00412F22" w:rsidRDefault="00412F22" w:rsidP="00412F22">
      <w:pPr>
        <w:pStyle w:val="Titre3"/>
        <w:tabs>
          <w:tab w:val="left" w:pos="9356"/>
          <w:tab w:val="left" w:pos="9498"/>
          <w:tab w:val="left" w:pos="9781"/>
        </w:tabs>
        <w:spacing w:before="120" w:after="120"/>
        <w:ind w:right="1281"/>
        <w:jc w:val="center"/>
        <w:rPr>
          <w:rFonts w:ascii="Arial Black" w:hAnsi="Arial Black"/>
          <w:b/>
          <w:bCs/>
          <w:color w:val="FF3399"/>
        </w:rPr>
      </w:pPr>
      <w:bookmarkStart w:id="731" w:name="_Toc192462525"/>
      <w:bookmarkEnd w:id="730"/>
    </w:p>
    <w:p w14:paraId="5C636222" w14:textId="77777777" w:rsidR="00412F22" w:rsidRPr="00187247" w:rsidRDefault="00412F22" w:rsidP="00412F22">
      <w:pPr>
        <w:pStyle w:val="Titre3"/>
        <w:tabs>
          <w:tab w:val="left" w:pos="9356"/>
          <w:tab w:val="left" w:pos="9498"/>
          <w:tab w:val="left" w:pos="9781"/>
        </w:tabs>
        <w:spacing w:before="120" w:after="120"/>
        <w:ind w:right="1281"/>
        <w:jc w:val="center"/>
        <w:rPr>
          <w:rFonts w:ascii="Arial Black" w:hAnsi="Arial Black"/>
          <w:b/>
          <w:bCs/>
          <w:color w:val="FF3399"/>
        </w:rPr>
      </w:pPr>
      <w:r w:rsidRPr="00187247">
        <w:rPr>
          <w:rFonts w:ascii="Arial Black" w:hAnsi="Arial Black"/>
          <w:b/>
          <w:bCs/>
          <w:color w:val="FF3399"/>
        </w:rPr>
        <w:t>III.3.1 Scénario socioéconomique A2</w:t>
      </w:r>
      <w:bookmarkEnd w:id="731"/>
    </w:p>
    <w:p w14:paraId="6BB88897" w14:textId="77777777" w:rsidR="00412F22" w:rsidRPr="00FA45DA" w:rsidRDefault="00412F22" w:rsidP="00412F22">
      <w:pPr>
        <w:pStyle w:val="Corpsdetexte"/>
        <w:rPr>
          <w:rFonts w:asciiTheme="minorHAnsi" w:hAnsiTheme="minorHAnsi" w:cstheme="minorHAnsi"/>
          <w:b/>
          <w:bCs/>
          <w:color w:val="000000" w:themeColor="text1"/>
          <w:sz w:val="14"/>
          <w:szCs w:val="14"/>
        </w:rPr>
      </w:pPr>
    </w:p>
    <w:p w14:paraId="215D0BAF" w14:textId="77777777" w:rsidR="00412F22" w:rsidRPr="0016301A" w:rsidRDefault="00412F22" w:rsidP="00412F22">
      <w:pPr>
        <w:pStyle w:val="Corpsdetexte"/>
        <w:spacing w:line="276" w:lineRule="auto"/>
        <w:ind w:right="379"/>
        <w:rPr>
          <w:rFonts w:asciiTheme="minorHAnsi" w:hAnsiTheme="minorHAnsi" w:cstheme="minorHAnsi"/>
          <w:color w:val="000000" w:themeColor="text1"/>
        </w:rPr>
      </w:pPr>
      <w:r w:rsidRPr="0016301A">
        <w:rPr>
          <w:rFonts w:asciiTheme="minorHAnsi" w:hAnsiTheme="minorHAnsi" w:cstheme="minorHAnsi"/>
          <w:color w:val="000000" w:themeColor="text1"/>
        </w:rPr>
        <w:t>Le scénario est évalué à travers l’évolution du PIB annuel, prenant en compte les effets de la vulnérabilité due aux changements climatiques sur la contribution des secteurs dans la formation du PIB national.</w:t>
      </w:r>
    </w:p>
    <w:p w14:paraId="0995F1C0" w14:textId="77777777" w:rsidR="00412F22" w:rsidRPr="00603A29" w:rsidRDefault="00412F22" w:rsidP="00412F22">
      <w:pPr>
        <w:pStyle w:val="Corpsdetexte"/>
        <w:spacing w:line="276" w:lineRule="auto"/>
        <w:ind w:right="379"/>
        <w:rPr>
          <w:rFonts w:asciiTheme="minorHAnsi" w:hAnsiTheme="minorHAnsi" w:cstheme="minorHAnsi"/>
          <w:color w:val="000000" w:themeColor="text1"/>
          <w:sz w:val="6"/>
          <w:szCs w:val="6"/>
        </w:rPr>
      </w:pPr>
    </w:p>
    <w:p w14:paraId="5867F691" w14:textId="77777777" w:rsidR="00412F22" w:rsidRDefault="00412F22" w:rsidP="00412F22">
      <w:pPr>
        <w:pStyle w:val="Corpsdetexte"/>
        <w:spacing w:line="276" w:lineRule="auto"/>
        <w:ind w:right="379"/>
        <w:rPr>
          <w:rFonts w:asciiTheme="minorHAnsi" w:hAnsiTheme="minorHAnsi" w:cstheme="minorHAnsi"/>
          <w:color w:val="000000" w:themeColor="text1"/>
        </w:rPr>
      </w:pPr>
      <w:r w:rsidRPr="0016301A">
        <w:rPr>
          <w:rFonts w:asciiTheme="minorHAnsi" w:hAnsiTheme="minorHAnsi" w:cstheme="minorHAnsi"/>
          <w:color w:val="000000" w:themeColor="text1"/>
        </w:rPr>
        <w:t xml:space="preserve">Avec </w:t>
      </w:r>
      <w:r>
        <w:rPr>
          <w:rFonts w:asciiTheme="minorHAnsi" w:hAnsiTheme="minorHAnsi" w:cstheme="minorHAnsi"/>
          <w:color w:val="000000" w:themeColor="text1"/>
        </w:rPr>
        <w:t xml:space="preserve">les </w:t>
      </w:r>
      <w:r w:rsidRPr="0016301A">
        <w:rPr>
          <w:rFonts w:asciiTheme="minorHAnsi" w:hAnsiTheme="minorHAnsi" w:cstheme="minorHAnsi"/>
          <w:color w:val="000000" w:themeColor="text1"/>
        </w:rPr>
        <w:t>changements climatiques</w:t>
      </w:r>
      <w:r>
        <w:rPr>
          <w:rFonts w:asciiTheme="minorHAnsi" w:hAnsiTheme="minorHAnsi" w:cstheme="minorHAnsi"/>
          <w:color w:val="000000" w:themeColor="text1"/>
        </w:rPr>
        <w:t>,</w:t>
      </w:r>
      <w:r w:rsidRPr="0016301A">
        <w:rPr>
          <w:rFonts w:asciiTheme="minorHAnsi" w:hAnsiTheme="minorHAnsi" w:cstheme="minorHAnsi"/>
          <w:color w:val="000000" w:themeColor="text1"/>
        </w:rPr>
        <w:t xml:space="preserve"> le taux d’accroissement du PIB utilisé pour A2 est de 3,5%</w:t>
      </w:r>
      <w:r>
        <w:rPr>
          <w:rFonts w:asciiTheme="minorHAnsi" w:hAnsiTheme="minorHAnsi" w:cstheme="minorHAnsi"/>
          <w:color w:val="000000" w:themeColor="text1"/>
        </w:rPr>
        <w:t xml:space="preserve"> (valeur extrême du tableau 3)</w:t>
      </w:r>
      <w:r w:rsidRPr="0016301A">
        <w:rPr>
          <w:rFonts w:asciiTheme="minorHAnsi" w:hAnsiTheme="minorHAnsi" w:cstheme="minorHAnsi"/>
          <w:color w:val="000000" w:themeColor="text1"/>
        </w:rPr>
        <w:t>, alors qu’il est de 7,84% sans changements climatiques</w:t>
      </w:r>
      <w:r>
        <w:rPr>
          <w:rFonts w:asciiTheme="minorHAnsi" w:hAnsiTheme="minorHAnsi" w:cstheme="minorHAnsi"/>
          <w:color w:val="000000" w:themeColor="text1"/>
        </w:rPr>
        <w:t>.</w:t>
      </w:r>
    </w:p>
    <w:p w14:paraId="276AEBC6" w14:textId="77777777" w:rsidR="00412F22" w:rsidRPr="008C4AA4" w:rsidRDefault="00412F22" w:rsidP="00412F22">
      <w:pPr>
        <w:pStyle w:val="Corpsdetexte"/>
        <w:spacing w:line="276" w:lineRule="auto"/>
        <w:ind w:right="379"/>
        <w:rPr>
          <w:rFonts w:asciiTheme="minorHAnsi" w:hAnsiTheme="minorHAnsi" w:cstheme="minorHAnsi"/>
          <w:color w:val="000000" w:themeColor="text1"/>
          <w:sz w:val="4"/>
          <w:szCs w:val="4"/>
        </w:rPr>
      </w:pPr>
    </w:p>
    <w:p w14:paraId="4BE3CF44" w14:textId="77777777" w:rsidR="00412F22" w:rsidRPr="008C4AA4" w:rsidRDefault="00412F22" w:rsidP="00412F22">
      <w:pPr>
        <w:pStyle w:val="Corpsdetexte"/>
        <w:pBdr>
          <w:top w:val="single" w:sz="4" w:space="1" w:color="auto"/>
          <w:left w:val="single" w:sz="4" w:space="4" w:color="auto"/>
          <w:bottom w:val="single" w:sz="4" w:space="1" w:color="auto"/>
          <w:right w:val="single" w:sz="4" w:space="4" w:color="auto"/>
        </w:pBdr>
        <w:shd w:val="clear" w:color="auto" w:fill="FFFF00"/>
        <w:spacing w:line="276" w:lineRule="auto"/>
        <w:ind w:right="-330"/>
        <w:rPr>
          <w:rFonts w:asciiTheme="minorHAnsi" w:hAnsiTheme="minorHAnsi" w:cstheme="minorHAnsi"/>
          <w:b/>
          <w:bCs/>
          <w:color w:val="ED7D31" w:themeColor="accent2"/>
        </w:rPr>
      </w:pPr>
      <w:r w:rsidRPr="008C4AA4">
        <w:rPr>
          <w:rFonts w:asciiTheme="minorHAnsi" w:hAnsiTheme="minorHAnsi" w:cstheme="minorHAnsi"/>
          <w:b/>
          <w:bCs/>
          <w:color w:val="ED7D31" w:themeColor="accent2"/>
        </w:rPr>
        <w:t>Les scénarios socioéconomiques sont déclinés ci-après, pour A2, aux horizons 2050 et 2100.</w:t>
      </w:r>
    </w:p>
    <w:p w14:paraId="7D93305A" w14:textId="77777777" w:rsidR="00412F22" w:rsidRPr="00081166" w:rsidRDefault="00412F22" w:rsidP="00412F22">
      <w:pPr>
        <w:pStyle w:val="Corpsdetexte"/>
        <w:spacing w:line="276" w:lineRule="auto"/>
        <w:ind w:right="1279"/>
        <w:rPr>
          <w:rFonts w:asciiTheme="minorHAnsi" w:hAnsiTheme="minorHAnsi" w:cstheme="minorHAnsi"/>
          <w:color w:val="000000" w:themeColor="text1"/>
          <w:sz w:val="4"/>
          <w:szCs w:val="4"/>
        </w:rPr>
      </w:pPr>
    </w:p>
    <w:p w14:paraId="12B2E5EF" w14:textId="77777777" w:rsidR="00412F22" w:rsidRPr="008C4AA4" w:rsidRDefault="00412F22" w:rsidP="00412F22">
      <w:pPr>
        <w:pStyle w:val="Corpsdetexte"/>
        <w:ind w:left="708"/>
        <w:rPr>
          <w:rFonts w:asciiTheme="minorHAnsi" w:hAnsiTheme="minorHAnsi" w:cstheme="minorHAnsi"/>
          <w:b/>
          <w:bCs/>
          <w:color w:val="000000" w:themeColor="text1"/>
          <w:sz w:val="16"/>
          <w:szCs w:val="16"/>
        </w:rPr>
      </w:pPr>
    </w:p>
    <w:p w14:paraId="742BB167" w14:textId="77777777" w:rsidR="00412F22" w:rsidRPr="0016301A" w:rsidRDefault="00412F22" w:rsidP="00412F22">
      <w:pPr>
        <w:pStyle w:val="Corpsdetexte"/>
        <w:rPr>
          <w:rFonts w:asciiTheme="minorHAnsi" w:hAnsiTheme="minorHAnsi" w:cstheme="minorHAnsi"/>
          <w:b/>
          <w:bCs/>
          <w:color w:val="000000" w:themeColor="text1"/>
        </w:rPr>
      </w:pPr>
      <w:r w:rsidRPr="008C4AA4">
        <w:rPr>
          <w:rFonts w:asciiTheme="minorHAnsi" w:hAnsiTheme="minorHAnsi" w:cstheme="minorHAnsi"/>
          <w:b/>
          <w:bCs/>
          <w:color w:val="000000" w:themeColor="text1"/>
          <w:highlight w:val="green"/>
        </w:rPr>
        <w:t>Horizon 2050</w:t>
      </w:r>
    </w:p>
    <w:p w14:paraId="4B41A35E" w14:textId="77777777" w:rsidR="00412F22" w:rsidRPr="008C4AA4" w:rsidRDefault="00412F22" w:rsidP="00412F22">
      <w:pPr>
        <w:pStyle w:val="Corpsdetexte"/>
        <w:rPr>
          <w:rFonts w:asciiTheme="minorHAnsi" w:hAnsiTheme="minorHAnsi" w:cstheme="minorHAnsi"/>
          <w:b/>
          <w:bCs/>
          <w:color w:val="000000" w:themeColor="text1"/>
          <w:sz w:val="8"/>
          <w:szCs w:val="8"/>
        </w:rPr>
      </w:pPr>
    </w:p>
    <w:p w14:paraId="30253D2B" w14:textId="77777777" w:rsidR="00412F22" w:rsidRPr="000928E0" w:rsidRDefault="00412F22" w:rsidP="00412F22">
      <w:pPr>
        <w:pStyle w:val="Lgende"/>
        <w:spacing w:after="120"/>
        <w:ind w:left="-284"/>
        <w:jc w:val="center"/>
        <w:rPr>
          <w:b/>
          <w:bCs/>
          <w:color w:val="000000" w:themeColor="text1"/>
          <w:sz w:val="22"/>
          <w:szCs w:val="22"/>
        </w:rPr>
      </w:pPr>
      <w:bookmarkStart w:id="732" w:name="_Toc192462651"/>
      <w:r w:rsidRPr="000928E0">
        <w:rPr>
          <w:b/>
          <w:bCs/>
          <w:color w:val="000000" w:themeColor="text1"/>
          <w:sz w:val="22"/>
          <w:szCs w:val="22"/>
        </w:rPr>
        <w:t xml:space="preserve">Tableau </w:t>
      </w:r>
      <w:r w:rsidRPr="000928E0">
        <w:rPr>
          <w:b/>
          <w:bCs/>
          <w:color w:val="000000" w:themeColor="text1"/>
          <w:sz w:val="22"/>
          <w:szCs w:val="22"/>
        </w:rPr>
        <w:fldChar w:fldCharType="begin"/>
      </w:r>
      <w:r w:rsidRPr="000928E0">
        <w:rPr>
          <w:b/>
          <w:bCs/>
          <w:color w:val="000000" w:themeColor="text1"/>
          <w:sz w:val="22"/>
          <w:szCs w:val="22"/>
        </w:rPr>
        <w:instrText xml:space="preserve"> SEQ Tableau \* ARABIC </w:instrText>
      </w:r>
      <w:r w:rsidRPr="000928E0">
        <w:rPr>
          <w:b/>
          <w:bCs/>
          <w:color w:val="000000" w:themeColor="text1"/>
          <w:sz w:val="22"/>
          <w:szCs w:val="22"/>
        </w:rPr>
        <w:fldChar w:fldCharType="separate"/>
      </w:r>
      <w:r>
        <w:rPr>
          <w:b/>
          <w:bCs/>
          <w:noProof/>
          <w:color w:val="000000" w:themeColor="text1"/>
          <w:sz w:val="22"/>
          <w:szCs w:val="22"/>
        </w:rPr>
        <w:t>8</w:t>
      </w:r>
      <w:r w:rsidRPr="000928E0">
        <w:rPr>
          <w:b/>
          <w:bCs/>
          <w:color w:val="000000" w:themeColor="text1"/>
          <w:sz w:val="22"/>
          <w:szCs w:val="22"/>
        </w:rPr>
        <w:fldChar w:fldCharType="end"/>
      </w:r>
      <w:r w:rsidRPr="000928E0">
        <w:rPr>
          <w:b/>
          <w:bCs/>
          <w:color w:val="000000" w:themeColor="text1"/>
          <w:sz w:val="22"/>
          <w:szCs w:val="22"/>
        </w:rPr>
        <w:t>: PIB national et contributions des secteurs à ce PIB en 2050,</w:t>
      </w:r>
      <w:bookmarkEnd w:id="732"/>
      <w:r w:rsidRPr="000928E0">
        <w:rPr>
          <w:b/>
          <w:bCs/>
          <w:color w:val="000000" w:themeColor="text1"/>
          <w:sz w:val="22"/>
          <w:szCs w:val="22"/>
        </w:rPr>
        <w:t xml:space="preserve"> </w:t>
      </w:r>
    </w:p>
    <w:tbl>
      <w:tblPr>
        <w:tblW w:w="11540" w:type="dxa"/>
        <w:tblInd w:w="-1134" w:type="dxa"/>
        <w:tblCellMar>
          <w:left w:w="70" w:type="dxa"/>
          <w:right w:w="70" w:type="dxa"/>
        </w:tblCellMar>
        <w:tblLook w:val="04A0" w:firstRow="1" w:lastRow="0" w:firstColumn="1" w:lastColumn="0" w:noHBand="0" w:noVBand="1"/>
      </w:tblPr>
      <w:tblGrid>
        <w:gridCol w:w="3828"/>
        <w:gridCol w:w="1984"/>
        <w:gridCol w:w="1418"/>
        <w:gridCol w:w="851"/>
        <w:gridCol w:w="1199"/>
        <w:gridCol w:w="1488"/>
        <w:gridCol w:w="772"/>
      </w:tblGrid>
      <w:tr w:rsidR="00412F22" w:rsidRPr="0016301A" w14:paraId="6AAC75B1" w14:textId="77777777" w:rsidTr="00EE0E23">
        <w:trPr>
          <w:trHeight w:val="849"/>
        </w:trPr>
        <w:tc>
          <w:tcPr>
            <w:tcW w:w="3828" w:type="dxa"/>
            <w:tcBorders>
              <w:top w:val="single" w:sz="4" w:space="0" w:color="auto"/>
              <w:left w:val="single" w:sz="4" w:space="0" w:color="auto"/>
              <w:bottom w:val="nil"/>
              <w:right w:val="nil"/>
            </w:tcBorders>
            <w:shd w:val="clear" w:color="auto" w:fill="auto"/>
            <w:noWrap/>
            <w:vAlign w:val="bottom"/>
            <w:hideMark/>
          </w:tcPr>
          <w:p w14:paraId="1FA8634E" w14:textId="77777777" w:rsidR="00412F22" w:rsidRPr="0016301A" w:rsidRDefault="00412F22" w:rsidP="00EE0E23">
            <w:pPr>
              <w:ind w:left="1200" w:firstLine="1950"/>
              <w:rPr>
                <w:rFonts w:cstheme="minorHAnsi"/>
                <w:b/>
                <w:bCs/>
                <w:color w:val="000000" w:themeColor="text1"/>
                <w:sz w:val="20"/>
                <w:szCs w:val="20"/>
              </w:rPr>
            </w:pPr>
          </w:p>
        </w:tc>
        <w:tc>
          <w:tcPr>
            <w:tcW w:w="198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9F66228" w14:textId="77777777" w:rsidR="00412F22" w:rsidRPr="0016301A" w:rsidRDefault="00412F22" w:rsidP="00EE0E23">
            <w:pPr>
              <w:rPr>
                <w:rFonts w:cstheme="minorHAnsi"/>
                <w:b/>
                <w:bCs/>
                <w:color w:val="000000" w:themeColor="text1"/>
                <w:sz w:val="20"/>
                <w:szCs w:val="20"/>
              </w:rPr>
            </w:pPr>
            <w:r w:rsidRPr="0016301A">
              <w:rPr>
                <w:rFonts w:cstheme="minorHAnsi"/>
                <w:b/>
                <w:bCs/>
                <w:color w:val="000000" w:themeColor="text1"/>
                <w:sz w:val="20"/>
                <w:szCs w:val="20"/>
              </w:rPr>
              <w:t>PIB national en Milliards (M) de MRU</w:t>
            </w:r>
          </w:p>
        </w:tc>
        <w:tc>
          <w:tcPr>
            <w:tcW w:w="2269" w:type="dxa"/>
            <w:gridSpan w:val="2"/>
            <w:tcBorders>
              <w:top w:val="single" w:sz="4" w:space="0" w:color="auto"/>
              <w:left w:val="nil"/>
              <w:bottom w:val="single" w:sz="8" w:space="0" w:color="auto"/>
              <w:right w:val="single" w:sz="8" w:space="0" w:color="auto"/>
            </w:tcBorders>
            <w:shd w:val="clear" w:color="auto" w:fill="auto"/>
            <w:vAlign w:val="center"/>
            <w:hideMark/>
          </w:tcPr>
          <w:p w14:paraId="1C206290"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Contribution Agriculture, pêche continentale, foresterie en M de MRU</w:t>
            </w:r>
          </w:p>
        </w:tc>
        <w:tc>
          <w:tcPr>
            <w:tcW w:w="1199" w:type="dxa"/>
            <w:tcBorders>
              <w:top w:val="single" w:sz="4" w:space="0" w:color="auto"/>
              <w:left w:val="nil"/>
              <w:bottom w:val="single" w:sz="8" w:space="0" w:color="auto"/>
              <w:right w:val="single" w:sz="8" w:space="0" w:color="auto"/>
            </w:tcBorders>
            <w:shd w:val="clear" w:color="auto" w:fill="auto"/>
            <w:vAlign w:val="center"/>
            <w:hideMark/>
          </w:tcPr>
          <w:p w14:paraId="2171F379"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Contribution Elevage</w:t>
            </w:r>
          </w:p>
        </w:tc>
        <w:tc>
          <w:tcPr>
            <w:tcW w:w="1488" w:type="dxa"/>
            <w:tcBorders>
              <w:top w:val="single" w:sz="4" w:space="0" w:color="auto"/>
              <w:left w:val="nil"/>
              <w:bottom w:val="single" w:sz="8" w:space="0" w:color="auto"/>
              <w:right w:val="single" w:sz="8" w:space="0" w:color="auto"/>
            </w:tcBorders>
            <w:shd w:val="clear" w:color="auto" w:fill="auto"/>
            <w:vAlign w:val="center"/>
            <w:hideMark/>
          </w:tcPr>
          <w:p w14:paraId="2B963589" w14:textId="77777777" w:rsidR="00412F22"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Contribution Infrastructures</w:t>
            </w:r>
            <w:r>
              <w:rPr>
                <w:rFonts w:cstheme="minorHAnsi"/>
                <w:b/>
                <w:bCs/>
                <w:color w:val="000000" w:themeColor="text1"/>
                <w:sz w:val="20"/>
                <w:szCs w:val="20"/>
              </w:rPr>
              <w:t>/</w:t>
            </w:r>
          </w:p>
          <w:p w14:paraId="3C9094AC"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BTP</w:t>
            </w:r>
          </w:p>
        </w:tc>
        <w:tc>
          <w:tcPr>
            <w:tcW w:w="772" w:type="dxa"/>
            <w:tcBorders>
              <w:top w:val="single" w:sz="4" w:space="0" w:color="auto"/>
              <w:left w:val="nil"/>
              <w:bottom w:val="single" w:sz="8" w:space="0" w:color="auto"/>
              <w:right w:val="single" w:sz="4" w:space="0" w:color="auto"/>
            </w:tcBorders>
            <w:shd w:val="clear" w:color="auto" w:fill="auto"/>
            <w:vAlign w:val="center"/>
            <w:hideMark/>
          </w:tcPr>
          <w:p w14:paraId="11A46467"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Chute PIB cause santé</w:t>
            </w:r>
          </w:p>
        </w:tc>
      </w:tr>
      <w:tr w:rsidR="00412F22" w:rsidRPr="0016301A" w14:paraId="47EF81A9" w14:textId="77777777" w:rsidTr="00EE0E23">
        <w:trPr>
          <w:gridBefore w:val="1"/>
          <w:wBefore w:w="3828" w:type="dxa"/>
          <w:trHeight w:val="473"/>
        </w:trPr>
        <w:tc>
          <w:tcPr>
            <w:tcW w:w="1984"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752C02EE" w14:textId="77777777" w:rsidR="00412F22" w:rsidRPr="0016301A" w:rsidRDefault="00412F22" w:rsidP="00EE0E23">
            <w:pPr>
              <w:ind w:left="75"/>
              <w:rPr>
                <w:rFonts w:cstheme="minorHAnsi"/>
                <w:b/>
                <w:bCs/>
                <w:color w:val="000000" w:themeColor="text1"/>
                <w:sz w:val="20"/>
                <w:szCs w:val="20"/>
              </w:rPr>
            </w:pPr>
            <w:r w:rsidRPr="0016301A">
              <w:rPr>
                <w:rFonts w:cstheme="minorHAnsi"/>
                <w:b/>
                <w:bCs/>
                <w:color w:val="000000" w:themeColor="text1"/>
                <w:sz w:val="20"/>
                <w:szCs w:val="20"/>
              </w:rPr>
              <w:t xml:space="preserve">PIB national 2023 et contribution des secteurs à ce PIB </w:t>
            </w:r>
          </w:p>
        </w:tc>
        <w:tc>
          <w:tcPr>
            <w:tcW w:w="1418" w:type="dxa"/>
            <w:tcBorders>
              <w:top w:val="nil"/>
              <w:left w:val="nil"/>
              <w:bottom w:val="single" w:sz="4" w:space="0" w:color="auto"/>
              <w:right w:val="single" w:sz="8" w:space="0" w:color="auto"/>
            </w:tcBorders>
            <w:shd w:val="clear" w:color="auto" w:fill="auto"/>
            <w:noWrap/>
            <w:vAlign w:val="center"/>
            <w:hideMark/>
          </w:tcPr>
          <w:p w14:paraId="3479596D" w14:textId="77777777" w:rsidR="00412F22" w:rsidRPr="0016301A" w:rsidRDefault="00412F22" w:rsidP="00EE0E23">
            <w:pPr>
              <w:jc w:val="center"/>
              <w:rPr>
                <w:rFonts w:cstheme="minorHAnsi"/>
                <w:color w:val="000000" w:themeColor="text1"/>
                <w:sz w:val="20"/>
                <w:szCs w:val="20"/>
              </w:rPr>
            </w:pPr>
            <w:r w:rsidRPr="0016301A">
              <w:rPr>
                <w:rFonts w:cstheme="minorHAnsi"/>
                <w:color w:val="000000" w:themeColor="text1"/>
                <w:sz w:val="20"/>
                <w:szCs w:val="20"/>
              </w:rPr>
              <w:t>388,7</w:t>
            </w:r>
          </w:p>
        </w:tc>
        <w:tc>
          <w:tcPr>
            <w:tcW w:w="851" w:type="dxa"/>
            <w:tcBorders>
              <w:top w:val="nil"/>
              <w:left w:val="nil"/>
              <w:bottom w:val="nil"/>
              <w:right w:val="single" w:sz="8" w:space="0" w:color="auto"/>
            </w:tcBorders>
            <w:shd w:val="clear" w:color="auto" w:fill="auto"/>
            <w:noWrap/>
            <w:vAlign w:val="center"/>
            <w:hideMark/>
          </w:tcPr>
          <w:p w14:paraId="2E6872E8" w14:textId="77777777" w:rsidR="00412F22" w:rsidRPr="0016301A" w:rsidRDefault="00412F22" w:rsidP="00EE0E23">
            <w:pPr>
              <w:jc w:val="center"/>
              <w:rPr>
                <w:rFonts w:cstheme="minorHAnsi"/>
                <w:color w:val="000000" w:themeColor="text1"/>
                <w:sz w:val="20"/>
                <w:szCs w:val="20"/>
              </w:rPr>
            </w:pPr>
            <w:r w:rsidRPr="0016301A">
              <w:rPr>
                <w:rFonts w:cstheme="minorHAnsi"/>
                <w:color w:val="000000" w:themeColor="text1"/>
                <w:sz w:val="20"/>
                <w:szCs w:val="20"/>
              </w:rPr>
              <w:t>20,40</w:t>
            </w:r>
          </w:p>
        </w:tc>
        <w:tc>
          <w:tcPr>
            <w:tcW w:w="1199" w:type="dxa"/>
            <w:tcBorders>
              <w:top w:val="nil"/>
              <w:left w:val="nil"/>
              <w:bottom w:val="nil"/>
              <w:right w:val="single" w:sz="8" w:space="0" w:color="auto"/>
            </w:tcBorders>
            <w:shd w:val="clear" w:color="auto" w:fill="auto"/>
            <w:noWrap/>
            <w:vAlign w:val="center"/>
            <w:hideMark/>
          </w:tcPr>
          <w:p w14:paraId="780CEC9E" w14:textId="77777777" w:rsidR="00412F22" w:rsidRPr="0016301A" w:rsidRDefault="00412F22" w:rsidP="00EE0E23">
            <w:pPr>
              <w:jc w:val="center"/>
              <w:rPr>
                <w:rFonts w:cstheme="minorHAnsi"/>
                <w:color w:val="000000" w:themeColor="text1"/>
                <w:sz w:val="20"/>
                <w:szCs w:val="20"/>
              </w:rPr>
            </w:pPr>
            <w:r w:rsidRPr="0016301A">
              <w:rPr>
                <w:rFonts w:cstheme="minorHAnsi"/>
                <w:color w:val="000000" w:themeColor="text1"/>
                <w:sz w:val="20"/>
                <w:szCs w:val="20"/>
              </w:rPr>
              <w:t>41,60</w:t>
            </w:r>
          </w:p>
        </w:tc>
        <w:tc>
          <w:tcPr>
            <w:tcW w:w="1488" w:type="dxa"/>
            <w:tcBorders>
              <w:top w:val="nil"/>
              <w:left w:val="nil"/>
              <w:bottom w:val="single" w:sz="4" w:space="0" w:color="auto"/>
              <w:right w:val="single" w:sz="8" w:space="0" w:color="auto"/>
            </w:tcBorders>
            <w:shd w:val="clear" w:color="auto" w:fill="auto"/>
            <w:noWrap/>
            <w:vAlign w:val="center"/>
            <w:hideMark/>
          </w:tcPr>
          <w:p w14:paraId="22DE6E66" w14:textId="77777777" w:rsidR="00412F22" w:rsidRPr="0016301A" w:rsidRDefault="00412F22" w:rsidP="00EE0E23">
            <w:pPr>
              <w:jc w:val="center"/>
              <w:rPr>
                <w:rFonts w:cstheme="minorHAnsi"/>
                <w:color w:val="000000" w:themeColor="text1"/>
                <w:sz w:val="20"/>
                <w:szCs w:val="20"/>
              </w:rPr>
            </w:pPr>
            <w:r w:rsidRPr="0016301A">
              <w:rPr>
                <w:rFonts w:cstheme="minorHAnsi"/>
                <w:color w:val="000000" w:themeColor="text1"/>
                <w:sz w:val="20"/>
                <w:szCs w:val="20"/>
              </w:rPr>
              <w:t>12,70</w:t>
            </w:r>
          </w:p>
        </w:tc>
        <w:tc>
          <w:tcPr>
            <w:tcW w:w="772" w:type="dxa"/>
            <w:tcBorders>
              <w:top w:val="nil"/>
              <w:left w:val="nil"/>
              <w:bottom w:val="single" w:sz="4" w:space="0" w:color="auto"/>
              <w:right w:val="single" w:sz="4" w:space="0" w:color="auto"/>
            </w:tcBorders>
            <w:shd w:val="clear" w:color="auto" w:fill="auto"/>
            <w:noWrap/>
            <w:vAlign w:val="center"/>
            <w:hideMark/>
          </w:tcPr>
          <w:p w14:paraId="4A3E026A" w14:textId="77777777" w:rsidR="00412F22" w:rsidRPr="0016301A" w:rsidRDefault="00412F22" w:rsidP="00EE0E23">
            <w:pPr>
              <w:jc w:val="center"/>
              <w:rPr>
                <w:rFonts w:cstheme="minorHAnsi"/>
                <w:color w:val="000000" w:themeColor="text1"/>
                <w:sz w:val="20"/>
                <w:szCs w:val="20"/>
              </w:rPr>
            </w:pPr>
          </w:p>
        </w:tc>
      </w:tr>
      <w:tr w:rsidR="00412F22" w:rsidRPr="0016301A" w14:paraId="771AE02A" w14:textId="77777777" w:rsidTr="00EE0E23">
        <w:trPr>
          <w:trHeight w:val="1097"/>
        </w:trPr>
        <w:tc>
          <w:tcPr>
            <w:tcW w:w="3828" w:type="dxa"/>
            <w:tcBorders>
              <w:top w:val="single" w:sz="4" w:space="0" w:color="auto"/>
              <w:left w:val="single" w:sz="4" w:space="0" w:color="auto"/>
              <w:bottom w:val="single" w:sz="4" w:space="0" w:color="auto"/>
              <w:right w:val="single" w:sz="8" w:space="0" w:color="auto"/>
            </w:tcBorders>
            <w:shd w:val="clear" w:color="auto" w:fill="auto"/>
            <w:vAlign w:val="center"/>
          </w:tcPr>
          <w:p w14:paraId="4A4E127A" w14:textId="77777777" w:rsidR="00412F22" w:rsidRDefault="00412F22" w:rsidP="00EE0E23">
            <w:pPr>
              <w:ind w:left="209"/>
              <w:rPr>
                <w:rFonts w:cstheme="minorHAnsi"/>
                <w:b/>
                <w:bCs/>
                <w:color w:val="000000" w:themeColor="text1"/>
                <w:sz w:val="20"/>
                <w:szCs w:val="20"/>
              </w:rPr>
            </w:pPr>
            <w:r w:rsidRPr="0016301A">
              <w:rPr>
                <w:rFonts w:cstheme="minorHAnsi"/>
                <w:b/>
                <w:bCs/>
                <w:color w:val="000000" w:themeColor="text1"/>
                <w:sz w:val="20"/>
                <w:szCs w:val="20"/>
              </w:rPr>
              <w:t xml:space="preserve">PIB sans CC et contributions des secteurs à ce PIB à l'horizon 2050 (taux de croissance </w:t>
            </w:r>
            <w:r w:rsidRPr="003F0D39">
              <w:rPr>
                <w:rFonts w:cstheme="minorHAnsi"/>
                <w:b/>
                <w:bCs/>
                <w:color w:val="000000" w:themeColor="text1"/>
                <w:sz w:val="20"/>
                <w:szCs w:val="20"/>
              </w:rPr>
              <w:t>annuel moyen</w:t>
            </w:r>
          </w:p>
          <w:p w14:paraId="3027A33F" w14:textId="77777777" w:rsidR="00412F22" w:rsidRPr="0016301A" w:rsidRDefault="00412F22" w:rsidP="00EE0E23">
            <w:pPr>
              <w:ind w:left="209"/>
              <w:rPr>
                <w:rFonts w:cstheme="minorHAnsi"/>
                <w:b/>
                <w:bCs/>
                <w:color w:val="000000" w:themeColor="text1"/>
                <w:sz w:val="20"/>
                <w:szCs w:val="20"/>
              </w:rPr>
            </w:pPr>
            <w:r>
              <w:rPr>
                <w:rFonts w:cstheme="minorHAnsi"/>
                <w:b/>
                <w:bCs/>
                <w:color w:val="000000" w:themeColor="text1"/>
                <w:sz w:val="20"/>
                <w:szCs w:val="20"/>
              </w:rPr>
              <w:t xml:space="preserve"> </w:t>
            </w:r>
            <w:proofErr w:type="gramStart"/>
            <w:r w:rsidRPr="003F0D39">
              <w:rPr>
                <w:rFonts w:cstheme="minorHAnsi"/>
                <w:b/>
                <w:bCs/>
                <w:color w:val="000000" w:themeColor="text1"/>
                <w:sz w:val="20"/>
                <w:szCs w:val="20"/>
              </w:rPr>
              <w:t>de</w:t>
            </w:r>
            <w:proofErr w:type="gramEnd"/>
            <w:r w:rsidRPr="003F0D39">
              <w:rPr>
                <w:rFonts w:cstheme="minorHAnsi"/>
                <w:b/>
                <w:bCs/>
                <w:color w:val="000000" w:themeColor="text1"/>
                <w:sz w:val="20"/>
                <w:szCs w:val="20"/>
              </w:rPr>
              <w:t xml:space="preserve"> 7,84%)</w:t>
            </w:r>
            <w:r w:rsidRPr="0016301A">
              <w:rPr>
                <w:rFonts w:cstheme="minorHAnsi"/>
                <w:b/>
                <w:bCs/>
                <w:color w:val="000000" w:themeColor="text1"/>
                <w:sz w:val="20"/>
                <w:szCs w:val="20"/>
              </w:rPr>
              <w:t xml:space="preserve"> </w:t>
            </w:r>
          </w:p>
        </w:tc>
        <w:tc>
          <w:tcPr>
            <w:tcW w:w="1984" w:type="dxa"/>
            <w:tcBorders>
              <w:top w:val="single" w:sz="4" w:space="0" w:color="auto"/>
              <w:left w:val="nil"/>
              <w:bottom w:val="single" w:sz="4" w:space="0" w:color="auto"/>
              <w:right w:val="single" w:sz="8" w:space="0" w:color="auto"/>
            </w:tcBorders>
            <w:shd w:val="clear" w:color="auto" w:fill="auto"/>
            <w:noWrap/>
            <w:vAlign w:val="center"/>
          </w:tcPr>
          <w:p w14:paraId="7BAE61F4"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xml:space="preserve">          2 983   </w:t>
            </w:r>
          </w:p>
        </w:tc>
        <w:tc>
          <w:tcPr>
            <w:tcW w:w="2269" w:type="dxa"/>
            <w:gridSpan w:val="2"/>
            <w:tcBorders>
              <w:top w:val="single" w:sz="4" w:space="0" w:color="auto"/>
              <w:left w:val="nil"/>
              <w:bottom w:val="single" w:sz="4" w:space="0" w:color="auto"/>
              <w:right w:val="single" w:sz="8" w:space="0" w:color="auto"/>
            </w:tcBorders>
            <w:shd w:val="clear" w:color="auto" w:fill="auto"/>
            <w:noWrap/>
            <w:vAlign w:val="center"/>
          </w:tcPr>
          <w:p w14:paraId="6BF0C513"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xml:space="preserve">                    134   </w:t>
            </w:r>
          </w:p>
        </w:tc>
        <w:tc>
          <w:tcPr>
            <w:tcW w:w="1199" w:type="dxa"/>
            <w:tcBorders>
              <w:top w:val="single" w:sz="4" w:space="0" w:color="auto"/>
              <w:left w:val="nil"/>
              <w:bottom w:val="single" w:sz="4" w:space="0" w:color="auto"/>
              <w:right w:val="single" w:sz="4" w:space="0" w:color="auto"/>
            </w:tcBorders>
            <w:shd w:val="clear" w:color="auto" w:fill="auto"/>
            <w:noWrap/>
            <w:vAlign w:val="center"/>
          </w:tcPr>
          <w:p w14:paraId="0EC5586D"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xml:space="preserve">  </w:t>
            </w:r>
            <w:r>
              <w:rPr>
                <w:rFonts w:cstheme="minorHAnsi"/>
                <w:color w:val="000000" w:themeColor="text1"/>
                <w:sz w:val="20"/>
                <w:szCs w:val="20"/>
              </w:rPr>
              <w:t xml:space="preserve">     </w:t>
            </w:r>
            <w:r w:rsidRPr="0016301A">
              <w:rPr>
                <w:rFonts w:cstheme="minorHAnsi"/>
                <w:color w:val="000000" w:themeColor="text1"/>
                <w:sz w:val="20"/>
                <w:szCs w:val="20"/>
              </w:rPr>
              <w:t xml:space="preserve">302   </w:t>
            </w:r>
          </w:p>
        </w:tc>
        <w:tc>
          <w:tcPr>
            <w:tcW w:w="14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DFE14"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xml:space="preserve">               113   </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690CC0" w14:textId="77777777" w:rsidR="00412F22" w:rsidRPr="0016301A" w:rsidRDefault="00412F22" w:rsidP="00EE0E23">
            <w:pPr>
              <w:rPr>
                <w:rFonts w:cstheme="minorHAnsi"/>
                <w:color w:val="000000" w:themeColor="text1"/>
                <w:sz w:val="20"/>
                <w:szCs w:val="20"/>
              </w:rPr>
            </w:pPr>
          </w:p>
        </w:tc>
      </w:tr>
      <w:tr w:rsidR="00412F22" w:rsidRPr="0016301A" w14:paraId="0B2799D5" w14:textId="77777777" w:rsidTr="00EE0E23">
        <w:trPr>
          <w:trHeight w:val="142"/>
        </w:trPr>
        <w:tc>
          <w:tcPr>
            <w:tcW w:w="3828" w:type="dxa"/>
            <w:tcBorders>
              <w:top w:val="single" w:sz="4" w:space="0" w:color="auto"/>
              <w:left w:val="single" w:sz="4" w:space="0" w:color="auto"/>
              <w:bottom w:val="single" w:sz="4" w:space="0" w:color="auto"/>
              <w:right w:val="single" w:sz="8" w:space="0" w:color="auto"/>
            </w:tcBorders>
            <w:shd w:val="clear" w:color="auto" w:fill="B4C6E7" w:themeFill="accent1" w:themeFillTint="66"/>
            <w:vAlign w:val="center"/>
            <w:hideMark/>
          </w:tcPr>
          <w:p w14:paraId="5D1690DC" w14:textId="77777777" w:rsidR="00412F22" w:rsidRPr="007E4B7E" w:rsidRDefault="00412F22" w:rsidP="00EE0E23">
            <w:pPr>
              <w:ind w:left="209"/>
              <w:rPr>
                <w:rFonts w:cstheme="minorHAnsi"/>
                <w:b/>
                <w:bCs/>
                <w:color w:val="000000" w:themeColor="text1"/>
                <w:sz w:val="20"/>
                <w:szCs w:val="20"/>
              </w:rPr>
            </w:pPr>
            <w:r w:rsidRPr="007E4B7E">
              <w:rPr>
                <w:rFonts w:cstheme="minorHAnsi"/>
                <w:b/>
                <w:bCs/>
                <w:color w:val="000000" w:themeColor="text1"/>
                <w:sz w:val="20"/>
                <w:szCs w:val="20"/>
              </w:rPr>
              <w:t>PIB avec CC et sans mesures d'adaptation et contributions à ce PIB à l'horizon 2050 (scénario de référence)</w:t>
            </w:r>
          </w:p>
        </w:tc>
        <w:tc>
          <w:tcPr>
            <w:tcW w:w="1984" w:type="dxa"/>
            <w:tcBorders>
              <w:top w:val="single" w:sz="4" w:space="0" w:color="auto"/>
              <w:left w:val="nil"/>
              <w:bottom w:val="single" w:sz="4" w:space="0" w:color="auto"/>
              <w:right w:val="single" w:sz="8" w:space="0" w:color="auto"/>
            </w:tcBorders>
            <w:shd w:val="clear" w:color="auto" w:fill="B4C6E7" w:themeFill="accent1" w:themeFillTint="66"/>
            <w:noWrap/>
            <w:vAlign w:val="center"/>
            <w:hideMark/>
          </w:tcPr>
          <w:p w14:paraId="45C02D73" w14:textId="77777777" w:rsidR="00412F22" w:rsidRPr="007E4B7E" w:rsidRDefault="00412F22" w:rsidP="00EE0E23">
            <w:pPr>
              <w:jc w:val="center"/>
              <w:rPr>
                <w:rFonts w:cstheme="minorHAnsi"/>
                <w:b/>
                <w:bCs/>
                <w:color w:val="000000" w:themeColor="text1"/>
                <w:sz w:val="20"/>
                <w:szCs w:val="20"/>
              </w:rPr>
            </w:pPr>
            <w:r w:rsidRPr="007E4B7E">
              <w:rPr>
                <w:rFonts w:cstheme="minorHAnsi"/>
                <w:b/>
                <w:bCs/>
                <w:color w:val="000000" w:themeColor="text1"/>
                <w:sz w:val="20"/>
                <w:szCs w:val="20"/>
              </w:rPr>
              <w:t>984</w:t>
            </w:r>
          </w:p>
        </w:tc>
        <w:tc>
          <w:tcPr>
            <w:tcW w:w="2269" w:type="dxa"/>
            <w:gridSpan w:val="2"/>
            <w:tcBorders>
              <w:top w:val="single" w:sz="4" w:space="0" w:color="auto"/>
              <w:left w:val="nil"/>
              <w:bottom w:val="single" w:sz="4" w:space="0" w:color="auto"/>
              <w:right w:val="single" w:sz="8" w:space="0" w:color="auto"/>
            </w:tcBorders>
            <w:shd w:val="clear" w:color="auto" w:fill="B4C6E7" w:themeFill="accent1" w:themeFillTint="66"/>
            <w:noWrap/>
            <w:vAlign w:val="center"/>
            <w:hideMark/>
          </w:tcPr>
          <w:p w14:paraId="789C7355" w14:textId="77777777" w:rsidR="00412F22" w:rsidRPr="007E4B7E" w:rsidRDefault="00412F22" w:rsidP="00EE0E23">
            <w:pPr>
              <w:jc w:val="center"/>
              <w:rPr>
                <w:rFonts w:cstheme="minorHAnsi"/>
                <w:b/>
                <w:bCs/>
                <w:color w:val="000000" w:themeColor="text1"/>
                <w:sz w:val="20"/>
                <w:szCs w:val="20"/>
              </w:rPr>
            </w:pPr>
            <w:r w:rsidRPr="007E4B7E">
              <w:rPr>
                <w:rFonts w:cstheme="minorHAnsi"/>
                <w:b/>
                <w:bCs/>
                <w:color w:val="000000" w:themeColor="text1"/>
                <w:sz w:val="20"/>
                <w:szCs w:val="20"/>
              </w:rPr>
              <w:t>41</w:t>
            </w:r>
          </w:p>
        </w:tc>
        <w:tc>
          <w:tcPr>
            <w:tcW w:w="1199"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25018CED" w14:textId="77777777" w:rsidR="00412F22" w:rsidRPr="007E4B7E" w:rsidRDefault="00412F22" w:rsidP="00EE0E23">
            <w:pPr>
              <w:jc w:val="center"/>
              <w:rPr>
                <w:rFonts w:cstheme="minorHAnsi"/>
                <w:b/>
                <w:bCs/>
                <w:color w:val="000000" w:themeColor="text1"/>
                <w:sz w:val="20"/>
                <w:szCs w:val="20"/>
              </w:rPr>
            </w:pPr>
            <w:r w:rsidRPr="007E4B7E">
              <w:rPr>
                <w:rFonts w:cstheme="minorHAnsi"/>
                <w:b/>
                <w:bCs/>
                <w:color w:val="000000" w:themeColor="text1"/>
                <w:sz w:val="20"/>
                <w:szCs w:val="20"/>
              </w:rPr>
              <w:t>9</w:t>
            </w:r>
            <w:r>
              <w:rPr>
                <w:rFonts w:cstheme="minorHAnsi"/>
                <w:b/>
                <w:bCs/>
                <w:color w:val="000000" w:themeColor="text1"/>
                <w:sz w:val="20"/>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47881C1D" w14:textId="77777777" w:rsidR="00412F22" w:rsidRPr="007E4B7E" w:rsidRDefault="00412F22" w:rsidP="00EE0E23">
            <w:pPr>
              <w:rPr>
                <w:rFonts w:cstheme="minorHAnsi"/>
                <w:b/>
                <w:bCs/>
                <w:color w:val="000000" w:themeColor="text1"/>
                <w:sz w:val="20"/>
                <w:szCs w:val="20"/>
              </w:rPr>
            </w:pPr>
            <w:r w:rsidRPr="007E4B7E">
              <w:rPr>
                <w:rFonts w:cstheme="minorHAnsi"/>
                <w:b/>
                <w:bCs/>
                <w:color w:val="000000" w:themeColor="text1"/>
                <w:sz w:val="20"/>
                <w:szCs w:val="20"/>
              </w:rPr>
              <w:t xml:space="preserve">                37               </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4BAB7155" w14:textId="77777777" w:rsidR="00412F22" w:rsidRPr="007E4B7E" w:rsidRDefault="00412F22" w:rsidP="00EE0E23">
            <w:pPr>
              <w:jc w:val="center"/>
              <w:rPr>
                <w:rFonts w:cstheme="minorHAnsi"/>
                <w:b/>
                <w:bCs/>
                <w:color w:val="000000" w:themeColor="text1"/>
                <w:sz w:val="20"/>
                <w:szCs w:val="20"/>
              </w:rPr>
            </w:pPr>
            <w:r w:rsidRPr="007E4B7E">
              <w:rPr>
                <w:rFonts w:cstheme="minorHAnsi"/>
                <w:b/>
                <w:bCs/>
                <w:color w:val="000000" w:themeColor="text1"/>
                <w:sz w:val="20"/>
                <w:szCs w:val="20"/>
              </w:rPr>
              <w:t>3</w:t>
            </w:r>
          </w:p>
        </w:tc>
      </w:tr>
      <w:tr w:rsidR="00412F22" w:rsidRPr="0016301A" w14:paraId="1FA139BA" w14:textId="77777777" w:rsidTr="00EE0E23">
        <w:trPr>
          <w:trHeight w:val="658"/>
        </w:trPr>
        <w:tc>
          <w:tcPr>
            <w:tcW w:w="3828" w:type="dxa"/>
            <w:tcBorders>
              <w:top w:val="single" w:sz="4" w:space="0" w:color="auto"/>
              <w:left w:val="single" w:sz="4" w:space="0" w:color="auto"/>
              <w:bottom w:val="single" w:sz="4" w:space="0" w:color="auto"/>
              <w:right w:val="single" w:sz="8" w:space="0" w:color="auto"/>
            </w:tcBorders>
            <w:shd w:val="clear" w:color="auto" w:fill="auto"/>
            <w:vAlign w:val="center"/>
          </w:tcPr>
          <w:p w14:paraId="09452C97" w14:textId="77777777" w:rsidR="00412F22" w:rsidRPr="007E4B7E" w:rsidRDefault="00412F22" w:rsidP="00EE0E23">
            <w:pPr>
              <w:ind w:left="209" w:hanging="54"/>
              <w:rPr>
                <w:rFonts w:ascii="Trebuchet MS" w:hAnsi="Trebuchet MS" w:cs="Calibri"/>
                <w:b/>
                <w:bCs/>
                <w:color w:val="000000" w:themeColor="text1"/>
                <w:sz w:val="20"/>
                <w:szCs w:val="20"/>
              </w:rPr>
            </w:pPr>
            <w:r w:rsidRPr="007E4B7E">
              <w:rPr>
                <w:rFonts w:ascii="Trebuchet MS" w:hAnsi="Trebuchet MS" w:cs="Calibri"/>
                <w:b/>
                <w:bCs/>
                <w:color w:val="000000" w:themeColor="text1"/>
                <w:sz w:val="20"/>
                <w:szCs w:val="20"/>
              </w:rPr>
              <w:t xml:space="preserve">Perte de PIB et de contributions au PIB en 2050 pour cause CC </w:t>
            </w:r>
          </w:p>
        </w:tc>
        <w:tc>
          <w:tcPr>
            <w:tcW w:w="1984" w:type="dxa"/>
            <w:tcBorders>
              <w:top w:val="single" w:sz="4" w:space="0" w:color="auto"/>
              <w:left w:val="nil"/>
              <w:bottom w:val="single" w:sz="4" w:space="0" w:color="auto"/>
              <w:right w:val="single" w:sz="8" w:space="0" w:color="auto"/>
            </w:tcBorders>
            <w:shd w:val="clear" w:color="auto" w:fill="auto"/>
            <w:noWrap/>
            <w:vAlign w:val="center"/>
          </w:tcPr>
          <w:p w14:paraId="3DCC56C7" w14:textId="77777777" w:rsidR="00412F22" w:rsidRPr="007E4B7E" w:rsidRDefault="00412F22" w:rsidP="00EE0E23">
            <w:pPr>
              <w:jc w:val="center"/>
              <w:rPr>
                <w:rFonts w:ascii="Calibri" w:hAnsi="Calibri" w:cs="Calibri"/>
                <w:b/>
                <w:bCs/>
                <w:color w:val="000000" w:themeColor="text1"/>
                <w:sz w:val="20"/>
                <w:szCs w:val="20"/>
              </w:rPr>
            </w:pPr>
            <w:r w:rsidRPr="007E4B7E">
              <w:rPr>
                <w:rFonts w:ascii="Calibri" w:hAnsi="Calibri" w:cs="Calibri"/>
                <w:b/>
                <w:bCs/>
                <w:color w:val="000000" w:themeColor="text1"/>
                <w:sz w:val="20"/>
                <w:szCs w:val="20"/>
              </w:rPr>
              <w:t xml:space="preserve">1 999   </w:t>
            </w:r>
          </w:p>
        </w:tc>
        <w:tc>
          <w:tcPr>
            <w:tcW w:w="2269" w:type="dxa"/>
            <w:gridSpan w:val="2"/>
            <w:tcBorders>
              <w:top w:val="single" w:sz="4" w:space="0" w:color="auto"/>
              <w:left w:val="nil"/>
              <w:bottom w:val="single" w:sz="4" w:space="0" w:color="auto"/>
              <w:right w:val="single" w:sz="8" w:space="0" w:color="auto"/>
            </w:tcBorders>
            <w:shd w:val="clear" w:color="auto" w:fill="auto"/>
            <w:noWrap/>
            <w:vAlign w:val="center"/>
          </w:tcPr>
          <w:p w14:paraId="6329D36D" w14:textId="77777777" w:rsidR="00412F22" w:rsidRPr="007E4B7E" w:rsidRDefault="00412F22" w:rsidP="00EE0E23">
            <w:pPr>
              <w:jc w:val="center"/>
              <w:rPr>
                <w:rFonts w:ascii="Calibri" w:hAnsi="Calibri" w:cs="Calibri"/>
                <w:b/>
                <w:bCs/>
                <w:color w:val="000000" w:themeColor="text1"/>
                <w:sz w:val="20"/>
                <w:szCs w:val="20"/>
              </w:rPr>
            </w:pPr>
            <w:r w:rsidRPr="007E4B7E">
              <w:rPr>
                <w:rFonts w:ascii="Calibri" w:hAnsi="Calibri" w:cs="Calibri"/>
                <w:b/>
                <w:bCs/>
                <w:color w:val="000000" w:themeColor="text1"/>
                <w:sz w:val="20"/>
                <w:szCs w:val="20"/>
              </w:rPr>
              <w:t xml:space="preserve">92   </w:t>
            </w:r>
          </w:p>
        </w:tc>
        <w:tc>
          <w:tcPr>
            <w:tcW w:w="1199" w:type="dxa"/>
            <w:tcBorders>
              <w:top w:val="single" w:sz="4" w:space="0" w:color="auto"/>
              <w:left w:val="nil"/>
              <w:bottom w:val="single" w:sz="4" w:space="0" w:color="auto"/>
              <w:right w:val="single" w:sz="4" w:space="0" w:color="auto"/>
            </w:tcBorders>
            <w:shd w:val="clear" w:color="auto" w:fill="auto"/>
            <w:noWrap/>
            <w:vAlign w:val="center"/>
          </w:tcPr>
          <w:p w14:paraId="56A0F335" w14:textId="77777777" w:rsidR="00412F22" w:rsidRPr="007E4B7E" w:rsidRDefault="00412F22" w:rsidP="00EE0E23">
            <w:pPr>
              <w:jc w:val="center"/>
              <w:rPr>
                <w:rFonts w:ascii="Calibri" w:hAnsi="Calibri" w:cs="Calibri"/>
                <w:b/>
                <w:bCs/>
                <w:color w:val="000000" w:themeColor="text1"/>
                <w:sz w:val="20"/>
                <w:szCs w:val="20"/>
              </w:rPr>
            </w:pPr>
            <w:r w:rsidRPr="007E4B7E">
              <w:rPr>
                <w:rFonts w:ascii="Calibri" w:hAnsi="Calibri" w:cs="Calibri"/>
                <w:b/>
                <w:bCs/>
                <w:color w:val="000000" w:themeColor="text1"/>
                <w:sz w:val="20"/>
                <w:szCs w:val="20"/>
              </w:rPr>
              <w:t>20</w:t>
            </w:r>
            <w:r>
              <w:rPr>
                <w:rFonts w:ascii="Calibri" w:hAnsi="Calibri" w:cs="Calibri"/>
                <w:b/>
                <w:bCs/>
                <w:color w:val="000000" w:themeColor="text1"/>
                <w:sz w:val="20"/>
                <w:szCs w:val="20"/>
              </w:rPr>
              <w:t>3</w:t>
            </w:r>
            <w:r w:rsidRPr="007E4B7E">
              <w:rPr>
                <w:rFonts w:ascii="Calibri" w:hAnsi="Calibri" w:cs="Calibri"/>
                <w:b/>
                <w:bCs/>
                <w:color w:val="000000" w:themeColor="text1"/>
                <w:sz w:val="20"/>
                <w:szCs w:val="20"/>
              </w:rPr>
              <w:t xml:space="preserve">   </w:t>
            </w:r>
          </w:p>
        </w:tc>
        <w:tc>
          <w:tcPr>
            <w:tcW w:w="14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9F26B2" w14:textId="77777777" w:rsidR="00412F22" w:rsidRPr="007E4B7E" w:rsidRDefault="00412F22" w:rsidP="00EE0E23">
            <w:pPr>
              <w:jc w:val="center"/>
              <w:rPr>
                <w:rFonts w:ascii="Calibri" w:hAnsi="Calibri" w:cs="Calibri"/>
                <w:b/>
                <w:bCs/>
                <w:color w:val="000000" w:themeColor="text1"/>
                <w:sz w:val="20"/>
                <w:szCs w:val="20"/>
              </w:rPr>
            </w:pPr>
            <w:r w:rsidRPr="007E4B7E">
              <w:rPr>
                <w:rFonts w:ascii="Calibri" w:hAnsi="Calibri" w:cs="Calibri"/>
                <w:b/>
                <w:bCs/>
                <w:color w:val="000000" w:themeColor="text1"/>
                <w:sz w:val="20"/>
                <w:szCs w:val="20"/>
              </w:rPr>
              <w:t xml:space="preserve">76   </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C70D4" w14:textId="77777777" w:rsidR="00412F22" w:rsidRPr="007E4B7E" w:rsidRDefault="00412F22" w:rsidP="00EE0E23">
            <w:pPr>
              <w:jc w:val="center"/>
              <w:rPr>
                <w:rFonts w:ascii="Calibri" w:hAnsi="Calibri" w:cs="Calibri"/>
                <w:b/>
                <w:bCs/>
                <w:color w:val="000000" w:themeColor="text1"/>
                <w:sz w:val="20"/>
                <w:szCs w:val="20"/>
              </w:rPr>
            </w:pPr>
            <w:r w:rsidRPr="007E4B7E">
              <w:rPr>
                <w:rFonts w:ascii="Calibri" w:hAnsi="Calibri" w:cs="Calibri"/>
                <w:b/>
                <w:bCs/>
                <w:color w:val="000000" w:themeColor="text1"/>
                <w:sz w:val="20"/>
                <w:szCs w:val="20"/>
              </w:rPr>
              <w:t xml:space="preserve">3   </w:t>
            </w:r>
          </w:p>
        </w:tc>
      </w:tr>
    </w:tbl>
    <w:p w14:paraId="07305DB4" w14:textId="77777777" w:rsidR="00412F22" w:rsidRPr="008C4AA4" w:rsidRDefault="00412F22" w:rsidP="00412F22">
      <w:pPr>
        <w:pStyle w:val="Corpsdetexte"/>
        <w:rPr>
          <w:rFonts w:asciiTheme="minorHAnsi" w:hAnsiTheme="minorHAnsi" w:cstheme="minorHAnsi"/>
          <w:b/>
          <w:bCs/>
          <w:color w:val="000000" w:themeColor="text1"/>
          <w:sz w:val="14"/>
          <w:szCs w:val="14"/>
        </w:rPr>
      </w:pPr>
    </w:p>
    <w:p w14:paraId="658780A7" w14:textId="77777777" w:rsidR="00412F22" w:rsidRPr="0016301A" w:rsidRDefault="00412F22" w:rsidP="00412F22">
      <w:pPr>
        <w:pStyle w:val="Corpsdetexte"/>
        <w:rPr>
          <w:rFonts w:asciiTheme="minorHAnsi" w:hAnsiTheme="minorHAnsi" w:cstheme="minorHAnsi"/>
          <w:b/>
          <w:bCs/>
          <w:color w:val="000000" w:themeColor="text1"/>
        </w:rPr>
      </w:pPr>
      <w:r w:rsidRPr="008C4AA4">
        <w:rPr>
          <w:rFonts w:asciiTheme="minorHAnsi" w:hAnsiTheme="minorHAnsi" w:cstheme="minorHAnsi"/>
          <w:b/>
          <w:bCs/>
          <w:color w:val="000000" w:themeColor="text1"/>
          <w:highlight w:val="green"/>
        </w:rPr>
        <w:t>Horizon 2100</w:t>
      </w:r>
      <w:r w:rsidRPr="0016301A">
        <w:rPr>
          <w:rFonts w:asciiTheme="minorHAnsi" w:hAnsiTheme="minorHAnsi" w:cstheme="minorHAnsi"/>
          <w:b/>
          <w:bCs/>
          <w:color w:val="000000" w:themeColor="text1"/>
        </w:rPr>
        <w:t xml:space="preserve"> </w:t>
      </w:r>
    </w:p>
    <w:p w14:paraId="1A5F84B3" w14:textId="77777777" w:rsidR="00412F22" w:rsidRPr="008C4AA4" w:rsidRDefault="00412F22" w:rsidP="00412F22">
      <w:pPr>
        <w:pStyle w:val="Corpsdetexte"/>
        <w:rPr>
          <w:rFonts w:asciiTheme="minorHAnsi" w:hAnsiTheme="minorHAnsi" w:cstheme="minorHAnsi"/>
          <w:b/>
          <w:bCs/>
          <w:color w:val="000000" w:themeColor="text1"/>
          <w:sz w:val="6"/>
          <w:szCs w:val="6"/>
        </w:rPr>
      </w:pPr>
    </w:p>
    <w:p w14:paraId="5D728E6F" w14:textId="77777777" w:rsidR="00412F22" w:rsidRPr="000928E0" w:rsidRDefault="00412F22" w:rsidP="00412F22">
      <w:pPr>
        <w:pStyle w:val="Lgende"/>
        <w:jc w:val="center"/>
        <w:rPr>
          <w:b/>
          <w:bCs/>
          <w:color w:val="000000" w:themeColor="text1"/>
          <w:sz w:val="22"/>
          <w:szCs w:val="22"/>
        </w:rPr>
      </w:pPr>
      <w:bookmarkStart w:id="733" w:name="_Toc192462652"/>
      <w:r w:rsidRPr="000928E0">
        <w:rPr>
          <w:b/>
          <w:bCs/>
          <w:color w:val="000000" w:themeColor="text1"/>
          <w:sz w:val="22"/>
          <w:szCs w:val="22"/>
        </w:rPr>
        <w:t xml:space="preserve">Tableau </w:t>
      </w:r>
      <w:r w:rsidRPr="000928E0">
        <w:rPr>
          <w:b/>
          <w:bCs/>
          <w:color w:val="000000" w:themeColor="text1"/>
          <w:sz w:val="22"/>
          <w:szCs w:val="22"/>
        </w:rPr>
        <w:fldChar w:fldCharType="begin"/>
      </w:r>
      <w:r w:rsidRPr="000928E0">
        <w:rPr>
          <w:b/>
          <w:bCs/>
          <w:color w:val="000000" w:themeColor="text1"/>
          <w:sz w:val="22"/>
          <w:szCs w:val="22"/>
        </w:rPr>
        <w:instrText xml:space="preserve"> SEQ Tableau \* ARABIC </w:instrText>
      </w:r>
      <w:r w:rsidRPr="000928E0">
        <w:rPr>
          <w:b/>
          <w:bCs/>
          <w:color w:val="000000" w:themeColor="text1"/>
          <w:sz w:val="22"/>
          <w:szCs w:val="22"/>
        </w:rPr>
        <w:fldChar w:fldCharType="separate"/>
      </w:r>
      <w:r>
        <w:rPr>
          <w:b/>
          <w:bCs/>
          <w:noProof/>
          <w:color w:val="000000" w:themeColor="text1"/>
          <w:sz w:val="22"/>
          <w:szCs w:val="22"/>
        </w:rPr>
        <w:t>9</w:t>
      </w:r>
      <w:r w:rsidRPr="000928E0">
        <w:rPr>
          <w:b/>
          <w:bCs/>
          <w:color w:val="000000" w:themeColor="text1"/>
          <w:sz w:val="22"/>
          <w:szCs w:val="22"/>
        </w:rPr>
        <w:fldChar w:fldCharType="end"/>
      </w:r>
      <w:r w:rsidRPr="000928E0">
        <w:rPr>
          <w:b/>
          <w:bCs/>
          <w:color w:val="000000" w:themeColor="text1"/>
          <w:sz w:val="22"/>
          <w:szCs w:val="22"/>
        </w:rPr>
        <w:t>: PIB national et contributions des secteurs à ce PIB en 2100</w:t>
      </w:r>
      <w:bookmarkEnd w:id="733"/>
    </w:p>
    <w:tbl>
      <w:tblPr>
        <w:tblW w:w="26764" w:type="dxa"/>
        <w:jc w:val="right"/>
        <w:tblCellMar>
          <w:left w:w="70" w:type="dxa"/>
          <w:right w:w="70" w:type="dxa"/>
        </w:tblCellMar>
        <w:tblLook w:val="04A0" w:firstRow="1" w:lastRow="0" w:firstColumn="1" w:lastColumn="0" w:noHBand="0" w:noVBand="1"/>
      </w:tblPr>
      <w:tblGrid>
        <w:gridCol w:w="4253"/>
        <w:gridCol w:w="5245"/>
        <w:gridCol w:w="5244"/>
        <w:gridCol w:w="4814"/>
        <w:gridCol w:w="6"/>
        <w:gridCol w:w="405"/>
        <w:gridCol w:w="288"/>
        <w:gridCol w:w="1698"/>
        <w:gridCol w:w="120"/>
        <w:gridCol w:w="709"/>
        <w:gridCol w:w="567"/>
        <w:gridCol w:w="693"/>
        <w:gridCol w:w="259"/>
        <w:gridCol w:w="905"/>
        <w:gridCol w:w="424"/>
        <w:gridCol w:w="852"/>
        <w:gridCol w:w="282"/>
      </w:tblGrid>
      <w:tr w:rsidR="00412F22" w:rsidRPr="0016301A" w14:paraId="3FEBB689" w14:textId="77777777" w:rsidTr="00EE0E23">
        <w:trPr>
          <w:gridAfter w:val="1"/>
          <w:wAfter w:w="282" w:type="dxa"/>
          <w:trHeight w:val="849"/>
          <w:jc w:val="right"/>
        </w:trPr>
        <w:tc>
          <w:tcPr>
            <w:tcW w:w="4253" w:type="dxa"/>
            <w:tcBorders>
              <w:top w:val="nil"/>
              <w:left w:val="nil"/>
              <w:bottom w:val="nil"/>
              <w:right w:val="nil"/>
            </w:tcBorders>
            <w:shd w:val="clear" w:color="auto" w:fill="auto"/>
            <w:noWrap/>
            <w:vAlign w:val="center"/>
            <w:hideMark/>
          </w:tcPr>
          <w:p w14:paraId="0ECF1623" w14:textId="77777777" w:rsidR="00412F22" w:rsidRPr="0016301A" w:rsidRDefault="00412F22" w:rsidP="00EE0E23">
            <w:pPr>
              <w:ind w:left="2340" w:hanging="80"/>
              <w:rPr>
                <w:rFonts w:cstheme="minorHAnsi"/>
                <w:b/>
                <w:bCs/>
                <w:color w:val="000000" w:themeColor="text1"/>
                <w:sz w:val="20"/>
                <w:szCs w:val="20"/>
              </w:rPr>
            </w:pPr>
          </w:p>
        </w:tc>
        <w:tc>
          <w:tcPr>
            <w:tcW w:w="10489"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39910013"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PIB national en Milliards (M</w:t>
            </w:r>
            <w:r>
              <w:rPr>
                <w:rFonts w:cstheme="minorHAnsi"/>
                <w:b/>
                <w:bCs/>
                <w:color w:val="000000" w:themeColor="text1"/>
                <w:sz w:val="20"/>
                <w:szCs w:val="20"/>
              </w:rPr>
              <w:t>)</w:t>
            </w:r>
            <w:r w:rsidRPr="0016301A">
              <w:rPr>
                <w:rFonts w:cstheme="minorHAnsi"/>
                <w:b/>
                <w:bCs/>
                <w:color w:val="000000" w:themeColor="text1"/>
                <w:sz w:val="20"/>
                <w:szCs w:val="20"/>
              </w:rPr>
              <w:t xml:space="preserve"> de MRU</w:t>
            </w:r>
          </w:p>
        </w:tc>
        <w:tc>
          <w:tcPr>
            <w:tcW w:w="5225" w:type="dxa"/>
            <w:gridSpan w:val="3"/>
            <w:tcBorders>
              <w:top w:val="single" w:sz="8" w:space="0" w:color="auto"/>
              <w:left w:val="nil"/>
              <w:bottom w:val="single" w:sz="8" w:space="0" w:color="auto"/>
              <w:right w:val="single" w:sz="8" w:space="0" w:color="auto"/>
            </w:tcBorders>
            <w:shd w:val="clear" w:color="auto" w:fill="auto"/>
            <w:vAlign w:val="center"/>
            <w:hideMark/>
          </w:tcPr>
          <w:p w14:paraId="0ABCBE0F" w14:textId="77777777" w:rsidR="00412F22" w:rsidRPr="0016301A" w:rsidRDefault="00412F22" w:rsidP="00EE0E23">
            <w:pPr>
              <w:ind w:left="643"/>
              <w:jc w:val="center"/>
              <w:rPr>
                <w:rFonts w:cstheme="minorHAnsi"/>
                <w:b/>
                <w:bCs/>
                <w:color w:val="000000" w:themeColor="text1"/>
                <w:sz w:val="20"/>
                <w:szCs w:val="20"/>
              </w:rPr>
            </w:pPr>
            <w:r w:rsidRPr="0016301A">
              <w:rPr>
                <w:rFonts w:cstheme="minorHAnsi"/>
                <w:b/>
                <w:bCs/>
                <w:color w:val="000000" w:themeColor="text1"/>
                <w:sz w:val="20"/>
                <w:szCs w:val="20"/>
              </w:rPr>
              <w:t>Contribution Agriculture, pêche continentale, foresterie en M de MRU</w:t>
            </w:r>
          </w:p>
        </w:tc>
        <w:tc>
          <w:tcPr>
            <w:tcW w:w="2815" w:type="dxa"/>
            <w:gridSpan w:val="4"/>
            <w:tcBorders>
              <w:top w:val="single" w:sz="8" w:space="0" w:color="auto"/>
              <w:left w:val="nil"/>
              <w:bottom w:val="single" w:sz="8" w:space="0" w:color="auto"/>
              <w:right w:val="single" w:sz="8" w:space="0" w:color="auto"/>
            </w:tcBorders>
            <w:shd w:val="clear" w:color="auto" w:fill="auto"/>
            <w:vAlign w:val="center"/>
            <w:hideMark/>
          </w:tcPr>
          <w:p w14:paraId="05D4012C"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Contribution Elevage</w:t>
            </w:r>
          </w:p>
        </w:tc>
        <w:tc>
          <w:tcPr>
            <w:tcW w:w="2424" w:type="dxa"/>
            <w:gridSpan w:val="4"/>
            <w:tcBorders>
              <w:top w:val="single" w:sz="8" w:space="0" w:color="auto"/>
              <w:left w:val="nil"/>
              <w:bottom w:val="single" w:sz="8" w:space="0" w:color="auto"/>
              <w:right w:val="single" w:sz="8" w:space="0" w:color="auto"/>
            </w:tcBorders>
            <w:shd w:val="clear" w:color="auto" w:fill="auto"/>
            <w:vAlign w:val="center"/>
            <w:hideMark/>
          </w:tcPr>
          <w:p w14:paraId="313D9F8B"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 xml:space="preserve">Contribution Infrastructures </w:t>
            </w:r>
            <w:r>
              <w:rPr>
                <w:rFonts w:cstheme="minorHAnsi"/>
                <w:b/>
                <w:bCs/>
                <w:color w:val="000000" w:themeColor="text1"/>
                <w:sz w:val="20"/>
                <w:szCs w:val="20"/>
              </w:rPr>
              <w:t>/</w:t>
            </w:r>
            <w:r w:rsidRPr="0016301A">
              <w:rPr>
                <w:rFonts w:cstheme="minorHAnsi"/>
                <w:b/>
                <w:bCs/>
                <w:color w:val="000000" w:themeColor="text1"/>
                <w:sz w:val="20"/>
                <w:szCs w:val="20"/>
              </w:rPr>
              <w:t>BTP</w:t>
            </w:r>
          </w:p>
        </w:tc>
        <w:tc>
          <w:tcPr>
            <w:tcW w:w="1276" w:type="dxa"/>
            <w:gridSpan w:val="2"/>
            <w:tcBorders>
              <w:top w:val="single" w:sz="8" w:space="0" w:color="auto"/>
              <w:left w:val="nil"/>
              <w:bottom w:val="single" w:sz="8" w:space="0" w:color="auto"/>
              <w:right w:val="single" w:sz="8" w:space="0" w:color="auto"/>
            </w:tcBorders>
            <w:shd w:val="clear" w:color="auto" w:fill="auto"/>
            <w:vAlign w:val="center"/>
            <w:hideMark/>
          </w:tcPr>
          <w:p w14:paraId="241E77EE"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Chute PIB cause santé</w:t>
            </w:r>
          </w:p>
        </w:tc>
      </w:tr>
      <w:tr w:rsidR="00412F22" w:rsidRPr="0016301A" w14:paraId="05A599B9" w14:textId="77777777" w:rsidTr="00EE0E23">
        <w:trPr>
          <w:gridBefore w:val="2"/>
          <w:wBefore w:w="9498" w:type="dxa"/>
          <w:trHeight w:val="473"/>
          <w:jc w:val="right"/>
        </w:trPr>
        <w:tc>
          <w:tcPr>
            <w:tcW w:w="10058" w:type="dxa"/>
            <w:gridSpan w:val="2"/>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0C66DC6" w14:textId="77777777" w:rsidR="00412F22" w:rsidRPr="00287870" w:rsidRDefault="00412F22" w:rsidP="00EE0E23">
            <w:pPr>
              <w:ind w:left="2260"/>
              <w:rPr>
                <w:rFonts w:cstheme="minorHAnsi"/>
                <w:b/>
                <w:bCs/>
                <w:color w:val="000000" w:themeColor="text1"/>
                <w:sz w:val="18"/>
                <w:szCs w:val="18"/>
              </w:rPr>
            </w:pPr>
            <w:r w:rsidRPr="00287870">
              <w:rPr>
                <w:rFonts w:cstheme="minorHAnsi"/>
                <w:b/>
                <w:bCs/>
                <w:color w:val="000000" w:themeColor="text1"/>
                <w:sz w:val="18"/>
                <w:szCs w:val="18"/>
              </w:rPr>
              <w:t xml:space="preserve">PIB national 2023 et contribution des secteurs à ce PIB </w:t>
            </w:r>
          </w:p>
        </w:tc>
        <w:tc>
          <w:tcPr>
            <w:tcW w:w="2517" w:type="dxa"/>
            <w:gridSpan w:val="5"/>
            <w:tcBorders>
              <w:top w:val="nil"/>
              <w:left w:val="nil"/>
              <w:bottom w:val="single" w:sz="4" w:space="0" w:color="auto"/>
              <w:right w:val="single" w:sz="8" w:space="0" w:color="auto"/>
            </w:tcBorders>
            <w:shd w:val="clear" w:color="auto" w:fill="auto"/>
            <w:noWrap/>
            <w:vAlign w:val="center"/>
            <w:hideMark/>
          </w:tcPr>
          <w:p w14:paraId="676E341F" w14:textId="77777777" w:rsidR="00412F22" w:rsidRPr="0016301A" w:rsidRDefault="00412F22" w:rsidP="00EE0E23">
            <w:pPr>
              <w:jc w:val="center"/>
              <w:rPr>
                <w:rFonts w:cstheme="minorHAnsi"/>
                <w:color w:val="000000" w:themeColor="text1"/>
                <w:sz w:val="20"/>
                <w:szCs w:val="20"/>
              </w:rPr>
            </w:pPr>
            <w:r w:rsidRPr="0016301A">
              <w:rPr>
                <w:rFonts w:cstheme="minorHAnsi"/>
                <w:color w:val="000000" w:themeColor="text1"/>
                <w:sz w:val="20"/>
                <w:szCs w:val="20"/>
              </w:rPr>
              <w:t xml:space="preserve">        388,7</w:t>
            </w:r>
          </w:p>
        </w:tc>
        <w:tc>
          <w:tcPr>
            <w:tcW w:w="1276" w:type="dxa"/>
            <w:gridSpan w:val="2"/>
            <w:tcBorders>
              <w:top w:val="nil"/>
              <w:left w:val="nil"/>
              <w:bottom w:val="nil"/>
              <w:right w:val="single" w:sz="8" w:space="0" w:color="auto"/>
            </w:tcBorders>
            <w:shd w:val="clear" w:color="auto" w:fill="auto"/>
            <w:noWrap/>
            <w:vAlign w:val="center"/>
            <w:hideMark/>
          </w:tcPr>
          <w:p w14:paraId="09D27862"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xml:space="preserve">                  20,40</w:t>
            </w:r>
          </w:p>
        </w:tc>
        <w:tc>
          <w:tcPr>
            <w:tcW w:w="693" w:type="dxa"/>
            <w:tcBorders>
              <w:top w:val="nil"/>
              <w:left w:val="nil"/>
              <w:bottom w:val="nil"/>
              <w:right w:val="single" w:sz="8" w:space="0" w:color="auto"/>
            </w:tcBorders>
            <w:shd w:val="clear" w:color="auto" w:fill="auto"/>
            <w:noWrap/>
            <w:vAlign w:val="center"/>
            <w:hideMark/>
          </w:tcPr>
          <w:p w14:paraId="6A610963" w14:textId="77777777" w:rsidR="00412F22" w:rsidRPr="0016301A" w:rsidRDefault="00412F22" w:rsidP="00EE0E23">
            <w:pPr>
              <w:jc w:val="center"/>
              <w:rPr>
                <w:rFonts w:cstheme="minorHAnsi"/>
                <w:color w:val="000000" w:themeColor="text1"/>
                <w:sz w:val="20"/>
                <w:szCs w:val="20"/>
              </w:rPr>
            </w:pPr>
            <w:r w:rsidRPr="0016301A">
              <w:rPr>
                <w:rFonts w:cstheme="minorHAnsi"/>
                <w:color w:val="000000" w:themeColor="text1"/>
                <w:sz w:val="20"/>
                <w:szCs w:val="20"/>
              </w:rPr>
              <w:t xml:space="preserve">   41,60</w:t>
            </w:r>
          </w:p>
        </w:tc>
        <w:tc>
          <w:tcPr>
            <w:tcW w:w="1588" w:type="dxa"/>
            <w:gridSpan w:val="3"/>
            <w:tcBorders>
              <w:top w:val="nil"/>
              <w:left w:val="nil"/>
              <w:bottom w:val="single" w:sz="4" w:space="0" w:color="auto"/>
              <w:right w:val="single" w:sz="8" w:space="0" w:color="auto"/>
            </w:tcBorders>
            <w:shd w:val="clear" w:color="auto" w:fill="auto"/>
            <w:noWrap/>
            <w:vAlign w:val="center"/>
            <w:hideMark/>
          </w:tcPr>
          <w:p w14:paraId="27B2073D" w14:textId="77777777" w:rsidR="00412F22" w:rsidRPr="0016301A" w:rsidRDefault="00412F22" w:rsidP="00EE0E23">
            <w:pPr>
              <w:jc w:val="center"/>
              <w:rPr>
                <w:rFonts w:cstheme="minorHAnsi"/>
                <w:color w:val="000000" w:themeColor="text1"/>
                <w:sz w:val="20"/>
                <w:szCs w:val="20"/>
              </w:rPr>
            </w:pPr>
            <w:r w:rsidRPr="0016301A">
              <w:rPr>
                <w:rFonts w:cstheme="minorHAnsi"/>
                <w:color w:val="000000" w:themeColor="text1"/>
                <w:sz w:val="20"/>
                <w:szCs w:val="20"/>
              </w:rPr>
              <w:t xml:space="preserve">       12,70</w:t>
            </w:r>
          </w:p>
        </w:tc>
        <w:tc>
          <w:tcPr>
            <w:tcW w:w="1134" w:type="dxa"/>
            <w:gridSpan w:val="2"/>
            <w:tcBorders>
              <w:top w:val="nil"/>
              <w:left w:val="nil"/>
              <w:bottom w:val="single" w:sz="4" w:space="0" w:color="auto"/>
              <w:right w:val="single" w:sz="8" w:space="0" w:color="auto"/>
            </w:tcBorders>
            <w:shd w:val="clear" w:color="auto" w:fill="auto"/>
            <w:noWrap/>
            <w:vAlign w:val="center"/>
            <w:hideMark/>
          </w:tcPr>
          <w:p w14:paraId="73CC74B1" w14:textId="77777777" w:rsidR="00412F22" w:rsidRPr="0016301A" w:rsidRDefault="00412F22" w:rsidP="00EE0E23">
            <w:pPr>
              <w:jc w:val="center"/>
              <w:rPr>
                <w:rFonts w:cstheme="minorHAnsi"/>
                <w:color w:val="000000" w:themeColor="text1"/>
                <w:sz w:val="20"/>
                <w:szCs w:val="20"/>
              </w:rPr>
            </w:pPr>
          </w:p>
        </w:tc>
      </w:tr>
      <w:tr w:rsidR="00412F22" w:rsidRPr="0016301A" w14:paraId="27026A5E" w14:textId="77777777" w:rsidTr="00EE0E23">
        <w:trPr>
          <w:gridBefore w:val="2"/>
          <w:wBefore w:w="9498" w:type="dxa"/>
          <w:trHeight w:val="283"/>
          <w:jc w:val="right"/>
        </w:trPr>
        <w:tc>
          <w:tcPr>
            <w:tcW w:w="10058"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3D070594" w14:textId="77777777" w:rsidR="00412F22" w:rsidRPr="00287870" w:rsidRDefault="00412F22" w:rsidP="00EE0E23">
            <w:pPr>
              <w:ind w:left="2260"/>
              <w:rPr>
                <w:rFonts w:cstheme="minorHAnsi"/>
                <w:b/>
                <w:bCs/>
                <w:color w:val="000000" w:themeColor="text1"/>
                <w:sz w:val="18"/>
                <w:szCs w:val="18"/>
              </w:rPr>
            </w:pPr>
            <w:r w:rsidRPr="00287870">
              <w:rPr>
                <w:rFonts w:cstheme="minorHAnsi"/>
                <w:b/>
                <w:bCs/>
                <w:color w:val="000000" w:themeColor="text1"/>
                <w:sz w:val="18"/>
                <w:szCs w:val="18"/>
              </w:rPr>
              <w:t>PIB sans CC et contributions des secteurs à ce PIB à l'horizon 2100 (taux de croissance annuel moyen de 7,84%)</w:t>
            </w:r>
          </w:p>
        </w:tc>
        <w:tc>
          <w:tcPr>
            <w:tcW w:w="2517" w:type="dxa"/>
            <w:gridSpan w:val="5"/>
            <w:tcBorders>
              <w:top w:val="single" w:sz="4" w:space="0" w:color="auto"/>
              <w:left w:val="nil"/>
              <w:bottom w:val="single" w:sz="4" w:space="0" w:color="auto"/>
              <w:right w:val="single" w:sz="8" w:space="0" w:color="auto"/>
            </w:tcBorders>
            <w:shd w:val="clear" w:color="auto" w:fill="auto"/>
            <w:noWrap/>
            <w:vAlign w:val="center"/>
          </w:tcPr>
          <w:p w14:paraId="516DE185"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xml:space="preserve">        129 917   </w:t>
            </w:r>
          </w:p>
        </w:tc>
        <w:tc>
          <w:tcPr>
            <w:tcW w:w="1276" w:type="dxa"/>
            <w:gridSpan w:val="2"/>
            <w:tcBorders>
              <w:top w:val="single" w:sz="4" w:space="0" w:color="auto"/>
              <w:left w:val="nil"/>
              <w:bottom w:val="single" w:sz="4" w:space="0" w:color="auto"/>
              <w:right w:val="single" w:sz="8" w:space="0" w:color="auto"/>
            </w:tcBorders>
            <w:shd w:val="clear" w:color="auto" w:fill="auto"/>
            <w:noWrap/>
            <w:vAlign w:val="center"/>
          </w:tcPr>
          <w:p w14:paraId="7F719496"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xml:space="preserve">             5 820   </w:t>
            </w:r>
          </w:p>
        </w:tc>
        <w:tc>
          <w:tcPr>
            <w:tcW w:w="693" w:type="dxa"/>
            <w:tcBorders>
              <w:top w:val="single" w:sz="4" w:space="0" w:color="auto"/>
              <w:left w:val="nil"/>
              <w:bottom w:val="single" w:sz="4" w:space="0" w:color="auto"/>
              <w:right w:val="single" w:sz="4" w:space="0" w:color="auto"/>
            </w:tcBorders>
            <w:shd w:val="clear" w:color="auto" w:fill="auto"/>
            <w:noWrap/>
            <w:vAlign w:val="center"/>
          </w:tcPr>
          <w:p w14:paraId="435E4690"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xml:space="preserve">   13 148   </w:t>
            </w:r>
          </w:p>
        </w:tc>
        <w:tc>
          <w:tcPr>
            <w:tcW w:w="15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2C5D6C3"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xml:space="preserve">          4 911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ACC9F27" w14:textId="77777777" w:rsidR="00412F22" w:rsidRPr="0016301A" w:rsidRDefault="00412F22" w:rsidP="00EE0E23">
            <w:pPr>
              <w:rPr>
                <w:rFonts w:cstheme="minorHAnsi"/>
                <w:color w:val="000000" w:themeColor="text1"/>
                <w:sz w:val="20"/>
                <w:szCs w:val="20"/>
              </w:rPr>
            </w:pPr>
          </w:p>
        </w:tc>
      </w:tr>
      <w:tr w:rsidR="00412F22" w:rsidRPr="0016301A" w14:paraId="062619E6" w14:textId="77777777" w:rsidTr="00EE0E23">
        <w:trPr>
          <w:gridAfter w:val="4"/>
          <w:wAfter w:w="2463" w:type="dxa"/>
          <w:trHeight w:val="142"/>
          <w:jc w:val="right"/>
        </w:trPr>
        <w:tc>
          <w:tcPr>
            <w:tcW w:w="4253" w:type="dxa"/>
            <w:tcBorders>
              <w:top w:val="single" w:sz="4" w:space="0" w:color="auto"/>
              <w:left w:val="single" w:sz="8" w:space="0" w:color="auto"/>
              <w:bottom w:val="single" w:sz="4" w:space="0" w:color="auto"/>
              <w:right w:val="single" w:sz="8" w:space="0" w:color="auto"/>
            </w:tcBorders>
            <w:shd w:val="clear" w:color="auto" w:fill="B4C6E7" w:themeFill="accent1" w:themeFillTint="66"/>
            <w:vAlign w:val="center"/>
            <w:hideMark/>
          </w:tcPr>
          <w:p w14:paraId="22B771C4" w14:textId="77777777" w:rsidR="00412F22" w:rsidRPr="00287870" w:rsidRDefault="00412F22" w:rsidP="00EE0E23">
            <w:pPr>
              <w:ind w:left="2260"/>
              <w:rPr>
                <w:rFonts w:cstheme="minorHAnsi"/>
                <w:b/>
                <w:bCs/>
                <w:color w:val="000000" w:themeColor="text1"/>
                <w:sz w:val="18"/>
                <w:szCs w:val="18"/>
              </w:rPr>
            </w:pPr>
            <w:r w:rsidRPr="00287870">
              <w:rPr>
                <w:rFonts w:cstheme="minorHAnsi"/>
                <w:b/>
                <w:bCs/>
                <w:color w:val="000000" w:themeColor="text1"/>
                <w:sz w:val="18"/>
                <w:szCs w:val="18"/>
              </w:rPr>
              <w:t>PIB avec CC et sans mesures d'adaptation et contributions à ce PIB à l'horizon 2100 (scénario de référence)</w:t>
            </w:r>
          </w:p>
        </w:tc>
        <w:tc>
          <w:tcPr>
            <w:tcW w:w="10489" w:type="dxa"/>
            <w:gridSpan w:val="2"/>
            <w:tcBorders>
              <w:top w:val="single" w:sz="4" w:space="0" w:color="auto"/>
              <w:left w:val="nil"/>
              <w:bottom w:val="single" w:sz="4" w:space="0" w:color="auto"/>
              <w:right w:val="single" w:sz="8" w:space="0" w:color="auto"/>
            </w:tcBorders>
            <w:shd w:val="clear" w:color="auto" w:fill="B4C6E7" w:themeFill="accent1" w:themeFillTint="66"/>
            <w:noWrap/>
            <w:vAlign w:val="center"/>
            <w:hideMark/>
          </w:tcPr>
          <w:p w14:paraId="729428F8" w14:textId="77777777" w:rsidR="00412F22" w:rsidRPr="0016301A" w:rsidRDefault="00412F22" w:rsidP="00EE0E23">
            <w:pPr>
              <w:jc w:val="center"/>
              <w:rPr>
                <w:rFonts w:cstheme="minorHAnsi"/>
                <w:color w:val="000000" w:themeColor="text1"/>
                <w:sz w:val="20"/>
                <w:szCs w:val="20"/>
              </w:rPr>
            </w:pPr>
            <w:r w:rsidRPr="0016301A">
              <w:rPr>
                <w:rFonts w:cstheme="minorHAnsi"/>
                <w:color w:val="000000" w:themeColor="text1"/>
                <w:sz w:val="20"/>
                <w:szCs w:val="20"/>
              </w:rPr>
              <w:t xml:space="preserve">5 496   </w:t>
            </w:r>
          </w:p>
        </w:tc>
        <w:tc>
          <w:tcPr>
            <w:tcW w:w="4820" w:type="dxa"/>
            <w:gridSpan w:val="2"/>
            <w:tcBorders>
              <w:top w:val="single" w:sz="4" w:space="0" w:color="auto"/>
              <w:left w:val="nil"/>
              <w:bottom w:val="single" w:sz="4" w:space="0" w:color="auto"/>
              <w:right w:val="single" w:sz="8" w:space="0" w:color="auto"/>
            </w:tcBorders>
            <w:shd w:val="clear" w:color="auto" w:fill="B4C6E7" w:themeFill="accent1" w:themeFillTint="66"/>
            <w:noWrap/>
            <w:vAlign w:val="center"/>
            <w:hideMark/>
          </w:tcPr>
          <w:p w14:paraId="38F497D9"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xml:space="preserve">                215   </w:t>
            </w:r>
          </w:p>
        </w:tc>
        <w:tc>
          <w:tcPr>
            <w:tcW w:w="693" w:type="dxa"/>
            <w:gridSpan w:val="2"/>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1A722D16"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xml:space="preserve">        </w:t>
            </w:r>
            <w:r>
              <w:rPr>
                <w:rFonts w:cstheme="minorHAnsi"/>
                <w:color w:val="000000" w:themeColor="text1"/>
                <w:sz w:val="20"/>
                <w:szCs w:val="20"/>
              </w:rPr>
              <w:t>550</w:t>
            </w:r>
            <w:r w:rsidRPr="0016301A">
              <w:rPr>
                <w:rFonts w:cstheme="minorHAnsi"/>
                <w:color w:val="000000" w:themeColor="text1"/>
                <w:sz w:val="20"/>
                <w:szCs w:val="20"/>
              </w:rPr>
              <w:t xml:space="preserve"> </w:t>
            </w:r>
          </w:p>
        </w:tc>
        <w:tc>
          <w:tcPr>
            <w:tcW w:w="1698"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293862E2"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xml:space="preserve">             207   </w:t>
            </w:r>
          </w:p>
        </w:tc>
        <w:tc>
          <w:tcPr>
            <w:tcW w:w="2348"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73365349"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xml:space="preserve">     57   </w:t>
            </w:r>
          </w:p>
        </w:tc>
      </w:tr>
      <w:tr w:rsidR="00412F22" w:rsidRPr="0016301A" w14:paraId="27EA7C17" w14:textId="77777777" w:rsidTr="00EE0E23">
        <w:trPr>
          <w:gridAfter w:val="4"/>
          <w:wAfter w:w="2463" w:type="dxa"/>
          <w:trHeight w:val="657"/>
          <w:jc w:val="right"/>
        </w:trPr>
        <w:tc>
          <w:tcPr>
            <w:tcW w:w="4253" w:type="dxa"/>
            <w:tcBorders>
              <w:top w:val="single" w:sz="4" w:space="0" w:color="auto"/>
              <w:left w:val="single" w:sz="8" w:space="0" w:color="auto"/>
              <w:bottom w:val="single" w:sz="4" w:space="0" w:color="auto"/>
              <w:right w:val="single" w:sz="8" w:space="0" w:color="auto"/>
            </w:tcBorders>
            <w:shd w:val="clear" w:color="auto" w:fill="auto"/>
            <w:vAlign w:val="center"/>
          </w:tcPr>
          <w:p w14:paraId="7EBC4220" w14:textId="77777777" w:rsidR="00412F22" w:rsidRPr="00287870" w:rsidRDefault="00412F22" w:rsidP="00EE0E23">
            <w:pPr>
              <w:ind w:left="2260"/>
              <w:rPr>
                <w:rFonts w:cstheme="minorHAnsi"/>
                <w:b/>
                <w:bCs/>
                <w:color w:val="000000" w:themeColor="text1"/>
                <w:sz w:val="18"/>
                <w:szCs w:val="18"/>
              </w:rPr>
            </w:pPr>
            <w:r w:rsidRPr="00287870">
              <w:rPr>
                <w:rFonts w:cstheme="minorHAnsi"/>
                <w:b/>
                <w:bCs/>
                <w:color w:val="000000" w:themeColor="text1"/>
                <w:sz w:val="18"/>
                <w:szCs w:val="18"/>
              </w:rPr>
              <w:t>Perte de PIB et de contributions au PIB en 2100 pour cause CC</w:t>
            </w:r>
          </w:p>
        </w:tc>
        <w:tc>
          <w:tcPr>
            <w:tcW w:w="10489" w:type="dxa"/>
            <w:gridSpan w:val="2"/>
            <w:tcBorders>
              <w:top w:val="single" w:sz="4" w:space="0" w:color="auto"/>
              <w:left w:val="nil"/>
              <w:bottom w:val="single" w:sz="4" w:space="0" w:color="auto"/>
              <w:right w:val="single" w:sz="8" w:space="0" w:color="auto"/>
            </w:tcBorders>
            <w:shd w:val="clear" w:color="auto" w:fill="auto"/>
            <w:noWrap/>
            <w:vAlign w:val="center"/>
          </w:tcPr>
          <w:p w14:paraId="1741C0F6" w14:textId="77777777" w:rsidR="00412F22" w:rsidRPr="0016301A" w:rsidRDefault="00412F22" w:rsidP="00EE0E23">
            <w:pPr>
              <w:jc w:val="center"/>
              <w:rPr>
                <w:rFonts w:cstheme="minorHAnsi"/>
                <w:color w:val="000000" w:themeColor="text1"/>
                <w:sz w:val="20"/>
                <w:szCs w:val="20"/>
              </w:rPr>
            </w:pPr>
            <w:r w:rsidRPr="0016301A">
              <w:rPr>
                <w:rFonts w:cstheme="minorHAnsi"/>
                <w:color w:val="000000" w:themeColor="text1"/>
                <w:sz w:val="20"/>
                <w:szCs w:val="20"/>
              </w:rPr>
              <w:t xml:space="preserve">124 421   </w:t>
            </w:r>
          </w:p>
        </w:tc>
        <w:tc>
          <w:tcPr>
            <w:tcW w:w="4820" w:type="dxa"/>
            <w:gridSpan w:val="2"/>
            <w:tcBorders>
              <w:top w:val="single" w:sz="4" w:space="0" w:color="auto"/>
              <w:left w:val="nil"/>
              <w:bottom w:val="single" w:sz="4" w:space="0" w:color="auto"/>
              <w:right w:val="single" w:sz="8" w:space="0" w:color="auto"/>
            </w:tcBorders>
            <w:shd w:val="clear" w:color="auto" w:fill="auto"/>
            <w:noWrap/>
            <w:vAlign w:val="center"/>
          </w:tcPr>
          <w:p w14:paraId="5094503E"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xml:space="preserve">            5 605   </w:t>
            </w:r>
          </w:p>
        </w:tc>
        <w:tc>
          <w:tcPr>
            <w:tcW w:w="693" w:type="dxa"/>
            <w:gridSpan w:val="2"/>
            <w:tcBorders>
              <w:top w:val="single" w:sz="4" w:space="0" w:color="auto"/>
              <w:left w:val="nil"/>
              <w:bottom w:val="single" w:sz="4" w:space="0" w:color="auto"/>
              <w:right w:val="single" w:sz="4" w:space="0" w:color="auto"/>
            </w:tcBorders>
            <w:shd w:val="clear" w:color="auto" w:fill="auto"/>
            <w:noWrap/>
            <w:vAlign w:val="center"/>
          </w:tcPr>
          <w:p w14:paraId="64D7412C"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xml:space="preserve">   12 </w:t>
            </w:r>
            <w:r>
              <w:rPr>
                <w:rFonts w:cstheme="minorHAnsi"/>
                <w:color w:val="000000" w:themeColor="text1"/>
                <w:sz w:val="20"/>
                <w:szCs w:val="20"/>
              </w:rPr>
              <w:t>598</w:t>
            </w:r>
            <w:r w:rsidRPr="0016301A">
              <w:rPr>
                <w:rFonts w:cstheme="minorHAnsi"/>
                <w:color w:val="000000" w:themeColor="text1"/>
                <w:sz w:val="20"/>
                <w:szCs w:val="20"/>
              </w:rPr>
              <w:t xml:space="preserve">   </w:t>
            </w:r>
          </w:p>
        </w:tc>
        <w:tc>
          <w:tcPr>
            <w:tcW w:w="16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C2F58" w14:textId="77777777" w:rsidR="00412F22" w:rsidRPr="0016301A" w:rsidRDefault="00412F22" w:rsidP="00EE0E23">
            <w:pPr>
              <w:jc w:val="center"/>
              <w:rPr>
                <w:rFonts w:cstheme="minorHAnsi"/>
                <w:color w:val="000000" w:themeColor="text1"/>
                <w:sz w:val="20"/>
                <w:szCs w:val="20"/>
              </w:rPr>
            </w:pPr>
            <w:r w:rsidRPr="0016301A">
              <w:rPr>
                <w:rFonts w:cstheme="minorHAnsi"/>
                <w:color w:val="000000" w:themeColor="text1"/>
                <w:sz w:val="20"/>
                <w:szCs w:val="20"/>
              </w:rPr>
              <w:t xml:space="preserve">4 703   </w:t>
            </w:r>
          </w:p>
        </w:tc>
        <w:tc>
          <w:tcPr>
            <w:tcW w:w="234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FE10E32"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xml:space="preserve">    57   </w:t>
            </w:r>
          </w:p>
        </w:tc>
      </w:tr>
    </w:tbl>
    <w:p w14:paraId="69A755CB" w14:textId="77777777" w:rsidR="00412F22" w:rsidRPr="00A128BE" w:rsidRDefault="00412F22" w:rsidP="00412F22"/>
    <w:p w14:paraId="53934BF9" w14:textId="77777777" w:rsidR="00412F22" w:rsidRPr="0016301A" w:rsidRDefault="00412F22" w:rsidP="00412F22">
      <w:pPr>
        <w:pStyle w:val="Corpsdetexte"/>
        <w:rPr>
          <w:rFonts w:asciiTheme="minorHAnsi" w:hAnsiTheme="minorHAnsi" w:cstheme="minorHAnsi"/>
          <w:color w:val="000000" w:themeColor="text1"/>
        </w:rPr>
      </w:pPr>
    </w:p>
    <w:p w14:paraId="54D679A1" w14:textId="77777777" w:rsidR="00412F22" w:rsidRPr="00187247" w:rsidRDefault="00412F22" w:rsidP="00412F22">
      <w:pPr>
        <w:pStyle w:val="Titre3"/>
        <w:tabs>
          <w:tab w:val="left" w:pos="9356"/>
          <w:tab w:val="left" w:pos="9498"/>
          <w:tab w:val="left" w:pos="9781"/>
        </w:tabs>
        <w:ind w:right="1279"/>
        <w:jc w:val="center"/>
        <w:rPr>
          <w:rFonts w:ascii="Arial Black" w:hAnsi="Arial Black"/>
          <w:b/>
          <w:bCs/>
          <w:color w:val="FF3399"/>
        </w:rPr>
      </w:pPr>
      <w:bookmarkStart w:id="734" w:name="_Toc192462526"/>
      <w:r w:rsidRPr="00187247">
        <w:rPr>
          <w:rFonts w:ascii="Arial Black" w:hAnsi="Arial Black"/>
          <w:b/>
          <w:bCs/>
          <w:color w:val="FF3399"/>
        </w:rPr>
        <w:t>III.3.2 Scénario socioéconomique B2</w:t>
      </w:r>
      <w:bookmarkEnd w:id="734"/>
    </w:p>
    <w:p w14:paraId="4304FE17" w14:textId="77777777" w:rsidR="00412F22" w:rsidRPr="00603A29" w:rsidRDefault="00412F22" w:rsidP="00412F22">
      <w:pPr>
        <w:pStyle w:val="Corpsdetexte"/>
        <w:rPr>
          <w:rFonts w:asciiTheme="minorHAnsi" w:hAnsiTheme="minorHAnsi" w:cstheme="minorHAnsi"/>
          <w:b/>
          <w:bCs/>
          <w:color w:val="000000" w:themeColor="text1"/>
          <w:sz w:val="2"/>
          <w:szCs w:val="2"/>
        </w:rPr>
      </w:pPr>
    </w:p>
    <w:p w14:paraId="319481B6" w14:textId="77777777" w:rsidR="00412F22" w:rsidRPr="0016301A" w:rsidRDefault="00412F22" w:rsidP="00412F22">
      <w:pPr>
        <w:pStyle w:val="Corpsdetexte"/>
        <w:rPr>
          <w:rFonts w:asciiTheme="minorHAnsi" w:hAnsiTheme="minorHAnsi" w:cstheme="minorHAnsi"/>
          <w:color w:val="000000" w:themeColor="text1"/>
        </w:rPr>
      </w:pPr>
    </w:p>
    <w:p w14:paraId="2940F64A" w14:textId="77777777" w:rsidR="00412F22" w:rsidRPr="0016301A" w:rsidRDefault="00412F22" w:rsidP="00412F22">
      <w:pPr>
        <w:pStyle w:val="Corpsdetexte"/>
        <w:spacing w:line="276" w:lineRule="auto"/>
        <w:ind w:right="996"/>
        <w:rPr>
          <w:rFonts w:asciiTheme="minorHAnsi" w:hAnsiTheme="minorHAnsi" w:cstheme="minorHAnsi"/>
          <w:color w:val="000000" w:themeColor="text1"/>
        </w:rPr>
      </w:pPr>
      <w:r w:rsidRPr="0016301A">
        <w:rPr>
          <w:rFonts w:asciiTheme="minorHAnsi" w:hAnsiTheme="minorHAnsi" w:cstheme="minorHAnsi"/>
          <w:color w:val="000000" w:themeColor="text1"/>
        </w:rPr>
        <w:t>Le scénario est évalué à travers l’évolution du PIB annuel, prenant en compte les effets de la vulnérabilité due aux changements climatiques</w:t>
      </w:r>
      <w:r>
        <w:rPr>
          <w:rFonts w:asciiTheme="minorHAnsi" w:hAnsiTheme="minorHAnsi" w:cstheme="minorHAnsi"/>
          <w:color w:val="000000" w:themeColor="text1"/>
        </w:rPr>
        <w:t xml:space="preserve"> </w:t>
      </w:r>
      <w:r w:rsidRPr="0016301A">
        <w:rPr>
          <w:rFonts w:asciiTheme="minorHAnsi" w:hAnsiTheme="minorHAnsi" w:cstheme="minorHAnsi"/>
          <w:color w:val="000000" w:themeColor="text1"/>
        </w:rPr>
        <w:t xml:space="preserve">sur la contribution des secteurs dans la formation du PIB national. Avec </w:t>
      </w:r>
      <w:r>
        <w:rPr>
          <w:rFonts w:asciiTheme="minorHAnsi" w:hAnsiTheme="minorHAnsi" w:cstheme="minorHAnsi"/>
          <w:color w:val="000000" w:themeColor="text1"/>
        </w:rPr>
        <w:t xml:space="preserve">les </w:t>
      </w:r>
      <w:r w:rsidRPr="0016301A">
        <w:rPr>
          <w:rFonts w:asciiTheme="minorHAnsi" w:hAnsiTheme="minorHAnsi" w:cstheme="minorHAnsi"/>
          <w:color w:val="000000" w:themeColor="text1"/>
        </w:rPr>
        <w:t>changements climatiques</w:t>
      </w:r>
      <w:r>
        <w:rPr>
          <w:rFonts w:asciiTheme="minorHAnsi" w:hAnsiTheme="minorHAnsi" w:cstheme="minorHAnsi"/>
          <w:color w:val="000000" w:themeColor="text1"/>
        </w:rPr>
        <w:t>,</w:t>
      </w:r>
      <w:r w:rsidRPr="0016301A">
        <w:rPr>
          <w:rFonts w:asciiTheme="minorHAnsi" w:hAnsiTheme="minorHAnsi" w:cstheme="minorHAnsi"/>
          <w:color w:val="000000" w:themeColor="text1"/>
        </w:rPr>
        <w:t xml:space="preserve"> le taux d’accroissement du PIB utilisé pour B2 est de 4%</w:t>
      </w:r>
      <w:r>
        <w:rPr>
          <w:rFonts w:asciiTheme="minorHAnsi" w:hAnsiTheme="minorHAnsi" w:cstheme="minorHAnsi"/>
          <w:color w:val="000000" w:themeColor="text1"/>
        </w:rPr>
        <w:t xml:space="preserve"> (valeur extrême du tableau 3)</w:t>
      </w:r>
      <w:r w:rsidRPr="0016301A">
        <w:rPr>
          <w:rFonts w:asciiTheme="minorHAnsi" w:hAnsiTheme="minorHAnsi" w:cstheme="minorHAnsi"/>
          <w:color w:val="000000" w:themeColor="text1"/>
        </w:rPr>
        <w:t>, alors qu’il est de 7,84% sans changements climatiques</w:t>
      </w:r>
      <w:r>
        <w:rPr>
          <w:rFonts w:asciiTheme="minorHAnsi" w:hAnsiTheme="minorHAnsi" w:cstheme="minorHAnsi"/>
          <w:color w:val="000000" w:themeColor="text1"/>
        </w:rPr>
        <w:t>.</w:t>
      </w:r>
    </w:p>
    <w:p w14:paraId="3C354030" w14:textId="77777777" w:rsidR="00412F22" w:rsidRPr="00603A29" w:rsidRDefault="00412F22" w:rsidP="00412F22">
      <w:pPr>
        <w:pStyle w:val="Corpsdetexte"/>
        <w:rPr>
          <w:rFonts w:asciiTheme="minorHAnsi" w:hAnsiTheme="minorHAnsi" w:cstheme="minorHAnsi"/>
          <w:b/>
          <w:bCs/>
          <w:color w:val="000000" w:themeColor="text1"/>
          <w:sz w:val="14"/>
          <w:szCs w:val="14"/>
        </w:rPr>
      </w:pPr>
    </w:p>
    <w:p w14:paraId="61EC39F7" w14:textId="77777777" w:rsidR="00412F22" w:rsidRPr="00E17F4D" w:rsidRDefault="00412F22" w:rsidP="00412F22">
      <w:pPr>
        <w:pStyle w:val="Corpsdetexte"/>
        <w:spacing w:line="276" w:lineRule="auto"/>
        <w:ind w:right="1279"/>
        <w:rPr>
          <w:rFonts w:asciiTheme="minorHAnsi" w:hAnsiTheme="minorHAnsi" w:cstheme="minorHAnsi"/>
          <w:color w:val="000000" w:themeColor="text1"/>
        </w:rPr>
      </w:pPr>
      <w:r>
        <w:rPr>
          <w:rFonts w:asciiTheme="minorHAnsi" w:hAnsiTheme="minorHAnsi" w:cstheme="minorHAnsi"/>
          <w:color w:val="000000" w:themeColor="text1"/>
        </w:rPr>
        <w:t>Les scénarios socioéconomiques sont déclinés ci-après, pour B2, aux horizons 2050 et 2100.</w:t>
      </w:r>
    </w:p>
    <w:p w14:paraId="3E78B257" w14:textId="77777777" w:rsidR="00412F22" w:rsidRPr="00603A29" w:rsidRDefault="00412F22" w:rsidP="00412F22">
      <w:pPr>
        <w:pStyle w:val="Corpsdetexte"/>
        <w:rPr>
          <w:rFonts w:asciiTheme="minorHAnsi" w:hAnsiTheme="minorHAnsi" w:cstheme="minorHAnsi"/>
          <w:b/>
          <w:bCs/>
          <w:color w:val="000000" w:themeColor="text1"/>
          <w:sz w:val="6"/>
          <w:szCs w:val="6"/>
        </w:rPr>
      </w:pPr>
    </w:p>
    <w:p w14:paraId="375E85E1" w14:textId="77777777" w:rsidR="00412F22" w:rsidRPr="0016301A" w:rsidRDefault="00412F22" w:rsidP="00412F22">
      <w:pPr>
        <w:pStyle w:val="Corpsdetexte"/>
        <w:ind w:left="284"/>
        <w:rPr>
          <w:rFonts w:asciiTheme="minorHAnsi" w:hAnsiTheme="minorHAnsi" w:cstheme="minorHAnsi"/>
          <w:b/>
          <w:bCs/>
          <w:color w:val="000000" w:themeColor="text1"/>
        </w:rPr>
      </w:pPr>
      <w:r w:rsidRPr="00FA45DA">
        <w:rPr>
          <w:rFonts w:asciiTheme="minorHAnsi" w:hAnsiTheme="minorHAnsi" w:cstheme="minorHAnsi"/>
          <w:b/>
          <w:bCs/>
          <w:color w:val="000000" w:themeColor="text1"/>
          <w:highlight w:val="green"/>
        </w:rPr>
        <w:t>Horizon 2050</w:t>
      </w:r>
    </w:p>
    <w:p w14:paraId="4042CD26" w14:textId="77777777" w:rsidR="00412F22" w:rsidRPr="00603A29" w:rsidRDefault="00412F22" w:rsidP="00412F22">
      <w:pPr>
        <w:pStyle w:val="Corpsdetexte"/>
        <w:rPr>
          <w:rFonts w:asciiTheme="minorHAnsi" w:hAnsiTheme="minorHAnsi" w:cstheme="minorHAnsi"/>
          <w:b/>
          <w:bCs/>
          <w:color w:val="000000" w:themeColor="text1"/>
          <w:sz w:val="8"/>
          <w:szCs w:val="8"/>
        </w:rPr>
      </w:pPr>
    </w:p>
    <w:p w14:paraId="5DC4FE6C" w14:textId="77777777" w:rsidR="00412F22" w:rsidRPr="000928E0" w:rsidRDefault="00412F22" w:rsidP="00412F22">
      <w:pPr>
        <w:pStyle w:val="Lgende"/>
        <w:jc w:val="center"/>
        <w:rPr>
          <w:b/>
          <w:bCs/>
          <w:color w:val="000000" w:themeColor="text1"/>
          <w:sz w:val="20"/>
          <w:szCs w:val="20"/>
        </w:rPr>
      </w:pPr>
      <w:bookmarkStart w:id="735" w:name="_Toc192462653"/>
      <w:r w:rsidRPr="000928E0">
        <w:rPr>
          <w:b/>
          <w:bCs/>
          <w:color w:val="000000" w:themeColor="text1"/>
          <w:sz w:val="20"/>
          <w:szCs w:val="20"/>
        </w:rPr>
        <w:t xml:space="preserve">Tableau </w:t>
      </w:r>
      <w:r w:rsidRPr="000928E0">
        <w:rPr>
          <w:b/>
          <w:bCs/>
          <w:color w:val="000000" w:themeColor="text1"/>
          <w:sz w:val="20"/>
          <w:szCs w:val="20"/>
        </w:rPr>
        <w:fldChar w:fldCharType="begin"/>
      </w:r>
      <w:r w:rsidRPr="000928E0">
        <w:rPr>
          <w:b/>
          <w:bCs/>
          <w:color w:val="000000" w:themeColor="text1"/>
          <w:sz w:val="20"/>
          <w:szCs w:val="20"/>
        </w:rPr>
        <w:instrText xml:space="preserve"> SEQ Tableau \* ARABIC </w:instrText>
      </w:r>
      <w:r w:rsidRPr="000928E0">
        <w:rPr>
          <w:b/>
          <w:bCs/>
          <w:color w:val="000000" w:themeColor="text1"/>
          <w:sz w:val="20"/>
          <w:szCs w:val="20"/>
        </w:rPr>
        <w:fldChar w:fldCharType="separate"/>
      </w:r>
      <w:r>
        <w:rPr>
          <w:b/>
          <w:bCs/>
          <w:noProof/>
          <w:color w:val="000000" w:themeColor="text1"/>
          <w:sz w:val="20"/>
          <w:szCs w:val="20"/>
        </w:rPr>
        <w:t>10</w:t>
      </w:r>
      <w:r w:rsidRPr="000928E0">
        <w:rPr>
          <w:b/>
          <w:bCs/>
          <w:color w:val="000000" w:themeColor="text1"/>
          <w:sz w:val="20"/>
          <w:szCs w:val="20"/>
        </w:rPr>
        <w:fldChar w:fldCharType="end"/>
      </w:r>
      <w:r w:rsidRPr="000928E0">
        <w:rPr>
          <w:b/>
          <w:bCs/>
          <w:color w:val="000000" w:themeColor="text1"/>
          <w:sz w:val="20"/>
          <w:szCs w:val="20"/>
        </w:rPr>
        <w:t>: PIB sans CC et PIB avec CC et sans mesures d’adaptation (Scénarios socioéconomiques de références, 2050)</w:t>
      </w:r>
      <w:bookmarkEnd w:id="735"/>
    </w:p>
    <w:tbl>
      <w:tblPr>
        <w:tblW w:w="9781" w:type="dxa"/>
        <w:jc w:val="center"/>
        <w:tblLayout w:type="fixed"/>
        <w:tblCellMar>
          <w:left w:w="70" w:type="dxa"/>
          <w:right w:w="70" w:type="dxa"/>
        </w:tblCellMar>
        <w:tblLook w:val="04A0" w:firstRow="1" w:lastRow="0" w:firstColumn="1" w:lastColumn="0" w:noHBand="0" w:noVBand="1"/>
      </w:tblPr>
      <w:tblGrid>
        <w:gridCol w:w="3402"/>
        <w:gridCol w:w="1134"/>
        <w:gridCol w:w="1701"/>
        <w:gridCol w:w="1134"/>
        <w:gridCol w:w="993"/>
        <w:gridCol w:w="1417"/>
      </w:tblGrid>
      <w:tr w:rsidR="00412F22" w:rsidRPr="0016301A" w14:paraId="40F36979" w14:textId="77777777" w:rsidTr="00EE0E23">
        <w:trPr>
          <w:trHeight w:val="583"/>
          <w:jc w:val="center"/>
        </w:trPr>
        <w:tc>
          <w:tcPr>
            <w:tcW w:w="3402" w:type="dxa"/>
            <w:tcBorders>
              <w:top w:val="nil"/>
              <w:left w:val="nil"/>
              <w:bottom w:val="single" w:sz="4" w:space="0" w:color="auto"/>
              <w:right w:val="nil"/>
            </w:tcBorders>
            <w:shd w:val="clear" w:color="auto" w:fill="auto"/>
            <w:noWrap/>
            <w:vAlign w:val="bottom"/>
            <w:hideMark/>
          </w:tcPr>
          <w:p w14:paraId="69616A58" w14:textId="77777777" w:rsidR="00412F22" w:rsidRPr="0016301A" w:rsidRDefault="00412F22" w:rsidP="00EE0E23">
            <w:pPr>
              <w:rPr>
                <w:rFonts w:cstheme="minorHAnsi"/>
                <w:color w:val="000000" w:themeColor="text1"/>
                <w:sz w:val="20"/>
                <w:szCs w:val="20"/>
              </w:rPr>
            </w:pPr>
          </w:p>
        </w:tc>
        <w:tc>
          <w:tcPr>
            <w:tcW w:w="1134"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939AE80" w14:textId="77777777" w:rsidR="00412F22" w:rsidRPr="0016301A" w:rsidRDefault="00412F22" w:rsidP="00EE0E23">
            <w:pPr>
              <w:jc w:val="center"/>
              <w:rPr>
                <w:rFonts w:cstheme="minorHAnsi"/>
                <w:color w:val="000000" w:themeColor="text1"/>
                <w:sz w:val="20"/>
                <w:szCs w:val="20"/>
              </w:rPr>
            </w:pPr>
            <w:r w:rsidRPr="0016301A">
              <w:rPr>
                <w:rFonts w:cstheme="minorHAnsi"/>
                <w:color w:val="000000" w:themeColor="text1"/>
                <w:sz w:val="20"/>
                <w:szCs w:val="20"/>
              </w:rPr>
              <w:t>PIB national</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4E839FF" w14:textId="77777777" w:rsidR="00412F22" w:rsidRPr="0016301A" w:rsidRDefault="00412F22" w:rsidP="00EE0E23">
            <w:pPr>
              <w:jc w:val="center"/>
              <w:rPr>
                <w:rFonts w:cstheme="minorHAnsi"/>
                <w:color w:val="000000" w:themeColor="text1"/>
                <w:sz w:val="20"/>
                <w:szCs w:val="20"/>
              </w:rPr>
            </w:pPr>
            <w:r w:rsidRPr="0016301A">
              <w:rPr>
                <w:rFonts w:cstheme="minorHAnsi"/>
                <w:color w:val="000000" w:themeColor="text1"/>
                <w:sz w:val="20"/>
                <w:szCs w:val="20"/>
              </w:rPr>
              <w:t>Agriculture, pêche continentale, foresterie</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2C05A8C8" w14:textId="77777777" w:rsidR="00412F22" w:rsidRPr="0016301A" w:rsidRDefault="00412F22" w:rsidP="00EE0E23">
            <w:pPr>
              <w:jc w:val="center"/>
              <w:rPr>
                <w:rFonts w:cstheme="minorHAnsi"/>
                <w:color w:val="000000" w:themeColor="text1"/>
                <w:sz w:val="20"/>
                <w:szCs w:val="20"/>
              </w:rPr>
            </w:pPr>
            <w:r w:rsidRPr="0016301A">
              <w:rPr>
                <w:rFonts w:cstheme="minorHAnsi"/>
                <w:color w:val="000000" w:themeColor="text1"/>
                <w:sz w:val="20"/>
                <w:szCs w:val="20"/>
              </w:rPr>
              <w:t>Elevage</w:t>
            </w:r>
          </w:p>
        </w:tc>
        <w:tc>
          <w:tcPr>
            <w:tcW w:w="993" w:type="dxa"/>
            <w:tcBorders>
              <w:top w:val="single" w:sz="8" w:space="0" w:color="auto"/>
              <w:left w:val="nil"/>
              <w:bottom w:val="single" w:sz="4" w:space="0" w:color="auto"/>
              <w:right w:val="single" w:sz="8" w:space="0" w:color="auto"/>
            </w:tcBorders>
            <w:shd w:val="clear" w:color="auto" w:fill="auto"/>
            <w:vAlign w:val="center"/>
            <w:hideMark/>
          </w:tcPr>
          <w:p w14:paraId="7028BC85" w14:textId="77777777" w:rsidR="00412F22" w:rsidRPr="0016301A" w:rsidRDefault="00412F22" w:rsidP="00EE0E23">
            <w:pPr>
              <w:jc w:val="center"/>
              <w:rPr>
                <w:rFonts w:cstheme="minorHAnsi"/>
                <w:color w:val="000000" w:themeColor="text1"/>
                <w:sz w:val="20"/>
                <w:szCs w:val="20"/>
              </w:rPr>
            </w:pPr>
            <w:r w:rsidRPr="0016301A">
              <w:rPr>
                <w:rFonts w:cstheme="minorHAnsi"/>
                <w:color w:val="000000" w:themeColor="text1"/>
                <w:sz w:val="20"/>
                <w:szCs w:val="20"/>
              </w:rPr>
              <w:t xml:space="preserve">Infrastructures </w:t>
            </w:r>
            <w:r>
              <w:rPr>
                <w:rFonts w:cstheme="minorHAnsi"/>
                <w:color w:val="000000" w:themeColor="text1"/>
                <w:sz w:val="20"/>
                <w:szCs w:val="20"/>
              </w:rPr>
              <w:t>/</w:t>
            </w:r>
            <w:r w:rsidRPr="0016301A">
              <w:rPr>
                <w:rFonts w:cstheme="minorHAnsi"/>
                <w:color w:val="000000" w:themeColor="text1"/>
                <w:sz w:val="20"/>
                <w:szCs w:val="20"/>
              </w:rPr>
              <w:t>BTP</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65D53F89" w14:textId="77777777" w:rsidR="00412F22" w:rsidRPr="0016301A" w:rsidRDefault="00412F22" w:rsidP="00EE0E23">
            <w:pPr>
              <w:jc w:val="center"/>
              <w:rPr>
                <w:rFonts w:cstheme="minorHAnsi"/>
                <w:color w:val="000000" w:themeColor="text1"/>
                <w:sz w:val="20"/>
                <w:szCs w:val="20"/>
              </w:rPr>
            </w:pPr>
            <w:r w:rsidRPr="0016301A">
              <w:rPr>
                <w:rFonts w:cstheme="minorHAnsi"/>
                <w:color w:val="000000" w:themeColor="text1"/>
                <w:sz w:val="20"/>
                <w:szCs w:val="20"/>
              </w:rPr>
              <w:t>Chute PIB cause santé</w:t>
            </w:r>
          </w:p>
        </w:tc>
      </w:tr>
      <w:tr w:rsidR="00412F22" w:rsidRPr="0016301A" w14:paraId="4C31485E" w14:textId="77777777" w:rsidTr="00EE0E23">
        <w:trPr>
          <w:trHeight w:val="253"/>
          <w:jc w:val="center"/>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226B7" w14:textId="77777777" w:rsidR="00412F22" w:rsidRPr="0016301A" w:rsidRDefault="00412F22" w:rsidP="00EE0E23">
            <w:pPr>
              <w:rPr>
                <w:rFonts w:cstheme="minorHAnsi"/>
                <w:b/>
                <w:bCs/>
                <w:color w:val="000000" w:themeColor="text1"/>
                <w:sz w:val="20"/>
                <w:szCs w:val="20"/>
              </w:rPr>
            </w:pPr>
            <w:r w:rsidRPr="0016301A">
              <w:rPr>
                <w:rFonts w:cstheme="minorHAnsi"/>
                <w:b/>
                <w:bCs/>
                <w:color w:val="000000" w:themeColor="text1"/>
                <w:sz w:val="20"/>
                <w:szCs w:val="20"/>
              </w:rPr>
              <w:t>PIB national 2023 et contribution des secteurs à ce PIB</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41991"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 xml:space="preserve">388,7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59668"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 xml:space="preserve">20,40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7FF9A"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 xml:space="preserve">41,60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59F66"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 xml:space="preserve">12,70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0C779"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w:t>
            </w:r>
          </w:p>
        </w:tc>
      </w:tr>
      <w:tr w:rsidR="00412F22" w:rsidRPr="0016301A" w14:paraId="0C8F97E7" w14:textId="77777777" w:rsidTr="00EE0E23">
        <w:trPr>
          <w:trHeight w:val="52"/>
          <w:jc w:val="center"/>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22F11" w14:textId="77777777" w:rsidR="00412F22" w:rsidRPr="0016301A" w:rsidRDefault="00412F22" w:rsidP="00EE0E23">
            <w:pPr>
              <w:rPr>
                <w:rFonts w:cstheme="minorHAnsi"/>
                <w:b/>
                <w:bCs/>
                <w:color w:val="000000" w:themeColor="text1"/>
                <w:sz w:val="20"/>
                <w:szCs w:val="20"/>
              </w:rPr>
            </w:pPr>
            <w:r w:rsidRPr="0016301A">
              <w:rPr>
                <w:rFonts w:cstheme="minorHAnsi"/>
                <w:b/>
                <w:bCs/>
                <w:color w:val="000000" w:themeColor="text1"/>
                <w:sz w:val="20"/>
                <w:szCs w:val="20"/>
              </w:rPr>
              <w:t>PIB sans CC, horizon 2050 (Taux de croissance annuel</w:t>
            </w:r>
            <w:r>
              <w:rPr>
                <w:rFonts w:cstheme="minorHAnsi"/>
                <w:b/>
                <w:bCs/>
                <w:color w:val="000000" w:themeColor="text1"/>
                <w:sz w:val="20"/>
                <w:szCs w:val="20"/>
              </w:rPr>
              <w:t>le</w:t>
            </w:r>
            <w:r w:rsidRPr="0016301A">
              <w:rPr>
                <w:rFonts w:cstheme="minorHAnsi"/>
                <w:b/>
                <w:bCs/>
                <w:color w:val="000000" w:themeColor="text1"/>
                <w:sz w:val="20"/>
                <w:szCs w:val="20"/>
              </w:rPr>
              <w:t xml:space="preserve"> moyen de 7,84%)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46EBF"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 xml:space="preserve">2 983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991D9"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 xml:space="preserve">134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CD9FF"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 xml:space="preserve">302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3CCE6"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 xml:space="preserve">113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88C6B" w14:textId="77777777" w:rsidR="00412F22" w:rsidRPr="0016301A" w:rsidRDefault="00412F22" w:rsidP="00EE0E23">
            <w:pPr>
              <w:rPr>
                <w:rFonts w:cstheme="minorHAnsi"/>
                <w:color w:val="000000" w:themeColor="text1"/>
                <w:sz w:val="20"/>
                <w:szCs w:val="20"/>
              </w:rPr>
            </w:pPr>
            <w:r w:rsidRPr="0016301A">
              <w:rPr>
                <w:rFonts w:cstheme="minorHAnsi"/>
                <w:color w:val="000000" w:themeColor="text1"/>
                <w:sz w:val="20"/>
                <w:szCs w:val="20"/>
              </w:rPr>
              <w:t> </w:t>
            </w:r>
          </w:p>
        </w:tc>
      </w:tr>
      <w:tr w:rsidR="00412F22" w:rsidRPr="0016301A" w14:paraId="400AC152" w14:textId="77777777" w:rsidTr="00EE0E23">
        <w:trPr>
          <w:trHeight w:val="42"/>
          <w:jc w:val="center"/>
        </w:trPr>
        <w:tc>
          <w:tcPr>
            <w:tcW w:w="340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BC320C7" w14:textId="77777777" w:rsidR="00412F22" w:rsidRPr="0016301A" w:rsidRDefault="00412F22" w:rsidP="00EE0E23">
            <w:pPr>
              <w:rPr>
                <w:rFonts w:cstheme="minorHAnsi"/>
                <w:b/>
                <w:bCs/>
                <w:color w:val="000000" w:themeColor="text1"/>
                <w:sz w:val="20"/>
                <w:szCs w:val="20"/>
              </w:rPr>
            </w:pPr>
            <w:r w:rsidRPr="0016301A">
              <w:rPr>
                <w:rFonts w:cstheme="minorHAnsi"/>
                <w:b/>
                <w:bCs/>
                <w:color w:val="000000" w:themeColor="text1"/>
                <w:sz w:val="20"/>
                <w:szCs w:val="20"/>
              </w:rPr>
              <w:t>PIB avec CC et sans mesures d'adaptation, et contributions à ce PIB</w:t>
            </w:r>
            <w:r>
              <w:rPr>
                <w:rFonts w:cstheme="minorHAnsi"/>
                <w:b/>
                <w:bCs/>
                <w:color w:val="000000" w:themeColor="text1"/>
                <w:sz w:val="20"/>
                <w:szCs w:val="20"/>
              </w:rPr>
              <w:t>, à l’</w:t>
            </w:r>
            <w:r w:rsidRPr="0016301A">
              <w:rPr>
                <w:rFonts w:cstheme="minorHAnsi"/>
                <w:b/>
                <w:bCs/>
                <w:color w:val="000000" w:themeColor="text1"/>
                <w:sz w:val="20"/>
                <w:szCs w:val="20"/>
              </w:rPr>
              <w:t>horizon 2050 (scénario de référence)</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07CD646A"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 xml:space="preserve">1 121   </w:t>
            </w:r>
          </w:p>
        </w:tc>
        <w:tc>
          <w:tcPr>
            <w:tcW w:w="1701"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6D91DC32"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 xml:space="preserve">47   </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0FB95205"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1</w:t>
            </w:r>
            <w:r>
              <w:rPr>
                <w:rFonts w:cstheme="minorHAnsi"/>
                <w:color w:val="000000" w:themeColor="text1"/>
                <w:sz w:val="20"/>
                <w:szCs w:val="20"/>
              </w:rPr>
              <w:t>13</w:t>
            </w:r>
            <w:r w:rsidRPr="0016301A">
              <w:rPr>
                <w:rFonts w:cstheme="minorHAnsi"/>
                <w:color w:val="000000" w:themeColor="text1"/>
                <w:sz w:val="20"/>
                <w:szCs w:val="20"/>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538C3400"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 xml:space="preserve">42   </w:t>
            </w:r>
          </w:p>
        </w:tc>
        <w:tc>
          <w:tcPr>
            <w:tcW w:w="1417"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44B3C7F4"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 xml:space="preserve">3   </w:t>
            </w:r>
          </w:p>
        </w:tc>
      </w:tr>
      <w:tr w:rsidR="00412F22" w:rsidRPr="0016301A" w14:paraId="339F96B7" w14:textId="77777777" w:rsidTr="00EE0E23">
        <w:trPr>
          <w:trHeight w:val="148"/>
          <w:jc w:val="center"/>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72CEB" w14:textId="77777777" w:rsidR="00412F22" w:rsidRPr="0016301A" w:rsidRDefault="00412F22" w:rsidP="00EE0E23">
            <w:pPr>
              <w:rPr>
                <w:rFonts w:cstheme="minorHAnsi"/>
                <w:b/>
                <w:bCs/>
                <w:color w:val="000000" w:themeColor="text1"/>
                <w:sz w:val="20"/>
                <w:szCs w:val="20"/>
              </w:rPr>
            </w:pPr>
            <w:r w:rsidRPr="0016301A">
              <w:rPr>
                <w:rFonts w:cstheme="minorHAnsi"/>
                <w:b/>
                <w:bCs/>
                <w:color w:val="000000" w:themeColor="text1"/>
                <w:sz w:val="20"/>
                <w:szCs w:val="20"/>
              </w:rPr>
              <w:t>Perte de PIB et de contribution au PIB en 2050 pour cause CC</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373342C"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 xml:space="preserve">1 862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5A55F1D"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 xml:space="preserve">87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43EC14A" w14:textId="77777777" w:rsidR="00412F22" w:rsidRPr="0016301A" w:rsidRDefault="00412F22" w:rsidP="00EE0E23">
            <w:pPr>
              <w:jc w:val="right"/>
              <w:rPr>
                <w:rFonts w:cstheme="minorHAnsi"/>
                <w:color w:val="000000" w:themeColor="text1"/>
                <w:sz w:val="20"/>
                <w:szCs w:val="20"/>
              </w:rPr>
            </w:pPr>
            <w:r>
              <w:rPr>
                <w:rFonts w:cstheme="minorHAnsi"/>
                <w:color w:val="000000" w:themeColor="text1"/>
                <w:sz w:val="20"/>
                <w:szCs w:val="20"/>
              </w:rPr>
              <w:t>189</w:t>
            </w:r>
            <w:r w:rsidRPr="0016301A">
              <w:rPr>
                <w:rFonts w:cstheme="minorHAnsi"/>
                <w:color w:val="000000" w:themeColor="text1"/>
                <w:sz w:val="20"/>
                <w:szCs w:val="20"/>
              </w:rPr>
              <w:t xml:space="preserve">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68A00FC"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 xml:space="preserve">70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75499DD" w14:textId="77777777" w:rsidR="00412F22" w:rsidRPr="0016301A" w:rsidRDefault="00412F22" w:rsidP="00EE0E23">
            <w:pPr>
              <w:jc w:val="right"/>
              <w:rPr>
                <w:rFonts w:cstheme="minorHAnsi"/>
                <w:color w:val="000000" w:themeColor="text1"/>
                <w:sz w:val="20"/>
                <w:szCs w:val="20"/>
              </w:rPr>
            </w:pPr>
            <w:r w:rsidRPr="0016301A">
              <w:rPr>
                <w:rFonts w:cstheme="minorHAnsi"/>
                <w:color w:val="000000" w:themeColor="text1"/>
                <w:sz w:val="20"/>
                <w:szCs w:val="20"/>
              </w:rPr>
              <w:t xml:space="preserve">3   </w:t>
            </w:r>
          </w:p>
        </w:tc>
      </w:tr>
    </w:tbl>
    <w:p w14:paraId="0C65C5BF" w14:textId="77777777" w:rsidR="00412F22" w:rsidRPr="0016301A" w:rsidRDefault="00412F22" w:rsidP="00412F22">
      <w:pPr>
        <w:pStyle w:val="Corpsdetexte"/>
        <w:rPr>
          <w:rFonts w:asciiTheme="minorHAnsi" w:hAnsiTheme="minorHAnsi" w:cstheme="minorHAnsi"/>
          <w:b/>
          <w:bCs/>
          <w:color w:val="000000" w:themeColor="text1"/>
        </w:rPr>
      </w:pPr>
    </w:p>
    <w:p w14:paraId="375FED01" w14:textId="77777777" w:rsidR="00412F22" w:rsidRPr="0016301A" w:rsidRDefault="00412F22" w:rsidP="00412F22">
      <w:pPr>
        <w:pStyle w:val="Corpsdetexte"/>
        <w:ind w:left="284"/>
        <w:rPr>
          <w:rFonts w:asciiTheme="minorHAnsi" w:hAnsiTheme="minorHAnsi" w:cstheme="minorHAnsi"/>
          <w:b/>
          <w:bCs/>
          <w:color w:val="000000" w:themeColor="text1"/>
        </w:rPr>
      </w:pPr>
      <w:r w:rsidRPr="00FA45DA">
        <w:rPr>
          <w:rFonts w:asciiTheme="minorHAnsi" w:hAnsiTheme="minorHAnsi" w:cstheme="minorHAnsi"/>
          <w:b/>
          <w:bCs/>
          <w:color w:val="000000" w:themeColor="text1"/>
          <w:highlight w:val="green"/>
        </w:rPr>
        <w:t>Horizon 2100</w:t>
      </w:r>
    </w:p>
    <w:p w14:paraId="7614172D" w14:textId="77777777" w:rsidR="00412F22" w:rsidRPr="0016301A" w:rsidRDefault="00412F22" w:rsidP="00412F22">
      <w:pPr>
        <w:pStyle w:val="Corpsdetexte"/>
        <w:rPr>
          <w:rFonts w:asciiTheme="minorHAnsi" w:hAnsiTheme="minorHAnsi" w:cstheme="minorHAnsi"/>
          <w:b/>
          <w:bCs/>
          <w:color w:val="000000" w:themeColor="text1"/>
        </w:rPr>
      </w:pPr>
    </w:p>
    <w:p w14:paraId="7BCA150D" w14:textId="77777777" w:rsidR="00412F22" w:rsidRPr="000928E0" w:rsidRDefault="00412F22" w:rsidP="00412F22">
      <w:pPr>
        <w:pStyle w:val="Lgende"/>
        <w:jc w:val="center"/>
        <w:rPr>
          <w:b/>
          <w:bCs/>
          <w:color w:val="000000" w:themeColor="text1"/>
          <w:sz w:val="20"/>
          <w:szCs w:val="20"/>
        </w:rPr>
      </w:pPr>
      <w:bookmarkStart w:id="736" w:name="_Toc192462654"/>
      <w:r w:rsidRPr="000928E0">
        <w:rPr>
          <w:b/>
          <w:bCs/>
          <w:color w:val="000000" w:themeColor="text1"/>
          <w:sz w:val="20"/>
          <w:szCs w:val="20"/>
        </w:rPr>
        <w:t xml:space="preserve">Tableau </w:t>
      </w:r>
      <w:r w:rsidRPr="000928E0">
        <w:rPr>
          <w:b/>
          <w:bCs/>
          <w:color w:val="000000" w:themeColor="text1"/>
          <w:sz w:val="20"/>
          <w:szCs w:val="20"/>
        </w:rPr>
        <w:fldChar w:fldCharType="begin"/>
      </w:r>
      <w:r w:rsidRPr="000928E0">
        <w:rPr>
          <w:b/>
          <w:bCs/>
          <w:color w:val="000000" w:themeColor="text1"/>
          <w:sz w:val="20"/>
          <w:szCs w:val="20"/>
        </w:rPr>
        <w:instrText xml:space="preserve"> SEQ Tableau \* ARABIC </w:instrText>
      </w:r>
      <w:r w:rsidRPr="000928E0">
        <w:rPr>
          <w:b/>
          <w:bCs/>
          <w:color w:val="000000" w:themeColor="text1"/>
          <w:sz w:val="20"/>
          <w:szCs w:val="20"/>
        </w:rPr>
        <w:fldChar w:fldCharType="separate"/>
      </w:r>
      <w:r>
        <w:rPr>
          <w:b/>
          <w:bCs/>
          <w:noProof/>
          <w:color w:val="000000" w:themeColor="text1"/>
          <w:sz w:val="20"/>
          <w:szCs w:val="20"/>
        </w:rPr>
        <w:t>11</w:t>
      </w:r>
      <w:r w:rsidRPr="000928E0">
        <w:rPr>
          <w:b/>
          <w:bCs/>
          <w:color w:val="000000" w:themeColor="text1"/>
          <w:sz w:val="20"/>
          <w:szCs w:val="20"/>
        </w:rPr>
        <w:fldChar w:fldCharType="end"/>
      </w:r>
      <w:r w:rsidRPr="000928E0">
        <w:rPr>
          <w:b/>
          <w:bCs/>
          <w:color w:val="000000" w:themeColor="text1"/>
          <w:sz w:val="20"/>
          <w:szCs w:val="20"/>
        </w:rPr>
        <w:t>: PIB sans CC et PIB avec CC et sans mesures d’adaptation (Scénarios socioéconomiques de références, 2100)</w:t>
      </w:r>
      <w:bookmarkEnd w:id="736"/>
    </w:p>
    <w:p w14:paraId="12968FBB" w14:textId="77777777" w:rsidR="00412F22" w:rsidRPr="00FA45DA" w:rsidRDefault="00412F22" w:rsidP="00412F22">
      <w:pPr>
        <w:pStyle w:val="Corpsdetexte"/>
        <w:rPr>
          <w:rFonts w:asciiTheme="minorHAnsi" w:hAnsiTheme="minorHAnsi" w:cstheme="minorHAnsi"/>
          <w:b/>
          <w:bCs/>
          <w:color w:val="000000" w:themeColor="text1"/>
          <w:sz w:val="8"/>
          <w:szCs w:val="8"/>
        </w:rPr>
      </w:pPr>
    </w:p>
    <w:tbl>
      <w:tblPr>
        <w:tblW w:w="9923" w:type="dxa"/>
        <w:jc w:val="center"/>
        <w:tblLayout w:type="fixed"/>
        <w:tblCellMar>
          <w:left w:w="70" w:type="dxa"/>
          <w:right w:w="70" w:type="dxa"/>
        </w:tblCellMar>
        <w:tblLook w:val="04A0" w:firstRow="1" w:lastRow="0" w:firstColumn="1" w:lastColumn="0" w:noHBand="0" w:noVBand="1"/>
      </w:tblPr>
      <w:tblGrid>
        <w:gridCol w:w="3828"/>
        <w:gridCol w:w="1134"/>
        <w:gridCol w:w="1701"/>
        <w:gridCol w:w="850"/>
        <w:gridCol w:w="1134"/>
        <w:gridCol w:w="1276"/>
      </w:tblGrid>
      <w:tr w:rsidR="00412F22" w:rsidRPr="0016301A" w14:paraId="5663AF82" w14:textId="77777777" w:rsidTr="00EE0E23">
        <w:trPr>
          <w:trHeight w:val="423"/>
          <w:jc w:val="center"/>
        </w:trPr>
        <w:tc>
          <w:tcPr>
            <w:tcW w:w="3828" w:type="dxa"/>
            <w:tcBorders>
              <w:top w:val="nil"/>
              <w:left w:val="nil"/>
              <w:bottom w:val="nil"/>
              <w:right w:val="nil"/>
            </w:tcBorders>
            <w:shd w:val="clear" w:color="auto" w:fill="auto"/>
            <w:noWrap/>
            <w:vAlign w:val="center"/>
            <w:hideMark/>
          </w:tcPr>
          <w:p w14:paraId="3514C416" w14:textId="77777777" w:rsidR="00412F22" w:rsidRPr="0016301A" w:rsidRDefault="00412F22" w:rsidP="00EE0E23">
            <w:pPr>
              <w:rPr>
                <w:color w:val="000000" w:themeColor="text1"/>
                <w:sz w:val="20"/>
                <w:szCs w:val="20"/>
              </w:rPr>
            </w:pPr>
          </w:p>
        </w:tc>
        <w:tc>
          <w:tcPr>
            <w:tcW w:w="1134"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78B360F2" w14:textId="77777777" w:rsidR="00412F22" w:rsidRPr="0016301A" w:rsidRDefault="00412F22" w:rsidP="00EE0E23">
            <w:pPr>
              <w:jc w:val="center"/>
              <w:rPr>
                <w:rFonts w:ascii="Calibri" w:hAnsi="Calibri" w:cs="Calibri"/>
                <w:color w:val="000000" w:themeColor="text1"/>
                <w:sz w:val="20"/>
                <w:szCs w:val="20"/>
              </w:rPr>
            </w:pPr>
            <w:r w:rsidRPr="0016301A">
              <w:rPr>
                <w:rFonts w:ascii="Calibri" w:hAnsi="Calibri" w:cs="Calibri"/>
                <w:color w:val="000000" w:themeColor="text1"/>
                <w:sz w:val="20"/>
                <w:szCs w:val="20"/>
              </w:rPr>
              <w:t>PIB national</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49B25C5" w14:textId="77777777" w:rsidR="00412F22" w:rsidRPr="0016301A" w:rsidRDefault="00412F22" w:rsidP="00EE0E23">
            <w:pPr>
              <w:jc w:val="center"/>
              <w:rPr>
                <w:rFonts w:ascii="Calibri" w:hAnsi="Calibri" w:cs="Calibri"/>
                <w:color w:val="000000" w:themeColor="text1"/>
                <w:sz w:val="20"/>
                <w:szCs w:val="20"/>
              </w:rPr>
            </w:pPr>
            <w:r w:rsidRPr="0016301A">
              <w:rPr>
                <w:rFonts w:ascii="Calibri" w:hAnsi="Calibri" w:cs="Calibri"/>
                <w:color w:val="000000" w:themeColor="text1"/>
                <w:sz w:val="20"/>
                <w:szCs w:val="20"/>
              </w:rPr>
              <w:t>Agriculture, pêche continentale, foresterie</w:t>
            </w:r>
          </w:p>
        </w:tc>
        <w:tc>
          <w:tcPr>
            <w:tcW w:w="850" w:type="dxa"/>
            <w:tcBorders>
              <w:top w:val="single" w:sz="8" w:space="0" w:color="auto"/>
              <w:left w:val="nil"/>
              <w:bottom w:val="single" w:sz="4" w:space="0" w:color="auto"/>
              <w:right w:val="single" w:sz="8" w:space="0" w:color="auto"/>
            </w:tcBorders>
            <w:shd w:val="clear" w:color="auto" w:fill="auto"/>
            <w:vAlign w:val="center"/>
            <w:hideMark/>
          </w:tcPr>
          <w:p w14:paraId="1F04A1CD" w14:textId="77777777" w:rsidR="00412F22" w:rsidRPr="0016301A" w:rsidRDefault="00412F22" w:rsidP="00EE0E23">
            <w:pPr>
              <w:jc w:val="center"/>
              <w:rPr>
                <w:rFonts w:ascii="Calibri" w:hAnsi="Calibri" w:cs="Calibri"/>
                <w:color w:val="000000" w:themeColor="text1"/>
                <w:sz w:val="20"/>
                <w:szCs w:val="20"/>
              </w:rPr>
            </w:pPr>
            <w:r w:rsidRPr="0016301A">
              <w:rPr>
                <w:rFonts w:ascii="Calibri" w:hAnsi="Calibri" w:cs="Calibri"/>
                <w:color w:val="000000" w:themeColor="text1"/>
                <w:sz w:val="20"/>
                <w:szCs w:val="20"/>
              </w:rPr>
              <w:t>Elevage</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0FC007E6" w14:textId="77777777" w:rsidR="00412F22" w:rsidRPr="0016301A" w:rsidRDefault="00412F22" w:rsidP="00EE0E23">
            <w:pPr>
              <w:jc w:val="center"/>
              <w:rPr>
                <w:rFonts w:ascii="Calibri" w:hAnsi="Calibri" w:cs="Calibri"/>
                <w:color w:val="000000" w:themeColor="text1"/>
                <w:sz w:val="20"/>
                <w:szCs w:val="20"/>
              </w:rPr>
            </w:pPr>
            <w:r w:rsidRPr="0016301A">
              <w:rPr>
                <w:rFonts w:ascii="Calibri" w:hAnsi="Calibri" w:cs="Calibri"/>
                <w:color w:val="000000" w:themeColor="text1"/>
                <w:sz w:val="20"/>
                <w:szCs w:val="20"/>
              </w:rPr>
              <w:t xml:space="preserve">Infrastructures </w:t>
            </w:r>
            <w:r>
              <w:rPr>
                <w:rFonts w:ascii="Calibri" w:hAnsi="Calibri" w:cs="Calibri"/>
                <w:color w:val="000000" w:themeColor="text1"/>
                <w:sz w:val="20"/>
                <w:szCs w:val="20"/>
              </w:rPr>
              <w:t>/</w:t>
            </w:r>
            <w:r w:rsidRPr="0016301A">
              <w:rPr>
                <w:rFonts w:ascii="Calibri" w:hAnsi="Calibri" w:cs="Calibri"/>
                <w:color w:val="000000" w:themeColor="text1"/>
                <w:sz w:val="20"/>
                <w:szCs w:val="20"/>
              </w:rPr>
              <w:t>BTP</w:t>
            </w:r>
          </w:p>
        </w:tc>
        <w:tc>
          <w:tcPr>
            <w:tcW w:w="1276" w:type="dxa"/>
            <w:tcBorders>
              <w:top w:val="single" w:sz="8" w:space="0" w:color="auto"/>
              <w:left w:val="nil"/>
              <w:bottom w:val="single" w:sz="4" w:space="0" w:color="auto"/>
              <w:right w:val="single" w:sz="8" w:space="0" w:color="auto"/>
            </w:tcBorders>
            <w:shd w:val="clear" w:color="auto" w:fill="auto"/>
            <w:vAlign w:val="center"/>
            <w:hideMark/>
          </w:tcPr>
          <w:p w14:paraId="54FBAE89" w14:textId="77777777" w:rsidR="00412F22" w:rsidRPr="0016301A" w:rsidRDefault="00412F22" w:rsidP="00EE0E23">
            <w:pPr>
              <w:jc w:val="center"/>
              <w:rPr>
                <w:rFonts w:ascii="Calibri" w:hAnsi="Calibri" w:cs="Calibri"/>
                <w:color w:val="000000" w:themeColor="text1"/>
                <w:sz w:val="20"/>
                <w:szCs w:val="20"/>
              </w:rPr>
            </w:pPr>
            <w:r w:rsidRPr="0016301A">
              <w:rPr>
                <w:rFonts w:ascii="Calibri" w:hAnsi="Calibri" w:cs="Calibri"/>
                <w:color w:val="000000" w:themeColor="text1"/>
                <w:sz w:val="20"/>
                <w:szCs w:val="20"/>
              </w:rPr>
              <w:t>Chute PIB cause santé</w:t>
            </w:r>
          </w:p>
        </w:tc>
      </w:tr>
      <w:tr w:rsidR="00412F22" w:rsidRPr="0016301A" w14:paraId="7E6D3BAB" w14:textId="77777777" w:rsidTr="00EE0E23">
        <w:trPr>
          <w:trHeight w:val="508"/>
          <w:jc w:val="center"/>
        </w:trPr>
        <w:tc>
          <w:tcPr>
            <w:tcW w:w="3828"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9510417" w14:textId="77777777" w:rsidR="00412F22" w:rsidRPr="0016301A" w:rsidRDefault="00412F22" w:rsidP="00EE0E23">
            <w:pPr>
              <w:rPr>
                <w:rFonts w:ascii="Trebuchet MS" w:hAnsi="Trebuchet MS" w:cs="Calibri"/>
                <w:b/>
                <w:bCs/>
                <w:color w:val="000000" w:themeColor="text1"/>
                <w:sz w:val="20"/>
                <w:szCs w:val="20"/>
              </w:rPr>
            </w:pPr>
            <w:r w:rsidRPr="0016301A">
              <w:rPr>
                <w:rFonts w:ascii="Trebuchet MS" w:hAnsi="Trebuchet MS" w:cs="Calibri"/>
                <w:b/>
                <w:bCs/>
                <w:color w:val="000000" w:themeColor="text1"/>
                <w:sz w:val="20"/>
                <w:szCs w:val="20"/>
              </w:rPr>
              <w:t>PIB national 2023 et contribution des secteurs à ce PIB</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6B57B"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 xml:space="preserve">388,7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D0255"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 xml:space="preserve">20,40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F37C4"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 xml:space="preserve">41,60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B3F94"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 xml:space="preserve">12,70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307C0" w14:textId="77777777" w:rsidR="00412F22" w:rsidRPr="0016301A" w:rsidRDefault="00412F22" w:rsidP="00EE0E23">
            <w:pPr>
              <w:rPr>
                <w:rFonts w:ascii="Calibri" w:hAnsi="Calibri" w:cs="Calibri"/>
                <w:color w:val="000000" w:themeColor="text1"/>
                <w:sz w:val="20"/>
                <w:szCs w:val="20"/>
              </w:rPr>
            </w:pPr>
            <w:r w:rsidRPr="0016301A">
              <w:rPr>
                <w:rFonts w:ascii="Calibri" w:hAnsi="Calibri" w:cs="Calibri"/>
                <w:color w:val="000000" w:themeColor="text1"/>
                <w:sz w:val="20"/>
                <w:szCs w:val="20"/>
              </w:rPr>
              <w:t> </w:t>
            </w:r>
          </w:p>
        </w:tc>
      </w:tr>
      <w:tr w:rsidR="00412F22" w:rsidRPr="0016301A" w14:paraId="00FA4A53" w14:textId="77777777" w:rsidTr="00EE0E23">
        <w:trPr>
          <w:trHeight w:val="275"/>
          <w:jc w:val="center"/>
        </w:trPr>
        <w:tc>
          <w:tcPr>
            <w:tcW w:w="3828" w:type="dxa"/>
            <w:tcBorders>
              <w:top w:val="nil"/>
              <w:left w:val="single" w:sz="8" w:space="0" w:color="auto"/>
              <w:bottom w:val="single" w:sz="8" w:space="0" w:color="auto"/>
              <w:right w:val="single" w:sz="4" w:space="0" w:color="auto"/>
            </w:tcBorders>
            <w:shd w:val="clear" w:color="auto" w:fill="auto"/>
            <w:vAlign w:val="center"/>
            <w:hideMark/>
          </w:tcPr>
          <w:p w14:paraId="3F97171E" w14:textId="77777777" w:rsidR="00412F22" w:rsidRPr="0016301A" w:rsidRDefault="00412F22" w:rsidP="00EE0E23">
            <w:pPr>
              <w:rPr>
                <w:rFonts w:ascii="Trebuchet MS" w:hAnsi="Trebuchet MS" w:cs="Calibri"/>
                <w:b/>
                <w:bCs/>
                <w:color w:val="000000" w:themeColor="text1"/>
                <w:sz w:val="20"/>
                <w:szCs w:val="20"/>
              </w:rPr>
            </w:pPr>
            <w:r w:rsidRPr="0016301A">
              <w:rPr>
                <w:rFonts w:ascii="Trebuchet MS" w:hAnsi="Trebuchet MS" w:cs="Calibri"/>
                <w:b/>
                <w:bCs/>
                <w:color w:val="000000" w:themeColor="text1"/>
                <w:sz w:val="20"/>
                <w:szCs w:val="20"/>
              </w:rPr>
              <w:t>PIB sans CC à l'horizon 2100 (Taux de croissance annuel moyen de 7,84%)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EA774"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 xml:space="preserve">129 917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AC08B"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 xml:space="preserve">5 820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95F33"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 xml:space="preserve">13 148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60509"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 xml:space="preserve">4 911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C1E7C" w14:textId="77777777" w:rsidR="00412F22" w:rsidRPr="0016301A" w:rsidRDefault="00412F22" w:rsidP="00EE0E23">
            <w:pPr>
              <w:rPr>
                <w:rFonts w:ascii="Calibri" w:hAnsi="Calibri" w:cs="Calibri"/>
                <w:color w:val="000000" w:themeColor="text1"/>
                <w:sz w:val="20"/>
                <w:szCs w:val="20"/>
              </w:rPr>
            </w:pPr>
            <w:r w:rsidRPr="0016301A">
              <w:rPr>
                <w:rFonts w:ascii="Calibri" w:hAnsi="Calibri" w:cs="Calibri"/>
                <w:color w:val="000000" w:themeColor="text1"/>
                <w:sz w:val="20"/>
                <w:szCs w:val="20"/>
              </w:rPr>
              <w:t> </w:t>
            </w:r>
          </w:p>
        </w:tc>
      </w:tr>
      <w:tr w:rsidR="00412F22" w:rsidRPr="0016301A" w14:paraId="61EC8E50" w14:textId="77777777" w:rsidTr="00EE0E23">
        <w:trPr>
          <w:trHeight w:val="413"/>
          <w:jc w:val="center"/>
        </w:trPr>
        <w:tc>
          <w:tcPr>
            <w:tcW w:w="3828" w:type="dxa"/>
            <w:tcBorders>
              <w:top w:val="nil"/>
              <w:left w:val="single" w:sz="8" w:space="0" w:color="auto"/>
              <w:bottom w:val="nil"/>
              <w:right w:val="single" w:sz="8" w:space="0" w:color="auto"/>
            </w:tcBorders>
            <w:shd w:val="clear" w:color="auto" w:fill="B4C6E7" w:themeFill="accent1" w:themeFillTint="66"/>
            <w:vAlign w:val="center"/>
            <w:hideMark/>
          </w:tcPr>
          <w:p w14:paraId="1D020C60" w14:textId="77777777" w:rsidR="00412F22" w:rsidRPr="0016301A" w:rsidRDefault="00412F22" w:rsidP="00EE0E23">
            <w:pPr>
              <w:rPr>
                <w:rFonts w:ascii="Trebuchet MS" w:hAnsi="Trebuchet MS" w:cs="Calibri"/>
                <w:b/>
                <w:bCs/>
                <w:color w:val="000000" w:themeColor="text1"/>
                <w:sz w:val="20"/>
                <w:szCs w:val="20"/>
              </w:rPr>
            </w:pPr>
            <w:r w:rsidRPr="0016301A">
              <w:rPr>
                <w:rFonts w:ascii="Trebuchet MS" w:hAnsi="Trebuchet MS" w:cs="Calibri"/>
                <w:b/>
                <w:bCs/>
                <w:color w:val="000000" w:themeColor="text1"/>
                <w:sz w:val="20"/>
                <w:szCs w:val="20"/>
              </w:rPr>
              <w:t>PIB avec CC et sans mesures d’adaptation</w:t>
            </w:r>
            <w:r w:rsidRPr="0016301A">
              <w:rPr>
                <w:rFonts w:cstheme="minorHAnsi"/>
                <w:b/>
                <w:bCs/>
                <w:color w:val="000000" w:themeColor="text1"/>
                <w:sz w:val="20"/>
                <w:szCs w:val="20"/>
              </w:rPr>
              <w:t xml:space="preserve"> et contributions à ce PIB</w:t>
            </w:r>
            <w:r w:rsidRPr="0016301A">
              <w:rPr>
                <w:rFonts w:ascii="Trebuchet MS" w:hAnsi="Trebuchet MS" w:cs="Calibri"/>
                <w:b/>
                <w:bCs/>
                <w:color w:val="000000" w:themeColor="text1"/>
                <w:sz w:val="20"/>
                <w:szCs w:val="20"/>
              </w:rPr>
              <w:t>, à l'horizon 2100 (scénario de référence)</w:t>
            </w:r>
          </w:p>
        </w:tc>
        <w:tc>
          <w:tcPr>
            <w:tcW w:w="1134" w:type="dxa"/>
            <w:tcBorders>
              <w:top w:val="single" w:sz="4" w:space="0" w:color="auto"/>
              <w:left w:val="nil"/>
              <w:bottom w:val="nil"/>
              <w:right w:val="single" w:sz="8" w:space="0" w:color="auto"/>
            </w:tcBorders>
            <w:shd w:val="clear" w:color="auto" w:fill="B4C6E7" w:themeFill="accent1" w:themeFillTint="66"/>
            <w:noWrap/>
            <w:vAlign w:val="center"/>
            <w:hideMark/>
          </w:tcPr>
          <w:p w14:paraId="72A17785"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 xml:space="preserve">7 965   </w:t>
            </w:r>
          </w:p>
        </w:tc>
        <w:tc>
          <w:tcPr>
            <w:tcW w:w="1701" w:type="dxa"/>
            <w:tcBorders>
              <w:top w:val="single" w:sz="4" w:space="0" w:color="auto"/>
              <w:left w:val="nil"/>
              <w:bottom w:val="nil"/>
              <w:right w:val="single" w:sz="8" w:space="0" w:color="auto"/>
            </w:tcBorders>
            <w:shd w:val="clear" w:color="auto" w:fill="B4C6E7" w:themeFill="accent1" w:themeFillTint="66"/>
            <w:noWrap/>
            <w:vAlign w:val="center"/>
            <w:hideMark/>
          </w:tcPr>
          <w:p w14:paraId="37731AF2"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 xml:space="preserve">312   </w:t>
            </w:r>
          </w:p>
        </w:tc>
        <w:tc>
          <w:tcPr>
            <w:tcW w:w="850" w:type="dxa"/>
            <w:tcBorders>
              <w:top w:val="single" w:sz="4" w:space="0" w:color="auto"/>
              <w:left w:val="nil"/>
              <w:bottom w:val="nil"/>
              <w:right w:val="single" w:sz="8" w:space="0" w:color="auto"/>
            </w:tcBorders>
            <w:shd w:val="clear" w:color="auto" w:fill="B4C6E7" w:themeFill="accent1" w:themeFillTint="66"/>
            <w:noWrap/>
            <w:vAlign w:val="center"/>
            <w:hideMark/>
          </w:tcPr>
          <w:p w14:paraId="55DD8E41" w14:textId="77777777" w:rsidR="00412F22" w:rsidRPr="0016301A" w:rsidRDefault="00412F22" w:rsidP="00EE0E23">
            <w:pPr>
              <w:jc w:val="right"/>
              <w:rPr>
                <w:rFonts w:ascii="Calibri" w:hAnsi="Calibri" w:cs="Calibri"/>
                <w:color w:val="000000" w:themeColor="text1"/>
                <w:sz w:val="20"/>
                <w:szCs w:val="20"/>
              </w:rPr>
            </w:pPr>
            <w:r>
              <w:rPr>
                <w:rFonts w:ascii="Calibri" w:hAnsi="Calibri" w:cs="Calibri"/>
                <w:color w:val="000000" w:themeColor="text1"/>
                <w:sz w:val="20"/>
                <w:szCs w:val="20"/>
              </w:rPr>
              <w:t>797</w:t>
            </w:r>
            <w:r w:rsidRPr="0016301A">
              <w:rPr>
                <w:rFonts w:ascii="Calibri" w:hAnsi="Calibri" w:cs="Calibri"/>
                <w:color w:val="000000" w:themeColor="text1"/>
                <w:sz w:val="20"/>
                <w:szCs w:val="20"/>
              </w:rPr>
              <w:t xml:space="preserve">   </w:t>
            </w:r>
          </w:p>
        </w:tc>
        <w:tc>
          <w:tcPr>
            <w:tcW w:w="1134" w:type="dxa"/>
            <w:tcBorders>
              <w:top w:val="single" w:sz="4" w:space="0" w:color="auto"/>
              <w:left w:val="nil"/>
              <w:bottom w:val="nil"/>
              <w:right w:val="single" w:sz="8" w:space="0" w:color="auto"/>
            </w:tcBorders>
            <w:shd w:val="clear" w:color="auto" w:fill="B4C6E7" w:themeFill="accent1" w:themeFillTint="66"/>
            <w:noWrap/>
            <w:vAlign w:val="center"/>
            <w:hideMark/>
          </w:tcPr>
          <w:p w14:paraId="2FA7335F"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 xml:space="preserve">301   </w:t>
            </w:r>
          </w:p>
        </w:tc>
        <w:tc>
          <w:tcPr>
            <w:tcW w:w="1276" w:type="dxa"/>
            <w:tcBorders>
              <w:top w:val="single" w:sz="4" w:space="0" w:color="auto"/>
              <w:left w:val="nil"/>
              <w:bottom w:val="nil"/>
              <w:right w:val="single" w:sz="8" w:space="0" w:color="auto"/>
            </w:tcBorders>
            <w:shd w:val="clear" w:color="auto" w:fill="B4C6E7" w:themeFill="accent1" w:themeFillTint="66"/>
            <w:noWrap/>
            <w:vAlign w:val="center"/>
            <w:hideMark/>
          </w:tcPr>
          <w:p w14:paraId="3C6AA299"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 xml:space="preserve">83   </w:t>
            </w:r>
          </w:p>
        </w:tc>
      </w:tr>
      <w:tr w:rsidR="00412F22" w:rsidRPr="0016301A" w14:paraId="258C7FE0" w14:textId="77777777" w:rsidTr="00EE0E23">
        <w:trPr>
          <w:trHeight w:val="333"/>
          <w:jc w:val="center"/>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C7EE2" w14:textId="77777777" w:rsidR="00412F22" w:rsidRPr="0016301A" w:rsidRDefault="00412F22" w:rsidP="00EE0E23">
            <w:pPr>
              <w:rPr>
                <w:rFonts w:ascii="Trebuchet MS" w:hAnsi="Trebuchet MS" w:cs="Calibri"/>
                <w:b/>
                <w:bCs/>
                <w:color w:val="000000" w:themeColor="text1"/>
                <w:sz w:val="20"/>
                <w:szCs w:val="20"/>
              </w:rPr>
            </w:pPr>
            <w:r w:rsidRPr="0016301A">
              <w:rPr>
                <w:rFonts w:ascii="Trebuchet MS" w:hAnsi="Trebuchet MS" w:cs="Calibri"/>
                <w:b/>
                <w:bCs/>
                <w:color w:val="000000" w:themeColor="text1"/>
                <w:sz w:val="20"/>
                <w:szCs w:val="20"/>
              </w:rPr>
              <w:t>Perte de PIB et de contribution au PIB en 2100 pour cause CC</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F3C8C8E"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 xml:space="preserve">121 952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0E8DF00"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 xml:space="preserve">5 508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0C004C7"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12 </w:t>
            </w:r>
            <w:r>
              <w:rPr>
                <w:rFonts w:ascii="Calibri" w:hAnsi="Calibri" w:cs="Calibri"/>
                <w:color w:val="000000" w:themeColor="text1"/>
                <w:sz w:val="20"/>
                <w:szCs w:val="20"/>
              </w:rPr>
              <w:t>351</w:t>
            </w:r>
            <w:r w:rsidRPr="0016301A">
              <w:rPr>
                <w:rFonts w:ascii="Calibri" w:hAnsi="Calibri" w:cs="Calibri"/>
                <w:color w:val="000000" w:themeColor="text1"/>
                <w:sz w:val="20"/>
                <w:szCs w:val="20"/>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18410D9"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 xml:space="preserve">4 610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2872468" w14:textId="77777777" w:rsidR="00412F22" w:rsidRPr="0016301A" w:rsidRDefault="00412F22" w:rsidP="00EE0E23">
            <w:pPr>
              <w:jc w:val="right"/>
              <w:rPr>
                <w:rFonts w:ascii="Calibri" w:hAnsi="Calibri" w:cs="Calibri"/>
                <w:color w:val="000000" w:themeColor="text1"/>
                <w:sz w:val="20"/>
                <w:szCs w:val="20"/>
              </w:rPr>
            </w:pPr>
            <w:r w:rsidRPr="0016301A">
              <w:rPr>
                <w:rFonts w:ascii="Calibri" w:hAnsi="Calibri" w:cs="Calibri"/>
                <w:color w:val="000000" w:themeColor="text1"/>
                <w:sz w:val="20"/>
                <w:szCs w:val="20"/>
              </w:rPr>
              <w:t xml:space="preserve">83   </w:t>
            </w:r>
          </w:p>
        </w:tc>
      </w:tr>
    </w:tbl>
    <w:p w14:paraId="1A1282E7" w14:textId="77777777" w:rsidR="00412F22" w:rsidRDefault="00412F22" w:rsidP="00412F22">
      <w:pPr>
        <w:pStyle w:val="Corpsdetexte"/>
        <w:rPr>
          <w:rFonts w:asciiTheme="minorHAnsi" w:hAnsiTheme="minorHAnsi" w:cstheme="minorHAnsi"/>
          <w:b/>
          <w:bCs/>
          <w:color w:val="000000" w:themeColor="text1"/>
        </w:rPr>
      </w:pPr>
    </w:p>
    <w:p w14:paraId="5334992E" w14:textId="77777777" w:rsidR="00412F22" w:rsidRPr="00200C52" w:rsidRDefault="00412F22" w:rsidP="00412F22">
      <w:pPr>
        <w:pStyle w:val="Titre2"/>
        <w:tabs>
          <w:tab w:val="left" w:pos="9356"/>
          <w:tab w:val="left" w:pos="9498"/>
          <w:tab w:val="left" w:pos="9781"/>
        </w:tabs>
        <w:ind w:right="1279"/>
        <w:jc w:val="center"/>
        <w:rPr>
          <w:rFonts w:ascii="Arial Narrow" w:hAnsi="Arial Narrow"/>
          <w:b/>
          <w:bCs/>
          <w:color w:val="990000"/>
          <w:sz w:val="28"/>
          <w:szCs w:val="28"/>
        </w:rPr>
      </w:pPr>
      <w:bookmarkStart w:id="737" w:name="_Toc192462527"/>
      <w:r w:rsidRPr="00200C52">
        <w:rPr>
          <w:rFonts w:ascii="Arial Narrow" w:hAnsi="Arial Narrow"/>
          <w:b/>
          <w:bCs/>
          <w:color w:val="990000"/>
          <w:sz w:val="28"/>
          <w:szCs w:val="28"/>
        </w:rPr>
        <w:t>III.4 Scénarios socioéconomiques et adaptation</w:t>
      </w:r>
      <w:bookmarkEnd w:id="737"/>
    </w:p>
    <w:bookmarkEnd w:id="720"/>
    <w:p w14:paraId="23E55B92" w14:textId="77777777" w:rsidR="00412F22" w:rsidRDefault="00412F22" w:rsidP="00412F22">
      <w:pPr>
        <w:spacing w:before="60" w:line="276" w:lineRule="auto"/>
        <w:ind w:right="996"/>
        <w:jc w:val="both"/>
        <w:rPr>
          <w:rFonts w:cstheme="minorHAnsi"/>
          <w:color w:val="000000" w:themeColor="text1"/>
        </w:rPr>
      </w:pPr>
    </w:p>
    <w:p w14:paraId="30F6AC0F" w14:textId="77777777" w:rsidR="00412F22" w:rsidRDefault="00412F22" w:rsidP="00412F22">
      <w:pPr>
        <w:spacing w:before="60" w:line="276" w:lineRule="auto"/>
        <w:ind w:right="996"/>
        <w:jc w:val="both"/>
        <w:rPr>
          <w:rFonts w:cstheme="minorHAnsi"/>
          <w:color w:val="000000" w:themeColor="text1"/>
        </w:rPr>
      </w:pPr>
      <w:r w:rsidRPr="0016301A">
        <w:rPr>
          <w:rFonts w:cstheme="minorHAnsi"/>
          <w:color w:val="000000" w:themeColor="text1"/>
        </w:rPr>
        <w:t>Des scénarios socioéconomiques</w:t>
      </w:r>
      <w:r>
        <w:rPr>
          <w:rFonts w:cstheme="minorHAnsi"/>
          <w:color w:val="000000" w:themeColor="text1"/>
        </w:rPr>
        <w:t xml:space="preserve"> ci-dessus</w:t>
      </w:r>
      <w:r w:rsidRPr="0016301A">
        <w:rPr>
          <w:rFonts w:cstheme="minorHAnsi"/>
          <w:color w:val="000000" w:themeColor="text1"/>
        </w:rPr>
        <w:t xml:space="preserve">, </w:t>
      </w:r>
      <w:r w:rsidRPr="00603E41">
        <w:rPr>
          <w:rFonts w:cstheme="minorHAnsi"/>
          <w:color w:val="538135" w:themeColor="accent6" w:themeShade="BF"/>
        </w:rPr>
        <w:t xml:space="preserve">il ressort, une estimation des pertes de PIB du fait des changements climatiques, à compenser par des mesures d’adaptation. Les pertes à compenser par les mesures d’adaptation </w:t>
      </w:r>
      <w:r>
        <w:rPr>
          <w:rFonts w:cstheme="minorHAnsi"/>
          <w:color w:val="000000" w:themeColor="text1"/>
        </w:rPr>
        <w:t xml:space="preserve">seront </w:t>
      </w:r>
      <w:r w:rsidRPr="0016301A">
        <w:rPr>
          <w:rFonts w:cstheme="minorHAnsi"/>
          <w:color w:val="000000" w:themeColor="text1"/>
        </w:rPr>
        <w:t>évidemment moindre</w:t>
      </w:r>
      <w:r>
        <w:rPr>
          <w:rFonts w:cstheme="minorHAnsi"/>
          <w:color w:val="000000" w:themeColor="text1"/>
        </w:rPr>
        <w:t>s si</w:t>
      </w:r>
      <w:r w:rsidRPr="0016301A">
        <w:rPr>
          <w:rFonts w:cstheme="minorHAnsi"/>
          <w:color w:val="000000" w:themeColor="text1"/>
        </w:rPr>
        <w:t xml:space="preserve"> des mesures d’atténuation</w:t>
      </w:r>
      <w:r>
        <w:rPr>
          <w:rFonts w:cstheme="minorHAnsi"/>
          <w:color w:val="000000" w:themeColor="text1"/>
        </w:rPr>
        <w:t xml:space="preserve"> sont prises</w:t>
      </w:r>
      <w:r w:rsidRPr="0016301A">
        <w:rPr>
          <w:rFonts w:cstheme="minorHAnsi"/>
          <w:color w:val="000000" w:themeColor="text1"/>
        </w:rPr>
        <w:t xml:space="preserve">. Cependant, ici, nous traitons de la compensation des pertes découlant des scénarios socioéconomiques, sans préjuger des </w:t>
      </w:r>
      <w:r>
        <w:rPr>
          <w:rFonts w:cstheme="minorHAnsi"/>
          <w:color w:val="000000" w:themeColor="text1"/>
        </w:rPr>
        <w:t>mesures d’</w:t>
      </w:r>
      <w:r w:rsidRPr="0016301A">
        <w:rPr>
          <w:rFonts w:cstheme="minorHAnsi"/>
          <w:color w:val="000000" w:themeColor="text1"/>
        </w:rPr>
        <w:t xml:space="preserve">atténuations </w:t>
      </w:r>
      <w:r>
        <w:rPr>
          <w:rFonts w:cstheme="minorHAnsi"/>
          <w:color w:val="000000" w:themeColor="text1"/>
        </w:rPr>
        <w:t>pouvant</w:t>
      </w:r>
      <w:r w:rsidRPr="0016301A">
        <w:rPr>
          <w:rFonts w:cstheme="minorHAnsi"/>
          <w:color w:val="000000" w:themeColor="text1"/>
        </w:rPr>
        <w:t xml:space="preserve"> diminuer les pertes à compenser.</w:t>
      </w:r>
    </w:p>
    <w:p w14:paraId="023381E3" w14:textId="77777777" w:rsidR="00412F22" w:rsidRPr="002C1CB4" w:rsidRDefault="00412F22" w:rsidP="00412F22">
      <w:pPr>
        <w:spacing w:before="60" w:line="276" w:lineRule="auto"/>
        <w:ind w:right="996"/>
        <w:jc w:val="both"/>
        <w:rPr>
          <w:rFonts w:cstheme="minorHAnsi"/>
          <w:color w:val="000000" w:themeColor="text1"/>
          <w:sz w:val="14"/>
          <w:szCs w:val="14"/>
        </w:rPr>
      </w:pPr>
    </w:p>
    <w:p w14:paraId="0D0A8B0E" w14:textId="77777777" w:rsidR="00412F22" w:rsidRPr="0016301A" w:rsidRDefault="00412F22" w:rsidP="00412F22">
      <w:pPr>
        <w:ind w:left="-284" w:right="-188"/>
        <w:jc w:val="both"/>
        <w:rPr>
          <w:rFonts w:cstheme="minorHAnsi"/>
          <w:color w:val="000000" w:themeColor="text1"/>
        </w:rPr>
      </w:pPr>
      <w:r w:rsidRPr="0016301A">
        <w:rPr>
          <w:rFonts w:cstheme="minorHAnsi"/>
          <w:color w:val="000000" w:themeColor="text1"/>
        </w:rPr>
        <w:t xml:space="preserve">Pour le scénario A2, les pertes dues aux CC, à compenser </w:t>
      </w:r>
      <w:r>
        <w:rPr>
          <w:rFonts w:cstheme="minorHAnsi"/>
          <w:color w:val="000000" w:themeColor="text1"/>
        </w:rPr>
        <w:t xml:space="preserve">par des mesures d’adaptation, </w:t>
      </w:r>
      <w:r w:rsidRPr="0016301A">
        <w:rPr>
          <w:rFonts w:cstheme="minorHAnsi"/>
          <w:color w:val="000000" w:themeColor="text1"/>
        </w:rPr>
        <w:t>sont de :</w:t>
      </w:r>
    </w:p>
    <w:p w14:paraId="6885444B" w14:textId="77777777" w:rsidR="00412F22" w:rsidRPr="0016301A" w:rsidRDefault="00412F22" w:rsidP="00412F22">
      <w:pPr>
        <w:pStyle w:val="Paragraphedeliste"/>
        <w:numPr>
          <w:ilvl w:val="0"/>
          <w:numId w:val="225"/>
        </w:numPr>
        <w:spacing w:after="0" w:line="240" w:lineRule="auto"/>
        <w:ind w:left="714" w:hanging="357"/>
        <w:contextualSpacing w:val="0"/>
        <w:jc w:val="both"/>
        <w:rPr>
          <w:rFonts w:cstheme="minorHAnsi"/>
          <w:color w:val="000000" w:themeColor="text1"/>
        </w:rPr>
      </w:pPr>
      <w:r w:rsidRPr="0016301A">
        <w:rPr>
          <w:rFonts w:cstheme="minorHAnsi"/>
          <w:color w:val="000000" w:themeColor="text1"/>
        </w:rPr>
        <w:t>1</w:t>
      </w:r>
      <w:r>
        <w:rPr>
          <w:rFonts w:cstheme="minorHAnsi"/>
          <w:color w:val="000000" w:themeColor="text1"/>
        </w:rPr>
        <w:t xml:space="preserve"> </w:t>
      </w:r>
      <w:r w:rsidRPr="0016301A">
        <w:rPr>
          <w:rFonts w:cstheme="minorHAnsi"/>
          <w:color w:val="000000" w:themeColor="text1"/>
        </w:rPr>
        <w:t>999 Milliards de MRU (environ 2000 Milliards), à l’horizon 2050 ;</w:t>
      </w:r>
    </w:p>
    <w:p w14:paraId="5B99E885" w14:textId="77777777" w:rsidR="00412F22" w:rsidRPr="0016301A" w:rsidRDefault="00412F22" w:rsidP="00412F22">
      <w:pPr>
        <w:pStyle w:val="Paragraphedeliste"/>
        <w:numPr>
          <w:ilvl w:val="0"/>
          <w:numId w:val="225"/>
        </w:numPr>
        <w:spacing w:after="0" w:line="240" w:lineRule="auto"/>
        <w:ind w:left="714" w:hanging="357"/>
        <w:contextualSpacing w:val="0"/>
        <w:jc w:val="both"/>
        <w:rPr>
          <w:rFonts w:cstheme="minorHAnsi"/>
          <w:color w:val="000000" w:themeColor="text1"/>
        </w:rPr>
      </w:pPr>
      <w:r w:rsidRPr="0016301A">
        <w:rPr>
          <w:rFonts w:cstheme="minorHAnsi"/>
          <w:color w:val="000000" w:themeColor="text1"/>
        </w:rPr>
        <w:t>124 421 Milliards de MRU, à l’horizon 2100.</w:t>
      </w:r>
    </w:p>
    <w:p w14:paraId="3A7A2DD4" w14:textId="77777777" w:rsidR="00412F22" w:rsidRPr="0016301A" w:rsidRDefault="00412F22" w:rsidP="00412F22">
      <w:pPr>
        <w:spacing w:line="276" w:lineRule="auto"/>
        <w:ind w:right="-330"/>
        <w:jc w:val="both"/>
        <w:rPr>
          <w:rFonts w:cstheme="minorHAnsi"/>
          <w:color w:val="000000" w:themeColor="text1"/>
        </w:rPr>
      </w:pPr>
      <w:r w:rsidRPr="0016301A">
        <w:rPr>
          <w:rFonts w:cstheme="minorHAnsi"/>
          <w:color w:val="000000" w:themeColor="text1"/>
        </w:rPr>
        <w:t xml:space="preserve">Pour le scénario B2, les pertes dues aux CC, à compenser </w:t>
      </w:r>
      <w:r>
        <w:rPr>
          <w:rFonts w:cstheme="minorHAnsi"/>
          <w:color w:val="000000" w:themeColor="text1"/>
        </w:rPr>
        <w:t xml:space="preserve">par des mesures d’adaptation, </w:t>
      </w:r>
      <w:r w:rsidRPr="0016301A">
        <w:rPr>
          <w:rFonts w:cstheme="minorHAnsi"/>
          <w:color w:val="000000" w:themeColor="text1"/>
        </w:rPr>
        <w:t xml:space="preserve">sont de : </w:t>
      </w:r>
    </w:p>
    <w:p w14:paraId="7C3CECFD" w14:textId="77777777" w:rsidR="00412F22" w:rsidRPr="00682B32" w:rsidRDefault="00412F22" w:rsidP="00412F22">
      <w:pPr>
        <w:pStyle w:val="Paragraphedeliste"/>
        <w:numPr>
          <w:ilvl w:val="0"/>
          <w:numId w:val="225"/>
        </w:numPr>
        <w:spacing w:after="0" w:line="240" w:lineRule="auto"/>
        <w:ind w:left="714" w:hanging="357"/>
        <w:contextualSpacing w:val="0"/>
        <w:jc w:val="both"/>
        <w:rPr>
          <w:rFonts w:ascii="Segoe UI" w:hAnsi="Segoe UI" w:cs="Segoe UI"/>
          <w:color w:val="000000" w:themeColor="text1"/>
          <w:sz w:val="21"/>
          <w:szCs w:val="21"/>
        </w:rPr>
      </w:pPr>
      <w:r w:rsidRPr="0016301A">
        <w:rPr>
          <w:rFonts w:ascii="Segoe UI" w:hAnsi="Segoe UI" w:cs="Segoe UI"/>
          <w:color w:val="000000" w:themeColor="text1"/>
          <w:sz w:val="21"/>
          <w:szCs w:val="21"/>
        </w:rPr>
        <w:t>1862 Milliards de MRU, à l’horizon 2050 ;</w:t>
      </w:r>
    </w:p>
    <w:p w14:paraId="485C90FC" w14:textId="77777777" w:rsidR="00412F22" w:rsidRDefault="00412F22" w:rsidP="00412F22">
      <w:pPr>
        <w:pStyle w:val="Paragraphedeliste"/>
        <w:numPr>
          <w:ilvl w:val="0"/>
          <w:numId w:val="225"/>
        </w:numPr>
        <w:spacing w:after="0" w:line="240" w:lineRule="auto"/>
        <w:ind w:left="714" w:hanging="357"/>
        <w:contextualSpacing w:val="0"/>
        <w:jc w:val="both"/>
        <w:rPr>
          <w:rFonts w:ascii="Segoe UI" w:hAnsi="Segoe UI" w:cs="Segoe UI"/>
          <w:color w:val="000000" w:themeColor="text1"/>
          <w:sz w:val="21"/>
          <w:szCs w:val="21"/>
        </w:rPr>
      </w:pPr>
      <w:r w:rsidRPr="0016301A">
        <w:rPr>
          <w:rFonts w:ascii="Segoe UI" w:hAnsi="Segoe UI" w:cs="Segoe UI"/>
          <w:color w:val="000000" w:themeColor="text1"/>
          <w:sz w:val="21"/>
          <w:szCs w:val="21"/>
        </w:rPr>
        <w:t>121 952 Milliards de MRU, à l’horizon 2100.</w:t>
      </w:r>
    </w:p>
    <w:p w14:paraId="2232DCC1" w14:textId="77777777" w:rsidR="00412F22" w:rsidRDefault="00412F22" w:rsidP="00412F22">
      <w:pPr>
        <w:spacing w:line="276" w:lineRule="auto"/>
        <w:ind w:right="-330"/>
        <w:jc w:val="both"/>
        <w:rPr>
          <w:rFonts w:cstheme="minorHAnsi"/>
          <w:color w:val="000000" w:themeColor="text1"/>
          <w:spacing w:val="-2"/>
        </w:rPr>
      </w:pPr>
      <w:r w:rsidRPr="00387007">
        <w:rPr>
          <w:rFonts w:cstheme="minorHAnsi"/>
          <w:color w:val="000000" w:themeColor="text1"/>
        </w:rPr>
        <w:t>Pour examiner la cohérence des besoins de financement se dégageant pour l’horizon 2050, la comparaison est faite avec les besoins en financement de l’adaptation d</w:t>
      </w:r>
      <w:r>
        <w:rPr>
          <w:rFonts w:cstheme="minorHAnsi"/>
          <w:color w:val="000000" w:themeColor="text1"/>
        </w:rPr>
        <w:t xml:space="preserve">e </w:t>
      </w:r>
      <w:proofErr w:type="spellStart"/>
      <w:r>
        <w:rPr>
          <w:rFonts w:cstheme="minorHAnsi"/>
          <w:color w:val="000000" w:themeColor="text1"/>
        </w:rPr>
        <w:t>lla</w:t>
      </w:r>
      <w:proofErr w:type="spellEnd"/>
      <w:r w:rsidRPr="00387007">
        <w:rPr>
          <w:rFonts w:cstheme="minorHAnsi"/>
          <w:color w:val="000000" w:themeColor="text1"/>
        </w:rPr>
        <w:t xml:space="preserve"> </w:t>
      </w:r>
      <w:r w:rsidRPr="00387007">
        <w:rPr>
          <w:rFonts w:cstheme="minorHAnsi"/>
          <w:color w:val="000000" w:themeColor="text1"/>
          <w:spacing w:val="-2"/>
        </w:rPr>
        <w:t>CDN 2021 – 2030</w:t>
      </w:r>
      <w:r>
        <w:rPr>
          <w:rFonts w:cstheme="minorHAnsi"/>
          <w:color w:val="000000" w:themeColor="text1"/>
          <w:spacing w:val="-2"/>
        </w:rPr>
        <w:t>. L’horizon 2100, est trop lointain, pour faire ce type de comparaison à cet horizon.</w:t>
      </w:r>
    </w:p>
    <w:p w14:paraId="144B9D5A" w14:textId="77777777" w:rsidR="00412F22" w:rsidRPr="009E7713" w:rsidRDefault="00412F22" w:rsidP="00412F22">
      <w:pPr>
        <w:spacing w:line="276" w:lineRule="auto"/>
        <w:ind w:right="1137"/>
        <w:rPr>
          <w:rFonts w:cstheme="minorHAnsi"/>
          <w:color w:val="000000" w:themeColor="text1"/>
          <w:spacing w:val="-2"/>
          <w:sz w:val="6"/>
          <w:szCs w:val="6"/>
        </w:rPr>
      </w:pPr>
    </w:p>
    <w:p w14:paraId="33E032E1" w14:textId="77777777" w:rsidR="00412F22" w:rsidRPr="005865E6" w:rsidRDefault="00412F22" w:rsidP="00412F22">
      <w:pPr>
        <w:pStyle w:val="Lgende"/>
        <w:jc w:val="center"/>
        <w:rPr>
          <w:b/>
          <w:bCs/>
          <w:color w:val="000000" w:themeColor="text1"/>
          <w:sz w:val="22"/>
          <w:szCs w:val="22"/>
        </w:rPr>
      </w:pPr>
      <w:bookmarkStart w:id="738" w:name="_Toc192462655"/>
      <w:r w:rsidRPr="005865E6">
        <w:rPr>
          <w:b/>
          <w:bCs/>
          <w:color w:val="000000" w:themeColor="text1"/>
          <w:sz w:val="22"/>
          <w:szCs w:val="22"/>
        </w:rPr>
        <w:t xml:space="preserve">Tableau </w:t>
      </w:r>
      <w:r w:rsidRPr="005865E6">
        <w:rPr>
          <w:b/>
          <w:bCs/>
          <w:color w:val="000000" w:themeColor="text1"/>
          <w:sz w:val="22"/>
          <w:szCs w:val="22"/>
        </w:rPr>
        <w:fldChar w:fldCharType="begin"/>
      </w:r>
      <w:r w:rsidRPr="005865E6">
        <w:rPr>
          <w:b/>
          <w:bCs/>
          <w:color w:val="000000" w:themeColor="text1"/>
          <w:sz w:val="22"/>
          <w:szCs w:val="22"/>
        </w:rPr>
        <w:instrText xml:space="preserve"> SEQ Tableau \* ARABIC </w:instrText>
      </w:r>
      <w:r w:rsidRPr="005865E6">
        <w:rPr>
          <w:b/>
          <w:bCs/>
          <w:color w:val="000000" w:themeColor="text1"/>
          <w:sz w:val="22"/>
          <w:szCs w:val="22"/>
        </w:rPr>
        <w:fldChar w:fldCharType="separate"/>
      </w:r>
      <w:r>
        <w:rPr>
          <w:b/>
          <w:bCs/>
          <w:noProof/>
          <w:color w:val="000000" w:themeColor="text1"/>
          <w:sz w:val="22"/>
          <w:szCs w:val="22"/>
        </w:rPr>
        <w:t>12</w:t>
      </w:r>
      <w:r w:rsidRPr="005865E6">
        <w:rPr>
          <w:b/>
          <w:bCs/>
          <w:color w:val="000000" w:themeColor="text1"/>
          <w:sz w:val="22"/>
          <w:szCs w:val="22"/>
        </w:rPr>
        <w:fldChar w:fldCharType="end"/>
      </w:r>
      <w:r w:rsidRPr="005865E6">
        <w:rPr>
          <w:b/>
          <w:bCs/>
          <w:color w:val="000000" w:themeColor="text1"/>
          <w:sz w:val="22"/>
          <w:szCs w:val="22"/>
        </w:rPr>
        <w:t>: Récapitulatif des pertes à compenser par des mesures d’adaptation</w:t>
      </w:r>
      <w:r>
        <w:rPr>
          <w:b/>
          <w:bCs/>
          <w:color w:val="000000" w:themeColor="text1"/>
          <w:sz w:val="22"/>
          <w:szCs w:val="22"/>
        </w:rPr>
        <w:t xml:space="preserve"> à l’horizon 2050</w:t>
      </w:r>
      <w:bookmarkEnd w:id="738"/>
    </w:p>
    <w:tbl>
      <w:tblPr>
        <w:tblStyle w:val="Grilledutableau"/>
        <w:tblW w:w="0" w:type="auto"/>
        <w:jc w:val="center"/>
        <w:tblLook w:val="04A0" w:firstRow="1" w:lastRow="0" w:firstColumn="1" w:lastColumn="0" w:noHBand="0" w:noVBand="1"/>
      </w:tblPr>
      <w:tblGrid>
        <w:gridCol w:w="1529"/>
        <w:gridCol w:w="1773"/>
        <w:gridCol w:w="1654"/>
        <w:gridCol w:w="1569"/>
        <w:gridCol w:w="1559"/>
      </w:tblGrid>
      <w:tr w:rsidR="00412F22" w:rsidRPr="0016301A" w14:paraId="601D049F" w14:textId="77777777" w:rsidTr="00EE0E23">
        <w:trPr>
          <w:jc w:val="center"/>
        </w:trPr>
        <w:tc>
          <w:tcPr>
            <w:tcW w:w="1529" w:type="dxa"/>
            <w:vMerge w:val="restart"/>
            <w:vAlign w:val="center"/>
          </w:tcPr>
          <w:p w14:paraId="3B0CA985"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Scénarios</w:t>
            </w:r>
          </w:p>
        </w:tc>
        <w:tc>
          <w:tcPr>
            <w:tcW w:w="3427" w:type="dxa"/>
            <w:gridSpan w:val="2"/>
            <w:vAlign w:val="center"/>
          </w:tcPr>
          <w:p w14:paraId="6FD02D9A"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A2</w:t>
            </w:r>
          </w:p>
        </w:tc>
        <w:tc>
          <w:tcPr>
            <w:tcW w:w="3128" w:type="dxa"/>
            <w:gridSpan w:val="2"/>
            <w:vAlign w:val="center"/>
          </w:tcPr>
          <w:p w14:paraId="2072686E"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B2</w:t>
            </w:r>
          </w:p>
        </w:tc>
      </w:tr>
      <w:tr w:rsidR="00412F22" w:rsidRPr="0016301A" w14:paraId="03264D85" w14:textId="77777777" w:rsidTr="00EE0E23">
        <w:trPr>
          <w:jc w:val="center"/>
        </w:trPr>
        <w:tc>
          <w:tcPr>
            <w:tcW w:w="1529" w:type="dxa"/>
            <w:vMerge/>
            <w:vAlign w:val="center"/>
          </w:tcPr>
          <w:p w14:paraId="54473E99" w14:textId="77777777" w:rsidR="00412F22" w:rsidRPr="0016301A" w:rsidRDefault="00412F22" w:rsidP="00EE0E23">
            <w:pPr>
              <w:jc w:val="center"/>
              <w:rPr>
                <w:rFonts w:cstheme="minorHAnsi"/>
                <w:b/>
                <w:bCs/>
                <w:color w:val="000000" w:themeColor="text1"/>
                <w:sz w:val="20"/>
                <w:szCs w:val="20"/>
              </w:rPr>
            </w:pPr>
          </w:p>
        </w:tc>
        <w:tc>
          <w:tcPr>
            <w:tcW w:w="1773" w:type="dxa"/>
            <w:vAlign w:val="center"/>
          </w:tcPr>
          <w:p w14:paraId="4C395091"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 xml:space="preserve">Montant </w:t>
            </w:r>
            <w:r>
              <w:rPr>
                <w:rFonts w:cstheme="minorHAnsi"/>
                <w:b/>
                <w:bCs/>
                <w:color w:val="000000" w:themeColor="text1"/>
                <w:sz w:val="20"/>
                <w:szCs w:val="20"/>
              </w:rPr>
              <w:t xml:space="preserve">pertes </w:t>
            </w:r>
            <w:r w:rsidRPr="0016301A">
              <w:rPr>
                <w:rFonts w:cstheme="minorHAnsi"/>
                <w:b/>
                <w:bCs/>
                <w:color w:val="000000" w:themeColor="text1"/>
                <w:sz w:val="20"/>
                <w:szCs w:val="20"/>
              </w:rPr>
              <w:t>(Milliards MRU)</w:t>
            </w:r>
          </w:p>
        </w:tc>
        <w:tc>
          <w:tcPr>
            <w:tcW w:w="1654" w:type="dxa"/>
            <w:vAlign w:val="center"/>
          </w:tcPr>
          <w:p w14:paraId="4DD4B479"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 xml:space="preserve">Montant </w:t>
            </w:r>
            <w:r>
              <w:rPr>
                <w:rFonts w:cstheme="minorHAnsi"/>
                <w:b/>
                <w:bCs/>
                <w:color w:val="000000" w:themeColor="text1"/>
                <w:sz w:val="20"/>
                <w:szCs w:val="20"/>
              </w:rPr>
              <w:t xml:space="preserve">pertes </w:t>
            </w:r>
            <w:r w:rsidRPr="0016301A">
              <w:rPr>
                <w:rFonts w:cstheme="minorHAnsi"/>
                <w:b/>
                <w:bCs/>
                <w:color w:val="000000" w:themeColor="text1"/>
                <w:sz w:val="20"/>
                <w:szCs w:val="20"/>
              </w:rPr>
              <w:t>(Millions de $)</w:t>
            </w:r>
          </w:p>
        </w:tc>
        <w:tc>
          <w:tcPr>
            <w:tcW w:w="1569" w:type="dxa"/>
            <w:vAlign w:val="center"/>
          </w:tcPr>
          <w:p w14:paraId="741C7213"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 xml:space="preserve">Montant </w:t>
            </w:r>
            <w:r>
              <w:rPr>
                <w:rFonts w:cstheme="minorHAnsi"/>
                <w:b/>
                <w:bCs/>
                <w:color w:val="000000" w:themeColor="text1"/>
                <w:sz w:val="20"/>
                <w:szCs w:val="20"/>
              </w:rPr>
              <w:t xml:space="preserve">pertes </w:t>
            </w:r>
            <w:r w:rsidRPr="0016301A">
              <w:rPr>
                <w:rFonts w:cstheme="minorHAnsi"/>
                <w:b/>
                <w:bCs/>
                <w:color w:val="000000" w:themeColor="text1"/>
                <w:sz w:val="20"/>
                <w:szCs w:val="20"/>
              </w:rPr>
              <w:t>(Milliards MRU)</w:t>
            </w:r>
          </w:p>
        </w:tc>
        <w:tc>
          <w:tcPr>
            <w:tcW w:w="1559" w:type="dxa"/>
            <w:vAlign w:val="center"/>
          </w:tcPr>
          <w:p w14:paraId="0251473B"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 xml:space="preserve">Montant </w:t>
            </w:r>
            <w:r>
              <w:rPr>
                <w:rFonts w:cstheme="minorHAnsi"/>
                <w:b/>
                <w:bCs/>
                <w:color w:val="000000" w:themeColor="text1"/>
                <w:sz w:val="20"/>
                <w:szCs w:val="20"/>
              </w:rPr>
              <w:t xml:space="preserve">pertes </w:t>
            </w:r>
            <w:r w:rsidRPr="0016301A">
              <w:rPr>
                <w:rFonts w:cstheme="minorHAnsi"/>
                <w:b/>
                <w:bCs/>
                <w:color w:val="000000" w:themeColor="text1"/>
                <w:sz w:val="20"/>
                <w:szCs w:val="20"/>
              </w:rPr>
              <w:t>(Millions de $)</w:t>
            </w:r>
          </w:p>
        </w:tc>
      </w:tr>
      <w:tr w:rsidR="00412F22" w:rsidRPr="0016301A" w14:paraId="25CA34F7" w14:textId="77777777" w:rsidTr="00EE0E23">
        <w:trPr>
          <w:trHeight w:val="118"/>
          <w:jc w:val="center"/>
        </w:trPr>
        <w:tc>
          <w:tcPr>
            <w:tcW w:w="1529" w:type="dxa"/>
            <w:vAlign w:val="center"/>
          </w:tcPr>
          <w:p w14:paraId="6F78ABCD"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Horizon 2050</w:t>
            </w:r>
          </w:p>
        </w:tc>
        <w:tc>
          <w:tcPr>
            <w:tcW w:w="1773" w:type="dxa"/>
            <w:vAlign w:val="center"/>
          </w:tcPr>
          <w:p w14:paraId="0363C910" w14:textId="77777777" w:rsidR="00412F22" w:rsidRPr="0016301A" w:rsidRDefault="00412F22" w:rsidP="00EE0E23">
            <w:pPr>
              <w:jc w:val="center"/>
              <w:rPr>
                <w:rFonts w:cstheme="minorHAnsi"/>
                <w:b/>
                <w:bCs/>
                <w:color w:val="000000" w:themeColor="text1"/>
                <w:sz w:val="20"/>
                <w:szCs w:val="20"/>
              </w:rPr>
            </w:pPr>
            <w:r w:rsidRPr="0016301A">
              <w:rPr>
                <w:rFonts w:ascii="Segoe UI" w:hAnsi="Segoe UI" w:cs="Segoe UI"/>
                <w:color w:val="000000" w:themeColor="text1"/>
                <w:sz w:val="21"/>
                <w:szCs w:val="21"/>
              </w:rPr>
              <w:t xml:space="preserve">    2 000</w:t>
            </w:r>
          </w:p>
        </w:tc>
        <w:tc>
          <w:tcPr>
            <w:tcW w:w="1654" w:type="dxa"/>
            <w:vAlign w:val="center"/>
          </w:tcPr>
          <w:p w14:paraId="262524E2"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 xml:space="preserve"> 50 352</w:t>
            </w:r>
          </w:p>
        </w:tc>
        <w:tc>
          <w:tcPr>
            <w:tcW w:w="1569" w:type="dxa"/>
            <w:vAlign w:val="center"/>
          </w:tcPr>
          <w:p w14:paraId="7A04C32C" w14:textId="77777777" w:rsidR="00412F22" w:rsidRPr="0016301A" w:rsidRDefault="00412F22" w:rsidP="00EE0E23">
            <w:pPr>
              <w:jc w:val="center"/>
              <w:rPr>
                <w:rFonts w:cstheme="minorHAnsi"/>
                <w:b/>
                <w:bCs/>
                <w:color w:val="000000" w:themeColor="text1"/>
                <w:sz w:val="20"/>
                <w:szCs w:val="20"/>
              </w:rPr>
            </w:pPr>
            <w:r w:rsidRPr="0016301A">
              <w:rPr>
                <w:rFonts w:ascii="Segoe UI" w:hAnsi="Segoe UI" w:cs="Segoe UI"/>
                <w:color w:val="000000" w:themeColor="text1"/>
                <w:sz w:val="21"/>
                <w:szCs w:val="21"/>
              </w:rPr>
              <w:t xml:space="preserve">   1 862</w:t>
            </w:r>
          </w:p>
        </w:tc>
        <w:tc>
          <w:tcPr>
            <w:tcW w:w="1559" w:type="dxa"/>
            <w:vAlign w:val="center"/>
          </w:tcPr>
          <w:p w14:paraId="23C05D5B" w14:textId="77777777" w:rsidR="00412F22" w:rsidRPr="0016301A" w:rsidRDefault="00412F22" w:rsidP="00EE0E23">
            <w:pPr>
              <w:jc w:val="center"/>
              <w:rPr>
                <w:rFonts w:cstheme="minorHAnsi"/>
                <w:b/>
                <w:bCs/>
                <w:color w:val="000000" w:themeColor="text1"/>
                <w:sz w:val="20"/>
                <w:szCs w:val="20"/>
              </w:rPr>
            </w:pPr>
            <w:r w:rsidRPr="0016301A">
              <w:rPr>
                <w:rFonts w:cstheme="minorHAnsi"/>
                <w:b/>
                <w:bCs/>
                <w:color w:val="000000" w:themeColor="text1"/>
                <w:sz w:val="20"/>
                <w:szCs w:val="20"/>
              </w:rPr>
              <w:t>46 878</w:t>
            </w:r>
          </w:p>
        </w:tc>
      </w:tr>
    </w:tbl>
    <w:p w14:paraId="595EB774" w14:textId="77777777" w:rsidR="00412F22" w:rsidRPr="009E7713" w:rsidRDefault="00412F22" w:rsidP="00412F22">
      <w:pPr>
        <w:rPr>
          <w:b/>
          <w:bCs/>
          <w:color w:val="000000" w:themeColor="text1"/>
          <w:sz w:val="8"/>
          <w:szCs w:val="8"/>
          <w:u w:val="single"/>
        </w:rPr>
      </w:pPr>
    </w:p>
    <w:p w14:paraId="21B0C12C" w14:textId="77777777" w:rsidR="00412F22" w:rsidRPr="0016301A" w:rsidRDefault="00412F22" w:rsidP="00412F22">
      <w:pPr>
        <w:tabs>
          <w:tab w:val="left" w:pos="9498"/>
        </w:tabs>
        <w:spacing w:line="276" w:lineRule="auto"/>
        <w:ind w:right="120"/>
        <w:jc w:val="both"/>
        <w:rPr>
          <w:rFonts w:cstheme="minorHAnsi"/>
          <w:color w:val="000000" w:themeColor="text1"/>
          <w:spacing w:val="-2"/>
        </w:rPr>
      </w:pPr>
      <w:r w:rsidRPr="0016301A">
        <w:rPr>
          <w:rFonts w:cstheme="minorHAnsi"/>
          <w:color w:val="000000" w:themeColor="text1"/>
        </w:rPr>
        <w:t>Pour examiner la cohérence des besoins de financement se dégageant pour l’horizon 2050, la comparaison est faite avec les besoins en financement de l’adaptation d</w:t>
      </w:r>
      <w:r>
        <w:rPr>
          <w:rFonts w:cstheme="minorHAnsi"/>
          <w:color w:val="000000" w:themeColor="text1"/>
        </w:rPr>
        <w:t>e la</w:t>
      </w:r>
      <w:r w:rsidRPr="0016301A">
        <w:rPr>
          <w:rFonts w:cstheme="minorHAnsi"/>
          <w:color w:val="000000" w:themeColor="text1"/>
        </w:rPr>
        <w:t xml:space="preserve"> </w:t>
      </w:r>
      <w:r w:rsidRPr="0016301A">
        <w:rPr>
          <w:rFonts w:cstheme="minorHAnsi"/>
          <w:color w:val="000000" w:themeColor="text1"/>
          <w:spacing w:val="-2"/>
        </w:rPr>
        <w:t>CDN 2021 – 2030</w:t>
      </w:r>
      <w:r>
        <w:rPr>
          <w:rFonts w:cstheme="minorHAnsi"/>
          <w:color w:val="000000" w:themeColor="text1"/>
          <w:spacing w:val="-2"/>
        </w:rPr>
        <w:t xml:space="preserve">. </w:t>
      </w:r>
    </w:p>
    <w:p w14:paraId="14EF7B45" w14:textId="77777777" w:rsidR="00412F22" w:rsidRPr="00216F79" w:rsidRDefault="00412F22" w:rsidP="00412F22">
      <w:pPr>
        <w:rPr>
          <w:b/>
          <w:bCs/>
          <w:color w:val="000000" w:themeColor="text1"/>
          <w:sz w:val="10"/>
          <w:szCs w:val="10"/>
          <w:u w:val="single"/>
        </w:rPr>
      </w:pPr>
    </w:p>
    <w:p w14:paraId="4258C814" w14:textId="77777777" w:rsidR="00412F22" w:rsidRPr="009E7713" w:rsidRDefault="00412F22" w:rsidP="00412F22">
      <w:pPr>
        <w:pStyle w:val="Lgende"/>
        <w:spacing w:after="0"/>
        <w:jc w:val="center"/>
        <w:rPr>
          <w:b/>
          <w:bCs/>
          <w:i w:val="0"/>
          <w:iCs w:val="0"/>
          <w:color w:val="000099"/>
          <w:sz w:val="22"/>
          <w:szCs w:val="22"/>
        </w:rPr>
      </w:pPr>
      <w:bookmarkStart w:id="739" w:name="_Toc192462656"/>
      <w:r w:rsidRPr="009E7713">
        <w:rPr>
          <w:b/>
          <w:bCs/>
          <w:i w:val="0"/>
          <w:iCs w:val="0"/>
          <w:color w:val="000099"/>
          <w:sz w:val="22"/>
          <w:szCs w:val="22"/>
        </w:rPr>
        <w:t xml:space="preserve">Tableau </w:t>
      </w:r>
      <w:r w:rsidRPr="009E7713">
        <w:rPr>
          <w:b/>
          <w:bCs/>
          <w:i w:val="0"/>
          <w:iCs w:val="0"/>
          <w:color w:val="000099"/>
          <w:sz w:val="22"/>
          <w:szCs w:val="22"/>
        </w:rPr>
        <w:fldChar w:fldCharType="begin"/>
      </w:r>
      <w:r w:rsidRPr="009E7713">
        <w:rPr>
          <w:b/>
          <w:bCs/>
          <w:i w:val="0"/>
          <w:iCs w:val="0"/>
          <w:color w:val="000099"/>
          <w:sz w:val="22"/>
          <w:szCs w:val="22"/>
        </w:rPr>
        <w:instrText xml:space="preserve"> SEQ Tableau \* ARABIC </w:instrText>
      </w:r>
      <w:r w:rsidRPr="009E7713">
        <w:rPr>
          <w:b/>
          <w:bCs/>
          <w:i w:val="0"/>
          <w:iCs w:val="0"/>
          <w:color w:val="000099"/>
          <w:sz w:val="22"/>
          <w:szCs w:val="22"/>
        </w:rPr>
        <w:fldChar w:fldCharType="separate"/>
      </w:r>
      <w:r w:rsidRPr="009E7713">
        <w:rPr>
          <w:b/>
          <w:bCs/>
          <w:i w:val="0"/>
          <w:iCs w:val="0"/>
          <w:noProof/>
          <w:color w:val="000099"/>
          <w:sz w:val="22"/>
          <w:szCs w:val="22"/>
        </w:rPr>
        <w:t>13</w:t>
      </w:r>
      <w:r w:rsidRPr="009E7713">
        <w:rPr>
          <w:b/>
          <w:bCs/>
          <w:i w:val="0"/>
          <w:iCs w:val="0"/>
          <w:color w:val="000099"/>
          <w:sz w:val="22"/>
          <w:szCs w:val="22"/>
        </w:rPr>
        <w:fldChar w:fldCharType="end"/>
      </w:r>
      <w:r w:rsidRPr="009E7713">
        <w:rPr>
          <w:b/>
          <w:bCs/>
          <w:i w:val="0"/>
          <w:iCs w:val="0"/>
          <w:color w:val="000099"/>
          <w:sz w:val="22"/>
          <w:szCs w:val="22"/>
        </w:rPr>
        <w:t>: Besoins en financement pour l’adaptation, d</w:t>
      </w:r>
      <w:r>
        <w:rPr>
          <w:b/>
          <w:bCs/>
          <w:i w:val="0"/>
          <w:iCs w:val="0"/>
          <w:color w:val="000099"/>
          <w:sz w:val="22"/>
          <w:szCs w:val="22"/>
        </w:rPr>
        <w:t>e la</w:t>
      </w:r>
      <w:r w:rsidRPr="009E7713">
        <w:rPr>
          <w:b/>
          <w:bCs/>
          <w:i w:val="0"/>
          <w:iCs w:val="0"/>
          <w:color w:val="000099"/>
          <w:sz w:val="22"/>
          <w:szCs w:val="22"/>
        </w:rPr>
        <w:t xml:space="preserve"> CDN 2021 – 2030</w:t>
      </w:r>
      <w:bookmarkEnd w:id="739"/>
    </w:p>
    <w:tbl>
      <w:tblPr>
        <w:tblStyle w:val="TableNormal"/>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843"/>
        <w:gridCol w:w="1559"/>
        <w:gridCol w:w="1696"/>
      </w:tblGrid>
      <w:tr w:rsidR="00412F22" w:rsidRPr="0016301A" w14:paraId="64433AA6" w14:textId="77777777" w:rsidTr="00EE0E23">
        <w:trPr>
          <w:trHeight w:val="209"/>
          <w:jc w:val="center"/>
        </w:trPr>
        <w:tc>
          <w:tcPr>
            <w:tcW w:w="4678" w:type="dxa"/>
            <w:vMerge w:val="restart"/>
          </w:tcPr>
          <w:p w14:paraId="63008214" w14:textId="77777777" w:rsidR="00412F22" w:rsidRPr="0016301A" w:rsidRDefault="00412F22" w:rsidP="00EE0E23">
            <w:pPr>
              <w:pStyle w:val="TableParagraph"/>
              <w:ind w:left="10"/>
              <w:jc w:val="center"/>
              <w:rPr>
                <w:rFonts w:asciiTheme="minorHAnsi" w:hAnsiTheme="minorHAnsi" w:cstheme="minorHAnsi"/>
                <w:b/>
                <w:color w:val="000000" w:themeColor="text1"/>
                <w:sz w:val="20"/>
                <w:szCs w:val="20"/>
              </w:rPr>
            </w:pPr>
            <w:r w:rsidRPr="0016301A">
              <w:rPr>
                <w:rFonts w:asciiTheme="minorHAnsi" w:hAnsiTheme="minorHAnsi" w:cstheme="minorHAnsi"/>
                <w:b/>
                <w:color w:val="000000" w:themeColor="text1"/>
                <w:spacing w:val="-2"/>
                <w:sz w:val="20"/>
                <w:szCs w:val="20"/>
                <w:lang w:val="fr-FR"/>
              </w:rPr>
              <w:t>Secteurs</w:t>
            </w:r>
          </w:p>
        </w:tc>
        <w:tc>
          <w:tcPr>
            <w:tcW w:w="5098" w:type="dxa"/>
            <w:gridSpan w:val="3"/>
          </w:tcPr>
          <w:p w14:paraId="258B18CD" w14:textId="77777777" w:rsidR="00412F22" w:rsidRPr="0016301A" w:rsidRDefault="00412F22" w:rsidP="00EE0E23">
            <w:pPr>
              <w:pStyle w:val="TableParagraph"/>
              <w:spacing w:line="252" w:lineRule="exact"/>
              <w:ind w:left="9" w:right="1"/>
              <w:jc w:val="center"/>
              <w:rPr>
                <w:rFonts w:asciiTheme="minorHAnsi" w:hAnsiTheme="minorHAnsi" w:cstheme="minorHAnsi"/>
                <w:b/>
                <w:color w:val="000000" w:themeColor="text1"/>
                <w:sz w:val="20"/>
                <w:szCs w:val="20"/>
                <w:lang w:val="fr-FR"/>
              </w:rPr>
            </w:pPr>
            <w:r w:rsidRPr="0016301A">
              <w:rPr>
                <w:rFonts w:asciiTheme="minorHAnsi" w:hAnsiTheme="minorHAnsi" w:cstheme="minorHAnsi"/>
                <w:b/>
                <w:color w:val="000000" w:themeColor="text1"/>
                <w:sz w:val="20"/>
                <w:szCs w:val="20"/>
                <w:lang w:val="fr-FR"/>
              </w:rPr>
              <w:t>Besoins</w:t>
            </w:r>
            <w:r w:rsidRPr="0016301A">
              <w:rPr>
                <w:rFonts w:asciiTheme="minorHAnsi" w:hAnsiTheme="minorHAnsi" w:cstheme="minorHAnsi"/>
                <w:b/>
                <w:color w:val="000000" w:themeColor="text1"/>
                <w:spacing w:val="-5"/>
                <w:sz w:val="20"/>
                <w:szCs w:val="20"/>
                <w:lang w:val="fr-FR"/>
              </w:rPr>
              <w:t xml:space="preserve"> </w:t>
            </w:r>
            <w:r w:rsidRPr="0016301A">
              <w:rPr>
                <w:rFonts w:asciiTheme="minorHAnsi" w:hAnsiTheme="minorHAnsi" w:cstheme="minorHAnsi"/>
                <w:b/>
                <w:color w:val="000000" w:themeColor="text1"/>
                <w:sz w:val="20"/>
                <w:szCs w:val="20"/>
                <w:lang w:val="fr-FR"/>
              </w:rPr>
              <w:t>en</w:t>
            </w:r>
            <w:r w:rsidRPr="0016301A">
              <w:rPr>
                <w:rFonts w:asciiTheme="minorHAnsi" w:hAnsiTheme="minorHAnsi" w:cstheme="minorHAnsi"/>
                <w:b/>
                <w:color w:val="000000" w:themeColor="text1"/>
                <w:spacing w:val="-7"/>
                <w:sz w:val="20"/>
                <w:szCs w:val="20"/>
                <w:lang w:val="fr-FR"/>
              </w:rPr>
              <w:t xml:space="preserve"> </w:t>
            </w:r>
            <w:r w:rsidRPr="0016301A">
              <w:rPr>
                <w:rFonts w:asciiTheme="minorHAnsi" w:hAnsiTheme="minorHAnsi" w:cstheme="minorHAnsi"/>
                <w:b/>
                <w:color w:val="000000" w:themeColor="text1"/>
                <w:sz w:val="20"/>
                <w:szCs w:val="20"/>
                <w:lang w:val="fr-FR"/>
              </w:rPr>
              <w:t>financement</w:t>
            </w:r>
            <w:r w:rsidRPr="0016301A">
              <w:rPr>
                <w:rFonts w:asciiTheme="minorHAnsi" w:hAnsiTheme="minorHAnsi" w:cstheme="minorHAnsi"/>
                <w:b/>
                <w:color w:val="000000" w:themeColor="text1"/>
                <w:spacing w:val="-4"/>
                <w:sz w:val="20"/>
                <w:szCs w:val="20"/>
                <w:lang w:val="fr-FR"/>
              </w:rPr>
              <w:t xml:space="preserve"> </w:t>
            </w:r>
            <w:r w:rsidRPr="0016301A">
              <w:rPr>
                <w:rFonts w:asciiTheme="minorHAnsi" w:hAnsiTheme="minorHAnsi" w:cstheme="minorHAnsi"/>
                <w:b/>
                <w:color w:val="000000" w:themeColor="text1"/>
                <w:sz w:val="20"/>
                <w:szCs w:val="20"/>
                <w:lang w:val="fr-FR"/>
              </w:rPr>
              <w:t>(en</w:t>
            </w:r>
            <w:r w:rsidRPr="0016301A">
              <w:rPr>
                <w:rFonts w:asciiTheme="minorHAnsi" w:hAnsiTheme="minorHAnsi" w:cstheme="minorHAnsi"/>
                <w:b/>
                <w:color w:val="000000" w:themeColor="text1"/>
                <w:spacing w:val="-9"/>
                <w:sz w:val="20"/>
                <w:szCs w:val="20"/>
                <w:lang w:val="fr-FR"/>
              </w:rPr>
              <w:t xml:space="preserve"> </w:t>
            </w:r>
            <w:r w:rsidRPr="0016301A">
              <w:rPr>
                <w:rFonts w:asciiTheme="minorHAnsi" w:hAnsiTheme="minorHAnsi" w:cstheme="minorHAnsi"/>
                <w:b/>
                <w:color w:val="000000" w:themeColor="text1"/>
                <w:spacing w:val="-2"/>
                <w:sz w:val="20"/>
                <w:szCs w:val="20"/>
                <w:lang w:val="fr-FR"/>
              </w:rPr>
              <w:t>Millions</w:t>
            </w:r>
            <w:r>
              <w:rPr>
                <w:rFonts w:asciiTheme="minorHAnsi" w:hAnsiTheme="minorHAnsi" w:cstheme="minorHAnsi"/>
                <w:b/>
                <w:color w:val="000000" w:themeColor="text1"/>
                <w:sz w:val="20"/>
                <w:szCs w:val="20"/>
                <w:lang w:val="fr-FR"/>
              </w:rPr>
              <w:t xml:space="preserve"> </w:t>
            </w:r>
            <w:r w:rsidRPr="0016301A">
              <w:rPr>
                <w:rFonts w:asciiTheme="minorHAnsi" w:hAnsiTheme="minorHAnsi" w:cstheme="minorHAnsi"/>
                <w:b/>
                <w:color w:val="000000" w:themeColor="text1"/>
                <w:spacing w:val="-4"/>
                <w:sz w:val="20"/>
                <w:szCs w:val="20"/>
                <w:lang w:val="fr-FR"/>
              </w:rPr>
              <w:t>$US)</w:t>
            </w:r>
          </w:p>
        </w:tc>
      </w:tr>
      <w:tr w:rsidR="00412F22" w:rsidRPr="0016301A" w14:paraId="549059EB" w14:textId="77777777" w:rsidTr="00EE0E23">
        <w:trPr>
          <w:trHeight w:val="165"/>
          <w:jc w:val="center"/>
        </w:trPr>
        <w:tc>
          <w:tcPr>
            <w:tcW w:w="4678" w:type="dxa"/>
            <w:vMerge/>
            <w:tcBorders>
              <w:top w:val="nil"/>
            </w:tcBorders>
          </w:tcPr>
          <w:p w14:paraId="022DEBC4" w14:textId="77777777" w:rsidR="00412F22" w:rsidRPr="0016301A" w:rsidRDefault="00412F22" w:rsidP="00EE0E23">
            <w:pPr>
              <w:rPr>
                <w:rFonts w:cstheme="minorHAnsi"/>
                <w:color w:val="000000" w:themeColor="text1"/>
                <w:sz w:val="20"/>
                <w:szCs w:val="20"/>
                <w:lang w:val="fr-FR"/>
              </w:rPr>
            </w:pPr>
          </w:p>
        </w:tc>
        <w:tc>
          <w:tcPr>
            <w:tcW w:w="1843" w:type="dxa"/>
          </w:tcPr>
          <w:p w14:paraId="36BA828A" w14:textId="77777777" w:rsidR="00412F22" w:rsidRPr="0016301A" w:rsidRDefault="00412F22" w:rsidP="00EE0E23">
            <w:pPr>
              <w:pStyle w:val="TableParagraph"/>
              <w:spacing w:line="232" w:lineRule="exact"/>
              <w:ind w:left="16" w:right="5"/>
              <w:jc w:val="center"/>
              <w:rPr>
                <w:rFonts w:asciiTheme="minorHAnsi" w:hAnsiTheme="minorHAnsi" w:cstheme="minorHAnsi"/>
                <w:b/>
                <w:color w:val="000000" w:themeColor="text1"/>
                <w:sz w:val="20"/>
                <w:szCs w:val="20"/>
              </w:rPr>
            </w:pPr>
            <w:r w:rsidRPr="0016301A">
              <w:rPr>
                <w:rFonts w:asciiTheme="minorHAnsi" w:hAnsiTheme="minorHAnsi" w:cstheme="minorHAnsi"/>
                <w:b/>
                <w:color w:val="000000" w:themeColor="text1"/>
                <w:spacing w:val="-2"/>
                <w:sz w:val="20"/>
                <w:szCs w:val="20"/>
                <w:lang w:val="fr-FR"/>
              </w:rPr>
              <w:t>Inconditionnel</w:t>
            </w:r>
          </w:p>
        </w:tc>
        <w:tc>
          <w:tcPr>
            <w:tcW w:w="1559" w:type="dxa"/>
          </w:tcPr>
          <w:p w14:paraId="2C2EB4CA" w14:textId="77777777" w:rsidR="00412F22" w:rsidRPr="0016301A" w:rsidRDefault="00412F22" w:rsidP="00EE0E23">
            <w:pPr>
              <w:pStyle w:val="TableParagraph"/>
              <w:spacing w:line="232" w:lineRule="exact"/>
              <w:ind w:left="10" w:right="2"/>
              <w:jc w:val="center"/>
              <w:rPr>
                <w:rFonts w:asciiTheme="minorHAnsi" w:hAnsiTheme="minorHAnsi" w:cstheme="minorHAnsi"/>
                <w:b/>
                <w:color w:val="000000" w:themeColor="text1"/>
                <w:sz w:val="20"/>
                <w:szCs w:val="20"/>
              </w:rPr>
            </w:pPr>
            <w:r w:rsidRPr="0016301A">
              <w:rPr>
                <w:rFonts w:asciiTheme="minorHAnsi" w:hAnsiTheme="minorHAnsi" w:cstheme="minorHAnsi"/>
                <w:b/>
                <w:color w:val="000000" w:themeColor="text1"/>
                <w:spacing w:val="-2"/>
                <w:sz w:val="20"/>
                <w:szCs w:val="20"/>
                <w:lang w:val="fr-FR"/>
              </w:rPr>
              <w:t>Conditionnel</w:t>
            </w:r>
          </w:p>
        </w:tc>
        <w:tc>
          <w:tcPr>
            <w:tcW w:w="1696" w:type="dxa"/>
          </w:tcPr>
          <w:p w14:paraId="16DA6CE5" w14:textId="77777777" w:rsidR="00412F22" w:rsidRPr="0016301A" w:rsidRDefault="00412F22" w:rsidP="00EE0E23">
            <w:pPr>
              <w:pStyle w:val="TableParagraph"/>
              <w:spacing w:line="232" w:lineRule="exact"/>
              <w:ind w:left="15" w:right="2"/>
              <w:jc w:val="center"/>
              <w:rPr>
                <w:rFonts w:asciiTheme="minorHAnsi" w:hAnsiTheme="minorHAnsi" w:cstheme="minorHAnsi"/>
                <w:b/>
                <w:color w:val="000000" w:themeColor="text1"/>
                <w:sz w:val="20"/>
                <w:szCs w:val="20"/>
              </w:rPr>
            </w:pPr>
            <w:r w:rsidRPr="0016301A">
              <w:rPr>
                <w:rFonts w:asciiTheme="minorHAnsi" w:hAnsiTheme="minorHAnsi" w:cstheme="minorHAnsi"/>
                <w:b/>
                <w:color w:val="000000" w:themeColor="text1"/>
                <w:spacing w:val="-2"/>
                <w:sz w:val="20"/>
                <w:szCs w:val="20"/>
              </w:rPr>
              <w:t>Total</w:t>
            </w:r>
          </w:p>
        </w:tc>
      </w:tr>
      <w:tr w:rsidR="00412F22" w:rsidRPr="0016301A" w14:paraId="44405AA8" w14:textId="77777777" w:rsidTr="00EE0E23">
        <w:trPr>
          <w:trHeight w:val="254"/>
          <w:jc w:val="center"/>
        </w:trPr>
        <w:tc>
          <w:tcPr>
            <w:tcW w:w="4678" w:type="dxa"/>
          </w:tcPr>
          <w:p w14:paraId="40D66636" w14:textId="77777777" w:rsidR="00412F22" w:rsidRPr="0016301A" w:rsidRDefault="00412F22" w:rsidP="00EE0E23">
            <w:pPr>
              <w:pStyle w:val="TableParagraph"/>
              <w:spacing w:line="234" w:lineRule="exact"/>
              <w:ind w:left="107"/>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Agriculture</w:t>
            </w:r>
          </w:p>
        </w:tc>
        <w:tc>
          <w:tcPr>
            <w:tcW w:w="1843" w:type="dxa"/>
          </w:tcPr>
          <w:p w14:paraId="7C1BF749" w14:textId="77777777" w:rsidR="00412F22" w:rsidRPr="0016301A" w:rsidRDefault="00412F22" w:rsidP="00EE0E23">
            <w:pPr>
              <w:pStyle w:val="TableParagraph"/>
              <w:spacing w:line="234" w:lineRule="exact"/>
              <w:ind w:left="16"/>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56,04</w:t>
            </w:r>
          </w:p>
        </w:tc>
        <w:tc>
          <w:tcPr>
            <w:tcW w:w="1559" w:type="dxa"/>
          </w:tcPr>
          <w:p w14:paraId="57EAAB45" w14:textId="77777777" w:rsidR="00412F22" w:rsidRPr="0016301A" w:rsidRDefault="00412F22" w:rsidP="00EE0E23">
            <w:pPr>
              <w:pStyle w:val="TableParagraph"/>
              <w:spacing w:line="234" w:lineRule="exact"/>
              <w:ind w:left="10"/>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775,48</w:t>
            </w:r>
          </w:p>
        </w:tc>
        <w:tc>
          <w:tcPr>
            <w:tcW w:w="1696" w:type="dxa"/>
          </w:tcPr>
          <w:p w14:paraId="60B96ABA" w14:textId="77777777" w:rsidR="00412F22" w:rsidRPr="0016301A" w:rsidRDefault="00412F22" w:rsidP="00EE0E23">
            <w:pPr>
              <w:pStyle w:val="TableParagraph"/>
              <w:spacing w:line="234" w:lineRule="exact"/>
              <w:ind w:left="15" w:right="3"/>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831,52</w:t>
            </w:r>
          </w:p>
        </w:tc>
      </w:tr>
      <w:tr w:rsidR="00412F22" w:rsidRPr="0016301A" w14:paraId="0DF1E0FB" w14:textId="77777777" w:rsidTr="00EE0E23">
        <w:trPr>
          <w:trHeight w:val="97"/>
          <w:jc w:val="center"/>
        </w:trPr>
        <w:tc>
          <w:tcPr>
            <w:tcW w:w="4678" w:type="dxa"/>
          </w:tcPr>
          <w:p w14:paraId="73E2A6E2" w14:textId="77777777" w:rsidR="00412F22" w:rsidRPr="0016301A" w:rsidRDefault="00412F22" w:rsidP="00EE0E23">
            <w:pPr>
              <w:pStyle w:val="TableParagraph"/>
              <w:spacing w:line="232" w:lineRule="exact"/>
              <w:ind w:left="107"/>
              <w:rPr>
                <w:rFonts w:asciiTheme="minorHAnsi" w:hAnsiTheme="minorHAnsi" w:cstheme="minorHAnsi"/>
                <w:color w:val="000000" w:themeColor="text1"/>
                <w:sz w:val="20"/>
                <w:szCs w:val="20"/>
                <w:lang w:val="fr-FR"/>
              </w:rPr>
            </w:pPr>
            <w:r w:rsidRPr="0016301A">
              <w:rPr>
                <w:rFonts w:asciiTheme="minorHAnsi" w:hAnsiTheme="minorHAnsi" w:cstheme="minorHAnsi"/>
                <w:color w:val="000000" w:themeColor="text1"/>
                <w:spacing w:val="-2"/>
                <w:sz w:val="20"/>
                <w:szCs w:val="20"/>
                <w:lang w:val="fr-FR"/>
              </w:rPr>
              <w:t>Elevage</w:t>
            </w:r>
          </w:p>
        </w:tc>
        <w:tc>
          <w:tcPr>
            <w:tcW w:w="1843" w:type="dxa"/>
          </w:tcPr>
          <w:p w14:paraId="592933B8" w14:textId="77777777" w:rsidR="00412F22" w:rsidRPr="0016301A" w:rsidRDefault="00412F22" w:rsidP="00EE0E23">
            <w:pPr>
              <w:pStyle w:val="TableParagraph"/>
              <w:spacing w:line="232" w:lineRule="exact"/>
              <w:ind w:left="16"/>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41,28</w:t>
            </w:r>
          </w:p>
        </w:tc>
        <w:tc>
          <w:tcPr>
            <w:tcW w:w="1559" w:type="dxa"/>
          </w:tcPr>
          <w:p w14:paraId="1CB2115B" w14:textId="77777777" w:rsidR="00412F22" w:rsidRPr="0016301A" w:rsidRDefault="00412F22" w:rsidP="00EE0E23">
            <w:pPr>
              <w:pStyle w:val="TableParagraph"/>
              <w:spacing w:line="232" w:lineRule="exact"/>
              <w:ind w:left="10" w:right="3"/>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333,9</w:t>
            </w:r>
          </w:p>
        </w:tc>
        <w:tc>
          <w:tcPr>
            <w:tcW w:w="1696" w:type="dxa"/>
          </w:tcPr>
          <w:p w14:paraId="76509F08" w14:textId="77777777" w:rsidR="00412F22" w:rsidRPr="0016301A" w:rsidRDefault="00412F22" w:rsidP="00EE0E23">
            <w:pPr>
              <w:pStyle w:val="TableParagraph"/>
              <w:spacing w:line="232" w:lineRule="exact"/>
              <w:ind w:left="15" w:right="3"/>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375,18</w:t>
            </w:r>
          </w:p>
        </w:tc>
      </w:tr>
      <w:tr w:rsidR="00412F22" w:rsidRPr="0016301A" w14:paraId="201C80AE" w14:textId="77777777" w:rsidTr="00EE0E23">
        <w:trPr>
          <w:trHeight w:val="253"/>
          <w:jc w:val="center"/>
        </w:trPr>
        <w:tc>
          <w:tcPr>
            <w:tcW w:w="4678" w:type="dxa"/>
            <w:tcBorders>
              <w:bottom w:val="single" w:sz="4" w:space="0" w:color="auto"/>
            </w:tcBorders>
          </w:tcPr>
          <w:p w14:paraId="1350C664" w14:textId="77777777" w:rsidR="00412F22" w:rsidRPr="0016301A" w:rsidRDefault="00412F22" w:rsidP="00EE0E23">
            <w:pPr>
              <w:pStyle w:val="TableParagraph"/>
              <w:spacing w:before="2" w:line="232" w:lineRule="exact"/>
              <w:ind w:left="107"/>
              <w:rPr>
                <w:rFonts w:asciiTheme="minorHAnsi" w:hAnsiTheme="minorHAnsi" w:cstheme="minorHAnsi"/>
                <w:color w:val="000000" w:themeColor="text1"/>
                <w:sz w:val="20"/>
                <w:szCs w:val="20"/>
                <w:lang w:val="fr-FR"/>
              </w:rPr>
            </w:pPr>
            <w:r w:rsidRPr="0016301A">
              <w:rPr>
                <w:rFonts w:asciiTheme="minorHAnsi" w:hAnsiTheme="minorHAnsi" w:cstheme="minorHAnsi"/>
                <w:color w:val="000000" w:themeColor="text1"/>
                <w:spacing w:val="-2"/>
                <w:sz w:val="20"/>
                <w:szCs w:val="20"/>
                <w:lang w:val="fr-FR"/>
              </w:rPr>
              <w:t>Environnement</w:t>
            </w:r>
          </w:p>
        </w:tc>
        <w:tc>
          <w:tcPr>
            <w:tcW w:w="1843" w:type="dxa"/>
            <w:tcBorders>
              <w:bottom w:val="single" w:sz="4" w:space="0" w:color="auto"/>
            </w:tcBorders>
          </w:tcPr>
          <w:p w14:paraId="1CD7AF90" w14:textId="77777777" w:rsidR="00412F22" w:rsidRPr="0016301A" w:rsidRDefault="00412F22" w:rsidP="00EE0E23">
            <w:pPr>
              <w:pStyle w:val="TableParagraph"/>
              <w:spacing w:before="2" w:line="232" w:lineRule="exact"/>
              <w:ind w:left="16"/>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26,21</w:t>
            </w:r>
          </w:p>
        </w:tc>
        <w:tc>
          <w:tcPr>
            <w:tcW w:w="1559" w:type="dxa"/>
            <w:tcBorders>
              <w:bottom w:val="single" w:sz="4" w:space="0" w:color="auto"/>
            </w:tcBorders>
          </w:tcPr>
          <w:p w14:paraId="1976FADC" w14:textId="77777777" w:rsidR="00412F22" w:rsidRPr="0016301A" w:rsidRDefault="00412F22" w:rsidP="00EE0E23">
            <w:pPr>
              <w:pStyle w:val="TableParagraph"/>
              <w:spacing w:before="2" w:line="232" w:lineRule="exact"/>
              <w:ind w:left="10"/>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658,68</w:t>
            </w:r>
          </w:p>
        </w:tc>
        <w:tc>
          <w:tcPr>
            <w:tcW w:w="1696" w:type="dxa"/>
            <w:tcBorders>
              <w:bottom w:val="single" w:sz="4" w:space="0" w:color="auto"/>
            </w:tcBorders>
          </w:tcPr>
          <w:p w14:paraId="048291B5" w14:textId="77777777" w:rsidR="00412F22" w:rsidRPr="0016301A" w:rsidRDefault="00412F22" w:rsidP="00EE0E23">
            <w:pPr>
              <w:pStyle w:val="TableParagraph"/>
              <w:spacing w:before="2" w:line="232" w:lineRule="exact"/>
              <w:ind w:left="15" w:right="3"/>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684,89</w:t>
            </w:r>
          </w:p>
        </w:tc>
      </w:tr>
      <w:tr w:rsidR="00412F22" w:rsidRPr="0016301A" w14:paraId="5D243D26" w14:textId="77777777" w:rsidTr="00EE0E23">
        <w:trPr>
          <w:trHeight w:val="251"/>
          <w:jc w:val="center"/>
        </w:trPr>
        <w:tc>
          <w:tcPr>
            <w:tcW w:w="4678" w:type="dxa"/>
            <w:tcBorders>
              <w:top w:val="single" w:sz="4" w:space="0" w:color="auto"/>
              <w:left w:val="single" w:sz="4" w:space="0" w:color="auto"/>
              <w:bottom w:val="single" w:sz="4" w:space="0" w:color="auto"/>
              <w:right w:val="single" w:sz="4" w:space="0" w:color="auto"/>
            </w:tcBorders>
          </w:tcPr>
          <w:p w14:paraId="00816855" w14:textId="77777777" w:rsidR="00412F22" w:rsidRPr="0016301A" w:rsidRDefault="00412F22" w:rsidP="00EE0E23">
            <w:pPr>
              <w:pStyle w:val="TableParagraph"/>
              <w:spacing w:line="232" w:lineRule="exact"/>
              <w:ind w:left="107"/>
              <w:rPr>
                <w:rFonts w:asciiTheme="minorHAnsi" w:hAnsiTheme="minorHAnsi" w:cstheme="minorHAnsi"/>
                <w:color w:val="000000" w:themeColor="text1"/>
                <w:sz w:val="20"/>
                <w:szCs w:val="20"/>
                <w:lang w:val="fr-FR"/>
              </w:rPr>
            </w:pPr>
            <w:r w:rsidRPr="0016301A">
              <w:rPr>
                <w:rFonts w:asciiTheme="minorHAnsi" w:hAnsiTheme="minorHAnsi" w:cstheme="minorHAnsi"/>
                <w:color w:val="000000" w:themeColor="text1"/>
                <w:spacing w:val="-2"/>
                <w:sz w:val="20"/>
                <w:szCs w:val="20"/>
                <w:lang w:val="fr-FR"/>
              </w:rPr>
              <w:t>Pêche</w:t>
            </w:r>
          </w:p>
        </w:tc>
        <w:tc>
          <w:tcPr>
            <w:tcW w:w="1843" w:type="dxa"/>
            <w:tcBorders>
              <w:top w:val="single" w:sz="4" w:space="0" w:color="auto"/>
              <w:left w:val="single" w:sz="4" w:space="0" w:color="auto"/>
              <w:bottom w:val="single" w:sz="4" w:space="0" w:color="auto"/>
              <w:right w:val="single" w:sz="4" w:space="0" w:color="auto"/>
            </w:tcBorders>
          </w:tcPr>
          <w:p w14:paraId="7F8C458A" w14:textId="77777777" w:rsidR="00412F22" w:rsidRPr="0016301A" w:rsidRDefault="00412F22" w:rsidP="00EE0E23">
            <w:pPr>
              <w:pStyle w:val="TableParagraph"/>
              <w:spacing w:line="232" w:lineRule="exact"/>
              <w:ind w:left="16" w:right="3"/>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106,45</w:t>
            </w:r>
          </w:p>
        </w:tc>
        <w:tc>
          <w:tcPr>
            <w:tcW w:w="1559" w:type="dxa"/>
            <w:tcBorders>
              <w:top w:val="single" w:sz="4" w:space="0" w:color="auto"/>
              <w:left w:val="single" w:sz="4" w:space="0" w:color="auto"/>
              <w:bottom w:val="single" w:sz="4" w:space="0" w:color="auto"/>
              <w:right w:val="single" w:sz="4" w:space="0" w:color="auto"/>
            </w:tcBorders>
          </w:tcPr>
          <w:p w14:paraId="4354B5F8" w14:textId="77777777" w:rsidR="00412F22" w:rsidRPr="0016301A" w:rsidRDefault="00412F22" w:rsidP="00EE0E23">
            <w:pPr>
              <w:pStyle w:val="TableParagraph"/>
              <w:spacing w:line="232" w:lineRule="exact"/>
              <w:ind w:left="10"/>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763,88</w:t>
            </w:r>
          </w:p>
        </w:tc>
        <w:tc>
          <w:tcPr>
            <w:tcW w:w="1696" w:type="dxa"/>
            <w:tcBorders>
              <w:top w:val="single" w:sz="4" w:space="0" w:color="auto"/>
              <w:left w:val="single" w:sz="4" w:space="0" w:color="auto"/>
              <w:bottom w:val="single" w:sz="4" w:space="0" w:color="auto"/>
              <w:right w:val="single" w:sz="4" w:space="0" w:color="auto"/>
            </w:tcBorders>
          </w:tcPr>
          <w:p w14:paraId="23D5D39F" w14:textId="77777777" w:rsidR="00412F22" w:rsidRPr="0016301A" w:rsidRDefault="00412F22" w:rsidP="00EE0E23">
            <w:pPr>
              <w:pStyle w:val="TableParagraph"/>
              <w:spacing w:line="232" w:lineRule="exact"/>
              <w:ind w:left="15" w:right="3"/>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870,33</w:t>
            </w:r>
          </w:p>
        </w:tc>
      </w:tr>
      <w:tr w:rsidR="00412F22" w:rsidRPr="0016301A" w14:paraId="5BC39202" w14:textId="77777777" w:rsidTr="00EE0E23">
        <w:trPr>
          <w:trHeight w:val="254"/>
          <w:jc w:val="center"/>
        </w:trPr>
        <w:tc>
          <w:tcPr>
            <w:tcW w:w="4678" w:type="dxa"/>
            <w:tcBorders>
              <w:top w:val="single" w:sz="4" w:space="0" w:color="auto"/>
              <w:left w:val="single" w:sz="4" w:space="0" w:color="auto"/>
              <w:bottom w:val="single" w:sz="4" w:space="0" w:color="auto"/>
              <w:right w:val="single" w:sz="4" w:space="0" w:color="auto"/>
            </w:tcBorders>
          </w:tcPr>
          <w:p w14:paraId="524AB218" w14:textId="77777777" w:rsidR="00412F22" w:rsidRPr="0016301A" w:rsidRDefault="00412F22" w:rsidP="00EE0E23">
            <w:pPr>
              <w:pStyle w:val="TableParagraph"/>
              <w:spacing w:before="2" w:line="232" w:lineRule="exact"/>
              <w:ind w:left="107"/>
              <w:rPr>
                <w:rFonts w:asciiTheme="minorHAnsi" w:hAnsiTheme="minorHAnsi" w:cstheme="minorHAnsi"/>
                <w:color w:val="000000" w:themeColor="text1"/>
                <w:sz w:val="20"/>
                <w:szCs w:val="20"/>
                <w:lang w:val="fr-FR"/>
              </w:rPr>
            </w:pPr>
            <w:r w:rsidRPr="0016301A">
              <w:rPr>
                <w:rFonts w:asciiTheme="minorHAnsi" w:hAnsiTheme="minorHAnsi" w:cstheme="minorHAnsi"/>
                <w:color w:val="000000" w:themeColor="text1"/>
                <w:sz w:val="20"/>
                <w:szCs w:val="20"/>
                <w:lang w:val="fr-FR"/>
              </w:rPr>
              <w:t>Eau</w:t>
            </w:r>
            <w:r w:rsidRPr="0016301A">
              <w:rPr>
                <w:rFonts w:asciiTheme="minorHAnsi" w:hAnsiTheme="minorHAnsi" w:cstheme="minorHAnsi"/>
                <w:color w:val="000000" w:themeColor="text1"/>
                <w:spacing w:val="-1"/>
                <w:sz w:val="20"/>
                <w:szCs w:val="20"/>
                <w:lang w:val="fr-FR"/>
              </w:rPr>
              <w:t xml:space="preserve"> </w:t>
            </w:r>
            <w:r w:rsidRPr="0016301A">
              <w:rPr>
                <w:rFonts w:asciiTheme="minorHAnsi" w:hAnsiTheme="minorHAnsi" w:cstheme="minorHAnsi"/>
                <w:color w:val="000000" w:themeColor="text1"/>
                <w:sz w:val="20"/>
                <w:szCs w:val="20"/>
                <w:lang w:val="fr-FR"/>
              </w:rPr>
              <w:t>&amp;</w:t>
            </w:r>
            <w:r w:rsidRPr="0016301A">
              <w:rPr>
                <w:rFonts w:asciiTheme="minorHAnsi" w:hAnsiTheme="minorHAnsi" w:cstheme="minorHAnsi"/>
                <w:color w:val="000000" w:themeColor="text1"/>
                <w:spacing w:val="-1"/>
                <w:sz w:val="20"/>
                <w:szCs w:val="20"/>
                <w:lang w:val="fr-FR"/>
              </w:rPr>
              <w:t xml:space="preserve"> </w:t>
            </w:r>
            <w:r w:rsidRPr="0016301A">
              <w:rPr>
                <w:rFonts w:asciiTheme="minorHAnsi" w:hAnsiTheme="minorHAnsi" w:cstheme="minorHAnsi"/>
                <w:color w:val="000000" w:themeColor="text1"/>
                <w:spacing w:val="-2"/>
                <w:sz w:val="20"/>
                <w:szCs w:val="20"/>
                <w:lang w:val="fr-FR"/>
              </w:rPr>
              <w:t>Assainissement</w:t>
            </w:r>
          </w:p>
        </w:tc>
        <w:tc>
          <w:tcPr>
            <w:tcW w:w="1843" w:type="dxa"/>
            <w:tcBorders>
              <w:top w:val="single" w:sz="4" w:space="0" w:color="auto"/>
              <w:left w:val="single" w:sz="4" w:space="0" w:color="auto"/>
              <w:bottom w:val="single" w:sz="4" w:space="0" w:color="auto"/>
              <w:right w:val="single" w:sz="4" w:space="0" w:color="auto"/>
            </w:tcBorders>
          </w:tcPr>
          <w:p w14:paraId="169F3403" w14:textId="77777777" w:rsidR="00412F22" w:rsidRPr="0016301A" w:rsidRDefault="00412F22" w:rsidP="00EE0E23">
            <w:pPr>
              <w:pStyle w:val="TableParagraph"/>
              <w:spacing w:before="2" w:line="232" w:lineRule="exact"/>
              <w:ind w:left="16" w:right="3"/>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107,15</w:t>
            </w:r>
          </w:p>
        </w:tc>
        <w:tc>
          <w:tcPr>
            <w:tcW w:w="1559" w:type="dxa"/>
            <w:tcBorders>
              <w:top w:val="single" w:sz="4" w:space="0" w:color="auto"/>
              <w:left w:val="single" w:sz="4" w:space="0" w:color="auto"/>
              <w:bottom w:val="single" w:sz="4" w:space="0" w:color="auto"/>
              <w:right w:val="single" w:sz="4" w:space="0" w:color="auto"/>
            </w:tcBorders>
          </w:tcPr>
          <w:p w14:paraId="749B2324" w14:textId="77777777" w:rsidR="00412F22" w:rsidRPr="0016301A" w:rsidRDefault="00412F22" w:rsidP="00EE0E23">
            <w:pPr>
              <w:pStyle w:val="TableParagraph"/>
              <w:spacing w:before="2" w:line="232" w:lineRule="exact"/>
              <w:ind w:left="10" w:right="2"/>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4005,09</w:t>
            </w:r>
          </w:p>
        </w:tc>
        <w:tc>
          <w:tcPr>
            <w:tcW w:w="1696" w:type="dxa"/>
            <w:tcBorders>
              <w:top w:val="single" w:sz="4" w:space="0" w:color="auto"/>
              <w:left w:val="single" w:sz="4" w:space="0" w:color="auto"/>
              <w:bottom w:val="single" w:sz="4" w:space="0" w:color="auto"/>
              <w:right w:val="single" w:sz="4" w:space="0" w:color="auto"/>
            </w:tcBorders>
          </w:tcPr>
          <w:p w14:paraId="7EA003ED" w14:textId="77777777" w:rsidR="00412F22" w:rsidRPr="0016301A" w:rsidRDefault="00412F22" w:rsidP="00EE0E23">
            <w:pPr>
              <w:pStyle w:val="TableParagraph"/>
              <w:spacing w:before="2" w:line="232" w:lineRule="exact"/>
              <w:ind w:left="15"/>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4112,24</w:t>
            </w:r>
          </w:p>
        </w:tc>
      </w:tr>
      <w:tr w:rsidR="00412F22" w:rsidRPr="0016301A" w14:paraId="647A8A0A" w14:textId="77777777" w:rsidTr="00EE0E23">
        <w:trPr>
          <w:trHeight w:val="254"/>
          <w:jc w:val="center"/>
        </w:trPr>
        <w:tc>
          <w:tcPr>
            <w:tcW w:w="4678" w:type="dxa"/>
            <w:tcBorders>
              <w:top w:val="single" w:sz="4" w:space="0" w:color="auto"/>
              <w:left w:val="single" w:sz="4" w:space="0" w:color="auto"/>
              <w:bottom w:val="single" w:sz="4" w:space="0" w:color="auto"/>
              <w:right w:val="single" w:sz="4" w:space="0" w:color="auto"/>
            </w:tcBorders>
          </w:tcPr>
          <w:p w14:paraId="78C53AC1" w14:textId="77777777" w:rsidR="00412F22" w:rsidRPr="0016301A" w:rsidRDefault="00412F22" w:rsidP="00EE0E23">
            <w:pPr>
              <w:pStyle w:val="TableParagraph"/>
              <w:spacing w:line="252" w:lineRule="exact"/>
              <w:ind w:left="107"/>
              <w:rPr>
                <w:rFonts w:asciiTheme="minorHAnsi" w:hAnsiTheme="minorHAnsi" w:cstheme="minorHAnsi"/>
                <w:color w:val="000000" w:themeColor="text1"/>
                <w:sz w:val="20"/>
                <w:szCs w:val="20"/>
                <w:lang w:val="fr-FR"/>
              </w:rPr>
            </w:pPr>
            <w:r w:rsidRPr="0016301A">
              <w:rPr>
                <w:rFonts w:asciiTheme="minorHAnsi" w:hAnsiTheme="minorHAnsi" w:cstheme="minorHAnsi"/>
                <w:color w:val="000000" w:themeColor="text1"/>
                <w:sz w:val="20"/>
                <w:szCs w:val="20"/>
                <w:lang w:val="fr-FR"/>
              </w:rPr>
              <w:t>Habitat,</w:t>
            </w:r>
            <w:r w:rsidRPr="0016301A">
              <w:rPr>
                <w:rFonts w:asciiTheme="minorHAnsi" w:hAnsiTheme="minorHAnsi" w:cstheme="minorHAnsi"/>
                <w:color w:val="000000" w:themeColor="text1"/>
                <w:spacing w:val="80"/>
                <w:sz w:val="20"/>
                <w:szCs w:val="20"/>
                <w:lang w:val="fr-FR"/>
              </w:rPr>
              <w:t xml:space="preserve"> </w:t>
            </w:r>
            <w:r w:rsidRPr="0016301A">
              <w:rPr>
                <w:rFonts w:asciiTheme="minorHAnsi" w:hAnsiTheme="minorHAnsi" w:cstheme="minorHAnsi"/>
                <w:color w:val="000000" w:themeColor="text1"/>
                <w:sz w:val="20"/>
                <w:szCs w:val="20"/>
                <w:lang w:val="fr-FR"/>
              </w:rPr>
              <w:t>Urbanisme</w:t>
            </w:r>
            <w:r w:rsidRPr="0016301A">
              <w:rPr>
                <w:rFonts w:asciiTheme="minorHAnsi" w:hAnsiTheme="minorHAnsi" w:cstheme="minorHAnsi"/>
                <w:color w:val="000000" w:themeColor="text1"/>
                <w:spacing w:val="80"/>
                <w:sz w:val="20"/>
                <w:szCs w:val="20"/>
                <w:lang w:val="fr-FR"/>
              </w:rPr>
              <w:t xml:space="preserve"> </w:t>
            </w:r>
            <w:r w:rsidRPr="0016301A">
              <w:rPr>
                <w:rFonts w:asciiTheme="minorHAnsi" w:hAnsiTheme="minorHAnsi" w:cstheme="minorHAnsi"/>
                <w:color w:val="000000" w:themeColor="text1"/>
                <w:sz w:val="20"/>
                <w:szCs w:val="20"/>
                <w:lang w:val="fr-FR"/>
              </w:rPr>
              <w:t>et</w:t>
            </w:r>
            <w:r w:rsidRPr="0016301A">
              <w:rPr>
                <w:rFonts w:asciiTheme="minorHAnsi" w:hAnsiTheme="minorHAnsi" w:cstheme="minorHAnsi"/>
                <w:color w:val="000000" w:themeColor="text1"/>
                <w:spacing w:val="80"/>
                <w:sz w:val="20"/>
                <w:szCs w:val="20"/>
                <w:lang w:val="fr-FR"/>
              </w:rPr>
              <w:t xml:space="preserve"> </w:t>
            </w:r>
            <w:r w:rsidRPr="0016301A">
              <w:rPr>
                <w:rFonts w:asciiTheme="minorHAnsi" w:hAnsiTheme="minorHAnsi" w:cstheme="minorHAnsi"/>
                <w:color w:val="000000" w:themeColor="text1"/>
                <w:sz w:val="20"/>
                <w:szCs w:val="20"/>
                <w:lang w:val="fr-FR"/>
              </w:rPr>
              <w:t>Aménagement</w:t>
            </w:r>
            <w:r w:rsidRPr="0016301A">
              <w:rPr>
                <w:rFonts w:asciiTheme="minorHAnsi" w:hAnsiTheme="minorHAnsi" w:cstheme="minorHAnsi"/>
                <w:color w:val="000000" w:themeColor="text1"/>
                <w:spacing w:val="80"/>
                <w:sz w:val="20"/>
                <w:szCs w:val="20"/>
                <w:lang w:val="fr-FR"/>
              </w:rPr>
              <w:t xml:space="preserve"> </w:t>
            </w:r>
            <w:r w:rsidRPr="0016301A">
              <w:rPr>
                <w:rFonts w:asciiTheme="minorHAnsi" w:hAnsiTheme="minorHAnsi" w:cstheme="minorHAnsi"/>
                <w:color w:val="000000" w:themeColor="text1"/>
                <w:sz w:val="20"/>
                <w:szCs w:val="20"/>
                <w:lang w:val="fr-FR"/>
              </w:rPr>
              <w:t xml:space="preserve">du </w:t>
            </w:r>
            <w:r w:rsidRPr="0016301A">
              <w:rPr>
                <w:rFonts w:asciiTheme="minorHAnsi" w:hAnsiTheme="minorHAnsi" w:cstheme="minorHAnsi"/>
                <w:color w:val="000000" w:themeColor="text1"/>
                <w:spacing w:val="-2"/>
                <w:sz w:val="20"/>
                <w:szCs w:val="20"/>
                <w:lang w:val="fr-FR"/>
              </w:rPr>
              <w:t>Territoire</w:t>
            </w:r>
          </w:p>
        </w:tc>
        <w:tc>
          <w:tcPr>
            <w:tcW w:w="1843" w:type="dxa"/>
            <w:tcBorders>
              <w:top w:val="single" w:sz="4" w:space="0" w:color="auto"/>
              <w:left w:val="single" w:sz="4" w:space="0" w:color="auto"/>
              <w:bottom w:val="single" w:sz="4" w:space="0" w:color="auto"/>
              <w:right w:val="single" w:sz="4" w:space="0" w:color="auto"/>
            </w:tcBorders>
          </w:tcPr>
          <w:p w14:paraId="416BEAC2" w14:textId="77777777" w:rsidR="00412F22" w:rsidRPr="0016301A" w:rsidRDefault="00412F22" w:rsidP="00EE0E23">
            <w:pPr>
              <w:pStyle w:val="TableParagraph"/>
              <w:spacing w:before="2"/>
              <w:ind w:left="16"/>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65,77</w:t>
            </w:r>
          </w:p>
        </w:tc>
        <w:tc>
          <w:tcPr>
            <w:tcW w:w="1559" w:type="dxa"/>
            <w:tcBorders>
              <w:top w:val="single" w:sz="4" w:space="0" w:color="auto"/>
              <w:left w:val="single" w:sz="4" w:space="0" w:color="auto"/>
              <w:bottom w:val="single" w:sz="4" w:space="0" w:color="auto"/>
              <w:right w:val="single" w:sz="4" w:space="0" w:color="auto"/>
            </w:tcBorders>
          </w:tcPr>
          <w:p w14:paraId="6419FD00" w14:textId="77777777" w:rsidR="00412F22" w:rsidRPr="0016301A" w:rsidRDefault="00412F22" w:rsidP="00EE0E23">
            <w:pPr>
              <w:pStyle w:val="TableParagraph"/>
              <w:spacing w:before="2"/>
              <w:ind w:left="10"/>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3407,6</w:t>
            </w:r>
          </w:p>
        </w:tc>
        <w:tc>
          <w:tcPr>
            <w:tcW w:w="1696" w:type="dxa"/>
            <w:tcBorders>
              <w:top w:val="single" w:sz="4" w:space="0" w:color="auto"/>
              <w:left w:val="single" w:sz="4" w:space="0" w:color="auto"/>
              <w:bottom w:val="single" w:sz="4" w:space="0" w:color="auto"/>
              <w:right w:val="single" w:sz="4" w:space="0" w:color="auto"/>
            </w:tcBorders>
          </w:tcPr>
          <w:p w14:paraId="540BD1C0" w14:textId="77777777" w:rsidR="00412F22" w:rsidRPr="0016301A" w:rsidRDefault="00412F22" w:rsidP="00EE0E23">
            <w:pPr>
              <w:pStyle w:val="TableParagraph"/>
              <w:spacing w:before="2"/>
              <w:ind w:left="15"/>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3473,37</w:t>
            </w:r>
          </w:p>
        </w:tc>
      </w:tr>
      <w:tr w:rsidR="00412F22" w:rsidRPr="0016301A" w14:paraId="2A1C1DFB" w14:textId="77777777" w:rsidTr="00EE0E23">
        <w:trPr>
          <w:trHeight w:val="254"/>
          <w:jc w:val="center"/>
        </w:trPr>
        <w:tc>
          <w:tcPr>
            <w:tcW w:w="4678" w:type="dxa"/>
            <w:tcBorders>
              <w:top w:val="single" w:sz="4" w:space="0" w:color="auto"/>
              <w:left w:val="single" w:sz="4" w:space="0" w:color="auto"/>
              <w:bottom w:val="single" w:sz="4" w:space="0" w:color="auto"/>
              <w:right w:val="single" w:sz="4" w:space="0" w:color="auto"/>
            </w:tcBorders>
          </w:tcPr>
          <w:p w14:paraId="4C0E92ED" w14:textId="77777777" w:rsidR="00412F22" w:rsidRPr="0016301A" w:rsidRDefault="00412F22" w:rsidP="00EE0E23">
            <w:pPr>
              <w:pStyle w:val="TableParagraph"/>
              <w:spacing w:before="2" w:line="232" w:lineRule="exact"/>
              <w:ind w:left="107"/>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4"/>
                <w:sz w:val="20"/>
                <w:szCs w:val="20"/>
              </w:rPr>
              <w:t>Santé</w:t>
            </w:r>
          </w:p>
        </w:tc>
        <w:tc>
          <w:tcPr>
            <w:tcW w:w="1843" w:type="dxa"/>
            <w:tcBorders>
              <w:top w:val="single" w:sz="4" w:space="0" w:color="auto"/>
              <w:left w:val="single" w:sz="4" w:space="0" w:color="auto"/>
              <w:bottom w:val="single" w:sz="4" w:space="0" w:color="auto"/>
              <w:right w:val="single" w:sz="4" w:space="0" w:color="auto"/>
            </w:tcBorders>
          </w:tcPr>
          <w:p w14:paraId="66275A26" w14:textId="77777777" w:rsidR="00412F22" w:rsidRPr="0016301A" w:rsidRDefault="00412F22" w:rsidP="00EE0E23">
            <w:pPr>
              <w:pStyle w:val="TableParagraph"/>
              <w:spacing w:before="2" w:line="232" w:lineRule="exact"/>
              <w:ind w:left="16"/>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48,93</w:t>
            </w:r>
          </w:p>
        </w:tc>
        <w:tc>
          <w:tcPr>
            <w:tcW w:w="1559" w:type="dxa"/>
            <w:tcBorders>
              <w:top w:val="single" w:sz="4" w:space="0" w:color="auto"/>
              <w:left w:val="single" w:sz="4" w:space="0" w:color="auto"/>
              <w:bottom w:val="single" w:sz="4" w:space="0" w:color="auto"/>
              <w:right w:val="single" w:sz="4" w:space="0" w:color="auto"/>
            </w:tcBorders>
          </w:tcPr>
          <w:p w14:paraId="0EBA4BA9" w14:textId="77777777" w:rsidR="00412F22" w:rsidRPr="0016301A" w:rsidRDefault="00412F22" w:rsidP="00EE0E23">
            <w:pPr>
              <w:pStyle w:val="TableParagraph"/>
              <w:spacing w:before="2" w:line="232" w:lineRule="exact"/>
              <w:ind w:left="10" w:right="5"/>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5"/>
                <w:sz w:val="20"/>
                <w:szCs w:val="20"/>
              </w:rPr>
              <w:t>230</w:t>
            </w:r>
          </w:p>
        </w:tc>
        <w:tc>
          <w:tcPr>
            <w:tcW w:w="1696" w:type="dxa"/>
            <w:tcBorders>
              <w:top w:val="single" w:sz="4" w:space="0" w:color="auto"/>
              <w:left w:val="single" w:sz="4" w:space="0" w:color="auto"/>
              <w:bottom w:val="single" w:sz="4" w:space="0" w:color="auto"/>
              <w:right w:val="single" w:sz="4" w:space="0" w:color="auto"/>
            </w:tcBorders>
          </w:tcPr>
          <w:p w14:paraId="1BF53C6F" w14:textId="77777777" w:rsidR="00412F22" w:rsidRPr="0016301A" w:rsidRDefault="00412F22" w:rsidP="00EE0E23">
            <w:pPr>
              <w:pStyle w:val="TableParagraph"/>
              <w:spacing w:before="2" w:line="232" w:lineRule="exact"/>
              <w:ind w:left="15" w:right="3"/>
              <w:jc w:val="center"/>
              <w:rPr>
                <w:rFonts w:asciiTheme="minorHAnsi" w:hAnsiTheme="minorHAnsi" w:cstheme="minorHAnsi"/>
                <w:color w:val="000000" w:themeColor="text1"/>
                <w:sz w:val="20"/>
                <w:szCs w:val="20"/>
              </w:rPr>
            </w:pPr>
            <w:r w:rsidRPr="0016301A">
              <w:rPr>
                <w:rFonts w:asciiTheme="minorHAnsi" w:hAnsiTheme="minorHAnsi" w:cstheme="minorHAnsi"/>
                <w:color w:val="000000" w:themeColor="text1"/>
                <w:spacing w:val="-2"/>
                <w:sz w:val="20"/>
                <w:szCs w:val="20"/>
              </w:rPr>
              <w:t>278,93</w:t>
            </w:r>
          </w:p>
        </w:tc>
      </w:tr>
      <w:tr w:rsidR="00412F22" w:rsidRPr="00387007" w14:paraId="1C335782" w14:textId="77777777" w:rsidTr="00EE0E23">
        <w:trPr>
          <w:trHeight w:val="254"/>
          <w:jc w:val="center"/>
        </w:trPr>
        <w:tc>
          <w:tcPr>
            <w:tcW w:w="4678" w:type="dxa"/>
            <w:tcBorders>
              <w:top w:val="single" w:sz="4" w:space="0" w:color="auto"/>
              <w:left w:val="single" w:sz="4" w:space="0" w:color="auto"/>
              <w:bottom w:val="single" w:sz="4" w:space="0" w:color="auto"/>
              <w:right w:val="single" w:sz="4" w:space="0" w:color="auto"/>
            </w:tcBorders>
          </w:tcPr>
          <w:p w14:paraId="13B6EDBE" w14:textId="77777777" w:rsidR="00412F22" w:rsidRPr="00387007" w:rsidRDefault="00412F22" w:rsidP="00EE0E23">
            <w:pPr>
              <w:pStyle w:val="TableParagraph"/>
              <w:spacing w:line="234" w:lineRule="exact"/>
              <w:ind w:left="107"/>
              <w:rPr>
                <w:rFonts w:asciiTheme="minorHAnsi" w:hAnsiTheme="minorHAnsi" w:cstheme="minorHAnsi"/>
                <w:b/>
                <w:bCs/>
                <w:color w:val="000000" w:themeColor="text1"/>
                <w:sz w:val="20"/>
                <w:szCs w:val="20"/>
              </w:rPr>
            </w:pPr>
            <w:r w:rsidRPr="00387007">
              <w:rPr>
                <w:rFonts w:asciiTheme="minorHAnsi" w:hAnsiTheme="minorHAnsi" w:cstheme="minorHAnsi"/>
                <w:b/>
                <w:bCs/>
                <w:color w:val="000000" w:themeColor="text1"/>
                <w:spacing w:val="-2"/>
                <w:sz w:val="20"/>
                <w:szCs w:val="20"/>
              </w:rPr>
              <w:t>TOTAL</w:t>
            </w:r>
          </w:p>
        </w:tc>
        <w:tc>
          <w:tcPr>
            <w:tcW w:w="1843" w:type="dxa"/>
            <w:tcBorders>
              <w:top w:val="single" w:sz="4" w:space="0" w:color="auto"/>
              <w:left w:val="single" w:sz="4" w:space="0" w:color="auto"/>
              <w:bottom w:val="single" w:sz="4" w:space="0" w:color="auto"/>
              <w:right w:val="single" w:sz="4" w:space="0" w:color="auto"/>
            </w:tcBorders>
          </w:tcPr>
          <w:p w14:paraId="6BCB5768" w14:textId="77777777" w:rsidR="00412F22" w:rsidRPr="00387007" w:rsidRDefault="00412F22" w:rsidP="00EE0E23">
            <w:pPr>
              <w:pStyle w:val="TableParagraph"/>
              <w:spacing w:line="234" w:lineRule="exact"/>
              <w:ind w:left="16" w:right="3"/>
              <w:jc w:val="center"/>
              <w:rPr>
                <w:rFonts w:asciiTheme="minorHAnsi" w:hAnsiTheme="minorHAnsi" w:cstheme="minorHAnsi"/>
                <w:b/>
                <w:bCs/>
                <w:color w:val="000000" w:themeColor="text1"/>
                <w:sz w:val="20"/>
                <w:szCs w:val="20"/>
              </w:rPr>
            </w:pPr>
            <w:r w:rsidRPr="00387007">
              <w:rPr>
                <w:rFonts w:asciiTheme="minorHAnsi" w:hAnsiTheme="minorHAnsi" w:cstheme="minorHAnsi"/>
                <w:b/>
                <w:bCs/>
                <w:color w:val="000000" w:themeColor="text1"/>
                <w:spacing w:val="-2"/>
                <w:sz w:val="20"/>
                <w:szCs w:val="20"/>
              </w:rPr>
              <w:t>451,83</w:t>
            </w:r>
          </w:p>
        </w:tc>
        <w:tc>
          <w:tcPr>
            <w:tcW w:w="1559" w:type="dxa"/>
            <w:tcBorders>
              <w:top w:val="single" w:sz="4" w:space="0" w:color="auto"/>
              <w:left w:val="single" w:sz="4" w:space="0" w:color="auto"/>
              <w:bottom w:val="single" w:sz="4" w:space="0" w:color="auto"/>
              <w:right w:val="single" w:sz="4" w:space="0" w:color="auto"/>
            </w:tcBorders>
          </w:tcPr>
          <w:p w14:paraId="72E51243" w14:textId="77777777" w:rsidR="00412F22" w:rsidRPr="00387007" w:rsidRDefault="00412F22" w:rsidP="00EE0E23">
            <w:pPr>
              <w:pStyle w:val="TableParagraph"/>
              <w:spacing w:line="234" w:lineRule="exact"/>
              <w:ind w:left="10"/>
              <w:jc w:val="center"/>
              <w:rPr>
                <w:rFonts w:asciiTheme="minorHAnsi" w:hAnsiTheme="minorHAnsi" w:cstheme="minorHAnsi"/>
                <w:b/>
                <w:bCs/>
                <w:color w:val="000000" w:themeColor="text1"/>
                <w:sz w:val="20"/>
                <w:szCs w:val="20"/>
              </w:rPr>
            </w:pPr>
            <w:r w:rsidRPr="00387007">
              <w:rPr>
                <w:rFonts w:asciiTheme="minorHAnsi" w:hAnsiTheme="minorHAnsi" w:cstheme="minorHAnsi"/>
                <w:b/>
                <w:bCs/>
                <w:color w:val="000000" w:themeColor="text1"/>
                <w:spacing w:val="-2"/>
                <w:sz w:val="20"/>
                <w:szCs w:val="20"/>
              </w:rPr>
              <w:t>10 174,63</w:t>
            </w:r>
          </w:p>
        </w:tc>
        <w:tc>
          <w:tcPr>
            <w:tcW w:w="1696" w:type="dxa"/>
            <w:tcBorders>
              <w:top w:val="single" w:sz="4" w:space="0" w:color="auto"/>
              <w:left w:val="single" w:sz="4" w:space="0" w:color="auto"/>
              <w:bottom w:val="single" w:sz="4" w:space="0" w:color="auto"/>
              <w:right w:val="single" w:sz="4" w:space="0" w:color="auto"/>
            </w:tcBorders>
          </w:tcPr>
          <w:p w14:paraId="58FA7A51" w14:textId="77777777" w:rsidR="00412F22" w:rsidRPr="00387007" w:rsidRDefault="00412F22" w:rsidP="00EE0E23">
            <w:pPr>
              <w:pStyle w:val="TableParagraph"/>
              <w:spacing w:line="234" w:lineRule="exact"/>
              <w:ind w:left="15" w:right="2"/>
              <w:jc w:val="center"/>
              <w:rPr>
                <w:rFonts w:asciiTheme="minorHAnsi" w:hAnsiTheme="minorHAnsi" w:cstheme="minorHAnsi"/>
                <w:b/>
                <w:bCs/>
                <w:color w:val="000000" w:themeColor="text1"/>
                <w:sz w:val="20"/>
                <w:szCs w:val="20"/>
              </w:rPr>
            </w:pPr>
            <w:r w:rsidRPr="00387007">
              <w:rPr>
                <w:rFonts w:asciiTheme="minorHAnsi" w:hAnsiTheme="minorHAnsi" w:cstheme="minorHAnsi"/>
                <w:b/>
                <w:bCs/>
                <w:color w:val="000000" w:themeColor="text1"/>
                <w:spacing w:val="-2"/>
                <w:sz w:val="20"/>
                <w:szCs w:val="20"/>
              </w:rPr>
              <w:t>10 626,46</w:t>
            </w:r>
          </w:p>
        </w:tc>
      </w:tr>
    </w:tbl>
    <w:p w14:paraId="78B0E725" w14:textId="77777777" w:rsidR="00412F22" w:rsidRPr="0016301A" w:rsidRDefault="00412F22" w:rsidP="00412F22">
      <w:pPr>
        <w:shd w:val="clear" w:color="auto" w:fill="FFF2CC" w:themeFill="accent4" w:themeFillTint="33"/>
        <w:spacing w:line="276" w:lineRule="auto"/>
        <w:ind w:right="-188"/>
        <w:jc w:val="both"/>
        <w:rPr>
          <w:rFonts w:cstheme="minorHAnsi"/>
          <w:color w:val="000000" w:themeColor="text1"/>
        </w:rPr>
      </w:pPr>
      <w:r w:rsidRPr="0016301A">
        <w:rPr>
          <w:rFonts w:cstheme="minorHAnsi"/>
          <w:color w:val="000000" w:themeColor="text1"/>
        </w:rPr>
        <w:t xml:space="preserve">Les </w:t>
      </w:r>
      <w:r w:rsidRPr="0016301A">
        <w:rPr>
          <w:rFonts w:cstheme="minorHAnsi"/>
          <w:b/>
          <w:bCs/>
          <w:color w:val="000000" w:themeColor="text1"/>
        </w:rPr>
        <w:t>besoins en financement de l’adaptation</w:t>
      </w:r>
      <w:r>
        <w:rPr>
          <w:rFonts w:cstheme="minorHAnsi"/>
          <w:b/>
          <w:bCs/>
          <w:color w:val="000000" w:themeColor="text1"/>
        </w:rPr>
        <w:t>,</w:t>
      </w:r>
      <w:r w:rsidRPr="0016301A">
        <w:rPr>
          <w:rFonts w:cstheme="minorHAnsi"/>
          <w:color w:val="000000" w:themeColor="text1"/>
        </w:rPr>
        <w:t xml:space="preserve"> exprimés dans l</w:t>
      </w:r>
      <w:r>
        <w:rPr>
          <w:rFonts w:cstheme="minorHAnsi"/>
          <w:color w:val="000000" w:themeColor="text1"/>
        </w:rPr>
        <w:t>a</w:t>
      </w:r>
      <w:r w:rsidRPr="0016301A">
        <w:rPr>
          <w:rFonts w:cstheme="minorHAnsi"/>
          <w:color w:val="000000" w:themeColor="text1"/>
        </w:rPr>
        <w:t xml:space="preserve"> CDN pour la période 2021- 2030 (10 ans) sont d’environ 10 626 Millions de dollars, soit </w:t>
      </w:r>
      <w:r w:rsidRPr="000D371B">
        <w:rPr>
          <w:rFonts w:cstheme="minorHAnsi"/>
          <w:b/>
          <w:bCs/>
          <w:color w:val="000099"/>
        </w:rPr>
        <w:t>1 063 Millions de dollar par an</w:t>
      </w:r>
      <w:r w:rsidRPr="0016301A">
        <w:rPr>
          <w:rFonts w:cstheme="minorHAnsi"/>
          <w:color w:val="000000" w:themeColor="text1"/>
        </w:rPr>
        <w:t xml:space="preserve">. </w:t>
      </w:r>
    </w:p>
    <w:p w14:paraId="35A07D3D" w14:textId="77777777" w:rsidR="00412F22" w:rsidRPr="0016301A" w:rsidRDefault="00412F22" w:rsidP="00412F22">
      <w:pPr>
        <w:ind w:right="-188"/>
        <w:jc w:val="both"/>
        <w:rPr>
          <w:rFonts w:cstheme="minorHAnsi"/>
          <w:color w:val="000000" w:themeColor="text1"/>
        </w:rPr>
      </w:pPr>
      <w:r w:rsidRPr="0016301A">
        <w:rPr>
          <w:rFonts w:cstheme="minorHAnsi"/>
          <w:color w:val="000000" w:themeColor="text1"/>
        </w:rPr>
        <w:t>Le récapitulatif de compensation ci-dessus pour la période 2024 - 2050 (27 ans), indique 50 352 Millions de dollars pour le scénario A2 et 46 878 Millions de dollars pour le scénario B2, soit 1 864 Millions de dollars par an pour l’adaptation dans le scénario A2 et 1 736 Millions de dollar</w:t>
      </w:r>
      <w:r>
        <w:rPr>
          <w:rFonts w:cstheme="minorHAnsi"/>
          <w:color w:val="000000" w:themeColor="text1"/>
        </w:rPr>
        <w:t xml:space="preserve">s </w:t>
      </w:r>
      <w:r w:rsidRPr="0016301A">
        <w:rPr>
          <w:rFonts w:cstheme="minorHAnsi"/>
          <w:color w:val="000000" w:themeColor="text1"/>
        </w:rPr>
        <w:t xml:space="preserve">par </w:t>
      </w:r>
      <w:r>
        <w:rPr>
          <w:rFonts w:cstheme="minorHAnsi"/>
          <w:color w:val="000000" w:themeColor="text1"/>
        </w:rPr>
        <w:t xml:space="preserve">an </w:t>
      </w:r>
      <w:r w:rsidRPr="0016301A">
        <w:rPr>
          <w:rFonts w:cstheme="minorHAnsi"/>
          <w:color w:val="000000" w:themeColor="text1"/>
        </w:rPr>
        <w:t xml:space="preserve">pour l’adaptation dans le scénario B2.   </w:t>
      </w:r>
    </w:p>
    <w:p w14:paraId="68F15E4E" w14:textId="77777777" w:rsidR="00412F22" w:rsidRPr="00007A96" w:rsidRDefault="00412F22" w:rsidP="00412F22">
      <w:pPr>
        <w:jc w:val="both"/>
        <w:rPr>
          <w:rFonts w:cstheme="minorHAnsi"/>
          <w:color w:val="000000" w:themeColor="text1"/>
          <w:sz w:val="10"/>
          <w:szCs w:val="10"/>
        </w:rPr>
      </w:pPr>
    </w:p>
    <w:p w14:paraId="0EBBCBAD" w14:textId="77777777" w:rsidR="00412F22" w:rsidRPr="0016301A" w:rsidRDefault="00412F22" w:rsidP="00412F22">
      <w:pPr>
        <w:ind w:right="-188"/>
        <w:jc w:val="both"/>
        <w:rPr>
          <w:rFonts w:cstheme="minorHAnsi"/>
          <w:color w:val="000000" w:themeColor="text1"/>
        </w:rPr>
      </w:pPr>
      <w:r w:rsidRPr="0016301A">
        <w:rPr>
          <w:rFonts w:cstheme="minorHAnsi"/>
          <w:color w:val="000000" w:themeColor="text1"/>
        </w:rPr>
        <w:t>Etant donné que ces montants ont été calculés sur la base d’une adaptation, indépendamment des mesures d’</w:t>
      </w:r>
      <w:r>
        <w:rPr>
          <w:rFonts w:cstheme="minorHAnsi"/>
          <w:color w:val="000000" w:themeColor="text1"/>
        </w:rPr>
        <w:t>atténuation</w:t>
      </w:r>
      <w:r w:rsidRPr="0016301A">
        <w:rPr>
          <w:rFonts w:cstheme="minorHAnsi"/>
          <w:color w:val="000000" w:themeColor="text1"/>
        </w:rPr>
        <w:t xml:space="preserve">, il peut être considéré </w:t>
      </w:r>
      <w:r>
        <w:rPr>
          <w:rFonts w:cstheme="minorHAnsi"/>
          <w:color w:val="000000" w:themeColor="text1"/>
        </w:rPr>
        <w:t>qu’ils</w:t>
      </w:r>
      <w:r w:rsidRPr="0016301A">
        <w:rPr>
          <w:rFonts w:cstheme="minorHAnsi"/>
          <w:color w:val="000000" w:themeColor="text1"/>
        </w:rPr>
        <w:t xml:space="preserve"> confirment l’ordre de grandeur des besoins en financement d</w:t>
      </w:r>
      <w:r>
        <w:rPr>
          <w:rFonts w:cstheme="minorHAnsi"/>
          <w:color w:val="000000" w:themeColor="text1"/>
        </w:rPr>
        <w:t>e la</w:t>
      </w:r>
      <w:r w:rsidRPr="0016301A">
        <w:rPr>
          <w:rFonts w:cstheme="minorHAnsi"/>
          <w:color w:val="000000" w:themeColor="text1"/>
        </w:rPr>
        <w:t xml:space="preserve"> CDN 2021 – 2030. </w:t>
      </w:r>
    </w:p>
    <w:p w14:paraId="5581708E" w14:textId="77777777" w:rsidR="00412F22" w:rsidRPr="00007A96" w:rsidRDefault="00412F22" w:rsidP="00412F22">
      <w:pPr>
        <w:jc w:val="both"/>
        <w:rPr>
          <w:rFonts w:cstheme="minorHAnsi"/>
          <w:color w:val="000000" w:themeColor="text1"/>
          <w:sz w:val="6"/>
          <w:szCs w:val="6"/>
        </w:rPr>
      </w:pPr>
    </w:p>
    <w:p w14:paraId="61C7E714" w14:textId="77777777" w:rsidR="00412F22" w:rsidRPr="0016301A" w:rsidRDefault="00412F22" w:rsidP="00412F22">
      <w:pPr>
        <w:tabs>
          <w:tab w:val="left" w:pos="3686"/>
        </w:tabs>
        <w:ind w:right="-188"/>
        <w:jc w:val="both"/>
        <w:rPr>
          <w:rFonts w:cstheme="minorHAnsi"/>
          <w:color w:val="000000" w:themeColor="text1"/>
        </w:rPr>
      </w:pPr>
      <w:r>
        <w:rPr>
          <w:rFonts w:cstheme="minorHAnsi"/>
          <w:color w:val="000000" w:themeColor="text1"/>
        </w:rPr>
        <w:t>Comme indiqué, ci-dessus, l</w:t>
      </w:r>
      <w:r w:rsidRPr="0016301A">
        <w:rPr>
          <w:rFonts w:cstheme="minorHAnsi"/>
          <w:color w:val="000000" w:themeColor="text1"/>
        </w:rPr>
        <w:t xml:space="preserve">’analyse ci-dessus </w:t>
      </w:r>
      <w:r>
        <w:rPr>
          <w:rFonts w:cstheme="minorHAnsi"/>
          <w:color w:val="000000" w:themeColor="text1"/>
        </w:rPr>
        <w:t xml:space="preserve">n’est pas faite </w:t>
      </w:r>
      <w:r w:rsidRPr="0016301A">
        <w:rPr>
          <w:rFonts w:cstheme="minorHAnsi"/>
          <w:color w:val="000000" w:themeColor="text1"/>
        </w:rPr>
        <w:t xml:space="preserve">pour l’horizon 2100, </w:t>
      </w:r>
      <w:r>
        <w:rPr>
          <w:rFonts w:cstheme="minorHAnsi"/>
          <w:color w:val="000000" w:themeColor="text1"/>
        </w:rPr>
        <w:t xml:space="preserve">qui est trop lointain </w:t>
      </w:r>
      <w:r w:rsidRPr="0016301A">
        <w:rPr>
          <w:rFonts w:cstheme="minorHAnsi"/>
          <w:color w:val="000000" w:themeColor="text1"/>
        </w:rPr>
        <w:t>pour ce type de comparaison</w:t>
      </w:r>
      <w:r>
        <w:rPr>
          <w:rFonts w:cstheme="minorHAnsi"/>
          <w:color w:val="000000" w:themeColor="text1"/>
        </w:rPr>
        <w:t>s</w:t>
      </w:r>
      <w:r w:rsidRPr="0016301A">
        <w:rPr>
          <w:rFonts w:cstheme="minorHAnsi"/>
          <w:color w:val="000000" w:themeColor="text1"/>
        </w:rPr>
        <w:t>.</w:t>
      </w:r>
    </w:p>
    <w:p w14:paraId="4CF8CEE5" w14:textId="77777777" w:rsidR="00412F22" w:rsidRPr="0016301A" w:rsidRDefault="00412F22" w:rsidP="00412F22">
      <w:pPr>
        <w:pStyle w:val="Titre1"/>
        <w:numPr>
          <w:ilvl w:val="0"/>
          <w:numId w:val="204"/>
        </w:numPr>
        <w:shd w:val="clear" w:color="auto" w:fill="92D050"/>
        <w:tabs>
          <w:tab w:val="left" w:pos="9356"/>
          <w:tab w:val="left" w:pos="9498"/>
          <w:tab w:val="left" w:pos="9781"/>
        </w:tabs>
        <w:ind w:left="720" w:right="-46" w:hanging="1080"/>
        <w:jc w:val="center"/>
        <w:rPr>
          <w:b/>
          <w:bCs/>
          <w:color w:val="000000" w:themeColor="text1"/>
        </w:rPr>
      </w:pPr>
      <w:bookmarkStart w:id="740" w:name="_Toc192462528"/>
      <w:r w:rsidRPr="0016301A">
        <w:rPr>
          <w:b/>
          <w:bCs/>
          <w:color w:val="000000" w:themeColor="text1"/>
        </w:rPr>
        <w:t>Conclusion</w:t>
      </w:r>
      <w:bookmarkEnd w:id="740"/>
    </w:p>
    <w:p w14:paraId="0025FEDD" w14:textId="77777777" w:rsidR="00412F22" w:rsidRPr="00007A96" w:rsidRDefault="00412F22" w:rsidP="00412F22">
      <w:pPr>
        <w:rPr>
          <w:rFonts w:cstheme="minorHAnsi"/>
          <w:color w:val="000000" w:themeColor="text1"/>
          <w:sz w:val="8"/>
          <w:szCs w:val="8"/>
        </w:rPr>
      </w:pPr>
    </w:p>
    <w:p w14:paraId="4CAF0554" w14:textId="77777777" w:rsidR="00412F22" w:rsidRPr="0016301A" w:rsidRDefault="00412F22" w:rsidP="00412F22">
      <w:pPr>
        <w:ind w:right="-188"/>
        <w:jc w:val="both"/>
        <w:rPr>
          <w:rFonts w:cstheme="minorHAnsi"/>
          <w:color w:val="000000" w:themeColor="text1"/>
        </w:rPr>
      </w:pPr>
      <w:r w:rsidRPr="00007A96">
        <w:rPr>
          <w:rFonts w:cstheme="minorHAnsi"/>
          <w:b/>
          <w:bCs/>
          <w:color w:val="538135" w:themeColor="accent6" w:themeShade="BF"/>
        </w:rPr>
        <w:t>Les scénarios socioéconomiques</w:t>
      </w:r>
      <w:r w:rsidRPr="00007A96">
        <w:rPr>
          <w:rFonts w:cstheme="minorHAnsi"/>
          <w:color w:val="538135" w:themeColor="accent6" w:themeShade="BF"/>
        </w:rPr>
        <w:t xml:space="preserve"> </w:t>
      </w:r>
      <w:r w:rsidRPr="0016301A">
        <w:rPr>
          <w:rFonts w:cstheme="minorHAnsi"/>
          <w:color w:val="000000" w:themeColor="text1"/>
        </w:rPr>
        <w:t xml:space="preserve">de référence, établis ci-dessus pour les secteurs </w:t>
      </w:r>
      <w:r>
        <w:rPr>
          <w:rFonts w:cstheme="minorHAnsi"/>
          <w:color w:val="000000" w:themeColor="text1"/>
        </w:rPr>
        <w:t>clés, en matière de vulnérabilité du fait des changements climatiques</w:t>
      </w:r>
      <w:r w:rsidRPr="0016301A">
        <w:rPr>
          <w:rFonts w:cstheme="minorHAnsi"/>
          <w:color w:val="000000" w:themeColor="text1"/>
        </w:rPr>
        <w:t xml:space="preserve">, sur la base des scénarii </w:t>
      </w:r>
      <w:r w:rsidRPr="00F60AD4">
        <w:rPr>
          <w:rFonts w:cstheme="minorHAnsi"/>
          <w:color w:val="000000" w:themeColor="text1"/>
        </w:rPr>
        <w:t>climatiques de la 5</w:t>
      </w:r>
      <w:r w:rsidRPr="00F60AD4">
        <w:rPr>
          <w:rFonts w:cstheme="minorHAnsi"/>
          <w:color w:val="000000" w:themeColor="text1"/>
          <w:vertAlign w:val="superscript"/>
        </w:rPr>
        <w:t>ème</w:t>
      </w:r>
      <w:r w:rsidRPr="00F60AD4">
        <w:rPr>
          <w:rFonts w:cstheme="minorHAnsi"/>
          <w:color w:val="000000" w:themeColor="text1"/>
        </w:rPr>
        <w:t xml:space="preserve"> communication nationale, donnent une évaluation approximative des </w:t>
      </w:r>
      <w:r w:rsidRPr="0016301A">
        <w:rPr>
          <w:rFonts w:cstheme="minorHAnsi"/>
          <w:color w:val="000000" w:themeColor="text1"/>
        </w:rPr>
        <w:t xml:space="preserve">tendances, en se focalisant sur </w:t>
      </w:r>
      <w:r w:rsidRPr="009D55B1">
        <w:rPr>
          <w:rFonts w:cstheme="minorHAnsi"/>
          <w:b/>
          <w:bCs/>
          <w:color w:val="538135" w:themeColor="accent6" w:themeShade="BF"/>
        </w:rPr>
        <w:t xml:space="preserve">le </w:t>
      </w:r>
      <w:r w:rsidRPr="009D55B1">
        <w:rPr>
          <w:rFonts w:cstheme="minorHAnsi"/>
          <w:b/>
          <w:bCs/>
          <w:color w:val="538135" w:themeColor="accent6" w:themeShade="BF"/>
          <w:sz w:val="28"/>
          <w:szCs w:val="28"/>
        </w:rPr>
        <w:t>PIB</w:t>
      </w:r>
      <w:r w:rsidRPr="009D55B1">
        <w:rPr>
          <w:rFonts w:cstheme="minorHAnsi"/>
          <w:color w:val="538135" w:themeColor="accent6" w:themeShade="BF"/>
        </w:rPr>
        <w:t> </w:t>
      </w:r>
      <w:r>
        <w:rPr>
          <w:rFonts w:cstheme="minorHAnsi"/>
          <w:color w:val="000000" w:themeColor="text1"/>
        </w:rPr>
        <w:t>;</w:t>
      </w:r>
      <w:r w:rsidRPr="0016301A">
        <w:rPr>
          <w:rFonts w:cstheme="minorHAnsi"/>
          <w:color w:val="000000" w:themeColor="text1"/>
        </w:rPr>
        <w:t xml:space="preserve"> un des critères les plus pertinents pour </w:t>
      </w:r>
      <w:r>
        <w:rPr>
          <w:rFonts w:cstheme="minorHAnsi"/>
          <w:color w:val="000000" w:themeColor="text1"/>
        </w:rPr>
        <w:t>l</w:t>
      </w:r>
      <w:r w:rsidRPr="0016301A">
        <w:rPr>
          <w:rFonts w:cstheme="minorHAnsi"/>
          <w:color w:val="000000" w:themeColor="text1"/>
        </w:rPr>
        <w:t xml:space="preserve">es </w:t>
      </w:r>
      <w:r>
        <w:rPr>
          <w:rFonts w:cstheme="minorHAnsi"/>
          <w:color w:val="000000" w:themeColor="text1"/>
        </w:rPr>
        <w:t>projections</w:t>
      </w:r>
      <w:r w:rsidRPr="0016301A">
        <w:rPr>
          <w:rFonts w:cstheme="minorHAnsi"/>
          <w:color w:val="000000" w:themeColor="text1"/>
        </w:rPr>
        <w:t xml:space="preserve"> socioéconomiques prospectives</w:t>
      </w:r>
      <w:r>
        <w:rPr>
          <w:rFonts w:cstheme="minorHAnsi"/>
          <w:color w:val="000000" w:themeColor="text1"/>
        </w:rPr>
        <w:t xml:space="preserve"> faites ci-dessus</w:t>
      </w:r>
      <w:r w:rsidRPr="0016301A">
        <w:rPr>
          <w:rFonts w:cstheme="minorHAnsi"/>
          <w:color w:val="000000" w:themeColor="text1"/>
        </w:rPr>
        <w:t>.</w:t>
      </w:r>
    </w:p>
    <w:p w14:paraId="716C4553" w14:textId="77777777" w:rsidR="00412F22" w:rsidRPr="00007A96" w:rsidRDefault="00412F22" w:rsidP="00412F22">
      <w:pPr>
        <w:jc w:val="both"/>
        <w:rPr>
          <w:rFonts w:cstheme="minorHAnsi"/>
          <w:color w:val="000000" w:themeColor="text1"/>
          <w:sz w:val="8"/>
          <w:szCs w:val="8"/>
        </w:rPr>
      </w:pPr>
    </w:p>
    <w:p w14:paraId="61AC7943" w14:textId="77777777" w:rsidR="00412F22" w:rsidRPr="0016301A" w:rsidRDefault="00412F22" w:rsidP="00412F22">
      <w:pPr>
        <w:shd w:val="clear" w:color="auto" w:fill="FBE4D5" w:themeFill="accent2" w:themeFillTint="33"/>
        <w:ind w:right="-188"/>
        <w:jc w:val="both"/>
        <w:rPr>
          <w:rFonts w:cstheme="minorHAnsi"/>
          <w:color w:val="000000" w:themeColor="text1"/>
        </w:rPr>
      </w:pPr>
      <w:r w:rsidRPr="0016301A">
        <w:rPr>
          <w:rFonts w:cstheme="minorHAnsi"/>
          <w:color w:val="000000" w:themeColor="text1"/>
        </w:rPr>
        <w:t>Il ressort une tendance nette à la détérioration de l’économie et de la société, si des mesures d’adaptation ne sont pas prises, en combinaison avec les politiques d’atténuation des changements climatiques.</w:t>
      </w:r>
    </w:p>
    <w:p w14:paraId="30B4DFC6" w14:textId="77777777" w:rsidR="00412F22" w:rsidRPr="0016301A" w:rsidRDefault="00412F22" w:rsidP="00412F22">
      <w:pPr>
        <w:shd w:val="clear" w:color="auto" w:fill="E2EFD9" w:themeFill="accent6" w:themeFillTint="33"/>
        <w:ind w:right="-188"/>
        <w:jc w:val="both"/>
        <w:rPr>
          <w:rFonts w:cstheme="minorHAnsi"/>
          <w:color w:val="000000" w:themeColor="text1"/>
        </w:rPr>
      </w:pPr>
      <w:r w:rsidRPr="0016301A">
        <w:rPr>
          <w:rFonts w:cstheme="minorHAnsi"/>
          <w:color w:val="000000" w:themeColor="text1"/>
        </w:rPr>
        <w:t>Les scénarios, à l’horizon 2050, donnent une évaluation indicative des besoins en financements, qui se sont révélés être relativement proche</w:t>
      </w:r>
      <w:r>
        <w:rPr>
          <w:rFonts w:cstheme="minorHAnsi"/>
          <w:color w:val="000000" w:themeColor="text1"/>
        </w:rPr>
        <w:t>s</w:t>
      </w:r>
      <w:r w:rsidRPr="0016301A">
        <w:rPr>
          <w:rFonts w:cstheme="minorHAnsi"/>
          <w:color w:val="000000" w:themeColor="text1"/>
        </w:rPr>
        <w:t xml:space="preserve"> des besoins en financement</w:t>
      </w:r>
      <w:r>
        <w:rPr>
          <w:rFonts w:cstheme="minorHAnsi"/>
          <w:color w:val="000000" w:themeColor="text1"/>
        </w:rPr>
        <w:t>s</w:t>
      </w:r>
      <w:r w:rsidRPr="0016301A">
        <w:rPr>
          <w:rFonts w:cstheme="minorHAnsi"/>
          <w:color w:val="000000" w:themeColor="text1"/>
        </w:rPr>
        <w:t xml:space="preserve"> de l’adaptation de la CDN 2021 – 2030, toute proportion gardée, en particulier en termes de période.</w:t>
      </w:r>
    </w:p>
    <w:p w14:paraId="25F98001" w14:textId="77777777" w:rsidR="00412F22" w:rsidRPr="00007A96" w:rsidRDefault="00412F22" w:rsidP="00412F22">
      <w:pPr>
        <w:rPr>
          <w:rFonts w:cstheme="minorHAnsi"/>
          <w:color w:val="000000" w:themeColor="text1"/>
          <w:sz w:val="2"/>
          <w:szCs w:val="2"/>
        </w:rPr>
      </w:pPr>
    </w:p>
    <w:p w14:paraId="6FB06E5E" w14:textId="77777777" w:rsidR="00412F22" w:rsidRPr="000D371B" w:rsidRDefault="00412F22" w:rsidP="00412F22">
      <w:pPr>
        <w:pStyle w:val="Titre1"/>
        <w:pBdr>
          <w:top w:val="single" w:sz="4" w:space="1" w:color="auto"/>
          <w:left w:val="single" w:sz="4" w:space="0" w:color="auto"/>
          <w:bottom w:val="single" w:sz="4" w:space="1" w:color="auto"/>
          <w:right w:val="single" w:sz="4" w:space="4" w:color="auto"/>
          <w:between w:val="single" w:sz="4" w:space="1" w:color="auto"/>
          <w:bar w:val="single" w:sz="4" w:color="auto"/>
        </w:pBdr>
        <w:shd w:val="clear" w:color="auto" w:fill="FBE4D5" w:themeFill="accent2" w:themeFillTint="33"/>
        <w:ind w:right="-22"/>
        <w:jc w:val="center"/>
        <w:rPr>
          <w:b/>
          <w:bCs/>
          <w:color w:val="000000" w:themeColor="text1"/>
        </w:rPr>
      </w:pPr>
      <w:bookmarkStart w:id="741" w:name="_Toc192462529"/>
      <w:r w:rsidRPr="000D371B">
        <w:rPr>
          <w:b/>
          <w:bCs/>
          <w:color w:val="000000" w:themeColor="text1"/>
        </w:rPr>
        <w:t>Annexes</w:t>
      </w:r>
      <w:bookmarkEnd w:id="741"/>
    </w:p>
    <w:p w14:paraId="5E86FB57" w14:textId="77777777" w:rsidR="00412F22" w:rsidRPr="00F60AD4" w:rsidRDefault="00412F22" w:rsidP="00412F22">
      <w:pPr>
        <w:pStyle w:val="Titre2"/>
        <w:jc w:val="center"/>
        <w:rPr>
          <w:b/>
          <w:bCs/>
          <w:color w:val="000000" w:themeColor="text1"/>
          <w:sz w:val="22"/>
          <w:szCs w:val="22"/>
        </w:rPr>
      </w:pPr>
      <w:bookmarkStart w:id="742" w:name="_Toc192462530"/>
      <w:r w:rsidRPr="00F60AD4">
        <w:rPr>
          <w:b/>
          <w:bCs/>
          <w:color w:val="000000" w:themeColor="text1"/>
          <w:sz w:val="22"/>
          <w:szCs w:val="22"/>
          <w:highlight w:val="green"/>
        </w:rPr>
        <w:t>Annexe 1</w:t>
      </w:r>
      <w:r w:rsidRPr="00F60AD4">
        <w:rPr>
          <w:b/>
          <w:bCs/>
          <w:color w:val="000000" w:themeColor="text1"/>
          <w:sz w:val="22"/>
          <w:szCs w:val="22"/>
        </w:rPr>
        <w:t xml:space="preserve"> : </w:t>
      </w:r>
      <w:r w:rsidRPr="00F60AD4">
        <w:rPr>
          <w:b/>
          <w:bCs/>
          <w:color w:val="000000" w:themeColor="text1"/>
          <w:sz w:val="20"/>
          <w:szCs w:val="20"/>
        </w:rPr>
        <w:t>Valeurs des PIB sectoriels sur la période 2019 – 2023</w:t>
      </w:r>
      <w:bookmarkEnd w:id="742"/>
    </w:p>
    <w:p w14:paraId="7B6527B9" w14:textId="77777777" w:rsidR="00412F22" w:rsidRPr="00603A29" w:rsidRDefault="00412F22" w:rsidP="00412F22">
      <w:pPr>
        <w:rPr>
          <w:sz w:val="4"/>
          <w:szCs w:val="4"/>
        </w:rPr>
      </w:pPr>
    </w:p>
    <w:p w14:paraId="72B1CC5B" w14:textId="77777777" w:rsidR="00412F22" w:rsidRPr="00693F55" w:rsidRDefault="00412F22" w:rsidP="00412F22">
      <w:pPr>
        <w:rPr>
          <w:sz w:val="4"/>
          <w:szCs w:val="4"/>
        </w:rPr>
      </w:pPr>
    </w:p>
    <w:tbl>
      <w:tblPr>
        <w:tblStyle w:val="TableNormal"/>
        <w:tblW w:w="95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8"/>
        <w:gridCol w:w="567"/>
        <w:gridCol w:w="682"/>
        <w:gridCol w:w="685"/>
        <w:gridCol w:w="682"/>
        <w:gridCol w:w="696"/>
      </w:tblGrid>
      <w:tr w:rsidR="00412F22" w:rsidRPr="00F60AD4" w14:paraId="6A34613A" w14:textId="77777777" w:rsidTr="00EE0E23">
        <w:trPr>
          <w:trHeight w:val="211"/>
        </w:trPr>
        <w:tc>
          <w:tcPr>
            <w:tcW w:w="9550" w:type="dxa"/>
            <w:gridSpan w:val="6"/>
            <w:shd w:val="clear" w:color="auto" w:fill="FFFF00"/>
          </w:tcPr>
          <w:p w14:paraId="29F9AB7B" w14:textId="77777777" w:rsidR="00412F22" w:rsidRPr="00F60AD4" w:rsidRDefault="00412F22" w:rsidP="00EE0E23">
            <w:pPr>
              <w:pStyle w:val="TableParagraph"/>
              <w:spacing w:line="210" w:lineRule="exact"/>
              <w:ind w:left="16"/>
              <w:rPr>
                <w:rFonts w:asciiTheme="minorHAnsi" w:hAnsiTheme="minorHAnsi" w:cstheme="minorHAnsi"/>
                <w:b/>
                <w:sz w:val="18"/>
                <w:szCs w:val="18"/>
                <w:lang w:val="fr-FR"/>
              </w:rPr>
            </w:pPr>
            <w:r w:rsidRPr="00F60AD4">
              <w:rPr>
                <w:rFonts w:asciiTheme="minorHAnsi" w:hAnsiTheme="minorHAnsi" w:cstheme="minorHAnsi"/>
                <w:b/>
                <w:sz w:val="18"/>
                <w:szCs w:val="18"/>
                <w:lang w:val="fr-FR"/>
              </w:rPr>
              <w:t>PIB</w:t>
            </w:r>
            <w:r w:rsidRPr="00F60AD4">
              <w:rPr>
                <w:rFonts w:asciiTheme="minorHAnsi" w:hAnsiTheme="minorHAnsi" w:cstheme="minorHAnsi"/>
                <w:b/>
                <w:spacing w:val="-5"/>
                <w:sz w:val="18"/>
                <w:szCs w:val="18"/>
                <w:lang w:val="fr-FR"/>
              </w:rPr>
              <w:t xml:space="preserve"> </w:t>
            </w:r>
            <w:r w:rsidRPr="00F60AD4">
              <w:rPr>
                <w:rFonts w:asciiTheme="minorHAnsi" w:hAnsiTheme="minorHAnsi" w:cstheme="minorHAnsi"/>
                <w:b/>
                <w:sz w:val="18"/>
                <w:szCs w:val="18"/>
                <w:lang w:val="fr-FR"/>
              </w:rPr>
              <w:t>Sectoriel</w:t>
            </w:r>
            <w:r w:rsidRPr="00F60AD4">
              <w:rPr>
                <w:rFonts w:asciiTheme="minorHAnsi" w:hAnsiTheme="minorHAnsi" w:cstheme="minorHAnsi"/>
                <w:b/>
                <w:spacing w:val="-3"/>
                <w:sz w:val="18"/>
                <w:szCs w:val="18"/>
                <w:lang w:val="fr-FR"/>
              </w:rPr>
              <w:t xml:space="preserve"> </w:t>
            </w:r>
            <w:r w:rsidRPr="00F60AD4">
              <w:rPr>
                <w:rFonts w:asciiTheme="minorHAnsi" w:hAnsiTheme="minorHAnsi" w:cstheme="minorHAnsi"/>
                <w:b/>
                <w:sz w:val="18"/>
                <w:szCs w:val="18"/>
                <w:lang w:val="fr-FR"/>
              </w:rPr>
              <w:t>à</w:t>
            </w:r>
            <w:r w:rsidRPr="00F60AD4">
              <w:rPr>
                <w:rFonts w:asciiTheme="minorHAnsi" w:hAnsiTheme="minorHAnsi" w:cstheme="minorHAnsi"/>
                <w:b/>
                <w:spacing w:val="-3"/>
                <w:sz w:val="18"/>
                <w:szCs w:val="18"/>
                <w:lang w:val="fr-FR"/>
              </w:rPr>
              <w:t xml:space="preserve"> </w:t>
            </w:r>
            <w:r w:rsidRPr="00F60AD4">
              <w:rPr>
                <w:rFonts w:asciiTheme="minorHAnsi" w:hAnsiTheme="minorHAnsi" w:cstheme="minorHAnsi"/>
                <w:b/>
                <w:sz w:val="18"/>
                <w:szCs w:val="18"/>
                <w:lang w:val="fr-FR"/>
              </w:rPr>
              <w:t>prix</w:t>
            </w:r>
            <w:r w:rsidRPr="00F60AD4">
              <w:rPr>
                <w:rFonts w:asciiTheme="minorHAnsi" w:hAnsiTheme="minorHAnsi" w:cstheme="minorHAnsi"/>
                <w:b/>
                <w:spacing w:val="-3"/>
                <w:sz w:val="18"/>
                <w:szCs w:val="18"/>
                <w:lang w:val="fr-FR"/>
              </w:rPr>
              <w:t xml:space="preserve"> </w:t>
            </w:r>
            <w:r w:rsidRPr="00F60AD4">
              <w:rPr>
                <w:rFonts w:asciiTheme="minorHAnsi" w:hAnsiTheme="minorHAnsi" w:cstheme="minorHAnsi"/>
                <w:b/>
                <w:sz w:val="18"/>
                <w:szCs w:val="18"/>
                <w:lang w:val="fr-FR"/>
              </w:rPr>
              <w:t>courant</w:t>
            </w:r>
            <w:r w:rsidRPr="00F60AD4">
              <w:rPr>
                <w:rFonts w:asciiTheme="minorHAnsi" w:hAnsiTheme="minorHAnsi" w:cstheme="minorHAnsi"/>
                <w:b/>
                <w:spacing w:val="-5"/>
                <w:sz w:val="18"/>
                <w:szCs w:val="18"/>
                <w:lang w:val="fr-FR"/>
              </w:rPr>
              <w:t xml:space="preserve"> </w:t>
            </w:r>
            <w:r w:rsidRPr="00F60AD4">
              <w:rPr>
                <w:rFonts w:asciiTheme="minorHAnsi" w:hAnsiTheme="minorHAnsi" w:cstheme="minorHAnsi"/>
                <w:b/>
                <w:sz w:val="18"/>
                <w:szCs w:val="18"/>
                <w:lang w:val="fr-FR"/>
              </w:rPr>
              <w:t>(En</w:t>
            </w:r>
            <w:r w:rsidRPr="00F60AD4">
              <w:rPr>
                <w:rFonts w:asciiTheme="minorHAnsi" w:hAnsiTheme="minorHAnsi" w:cstheme="minorHAnsi"/>
                <w:b/>
                <w:spacing w:val="-5"/>
                <w:sz w:val="18"/>
                <w:szCs w:val="18"/>
                <w:lang w:val="fr-FR"/>
              </w:rPr>
              <w:t xml:space="preserve"> </w:t>
            </w:r>
            <w:r w:rsidRPr="00F60AD4">
              <w:rPr>
                <w:rFonts w:asciiTheme="minorHAnsi" w:hAnsiTheme="minorHAnsi" w:cstheme="minorHAnsi"/>
                <w:b/>
                <w:sz w:val="18"/>
                <w:szCs w:val="18"/>
                <w:lang w:val="fr-FR"/>
              </w:rPr>
              <w:t>Milliards</w:t>
            </w:r>
            <w:r w:rsidRPr="00F60AD4">
              <w:rPr>
                <w:rFonts w:asciiTheme="minorHAnsi" w:hAnsiTheme="minorHAnsi" w:cstheme="minorHAnsi"/>
                <w:b/>
                <w:spacing w:val="-5"/>
                <w:sz w:val="18"/>
                <w:szCs w:val="18"/>
                <w:lang w:val="fr-FR"/>
              </w:rPr>
              <w:t xml:space="preserve"> </w:t>
            </w:r>
            <w:r w:rsidRPr="00F60AD4">
              <w:rPr>
                <w:rFonts w:asciiTheme="minorHAnsi" w:hAnsiTheme="minorHAnsi" w:cstheme="minorHAnsi"/>
                <w:b/>
                <w:spacing w:val="-4"/>
                <w:sz w:val="18"/>
                <w:szCs w:val="18"/>
                <w:lang w:val="fr-FR"/>
              </w:rPr>
              <w:t>MRU)</w:t>
            </w:r>
          </w:p>
        </w:tc>
      </w:tr>
      <w:tr w:rsidR="00412F22" w:rsidRPr="009D3EFE" w14:paraId="5AAB363A" w14:textId="77777777" w:rsidTr="00EE0E23">
        <w:trPr>
          <w:trHeight w:val="237"/>
        </w:trPr>
        <w:tc>
          <w:tcPr>
            <w:tcW w:w="6238" w:type="dxa"/>
            <w:shd w:val="clear" w:color="auto" w:fill="auto"/>
          </w:tcPr>
          <w:p w14:paraId="7682DC36" w14:textId="77777777" w:rsidR="00412F22" w:rsidRPr="009D3EFE" w:rsidRDefault="00412F22" w:rsidP="00EE0E23">
            <w:pPr>
              <w:pStyle w:val="TableParagraph"/>
              <w:spacing w:line="207" w:lineRule="exact"/>
              <w:ind w:left="76"/>
              <w:rPr>
                <w:rFonts w:asciiTheme="minorHAnsi" w:hAnsiTheme="minorHAnsi" w:cstheme="minorHAnsi"/>
                <w:b/>
                <w:sz w:val="18"/>
                <w:szCs w:val="18"/>
                <w:lang w:val="fr-FR"/>
              </w:rPr>
            </w:pPr>
          </w:p>
        </w:tc>
        <w:tc>
          <w:tcPr>
            <w:tcW w:w="567" w:type="dxa"/>
            <w:shd w:val="clear" w:color="auto" w:fill="auto"/>
          </w:tcPr>
          <w:p w14:paraId="15470446" w14:textId="77777777" w:rsidR="00412F22" w:rsidRPr="009D3EFE" w:rsidRDefault="00412F22" w:rsidP="00EE0E23">
            <w:pPr>
              <w:pStyle w:val="TableParagraph"/>
              <w:spacing w:line="207" w:lineRule="exact"/>
              <w:ind w:left="20" w:right="3"/>
              <w:rPr>
                <w:rFonts w:asciiTheme="minorHAnsi" w:hAnsiTheme="minorHAnsi" w:cstheme="minorHAnsi"/>
                <w:b/>
                <w:sz w:val="18"/>
                <w:szCs w:val="18"/>
              </w:rPr>
            </w:pPr>
            <w:r w:rsidRPr="009D3EFE">
              <w:rPr>
                <w:rFonts w:asciiTheme="minorHAnsi" w:hAnsiTheme="minorHAnsi" w:cstheme="minorHAnsi"/>
                <w:b/>
                <w:spacing w:val="-4"/>
                <w:sz w:val="18"/>
                <w:szCs w:val="18"/>
              </w:rPr>
              <w:t>2019</w:t>
            </w:r>
          </w:p>
        </w:tc>
        <w:tc>
          <w:tcPr>
            <w:tcW w:w="682" w:type="dxa"/>
            <w:shd w:val="clear" w:color="auto" w:fill="auto"/>
          </w:tcPr>
          <w:p w14:paraId="607BA042" w14:textId="77777777" w:rsidR="00412F22" w:rsidRPr="009D3EFE" w:rsidRDefault="00412F22" w:rsidP="00EE0E23">
            <w:pPr>
              <w:pStyle w:val="TableParagraph"/>
              <w:spacing w:line="207" w:lineRule="exact"/>
              <w:ind w:left="21" w:right="2"/>
              <w:rPr>
                <w:rFonts w:asciiTheme="minorHAnsi" w:hAnsiTheme="minorHAnsi" w:cstheme="minorHAnsi"/>
                <w:b/>
                <w:sz w:val="18"/>
                <w:szCs w:val="18"/>
              </w:rPr>
            </w:pPr>
            <w:r w:rsidRPr="009D3EFE">
              <w:rPr>
                <w:rFonts w:asciiTheme="minorHAnsi" w:hAnsiTheme="minorHAnsi" w:cstheme="minorHAnsi"/>
                <w:b/>
                <w:spacing w:val="-4"/>
                <w:sz w:val="18"/>
                <w:szCs w:val="18"/>
              </w:rPr>
              <w:t>2020</w:t>
            </w:r>
          </w:p>
        </w:tc>
        <w:tc>
          <w:tcPr>
            <w:tcW w:w="685" w:type="dxa"/>
            <w:shd w:val="clear" w:color="auto" w:fill="auto"/>
          </w:tcPr>
          <w:p w14:paraId="01BFF1FA" w14:textId="77777777" w:rsidR="00412F22" w:rsidRPr="009D3EFE" w:rsidRDefault="00412F22" w:rsidP="00EE0E23">
            <w:pPr>
              <w:pStyle w:val="TableParagraph"/>
              <w:spacing w:line="207" w:lineRule="exact"/>
              <w:ind w:left="20"/>
              <w:rPr>
                <w:rFonts w:asciiTheme="minorHAnsi" w:hAnsiTheme="minorHAnsi" w:cstheme="minorHAnsi"/>
                <w:b/>
                <w:sz w:val="18"/>
                <w:szCs w:val="18"/>
              </w:rPr>
            </w:pPr>
            <w:r w:rsidRPr="009D3EFE">
              <w:rPr>
                <w:rFonts w:asciiTheme="minorHAnsi" w:hAnsiTheme="minorHAnsi" w:cstheme="minorHAnsi"/>
                <w:b/>
                <w:spacing w:val="-4"/>
                <w:sz w:val="18"/>
                <w:szCs w:val="18"/>
              </w:rPr>
              <w:t>2021</w:t>
            </w:r>
          </w:p>
        </w:tc>
        <w:tc>
          <w:tcPr>
            <w:tcW w:w="682" w:type="dxa"/>
            <w:shd w:val="clear" w:color="auto" w:fill="auto"/>
          </w:tcPr>
          <w:p w14:paraId="3BB2A9CF" w14:textId="77777777" w:rsidR="00412F22" w:rsidRPr="009D3EFE" w:rsidRDefault="00412F22" w:rsidP="00EE0E23">
            <w:pPr>
              <w:pStyle w:val="TableParagraph"/>
              <w:spacing w:line="207" w:lineRule="exact"/>
              <w:ind w:left="21" w:right="3"/>
              <w:rPr>
                <w:rFonts w:asciiTheme="minorHAnsi" w:hAnsiTheme="minorHAnsi" w:cstheme="minorHAnsi"/>
                <w:b/>
                <w:sz w:val="18"/>
                <w:szCs w:val="18"/>
              </w:rPr>
            </w:pPr>
            <w:r w:rsidRPr="009D3EFE">
              <w:rPr>
                <w:rFonts w:asciiTheme="minorHAnsi" w:hAnsiTheme="minorHAnsi" w:cstheme="minorHAnsi"/>
                <w:b/>
                <w:spacing w:val="-4"/>
                <w:sz w:val="18"/>
                <w:szCs w:val="18"/>
              </w:rPr>
              <w:t>2022</w:t>
            </w:r>
          </w:p>
        </w:tc>
        <w:tc>
          <w:tcPr>
            <w:tcW w:w="693" w:type="dxa"/>
            <w:shd w:val="clear" w:color="auto" w:fill="auto"/>
          </w:tcPr>
          <w:p w14:paraId="50294790" w14:textId="77777777" w:rsidR="00412F22" w:rsidRPr="009D3EFE" w:rsidRDefault="00412F22" w:rsidP="00EE0E23">
            <w:pPr>
              <w:pStyle w:val="TableParagraph"/>
              <w:spacing w:line="207" w:lineRule="exact"/>
              <w:ind w:left="20"/>
              <w:rPr>
                <w:rFonts w:asciiTheme="minorHAnsi" w:hAnsiTheme="minorHAnsi" w:cstheme="minorHAnsi"/>
                <w:b/>
                <w:sz w:val="18"/>
                <w:szCs w:val="18"/>
              </w:rPr>
            </w:pPr>
            <w:r w:rsidRPr="009D3EFE">
              <w:rPr>
                <w:rFonts w:asciiTheme="minorHAnsi" w:hAnsiTheme="minorHAnsi" w:cstheme="minorHAnsi"/>
                <w:b/>
                <w:spacing w:val="-2"/>
                <w:sz w:val="18"/>
                <w:szCs w:val="18"/>
              </w:rPr>
              <w:t>2023*</w:t>
            </w:r>
          </w:p>
        </w:tc>
      </w:tr>
      <w:tr w:rsidR="00412F22" w:rsidRPr="009D3EFE" w14:paraId="10FD3D58" w14:textId="77777777" w:rsidTr="00EE0E23">
        <w:trPr>
          <w:trHeight w:val="237"/>
        </w:trPr>
        <w:tc>
          <w:tcPr>
            <w:tcW w:w="6238" w:type="dxa"/>
            <w:tcBorders>
              <w:left w:val="single" w:sz="8" w:space="0" w:color="000000"/>
              <w:bottom w:val="single" w:sz="8" w:space="0" w:color="000000"/>
              <w:right w:val="single" w:sz="8" w:space="0" w:color="000000"/>
            </w:tcBorders>
            <w:shd w:val="clear" w:color="auto" w:fill="C5DFB3"/>
          </w:tcPr>
          <w:p w14:paraId="754C43E1" w14:textId="77777777" w:rsidR="00412F22" w:rsidRPr="009D3EFE" w:rsidRDefault="00412F22" w:rsidP="00EE0E23">
            <w:pPr>
              <w:pStyle w:val="TableParagraph"/>
              <w:spacing w:line="207" w:lineRule="exact"/>
              <w:ind w:left="71"/>
              <w:rPr>
                <w:rFonts w:asciiTheme="minorHAnsi" w:hAnsiTheme="minorHAnsi" w:cstheme="minorHAnsi"/>
                <w:b/>
                <w:sz w:val="20"/>
                <w:szCs w:val="20"/>
                <w:lang w:val="fr-FR"/>
              </w:rPr>
            </w:pPr>
            <w:r w:rsidRPr="009D3EFE">
              <w:rPr>
                <w:rFonts w:asciiTheme="minorHAnsi" w:hAnsiTheme="minorHAnsi" w:cstheme="minorHAnsi"/>
                <w:b/>
                <w:sz w:val="20"/>
                <w:szCs w:val="20"/>
                <w:lang w:val="fr-FR"/>
              </w:rPr>
              <w:t>Secteur</w:t>
            </w:r>
            <w:r w:rsidRPr="009D3EFE">
              <w:rPr>
                <w:rFonts w:asciiTheme="minorHAnsi" w:hAnsiTheme="minorHAnsi" w:cstheme="minorHAnsi"/>
                <w:b/>
                <w:spacing w:val="-4"/>
                <w:sz w:val="20"/>
                <w:szCs w:val="20"/>
                <w:lang w:val="fr-FR"/>
              </w:rPr>
              <w:t xml:space="preserve"> </w:t>
            </w:r>
            <w:r w:rsidRPr="009D3EFE">
              <w:rPr>
                <w:rFonts w:asciiTheme="minorHAnsi" w:hAnsiTheme="minorHAnsi" w:cstheme="minorHAnsi"/>
                <w:b/>
                <w:spacing w:val="-2"/>
                <w:sz w:val="20"/>
                <w:szCs w:val="20"/>
                <w:lang w:val="fr-FR"/>
              </w:rPr>
              <w:t>primaire</w:t>
            </w:r>
          </w:p>
        </w:tc>
        <w:tc>
          <w:tcPr>
            <w:tcW w:w="567" w:type="dxa"/>
            <w:tcBorders>
              <w:left w:val="single" w:sz="8" w:space="0" w:color="000000"/>
              <w:bottom w:val="single" w:sz="8" w:space="0" w:color="000000"/>
              <w:right w:val="single" w:sz="8" w:space="0" w:color="000000"/>
            </w:tcBorders>
            <w:shd w:val="clear" w:color="auto" w:fill="C5DFB3"/>
          </w:tcPr>
          <w:p w14:paraId="09D515C3" w14:textId="77777777" w:rsidR="00412F22" w:rsidRPr="009D3EFE" w:rsidRDefault="00412F22" w:rsidP="00EE0E23">
            <w:pPr>
              <w:pStyle w:val="TableParagraph"/>
              <w:spacing w:line="207" w:lineRule="exact"/>
              <w:ind w:left="22" w:right="2"/>
              <w:rPr>
                <w:rFonts w:asciiTheme="minorHAnsi" w:hAnsiTheme="minorHAnsi" w:cstheme="minorHAnsi"/>
                <w:b/>
                <w:sz w:val="20"/>
                <w:szCs w:val="20"/>
              </w:rPr>
            </w:pPr>
            <w:r w:rsidRPr="009D3EFE">
              <w:rPr>
                <w:rFonts w:asciiTheme="minorHAnsi" w:hAnsiTheme="minorHAnsi" w:cstheme="minorHAnsi"/>
                <w:b/>
                <w:spacing w:val="-4"/>
                <w:sz w:val="20"/>
                <w:szCs w:val="20"/>
              </w:rPr>
              <w:t>57,8</w:t>
            </w:r>
          </w:p>
        </w:tc>
        <w:tc>
          <w:tcPr>
            <w:tcW w:w="682" w:type="dxa"/>
            <w:tcBorders>
              <w:left w:val="single" w:sz="8" w:space="0" w:color="000000"/>
              <w:bottom w:val="single" w:sz="8" w:space="0" w:color="000000"/>
              <w:right w:val="single" w:sz="8" w:space="0" w:color="000000"/>
            </w:tcBorders>
            <w:shd w:val="clear" w:color="auto" w:fill="C5DFB3"/>
          </w:tcPr>
          <w:p w14:paraId="4EB0999A" w14:textId="77777777" w:rsidR="00412F22" w:rsidRPr="009D3EFE" w:rsidRDefault="00412F22" w:rsidP="00EE0E23">
            <w:pPr>
              <w:pStyle w:val="TableParagraph"/>
              <w:spacing w:line="207" w:lineRule="exact"/>
              <w:ind w:left="25" w:right="8"/>
              <w:rPr>
                <w:rFonts w:asciiTheme="minorHAnsi" w:hAnsiTheme="minorHAnsi" w:cstheme="minorHAnsi"/>
                <w:b/>
                <w:sz w:val="20"/>
                <w:szCs w:val="20"/>
              </w:rPr>
            </w:pPr>
            <w:r w:rsidRPr="009D3EFE">
              <w:rPr>
                <w:rFonts w:asciiTheme="minorHAnsi" w:hAnsiTheme="minorHAnsi" w:cstheme="minorHAnsi"/>
                <w:b/>
                <w:spacing w:val="-4"/>
                <w:sz w:val="20"/>
                <w:szCs w:val="20"/>
              </w:rPr>
              <w:t>58,8</w:t>
            </w:r>
          </w:p>
        </w:tc>
        <w:tc>
          <w:tcPr>
            <w:tcW w:w="685" w:type="dxa"/>
            <w:tcBorders>
              <w:left w:val="single" w:sz="8" w:space="0" w:color="000000"/>
              <w:bottom w:val="single" w:sz="8" w:space="0" w:color="000000"/>
              <w:right w:val="single" w:sz="8" w:space="0" w:color="000000"/>
            </w:tcBorders>
            <w:shd w:val="clear" w:color="auto" w:fill="C5DFB3"/>
          </w:tcPr>
          <w:p w14:paraId="680198E3" w14:textId="77777777" w:rsidR="00412F22" w:rsidRPr="009D3EFE" w:rsidRDefault="00412F22" w:rsidP="00EE0E23">
            <w:pPr>
              <w:pStyle w:val="TableParagraph"/>
              <w:spacing w:line="207" w:lineRule="exact"/>
              <w:ind w:left="20" w:right="2"/>
              <w:rPr>
                <w:rFonts w:asciiTheme="minorHAnsi" w:hAnsiTheme="minorHAnsi" w:cstheme="minorHAnsi"/>
                <w:b/>
                <w:sz w:val="20"/>
                <w:szCs w:val="20"/>
              </w:rPr>
            </w:pPr>
            <w:r w:rsidRPr="009D3EFE">
              <w:rPr>
                <w:rFonts w:asciiTheme="minorHAnsi" w:hAnsiTheme="minorHAnsi" w:cstheme="minorHAnsi"/>
                <w:b/>
                <w:spacing w:val="-4"/>
                <w:sz w:val="20"/>
                <w:szCs w:val="20"/>
              </w:rPr>
              <w:t>63,7</w:t>
            </w:r>
          </w:p>
        </w:tc>
        <w:tc>
          <w:tcPr>
            <w:tcW w:w="682" w:type="dxa"/>
            <w:tcBorders>
              <w:left w:val="single" w:sz="8" w:space="0" w:color="000000"/>
              <w:bottom w:val="single" w:sz="8" w:space="0" w:color="000000"/>
              <w:right w:val="single" w:sz="8" w:space="0" w:color="000000"/>
            </w:tcBorders>
            <w:shd w:val="clear" w:color="auto" w:fill="C5DFB3"/>
          </w:tcPr>
          <w:p w14:paraId="2053248B" w14:textId="77777777" w:rsidR="00412F22" w:rsidRPr="009D3EFE" w:rsidRDefault="00412F22" w:rsidP="00EE0E23">
            <w:pPr>
              <w:pStyle w:val="TableParagraph"/>
              <w:spacing w:line="207" w:lineRule="exact"/>
              <w:ind w:left="25" w:right="9"/>
              <w:rPr>
                <w:rFonts w:asciiTheme="minorHAnsi" w:hAnsiTheme="minorHAnsi" w:cstheme="minorHAnsi"/>
                <w:b/>
                <w:sz w:val="20"/>
                <w:szCs w:val="20"/>
              </w:rPr>
            </w:pPr>
            <w:r w:rsidRPr="009D3EFE">
              <w:rPr>
                <w:rFonts w:asciiTheme="minorHAnsi" w:hAnsiTheme="minorHAnsi" w:cstheme="minorHAnsi"/>
                <w:b/>
                <w:spacing w:val="-4"/>
                <w:sz w:val="20"/>
                <w:szCs w:val="20"/>
              </w:rPr>
              <w:t>74,9</w:t>
            </w:r>
          </w:p>
        </w:tc>
        <w:tc>
          <w:tcPr>
            <w:tcW w:w="693" w:type="dxa"/>
            <w:tcBorders>
              <w:left w:val="single" w:sz="8" w:space="0" w:color="000000"/>
              <w:bottom w:val="single" w:sz="8" w:space="0" w:color="000000"/>
              <w:right w:val="single" w:sz="8" w:space="0" w:color="000000"/>
            </w:tcBorders>
            <w:shd w:val="clear" w:color="auto" w:fill="C5DFB3"/>
          </w:tcPr>
          <w:p w14:paraId="30ADA770" w14:textId="77777777" w:rsidR="00412F22" w:rsidRPr="009D3EFE" w:rsidRDefault="00412F22" w:rsidP="00EE0E23">
            <w:pPr>
              <w:pStyle w:val="TableParagraph"/>
              <w:spacing w:line="207" w:lineRule="exact"/>
              <w:ind w:left="22" w:right="4"/>
              <w:rPr>
                <w:rFonts w:asciiTheme="minorHAnsi" w:hAnsiTheme="minorHAnsi" w:cstheme="minorHAnsi"/>
                <w:b/>
                <w:sz w:val="20"/>
                <w:szCs w:val="20"/>
              </w:rPr>
            </w:pPr>
            <w:r w:rsidRPr="009D3EFE">
              <w:rPr>
                <w:rFonts w:asciiTheme="minorHAnsi" w:hAnsiTheme="minorHAnsi" w:cstheme="minorHAnsi"/>
                <w:b/>
                <w:spacing w:val="-4"/>
                <w:sz w:val="20"/>
                <w:szCs w:val="20"/>
              </w:rPr>
              <w:t>72,8</w:t>
            </w:r>
          </w:p>
        </w:tc>
      </w:tr>
      <w:tr w:rsidR="00412F22" w:rsidRPr="009D3EFE" w14:paraId="78A4F73F" w14:textId="77777777" w:rsidTr="00EE0E23">
        <w:trPr>
          <w:trHeight w:val="44"/>
        </w:trPr>
        <w:tc>
          <w:tcPr>
            <w:tcW w:w="6238" w:type="dxa"/>
            <w:tcBorders>
              <w:top w:val="single" w:sz="8" w:space="0" w:color="000000"/>
            </w:tcBorders>
          </w:tcPr>
          <w:p w14:paraId="5E2721A6" w14:textId="77777777" w:rsidR="00412F22" w:rsidRPr="009D3EFE" w:rsidRDefault="00412F22" w:rsidP="00EE0E23">
            <w:pPr>
              <w:pStyle w:val="TableParagraph"/>
              <w:spacing w:before="2"/>
              <w:ind w:left="76"/>
              <w:rPr>
                <w:rFonts w:asciiTheme="minorHAnsi" w:hAnsiTheme="minorHAnsi" w:cstheme="minorHAnsi"/>
                <w:sz w:val="20"/>
                <w:szCs w:val="20"/>
                <w:lang w:val="fr-FR"/>
              </w:rPr>
            </w:pPr>
            <w:r w:rsidRPr="009D3EFE">
              <w:rPr>
                <w:rFonts w:asciiTheme="minorHAnsi" w:hAnsiTheme="minorHAnsi" w:cstheme="minorHAnsi"/>
                <w:sz w:val="20"/>
                <w:szCs w:val="20"/>
                <w:lang w:val="fr-FR"/>
              </w:rPr>
              <w:t>1.</w:t>
            </w:r>
            <w:r w:rsidRPr="009D3EFE">
              <w:rPr>
                <w:rFonts w:asciiTheme="minorHAnsi" w:hAnsiTheme="minorHAnsi" w:cstheme="minorHAnsi"/>
                <w:spacing w:val="-4"/>
                <w:sz w:val="20"/>
                <w:szCs w:val="20"/>
                <w:lang w:val="fr-FR"/>
              </w:rPr>
              <w:t xml:space="preserve"> </w:t>
            </w:r>
            <w:r w:rsidRPr="009D3EFE">
              <w:rPr>
                <w:rFonts w:asciiTheme="minorHAnsi" w:hAnsiTheme="minorHAnsi" w:cstheme="minorHAnsi"/>
                <w:sz w:val="20"/>
                <w:szCs w:val="20"/>
                <w:lang w:val="fr-FR"/>
              </w:rPr>
              <w:t>Agriculture,</w:t>
            </w:r>
            <w:r w:rsidRPr="009D3EFE">
              <w:rPr>
                <w:rFonts w:asciiTheme="minorHAnsi" w:hAnsiTheme="minorHAnsi" w:cstheme="minorHAnsi"/>
                <w:spacing w:val="-3"/>
                <w:sz w:val="20"/>
                <w:szCs w:val="20"/>
                <w:lang w:val="fr-FR"/>
              </w:rPr>
              <w:t xml:space="preserve"> </w:t>
            </w:r>
            <w:r w:rsidRPr="009D3EFE">
              <w:rPr>
                <w:rFonts w:asciiTheme="minorHAnsi" w:hAnsiTheme="minorHAnsi" w:cstheme="minorHAnsi"/>
                <w:sz w:val="20"/>
                <w:szCs w:val="20"/>
                <w:lang w:val="fr-FR"/>
              </w:rPr>
              <w:t>pêche,</w:t>
            </w:r>
            <w:r w:rsidRPr="009D3EFE">
              <w:rPr>
                <w:rFonts w:asciiTheme="minorHAnsi" w:hAnsiTheme="minorHAnsi" w:cstheme="minorHAnsi"/>
                <w:spacing w:val="-3"/>
                <w:sz w:val="20"/>
                <w:szCs w:val="20"/>
                <w:lang w:val="fr-FR"/>
              </w:rPr>
              <w:t xml:space="preserve"> </w:t>
            </w:r>
            <w:r w:rsidRPr="009D3EFE">
              <w:rPr>
                <w:rFonts w:asciiTheme="minorHAnsi" w:hAnsiTheme="minorHAnsi" w:cstheme="minorHAnsi"/>
                <w:sz w:val="20"/>
                <w:szCs w:val="20"/>
                <w:lang w:val="fr-FR"/>
              </w:rPr>
              <w:t>exploitation</w:t>
            </w:r>
            <w:r w:rsidRPr="009D3EFE">
              <w:rPr>
                <w:rFonts w:asciiTheme="minorHAnsi" w:hAnsiTheme="minorHAnsi" w:cstheme="minorHAnsi"/>
                <w:spacing w:val="-2"/>
                <w:sz w:val="20"/>
                <w:szCs w:val="20"/>
                <w:lang w:val="fr-FR"/>
              </w:rPr>
              <w:t xml:space="preserve"> forestière</w:t>
            </w:r>
          </w:p>
        </w:tc>
        <w:tc>
          <w:tcPr>
            <w:tcW w:w="567" w:type="dxa"/>
            <w:tcBorders>
              <w:top w:val="single" w:sz="8" w:space="0" w:color="000000"/>
            </w:tcBorders>
          </w:tcPr>
          <w:p w14:paraId="1E42BE7D" w14:textId="77777777" w:rsidR="00412F22" w:rsidRPr="009D3EFE" w:rsidRDefault="00412F22" w:rsidP="00EE0E23">
            <w:pPr>
              <w:pStyle w:val="TableParagraph"/>
              <w:spacing w:before="2"/>
              <w:ind w:left="20"/>
              <w:rPr>
                <w:rFonts w:asciiTheme="minorHAnsi" w:hAnsiTheme="minorHAnsi" w:cstheme="minorHAnsi"/>
                <w:sz w:val="20"/>
                <w:szCs w:val="20"/>
              </w:rPr>
            </w:pPr>
            <w:r w:rsidRPr="009D3EFE">
              <w:rPr>
                <w:rFonts w:asciiTheme="minorHAnsi" w:hAnsiTheme="minorHAnsi" w:cstheme="minorHAnsi"/>
                <w:spacing w:val="-4"/>
                <w:sz w:val="20"/>
                <w:szCs w:val="20"/>
              </w:rPr>
              <w:t>57,8</w:t>
            </w:r>
          </w:p>
        </w:tc>
        <w:tc>
          <w:tcPr>
            <w:tcW w:w="682" w:type="dxa"/>
            <w:tcBorders>
              <w:top w:val="single" w:sz="8" w:space="0" w:color="000000"/>
            </w:tcBorders>
          </w:tcPr>
          <w:p w14:paraId="01928B72" w14:textId="77777777" w:rsidR="00412F22" w:rsidRPr="009D3EFE" w:rsidRDefault="00412F22" w:rsidP="00EE0E23">
            <w:pPr>
              <w:pStyle w:val="TableParagraph"/>
              <w:spacing w:before="2"/>
              <w:ind w:left="21" w:right="4"/>
              <w:rPr>
                <w:rFonts w:asciiTheme="minorHAnsi" w:hAnsiTheme="minorHAnsi" w:cstheme="minorHAnsi"/>
                <w:sz w:val="20"/>
                <w:szCs w:val="20"/>
              </w:rPr>
            </w:pPr>
            <w:r w:rsidRPr="009D3EFE">
              <w:rPr>
                <w:rFonts w:asciiTheme="minorHAnsi" w:hAnsiTheme="minorHAnsi" w:cstheme="minorHAnsi"/>
                <w:spacing w:val="-4"/>
                <w:sz w:val="20"/>
                <w:szCs w:val="20"/>
              </w:rPr>
              <w:t>58,8</w:t>
            </w:r>
          </w:p>
        </w:tc>
        <w:tc>
          <w:tcPr>
            <w:tcW w:w="685" w:type="dxa"/>
            <w:tcBorders>
              <w:top w:val="single" w:sz="8" w:space="0" w:color="000000"/>
            </w:tcBorders>
          </w:tcPr>
          <w:p w14:paraId="6DFC3335" w14:textId="77777777" w:rsidR="00412F22" w:rsidRPr="009D3EFE" w:rsidRDefault="00412F22" w:rsidP="00EE0E23">
            <w:pPr>
              <w:pStyle w:val="TableParagraph"/>
              <w:spacing w:before="2"/>
              <w:ind w:left="20" w:right="2"/>
              <w:rPr>
                <w:rFonts w:asciiTheme="minorHAnsi" w:hAnsiTheme="minorHAnsi" w:cstheme="minorHAnsi"/>
                <w:sz w:val="20"/>
                <w:szCs w:val="20"/>
              </w:rPr>
            </w:pPr>
            <w:r w:rsidRPr="009D3EFE">
              <w:rPr>
                <w:rFonts w:asciiTheme="minorHAnsi" w:hAnsiTheme="minorHAnsi" w:cstheme="minorHAnsi"/>
                <w:spacing w:val="-4"/>
                <w:sz w:val="20"/>
                <w:szCs w:val="20"/>
              </w:rPr>
              <w:t>63,7</w:t>
            </w:r>
          </w:p>
        </w:tc>
        <w:tc>
          <w:tcPr>
            <w:tcW w:w="682" w:type="dxa"/>
            <w:tcBorders>
              <w:top w:val="single" w:sz="8" w:space="0" w:color="000000"/>
            </w:tcBorders>
          </w:tcPr>
          <w:p w14:paraId="7F456B31" w14:textId="77777777" w:rsidR="00412F22" w:rsidRPr="009D3EFE" w:rsidRDefault="00412F22" w:rsidP="00EE0E23">
            <w:pPr>
              <w:pStyle w:val="TableParagraph"/>
              <w:spacing w:before="2"/>
              <w:ind w:left="21" w:right="5"/>
              <w:rPr>
                <w:rFonts w:asciiTheme="minorHAnsi" w:hAnsiTheme="minorHAnsi" w:cstheme="minorHAnsi"/>
                <w:sz w:val="20"/>
                <w:szCs w:val="20"/>
              </w:rPr>
            </w:pPr>
            <w:r w:rsidRPr="009D3EFE">
              <w:rPr>
                <w:rFonts w:asciiTheme="minorHAnsi" w:hAnsiTheme="minorHAnsi" w:cstheme="minorHAnsi"/>
                <w:spacing w:val="-4"/>
                <w:sz w:val="20"/>
                <w:szCs w:val="20"/>
              </w:rPr>
              <w:t>74,9</w:t>
            </w:r>
          </w:p>
        </w:tc>
        <w:tc>
          <w:tcPr>
            <w:tcW w:w="693" w:type="dxa"/>
            <w:tcBorders>
              <w:top w:val="single" w:sz="8" w:space="0" w:color="000000"/>
            </w:tcBorders>
          </w:tcPr>
          <w:p w14:paraId="252E349B" w14:textId="77777777" w:rsidR="00412F22" w:rsidRPr="009D3EFE" w:rsidRDefault="00412F22" w:rsidP="00EE0E23">
            <w:pPr>
              <w:pStyle w:val="TableParagraph"/>
              <w:spacing w:before="2"/>
              <w:ind w:left="20" w:right="2"/>
              <w:rPr>
                <w:rFonts w:asciiTheme="minorHAnsi" w:hAnsiTheme="minorHAnsi" w:cstheme="minorHAnsi"/>
                <w:sz w:val="20"/>
                <w:szCs w:val="20"/>
              </w:rPr>
            </w:pPr>
            <w:r w:rsidRPr="009D3EFE">
              <w:rPr>
                <w:rFonts w:asciiTheme="minorHAnsi" w:hAnsiTheme="minorHAnsi" w:cstheme="minorHAnsi"/>
                <w:spacing w:val="-4"/>
                <w:sz w:val="20"/>
                <w:szCs w:val="20"/>
              </w:rPr>
              <w:t>72,8</w:t>
            </w:r>
          </w:p>
        </w:tc>
      </w:tr>
      <w:tr w:rsidR="00412F22" w:rsidRPr="009D3EFE" w14:paraId="63BD84A0" w14:textId="77777777" w:rsidTr="00EE0E23">
        <w:trPr>
          <w:trHeight w:val="237"/>
        </w:trPr>
        <w:tc>
          <w:tcPr>
            <w:tcW w:w="6238" w:type="dxa"/>
            <w:tcBorders>
              <w:left w:val="single" w:sz="8" w:space="0" w:color="000000"/>
              <w:bottom w:val="single" w:sz="8" w:space="0" w:color="000000"/>
              <w:right w:val="single" w:sz="8" w:space="0" w:color="000000"/>
            </w:tcBorders>
            <w:shd w:val="clear" w:color="auto" w:fill="C5DFB3"/>
          </w:tcPr>
          <w:p w14:paraId="6BAE1D07" w14:textId="77777777" w:rsidR="00412F22" w:rsidRPr="009D3EFE" w:rsidRDefault="00412F22" w:rsidP="00EE0E23">
            <w:pPr>
              <w:pStyle w:val="TableParagraph"/>
              <w:spacing w:line="207" w:lineRule="exact"/>
              <w:ind w:left="342"/>
              <w:rPr>
                <w:rFonts w:asciiTheme="minorHAnsi" w:hAnsiTheme="minorHAnsi" w:cstheme="minorHAnsi"/>
                <w:sz w:val="20"/>
                <w:szCs w:val="20"/>
                <w:lang w:val="fr-FR"/>
              </w:rPr>
            </w:pPr>
            <w:r w:rsidRPr="009D3EFE">
              <w:rPr>
                <w:rFonts w:asciiTheme="minorHAnsi" w:hAnsiTheme="minorHAnsi" w:cstheme="minorHAnsi"/>
                <w:sz w:val="20"/>
                <w:szCs w:val="20"/>
                <w:lang w:val="fr-FR"/>
              </w:rPr>
              <w:t>1.</w:t>
            </w:r>
            <w:r w:rsidRPr="009D3EFE">
              <w:rPr>
                <w:rFonts w:asciiTheme="minorHAnsi" w:hAnsiTheme="minorHAnsi" w:cstheme="minorHAnsi"/>
                <w:spacing w:val="-4"/>
                <w:sz w:val="20"/>
                <w:szCs w:val="20"/>
                <w:lang w:val="fr-FR"/>
              </w:rPr>
              <w:t xml:space="preserve"> </w:t>
            </w:r>
            <w:r w:rsidRPr="009D3EFE">
              <w:rPr>
                <w:rFonts w:asciiTheme="minorHAnsi" w:hAnsiTheme="minorHAnsi" w:cstheme="minorHAnsi"/>
                <w:sz w:val="20"/>
                <w:szCs w:val="20"/>
                <w:lang w:val="fr-FR"/>
              </w:rPr>
              <w:t>1 Agriculture,</w:t>
            </w:r>
            <w:r w:rsidRPr="009D3EFE">
              <w:rPr>
                <w:rFonts w:asciiTheme="minorHAnsi" w:hAnsiTheme="minorHAnsi" w:cstheme="minorHAnsi"/>
                <w:spacing w:val="-2"/>
                <w:sz w:val="20"/>
                <w:szCs w:val="20"/>
                <w:lang w:val="fr-FR"/>
              </w:rPr>
              <w:t xml:space="preserve"> </w:t>
            </w:r>
            <w:r w:rsidRPr="009D3EFE">
              <w:rPr>
                <w:rFonts w:asciiTheme="minorHAnsi" w:hAnsiTheme="minorHAnsi" w:cstheme="minorHAnsi"/>
                <w:sz w:val="20"/>
                <w:szCs w:val="20"/>
                <w:lang w:val="fr-FR"/>
              </w:rPr>
              <w:t>Sylviculture</w:t>
            </w:r>
            <w:r w:rsidRPr="009D3EFE">
              <w:rPr>
                <w:rFonts w:asciiTheme="minorHAnsi" w:hAnsiTheme="minorHAnsi" w:cstheme="minorHAnsi"/>
                <w:spacing w:val="-4"/>
                <w:sz w:val="20"/>
                <w:szCs w:val="20"/>
                <w:lang w:val="fr-FR"/>
              </w:rPr>
              <w:t xml:space="preserve"> </w:t>
            </w:r>
            <w:r w:rsidRPr="009D3EFE">
              <w:rPr>
                <w:rFonts w:asciiTheme="minorHAnsi" w:hAnsiTheme="minorHAnsi" w:cstheme="minorHAnsi"/>
                <w:sz w:val="20"/>
                <w:szCs w:val="20"/>
                <w:lang w:val="fr-FR"/>
              </w:rPr>
              <w:t>et</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z w:val="20"/>
                <w:szCs w:val="20"/>
                <w:lang w:val="fr-FR"/>
              </w:rPr>
              <w:t>Exploit.</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pacing w:val="-2"/>
                <w:sz w:val="20"/>
                <w:szCs w:val="20"/>
                <w:lang w:val="fr-FR"/>
              </w:rPr>
              <w:t>Forestière</w:t>
            </w:r>
          </w:p>
        </w:tc>
        <w:tc>
          <w:tcPr>
            <w:tcW w:w="567" w:type="dxa"/>
            <w:tcBorders>
              <w:left w:val="single" w:sz="8" w:space="0" w:color="000000"/>
              <w:bottom w:val="single" w:sz="8" w:space="0" w:color="000000"/>
              <w:right w:val="single" w:sz="8" w:space="0" w:color="000000"/>
            </w:tcBorders>
            <w:shd w:val="clear" w:color="auto" w:fill="C5DFB3"/>
          </w:tcPr>
          <w:p w14:paraId="119C7A2D" w14:textId="77777777" w:rsidR="00412F22" w:rsidRPr="009D3EFE" w:rsidRDefault="00412F22" w:rsidP="00EE0E23">
            <w:pPr>
              <w:pStyle w:val="TableParagraph"/>
              <w:spacing w:line="207" w:lineRule="exact"/>
              <w:ind w:left="22" w:right="2"/>
              <w:rPr>
                <w:rFonts w:asciiTheme="minorHAnsi" w:hAnsiTheme="minorHAnsi" w:cstheme="minorHAnsi"/>
                <w:sz w:val="20"/>
                <w:szCs w:val="20"/>
              </w:rPr>
            </w:pPr>
            <w:r w:rsidRPr="009D3EFE">
              <w:rPr>
                <w:rFonts w:asciiTheme="minorHAnsi" w:hAnsiTheme="minorHAnsi" w:cstheme="minorHAnsi"/>
                <w:spacing w:val="-4"/>
                <w:sz w:val="20"/>
                <w:szCs w:val="20"/>
              </w:rPr>
              <w:t>12,1</w:t>
            </w:r>
          </w:p>
        </w:tc>
        <w:tc>
          <w:tcPr>
            <w:tcW w:w="682" w:type="dxa"/>
            <w:tcBorders>
              <w:left w:val="single" w:sz="8" w:space="0" w:color="000000"/>
              <w:bottom w:val="single" w:sz="8" w:space="0" w:color="000000"/>
              <w:right w:val="single" w:sz="8" w:space="0" w:color="000000"/>
            </w:tcBorders>
            <w:shd w:val="clear" w:color="auto" w:fill="C5DFB3"/>
          </w:tcPr>
          <w:p w14:paraId="3B07C1BA" w14:textId="77777777" w:rsidR="00412F22" w:rsidRPr="009D3EFE" w:rsidRDefault="00412F22" w:rsidP="00EE0E23">
            <w:pPr>
              <w:pStyle w:val="TableParagraph"/>
              <w:spacing w:line="207" w:lineRule="exact"/>
              <w:ind w:left="25" w:right="8"/>
              <w:rPr>
                <w:rFonts w:asciiTheme="minorHAnsi" w:hAnsiTheme="minorHAnsi" w:cstheme="minorHAnsi"/>
                <w:sz w:val="20"/>
                <w:szCs w:val="20"/>
              </w:rPr>
            </w:pPr>
            <w:r w:rsidRPr="009D3EFE">
              <w:rPr>
                <w:rFonts w:asciiTheme="minorHAnsi" w:hAnsiTheme="minorHAnsi" w:cstheme="minorHAnsi"/>
                <w:spacing w:val="-4"/>
                <w:sz w:val="20"/>
                <w:szCs w:val="20"/>
              </w:rPr>
              <w:t>11,8</w:t>
            </w:r>
          </w:p>
        </w:tc>
        <w:tc>
          <w:tcPr>
            <w:tcW w:w="685" w:type="dxa"/>
            <w:tcBorders>
              <w:left w:val="single" w:sz="8" w:space="0" w:color="000000"/>
              <w:bottom w:val="single" w:sz="8" w:space="0" w:color="000000"/>
              <w:right w:val="single" w:sz="8" w:space="0" w:color="000000"/>
            </w:tcBorders>
            <w:shd w:val="clear" w:color="auto" w:fill="C5DFB3"/>
          </w:tcPr>
          <w:p w14:paraId="339FCAF2" w14:textId="77777777" w:rsidR="00412F22" w:rsidRPr="009D3EFE" w:rsidRDefault="00412F22" w:rsidP="00EE0E23">
            <w:pPr>
              <w:pStyle w:val="TableParagraph"/>
              <w:spacing w:line="207" w:lineRule="exact"/>
              <w:ind w:left="20" w:right="2"/>
              <w:rPr>
                <w:rFonts w:asciiTheme="minorHAnsi" w:hAnsiTheme="minorHAnsi" w:cstheme="minorHAnsi"/>
                <w:sz w:val="20"/>
                <w:szCs w:val="20"/>
              </w:rPr>
            </w:pPr>
            <w:r w:rsidRPr="009D3EFE">
              <w:rPr>
                <w:rFonts w:asciiTheme="minorHAnsi" w:hAnsiTheme="minorHAnsi" w:cstheme="minorHAnsi"/>
                <w:spacing w:val="-4"/>
                <w:sz w:val="20"/>
                <w:szCs w:val="20"/>
              </w:rPr>
              <w:t>13,1</w:t>
            </w:r>
          </w:p>
        </w:tc>
        <w:tc>
          <w:tcPr>
            <w:tcW w:w="682" w:type="dxa"/>
            <w:tcBorders>
              <w:left w:val="single" w:sz="8" w:space="0" w:color="000000"/>
              <w:bottom w:val="single" w:sz="8" w:space="0" w:color="000000"/>
              <w:right w:val="single" w:sz="8" w:space="0" w:color="000000"/>
            </w:tcBorders>
            <w:shd w:val="clear" w:color="auto" w:fill="C5DFB3"/>
          </w:tcPr>
          <w:p w14:paraId="14397F9B" w14:textId="77777777" w:rsidR="00412F22" w:rsidRPr="009D3EFE" w:rsidRDefault="00412F22" w:rsidP="00EE0E23">
            <w:pPr>
              <w:pStyle w:val="TableParagraph"/>
              <w:spacing w:line="207" w:lineRule="exact"/>
              <w:ind w:left="25" w:right="9"/>
              <w:rPr>
                <w:rFonts w:asciiTheme="minorHAnsi" w:hAnsiTheme="minorHAnsi" w:cstheme="minorHAnsi"/>
                <w:sz w:val="20"/>
                <w:szCs w:val="20"/>
              </w:rPr>
            </w:pPr>
            <w:r w:rsidRPr="009D3EFE">
              <w:rPr>
                <w:rFonts w:asciiTheme="minorHAnsi" w:hAnsiTheme="minorHAnsi" w:cstheme="minorHAnsi"/>
                <w:spacing w:val="-4"/>
                <w:sz w:val="20"/>
                <w:szCs w:val="20"/>
              </w:rPr>
              <w:t>18,7</w:t>
            </w:r>
          </w:p>
        </w:tc>
        <w:tc>
          <w:tcPr>
            <w:tcW w:w="693" w:type="dxa"/>
            <w:tcBorders>
              <w:left w:val="single" w:sz="8" w:space="0" w:color="000000"/>
              <w:bottom w:val="single" w:sz="8" w:space="0" w:color="000000"/>
              <w:right w:val="single" w:sz="8" w:space="0" w:color="000000"/>
            </w:tcBorders>
            <w:shd w:val="clear" w:color="auto" w:fill="C5DFB3"/>
          </w:tcPr>
          <w:p w14:paraId="7CE1210A" w14:textId="77777777" w:rsidR="00412F22" w:rsidRPr="009D3EFE" w:rsidRDefault="00412F22" w:rsidP="00EE0E23">
            <w:pPr>
              <w:pStyle w:val="TableParagraph"/>
              <w:spacing w:line="207" w:lineRule="exact"/>
              <w:ind w:left="22" w:right="4"/>
              <w:rPr>
                <w:rFonts w:asciiTheme="minorHAnsi" w:hAnsiTheme="minorHAnsi" w:cstheme="minorHAnsi"/>
                <w:sz w:val="20"/>
                <w:szCs w:val="20"/>
              </w:rPr>
            </w:pPr>
            <w:r w:rsidRPr="009D3EFE">
              <w:rPr>
                <w:rFonts w:asciiTheme="minorHAnsi" w:hAnsiTheme="minorHAnsi" w:cstheme="minorHAnsi"/>
                <w:spacing w:val="-4"/>
                <w:sz w:val="20"/>
                <w:szCs w:val="20"/>
              </w:rPr>
              <w:t>20,4</w:t>
            </w:r>
          </w:p>
        </w:tc>
      </w:tr>
      <w:tr w:rsidR="00412F22" w:rsidRPr="009D3EFE" w14:paraId="39B623DB" w14:textId="77777777" w:rsidTr="00EE0E23">
        <w:trPr>
          <w:trHeight w:val="91"/>
        </w:trPr>
        <w:tc>
          <w:tcPr>
            <w:tcW w:w="6238" w:type="dxa"/>
            <w:tcBorders>
              <w:top w:val="single" w:sz="8" w:space="0" w:color="000000"/>
            </w:tcBorders>
          </w:tcPr>
          <w:p w14:paraId="7895E209" w14:textId="77777777" w:rsidR="00412F22" w:rsidRPr="009D3EFE" w:rsidRDefault="00412F22" w:rsidP="00EE0E23">
            <w:pPr>
              <w:pStyle w:val="TableParagraph"/>
              <w:spacing w:before="2"/>
              <w:ind w:left="347"/>
              <w:rPr>
                <w:rFonts w:asciiTheme="minorHAnsi" w:hAnsiTheme="minorHAnsi" w:cstheme="minorHAnsi"/>
                <w:sz w:val="20"/>
                <w:szCs w:val="20"/>
                <w:lang w:val="fr-FR"/>
              </w:rPr>
            </w:pPr>
            <w:r w:rsidRPr="009D3EFE">
              <w:rPr>
                <w:rFonts w:asciiTheme="minorHAnsi" w:hAnsiTheme="minorHAnsi" w:cstheme="minorHAnsi"/>
                <w:sz w:val="20"/>
                <w:szCs w:val="20"/>
                <w:lang w:val="fr-FR"/>
              </w:rPr>
              <w:t>1.</w:t>
            </w:r>
            <w:r w:rsidRPr="009D3EFE">
              <w:rPr>
                <w:rFonts w:asciiTheme="minorHAnsi" w:hAnsiTheme="minorHAnsi" w:cstheme="minorHAnsi"/>
                <w:spacing w:val="-3"/>
                <w:sz w:val="20"/>
                <w:szCs w:val="20"/>
                <w:lang w:val="fr-FR"/>
              </w:rPr>
              <w:t xml:space="preserve"> </w:t>
            </w:r>
            <w:r w:rsidRPr="009D3EFE">
              <w:rPr>
                <w:rFonts w:asciiTheme="minorHAnsi" w:hAnsiTheme="minorHAnsi" w:cstheme="minorHAnsi"/>
                <w:sz w:val="20"/>
                <w:szCs w:val="20"/>
                <w:lang w:val="fr-FR"/>
              </w:rPr>
              <w:t>2</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z w:val="20"/>
                <w:szCs w:val="20"/>
                <w:lang w:val="fr-FR"/>
              </w:rPr>
              <w:t>Elevage</w:t>
            </w:r>
            <w:r w:rsidRPr="009D3EFE">
              <w:rPr>
                <w:rFonts w:asciiTheme="minorHAnsi" w:hAnsiTheme="minorHAnsi" w:cstheme="minorHAnsi"/>
                <w:spacing w:val="-2"/>
                <w:sz w:val="20"/>
                <w:szCs w:val="20"/>
                <w:lang w:val="fr-FR"/>
              </w:rPr>
              <w:t xml:space="preserve"> </w:t>
            </w:r>
            <w:r w:rsidRPr="009D3EFE">
              <w:rPr>
                <w:rFonts w:asciiTheme="minorHAnsi" w:hAnsiTheme="minorHAnsi" w:cstheme="minorHAnsi"/>
                <w:sz w:val="20"/>
                <w:szCs w:val="20"/>
                <w:lang w:val="fr-FR"/>
              </w:rPr>
              <w:t xml:space="preserve">et </w:t>
            </w:r>
            <w:r w:rsidRPr="009D3EFE">
              <w:rPr>
                <w:rFonts w:asciiTheme="minorHAnsi" w:hAnsiTheme="minorHAnsi" w:cstheme="minorHAnsi"/>
                <w:spacing w:val="-2"/>
                <w:sz w:val="20"/>
                <w:szCs w:val="20"/>
                <w:lang w:val="fr-FR"/>
              </w:rPr>
              <w:t>chasse</w:t>
            </w:r>
          </w:p>
        </w:tc>
        <w:tc>
          <w:tcPr>
            <w:tcW w:w="567" w:type="dxa"/>
            <w:tcBorders>
              <w:top w:val="single" w:sz="8" w:space="0" w:color="000000"/>
            </w:tcBorders>
          </w:tcPr>
          <w:p w14:paraId="290D7366" w14:textId="77777777" w:rsidR="00412F22" w:rsidRPr="009D3EFE" w:rsidRDefault="00412F22" w:rsidP="00EE0E23">
            <w:pPr>
              <w:pStyle w:val="TableParagraph"/>
              <w:spacing w:before="2"/>
              <w:ind w:left="20"/>
              <w:rPr>
                <w:rFonts w:asciiTheme="minorHAnsi" w:hAnsiTheme="minorHAnsi" w:cstheme="minorHAnsi"/>
                <w:sz w:val="20"/>
                <w:szCs w:val="20"/>
              </w:rPr>
            </w:pPr>
            <w:r w:rsidRPr="009D3EFE">
              <w:rPr>
                <w:rFonts w:asciiTheme="minorHAnsi" w:hAnsiTheme="minorHAnsi" w:cstheme="minorHAnsi"/>
                <w:spacing w:val="-4"/>
                <w:sz w:val="20"/>
                <w:szCs w:val="20"/>
              </w:rPr>
              <w:t>26,8</w:t>
            </w:r>
          </w:p>
        </w:tc>
        <w:tc>
          <w:tcPr>
            <w:tcW w:w="682" w:type="dxa"/>
            <w:tcBorders>
              <w:top w:val="single" w:sz="8" w:space="0" w:color="000000"/>
            </w:tcBorders>
          </w:tcPr>
          <w:p w14:paraId="0410DAE9" w14:textId="77777777" w:rsidR="00412F22" w:rsidRPr="009D3EFE" w:rsidRDefault="00412F22" w:rsidP="00EE0E23">
            <w:pPr>
              <w:pStyle w:val="TableParagraph"/>
              <w:spacing w:before="2"/>
              <w:ind w:left="21" w:right="4"/>
              <w:rPr>
                <w:rFonts w:asciiTheme="minorHAnsi" w:hAnsiTheme="minorHAnsi" w:cstheme="minorHAnsi"/>
                <w:sz w:val="20"/>
                <w:szCs w:val="20"/>
              </w:rPr>
            </w:pPr>
            <w:r w:rsidRPr="009D3EFE">
              <w:rPr>
                <w:rFonts w:asciiTheme="minorHAnsi" w:hAnsiTheme="minorHAnsi" w:cstheme="minorHAnsi"/>
                <w:spacing w:val="-4"/>
                <w:sz w:val="20"/>
                <w:szCs w:val="20"/>
              </w:rPr>
              <w:t>27,8</w:t>
            </w:r>
          </w:p>
        </w:tc>
        <w:tc>
          <w:tcPr>
            <w:tcW w:w="685" w:type="dxa"/>
            <w:tcBorders>
              <w:top w:val="single" w:sz="8" w:space="0" w:color="000000"/>
            </w:tcBorders>
          </w:tcPr>
          <w:p w14:paraId="15AAE1BB" w14:textId="77777777" w:rsidR="00412F22" w:rsidRPr="009D3EFE" w:rsidRDefault="00412F22" w:rsidP="00EE0E23">
            <w:pPr>
              <w:pStyle w:val="TableParagraph"/>
              <w:spacing w:before="2"/>
              <w:ind w:left="20" w:right="2"/>
              <w:rPr>
                <w:rFonts w:asciiTheme="minorHAnsi" w:hAnsiTheme="minorHAnsi" w:cstheme="minorHAnsi"/>
                <w:sz w:val="20"/>
                <w:szCs w:val="20"/>
              </w:rPr>
            </w:pPr>
            <w:r w:rsidRPr="009D3EFE">
              <w:rPr>
                <w:rFonts w:asciiTheme="minorHAnsi" w:hAnsiTheme="minorHAnsi" w:cstheme="minorHAnsi"/>
                <w:spacing w:val="-4"/>
                <w:sz w:val="20"/>
                <w:szCs w:val="20"/>
              </w:rPr>
              <w:t>33,7</w:t>
            </w:r>
          </w:p>
        </w:tc>
        <w:tc>
          <w:tcPr>
            <w:tcW w:w="682" w:type="dxa"/>
            <w:tcBorders>
              <w:top w:val="single" w:sz="8" w:space="0" w:color="000000"/>
            </w:tcBorders>
          </w:tcPr>
          <w:p w14:paraId="57A2888A" w14:textId="77777777" w:rsidR="00412F22" w:rsidRPr="009D3EFE" w:rsidRDefault="00412F22" w:rsidP="00EE0E23">
            <w:pPr>
              <w:pStyle w:val="TableParagraph"/>
              <w:spacing w:before="2"/>
              <w:ind w:left="21" w:right="5"/>
              <w:rPr>
                <w:rFonts w:asciiTheme="minorHAnsi" w:hAnsiTheme="minorHAnsi" w:cstheme="minorHAnsi"/>
                <w:sz w:val="20"/>
                <w:szCs w:val="20"/>
              </w:rPr>
            </w:pPr>
            <w:r w:rsidRPr="009D3EFE">
              <w:rPr>
                <w:rFonts w:asciiTheme="minorHAnsi" w:hAnsiTheme="minorHAnsi" w:cstheme="minorHAnsi"/>
                <w:spacing w:val="-4"/>
                <w:sz w:val="20"/>
                <w:szCs w:val="20"/>
              </w:rPr>
              <w:t>41,0</w:t>
            </w:r>
          </w:p>
        </w:tc>
        <w:tc>
          <w:tcPr>
            <w:tcW w:w="693" w:type="dxa"/>
            <w:tcBorders>
              <w:top w:val="single" w:sz="8" w:space="0" w:color="000000"/>
            </w:tcBorders>
          </w:tcPr>
          <w:p w14:paraId="115D0C86" w14:textId="77777777" w:rsidR="00412F22" w:rsidRPr="009D3EFE" w:rsidRDefault="00412F22" w:rsidP="00EE0E23">
            <w:pPr>
              <w:pStyle w:val="TableParagraph"/>
              <w:spacing w:before="2"/>
              <w:ind w:left="20" w:right="2"/>
              <w:rPr>
                <w:rFonts w:asciiTheme="minorHAnsi" w:hAnsiTheme="minorHAnsi" w:cstheme="minorHAnsi"/>
                <w:sz w:val="20"/>
                <w:szCs w:val="20"/>
              </w:rPr>
            </w:pPr>
            <w:r w:rsidRPr="009D3EFE">
              <w:rPr>
                <w:rFonts w:asciiTheme="minorHAnsi" w:hAnsiTheme="minorHAnsi" w:cstheme="minorHAnsi"/>
                <w:spacing w:val="-4"/>
                <w:sz w:val="20"/>
                <w:szCs w:val="20"/>
              </w:rPr>
              <w:t>41,6</w:t>
            </w:r>
          </w:p>
        </w:tc>
      </w:tr>
      <w:tr w:rsidR="00412F22" w:rsidRPr="009D3EFE" w14:paraId="1ACAC8FF" w14:textId="77777777" w:rsidTr="00EE0E23">
        <w:trPr>
          <w:trHeight w:val="237"/>
        </w:trPr>
        <w:tc>
          <w:tcPr>
            <w:tcW w:w="6238" w:type="dxa"/>
            <w:tcBorders>
              <w:left w:val="single" w:sz="8" w:space="0" w:color="000000"/>
              <w:bottom w:val="single" w:sz="8" w:space="0" w:color="000000"/>
              <w:right w:val="single" w:sz="8" w:space="0" w:color="000000"/>
            </w:tcBorders>
            <w:shd w:val="clear" w:color="auto" w:fill="C5DFB3"/>
          </w:tcPr>
          <w:p w14:paraId="1B8A64B9" w14:textId="77777777" w:rsidR="00412F22" w:rsidRPr="009D3EFE" w:rsidRDefault="00412F22" w:rsidP="00EE0E23">
            <w:pPr>
              <w:pStyle w:val="TableParagraph"/>
              <w:spacing w:line="207" w:lineRule="exact"/>
              <w:ind w:left="342"/>
              <w:rPr>
                <w:rFonts w:asciiTheme="minorHAnsi" w:hAnsiTheme="minorHAnsi" w:cstheme="minorHAnsi"/>
                <w:sz w:val="20"/>
                <w:szCs w:val="20"/>
                <w:lang w:val="fr-FR"/>
              </w:rPr>
            </w:pPr>
            <w:r w:rsidRPr="009D3EFE">
              <w:rPr>
                <w:rFonts w:asciiTheme="minorHAnsi" w:hAnsiTheme="minorHAnsi" w:cstheme="minorHAnsi"/>
                <w:sz w:val="20"/>
                <w:szCs w:val="20"/>
                <w:lang w:val="fr-FR"/>
              </w:rPr>
              <w:t>1.</w:t>
            </w:r>
            <w:r w:rsidRPr="009D3EFE">
              <w:rPr>
                <w:rFonts w:asciiTheme="minorHAnsi" w:hAnsiTheme="minorHAnsi" w:cstheme="minorHAnsi"/>
                <w:spacing w:val="-4"/>
                <w:sz w:val="20"/>
                <w:szCs w:val="20"/>
                <w:lang w:val="fr-FR"/>
              </w:rPr>
              <w:t xml:space="preserve"> </w:t>
            </w:r>
            <w:r w:rsidRPr="009D3EFE">
              <w:rPr>
                <w:rFonts w:asciiTheme="minorHAnsi" w:hAnsiTheme="minorHAnsi" w:cstheme="minorHAnsi"/>
                <w:sz w:val="20"/>
                <w:szCs w:val="20"/>
                <w:lang w:val="fr-FR"/>
              </w:rPr>
              <w:t xml:space="preserve">3 </w:t>
            </w:r>
            <w:r w:rsidRPr="009D3EFE">
              <w:rPr>
                <w:rFonts w:asciiTheme="minorHAnsi" w:hAnsiTheme="minorHAnsi" w:cstheme="minorHAnsi"/>
                <w:spacing w:val="-2"/>
                <w:sz w:val="20"/>
                <w:szCs w:val="20"/>
                <w:lang w:val="fr-FR"/>
              </w:rPr>
              <w:t>Pêche</w:t>
            </w:r>
          </w:p>
        </w:tc>
        <w:tc>
          <w:tcPr>
            <w:tcW w:w="567" w:type="dxa"/>
            <w:tcBorders>
              <w:left w:val="single" w:sz="8" w:space="0" w:color="000000"/>
              <w:bottom w:val="single" w:sz="8" w:space="0" w:color="000000"/>
              <w:right w:val="single" w:sz="8" w:space="0" w:color="000000"/>
            </w:tcBorders>
            <w:shd w:val="clear" w:color="auto" w:fill="C5DFB3"/>
          </w:tcPr>
          <w:p w14:paraId="2746D0B8" w14:textId="77777777" w:rsidR="00412F22" w:rsidRPr="009D3EFE" w:rsidRDefault="00412F22" w:rsidP="00EE0E23">
            <w:pPr>
              <w:pStyle w:val="TableParagraph"/>
              <w:spacing w:line="207" w:lineRule="exact"/>
              <w:ind w:left="22" w:right="2"/>
              <w:rPr>
                <w:rFonts w:asciiTheme="minorHAnsi" w:hAnsiTheme="minorHAnsi" w:cstheme="minorHAnsi"/>
                <w:sz w:val="20"/>
                <w:szCs w:val="20"/>
              </w:rPr>
            </w:pPr>
            <w:r w:rsidRPr="009D3EFE">
              <w:rPr>
                <w:rFonts w:asciiTheme="minorHAnsi" w:hAnsiTheme="minorHAnsi" w:cstheme="minorHAnsi"/>
                <w:spacing w:val="-4"/>
                <w:sz w:val="20"/>
                <w:szCs w:val="20"/>
              </w:rPr>
              <w:t>18,9</w:t>
            </w:r>
          </w:p>
        </w:tc>
        <w:tc>
          <w:tcPr>
            <w:tcW w:w="682" w:type="dxa"/>
            <w:tcBorders>
              <w:left w:val="single" w:sz="8" w:space="0" w:color="000000"/>
              <w:bottom w:val="single" w:sz="8" w:space="0" w:color="000000"/>
              <w:right w:val="single" w:sz="8" w:space="0" w:color="000000"/>
            </w:tcBorders>
            <w:shd w:val="clear" w:color="auto" w:fill="C5DFB3"/>
          </w:tcPr>
          <w:p w14:paraId="62C1EF92" w14:textId="77777777" w:rsidR="00412F22" w:rsidRPr="009D3EFE" w:rsidRDefault="00412F22" w:rsidP="00EE0E23">
            <w:pPr>
              <w:pStyle w:val="TableParagraph"/>
              <w:spacing w:line="207" w:lineRule="exact"/>
              <w:ind w:left="25" w:right="8"/>
              <w:rPr>
                <w:rFonts w:asciiTheme="minorHAnsi" w:hAnsiTheme="minorHAnsi" w:cstheme="minorHAnsi"/>
                <w:sz w:val="20"/>
                <w:szCs w:val="20"/>
              </w:rPr>
            </w:pPr>
            <w:r w:rsidRPr="009D3EFE">
              <w:rPr>
                <w:rFonts w:asciiTheme="minorHAnsi" w:hAnsiTheme="minorHAnsi" w:cstheme="minorHAnsi"/>
                <w:spacing w:val="-4"/>
                <w:sz w:val="20"/>
                <w:szCs w:val="20"/>
              </w:rPr>
              <w:t>19,2</w:t>
            </w:r>
          </w:p>
        </w:tc>
        <w:tc>
          <w:tcPr>
            <w:tcW w:w="685" w:type="dxa"/>
            <w:tcBorders>
              <w:left w:val="single" w:sz="8" w:space="0" w:color="000000"/>
              <w:bottom w:val="single" w:sz="8" w:space="0" w:color="000000"/>
              <w:right w:val="single" w:sz="8" w:space="0" w:color="000000"/>
            </w:tcBorders>
            <w:shd w:val="clear" w:color="auto" w:fill="C5DFB3"/>
          </w:tcPr>
          <w:p w14:paraId="45108DE1" w14:textId="77777777" w:rsidR="00412F22" w:rsidRPr="009D3EFE" w:rsidRDefault="00412F22" w:rsidP="00EE0E23">
            <w:pPr>
              <w:pStyle w:val="TableParagraph"/>
              <w:spacing w:line="207" w:lineRule="exact"/>
              <w:ind w:left="20" w:right="2"/>
              <w:rPr>
                <w:rFonts w:asciiTheme="minorHAnsi" w:hAnsiTheme="minorHAnsi" w:cstheme="minorHAnsi"/>
                <w:sz w:val="20"/>
                <w:szCs w:val="20"/>
              </w:rPr>
            </w:pPr>
            <w:r w:rsidRPr="009D3EFE">
              <w:rPr>
                <w:rFonts w:asciiTheme="minorHAnsi" w:hAnsiTheme="minorHAnsi" w:cstheme="minorHAnsi"/>
                <w:spacing w:val="-4"/>
                <w:sz w:val="20"/>
                <w:szCs w:val="20"/>
              </w:rPr>
              <w:t>16,9</w:t>
            </w:r>
          </w:p>
        </w:tc>
        <w:tc>
          <w:tcPr>
            <w:tcW w:w="682" w:type="dxa"/>
            <w:tcBorders>
              <w:left w:val="single" w:sz="8" w:space="0" w:color="000000"/>
              <w:bottom w:val="single" w:sz="8" w:space="0" w:color="000000"/>
              <w:right w:val="single" w:sz="8" w:space="0" w:color="000000"/>
            </w:tcBorders>
            <w:shd w:val="clear" w:color="auto" w:fill="C5DFB3"/>
          </w:tcPr>
          <w:p w14:paraId="271FC269" w14:textId="77777777" w:rsidR="00412F22" w:rsidRPr="009D3EFE" w:rsidRDefault="00412F22" w:rsidP="00EE0E23">
            <w:pPr>
              <w:pStyle w:val="TableParagraph"/>
              <w:spacing w:line="207" w:lineRule="exact"/>
              <w:ind w:left="25" w:right="9"/>
              <w:rPr>
                <w:rFonts w:asciiTheme="minorHAnsi" w:hAnsiTheme="minorHAnsi" w:cstheme="minorHAnsi"/>
                <w:sz w:val="20"/>
                <w:szCs w:val="20"/>
              </w:rPr>
            </w:pPr>
            <w:r w:rsidRPr="009D3EFE">
              <w:rPr>
                <w:rFonts w:asciiTheme="minorHAnsi" w:hAnsiTheme="minorHAnsi" w:cstheme="minorHAnsi"/>
                <w:spacing w:val="-4"/>
                <w:sz w:val="20"/>
                <w:szCs w:val="20"/>
              </w:rPr>
              <w:t>15,3</w:t>
            </w:r>
          </w:p>
        </w:tc>
        <w:tc>
          <w:tcPr>
            <w:tcW w:w="693" w:type="dxa"/>
            <w:tcBorders>
              <w:left w:val="single" w:sz="8" w:space="0" w:color="000000"/>
              <w:bottom w:val="single" w:sz="8" w:space="0" w:color="000000"/>
              <w:right w:val="single" w:sz="8" w:space="0" w:color="000000"/>
            </w:tcBorders>
            <w:shd w:val="clear" w:color="auto" w:fill="C5DFB3"/>
          </w:tcPr>
          <w:p w14:paraId="08720F8A" w14:textId="77777777" w:rsidR="00412F22" w:rsidRPr="009D3EFE" w:rsidRDefault="00412F22" w:rsidP="00EE0E23">
            <w:pPr>
              <w:pStyle w:val="TableParagraph"/>
              <w:spacing w:line="207" w:lineRule="exact"/>
              <w:ind w:left="22" w:right="4"/>
              <w:rPr>
                <w:rFonts w:asciiTheme="minorHAnsi" w:hAnsiTheme="minorHAnsi" w:cstheme="minorHAnsi"/>
                <w:sz w:val="20"/>
                <w:szCs w:val="20"/>
              </w:rPr>
            </w:pPr>
            <w:r w:rsidRPr="009D3EFE">
              <w:rPr>
                <w:rFonts w:asciiTheme="minorHAnsi" w:hAnsiTheme="minorHAnsi" w:cstheme="minorHAnsi"/>
                <w:spacing w:val="-4"/>
                <w:sz w:val="20"/>
                <w:szCs w:val="20"/>
              </w:rPr>
              <w:t>10,8</w:t>
            </w:r>
          </w:p>
        </w:tc>
      </w:tr>
      <w:tr w:rsidR="00412F22" w:rsidRPr="009D3EFE" w14:paraId="08F3BDDD" w14:textId="77777777" w:rsidTr="00EE0E23">
        <w:trPr>
          <w:trHeight w:val="217"/>
        </w:trPr>
        <w:tc>
          <w:tcPr>
            <w:tcW w:w="6238" w:type="dxa"/>
            <w:tcBorders>
              <w:top w:val="single" w:sz="8" w:space="0" w:color="000000"/>
              <w:left w:val="single" w:sz="8" w:space="0" w:color="000000"/>
              <w:bottom w:val="single" w:sz="8" w:space="0" w:color="000000"/>
              <w:right w:val="single" w:sz="8" w:space="0" w:color="000000"/>
            </w:tcBorders>
            <w:shd w:val="clear" w:color="auto" w:fill="C5DFB3"/>
          </w:tcPr>
          <w:p w14:paraId="708DAA63" w14:textId="77777777" w:rsidR="00412F22" w:rsidRPr="009D3EFE" w:rsidRDefault="00412F22" w:rsidP="00EE0E23">
            <w:pPr>
              <w:pStyle w:val="TableParagraph"/>
              <w:spacing w:before="2"/>
              <w:ind w:left="71"/>
              <w:rPr>
                <w:rFonts w:asciiTheme="minorHAnsi" w:hAnsiTheme="minorHAnsi" w:cstheme="minorHAnsi"/>
                <w:b/>
                <w:sz w:val="18"/>
                <w:szCs w:val="18"/>
                <w:lang w:val="fr-FR"/>
              </w:rPr>
            </w:pPr>
            <w:r w:rsidRPr="009D3EFE">
              <w:rPr>
                <w:rFonts w:asciiTheme="minorHAnsi" w:hAnsiTheme="minorHAnsi" w:cstheme="minorHAnsi"/>
                <w:b/>
                <w:sz w:val="18"/>
                <w:szCs w:val="18"/>
                <w:lang w:val="fr-FR"/>
              </w:rPr>
              <w:t>Secteur</w:t>
            </w:r>
            <w:r w:rsidRPr="009D3EFE">
              <w:rPr>
                <w:rFonts w:asciiTheme="minorHAnsi" w:hAnsiTheme="minorHAnsi" w:cstheme="minorHAnsi"/>
                <w:b/>
                <w:spacing w:val="-6"/>
                <w:sz w:val="18"/>
                <w:szCs w:val="18"/>
                <w:lang w:val="fr-FR"/>
              </w:rPr>
              <w:t xml:space="preserve"> </w:t>
            </w:r>
            <w:r w:rsidRPr="009D3EFE">
              <w:rPr>
                <w:rFonts w:asciiTheme="minorHAnsi" w:hAnsiTheme="minorHAnsi" w:cstheme="minorHAnsi"/>
                <w:b/>
                <w:spacing w:val="-2"/>
                <w:sz w:val="18"/>
                <w:szCs w:val="18"/>
                <w:lang w:val="fr-FR"/>
              </w:rPr>
              <w:t>secondaire</w:t>
            </w:r>
          </w:p>
        </w:tc>
        <w:tc>
          <w:tcPr>
            <w:tcW w:w="567" w:type="dxa"/>
            <w:tcBorders>
              <w:top w:val="single" w:sz="8" w:space="0" w:color="000000"/>
              <w:left w:val="single" w:sz="8" w:space="0" w:color="000000"/>
              <w:bottom w:val="single" w:sz="8" w:space="0" w:color="000000"/>
              <w:right w:val="single" w:sz="8" w:space="0" w:color="000000"/>
            </w:tcBorders>
            <w:shd w:val="clear" w:color="auto" w:fill="C5DFB3"/>
          </w:tcPr>
          <w:p w14:paraId="05CE8A4F" w14:textId="77777777" w:rsidR="00412F22" w:rsidRPr="009D3EFE" w:rsidRDefault="00412F22" w:rsidP="00EE0E23">
            <w:pPr>
              <w:pStyle w:val="TableParagraph"/>
              <w:spacing w:before="2"/>
              <w:ind w:left="22" w:right="2"/>
              <w:rPr>
                <w:rFonts w:asciiTheme="minorHAnsi" w:hAnsiTheme="minorHAnsi" w:cstheme="minorHAnsi"/>
                <w:b/>
                <w:sz w:val="18"/>
                <w:szCs w:val="18"/>
              </w:rPr>
            </w:pPr>
            <w:r w:rsidRPr="009D3EFE">
              <w:rPr>
                <w:rFonts w:asciiTheme="minorHAnsi" w:hAnsiTheme="minorHAnsi" w:cstheme="minorHAnsi"/>
                <w:b/>
                <w:spacing w:val="-4"/>
                <w:sz w:val="18"/>
                <w:szCs w:val="18"/>
              </w:rPr>
              <w:t>82,8</w:t>
            </w:r>
          </w:p>
        </w:tc>
        <w:tc>
          <w:tcPr>
            <w:tcW w:w="682" w:type="dxa"/>
            <w:tcBorders>
              <w:top w:val="single" w:sz="8" w:space="0" w:color="000000"/>
              <w:left w:val="single" w:sz="8" w:space="0" w:color="000000"/>
              <w:bottom w:val="single" w:sz="8" w:space="0" w:color="000000"/>
              <w:right w:val="single" w:sz="8" w:space="0" w:color="000000"/>
            </w:tcBorders>
            <w:shd w:val="clear" w:color="auto" w:fill="C5DFB3"/>
          </w:tcPr>
          <w:p w14:paraId="5F9CB35E" w14:textId="77777777" w:rsidR="00412F22" w:rsidRPr="009D3EFE" w:rsidRDefault="00412F22" w:rsidP="00EE0E23">
            <w:pPr>
              <w:pStyle w:val="TableParagraph"/>
              <w:spacing w:before="2"/>
              <w:ind w:left="25" w:right="8"/>
              <w:rPr>
                <w:rFonts w:asciiTheme="minorHAnsi" w:hAnsiTheme="minorHAnsi" w:cstheme="minorHAnsi"/>
                <w:b/>
                <w:sz w:val="18"/>
                <w:szCs w:val="18"/>
              </w:rPr>
            </w:pPr>
            <w:r w:rsidRPr="009D3EFE">
              <w:rPr>
                <w:rFonts w:asciiTheme="minorHAnsi" w:hAnsiTheme="minorHAnsi" w:cstheme="minorHAnsi"/>
                <w:b/>
                <w:spacing w:val="-2"/>
                <w:sz w:val="18"/>
                <w:szCs w:val="18"/>
              </w:rPr>
              <w:t>103,4</w:t>
            </w:r>
          </w:p>
        </w:tc>
        <w:tc>
          <w:tcPr>
            <w:tcW w:w="685" w:type="dxa"/>
            <w:tcBorders>
              <w:top w:val="single" w:sz="8" w:space="0" w:color="000000"/>
              <w:left w:val="single" w:sz="8" w:space="0" w:color="000000"/>
              <w:bottom w:val="single" w:sz="8" w:space="0" w:color="000000"/>
              <w:right w:val="single" w:sz="8" w:space="0" w:color="000000"/>
            </w:tcBorders>
            <w:shd w:val="clear" w:color="auto" w:fill="C5DFB3"/>
          </w:tcPr>
          <w:p w14:paraId="1999FF9B" w14:textId="77777777" w:rsidR="00412F22" w:rsidRPr="009D3EFE" w:rsidRDefault="00412F22" w:rsidP="00EE0E23">
            <w:pPr>
              <w:pStyle w:val="TableParagraph"/>
              <w:spacing w:before="2"/>
              <w:ind w:left="20" w:right="2"/>
              <w:rPr>
                <w:rFonts w:asciiTheme="minorHAnsi" w:hAnsiTheme="minorHAnsi" w:cstheme="minorHAnsi"/>
                <w:b/>
                <w:sz w:val="18"/>
                <w:szCs w:val="18"/>
              </w:rPr>
            </w:pPr>
            <w:r w:rsidRPr="009D3EFE">
              <w:rPr>
                <w:rFonts w:asciiTheme="minorHAnsi" w:hAnsiTheme="minorHAnsi" w:cstheme="minorHAnsi"/>
                <w:b/>
                <w:spacing w:val="-2"/>
                <w:sz w:val="18"/>
                <w:szCs w:val="18"/>
              </w:rPr>
              <w:t>106,7</w:t>
            </w:r>
          </w:p>
        </w:tc>
        <w:tc>
          <w:tcPr>
            <w:tcW w:w="682" w:type="dxa"/>
            <w:tcBorders>
              <w:top w:val="single" w:sz="8" w:space="0" w:color="000000"/>
              <w:left w:val="single" w:sz="8" w:space="0" w:color="000000"/>
              <w:bottom w:val="single" w:sz="8" w:space="0" w:color="000000"/>
              <w:right w:val="single" w:sz="8" w:space="0" w:color="000000"/>
            </w:tcBorders>
            <w:shd w:val="clear" w:color="auto" w:fill="C5DFB3"/>
          </w:tcPr>
          <w:p w14:paraId="43EFAAB6" w14:textId="77777777" w:rsidR="00412F22" w:rsidRPr="009D3EFE" w:rsidRDefault="00412F22" w:rsidP="00EE0E23">
            <w:pPr>
              <w:pStyle w:val="TableParagraph"/>
              <w:spacing w:before="2"/>
              <w:ind w:left="25" w:right="10"/>
              <w:rPr>
                <w:rFonts w:asciiTheme="minorHAnsi" w:hAnsiTheme="minorHAnsi" w:cstheme="minorHAnsi"/>
                <w:b/>
                <w:sz w:val="18"/>
                <w:szCs w:val="18"/>
              </w:rPr>
            </w:pPr>
            <w:r w:rsidRPr="009D3EFE">
              <w:rPr>
                <w:rFonts w:asciiTheme="minorHAnsi" w:hAnsiTheme="minorHAnsi" w:cstheme="minorHAnsi"/>
                <w:b/>
                <w:spacing w:val="-2"/>
                <w:sz w:val="18"/>
                <w:szCs w:val="18"/>
              </w:rPr>
              <w:t>102,9</w:t>
            </w:r>
          </w:p>
        </w:tc>
        <w:tc>
          <w:tcPr>
            <w:tcW w:w="693" w:type="dxa"/>
            <w:tcBorders>
              <w:top w:val="single" w:sz="8" w:space="0" w:color="000000"/>
              <w:left w:val="single" w:sz="8" w:space="0" w:color="000000"/>
              <w:bottom w:val="single" w:sz="8" w:space="0" w:color="000000"/>
              <w:right w:val="single" w:sz="8" w:space="0" w:color="000000"/>
            </w:tcBorders>
            <w:shd w:val="clear" w:color="auto" w:fill="C5DFB3"/>
          </w:tcPr>
          <w:p w14:paraId="5C74D3F1" w14:textId="77777777" w:rsidR="00412F22" w:rsidRPr="009D3EFE" w:rsidRDefault="00412F22" w:rsidP="00EE0E23">
            <w:pPr>
              <w:pStyle w:val="TableParagraph"/>
              <w:spacing w:before="2"/>
              <w:ind w:left="22" w:right="5"/>
              <w:rPr>
                <w:rFonts w:asciiTheme="minorHAnsi" w:hAnsiTheme="minorHAnsi" w:cstheme="minorHAnsi"/>
                <w:b/>
                <w:sz w:val="18"/>
                <w:szCs w:val="18"/>
              </w:rPr>
            </w:pPr>
            <w:r w:rsidRPr="009D3EFE">
              <w:rPr>
                <w:rFonts w:asciiTheme="minorHAnsi" w:hAnsiTheme="minorHAnsi" w:cstheme="minorHAnsi"/>
                <w:b/>
                <w:spacing w:val="-2"/>
                <w:sz w:val="18"/>
                <w:szCs w:val="18"/>
              </w:rPr>
              <w:t>118,9</w:t>
            </w:r>
          </w:p>
        </w:tc>
      </w:tr>
      <w:tr w:rsidR="00412F22" w:rsidRPr="009D3EFE" w14:paraId="0DCB2535" w14:textId="77777777" w:rsidTr="00EE0E23">
        <w:trPr>
          <w:trHeight w:val="174"/>
        </w:trPr>
        <w:tc>
          <w:tcPr>
            <w:tcW w:w="6238" w:type="dxa"/>
            <w:tcBorders>
              <w:top w:val="single" w:sz="8" w:space="0" w:color="000000"/>
            </w:tcBorders>
          </w:tcPr>
          <w:p w14:paraId="09C77DB0" w14:textId="77777777" w:rsidR="00412F22" w:rsidRPr="009D3EFE" w:rsidRDefault="00412F22" w:rsidP="00EE0E23">
            <w:pPr>
              <w:pStyle w:val="TableParagraph"/>
              <w:spacing w:line="207" w:lineRule="exact"/>
              <w:ind w:left="76"/>
              <w:rPr>
                <w:rFonts w:asciiTheme="minorHAnsi" w:hAnsiTheme="minorHAnsi" w:cstheme="minorHAnsi"/>
                <w:sz w:val="20"/>
                <w:szCs w:val="20"/>
                <w:lang w:val="fr-FR"/>
              </w:rPr>
            </w:pPr>
            <w:r w:rsidRPr="009D3EFE">
              <w:rPr>
                <w:rFonts w:asciiTheme="minorHAnsi" w:hAnsiTheme="minorHAnsi" w:cstheme="minorHAnsi"/>
                <w:sz w:val="20"/>
                <w:szCs w:val="20"/>
                <w:lang w:val="fr-FR"/>
              </w:rPr>
              <w:t>2.</w:t>
            </w:r>
            <w:r w:rsidRPr="009D3EFE">
              <w:rPr>
                <w:rFonts w:asciiTheme="minorHAnsi" w:hAnsiTheme="minorHAnsi" w:cstheme="minorHAnsi"/>
                <w:spacing w:val="-2"/>
                <w:sz w:val="20"/>
                <w:szCs w:val="20"/>
                <w:lang w:val="fr-FR"/>
              </w:rPr>
              <w:t xml:space="preserve"> </w:t>
            </w:r>
            <w:r w:rsidRPr="009D3EFE">
              <w:rPr>
                <w:rFonts w:asciiTheme="minorHAnsi" w:hAnsiTheme="minorHAnsi" w:cstheme="minorHAnsi"/>
                <w:sz w:val="20"/>
                <w:szCs w:val="20"/>
                <w:lang w:val="fr-FR"/>
              </w:rPr>
              <w:t>Activités</w:t>
            </w:r>
            <w:r w:rsidRPr="009D3EFE">
              <w:rPr>
                <w:rFonts w:asciiTheme="minorHAnsi" w:hAnsiTheme="minorHAnsi" w:cstheme="minorHAnsi"/>
                <w:spacing w:val="-2"/>
                <w:sz w:val="20"/>
                <w:szCs w:val="20"/>
                <w:lang w:val="fr-FR"/>
              </w:rPr>
              <w:t xml:space="preserve"> extractives</w:t>
            </w:r>
          </w:p>
        </w:tc>
        <w:tc>
          <w:tcPr>
            <w:tcW w:w="567" w:type="dxa"/>
            <w:tcBorders>
              <w:top w:val="single" w:sz="8" w:space="0" w:color="000000"/>
            </w:tcBorders>
          </w:tcPr>
          <w:p w14:paraId="452D7778" w14:textId="77777777" w:rsidR="00412F22" w:rsidRPr="009D3EFE" w:rsidRDefault="00412F22" w:rsidP="00EE0E23">
            <w:pPr>
              <w:pStyle w:val="TableParagraph"/>
              <w:spacing w:line="207" w:lineRule="exact"/>
              <w:ind w:left="20"/>
              <w:rPr>
                <w:rFonts w:asciiTheme="minorHAnsi" w:hAnsiTheme="minorHAnsi" w:cstheme="minorHAnsi"/>
                <w:sz w:val="20"/>
                <w:szCs w:val="20"/>
              </w:rPr>
            </w:pPr>
            <w:r w:rsidRPr="009D3EFE">
              <w:rPr>
                <w:rFonts w:asciiTheme="minorHAnsi" w:hAnsiTheme="minorHAnsi" w:cstheme="minorHAnsi"/>
                <w:spacing w:val="-4"/>
                <w:sz w:val="20"/>
                <w:szCs w:val="20"/>
              </w:rPr>
              <w:t>43,0</w:t>
            </w:r>
          </w:p>
        </w:tc>
        <w:tc>
          <w:tcPr>
            <w:tcW w:w="682" w:type="dxa"/>
            <w:tcBorders>
              <w:top w:val="single" w:sz="8" w:space="0" w:color="000000"/>
            </w:tcBorders>
          </w:tcPr>
          <w:p w14:paraId="7C4D08B6" w14:textId="77777777" w:rsidR="00412F22" w:rsidRPr="009D3EFE" w:rsidRDefault="00412F22" w:rsidP="00EE0E23">
            <w:pPr>
              <w:pStyle w:val="TableParagraph"/>
              <w:spacing w:line="207" w:lineRule="exact"/>
              <w:ind w:left="21" w:right="4"/>
              <w:rPr>
                <w:rFonts w:asciiTheme="minorHAnsi" w:hAnsiTheme="minorHAnsi" w:cstheme="minorHAnsi"/>
                <w:sz w:val="20"/>
                <w:szCs w:val="20"/>
              </w:rPr>
            </w:pPr>
            <w:r w:rsidRPr="009D3EFE">
              <w:rPr>
                <w:rFonts w:asciiTheme="minorHAnsi" w:hAnsiTheme="minorHAnsi" w:cstheme="minorHAnsi"/>
                <w:spacing w:val="-4"/>
                <w:sz w:val="20"/>
                <w:szCs w:val="20"/>
              </w:rPr>
              <w:t>64,3</w:t>
            </w:r>
          </w:p>
        </w:tc>
        <w:tc>
          <w:tcPr>
            <w:tcW w:w="685" w:type="dxa"/>
            <w:tcBorders>
              <w:top w:val="single" w:sz="8" w:space="0" w:color="000000"/>
            </w:tcBorders>
          </w:tcPr>
          <w:p w14:paraId="32543151" w14:textId="77777777" w:rsidR="00412F22" w:rsidRPr="009D3EFE" w:rsidRDefault="00412F22" w:rsidP="00EE0E23">
            <w:pPr>
              <w:pStyle w:val="TableParagraph"/>
              <w:spacing w:line="207" w:lineRule="exact"/>
              <w:ind w:left="20" w:right="2"/>
              <w:rPr>
                <w:rFonts w:asciiTheme="minorHAnsi" w:hAnsiTheme="minorHAnsi" w:cstheme="minorHAnsi"/>
                <w:sz w:val="20"/>
                <w:szCs w:val="20"/>
              </w:rPr>
            </w:pPr>
            <w:r w:rsidRPr="009D3EFE">
              <w:rPr>
                <w:rFonts w:asciiTheme="minorHAnsi" w:hAnsiTheme="minorHAnsi" w:cstheme="minorHAnsi"/>
                <w:spacing w:val="-4"/>
                <w:sz w:val="20"/>
                <w:szCs w:val="20"/>
              </w:rPr>
              <w:t>68,5</w:t>
            </w:r>
          </w:p>
        </w:tc>
        <w:tc>
          <w:tcPr>
            <w:tcW w:w="682" w:type="dxa"/>
            <w:tcBorders>
              <w:top w:val="single" w:sz="8" w:space="0" w:color="000000"/>
            </w:tcBorders>
          </w:tcPr>
          <w:p w14:paraId="62F4CC5C" w14:textId="77777777" w:rsidR="00412F22" w:rsidRPr="009D3EFE" w:rsidRDefault="00412F22" w:rsidP="00EE0E23">
            <w:pPr>
              <w:pStyle w:val="TableParagraph"/>
              <w:spacing w:line="207" w:lineRule="exact"/>
              <w:ind w:left="21" w:right="5"/>
              <w:rPr>
                <w:rFonts w:asciiTheme="minorHAnsi" w:hAnsiTheme="minorHAnsi" w:cstheme="minorHAnsi"/>
                <w:sz w:val="20"/>
                <w:szCs w:val="20"/>
              </w:rPr>
            </w:pPr>
            <w:r w:rsidRPr="009D3EFE">
              <w:rPr>
                <w:rFonts w:asciiTheme="minorHAnsi" w:hAnsiTheme="minorHAnsi" w:cstheme="minorHAnsi"/>
                <w:spacing w:val="-4"/>
                <w:sz w:val="20"/>
                <w:szCs w:val="20"/>
              </w:rPr>
              <w:t>62,7</w:t>
            </w:r>
          </w:p>
        </w:tc>
        <w:tc>
          <w:tcPr>
            <w:tcW w:w="693" w:type="dxa"/>
            <w:tcBorders>
              <w:top w:val="single" w:sz="8" w:space="0" w:color="000000"/>
            </w:tcBorders>
          </w:tcPr>
          <w:p w14:paraId="6450E0C0" w14:textId="77777777" w:rsidR="00412F22" w:rsidRPr="009D3EFE" w:rsidRDefault="00412F22" w:rsidP="00EE0E23">
            <w:pPr>
              <w:pStyle w:val="TableParagraph"/>
              <w:spacing w:line="207" w:lineRule="exact"/>
              <w:ind w:left="20" w:right="2"/>
              <w:rPr>
                <w:rFonts w:asciiTheme="minorHAnsi" w:hAnsiTheme="minorHAnsi" w:cstheme="minorHAnsi"/>
                <w:sz w:val="20"/>
                <w:szCs w:val="20"/>
              </w:rPr>
            </w:pPr>
            <w:r w:rsidRPr="009D3EFE">
              <w:rPr>
                <w:rFonts w:asciiTheme="minorHAnsi" w:hAnsiTheme="minorHAnsi" w:cstheme="minorHAnsi"/>
                <w:spacing w:val="-4"/>
                <w:sz w:val="20"/>
                <w:szCs w:val="20"/>
              </w:rPr>
              <w:t>73,5</w:t>
            </w:r>
          </w:p>
        </w:tc>
      </w:tr>
      <w:tr w:rsidR="00412F22" w:rsidRPr="009D3EFE" w14:paraId="52523556" w14:textId="77777777" w:rsidTr="00EE0E23">
        <w:trPr>
          <w:trHeight w:val="239"/>
        </w:trPr>
        <w:tc>
          <w:tcPr>
            <w:tcW w:w="6238" w:type="dxa"/>
            <w:tcBorders>
              <w:left w:val="single" w:sz="8" w:space="0" w:color="000000"/>
              <w:bottom w:val="single" w:sz="8" w:space="0" w:color="000000"/>
              <w:right w:val="single" w:sz="8" w:space="0" w:color="000000"/>
            </w:tcBorders>
            <w:shd w:val="clear" w:color="auto" w:fill="C5DFB3"/>
          </w:tcPr>
          <w:p w14:paraId="455F149B" w14:textId="77777777" w:rsidR="00412F22" w:rsidRPr="009D3EFE" w:rsidRDefault="00412F22" w:rsidP="00EE0E23">
            <w:pPr>
              <w:pStyle w:val="TableParagraph"/>
              <w:spacing w:line="207" w:lineRule="exact"/>
              <w:ind w:left="342"/>
              <w:rPr>
                <w:rFonts w:asciiTheme="minorHAnsi" w:hAnsiTheme="minorHAnsi" w:cstheme="minorHAnsi"/>
                <w:sz w:val="20"/>
                <w:szCs w:val="20"/>
                <w:lang w:val="fr-FR"/>
              </w:rPr>
            </w:pPr>
            <w:r w:rsidRPr="009D3EFE">
              <w:rPr>
                <w:rFonts w:asciiTheme="minorHAnsi" w:hAnsiTheme="minorHAnsi" w:cstheme="minorHAnsi"/>
                <w:sz w:val="20"/>
                <w:szCs w:val="20"/>
                <w:lang w:val="fr-FR"/>
              </w:rPr>
              <w:t>2.</w:t>
            </w:r>
            <w:r w:rsidRPr="009D3EFE">
              <w:rPr>
                <w:rFonts w:asciiTheme="minorHAnsi" w:hAnsiTheme="minorHAnsi" w:cstheme="minorHAnsi"/>
                <w:spacing w:val="-3"/>
                <w:sz w:val="20"/>
                <w:szCs w:val="20"/>
                <w:lang w:val="fr-FR"/>
              </w:rPr>
              <w:t xml:space="preserve"> </w:t>
            </w:r>
            <w:r w:rsidRPr="009D3EFE">
              <w:rPr>
                <w:rFonts w:asciiTheme="minorHAnsi" w:hAnsiTheme="minorHAnsi" w:cstheme="minorHAnsi"/>
                <w:sz w:val="20"/>
                <w:szCs w:val="20"/>
                <w:lang w:val="fr-FR"/>
              </w:rPr>
              <w:t>1 Extraction</w:t>
            </w:r>
            <w:r w:rsidRPr="009D3EFE">
              <w:rPr>
                <w:rFonts w:asciiTheme="minorHAnsi" w:hAnsiTheme="minorHAnsi" w:cstheme="minorHAnsi"/>
                <w:spacing w:val="-2"/>
                <w:sz w:val="20"/>
                <w:szCs w:val="20"/>
                <w:lang w:val="fr-FR"/>
              </w:rPr>
              <w:t xml:space="preserve"> </w:t>
            </w:r>
            <w:r w:rsidRPr="009D3EFE">
              <w:rPr>
                <w:rFonts w:asciiTheme="minorHAnsi" w:hAnsiTheme="minorHAnsi" w:cstheme="minorHAnsi"/>
                <w:sz w:val="20"/>
                <w:szCs w:val="20"/>
                <w:lang w:val="fr-FR"/>
              </w:rPr>
              <w:t>de</w:t>
            </w:r>
            <w:r w:rsidRPr="009D3EFE">
              <w:rPr>
                <w:rFonts w:asciiTheme="minorHAnsi" w:hAnsiTheme="minorHAnsi" w:cstheme="minorHAnsi"/>
                <w:spacing w:val="-2"/>
                <w:sz w:val="20"/>
                <w:szCs w:val="20"/>
                <w:lang w:val="fr-FR"/>
              </w:rPr>
              <w:t xml:space="preserve"> </w:t>
            </w:r>
            <w:r w:rsidRPr="009D3EFE">
              <w:rPr>
                <w:rFonts w:asciiTheme="minorHAnsi" w:hAnsiTheme="minorHAnsi" w:cstheme="minorHAnsi"/>
                <w:sz w:val="20"/>
                <w:szCs w:val="20"/>
                <w:lang w:val="fr-FR"/>
              </w:rPr>
              <w:t>produits</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z w:val="20"/>
                <w:szCs w:val="20"/>
                <w:lang w:val="fr-FR"/>
              </w:rPr>
              <w:t>pétroliers</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z w:val="20"/>
                <w:szCs w:val="20"/>
                <w:lang w:val="fr-FR"/>
              </w:rPr>
              <w:t>et</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pacing w:val="-2"/>
                <w:sz w:val="20"/>
                <w:szCs w:val="20"/>
                <w:lang w:val="fr-FR"/>
              </w:rPr>
              <w:t>gaziers</w:t>
            </w:r>
          </w:p>
        </w:tc>
        <w:tc>
          <w:tcPr>
            <w:tcW w:w="567" w:type="dxa"/>
            <w:tcBorders>
              <w:left w:val="single" w:sz="8" w:space="0" w:color="000000"/>
              <w:bottom w:val="single" w:sz="8" w:space="0" w:color="000000"/>
              <w:right w:val="single" w:sz="8" w:space="0" w:color="000000"/>
            </w:tcBorders>
            <w:shd w:val="clear" w:color="auto" w:fill="C5DFB3"/>
          </w:tcPr>
          <w:p w14:paraId="6BA65A8B" w14:textId="77777777" w:rsidR="00412F22" w:rsidRPr="009D3EFE" w:rsidRDefault="00412F22" w:rsidP="00EE0E23">
            <w:pPr>
              <w:pStyle w:val="TableParagraph"/>
              <w:spacing w:line="207" w:lineRule="exact"/>
              <w:ind w:left="22" w:right="3"/>
              <w:rPr>
                <w:rFonts w:asciiTheme="minorHAnsi" w:hAnsiTheme="minorHAnsi" w:cstheme="minorHAnsi"/>
                <w:sz w:val="20"/>
                <w:szCs w:val="20"/>
              </w:rPr>
            </w:pPr>
            <w:r w:rsidRPr="009D3EFE">
              <w:rPr>
                <w:rFonts w:asciiTheme="minorHAnsi" w:hAnsiTheme="minorHAnsi" w:cstheme="minorHAnsi"/>
                <w:spacing w:val="-10"/>
                <w:sz w:val="20"/>
                <w:szCs w:val="20"/>
              </w:rPr>
              <w:t>-</w:t>
            </w:r>
          </w:p>
        </w:tc>
        <w:tc>
          <w:tcPr>
            <w:tcW w:w="682" w:type="dxa"/>
            <w:tcBorders>
              <w:left w:val="single" w:sz="8" w:space="0" w:color="000000"/>
              <w:bottom w:val="single" w:sz="8" w:space="0" w:color="000000"/>
              <w:right w:val="single" w:sz="8" w:space="0" w:color="000000"/>
            </w:tcBorders>
            <w:shd w:val="clear" w:color="auto" w:fill="C5DFB3"/>
          </w:tcPr>
          <w:p w14:paraId="67EC7756" w14:textId="77777777" w:rsidR="00412F22" w:rsidRPr="009D3EFE" w:rsidRDefault="00412F22" w:rsidP="00EE0E23">
            <w:pPr>
              <w:pStyle w:val="TableParagraph"/>
              <w:spacing w:line="207" w:lineRule="exact"/>
              <w:ind w:left="25" w:right="9"/>
              <w:rPr>
                <w:rFonts w:asciiTheme="minorHAnsi" w:hAnsiTheme="minorHAnsi" w:cstheme="minorHAnsi"/>
                <w:sz w:val="20"/>
                <w:szCs w:val="20"/>
              </w:rPr>
            </w:pPr>
            <w:r w:rsidRPr="009D3EFE">
              <w:rPr>
                <w:rFonts w:asciiTheme="minorHAnsi" w:hAnsiTheme="minorHAnsi" w:cstheme="minorHAnsi"/>
                <w:spacing w:val="-10"/>
                <w:sz w:val="20"/>
                <w:szCs w:val="20"/>
              </w:rPr>
              <w:t>-</w:t>
            </w:r>
          </w:p>
        </w:tc>
        <w:tc>
          <w:tcPr>
            <w:tcW w:w="685" w:type="dxa"/>
            <w:tcBorders>
              <w:left w:val="single" w:sz="8" w:space="0" w:color="000000"/>
              <w:bottom w:val="single" w:sz="8" w:space="0" w:color="000000"/>
              <w:right w:val="single" w:sz="8" w:space="0" w:color="000000"/>
            </w:tcBorders>
            <w:shd w:val="clear" w:color="auto" w:fill="C5DFB3"/>
          </w:tcPr>
          <w:p w14:paraId="75AB0D5C" w14:textId="77777777" w:rsidR="00412F22" w:rsidRPr="009D3EFE" w:rsidRDefault="00412F22" w:rsidP="00EE0E23">
            <w:pPr>
              <w:pStyle w:val="TableParagraph"/>
              <w:spacing w:line="207" w:lineRule="exact"/>
              <w:ind w:left="20" w:right="3"/>
              <w:rPr>
                <w:rFonts w:asciiTheme="minorHAnsi" w:hAnsiTheme="minorHAnsi" w:cstheme="minorHAnsi"/>
                <w:sz w:val="20"/>
                <w:szCs w:val="20"/>
              </w:rPr>
            </w:pPr>
            <w:r w:rsidRPr="009D3EFE">
              <w:rPr>
                <w:rFonts w:asciiTheme="minorHAnsi" w:hAnsiTheme="minorHAnsi" w:cstheme="minorHAnsi"/>
                <w:spacing w:val="-10"/>
                <w:sz w:val="20"/>
                <w:szCs w:val="20"/>
              </w:rPr>
              <w:t>-</w:t>
            </w:r>
          </w:p>
        </w:tc>
        <w:tc>
          <w:tcPr>
            <w:tcW w:w="682" w:type="dxa"/>
            <w:tcBorders>
              <w:left w:val="single" w:sz="8" w:space="0" w:color="000000"/>
              <w:bottom w:val="single" w:sz="8" w:space="0" w:color="000000"/>
              <w:right w:val="single" w:sz="8" w:space="0" w:color="000000"/>
            </w:tcBorders>
            <w:shd w:val="clear" w:color="auto" w:fill="C5DFB3"/>
          </w:tcPr>
          <w:p w14:paraId="3E2C6A93" w14:textId="77777777" w:rsidR="00412F22" w:rsidRPr="009D3EFE" w:rsidRDefault="00412F22" w:rsidP="00EE0E23">
            <w:pPr>
              <w:pStyle w:val="TableParagraph"/>
              <w:spacing w:line="207" w:lineRule="exact"/>
              <w:ind w:left="25" w:right="11"/>
              <w:rPr>
                <w:rFonts w:asciiTheme="minorHAnsi" w:hAnsiTheme="minorHAnsi" w:cstheme="minorHAnsi"/>
                <w:sz w:val="20"/>
                <w:szCs w:val="20"/>
              </w:rPr>
            </w:pPr>
            <w:r w:rsidRPr="009D3EFE">
              <w:rPr>
                <w:rFonts w:asciiTheme="minorHAnsi" w:hAnsiTheme="minorHAnsi" w:cstheme="minorHAnsi"/>
                <w:spacing w:val="-10"/>
                <w:sz w:val="20"/>
                <w:szCs w:val="20"/>
              </w:rPr>
              <w:t>-</w:t>
            </w:r>
          </w:p>
        </w:tc>
        <w:tc>
          <w:tcPr>
            <w:tcW w:w="693" w:type="dxa"/>
            <w:tcBorders>
              <w:left w:val="single" w:sz="8" w:space="0" w:color="000000"/>
              <w:bottom w:val="single" w:sz="8" w:space="0" w:color="000000"/>
              <w:right w:val="single" w:sz="8" w:space="0" w:color="000000"/>
            </w:tcBorders>
            <w:shd w:val="clear" w:color="auto" w:fill="C5DFB3"/>
          </w:tcPr>
          <w:p w14:paraId="49014F76" w14:textId="77777777" w:rsidR="00412F22" w:rsidRPr="009D3EFE" w:rsidRDefault="00412F22" w:rsidP="00EE0E23">
            <w:pPr>
              <w:pStyle w:val="TableParagraph"/>
              <w:spacing w:line="207" w:lineRule="exact"/>
              <w:ind w:left="22" w:right="6"/>
              <w:rPr>
                <w:rFonts w:asciiTheme="minorHAnsi" w:hAnsiTheme="minorHAnsi" w:cstheme="minorHAnsi"/>
                <w:sz w:val="20"/>
                <w:szCs w:val="20"/>
              </w:rPr>
            </w:pPr>
            <w:r w:rsidRPr="009D3EFE">
              <w:rPr>
                <w:rFonts w:asciiTheme="minorHAnsi" w:hAnsiTheme="minorHAnsi" w:cstheme="minorHAnsi"/>
                <w:spacing w:val="-10"/>
                <w:sz w:val="20"/>
                <w:szCs w:val="20"/>
              </w:rPr>
              <w:t>-</w:t>
            </w:r>
          </w:p>
        </w:tc>
      </w:tr>
      <w:tr w:rsidR="00412F22" w:rsidRPr="009D3EFE" w14:paraId="66678F54" w14:textId="77777777" w:rsidTr="00EE0E23">
        <w:trPr>
          <w:trHeight w:val="237"/>
        </w:trPr>
        <w:tc>
          <w:tcPr>
            <w:tcW w:w="6238" w:type="dxa"/>
            <w:tcBorders>
              <w:top w:val="single" w:sz="8" w:space="0" w:color="000000"/>
            </w:tcBorders>
          </w:tcPr>
          <w:p w14:paraId="36D50B6B" w14:textId="77777777" w:rsidR="00412F22" w:rsidRPr="009D3EFE" w:rsidRDefault="00412F22" w:rsidP="00EE0E23">
            <w:pPr>
              <w:pStyle w:val="TableParagraph"/>
              <w:spacing w:line="207" w:lineRule="exact"/>
              <w:ind w:left="2" w:right="-573"/>
              <w:rPr>
                <w:rFonts w:asciiTheme="minorHAnsi" w:hAnsiTheme="minorHAnsi" w:cstheme="minorHAnsi"/>
                <w:sz w:val="20"/>
                <w:szCs w:val="20"/>
                <w:lang w:val="fr-FR"/>
              </w:rPr>
            </w:pPr>
            <w:r w:rsidRPr="009D3EFE">
              <w:rPr>
                <w:rFonts w:asciiTheme="minorHAnsi" w:hAnsiTheme="minorHAnsi" w:cstheme="minorHAnsi"/>
                <w:sz w:val="20"/>
                <w:szCs w:val="20"/>
                <w:lang w:val="fr-FR"/>
              </w:rPr>
              <w:t>2.2.</w:t>
            </w:r>
            <w:r w:rsidRPr="009D3EFE">
              <w:rPr>
                <w:rFonts w:asciiTheme="minorHAnsi" w:hAnsiTheme="minorHAnsi" w:cstheme="minorHAnsi"/>
                <w:spacing w:val="-2"/>
                <w:sz w:val="20"/>
                <w:szCs w:val="20"/>
                <w:lang w:val="fr-FR"/>
              </w:rPr>
              <w:t xml:space="preserve"> </w:t>
            </w:r>
            <w:r w:rsidRPr="009D3EFE">
              <w:rPr>
                <w:rFonts w:asciiTheme="minorHAnsi" w:hAnsiTheme="minorHAnsi" w:cstheme="minorHAnsi"/>
                <w:sz w:val="20"/>
                <w:szCs w:val="20"/>
                <w:lang w:val="fr-FR"/>
              </w:rPr>
              <w:t>Industries</w:t>
            </w:r>
            <w:r w:rsidRPr="009D3EFE">
              <w:rPr>
                <w:rFonts w:asciiTheme="minorHAnsi" w:hAnsiTheme="minorHAnsi" w:cstheme="minorHAnsi"/>
                <w:spacing w:val="-2"/>
                <w:sz w:val="20"/>
                <w:szCs w:val="20"/>
                <w:lang w:val="fr-FR"/>
              </w:rPr>
              <w:t xml:space="preserve"> </w:t>
            </w:r>
            <w:r w:rsidRPr="009D3EFE">
              <w:rPr>
                <w:rFonts w:asciiTheme="minorHAnsi" w:hAnsiTheme="minorHAnsi" w:cstheme="minorHAnsi"/>
                <w:sz w:val="20"/>
                <w:szCs w:val="20"/>
                <w:lang w:val="fr-FR"/>
              </w:rPr>
              <w:t>extractives</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z w:val="20"/>
                <w:szCs w:val="20"/>
                <w:lang w:val="fr-FR"/>
              </w:rPr>
              <w:t>autre</w:t>
            </w:r>
            <w:r w:rsidRPr="009D3EFE">
              <w:rPr>
                <w:rFonts w:asciiTheme="minorHAnsi" w:hAnsiTheme="minorHAnsi" w:cstheme="minorHAnsi"/>
                <w:spacing w:val="-2"/>
                <w:sz w:val="20"/>
                <w:szCs w:val="20"/>
                <w:lang w:val="fr-FR"/>
              </w:rPr>
              <w:t xml:space="preserve"> </w:t>
            </w:r>
            <w:r w:rsidRPr="009D3EFE">
              <w:rPr>
                <w:rFonts w:asciiTheme="minorHAnsi" w:hAnsiTheme="minorHAnsi" w:cstheme="minorHAnsi"/>
                <w:sz w:val="20"/>
                <w:szCs w:val="20"/>
                <w:lang w:val="fr-FR"/>
              </w:rPr>
              <w:t>que</w:t>
            </w:r>
            <w:r w:rsidRPr="009D3EFE">
              <w:rPr>
                <w:rFonts w:asciiTheme="minorHAnsi" w:hAnsiTheme="minorHAnsi" w:cstheme="minorHAnsi"/>
                <w:spacing w:val="-2"/>
                <w:sz w:val="20"/>
                <w:szCs w:val="20"/>
                <w:lang w:val="fr-FR"/>
              </w:rPr>
              <w:t xml:space="preserve"> </w:t>
            </w:r>
            <w:r w:rsidRPr="009D3EFE">
              <w:rPr>
                <w:rFonts w:asciiTheme="minorHAnsi" w:hAnsiTheme="minorHAnsi" w:cstheme="minorHAnsi"/>
                <w:sz w:val="20"/>
                <w:szCs w:val="20"/>
                <w:lang w:val="fr-FR"/>
              </w:rPr>
              <w:t>produits pétroliers</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z w:val="20"/>
                <w:szCs w:val="20"/>
                <w:lang w:val="fr-FR"/>
              </w:rPr>
              <w:t>et</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pacing w:val="-2"/>
                <w:sz w:val="20"/>
                <w:szCs w:val="20"/>
                <w:lang w:val="fr-FR"/>
              </w:rPr>
              <w:t>gaziers</w:t>
            </w:r>
          </w:p>
        </w:tc>
        <w:tc>
          <w:tcPr>
            <w:tcW w:w="567" w:type="dxa"/>
            <w:tcBorders>
              <w:top w:val="single" w:sz="8" w:space="0" w:color="000000"/>
            </w:tcBorders>
          </w:tcPr>
          <w:p w14:paraId="2623E648" w14:textId="77777777" w:rsidR="00412F22" w:rsidRPr="009D3EFE" w:rsidRDefault="00412F22" w:rsidP="00EE0E23">
            <w:pPr>
              <w:pStyle w:val="TableParagraph"/>
              <w:spacing w:line="207" w:lineRule="exact"/>
              <w:ind w:left="20"/>
              <w:rPr>
                <w:rFonts w:asciiTheme="minorHAnsi" w:hAnsiTheme="minorHAnsi" w:cstheme="minorHAnsi"/>
                <w:sz w:val="20"/>
                <w:szCs w:val="20"/>
              </w:rPr>
            </w:pPr>
            <w:r w:rsidRPr="009D3EFE">
              <w:rPr>
                <w:rFonts w:asciiTheme="minorHAnsi" w:hAnsiTheme="minorHAnsi" w:cstheme="minorHAnsi"/>
                <w:spacing w:val="-4"/>
                <w:sz w:val="20"/>
                <w:szCs w:val="20"/>
              </w:rPr>
              <w:t>43,0</w:t>
            </w:r>
          </w:p>
        </w:tc>
        <w:tc>
          <w:tcPr>
            <w:tcW w:w="682" w:type="dxa"/>
            <w:tcBorders>
              <w:top w:val="single" w:sz="8" w:space="0" w:color="000000"/>
            </w:tcBorders>
          </w:tcPr>
          <w:p w14:paraId="4A462CE6" w14:textId="77777777" w:rsidR="00412F22" w:rsidRPr="009D3EFE" w:rsidRDefault="00412F22" w:rsidP="00EE0E23">
            <w:pPr>
              <w:pStyle w:val="TableParagraph"/>
              <w:spacing w:line="207" w:lineRule="exact"/>
              <w:ind w:left="21" w:right="4"/>
              <w:rPr>
                <w:rFonts w:asciiTheme="minorHAnsi" w:hAnsiTheme="minorHAnsi" w:cstheme="minorHAnsi"/>
                <w:sz w:val="20"/>
                <w:szCs w:val="20"/>
              </w:rPr>
            </w:pPr>
            <w:r w:rsidRPr="009D3EFE">
              <w:rPr>
                <w:rFonts w:asciiTheme="minorHAnsi" w:hAnsiTheme="minorHAnsi" w:cstheme="minorHAnsi"/>
                <w:spacing w:val="-4"/>
                <w:sz w:val="20"/>
                <w:szCs w:val="20"/>
              </w:rPr>
              <w:t>64,3</w:t>
            </w:r>
          </w:p>
        </w:tc>
        <w:tc>
          <w:tcPr>
            <w:tcW w:w="685" w:type="dxa"/>
            <w:tcBorders>
              <w:top w:val="single" w:sz="8" w:space="0" w:color="000000"/>
            </w:tcBorders>
          </w:tcPr>
          <w:p w14:paraId="01355E1B" w14:textId="77777777" w:rsidR="00412F22" w:rsidRPr="009D3EFE" w:rsidRDefault="00412F22" w:rsidP="00EE0E23">
            <w:pPr>
              <w:pStyle w:val="TableParagraph"/>
              <w:spacing w:line="207" w:lineRule="exact"/>
              <w:ind w:left="20" w:right="2"/>
              <w:rPr>
                <w:rFonts w:asciiTheme="minorHAnsi" w:hAnsiTheme="minorHAnsi" w:cstheme="minorHAnsi"/>
                <w:sz w:val="20"/>
                <w:szCs w:val="20"/>
              </w:rPr>
            </w:pPr>
            <w:r w:rsidRPr="009D3EFE">
              <w:rPr>
                <w:rFonts w:asciiTheme="minorHAnsi" w:hAnsiTheme="minorHAnsi" w:cstheme="minorHAnsi"/>
                <w:spacing w:val="-4"/>
                <w:sz w:val="20"/>
                <w:szCs w:val="20"/>
              </w:rPr>
              <w:t>68,5</w:t>
            </w:r>
          </w:p>
        </w:tc>
        <w:tc>
          <w:tcPr>
            <w:tcW w:w="682" w:type="dxa"/>
            <w:tcBorders>
              <w:top w:val="single" w:sz="8" w:space="0" w:color="000000"/>
            </w:tcBorders>
          </w:tcPr>
          <w:p w14:paraId="7767F085" w14:textId="77777777" w:rsidR="00412F22" w:rsidRPr="009D3EFE" w:rsidRDefault="00412F22" w:rsidP="00EE0E23">
            <w:pPr>
              <w:pStyle w:val="TableParagraph"/>
              <w:spacing w:line="207" w:lineRule="exact"/>
              <w:ind w:left="21" w:right="5"/>
              <w:rPr>
                <w:rFonts w:asciiTheme="minorHAnsi" w:hAnsiTheme="minorHAnsi" w:cstheme="minorHAnsi"/>
                <w:sz w:val="20"/>
                <w:szCs w:val="20"/>
              </w:rPr>
            </w:pPr>
            <w:r w:rsidRPr="009D3EFE">
              <w:rPr>
                <w:rFonts w:asciiTheme="minorHAnsi" w:hAnsiTheme="minorHAnsi" w:cstheme="minorHAnsi"/>
                <w:spacing w:val="-4"/>
                <w:sz w:val="20"/>
                <w:szCs w:val="20"/>
              </w:rPr>
              <w:t>62,7</w:t>
            </w:r>
          </w:p>
        </w:tc>
        <w:tc>
          <w:tcPr>
            <w:tcW w:w="693" w:type="dxa"/>
            <w:tcBorders>
              <w:top w:val="single" w:sz="8" w:space="0" w:color="000000"/>
            </w:tcBorders>
          </w:tcPr>
          <w:p w14:paraId="69831FCB" w14:textId="77777777" w:rsidR="00412F22" w:rsidRPr="009D3EFE" w:rsidRDefault="00412F22" w:rsidP="00EE0E23">
            <w:pPr>
              <w:pStyle w:val="TableParagraph"/>
              <w:spacing w:line="207" w:lineRule="exact"/>
              <w:ind w:left="20" w:right="2"/>
              <w:rPr>
                <w:rFonts w:asciiTheme="minorHAnsi" w:hAnsiTheme="minorHAnsi" w:cstheme="minorHAnsi"/>
                <w:sz w:val="20"/>
                <w:szCs w:val="20"/>
              </w:rPr>
            </w:pPr>
            <w:r w:rsidRPr="009D3EFE">
              <w:rPr>
                <w:rFonts w:asciiTheme="minorHAnsi" w:hAnsiTheme="minorHAnsi" w:cstheme="minorHAnsi"/>
                <w:spacing w:val="-4"/>
                <w:sz w:val="20"/>
                <w:szCs w:val="20"/>
              </w:rPr>
              <w:t>73,5</w:t>
            </w:r>
          </w:p>
        </w:tc>
      </w:tr>
      <w:tr w:rsidR="00412F22" w:rsidRPr="009D3EFE" w14:paraId="565DE0AE" w14:textId="77777777" w:rsidTr="00EE0E23">
        <w:trPr>
          <w:trHeight w:val="236"/>
        </w:trPr>
        <w:tc>
          <w:tcPr>
            <w:tcW w:w="6238" w:type="dxa"/>
            <w:tcBorders>
              <w:left w:val="single" w:sz="8" w:space="0" w:color="000000"/>
              <w:bottom w:val="single" w:sz="8" w:space="0" w:color="000000"/>
              <w:right w:val="single" w:sz="8" w:space="0" w:color="000000"/>
            </w:tcBorders>
            <w:shd w:val="clear" w:color="auto" w:fill="C5DFB3"/>
          </w:tcPr>
          <w:p w14:paraId="2DF26887" w14:textId="77777777" w:rsidR="00412F22" w:rsidRPr="009D3EFE" w:rsidRDefault="00412F22" w:rsidP="00EE0E23">
            <w:pPr>
              <w:pStyle w:val="TableParagraph"/>
              <w:spacing w:line="207" w:lineRule="exact"/>
              <w:ind w:left="342"/>
              <w:rPr>
                <w:rFonts w:asciiTheme="minorHAnsi" w:hAnsiTheme="minorHAnsi" w:cstheme="minorHAnsi"/>
                <w:sz w:val="20"/>
                <w:szCs w:val="20"/>
                <w:lang w:val="fr-FR"/>
              </w:rPr>
            </w:pPr>
            <w:r w:rsidRPr="009D3EFE">
              <w:rPr>
                <w:rFonts w:asciiTheme="minorHAnsi" w:hAnsiTheme="minorHAnsi" w:cstheme="minorHAnsi"/>
                <w:sz w:val="20"/>
                <w:szCs w:val="20"/>
                <w:lang w:val="fr-FR"/>
              </w:rPr>
              <w:t>2.</w:t>
            </w:r>
            <w:r w:rsidRPr="009D3EFE">
              <w:rPr>
                <w:rFonts w:asciiTheme="minorHAnsi" w:hAnsiTheme="minorHAnsi" w:cstheme="minorHAnsi"/>
                <w:spacing w:val="-4"/>
                <w:sz w:val="20"/>
                <w:szCs w:val="20"/>
                <w:lang w:val="fr-FR"/>
              </w:rPr>
              <w:t xml:space="preserve"> </w:t>
            </w:r>
            <w:r w:rsidRPr="009D3EFE">
              <w:rPr>
                <w:rFonts w:asciiTheme="minorHAnsi" w:hAnsiTheme="minorHAnsi" w:cstheme="minorHAnsi"/>
                <w:sz w:val="20"/>
                <w:szCs w:val="20"/>
                <w:lang w:val="fr-FR"/>
              </w:rPr>
              <w:t>2.1 Extraction</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z w:val="20"/>
                <w:szCs w:val="20"/>
                <w:lang w:val="fr-FR"/>
              </w:rPr>
              <w:t>des</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z w:val="20"/>
                <w:szCs w:val="20"/>
                <w:lang w:val="fr-FR"/>
              </w:rPr>
              <w:t>minerais</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pacing w:val="-2"/>
                <w:sz w:val="20"/>
                <w:szCs w:val="20"/>
                <w:lang w:val="fr-FR"/>
              </w:rPr>
              <w:t>métalliques</w:t>
            </w:r>
          </w:p>
        </w:tc>
        <w:tc>
          <w:tcPr>
            <w:tcW w:w="567" w:type="dxa"/>
            <w:tcBorders>
              <w:left w:val="single" w:sz="8" w:space="0" w:color="000000"/>
              <w:bottom w:val="single" w:sz="8" w:space="0" w:color="000000"/>
              <w:right w:val="single" w:sz="8" w:space="0" w:color="000000"/>
            </w:tcBorders>
            <w:shd w:val="clear" w:color="auto" w:fill="C5DFB3"/>
          </w:tcPr>
          <w:p w14:paraId="47A0C2CF" w14:textId="77777777" w:rsidR="00412F22" w:rsidRPr="009D3EFE" w:rsidRDefault="00412F22" w:rsidP="00EE0E23">
            <w:pPr>
              <w:pStyle w:val="TableParagraph"/>
              <w:spacing w:line="207" w:lineRule="exact"/>
              <w:ind w:left="22" w:right="2"/>
              <w:rPr>
                <w:rFonts w:asciiTheme="minorHAnsi" w:hAnsiTheme="minorHAnsi" w:cstheme="minorHAnsi"/>
                <w:sz w:val="20"/>
                <w:szCs w:val="20"/>
              </w:rPr>
            </w:pPr>
            <w:r w:rsidRPr="009D3EFE">
              <w:rPr>
                <w:rFonts w:asciiTheme="minorHAnsi" w:hAnsiTheme="minorHAnsi" w:cstheme="minorHAnsi"/>
                <w:spacing w:val="-4"/>
                <w:sz w:val="20"/>
                <w:szCs w:val="20"/>
              </w:rPr>
              <w:t>36,5</w:t>
            </w:r>
          </w:p>
        </w:tc>
        <w:tc>
          <w:tcPr>
            <w:tcW w:w="682" w:type="dxa"/>
            <w:tcBorders>
              <w:left w:val="single" w:sz="8" w:space="0" w:color="000000"/>
              <w:bottom w:val="single" w:sz="8" w:space="0" w:color="000000"/>
              <w:right w:val="single" w:sz="8" w:space="0" w:color="000000"/>
            </w:tcBorders>
            <w:shd w:val="clear" w:color="auto" w:fill="C5DFB3"/>
          </w:tcPr>
          <w:p w14:paraId="7D5E48C6" w14:textId="77777777" w:rsidR="00412F22" w:rsidRPr="009D3EFE" w:rsidRDefault="00412F22" w:rsidP="00EE0E23">
            <w:pPr>
              <w:pStyle w:val="TableParagraph"/>
              <w:spacing w:line="207" w:lineRule="exact"/>
              <w:ind w:left="25" w:right="8"/>
              <w:rPr>
                <w:rFonts w:asciiTheme="minorHAnsi" w:hAnsiTheme="minorHAnsi" w:cstheme="minorHAnsi"/>
                <w:sz w:val="20"/>
                <w:szCs w:val="20"/>
              </w:rPr>
            </w:pPr>
            <w:r w:rsidRPr="009D3EFE">
              <w:rPr>
                <w:rFonts w:asciiTheme="minorHAnsi" w:hAnsiTheme="minorHAnsi" w:cstheme="minorHAnsi"/>
                <w:spacing w:val="-4"/>
                <w:sz w:val="20"/>
                <w:szCs w:val="20"/>
              </w:rPr>
              <w:t>58,8</w:t>
            </w:r>
          </w:p>
        </w:tc>
        <w:tc>
          <w:tcPr>
            <w:tcW w:w="685" w:type="dxa"/>
            <w:tcBorders>
              <w:left w:val="single" w:sz="8" w:space="0" w:color="000000"/>
              <w:bottom w:val="single" w:sz="8" w:space="0" w:color="000000"/>
              <w:right w:val="single" w:sz="8" w:space="0" w:color="000000"/>
            </w:tcBorders>
            <w:shd w:val="clear" w:color="auto" w:fill="C5DFB3"/>
          </w:tcPr>
          <w:p w14:paraId="251AE25F" w14:textId="77777777" w:rsidR="00412F22" w:rsidRPr="009D3EFE" w:rsidRDefault="00412F22" w:rsidP="00EE0E23">
            <w:pPr>
              <w:pStyle w:val="TableParagraph"/>
              <w:spacing w:line="207" w:lineRule="exact"/>
              <w:ind w:left="20" w:right="2"/>
              <w:rPr>
                <w:rFonts w:asciiTheme="minorHAnsi" w:hAnsiTheme="minorHAnsi" w:cstheme="minorHAnsi"/>
                <w:sz w:val="20"/>
                <w:szCs w:val="20"/>
              </w:rPr>
            </w:pPr>
            <w:r w:rsidRPr="009D3EFE">
              <w:rPr>
                <w:rFonts w:asciiTheme="minorHAnsi" w:hAnsiTheme="minorHAnsi" w:cstheme="minorHAnsi"/>
                <w:spacing w:val="-4"/>
                <w:sz w:val="20"/>
                <w:szCs w:val="20"/>
              </w:rPr>
              <w:t>63,5</w:t>
            </w:r>
          </w:p>
        </w:tc>
        <w:tc>
          <w:tcPr>
            <w:tcW w:w="682" w:type="dxa"/>
            <w:tcBorders>
              <w:left w:val="single" w:sz="8" w:space="0" w:color="000000"/>
              <w:bottom w:val="single" w:sz="8" w:space="0" w:color="000000"/>
              <w:right w:val="single" w:sz="8" w:space="0" w:color="000000"/>
            </w:tcBorders>
            <w:shd w:val="clear" w:color="auto" w:fill="C5DFB3"/>
          </w:tcPr>
          <w:p w14:paraId="136B1588" w14:textId="77777777" w:rsidR="00412F22" w:rsidRPr="009D3EFE" w:rsidRDefault="00412F22" w:rsidP="00EE0E23">
            <w:pPr>
              <w:pStyle w:val="TableParagraph"/>
              <w:spacing w:line="207" w:lineRule="exact"/>
              <w:ind w:left="25" w:right="9"/>
              <w:rPr>
                <w:rFonts w:asciiTheme="minorHAnsi" w:hAnsiTheme="minorHAnsi" w:cstheme="minorHAnsi"/>
                <w:sz w:val="20"/>
                <w:szCs w:val="20"/>
              </w:rPr>
            </w:pPr>
            <w:r w:rsidRPr="009D3EFE">
              <w:rPr>
                <w:rFonts w:asciiTheme="minorHAnsi" w:hAnsiTheme="minorHAnsi" w:cstheme="minorHAnsi"/>
                <w:spacing w:val="-4"/>
                <w:sz w:val="20"/>
                <w:szCs w:val="20"/>
              </w:rPr>
              <w:t>56,2</w:t>
            </w:r>
          </w:p>
        </w:tc>
        <w:tc>
          <w:tcPr>
            <w:tcW w:w="693" w:type="dxa"/>
            <w:tcBorders>
              <w:left w:val="single" w:sz="8" w:space="0" w:color="000000"/>
              <w:bottom w:val="single" w:sz="8" w:space="0" w:color="000000"/>
              <w:right w:val="single" w:sz="8" w:space="0" w:color="000000"/>
            </w:tcBorders>
            <w:shd w:val="clear" w:color="auto" w:fill="C5DFB3"/>
          </w:tcPr>
          <w:p w14:paraId="0E25ACAB" w14:textId="77777777" w:rsidR="00412F22" w:rsidRPr="009D3EFE" w:rsidRDefault="00412F22" w:rsidP="00EE0E23">
            <w:pPr>
              <w:pStyle w:val="TableParagraph"/>
              <w:spacing w:line="207" w:lineRule="exact"/>
              <w:ind w:left="22" w:right="4"/>
              <w:rPr>
                <w:rFonts w:asciiTheme="minorHAnsi" w:hAnsiTheme="minorHAnsi" w:cstheme="minorHAnsi"/>
                <w:sz w:val="20"/>
                <w:szCs w:val="20"/>
              </w:rPr>
            </w:pPr>
            <w:r w:rsidRPr="009D3EFE">
              <w:rPr>
                <w:rFonts w:asciiTheme="minorHAnsi" w:hAnsiTheme="minorHAnsi" w:cstheme="minorHAnsi"/>
                <w:spacing w:val="-4"/>
                <w:sz w:val="20"/>
                <w:szCs w:val="20"/>
              </w:rPr>
              <w:t>66,3</w:t>
            </w:r>
          </w:p>
        </w:tc>
      </w:tr>
      <w:tr w:rsidR="00412F22" w:rsidRPr="009D3EFE" w14:paraId="0A286E6E" w14:textId="77777777" w:rsidTr="00EE0E23">
        <w:trPr>
          <w:trHeight w:val="73"/>
        </w:trPr>
        <w:tc>
          <w:tcPr>
            <w:tcW w:w="6238" w:type="dxa"/>
            <w:tcBorders>
              <w:top w:val="single" w:sz="8" w:space="0" w:color="000000"/>
            </w:tcBorders>
          </w:tcPr>
          <w:p w14:paraId="6A8154C4" w14:textId="77777777" w:rsidR="00412F22" w:rsidRPr="009D3EFE" w:rsidRDefault="00412F22" w:rsidP="00EE0E23">
            <w:pPr>
              <w:pStyle w:val="TableParagraph"/>
              <w:spacing w:before="2"/>
              <w:ind w:left="753"/>
              <w:rPr>
                <w:rFonts w:asciiTheme="minorHAnsi" w:hAnsiTheme="minorHAnsi" w:cstheme="minorHAnsi"/>
                <w:sz w:val="20"/>
                <w:szCs w:val="20"/>
                <w:lang w:val="fr-FR"/>
              </w:rPr>
            </w:pPr>
            <w:proofErr w:type="spellStart"/>
            <w:r w:rsidRPr="009D3EFE">
              <w:rPr>
                <w:rFonts w:asciiTheme="minorHAnsi" w:hAnsiTheme="minorHAnsi" w:cstheme="minorHAnsi"/>
                <w:spacing w:val="-2"/>
                <w:sz w:val="20"/>
                <w:szCs w:val="20"/>
                <w:lang w:val="fr-FR"/>
              </w:rPr>
              <w:t>Fer_SNIM</w:t>
            </w:r>
            <w:proofErr w:type="spellEnd"/>
          </w:p>
        </w:tc>
        <w:tc>
          <w:tcPr>
            <w:tcW w:w="567" w:type="dxa"/>
            <w:tcBorders>
              <w:top w:val="single" w:sz="8" w:space="0" w:color="000000"/>
            </w:tcBorders>
          </w:tcPr>
          <w:p w14:paraId="7E9DD012" w14:textId="77777777" w:rsidR="00412F22" w:rsidRPr="009D3EFE" w:rsidRDefault="00412F22" w:rsidP="00EE0E23">
            <w:pPr>
              <w:pStyle w:val="TableParagraph"/>
              <w:spacing w:before="2"/>
              <w:ind w:left="20"/>
              <w:rPr>
                <w:rFonts w:asciiTheme="minorHAnsi" w:hAnsiTheme="minorHAnsi" w:cstheme="minorHAnsi"/>
                <w:sz w:val="20"/>
                <w:szCs w:val="20"/>
              </w:rPr>
            </w:pPr>
            <w:r w:rsidRPr="009D3EFE">
              <w:rPr>
                <w:rFonts w:asciiTheme="minorHAnsi" w:hAnsiTheme="minorHAnsi" w:cstheme="minorHAnsi"/>
                <w:spacing w:val="-4"/>
                <w:sz w:val="20"/>
                <w:szCs w:val="20"/>
              </w:rPr>
              <w:t>23,6</w:t>
            </w:r>
          </w:p>
        </w:tc>
        <w:tc>
          <w:tcPr>
            <w:tcW w:w="682" w:type="dxa"/>
            <w:tcBorders>
              <w:top w:val="single" w:sz="8" w:space="0" w:color="000000"/>
            </w:tcBorders>
          </w:tcPr>
          <w:p w14:paraId="07443FD3" w14:textId="77777777" w:rsidR="00412F22" w:rsidRPr="009D3EFE" w:rsidRDefault="00412F22" w:rsidP="00EE0E23">
            <w:pPr>
              <w:pStyle w:val="TableParagraph"/>
              <w:spacing w:before="2"/>
              <w:ind w:left="21" w:right="4"/>
              <w:rPr>
                <w:rFonts w:asciiTheme="minorHAnsi" w:hAnsiTheme="minorHAnsi" w:cstheme="minorHAnsi"/>
                <w:sz w:val="20"/>
                <w:szCs w:val="20"/>
              </w:rPr>
            </w:pPr>
            <w:r w:rsidRPr="009D3EFE">
              <w:rPr>
                <w:rFonts w:asciiTheme="minorHAnsi" w:hAnsiTheme="minorHAnsi" w:cstheme="minorHAnsi"/>
                <w:spacing w:val="-4"/>
                <w:sz w:val="20"/>
                <w:szCs w:val="20"/>
              </w:rPr>
              <w:t>35,8</w:t>
            </w:r>
          </w:p>
        </w:tc>
        <w:tc>
          <w:tcPr>
            <w:tcW w:w="685" w:type="dxa"/>
            <w:tcBorders>
              <w:top w:val="single" w:sz="8" w:space="0" w:color="000000"/>
            </w:tcBorders>
          </w:tcPr>
          <w:p w14:paraId="605129BD" w14:textId="77777777" w:rsidR="00412F22" w:rsidRPr="009D3EFE" w:rsidRDefault="00412F22" w:rsidP="00EE0E23">
            <w:pPr>
              <w:pStyle w:val="TableParagraph"/>
              <w:spacing w:before="2"/>
              <w:ind w:left="20" w:right="2"/>
              <w:rPr>
                <w:rFonts w:asciiTheme="minorHAnsi" w:hAnsiTheme="minorHAnsi" w:cstheme="minorHAnsi"/>
                <w:sz w:val="20"/>
                <w:szCs w:val="20"/>
              </w:rPr>
            </w:pPr>
            <w:r w:rsidRPr="009D3EFE">
              <w:rPr>
                <w:rFonts w:asciiTheme="minorHAnsi" w:hAnsiTheme="minorHAnsi" w:cstheme="minorHAnsi"/>
                <w:spacing w:val="-4"/>
                <w:sz w:val="20"/>
                <w:szCs w:val="20"/>
              </w:rPr>
              <w:t>48,0</w:t>
            </w:r>
          </w:p>
        </w:tc>
        <w:tc>
          <w:tcPr>
            <w:tcW w:w="682" w:type="dxa"/>
            <w:tcBorders>
              <w:top w:val="single" w:sz="8" w:space="0" w:color="000000"/>
            </w:tcBorders>
          </w:tcPr>
          <w:p w14:paraId="24BB1852" w14:textId="77777777" w:rsidR="00412F22" w:rsidRPr="009D3EFE" w:rsidRDefault="00412F22" w:rsidP="00EE0E23">
            <w:pPr>
              <w:pStyle w:val="TableParagraph"/>
              <w:spacing w:before="2"/>
              <w:ind w:left="21" w:right="5"/>
              <w:rPr>
                <w:rFonts w:asciiTheme="minorHAnsi" w:hAnsiTheme="minorHAnsi" w:cstheme="minorHAnsi"/>
                <w:sz w:val="20"/>
                <w:szCs w:val="20"/>
              </w:rPr>
            </w:pPr>
            <w:r w:rsidRPr="009D3EFE">
              <w:rPr>
                <w:rFonts w:asciiTheme="minorHAnsi" w:hAnsiTheme="minorHAnsi" w:cstheme="minorHAnsi"/>
                <w:spacing w:val="-4"/>
                <w:sz w:val="20"/>
                <w:szCs w:val="20"/>
              </w:rPr>
              <w:t>31,5</w:t>
            </w:r>
          </w:p>
        </w:tc>
        <w:tc>
          <w:tcPr>
            <w:tcW w:w="693" w:type="dxa"/>
            <w:tcBorders>
              <w:top w:val="single" w:sz="8" w:space="0" w:color="000000"/>
            </w:tcBorders>
          </w:tcPr>
          <w:p w14:paraId="38A0C167" w14:textId="77777777" w:rsidR="00412F22" w:rsidRPr="009D3EFE" w:rsidRDefault="00412F22" w:rsidP="00EE0E23">
            <w:pPr>
              <w:pStyle w:val="TableParagraph"/>
              <w:spacing w:before="2"/>
              <w:ind w:left="20" w:right="2"/>
              <w:rPr>
                <w:rFonts w:asciiTheme="minorHAnsi" w:hAnsiTheme="minorHAnsi" w:cstheme="minorHAnsi"/>
                <w:sz w:val="20"/>
                <w:szCs w:val="20"/>
              </w:rPr>
            </w:pPr>
            <w:r w:rsidRPr="009D3EFE">
              <w:rPr>
                <w:rFonts w:asciiTheme="minorHAnsi" w:hAnsiTheme="minorHAnsi" w:cstheme="minorHAnsi"/>
                <w:spacing w:val="-4"/>
                <w:sz w:val="20"/>
                <w:szCs w:val="20"/>
              </w:rPr>
              <w:t>33,0</w:t>
            </w:r>
          </w:p>
        </w:tc>
      </w:tr>
      <w:tr w:rsidR="00412F22" w:rsidRPr="009D3EFE" w14:paraId="4F7B8F70" w14:textId="77777777" w:rsidTr="00EE0E23">
        <w:trPr>
          <w:trHeight w:val="101"/>
        </w:trPr>
        <w:tc>
          <w:tcPr>
            <w:tcW w:w="6238" w:type="dxa"/>
            <w:tcBorders>
              <w:left w:val="single" w:sz="8" w:space="0" w:color="000000"/>
              <w:bottom w:val="single" w:sz="8" w:space="0" w:color="000000"/>
              <w:right w:val="single" w:sz="8" w:space="0" w:color="000000"/>
            </w:tcBorders>
            <w:shd w:val="clear" w:color="auto" w:fill="C5DFB3"/>
          </w:tcPr>
          <w:p w14:paraId="4C21158D" w14:textId="77777777" w:rsidR="00412F22" w:rsidRPr="009D3EFE" w:rsidRDefault="00412F22" w:rsidP="00EE0E23">
            <w:pPr>
              <w:pStyle w:val="TableParagraph"/>
              <w:spacing w:line="207" w:lineRule="exact"/>
              <w:ind w:left="705"/>
              <w:rPr>
                <w:rFonts w:asciiTheme="minorHAnsi" w:hAnsiTheme="minorHAnsi" w:cstheme="minorHAnsi"/>
                <w:sz w:val="20"/>
                <w:szCs w:val="20"/>
                <w:lang w:val="fr-FR"/>
              </w:rPr>
            </w:pPr>
            <w:r w:rsidRPr="009D3EFE">
              <w:rPr>
                <w:rFonts w:asciiTheme="minorHAnsi" w:hAnsiTheme="minorHAnsi" w:cstheme="minorHAnsi"/>
                <w:sz w:val="20"/>
                <w:szCs w:val="20"/>
                <w:lang w:val="fr-FR"/>
              </w:rPr>
              <w:t>Or</w:t>
            </w:r>
            <w:r w:rsidRPr="009D3EFE">
              <w:rPr>
                <w:rFonts w:asciiTheme="minorHAnsi" w:hAnsiTheme="minorHAnsi" w:cstheme="minorHAnsi"/>
                <w:spacing w:val="-4"/>
                <w:sz w:val="20"/>
                <w:szCs w:val="20"/>
                <w:lang w:val="fr-FR"/>
              </w:rPr>
              <w:t xml:space="preserve"> </w:t>
            </w:r>
            <w:r w:rsidRPr="009D3EFE">
              <w:rPr>
                <w:rFonts w:asciiTheme="minorHAnsi" w:hAnsiTheme="minorHAnsi" w:cstheme="minorHAnsi"/>
                <w:sz w:val="20"/>
                <w:szCs w:val="20"/>
                <w:lang w:val="fr-FR"/>
              </w:rPr>
              <w:t xml:space="preserve">et </w:t>
            </w:r>
            <w:r w:rsidRPr="009D3EFE">
              <w:rPr>
                <w:rFonts w:asciiTheme="minorHAnsi" w:hAnsiTheme="minorHAnsi" w:cstheme="minorHAnsi"/>
                <w:spacing w:val="-2"/>
                <w:sz w:val="20"/>
                <w:szCs w:val="20"/>
                <w:lang w:val="fr-FR"/>
              </w:rPr>
              <w:t>Cuivre</w:t>
            </w:r>
          </w:p>
        </w:tc>
        <w:tc>
          <w:tcPr>
            <w:tcW w:w="567" w:type="dxa"/>
            <w:tcBorders>
              <w:left w:val="single" w:sz="8" w:space="0" w:color="000000"/>
              <w:bottom w:val="single" w:sz="8" w:space="0" w:color="000000"/>
              <w:right w:val="single" w:sz="8" w:space="0" w:color="000000"/>
            </w:tcBorders>
            <w:shd w:val="clear" w:color="auto" w:fill="C5DFB3"/>
          </w:tcPr>
          <w:p w14:paraId="2C44A6C7" w14:textId="77777777" w:rsidR="00412F22" w:rsidRPr="009D3EFE" w:rsidRDefault="00412F22" w:rsidP="00EE0E23">
            <w:pPr>
              <w:pStyle w:val="TableParagraph"/>
              <w:spacing w:line="207" w:lineRule="exact"/>
              <w:ind w:left="22" w:right="2"/>
              <w:rPr>
                <w:rFonts w:asciiTheme="minorHAnsi" w:hAnsiTheme="minorHAnsi" w:cstheme="minorHAnsi"/>
                <w:sz w:val="20"/>
                <w:szCs w:val="20"/>
              </w:rPr>
            </w:pPr>
            <w:r w:rsidRPr="009D3EFE">
              <w:rPr>
                <w:rFonts w:asciiTheme="minorHAnsi" w:hAnsiTheme="minorHAnsi" w:cstheme="minorHAnsi"/>
                <w:spacing w:val="-4"/>
                <w:sz w:val="20"/>
                <w:szCs w:val="20"/>
              </w:rPr>
              <w:t>12,9</w:t>
            </w:r>
          </w:p>
        </w:tc>
        <w:tc>
          <w:tcPr>
            <w:tcW w:w="682" w:type="dxa"/>
            <w:tcBorders>
              <w:left w:val="single" w:sz="8" w:space="0" w:color="000000"/>
              <w:bottom w:val="single" w:sz="8" w:space="0" w:color="000000"/>
              <w:right w:val="single" w:sz="8" w:space="0" w:color="000000"/>
            </w:tcBorders>
            <w:shd w:val="clear" w:color="auto" w:fill="C5DFB3"/>
          </w:tcPr>
          <w:p w14:paraId="60BEF0FD" w14:textId="77777777" w:rsidR="00412F22" w:rsidRPr="009D3EFE" w:rsidRDefault="00412F22" w:rsidP="00EE0E23">
            <w:pPr>
              <w:pStyle w:val="TableParagraph"/>
              <w:spacing w:line="207" w:lineRule="exact"/>
              <w:ind w:left="25" w:right="8"/>
              <w:rPr>
                <w:rFonts w:asciiTheme="minorHAnsi" w:hAnsiTheme="minorHAnsi" w:cstheme="minorHAnsi"/>
                <w:sz w:val="20"/>
                <w:szCs w:val="20"/>
              </w:rPr>
            </w:pPr>
            <w:r w:rsidRPr="009D3EFE">
              <w:rPr>
                <w:rFonts w:asciiTheme="minorHAnsi" w:hAnsiTheme="minorHAnsi" w:cstheme="minorHAnsi"/>
                <w:spacing w:val="-4"/>
                <w:sz w:val="20"/>
                <w:szCs w:val="20"/>
              </w:rPr>
              <w:t>23,1</w:t>
            </w:r>
          </w:p>
        </w:tc>
        <w:tc>
          <w:tcPr>
            <w:tcW w:w="685" w:type="dxa"/>
            <w:tcBorders>
              <w:left w:val="single" w:sz="8" w:space="0" w:color="000000"/>
              <w:bottom w:val="single" w:sz="8" w:space="0" w:color="000000"/>
              <w:right w:val="single" w:sz="8" w:space="0" w:color="000000"/>
            </w:tcBorders>
            <w:shd w:val="clear" w:color="auto" w:fill="C5DFB3"/>
          </w:tcPr>
          <w:p w14:paraId="18300BCE" w14:textId="77777777" w:rsidR="00412F22" w:rsidRPr="009D3EFE" w:rsidRDefault="00412F22" w:rsidP="00EE0E23">
            <w:pPr>
              <w:pStyle w:val="TableParagraph"/>
              <w:spacing w:line="207" w:lineRule="exact"/>
              <w:ind w:left="20" w:right="2"/>
              <w:rPr>
                <w:rFonts w:asciiTheme="minorHAnsi" w:hAnsiTheme="minorHAnsi" w:cstheme="minorHAnsi"/>
                <w:sz w:val="20"/>
                <w:szCs w:val="20"/>
              </w:rPr>
            </w:pPr>
            <w:r w:rsidRPr="009D3EFE">
              <w:rPr>
                <w:rFonts w:asciiTheme="minorHAnsi" w:hAnsiTheme="minorHAnsi" w:cstheme="minorHAnsi"/>
                <w:spacing w:val="-4"/>
                <w:sz w:val="20"/>
                <w:szCs w:val="20"/>
              </w:rPr>
              <w:t>15,5</w:t>
            </w:r>
          </w:p>
        </w:tc>
        <w:tc>
          <w:tcPr>
            <w:tcW w:w="682" w:type="dxa"/>
            <w:tcBorders>
              <w:left w:val="single" w:sz="8" w:space="0" w:color="000000"/>
              <w:bottom w:val="single" w:sz="8" w:space="0" w:color="000000"/>
              <w:right w:val="single" w:sz="8" w:space="0" w:color="000000"/>
            </w:tcBorders>
            <w:shd w:val="clear" w:color="auto" w:fill="C5DFB3"/>
          </w:tcPr>
          <w:p w14:paraId="064194E9" w14:textId="77777777" w:rsidR="00412F22" w:rsidRPr="009D3EFE" w:rsidRDefault="00412F22" w:rsidP="00EE0E23">
            <w:pPr>
              <w:pStyle w:val="TableParagraph"/>
              <w:spacing w:line="207" w:lineRule="exact"/>
              <w:ind w:left="25" w:right="9"/>
              <w:rPr>
                <w:rFonts w:asciiTheme="minorHAnsi" w:hAnsiTheme="minorHAnsi" w:cstheme="minorHAnsi"/>
                <w:sz w:val="20"/>
                <w:szCs w:val="20"/>
              </w:rPr>
            </w:pPr>
            <w:r w:rsidRPr="009D3EFE">
              <w:rPr>
                <w:rFonts w:asciiTheme="minorHAnsi" w:hAnsiTheme="minorHAnsi" w:cstheme="minorHAnsi"/>
                <w:spacing w:val="-4"/>
                <w:sz w:val="20"/>
                <w:szCs w:val="20"/>
              </w:rPr>
              <w:t>24,7</w:t>
            </w:r>
          </w:p>
        </w:tc>
        <w:tc>
          <w:tcPr>
            <w:tcW w:w="693" w:type="dxa"/>
            <w:tcBorders>
              <w:left w:val="single" w:sz="8" w:space="0" w:color="000000"/>
              <w:bottom w:val="single" w:sz="8" w:space="0" w:color="000000"/>
              <w:right w:val="single" w:sz="8" w:space="0" w:color="000000"/>
            </w:tcBorders>
            <w:shd w:val="clear" w:color="auto" w:fill="C5DFB3"/>
          </w:tcPr>
          <w:p w14:paraId="1CFA7587" w14:textId="77777777" w:rsidR="00412F22" w:rsidRPr="009D3EFE" w:rsidRDefault="00412F22" w:rsidP="00EE0E23">
            <w:pPr>
              <w:pStyle w:val="TableParagraph"/>
              <w:spacing w:line="207" w:lineRule="exact"/>
              <w:ind w:left="22" w:right="4"/>
              <w:rPr>
                <w:rFonts w:asciiTheme="minorHAnsi" w:hAnsiTheme="minorHAnsi" w:cstheme="minorHAnsi"/>
                <w:sz w:val="20"/>
                <w:szCs w:val="20"/>
              </w:rPr>
            </w:pPr>
            <w:r w:rsidRPr="009D3EFE">
              <w:rPr>
                <w:rFonts w:asciiTheme="minorHAnsi" w:hAnsiTheme="minorHAnsi" w:cstheme="minorHAnsi"/>
                <w:spacing w:val="-4"/>
                <w:sz w:val="20"/>
                <w:szCs w:val="20"/>
              </w:rPr>
              <w:t>33,3</w:t>
            </w:r>
          </w:p>
        </w:tc>
      </w:tr>
      <w:tr w:rsidR="00412F22" w:rsidRPr="009D3EFE" w14:paraId="5C568973" w14:textId="77777777" w:rsidTr="00EE0E23">
        <w:trPr>
          <w:trHeight w:val="151"/>
        </w:trPr>
        <w:tc>
          <w:tcPr>
            <w:tcW w:w="6238" w:type="dxa"/>
            <w:tcBorders>
              <w:top w:val="single" w:sz="8" w:space="0" w:color="000000"/>
            </w:tcBorders>
          </w:tcPr>
          <w:p w14:paraId="523A9BE5" w14:textId="77777777" w:rsidR="00412F22" w:rsidRPr="009D3EFE" w:rsidRDefault="00412F22" w:rsidP="00EE0E23">
            <w:pPr>
              <w:pStyle w:val="TableParagraph"/>
              <w:spacing w:before="2"/>
              <w:ind w:left="347"/>
              <w:rPr>
                <w:rFonts w:asciiTheme="minorHAnsi" w:hAnsiTheme="minorHAnsi" w:cstheme="minorHAnsi"/>
                <w:sz w:val="20"/>
                <w:szCs w:val="20"/>
                <w:lang w:val="fr-FR"/>
              </w:rPr>
            </w:pPr>
            <w:r w:rsidRPr="009D3EFE">
              <w:rPr>
                <w:rFonts w:asciiTheme="minorHAnsi" w:hAnsiTheme="minorHAnsi" w:cstheme="minorHAnsi"/>
                <w:sz w:val="20"/>
                <w:szCs w:val="20"/>
                <w:lang w:val="fr-FR"/>
              </w:rPr>
              <w:t>2.</w:t>
            </w:r>
            <w:r w:rsidRPr="009D3EFE">
              <w:rPr>
                <w:rFonts w:asciiTheme="minorHAnsi" w:hAnsiTheme="minorHAnsi" w:cstheme="minorHAnsi"/>
                <w:spacing w:val="-4"/>
                <w:sz w:val="20"/>
                <w:szCs w:val="20"/>
                <w:lang w:val="fr-FR"/>
              </w:rPr>
              <w:t xml:space="preserve"> </w:t>
            </w:r>
            <w:r w:rsidRPr="009D3EFE">
              <w:rPr>
                <w:rFonts w:asciiTheme="minorHAnsi" w:hAnsiTheme="minorHAnsi" w:cstheme="minorHAnsi"/>
                <w:sz w:val="20"/>
                <w:szCs w:val="20"/>
                <w:lang w:val="fr-FR"/>
              </w:rPr>
              <w:t>2.2 Autres</w:t>
            </w:r>
            <w:r w:rsidRPr="009D3EFE">
              <w:rPr>
                <w:rFonts w:asciiTheme="minorHAnsi" w:hAnsiTheme="minorHAnsi" w:cstheme="minorHAnsi"/>
                <w:spacing w:val="-2"/>
                <w:sz w:val="20"/>
                <w:szCs w:val="20"/>
                <w:lang w:val="fr-FR"/>
              </w:rPr>
              <w:t xml:space="preserve"> </w:t>
            </w:r>
            <w:r w:rsidRPr="009D3EFE">
              <w:rPr>
                <w:rFonts w:asciiTheme="minorHAnsi" w:hAnsiTheme="minorHAnsi" w:cstheme="minorHAnsi"/>
                <w:sz w:val="20"/>
                <w:szCs w:val="20"/>
                <w:lang w:val="fr-FR"/>
              </w:rPr>
              <w:t>activités</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pacing w:val="-2"/>
                <w:sz w:val="20"/>
                <w:szCs w:val="20"/>
                <w:lang w:val="fr-FR"/>
              </w:rPr>
              <w:t>extractives</w:t>
            </w:r>
          </w:p>
        </w:tc>
        <w:tc>
          <w:tcPr>
            <w:tcW w:w="567" w:type="dxa"/>
            <w:tcBorders>
              <w:top w:val="single" w:sz="8" w:space="0" w:color="000000"/>
            </w:tcBorders>
          </w:tcPr>
          <w:p w14:paraId="2D7B82B9" w14:textId="77777777" w:rsidR="00412F22" w:rsidRPr="009D3EFE" w:rsidRDefault="00412F22" w:rsidP="00EE0E23">
            <w:pPr>
              <w:pStyle w:val="TableParagraph"/>
              <w:spacing w:before="2"/>
              <w:ind w:left="20" w:right="3"/>
              <w:rPr>
                <w:rFonts w:asciiTheme="minorHAnsi" w:hAnsiTheme="minorHAnsi" w:cstheme="minorHAnsi"/>
                <w:sz w:val="20"/>
                <w:szCs w:val="20"/>
              </w:rPr>
            </w:pPr>
            <w:r w:rsidRPr="009D3EFE">
              <w:rPr>
                <w:rFonts w:asciiTheme="minorHAnsi" w:hAnsiTheme="minorHAnsi" w:cstheme="minorHAnsi"/>
                <w:spacing w:val="-5"/>
                <w:sz w:val="20"/>
                <w:szCs w:val="20"/>
              </w:rPr>
              <w:t>6,5</w:t>
            </w:r>
          </w:p>
        </w:tc>
        <w:tc>
          <w:tcPr>
            <w:tcW w:w="682" w:type="dxa"/>
            <w:tcBorders>
              <w:top w:val="single" w:sz="8" w:space="0" w:color="000000"/>
            </w:tcBorders>
          </w:tcPr>
          <w:p w14:paraId="7652C793" w14:textId="77777777" w:rsidR="00412F22" w:rsidRPr="009D3EFE" w:rsidRDefault="00412F22" w:rsidP="00EE0E23">
            <w:pPr>
              <w:pStyle w:val="TableParagraph"/>
              <w:spacing w:before="2"/>
              <w:ind w:left="21" w:right="2"/>
              <w:rPr>
                <w:rFonts w:asciiTheme="minorHAnsi" w:hAnsiTheme="minorHAnsi" w:cstheme="minorHAnsi"/>
                <w:sz w:val="20"/>
                <w:szCs w:val="20"/>
              </w:rPr>
            </w:pPr>
            <w:r w:rsidRPr="009D3EFE">
              <w:rPr>
                <w:rFonts w:asciiTheme="minorHAnsi" w:hAnsiTheme="minorHAnsi" w:cstheme="minorHAnsi"/>
                <w:spacing w:val="-5"/>
                <w:sz w:val="20"/>
                <w:szCs w:val="20"/>
              </w:rPr>
              <w:t>5,5</w:t>
            </w:r>
          </w:p>
        </w:tc>
        <w:tc>
          <w:tcPr>
            <w:tcW w:w="685" w:type="dxa"/>
            <w:tcBorders>
              <w:top w:val="single" w:sz="8" w:space="0" w:color="000000"/>
            </w:tcBorders>
          </w:tcPr>
          <w:p w14:paraId="60BF4078" w14:textId="77777777" w:rsidR="00412F22" w:rsidRPr="009D3EFE" w:rsidRDefault="00412F22" w:rsidP="00EE0E23">
            <w:pPr>
              <w:pStyle w:val="TableParagraph"/>
              <w:spacing w:before="2"/>
              <w:ind w:left="20"/>
              <w:rPr>
                <w:rFonts w:asciiTheme="minorHAnsi" w:hAnsiTheme="minorHAnsi" w:cstheme="minorHAnsi"/>
                <w:sz w:val="20"/>
                <w:szCs w:val="20"/>
              </w:rPr>
            </w:pPr>
            <w:r w:rsidRPr="009D3EFE">
              <w:rPr>
                <w:rFonts w:asciiTheme="minorHAnsi" w:hAnsiTheme="minorHAnsi" w:cstheme="minorHAnsi"/>
                <w:spacing w:val="-5"/>
                <w:sz w:val="20"/>
                <w:szCs w:val="20"/>
              </w:rPr>
              <w:t>5,0</w:t>
            </w:r>
          </w:p>
        </w:tc>
        <w:tc>
          <w:tcPr>
            <w:tcW w:w="682" w:type="dxa"/>
            <w:tcBorders>
              <w:top w:val="single" w:sz="8" w:space="0" w:color="000000"/>
            </w:tcBorders>
          </w:tcPr>
          <w:p w14:paraId="2419355B" w14:textId="77777777" w:rsidR="00412F22" w:rsidRPr="009D3EFE" w:rsidRDefault="00412F22" w:rsidP="00EE0E23">
            <w:pPr>
              <w:pStyle w:val="TableParagraph"/>
              <w:spacing w:before="2"/>
              <w:ind w:left="21" w:right="3"/>
              <w:rPr>
                <w:rFonts w:asciiTheme="minorHAnsi" w:hAnsiTheme="minorHAnsi" w:cstheme="minorHAnsi"/>
                <w:sz w:val="20"/>
                <w:szCs w:val="20"/>
              </w:rPr>
            </w:pPr>
            <w:r w:rsidRPr="009D3EFE">
              <w:rPr>
                <w:rFonts w:asciiTheme="minorHAnsi" w:hAnsiTheme="minorHAnsi" w:cstheme="minorHAnsi"/>
                <w:spacing w:val="-5"/>
                <w:sz w:val="20"/>
                <w:szCs w:val="20"/>
              </w:rPr>
              <w:t>6,5</w:t>
            </w:r>
          </w:p>
        </w:tc>
        <w:tc>
          <w:tcPr>
            <w:tcW w:w="693" w:type="dxa"/>
            <w:tcBorders>
              <w:top w:val="single" w:sz="8" w:space="0" w:color="000000"/>
            </w:tcBorders>
          </w:tcPr>
          <w:p w14:paraId="76209DE6" w14:textId="77777777" w:rsidR="00412F22" w:rsidRPr="009D3EFE" w:rsidRDefault="00412F22" w:rsidP="00EE0E23">
            <w:pPr>
              <w:pStyle w:val="TableParagraph"/>
              <w:spacing w:before="2"/>
              <w:ind w:left="20"/>
              <w:rPr>
                <w:rFonts w:asciiTheme="minorHAnsi" w:hAnsiTheme="minorHAnsi" w:cstheme="minorHAnsi"/>
                <w:sz w:val="20"/>
                <w:szCs w:val="20"/>
              </w:rPr>
            </w:pPr>
            <w:r w:rsidRPr="009D3EFE">
              <w:rPr>
                <w:rFonts w:asciiTheme="minorHAnsi" w:hAnsiTheme="minorHAnsi" w:cstheme="minorHAnsi"/>
                <w:spacing w:val="-5"/>
                <w:sz w:val="20"/>
                <w:szCs w:val="20"/>
              </w:rPr>
              <w:t>7,2</w:t>
            </w:r>
          </w:p>
        </w:tc>
      </w:tr>
      <w:tr w:rsidR="00412F22" w:rsidRPr="009D3EFE" w14:paraId="1D38452A" w14:textId="77777777" w:rsidTr="00EE0E23">
        <w:trPr>
          <w:trHeight w:val="237"/>
        </w:trPr>
        <w:tc>
          <w:tcPr>
            <w:tcW w:w="6238" w:type="dxa"/>
            <w:tcBorders>
              <w:left w:val="single" w:sz="8" w:space="0" w:color="000000"/>
              <w:bottom w:val="single" w:sz="8" w:space="0" w:color="000000"/>
              <w:right w:val="single" w:sz="8" w:space="0" w:color="000000"/>
            </w:tcBorders>
            <w:shd w:val="clear" w:color="auto" w:fill="C5DFB3"/>
          </w:tcPr>
          <w:p w14:paraId="7EE3D538" w14:textId="77777777" w:rsidR="00412F22" w:rsidRPr="009D3EFE" w:rsidRDefault="00412F22" w:rsidP="00EE0E23">
            <w:pPr>
              <w:pStyle w:val="TableParagraph"/>
              <w:tabs>
                <w:tab w:val="left" w:pos="4176"/>
              </w:tabs>
              <w:spacing w:line="207" w:lineRule="exact"/>
              <w:ind w:left="71"/>
              <w:rPr>
                <w:rFonts w:asciiTheme="minorHAnsi" w:hAnsiTheme="minorHAnsi" w:cstheme="minorHAnsi"/>
                <w:sz w:val="20"/>
                <w:szCs w:val="20"/>
                <w:lang w:val="fr-FR"/>
              </w:rPr>
            </w:pPr>
            <w:r w:rsidRPr="009D3EFE">
              <w:rPr>
                <w:rFonts w:asciiTheme="minorHAnsi" w:hAnsiTheme="minorHAnsi" w:cstheme="minorHAnsi"/>
                <w:sz w:val="20"/>
                <w:szCs w:val="20"/>
                <w:lang w:val="fr-FR"/>
              </w:rPr>
              <w:t>3.</w:t>
            </w:r>
            <w:r w:rsidRPr="009D3EFE">
              <w:rPr>
                <w:rFonts w:asciiTheme="minorHAnsi" w:hAnsiTheme="minorHAnsi" w:cstheme="minorHAnsi"/>
                <w:spacing w:val="-2"/>
                <w:sz w:val="20"/>
                <w:szCs w:val="20"/>
                <w:lang w:val="fr-FR"/>
              </w:rPr>
              <w:t xml:space="preserve"> </w:t>
            </w:r>
            <w:r w:rsidRPr="009D3EFE">
              <w:rPr>
                <w:rFonts w:asciiTheme="minorHAnsi" w:hAnsiTheme="minorHAnsi" w:cstheme="minorHAnsi"/>
                <w:sz w:val="20"/>
                <w:szCs w:val="20"/>
                <w:lang w:val="fr-FR"/>
              </w:rPr>
              <w:t>Activités</w:t>
            </w:r>
            <w:r w:rsidRPr="009D3EFE">
              <w:rPr>
                <w:rFonts w:asciiTheme="minorHAnsi" w:hAnsiTheme="minorHAnsi" w:cstheme="minorHAnsi"/>
                <w:spacing w:val="-2"/>
                <w:sz w:val="20"/>
                <w:szCs w:val="20"/>
                <w:lang w:val="fr-FR"/>
              </w:rPr>
              <w:t xml:space="preserve"> manufacturières</w:t>
            </w:r>
            <w:r w:rsidRPr="009D3EFE">
              <w:rPr>
                <w:rFonts w:asciiTheme="minorHAnsi" w:hAnsiTheme="minorHAnsi" w:cstheme="minorHAnsi"/>
                <w:spacing w:val="-2"/>
                <w:sz w:val="20"/>
                <w:szCs w:val="20"/>
                <w:lang w:val="fr-FR"/>
              </w:rPr>
              <w:tab/>
            </w:r>
          </w:p>
        </w:tc>
        <w:tc>
          <w:tcPr>
            <w:tcW w:w="567" w:type="dxa"/>
            <w:tcBorders>
              <w:left w:val="single" w:sz="8" w:space="0" w:color="000000"/>
              <w:bottom w:val="single" w:sz="8" w:space="0" w:color="000000"/>
              <w:right w:val="single" w:sz="8" w:space="0" w:color="000000"/>
            </w:tcBorders>
            <w:shd w:val="clear" w:color="auto" w:fill="C5DFB3"/>
          </w:tcPr>
          <w:p w14:paraId="0577BA63" w14:textId="77777777" w:rsidR="00412F22" w:rsidRPr="009D3EFE" w:rsidRDefault="00412F22" w:rsidP="00EE0E23">
            <w:pPr>
              <w:pStyle w:val="TableParagraph"/>
              <w:spacing w:line="207" w:lineRule="exact"/>
              <w:ind w:left="22" w:right="2"/>
              <w:rPr>
                <w:rFonts w:asciiTheme="minorHAnsi" w:hAnsiTheme="minorHAnsi" w:cstheme="minorHAnsi"/>
                <w:sz w:val="20"/>
                <w:szCs w:val="20"/>
              </w:rPr>
            </w:pPr>
            <w:r w:rsidRPr="009D3EFE">
              <w:rPr>
                <w:rFonts w:asciiTheme="minorHAnsi" w:hAnsiTheme="minorHAnsi" w:cstheme="minorHAnsi"/>
                <w:spacing w:val="-4"/>
                <w:sz w:val="20"/>
                <w:szCs w:val="20"/>
              </w:rPr>
              <w:t>26,2</w:t>
            </w:r>
          </w:p>
        </w:tc>
        <w:tc>
          <w:tcPr>
            <w:tcW w:w="682" w:type="dxa"/>
            <w:tcBorders>
              <w:left w:val="single" w:sz="8" w:space="0" w:color="000000"/>
              <w:bottom w:val="single" w:sz="8" w:space="0" w:color="000000"/>
              <w:right w:val="single" w:sz="8" w:space="0" w:color="000000"/>
            </w:tcBorders>
            <w:shd w:val="clear" w:color="auto" w:fill="C5DFB3"/>
          </w:tcPr>
          <w:p w14:paraId="5D3610F3" w14:textId="77777777" w:rsidR="00412F22" w:rsidRPr="009D3EFE" w:rsidRDefault="00412F22" w:rsidP="00EE0E23">
            <w:pPr>
              <w:pStyle w:val="TableParagraph"/>
              <w:spacing w:line="207" w:lineRule="exact"/>
              <w:ind w:left="25" w:right="8"/>
              <w:rPr>
                <w:rFonts w:asciiTheme="minorHAnsi" w:hAnsiTheme="minorHAnsi" w:cstheme="minorHAnsi"/>
                <w:sz w:val="20"/>
                <w:szCs w:val="20"/>
              </w:rPr>
            </w:pPr>
            <w:r w:rsidRPr="009D3EFE">
              <w:rPr>
                <w:rFonts w:asciiTheme="minorHAnsi" w:hAnsiTheme="minorHAnsi" w:cstheme="minorHAnsi"/>
                <w:spacing w:val="-4"/>
                <w:sz w:val="20"/>
                <w:szCs w:val="20"/>
              </w:rPr>
              <w:t>27,3</w:t>
            </w:r>
          </w:p>
        </w:tc>
        <w:tc>
          <w:tcPr>
            <w:tcW w:w="685" w:type="dxa"/>
            <w:tcBorders>
              <w:left w:val="single" w:sz="8" w:space="0" w:color="000000"/>
              <w:bottom w:val="single" w:sz="8" w:space="0" w:color="000000"/>
              <w:right w:val="single" w:sz="8" w:space="0" w:color="000000"/>
            </w:tcBorders>
            <w:shd w:val="clear" w:color="auto" w:fill="C5DFB3"/>
          </w:tcPr>
          <w:p w14:paraId="7E3521D3" w14:textId="77777777" w:rsidR="00412F22" w:rsidRPr="009D3EFE" w:rsidRDefault="00412F22" w:rsidP="00EE0E23">
            <w:pPr>
              <w:pStyle w:val="TableParagraph"/>
              <w:spacing w:line="207" w:lineRule="exact"/>
              <w:ind w:left="20" w:right="2"/>
              <w:rPr>
                <w:rFonts w:asciiTheme="minorHAnsi" w:hAnsiTheme="minorHAnsi" w:cstheme="minorHAnsi"/>
                <w:sz w:val="20"/>
                <w:szCs w:val="20"/>
              </w:rPr>
            </w:pPr>
            <w:r w:rsidRPr="009D3EFE">
              <w:rPr>
                <w:rFonts w:asciiTheme="minorHAnsi" w:hAnsiTheme="minorHAnsi" w:cstheme="minorHAnsi"/>
                <w:spacing w:val="-4"/>
                <w:sz w:val="20"/>
                <w:szCs w:val="20"/>
              </w:rPr>
              <w:t>25,8</w:t>
            </w:r>
          </w:p>
        </w:tc>
        <w:tc>
          <w:tcPr>
            <w:tcW w:w="682" w:type="dxa"/>
            <w:tcBorders>
              <w:left w:val="single" w:sz="8" w:space="0" w:color="000000"/>
              <w:bottom w:val="single" w:sz="8" w:space="0" w:color="000000"/>
              <w:right w:val="single" w:sz="8" w:space="0" w:color="000000"/>
            </w:tcBorders>
            <w:shd w:val="clear" w:color="auto" w:fill="C5DFB3"/>
          </w:tcPr>
          <w:p w14:paraId="575F9CE7" w14:textId="77777777" w:rsidR="00412F22" w:rsidRPr="009D3EFE" w:rsidRDefault="00412F22" w:rsidP="00EE0E23">
            <w:pPr>
              <w:pStyle w:val="TableParagraph"/>
              <w:spacing w:line="207" w:lineRule="exact"/>
              <w:ind w:left="25" w:right="9"/>
              <w:rPr>
                <w:rFonts w:asciiTheme="minorHAnsi" w:hAnsiTheme="minorHAnsi" w:cstheme="minorHAnsi"/>
                <w:sz w:val="20"/>
                <w:szCs w:val="20"/>
              </w:rPr>
            </w:pPr>
            <w:r w:rsidRPr="009D3EFE">
              <w:rPr>
                <w:rFonts w:asciiTheme="minorHAnsi" w:hAnsiTheme="minorHAnsi" w:cstheme="minorHAnsi"/>
                <w:spacing w:val="-4"/>
                <w:sz w:val="20"/>
                <w:szCs w:val="20"/>
              </w:rPr>
              <w:t>28,3</w:t>
            </w:r>
          </w:p>
        </w:tc>
        <w:tc>
          <w:tcPr>
            <w:tcW w:w="693" w:type="dxa"/>
            <w:tcBorders>
              <w:left w:val="single" w:sz="8" w:space="0" w:color="000000"/>
              <w:bottom w:val="single" w:sz="8" w:space="0" w:color="000000"/>
              <w:right w:val="single" w:sz="8" w:space="0" w:color="000000"/>
            </w:tcBorders>
            <w:shd w:val="clear" w:color="auto" w:fill="C5DFB3"/>
          </w:tcPr>
          <w:p w14:paraId="0A133080" w14:textId="77777777" w:rsidR="00412F22" w:rsidRPr="009D3EFE" w:rsidRDefault="00412F22" w:rsidP="00EE0E23">
            <w:pPr>
              <w:pStyle w:val="TableParagraph"/>
              <w:spacing w:line="207" w:lineRule="exact"/>
              <w:ind w:left="22" w:right="4"/>
              <w:rPr>
                <w:rFonts w:asciiTheme="minorHAnsi" w:hAnsiTheme="minorHAnsi" w:cstheme="minorHAnsi"/>
                <w:sz w:val="20"/>
                <w:szCs w:val="20"/>
              </w:rPr>
            </w:pPr>
            <w:r w:rsidRPr="009D3EFE">
              <w:rPr>
                <w:rFonts w:asciiTheme="minorHAnsi" w:hAnsiTheme="minorHAnsi" w:cstheme="minorHAnsi"/>
                <w:spacing w:val="-4"/>
                <w:sz w:val="20"/>
                <w:szCs w:val="20"/>
              </w:rPr>
              <w:t>32,7</w:t>
            </w:r>
          </w:p>
        </w:tc>
      </w:tr>
      <w:tr w:rsidR="00412F22" w:rsidRPr="009D3EFE" w14:paraId="04628B11" w14:textId="77777777" w:rsidTr="00EE0E23">
        <w:trPr>
          <w:trHeight w:val="239"/>
        </w:trPr>
        <w:tc>
          <w:tcPr>
            <w:tcW w:w="6238" w:type="dxa"/>
            <w:tcBorders>
              <w:top w:val="single" w:sz="8" w:space="0" w:color="000000"/>
            </w:tcBorders>
          </w:tcPr>
          <w:p w14:paraId="12C22B9C" w14:textId="77777777" w:rsidR="00412F22" w:rsidRPr="009D3EFE" w:rsidRDefault="00412F22" w:rsidP="00EE0E23">
            <w:pPr>
              <w:pStyle w:val="TableParagraph"/>
              <w:spacing w:line="207" w:lineRule="exact"/>
              <w:ind w:left="347"/>
              <w:rPr>
                <w:rFonts w:asciiTheme="minorHAnsi" w:hAnsiTheme="minorHAnsi" w:cstheme="minorHAnsi"/>
                <w:sz w:val="20"/>
                <w:szCs w:val="20"/>
                <w:lang w:val="fr-FR"/>
              </w:rPr>
            </w:pPr>
            <w:r w:rsidRPr="009D3EFE">
              <w:rPr>
                <w:rFonts w:asciiTheme="minorHAnsi" w:hAnsiTheme="minorHAnsi" w:cstheme="minorHAnsi"/>
                <w:sz w:val="20"/>
                <w:szCs w:val="20"/>
                <w:lang w:val="fr-FR"/>
              </w:rPr>
              <w:t>3.</w:t>
            </w:r>
            <w:r w:rsidRPr="009D3EFE">
              <w:rPr>
                <w:rFonts w:asciiTheme="minorHAnsi" w:hAnsiTheme="minorHAnsi" w:cstheme="minorHAnsi"/>
                <w:spacing w:val="-3"/>
                <w:sz w:val="20"/>
                <w:szCs w:val="20"/>
                <w:lang w:val="fr-FR"/>
              </w:rPr>
              <w:t xml:space="preserve"> </w:t>
            </w:r>
            <w:r w:rsidRPr="009D3EFE">
              <w:rPr>
                <w:rFonts w:asciiTheme="minorHAnsi" w:hAnsiTheme="minorHAnsi" w:cstheme="minorHAnsi"/>
                <w:sz w:val="20"/>
                <w:szCs w:val="20"/>
                <w:lang w:val="fr-FR"/>
              </w:rPr>
              <w:t>1 Activités</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z w:val="20"/>
                <w:szCs w:val="20"/>
                <w:lang w:val="fr-FR"/>
              </w:rPr>
              <w:t>manufacturières</w:t>
            </w:r>
            <w:r w:rsidRPr="009D3EFE">
              <w:rPr>
                <w:rFonts w:asciiTheme="minorHAnsi" w:hAnsiTheme="minorHAnsi" w:cstheme="minorHAnsi"/>
                <w:spacing w:val="-4"/>
                <w:sz w:val="20"/>
                <w:szCs w:val="20"/>
                <w:lang w:val="fr-FR"/>
              </w:rPr>
              <w:t xml:space="preserve"> </w:t>
            </w:r>
            <w:r w:rsidRPr="009D3EFE">
              <w:rPr>
                <w:rFonts w:asciiTheme="minorHAnsi" w:hAnsiTheme="minorHAnsi" w:cstheme="minorHAnsi"/>
                <w:sz w:val="20"/>
                <w:szCs w:val="20"/>
                <w:lang w:val="fr-FR"/>
              </w:rPr>
              <w:t>hors</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z w:val="20"/>
                <w:szCs w:val="20"/>
                <w:lang w:val="fr-FR"/>
              </w:rPr>
              <w:t>eau et</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pacing w:val="-2"/>
                <w:sz w:val="20"/>
                <w:szCs w:val="20"/>
                <w:lang w:val="fr-FR"/>
              </w:rPr>
              <w:t>électricité</w:t>
            </w:r>
          </w:p>
        </w:tc>
        <w:tc>
          <w:tcPr>
            <w:tcW w:w="567" w:type="dxa"/>
            <w:tcBorders>
              <w:top w:val="single" w:sz="8" w:space="0" w:color="000000"/>
            </w:tcBorders>
          </w:tcPr>
          <w:p w14:paraId="3E0FC0DC" w14:textId="77777777" w:rsidR="00412F22" w:rsidRPr="009D3EFE" w:rsidRDefault="00412F22" w:rsidP="00EE0E23">
            <w:pPr>
              <w:pStyle w:val="TableParagraph"/>
              <w:spacing w:line="207" w:lineRule="exact"/>
              <w:ind w:left="20"/>
              <w:rPr>
                <w:rFonts w:asciiTheme="minorHAnsi" w:hAnsiTheme="minorHAnsi" w:cstheme="minorHAnsi"/>
                <w:sz w:val="20"/>
                <w:szCs w:val="20"/>
              </w:rPr>
            </w:pPr>
            <w:r w:rsidRPr="009D3EFE">
              <w:rPr>
                <w:rFonts w:asciiTheme="minorHAnsi" w:hAnsiTheme="minorHAnsi" w:cstheme="minorHAnsi"/>
                <w:spacing w:val="-4"/>
                <w:sz w:val="20"/>
                <w:szCs w:val="20"/>
              </w:rPr>
              <w:t>20,6</w:t>
            </w:r>
          </w:p>
        </w:tc>
        <w:tc>
          <w:tcPr>
            <w:tcW w:w="682" w:type="dxa"/>
            <w:tcBorders>
              <w:top w:val="single" w:sz="8" w:space="0" w:color="000000"/>
            </w:tcBorders>
          </w:tcPr>
          <w:p w14:paraId="7D6692CE" w14:textId="77777777" w:rsidR="00412F22" w:rsidRPr="009D3EFE" w:rsidRDefault="00412F22" w:rsidP="00EE0E23">
            <w:pPr>
              <w:pStyle w:val="TableParagraph"/>
              <w:spacing w:line="207" w:lineRule="exact"/>
              <w:ind w:left="21" w:right="4"/>
              <w:rPr>
                <w:rFonts w:asciiTheme="minorHAnsi" w:hAnsiTheme="minorHAnsi" w:cstheme="minorHAnsi"/>
                <w:sz w:val="20"/>
                <w:szCs w:val="20"/>
              </w:rPr>
            </w:pPr>
            <w:r w:rsidRPr="009D3EFE">
              <w:rPr>
                <w:rFonts w:asciiTheme="minorHAnsi" w:hAnsiTheme="minorHAnsi" w:cstheme="minorHAnsi"/>
                <w:spacing w:val="-4"/>
                <w:sz w:val="20"/>
                <w:szCs w:val="20"/>
              </w:rPr>
              <w:t>20,5</w:t>
            </w:r>
          </w:p>
        </w:tc>
        <w:tc>
          <w:tcPr>
            <w:tcW w:w="685" w:type="dxa"/>
            <w:tcBorders>
              <w:top w:val="single" w:sz="8" w:space="0" w:color="000000"/>
            </w:tcBorders>
          </w:tcPr>
          <w:p w14:paraId="631AF5B3" w14:textId="77777777" w:rsidR="00412F22" w:rsidRPr="009D3EFE" w:rsidRDefault="00412F22" w:rsidP="00EE0E23">
            <w:pPr>
              <w:pStyle w:val="TableParagraph"/>
              <w:spacing w:line="207" w:lineRule="exact"/>
              <w:ind w:left="20" w:right="2"/>
              <w:rPr>
                <w:rFonts w:asciiTheme="minorHAnsi" w:hAnsiTheme="minorHAnsi" w:cstheme="minorHAnsi"/>
                <w:sz w:val="20"/>
                <w:szCs w:val="20"/>
              </w:rPr>
            </w:pPr>
            <w:r w:rsidRPr="009D3EFE">
              <w:rPr>
                <w:rFonts w:asciiTheme="minorHAnsi" w:hAnsiTheme="minorHAnsi" w:cstheme="minorHAnsi"/>
                <w:spacing w:val="-4"/>
                <w:sz w:val="20"/>
                <w:szCs w:val="20"/>
              </w:rPr>
              <w:t>20,3</w:t>
            </w:r>
          </w:p>
        </w:tc>
        <w:tc>
          <w:tcPr>
            <w:tcW w:w="682" w:type="dxa"/>
            <w:tcBorders>
              <w:top w:val="single" w:sz="8" w:space="0" w:color="000000"/>
            </w:tcBorders>
          </w:tcPr>
          <w:p w14:paraId="1C50C073" w14:textId="77777777" w:rsidR="00412F22" w:rsidRPr="009D3EFE" w:rsidRDefault="00412F22" w:rsidP="00EE0E23">
            <w:pPr>
              <w:pStyle w:val="TableParagraph"/>
              <w:spacing w:line="207" w:lineRule="exact"/>
              <w:ind w:left="21" w:right="5"/>
              <w:rPr>
                <w:rFonts w:asciiTheme="minorHAnsi" w:hAnsiTheme="minorHAnsi" w:cstheme="minorHAnsi"/>
                <w:sz w:val="20"/>
                <w:szCs w:val="20"/>
              </w:rPr>
            </w:pPr>
            <w:r w:rsidRPr="009D3EFE">
              <w:rPr>
                <w:rFonts w:asciiTheme="minorHAnsi" w:hAnsiTheme="minorHAnsi" w:cstheme="minorHAnsi"/>
                <w:spacing w:val="-4"/>
                <w:sz w:val="20"/>
                <w:szCs w:val="20"/>
              </w:rPr>
              <w:t>23,4</w:t>
            </w:r>
          </w:p>
        </w:tc>
        <w:tc>
          <w:tcPr>
            <w:tcW w:w="693" w:type="dxa"/>
            <w:tcBorders>
              <w:top w:val="single" w:sz="8" w:space="0" w:color="000000"/>
            </w:tcBorders>
          </w:tcPr>
          <w:p w14:paraId="60F3CF3F" w14:textId="77777777" w:rsidR="00412F22" w:rsidRPr="009D3EFE" w:rsidRDefault="00412F22" w:rsidP="00EE0E23">
            <w:pPr>
              <w:pStyle w:val="TableParagraph"/>
              <w:spacing w:line="207" w:lineRule="exact"/>
              <w:ind w:left="20" w:right="2"/>
              <w:rPr>
                <w:rFonts w:asciiTheme="minorHAnsi" w:hAnsiTheme="minorHAnsi" w:cstheme="minorHAnsi"/>
                <w:sz w:val="20"/>
                <w:szCs w:val="20"/>
              </w:rPr>
            </w:pPr>
            <w:r w:rsidRPr="009D3EFE">
              <w:rPr>
                <w:rFonts w:asciiTheme="minorHAnsi" w:hAnsiTheme="minorHAnsi" w:cstheme="minorHAnsi"/>
                <w:spacing w:val="-4"/>
                <w:sz w:val="20"/>
                <w:szCs w:val="20"/>
              </w:rPr>
              <w:t>25,2</w:t>
            </w:r>
          </w:p>
        </w:tc>
      </w:tr>
      <w:tr w:rsidR="00412F22" w:rsidRPr="009D3EFE" w14:paraId="762C7824" w14:textId="77777777" w:rsidTr="00EE0E23">
        <w:trPr>
          <w:trHeight w:val="102"/>
        </w:trPr>
        <w:tc>
          <w:tcPr>
            <w:tcW w:w="6238" w:type="dxa"/>
            <w:tcBorders>
              <w:left w:val="single" w:sz="8" w:space="0" w:color="000000"/>
              <w:bottom w:val="single" w:sz="8" w:space="0" w:color="000000"/>
              <w:right w:val="single" w:sz="8" w:space="0" w:color="000000"/>
            </w:tcBorders>
            <w:shd w:val="clear" w:color="auto" w:fill="C5DFB3"/>
          </w:tcPr>
          <w:p w14:paraId="537DC339" w14:textId="77777777" w:rsidR="00412F22" w:rsidRPr="009D3EFE" w:rsidRDefault="00412F22" w:rsidP="00EE0E23">
            <w:pPr>
              <w:pStyle w:val="TableParagraph"/>
              <w:spacing w:line="207" w:lineRule="exact"/>
              <w:ind w:left="342"/>
              <w:rPr>
                <w:rFonts w:asciiTheme="minorHAnsi" w:hAnsiTheme="minorHAnsi" w:cstheme="minorHAnsi"/>
                <w:sz w:val="20"/>
                <w:szCs w:val="20"/>
                <w:lang w:val="fr-FR"/>
              </w:rPr>
            </w:pPr>
            <w:r w:rsidRPr="009D3EFE">
              <w:rPr>
                <w:rFonts w:asciiTheme="minorHAnsi" w:hAnsiTheme="minorHAnsi" w:cstheme="minorHAnsi"/>
                <w:sz w:val="20"/>
                <w:szCs w:val="20"/>
                <w:lang w:val="fr-FR"/>
              </w:rPr>
              <w:t>3.</w:t>
            </w:r>
            <w:r w:rsidRPr="009D3EFE">
              <w:rPr>
                <w:rFonts w:asciiTheme="minorHAnsi" w:hAnsiTheme="minorHAnsi" w:cstheme="minorHAnsi"/>
                <w:spacing w:val="-4"/>
                <w:sz w:val="20"/>
                <w:szCs w:val="20"/>
                <w:lang w:val="fr-FR"/>
              </w:rPr>
              <w:t xml:space="preserve"> </w:t>
            </w:r>
            <w:r w:rsidRPr="009D3EFE">
              <w:rPr>
                <w:rFonts w:asciiTheme="minorHAnsi" w:hAnsiTheme="minorHAnsi" w:cstheme="minorHAnsi"/>
                <w:sz w:val="20"/>
                <w:szCs w:val="20"/>
                <w:lang w:val="fr-FR"/>
              </w:rPr>
              <w:t>2</w:t>
            </w:r>
            <w:r w:rsidRPr="009D3EFE">
              <w:rPr>
                <w:rFonts w:asciiTheme="minorHAnsi" w:hAnsiTheme="minorHAnsi" w:cstheme="minorHAnsi"/>
                <w:spacing w:val="-2"/>
                <w:sz w:val="20"/>
                <w:szCs w:val="20"/>
                <w:lang w:val="fr-FR"/>
              </w:rPr>
              <w:t xml:space="preserve"> </w:t>
            </w:r>
            <w:r w:rsidRPr="009D3EFE">
              <w:rPr>
                <w:rFonts w:asciiTheme="minorHAnsi" w:hAnsiTheme="minorHAnsi" w:cstheme="minorHAnsi"/>
                <w:sz w:val="20"/>
                <w:szCs w:val="20"/>
                <w:lang w:val="fr-FR"/>
              </w:rPr>
              <w:t>Production et</w:t>
            </w:r>
            <w:r w:rsidRPr="009D3EFE">
              <w:rPr>
                <w:rFonts w:asciiTheme="minorHAnsi" w:hAnsiTheme="minorHAnsi" w:cstheme="minorHAnsi"/>
                <w:spacing w:val="-3"/>
                <w:sz w:val="20"/>
                <w:szCs w:val="20"/>
                <w:lang w:val="fr-FR"/>
              </w:rPr>
              <w:t xml:space="preserve"> </w:t>
            </w:r>
            <w:r w:rsidRPr="009D3EFE">
              <w:rPr>
                <w:rFonts w:asciiTheme="minorHAnsi" w:hAnsiTheme="minorHAnsi" w:cstheme="minorHAnsi"/>
                <w:sz w:val="20"/>
                <w:szCs w:val="20"/>
                <w:lang w:val="fr-FR"/>
              </w:rPr>
              <w:t>distribution</w:t>
            </w:r>
            <w:r w:rsidRPr="009D3EFE">
              <w:rPr>
                <w:rFonts w:asciiTheme="minorHAnsi" w:hAnsiTheme="minorHAnsi" w:cstheme="minorHAnsi"/>
                <w:spacing w:val="-2"/>
                <w:sz w:val="20"/>
                <w:szCs w:val="20"/>
                <w:lang w:val="fr-FR"/>
              </w:rPr>
              <w:t xml:space="preserve"> </w:t>
            </w:r>
            <w:r w:rsidRPr="009D3EFE">
              <w:rPr>
                <w:rFonts w:asciiTheme="minorHAnsi" w:hAnsiTheme="minorHAnsi" w:cstheme="minorHAnsi"/>
                <w:sz w:val="20"/>
                <w:szCs w:val="20"/>
                <w:lang w:val="fr-FR"/>
              </w:rPr>
              <w:t>d'eau et</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pacing w:val="-2"/>
                <w:sz w:val="20"/>
                <w:szCs w:val="20"/>
                <w:lang w:val="fr-FR"/>
              </w:rPr>
              <w:t>d'électricité</w:t>
            </w:r>
          </w:p>
        </w:tc>
        <w:tc>
          <w:tcPr>
            <w:tcW w:w="567" w:type="dxa"/>
            <w:tcBorders>
              <w:left w:val="single" w:sz="8" w:space="0" w:color="000000"/>
              <w:bottom w:val="single" w:sz="8" w:space="0" w:color="000000"/>
              <w:right w:val="single" w:sz="8" w:space="0" w:color="000000"/>
            </w:tcBorders>
            <w:shd w:val="clear" w:color="auto" w:fill="C5DFB3"/>
          </w:tcPr>
          <w:p w14:paraId="1AB73674" w14:textId="77777777" w:rsidR="00412F22" w:rsidRPr="009D3EFE" w:rsidRDefault="00412F22" w:rsidP="00EE0E23">
            <w:pPr>
              <w:pStyle w:val="TableParagraph"/>
              <w:spacing w:line="207" w:lineRule="exact"/>
              <w:ind w:left="22" w:right="5"/>
              <w:rPr>
                <w:rFonts w:asciiTheme="minorHAnsi" w:hAnsiTheme="minorHAnsi" w:cstheme="minorHAnsi"/>
                <w:sz w:val="20"/>
                <w:szCs w:val="20"/>
              </w:rPr>
            </w:pPr>
            <w:r w:rsidRPr="009D3EFE">
              <w:rPr>
                <w:rFonts w:asciiTheme="minorHAnsi" w:hAnsiTheme="minorHAnsi" w:cstheme="minorHAnsi"/>
                <w:spacing w:val="-5"/>
                <w:sz w:val="20"/>
                <w:szCs w:val="20"/>
              </w:rPr>
              <w:t>5,7</w:t>
            </w:r>
          </w:p>
        </w:tc>
        <w:tc>
          <w:tcPr>
            <w:tcW w:w="682" w:type="dxa"/>
            <w:tcBorders>
              <w:left w:val="single" w:sz="8" w:space="0" w:color="000000"/>
              <w:bottom w:val="single" w:sz="8" w:space="0" w:color="000000"/>
              <w:right w:val="single" w:sz="8" w:space="0" w:color="000000"/>
            </w:tcBorders>
            <w:shd w:val="clear" w:color="auto" w:fill="C5DFB3"/>
          </w:tcPr>
          <w:p w14:paraId="01B0C454" w14:textId="77777777" w:rsidR="00412F22" w:rsidRPr="009D3EFE" w:rsidRDefault="00412F22" w:rsidP="00EE0E23">
            <w:pPr>
              <w:pStyle w:val="TableParagraph"/>
              <w:spacing w:line="207" w:lineRule="exact"/>
              <w:ind w:left="25" w:right="6"/>
              <w:rPr>
                <w:rFonts w:asciiTheme="minorHAnsi" w:hAnsiTheme="minorHAnsi" w:cstheme="minorHAnsi"/>
                <w:sz w:val="20"/>
                <w:szCs w:val="20"/>
              </w:rPr>
            </w:pPr>
            <w:r w:rsidRPr="009D3EFE">
              <w:rPr>
                <w:rFonts w:asciiTheme="minorHAnsi" w:hAnsiTheme="minorHAnsi" w:cstheme="minorHAnsi"/>
                <w:spacing w:val="-5"/>
                <w:sz w:val="20"/>
                <w:szCs w:val="20"/>
              </w:rPr>
              <w:t>6,7</w:t>
            </w:r>
          </w:p>
        </w:tc>
        <w:tc>
          <w:tcPr>
            <w:tcW w:w="685" w:type="dxa"/>
            <w:tcBorders>
              <w:left w:val="single" w:sz="8" w:space="0" w:color="000000"/>
              <w:bottom w:val="single" w:sz="8" w:space="0" w:color="000000"/>
              <w:right w:val="single" w:sz="8" w:space="0" w:color="000000"/>
            </w:tcBorders>
            <w:shd w:val="clear" w:color="auto" w:fill="C5DFB3"/>
          </w:tcPr>
          <w:p w14:paraId="7568893A" w14:textId="77777777" w:rsidR="00412F22" w:rsidRPr="009D3EFE" w:rsidRDefault="00412F22" w:rsidP="00EE0E23">
            <w:pPr>
              <w:pStyle w:val="TableParagraph"/>
              <w:spacing w:line="207" w:lineRule="exact"/>
              <w:ind w:left="20"/>
              <w:rPr>
                <w:rFonts w:asciiTheme="minorHAnsi" w:hAnsiTheme="minorHAnsi" w:cstheme="minorHAnsi"/>
                <w:sz w:val="20"/>
                <w:szCs w:val="20"/>
              </w:rPr>
            </w:pPr>
            <w:r w:rsidRPr="009D3EFE">
              <w:rPr>
                <w:rFonts w:asciiTheme="minorHAnsi" w:hAnsiTheme="minorHAnsi" w:cstheme="minorHAnsi"/>
                <w:spacing w:val="-5"/>
                <w:sz w:val="20"/>
                <w:szCs w:val="20"/>
              </w:rPr>
              <w:t>5,5</w:t>
            </w:r>
          </w:p>
        </w:tc>
        <w:tc>
          <w:tcPr>
            <w:tcW w:w="682" w:type="dxa"/>
            <w:tcBorders>
              <w:left w:val="single" w:sz="8" w:space="0" w:color="000000"/>
              <w:bottom w:val="single" w:sz="8" w:space="0" w:color="000000"/>
              <w:right w:val="single" w:sz="8" w:space="0" w:color="000000"/>
            </w:tcBorders>
            <w:shd w:val="clear" w:color="auto" w:fill="C5DFB3"/>
          </w:tcPr>
          <w:p w14:paraId="4665778C" w14:textId="77777777" w:rsidR="00412F22" w:rsidRPr="009D3EFE" w:rsidRDefault="00412F22" w:rsidP="00EE0E23">
            <w:pPr>
              <w:pStyle w:val="TableParagraph"/>
              <w:spacing w:line="207" w:lineRule="exact"/>
              <w:ind w:left="25" w:right="7"/>
              <w:rPr>
                <w:rFonts w:asciiTheme="minorHAnsi" w:hAnsiTheme="minorHAnsi" w:cstheme="minorHAnsi"/>
                <w:sz w:val="20"/>
                <w:szCs w:val="20"/>
              </w:rPr>
            </w:pPr>
            <w:r w:rsidRPr="009D3EFE">
              <w:rPr>
                <w:rFonts w:asciiTheme="minorHAnsi" w:hAnsiTheme="minorHAnsi" w:cstheme="minorHAnsi"/>
                <w:spacing w:val="-5"/>
                <w:sz w:val="20"/>
                <w:szCs w:val="20"/>
              </w:rPr>
              <w:t>4,9</w:t>
            </w:r>
          </w:p>
        </w:tc>
        <w:tc>
          <w:tcPr>
            <w:tcW w:w="693" w:type="dxa"/>
            <w:tcBorders>
              <w:left w:val="single" w:sz="8" w:space="0" w:color="000000"/>
              <w:bottom w:val="single" w:sz="8" w:space="0" w:color="000000"/>
              <w:right w:val="single" w:sz="8" w:space="0" w:color="000000"/>
            </w:tcBorders>
            <w:shd w:val="clear" w:color="auto" w:fill="C5DFB3"/>
          </w:tcPr>
          <w:p w14:paraId="3DA821FB" w14:textId="77777777" w:rsidR="00412F22" w:rsidRPr="009D3EFE" w:rsidRDefault="00412F22" w:rsidP="00EE0E23">
            <w:pPr>
              <w:pStyle w:val="TableParagraph"/>
              <w:spacing w:line="207" w:lineRule="exact"/>
              <w:ind w:left="22" w:right="2"/>
              <w:rPr>
                <w:rFonts w:asciiTheme="minorHAnsi" w:hAnsiTheme="minorHAnsi" w:cstheme="minorHAnsi"/>
                <w:sz w:val="20"/>
                <w:szCs w:val="20"/>
              </w:rPr>
            </w:pPr>
            <w:r w:rsidRPr="009D3EFE">
              <w:rPr>
                <w:rFonts w:asciiTheme="minorHAnsi" w:hAnsiTheme="minorHAnsi" w:cstheme="minorHAnsi"/>
                <w:spacing w:val="-5"/>
                <w:sz w:val="20"/>
                <w:szCs w:val="20"/>
              </w:rPr>
              <w:t>7,5</w:t>
            </w:r>
          </w:p>
        </w:tc>
      </w:tr>
      <w:tr w:rsidR="00412F22" w:rsidRPr="009D3EFE" w14:paraId="13713F57" w14:textId="77777777" w:rsidTr="00EE0E23">
        <w:trPr>
          <w:trHeight w:val="81"/>
        </w:trPr>
        <w:tc>
          <w:tcPr>
            <w:tcW w:w="6238" w:type="dxa"/>
            <w:tcBorders>
              <w:top w:val="single" w:sz="8" w:space="0" w:color="000000"/>
            </w:tcBorders>
          </w:tcPr>
          <w:p w14:paraId="2309F4BE" w14:textId="77777777" w:rsidR="00412F22" w:rsidRPr="009D3EFE" w:rsidRDefault="00412F22" w:rsidP="00EE0E23">
            <w:pPr>
              <w:pStyle w:val="TableParagraph"/>
              <w:ind w:left="76"/>
              <w:rPr>
                <w:rFonts w:asciiTheme="minorHAnsi" w:hAnsiTheme="minorHAnsi" w:cstheme="minorHAnsi"/>
                <w:sz w:val="20"/>
                <w:szCs w:val="20"/>
                <w:lang w:val="fr-FR"/>
              </w:rPr>
            </w:pPr>
            <w:r w:rsidRPr="009D3EFE">
              <w:rPr>
                <w:rFonts w:asciiTheme="minorHAnsi" w:hAnsiTheme="minorHAnsi" w:cstheme="minorHAnsi"/>
                <w:sz w:val="20"/>
                <w:szCs w:val="20"/>
                <w:lang w:val="fr-FR"/>
              </w:rPr>
              <w:t>4.</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z w:val="20"/>
                <w:szCs w:val="20"/>
                <w:lang w:val="fr-FR"/>
              </w:rPr>
              <w:t>Bâtiment</w:t>
            </w:r>
            <w:r w:rsidRPr="009D3EFE">
              <w:rPr>
                <w:rFonts w:asciiTheme="minorHAnsi" w:hAnsiTheme="minorHAnsi" w:cstheme="minorHAnsi"/>
                <w:spacing w:val="-1"/>
                <w:sz w:val="20"/>
                <w:szCs w:val="20"/>
                <w:lang w:val="fr-FR"/>
              </w:rPr>
              <w:t xml:space="preserve"> </w:t>
            </w:r>
            <w:r w:rsidRPr="009D3EFE">
              <w:rPr>
                <w:rFonts w:asciiTheme="minorHAnsi" w:hAnsiTheme="minorHAnsi" w:cstheme="minorHAnsi"/>
                <w:sz w:val="20"/>
                <w:szCs w:val="20"/>
                <w:lang w:val="fr-FR"/>
              </w:rPr>
              <w:t>et</w:t>
            </w:r>
            <w:r w:rsidRPr="009D3EFE">
              <w:rPr>
                <w:rFonts w:asciiTheme="minorHAnsi" w:hAnsiTheme="minorHAnsi" w:cstheme="minorHAnsi"/>
                <w:spacing w:val="-2"/>
                <w:sz w:val="20"/>
                <w:szCs w:val="20"/>
                <w:lang w:val="fr-FR"/>
              </w:rPr>
              <w:t xml:space="preserve"> </w:t>
            </w:r>
            <w:r w:rsidRPr="009D3EFE">
              <w:rPr>
                <w:rFonts w:asciiTheme="minorHAnsi" w:hAnsiTheme="minorHAnsi" w:cstheme="minorHAnsi"/>
                <w:sz w:val="20"/>
                <w:szCs w:val="20"/>
                <w:lang w:val="fr-FR"/>
              </w:rPr>
              <w:t>travaux-</w:t>
            </w:r>
            <w:r w:rsidRPr="009D3EFE">
              <w:rPr>
                <w:rFonts w:asciiTheme="minorHAnsi" w:hAnsiTheme="minorHAnsi" w:cstheme="minorHAnsi"/>
                <w:spacing w:val="-2"/>
                <w:sz w:val="20"/>
                <w:szCs w:val="20"/>
                <w:lang w:val="fr-FR"/>
              </w:rPr>
              <w:t>publics</w:t>
            </w:r>
          </w:p>
        </w:tc>
        <w:tc>
          <w:tcPr>
            <w:tcW w:w="567" w:type="dxa"/>
            <w:tcBorders>
              <w:top w:val="single" w:sz="8" w:space="0" w:color="000000"/>
            </w:tcBorders>
          </w:tcPr>
          <w:p w14:paraId="4FFED3A5" w14:textId="77777777" w:rsidR="00412F22" w:rsidRPr="009D3EFE" w:rsidRDefault="00412F22" w:rsidP="00EE0E23">
            <w:pPr>
              <w:pStyle w:val="TableParagraph"/>
              <w:ind w:left="20"/>
              <w:rPr>
                <w:rFonts w:asciiTheme="minorHAnsi" w:hAnsiTheme="minorHAnsi" w:cstheme="minorHAnsi"/>
                <w:sz w:val="20"/>
                <w:szCs w:val="20"/>
              </w:rPr>
            </w:pPr>
            <w:r w:rsidRPr="009D3EFE">
              <w:rPr>
                <w:rFonts w:asciiTheme="minorHAnsi" w:hAnsiTheme="minorHAnsi" w:cstheme="minorHAnsi"/>
                <w:spacing w:val="-4"/>
                <w:sz w:val="20"/>
                <w:szCs w:val="20"/>
              </w:rPr>
              <w:t>13,6</w:t>
            </w:r>
          </w:p>
        </w:tc>
        <w:tc>
          <w:tcPr>
            <w:tcW w:w="682" w:type="dxa"/>
            <w:tcBorders>
              <w:top w:val="single" w:sz="8" w:space="0" w:color="000000"/>
            </w:tcBorders>
          </w:tcPr>
          <w:p w14:paraId="7E0A4ABD" w14:textId="77777777" w:rsidR="00412F22" w:rsidRPr="009D3EFE" w:rsidRDefault="00412F22" w:rsidP="00EE0E23">
            <w:pPr>
              <w:pStyle w:val="TableParagraph"/>
              <w:ind w:left="21" w:right="4"/>
              <w:rPr>
                <w:rFonts w:asciiTheme="minorHAnsi" w:hAnsiTheme="minorHAnsi" w:cstheme="minorHAnsi"/>
                <w:sz w:val="20"/>
                <w:szCs w:val="20"/>
              </w:rPr>
            </w:pPr>
            <w:r w:rsidRPr="009D3EFE">
              <w:rPr>
                <w:rFonts w:asciiTheme="minorHAnsi" w:hAnsiTheme="minorHAnsi" w:cstheme="minorHAnsi"/>
                <w:spacing w:val="-4"/>
                <w:sz w:val="20"/>
                <w:szCs w:val="20"/>
              </w:rPr>
              <w:t>11,8</w:t>
            </w:r>
          </w:p>
        </w:tc>
        <w:tc>
          <w:tcPr>
            <w:tcW w:w="685" w:type="dxa"/>
            <w:tcBorders>
              <w:top w:val="single" w:sz="8" w:space="0" w:color="000000"/>
            </w:tcBorders>
          </w:tcPr>
          <w:p w14:paraId="6BE220C8" w14:textId="77777777" w:rsidR="00412F22" w:rsidRPr="009D3EFE" w:rsidRDefault="00412F22" w:rsidP="00EE0E23">
            <w:pPr>
              <w:pStyle w:val="TableParagraph"/>
              <w:ind w:left="20" w:right="2"/>
              <w:rPr>
                <w:rFonts w:asciiTheme="minorHAnsi" w:hAnsiTheme="minorHAnsi" w:cstheme="minorHAnsi"/>
                <w:sz w:val="20"/>
                <w:szCs w:val="20"/>
              </w:rPr>
            </w:pPr>
            <w:r w:rsidRPr="009D3EFE">
              <w:rPr>
                <w:rFonts w:asciiTheme="minorHAnsi" w:hAnsiTheme="minorHAnsi" w:cstheme="minorHAnsi"/>
                <w:spacing w:val="-4"/>
                <w:sz w:val="20"/>
                <w:szCs w:val="20"/>
              </w:rPr>
              <w:t>12,4</w:t>
            </w:r>
          </w:p>
        </w:tc>
        <w:tc>
          <w:tcPr>
            <w:tcW w:w="682" w:type="dxa"/>
            <w:tcBorders>
              <w:top w:val="single" w:sz="8" w:space="0" w:color="000000"/>
            </w:tcBorders>
          </w:tcPr>
          <w:p w14:paraId="5D1076B1" w14:textId="77777777" w:rsidR="00412F22" w:rsidRPr="009D3EFE" w:rsidRDefault="00412F22" w:rsidP="00EE0E23">
            <w:pPr>
              <w:pStyle w:val="TableParagraph"/>
              <w:ind w:left="21" w:right="5"/>
              <w:rPr>
                <w:rFonts w:asciiTheme="minorHAnsi" w:hAnsiTheme="minorHAnsi" w:cstheme="minorHAnsi"/>
                <w:sz w:val="20"/>
                <w:szCs w:val="20"/>
              </w:rPr>
            </w:pPr>
            <w:r w:rsidRPr="009D3EFE">
              <w:rPr>
                <w:rFonts w:asciiTheme="minorHAnsi" w:hAnsiTheme="minorHAnsi" w:cstheme="minorHAnsi"/>
                <w:spacing w:val="-4"/>
                <w:sz w:val="20"/>
                <w:szCs w:val="20"/>
              </w:rPr>
              <w:t>11,9</w:t>
            </w:r>
          </w:p>
        </w:tc>
        <w:tc>
          <w:tcPr>
            <w:tcW w:w="693" w:type="dxa"/>
            <w:tcBorders>
              <w:top w:val="single" w:sz="8" w:space="0" w:color="000000"/>
            </w:tcBorders>
          </w:tcPr>
          <w:p w14:paraId="5BA63CA4" w14:textId="77777777" w:rsidR="00412F22" w:rsidRPr="009D3EFE" w:rsidRDefault="00412F22" w:rsidP="00EE0E23">
            <w:pPr>
              <w:pStyle w:val="TableParagraph"/>
              <w:ind w:left="20" w:right="2"/>
              <w:rPr>
                <w:rFonts w:asciiTheme="minorHAnsi" w:hAnsiTheme="minorHAnsi" w:cstheme="minorHAnsi"/>
                <w:sz w:val="20"/>
                <w:szCs w:val="20"/>
              </w:rPr>
            </w:pPr>
            <w:r w:rsidRPr="009D3EFE">
              <w:rPr>
                <w:rFonts w:asciiTheme="minorHAnsi" w:hAnsiTheme="minorHAnsi" w:cstheme="minorHAnsi"/>
                <w:spacing w:val="-4"/>
                <w:sz w:val="20"/>
                <w:szCs w:val="20"/>
              </w:rPr>
              <w:t>12,7</w:t>
            </w:r>
          </w:p>
        </w:tc>
      </w:tr>
      <w:tr w:rsidR="00412F22" w:rsidRPr="009D3EFE" w14:paraId="6548451B" w14:textId="77777777" w:rsidTr="00EE0E23">
        <w:trPr>
          <w:trHeight w:val="193"/>
        </w:trPr>
        <w:tc>
          <w:tcPr>
            <w:tcW w:w="6238" w:type="dxa"/>
            <w:tcBorders>
              <w:left w:val="single" w:sz="8" w:space="0" w:color="000000"/>
              <w:bottom w:val="single" w:sz="8" w:space="0" w:color="000000"/>
              <w:right w:val="single" w:sz="8" w:space="0" w:color="000000"/>
            </w:tcBorders>
            <w:shd w:val="clear" w:color="auto" w:fill="C5DFB3"/>
          </w:tcPr>
          <w:p w14:paraId="7A97A553" w14:textId="77777777" w:rsidR="00412F22" w:rsidRPr="009D3EFE" w:rsidRDefault="00412F22" w:rsidP="00EE0E23">
            <w:pPr>
              <w:pStyle w:val="TableParagraph"/>
              <w:spacing w:line="207" w:lineRule="exact"/>
              <w:ind w:left="71"/>
              <w:rPr>
                <w:rFonts w:asciiTheme="minorHAnsi" w:hAnsiTheme="minorHAnsi" w:cstheme="minorHAnsi"/>
                <w:b/>
                <w:sz w:val="20"/>
                <w:szCs w:val="20"/>
                <w:lang w:val="fr-FR"/>
              </w:rPr>
            </w:pPr>
            <w:r w:rsidRPr="009D3EFE">
              <w:rPr>
                <w:rFonts w:asciiTheme="minorHAnsi" w:hAnsiTheme="minorHAnsi" w:cstheme="minorHAnsi"/>
                <w:b/>
                <w:sz w:val="20"/>
                <w:szCs w:val="20"/>
                <w:lang w:val="fr-FR"/>
              </w:rPr>
              <w:t>Secteur</w:t>
            </w:r>
            <w:r w:rsidRPr="009D3EFE">
              <w:rPr>
                <w:rFonts w:asciiTheme="minorHAnsi" w:hAnsiTheme="minorHAnsi" w:cstheme="minorHAnsi"/>
                <w:b/>
                <w:spacing w:val="-6"/>
                <w:sz w:val="20"/>
                <w:szCs w:val="20"/>
                <w:lang w:val="fr-FR"/>
              </w:rPr>
              <w:t xml:space="preserve"> </w:t>
            </w:r>
            <w:r w:rsidRPr="009D3EFE">
              <w:rPr>
                <w:rFonts w:asciiTheme="minorHAnsi" w:hAnsiTheme="minorHAnsi" w:cstheme="minorHAnsi"/>
                <w:b/>
                <w:spacing w:val="-2"/>
                <w:sz w:val="20"/>
                <w:szCs w:val="20"/>
                <w:lang w:val="fr-FR"/>
              </w:rPr>
              <w:t>tertiaire</w:t>
            </w:r>
          </w:p>
        </w:tc>
        <w:tc>
          <w:tcPr>
            <w:tcW w:w="567" w:type="dxa"/>
            <w:tcBorders>
              <w:left w:val="single" w:sz="8" w:space="0" w:color="000000"/>
              <w:bottom w:val="single" w:sz="8" w:space="0" w:color="000000"/>
              <w:right w:val="single" w:sz="8" w:space="0" w:color="000000"/>
            </w:tcBorders>
            <w:shd w:val="clear" w:color="auto" w:fill="C5DFB3"/>
          </w:tcPr>
          <w:p w14:paraId="26AE4E40" w14:textId="77777777" w:rsidR="00412F22" w:rsidRPr="009D3EFE" w:rsidRDefault="00412F22" w:rsidP="00EE0E23">
            <w:pPr>
              <w:pStyle w:val="TableParagraph"/>
              <w:spacing w:line="207" w:lineRule="exact"/>
              <w:ind w:left="22" w:right="2"/>
              <w:rPr>
                <w:rFonts w:asciiTheme="minorHAnsi" w:hAnsiTheme="minorHAnsi" w:cstheme="minorHAnsi"/>
                <w:b/>
                <w:sz w:val="20"/>
                <w:szCs w:val="20"/>
              </w:rPr>
            </w:pPr>
            <w:r w:rsidRPr="009D3EFE">
              <w:rPr>
                <w:rFonts w:asciiTheme="minorHAnsi" w:hAnsiTheme="minorHAnsi" w:cstheme="minorHAnsi"/>
                <w:b/>
                <w:spacing w:val="-2"/>
                <w:sz w:val="20"/>
                <w:szCs w:val="20"/>
              </w:rPr>
              <w:t>124,1</w:t>
            </w:r>
          </w:p>
        </w:tc>
        <w:tc>
          <w:tcPr>
            <w:tcW w:w="682" w:type="dxa"/>
            <w:tcBorders>
              <w:left w:val="single" w:sz="8" w:space="0" w:color="000000"/>
              <w:bottom w:val="single" w:sz="8" w:space="0" w:color="000000"/>
              <w:right w:val="single" w:sz="8" w:space="0" w:color="000000"/>
            </w:tcBorders>
            <w:shd w:val="clear" w:color="auto" w:fill="C5DFB3"/>
          </w:tcPr>
          <w:p w14:paraId="07FCB2B6" w14:textId="77777777" w:rsidR="00412F22" w:rsidRPr="009D3EFE" w:rsidRDefault="00412F22" w:rsidP="00EE0E23">
            <w:pPr>
              <w:pStyle w:val="TableParagraph"/>
              <w:spacing w:line="207" w:lineRule="exact"/>
              <w:ind w:left="25" w:right="8"/>
              <w:rPr>
                <w:rFonts w:asciiTheme="minorHAnsi" w:hAnsiTheme="minorHAnsi" w:cstheme="minorHAnsi"/>
                <w:b/>
                <w:sz w:val="20"/>
                <w:szCs w:val="20"/>
              </w:rPr>
            </w:pPr>
            <w:r w:rsidRPr="009D3EFE">
              <w:rPr>
                <w:rFonts w:asciiTheme="minorHAnsi" w:hAnsiTheme="minorHAnsi" w:cstheme="minorHAnsi"/>
                <w:b/>
                <w:spacing w:val="-2"/>
                <w:sz w:val="20"/>
                <w:szCs w:val="20"/>
              </w:rPr>
              <w:t>119,8</w:t>
            </w:r>
          </w:p>
        </w:tc>
        <w:tc>
          <w:tcPr>
            <w:tcW w:w="685" w:type="dxa"/>
            <w:tcBorders>
              <w:left w:val="single" w:sz="8" w:space="0" w:color="000000"/>
              <w:bottom w:val="single" w:sz="8" w:space="0" w:color="000000"/>
              <w:right w:val="single" w:sz="8" w:space="0" w:color="000000"/>
            </w:tcBorders>
            <w:shd w:val="clear" w:color="auto" w:fill="C5DFB3"/>
          </w:tcPr>
          <w:p w14:paraId="0460B235" w14:textId="77777777" w:rsidR="00412F22" w:rsidRPr="009D3EFE" w:rsidRDefault="00412F22" w:rsidP="00EE0E23">
            <w:pPr>
              <w:pStyle w:val="TableParagraph"/>
              <w:spacing w:line="207" w:lineRule="exact"/>
              <w:ind w:left="20" w:right="2"/>
              <w:rPr>
                <w:rFonts w:asciiTheme="minorHAnsi" w:hAnsiTheme="minorHAnsi" w:cstheme="minorHAnsi"/>
                <w:b/>
                <w:sz w:val="20"/>
                <w:szCs w:val="20"/>
              </w:rPr>
            </w:pPr>
            <w:r w:rsidRPr="009D3EFE">
              <w:rPr>
                <w:rFonts w:asciiTheme="minorHAnsi" w:hAnsiTheme="minorHAnsi" w:cstheme="minorHAnsi"/>
                <w:b/>
                <w:spacing w:val="-2"/>
                <w:sz w:val="20"/>
                <w:szCs w:val="20"/>
              </w:rPr>
              <w:t>137,3</w:t>
            </w:r>
          </w:p>
        </w:tc>
        <w:tc>
          <w:tcPr>
            <w:tcW w:w="682" w:type="dxa"/>
            <w:tcBorders>
              <w:left w:val="single" w:sz="8" w:space="0" w:color="000000"/>
              <w:bottom w:val="single" w:sz="8" w:space="0" w:color="000000"/>
              <w:right w:val="single" w:sz="8" w:space="0" w:color="000000"/>
            </w:tcBorders>
            <w:shd w:val="clear" w:color="auto" w:fill="C5DFB3"/>
          </w:tcPr>
          <w:p w14:paraId="0CA156AD" w14:textId="77777777" w:rsidR="00412F22" w:rsidRPr="009D3EFE" w:rsidRDefault="00412F22" w:rsidP="00EE0E23">
            <w:pPr>
              <w:pStyle w:val="TableParagraph"/>
              <w:spacing w:line="207" w:lineRule="exact"/>
              <w:ind w:left="25" w:right="10"/>
              <w:rPr>
                <w:rFonts w:asciiTheme="minorHAnsi" w:hAnsiTheme="minorHAnsi" w:cstheme="minorHAnsi"/>
                <w:b/>
                <w:sz w:val="20"/>
                <w:szCs w:val="20"/>
              </w:rPr>
            </w:pPr>
            <w:r w:rsidRPr="009D3EFE">
              <w:rPr>
                <w:rFonts w:asciiTheme="minorHAnsi" w:hAnsiTheme="minorHAnsi" w:cstheme="minorHAnsi"/>
                <w:b/>
                <w:spacing w:val="-2"/>
                <w:sz w:val="20"/>
                <w:szCs w:val="20"/>
              </w:rPr>
              <w:t>157,5</w:t>
            </w:r>
          </w:p>
        </w:tc>
        <w:tc>
          <w:tcPr>
            <w:tcW w:w="693" w:type="dxa"/>
            <w:tcBorders>
              <w:left w:val="single" w:sz="8" w:space="0" w:color="000000"/>
              <w:bottom w:val="single" w:sz="8" w:space="0" w:color="000000"/>
              <w:right w:val="single" w:sz="8" w:space="0" w:color="000000"/>
            </w:tcBorders>
            <w:shd w:val="clear" w:color="auto" w:fill="C5DFB3"/>
          </w:tcPr>
          <w:p w14:paraId="2486DFE6" w14:textId="77777777" w:rsidR="00412F22" w:rsidRPr="009D3EFE" w:rsidRDefault="00412F22" w:rsidP="00EE0E23">
            <w:pPr>
              <w:pStyle w:val="TableParagraph"/>
              <w:spacing w:line="207" w:lineRule="exact"/>
              <w:ind w:left="22" w:right="5"/>
              <w:rPr>
                <w:rFonts w:asciiTheme="minorHAnsi" w:hAnsiTheme="minorHAnsi" w:cstheme="minorHAnsi"/>
                <w:b/>
                <w:sz w:val="20"/>
                <w:szCs w:val="20"/>
              </w:rPr>
            </w:pPr>
            <w:r w:rsidRPr="009D3EFE">
              <w:rPr>
                <w:rFonts w:asciiTheme="minorHAnsi" w:hAnsiTheme="minorHAnsi" w:cstheme="minorHAnsi"/>
                <w:b/>
                <w:spacing w:val="-2"/>
                <w:sz w:val="20"/>
                <w:szCs w:val="20"/>
              </w:rPr>
              <w:t>170,4</w:t>
            </w:r>
          </w:p>
        </w:tc>
      </w:tr>
      <w:tr w:rsidR="00412F22" w:rsidRPr="009D3EFE" w14:paraId="7832E244" w14:textId="77777777" w:rsidTr="00EE0E23">
        <w:trPr>
          <w:trHeight w:val="102"/>
        </w:trPr>
        <w:tc>
          <w:tcPr>
            <w:tcW w:w="6238" w:type="dxa"/>
            <w:tcBorders>
              <w:top w:val="single" w:sz="8" w:space="0" w:color="000000"/>
            </w:tcBorders>
          </w:tcPr>
          <w:p w14:paraId="209012BF" w14:textId="77777777" w:rsidR="00412F22" w:rsidRPr="009D3EFE" w:rsidRDefault="00412F22" w:rsidP="00EE0E23">
            <w:pPr>
              <w:pStyle w:val="TableParagraph"/>
              <w:tabs>
                <w:tab w:val="left" w:pos="3921"/>
              </w:tabs>
              <w:spacing w:line="207" w:lineRule="exact"/>
              <w:ind w:left="76"/>
              <w:rPr>
                <w:rFonts w:asciiTheme="minorHAnsi" w:hAnsiTheme="minorHAnsi" w:cstheme="minorHAnsi"/>
                <w:sz w:val="16"/>
                <w:szCs w:val="16"/>
                <w:lang w:val="fr-FR"/>
              </w:rPr>
            </w:pPr>
            <w:r w:rsidRPr="009D3EFE">
              <w:rPr>
                <w:rFonts w:asciiTheme="minorHAnsi" w:hAnsiTheme="minorHAnsi" w:cstheme="minorHAnsi"/>
                <w:sz w:val="16"/>
                <w:szCs w:val="16"/>
                <w:lang w:val="fr-FR"/>
              </w:rPr>
              <w:t>5.</w:t>
            </w:r>
            <w:r w:rsidRPr="009D3EFE">
              <w:rPr>
                <w:rFonts w:asciiTheme="minorHAnsi" w:hAnsiTheme="minorHAnsi" w:cstheme="minorHAnsi"/>
                <w:spacing w:val="-2"/>
                <w:sz w:val="16"/>
                <w:szCs w:val="16"/>
                <w:lang w:val="fr-FR"/>
              </w:rPr>
              <w:t xml:space="preserve"> </w:t>
            </w:r>
            <w:r w:rsidRPr="009D3EFE">
              <w:rPr>
                <w:rFonts w:asciiTheme="minorHAnsi" w:hAnsiTheme="minorHAnsi" w:cstheme="minorHAnsi"/>
                <w:sz w:val="16"/>
                <w:szCs w:val="16"/>
                <w:lang w:val="fr-FR"/>
              </w:rPr>
              <w:t>Transport,</w:t>
            </w:r>
            <w:r w:rsidRPr="009D3EFE">
              <w:rPr>
                <w:rFonts w:asciiTheme="minorHAnsi" w:hAnsiTheme="minorHAnsi" w:cstheme="minorHAnsi"/>
                <w:spacing w:val="-2"/>
                <w:sz w:val="16"/>
                <w:szCs w:val="16"/>
                <w:lang w:val="fr-FR"/>
              </w:rPr>
              <w:t xml:space="preserve"> </w:t>
            </w:r>
            <w:r w:rsidRPr="009D3EFE">
              <w:rPr>
                <w:rFonts w:asciiTheme="minorHAnsi" w:hAnsiTheme="minorHAnsi" w:cstheme="minorHAnsi"/>
                <w:sz w:val="16"/>
                <w:szCs w:val="16"/>
                <w:lang w:val="fr-FR"/>
              </w:rPr>
              <w:t>Information</w:t>
            </w:r>
            <w:r w:rsidRPr="009D3EFE">
              <w:rPr>
                <w:rFonts w:asciiTheme="minorHAnsi" w:hAnsiTheme="minorHAnsi" w:cstheme="minorHAnsi"/>
                <w:spacing w:val="-2"/>
                <w:sz w:val="16"/>
                <w:szCs w:val="16"/>
                <w:lang w:val="fr-FR"/>
              </w:rPr>
              <w:t xml:space="preserve"> </w:t>
            </w:r>
            <w:r w:rsidRPr="009D3EFE">
              <w:rPr>
                <w:rFonts w:asciiTheme="minorHAnsi" w:hAnsiTheme="minorHAnsi" w:cstheme="minorHAnsi"/>
                <w:sz w:val="16"/>
                <w:szCs w:val="16"/>
                <w:lang w:val="fr-FR"/>
              </w:rPr>
              <w:t>et</w:t>
            </w:r>
            <w:r w:rsidRPr="009D3EFE">
              <w:rPr>
                <w:rFonts w:asciiTheme="minorHAnsi" w:hAnsiTheme="minorHAnsi" w:cstheme="minorHAnsi"/>
                <w:spacing w:val="-1"/>
                <w:sz w:val="16"/>
                <w:szCs w:val="16"/>
                <w:lang w:val="fr-FR"/>
              </w:rPr>
              <w:t xml:space="preserve"> </w:t>
            </w:r>
            <w:r w:rsidRPr="009D3EFE">
              <w:rPr>
                <w:rFonts w:asciiTheme="minorHAnsi" w:hAnsiTheme="minorHAnsi" w:cstheme="minorHAnsi"/>
                <w:spacing w:val="-2"/>
                <w:sz w:val="16"/>
                <w:szCs w:val="16"/>
                <w:lang w:val="fr-FR"/>
              </w:rPr>
              <w:t>communication</w:t>
            </w:r>
            <w:r>
              <w:rPr>
                <w:rFonts w:asciiTheme="minorHAnsi" w:hAnsiTheme="minorHAnsi" w:cstheme="minorHAnsi"/>
                <w:spacing w:val="-2"/>
                <w:sz w:val="16"/>
                <w:szCs w:val="16"/>
                <w:lang w:val="fr-FR"/>
              </w:rPr>
              <w:tab/>
            </w:r>
          </w:p>
        </w:tc>
        <w:tc>
          <w:tcPr>
            <w:tcW w:w="567" w:type="dxa"/>
            <w:tcBorders>
              <w:top w:val="single" w:sz="8" w:space="0" w:color="000000"/>
            </w:tcBorders>
          </w:tcPr>
          <w:p w14:paraId="522BFF7B" w14:textId="77777777" w:rsidR="00412F22" w:rsidRPr="009D3EFE" w:rsidRDefault="00412F22" w:rsidP="00EE0E23">
            <w:pPr>
              <w:pStyle w:val="TableParagraph"/>
              <w:spacing w:line="207" w:lineRule="exact"/>
              <w:ind w:left="20"/>
              <w:rPr>
                <w:rFonts w:asciiTheme="minorHAnsi" w:hAnsiTheme="minorHAnsi" w:cstheme="minorHAnsi"/>
                <w:sz w:val="16"/>
                <w:szCs w:val="16"/>
              </w:rPr>
            </w:pPr>
            <w:r w:rsidRPr="009D3EFE">
              <w:rPr>
                <w:rFonts w:asciiTheme="minorHAnsi" w:hAnsiTheme="minorHAnsi" w:cstheme="minorHAnsi"/>
                <w:spacing w:val="-4"/>
                <w:sz w:val="16"/>
                <w:szCs w:val="16"/>
              </w:rPr>
              <w:t>20,2</w:t>
            </w:r>
          </w:p>
        </w:tc>
        <w:tc>
          <w:tcPr>
            <w:tcW w:w="682" w:type="dxa"/>
            <w:tcBorders>
              <w:top w:val="single" w:sz="8" w:space="0" w:color="000000"/>
            </w:tcBorders>
          </w:tcPr>
          <w:p w14:paraId="7CF4E034" w14:textId="77777777" w:rsidR="00412F22" w:rsidRPr="009D3EFE" w:rsidRDefault="00412F22" w:rsidP="00EE0E23">
            <w:pPr>
              <w:pStyle w:val="TableParagraph"/>
              <w:spacing w:line="207" w:lineRule="exact"/>
              <w:ind w:left="21" w:right="4"/>
              <w:rPr>
                <w:rFonts w:asciiTheme="minorHAnsi" w:hAnsiTheme="minorHAnsi" w:cstheme="minorHAnsi"/>
                <w:sz w:val="16"/>
                <w:szCs w:val="16"/>
              </w:rPr>
            </w:pPr>
            <w:r w:rsidRPr="009D3EFE">
              <w:rPr>
                <w:rFonts w:asciiTheme="minorHAnsi" w:hAnsiTheme="minorHAnsi" w:cstheme="minorHAnsi"/>
                <w:spacing w:val="-4"/>
                <w:sz w:val="16"/>
                <w:szCs w:val="16"/>
              </w:rPr>
              <w:t>20,1</w:t>
            </w:r>
          </w:p>
        </w:tc>
        <w:tc>
          <w:tcPr>
            <w:tcW w:w="685" w:type="dxa"/>
            <w:tcBorders>
              <w:top w:val="single" w:sz="8" w:space="0" w:color="000000"/>
            </w:tcBorders>
          </w:tcPr>
          <w:p w14:paraId="594A38E1" w14:textId="77777777" w:rsidR="00412F22" w:rsidRPr="009D3EFE" w:rsidRDefault="00412F22" w:rsidP="00EE0E23">
            <w:pPr>
              <w:pStyle w:val="TableParagraph"/>
              <w:spacing w:line="207" w:lineRule="exact"/>
              <w:ind w:left="20" w:right="2"/>
              <w:rPr>
                <w:rFonts w:asciiTheme="minorHAnsi" w:hAnsiTheme="minorHAnsi" w:cstheme="minorHAnsi"/>
                <w:sz w:val="16"/>
                <w:szCs w:val="16"/>
              </w:rPr>
            </w:pPr>
            <w:r w:rsidRPr="009D3EFE">
              <w:rPr>
                <w:rFonts w:asciiTheme="minorHAnsi" w:hAnsiTheme="minorHAnsi" w:cstheme="minorHAnsi"/>
                <w:spacing w:val="-4"/>
                <w:sz w:val="16"/>
                <w:szCs w:val="16"/>
              </w:rPr>
              <w:t>21,9</w:t>
            </w:r>
          </w:p>
        </w:tc>
        <w:tc>
          <w:tcPr>
            <w:tcW w:w="682" w:type="dxa"/>
            <w:tcBorders>
              <w:top w:val="single" w:sz="8" w:space="0" w:color="000000"/>
            </w:tcBorders>
          </w:tcPr>
          <w:p w14:paraId="0F74F1AC" w14:textId="77777777" w:rsidR="00412F22" w:rsidRPr="009D3EFE" w:rsidRDefault="00412F22" w:rsidP="00EE0E23">
            <w:pPr>
              <w:pStyle w:val="TableParagraph"/>
              <w:spacing w:line="207" w:lineRule="exact"/>
              <w:ind w:left="21" w:right="5"/>
              <w:rPr>
                <w:rFonts w:asciiTheme="minorHAnsi" w:hAnsiTheme="minorHAnsi" w:cstheme="minorHAnsi"/>
                <w:sz w:val="16"/>
                <w:szCs w:val="16"/>
              </w:rPr>
            </w:pPr>
            <w:r w:rsidRPr="009D3EFE">
              <w:rPr>
                <w:rFonts w:asciiTheme="minorHAnsi" w:hAnsiTheme="minorHAnsi" w:cstheme="minorHAnsi"/>
                <w:spacing w:val="-4"/>
                <w:sz w:val="16"/>
                <w:szCs w:val="16"/>
              </w:rPr>
              <w:t>22,9</w:t>
            </w:r>
          </w:p>
        </w:tc>
        <w:tc>
          <w:tcPr>
            <w:tcW w:w="693" w:type="dxa"/>
            <w:tcBorders>
              <w:top w:val="single" w:sz="8" w:space="0" w:color="000000"/>
            </w:tcBorders>
          </w:tcPr>
          <w:p w14:paraId="14681679" w14:textId="77777777" w:rsidR="00412F22" w:rsidRPr="009D3EFE" w:rsidRDefault="00412F22" w:rsidP="00EE0E23">
            <w:pPr>
              <w:pStyle w:val="TableParagraph"/>
              <w:spacing w:line="207" w:lineRule="exact"/>
              <w:ind w:left="20" w:right="2"/>
              <w:rPr>
                <w:rFonts w:asciiTheme="minorHAnsi" w:hAnsiTheme="minorHAnsi" w:cstheme="minorHAnsi"/>
                <w:sz w:val="16"/>
                <w:szCs w:val="16"/>
              </w:rPr>
            </w:pPr>
            <w:r w:rsidRPr="009D3EFE">
              <w:rPr>
                <w:rFonts w:asciiTheme="minorHAnsi" w:hAnsiTheme="minorHAnsi" w:cstheme="minorHAnsi"/>
                <w:spacing w:val="-4"/>
                <w:sz w:val="16"/>
                <w:szCs w:val="16"/>
              </w:rPr>
              <w:t>23,9</w:t>
            </w:r>
          </w:p>
        </w:tc>
      </w:tr>
    </w:tbl>
    <w:p w14:paraId="531F4164" w14:textId="77777777" w:rsidR="00412F22" w:rsidRPr="009D3EFE" w:rsidRDefault="00412F22" w:rsidP="00412F22">
      <w:pPr>
        <w:pStyle w:val="TableParagraph"/>
        <w:rPr>
          <w:rFonts w:ascii="Segoe UI" w:hAnsi="Segoe UI" w:cs="Segoe UI"/>
          <w:i/>
          <w:iCs/>
          <w:sz w:val="18"/>
          <w:szCs w:val="18"/>
        </w:rPr>
      </w:pPr>
      <w:r w:rsidRPr="009D3EFE">
        <w:rPr>
          <w:rFonts w:ascii="Segoe UI" w:hAnsi="Segoe UI" w:cs="Segoe UI"/>
          <w:i/>
          <w:iCs/>
          <w:sz w:val="18"/>
          <w:szCs w:val="18"/>
        </w:rPr>
        <w:t xml:space="preserve">      Source :  Rapport annuel 2023, BCM</w:t>
      </w:r>
    </w:p>
    <w:p w14:paraId="711C6860" w14:textId="77777777" w:rsidR="00412F22" w:rsidRDefault="00412F22" w:rsidP="00412F22">
      <w:pPr>
        <w:pStyle w:val="TableParagraph"/>
        <w:rPr>
          <w:sz w:val="18"/>
        </w:rPr>
      </w:pPr>
    </w:p>
    <w:p w14:paraId="69DD1CEA" w14:textId="77777777" w:rsidR="00412F22" w:rsidRPr="00693F55" w:rsidRDefault="00412F22" w:rsidP="00412F22">
      <w:pPr>
        <w:pStyle w:val="TableParagraph"/>
        <w:rPr>
          <w:sz w:val="4"/>
          <w:szCs w:val="10"/>
        </w:rPr>
      </w:pPr>
    </w:p>
    <w:p w14:paraId="62AB2887" w14:textId="77777777" w:rsidR="00412F22" w:rsidRPr="00D92B16" w:rsidRDefault="00412F22" w:rsidP="00412F22">
      <w:pPr>
        <w:pStyle w:val="Titre2"/>
        <w:spacing w:before="0" w:after="120"/>
        <w:jc w:val="center"/>
        <w:rPr>
          <w:b/>
          <w:bCs/>
          <w:color w:val="000000" w:themeColor="text1"/>
          <w:sz w:val="20"/>
          <w:szCs w:val="20"/>
        </w:rPr>
      </w:pPr>
      <w:bookmarkStart w:id="743" w:name="_Toc192462531"/>
      <w:r w:rsidRPr="00D92B16">
        <w:rPr>
          <w:b/>
          <w:bCs/>
          <w:color w:val="000000" w:themeColor="text1"/>
          <w:sz w:val="20"/>
          <w:szCs w:val="20"/>
          <w:highlight w:val="green"/>
        </w:rPr>
        <w:t>Annexe 2</w:t>
      </w:r>
      <w:r w:rsidRPr="00D92B16">
        <w:rPr>
          <w:b/>
          <w:bCs/>
          <w:color w:val="000000" w:themeColor="text1"/>
          <w:sz w:val="20"/>
          <w:szCs w:val="20"/>
        </w:rPr>
        <w:t> : Répartition sectorielle du PIB sur 2019 - 2023</w:t>
      </w:r>
      <w:bookmarkEnd w:id="743"/>
    </w:p>
    <w:tbl>
      <w:tblPr>
        <w:tblStyle w:val="TableNormal"/>
        <w:tblW w:w="9585" w:type="dxa"/>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30"/>
        <w:gridCol w:w="669"/>
        <w:gridCol w:w="709"/>
        <w:gridCol w:w="708"/>
        <w:gridCol w:w="709"/>
        <w:gridCol w:w="851"/>
        <w:gridCol w:w="9"/>
      </w:tblGrid>
      <w:tr w:rsidR="00412F22" w:rsidRPr="00D92B16" w14:paraId="0FD85074" w14:textId="77777777" w:rsidTr="00EE0E23">
        <w:trPr>
          <w:trHeight w:val="248"/>
        </w:trPr>
        <w:tc>
          <w:tcPr>
            <w:tcW w:w="9585" w:type="dxa"/>
            <w:gridSpan w:val="7"/>
            <w:tcBorders>
              <w:bottom w:val="single" w:sz="12" w:space="0" w:color="000000"/>
            </w:tcBorders>
            <w:shd w:val="clear" w:color="auto" w:fill="FFFF00"/>
          </w:tcPr>
          <w:p w14:paraId="5B3EB5FB" w14:textId="77777777" w:rsidR="00412F22" w:rsidRPr="00D92B16" w:rsidRDefault="00412F22" w:rsidP="00EE0E23">
            <w:pPr>
              <w:pStyle w:val="TableParagraph"/>
              <w:spacing w:before="19" w:line="209" w:lineRule="exact"/>
              <w:rPr>
                <w:rFonts w:asciiTheme="minorHAnsi" w:hAnsiTheme="minorHAnsi" w:cstheme="minorHAnsi"/>
                <w:b/>
                <w:sz w:val="20"/>
                <w:szCs w:val="20"/>
                <w:lang w:val="fr-FR"/>
              </w:rPr>
            </w:pPr>
            <w:r w:rsidRPr="00D92B16">
              <w:rPr>
                <w:rFonts w:asciiTheme="minorHAnsi" w:hAnsiTheme="minorHAnsi" w:cstheme="minorHAnsi"/>
                <w:b/>
                <w:sz w:val="20"/>
                <w:szCs w:val="20"/>
                <w:lang w:val="fr-FR"/>
              </w:rPr>
              <w:t>Répartition</w:t>
            </w:r>
            <w:r w:rsidRPr="00D92B16">
              <w:rPr>
                <w:rFonts w:asciiTheme="minorHAnsi" w:hAnsiTheme="minorHAnsi" w:cstheme="minorHAnsi"/>
                <w:b/>
                <w:spacing w:val="-6"/>
                <w:sz w:val="20"/>
                <w:szCs w:val="20"/>
                <w:lang w:val="fr-FR"/>
              </w:rPr>
              <w:t xml:space="preserve"> </w:t>
            </w:r>
            <w:r w:rsidRPr="00D92B16">
              <w:rPr>
                <w:rFonts w:asciiTheme="minorHAnsi" w:hAnsiTheme="minorHAnsi" w:cstheme="minorHAnsi"/>
                <w:b/>
                <w:sz w:val="20"/>
                <w:szCs w:val="20"/>
                <w:lang w:val="fr-FR"/>
              </w:rPr>
              <w:t>sectorielle</w:t>
            </w:r>
            <w:r w:rsidRPr="00D92B16">
              <w:rPr>
                <w:rFonts w:asciiTheme="minorHAnsi" w:hAnsiTheme="minorHAnsi" w:cstheme="minorHAnsi"/>
                <w:b/>
                <w:spacing w:val="-5"/>
                <w:sz w:val="20"/>
                <w:szCs w:val="20"/>
                <w:lang w:val="fr-FR"/>
              </w:rPr>
              <w:t xml:space="preserve"> </w:t>
            </w:r>
            <w:r w:rsidRPr="00D92B16">
              <w:rPr>
                <w:rFonts w:asciiTheme="minorHAnsi" w:hAnsiTheme="minorHAnsi" w:cstheme="minorHAnsi"/>
                <w:b/>
                <w:sz w:val="20"/>
                <w:szCs w:val="20"/>
                <w:lang w:val="fr-FR"/>
              </w:rPr>
              <w:t>du</w:t>
            </w:r>
            <w:r w:rsidRPr="00D92B16">
              <w:rPr>
                <w:rFonts w:asciiTheme="minorHAnsi" w:hAnsiTheme="minorHAnsi" w:cstheme="minorHAnsi"/>
                <w:b/>
                <w:spacing w:val="-5"/>
                <w:sz w:val="20"/>
                <w:szCs w:val="20"/>
                <w:lang w:val="fr-FR"/>
              </w:rPr>
              <w:t xml:space="preserve"> </w:t>
            </w:r>
            <w:r w:rsidRPr="00D92B16">
              <w:rPr>
                <w:rFonts w:asciiTheme="minorHAnsi" w:hAnsiTheme="minorHAnsi" w:cstheme="minorHAnsi"/>
                <w:b/>
                <w:sz w:val="20"/>
                <w:szCs w:val="20"/>
                <w:lang w:val="fr-FR"/>
              </w:rPr>
              <w:t>PIB</w:t>
            </w:r>
            <w:r w:rsidRPr="00D92B16">
              <w:rPr>
                <w:rFonts w:asciiTheme="minorHAnsi" w:hAnsiTheme="minorHAnsi" w:cstheme="minorHAnsi"/>
                <w:b/>
                <w:spacing w:val="-6"/>
                <w:sz w:val="20"/>
                <w:szCs w:val="20"/>
                <w:lang w:val="fr-FR"/>
              </w:rPr>
              <w:t xml:space="preserve"> </w:t>
            </w:r>
            <w:r w:rsidRPr="00D92B16">
              <w:rPr>
                <w:rFonts w:asciiTheme="minorHAnsi" w:hAnsiTheme="minorHAnsi" w:cstheme="minorHAnsi"/>
                <w:b/>
                <w:sz w:val="20"/>
                <w:szCs w:val="20"/>
                <w:lang w:val="fr-FR"/>
              </w:rPr>
              <w:t>courant</w:t>
            </w:r>
            <w:r w:rsidRPr="00D92B16">
              <w:rPr>
                <w:rFonts w:asciiTheme="minorHAnsi" w:hAnsiTheme="minorHAnsi" w:cstheme="minorHAnsi"/>
                <w:b/>
                <w:spacing w:val="-5"/>
                <w:sz w:val="20"/>
                <w:szCs w:val="20"/>
                <w:lang w:val="fr-FR"/>
              </w:rPr>
              <w:t xml:space="preserve"> </w:t>
            </w:r>
            <w:r w:rsidRPr="00D92B16">
              <w:rPr>
                <w:rFonts w:asciiTheme="minorHAnsi" w:hAnsiTheme="minorHAnsi" w:cstheme="minorHAnsi"/>
                <w:b/>
                <w:sz w:val="20"/>
                <w:szCs w:val="20"/>
                <w:lang w:val="fr-FR"/>
              </w:rPr>
              <w:t>(En</w:t>
            </w:r>
            <w:r w:rsidRPr="00D92B16">
              <w:rPr>
                <w:rFonts w:asciiTheme="minorHAnsi" w:hAnsiTheme="minorHAnsi" w:cstheme="minorHAnsi"/>
                <w:b/>
                <w:spacing w:val="-5"/>
                <w:sz w:val="20"/>
                <w:szCs w:val="20"/>
                <w:lang w:val="fr-FR"/>
              </w:rPr>
              <w:t xml:space="preserve"> %)</w:t>
            </w:r>
          </w:p>
        </w:tc>
      </w:tr>
      <w:tr w:rsidR="00412F22" w:rsidRPr="00D92B16" w14:paraId="758DAC32" w14:textId="77777777" w:rsidTr="00EE0E23">
        <w:trPr>
          <w:gridAfter w:val="1"/>
          <w:wAfter w:w="9" w:type="dxa"/>
          <w:trHeight w:val="248"/>
        </w:trPr>
        <w:tc>
          <w:tcPr>
            <w:tcW w:w="5930" w:type="dxa"/>
            <w:tcBorders>
              <w:top w:val="single" w:sz="12" w:space="0" w:color="000000"/>
              <w:left w:val="single" w:sz="12" w:space="0" w:color="000000"/>
            </w:tcBorders>
            <w:shd w:val="clear" w:color="auto" w:fill="auto"/>
          </w:tcPr>
          <w:p w14:paraId="789325B0" w14:textId="77777777" w:rsidR="00412F22" w:rsidRPr="00EE0195" w:rsidRDefault="00412F22" w:rsidP="00EE0E23">
            <w:pPr>
              <w:pStyle w:val="TableParagraph"/>
              <w:spacing w:before="11"/>
              <w:ind w:left="22"/>
              <w:rPr>
                <w:rFonts w:asciiTheme="minorHAnsi" w:hAnsiTheme="minorHAnsi" w:cstheme="minorHAnsi"/>
                <w:b/>
                <w:sz w:val="20"/>
                <w:szCs w:val="20"/>
                <w:lang w:val="fr-FR"/>
              </w:rPr>
            </w:pPr>
            <w:r>
              <w:rPr>
                <w:rFonts w:asciiTheme="minorHAnsi" w:hAnsiTheme="minorHAnsi" w:cstheme="minorHAnsi"/>
                <w:b/>
                <w:lang w:val="fr-FR"/>
              </w:rPr>
              <w:t xml:space="preserve"> </w:t>
            </w:r>
            <w:r w:rsidRPr="00EE0195">
              <w:rPr>
                <w:rFonts w:asciiTheme="minorHAnsi" w:hAnsiTheme="minorHAnsi" w:cstheme="minorHAnsi"/>
                <w:b/>
                <w:lang w:val="fr-FR"/>
              </w:rPr>
              <w:t>Années</w:t>
            </w:r>
          </w:p>
        </w:tc>
        <w:tc>
          <w:tcPr>
            <w:tcW w:w="669" w:type="dxa"/>
            <w:tcBorders>
              <w:top w:val="single" w:sz="12" w:space="0" w:color="000000"/>
            </w:tcBorders>
            <w:shd w:val="clear" w:color="auto" w:fill="auto"/>
          </w:tcPr>
          <w:p w14:paraId="4019CFF1" w14:textId="77777777" w:rsidR="00412F22" w:rsidRPr="00D92B16" w:rsidRDefault="00412F22" w:rsidP="00EE0E23">
            <w:pPr>
              <w:pStyle w:val="TableParagraph"/>
              <w:spacing w:before="4"/>
              <w:ind w:left="28"/>
              <w:rPr>
                <w:rFonts w:asciiTheme="minorHAnsi" w:hAnsiTheme="minorHAnsi" w:cstheme="minorHAnsi"/>
                <w:bCs/>
                <w:sz w:val="20"/>
                <w:szCs w:val="20"/>
              </w:rPr>
            </w:pPr>
            <w:r w:rsidRPr="00D92B16">
              <w:rPr>
                <w:rFonts w:asciiTheme="minorHAnsi" w:hAnsiTheme="minorHAnsi" w:cstheme="minorHAnsi"/>
                <w:bCs/>
                <w:spacing w:val="-4"/>
                <w:sz w:val="20"/>
                <w:szCs w:val="20"/>
              </w:rPr>
              <w:t>2019</w:t>
            </w:r>
          </w:p>
        </w:tc>
        <w:tc>
          <w:tcPr>
            <w:tcW w:w="709" w:type="dxa"/>
            <w:tcBorders>
              <w:top w:val="single" w:sz="12" w:space="0" w:color="000000"/>
            </w:tcBorders>
            <w:shd w:val="clear" w:color="auto" w:fill="auto"/>
          </w:tcPr>
          <w:p w14:paraId="394B25E5" w14:textId="77777777" w:rsidR="00412F22" w:rsidRPr="00D92B16" w:rsidRDefault="00412F22" w:rsidP="00EE0E23">
            <w:pPr>
              <w:pStyle w:val="TableParagraph"/>
              <w:spacing w:before="4"/>
              <w:ind w:left="32"/>
              <w:rPr>
                <w:rFonts w:asciiTheme="minorHAnsi" w:hAnsiTheme="minorHAnsi" w:cstheme="minorHAnsi"/>
                <w:bCs/>
                <w:sz w:val="20"/>
                <w:szCs w:val="20"/>
              </w:rPr>
            </w:pPr>
            <w:r w:rsidRPr="00D92B16">
              <w:rPr>
                <w:rFonts w:asciiTheme="minorHAnsi" w:hAnsiTheme="minorHAnsi" w:cstheme="minorHAnsi"/>
                <w:bCs/>
                <w:spacing w:val="-4"/>
                <w:sz w:val="20"/>
                <w:szCs w:val="20"/>
              </w:rPr>
              <w:t>2020</w:t>
            </w:r>
          </w:p>
        </w:tc>
        <w:tc>
          <w:tcPr>
            <w:tcW w:w="708" w:type="dxa"/>
            <w:tcBorders>
              <w:top w:val="single" w:sz="12" w:space="0" w:color="000000"/>
            </w:tcBorders>
            <w:shd w:val="clear" w:color="auto" w:fill="auto"/>
          </w:tcPr>
          <w:p w14:paraId="12F997C3" w14:textId="77777777" w:rsidR="00412F22" w:rsidRPr="00D92B16" w:rsidRDefault="00412F22" w:rsidP="00EE0E23">
            <w:pPr>
              <w:pStyle w:val="TableParagraph"/>
              <w:spacing w:before="4"/>
              <w:ind w:left="31"/>
              <w:rPr>
                <w:rFonts w:asciiTheme="minorHAnsi" w:hAnsiTheme="minorHAnsi" w:cstheme="minorHAnsi"/>
                <w:bCs/>
                <w:sz w:val="20"/>
                <w:szCs w:val="20"/>
              </w:rPr>
            </w:pPr>
            <w:r w:rsidRPr="00D92B16">
              <w:rPr>
                <w:rFonts w:asciiTheme="minorHAnsi" w:hAnsiTheme="minorHAnsi" w:cstheme="minorHAnsi"/>
                <w:bCs/>
                <w:spacing w:val="-4"/>
                <w:sz w:val="20"/>
                <w:szCs w:val="20"/>
              </w:rPr>
              <w:t>2021</w:t>
            </w:r>
          </w:p>
        </w:tc>
        <w:tc>
          <w:tcPr>
            <w:tcW w:w="709" w:type="dxa"/>
            <w:tcBorders>
              <w:top w:val="single" w:sz="12" w:space="0" w:color="000000"/>
            </w:tcBorders>
            <w:shd w:val="clear" w:color="auto" w:fill="auto"/>
          </w:tcPr>
          <w:p w14:paraId="0C3FD7F4" w14:textId="77777777" w:rsidR="00412F22" w:rsidRPr="00D92B16" w:rsidRDefault="00412F22" w:rsidP="00EE0E23">
            <w:pPr>
              <w:pStyle w:val="TableParagraph"/>
              <w:spacing w:before="4"/>
              <w:ind w:left="35"/>
              <w:rPr>
                <w:rFonts w:asciiTheme="minorHAnsi" w:hAnsiTheme="minorHAnsi" w:cstheme="minorHAnsi"/>
                <w:bCs/>
                <w:sz w:val="20"/>
                <w:szCs w:val="20"/>
              </w:rPr>
            </w:pPr>
            <w:r w:rsidRPr="00D92B16">
              <w:rPr>
                <w:rFonts w:asciiTheme="minorHAnsi" w:hAnsiTheme="minorHAnsi" w:cstheme="minorHAnsi"/>
                <w:bCs/>
                <w:spacing w:val="-4"/>
                <w:sz w:val="20"/>
                <w:szCs w:val="20"/>
              </w:rPr>
              <w:t>2022</w:t>
            </w:r>
          </w:p>
        </w:tc>
        <w:tc>
          <w:tcPr>
            <w:tcW w:w="851" w:type="dxa"/>
            <w:tcBorders>
              <w:top w:val="single" w:sz="12" w:space="0" w:color="000000"/>
              <w:right w:val="single" w:sz="12" w:space="0" w:color="000000"/>
            </w:tcBorders>
            <w:shd w:val="clear" w:color="auto" w:fill="auto"/>
          </w:tcPr>
          <w:p w14:paraId="084C6364" w14:textId="77777777" w:rsidR="00412F22" w:rsidRPr="00D92B16" w:rsidRDefault="00412F22" w:rsidP="00EE0E23">
            <w:pPr>
              <w:pStyle w:val="TableParagraph"/>
              <w:spacing w:before="4"/>
              <w:ind w:left="50"/>
              <w:rPr>
                <w:rFonts w:asciiTheme="minorHAnsi" w:hAnsiTheme="minorHAnsi" w:cstheme="minorHAnsi"/>
                <w:bCs/>
                <w:sz w:val="20"/>
                <w:szCs w:val="20"/>
              </w:rPr>
            </w:pPr>
            <w:r w:rsidRPr="00D92B16">
              <w:rPr>
                <w:rFonts w:asciiTheme="minorHAnsi" w:hAnsiTheme="minorHAnsi" w:cstheme="minorHAnsi"/>
                <w:bCs/>
                <w:spacing w:val="-2"/>
                <w:sz w:val="20"/>
                <w:szCs w:val="20"/>
              </w:rPr>
              <w:t>2023*</w:t>
            </w:r>
          </w:p>
        </w:tc>
      </w:tr>
      <w:tr w:rsidR="00412F22" w:rsidRPr="00D92B16" w14:paraId="473D9695" w14:textId="77777777" w:rsidTr="00EE0E23">
        <w:trPr>
          <w:gridAfter w:val="1"/>
          <w:wAfter w:w="9" w:type="dxa"/>
          <w:trHeight w:val="246"/>
        </w:trPr>
        <w:tc>
          <w:tcPr>
            <w:tcW w:w="5930" w:type="dxa"/>
            <w:tcBorders>
              <w:left w:val="single" w:sz="8" w:space="0" w:color="000000"/>
              <w:bottom w:val="single" w:sz="8" w:space="0" w:color="000000"/>
              <w:right w:val="single" w:sz="8" w:space="0" w:color="000000"/>
            </w:tcBorders>
            <w:shd w:val="clear" w:color="auto" w:fill="C5DFB3"/>
          </w:tcPr>
          <w:p w14:paraId="5713F532" w14:textId="77777777" w:rsidR="00412F22" w:rsidRPr="00D92B16" w:rsidRDefault="00412F22" w:rsidP="00EE0E23">
            <w:pPr>
              <w:pStyle w:val="TableParagraph"/>
              <w:spacing w:line="207" w:lineRule="exact"/>
              <w:ind w:left="76"/>
              <w:rPr>
                <w:rFonts w:asciiTheme="minorHAnsi" w:hAnsiTheme="minorHAnsi" w:cstheme="minorHAnsi"/>
                <w:bCs/>
                <w:lang w:val="fr-FR"/>
              </w:rPr>
            </w:pPr>
            <w:r w:rsidRPr="00D92B16">
              <w:rPr>
                <w:rFonts w:asciiTheme="minorHAnsi" w:hAnsiTheme="minorHAnsi" w:cstheme="minorHAnsi"/>
                <w:bCs/>
                <w:lang w:val="fr-FR"/>
              </w:rPr>
              <w:t>Secteur</w:t>
            </w:r>
            <w:r w:rsidRPr="00D92B16">
              <w:rPr>
                <w:rFonts w:asciiTheme="minorHAnsi" w:hAnsiTheme="minorHAnsi" w:cstheme="minorHAnsi"/>
                <w:bCs/>
                <w:spacing w:val="-4"/>
                <w:lang w:val="fr-FR"/>
              </w:rPr>
              <w:t xml:space="preserve"> </w:t>
            </w:r>
            <w:r w:rsidRPr="00D92B16">
              <w:rPr>
                <w:rFonts w:asciiTheme="minorHAnsi" w:hAnsiTheme="minorHAnsi" w:cstheme="minorHAnsi"/>
                <w:bCs/>
                <w:spacing w:val="-2"/>
                <w:lang w:val="fr-FR"/>
              </w:rPr>
              <w:t>primaire</w:t>
            </w:r>
          </w:p>
        </w:tc>
        <w:tc>
          <w:tcPr>
            <w:tcW w:w="669" w:type="dxa"/>
            <w:tcBorders>
              <w:left w:val="single" w:sz="8" w:space="0" w:color="000000"/>
              <w:bottom w:val="single" w:sz="8" w:space="0" w:color="000000"/>
              <w:right w:val="single" w:sz="8" w:space="0" w:color="000000"/>
            </w:tcBorders>
            <w:shd w:val="clear" w:color="auto" w:fill="C5DFB3"/>
          </w:tcPr>
          <w:p w14:paraId="33B262E5" w14:textId="77777777" w:rsidR="00412F22" w:rsidRPr="00D92B16" w:rsidRDefault="00412F22" w:rsidP="00EE0E23">
            <w:pPr>
              <w:pStyle w:val="TableParagraph"/>
              <w:spacing w:line="207" w:lineRule="exact"/>
              <w:ind w:left="31"/>
              <w:rPr>
                <w:rFonts w:asciiTheme="minorHAnsi" w:hAnsiTheme="minorHAnsi" w:cstheme="minorHAnsi"/>
                <w:bCs/>
              </w:rPr>
            </w:pPr>
            <w:r w:rsidRPr="00D92B16">
              <w:rPr>
                <w:rFonts w:asciiTheme="minorHAnsi" w:hAnsiTheme="minorHAnsi" w:cstheme="minorHAnsi"/>
                <w:bCs/>
                <w:spacing w:val="-4"/>
              </w:rPr>
              <w:t>20,0</w:t>
            </w:r>
          </w:p>
        </w:tc>
        <w:tc>
          <w:tcPr>
            <w:tcW w:w="709" w:type="dxa"/>
            <w:tcBorders>
              <w:left w:val="single" w:sz="8" w:space="0" w:color="000000"/>
              <w:bottom w:val="single" w:sz="8" w:space="0" w:color="000000"/>
              <w:right w:val="single" w:sz="8" w:space="0" w:color="000000"/>
            </w:tcBorders>
            <w:shd w:val="clear" w:color="auto" w:fill="C5DFB3"/>
          </w:tcPr>
          <w:p w14:paraId="5D88BBF6" w14:textId="77777777" w:rsidR="00412F22" w:rsidRPr="00D92B16" w:rsidRDefault="00412F22" w:rsidP="00EE0E23">
            <w:pPr>
              <w:pStyle w:val="TableParagraph"/>
              <w:spacing w:line="207" w:lineRule="exact"/>
              <w:ind w:left="34"/>
              <w:rPr>
                <w:rFonts w:asciiTheme="minorHAnsi" w:hAnsiTheme="minorHAnsi" w:cstheme="minorHAnsi"/>
                <w:bCs/>
              </w:rPr>
            </w:pPr>
            <w:r w:rsidRPr="00D92B16">
              <w:rPr>
                <w:rFonts w:asciiTheme="minorHAnsi" w:hAnsiTheme="minorHAnsi" w:cstheme="minorHAnsi"/>
                <w:bCs/>
                <w:spacing w:val="-4"/>
              </w:rPr>
              <w:t>19,2</w:t>
            </w:r>
          </w:p>
        </w:tc>
        <w:tc>
          <w:tcPr>
            <w:tcW w:w="708" w:type="dxa"/>
            <w:tcBorders>
              <w:left w:val="single" w:sz="8" w:space="0" w:color="000000"/>
              <w:bottom w:val="single" w:sz="8" w:space="0" w:color="000000"/>
              <w:right w:val="single" w:sz="8" w:space="0" w:color="000000"/>
            </w:tcBorders>
            <w:shd w:val="clear" w:color="auto" w:fill="C5DFB3"/>
          </w:tcPr>
          <w:p w14:paraId="619FC53A" w14:textId="77777777" w:rsidR="00412F22" w:rsidRPr="00D92B16" w:rsidRDefault="00412F22" w:rsidP="00EE0E23">
            <w:pPr>
              <w:pStyle w:val="TableParagraph"/>
              <w:spacing w:line="207" w:lineRule="exact"/>
              <w:ind w:left="33"/>
              <w:rPr>
                <w:rFonts w:asciiTheme="minorHAnsi" w:hAnsiTheme="minorHAnsi" w:cstheme="minorHAnsi"/>
                <w:bCs/>
              </w:rPr>
            </w:pPr>
            <w:r w:rsidRPr="00D92B16">
              <w:rPr>
                <w:rFonts w:asciiTheme="minorHAnsi" w:hAnsiTheme="minorHAnsi" w:cstheme="minorHAnsi"/>
                <w:bCs/>
                <w:spacing w:val="-4"/>
              </w:rPr>
              <w:t>19,1</w:t>
            </w:r>
          </w:p>
        </w:tc>
        <w:tc>
          <w:tcPr>
            <w:tcW w:w="709" w:type="dxa"/>
            <w:tcBorders>
              <w:left w:val="single" w:sz="8" w:space="0" w:color="000000"/>
              <w:bottom w:val="single" w:sz="8" w:space="0" w:color="000000"/>
              <w:right w:val="single" w:sz="8" w:space="0" w:color="000000"/>
            </w:tcBorders>
            <w:shd w:val="clear" w:color="auto" w:fill="C5DFB3"/>
          </w:tcPr>
          <w:p w14:paraId="495E1B62" w14:textId="77777777" w:rsidR="00412F22" w:rsidRPr="00D92B16" w:rsidRDefault="00412F22" w:rsidP="00EE0E23">
            <w:pPr>
              <w:pStyle w:val="TableParagraph"/>
              <w:spacing w:line="207" w:lineRule="exact"/>
              <w:ind w:left="37"/>
              <w:rPr>
                <w:rFonts w:asciiTheme="minorHAnsi" w:hAnsiTheme="minorHAnsi" w:cstheme="minorHAnsi"/>
                <w:bCs/>
              </w:rPr>
            </w:pPr>
            <w:r w:rsidRPr="00D92B16">
              <w:rPr>
                <w:rFonts w:asciiTheme="minorHAnsi" w:hAnsiTheme="minorHAnsi" w:cstheme="minorHAnsi"/>
                <w:bCs/>
                <w:spacing w:val="-4"/>
              </w:rPr>
              <w:t>21,2</w:t>
            </w:r>
          </w:p>
        </w:tc>
        <w:tc>
          <w:tcPr>
            <w:tcW w:w="851" w:type="dxa"/>
            <w:tcBorders>
              <w:left w:val="single" w:sz="8" w:space="0" w:color="000000"/>
              <w:bottom w:val="single" w:sz="8" w:space="0" w:color="000000"/>
              <w:right w:val="single" w:sz="8" w:space="0" w:color="000000"/>
            </w:tcBorders>
            <w:shd w:val="clear" w:color="auto" w:fill="C5DFB3"/>
          </w:tcPr>
          <w:p w14:paraId="3A4D6C39" w14:textId="77777777" w:rsidR="00412F22" w:rsidRPr="00D92B16" w:rsidRDefault="00412F22" w:rsidP="00EE0E23">
            <w:pPr>
              <w:pStyle w:val="TableParagraph"/>
              <w:spacing w:line="207" w:lineRule="exact"/>
              <w:ind w:left="50" w:right="12"/>
              <w:rPr>
                <w:rFonts w:asciiTheme="minorHAnsi" w:hAnsiTheme="minorHAnsi" w:cstheme="minorHAnsi"/>
                <w:bCs/>
              </w:rPr>
            </w:pPr>
            <w:r w:rsidRPr="00D92B16">
              <w:rPr>
                <w:rFonts w:asciiTheme="minorHAnsi" w:hAnsiTheme="minorHAnsi" w:cstheme="minorHAnsi"/>
                <w:bCs/>
                <w:spacing w:val="-4"/>
              </w:rPr>
              <w:t>18,7</w:t>
            </w:r>
          </w:p>
        </w:tc>
      </w:tr>
      <w:tr w:rsidR="00412F22" w:rsidRPr="00D92B16" w14:paraId="6CB10651" w14:textId="77777777" w:rsidTr="00EE0E23">
        <w:trPr>
          <w:gridAfter w:val="1"/>
          <w:wAfter w:w="9" w:type="dxa"/>
          <w:trHeight w:val="243"/>
        </w:trPr>
        <w:tc>
          <w:tcPr>
            <w:tcW w:w="5930" w:type="dxa"/>
            <w:tcBorders>
              <w:top w:val="single" w:sz="8" w:space="0" w:color="000000"/>
              <w:left w:val="single" w:sz="12" w:space="0" w:color="000000"/>
            </w:tcBorders>
          </w:tcPr>
          <w:p w14:paraId="20C69DBC" w14:textId="77777777" w:rsidR="00412F22" w:rsidRPr="00D92B16" w:rsidRDefault="00412F22" w:rsidP="00EE0E23">
            <w:pPr>
              <w:pStyle w:val="TableParagraph"/>
              <w:spacing w:before="2"/>
              <w:ind w:left="71"/>
              <w:rPr>
                <w:rFonts w:asciiTheme="minorHAnsi" w:hAnsiTheme="minorHAnsi" w:cstheme="minorHAnsi"/>
                <w:sz w:val="20"/>
                <w:szCs w:val="20"/>
                <w:lang w:val="fr-FR"/>
              </w:rPr>
            </w:pPr>
            <w:r w:rsidRPr="00D92B16">
              <w:rPr>
                <w:rFonts w:asciiTheme="minorHAnsi" w:hAnsiTheme="minorHAnsi" w:cstheme="minorHAnsi"/>
                <w:sz w:val="20"/>
                <w:szCs w:val="20"/>
                <w:lang w:val="fr-FR"/>
              </w:rPr>
              <w:t>1.</w:t>
            </w:r>
            <w:r w:rsidRPr="00D92B16">
              <w:rPr>
                <w:rFonts w:asciiTheme="minorHAnsi" w:hAnsiTheme="minorHAnsi" w:cstheme="minorHAnsi"/>
                <w:spacing w:val="-4"/>
                <w:sz w:val="20"/>
                <w:szCs w:val="20"/>
                <w:lang w:val="fr-FR"/>
              </w:rPr>
              <w:t xml:space="preserve"> </w:t>
            </w:r>
            <w:r w:rsidRPr="00D92B16">
              <w:rPr>
                <w:rFonts w:asciiTheme="minorHAnsi" w:hAnsiTheme="minorHAnsi" w:cstheme="minorHAnsi"/>
                <w:sz w:val="20"/>
                <w:szCs w:val="20"/>
                <w:lang w:val="fr-FR"/>
              </w:rPr>
              <w:t>Agriculture,</w:t>
            </w:r>
            <w:r w:rsidRPr="00D92B16">
              <w:rPr>
                <w:rFonts w:asciiTheme="minorHAnsi" w:hAnsiTheme="minorHAnsi" w:cstheme="minorHAnsi"/>
                <w:spacing w:val="-3"/>
                <w:sz w:val="20"/>
                <w:szCs w:val="20"/>
                <w:lang w:val="fr-FR"/>
              </w:rPr>
              <w:t xml:space="preserve"> </w:t>
            </w:r>
            <w:r w:rsidRPr="00D92B16">
              <w:rPr>
                <w:rFonts w:asciiTheme="minorHAnsi" w:hAnsiTheme="minorHAnsi" w:cstheme="minorHAnsi"/>
                <w:sz w:val="20"/>
                <w:szCs w:val="20"/>
                <w:lang w:val="fr-FR"/>
              </w:rPr>
              <w:t>pêche,</w:t>
            </w:r>
            <w:r w:rsidRPr="00D92B16">
              <w:rPr>
                <w:rFonts w:asciiTheme="minorHAnsi" w:hAnsiTheme="minorHAnsi" w:cstheme="minorHAnsi"/>
                <w:spacing w:val="-3"/>
                <w:sz w:val="20"/>
                <w:szCs w:val="20"/>
                <w:lang w:val="fr-FR"/>
              </w:rPr>
              <w:t xml:space="preserve"> </w:t>
            </w:r>
            <w:r w:rsidRPr="00D92B16">
              <w:rPr>
                <w:rFonts w:asciiTheme="minorHAnsi" w:hAnsiTheme="minorHAnsi" w:cstheme="minorHAnsi"/>
                <w:sz w:val="20"/>
                <w:szCs w:val="20"/>
                <w:lang w:val="fr-FR"/>
              </w:rPr>
              <w:t>exploitation</w:t>
            </w:r>
            <w:r w:rsidRPr="00D92B16">
              <w:rPr>
                <w:rFonts w:asciiTheme="minorHAnsi" w:hAnsiTheme="minorHAnsi" w:cstheme="minorHAnsi"/>
                <w:spacing w:val="-2"/>
                <w:sz w:val="20"/>
                <w:szCs w:val="20"/>
                <w:lang w:val="fr-FR"/>
              </w:rPr>
              <w:t xml:space="preserve"> forestière</w:t>
            </w:r>
          </w:p>
        </w:tc>
        <w:tc>
          <w:tcPr>
            <w:tcW w:w="669" w:type="dxa"/>
            <w:tcBorders>
              <w:top w:val="single" w:sz="8" w:space="0" w:color="000000"/>
              <w:bottom w:val="single" w:sz="8" w:space="0" w:color="000000"/>
              <w:right w:val="single" w:sz="8" w:space="0" w:color="000000"/>
            </w:tcBorders>
          </w:tcPr>
          <w:p w14:paraId="7E9DF356" w14:textId="77777777" w:rsidR="00412F22" w:rsidRPr="00D92B16" w:rsidRDefault="00412F22" w:rsidP="00EE0E23">
            <w:pPr>
              <w:pStyle w:val="TableParagraph"/>
              <w:spacing w:before="2"/>
              <w:ind w:left="36"/>
              <w:rPr>
                <w:rFonts w:asciiTheme="minorHAnsi" w:hAnsiTheme="minorHAnsi" w:cstheme="minorHAnsi"/>
                <w:sz w:val="20"/>
                <w:szCs w:val="20"/>
              </w:rPr>
            </w:pPr>
            <w:r w:rsidRPr="00D92B16">
              <w:rPr>
                <w:rFonts w:asciiTheme="minorHAnsi" w:hAnsiTheme="minorHAnsi" w:cstheme="minorHAnsi"/>
                <w:spacing w:val="-4"/>
                <w:sz w:val="20"/>
                <w:szCs w:val="20"/>
              </w:rPr>
              <w:t>20,0</w:t>
            </w:r>
          </w:p>
        </w:tc>
        <w:tc>
          <w:tcPr>
            <w:tcW w:w="709" w:type="dxa"/>
            <w:tcBorders>
              <w:top w:val="single" w:sz="8" w:space="0" w:color="000000"/>
              <w:left w:val="single" w:sz="8" w:space="0" w:color="000000"/>
              <w:bottom w:val="single" w:sz="8" w:space="0" w:color="000000"/>
              <w:right w:val="single" w:sz="8" w:space="0" w:color="000000"/>
            </w:tcBorders>
          </w:tcPr>
          <w:p w14:paraId="0C8D135F" w14:textId="77777777" w:rsidR="00412F22" w:rsidRPr="00D92B16" w:rsidRDefault="00412F22" w:rsidP="00EE0E23">
            <w:pPr>
              <w:pStyle w:val="TableParagraph"/>
              <w:spacing w:before="2"/>
              <w:ind w:left="34"/>
              <w:rPr>
                <w:rFonts w:asciiTheme="minorHAnsi" w:hAnsiTheme="minorHAnsi" w:cstheme="minorHAnsi"/>
                <w:sz w:val="20"/>
                <w:szCs w:val="20"/>
              </w:rPr>
            </w:pPr>
            <w:r w:rsidRPr="00D92B16">
              <w:rPr>
                <w:rFonts w:asciiTheme="minorHAnsi" w:hAnsiTheme="minorHAnsi" w:cstheme="minorHAnsi"/>
                <w:spacing w:val="-4"/>
                <w:sz w:val="20"/>
                <w:szCs w:val="20"/>
              </w:rPr>
              <w:t>19,2</w:t>
            </w:r>
          </w:p>
        </w:tc>
        <w:tc>
          <w:tcPr>
            <w:tcW w:w="708" w:type="dxa"/>
            <w:tcBorders>
              <w:top w:val="single" w:sz="8" w:space="0" w:color="000000"/>
              <w:left w:val="single" w:sz="8" w:space="0" w:color="000000"/>
              <w:bottom w:val="single" w:sz="8" w:space="0" w:color="000000"/>
              <w:right w:val="single" w:sz="8" w:space="0" w:color="000000"/>
            </w:tcBorders>
          </w:tcPr>
          <w:p w14:paraId="1B2CD0FF" w14:textId="77777777" w:rsidR="00412F22" w:rsidRPr="00D92B16" w:rsidRDefault="00412F22" w:rsidP="00EE0E23">
            <w:pPr>
              <w:pStyle w:val="TableParagraph"/>
              <w:spacing w:before="2"/>
              <w:ind w:left="33"/>
              <w:rPr>
                <w:rFonts w:asciiTheme="minorHAnsi" w:hAnsiTheme="minorHAnsi" w:cstheme="minorHAnsi"/>
                <w:sz w:val="20"/>
                <w:szCs w:val="20"/>
              </w:rPr>
            </w:pPr>
            <w:r w:rsidRPr="00D92B16">
              <w:rPr>
                <w:rFonts w:asciiTheme="minorHAnsi" w:hAnsiTheme="minorHAnsi" w:cstheme="minorHAnsi"/>
                <w:spacing w:val="-4"/>
                <w:sz w:val="20"/>
                <w:szCs w:val="20"/>
              </w:rPr>
              <w:t>19,1</w:t>
            </w:r>
          </w:p>
        </w:tc>
        <w:tc>
          <w:tcPr>
            <w:tcW w:w="709" w:type="dxa"/>
            <w:tcBorders>
              <w:top w:val="single" w:sz="8" w:space="0" w:color="000000"/>
              <w:left w:val="single" w:sz="8" w:space="0" w:color="000000"/>
              <w:bottom w:val="single" w:sz="8" w:space="0" w:color="000000"/>
              <w:right w:val="single" w:sz="8" w:space="0" w:color="000000"/>
            </w:tcBorders>
          </w:tcPr>
          <w:p w14:paraId="215A83EE" w14:textId="77777777" w:rsidR="00412F22" w:rsidRPr="00D92B16" w:rsidRDefault="00412F22" w:rsidP="00EE0E23">
            <w:pPr>
              <w:pStyle w:val="TableParagraph"/>
              <w:spacing w:before="2"/>
              <w:ind w:left="37"/>
              <w:rPr>
                <w:rFonts w:asciiTheme="minorHAnsi" w:hAnsiTheme="minorHAnsi" w:cstheme="minorHAnsi"/>
                <w:sz w:val="20"/>
                <w:szCs w:val="20"/>
              </w:rPr>
            </w:pPr>
            <w:r w:rsidRPr="00D92B16">
              <w:rPr>
                <w:rFonts w:asciiTheme="minorHAnsi" w:hAnsiTheme="minorHAnsi" w:cstheme="minorHAnsi"/>
                <w:spacing w:val="-4"/>
                <w:sz w:val="20"/>
                <w:szCs w:val="20"/>
              </w:rPr>
              <w:t>21,2</w:t>
            </w:r>
          </w:p>
        </w:tc>
        <w:tc>
          <w:tcPr>
            <w:tcW w:w="851" w:type="dxa"/>
            <w:tcBorders>
              <w:top w:val="single" w:sz="8" w:space="0" w:color="000000"/>
              <w:left w:val="single" w:sz="8" w:space="0" w:color="000000"/>
              <w:bottom w:val="single" w:sz="8" w:space="0" w:color="000000"/>
              <w:right w:val="single" w:sz="8" w:space="0" w:color="000000"/>
            </w:tcBorders>
          </w:tcPr>
          <w:p w14:paraId="28840B44" w14:textId="77777777" w:rsidR="00412F22" w:rsidRPr="00D92B16" w:rsidRDefault="00412F22" w:rsidP="00EE0E23">
            <w:pPr>
              <w:pStyle w:val="TableParagraph"/>
              <w:spacing w:before="2"/>
              <w:ind w:left="50" w:right="12"/>
              <w:rPr>
                <w:rFonts w:asciiTheme="minorHAnsi" w:hAnsiTheme="minorHAnsi" w:cstheme="minorHAnsi"/>
                <w:sz w:val="20"/>
                <w:szCs w:val="20"/>
              </w:rPr>
            </w:pPr>
            <w:r w:rsidRPr="00D92B16">
              <w:rPr>
                <w:rFonts w:asciiTheme="minorHAnsi" w:hAnsiTheme="minorHAnsi" w:cstheme="minorHAnsi"/>
                <w:spacing w:val="-4"/>
                <w:sz w:val="20"/>
                <w:szCs w:val="20"/>
              </w:rPr>
              <w:t>18,7</w:t>
            </w:r>
          </w:p>
        </w:tc>
      </w:tr>
      <w:tr w:rsidR="00412F22" w:rsidRPr="003E3BDB" w14:paraId="1BAC1206" w14:textId="77777777" w:rsidTr="00EE0E23">
        <w:trPr>
          <w:gridAfter w:val="1"/>
          <w:wAfter w:w="9" w:type="dxa"/>
          <w:trHeight w:val="253"/>
        </w:trPr>
        <w:tc>
          <w:tcPr>
            <w:tcW w:w="5930" w:type="dxa"/>
            <w:tcBorders>
              <w:left w:val="single" w:sz="8" w:space="0" w:color="000000"/>
              <w:bottom w:val="single" w:sz="8" w:space="0" w:color="000000"/>
              <w:right w:val="single" w:sz="8" w:space="0" w:color="000000"/>
            </w:tcBorders>
            <w:shd w:val="clear" w:color="auto" w:fill="C5DFB3"/>
          </w:tcPr>
          <w:p w14:paraId="5E4C50BA" w14:textId="77777777" w:rsidR="00412F22" w:rsidRPr="003E3BDB" w:rsidRDefault="00412F22" w:rsidP="00EE0E23">
            <w:pPr>
              <w:pStyle w:val="TableParagraph"/>
              <w:spacing w:before="4"/>
              <w:rPr>
                <w:rFonts w:asciiTheme="minorHAnsi" w:hAnsiTheme="minorHAnsi" w:cstheme="minorHAnsi"/>
                <w:lang w:val="fr-FR"/>
              </w:rPr>
            </w:pPr>
            <w:r w:rsidRPr="003E3BDB">
              <w:rPr>
                <w:rFonts w:asciiTheme="minorHAnsi" w:hAnsiTheme="minorHAnsi" w:cstheme="minorHAnsi"/>
                <w:lang w:val="fr-FR"/>
              </w:rPr>
              <w:t>1.</w:t>
            </w:r>
            <w:r w:rsidRPr="003E3BDB">
              <w:rPr>
                <w:rFonts w:asciiTheme="minorHAnsi" w:hAnsiTheme="minorHAnsi" w:cstheme="minorHAnsi"/>
                <w:spacing w:val="-4"/>
                <w:lang w:val="fr-FR"/>
              </w:rPr>
              <w:t xml:space="preserve"> </w:t>
            </w:r>
            <w:r w:rsidRPr="003E3BDB">
              <w:rPr>
                <w:rFonts w:asciiTheme="minorHAnsi" w:hAnsiTheme="minorHAnsi" w:cstheme="minorHAnsi"/>
                <w:lang w:val="fr-FR"/>
              </w:rPr>
              <w:t>1 Agriculture,</w:t>
            </w:r>
            <w:r w:rsidRPr="003E3BDB">
              <w:rPr>
                <w:rFonts w:asciiTheme="minorHAnsi" w:hAnsiTheme="minorHAnsi" w:cstheme="minorHAnsi"/>
                <w:spacing w:val="-2"/>
                <w:lang w:val="fr-FR"/>
              </w:rPr>
              <w:t xml:space="preserve"> </w:t>
            </w:r>
            <w:r w:rsidRPr="003E3BDB">
              <w:rPr>
                <w:rFonts w:asciiTheme="minorHAnsi" w:hAnsiTheme="minorHAnsi" w:cstheme="minorHAnsi"/>
                <w:lang w:val="fr-FR"/>
              </w:rPr>
              <w:t>Sylviculture</w:t>
            </w:r>
            <w:r w:rsidRPr="003E3BDB">
              <w:rPr>
                <w:rFonts w:asciiTheme="minorHAnsi" w:hAnsiTheme="minorHAnsi" w:cstheme="minorHAnsi"/>
                <w:spacing w:val="-4"/>
                <w:lang w:val="fr-FR"/>
              </w:rPr>
              <w:t xml:space="preserve"> </w:t>
            </w:r>
            <w:r w:rsidRPr="003E3BDB">
              <w:rPr>
                <w:rFonts w:asciiTheme="minorHAnsi" w:hAnsiTheme="minorHAnsi" w:cstheme="minorHAnsi"/>
                <w:lang w:val="fr-FR"/>
              </w:rPr>
              <w:t>et</w:t>
            </w:r>
            <w:r w:rsidRPr="003E3BDB">
              <w:rPr>
                <w:rFonts w:asciiTheme="minorHAnsi" w:hAnsiTheme="minorHAnsi" w:cstheme="minorHAnsi"/>
                <w:spacing w:val="-1"/>
                <w:lang w:val="fr-FR"/>
              </w:rPr>
              <w:t xml:space="preserve"> </w:t>
            </w:r>
            <w:r w:rsidRPr="003E3BDB">
              <w:rPr>
                <w:rFonts w:asciiTheme="minorHAnsi" w:hAnsiTheme="minorHAnsi" w:cstheme="minorHAnsi"/>
                <w:lang w:val="fr-FR"/>
              </w:rPr>
              <w:t>Exploit</w:t>
            </w:r>
            <w:r>
              <w:rPr>
                <w:rFonts w:asciiTheme="minorHAnsi" w:hAnsiTheme="minorHAnsi" w:cstheme="minorHAnsi"/>
                <w:lang w:val="fr-FR"/>
              </w:rPr>
              <w:t>ation</w:t>
            </w:r>
            <w:r w:rsidRPr="003E3BDB">
              <w:rPr>
                <w:rFonts w:asciiTheme="minorHAnsi" w:hAnsiTheme="minorHAnsi" w:cstheme="minorHAnsi"/>
                <w:lang w:val="fr-FR"/>
              </w:rPr>
              <w:t>.</w:t>
            </w:r>
            <w:r w:rsidRPr="003E3BDB">
              <w:rPr>
                <w:rFonts w:asciiTheme="minorHAnsi" w:hAnsiTheme="minorHAnsi" w:cstheme="minorHAnsi"/>
                <w:spacing w:val="-1"/>
                <w:lang w:val="fr-FR"/>
              </w:rPr>
              <w:t xml:space="preserve"> </w:t>
            </w:r>
            <w:r w:rsidRPr="003E3BDB">
              <w:rPr>
                <w:rFonts w:asciiTheme="minorHAnsi" w:hAnsiTheme="minorHAnsi" w:cstheme="minorHAnsi"/>
                <w:spacing w:val="-2"/>
                <w:lang w:val="fr-FR"/>
              </w:rPr>
              <w:t>Forestière</w:t>
            </w:r>
          </w:p>
        </w:tc>
        <w:tc>
          <w:tcPr>
            <w:tcW w:w="669" w:type="dxa"/>
            <w:tcBorders>
              <w:top w:val="single" w:sz="8" w:space="0" w:color="000000"/>
              <w:left w:val="single" w:sz="8" w:space="0" w:color="000000"/>
              <w:bottom w:val="single" w:sz="8" w:space="0" w:color="000000"/>
              <w:right w:val="single" w:sz="8" w:space="0" w:color="000000"/>
            </w:tcBorders>
            <w:shd w:val="clear" w:color="auto" w:fill="C5DFB3"/>
          </w:tcPr>
          <w:p w14:paraId="30C1E0CA" w14:textId="77777777" w:rsidR="00412F22" w:rsidRPr="00693F55" w:rsidRDefault="00412F22" w:rsidP="00EE0E23">
            <w:pPr>
              <w:pStyle w:val="TableParagraph"/>
              <w:spacing w:before="4"/>
              <w:ind w:left="31" w:right="3"/>
              <w:rPr>
                <w:rFonts w:asciiTheme="minorHAnsi" w:hAnsiTheme="minorHAnsi" w:cstheme="minorHAnsi"/>
              </w:rPr>
            </w:pPr>
            <w:r w:rsidRPr="00693F55">
              <w:rPr>
                <w:rFonts w:asciiTheme="minorHAnsi" w:hAnsiTheme="minorHAnsi" w:cstheme="minorHAnsi"/>
                <w:spacing w:val="-5"/>
              </w:rPr>
              <w:t>4,2</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18D96A78" w14:textId="77777777" w:rsidR="00412F22" w:rsidRPr="00693F55" w:rsidRDefault="00412F22" w:rsidP="00EE0E23">
            <w:pPr>
              <w:pStyle w:val="TableParagraph"/>
              <w:spacing w:before="4"/>
              <w:ind w:left="34" w:right="2"/>
              <w:rPr>
                <w:rFonts w:asciiTheme="minorHAnsi" w:hAnsiTheme="minorHAnsi" w:cstheme="minorHAnsi"/>
              </w:rPr>
            </w:pPr>
            <w:r w:rsidRPr="00693F55">
              <w:rPr>
                <w:rFonts w:asciiTheme="minorHAnsi" w:hAnsiTheme="minorHAnsi" w:cstheme="minorHAnsi"/>
                <w:spacing w:val="-5"/>
              </w:rPr>
              <w:t>3,8</w:t>
            </w:r>
          </w:p>
        </w:tc>
        <w:tc>
          <w:tcPr>
            <w:tcW w:w="708" w:type="dxa"/>
            <w:tcBorders>
              <w:top w:val="single" w:sz="8" w:space="0" w:color="000000"/>
              <w:left w:val="single" w:sz="8" w:space="0" w:color="000000"/>
              <w:bottom w:val="single" w:sz="8" w:space="0" w:color="000000"/>
              <w:right w:val="single" w:sz="8" w:space="0" w:color="000000"/>
            </w:tcBorders>
            <w:shd w:val="clear" w:color="auto" w:fill="C5DFB3"/>
          </w:tcPr>
          <w:p w14:paraId="67D64333" w14:textId="77777777" w:rsidR="00412F22" w:rsidRPr="00693F55" w:rsidRDefault="00412F22" w:rsidP="00EE0E23">
            <w:pPr>
              <w:pStyle w:val="TableParagraph"/>
              <w:spacing w:before="4"/>
              <w:ind w:left="33" w:right="2"/>
              <w:rPr>
                <w:rFonts w:asciiTheme="minorHAnsi" w:hAnsiTheme="minorHAnsi" w:cstheme="minorHAnsi"/>
              </w:rPr>
            </w:pPr>
            <w:r w:rsidRPr="00693F55">
              <w:rPr>
                <w:rFonts w:asciiTheme="minorHAnsi" w:hAnsiTheme="minorHAnsi" w:cstheme="minorHAnsi"/>
                <w:spacing w:val="-5"/>
              </w:rPr>
              <w:t>3,9</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21DCF1EB" w14:textId="77777777" w:rsidR="00412F22" w:rsidRPr="00693F55" w:rsidRDefault="00412F22" w:rsidP="00EE0E23">
            <w:pPr>
              <w:pStyle w:val="TableParagraph"/>
              <w:spacing w:before="4"/>
              <w:ind w:left="37" w:right="2"/>
              <w:rPr>
                <w:rFonts w:asciiTheme="minorHAnsi" w:hAnsiTheme="minorHAnsi" w:cstheme="minorHAnsi"/>
              </w:rPr>
            </w:pPr>
            <w:r w:rsidRPr="00693F55">
              <w:rPr>
                <w:rFonts w:asciiTheme="minorHAnsi" w:hAnsiTheme="minorHAnsi" w:cstheme="minorHAnsi"/>
                <w:spacing w:val="-5"/>
              </w:rPr>
              <w:t>5,3</w:t>
            </w:r>
          </w:p>
        </w:tc>
        <w:tc>
          <w:tcPr>
            <w:tcW w:w="851" w:type="dxa"/>
            <w:tcBorders>
              <w:top w:val="single" w:sz="8" w:space="0" w:color="000000"/>
              <w:left w:val="single" w:sz="8" w:space="0" w:color="000000"/>
              <w:bottom w:val="single" w:sz="8" w:space="0" w:color="000000"/>
              <w:right w:val="single" w:sz="8" w:space="0" w:color="000000"/>
            </w:tcBorders>
            <w:shd w:val="clear" w:color="auto" w:fill="C5DFB3"/>
          </w:tcPr>
          <w:p w14:paraId="3439778C" w14:textId="77777777" w:rsidR="00412F22" w:rsidRPr="00693F55" w:rsidRDefault="00412F22" w:rsidP="00EE0E23">
            <w:pPr>
              <w:pStyle w:val="TableParagraph"/>
              <w:spacing w:before="4"/>
              <w:ind w:left="50" w:right="10"/>
              <w:rPr>
                <w:rFonts w:asciiTheme="minorHAnsi" w:hAnsiTheme="minorHAnsi" w:cstheme="minorHAnsi"/>
              </w:rPr>
            </w:pPr>
            <w:r w:rsidRPr="00693F55">
              <w:rPr>
                <w:rFonts w:asciiTheme="minorHAnsi" w:hAnsiTheme="minorHAnsi" w:cstheme="minorHAnsi"/>
                <w:spacing w:val="-5"/>
              </w:rPr>
              <w:t>5,2</w:t>
            </w:r>
          </w:p>
        </w:tc>
      </w:tr>
      <w:tr w:rsidR="00412F22" w:rsidRPr="00D92B16" w14:paraId="534BA4B4" w14:textId="77777777" w:rsidTr="00EE0E23">
        <w:trPr>
          <w:gridAfter w:val="1"/>
          <w:wAfter w:w="9" w:type="dxa"/>
          <w:trHeight w:val="241"/>
        </w:trPr>
        <w:tc>
          <w:tcPr>
            <w:tcW w:w="5930" w:type="dxa"/>
            <w:tcBorders>
              <w:top w:val="single" w:sz="8" w:space="0" w:color="000000"/>
              <w:left w:val="single" w:sz="12" w:space="0" w:color="000000"/>
            </w:tcBorders>
          </w:tcPr>
          <w:p w14:paraId="333C33B1" w14:textId="77777777" w:rsidR="00412F22" w:rsidRPr="00D92B16" w:rsidRDefault="00412F22" w:rsidP="00EE0E23">
            <w:pPr>
              <w:pStyle w:val="TableParagraph"/>
              <w:spacing w:line="207" w:lineRule="exact"/>
              <w:ind w:left="342"/>
              <w:rPr>
                <w:rFonts w:asciiTheme="minorHAnsi" w:hAnsiTheme="minorHAnsi" w:cstheme="minorHAnsi"/>
                <w:lang w:val="fr-FR"/>
              </w:rPr>
            </w:pPr>
            <w:r w:rsidRPr="00D92B16">
              <w:rPr>
                <w:rFonts w:asciiTheme="minorHAnsi" w:hAnsiTheme="minorHAnsi" w:cstheme="minorHAnsi"/>
                <w:lang w:val="fr-FR"/>
              </w:rPr>
              <w:t>1.</w:t>
            </w:r>
            <w:r w:rsidRPr="00D92B16">
              <w:rPr>
                <w:rFonts w:asciiTheme="minorHAnsi" w:hAnsiTheme="minorHAnsi" w:cstheme="minorHAnsi"/>
                <w:spacing w:val="-3"/>
                <w:lang w:val="fr-FR"/>
              </w:rPr>
              <w:t xml:space="preserve"> </w:t>
            </w:r>
            <w:r w:rsidRPr="00D92B16">
              <w:rPr>
                <w:rFonts w:asciiTheme="minorHAnsi" w:hAnsiTheme="minorHAnsi" w:cstheme="minorHAnsi"/>
                <w:lang w:val="fr-FR"/>
              </w:rPr>
              <w:t>2</w:t>
            </w:r>
            <w:r w:rsidRPr="00D92B16">
              <w:rPr>
                <w:rFonts w:asciiTheme="minorHAnsi" w:hAnsiTheme="minorHAnsi" w:cstheme="minorHAnsi"/>
                <w:spacing w:val="1"/>
                <w:lang w:val="fr-FR"/>
              </w:rPr>
              <w:t xml:space="preserve"> </w:t>
            </w:r>
            <w:r w:rsidRPr="00D92B16">
              <w:rPr>
                <w:rFonts w:asciiTheme="minorHAnsi" w:hAnsiTheme="minorHAnsi" w:cstheme="minorHAnsi"/>
                <w:lang w:val="fr-FR"/>
              </w:rPr>
              <w:t>Elevage</w:t>
            </w:r>
            <w:r w:rsidRPr="00D92B16">
              <w:rPr>
                <w:rFonts w:asciiTheme="minorHAnsi" w:hAnsiTheme="minorHAnsi" w:cstheme="minorHAnsi"/>
                <w:spacing w:val="-2"/>
                <w:lang w:val="fr-FR"/>
              </w:rPr>
              <w:t xml:space="preserve"> </w:t>
            </w:r>
            <w:r w:rsidRPr="00D92B16">
              <w:rPr>
                <w:rFonts w:asciiTheme="minorHAnsi" w:hAnsiTheme="minorHAnsi" w:cstheme="minorHAnsi"/>
                <w:lang w:val="fr-FR"/>
              </w:rPr>
              <w:t xml:space="preserve">et </w:t>
            </w:r>
            <w:r w:rsidRPr="00D92B16">
              <w:rPr>
                <w:rFonts w:asciiTheme="minorHAnsi" w:hAnsiTheme="minorHAnsi" w:cstheme="minorHAnsi"/>
                <w:spacing w:val="-2"/>
                <w:lang w:val="fr-FR"/>
              </w:rPr>
              <w:t>chasse</w:t>
            </w:r>
          </w:p>
        </w:tc>
        <w:tc>
          <w:tcPr>
            <w:tcW w:w="669" w:type="dxa"/>
            <w:tcBorders>
              <w:top w:val="single" w:sz="8" w:space="0" w:color="000000"/>
              <w:bottom w:val="single" w:sz="8" w:space="0" w:color="000000"/>
              <w:right w:val="single" w:sz="8" w:space="0" w:color="000000"/>
            </w:tcBorders>
          </w:tcPr>
          <w:p w14:paraId="2797DA07" w14:textId="77777777" w:rsidR="00412F22" w:rsidRPr="00D92B16" w:rsidRDefault="00412F22" w:rsidP="00EE0E23">
            <w:pPr>
              <w:pStyle w:val="TableParagraph"/>
              <w:spacing w:line="207" w:lineRule="exact"/>
              <w:ind w:left="36" w:right="3"/>
              <w:rPr>
                <w:rFonts w:asciiTheme="minorHAnsi" w:hAnsiTheme="minorHAnsi" w:cstheme="minorHAnsi"/>
              </w:rPr>
            </w:pPr>
            <w:r w:rsidRPr="00D92B16">
              <w:rPr>
                <w:rFonts w:asciiTheme="minorHAnsi" w:hAnsiTheme="minorHAnsi" w:cstheme="minorHAnsi"/>
                <w:spacing w:val="-5"/>
              </w:rPr>
              <w:t>9,2</w:t>
            </w:r>
          </w:p>
        </w:tc>
        <w:tc>
          <w:tcPr>
            <w:tcW w:w="709" w:type="dxa"/>
            <w:tcBorders>
              <w:top w:val="single" w:sz="8" w:space="0" w:color="000000"/>
              <w:left w:val="single" w:sz="8" w:space="0" w:color="000000"/>
              <w:bottom w:val="single" w:sz="8" w:space="0" w:color="000000"/>
              <w:right w:val="single" w:sz="8" w:space="0" w:color="000000"/>
            </w:tcBorders>
          </w:tcPr>
          <w:p w14:paraId="07941863" w14:textId="77777777" w:rsidR="00412F22" w:rsidRPr="00D92B16" w:rsidRDefault="00412F22" w:rsidP="00EE0E23">
            <w:pPr>
              <w:pStyle w:val="TableParagraph"/>
              <w:spacing w:line="207" w:lineRule="exact"/>
              <w:ind w:left="34" w:right="2"/>
              <w:rPr>
                <w:rFonts w:asciiTheme="minorHAnsi" w:hAnsiTheme="minorHAnsi" w:cstheme="minorHAnsi"/>
              </w:rPr>
            </w:pPr>
            <w:r w:rsidRPr="00D92B16">
              <w:rPr>
                <w:rFonts w:asciiTheme="minorHAnsi" w:hAnsiTheme="minorHAnsi" w:cstheme="minorHAnsi"/>
                <w:spacing w:val="-5"/>
              </w:rPr>
              <w:t>9,0</w:t>
            </w:r>
          </w:p>
        </w:tc>
        <w:tc>
          <w:tcPr>
            <w:tcW w:w="708" w:type="dxa"/>
            <w:tcBorders>
              <w:top w:val="single" w:sz="8" w:space="0" w:color="000000"/>
              <w:left w:val="single" w:sz="8" w:space="0" w:color="000000"/>
              <w:bottom w:val="single" w:sz="8" w:space="0" w:color="000000"/>
              <w:right w:val="single" w:sz="8" w:space="0" w:color="000000"/>
            </w:tcBorders>
          </w:tcPr>
          <w:p w14:paraId="57783946" w14:textId="77777777" w:rsidR="00412F22" w:rsidRPr="00D92B16" w:rsidRDefault="00412F22" w:rsidP="00EE0E23">
            <w:pPr>
              <w:pStyle w:val="TableParagraph"/>
              <w:spacing w:line="207" w:lineRule="exact"/>
              <w:ind w:left="33"/>
              <w:rPr>
                <w:rFonts w:asciiTheme="minorHAnsi" w:hAnsiTheme="minorHAnsi" w:cstheme="minorHAnsi"/>
              </w:rPr>
            </w:pPr>
            <w:r w:rsidRPr="00D92B16">
              <w:rPr>
                <w:rFonts w:asciiTheme="minorHAnsi" w:hAnsiTheme="minorHAnsi" w:cstheme="minorHAnsi"/>
                <w:spacing w:val="-4"/>
              </w:rPr>
              <w:t>10,1</w:t>
            </w:r>
          </w:p>
        </w:tc>
        <w:tc>
          <w:tcPr>
            <w:tcW w:w="709" w:type="dxa"/>
            <w:tcBorders>
              <w:top w:val="single" w:sz="8" w:space="0" w:color="000000"/>
              <w:left w:val="single" w:sz="8" w:space="0" w:color="000000"/>
              <w:bottom w:val="single" w:sz="8" w:space="0" w:color="000000"/>
              <w:right w:val="single" w:sz="8" w:space="0" w:color="000000"/>
            </w:tcBorders>
          </w:tcPr>
          <w:p w14:paraId="3A3A0BD2" w14:textId="77777777" w:rsidR="00412F22" w:rsidRPr="00D92B16" w:rsidRDefault="00412F22" w:rsidP="00EE0E23">
            <w:pPr>
              <w:pStyle w:val="TableParagraph"/>
              <w:spacing w:line="207" w:lineRule="exact"/>
              <w:ind w:left="37"/>
              <w:rPr>
                <w:rFonts w:asciiTheme="minorHAnsi" w:hAnsiTheme="minorHAnsi" w:cstheme="minorHAnsi"/>
              </w:rPr>
            </w:pPr>
            <w:r w:rsidRPr="00D92B16">
              <w:rPr>
                <w:rFonts w:asciiTheme="minorHAnsi" w:hAnsiTheme="minorHAnsi" w:cstheme="minorHAnsi"/>
                <w:spacing w:val="-4"/>
              </w:rPr>
              <w:t>11,6</w:t>
            </w:r>
          </w:p>
        </w:tc>
        <w:tc>
          <w:tcPr>
            <w:tcW w:w="851" w:type="dxa"/>
            <w:tcBorders>
              <w:top w:val="single" w:sz="8" w:space="0" w:color="000000"/>
              <w:left w:val="single" w:sz="8" w:space="0" w:color="000000"/>
              <w:bottom w:val="single" w:sz="8" w:space="0" w:color="000000"/>
              <w:right w:val="single" w:sz="8" w:space="0" w:color="000000"/>
            </w:tcBorders>
          </w:tcPr>
          <w:p w14:paraId="5FE44583" w14:textId="77777777" w:rsidR="00412F22" w:rsidRPr="00D92B16" w:rsidRDefault="00412F22" w:rsidP="00EE0E23">
            <w:pPr>
              <w:pStyle w:val="TableParagraph"/>
              <w:spacing w:line="207" w:lineRule="exact"/>
              <w:ind w:left="50" w:right="12"/>
              <w:rPr>
                <w:rFonts w:asciiTheme="minorHAnsi" w:hAnsiTheme="minorHAnsi" w:cstheme="minorHAnsi"/>
              </w:rPr>
            </w:pPr>
            <w:r w:rsidRPr="00D92B16">
              <w:rPr>
                <w:rFonts w:asciiTheme="minorHAnsi" w:hAnsiTheme="minorHAnsi" w:cstheme="minorHAnsi"/>
                <w:spacing w:val="-4"/>
              </w:rPr>
              <w:t>10,7</w:t>
            </w:r>
          </w:p>
        </w:tc>
      </w:tr>
      <w:tr w:rsidR="00412F22" w:rsidRPr="003E3BDB" w14:paraId="4E132039" w14:textId="77777777" w:rsidTr="00EE0E23">
        <w:trPr>
          <w:gridAfter w:val="1"/>
          <w:wAfter w:w="9" w:type="dxa"/>
          <w:trHeight w:val="156"/>
        </w:trPr>
        <w:tc>
          <w:tcPr>
            <w:tcW w:w="5930" w:type="dxa"/>
            <w:tcBorders>
              <w:left w:val="single" w:sz="8" w:space="0" w:color="000000"/>
              <w:bottom w:val="single" w:sz="8" w:space="0" w:color="000000"/>
              <w:right w:val="single" w:sz="8" w:space="0" w:color="000000"/>
            </w:tcBorders>
            <w:shd w:val="clear" w:color="auto" w:fill="C5DFB3"/>
          </w:tcPr>
          <w:p w14:paraId="17FA7FBC" w14:textId="77777777" w:rsidR="00412F22" w:rsidRPr="003E3BDB" w:rsidRDefault="00412F22" w:rsidP="00EE0E23">
            <w:pPr>
              <w:pStyle w:val="TableParagraph"/>
              <w:spacing w:before="6"/>
              <w:ind w:left="347"/>
              <w:rPr>
                <w:rFonts w:asciiTheme="minorHAnsi" w:hAnsiTheme="minorHAnsi" w:cstheme="minorHAnsi"/>
                <w:lang w:val="fr-FR"/>
              </w:rPr>
            </w:pPr>
            <w:r w:rsidRPr="003E3BDB">
              <w:rPr>
                <w:rFonts w:asciiTheme="minorHAnsi" w:hAnsiTheme="minorHAnsi" w:cstheme="minorHAnsi"/>
                <w:lang w:val="fr-FR"/>
              </w:rPr>
              <w:t>1.</w:t>
            </w:r>
            <w:r w:rsidRPr="003E3BDB">
              <w:rPr>
                <w:rFonts w:asciiTheme="minorHAnsi" w:hAnsiTheme="minorHAnsi" w:cstheme="minorHAnsi"/>
                <w:spacing w:val="-4"/>
                <w:lang w:val="fr-FR"/>
              </w:rPr>
              <w:t xml:space="preserve"> </w:t>
            </w:r>
            <w:r w:rsidRPr="003E3BDB">
              <w:rPr>
                <w:rFonts w:asciiTheme="minorHAnsi" w:hAnsiTheme="minorHAnsi" w:cstheme="minorHAnsi"/>
                <w:lang w:val="fr-FR"/>
              </w:rPr>
              <w:t xml:space="preserve">3 </w:t>
            </w:r>
            <w:r w:rsidRPr="003E3BDB">
              <w:rPr>
                <w:rFonts w:asciiTheme="minorHAnsi" w:hAnsiTheme="minorHAnsi" w:cstheme="minorHAnsi"/>
                <w:spacing w:val="-2"/>
                <w:lang w:val="fr-FR"/>
              </w:rPr>
              <w:t>Pêche</w:t>
            </w:r>
          </w:p>
        </w:tc>
        <w:tc>
          <w:tcPr>
            <w:tcW w:w="669" w:type="dxa"/>
            <w:tcBorders>
              <w:top w:val="single" w:sz="8" w:space="0" w:color="000000"/>
              <w:left w:val="single" w:sz="8" w:space="0" w:color="000000"/>
              <w:bottom w:val="single" w:sz="8" w:space="0" w:color="000000"/>
              <w:right w:val="single" w:sz="8" w:space="0" w:color="000000"/>
            </w:tcBorders>
            <w:shd w:val="clear" w:color="auto" w:fill="C5DFB3"/>
          </w:tcPr>
          <w:p w14:paraId="000309D2" w14:textId="77777777" w:rsidR="00412F22" w:rsidRPr="00693F55" w:rsidRDefault="00412F22" w:rsidP="00EE0E23">
            <w:pPr>
              <w:pStyle w:val="TableParagraph"/>
              <w:spacing w:before="6"/>
              <w:ind w:left="31" w:right="3"/>
              <w:rPr>
                <w:rFonts w:asciiTheme="minorHAnsi" w:hAnsiTheme="minorHAnsi" w:cstheme="minorHAnsi"/>
              </w:rPr>
            </w:pPr>
            <w:r w:rsidRPr="00693F55">
              <w:rPr>
                <w:rFonts w:asciiTheme="minorHAnsi" w:hAnsiTheme="minorHAnsi" w:cstheme="minorHAnsi"/>
                <w:spacing w:val="-5"/>
              </w:rPr>
              <w:t>6,5</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0F9C6B73" w14:textId="77777777" w:rsidR="00412F22" w:rsidRPr="00693F55" w:rsidRDefault="00412F22" w:rsidP="00EE0E23">
            <w:pPr>
              <w:pStyle w:val="TableParagraph"/>
              <w:spacing w:before="6"/>
              <w:ind w:left="34" w:right="2"/>
              <w:rPr>
                <w:rFonts w:asciiTheme="minorHAnsi" w:hAnsiTheme="minorHAnsi" w:cstheme="minorHAnsi"/>
              </w:rPr>
            </w:pPr>
            <w:r w:rsidRPr="00693F55">
              <w:rPr>
                <w:rFonts w:asciiTheme="minorHAnsi" w:hAnsiTheme="minorHAnsi" w:cstheme="minorHAnsi"/>
                <w:spacing w:val="-5"/>
              </w:rPr>
              <w:t>6,3</w:t>
            </w:r>
          </w:p>
        </w:tc>
        <w:tc>
          <w:tcPr>
            <w:tcW w:w="708" w:type="dxa"/>
            <w:tcBorders>
              <w:top w:val="single" w:sz="8" w:space="0" w:color="000000"/>
              <w:left w:val="single" w:sz="8" w:space="0" w:color="000000"/>
              <w:bottom w:val="single" w:sz="8" w:space="0" w:color="000000"/>
              <w:right w:val="single" w:sz="8" w:space="0" w:color="000000"/>
            </w:tcBorders>
            <w:shd w:val="clear" w:color="auto" w:fill="C5DFB3"/>
          </w:tcPr>
          <w:p w14:paraId="7ED2CA0E" w14:textId="77777777" w:rsidR="00412F22" w:rsidRPr="00693F55" w:rsidRDefault="00412F22" w:rsidP="00EE0E23">
            <w:pPr>
              <w:pStyle w:val="TableParagraph"/>
              <w:spacing w:before="6"/>
              <w:ind w:left="33" w:right="2"/>
              <w:rPr>
                <w:rFonts w:asciiTheme="minorHAnsi" w:hAnsiTheme="minorHAnsi" w:cstheme="minorHAnsi"/>
              </w:rPr>
            </w:pPr>
            <w:r w:rsidRPr="00693F55">
              <w:rPr>
                <w:rFonts w:asciiTheme="minorHAnsi" w:hAnsiTheme="minorHAnsi" w:cstheme="minorHAnsi"/>
                <w:spacing w:val="-5"/>
              </w:rPr>
              <w:t>5,1</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779E7A59" w14:textId="77777777" w:rsidR="00412F22" w:rsidRPr="00693F55" w:rsidRDefault="00412F22" w:rsidP="00EE0E23">
            <w:pPr>
              <w:pStyle w:val="TableParagraph"/>
              <w:spacing w:before="6"/>
              <w:ind w:left="37" w:right="2"/>
              <w:rPr>
                <w:rFonts w:asciiTheme="minorHAnsi" w:hAnsiTheme="minorHAnsi" w:cstheme="minorHAnsi"/>
              </w:rPr>
            </w:pPr>
            <w:r w:rsidRPr="00693F55">
              <w:rPr>
                <w:rFonts w:asciiTheme="minorHAnsi" w:hAnsiTheme="minorHAnsi" w:cstheme="minorHAnsi"/>
                <w:spacing w:val="-5"/>
              </w:rPr>
              <w:t>4,3</w:t>
            </w:r>
          </w:p>
        </w:tc>
        <w:tc>
          <w:tcPr>
            <w:tcW w:w="851" w:type="dxa"/>
            <w:tcBorders>
              <w:top w:val="single" w:sz="8" w:space="0" w:color="000000"/>
              <w:left w:val="single" w:sz="8" w:space="0" w:color="000000"/>
              <w:bottom w:val="single" w:sz="8" w:space="0" w:color="000000"/>
              <w:right w:val="single" w:sz="8" w:space="0" w:color="000000"/>
            </w:tcBorders>
            <w:shd w:val="clear" w:color="auto" w:fill="C5DFB3"/>
          </w:tcPr>
          <w:p w14:paraId="15C8A949" w14:textId="77777777" w:rsidR="00412F22" w:rsidRPr="00693F55" w:rsidRDefault="00412F22" w:rsidP="00EE0E23">
            <w:pPr>
              <w:pStyle w:val="TableParagraph"/>
              <w:spacing w:before="6"/>
              <w:ind w:left="50" w:right="10"/>
              <w:rPr>
                <w:rFonts w:asciiTheme="minorHAnsi" w:hAnsiTheme="minorHAnsi" w:cstheme="minorHAnsi"/>
              </w:rPr>
            </w:pPr>
            <w:r w:rsidRPr="00693F55">
              <w:rPr>
                <w:rFonts w:asciiTheme="minorHAnsi" w:hAnsiTheme="minorHAnsi" w:cstheme="minorHAnsi"/>
                <w:spacing w:val="-5"/>
              </w:rPr>
              <w:t>2,8</w:t>
            </w:r>
          </w:p>
        </w:tc>
      </w:tr>
      <w:tr w:rsidR="00412F22" w:rsidRPr="00D92B16" w14:paraId="635AA1E4" w14:textId="77777777" w:rsidTr="00EE0E23">
        <w:trPr>
          <w:gridAfter w:val="1"/>
          <w:wAfter w:w="9" w:type="dxa"/>
          <w:trHeight w:val="248"/>
        </w:trPr>
        <w:tc>
          <w:tcPr>
            <w:tcW w:w="5930" w:type="dxa"/>
            <w:tcBorders>
              <w:top w:val="single" w:sz="8" w:space="0" w:color="000000"/>
              <w:left w:val="single" w:sz="8" w:space="0" w:color="000000"/>
              <w:bottom w:val="single" w:sz="8" w:space="0" w:color="000000"/>
              <w:right w:val="single" w:sz="8" w:space="0" w:color="000000"/>
            </w:tcBorders>
            <w:shd w:val="clear" w:color="auto" w:fill="C5DFB3"/>
          </w:tcPr>
          <w:p w14:paraId="4EC80838" w14:textId="77777777" w:rsidR="00412F22" w:rsidRPr="00D92B16" w:rsidRDefault="00412F22" w:rsidP="00EE0E23">
            <w:pPr>
              <w:pStyle w:val="TableParagraph"/>
              <w:spacing w:line="207" w:lineRule="exact"/>
              <w:ind w:left="76"/>
              <w:rPr>
                <w:rFonts w:asciiTheme="minorHAnsi" w:hAnsiTheme="minorHAnsi" w:cstheme="minorHAnsi"/>
                <w:b/>
                <w:lang w:val="fr-FR"/>
              </w:rPr>
            </w:pPr>
            <w:r w:rsidRPr="00D92B16">
              <w:rPr>
                <w:rFonts w:asciiTheme="minorHAnsi" w:hAnsiTheme="minorHAnsi" w:cstheme="minorHAnsi"/>
                <w:b/>
                <w:lang w:val="fr-FR"/>
              </w:rPr>
              <w:t>Secteur</w:t>
            </w:r>
            <w:r w:rsidRPr="00D92B16">
              <w:rPr>
                <w:rFonts w:asciiTheme="minorHAnsi" w:hAnsiTheme="minorHAnsi" w:cstheme="minorHAnsi"/>
                <w:b/>
                <w:spacing w:val="-6"/>
                <w:lang w:val="fr-FR"/>
              </w:rPr>
              <w:t xml:space="preserve"> </w:t>
            </w:r>
            <w:r w:rsidRPr="00D92B16">
              <w:rPr>
                <w:rFonts w:asciiTheme="minorHAnsi" w:hAnsiTheme="minorHAnsi" w:cstheme="minorHAnsi"/>
                <w:b/>
                <w:spacing w:val="-2"/>
                <w:lang w:val="fr-FR"/>
              </w:rPr>
              <w:t>secondaire</w:t>
            </w:r>
          </w:p>
        </w:tc>
        <w:tc>
          <w:tcPr>
            <w:tcW w:w="669" w:type="dxa"/>
            <w:tcBorders>
              <w:top w:val="single" w:sz="8" w:space="0" w:color="000000"/>
              <w:left w:val="single" w:sz="8" w:space="0" w:color="000000"/>
              <w:bottom w:val="single" w:sz="8" w:space="0" w:color="000000"/>
              <w:right w:val="single" w:sz="8" w:space="0" w:color="000000"/>
            </w:tcBorders>
            <w:shd w:val="clear" w:color="auto" w:fill="C5DFB3"/>
          </w:tcPr>
          <w:p w14:paraId="6AF01A31" w14:textId="77777777" w:rsidR="00412F22" w:rsidRPr="00D92B16" w:rsidRDefault="00412F22" w:rsidP="00EE0E23">
            <w:pPr>
              <w:pStyle w:val="TableParagraph"/>
              <w:spacing w:line="207" w:lineRule="exact"/>
              <w:ind w:left="31"/>
              <w:rPr>
                <w:rFonts w:asciiTheme="minorHAnsi" w:hAnsiTheme="minorHAnsi" w:cstheme="minorHAnsi"/>
                <w:b/>
              </w:rPr>
            </w:pPr>
            <w:r w:rsidRPr="00D92B16">
              <w:rPr>
                <w:rFonts w:asciiTheme="minorHAnsi" w:hAnsiTheme="minorHAnsi" w:cstheme="minorHAnsi"/>
                <w:b/>
                <w:spacing w:val="-4"/>
              </w:rPr>
              <w:t>28,6</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1829BF71" w14:textId="77777777" w:rsidR="00412F22" w:rsidRPr="00D92B16" w:rsidRDefault="00412F22" w:rsidP="00EE0E23">
            <w:pPr>
              <w:pStyle w:val="TableParagraph"/>
              <w:spacing w:line="207" w:lineRule="exact"/>
              <w:ind w:left="34"/>
              <w:rPr>
                <w:rFonts w:asciiTheme="minorHAnsi" w:hAnsiTheme="minorHAnsi" w:cstheme="minorHAnsi"/>
                <w:b/>
              </w:rPr>
            </w:pPr>
            <w:r w:rsidRPr="00D92B16">
              <w:rPr>
                <w:rFonts w:asciiTheme="minorHAnsi" w:hAnsiTheme="minorHAnsi" w:cstheme="minorHAnsi"/>
                <w:b/>
                <w:spacing w:val="-4"/>
              </w:rPr>
              <w:t>33,6</w:t>
            </w:r>
          </w:p>
        </w:tc>
        <w:tc>
          <w:tcPr>
            <w:tcW w:w="708" w:type="dxa"/>
            <w:tcBorders>
              <w:top w:val="single" w:sz="8" w:space="0" w:color="000000"/>
              <w:left w:val="single" w:sz="8" w:space="0" w:color="000000"/>
              <w:bottom w:val="single" w:sz="8" w:space="0" w:color="000000"/>
              <w:right w:val="single" w:sz="8" w:space="0" w:color="000000"/>
            </w:tcBorders>
            <w:shd w:val="clear" w:color="auto" w:fill="C5DFB3"/>
          </w:tcPr>
          <w:p w14:paraId="14A20C6C" w14:textId="77777777" w:rsidR="00412F22" w:rsidRPr="00D92B16" w:rsidRDefault="00412F22" w:rsidP="00EE0E23">
            <w:pPr>
              <w:pStyle w:val="TableParagraph"/>
              <w:spacing w:line="207" w:lineRule="exact"/>
              <w:ind w:left="33"/>
              <w:rPr>
                <w:rFonts w:asciiTheme="minorHAnsi" w:hAnsiTheme="minorHAnsi" w:cstheme="minorHAnsi"/>
                <w:b/>
              </w:rPr>
            </w:pPr>
            <w:r w:rsidRPr="00D92B16">
              <w:rPr>
                <w:rFonts w:asciiTheme="minorHAnsi" w:hAnsiTheme="minorHAnsi" w:cstheme="minorHAnsi"/>
                <w:b/>
                <w:spacing w:val="-4"/>
              </w:rPr>
              <w:t>32,1</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27C351D2" w14:textId="77777777" w:rsidR="00412F22" w:rsidRPr="00D92B16" w:rsidRDefault="00412F22" w:rsidP="00EE0E23">
            <w:pPr>
              <w:pStyle w:val="TableParagraph"/>
              <w:spacing w:line="207" w:lineRule="exact"/>
              <w:ind w:left="37"/>
              <w:rPr>
                <w:rFonts w:asciiTheme="minorHAnsi" w:hAnsiTheme="minorHAnsi" w:cstheme="minorHAnsi"/>
                <w:b/>
              </w:rPr>
            </w:pPr>
            <w:r w:rsidRPr="00D92B16">
              <w:rPr>
                <w:rFonts w:asciiTheme="minorHAnsi" w:hAnsiTheme="minorHAnsi" w:cstheme="minorHAnsi"/>
                <w:b/>
                <w:spacing w:val="-4"/>
              </w:rPr>
              <w:t>29,1</w:t>
            </w:r>
          </w:p>
        </w:tc>
        <w:tc>
          <w:tcPr>
            <w:tcW w:w="851" w:type="dxa"/>
            <w:tcBorders>
              <w:top w:val="single" w:sz="8" w:space="0" w:color="000000"/>
              <w:left w:val="single" w:sz="8" w:space="0" w:color="000000"/>
              <w:bottom w:val="single" w:sz="8" w:space="0" w:color="000000"/>
              <w:right w:val="single" w:sz="8" w:space="0" w:color="000000"/>
            </w:tcBorders>
            <w:shd w:val="clear" w:color="auto" w:fill="C5DFB3"/>
          </w:tcPr>
          <w:p w14:paraId="0B269CD1" w14:textId="77777777" w:rsidR="00412F22" w:rsidRPr="00D92B16" w:rsidRDefault="00412F22" w:rsidP="00EE0E23">
            <w:pPr>
              <w:pStyle w:val="TableParagraph"/>
              <w:spacing w:line="207" w:lineRule="exact"/>
              <w:ind w:left="50" w:right="12"/>
              <w:rPr>
                <w:rFonts w:asciiTheme="minorHAnsi" w:hAnsiTheme="minorHAnsi" w:cstheme="minorHAnsi"/>
                <w:b/>
              </w:rPr>
            </w:pPr>
            <w:r w:rsidRPr="00D92B16">
              <w:rPr>
                <w:rFonts w:asciiTheme="minorHAnsi" w:hAnsiTheme="minorHAnsi" w:cstheme="minorHAnsi"/>
                <w:b/>
                <w:spacing w:val="-4"/>
              </w:rPr>
              <w:t>30,6</w:t>
            </w:r>
          </w:p>
        </w:tc>
      </w:tr>
      <w:tr w:rsidR="00412F22" w:rsidRPr="00D92B16" w14:paraId="19BA26A1" w14:textId="77777777" w:rsidTr="00EE0E23">
        <w:trPr>
          <w:gridAfter w:val="1"/>
          <w:wAfter w:w="9" w:type="dxa"/>
          <w:trHeight w:val="241"/>
        </w:trPr>
        <w:tc>
          <w:tcPr>
            <w:tcW w:w="5930" w:type="dxa"/>
            <w:tcBorders>
              <w:top w:val="single" w:sz="8" w:space="0" w:color="000000"/>
              <w:left w:val="single" w:sz="12" w:space="0" w:color="000000"/>
            </w:tcBorders>
          </w:tcPr>
          <w:p w14:paraId="270188DD" w14:textId="77777777" w:rsidR="00412F22" w:rsidRPr="00D92B16" w:rsidRDefault="00412F22" w:rsidP="00EE0E23">
            <w:pPr>
              <w:pStyle w:val="TableParagraph"/>
              <w:spacing w:line="207" w:lineRule="exact"/>
              <w:ind w:left="71"/>
              <w:rPr>
                <w:rFonts w:asciiTheme="minorHAnsi" w:hAnsiTheme="minorHAnsi" w:cstheme="minorHAnsi"/>
                <w:lang w:val="fr-FR"/>
              </w:rPr>
            </w:pPr>
            <w:r w:rsidRPr="00D92B16">
              <w:rPr>
                <w:rFonts w:asciiTheme="minorHAnsi" w:hAnsiTheme="minorHAnsi" w:cstheme="minorHAnsi"/>
                <w:lang w:val="fr-FR"/>
              </w:rPr>
              <w:t>2.</w:t>
            </w:r>
            <w:r w:rsidRPr="00D92B16">
              <w:rPr>
                <w:rFonts w:asciiTheme="minorHAnsi" w:hAnsiTheme="minorHAnsi" w:cstheme="minorHAnsi"/>
                <w:spacing w:val="-2"/>
                <w:lang w:val="fr-FR"/>
              </w:rPr>
              <w:t xml:space="preserve"> </w:t>
            </w:r>
            <w:r w:rsidRPr="00D92B16">
              <w:rPr>
                <w:rFonts w:asciiTheme="minorHAnsi" w:hAnsiTheme="minorHAnsi" w:cstheme="minorHAnsi"/>
                <w:lang w:val="fr-FR"/>
              </w:rPr>
              <w:t>Activités</w:t>
            </w:r>
            <w:r w:rsidRPr="00D92B16">
              <w:rPr>
                <w:rFonts w:asciiTheme="minorHAnsi" w:hAnsiTheme="minorHAnsi" w:cstheme="minorHAnsi"/>
                <w:spacing w:val="-2"/>
                <w:lang w:val="fr-FR"/>
              </w:rPr>
              <w:t xml:space="preserve"> extractives</w:t>
            </w:r>
          </w:p>
        </w:tc>
        <w:tc>
          <w:tcPr>
            <w:tcW w:w="669" w:type="dxa"/>
            <w:tcBorders>
              <w:top w:val="single" w:sz="8" w:space="0" w:color="000000"/>
              <w:bottom w:val="single" w:sz="8" w:space="0" w:color="000000"/>
              <w:right w:val="single" w:sz="8" w:space="0" w:color="000000"/>
            </w:tcBorders>
          </w:tcPr>
          <w:p w14:paraId="00EC4262" w14:textId="77777777" w:rsidR="00412F22" w:rsidRPr="00D92B16" w:rsidRDefault="00412F22" w:rsidP="00EE0E23">
            <w:pPr>
              <w:pStyle w:val="TableParagraph"/>
              <w:spacing w:line="207" w:lineRule="exact"/>
              <w:ind w:left="36"/>
              <w:rPr>
                <w:rFonts w:asciiTheme="minorHAnsi" w:hAnsiTheme="minorHAnsi" w:cstheme="minorHAnsi"/>
              </w:rPr>
            </w:pPr>
            <w:r w:rsidRPr="00D92B16">
              <w:rPr>
                <w:rFonts w:asciiTheme="minorHAnsi" w:hAnsiTheme="minorHAnsi" w:cstheme="minorHAnsi"/>
                <w:spacing w:val="-4"/>
              </w:rPr>
              <w:t>14,8</w:t>
            </w:r>
          </w:p>
        </w:tc>
        <w:tc>
          <w:tcPr>
            <w:tcW w:w="709" w:type="dxa"/>
            <w:tcBorders>
              <w:top w:val="single" w:sz="8" w:space="0" w:color="000000"/>
              <w:left w:val="single" w:sz="8" w:space="0" w:color="000000"/>
              <w:bottom w:val="single" w:sz="8" w:space="0" w:color="000000"/>
              <w:right w:val="single" w:sz="8" w:space="0" w:color="000000"/>
            </w:tcBorders>
          </w:tcPr>
          <w:p w14:paraId="02BB50A5" w14:textId="77777777" w:rsidR="00412F22" w:rsidRPr="00D92B16" w:rsidRDefault="00412F22" w:rsidP="00EE0E23">
            <w:pPr>
              <w:pStyle w:val="TableParagraph"/>
              <w:spacing w:line="207" w:lineRule="exact"/>
              <w:ind w:left="34"/>
              <w:rPr>
                <w:rFonts w:asciiTheme="minorHAnsi" w:hAnsiTheme="minorHAnsi" w:cstheme="minorHAnsi"/>
              </w:rPr>
            </w:pPr>
            <w:r w:rsidRPr="00D92B16">
              <w:rPr>
                <w:rFonts w:asciiTheme="minorHAnsi" w:hAnsiTheme="minorHAnsi" w:cstheme="minorHAnsi"/>
                <w:spacing w:val="-4"/>
              </w:rPr>
              <w:t>20,9</w:t>
            </w:r>
          </w:p>
        </w:tc>
        <w:tc>
          <w:tcPr>
            <w:tcW w:w="708" w:type="dxa"/>
            <w:tcBorders>
              <w:top w:val="single" w:sz="8" w:space="0" w:color="000000"/>
              <w:left w:val="single" w:sz="8" w:space="0" w:color="000000"/>
              <w:bottom w:val="single" w:sz="8" w:space="0" w:color="000000"/>
              <w:right w:val="single" w:sz="8" w:space="0" w:color="000000"/>
            </w:tcBorders>
          </w:tcPr>
          <w:p w14:paraId="67116F68" w14:textId="77777777" w:rsidR="00412F22" w:rsidRPr="00D92B16" w:rsidRDefault="00412F22" w:rsidP="00EE0E23">
            <w:pPr>
              <w:pStyle w:val="TableParagraph"/>
              <w:spacing w:line="207" w:lineRule="exact"/>
              <w:ind w:left="33"/>
              <w:rPr>
                <w:rFonts w:asciiTheme="minorHAnsi" w:hAnsiTheme="minorHAnsi" w:cstheme="minorHAnsi"/>
              </w:rPr>
            </w:pPr>
            <w:r w:rsidRPr="00D92B16">
              <w:rPr>
                <w:rFonts w:asciiTheme="minorHAnsi" w:hAnsiTheme="minorHAnsi" w:cstheme="minorHAnsi"/>
                <w:spacing w:val="-4"/>
              </w:rPr>
              <w:t>20,6</w:t>
            </w:r>
          </w:p>
        </w:tc>
        <w:tc>
          <w:tcPr>
            <w:tcW w:w="709" w:type="dxa"/>
            <w:tcBorders>
              <w:top w:val="single" w:sz="8" w:space="0" w:color="000000"/>
              <w:left w:val="single" w:sz="8" w:space="0" w:color="000000"/>
              <w:bottom w:val="single" w:sz="8" w:space="0" w:color="000000"/>
              <w:right w:val="single" w:sz="8" w:space="0" w:color="000000"/>
            </w:tcBorders>
          </w:tcPr>
          <w:p w14:paraId="22EBC73A" w14:textId="77777777" w:rsidR="00412F22" w:rsidRPr="00D92B16" w:rsidRDefault="00412F22" w:rsidP="00EE0E23">
            <w:pPr>
              <w:pStyle w:val="TableParagraph"/>
              <w:spacing w:line="207" w:lineRule="exact"/>
              <w:ind w:left="37"/>
              <w:rPr>
                <w:rFonts w:asciiTheme="minorHAnsi" w:hAnsiTheme="minorHAnsi" w:cstheme="minorHAnsi"/>
              </w:rPr>
            </w:pPr>
            <w:r w:rsidRPr="00D92B16">
              <w:rPr>
                <w:rFonts w:asciiTheme="minorHAnsi" w:hAnsiTheme="minorHAnsi" w:cstheme="minorHAnsi"/>
                <w:spacing w:val="-4"/>
              </w:rPr>
              <w:t>17,8</w:t>
            </w:r>
          </w:p>
        </w:tc>
        <w:tc>
          <w:tcPr>
            <w:tcW w:w="851" w:type="dxa"/>
            <w:tcBorders>
              <w:top w:val="single" w:sz="8" w:space="0" w:color="000000"/>
              <w:left w:val="single" w:sz="8" w:space="0" w:color="000000"/>
              <w:bottom w:val="single" w:sz="8" w:space="0" w:color="000000"/>
              <w:right w:val="single" w:sz="8" w:space="0" w:color="000000"/>
            </w:tcBorders>
          </w:tcPr>
          <w:p w14:paraId="4A46D084" w14:textId="77777777" w:rsidR="00412F22" w:rsidRPr="00D92B16" w:rsidRDefault="00412F22" w:rsidP="00EE0E23">
            <w:pPr>
              <w:pStyle w:val="TableParagraph"/>
              <w:spacing w:line="207" w:lineRule="exact"/>
              <w:ind w:left="50" w:right="12"/>
              <w:rPr>
                <w:rFonts w:asciiTheme="minorHAnsi" w:hAnsiTheme="minorHAnsi" w:cstheme="minorHAnsi"/>
              </w:rPr>
            </w:pPr>
            <w:r w:rsidRPr="00D92B16">
              <w:rPr>
                <w:rFonts w:asciiTheme="minorHAnsi" w:hAnsiTheme="minorHAnsi" w:cstheme="minorHAnsi"/>
                <w:spacing w:val="-4"/>
              </w:rPr>
              <w:t>18,9</w:t>
            </w:r>
          </w:p>
        </w:tc>
      </w:tr>
      <w:tr w:rsidR="00412F22" w:rsidRPr="003E3BDB" w14:paraId="1586FC9D" w14:textId="77777777" w:rsidTr="00EE0E23">
        <w:trPr>
          <w:gridAfter w:val="1"/>
          <w:wAfter w:w="9" w:type="dxa"/>
          <w:trHeight w:val="253"/>
        </w:trPr>
        <w:tc>
          <w:tcPr>
            <w:tcW w:w="5930" w:type="dxa"/>
            <w:tcBorders>
              <w:left w:val="single" w:sz="8" w:space="0" w:color="000000"/>
              <w:bottom w:val="single" w:sz="8" w:space="0" w:color="000000"/>
              <w:right w:val="single" w:sz="8" w:space="0" w:color="000000"/>
            </w:tcBorders>
            <w:shd w:val="clear" w:color="auto" w:fill="C5DFB3"/>
          </w:tcPr>
          <w:p w14:paraId="1568BDB1" w14:textId="77777777" w:rsidR="00412F22" w:rsidRPr="003E3BDB" w:rsidRDefault="00412F22" w:rsidP="00EE0E23">
            <w:pPr>
              <w:pStyle w:val="TableParagraph"/>
              <w:spacing w:before="6"/>
              <w:ind w:left="347"/>
              <w:rPr>
                <w:rFonts w:asciiTheme="minorHAnsi" w:hAnsiTheme="minorHAnsi" w:cstheme="minorHAnsi"/>
                <w:lang w:val="fr-FR"/>
              </w:rPr>
            </w:pPr>
            <w:r w:rsidRPr="003E3BDB">
              <w:rPr>
                <w:rFonts w:asciiTheme="minorHAnsi" w:hAnsiTheme="minorHAnsi" w:cstheme="minorHAnsi"/>
                <w:lang w:val="fr-FR"/>
              </w:rPr>
              <w:t>2.</w:t>
            </w:r>
            <w:r w:rsidRPr="003E3BDB">
              <w:rPr>
                <w:rFonts w:asciiTheme="minorHAnsi" w:hAnsiTheme="minorHAnsi" w:cstheme="minorHAnsi"/>
                <w:spacing w:val="-3"/>
                <w:lang w:val="fr-FR"/>
              </w:rPr>
              <w:t xml:space="preserve"> </w:t>
            </w:r>
            <w:r w:rsidRPr="003E3BDB">
              <w:rPr>
                <w:rFonts w:asciiTheme="minorHAnsi" w:hAnsiTheme="minorHAnsi" w:cstheme="minorHAnsi"/>
                <w:lang w:val="fr-FR"/>
              </w:rPr>
              <w:t>1 Extraction</w:t>
            </w:r>
            <w:r w:rsidRPr="003E3BDB">
              <w:rPr>
                <w:rFonts w:asciiTheme="minorHAnsi" w:hAnsiTheme="minorHAnsi" w:cstheme="minorHAnsi"/>
                <w:spacing w:val="-2"/>
                <w:lang w:val="fr-FR"/>
              </w:rPr>
              <w:t xml:space="preserve"> </w:t>
            </w:r>
            <w:r w:rsidRPr="003E3BDB">
              <w:rPr>
                <w:rFonts w:asciiTheme="minorHAnsi" w:hAnsiTheme="minorHAnsi" w:cstheme="minorHAnsi"/>
                <w:lang w:val="fr-FR"/>
              </w:rPr>
              <w:t>de</w:t>
            </w:r>
            <w:r w:rsidRPr="003E3BDB">
              <w:rPr>
                <w:rFonts w:asciiTheme="minorHAnsi" w:hAnsiTheme="minorHAnsi" w:cstheme="minorHAnsi"/>
                <w:spacing w:val="-2"/>
                <w:lang w:val="fr-FR"/>
              </w:rPr>
              <w:t xml:space="preserve"> </w:t>
            </w:r>
            <w:r w:rsidRPr="003E3BDB">
              <w:rPr>
                <w:rFonts w:asciiTheme="minorHAnsi" w:hAnsiTheme="minorHAnsi" w:cstheme="minorHAnsi"/>
                <w:lang w:val="fr-FR"/>
              </w:rPr>
              <w:t>produits</w:t>
            </w:r>
            <w:r w:rsidRPr="003E3BDB">
              <w:rPr>
                <w:rFonts w:asciiTheme="minorHAnsi" w:hAnsiTheme="minorHAnsi" w:cstheme="minorHAnsi"/>
                <w:spacing w:val="-1"/>
                <w:lang w:val="fr-FR"/>
              </w:rPr>
              <w:t xml:space="preserve"> </w:t>
            </w:r>
            <w:r w:rsidRPr="003E3BDB">
              <w:rPr>
                <w:rFonts w:asciiTheme="minorHAnsi" w:hAnsiTheme="minorHAnsi" w:cstheme="minorHAnsi"/>
                <w:lang w:val="fr-FR"/>
              </w:rPr>
              <w:t>pétroliers</w:t>
            </w:r>
            <w:r w:rsidRPr="003E3BDB">
              <w:rPr>
                <w:rFonts w:asciiTheme="minorHAnsi" w:hAnsiTheme="minorHAnsi" w:cstheme="minorHAnsi"/>
                <w:spacing w:val="-1"/>
                <w:lang w:val="fr-FR"/>
              </w:rPr>
              <w:t xml:space="preserve"> </w:t>
            </w:r>
            <w:r w:rsidRPr="003E3BDB">
              <w:rPr>
                <w:rFonts w:asciiTheme="minorHAnsi" w:hAnsiTheme="minorHAnsi" w:cstheme="minorHAnsi"/>
                <w:lang w:val="fr-FR"/>
              </w:rPr>
              <w:t>et</w:t>
            </w:r>
            <w:r w:rsidRPr="003E3BDB">
              <w:rPr>
                <w:rFonts w:asciiTheme="minorHAnsi" w:hAnsiTheme="minorHAnsi" w:cstheme="minorHAnsi"/>
                <w:spacing w:val="-1"/>
                <w:lang w:val="fr-FR"/>
              </w:rPr>
              <w:t xml:space="preserve"> </w:t>
            </w:r>
            <w:r w:rsidRPr="003E3BDB">
              <w:rPr>
                <w:rFonts w:asciiTheme="minorHAnsi" w:hAnsiTheme="minorHAnsi" w:cstheme="minorHAnsi"/>
                <w:spacing w:val="-2"/>
                <w:lang w:val="fr-FR"/>
              </w:rPr>
              <w:t>gaziers</w:t>
            </w:r>
          </w:p>
        </w:tc>
        <w:tc>
          <w:tcPr>
            <w:tcW w:w="669" w:type="dxa"/>
            <w:tcBorders>
              <w:top w:val="single" w:sz="8" w:space="0" w:color="000000"/>
              <w:left w:val="single" w:sz="8" w:space="0" w:color="000000"/>
              <w:bottom w:val="single" w:sz="8" w:space="0" w:color="000000"/>
              <w:right w:val="single" w:sz="8" w:space="0" w:color="000000"/>
            </w:tcBorders>
            <w:shd w:val="clear" w:color="auto" w:fill="C5DFB3"/>
          </w:tcPr>
          <w:p w14:paraId="6E41E28D" w14:textId="77777777" w:rsidR="00412F22" w:rsidRPr="00693F55" w:rsidRDefault="00412F22" w:rsidP="00EE0E23">
            <w:pPr>
              <w:pStyle w:val="TableParagraph"/>
              <w:spacing w:before="6"/>
              <w:ind w:left="31" w:right="2"/>
              <w:rPr>
                <w:rFonts w:asciiTheme="minorHAnsi" w:hAnsiTheme="minorHAnsi" w:cstheme="minorHAnsi"/>
              </w:rPr>
            </w:pPr>
            <w:r w:rsidRPr="00693F55">
              <w:rPr>
                <w:rFonts w:asciiTheme="minorHAnsi" w:hAnsiTheme="minorHAnsi" w:cstheme="minorHAnsi"/>
                <w:spacing w:val="-10"/>
              </w:rPr>
              <w:t>-</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709D1E5A" w14:textId="77777777" w:rsidR="00412F22" w:rsidRPr="00693F55" w:rsidRDefault="00412F22" w:rsidP="00EE0E23">
            <w:pPr>
              <w:pStyle w:val="TableParagraph"/>
              <w:spacing w:before="6"/>
              <w:ind w:left="34" w:right="1"/>
              <w:rPr>
                <w:rFonts w:asciiTheme="minorHAnsi" w:hAnsiTheme="minorHAnsi" w:cstheme="minorHAnsi"/>
              </w:rPr>
            </w:pPr>
            <w:r w:rsidRPr="00693F55">
              <w:rPr>
                <w:rFonts w:asciiTheme="minorHAnsi" w:hAnsiTheme="minorHAnsi" w:cstheme="minorHAnsi"/>
                <w:spacing w:val="-10"/>
              </w:rPr>
              <w:t>-</w:t>
            </w:r>
          </w:p>
        </w:tc>
        <w:tc>
          <w:tcPr>
            <w:tcW w:w="708" w:type="dxa"/>
            <w:tcBorders>
              <w:top w:val="single" w:sz="8" w:space="0" w:color="000000"/>
              <w:left w:val="single" w:sz="8" w:space="0" w:color="000000"/>
              <w:bottom w:val="single" w:sz="8" w:space="0" w:color="000000"/>
              <w:right w:val="single" w:sz="8" w:space="0" w:color="000000"/>
            </w:tcBorders>
            <w:shd w:val="clear" w:color="auto" w:fill="C5DFB3"/>
          </w:tcPr>
          <w:p w14:paraId="56A24886" w14:textId="77777777" w:rsidR="00412F22" w:rsidRPr="00693F55" w:rsidRDefault="00412F22" w:rsidP="00EE0E23">
            <w:pPr>
              <w:pStyle w:val="TableParagraph"/>
              <w:spacing w:before="6"/>
              <w:ind w:left="33" w:right="1"/>
              <w:rPr>
                <w:rFonts w:asciiTheme="minorHAnsi" w:hAnsiTheme="minorHAnsi" w:cstheme="minorHAnsi"/>
              </w:rPr>
            </w:pPr>
            <w:r w:rsidRPr="00693F55">
              <w:rPr>
                <w:rFonts w:asciiTheme="minorHAnsi" w:hAnsiTheme="minorHAnsi" w:cstheme="minorHAnsi"/>
                <w:spacing w:val="-10"/>
              </w:rPr>
              <w:t>-</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2AC510D3" w14:textId="77777777" w:rsidR="00412F22" w:rsidRPr="00693F55" w:rsidRDefault="00412F22" w:rsidP="00EE0E23">
            <w:pPr>
              <w:pStyle w:val="TableParagraph"/>
              <w:spacing w:before="6"/>
              <w:ind w:left="37" w:right="1"/>
              <w:rPr>
                <w:rFonts w:asciiTheme="minorHAnsi" w:hAnsiTheme="minorHAnsi" w:cstheme="minorHAnsi"/>
              </w:rPr>
            </w:pPr>
            <w:r w:rsidRPr="00693F55">
              <w:rPr>
                <w:rFonts w:asciiTheme="minorHAnsi" w:hAnsiTheme="minorHAnsi" w:cstheme="minorHAnsi"/>
                <w:spacing w:val="-10"/>
              </w:rPr>
              <w:t>-</w:t>
            </w:r>
          </w:p>
        </w:tc>
        <w:tc>
          <w:tcPr>
            <w:tcW w:w="851" w:type="dxa"/>
            <w:tcBorders>
              <w:top w:val="single" w:sz="8" w:space="0" w:color="000000"/>
              <w:left w:val="single" w:sz="8" w:space="0" w:color="000000"/>
              <w:bottom w:val="single" w:sz="8" w:space="0" w:color="000000"/>
              <w:right w:val="single" w:sz="8" w:space="0" w:color="000000"/>
            </w:tcBorders>
            <w:shd w:val="clear" w:color="auto" w:fill="C5DFB3"/>
          </w:tcPr>
          <w:p w14:paraId="652347D1" w14:textId="77777777" w:rsidR="00412F22" w:rsidRPr="00693F55" w:rsidRDefault="00412F22" w:rsidP="00EE0E23">
            <w:pPr>
              <w:pStyle w:val="TableParagraph"/>
              <w:spacing w:before="6"/>
              <w:ind w:left="50" w:right="13"/>
              <w:rPr>
                <w:rFonts w:asciiTheme="minorHAnsi" w:hAnsiTheme="minorHAnsi" w:cstheme="minorHAnsi"/>
              </w:rPr>
            </w:pPr>
            <w:r w:rsidRPr="00693F55">
              <w:rPr>
                <w:rFonts w:asciiTheme="minorHAnsi" w:hAnsiTheme="minorHAnsi" w:cstheme="minorHAnsi"/>
                <w:spacing w:val="-10"/>
              </w:rPr>
              <w:t>-</w:t>
            </w:r>
          </w:p>
        </w:tc>
      </w:tr>
      <w:tr w:rsidR="00412F22" w:rsidRPr="00D92B16" w14:paraId="6F906EDA" w14:textId="77777777" w:rsidTr="00EE0E23">
        <w:trPr>
          <w:gridAfter w:val="1"/>
          <w:wAfter w:w="9" w:type="dxa"/>
          <w:trHeight w:val="244"/>
        </w:trPr>
        <w:tc>
          <w:tcPr>
            <w:tcW w:w="5930" w:type="dxa"/>
            <w:tcBorders>
              <w:top w:val="single" w:sz="8" w:space="0" w:color="000000"/>
              <w:left w:val="single" w:sz="12" w:space="0" w:color="000000"/>
            </w:tcBorders>
          </w:tcPr>
          <w:p w14:paraId="7695C4C9" w14:textId="77777777" w:rsidR="00412F22" w:rsidRPr="00D92B16" w:rsidRDefault="00412F22" w:rsidP="00EE0E23">
            <w:pPr>
              <w:pStyle w:val="TableParagraph"/>
              <w:spacing w:line="207" w:lineRule="exact"/>
              <w:ind w:left="102"/>
              <w:rPr>
                <w:rFonts w:asciiTheme="minorHAnsi" w:hAnsiTheme="minorHAnsi" w:cstheme="minorHAnsi"/>
                <w:lang w:val="fr-FR"/>
              </w:rPr>
            </w:pPr>
            <w:r w:rsidRPr="00D92B16">
              <w:rPr>
                <w:rFonts w:asciiTheme="minorHAnsi" w:hAnsiTheme="minorHAnsi" w:cstheme="minorHAnsi"/>
                <w:lang w:val="fr-FR"/>
              </w:rPr>
              <w:t>2.2.</w:t>
            </w:r>
            <w:r w:rsidRPr="00D92B16">
              <w:rPr>
                <w:rFonts w:asciiTheme="minorHAnsi" w:hAnsiTheme="minorHAnsi" w:cstheme="minorHAnsi"/>
                <w:spacing w:val="-2"/>
                <w:lang w:val="fr-FR"/>
              </w:rPr>
              <w:t xml:space="preserve"> </w:t>
            </w:r>
            <w:r w:rsidRPr="00D92B16">
              <w:rPr>
                <w:rFonts w:asciiTheme="minorHAnsi" w:hAnsiTheme="minorHAnsi" w:cstheme="minorHAnsi"/>
                <w:lang w:val="fr-FR"/>
              </w:rPr>
              <w:t>Industries</w:t>
            </w:r>
            <w:r w:rsidRPr="00D92B16">
              <w:rPr>
                <w:rFonts w:asciiTheme="minorHAnsi" w:hAnsiTheme="minorHAnsi" w:cstheme="minorHAnsi"/>
                <w:spacing w:val="-2"/>
                <w:lang w:val="fr-FR"/>
              </w:rPr>
              <w:t xml:space="preserve"> </w:t>
            </w:r>
            <w:r w:rsidRPr="00D92B16">
              <w:rPr>
                <w:rFonts w:asciiTheme="minorHAnsi" w:hAnsiTheme="minorHAnsi" w:cstheme="minorHAnsi"/>
                <w:lang w:val="fr-FR"/>
              </w:rPr>
              <w:t>extractives</w:t>
            </w:r>
            <w:r w:rsidRPr="00D92B16">
              <w:rPr>
                <w:rFonts w:asciiTheme="minorHAnsi" w:hAnsiTheme="minorHAnsi" w:cstheme="minorHAnsi"/>
                <w:spacing w:val="-1"/>
                <w:lang w:val="fr-FR"/>
              </w:rPr>
              <w:t xml:space="preserve"> </w:t>
            </w:r>
            <w:r w:rsidRPr="00D92B16">
              <w:rPr>
                <w:rFonts w:asciiTheme="minorHAnsi" w:hAnsiTheme="minorHAnsi" w:cstheme="minorHAnsi"/>
                <w:lang w:val="fr-FR"/>
              </w:rPr>
              <w:t>autre</w:t>
            </w:r>
            <w:r w:rsidRPr="00D92B16">
              <w:rPr>
                <w:rFonts w:asciiTheme="minorHAnsi" w:hAnsiTheme="minorHAnsi" w:cstheme="minorHAnsi"/>
                <w:spacing w:val="-2"/>
                <w:lang w:val="fr-FR"/>
              </w:rPr>
              <w:t xml:space="preserve"> </w:t>
            </w:r>
            <w:r w:rsidRPr="00D92B16">
              <w:rPr>
                <w:rFonts w:asciiTheme="minorHAnsi" w:hAnsiTheme="minorHAnsi" w:cstheme="minorHAnsi"/>
                <w:lang w:val="fr-FR"/>
              </w:rPr>
              <w:t>que</w:t>
            </w:r>
            <w:r w:rsidRPr="00D92B16">
              <w:rPr>
                <w:rFonts w:asciiTheme="minorHAnsi" w:hAnsiTheme="minorHAnsi" w:cstheme="minorHAnsi"/>
                <w:spacing w:val="-2"/>
                <w:lang w:val="fr-FR"/>
              </w:rPr>
              <w:t xml:space="preserve"> </w:t>
            </w:r>
            <w:r w:rsidRPr="00D92B16">
              <w:rPr>
                <w:rFonts w:asciiTheme="minorHAnsi" w:hAnsiTheme="minorHAnsi" w:cstheme="minorHAnsi"/>
                <w:lang w:val="fr-FR"/>
              </w:rPr>
              <w:t>produits pétroliers</w:t>
            </w:r>
            <w:r w:rsidRPr="00D92B16">
              <w:rPr>
                <w:rFonts w:asciiTheme="minorHAnsi" w:hAnsiTheme="minorHAnsi" w:cstheme="minorHAnsi"/>
                <w:spacing w:val="-1"/>
                <w:lang w:val="fr-FR"/>
              </w:rPr>
              <w:t xml:space="preserve"> </w:t>
            </w:r>
            <w:r w:rsidRPr="00D92B16">
              <w:rPr>
                <w:rFonts w:asciiTheme="minorHAnsi" w:hAnsiTheme="minorHAnsi" w:cstheme="minorHAnsi"/>
                <w:lang w:val="fr-FR"/>
              </w:rPr>
              <w:t>et</w:t>
            </w:r>
            <w:r w:rsidRPr="00D92B16">
              <w:rPr>
                <w:rFonts w:asciiTheme="minorHAnsi" w:hAnsiTheme="minorHAnsi" w:cstheme="minorHAnsi"/>
                <w:spacing w:val="-1"/>
                <w:lang w:val="fr-FR"/>
              </w:rPr>
              <w:t xml:space="preserve"> </w:t>
            </w:r>
            <w:r w:rsidRPr="00D92B16">
              <w:rPr>
                <w:rFonts w:asciiTheme="minorHAnsi" w:hAnsiTheme="minorHAnsi" w:cstheme="minorHAnsi"/>
                <w:spacing w:val="-2"/>
                <w:lang w:val="fr-FR"/>
              </w:rPr>
              <w:t>gaziers</w:t>
            </w:r>
          </w:p>
        </w:tc>
        <w:tc>
          <w:tcPr>
            <w:tcW w:w="669" w:type="dxa"/>
            <w:tcBorders>
              <w:top w:val="single" w:sz="8" w:space="0" w:color="000000"/>
              <w:bottom w:val="single" w:sz="8" w:space="0" w:color="000000"/>
              <w:right w:val="single" w:sz="8" w:space="0" w:color="000000"/>
            </w:tcBorders>
          </w:tcPr>
          <w:p w14:paraId="6AAB443C" w14:textId="77777777" w:rsidR="00412F22" w:rsidRPr="00D92B16" w:rsidRDefault="00412F22" w:rsidP="00EE0E23">
            <w:pPr>
              <w:pStyle w:val="TableParagraph"/>
              <w:spacing w:line="207" w:lineRule="exact"/>
              <w:ind w:left="36"/>
              <w:rPr>
                <w:rFonts w:asciiTheme="minorHAnsi" w:hAnsiTheme="minorHAnsi" w:cstheme="minorHAnsi"/>
              </w:rPr>
            </w:pPr>
            <w:r w:rsidRPr="00D92B16">
              <w:rPr>
                <w:rFonts w:asciiTheme="minorHAnsi" w:hAnsiTheme="minorHAnsi" w:cstheme="minorHAnsi"/>
                <w:spacing w:val="-4"/>
              </w:rPr>
              <w:t>14,8</w:t>
            </w:r>
          </w:p>
        </w:tc>
        <w:tc>
          <w:tcPr>
            <w:tcW w:w="709" w:type="dxa"/>
            <w:tcBorders>
              <w:top w:val="single" w:sz="8" w:space="0" w:color="000000"/>
              <w:left w:val="single" w:sz="8" w:space="0" w:color="000000"/>
              <w:bottom w:val="single" w:sz="8" w:space="0" w:color="000000"/>
              <w:right w:val="single" w:sz="8" w:space="0" w:color="000000"/>
            </w:tcBorders>
          </w:tcPr>
          <w:p w14:paraId="47659D52" w14:textId="77777777" w:rsidR="00412F22" w:rsidRPr="00D92B16" w:rsidRDefault="00412F22" w:rsidP="00EE0E23">
            <w:pPr>
              <w:pStyle w:val="TableParagraph"/>
              <w:spacing w:line="207" w:lineRule="exact"/>
              <w:ind w:left="34"/>
              <w:rPr>
                <w:rFonts w:asciiTheme="minorHAnsi" w:hAnsiTheme="minorHAnsi" w:cstheme="minorHAnsi"/>
              </w:rPr>
            </w:pPr>
            <w:r w:rsidRPr="00D92B16">
              <w:rPr>
                <w:rFonts w:asciiTheme="minorHAnsi" w:hAnsiTheme="minorHAnsi" w:cstheme="minorHAnsi"/>
                <w:spacing w:val="-4"/>
              </w:rPr>
              <w:t>20,9</w:t>
            </w:r>
          </w:p>
        </w:tc>
        <w:tc>
          <w:tcPr>
            <w:tcW w:w="708" w:type="dxa"/>
            <w:tcBorders>
              <w:top w:val="single" w:sz="8" w:space="0" w:color="000000"/>
              <w:left w:val="single" w:sz="8" w:space="0" w:color="000000"/>
              <w:bottom w:val="single" w:sz="8" w:space="0" w:color="000000"/>
              <w:right w:val="single" w:sz="8" w:space="0" w:color="000000"/>
            </w:tcBorders>
          </w:tcPr>
          <w:p w14:paraId="20511F5E" w14:textId="77777777" w:rsidR="00412F22" w:rsidRPr="00D92B16" w:rsidRDefault="00412F22" w:rsidP="00EE0E23">
            <w:pPr>
              <w:pStyle w:val="TableParagraph"/>
              <w:spacing w:line="207" w:lineRule="exact"/>
              <w:ind w:left="33"/>
              <w:rPr>
                <w:rFonts w:asciiTheme="minorHAnsi" w:hAnsiTheme="minorHAnsi" w:cstheme="minorHAnsi"/>
              </w:rPr>
            </w:pPr>
            <w:r w:rsidRPr="00D92B16">
              <w:rPr>
                <w:rFonts w:asciiTheme="minorHAnsi" w:hAnsiTheme="minorHAnsi" w:cstheme="minorHAnsi"/>
                <w:spacing w:val="-4"/>
              </w:rPr>
              <w:t>20,6</w:t>
            </w:r>
          </w:p>
        </w:tc>
        <w:tc>
          <w:tcPr>
            <w:tcW w:w="709" w:type="dxa"/>
            <w:tcBorders>
              <w:top w:val="single" w:sz="8" w:space="0" w:color="000000"/>
              <w:left w:val="single" w:sz="8" w:space="0" w:color="000000"/>
              <w:bottom w:val="single" w:sz="8" w:space="0" w:color="000000"/>
              <w:right w:val="single" w:sz="8" w:space="0" w:color="000000"/>
            </w:tcBorders>
          </w:tcPr>
          <w:p w14:paraId="632D250D" w14:textId="77777777" w:rsidR="00412F22" w:rsidRPr="00D92B16" w:rsidRDefault="00412F22" w:rsidP="00EE0E23">
            <w:pPr>
              <w:pStyle w:val="TableParagraph"/>
              <w:spacing w:line="207" w:lineRule="exact"/>
              <w:ind w:left="37"/>
              <w:rPr>
                <w:rFonts w:asciiTheme="minorHAnsi" w:hAnsiTheme="minorHAnsi" w:cstheme="minorHAnsi"/>
              </w:rPr>
            </w:pPr>
            <w:r w:rsidRPr="00D92B16">
              <w:rPr>
                <w:rFonts w:asciiTheme="minorHAnsi" w:hAnsiTheme="minorHAnsi" w:cstheme="minorHAnsi"/>
                <w:spacing w:val="-4"/>
              </w:rPr>
              <w:t>17,8</w:t>
            </w:r>
          </w:p>
        </w:tc>
        <w:tc>
          <w:tcPr>
            <w:tcW w:w="851" w:type="dxa"/>
            <w:tcBorders>
              <w:top w:val="single" w:sz="8" w:space="0" w:color="000000"/>
              <w:left w:val="single" w:sz="8" w:space="0" w:color="000000"/>
              <w:bottom w:val="single" w:sz="8" w:space="0" w:color="000000"/>
              <w:right w:val="single" w:sz="8" w:space="0" w:color="000000"/>
            </w:tcBorders>
          </w:tcPr>
          <w:p w14:paraId="55F33DA3" w14:textId="77777777" w:rsidR="00412F22" w:rsidRPr="00D92B16" w:rsidRDefault="00412F22" w:rsidP="00EE0E23">
            <w:pPr>
              <w:pStyle w:val="TableParagraph"/>
              <w:spacing w:line="207" w:lineRule="exact"/>
              <w:ind w:left="50" w:right="12"/>
              <w:rPr>
                <w:rFonts w:asciiTheme="minorHAnsi" w:hAnsiTheme="minorHAnsi" w:cstheme="minorHAnsi"/>
              </w:rPr>
            </w:pPr>
            <w:r w:rsidRPr="00D92B16">
              <w:rPr>
                <w:rFonts w:asciiTheme="minorHAnsi" w:hAnsiTheme="minorHAnsi" w:cstheme="minorHAnsi"/>
                <w:spacing w:val="-4"/>
              </w:rPr>
              <w:t>18,9</w:t>
            </w:r>
          </w:p>
        </w:tc>
      </w:tr>
      <w:tr w:rsidR="00412F22" w:rsidRPr="003E3BDB" w14:paraId="382F67AC" w14:textId="77777777" w:rsidTr="00EE0E23">
        <w:trPr>
          <w:gridAfter w:val="1"/>
          <w:wAfter w:w="9" w:type="dxa"/>
          <w:trHeight w:val="253"/>
        </w:trPr>
        <w:tc>
          <w:tcPr>
            <w:tcW w:w="5930" w:type="dxa"/>
            <w:tcBorders>
              <w:left w:val="single" w:sz="8" w:space="0" w:color="000000"/>
              <w:right w:val="single" w:sz="8" w:space="0" w:color="000000"/>
            </w:tcBorders>
            <w:shd w:val="clear" w:color="auto" w:fill="C5DFB3"/>
          </w:tcPr>
          <w:p w14:paraId="12F99CD5" w14:textId="77777777" w:rsidR="00412F22" w:rsidRPr="003E3BDB" w:rsidRDefault="00412F22" w:rsidP="00EE0E23">
            <w:pPr>
              <w:pStyle w:val="TableParagraph"/>
              <w:spacing w:before="4"/>
              <w:ind w:left="347"/>
              <w:rPr>
                <w:rFonts w:asciiTheme="minorHAnsi" w:hAnsiTheme="minorHAnsi" w:cstheme="minorHAnsi"/>
                <w:lang w:val="fr-FR"/>
              </w:rPr>
            </w:pPr>
            <w:r w:rsidRPr="003E3BDB">
              <w:rPr>
                <w:rFonts w:asciiTheme="minorHAnsi" w:hAnsiTheme="minorHAnsi" w:cstheme="minorHAnsi"/>
                <w:lang w:val="fr-FR"/>
              </w:rPr>
              <w:t>2.</w:t>
            </w:r>
            <w:r w:rsidRPr="003E3BDB">
              <w:rPr>
                <w:rFonts w:asciiTheme="minorHAnsi" w:hAnsiTheme="minorHAnsi" w:cstheme="minorHAnsi"/>
                <w:spacing w:val="-4"/>
                <w:lang w:val="fr-FR"/>
              </w:rPr>
              <w:t xml:space="preserve"> </w:t>
            </w:r>
            <w:r w:rsidRPr="003E3BDB">
              <w:rPr>
                <w:rFonts w:asciiTheme="minorHAnsi" w:hAnsiTheme="minorHAnsi" w:cstheme="minorHAnsi"/>
                <w:lang w:val="fr-FR"/>
              </w:rPr>
              <w:t>2.1 Extraction</w:t>
            </w:r>
            <w:r w:rsidRPr="003E3BDB">
              <w:rPr>
                <w:rFonts w:asciiTheme="minorHAnsi" w:hAnsiTheme="minorHAnsi" w:cstheme="minorHAnsi"/>
                <w:spacing w:val="-1"/>
                <w:lang w:val="fr-FR"/>
              </w:rPr>
              <w:t xml:space="preserve"> </w:t>
            </w:r>
            <w:r w:rsidRPr="003E3BDB">
              <w:rPr>
                <w:rFonts w:asciiTheme="minorHAnsi" w:hAnsiTheme="minorHAnsi" w:cstheme="minorHAnsi"/>
                <w:lang w:val="fr-FR"/>
              </w:rPr>
              <w:t>des</w:t>
            </w:r>
            <w:r w:rsidRPr="003E3BDB">
              <w:rPr>
                <w:rFonts w:asciiTheme="minorHAnsi" w:hAnsiTheme="minorHAnsi" w:cstheme="minorHAnsi"/>
                <w:spacing w:val="-1"/>
                <w:lang w:val="fr-FR"/>
              </w:rPr>
              <w:t xml:space="preserve"> </w:t>
            </w:r>
            <w:r w:rsidRPr="003E3BDB">
              <w:rPr>
                <w:rFonts w:asciiTheme="minorHAnsi" w:hAnsiTheme="minorHAnsi" w:cstheme="minorHAnsi"/>
                <w:lang w:val="fr-FR"/>
              </w:rPr>
              <w:t>minerais</w:t>
            </w:r>
            <w:r w:rsidRPr="003E3BDB">
              <w:rPr>
                <w:rFonts w:asciiTheme="minorHAnsi" w:hAnsiTheme="minorHAnsi" w:cstheme="minorHAnsi"/>
                <w:spacing w:val="-1"/>
                <w:lang w:val="fr-FR"/>
              </w:rPr>
              <w:t xml:space="preserve"> </w:t>
            </w:r>
            <w:r w:rsidRPr="003E3BDB">
              <w:rPr>
                <w:rFonts w:asciiTheme="minorHAnsi" w:hAnsiTheme="minorHAnsi" w:cstheme="minorHAnsi"/>
                <w:spacing w:val="-2"/>
                <w:lang w:val="fr-FR"/>
              </w:rPr>
              <w:t>métalliques</w:t>
            </w:r>
          </w:p>
        </w:tc>
        <w:tc>
          <w:tcPr>
            <w:tcW w:w="669" w:type="dxa"/>
            <w:tcBorders>
              <w:top w:val="single" w:sz="8" w:space="0" w:color="000000"/>
              <w:left w:val="single" w:sz="8" w:space="0" w:color="000000"/>
              <w:bottom w:val="single" w:sz="8" w:space="0" w:color="000000"/>
              <w:right w:val="single" w:sz="8" w:space="0" w:color="000000"/>
            </w:tcBorders>
            <w:shd w:val="clear" w:color="auto" w:fill="C5DFB3"/>
          </w:tcPr>
          <w:p w14:paraId="0D023FC5" w14:textId="77777777" w:rsidR="00412F22" w:rsidRPr="00693F55" w:rsidRDefault="00412F22" w:rsidP="00EE0E23">
            <w:pPr>
              <w:pStyle w:val="TableParagraph"/>
              <w:spacing w:before="4"/>
              <w:ind w:left="31"/>
              <w:rPr>
                <w:rFonts w:asciiTheme="minorHAnsi" w:hAnsiTheme="minorHAnsi" w:cstheme="minorHAnsi"/>
              </w:rPr>
            </w:pPr>
            <w:r w:rsidRPr="00693F55">
              <w:rPr>
                <w:rFonts w:asciiTheme="minorHAnsi" w:hAnsiTheme="minorHAnsi" w:cstheme="minorHAnsi"/>
                <w:spacing w:val="-4"/>
              </w:rPr>
              <w:t>12,6</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2A55185F" w14:textId="77777777" w:rsidR="00412F22" w:rsidRPr="00693F55" w:rsidRDefault="00412F22" w:rsidP="00EE0E23">
            <w:pPr>
              <w:pStyle w:val="TableParagraph"/>
              <w:spacing w:before="4"/>
              <w:ind w:left="34"/>
              <w:rPr>
                <w:rFonts w:asciiTheme="minorHAnsi" w:hAnsiTheme="minorHAnsi" w:cstheme="minorHAnsi"/>
              </w:rPr>
            </w:pPr>
            <w:r w:rsidRPr="00693F55">
              <w:rPr>
                <w:rFonts w:asciiTheme="minorHAnsi" w:hAnsiTheme="minorHAnsi" w:cstheme="minorHAnsi"/>
                <w:spacing w:val="-4"/>
              </w:rPr>
              <w:t>19,2</w:t>
            </w:r>
          </w:p>
        </w:tc>
        <w:tc>
          <w:tcPr>
            <w:tcW w:w="708" w:type="dxa"/>
            <w:tcBorders>
              <w:top w:val="single" w:sz="8" w:space="0" w:color="000000"/>
              <w:left w:val="single" w:sz="8" w:space="0" w:color="000000"/>
              <w:bottom w:val="single" w:sz="8" w:space="0" w:color="000000"/>
              <w:right w:val="single" w:sz="8" w:space="0" w:color="000000"/>
            </w:tcBorders>
            <w:shd w:val="clear" w:color="auto" w:fill="C5DFB3"/>
          </w:tcPr>
          <w:p w14:paraId="1D94CA02" w14:textId="77777777" w:rsidR="00412F22" w:rsidRPr="00693F55" w:rsidRDefault="00412F22" w:rsidP="00EE0E23">
            <w:pPr>
              <w:pStyle w:val="TableParagraph"/>
              <w:spacing w:before="4"/>
              <w:ind w:left="33"/>
              <w:rPr>
                <w:rFonts w:asciiTheme="minorHAnsi" w:hAnsiTheme="minorHAnsi" w:cstheme="minorHAnsi"/>
              </w:rPr>
            </w:pPr>
            <w:r w:rsidRPr="00693F55">
              <w:rPr>
                <w:rFonts w:asciiTheme="minorHAnsi" w:hAnsiTheme="minorHAnsi" w:cstheme="minorHAnsi"/>
                <w:spacing w:val="-4"/>
              </w:rPr>
              <w:t>19,1</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70166BDE" w14:textId="77777777" w:rsidR="00412F22" w:rsidRPr="00693F55" w:rsidRDefault="00412F22" w:rsidP="00EE0E23">
            <w:pPr>
              <w:pStyle w:val="TableParagraph"/>
              <w:spacing w:before="4"/>
              <w:ind w:left="37"/>
              <w:rPr>
                <w:rFonts w:asciiTheme="minorHAnsi" w:hAnsiTheme="minorHAnsi" w:cstheme="minorHAnsi"/>
              </w:rPr>
            </w:pPr>
            <w:r w:rsidRPr="00693F55">
              <w:rPr>
                <w:rFonts w:asciiTheme="minorHAnsi" w:hAnsiTheme="minorHAnsi" w:cstheme="minorHAnsi"/>
                <w:spacing w:val="-4"/>
              </w:rPr>
              <w:t>15,9</w:t>
            </w:r>
          </w:p>
        </w:tc>
        <w:tc>
          <w:tcPr>
            <w:tcW w:w="851" w:type="dxa"/>
            <w:tcBorders>
              <w:top w:val="single" w:sz="8" w:space="0" w:color="000000"/>
              <w:left w:val="single" w:sz="8" w:space="0" w:color="000000"/>
              <w:bottom w:val="single" w:sz="8" w:space="0" w:color="000000"/>
              <w:right w:val="single" w:sz="8" w:space="0" w:color="000000"/>
            </w:tcBorders>
            <w:shd w:val="clear" w:color="auto" w:fill="C5DFB3"/>
          </w:tcPr>
          <w:p w14:paraId="273505E2" w14:textId="77777777" w:rsidR="00412F22" w:rsidRPr="00693F55" w:rsidRDefault="00412F22" w:rsidP="00EE0E23">
            <w:pPr>
              <w:pStyle w:val="TableParagraph"/>
              <w:spacing w:before="4"/>
              <w:ind w:left="50" w:right="12"/>
              <w:rPr>
                <w:rFonts w:asciiTheme="minorHAnsi" w:hAnsiTheme="minorHAnsi" w:cstheme="minorHAnsi"/>
              </w:rPr>
            </w:pPr>
            <w:r w:rsidRPr="00693F55">
              <w:rPr>
                <w:rFonts w:asciiTheme="minorHAnsi" w:hAnsiTheme="minorHAnsi" w:cstheme="minorHAnsi"/>
                <w:spacing w:val="-4"/>
              </w:rPr>
              <w:t>17,1</w:t>
            </w:r>
          </w:p>
        </w:tc>
      </w:tr>
      <w:tr w:rsidR="00412F22" w:rsidRPr="00D92B16" w14:paraId="0368DE65" w14:textId="77777777" w:rsidTr="00EE0E23">
        <w:trPr>
          <w:gridAfter w:val="1"/>
          <w:wAfter w:w="9" w:type="dxa"/>
          <w:trHeight w:val="253"/>
        </w:trPr>
        <w:tc>
          <w:tcPr>
            <w:tcW w:w="5930" w:type="dxa"/>
            <w:tcBorders>
              <w:left w:val="single" w:sz="8" w:space="0" w:color="000000"/>
              <w:right w:val="single" w:sz="8" w:space="0" w:color="000000"/>
            </w:tcBorders>
            <w:shd w:val="clear" w:color="auto" w:fill="auto"/>
          </w:tcPr>
          <w:p w14:paraId="0DA910A6" w14:textId="77777777" w:rsidR="00412F22" w:rsidRPr="00D92B16" w:rsidRDefault="00412F22" w:rsidP="00EE0E23">
            <w:pPr>
              <w:pStyle w:val="TableParagraph"/>
              <w:spacing w:before="2"/>
              <w:ind w:left="748"/>
              <w:rPr>
                <w:rFonts w:asciiTheme="minorHAnsi" w:hAnsiTheme="minorHAnsi" w:cstheme="minorHAnsi"/>
                <w:lang w:val="fr-FR"/>
              </w:rPr>
            </w:pPr>
            <w:proofErr w:type="spellStart"/>
            <w:r w:rsidRPr="00D92B16">
              <w:rPr>
                <w:rFonts w:asciiTheme="minorHAnsi" w:hAnsiTheme="minorHAnsi" w:cstheme="minorHAnsi"/>
                <w:spacing w:val="-2"/>
                <w:lang w:val="fr-FR"/>
              </w:rPr>
              <w:t>Fer_SNIM</w:t>
            </w:r>
            <w:proofErr w:type="spellEnd"/>
          </w:p>
        </w:tc>
        <w:tc>
          <w:tcPr>
            <w:tcW w:w="669" w:type="dxa"/>
            <w:tcBorders>
              <w:top w:val="single" w:sz="8" w:space="0" w:color="000000"/>
              <w:left w:val="single" w:sz="8" w:space="0" w:color="000000"/>
              <w:bottom w:val="single" w:sz="8" w:space="0" w:color="000000"/>
              <w:right w:val="single" w:sz="8" w:space="0" w:color="000000"/>
            </w:tcBorders>
            <w:shd w:val="clear" w:color="auto" w:fill="auto"/>
          </w:tcPr>
          <w:p w14:paraId="29F057A5" w14:textId="77777777" w:rsidR="00412F22" w:rsidRPr="00D92B16" w:rsidRDefault="00412F22" w:rsidP="00EE0E23">
            <w:pPr>
              <w:pStyle w:val="TableParagraph"/>
              <w:spacing w:before="2"/>
              <w:ind w:left="36" w:right="3"/>
              <w:rPr>
                <w:rFonts w:asciiTheme="minorHAnsi" w:hAnsiTheme="minorHAnsi" w:cstheme="minorHAnsi"/>
              </w:rPr>
            </w:pPr>
            <w:r w:rsidRPr="00D92B16">
              <w:rPr>
                <w:rFonts w:asciiTheme="minorHAnsi" w:hAnsiTheme="minorHAnsi" w:cstheme="minorHAnsi"/>
                <w:spacing w:val="-5"/>
              </w:rPr>
              <w:t>8,2</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045F1648" w14:textId="77777777" w:rsidR="00412F22" w:rsidRPr="00D92B16" w:rsidRDefault="00412F22" w:rsidP="00EE0E23">
            <w:pPr>
              <w:pStyle w:val="TableParagraph"/>
              <w:spacing w:before="2"/>
              <w:ind w:left="34"/>
              <w:rPr>
                <w:rFonts w:asciiTheme="minorHAnsi" w:hAnsiTheme="minorHAnsi" w:cstheme="minorHAnsi"/>
              </w:rPr>
            </w:pPr>
            <w:r w:rsidRPr="00D92B16">
              <w:rPr>
                <w:rFonts w:asciiTheme="minorHAnsi" w:hAnsiTheme="minorHAnsi" w:cstheme="minorHAnsi"/>
                <w:spacing w:val="-4"/>
              </w:rPr>
              <w:t>11,6</w:t>
            </w:r>
          </w:p>
        </w:tc>
        <w:tc>
          <w:tcPr>
            <w:tcW w:w="708" w:type="dxa"/>
            <w:tcBorders>
              <w:top w:val="single" w:sz="8" w:space="0" w:color="000000"/>
              <w:left w:val="single" w:sz="8" w:space="0" w:color="000000"/>
              <w:bottom w:val="single" w:sz="8" w:space="0" w:color="000000"/>
              <w:right w:val="single" w:sz="8" w:space="0" w:color="000000"/>
            </w:tcBorders>
            <w:shd w:val="clear" w:color="auto" w:fill="auto"/>
          </w:tcPr>
          <w:p w14:paraId="4EE68A9E" w14:textId="77777777" w:rsidR="00412F22" w:rsidRPr="00D92B16" w:rsidRDefault="00412F22" w:rsidP="00EE0E23">
            <w:pPr>
              <w:pStyle w:val="TableParagraph"/>
              <w:spacing w:before="2"/>
              <w:ind w:left="33"/>
              <w:rPr>
                <w:rFonts w:asciiTheme="minorHAnsi" w:hAnsiTheme="minorHAnsi" w:cstheme="minorHAnsi"/>
              </w:rPr>
            </w:pPr>
            <w:r w:rsidRPr="00D92B16">
              <w:rPr>
                <w:rFonts w:asciiTheme="minorHAnsi" w:hAnsiTheme="minorHAnsi" w:cstheme="minorHAnsi"/>
                <w:spacing w:val="-4"/>
              </w:rPr>
              <w:t>14,4</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7D60ADA8" w14:textId="77777777" w:rsidR="00412F22" w:rsidRPr="00D92B16" w:rsidRDefault="00412F22" w:rsidP="00EE0E23">
            <w:pPr>
              <w:pStyle w:val="TableParagraph"/>
              <w:spacing w:before="2"/>
              <w:ind w:left="37" w:right="2"/>
              <w:rPr>
                <w:rFonts w:asciiTheme="minorHAnsi" w:hAnsiTheme="minorHAnsi" w:cstheme="minorHAnsi"/>
              </w:rPr>
            </w:pPr>
            <w:r w:rsidRPr="00D92B16">
              <w:rPr>
                <w:rFonts w:asciiTheme="minorHAnsi" w:hAnsiTheme="minorHAnsi" w:cstheme="minorHAnsi"/>
                <w:spacing w:val="-5"/>
              </w:rPr>
              <w:t>8,9</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14:paraId="00F2F335" w14:textId="77777777" w:rsidR="00412F22" w:rsidRPr="00D92B16" w:rsidRDefault="00412F22" w:rsidP="00EE0E23">
            <w:pPr>
              <w:pStyle w:val="TableParagraph"/>
              <w:spacing w:before="2"/>
              <w:ind w:left="50" w:right="10"/>
              <w:rPr>
                <w:rFonts w:asciiTheme="minorHAnsi" w:hAnsiTheme="minorHAnsi" w:cstheme="minorHAnsi"/>
              </w:rPr>
            </w:pPr>
            <w:r w:rsidRPr="00D92B16">
              <w:rPr>
                <w:rFonts w:asciiTheme="minorHAnsi" w:hAnsiTheme="minorHAnsi" w:cstheme="minorHAnsi"/>
                <w:spacing w:val="-5"/>
              </w:rPr>
              <w:t>8,5</w:t>
            </w:r>
          </w:p>
        </w:tc>
      </w:tr>
      <w:tr w:rsidR="00412F22" w:rsidRPr="00D92B16" w14:paraId="28C6B970" w14:textId="77777777" w:rsidTr="00EE0E23">
        <w:trPr>
          <w:gridAfter w:val="1"/>
          <w:wAfter w:w="9" w:type="dxa"/>
          <w:trHeight w:val="232"/>
        </w:trPr>
        <w:tc>
          <w:tcPr>
            <w:tcW w:w="5930" w:type="dxa"/>
            <w:tcBorders>
              <w:left w:val="single" w:sz="8" w:space="0" w:color="000000"/>
              <w:right w:val="single" w:sz="8" w:space="0" w:color="000000"/>
            </w:tcBorders>
            <w:shd w:val="clear" w:color="auto" w:fill="C5DFB3"/>
          </w:tcPr>
          <w:p w14:paraId="69288DA0" w14:textId="77777777" w:rsidR="00412F22" w:rsidRPr="00D92B16" w:rsidRDefault="00412F22" w:rsidP="00EE0E23">
            <w:pPr>
              <w:pStyle w:val="TableParagraph"/>
              <w:spacing w:before="4"/>
              <w:ind w:left="709"/>
              <w:rPr>
                <w:rFonts w:asciiTheme="minorHAnsi" w:hAnsiTheme="minorHAnsi" w:cstheme="minorHAnsi"/>
                <w:sz w:val="20"/>
                <w:szCs w:val="20"/>
                <w:lang w:val="fr-FR"/>
              </w:rPr>
            </w:pPr>
            <w:r w:rsidRPr="00D92B16">
              <w:rPr>
                <w:rFonts w:asciiTheme="minorHAnsi" w:hAnsiTheme="minorHAnsi" w:cstheme="minorHAnsi"/>
                <w:sz w:val="20"/>
                <w:szCs w:val="20"/>
                <w:lang w:val="fr-FR"/>
              </w:rPr>
              <w:t>Or</w:t>
            </w:r>
            <w:r w:rsidRPr="00D92B16">
              <w:rPr>
                <w:rFonts w:asciiTheme="minorHAnsi" w:hAnsiTheme="minorHAnsi" w:cstheme="minorHAnsi"/>
                <w:spacing w:val="-4"/>
                <w:sz w:val="20"/>
                <w:szCs w:val="20"/>
                <w:lang w:val="fr-FR"/>
              </w:rPr>
              <w:t xml:space="preserve"> </w:t>
            </w:r>
            <w:r w:rsidRPr="00D92B16">
              <w:rPr>
                <w:rFonts w:asciiTheme="minorHAnsi" w:hAnsiTheme="minorHAnsi" w:cstheme="minorHAnsi"/>
                <w:sz w:val="20"/>
                <w:szCs w:val="20"/>
                <w:lang w:val="fr-FR"/>
              </w:rPr>
              <w:t xml:space="preserve">et </w:t>
            </w:r>
            <w:r w:rsidRPr="00D92B16">
              <w:rPr>
                <w:rFonts w:asciiTheme="minorHAnsi" w:hAnsiTheme="minorHAnsi" w:cstheme="minorHAnsi"/>
                <w:spacing w:val="-2"/>
                <w:sz w:val="20"/>
                <w:szCs w:val="20"/>
                <w:lang w:val="fr-FR"/>
              </w:rPr>
              <w:t>Cuivre</w:t>
            </w:r>
          </w:p>
        </w:tc>
        <w:tc>
          <w:tcPr>
            <w:tcW w:w="669" w:type="dxa"/>
            <w:tcBorders>
              <w:top w:val="single" w:sz="8" w:space="0" w:color="000000"/>
              <w:left w:val="single" w:sz="8" w:space="0" w:color="000000"/>
              <w:bottom w:val="single" w:sz="8" w:space="0" w:color="000000"/>
              <w:right w:val="single" w:sz="8" w:space="0" w:color="000000"/>
            </w:tcBorders>
            <w:shd w:val="clear" w:color="auto" w:fill="C5DFB3"/>
          </w:tcPr>
          <w:p w14:paraId="53CE1CA8" w14:textId="77777777" w:rsidR="00412F22" w:rsidRPr="00D92B16" w:rsidRDefault="00412F22" w:rsidP="00EE0E23">
            <w:pPr>
              <w:pStyle w:val="TableParagraph"/>
              <w:spacing w:before="4"/>
              <w:ind w:left="31" w:right="3"/>
              <w:rPr>
                <w:rFonts w:asciiTheme="minorHAnsi" w:hAnsiTheme="minorHAnsi" w:cstheme="minorHAnsi"/>
                <w:sz w:val="20"/>
                <w:szCs w:val="20"/>
              </w:rPr>
            </w:pPr>
            <w:r w:rsidRPr="00D92B16">
              <w:rPr>
                <w:rFonts w:asciiTheme="minorHAnsi" w:hAnsiTheme="minorHAnsi" w:cstheme="minorHAnsi"/>
                <w:spacing w:val="-5"/>
                <w:sz w:val="20"/>
                <w:szCs w:val="20"/>
              </w:rPr>
              <w:t>4,4</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252E3858" w14:textId="77777777" w:rsidR="00412F22" w:rsidRPr="00D92B16" w:rsidRDefault="00412F22" w:rsidP="00EE0E23">
            <w:pPr>
              <w:pStyle w:val="TableParagraph"/>
              <w:spacing w:before="4"/>
              <w:ind w:left="34" w:right="2"/>
              <w:rPr>
                <w:rFonts w:asciiTheme="minorHAnsi" w:hAnsiTheme="minorHAnsi" w:cstheme="minorHAnsi"/>
                <w:sz w:val="20"/>
                <w:szCs w:val="20"/>
              </w:rPr>
            </w:pPr>
            <w:r w:rsidRPr="00D92B16">
              <w:rPr>
                <w:rFonts w:asciiTheme="minorHAnsi" w:hAnsiTheme="minorHAnsi" w:cstheme="minorHAnsi"/>
                <w:spacing w:val="-5"/>
                <w:sz w:val="20"/>
                <w:szCs w:val="20"/>
              </w:rPr>
              <w:t>7,5</w:t>
            </w:r>
          </w:p>
        </w:tc>
        <w:tc>
          <w:tcPr>
            <w:tcW w:w="708" w:type="dxa"/>
            <w:tcBorders>
              <w:top w:val="single" w:sz="8" w:space="0" w:color="000000"/>
              <w:left w:val="single" w:sz="8" w:space="0" w:color="000000"/>
              <w:bottom w:val="single" w:sz="8" w:space="0" w:color="000000"/>
              <w:right w:val="single" w:sz="8" w:space="0" w:color="000000"/>
            </w:tcBorders>
            <w:shd w:val="clear" w:color="auto" w:fill="C5DFB3"/>
          </w:tcPr>
          <w:p w14:paraId="79343D3D" w14:textId="77777777" w:rsidR="00412F22" w:rsidRPr="00D92B16" w:rsidRDefault="00412F22" w:rsidP="00EE0E23">
            <w:pPr>
              <w:pStyle w:val="TableParagraph"/>
              <w:spacing w:before="4"/>
              <w:ind w:left="33" w:right="2"/>
              <w:rPr>
                <w:rFonts w:asciiTheme="minorHAnsi" w:hAnsiTheme="minorHAnsi" w:cstheme="minorHAnsi"/>
                <w:sz w:val="20"/>
                <w:szCs w:val="20"/>
              </w:rPr>
            </w:pPr>
            <w:r w:rsidRPr="00D92B16">
              <w:rPr>
                <w:rFonts w:asciiTheme="minorHAnsi" w:hAnsiTheme="minorHAnsi" w:cstheme="minorHAnsi"/>
                <w:spacing w:val="-5"/>
                <w:sz w:val="20"/>
                <w:szCs w:val="20"/>
              </w:rPr>
              <w:t>4,7</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641E52FB" w14:textId="77777777" w:rsidR="00412F22" w:rsidRPr="00D92B16" w:rsidRDefault="00412F22" w:rsidP="00EE0E23">
            <w:pPr>
              <w:pStyle w:val="TableParagraph"/>
              <w:spacing w:before="4"/>
              <w:ind w:left="37" w:right="2"/>
              <w:rPr>
                <w:rFonts w:asciiTheme="minorHAnsi" w:hAnsiTheme="minorHAnsi" w:cstheme="minorHAnsi"/>
                <w:sz w:val="20"/>
                <w:szCs w:val="20"/>
              </w:rPr>
            </w:pPr>
            <w:r w:rsidRPr="00D92B16">
              <w:rPr>
                <w:rFonts w:asciiTheme="minorHAnsi" w:hAnsiTheme="minorHAnsi" w:cstheme="minorHAnsi"/>
                <w:spacing w:val="-5"/>
                <w:sz w:val="20"/>
                <w:szCs w:val="20"/>
              </w:rPr>
              <w:t>7,0</w:t>
            </w:r>
          </w:p>
        </w:tc>
        <w:tc>
          <w:tcPr>
            <w:tcW w:w="851" w:type="dxa"/>
            <w:tcBorders>
              <w:top w:val="single" w:sz="8" w:space="0" w:color="000000"/>
              <w:left w:val="single" w:sz="8" w:space="0" w:color="000000"/>
              <w:bottom w:val="single" w:sz="8" w:space="0" w:color="000000"/>
              <w:right w:val="single" w:sz="8" w:space="0" w:color="000000"/>
            </w:tcBorders>
            <w:shd w:val="clear" w:color="auto" w:fill="C5DFB3"/>
          </w:tcPr>
          <w:p w14:paraId="7A6250E7" w14:textId="77777777" w:rsidR="00412F22" w:rsidRPr="00D92B16" w:rsidRDefault="00412F22" w:rsidP="00EE0E23">
            <w:pPr>
              <w:pStyle w:val="TableParagraph"/>
              <w:spacing w:before="4"/>
              <w:ind w:left="50" w:right="10"/>
              <w:rPr>
                <w:rFonts w:asciiTheme="minorHAnsi" w:hAnsiTheme="minorHAnsi" w:cstheme="minorHAnsi"/>
                <w:sz w:val="20"/>
                <w:szCs w:val="20"/>
              </w:rPr>
            </w:pPr>
            <w:r w:rsidRPr="00D92B16">
              <w:rPr>
                <w:rFonts w:asciiTheme="minorHAnsi" w:hAnsiTheme="minorHAnsi" w:cstheme="minorHAnsi"/>
                <w:spacing w:val="-5"/>
                <w:sz w:val="20"/>
                <w:szCs w:val="20"/>
              </w:rPr>
              <w:t>8,6</w:t>
            </w:r>
          </w:p>
        </w:tc>
      </w:tr>
      <w:tr w:rsidR="00412F22" w:rsidRPr="003E3BDB" w14:paraId="44E086CC" w14:textId="77777777" w:rsidTr="00EE0E23">
        <w:trPr>
          <w:gridAfter w:val="1"/>
          <w:wAfter w:w="9" w:type="dxa"/>
          <w:trHeight w:val="253"/>
        </w:trPr>
        <w:tc>
          <w:tcPr>
            <w:tcW w:w="5930" w:type="dxa"/>
            <w:tcBorders>
              <w:left w:val="single" w:sz="8" w:space="0" w:color="000000"/>
              <w:right w:val="single" w:sz="8" w:space="0" w:color="000000"/>
            </w:tcBorders>
            <w:shd w:val="clear" w:color="auto" w:fill="auto"/>
          </w:tcPr>
          <w:p w14:paraId="6AC4B98E" w14:textId="77777777" w:rsidR="00412F22" w:rsidRPr="003E3BDB" w:rsidRDefault="00412F22" w:rsidP="00EE0E23">
            <w:pPr>
              <w:pStyle w:val="TableParagraph"/>
              <w:spacing w:line="207" w:lineRule="exact"/>
              <w:ind w:left="342"/>
              <w:rPr>
                <w:rFonts w:asciiTheme="minorHAnsi" w:hAnsiTheme="minorHAnsi" w:cstheme="minorHAnsi"/>
                <w:lang w:val="fr-FR"/>
              </w:rPr>
            </w:pPr>
            <w:r w:rsidRPr="003E3BDB">
              <w:rPr>
                <w:rFonts w:asciiTheme="minorHAnsi" w:hAnsiTheme="minorHAnsi" w:cstheme="minorHAnsi"/>
                <w:lang w:val="fr-FR"/>
              </w:rPr>
              <w:t>2.</w:t>
            </w:r>
            <w:r w:rsidRPr="003E3BDB">
              <w:rPr>
                <w:rFonts w:asciiTheme="minorHAnsi" w:hAnsiTheme="minorHAnsi" w:cstheme="minorHAnsi"/>
                <w:spacing w:val="-4"/>
                <w:lang w:val="fr-FR"/>
              </w:rPr>
              <w:t xml:space="preserve"> </w:t>
            </w:r>
            <w:r w:rsidRPr="003E3BDB">
              <w:rPr>
                <w:rFonts w:asciiTheme="minorHAnsi" w:hAnsiTheme="minorHAnsi" w:cstheme="minorHAnsi"/>
                <w:lang w:val="fr-FR"/>
              </w:rPr>
              <w:t>2.2 Autres</w:t>
            </w:r>
            <w:r w:rsidRPr="003E3BDB">
              <w:rPr>
                <w:rFonts w:asciiTheme="minorHAnsi" w:hAnsiTheme="minorHAnsi" w:cstheme="minorHAnsi"/>
                <w:spacing w:val="-2"/>
                <w:lang w:val="fr-FR"/>
              </w:rPr>
              <w:t xml:space="preserve"> </w:t>
            </w:r>
            <w:r w:rsidRPr="003E3BDB">
              <w:rPr>
                <w:rFonts w:asciiTheme="minorHAnsi" w:hAnsiTheme="minorHAnsi" w:cstheme="minorHAnsi"/>
                <w:lang w:val="fr-FR"/>
              </w:rPr>
              <w:t>activités</w:t>
            </w:r>
            <w:r w:rsidRPr="003E3BDB">
              <w:rPr>
                <w:rFonts w:asciiTheme="minorHAnsi" w:hAnsiTheme="minorHAnsi" w:cstheme="minorHAnsi"/>
                <w:spacing w:val="-1"/>
                <w:lang w:val="fr-FR"/>
              </w:rPr>
              <w:t xml:space="preserve"> </w:t>
            </w:r>
            <w:r w:rsidRPr="003E3BDB">
              <w:rPr>
                <w:rFonts w:asciiTheme="minorHAnsi" w:hAnsiTheme="minorHAnsi" w:cstheme="minorHAnsi"/>
                <w:spacing w:val="-2"/>
                <w:lang w:val="fr-FR"/>
              </w:rPr>
              <w:t>extractives</w:t>
            </w:r>
          </w:p>
        </w:tc>
        <w:tc>
          <w:tcPr>
            <w:tcW w:w="669" w:type="dxa"/>
            <w:tcBorders>
              <w:top w:val="single" w:sz="8" w:space="0" w:color="000000"/>
              <w:left w:val="single" w:sz="8" w:space="0" w:color="000000"/>
              <w:bottom w:val="single" w:sz="8" w:space="0" w:color="000000"/>
              <w:right w:val="single" w:sz="8" w:space="0" w:color="000000"/>
            </w:tcBorders>
            <w:shd w:val="clear" w:color="auto" w:fill="auto"/>
          </w:tcPr>
          <w:p w14:paraId="180F5B73" w14:textId="77777777" w:rsidR="00412F22" w:rsidRPr="00693F55" w:rsidRDefault="00412F22" w:rsidP="00EE0E23">
            <w:pPr>
              <w:pStyle w:val="TableParagraph"/>
              <w:spacing w:line="207" w:lineRule="exact"/>
              <w:ind w:left="36" w:right="3"/>
              <w:rPr>
                <w:rFonts w:asciiTheme="minorHAnsi" w:hAnsiTheme="minorHAnsi" w:cstheme="minorHAnsi"/>
              </w:rPr>
            </w:pPr>
            <w:r w:rsidRPr="00693F55">
              <w:rPr>
                <w:rFonts w:asciiTheme="minorHAnsi" w:hAnsiTheme="minorHAnsi" w:cstheme="minorHAnsi"/>
                <w:spacing w:val="-5"/>
              </w:rPr>
              <w:t>2,2</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2033FC9B" w14:textId="77777777" w:rsidR="00412F22" w:rsidRPr="00693F55" w:rsidRDefault="00412F22" w:rsidP="00EE0E23">
            <w:pPr>
              <w:pStyle w:val="TableParagraph"/>
              <w:spacing w:line="207" w:lineRule="exact"/>
              <w:ind w:left="34" w:right="2"/>
              <w:rPr>
                <w:rFonts w:asciiTheme="minorHAnsi" w:hAnsiTheme="minorHAnsi" w:cstheme="minorHAnsi"/>
              </w:rPr>
            </w:pPr>
            <w:r w:rsidRPr="00693F55">
              <w:rPr>
                <w:rFonts w:asciiTheme="minorHAnsi" w:hAnsiTheme="minorHAnsi" w:cstheme="minorHAnsi"/>
                <w:spacing w:val="-5"/>
              </w:rPr>
              <w:t>1,8</w:t>
            </w:r>
          </w:p>
        </w:tc>
        <w:tc>
          <w:tcPr>
            <w:tcW w:w="708" w:type="dxa"/>
            <w:tcBorders>
              <w:top w:val="single" w:sz="8" w:space="0" w:color="000000"/>
              <w:left w:val="single" w:sz="8" w:space="0" w:color="000000"/>
              <w:bottom w:val="single" w:sz="8" w:space="0" w:color="000000"/>
              <w:right w:val="single" w:sz="8" w:space="0" w:color="000000"/>
            </w:tcBorders>
            <w:shd w:val="clear" w:color="auto" w:fill="auto"/>
          </w:tcPr>
          <w:p w14:paraId="056E9822" w14:textId="77777777" w:rsidR="00412F22" w:rsidRPr="00693F55" w:rsidRDefault="00412F22" w:rsidP="00EE0E23">
            <w:pPr>
              <w:pStyle w:val="TableParagraph"/>
              <w:spacing w:line="207" w:lineRule="exact"/>
              <w:ind w:left="33" w:right="2"/>
              <w:rPr>
                <w:rFonts w:asciiTheme="minorHAnsi" w:hAnsiTheme="minorHAnsi" w:cstheme="minorHAnsi"/>
              </w:rPr>
            </w:pPr>
            <w:r w:rsidRPr="00693F55">
              <w:rPr>
                <w:rFonts w:asciiTheme="minorHAnsi" w:hAnsiTheme="minorHAnsi" w:cstheme="minorHAnsi"/>
                <w:spacing w:val="-5"/>
              </w:rPr>
              <w:t>1,5</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7ECF1150" w14:textId="77777777" w:rsidR="00412F22" w:rsidRPr="00693F55" w:rsidRDefault="00412F22" w:rsidP="00EE0E23">
            <w:pPr>
              <w:pStyle w:val="TableParagraph"/>
              <w:spacing w:line="207" w:lineRule="exact"/>
              <w:ind w:left="37" w:right="2"/>
              <w:rPr>
                <w:rFonts w:asciiTheme="minorHAnsi" w:hAnsiTheme="minorHAnsi" w:cstheme="minorHAnsi"/>
              </w:rPr>
            </w:pPr>
            <w:r w:rsidRPr="00693F55">
              <w:rPr>
                <w:rFonts w:asciiTheme="minorHAnsi" w:hAnsiTheme="minorHAnsi" w:cstheme="minorHAnsi"/>
                <w:spacing w:val="-5"/>
              </w:rPr>
              <w:t>1,8</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14:paraId="68D81668" w14:textId="77777777" w:rsidR="00412F22" w:rsidRPr="00693F55" w:rsidRDefault="00412F22" w:rsidP="00EE0E23">
            <w:pPr>
              <w:pStyle w:val="TableParagraph"/>
              <w:spacing w:line="207" w:lineRule="exact"/>
              <w:ind w:left="50" w:right="10"/>
              <w:rPr>
                <w:rFonts w:asciiTheme="minorHAnsi" w:hAnsiTheme="minorHAnsi" w:cstheme="minorHAnsi"/>
              </w:rPr>
            </w:pPr>
            <w:r w:rsidRPr="00693F55">
              <w:rPr>
                <w:rFonts w:asciiTheme="minorHAnsi" w:hAnsiTheme="minorHAnsi" w:cstheme="minorHAnsi"/>
                <w:spacing w:val="-5"/>
              </w:rPr>
              <w:t>1,8</w:t>
            </w:r>
          </w:p>
        </w:tc>
      </w:tr>
      <w:tr w:rsidR="00412F22" w:rsidRPr="003E3BDB" w14:paraId="13E109FC" w14:textId="77777777" w:rsidTr="00EE0E23">
        <w:trPr>
          <w:gridAfter w:val="1"/>
          <w:wAfter w:w="9" w:type="dxa"/>
          <w:trHeight w:val="253"/>
        </w:trPr>
        <w:tc>
          <w:tcPr>
            <w:tcW w:w="5930" w:type="dxa"/>
            <w:tcBorders>
              <w:left w:val="single" w:sz="8" w:space="0" w:color="000000"/>
              <w:right w:val="single" w:sz="8" w:space="0" w:color="000000"/>
            </w:tcBorders>
            <w:shd w:val="clear" w:color="auto" w:fill="C5DFB3"/>
          </w:tcPr>
          <w:p w14:paraId="74A012FA" w14:textId="77777777" w:rsidR="00412F22" w:rsidRPr="003E3BDB" w:rsidRDefault="00412F22" w:rsidP="00EE0E23">
            <w:pPr>
              <w:pStyle w:val="TableParagraph"/>
              <w:spacing w:before="6"/>
              <w:ind w:left="76"/>
              <w:rPr>
                <w:rFonts w:asciiTheme="minorHAnsi" w:hAnsiTheme="minorHAnsi" w:cstheme="minorHAnsi"/>
                <w:lang w:val="fr-FR"/>
              </w:rPr>
            </w:pPr>
            <w:r w:rsidRPr="003E3BDB">
              <w:rPr>
                <w:rFonts w:asciiTheme="minorHAnsi" w:hAnsiTheme="minorHAnsi" w:cstheme="minorHAnsi"/>
                <w:lang w:val="fr-FR"/>
              </w:rPr>
              <w:t>3.</w:t>
            </w:r>
            <w:r w:rsidRPr="003E3BDB">
              <w:rPr>
                <w:rFonts w:asciiTheme="minorHAnsi" w:hAnsiTheme="minorHAnsi" w:cstheme="minorHAnsi"/>
                <w:spacing w:val="-2"/>
                <w:lang w:val="fr-FR"/>
              </w:rPr>
              <w:t xml:space="preserve"> </w:t>
            </w:r>
            <w:r w:rsidRPr="003E3BDB">
              <w:rPr>
                <w:rFonts w:asciiTheme="minorHAnsi" w:hAnsiTheme="minorHAnsi" w:cstheme="minorHAnsi"/>
                <w:lang w:val="fr-FR"/>
              </w:rPr>
              <w:t>Activités</w:t>
            </w:r>
            <w:r w:rsidRPr="003E3BDB">
              <w:rPr>
                <w:rFonts w:asciiTheme="minorHAnsi" w:hAnsiTheme="minorHAnsi" w:cstheme="minorHAnsi"/>
                <w:spacing w:val="-2"/>
                <w:lang w:val="fr-FR"/>
              </w:rPr>
              <w:t xml:space="preserve"> manufacturières</w:t>
            </w:r>
          </w:p>
        </w:tc>
        <w:tc>
          <w:tcPr>
            <w:tcW w:w="669" w:type="dxa"/>
            <w:tcBorders>
              <w:top w:val="single" w:sz="8" w:space="0" w:color="000000"/>
              <w:left w:val="single" w:sz="8" w:space="0" w:color="000000"/>
              <w:bottom w:val="single" w:sz="8" w:space="0" w:color="000000"/>
              <w:right w:val="single" w:sz="8" w:space="0" w:color="000000"/>
            </w:tcBorders>
            <w:shd w:val="clear" w:color="auto" w:fill="C5DFB3"/>
          </w:tcPr>
          <w:p w14:paraId="3C04FCFA" w14:textId="77777777" w:rsidR="00412F22" w:rsidRPr="00693F55" w:rsidRDefault="00412F22" w:rsidP="00EE0E23">
            <w:pPr>
              <w:pStyle w:val="TableParagraph"/>
              <w:spacing w:before="6"/>
              <w:ind w:left="31" w:right="3"/>
              <w:rPr>
                <w:rFonts w:asciiTheme="minorHAnsi" w:hAnsiTheme="minorHAnsi" w:cstheme="minorHAnsi"/>
              </w:rPr>
            </w:pPr>
            <w:r w:rsidRPr="00693F55">
              <w:rPr>
                <w:rFonts w:asciiTheme="minorHAnsi" w:hAnsiTheme="minorHAnsi" w:cstheme="minorHAnsi"/>
                <w:spacing w:val="-5"/>
              </w:rPr>
              <w:t>9,1</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2669DBE9" w14:textId="77777777" w:rsidR="00412F22" w:rsidRPr="00693F55" w:rsidRDefault="00412F22" w:rsidP="00EE0E23">
            <w:pPr>
              <w:pStyle w:val="TableParagraph"/>
              <w:spacing w:before="6"/>
              <w:ind w:left="34" w:right="2"/>
              <w:rPr>
                <w:rFonts w:asciiTheme="minorHAnsi" w:hAnsiTheme="minorHAnsi" w:cstheme="minorHAnsi"/>
              </w:rPr>
            </w:pPr>
            <w:r w:rsidRPr="00693F55">
              <w:rPr>
                <w:rFonts w:asciiTheme="minorHAnsi" w:hAnsiTheme="minorHAnsi" w:cstheme="minorHAnsi"/>
                <w:spacing w:val="-5"/>
              </w:rPr>
              <w:t>8,9</w:t>
            </w:r>
          </w:p>
        </w:tc>
        <w:tc>
          <w:tcPr>
            <w:tcW w:w="708" w:type="dxa"/>
            <w:tcBorders>
              <w:top w:val="single" w:sz="8" w:space="0" w:color="000000"/>
              <w:left w:val="single" w:sz="8" w:space="0" w:color="000000"/>
              <w:bottom w:val="single" w:sz="8" w:space="0" w:color="000000"/>
              <w:right w:val="single" w:sz="8" w:space="0" w:color="000000"/>
            </w:tcBorders>
            <w:shd w:val="clear" w:color="auto" w:fill="C5DFB3"/>
          </w:tcPr>
          <w:p w14:paraId="4626525C" w14:textId="77777777" w:rsidR="00412F22" w:rsidRPr="00693F55" w:rsidRDefault="00412F22" w:rsidP="00EE0E23">
            <w:pPr>
              <w:pStyle w:val="TableParagraph"/>
              <w:spacing w:before="6"/>
              <w:ind w:left="33" w:right="2"/>
              <w:rPr>
                <w:rFonts w:asciiTheme="minorHAnsi" w:hAnsiTheme="minorHAnsi" w:cstheme="minorHAnsi"/>
              </w:rPr>
            </w:pPr>
            <w:r w:rsidRPr="00693F55">
              <w:rPr>
                <w:rFonts w:asciiTheme="minorHAnsi" w:hAnsiTheme="minorHAnsi" w:cstheme="minorHAnsi"/>
                <w:spacing w:val="-5"/>
              </w:rPr>
              <w:t>7,8</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47326FA9" w14:textId="77777777" w:rsidR="00412F22" w:rsidRPr="00693F55" w:rsidRDefault="00412F22" w:rsidP="00EE0E23">
            <w:pPr>
              <w:pStyle w:val="TableParagraph"/>
              <w:spacing w:before="6"/>
              <w:ind w:left="37" w:right="2"/>
              <w:rPr>
                <w:rFonts w:asciiTheme="minorHAnsi" w:hAnsiTheme="minorHAnsi" w:cstheme="minorHAnsi"/>
              </w:rPr>
            </w:pPr>
            <w:r w:rsidRPr="00693F55">
              <w:rPr>
                <w:rFonts w:asciiTheme="minorHAnsi" w:hAnsiTheme="minorHAnsi" w:cstheme="minorHAnsi"/>
                <w:spacing w:val="-5"/>
              </w:rPr>
              <w:t>8,0</w:t>
            </w:r>
          </w:p>
        </w:tc>
        <w:tc>
          <w:tcPr>
            <w:tcW w:w="851" w:type="dxa"/>
            <w:tcBorders>
              <w:top w:val="single" w:sz="8" w:space="0" w:color="000000"/>
              <w:left w:val="single" w:sz="8" w:space="0" w:color="000000"/>
              <w:bottom w:val="single" w:sz="8" w:space="0" w:color="000000"/>
              <w:right w:val="single" w:sz="8" w:space="0" w:color="000000"/>
            </w:tcBorders>
            <w:shd w:val="clear" w:color="auto" w:fill="C5DFB3"/>
          </w:tcPr>
          <w:p w14:paraId="74F270DF" w14:textId="77777777" w:rsidR="00412F22" w:rsidRPr="00693F55" w:rsidRDefault="00412F22" w:rsidP="00EE0E23">
            <w:pPr>
              <w:pStyle w:val="TableParagraph"/>
              <w:spacing w:before="6"/>
              <w:ind w:left="50" w:right="10"/>
              <w:rPr>
                <w:rFonts w:asciiTheme="minorHAnsi" w:hAnsiTheme="minorHAnsi" w:cstheme="minorHAnsi"/>
              </w:rPr>
            </w:pPr>
            <w:r w:rsidRPr="00693F55">
              <w:rPr>
                <w:rFonts w:asciiTheme="minorHAnsi" w:hAnsiTheme="minorHAnsi" w:cstheme="minorHAnsi"/>
                <w:spacing w:val="-5"/>
              </w:rPr>
              <w:t>8,4</w:t>
            </w:r>
          </w:p>
        </w:tc>
      </w:tr>
      <w:tr w:rsidR="00412F22" w:rsidRPr="003E3BDB" w14:paraId="6B9915F5" w14:textId="77777777" w:rsidTr="00EE0E23">
        <w:trPr>
          <w:gridAfter w:val="1"/>
          <w:wAfter w:w="9" w:type="dxa"/>
          <w:trHeight w:val="253"/>
        </w:trPr>
        <w:tc>
          <w:tcPr>
            <w:tcW w:w="5930" w:type="dxa"/>
            <w:tcBorders>
              <w:left w:val="single" w:sz="8" w:space="0" w:color="000000"/>
              <w:right w:val="single" w:sz="8" w:space="0" w:color="000000"/>
            </w:tcBorders>
            <w:shd w:val="clear" w:color="auto" w:fill="auto"/>
          </w:tcPr>
          <w:p w14:paraId="3B48BC79" w14:textId="77777777" w:rsidR="00412F22" w:rsidRPr="003E3BDB" w:rsidRDefault="00412F22" w:rsidP="00EE0E23">
            <w:pPr>
              <w:pStyle w:val="TableParagraph"/>
              <w:spacing w:line="207" w:lineRule="exact"/>
              <w:ind w:left="113"/>
              <w:rPr>
                <w:rFonts w:asciiTheme="minorHAnsi" w:hAnsiTheme="minorHAnsi" w:cstheme="minorHAnsi"/>
                <w:lang w:val="fr-FR"/>
              </w:rPr>
            </w:pPr>
            <w:r w:rsidRPr="003E3BDB">
              <w:rPr>
                <w:rFonts w:asciiTheme="minorHAnsi" w:hAnsiTheme="minorHAnsi" w:cstheme="minorHAnsi"/>
                <w:lang w:val="fr-FR"/>
              </w:rPr>
              <w:t>3.</w:t>
            </w:r>
            <w:r w:rsidRPr="003E3BDB">
              <w:rPr>
                <w:rFonts w:asciiTheme="minorHAnsi" w:hAnsiTheme="minorHAnsi" w:cstheme="minorHAnsi"/>
                <w:spacing w:val="-3"/>
                <w:lang w:val="fr-FR"/>
              </w:rPr>
              <w:t xml:space="preserve"> </w:t>
            </w:r>
            <w:r w:rsidRPr="003E3BDB">
              <w:rPr>
                <w:rFonts w:asciiTheme="minorHAnsi" w:hAnsiTheme="minorHAnsi" w:cstheme="minorHAnsi"/>
                <w:lang w:val="fr-FR"/>
              </w:rPr>
              <w:t>1 Activités</w:t>
            </w:r>
            <w:r w:rsidRPr="003E3BDB">
              <w:rPr>
                <w:rFonts w:asciiTheme="minorHAnsi" w:hAnsiTheme="minorHAnsi" w:cstheme="minorHAnsi"/>
                <w:spacing w:val="-1"/>
                <w:lang w:val="fr-FR"/>
              </w:rPr>
              <w:t xml:space="preserve"> </w:t>
            </w:r>
            <w:r w:rsidRPr="003E3BDB">
              <w:rPr>
                <w:rFonts w:asciiTheme="minorHAnsi" w:hAnsiTheme="minorHAnsi" w:cstheme="minorHAnsi"/>
                <w:lang w:val="fr-FR"/>
              </w:rPr>
              <w:t>manufacturières</w:t>
            </w:r>
            <w:r w:rsidRPr="003E3BDB">
              <w:rPr>
                <w:rFonts w:asciiTheme="minorHAnsi" w:hAnsiTheme="minorHAnsi" w:cstheme="minorHAnsi"/>
                <w:spacing w:val="-4"/>
                <w:lang w:val="fr-FR"/>
              </w:rPr>
              <w:t xml:space="preserve"> </w:t>
            </w:r>
            <w:r w:rsidRPr="003E3BDB">
              <w:rPr>
                <w:rFonts w:asciiTheme="minorHAnsi" w:hAnsiTheme="minorHAnsi" w:cstheme="minorHAnsi"/>
                <w:lang w:val="fr-FR"/>
              </w:rPr>
              <w:t>hors</w:t>
            </w:r>
            <w:r w:rsidRPr="003E3BDB">
              <w:rPr>
                <w:rFonts w:asciiTheme="minorHAnsi" w:hAnsiTheme="minorHAnsi" w:cstheme="minorHAnsi"/>
                <w:spacing w:val="-1"/>
                <w:lang w:val="fr-FR"/>
              </w:rPr>
              <w:t xml:space="preserve"> </w:t>
            </w:r>
            <w:r w:rsidRPr="003E3BDB">
              <w:rPr>
                <w:rFonts w:asciiTheme="minorHAnsi" w:hAnsiTheme="minorHAnsi" w:cstheme="minorHAnsi"/>
                <w:lang w:val="fr-FR"/>
              </w:rPr>
              <w:t>eau et</w:t>
            </w:r>
            <w:r w:rsidRPr="003E3BDB">
              <w:rPr>
                <w:rFonts w:asciiTheme="minorHAnsi" w:hAnsiTheme="minorHAnsi" w:cstheme="minorHAnsi"/>
                <w:spacing w:val="1"/>
                <w:lang w:val="fr-FR"/>
              </w:rPr>
              <w:t xml:space="preserve"> </w:t>
            </w:r>
            <w:r w:rsidRPr="003E3BDB">
              <w:rPr>
                <w:rFonts w:asciiTheme="minorHAnsi" w:hAnsiTheme="minorHAnsi" w:cstheme="minorHAnsi"/>
                <w:spacing w:val="-2"/>
                <w:lang w:val="fr-FR"/>
              </w:rPr>
              <w:t>électricité</w:t>
            </w:r>
          </w:p>
        </w:tc>
        <w:tc>
          <w:tcPr>
            <w:tcW w:w="669" w:type="dxa"/>
            <w:tcBorders>
              <w:top w:val="single" w:sz="8" w:space="0" w:color="000000"/>
              <w:left w:val="single" w:sz="8" w:space="0" w:color="000000"/>
              <w:bottom w:val="single" w:sz="8" w:space="0" w:color="000000"/>
              <w:right w:val="single" w:sz="8" w:space="0" w:color="000000"/>
            </w:tcBorders>
            <w:shd w:val="clear" w:color="auto" w:fill="auto"/>
          </w:tcPr>
          <w:p w14:paraId="70734313" w14:textId="77777777" w:rsidR="00412F22" w:rsidRPr="00693F55" w:rsidRDefault="00412F22" w:rsidP="00EE0E23">
            <w:pPr>
              <w:pStyle w:val="TableParagraph"/>
              <w:spacing w:line="207" w:lineRule="exact"/>
              <w:ind w:left="36" w:right="3"/>
              <w:rPr>
                <w:rFonts w:asciiTheme="minorHAnsi" w:hAnsiTheme="minorHAnsi" w:cstheme="minorHAnsi"/>
              </w:rPr>
            </w:pPr>
            <w:r w:rsidRPr="00693F55">
              <w:rPr>
                <w:rFonts w:asciiTheme="minorHAnsi" w:hAnsiTheme="minorHAnsi" w:cstheme="minorHAnsi"/>
                <w:spacing w:val="-5"/>
              </w:rPr>
              <w:t>7,1</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10E116EF" w14:textId="77777777" w:rsidR="00412F22" w:rsidRPr="00693F55" w:rsidRDefault="00412F22" w:rsidP="00EE0E23">
            <w:pPr>
              <w:pStyle w:val="TableParagraph"/>
              <w:spacing w:line="207" w:lineRule="exact"/>
              <w:ind w:left="34" w:right="2"/>
              <w:rPr>
                <w:rFonts w:asciiTheme="minorHAnsi" w:hAnsiTheme="minorHAnsi" w:cstheme="minorHAnsi"/>
              </w:rPr>
            </w:pPr>
            <w:r w:rsidRPr="00693F55">
              <w:rPr>
                <w:rFonts w:asciiTheme="minorHAnsi" w:hAnsiTheme="minorHAnsi" w:cstheme="minorHAnsi"/>
                <w:spacing w:val="-5"/>
              </w:rPr>
              <w:t>6,7</w:t>
            </w:r>
          </w:p>
        </w:tc>
        <w:tc>
          <w:tcPr>
            <w:tcW w:w="708" w:type="dxa"/>
            <w:tcBorders>
              <w:top w:val="single" w:sz="8" w:space="0" w:color="000000"/>
              <w:left w:val="single" w:sz="8" w:space="0" w:color="000000"/>
              <w:bottom w:val="single" w:sz="8" w:space="0" w:color="000000"/>
              <w:right w:val="single" w:sz="8" w:space="0" w:color="000000"/>
            </w:tcBorders>
            <w:shd w:val="clear" w:color="auto" w:fill="auto"/>
          </w:tcPr>
          <w:p w14:paraId="26397903" w14:textId="77777777" w:rsidR="00412F22" w:rsidRPr="00693F55" w:rsidRDefault="00412F22" w:rsidP="00EE0E23">
            <w:pPr>
              <w:pStyle w:val="TableParagraph"/>
              <w:spacing w:line="207" w:lineRule="exact"/>
              <w:ind w:left="33" w:right="2"/>
              <w:rPr>
                <w:rFonts w:asciiTheme="minorHAnsi" w:hAnsiTheme="minorHAnsi" w:cstheme="minorHAnsi"/>
              </w:rPr>
            </w:pPr>
            <w:r w:rsidRPr="00693F55">
              <w:rPr>
                <w:rFonts w:asciiTheme="minorHAnsi" w:hAnsiTheme="minorHAnsi" w:cstheme="minorHAnsi"/>
                <w:spacing w:val="-5"/>
              </w:rPr>
              <w:t>6,1</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05E425AF" w14:textId="77777777" w:rsidR="00412F22" w:rsidRPr="00693F55" w:rsidRDefault="00412F22" w:rsidP="00EE0E23">
            <w:pPr>
              <w:pStyle w:val="TableParagraph"/>
              <w:spacing w:line="207" w:lineRule="exact"/>
              <w:ind w:left="37" w:right="2"/>
              <w:rPr>
                <w:rFonts w:asciiTheme="minorHAnsi" w:hAnsiTheme="minorHAnsi" w:cstheme="minorHAnsi"/>
              </w:rPr>
            </w:pPr>
            <w:r w:rsidRPr="00693F55">
              <w:rPr>
                <w:rFonts w:asciiTheme="minorHAnsi" w:hAnsiTheme="minorHAnsi" w:cstheme="minorHAnsi"/>
                <w:spacing w:val="-5"/>
              </w:rPr>
              <w:t>6,6</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14:paraId="1C8669E4" w14:textId="77777777" w:rsidR="00412F22" w:rsidRPr="00693F55" w:rsidRDefault="00412F22" w:rsidP="00EE0E23">
            <w:pPr>
              <w:pStyle w:val="TableParagraph"/>
              <w:spacing w:line="207" w:lineRule="exact"/>
              <w:ind w:left="50" w:right="10"/>
              <w:rPr>
                <w:rFonts w:asciiTheme="minorHAnsi" w:hAnsiTheme="minorHAnsi" w:cstheme="minorHAnsi"/>
              </w:rPr>
            </w:pPr>
            <w:r w:rsidRPr="00693F55">
              <w:rPr>
                <w:rFonts w:asciiTheme="minorHAnsi" w:hAnsiTheme="minorHAnsi" w:cstheme="minorHAnsi"/>
                <w:spacing w:val="-5"/>
              </w:rPr>
              <w:t>6,5</w:t>
            </w:r>
          </w:p>
        </w:tc>
      </w:tr>
      <w:tr w:rsidR="00412F22" w:rsidRPr="003E3BDB" w14:paraId="5BC8D0EE" w14:textId="77777777" w:rsidTr="00EE0E23">
        <w:trPr>
          <w:gridAfter w:val="1"/>
          <w:wAfter w:w="9" w:type="dxa"/>
          <w:trHeight w:val="253"/>
        </w:trPr>
        <w:tc>
          <w:tcPr>
            <w:tcW w:w="5930" w:type="dxa"/>
            <w:tcBorders>
              <w:left w:val="single" w:sz="8" w:space="0" w:color="000000"/>
              <w:right w:val="single" w:sz="8" w:space="0" w:color="000000"/>
            </w:tcBorders>
            <w:shd w:val="clear" w:color="auto" w:fill="C5DFB3"/>
          </w:tcPr>
          <w:p w14:paraId="6AEC58CE" w14:textId="77777777" w:rsidR="00412F22" w:rsidRPr="003E3BDB" w:rsidRDefault="00412F22" w:rsidP="00EE0E23">
            <w:pPr>
              <w:pStyle w:val="TableParagraph"/>
              <w:spacing w:before="4"/>
              <w:ind w:left="347"/>
              <w:rPr>
                <w:rFonts w:asciiTheme="minorHAnsi" w:hAnsiTheme="minorHAnsi" w:cstheme="minorHAnsi"/>
                <w:lang w:val="fr-FR"/>
              </w:rPr>
            </w:pPr>
            <w:r w:rsidRPr="003E3BDB">
              <w:rPr>
                <w:rFonts w:asciiTheme="minorHAnsi" w:hAnsiTheme="minorHAnsi" w:cstheme="minorHAnsi"/>
                <w:lang w:val="fr-FR"/>
              </w:rPr>
              <w:t>3.</w:t>
            </w:r>
            <w:r w:rsidRPr="003E3BDB">
              <w:rPr>
                <w:rFonts w:asciiTheme="minorHAnsi" w:hAnsiTheme="minorHAnsi" w:cstheme="minorHAnsi"/>
                <w:spacing w:val="-4"/>
                <w:lang w:val="fr-FR"/>
              </w:rPr>
              <w:t xml:space="preserve"> </w:t>
            </w:r>
            <w:r w:rsidRPr="003E3BDB">
              <w:rPr>
                <w:rFonts w:asciiTheme="minorHAnsi" w:hAnsiTheme="minorHAnsi" w:cstheme="minorHAnsi"/>
                <w:lang w:val="fr-FR"/>
              </w:rPr>
              <w:t>2</w:t>
            </w:r>
            <w:r w:rsidRPr="003E3BDB">
              <w:rPr>
                <w:rFonts w:asciiTheme="minorHAnsi" w:hAnsiTheme="minorHAnsi" w:cstheme="minorHAnsi"/>
                <w:spacing w:val="-2"/>
                <w:lang w:val="fr-FR"/>
              </w:rPr>
              <w:t xml:space="preserve"> </w:t>
            </w:r>
            <w:r w:rsidRPr="003E3BDB">
              <w:rPr>
                <w:rFonts w:asciiTheme="minorHAnsi" w:hAnsiTheme="minorHAnsi" w:cstheme="minorHAnsi"/>
                <w:lang w:val="fr-FR"/>
              </w:rPr>
              <w:t>Production et</w:t>
            </w:r>
            <w:r w:rsidRPr="003E3BDB">
              <w:rPr>
                <w:rFonts w:asciiTheme="minorHAnsi" w:hAnsiTheme="minorHAnsi" w:cstheme="minorHAnsi"/>
                <w:spacing w:val="-3"/>
                <w:lang w:val="fr-FR"/>
              </w:rPr>
              <w:t xml:space="preserve"> </w:t>
            </w:r>
            <w:r w:rsidRPr="003E3BDB">
              <w:rPr>
                <w:rFonts w:asciiTheme="minorHAnsi" w:hAnsiTheme="minorHAnsi" w:cstheme="minorHAnsi"/>
                <w:lang w:val="fr-FR"/>
              </w:rPr>
              <w:t>distribution</w:t>
            </w:r>
            <w:r w:rsidRPr="003E3BDB">
              <w:rPr>
                <w:rFonts w:asciiTheme="minorHAnsi" w:hAnsiTheme="minorHAnsi" w:cstheme="minorHAnsi"/>
                <w:spacing w:val="-2"/>
                <w:lang w:val="fr-FR"/>
              </w:rPr>
              <w:t xml:space="preserve"> </w:t>
            </w:r>
            <w:r w:rsidRPr="003E3BDB">
              <w:rPr>
                <w:rFonts w:asciiTheme="minorHAnsi" w:hAnsiTheme="minorHAnsi" w:cstheme="minorHAnsi"/>
                <w:lang w:val="fr-FR"/>
              </w:rPr>
              <w:t>d'eau et</w:t>
            </w:r>
            <w:r w:rsidRPr="003E3BDB">
              <w:rPr>
                <w:rFonts w:asciiTheme="minorHAnsi" w:hAnsiTheme="minorHAnsi" w:cstheme="minorHAnsi"/>
                <w:spacing w:val="-1"/>
                <w:lang w:val="fr-FR"/>
              </w:rPr>
              <w:t xml:space="preserve"> </w:t>
            </w:r>
            <w:r w:rsidRPr="003E3BDB">
              <w:rPr>
                <w:rFonts w:asciiTheme="minorHAnsi" w:hAnsiTheme="minorHAnsi" w:cstheme="minorHAnsi"/>
                <w:spacing w:val="-2"/>
                <w:lang w:val="fr-FR"/>
              </w:rPr>
              <w:t>d'électricité</w:t>
            </w:r>
          </w:p>
        </w:tc>
        <w:tc>
          <w:tcPr>
            <w:tcW w:w="669" w:type="dxa"/>
            <w:tcBorders>
              <w:top w:val="single" w:sz="8" w:space="0" w:color="000000"/>
              <w:left w:val="single" w:sz="8" w:space="0" w:color="000000"/>
              <w:bottom w:val="single" w:sz="8" w:space="0" w:color="000000"/>
              <w:right w:val="single" w:sz="8" w:space="0" w:color="000000"/>
            </w:tcBorders>
            <w:shd w:val="clear" w:color="auto" w:fill="C5DFB3"/>
          </w:tcPr>
          <w:p w14:paraId="0817B9F8" w14:textId="77777777" w:rsidR="00412F22" w:rsidRPr="00693F55" w:rsidRDefault="00412F22" w:rsidP="00EE0E23">
            <w:pPr>
              <w:pStyle w:val="TableParagraph"/>
              <w:spacing w:before="4"/>
              <w:ind w:left="31" w:right="3"/>
              <w:rPr>
                <w:rFonts w:asciiTheme="minorHAnsi" w:hAnsiTheme="minorHAnsi" w:cstheme="minorHAnsi"/>
              </w:rPr>
            </w:pPr>
            <w:r w:rsidRPr="00693F55">
              <w:rPr>
                <w:rFonts w:asciiTheme="minorHAnsi" w:hAnsiTheme="minorHAnsi" w:cstheme="minorHAnsi"/>
                <w:spacing w:val="-5"/>
              </w:rPr>
              <w:t>2,0</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11461E90" w14:textId="77777777" w:rsidR="00412F22" w:rsidRPr="00693F55" w:rsidRDefault="00412F22" w:rsidP="00EE0E23">
            <w:pPr>
              <w:pStyle w:val="TableParagraph"/>
              <w:spacing w:before="4"/>
              <w:ind w:left="34" w:right="2"/>
              <w:rPr>
                <w:rFonts w:asciiTheme="minorHAnsi" w:hAnsiTheme="minorHAnsi" w:cstheme="minorHAnsi"/>
              </w:rPr>
            </w:pPr>
            <w:r w:rsidRPr="00693F55">
              <w:rPr>
                <w:rFonts w:asciiTheme="minorHAnsi" w:hAnsiTheme="minorHAnsi" w:cstheme="minorHAnsi"/>
                <w:spacing w:val="-5"/>
              </w:rPr>
              <w:t>2,2</w:t>
            </w:r>
          </w:p>
        </w:tc>
        <w:tc>
          <w:tcPr>
            <w:tcW w:w="708" w:type="dxa"/>
            <w:tcBorders>
              <w:top w:val="single" w:sz="8" w:space="0" w:color="000000"/>
              <w:left w:val="single" w:sz="8" w:space="0" w:color="000000"/>
              <w:bottom w:val="single" w:sz="8" w:space="0" w:color="000000"/>
              <w:right w:val="single" w:sz="8" w:space="0" w:color="000000"/>
            </w:tcBorders>
            <w:shd w:val="clear" w:color="auto" w:fill="C5DFB3"/>
          </w:tcPr>
          <w:p w14:paraId="4A0F2805" w14:textId="77777777" w:rsidR="00412F22" w:rsidRPr="00693F55" w:rsidRDefault="00412F22" w:rsidP="00EE0E23">
            <w:pPr>
              <w:pStyle w:val="TableParagraph"/>
              <w:spacing w:before="4"/>
              <w:ind w:left="33" w:right="2"/>
              <w:rPr>
                <w:rFonts w:asciiTheme="minorHAnsi" w:hAnsiTheme="minorHAnsi" w:cstheme="minorHAnsi"/>
              </w:rPr>
            </w:pPr>
            <w:r w:rsidRPr="00693F55">
              <w:rPr>
                <w:rFonts w:asciiTheme="minorHAnsi" w:hAnsiTheme="minorHAnsi" w:cstheme="minorHAnsi"/>
                <w:spacing w:val="-5"/>
              </w:rPr>
              <w:t>1,7</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427F1A03" w14:textId="77777777" w:rsidR="00412F22" w:rsidRPr="00693F55" w:rsidRDefault="00412F22" w:rsidP="00EE0E23">
            <w:pPr>
              <w:pStyle w:val="TableParagraph"/>
              <w:spacing w:before="4"/>
              <w:ind w:left="37" w:right="2"/>
              <w:rPr>
                <w:rFonts w:asciiTheme="minorHAnsi" w:hAnsiTheme="minorHAnsi" w:cstheme="minorHAnsi"/>
              </w:rPr>
            </w:pPr>
            <w:r w:rsidRPr="00693F55">
              <w:rPr>
                <w:rFonts w:asciiTheme="minorHAnsi" w:hAnsiTheme="minorHAnsi" w:cstheme="minorHAnsi"/>
                <w:spacing w:val="-5"/>
              </w:rPr>
              <w:t>1,4</w:t>
            </w:r>
          </w:p>
        </w:tc>
        <w:tc>
          <w:tcPr>
            <w:tcW w:w="851" w:type="dxa"/>
            <w:tcBorders>
              <w:top w:val="single" w:sz="8" w:space="0" w:color="000000"/>
              <w:left w:val="single" w:sz="8" w:space="0" w:color="000000"/>
              <w:bottom w:val="single" w:sz="8" w:space="0" w:color="000000"/>
              <w:right w:val="single" w:sz="8" w:space="0" w:color="000000"/>
            </w:tcBorders>
            <w:shd w:val="clear" w:color="auto" w:fill="C5DFB3"/>
          </w:tcPr>
          <w:p w14:paraId="2115C8E6" w14:textId="77777777" w:rsidR="00412F22" w:rsidRPr="00693F55" w:rsidRDefault="00412F22" w:rsidP="00EE0E23">
            <w:pPr>
              <w:pStyle w:val="TableParagraph"/>
              <w:spacing w:before="4"/>
              <w:ind w:left="50" w:right="10"/>
              <w:rPr>
                <w:rFonts w:asciiTheme="minorHAnsi" w:hAnsiTheme="minorHAnsi" w:cstheme="minorHAnsi"/>
              </w:rPr>
            </w:pPr>
            <w:r w:rsidRPr="00693F55">
              <w:rPr>
                <w:rFonts w:asciiTheme="minorHAnsi" w:hAnsiTheme="minorHAnsi" w:cstheme="minorHAnsi"/>
                <w:spacing w:val="-5"/>
              </w:rPr>
              <w:t>1,9</w:t>
            </w:r>
          </w:p>
        </w:tc>
      </w:tr>
      <w:tr w:rsidR="00412F22" w:rsidRPr="003E3BDB" w14:paraId="5F18751B" w14:textId="77777777" w:rsidTr="00EE0E23">
        <w:trPr>
          <w:gridAfter w:val="1"/>
          <w:wAfter w:w="9" w:type="dxa"/>
          <w:trHeight w:val="253"/>
        </w:trPr>
        <w:tc>
          <w:tcPr>
            <w:tcW w:w="5930" w:type="dxa"/>
            <w:tcBorders>
              <w:left w:val="single" w:sz="8" w:space="0" w:color="000000"/>
              <w:right w:val="single" w:sz="8" w:space="0" w:color="000000"/>
            </w:tcBorders>
            <w:shd w:val="clear" w:color="auto" w:fill="auto"/>
          </w:tcPr>
          <w:p w14:paraId="42042F33" w14:textId="77777777" w:rsidR="00412F22" w:rsidRPr="003E3BDB" w:rsidRDefault="00412F22" w:rsidP="00EE0E23">
            <w:pPr>
              <w:pStyle w:val="TableParagraph"/>
              <w:spacing w:before="2"/>
              <w:ind w:left="71"/>
              <w:rPr>
                <w:rFonts w:asciiTheme="minorHAnsi" w:hAnsiTheme="minorHAnsi" w:cstheme="minorHAnsi"/>
                <w:lang w:val="fr-FR"/>
              </w:rPr>
            </w:pPr>
            <w:r w:rsidRPr="003E3BDB">
              <w:rPr>
                <w:rFonts w:asciiTheme="minorHAnsi" w:hAnsiTheme="minorHAnsi" w:cstheme="minorHAnsi"/>
                <w:lang w:val="fr-FR"/>
              </w:rPr>
              <w:t>4.</w:t>
            </w:r>
            <w:r w:rsidRPr="003E3BDB">
              <w:rPr>
                <w:rFonts w:asciiTheme="minorHAnsi" w:hAnsiTheme="minorHAnsi" w:cstheme="minorHAnsi"/>
                <w:spacing w:val="-1"/>
                <w:lang w:val="fr-FR"/>
              </w:rPr>
              <w:t xml:space="preserve"> </w:t>
            </w:r>
            <w:r w:rsidRPr="003E3BDB">
              <w:rPr>
                <w:rFonts w:asciiTheme="minorHAnsi" w:hAnsiTheme="minorHAnsi" w:cstheme="minorHAnsi"/>
                <w:lang w:val="fr-FR"/>
              </w:rPr>
              <w:t>Bâtiment</w:t>
            </w:r>
            <w:r w:rsidRPr="003E3BDB">
              <w:rPr>
                <w:rFonts w:asciiTheme="minorHAnsi" w:hAnsiTheme="minorHAnsi" w:cstheme="minorHAnsi"/>
                <w:spacing w:val="-1"/>
                <w:lang w:val="fr-FR"/>
              </w:rPr>
              <w:t xml:space="preserve"> </w:t>
            </w:r>
            <w:r w:rsidRPr="003E3BDB">
              <w:rPr>
                <w:rFonts w:asciiTheme="minorHAnsi" w:hAnsiTheme="minorHAnsi" w:cstheme="minorHAnsi"/>
                <w:lang w:val="fr-FR"/>
              </w:rPr>
              <w:t>et</w:t>
            </w:r>
            <w:r w:rsidRPr="003E3BDB">
              <w:rPr>
                <w:rFonts w:asciiTheme="minorHAnsi" w:hAnsiTheme="minorHAnsi" w:cstheme="minorHAnsi"/>
                <w:spacing w:val="-2"/>
                <w:lang w:val="fr-FR"/>
              </w:rPr>
              <w:t xml:space="preserve"> </w:t>
            </w:r>
            <w:r w:rsidRPr="003E3BDB">
              <w:rPr>
                <w:rFonts w:asciiTheme="minorHAnsi" w:hAnsiTheme="minorHAnsi" w:cstheme="minorHAnsi"/>
                <w:lang w:val="fr-FR"/>
              </w:rPr>
              <w:t>travaux-</w:t>
            </w:r>
            <w:r w:rsidRPr="003E3BDB">
              <w:rPr>
                <w:rFonts w:asciiTheme="minorHAnsi" w:hAnsiTheme="minorHAnsi" w:cstheme="minorHAnsi"/>
                <w:spacing w:val="-2"/>
                <w:lang w:val="fr-FR"/>
              </w:rPr>
              <w:t>publics</w:t>
            </w:r>
          </w:p>
        </w:tc>
        <w:tc>
          <w:tcPr>
            <w:tcW w:w="669" w:type="dxa"/>
            <w:tcBorders>
              <w:top w:val="single" w:sz="8" w:space="0" w:color="000000"/>
              <w:left w:val="single" w:sz="8" w:space="0" w:color="000000"/>
              <w:bottom w:val="single" w:sz="8" w:space="0" w:color="000000"/>
              <w:right w:val="single" w:sz="8" w:space="0" w:color="000000"/>
            </w:tcBorders>
            <w:shd w:val="clear" w:color="auto" w:fill="auto"/>
          </w:tcPr>
          <w:p w14:paraId="35939138" w14:textId="77777777" w:rsidR="00412F22" w:rsidRPr="00693F55" w:rsidRDefault="00412F22" w:rsidP="00EE0E23">
            <w:pPr>
              <w:pStyle w:val="TableParagraph"/>
              <w:spacing w:before="2"/>
              <w:ind w:left="36" w:right="3"/>
              <w:rPr>
                <w:rFonts w:asciiTheme="minorHAnsi" w:hAnsiTheme="minorHAnsi" w:cstheme="minorHAnsi"/>
              </w:rPr>
            </w:pPr>
            <w:r w:rsidRPr="00693F55">
              <w:rPr>
                <w:rFonts w:asciiTheme="minorHAnsi" w:hAnsiTheme="minorHAnsi" w:cstheme="minorHAnsi"/>
                <w:spacing w:val="-5"/>
              </w:rPr>
              <w:t>4,7</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7936D513" w14:textId="77777777" w:rsidR="00412F22" w:rsidRPr="00693F55" w:rsidRDefault="00412F22" w:rsidP="00EE0E23">
            <w:pPr>
              <w:pStyle w:val="TableParagraph"/>
              <w:spacing w:before="2"/>
              <w:ind w:left="34" w:right="2"/>
              <w:rPr>
                <w:rFonts w:asciiTheme="minorHAnsi" w:hAnsiTheme="minorHAnsi" w:cstheme="minorHAnsi"/>
              </w:rPr>
            </w:pPr>
            <w:r w:rsidRPr="00693F55">
              <w:rPr>
                <w:rFonts w:asciiTheme="minorHAnsi" w:hAnsiTheme="minorHAnsi" w:cstheme="minorHAnsi"/>
                <w:spacing w:val="-5"/>
              </w:rPr>
              <w:t>3,8</w:t>
            </w:r>
          </w:p>
        </w:tc>
        <w:tc>
          <w:tcPr>
            <w:tcW w:w="708" w:type="dxa"/>
            <w:tcBorders>
              <w:top w:val="single" w:sz="8" w:space="0" w:color="000000"/>
              <w:left w:val="single" w:sz="8" w:space="0" w:color="000000"/>
              <w:bottom w:val="single" w:sz="8" w:space="0" w:color="000000"/>
              <w:right w:val="single" w:sz="8" w:space="0" w:color="000000"/>
            </w:tcBorders>
            <w:shd w:val="clear" w:color="auto" w:fill="auto"/>
          </w:tcPr>
          <w:p w14:paraId="479941E6" w14:textId="77777777" w:rsidR="00412F22" w:rsidRPr="00693F55" w:rsidRDefault="00412F22" w:rsidP="00EE0E23">
            <w:pPr>
              <w:pStyle w:val="TableParagraph"/>
              <w:spacing w:before="2"/>
              <w:ind w:left="33" w:right="2"/>
              <w:rPr>
                <w:rFonts w:asciiTheme="minorHAnsi" w:hAnsiTheme="minorHAnsi" w:cstheme="minorHAnsi"/>
              </w:rPr>
            </w:pPr>
            <w:r w:rsidRPr="00693F55">
              <w:rPr>
                <w:rFonts w:asciiTheme="minorHAnsi" w:hAnsiTheme="minorHAnsi" w:cstheme="minorHAnsi"/>
                <w:spacing w:val="-5"/>
              </w:rPr>
              <w:t>3,7</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5D81E21B" w14:textId="77777777" w:rsidR="00412F22" w:rsidRPr="00693F55" w:rsidRDefault="00412F22" w:rsidP="00EE0E23">
            <w:pPr>
              <w:pStyle w:val="TableParagraph"/>
              <w:spacing w:before="2"/>
              <w:ind w:left="37" w:right="2"/>
              <w:rPr>
                <w:rFonts w:asciiTheme="minorHAnsi" w:hAnsiTheme="minorHAnsi" w:cstheme="minorHAnsi"/>
              </w:rPr>
            </w:pPr>
            <w:r w:rsidRPr="00693F55">
              <w:rPr>
                <w:rFonts w:asciiTheme="minorHAnsi" w:hAnsiTheme="minorHAnsi" w:cstheme="minorHAnsi"/>
                <w:spacing w:val="-5"/>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14:paraId="5ACBFF92" w14:textId="77777777" w:rsidR="00412F22" w:rsidRPr="00693F55" w:rsidRDefault="00412F22" w:rsidP="00EE0E23">
            <w:pPr>
              <w:pStyle w:val="TableParagraph"/>
              <w:spacing w:before="2"/>
              <w:ind w:left="50" w:right="10"/>
              <w:rPr>
                <w:rFonts w:asciiTheme="minorHAnsi" w:hAnsiTheme="minorHAnsi" w:cstheme="minorHAnsi"/>
              </w:rPr>
            </w:pPr>
            <w:r w:rsidRPr="00693F55">
              <w:rPr>
                <w:rFonts w:asciiTheme="minorHAnsi" w:hAnsiTheme="minorHAnsi" w:cstheme="minorHAnsi"/>
                <w:spacing w:val="-5"/>
              </w:rPr>
              <w:t>3,3</w:t>
            </w:r>
          </w:p>
        </w:tc>
      </w:tr>
      <w:tr w:rsidR="00412F22" w:rsidRPr="003E3BDB" w14:paraId="10FC566F" w14:textId="77777777" w:rsidTr="00EE0E23">
        <w:trPr>
          <w:gridAfter w:val="1"/>
          <w:wAfter w:w="9" w:type="dxa"/>
          <w:trHeight w:val="253"/>
        </w:trPr>
        <w:tc>
          <w:tcPr>
            <w:tcW w:w="5930" w:type="dxa"/>
            <w:tcBorders>
              <w:left w:val="single" w:sz="8" w:space="0" w:color="000000"/>
              <w:right w:val="single" w:sz="8" w:space="0" w:color="000000"/>
            </w:tcBorders>
            <w:shd w:val="clear" w:color="auto" w:fill="C5DFB3"/>
          </w:tcPr>
          <w:p w14:paraId="48516A52" w14:textId="77777777" w:rsidR="00412F22" w:rsidRPr="00693F55" w:rsidRDefault="00412F22" w:rsidP="00EE0E23">
            <w:pPr>
              <w:pStyle w:val="TableParagraph"/>
              <w:spacing w:before="4"/>
              <w:ind w:left="76"/>
              <w:rPr>
                <w:rFonts w:asciiTheme="minorHAnsi" w:hAnsiTheme="minorHAnsi" w:cstheme="minorHAnsi"/>
                <w:b/>
                <w:lang w:val="fr-FR"/>
              </w:rPr>
            </w:pPr>
            <w:r w:rsidRPr="00693F55">
              <w:rPr>
                <w:rFonts w:asciiTheme="minorHAnsi" w:hAnsiTheme="minorHAnsi" w:cstheme="minorHAnsi"/>
                <w:b/>
                <w:lang w:val="fr-FR"/>
              </w:rPr>
              <w:t>Secteur</w:t>
            </w:r>
            <w:r w:rsidRPr="00693F55">
              <w:rPr>
                <w:rFonts w:asciiTheme="minorHAnsi" w:hAnsiTheme="minorHAnsi" w:cstheme="minorHAnsi"/>
                <w:b/>
                <w:spacing w:val="-6"/>
                <w:lang w:val="fr-FR"/>
              </w:rPr>
              <w:t xml:space="preserve"> </w:t>
            </w:r>
            <w:r w:rsidRPr="00693F55">
              <w:rPr>
                <w:rFonts w:asciiTheme="minorHAnsi" w:hAnsiTheme="minorHAnsi" w:cstheme="minorHAnsi"/>
                <w:b/>
                <w:spacing w:val="-2"/>
                <w:lang w:val="fr-FR"/>
              </w:rPr>
              <w:t>tertiaire</w:t>
            </w:r>
          </w:p>
        </w:tc>
        <w:tc>
          <w:tcPr>
            <w:tcW w:w="669" w:type="dxa"/>
            <w:tcBorders>
              <w:top w:val="single" w:sz="8" w:space="0" w:color="000000"/>
              <w:left w:val="single" w:sz="8" w:space="0" w:color="000000"/>
              <w:bottom w:val="single" w:sz="8" w:space="0" w:color="000000"/>
              <w:right w:val="single" w:sz="8" w:space="0" w:color="000000"/>
            </w:tcBorders>
            <w:shd w:val="clear" w:color="auto" w:fill="C5DFB3"/>
          </w:tcPr>
          <w:p w14:paraId="766899A3" w14:textId="77777777" w:rsidR="00412F22" w:rsidRPr="00693F55" w:rsidRDefault="00412F22" w:rsidP="00EE0E23">
            <w:pPr>
              <w:pStyle w:val="TableParagraph"/>
              <w:spacing w:before="4"/>
              <w:ind w:left="31"/>
              <w:rPr>
                <w:rFonts w:asciiTheme="minorHAnsi" w:hAnsiTheme="minorHAnsi" w:cstheme="minorHAnsi"/>
                <w:b/>
              </w:rPr>
            </w:pPr>
            <w:r w:rsidRPr="00693F55">
              <w:rPr>
                <w:rFonts w:asciiTheme="minorHAnsi" w:hAnsiTheme="minorHAnsi" w:cstheme="minorHAnsi"/>
                <w:b/>
                <w:spacing w:val="-4"/>
              </w:rPr>
              <w:t>42,8</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25DAF7DB" w14:textId="77777777" w:rsidR="00412F22" w:rsidRPr="00693F55" w:rsidRDefault="00412F22" w:rsidP="00EE0E23">
            <w:pPr>
              <w:pStyle w:val="TableParagraph"/>
              <w:spacing w:before="4"/>
              <w:ind w:left="34"/>
              <w:rPr>
                <w:rFonts w:asciiTheme="minorHAnsi" w:hAnsiTheme="minorHAnsi" w:cstheme="minorHAnsi"/>
                <w:b/>
              </w:rPr>
            </w:pPr>
            <w:r w:rsidRPr="00693F55">
              <w:rPr>
                <w:rFonts w:asciiTheme="minorHAnsi" w:hAnsiTheme="minorHAnsi" w:cstheme="minorHAnsi"/>
                <w:b/>
                <w:spacing w:val="-4"/>
              </w:rPr>
              <w:t>39,0</w:t>
            </w:r>
          </w:p>
        </w:tc>
        <w:tc>
          <w:tcPr>
            <w:tcW w:w="708" w:type="dxa"/>
            <w:tcBorders>
              <w:top w:val="single" w:sz="8" w:space="0" w:color="000000"/>
              <w:left w:val="single" w:sz="8" w:space="0" w:color="000000"/>
              <w:bottom w:val="single" w:sz="8" w:space="0" w:color="000000"/>
              <w:right w:val="single" w:sz="8" w:space="0" w:color="000000"/>
            </w:tcBorders>
            <w:shd w:val="clear" w:color="auto" w:fill="C5DFB3"/>
          </w:tcPr>
          <w:p w14:paraId="5C6346ED" w14:textId="77777777" w:rsidR="00412F22" w:rsidRPr="00693F55" w:rsidRDefault="00412F22" w:rsidP="00EE0E23">
            <w:pPr>
              <w:pStyle w:val="TableParagraph"/>
              <w:spacing w:before="4"/>
              <w:ind w:left="33"/>
              <w:rPr>
                <w:rFonts w:asciiTheme="minorHAnsi" w:hAnsiTheme="minorHAnsi" w:cstheme="minorHAnsi"/>
                <w:b/>
              </w:rPr>
            </w:pPr>
            <w:r w:rsidRPr="00693F55">
              <w:rPr>
                <w:rFonts w:asciiTheme="minorHAnsi" w:hAnsiTheme="minorHAnsi" w:cstheme="minorHAnsi"/>
                <w:b/>
                <w:spacing w:val="-4"/>
              </w:rPr>
              <w:t>41,3</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67A4DF0B" w14:textId="77777777" w:rsidR="00412F22" w:rsidRPr="00693F55" w:rsidRDefault="00412F22" w:rsidP="00EE0E23">
            <w:pPr>
              <w:pStyle w:val="TableParagraph"/>
              <w:spacing w:before="4"/>
              <w:ind w:left="37"/>
              <w:rPr>
                <w:rFonts w:asciiTheme="minorHAnsi" w:hAnsiTheme="minorHAnsi" w:cstheme="minorHAnsi"/>
                <w:b/>
              </w:rPr>
            </w:pPr>
            <w:r w:rsidRPr="00693F55">
              <w:rPr>
                <w:rFonts w:asciiTheme="minorHAnsi" w:hAnsiTheme="minorHAnsi" w:cstheme="minorHAnsi"/>
                <w:b/>
                <w:spacing w:val="-4"/>
              </w:rPr>
              <w:t>44,6</w:t>
            </w:r>
          </w:p>
        </w:tc>
        <w:tc>
          <w:tcPr>
            <w:tcW w:w="851" w:type="dxa"/>
            <w:tcBorders>
              <w:top w:val="single" w:sz="8" w:space="0" w:color="000000"/>
              <w:left w:val="single" w:sz="8" w:space="0" w:color="000000"/>
              <w:bottom w:val="single" w:sz="8" w:space="0" w:color="000000"/>
              <w:right w:val="single" w:sz="8" w:space="0" w:color="000000"/>
            </w:tcBorders>
            <w:shd w:val="clear" w:color="auto" w:fill="C5DFB3"/>
          </w:tcPr>
          <w:p w14:paraId="3B0D86E2" w14:textId="77777777" w:rsidR="00412F22" w:rsidRPr="00693F55" w:rsidRDefault="00412F22" w:rsidP="00EE0E23">
            <w:pPr>
              <w:pStyle w:val="TableParagraph"/>
              <w:spacing w:before="4"/>
              <w:ind w:left="50" w:right="12"/>
              <w:rPr>
                <w:rFonts w:asciiTheme="minorHAnsi" w:hAnsiTheme="minorHAnsi" w:cstheme="minorHAnsi"/>
                <w:b/>
              </w:rPr>
            </w:pPr>
            <w:r w:rsidRPr="00693F55">
              <w:rPr>
                <w:rFonts w:asciiTheme="minorHAnsi" w:hAnsiTheme="minorHAnsi" w:cstheme="minorHAnsi"/>
                <w:b/>
                <w:spacing w:val="-4"/>
              </w:rPr>
              <w:t>43,8</w:t>
            </w:r>
          </w:p>
        </w:tc>
      </w:tr>
      <w:tr w:rsidR="00412F22" w:rsidRPr="003E3BDB" w14:paraId="055F8E65" w14:textId="77777777" w:rsidTr="00EE0E23">
        <w:trPr>
          <w:gridAfter w:val="1"/>
          <w:wAfter w:w="9" w:type="dxa"/>
          <w:trHeight w:val="253"/>
        </w:trPr>
        <w:tc>
          <w:tcPr>
            <w:tcW w:w="5930" w:type="dxa"/>
            <w:tcBorders>
              <w:left w:val="single" w:sz="8" w:space="0" w:color="000000"/>
              <w:right w:val="single" w:sz="8" w:space="0" w:color="000000"/>
            </w:tcBorders>
            <w:shd w:val="clear" w:color="auto" w:fill="auto"/>
          </w:tcPr>
          <w:p w14:paraId="3B8C9AFE" w14:textId="77777777" w:rsidR="00412F22" w:rsidRPr="00693F55" w:rsidRDefault="00412F22" w:rsidP="00EE0E23">
            <w:pPr>
              <w:pStyle w:val="TableParagraph"/>
              <w:spacing w:line="207" w:lineRule="exact"/>
              <w:ind w:left="71"/>
              <w:rPr>
                <w:rFonts w:asciiTheme="minorHAnsi" w:hAnsiTheme="minorHAnsi" w:cstheme="minorHAnsi"/>
              </w:rPr>
            </w:pPr>
            <w:r w:rsidRPr="00693F55">
              <w:rPr>
                <w:rFonts w:asciiTheme="minorHAnsi" w:hAnsiTheme="minorHAnsi" w:cstheme="minorHAnsi"/>
              </w:rPr>
              <w:t>5.</w:t>
            </w:r>
            <w:r w:rsidRPr="00693F55">
              <w:rPr>
                <w:rFonts w:asciiTheme="minorHAnsi" w:hAnsiTheme="minorHAnsi" w:cstheme="minorHAnsi"/>
                <w:spacing w:val="-2"/>
              </w:rPr>
              <w:t xml:space="preserve"> </w:t>
            </w:r>
            <w:r w:rsidRPr="00693F55">
              <w:rPr>
                <w:rFonts w:asciiTheme="minorHAnsi" w:hAnsiTheme="minorHAnsi" w:cstheme="minorHAnsi"/>
              </w:rPr>
              <w:t>Transport,</w:t>
            </w:r>
            <w:r w:rsidRPr="00693F55">
              <w:rPr>
                <w:rFonts w:asciiTheme="minorHAnsi" w:hAnsiTheme="minorHAnsi" w:cstheme="minorHAnsi"/>
                <w:spacing w:val="-2"/>
              </w:rPr>
              <w:t xml:space="preserve"> </w:t>
            </w:r>
            <w:r w:rsidRPr="00693F55">
              <w:rPr>
                <w:rFonts w:asciiTheme="minorHAnsi" w:hAnsiTheme="minorHAnsi" w:cstheme="minorHAnsi"/>
              </w:rPr>
              <w:t>Information</w:t>
            </w:r>
            <w:r w:rsidRPr="00693F55">
              <w:rPr>
                <w:rFonts w:asciiTheme="minorHAnsi" w:hAnsiTheme="minorHAnsi" w:cstheme="minorHAnsi"/>
                <w:spacing w:val="-2"/>
              </w:rPr>
              <w:t xml:space="preserve"> </w:t>
            </w:r>
            <w:r w:rsidRPr="00693F55">
              <w:rPr>
                <w:rFonts w:asciiTheme="minorHAnsi" w:hAnsiTheme="minorHAnsi" w:cstheme="minorHAnsi"/>
              </w:rPr>
              <w:t>et</w:t>
            </w:r>
            <w:r w:rsidRPr="00693F55">
              <w:rPr>
                <w:rFonts w:asciiTheme="minorHAnsi" w:hAnsiTheme="minorHAnsi" w:cstheme="minorHAnsi"/>
                <w:spacing w:val="-1"/>
              </w:rPr>
              <w:t xml:space="preserve"> </w:t>
            </w:r>
            <w:r w:rsidRPr="00693F55">
              <w:rPr>
                <w:rFonts w:asciiTheme="minorHAnsi" w:hAnsiTheme="minorHAnsi" w:cstheme="minorHAnsi"/>
                <w:spacing w:val="-2"/>
              </w:rPr>
              <w:t>communication</w:t>
            </w:r>
          </w:p>
        </w:tc>
        <w:tc>
          <w:tcPr>
            <w:tcW w:w="669" w:type="dxa"/>
            <w:tcBorders>
              <w:top w:val="single" w:sz="8" w:space="0" w:color="000000"/>
              <w:left w:val="single" w:sz="8" w:space="0" w:color="000000"/>
              <w:bottom w:val="single" w:sz="8" w:space="0" w:color="000000"/>
              <w:right w:val="single" w:sz="8" w:space="0" w:color="000000"/>
            </w:tcBorders>
            <w:shd w:val="clear" w:color="auto" w:fill="auto"/>
          </w:tcPr>
          <w:p w14:paraId="1C22E4BB" w14:textId="77777777" w:rsidR="00412F22" w:rsidRPr="00693F55" w:rsidRDefault="00412F22" w:rsidP="00EE0E23">
            <w:pPr>
              <w:pStyle w:val="TableParagraph"/>
              <w:spacing w:line="207" w:lineRule="exact"/>
              <w:ind w:left="36" w:right="3"/>
              <w:rPr>
                <w:rFonts w:asciiTheme="minorHAnsi" w:hAnsiTheme="minorHAnsi" w:cstheme="minorHAnsi"/>
              </w:rPr>
            </w:pPr>
            <w:r w:rsidRPr="00693F55">
              <w:rPr>
                <w:rFonts w:asciiTheme="minorHAnsi" w:hAnsiTheme="minorHAnsi" w:cstheme="minorHAnsi"/>
                <w:spacing w:val="-5"/>
              </w:rPr>
              <w:t>7,0</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01ADA757" w14:textId="77777777" w:rsidR="00412F22" w:rsidRPr="00693F55" w:rsidRDefault="00412F22" w:rsidP="00EE0E23">
            <w:pPr>
              <w:pStyle w:val="TableParagraph"/>
              <w:spacing w:line="207" w:lineRule="exact"/>
              <w:ind w:left="34" w:right="2"/>
              <w:rPr>
                <w:rFonts w:asciiTheme="minorHAnsi" w:hAnsiTheme="minorHAnsi" w:cstheme="minorHAnsi"/>
              </w:rPr>
            </w:pPr>
            <w:r w:rsidRPr="00693F55">
              <w:rPr>
                <w:rFonts w:asciiTheme="minorHAnsi" w:hAnsiTheme="minorHAnsi" w:cstheme="minorHAnsi"/>
                <w:spacing w:val="-5"/>
              </w:rPr>
              <w:t>6,5</w:t>
            </w:r>
          </w:p>
        </w:tc>
        <w:tc>
          <w:tcPr>
            <w:tcW w:w="708" w:type="dxa"/>
            <w:tcBorders>
              <w:top w:val="single" w:sz="8" w:space="0" w:color="000000"/>
              <w:left w:val="single" w:sz="8" w:space="0" w:color="000000"/>
              <w:bottom w:val="single" w:sz="8" w:space="0" w:color="000000"/>
              <w:right w:val="single" w:sz="8" w:space="0" w:color="000000"/>
            </w:tcBorders>
            <w:shd w:val="clear" w:color="auto" w:fill="auto"/>
          </w:tcPr>
          <w:p w14:paraId="7DF95A11" w14:textId="77777777" w:rsidR="00412F22" w:rsidRPr="00693F55" w:rsidRDefault="00412F22" w:rsidP="00EE0E23">
            <w:pPr>
              <w:pStyle w:val="TableParagraph"/>
              <w:spacing w:line="207" w:lineRule="exact"/>
              <w:ind w:left="33" w:right="2"/>
              <w:rPr>
                <w:rFonts w:asciiTheme="minorHAnsi" w:hAnsiTheme="minorHAnsi" w:cstheme="minorHAnsi"/>
              </w:rPr>
            </w:pPr>
            <w:r w:rsidRPr="00693F55">
              <w:rPr>
                <w:rFonts w:asciiTheme="minorHAnsi" w:hAnsiTheme="minorHAnsi" w:cstheme="minorHAnsi"/>
                <w:spacing w:val="-5"/>
              </w:rPr>
              <w:t>6,6</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6201377C" w14:textId="77777777" w:rsidR="00412F22" w:rsidRPr="00693F55" w:rsidRDefault="00412F22" w:rsidP="00EE0E23">
            <w:pPr>
              <w:pStyle w:val="TableParagraph"/>
              <w:spacing w:line="207" w:lineRule="exact"/>
              <w:ind w:left="37" w:right="2"/>
              <w:rPr>
                <w:rFonts w:asciiTheme="minorHAnsi" w:hAnsiTheme="minorHAnsi" w:cstheme="minorHAnsi"/>
              </w:rPr>
            </w:pPr>
            <w:r w:rsidRPr="00693F55">
              <w:rPr>
                <w:rFonts w:asciiTheme="minorHAnsi" w:hAnsiTheme="minorHAnsi" w:cstheme="minorHAnsi"/>
                <w:spacing w:val="-5"/>
              </w:rPr>
              <w:t>6,5</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14:paraId="63BA83CF" w14:textId="77777777" w:rsidR="00412F22" w:rsidRPr="00693F55" w:rsidRDefault="00412F22" w:rsidP="00EE0E23">
            <w:pPr>
              <w:pStyle w:val="TableParagraph"/>
              <w:spacing w:line="207" w:lineRule="exact"/>
              <w:ind w:left="50" w:right="10"/>
              <w:rPr>
                <w:rFonts w:asciiTheme="minorHAnsi" w:hAnsiTheme="minorHAnsi" w:cstheme="minorHAnsi"/>
              </w:rPr>
            </w:pPr>
            <w:r w:rsidRPr="00693F55">
              <w:rPr>
                <w:rFonts w:asciiTheme="minorHAnsi" w:hAnsiTheme="minorHAnsi" w:cstheme="minorHAnsi"/>
                <w:spacing w:val="-5"/>
              </w:rPr>
              <w:t>6,2</w:t>
            </w:r>
          </w:p>
        </w:tc>
      </w:tr>
      <w:tr w:rsidR="00412F22" w:rsidRPr="003E3BDB" w14:paraId="2A187A3D" w14:textId="77777777" w:rsidTr="00EE0E23">
        <w:trPr>
          <w:gridAfter w:val="1"/>
          <w:wAfter w:w="9" w:type="dxa"/>
          <w:trHeight w:val="253"/>
        </w:trPr>
        <w:tc>
          <w:tcPr>
            <w:tcW w:w="5930" w:type="dxa"/>
            <w:tcBorders>
              <w:left w:val="single" w:sz="8" w:space="0" w:color="000000"/>
              <w:right w:val="single" w:sz="8" w:space="0" w:color="000000"/>
            </w:tcBorders>
            <w:shd w:val="clear" w:color="auto" w:fill="C5DFB3"/>
          </w:tcPr>
          <w:p w14:paraId="3DE66546" w14:textId="77777777" w:rsidR="00412F22" w:rsidRPr="00693F55" w:rsidRDefault="00412F22" w:rsidP="00EE0E23">
            <w:pPr>
              <w:pStyle w:val="TableParagraph"/>
              <w:spacing w:before="6"/>
              <w:ind w:left="347"/>
              <w:rPr>
                <w:rFonts w:asciiTheme="minorHAnsi" w:hAnsiTheme="minorHAnsi" w:cstheme="minorHAnsi"/>
              </w:rPr>
            </w:pPr>
            <w:r w:rsidRPr="00693F55">
              <w:rPr>
                <w:rFonts w:asciiTheme="minorHAnsi" w:hAnsiTheme="minorHAnsi" w:cstheme="minorHAnsi"/>
              </w:rPr>
              <w:t>5.</w:t>
            </w:r>
            <w:r w:rsidRPr="00693F55">
              <w:rPr>
                <w:rFonts w:asciiTheme="minorHAnsi" w:hAnsiTheme="minorHAnsi" w:cstheme="minorHAnsi"/>
                <w:spacing w:val="-2"/>
              </w:rPr>
              <w:t xml:space="preserve"> </w:t>
            </w:r>
            <w:r w:rsidRPr="00693F55">
              <w:rPr>
                <w:rFonts w:asciiTheme="minorHAnsi" w:hAnsiTheme="minorHAnsi" w:cstheme="minorHAnsi"/>
              </w:rPr>
              <w:t>1</w:t>
            </w:r>
            <w:r w:rsidRPr="00693F55">
              <w:rPr>
                <w:rFonts w:asciiTheme="minorHAnsi" w:hAnsiTheme="minorHAnsi" w:cstheme="minorHAnsi"/>
                <w:spacing w:val="2"/>
              </w:rPr>
              <w:t xml:space="preserve"> </w:t>
            </w:r>
            <w:r w:rsidRPr="00693F55">
              <w:rPr>
                <w:rFonts w:asciiTheme="minorHAnsi" w:hAnsiTheme="minorHAnsi" w:cstheme="minorHAnsi"/>
                <w:spacing w:val="-2"/>
              </w:rPr>
              <w:t>Transport</w:t>
            </w:r>
          </w:p>
        </w:tc>
        <w:tc>
          <w:tcPr>
            <w:tcW w:w="669" w:type="dxa"/>
            <w:tcBorders>
              <w:top w:val="single" w:sz="8" w:space="0" w:color="000000"/>
              <w:left w:val="single" w:sz="8" w:space="0" w:color="000000"/>
              <w:bottom w:val="single" w:sz="8" w:space="0" w:color="000000"/>
              <w:right w:val="single" w:sz="8" w:space="0" w:color="000000"/>
            </w:tcBorders>
            <w:shd w:val="clear" w:color="auto" w:fill="C5DFB3"/>
          </w:tcPr>
          <w:p w14:paraId="4AC80B31" w14:textId="77777777" w:rsidR="00412F22" w:rsidRPr="00693F55" w:rsidRDefault="00412F22" w:rsidP="00EE0E23">
            <w:pPr>
              <w:pStyle w:val="TableParagraph"/>
              <w:spacing w:before="6"/>
              <w:ind w:left="31" w:right="3"/>
              <w:rPr>
                <w:rFonts w:asciiTheme="minorHAnsi" w:hAnsiTheme="minorHAnsi" w:cstheme="minorHAnsi"/>
              </w:rPr>
            </w:pPr>
            <w:r w:rsidRPr="00693F55">
              <w:rPr>
                <w:rFonts w:asciiTheme="minorHAnsi" w:hAnsiTheme="minorHAnsi" w:cstheme="minorHAnsi"/>
                <w:spacing w:val="-5"/>
              </w:rPr>
              <w:t>4,3</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77622BB1" w14:textId="77777777" w:rsidR="00412F22" w:rsidRPr="00693F55" w:rsidRDefault="00412F22" w:rsidP="00EE0E23">
            <w:pPr>
              <w:pStyle w:val="TableParagraph"/>
              <w:spacing w:before="6"/>
              <w:ind w:left="34" w:right="2"/>
              <w:rPr>
                <w:rFonts w:asciiTheme="minorHAnsi" w:hAnsiTheme="minorHAnsi" w:cstheme="minorHAnsi"/>
              </w:rPr>
            </w:pPr>
            <w:r w:rsidRPr="00693F55">
              <w:rPr>
                <w:rFonts w:asciiTheme="minorHAnsi" w:hAnsiTheme="minorHAnsi" w:cstheme="minorHAnsi"/>
                <w:spacing w:val="-5"/>
              </w:rPr>
              <w:t>3,9</w:t>
            </w:r>
          </w:p>
        </w:tc>
        <w:tc>
          <w:tcPr>
            <w:tcW w:w="708" w:type="dxa"/>
            <w:tcBorders>
              <w:top w:val="single" w:sz="8" w:space="0" w:color="000000"/>
              <w:left w:val="single" w:sz="8" w:space="0" w:color="000000"/>
              <w:bottom w:val="single" w:sz="8" w:space="0" w:color="000000"/>
              <w:right w:val="single" w:sz="8" w:space="0" w:color="000000"/>
            </w:tcBorders>
            <w:shd w:val="clear" w:color="auto" w:fill="C5DFB3"/>
          </w:tcPr>
          <w:p w14:paraId="0C331DCA" w14:textId="77777777" w:rsidR="00412F22" w:rsidRPr="00693F55" w:rsidRDefault="00412F22" w:rsidP="00EE0E23">
            <w:pPr>
              <w:pStyle w:val="TableParagraph"/>
              <w:spacing w:before="6"/>
              <w:ind w:left="33" w:right="2"/>
              <w:rPr>
                <w:rFonts w:asciiTheme="minorHAnsi" w:hAnsiTheme="minorHAnsi" w:cstheme="minorHAnsi"/>
              </w:rPr>
            </w:pPr>
            <w:r w:rsidRPr="00693F55">
              <w:rPr>
                <w:rFonts w:asciiTheme="minorHAnsi" w:hAnsiTheme="minorHAnsi" w:cstheme="minorHAnsi"/>
                <w:spacing w:val="-5"/>
              </w:rPr>
              <w:t>4,2</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200A84DC" w14:textId="77777777" w:rsidR="00412F22" w:rsidRPr="00693F55" w:rsidRDefault="00412F22" w:rsidP="00EE0E23">
            <w:pPr>
              <w:pStyle w:val="TableParagraph"/>
              <w:spacing w:before="6"/>
              <w:ind w:left="37" w:right="2"/>
              <w:rPr>
                <w:rFonts w:asciiTheme="minorHAnsi" w:hAnsiTheme="minorHAnsi" w:cstheme="minorHAnsi"/>
              </w:rPr>
            </w:pPr>
            <w:r w:rsidRPr="00693F55">
              <w:rPr>
                <w:rFonts w:asciiTheme="minorHAnsi" w:hAnsiTheme="minorHAnsi" w:cstheme="minorHAnsi"/>
                <w:spacing w:val="-5"/>
              </w:rPr>
              <w:t>4,0</w:t>
            </w:r>
          </w:p>
        </w:tc>
        <w:tc>
          <w:tcPr>
            <w:tcW w:w="851" w:type="dxa"/>
            <w:tcBorders>
              <w:top w:val="single" w:sz="8" w:space="0" w:color="000000"/>
              <w:left w:val="single" w:sz="8" w:space="0" w:color="000000"/>
              <w:bottom w:val="single" w:sz="8" w:space="0" w:color="000000"/>
              <w:right w:val="single" w:sz="8" w:space="0" w:color="000000"/>
            </w:tcBorders>
            <w:shd w:val="clear" w:color="auto" w:fill="C5DFB3"/>
          </w:tcPr>
          <w:p w14:paraId="4E97A16C" w14:textId="77777777" w:rsidR="00412F22" w:rsidRPr="00693F55" w:rsidRDefault="00412F22" w:rsidP="00EE0E23">
            <w:pPr>
              <w:pStyle w:val="TableParagraph"/>
              <w:spacing w:before="6"/>
              <w:ind w:left="50" w:right="10"/>
              <w:rPr>
                <w:rFonts w:asciiTheme="minorHAnsi" w:hAnsiTheme="minorHAnsi" w:cstheme="minorHAnsi"/>
              </w:rPr>
            </w:pPr>
            <w:r w:rsidRPr="00693F55">
              <w:rPr>
                <w:rFonts w:asciiTheme="minorHAnsi" w:hAnsiTheme="minorHAnsi" w:cstheme="minorHAnsi"/>
                <w:spacing w:val="-5"/>
              </w:rPr>
              <w:t>3,9</w:t>
            </w:r>
          </w:p>
        </w:tc>
      </w:tr>
      <w:tr w:rsidR="00412F22" w:rsidRPr="003E3BDB" w14:paraId="2026501E" w14:textId="77777777" w:rsidTr="00EE0E23">
        <w:trPr>
          <w:gridAfter w:val="1"/>
          <w:wAfter w:w="9" w:type="dxa"/>
          <w:trHeight w:val="253"/>
        </w:trPr>
        <w:tc>
          <w:tcPr>
            <w:tcW w:w="5930" w:type="dxa"/>
            <w:tcBorders>
              <w:left w:val="single" w:sz="8" w:space="0" w:color="000000"/>
              <w:right w:val="single" w:sz="8" w:space="0" w:color="000000"/>
            </w:tcBorders>
            <w:shd w:val="clear" w:color="auto" w:fill="auto"/>
          </w:tcPr>
          <w:p w14:paraId="08162D03" w14:textId="77777777" w:rsidR="00412F22" w:rsidRPr="00693F55" w:rsidRDefault="00412F22" w:rsidP="00EE0E23">
            <w:pPr>
              <w:pStyle w:val="TableParagraph"/>
              <w:spacing w:line="207" w:lineRule="exact"/>
              <w:ind w:left="342"/>
              <w:rPr>
                <w:rFonts w:asciiTheme="minorHAnsi" w:hAnsiTheme="minorHAnsi" w:cstheme="minorHAnsi"/>
              </w:rPr>
            </w:pPr>
            <w:r w:rsidRPr="00693F55">
              <w:rPr>
                <w:rFonts w:asciiTheme="minorHAnsi" w:hAnsiTheme="minorHAnsi" w:cstheme="minorHAnsi"/>
              </w:rPr>
              <w:t>5.</w:t>
            </w:r>
            <w:r w:rsidRPr="00693F55">
              <w:rPr>
                <w:rFonts w:asciiTheme="minorHAnsi" w:hAnsiTheme="minorHAnsi" w:cstheme="minorHAnsi"/>
                <w:spacing w:val="-4"/>
              </w:rPr>
              <w:t xml:space="preserve"> </w:t>
            </w:r>
            <w:r w:rsidRPr="00693F55">
              <w:rPr>
                <w:rFonts w:asciiTheme="minorHAnsi" w:hAnsiTheme="minorHAnsi" w:cstheme="minorHAnsi"/>
              </w:rPr>
              <w:t>2 Information et</w:t>
            </w:r>
            <w:r w:rsidRPr="00693F55">
              <w:rPr>
                <w:rFonts w:asciiTheme="minorHAnsi" w:hAnsiTheme="minorHAnsi" w:cstheme="minorHAnsi"/>
                <w:spacing w:val="-1"/>
              </w:rPr>
              <w:t xml:space="preserve"> </w:t>
            </w:r>
            <w:r w:rsidRPr="00693F55">
              <w:rPr>
                <w:rFonts w:asciiTheme="minorHAnsi" w:hAnsiTheme="minorHAnsi" w:cstheme="minorHAnsi"/>
                <w:spacing w:val="-2"/>
              </w:rPr>
              <w:t>communication</w:t>
            </w:r>
          </w:p>
        </w:tc>
        <w:tc>
          <w:tcPr>
            <w:tcW w:w="669" w:type="dxa"/>
            <w:tcBorders>
              <w:top w:val="single" w:sz="8" w:space="0" w:color="000000"/>
              <w:left w:val="single" w:sz="8" w:space="0" w:color="000000"/>
              <w:bottom w:val="single" w:sz="8" w:space="0" w:color="000000"/>
              <w:right w:val="single" w:sz="8" w:space="0" w:color="000000"/>
            </w:tcBorders>
            <w:shd w:val="clear" w:color="auto" w:fill="auto"/>
          </w:tcPr>
          <w:p w14:paraId="55C97E11" w14:textId="77777777" w:rsidR="00412F22" w:rsidRPr="00693F55" w:rsidRDefault="00412F22" w:rsidP="00EE0E23">
            <w:pPr>
              <w:pStyle w:val="TableParagraph"/>
              <w:spacing w:line="207" w:lineRule="exact"/>
              <w:ind w:left="36" w:right="3"/>
              <w:rPr>
                <w:rFonts w:asciiTheme="minorHAnsi" w:hAnsiTheme="minorHAnsi" w:cstheme="minorHAnsi"/>
              </w:rPr>
            </w:pPr>
            <w:r w:rsidRPr="00693F55">
              <w:rPr>
                <w:rFonts w:asciiTheme="minorHAnsi" w:hAnsiTheme="minorHAnsi" w:cstheme="minorHAnsi"/>
                <w:spacing w:val="-5"/>
              </w:rPr>
              <w:t>2,6</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2DF631F0" w14:textId="77777777" w:rsidR="00412F22" w:rsidRPr="00693F55" w:rsidRDefault="00412F22" w:rsidP="00EE0E23">
            <w:pPr>
              <w:pStyle w:val="TableParagraph"/>
              <w:spacing w:line="207" w:lineRule="exact"/>
              <w:ind w:left="34" w:right="2"/>
              <w:rPr>
                <w:rFonts w:asciiTheme="minorHAnsi" w:hAnsiTheme="minorHAnsi" w:cstheme="minorHAnsi"/>
              </w:rPr>
            </w:pPr>
            <w:r w:rsidRPr="00693F55">
              <w:rPr>
                <w:rFonts w:asciiTheme="minorHAnsi" w:hAnsiTheme="minorHAnsi" w:cstheme="minorHAnsi"/>
                <w:spacing w:val="-5"/>
              </w:rPr>
              <w:t>2,6</w:t>
            </w:r>
          </w:p>
        </w:tc>
        <w:tc>
          <w:tcPr>
            <w:tcW w:w="708" w:type="dxa"/>
            <w:tcBorders>
              <w:top w:val="single" w:sz="8" w:space="0" w:color="000000"/>
              <w:left w:val="single" w:sz="8" w:space="0" w:color="000000"/>
              <w:bottom w:val="single" w:sz="8" w:space="0" w:color="000000"/>
              <w:right w:val="single" w:sz="8" w:space="0" w:color="000000"/>
            </w:tcBorders>
            <w:shd w:val="clear" w:color="auto" w:fill="auto"/>
          </w:tcPr>
          <w:p w14:paraId="58E67CE8" w14:textId="77777777" w:rsidR="00412F22" w:rsidRPr="00693F55" w:rsidRDefault="00412F22" w:rsidP="00EE0E23">
            <w:pPr>
              <w:pStyle w:val="TableParagraph"/>
              <w:spacing w:line="207" w:lineRule="exact"/>
              <w:ind w:left="33" w:right="2"/>
              <w:rPr>
                <w:rFonts w:asciiTheme="minorHAnsi" w:hAnsiTheme="minorHAnsi" w:cstheme="minorHAnsi"/>
              </w:rPr>
            </w:pPr>
            <w:r w:rsidRPr="00693F55">
              <w:rPr>
                <w:rFonts w:asciiTheme="minorHAnsi" w:hAnsiTheme="minorHAnsi" w:cstheme="minorHAnsi"/>
                <w:spacing w:val="-5"/>
              </w:rPr>
              <w:t>2,4</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1D52BD61" w14:textId="77777777" w:rsidR="00412F22" w:rsidRPr="00693F55" w:rsidRDefault="00412F22" w:rsidP="00EE0E23">
            <w:pPr>
              <w:pStyle w:val="TableParagraph"/>
              <w:spacing w:line="207" w:lineRule="exact"/>
              <w:ind w:left="37" w:right="2"/>
              <w:rPr>
                <w:rFonts w:asciiTheme="minorHAnsi" w:hAnsiTheme="minorHAnsi" w:cstheme="minorHAnsi"/>
              </w:rPr>
            </w:pPr>
            <w:r w:rsidRPr="00693F55">
              <w:rPr>
                <w:rFonts w:asciiTheme="minorHAnsi" w:hAnsiTheme="minorHAnsi" w:cstheme="minorHAnsi"/>
                <w:spacing w:val="-5"/>
              </w:rPr>
              <w:t>2,5</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14:paraId="0A37F7B3" w14:textId="77777777" w:rsidR="00412F22" w:rsidRPr="00693F55" w:rsidRDefault="00412F22" w:rsidP="00EE0E23">
            <w:pPr>
              <w:pStyle w:val="TableParagraph"/>
              <w:spacing w:line="207" w:lineRule="exact"/>
              <w:ind w:left="50" w:right="10"/>
              <w:rPr>
                <w:rFonts w:asciiTheme="minorHAnsi" w:hAnsiTheme="minorHAnsi" w:cstheme="minorHAnsi"/>
              </w:rPr>
            </w:pPr>
            <w:r w:rsidRPr="00693F55">
              <w:rPr>
                <w:rFonts w:asciiTheme="minorHAnsi" w:hAnsiTheme="minorHAnsi" w:cstheme="minorHAnsi"/>
                <w:spacing w:val="-5"/>
              </w:rPr>
              <w:t>2,3</w:t>
            </w:r>
          </w:p>
        </w:tc>
      </w:tr>
      <w:tr w:rsidR="00412F22" w:rsidRPr="003E3BDB" w14:paraId="61BB13FE" w14:textId="77777777" w:rsidTr="00EE0E23">
        <w:trPr>
          <w:gridAfter w:val="1"/>
          <w:wAfter w:w="9" w:type="dxa"/>
          <w:trHeight w:val="253"/>
        </w:trPr>
        <w:tc>
          <w:tcPr>
            <w:tcW w:w="5930" w:type="dxa"/>
            <w:tcBorders>
              <w:left w:val="single" w:sz="8" w:space="0" w:color="000000"/>
              <w:right w:val="single" w:sz="8" w:space="0" w:color="000000"/>
            </w:tcBorders>
            <w:shd w:val="clear" w:color="auto" w:fill="C5DFB3"/>
          </w:tcPr>
          <w:p w14:paraId="78DC4A50" w14:textId="77777777" w:rsidR="00412F22" w:rsidRPr="00693F55" w:rsidRDefault="00412F22" w:rsidP="00EE0E23">
            <w:pPr>
              <w:pStyle w:val="TableParagraph"/>
              <w:spacing w:before="4"/>
              <w:ind w:left="76"/>
              <w:rPr>
                <w:rFonts w:asciiTheme="minorHAnsi" w:hAnsiTheme="minorHAnsi" w:cstheme="minorHAnsi"/>
              </w:rPr>
            </w:pPr>
            <w:r w:rsidRPr="00693F55">
              <w:rPr>
                <w:rFonts w:asciiTheme="minorHAnsi" w:hAnsiTheme="minorHAnsi" w:cstheme="minorHAnsi"/>
              </w:rPr>
              <w:t>8.</w:t>
            </w:r>
            <w:r w:rsidRPr="00693F55">
              <w:rPr>
                <w:rFonts w:asciiTheme="minorHAnsi" w:hAnsiTheme="minorHAnsi" w:cstheme="minorHAnsi"/>
                <w:spacing w:val="1"/>
              </w:rPr>
              <w:t xml:space="preserve"> </w:t>
            </w:r>
            <w:r w:rsidRPr="00693F55">
              <w:rPr>
                <w:rFonts w:asciiTheme="minorHAnsi" w:hAnsiTheme="minorHAnsi" w:cstheme="minorHAnsi"/>
                <w:spacing w:val="-2"/>
              </w:rPr>
              <w:t>Commerce</w:t>
            </w:r>
          </w:p>
        </w:tc>
        <w:tc>
          <w:tcPr>
            <w:tcW w:w="669" w:type="dxa"/>
            <w:tcBorders>
              <w:top w:val="single" w:sz="8" w:space="0" w:color="000000"/>
              <w:left w:val="single" w:sz="8" w:space="0" w:color="000000"/>
              <w:bottom w:val="single" w:sz="8" w:space="0" w:color="000000"/>
              <w:right w:val="single" w:sz="8" w:space="0" w:color="000000"/>
            </w:tcBorders>
            <w:shd w:val="clear" w:color="auto" w:fill="C5DFB3"/>
          </w:tcPr>
          <w:p w14:paraId="361BE0D7" w14:textId="77777777" w:rsidR="00412F22" w:rsidRPr="00693F55" w:rsidRDefault="00412F22" w:rsidP="00EE0E23">
            <w:pPr>
              <w:pStyle w:val="TableParagraph"/>
              <w:spacing w:before="4"/>
              <w:ind w:left="31"/>
              <w:rPr>
                <w:rFonts w:asciiTheme="minorHAnsi" w:hAnsiTheme="minorHAnsi" w:cstheme="minorHAnsi"/>
              </w:rPr>
            </w:pPr>
            <w:r w:rsidRPr="00693F55">
              <w:rPr>
                <w:rFonts w:asciiTheme="minorHAnsi" w:hAnsiTheme="minorHAnsi" w:cstheme="minorHAnsi"/>
                <w:spacing w:val="-4"/>
              </w:rPr>
              <w:t>11,6</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668D62A8" w14:textId="77777777" w:rsidR="00412F22" w:rsidRPr="00693F55" w:rsidRDefault="00412F22" w:rsidP="00EE0E23">
            <w:pPr>
              <w:pStyle w:val="TableParagraph"/>
              <w:spacing w:before="4"/>
              <w:ind w:left="34" w:right="2"/>
              <w:rPr>
                <w:rFonts w:asciiTheme="minorHAnsi" w:hAnsiTheme="minorHAnsi" w:cstheme="minorHAnsi"/>
              </w:rPr>
            </w:pPr>
            <w:r w:rsidRPr="00693F55">
              <w:rPr>
                <w:rFonts w:asciiTheme="minorHAnsi" w:hAnsiTheme="minorHAnsi" w:cstheme="minorHAnsi"/>
                <w:spacing w:val="-5"/>
              </w:rPr>
              <w:t>9,6</w:t>
            </w:r>
          </w:p>
        </w:tc>
        <w:tc>
          <w:tcPr>
            <w:tcW w:w="708" w:type="dxa"/>
            <w:tcBorders>
              <w:top w:val="single" w:sz="8" w:space="0" w:color="000000"/>
              <w:left w:val="single" w:sz="8" w:space="0" w:color="000000"/>
              <w:bottom w:val="single" w:sz="8" w:space="0" w:color="000000"/>
              <w:right w:val="single" w:sz="8" w:space="0" w:color="000000"/>
            </w:tcBorders>
            <w:shd w:val="clear" w:color="auto" w:fill="C5DFB3"/>
          </w:tcPr>
          <w:p w14:paraId="590EBCF8" w14:textId="77777777" w:rsidR="00412F22" w:rsidRPr="00693F55" w:rsidRDefault="00412F22" w:rsidP="00EE0E23">
            <w:pPr>
              <w:pStyle w:val="TableParagraph"/>
              <w:spacing w:before="4"/>
              <w:ind w:left="33"/>
              <w:rPr>
                <w:rFonts w:asciiTheme="minorHAnsi" w:hAnsiTheme="minorHAnsi" w:cstheme="minorHAnsi"/>
              </w:rPr>
            </w:pPr>
            <w:r w:rsidRPr="00693F55">
              <w:rPr>
                <w:rFonts w:asciiTheme="minorHAnsi" w:hAnsiTheme="minorHAnsi" w:cstheme="minorHAnsi"/>
                <w:spacing w:val="-4"/>
              </w:rPr>
              <w:t>10,4</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25744C30" w14:textId="77777777" w:rsidR="00412F22" w:rsidRPr="00693F55" w:rsidRDefault="00412F22" w:rsidP="00EE0E23">
            <w:pPr>
              <w:pStyle w:val="TableParagraph"/>
              <w:spacing w:before="4"/>
              <w:ind w:left="37"/>
              <w:rPr>
                <w:rFonts w:asciiTheme="minorHAnsi" w:hAnsiTheme="minorHAnsi" w:cstheme="minorHAnsi"/>
              </w:rPr>
            </w:pPr>
            <w:r w:rsidRPr="00693F55">
              <w:rPr>
                <w:rFonts w:asciiTheme="minorHAnsi" w:hAnsiTheme="minorHAnsi" w:cstheme="minorHAnsi"/>
                <w:spacing w:val="-4"/>
              </w:rPr>
              <w:t>11,5</w:t>
            </w:r>
          </w:p>
        </w:tc>
        <w:tc>
          <w:tcPr>
            <w:tcW w:w="851" w:type="dxa"/>
            <w:tcBorders>
              <w:top w:val="single" w:sz="8" w:space="0" w:color="000000"/>
              <w:left w:val="single" w:sz="8" w:space="0" w:color="000000"/>
              <w:bottom w:val="single" w:sz="8" w:space="0" w:color="000000"/>
              <w:right w:val="single" w:sz="8" w:space="0" w:color="000000"/>
            </w:tcBorders>
            <w:shd w:val="clear" w:color="auto" w:fill="C5DFB3"/>
          </w:tcPr>
          <w:p w14:paraId="799B9BF6" w14:textId="77777777" w:rsidR="00412F22" w:rsidRPr="00693F55" w:rsidRDefault="00412F22" w:rsidP="00EE0E23">
            <w:pPr>
              <w:pStyle w:val="TableParagraph"/>
              <w:spacing w:before="4"/>
              <w:ind w:left="50" w:right="12"/>
              <w:rPr>
                <w:rFonts w:asciiTheme="minorHAnsi" w:hAnsiTheme="minorHAnsi" w:cstheme="minorHAnsi"/>
              </w:rPr>
            </w:pPr>
            <w:r w:rsidRPr="00693F55">
              <w:rPr>
                <w:rFonts w:asciiTheme="minorHAnsi" w:hAnsiTheme="minorHAnsi" w:cstheme="minorHAnsi"/>
                <w:spacing w:val="-4"/>
              </w:rPr>
              <w:t>10,5</w:t>
            </w:r>
          </w:p>
        </w:tc>
      </w:tr>
      <w:tr w:rsidR="00412F22" w:rsidRPr="003E3BDB" w14:paraId="1B0B14E9" w14:textId="77777777" w:rsidTr="00EE0E23">
        <w:trPr>
          <w:gridAfter w:val="1"/>
          <w:wAfter w:w="9" w:type="dxa"/>
          <w:trHeight w:val="253"/>
        </w:trPr>
        <w:tc>
          <w:tcPr>
            <w:tcW w:w="5930" w:type="dxa"/>
            <w:tcBorders>
              <w:left w:val="single" w:sz="8" w:space="0" w:color="000000"/>
              <w:right w:val="single" w:sz="8" w:space="0" w:color="000000"/>
            </w:tcBorders>
            <w:shd w:val="clear" w:color="auto" w:fill="auto"/>
          </w:tcPr>
          <w:p w14:paraId="60FAD934" w14:textId="77777777" w:rsidR="00412F22" w:rsidRPr="00693F55" w:rsidRDefault="00412F22" w:rsidP="00EE0E23">
            <w:pPr>
              <w:pStyle w:val="TableParagraph"/>
              <w:spacing w:before="2"/>
              <w:ind w:left="71"/>
              <w:rPr>
                <w:rFonts w:asciiTheme="minorHAnsi" w:hAnsiTheme="minorHAnsi" w:cstheme="minorHAnsi"/>
              </w:rPr>
            </w:pPr>
            <w:r w:rsidRPr="00693F55">
              <w:rPr>
                <w:rFonts w:asciiTheme="minorHAnsi" w:hAnsiTheme="minorHAnsi" w:cstheme="minorHAnsi"/>
              </w:rPr>
              <w:t>9.</w:t>
            </w:r>
            <w:r w:rsidRPr="00693F55">
              <w:rPr>
                <w:rFonts w:asciiTheme="minorHAnsi" w:hAnsiTheme="minorHAnsi" w:cstheme="minorHAnsi"/>
                <w:spacing w:val="-3"/>
              </w:rPr>
              <w:t xml:space="preserve"> </w:t>
            </w:r>
            <w:r w:rsidRPr="00693F55">
              <w:rPr>
                <w:rFonts w:asciiTheme="minorHAnsi" w:hAnsiTheme="minorHAnsi" w:cstheme="minorHAnsi"/>
              </w:rPr>
              <w:t>Autres</w:t>
            </w:r>
            <w:r w:rsidRPr="00693F55">
              <w:rPr>
                <w:rFonts w:asciiTheme="minorHAnsi" w:hAnsiTheme="minorHAnsi" w:cstheme="minorHAnsi"/>
                <w:spacing w:val="-1"/>
              </w:rPr>
              <w:t xml:space="preserve"> </w:t>
            </w:r>
            <w:r w:rsidRPr="00693F55">
              <w:rPr>
                <w:rFonts w:asciiTheme="minorHAnsi" w:hAnsiTheme="minorHAnsi" w:cstheme="minorHAnsi"/>
                <w:spacing w:val="-2"/>
              </w:rPr>
              <w:t>services</w:t>
            </w:r>
          </w:p>
        </w:tc>
        <w:tc>
          <w:tcPr>
            <w:tcW w:w="669" w:type="dxa"/>
            <w:tcBorders>
              <w:top w:val="single" w:sz="8" w:space="0" w:color="000000"/>
              <w:left w:val="single" w:sz="8" w:space="0" w:color="000000"/>
              <w:bottom w:val="single" w:sz="8" w:space="0" w:color="000000"/>
              <w:right w:val="single" w:sz="8" w:space="0" w:color="000000"/>
            </w:tcBorders>
            <w:shd w:val="clear" w:color="auto" w:fill="auto"/>
          </w:tcPr>
          <w:p w14:paraId="126B893E" w14:textId="77777777" w:rsidR="00412F22" w:rsidRPr="00693F55" w:rsidRDefault="00412F22" w:rsidP="00EE0E23">
            <w:pPr>
              <w:pStyle w:val="TableParagraph"/>
              <w:spacing w:before="2"/>
              <w:ind w:left="36"/>
              <w:rPr>
                <w:rFonts w:asciiTheme="minorHAnsi" w:hAnsiTheme="minorHAnsi" w:cstheme="minorHAnsi"/>
              </w:rPr>
            </w:pPr>
            <w:r w:rsidRPr="00693F55">
              <w:rPr>
                <w:rFonts w:asciiTheme="minorHAnsi" w:hAnsiTheme="minorHAnsi" w:cstheme="minorHAnsi"/>
                <w:spacing w:val="-4"/>
              </w:rPr>
              <w:t>18,2</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427CD1D6" w14:textId="77777777" w:rsidR="00412F22" w:rsidRPr="00693F55" w:rsidRDefault="00412F22" w:rsidP="00EE0E23">
            <w:pPr>
              <w:pStyle w:val="TableParagraph"/>
              <w:spacing w:before="2"/>
              <w:ind w:left="34"/>
              <w:rPr>
                <w:rFonts w:asciiTheme="minorHAnsi" w:hAnsiTheme="minorHAnsi" w:cstheme="minorHAnsi"/>
              </w:rPr>
            </w:pPr>
            <w:r w:rsidRPr="00693F55">
              <w:rPr>
                <w:rFonts w:asciiTheme="minorHAnsi" w:hAnsiTheme="minorHAnsi" w:cstheme="minorHAnsi"/>
                <w:spacing w:val="-4"/>
              </w:rPr>
              <w:t>17,3</w:t>
            </w:r>
          </w:p>
        </w:tc>
        <w:tc>
          <w:tcPr>
            <w:tcW w:w="708" w:type="dxa"/>
            <w:tcBorders>
              <w:top w:val="single" w:sz="8" w:space="0" w:color="000000"/>
              <w:left w:val="single" w:sz="8" w:space="0" w:color="000000"/>
              <w:bottom w:val="single" w:sz="8" w:space="0" w:color="000000"/>
              <w:right w:val="single" w:sz="8" w:space="0" w:color="000000"/>
            </w:tcBorders>
            <w:shd w:val="clear" w:color="auto" w:fill="auto"/>
          </w:tcPr>
          <w:p w14:paraId="498ACF11" w14:textId="77777777" w:rsidR="00412F22" w:rsidRPr="00693F55" w:rsidRDefault="00412F22" w:rsidP="00EE0E23">
            <w:pPr>
              <w:pStyle w:val="TableParagraph"/>
              <w:spacing w:before="2"/>
              <w:ind w:left="33"/>
              <w:rPr>
                <w:rFonts w:asciiTheme="minorHAnsi" w:hAnsiTheme="minorHAnsi" w:cstheme="minorHAnsi"/>
              </w:rPr>
            </w:pPr>
            <w:r w:rsidRPr="00693F55">
              <w:rPr>
                <w:rFonts w:asciiTheme="minorHAnsi" w:hAnsiTheme="minorHAnsi" w:cstheme="minorHAnsi"/>
                <w:spacing w:val="-4"/>
              </w:rPr>
              <w:t>17,5</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6D368E39" w14:textId="77777777" w:rsidR="00412F22" w:rsidRPr="00693F55" w:rsidRDefault="00412F22" w:rsidP="00EE0E23">
            <w:pPr>
              <w:pStyle w:val="TableParagraph"/>
              <w:spacing w:before="2"/>
              <w:ind w:left="37"/>
              <w:rPr>
                <w:rFonts w:asciiTheme="minorHAnsi" w:hAnsiTheme="minorHAnsi" w:cstheme="minorHAnsi"/>
              </w:rPr>
            </w:pPr>
            <w:r w:rsidRPr="00693F55">
              <w:rPr>
                <w:rFonts w:asciiTheme="minorHAnsi" w:hAnsiTheme="minorHAnsi" w:cstheme="minorHAnsi"/>
                <w:spacing w:val="-4"/>
              </w:rPr>
              <w:t>19,1</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14:paraId="60FB12BF" w14:textId="77777777" w:rsidR="00412F22" w:rsidRPr="00693F55" w:rsidRDefault="00412F22" w:rsidP="00EE0E23">
            <w:pPr>
              <w:pStyle w:val="TableParagraph"/>
              <w:spacing w:before="2"/>
              <w:ind w:left="50" w:right="12"/>
              <w:rPr>
                <w:rFonts w:asciiTheme="minorHAnsi" w:hAnsiTheme="minorHAnsi" w:cstheme="minorHAnsi"/>
              </w:rPr>
            </w:pPr>
            <w:r w:rsidRPr="00693F55">
              <w:rPr>
                <w:rFonts w:asciiTheme="minorHAnsi" w:hAnsiTheme="minorHAnsi" w:cstheme="minorHAnsi"/>
                <w:spacing w:val="-4"/>
              </w:rPr>
              <w:t>20,0</w:t>
            </w:r>
          </w:p>
        </w:tc>
      </w:tr>
      <w:tr w:rsidR="00412F22" w:rsidRPr="003E3BDB" w14:paraId="1149C105" w14:textId="77777777" w:rsidTr="00EE0E23">
        <w:trPr>
          <w:gridAfter w:val="1"/>
          <w:wAfter w:w="9" w:type="dxa"/>
          <w:trHeight w:val="253"/>
        </w:trPr>
        <w:tc>
          <w:tcPr>
            <w:tcW w:w="5930" w:type="dxa"/>
            <w:tcBorders>
              <w:left w:val="single" w:sz="8" w:space="0" w:color="000000"/>
              <w:right w:val="single" w:sz="8" w:space="0" w:color="000000"/>
            </w:tcBorders>
            <w:shd w:val="clear" w:color="auto" w:fill="C5DFB3"/>
          </w:tcPr>
          <w:p w14:paraId="132DFB39" w14:textId="77777777" w:rsidR="00412F22" w:rsidRPr="00693F55" w:rsidRDefault="00412F22" w:rsidP="00EE0E23">
            <w:pPr>
              <w:pStyle w:val="TableParagraph"/>
              <w:spacing w:before="4"/>
              <w:ind w:left="76"/>
              <w:rPr>
                <w:rFonts w:asciiTheme="minorHAnsi" w:hAnsiTheme="minorHAnsi" w:cstheme="minorHAnsi"/>
              </w:rPr>
            </w:pPr>
            <w:r w:rsidRPr="00693F55">
              <w:rPr>
                <w:rFonts w:asciiTheme="minorHAnsi" w:hAnsiTheme="minorHAnsi" w:cstheme="minorHAnsi"/>
              </w:rPr>
              <w:t>10. Administrations</w:t>
            </w:r>
            <w:r w:rsidRPr="00693F55">
              <w:rPr>
                <w:rFonts w:asciiTheme="minorHAnsi" w:hAnsiTheme="minorHAnsi" w:cstheme="minorHAnsi"/>
                <w:spacing w:val="-3"/>
              </w:rPr>
              <w:t xml:space="preserve"> </w:t>
            </w:r>
            <w:proofErr w:type="spellStart"/>
            <w:r w:rsidRPr="00693F55">
              <w:rPr>
                <w:rFonts w:asciiTheme="minorHAnsi" w:hAnsiTheme="minorHAnsi" w:cstheme="minorHAnsi"/>
                <w:spacing w:val="-2"/>
              </w:rPr>
              <w:t>publiques</w:t>
            </w:r>
            <w:proofErr w:type="spellEnd"/>
          </w:p>
        </w:tc>
        <w:tc>
          <w:tcPr>
            <w:tcW w:w="669" w:type="dxa"/>
            <w:tcBorders>
              <w:top w:val="single" w:sz="8" w:space="0" w:color="000000"/>
              <w:left w:val="single" w:sz="8" w:space="0" w:color="000000"/>
              <w:bottom w:val="single" w:sz="8" w:space="0" w:color="000000"/>
              <w:right w:val="single" w:sz="8" w:space="0" w:color="000000"/>
            </w:tcBorders>
            <w:shd w:val="clear" w:color="auto" w:fill="C5DFB3"/>
          </w:tcPr>
          <w:p w14:paraId="660B859B" w14:textId="77777777" w:rsidR="00412F22" w:rsidRPr="00693F55" w:rsidRDefault="00412F22" w:rsidP="00EE0E23">
            <w:pPr>
              <w:pStyle w:val="TableParagraph"/>
              <w:spacing w:before="4"/>
              <w:ind w:left="31" w:right="3"/>
              <w:rPr>
                <w:rFonts w:asciiTheme="minorHAnsi" w:hAnsiTheme="minorHAnsi" w:cstheme="minorHAnsi"/>
              </w:rPr>
            </w:pPr>
            <w:r w:rsidRPr="00693F55">
              <w:rPr>
                <w:rFonts w:asciiTheme="minorHAnsi" w:hAnsiTheme="minorHAnsi" w:cstheme="minorHAnsi"/>
                <w:spacing w:val="-5"/>
              </w:rPr>
              <w:t>6,0</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63118B96" w14:textId="77777777" w:rsidR="00412F22" w:rsidRPr="00693F55" w:rsidRDefault="00412F22" w:rsidP="00EE0E23">
            <w:pPr>
              <w:pStyle w:val="TableParagraph"/>
              <w:spacing w:before="4"/>
              <w:ind w:left="34" w:right="2"/>
              <w:rPr>
                <w:rFonts w:asciiTheme="minorHAnsi" w:hAnsiTheme="minorHAnsi" w:cstheme="minorHAnsi"/>
              </w:rPr>
            </w:pPr>
            <w:r w:rsidRPr="00693F55">
              <w:rPr>
                <w:rFonts w:asciiTheme="minorHAnsi" w:hAnsiTheme="minorHAnsi" w:cstheme="minorHAnsi"/>
                <w:spacing w:val="-5"/>
              </w:rPr>
              <w:t>5,5</w:t>
            </w:r>
          </w:p>
        </w:tc>
        <w:tc>
          <w:tcPr>
            <w:tcW w:w="708" w:type="dxa"/>
            <w:tcBorders>
              <w:top w:val="single" w:sz="8" w:space="0" w:color="000000"/>
              <w:left w:val="single" w:sz="8" w:space="0" w:color="000000"/>
              <w:bottom w:val="single" w:sz="8" w:space="0" w:color="000000"/>
              <w:right w:val="single" w:sz="8" w:space="0" w:color="000000"/>
            </w:tcBorders>
            <w:shd w:val="clear" w:color="auto" w:fill="C5DFB3"/>
          </w:tcPr>
          <w:p w14:paraId="3324D222" w14:textId="77777777" w:rsidR="00412F22" w:rsidRPr="00693F55" w:rsidRDefault="00412F22" w:rsidP="00EE0E23">
            <w:pPr>
              <w:pStyle w:val="TableParagraph"/>
              <w:spacing w:before="4"/>
              <w:ind w:left="33" w:right="2"/>
              <w:rPr>
                <w:rFonts w:asciiTheme="minorHAnsi" w:hAnsiTheme="minorHAnsi" w:cstheme="minorHAnsi"/>
              </w:rPr>
            </w:pPr>
            <w:r w:rsidRPr="00693F55">
              <w:rPr>
                <w:rFonts w:asciiTheme="minorHAnsi" w:hAnsiTheme="minorHAnsi" w:cstheme="minorHAnsi"/>
                <w:spacing w:val="-5"/>
              </w:rPr>
              <w:t>6,9</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269E379F" w14:textId="77777777" w:rsidR="00412F22" w:rsidRPr="00693F55" w:rsidRDefault="00412F22" w:rsidP="00EE0E23">
            <w:pPr>
              <w:pStyle w:val="TableParagraph"/>
              <w:spacing w:before="4"/>
              <w:ind w:left="37" w:right="2"/>
              <w:rPr>
                <w:rFonts w:asciiTheme="minorHAnsi" w:hAnsiTheme="minorHAnsi" w:cstheme="minorHAnsi"/>
              </w:rPr>
            </w:pPr>
            <w:r w:rsidRPr="00693F55">
              <w:rPr>
                <w:rFonts w:asciiTheme="minorHAnsi" w:hAnsiTheme="minorHAnsi" w:cstheme="minorHAnsi"/>
                <w:spacing w:val="-5"/>
              </w:rPr>
              <w:t>7,4</w:t>
            </w:r>
          </w:p>
        </w:tc>
        <w:tc>
          <w:tcPr>
            <w:tcW w:w="851" w:type="dxa"/>
            <w:tcBorders>
              <w:top w:val="single" w:sz="8" w:space="0" w:color="000000"/>
              <w:left w:val="single" w:sz="8" w:space="0" w:color="000000"/>
              <w:bottom w:val="single" w:sz="8" w:space="0" w:color="000000"/>
              <w:right w:val="single" w:sz="8" w:space="0" w:color="000000"/>
            </w:tcBorders>
            <w:shd w:val="clear" w:color="auto" w:fill="C5DFB3"/>
          </w:tcPr>
          <w:p w14:paraId="1EC89D5D" w14:textId="77777777" w:rsidR="00412F22" w:rsidRPr="00693F55" w:rsidRDefault="00412F22" w:rsidP="00EE0E23">
            <w:pPr>
              <w:pStyle w:val="TableParagraph"/>
              <w:spacing w:before="4"/>
              <w:ind w:left="50" w:right="10"/>
              <w:rPr>
                <w:rFonts w:asciiTheme="minorHAnsi" w:hAnsiTheme="minorHAnsi" w:cstheme="minorHAnsi"/>
              </w:rPr>
            </w:pPr>
            <w:r w:rsidRPr="00693F55">
              <w:rPr>
                <w:rFonts w:asciiTheme="minorHAnsi" w:hAnsiTheme="minorHAnsi" w:cstheme="minorHAnsi"/>
                <w:spacing w:val="-5"/>
              </w:rPr>
              <w:t>7,1</w:t>
            </w:r>
          </w:p>
        </w:tc>
      </w:tr>
      <w:tr w:rsidR="00412F22" w:rsidRPr="00D92B16" w14:paraId="072FB192" w14:textId="77777777" w:rsidTr="00EE0E23">
        <w:trPr>
          <w:gridAfter w:val="1"/>
          <w:wAfter w:w="9" w:type="dxa"/>
          <w:trHeight w:val="253"/>
        </w:trPr>
        <w:tc>
          <w:tcPr>
            <w:tcW w:w="5930" w:type="dxa"/>
            <w:tcBorders>
              <w:left w:val="single" w:sz="8" w:space="0" w:color="000000"/>
              <w:right w:val="single" w:sz="8" w:space="0" w:color="000000"/>
            </w:tcBorders>
            <w:shd w:val="clear" w:color="auto" w:fill="C5DFB3"/>
          </w:tcPr>
          <w:p w14:paraId="557E9430" w14:textId="77777777" w:rsidR="00412F22" w:rsidRPr="00D92B16" w:rsidRDefault="00412F22" w:rsidP="00EE0E23">
            <w:pPr>
              <w:pStyle w:val="TableParagraph"/>
              <w:spacing w:line="207" w:lineRule="exact"/>
              <w:ind w:left="76"/>
              <w:rPr>
                <w:rFonts w:asciiTheme="minorHAnsi" w:hAnsiTheme="minorHAnsi" w:cstheme="minorHAnsi"/>
                <w:b/>
                <w:sz w:val="20"/>
                <w:szCs w:val="20"/>
                <w:lang w:val="fr-FR"/>
              </w:rPr>
            </w:pPr>
            <w:r w:rsidRPr="00D92B16">
              <w:rPr>
                <w:rFonts w:asciiTheme="minorHAnsi" w:hAnsiTheme="minorHAnsi" w:cstheme="minorHAnsi"/>
                <w:b/>
                <w:sz w:val="20"/>
                <w:szCs w:val="20"/>
                <w:lang w:val="fr-FR"/>
              </w:rPr>
              <w:t>P.I.B.</w:t>
            </w:r>
            <w:r w:rsidRPr="00D92B16">
              <w:rPr>
                <w:rFonts w:asciiTheme="minorHAnsi" w:hAnsiTheme="minorHAnsi" w:cstheme="minorHAnsi"/>
                <w:b/>
                <w:spacing w:val="-1"/>
                <w:sz w:val="20"/>
                <w:szCs w:val="20"/>
                <w:lang w:val="fr-FR"/>
              </w:rPr>
              <w:t xml:space="preserve"> </w:t>
            </w:r>
            <w:r w:rsidRPr="00D92B16">
              <w:rPr>
                <w:rFonts w:asciiTheme="minorHAnsi" w:hAnsiTheme="minorHAnsi" w:cstheme="minorHAnsi"/>
                <w:b/>
                <w:sz w:val="20"/>
                <w:szCs w:val="20"/>
                <w:lang w:val="fr-FR"/>
              </w:rPr>
              <w:t>AU</w:t>
            </w:r>
            <w:r w:rsidRPr="00D92B16">
              <w:rPr>
                <w:rFonts w:asciiTheme="minorHAnsi" w:hAnsiTheme="minorHAnsi" w:cstheme="minorHAnsi"/>
                <w:b/>
                <w:spacing w:val="-1"/>
                <w:sz w:val="20"/>
                <w:szCs w:val="20"/>
                <w:lang w:val="fr-FR"/>
              </w:rPr>
              <w:t xml:space="preserve"> </w:t>
            </w:r>
            <w:r w:rsidRPr="00D92B16">
              <w:rPr>
                <w:rFonts w:asciiTheme="minorHAnsi" w:hAnsiTheme="minorHAnsi" w:cstheme="minorHAnsi"/>
                <w:b/>
                <w:sz w:val="20"/>
                <w:szCs w:val="20"/>
                <w:lang w:val="fr-FR"/>
              </w:rPr>
              <w:t>COUT</w:t>
            </w:r>
            <w:r w:rsidRPr="00D92B16">
              <w:rPr>
                <w:rFonts w:asciiTheme="minorHAnsi" w:hAnsiTheme="minorHAnsi" w:cstheme="minorHAnsi"/>
                <w:b/>
                <w:spacing w:val="-1"/>
                <w:sz w:val="20"/>
                <w:szCs w:val="20"/>
                <w:lang w:val="fr-FR"/>
              </w:rPr>
              <w:t xml:space="preserve"> </w:t>
            </w:r>
            <w:r w:rsidRPr="00D92B16">
              <w:rPr>
                <w:rFonts w:asciiTheme="minorHAnsi" w:hAnsiTheme="minorHAnsi" w:cstheme="minorHAnsi"/>
                <w:b/>
                <w:sz w:val="20"/>
                <w:szCs w:val="20"/>
                <w:lang w:val="fr-FR"/>
              </w:rPr>
              <w:t xml:space="preserve">DES </w:t>
            </w:r>
            <w:r w:rsidRPr="00D92B16">
              <w:rPr>
                <w:rFonts w:asciiTheme="minorHAnsi" w:hAnsiTheme="minorHAnsi" w:cstheme="minorHAnsi"/>
                <w:b/>
                <w:spacing w:val="-2"/>
                <w:sz w:val="20"/>
                <w:szCs w:val="20"/>
                <w:lang w:val="fr-FR"/>
              </w:rPr>
              <w:t>FACTEURS</w:t>
            </w:r>
          </w:p>
        </w:tc>
        <w:tc>
          <w:tcPr>
            <w:tcW w:w="669" w:type="dxa"/>
            <w:tcBorders>
              <w:top w:val="single" w:sz="8" w:space="0" w:color="000000"/>
              <w:left w:val="single" w:sz="8" w:space="0" w:color="000000"/>
              <w:bottom w:val="single" w:sz="8" w:space="0" w:color="000000"/>
              <w:right w:val="single" w:sz="8" w:space="0" w:color="000000"/>
            </w:tcBorders>
            <w:shd w:val="clear" w:color="auto" w:fill="C5DFB3"/>
          </w:tcPr>
          <w:p w14:paraId="7407D831" w14:textId="77777777" w:rsidR="00412F22" w:rsidRPr="00D92B16" w:rsidRDefault="00412F22" w:rsidP="00EE0E23">
            <w:pPr>
              <w:pStyle w:val="TableParagraph"/>
              <w:spacing w:line="207" w:lineRule="exact"/>
              <w:ind w:left="31"/>
              <w:rPr>
                <w:rFonts w:asciiTheme="minorHAnsi" w:hAnsiTheme="minorHAnsi" w:cstheme="minorHAnsi"/>
                <w:b/>
                <w:sz w:val="20"/>
                <w:szCs w:val="20"/>
              </w:rPr>
            </w:pPr>
            <w:r w:rsidRPr="00D92B16">
              <w:rPr>
                <w:rFonts w:asciiTheme="minorHAnsi" w:hAnsiTheme="minorHAnsi" w:cstheme="minorHAnsi"/>
                <w:b/>
                <w:spacing w:val="-4"/>
                <w:sz w:val="20"/>
                <w:szCs w:val="20"/>
              </w:rPr>
              <w:t>91,4</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6BFDB913" w14:textId="77777777" w:rsidR="00412F22" w:rsidRPr="00D92B16" w:rsidRDefault="00412F22" w:rsidP="00EE0E23">
            <w:pPr>
              <w:pStyle w:val="TableParagraph"/>
              <w:spacing w:line="207" w:lineRule="exact"/>
              <w:ind w:left="34"/>
              <w:rPr>
                <w:rFonts w:asciiTheme="minorHAnsi" w:hAnsiTheme="minorHAnsi" w:cstheme="minorHAnsi"/>
                <w:b/>
                <w:sz w:val="20"/>
                <w:szCs w:val="20"/>
              </w:rPr>
            </w:pPr>
            <w:r w:rsidRPr="00D92B16">
              <w:rPr>
                <w:rFonts w:asciiTheme="minorHAnsi" w:hAnsiTheme="minorHAnsi" w:cstheme="minorHAnsi"/>
                <w:b/>
                <w:spacing w:val="-4"/>
                <w:sz w:val="20"/>
                <w:szCs w:val="20"/>
              </w:rPr>
              <w:t>91,8</w:t>
            </w:r>
          </w:p>
        </w:tc>
        <w:tc>
          <w:tcPr>
            <w:tcW w:w="708" w:type="dxa"/>
            <w:tcBorders>
              <w:top w:val="single" w:sz="8" w:space="0" w:color="000000"/>
              <w:left w:val="single" w:sz="8" w:space="0" w:color="000000"/>
              <w:bottom w:val="single" w:sz="8" w:space="0" w:color="000000"/>
              <w:right w:val="single" w:sz="8" w:space="0" w:color="000000"/>
            </w:tcBorders>
            <w:shd w:val="clear" w:color="auto" w:fill="C5DFB3"/>
          </w:tcPr>
          <w:p w14:paraId="7FB1EFAE" w14:textId="77777777" w:rsidR="00412F22" w:rsidRPr="00D92B16" w:rsidRDefault="00412F22" w:rsidP="00EE0E23">
            <w:pPr>
              <w:pStyle w:val="TableParagraph"/>
              <w:spacing w:line="207" w:lineRule="exact"/>
              <w:ind w:left="33"/>
              <w:rPr>
                <w:rFonts w:asciiTheme="minorHAnsi" w:hAnsiTheme="minorHAnsi" w:cstheme="minorHAnsi"/>
                <w:b/>
                <w:sz w:val="20"/>
                <w:szCs w:val="20"/>
              </w:rPr>
            </w:pPr>
            <w:r w:rsidRPr="00D92B16">
              <w:rPr>
                <w:rFonts w:asciiTheme="minorHAnsi" w:hAnsiTheme="minorHAnsi" w:cstheme="minorHAnsi"/>
                <w:b/>
                <w:spacing w:val="-4"/>
                <w:sz w:val="20"/>
                <w:szCs w:val="20"/>
              </w:rPr>
              <w:t>92,5</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6844E80F" w14:textId="77777777" w:rsidR="00412F22" w:rsidRPr="00D92B16" w:rsidRDefault="00412F22" w:rsidP="00EE0E23">
            <w:pPr>
              <w:pStyle w:val="TableParagraph"/>
              <w:spacing w:line="207" w:lineRule="exact"/>
              <w:ind w:left="37"/>
              <w:rPr>
                <w:rFonts w:asciiTheme="minorHAnsi" w:hAnsiTheme="minorHAnsi" w:cstheme="minorHAnsi"/>
                <w:b/>
                <w:sz w:val="20"/>
                <w:szCs w:val="20"/>
              </w:rPr>
            </w:pPr>
            <w:r w:rsidRPr="00D92B16">
              <w:rPr>
                <w:rFonts w:asciiTheme="minorHAnsi" w:hAnsiTheme="minorHAnsi" w:cstheme="minorHAnsi"/>
                <w:b/>
                <w:spacing w:val="-4"/>
                <w:sz w:val="20"/>
                <w:szCs w:val="20"/>
              </w:rPr>
              <w:t>95,0</w:t>
            </w:r>
          </w:p>
        </w:tc>
        <w:tc>
          <w:tcPr>
            <w:tcW w:w="851" w:type="dxa"/>
            <w:tcBorders>
              <w:top w:val="single" w:sz="8" w:space="0" w:color="000000"/>
              <w:left w:val="single" w:sz="8" w:space="0" w:color="000000"/>
              <w:bottom w:val="single" w:sz="8" w:space="0" w:color="000000"/>
              <w:right w:val="single" w:sz="8" w:space="0" w:color="000000"/>
            </w:tcBorders>
            <w:shd w:val="clear" w:color="auto" w:fill="C5DFB3"/>
          </w:tcPr>
          <w:p w14:paraId="36877F69" w14:textId="77777777" w:rsidR="00412F22" w:rsidRPr="00D92B16" w:rsidRDefault="00412F22" w:rsidP="00EE0E23">
            <w:pPr>
              <w:pStyle w:val="TableParagraph"/>
              <w:spacing w:line="207" w:lineRule="exact"/>
              <w:ind w:left="50" w:right="12"/>
              <w:rPr>
                <w:rFonts w:asciiTheme="minorHAnsi" w:hAnsiTheme="minorHAnsi" w:cstheme="minorHAnsi"/>
                <w:b/>
                <w:sz w:val="20"/>
                <w:szCs w:val="20"/>
              </w:rPr>
            </w:pPr>
            <w:r w:rsidRPr="00D92B16">
              <w:rPr>
                <w:rFonts w:asciiTheme="minorHAnsi" w:hAnsiTheme="minorHAnsi" w:cstheme="minorHAnsi"/>
                <w:b/>
                <w:spacing w:val="-4"/>
                <w:sz w:val="20"/>
                <w:szCs w:val="20"/>
              </w:rPr>
              <w:t>93,2</w:t>
            </w:r>
          </w:p>
        </w:tc>
      </w:tr>
      <w:tr w:rsidR="00412F22" w:rsidRPr="003E3BDB" w14:paraId="65F587F6" w14:textId="77777777" w:rsidTr="00EE0E23">
        <w:trPr>
          <w:gridAfter w:val="1"/>
          <w:wAfter w:w="9" w:type="dxa"/>
          <w:trHeight w:val="253"/>
        </w:trPr>
        <w:tc>
          <w:tcPr>
            <w:tcW w:w="5930" w:type="dxa"/>
            <w:tcBorders>
              <w:left w:val="single" w:sz="8" w:space="0" w:color="000000"/>
              <w:right w:val="single" w:sz="8" w:space="0" w:color="000000"/>
            </w:tcBorders>
            <w:shd w:val="clear" w:color="auto" w:fill="auto"/>
          </w:tcPr>
          <w:p w14:paraId="4BBBDA06" w14:textId="77777777" w:rsidR="00412F22" w:rsidRPr="00693F55" w:rsidRDefault="00412F22" w:rsidP="00EE0E23">
            <w:pPr>
              <w:pStyle w:val="TableParagraph"/>
              <w:spacing w:before="2"/>
              <w:ind w:left="71"/>
              <w:rPr>
                <w:rFonts w:asciiTheme="minorHAnsi" w:hAnsiTheme="minorHAnsi" w:cstheme="minorHAnsi"/>
                <w:lang w:val="fr-FR"/>
              </w:rPr>
            </w:pPr>
            <w:r w:rsidRPr="00693F55">
              <w:rPr>
                <w:rFonts w:asciiTheme="minorHAnsi" w:hAnsiTheme="minorHAnsi" w:cstheme="minorHAnsi"/>
                <w:lang w:val="fr-FR"/>
              </w:rPr>
              <w:t>Taxes</w:t>
            </w:r>
            <w:r w:rsidRPr="00693F55">
              <w:rPr>
                <w:rFonts w:asciiTheme="minorHAnsi" w:hAnsiTheme="minorHAnsi" w:cstheme="minorHAnsi"/>
                <w:spacing w:val="-1"/>
                <w:lang w:val="fr-FR"/>
              </w:rPr>
              <w:t xml:space="preserve"> </w:t>
            </w:r>
            <w:r w:rsidRPr="00693F55">
              <w:rPr>
                <w:rFonts w:asciiTheme="minorHAnsi" w:hAnsiTheme="minorHAnsi" w:cstheme="minorHAnsi"/>
                <w:lang w:val="fr-FR"/>
              </w:rPr>
              <w:t>nettes sur</w:t>
            </w:r>
            <w:r w:rsidRPr="00693F55">
              <w:rPr>
                <w:rFonts w:asciiTheme="minorHAnsi" w:hAnsiTheme="minorHAnsi" w:cstheme="minorHAnsi"/>
                <w:spacing w:val="-1"/>
                <w:lang w:val="fr-FR"/>
              </w:rPr>
              <w:t xml:space="preserve"> </w:t>
            </w:r>
            <w:r w:rsidRPr="00693F55">
              <w:rPr>
                <w:rFonts w:asciiTheme="minorHAnsi" w:hAnsiTheme="minorHAnsi" w:cstheme="minorHAnsi"/>
                <w:lang w:val="fr-FR"/>
              </w:rPr>
              <w:t>les</w:t>
            </w:r>
            <w:r w:rsidRPr="00693F55">
              <w:rPr>
                <w:rFonts w:asciiTheme="minorHAnsi" w:hAnsiTheme="minorHAnsi" w:cstheme="minorHAnsi"/>
                <w:spacing w:val="-1"/>
                <w:lang w:val="fr-FR"/>
              </w:rPr>
              <w:t xml:space="preserve"> </w:t>
            </w:r>
            <w:r w:rsidRPr="00693F55">
              <w:rPr>
                <w:rFonts w:asciiTheme="minorHAnsi" w:hAnsiTheme="minorHAnsi" w:cstheme="minorHAnsi"/>
                <w:spacing w:val="-2"/>
                <w:lang w:val="fr-FR"/>
              </w:rPr>
              <w:t>produits</w:t>
            </w:r>
          </w:p>
        </w:tc>
        <w:tc>
          <w:tcPr>
            <w:tcW w:w="669" w:type="dxa"/>
            <w:tcBorders>
              <w:top w:val="single" w:sz="8" w:space="0" w:color="000000"/>
              <w:left w:val="single" w:sz="8" w:space="0" w:color="000000"/>
              <w:bottom w:val="single" w:sz="8" w:space="0" w:color="000000"/>
              <w:right w:val="single" w:sz="8" w:space="0" w:color="000000"/>
            </w:tcBorders>
            <w:shd w:val="clear" w:color="auto" w:fill="auto"/>
          </w:tcPr>
          <w:p w14:paraId="00A7E390" w14:textId="77777777" w:rsidR="00412F22" w:rsidRPr="00693F55" w:rsidRDefault="00412F22" w:rsidP="00EE0E23">
            <w:pPr>
              <w:pStyle w:val="TableParagraph"/>
              <w:spacing w:before="2"/>
              <w:ind w:left="36" w:right="3"/>
              <w:rPr>
                <w:rFonts w:asciiTheme="minorHAnsi" w:hAnsiTheme="minorHAnsi" w:cstheme="minorHAnsi"/>
              </w:rPr>
            </w:pPr>
            <w:r w:rsidRPr="00693F55">
              <w:rPr>
                <w:rFonts w:asciiTheme="minorHAnsi" w:hAnsiTheme="minorHAnsi" w:cstheme="minorHAnsi"/>
                <w:spacing w:val="-5"/>
              </w:rPr>
              <w:t>8,6</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43D1B473" w14:textId="77777777" w:rsidR="00412F22" w:rsidRPr="00693F55" w:rsidRDefault="00412F22" w:rsidP="00EE0E23">
            <w:pPr>
              <w:pStyle w:val="TableParagraph"/>
              <w:spacing w:before="2"/>
              <w:ind w:left="34" w:right="2"/>
              <w:rPr>
                <w:rFonts w:asciiTheme="minorHAnsi" w:hAnsiTheme="minorHAnsi" w:cstheme="minorHAnsi"/>
              </w:rPr>
            </w:pPr>
            <w:r w:rsidRPr="00693F55">
              <w:rPr>
                <w:rFonts w:asciiTheme="minorHAnsi" w:hAnsiTheme="minorHAnsi" w:cstheme="minorHAnsi"/>
                <w:spacing w:val="-5"/>
              </w:rPr>
              <w:t>8,2</w:t>
            </w:r>
          </w:p>
        </w:tc>
        <w:tc>
          <w:tcPr>
            <w:tcW w:w="708" w:type="dxa"/>
            <w:tcBorders>
              <w:top w:val="single" w:sz="8" w:space="0" w:color="000000"/>
              <w:left w:val="single" w:sz="8" w:space="0" w:color="000000"/>
              <w:bottom w:val="single" w:sz="8" w:space="0" w:color="000000"/>
              <w:right w:val="single" w:sz="8" w:space="0" w:color="000000"/>
            </w:tcBorders>
            <w:shd w:val="clear" w:color="auto" w:fill="auto"/>
          </w:tcPr>
          <w:p w14:paraId="5F046EE7" w14:textId="77777777" w:rsidR="00412F22" w:rsidRPr="00693F55" w:rsidRDefault="00412F22" w:rsidP="00EE0E23">
            <w:pPr>
              <w:pStyle w:val="TableParagraph"/>
              <w:spacing w:before="2"/>
              <w:ind w:left="33" w:right="2"/>
              <w:rPr>
                <w:rFonts w:asciiTheme="minorHAnsi" w:hAnsiTheme="minorHAnsi" w:cstheme="minorHAnsi"/>
              </w:rPr>
            </w:pPr>
            <w:r w:rsidRPr="00693F55">
              <w:rPr>
                <w:rFonts w:asciiTheme="minorHAnsi" w:hAnsiTheme="minorHAnsi" w:cstheme="minorHAnsi"/>
                <w:spacing w:val="-5"/>
              </w:rPr>
              <w:t>7,5</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14:paraId="481F7207" w14:textId="77777777" w:rsidR="00412F22" w:rsidRPr="00693F55" w:rsidRDefault="00412F22" w:rsidP="00EE0E23">
            <w:pPr>
              <w:pStyle w:val="TableParagraph"/>
              <w:spacing w:before="2"/>
              <w:ind w:left="37" w:right="2"/>
              <w:rPr>
                <w:rFonts w:asciiTheme="minorHAnsi" w:hAnsiTheme="minorHAnsi" w:cstheme="minorHAnsi"/>
              </w:rPr>
            </w:pPr>
            <w:r w:rsidRPr="00693F55">
              <w:rPr>
                <w:rFonts w:asciiTheme="minorHAnsi" w:hAnsiTheme="minorHAnsi" w:cstheme="minorHAnsi"/>
                <w:spacing w:val="-5"/>
              </w:rPr>
              <w:t>5,0</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14:paraId="796655C6" w14:textId="77777777" w:rsidR="00412F22" w:rsidRPr="00693F55" w:rsidRDefault="00412F22" w:rsidP="00EE0E23">
            <w:pPr>
              <w:pStyle w:val="TableParagraph"/>
              <w:spacing w:before="2"/>
              <w:ind w:left="50" w:right="10"/>
              <w:rPr>
                <w:rFonts w:asciiTheme="minorHAnsi" w:hAnsiTheme="minorHAnsi" w:cstheme="minorHAnsi"/>
              </w:rPr>
            </w:pPr>
            <w:r w:rsidRPr="00693F55">
              <w:rPr>
                <w:rFonts w:asciiTheme="minorHAnsi" w:hAnsiTheme="minorHAnsi" w:cstheme="minorHAnsi"/>
                <w:spacing w:val="-5"/>
              </w:rPr>
              <w:t>6,8</w:t>
            </w:r>
          </w:p>
        </w:tc>
      </w:tr>
      <w:tr w:rsidR="00412F22" w:rsidRPr="00D92B16" w14:paraId="3B9223CF" w14:textId="77777777" w:rsidTr="00EE0E23">
        <w:trPr>
          <w:gridAfter w:val="1"/>
          <w:wAfter w:w="9" w:type="dxa"/>
          <w:trHeight w:val="253"/>
        </w:trPr>
        <w:tc>
          <w:tcPr>
            <w:tcW w:w="5930" w:type="dxa"/>
            <w:tcBorders>
              <w:left w:val="single" w:sz="8" w:space="0" w:color="000000"/>
              <w:bottom w:val="single" w:sz="8" w:space="0" w:color="000000"/>
              <w:right w:val="single" w:sz="8" w:space="0" w:color="000000"/>
            </w:tcBorders>
            <w:shd w:val="clear" w:color="auto" w:fill="C5DFB3"/>
          </w:tcPr>
          <w:p w14:paraId="176DCC19" w14:textId="77777777" w:rsidR="00412F22" w:rsidRPr="00D92B16" w:rsidRDefault="00412F22" w:rsidP="00EE0E23">
            <w:pPr>
              <w:pStyle w:val="TableParagraph"/>
              <w:spacing w:line="206" w:lineRule="exact"/>
              <w:ind w:left="76"/>
              <w:rPr>
                <w:rFonts w:asciiTheme="minorHAnsi" w:hAnsiTheme="minorHAnsi" w:cstheme="minorHAnsi"/>
                <w:b/>
                <w:sz w:val="16"/>
                <w:szCs w:val="16"/>
                <w:lang w:val="fr-FR"/>
              </w:rPr>
            </w:pPr>
            <w:r w:rsidRPr="00D92B16">
              <w:rPr>
                <w:rFonts w:asciiTheme="minorHAnsi" w:hAnsiTheme="minorHAnsi" w:cstheme="minorHAnsi"/>
                <w:b/>
                <w:sz w:val="16"/>
                <w:szCs w:val="16"/>
                <w:lang w:val="fr-FR"/>
              </w:rPr>
              <w:t>P.I.B.</w:t>
            </w:r>
            <w:r w:rsidRPr="00D92B16">
              <w:rPr>
                <w:rFonts w:asciiTheme="minorHAnsi" w:hAnsiTheme="minorHAnsi" w:cstheme="minorHAnsi"/>
                <w:b/>
                <w:spacing w:val="-1"/>
                <w:sz w:val="16"/>
                <w:szCs w:val="16"/>
                <w:lang w:val="fr-FR"/>
              </w:rPr>
              <w:t xml:space="preserve"> </w:t>
            </w:r>
            <w:r w:rsidRPr="00D92B16">
              <w:rPr>
                <w:rFonts w:asciiTheme="minorHAnsi" w:hAnsiTheme="minorHAnsi" w:cstheme="minorHAnsi"/>
                <w:b/>
                <w:sz w:val="16"/>
                <w:szCs w:val="16"/>
                <w:lang w:val="fr-FR"/>
              </w:rPr>
              <w:t>AUX PRIX</w:t>
            </w:r>
            <w:r w:rsidRPr="00D92B16">
              <w:rPr>
                <w:rFonts w:asciiTheme="minorHAnsi" w:hAnsiTheme="minorHAnsi" w:cstheme="minorHAnsi"/>
                <w:b/>
                <w:spacing w:val="-1"/>
                <w:sz w:val="16"/>
                <w:szCs w:val="16"/>
                <w:lang w:val="fr-FR"/>
              </w:rPr>
              <w:t xml:space="preserve"> </w:t>
            </w:r>
            <w:r w:rsidRPr="00D92B16">
              <w:rPr>
                <w:rFonts w:asciiTheme="minorHAnsi" w:hAnsiTheme="minorHAnsi" w:cstheme="minorHAnsi"/>
                <w:b/>
                <w:sz w:val="16"/>
                <w:szCs w:val="16"/>
                <w:lang w:val="fr-FR"/>
              </w:rPr>
              <w:t xml:space="preserve">DU </w:t>
            </w:r>
            <w:r w:rsidRPr="00D92B16">
              <w:rPr>
                <w:rFonts w:asciiTheme="minorHAnsi" w:hAnsiTheme="minorHAnsi" w:cstheme="minorHAnsi"/>
                <w:b/>
                <w:spacing w:val="-2"/>
                <w:sz w:val="16"/>
                <w:szCs w:val="16"/>
                <w:lang w:val="fr-FR"/>
              </w:rPr>
              <w:t>MARCHE</w:t>
            </w:r>
          </w:p>
        </w:tc>
        <w:tc>
          <w:tcPr>
            <w:tcW w:w="669" w:type="dxa"/>
            <w:tcBorders>
              <w:top w:val="single" w:sz="8" w:space="0" w:color="000000"/>
              <w:left w:val="single" w:sz="8" w:space="0" w:color="000000"/>
              <w:bottom w:val="single" w:sz="8" w:space="0" w:color="000000"/>
              <w:right w:val="single" w:sz="8" w:space="0" w:color="000000"/>
            </w:tcBorders>
            <w:shd w:val="clear" w:color="auto" w:fill="C5DFB3"/>
          </w:tcPr>
          <w:p w14:paraId="6A3BABDA" w14:textId="77777777" w:rsidR="00412F22" w:rsidRPr="00D92B16" w:rsidRDefault="00412F22" w:rsidP="00EE0E23">
            <w:pPr>
              <w:pStyle w:val="TableParagraph"/>
              <w:spacing w:line="206" w:lineRule="exact"/>
              <w:ind w:left="31" w:right="1"/>
              <w:rPr>
                <w:rFonts w:asciiTheme="minorHAnsi" w:hAnsiTheme="minorHAnsi" w:cstheme="minorHAnsi"/>
                <w:b/>
                <w:sz w:val="16"/>
                <w:szCs w:val="16"/>
              </w:rPr>
            </w:pPr>
            <w:r w:rsidRPr="00D92B16">
              <w:rPr>
                <w:rFonts w:asciiTheme="minorHAnsi" w:hAnsiTheme="minorHAnsi" w:cstheme="minorHAnsi"/>
                <w:b/>
                <w:spacing w:val="-2"/>
                <w:sz w:val="16"/>
                <w:szCs w:val="16"/>
              </w:rPr>
              <w:t>100,0</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0E3CC30F" w14:textId="77777777" w:rsidR="00412F22" w:rsidRPr="00D92B16" w:rsidRDefault="00412F22" w:rsidP="00EE0E23">
            <w:pPr>
              <w:pStyle w:val="TableParagraph"/>
              <w:spacing w:line="206" w:lineRule="exact"/>
              <w:ind w:left="34"/>
              <w:rPr>
                <w:rFonts w:asciiTheme="minorHAnsi" w:hAnsiTheme="minorHAnsi" w:cstheme="minorHAnsi"/>
                <w:b/>
                <w:sz w:val="16"/>
                <w:szCs w:val="16"/>
              </w:rPr>
            </w:pPr>
            <w:r w:rsidRPr="00D92B16">
              <w:rPr>
                <w:rFonts w:asciiTheme="minorHAnsi" w:hAnsiTheme="minorHAnsi" w:cstheme="minorHAnsi"/>
                <w:b/>
                <w:spacing w:val="-2"/>
                <w:sz w:val="16"/>
                <w:szCs w:val="16"/>
              </w:rPr>
              <w:t>100,0</w:t>
            </w:r>
          </w:p>
        </w:tc>
        <w:tc>
          <w:tcPr>
            <w:tcW w:w="708" w:type="dxa"/>
            <w:tcBorders>
              <w:top w:val="single" w:sz="8" w:space="0" w:color="000000"/>
              <w:left w:val="single" w:sz="8" w:space="0" w:color="000000"/>
              <w:bottom w:val="single" w:sz="8" w:space="0" w:color="000000"/>
              <w:right w:val="single" w:sz="8" w:space="0" w:color="000000"/>
            </w:tcBorders>
            <w:shd w:val="clear" w:color="auto" w:fill="C5DFB3"/>
          </w:tcPr>
          <w:p w14:paraId="4C13C966" w14:textId="77777777" w:rsidR="00412F22" w:rsidRPr="00D92B16" w:rsidRDefault="00412F22" w:rsidP="00EE0E23">
            <w:pPr>
              <w:pStyle w:val="TableParagraph"/>
              <w:spacing w:line="206" w:lineRule="exact"/>
              <w:ind w:left="33"/>
              <w:rPr>
                <w:rFonts w:asciiTheme="minorHAnsi" w:hAnsiTheme="minorHAnsi" w:cstheme="minorHAnsi"/>
                <w:b/>
                <w:sz w:val="16"/>
                <w:szCs w:val="16"/>
              </w:rPr>
            </w:pPr>
            <w:r w:rsidRPr="00D92B16">
              <w:rPr>
                <w:rFonts w:asciiTheme="minorHAnsi" w:hAnsiTheme="minorHAnsi" w:cstheme="minorHAnsi"/>
                <w:b/>
                <w:spacing w:val="-2"/>
                <w:sz w:val="16"/>
                <w:szCs w:val="16"/>
              </w:rPr>
              <w:t>100,0</w:t>
            </w:r>
          </w:p>
        </w:tc>
        <w:tc>
          <w:tcPr>
            <w:tcW w:w="709" w:type="dxa"/>
            <w:tcBorders>
              <w:top w:val="single" w:sz="8" w:space="0" w:color="000000"/>
              <w:left w:val="single" w:sz="8" w:space="0" w:color="000000"/>
              <w:bottom w:val="single" w:sz="8" w:space="0" w:color="000000"/>
              <w:right w:val="single" w:sz="8" w:space="0" w:color="000000"/>
            </w:tcBorders>
            <w:shd w:val="clear" w:color="auto" w:fill="C5DFB3"/>
          </w:tcPr>
          <w:p w14:paraId="2E223BAD" w14:textId="77777777" w:rsidR="00412F22" w:rsidRPr="00D92B16" w:rsidRDefault="00412F22" w:rsidP="00EE0E23">
            <w:pPr>
              <w:pStyle w:val="TableParagraph"/>
              <w:spacing w:line="206" w:lineRule="exact"/>
              <w:ind w:left="37" w:right="1"/>
              <w:rPr>
                <w:rFonts w:asciiTheme="minorHAnsi" w:hAnsiTheme="minorHAnsi" w:cstheme="minorHAnsi"/>
                <w:b/>
                <w:sz w:val="16"/>
                <w:szCs w:val="16"/>
              </w:rPr>
            </w:pPr>
            <w:r w:rsidRPr="00D92B16">
              <w:rPr>
                <w:rFonts w:asciiTheme="minorHAnsi" w:hAnsiTheme="minorHAnsi" w:cstheme="minorHAnsi"/>
                <w:b/>
                <w:spacing w:val="-2"/>
                <w:sz w:val="16"/>
                <w:szCs w:val="16"/>
              </w:rPr>
              <w:t>100,0</w:t>
            </w:r>
          </w:p>
        </w:tc>
        <w:tc>
          <w:tcPr>
            <w:tcW w:w="851" w:type="dxa"/>
            <w:tcBorders>
              <w:top w:val="single" w:sz="8" w:space="0" w:color="000000"/>
              <w:left w:val="single" w:sz="8" w:space="0" w:color="000000"/>
              <w:bottom w:val="single" w:sz="8" w:space="0" w:color="000000"/>
              <w:right w:val="single" w:sz="8" w:space="0" w:color="000000"/>
            </w:tcBorders>
            <w:shd w:val="clear" w:color="auto" w:fill="C5DFB3"/>
          </w:tcPr>
          <w:p w14:paraId="72582BB8" w14:textId="77777777" w:rsidR="00412F22" w:rsidRPr="00D92B16" w:rsidRDefault="00412F22" w:rsidP="00EE0E23">
            <w:pPr>
              <w:pStyle w:val="TableParagraph"/>
              <w:spacing w:line="206" w:lineRule="exact"/>
              <w:ind w:left="50" w:right="13"/>
              <w:rPr>
                <w:rFonts w:asciiTheme="minorHAnsi" w:hAnsiTheme="minorHAnsi" w:cstheme="minorHAnsi"/>
                <w:b/>
                <w:sz w:val="16"/>
                <w:szCs w:val="16"/>
              </w:rPr>
            </w:pPr>
            <w:r w:rsidRPr="00D92B16">
              <w:rPr>
                <w:rFonts w:asciiTheme="minorHAnsi" w:hAnsiTheme="minorHAnsi" w:cstheme="minorHAnsi"/>
                <w:b/>
                <w:spacing w:val="-2"/>
                <w:sz w:val="16"/>
                <w:szCs w:val="16"/>
              </w:rPr>
              <w:t>100,0</w:t>
            </w:r>
          </w:p>
        </w:tc>
      </w:tr>
    </w:tbl>
    <w:p w14:paraId="7074A0AD" w14:textId="77777777" w:rsidR="00412F22" w:rsidRPr="00D92B16" w:rsidRDefault="00412F22" w:rsidP="00412F22">
      <w:pPr>
        <w:pStyle w:val="TableParagraph"/>
        <w:rPr>
          <w:rFonts w:ascii="Segoe UI" w:hAnsi="Segoe UI" w:cs="Segoe UI"/>
          <w:sz w:val="20"/>
          <w:szCs w:val="20"/>
        </w:rPr>
      </w:pPr>
      <w:r w:rsidRPr="00D92B16">
        <w:rPr>
          <w:rFonts w:ascii="Segoe UI" w:hAnsi="Segoe UI" w:cs="Segoe UI"/>
          <w:sz w:val="20"/>
          <w:szCs w:val="20"/>
        </w:rPr>
        <w:t xml:space="preserve">       Rapport annuel 2023, BCM</w:t>
      </w:r>
    </w:p>
    <w:p w14:paraId="4544FCF1" w14:textId="77777777" w:rsidR="00412F22" w:rsidRDefault="00412F22" w:rsidP="00412F22">
      <w:pPr>
        <w:pStyle w:val="TableParagraph"/>
        <w:rPr>
          <w:rFonts w:ascii="Segoe UI" w:hAnsi="Segoe UI" w:cs="Segoe UI"/>
          <w:b/>
          <w:bCs/>
          <w:sz w:val="21"/>
          <w:szCs w:val="21"/>
        </w:rPr>
      </w:pPr>
    </w:p>
    <w:p w14:paraId="02A87934" w14:textId="77777777" w:rsidR="00412F22" w:rsidRDefault="00412F22" w:rsidP="00412F22">
      <w:pPr>
        <w:pStyle w:val="TableParagraph"/>
        <w:rPr>
          <w:rFonts w:ascii="Segoe UI" w:hAnsi="Segoe UI" w:cs="Segoe UI"/>
          <w:b/>
          <w:bCs/>
          <w:sz w:val="21"/>
          <w:szCs w:val="21"/>
        </w:rPr>
      </w:pPr>
    </w:p>
    <w:p w14:paraId="143E7697" w14:textId="77777777" w:rsidR="00412F22" w:rsidRDefault="00412F22" w:rsidP="00412F22"/>
    <w:p w14:paraId="3B584943" w14:textId="77777777" w:rsidR="00412F22" w:rsidRDefault="00412F22" w:rsidP="00412F22"/>
    <w:p w14:paraId="44FF67FB" w14:textId="77777777" w:rsidR="00412F22" w:rsidRDefault="00412F22" w:rsidP="00412F22"/>
    <w:p w14:paraId="1544DD74" w14:textId="77777777" w:rsidR="00412F22" w:rsidRDefault="00412F22" w:rsidP="00412F22"/>
    <w:p w14:paraId="0DF079BE" w14:textId="77777777" w:rsidR="00412F22" w:rsidRDefault="00412F22" w:rsidP="00412F22"/>
    <w:p w14:paraId="5D7B3641" w14:textId="77777777" w:rsidR="00412F22" w:rsidRDefault="00412F22" w:rsidP="00412F22"/>
    <w:p w14:paraId="5ADD3959" w14:textId="77777777" w:rsidR="00412F22" w:rsidRDefault="00412F22" w:rsidP="00412F22"/>
    <w:p w14:paraId="73EDEE16" w14:textId="77777777" w:rsidR="00412F22" w:rsidRDefault="00412F22" w:rsidP="00412F22"/>
    <w:p w14:paraId="09D3AB45" w14:textId="77777777" w:rsidR="00412F22" w:rsidRDefault="00412F22" w:rsidP="00412F22"/>
    <w:p w14:paraId="185E317D" w14:textId="77777777" w:rsidR="00412F22" w:rsidRDefault="00412F22" w:rsidP="00412F22"/>
    <w:p w14:paraId="709D3D75" w14:textId="77777777" w:rsidR="00412F22" w:rsidRDefault="00412F22" w:rsidP="00412F22"/>
    <w:p w14:paraId="5B4BA26B" w14:textId="77777777" w:rsidR="00412F22" w:rsidRDefault="00412F22" w:rsidP="00412F22"/>
    <w:p w14:paraId="7FA2D8E1" w14:textId="77777777" w:rsidR="00412F22" w:rsidRDefault="00412F22" w:rsidP="00412F22"/>
    <w:p w14:paraId="2567332A" w14:textId="77777777" w:rsidR="00412F22" w:rsidRDefault="00412F22" w:rsidP="00412F22"/>
    <w:p w14:paraId="03229CD1" w14:textId="77777777" w:rsidR="00412F22" w:rsidRDefault="00412F22" w:rsidP="00412F22">
      <w:pPr>
        <w:pStyle w:val="Titre2"/>
        <w:rPr>
          <w:b/>
          <w:bCs/>
          <w:color w:val="000000" w:themeColor="text1"/>
        </w:rPr>
      </w:pPr>
      <w:bookmarkStart w:id="744" w:name="_Toc192462532"/>
      <w:r>
        <w:rPr>
          <w:b/>
          <w:bCs/>
          <w:color w:val="000000" w:themeColor="text1"/>
        </w:rPr>
        <w:t xml:space="preserve">                                    </w:t>
      </w:r>
    </w:p>
    <w:bookmarkEnd w:id="704"/>
    <w:bookmarkEnd w:id="744"/>
    <w:p w14:paraId="61E6A722" w14:textId="77777777" w:rsidR="00412F22" w:rsidRDefault="00412F22" w:rsidP="00412F22">
      <w:pPr>
        <w:pStyle w:val="Titre2"/>
        <w:rPr>
          <w:b/>
          <w:bCs/>
          <w:color w:val="000000" w:themeColor="text1"/>
        </w:rPr>
      </w:pPr>
    </w:p>
    <w:p w14:paraId="7E71D9ED" w14:textId="77777777" w:rsidR="00BC6C8B" w:rsidRPr="004E687C" w:rsidRDefault="00BC6C8B" w:rsidP="00BC6C8B">
      <w:pPr>
        <w:tabs>
          <w:tab w:val="left" w:pos="1060"/>
        </w:tabs>
        <w:rPr>
          <w:rFonts w:asciiTheme="majorBidi" w:eastAsia="Times New Roman" w:hAnsiTheme="majorBidi" w:cstheme="majorBidi"/>
          <w:sz w:val="24"/>
          <w:szCs w:val="24"/>
          <w:lang w:val="wo-SN" w:eastAsia="fr-FR"/>
        </w:rPr>
      </w:pPr>
    </w:p>
    <w:p w14:paraId="49E3F612" w14:textId="7C11FADA" w:rsidR="00BC6C8B" w:rsidRPr="004E687C" w:rsidRDefault="00BC6C8B" w:rsidP="00DF1579">
      <w:pPr>
        <w:jc w:val="both"/>
        <w:rPr>
          <w:rFonts w:ascii="Century Gothic" w:hAnsi="Century Gothic"/>
          <w:lang w:val="wo-SN"/>
        </w:rPr>
      </w:pPr>
    </w:p>
    <w:sectPr w:rsidR="00BC6C8B" w:rsidRPr="004E68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261DB" w14:textId="77777777" w:rsidR="00AA07AE" w:rsidRDefault="00AA07AE" w:rsidP="00D31D6B">
      <w:pPr>
        <w:spacing w:after="0" w:line="240" w:lineRule="auto"/>
      </w:pPr>
      <w:r>
        <w:separator/>
      </w:r>
    </w:p>
  </w:endnote>
  <w:endnote w:type="continuationSeparator" w:id="0">
    <w:p w14:paraId="272068E1" w14:textId="77777777" w:rsidR="00AA07AE" w:rsidRDefault="00AA07AE" w:rsidP="00D31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Abadi Extra Light">
    <w:charset w:val="00"/>
    <w:family w:val="swiss"/>
    <w:pitch w:val="variable"/>
    <w:sig w:usb0="8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DJFONE+Tahoma">
    <w:altName w:val="Tahoma"/>
    <w:panose1 w:val="00000000000000000000"/>
    <w:charset w:val="00"/>
    <w:family w:val="swiss"/>
    <w:notTrueType/>
    <w:pitch w:val="default"/>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LeagueSpartan-Bold">
    <w:altName w:val="Calibri"/>
    <w:panose1 w:val="00000000000000000000"/>
    <w:charset w:val="00"/>
    <w:family w:val="auto"/>
    <w:notTrueType/>
    <w:pitch w:val="default"/>
    <w:sig w:usb0="00000003" w:usb1="00000000" w:usb2="00000000" w:usb3="00000000" w:csb0="00000001" w:csb1="00000000"/>
  </w:font>
  <w:font w:name="PTSans-Regular">
    <w:altName w:val="Arial"/>
    <w:panose1 w:val="00000000000000000000"/>
    <w:charset w:val="00"/>
    <w:family w:val="auto"/>
    <w:notTrueType/>
    <w:pitch w:val="default"/>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Roboto-Bold">
    <w:altName w:val="MS Gothic"/>
    <w:panose1 w:val="00000000000000000000"/>
    <w:charset w:val="80"/>
    <w:family w:val="auto"/>
    <w:notTrueType/>
    <w:pitch w:val="default"/>
    <w:sig w:usb0="00000003" w:usb1="08070000" w:usb2="00000010" w:usb3="00000000" w:csb0="00020001" w:csb1="00000000"/>
  </w:font>
  <w:font w:name="ArialUnicodeMS">
    <w:panose1 w:val="00000000000000000000"/>
    <w:charset w:val="00"/>
    <w:family w:val="auto"/>
    <w:notTrueType/>
    <w:pitch w:val="default"/>
    <w:sig w:usb0="00000003" w:usb1="00000000" w:usb2="00000000" w:usb3="00000000" w:csb0="00000001" w:csb1="00000000"/>
  </w:font>
  <w:font w:name="IBM Plex Serif">
    <w:charset w:val="00"/>
    <w:family w:val="roman"/>
    <w:pitch w:val="variable"/>
    <w:sig w:usb0="A000026F" w:usb1="5000203B" w:usb2="00000000" w:usb3="00000000" w:csb0="00000197" w:csb1="00000000"/>
  </w:font>
  <w:font w:name="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Noto Sans CJK SC">
    <w:altName w:val="Times New Roman"/>
    <w:charset w:val="00"/>
    <w:family w:val="auto"/>
    <w:pitch w:val="variable"/>
  </w:font>
  <w:font w:name="Arial Narrow">
    <w:panose1 w:val="020B0606020202030204"/>
    <w:charset w:val="00"/>
    <w:family w:val="swiss"/>
    <w:pitch w:val="variable"/>
    <w:sig w:usb0="00000287" w:usb1="00000800" w:usb2="00000000" w:usb3="00000000" w:csb0="0000009F" w:csb1="00000000"/>
  </w:font>
  <w:font w:name="LouguiyaFR">
    <w:altName w:val="Lucida Sans Unicode"/>
    <w:charset w:val="00"/>
    <w:family w:val="swiss"/>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486937"/>
      <w:docPartObj>
        <w:docPartGallery w:val="Page Numbers (Bottom of Page)"/>
        <w:docPartUnique/>
      </w:docPartObj>
    </w:sdtPr>
    <w:sdtContent>
      <w:p w14:paraId="1DCDE0B1" w14:textId="77777777" w:rsidR="008F2269" w:rsidRDefault="008F2269">
        <w:pPr>
          <w:pStyle w:val="Pieddepage"/>
          <w:jc w:val="right"/>
        </w:pPr>
        <w:r>
          <w:fldChar w:fldCharType="begin"/>
        </w:r>
        <w:r>
          <w:instrText>PAGE   \* MERGEFORMAT</w:instrText>
        </w:r>
        <w:r>
          <w:fldChar w:fldCharType="separate"/>
        </w:r>
        <w:r>
          <w:rPr>
            <w:noProof/>
          </w:rPr>
          <w:t>22</w:t>
        </w:r>
        <w:r>
          <w:fldChar w:fldCharType="end"/>
        </w:r>
      </w:p>
    </w:sdtContent>
  </w:sdt>
  <w:p w14:paraId="7E31ACF4" w14:textId="77777777" w:rsidR="008F2269" w:rsidRDefault="008F226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747834"/>
      <w:docPartObj>
        <w:docPartGallery w:val="Page Numbers (Bottom of Page)"/>
        <w:docPartUnique/>
      </w:docPartObj>
    </w:sdtPr>
    <w:sdtEndPr>
      <w:rPr>
        <w:noProof/>
      </w:rPr>
    </w:sdtEndPr>
    <w:sdtContent>
      <w:p w14:paraId="76422623" w14:textId="77777777" w:rsidR="00A47DEE" w:rsidRDefault="00A47DEE">
        <w:pPr>
          <w:pStyle w:val="Pieddepage"/>
          <w:jc w:val="center"/>
        </w:pPr>
        <w:r>
          <w:fldChar w:fldCharType="begin"/>
        </w:r>
        <w:r>
          <w:instrText xml:space="preserve"> PAGE   \* MERGEFORMAT </w:instrText>
        </w:r>
        <w:r>
          <w:fldChar w:fldCharType="separate"/>
        </w:r>
        <w:r>
          <w:rPr>
            <w:noProof/>
          </w:rPr>
          <w:t>20</w:t>
        </w:r>
        <w:r>
          <w:rPr>
            <w:noProof/>
          </w:rPr>
          <w:fldChar w:fldCharType="end"/>
        </w:r>
      </w:p>
    </w:sdtContent>
  </w:sdt>
  <w:p w14:paraId="62BE0114" w14:textId="77777777" w:rsidR="00A47DEE" w:rsidRDefault="00A47DE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775046"/>
      <w:docPartObj>
        <w:docPartGallery w:val="Page Numbers (Bottom of Page)"/>
        <w:docPartUnique/>
      </w:docPartObj>
    </w:sdtPr>
    <w:sdtEndPr>
      <w:rPr>
        <w:noProof/>
      </w:rPr>
    </w:sdtEndPr>
    <w:sdtContent>
      <w:p w14:paraId="23080AB7" w14:textId="77777777" w:rsidR="00A47DEE" w:rsidRDefault="00A47DEE">
        <w:pPr>
          <w:pStyle w:val="Pieddepage"/>
          <w:jc w:val="center"/>
        </w:pPr>
        <w:r>
          <w:fldChar w:fldCharType="begin"/>
        </w:r>
        <w:r>
          <w:instrText xml:space="preserve"> PAGE   \* MERGEFORMAT </w:instrText>
        </w:r>
        <w:r>
          <w:fldChar w:fldCharType="separate"/>
        </w:r>
        <w:r>
          <w:rPr>
            <w:noProof/>
          </w:rPr>
          <w:t>20</w:t>
        </w:r>
        <w:r>
          <w:rPr>
            <w:noProof/>
          </w:rPr>
          <w:fldChar w:fldCharType="end"/>
        </w:r>
      </w:p>
    </w:sdtContent>
  </w:sdt>
  <w:p w14:paraId="068FE5B3" w14:textId="77777777" w:rsidR="00A47DEE" w:rsidRDefault="00A47DE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19C36" w14:textId="77777777" w:rsidR="00AA07AE" w:rsidRDefault="00AA07AE" w:rsidP="00D31D6B">
      <w:pPr>
        <w:spacing w:after="0" w:line="240" w:lineRule="auto"/>
      </w:pPr>
      <w:r>
        <w:separator/>
      </w:r>
    </w:p>
  </w:footnote>
  <w:footnote w:type="continuationSeparator" w:id="0">
    <w:p w14:paraId="57EDB1F9" w14:textId="77777777" w:rsidR="00AA07AE" w:rsidRDefault="00AA07AE" w:rsidP="00D31D6B">
      <w:pPr>
        <w:spacing w:after="0" w:line="240" w:lineRule="auto"/>
      </w:pPr>
      <w:r>
        <w:continuationSeparator/>
      </w:r>
    </w:p>
  </w:footnote>
  <w:footnote w:id="1">
    <w:p w14:paraId="616360D1" w14:textId="77777777" w:rsidR="0062478D" w:rsidRPr="00203B3F" w:rsidRDefault="0062478D" w:rsidP="008955AA">
      <w:pPr>
        <w:rPr>
          <w:rFonts w:ascii="Century Gothic" w:hAnsi="Century Gothic"/>
          <w:sz w:val="18"/>
          <w:szCs w:val="18"/>
          <w:lang w:val="wo-SN"/>
        </w:rPr>
      </w:pPr>
      <w:r w:rsidRPr="00203B3F">
        <w:rPr>
          <w:rStyle w:val="Appelnotedebasdep"/>
          <w:rFonts w:ascii="Century Gothic" w:hAnsi="Century Gothic"/>
          <w:sz w:val="18"/>
          <w:szCs w:val="18"/>
        </w:rPr>
        <w:footnoteRef/>
      </w:r>
      <w:r w:rsidRPr="00203B3F">
        <w:rPr>
          <w:rFonts w:ascii="Century Gothic" w:hAnsi="Century Gothic"/>
          <w:sz w:val="18"/>
          <w:szCs w:val="18"/>
        </w:rPr>
        <w:t xml:space="preserve"> </w:t>
      </w:r>
      <w:r w:rsidRPr="00203B3F">
        <w:rPr>
          <w:rFonts w:ascii="Century Gothic" w:hAnsi="Century Gothic"/>
          <w:sz w:val="18"/>
          <w:szCs w:val="18"/>
          <w:lang w:val="wo-SN"/>
        </w:rPr>
        <w:t>https://www.cbd.int/doc/meetings/mar/ebsa-sea-01/other/ebsa-sea-01-submission-mauritania-template-03-en.pdf</w:t>
      </w:r>
    </w:p>
  </w:footnote>
  <w:footnote w:id="2">
    <w:p w14:paraId="3C86138F" w14:textId="77777777" w:rsidR="0062478D" w:rsidRPr="00203B3F" w:rsidRDefault="0062478D" w:rsidP="008955AA">
      <w:pPr>
        <w:rPr>
          <w:rFonts w:ascii="Century Gothic" w:hAnsi="Century Gothic"/>
          <w:sz w:val="18"/>
          <w:szCs w:val="18"/>
          <w:lang w:val="wo-SN"/>
        </w:rPr>
      </w:pPr>
      <w:r w:rsidRPr="00203B3F">
        <w:rPr>
          <w:rStyle w:val="Appelnotedebasdep"/>
          <w:rFonts w:ascii="Century Gothic" w:hAnsi="Century Gothic"/>
          <w:sz w:val="18"/>
          <w:szCs w:val="18"/>
        </w:rPr>
        <w:footnoteRef/>
      </w:r>
      <w:r w:rsidRPr="00203B3F">
        <w:rPr>
          <w:rFonts w:ascii="Century Gothic" w:hAnsi="Century Gothic"/>
          <w:sz w:val="18"/>
          <w:szCs w:val="18"/>
          <w:lang w:val="wo-SN"/>
        </w:rPr>
        <w:t xml:space="preserve"> https://www.imrop.mr/document/biodiversite-des-ecosystemes-benthiques-du-plateau-continental-et-du-talus-de-la-mauritanie/</w:t>
      </w:r>
    </w:p>
  </w:footnote>
  <w:footnote w:id="3">
    <w:p w14:paraId="573D8689" w14:textId="77777777" w:rsidR="0062478D" w:rsidRPr="00203B3F" w:rsidRDefault="0062478D" w:rsidP="0062478D">
      <w:pPr>
        <w:rPr>
          <w:rFonts w:ascii="Century Gothic" w:hAnsi="Century Gothic"/>
          <w:sz w:val="18"/>
          <w:szCs w:val="18"/>
          <w:lang w:val="wo-SN"/>
        </w:rPr>
      </w:pPr>
      <w:r w:rsidRPr="00203B3F">
        <w:rPr>
          <w:rStyle w:val="Appelnotedebasdep"/>
          <w:rFonts w:ascii="Century Gothic" w:hAnsi="Century Gothic"/>
          <w:sz w:val="18"/>
          <w:szCs w:val="18"/>
        </w:rPr>
        <w:footnoteRef/>
      </w:r>
      <w:r w:rsidRPr="00203B3F">
        <w:rPr>
          <w:rFonts w:ascii="Century Gothic" w:hAnsi="Century Gothic"/>
          <w:sz w:val="18"/>
          <w:szCs w:val="18"/>
          <w:lang w:val="wo-SN"/>
        </w:rPr>
        <w:t xml:space="preserve"> https://www.cbd.int/doc/world/mr/mr-nr-04-fr.pdf</w:t>
      </w:r>
    </w:p>
  </w:footnote>
  <w:footnote w:id="4">
    <w:p w14:paraId="6E5F0E42" w14:textId="77777777" w:rsidR="0062478D" w:rsidRPr="00910532" w:rsidRDefault="0062478D" w:rsidP="0062478D">
      <w:pPr>
        <w:rPr>
          <w:lang w:val="wo-SN"/>
        </w:rPr>
      </w:pPr>
      <w:r w:rsidRPr="00203B3F">
        <w:rPr>
          <w:rStyle w:val="Appelnotedebasdep"/>
          <w:rFonts w:ascii="Century Gothic" w:hAnsi="Century Gothic"/>
          <w:sz w:val="18"/>
          <w:szCs w:val="18"/>
        </w:rPr>
        <w:footnoteRef/>
      </w:r>
      <w:r w:rsidRPr="00203B3F">
        <w:rPr>
          <w:rFonts w:ascii="Century Gothic" w:hAnsi="Century Gothic"/>
          <w:sz w:val="18"/>
          <w:szCs w:val="18"/>
          <w:lang w:val="wo-SN"/>
        </w:rPr>
        <w:t xml:space="preserve"> https://www.afd.fr/fr/carte-des-projets/soutien-la-biodiversite-cotiere-et-marine-du-banc-darguin-en-mauritanie</w:t>
      </w:r>
    </w:p>
  </w:footnote>
  <w:footnote w:id="5">
    <w:p w14:paraId="62E9EE95" w14:textId="77777777" w:rsidR="0062478D" w:rsidRPr="00203B3F" w:rsidRDefault="0062478D" w:rsidP="00A4123D">
      <w:pPr>
        <w:spacing w:after="0"/>
        <w:rPr>
          <w:rStyle w:val="Appelnotedebasdep"/>
          <w:rFonts w:ascii="Century Gothic" w:hAnsi="Century Gothic"/>
          <w:sz w:val="18"/>
          <w:szCs w:val="18"/>
        </w:rPr>
      </w:pPr>
      <w:r w:rsidRPr="00203B3F">
        <w:rPr>
          <w:rStyle w:val="Appelnotedebasdep"/>
          <w:rFonts w:ascii="Century Gothic" w:hAnsi="Century Gothic"/>
          <w:sz w:val="18"/>
          <w:szCs w:val="18"/>
        </w:rPr>
        <w:footnoteRef/>
      </w:r>
      <w:r w:rsidRPr="00203B3F">
        <w:rPr>
          <w:rStyle w:val="Appelnotedebasdep"/>
          <w:rFonts w:ascii="Century Gothic" w:hAnsi="Century Gothic"/>
          <w:sz w:val="18"/>
          <w:szCs w:val="18"/>
        </w:rPr>
        <w:t xml:space="preserve"> https://books.openedition.org/irdeditions/8101?lang=fr</w:t>
      </w:r>
    </w:p>
  </w:footnote>
  <w:footnote w:id="6">
    <w:p w14:paraId="4372C576" w14:textId="77777777" w:rsidR="0062478D" w:rsidRPr="00203B3F" w:rsidRDefault="0062478D" w:rsidP="00A4123D">
      <w:pPr>
        <w:spacing w:after="0"/>
        <w:rPr>
          <w:rStyle w:val="Appelnotedebasdep"/>
          <w:rFonts w:ascii="Century Gothic" w:hAnsi="Century Gothic"/>
          <w:sz w:val="18"/>
          <w:szCs w:val="18"/>
        </w:rPr>
      </w:pPr>
      <w:r w:rsidRPr="00203B3F">
        <w:rPr>
          <w:rStyle w:val="Appelnotedebasdep"/>
          <w:rFonts w:ascii="Century Gothic" w:hAnsi="Century Gothic"/>
          <w:sz w:val="18"/>
          <w:szCs w:val="18"/>
        </w:rPr>
        <w:footnoteRef/>
      </w:r>
      <w:r w:rsidRPr="00203B3F">
        <w:rPr>
          <w:rStyle w:val="Appelnotedebasdep"/>
          <w:rFonts w:ascii="Century Gothic" w:hAnsi="Century Gothic"/>
        </w:rPr>
        <w:t xml:space="preserve"> </w:t>
      </w:r>
      <w:r w:rsidRPr="00203B3F">
        <w:rPr>
          <w:rStyle w:val="Appelnotedebasdep"/>
          <w:rFonts w:ascii="Century Gothic" w:hAnsi="Century Gothic"/>
          <w:sz w:val="18"/>
          <w:szCs w:val="18"/>
        </w:rPr>
        <w:t>https://rsis.ramsar.org/RISapp/files/41361735/documents/MR250_descr211014.pdf</w:t>
      </w:r>
    </w:p>
  </w:footnote>
  <w:footnote w:id="7">
    <w:p w14:paraId="250E18F5" w14:textId="77777777" w:rsidR="0062478D" w:rsidRPr="00AA2F69" w:rsidRDefault="0062478D" w:rsidP="00A4123D">
      <w:pPr>
        <w:spacing w:after="0"/>
        <w:rPr>
          <w:rStyle w:val="Appelnotedebasdep"/>
          <w:sz w:val="18"/>
          <w:szCs w:val="18"/>
        </w:rPr>
      </w:pPr>
      <w:r w:rsidRPr="00203B3F">
        <w:rPr>
          <w:rStyle w:val="Appelnotedebasdep"/>
          <w:rFonts w:ascii="Century Gothic" w:hAnsi="Century Gothic"/>
          <w:sz w:val="18"/>
          <w:szCs w:val="18"/>
        </w:rPr>
        <w:footnoteRef/>
      </w:r>
      <w:r w:rsidRPr="00203B3F">
        <w:rPr>
          <w:rStyle w:val="Appelnotedebasdep"/>
          <w:rFonts w:ascii="Century Gothic" w:hAnsi="Century Gothic"/>
          <w:sz w:val="18"/>
          <w:szCs w:val="18"/>
        </w:rPr>
        <w:t xml:space="preserve"> https://mr.chm-cbd.net/fr/zones-protegees</w:t>
      </w:r>
    </w:p>
  </w:footnote>
  <w:footnote w:id="8">
    <w:p w14:paraId="28E047B9" w14:textId="77777777" w:rsidR="0062478D" w:rsidRPr="002946B2" w:rsidRDefault="0062478D" w:rsidP="00A4123D">
      <w:pPr>
        <w:spacing w:after="0"/>
        <w:rPr>
          <w:rFonts w:ascii="Century Gothic" w:hAnsi="Century Gothic"/>
          <w:sz w:val="18"/>
          <w:szCs w:val="18"/>
          <w:lang w:val="wo-SN"/>
        </w:rPr>
      </w:pPr>
      <w:r w:rsidRPr="002946B2">
        <w:rPr>
          <w:rStyle w:val="Appelnotedebasdep"/>
          <w:rFonts w:ascii="Century Gothic" w:hAnsi="Century Gothic"/>
          <w:sz w:val="18"/>
          <w:szCs w:val="18"/>
        </w:rPr>
        <w:footnoteRef/>
      </w:r>
      <w:r w:rsidRPr="002946B2">
        <w:rPr>
          <w:rStyle w:val="Appelnotedebasdep"/>
          <w:rFonts w:ascii="Century Gothic" w:hAnsi="Century Gothic"/>
          <w:sz w:val="18"/>
          <w:szCs w:val="18"/>
        </w:rPr>
        <w:t xml:space="preserve"> https://books.openedition.org/irdeditions/8101?lang=fr</w:t>
      </w:r>
    </w:p>
  </w:footnote>
  <w:footnote w:id="9">
    <w:p w14:paraId="3F2C3A15" w14:textId="77777777" w:rsidR="0062478D" w:rsidRPr="001C5A7A" w:rsidRDefault="0062478D" w:rsidP="00A4123D">
      <w:pPr>
        <w:spacing w:after="0"/>
        <w:rPr>
          <w:vertAlign w:val="superscript"/>
          <w:lang w:val="wo-SN"/>
        </w:rPr>
      </w:pPr>
      <w:r w:rsidRPr="00D31D6B">
        <w:rPr>
          <w:rStyle w:val="Appelnotedebasdep"/>
          <w:sz w:val="18"/>
          <w:szCs w:val="18"/>
        </w:rPr>
        <w:footnoteRef/>
      </w:r>
      <w:r w:rsidRPr="001C5A7A">
        <w:rPr>
          <w:rStyle w:val="Appelnotedebasdep"/>
          <w:lang w:val="wo-SN"/>
        </w:rPr>
        <w:t xml:space="preserve"> </w:t>
      </w:r>
      <w:r w:rsidRPr="001C5A7A">
        <w:rPr>
          <w:rFonts w:ascii="Century Gothic" w:hAnsi="Century Gothic"/>
          <w:sz w:val="18"/>
          <w:szCs w:val="18"/>
          <w:lang w:val="wo-SN"/>
        </w:rPr>
        <w:t>https://mr.chm-cbd.net/fr/zones-protegees</w:t>
      </w:r>
    </w:p>
  </w:footnote>
  <w:footnote w:id="10">
    <w:p w14:paraId="1EBD021C" w14:textId="77777777" w:rsidR="0062478D" w:rsidRPr="001C5A7A" w:rsidRDefault="0062478D" w:rsidP="00A4123D">
      <w:pPr>
        <w:spacing w:after="0"/>
        <w:rPr>
          <w:sz w:val="18"/>
          <w:szCs w:val="18"/>
          <w:vertAlign w:val="superscript"/>
          <w:lang w:val="wo-SN"/>
        </w:rPr>
      </w:pPr>
      <w:r>
        <w:rPr>
          <w:rStyle w:val="Appelnotedebasdep"/>
        </w:rPr>
        <w:footnoteRef/>
      </w:r>
      <w:r w:rsidRPr="001C5A7A">
        <w:rPr>
          <w:lang w:val="wo-SN"/>
        </w:rPr>
        <w:t xml:space="preserve"> </w:t>
      </w:r>
      <w:r w:rsidRPr="001C5A7A">
        <w:rPr>
          <w:rFonts w:ascii="Century Gothic" w:hAnsi="Century Gothic"/>
          <w:sz w:val="18"/>
          <w:szCs w:val="18"/>
          <w:lang w:val="wo-SN"/>
        </w:rPr>
        <w:t>https://fr.wikipedia.org/wiki/Liste_des_aires_prot%C3%A9g%C3%A9es_de_Mauritanie</w:t>
      </w:r>
    </w:p>
  </w:footnote>
  <w:footnote w:id="11">
    <w:p w14:paraId="5406B4C7" w14:textId="77777777" w:rsidR="0062478D" w:rsidRPr="001C5A7A" w:rsidRDefault="0062478D" w:rsidP="00A4123D">
      <w:pPr>
        <w:spacing w:after="0"/>
        <w:rPr>
          <w:rFonts w:ascii="Century Gothic" w:hAnsi="Century Gothic"/>
          <w:sz w:val="10"/>
          <w:szCs w:val="10"/>
          <w:lang w:val="wo-SN"/>
        </w:rPr>
      </w:pPr>
      <w:r w:rsidRPr="00176460">
        <w:rPr>
          <w:rStyle w:val="Appelnotedebasdep"/>
          <w:sz w:val="18"/>
          <w:szCs w:val="18"/>
        </w:rPr>
        <w:footnoteRef/>
      </w:r>
      <w:r w:rsidRPr="001C5A7A">
        <w:rPr>
          <w:sz w:val="10"/>
          <w:szCs w:val="10"/>
          <w:lang w:val="wo-SN"/>
        </w:rPr>
        <w:t xml:space="preserve"> </w:t>
      </w:r>
      <w:r w:rsidRPr="001C5A7A">
        <w:rPr>
          <w:rFonts w:ascii="Century Gothic" w:hAnsi="Century Gothic"/>
          <w:sz w:val="18"/>
          <w:szCs w:val="18"/>
          <w:lang w:val="wo-SN"/>
        </w:rPr>
        <w:t>https://www.cbd.int/doc/meetings/mar/ebsa-sea-01/other/ebsa-sea-01-submission-mauritania-template-01-en.pdf</w:t>
      </w:r>
    </w:p>
  </w:footnote>
  <w:footnote w:id="12">
    <w:p w14:paraId="20521082" w14:textId="77777777" w:rsidR="0062478D" w:rsidRPr="00AA2F69" w:rsidRDefault="0062478D" w:rsidP="00A4123D">
      <w:pPr>
        <w:pStyle w:val="Notedebasdepage"/>
        <w:rPr>
          <w:rFonts w:ascii="Century Gothic" w:hAnsi="Century Gothic"/>
          <w:sz w:val="18"/>
          <w:szCs w:val="18"/>
          <w:lang w:val="wo-SN"/>
        </w:rPr>
      </w:pPr>
      <w:r w:rsidRPr="00AA2F69">
        <w:rPr>
          <w:rStyle w:val="Appelnotedebasdep"/>
          <w:rFonts w:ascii="Century Gothic" w:hAnsi="Century Gothic"/>
          <w:sz w:val="18"/>
          <w:szCs w:val="18"/>
        </w:rPr>
        <w:footnoteRef/>
      </w:r>
      <w:r w:rsidRPr="00AA2F69">
        <w:rPr>
          <w:rFonts w:ascii="Century Gothic" w:hAnsi="Century Gothic"/>
          <w:sz w:val="18"/>
          <w:szCs w:val="18"/>
          <w:lang w:val="wo-SN"/>
        </w:rPr>
        <w:t xml:space="preserve"> https://www.fao.org/4/x6886f/x6886f08.htm</w:t>
      </w:r>
    </w:p>
  </w:footnote>
  <w:footnote w:id="13">
    <w:p w14:paraId="07501961" w14:textId="77777777" w:rsidR="0062478D" w:rsidRPr="00AA2F69" w:rsidRDefault="0062478D" w:rsidP="00A4123D">
      <w:pPr>
        <w:pStyle w:val="Notedebasdepage"/>
        <w:rPr>
          <w:rFonts w:ascii="Century Gothic" w:hAnsi="Century Gothic"/>
          <w:sz w:val="18"/>
          <w:szCs w:val="18"/>
          <w:lang w:val="wo-SN"/>
        </w:rPr>
      </w:pPr>
      <w:r w:rsidRPr="00AA2F69">
        <w:rPr>
          <w:rStyle w:val="Appelnotedebasdep"/>
          <w:rFonts w:ascii="Century Gothic" w:hAnsi="Century Gothic"/>
          <w:sz w:val="18"/>
          <w:szCs w:val="18"/>
        </w:rPr>
        <w:footnoteRef/>
      </w:r>
      <w:r w:rsidRPr="00AA2F69">
        <w:rPr>
          <w:rFonts w:ascii="Century Gothic" w:hAnsi="Century Gothic"/>
          <w:sz w:val="18"/>
          <w:szCs w:val="18"/>
          <w:lang w:val="wo-SN"/>
        </w:rPr>
        <w:t xml:space="preserve"> https://fr.wikipedia.org/wiki/Liste_des_aires_prot%C3%A9g%C3%A9es_de_Mauritanie</w:t>
      </w:r>
    </w:p>
  </w:footnote>
  <w:footnote w:id="14">
    <w:p w14:paraId="26EA6306" w14:textId="77777777" w:rsidR="0062478D" w:rsidRPr="00AA2F69" w:rsidRDefault="0062478D" w:rsidP="00A4123D">
      <w:pPr>
        <w:pStyle w:val="Notedebasdepage"/>
        <w:rPr>
          <w:rFonts w:ascii="Century Gothic" w:hAnsi="Century Gothic"/>
          <w:sz w:val="18"/>
          <w:szCs w:val="18"/>
          <w:lang w:val="wo-SN"/>
        </w:rPr>
      </w:pPr>
      <w:r w:rsidRPr="00AA2F69">
        <w:rPr>
          <w:rStyle w:val="Appelnotedebasdep"/>
          <w:rFonts w:ascii="Century Gothic" w:hAnsi="Century Gothic"/>
          <w:sz w:val="18"/>
          <w:szCs w:val="18"/>
        </w:rPr>
        <w:footnoteRef/>
      </w:r>
      <w:r w:rsidRPr="00AA2F69">
        <w:rPr>
          <w:rFonts w:ascii="Century Gothic" w:hAnsi="Century Gothic"/>
          <w:sz w:val="18"/>
          <w:szCs w:val="18"/>
          <w:lang w:val="wo-SN"/>
        </w:rPr>
        <w:t xml:space="preserve"> https://iucn.org/fr/resources/publication/evaluation-de-lefficacite-des-aires-protegees-parcs-et-reserves-de-mauritanie</w:t>
      </w:r>
    </w:p>
  </w:footnote>
  <w:footnote w:id="15">
    <w:p w14:paraId="08E5AD48" w14:textId="77777777" w:rsidR="0062478D" w:rsidRPr="00AA2F69" w:rsidRDefault="0062478D" w:rsidP="00A4123D">
      <w:pPr>
        <w:spacing w:after="0"/>
        <w:rPr>
          <w:rFonts w:ascii="Century Gothic" w:hAnsi="Century Gothic"/>
          <w:sz w:val="18"/>
          <w:szCs w:val="18"/>
          <w:lang w:val="wo-SN"/>
        </w:rPr>
      </w:pPr>
      <w:r w:rsidRPr="00AA2F69">
        <w:rPr>
          <w:rStyle w:val="Appelnotedebasdep"/>
          <w:rFonts w:ascii="Century Gothic" w:hAnsi="Century Gothic"/>
          <w:sz w:val="18"/>
          <w:szCs w:val="18"/>
        </w:rPr>
        <w:footnoteRef/>
      </w:r>
      <w:r w:rsidRPr="00AA2F69">
        <w:rPr>
          <w:rFonts w:ascii="Century Gothic" w:hAnsi="Century Gothic"/>
          <w:sz w:val="18"/>
          <w:szCs w:val="18"/>
          <w:lang w:val="wo-SN"/>
        </w:rPr>
        <w:t xml:space="preserve"> https://www.cbd.int/doc/meetings/mar/ebsa-sea-01/other/ebsa-sea-01-submission-mauritania-template-01-en.pdf</w:t>
      </w:r>
    </w:p>
  </w:footnote>
  <w:footnote w:id="16">
    <w:p w14:paraId="6E355D4C" w14:textId="1F69B460" w:rsidR="0062478D" w:rsidRPr="001C5A7A" w:rsidRDefault="0062478D" w:rsidP="00A4123D">
      <w:pPr>
        <w:pStyle w:val="Notedebasdepage"/>
        <w:rPr>
          <w:lang w:val="wo-SN"/>
        </w:rPr>
      </w:pPr>
      <w:r w:rsidRPr="00AA2F69">
        <w:rPr>
          <w:rStyle w:val="Appelnotedebasdep"/>
          <w:rFonts w:ascii="Century Gothic" w:hAnsi="Century Gothic"/>
          <w:sz w:val="18"/>
          <w:szCs w:val="18"/>
        </w:rPr>
        <w:footnoteRef/>
      </w:r>
      <w:r w:rsidRPr="00AA2F69">
        <w:rPr>
          <w:rFonts w:ascii="Century Gothic" w:hAnsi="Century Gothic"/>
          <w:sz w:val="18"/>
          <w:szCs w:val="18"/>
          <w:lang w:val="wo-SN"/>
        </w:rPr>
        <w:t>https://iiab.me/kiwix/content/wikipedia_fr_all_maxi_202209/A/Liste_des_aires_prot%C3%A9g%C3%A9es_de_Mauritanie</w:t>
      </w:r>
    </w:p>
  </w:footnote>
  <w:footnote w:id="17">
    <w:p w14:paraId="15168B8C" w14:textId="77777777" w:rsidR="0062478D" w:rsidRPr="00817357" w:rsidRDefault="0062478D" w:rsidP="000859AB">
      <w:pPr>
        <w:spacing w:after="0"/>
        <w:rPr>
          <w:rStyle w:val="Appelnotedebasdep"/>
          <w:sz w:val="18"/>
          <w:szCs w:val="18"/>
          <w:lang w:val="wo-SN"/>
        </w:rPr>
      </w:pPr>
      <w:r w:rsidRPr="007201F5">
        <w:rPr>
          <w:rStyle w:val="Appelnotedebasdep"/>
          <w:sz w:val="18"/>
          <w:szCs w:val="18"/>
        </w:rPr>
        <w:footnoteRef/>
      </w:r>
      <w:r w:rsidRPr="00817357">
        <w:rPr>
          <w:rStyle w:val="Appelnotedebasdep"/>
          <w:sz w:val="18"/>
          <w:szCs w:val="18"/>
          <w:lang w:val="wo-SN"/>
        </w:rPr>
        <w:t xml:space="preserve"> </w:t>
      </w:r>
      <w:r w:rsidRPr="00C3793A">
        <w:rPr>
          <w:rFonts w:ascii="Century Gothic" w:hAnsi="Century Gothic"/>
          <w:lang w:val="wo-SN"/>
        </w:rPr>
        <w:t>https://books.openedition.org/irdeditions/8101?lang=fr</w:t>
      </w:r>
    </w:p>
  </w:footnote>
  <w:footnote w:id="18">
    <w:p w14:paraId="1CF42BD7" w14:textId="77777777" w:rsidR="0062478D" w:rsidRPr="00C3793A" w:rsidRDefault="0062478D" w:rsidP="000859AB">
      <w:pPr>
        <w:spacing w:after="0"/>
        <w:rPr>
          <w:rFonts w:ascii="Century Gothic" w:hAnsi="Century Gothic"/>
          <w:lang w:val="wo-SN"/>
        </w:rPr>
      </w:pPr>
      <w:r w:rsidRPr="007201F5">
        <w:rPr>
          <w:rStyle w:val="Appelnotedebasdep"/>
          <w:sz w:val="18"/>
          <w:szCs w:val="18"/>
        </w:rPr>
        <w:footnoteRef/>
      </w:r>
      <w:r w:rsidRPr="00817357">
        <w:rPr>
          <w:rStyle w:val="Appelnotedebasdep"/>
          <w:lang w:val="wo-SN"/>
        </w:rPr>
        <w:t xml:space="preserve"> </w:t>
      </w:r>
      <w:r w:rsidRPr="00C3793A">
        <w:rPr>
          <w:rFonts w:ascii="Century Gothic" w:hAnsi="Century Gothic"/>
          <w:lang w:val="wo-SN"/>
        </w:rPr>
        <w:t>https://rsis.ramsar.org/RISapp/files/41361735/documents/MR250_descr211014.pdf</w:t>
      </w:r>
    </w:p>
  </w:footnote>
  <w:footnote w:id="19">
    <w:p w14:paraId="56F550F0" w14:textId="78FF3DF4" w:rsidR="0062478D" w:rsidRPr="00821255" w:rsidRDefault="0062478D" w:rsidP="00821255">
      <w:pPr>
        <w:rPr>
          <w:lang w:val="wo-SN"/>
        </w:rPr>
      </w:pPr>
      <w:r>
        <w:rPr>
          <w:rStyle w:val="Appelnotedebasdep"/>
        </w:rPr>
        <w:footnoteRef/>
      </w:r>
      <w:r w:rsidRPr="00C3793A">
        <w:rPr>
          <w:rFonts w:ascii="Century Gothic" w:hAnsi="Century Gothic"/>
          <w:sz w:val="18"/>
          <w:szCs w:val="18"/>
          <w:lang w:val="wo-SN"/>
        </w:rPr>
        <w:t xml:space="preserve"> https://bacomab.org/actualites/evenements/conference-enjeux-gestion-biodiversite-marine-cotiere-mauritanie/</w:t>
      </w:r>
    </w:p>
  </w:footnote>
  <w:footnote w:id="20">
    <w:p w14:paraId="3F31666A" w14:textId="329E423B" w:rsidR="0062478D" w:rsidRPr="00821255" w:rsidRDefault="0062478D" w:rsidP="00821255">
      <w:pPr>
        <w:rPr>
          <w:lang w:val="wo-SN"/>
        </w:rPr>
      </w:pPr>
      <w:r>
        <w:rPr>
          <w:rStyle w:val="Appelnotedebasdep"/>
        </w:rPr>
        <w:footnoteRef/>
      </w:r>
      <w:r w:rsidRPr="00821255">
        <w:rPr>
          <w:lang w:val="wo-SN"/>
        </w:rPr>
        <w:t xml:space="preserve"> </w:t>
      </w:r>
      <w:r w:rsidRPr="00C3793A">
        <w:rPr>
          <w:rFonts w:ascii="Century Gothic" w:hAnsi="Century Gothic"/>
          <w:sz w:val="18"/>
          <w:szCs w:val="18"/>
          <w:lang w:val="wo-SN"/>
        </w:rPr>
        <w:t>https://www.afd.fr/fr/carte-des-projets/soutien-la-biodiversite-cotiere-et-marine-du-banc-darguin-en-mauritanie</w:t>
      </w:r>
    </w:p>
  </w:footnote>
  <w:footnote w:id="21">
    <w:p w14:paraId="28EAA71C" w14:textId="2AD53741" w:rsidR="0062478D" w:rsidRPr="00D44E97" w:rsidRDefault="0062478D" w:rsidP="00D44E97">
      <w:pPr>
        <w:rPr>
          <w:sz w:val="20"/>
          <w:szCs w:val="20"/>
          <w:lang w:val="wo-SN"/>
        </w:rPr>
      </w:pPr>
      <w:r>
        <w:rPr>
          <w:rStyle w:val="Appelnotedebasdep"/>
        </w:rPr>
        <w:footnoteRef/>
      </w:r>
      <w:r w:rsidRPr="00821255">
        <w:rPr>
          <w:lang w:val="wo-SN"/>
        </w:rPr>
        <w:t xml:space="preserve"> </w:t>
      </w:r>
      <w:r w:rsidRPr="00C3793A">
        <w:rPr>
          <w:rFonts w:ascii="Century Gothic" w:hAnsi="Century Gothic"/>
          <w:sz w:val="18"/>
          <w:szCs w:val="18"/>
          <w:lang w:val="wo-SN"/>
        </w:rPr>
        <w:t>https://bacomab.org/actualites/evenements/conference-enjeux-gestion-biodiversite-marinecotieremauritanie/</w:t>
      </w:r>
    </w:p>
  </w:footnote>
  <w:footnote w:id="22">
    <w:p w14:paraId="33409413" w14:textId="77777777" w:rsidR="0062478D" w:rsidRPr="00B00ED9" w:rsidRDefault="0062478D" w:rsidP="006F7C60">
      <w:pPr>
        <w:rPr>
          <w:lang w:val="wo-SN"/>
        </w:rPr>
      </w:pPr>
      <w:r w:rsidRPr="00E6579A">
        <w:rPr>
          <w:rStyle w:val="Appelnotedebasdep"/>
          <w:rFonts w:ascii="Century Gothic" w:hAnsi="Century Gothic"/>
        </w:rPr>
        <w:footnoteRef/>
      </w:r>
      <w:r w:rsidRPr="00B00ED9">
        <w:rPr>
          <w:lang w:val="wo-SN"/>
        </w:rPr>
        <w:t xml:space="preserve"> </w:t>
      </w:r>
      <w:r w:rsidRPr="00C3793A">
        <w:rPr>
          <w:rFonts w:ascii="Century Gothic" w:hAnsi="Century Gothic"/>
          <w:sz w:val="18"/>
          <w:szCs w:val="18"/>
          <w:lang w:val="wo-SN"/>
        </w:rPr>
        <w:t>https://unfccc.int/resource/docs/napa/mau01f.pdf</w:t>
      </w:r>
    </w:p>
  </w:footnote>
  <w:footnote w:id="23">
    <w:p w14:paraId="57242159" w14:textId="77777777" w:rsidR="0062478D" w:rsidRPr="00B00ED9" w:rsidRDefault="0062478D" w:rsidP="006F7C60">
      <w:pPr>
        <w:rPr>
          <w:lang w:val="wo-SN"/>
        </w:rPr>
      </w:pPr>
      <w:r w:rsidRPr="00E6579A">
        <w:rPr>
          <w:rStyle w:val="Appelnotedebasdep"/>
          <w:rFonts w:ascii="Century Gothic" w:hAnsi="Century Gothic"/>
        </w:rPr>
        <w:footnoteRef/>
      </w:r>
      <w:r w:rsidRPr="00B00ED9">
        <w:rPr>
          <w:lang w:val="wo-SN"/>
        </w:rPr>
        <w:t xml:space="preserve"> </w:t>
      </w:r>
      <w:r w:rsidRPr="00C3793A">
        <w:rPr>
          <w:rFonts w:ascii="Century Gothic" w:hAnsi="Century Gothic"/>
          <w:sz w:val="18"/>
          <w:szCs w:val="18"/>
          <w:lang w:val="wo-SN"/>
        </w:rPr>
        <w:t>https://unfccc.int/resource/docs/napa/mau01f.pdf</w:t>
      </w:r>
    </w:p>
  </w:footnote>
  <w:footnote w:id="24">
    <w:p w14:paraId="202033FE" w14:textId="77777777" w:rsidR="0062478D" w:rsidRPr="00B00ED9" w:rsidRDefault="0062478D" w:rsidP="006F7C60">
      <w:pPr>
        <w:pStyle w:val="Notedebasdepage"/>
        <w:rPr>
          <w:lang w:val="wo-SN"/>
        </w:rPr>
      </w:pPr>
      <w:r w:rsidRPr="00E6579A">
        <w:rPr>
          <w:rStyle w:val="Appelnotedebasdep"/>
          <w:rFonts w:ascii="Century Gothic" w:hAnsi="Century Gothic"/>
          <w:sz w:val="22"/>
          <w:szCs w:val="22"/>
        </w:rPr>
        <w:footnoteRef/>
      </w:r>
      <w:r w:rsidRPr="00B00ED9">
        <w:rPr>
          <w:lang w:val="wo-SN"/>
        </w:rPr>
        <w:t xml:space="preserve"> </w:t>
      </w:r>
      <w:r w:rsidRPr="00C3793A">
        <w:rPr>
          <w:rFonts w:ascii="Century Gothic" w:hAnsi="Century Gothic"/>
          <w:sz w:val="18"/>
          <w:szCs w:val="18"/>
          <w:lang w:val="wo-SN"/>
        </w:rPr>
        <w:t>https://perspective.usherbrooke.ca/bilan/servlet/BMAnalyse/3372</w:t>
      </w:r>
    </w:p>
  </w:footnote>
  <w:footnote w:id="25">
    <w:p w14:paraId="54C3AF3D" w14:textId="77777777" w:rsidR="0062478D" w:rsidRPr="00574C9E" w:rsidRDefault="0062478D" w:rsidP="009A052B">
      <w:pPr>
        <w:spacing w:after="0"/>
        <w:rPr>
          <w:sz w:val="18"/>
          <w:szCs w:val="18"/>
          <w:lang w:val="wo-SN"/>
        </w:rPr>
      </w:pPr>
      <w:r w:rsidRPr="00E6579A">
        <w:rPr>
          <w:rStyle w:val="Appelnotedebasdep"/>
          <w:rFonts w:ascii="Century Gothic" w:hAnsi="Century Gothic"/>
        </w:rPr>
        <w:footnoteRef/>
      </w:r>
      <w:r w:rsidRPr="00573E36">
        <w:rPr>
          <w:lang w:val="wo-SN"/>
        </w:rPr>
        <w:t xml:space="preserve"> </w:t>
      </w:r>
      <w:r w:rsidRPr="00C3793A">
        <w:rPr>
          <w:rFonts w:ascii="Century Gothic" w:hAnsi="Century Gothic"/>
          <w:sz w:val="18"/>
          <w:szCs w:val="18"/>
          <w:lang w:val="wo-SN"/>
        </w:rPr>
        <w:t>https://agrica.de/wp-content/uploads/2021/02/CRP_Mauritania_FR_20210208.pdf</w:t>
      </w:r>
    </w:p>
  </w:footnote>
  <w:footnote w:id="26">
    <w:p w14:paraId="7226A155" w14:textId="77777777" w:rsidR="0062478D" w:rsidRPr="00573E36" w:rsidRDefault="0062478D" w:rsidP="009A052B">
      <w:pPr>
        <w:spacing w:after="0"/>
        <w:rPr>
          <w:lang w:val="wo-SN"/>
        </w:rPr>
      </w:pPr>
      <w:r w:rsidRPr="00E6579A">
        <w:rPr>
          <w:rStyle w:val="Appelnotedebasdep"/>
          <w:rFonts w:ascii="Century Gothic" w:hAnsi="Century Gothic"/>
        </w:rPr>
        <w:footnoteRef/>
      </w:r>
      <w:r w:rsidRPr="00817357">
        <w:rPr>
          <w:rStyle w:val="Appelnotedebasdep"/>
          <w:rFonts w:ascii="Century Gothic" w:hAnsi="Century Gothic"/>
          <w:lang w:val="wo-SN"/>
        </w:rPr>
        <w:t xml:space="preserve"> </w:t>
      </w:r>
      <w:r w:rsidRPr="00C3793A">
        <w:rPr>
          <w:rFonts w:ascii="Century Gothic" w:hAnsi="Century Gothic"/>
          <w:sz w:val="18"/>
          <w:szCs w:val="18"/>
          <w:lang w:val="wo-SN"/>
        </w:rPr>
        <w:t>http://www.geoecotrop.be/uploads/publications/pub_381_14.pdf</w:t>
      </w:r>
    </w:p>
  </w:footnote>
  <w:footnote w:id="27">
    <w:p w14:paraId="4F08227A" w14:textId="77777777" w:rsidR="0062478D" w:rsidRPr="00573E36" w:rsidRDefault="0062478D" w:rsidP="009A052B">
      <w:pPr>
        <w:spacing w:after="0"/>
        <w:rPr>
          <w:lang w:val="wo-SN"/>
        </w:rPr>
      </w:pPr>
      <w:r w:rsidRPr="00E6579A">
        <w:rPr>
          <w:rStyle w:val="Appelnotedebasdep"/>
          <w:rFonts w:ascii="Century Gothic" w:hAnsi="Century Gothic"/>
        </w:rPr>
        <w:footnoteRef/>
      </w:r>
      <w:r w:rsidRPr="00573E36">
        <w:rPr>
          <w:lang w:val="wo-SN"/>
        </w:rPr>
        <w:t xml:space="preserve"> </w:t>
      </w:r>
      <w:r w:rsidRPr="00C3793A">
        <w:rPr>
          <w:rFonts w:ascii="Century Gothic" w:hAnsi="Century Gothic"/>
          <w:sz w:val="18"/>
          <w:szCs w:val="18"/>
          <w:lang w:val="wo-SN"/>
        </w:rPr>
        <w:t>http://www.geoecotrop.be/uploads/publications/pub_381_14.pdf</w:t>
      </w:r>
    </w:p>
  </w:footnote>
  <w:footnote w:id="28">
    <w:p w14:paraId="061F920B" w14:textId="77777777" w:rsidR="0062478D" w:rsidRPr="00B00ED9" w:rsidRDefault="0062478D" w:rsidP="009A052B">
      <w:pPr>
        <w:pStyle w:val="Notedebasdepage"/>
        <w:rPr>
          <w:lang w:val="wo-SN"/>
        </w:rPr>
      </w:pPr>
      <w:r w:rsidRPr="00E6579A">
        <w:rPr>
          <w:rStyle w:val="Appelnotedebasdep"/>
          <w:rFonts w:ascii="Century Gothic" w:hAnsi="Century Gothic"/>
          <w:sz w:val="22"/>
          <w:szCs w:val="22"/>
        </w:rPr>
        <w:footnoteRef/>
      </w:r>
      <w:r w:rsidRPr="00817357">
        <w:rPr>
          <w:rStyle w:val="Appelnotedebasdep"/>
          <w:rFonts w:ascii="Century Gothic" w:hAnsi="Century Gothic"/>
          <w:sz w:val="22"/>
          <w:szCs w:val="22"/>
          <w:lang w:val="wo-SN"/>
        </w:rPr>
        <w:t xml:space="preserve"> </w:t>
      </w:r>
      <w:r w:rsidRPr="00C3793A">
        <w:rPr>
          <w:rFonts w:ascii="Century Gothic" w:hAnsi="Century Gothic"/>
          <w:sz w:val="18"/>
          <w:szCs w:val="18"/>
          <w:lang w:val="wo-SN"/>
        </w:rPr>
        <w:t>http://www.environnement.gov.mr/fr/index.php/pages/changement-climatique-et-resilience</w:t>
      </w:r>
    </w:p>
  </w:footnote>
  <w:footnote w:id="29">
    <w:p w14:paraId="04325CCF" w14:textId="77777777" w:rsidR="0062478D" w:rsidRPr="00573E36" w:rsidRDefault="0062478D" w:rsidP="009A052B">
      <w:pPr>
        <w:spacing w:after="0"/>
        <w:rPr>
          <w:lang w:val="wo-SN"/>
        </w:rPr>
      </w:pPr>
      <w:r w:rsidRPr="00E6579A">
        <w:rPr>
          <w:rStyle w:val="Appelnotedebasdep"/>
          <w:rFonts w:ascii="Century Gothic" w:hAnsi="Century Gothic"/>
        </w:rPr>
        <w:footnoteRef/>
      </w:r>
      <w:r w:rsidRPr="00817357">
        <w:rPr>
          <w:rStyle w:val="Appelnotedebasdep"/>
          <w:rFonts w:ascii="Century Gothic" w:hAnsi="Century Gothic"/>
          <w:lang w:val="wo-SN"/>
        </w:rPr>
        <w:t xml:space="preserve"> </w:t>
      </w:r>
      <w:r w:rsidRPr="00C3793A">
        <w:rPr>
          <w:rFonts w:ascii="Century Gothic" w:hAnsi="Century Gothic"/>
          <w:sz w:val="18"/>
          <w:szCs w:val="18"/>
          <w:lang w:val="wo-SN"/>
        </w:rPr>
        <w:t>http://www.geoecotrop.be/uploads/publications/pub_381_14.pdf</w:t>
      </w:r>
    </w:p>
  </w:footnote>
  <w:footnote w:id="30">
    <w:p w14:paraId="55374150" w14:textId="77777777" w:rsidR="0062478D" w:rsidRPr="00C3793A" w:rsidRDefault="0062478D" w:rsidP="009A052B">
      <w:pPr>
        <w:pStyle w:val="Notedebasdepage"/>
        <w:rPr>
          <w:rFonts w:ascii="Century Gothic" w:hAnsi="Century Gothic"/>
          <w:sz w:val="18"/>
          <w:szCs w:val="18"/>
          <w:lang w:val="wo-SN"/>
        </w:rPr>
      </w:pPr>
      <w:r w:rsidRPr="00583635">
        <w:rPr>
          <w:rStyle w:val="Appelnotedebasdep"/>
          <w:rFonts w:ascii="Century Gothic" w:hAnsi="Century Gothic"/>
          <w:sz w:val="22"/>
          <w:szCs w:val="22"/>
        </w:rPr>
        <w:footnoteRef/>
      </w:r>
      <w:r w:rsidRPr="00817357">
        <w:rPr>
          <w:rStyle w:val="Appelnotedebasdep"/>
          <w:rFonts w:ascii="Century Gothic" w:hAnsi="Century Gothic"/>
          <w:sz w:val="22"/>
          <w:szCs w:val="22"/>
          <w:lang w:val="wo-SN"/>
        </w:rPr>
        <w:t xml:space="preserve"> </w:t>
      </w:r>
      <w:r w:rsidRPr="00C3793A">
        <w:rPr>
          <w:rFonts w:ascii="Century Gothic" w:hAnsi="Century Gothic"/>
          <w:sz w:val="18"/>
          <w:szCs w:val="18"/>
          <w:lang w:val="wo-SN"/>
        </w:rPr>
        <w:t>https://unfccc.int/resource/docs/napa/mau01f.pdf</w:t>
      </w:r>
    </w:p>
  </w:footnote>
  <w:footnote w:id="31">
    <w:p w14:paraId="43D18F2D" w14:textId="77777777" w:rsidR="0062478D" w:rsidRPr="00B00ED9" w:rsidRDefault="0062478D" w:rsidP="009A052B">
      <w:pPr>
        <w:pStyle w:val="Notedebasdepage"/>
        <w:rPr>
          <w:lang w:val="wo-SN"/>
        </w:rPr>
      </w:pPr>
      <w:r w:rsidRPr="00583635">
        <w:rPr>
          <w:rStyle w:val="Appelnotedebasdep"/>
          <w:rFonts w:ascii="Century Gothic" w:hAnsi="Century Gothic"/>
          <w:sz w:val="22"/>
          <w:szCs w:val="22"/>
        </w:rPr>
        <w:footnoteRef/>
      </w:r>
      <w:r w:rsidRPr="00B00ED9">
        <w:rPr>
          <w:lang w:val="wo-SN"/>
        </w:rPr>
        <w:t xml:space="preserve"> </w:t>
      </w:r>
      <w:r w:rsidRPr="00C3793A">
        <w:rPr>
          <w:rFonts w:ascii="Century Gothic" w:hAnsi="Century Gothic"/>
          <w:sz w:val="18"/>
          <w:szCs w:val="18"/>
          <w:lang w:val="wo-SN"/>
        </w:rPr>
        <w:t>http://www.environnement.gov.mr/fr/index.php/pages/changement-climatique-et-resilience</w:t>
      </w:r>
    </w:p>
  </w:footnote>
  <w:footnote w:id="32">
    <w:p w14:paraId="16F8C052" w14:textId="77777777" w:rsidR="0062478D" w:rsidRPr="00B00ED9" w:rsidRDefault="0062478D" w:rsidP="009A052B">
      <w:pPr>
        <w:spacing w:after="0"/>
        <w:rPr>
          <w:lang w:val="wo-SN"/>
        </w:rPr>
      </w:pPr>
      <w:r w:rsidRPr="00583635">
        <w:rPr>
          <w:rStyle w:val="Appelnotedebasdep"/>
          <w:rFonts w:ascii="Century Gothic" w:hAnsi="Century Gothic"/>
        </w:rPr>
        <w:footnoteRef/>
      </w:r>
      <w:r w:rsidRPr="00B00ED9">
        <w:rPr>
          <w:lang w:val="wo-SN"/>
        </w:rPr>
        <w:t xml:space="preserve"> </w:t>
      </w:r>
      <w:r w:rsidRPr="00C3793A">
        <w:rPr>
          <w:rFonts w:ascii="Century Gothic" w:hAnsi="Century Gothic"/>
          <w:sz w:val="18"/>
          <w:szCs w:val="18"/>
          <w:lang w:val="wo-SN"/>
        </w:rPr>
        <w:t>https://unfccc.int/resource/docs/napa/mau01f.pdf</w:t>
      </w:r>
    </w:p>
  </w:footnote>
  <w:footnote w:id="33">
    <w:p w14:paraId="5FF6D7F0" w14:textId="77777777" w:rsidR="0062478D" w:rsidRPr="00B00ED9" w:rsidRDefault="0062478D" w:rsidP="009A052B">
      <w:pPr>
        <w:spacing w:after="0"/>
        <w:rPr>
          <w:lang w:val="wo-SN"/>
        </w:rPr>
      </w:pPr>
      <w:r w:rsidRPr="00583635">
        <w:rPr>
          <w:rStyle w:val="Appelnotedebasdep"/>
          <w:rFonts w:ascii="Century Gothic" w:hAnsi="Century Gothic"/>
        </w:rPr>
        <w:footnoteRef/>
      </w:r>
      <w:r w:rsidRPr="00583635">
        <w:rPr>
          <w:rFonts w:ascii="Century Gothic" w:hAnsi="Century Gothic"/>
          <w:lang w:val="wo-SN"/>
        </w:rPr>
        <w:t xml:space="preserve"> </w:t>
      </w:r>
      <w:r w:rsidRPr="00C3793A">
        <w:rPr>
          <w:rFonts w:ascii="Century Gothic" w:hAnsi="Century Gothic"/>
          <w:sz w:val="18"/>
          <w:szCs w:val="18"/>
          <w:lang w:val="wo-SN"/>
        </w:rPr>
        <w:t>http://www.environnement.gov.mr/fr/index.php/pages/changement-climatique-et-resilience</w:t>
      </w:r>
    </w:p>
  </w:footnote>
  <w:footnote w:id="34">
    <w:p w14:paraId="01272DCB" w14:textId="574A74DE" w:rsidR="0062478D" w:rsidRPr="00AA2F69" w:rsidRDefault="0062478D" w:rsidP="0042006B">
      <w:pPr>
        <w:pStyle w:val="NormalWeb"/>
        <w:spacing w:before="0" w:beforeAutospacing="0" w:after="0" w:afterAutospacing="0"/>
        <w:jc w:val="both"/>
        <w:rPr>
          <w:rFonts w:ascii="Century Gothic" w:hAnsi="Century Gothic"/>
          <w:sz w:val="18"/>
          <w:szCs w:val="18"/>
        </w:rPr>
      </w:pPr>
      <w:r w:rsidRPr="00AA2F69">
        <w:rPr>
          <w:rStyle w:val="Appelnotedebasdep"/>
          <w:rFonts w:ascii="Century Gothic" w:hAnsi="Century Gothic"/>
          <w:sz w:val="18"/>
          <w:szCs w:val="18"/>
        </w:rPr>
        <w:footnoteRef/>
      </w:r>
      <w:r w:rsidRPr="00AA2F69">
        <w:rPr>
          <w:rFonts w:ascii="Century Gothic" w:hAnsi="Century Gothic"/>
          <w:sz w:val="18"/>
          <w:szCs w:val="18"/>
        </w:rPr>
        <w:t>https://mr.chmcbd.net/sites/mr/files/202206/Strat%C3%A9gie%20Nationale%20de%20la%20Biodiversit%C3%A9%20de%20la%20Mauritanie.pdf</w:t>
      </w:r>
    </w:p>
  </w:footnote>
  <w:footnote w:id="35">
    <w:p w14:paraId="48F5EF22" w14:textId="6670F422" w:rsidR="0062478D" w:rsidRPr="0042006B" w:rsidRDefault="0062478D">
      <w:pPr>
        <w:pStyle w:val="Notedebasdepage"/>
        <w:rPr>
          <w:lang w:val="wo-SN"/>
        </w:rPr>
      </w:pPr>
      <w:r w:rsidRPr="00AA2F69">
        <w:rPr>
          <w:rStyle w:val="Appelnotedebasdep"/>
          <w:rFonts w:ascii="Century Gothic" w:hAnsi="Century Gothic"/>
          <w:sz w:val="18"/>
          <w:szCs w:val="18"/>
        </w:rPr>
        <w:footnoteRef/>
      </w:r>
      <w:r w:rsidRPr="00AA2F69">
        <w:rPr>
          <w:rFonts w:ascii="Century Gothic" w:hAnsi="Century Gothic"/>
          <w:sz w:val="18"/>
          <w:szCs w:val="18"/>
          <w:lang w:val="wo-SN"/>
        </w:rPr>
        <w:t xml:space="preserve"> </w:t>
      </w:r>
      <w:hyperlink r:id="rId1" w:history="1">
        <w:r w:rsidRPr="00AA2F69">
          <w:rPr>
            <w:rFonts w:ascii="Century Gothic" w:eastAsia="Times New Roman" w:hAnsi="Century Gothic" w:cs="Times New Roman"/>
            <w:sz w:val="18"/>
            <w:szCs w:val="18"/>
            <w:lang w:val="wo-SN" w:eastAsia="wo-SN"/>
          </w:rPr>
          <w:t>https://www.cbd.int/doc/world/mr/mr-nbsap-v2-fr.pdf</w:t>
        </w:r>
      </w:hyperlink>
    </w:p>
  </w:footnote>
  <w:footnote w:id="36">
    <w:p w14:paraId="78EECD91" w14:textId="77777777" w:rsidR="0062478D" w:rsidRPr="00AA2F69" w:rsidRDefault="0062478D" w:rsidP="0042006B">
      <w:pPr>
        <w:pStyle w:val="Notedebasdepage"/>
        <w:rPr>
          <w:rFonts w:ascii="Century Gothic" w:hAnsi="Century Gothic"/>
          <w:sz w:val="18"/>
          <w:szCs w:val="18"/>
          <w:lang w:val="wo-SN"/>
        </w:rPr>
      </w:pPr>
      <w:r w:rsidRPr="00AA2F69">
        <w:rPr>
          <w:rStyle w:val="Appelnotedebasdep"/>
          <w:rFonts w:ascii="Century Gothic" w:hAnsi="Century Gothic"/>
          <w:sz w:val="18"/>
          <w:szCs w:val="18"/>
        </w:rPr>
        <w:footnoteRef/>
      </w:r>
      <w:r w:rsidRPr="00AA2F69">
        <w:rPr>
          <w:rFonts w:ascii="Century Gothic" w:hAnsi="Century Gothic"/>
          <w:sz w:val="18"/>
          <w:szCs w:val="18"/>
          <w:lang w:val="wo-SN"/>
        </w:rPr>
        <w:t xml:space="preserve"> </w:t>
      </w:r>
      <w:hyperlink r:id="rId2" w:history="1">
        <w:r w:rsidRPr="00AA2F69">
          <w:rPr>
            <w:rFonts w:ascii="Century Gothic" w:eastAsia="Times New Roman" w:hAnsi="Century Gothic" w:cs="Times New Roman"/>
            <w:sz w:val="18"/>
            <w:szCs w:val="18"/>
            <w:lang w:val="wo-SN" w:eastAsia="wo-SN"/>
          </w:rPr>
          <w:t>https://www.cbd.int/doc/world/mr/mr-nbsap-v2-fr.pdf</w:t>
        </w:r>
      </w:hyperlink>
    </w:p>
  </w:footnote>
  <w:footnote w:id="37">
    <w:p w14:paraId="2C7594A9" w14:textId="4E809982" w:rsidR="0062478D" w:rsidRPr="0042006B" w:rsidRDefault="0062478D" w:rsidP="0042006B">
      <w:pPr>
        <w:pStyle w:val="NormalWeb"/>
        <w:spacing w:before="0" w:beforeAutospacing="0" w:after="0" w:afterAutospacing="0"/>
        <w:jc w:val="both"/>
        <w:rPr>
          <w:rFonts w:ascii="Century Gothic" w:hAnsi="Century Gothic"/>
        </w:rPr>
      </w:pPr>
      <w:r w:rsidRPr="00AA2F69">
        <w:rPr>
          <w:rStyle w:val="Appelnotedebasdep"/>
          <w:rFonts w:ascii="Century Gothic" w:hAnsi="Century Gothic"/>
          <w:sz w:val="18"/>
          <w:szCs w:val="18"/>
        </w:rPr>
        <w:footnoteRef/>
      </w:r>
      <w:r w:rsidRPr="00AA2F69">
        <w:rPr>
          <w:rFonts w:ascii="Century Gothic" w:hAnsi="Century Gothic"/>
          <w:sz w:val="18"/>
          <w:szCs w:val="18"/>
        </w:rPr>
        <w:t xml:space="preserve"> </w:t>
      </w:r>
      <w:hyperlink r:id="rId3" w:history="1">
        <w:r w:rsidRPr="00AA2F69">
          <w:rPr>
            <w:rFonts w:ascii="Century Gothic" w:hAnsi="Century Gothic"/>
            <w:sz w:val="18"/>
            <w:szCs w:val="18"/>
          </w:rPr>
          <w:t>https://esahub-rris.rcmrd.org/sites/default/files/2019-10/NBSAP%20Mauritanie_0.pdf</w:t>
        </w:r>
      </w:hyperlink>
      <w:r w:rsidRPr="00541183">
        <w:rPr>
          <w:rFonts w:ascii="Century Gothic" w:hAnsi="Century Gothic"/>
        </w:rPr>
        <w:t xml:space="preserve"> </w:t>
      </w:r>
    </w:p>
  </w:footnote>
  <w:footnote w:id="38">
    <w:p w14:paraId="37F049D8" w14:textId="77777777" w:rsidR="0062478D" w:rsidRPr="00AA2F69" w:rsidRDefault="0062478D" w:rsidP="0042006B">
      <w:pPr>
        <w:pStyle w:val="NormalWeb"/>
        <w:spacing w:before="0" w:beforeAutospacing="0" w:after="0" w:afterAutospacing="0"/>
        <w:jc w:val="both"/>
        <w:rPr>
          <w:rFonts w:ascii="Century Gothic" w:hAnsi="Century Gothic"/>
          <w:sz w:val="18"/>
          <w:szCs w:val="18"/>
        </w:rPr>
      </w:pPr>
      <w:r w:rsidRPr="00AA2F69">
        <w:rPr>
          <w:rStyle w:val="Appelnotedebasdep"/>
          <w:rFonts w:ascii="Century Gothic" w:hAnsi="Century Gothic"/>
          <w:sz w:val="18"/>
          <w:szCs w:val="18"/>
        </w:rPr>
        <w:footnoteRef/>
      </w:r>
      <w:r w:rsidRPr="00AA2F69">
        <w:rPr>
          <w:rFonts w:ascii="Century Gothic" w:hAnsi="Century Gothic"/>
          <w:sz w:val="18"/>
          <w:szCs w:val="18"/>
        </w:rPr>
        <w:t xml:space="preserve"> https://rsis.ramsar.org/RISapp/files/41361735/documents/MR250_descr211014.pdf</w:t>
      </w:r>
    </w:p>
    <w:p w14:paraId="116E7D41" w14:textId="184DA34F" w:rsidR="0062478D" w:rsidRPr="0042006B" w:rsidRDefault="0062478D">
      <w:pPr>
        <w:pStyle w:val="Notedebasdepage"/>
        <w:rPr>
          <w:lang w:val="wo-SN"/>
        </w:rPr>
      </w:pPr>
    </w:p>
  </w:footnote>
  <w:footnote w:id="39">
    <w:p w14:paraId="1B53807C" w14:textId="5E7A2BB7" w:rsidR="0062478D" w:rsidRPr="00AA2F69" w:rsidRDefault="0062478D" w:rsidP="00AA2F69">
      <w:pPr>
        <w:spacing w:after="0"/>
        <w:rPr>
          <w:rStyle w:val="Appelnotedebasdep"/>
          <w:rFonts w:ascii="Century Gothic" w:hAnsi="Century Gothic"/>
          <w:sz w:val="18"/>
          <w:szCs w:val="18"/>
        </w:rPr>
      </w:pPr>
      <w:r w:rsidRPr="00AA2F69">
        <w:rPr>
          <w:rStyle w:val="Appelnotedebasdep"/>
          <w:rFonts w:ascii="Century Gothic" w:hAnsi="Century Gothic"/>
          <w:sz w:val="18"/>
          <w:szCs w:val="18"/>
        </w:rPr>
        <w:footnoteRef/>
      </w:r>
      <w:r w:rsidRPr="00AA2F69">
        <w:rPr>
          <w:rStyle w:val="Appelnotedebasdep"/>
          <w:rFonts w:ascii="Century Gothic" w:hAnsi="Century Gothic"/>
          <w:sz w:val="18"/>
          <w:szCs w:val="18"/>
        </w:rPr>
        <w:t xml:space="preserve"> https://esahub-rris.rcmrd.org/sites/default/files/2019-10/NBSAP%20Mauritanie_0.pdf</w:t>
      </w:r>
    </w:p>
  </w:footnote>
  <w:footnote w:id="40">
    <w:p w14:paraId="6EE0B1A5" w14:textId="4D65A229" w:rsidR="0062478D" w:rsidRPr="00EC6190" w:rsidRDefault="0062478D" w:rsidP="00AA2F69">
      <w:pPr>
        <w:spacing w:after="0"/>
        <w:rPr>
          <w:rFonts w:ascii="Century Gothic" w:hAnsi="Century Gothic"/>
        </w:rPr>
      </w:pPr>
      <w:r w:rsidRPr="00AA2F69">
        <w:rPr>
          <w:rStyle w:val="Appelnotedebasdep"/>
          <w:rFonts w:ascii="Century Gothic" w:hAnsi="Century Gothic"/>
          <w:sz w:val="18"/>
          <w:szCs w:val="18"/>
        </w:rPr>
        <w:footnoteRef/>
      </w:r>
      <w:r w:rsidRPr="00AA2F69">
        <w:rPr>
          <w:rStyle w:val="Appelnotedebasdep"/>
          <w:rFonts w:ascii="Century Gothic" w:hAnsi="Century Gothic"/>
          <w:sz w:val="18"/>
          <w:szCs w:val="18"/>
        </w:rPr>
        <w:t>https://www.undp.org/fr/mauritania/actualites/la-biodiversite-une-richesse-strategique-pour-la-mauritanie</w:t>
      </w:r>
    </w:p>
  </w:footnote>
  <w:footnote w:id="41">
    <w:p w14:paraId="44835C84" w14:textId="0EAE2B0A" w:rsidR="0062478D" w:rsidRPr="00EC6190" w:rsidRDefault="0062478D" w:rsidP="00AA2F69">
      <w:pPr>
        <w:spacing w:after="0"/>
        <w:rPr>
          <w:lang w:val="wo-SN"/>
        </w:rPr>
      </w:pPr>
      <w:r w:rsidRPr="00AA2F69">
        <w:rPr>
          <w:rStyle w:val="Appelnotedebasdep"/>
          <w:sz w:val="18"/>
          <w:szCs w:val="18"/>
        </w:rPr>
        <w:footnoteRef/>
      </w:r>
      <w:r w:rsidRPr="00AA2F69">
        <w:rPr>
          <w:rStyle w:val="Appelnotedebasdep"/>
        </w:rPr>
        <w:t>https://documents1.worldbank.org/curated/en/099072423105059709/pdf/P17926605a759a055096540224f679aa053.pdf</w:t>
      </w:r>
    </w:p>
  </w:footnote>
  <w:footnote w:id="42">
    <w:p w14:paraId="20190BB7" w14:textId="77777777" w:rsidR="0062478D" w:rsidRPr="00AA2F69" w:rsidRDefault="0062478D" w:rsidP="00AA2F69">
      <w:pPr>
        <w:spacing w:after="0"/>
        <w:rPr>
          <w:rStyle w:val="Appelnotedebasdep"/>
          <w:sz w:val="18"/>
          <w:szCs w:val="18"/>
        </w:rPr>
      </w:pPr>
      <w:r w:rsidRPr="00AA2F69">
        <w:rPr>
          <w:rStyle w:val="Appelnotedebasdep"/>
          <w:sz w:val="18"/>
          <w:szCs w:val="18"/>
        </w:rPr>
        <w:footnoteRef/>
      </w:r>
      <w:r w:rsidRPr="00AA2F69">
        <w:rPr>
          <w:rStyle w:val="Appelnotedebasdep"/>
        </w:rPr>
        <w:t>https://www.undp.org/fr/mauritania/actualites/la-biodiversite-une-richesse-strategique-pour-la-mauritanie</w:t>
      </w:r>
    </w:p>
  </w:footnote>
  <w:footnote w:id="43">
    <w:p w14:paraId="6BEB249A" w14:textId="132EEA25" w:rsidR="0062478D" w:rsidRPr="00AA2F69" w:rsidRDefault="0062478D" w:rsidP="00AA2F69">
      <w:pPr>
        <w:spacing w:after="0"/>
        <w:rPr>
          <w:rStyle w:val="Appelnotedebasdep"/>
          <w:sz w:val="18"/>
          <w:szCs w:val="18"/>
        </w:rPr>
      </w:pPr>
      <w:r w:rsidRPr="00AA2F69">
        <w:rPr>
          <w:rStyle w:val="Appelnotedebasdep"/>
          <w:sz w:val="18"/>
          <w:szCs w:val="18"/>
        </w:rPr>
        <w:footnoteRef/>
      </w:r>
      <w:r w:rsidRPr="00AA2F69">
        <w:rPr>
          <w:rStyle w:val="Appelnotedebasdep"/>
          <w:sz w:val="18"/>
          <w:szCs w:val="18"/>
        </w:rPr>
        <w:t xml:space="preserve"> </w:t>
      </w:r>
      <w:r w:rsidRPr="00AA2F69">
        <w:rPr>
          <w:rStyle w:val="Appelnotedebasdep"/>
        </w:rPr>
        <w:t>https://unfccc.int/sites/default/files/resource/mrtnc3.pdf</w:t>
      </w:r>
    </w:p>
  </w:footnote>
  <w:footnote w:id="44">
    <w:p w14:paraId="17A43288" w14:textId="77777777" w:rsidR="0062478D" w:rsidRPr="00AA2F69" w:rsidRDefault="0062478D" w:rsidP="00AA2F69">
      <w:pPr>
        <w:spacing w:after="0"/>
        <w:rPr>
          <w:rStyle w:val="Appelnotedebasdep"/>
          <w:sz w:val="18"/>
          <w:szCs w:val="18"/>
        </w:rPr>
      </w:pPr>
      <w:r w:rsidRPr="00AA2F69">
        <w:rPr>
          <w:rStyle w:val="Appelnotedebasdep"/>
          <w:sz w:val="18"/>
          <w:szCs w:val="18"/>
        </w:rPr>
        <w:footnoteRef/>
      </w:r>
      <w:r w:rsidRPr="00AA2F69">
        <w:rPr>
          <w:rStyle w:val="Appelnotedebasdep"/>
        </w:rPr>
        <w:t>https://www.undp.org/fr/mauritania/actualites/la-biodiversite-une-richesse-strategique-pour-la-mauritanie</w:t>
      </w:r>
    </w:p>
  </w:footnote>
  <w:footnote w:id="45">
    <w:p w14:paraId="70C89387" w14:textId="77777777" w:rsidR="0062478D" w:rsidRPr="00EC6190" w:rsidRDefault="0062478D" w:rsidP="00AA2F69">
      <w:pPr>
        <w:spacing w:after="0"/>
        <w:rPr>
          <w:lang w:val="wo-SN"/>
        </w:rPr>
      </w:pPr>
      <w:r w:rsidRPr="00AA2F69">
        <w:rPr>
          <w:rStyle w:val="Appelnotedebasdep"/>
          <w:sz w:val="18"/>
          <w:szCs w:val="18"/>
        </w:rPr>
        <w:footnoteRef/>
      </w:r>
      <w:r w:rsidRPr="00AA2F69">
        <w:rPr>
          <w:rStyle w:val="Appelnotedebasdep"/>
        </w:rPr>
        <w:t>https://documents1.worldbank.org/curated/en/099072423105059709/pdf/P17926605a759a055096540224f679aa053.pdf</w:t>
      </w:r>
    </w:p>
  </w:footnote>
  <w:footnote w:id="46">
    <w:p w14:paraId="2FBC3F95" w14:textId="6D485BF2" w:rsidR="0062478D" w:rsidRPr="00AA2F69" w:rsidRDefault="0062478D" w:rsidP="00AA2F69">
      <w:pPr>
        <w:spacing w:after="0"/>
        <w:rPr>
          <w:rStyle w:val="Appelnotedebasdep"/>
        </w:rPr>
      </w:pPr>
      <w:r w:rsidRPr="00AA2F69">
        <w:rPr>
          <w:rStyle w:val="Appelnotedebasdep"/>
          <w:sz w:val="18"/>
          <w:szCs w:val="18"/>
        </w:rPr>
        <w:footnoteRef/>
      </w:r>
      <w:r w:rsidRPr="00AA2F69">
        <w:rPr>
          <w:rStyle w:val="Appelnotedebasdep"/>
          <w:sz w:val="18"/>
          <w:szCs w:val="18"/>
        </w:rPr>
        <w:t xml:space="preserve"> </w:t>
      </w:r>
      <w:r w:rsidRPr="00AA2F69">
        <w:rPr>
          <w:rStyle w:val="Appelnotedebasdep"/>
        </w:rPr>
        <w:t>https://www.mediaterre.org/afrique-ouest/actu,20180111163136.html</w:t>
      </w:r>
    </w:p>
  </w:footnote>
  <w:footnote w:id="47">
    <w:p w14:paraId="58483E18" w14:textId="54F0356A" w:rsidR="0062478D" w:rsidRPr="00F66497" w:rsidRDefault="0062478D" w:rsidP="00AA2F69">
      <w:pPr>
        <w:spacing w:after="0"/>
        <w:rPr>
          <w:lang w:val="wo-SN"/>
        </w:rPr>
      </w:pPr>
      <w:r w:rsidRPr="00AA2F69">
        <w:rPr>
          <w:rStyle w:val="Appelnotedebasdep"/>
          <w:sz w:val="18"/>
          <w:szCs w:val="18"/>
        </w:rPr>
        <w:footnoteRef/>
      </w:r>
      <w:r w:rsidRPr="00AA2F69">
        <w:rPr>
          <w:rStyle w:val="Appelnotedebasdep"/>
          <w:sz w:val="18"/>
          <w:szCs w:val="18"/>
        </w:rPr>
        <w:t xml:space="preserve"> </w:t>
      </w:r>
      <w:r w:rsidRPr="00AA2F69">
        <w:rPr>
          <w:rStyle w:val="Appelnotedebasdep"/>
        </w:rPr>
        <w:t>https://www.alliance-sahel.org/actualites/mauritanie-agri-resilience/</w:t>
      </w:r>
    </w:p>
  </w:footnote>
  <w:footnote w:id="48">
    <w:p w14:paraId="6F6D2353" w14:textId="77777777" w:rsidR="008F2269" w:rsidRPr="00B851C5" w:rsidRDefault="008F2269" w:rsidP="008F2269">
      <w:pPr>
        <w:pStyle w:val="Notedebasdepage"/>
        <w:jc w:val="both"/>
        <w:rPr>
          <w:i/>
          <w:sz w:val="18"/>
          <w:szCs w:val="18"/>
        </w:rPr>
      </w:pPr>
      <w:r w:rsidRPr="00B851C5">
        <w:rPr>
          <w:rStyle w:val="Appelnotedebasdep"/>
          <w:i/>
          <w:sz w:val="18"/>
          <w:szCs w:val="18"/>
        </w:rPr>
        <w:footnoteRef/>
      </w:r>
      <w:r w:rsidRPr="00B851C5">
        <w:rPr>
          <w:i/>
          <w:sz w:val="18"/>
          <w:szCs w:val="18"/>
        </w:rPr>
        <w:t xml:space="preserve"> Conseil National Environnement et Développement (CNED</w:t>
      </w:r>
      <w:r>
        <w:rPr>
          <w:i/>
          <w:sz w:val="18"/>
          <w:szCs w:val="18"/>
        </w:rPr>
        <w:t>D</w:t>
      </w:r>
      <w:r w:rsidRPr="00B851C5">
        <w:rPr>
          <w:i/>
          <w:sz w:val="18"/>
          <w:szCs w:val="18"/>
        </w:rPr>
        <w:t xml:space="preserve">) chargé de proposer les grandes orientations nationales en matière de stratégie environnementale. </w:t>
      </w:r>
    </w:p>
  </w:footnote>
  <w:footnote w:id="49">
    <w:p w14:paraId="48F112AD" w14:textId="77777777" w:rsidR="008F2269" w:rsidRPr="009D2758" w:rsidRDefault="008F2269" w:rsidP="008F2269">
      <w:pPr>
        <w:autoSpaceDE w:val="0"/>
        <w:autoSpaceDN w:val="0"/>
        <w:adjustRightInd w:val="0"/>
        <w:spacing w:after="0"/>
        <w:ind w:left="142" w:hanging="142"/>
        <w:jc w:val="both"/>
        <w:rPr>
          <w:rFonts w:cstheme="minorHAnsi"/>
          <w:i/>
          <w:sz w:val="18"/>
          <w:szCs w:val="18"/>
        </w:rPr>
      </w:pPr>
      <w:r w:rsidRPr="009D2758">
        <w:rPr>
          <w:rStyle w:val="Appelnotedebasdep"/>
          <w:rFonts w:cstheme="minorHAnsi"/>
          <w:b/>
        </w:rPr>
        <w:footnoteRef/>
      </w:r>
      <w:r w:rsidRPr="009D2758">
        <w:rPr>
          <w:rFonts w:cstheme="minorHAnsi"/>
        </w:rPr>
        <w:t xml:space="preserve"> </w:t>
      </w:r>
      <w:r w:rsidRPr="009D2758">
        <w:rPr>
          <w:rFonts w:cstheme="minorHAnsi"/>
          <w:i/>
          <w:sz w:val="18"/>
          <w:szCs w:val="18"/>
        </w:rPr>
        <w:t xml:space="preserve">Les lacunes/besoins d’adaptation aux enjeux du changement climatique, doivent naturellement découler des secteurs bénéficiaires. A titre d’illustration, ceux -ci peuvent être appréhendés sous différents angles (capacités et mesures concrètes d’adaptation) :  </w:t>
      </w:r>
    </w:p>
    <w:p w14:paraId="6366437F" w14:textId="77777777" w:rsidR="008F2269" w:rsidRPr="009D2758" w:rsidRDefault="008F2269" w:rsidP="008F2269">
      <w:pPr>
        <w:pStyle w:val="Paragraphedeliste"/>
        <w:numPr>
          <w:ilvl w:val="0"/>
          <w:numId w:val="85"/>
        </w:numPr>
        <w:suppressAutoHyphens/>
        <w:autoSpaceDE w:val="0"/>
        <w:autoSpaceDN w:val="0"/>
        <w:adjustRightInd w:val="0"/>
        <w:spacing w:line="240" w:lineRule="auto"/>
        <w:jc w:val="both"/>
        <w:textAlignment w:val="baseline"/>
        <w:rPr>
          <w:rFonts w:cstheme="minorHAnsi"/>
          <w:i/>
          <w:sz w:val="18"/>
          <w:szCs w:val="18"/>
        </w:rPr>
      </w:pPr>
      <w:r w:rsidRPr="009D2758">
        <w:rPr>
          <w:rFonts w:cstheme="minorHAnsi"/>
          <w:i/>
          <w:sz w:val="18"/>
          <w:szCs w:val="18"/>
        </w:rPr>
        <w:t>Les ressources et capacités au sein des institutions travaillant sur les questions liées à l'adaptation,</w:t>
      </w:r>
    </w:p>
    <w:p w14:paraId="6538585E" w14:textId="77777777" w:rsidR="008F2269" w:rsidRPr="009D2758" w:rsidRDefault="008F2269" w:rsidP="008F2269">
      <w:pPr>
        <w:pStyle w:val="Paragraphedeliste"/>
        <w:numPr>
          <w:ilvl w:val="0"/>
          <w:numId w:val="85"/>
        </w:numPr>
        <w:suppressAutoHyphens/>
        <w:autoSpaceDE w:val="0"/>
        <w:autoSpaceDN w:val="0"/>
        <w:adjustRightInd w:val="0"/>
        <w:spacing w:line="240" w:lineRule="auto"/>
        <w:jc w:val="both"/>
        <w:textAlignment w:val="baseline"/>
        <w:rPr>
          <w:rFonts w:cstheme="minorHAnsi"/>
          <w:i/>
          <w:sz w:val="18"/>
          <w:szCs w:val="18"/>
        </w:rPr>
      </w:pPr>
      <w:r w:rsidRPr="009D2758">
        <w:rPr>
          <w:rFonts w:cstheme="minorHAnsi"/>
          <w:i/>
          <w:sz w:val="18"/>
          <w:szCs w:val="18"/>
        </w:rPr>
        <w:t>Les expériences et les compétences pertinentes des groupes cibles et des individus,</w:t>
      </w:r>
    </w:p>
    <w:p w14:paraId="3DA30A4E" w14:textId="77777777" w:rsidR="008F2269" w:rsidRPr="009D2758" w:rsidRDefault="008F2269" w:rsidP="008F2269">
      <w:pPr>
        <w:pStyle w:val="Paragraphedeliste"/>
        <w:numPr>
          <w:ilvl w:val="0"/>
          <w:numId w:val="85"/>
        </w:numPr>
        <w:suppressAutoHyphens/>
        <w:autoSpaceDE w:val="0"/>
        <w:autoSpaceDN w:val="0"/>
        <w:adjustRightInd w:val="0"/>
        <w:spacing w:line="240" w:lineRule="auto"/>
        <w:jc w:val="both"/>
        <w:textAlignment w:val="baseline"/>
        <w:rPr>
          <w:rFonts w:cstheme="minorHAnsi"/>
          <w:i/>
          <w:sz w:val="18"/>
          <w:szCs w:val="18"/>
        </w:rPr>
      </w:pPr>
      <w:r w:rsidRPr="009D2758">
        <w:rPr>
          <w:rFonts w:cstheme="minorHAnsi"/>
          <w:i/>
          <w:sz w:val="18"/>
          <w:szCs w:val="18"/>
        </w:rPr>
        <w:t>Les informations de qualité disponibles et comprises sur les effets du changement climatique,</w:t>
      </w:r>
    </w:p>
    <w:p w14:paraId="32CF2B5A" w14:textId="77777777" w:rsidR="008F2269" w:rsidRPr="009D2758" w:rsidRDefault="008F2269" w:rsidP="008F2269">
      <w:pPr>
        <w:pStyle w:val="Paragraphedeliste"/>
        <w:numPr>
          <w:ilvl w:val="0"/>
          <w:numId w:val="85"/>
        </w:numPr>
        <w:suppressAutoHyphens/>
        <w:autoSpaceDE w:val="0"/>
        <w:autoSpaceDN w:val="0"/>
        <w:adjustRightInd w:val="0"/>
        <w:spacing w:line="240" w:lineRule="auto"/>
        <w:jc w:val="both"/>
        <w:textAlignment w:val="baseline"/>
        <w:rPr>
          <w:rFonts w:cstheme="minorHAnsi"/>
          <w:i/>
          <w:sz w:val="18"/>
          <w:szCs w:val="18"/>
        </w:rPr>
      </w:pPr>
      <w:r w:rsidRPr="009D2758">
        <w:rPr>
          <w:rFonts w:cstheme="minorHAnsi"/>
          <w:i/>
          <w:sz w:val="18"/>
          <w:szCs w:val="18"/>
        </w:rPr>
        <w:t xml:space="preserve">D’autres ressources ou conditions susceptibles de soutenir des actions susceptibles de conduire à une meilleure adaptation, </w:t>
      </w:r>
    </w:p>
    <w:p w14:paraId="50BEED71" w14:textId="77777777" w:rsidR="008F2269" w:rsidRPr="009D2758" w:rsidRDefault="008F2269" w:rsidP="008F2269">
      <w:pPr>
        <w:pStyle w:val="Paragraphedeliste"/>
        <w:numPr>
          <w:ilvl w:val="0"/>
          <w:numId w:val="85"/>
        </w:numPr>
        <w:suppressAutoHyphens/>
        <w:autoSpaceDE w:val="0"/>
        <w:autoSpaceDN w:val="0"/>
        <w:adjustRightInd w:val="0"/>
        <w:spacing w:line="240" w:lineRule="auto"/>
        <w:jc w:val="both"/>
        <w:textAlignment w:val="baseline"/>
        <w:rPr>
          <w:rFonts w:cstheme="minorHAnsi"/>
          <w:i/>
          <w:sz w:val="18"/>
          <w:szCs w:val="18"/>
        </w:rPr>
      </w:pPr>
      <w:r w:rsidRPr="009D2758">
        <w:rPr>
          <w:rFonts w:cstheme="minorHAnsi"/>
          <w:i/>
          <w:sz w:val="18"/>
          <w:szCs w:val="18"/>
        </w:rPr>
        <w:t>Pistes/options/actions pertinentes d'adaptation et / ou de développement durable dans le contexte du changement climatique, etc.</w:t>
      </w:r>
    </w:p>
  </w:footnote>
  <w:footnote w:id="50">
    <w:p w14:paraId="47A7E869" w14:textId="77777777" w:rsidR="008F2269" w:rsidRPr="00165E24" w:rsidRDefault="008F2269" w:rsidP="008F2269">
      <w:pPr>
        <w:pStyle w:val="Notedebasdepage"/>
        <w:numPr>
          <w:ilvl w:val="0"/>
          <w:numId w:val="85"/>
        </w:numPr>
        <w:jc w:val="both"/>
        <w:rPr>
          <w:rFonts w:cstheme="minorHAnsi"/>
          <w:sz w:val="18"/>
          <w:szCs w:val="18"/>
        </w:rPr>
      </w:pPr>
      <w:r w:rsidRPr="00165E24">
        <w:rPr>
          <w:rStyle w:val="Appelnotedebasdep"/>
          <w:rFonts w:cstheme="minorHAnsi"/>
          <w:sz w:val="18"/>
          <w:szCs w:val="18"/>
        </w:rPr>
        <w:footnoteRef/>
      </w:r>
      <w:r w:rsidRPr="00165E24">
        <w:rPr>
          <w:rFonts w:cstheme="minorHAnsi"/>
          <w:sz w:val="18"/>
          <w:szCs w:val="18"/>
        </w:rPr>
        <w:t>Cette mesure doit être prévue dans la loi-cadre de l’environnement révisée afin de prendre en compte les orientations politiques du cadre de Sendai, l’Accord de Paris, les ODD et le Nouveau Programme pour les villes afin de garantir un développement qui soit adapté aux risques climatiques.).</w:t>
      </w:r>
    </w:p>
    <w:p w14:paraId="0F8BCE40" w14:textId="77777777" w:rsidR="008F2269" w:rsidRDefault="008F2269" w:rsidP="008F2269"/>
    <w:p w14:paraId="01743962" w14:textId="77777777" w:rsidR="008F2269" w:rsidRPr="00781CF9" w:rsidRDefault="008F2269" w:rsidP="008F2269">
      <w:pPr>
        <w:pStyle w:val="Notedebasdepage"/>
        <w:rPr>
          <w:strike/>
        </w:rPr>
      </w:pPr>
    </w:p>
  </w:footnote>
  <w:footnote w:id="51">
    <w:p w14:paraId="62CA06B1" w14:textId="77777777" w:rsidR="008F2269" w:rsidRPr="00B851C5" w:rsidRDefault="008F2269" w:rsidP="008F2269">
      <w:pPr>
        <w:pStyle w:val="Notedebasdepage"/>
        <w:jc w:val="both"/>
        <w:rPr>
          <w:sz w:val="18"/>
          <w:szCs w:val="18"/>
        </w:rPr>
      </w:pPr>
      <w:r w:rsidRPr="00B851C5">
        <w:rPr>
          <w:rStyle w:val="Appelnotedebasdep"/>
          <w:sz w:val="18"/>
          <w:szCs w:val="18"/>
        </w:rPr>
        <w:footnoteRef/>
      </w:r>
      <w:r w:rsidRPr="00B851C5">
        <w:rPr>
          <w:sz w:val="18"/>
          <w:szCs w:val="18"/>
        </w:rPr>
        <w:t xml:space="preserve"> Conseil National Environnement et Développement</w:t>
      </w:r>
      <w:r>
        <w:rPr>
          <w:sz w:val="18"/>
          <w:szCs w:val="18"/>
        </w:rPr>
        <w:t xml:space="preserve"> Durable</w:t>
      </w:r>
      <w:r w:rsidRPr="00B851C5">
        <w:rPr>
          <w:sz w:val="18"/>
          <w:szCs w:val="18"/>
        </w:rPr>
        <w:t xml:space="preserve"> (CNED</w:t>
      </w:r>
      <w:r>
        <w:rPr>
          <w:sz w:val="18"/>
          <w:szCs w:val="18"/>
        </w:rPr>
        <w:t>D</w:t>
      </w:r>
      <w:r w:rsidRPr="00B851C5">
        <w:rPr>
          <w:sz w:val="18"/>
          <w:szCs w:val="18"/>
        </w:rPr>
        <w:t xml:space="preserve">) chargé de proposer les grandes orientations nationales en matière de stratégie environnementale. </w:t>
      </w:r>
    </w:p>
  </w:footnote>
  <w:footnote w:id="52">
    <w:p w14:paraId="7B6FA6F0" w14:textId="77777777" w:rsidR="008F2269" w:rsidRPr="008A6EC2" w:rsidRDefault="008F2269" w:rsidP="008F2269">
      <w:pPr>
        <w:autoSpaceDE w:val="0"/>
        <w:autoSpaceDN w:val="0"/>
        <w:adjustRightInd w:val="0"/>
        <w:spacing w:after="0"/>
        <w:ind w:left="142" w:hanging="142"/>
        <w:jc w:val="both"/>
        <w:rPr>
          <w:rFonts w:cs="Tahoma"/>
          <w:i/>
          <w:sz w:val="20"/>
          <w:szCs w:val="20"/>
        </w:rPr>
      </w:pPr>
      <w:r w:rsidRPr="001E10DB">
        <w:rPr>
          <w:rStyle w:val="Appelnotedebasdep"/>
          <w:b/>
        </w:rPr>
        <w:footnoteRef/>
      </w:r>
      <w:r w:rsidRPr="008A6EC2">
        <w:rPr>
          <w:rFonts w:cs="Tahoma"/>
          <w:i/>
          <w:sz w:val="20"/>
          <w:szCs w:val="20"/>
        </w:rPr>
        <w:t xml:space="preserve">Les lacunes/besoins d’adaptation aux enjeux du changement climatique, doivent naturellement découler des secteurs bénéficiaires. A titre d’illustration, ceux -ci peuvent être appréhendés sous différents angles (capacités et mesures concrètes d’adaptation) :  </w:t>
      </w:r>
    </w:p>
    <w:p w14:paraId="05644D69" w14:textId="77777777" w:rsidR="008F2269" w:rsidRPr="008A6EC2" w:rsidRDefault="008F2269" w:rsidP="008F2269">
      <w:pPr>
        <w:pStyle w:val="Paragraphedeliste"/>
        <w:numPr>
          <w:ilvl w:val="0"/>
          <w:numId w:val="85"/>
        </w:numPr>
        <w:suppressAutoHyphens/>
        <w:autoSpaceDE w:val="0"/>
        <w:autoSpaceDN w:val="0"/>
        <w:adjustRightInd w:val="0"/>
        <w:spacing w:line="240" w:lineRule="auto"/>
        <w:jc w:val="both"/>
        <w:textAlignment w:val="baseline"/>
        <w:rPr>
          <w:rFonts w:cs="Tahoma"/>
          <w:i/>
          <w:sz w:val="20"/>
          <w:szCs w:val="20"/>
        </w:rPr>
      </w:pPr>
      <w:r w:rsidRPr="008A6EC2">
        <w:rPr>
          <w:rFonts w:cs="Tahoma"/>
          <w:i/>
          <w:sz w:val="20"/>
          <w:szCs w:val="20"/>
        </w:rPr>
        <w:t>Les ressources et capacités au sein des institutions travaillant sur les questions liées à l'adaptation,</w:t>
      </w:r>
    </w:p>
    <w:p w14:paraId="73FA714F" w14:textId="77777777" w:rsidR="008F2269" w:rsidRPr="008A6EC2" w:rsidRDefault="008F2269" w:rsidP="008F2269">
      <w:pPr>
        <w:pStyle w:val="Paragraphedeliste"/>
        <w:numPr>
          <w:ilvl w:val="0"/>
          <w:numId w:val="85"/>
        </w:numPr>
        <w:suppressAutoHyphens/>
        <w:autoSpaceDE w:val="0"/>
        <w:autoSpaceDN w:val="0"/>
        <w:adjustRightInd w:val="0"/>
        <w:spacing w:line="240" w:lineRule="auto"/>
        <w:jc w:val="both"/>
        <w:textAlignment w:val="baseline"/>
        <w:rPr>
          <w:rFonts w:cs="Tahoma"/>
          <w:i/>
          <w:sz w:val="20"/>
          <w:szCs w:val="20"/>
        </w:rPr>
      </w:pPr>
      <w:r w:rsidRPr="008A6EC2">
        <w:rPr>
          <w:rFonts w:cs="Tahoma"/>
          <w:i/>
          <w:sz w:val="20"/>
          <w:szCs w:val="20"/>
        </w:rPr>
        <w:t>Les expériences et les compétences pertinentes des groupes cibles et des individus,</w:t>
      </w:r>
    </w:p>
    <w:p w14:paraId="69D9DE6E" w14:textId="77777777" w:rsidR="008F2269" w:rsidRPr="008A6EC2" w:rsidRDefault="008F2269" w:rsidP="008F2269">
      <w:pPr>
        <w:pStyle w:val="Paragraphedeliste"/>
        <w:numPr>
          <w:ilvl w:val="0"/>
          <w:numId w:val="85"/>
        </w:numPr>
        <w:suppressAutoHyphens/>
        <w:autoSpaceDE w:val="0"/>
        <w:autoSpaceDN w:val="0"/>
        <w:adjustRightInd w:val="0"/>
        <w:spacing w:line="240" w:lineRule="auto"/>
        <w:jc w:val="both"/>
        <w:textAlignment w:val="baseline"/>
        <w:rPr>
          <w:rFonts w:cs="Tahoma"/>
          <w:i/>
          <w:sz w:val="20"/>
          <w:szCs w:val="20"/>
        </w:rPr>
      </w:pPr>
      <w:r w:rsidRPr="008A6EC2">
        <w:rPr>
          <w:rFonts w:cs="Tahoma"/>
          <w:i/>
          <w:sz w:val="20"/>
          <w:szCs w:val="20"/>
        </w:rPr>
        <w:t>Les informations de qualité disponibles et comprises sur les effets du changement climatique,</w:t>
      </w:r>
    </w:p>
    <w:p w14:paraId="6637102E" w14:textId="77777777" w:rsidR="008F2269" w:rsidRPr="008A6EC2" w:rsidRDefault="008F2269" w:rsidP="008F2269">
      <w:pPr>
        <w:pStyle w:val="Paragraphedeliste"/>
        <w:numPr>
          <w:ilvl w:val="0"/>
          <w:numId w:val="85"/>
        </w:numPr>
        <w:suppressAutoHyphens/>
        <w:autoSpaceDE w:val="0"/>
        <w:autoSpaceDN w:val="0"/>
        <w:adjustRightInd w:val="0"/>
        <w:spacing w:line="240" w:lineRule="auto"/>
        <w:jc w:val="both"/>
        <w:textAlignment w:val="baseline"/>
        <w:rPr>
          <w:rFonts w:cs="Tahoma"/>
          <w:i/>
          <w:sz w:val="20"/>
          <w:szCs w:val="20"/>
        </w:rPr>
      </w:pPr>
      <w:r w:rsidRPr="008A6EC2">
        <w:rPr>
          <w:rFonts w:cs="Tahoma"/>
          <w:i/>
          <w:sz w:val="20"/>
          <w:szCs w:val="20"/>
        </w:rPr>
        <w:t xml:space="preserve">D’autres ressources ou conditions susceptibles de soutenir des actions susceptibles de conduire à une meilleure adaptation, </w:t>
      </w:r>
    </w:p>
    <w:p w14:paraId="697495F7" w14:textId="77777777" w:rsidR="008F2269" w:rsidRPr="00BD0EE0" w:rsidRDefault="008F2269" w:rsidP="008F2269">
      <w:pPr>
        <w:pStyle w:val="Paragraphedeliste"/>
        <w:numPr>
          <w:ilvl w:val="0"/>
          <w:numId w:val="85"/>
        </w:numPr>
        <w:suppressAutoHyphens/>
        <w:autoSpaceDE w:val="0"/>
        <w:autoSpaceDN w:val="0"/>
        <w:adjustRightInd w:val="0"/>
        <w:spacing w:line="240" w:lineRule="auto"/>
        <w:jc w:val="both"/>
        <w:textAlignment w:val="baseline"/>
        <w:rPr>
          <w:rFonts w:cs="Tahoma"/>
          <w:i/>
          <w:sz w:val="20"/>
          <w:szCs w:val="20"/>
        </w:rPr>
      </w:pPr>
      <w:r w:rsidRPr="008A6EC2">
        <w:rPr>
          <w:rFonts w:cs="ArialUnicodeMS"/>
          <w:i/>
          <w:sz w:val="20"/>
          <w:szCs w:val="20"/>
        </w:rPr>
        <w:t>Pistes/options/actions pertinentes d'adaptation et / ou de développement durable dans le contexte du changement climatique, etc.</w:t>
      </w:r>
    </w:p>
    <w:p w14:paraId="38AA1C18" w14:textId="77777777" w:rsidR="008F2269" w:rsidRDefault="008F2269" w:rsidP="008F2269">
      <w:pPr>
        <w:autoSpaceDE w:val="0"/>
        <w:adjustRightInd w:val="0"/>
        <w:ind w:left="360"/>
        <w:jc w:val="both"/>
        <w:rPr>
          <w:rFonts w:cs="Tahoma"/>
          <w:i/>
          <w:sz w:val="20"/>
          <w:szCs w:val="20"/>
        </w:rPr>
      </w:pPr>
    </w:p>
    <w:p w14:paraId="710485C1" w14:textId="77777777" w:rsidR="008F2269" w:rsidRDefault="008F2269" w:rsidP="008F2269">
      <w:pPr>
        <w:autoSpaceDE w:val="0"/>
        <w:adjustRightInd w:val="0"/>
        <w:ind w:left="360"/>
        <w:jc w:val="both"/>
        <w:rPr>
          <w:rFonts w:cs="Tahoma"/>
          <w:i/>
          <w:sz w:val="20"/>
          <w:szCs w:val="20"/>
        </w:rPr>
      </w:pPr>
    </w:p>
    <w:p w14:paraId="558C306D" w14:textId="77777777" w:rsidR="008F2269" w:rsidRDefault="008F2269" w:rsidP="008F2269">
      <w:pPr>
        <w:autoSpaceDE w:val="0"/>
        <w:adjustRightInd w:val="0"/>
        <w:ind w:left="360"/>
        <w:jc w:val="both"/>
        <w:rPr>
          <w:rFonts w:cs="Tahoma"/>
          <w:i/>
          <w:sz w:val="20"/>
          <w:szCs w:val="20"/>
        </w:rPr>
      </w:pPr>
    </w:p>
    <w:tbl>
      <w:tblPr>
        <w:tblStyle w:val="Grilledutableau"/>
        <w:tblW w:w="14175" w:type="dxa"/>
        <w:tblLook w:val="04A0" w:firstRow="1" w:lastRow="0" w:firstColumn="1" w:lastColumn="0" w:noHBand="0" w:noVBand="1"/>
      </w:tblPr>
      <w:tblGrid>
        <w:gridCol w:w="2830"/>
        <w:gridCol w:w="3402"/>
        <w:gridCol w:w="5387"/>
        <w:gridCol w:w="2556"/>
      </w:tblGrid>
      <w:tr w:rsidR="008F2269" w:rsidRPr="00F21087" w:rsidDel="005F3909" w14:paraId="1E953D59" w14:textId="77777777" w:rsidTr="00263D1A">
        <w:trPr>
          <w:cantSplit/>
          <w:trHeight w:val="335"/>
        </w:trPr>
        <w:tc>
          <w:tcPr>
            <w:tcW w:w="2830" w:type="dxa"/>
            <w:vMerge w:val="restart"/>
            <w:shd w:val="clear" w:color="auto" w:fill="C5E0B3" w:themeFill="accent6" w:themeFillTint="66"/>
            <w:vAlign w:val="center"/>
          </w:tcPr>
          <w:p w14:paraId="7E2AB46A" w14:textId="77777777" w:rsidR="008F2269" w:rsidRPr="00F21087" w:rsidRDefault="008F2269" w:rsidP="00263D1A">
            <w:pPr>
              <w:jc w:val="center"/>
              <w:rPr>
                <w:rFonts w:cstheme="minorHAnsi"/>
                <w:b/>
                <w:sz w:val="14"/>
                <w:szCs w:val="14"/>
              </w:rPr>
            </w:pPr>
            <w:r w:rsidRPr="00F21087">
              <w:rPr>
                <w:rFonts w:cstheme="minorHAnsi"/>
                <w:b/>
                <w:sz w:val="14"/>
                <w:szCs w:val="14"/>
              </w:rPr>
              <w:t>Objectifs et résultats clés attendus</w:t>
            </w:r>
          </w:p>
        </w:tc>
        <w:tc>
          <w:tcPr>
            <w:tcW w:w="11345" w:type="dxa"/>
            <w:gridSpan w:val="3"/>
            <w:shd w:val="clear" w:color="auto" w:fill="FFE599" w:themeFill="accent4" w:themeFillTint="66"/>
            <w:vAlign w:val="center"/>
          </w:tcPr>
          <w:p w14:paraId="47583926" w14:textId="77777777" w:rsidR="008F2269" w:rsidRPr="00F21087" w:rsidDel="005F3909" w:rsidRDefault="008F2269" w:rsidP="00263D1A">
            <w:pPr>
              <w:jc w:val="center"/>
              <w:rPr>
                <w:rFonts w:cstheme="minorHAnsi"/>
                <w:b/>
                <w:sz w:val="14"/>
                <w:szCs w:val="14"/>
              </w:rPr>
            </w:pPr>
            <w:r w:rsidRPr="00F21087">
              <w:rPr>
                <w:rFonts w:cstheme="minorHAnsi"/>
                <w:b/>
                <w:sz w:val="14"/>
                <w:szCs w:val="14"/>
              </w:rPr>
              <w:t>Analyse des enjeux climatiques et besoins</w:t>
            </w:r>
          </w:p>
        </w:tc>
      </w:tr>
      <w:tr w:rsidR="008F2269" w:rsidRPr="00F21087" w14:paraId="6025754A" w14:textId="77777777" w:rsidTr="00263D1A">
        <w:trPr>
          <w:cantSplit/>
          <w:trHeight w:val="1134"/>
        </w:trPr>
        <w:tc>
          <w:tcPr>
            <w:tcW w:w="2830" w:type="dxa"/>
            <w:vMerge/>
            <w:shd w:val="clear" w:color="auto" w:fill="C5E0B3" w:themeFill="accent6" w:themeFillTint="66"/>
            <w:textDirection w:val="btLr"/>
            <w:vAlign w:val="center"/>
          </w:tcPr>
          <w:p w14:paraId="5E5F514D" w14:textId="77777777" w:rsidR="008F2269" w:rsidRPr="00F21087" w:rsidRDefault="008F2269" w:rsidP="00263D1A">
            <w:pPr>
              <w:jc w:val="center"/>
              <w:rPr>
                <w:rFonts w:cstheme="minorHAnsi"/>
                <w:b/>
                <w:sz w:val="14"/>
                <w:szCs w:val="14"/>
              </w:rPr>
            </w:pPr>
          </w:p>
        </w:tc>
        <w:tc>
          <w:tcPr>
            <w:tcW w:w="3402" w:type="dxa"/>
            <w:shd w:val="clear" w:color="auto" w:fill="FFE599" w:themeFill="accent4" w:themeFillTint="66"/>
          </w:tcPr>
          <w:p w14:paraId="09BEEC3D" w14:textId="77777777" w:rsidR="008F2269" w:rsidRPr="00F21087" w:rsidRDefault="008F2269" w:rsidP="00263D1A">
            <w:pPr>
              <w:jc w:val="center"/>
              <w:rPr>
                <w:rFonts w:cstheme="minorHAnsi"/>
                <w:b/>
                <w:sz w:val="14"/>
                <w:szCs w:val="14"/>
              </w:rPr>
            </w:pPr>
            <w:r w:rsidRPr="00F21087">
              <w:rPr>
                <w:rFonts w:cstheme="minorHAnsi"/>
                <w:b/>
                <w:sz w:val="14"/>
                <w:szCs w:val="14"/>
              </w:rPr>
              <w:t>Principaux déterminants à l’exposition aux risques climatiques</w:t>
            </w:r>
          </w:p>
          <w:p w14:paraId="7C799DE6" w14:textId="77777777" w:rsidR="008F2269" w:rsidRPr="00F21087" w:rsidRDefault="008F2269" w:rsidP="00263D1A">
            <w:pPr>
              <w:jc w:val="center"/>
              <w:rPr>
                <w:rFonts w:cstheme="minorHAnsi"/>
                <w:sz w:val="14"/>
                <w:szCs w:val="14"/>
              </w:rPr>
            </w:pPr>
            <w:r w:rsidRPr="00F21087">
              <w:rPr>
                <w:rFonts w:cstheme="minorHAnsi"/>
                <w:sz w:val="14"/>
                <w:szCs w:val="14"/>
              </w:rPr>
              <w:t>(Décrire brièvement la nature des risques climatiques et la vulnérabilité. La partie narrative devra développer davantage ces paramètres)</w:t>
            </w:r>
          </w:p>
        </w:tc>
        <w:tc>
          <w:tcPr>
            <w:tcW w:w="5387" w:type="dxa"/>
            <w:shd w:val="clear" w:color="auto" w:fill="FFE599" w:themeFill="accent4" w:themeFillTint="66"/>
          </w:tcPr>
          <w:p w14:paraId="60AB742B" w14:textId="77777777" w:rsidR="008F2269" w:rsidRPr="00F21087" w:rsidRDefault="008F2269" w:rsidP="00263D1A">
            <w:pPr>
              <w:ind w:left="-24" w:right="-108"/>
              <w:jc w:val="center"/>
              <w:rPr>
                <w:rFonts w:cstheme="minorHAnsi"/>
                <w:b/>
                <w:sz w:val="14"/>
                <w:szCs w:val="14"/>
              </w:rPr>
            </w:pPr>
            <w:r w:rsidRPr="00F21087">
              <w:rPr>
                <w:rFonts w:cstheme="minorHAnsi"/>
                <w:b/>
                <w:sz w:val="14"/>
                <w:szCs w:val="14"/>
              </w:rPr>
              <w:t>Mesures, activités ou initiatives en cours ou programmées pour faire face aux enjeux du CC</w:t>
            </w:r>
          </w:p>
          <w:p w14:paraId="2C9479F4" w14:textId="77777777" w:rsidR="008F2269" w:rsidRPr="00F21087" w:rsidRDefault="008F2269" w:rsidP="00263D1A">
            <w:pPr>
              <w:jc w:val="center"/>
              <w:rPr>
                <w:rFonts w:cstheme="minorHAnsi"/>
                <w:b/>
                <w:sz w:val="14"/>
                <w:szCs w:val="14"/>
              </w:rPr>
            </w:pPr>
            <w:r w:rsidRPr="00F21087">
              <w:rPr>
                <w:rFonts w:cstheme="minorHAnsi"/>
                <w:sz w:val="14"/>
                <w:szCs w:val="14"/>
              </w:rPr>
              <w:t xml:space="preserve"> (Décrire brièvement ces mesures. La partie narrative devra développer davantage ces paramètres)</w:t>
            </w:r>
          </w:p>
        </w:tc>
        <w:tc>
          <w:tcPr>
            <w:tcW w:w="2556" w:type="dxa"/>
            <w:shd w:val="clear" w:color="auto" w:fill="FFE599" w:themeFill="accent4" w:themeFillTint="66"/>
          </w:tcPr>
          <w:p w14:paraId="5717416F" w14:textId="77777777" w:rsidR="008F2269" w:rsidRPr="00F21087" w:rsidRDefault="008F2269" w:rsidP="00263D1A">
            <w:pPr>
              <w:jc w:val="center"/>
              <w:rPr>
                <w:rFonts w:cstheme="minorHAnsi"/>
                <w:b/>
                <w:sz w:val="14"/>
                <w:szCs w:val="14"/>
              </w:rPr>
            </w:pPr>
            <w:r w:rsidRPr="00F21087">
              <w:rPr>
                <w:rFonts w:cstheme="minorHAnsi"/>
                <w:b/>
                <w:sz w:val="14"/>
                <w:szCs w:val="14"/>
              </w:rPr>
              <w:t>Lacunes et besoins pour l’adaptation au CC</w:t>
            </w:r>
            <w:r w:rsidRPr="00F21087">
              <w:rPr>
                <w:rStyle w:val="Appelnotedebasdep"/>
                <w:rFonts w:cstheme="minorHAnsi"/>
                <w:b/>
                <w:sz w:val="16"/>
                <w:szCs w:val="16"/>
              </w:rPr>
              <w:footnoteRef/>
            </w:r>
            <w:r w:rsidRPr="00F21087">
              <w:rPr>
                <w:rFonts w:cstheme="minorHAnsi"/>
                <w:b/>
                <w:sz w:val="14"/>
                <w:szCs w:val="14"/>
              </w:rPr>
              <w:t xml:space="preserve"> en lien avec la CN5</w:t>
            </w:r>
          </w:p>
          <w:p w14:paraId="32361737" w14:textId="77777777" w:rsidR="008F2269" w:rsidRPr="00F21087" w:rsidRDefault="008F2269" w:rsidP="00263D1A">
            <w:pPr>
              <w:jc w:val="center"/>
              <w:rPr>
                <w:rFonts w:cstheme="minorHAnsi"/>
                <w:b/>
                <w:sz w:val="14"/>
                <w:szCs w:val="14"/>
              </w:rPr>
            </w:pPr>
            <w:r w:rsidRPr="00F21087">
              <w:rPr>
                <w:rFonts w:cstheme="minorHAnsi"/>
                <w:sz w:val="14"/>
                <w:szCs w:val="14"/>
              </w:rPr>
              <w:t>(Description brève. La partie narrative devra expliquer davantage ces paramètres)</w:t>
            </w:r>
          </w:p>
        </w:tc>
      </w:tr>
      <w:tr w:rsidR="008F2269" w:rsidRPr="00F21087" w14:paraId="6088E064" w14:textId="77777777" w:rsidTr="00263D1A">
        <w:tc>
          <w:tcPr>
            <w:tcW w:w="2830" w:type="dxa"/>
            <w:shd w:val="clear" w:color="auto" w:fill="C5E0B3" w:themeFill="accent6" w:themeFillTint="66"/>
            <w:vAlign w:val="center"/>
          </w:tcPr>
          <w:p w14:paraId="18118FB2" w14:textId="77777777" w:rsidR="008F2269" w:rsidRPr="00F21087" w:rsidRDefault="008F2269" w:rsidP="00263D1A">
            <w:pPr>
              <w:rPr>
                <w:rFonts w:cstheme="minorHAnsi"/>
                <w:b/>
                <w:sz w:val="14"/>
                <w:szCs w:val="14"/>
              </w:rPr>
            </w:pPr>
            <w:r w:rsidRPr="00F21087">
              <w:rPr>
                <w:rFonts w:cstheme="minorHAnsi"/>
                <w:b/>
                <w:sz w:val="14"/>
                <w:szCs w:val="14"/>
              </w:rPr>
              <w:t>Axe 2</w:t>
            </w:r>
          </w:p>
        </w:tc>
        <w:tc>
          <w:tcPr>
            <w:tcW w:w="11345" w:type="dxa"/>
            <w:gridSpan w:val="3"/>
            <w:shd w:val="clear" w:color="auto" w:fill="C5E0B3" w:themeFill="accent6" w:themeFillTint="66"/>
          </w:tcPr>
          <w:p w14:paraId="74C26425" w14:textId="77777777" w:rsidR="008F2269" w:rsidRPr="00F21087" w:rsidRDefault="008F2269" w:rsidP="00263D1A">
            <w:pPr>
              <w:rPr>
                <w:rFonts w:cstheme="minorHAnsi"/>
                <w:sz w:val="14"/>
                <w:szCs w:val="14"/>
              </w:rPr>
            </w:pPr>
            <w:r w:rsidRPr="00F21087">
              <w:rPr>
                <w:rFonts w:cstheme="minorHAnsi"/>
                <w:b/>
                <w:sz w:val="14"/>
                <w:szCs w:val="14"/>
              </w:rPr>
              <w:t>Donner accès à l’eau potable au plus grand nombre </w:t>
            </w:r>
          </w:p>
        </w:tc>
      </w:tr>
      <w:tr w:rsidR="008F2269" w:rsidRPr="00F21087" w14:paraId="70327248" w14:textId="77777777" w:rsidTr="00263D1A">
        <w:trPr>
          <w:trHeight w:val="126"/>
        </w:trPr>
        <w:tc>
          <w:tcPr>
            <w:tcW w:w="2830" w:type="dxa"/>
            <w:shd w:val="clear" w:color="auto" w:fill="C5E0B3" w:themeFill="accent6" w:themeFillTint="66"/>
            <w:vAlign w:val="center"/>
          </w:tcPr>
          <w:p w14:paraId="7E154D64" w14:textId="77777777" w:rsidR="008F2269" w:rsidRPr="00F21087" w:rsidRDefault="008F2269" w:rsidP="00263D1A">
            <w:pPr>
              <w:jc w:val="both"/>
              <w:rPr>
                <w:rFonts w:cstheme="minorHAnsi"/>
                <w:bCs/>
                <w:sz w:val="14"/>
                <w:szCs w:val="14"/>
              </w:rPr>
            </w:pPr>
            <w:r w:rsidRPr="00F21087">
              <w:rPr>
                <w:rFonts w:cstheme="minorHAnsi"/>
                <w:bCs/>
                <w:sz w:val="14"/>
                <w:szCs w:val="14"/>
              </w:rPr>
              <w:t>Résultat 2.1 : Le taux de desserte en eau potable dans les localités urbaines et semi-urbaines est porté à 100%.</w:t>
            </w:r>
          </w:p>
        </w:tc>
        <w:tc>
          <w:tcPr>
            <w:tcW w:w="3402" w:type="dxa"/>
          </w:tcPr>
          <w:p w14:paraId="1246F934" w14:textId="77777777" w:rsidR="008F2269" w:rsidRPr="00F21087" w:rsidRDefault="008F2269" w:rsidP="00263D1A">
            <w:pPr>
              <w:shd w:val="clear" w:color="auto" w:fill="DEEAF6" w:themeFill="accent5" w:themeFillTint="33"/>
              <w:autoSpaceDE w:val="0"/>
              <w:autoSpaceDN w:val="0"/>
              <w:adjustRightInd w:val="0"/>
              <w:jc w:val="center"/>
              <w:rPr>
                <w:rFonts w:cstheme="minorHAnsi"/>
                <w:color w:val="000000"/>
                <w:sz w:val="14"/>
                <w:szCs w:val="14"/>
              </w:rPr>
            </w:pPr>
            <w:r w:rsidRPr="00F21087">
              <w:rPr>
                <w:rFonts w:cstheme="minorHAnsi"/>
                <w:bCs/>
                <w:sz w:val="14"/>
                <w:szCs w:val="14"/>
              </w:rPr>
              <w:t xml:space="preserve">Source : </w:t>
            </w:r>
            <w:r w:rsidRPr="00F21087">
              <w:rPr>
                <w:rFonts w:cstheme="minorHAnsi"/>
                <w:color w:val="000000"/>
                <w:sz w:val="14"/>
                <w:szCs w:val="14"/>
              </w:rPr>
              <w:t>CDN, 2015.</w:t>
            </w:r>
          </w:p>
          <w:p w14:paraId="47D30DBE" w14:textId="77777777" w:rsidR="008F2269" w:rsidRPr="00F21087" w:rsidRDefault="008F2269" w:rsidP="00263D1A">
            <w:pPr>
              <w:autoSpaceDE w:val="0"/>
              <w:autoSpaceDN w:val="0"/>
              <w:adjustRightInd w:val="0"/>
              <w:jc w:val="both"/>
              <w:rPr>
                <w:rFonts w:cstheme="minorHAnsi"/>
                <w:color w:val="000000"/>
                <w:sz w:val="14"/>
                <w:szCs w:val="14"/>
              </w:rPr>
            </w:pPr>
          </w:p>
          <w:p w14:paraId="06C3014D" w14:textId="77777777" w:rsidR="008F2269" w:rsidRPr="00F21087" w:rsidRDefault="008F2269" w:rsidP="00263D1A">
            <w:pPr>
              <w:autoSpaceDE w:val="0"/>
              <w:autoSpaceDN w:val="0"/>
              <w:adjustRightInd w:val="0"/>
              <w:jc w:val="both"/>
              <w:rPr>
                <w:rFonts w:cstheme="minorHAnsi"/>
                <w:color w:val="000000"/>
                <w:sz w:val="14"/>
                <w:szCs w:val="14"/>
              </w:rPr>
            </w:pPr>
            <w:r w:rsidRPr="00F21087">
              <w:rPr>
                <w:rFonts w:cstheme="minorHAnsi"/>
                <w:color w:val="000000"/>
                <w:sz w:val="14"/>
                <w:szCs w:val="14"/>
              </w:rPr>
              <w:t xml:space="preserve">Les Impacts des changements climatiques sur les ressources en eau seront significatifs et se traduiront par une baisse générale des ressources en eau de l’ordre de 10 à 15%, avec pour conséquences : </w:t>
            </w:r>
          </w:p>
          <w:p w14:paraId="0215A132" w14:textId="77777777" w:rsidR="008F2269" w:rsidRPr="00F21087" w:rsidRDefault="008F2269" w:rsidP="00263D1A">
            <w:pPr>
              <w:autoSpaceDE w:val="0"/>
              <w:adjustRightInd w:val="0"/>
              <w:jc w:val="both"/>
              <w:rPr>
                <w:rFonts w:cstheme="minorHAnsi"/>
                <w:color w:val="000000"/>
                <w:sz w:val="14"/>
                <w:szCs w:val="14"/>
              </w:rPr>
            </w:pPr>
          </w:p>
          <w:p w14:paraId="12D5B3D0" w14:textId="77777777" w:rsidR="008F2269" w:rsidRPr="00F21087" w:rsidRDefault="008F2269" w:rsidP="008F2269">
            <w:pPr>
              <w:pStyle w:val="Paragraphedeliste"/>
              <w:numPr>
                <w:ilvl w:val="0"/>
                <w:numId w:val="90"/>
              </w:numPr>
              <w:suppressAutoHyphens/>
              <w:autoSpaceDE w:val="0"/>
              <w:autoSpaceDN w:val="0"/>
              <w:adjustRightInd w:val="0"/>
              <w:ind w:left="454" w:hanging="454"/>
              <w:jc w:val="both"/>
              <w:textAlignment w:val="baseline"/>
              <w:rPr>
                <w:rFonts w:cstheme="minorHAnsi"/>
                <w:color w:val="000000"/>
                <w:sz w:val="14"/>
                <w:szCs w:val="14"/>
              </w:rPr>
            </w:pPr>
            <w:r w:rsidRPr="00F21087">
              <w:rPr>
                <w:rFonts w:cstheme="minorHAnsi"/>
                <w:color w:val="000000"/>
                <w:sz w:val="14"/>
                <w:szCs w:val="14"/>
              </w:rPr>
              <w:t xml:space="preserve">Une baisse des ruissellements d’environ 10% entre 2000 et 2020, </w:t>
            </w:r>
          </w:p>
          <w:p w14:paraId="2B5FF255" w14:textId="77777777" w:rsidR="008F2269" w:rsidRPr="00F21087" w:rsidRDefault="008F2269" w:rsidP="008F2269">
            <w:pPr>
              <w:pStyle w:val="Paragraphedeliste"/>
              <w:numPr>
                <w:ilvl w:val="0"/>
                <w:numId w:val="90"/>
              </w:numPr>
              <w:suppressAutoHyphens/>
              <w:autoSpaceDE w:val="0"/>
              <w:autoSpaceDN w:val="0"/>
              <w:adjustRightInd w:val="0"/>
              <w:ind w:left="454" w:hanging="454"/>
              <w:jc w:val="both"/>
              <w:textAlignment w:val="baseline"/>
              <w:rPr>
                <w:rFonts w:cstheme="minorHAnsi"/>
                <w:color w:val="000000"/>
                <w:sz w:val="14"/>
                <w:szCs w:val="14"/>
              </w:rPr>
            </w:pPr>
            <w:r w:rsidRPr="00F21087">
              <w:rPr>
                <w:rFonts w:cstheme="minorHAnsi"/>
                <w:color w:val="000000"/>
                <w:sz w:val="14"/>
                <w:szCs w:val="14"/>
              </w:rPr>
              <w:t xml:space="preserve">Une augmentation de l’évapotranspiration et une dégradation de la qualité des eaux, </w:t>
            </w:r>
          </w:p>
          <w:p w14:paraId="1AE0611A" w14:textId="77777777" w:rsidR="008F2269" w:rsidRPr="00F21087" w:rsidRDefault="008F2269" w:rsidP="008F2269">
            <w:pPr>
              <w:pStyle w:val="Paragraphedeliste"/>
              <w:numPr>
                <w:ilvl w:val="0"/>
                <w:numId w:val="90"/>
              </w:numPr>
              <w:suppressAutoHyphens/>
              <w:autoSpaceDE w:val="0"/>
              <w:autoSpaceDN w:val="0"/>
              <w:adjustRightInd w:val="0"/>
              <w:ind w:left="454" w:hanging="454"/>
              <w:jc w:val="both"/>
              <w:textAlignment w:val="baseline"/>
              <w:rPr>
                <w:rFonts w:cstheme="minorHAnsi"/>
                <w:color w:val="000000"/>
                <w:sz w:val="14"/>
                <w:szCs w:val="14"/>
              </w:rPr>
            </w:pPr>
            <w:r w:rsidRPr="00F21087">
              <w:rPr>
                <w:rFonts w:cstheme="minorHAnsi"/>
                <w:color w:val="000000"/>
                <w:sz w:val="14"/>
                <w:szCs w:val="14"/>
              </w:rPr>
              <w:t>Une baisse des niveaux piézométriques et l’accroissement de la salinité des eaux en zones côtières et dans les aquifères discontinus surexploités actuellement</w:t>
            </w:r>
          </w:p>
          <w:p w14:paraId="2CF9DB18" w14:textId="77777777" w:rsidR="008F2269" w:rsidRPr="00F21087" w:rsidRDefault="008F2269" w:rsidP="008F2269">
            <w:pPr>
              <w:pStyle w:val="Paragraphedeliste"/>
              <w:numPr>
                <w:ilvl w:val="0"/>
                <w:numId w:val="90"/>
              </w:numPr>
              <w:suppressAutoHyphens/>
              <w:autoSpaceDE w:val="0"/>
              <w:autoSpaceDN w:val="0"/>
              <w:adjustRightInd w:val="0"/>
              <w:ind w:left="454" w:hanging="454"/>
              <w:jc w:val="both"/>
              <w:textAlignment w:val="baseline"/>
              <w:rPr>
                <w:rFonts w:cstheme="minorHAnsi"/>
                <w:color w:val="000000"/>
                <w:sz w:val="14"/>
                <w:szCs w:val="14"/>
              </w:rPr>
            </w:pPr>
            <w:r w:rsidRPr="00F21087">
              <w:rPr>
                <w:rFonts w:cstheme="minorHAnsi"/>
                <w:color w:val="000000"/>
                <w:sz w:val="14"/>
                <w:szCs w:val="14"/>
              </w:rPr>
              <w:t xml:space="preserve">Un dérèglement du régime des oueds et une réduction de la capacité de remplissage des barrages à cause des précipitations concentrées et l’envasement accéléré par érosion hydrique dans les bassins versants fortement dénudés ; </w:t>
            </w:r>
          </w:p>
          <w:p w14:paraId="0856E77D" w14:textId="77777777" w:rsidR="008F2269" w:rsidRPr="00F21087" w:rsidRDefault="008F2269" w:rsidP="008F2269">
            <w:pPr>
              <w:pStyle w:val="Paragraphedeliste"/>
              <w:numPr>
                <w:ilvl w:val="0"/>
                <w:numId w:val="90"/>
              </w:numPr>
              <w:suppressAutoHyphens/>
              <w:autoSpaceDE w:val="0"/>
              <w:autoSpaceDN w:val="0"/>
              <w:adjustRightInd w:val="0"/>
              <w:ind w:left="454" w:hanging="454"/>
              <w:jc w:val="both"/>
              <w:textAlignment w:val="baseline"/>
              <w:rPr>
                <w:rFonts w:cstheme="minorHAnsi"/>
                <w:color w:val="000000"/>
                <w:sz w:val="14"/>
                <w:szCs w:val="14"/>
              </w:rPr>
            </w:pPr>
            <w:r w:rsidRPr="00F21087">
              <w:rPr>
                <w:rFonts w:cstheme="minorHAnsi"/>
                <w:color w:val="000000"/>
                <w:sz w:val="14"/>
                <w:szCs w:val="14"/>
              </w:rPr>
              <w:t>Des eaux de surface plus chaudes, moins aérées, à débits plus réduits et donc une réduction de leurs pouvoirs de dilution et de biodégradation de certaines pollutions, etc.</w:t>
            </w:r>
          </w:p>
        </w:tc>
        <w:tc>
          <w:tcPr>
            <w:tcW w:w="5387" w:type="dxa"/>
          </w:tcPr>
          <w:p w14:paraId="08FB49A1" w14:textId="77777777" w:rsidR="008F2269" w:rsidRPr="00F21087" w:rsidRDefault="008F2269" w:rsidP="00263D1A">
            <w:pPr>
              <w:shd w:val="clear" w:color="auto" w:fill="DEEAF6" w:themeFill="accent5" w:themeFillTint="33"/>
              <w:jc w:val="center"/>
              <w:rPr>
                <w:rFonts w:cstheme="minorHAnsi"/>
                <w:bCs/>
                <w:sz w:val="14"/>
                <w:szCs w:val="14"/>
              </w:rPr>
            </w:pPr>
            <w:r w:rsidRPr="00F21087">
              <w:rPr>
                <w:rFonts w:cstheme="minorHAnsi"/>
                <w:bCs/>
                <w:sz w:val="14"/>
                <w:szCs w:val="14"/>
              </w:rPr>
              <w:t>(SNADEA 2017-2030)</w:t>
            </w:r>
          </w:p>
          <w:p w14:paraId="2B446734" w14:textId="77777777" w:rsidR="008F2269" w:rsidRPr="00F21087" w:rsidRDefault="008F2269" w:rsidP="00263D1A">
            <w:pPr>
              <w:pStyle w:val="Paragraphedeliste"/>
              <w:ind w:left="360"/>
              <w:jc w:val="both"/>
              <w:rPr>
                <w:rFonts w:cstheme="minorHAnsi"/>
                <w:bCs/>
                <w:sz w:val="14"/>
                <w:szCs w:val="14"/>
              </w:rPr>
            </w:pPr>
          </w:p>
          <w:p w14:paraId="7A37F4D4" w14:textId="77777777" w:rsidR="008F2269" w:rsidRPr="00F21087" w:rsidRDefault="008F2269" w:rsidP="008F2269">
            <w:pPr>
              <w:pStyle w:val="Paragraphedeliste"/>
              <w:numPr>
                <w:ilvl w:val="0"/>
                <w:numId w:val="91"/>
              </w:numPr>
              <w:suppressAutoHyphens/>
              <w:autoSpaceDN w:val="0"/>
              <w:jc w:val="both"/>
              <w:textAlignment w:val="baseline"/>
              <w:rPr>
                <w:rFonts w:cstheme="minorHAnsi"/>
                <w:bCs/>
                <w:sz w:val="14"/>
                <w:szCs w:val="14"/>
              </w:rPr>
            </w:pPr>
            <w:r w:rsidRPr="00F21087">
              <w:rPr>
                <w:rFonts w:cstheme="minorHAnsi"/>
                <w:bCs/>
                <w:sz w:val="14"/>
                <w:szCs w:val="14"/>
              </w:rPr>
              <w:t xml:space="preserve">Equiper en AEP/poste d'eau ou renforcer 2 580 localités de plus de 150 habitants. </w:t>
            </w:r>
            <w:r w:rsidRPr="00F21087">
              <w:rPr>
                <w:rFonts w:cstheme="minorHAnsi"/>
                <w:color w:val="000000"/>
                <w:sz w:val="14"/>
                <w:szCs w:val="14"/>
              </w:rPr>
              <w:t xml:space="preserve">Financement à rechercher : </w:t>
            </w:r>
            <w:r w:rsidRPr="00F21087">
              <w:rPr>
                <w:rFonts w:cstheme="minorHAnsi"/>
                <w:sz w:val="14"/>
                <w:szCs w:val="14"/>
              </w:rPr>
              <w:t>7.678 MioMRU.</w:t>
            </w:r>
          </w:p>
          <w:p w14:paraId="4FB85908" w14:textId="77777777" w:rsidR="008F2269" w:rsidRPr="00F21087" w:rsidRDefault="008F2269" w:rsidP="00263D1A">
            <w:pPr>
              <w:jc w:val="both"/>
              <w:rPr>
                <w:rFonts w:cstheme="minorHAnsi"/>
                <w:bCs/>
                <w:sz w:val="14"/>
                <w:szCs w:val="14"/>
              </w:rPr>
            </w:pPr>
          </w:p>
          <w:p w14:paraId="6E3C7706" w14:textId="77777777" w:rsidR="008F2269" w:rsidRPr="00F21087" w:rsidRDefault="008F2269" w:rsidP="008F2269">
            <w:pPr>
              <w:pStyle w:val="Paragraphedeliste"/>
              <w:numPr>
                <w:ilvl w:val="0"/>
                <w:numId w:val="91"/>
              </w:numPr>
              <w:suppressAutoHyphens/>
              <w:autoSpaceDN w:val="0"/>
              <w:jc w:val="both"/>
              <w:textAlignment w:val="baseline"/>
              <w:rPr>
                <w:rFonts w:cstheme="minorHAnsi"/>
                <w:bCs/>
                <w:sz w:val="14"/>
                <w:szCs w:val="14"/>
              </w:rPr>
            </w:pPr>
            <w:r w:rsidRPr="00F21087">
              <w:rPr>
                <w:rFonts w:cstheme="minorHAnsi"/>
                <w:bCs/>
                <w:sz w:val="14"/>
                <w:szCs w:val="14"/>
              </w:rPr>
              <w:t>Mettre aux normes 686 AEP ou postes d'eau existants (passage au solaire). Financement à rechercher : 17.640 MMRU.</w:t>
            </w:r>
          </w:p>
        </w:tc>
        <w:tc>
          <w:tcPr>
            <w:tcW w:w="2556" w:type="dxa"/>
          </w:tcPr>
          <w:p w14:paraId="20AF0955" w14:textId="77777777" w:rsidR="008F2269" w:rsidRPr="00F21087" w:rsidRDefault="008F2269" w:rsidP="00263D1A">
            <w:pPr>
              <w:jc w:val="center"/>
              <w:rPr>
                <w:rFonts w:cstheme="minorHAnsi"/>
                <w:b/>
                <w:bCs/>
                <w:sz w:val="14"/>
                <w:szCs w:val="14"/>
              </w:rPr>
            </w:pPr>
            <w:r w:rsidRPr="00F21087">
              <w:rPr>
                <w:rFonts w:cstheme="minorHAnsi"/>
                <w:b/>
                <w:bCs/>
                <w:sz w:val="14"/>
                <w:szCs w:val="14"/>
                <w:shd w:val="clear" w:color="auto" w:fill="DEEAF6" w:themeFill="accent5" w:themeFillTint="33"/>
              </w:rPr>
              <w:t>Lacunes / Besoins</w:t>
            </w:r>
          </w:p>
          <w:p w14:paraId="7605C7EF" w14:textId="77777777" w:rsidR="008F2269" w:rsidRPr="00F21087" w:rsidRDefault="008F2269" w:rsidP="00263D1A">
            <w:pPr>
              <w:jc w:val="both"/>
              <w:rPr>
                <w:rFonts w:cstheme="minorHAnsi"/>
                <w:bCs/>
                <w:sz w:val="14"/>
                <w:szCs w:val="14"/>
              </w:rPr>
            </w:pPr>
          </w:p>
          <w:p w14:paraId="56D415A8" w14:textId="77777777" w:rsidR="008F2269" w:rsidRPr="00F21087" w:rsidRDefault="008F2269" w:rsidP="00263D1A">
            <w:pPr>
              <w:jc w:val="both"/>
              <w:rPr>
                <w:rFonts w:cstheme="minorHAnsi"/>
                <w:bCs/>
                <w:sz w:val="14"/>
                <w:szCs w:val="14"/>
              </w:rPr>
            </w:pPr>
            <w:r w:rsidRPr="00F21087">
              <w:rPr>
                <w:rFonts w:cstheme="minorHAnsi"/>
                <w:bCs/>
                <w:sz w:val="14"/>
                <w:szCs w:val="14"/>
              </w:rPr>
              <w:t xml:space="preserve">La faible connaissance des ressources en eau de surface et souterraine, constitue une lacune majeure. Pour gérer durablement ces ressources la SNADEA dans son axe 1 prévoit des mesures pour combler ces lacunes. </w:t>
            </w:r>
          </w:p>
          <w:p w14:paraId="214FB55C" w14:textId="77777777" w:rsidR="008F2269" w:rsidRPr="00F21087" w:rsidRDefault="008F2269" w:rsidP="00263D1A">
            <w:pPr>
              <w:jc w:val="both"/>
              <w:rPr>
                <w:rFonts w:cstheme="minorHAnsi"/>
                <w:bCs/>
                <w:sz w:val="14"/>
                <w:szCs w:val="14"/>
              </w:rPr>
            </w:pPr>
          </w:p>
          <w:p w14:paraId="09ED5069" w14:textId="77777777" w:rsidR="008F2269" w:rsidRPr="00F21087" w:rsidRDefault="008F2269" w:rsidP="00263D1A">
            <w:pPr>
              <w:contextualSpacing/>
              <w:jc w:val="both"/>
              <w:rPr>
                <w:rFonts w:cstheme="minorHAnsi"/>
                <w:bCs/>
                <w:sz w:val="14"/>
                <w:szCs w:val="14"/>
              </w:rPr>
            </w:pPr>
            <w:r w:rsidRPr="00F21087">
              <w:rPr>
                <w:rFonts w:cstheme="minorHAnsi"/>
                <w:bCs/>
                <w:sz w:val="14"/>
                <w:szCs w:val="14"/>
              </w:rPr>
              <w:t>Les impacts des risques climatiques futurs ne sont pas pris en compte dans les processus de planification et partant l’évaluation des coûts d'investissements. Par conséquent, un renforcement des capacités des acteurs du secteur est nécessaire pour prendre en compte les risques climatiques liés à la gestion durable des ressources en eau et la mobilisation des ressources auprès de diverses fenêtres disponibles comme le FVC.</w:t>
            </w:r>
          </w:p>
        </w:tc>
      </w:tr>
    </w:tbl>
    <w:p w14:paraId="5A571F74" w14:textId="77777777" w:rsidR="008F2269" w:rsidRPr="00BD0EE0" w:rsidRDefault="008F2269" w:rsidP="008F2269">
      <w:pPr>
        <w:autoSpaceDE w:val="0"/>
        <w:adjustRightInd w:val="0"/>
        <w:ind w:left="360"/>
        <w:jc w:val="both"/>
        <w:rPr>
          <w:rFonts w:cs="Tahoma"/>
          <w:i/>
          <w:sz w:val="20"/>
          <w:szCs w:val="20"/>
        </w:rPr>
      </w:pPr>
    </w:p>
  </w:footnote>
  <w:footnote w:id="53">
    <w:p w14:paraId="5B5E832D" w14:textId="77777777" w:rsidR="008F2269" w:rsidRPr="004E34E9" w:rsidRDefault="008F2269" w:rsidP="008F2269">
      <w:pPr>
        <w:autoSpaceDE w:val="0"/>
        <w:autoSpaceDN w:val="0"/>
        <w:adjustRightInd w:val="0"/>
        <w:spacing w:after="0"/>
        <w:jc w:val="both"/>
        <w:rPr>
          <w:rFonts w:cstheme="minorHAnsi"/>
          <w:i/>
          <w:sz w:val="20"/>
          <w:szCs w:val="20"/>
        </w:rPr>
      </w:pPr>
      <w:r>
        <w:rPr>
          <w:rStyle w:val="Appelnotedebasdep"/>
          <w:b/>
        </w:rPr>
        <w:t xml:space="preserve"> </w:t>
      </w:r>
    </w:p>
  </w:footnote>
  <w:footnote w:id="54">
    <w:p w14:paraId="53DB2D9D" w14:textId="77777777" w:rsidR="008F2269" w:rsidRPr="008A6EC2" w:rsidRDefault="008F2269" w:rsidP="008F2269">
      <w:pPr>
        <w:autoSpaceDE w:val="0"/>
        <w:autoSpaceDN w:val="0"/>
        <w:adjustRightInd w:val="0"/>
        <w:spacing w:after="0"/>
        <w:jc w:val="both"/>
        <w:rPr>
          <w:rFonts w:cs="Tahoma"/>
          <w:i/>
          <w:sz w:val="20"/>
          <w:szCs w:val="20"/>
        </w:rPr>
      </w:pPr>
      <w:r>
        <w:rPr>
          <w:rStyle w:val="Appelnotedebasdep"/>
          <w:b/>
        </w:rPr>
        <w:t xml:space="preserve"> </w:t>
      </w:r>
      <w:r>
        <w:rPr>
          <w:rFonts w:cs="Tahoma"/>
          <w:i/>
          <w:sz w:val="20"/>
          <w:szCs w:val="20"/>
        </w:rPr>
        <w:t xml:space="preserve"> </w:t>
      </w:r>
    </w:p>
    <w:p w14:paraId="1A71B8D4" w14:textId="77777777" w:rsidR="008F2269" w:rsidRPr="008A6EC2" w:rsidRDefault="008F2269" w:rsidP="008F2269">
      <w:pPr>
        <w:pStyle w:val="Paragraphedeliste"/>
        <w:autoSpaceDE w:val="0"/>
        <w:adjustRightInd w:val="0"/>
        <w:jc w:val="both"/>
        <w:rPr>
          <w:rFonts w:cs="Tahoma"/>
          <w:i/>
          <w:sz w:val="20"/>
          <w:szCs w:val="20"/>
        </w:rPr>
      </w:pPr>
    </w:p>
  </w:footnote>
  <w:footnote w:id="55">
    <w:p w14:paraId="32C44264" w14:textId="77777777" w:rsidR="00A47DEE" w:rsidRPr="007B7C3E" w:rsidRDefault="00A47DEE" w:rsidP="00A47DEE">
      <w:pPr>
        <w:pStyle w:val="Notedebasdepage"/>
        <w:rPr>
          <w:rFonts w:ascii="Century Gothic" w:hAnsi="Century Gothic"/>
        </w:rPr>
      </w:pPr>
      <w:r>
        <w:rPr>
          <w:rStyle w:val="Appelnotedebasdep"/>
        </w:rPr>
        <w:footnoteRef/>
      </w:r>
      <w:r w:rsidRPr="0068540F">
        <w:rPr>
          <w:rFonts w:cs="Calibri"/>
          <w:sz w:val="16"/>
          <w:szCs w:val="18"/>
        </w:rPr>
        <w:t>Evaluation des changements climatiques en agriculture : étude de cas en Afrique de l’Ouest. Dr Benoit Sarr, Dr Seydou Traoré, Centre régional Agrhymet /CILSS, Niamey, Niger, Mai 2009. 13</w:t>
      </w:r>
      <w:r w:rsidRPr="0068540F">
        <w:rPr>
          <w:rFonts w:cs="Calibri"/>
          <w:sz w:val="16"/>
          <w:szCs w:val="18"/>
          <w:vertAlign w:val="superscript"/>
        </w:rPr>
        <w:t>éme</w:t>
      </w:r>
      <w:r w:rsidRPr="0068540F">
        <w:rPr>
          <w:rFonts w:cs="Calibri"/>
          <w:sz w:val="16"/>
          <w:szCs w:val="18"/>
        </w:rPr>
        <w:t xml:space="preserve"> école d’été de l’IEPF et du SIFEE, outils d’évaluations environnementales pour l’élaboration des plans d’adaptation aux changements climatiques : applications aux ressources en eau et au secteur agropastoral en Afrique.</w:t>
      </w:r>
    </w:p>
  </w:footnote>
  <w:footnote w:id="56">
    <w:p w14:paraId="2E33BD96" w14:textId="77777777" w:rsidR="00A47DEE" w:rsidRPr="00AB520C" w:rsidRDefault="00A47DEE" w:rsidP="00A47DEE"/>
    <w:p w14:paraId="11FCF35E" w14:textId="77777777" w:rsidR="00A47DEE" w:rsidRPr="00972CB3" w:rsidRDefault="00A47DEE" w:rsidP="00A47DEE">
      <w:pPr>
        <w:pStyle w:val="Notedebasdepage"/>
        <w:rPr>
          <w:szCs w:val="18"/>
        </w:rPr>
      </w:pPr>
    </w:p>
  </w:footnote>
  <w:footnote w:id="57">
    <w:p w14:paraId="301128C1" w14:textId="77777777" w:rsidR="00A47DEE" w:rsidRPr="00972CB3" w:rsidRDefault="00A47DEE" w:rsidP="00A47DEE">
      <w:pPr>
        <w:pStyle w:val="Notedebasdepage"/>
        <w:rPr>
          <w:szCs w:val="18"/>
        </w:rPr>
      </w:pPr>
      <w:r>
        <w:rPr>
          <w:rStyle w:val="Appelnotedebasdep"/>
          <w:szCs w:val="18"/>
        </w:rPr>
        <w:footnoteRef/>
      </w:r>
      <w:r w:rsidRPr="00972CB3">
        <w:rPr>
          <w:szCs w:val="18"/>
        </w:rPr>
        <w:t xml:space="preserve"> Un appui est en cours de la part de la FAO </w:t>
      </w:r>
    </w:p>
  </w:footnote>
  <w:footnote w:id="58">
    <w:p w14:paraId="48D4A228" w14:textId="77777777" w:rsidR="00BC6C8B" w:rsidRPr="00090C68" w:rsidRDefault="00BC6C8B" w:rsidP="00BC6C8B">
      <w:pPr>
        <w:pStyle w:val="Commentaire"/>
        <w:rPr>
          <w:lang w:val="fr-FR"/>
        </w:rPr>
      </w:pPr>
    </w:p>
    <w:p w14:paraId="205DBAEA" w14:textId="77777777" w:rsidR="00BC6C8B" w:rsidRPr="00866AAB" w:rsidRDefault="00BC6C8B" w:rsidP="00BC6C8B">
      <w:pPr>
        <w:pStyle w:val="Notedebasdepage"/>
      </w:pPr>
    </w:p>
  </w:footnote>
  <w:footnote w:id="59">
    <w:p w14:paraId="33CA387F" w14:textId="77777777" w:rsidR="004E687C" w:rsidRDefault="004E687C" w:rsidP="004E687C">
      <w:pPr>
        <w:pStyle w:val="Notedebasdepage"/>
      </w:pPr>
      <w:r>
        <w:rPr>
          <w:rStyle w:val="Appelnotedebasdep"/>
        </w:rPr>
        <w:footnoteRef/>
      </w:r>
      <w:r>
        <w:t xml:space="preserve"> </w:t>
      </w:r>
      <w:r>
        <w:rPr>
          <w:color w:val="000000"/>
          <w:sz w:val="19"/>
          <w:szCs w:val="19"/>
        </w:rPr>
        <w:t xml:space="preserve">On entend par « conditions météorologiques » les variations quotidiennes de paramètres tels que la température, la vitesse et la direction du vent, ainsi que l’occurrence ou l’absence de précipitations, à la surface de </w:t>
      </w:r>
      <w:smartTag w:uri="urn:schemas-microsoft-com:office:smarttags" w:element="PersonName">
        <w:smartTagPr>
          <w:attr w:name="ProductID" w:val="la Terre."/>
        </w:smartTagPr>
        <w:r>
          <w:rPr>
            <w:color w:val="000000"/>
            <w:sz w:val="19"/>
            <w:szCs w:val="19"/>
          </w:rPr>
          <w:t>la Terre.</w:t>
        </w:r>
      </w:smartTag>
    </w:p>
  </w:footnote>
  <w:footnote w:id="60">
    <w:p w14:paraId="6FE63A6C" w14:textId="77777777" w:rsidR="004E687C" w:rsidRDefault="004E687C" w:rsidP="004E687C">
      <w:pPr>
        <w:pStyle w:val="Notedebasdepage"/>
      </w:pPr>
      <w:r>
        <w:rPr>
          <w:rStyle w:val="Appelnotedebasdep"/>
        </w:rPr>
        <w:footnoteRef/>
      </w:r>
      <w:r>
        <w:t xml:space="preserve"> </w:t>
      </w:r>
      <w:r>
        <w:rPr>
          <w:color w:val="000000"/>
          <w:sz w:val="19"/>
          <w:szCs w:val="19"/>
        </w:rPr>
        <w:t>Le terme « climat » sert à décrire des conditions moyennées sur une période, habituellement de l’ordre de plusieurs décennies (c.-à-d. la période des normales climatologiques)</w:t>
      </w:r>
    </w:p>
  </w:footnote>
  <w:footnote w:id="61">
    <w:p w14:paraId="6E5C3CB7" w14:textId="77777777" w:rsidR="004E687C" w:rsidRDefault="004E687C" w:rsidP="004E687C">
      <w:pPr>
        <w:pStyle w:val="Notedebasdepage"/>
      </w:pPr>
      <w:r>
        <w:rPr>
          <w:rStyle w:val="Appelnotedebasdep"/>
        </w:rPr>
        <w:footnoteRef/>
      </w:r>
      <w:r>
        <w:t xml:space="preserve"> </w:t>
      </w:r>
      <w:r>
        <w:rPr>
          <w:color w:val="000000"/>
          <w:sz w:val="19"/>
          <w:szCs w:val="19"/>
        </w:rPr>
        <w:t>Normale climatologique : période de 30 ans (p. ex., 1941-1970, 1951-1980, 1961-1990) servent à définir le climat de la période en termes de moyenne, de variabilité et de valeurs extrêmes.</w:t>
      </w:r>
    </w:p>
  </w:footnote>
  <w:footnote w:id="62">
    <w:p w14:paraId="63921F81" w14:textId="77777777" w:rsidR="004E687C" w:rsidRDefault="004E687C" w:rsidP="004E687C">
      <w:pPr>
        <w:pStyle w:val="Notedebasdepage"/>
      </w:pPr>
      <w:r>
        <w:rPr>
          <w:rStyle w:val="Appelnotedebasdep"/>
        </w:rPr>
        <w:footnoteRef/>
      </w:r>
      <w:r>
        <w:t xml:space="preserve"> </w:t>
      </w:r>
      <w:r>
        <w:rPr>
          <w:color w:val="000000"/>
          <w:sz w:val="19"/>
          <w:szCs w:val="19"/>
        </w:rPr>
        <w:t>P. ex., l’El Niño/oscillation australe ou l’oscillation nord-atlantique, ainsi que des périodes prolongées de sécheresse, de chaleur ou de froid causées par des changements du rayonnement solaire ou l’activité volcanique</w:t>
      </w:r>
    </w:p>
  </w:footnote>
  <w:footnote w:id="63">
    <w:p w14:paraId="77CF8EC5" w14:textId="77777777" w:rsidR="004E687C" w:rsidRDefault="004E687C" w:rsidP="004E687C">
      <w:pPr>
        <w:pStyle w:val="Notedebasdepage"/>
      </w:pPr>
      <w:r>
        <w:rPr>
          <w:rStyle w:val="Appelnotedebasdep"/>
        </w:rPr>
        <w:footnoteRef/>
      </w:r>
      <w:r>
        <w:t xml:space="preserve"> </w:t>
      </w:r>
      <w:r>
        <w:rPr>
          <w:color w:val="000000"/>
          <w:sz w:val="19"/>
          <w:szCs w:val="19"/>
        </w:rPr>
        <w:t>Des décennies aux siècles</w:t>
      </w:r>
    </w:p>
  </w:footnote>
  <w:footnote w:id="64">
    <w:p w14:paraId="70A525E2" w14:textId="77777777" w:rsidR="004E687C" w:rsidRDefault="004E687C" w:rsidP="004E687C">
      <w:pPr>
        <w:pStyle w:val="Notedebasdepage"/>
      </w:pPr>
      <w:r>
        <w:rPr>
          <w:rStyle w:val="Appelnotedebasdep"/>
        </w:rPr>
        <w:footnoteRef/>
      </w:r>
      <w:r>
        <w:t xml:space="preserve">  Echelle planétaire   </w:t>
      </w:r>
    </w:p>
  </w:footnote>
  <w:footnote w:id="65">
    <w:p w14:paraId="0AAB34EF" w14:textId="77777777" w:rsidR="004E687C" w:rsidRDefault="004E687C" w:rsidP="004E687C">
      <w:pPr>
        <w:pStyle w:val="Notedebasdepage"/>
      </w:pPr>
      <w:r>
        <w:rPr>
          <w:rStyle w:val="Appelnotedebasdep"/>
        </w:rPr>
        <w:footnoteRef/>
      </w:r>
      <w:r>
        <w:t xml:space="preserve"> </w:t>
      </w:r>
      <w:r>
        <w:rPr>
          <w:color w:val="000000"/>
          <w:sz w:val="19"/>
          <w:szCs w:val="19"/>
        </w:rPr>
        <w:t xml:space="preserve">Les changements du rayonnement solaire, de l’orbite de </w:t>
      </w:r>
      <w:smartTag w:uri="urn:schemas-microsoft-com:office:smarttags" w:element="PersonName">
        <w:smartTagPr>
          <w:attr w:name="ProductID" w:val="la Terre"/>
        </w:smartTagPr>
        <w:r>
          <w:rPr>
            <w:color w:val="000000"/>
            <w:sz w:val="19"/>
            <w:szCs w:val="19"/>
          </w:rPr>
          <w:t>la Terre</w:t>
        </w:r>
      </w:smartTag>
      <w:r>
        <w:rPr>
          <w:color w:val="000000"/>
          <w:sz w:val="19"/>
          <w:szCs w:val="19"/>
        </w:rPr>
        <w:t>…</w:t>
      </w:r>
    </w:p>
  </w:footnote>
  <w:footnote w:id="66">
    <w:p w14:paraId="651A629A" w14:textId="77777777" w:rsidR="004E687C" w:rsidRDefault="004E687C" w:rsidP="004E687C">
      <w:pPr>
        <w:pStyle w:val="Notedebasdepage"/>
      </w:pPr>
      <w:r>
        <w:rPr>
          <w:rStyle w:val="Appelnotedebasdep"/>
        </w:rPr>
        <w:footnoteRef/>
      </w:r>
      <w:r>
        <w:t xml:space="preserve"> </w:t>
      </w:r>
      <w:r>
        <w:rPr>
          <w:color w:val="000000"/>
          <w:sz w:val="19"/>
          <w:szCs w:val="19"/>
        </w:rPr>
        <w:t>La composition gazeuse de l’atmosphère terrestre et de la composition de sa surface, par exemple la couverture végétale…</w:t>
      </w:r>
    </w:p>
  </w:footnote>
  <w:footnote w:id="67">
    <w:p w14:paraId="4045AD79" w14:textId="77777777" w:rsidR="004E687C" w:rsidRDefault="004E687C" w:rsidP="004E687C">
      <w:pPr>
        <w:pStyle w:val="Notedebasdepage"/>
      </w:pPr>
      <w:r>
        <w:rPr>
          <w:rStyle w:val="Appelnotedebasdep"/>
        </w:rPr>
        <w:footnoteRef/>
      </w:r>
      <w:r>
        <w:t xml:space="preserve">  </w:t>
      </w:r>
      <w:r w:rsidRPr="00287A84">
        <w:rPr>
          <w:sz w:val="18"/>
          <w:szCs w:val="18"/>
        </w:rPr>
        <w:t>GDA/ Yves PACCOU, Le Recensement des Nomades Mauritaniens1979</w:t>
      </w:r>
    </w:p>
  </w:footnote>
  <w:footnote w:id="68">
    <w:p w14:paraId="4C1CDAA4" w14:textId="77777777" w:rsidR="004E687C" w:rsidRPr="00287A84" w:rsidRDefault="004E687C" w:rsidP="004E687C">
      <w:pPr>
        <w:pStyle w:val="Notedebasdepage"/>
        <w:rPr>
          <w:sz w:val="18"/>
          <w:szCs w:val="18"/>
        </w:rPr>
      </w:pPr>
      <w:r>
        <w:rPr>
          <w:rStyle w:val="Appelnotedebasdep"/>
        </w:rPr>
        <w:footnoteRef/>
      </w:r>
      <w:r>
        <w:t xml:space="preserve">  </w:t>
      </w:r>
      <w:r w:rsidRPr="00287A84">
        <w:rPr>
          <w:sz w:val="18"/>
          <w:szCs w:val="18"/>
        </w:rPr>
        <w:t>OIM/UNHCR/ Etude sur la vulnérabilité de la jeunesse des communautés dans les zones frontalières du Hodh Chargui en Mauritanie 2021</w:t>
      </w:r>
      <w:r>
        <w:rPr>
          <w:sz w:val="18"/>
          <w:szCs w:val="18"/>
        </w:rPr>
        <w:t>.</w:t>
      </w:r>
    </w:p>
  </w:footnote>
  <w:footnote w:id="69">
    <w:p w14:paraId="09FC9DB3" w14:textId="77777777" w:rsidR="004E687C" w:rsidRDefault="004E687C" w:rsidP="004E687C">
      <w:pPr>
        <w:pStyle w:val="Notedebasdepage"/>
      </w:pPr>
      <w:r>
        <w:rPr>
          <w:rStyle w:val="Appelnotedebasdep"/>
        </w:rPr>
        <w:footnoteRef/>
      </w:r>
      <w:r>
        <w:t xml:space="preserve"> FAO, Rapport FRA 2020, Mauritanie, </w:t>
      </w:r>
      <w:hyperlink r:id="rId4" w:history="1">
        <w:r w:rsidRPr="009E5164">
          <w:rPr>
            <w:rStyle w:val="Lienhypertexte"/>
          </w:rPr>
          <w:t>https://openknowledge.fao.org/server/api/core/bitstreams/0e449fc1-35cb-48be-b018-52c86fc6344d/content</w:t>
        </w:r>
      </w:hyperlink>
    </w:p>
  </w:footnote>
  <w:footnote w:id="70">
    <w:p w14:paraId="3B3A8085" w14:textId="77777777" w:rsidR="004E687C" w:rsidRPr="0030067E" w:rsidRDefault="004E687C" w:rsidP="004E687C">
      <w:pPr>
        <w:pStyle w:val="Notedebasdepage"/>
      </w:pPr>
      <w:r w:rsidRPr="0030067E">
        <w:rPr>
          <w:rStyle w:val="Appelnotedebasdep"/>
        </w:rPr>
        <w:footnoteRef/>
      </w:r>
      <w:r w:rsidRPr="0030067E">
        <w:t xml:space="preserve"> </w:t>
      </w:r>
      <w:r>
        <w:rPr>
          <w:rFonts w:ascii="Times" w:hAnsi="Times" w:cs="Times"/>
        </w:rPr>
        <w:t xml:space="preserve">Recommandation du GIEC </w:t>
      </w:r>
      <w:r w:rsidRPr="0030067E">
        <w:rPr>
          <w:rFonts w:ascii="Times" w:hAnsi="Times" w:cs="Times"/>
          <w:i/>
          <w:iCs/>
        </w:rPr>
        <w:t>" les utilisateurs devraient concevoir et appliquer divers scénarios d'évaluation des répercussions, lorsque ces scénarios couvrent une gamme de climats futurs possibles, plutôt que de concevoir un scénario unique fondé sur leur meilleure estimation ".</w:t>
      </w:r>
    </w:p>
  </w:footnote>
  <w:footnote w:id="71">
    <w:p w14:paraId="45C7B721" w14:textId="77777777" w:rsidR="00412F22" w:rsidRPr="00A3348F" w:rsidRDefault="00412F22" w:rsidP="00412F22">
      <w:pPr>
        <w:pStyle w:val="Notedebasdepage"/>
        <w:ind w:right="854"/>
        <w:jc w:val="both"/>
      </w:pPr>
      <w:r w:rsidRPr="00A3348F">
        <w:rPr>
          <w:rStyle w:val="Appelnotedebasdep"/>
        </w:rPr>
        <w:footnoteRef/>
      </w:r>
      <w:r w:rsidRPr="00A3348F">
        <w:t xml:space="preserve"> </w:t>
      </w:r>
      <w:r w:rsidRPr="00A3348F">
        <w:rPr>
          <w:rFonts w:ascii="Arial" w:hAnsi="Arial" w:cs="Arial"/>
          <w:sz w:val="19"/>
          <w:szCs w:val="19"/>
        </w:rPr>
        <w:t>Un monde très hétérogène. Le thème sous-jacent est celui du raffermissement des identités culturelles régionales, avec l’accent sur les valeurs familiales et les traditions locales, une forte croissance de la population et moins de préoccupations pour le développement économique rapide</w:t>
      </w:r>
    </w:p>
  </w:footnote>
  <w:footnote w:id="72">
    <w:p w14:paraId="19C94FAC" w14:textId="77777777" w:rsidR="00412F22" w:rsidRPr="00A3348F" w:rsidRDefault="00412F22" w:rsidP="00412F22">
      <w:pPr>
        <w:pStyle w:val="Notedebasdepage"/>
        <w:ind w:right="854"/>
        <w:jc w:val="both"/>
      </w:pPr>
      <w:r w:rsidRPr="00A3348F">
        <w:rPr>
          <w:rStyle w:val="Appelnotedebasdep"/>
        </w:rPr>
        <w:footnoteRef/>
      </w:r>
      <w:r w:rsidRPr="00A3348F">
        <w:t xml:space="preserve"> </w:t>
      </w:r>
      <w:r w:rsidRPr="00A3348F">
        <w:rPr>
          <w:rFonts w:ascii="Arial" w:hAnsi="Arial" w:cs="Arial"/>
          <w:sz w:val="19"/>
          <w:szCs w:val="19"/>
        </w:rPr>
        <w:t>Monde où l’accent est mis sur des solutions locales dans le sens de la durabilité économique, sociale et environnementale. C’est un monde hétérogène où les changements technologiques sont moins rapides et plus diversifiés, mais où on met beaucoup l’accent sur l’initiative communautaire et l’innovation sociale pour trouver des solutions locales, plutôt que globales.</w:t>
      </w:r>
    </w:p>
  </w:footnote>
  <w:footnote w:id="73">
    <w:p w14:paraId="5B02356D" w14:textId="77777777" w:rsidR="00412F22" w:rsidRPr="00EE7E20" w:rsidRDefault="00412F22" w:rsidP="00412F22">
      <w:pPr>
        <w:pStyle w:val="Notedebasdepage"/>
      </w:pPr>
      <w:r>
        <w:rPr>
          <w:rStyle w:val="Appelnotedebasdep"/>
        </w:rPr>
        <w:footnoteRef/>
      </w:r>
      <w:r>
        <w:t xml:space="preserve"> Profil de risque climatique : Mauritanie, Ministère fédéral allemand de la coopération économique et GIZ, 2020</w:t>
      </w:r>
    </w:p>
  </w:footnote>
  <w:footnote w:id="74">
    <w:p w14:paraId="7EC87C6C" w14:textId="77777777" w:rsidR="00412F22" w:rsidRPr="00EE7E20" w:rsidRDefault="00412F22" w:rsidP="00412F22">
      <w:pPr>
        <w:pStyle w:val="Notedebasdepage"/>
      </w:pPr>
      <w:r>
        <w:rPr>
          <w:rStyle w:val="Appelnotedebasdep"/>
        </w:rPr>
        <w:footnoteRef/>
      </w:r>
      <w:r>
        <w:t xml:space="preserve"> </w:t>
      </w:r>
      <w:r w:rsidRPr="00443B68">
        <w:rPr>
          <w:color w:val="575756"/>
          <w:spacing w:val="-8"/>
        </w:rPr>
        <w:t>Représentative</w:t>
      </w:r>
      <w:r w:rsidRPr="00800DA3">
        <w:rPr>
          <w:color w:val="575756"/>
          <w:spacing w:val="-8"/>
        </w:rPr>
        <w:t xml:space="preserve"> </w:t>
      </w:r>
      <w:r w:rsidRPr="00800DA3">
        <w:rPr>
          <w:color w:val="575756"/>
          <w:w w:val="90"/>
        </w:rPr>
        <w:t>Concentration</w:t>
      </w:r>
      <w:r w:rsidRPr="00800DA3">
        <w:rPr>
          <w:color w:val="575756"/>
          <w:spacing w:val="-4"/>
          <w:w w:val="90"/>
        </w:rPr>
        <w:t xml:space="preserve"> </w:t>
      </w:r>
      <w:r w:rsidRPr="00A128BE">
        <w:rPr>
          <w:color w:val="575756"/>
          <w:w w:val="90"/>
        </w:rPr>
        <w:t>Pathways</w:t>
      </w:r>
      <w:r>
        <w:rPr>
          <w:color w:val="575756"/>
          <w:w w:val="90"/>
        </w:rPr>
        <w:t xml:space="preserve"> (RCP) </w:t>
      </w:r>
      <w:r>
        <w:rPr>
          <w:color w:val="575756"/>
          <w:spacing w:val="-9"/>
          <w:w w:val="90"/>
        </w:rPr>
        <w:t xml:space="preserve">/ </w:t>
      </w:r>
      <w:r w:rsidRPr="00800DA3">
        <w:rPr>
          <w:color w:val="575756"/>
          <w:w w:val="90"/>
        </w:rPr>
        <w:t>Profils</w:t>
      </w:r>
      <w:r w:rsidRPr="00800DA3">
        <w:rPr>
          <w:color w:val="575756"/>
          <w:spacing w:val="-4"/>
          <w:w w:val="90"/>
        </w:rPr>
        <w:t xml:space="preserve"> </w:t>
      </w:r>
      <w:r w:rsidRPr="00800DA3">
        <w:rPr>
          <w:color w:val="575756"/>
          <w:w w:val="90"/>
        </w:rPr>
        <w:t>représentatifs</w:t>
      </w:r>
      <w:r w:rsidRPr="00800DA3">
        <w:rPr>
          <w:color w:val="575756"/>
          <w:spacing w:val="-4"/>
          <w:w w:val="90"/>
        </w:rPr>
        <w:t xml:space="preserve"> </w:t>
      </w:r>
      <w:r w:rsidRPr="00800DA3">
        <w:rPr>
          <w:color w:val="575756"/>
          <w:w w:val="90"/>
        </w:rPr>
        <w:t>d'évolu</w:t>
      </w:r>
      <w:r w:rsidRPr="00800DA3">
        <w:rPr>
          <w:color w:val="575756"/>
          <w:spacing w:val="-2"/>
          <w:w w:val="90"/>
        </w:rPr>
        <w:t>tion</w:t>
      </w:r>
      <w:r w:rsidRPr="00800DA3">
        <w:rPr>
          <w:color w:val="575756"/>
          <w:spacing w:val="-4"/>
          <w:w w:val="90"/>
        </w:rPr>
        <w:t xml:space="preserve"> </w:t>
      </w:r>
      <w:r w:rsidRPr="00800DA3">
        <w:rPr>
          <w:color w:val="575756"/>
          <w:spacing w:val="-2"/>
          <w:w w:val="90"/>
        </w:rPr>
        <w:t>de</w:t>
      </w:r>
      <w:r w:rsidRPr="00800DA3">
        <w:rPr>
          <w:color w:val="575756"/>
          <w:spacing w:val="-4"/>
          <w:w w:val="90"/>
        </w:rPr>
        <w:t xml:space="preserve"> </w:t>
      </w:r>
      <w:r w:rsidRPr="00800DA3">
        <w:rPr>
          <w:color w:val="575756"/>
          <w:spacing w:val="-2"/>
          <w:w w:val="90"/>
        </w:rPr>
        <w:t>concentration</w:t>
      </w:r>
      <w:r>
        <w:rPr>
          <w:color w:val="575756"/>
          <w:spacing w:val="-2"/>
          <w:w w:val="90"/>
        </w:rPr>
        <w:t xml:space="preserve">, en français. RCP2.6+ (émissions réduites), RCP6.0 (émissions moyennes à élevées), </w:t>
      </w:r>
      <w:r w:rsidRPr="0016301A">
        <w:rPr>
          <w:rFonts w:eastAsia="Trebuchet MS" w:cstheme="minorHAnsi"/>
          <w:color w:val="000000" w:themeColor="text1"/>
        </w:rPr>
        <w:t>conformément à l’accord de Paris</w:t>
      </w:r>
      <w:r>
        <w:rPr>
          <w:rFonts w:eastAsia="Trebuchet MS" w:cstheme="minorHAnsi"/>
          <w:color w:val="000000" w:themeColor="text1"/>
        </w:rPr>
        <w:t>.</w:t>
      </w:r>
    </w:p>
  </w:footnote>
  <w:footnote w:id="75">
    <w:p w14:paraId="6C5A35AA" w14:textId="77777777" w:rsidR="00412F22" w:rsidRPr="0054526F" w:rsidRDefault="00412F22" w:rsidP="00412F22">
      <w:pPr>
        <w:pStyle w:val="Notedebasdepage"/>
      </w:pPr>
      <w:r>
        <w:rPr>
          <w:rStyle w:val="Appelnotedebasdep"/>
        </w:rPr>
        <w:footnoteRef/>
      </w:r>
      <w:r>
        <w:t xml:space="preserve"> </w:t>
      </w:r>
      <w:r w:rsidRPr="0054526F">
        <w:rPr>
          <w:color w:val="575756"/>
          <w:w w:val="90"/>
        </w:rPr>
        <w:t xml:space="preserve">La "Notre Dame Global Adaptation Initiative" (ND-GAIN) est </w:t>
      </w:r>
      <w:proofErr w:type="gramStart"/>
      <w:r w:rsidRPr="0054526F">
        <w:rPr>
          <w:color w:val="575756"/>
          <w:w w:val="90"/>
        </w:rPr>
        <w:t>affiliée</w:t>
      </w:r>
      <w:proofErr w:type="gramEnd"/>
      <w:r w:rsidRPr="0054526F">
        <w:rPr>
          <w:color w:val="575756"/>
          <w:w w:val="90"/>
        </w:rPr>
        <w:t xml:space="preserve"> à l'Université de Notre Dame, une université privée de recherche de l’Indiana, aux États-Unis.</w:t>
      </w:r>
    </w:p>
  </w:footnote>
  <w:footnote w:id="76">
    <w:p w14:paraId="5BC9B377" w14:textId="77777777" w:rsidR="00412F22" w:rsidRPr="0054526F" w:rsidRDefault="00412F22" w:rsidP="00412F22">
      <w:pPr>
        <w:pStyle w:val="Notedebasdepage"/>
      </w:pPr>
      <w:r w:rsidRPr="0054526F">
        <w:rPr>
          <w:rStyle w:val="Appelnotedebasdep"/>
        </w:rPr>
        <w:footnoteRef/>
      </w:r>
      <w:r w:rsidRPr="0054526F">
        <w:t xml:space="preserve"> </w:t>
      </w:r>
      <w:r w:rsidRPr="0054526F">
        <w:rPr>
          <w:color w:val="575756"/>
          <w:spacing w:val="-8"/>
        </w:rPr>
        <w:t xml:space="preserve">Representative </w:t>
      </w:r>
      <w:r w:rsidRPr="0054526F">
        <w:rPr>
          <w:color w:val="575756"/>
          <w:w w:val="90"/>
        </w:rPr>
        <w:t>Concentration</w:t>
      </w:r>
      <w:r w:rsidRPr="0054526F">
        <w:rPr>
          <w:color w:val="575756"/>
          <w:spacing w:val="-4"/>
          <w:w w:val="90"/>
        </w:rPr>
        <w:t xml:space="preserve"> </w:t>
      </w:r>
      <w:r w:rsidRPr="0054526F">
        <w:rPr>
          <w:color w:val="575756"/>
          <w:w w:val="90"/>
        </w:rPr>
        <w:t xml:space="preserve">Pathways (RCP) </w:t>
      </w:r>
      <w:r w:rsidRPr="0054526F">
        <w:rPr>
          <w:color w:val="575756"/>
          <w:spacing w:val="-9"/>
          <w:w w:val="90"/>
        </w:rPr>
        <w:t xml:space="preserve">/ </w:t>
      </w:r>
      <w:r w:rsidRPr="0054526F">
        <w:rPr>
          <w:color w:val="575756"/>
          <w:w w:val="90"/>
        </w:rPr>
        <w:t>Profils</w:t>
      </w:r>
      <w:r w:rsidRPr="0054526F">
        <w:rPr>
          <w:color w:val="575756"/>
          <w:spacing w:val="-4"/>
          <w:w w:val="90"/>
        </w:rPr>
        <w:t xml:space="preserve"> </w:t>
      </w:r>
      <w:r w:rsidRPr="0054526F">
        <w:rPr>
          <w:color w:val="575756"/>
          <w:w w:val="90"/>
        </w:rPr>
        <w:t>représentatifs</w:t>
      </w:r>
      <w:r w:rsidRPr="0054526F">
        <w:rPr>
          <w:color w:val="575756"/>
          <w:spacing w:val="-4"/>
          <w:w w:val="90"/>
        </w:rPr>
        <w:t xml:space="preserve"> </w:t>
      </w:r>
      <w:r w:rsidRPr="0054526F">
        <w:rPr>
          <w:color w:val="575756"/>
          <w:w w:val="90"/>
        </w:rPr>
        <w:t>d'évolu</w:t>
      </w:r>
      <w:r w:rsidRPr="0054526F">
        <w:rPr>
          <w:color w:val="575756"/>
          <w:spacing w:val="-2"/>
          <w:w w:val="90"/>
        </w:rPr>
        <w:t>tion</w:t>
      </w:r>
      <w:r w:rsidRPr="0054526F">
        <w:rPr>
          <w:color w:val="575756"/>
          <w:spacing w:val="-4"/>
          <w:w w:val="90"/>
        </w:rPr>
        <w:t xml:space="preserve"> </w:t>
      </w:r>
      <w:r w:rsidRPr="0054526F">
        <w:rPr>
          <w:color w:val="575756"/>
          <w:spacing w:val="-2"/>
          <w:w w:val="90"/>
        </w:rPr>
        <w:t>de</w:t>
      </w:r>
      <w:r w:rsidRPr="0054526F">
        <w:rPr>
          <w:color w:val="575756"/>
          <w:spacing w:val="-4"/>
          <w:w w:val="90"/>
        </w:rPr>
        <w:t xml:space="preserve"> </w:t>
      </w:r>
      <w:r w:rsidRPr="0054526F">
        <w:rPr>
          <w:color w:val="575756"/>
          <w:spacing w:val="-2"/>
          <w:w w:val="90"/>
        </w:rPr>
        <w:t>concentration, en français</w:t>
      </w:r>
    </w:p>
  </w:footnote>
  <w:footnote w:id="77">
    <w:p w14:paraId="63F6CE0B" w14:textId="77777777" w:rsidR="00412F22" w:rsidRPr="009546EB" w:rsidRDefault="00412F22" w:rsidP="00412F22">
      <w:pPr>
        <w:pStyle w:val="Notedebasdepage"/>
      </w:pPr>
      <w:r>
        <w:rPr>
          <w:rStyle w:val="Appelnotedebasdep"/>
        </w:rPr>
        <w:footnoteRef/>
      </w:r>
      <w:r>
        <w:t xml:space="preserve"> </w:t>
      </w:r>
      <w:r w:rsidRPr="0054526F">
        <w:t>Profil de risque climatique : Mauritanie, Ministère fédéral allemand de la coopération économique et GIZ, 2020</w:t>
      </w:r>
    </w:p>
  </w:footnote>
  <w:footnote w:id="78">
    <w:p w14:paraId="0E4B78D4" w14:textId="77777777" w:rsidR="00412F22" w:rsidRDefault="00412F22" w:rsidP="00412F22">
      <w:pPr>
        <w:pStyle w:val="Notedebasdepage"/>
      </w:pPr>
      <w:r>
        <w:rPr>
          <w:rStyle w:val="Appelnotedebasdep"/>
        </w:rPr>
        <w:footnoteRef/>
      </w:r>
      <w:r>
        <w:t xml:space="preserve"> Profil de risque climatique : Mauritanie, Ministère fédéral allemand de la coopération économique et GIZ, 2020</w:t>
      </w:r>
    </w:p>
  </w:footnote>
  <w:footnote w:id="79">
    <w:p w14:paraId="00672806" w14:textId="77777777" w:rsidR="00412F22" w:rsidRDefault="00412F22" w:rsidP="00412F22">
      <w:pPr>
        <w:pStyle w:val="Notedebasdepage"/>
      </w:pPr>
      <w:r>
        <w:rPr>
          <w:rStyle w:val="Appelnotedebasdep"/>
        </w:rPr>
        <w:footnoteRef/>
      </w:r>
      <w:r>
        <w:t xml:space="preserve"> Profil de risque climatique : Mauritanie, Ministère fédéral allemand de la coopération économique et GIZ, 2020</w:t>
      </w:r>
    </w:p>
  </w:footnote>
  <w:footnote w:id="80">
    <w:p w14:paraId="10771AD7" w14:textId="77777777" w:rsidR="00412F22" w:rsidRDefault="00412F22" w:rsidP="00412F22">
      <w:pPr>
        <w:pStyle w:val="Notedebasdepage"/>
        <w:ind w:right="-330"/>
      </w:pPr>
      <w:r>
        <w:rPr>
          <w:rStyle w:val="Appelnotedebasdep"/>
        </w:rPr>
        <w:footnoteRef/>
      </w:r>
      <w:r>
        <w:t xml:space="preserve"> Profil de risque climatique : Mauritanie, Ministère fédéral allemand de la coopération économique et GIZ,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582088"/>
      <w:docPartObj>
        <w:docPartGallery w:val="Page Numbers (Top of Page)"/>
        <w:docPartUnique/>
      </w:docPartObj>
    </w:sdtPr>
    <w:sdtContent>
      <w:p w14:paraId="17CC59DC" w14:textId="77777777" w:rsidR="008F2269" w:rsidRDefault="008F2269" w:rsidP="00876AE3">
        <w:pPr>
          <w:pStyle w:val="En-tte"/>
          <w:jc w:val="right"/>
        </w:pPr>
      </w:p>
      <w:p w14:paraId="15A01348" w14:textId="77777777" w:rsidR="008F2269" w:rsidRDefault="00000000" w:rsidP="00876AE3">
        <w:pPr>
          <w:pStyle w:val="En-tte"/>
          <w:jc w:val="center"/>
        </w:pPr>
      </w:p>
    </w:sdtContent>
  </w:sdt>
  <w:p w14:paraId="39107A23" w14:textId="77777777" w:rsidR="008F2269" w:rsidRDefault="008F226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633557"/>
      <w:docPartObj>
        <w:docPartGallery w:val="Page Numbers (Top of Page)"/>
        <w:docPartUnique/>
      </w:docPartObj>
    </w:sdtPr>
    <w:sdtContent>
      <w:p w14:paraId="6E311947" w14:textId="77777777" w:rsidR="008F2269" w:rsidRDefault="008F2269">
        <w:pPr>
          <w:pStyle w:val="En-tte"/>
          <w:jc w:val="right"/>
        </w:pPr>
        <w:r>
          <w:fldChar w:fldCharType="begin"/>
        </w:r>
        <w:r>
          <w:instrText>PAGE   \* MERGEFORMAT</w:instrText>
        </w:r>
        <w:r>
          <w:fldChar w:fldCharType="separate"/>
        </w:r>
        <w:r>
          <w:rPr>
            <w:noProof/>
          </w:rPr>
          <w:t>55</w:t>
        </w:r>
        <w:r>
          <w:fldChar w:fldCharType="end"/>
        </w:r>
      </w:p>
    </w:sdtContent>
  </w:sdt>
  <w:p w14:paraId="6CA3A822" w14:textId="77777777" w:rsidR="008F2269" w:rsidRDefault="008F226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53228" w14:textId="77777777" w:rsidR="00A47DEE" w:rsidRDefault="00A47DEE" w:rsidP="00F479B7">
    <w:pPr>
      <w:pStyle w:val="En-tte"/>
      <w:jc w:val="center"/>
    </w:pPr>
  </w:p>
  <w:p w14:paraId="6871EB4A" w14:textId="77777777" w:rsidR="00A47DEE" w:rsidRDefault="00A47DEE">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B588" w14:textId="77777777" w:rsidR="00A47DEE" w:rsidRDefault="00A47DEE" w:rsidP="00F479B7">
    <w:pPr>
      <w:pStyle w:val="En-tte"/>
      <w:jc w:val="center"/>
    </w:pPr>
  </w:p>
  <w:p w14:paraId="4CD8FE0B" w14:textId="77777777" w:rsidR="00A47DEE" w:rsidRDefault="00A47DE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B804BE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9248279" o:spid="_x0000_i1025" type="#_x0000_t75" style="width:5.5pt;height:5.5pt;visibility:visible;mso-wrap-style:square">
            <v:imagedata r:id="rId1" o:title=""/>
            <o:lock v:ext="edit" aspectratio="f"/>
          </v:shape>
        </w:pict>
      </mc:Choice>
      <mc:Fallback>
        <w:drawing>
          <wp:inline distT="0" distB="0" distL="0" distR="0" wp14:anchorId="7CD575DC" wp14:editId="241780FE">
            <wp:extent cx="69850" cy="69850"/>
            <wp:effectExtent l="0" t="0" r="0" b="0"/>
            <wp:docPr id="329248279" name="Image 329248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850" cy="69850"/>
                    </a:xfrm>
                    <a:prstGeom prst="rect">
                      <a:avLst/>
                    </a:prstGeom>
                    <a:noFill/>
                    <a:ln>
                      <a:noFill/>
                    </a:ln>
                  </pic:spPr>
                </pic:pic>
              </a:graphicData>
            </a:graphic>
          </wp:inline>
        </w:drawing>
      </mc:Fallback>
    </mc:AlternateContent>
  </w:numPicBullet>
  <w:numPicBullet w:numPicBulletId="1">
    <mc:AlternateContent>
      <mc:Choice Requires="v">
        <w:pict>
          <v:shape w14:anchorId="1E6B2A57" id="Image 2137216249" o:spid="_x0000_i1025" type="#_x0000_t75" style="width:9pt;height:9pt;visibility:visible;mso-wrap-style:square">
            <v:imagedata r:id="rId3" o:title=""/>
          </v:shape>
        </w:pict>
      </mc:Choice>
      <mc:Fallback>
        <w:drawing>
          <wp:inline distT="0" distB="0" distL="0" distR="0" wp14:anchorId="34BC64B8" wp14:editId="3A70B585">
            <wp:extent cx="114300" cy="114300"/>
            <wp:effectExtent l="0" t="0" r="0" b="0"/>
            <wp:docPr id="2137216249" name="Image 2137216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mc:Fallback>
    </mc:AlternateContent>
  </w:numPicBullet>
  <w:abstractNum w:abstractNumId="0" w15:restartNumberingAfterBreak="0">
    <w:nsid w:val="FFFFFF82"/>
    <w:multiLevelType w:val="singleLevel"/>
    <w:tmpl w:val="66542520"/>
    <w:lvl w:ilvl="0">
      <w:start w:val="1"/>
      <w:numFmt w:val="bullet"/>
      <w:pStyle w:val="Listepuces3"/>
      <w:lvlText w:val=""/>
      <w:lvlJc w:val="left"/>
      <w:pPr>
        <w:tabs>
          <w:tab w:val="num" w:pos="960"/>
        </w:tabs>
        <w:ind w:left="960" w:hanging="360"/>
      </w:pPr>
      <w:rPr>
        <w:rFonts w:ascii="Symbol" w:hAnsi="Symbol" w:hint="default"/>
      </w:rPr>
    </w:lvl>
  </w:abstractNum>
  <w:abstractNum w:abstractNumId="1" w15:restartNumberingAfterBreak="0">
    <w:nsid w:val="FFFFFF88"/>
    <w:multiLevelType w:val="singleLevel"/>
    <w:tmpl w:val="15D26FA2"/>
    <w:lvl w:ilvl="0">
      <w:start w:val="1"/>
      <w:numFmt w:val="decimal"/>
      <w:pStyle w:val="Listenumros"/>
      <w:lvlText w:val="%1."/>
      <w:lvlJc w:val="left"/>
      <w:pPr>
        <w:tabs>
          <w:tab w:val="num" w:pos="360"/>
        </w:tabs>
        <w:ind w:left="360" w:hanging="360"/>
      </w:pPr>
    </w:lvl>
  </w:abstractNum>
  <w:abstractNum w:abstractNumId="2" w15:restartNumberingAfterBreak="0">
    <w:nsid w:val="00000025"/>
    <w:multiLevelType w:val="multilevel"/>
    <w:tmpl w:val="E758D3EC"/>
    <w:lvl w:ilvl="0">
      <w:start w:val="1"/>
      <w:numFmt w:val="bullet"/>
      <w:lvlText w:val="Ø"/>
      <w:lvlJc w:val="left"/>
      <w:pPr>
        <w:tabs>
          <w:tab w:val="left" w:pos="288"/>
        </w:tabs>
        <w:ind w:left="720" w:firstLine="0"/>
      </w:pPr>
      <w:rPr>
        <w:rFonts w:ascii="Wingdings" w:eastAsia="Wingdings" w:hAnsi="Wingdings"/>
        <w:color w:val="000000"/>
        <w:spacing w:val="0"/>
        <w:w w:val="100"/>
        <w:sz w:val="17"/>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7C4A71"/>
    <w:multiLevelType w:val="hybridMultilevel"/>
    <w:tmpl w:val="5E009A1A"/>
    <w:numStyleLink w:val="ImportedStyle1"/>
  </w:abstractNum>
  <w:abstractNum w:abstractNumId="4" w15:restartNumberingAfterBreak="0">
    <w:nsid w:val="008341DC"/>
    <w:multiLevelType w:val="hybridMultilevel"/>
    <w:tmpl w:val="C5BAEB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0D81456"/>
    <w:multiLevelType w:val="multilevel"/>
    <w:tmpl w:val="AF18BDC6"/>
    <w:lvl w:ilvl="0">
      <w:start w:val="1"/>
      <w:numFmt w:val="decimal"/>
      <w:lvlText w:val="%1."/>
      <w:lvlJc w:val="left"/>
      <w:pPr>
        <w:ind w:left="569" w:hanging="428"/>
      </w:pPr>
      <w:rPr>
        <w:rFonts w:ascii="Calibri Light" w:eastAsia="Calibri Light" w:hAnsi="Calibri Light" w:cs="Calibri Light" w:hint="default"/>
        <w:b w:val="0"/>
        <w:bCs w:val="0"/>
        <w:i w:val="0"/>
        <w:iCs w:val="0"/>
        <w:color w:val="053939"/>
        <w:spacing w:val="0"/>
        <w:w w:val="100"/>
        <w:sz w:val="32"/>
        <w:szCs w:val="32"/>
        <w:lang w:val="fr-FR" w:eastAsia="en-US" w:bidi="ar-SA"/>
      </w:rPr>
    </w:lvl>
    <w:lvl w:ilvl="1">
      <w:start w:val="1"/>
      <w:numFmt w:val="decimal"/>
      <w:lvlText w:val="%1.%2."/>
      <w:lvlJc w:val="left"/>
      <w:pPr>
        <w:ind w:left="934" w:hanging="433"/>
      </w:pPr>
      <w:rPr>
        <w:rFonts w:ascii="Calibri Light" w:eastAsia="Calibri Light" w:hAnsi="Calibri Light" w:cs="Calibri Light" w:hint="default"/>
        <w:b w:val="0"/>
        <w:bCs w:val="0"/>
        <w:i w:val="0"/>
        <w:iCs w:val="0"/>
        <w:spacing w:val="-2"/>
        <w:w w:val="100"/>
        <w:sz w:val="22"/>
        <w:szCs w:val="22"/>
        <w:lang w:val="fr-FR" w:eastAsia="en-US" w:bidi="ar-SA"/>
      </w:rPr>
    </w:lvl>
    <w:lvl w:ilvl="2">
      <w:numFmt w:val="bullet"/>
      <w:lvlText w:val="•"/>
      <w:lvlJc w:val="left"/>
      <w:pPr>
        <w:ind w:left="940" w:hanging="433"/>
      </w:pPr>
      <w:rPr>
        <w:rFonts w:hint="default"/>
        <w:lang w:val="fr-FR" w:eastAsia="en-US" w:bidi="ar-SA"/>
      </w:rPr>
    </w:lvl>
    <w:lvl w:ilvl="3">
      <w:numFmt w:val="bullet"/>
      <w:lvlText w:val="•"/>
      <w:lvlJc w:val="left"/>
      <w:pPr>
        <w:ind w:left="2044" w:hanging="433"/>
      </w:pPr>
      <w:rPr>
        <w:rFonts w:hint="default"/>
        <w:lang w:val="fr-FR" w:eastAsia="en-US" w:bidi="ar-SA"/>
      </w:rPr>
    </w:lvl>
    <w:lvl w:ilvl="4">
      <w:numFmt w:val="bullet"/>
      <w:lvlText w:val="•"/>
      <w:lvlJc w:val="left"/>
      <w:pPr>
        <w:ind w:left="3149" w:hanging="433"/>
      </w:pPr>
      <w:rPr>
        <w:rFonts w:hint="default"/>
        <w:lang w:val="fr-FR" w:eastAsia="en-US" w:bidi="ar-SA"/>
      </w:rPr>
    </w:lvl>
    <w:lvl w:ilvl="5">
      <w:numFmt w:val="bullet"/>
      <w:lvlText w:val="•"/>
      <w:lvlJc w:val="left"/>
      <w:pPr>
        <w:ind w:left="4254" w:hanging="433"/>
      </w:pPr>
      <w:rPr>
        <w:rFonts w:hint="default"/>
        <w:lang w:val="fr-FR" w:eastAsia="en-US" w:bidi="ar-SA"/>
      </w:rPr>
    </w:lvl>
    <w:lvl w:ilvl="6">
      <w:numFmt w:val="bullet"/>
      <w:lvlText w:val="•"/>
      <w:lvlJc w:val="left"/>
      <w:pPr>
        <w:ind w:left="5359" w:hanging="433"/>
      </w:pPr>
      <w:rPr>
        <w:rFonts w:hint="default"/>
        <w:lang w:val="fr-FR" w:eastAsia="en-US" w:bidi="ar-SA"/>
      </w:rPr>
    </w:lvl>
    <w:lvl w:ilvl="7">
      <w:numFmt w:val="bullet"/>
      <w:lvlText w:val="•"/>
      <w:lvlJc w:val="left"/>
      <w:pPr>
        <w:ind w:left="6464" w:hanging="433"/>
      </w:pPr>
      <w:rPr>
        <w:rFonts w:hint="default"/>
        <w:lang w:val="fr-FR" w:eastAsia="en-US" w:bidi="ar-SA"/>
      </w:rPr>
    </w:lvl>
    <w:lvl w:ilvl="8">
      <w:numFmt w:val="bullet"/>
      <w:lvlText w:val="•"/>
      <w:lvlJc w:val="left"/>
      <w:pPr>
        <w:ind w:left="7569" w:hanging="433"/>
      </w:pPr>
      <w:rPr>
        <w:rFonts w:hint="default"/>
        <w:lang w:val="fr-FR" w:eastAsia="en-US" w:bidi="ar-SA"/>
      </w:rPr>
    </w:lvl>
  </w:abstractNum>
  <w:abstractNum w:abstractNumId="6" w15:restartNumberingAfterBreak="0">
    <w:nsid w:val="01387711"/>
    <w:multiLevelType w:val="hybridMultilevel"/>
    <w:tmpl w:val="17B6E240"/>
    <w:lvl w:ilvl="0" w:tplc="04090009">
      <w:start w:val="1"/>
      <w:numFmt w:val="bullet"/>
      <w:lvlText w:val=""/>
      <w:lvlJc w:val="left"/>
      <w:pPr>
        <w:ind w:left="1590" w:hanging="360"/>
      </w:pPr>
      <w:rPr>
        <w:rFonts w:ascii="Wingdings" w:hAnsi="Wingdings" w:hint="default"/>
      </w:rPr>
    </w:lvl>
    <w:lvl w:ilvl="1" w:tplc="040C0003" w:tentative="1">
      <w:start w:val="1"/>
      <w:numFmt w:val="bullet"/>
      <w:lvlText w:val="o"/>
      <w:lvlJc w:val="left"/>
      <w:pPr>
        <w:ind w:left="2310" w:hanging="360"/>
      </w:pPr>
      <w:rPr>
        <w:rFonts w:ascii="Courier New" w:hAnsi="Courier New" w:cs="Courier New" w:hint="default"/>
      </w:rPr>
    </w:lvl>
    <w:lvl w:ilvl="2" w:tplc="040C0005" w:tentative="1">
      <w:start w:val="1"/>
      <w:numFmt w:val="bullet"/>
      <w:lvlText w:val=""/>
      <w:lvlJc w:val="left"/>
      <w:pPr>
        <w:ind w:left="3030" w:hanging="360"/>
      </w:pPr>
      <w:rPr>
        <w:rFonts w:ascii="Wingdings" w:hAnsi="Wingdings" w:hint="default"/>
      </w:rPr>
    </w:lvl>
    <w:lvl w:ilvl="3" w:tplc="040C0001" w:tentative="1">
      <w:start w:val="1"/>
      <w:numFmt w:val="bullet"/>
      <w:lvlText w:val=""/>
      <w:lvlJc w:val="left"/>
      <w:pPr>
        <w:ind w:left="3750" w:hanging="360"/>
      </w:pPr>
      <w:rPr>
        <w:rFonts w:ascii="Symbol" w:hAnsi="Symbol" w:hint="default"/>
      </w:rPr>
    </w:lvl>
    <w:lvl w:ilvl="4" w:tplc="040C0003" w:tentative="1">
      <w:start w:val="1"/>
      <w:numFmt w:val="bullet"/>
      <w:lvlText w:val="o"/>
      <w:lvlJc w:val="left"/>
      <w:pPr>
        <w:ind w:left="4470" w:hanging="360"/>
      </w:pPr>
      <w:rPr>
        <w:rFonts w:ascii="Courier New" w:hAnsi="Courier New" w:cs="Courier New" w:hint="default"/>
      </w:rPr>
    </w:lvl>
    <w:lvl w:ilvl="5" w:tplc="040C0005" w:tentative="1">
      <w:start w:val="1"/>
      <w:numFmt w:val="bullet"/>
      <w:lvlText w:val=""/>
      <w:lvlJc w:val="left"/>
      <w:pPr>
        <w:ind w:left="5190" w:hanging="360"/>
      </w:pPr>
      <w:rPr>
        <w:rFonts w:ascii="Wingdings" w:hAnsi="Wingdings" w:hint="default"/>
      </w:rPr>
    </w:lvl>
    <w:lvl w:ilvl="6" w:tplc="040C0001" w:tentative="1">
      <w:start w:val="1"/>
      <w:numFmt w:val="bullet"/>
      <w:lvlText w:val=""/>
      <w:lvlJc w:val="left"/>
      <w:pPr>
        <w:ind w:left="5910" w:hanging="360"/>
      </w:pPr>
      <w:rPr>
        <w:rFonts w:ascii="Symbol" w:hAnsi="Symbol" w:hint="default"/>
      </w:rPr>
    </w:lvl>
    <w:lvl w:ilvl="7" w:tplc="040C0003" w:tentative="1">
      <w:start w:val="1"/>
      <w:numFmt w:val="bullet"/>
      <w:lvlText w:val="o"/>
      <w:lvlJc w:val="left"/>
      <w:pPr>
        <w:ind w:left="6630" w:hanging="360"/>
      </w:pPr>
      <w:rPr>
        <w:rFonts w:ascii="Courier New" w:hAnsi="Courier New" w:cs="Courier New" w:hint="default"/>
      </w:rPr>
    </w:lvl>
    <w:lvl w:ilvl="8" w:tplc="040C0005" w:tentative="1">
      <w:start w:val="1"/>
      <w:numFmt w:val="bullet"/>
      <w:lvlText w:val=""/>
      <w:lvlJc w:val="left"/>
      <w:pPr>
        <w:ind w:left="7350" w:hanging="360"/>
      </w:pPr>
      <w:rPr>
        <w:rFonts w:ascii="Wingdings" w:hAnsi="Wingdings" w:hint="default"/>
      </w:rPr>
    </w:lvl>
  </w:abstractNum>
  <w:abstractNum w:abstractNumId="7" w15:restartNumberingAfterBreak="0">
    <w:nsid w:val="015E3347"/>
    <w:multiLevelType w:val="multilevel"/>
    <w:tmpl w:val="BFA016FA"/>
    <w:lvl w:ilvl="0">
      <w:start w:val="1"/>
      <w:numFmt w:val="decimal"/>
      <w:lvlText w:val="3.%1."/>
      <w:lvlJc w:val="center"/>
      <w:pPr>
        <w:tabs>
          <w:tab w:val="num" w:pos="720"/>
        </w:tabs>
        <w:ind w:left="720" w:hanging="360"/>
      </w:pPr>
      <w:rPr>
        <w:rFonts w:hint="default"/>
        <w:b w:val="0"/>
        <w:i w:val="0"/>
        <w:iCs w: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lvl>
    <w:lvl w:ilvl="4">
      <w:start w:val="6"/>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decimal"/>
      <w:lvlText w:val="%7-"/>
      <w:lvlJc w:val="left"/>
      <w:pPr>
        <w:ind w:left="5040" w:hanging="360"/>
      </w:pPr>
      <w:rPr>
        <w:rFonts w:hint="default"/>
        <w:b/>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1694632"/>
    <w:multiLevelType w:val="hybridMultilevel"/>
    <w:tmpl w:val="69789DEA"/>
    <w:lvl w:ilvl="0" w:tplc="609EEB12">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1E263F9"/>
    <w:multiLevelType w:val="multilevel"/>
    <w:tmpl w:val="F93E6A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01EF63BC"/>
    <w:multiLevelType w:val="hybridMultilevel"/>
    <w:tmpl w:val="D032A746"/>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02145519"/>
    <w:multiLevelType w:val="hybridMultilevel"/>
    <w:tmpl w:val="6D2A53F2"/>
    <w:lvl w:ilvl="0" w:tplc="55E225F8">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24E073B"/>
    <w:multiLevelType w:val="multilevel"/>
    <w:tmpl w:val="26560B34"/>
    <w:lvl w:ilvl="0">
      <w:start w:val="7"/>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0283172D"/>
    <w:multiLevelType w:val="hybridMultilevel"/>
    <w:tmpl w:val="90188B48"/>
    <w:lvl w:ilvl="0" w:tplc="057E2B06">
      <w:start w:val="2"/>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2912B82"/>
    <w:multiLevelType w:val="hybridMultilevel"/>
    <w:tmpl w:val="950ED9E6"/>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02E10FAB"/>
    <w:multiLevelType w:val="hybridMultilevel"/>
    <w:tmpl w:val="77C8C4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2FD4FEC"/>
    <w:multiLevelType w:val="multilevel"/>
    <w:tmpl w:val="8A1613B2"/>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030F7BBF"/>
    <w:multiLevelType w:val="hybridMultilevel"/>
    <w:tmpl w:val="47444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3172E15"/>
    <w:multiLevelType w:val="multilevel"/>
    <w:tmpl w:val="0F6AAC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35B57C2"/>
    <w:multiLevelType w:val="hybridMultilevel"/>
    <w:tmpl w:val="FFFFFFFF"/>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03743A45"/>
    <w:multiLevelType w:val="multilevel"/>
    <w:tmpl w:val="9E3E25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037F4E71"/>
    <w:multiLevelType w:val="hybridMultilevel"/>
    <w:tmpl w:val="FFFFFFFF"/>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03DF4373"/>
    <w:multiLevelType w:val="hybridMultilevel"/>
    <w:tmpl w:val="8B0850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03F86B6E"/>
    <w:multiLevelType w:val="hybridMultilevel"/>
    <w:tmpl w:val="2C2844DE"/>
    <w:lvl w:ilvl="0" w:tplc="040C0015">
      <w:start w:val="1"/>
      <w:numFmt w:val="upperLetter"/>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4" w15:restartNumberingAfterBreak="0">
    <w:nsid w:val="041F37C0"/>
    <w:multiLevelType w:val="hybridMultilevel"/>
    <w:tmpl w:val="17685384"/>
    <w:lvl w:ilvl="0" w:tplc="CEEA71F2">
      <w:start w:val="1"/>
      <w:numFmt w:val="bullet"/>
      <w:lvlText w:val="-"/>
      <w:lvlJc w:val="left"/>
      <w:pPr>
        <w:ind w:left="360" w:hanging="360"/>
      </w:pPr>
      <w:rPr>
        <w:rFonts w:ascii="Calibri" w:eastAsiaTheme="minorEastAsia" w:hAnsi="Calibri" w:cs="Calibri" w:hint="default"/>
        <w:b/>
        <w:i w:val="0"/>
        <w:caps w:val="0"/>
        <w:strike w:val="0"/>
        <w:dstrike w:val="0"/>
        <w:vanish w:val="0"/>
        <w:sz w:val="2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04487503"/>
    <w:multiLevelType w:val="hybridMultilevel"/>
    <w:tmpl w:val="748A57D8"/>
    <w:lvl w:ilvl="0" w:tplc="66B21904">
      <w:start w:val="1"/>
      <w:numFmt w:val="decimal"/>
      <w:lvlText w:val="2. %1."/>
      <w:lvlJc w:val="left"/>
      <w:pPr>
        <w:tabs>
          <w:tab w:val="num" w:pos="1357"/>
        </w:tabs>
        <w:ind w:left="1357" w:hanging="360"/>
      </w:pPr>
      <w:rPr>
        <w:rFonts w:cs="Times New Roman"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0450332D"/>
    <w:multiLevelType w:val="hybridMultilevel"/>
    <w:tmpl w:val="E8E65FB8"/>
    <w:lvl w:ilvl="0" w:tplc="040C0001">
      <w:start w:val="1"/>
      <w:numFmt w:val="bullet"/>
      <w:lvlText w:val=""/>
      <w:lvlJc w:val="left"/>
      <w:pPr>
        <w:ind w:left="765" w:hanging="360"/>
      </w:pPr>
      <w:rPr>
        <w:rFonts w:ascii="Symbol" w:hAnsi="Symbol" w:hint="default"/>
      </w:rPr>
    </w:lvl>
    <w:lvl w:ilvl="1" w:tplc="040C0003">
      <w:start w:val="1"/>
      <w:numFmt w:val="bullet"/>
      <w:lvlText w:val="o"/>
      <w:lvlJc w:val="left"/>
      <w:pPr>
        <w:ind w:left="1485" w:hanging="360"/>
      </w:pPr>
      <w:rPr>
        <w:rFonts w:ascii="Courier New" w:hAnsi="Courier New" w:cs="Courier New" w:hint="default"/>
      </w:rPr>
    </w:lvl>
    <w:lvl w:ilvl="2" w:tplc="040C0005">
      <w:start w:val="1"/>
      <w:numFmt w:val="bullet"/>
      <w:lvlText w:val=""/>
      <w:lvlJc w:val="left"/>
      <w:pPr>
        <w:ind w:left="2205" w:hanging="360"/>
      </w:pPr>
      <w:rPr>
        <w:rFonts w:ascii="Wingdings" w:hAnsi="Wingdings" w:hint="default"/>
      </w:rPr>
    </w:lvl>
    <w:lvl w:ilvl="3" w:tplc="040C0001">
      <w:start w:val="1"/>
      <w:numFmt w:val="bullet"/>
      <w:lvlText w:val=""/>
      <w:lvlJc w:val="left"/>
      <w:pPr>
        <w:ind w:left="2925" w:hanging="360"/>
      </w:pPr>
      <w:rPr>
        <w:rFonts w:ascii="Symbol" w:hAnsi="Symbol" w:hint="default"/>
      </w:rPr>
    </w:lvl>
    <w:lvl w:ilvl="4" w:tplc="040C0003">
      <w:start w:val="1"/>
      <w:numFmt w:val="bullet"/>
      <w:lvlText w:val="o"/>
      <w:lvlJc w:val="left"/>
      <w:pPr>
        <w:ind w:left="3645" w:hanging="360"/>
      </w:pPr>
      <w:rPr>
        <w:rFonts w:ascii="Courier New" w:hAnsi="Courier New" w:cs="Courier New" w:hint="default"/>
      </w:rPr>
    </w:lvl>
    <w:lvl w:ilvl="5" w:tplc="040C0005">
      <w:start w:val="1"/>
      <w:numFmt w:val="bullet"/>
      <w:lvlText w:val=""/>
      <w:lvlJc w:val="left"/>
      <w:pPr>
        <w:ind w:left="4365" w:hanging="360"/>
      </w:pPr>
      <w:rPr>
        <w:rFonts w:ascii="Wingdings" w:hAnsi="Wingdings" w:hint="default"/>
      </w:rPr>
    </w:lvl>
    <w:lvl w:ilvl="6" w:tplc="040C0001">
      <w:start w:val="1"/>
      <w:numFmt w:val="bullet"/>
      <w:lvlText w:val=""/>
      <w:lvlJc w:val="left"/>
      <w:pPr>
        <w:ind w:left="5085" w:hanging="360"/>
      </w:pPr>
      <w:rPr>
        <w:rFonts w:ascii="Symbol" w:hAnsi="Symbol" w:hint="default"/>
      </w:rPr>
    </w:lvl>
    <w:lvl w:ilvl="7" w:tplc="040C0003">
      <w:start w:val="1"/>
      <w:numFmt w:val="bullet"/>
      <w:lvlText w:val="o"/>
      <w:lvlJc w:val="left"/>
      <w:pPr>
        <w:ind w:left="5805" w:hanging="360"/>
      </w:pPr>
      <w:rPr>
        <w:rFonts w:ascii="Courier New" w:hAnsi="Courier New" w:cs="Courier New" w:hint="default"/>
      </w:rPr>
    </w:lvl>
    <w:lvl w:ilvl="8" w:tplc="040C0005">
      <w:start w:val="1"/>
      <w:numFmt w:val="bullet"/>
      <w:lvlText w:val=""/>
      <w:lvlJc w:val="left"/>
      <w:pPr>
        <w:ind w:left="6525" w:hanging="360"/>
      </w:pPr>
      <w:rPr>
        <w:rFonts w:ascii="Wingdings" w:hAnsi="Wingdings" w:hint="default"/>
      </w:rPr>
    </w:lvl>
  </w:abstractNum>
  <w:abstractNum w:abstractNumId="27" w15:restartNumberingAfterBreak="0">
    <w:nsid w:val="0453046B"/>
    <w:multiLevelType w:val="hybridMultilevel"/>
    <w:tmpl w:val="4B94CBEA"/>
    <w:lvl w:ilvl="0" w:tplc="03869164">
      <w:numFmt w:val="bullet"/>
      <w:lvlText w:val="-"/>
      <w:lvlJc w:val="left"/>
      <w:pPr>
        <w:ind w:left="644" w:hanging="360"/>
      </w:pPr>
      <w:rPr>
        <w:rFonts w:ascii="Calibri" w:eastAsiaTheme="minorHAnsi" w:hAnsi="Calibri" w:cs="Arial" w:hint="default"/>
        <w:sz w:val="20"/>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8" w15:restartNumberingAfterBreak="0">
    <w:nsid w:val="047C404D"/>
    <w:multiLevelType w:val="hybridMultilevel"/>
    <w:tmpl w:val="FF68C9E2"/>
    <w:lvl w:ilvl="0" w:tplc="433E1FD8">
      <w:start w:val="1"/>
      <w:numFmt w:val="decimal"/>
      <w:lvlText w:val="5.%1."/>
      <w:lvlJc w:val="center"/>
      <w:pPr>
        <w:ind w:left="1080" w:hanging="360"/>
      </w:pPr>
      <w:rPr>
        <w:rFonts w:hint="default"/>
        <w:b w:val="0"/>
        <w:i w:val="0"/>
        <w:iCs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04C51AEB"/>
    <w:multiLevelType w:val="hybridMultilevel"/>
    <w:tmpl w:val="FFFFFFFF"/>
    <w:lvl w:ilvl="0" w:tplc="F8A0A520">
      <w:start w:val="1"/>
      <w:numFmt w:val="lowerRoman"/>
      <w:lvlText w:val="(%1)"/>
      <w:lvlJc w:val="left"/>
      <w:pPr>
        <w:ind w:left="1080" w:hanging="72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30" w15:restartNumberingAfterBreak="0">
    <w:nsid w:val="04D7694D"/>
    <w:multiLevelType w:val="hybridMultilevel"/>
    <w:tmpl w:val="02AE17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04FB2FBC"/>
    <w:multiLevelType w:val="hybridMultilevel"/>
    <w:tmpl w:val="0ADE5BFE"/>
    <w:lvl w:ilvl="0" w:tplc="040C0005">
      <w:start w:val="1"/>
      <w:numFmt w:val="bullet"/>
      <w:lvlText w:val=""/>
      <w:lvlJc w:val="left"/>
      <w:pPr>
        <w:ind w:left="862" w:hanging="360"/>
      </w:pPr>
      <w:rPr>
        <w:rFonts w:ascii="Wingdings" w:hAnsi="Wingdings" w:hint="default"/>
        <w:sz w:val="20"/>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32" w15:restartNumberingAfterBreak="0">
    <w:nsid w:val="057D3FB3"/>
    <w:multiLevelType w:val="hybridMultilevel"/>
    <w:tmpl w:val="FFFFFFFF"/>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05D85CB4"/>
    <w:multiLevelType w:val="hybridMultilevel"/>
    <w:tmpl w:val="53925C64"/>
    <w:lvl w:ilvl="0" w:tplc="EA9E5646">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06150334"/>
    <w:multiLevelType w:val="hybridMultilevel"/>
    <w:tmpl w:val="5DFAB386"/>
    <w:lvl w:ilvl="0" w:tplc="FFFFFFFF">
      <w:start w:val="1"/>
      <w:numFmt w:val="decimal"/>
      <w:lvlText w:val="%1."/>
      <w:lvlJc w:val="left"/>
      <w:pPr>
        <w:ind w:left="720" w:hanging="360"/>
      </w:pPr>
      <w:rPr>
        <w:rFonts w:hint="default"/>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062149E7"/>
    <w:multiLevelType w:val="hybridMultilevel"/>
    <w:tmpl w:val="E5CA007E"/>
    <w:lvl w:ilvl="0" w:tplc="040C0005">
      <w:start w:val="1"/>
      <w:numFmt w:val="bullet"/>
      <w:lvlText w:val=""/>
      <w:lvlJc w:val="left"/>
      <w:pPr>
        <w:ind w:left="502" w:hanging="360"/>
      </w:pPr>
      <w:rPr>
        <w:rFonts w:ascii="Wingdings" w:hAnsi="Wingdings" w:hint="default"/>
        <w:sz w:val="20"/>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6" w15:restartNumberingAfterBreak="0">
    <w:nsid w:val="06354F76"/>
    <w:multiLevelType w:val="multilevel"/>
    <w:tmpl w:val="492CA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66E493F"/>
    <w:multiLevelType w:val="hybridMultilevel"/>
    <w:tmpl w:val="915ABACA"/>
    <w:lvl w:ilvl="0" w:tplc="EB8281D6">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077A11F5"/>
    <w:multiLevelType w:val="hybridMultilevel"/>
    <w:tmpl w:val="0BD0A2CE"/>
    <w:lvl w:ilvl="0" w:tplc="400686FA">
      <w:start w:val="1"/>
      <w:numFmt w:val="decimal"/>
      <w:lvlText w:val="I. %1."/>
      <w:lvlJc w:val="left"/>
      <w:pPr>
        <w:tabs>
          <w:tab w:val="num" w:pos="1357"/>
        </w:tabs>
        <w:ind w:left="1357" w:hanging="360"/>
      </w:pPr>
      <w:rPr>
        <w:rFonts w:cs="Times New Roman" w:hint="default"/>
      </w:rPr>
    </w:lvl>
    <w:lvl w:ilvl="1" w:tplc="400686FA">
      <w:start w:val="1"/>
      <w:numFmt w:val="decimal"/>
      <w:lvlText w:val="I. %2."/>
      <w:lvlJc w:val="left"/>
      <w:pPr>
        <w:tabs>
          <w:tab w:val="num" w:pos="1440"/>
        </w:tabs>
        <w:ind w:left="1440" w:hanging="360"/>
      </w:pPr>
      <w:rPr>
        <w:rFonts w:cs="Times New Roman" w:hint="default"/>
      </w:rPr>
    </w:lvl>
    <w:lvl w:ilvl="2" w:tplc="03008C0C">
      <w:start w:val="1"/>
      <w:numFmt w:val="decimal"/>
      <w:lvlText w:val="3.4. %3."/>
      <w:lvlJc w:val="left"/>
      <w:pPr>
        <w:tabs>
          <w:tab w:val="num" w:pos="2340"/>
        </w:tabs>
        <w:ind w:left="2340" w:hanging="360"/>
      </w:pPr>
      <w:rPr>
        <w:rFonts w:cs="Times New Roman"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079061AA"/>
    <w:multiLevelType w:val="hybridMultilevel"/>
    <w:tmpl w:val="284C791A"/>
    <w:lvl w:ilvl="0" w:tplc="7F485438">
      <w:start w:val="1"/>
      <w:numFmt w:val="upperLetter"/>
      <w:lvlText w:val="%1."/>
      <w:lvlJc w:val="left"/>
      <w:pPr>
        <w:ind w:left="2139" w:hanging="360"/>
      </w:pPr>
      <w:rPr>
        <w:rFonts w:ascii="Times New Roman" w:eastAsia="Times New Roman" w:hAnsi="Times New Roman" w:cs="Times New Roman" w:hint="default"/>
        <w:b/>
        <w:bCs/>
        <w:i/>
        <w:iCs/>
        <w:spacing w:val="-1"/>
        <w:w w:val="100"/>
        <w:sz w:val="22"/>
        <w:szCs w:val="22"/>
        <w:lang w:val="fr-FR" w:eastAsia="en-US" w:bidi="ar-SA"/>
      </w:rPr>
    </w:lvl>
    <w:lvl w:ilvl="1" w:tplc="3B823EBC">
      <w:numFmt w:val="bullet"/>
      <w:lvlText w:val="•"/>
      <w:lvlJc w:val="left"/>
      <w:pPr>
        <w:ind w:left="3116" w:hanging="360"/>
      </w:pPr>
      <w:rPr>
        <w:rFonts w:hint="default"/>
        <w:lang w:val="fr-FR" w:eastAsia="en-US" w:bidi="ar-SA"/>
      </w:rPr>
    </w:lvl>
    <w:lvl w:ilvl="2" w:tplc="3CE0EAD4">
      <w:numFmt w:val="bullet"/>
      <w:lvlText w:val="•"/>
      <w:lvlJc w:val="left"/>
      <w:pPr>
        <w:ind w:left="4093" w:hanging="360"/>
      </w:pPr>
      <w:rPr>
        <w:rFonts w:hint="default"/>
        <w:lang w:val="fr-FR" w:eastAsia="en-US" w:bidi="ar-SA"/>
      </w:rPr>
    </w:lvl>
    <w:lvl w:ilvl="3" w:tplc="50624CDC">
      <w:numFmt w:val="bullet"/>
      <w:lvlText w:val="•"/>
      <w:lvlJc w:val="left"/>
      <w:pPr>
        <w:ind w:left="5069" w:hanging="360"/>
      </w:pPr>
      <w:rPr>
        <w:rFonts w:hint="default"/>
        <w:lang w:val="fr-FR" w:eastAsia="en-US" w:bidi="ar-SA"/>
      </w:rPr>
    </w:lvl>
    <w:lvl w:ilvl="4" w:tplc="E65608F0">
      <w:numFmt w:val="bullet"/>
      <w:lvlText w:val="•"/>
      <w:lvlJc w:val="left"/>
      <w:pPr>
        <w:ind w:left="6046" w:hanging="360"/>
      </w:pPr>
      <w:rPr>
        <w:rFonts w:hint="default"/>
        <w:lang w:val="fr-FR" w:eastAsia="en-US" w:bidi="ar-SA"/>
      </w:rPr>
    </w:lvl>
    <w:lvl w:ilvl="5" w:tplc="3E5CC354">
      <w:numFmt w:val="bullet"/>
      <w:lvlText w:val="•"/>
      <w:lvlJc w:val="left"/>
      <w:pPr>
        <w:ind w:left="7022" w:hanging="360"/>
      </w:pPr>
      <w:rPr>
        <w:rFonts w:hint="default"/>
        <w:lang w:val="fr-FR" w:eastAsia="en-US" w:bidi="ar-SA"/>
      </w:rPr>
    </w:lvl>
    <w:lvl w:ilvl="6" w:tplc="102EF9E6">
      <w:numFmt w:val="bullet"/>
      <w:lvlText w:val="•"/>
      <w:lvlJc w:val="left"/>
      <w:pPr>
        <w:ind w:left="7999" w:hanging="360"/>
      </w:pPr>
      <w:rPr>
        <w:rFonts w:hint="default"/>
        <w:lang w:val="fr-FR" w:eastAsia="en-US" w:bidi="ar-SA"/>
      </w:rPr>
    </w:lvl>
    <w:lvl w:ilvl="7" w:tplc="89A4039C">
      <w:numFmt w:val="bullet"/>
      <w:lvlText w:val="•"/>
      <w:lvlJc w:val="left"/>
      <w:pPr>
        <w:ind w:left="8975" w:hanging="360"/>
      </w:pPr>
      <w:rPr>
        <w:rFonts w:hint="default"/>
        <w:lang w:val="fr-FR" w:eastAsia="en-US" w:bidi="ar-SA"/>
      </w:rPr>
    </w:lvl>
    <w:lvl w:ilvl="8" w:tplc="BA3C1B1A">
      <w:numFmt w:val="bullet"/>
      <w:lvlText w:val="•"/>
      <w:lvlJc w:val="left"/>
      <w:pPr>
        <w:ind w:left="9952" w:hanging="360"/>
      </w:pPr>
      <w:rPr>
        <w:rFonts w:hint="default"/>
        <w:lang w:val="fr-FR" w:eastAsia="en-US" w:bidi="ar-SA"/>
      </w:rPr>
    </w:lvl>
  </w:abstractNum>
  <w:abstractNum w:abstractNumId="40" w15:restartNumberingAfterBreak="0">
    <w:nsid w:val="07B02DCB"/>
    <w:multiLevelType w:val="multilevel"/>
    <w:tmpl w:val="FB4C45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7D51F9C"/>
    <w:multiLevelType w:val="hybridMultilevel"/>
    <w:tmpl w:val="D1AE9E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083E6488"/>
    <w:multiLevelType w:val="hybridMultilevel"/>
    <w:tmpl w:val="FFFFFFFF"/>
    <w:lvl w:ilvl="0" w:tplc="10329C0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36F6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6688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6408B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5E70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C039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46080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A0DC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7285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0884692F"/>
    <w:multiLevelType w:val="hybridMultilevel"/>
    <w:tmpl w:val="EA08F61C"/>
    <w:lvl w:ilvl="0" w:tplc="1F4267C6">
      <w:start w:val="1"/>
      <w:numFmt w:val="upperLetter"/>
      <w:lvlText w:val="%1."/>
      <w:lvlJc w:val="left"/>
      <w:pPr>
        <w:ind w:left="1845" w:hanging="428"/>
      </w:pPr>
      <w:rPr>
        <w:rFonts w:hint="default"/>
        <w:spacing w:val="-1"/>
        <w:w w:val="100"/>
        <w:lang w:val="fr-FR" w:eastAsia="en-US" w:bidi="ar-SA"/>
      </w:rPr>
    </w:lvl>
    <w:lvl w:ilvl="1" w:tplc="AFACDCC6">
      <w:numFmt w:val="bullet"/>
      <w:lvlText w:val=""/>
      <w:lvlJc w:val="left"/>
      <w:pPr>
        <w:ind w:left="2127" w:hanging="286"/>
      </w:pPr>
      <w:rPr>
        <w:rFonts w:ascii="Symbol" w:eastAsia="Symbol" w:hAnsi="Symbol" w:cs="Symbol" w:hint="default"/>
        <w:b w:val="0"/>
        <w:bCs w:val="0"/>
        <w:i w:val="0"/>
        <w:iCs w:val="0"/>
        <w:spacing w:val="0"/>
        <w:w w:val="100"/>
        <w:sz w:val="22"/>
        <w:szCs w:val="22"/>
        <w:lang w:val="fr-FR" w:eastAsia="en-US" w:bidi="ar-SA"/>
      </w:rPr>
    </w:lvl>
    <w:lvl w:ilvl="2" w:tplc="4798DEE8">
      <w:numFmt w:val="bullet"/>
      <w:lvlText w:val="•"/>
      <w:lvlJc w:val="left"/>
      <w:pPr>
        <w:ind w:left="3207" w:hanging="286"/>
      </w:pPr>
      <w:rPr>
        <w:rFonts w:hint="default"/>
        <w:lang w:val="fr-FR" w:eastAsia="en-US" w:bidi="ar-SA"/>
      </w:rPr>
    </w:lvl>
    <w:lvl w:ilvl="3" w:tplc="12E4F914">
      <w:numFmt w:val="bullet"/>
      <w:lvlText w:val="•"/>
      <w:lvlJc w:val="left"/>
      <w:pPr>
        <w:ind w:left="4294" w:hanging="286"/>
      </w:pPr>
      <w:rPr>
        <w:rFonts w:hint="default"/>
        <w:lang w:val="fr-FR" w:eastAsia="en-US" w:bidi="ar-SA"/>
      </w:rPr>
    </w:lvl>
    <w:lvl w:ilvl="4" w:tplc="F79832EA">
      <w:numFmt w:val="bullet"/>
      <w:lvlText w:val="•"/>
      <w:lvlJc w:val="left"/>
      <w:pPr>
        <w:ind w:left="5381" w:hanging="286"/>
      </w:pPr>
      <w:rPr>
        <w:rFonts w:hint="default"/>
        <w:lang w:val="fr-FR" w:eastAsia="en-US" w:bidi="ar-SA"/>
      </w:rPr>
    </w:lvl>
    <w:lvl w:ilvl="5" w:tplc="98C2EC2E">
      <w:numFmt w:val="bullet"/>
      <w:lvlText w:val="•"/>
      <w:lvlJc w:val="left"/>
      <w:pPr>
        <w:ind w:left="6469" w:hanging="286"/>
      </w:pPr>
      <w:rPr>
        <w:rFonts w:hint="default"/>
        <w:lang w:val="fr-FR" w:eastAsia="en-US" w:bidi="ar-SA"/>
      </w:rPr>
    </w:lvl>
    <w:lvl w:ilvl="6" w:tplc="37F04878">
      <w:numFmt w:val="bullet"/>
      <w:lvlText w:val="•"/>
      <w:lvlJc w:val="left"/>
      <w:pPr>
        <w:ind w:left="7556" w:hanging="286"/>
      </w:pPr>
      <w:rPr>
        <w:rFonts w:hint="default"/>
        <w:lang w:val="fr-FR" w:eastAsia="en-US" w:bidi="ar-SA"/>
      </w:rPr>
    </w:lvl>
    <w:lvl w:ilvl="7" w:tplc="8512874C">
      <w:numFmt w:val="bullet"/>
      <w:lvlText w:val="•"/>
      <w:lvlJc w:val="left"/>
      <w:pPr>
        <w:ind w:left="8643" w:hanging="286"/>
      </w:pPr>
      <w:rPr>
        <w:rFonts w:hint="default"/>
        <w:lang w:val="fr-FR" w:eastAsia="en-US" w:bidi="ar-SA"/>
      </w:rPr>
    </w:lvl>
    <w:lvl w:ilvl="8" w:tplc="18EEA09E">
      <w:numFmt w:val="bullet"/>
      <w:lvlText w:val="•"/>
      <w:lvlJc w:val="left"/>
      <w:pPr>
        <w:ind w:left="9730" w:hanging="286"/>
      </w:pPr>
      <w:rPr>
        <w:rFonts w:hint="default"/>
        <w:lang w:val="fr-FR" w:eastAsia="en-US" w:bidi="ar-SA"/>
      </w:rPr>
    </w:lvl>
  </w:abstractNum>
  <w:abstractNum w:abstractNumId="44" w15:restartNumberingAfterBreak="0">
    <w:nsid w:val="08FA202E"/>
    <w:multiLevelType w:val="hybridMultilevel"/>
    <w:tmpl w:val="FFFFFFFF"/>
    <w:lvl w:ilvl="0" w:tplc="707E353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EC0C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0CAC9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D6D6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82EA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AA22D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DAB0E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58520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1479A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097D348A"/>
    <w:multiLevelType w:val="hybridMultilevel"/>
    <w:tmpl w:val="9EFE24A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099F4E1D"/>
    <w:multiLevelType w:val="hybridMultilevel"/>
    <w:tmpl w:val="D6C4D6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09B762E6"/>
    <w:multiLevelType w:val="multilevel"/>
    <w:tmpl w:val="3AEAA136"/>
    <w:lvl w:ilvl="0">
      <w:start w:val="1"/>
      <w:numFmt w:val="decimal"/>
      <w:lvlText w:val="3.%1."/>
      <w:lvlJc w:val="center"/>
      <w:pPr>
        <w:tabs>
          <w:tab w:val="num" w:pos="720"/>
        </w:tabs>
        <w:ind w:left="720" w:hanging="360"/>
      </w:pPr>
      <w:rPr>
        <w:rFonts w:hint="default"/>
        <w:b w:val="0"/>
        <w:i w:val="0"/>
        <w:iCs w: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lvl>
    <w:lvl w:ilvl="3">
      <w:start w:val="2"/>
      <w:numFmt w:val="bullet"/>
      <w:lvlText w:val="-"/>
      <w:lvlJc w:val="left"/>
      <w:pPr>
        <w:ind w:left="2880" w:hanging="360"/>
      </w:pPr>
      <w:rPr>
        <w:rFonts w:ascii="Century Gothic" w:eastAsiaTheme="minorHAnsi" w:hAnsi="Century Gothic" w:cstheme="minorBidi" w:hint="default"/>
      </w:rPr>
    </w:lvl>
    <w:lvl w:ilvl="4">
      <w:start w:val="6"/>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decimal"/>
      <w:lvlText w:val="%7-"/>
      <w:lvlJc w:val="left"/>
      <w:pPr>
        <w:ind w:left="5040" w:hanging="360"/>
      </w:pPr>
      <w:rPr>
        <w:rFonts w:hint="default"/>
        <w:b/>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09E41DD8"/>
    <w:multiLevelType w:val="hybridMultilevel"/>
    <w:tmpl w:val="5D10ABE8"/>
    <w:lvl w:ilvl="0" w:tplc="040C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0A215369"/>
    <w:multiLevelType w:val="hybridMultilevel"/>
    <w:tmpl w:val="34BEA7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0A28484B"/>
    <w:multiLevelType w:val="hybridMultilevel"/>
    <w:tmpl w:val="C1E4D366"/>
    <w:lvl w:ilvl="0" w:tplc="7DEC466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0AAA5165"/>
    <w:multiLevelType w:val="hybridMultilevel"/>
    <w:tmpl w:val="B87CDD92"/>
    <w:lvl w:ilvl="0" w:tplc="ECD8A002">
      <w:start w:val="63"/>
      <w:numFmt w:val="bullet"/>
      <w:lvlText w:val="-"/>
      <w:lvlJc w:val="left"/>
      <w:pPr>
        <w:ind w:left="720" w:hanging="360"/>
      </w:pPr>
      <w:rPr>
        <w:rFonts w:ascii="Century Gothic" w:eastAsia="Verdana" w:hAnsi="Century Gothic"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0ACE27DB"/>
    <w:multiLevelType w:val="hybridMultilevel"/>
    <w:tmpl w:val="7054D146"/>
    <w:lvl w:ilvl="0" w:tplc="83A03186">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3" w15:restartNumberingAfterBreak="0">
    <w:nsid w:val="0B0501D8"/>
    <w:multiLevelType w:val="hybridMultilevel"/>
    <w:tmpl w:val="B6648F0E"/>
    <w:lvl w:ilvl="0" w:tplc="93B4F97C">
      <w:numFmt w:val="bullet"/>
      <w:lvlText w:val=""/>
      <w:lvlJc w:val="left"/>
      <w:pPr>
        <w:ind w:left="1703" w:hanging="284"/>
      </w:pPr>
      <w:rPr>
        <w:rFonts w:ascii="Wingdings" w:eastAsia="Wingdings" w:hAnsi="Wingdings" w:cs="Wingdings" w:hint="default"/>
        <w:b w:val="0"/>
        <w:bCs w:val="0"/>
        <w:i w:val="0"/>
        <w:iCs w:val="0"/>
        <w:spacing w:val="0"/>
        <w:w w:val="100"/>
        <w:sz w:val="22"/>
        <w:szCs w:val="22"/>
        <w:lang w:val="fr-FR" w:eastAsia="en-US" w:bidi="ar-SA"/>
      </w:rPr>
    </w:lvl>
    <w:lvl w:ilvl="1" w:tplc="BAF289BC">
      <w:numFmt w:val="bullet"/>
      <w:lvlText w:val="•"/>
      <w:lvlJc w:val="left"/>
      <w:pPr>
        <w:ind w:left="2720" w:hanging="284"/>
      </w:pPr>
      <w:rPr>
        <w:rFonts w:hint="default"/>
        <w:lang w:val="fr-FR" w:eastAsia="en-US" w:bidi="ar-SA"/>
      </w:rPr>
    </w:lvl>
    <w:lvl w:ilvl="2" w:tplc="54B61D22">
      <w:numFmt w:val="bullet"/>
      <w:lvlText w:val="•"/>
      <w:lvlJc w:val="left"/>
      <w:pPr>
        <w:ind w:left="3741" w:hanging="284"/>
      </w:pPr>
      <w:rPr>
        <w:rFonts w:hint="default"/>
        <w:lang w:val="fr-FR" w:eastAsia="en-US" w:bidi="ar-SA"/>
      </w:rPr>
    </w:lvl>
    <w:lvl w:ilvl="3" w:tplc="EF94A324">
      <w:numFmt w:val="bullet"/>
      <w:lvlText w:val="•"/>
      <w:lvlJc w:val="left"/>
      <w:pPr>
        <w:ind w:left="4761" w:hanging="284"/>
      </w:pPr>
      <w:rPr>
        <w:rFonts w:hint="default"/>
        <w:lang w:val="fr-FR" w:eastAsia="en-US" w:bidi="ar-SA"/>
      </w:rPr>
    </w:lvl>
    <w:lvl w:ilvl="4" w:tplc="2C9846D0">
      <w:numFmt w:val="bullet"/>
      <w:lvlText w:val="•"/>
      <w:lvlJc w:val="left"/>
      <w:pPr>
        <w:ind w:left="5782" w:hanging="284"/>
      </w:pPr>
      <w:rPr>
        <w:rFonts w:hint="default"/>
        <w:lang w:val="fr-FR" w:eastAsia="en-US" w:bidi="ar-SA"/>
      </w:rPr>
    </w:lvl>
    <w:lvl w:ilvl="5" w:tplc="F0523E3E">
      <w:numFmt w:val="bullet"/>
      <w:lvlText w:val="•"/>
      <w:lvlJc w:val="left"/>
      <w:pPr>
        <w:ind w:left="6802" w:hanging="284"/>
      </w:pPr>
      <w:rPr>
        <w:rFonts w:hint="default"/>
        <w:lang w:val="fr-FR" w:eastAsia="en-US" w:bidi="ar-SA"/>
      </w:rPr>
    </w:lvl>
    <w:lvl w:ilvl="6" w:tplc="535AF890">
      <w:numFmt w:val="bullet"/>
      <w:lvlText w:val="•"/>
      <w:lvlJc w:val="left"/>
      <w:pPr>
        <w:ind w:left="7823" w:hanging="284"/>
      </w:pPr>
      <w:rPr>
        <w:rFonts w:hint="default"/>
        <w:lang w:val="fr-FR" w:eastAsia="en-US" w:bidi="ar-SA"/>
      </w:rPr>
    </w:lvl>
    <w:lvl w:ilvl="7" w:tplc="75C212BE">
      <w:numFmt w:val="bullet"/>
      <w:lvlText w:val="•"/>
      <w:lvlJc w:val="left"/>
      <w:pPr>
        <w:ind w:left="8843" w:hanging="284"/>
      </w:pPr>
      <w:rPr>
        <w:rFonts w:hint="default"/>
        <w:lang w:val="fr-FR" w:eastAsia="en-US" w:bidi="ar-SA"/>
      </w:rPr>
    </w:lvl>
    <w:lvl w:ilvl="8" w:tplc="5B4E4D7C">
      <w:numFmt w:val="bullet"/>
      <w:lvlText w:val="•"/>
      <w:lvlJc w:val="left"/>
      <w:pPr>
        <w:ind w:left="9864" w:hanging="284"/>
      </w:pPr>
      <w:rPr>
        <w:rFonts w:hint="default"/>
        <w:lang w:val="fr-FR" w:eastAsia="en-US" w:bidi="ar-SA"/>
      </w:rPr>
    </w:lvl>
  </w:abstractNum>
  <w:abstractNum w:abstractNumId="54" w15:restartNumberingAfterBreak="0">
    <w:nsid w:val="0B0B5018"/>
    <w:multiLevelType w:val="hybridMultilevel"/>
    <w:tmpl w:val="B82E5CAA"/>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5" w15:restartNumberingAfterBreak="0">
    <w:nsid w:val="0B975D41"/>
    <w:multiLevelType w:val="hybridMultilevel"/>
    <w:tmpl w:val="FFFFFFFF"/>
    <w:lvl w:ilvl="0" w:tplc="8D047DC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10130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8239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6C7D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30511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7A6B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DE8EB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36ECC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2062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0BB417BF"/>
    <w:multiLevelType w:val="hybridMultilevel"/>
    <w:tmpl w:val="7488E4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57" w15:restartNumberingAfterBreak="0">
    <w:nsid w:val="0BF577F5"/>
    <w:multiLevelType w:val="multilevel"/>
    <w:tmpl w:val="67E8B11A"/>
    <w:lvl w:ilvl="0">
      <w:start w:val="1"/>
      <w:numFmt w:val="lowerRoman"/>
      <w:lvlText w:val="%1"/>
      <w:lvlJc w:val="left"/>
      <w:pPr>
        <w:tabs>
          <w:tab w:val="num" w:pos="720"/>
        </w:tabs>
        <w:ind w:left="720" w:hanging="360"/>
      </w:pPr>
      <w:rPr>
        <w:rFonts w:ascii="Times New Roman" w:eastAsia="Times New Roman" w:hAnsi="Times New Roman" w:cs="Times New Roman" w:hint="default"/>
        <w:b w:val="0"/>
        <w:i w:val="0"/>
        <w:iCs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160" w:hanging="360"/>
      </w:pPr>
      <w:rPr>
        <w:rFonts w:hint="default"/>
      </w:rPr>
    </w:lvl>
    <w:lvl w:ilvl="3">
      <w:start w:val="2"/>
      <w:numFmt w:val="bullet"/>
      <w:lvlText w:val="-"/>
      <w:lvlJc w:val="left"/>
      <w:pPr>
        <w:ind w:left="2880" w:hanging="360"/>
      </w:pPr>
      <w:rPr>
        <w:rFonts w:ascii="Century Gothic" w:eastAsiaTheme="minorHAnsi" w:hAnsi="Century Gothic" w:cstheme="minorBidi" w:hint="default"/>
      </w:rPr>
    </w:lvl>
    <w:lvl w:ilvl="4">
      <w:start w:val="6"/>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decimal"/>
      <w:lvlText w:val="%7-"/>
      <w:lvlJc w:val="left"/>
      <w:pPr>
        <w:ind w:left="5040" w:hanging="360"/>
      </w:pPr>
      <w:rPr>
        <w:rFonts w:hint="default"/>
        <w:b/>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0C8E5021"/>
    <w:multiLevelType w:val="hybridMultilevel"/>
    <w:tmpl w:val="A3B0482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0CB22E53"/>
    <w:multiLevelType w:val="hybridMultilevel"/>
    <w:tmpl w:val="DACA12DA"/>
    <w:lvl w:ilvl="0" w:tplc="8034AF4A">
      <w:numFmt w:val="bullet"/>
      <w:lvlText w:val=""/>
      <w:lvlJc w:val="left"/>
      <w:pPr>
        <w:ind w:left="2131" w:hanging="356"/>
      </w:pPr>
      <w:rPr>
        <w:rFonts w:ascii="Symbol" w:eastAsia="Symbol" w:hAnsi="Symbol" w:cs="Symbol" w:hint="default"/>
        <w:spacing w:val="0"/>
        <w:w w:val="99"/>
        <w:lang w:val="fr-FR" w:eastAsia="en-US" w:bidi="ar-SA"/>
      </w:rPr>
    </w:lvl>
    <w:lvl w:ilvl="1" w:tplc="577E0384">
      <w:numFmt w:val="bullet"/>
      <w:lvlText w:val="•"/>
      <w:lvlJc w:val="left"/>
      <w:pPr>
        <w:ind w:left="3116" w:hanging="356"/>
      </w:pPr>
      <w:rPr>
        <w:rFonts w:hint="default"/>
        <w:lang w:val="fr-FR" w:eastAsia="en-US" w:bidi="ar-SA"/>
      </w:rPr>
    </w:lvl>
    <w:lvl w:ilvl="2" w:tplc="4E78BF20">
      <w:numFmt w:val="bullet"/>
      <w:lvlText w:val="•"/>
      <w:lvlJc w:val="left"/>
      <w:pPr>
        <w:ind w:left="4093" w:hanging="356"/>
      </w:pPr>
      <w:rPr>
        <w:rFonts w:hint="default"/>
        <w:lang w:val="fr-FR" w:eastAsia="en-US" w:bidi="ar-SA"/>
      </w:rPr>
    </w:lvl>
    <w:lvl w:ilvl="3" w:tplc="C6A2D94C">
      <w:numFmt w:val="bullet"/>
      <w:lvlText w:val="•"/>
      <w:lvlJc w:val="left"/>
      <w:pPr>
        <w:ind w:left="5069" w:hanging="356"/>
      </w:pPr>
      <w:rPr>
        <w:rFonts w:hint="default"/>
        <w:lang w:val="fr-FR" w:eastAsia="en-US" w:bidi="ar-SA"/>
      </w:rPr>
    </w:lvl>
    <w:lvl w:ilvl="4" w:tplc="E8164A8E">
      <w:numFmt w:val="bullet"/>
      <w:lvlText w:val="•"/>
      <w:lvlJc w:val="left"/>
      <w:pPr>
        <w:ind w:left="6046" w:hanging="356"/>
      </w:pPr>
      <w:rPr>
        <w:rFonts w:hint="default"/>
        <w:lang w:val="fr-FR" w:eastAsia="en-US" w:bidi="ar-SA"/>
      </w:rPr>
    </w:lvl>
    <w:lvl w:ilvl="5" w:tplc="AF12B7F6">
      <w:numFmt w:val="bullet"/>
      <w:lvlText w:val="•"/>
      <w:lvlJc w:val="left"/>
      <w:pPr>
        <w:ind w:left="7022" w:hanging="356"/>
      </w:pPr>
      <w:rPr>
        <w:rFonts w:hint="default"/>
        <w:lang w:val="fr-FR" w:eastAsia="en-US" w:bidi="ar-SA"/>
      </w:rPr>
    </w:lvl>
    <w:lvl w:ilvl="6" w:tplc="FB349A00">
      <w:numFmt w:val="bullet"/>
      <w:lvlText w:val="•"/>
      <w:lvlJc w:val="left"/>
      <w:pPr>
        <w:ind w:left="7999" w:hanging="356"/>
      </w:pPr>
      <w:rPr>
        <w:rFonts w:hint="default"/>
        <w:lang w:val="fr-FR" w:eastAsia="en-US" w:bidi="ar-SA"/>
      </w:rPr>
    </w:lvl>
    <w:lvl w:ilvl="7" w:tplc="A0F2F90E">
      <w:numFmt w:val="bullet"/>
      <w:lvlText w:val="•"/>
      <w:lvlJc w:val="left"/>
      <w:pPr>
        <w:ind w:left="8975" w:hanging="356"/>
      </w:pPr>
      <w:rPr>
        <w:rFonts w:hint="default"/>
        <w:lang w:val="fr-FR" w:eastAsia="en-US" w:bidi="ar-SA"/>
      </w:rPr>
    </w:lvl>
    <w:lvl w:ilvl="8" w:tplc="2654D7C2">
      <w:numFmt w:val="bullet"/>
      <w:lvlText w:val="•"/>
      <w:lvlJc w:val="left"/>
      <w:pPr>
        <w:ind w:left="9952" w:hanging="356"/>
      </w:pPr>
      <w:rPr>
        <w:rFonts w:hint="default"/>
        <w:lang w:val="fr-FR" w:eastAsia="en-US" w:bidi="ar-SA"/>
      </w:rPr>
    </w:lvl>
  </w:abstractNum>
  <w:abstractNum w:abstractNumId="60" w15:restartNumberingAfterBreak="0">
    <w:nsid w:val="0CD27E49"/>
    <w:multiLevelType w:val="hybridMultilevel"/>
    <w:tmpl w:val="1FEC12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0CE85CD7"/>
    <w:multiLevelType w:val="hybridMultilevel"/>
    <w:tmpl w:val="A6242E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0D0A6060"/>
    <w:multiLevelType w:val="hybridMultilevel"/>
    <w:tmpl w:val="2982BDA0"/>
    <w:lvl w:ilvl="0" w:tplc="040C001B">
      <w:start w:val="1"/>
      <w:numFmt w:val="lowerRoman"/>
      <w:lvlText w:val="%1."/>
      <w:lvlJc w:val="righ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63" w15:restartNumberingAfterBreak="0">
    <w:nsid w:val="0D6631C5"/>
    <w:multiLevelType w:val="hybridMultilevel"/>
    <w:tmpl w:val="FFFFFFFF"/>
    <w:lvl w:ilvl="0" w:tplc="EDBE425C">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4" w15:restartNumberingAfterBreak="0">
    <w:nsid w:val="0D92468A"/>
    <w:multiLevelType w:val="hybridMultilevel"/>
    <w:tmpl w:val="FFFFFFFF"/>
    <w:lvl w:ilvl="0" w:tplc="A5AA1B7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2E06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6A511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1E9F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5EAC0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728C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E02A3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C02D7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3C04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0DFA72D7"/>
    <w:multiLevelType w:val="hybridMultilevel"/>
    <w:tmpl w:val="838E74FC"/>
    <w:lvl w:ilvl="0" w:tplc="6E22AF64">
      <w:start w:val="3"/>
      <w:numFmt w:val="bullet"/>
      <w:lvlText w:val="-"/>
      <w:lvlJc w:val="left"/>
      <w:pPr>
        <w:ind w:left="720" w:hanging="360"/>
      </w:pPr>
      <w:rPr>
        <w:rFonts w:ascii="Cambria" w:eastAsia="Times New Roman" w:hAnsi="Cambria"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0E9E024C"/>
    <w:multiLevelType w:val="hybridMultilevel"/>
    <w:tmpl w:val="8F182A14"/>
    <w:lvl w:ilvl="0" w:tplc="6BA87284">
      <w:start w:val="1"/>
      <w:numFmt w:val="bullet"/>
      <w:lvlText w:val=""/>
      <w:lvlPicBulletId w:val="1"/>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0ED65A55"/>
    <w:multiLevelType w:val="hybridMultilevel"/>
    <w:tmpl w:val="21D6772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0F143174"/>
    <w:multiLevelType w:val="hybridMultilevel"/>
    <w:tmpl w:val="51DE1C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0F962767"/>
    <w:multiLevelType w:val="hybridMultilevel"/>
    <w:tmpl w:val="FFFFFFFF"/>
    <w:lvl w:ilvl="0" w:tplc="8668A84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1CD6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DA469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3AD40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5E037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F08E9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E0630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20B81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7C4D9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0FD463A7"/>
    <w:multiLevelType w:val="hybridMultilevel"/>
    <w:tmpl w:val="809071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0FDD5739"/>
    <w:multiLevelType w:val="multilevel"/>
    <w:tmpl w:val="F4841AC0"/>
    <w:lvl w:ilvl="0">
      <w:start w:val="1"/>
      <w:numFmt w:val="upperRoman"/>
      <w:lvlText w:val="%1."/>
      <w:lvlJc w:val="left"/>
      <w:pPr>
        <w:ind w:left="1440" w:hanging="461"/>
      </w:pPr>
      <w:rPr>
        <w:rFonts w:ascii="Tahoma" w:eastAsia="Tahoma" w:hAnsi="Tahoma" w:cs="Tahoma" w:hint="default"/>
        <w:b/>
        <w:bCs/>
        <w:i w:val="0"/>
        <w:iCs w:val="0"/>
        <w:spacing w:val="0"/>
        <w:w w:val="70"/>
        <w:sz w:val="24"/>
        <w:szCs w:val="24"/>
        <w:lang w:val="fr-FR" w:eastAsia="en-US" w:bidi="ar-SA"/>
      </w:rPr>
    </w:lvl>
    <w:lvl w:ilvl="1">
      <w:start w:val="1"/>
      <w:numFmt w:val="decimal"/>
      <w:lvlText w:val="%1.%2."/>
      <w:lvlJc w:val="left"/>
      <w:pPr>
        <w:ind w:left="1022" w:hanging="404"/>
      </w:pPr>
      <w:rPr>
        <w:rFonts w:ascii="Tahoma" w:eastAsia="Tahoma" w:hAnsi="Tahoma" w:cs="Tahoma" w:hint="default"/>
        <w:b/>
        <w:bCs/>
        <w:i w:val="0"/>
        <w:iCs w:val="0"/>
        <w:spacing w:val="0"/>
        <w:w w:val="80"/>
        <w:sz w:val="24"/>
        <w:szCs w:val="24"/>
        <w:lang w:val="fr-FR" w:eastAsia="en-US" w:bidi="ar-SA"/>
      </w:rPr>
    </w:lvl>
    <w:lvl w:ilvl="2">
      <w:numFmt w:val="bullet"/>
      <w:lvlText w:val=""/>
      <w:lvlJc w:val="left"/>
      <w:pPr>
        <w:ind w:left="1339" w:hanging="360"/>
      </w:pPr>
      <w:rPr>
        <w:rFonts w:ascii="Symbol" w:eastAsia="Symbol" w:hAnsi="Symbol" w:cs="Symbol" w:hint="default"/>
        <w:spacing w:val="0"/>
        <w:w w:val="100"/>
        <w:lang w:val="fr-FR" w:eastAsia="en-US" w:bidi="ar-SA"/>
      </w:rPr>
    </w:lvl>
    <w:lvl w:ilvl="3">
      <w:numFmt w:val="bullet"/>
      <w:lvlText w:val="•"/>
      <w:lvlJc w:val="left"/>
      <w:pPr>
        <w:ind w:left="1440" w:hanging="360"/>
      </w:pPr>
      <w:rPr>
        <w:rFonts w:hint="default"/>
        <w:lang w:val="fr-FR" w:eastAsia="en-US" w:bidi="ar-SA"/>
      </w:rPr>
    </w:lvl>
    <w:lvl w:ilvl="4">
      <w:numFmt w:val="bullet"/>
      <w:lvlText w:val="•"/>
      <w:lvlJc w:val="left"/>
      <w:pPr>
        <w:ind w:left="2777" w:hanging="360"/>
      </w:pPr>
      <w:rPr>
        <w:rFonts w:hint="default"/>
        <w:lang w:val="fr-FR" w:eastAsia="en-US" w:bidi="ar-SA"/>
      </w:rPr>
    </w:lvl>
    <w:lvl w:ilvl="5">
      <w:numFmt w:val="bullet"/>
      <w:lvlText w:val="•"/>
      <w:lvlJc w:val="left"/>
      <w:pPr>
        <w:ind w:left="4114" w:hanging="360"/>
      </w:pPr>
      <w:rPr>
        <w:rFonts w:hint="default"/>
        <w:lang w:val="fr-FR" w:eastAsia="en-US" w:bidi="ar-SA"/>
      </w:rPr>
    </w:lvl>
    <w:lvl w:ilvl="6">
      <w:numFmt w:val="bullet"/>
      <w:lvlText w:val="•"/>
      <w:lvlJc w:val="left"/>
      <w:pPr>
        <w:ind w:left="5451" w:hanging="360"/>
      </w:pPr>
      <w:rPr>
        <w:rFonts w:hint="default"/>
        <w:lang w:val="fr-FR" w:eastAsia="en-US" w:bidi="ar-SA"/>
      </w:rPr>
    </w:lvl>
    <w:lvl w:ilvl="7">
      <w:numFmt w:val="bullet"/>
      <w:lvlText w:val="•"/>
      <w:lvlJc w:val="left"/>
      <w:pPr>
        <w:ind w:left="6788" w:hanging="360"/>
      </w:pPr>
      <w:rPr>
        <w:rFonts w:hint="default"/>
        <w:lang w:val="fr-FR" w:eastAsia="en-US" w:bidi="ar-SA"/>
      </w:rPr>
    </w:lvl>
    <w:lvl w:ilvl="8">
      <w:numFmt w:val="bullet"/>
      <w:lvlText w:val="•"/>
      <w:lvlJc w:val="left"/>
      <w:pPr>
        <w:ind w:left="8125" w:hanging="360"/>
      </w:pPr>
      <w:rPr>
        <w:rFonts w:hint="default"/>
        <w:lang w:val="fr-FR" w:eastAsia="en-US" w:bidi="ar-SA"/>
      </w:rPr>
    </w:lvl>
  </w:abstractNum>
  <w:abstractNum w:abstractNumId="72" w15:restartNumberingAfterBreak="0">
    <w:nsid w:val="0FF906F6"/>
    <w:multiLevelType w:val="multilevel"/>
    <w:tmpl w:val="884E9A9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3" w15:restartNumberingAfterBreak="0">
    <w:nsid w:val="104D099A"/>
    <w:multiLevelType w:val="hybridMultilevel"/>
    <w:tmpl w:val="57A2697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Verdana"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Verdan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Verdan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107C2758"/>
    <w:multiLevelType w:val="hybridMultilevel"/>
    <w:tmpl w:val="14A8EA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10FD5CD7"/>
    <w:multiLevelType w:val="multilevel"/>
    <w:tmpl w:val="FF9A69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6" w15:restartNumberingAfterBreak="0">
    <w:nsid w:val="11081EE3"/>
    <w:multiLevelType w:val="hybridMultilevel"/>
    <w:tmpl w:val="6740651A"/>
    <w:lvl w:ilvl="0" w:tplc="040C0005">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7" w15:restartNumberingAfterBreak="0">
    <w:nsid w:val="112B5C0F"/>
    <w:multiLevelType w:val="multilevel"/>
    <w:tmpl w:val="F81001FC"/>
    <w:lvl w:ilvl="0">
      <w:start w:val="1"/>
      <w:numFmt w:val="lowerRoman"/>
      <w:lvlText w:val="(%1)"/>
      <w:lvlJc w:val="left"/>
      <w:pPr>
        <w:ind w:left="1080" w:hanging="72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8" w15:restartNumberingAfterBreak="0">
    <w:nsid w:val="11924FEE"/>
    <w:multiLevelType w:val="hybridMultilevel"/>
    <w:tmpl w:val="6D98E232"/>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11A047FD"/>
    <w:multiLevelType w:val="hybridMultilevel"/>
    <w:tmpl w:val="34BEA7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11FF1B7A"/>
    <w:multiLevelType w:val="multilevel"/>
    <w:tmpl w:val="AB4047BC"/>
    <w:styleLink w:val="LFO1"/>
    <w:lvl w:ilvl="0">
      <w:start w:val="1"/>
      <w:numFmt w:val="decimal"/>
      <w:lvlText w:val="%1."/>
      <w:lvlJc w:val="left"/>
      <w:pPr>
        <w:ind w:left="0" w:firstLine="5246"/>
      </w:pPr>
      <w:rPr>
        <w:rFonts w:ascii="Times New Roman" w:hAnsi="Times New Roman"/>
        <w:b w:val="0"/>
        <w:i w:val="0"/>
        <w:strike w:val="0"/>
        <w:dstrike w:val="0"/>
        <w:vanish w:val="0"/>
        <w:position w:val="0"/>
        <w:sz w:val="22"/>
        <w:vertAlign w:val="baseline"/>
      </w:rPr>
    </w:lvl>
    <w:lvl w:ilvl="1">
      <w:numFmt w:val="bullet"/>
      <w:lvlText w:val=""/>
      <w:lvlJc w:val="left"/>
      <w:pPr>
        <w:ind w:left="1440" w:hanging="360"/>
      </w:pPr>
      <w:rPr>
        <w:rFonts w:ascii="Wingdings" w:hAnsi="Wingding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121C5D08"/>
    <w:multiLevelType w:val="hybridMultilevel"/>
    <w:tmpl w:val="80AE250E"/>
    <w:lvl w:ilvl="0" w:tplc="5FE44CA4">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123A6400"/>
    <w:multiLevelType w:val="multilevel"/>
    <w:tmpl w:val="3DC661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3" w15:restartNumberingAfterBreak="0">
    <w:nsid w:val="12557151"/>
    <w:multiLevelType w:val="hybridMultilevel"/>
    <w:tmpl w:val="F9D2755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126A1CA1"/>
    <w:multiLevelType w:val="hybridMultilevel"/>
    <w:tmpl w:val="FF5C0B94"/>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12B13FCF"/>
    <w:multiLevelType w:val="hybridMultilevel"/>
    <w:tmpl w:val="4F8AC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12B446FA"/>
    <w:multiLevelType w:val="hybridMultilevel"/>
    <w:tmpl w:val="2DAEDF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135F568C"/>
    <w:multiLevelType w:val="hybridMultilevel"/>
    <w:tmpl w:val="F1FA8D08"/>
    <w:lvl w:ilvl="0" w:tplc="69BA8E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13892F34"/>
    <w:multiLevelType w:val="hybridMultilevel"/>
    <w:tmpl w:val="4E52F348"/>
    <w:lvl w:ilvl="0" w:tplc="91C6E41A">
      <w:numFmt w:val="bullet"/>
      <w:lvlText w:val="-"/>
      <w:lvlJc w:val="left"/>
      <w:pPr>
        <w:ind w:left="720" w:hanging="360"/>
      </w:pPr>
      <w:rPr>
        <w:rFonts w:ascii="Calibri" w:eastAsia="Calibri" w:hAnsi="Calibri"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13E037FF"/>
    <w:multiLevelType w:val="multilevel"/>
    <w:tmpl w:val="BD0875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0" w15:restartNumberingAfterBreak="0">
    <w:nsid w:val="14105CA9"/>
    <w:multiLevelType w:val="hybridMultilevel"/>
    <w:tmpl w:val="D9F652DE"/>
    <w:lvl w:ilvl="0" w:tplc="5DF04B58">
      <w:start w:val="1"/>
      <w:numFmt w:val="decimal"/>
      <w:pStyle w:val="ParagraphNumbering"/>
      <w:lvlText w:val="%1.     "/>
      <w:lvlJc w:val="left"/>
      <w:pPr>
        <w:tabs>
          <w:tab w:val="num" w:pos="567"/>
        </w:tabs>
        <w:ind w:left="0" w:firstLine="0"/>
      </w:pPr>
      <w:rPr>
        <w:rFonts w:hint="default"/>
        <w:i w:val="0"/>
      </w:rPr>
    </w:lvl>
    <w:lvl w:ilvl="1" w:tplc="08160003">
      <w:start w:val="1"/>
      <w:numFmt w:val="lowerLetter"/>
      <w:lvlText w:val="%2."/>
      <w:lvlJc w:val="left"/>
      <w:pPr>
        <w:tabs>
          <w:tab w:val="num" w:pos="1440"/>
        </w:tabs>
        <w:ind w:left="1440" w:hanging="360"/>
      </w:pPr>
    </w:lvl>
    <w:lvl w:ilvl="2" w:tplc="08160005">
      <w:start w:val="1"/>
      <w:numFmt w:val="lowerRoman"/>
      <w:lvlText w:val="%3."/>
      <w:lvlJc w:val="right"/>
      <w:pPr>
        <w:tabs>
          <w:tab w:val="num" w:pos="2160"/>
        </w:tabs>
        <w:ind w:left="2160" w:hanging="180"/>
      </w:pPr>
    </w:lvl>
    <w:lvl w:ilvl="3" w:tplc="08160001">
      <w:start w:val="1"/>
      <w:numFmt w:val="decimal"/>
      <w:lvlText w:val="%4."/>
      <w:lvlJc w:val="left"/>
      <w:pPr>
        <w:tabs>
          <w:tab w:val="num" w:pos="2880"/>
        </w:tabs>
        <w:ind w:left="2880" w:hanging="360"/>
      </w:pPr>
    </w:lvl>
    <w:lvl w:ilvl="4" w:tplc="08160003" w:tentative="1">
      <w:start w:val="1"/>
      <w:numFmt w:val="lowerLetter"/>
      <w:lvlText w:val="%5."/>
      <w:lvlJc w:val="left"/>
      <w:pPr>
        <w:tabs>
          <w:tab w:val="num" w:pos="3600"/>
        </w:tabs>
        <w:ind w:left="3600" w:hanging="360"/>
      </w:pPr>
    </w:lvl>
    <w:lvl w:ilvl="5" w:tplc="08160005" w:tentative="1">
      <w:start w:val="1"/>
      <w:numFmt w:val="lowerRoman"/>
      <w:lvlText w:val="%6."/>
      <w:lvlJc w:val="right"/>
      <w:pPr>
        <w:tabs>
          <w:tab w:val="num" w:pos="4320"/>
        </w:tabs>
        <w:ind w:left="4320" w:hanging="180"/>
      </w:pPr>
    </w:lvl>
    <w:lvl w:ilvl="6" w:tplc="08160001" w:tentative="1">
      <w:start w:val="1"/>
      <w:numFmt w:val="decimal"/>
      <w:lvlText w:val="%7."/>
      <w:lvlJc w:val="left"/>
      <w:pPr>
        <w:tabs>
          <w:tab w:val="num" w:pos="5040"/>
        </w:tabs>
        <w:ind w:left="5040" w:hanging="360"/>
      </w:pPr>
    </w:lvl>
    <w:lvl w:ilvl="7" w:tplc="08160003" w:tentative="1">
      <w:start w:val="1"/>
      <w:numFmt w:val="lowerLetter"/>
      <w:lvlText w:val="%8."/>
      <w:lvlJc w:val="left"/>
      <w:pPr>
        <w:tabs>
          <w:tab w:val="num" w:pos="5760"/>
        </w:tabs>
        <w:ind w:left="5760" w:hanging="360"/>
      </w:pPr>
    </w:lvl>
    <w:lvl w:ilvl="8" w:tplc="08160005" w:tentative="1">
      <w:start w:val="1"/>
      <w:numFmt w:val="lowerRoman"/>
      <w:lvlText w:val="%9."/>
      <w:lvlJc w:val="right"/>
      <w:pPr>
        <w:tabs>
          <w:tab w:val="num" w:pos="6480"/>
        </w:tabs>
        <w:ind w:left="6480" w:hanging="180"/>
      </w:pPr>
    </w:lvl>
  </w:abstractNum>
  <w:abstractNum w:abstractNumId="91" w15:restartNumberingAfterBreak="0">
    <w:nsid w:val="14302B43"/>
    <w:multiLevelType w:val="hybridMultilevel"/>
    <w:tmpl w:val="D542D4DE"/>
    <w:lvl w:ilvl="0" w:tplc="F6E8EF12">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2" w15:restartNumberingAfterBreak="0">
    <w:nsid w:val="14496AFB"/>
    <w:multiLevelType w:val="hybridMultilevel"/>
    <w:tmpl w:val="284C791A"/>
    <w:lvl w:ilvl="0" w:tplc="FFFFFFFF">
      <w:start w:val="1"/>
      <w:numFmt w:val="upperLetter"/>
      <w:lvlText w:val="%1."/>
      <w:lvlJc w:val="left"/>
      <w:pPr>
        <w:ind w:left="2139" w:hanging="360"/>
      </w:pPr>
      <w:rPr>
        <w:rFonts w:ascii="Times New Roman" w:eastAsia="Times New Roman" w:hAnsi="Times New Roman" w:cs="Times New Roman" w:hint="default"/>
        <w:b/>
        <w:bCs/>
        <w:i/>
        <w:iCs/>
        <w:spacing w:val="-1"/>
        <w:w w:val="100"/>
        <w:sz w:val="22"/>
        <w:szCs w:val="22"/>
        <w:lang w:val="fr-FR" w:eastAsia="en-US" w:bidi="ar-SA"/>
      </w:rPr>
    </w:lvl>
    <w:lvl w:ilvl="1" w:tplc="FFFFFFFF">
      <w:numFmt w:val="bullet"/>
      <w:lvlText w:val="•"/>
      <w:lvlJc w:val="left"/>
      <w:pPr>
        <w:ind w:left="3116" w:hanging="360"/>
      </w:pPr>
      <w:rPr>
        <w:rFonts w:hint="default"/>
        <w:lang w:val="fr-FR" w:eastAsia="en-US" w:bidi="ar-SA"/>
      </w:rPr>
    </w:lvl>
    <w:lvl w:ilvl="2" w:tplc="FFFFFFFF">
      <w:numFmt w:val="bullet"/>
      <w:lvlText w:val="•"/>
      <w:lvlJc w:val="left"/>
      <w:pPr>
        <w:ind w:left="4093" w:hanging="360"/>
      </w:pPr>
      <w:rPr>
        <w:rFonts w:hint="default"/>
        <w:lang w:val="fr-FR" w:eastAsia="en-US" w:bidi="ar-SA"/>
      </w:rPr>
    </w:lvl>
    <w:lvl w:ilvl="3" w:tplc="FFFFFFFF">
      <w:numFmt w:val="bullet"/>
      <w:lvlText w:val="•"/>
      <w:lvlJc w:val="left"/>
      <w:pPr>
        <w:ind w:left="5069" w:hanging="360"/>
      </w:pPr>
      <w:rPr>
        <w:rFonts w:hint="default"/>
        <w:lang w:val="fr-FR" w:eastAsia="en-US" w:bidi="ar-SA"/>
      </w:rPr>
    </w:lvl>
    <w:lvl w:ilvl="4" w:tplc="FFFFFFFF">
      <w:numFmt w:val="bullet"/>
      <w:lvlText w:val="•"/>
      <w:lvlJc w:val="left"/>
      <w:pPr>
        <w:ind w:left="6046" w:hanging="360"/>
      </w:pPr>
      <w:rPr>
        <w:rFonts w:hint="default"/>
        <w:lang w:val="fr-FR" w:eastAsia="en-US" w:bidi="ar-SA"/>
      </w:rPr>
    </w:lvl>
    <w:lvl w:ilvl="5" w:tplc="FFFFFFFF">
      <w:numFmt w:val="bullet"/>
      <w:lvlText w:val="•"/>
      <w:lvlJc w:val="left"/>
      <w:pPr>
        <w:ind w:left="7022" w:hanging="360"/>
      </w:pPr>
      <w:rPr>
        <w:rFonts w:hint="default"/>
        <w:lang w:val="fr-FR" w:eastAsia="en-US" w:bidi="ar-SA"/>
      </w:rPr>
    </w:lvl>
    <w:lvl w:ilvl="6" w:tplc="FFFFFFFF">
      <w:numFmt w:val="bullet"/>
      <w:lvlText w:val="•"/>
      <w:lvlJc w:val="left"/>
      <w:pPr>
        <w:ind w:left="7999" w:hanging="360"/>
      </w:pPr>
      <w:rPr>
        <w:rFonts w:hint="default"/>
        <w:lang w:val="fr-FR" w:eastAsia="en-US" w:bidi="ar-SA"/>
      </w:rPr>
    </w:lvl>
    <w:lvl w:ilvl="7" w:tplc="FFFFFFFF">
      <w:numFmt w:val="bullet"/>
      <w:lvlText w:val="•"/>
      <w:lvlJc w:val="left"/>
      <w:pPr>
        <w:ind w:left="8975" w:hanging="360"/>
      </w:pPr>
      <w:rPr>
        <w:rFonts w:hint="default"/>
        <w:lang w:val="fr-FR" w:eastAsia="en-US" w:bidi="ar-SA"/>
      </w:rPr>
    </w:lvl>
    <w:lvl w:ilvl="8" w:tplc="FFFFFFFF">
      <w:numFmt w:val="bullet"/>
      <w:lvlText w:val="•"/>
      <w:lvlJc w:val="left"/>
      <w:pPr>
        <w:ind w:left="9952" w:hanging="360"/>
      </w:pPr>
      <w:rPr>
        <w:rFonts w:hint="default"/>
        <w:lang w:val="fr-FR" w:eastAsia="en-US" w:bidi="ar-SA"/>
      </w:rPr>
    </w:lvl>
  </w:abstractNum>
  <w:abstractNum w:abstractNumId="93" w15:restartNumberingAfterBreak="0">
    <w:nsid w:val="14676BBC"/>
    <w:multiLevelType w:val="hybridMultilevel"/>
    <w:tmpl w:val="A76417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14996DCA"/>
    <w:multiLevelType w:val="hybridMultilevel"/>
    <w:tmpl w:val="FFFFFFFF"/>
    <w:lvl w:ilvl="0" w:tplc="77046226">
      <w:start w:val="1"/>
      <w:numFmt w:val="bullet"/>
      <w:lvlText w:val="•"/>
      <w:lvlJc w:val="left"/>
      <w:pPr>
        <w:ind w:left="15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C8D3D6">
      <w:start w:val="1"/>
      <w:numFmt w:val="bullet"/>
      <w:lvlText w:val="o"/>
      <w:lvlJc w:val="left"/>
      <w:pPr>
        <w:ind w:left="22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D298A0">
      <w:start w:val="1"/>
      <w:numFmt w:val="bullet"/>
      <w:lvlText w:val="▪"/>
      <w:lvlJc w:val="left"/>
      <w:pPr>
        <w:ind w:left="29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C80816">
      <w:start w:val="1"/>
      <w:numFmt w:val="bullet"/>
      <w:lvlText w:val="•"/>
      <w:lvlJc w:val="left"/>
      <w:pPr>
        <w:ind w:left="36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68A86E">
      <w:start w:val="1"/>
      <w:numFmt w:val="bullet"/>
      <w:lvlText w:val="o"/>
      <w:lvlJc w:val="left"/>
      <w:pPr>
        <w:ind w:left="43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8186282">
      <w:start w:val="1"/>
      <w:numFmt w:val="bullet"/>
      <w:lvlText w:val="▪"/>
      <w:lvlJc w:val="left"/>
      <w:pPr>
        <w:ind w:left="51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22B408">
      <w:start w:val="1"/>
      <w:numFmt w:val="bullet"/>
      <w:lvlText w:val="•"/>
      <w:lvlJc w:val="left"/>
      <w:pPr>
        <w:ind w:left="5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AA35EC">
      <w:start w:val="1"/>
      <w:numFmt w:val="bullet"/>
      <w:lvlText w:val="o"/>
      <w:lvlJc w:val="left"/>
      <w:pPr>
        <w:ind w:left="65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B6BC10">
      <w:start w:val="1"/>
      <w:numFmt w:val="bullet"/>
      <w:lvlText w:val="▪"/>
      <w:lvlJc w:val="left"/>
      <w:pPr>
        <w:ind w:left="7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14A24564"/>
    <w:multiLevelType w:val="hybridMultilevel"/>
    <w:tmpl w:val="228CB54E"/>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16317B3C"/>
    <w:multiLevelType w:val="hybridMultilevel"/>
    <w:tmpl w:val="F3FA569A"/>
    <w:lvl w:ilvl="0" w:tplc="5FE44CA4">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173908F3"/>
    <w:multiLevelType w:val="hybridMultilevel"/>
    <w:tmpl w:val="28D609D2"/>
    <w:lvl w:ilvl="0" w:tplc="040C0005">
      <w:start w:val="1"/>
      <w:numFmt w:val="bullet"/>
      <w:lvlText w:val=""/>
      <w:lvlJc w:val="left"/>
      <w:pPr>
        <w:ind w:left="360" w:hanging="360"/>
      </w:pPr>
      <w:rPr>
        <w:rFonts w:ascii="Wingdings" w:hAnsi="Wingdings" w:hint="default"/>
        <w:b/>
        <w:i w:val="0"/>
        <w:caps w:val="0"/>
        <w:strike w:val="0"/>
        <w:dstrike w:val="0"/>
        <w:vanish w:val="0"/>
        <w:sz w:val="20"/>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8" w15:restartNumberingAfterBreak="0">
    <w:nsid w:val="17624659"/>
    <w:multiLevelType w:val="hybridMultilevel"/>
    <w:tmpl w:val="FFFFFFFF"/>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99" w15:restartNumberingAfterBreak="0">
    <w:nsid w:val="17927683"/>
    <w:multiLevelType w:val="hybridMultilevel"/>
    <w:tmpl w:val="4C68CB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0" w15:restartNumberingAfterBreak="0">
    <w:nsid w:val="17D160AC"/>
    <w:multiLevelType w:val="hybridMultilevel"/>
    <w:tmpl w:val="CD5AA49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18A0614D"/>
    <w:multiLevelType w:val="hybridMultilevel"/>
    <w:tmpl w:val="F384972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2" w15:restartNumberingAfterBreak="0">
    <w:nsid w:val="18AC2845"/>
    <w:multiLevelType w:val="hybridMultilevel"/>
    <w:tmpl w:val="05701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18AC33C3"/>
    <w:multiLevelType w:val="multilevel"/>
    <w:tmpl w:val="1FCAD34A"/>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4" w15:restartNumberingAfterBreak="0">
    <w:nsid w:val="18BA4A43"/>
    <w:multiLevelType w:val="multilevel"/>
    <w:tmpl w:val="5768C1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5" w15:restartNumberingAfterBreak="0">
    <w:nsid w:val="190216B9"/>
    <w:multiLevelType w:val="multilevel"/>
    <w:tmpl w:val="E654D3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19B86991"/>
    <w:multiLevelType w:val="hybridMultilevel"/>
    <w:tmpl w:val="597AF70C"/>
    <w:lvl w:ilvl="0" w:tplc="040C0005">
      <w:start w:val="1"/>
      <w:numFmt w:val="bullet"/>
      <w:lvlText w:val=""/>
      <w:lvlJc w:val="left"/>
      <w:pPr>
        <w:ind w:left="720" w:hanging="360"/>
      </w:pPr>
      <w:rPr>
        <w:rFonts w:ascii="Wingdings" w:hAnsi="Wingdings" w:hint="default"/>
      </w:rPr>
    </w:lvl>
    <w:lvl w:ilvl="1" w:tplc="CF4C1AC0">
      <w:numFmt w:val="bullet"/>
      <w:lvlText w:val="-"/>
      <w:lvlJc w:val="left"/>
      <w:pPr>
        <w:ind w:left="1068" w:hanging="360"/>
      </w:pPr>
      <w:rPr>
        <w:rFonts w:ascii="Calibri" w:eastAsiaTheme="minorHAnsi" w:hAnsi="Calibri" w:cs="Calibri"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1A06116E"/>
    <w:multiLevelType w:val="hybridMultilevel"/>
    <w:tmpl w:val="FC3C525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8" w15:restartNumberingAfterBreak="0">
    <w:nsid w:val="1A2E167F"/>
    <w:multiLevelType w:val="multilevel"/>
    <w:tmpl w:val="F0E4D97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A350F36"/>
    <w:multiLevelType w:val="multilevel"/>
    <w:tmpl w:val="6C64CF34"/>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1AB54DB2"/>
    <w:multiLevelType w:val="hybridMultilevel"/>
    <w:tmpl w:val="5FB06A1A"/>
    <w:lvl w:ilvl="0" w:tplc="040C0005">
      <w:start w:val="1"/>
      <w:numFmt w:val="bullet"/>
      <w:lvlText w:val=""/>
      <w:lvlJc w:val="left"/>
      <w:pPr>
        <w:ind w:left="720" w:hanging="360"/>
      </w:pPr>
      <w:rPr>
        <w:rFonts w:ascii="Wingdings" w:hAnsi="Wing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1B5676F3"/>
    <w:multiLevelType w:val="hybridMultilevel"/>
    <w:tmpl w:val="269EEBC6"/>
    <w:lvl w:ilvl="0" w:tplc="FFFFFFFF">
      <w:start w:val="1"/>
      <w:numFmt w:val="decimal"/>
      <w:lvlText w:val="%1."/>
      <w:lvlJc w:val="left"/>
      <w:pPr>
        <w:ind w:left="720" w:hanging="360"/>
      </w:pPr>
      <w:rPr>
        <w:rFonts w:hint="default"/>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1BD57A8F"/>
    <w:multiLevelType w:val="hybridMultilevel"/>
    <w:tmpl w:val="C966F9F2"/>
    <w:lvl w:ilvl="0" w:tplc="3DAEC486">
      <w:start w:val="16"/>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3" w15:restartNumberingAfterBreak="0">
    <w:nsid w:val="1BDF77C6"/>
    <w:multiLevelType w:val="hybridMultilevel"/>
    <w:tmpl w:val="5082E35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Verdana"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Verdan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Verdan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BE674C4"/>
    <w:multiLevelType w:val="hybridMultilevel"/>
    <w:tmpl w:val="8EB8940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1C2022E1"/>
    <w:multiLevelType w:val="hybridMultilevel"/>
    <w:tmpl w:val="6ECE3790"/>
    <w:lvl w:ilvl="0" w:tplc="55E225F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6" w15:restartNumberingAfterBreak="0">
    <w:nsid w:val="1C92348B"/>
    <w:multiLevelType w:val="hybridMultilevel"/>
    <w:tmpl w:val="FFFFFFFF"/>
    <w:lvl w:ilvl="0" w:tplc="6F7206F4">
      <w:start w:val="1"/>
      <w:numFmt w:val="upp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17" w15:restartNumberingAfterBreak="0">
    <w:nsid w:val="1CB752F4"/>
    <w:multiLevelType w:val="hybridMultilevel"/>
    <w:tmpl w:val="5D38BB56"/>
    <w:lvl w:ilvl="0" w:tplc="5FE44CA4">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8" w15:restartNumberingAfterBreak="0">
    <w:nsid w:val="1CF632A9"/>
    <w:multiLevelType w:val="hybridMultilevel"/>
    <w:tmpl w:val="8E7A7682"/>
    <w:lvl w:ilvl="0" w:tplc="69BA8E2E">
      <w:start w:val="1"/>
      <w:numFmt w:val="decimal"/>
      <w:lvlText w:val="%1-"/>
      <w:lvlJc w:val="left"/>
      <w:pPr>
        <w:ind w:left="612" w:hanging="360"/>
      </w:pPr>
      <w:rPr>
        <w:rFonts w:hint="default"/>
      </w:rPr>
    </w:lvl>
    <w:lvl w:ilvl="1" w:tplc="040C0019" w:tentative="1">
      <w:start w:val="1"/>
      <w:numFmt w:val="lowerLetter"/>
      <w:lvlText w:val="%2."/>
      <w:lvlJc w:val="left"/>
      <w:pPr>
        <w:ind w:left="1332" w:hanging="360"/>
      </w:pPr>
    </w:lvl>
    <w:lvl w:ilvl="2" w:tplc="040C001B" w:tentative="1">
      <w:start w:val="1"/>
      <w:numFmt w:val="lowerRoman"/>
      <w:lvlText w:val="%3."/>
      <w:lvlJc w:val="right"/>
      <w:pPr>
        <w:ind w:left="2052" w:hanging="180"/>
      </w:pPr>
    </w:lvl>
    <w:lvl w:ilvl="3" w:tplc="040C000F" w:tentative="1">
      <w:start w:val="1"/>
      <w:numFmt w:val="decimal"/>
      <w:lvlText w:val="%4."/>
      <w:lvlJc w:val="left"/>
      <w:pPr>
        <w:ind w:left="2772" w:hanging="360"/>
      </w:pPr>
    </w:lvl>
    <w:lvl w:ilvl="4" w:tplc="040C0019" w:tentative="1">
      <w:start w:val="1"/>
      <w:numFmt w:val="lowerLetter"/>
      <w:lvlText w:val="%5."/>
      <w:lvlJc w:val="left"/>
      <w:pPr>
        <w:ind w:left="3492" w:hanging="360"/>
      </w:pPr>
    </w:lvl>
    <w:lvl w:ilvl="5" w:tplc="040C001B" w:tentative="1">
      <w:start w:val="1"/>
      <w:numFmt w:val="lowerRoman"/>
      <w:lvlText w:val="%6."/>
      <w:lvlJc w:val="right"/>
      <w:pPr>
        <w:ind w:left="4212" w:hanging="180"/>
      </w:pPr>
    </w:lvl>
    <w:lvl w:ilvl="6" w:tplc="040C000F" w:tentative="1">
      <w:start w:val="1"/>
      <w:numFmt w:val="decimal"/>
      <w:lvlText w:val="%7."/>
      <w:lvlJc w:val="left"/>
      <w:pPr>
        <w:ind w:left="4932" w:hanging="360"/>
      </w:pPr>
    </w:lvl>
    <w:lvl w:ilvl="7" w:tplc="040C0019" w:tentative="1">
      <w:start w:val="1"/>
      <w:numFmt w:val="lowerLetter"/>
      <w:lvlText w:val="%8."/>
      <w:lvlJc w:val="left"/>
      <w:pPr>
        <w:ind w:left="5652" w:hanging="360"/>
      </w:pPr>
    </w:lvl>
    <w:lvl w:ilvl="8" w:tplc="040C001B" w:tentative="1">
      <w:start w:val="1"/>
      <w:numFmt w:val="lowerRoman"/>
      <w:lvlText w:val="%9."/>
      <w:lvlJc w:val="right"/>
      <w:pPr>
        <w:ind w:left="6372" w:hanging="180"/>
      </w:pPr>
    </w:lvl>
  </w:abstractNum>
  <w:abstractNum w:abstractNumId="119" w15:restartNumberingAfterBreak="0">
    <w:nsid w:val="1D0F0E55"/>
    <w:multiLevelType w:val="hybridMultilevel"/>
    <w:tmpl w:val="8FFAD3DA"/>
    <w:lvl w:ilvl="0" w:tplc="FFFFFFFF">
      <w:start w:val="1"/>
      <w:numFmt w:val="decimal"/>
      <w:lvlText w:val="%1."/>
      <w:lvlJc w:val="left"/>
      <w:pPr>
        <w:ind w:left="720" w:hanging="360"/>
      </w:pPr>
      <w:rPr>
        <w:rFonts w:hint="default"/>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1D30624F"/>
    <w:multiLevelType w:val="hybridMultilevel"/>
    <w:tmpl w:val="5D8C1C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1" w15:restartNumberingAfterBreak="0">
    <w:nsid w:val="1D463291"/>
    <w:multiLevelType w:val="hybridMultilevel"/>
    <w:tmpl w:val="08DE720E"/>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1D6B3BC7"/>
    <w:multiLevelType w:val="hybridMultilevel"/>
    <w:tmpl w:val="79228C1A"/>
    <w:lvl w:ilvl="0" w:tplc="4D648D56">
      <w:start w:val="1"/>
      <w:numFmt w:val="bullet"/>
      <w:lvlText w:val=""/>
      <w:lvlJc w:val="left"/>
      <w:pPr>
        <w:ind w:left="360" w:hanging="360"/>
      </w:pPr>
      <w:rPr>
        <w:rFonts w:ascii="Wingdings" w:hAnsi="Wingdings" w:hint="default"/>
        <w:sz w:val="24"/>
        <w:szCs w:val="24"/>
        <w:lang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3" w15:restartNumberingAfterBreak="0">
    <w:nsid w:val="1E4F75E5"/>
    <w:multiLevelType w:val="multilevel"/>
    <w:tmpl w:val="5004031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4" w15:restartNumberingAfterBreak="0">
    <w:nsid w:val="1EF7338B"/>
    <w:multiLevelType w:val="hybridMultilevel"/>
    <w:tmpl w:val="390A7F06"/>
    <w:lvl w:ilvl="0" w:tplc="6FAEF1C8">
      <w:start w:val="1"/>
      <w:numFmt w:val="bullet"/>
      <w:lvlText w:val=""/>
      <w:lvlPicBulletId w:val="0"/>
      <w:lvlJc w:val="left"/>
      <w:pPr>
        <w:tabs>
          <w:tab w:val="num" w:pos="720"/>
        </w:tabs>
        <w:ind w:left="720" w:hanging="360"/>
      </w:pPr>
      <w:rPr>
        <w:rFonts w:ascii="Symbol" w:hAnsi="Symbol" w:hint="default"/>
      </w:rPr>
    </w:lvl>
    <w:lvl w:ilvl="1" w:tplc="43DCCB04" w:tentative="1">
      <w:start w:val="1"/>
      <w:numFmt w:val="bullet"/>
      <w:lvlText w:val=""/>
      <w:lvlJc w:val="left"/>
      <w:pPr>
        <w:tabs>
          <w:tab w:val="num" w:pos="1440"/>
        </w:tabs>
        <w:ind w:left="1440" w:hanging="360"/>
      </w:pPr>
      <w:rPr>
        <w:rFonts w:ascii="Symbol" w:hAnsi="Symbol" w:hint="default"/>
      </w:rPr>
    </w:lvl>
    <w:lvl w:ilvl="2" w:tplc="CFAC9F46" w:tentative="1">
      <w:start w:val="1"/>
      <w:numFmt w:val="bullet"/>
      <w:lvlText w:val=""/>
      <w:lvlJc w:val="left"/>
      <w:pPr>
        <w:tabs>
          <w:tab w:val="num" w:pos="2160"/>
        </w:tabs>
        <w:ind w:left="2160" w:hanging="360"/>
      </w:pPr>
      <w:rPr>
        <w:rFonts w:ascii="Symbol" w:hAnsi="Symbol" w:hint="default"/>
      </w:rPr>
    </w:lvl>
    <w:lvl w:ilvl="3" w:tplc="C76AC0C2" w:tentative="1">
      <w:start w:val="1"/>
      <w:numFmt w:val="bullet"/>
      <w:lvlText w:val=""/>
      <w:lvlJc w:val="left"/>
      <w:pPr>
        <w:tabs>
          <w:tab w:val="num" w:pos="2880"/>
        </w:tabs>
        <w:ind w:left="2880" w:hanging="360"/>
      </w:pPr>
      <w:rPr>
        <w:rFonts w:ascii="Symbol" w:hAnsi="Symbol" w:hint="default"/>
      </w:rPr>
    </w:lvl>
    <w:lvl w:ilvl="4" w:tplc="61CAE3BC" w:tentative="1">
      <w:start w:val="1"/>
      <w:numFmt w:val="bullet"/>
      <w:lvlText w:val=""/>
      <w:lvlJc w:val="left"/>
      <w:pPr>
        <w:tabs>
          <w:tab w:val="num" w:pos="3600"/>
        </w:tabs>
        <w:ind w:left="3600" w:hanging="360"/>
      </w:pPr>
      <w:rPr>
        <w:rFonts w:ascii="Symbol" w:hAnsi="Symbol" w:hint="default"/>
      </w:rPr>
    </w:lvl>
    <w:lvl w:ilvl="5" w:tplc="2FA88E18" w:tentative="1">
      <w:start w:val="1"/>
      <w:numFmt w:val="bullet"/>
      <w:lvlText w:val=""/>
      <w:lvlJc w:val="left"/>
      <w:pPr>
        <w:tabs>
          <w:tab w:val="num" w:pos="4320"/>
        </w:tabs>
        <w:ind w:left="4320" w:hanging="360"/>
      </w:pPr>
      <w:rPr>
        <w:rFonts w:ascii="Symbol" w:hAnsi="Symbol" w:hint="default"/>
      </w:rPr>
    </w:lvl>
    <w:lvl w:ilvl="6" w:tplc="9D2AE7C4" w:tentative="1">
      <w:start w:val="1"/>
      <w:numFmt w:val="bullet"/>
      <w:lvlText w:val=""/>
      <w:lvlJc w:val="left"/>
      <w:pPr>
        <w:tabs>
          <w:tab w:val="num" w:pos="5040"/>
        </w:tabs>
        <w:ind w:left="5040" w:hanging="360"/>
      </w:pPr>
      <w:rPr>
        <w:rFonts w:ascii="Symbol" w:hAnsi="Symbol" w:hint="default"/>
      </w:rPr>
    </w:lvl>
    <w:lvl w:ilvl="7" w:tplc="07327ED0" w:tentative="1">
      <w:start w:val="1"/>
      <w:numFmt w:val="bullet"/>
      <w:lvlText w:val=""/>
      <w:lvlJc w:val="left"/>
      <w:pPr>
        <w:tabs>
          <w:tab w:val="num" w:pos="5760"/>
        </w:tabs>
        <w:ind w:left="5760" w:hanging="360"/>
      </w:pPr>
      <w:rPr>
        <w:rFonts w:ascii="Symbol" w:hAnsi="Symbol" w:hint="default"/>
      </w:rPr>
    </w:lvl>
    <w:lvl w:ilvl="8" w:tplc="762840C0" w:tentative="1">
      <w:start w:val="1"/>
      <w:numFmt w:val="bullet"/>
      <w:lvlText w:val=""/>
      <w:lvlJc w:val="left"/>
      <w:pPr>
        <w:tabs>
          <w:tab w:val="num" w:pos="6480"/>
        </w:tabs>
        <w:ind w:left="6480" w:hanging="360"/>
      </w:pPr>
      <w:rPr>
        <w:rFonts w:ascii="Symbol" w:hAnsi="Symbol" w:hint="default"/>
      </w:rPr>
    </w:lvl>
  </w:abstractNum>
  <w:abstractNum w:abstractNumId="125" w15:restartNumberingAfterBreak="0">
    <w:nsid w:val="1F2036CE"/>
    <w:multiLevelType w:val="multilevel"/>
    <w:tmpl w:val="67BAC6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6" w15:restartNumberingAfterBreak="0">
    <w:nsid w:val="1F2D2F34"/>
    <w:multiLevelType w:val="hybridMultilevel"/>
    <w:tmpl w:val="B7FCF2E6"/>
    <w:lvl w:ilvl="0" w:tplc="51686032">
      <w:numFmt w:val="bullet"/>
      <w:lvlText w:val="-"/>
      <w:lvlJc w:val="left"/>
      <w:pPr>
        <w:ind w:left="360" w:hanging="360"/>
      </w:pPr>
      <w:rPr>
        <w:rFonts w:ascii="Bookman Old Style" w:eastAsia="Times New Roman" w:hAnsi="Bookman Old Style"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7" w15:restartNumberingAfterBreak="0">
    <w:nsid w:val="1F650C20"/>
    <w:multiLevelType w:val="hybridMultilevel"/>
    <w:tmpl w:val="B2AAC6A6"/>
    <w:lvl w:ilvl="0" w:tplc="6BA87284">
      <w:start w:val="1"/>
      <w:numFmt w:val="bullet"/>
      <w:lvlText w:val=""/>
      <w:lvlPicBulletId w:val="1"/>
      <w:lvlJc w:val="left"/>
      <w:pPr>
        <w:ind w:left="117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8" w15:restartNumberingAfterBreak="0">
    <w:nsid w:val="1F7C1433"/>
    <w:multiLevelType w:val="multilevel"/>
    <w:tmpl w:val="23B40422"/>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9" w15:restartNumberingAfterBreak="0">
    <w:nsid w:val="1F8315E2"/>
    <w:multiLevelType w:val="hybridMultilevel"/>
    <w:tmpl w:val="FFFFFFFF"/>
    <w:lvl w:ilvl="0" w:tplc="4844EC8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5AD5AC">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5879A4">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3A4D58">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7281FA">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0ED996">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5C65CA">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B656C6">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8C8F06">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1F8613F3"/>
    <w:multiLevelType w:val="hybridMultilevel"/>
    <w:tmpl w:val="BB5A0CE2"/>
    <w:lvl w:ilvl="0" w:tplc="8B7A2FC8">
      <w:start w:val="1"/>
      <w:numFmt w:val="bullet"/>
      <w:lvlText w:val=""/>
      <w:lvlJc w:val="left"/>
      <w:pPr>
        <w:ind w:left="360" w:hanging="360"/>
      </w:pPr>
      <w:rPr>
        <w:rFonts w:ascii="Wingdings" w:hAnsi="Wingdings" w:hint="default"/>
        <w:sz w:val="24"/>
        <w:szCs w:val="24"/>
        <w:lang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1" w15:restartNumberingAfterBreak="0">
    <w:nsid w:val="1FA35A5A"/>
    <w:multiLevelType w:val="hybridMultilevel"/>
    <w:tmpl w:val="B3FC4396"/>
    <w:lvl w:ilvl="0" w:tplc="E03E50AE">
      <w:start w:val="1"/>
      <w:numFmt w:val="upperRoman"/>
      <w:lvlText w:val="%1."/>
      <w:lvlJc w:val="left"/>
      <w:pPr>
        <w:ind w:left="1080" w:hanging="720"/>
      </w:pPr>
      <w:rPr>
        <w:rFonts w:cs="Tahom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2" w15:restartNumberingAfterBreak="0">
    <w:nsid w:val="200D53F0"/>
    <w:multiLevelType w:val="hybridMultilevel"/>
    <w:tmpl w:val="E0FCB2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3" w15:restartNumberingAfterBreak="0">
    <w:nsid w:val="20242F88"/>
    <w:multiLevelType w:val="hybridMultilevel"/>
    <w:tmpl w:val="85CC5940"/>
    <w:lvl w:ilvl="0" w:tplc="E70EA8F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4" w15:restartNumberingAfterBreak="0">
    <w:nsid w:val="20243543"/>
    <w:multiLevelType w:val="multilevel"/>
    <w:tmpl w:val="3788C85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5" w15:restartNumberingAfterBreak="0">
    <w:nsid w:val="203E29EF"/>
    <w:multiLevelType w:val="hybridMultilevel"/>
    <w:tmpl w:val="3744AE8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Verdana"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Verdan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Verdan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20A50327"/>
    <w:multiLevelType w:val="hybridMultilevel"/>
    <w:tmpl w:val="34BEA7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7" w15:restartNumberingAfterBreak="0">
    <w:nsid w:val="20E05BB8"/>
    <w:multiLevelType w:val="hybridMultilevel"/>
    <w:tmpl w:val="650AA47A"/>
    <w:lvl w:ilvl="0" w:tplc="83D4BA10">
      <w:start w:val="1"/>
      <w:numFmt w:val="bullet"/>
      <w:lvlText w:val=""/>
      <w:lvlJc w:val="left"/>
      <w:pPr>
        <w:ind w:left="360" w:hanging="360"/>
      </w:pPr>
      <w:rPr>
        <w:rFonts w:ascii="Wingdings" w:hAnsi="Wingdings" w:hint="default"/>
        <w:b/>
        <w:sz w:val="24"/>
        <w:szCs w:val="24"/>
        <w:lang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8" w15:restartNumberingAfterBreak="0">
    <w:nsid w:val="20F92E8D"/>
    <w:multiLevelType w:val="multilevel"/>
    <w:tmpl w:val="0AACD64A"/>
    <w:lvl w:ilvl="0">
      <w:start w:val="1"/>
      <w:numFmt w:val="bullet"/>
      <w:lvlText w:val=""/>
      <w:lvlJc w:val="left"/>
      <w:pPr>
        <w:ind w:left="720" w:hanging="360"/>
      </w:pPr>
      <w:rPr>
        <w:rFonts w:ascii="Symbol" w:hAnsi="Symbol" w:hint="default"/>
        <w:b/>
      </w:rPr>
    </w:lvl>
    <w:lvl w:ilvl="1">
      <w:start w:val="1"/>
      <w:numFmt w:val="decimal"/>
      <w:lvlText w:val="%1.%2."/>
      <w:lvlJc w:val="left"/>
      <w:pPr>
        <w:ind w:left="1363" w:hanging="720"/>
      </w:pPr>
      <w:rPr>
        <w:b/>
      </w:rPr>
    </w:lvl>
    <w:lvl w:ilvl="2">
      <w:start w:val="1"/>
      <w:numFmt w:val="decimal"/>
      <w:lvlText w:val="%1.%2.%3."/>
      <w:lvlJc w:val="left"/>
      <w:pPr>
        <w:ind w:left="1647"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39" w15:restartNumberingAfterBreak="0">
    <w:nsid w:val="21961EC5"/>
    <w:multiLevelType w:val="hybridMultilevel"/>
    <w:tmpl w:val="57E41D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0" w15:restartNumberingAfterBreak="0">
    <w:nsid w:val="22780687"/>
    <w:multiLevelType w:val="hybridMultilevel"/>
    <w:tmpl w:val="39A4D3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1" w15:restartNumberingAfterBreak="0">
    <w:nsid w:val="2288043E"/>
    <w:multiLevelType w:val="multilevel"/>
    <w:tmpl w:val="DD849EC8"/>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2" w15:restartNumberingAfterBreak="0">
    <w:nsid w:val="22DF100D"/>
    <w:multiLevelType w:val="hybridMultilevel"/>
    <w:tmpl w:val="F38256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3" w15:restartNumberingAfterBreak="0">
    <w:nsid w:val="230832C3"/>
    <w:multiLevelType w:val="hybridMultilevel"/>
    <w:tmpl w:val="AD9846CE"/>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230E001C"/>
    <w:multiLevelType w:val="multilevel"/>
    <w:tmpl w:val="B012391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5" w15:restartNumberingAfterBreak="0">
    <w:nsid w:val="23342ECE"/>
    <w:multiLevelType w:val="hybridMultilevel"/>
    <w:tmpl w:val="7CF65330"/>
    <w:lvl w:ilvl="0" w:tplc="9C7CC0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6" w15:restartNumberingAfterBreak="0">
    <w:nsid w:val="23424DCE"/>
    <w:multiLevelType w:val="hybridMultilevel"/>
    <w:tmpl w:val="FFFFFFFF"/>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hint="default"/>
      </w:rPr>
    </w:lvl>
    <w:lvl w:ilvl="8" w:tplc="040C0005">
      <w:start w:val="1"/>
      <w:numFmt w:val="bullet"/>
      <w:lvlText w:val=""/>
      <w:lvlJc w:val="left"/>
      <w:pPr>
        <w:ind w:left="6828" w:hanging="360"/>
      </w:pPr>
      <w:rPr>
        <w:rFonts w:ascii="Wingdings" w:hAnsi="Wingdings" w:hint="default"/>
      </w:rPr>
    </w:lvl>
  </w:abstractNum>
  <w:abstractNum w:abstractNumId="147" w15:restartNumberingAfterBreak="0">
    <w:nsid w:val="23547751"/>
    <w:multiLevelType w:val="hybridMultilevel"/>
    <w:tmpl w:val="6CE8672E"/>
    <w:lvl w:ilvl="0" w:tplc="69BA8E2E">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8" w15:restartNumberingAfterBreak="0">
    <w:nsid w:val="23FC28DB"/>
    <w:multiLevelType w:val="hybridMultilevel"/>
    <w:tmpl w:val="AF04DA2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240F14B7"/>
    <w:multiLevelType w:val="hybridMultilevel"/>
    <w:tmpl w:val="698443FC"/>
    <w:lvl w:ilvl="0" w:tplc="04100009">
      <w:start w:val="5"/>
      <w:numFmt w:val="bullet"/>
      <w:lvlText w:val="-"/>
      <w:lvlPicBulletId w:val="1"/>
      <w:lvlJc w:val="left"/>
      <w:pPr>
        <w:ind w:left="720" w:hanging="360"/>
      </w:pPr>
      <w:rPr>
        <w:rFonts w:ascii="Times New Roman" w:eastAsia="Times New Roman" w:hAnsi="Times New Roman" w:cs="Times New Roman" w:hint="default"/>
        <w:color w:val="538135" w:themeColor="accent6" w:themeShade="B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0" w15:restartNumberingAfterBreak="0">
    <w:nsid w:val="2452188E"/>
    <w:multiLevelType w:val="hybridMultilevel"/>
    <w:tmpl w:val="4BE4E2E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1" w15:restartNumberingAfterBreak="0">
    <w:nsid w:val="247004C3"/>
    <w:multiLevelType w:val="hybridMultilevel"/>
    <w:tmpl w:val="9A4E446E"/>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52" w15:restartNumberingAfterBreak="0">
    <w:nsid w:val="24952AF6"/>
    <w:multiLevelType w:val="hybridMultilevel"/>
    <w:tmpl w:val="C77696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3" w15:restartNumberingAfterBreak="0">
    <w:nsid w:val="24A20A02"/>
    <w:multiLevelType w:val="hybridMultilevel"/>
    <w:tmpl w:val="89AE73B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4" w15:restartNumberingAfterBreak="0">
    <w:nsid w:val="24FF0969"/>
    <w:multiLevelType w:val="hybridMultilevel"/>
    <w:tmpl w:val="5B066C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5" w15:restartNumberingAfterBreak="0">
    <w:nsid w:val="25E150DB"/>
    <w:multiLevelType w:val="multilevel"/>
    <w:tmpl w:val="53F440D0"/>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i w:val="0"/>
        <w:i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6" w15:restartNumberingAfterBreak="0">
    <w:nsid w:val="27285376"/>
    <w:multiLevelType w:val="hybridMultilevel"/>
    <w:tmpl w:val="9CD4D8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7" w15:restartNumberingAfterBreak="0">
    <w:nsid w:val="276041C5"/>
    <w:multiLevelType w:val="multilevel"/>
    <w:tmpl w:val="B87AA5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8" w15:restartNumberingAfterBreak="0">
    <w:nsid w:val="2774595C"/>
    <w:multiLevelType w:val="multilevel"/>
    <w:tmpl w:val="ABC67C42"/>
    <w:styleLink w:val="WWOutlineListStyle6"/>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9" w15:restartNumberingAfterBreak="0">
    <w:nsid w:val="27773BC8"/>
    <w:multiLevelType w:val="hybridMultilevel"/>
    <w:tmpl w:val="4518FE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0" w15:restartNumberingAfterBreak="0">
    <w:nsid w:val="27912072"/>
    <w:multiLevelType w:val="hybridMultilevel"/>
    <w:tmpl w:val="EA2C2706"/>
    <w:lvl w:ilvl="0" w:tplc="040C0001">
      <w:start w:val="1"/>
      <w:numFmt w:val="bullet"/>
      <w:lvlText w:val=""/>
      <w:lvlJc w:val="left"/>
      <w:pPr>
        <w:ind w:left="861" w:hanging="360"/>
      </w:pPr>
      <w:rPr>
        <w:rFonts w:ascii="Symbol" w:hAnsi="Symbol"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61" w15:restartNumberingAfterBreak="0">
    <w:nsid w:val="28347D4E"/>
    <w:multiLevelType w:val="hybridMultilevel"/>
    <w:tmpl w:val="BDA4C824"/>
    <w:lvl w:ilvl="0" w:tplc="35CEAFF6">
      <w:start w:val="1"/>
      <w:numFmt w:val="decimal"/>
      <w:lvlText w:val="3.%1."/>
      <w:lvlJc w:val="left"/>
      <w:pPr>
        <w:tabs>
          <w:tab w:val="num" w:pos="1357"/>
        </w:tabs>
        <w:ind w:left="1357" w:hanging="360"/>
      </w:pPr>
      <w:rPr>
        <w:rFonts w:cs="Times New Roman"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2" w15:restartNumberingAfterBreak="0">
    <w:nsid w:val="285219F6"/>
    <w:multiLevelType w:val="hybridMultilevel"/>
    <w:tmpl w:val="5A840CC2"/>
    <w:lvl w:ilvl="0" w:tplc="1F94B844">
      <w:start w:val="1"/>
      <w:numFmt w:val="decimal"/>
      <w:lvlText w:val="5.1.%1."/>
      <w:lvlJc w:val="center"/>
      <w:pPr>
        <w:ind w:left="720" w:hanging="360"/>
      </w:pPr>
      <w:rPr>
        <w:rFonts w:hint="default"/>
        <w:b w:val="0"/>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3" w15:restartNumberingAfterBreak="0">
    <w:nsid w:val="28D95163"/>
    <w:multiLevelType w:val="hybridMultilevel"/>
    <w:tmpl w:val="0C94F788"/>
    <w:lvl w:ilvl="0" w:tplc="C16A825E">
      <w:start w:val="1"/>
      <w:numFmt w:val="upperLetter"/>
      <w:lvlText w:val="%1)"/>
      <w:lvlJc w:val="left"/>
      <w:pPr>
        <w:tabs>
          <w:tab w:val="num" w:pos="1440"/>
        </w:tabs>
        <w:ind w:left="1440" w:hanging="360"/>
      </w:pPr>
      <w:rPr>
        <w:rFonts w:cs="Times New Roman"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4" w15:restartNumberingAfterBreak="0">
    <w:nsid w:val="2989381A"/>
    <w:multiLevelType w:val="hybridMultilevel"/>
    <w:tmpl w:val="FE4408AA"/>
    <w:lvl w:ilvl="0" w:tplc="F7B0CA48">
      <w:start w:val="1"/>
      <w:numFmt w:val="lowerRoman"/>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5" w15:restartNumberingAfterBreak="0">
    <w:nsid w:val="29A71EBB"/>
    <w:multiLevelType w:val="hybridMultilevel"/>
    <w:tmpl w:val="369C87D0"/>
    <w:lvl w:ilvl="0" w:tplc="4ABC7052">
      <w:start w:val="1"/>
      <w:numFmt w:val="decimal"/>
      <w:lvlText w:val=" %1."/>
      <w:lvlJc w:val="left"/>
      <w:pPr>
        <w:ind w:left="720" w:hanging="360"/>
      </w:pPr>
      <w:rPr>
        <w:rFonts w:hint="default"/>
      </w:rPr>
    </w:lvl>
    <w:lvl w:ilvl="1" w:tplc="BF4AF504">
      <w:start w:val="1"/>
      <w:numFmt w:val="decimal"/>
      <w:lvlText w:val="%2-"/>
      <w:lvlJc w:val="left"/>
      <w:pPr>
        <w:ind w:left="1440" w:hanging="360"/>
      </w:pPr>
      <w:rPr>
        <w:rFonts w:hint="default"/>
        <w:b/>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6" w15:restartNumberingAfterBreak="0">
    <w:nsid w:val="29E4440E"/>
    <w:multiLevelType w:val="hybridMultilevel"/>
    <w:tmpl w:val="860E3950"/>
    <w:lvl w:ilvl="0" w:tplc="FFFFFFFF">
      <w:start w:val="1"/>
      <w:numFmt w:val="bullet"/>
      <w:lvlText w:val=""/>
      <w:lvlJc w:val="left"/>
      <w:pPr>
        <w:ind w:left="360" w:hanging="360"/>
      </w:pPr>
      <w:rPr>
        <w:rFonts w:ascii="Wingdings" w:hAnsi="Wingdings" w:hint="default"/>
      </w:rPr>
    </w:lvl>
    <w:lvl w:ilvl="1" w:tplc="040C0005">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7" w15:restartNumberingAfterBreak="0">
    <w:nsid w:val="2A332B4F"/>
    <w:multiLevelType w:val="hybridMultilevel"/>
    <w:tmpl w:val="FFFFFFFF"/>
    <w:lvl w:ilvl="0" w:tplc="4AF4E212">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16E78A">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468C38">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D4E80A">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C2328A">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1E20D6">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8A81B8">
      <w:start w:val="1"/>
      <w:numFmt w:val="bullet"/>
      <w:lvlText w:val="•"/>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0E460E">
      <w:start w:val="1"/>
      <w:numFmt w:val="bullet"/>
      <w:lvlText w:val="o"/>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B6F1DA">
      <w:start w:val="1"/>
      <w:numFmt w:val="bullet"/>
      <w:lvlText w:val="▪"/>
      <w:lvlJc w:val="left"/>
      <w:pPr>
        <w:ind w:left="72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8" w15:restartNumberingAfterBreak="0">
    <w:nsid w:val="2A595740"/>
    <w:multiLevelType w:val="hybridMultilevel"/>
    <w:tmpl w:val="4E5ED3F8"/>
    <w:lvl w:ilvl="0" w:tplc="939C525E">
      <w:start w:val="1"/>
      <w:numFmt w:val="decimal"/>
      <w:lvlText w:val="%1."/>
      <w:lvlJc w:val="left"/>
      <w:pPr>
        <w:ind w:left="502" w:hanging="360"/>
      </w:pPr>
    </w:lvl>
    <w:lvl w:ilvl="1" w:tplc="040C0019">
      <w:start w:val="1"/>
      <w:numFmt w:val="lowerLetter"/>
      <w:lvlText w:val="%2."/>
      <w:lvlJc w:val="left"/>
      <w:pPr>
        <w:ind w:left="1222" w:hanging="360"/>
      </w:pPr>
    </w:lvl>
    <w:lvl w:ilvl="2" w:tplc="040C001B">
      <w:start w:val="1"/>
      <w:numFmt w:val="lowerRoman"/>
      <w:lvlText w:val="%3."/>
      <w:lvlJc w:val="right"/>
      <w:pPr>
        <w:ind w:left="1942" w:hanging="180"/>
      </w:pPr>
    </w:lvl>
    <w:lvl w:ilvl="3" w:tplc="040C000F">
      <w:start w:val="1"/>
      <w:numFmt w:val="decimal"/>
      <w:lvlText w:val="%4."/>
      <w:lvlJc w:val="left"/>
      <w:pPr>
        <w:ind w:left="2662" w:hanging="360"/>
      </w:pPr>
    </w:lvl>
    <w:lvl w:ilvl="4" w:tplc="040C0019">
      <w:start w:val="1"/>
      <w:numFmt w:val="lowerLetter"/>
      <w:lvlText w:val="%5."/>
      <w:lvlJc w:val="left"/>
      <w:pPr>
        <w:ind w:left="3382" w:hanging="360"/>
      </w:pPr>
    </w:lvl>
    <w:lvl w:ilvl="5" w:tplc="040C001B">
      <w:start w:val="1"/>
      <w:numFmt w:val="lowerRoman"/>
      <w:lvlText w:val="%6."/>
      <w:lvlJc w:val="right"/>
      <w:pPr>
        <w:ind w:left="4102" w:hanging="180"/>
      </w:pPr>
    </w:lvl>
    <w:lvl w:ilvl="6" w:tplc="040C000F">
      <w:start w:val="1"/>
      <w:numFmt w:val="decimal"/>
      <w:lvlText w:val="%7."/>
      <w:lvlJc w:val="left"/>
      <w:pPr>
        <w:ind w:left="4822" w:hanging="360"/>
      </w:pPr>
    </w:lvl>
    <w:lvl w:ilvl="7" w:tplc="040C0019">
      <w:start w:val="1"/>
      <w:numFmt w:val="lowerLetter"/>
      <w:lvlText w:val="%8."/>
      <w:lvlJc w:val="left"/>
      <w:pPr>
        <w:ind w:left="5542" w:hanging="360"/>
      </w:pPr>
    </w:lvl>
    <w:lvl w:ilvl="8" w:tplc="040C001B">
      <w:start w:val="1"/>
      <w:numFmt w:val="lowerRoman"/>
      <w:lvlText w:val="%9."/>
      <w:lvlJc w:val="right"/>
      <w:pPr>
        <w:ind w:left="6262" w:hanging="180"/>
      </w:pPr>
    </w:lvl>
  </w:abstractNum>
  <w:abstractNum w:abstractNumId="169" w15:restartNumberingAfterBreak="0">
    <w:nsid w:val="2A8159B5"/>
    <w:multiLevelType w:val="hybridMultilevel"/>
    <w:tmpl w:val="34BEA7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0" w15:restartNumberingAfterBreak="0">
    <w:nsid w:val="2A8F7C16"/>
    <w:multiLevelType w:val="hybridMultilevel"/>
    <w:tmpl w:val="621AFFA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1" w15:restartNumberingAfterBreak="0">
    <w:nsid w:val="2AC20E30"/>
    <w:multiLevelType w:val="multilevel"/>
    <w:tmpl w:val="D7D804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AF64D17"/>
    <w:multiLevelType w:val="multilevel"/>
    <w:tmpl w:val="7D4062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BF471AD"/>
    <w:multiLevelType w:val="hybridMultilevel"/>
    <w:tmpl w:val="0AC21CB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4" w15:restartNumberingAfterBreak="0">
    <w:nsid w:val="2BFB7CF8"/>
    <w:multiLevelType w:val="hybridMultilevel"/>
    <w:tmpl w:val="CA96878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2C2A13C6"/>
    <w:multiLevelType w:val="multilevel"/>
    <w:tmpl w:val="6BEE13F0"/>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6" w15:restartNumberingAfterBreak="0">
    <w:nsid w:val="2C49180B"/>
    <w:multiLevelType w:val="multilevel"/>
    <w:tmpl w:val="02E8FE34"/>
    <w:lvl w:ilvl="0">
      <w:start w:val="1"/>
      <w:numFmt w:val="decimal"/>
      <w:lvlText w:val="%1"/>
      <w:lvlJc w:val="left"/>
      <w:pPr>
        <w:ind w:left="1779" w:hanging="361"/>
      </w:pPr>
      <w:rPr>
        <w:rFonts w:hint="default"/>
        <w:lang w:val="fr-FR" w:eastAsia="en-US" w:bidi="ar-SA"/>
      </w:rPr>
    </w:lvl>
    <w:lvl w:ilvl="1">
      <w:start w:val="1"/>
      <w:numFmt w:val="decimal"/>
      <w:lvlText w:val="%1.%2."/>
      <w:lvlJc w:val="left"/>
      <w:pPr>
        <w:ind w:left="1779" w:hanging="361"/>
      </w:pPr>
      <w:rPr>
        <w:rFonts w:ascii="Times New Roman" w:eastAsia="Times New Roman" w:hAnsi="Times New Roman" w:cs="Times New Roman" w:hint="default"/>
        <w:b/>
        <w:bCs/>
        <w:i w:val="0"/>
        <w:iCs w:val="0"/>
        <w:color w:val="0071C4"/>
        <w:spacing w:val="0"/>
        <w:w w:val="100"/>
        <w:sz w:val="22"/>
        <w:szCs w:val="22"/>
        <w:lang w:val="fr-FR" w:eastAsia="en-US" w:bidi="ar-SA"/>
      </w:rPr>
    </w:lvl>
    <w:lvl w:ilvl="2">
      <w:start w:val="1"/>
      <w:numFmt w:val="decimal"/>
      <w:lvlText w:val="%1.%2.%3"/>
      <w:lvlJc w:val="left"/>
      <w:pPr>
        <w:ind w:left="1418" w:hanging="567"/>
      </w:pPr>
      <w:rPr>
        <w:rFonts w:hint="default"/>
        <w:spacing w:val="0"/>
        <w:w w:val="100"/>
        <w:lang w:val="fr-FR" w:eastAsia="en-US" w:bidi="ar-SA"/>
      </w:rPr>
    </w:lvl>
    <w:lvl w:ilvl="3">
      <w:numFmt w:val="bullet"/>
      <w:lvlText w:val=""/>
      <w:lvlJc w:val="left"/>
      <w:pPr>
        <w:ind w:left="2139" w:hanging="361"/>
      </w:pPr>
      <w:rPr>
        <w:rFonts w:ascii="Wingdings" w:eastAsia="Wingdings" w:hAnsi="Wingdings" w:cs="Wingdings" w:hint="default"/>
        <w:b w:val="0"/>
        <w:bCs w:val="0"/>
        <w:i w:val="0"/>
        <w:iCs w:val="0"/>
        <w:spacing w:val="0"/>
        <w:w w:val="100"/>
        <w:sz w:val="22"/>
        <w:szCs w:val="22"/>
        <w:lang w:val="fr-FR" w:eastAsia="en-US" w:bidi="ar-SA"/>
      </w:rPr>
    </w:lvl>
    <w:lvl w:ilvl="4">
      <w:numFmt w:val="bullet"/>
      <w:lvlText w:val="•"/>
      <w:lvlJc w:val="left"/>
      <w:pPr>
        <w:ind w:left="4581" w:hanging="361"/>
      </w:pPr>
      <w:rPr>
        <w:rFonts w:hint="default"/>
        <w:lang w:val="fr-FR" w:eastAsia="en-US" w:bidi="ar-SA"/>
      </w:rPr>
    </w:lvl>
    <w:lvl w:ilvl="5">
      <w:numFmt w:val="bullet"/>
      <w:lvlText w:val="•"/>
      <w:lvlJc w:val="left"/>
      <w:pPr>
        <w:ind w:left="5802" w:hanging="361"/>
      </w:pPr>
      <w:rPr>
        <w:rFonts w:hint="default"/>
        <w:lang w:val="fr-FR" w:eastAsia="en-US" w:bidi="ar-SA"/>
      </w:rPr>
    </w:lvl>
    <w:lvl w:ilvl="6">
      <w:numFmt w:val="bullet"/>
      <w:lvlText w:val="•"/>
      <w:lvlJc w:val="left"/>
      <w:pPr>
        <w:ind w:left="7022" w:hanging="361"/>
      </w:pPr>
      <w:rPr>
        <w:rFonts w:hint="default"/>
        <w:lang w:val="fr-FR" w:eastAsia="en-US" w:bidi="ar-SA"/>
      </w:rPr>
    </w:lvl>
    <w:lvl w:ilvl="7">
      <w:numFmt w:val="bullet"/>
      <w:lvlText w:val="•"/>
      <w:lvlJc w:val="left"/>
      <w:pPr>
        <w:ind w:left="8243" w:hanging="361"/>
      </w:pPr>
      <w:rPr>
        <w:rFonts w:hint="default"/>
        <w:lang w:val="fr-FR" w:eastAsia="en-US" w:bidi="ar-SA"/>
      </w:rPr>
    </w:lvl>
    <w:lvl w:ilvl="8">
      <w:numFmt w:val="bullet"/>
      <w:lvlText w:val="•"/>
      <w:lvlJc w:val="left"/>
      <w:pPr>
        <w:ind w:left="9464" w:hanging="361"/>
      </w:pPr>
      <w:rPr>
        <w:rFonts w:hint="default"/>
        <w:lang w:val="fr-FR" w:eastAsia="en-US" w:bidi="ar-SA"/>
      </w:rPr>
    </w:lvl>
  </w:abstractNum>
  <w:abstractNum w:abstractNumId="177" w15:restartNumberingAfterBreak="0">
    <w:nsid w:val="2C7E10D4"/>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8" w15:restartNumberingAfterBreak="0">
    <w:nsid w:val="2C9F7A92"/>
    <w:multiLevelType w:val="hybridMultilevel"/>
    <w:tmpl w:val="019C26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9" w15:restartNumberingAfterBreak="0">
    <w:nsid w:val="2CA43BFA"/>
    <w:multiLevelType w:val="hybridMultilevel"/>
    <w:tmpl w:val="5B7646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0" w15:restartNumberingAfterBreak="0">
    <w:nsid w:val="2D000EE9"/>
    <w:multiLevelType w:val="hybridMultilevel"/>
    <w:tmpl w:val="4392B2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1" w15:restartNumberingAfterBreak="0">
    <w:nsid w:val="2D041FA6"/>
    <w:multiLevelType w:val="hybridMultilevel"/>
    <w:tmpl w:val="C46E460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2" w15:restartNumberingAfterBreak="0">
    <w:nsid w:val="2D0A2479"/>
    <w:multiLevelType w:val="multilevel"/>
    <w:tmpl w:val="0136F7CA"/>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3" w15:restartNumberingAfterBreak="0">
    <w:nsid w:val="2D2B0953"/>
    <w:multiLevelType w:val="hybridMultilevel"/>
    <w:tmpl w:val="C636ABFE"/>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4" w15:restartNumberingAfterBreak="0">
    <w:nsid w:val="2D5144DD"/>
    <w:multiLevelType w:val="hybridMultilevel"/>
    <w:tmpl w:val="4C920674"/>
    <w:lvl w:ilvl="0" w:tplc="F09E93C6">
      <w:start w:val="1"/>
      <w:numFmt w:val="decimal"/>
      <w:lvlText w:val="%1-"/>
      <w:lvlJc w:val="left"/>
      <w:pPr>
        <w:ind w:left="25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5" w15:restartNumberingAfterBreak="0">
    <w:nsid w:val="2D932A46"/>
    <w:multiLevelType w:val="hybridMultilevel"/>
    <w:tmpl w:val="FBB02D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6" w15:restartNumberingAfterBreak="0">
    <w:nsid w:val="2D9913F8"/>
    <w:multiLevelType w:val="hybridMultilevel"/>
    <w:tmpl w:val="68700E72"/>
    <w:lvl w:ilvl="0" w:tplc="FFFFFFFF">
      <w:start w:val="1"/>
      <w:numFmt w:val="decimal"/>
      <w:lvlText w:val="%1."/>
      <w:lvlJc w:val="left"/>
      <w:pPr>
        <w:ind w:left="720" w:hanging="360"/>
      </w:pPr>
      <w:rPr>
        <w:rFonts w:hint="default"/>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2DBA0206"/>
    <w:multiLevelType w:val="multilevel"/>
    <w:tmpl w:val="B4CC77F0"/>
    <w:lvl w:ilvl="0">
      <w:start w:val="1"/>
      <w:numFmt w:val="bullet"/>
      <w:lvlText w:val="-"/>
      <w:lvlJc w:val="left"/>
      <w:pPr>
        <w:tabs>
          <w:tab w:val="left" w:pos="288"/>
        </w:tabs>
        <w:ind w:left="720" w:firstLine="0"/>
      </w:pPr>
      <w:rPr>
        <w:rFonts w:ascii="Times New Roman" w:eastAsia="Times New Roman" w:hAnsi="Times New Roman" w:cs="Times New Roman" w:hint="default"/>
        <w:color w:val="000000"/>
        <w:spacing w:val="0"/>
        <w:w w:val="100"/>
        <w:sz w:val="17"/>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8" w15:restartNumberingAfterBreak="0">
    <w:nsid w:val="2DE033A7"/>
    <w:multiLevelType w:val="multilevel"/>
    <w:tmpl w:val="3036110C"/>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9" w15:restartNumberingAfterBreak="0">
    <w:nsid w:val="2E1E012E"/>
    <w:multiLevelType w:val="hybridMultilevel"/>
    <w:tmpl w:val="D2D0FE20"/>
    <w:lvl w:ilvl="0" w:tplc="E542B4D6">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0" w15:restartNumberingAfterBreak="0">
    <w:nsid w:val="2E2B7011"/>
    <w:multiLevelType w:val="hybridMultilevel"/>
    <w:tmpl w:val="0040D3AE"/>
    <w:lvl w:ilvl="0" w:tplc="4282D4D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91" w15:restartNumberingAfterBreak="0">
    <w:nsid w:val="2E4661EF"/>
    <w:multiLevelType w:val="hybridMultilevel"/>
    <w:tmpl w:val="FFFFFFFF"/>
    <w:lvl w:ilvl="0" w:tplc="41F23E76">
      <w:start w:val="1"/>
      <w:numFmt w:val="upperRoman"/>
      <w:lvlText w:val="(%1)"/>
      <w:lvlJc w:val="left"/>
      <w:pPr>
        <w:ind w:left="1080" w:hanging="72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92" w15:restartNumberingAfterBreak="0">
    <w:nsid w:val="2ED00AD1"/>
    <w:multiLevelType w:val="hybridMultilevel"/>
    <w:tmpl w:val="275EC652"/>
    <w:lvl w:ilvl="0" w:tplc="FB849B02">
      <w:start w:val="1"/>
      <w:numFmt w:val="lowerRoman"/>
      <w:lvlText w:val="(%1)"/>
      <w:lvlJc w:val="left"/>
      <w:pPr>
        <w:ind w:left="1080" w:hanging="720"/>
      </w:pPr>
      <w:rPr>
        <w:rFonts w:hint="default"/>
        <w:b/>
        <w:i/>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2EFC35A3"/>
    <w:multiLevelType w:val="multilevel"/>
    <w:tmpl w:val="B936F7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2F034335"/>
    <w:multiLevelType w:val="hybridMultilevel"/>
    <w:tmpl w:val="05B66CEA"/>
    <w:lvl w:ilvl="0" w:tplc="BF605D56">
      <w:start w:val="1"/>
      <w:numFmt w:val="upperLetter"/>
      <w:lvlText w:val="%1."/>
      <w:lvlJc w:val="left"/>
      <w:pPr>
        <w:ind w:left="2131" w:hanging="356"/>
      </w:pPr>
      <w:rPr>
        <w:rFonts w:hint="default"/>
        <w:spacing w:val="-1"/>
        <w:w w:val="100"/>
        <w:lang w:val="fr-FR" w:eastAsia="en-US" w:bidi="ar-SA"/>
      </w:rPr>
    </w:lvl>
    <w:lvl w:ilvl="1" w:tplc="16DEB83C">
      <w:numFmt w:val="bullet"/>
      <w:lvlText w:val="•"/>
      <w:lvlJc w:val="left"/>
      <w:pPr>
        <w:ind w:left="3116" w:hanging="356"/>
      </w:pPr>
      <w:rPr>
        <w:rFonts w:hint="default"/>
        <w:lang w:val="fr-FR" w:eastAsia="en-US" w:bidi="ar-SA"/>
      </w:rPr>
    </w:lvl>
    <w:lvl w:ilvl="2" w:tplc="8DCAEE3E">
      <w:numFmt w:val="bullet"/>
      <w:lvlText w:val="•"/>
      <w:lvlJc w:val="left"/>
      <w:pPr>
        <w:ind w:left="4093" w:hanging="356"/>
      </w:pPr>
      <w:rPr>
        <w:rFonts w:hint="default"/>
        <w:lang w:val="fr-FR" w:eastAsia="en-US" w:bidi="ar-SA"/>
      </w:rPr>
    </w:lvl>
    <w:lvl w:ilvl="3" w:tplc="4670A8EE">
      <w:numFmt w:val="bullet"/>
      <w:lvlText w:val="•"/>
      <w:lvlJc w:val="left"/>
      <w:pPr>
        <w:ind w:left="5069" w:hanging="356"/>
      </w:pPr>
      <w:rPr>
        <w:rFonts w:hint="default"/>
        <w:lang w:val="fr-FR" w:eastAsia="en-US" w:bidi="ar-SA"/>
      </w:rPr>
    </w:lvl>
    <w:lvl w:ilvl="4" w:tplc="516AAF34">
      <w:numFmt w:val="bullet"/>
      <w:lvlText w:val="•"/>
      <w:lvlJc w:val="left"/>
      <w:pPr>
        <w:ind w:left="6046" w:hanging="356"/>
      </w:pPr>
      <w:rPr>
        <w:rFonts w:hint="default"/>
        <w:lang w:val="fr-FR" w:eastAsia="en-US" w:bidi="ar-SA"/>
      </w:rPr>
    </w:lvl>
    <w:lvl w:ilvl="5" w:tplc="CB26EDB4">
      <w:numFmt w:val="bullet"/>
      <w:lvlText w:val="•"/>
      <w:lvlJc w:val="left"/>
      <w:pPr>
        <w:ind w:left="7022" w:hanging="356"/>
      </w:pPr>
      <w:rPr>
        <w:rFonts w:hint="default"/>
        <w:lang w:val="fr-FR" w:eastAsia="en-US" w:bidi="ar-SA"/>
      </w:rPr>
    </w:lvl>
    <w:lvl w:ilvl="6" w:tplc="D7D0C32E">
      <w:numFmt w:val="bullet"/>
      <w:lvlText w:val="•"/>
      <w:lvlJc w:val="left"/>
      <w:pPr>
        <w:ind w:left="7999" w:hanging="356"/>
      </w:pPr>
      <w:rPr>
        <w:rFonts w:hint="default"/>
        <w:lang w:val="fr-FR" w:eastAsia="en-US" w:bidi="ar-SA"/>
      </w:rPr>
    </w:lvl>
    <w:lvl w:ilvl="7" w:tplc="2CBC8138">
      <w:numFmt w:val="bullet"/>
      <w:lvlText w:val="•"/>
      <w:lvlJc w:val="left"/>
      <w:pPr>
        <w:ind w:left="8975" w:hanging="356"/>
      </w:pPr>
      <w:rPr>
        <w:rFonts w:hint="default"/>
        <w:lang w:val="fr-FR" w:eastAsia="en-US" w:bidi="ar-SA"/>
      </w:rPr>
    </w:lvl>
    <w:lvl w:ilvl="8" w:tplc="BA6681F8">
      <w:numFmt w:val="bullet"/>
      <w:lvlText w:val="•"/>
      <w:lvlJc w:val="left"/>
      <w:pPr>
        <w:ind w:left="9952" w:hanging="356"/>
      </w:pPr>
      <w:rPr>
        <w:rFonts w:hint="default"/>
        <w:lang w:val="fr-FR" w:eastAsia="en-US" w:bidi="ar-SA"/>
      </w:rPr>
    </w:lvl>
  </w:abstractNum>
  <w:abstractNum w:abstractNumId="195" w15:restartNumberingAfterBreak="0">
    <w:nsid w:val="2F215121"/>
    <w:multiLevelType w:val="hybridMultilevel"/>
    <w:tmpl w:val="D46CF0FE"/>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2F6B579D"/>
    <w:multiLevelType w:val="hybridMultilevel"/>
    <w:tmpl w:val="CDB64B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7" w15:restartNumberingAfterBreak="0">
    <w:nsid w:val="30417110"/>
    <w:multiLevelType w:val="hybridMultilevel"/>
    <w:tmpl w:val="CBD2EF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8" w15:restartNumberingAfterBreak="0">
    <w:nsid w:val="3064291A"/>
    <w:multiLevelType w:val="multilevel"/>
    <w:tmpl w:val="F4921420"/>
    <w:lvl w:ilvl="0">
      <w:start w:val="9"/>
      <w:numFmt w:val="decimal"/>
      <w:lvlText w:val="%1"/>
      <w:lvlJc w:val="left"/>
      <w:pPr>
        <w:ind w:left="899" w:hanging="451"/>
      </w:pPr>
      <w:rPr>
        <w:rFonts w:hint="default"/>
        <w:lang w:val="fr-FR" w:eastAsia="en-US" w:bidi="ar-SA"/>
      </w:rPr>
    </w:lvl>
    <w:lvl w:ilvl="1">
      <w:start w:val="1"/>
      <w:numFmt w:val="decimal"/>
      <w:lvlText w:val="%1.%2."/>
      <w:lvlJc w:val="left"/>
      <w:pPr>
        <w:ind w:left="899" w:hanging="451"/>
      </w:pPr>
      <w:rPr>
        <w:rFonts w:ascii="Calibri Light" w:eastAsia="Calibri Light" w:hAnsi="Calibri Light" w:cs="Calibri Light" w:hint="default"/>
        <w:b w:val="0"/>
        <w:bCs w:val="0"/>
        <w:i w:val="0"/>
        <w:iCs w:val="0"/>
        <w:color w:val="2D74B5"/>
        <w:spacing w:val="-1"/>
        <w:w w:val="99"/>
        <w:sz w:val="26"/>
        <w:szCs w:val="26"/>
        <w:lang w:val="fr-FR" w:eastAsia="en-US" w:bidi="ar-SA"/>
      </w:rPr>
    </w:lvl>
    <w:lvl w:ilvl="2">
      <w:numFmt w:val="bullet"/>
      <w:lvlText w:val=""/>
      <w:lvlJc w:val="left"/>
      <w:pPr>
        <w:ind w:left="1161" w:hanging="356"/>
      </w:pPr>
      <w:rPr>
        <w:rFonts w:ascii="Wingdings" w:eastAsia="Wingdings" w:hAnsi="Wingdings" w:cs="Wingdings" w:hint="default"/>
        <w:b w:val="0"/>
        <w:bCs w:val="0"/>
        <w:i w:val="0"/>
        <w:iCs w:val="0"/>
        <w:spacing w:val="0"/>
        <w:w w:val="100"/>
        <w:sz w:val="24"/>
        <w:szCs w:val="24"/>
        <w:lang w:val="fr-FR" w:eastAsia="en-US" w:bidi="ar-SA"/>
      </w:rPr>
    </w:lvl>
    <w:lvl w:ilvl="3">
      <w:numFmt w:val="bullet"/>
      <w:lvlText w:val="•"/>
      <w:lvlJc w:val="left"/>
      <w:pPr>
        <w:ind w:left="3170" w:hanging="356"/>
      </w:pPr>
      <w:rPr>
        <w:rFonts w:hint="default"/>
        <w:lang w:val="fr-FR" w:eastAsia="en-US" w:bidi="ar-SA"/>
      </w:rPr>
    </w:lvl>
    <w:lvl w:ilvl="4">
      <w:numFmt w:val="bullet"/>
      <w:lvlText w:val="•"/>
      <w:lvlJc w:val="left"/>
      <w:pPr>
        <w:ind w:left="4175" w:hanging="356"/>
      </w:pPr>
      <w:rPr>
        <w:rFonts w:hint="default"/>
        <w:lang w:val="fr-FR" w:eastAsia="en-US" w:bidi="ar-SA"/>
      </w:rPr>
    </w:lvl>
    <w:lvl w:ilvl="5">
      <w:numFmt w:val="bullet"/>
      <w:lvlText w:val="•"/>
      <w:lvlJc w:val="left"/>
      <w:pPr>
        <w:ind w:left="5180" w:hanging="356"/>
      </w:pPr>
      <w:rPr>
        <w:rFonts w:hint="default"/>
        <w:lang w:val="fr-FR" w:eastAsia="en-US" w:bidi="ar-SA"/>
      </w:rPr>
    </w:lvl>
    <w:lvl w:ilvl="6">
      <w:numFmt w:val="bullet"/>
      <w:lvlText w:val="•"/>
      <w:lvlJc w:val="left"/>
      <w:pPr>
        <w:ind w:left="6185" w:hanging="356"/>
      </w:pPr>
      <w:rPr>
        <w:rFonts w:hint="default"/>
        <w:lang w:val="fr-FR" w:eastAsia="en-US" w:bidi="ar-SA"/>
      </w:rPr>
    </w:lvl>
    <w:lvl w:ilvl="7">
      <w:numFmt w:val="bullet"/>
      <w:lvlText w:val="•"/>
      <w:lvlJc w:val="left"/>
      <w:pPr>
        <w:ind w:left="7190" w:hanging="356"/>
      </w:pPr>
      <w:rPr>
        <w:rFonts w:hint="default"/>
        <w:lang w:val="fr-FR" w:eastAsia="en-US" w:bidi="ar-SA"/>
      </w:rPr>
    </w:lvl>
    <w:lvl w:ilvl="8">
      <w:numFmt w:val="bullet"/>
      <w:lvlText w:val="•"/>
      <w:lvlJc w:val="left"/>
      <w:pPr>
        <w:ind w:left="8196" w:hanging="356"/>
      </w:pPr>
      <w:rPr>
        <w:rFonts w:hint="default"/>
        <w:lang w:val="fr-FR" w:eastAsia="en-US" w:bidi="ar-SA"/>
      </w:rPr>
    </w:lvl>
  </w:abstractNum>
  <w:abstractNum w:abstractNumId="199" w15:restartNumberingAfterBreak="0">
    <w:nsid w:val="308D519E"/>
    <w:multiLevelType w:val="hybridMultilevel"/>
    <w:tmpl w:val="718EC7EC"/>
    <w:lvl w:ilvl="0" w:tplc="32B0E0FE">
      <w:start w:val="1"/>
      <w:numFmt w:val="decimal"/>
      <w:pStyle w:val="Style2"/>
      <w:lvlText w:val="Chap. %1."/>
      <w:lvlJc w:val="left"/>
      <w:pPr>
        <w:ind w:left="532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0" w15:restartNumberingAfterBreak="0">
    <w:nsid w:val="30B82D4B"/>
    <w:multiLevelType w:val="hybridMultilevel"/>
    <w:tmpl w:val="7F4AB0B6"/>
    <w:lvl w:ilvl="0" w:tplc="B52ABD26">
      <w:start w:val="1"/>
      <w:numFmt w:val="bullet"/>
      <w:lvlText w:val=""/>
      <w:lvlJc w:val="left"/>
      <w:pPr>
        <w:tabs>
          <w:tab w:val="num" w:pos="720"/>
        </w:tabs>
        <w:ind w:left="720" w:hanging="360"/>
      </w:pPr>
      <w:rPr>
        <w:rFonts w:ascii="Symbol" w:hAnsi="Symbol" w:hint="default"/>
      </w:rPr>
    </w:lvl>
    <w:lvl w:ilvl="1" w:tplc="F9082EB8">
      <w:start w:val="1"/>
      <w:numFmt w:val="bullet"/>
      <w:lvlText w:val=""/>
      <w:lvlJc w:val="left"/>
      <w:pPr>
        <w:tabs>
          <w:tab w:val="num" w:pos="1440"/>
        </w:tabs>
        <w:ind w:left="1440" w:hanging="360"/>
      </w:pPr>
      <w:rPr>
        <w:rFonts w:ascii="Symbol" w:hAnsi="Symbol" w:hint="default"/>
      </w:rPr>
    </w:lvl>
    <w:lvl w:ilvl="2" w:tplc="AD7ABBD2" w:tentative="1">
      <w:start w:val="1"/>
      <w:numFmt w:val="bullet"/>
      <w:lvlText w:val=""/>
      <w:lvlJc w:val="left"/>
      <w:pPr>
        <w:tabs>
          <w:tab w:val="num" w:pos="2160"/>
        </w:tabs>
        <w:ind w:left="2160" w:hanging="360"/>
      </w:pPr>
      <w:rPr>
        <w:rFonts w:ascii="Symbol" w:hAnsi="Symbol" w:hint="default"/>
      </w:rPr>
    </w:lvl>
    <w:lvl w:ilvl="3" w:tplc="DCC4F7EC" w:tentative="1">
      <w:start w:val="1"/>
      <w:numFmt w:val="bullet"/>
      <w:lvlText w:val=""/>
      <w:lvlJc w:val="left"/>
      <w:pPr>
        <w:tabs>
          <w:tab w:val="num" w:pos="2880"/>
        </w:tabs>
        <w:ind w:left="2880" w:hanging="360"/>
      </w:pPr>
      <w:rPr>
        <w:rFonts w:ascii="Symbol" w:hAnsi="Symbol" w:hint="default"/>
      </w:rPr>
    </w:lvl>
    <w:lvl w:ilvl="4" w:tplc="E228B906" w:tentative="1">
      <w:start w:val="1"/>
      <w:numFmt w:val="bullet"/>
      <w:lvlText w:val=""/>
      <w:lvlJc w:val="left"/>
      <w:pPr>
        <w:tabs>
          <w:tab w:val="num" w:pos="3600"/>
        </w:tabs>
        <w:ind w:left="3600" w:hanging="360"/>
      </w:pPr>
      <w:rPr>
        <w:rFonts w:ascii="Symbol" w:hAnsi="Symbol" w:hint="default"/>
      </w:rPr>
    </w:lvl>
    <w:lvl w:ilvl="5" w:tplc="A7AAD2F6" w:tentative="1">
      <w:start w:val="1"/>
      <w:numFmt w:val="bullet"/>
      <w:lvlText w:val=""/>
      <w:lvlJc w:val="left"/>
      <w:pPr>
        <w:tabs>
          <w:tab w:val="num" w:pos="4320"/>
        </w:tabs>
        <w:ind w:left="4320" w:hanging="360"/>
      </w:pPr>
      <w:rPr>
        <w:rFonts w:ascii="Symbol" w:hAnsi="Symbol" w:hint="default"/>
      </w:rPr>
    </w:lvl>
    <w:lvl w:ilvl="6" w:tplc="D6BCA93E" w:tentative="1">
      <w:start w:val="1"/>
      <w:numFmt w:val="bullet"/>
      <w:lvlText w:val=""/>
      <w:lvlJc w:val="left"/>
      <w:pPr>
        <w:tabs>
          <w:tab w:val="num" w:pos="5040"/>
        </w:tabs>
        <w:ind w:left="5040" w:hanging="360"/>
      </w:pPr>
      <w:rPr>
        <w:rFonts w:ascii="Symbol" w:hAnsi="Symbol" w:hint="default"/>
      </w:rPr>
    </w:lvl>
    <w:lvl w:ilvl="7" w:tplc="4FE218CA" w:tentative="1">
      <w:start w:val="1"/>
      <w:numFmt w:val="bullet"/>
      <w:lvlText w:val=""/>
      <w:lvlJc w:val="left"/>
      <w:pPr>
        <w:tabs>
          <w:tab w:val="num" w:pos="5760"/>
        </w:tabs>
        <w:ind w:left="5760" w:hanging="360"/>
      </w:pPr>
      <w:rPr>
        <w:rFonts w:ascii="Symbol" w:hAnsi="Symbol" w:hint="default"/>
      </w:rPr>
    </w:lvl>
    <w:lvl w:ilvl="8" w:tplc="815C4938" w:tentative="1">
      <w:start w:val="1"/>
      <w:numFmt w:val="bullet"/>
      <w:lvlText w:val=""/>
      <w:lvlJc w:val="left"/>
      <w:pPr>
        <w:tabs>
          <w:tab w:val="num" w:pos="6480"/>
        </w:tabs>
        <w:ind w:left="6480" w:hanging="360"/>
      </w:pPr>
      <w:rPr>
        <w:rFonts w:ascii="Symbol" w:hAnsi="Symbol" w:hint="default"/>
      </w:rPr>
    </w:lvl>
  </w:abstractNum>
  <w:abstractNum w:abstractNumId="201" w15:restartNumberingAfterBreak="0">
    <w:nsid w:val="30E20BA4"/>
    <w:multiLevelType w:val="multilevel"/>
    <w:tmpl w:val="77C0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0FE4A8C"/>
    <w:multiLevelType w:val="hybridMultilevel"/>
    <w:tmpl w:val="381014EE"/>
    <w:lvl w:ilvl="0" w:tplc="69BA8E2E">
      <w:start w:val="1"/>
      <w:numFmt w:val="decimal"/>
      <w:lvlText w:val="%1-"/>
      <w:lvlJc w:val="left"/>
      <w:pPr>
        <w:ind w:left="612" w:hanging="360"/>
      </w:pPr>
      <w:rPr>
        <w:rFonts w:hint="default"/>
      </w:rPr>
    </w:lvl>
    <w:lvl w:ilvl="1" w:tplc="040C0019" w:tentative="1">
      <w:start w:val="1"/>
      <w:numFmt w:val="lowerLetter"/>
      <w:lvlText w:val="%2."/>
      <w:lvlJc w:val="left"/>
      <w:pPr>
        <w:ind w:left="1332" w:hanging="360"/>
      </w:pPr>
    </w:lvl>
    <w:lvl w:ilvl="2" w:tplc="040C001B" w:tentative="1">
      <w:start w:val="1"/>
      <w:numFmt w:val="lowerRoman"/>
      <w:lvlText w:val="%3."/>
      <w:lvlJc w:val="right"/>
      <w:pPr>
        <w:ind w:left="2052" w:hanging="180"/>
      </w:pPr>
    </w:lvl>
    <w:lvl w:ilvl="3" w:tplc="040C000F" w:tentative="1">
      <w:start w:val="1"/>
      <w:numFmt w:val="decimal"/>
      <w:lvlText w:val="%4."/>
      <w:lvlJc w:val="left"/>
      <w:pPr>
        <w:ind w:left="2772" w:hanging="360"/>
      </w:pPr>
    </w:lvl>
    <w:lvl w:ilvl="4" w:tplc="040C0019" w:tentative="1">
      <w:start w:val="1"/>
      <w:numFmt w:val="lowerLetter"/>
      <w:lvlText w:val="%5."/>
      <w:lvlJc w:val="left"/>
      <w:pPr>
        <w:ind w:left="3492" w:hanging="360"/>
      </w:pPr>
    </w:lvl>
    <w:lvl w:ilvl="5" w:tplc="040C001B" w:tentative="1">
      <w:start w:val="1"/>
      <w:numFmt w:val="lowerRoman"/>
      <w:lvlText w:val="%6."/>
      <w:lvlJc w:val="right"/>
      <w:pPr>
        <w:ind w:left="4212" w:hanging="180"/>
      </w:pPr>
    </w:lvl>
    <w:lvl w:ilvl="6" w:tplc="040C000F" w:tentative="1">
      <w:start w:val="1"/>
      <w:numFmt w:val="decimal"/>
      <w:lvlText w:val="%7."/>
      <w:lvlJc w:val="left"/>
      <w:pPr>
        <w:ind w:left="4932" w:hanging="360"/>
      </w:pPr>
    </w:lvl>
    <w:lvl w:ilvl="7" w:tplc="040C0019" w:tentative="1">
      <w:start w:val="1"/>
      <w:numFmt w:val="lowerLetter"/>
      <w:lvlText w:val="%8."/>
      <w:lvlJc w:val="left"/>
      <w:pPr>
        <w:ind w:left="5652" w:hanging="360"/>
      </w:pPr>
    </w:lvl>
    <w:lvl w:ilvl="8" w:tplc="040C001B" w:tentative="1">
      <w:start w:val="1"/>
      <w:numFmt w:val="lowerRoman"/>
      <w:lvlText w:val="%9."/>
      <w:lvlJc w:val="right"/>
      <w:pPr>
        <w:ind w:left="6372" w:hanging="180"/>
      </w:pPr>
    </w:lvl>
  </w:abstractNum>
  <w:abstractNum w:abstractNumId="203" w15:restartNumberingAfterBreak="0">
    <w:nsid w:val="31164DCD"/>
    <w:multiLevelType w:val="hybridMultilevel"/>
    <w:tmpl w:val="F5C8A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32663C0A"/>
    <w:multiLevelType w:val="multilevel"/>
    <w:tmpl w:val="24589A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26932A1"/>
    <w:multiLevelType w:val="hybridMultilevel"/>
    <w:tmpl w:val="34BEA77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6" w15:restartNumberingAfterBreak="0">
    <w:nsid w:val="32D13CAE"/>
    <w:multiLevelType w:val="hybridMultilevel"/>
    <w:tmpl w:val="5E009A1A"/>
    <w:styleLink w:val="ImportedStyle1"/>
    <w:lvl w:ilvl="0" w:tplc="84DC72F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8854A27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7F649BA0">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rPr>
    </w:lvl>
    <w:lvl w:ilvl="3" w:tplc="CD66779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F342DB9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8B9EAB00">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rPr>
    </w:lvl>
    <w:lvl w:ilvl="6" w:tplc="9424A8A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C68A4A0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1CAEC0CC">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rPr>
    </w:lvl>
  </w:abstractNum>
  <w:abstractNum w:abstractNumId="207" w15:restartNumberingAfterBreak="0">
    <w:nsid w:val="32D267EB"/>
    <w:multiLevelType w:val="hybridMultilevel"/>
    <w:tmpl w:val="FFFFFFFF"/>
    <w:lvl w:ilvl="0" w:tplc="CAA4A5F2">
      <w:start w:val="1"/>
      <w:numFmt w:val="bullet"/>
      <w:lvlText w:val="o"/>
      <w:lvlJc w:val="left"/>
      <w:pPr>
        <w:ind w:left="7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8183990">
      <w:start w:val="1"/>
      <w:numFmt w:val="bullet"/>
      <w:lvlText w:val="o"/>
      <w:lvlJc w:val="left"/>
      <w:pPr>
        <w:ind w:left="13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A62145C">
      <w:start w:val="1"/>
      <w:numFmt w:val="bullet"/>
      <w:lvlText w:val="▪"/>
      <w:lvlJc w:val="left"/>
      <w:pPr>
        <w:ind w:left="20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BF6EFB4">
      <w:start w:val="1"/>
      <w:numFmt w:val="bullet"/>
      <w:lvlText w:val="•"/>
      <w:lvlJc w:val="left"/>
      <w:pPr>
        <w:ind w:left="28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C3A3DAE">
      <w:start w:val="1"/>
      <w:numFmt w:val="bullet"/>
      <w:lvlText w:val="o"/>
      <w:lvlJc w:val="left"/>
      <w:pPr>
        <w:ind w:left="35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A285988">
      <w:start w:val="1"/>
      <w:numFmt w:val="bullet"/>
      <w:lvlText w:val="▪"/>
      <w:lvlJc w:val="left"/>
      <w:pPr>
        <w:ind w:left="42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3F659FE">
      <w:start w:val="1"/>
      <w:numFmt w:val="bullet"/>
      <w:lvlText w:val="•"/>
      <w:lvlJc w:val="left"/>
      <w:pPr>
        <w:ind w:left="49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9F68496">
      <w:start w:val="1"/>
      <w:numFmt w:val="bullet"/>
      <w:lvlText w:val="o"/>
      <w:lvlJc w:val="left"/>
      <w:pPr>
        <w:ind w:left="56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6DAE924">
      <w:start w:val="1"/>
      <w:numFmt w:val="bullet"/>
      <w:lvlText w:val="▪"/>
      <w:lvlJc w:val="left"/>
      <w:pPr>
        <w:ind w:left="64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8" w15:restartNumberingAfterBreak="0">
    <w:nsid w:val="337F46B9"/>
    <w:multiLevelType w:val="hybridMultilevel"/>
    <w:tmpl w:val="E87C8D5E"/>
    <w:lvl w:ilvl="0" w:tplc="3DAEC486">
      <w:start w:val="16"/>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9" w15:restartNumberingAfterBreak="0">
    <w:nsid w:val="339E769C"/>
    <w:multiLevelType w:val="hybridMultilevel"/>
    <w:tmpl w:val="7592E92C"/>
    <w:lvl w:ilvl="0" w:tplc="1F94B844">
      <w:start w:val="1"/>
      <w:numFmt w:val="decimal"/>
      <w:lvlText w:val="5.1.%1."/>
      <w:lvlJc w:val="center"/>
      <w:pPr>
        <w:ind w:left="2421" w:hanging="360"/>
      </w:pPr>
      <w:rPr>
        <w:rFonts w:hint="default"/>
        <w:b w:val="0"/>
        <w:i w:val="0"/>
        <w:iCs w:val="0"/>
      </w:rPr>
    </w:lvl>
    <w:lvl w:ilvl="1" w:tplc="040C0019" w:tentative="1">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210" w15:restartNumberingAfterBreak="0">
    <w:nsid w:val="33B2011E"/>
    <w:multiLevelType w:val="hybridMultilevel"/>
    <w:tmpl w:val="A36C0C8A"/>
    <w:lvl w:ilvl="0" w:tplc="F09E93C6">
      <w:start w:val="1"/>
      <w:numFmt w:val="decimal"/>
      <w:lvlText w:val="%1-"/>
      <w:lvlJc w:val="left"/>
      <w:pPr>
        <w:ind w:left="252" w:hanging="360"/>
      </w:pPr>
      <w:rPr>
        <w:rFonts w:hint="default"/>
      </w:rPr>
    </w:lvl>
    <w:lvl w:ilvl="1" w:tplc="040C0019" w:tentative="1">
      <w:start w:val="1"/>
      <w:numFmt w:val="lowerLetter"/>
      <w:lvlText w:val="%2."/>
      <w:lvlJc w:val="left"/>
      <w:pPr>
        <w:ind w:left="972" w:hanging="360"/>
      </w:pPr>
    </w:lvl>
    <w:lvl w:ilvl="2" w:tplc="040C001B" w:tentative="1">
      <w:start w:val="1"/>
      <w:numFmt w:val="lowerRoman"/>
      <w:lvlText w:val="%3."/>
      <w:lvlJc w:val="right"/>
      <w:pPr>
        <w:ind w:left="1692" w:hanging="180"/>
      </w:pPr>
    </w:lvl>
    <w:lvl w:ilvl="3" w:tplc="040C000F" w:tentative="1">
      <w:start w:val="1"/>
      <w:numFmt w:val="decimal"/>
      <w:lvlText w:val="%4."/>
      <w:lvlJc w:val="left"/>
      <w:pPr>
        <w:ind w:left="2412" w:hanging="360"/>
      </w:pPr>
    </w:lvl>
    <w:lvl w:ilvl="4" w:tplc="040C0019" w:tentative="1">
      <w:start w:val="1"/>
      <w:numFmt w:val="lowerLetter"/>
      <w:lvlText w:val="%5."/>
      <w:lvlJc w:val="left"/>
      <w:pPr>
        <w:ind w:left="3132" w:hanging="360"/>
      </w:pPr>
    </w:lvl>
    <w:lvl w:ilvl="5" w:tplc="040C001B" w:tentative="1">
      <w:start w:val="1"/>
      <w:numFmt w:val="lowerRoman"/>
      <w:lvlText w:val="%6."/>
      <w:lvlJc w:val="right"/>
      <w:pPr>
        <w:ind w:left="3852" w:hanging="180"/>
      </w:pPr>
    </w:lvl>
    <w:lvl w:ilvl="6" w:tplc="040C000F" w:tentative="1">
      <w:start w:val="1"/>
      <w:numFmt w:val="decimal"/>
      <w:lvlText w:val="%7."/>
      <w:lvlJc w:val="left"/>
      <w:pPr>
        <w:ind w:left="4572" w:hanging="360"/>
      </w:pPr>
    </w:lvl>
    <w:lvl w:ilvl="7" w:tplc="040C0019" w:tentative="1">
      <w:start w:val="1"/>
      <w:numFmt w:val="lowerLetter"/>
      <w:lvlText w:val="%8."/>
      <w:lvlJc w:val="left"/>
      <w:pPr>
        <w:ind w:left="5292" w:hanging="360"/>
      </w:pPr>
    </w:lvl>
    <w:lvl w:ilvl="8" w:tplc="040C001B" w:tentative="1">
      <w:start w:val="1"/>
      <w:numFmt w:val="lowerRoman"/>
      <w:lvlText w:val="%9."/>
      <w:lvlJc w:val="right"/>
      <w:pPr>
        <w:ind w:left="6012" w:hanging="180"/>
      </w:pPr>
    </w:lvl>
  </w:abstractNum>
  <w:abstractNum w:abstractNumId="211" w15:restartNumberingAfterBreak="0">
    <w:nsid w:val="33C712A8"/>
    <w:multiLevelType w:val="multilevel"/>
    <w:tmpl w:val="D61437BE"/>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2" w15:restartNumberingAfterBreak="0">
    <w:nsid w:val="33CF4CCA"/>
    <w:multiLevelType w:val="hybridMultilevel"/>
    <w:tmpl w:val="5ADE8A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3" w15:restartNumberingAfterBreak="0">
    <w:nsid w:val="342937F7"/>
    <w:multiLevelType w:val="hybridMultilevel"/>
    <w:tmpl w:val="961E6F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4" w15:restartNumberingAfterBreak="0">
    <w:nsid w:val="345E4A00"/>
    <w:multiLevelType w:val="hybridMultilevel"/>
    <w:tmpl w:val="D8B667D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5" w15:restartNumberingAfterBreak="0">
    <w:nsid w:val="349908A0"/>
    <w:multiLevelType w:val="hybridMultilevel"/>
    <w:tmpl w:val="FFFFFFFF"/>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16" w15:restartNumberingAfterBreak="0">
    <w:nsid w:val="34B009CB"/>
    <w:multiLevelType w:val="hybridMultilevel"/>
    <w:tmpl w:val="C21E9E32"/>
    <w:lvl w:ilvl="0" w:tplc="ECD8A002">
      <w:start w:val="63"/>
      <w:numFmt w:val="bullet"/>
      <w:lvlText w:val="-"/>
      <w:lvlJc w:val="left"/>
      <w:pPr>
        <w:ind w:left="720" w:hanging="360"/>
      </w:pPr>
      <w:rPr>
        <w:rFonts w:ascii="Century Gothic" w:eastAsia="Verdana" w:hAnsi="Century Gothic"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7" w15:restartNumberingAfterBreak="0">
    <w:nsid w:val="34E21098"/>
    <w:multiLevelType w:val="hybridMultilevel"/>
    <w:tmpl w:val="E39A0A56"/>
    <w:lvl w:ilvl="0" w:tplc="034A6562">
      <w:start w:val="1"/>
      <w:numFmt w:val="bullet"/>
      <w:lvlText w:val=""/>
      <w:lvlJc w:val="left"/>
      <w:pPr>
        <w:ind w:left="624" w:hanging="264"/>
      </w:pPr>
      <w:rPr>
        <w:rFonts w:ascii="Symbol" w:hAnsi="Symbol" w:hint="default"/>
      </w:rPr>
    </w:lvl>
    <w:lvl w:ilvl="1" w:tplc="FFFFFFFF" w:tentative="1">
      <w:start w:val="1"/>
      <w:numFmt w:val="bullet"/>
      <w:lvlText w:val="o"/>
      <w:lvlJc w:val="left"/>
      <w:pPr>
        <w:ind w:left="2205" w:hanging="360"/>
      </w:pPr>
      <w:rPr>
        <w:rFonts w:ascii="Courier New" w:hAnsi="Courier New" w:cs="Courier New" w:hint="default"/>
      </w:rPr>
    </w:lvl>
    <w:lvl w:ilvl="2" w:tplc="FFFFFFFF" w:tentative="1">
      <w:start w:val="1"/>
      <w:numFmt w:val="bullet"/>
      <w:lvlText w:val=""/>
      <w:lvlJc w:val="left"/>
      <w:pPr>
        <w:ind w:left="2925" w:hanging="360"/>
      </w:pPr>
      <w:rPr>
        <w:rFonts w:ascii="Wingdings" w:hAnsi="Wingdings" w:hint="default"/>
      </w:rPr>
    </w:lvl>
    <w:lvl w:ilvl="3" w:tplc="FFFFFFFF" w:tentative="1">
      <w:start w:val="1"/>
      <w:numFmt w:val="bullet"/>
      <w:lvlText w:val=""/>
      <w:lvlJc w:val="left"/>
      <w:pPr>
        <w:ind w:left="3645" w:hanging="360"/>
      </w:pPr>
      <w:rPr>
        <w:rFonts w:ascii="Symbol" w:hAnsi="Symbol" w:hint="default"/>
      </w:rPr>
    </w:lvl>
    <w:lvl w:ilvl="4" w:tplc="FFFFFFFF" w:tentative="1">
      <w:start w:val="1"/>
      <w:numFmt w:val="bullet"/>
      <w:lvlText w:val="o"/>
      <w:lvlJc w:val="left"/>
      <w:pPr>
        <w:ind w:left="4365" w:hanging="360"/>
      </w:pPr>
      <w:rPr>
        <w:rFonts w:ascii="Courier New" w:hAnsi="Courier New" w:cs="Courier New" w:hint="default"/>
      </w:rPr>
    </w:lvl>
    <w:lvl w:ilvl="5" w:tplc="FFFFFFFF" w:tentative="1">
      <w:start w:val="1"/>
      <w:numFmt w:val="bullet"/>
      <w:lvlText w:val=""/>
      <w:lvlJc w:val="left"/>
      <w:pPr>
        <w:ind w:left="5085" w:hanging="360"/>
      </w:pPr>
      <w:rPr>
        <w:rFonts w:ascii="Wingdings" w:hAnsi="Wingdings" w:hint="default"/>
      </w:rPr>
    </w:lvl>
    <w:lvl w:ilvl="6" w:tplc="FFFFFFFF" w:tentative="1">
      <w:start w:val="1"/>
      <w:numFmt w:val="bullet"/>
      <w:lvlText w:val=""/>
      <w:lvlJc w:val="left"/>
      <w:pPr>
        <w:ind w:left="5805" w:hanging="360"/>
      </w:pPr>
      <w:rPr>
        <w:rFonts w:ascii="Symbol" w:hAnsi="Symbol" w:hint="default"/>
      </w:rPr>
    </w:lvl>
    <w:lvl w:ilvl="7" w:tplc="FFFFFFFF" w:tentative="1">
      <w:start w:val="1"/>
      <w:numFmt w:val="bullet"/>
      <w:lvlText w:val="o"/>
      <w:lvlJc w:val="left"/>
      <w:pPr>
        <w:ind w:left="6525" w:hanging="360"/>
      </w:pPr>
      <w:rPr>
        <w:rFonts w:ascii="Courier New" w:hAnsi="Courier New" w:cs="Courier New" w:hint="default"/>
      </w:rPr>
    </w:lvl>
    <w:lvl w:ilvl="8" w:tplc="FFFFFFFF" w:tentative="1">
      <w:start w:val="1"/>
      <w:numFmt w:val="bullet"/>
      <w:lvlText w:val=""/>
      <w:lvlJc w:val="left"/>
      <w:pPr>
        <w:ind w:left="7245" w:hanging="360"/>
      </w:pPr>
      <w:rPr>
        <w:rFonts w:ascii="Wingdings" w:hAnsi="Wingdings" w:hint="default"/>
      </w:rPr>
    </w:lvl>
  </w:abstractNum>
  <w:abstractNum w:abstractNumId="218" w15:restartNumberingAfterBreak="0">
    <w:nsid w:val="357E66FD"/>
    <w:multiLevelType w:val="hybridMultilevel"/>
    <w:tmpl w:val="8D383360"/>
    <w:lvl w:ilvl="0" w:tplc="ECD8A002">
      <w:start w:val="63"/>
      <w:numFmt w:val="bullet"/>
      <w:lvlText w:val="-"/>
      <w:lvlJc w:val="left"/>
      <w:pPr>
        <w:ind w:left="861" w:hanging="360"/>
      </w:pPr>
      <w:rPr>
        <w:rFonts w:ascii="Century Gothic" w:eastAsia="Verdana" w:hAnsi="Century Gothic" w:cs="Verdana"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219" w15:restartNumberingAfterBreak="0">
    <w:nsid w:val="35C212E2"/>
    <w:multiLevelType w:val="hybridMultilevel"/>
    <w:tmpl w:val="27CE8DC8"/>
    <w:lvl w:ilvl="0" w:tplc="83D27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0" w15:restartNumberingAfterBreak="0">
    <w:nsid w:val="35E9705F"/>
    <w:multiLevelType w:val="hybridMultilevel"/>
    <w:tmpl w:val="2D8A912A"/>
    <w:lvl w:ilvl="0" w:tplc="040C0005">
      <w:start w:val="1"/>
      <w:numFmt w:val="bullet"/>
      <w:lvlText w:val=""/>
      <w:lvlJc w:val="left"/>
      <w:pPr>
        <w:ind w:left="502" w:hanging="360"/>
      </w:pPr>
      <w:rPr>
        <w:rFonts w:ascii="Wingdings" w:hAnsi="Wingdings" w:hint="default"/>
        <w:sz w:val="20"/>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21" w15:restartNumberingAfterBreak="0">
    <w:nsid w:val="36726EA9"/>
    <w:multiLevelType w:val="hybridMultilevel"/>
    <w:tmpl w:val="FFFFFFFF"/>
    <w:lvl w:ilvl="0" w:tplc="2862BF1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9283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90F5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409D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B0B52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A84A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58F7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BA69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5800E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2" w15:restartNumberingAfterBreak="0">
    <w:nsid w:val="36B90361"/>
    <w:multiLevelType w:val="hybridMultilevel"/>
    <w:tmpl w:val="C7C67ABA"/>
    <w:lvl w:ilvl="0" w:tplc="801E5F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3" w15:restartNumberingAfterBreak="0">
    <w:nsid w:val="36F50C07"/>
    <w:multiLevelType w:val="hybridMultilevel"/>
    <w:tmpl w:val="5ACEE408"/>
    <w:lvl w:ilvl="0" w:tplc="B5644D48">
      <w:start w:val="1"/>
      <w:numFmt w:val="decimal"/>
      <w:lvlText w:val="2.%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24" w15:restartNumberingAfterBreak="0">
    <w:nsid w:val="37626FDD"/>
    <w:multiLevelType w:val="hybridMultilevel"/>
    <w:tmpl w:val="FFFFFFFF"/>
    <w:lvl w:ilvl="0" w:tplc="040C000F">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225" w15:restartNumberingAfterBreak="0">
    <w:nsid w:val="37934580"/>
    <w:multiLevelType w:val="hybridMultilevel"/>
    <w:tmpl w:val="813698A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6" w15:restartNumberingAfterBreak="0">
    <w:nsid w:val="37F31E82"/>
    <w:multiLevelType w:val="multilevel"/>
    <w:tmpl w:val="334EA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38945195"/>
    <w:multiLevelType w:val="multilevel"/>
    <w:tmpl w:val="2898ACA2"/>
    <w:lvl w:ilvl="0">
      <w:start w:val="4"/>
      <w:numFmt w:val="decimal"/>
      <w:lvlText w:val="%1"/>
      <w:lvlJc w:val="left"/>
      <w:pPr>
        <w:ind w:left="996" w:hanging="430"/>
      </w:pPr>
      <w:rPr>
        <w:rFonts w:hint="default"/>
        <w:lang w:val="fr-FR" w:eastAsia="en-US" w:bidi="ar-SA"/>
      </w:rPr>
    </w:lvl>
    <w:lvl w:ilvl="1">
      <w:start w:val="3"/>
      <w:numFmt w:val="decimal"/>
      <w:lvlText w:val="%1.%2."/>
      <w:lvlJc w:val="left"/>
      <w:pPr>
        <w:ind w:left="996" w:hanging="430"/>
      </w:pPr>
      <w:rPr>
        <w:rFonts w:ascii="Arial MT" w:eastAsia="Arial MT" w:hAnsi="Arial MT" w:cs="Arial MT" w:hint="default"/>
        <w:b w:val="0"/>
        <w:bCs w:val="0"/>
        <w:i w:val="0"/>
        <w:iCs w:val="0"/>
        <w:color w:val="528135"/>
        <w:spacing w:val="0"/>
        <w:w w:val="100"/>
        <w:sz w:val="22"/>
        <w:szCs w:val="22"/>
        <w:lang w:val="fr-FR" w:eastAsia="en-US" w:bidi="ar-SA"/>
      </w:rPr>
    </w:lvl>
    <w:lvl w:ilvl="2">
      <w:numFmt w:val="bullet"/>
      <w:lvlText w:val="•"/>
      <w:lvlJc w:val="left"/>
      <w:pPr>
        <w:ind w:left="2953" w:hanging="430"/>
      </w:pPr>
      <w:rPr>
        <w:rFonts w:hint="default"/>
        <w:lang w:val="fr-FR" w:eastAsia="en-US" w:bidi="ar-SA"/>
      </w:rPr>
    </w:lvl>
    <w:lvl w:ilvl="3">
      <w:numFmt w:val="bullet"/>
      <w:lvlText w:val="•"/>
      <w:lvlJc w:val="left"/>
      <w:pPr>
        <w:ind w:left="3929" w:hanging="430"/>
      </w:pPr>
      <w:rPr>
        <w:rFonts w:hint="default"/>
        <w:lang w:val="fr-FR" w:eastAsia="en-US" w:bidi="ar-SA"/>
      </w:rPr>
    </w:lvl>
    <w:lvl w:ilvl="4">
      <w:numFmt w:val="bullet"/>
      <w:lvlText w:val="•"/>
      <w:lvlJc w:val="left"/>
      <w:pPr>
        <w:ind w:left="4906" w:hanging="430"/>
      </w:pPr>
      <w:rPr>
        <w:rFonts w:hint="default"/>
        <w:lang w:val="fr-FR" w:eastAsia="en-US" w:bidi="ar-SA"/>
      </w:rPr>
    </w:lvl>
    <w:lvl w:ilvl="5">
      <w:numFmt w:val="bullet"/>
      <w:lvlText w:val="•"/>
      <w:lvlJc w:val="left"/>
      <w:pPr>
        <w:ind w:left="5883" w:hanging="430"/>
      </w:pPr>
      <w:rPr>
        <w:rFonts w:hint="default"/>
        <w:lang w:val="fr-FR" w:eastAsia="en-US" w:bidi="ar-SA"/>
      </w:rPr>
    </w:lvl>
    <w:lvl w:ilvl="6">
      <w:numFmt w:val="bullet"/>
      <w:lvlText w:val="•"/>
      <w:lvlJc w:val="left"/>
      <w:pPr>
        <w:ind w:left="6859" w:hanging="430"/>
      </w:pPr>
      <w:rPr>
        <w:rFonts w:hint="default"/>
        <w:lang w:val="fr-FR" w:eastAsia="en-US" w:bidi="ar-SA"/>
      </w:rPr>
    </w:lvl>
    <w:lvl w:ilvl="7">
      <w:numFmt w:val="bullet"/>
      <w:lvlText w:val="•"/>
      <w:lvlJc w:val="left"/>
      <w:pPr>
        <w:ind w:left="7836" w:hanging="430"/>
      </w:pPr>
      <w:rPr>
        <w:rFonts w:hint="default"/>
        <w:lang w:val="fr-FR" w:eastAsia="en-US" w:bidi="ar-SA"/>
      </w:rPr>
    </w:lvl>
    <w:lvl w:ilvl="8">
      <w:numFmt w:val="bullet"/>
      <w:lvlText w:val="•"/>
      <w:lvlJc w:val="left"/>
      <w:pPr>
        <w:ind w:left="8812" w:hanging="430"/>
      </w:pPr>
      <w:rPr>
        <w:rFonts w:hint="default"/>
        <w:lang w:val="fr-FR" w:eastAsia="en-US" w:bidi="ar-SA"/>
      </w:rPr>
    </w:lvl>
  </w:abstractNum>
  <w:abstractNum w:abstractNumId="228" w15:restartNumberingAfterBreak="0">
    <w:nsid w:val="38AE1A84"/>
    <w:multiLevelType w:val="hybridMultilevel"/>
    <w:tmpl w:val="BAE8DE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9" w15:restartNumberingAfterBreak="0">
    <w:nsid w:val="38AF509F"/>
    <w:multiLevelType w:val="hybridMultilevel"/>
    <w:tmpl w:val="628275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0" w15:restartNumberingAfterBreak="0">
    <w:nsid w:val="39A244FE"/>
    <w:multiLevelType w:val="hybridMultilevel"/>
    <w:tmpl w:val="FFFFFFFF"/>
    <w:lvl w:ilvl="0" w:tplc="22BE2D4A">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231" w15:restartNumberingAfterBreak="0">
    <w:nsid w:val="39AB0A05"/>
    <w:multiLevelType w:val="hybridMultilevel"/>
    <w:tmpl w:val="11FC6C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2" w15:restartNumberingAfterBreak="0">
    <w:nsid w:val="3A2134C1"/>
    <w:multiLevelType w:val="hybridMultilevel"/>
    <w:tmpl w:val="FA4CFB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3" w15:restartNumberingAfterBreak="0">
    <w:nsid w:val="3A2C7193"/>
    <w:multiLevelType w:val="hybridMultilevel"/>
    <w:tmpl w:val="FFFFFFFF"/>
    <w:lvl w:ilvl="0" w:tplc="51A80E0C">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34" w15:restartNumberingAfterBreak="0">
    <w:nsid w:val="3A4B1D31"/>
    <w:multiLevelType w:val="multilevel"/>
    <w:tmpl w:val="173EF37E"/>
    <w:lvl w:ilvl="0">
      <w:start w:val="1"/>
      <w:numFmt w:val="upperRoman"/>
      <w:pStyle w:val="CAADPTitle01"/>
      <w:lvlText w:val="%1."/>
      <w:lvlJc w:val="left"/>
      <w:pPr>
        <w:tabs>
          <w:tab w:val="num" w:pos="851"/>
        </w:tabs>
        <w:ind w:left="851" w:hanging="851"/>
      </w:pPr>
    </w:lvl>
    <w:lvl w:ilvl="1">
      <w:start w:val="1"/>
      <w:numFmt w:val="upperLetter"/>
      <w:pStyle w:val="CAADPTitle02"/>
      <w:lvlText w:val="%2."/>
      <w:lvlJc w:val="left"/>
      <w:pPr>
        <w:tabs>
          <w:tab w:val="num" w:pos="1440"/>
        </w:tabs>
        <w:ind w:left="1440" w:hanging="363"/>
      </w:pPr>
    </w:lvl>
    <w:lvl w:ilvl="2">
      <w:start w:val="1"/>
      <w:numFmt w:val="lowerRoman"/>
      <w:pStyle w:val="CAADPTitle03"/>
      <w:lvlText w:val="(%3)"/>
      <w:lvlJc w:val="left"/>
      <w:pPr>
        <w:tabs>
          <w:tab w:val="num" w:pos="1418"/>
        </w:tabs>
        <w:ind w:left="1418" w:hanging="567"/>
      </w:pPr>
    </w:lvl>
    <w:lvl w:ilvl="3">
      <w:start w:val="1"/>
      <w:numFmt w:val="decimal"/>
      <w:lvlRestart w:val="0"/>
      <w:pStyle w:val="CAADPTitle04"/>
      <w:lvlText w:val="%1.%4"/>
      <w:lvlJc w:val="left"/>
      <w:pPr>
        <w:tabs>
          <w:tab w:val="num" w:pos="0"/>
        </w:tabs>
        <w:ind w:left="0" w:firstLine="0"/>
      </w:pPr>
    </w:lvl>
    <w:lvl w:ilvl="4">
      <w:start w:val="1"/>
      <w:numFmt w:val="none"/>
      <w:suff w:val="nothing"/>
      <w:lvlText w:val=""/>
      <w:lvlJc w:val="left"/>
      <w:pPr>
        <w:ind w:left="0" w:firstLine="0"/>
      </w:pPr>
    </w:lvl>
    <w:lvl w:ilvl="5">
      <w:start w:val="1"/>
      <w:numFmt w:val="decimal"/>
      <w:lvlText w:val=".%6"/>
      <w:lvlJc w:val="left"/>
      <w:pPr>
        <w:tabs>
          <w:tab w:val="num" w:pos="0"/>
        </w:tabs>
        <w:ind w:left="0" w:firstLine="0"/>
      </w:pPr>
    </w:lvl>
    <w:lvl w:ilvl="6">
      <w:start w:val="1"/>
      <w:numFmt w:val="decimal"/>
      <w:lvlText w:val=".%6.%7"/>
      <w:lvlJc w:val="left"/>
      <w:pPr>
        <w:tabs>
          <w:tab w:val="num" w:pos="0"/>
        </w:tabs>
        <w:ind w:left="0" w:firstLine="0"/>
      </w:pPr>
    </w:lvl>
    <w:lvl w:ilvl="7">
      <w:start w:val="1"/>
      <w:numFmt w:val="decimal"/>
      <w:lvlText w:val=".%6.%7.%8"/>
      <w:lvlJc w:val="left"/>
      <w:pPr>
        <w:tabs>
          <w:tab w:val="num" w:pos="0"/>
        </w:tabs>
        <w:ind w:left="0" w:firstLine="0"/>
      </w:pPr>
    </w:lvl>
    <w:lvl w:ilvl="8">
      <w:start w:val="1"/>
      <w:numFmt w:val="decimal"/>
      <w:lvlText w:val=".%6.%7.%8.%9"/>
      <w:lvlJc w:val="left"/>
      <w:pPr>
        <w:tabs>
          <w:tab w:val="num" w:pos="0"/>
        </w:tabs>
        <w:ind w:left="0" w:firstLine="0"/>
      </w:pPr>
    </w:lvl>
  </w:abstractNum>
  <w:abstractNum w:abstractNumId="235" w15:restartNumberingAfterBreak="0">
    <w:nsid w:val="3AD41DA4"/>
    <w:multiLevelType w:val="hybridMultilevel"/>
    <w:tmpl w:val="97B0D8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6" w15:restartNumberingAfterBreak="0">
    <w:nsid w:val="3B921F55"/>
    <w:multiLevelType w:val="hybridMultilevel"/>
    <w:tmpl w:val="20A847C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7" w15:restartNumberingAfterBreak="0">
    <w:nsid w:val="3BEC12A7"/>
    <w:multiLevelType w:val="hybridMultilevel"/>
    <w:tmpl w:val="70A87A88"/>
    <w:lvl w:ilvl="0" w:tplc="F6E8EF12">
      <w:numFmt w:val="bullet"/>
      <w:lvlText w:val="-"/>
      <w:lvlJc w:val="left"/>
      <w:pPr>
        <w:ind w:left="1080" w:hanging="360"/>
      </w:pPr>
      <w:rPr>
        <w:rFonts w:ascii="Calibri" w:eastAsia="Times New Roman" w:hAnsi="Calibri"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8" w15:restartNumberingAfterBreak="0">
    <w:nsid w:val="3C1372FB"/>
    <w:multiLevelType w:val="hybridMultilevel"/>
    <w:tmpl w:val="019AE120"/>
    <w:lvl w:ilvl="0" w:tplc="0C544102">
      <w:start w:val="1"/>
      <w:numFmt w:val="lowerLetter"/>
      <w:lvlText w:val="%1."/>
      <w:lvlJc w:val="left"/>
      <w:pPr>
        <w:ind w:left="644" w:hanging="360"/>
      </w:pPr>
      <w:rPr>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39" w15:restartNumberingAfterBreak="0">
    <w:nsid w:val="3C5713EB"/>
    <w:multiLevelType w:val="hybridMultilevel"/>
    <w:tmpl w:val="9266E73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0" w15:restartNumberingAfterBreak="0">
    <w:nsid w:val="3C7B6E1A"/>
    <w:multiLevelType w:val="hybridMultilevel"/>
    <w:tmpl w:val="4434E6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1" w15:restartNumberingAfterBreak="0">
    <w:nsid w:val="3CAF58EF"/>
    <w:multiLevelType w:val="hybridMultilevel"/>
    <w:tmpl w:val="0F160B0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2" w15:restartNumberingAfterBreak="0">
    <w:nsid w:val="3D203961"/>
    <w:multiLevelType w:val="hybridMultilevel"/>
    <w:tmpl w:val="069851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3" w15:restartNumberingAfterBreak="0">
    <w:nsid w:val="3D6E703D"/>
    <w:multiLevelType w:val="hybridMultilevel"/>
    <w:tmpl w:val="FFFFFFFF"/>
    <w:lvl w:ilvl="0" w:tplc="0F544C78">
      <w:start w:val="1"/>
      <w:numFmt w:val="lowerLetter"/>
      <w:lvlText w:val="(%1)"/>
      <w:lvlJc w:val="left"/>
      <w:pPr>
        <w:ind w:left="1428" w:hanging="360"/>
      </w:pPr>
      <w:rPr>
        <w:rFonts w:ascii="Calibri" w:eastAsia="Times New Roman" w:hAnsi="Calibri" w:cs="Times New Roman"/>
      </w:rPr>
    </w:lvl>
    <w:lvl w:ilvl="1" w:tplc="040C0019">
      <w:start w:val="1"/>
      <w:numFmt w:val="lowerLetter"/>
      <w:lvlText w:val="%2."/>
      <w:lvlJc w:val="left"/>
      <w:pPr>
        <w:ind w:left="2148" w:hanging="360"/>
      </w:pPr>
      <w:rPr>
        <w:rFonts w:cs="Times New Roman"/>
      </w:rPr>
    </w:lvl>
    <w:lvl w:ilvl="2" w:tplc="040C001B">
      <w:start w:val="1"/>
      <w:numFmt w:val="lowerRoman"/>
      <w:lvlText w:val="%3."/>
      <w:lvlJc w:val="right"/>
      <w:pPr>
        <w:ind w:left="2868" w:hanging="180"/>
      </w:pPr>
      <w:rPr>
        <w:rFonts w:cs="Times New Roman"/>
      </w:rPr>
    </w:lvl>
    <w:lvl w:ilvl="3" w:tplc="040C000F">
      <w:start w:val="1"/>
      <w:numFmt w:val="decimal"/>
      <w:lvlText w:val="%4."/>
      <w:lvlJc w:val="left"/>
      <w:pPr>
        <w:ind w:left="3588" w:hanging="360"/>
      </w:pPr>
      <w:rPr>
        <w:rFonts w:cs="Times New Roman"/>
      </w:rPr>
    </w:lvl>
    <w:lvl w:ilvl="4" w:tplc="040C0019">
      <w:start w:val="1"/>
      <w:numFmt w:val="lowerLetter"/>
      <w:lvlText w:val="%5."/>
      <w:lvlJc w:val="left"/>
      <w:pPr>
        <w:ind w:left="4308" w:hanging="360"/>
      </w:pPr>
      <w:rPr>
        <w:rFonts w:cs="Times New Roman"/>
      </w:rPr>
    </w:lvl>
    <w:lvl w:ilvl="5" w:tplc="040C001B">
      <w:start w:val="1"/>
      <w:numFmt w:val="lowerRoman"/>
      <w:lvlText w:val="%6."/>
      <w:lvlJc w:val="right"/>
      <w:pPr>
        <w:ind w:left="5028" w:hanging="180"/>
      </w:pPr>
      <w:rPr>
        <w:rFonts w:cs="Times New Roman"/>
      </w:rPr>
    </w:lvl>
    <w:lvl w:ilvl="6" w:tplc="040C000F">
      <w:start w:val="1"/>
      <w:numFmt w:val="decimal"/>
      <w:lvlText w:val="%7."/>
      <w:lvlJc w:val="left"/>
      <w:pPr>
        <w:ind w:left="5748" w:hanging="360"/>
      </w:pPr>
      <w:rPr>
        <w:rFonts w:cs="Times New Roman"/>
      </w:rPr>
    </w:lvl>
    <w:lvl w:ilvl="7" w:tplc="040C0019">
      <w:start w:val="1"/>
      <w:numFmt w:val="lowerLetter"/>
      <w:lvlText w:val="%8."/>
      <w:lvlJc w:val="left"/>
      <w:pPr>
        <w:ind w:left="6468" w:hanging="360"/>
      </w:pPr>
      <w:rPr>
        <w:rFonts w:cs="Times New Roman"/>
      </w:rPr>
    </w:lvl>
    <w:lvl w:ilvl="8" w:tplc="040C001B">
      <w:start w:val="1"/>
      <w:numFmt w:val="lowerRoman"/>
      <w:lvlText w:val="%9."/>
      <w:lvlJc w:val="right"/>
      <w:pPr>
        <w:ind w:left="7188" w:hanging="180"/>
      </w:pPr>
      <w:rPr>
        <w:rFonts w:cs="Times New Roman"/>
      </w:rPr>
    </w:lvl>
  </w:abstractNum>
  <w:abstractNum w:abstractNumId="244" w15:restartNumberingAfterBreak="0">
    <w:nsid w:val="3DE06D17"/>
    <w:multiLevelType w:val="hybridMultilevel"/>
    <w:tmpl w:val="FFFFFFFF"/>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45" w15:restartNumberingAfterBreak="0">
    <w:nsid w:val="3E3D5E1B"/>
    <w:multiLevelType w:val="multilevel"/>
    <w:tmpl w:val="116CD7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E3D64B1"/>
    <w:multiLevelType w:val="hybridMultilevel"/>
    <w:tmpl w:val="8366709A"/>
    <w:lvl w:ilvl="0" w:tplc="E70EA8F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7" w15:restartNumberingAfterBreak="0">
    <w:nsid w:val="3E515EAA"/>
    <w:multiLevelType w:val="hybridMultilevel"/>
    <w:tmpl w:val="D848DD92"/>
    <w:lvl w:ilvl="0" w:tplc="08070001">
      <w:start w:val="1"/>
      <w:numFmt w:val="bullet"/>
      <w:lvlText w:val=""/>
      <w:lvlJc w:val="left"/>
      <w:pPr>
        <w:ind w:left="830" w:hanging="360"/>
      </w:pPr>
      <w:rPr>
        <w:rFonts w:ascii="Symbol" w:hAnsi="Symbol" w:hint="default"/>
      </w:rPr>
    </w:lvl>
    <w:lvl w:ilvl="1" w:tplc="08070003" w:tentative="1">
      <w:start w:val="1"/>
      <w:numFmt w:val="bullet"/>
      <w:lvlText w:val="o"/>
      <w:lvlJc w:val="left"/>
      <w:pPr>
        <w:ind w:left="1550" w:hanging="360"/>
      </w:pPr>
      <w:rPr>
        <w:rFonts w:ascii="Courier New" w:hAnsi="Courier New" w:cs="Courier New" w:hint="default"/>
      </w:rPr>
    </w:lvl>
    <w:lvl w:ilvl="2" w:tplc="08070005" w:tentative="1">
      <w:start w:val="1"/>
      <w:numFmt w:val="bullet"/>
      <w:lvlText w:val=""/>
      <w:lvlJc w:val="left"/>
      <w:pPr>
        <w:ind w:left="2270" w:hanging="360"/>
      </w:pPr>
      <w:rPr>
        <w:rFonts w:ascii="Wingdings" w:hAnsi="Wingdings" w:hint="default"/>
      </w:rPr>
    </w:lvl>
    <w:lvl w:ilvl="3" w:tplc="08070001" w:tentative="1">
      <w:start w:val="1"/>
      <w:numFmt w:val="bullet"/>
      <w:lvlText w:val=""/>
      <w:lvlJc w:val="left"/>
      <w:pPr>
        <w:ind w:left="2990" w:hanging="360"/>
      </w:pPr>
      <w:rPr>
        <w:rFonts w:ascii="Symbol" w:hAnsi="Symbol" w:hint="default"/>
      </w:rPr>
    </w:lvl>
    <w:lvl w:ilvl="4" w:tplc="08070003" w:tentative="1">
      <w:start w:val="1"/>
      <w:numFmt w:val="bullet"/>
      <w:lvlText w:val="o"/>
      <w:lvlJc w:val="left"/>
      <w:pPr>
        <w:ind w:left="3710" w:hanging="360"/>
      </w:pPr>
      <w:rPr>
        <w:rFonts w:ascii="Courier New" w:hAnsi="Courier New" w:cs="Courier New" w:hint="default"/>
      </w:rPr>
    </w:lvl>
    <w:lvl w:ilvl="5" w:tplc="08070005" w:tentative="1">
      <w:start w:val="1"/>
      <w:numFmt w:val="bullet"/>
      <w:lvlText w:val=""/>
      <w:lvlJc w:val="left"/>
      <w:pPr>
        <w:ind w:left="4430" w:hanging="360"/>
      </w:pPr>
      <w:rPr>
        <w:rFonts w:ascii="Wingdings" w:hAnsi="Wingdings" w:hint="default"/>
      </w:rPr>
    </w:lvl>
    <w:lvl w:ilvl="6" w:tplc="08070001" w:tentative="1">
      <w:start w:val="1"/>
      <w:numFmt w:val="bullet"/>
      <w:lvlText w:val=""/>
      <w:lvlJc w:val="left"/>
      <w:pPr>
        <w:ind w:left="5150" w:hanging="360"/>
      </w:pPr>
      <w:rPr>
        <w:rFonts w:ascii="Symbol" w:hAnsi="Symbol" w:hint="default"/>
      </w:rPr>
    </w:lvl>
    <w:lvl w:ilvl="7" w:tplc="08070003" w:tentative="1">
      <w:start w:val="1"/>
      <w:numFmt w:val="bullet"/>
      <w:lvlText w:val="o"/>
      <w:lvlJc w:val="left"/>
      <w:pPr>
        <w:ind w:left="5870" w:hanging="360"/>
      </w:pPr>
      <w:rPr>
        <w:rFonts w:ascii="Courier New" w:hAnsi="Courier New" w:cs="Courier New" w:hint="default"/>
      </w:rPr>
    </w:lvl>
    <w:lvl w:ilvl="8" w:tplc="08070005" w:tentative="1">
      <w:start w:val="1"/>
      <w:numFmt w:val="bullet"/>
      <w:lvlText w:val=""/>
      <w:lvlJc w:val="left"/>
      <w:pPr>
        <w:ind w:left="6590" w:hanging="360"/>
      </w:pPr>
      <w:rPr>
        <w:rFonts w:ascii="Wingdings" w:hAnsi="Wingdings" w:hint="default"/>
      </w:rPr>
    </w:lvl>
  </w:abstractNum>
  <w:abstractNum w:abstractNumId="248" w15:restartNumberingAfterBreak="0">
    <w:nsid w:val="3EAD3899"/>
    <w:multiLevelType w:val="hybridMultilevel"/>
    <w:tmpl w:val="1E2024A6"/>
    <w:lvl w:ilvl="0" w:tplc="B5644D48">
      <w:start w:val="1"/>
      <w:numFmt w:val="decimal"/>
      <w:lvlText w:val="2.%1."/>
      <w:lvlJc w:val="left"/>
      <w:pPr>
        <w:ind w:left="1146" w:hanging="360"/>
      </w:pPr>
      <w:rPr>
        <w:rFonts w:hint="default"/>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249" w15:restartNumberingAfterBreak="0">
    <w:nsid w:val="3FB53638"/>
    <w:multiLevelType w:val="hybridMultilevel"/>
    <w:tmpl w:val="FFFFFFFF"/>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50" w15:restartNumberingAfterBreak="0">
    <w:nsid w:val="4019535C"/>
    <w:multiLevelType w:val="multilevel"/>
    <w:tmpl w:val="A85ECF5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1" w15:restartNumberingAfterBreak="0">
    <w:nsid w:val="401A68E5"/>
    <w:multiLevelType w:val="hybridMultilevel"/>
    <w:tmpl w:val="0A5A8C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2" w15:restartNumberingAfterBreak="0">
    <w:nsid w:val="4061790F"/>
    <w:multiLevelType w:val="hybridMultilevel"/>
    <w:tmpl w:val="E190F02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3" w15:restartNumberingAfterBreak="0">
    <w:nsid w:val="40D4553E"/>
    <w:multiLevelType w:val="multilevel"/>
    <w:tmpl w:val="DC6A6C98"/>
    <w:styleLink w:val="LFO9"/>
    <w:lvl w:ilvl="0">
      <w:start w:val="1"/>
      <w:numFmt w:val="decimal"/>
      <w:lvlText w:val="%1."/>
      <w:lvlJc w:val="left"/>
      <w:pPr>
        <w:ind w:left="0" w:firstLine="5246"/>
      </w:pPr>
      <w:rPr>
        <w:rFonts w:ascii="Times New Roman" w:hAnsi="Times New Roman"/>
        <w:b w:val="0"/>
        <w:i w:val="0"/>
        <w:caps w:val="0"/>
        <w:strike w:val="0"/>
        <w:dstrike w:val="0"/>
        <w:vanish w:val="0"/>
        <w:position w:val="0"/>
        <w:sz w:val="22"/>
        <w:vertAlign w:val="baseline"/>
      </w:rPr>
    </w:lvl>
    <w:lvl w:ilvl="1">
      <w:numFmt w:val="bullet"/>
      <w:lvlText w:val=""/>
      <w:lvlJc w:val="left"/>
      <w:pPr>
        <w:ind w:left="1440" w:hanging="360"/>
      </w:pPr>
      <w:rPr>
        <w:rFonts w:ascii="Wingdings" w:hAnsi="Wingdings"/>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54" w15:restartNumberingAfterBreak="0">
    <w:nsid w:val="40FF4314"/>
    <w:multiLevelType w:val="multilevel"/>
    <w:tmpl w:val="17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10B02BE"/>
    <w:multiLevelType w:val="multilevel"/>
    <w:tmpl w:val="A9FE22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1843311"/>
    <w:multiLevelType w:val="hybridMultilevel"/>
    <w:tmpl w:val="FFFFFFFF"/>
    <w:lvl w:ilvl="0" w:tplc="BE2670A6">
      <w:start w:val="1"/>
      <w:numFmt w:val="bullet"/>
      <w:lvlText w:val="o"/>
      <w:lvlJc w:val="left"/>
      <w:pPr>
        <w:ind w:left="14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468F07E">
      <w:start w:val="1"/>
      <w:numFmt w:val="bullet"/>
      <w:lvlText w:val="o"/>
      <w:lvlJc w:val="left"/>
      <w:pPr>
        <w:ind w:left="21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C94DA12">
      <w:start w:val="1"/>
      <w:numFmt w:val="bullet"/>
      <w:lvlText w:val="▪"/>
      <w:lvlJc w:val="left"/>
      <w:pPr>
        <w:ind w:left="28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05211C4">
      <w:start w:val="1"/>
      <w:numFmt w:val="bullet"/>
      <w:lvlText w:val="•"/>
      <w:lvlJc w:val="left"/>
      <w:pPr>
        <w:ind w:left="36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90E3A3A">
      <w:start w:val="1"/>
      <w:numFmt w:val="bullet"/>
      <w:lvlText w:val="o"/>
      <w:lvlJc w:val="left"/>
      <w:pPr>
        <w:ind w:left="43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3EC9E50">
      <w:start w:val="1"/>
      <w:numFmt w:val="bullet"/>
      <w:lvlText w:val="▪"/>
      <w:lvlJc w:val="left"/>
      <w:pPr>
        <w:ind w:left="50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CAC0CEC">
      <w:start w:val="1"/>
      <w:numFmt w:val="bullet"/>
      <w:lvlText w:val="•"/>
      <w:lvlJc w:val="left"/>
      <w:pPr>
        <w:ind w:left="57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6FC4252">
      <w:start w:val="1"/>
      <w:numFmt w:val="bullet"/>
      <w:lvlText w:val="o"/>
      <w:lvlJc w:val="left"/>
      <w:pPr>
        <w:ind w:left="64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7B47F08">
      <w:start w:val="1"/>
      <w:numFmt w:val="bullet"/>
      <w:lvlText w:val="▪"/>
      <w:lvlJc w:val="left"/>
      <w:pPr>
        <w:ind w:left="72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57" w15:restartNumberingAfterBreak="0">
    <w:nsid w:val="41CC65DB"/>
    <w:multiLevelType w:val="hybridMultilevel"/>
    <w:tmpl w:val="B71C3B0A"/>
    <w:lvl w:ilvl="0" w:tplc="7DEC466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8" w15:restartNumberingAfterBreak="0">
    <w:nsid w:val="41E5349F"/>
    <w:multiLevelType w:val="hybridMultilevel"/>
    <w:tmpl w:val="F59CF822"/>
    <w:lvl w:ilvl="0" w:tplc="6096F40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9" w15:restartNumberingAfterBreak="0">
    <w:nsid w:val="41FB0F07"/>
    <w:multiLevelType w:val="hybridMultilevel"/>
    <w:tmpl w:val="FFFFFFFF"/>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60" w15:restartNumberingAfterBreak="0">
    <w:nsid w:val="42087589"/>
    <w:multiLevelType w:val="hybridMultilevel"/>
    <w:tmpl w:val="9D5E9936"/>
    <w:lvl w:ilvl="0" w:tplc="C93A3AAC">
      <w:numFmt w:val="bullet"/>
      <w:lvlText w:val=""/>
      <w:lvlJc w:val="left"/>
      <w:pPr>
        <w:ind w:left="1080" w:hanging="360"/>
      </w:pPr>
      <w:rPr>
        <w:rFonts w:ascii="Symbol" w:eastAsiaTheme="minorHAnsi" w:hAnsi="Symbol" w:cstheme="minorBidi" w:hint="default"/>
        <w:sz w:val="22"/>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261" w15:restartNumberingAfterBreak="0">
    <w:nsid w:val="422662FC"/>
    <w:multiLevelType w:val="hybridMultilevel"/>
    <w:tmpl w:val="62189D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2" w15:restartNumberingAfterBreak="0">
    <w:nsid w:val="423A7024"/>
    <w:multiLevelType w:val="hybridMultilevel"/>
    <w:tmpl w:val="D720A572"/>
    <w:lvl w:ilvl="0" w:tplc="040C0001">
      <w:start w:val="1"/>
      <w:numFmt w:val="bullet"/>
      <w:lvlText w:val=""/>
      <w:lvlJc w:val="left"/>
      <w:pPr>
        <w:ind w:left="720" w:hanging="360"/>
      </w:pPr>
      <w:rPr>
        <w:rFonts w:ascii="Symbol" w:hAnsi="Symbol"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423E14CF"/>
    <w:multiLevelType w:val="hybridMultilevel"/>
    <w:tmpl w:val="F2F070F8"/>
    <w:lvl w:ilvl="0" w:tplc="040C0001">
      <w:start w:val="1"/>
      <w:numFmt w:val="bullet"/>
      <w:lvlText w:val=""/>
      <w:lvlJc w:val="left"/>
      <w:pPr>
        <w:ind w:left="1240" w:hanging="360"/>
      </w:pPr>
      <w:rPr>
        <w:rFonts w:ascii="Symbol" w:hAnsi="Symbol" w:hint="default"/>
      </w:rPr>
    </w:lvl>
    <w:lvl w:ilvl="1" w:tplc="040C0003" w:tentative="1">
      <w:start w:val="1"/>
      <w:numFmt w:val="bullet"/>
      <w:lvlText w:val="o"/>
      <w:lvlJc w:val="left"/>
      <w:pPr>
        <w:ind w:left="1960" w:hanging="360"/>
      </w:pPr>
      <w:rPr>
        <w:rFonts w:ascii="Courier New" w:hAnsi="Courier New" w:cs="Courier New" w:hint="default"/>
      </w:rPr>
    </w:lvl>
    <w:lvl w:ilvl="2" w:tplc="040C0005" w:tentative="1">
      <w:start w:val="1"/>
      <w:numFmt w:val="bullet"/>
      <w:lvlText w:val=""/>
      <w:lvlJc w:val="left"/>
      <w:pPr>
        <w:ind w:left="2680" w:hanging="360"/>
      </w:pPr>
      <w:rPr>
        <w:rFonts w:ascii="Wingdings" w:hAnsi="Wingdings" w:hint="default"/>
      </w:rPr>
    </w:lvl>
    <w:lvl w:ilvl="3" w:tplc="040C0001" w:tentative="1">
      <w:start w:val="1"/>
      <w:numFmt w:val="bullet"/>
      <w:lvlText w:val=""/>
      <w:lvlJc w:val="left"/>
      <w:pPr>
        <w:ind w:left="3400" w:hanging="360"/>
      </w:pPr>
      <w:rPr>
        <w:rFonts w:ascii="Symbol" w:hAnsi="Symbol" w:hint="default"/>
      </w:rPr>
    </w:lvl>
    <w:lvl w:ilvl="4" w:tplc="040C0003" w:tentative="1">
      <w:start w:val="1"/>
      <w:numFmt w:val="bullet"/>
      <w:lvlText w:val="o"/>
      <w:lvlJc w:val="left"/>
      <w:pPr>
        <w:ind w:left="4120" w:hanging="360"/>
      </w:pPr>
      <w:rPr>
        <w:rFonts w:ascii="Courier New" w:hAnsi="Courier New" w:cs="Courier New" w:hint="default"/>
      </w:rPr>
    </w:lvl>
    <w:lvl w:ilvl="5" w:tplc="040C0005" w:tentative="1">
      <w:start w:val="1"/>
      <w:numFmt w:val="bullet"/>
      <w:lvlText w:val=""/>
      <w:lvlJc w:val="left"/>
      <w:pPr>
        <w:ind w:left="4840" w:hanging="360"/>
      </w:pPr>
      <w:rPr>
        <w:rFonts w:ascii="Wingdings" w:hAnsi="Wingdings" w:hint="default"/>
      </w:rPr>
    </w:lvl>
    <w:lvl w:ilvl="6" w:tplc="040C0001" w:tentative="1">
      <w:start w:val="1"/>
      <w:numFmt w:val="bullet"/>
      <w:lvlText w:val=""/>
      <w:lvlJc w:val="left"/>
      <w:pPr>
        <w:ind w:left="5560" w:hanging="360"/>
      </w:pPr>
      <w:rPr>
        <w:rFonts w:ascii="Symbol" w:hAnsi="Symbol" w:hint="default"/>
      </w:rPr>
    </w:lvl>
    <w:lvl w:ilvl="7" w:tplc="040C0003" w:tentative="1">
      <w:start w:val="1"/>
      <w:numFmt w:val="bullet"/>
      <w:lvlText w:val="o"/>
      <w:lvlJc w:val="left"/>
      <w:pPr>
        <w:ind w:left="6280" w:hanging="360"/>
      </w:pPr>
      <w:rPr>
        <w:rFonts w:ascii="Courier New" w:hAnsi="Courier New" w:cs="Courier New" w:hint="default"/>
      </w:rPr>
    </w:lvl>
    <w:lvl w:ilvl="8" w:tplc="040C0005" w:tentative="1">
      <w:start w:val="1"/>
      <w:numFmt w:val="bullet"/>
      <w:lvlText w:val=""/>
      <w:lvlJc w:val="left"/>
      <w:pPr>
        <w:ind w:left="7000" w:hanging="360"/>
      </w:pPr>
      <w:rPr>
        <w:rFonts w:ascii="Wingdings" w:hAnsi="Wingdings" w:hint="default"/>
      </w:rPr>
    </w:lvl>
  </w:abstractNum>
  <w:abstractNum w:abstractNumId="264" w15:restartNumberingAfterBreak="0">
    <w:nsid w:val="42B14D69"/>
    <w:multiLevelType w:val="multilevel"/>
    <w:tmpl w:val="0D0A8E78"/>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5" w15:restartNumberingAfterBreak="0">
    <w:nsid w:val="42EF0D3E"/>
    <w:multiLevelType w:val="hybridMultilevel"/>
    <w:tmpl w:val="FFFFFFFF"/>
    <w:lvl w:ilvl="0" w:tplc="1C44D79E">
      <w:start w:val="1"/>
      <w:numFmt w:val="lowerRoman"/>
      <w:lvlText w:val="(%1)"/>
      <w:lvlJc w:val="left"/>
      <w:pPr>
        <w:ind w:left="1080" w:hanging="720"/>
      </w:pPr>
      <w:rPr>
        <w:rFonts w:eastAsia="Times New Roman" w:cs="Times New Roman" w:hint="default"/>
        <w:color w:val="auto"/>
      </w:rPr>
    </w:lvl>
    <w:lvl w:ilvl="1" w:tplc="040C0019" w:tentative="1">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66" w15:restartNumberingAfterBreak="0">
    <w:nsid w:val="430254E4"/>
    <w:multiLevelType w:val="multilevel"/>
    <w:tmpl w:val="DBDC1D6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7" w15:restartNumberingAfterBreak="0">
    <w:nsid w:val="435E1D54"/>
    <w:multiLevelType w:val="hybridMultilevel"/>
    <w:tmpl w:val="8F46F2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8" w15:restartNumberingAfterBreak="0">
    <w:nsid w:val="438C11F9"/>
    <w:multiLevelType w:val="hybridMultilevel"/>
    <w:tmpl w:val="770A54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9" w15:restartNumberingAfterBreak="0">
    <w:nsid w:val="43986E27"/>
    <w:multiLevelType w:val="hybridMultilevel"/>
    <w:tmpl w:val="21147ACC"/>
    <w:lvl w:ilvl="0" w:tplc="8CC0256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0" w15:restartNumberingAfterBreak="0">
    <w:nsid w:val="43990047"/>
    <w:multiLevelType w:val="hybridMultilevel"/>
    <w:tmpl w:val="970C22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1" w15:restartNumberingAfterBreak="0">
    <w:nsid w:val="43A009B1"/>
    <w:multiLevelType w:val="hybridMultilevel"/>
    <w:tmpl w:val="FFFFFFFF"/>
    <w:lvl w:ilvl="0" w:tplc="FEE42C4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6084D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7804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D04A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A244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2E0C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EA656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72EBE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4A17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2" w15:restartNumberingAfterBreak="0">
    <w:nsid w:val="440A0665"/>
    <w:multiLevelType w:val="hybridMultilevel"/>
    <w:tmpl w:val="F3DE4E12"/>
    <w:lvl w:ilvl="0" w:tplc="8CC02560">
      <w:start w:val="1"/>
      <w:numFmt w:val="bullet"/>
      <w:lvlText w:val=""/>
      <w:lvlJc w:val="left"/>
      <w:pPr>
        <w:ind w:left="720" w:hanging="360"/>
      </w:pPr>
      <w:rPr>
        <w:rFonts w:ascii="Wingdings" w:hAnsi="Wingding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3" w15:restartNumberingAfterBreak="0">
    <w:nsid w:val="441057D0"/>
    <w:multiLevelType w:val="hybridMultilevel"/>
    <w:tmpl w:val="5B08C206"/>
    <w:lvl w:ilvl="0" w:tplc="4A0AD37E">
      <w:start w:val="1"/>
      <w:numFmt w:val="decimal"/>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4" w15:restartNumberingAfterBreak="0">
    <w:nsid w:val="44884E58"/>
    <w:multiLevelType w:val="hybridMultilevel"/>
    <w:tmpl w:val="34BEA7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5" w15:restartNumberingAfterBreak="0">
    <w:nsid w:val="448E50A9"/>
    <w:multiLevelType w:val="multilevel"/>
    <w:tmpl w:val="51583528"/>
    <w:lvl w:ilvl="0">
      <w:start w:val="1"/>
      <w:numFmt w:val="decimal"/>
      <w:lvlText w:val="%1."/>
      <w:lvlJc w:val="left"/>
      <w:pPr>
        <w:ind w:left="1702" w:hanging="284"/>
        <w:jc w:val="right"/>
      </w:pPr>
      <w:rPr>
        <w:rFonts w:hint="default"/>
        <w:spacing w:val="0"/>
        <w:w w:val="99"/>
        <w:lang w:val="fr-FR" w:eastAsia="en-US" w:bidi="ar-SA"/>
      </w:rPr>
    </w:lvl>
    <w:lvl w:ilvl="1">
      <w:start w:val="1"/>
      <w:numFmt w:val="decimal"/>
      <w:lvlText w:val="%1.%2"/>
      <w:lvlJc w:val="left"/>
      <w:pPr>
        <w:ind w:left="1778" w:hanging="360"/>
      </w:pPr>
      <w:rPr>
        <w:rFonts w:hint="default"/>
        <w:spacing w:val="0"/>
        <w:w w:val="100"/>
        <w:lang w:val="fr-FR" w:eastAsia="en-US" w:bidi="ar-SA"/>
      </w:rPr>
    </w:lvl>
    <w:lvl w:ilvl="2">
      <w:start w:val="1"/>
      <w:numFmt w:val="decimal"/>
      <w:lvlText w:val="%1.%2.%3"/>
      <w:lvlJc w:val="left"/>
      <w:pPr>
        <w:ind w:left="1915" w:hanging="497"/>
      </w:pPr>
      <w:rPr>
        <w:rFonts w:hint="default"/>
        <w:spacing w:val="0"/>
        <w:w w:val="100"/>
        <w:lang w:val="fr-FR" w:eastAsia="en-US" w:bidi="ar-SA"/>
      </w:rPr>
    </w:lvl>
    <w:lvl w:ilvl="3">
      <w:numFmt w:val="bullet"/>
      <w:lvlText w:val=""/>
      <w:lvlJc w:val="left"/>
      <w:pPr>
        <w:ind w:left="2139" w:hanging="497"/>
      </w:pPr>
      <w:rPr>
        <w:rFonts w:ascii="Wingdings" w:eastAsia="Wingdings" w:hAnsi="Wingdings" w:cs="Wingdings" w:hint="default"/>
        <w:b w:val="0"/>
        <w:bCs w:val="0"/>
        <w:i w:val="0"/>
        <w:iCs w:val="0"/>
        <w:spacing w:val="0"/>
        <w:w w:val="100"/>
        <w:sz w:val="22"/>
        <w:szCs w:val="22"/>
        <w:lang w:val="fr-FR" w:eastAsia="en-US" w:bidi="ar-SA"/>
      </w:rPr>
    </w:lvl>
    <w:lvl w:ilvl="4">
      <w:numFmt w:val="bullet"/>
      <w:lvlText w:val="•"/>
      <w:lvlJc w:val="left"/>
      <w:pPr>
        <w:ind w:left="2140" w:hanging="497"/>
      </w:pPr>
      <w:rPr>
        <w:rFonts w:hint="default"/>
        <w:lang w:val="fr-FR" w:eastAsia="en-US" w:bidi="ar-SA"/>
      </w:rPr>
    </w:lvl>
    <w:lvl w:ilvl="5">
      <w:numFmt w:val="bullet"/>
      <w:lvlText w:val="•"/>
      <w:lvlJc w:val="left"/>
      <w:pPr>
        <w:ind w:left="3767" w:hanging="497"/>
      </w:pPr>
      <w:rPr>
        <w:rFonts w:hint="default"/>
        <w:lang w:val="fr-FR" w:eastAsia="en-US" w:bidi="ar-SA"/>
      </w:rPr>
    </w:lvl>
    <w:lvl w:ilvl="6">
      <w:numFmt w:val="bullet"/>
      <w:lvlText w:val="•"/>
      <w:lvlJc w:val="left"/>
      <w:pPr>
        <w:ind w:left="5395" w:hanging="497"/>
      </w:pPr>
      <w:rPr>
        <w:rFonts w:hint="default"/>
        <w:lang w:val="fr-FR" w:eastAsia="en-US" w:bidi="ar-SA"/>
      </w:rPr>
    </w:lvl>
    <w:lvl w:ilvl="7">
      <w:numFmt w:val="bullet"/>
      <w:lvlText w:val="•"/>
      <w:lvlJc w:val="left"/>
      <w:pPr>
        <w:ind w:left="7022" w:hanging="497"/>
      </w:pPr>
      <w:rPr>
        <w:rFonts w:hint="default"/>
        <w:lang w:val="fr-FR" w:eastAsia="en-US" w:bidi="ar-SA"/>
      </w:rPr>
    </w:lvl>
    <w:lvl w:ilvl="8">
      <w:numFmt w:val="bullet"/>
      <w:lvlText w:val="•"/>
      <w:lvlJc w:val="left"/>
      <w:pPr>
        <w:ind w:left="8650" w:hanging="497"/>
      </w:pPr>
      <w:rPr>
        <w:rFonts w:hint="default"/>
        <w:lang w:val="fr-FR" w:eastAsia="en-US" w:bidi="ar-SA"/>
      </w:rPr>
    </w:lvl>
  </w:abstractNum>
  <w:abstractNum w:abstractNumId="276" w15:restartNumberingAfterBreak="0">
    <w:nsid w:val="44C86075"/>
    <w:multiLevelType w:val="hybridMultilevel"/>
    <w:tmpl w:val="A300A312"/>
    <w:lvl w:ilvl="0" w:tplc="040C000F">
      <w:start w:val="1"/>
      <w:numFmt w:val="decimal"/>
      <w:lvlText w:val="%1."/>
      <w:lvlJc w:val="left"/>
      <w:pPr>
        <w:ind w:left="720" w:hanging="360"/>
      </w:pPr>
    </w:lvl>
    <w:lvl w:ilvl="1" w:tplc="865C0D88">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7" w15:restartNumberingAfterBreak="0">
    <w:nsid w:val="44E42369"/>
    <w:multiLevelType w:val="hybridMultilevel"/>
    <w:tmpl w:val="FFFFFFFF"/>
    <w:lvl w:ilvl="0" w:tplc="B61ABBC6">
      <w:start w:val="1"/>
      <w:numFmt w:val="lowerRoman"/>
      <w:lvlText w:val="(%1)"/>
      <w:lvlJc w:val="left"/>
      <w:pPr>
        <w:ind w:left="1080" w:hanging="72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278" w15:restartNumberingAfterBreak="0">
    <w:nsid w:val="452C5AD7"/>
    <w:multiLevelType w:val="hybridMultilevel"/>
    <w:tmpl w:val="804A213C"/>
    <w:lvl w:ilvl="0" w:tplc="5DF4C6A6">
      <w:start w:val="1"/>
      <w:numFmt w:val="bullet"/>
      <w:lvlText w:val="-"/>
      <w:lvlJc w:val="left"/>
      <w:pPr>
        <w:tabs>
          <w:tab w:val="num" w:pos="720"/>
        </w:tabs>
        <w:ind w:left="720" w:hanging="360"/>
      </w:pPr>
      <w:rPr>
        <w:rFonts w:ascii="Times New Roman" w:hAnsi="Times New Roman" w:hint="default"/>
      </w:rPr>
    </w:lvl>
    <w:lvl w:ilvl="1" w:tplc="72B28CF4">
      <w:start w:val="1"/>
      <w:numFmt w:val="bullet"/>
      <w:lvlText w:val="-"/>
      <w:lvlJc w:val="left"/>
      <w:pPr>
        <w:tabs>
          <w:tab w:val="num" w:pos="1440"/>
        </w:tabs>
        <w:ind w:left="1440" w:hanging="360"/>
      </w:pPr>
      <w:rPr>
        <w:rFonts w:ascii="Times New Roman" w:hAnsi="Times New Roman" w:hint="default"/>
      </w:rPr>
    </w:lvl>
    <w:lvl w:ilvl="2" w:tplc="E92A7328" w:tentative="1">
      <w:start w:val="1"/>
      <w:numFmt w:val="bullet"/>
      <w:lvlText w:val="-"/>
      <w:lvlJc w:val="left"/>
      <w:pPr>
        <w:tabs>
          <w:tab w:val="num" w:pos="2160"/>
        </w:tabs>
        <w:ind w:left="2160" w:hanging="360"/>
      </w:pPr>
      <w:rPr>
        <w:rFonts w:ascii="Times New Roman" w:hAnsi="Times New Roman" w:hint="default"/>
      </w:rPr>
    </w:lvl>
    <w:lvl w:ilvl="3" w:tplc="52F85956" w:tentative="1">
      <w:start w:val="1"/>
      <w:numFmt w:val="bullet"/>
      <w:lvlText w:val="-"/>
      <w:lvlJc w:val="left"/>
      <w:pPr>
        <w:tabs>
          <w:tab w:val="num" w:pos="2880"/>
        </w:tabs>
        <w:ind w:left="2880" w:hanging="360"/>
      </w:pPr>
      <w:rPr>
        <w:rFonts w:ascii="Times New Roman" w:hAnsi="Times New Roman" w:hint="default"/>
      </w:rPr>
    </w:lvl>
    <w:lvl w:ilvl="4" w:tplc="A042AA04" w:tentative="1">
      <w:start w:val="1"/>
      <w:numFmt w:val="bullet"/>
      <w:lvlText w:val="-"/>
      <w:lvlJc w:val="left"/>
      <w:pPr>
        <w:tabs>
          <w:tab w:val="num" w:pos="3600"/>
        </w:tabs>
        <w:ind w:left="3600" w:hanging="360"/>
      </w:pPr>
      <w:rPr>
        <w:rFonts w:ascii="Times New Roman" w:hAnsi="Times New Roman" w:hint="default"/>
      </w:rPr>
    </w:lvl>
    <w:lvl w:ilvl="5" w:tplc="019C12F0" w:tentative="1">
      <w:start w:val="1"/>
      <w:numFmt w:val="bullet"/>
      <w:lvlText w:val="-"/>
      <w:lvlJc w:val="left"/>
      <w:pPr>
        <w:tabs>
          <w:tab w:val="num" w:pos="4320"/>
        </w:tabs>
        <w:ind w:left="4320" w:hanging="360"/>
      </w:pPr>
      <w:rPr>
        <w:rFonts w:ascii="Times New Roman" w:hAnsi="Times New Roman" w:hint="default"/>
      </w:rPr>
    </w:lvl>
    <w:lvl w:ilvl="6" w:tplc="DAA6910E" w:tentative="1">
      <w:start w:val="1"/>
      <w:numFmt w:val="bullet"/>
      <w:lvlText w:val="-"/>
      <w:lvlJc w:val="left"/>
      <w:pPr>
        <w:tabs>
          <w:tab w:val="num" w:pos="5040"/>
        </w:tabs>
        <w:ind w:left="5040" w:hanging="360"/>
      </w:pPr>
      <w:rPr>
        <w:rFonts w:ascii="Times New Roman" w:hAnsi="Times New Roman" w:hint="default"/>
      </w:rPr>
    </w:lvl>
    <w:lvl w:ilvl="7" w:tplc="690459F6" w:tentative="1">
      <w:start w:val="1"/>
      <w:numFmt w:val="bullet"/>
      <w:lvlText w:val="-"/>
      <w:lvlJc w:val="left"/>
      <w:pPr>
        <w:tabs>
          <w:tab w:val="num" w:pos="5760"/>
        </w:tabs>
        <w:ind w:left="5760" w:hanging="360"/>
      </w:pPr>
      <w:rPr>
        <w:rFonts w:ascii="Times New Roman" w:hAnsi="Times New Roman" w:hint="default"/>
      </w:rPr>
    </w:lvl>
    <w:lvl w:ilvl="8" w:tplc="9F76FAEE" w:tentative="1">
      <w:start w:val="1"/>
      <w:numFmt w:val="bullet"/>
      <w:lvlText w:val="-"/>
      <w:lvlJc w:val="left"/>
      <w:pPr>
        <w:tabs>
          <w:tab w:val="num" w:pos="6480"/>
        </w:tabs>
        <w:ind w:left="6480" w:hanging="360"/>
      </w:pPr>
      <w:rPr>
        <w:rFonts w:ascii="Times New Roman" w:hAnsi="Times New Roman" w:hint="default"/>
      </w:rPr>
    </w:lvl>
  </w:abstractNum>
  <w:abstractNum w:abstractNumId="279" w15:restartNumberingAfterBreak="0">
    <w:nsid w:val="453B3709"/>
    <w:multiLevelType w:val="hybridMultilevel"/>
    <w:tmpl w:val="01A47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0" w15:restartNumberingAfterBreak="0">
    <w:nsid w:val="458252A0"/>
    <w:multiLevelType w:val="hybridMultilevel"/>
    <w:tmpl w:val="3474C8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1" w15:restartNumberingAfterBreak="0">
    <w:nsid w:val="45CE41E0"/>
    <w:multiLevelType w:val="hybridMultilevel"/>
    <w:tmpl w:val="F90858FE"/>
    <w:lvl w:ilvl="0" w:tplc="CF4C1AC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2" w15:restartNumberingAfterBreak="0">
    <w:nsid w:val="46877B27"/>
    <w:multiLevelType w:val="hybridMultilevel"/>
    <w:tmpl w:val="420ADDAE"/>
    <w:lvl w:ilvl="0" w:tplc="F2DC2676">
      <w:start w:val="1"/>
      <w:numFmt w:val="decimal"/>
      <w:pStyle w:val="NumberedParas"/>
      <w:lvlText w:val="%1."/>
      <w:lvlJc w:val="left"/>
      <w:pPr>
        <w:tabs>
          <w:tab w:val="num" w:pos="0"/>
        </w:tabs>
        <w:ind w:left="0" w:firstLine="5246"/>
      </w:pPr>
      <w:rPr>
        <w:rFonts w:ascii="Times New Roman" w:hAnsi="Times New Roman" w:hint="default"/>
        <w:b w:val="0"/>
        <w:i w:val="0"/>
        <w:caps w:val="0"/>
        <w:strike w:val="0"/>
        <w:dstrike w:val="0"/>
        <w:vanish w:val="0"/>
        <w:sz w:val="22"/>
        <w:vertAlign w:val="baseline"/>
      </w:rPr>
    </w:lvl>
    <w:lvl w:ilvl="1" w:tplc="04090005">
      <w:start w:val="1"/>
      <w:numFmt w:val="bullet"/>
      <w:lvlText w:val=""/>
      <w:lvlJc w:val="left"/>
      <w:pPr>
        <w:ind w:left="1440" w:hanging="360"/>
      </w:pPr>
      <w:rPr>
        <w:rFonts w:ascii="Wingdings" w:hAnsi="Wingdings" w:hint="default"/>
      </w:rPr>
    </w:lvl>
    <w:lvl w:ilvl="2" w:tplc="040C0005">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283" w15:restartNumberingAfterBreak="0">
    <w:nsid w:val="469D2A96"/>
    <w:multiLevelType w:val="hybridMultilevel"/>
    <w:tmpl w:val="FFFFFFFF"/>
    <w:lvl w:ilvl="0" w:tplc="89E22A6A">
      <w:start w:val="1"/>
      <w:numFmt w:val="upperRoman"/>
      <w:lvlText w:val="(%1)"/>
      <w:lvlJc w:val="left"/>
      <w:pPr>
        <w:ind w:left="1080" w:hanging="720"/>
      </w:pPr>
      <w:rPr>
        <w:rFonts w:cs="Times New Roman"/>
        <w:b w:val="0"/>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284" w15:restartNumberingAfterBreak="0">
    <w:nsid w:val="46D04BE2"/>
    <w:multiLevelType w:val="hybridMultilevel"/>
    <w:tmpl w:val="475CF508"/>
    <w:lvl w:ilvl="0" w:tplc="FFFFFFFF">
      <w:start w:val="1"/>
      <w:numFmt w:val="decimal"/>
      <w:lvlText w:val="%1."/>
      <w:lvlJc w:val="left"/>
      <w:pPr>
        <w:ind w:left="720" w:hanging="360"/>
      </w:pPr>
      <w:rPr>
        <w:rFonts w:hint="default"/>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5" w15:restartNumberingAfterBreak="0">
    <w:nsid w:val="46D9258A"/>
    <w:multiLevelType w:val="hybridMultilevel"/>
    <w:tmpl w:val="995853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6" w15:restartNumberingAfterBreak="0">
    <w:nsid w:val="46DE7CD1"/>
    <w:multiLevelType w:val="hybridMultilevel"/>
    <w:tmpl w:val="772E8D46"/>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7" w15:restartNumberingAfterBreak="0">
    <w:nsid w:val="46EF7528"/>
    <w:multiLevelType w:val="hybridMultilevel"/>
    <w:tmpl w:val="66C4FE5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8" w15:restartNumberingAfterBreak="0">
    <w:nsid w:val="46F72F04"/>
    <w:multiLevelType w:val="hybridMultilevel"/>
    <w:tmpl w:val="FC20F482"/>
    <w:lvl w:ilvl="0" w:tplc="493E4C2E">
      <w:start w:val="1"/>
      <w:numFmt w:val="upperLetter"/>
      <w:lvlText w:val="%1."/>
      <w:lvlJc w:val="left"/>
      <w:pPr>
        <w:ind w:left="1998" w:hanging="360"/>
      </w:pPr>
      <w:rPr>
        <w:rFonts w:hint="default"/>
        <w:w w:val="95"/>
      </w:rPr>
    </w:lvl>
    <w:lvl w:ilvl="1" w:tplc="040C0019" w:tentative="1">
      <w:start w:val="1"/>
      <w:numFmt w:val="lowerLetter"/>
      <w:lvlText w:val="%2."/>
      <w:lvlJc w:val="left"/>
      <w:pPr>
        <w:ind w:left="2718" w:hanging="360"/>
      </w:pPr>
    </w:lvl>
    <w:lvl w:ilvl="2" w:tplc="040C001B" w:tentative="1">
      <w:start w:val="1"/>
      <w:numFmt w:val="lowerRoman"/>
      <w:lvlText w:val="%3."/>
      <w:lvlJc w:val="right"/>
      <w:pPr>
        <w:ind w:left="3438" w:hanging="180"/>
      </w:pPr>
    </w:lvl>
    <w:lvl w:ilvl="3" w:tplc="040C000F" w:tentative="1">
      <w:start w:val="1"/>
      <w:numFmt w:val="decimal"/>
      <w:lvlText w:val="%4."/>
      <w:lvlJc w:val="left"/>
      <w:pPr>
        <w:ind w:left="4158" w:hanging="360"/>
      </w:pPr>
    </w:lvl>
    <w:lvl w:ilvl="4" w:tplc="040C0019" w:tentative="1">
      <w:start w:val="1"/>
      <w:numFmt w:val="lowerLetter"/>
      <w:lvlText w:val="%5."/>
      <w:lvlJc w:val="left"/>
      <w:pPr>
        <w:ind w:left="4878" w:hanging="360"/>
      </w:pPr>
    </w:lvl>
    <w:lvl w:ilvl="5" w:tplc="040C001B" w:tentative="1">
      <w:start w:val="1"/>
      <w:numFmt w:val="lowerRoman"/>
      <w:lvlText w:val="%6."/>
      <w:lvlJc w:val="right"/>
      <w:pPr>
        <w:ind w:left="5598" w:hanging="180"/>
      </w:pPr>
    </w:lvl>
    <w:lvl w:ilvl="6" w:tplc="040C000F" w:tentative="1">
      <w:start w:val="1"/>
      <w:numFmt w:val="decimal"/>
      <w:lvlText w:val="%7."/>
      <w:lvlJc w:val="left"/>
      <w:pPr>
        <w:ind w:left="6318" w:hanging="360"/>
      </w:pPr>
    </w:lvl>
    <w:lvl w:ilvl="7" w:tplc="040C0019" w:tentative="1">
      <w:start w:val="1"/>
      <w:numFmt w:val="lowerLetter"/>
      <w:lvlText w:val="%8."/>
      <w:lvlJc w:val="left"/>
      <w:pPr>
        <w:ind w:left="7038" w:hanging="360"/>
      </w:pPr>
    </w:lvl>
    <w:lvl w:ilvl="8" w:tplc="040C001B" w:tentative="1">
      <w:start w:val="1"/>
      <w:numFmt w:val="lowerRoman"/>
      <w:lvlText w:val="%9."/>
      <w:lvlJc w:val="right"/>
      <w:pPr>
        <w:ind w:left="7758" w:hanging="180"/>
      </w:pPr>
    </w:lvl>
  </w:abstractNum>
  <w:abstractNum w:abstractNumId="289" w15:restartNumberingAfterBreak="0">
    <w:nsid w:val="47031117"/>
    <w:multiLevelType w:val="hybridMultilevel"/>
    <w:tmpl w:val="A39AD7AE"/>
    <w:lvl w:ilvl="0" w:tplc="CEEA71F2">
      <w:start w:val="1"/>
      <w:numFmt w:val="bullet"/>
      <w:lvlText w:val="-"/>
      <w:lvlJc w:val="left"/>
      <w:pPr>
        <w:ind w:left="360" w:hanging="360"/>
      </w:pPr>
      <w:rPr>
        <w:rFonts w:ascii="Calibri" w:eastAsiaTheme="minorEastAsia" w:hAnsi="Calibri" w:cs="Calibri" w:hint="default"/>
        <w:b/>
        <w:i w:val="0"/>
        <w:caps w:val="0"/>
        <w:strike w:val="0"/>
        <w:dstrike w:val="0"/>
        <w:vanish w:val="0"/>
        <w:sz w:val="2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0" w15:restartNumberingAfterBreak="0">
    <w:nsid w:val="47095C46"/>
    <w:multiLevelType w:val="hybridMultilevel"/>
    <w:tmpl w:val="EED039DE"/>
    <w:lvl w:ilvl="0" w:tplc="040C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1" w15:restartNumberingAfterBreak="0">
    <w:nsid w:val="470979CD"/>
    <w:multiLevelType w:val="hybridMultilevel"/>
    <w:tmpl w:val="F5A4359A"/>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2" w15:restartNumberingAfterBreak="0">
    <w:nsid w:val="47136133"/>
    <w:multiLevelType w:val="multilevel"/>
    <w:tmpl w:val="610C7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47321DB7"/>
    <w:multiLevelType w:val="hybridMultilevel"/>
    <w:tmpl w:val="5E009A1A"/>
    <w:lvl w:ilvl="0" w:tplc="FFA2878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6D4896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596AC96E">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rPr>
    </w:lvl>
    <w:lvl w:ilvl="3" w:tplc="0C86DBE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6368154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6D4EB5D2">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rPr>
    </w:lvl>
    <w:lvl w:ilvl="6" w:tplc="B32649D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9DA8D0F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47F614CA">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rPr>
    </w:lvl>
  </w:abstractNum>
  <w:abstractNum w:abstractNumId="294" w15:restartNumberingAfterBreak="0">
    <w:nsid w:val="47596B53"/>
    <w:multiLevelType w:val="hybridMultilevel"/>
    <w:tmpl w:val="FFFFFFFF"/>
    <w:lvl w:ilvl="0" w:tplc="8244E428">
      <w:start w:val="1"/>
      <w:numFmt w:val="lowerLetter"/>
      <w:lvlText w:val="(%1)"/>
      <w:lvlJc w:val="left"/>
      <w:pPr>
        <w:ind w:left="720" w:hanging="360"/>
      </w:pPr>
      <w:rPr>
        <w:rFonts w:eastAsia="Times New Roman" w:cs="Times New Roman" w:hint="default"/>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95" w15:restartNumberingAfterBreak="0">
    <w:nsid w:val="476D641C"/>
    <w:multiLevelType w:val="hybridMultilevel"/>
    <w:tmpl w:val="E63897A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6" w15:restartNumberingAfterBreak="0">
    <w:nsid w:val="47D748F5"/>
    <w:multiLevelType w:val="hybridMultilevel"/>
    <w:tmpl w:val="6610FBE4"/>
    <w:lvl w:ilvl="0" w:tplc="5FE44CA4">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7" w15:restartNumberingAfterBreak="0">
    <w:nsid w:val="481063FF"/>
    <w:multiLevelType w:val="hybridMultilevel"/>
    <w:tmpl w:val="5254C7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8" w15:restartNumberingAfterBreak="0">
    <w:nsid w:val="48A52A05"/>
    <w:multiLevelType w:val="hybridMultilevel"/>
    <w:tmpl w:val="F5567514"/>
    <w:lvl w:ilvl="0" w:tplc="400686FA">
      <w:start w:val="1"/>
      <w:numFmt w:val="decimal"/>
      <w:lvlText w:val="I. %1."/>
      <w:lvlJc w:val="left"/>
      <w:pPr>
        <w:tabs>
          <w:tab w:val="num" w:pos="1357"/>
        </w:tabs>
        <w:ind w:left="1357" w:hanging="360"/>
      </w:pPr>
      <w:rPr>
        <w:rFonts w:cs="Times New Roman" w:hint="default"/>
      </w:rPr>
    </w:lvl>
    <w:lvl w:ilvl="1" w:tplc="400686FA">
      <w:start w:val="1"/>
      <w:numFmt w:val="decimal"/>
      <w:lvlText w:val="I. %2."/>
      <w:lvlJc w:val="left"/>
      <w:pPr>
        <w:tabs>
          <w:tab w:val="num" w:pos="1440"/>
        </w:tabs>
        <w:ind w:left="1440" w:hanging="360"/>
      </w:pPr>
      <w:rPr>
        <w:rFonts w:cs="Times New Roman" w:hint="default"/>
      </w:rPr>
    </w:lvl>
    <w:lvl w:ilvl="2" w:tplc="2196E5EC">
      <w:start w:val="1"/>
      <w:numFmt w:val="decimal"/>
      <w:lvlText w:val="1.2. %3."/>
      <w:lvlJc w:val="left"/>
      <w:pPr>
        <w:tabs>
          <w:tab w:val="num" w:pos="2340"/>
        </w:tabs>
        <w:ind w:left="2340" w:hanging="360"/>
      </w:pPr>
      <w:rPr>
        <w:rFonts w:cs="Times New Roman"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9" w15:restartNumberingAfterBreak="0">
    <w:nsid w:val="48CB62C0"/>
    <w:multiLevelType w:val="hybridMultilevel"/>
    <w:tmpl w:val="7C72C808"/>
    <w:lvl w:ilvl="0" w:tplc="040C0001">
      <w:start w:val="1"/>
      <w:numFmt w:val="bullet"/>
      <w:lvlText w:val=""/>
      <w:lvlJc w:val="left"/>
      <w:pPr>
        <w:ind w:left="740" w:hanging="360"/>
      </w:pPr>
      <w:rPr>
        <w:rFonts w:ascii="Symbol" w:hAnsi="Symbol" w:hint="default"/>
      </w:rPr>
    </w:lvl>
    <w:lvl w:ilvl="1" w:tplc="040C0003">
      <w:start w:val="1"/>
      <w:numFmt w:val="bullet"/>
      <w:lvlText w:val="o"/>
      <w:lvlJc w:val="left"/>
      <w:pPr>
        <w:ind w:left="1460" w:hanging="360"/>
      </w:pPr>
      <w:rPr>
        <w:rFonts w:ascii="Courier New" w:hAnsi="Courier New" w:cs="Courier New" w:hint="default"/>
      </w:rPr>
    </w:lvl>
    <w:lvl w:ilvl="2" w:tplc="040C0005">
      <w:start w:val="1"/>
      <w:numFmt w:val="bullet"/>
      <w:lvlText w:val=""/>
      <w:lvlJc w:val="left"/>
      <w:pPr>
        <w:ind w:left="2180" w:hanging="360"/>
      </w:pPr>
      <w:rPr>
        <w:rFonts w:ascii="Wingdings" w:hAnsi="Wingdings" w:hint="default"/>
      </w:rPr>
    </w:lvl>
    <w:lvl w:ilvl="3" w:tplc="040C0001">
      <w:start w:val="1"/>
      <w:numFmt w:val="bullet"/>
      <w:lvlText w:val=""/>
      <w:lvlJc w:val="left"/>
      <w:pPr>
        <w:ind w:left="2900" w:hanging="360"/>
      </w:pPr>
      <w:rPr>
        <w:rFonts w:ascii="Symbol" w:hAnsi="Symbol" w:hint="default"/>
      </w:rPr>
    </w:lvl>
    <w:lvl w:ilvl="4" w:tplc="040C0003">
      <w:start w:val="1"/>
      <w:numFmt w:val="bullet"/>
      <w:lvlText w:val="o"/>
      <w:lvlJc w:val="left"/>
      <w:pPr>
        <w:ind w:left="3620" w:hanging="360"/>
      </w:pPr>
      <w:rPr>
        <w:rFonts w:ascii="Courier New" w:hAnsi="Courier New" w:cs="Courier New" w:hint="default"/>
      </w:rPr>
    </w:lvl>
    <w:lvl w:ilvl="5" w:tplc="040C0005">
      <w:start w:val="1"/>
      <w:numFmt w:val="bullet"/>
      <w:lvlText w:val=""/>
      <w:lvlJc w:val="left"/>
      <w:pPr>
        <w:ind w:left="4340" w:hanging="360"/>
      </w:pPr>
      <w:rPr>
        <w:rFonts w:ascii="Wingdings" w:hAnsi="Wingdings" w:hint="default"/>
      </w:rPr>
    </w:lvl>
    <w:lvl w:ilvl="6" w:tplc="040C0001">
      <w:start w:val="1"/>
      <w:numFmt w:val="bullet"/>
      <w:lvlText w:val=""/>
      <w:lvlJc w:val="left"/>
      <w:pPr>
        <w:ind w:left="5060" w:hanging="360"/>
      </w:pPr>
      <w:rPr>
        <w:rFonts w:ascii="Symbol" w:hAnsi="Symbol" w:hint="default"/>
      </w:rPr>
    </w:lvl>
    <w:lvl w:ilvl="7" w:tplc="040C0003">
      <w:start w:val="1"/>
      <w:numFmt w:val="bullet"/>
      <w:lvlText w:val="o"/>
      <w:lvlJc w:val="left"/>
      <w:pPr>
        <w:ind w:left="5780" w:hanging="360"/>
      </w:pPr>
      <w:rPr>
        <w:rFonts w:ascii="Courier New" w:hAnsi="Courier New" w:cs="Courier New" w:hint="default"/>
      </w:rPr>
    </w:lvl>
    <w:lvl w:ilvl="8" w:tplc="040C0005">
      <w:start w:val="1"/>
      <w:numFmt w:val="bullet"/>
      <w:lvlText w:val=""/>
      <w:lvlJc w:val="left"/>
      <w:pPr>
        <w:ind w:left="6500" w:hanging="360"/>
      </w:pPr>
      <w:rPr>
        <w:rFonts w:ascii="Wingdings" w:hAnsi="Wingdings" w:hint="default"/>
      </w:rPr>
    </w:lvl>
  </w:abstractNum>
  <w:abstractNum w:abstractNumId="300" w15:restartNumberingAfterBreak="0">
    <w:nsid w:val="490A586A"/>
    <w:multiLevelType w:val="hybridMultilevel"/>
    <w:tmpl w:val="20EA2262"/>
    <w:lvl w:ilvl="0" w:tplc="7574680A">
      <w:numFmt w:val="bullet"/>
      <w:lvlText w:val=""/>
      <w:lvlJc w:val="left"/>
      <w:pPr>
        <w:ind w:left="828" w:hanging="360"/>
      </w:pPr>
      <w:rPr>
        <w:rFonts w:ascii="Symbol" w:eastAsia="Symbol" w:hAnsi="Symbol" w:cs="Symbol" w:hint="default"/>
        <w:b w:val="0"/>
        <w:bCs w:val="0"/>
        <w:i w:val="0"/>
        <w:iCs w:val="0"/>
        <w:w w:val="100"/>
        <w:sz w:val="22"/>
        <w:szCs w:val="22"/>
        <w:lang w:val="fr-FR" w:eastAsia="en-US" w:bidi="ar-SA"/>
      </w:rPr>
    </w:lvl>
    <w:lvl w:ilvl="1" w:tplc="E6A2739C">
      <w:numFmt w:val="bullet"/>
      <w:lvlText w:val="•"/>
      <w:lvlJc w:val="left"/>
      <w:pPr>
        <w:ind w:left="1147" w:hanging="360"/>
      </w:pPr>
      <w:rPr>
        <w:rFonts w:hint="default"/>
        <w:lang w:val="fr-FR" w:eastAsia="en-US" w:bidi="ar-SA"/>
      </w:rPr>
    </w:lvl>
    <w:lvl w:ilvl="2" w:tplc="CC94C7C4">
      <w:numFmt w:val="bullet"/>
      <w:lvlText w:val="•"/>
      <w:lvlJc w:val="left"/>
      <w:pPr>
        <w:ind w:left="1475" w:hanging="360"/>
      </w:pPr>
      <w:rPr>
        <w:rFonts w:hint="default"/>
        <w:lang w:val="fr-FR" w:eastAsia="en-US" w:bidi="ar-SA"/>
      </w:rPr>
    </w:lvl>
    <w:lvl w:ilvl="3" w:tplc="297AB0AA">
      <w:numFmt w:val="bullet"/>
      <w:lvlText w:val="•"/>
      <w:lvlJc w:val="left"/>
      <w:pPr>
        <w:ind w:left="1803" w:hanging="360"/>
      </w:pPr>
      <w:rPr>
        <w:rFonts w:hint="default"/>
        <w:lang w:val="fr-FR" w:eastAsia="en-US" w:bidi="ar-SA"/>
      </w:rPr>
    </w:lvl>
    <w:lvl w:ilvl="4" w:tplc="D5CA57EA">
      <w:numFmt w:val="bullet"/>
      <w:lvlText w:val="•"/>
      <w:lvlJc w:val="left"/>
      <w:pPr>
        <w:ind w:left="2131" w:hanging="360"/>
      </w:pPr>
      <w:rPr>
        <w:rFonts w:hint="default"/>
        <w:lang w:val="fr-FR" w:eastAsia="en-US" w:bidi="ar-SA"/>
      </w:rPr>
    </w:lvl>
    <w:lvl w:ilvl="5" w:tplc="0B948D70">
      <w:numFmt w:val="bullet"/>
      <w:lvlText w:val="•"/>
      <w:lvlJc w:val="left"/>
      <w:pPr>
        <w:ind w:left="2459" w:hanging="360"/>
      </w:pPr>
      <w:rPr>
        <w:rFonts w:hint="default"/>
        <w:lang w:val="fr-FR" w:eastAsia="en-US" w:bidi="ar-SA"/>
      </w:rPr>
    </w:lvl>
    <w:lvl w:ilvl="6" w:tplc="8A06ACB4">
      <w:numFmt w:val="bullet"/>
      <w:lvlText w:val="•"/>
      <w:lvlJc w:val="left"/>
      <w:pPr>
        <w:ind w:left="2786" w:hanging="360"/>
      </w:pPr>
      <w:rPr>
        <w:rFonts w:hint="default"/>
        <w:lang w:val="fr-FR" w:eastAsia="en-US" w:bidi="ar-SA"/>
      </w:rPr>
    </w:lvl>
    <w:lvl w:ilvl="7" w:tplc="FC32D634">
      <w:numFmt w:val="bullet"/>
      <w:lvlText w:val="•"/>
      <w:lvlJc w:val="left"/>
      <w:pPr>
        <w:ind w:left="3114" w:hanging="360"/>
      </w:pPr>
      <w:rPr>
        <w:rFonts w:hint="default"/>
        <w:lang w:val="fr-FR" w:eastAsia="en-US" w:bidi="ar-SA"/>
      </w:rPr>
    </w:lvl>
    <w:lvl w:ilvl="8" w:tplc="1BB07FF8">
      <w:numFmt w:val="bullet"/>
      <w:lvlText w:val="•"/>
      <w:lvlJc w:val="left"/>
      <w:pPr>
        <w:ind w:left="3442" w:hanging="360"/>
      </w:pPr>
      <w:rPr>
        <w:rFonts w:hint="default"/>
        <w:lang w:val="fr-FR" w:eastAsia="en-US" w:bidi="ar-SA"/>
      </w:rPr>
    </w:lvl>
  </w:abstractNum>
  <w:abstractNum w:abstractNumId="301" w15:restartNumberingAfterBreak="0">
    <w:nsid w:val="490B770B"/>
    <w:multiLevelType w:val="hybridMultilevel"/>
    <w:tmpl w:val="8A181A92"/>
    <w:lvl w:ilvl="0" w:tplc="8CC0256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2" w15:restartNumberingAfterBreak="0">
    <w:nsid w:val="49800282"/>
    <w:multiLevelType w:val="hybridMultilevel"/>
    <w:tmpl w:val="E72E7D8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3" w15:restartNumberingAfterBreak="0">
    <w:nsid w:val="49C66FCE"/>
    <w:multiLevelType w:val="hybridMultilevel"/>
    <w:tmpl w:val="180AB4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4" w15:restartNumberingAfterBreak="0">
    <w:nsid w:val="4A101227"/>
    <w:multiLevelType w:val="hybridMultilevel"/>
    <w:tmpl w:val="EEB05CB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5" w15:restartNumberingAfterBreak="0">
    <w:nsid w:val="4A8A5858"/>
    <w:multiLevelType w:val="hybridMultilevel"/>
    <w:tmpl w:val="1E0C3A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6" w15:restartNumberingAfterBreak="0">
    <w:nsid w:val="4AD8044B"/>
    <w:multiLevelType w:val="hybridMultilevel"/>
    <w:tmpl w:val="CB5874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7" w15:restartNumberingAfterBreak="0">
    <w:nsid w:val="4B3D1AE6"/>
    <w:multiLevelType w:val="multilevel"/>
    <w:tmpl w:val="1E5026DC"/>
    <w:lvl w:ilvl="0">
      <w:numFmt w:val="bullet"/>
      <w:lvlText w:val="-"/>
      <w:lvlJc w:val="left"/>
      <w:pPr>
        <w:ind w:left="720" w:hanging="360"/>
      </w:pPr>
      <w:rPr>
        <w:rFonts w:ascii="Calibri" w:eastAsia="SimSu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8" w15:restartNumberingAfterBreak="0">
    <w:nsid w:val="4B82085C"/>
    <w:multiLevelType w:val="multilevel"/>
    <w:tmpl w:val="E12849AC"/>
    <w:lvl w:ilvl="0">
      <w:start w:val="1"/>
      <w:numFmt w:val="decimal"/>
      <w:lvlText w:val="%1."/>
      <w:lvlJc w:val="left"/>
      <w:pPr>
        <w:ind w:left="720" w:hanging="360"/>
      </w:pPr>
    </w:lvl>
    <w:lvl w:ilvl="1">
      <w:start w:val="1"/>
      <w:numFmt w:val="decimal"/>
      <w:lvlText w:val="%1.%2."/>
      <w:lvlJc w:val="left"/>
      <w:pPr>
        <w:ind w:left="1800" w:hanging="720"/>
      </w:pPr>
      <w:rPr>
        <w:b w:val="0"/>
      </w:rPr>
    </w:lvl>
    <w:lvl w:ilvl="2">
      <w:start w:val="1"/>
      <w:numFmt w:val="decimal"/>
      <w:lvlText w:val="%1.%2.%3."/>
      <w:lvlJc w:val="left"/>
      <w:pPr>
        <w:ind w:left="2520" w:hanging="720"/>
      </w:pPr>
      <w:rPr>
        <w:b w:val="0"/>
      </w:rPr>
    </w:lvl>
    <w:lvl w:ilvl="3">
      <w:start w:val="1"/>
      <w:numFmt w:val="decimal"/>
      <w:lvlText w:val="%1.%2.%3.%4."/>
      <w:lvlJc w:val="left"/>
      <w:pPr>
        <w:ind w:left="3600" w:hanging="1080"/>
      </w:pPr>
      <w:rPr>
        <w:b w:val="0"/>
      </w:rPr>
    </w:lvl>
    <w:lvl w:ilvl="4">
      <w:start w:val="1"/>
      <w:numFmt w:val="decimal"/>
      <w:lvlText w:val="%1.%2.%3.%4.%5."/>
      <w:lvlJc w:val="left"/>
      <w:pPr>
        <w:ind w:left="4320" w:hanging="1080"/>
      </w:pPr>
      <w:rPr>
        <w:b w:val="0"/>
      </w:rPr>
    </w:lvl>
    <w:lvl w:ilvl="5">
      <w:start w:val="1"/>
      <w:numFmt w:val="decimal"/>
      <w:lvlText w:val="%1.%2.%3.%4.%5.%6."/>
      <w:lvlJc w:val="left"/>
      <w:pPr>
        <w:ind w:left="5400" w:hanging="1440"/>
      </w:pPr>
      <w:rPr>
        <w:b w:val="0"/>
      </w:rPr>
    </w:lvl>
    <w:lvl w:ilvl="6">
      <w:start w:val="1"/>
      <w:numFmt w:val="decimal"/>
      <w:lvlText w:val="%1.%2.%3.%4.%5.%6.%7."/>
      <w:lvlJc w:val="left"/>
      <w:pPr>
        <w:ind w:left="6120" w:hanging="1440"/>
      </w:pPr>
      <w:rPr>
        <w:b w:val="0"/>
      </w:rPr>
    </w:lvl>
    <w:lvl w:ilvl="7">
      <w:start w:val="1"/>
      <w:numFmt w:val="decimal"/>
      <w:lvlText w:val="%1.%2.%3.%4.%5.%6.%7.%8."/>
      <w:lvlJc w:val="left"/>
      <w:pPr>
        <w:ind w:left="7200" w:hanging="1800"/>
      </w:pPr>
      <w:rPr>
        <w:b w:val="0"/>
      </w:rPr>
    </w:lvl>
    <w:lvl w:ilvl="8">
      <w:start w:val="1"/>
      <w:numFmt w:val="decimal"/>
      <w:lvlText w:val="%1.%2.%3.%4.%5.%6.%7.%8.%9."/>
      <w:lvlJc w:val="left"/>
      <w:pPr>
        <w:ind w:left="7920" w:hanging="1800"/>
      </w:pPr>
      <w:rPr>
        <w:b w:val="0"/>
      </w:rPr>
    </w:lvl>
  </w:abstractNum>
  <w:abstractNum w:abstractNumId="309" w15:restartNumberingAfterBreak="0">
    <w:nsid w:val="4B885511"/>
    <w:multiLevelType w:val="hybridMultilevel"/>
    <w:tmpl w:val="98CE7DF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0" w15:restartNumberingAfterBreak="0">
    <w:nsid w:val="4BB237E5"/>
    <w:multiLevelType w:val="hybridMultilevel"/>
    <w:tmpl w:val="F3440E08"/>
    <w:lvl w:ilvl="0" w:tplc="1CE4D212">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1" w15:restartNumberingAfterBreak="0">
    <w:nsid w:val="4BC51ACE"/>
    <w:multiLevelType w:val="hybridMultilevel"/>
    <w:tmpl w:val="FE0256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2" w15:restartNumberingAfterBreak="0">
    <w:nsid w:val="4BCA5314"/>
    <w:multiLevelType w:val="hybridMultilevel"/>
    <w:tmpl w:val="3E7A22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3" w15:restartNumberingAfterBreak="0">
    <w:nsid w:val="4C48340B"/>
    <w:multiLevelType w:val="hybridMultilevel"/>
    <w:tmpl w:val="E144A58E"/>
    <w:lvl w:ilvl="0" w:tplc="FAA2E24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4" w15:restartNumberingAfterBreak="0">
    <w:nsid w:val="4D742657"/>
    <w:multiLevelType w:val="hybridMultilevel"/>
    <w:tmpl w:val="EA043B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5" w15:restartNumberingAfterBreak="0">
    <w:nsid w:val="4D93400C"/>
    <w:multiLevelType w:val="hybridMultilevel"/>
    <w:tmpl w:val="B2260FF8"/>
    <w:lvl w:ilvl="0" w:tplc="003EA72C">
      <w:start w:val="1"/>
      <w:numFmt w:val="lowerRoman"/>
      <w:lvlText w:val="%1)"/>
      <w:lvlJc w:val="left"/>
      <w:pPr>
        <w:ind w:left="1488" w:hanging="720"/>
      </w:pPr>
      <w:rPr>
        <w:rFonts w:hint="default"/>
      </w:rPr>
    </w:lvl>
    <w:lvl w:ilvl="1" w:tplc="040C0019" w:tentative="1">
      <w:start w:val="1"/>
      <w:numFmt w:val="lowerLetter"/>
      <w:lvlText w:val="%2."/>
      <w:lvlJc w:val="left"/>
      <w:pPr>
        <w:ind w:left="1848" w:hanging="360"/>
      </w:pPr>
    </w:lvl>
    <w:lvl w:ilvl="2" w:tplc="040C001B" w:tentative="1">
      <w:start w:val="1"/>
      <w:numFmt w:val="lowerRoman"/>
      <w:lvlText w:val="%3."/>
      <w:lvlJc w:val="right"/>
      <w:pPr>
        <w:ind w:left="2568" w:hanging="180"/>
      </w:pPr>
    </w:lvl>
    <w:lvl w:ilvl="3" w:tplc="040C000F" w:tentative="1">
      <w:start w:val="1"/>
      <w:numFmt w:val="decimal"/>
      <w:lvlText w:val="%4."/>
      <w:lvlJc w:val="left"/>
      <w:pPr>
        <w:ind w:left="3288" w:hanging="360"/>
      </w:pPr>
    </w:lvl>
    <w:lvl w:ilvl="4" w:tplc="040C0019" w:tentative="1">
      <w:start w:val="1"/>
      <w:numFmt w:val="lowerLetter"/>
      <w:lvlText w:val="%5."/>
      <w:lvlJc w:val="left"/>
      <w:pPr>
        <w:ind w:left="4008" w:hanging="360"/>
      </w:pPr>
    </w:lvl>
    <w:lvl w:ilvl="5" w:tplc="040C001B" w:tentative="1">
      <w:start w:val="1"/>
      <w:numFmt w:val="lowerRoman"/>
      <w:lvlText w:val="%6."/>
      <w:lvlJc w:val="right"/>
      <w:pPr>
        <w:ind w:left="4728" w:hanging="180"/>
      </w:pPr>
    </w:lvl>
    <w:lvl w:ilvl="6" w:tplc="040C000F" w:tentative="1">
      <w:start w:val="1"/>
      <w:numFmt w:val="decimal"/>
      <w:lvlText w:val="%7."/>
      <w:lvlJc w:val="left"/>
      <w:pPr>
        <w:ind w:left="5448" w:hanging="360"/>
      </w:pPr>
    </w:lvl>
    <w:lvl w:ilvl="7" w:tplc="040C0019" w:tentative="1">
      <w:start w:val="1"/>
      <w:numFmt w:val="lowerLetter"/>
      <w:lvlText w:val="%8."/>
      <w:lvlJc w:val="left"/>
      <w:pPr>
        <w:ind w:left="6168" w:hanging="360"/>
      </w:pPr>
    </w:lvl>
    <w:lvl w:ilvl="8" w:tplc="040C001B" w:tentative="1">
      <w:start w:val="1"/>
      <w:numFmt w:val="lowerRoman"/>
      <w:lvlText w:val="%9."/>
      <w:lvlJc w:val="right"/>
      <w:pPr>
        <w:ind w:left="6888" w:hanging="180"/>
      </w:pPr>
    </w:lvl>
  </w:abstractNum>
  <w:abstractNum w:abstractNumId="316" w15:restartNumberingAfterBreak="0">
    <w:nsid w:val="4DAC0A4D"/>
    <w:multiLevelType w:val="hybridMultilevel"/>
    <w:tmpl w:val="D8C46A3A"/>
    <w:lvl w:ilvl="0" w:tplc="E542B4D6">
      <w:start w:val="3"/>
      <w:numFmt w:val="bullet"/>
      <w:lvlText w:val="-"/>
      <w:lvlJc w:val="left"/>
      <w:pPr>
        <w:ind w:left="720" w:hanging="360"/>
      </w:pPr>
      <w:rPr>
        <w:rFonts w:ascii="Arial" w:eastAsia="Calibri" w:hAnsi="Arial" w:cs="Arial" w:hint="default"/>
      </w:rPr>
    </w:lvl>
    <w:lvl w:ilvl="1" w:tplc="CADE2158">
      <w:numFmt w:val="bullet"/>
      <w:lvlText w:val="•"/>
      <w:lvlJc w:val="left"/>
      <w:pPr>
        <w:ind w:left="1440" w:hanging="360"/>
      </w:pPr>
      <w:rPr>
        <w:rFonts w:ascii="Calibri" w:eastAsia="Calibr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7" w15:restartNumberingAfterBreak="0">
    <w:nsid w:val="4DB8582A"/>
    <w:multiLevelType w:val="hybridMultilevel"/>
    <w:tmpl w:val="CE5637F4"/>
    <w:lvl w:ilvl="0" w:tplc="69BA8E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8" w15:restartNumberingAfterBreak="0">
    <w:nsid w:val="4DD076E2"/>
    <w:multiLevelType w:val="hybridMultilevel"/>
    <w:tmpl w:val="FFFFFFFF"/>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19" w15:restartNumberingAfterBreak="0">
    <w:nsid w:val="4DFE57B9"/>
    <w:multiLevelType w:val="hybridMultilevel"/>
    <w:tmpl w:val="EC0C512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0" w15:restartNumberingAfterBreak="0">
    <w:nsid w:val="4E3800BF"/>
    <w:multiLevelType w:val="hybridMultilevel"/>
    <w:tmpl w:val="B33A60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1" w15:restartNumberingAfterBreak="0">
    <w:nsid w:val="4E5A0D62"/>
    <w:multiLevelType w:val="hybridMultilevel"/>
    <w:tmpl w:val="FFFFFFFF"/>
    <w:lvl w:ilvl="0" w:tplc="040C0015">
      <w:start w:val="1"/>
      <w:numFmt w:val="upperLetter"/>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113A42DA">
      <w:start w:val="1"/>
      <w:numFmt w:val="lowerLetter"/>
      <w:lvlText w:val="(%3)"/>
      <w:lvlJc w:val="left"/>
      <w:pPr>
        <w:ind w:left="2340" w:hanging="360"/>
      </w:pPr>
      <w:rPr>
        <w:rFonts w:cs="Times New Roman" w:hint="default"/>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22" w15:restartNumberingAfterBreak="0">
    <w:nsid w:val="4F9F474F"/>
    <w:multiLevelType w:val="multilevel"/>
    <w:tmpl w:val="E16C6A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501447A8"/>
    <w:multiLevelType w:val="hybridMultilevel"/>
    <w:tmpl w:val="F9909220"/>
    <w:lvl w:ilvl="0" w:tplc="794844C0">
      <w:start w:val="1"/>
      <w:numFmt w:val="upperRoman"/>
      <w:lvlText w:val="%1-"/>
      <w:lvlJc w:val="left"/>
      <w:pPr>
        <w:ind w:left="1080" w:hanging="72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4" w15:restartNumberingAfterBreak="0">
    <w:nsid w:val="50AD3D76"/>
    <w:multiLevelType w:val="hybridMultilevel"/>
    <w:tmpl w:val="2D14D856"/>
    <w:lvl w:ilvl="0" w:tplc="4ABC7052">
      <w:start w:val="1"/>
      <w:numFmt w:val="decimal"/>
      <w:lvlText w:val="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5" w15:restartNumberingAfterBreak="0">
    <w:nsid w:val="50C30398"/>
    <w:multiLevelType w:val="hybridMultilevel"/>
    <w:tmpl w:val="35E89516"/>
    <w:lvl w:ilvl="0" w:tplc="400686FA">
      <w:start w:val="1"/>
      <w:numFmt w:val="decimal"/>
      <w:lvlText w:val="I. %1."/>
      <w:lvlJc w:val="left"/>
      <w:pPr>
        <w:tabs>
          <w:tab w:val="num" w:pos="1357"/>
        </w:tabs>
        <w:ind w:left="1357" w:hanging="360"/>
      </w:pPr>
      <w:rPr>
        <w:rFonts w:cs="Times New Roman" w:hint="default"/>
      </w:rPr>
    </w:lvl>
    <w:lvl w:ilvl="1" w:tplc="400686FA">
      <w:start w:val="1"/>
      <w:numFmt w:val="decimal"/>
      <w:lvlText w:val="I. %2."/>
      <w:lvlJc w:val="left"/>
      <w:pPr>
        <w:tabs>
          <w:tab w:val="num" w:pos="1440"/>
        </w:tabs>
        <w:ind w:left="1440" w:hanging="360"/>
      </w:pPr>
      <w:rPr>
        <w:rFonts w:cs="Times New Roman" w:hint="default"/>
      </w:rPr>
    </w:lvl>
    <w:lvl w:ilvl="2" w:tplc="A39648E4">
      <w:start w:val="1"/>
      <w:numFmt w:val="decimal"/>
      <w:lvlText w:val="4.5. %3."/>
      <w:lvlJc w:val="left"/>
      <w:pPr>
        <w:tabs>
          <w:tab w:val="num" w:pos="2340"/>
        </w:tabs>
        <w:ind w:left="2340" w:hanging="360"/>
      </w:pPr>
      <w:rPr>
        <w:rFonts w:cs="Times New Roman"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6" w15:restartNumberingAfterBreak="0">
    <w:nsid w:val="510B65DA"/>
    <w:multiLevelType w:val="hybridMultilevel"/>
    <w:tmpl w:val="3DF08EFE"/>
    <w:lvl w:ilvl="0" w:tplc="88128EA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7" w15:restartNumberingAfterBreak="0">
    <w:nsid w:val="515C6C00"/>
    <w:multiLevelType w:val="hybridMultilevel"/>
    <w:tmpl w:val="2D044854"/>
    <w:lvl w:ilvl="0" w:tplc="1960E0D4">
      <w:start w:val="1"/>
      <w:numFmt w:val="bullet"/>
      <w:lvlText w:val=""/>
      <w:lvlPicBulletId w:val="0"/>
      <w:lvlJc w:val="left"/>
      <w:pPr>
        <w:tabs>
          <w:tab w:val="num" w:pos="720"/>
        </w:tabs>
        <w:ind w:left="720" w:hanging="360"/>
      </w:pPr>
      <w:rPr>
        <w:rFonts w:ascii="Symbol" w:hAnsi="Symbol" w:hint="default"/>
      </w:rPr>
    </w:lvl>
    <w:lvl w:ilvl="1" w:tplc="E41EEAFE" w:tentative="1">
      <w:start w:val="1"/>
      <w:numFmt w:val="bullet"/>
      <w:lvlText w:val=""/>
      <w:lvlJc w:val="left"/>
      <w:pPr>
        <w:tabs>
          <w:tab w:val="num" w:pos="1440"/>
        </w:tabs>
        <w:ind w:left="1440" w:hanging="360"/>
      </w:pPr>
      <w:rPr>
        <w:rFonts w:ascii="Symbol" w:hAnsi="Symbol" w:hint="default"/>
      </w:rPr>
    </w:lvl>
    <w:lvl w:ilvl="2" w:tplc="A6B296F4" w:tentative="1">
      <w:start w:val="1"/>
      <w:numFmt w:val="bullet"/>
      <w:lvlText w:val=""/>
      <w:lvlJc w:val="left"/>
      <w:pPr>
        <w:tabs>
          <w:tab w:val="num" w:pos="2160"/>
        </w:tabs>
        <w:ind w:left="2160" w:hanging="360"/>
      </w:pPr>
      <w:rPr>
        <w:rFonts w:ascii="Symbol" w:hAnsi="Symbol" w:hint="default"/>
      </w:rPr>
    </w:lvl>
    <w:lvl w:ilvl="3" w:tplc="87B48DF0" w:tentative="1">
      <w:start w:val="1"/>
      <w:numFmt w:val="bullet"/>
      <w:lvlText w:val=""/>
      <w:lvlJc w:val="left"/>
      <w:pPr>
        <w:tabs>
          <w:tab w:val="num" w:pos="2880"/>
        </w:tabs>
        <w:ind w:left="2880" w:hanging="360"/>
      </w:pPr>
      <w:rPr>
        <w:rFonts w:ascii="Symbol" w:hAnsi="Symbol" w:hint="default"/>
      </w:rPr>
    </w:lvl>
    <w:lvl w:ilvl="4" w:tplc="A7DC4E88" w:tentative="1">
      <w:start w:val="1"/>
      <w:numFmt w:val="bullet"/>
      <w:lvlText w:val=""/>
      <w:lvlJc w:val="left"/>
      <w:pPr>
        <w:tabs>
          <w:tab w:val="num" w:pos="3600"/>
        </w:tabs>
        <w:ind w:left="3600" w:hanging="360"/>
      </w:pPr>
      <w:rPr>
        <w:rFonts w:ascii="Symbol" w:hAnsi="Symbol" w:hint="default"/>
      </w:rPr>
    </w:lvl>
    <w:lvl w:ilvl="5" w:tplc="3F447626" w:tentative="1">
      <w:start w:val="1"/>
      <w:numFmt w:val="bullet"/>
      <w:lvlText w:val=""/>
      <w:lvlJc w:val="left"/>
      <w:pPr>
        <w:tabs>
          <w:tab w:val="num" w:pos="4320"/>
        </w:tabs>
        <w:ind w:left="4320" w:hanging="360"/>
      </w:pPr>
      <w:rPr>
        <w:rFonts w:ascii="Symbol" w:hAnsi="Symbol" w:hint="default"/>
      </w:rPr>
    </w:lvl>
    <w:lvl w:ilvl="6" w:tplc="21E84776" w:tentative="1">
      <w:start w:val="1"/>
      <w:numFmt w:val="bullet"/>
      <w:lvlText w:val=""/>
      <w:lvlJc w:val="left"/>
      <w:pPr>
        <w:tabs>
          <w:tab w:val="num" w:pos="5040"/>
        </w:tabs>
        <w:ind w:left="5040" w:hanging="360"/>
      </w:pPr>
      <w:rPr>
        <w:rFonts w:ascii="Symbol" w:hAnsi="Symbol" w:hint="default"/>
      </w:rPr>
    </w:lvl>
    <w:lvl w:ilvl="7" w:tplc="CC021434" w:tentative="1">
      <w:start w:val="1"/>
      <w:numFmt w:val="bullet"/>
      <w:lvlText w:val=""/>
      <w:lvlJc w:val="left"/>
      <w:pPr>
        <w:tabs>
          <w:tab w:val="num" w:pos="5760"/>
        </w:tabs>
        <w:ind w:left="5760" w:hanging="360"/>
      </w:pPr>
      <w:rPr>
        <w:rFonts w:ascii="Symbol" w:hAnsi="Symbol" w:hint="default"/>
      </w:rPr>
    </w:lvl>
    <w:lvl w:ilvl="8" w:tplc="91B8D860" w:tentative="1">
      <w:start w:val="1"/>
      <w:numFmt w:val="bullet"/>
      <w:lvlText w:val=""/>
      <w:lvlJc w:val="left"/>
      <w:pPr>
        <w:tabs>
          <w:tab w:val="num" w:pos="6480"/>
        </w:tabs>
        <w:ind w:left="6480" w:hanging="360"/>
      </w:pPr>
      <w:rPr>
        <w:rFonts w:ascii="Symbol" w:hAnsi="Symbol" w:hint="default"/>
      </w:rPr>
    </w:lvl>
  </w:abstractNum>
  <w:abstractNum w:abstractNumId="328" w15:restartNumberingAfterBreak="0">
    <w:nsid w:val="51817CF7"/>
    <w:multiLevelType w:val="hybridMultilevel"/>
    <w:tmpl w:val="038EC4C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9" w15:restartNumberingAfterBreak="0">
    <w:nsid w:val="52037FD0"/>
    <w:multiLevelType w:val="hybridMultilevel"/>
    <w:tmpl w:val="ED66143C"/>
    <w:lvl w:ilvl="0" w:tplc="C9CAD7D4">
      <w:start w:val="1"/>
      <w:numFmt w:val="decimal"/>
      <w:pStyle w:val="Style4"/>
      <w:lvlText w:val="4. %1."/>
      <w:lvlJc w:val="left"/>
      <w:pPr>
        <w:ind w:left="720" w:hanging="360"/>
      </w:pPr>
      <w:rPr>
        <w:rFonts w:cs="Times New Roman"/>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30" w15:restartNumberingAfterBreak="0">
    <w:nsid w:val="523C1E46"/>
    <w:multiLevelType w:val="hybridMultilevel"/>
    <w:tmpl w:val="71B24F5A"/>
    <w:lvl w:ilvl="0" w:tplc="F768E046">
      <w:start w:val="1"/>
      <w:numFmt w:val="decimal"/>
      <w:lvlText w:val="%1-"/>
      <w:lvlJc w:val="left"/>
      <w:pPr>
        <w:ind w:left="252" w:hanging="360"/>
      </w:pPr>
      <w:rPr>
        <w:rFonts w:hint="default"/>
      </w:rPr>
    </w:lvl>
    <w:lvl w:ilvl="1" w:tplc="040C0019" w:tentative="1">
      <w:start w:val="1"/>
      <w:numFmt w:val="lowerLetter"/>
      <w:lvlText w:val="%2."/>
      <w:lvlJc w:val="left"/>
      <w:pPr>
        <w:ind w:left="972" w:hanging="360"/>
      </w:pPr>
    </w:lvl>
    <w:lvl w:ilvl="2" w:tplc="040C001B" w:tentative="1">
      <w:start w:val="1"/>
      <w:numFmt w:val="lowerRoman"/>
      <w:lvlText w:val="%3."/>
      <w:lvlJc w:val="right"/>
      <w:pPr>
        <w:ind w:left="1692" w:hanging="180"/>
      </w:pPr>
    </w:lvl>
    <w:lvl w:ilvl="3" w:tplc="040C000F" w:tentative="1">
      <w:start w:val="1"/>
      <w:numFmt w:val="decimal"/>
      <w:lvlText w:val="%4."/>
      <w:lvlJc w:val="left"/>
      <w:pPr>
        <w:ind w:left="2412" w:hanging="360"/>
      </w:pPr>
    </w:lvl>
    <w:lvl w:ilvl="4" w:tplc="040C0019" w:tentative="1">
      <w:start w:val="1"/>
      <w:numFmt w:val="lowerLetter"/>
      <w:lvlText w:val="%5."/>
      <w:lvlJc w:val="left"/>
      <w:pPr>
        <w:ind w:left="3132" w:hanging="360"/>
      </w:pPr>
    </w:lvl>
    <w:lvl w:ilvl="5" w:tplc="040C001B" w:tentative="1">
      <w:start w:val="1"/>
      <w:numFmt w:val="lowerRoman"/>
      <w:lvlText w:val="%6."/>
      <w:lvlJc w:val="right"/>
      <w:pPr>
        <w:ind w:left="3852" w:hanging="180"/>
      </w:pPr>
    </w:lvl>
    <w:lvl w:ilvl="6" w:tplc="040C000F" w:tentative="1">
      <w:start w:val="1"/>
      <w:numFmt w:val="decimal"/>
      <w:lvlText w:val="%7."/>
      <w:lvlJc w:val="left"/>
      <w:pPr>
        <w:ind w:left="4572" w:hanging="360"/>
      </w:pPr>
    </w:lvl>
    <w:lvl w:ilvl="7" w:tplc="040C0019" w:tentative="1">
      <w:start w:val="1"/>
      <w:numFmt w:val="lowerLetter"/>
      <w:lvlText w:val="%8."/>
      <w:lvlJc w:val="left"/>
      <w:pPr>
        <w:ind w:left="5292" w:hanging="360"/>
      </w:pPr>
    </w:lvl>
    <w:lvl w:ilvl="8" w:tplc="040C001B" w:tentative="1">
      <w:start w:val="1"/>
      <w:numFmt w:val="lowerRoman"/>
      <w:lvlText w:val="%9."/>
      <w:lvlJc w:val="right"/>
      <w:pPr>
        <w:ind w:left="6012" w:hanging="180"/>
      </w:pPr>
    </w:lvl>
  </w:abstractNum>
  <w:abstractNum w:abstractNumId="331" w15:restartNumberingAfterBreak="0">
    <w:nsid w:val="52472508"/>
    <w:multiLevelType w:val="hybridMultilevel"/>
    <w:tmpl w:val="A97C84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2" w15:restartNumberingAfterBreak="0">
    <w:nsid w:val="524C76DD"/>
    <w:multiLevelType w:val="multilevel"/>
    <w:tmpl w:val="6374C9DA"/>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3" w15:restartNumberingAfterBreak="0">
    <w:nsid w:val="52926F0D"/>
    <w:multiLevelType w:val="hybridMultilevel"/>
    <w:tmpl w:val="FFFFFFFF"/>
    <w:lvl w:ilvl="0" w:tplc="EFE0151A">
      <w:start w:val="1"/>
      <w:numFmt w:val="low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34" w15:restartNumberingAfterBreak="0">
    <w:nsid w:val="532F79BE"/>
    <w:multiLevelType w:val="hybridMultilevel"/>
    <w:tmpl w:val="0CD4715C"/>
    <w:lvl w:ilvl="0" w:tplc="FFFFFFFF">
      <w:start w:val="1"/>
      <w:numFmt w:val="decimal"/>
      <w:lvlText w:val="%1."/>
      <w:lvlJc w:val="left"/>
      <w:pPr>
        <w:ind w:left="720" w:hanging="360"/>
      </w:pPr>
      <w:rPr>
        <w:rFonts w:hint="default"/>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5" w15:restartNumberingAfterBreak="0">
    <w:nsid w:val="53325F0F"/>
    <w:multiLevelType w:val="hybridMultilevel"/>
    <w:tmpl w:val="F712FDF6"/>
    <w:lvl w:ilvl="0" w:tplc="8CC02560">
      <w:start w:val="1"/>
      <w:numFmt w:val="bullet"/>
      <w:lvlText w:val=""/>
      <w:lvlJc w:val="left"/>
      <w:pPr>
        <w:ind w:left="360" w:hanging="360"/>
      </w:pPr>
      <w:rPr>
        <w:rFonts w:ascii="Wingdings" w:hAnsi="Wingdings" w:hint="default"/>
        <w:lang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6" w15:restartNumberingAfterBreak="0">
    <w:nsid w:val="535A638E"/>
    <w:multiLevelType w:val="hybridMultilevel"/>
    <w:tmpl w:val="20A0FE2C"/>
    <w:lvl w:ilvl="0" w:tplc="ECD8A002">
      <w:start w:val="63"/>
      <w:numFmt w:val="bullet"/>
      <w:lvlText w:val="-"/>
      <w:lvlJc w:val="left"/>
      <w:pPr>
        <w:ind w:left="720" w:hanging="360"/>
      </w:pPr>
      <w:rPr>
        <w:rFonts w:ascii="Century Gothic" w:eastAsia="Verdana" w:hAnsi="Century Gothic"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7" w15:restartNumberingAfterBreak="0">
    <w:nsid w:val="538023B7"/>
    <w:multiLevelType w:val="hybridMultilevel"/>
    <w:tmpl w:val="ACB294D2"/>
    <w:lvl w:ilvl="0" w:tplc="10CCDC9A">
      <w:start w:val="1"/>
      <w:numFmt w:val="decimal"/>
      <w:lvlText w:val="3. %1."/>
      <w:lvlJc w:val="left"/>
      <w:pPr>
        <w:tabs>
          <w:tab w:val="num" w:pos="1637"/>
        </w:tabs>
        <w:ind w:left="1637" w:hanging="360"/>
      </w:pPr>
      <w:rPr>
        <w:rFonts w:cs="Times New Roman" w:hint="default"/>
      </w:rPr>
    </w:lvl>
    <w:lvl w:ilvl="1" w:tplc="040C0019" w:tentative="1">
      <w:start w:val="1"/>
      <w:numFmt w:val="lowerLetter"/>
      <w:lvlText w:val="%2."/>
      <w:lvlJc w:val="left"/>
      <w:pPr>
        <w:tabs>
          <w:tab w:val="num" w:pos="1720"/>
        </w:tabs>
        <w:ind w:left="1720" w:hanging="360"/>
      </w:pPr>
    </w:lvl>
    <w:lvl w:ilvl="2" w:tplc="040C001B" w:tentative="1">
      <w:start w:val="1"/>
      <w:numFmt w:val="lowerRoman"/>
      <w:lvlText w:val="%3."/>
      <w:lvlJc w:val="right"/>
      <w:pPr>
        <w:tabs>
          <w:tab w:val="num" w:pos="2440"/>
        </w:tabs>
        <w:ind w:left="2440" w:hanging="180"/>
      </w:pPr>
    </w:lvl>
    <w:lvl w:ilvl="3" w:tplc="040C000F" w:tentative="1">
      <w:start w:val="1"/>
      <w:numFmt w:val="decimal"/>
      <w:lvlText w:val="%4."/>
      <w:lvlJc w:val="left"/>
      <w:pPr>
        <w:tabs>
          <w:tab w:val="num" w:pos="3160"/>
        </w:tabs>
        <w:ind w:left="3160" w:hanging="360"/>
      </w:pPr>
    </w:lvl>
    <w:lvl w:ilvl="4" w:tplc="040C0019" w:tentative="1">
      <w:start w:val="1"/>
      <w:numFmt w:val="lowerLetter"/>
      <w:lvlText w:val="%5."/>
      <w:lvlJc w:val="left"/>
      <w:pPr>
        <w:tabs>
          <w:tab w:val="num" w:pos="3880"/>
        </w:tabs>
        <w:ind w:left="3880" w:hanging="360"/>
      </w:pPr>
    </w:lvl>
    <w:lvl w:ilvl="5" w:tplc="040C001B" w:tentative="1">
      <w:start w:val="1"/>
      <w:numFmt w:val="lowerRoman"/>
      <w:lvlText w:val="%6."/>
      <w:lvlJc w:val="right"/>
      <w:pPr>
        <w:tabs>
          <w:tab w:val="num" w:pos="4600"/>
        </w:tabs>
        <w:ind w:left="4600" w:hanging="180"/>
      </w:pPr>
    </w:lvl>
    <w:lvl w:ilvl="6" w:tplc="040C000F" w:tentative="1">
      <w:start w:val="1"/>
      <w:numFmt w:val="decimal"/>
      <w:lvlText w:val="%7."/>
      <w:lvlJc w:val="left"/>
      <w:pPr>
        <w:tabs>
          <w:tab w:val="num" w:pos="5320"/>
        </w:tabs>
        <w:ind w:left="5320" w:hanging="360"/>
      </w:pPr>
    </w:lvl>
    <w:lvl w:ilvl="7" w:tplc="040C0019" w:tentative="1">
      <w:start w:val="1"/>
      <w:numFmt w:val="lowerLetter"/>
      <w:lvlText w:val="%8."/>
      <w:lvlJc w:val="left"/>
      <w:pPr>
        <w:tabs>
          <w:tab w:val="num" w:pos="6040"/>
        </w:tabs>
        <w:ind w:left="6040" w:hanging="360"/>
      </w:pPr>
    </w:lvl>
    <w:lvl w:ilvl="8" w:tplc="040C001B" w:tentative="1">
      <w:start w:val="1"/>
      <w:numFmt w:val="lowerRoman"/>
      <w:lvlText w:val="%9."/>
      <w:lvlJc w:val="right"/>
      <w:pPr>
        <w:tabs>
          <w:tab w:val="num" w:pos="6760"/>
        </w:tabs>
        <w:ind w:left="6760" w:hanging="180"/>
      </w:pPr>
    </w:lvl>
  </w:abstractNum>
  <w:abstractNum w:abstractNumId="338" w15:restartNumberingAfterBreak="0">
    <w:nsid w:val="53843B8C"/>
    <w:multiLevelType w:val="multilevel"/>
    <w:tmpl w:val="395E30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3C4421F"/>
    <w:multiLevelType w:val="hybridMultilevel"/>
    <w:tmpl w:val="94FAE97A"/>
    <w:lvl w:ilvl="0" w:tplc="040C0001">
      <w:start w:val="1"/>
      <w:numFmt w:val="bullet"/>
      <w:lvlText w:val=""/>
      <w:lvlJc w:val="left"/>
      <w:pPr>
        <w:ind w:left="360" w:hanging="360"/>
      </w:pPr>
      <w:rPr>
        <w:rFonts w:ascii="Symbol" w:hAnsi="Symbol" w:hint="default"/>
        <w:sz w:val="20"/>
        <w:lang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0" w15:restartNumberingAfterBreak="0">
    <w:nsid w:val="53DC53A3"/>
    <w:multiLevelType w:val="multilevel"/>
    <w:tmpl w:val="D116B1F4"/>
    <w:lvl w:ilvl="0">
      <w:start w:val="1"/>
      <w:numFmt w:val="lowerLetter"/>
      <w:lvlText w:val="%1."/>
      <w:lvlJc w:val="left"/>
      <w:pPr>
        <w:ind w:left="1846" w:hanging="428"/>
      </w:pPr>
      <w:rPr>
        <w:rFonts w:ascii="Times New Roman" w:eastAsia="Times New Roman" w:hAnsi="Times New Roman" w:cs="Times New Roman" w:hint="default"/>
        <w:b w:val="0"/>
        <w:bCs w:val="0"/>
        <w:i w:val="0"/>
        <w:iCs w:val="0"/>
        <w:color w:val="231F20"/>
        <w:spacing w:val="0"/>
        <w:w w:val="100"/>
        <w:sz w:val="22"/>
        <w:szCs w:val="22"/>
        <w:lang w:val="fr-FR" w:eastAsia="en-US" w:bidi="ar-SA"/>
      </w:rPr>
    </w:lvl>
    <w:lvl w:ilvl="1">
      <w:start w:val="1"/>
      <w:numFmt w:val="decimal"/>
      <w:lvlText w:val="%1.%2."/>
      <w:lvlJc w:val="left"/>
      <w:pPr>
        <w:ind w:left="2210" w:hanging="432"/>
        <w:jc w:val="right"/>
      </w:pPr>
      <w:rPr>
        <w:rFonts w:ascii="Times New Roman" w:eastAsia="Times New Roman" w:hAnsi="Times New Roman" w:cs="Times New Roman" w:hint="default"/>
        <w:b w:val="0"/>
        <w:bCs w:val="0"/>
        <w:i w:val="0"/>
        <w:iCs w:val="0"/>
        <w:color w:val="231F20"/>
        <w:spacing w:val="0"/>
        <w:w w:val="100"/>
        <w:sz w:val="22"/>
        <w:szCs w:val="22"/>
        <w:lang w:val="fr-FR" w:eastAsia="en-US" w:bidi="ar-SA"/>
      </w:rPr>
    </w:lvl>
    <w:lvl w:ilvl="2">
      <w:numFmt w:val="bullet"/>
      <w:lvlText w:val="o"/>
      <w:lvlJc w:val="left"/>
      <w:pPr>
        <w:ind w:left="2138" w:hanging="360"/>
      </w:pPr>
      <w:rPr>
        <w:rFonts w:ascii="Courier New" w:eastAsia="Courier New" w:hAnsi="Courier New" w:cs="Courier New" w:hint="default"/>
        <w:b w:val="0"/>
        <w:bCs w:val="0"/>
        <w:i w:val="0"/>
        <w:iCs w:val="0"/>
        <w:color w:val="231F20"/>
        <w:spacing w:val="0"/>
        <w:w w:val="100"/>
        <w:sz w:val="22"/>
        <w:szCs w:val="22"/>
        <w:lang w:val="fr-FR" w:eastAsia="en-US" w:bidi="ar-SA"/>
      </w:rPr>
    </w:lvl>
    <w:lvl w:ilvl="3">
      <w:numFmt w:val="bullet"/>
      <w:lvlText w:val="•"/>
      <w:lvlJc w:val="left"/>
      <w:pPr>
        <w:ind w:left="3430" w:hanging="360"/>
      </w:pPr>
      <w:rPr>
        <w:rFonts w:hint="default"/>
        <w:lang w:val="fr-FR" w:eastAsia="en-US" w:bidi="ar-SA"/>
      </w:rPr>
    </w:lvl>
    <w:lvl w:ilvl="4">
      <w:numFmt w:val="bullet"/>
      <w:lvlText w:val="•"/>
      <w:lvlJc w:val="left"/>
      <w:pPr>
        <w:ind w:left="4641" w:hanging="360"/>
      </w:pPr>
      <w:rPr>
        <w:rFonts w:hint="default"/>
        <w:lang w:val="fr-FR" w:eastAsia="en-US" w:bidi="ar-SA"/>
      </w:rPr>
    </w:lvl>
    <w:lvl w:ilvl="5">
      <w:numFmt w:val="bullet"/>
      <w:lvlText w:val="•"/>
      <w:lvlJc w:val="left"/>
      <w:pPr>
        <w:ind w:left="5852" w:hanging="360"/>
      </w:pPr>
      <w:rPr>
        <w:rFonts w:hint="default"/>
        <w:lang w:val="fr-FR" w:eastAsia="en-US" w:bidi="ar-SA"/>
      </w:rPr>
    </w:lvl>
    <w:lvl w:ilvl="6">
      <w:numFmt w:val="bullet"/>
      <w:lvlText w:val="•"/>
      <w:lvlJc w:val="left"/>
      <w:pPr>
        <w:ind w:left="7062" w:hanging="360"/>
      </w:pPr>
      <w:rPr>
        <w:rFonts w:hint="default"/>
        <w:lang w:val="fr-FR" w:eastAsia="en-US" w:bidi="ar-SA"/>
      </w:rPr>
    </w:lvl>
    <w:lvl w:ilvl="7">
      <w:numFmt w:val="bullet"/>
      <w:lvlText w:val="•"/>
      <w:lvlJc w:val="left"/>
      <w:pPr>
        <w:ind w:left="8273" w:hanging="360"/>
      </w:pPr>
      <w:rPr>
        <w:rFonts w:hint="default"/>
        <w:lang w:val="fr-FR" w:eastAsia="en-US" w:bidi="ar-SA"/>
      </w:rPr>
    </w:lvl>
    <w:lvl w:ilvl="8">
      <w:numFmt w:val="bullet"/>
      <w:lvlText w:val="•"/>
      <w:lvlJc w:val="left"/>
      <w:pPr>
        <w:ind w:left="9484" w:hanging="360"/>
      </w:pPr>
      <w:rPr>
        <w:rFonts w:hint="default"/>
        <w:lang w:val="fr-FR" w:eastAsia="en-US" w:bidi="ar-SA"/>
      </w:rPr>
    </w:lvl>
  </w:abstractNum>
  <w:abstractNum w:abstractNumId="341" w15:restartNumberingAfterBreak="0">
    <w:nsid w:val="53F36348"/>
    <w:multiLevelType w:val="multilevel"/>
    <w:tmpl w:val="0A7ECA50"/>
    <w:lvl w:ilvl="0">
      <w:start w:val="1"/>
      <w:numFmt w:val="bullet"/>
      <w:lvlText w:val=""/>
      <w:lvlJc w:val="left"/>
      <w:pPr>
        <w:ind w:left="360" w:hanging="360"/>
      </w:pPr>
      <w:rPr>
        <w:rFonts w:ascii="Symbol" w:hAnsi="Symbol" w:hint="default"/>
        <w:b/>
      </w:rPr>
    </w:lvl>
    <w:lvl w:ilvl="1">
      <w:start w:val="2"/>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436"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96" w:hanging="1080"/>
      </w:pPr>
      <w:rPr>
        <w:rFonts w:hint="default"/>
      </w:rPr>
    </w:lvl>
    <w:lvl w:ilvl="6">
      <w:start w:val="1"/>
      <w:numFmt w:val="decimal"/>
      <w:lvlText w:val="%1.%2.%3.%4.%5.%6.%7."/>
      <w:lvlJc w:val="left"/>
      <w:pPr>
        <w:ind w:left="1156" w:hanging="1440"/>
      </w:pPr>
      <w:rPr>
        <w:rFonts w:hint="default"/>
      </w:rPr>
    </w:lvl>
    <w:lvl w:ilvl="7">
      <w:start w:val="1"/>
      <w:numFmt w:val="decimal"/>
      <w:lvlText w:val="%1.%2.%3.%4.%5.%6.%7.%8."/>
      <w:lvlJc w:val="left"/>
      <w:pPr>
        <w:ind w:left="1156" w:hanging="1440"/>
      </w:pPr>
      <w:rPr>
        <w:rFonts w:hint="default"/>
      </w:rPr>
    </w:lvl>
    <w:lvl w:ilvl="8">
      <w:start w:val="1"/>
      <w:numFmt w:val="decimal"/>
      <w:lvlText w:val="%1.%2.%3.%4.%5.%6.%7.%8.%9."/>
      <w:lvlJc w:val="left"/>
      <w:pPr>
        <w:ind w:left="1516" w:hanging="1800"/>
      </w:pPr>
      <w:rPr>
        <w:rFonts w:hint="default"/>
      </w:rPr>
    </w:lvl>
  </w:abstractNum>
  <w:abstractNum w:abstractNumId="342" w15:restartNumberingAfterBreak="0">
    <w:nsid w:val="544511D8"/>
    <w:multiLevelType w:val="multilevel"/>
    <w:tmpl w:val="6010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4D400EA"/>
    <w:multiLevelType w:val="hybridMultilevel"/>
    <w:tmpl w:val="34BEA7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4" w15:restartNumberingAfterBreak="0">
    <w:nsid w:val="54EB7704"/>
    <w:multiLevelType w:val="hybridMultilevel"/>
    <w:tmpl w:val="FFFFFFFF"/>
    <w:lvl w:ilvl="0" w:tplc="175A4FA2">
      <w:start w:val="1"/>
      <w:numFmt w:val="lowerRoman"/>
      <w:lvlText w:val="(%1)"/>
      <w:lvlJc w:val="left"/>
      <w:pPr>
        <w:ind w:left="1080" w:hanging="72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345" w15:restartNumberingAfterBreak="0">
    <w:nsid w:val="5565555E"/>
    <w:multiLevelType w:val="hybridMultilevel"/>
    <w:tmpl w:val="F0F6AE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6" w15:restartNumberingAfterBreak="0">
    <w:nsid w:val="55B7172C"/>
    <w:multiLevelType w:val="hybridMultilevel"/>
    <w:tmpl w:val="FFFFFFFF"/>
    <w:lvl w:ilvl="0" w:tplc="1E38A4C0">
      <w:start w:val="1"/>
      <w:numFmt w:val="lowerLetter"/>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347" w15:restartNumberingAfterBreak="0">
    <w:nsid w:val="55C93E5D"/>
    <w:multiLevelType w:val="hybridMultilevel"/>
    <w:tmpl w:val="AF920392"/>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8" w15:restartNumberingAfterBreak="0">
    <w:nsid w:val="55D2101E"/>
    <w:multiLevelType w:val="hybridMultilevel"/>
    <w:tmpl w:val="ECAC18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9" w15:restartNumberingAfterBreak="0">
    <w:nsid w:val="5628007E"/>
    <w:multiLevelType w:val="hybridMultilevel"/>
    <w:tmpl w:val="A79EEBE0"/>
    <w:lvl w:ilvl="0" w:tplc="9FB2FE4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0" w15:restartNumberingAfterBreak="0">
    <w:nsid w:val="566F1BC9"/>
    <w:multiLevelType w:val="hybridMultilevel"/>
    <w:tmpl w:val="BC824B52"/>
    <w:lvl w:ilvl="0" w:tplc="040C0005">
      <w:start w:val="1"/>
      <w:numFmt w:val="bullet"/>
      <w:lvlText w:val=""/>
      <w:lvlJc w:val="left"/>
      <w:pPr>
        <w:ind w:left="502" w:hanging="360"/>
      </w:pPr>
      <w:rPr>
        <w:rFonts w:ascii="Wingdings" w:hAnsi="Wingdings" w:hint="default"/>
        <w:sz w:val="20"/>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51" w15:restartNumberingAfterBreak="0">
    <w:nsid w:val="568C71D7"/>
    <w:multiLevelType w:val="multilevel"/>
    <w:tmpl w:val="492209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2" w15:restartNumberingAfterBreak="0">
    <w:nsid w:val="56D72C9D"/>
    <w:multiLevelType w:val="hybridMultilevel"/>
    <w:tmpl w:val="815631FC"/>
    <w:lvl w:ilvl="0" w:tplc="040C000F">
      <w:start w:val="1"/>
      <w:numFmt w:val="decimal"/>
      <w:lvlText w:val="%1."/>
      <w:lvlJc w:val="left"/>
      <w:pPr>
        <w:ind w:left="502" w:hanging="360"/>
      </w:pPr>
      <w:rPr>
        <w:rFonts w:hint="default"/>
      </w:rPr>
    </w:lvl>
    <w:lvl w:ilvl="1" w:tplc="DBFCD84A">
      <w:start w:val="1"/>
      <w:numFmt w:val="decimal"/>
      <w:lvlText w:val="%2-"/>
      <w:lvlJc w:val="left"/>
      <w:pPr>
        <w:ind w:left="1222" w:hanging="360"/>
      </w:pPr>
      <w:rPr>
        <w:rFonts w:hint="default"/>
      </w:r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53" w15:restartNumberingAfterBreak="0">
    <w:nsid w:val="56E837C7"/>
    <w:multiLevelType w:val="multilevel"/>
    <w:tmpl w:val="FFFFFFFF"/>
    <w:lvl w:ilvl="0">
      <w:start w:val="2"/>
      <w:numFmt w:val="upperRoman"/>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4" w15:restartNumberingAfterBreak="0">
    <w:nsid w:val="570F239A"/>
    <w:multiLevelType w:val="hybridMultilevel"/>
    <w:tmpl w:val="BD80856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5" w15:restartNumberingAfterBreak="0">
    <w:nsid w:val="57411B3D"/>
    <w:multiLevelType w:val="multilevel"/>
    <w:tmpl w:val="76368BCA"/>
    <w:lvl w:ilvl="0">
      <w:start w:val="1"/>
      <w:numFmt w:val="decimal"/>
      <w:lvlText w:val="3.%1."/>
      <w:lvlJc w:val="center"/>
      <w:pPr>
        <w:tabs>
          <w:tab w:val="num" w:pos="720"/>
        </w:tabs>
        <w:ind w:left="720" w:hanging="360"/>
      </w:pPr>
      <w:rPr>
        <w:rFonts w:hint="default"/>
        <w:b w:val="0"/>
        <w:i w:val="0"/>
        <w:iCs w: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160" w:hanging="360"/>
      </w:pPr>
      <w:rPr>
        <w:rFonts w:hint="default"/>
      </w:rPr>
    </w:lvl>
    <w:lvl w:ilvl="3">
      <w:start w:val="2"/>
      <w:numFmt w:val="bullet"/>
      <w:lvlText w:val="-"/>
      <w:lvlJc w:val="left"/>
      <w:pPr>
        <w:ind w:left="2880" w:hanging="360"/>
      </w:pPr>
      <w:rPr>
        <w:rFonts w:ascii="Century Gothic" w:eastAsiaTheme="minorHAnsi" w:hAnsi="Century Gothic" w:cstheme="minorBidi" w:hint="default"/>
      </w:rPr>
    </w:lvl>
    <w:lvl w:ilvl="4">
      <w:start w:val="6"/>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decimal"/>
      <w:lvlText w:val="%7-"/>
      <w:lvlJc w:val="left"/>
      <w:pPr>
        <w:ind w:left="5040" w:hanging="360"/>
      </w:pPr>
      <w:rPr>
        <w:rFonts w:hint="default"/>
        <w:b/>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576A4735"/>
    <w:multiLevelType w:val="multilevel"/>
    <w:tmpl w:val="1E90C43A"/>
    <w:styleLink w:val="LFO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7" w15:restartNumberingAfterBreak="0">
    <w:nsid w:val="577863BF"/>
    <w:multiLevelType w:val="multilevel"/>
    <w:tmpl w:val="D71E26D6"/>
    <w:lvl w:ilvl="0">
      <w:start w:val="8"/>
      <w:numFmt w:val="decimal"/>
      <w:lvlText w:val="%1"/>
      <w:lvlJc w:val="left"/>
      <w:pPr>
        <w:ind w:left="899" w:hanging="451"/>
      </w:pPr>
      <w:rPr>
        <w:rFonts w:hint="default"/>
        <w:lang w:val="fr-FR" w:eastAsia="en-US" w:bidi="ar-SA"/>
      </w:rPr>
    </w:lvl>
    <w:lvl w:ilvl="1">
      <w:start w:val="1"/>
      <w:numFmt w:val="decimal"/>
      <w:lvlText w:val="%1.%2."/>
      <w:lvlJc w:val="left"/>
      <w:pPr>
        <w:ind w:left="899" w:hanging="451"/>
      </w:pPr>
      <w:rPr>
        <w:rFonts w:ascii="Calibri Light" w:eastAsia="Calibri Light" w:hAnsi="Calibri Light" w:cs="Calibri Light" w:hint="default"/>
        <w:b w:val="0"/>
        <w:bCs w:val="0"/>
        <w:i w:val="0"/>
        <w:iCs w:val="0"/>
        <w:color w:val="2D74B5"/>
        <w:spacing w:val="-1"/>
        <w:w w:val="99"/>
        <w:sz w:val="26"/>
        <w:szCs w:val="26"/>
        <w:lang w:val="fr-FR" w:eastAsia="en-US" w:bidi="ar-SA"/>
      </w:rPr>
    </w:lvl>
    <w:lvl w:ilvl="2">
      <w:numFmt w:val="bullet"/>
      <w:lvlText w:val="•"/>
      <w:lvlJc w:val="left"/>
      <w:pPr>
        <w:ind w:left="2761" w:hanging="451"/>
      </w:pPr>
      <w:rPr>
        <w:rFonts w:hint="default"/>
        <w:lang w:val="fr-FR" w:eastAsia="en-US" w:bidi="ar-SA"/>
      </w:rPr>
    </w:lvl>
    <w:lvl w:ilvl="3">
      <w:numFmt w:val="bullet"/>
      <w:lvlText w:val="•"/>
      <w:lvlJc w:val="left"/>
      <w:pPr>
        <w:ind w:left="3691" w:hanging="451"/>
      </w:pPr>
      <w:rPr>
        <w:rFonts w:hint="default"/>
        <w:lang w:val="fr-FR" w:eastAsia="en-US" w:bidi="ar-SA"/>
      </w:rPr>
    </w:lvl>
    <w:lvl w:ilvl="4">
      <w:numFmt w:val="bullet"/>
      <w:lvlText w:val="•"/>
      <w:lvlJc w:val="left"/>
      <w:pPr>
        <w:ind w:left="4622" w:hanging="451"/>
      </w:pPr>
      <w:rPr>
        <w:rFonts w:hint="default"/>
        <w:lang w:val="fr-FR" w:eastAsia="en-US" w:bidi="ar-SA"/>
      </w:rPr>
    </w:lvl>
    <w:lvl w:ilvl="5">
      <w:numFmt w:val="bullet"/>
      <w:lvlText w:val="•"/>
      <w:lvlJc w:val="left"/>
      <w:pPr>
        <w:ind w:left="5553" w:hanging="451"/>
      </w:pPr>
      <w:rPr>
        <w:rFonts w:hint="default"/>
        <w:lang w:val="fr-FR" w:eastAsia="en-US" w:bidi="ar-SA"/>
      </w:rPr>
    </w:lvl>
    <w:lvl w:ilvl="6">
      <w:numFmt w:val="bullet"/>
      <w:lvlText w:val="•"/>
      <w:lvlJc w:val="left"/>
      <w:pPr>
        <w:ind w:left="6483" w:hanging="451"/>
      </w:pPr>
      <w:rPr>
        <w:rFonts w:hint="default"/>
        <w:lang w:val="fr-FR" w:eastAsia="en-US" w:bidi="ar-SA"/>
      </w:rPr>
    </w:lvl>
    <w:lvl w:ilvl="7">
      <w:numFmt w:val="bullet"/>
      <w:lvlText w:val="•"/>
      <w:lvlJc w:val="left"/>
      <w:pPr>
        <w:ind w:left="7414" w:hanging="451"/>
      </w:pPr>
      <w:rPr>
        <w:rFonts w:hint="default"/>
        <w:lang w:val="fr-FR" w:eastAsia="en-US" w:bidi="ar-SA"/>
      </w:rPr>
    </w:lvl>
    <w:lvl w:ilvl="8">
      <w:numFmt w:val="bullet"/>
      <w:lvlText w:val="•"/>
      <w:lvlJc w:val="left"/>
      <w:pPr>
        <w:ind w:left="8345" w:hanging="451"/>
      </w:pPr>
      <w:rPr>
        <w:rFonts w:hint="default"/>
        <w:lang w:val="fr-FR" w:eastAsia="en-US" w:bidi="ar-SA"/>
      </w:rPr>
    </w:lvl>
  </w:abstractNum>
  <w:abstractNum w:abstractNumId="358" w15:restartNumberingAfterBreak="0">
    <w:nsid w:val="57DD1315"/>
    <w:multiLevelType w:val="multilevel"/>
    <w:tmpl w:val="806883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9" w15:restartNumberingAfterBreak="0">
    <w:nsid w:val="583D6975"/>
    <w:multiLevelType w:val="hybridMultilevel"/>
    <w:tmpl w:val="F07097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0" w15:restartNumberingAfterBreak="0">
    <w:nsid w:val="585C04BF"/>
    <w:multiLevelType w:val="hybridMultilevel"/>
    <w:tmpl w:val="A82418C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1" w15:restartNumberingAfterBreak="0">
    <w:nsid w:val="58FB6276"/>
    <w:multiLevelType w:val="hybridMultilevel"/>
    <w:tmpl w:val="39FC0A7E"/>
    <w:lvl w:ilvl="0" w:tplc="F4BC76E0">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2" w15:restartNumberingAfterBreak="0">
    <w:nsid w:val="59345F70"/>
    <w:multiLevelType w:val="hybridMultilevel"/>
    <w:tmpl w:val="C15EB494"/>
    <w:lvl w:ilvl="0" w:tplc="3676DF42">
      <w:start w:val="1"/>
      <w:numFmt w:val="bullet"/>
      <w:lvlText w:val=""/>
      <w:lvlJc w:val="left"/>
      <w:pPr>
        <w:ind w:left="360" w:hanging="360"/>
      </w:pPr>
      <w:rPr>
        <w:rFonts w:ascii="Wingdings" w:hAnsi="Wingdings" w:hint="default"/>
        <w:sz w:val="28"/>
        <w:szCs w:val="28"/>
        <w:lang w:bidi="ar-SA"/>
      </w:rPr>
    </w:lvl>
    <w:lvl w:ilvl="1" w:tplc="16E849D4">
      <w:numFmt w:val="bullet"/>
      <w:lvlText w:val="•"/>
      <w:lvlJc w:val="left"/>
      <w:pPr>
        <w:ind w:left="1080" w:hanging="360"/>
      </w:pPr>
      <w:rPr>
        <w:rFonts w:ascii="Calibri" w:eastAsiaTheme="minorHAnsi" w:hAnsi="Calibri" w:cs="Calibri" w:hint="default"/>
        <w:color w:val="3D3C3B"/>
        <w:sz w:val="22"/>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3" w15:restartNumberingAfterBreak="0">
    <w:nsid w:val="5938750E"/>
    <w:multiLevelType w:val="hybridMultilevel"/>
    <w:tmpl w:val="1BFE1EA8"/>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4" w15:restartNumberingAfterBreak="0">
    <w:nsid w:val="59A85257"/>
    <w:multiLevelType w:val="hybridMultilevel"/>
    <w:tmpl w:val="2482F86C"/>
    <w:lvl w:ilvl="0" w:tplc="4ABC7052">
      <w:start w:val="1"/>
      <w:numFmt w:val="decimal"/>
      <w:lvlText w:val=" %1."/>
      <w:lvlJc w:val="left"/>
      <w:pPr>
        <w:ind w:left="612" w:hanging="360"/>
      </w:pPr>
      <w:rPr>
        <w:rFonts w:hint="default"/>
      </w:rPr>
    </w:lvl>
    <w:lvl w:ilvl="1" w:tplc="040C0019" w:tentative="1">
      <w:start w:val="1"/>
      <w:numFmt w:val="lowerLetter"/>
      <w:lvlText w:val="%2."/>
      <w:lvlJc w:val="left"/>
      <w:pPr>
        <w:ind w:left="1332" w:hanging="360"/>
      </w:pPr>
    </w:lvl>
    <w:lvl w:ilvl="2" w:tplc="040C001B" w:tentative="1">
      <w:start w:val="1"/>
      <w:numFmt w:val="lowerRoman"/>
      <w:lvlText w:val="%3."/>
      <w:lvlJc w:val="right"/>
      <w:pPr>
        <w:ind w:left="2052" w:hanging="180"/>
      </w:pPr>
    </w:lvl>
    <w:lvl w:ilvl="3" w:tplc="040C000F" w:tentative="1">
      <w:start w:val="1"/>
      <w:numFmt w:val="decimal"/>
      <w:lvlText w:val="%4."/>
      <w:lvlJc w:val="left"/>
      <w:pPr>
        <w:ind w:left="2772" w:hanging="360"/>
      </w:pPr>
    </w:lvl>
    <w:lvl w:ilvl="4" w:tplc="040C0019" w:tentative="1">
      <w:start w:val="1"/>
      <w:numFmt w:val="lowerLetter"/>
      <w:lvlText w:val="%5."/>
      <w:lvlJc w:val="left"/>
      <w:pPr>
        <w:ind w:left="3492" w:hanging="360"/>
      </w:pPr>
    </w:lvl>
    <w:lvl w:ilvl="5" w:tplc="040C001B" w:tentative="1">
      <w:start w:val="1"/>
      <w:numFmt w:val="lowerRoman"/>
      <w:lvlText w:val="%6."/>
      <w:lvlJc w:val="right"/>
      <w:pPr>
        <w:ind w:left="4212" w:hanging="180"/>
      </w:pPr>
    </w:lvl>
    <w:lvl w:ilvl="6" w:tplc="040C000F" w:tentative="1">
      <w:start w:val="1"/>
      <w:numFmt w:val="decimal"/>
      <w:lvlText w:val="%7."/>
      <w:lvlJc w:val="left"/>
      <w:pPr>
        <w:ind w:left="4932" w:hanging="360"/>
      </w:pPr>
    </w:lvl>
    <w:lvl w:ilvl="7" w:tplc="040C0019" w:tentative="1">
      <w:start w:val="1"/>
      <w:numFmt w:val="lowerLetter"/>
      <w:lvlText w:val="%8."/>
      <w:lvlJc w:val="left"/>
      <w:pPr>
        <w:ind w:left="5652" w:hanging="360"/>
      </w:pPr>
    </w:lvl>
    <w:lvl w:ilvl="8" w:tplc="040C001B" w:tentative="1">
      <w:start w:val="1"/>
      <w:numFmt w:val="lowerRoman"/>
      <w:lvlText w:val="%9."/>
      <w:lvlJc w:val="right"/>
      <w:pPr>
        <w:ind w:left="6372" w:hanging="180"/>
      </w:pPr>
    </w:lvl>
  </w:abstractNum>
  <w:abstractNum w:abstractNumId="365" w15:restartNumberingAfterBreak="0">
    <w:nsid w:val="59B71977"/>
    <w:multiLevelType w:val="hybridMultilevel"/>
    <w:tmpl w:val="600063F6"/>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6" w15:restartNumberingAfterBreak="0">
    <w:nsid w:val="5A146DD3"/>
    <w:multiLevelType w:val="multilevel"/>
    <w:tmpl w:val="182807D8"/>
    <w:lvl w:ilvl="0">
      <w:start w:val="1"/>
      <w:numFmt w:val="decimal"/>
      <w:lvlText w:val="3.%1."/>
      <w:lvlJc w:val="center"/>
      <w:pPr>
        <w:ind w:left="510" w:hanging="226"/>
      </w:pPr>
      <w:rPr>
        <w:rFonts w:hint="default"/>
        <w:b w:val="0"/>
        <w:i w:val="0"/>
        <w:iCs w:val="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7" w15:restartNumberingAfterBreak="0">
    <w:nsid w:val="5A9D02E0"/>
    <w:multiLevelType w:val="hybridMultilevel"/>
    <w:tmpl w:val="D0E6AA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8" w15:restartNumberingAfterBreak="0">
    <w:nsid w:val="5AEA0337"/>
    <w:multiLevelType w:val="hybridMultilevel"/>
    <w:tmpl w:val="34BEA7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9" w15:restartNumberingAfterBreak="0">
    <w:nsid w:val="5B907AC8"/>
    <w:multiLevelType w:val="hybridMultilevel"/>
    <w:tmpl w:val="1BE8FF8A"/>
    <w:lvl w:ilvl="0" w:tplc="040C000F">
      <w:start w:val="1"/>
      <w:numFmt w:val="decimal"/>
      <w:lvlText w:val="%1."/>
      <w:lvlJc w:val="left"/>
      <w:pPr>
        <w:ind w:left="928" w:hanging="360"/>
      </w:pPr>
      <w:rPr>
        <w:rFonts w:hint="default"/>
        <w:color w:val="222222"/>
      </w:rPr>
    </w:lvl>
    <w:lvl w:ilvl="1" w:tplc="EE20CA18">
      <w:start w:val="1"/>
      <w:numFmt w:val="decimal"/>
      <w:lvlText w:val="%2-"/>
      <w:lvlJc w:val="left"/>
      <w:pPr>
        <w:ind w:left="1648" w:hanging="360"/>
      </w:pPr>
      <w:rPr>
        <w:rFonts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370" w15:restartNumberingAfterBreak="0">
    <w:nsid w:val="5C026FF5"/>
    <w:multiLevelType w:val="hybridMultilevel"/>
    <w:tmpl w:val="3E3E324A"/>
    <w:lvl w:ilvl="0" w:tplc="040C0005">
      <w:start w:val="1"/>
      <w:numFmt w:val="bullet"/>
      <w:lvlText w:val=""/>
      <w:lvlJc w:val="left"/>
      <w:pPr>
        <w:ind w:left="720" w:hanging="360"/>
      </w:pPr>
      <w:rPr>
        <w:rFonts w:ascii="Wingdings" w:hAnsi="Wingdings" w:hint="default"/>
      </w:rPr>
    </w:lvl>
    <w:lvl w:ilvl="1" w:tplc="BF4C3808">
      <w:start w:val="7"/>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1" w15:restartNumberingAfterBreak="0">
    <w:nsid w:val="5C336C98"/>
    <w:multiLevelType w:val="hybridMultilevel"/>
    <w:tmpl w:val="FFFFFFFF"/>
    <w:lvl w:ilvl="0" w:tplc="46D26EA4">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72" w15:restartNumberingAfterBreak="0">
    <w:nsid w:val="5C480444"/>
    <w:multiLevelType w:val="hybridMultilevel"/>
    <w:tmpl w:val="75968BB8"/>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73" w15:restartNumberingAfterBreak="0">
    <w:nsid w:val="5CAA20B9"/>
    <w:multiLevelType w:val="hybridMultilevel"/>
    <w:tmpl w:val="1DEEAEF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4" w15:restartNumberingAfterBreak="0">
    <w:nsid w:val="5CD93E53"/>
    <w:multiLevelType w:val="hybridMultilevel"/>
    <w:tmpl w:val="B93CBAC4"/>
    <w:lvl w:ilvl="0" w:tplc="FFFFFFFF">
      <w:start w:val="1"/>
      <w:numFmt w:val="decimal"/>
      <w:lvlText w:val="%1."/>
      <w:lvlJc w:val="left"/>
      <w:pPr>
        <w:ind w:left="720" w:hanging="360"/>
      </w:pPr>
      <w:rPr>
        <w:rFonts w:hint="default"/>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5" w15:restartNumberingAfterBreak="0">
    <w:nsid w:val="5D6E7C2B"/>
    <w:multiLevelType w:val="hybridMultilevel"/>
    <w:tmpl w:val="C436DE84"/>
    <w:lvl w:ilvl="0" w:tplc="400686FA">
      <w:start w:val="1"/>
      <w:numFmt w:val="decimal"/>
      <w:lvlText w:val="I. %1."/>
      <w:lvlJc w:val="left"/>
      <w:pPr>
        <w:tabs>
          <w:tab w:val="num" w:pos="1357"/>
        </w:tabs>
        <w:ind w:left="1357" w:hanging="360"/>
      </w:pPr>
      <w:rPr>
        <w:rFonts w:cs="Times New Roman" w:hint="default"/>
      </w:rPr>
    </w:lvl>
    <w:lvl w:ilvl="1" w:tplc="400686FA">
      <w:start w:val="1"/>
      <w:numFmt w:val="decimal"/>
      <w:lvlText w:val="I. %2."/>
      <w:lvlJc w:val="left"/>
      <w:pPr>
        <w:tabs>
          <w:tab w:val="num" w:pos="1440"/>
        </w:tabs>
        <w:ind w:left="1440" w:hanging="360"/>
      </w:pPr>
      <w:rPr>
        <w:rFonts w:cs="Times New Roman" w:hint="default"/>
      </w:rPr>
    </w:lvl>
    <w:lvl w:ilvl="2" w:tplc="52A4C532">
      <w:start w:val="1"/>
      <w:numFmt w:val="decimal"/>
      <w:lvlText w:val="3.3. %3."/>
      <w:lvlJc w:val="left"/>
      <w:pPr>
        <w:tabs>
          <w:tab w:val="num" w:pos="2340"/>
        </w:tabs>
        <w:ind w:left="2340" w:hanging="360"/>
      </w:pPr>
      <w:rPr>
        <w:rFonts w:cs="Times New Roman"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6" w15:restartNumberingAfterBreak="0">
    <w:nsid w:val="5DC179B6"/>
    <w:multiLevelType w:val="hybridMultilevel"/>
    <w:tmpl w:val="D6D40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7" w15:restartNumberingAfterBreak="0">
    <w:nsid w:val="5E2A37CC"/>
    <w:multiLevelType w:val="hybridMultilevel"/>
    <w:tmpl w:val="73C00A94"/>
    <w:lvl w:ilvl="0" w:tplc="400686FA">
      <w:start w:val="1"/>
      <w:numFmt w:val="decimal"/>
      <w:lvlText w:val="I. %1."/>
      <w:lvlJc w:val="left"/>
      <w:pPr>
        <w:tabs>
          <w:tab w:val="num" w:pos="1357"/>
        </w:tabs>
        <w:ind w:left="1357" w:hanging="360"/>
      </w:pPr>
      <w:rPr>
        <w:rFonts w:cs="Times New Roman" w:hint="default"/>
      </w:rPr>
    </w:lvl>
    <w:lvl w:ilvl="1" w:tplc="400686FA">
      <w:start w:val="1"/>
      <w:numFmt w:val="decimal"/>
      <w:lvlText w:val="I. %2."/>
      <w:lvlJc w:val="left"/>
      <w:pPr>
        <w:tabs>
          <w:tab w:val="num" w:pos="1440"/>
        </w:tabs>
        <w:ind w:left="1440" w:hanging="360"/>
      </w:pPr>
      <w:rPr>
        <w:rFonts w:cs="Times New Roman" w:hint="default"/>
      </w:rPr>
    </w:lvl>
    <w:lvl w:ilvl="2" w:tplc="E34C60B6">
      <w:start w:val="1"/>
      <w:numFmt w:val="decimal"/>
      <w:lvlText w:val="4.2. %3."/>
      <w:lvlJc w:val="left"/>
      <w:pPr>
        <w:tabs>
          <w:tab w:val="num" w:pos="2340"/>
        </w:tabs>
        <w:ind w:left="2340" w:hanging="360"/>
      </w:pPr>
      <w:rPr>
        <w:rFonts w:cs="Times New Roman"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8" w15:restartNumberingAfterBreak="0">
    <w:nsid w:val="5E483467"/>
    <w:multiLevelType w:val="hybridMultilevel"/>
    <w:tmpl w:val="2A8EDE00"/>
    <w:lvl w:ilvl="0" w:tplc="F0BABD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9" w15:restartNumberingAfterBreak="0">
    <w:nsid w:val="5E7738C3"/>
    <w:multiLevelType w:val="hybridMultilevel"/>
    <w:tmpl w:val="8B92CCC4"/>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0" w15:restartNumberingAfterBreak="0">
    <w:nsid w:val="5EF06EF2"/>
    <w:multiLevelType w:val="multilevel"/>
    <w:tmpl w:val="0CAA38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5F424199"/>
    <w:multiLevelType w:val="multilevel"/>
    <w:tmpl w:val="8DF20A7A"/>
    <w:lvl w:ilvl="0">
      <w:start w:val="1"/>
      <w:numFmt w:val="decimal"/>
      <w:lvlText w:val="%1."/>
      <w:lvlJc w:val="left"/>
      <w:pPr>
        <w:ind w:left="360" w:hanging="360"/>
      </w:pPr>
      <w:rPr>
        <w:rFonts w:ascii="Arial" w:hAnsi="Arial" w:cs="Arial"/>
        <w:b/>
      </w:rPr>
    </w:lvl>
    <w:lvl w:ilvl="1">
      <w:start w:val="1"/>
      <w:numFmt w:val="decimal"/>
      <w:lvlText w:val="%1.%2."/>
      <w:lvlJc w:val="left"/>
      <w:pPr>
        <w:ind w:left="720" w:hanging="720"/>
      </w:pPr>
      <w:rPr>
        <w:b/>
      </w:rPr>
    </w:lvl>
    <w:lvl w:ilvl="2">
      <w:start w:val="1"/>
      <w:numFmt w:val="decimal"/>
      <w:lvlText w:val="%1.%2.%3."/>
      <w:lvlJc w:val="left"/>
      <w:pPr>
        <w:ind w:left="1287"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82" w15:restartNumberingAfterBreak="0">
    <w:nsid w:val="5F83727B"/>
    <w:multiLevelType w:val="hybridMultilevel"/>
    <w:tmpl w:val="FFFFFFFF"/>
    <w:lvl w:ilvl="0" w:tplc="BBEC0460">
      <w:start w:val="1"/>
      <w:numFmt w:val="low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83" w15:restartNumberingAfterBreak="0">
    <w:nsid w:val="5FAF081B"/>
    <w:multiLevelType w:val="hybridMultilevel"/>
    <w:tmpl w:val="1472AE2C"/>
    <w:lvl w:ilvl="0" w:tplc="040C0001">
      <w:start w:val="1"/>
      <w:numFmt w:val="bullet"/>
      <w:lvlText w:val=""/>
      <w:lvlJc w:val="left"/>
      <w:pPr>
        <w:ind w:left="720" w:hanging="360"/>
      </w:pPr>
      <w:rPr>
        <w:rFonts w:ascii="Symbol" w:hAnsi="Symbol" w:hint="default"/>
      </w:rPr>
    </w:lvl>
    <w:lvl w:ilvl="1" w:tplc="58008E36">
      <w:start w:val="7"/>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4" w15:restartNumberingAfterBreak="0">
    <w:nsid w:val="5FB26FB0"/>
    <w:multiLevelType w:val="multilevel"/>
    <w:tmpl w:val="FEF6E6A6"/>
    <w:lvl w:ilvl="0">
      <w:start w:val="1"/>
      <w:numFmt w:val="lowerRoman"/>
      <w:lvlText w:val="(%1)"/>
      <w:lvlJc w:val="left"/>
      <w:pPr>
        <w:ind w:left="1080" w:hanging="72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85" w15:restartNumberingAfterBreak="0">
    <w:nsid w:val="60670EE9"/>
    <w:multiLevelType w:val="hybridMultilevel"/>
    <w:tmpl w:val="FFFFFFFF"/>
    <w:lvl w:ilvl="0" w:tplc="37DAF5B8">
      <w:start w:val="1"/>
      <w:numFmt w:val="low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86" w15:restartNumberingAfterBreak="0">
    <w:nsid w:val="60683207"/>
    <w:multiLevelType w:val="hybridMultilevel"/>
    <w:tmpl w:val="FFFFFFFF"/>
    <w:lvl w:ilvl="0" w:tplc="0A1AE6EE">
      <w:start w:val="1"/>
      <w:numFmt w:val="bullet"/>
      <w:lvlText w:val="•"/>
      <w:lvlJc w:val="left"/>
      <w:pPr>
        <w:ind w:left="11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36091E">
      <w:start w:val="1"/>
      <w:numFmt w:val="bullet"/>
      <w:lvlText w:val="o"/>
      <w:lvlJc w:val="left"/>
      <w:pPr>
        <w:ind w:left="186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5DCDA54">
      <w:start w:val="1"/>
      <w:numFmt w:val="bullet"/>
      <w:lvlText w:val="▪"/>
      <w:lvlJc w:val="left"/>
      <w:pPr>
        <w:ind w:left="25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B62124C">
      <w:start w:val="1"/>
      <w:numFmt w:val="bullet"/>
      <w:lvlText w:val="•"/>
      <w:lvlJc w:val="left"/>
      <w:pPr>
        <w:ind w:left="330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ED0991C">
      <w:start w:val="1"/>
      <w:numFmt w:val="bullet"/>
      <w:lvlText w:val="o"/>
      <w:lvlJc w:val="left"/>
      <w:pPr>
        <w:ind w:left="402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88CA516">
      <w:start w:val="1"/>
      <w:numFmt w:val="bullet"/>
      <w:lvlText w:val="▪"/>
      <w:lvlJc w:val="left"/>
      <w:pPr>
        <w:ind w:left="474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158BF32">
      <w:start w:val="1"/>
      <w:numFmt w:val="bullet"/>
      <w:lvlText w:val="•"/>
      <w:lvlJc w:val="left"/>
      <w:pPr>
        <w:ind w:left="546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C28C9E4">
      <w:start w:val="1"/>
      <w:numFmt w:val="bullet"/>
      <w:lvlText w:val="o"/>
      <w:lvlJc w:val="left"/>
      <w:pPr>
        <w:ind w:left="61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ADEFAA2">
      <w:start w:val="1"/>
      <w:numFmt w:val="bullet"/>
      <w:lvlText w:val="▪"/>
      <w:lvlJc w:val="left"/>
      <w:pPr>
        <w:ind w:left="690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87" w15:restartNumberingAfterBreak="0">
    <w:nsid w:val="60916FB3"/>
    <w:multiLevelType w:val="hybridMultilevel"/>
    <w:tmpl w:val="358A71BA"/>
    <w:lvl w:ilvl="0" w:tplc="E70EA8F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8" w15:restartNumberingAfterBreak="0">
    <w:nsid w:val="60F32368"/>
    <w:multiLevelType w:val="hybridMultilevel"/>
    <w:tmpl w:val="2C229854"/>
    <w:lvl w:ilvl="0" w:tplc="4940873E">
      <w:start w:val="1"/>
      <w:numFmt w:val="decimal"/>
      <w:lvlText w:val="4. %1."/>
      <w:lvlJc w:val="left"/>
      <w:pPr>
        <w:tabs>
          <w:tab w:val="num" w:pos="1357"/>
        </w:tabs>
        <w:ind w:left="1357" w:hanging="360"/>
      </w:pPr>
      <w:rPr>
        <w:rFonts w:cs="Times New Roman"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9" w15:restartNumberingAfterBreak="0">
    <w:nsid w:val="613215C0"/>
    <w:multiLevelType w:val="hybridMultilevel"/>
    <w:tmpl w:val="FFFFFFFF"/>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90" w15:restartNumberingAfterBreak="0">
    <w:nsid w:val="613F038F"/>
    <w:multiLevelType w:val="hybridMultilevel"/>
    <w:tmpl w:val="8C1A621E"/>
    <w:lvl w:ilvl="0" w:tplc="5262E3DE">
      <w:start w:val="1"/>
      <w:numFmt w:val="decimal"/>
      <w:lvlText w:val="%1. "/>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1" w15:restartNumberingAfterBreak="0">
    <w:nsid w:val="618D2E0B"/>
    <w:multiLevelType w:val="hybridMultilevel"/>
    <w:tmpl w:val="3D2415A4"/>
    <w:lvl w:ilvl="0" w:tplc="040C0001">
      <w:start w:val="1"/>
      <w:numFmt w:val="bullet"/>
      <w:lvlText w:val=""/>
      <w:lvlJc w:val="left"/>
      <w:pPr>
        <w:ind w:left="720" w:hanging="720"/>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92" w15:restartNumberingAfterBreak="0">
    <w:nsid w:val="61C3373A"/>
    <w:multiLevelType w:val="hybridMultilevel"/>
    <w:tmpl w:val="A8C89E44"/>
    <w:lvl w:ilvl="0" w:tplc="4956CA1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3" w15:restartNumberingAfterBreak="0">
    <w:nsid w:val="61ED13DF"/>
    <w:multiLevelType w:val="hybridMultilevel"/>
    <w:tmpl w:val="2E049A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4" w15:restartNumberingAfterBreak="0">
    <w:nsid w:val="62180155"/>
    <w:multiLevelType w:val="hybridMultilevel"/>
    <w:tmpl w:val="F6EC65DE"/>
    <w:lvl w:ilvl="0" w:tplc="040C0001">
      <w:start w:val="1"/>
      <w:numFmt w:val="bullet"/>
      <w:lvlText w:val=""/>
      <w:lvlJc w:val="left"/>
      <w:pPr>
        <w:ind w:left="720" w:hanging="360"/>
      </w:pPr>
      <w:rPr>
        <w:rFonts w:ascii="Symbol" w:hAnsi="Symbol" w:hint="default"/>
      </w:rPr>
    </w:lvl>
    <w:lvl w:ilvl="1" w:tplc="80EEA0FC">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5" w15:restartNumberingAfterBreak="0">
    <w:nsid w:val="6275000E"/>
    <w:multiLevelType w:val="hybridMultilevel"/>
    <w:tmpl w:val="86085480"/>
    <w:lvl w:ilvl="0" w:tplc="E70EA8F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6" w15:restartNumberingAfterBreak="0">
    <w:nsid w:val="62F75D4B"/>
    <w:multiLevelType w:val="multilevel"/>
    <w:tmpl w:val="9536B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7" w15:restartNumberingAfterBreak="0">
    <w:nsid w:val="62FD4158"/>
    <w:multiLevelType w:val="hybridMultilevel"/>
    <w:tmpl w:val="3F74A33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98" w15:restartNumberingAfterBreak="0">
    <w:nsid w:val="63446250"/>
    <w:multiLevelType w:val="hybridMultilevel"/>
    <w:tmpl w:val="AFB4338E"/>
    <w:lvl w:ilvl="0" w:tplc="04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9" w15:restartNumberingAfterBreak="0">
    <w:nsid w:val="63E81492"/>
    <w:multiLevelType w:val="hybridMultilevel"/>
    <w:tmpl w:val="B89CE672"/>
    <w:lvl w:ilvl="0" w:tplc="34286776">
      <w:numFmt w:val="bullet"/>
      <w:lvlText w:val=""/>
      <w:lvlJc w:val="left"/>
      <w:pPr>
        <w:ind w:left="2126" w:hanging="348"/>
      </w:pPr>
      <w:rPr>
        <w:rFonts w:ascii="Symbol" w:eastAsia="Symbol" w:hAnsi="Symbol" w:cs="Symbol" w:hint="default"/>
        <w:b w:val="0"/>
        <w:bCs w:val="0"/>
        <w:i w:val="0"/>
        <w:iCs w:val="0"/>
        <w:spacing w:val="0"/>
        <w:w w:val="100"/>
        <w:sz w:val="22"/>
        <w:szCs w:val="22"/>
        <w:lang w:val="fr-FR" w:eastAsia="en-US" w:bidi="ar-SA"/>
      </w:rPr>
    </w:lvl>
    <w:lvl w:ilvl="1" w:tplc="86F6148E">
      <w:numFmt w:val="bullet"/>
      <w:lvlText w:val="•"/>
      <w:lvlJc w:val="left"/>
      <w:pPr>
        <w:ind w:left="3098" w:hanging="348"/>
      </w:pPr>
      <w:rPr>
        <w:rFonts w:hint="default"/>
        <w:lang w:val="fr-FR" w:eastAsia="en-US" w:bidi="ar-SA"/>
      </w:rPr>
    </w:lvl>
    <w:lvl w:ilvl="2" w:tplc="C86A209A">
      <w:numFmt w:val="bullet"/>
      <w:lvlText w:val="•"/>
      <w:lvlJc w:val="left"/>
      <w:pPr>
        <w:ind w:left="4077" w:hanging="348"/>
      </w:pPr>
      <w:rPr>
        <w:rFonts w:hint="default"/>
        <w:lang w:val="fr-FR" w:eastAsia="en-US" w:bidi="ar-SA"/>
      </w:rPr>
    </w:lvl>
    <w:lvl w:ilvl="3" w:tplc="23501212">
      <w:numFmt w:val="bullet"/>
      <w:lvlText w:val="•"/>
      <w:lvlJc w:val="left"/>
      <w:pPr>
        <w:ind w:left="5055" w:hanging="348"/>
      </w:pPr>
      <w:rPr>
        <w:rFonts w:hint="default"/>
        <w:lang w:val="fr-FR" w:eastAsia="en-US" w:bidi="ar-SA"/>
      </w:rPr>
    </w:lvl>
    <w:lvl w:ilvl="4" w:tplc="893AF6A0">
      <w:numFmt w:val="bullet"/>
      <w:lvlText w:val="•"/>
      <w:lvlJc w:val="left"/>
      <w:pPr>
        <w:ind w:left="6034" w:hanging="348"/>
      </w:pPr>
      <w:rPr>
        <w:rFonts w:hint="default"/>
        <w:lang w:val="fr-FR" w:eastAsia="en-US" w:bidi="ar-SA"/>
      </w:rPr>
    </w:lvl>
    <w:lvl w:ilvl="5" w:tplc="24A06A22">
      <w:numFmt w:val="bullet"/>
      <w:lvlText w:val="•"/>
      <w:lvlJc w:val="left"/>
      <w:pPr>
        <w:ind w:left="7012" w:hanging="348"/>
      </w:pPr>
      <w:rPr>
        <w:rFonts w:hint="default"/>
        <w:lang w:val="fr-FR" w:eastAsia="en-US" w:bidi="ar-SA"/>
      </w:rPr>
    </w:lvl>
    <w:lvl w:ilvl="6" w:tplc="3056AA12">
      <w:numFmt w:val="bullet"/>
      <w:lvlText w:val="•"/>
      <w:lvlJc w:val="left"/>
      <w:pPr>
        <w:ind w:left="7991" w:hanging="348"/>
      </w:pPr>
      <w:rPr>
        <w:rFonts w:hint="default"/>
        <w:lang w:val="fr-FR" w:eastAsia="en-US" w:bidi="ar-SA"/>
      </w:rPr>
    </w:lvl>
    <w:lvl w:ilvl="7" w:tplc="ECB2F97A">
      <w:numFmt w:val="bullet"/>
      <w:lvlText w:val="•"/>
      <w:lvlJc w:val="left"/>
      <w:pPr>
        <w:ind w:left="8969" w:hanging="348"/>
      </w:pPr>
      <w:rPr>
        <w:rFonts w:hint="default"/>
        <w:lang w:val="fr-FR" w:eastAsia="en-US" w:bidi="ar-SA"/>
      </w:rPr>
    </w:lvl>
    <w:lvl w:ilvl="8" w:tplc="4C2A709C">
      <w:numFmt w:val="bullet"/>
      <w:lvlText w:val="•"/>
      <w:lvlJc w:val="left"/>
      <w:pPr>
        <w:ind w:left="9948" w:hanging="348"/>
      </w:pPr>
      <w:rPr>
        <w:rFonts w:hint="default"/>
        <w:lang w:val="fr-FR" w:eastAsia="en-US" w:bidi="ar-SA"/>
      </w:rPr>
    </w:lvl>
  </w:abstractNum>
  <w:abstractNum w:abstractNumId="400" w15:restartNumberingAfterBreak="0">
    <w:nsid w:val="63F27B10"/>
    <w:multiLevelType w:val="hybridMultilevel"/>
    <w:tmpl w:val="1062FF5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1" w15:restartNumberingAfterBreak="0">
    <w:nsid w:val="6475208B"/>
    <w:multiLevelType w:val="hybridMultilevel"/>
    <w:tmpl w:val="70CA7A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2" w15:restartNumberingAfterBreak="0">
    <w:nsid w:val="64C7753E"/>
    <w:multiLevelType w:val="hybridMultilevel"/>
    <w:tmpl w:val="28E416F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3" w15:restartNumberingAfterBreak="0">
    <w:nsid w:val="64D45708"/>
    <w:multiLevelType w:val="hybridMultilevel"/>
    <w:tmpl w:val="FFFFFFFF"/>
    <w:lvl w:ilvl="0" w:tplc="3DBE328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1086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741CC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8C99D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4A468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4069A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66641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742B6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30CE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4" w15:restartNumberingAfterBreak="0">
    <w:nsid w:val="650F4395"/>
    <w:multiLevelType w:val="hybridMultilevel"/>
    <w:tmpl w:val="FD181E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5" w15:restartNumberingAfterBreak="0">
    <w:nsid w:val="65333285"/>
    <w:multiLevelType w:val="multilevel"/>
    <w:tmpl w:val="655A8518"/>
    <w:lvl w:ilvl="0">
      <w:start w:val="3"/>
      <w:numFmt w:val="decimal"/>
      <w:lvlText w:val="%1."/>
      <w:lvlJc w:val="left"/>
      <w:pPr>
        <w:ind w:left="360" w:hanging="360"/>
      </w:pPr>
      <w:rPr>
        <w:rFonts w:hint="default"/>
      </w:rPr>
    </w:lvl>
    <w:lvl w:ilvl="1">
      <w:start w:val="5"/>
      <w:numFmt w:val="decimal"/>
      <w:lvlText w:val="%1.%2."/>
      <w:lvlJc w:val="left"/>
      <w:pPr>
        <w:ind w:left="644"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6" w15:restartNumberingAfterBreak="0">
    <w:nsid w:val="65442AC6"/>
    <w:multiLevelType w:val="hybridMultilevel"/>
    <w:tmpl w:val="14FC66E2"/>
    <w:lvl w:ilvl="0" w:tplc="FFFFFFFF">
      <w:start w:val="1"/>
      <w:numFmt w:val="decimal"/>
      <w:lvlText w:val="%1."/>
      <w:lvlJc w:val="left"/>
      <w:pPr>
        <w:ind w:left="720" w:hanging="360"/>
      </w:pPr>
      <w:rPr>
        <w:rFonts w:hint="default"/>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7" w15:restartNumberingAfterBreak="0">
    <w:nsid w:val="656179B0"/>
    <w:multiLevelType w:val="multilevel"/>
    <w:tmpl w:val="A85ECF50"/>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8" w15:restartNumberingAfterBreak="0">
    <w:nsid w:val="658C6CC0"/>
    <w:multiLevelType w:val="hybridMultilevel"/>
    <w:tmpl w:val="FFFFFFFF"/>
    <w:lvl w:ilvl="0" w:tplc="AB962C3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14D83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84739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42C2E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8EFE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0A016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581B8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B8B2C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98DD5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9" w15:restartNumberingAfterBreak="0">
    <w:nsid w:val="659001C8"/>
    <w:multiLevelType w:val="hybridMultilevel"/>
    <w:tmpl w:val="27CE8DC8"/>
    <w:lvl w:ilvl="0" w:tplc="83D27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0" w15:restartNumberingAfterBreak="0">
    <w:nsid w:val="662327CE"/>
    <w:multiLevelType w:val="hybridMultilevel"/>
    <w:tmpl w:val="99E8D00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11" w15:restartNumberingAfterBreak="0">
    <w:nsid w:val="668D6A41"/>
    <w:multiLevelType w:val="multilevel"/>
    <w:tmpl w:val="14BCD5C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2" w15:restartNumberingAfterBreak="0">
    <w:nsid w:val="66C855EE"/>
    <w:multiLevelType w:val="hybridMultilevel"/>
    <w:tmpl w:val="B0564682"/>
    <w:lvl w:ilvl="0" w:tplc="433E1FD8">
      <w:start w:val="1"/>
      <w:numFmt w:val="decimal"/>
      <w:lvlText w:val="5.%1."/>
      <w:lvlJc w:val="center"/>
      <w:pPr>
        <w:ind w:left="1429" w:hanging="360"/>
      </w:pPr>
      <w:rPr>
        <w:rFonts w:hint="default"/>
        <w:b w:val="0"/>
        <w:i w:val="0"/>
        <w:iCs w:val="0"/>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413" w15:restartNumberingAfterBreak="0">
    <w:nsid w:val="67597F16"/>
    <w:multiLevelType w:val="hybridMultilevel"/>
    <w:tmpl w:val="90C8F6D6"/>
    <w:lvl w:ilvl="0" w:tplc="133C493C">
      <w:start w:val="1"/>
      <w:numFmt w:val="decimal"/>
      <w:lvlText w:val="%1."/>
      <w:lvlJc w:val="left"/>
      <w:pPr>
        <w:tabs>
          <w:tab w:val="num" w:pos="720"/>
        </w:tabs>
        <w:ind w:left="720" w:hanging="360"/>
      </w:pPr>
    </w:lvl>
    <w:lvl w:ilvl="1" w:tplc="F7007E12" w:tentative="1">
      <w:start w:val="1"/>
      <w:numFmt w:val="decimal"/>
      <w:lvlText w:val="%2."/>
      <w:lvlJc w:val="left"/>
      <w:pPr>
        <w:tabs>
          <w:tab w:val="num" w:pos="1440"/>
        </w:tabs>
        <w:ind w:left="1440" w:hanging="360"/>
      </w:pPr>
    </w:lvl>
    <w:lvl w:ilvl="2" w:tplc="DEF6FFC8" w:tentative="1">
      <w:start w:val="1"/>
      <w:numFmt w:val="decimal"/>
      <w:lvlText w:val="%3."/>
      <w:lvlJc w:val="left"/>
      <w:pPr>
        <w:tabs>
          <w:tab w:val="num" w:pos="2160"/>
        </w:tabs>
        <w:ind w:left="2160" w:hanging="360"/>
      </w:pPr>
    </w:lvl>
    <w:lvl w:ilvl="3" w:tplc="44D61DB2" w:tentative="1">
      <w:start w:val="1"/>
      <w:numFmt w:val="decimal"/>
      <w:lvlText w:val="%4."/>
      <w:lvlJc w:val="left"/>
      <w:pPr>
        <w:tabs>
          <w:tab w:val="num" w:pos="2880"/>
        </w:tabs>
        <w:ind w:left="2880" w:hanging="360"/>
      </w:pPr>
    </w:lvl>
    <w:lvl w:ilvl="4" w:tplc="8D9058F0" w:tentative="1">
      <w:start w:val="1"/>
      <w:numFmt w:val="decimal"/>
      <w:lvlText w:val="%5."/>
      <w:lvlJc w:val="left"/>
      <w:pPr>
        <w:tabs>
          <w:tab w:val="num" w:pos="3600"/>
        </w:tabs>
        <w:ind w:left="3600" w:hanging="360"/>
      </w:pPr>
    </w:lvl>
    <w:lvl w:ilvl="5" w:tplc="57C803C6" w:tentative="1">
      <w:start w:val="1"/>
      <w:numFmt w:val="decimal"/>
      <w:lvlText w:val="%6."/>
      <w:lvlJc w:val="left"/>
      <w:pPr>
        <w:tabs>
          <w:tab w:val="num" w:pos="4320"/>
        </w:tabs>
        <w:ind w:left="4320" w:hanging="360"/>
      </w:pPr>
    </w:lvl>
    <w:lvl w:ilvl="6" w:tplc="25244FA2" w:tentative="1">
      <w:start w:val="1"/>
      <w:numFmt w:val="decimal"/>
      <w:lvlText w:val="%7."/>
      <w:lvlJc w:val="left"/>
      <w:pPr>
        <w:tabs>
          <w:tab w:val="num" w:pos="5040"/>
        </w:tabs>
        <w:ind w:left="5040" w:hanging="360"/>
      </w:pPr>
    </w:lvl>
    <w:lvl w:ilvl="7" w:tplc="8FE86456" w:tentative="1">
      <w:start w:val="1"/>
      <w:numFmt w:val="decimal"/>
      <w:lvlText w:val="%8."/>
      <w:lvlJc w:val="left"/>
      <w:pPr>
        <w:tabs>
          <w:tab w:val="num" w:pos="5760"/>
        </w:tabs>
        <w:ind w:left="5760" w:hanging="360"/>
      </w:pPr>
    </w:lvl>
    <w:lvl w:ilvl="8" w:tplc="A7D412DC" w:tentative="1">
      <w:start w:val="1"/>
      <w:numFmt w:val="decimal"/>
      <w:lvlText w:val="%9."/>
      <w:lvlJc w:val="left"/>
      <w:pPr>
        <w:tabs>
          <w:tab w:val="num" w:pos="6480"/>
        </w:tabs>
        <w:ind w:left="6480" w:hanging="360"/>
      </w:pPr>
    </w:lvl>
  </w:abstractNum>
  <w:abstractNum w:abstractNumId="414" w15:restartNumberingAfterBreak="0">
    <w:nsid w:val="67736520"/>
    <w:multiLevelType w:val="hybridMultilevel"/>
    <w:tmpl w:val="70DAC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5" w15:restartNumberingAfterBreak="0">
    <w:nsid w:val="67AF0203"/>
    <w:multiLevelType w:val="hybridMultilevel"/>
    <w:tmpl w:val="9F16B758"/>
    <w:lvl w:ilvl="0" w:tplc="4CFA74A2">
      <w:numFmt w:val="bullet"/>
      <w:lvlText w:val=""/>
      <w:lvlJc w:val="left"/>
      <w:pPr>
        <w:ind w:left="826" w:hanging="360"/>
      </w:pPr>
      <w:rPr>
        <w:rFonts w:ascii="Symbol" w:eastAsia="Symbol" w:hAnsi="Symbol" w:cs="Symbol" w:hint="default"/>
        <w:b w:val="0"/>
        <w:bCs w:val="0"/>
        <w:i w:val="0"/>
        <w:iCs w:val="0"/>
        <w:w w:val="100"/>
        <w:sz w:val="22"/>
        <w:szCs w:val="22"/>
        <w:lang w:val="fr-FR" w:eastAsia="en-US" w:bidi="ar-SA"/>
      </w:rPr>
    </w:lvl>
    <w:lvl w:ilvl="1" w:tplc="D548DD4A">
      <w:numFmt w:val="bullet"/>
      <w:lvlText w:val="•"/>
      <w:lvlJc w:val="left"/>
      <w:pPr>
        <w:ind w:left="1521" w:hanging="360"/>
      </w:pPr>
      <w:rPr>
        <w:rFonts w:hint="default"/>
        <w:lang w:val="fr-FR" w:eastAsia="en-US" w:bidi="ar-SA"/>
      </w:rPr>
    </w:lvl>
    <w:lvl w:ilvl="2" w:tplc="FE02286C">
      <w:numFmt w:val="bullet"/>
      <w:lvlText w:val="•"/>
      <w:lvlJc w:val="left"/>
      <w:pPr>
        <w:ind w:left="2222" w:hanging="360"/>
      </w:pPr>
      <w:rPr>
        <w:rFonts w:hint="default"/>
        <w:lang w:val="fr-FR" w:eastAsia="en-US" w:bidi="ar-SA"/>
      </w:rPr>
    </w:lvl>
    <w:lvl w:ilvl="3" w:tplc="2D66F652">
      <w:numFmt w:val="bullet"/>
      <w:lvlText w:val="•"/>
      <w:lvlJc w:val="left"/>
      <w:pPr>
        <w:ind w:left="2923" w:hanging="360"/>
      </w:pPr>
      <w:rPr>
        <w:rFonts w:hint="default"/>
        <w:lang w:val="fr-FR" w:eastAsia="en-US" w:bidi="ar-SA"/>
      </w:rPr>
    </w:lvl>
    <w:lvl w:ilvl="4" w:tplc="65E0CDB0">
      <w:numFmt w:val="bullet"/>
      <w:lvlText w:val="•"/>
      <w:lvlJc w:val="left"/>
      <w:pPr>
        <w:ind w:left="3624" w:hanging="360"/>
      </w:pPr>
      <w:rPr>
        <w:rFonts w:hint="default"/>
        <w:lang w:val="fr-FR" w:eastAsia="en-US" w:bidi="ar-SA"/>
      </w:rPr>
    </w:lvl>
    <w:lvl w:ilvl="5" w:tplc="96F4AE2E">
      <w:numFmt w:val="bullet"/>
      <w:lvlText w:val="•"/>
      <w:lvlJc w:val="left"/>
      <w:pPr>
        <w:ind w:left="4325" w:hanging="360"/>
      </w:pPr>
      <w:rPr>
        <w:rFonts w:hint="default"/>
        <w:lang w:val="fr-FR" w:eastAsia="en-US" w:bidi="ar-SA"/>
      </w:rPr>
    </w:lvl>
    <w:lvl w:ilvl="6" w:tplc="9BA45D78">
      <w:numFmt w:val="bullet"/>
      <w:lvlText w:val="•"/>
      <w:lvlJc w:val="left"/>
      <w:pPr>
        <w:ind w:left="5026" w:hanging="360"/>
      </w:pPr>
      <w:rPr>
        <w:rFonts w:hint="default"/>
        <w:lang w:val="fr-FR" w:eastAsia="en-US" w:bidi="ar-SA"/>
      </w:rPr>
    </w:lvl>
    <w:lvl w:ilvl="7" w:tplc="4FA28186">
      <w:numFmt w:val="bullet"/>
      <w:lvlText w:val="•"/>
      <w:lvlJc w:val="left"/>
      <w:pPr>
        <w:ind w:left="5727" w:hanging="360"/>
      </w:pPr>
      <w:rPr>
        <w:rFonts w:hint="default"/>
        <w:lang w:val="fr-FR" w:eastAsia="en-US" w:bidi="ar-SA"/>
      </w:rPr>
    </w:lvl>
    <w:lvl w:ilvl="8" w:tplc="7E9A6008">
      <w:numFmt w:val="bullet"/>
      <w:lvlText w:val="•"/>
      <w:lvlJc w:val="left"/>
      <w:pPr>
        <w:ind w:left="6428" w:hanging="360"/>
      </w:pPr>
      <w:rPr>
        <w:rFonts w:hint="default"/>
        <w:lang w:val="fr-FR" w:eastAsia="en-US" w:bidi="ar-SA"/>
      </w:rPr>
    </w:lvl>
  </w:abstractNum>
  <w:abstractNum w:abstractNumId="416" w15:restartNumberingAfterBreak="0">
    <w:nsid w:val="67BF6603"/>
    <w:multiLevelType w:val="hybridMultilevel"/>
    <w:tmpl w:val="D4BE1016"/>
    <w:lvl w:ilvl="0" w:tplc="040C000F">
      <w:start w:val="1"/>
      <w:numFmt w:val="decimal"/>
      <w:lvlText w:val="%1."/>
      <w:lvlJc w:val="left"/>
      <w:pPr>
        <w:ind w:left="720" w:hanging="360"/>
      </w:pPr>
      <w:rPr>
        <w:rFonts w:hint="default"/>
      </w:rPr>
    </w:lvl>
    <w:lvl w:ilvl="1" w:tplc="040C0005">
      <w:start w:val="1"/>
      <w:numFmt w:val="bullet"/>
      <w:lvlText w:val=""/>
      <w:lvlJc w:val="left"/>
      <w:pPr>
        <w:ind w:left="1440" w:hanging="360"/>
      </w:pPr>
      <w:rPr>
        <w:rFonts w:ascii="Wingdings" w:hAnsi="Wingdings" w:hint="default"/>
      </w:rPr>
    </w:lvl>
    <w:lvl w:ilvl="2" w:tplc="05562E30">
      <w:start w:val="1"/>
      <w:numFmt w:val="decimal"/>
      <w:lvlText w:val="7.%3."/>
      <w:lvlJc w:val="center"/>
      <w:pPr>
        <w:ind w:left="2340" w:hanging="360"/>
      </w:pPr>
      <w:rPr>
        <w:rFonts w:hint="default"/>
        <w:b w:val="0"/>
        <w:i w:val="0"/>
        <w:iCs w:val="0"/>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7" w15:restartNumberingAfterBreak="0">
    <w:nsid w:val="681B0EAF"/>
    <w:multiLevelType w:val="multilevel"/>
    <w:tmpl w:val="061A8938"/>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8" w15:restartNumberingAfterBreak="0">
    <w:nsid w:val="6885100B"/>
    <w:multiLevelType w:val="hybridMultilevel"/>
    <w:tmpl w:val="452037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9" w15:restartNumberingAfterBreak="0">
    <w:nsid w:val="68892A75"/>
    <w:multiLevelType w:val="hybridMultilevel"/>
    <w:tmpl w:val="683C53E2"/>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0" w15:restartNumberingAfterBreak="0">
    <w:nsid w:val="68EE4D74"/>
    <w:multiLevelType w:val="hybridMultilevel"/>
    <w:tmpl w:val="ED9AEF88"/>
    <w:lvl w:ilvl="0" w:tplc="69BA8E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1" w15:restartNumberingAfterBreak="0">
    <w:nsid w:val="693317BF"/>
    <w:multiLevelType w:val="hybridMultilevel"/>
    <w:tmpl w:val="32C2B090"/>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2" w15:restartNumberingAfterBreak="0">
    <w:nsid w:val="693600A4"/>
    <w:multiLevelType w:val="hybridMultilevel"/>
    <w:tmpl w:val="688678F4"/>
    <w:lvl w:ilvl="0" w:tplc="400686FA">
      <w:start w:val="1"/>
      <w:numFmt w:val="decimal"/>
      <w:lvlText w:val="I. %1."/>
      <w:lvlJc w:val="left"/>
      <w:pPr>
        <w:tabs>
          <w:tab w:val="num" w:pos="1357"/>
        </w:tabs>
        <w:ind w:left="1357" w:hanging="360"/>
      </w:pPr>
      <w:rPr>
        <w:rFonts w:cs="Times New Roman" w:hint="default"/>
      </w:rPr>
    </w:lvl>
    <w:lvl w:ilvl="1" w:tplc="400686FA">
      <w:start w:val="1"/>
      <w:numFmt w:val="decimal"/>
      <w:lvlText w:val="I. %2."/>
      <w:lvlJc w:val="left"/>
      <w:pPr>
        <w:tabs>
          <w:tab w:val="num" w:pos="1440"/>
        </w:tabs>
        <w:ind w:left="1440" w:hanging="360"/>
      </w:pPr>
      <w:rPr>
        <w:rFonts w:cs="Times New Roman" w:hint="default"/>
      </w:rPr>
    </w:lvl>
    <w:lvl w:ilvl="2" w:tplc="02664C2E">
      <w:start w:val="1"/>
      <w:numFmt w:val="decimal"/>
      <w:lvlText w:val="4.1. %3."/>
      <w:lvlJc w:val="left"/>
      <w:pPr>
        <w:tabs>
          <w:tab w:val="num" w:pos="2340"/>
        </w:tabs>
        <w:ind w:left="2340" w:hanging="360"/>
      </w:pPr>
      <w:rPr>
        <w:rFonts w:cs="Times New Roman"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23" w15:restartNumberingAfterBreak="0">
    <w:nsid w:val="69595298"/>
    <w:multiLevelType w:val="hybridMultilevel"/>
    <w:tmpl w:val="FFFFFFFF"/>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424" w15:restartNumberingAfterBreak="0">
    <w:nsid w:val="695A0250"/>
    <w:multiLevelType w:val="hybridMultilevel"/>
    <w:tmpl w:val="E28A47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5" w15:restartNumberingAfterBreak="0">
    <w:nsid w:val="69CD1AD5"/>
    <w:multiLevelType w:val="hybridMultilevel"/>
    <w:tmpl w:val="94CC0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6" w15:restartNumberingAfterBreak="0">
    <w:nsid w:val="6A0923D8"/>
    <w:multiLevelType w:val="multilevel"/>
    <w:tmpl w:val="3AEAA136"/>
    <w:lvl w:ilvl="0">
      <w:start w:val="1"/>
      <w:numFmt w:val="decimal"/>
      <w:lvlText w:val="3.%1."/>
      <w:lvlJc w:val="center"/>
      <w:pPr>
        <w:tabs>
          <w:tab w:val="num" w:pos="720"/>
        </w:tabs>
        <w:ind w:left="720" w:hanging="360"/>
      </w:pPr>
      <w:rPr>
        <w:rFonts w:hint="default"/>
        <w:b w:val="0"/>
        <w:i w:val="0"/>
        <w:iCs w: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lvl>
    <w:lvl w:ilvl="3">
      <w:start w:val="2"/>
      <w:numFmt w:val="bullet"/>
      <w:lvlText w:val="-"/>
      <w:lvlJc w:val="left"/>
      <w:pPr>
        <w:ind w:left="2880" w:hanging="360"/>
      </w:pPr>
      <w:rPr>
        <w:rFonts w:ascii="Century Gothic" w:eastAsiaTheme="minorHAnsi" w:hAnsi="Century Gothic" w:cstheme="minorBidi" w:hint="default"/>
      </w:rPr>
    </w:lvl>
    <w:lvl w:ilvl="4">
      <w:start w:val="6"/>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decimal"/>
      <w:lvlText w:val="%7-"/>
      <w:lvlJc w:val="left"/>
      <w:pPr>
        <w:ind w:left="5040" w:hanging="360"/>
      </w:pPr>
      <w:rPr>
        <w:rFonts w:hint="default"/>
        <w:b/>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7" w15:restartNumberingAfterBreak="0">
    <w:nsid w:val="6AB032FB"/>
    <w:multiLevelType w:val="hybridMultilevel"/>
    <w:tmpl w:val="34BEA7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8" w15:restartNumberingAfterBreak="0">
    <w:nsid w:val="6AB56DD6"/>
    <w:multiLevelType w:val="multilevel"/>
    <w:tmpl w:val="F942F4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9" w15:restartNumberingAfterBreak="0">
    <w:nsid w:val="6AB61A63"/>
    <w:multiLevelType w:val="hybridMultilevel"/>
    <w:tmpl w:val="34BEA7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0" w15:restartNumberingAfterBreak="0">
    <w:nsid w:val="6B295BE0"/>
    <w:multiLevelType w:val="hybridMultilevel"/>
    <w:tmpl w:val="E294DCFE"/>
    <w:lvl w:ilvl="0" w:tplc="8CC0256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1" w15:restartNumberingAfterBreak="0">
    <w:nsid w:val="6B6F4923"/>
    <w:multiLevelType w:val="hybridMultilevel"/>
    <w:tmpl w:val="FEC43888"/>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432" w15:restartNumberingAfterBreak="0">
    <w:nsid w:val="6BD63E27"/>
    <w:multiLevelType w:val="hybridMultilevel"/>
    <w:tmpl w:val="4CA4A3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3" w15:restartNumberingAfterBreak="0">
    <w:nsid w:val="6C7E7FA1"/>
    <w:multiLevelType w:val="hybridMultilevel"/>
    <w:tmpl w:val="9D509F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4" w15:restartNumberingAfterBreak="0">
    <w:nsid w:val="6CBB12A8"/>
    <w:multiLevelType w:val="hybridMultilevel"/>
    <w:tmpl w:val="CB1202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5" w15:restartNumberingAfterBreak="0">
    <w:nsid w:val="6CC80C06"/>
    <w:multiLevelType w:val="hybridMultilevel"/>
    <w:tmpl w:val="FFFFFFFF"/>
    <w:lvl w:ilvl="0" w:tplc="F404E45A">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36" w15:restartNumberingAfterBreak="0">
    <w:nsid w:val="6CF6614C"/>
    <w:multiLevelType w:val="multilevel"/>
    <w:tmpl w:val="A85ECF50"/>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37" w15:restartNumberingAfterBreak="0">
    <w:nsid w:val="6D022420"/>
    <w:multiLevelType w:val="hybridMultilevel"/>
    <w:tmpl w:val="FFFFFFFF"/>
    <w:lvl w:ilvl="0" w:tplc="889C32F6">
      <w:start w:val="1"/>
      <w:numFmt w:val="low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38" w15:restartNumberingAfterBreak="0">
    <w:nsid w:val="6D0D58F0"/>
    <w:multiLevelType w:val="hybridMultilevel"/>
    <w:tmpl w:val="61963BF2"/>
    <w:lvl w:ilvl="0" w:tplc="2496E290">
      <w:numFmt w:val="bullet"/>
      <w:lvlText w:val=""/>
      <w:lvlJc w:val="left"/>
      <w:pPr>
        <w:ind w:left="2127" w:hanging="281"/>
      </w:pPr>
      <w:rPr>
        <w:rFonts w:ascii="Wingdings" w:eastAsia="Wingdings" w:hAnsi="Wingdings" w:cs="Wingdings" w:hint="default"/>
        <w:b w:val="0"/>
        <w:bCs w:val="0"/>
        <w:i w:val="0"/>
        <w:iCs w:val="0"/>
        <w:color w:val="231F20"/>
        <w:spacing w:val="0"/>
        <w:w w:val="100"/>
        <w:sz w:val="22"/>
        <w:szCs w:val="22"/>
        <w:lang w:val="fr-FR" w:eastAsia="en-US" w:bidi="ar-SA"/>
      </w:rPr>
    </w:lvl>
    <w:lvl w:ilvl="1" w:tplc="55842DBA">
      <w:numFmt w:val="bullet"/>
      <w:lvlText w:val="•"/>
      <w:lvlJc w:val="left"/>
      <w:pPr>
        <w:ind w:left="3098" w:hanging="281"/>
      </w:pPr>
      <w:rPr>
        <w:rFonts w:hint="default"/>
        <w:lang w:val="fr-FR" w:eastAsia="en-US" w:bidi="ar-SA"/>
      </w:rPr>
    </w:lvl>
    <w:lvl w:ilvl="2" w:tplc="9D66EB06">
      <w:numFmt w:val="bullet"/>
      <w:lvlText w:val="•"/>
      <w:lvlJc w:val="left"/>
      <w:pPr>
        <w:ind w:left="4077" w:hanging="281"/>
      </w:pPr>
      <w:rPr>
        <w:rFonts w:hint="default"/>
        <w:lang w:val="fr-FR" w:eastAsia="en-US" w:bidi="ar-SA"/>
      </w:rPr>
    </w:lvl>
    <w:lvl w:ilvl="3" w:tplc="E1C00C3E">
      <w:numFmt w:val="bullet"/>
      <w:lvlText w:val="•"/>
      <w:lvlJc w:val="left"/>
      <w:pPr>
        <w:ind w:left="5055" w:hanging="281"/>
      </w:pPr>
      <w:rPr>
        <w:rFonts w:hint="default"/>
        <w:lang w:val="fr-FR" w:eastAsia="en-US" w:bidi="ar-SA"/>
      </w:rPr>
    </w:lvl>
    <w:lvl w:ilvl="4" w:tplc="FFB44966">
      <w:numFmt w:val="bullet"/>
      <w:lvlText w:val="•"/>
      <w:lvlJc w:val="left"/>
      <w:pPr>
        <w:ind w:left="6034" w:hanging="281"/>
      </w:pPr>
      <w:rPr>
        <w:rFonts w:hint="default"/>
        <w:lang w:val="fr-FR" w:eastAsia="en-US" w:bidi="ar-SA"/>
      </w:rPr>
    </w:lvl>
    <w:lvl w:ilvl="5" w:tplc="3B50E348">
      <w:numFmt w:val="bullet"/>
      <w:lvlText w:val="•"/>
      <w:lvlJc w:val="left"/>
      <w:pPr>
        <w:ind w:left="7012" w:hanging="281"/>
      </w:pPr>
      <w:rPr>
        <w:rFonts w:hint="default"/>
        <w:lang w:val="fr-FR" w:eastAsia="en-US" w:bidi="ar-SA"/>
      </w:rPr>
    </w:lvl>
    <w:lvl w:ilvl="6" w:tplc="F39C3F2A">
      <w:numFmt w:val="bullet"/>
      <w:lvlText w:val="•"/>
      <w:lvlJc w:val="left"/>
      <w:pPr>
        <w:ind w:left="7991" w:hanging="281"/>
      </w:pPr>
      <w:rPr>
        <w:rFonts w:hint="default"/>
        <w:lang w:val="fr-FR" w:eastAsia="en-US" w:bidi="ar-SA"/>
      </w:rPr>
    </w:lvl>
    <w:lvl w:ilvl="7" w:tplc="8B16396E">
      <w:numFmt w:val="bullet"/>
      <w:lvlText w:val="•"/>
      <w:lvlJc w:val="left"/>
      <w:pPr>
        <w:ind w:left="8969" w:hanging="281"/>
      </w:pPr>
      <w:rPr>
        <w:rFonts w:hint="default"/>
        <w:lang w:val="fr-FR" w:eastAsia="en-US" w:bidi="ar-SA"/>
      </w:rPr>
    </w:lvl>
    <w:lvl w:ilvl="8" w:tplc="80E4412C">
      <w:numFmt w:val="bullet"/>
      <w:lvlText w:val="•"/>
      <w:lvlJc w:val="left"/>
      <w:pPr>
        <w:ind w:left="9948" w:hanging="281"/>
      </w:pPr>
      <w:rPr>
        <w:rFonts w:hint="default"/>
        <w:lang w:val="fr-FR" w:eastAsia="en-US" w:bidi="ar-SA"/>
      </w:rPr>
    </w:lvl>
  </w:abstractNum>
  <w:abstractNum w:abstractNumId="439" w15:restartNumberingAfterBreak="0">
    <w:nsid w:val="6D257C69"/>
    <w:multiLevelType w:val="hybridMultilevel"/>
    <w:tmpl w:val="2BCEFB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0" w15:restartNumberingAfterBreak="0">
    <w:nsid w:val="6D396084"/>
    <w:multiLevelType w:val="hybridMultilevel"/>
    <w:tmpl w:val="FFFFFFFF"/>
    <w:lvl w:ilvl="0" w:tplc="695C62DC">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441" w15:restartNumberingAfterBreak="0">
    <w:nsid w:val="6D65123A"/>
    <w:multiLevelType w:val="hybridMultilevel"/>
    <w:tmpl w:val="EEB2BB7A"/>
    <w:lvl w:ilvl="0" w:tplc="E654AC86">
      <w:start w:val="1"/>
      <w:numFmt w:val="bullet"/>
      <w:lvlText w:val=""/>
      <w:lvlPicBulletId w:val="0"/>
      <w:lvlJc w:val="left"/>
      <w:pPr>
        <w:tabs>
          <w:tab w:val="num" w:pos="720"/>
        </w:tabs>
        <w:ind w:left="720" w:hanging="360"/>
      </w:pPr>
      <w:rPr>
        <w:rFonts w:ascii="Symbol" w:hAnsi="Symbol" w:hint="default"/>
      </w:rPr>
    </w:lvl>
    <w:lvl w:ilvl="1" w:tplc="27F67580" w:tentative="1">
      <w:start w:val="1"/>
      <w:numFmt w:val="bullet"/>
      <w:lvlText w:val=""/>
      <w:lvlJc w:val="left"/>
      <w:pPr>
        <w:tabs>
          <w:tab w:val="num" w:pos="1440"/>
        </w:tabs>
        <w:ind w:left="1440" w:hanging="360"/>
      </w:pPr>
      <w:rPr>
        <w:rFonts w:ascii="Symbol" w:hAnsi="Symbol" w:hint="default"/>
      </w:rPr>
    </w:lvl>
    <w:lvl w:ilvl="2" w:tplc="43209030" w:tentative="1">
      <w:start w:val="1"/>
      <w:numFmt w:val="bullet"/>
      <w:lvlText w:val=""/>
      <w:lvlJc w:val="left"/>
      <w:pPr>
        <w:tabs>
          <w:tab w:val="num" w:pos="2160"/>
        </w:tabs>
        <w:ind w:left="2160" w:hanging="360"/>
      </w:pPr>
      <w:rPr>
        <w:rFonts w:ascii="Symbol" w:hAnsi="Symbol" w:hint="default"/>
      </w:rPr>
    </w:lvl>
    <w:lvl w:ilvl="3" w:tplc="EF2C0C26" w:tentative="1">
      <w:start w:val="1"/>
      <w:numFmt w:val="bullet"/>
      <w:lvlText w:val=""/>
      <w:lvlJc w:val="left"/>
      <w:pPr>
        <w:tabs>
          <w:tab w:val="num" w:pos="2880"/>
        </w:tabs>
        <w:ind w:left="2880" w:hanging="360"/>
      </w:pPr>
      <w:rPr>
        <w:rFonts w:ascii="Symbol" w:hAnsi="Symbol" w:hint="default"/>
      </w:rPr>
    </w:lvl>
    <w:lvl w:ilvl="4" w:tplc="61F6788C" w:tentative="1">
      <w:start w:val="1"/>
      <w:numFmt w:val="bullet"/>
      <w:lvlText w:val=""/>
      <w:lvlJc w:val="left"/>
      <w:pPr>
        <w:tabs>
          <w:tab w:val="num" w:pos="3600"/>
        </w:tabs>
        <w:ind w:left="3600" w:hanging="360"/>
      </w:pPr>
      <w:rPr>
        <w:rFonts w:ascii="Symbol" w:hAnsi="Symbol" w:hint="default"/>
      </w:rPr>
    </w:lvl>
    <w:lvl w:ilvl="5" w:tplc="2D3E3000" w:tentative="1">
      <w:start w:val="1"/>
      <w:numFmt w:val="bullet"/>
      <w:lvlText w:val=""/>
      <w:lvlJc w:val="left"/>
      <w:pPr>
        <w:tabs>
          <w:tab w:val="num" w:pos="4320"/>
        </w:tabs>
        <w:ind w:left="4320" w:hanging="360"/>
      </w:pPr>
      <w:rPr>
        <w:rFonts w:ascii="Symbol" w:hAnsi="Symbol" w:hint="default"/>
      </w:rPr>
    </w:lvl>
    <w:lvl w:ilvl="6" w:tplc="F62ECBD4" w:tentative="1">
      <w:start w:val="1"/>
      <w:numFmt w:val="bullet"/>
      <w:lvlText w:val=""/>
      <w:lvlJc w:val="left"/>
      <w:pPr>
        <w:tabs>
          <w:tab w:val="num" w:pos="5040"/>
        </w:tabs>
        <w:ind w:left="5040" w:hanging="360"/>
      </w:pPr>
      <w:rPr>
        <w:rFonts w:ascii="Symbol" w:hAnsi="Symbol" w:hint="default"/>
      </w:rPr>
    </w:lvl>
    <w:lvl w:ilvl="7" w:tplc="1D56CEDA" w:tentative="1">
      <w:start w:val="1"/>
      <w:numFmt w:val="bullet"/>
      <w:lvlText w:val=""/>
      <w:lvlJc w:val="left"/>
      <w:pPr>
        <w:tabs>
          <w:tab w:val="num" w:pos="5760"/>
        </w:tabs>
        <w:ind w:left="5760" w:hanging="360"/>
      </w:pPr>
      <w:rPr>
        <w:rFonts w:ascii="Symbol" w:hAnsi="Symbol" w:hint="default"/>
      </w:rPr>
    </w:lvl>
    <w:lvl w:ilvl="8" w:tplc="01CC2A52" w:tentative="1">
      <w:start w:val="1"/>
      <w:numFmt w:val="bullet"/>
      <w:lvlText w:val=""/>
      <w:lvlJc w:val="left"/>
      <w:pPr>
        <w:tabs>
          <w:tab w:val="num" w:pos="6480"/>
        </w:tabs>
        <w:ind w:left="6480" w:hanging="360"/>
      </w:pPr>
      <w:rPr>
        <w:rFonts w:ascii="Symbol" w:hAnsi="Symbol" w:hint="default"/>
      </w:rPr>
    </w:lvl>
  </w:abstractNum>
  <w:abstractNum w:abstractNumId="442" w15:restartNumberingAfterBreak="0">
    <w:nsid w:val="6E1F6D30"/>
    <w:multiLevelType w:val="hybridMultilevel"/>
    <w:tmpl w:val="570282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3" w15:restartNumberingAfterBreak="0">
    <w:nsid w:val="6E882B96"/>
    <w:multiLevelType w:val="hybridMultilevel"/>
    <w:tmpl w:val="EBA6C4CE"/>
    <w:lvl w:ilvl="0" w:tplc="60C60BE6">
      <w:start w:val="1"/>
      <w:numFmt w:val="low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4" w15:restartNumberingAfterBreak="0">
    <w:nsid w:val="6ECA7E9D"/>
    <w:multiLevelType w:val="multilevel"/>
    <w:tmpl w:val="378C61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EF0426C"/>
    <w:multiLevelType w:val="hybridMultilevel"/>
    <w:tmpl w:val="47D4EBD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6" w15:restartNumberingAfterBreak="0">
    <w:nsid w:val="6F5855B8"/>
    <w:multiLevelType w:val="hybridMultilevel"/>
    <w:tmpl w:val="5F90B08C"/>
    <w:lvl w:ilvl="0" w:tplc="6F14C416">
      <w:start w:val="1"/>
      <w:numFmt w:val="bullet"/>
      <w:lvlText w:val=""/>
      <w:lvlJc w:val="left"/>
      <w:pPr>
        <w:ind w:left="624" w:hanging="26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7" w15:restartNumberingAfterBreak="0">
    <w:nsid w:val="6FA67F58"/>
    <w:multiLevelType w:val="hybridMultilevel"/>
    <w:tmpl w:val="340E4FE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8" w15:restartNumberingAfterBreak="0">
    <w:nsid w:val="6FB94AC5"/>
    <w:multiLevelType w:val="hybridMultilevel"/>
    <w:tmpl w:val="399ED26A"/>
    <w:lvl w:ilvl="0" w:tplc="FFFFFFFF">
      <w:start w:val="1"/>
      <w:numFmt w:val="decimal"/>
      <w:lvlText w:val="%1."/>
      <w:lvlJc w:val="left"/>
      <w:pPr>
        <w:ind w:left="720" w:hanging="360"/>
      </w:pPr>
      <w:rPr>
        <w:rFonts w:hint="default"/>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9" w15:restartNumberingAfterBreak="0">
    <w:nsid w:val="6FDA4809"/>
    <w:multiLevelType w:val="hybridMultilevel"/>
    <w:tmpl w:val="34BEA7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0" w15:restartNumberingAfterBreak="0">
    <w:nsid w:val="704F55F2"/>
    <w:multiLevelType w:val="hybridMultilevel"/>
    <w:tmpl w:val="17707336"/>
    <w:lvl w:ilvl="0" w:tplc="EA64C6A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1" w15:restartNumberingAfterBreak="0">
    <w:nsid w:val="70E12D92"/>
    <w:multiLevelType w:val="hybridMultilevel"/>
    <w:tmpl w:val="34BEA7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2" w15:restartNumberingAfterBreak="0">
    <w:nsid w:val="717271D9"/>
    <w:multiLevelType w:val="multilevel"/>
    <w:tmpl w:val="E758D3EC"/>
    <w:lvl w:ilvl="0">
      <w:start w:val="1"/>
      <w:numFmt w:val="bullet"/>
      <w:lvlText w:val="Ø"/>
      <w:lvlJc w:val="left"/>
      <w:pPr>
        <w:tabs>
          <w:tab w:val="left" w:pos="288"/>
        </w:tabs>
        <w:ind w:left="720" w:firstLine="0"/>
      </w:pPr>
      <w:rPr>
        <w:rFonts w:ascii="Wingdings" w:eastAsia="Wingdings" w:hAnsi="Wingdings"/>
        <w:strike w:val="0"/>
        <w:dstrike w:val="0"/>
        <w:color w:val="000000"/>
        <w:spacing w:val="0"/>
        <w:w w:val="100"/>
        <w:sz w:val="17"/>
        <w:u w:val="none"/>
        <w:effect w:val="none"/>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3" w15:restartNumberingAfterBreak="0">
    <w:nsid w:val="71870859"/>
    <w:multiLevelType w:val="hybridMultilevel"/>
    <w:tmpl w:val="86CA857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4" w15:restartNumberingAfterBreak="0">
    <w:nsid w:val="71A0579F"/>
    <w:multiLevelType w:val="hybridMultilevel"/>
    <w:tmpl w:val="B0A63E94"/>
    <w:lvl w:ilvl="0" w:tplc="040C0005">
      <w:start w:val="1"/>
      <w:numFmt w:val="bullet"/>
      <w:lvlText w:val=""/>
      <w:lvlJc w:val="left"/>
      <w:pPr>
        <w:ind w:left="502" w:hanging="360"/>
      </w:pPr>
      <w:rPr>
        <w:rFonts w:ascii="Wingdings" w:hAnsi="Wingdings" w:hint="default"/>
        <w:sz w:val="20"/>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455" w15:restartNumberingAfterBreak="0">
    <w:nsid w:val="725B6CDA"/>
    <w:multiLevelType w:val="hybridMultilevel"/>
    <w:tmpl w:val="3FDEAEB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6" w15:restartNumberingAfterBreak="0">
    <w:nsid w:val="7260251B"/>
    <w:multiLevelType w:val="hybridMultilevel"/>
    <w:tmpl w:val="9BC699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7" w15:restartNumberingAfterBreak="0">
    <w:nsid w:val="72F029C3"/>
    <w:multiLevelType w:val="hybridMultilevel"/>
    <w:tmpl w:val="FFFFFFFF"/>
    <w:lvl w:ilvl="0" w:tplc="C4B029D4">
      <w:start w:val="1"/>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AA7EF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F62750">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24495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EC766E">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4A82F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54E82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B8F70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745D2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8" w15:restartNumberingAfterBreak="0">
    <w:nsid w:val="73753346"/>
    <w:multiLevelType w:val="multilevel"/>
    <w:tmpl w:val="98764A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9" w15:restartNumberingAfterBreak="0">
    <w:nsid w:val="737D46D1"/>
    <w:multiLevelType w:val="hybridMultilevel"/>
    <w:tmpl w:val="1DA0D69E"/>
    <w:lvl w:ilvl="0" w:tplc="D04CB1F2">
      <w:numFmt w:val="bullet"/>
      <w:lvlText w:val=""/>
      <w:lvlJc w:val="left"/>
      <w:pPr>
        <w:ind w:left="720" w:hanging="360"/>
      </w:pPr>
      <w:rPr>
        <w:rFonts w:ascii="Symbol" w:eastAsiaTheme="minorEastAsia"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0" w15:restartNumberingAfterBreak="0">
    <w:nsid w:val="738D451C"/>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160" w:hanging="1800"/>
      </w:pPr>
      <w:rPr>
        <w:rFonts w:cs="Times New Roman"/>
      </w:rPr>
    </w:lvl>
  </w:abstractNum>
  <w:abstractNum w:abstractNumId="461" w15:restartNumberingAfterBreak="0">
    <w:nsid w:val="74070365"/>
    <w:multiLevelType w:val="multilevel"/>
    <w:tmpl w:val="748A5F12"/>
    <w:lvl w:ilvl="0">
      <w:start w:val="1"/>
      <w:numFmt w:val="decimal"/>
      <w:lvlText w:val="%1."/>
      <w:lvlJc w:val="left"/>
      <w:pPr>
        <w:ind w:left="720" w:hanging="360"/>
      </w:pPr>
    </w:lvl>
    <w:lvl w:ilvl="1">
      <w:start w:val="3"/>
      <w:numFmt w:val="decimal"/>
      <w:isLgl/>
      <w:lvlText w:val="%1.%2"/>
      <w:lvlJc w:val="left"/>
      <w:pPr>
        <w:ind w:left="520" w:hanging="5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2" w15:restartNumberingAfterBreak="0">
    <w:nsid w:val="742050A8"/>
    <w:multiLevelType w:val="hybridMultilevel"/>
    <w:tmpl w:val="E24ABF84"/>
    <w:lvl w:ilvl="0" w:tplc="DE8078E0">
      <w:start w:val="1"/>
      <w:numFmt w:val="decimal"/>
      <w:lvlText w:val="%1)"/>
      <w:lvlJc w:val="left"/>
      <w:pPr>
        <w:ind w:left="1017" w:hanging="864"/>
      </w:pPr>
      <w:rPr>
        <w:rFonts w:ascii="Times New Roman" w:eastAsia="Times New Roman" w:hAnsi="Times New Roman" w:cs="Times New Roman" w:hint="default"/>
        <w:b w:val="0"/>
        <w:bCs w:val="0"/>
        <w:i w:val="0"/>
        <w:iCs w:val="0"/>
        <w:spacing w:val="0"/>
        <w:w w:val="100"/>
        <w:sz w:val="18"/>
        <w:szCs w:val="18"/>
        <w:lang w:val="fr-FR" w:eastAsia="en-US" w:bidi="ar-SA"/>
      </w:rPr>
    </w:lvl>
    <w:lvl w:ilvl="1" w:tplc="C526C7B6">
      <w:numFmt w:val="bullet"/>
      <w:lvlText w:val="•"/>
      <w:lvlJc w:val="left"/>
      <w:pPr>
        <w:ind w:left="1853" w:hanging="864"/>
      </w:pPr>
      <w:rPr>
        <w:rFonts w:hint="default"/>
        <w:lang w:val="fr-FR" w:eastAsia="en-US" w:bidi="ar-SA"/>
      </w:rPr>
    </w:lvl>
    <w:lvl w:ilvl="2" w:tplc="4C78240A">
      <w:numFmt w:val="bullet"/>
      <w:lvlText w:val="•"/>
      <w:lvlJc w:val="left"/>
      <w:pPr>
        <w:ind w:left="2687" w:hanging="864"/>
      </w:pPr>
      <w:rPr>
        <w:rFonts w:hint="default"/>
        <w:lang w:val="fr-FR" w:eastAsia="en-US" w:bidi="ar-SA"/>
      </w:rPr>
    </w:lvl>
    <w:lvl w:ilvl="3" w:tplc="0A829308">
      <w:numFmt w:val="bullet"/>
      <w:lvlText w:val="•"/>
      <w:lvlJc w:val="left"/>
      <w:pPr>
        <w:ind w:left="3520" w:hanging="864"/>
      </w:pPr>
      <w:rPr>
        <w:rFonts w:hint="default"/>
        <w:lang w:val="fr-FR" w:eastAsia="en-US" w:bidi="ar-SA"/>
      </w:rPr>
    </w:lvl>
    <w:lvl w:ilvl="4" w:tplc="3F725234">
      <w:numFmt w:val="bullet"/>
      <w:lvlText w:val="•"/>
      <w:lvlJc w:val="left"/>
      <w:pPr>
        <w:ind w:left="4354" w:hanging="864"/>
      </w:pPr>
      <w:rPr>
        <w:rFonts w:hint="default"/>
        <w:lang w:val="fr-FR" w:eastAsia="en-US" w:bidi="ar-SA"/>
      </w:rPr>
    </w:lvl>
    <w:lvl w:ilvl="5" w:tplc="EE7EF4DE">
      <w:numFmt w:val="bullet"/>
      <w:lvlText w:val="•"/>
      <w:lvlJc w:val="left"/>
      <w:pPr>
        <w:ind w:left="5188" w:hanging="864"/>
      </w:pPr>
      <w:rPr>
        <w:rFonts w:hint="default"/>
        <w:lang w:val="fr-FR" w:eastAsia="en-US" w:bidi="ar-SA"/>
      </w:rPr>
    </w:lvl>
    <w:lvl w:ilvl="6" w:tplc="88188916">
      <w:numFmt w:val="bullet"/>
      <w:lvlText w:val="•"/>
      <w:lvlJc w:val="left"/>
      <w:pPr>
        <w:ind w:left="6021" w:hanging="864"/>
      </w:pPr>
      <w:rPr>
        <w:rFonts w:hint="default"/>
        <w:lang w:val="fr-FR" w:eastAsia="en-US" w:bidi="ar-SA"/>
      </w:rPr>
    </w:lvl>
    <w:lvl w:ilvl="7" w:tplc="8F542010">
      <w:numFmt w:val="bullet"/>
      <w:lvlText w:val="•"/>
      <w:lvlJc w:val="left"/>
      <w:pPr>
        <w:ind w:left="6855" w:hanging="864"/>
      </w:pPr>
      <w:rPr>
        <w:rFonts w:hint="default"/>
        <w:lang w:val="fr-FR" w:eastAsia="en-US" w:bidi="ar-SA"/>
      </w:rPr>
    </w:lvl>
    <w:lvl w:ilvl="8" w:tplc="63762D5C">
      <w:numFmt w:val="bullet"/>
      <w:lvlText w:val="•"/>
      <w:lvlJc w:val="left"/>
      <w:pPr>
        <w:ind w:left="7689" w:hanging="864"/>
      </w:pPr>
      <w:rPr>
        <w:rFonts w:hint="default"/>
        <w:lang w:val="fr-FR" w:eastAsia="en-US" w:bidi="ar-SA"/>
      </w:rPr>
    </w:lvl>
  </w:abstractNum>
  <w:abstractNum w:abstractNumId="463" w15:restartNumberingAfterBreak="0">
    <w:nsid w:val="746A6771"/>
    <w:multiLevelType w:val="multilevel"/>
    <w:tmpl w:val="3F1EDA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4" w15:restartNumberingAfterBreak="0">
    <w:nsid w:val="74EB1F54"/>
    <w:multiLevelType w:val="hybridMultilevel"/>
    <w:tmpl w:val="E46A42B4"/>
    <w:lvl w:ilvl="0" w:tplc="040C000F">
      <w:start w:val="1"/>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5" w15:restartNumberingAfterBreak="0">
    <w:nsid w:val="751331BD"/>
    <w:multiLevelType w:val="hybridMultilevel"/>
    <w:tmpl w:val="FFFFFFFF"/>
    <w:lvl w:ilvl="0" w:tplc="B5DA1FD4">
      <w:start w:val="1"/>
      <w:numFmt w:val="lowerRoman"/>
      <w:lvlText w:val="(%1)"/>
      <w:lvlJc w:val="left"/>
      <w:pPr>
        <w:ind w:left="1478" w:hanging="720"/>
      </w:pPr>
      <w:rPr>
        <w:rFonts w:cs="Times New Roman" w:hint="default"/>
      </w:rPr>
    </w:lvl>
    <w:lvl w:ilvl="1" w:tplc="040C0019" w:tentative="1">
      <w:start w:val="1"/>
      <w:numFmt w:val="lowerLetter"/>
      <w:lvlText w:val="%2."/>
      <w:lvlJc w:val="left"/>
      <w:pPr>
        <w:ind w:left="1838" w:hanging="360"/>
      </w:pPr>
      <w:rPr>
        <w:rFonts w:cs="Times New Roman"/>
      </w:rPr>
    </w:lvl>
    <w:lvl w:ilvl="2" w:tplc="040C001B" w:tentative="1">
      <w:start w:val="1"/>
      <w:numFmt w:val="lowerRoman"/>
      <w:lvlText w:val="%3."/>
      <w:lvlJc w:val="right"/>
      <w:pPr>
        <w:ind w:left="2558" w:hanging="180"/>
      </w:pPr>
      <w:rPr>
        <w:rFonts w:cs="Times New Roman"/>
      </w:rPr>
    </w:lvl>
    <w:lvl w:ilvl="3" w:tplc="040C000F" w:tentative="1">
      <w:start w:val="1"/>
      <w:numFmt w:val="decimal"/>
      <w:lvlText w:val="%4."/>
      <w:lvlJc w:val="left"/>
      <w:pPr>
        <w:ind w:left="3278" w:hanging="360"/>
      </w:pPr>
      <w:rPr>
        <w:rFonts w:cs="Times New Roman"/>
      </w:rPr>
    </w:lvl>
    <w:lvl w:ilvl="4" w:tplc="040C0019" w:tentative="1">
      <w:start w:val="1"/>
      <w:numFmt w:val="lowerLetter"/>
      <w:lvlText w:val="%5."/>
      <w:lvlJc w:val="left"/>
      <w:pPr>
        <w:ind w:left="3998" w:hanging="360"/>
      </w:pPr>
      <w:rPr>
        <w:rFonts w:cs="Times New Roman"/>
      </w:rPr>
    </w:lvl>
    <w:lvl w:ilvl="5" w:tplc="040C001B" w:tentative="1">
      <w:start w:val="1"/>
      <w:numFmt w:val="lowerRoman"/>
      <w:lvlText w:val="%6."/>
      <w:lvlJc w:val="right"/>
      <w:pPr>
        <w:ind w:left="4718" w:hanging="180"/>
      </w:pPr>
      <w:rPr>
        <w:rFonts w:cs="Times New Roman"/>
      </w:rPr>
    </w:lvl>
    <w:lvl w:ilvl="6" w:tplc="040C000F" w:tentative="1">
      <w:start w:val="1"/>
      <w:numFmt w:val="decimal"/>
      <w:lvlText w:val="%7."/>
      <w:lvlJc w:val="left"/>
      <w:pPr>
        <w:ind w:left="5438" w:hanging="360"/>
      </w:pPr>
      <w:rPr>
        <w:rFonts w:cs="Times New Roman"/>
      </w:rPr>
    </w:lvl>
    <w:lvl w:ilvl="7" w:tplc="040C0019" w:tentative="1">
      <w:start w:val="1"/>
      <w:numFmt w:val="lowerLetter"/>
      <w:lvlText w:val="%8."/>
      <w:lvlJc w:val="left"/>
      <w:pPr>
        <w:ind w:left="6158" w:hanging="360"/>
      </w:pPr>
      <w:rPr>
        <w:rFonts w:cs="Times New Roman"/>
      </w:rPr>
    </w:lvl>
    <w:lvl w:ilvl="8" w:tplc="040C001B" w:tentative="1">
      <w:start w:val="1"/>
      <w:numFmt w:val="lowerRoman"/>
      <w:lvlText w:val="%9."/>
      <w:lvlJc w:val="right"/>
      <w:pPr>
        <w:ind w:left="6878" w:hanging="180"/>
      </w:pPr>
      <w:rPr>
        <w:rFonts w:cs="Times New Roman"/>
      </w:rPr>
    </w:lvl>
  </w:abstractNum>
  <w:abstractNum w:abstractNumId="466" w15:restartNumberingAfterBreak="0">
    <w:nsid w:val="75286291"/>
    <w:multiLevelType w:val="hybridMultilevel"/>
    <w:tmpl w:val="50E86D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7" w15:restartNumberingAfterBreak="0">
    <w:nsid w:val="75B90CC0"/>
    <w:multiLevelType w:val="hybridMultilevel"/>
    <w:tmpl w:val="B8BEF69A"/>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68" w15:restartNumberingAfterBreak="0">
    <w:nsid w:val="75FF0EF7"/>
    <w:multiLevelType w:val="hybridMultilevel"/>
    <w:tmpl w:val="00F4DF26"/>
    <w:lvl w:ilvl="0" w:tplc="51686032">
      <w:numFmt w:val="bullet"/>
      <w:lvlText w:val="-"/>
      <w:lvlJc w:val="left"/>
      <w:pPr>
        <w:ind w:left="360" w:hanging="360"/>
      </w:pPr>
      <w:rPr>
        <w:rFonts w:ascii="Bookman Old Style" w:eastAsia="Times New Roman" w:hAnsi="Bookman Old Style"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9" w15:restartNumberingAfterBreak="0">
    <w:nsid w:val="761B4683"/>
    <w:multiLevelType w:val="hybridMultilevel"/>
    <w:tmpl w:val="886640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0" w15:restartNumberingAfterBreak="0">
    <w:nsid w:val="761D7F5A"/>
    <w:multiLevelType w:val="hybridMultilevel"/>
    <w:tmpl w:val="419C584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1" w15:restartNumberingAfterBreak="0">
    <w:nsid w:val="76265017"/>
    <w:multiLevelType w:val="multilevel"/>
    <w:tmpl w:val="96246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2" w15:restartNumberingAfterBreak="0">
    <w:nsid w:val="76AB48BF"/>
    <w:multiLevelType w:val="hybridMultilevel"/>
    <w:tmpl w:val="308827B4"/>
    <w:lvl w:ilvl="0" w:tplc="8CC02560">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73" w15:restartNumberingAfterBreak="0">
    <w:nsid w:val="776816F7"/>
    <w:multiLevelType w:val="hybridMultilevel"/>
    <w:tmpl w:val="77E8A0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4" w15:restartNumberingAfterBreak="0">
    <w:nsid w:val="77721DCE"/>
    <w:multiLevelType w:val="hybridMultilevel"/>
    <w:tmpl w:val="52E805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5" w15:restartNumberingAfterBreak="0">
    <w:nsid w:val="77874D2C"/>
    <w:multiLevelType w:val="multilevel"/>
    <w:tmpl w:val="9B825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6" w15:restartNumberingAfterBreak="0">
    <w:nsid w:val="77900F10"/>
    <w:multiLevelType w:val="hybridMultilevel"/>
    <w:tmpl w:val="A0FC71B0"/>
    <w:lvl w:ilvl="0" w:tplc="B55AD540">
      <w:start w:val="1"/>
      <w:numFmt w:val="upperRoman"/>
      <w:lvlText w:val="%1."/>
      <w:lvlJc w:val="left"/>
      <w:pPr>
        <w:ind w:left="1080" w:hanging="720"/>
      </w:pPr>
      <w:rPr>
        <w:rFonts w:hint="default"/>
        <w:w w:val="95"/>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7" w15:restartNumberingAfterBreak="0">
    <w:nsid w:val="77B51DC6"/>
    <w:multiLevelType w:val="hybridMultilevel"/>
    <w:tmpl w:val="2D20AAE8"/>
    <w:lvl w:ilvl="0" w:tplc="C7A6A61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8" w15:restartNumberingAfterBreak="0">
    <w:nsid w:val="77E6778F"/>
    <w:multiLevelType w:val="hybridMultilevel"/>
    <w:tmpl w:val="6FF45F08"/>
    <w:lvl w:ilvl="0" w:tplc="2032A272">
      <w:numFmt w:val="bullet"/>
      <w:lvlText w:val="-"/>
      <w:lvlJc w:val="left"/>
      <w:pPr>
        <w:ind w:left="720" w:hanging="360"/>
      </w:pPr>
      <w:rPr>
        <w:rFonts w:ascii="Century Gothic" w:eastAsia="Tahoma" w:hAnsi="Century Gothic"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9" w15:restartNumberingAfterBreak="0">
    <w:nsid w:val="77FA76EC"/>
    <w:multiLevelType w:val="multilevel"/>
    <w:tmpl w:val="0D303D2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0" w15:restartNumberingAfterBreak="0">
    <w:nsid w:val="780644F7"/>
    <w:multiLevelType w:val="hybridMultilevel"/>
    <w:tmpl w:val="D8329D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1" w15:restartNumberingAfterBreak="0">
    <w:nsid w:val="786E53AF"/>
    <w:multiLevelType w:val="hybridMultilevel"/>
    <w:tmpl w:val="3B8614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2" w15:restartNumberingAfterBreak="0">
    <w:nsid w:val="78884B76"/>
    <w:multiLevelType w:val="hybridMultilevel"/>
    <w:tmpl w:val="FFFFFFFF"/>
    <w:lvl w:ilvl="0" w:tplc="721C2598">
      <w:start w:val="1"/>
      <w:numFmt w:val="bullet"/>
      <w:lvlText w:val="•"/>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BA8A10">
      <w:start w:val="1"/>
      <w:numFmt w:val="bullet"/>
      <w:lvlText w:val="o"/>
      <w:lvlJc w:val="left"/>
      <w:pPr>
        <w:ind w:left="1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284473C">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90F904">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B63E2A">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3A87A8">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089B48">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56B320">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EC6A9E">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3" w15:restartNumberingAfterBreak="0">
    <w:nsid w:val="7A37547F"/>
    <w:multiLevelType w:val="hybridMultilevel"/>
    <w:tmpl w:val="B8121A64"/>
    <w:lvl w:ilvl="0" w:tplc="6096F40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84" w15:restartNumberingAfterBreak="0">
    <w:nsid w:val="7A555D2E"/>
    <w:multiLevelType w:val="hybridMultilevel"/>
    <w:tmpl w:val="0A2E06E4"/>
    <w:lvl w:ilvl="0" w:tplc="400686FA">
      <w:start w:val="1"/>
      <w:numFmt w:val="decimal"/>
      <w:lvlText w:val="I. %1."/>
      <w:lvlJc w:val="left"/>
      <w:pPr>
        <w:tabs>
          <w:tab w:val="num" w:pos="1357"/>
        </w:tabs>
        <w:ind w:left="1357" w:hanging="360"/>
      </w:pPr>
      <w:rPr>
        <w:rFonts w:cs="Times New Roman" w:hint="default"/>
      </w:rPr>
    </w:lvl>
    <w:lvl w:ilvl="1" w:tplc="400686FA">
      <w:start w:val="1"/>
      <w:numFmt w:val="decimal"/>
      <w:lvlText w:val="I. %2."/>
      <w:lvlJc w:val="left"/>
      <w:pPr>
        <w:tabs>
          <w:tab w:val="num" w:pos="1440"/>
        </w:tabs>
        <w:ind w:left="1440" w:hanging="360"/>
      </w:pPr>
      <w:rPr>
        <w:rFonts w:cs="Times New Roman" w:hint="default"/>
      </w:rPr>
    </w:lvl>
    <w:lvl w:ilvl="2" w:tplc="1C1CBD26">
      <w:start w:val="1"/>
      <w:numFmt w:val="decimal"/>
      <w:lvlText w:val="4.4. %3."/>
      <w:lvlJc w:val="left"/>
      <w:pPr>
        <w:tabs>
          <w:tab w:val="num" w:pos="2340"/>
        </w:tabs>
        <w:ind w:left="2340" w:hanging="360"/>
      </w:pPr>
      <w:rPr>
        <w:rFonts w:cs="Times New Roman"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85" w15:restartNumberingAfterBreak="0">
    <w:nsid w:val="7A654FBC"/>
    <w:multiLevelType w:val="hybridMultilevel"/>
    <w:tmpl w:val="343C724E"/>
    <w:lvl w:ilvl="0" w:tplc="400686FA">
      <w:start w:val="1"/>
      <w:numFmt w:val="decimal"/>
      <w:lvlText w:val="I. %1."/>
      <w:lvlJc w:val="left"/>
      <w:pPr>
        <w:tabs>
          <w:tab w:val="num" w:pos="1357"/>
        </w:tabs>
        <w:ind w:left="1357" w:hanging="360"/>
      </w:pPr>
      <w:rPr>
        <w:rFonts w:cs="Times New Roman" w:hint="default"/>
      </w:rPr>
    </w:lvl>
    <w:lvl w:ilvl="1" w:tplc="400686FA">
      <w:start w:val="1"/>
      <w:numFmt w:val="decimal"/>
      <w:lvlText w:val="I. %2."/>
      <w:lvlJc w:val="left"/>
      <w:pPr>
        <w:tabs>
          <w:tab w:val="num" w:pos="1440"/>
        </w:tabs>
        <w:ind w:left="1440" w:hanging="360"/>
      </w:pPr>
      <w:rPr>
        <w:rFonts w:cs="Times New Roman" w:hint="default"/>
      </w:rPr>
    </w:lvl>
    <w:lvl w:ilvl="2" w:tplc="C53C08E0">
      <w:start w:val="1"/>
      <w:numFmt w:val="decimal"/>
      <w:lvlText w:val="3.2. %3."/>
      <w:lvlJc w:val="left"/>
      <w:pPr>
        <w:tabs>
          <w:tab w:val="num" w:pos="2340"/>
        </w:tabs>
        <w:ind w:left="2340" w:hanging="360"/>
      </w:pPr>
      <w:rPr>
        <w:rFonts w:cs="Times New Roman"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86" w15:restartNumberingAfterBreak="0">
    <w:nsid w:val="7AA02299"/>
    <w:multiLevelType w:val="hybridMultilevel"/>
    <w:tmpl w:val="06D213C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7" w15:restartNumberingAfterBreak="0">
    <w:nsid w:val="7AA568B8"/>
    <w:multiLevelType w:val="multilevel"/>
    <w:tmpl w:val="59B6346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8" w15:restartNumberingAfterBreak="0">
    <w:nsid w:val="7AD172F3"/>
    <w:multiLevelType w:val="hybridMultilevel"/>
    <w:tmpl w:val="919EBF36"/>
    <w:lvl w:ilvl="0" w:tplc="FFFFFFFF">
      <w:start w:val="1"/>
      <w:numFmt w:val="decimal"/>
      <w:lvlText w:val="%1."/>
      <w:lvlJc w:val="left"/>
      <w:pPr>
        <w:ind w:left="720" w:hanging="360"/>
      </w:pPr>
      <w:rPr>
        <w:rFonts w:hint="default"/>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9" w15:restartNumberingAfterBreak="0">
    <w:nsid w:val="7AE0278D"/>
    <w:multiLevelType w:val="hybridMultilevel"/>
    <w:tmpl w:val="33A6C3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0" w15:restartNumberingAfterBreak="0">
    <w:nsid w:val="7AE44CE3"/>
    <w:multiLevelType w:val="hybridMultilevel"/>
    <w:tmpl w:val="A878AC58"/>
    <w:lvl w:ilvl="0" w:tplc="03869164">
      <w:numFmt w:val="bullet"/>
      <w:lvlText w:val="-"/>
      <w:lvlJc w:val="left"/>
      <w:pPr>
        <w:ind w:left="720" w:hanging="360"/>
      </w:pPr>
      <w:rPr>
        <w:rFonts w:ascii="Calibri" w:eastAsia="Calibri" w:hAnsi="Calibri" w:cs="Aria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1" w15:restartNumberingAfterBreak="0">
    <w:nsid w:val="7AF43065"/>
    <w:multiLevelType w:val="multilevel"/>
    <w:tmpl w:val="89CE4F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7B9F64FC"/>
    <w:multiLevelType w:val="hybridMultilevel"/>
    <w:tmpl w:val="D5BAC8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3" w15:restartNumberingAfterBreak="0">
    <w:nsid w:val="7BA82116"/>
    <w:multiLevelType w:val="multilevel"/>
    <w:tmpl w:val="B47A24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7BD02775"/>
    <w:multiLevelType w:val="hybridMultilevel"/>
    <w:tmpl w:val="EC7267AC"/>
    <w:lvl w:ilvl="0" w:tplc="5262E3DE">
      <w:start w:val="1"/>
      <w:numFmt w:val="decimal"/>
      <w:lvlText w:val="%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5" w15:restartNumberingAfterBreak="0">
    <w:nsid w:val="7C6B739A"/>
    <w:multiLevelType w:val="multilevel"/>
    <w:tmpl w:val="51583528"/>
    <w:lvl w:ilvl="0">
      <w:start w:val="1"/>
      <w:numFmt w:val="decimal"/>
      <w:lvlText w:val="%1."/>
      <w:lvlJc w:val="left"/>
      <w:pPr>
        <w:ind w:left="1702" w:hanging="284"/>
        <w:jc w:val="right"/>
      </w:pPr>
      <w:rPr>
        <w:rFonts w:hint="default"/>
        <w:spacing w:val="0"/>
        <w:w w:val="99"/>
        <w:lang w:val="fr-FR" w:eastAsia="en-US" w:bidi="ar-SA"/>
      </w:rPr>
    </w:lvl>
    <w:lvl w:ilvl="1">
      <w:start w:val="1"/>
      <w:numFmt w:val="decimal"/>
      <w:lvlText w:val="%1.%2"/>
      <w:lvlJc w:val="left"/>
      <w:pPr>
        <w:ind w:left="1778" w:hanging="360"/>
      </w:pPr>
      <w:rPr>
        <w:rFonts w:hint="default"/>
        <w:spacing w:val="0"/>
        <w:w w:val="100"/>
        <w:lang w:val="fr-FR" w:eastAsia="en-US" w:bidi="ar-SA"/>
      </w:rPr>
    </w:lvl>
    <w:lvl w:ilvl="2">
      <w:start w:val="1"/>
      <w:numFmt w:val="decimal"/>
      <w:lvlText w:val="%1.%2.%3"/>
      <w:lvlJc w:val="left"/>
      <w:pPr>
        <w:ind w:left="1915" w:hanging="497"/>
      </w:pPr>
      <w:rPr>
        <w:rFonts w:hint="default"/>
        <w:spacing w:val="0"/>
        <w:w w:val="100"/>
        <w:lang w:val="fr-FR" w:eastAsia="en-US" w:bidi="ar-SA"/>
      </w:rPr>
    </w:lvl>
    <w:lvl w:ilvl="3">
      <w:numFmt w:val="bullet"/>
      <w:lvlText w:val=""/>
      <w:lvlJc w:val="left"/>
      <w:pPr>
        <w:ind w:left="2139" w:hanging="497"/>
      </w:pPr>
      <w:rPr>
        <w:rFonts w:ascii="Wingdings" w:eastAsia="Wingdings" w:hAnsi="Wingdings" w:cs="Wingdings" w:hint="default"/>
        <w:b w:val="0"/>
        <w:bCs w:val="0"/>
        <w:i w:val="0"/>
        <w:iCs w:val="0"/>
        <w:spacing w:val="0"/>
        <w:w w:val="100"/>
        <w:sz w:val="22"/>
        <w:szCs w:val="22"/>
        <w:lang w:val="fr-FR" w:eastAsia="en-US" w:bidi="ar-SA"/>
      </w:rPr>
    </w:lvl>
    <w:lvl w:ilvl="4">
      <w:numFmt w:val="bullet"/>
      <w:lvlText w:val="•"/>
      <w:lvlJc w:val="left"/>
      <w:pPr>
        <w:ind w:left="2140" w:hanging="497"/>
      </w:pPr>
      <w:rPr>
        <w:rFonts w:hint="default"/>
        <w:lang w:val="fr-FR" w:eastAsia="en-US" w:bidi="ar-SA"/>
      </w:rPr>
    </w:lvl>
    <w:lvl w:ilvl="5">
      <w:numFmt w:val="bullet"/>
      <w:lvlText w:val="•"/>
      <w:lvlJc w:val="left"/>
      <w:pPr>
        <w:ind w:left="3767" w:hanging="497"/>
      </w:pPr>
      <w:rPr>
        <w:rFonts w:hint="default"/>
        <w:lang w:val="fr-FR" w:eastAsia="en-US" w:bidi="ar-SA"/>
      </w:rPr>
    </w:lvl>
    <w:lvl w:ilvl="6">
      <w:numFmt w:val="bullet"/>
      <w:lvlText w:val="•"/>
      <w:lvlJc w:val="left"/>
      <w:pPr>
        <w:ind w:left="5395" w:hanging="497"/>
      </w:pPr>
      <w:rPr>
        <w:rFonts w:hint="default"/>
        <w:lang w:val="fr-FR" w:eastAsia="en-US" w:bidi="ar-SA"/>
      </w:rPr>
    </w:lvl>
    <w:lvl w:ilvl="7">
      <w:numFmt w:val="bullet"/>
      <w:lvlText w:val="•"/>
      <w:lvlJc w:val="left"/>
      <w:pPr>
        <w:ind w:left="7022" w:hanging="497"/>
      </w:pPr>
      <w:rPr>
        <w:rFonts w:hint="default"/>
        <w:lang w:val="fr-FR" w:eastAsia="en-US" w:bidi="ar-SA"/>
      </w:rPr>
    </w:lvl>
    <w:lvl w:ilvl="8">
      <w:numFmt w:val="bullet"/>
      <w:lvlText w:val="•"/>
      <w:lvlJc w:val="left"/>
      <w:pPr>
        <w:ind w:left="8650" w:hanging="497"/>
      </w:pPr>
      <w:rPr>
        <w:rFonts w:hint="default"/>
        <w:lang w:val="fr-FR" w:eastAsia="en-US" w:bidi="ar-SA"/>
      </w:rPr>
    </w:lvl>
  </w:abstractNum>
  <w:abstractNum w:abstractNumId="496" w15:restartNumberingAfterBreak="0">
    <w:nsid w:val="7C7B461E"/>
    <w:multiLevelType w:val="hybridMultilevel"/>
    <w:tmpl w:val="642A3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7" w15:restartNumberingAfterBreak="0">
    <w:nsid w:val="7CAF190B"/>
    <w:multiLevelType w:val="hybridMultilevel"/>
    <w:tmpl w:val="7A0C8A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8" w15:restartNumberingAfterBreak="0">
    <w:nsid w:val="7CB50DC2"/>
    <w:multiLevelType w:val="multilevel"/>
    <w:tmpl w:val="D554AC8E"/>
    <w:lvl w:ilvl="0">
      <w:start w:val="1"/>
      <w:numFmt w:val="upperRoman"/>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99" w15:restartNumberingAfterBreak="0">
    <w:nsid w:val="7D0508D8"/>
    <w:multiLevelType w:val="hybridMultilevel"/>
    <w:tmpl w:val="C9880C58"/>
    <w:lvl w:ilvl="0" w:tplc="2BBC3AD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0" w15:restartNumberingAfterBreak="0">
    <w:nsid w:val="7D196E2E"/>
    <w:multiLevelType w:val="hybridMultilevel"/>
    <w:tmpl w:val="3DBA8EE0"/>
    <w:lvl w:ilvl="0" w:tplc="0409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01" w15:restartNumberingAfterBreak="0">
    <w:nsid w:val="7D446091"/>
    <w:multiLevelType w:val="hybridMultilevel"/>
    <w:tmpl w:val="CD967798"/>
    <w:lvl w:ilvl="0" w:tplc="8F149784">
      <w:start w:val="1"/>
      <w:numFmt w:val="upperRoman"/>
      <w:lvlText w:val="%1."/>
      <w:lvlJc w:val="left"/>
      <w:pPr>
        <w:ind w:left="875" w:hanging="358"/>
        <w:jc w:val="right"/>
      </w:pPr>
      <w:rPr>
        <w:rFonts w:ascii="Calibri Light" w:eastAsia="Calibri Light" w:hAnsi="Calibri Light" w:cs="Calibri Light" w:hint="default"/>
        <w:b w:val="0"/>
        <w:bCs w:val="0"/>
        <w:i w:val="0"/>
        <w:iCs w:val="0"/>
        <w:color w:val="2D74B5"/>
        <w:spacing w:val="0"/>
        <w:w w:val="100"/>
        <w:sz w:val="28"/>
        <w:szCs w:val="28"/>
        <w:lang w:val="fr-FR" w:eastAsia="en-US" w:bidi="ar-SA"/>
      </w:rPr>
    </w:lvl>
    <w:lvl w:ilvl="1" w:tplc="33EC512E">
      <w:start w:val="1"/>
      <w:numFmt w:val="decimal"/>
      <w:lvlText w:val="%2."/>
      <w:lvlJc w:val="left"/>
      <w:pPr>
        <w:ind w:left="950" w:hanging="360"/>
      </w:pPr>
      <w:rPr>
        <w:rFonts w:ascii="Calibri" w:eastAsia="Calibri" w:hAnsi="Calibri" w:cs="Calibri" w:hint="default"/>
        <w:b w:val="0"/>
        <w:bCs w:val="0"/>
        <w:i w:val="0"/>
        <w:iCs w:val="0"/>
        <w:spacing w:val="0"/>
        <w:w w:val="100"/>
        <w:sz w:val="24"/>
        <w:szCs w:val="24"/>
        <w:lang w:val="fr-FR" w:eastAsia="en-US" w:bidi="ar-SA"/>
      </w:rPr>
    </w:lvl>
    <w:lvl w:ilvl="2" w:tplc="A1CCC23E">
      <w:numFmt w:val="bullet"/>
      <w:lvlText w:val="•"/>
      <w:lvlJc w:val="left"/>
      <w:pPr>
        <w:ind w:left="1987" w:hanging="360"/>
      </w:pPr>
      <w:rPr>
        <w:rFonts w:hint="default"/>
        <w:lang w:val="fr-FR" w:eastAsia="en-US" w:bidi="ar-SA"/>
      </w:rPr>
    </w:lvl>
    <w:lvl w:ilvl="3" w:tplc="3EE2CA04">
      <w:numFmt w:val="bullet"/>
      <w:lvlText w:val="•"/>
      <w:lvlJc w:val="left"/>
      <w:pPr>
        <w:ind w:left="3014" w:hanging="360"/>
      </w:pPr>
      <w:rPr>
        <w:rFonts w:hint="default"/>
        <w:lang w:val="fr-FR" w:eastAsia="en-US" w:bidi="ar-SA"/>
      </w:rPr>
    </w:lvl>
    <w:lvl w:ilvl="4" w:tplc="7F8218D4">
      <w:numFmt w:val="bullet"/>
      <w:lvlText w:val="•"/>
      <w:lvlJc w:val="left"/>
      <w:pPr>
        <w:ind w:left="4042" w:hanging="360"/>
      </w:pPr>
      <w:rPr>
        <w:rFonts w:hint="default"/>
        <w:lang w:val="fr-FR" w:eastAsia="en-US" w:bidi="ar-SA"/>
      </w:rPr>
    </w:lvl>
    <w:lvl w:ilvl="5" w:tplc="CD3E62F8">
      <w:numFmt w:val="bullet"/>
      <w:lvlText w:val="•"/>
      <w:lvlJc w:val="left"/>
      <w:pPr>
        <w:ind w:left="5069" w:hanging="360"/>
      </w:pPr>
      <w:rPr>
        <w:rFonts w:hint="default"/>
        <w:lang w:val="fr-FR" w:eastAsia="en-US" w:bidi="ar-SA"/>
      </w:rPr>
    </w:lvl>
    <w:lvl w:ilvl="6" w:tplc="21AE953A">
      <w:numFmt w:val="bullet"/>
      <w:lvlText w:val="•"/>
      <w:lvlJc w:val="left"/>
      <w:pPr>
        <w:ind w:left="6096" w:hanging="360"/>
      </w:pPr>
      <w:rPr>
        <w:rFonts w:hint="default"/>
        <w:lang w:val="fr-FR" w:eastAsia="en-US" w:bidi="ar-SA"/>
      </w:rPr>
    </w:lvl>
    <w:lvl w:ilvl="7" w:tplc="742087F8">
      <w:numFmt w:val="bullet"/>
      <w:lvlText w:val="•"/>
      <w:lvlJc w:val="left"/>
      <w:pPr>
        <w:ind w:left="7124" w:hanging="360"/>
      </w:pPr>
      <w:rPr>
        <w:rFonts w:hint="default"/>
        <w:lang w:val="fr-FR" w:eastAsia="en-US" w:bidi="ar-SA"/>
      </w:rPr>
    </w:lvl>
    <w:lvl w:ilvl="8" w:tplc="BF8AB66A">
      <w:numFmt w:val="bullet"/>
      <w:lvlText w:val="•"/>
      <w:lvlJc w:val="left"/>
      <w:pPr>
        <w:ind w:left="8151" w:hanging="360"/>
      </w:pPr>
      <w:rPr>
        <w:rFonts w:hint="default"/>
        <w:lang w:val="fr-FR" w:eastAsia="en-US" w:bidi="ar-SA"/>
      </w:rPr>
    </w:lvl>
  </w:abstractNum>
  <w:abstractNum w:abstractNumId="502" w15:restartNumberingAfterBreak="0">
    <w:nsid w:val="7D4D4434"/>
    <w:multiLevelType w:val="hybridMultilevel"/>
    <w:tmpl w:val="82FC9F58"/>
    <w:lvl w:ilvl="0" w:tplc="8ED06084">
      <w:start w:val="1"/>
      <w:numFmt w:val="decimal"/>
      <w:lvlText w:val="1. %1."/>
      <w:lvlJc w:val="left"/>
      <w:pPr>
        <w:tabs>
          <w:tab w:val="num" w:pos="1357"/>
        </w:tabs>
        <w:ind w:left="1357" w:hanging="360"/>
      </w:pPr>
      <w:rPr>
        <w:rFonts w:cs="Times New Roman"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03" w15:restartNumberingAfterBreak="0">
    <w:nsid w:val="7D66060A"/>
    <w:multiLevelType w:val="hybridMultilevel"/>
    <w:tmpl w:val="FFFFFFFF"/>
    <w:lvl w:ilvl="0" w:tplc="B6C8CA8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D8C36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6AF30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A07B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3EEE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0469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7CA17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926D4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B401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4" w15:restartNumberingAfterBreak="0">
    <w:nsid w:val="7DF73BE3"/>
    <w:multiLevelType w:val="hybridMultilevel"/>
    <w:tmpl w:val="FFFFFFFF"/>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505" w15:restartNumberingAfterBreak="0">
    <w:nsid w:val="7E420456"/>
    <w:multiLevelType w:val="multilevel"/>
    <w:tmpl w:val="F61C3A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6" w15:restartNumberingAfterBreak="0">
    <w:nsid w:val="7E5E1D6D"/>
    <w:multiLevelType w:val="hybridMultilevel"/>
    <w:tmpl w:val="FFFFFFFF"/>
    <w:lvl w:ilvl="0" w:tplc="310AC68C">
      <w:start w:val="1"/>
      <w:numFmt w:val="lowerLetter"/>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685B2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EE9C7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BCC40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9046D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F8643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3EA51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3641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1443C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7" w15:restartNumberingAfterBreak="0">
    <w:nsid w:val="7F372779"/>
    <w:multiLevelType w:val="hybridMultilevel"/>
    <w:tmpl w:val="06B23F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8" w15:restartNumberingAfterBreak="0">
    <w:nsid w:val="7F4B2ED6"/>
    <w:multiLevelType w:val="hybridMultilevel"/>
    <w:tmpl w:val="2AAC8F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9" w15:restartNumberingAfterBreak="0">
    <w:nsid w:val="7F6063E6"/>
    <w:multiLevelType w:val="hybridMultilevel"/>
    <w:tmpl w:val="6C4E7C22"/>
    <w:lvl w:ilvl="0" w:tplc="03869164">
      <w:numFmt w:val="bullet"/>
      <w:lvlText w:val="-"/>
      <w:lvlJc w:val="left"/>
      <w:pPr>
        <w:ind w:left="502" w:hanging="360"/>
      </w:pPr>
      <w:rPr>
        <w:rFonts w:ascii="Calibri" w:eastAsiaTheme="minorHAnsi" w:hAnsi="Calibri" w:cs="Arial" w:hint="default"/>
        <w:sz w:val="2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510" w15:restartNumberingAfterBreak="0">
    <w:nsid w:val="7F803201"/>
    <w:multiLevelType w:val="hybridMultilevel"/>
    <w:tmpl w:val="16FE85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1" w15:restartNumberingAfterBreak="0">
    <w:nsid w:val="7F8F634A"/>
    <w:multiLevelType w:val="hybridMultilevel"/>
    <w:tmpl w:val="D49622AA"/>
    <w:lvl w:ilvl="0" w:tplc="FFA030DC">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2" w15:restartNumberingAfterBreak="0">
    <w:nsid w:val="7FCE4DB2"/>
    <w:multiLevelType w:val="hybridMultilevel"/>
    <w:tmpl w:val="FFFFFFFF"/>
    <w:lvl w:ilvl="0" w:tplc="9E2EBB36">
      <w:start w:val="1"/>
      <w:numFmt w:val="lowerRoman"/>
      <w:lvlText w:val="(%1)"/>
      <w:lvlJc w:val="left"/>
      <w:pPr>
        <w:ind w:left="720" w:hanging="360"/>
      </w:pPr>
      <w:rPr>
        <w:rFonts w:ascii="Calibri" w:eastAsia="Times New Roman" w:hAnsi="Calibri"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513" w15:restartNumberingAfterBreak="0">
    <w:nsid w:val="7FD26CC4"/>
    <w:multiLevelType w:val="hybridMultilevel"/>
    <w:tmpl w:val="0C56C172"/>
    <w:lvl w:ilvl="0" w:tplc="E70EA8F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51460459">
    <w:abstractNumId w:val="493"/>
  </w:num>
  <w:num w:numId="2" w16cid:durableId="1691881266">
    <w:abstractNumId w:val="426"/>
  </w:num>
  <w:num w:numId="3" w16cid:durableId="258097789">
    <w:abstractNumId w:val="470"/>
  </w:num>
  <w:num w:numId="4" w16cid:durableId="85543868">
    <w:abstractNumId w:val="112"/>
  </w:num>
  <w:num w:numId="5" w16cid:durableId="1228568989">
    <w:abstractNumId w:val="326"/>
  </w:num>
  <w:num w:numId="6" w16cid:durableId="1250655400">
    <w:abstractNumId w:val="392"/>
  </w:num>
  <w:num w:numId="7" w16cid:durableId="112134555">
    <w:abstractNumId w:val="145"/>
  </w:num>
  <w:num w:numId="8" w16cid:durableId="1435905504">
    <w:abstractNumId w:val="409"/>
  </w:num>
  <w:num w:numId="9" w16cid:durableId="517694360">
    <w:abstractNumId w:val="219"/>
  </w:num>
  <w:num w:numId="10" w16cid:durableId="10766338">
    <w:abstractNumId w:val="513"/>
  </w:num>
  <w:num w:numId="11" w16cid:durableId="2047096338">
    <w:abstractNumId w:val="395"/>
  </w:num>
  <w:num w:numId="12" w16cid:durableId="168326766">
    <w:abstractNumId w:val="7"/>
  </w:num>
  <w:num w:numId="13" w16cid:durableId="1292247045">
    <w:abstractNumId w:val="481"/>
  </w:num>
  <w:num w:numId="14" w16cid:durableId="446659381">
    <w:abstractNumId w:val="390"/>
  </w:num>
  <w:num w:numId="15" w16cid:durableId="842401342">
    <w:abstractNumId w:val="83"/>
  </w:num>
  <w:num w:numId="16" w16cid:durableId="1811050234">
    <w:abstractNumId w:val="424"/>
  </w:num>
  <w:num w:numId="17" w16cid:durableId="1263610767">
    <w:abstractNumId w:val="140"/>
  </w:num>
  <w:num w:numId="18" w16cid:durableId="678311490">
    <w:abstractNumId w:val="150"/>
  </w:num>
  <w:num w:numId="19" w16cid:durableId="1907839529">
    <w:abstractNumId w:val="181"/>
  </w:num>
  <w:num w:numId="20" w16cid:durableId="1983463654">
    <w:abstractNumId w:val="486"/>
  </w:num>
  <w:num w:numId="21" w16cid:durableId="1534610961">
    <w:abstractNumId w:val="225"/>
  </w:num>
  <w:num w:numId="22" w16cid:durableId="93676594">
    <w:abstractNumId w:val="241"/>
  </w:num>
  <w:num w:numId="23" w16cid:durableId="594899049">
    <w:abstractNumId w:val="354"/>
  </w:num>
  <w:num w:numId="24" w16cid:durableId="791703531">
    <w:abstractNumId w:val="45"/>
  </w:num>
  <w:num w:numId="25" w16cid:durableId="154880369">
    <w:abstractNumId w:val="47"/>
  </w:num>
  <w:num w:numId="26" w16cid:durableId="1673609413">
    <w:abstractNumId w:val="222"/>
  </w:num>
  <w:num w:numId="27" w16cid:durableId="892546445">
    <w:abstractNumId w:val="208"/>
  </w:num>
  <w:num w:numId="28" w16cid:durableId="259917189">
    <w:abstractNumId w:val="431"/>
  </w:num>
  <w:num w:numId="29" w16cid:durableId="2047675523">
    <w:abstractNumId w:val="159"/>
  </w:num>
  <w:num w:numId="30" w16cid:durableId="516164582">
    <w:abstractNumId w:val="393"/>
  </w:num>
  <w:num w:numId="31" w16cid:durableId="963729415">
    <w:abstractNumId w:val="85"/>
  </w:num>
  <w:num w:numId="32" w16cid:durableId="1360931522">
    <w:abstractNumId w:val="297"/>
  </w:num>
  <w:num w:numId="33" w16cid:durableId="420681996">
    <w:abstractNumId w:val="299"/>
  </w:num>
  <w:num w:numId="34" w16cid:durableId="70128120">
    <w:abstractNumId w:val="478"/>
  </w:num>
  <w:num w:numId="35" w16cid:durableId="410473493">
    <w:abstractNumId w:val="23"/>
  </w:num>
  <w:num w:numId="36" w16cid:durableId="1878197906">
    <w:abstractNumId w:val="348"/>
  </w:num>
  <w:num w:numId="37" w16cid:durableId="1306013144">
    <w:abstractNumId w:val="107"/>
  </w:num>
  <w:num w:numId="38" w16cid:durableId="1969192476">
    <w:abstractNumId w:val="240"/>
  </w:num>
  <w:num w:numId="39" w16cid:durableId="1186946622">
    <w:abstractNumId w:val="102"/>
  </w:num>
  <w:num w:numId="40" w16cid:durableId="718162238">
    <w:abstractNumId w:val="178"/>
  </w:num>
  <w:num w:numId="41" w16cid:durableId="479929646">
    <w:abstractNumId w:val="61"/>
  </w:num>
  <w:num w:numId="42" w16cid:durableId="277370933">
    <w:abstractNumId w:val="507"/>
  </w:num>
  <w:num w:numId="43" w16cid:durableId="1159272292">
    <w:abstractNumId w:val="236"/>
  </w:num>
  <w:num w:numId="44" w16cid:durableId="36856210">
    <w:abstractNumId w:val="114"/>
  </w:num>
  <w:num w:numId="45" w16cid:durableId="1625042450">
    <w:abstractNumId w:val="443"/>
  </w:num>
  <w:num w:numId="46" w16cid:durableId="742685327">
    <w:abstractNumId w:val="455"/>
  </w:num>
  <w:num w:numId="47" w16cid:durableId="529731567">
    <w:abstractNumId w:val="84"/>
  </w:num>
  <w:num w:numId="48" w16cid:durableId="2141338658">
    <w:abstractNumId w:val="95"/>
  </w:num>
  <w:num w:numId="49" w16cid:durableId="669648078">
    <w:abstractNumId w:val="453"/>
  </w:num>
  <w:num w:numId="50" w16cid:durableId="344291397">
    <w:abstractNumId w:val="143"/>
  </w:num>
  <w:num w:numId="51" w16cid:durableId="870461486">
    <w:abstractNumId w:val="195"/>
  </w:num>
  <w:num w:numId="52" w16cid:durableId="603001403">
    <w:abstractNumId w:val="328"/>
  </w:num>
  <w:num w:numId="53" w16cid:durableId="317147377">
    <w:abstractNumId w:val="148"/>
  </w:num>
  <w:num w:numId="54" w16cid:durableId="105194693">
    <w:abstractNumId w:val="131"/>
  </w:num>
  <w:num w:numId="55" w16cid:durableId="1208180623">
    <w:abstractNumId w:val="313"/>
  </w:num>
  <w:num w:numId="56" w16cid:durableId="721027959">
    <w:abstractNumId w:val="290"/>
  </w:num>
  <w:num w:numId="57" w16cid:durableId="575013051">
    <w:abstractNumId w:val="200"/>
  </w:num>
  <w:num w:numId="58" w16cid:durableId="855266238">
    <w:abstractNumId w:val="41"/>
  </w:num>
  <w:num w:numId="59" w16cid:durableId="1943105365">
    <w:abstractNumId w:val="270"/>
  </w:num>
  <w:num w:numId="60" w16cid:durableId="1410082175">
    <w:abstractNumId w:val="279"/>
  </w:num>
  <w:num w:numId="61" w16cid:durableId="932739293">
    <w:abstractNumId w:val="228"/>
  </w:num>
  <w:num w:numId="62" w16cid:durableId="391394351">
    <w:abstractNumId w:val="497"/>
  </w:num>
  <w:num w:numId="63" w16cid:durableId="1570070689">
    <w:abstractNumId w:val="311"/>
  </w:num>
  <w:num w:numId="64" w16cid:durableId="966856776">
    <w:abstractNumId w:val="86"/>
  </w:num>
  <w:num w:numId="65" w16cid:durableId="1354572191">
    <w:abstractNumId w:val="74"/>
  </w:num>
  <w:num w:numId="66" w16cid:durableId="180751183">
    <w:abstractNumId w:val="261"/>
  </w:num>
  <w:num w:numId="67" w16cid:durableId="2023167391">
    <w:abstractNumId w:val="160"/>
  </w:num>
  <w:num w:numId="68" w16cid:durableId="721296425">
    <w:abstractNumId w:val="462"/>
  </w:num>
  <w:num w:numId="69" w16cid:durableId="165638090">
    <w:abstractNumId w:val="216"/>
  </w:num>
  <w:num w:numId="70" w16cid:durableId="1899198649">
    <w:abstractNumId w:val="336"/>
  </w:num>
  <w:num w:numId="71" w16cid:durableId="594897446">
    <w:abstractNumId w:val="51"/>
  </w:num>
  <w:num w:numId="72" w16cid:durableId="1332877913">
    <w:abstractNumId w:val="174"/>
  </w:num>
  <w:num w:numId="73" w16cid:durableId="2062828398">
    <w:abstractNumId w:val="252"/>
  </w:num>
  <w:num w:numId="74" w16cid:durableId="306016526">
    <w:abstractNumId w:val="183"/>
  </w:num>
  <w:num w:numId="75" w16cid:durableId="32661310">
    <w:abstractNumId w:val="414"/>
  </w:num>
  <w:num w:numId="76" w16cid:durableId="596520101">
    <w:abstractNumId w:val="288"/>
  </w:num>
  <w:num w:numId="77" w16cid:durableId="1789467690">
    <w:abstractNumId w:val="151"/>
  </w:num>
  <w:num w:numId="78" w16cid:durableId="712972144">
    <w:abstractNumId w:val="312"/>
  </w:num>
  <w:num w:numId="79" w16cid:durableId="1206406083">
    <w:abstractNumId w:val="418"/>
  </w:num>
  <w:num w:numId="80" w16cid:durableId="1087729852">
    <w:abstractNumId w:val="46"/>
  </w:num>
  <w:num w:numId="81" w16cid:durableId="516772797">
    <w:abstractNumId w:val="367"/>
  </w:num>
  <w:num w:numId="82" w16cid:durableId="1236163712">
    <w:abstractNumId w:val="306"/>
  </w:num>
  <w:num w:numId="83" w16cid:durableId="1468551436">
    <w:abstractNumId w:val="303"/>
  </w:num>
  <w:num w:numId="84" w16cid:durableId="4986949">
    <w:abstractNumId w:val="280"/>
  </w:num>
  <w:num w:numId="85" w16cid:durableId="1740709790">
    <w:abstractNumId w:val="232"/>
  </w:num>
  <w:num w:numId="86" w16cid:durableId="1204094936">
    <w:abstractNumId w:val="282"/>
  </w:num>
  <w:num w:numId="87" w16cid:durableId="1608073894">
    <w:abstractNumId w:val="347"/>
  </w:num>
  <w:num w:numId="88" w16cid:durableId="844438412">
    <w:abstractNumId w:val="258"/>
  </w:num>
  <w:num w:numId="89" w16cid:durableId="1743021536">
    <w:abstractNumId w:val="56"/>
  </w:num>
  <w:num w:numId="90" w16cid:durableId="1265307132">
    <w:abstractNumId w:val="391"/>
  </w:num>
  <w:num w:numId="91" w16cid:durableId="406390857">
    <w:abstractNumId w:val="239"/>
  </w:num>
  <w:num w:numId="92" w16cid:durableId="801505435">
    <w:abstractNumId w:val="305"/>
  </w:num>
  <w:num w:numId="93" w16cid:durableId="1847859668">
    <w:abstractNumId w:val="335"/>
  </w:num>
  <w:num w:numId="94" w16cid:durableId="962736953">
    <w:abstractNumId w:val="295"/>
  </w:num>
  <w:num w:numId="95" w16cid:durableId="1285043962">
    <w:abstractNumId w:val="410"/>
  </w:num>
  <w:num w:numId="96" w16cid:durableId="1471704112">
    <w:abstractNumId w:val="197"/>
  </w:num>
  <w:num w:numId="97" w16cid:durableId="1824394207">
    <w:abstractNumId w:val="67"/>
  </w:num>
  <w:num w:numId="98" w16cid:durableId="1908224493">
    <w:abstractNumId w:val="101"/>
  </w:num>
  <w:num w:numId="99" w16cid:durableId="173691740">
    <w:abstractNumId w:val="158"/>
  </w:num>
  <w:num w:numId="100" w16cid:durableId="770466331">
    <w:abstractNumId w:val="461"/>
  </w:num>
  <w:num w:numId="101" w16cid:durableId="258760577">
    <w:abstractNumId w:val="341"/>
  </w:num>
  <w:num w:numId="102" w16cid:durableId="1831365307">
    <w:abstractNumId w:val="54"/>
  </w:num>
  <w:num w:numId="103" w16cid:durableId="9987025">
    <w:abstractNumId w:val="379"/>
  </w:num>
  <w:num w:numId="104" w16cid:durableId="1930656888">
    <w:abstractNumId w:val="211"/>
  </w:num>
  <w:num w:numId="105" w16cid:durableId="244843326">
    <w:abstractNumId w:val="372"/>
  </w:num>
  <w:num w:numId="106" w16cid:durableId="1705713831">
    <w:abstractNumId w:val="362"/>
  </w:num>
  <w:num w:numId="107" w16cid:durableId="1444375589">
    <w:abstractNumId w:val="483"/>
  </w:num>
  <w:num w:numId="108" w16cid:durableId="1579749096">
    <w:abstractNumId w:val="214"/>
  </w:num>
  <w:num w:numId="109" w16cid:durableId="539171083">
    <w:abstractNumId w:val="339"/>
  </w:num>
  <w:num w:numId="110" w16cid:durableId="1890802227">
    <w:abstractNumId w:val="122"/>
  </w:num>
  <w:num w:numId="111" w16cid:durableId="1896238756">
    <w:abstractNumId w:val="137"/>
  </w:num>
  <w:num w:numId="112" w16cid:durableId="2035568054">
    <w:abstractNumId w:val="130"/>
  </w:num>
  <w:num w:numId="113" w16cid:durableId="1493332618">
    <w:abstractNumId w:val="509"/>
  </w:num>
  <w:num w:numId="114" w16cid:durableId="1918131009">
    <w:abstractNumId w:val="383"/>
  </w:num>
  <w:num w:numId="115" w16cid:durableId="1938172943">
    <w:abstractNumId w:val="361"/>
  </w:num>
  <w:num w:numId="116" w16cid:durableId="807238797">
    <w:abstractNumId w:val="358"/>
  </w:num>
  <w:num w:numId="117" w16cid:durableId="694504392">
    <w:abstractNumId w:val="155"/>
  </w:num>
  <w:num w:numId="118" w16cid:durableId="613634610">
    <w:abstractNumId w:val="12"/>
  </w:num>
  <w:num w:numId="119" w16cid:durableId="1158838143">
    <w:abstractNumId w:val="489"/>
  </w:num>
  <w:num w:numId="120" w16cid:durableId="1256135162">
    <w:abstractNumId w:val="411"/>
  </w:num>
  <w:num w:numId="121" w16cid:durableId="731929052">
    <w:abstractNumId w:val="314"/>
  </w:num>
  <w:num w:numId="122" w16cid:durableId="1343970234">
    <w:abstractNumId w:val="289"/>
  </w:num>
  <w:num w:numId="123" w16cid:durableId="913441896">
    <w:abstractNumId w:val="345"/>
  </w:num>
  <w:num w:numId="124" w16cid:durableId="1362319911">
    <w:abstractNumId w:val="70"/>
  </w:num>
  <w:num w:numId="125" w16cid:durableId="1347173549">
    <w:abstractNumId w:val="180"/>
  </w:num>
  <w:num w:numId="126" w16cid:durableId="1962298961">
    <w:abstractNumId w:val="117"/>
  </w:num>
  <w:num w:numId="127" w16cid:durableId="127746675">
    <w:abstractNumId w:val="81"/>
  </w:num>
  <w:num w:numId="128" w16cid:durableId="294527624">
    <w:abstractNumId w:val="296"/>
  </w:num>
  <w:num w:numId="129" w16cid:durableId="1517040674">
    <w:abstractNumId w:val="24"/>
  </w:num>
  <w:num w:numId="130" w16cid:durableId="687022859">
    <w:abstractNumId w:val="287"/>
  </w:num>
  <w:num w:numId="131" w16cid:durableId="699862142">
    <w:abstractNumId w:val="96"/>
  </w:num>
  <w:num w:numId="132" w16cid:durableId="1195725951">
    <w:abstractNumId w:val="456"/>
  </w:num>
  <w:num w:numId="133" w16cid:durableId="444932539">
    <w:abstractNumId w:val="263"/>
  </w:num>
  <w:num w:numId="134" w16cid:durableId="885068809">
    <w:abstractNumId w:val="496"/>
  </w:num>
  <w:num w:numId="135" w16cid:durableId="1192189901">
    <w:abstractNumId w:val="454"/>
  </w:num>
  <w:num w:numId="136" w16cid:durableId="783887654">
    <w:abstractNumId w:val="35"/>
  </w:num>
  <w:num w:numId="137" w16cid:durableId="1467578789">
    <w:abstractNumId w:val="220"/>
  </w:num>
  <w:num w:numId="138" w16cid:durableId="737174223">
    <w:abstractNumId w:val="350"/>
  </w:num>
  <w:num w:numId="139" w16cid:durableId="75520030">
    <w:abstractNumId w:val="510"/>
  </w:num>
  <w:num w:numId="140" w16cid:durableId="1317224409">
    <w:abstractNumId w:val="110"/>
  </w:num>
  <w:num w:numId="141" w16cid:durableId="1446459181">
    <w:abstractNumId w:val="31"/>
  </w:num>
  <w:num w:numId="142" w16cid:durableId="2140486814">
    <w:abstractNumId w:val="360"/>
  </w:num>
  <w:num w:numId="143" w16cid:durableId="464810876">
    <w:abstractNumId w:val="50"/>
  </w:num>
  <w:num w:numId="144" w16cid:durableId="1265844961">
    <w:abstractNumId w:val="370"/>
  </w:num>
  <w:num w:numId="145" w16cid:durableId="786659759">
    <w:abstractNumId w:val="257"/>
  </w:num>
  <w:num w:numId="146" w16cid:durableId="1440956436">
    <w:abstractNumId w:val="499"/>
  </w:num>
  <w:num w:numId="147" w16cid:durableId="1296063298">
    <w:abstractNumId w:val="58"/>
  </w:num>
  <w:num w:numId="148" w16cid:durableId="1151872314">
    <w:abstractNumId w:val="76"/>
  </w:num>
  <w:num w:numId="149" w16cid:durableId="1500345480">
    <w:abstractNumId w:val="166"/>
  </w:num>
  <w:num w:numId="150" w16cid:durableId="1540513225">
    <w:abstractNumId w:val="10"/>
  </w:num>
  <w:num w:numId="151" w16cid:durableId="1143154525">
    <w:abstractNumId w:val="97"/>
  </w:num>
  <w:num w:numId="152" w16cid:durableId="1740514175">
    <w:abstractNumId w:val="245"/>
  </w:num>
  <w:num w:numId="153" w16cid:durableId="776102923">
    <w:abstractNumId w:val="444"/>
  </w:num>
  <w:num w:numId="154" w16cid:durableId="266693611">
    <w:abstractNumId w:val="298"/>
  </w:num>
  <w:num w:numId="155" w16cid:durableId="339739714">
    <w:abstractNumId w:val="502"/>
  </w:num>
  <w:num w:numId="156" w16cid:durableId="1485732670">
    <w:abstractNumId w:val="442"/>
  </w:num>
  <w:num w:numId="157" w16cid:durableId="700908631">
    <w:abstractNumId w:val="205"/>
  </w:num>
  <w:num w:numId="158" w16cid:durableId="785857320">
    <w:abstractNumId w:val="368"/>
  </w:num>
  <w:num w:numId="159" w16cid:durableId="1678075229">
    <w:abstractNumId w:val="429"/>
  </w:num>
  <w:num w:numId="160" w16cid:durableId="2092851154">
    <w:abstractNumId w:val="169"/>
  </w:num>
  <w:num w:numId="161" w16cid:durableId="1763139765">
    <w:abstractNumId w:val="427"/>
  </w:num>
  <w:num w:numId="162" w16cid:durableId="240019381">
    <w:abstractNumId w:val="343"/>
  </w:num>
  <w:num w:numId="163" w16cid:durableId="398747135">
    <w:abstractNumId w:val="449"/>
  </w:num>
  <w:num w:numId="164" w16cid:durableId="1032075419">
    <w:abstractNumId w:val="359"/>
  </w:num>
  <w:num w:numId="165" w16cid:durableId="1058746129">
    <w:abstractNumId w:val="204"/>
  </w:num>
  <w:num w:numId="166" w16cid:durableId="327221932">
    <w:abstractNumId w:val="36"/>
  </w:num>
  <w:num w:numId="167" w16cid:durableId="1566840530">
    <w:abstractNumId w:val="172"/>
  </w:num>
  <w:num w:numId="168" w16cid:durableId="689523934">
    <w:abstractNumId w:val="171"/>
  </w:num>
  <w:num w:numId="169" w16cid:durableId="431629543">
    <w:abstractNumId w:val="292"/>
  </w:num>
  <w:num w:numId="170" w16cid:durableId="1859004471">
    <w:abstractNumId w:val="380"/>
  </w:num>
  <w:num w:numId="171" w16cid:durableId="828328504">
    <w:abstractNumId w:val="255"/>
  </w:num>
  <w:num w:numId="172" w16cid:durableId="1777482547">
    <w:abstractNumId w:val="338"/>
  </w:num>
  <w:num w:numId="173" w16cid:durableId="346060576">
    <w:abstractNumId w:val="491"/>
  </w:num>
  <w:num w:numId="174" w16cid:durableId="97532499">
    <w:abstractNumId w:val="18"/>
  </w:num>
  <w:num w:numId="175" w16cid:durableId="337343986">
    <w:abstractNumId w:val="396"/>
  </w:num>
  <w:num w:numId="176" w16cid:durableId="454718438">
    <w:abstractNumId w:val="163"/>
  </w:num>
  <w:num w:numId="177" w16cid:durableId="2062442681">
    <w:abstractNumId w:val="161"/>
  </w:num>
  <w:num w:numId="178" w16cid:durableId="1758089118">
    <w:abstractNumId w:val="475"/>
  </w:num>
  <w:num w:numId="179" w16cid:durableId="1016345894">
    <w:abstractNumId w:val="291"/>
  </w:num>
  <w:num w:numId="180" w16cid:durableId="734544348">
    <w:abstractNumId w:val="79"/>
  </w:num>
  <w:num w:numId="181" w16cid:durableId="1794791026">
    <w:abstractNumId w:val="451"/>
  </w:num>
  <w:num w:numId="182" w16cid:durableId="1515274">
    <w:abstractNumId w:val="49"/>
  </w:num>
  <w:num w:numId="183" w16cid:durableId="1959946515">
    <w:abstractNumId w:val="136"/>
  </w:num>
  <w:num w:numId="184" w16cid:durableId="353264215">
    <w:abstractNumId w:val="274"/>
  </w:num>
  <w:num w:numId="185" w16cid:durableId="789859288">
    <w:abstractNumId w:val="498"/>
  </w:num>
  <w:num w:numId="186" w16cid:durableId="1570112562">
    <w:abstractNumId w:val="25"/>
  </w:num>
  <w:num w:numId="187" w16cid:durableId="1617787363">
    <w:abstractNumId w:val="337"/>
  </w:num>
  <w:num w:numId="188" w16cid:durableId="702822449">
    <w:abstractNumId w:val="388"/>
  </w:num>
  <w:num w:numId="189" w16cid:durableId="895509265">
    <w:abstractNumId w:val="485"/>
  </w:num>
  <w:num w:numId="190" w16cid:durableId="304238340">
    <w:abstractNumId w:val="375"/>
  </w:num>
  <w:num w:numId="191" w16cid:durableId="943338846">
    <w:abstractNumId w:val="38"/>
  </w:num>
  <w:num w:numId="192" w16cid:durableId="1928230122">
    <w:abstractNumId w:val="422"/>
  </w:num>
  <w:num w:numId="193" w16cid:durableId="734468995">
    <w:abstractNumId w:val="377"/>
  </w:num>
  <w:num w:numId="194" w16cid:durableId="1760441294">
    <w:abstractNumId w:val="484"/>
  </w:num>
  <w:num w:numId="195" w16cid:durableId="2012564693">
    <w:abstractNumId w:val="325"/>
  </w:num>
  <w:num w:numId="196" w16cid:durableId="141195258">
    <w:abstractNumId w:val="310"/>
  </w:num>
  <w:num w:numId="197" w16cid:durableId="499735244">
    <w:abstractNumId w:val="53"/>
  </w:num>
  <w:num w:numId="198" w16cid:durableId="2072727234">
    <w:abstractNumId w:val="340"/>
  </w:num>
  <w:num w:numId="199" w16cid:durableId="1499536466">
    <w:abstractNumId w:val="43"/>
  </w:num>
  <w:num w:numId="200" w16cid:durableId="1824815903">
    <w:abstractNumId w:val="438"/>
  </w:num>
  <w:num w:numId="201" w16cid:durableId="1898128733">
    <w:abstractNumId w:val="194"/>
  </w:num>
  <w:num w:numId="202" w16cid:durableId="1470124007">
    <w:abstractNumId w:val="275"/>
  </w:num>
  <w:num w:numId="203" w16cid:durableId="255335524">
    <w:abstractNumId w:val="349"/>
  </w:num>
  <w:num w:numId="204" w16cid:durableId="1617369502">
    <w:abstractNumId w:val="450"/>
  </w:num>
  <w:num w:numId="205" w16cid:durableId="1821193024">
    <w:abstractNumId w:val="319"/>
  </w:num>
  <w:num w:numId="206" w16cid:durableId="1632594117">
    <w:abstractNumId w:val="322"/>
  </w:num>
  <w:num w:numId="207" w16cid:durableId="94057974">
    <w:abstractNumId w:val="40"/>
  </w:num>
  <w:num w:numId="208" w16cid:durableId="1442799449">
    <w:abstractNumId w:val="71"/>
  </w:num>
  <w:num w:numId="209" w16cid:durableId="545222287">
    <w:abstractNumId w:val="193"/>
  </w:num>
  <w:num w:numId="210" w16cid:durableId="1497721188">
    <w:abstractNumId w:val="176"/>
  </w:num>
  <w:num w:numId="211" w16cid:durableId="1585261836">
    <w:abstractNumId w:val="399"/>
  </w:num>
  <w:num w:numId="212" w16cid:durableId="213856282">
    <w:abstractNumId w:val="39"/>
  </w:num>
  <w:num w:numId="213" w16cid:durableId="2011331897">
    <w:abstractNumId w:val="92"/>
  </w:num>
  <w:num w:numId="214" w16cid:durableId="1490633002">
    <w:abstractNumId w:val="59"/>
  </w:num>
  <w:num w:numId="215" w16cid:durableId="814948643">
    <w:abstractNumId w:val="495"/>
  </w:num>
  <w:num w:numId="216" w16cid:durableId="712198554">
    <w:abstractNumId w:val="471"/>
  </w:num>
  <w:num w:numId="217" w16cid:durableId="2146042073">
    <w:abstractNumId w:val="254"/>
  </w:num>
  <w:num w:numId="218" w16cid:durableId="2048947272">
    <w:abstractNumId w:val="441"/>
  </w:num>
  <w:num w:numId="219" w16cid:durableId="1283731062">
    <w:abstractNumId w:val="327"/>
  </w:num>
  <w:num w:numId="220" w16cid:durableId="1226332710">
    <w:abstractNumId w:val="124"/>
  </w:num>
  <w:num w:numId="221" w16cid:durableId="1137525256">
    <w:abstractNumId w:val="105"/>
  </w:num>
  <w:num w:numId="222" w16cid:durableId="348071722">
    <w:abstractNumId w:val="201"/>
  </w:num>
  <w:num w:numId="223" w16cid:durableId="350110492">
    <w:abstractNumId w:val="226"/>
  </w:num>
  <w:num w:numId="224" w16cid:durableId="1681812699">
    <w:abstractNumId w:val="342"/>
  </w:num>
  <w:num w:numId="225" w16cid:durableId="1825702229">
    <w:abstractNumId w:val="11"/>
  </w:num>
  <w:num w:numId="226" w16cid:durableId="2025666021">
    <w:abstractNumId w:val="227"/>
  </w:num>
  <w:num w:numId="227" w16cid:durableId="445126352">
    <w:abstractNumId w:val="198"/>
  </w:num>
  <w:num w:numId="228" w16cid:durableId="85732655">
    <w:abstractNumId w:val="357"/>
  </w:num>
  <w:num w:numId="229" w16cid:durableId="525677756">
    <w:abstractNumId w:val="501"/>
  </w:num>
  <w:num w:numId="230" w16cid:durableId="53891174">
    <w:abstractNumId w:val="115"/>
  </w:num>
  <w:num w:numId="231" w16cid:durableId="1628583156">
    <w:abstractNumId w:val="156"/>
  </w:num>
  <w:num w:numId="232" w16cid:durableId="75133442">
    <w:abstractNumId w:val="381"/>
  </w:num>
  <w:num w:numId="233" w16cid:durableId="69088415">
    <w:abstractNumId w:val="192"/>
  </w:num>
  <w:num w:numId="234" w16cid:durableId="1953324417">
    <w:abstractNumId w:val="238"/>
  </w:num>
  <w:num w:numId="235" w16cid:durableId="913974468">
    <w:abstractNumId w:val="27"/>
  </w:num>
  <w:num w:numId="236" w16cid:durableId="1117720177">
    <w:abstractNumId w:val="138"/>
  </w:num>
  <w:num w:numId="237" w16cid:durableId="1577133314">
    <w:abstractNumId w:val="62"/>
  </w:num>
  <w:num w:numId="238" w16cid:durableId="1664621093">
    <w:abstractNumId w:val="315"/>
  </w:num>
  <w:num w:numId="239" w16cid:durableId="888803327">
    <w:abstractNumId w:val="14"/>
  </w:num>
  <w:num w:numId="240" w16cid:durableId="389573301">
    <w:abstractNumId w:val="323"/>
  </w:num>
  <w:num w:numId="241" w16cid:durableId="149636138">
    <w:abstractNumId w:val="246"/>
  </w:num>
  <w:num w:numId="242" w16cid:durableId="415826255">
    <w:abstractNumId w:val="133"/>
  </w:num>
  <w:num w:numId="243" w16cid:durableId="264382095">
    <w:abstractNumId w:val="387"/>
  </w:num>
  <w:num w:numId="244" w16cid:durableId="1956331540">
    <w:abstractNumId w:val="28"/>
  </w:num>
  <w:num w:numId="245" w16cid:durableId="169879135">
    <w:abstractNumId w:val="209"/>
  </w:num>
  <w:num w:numId="246" w16cid:durableId="346831438">
    <w:abstractNumId w:val="494"/>
  </w:num>
  <w:num w:numId="247" w16cid:durableId="1391071904">
    <w:abstractNumId w:val="373"/>
  </w:num>
  <w:num w:numId="248" w16cid:durableId="293409910">
    <w:abstractNumId w:val="162"/>
  </w:num>
  <w:num w:numId="249" w16cid:durableId="1807162039">
    <w:abstractNumId w:val="363"/>
  </w:num>
  <w:num w:numId="250" w16cid:durableId="677083105">
    <w:abstractNumId w:val="223"/>
  </w:num>
  <w:num w:numId="251" w16cid:durableId="890918421">
    <w:abstractNumId w:val="248"/>
  </w:num>
  <w:num w:numId="252" w16cid:durableId="618877613">
    <w:abstractNumId w:val="121"/>
  </w:num>
  <w:num w:numId="253" w16cid:durableId="859314279">
    <w:abstractNumId w:val="476"/>
  </w:num>
  <w:num w:numId="254" w16cid:durableId="2044819425">
    <w:abstractNumId w:val="218"/>
  </w:num>
  <w:num w:numId="255" w16cid:durableId="2036224111">
    <w:abstractNumId w:val="5"/>
  </w:num>
  <w:num w:numId="256" w16cid:durableId="1293053411">
    <w:abstractNumId w:val="80"/>
  </w:num>
  <w:num w:numId="257" w16cid:durableId="1238174605">
    <w:abstractNumId w:val="356"/>
  </w:num>
  <w:num w:numId="258" w16cid:durableId="47992509">
    <w:abstractNumId w:val="16"/>
  </w:num>
  <w:num w:numId="259" w16cid:durableId="1004670946">
    <w:abstractNumId w:val="123"/>
  </w:num>
  <w:num w:numId="260" w16cid:durableId="1444374616">
    <w:abstractNumId w:val="351"/>
  </w:num>
  <w:num w:numId="261" w16cid:durableId="850295604">
    <w:abstractNumId w:val="77"/>
  </w:num>
  <w:num w:numId="262" w16cid:durableId="459811536">
    <w:abstractNumId w:val="307"/>
  </w:num>
  <w:num w:numId="263" w16cid:durableId="575480637">
    <w:abstractNumId w:val="144"/>
  </w:num>
  <w:num w:numId="264" w16cid:durableId="851070473">
    <w:abstractNumId w:val="75"/>
  </w:num>
  <w:num w:numId="265" w16cid:durableId="339621961">
    <w:abstractNumId w:val="428"/>
  </w:num>
  <w:num w:numId="266" w16cid:durableId="527915343">
    <w:abstractNumId w:val="479"/>
  </w:num>
  <w:num w:numId="267" w16cid:durableId="1179586833">
    <w:abstractNumId w:val="487"/>
  </w:num>
  <w:num w:numId="268" w16cid:durableId="108666406">
    <w:abstractNumId w:val="141"/>
  </w:num>
  <w:num w:numId="269" w16cid:durableId="537471136">
    <w:abstractNumId w:val="134"/>
  </w:num>
  <w:num w:numId="270" w16cid:durableId="326831144">
    <w:abstractNumId w:val="384"/>
  </w:num>
  <w:num w:numId="271" w16cid:durableId="671572194">
    <w:abstractNumId w:val="463"/>
  </w:num>
  <w:num w:numId="272" w16cid:durableId="102653213">
    <w:abstractNumId w:val="505"/>
  </w:num>
  <w:num w:numId="273" w16cid:durableId="544027185">
    <w:abstractNumId w:val="89"/>
  </w:num>
  <w:num w:numId="274" w16cid:durableId="1023437893">
    <w:abstractNumId w:val="266"/>
  </w:num>
  <w:num w:numId="275" w16cid:durableId="1164518132">
    <w:abstractNumId w:val="458"/>
  </w:num>
  <w:num w:numId="276" w16cid:durableId="672605364">
    <w:abstractNumId w:val="212"/>
  </w:num>
  <w:num w:numId="277" w16cid:durableId="1655601606">
    <w:abstractNumId w:val="508"/>
  </w:num>
  <w:num w:numId="278" w16cid:durableId="160704457">
    <w:abstractNumId w:val="467"/>
  </w:num>
  <w:num w:numId="279" w16cid:durableId="770515432">
    <w:abstractNumId w:val="253"/>
  </w:num>
  <w:num w:numId="280" w16cid:durableId="936213871">
    <w:abstractNumId w:val="104"/>
  </w:num>
  <w:num w:numId="281" w16cid:durableId="760952630">
    <w:abstractNumId w:val="82"/>
  </w:num>
  <w:num w:numId="282" w16cid:durableId="1062368778">
    <w:abstractNumId w:val="132"/>
  </w:num>
  <w:num w:numId="283" w16cid:durableId="208031011">
    <w:abstractNumId w:val="434"/>
  </w:num>
  <w:num w:numId="284" w16cid:durableId="1654991954">
    <w:abstractNumId w:val="308"/>
  </w:num>
  <w:num w:numId="285" w16cid:durableId="1054547220">
    <w:abstractNumId w:val="125"/>
  </w:num>
  <w:num w:numId="286" w16cid:durableId="481431059">
    <w:abstractNumId w:val="264"/>
  </w:num>
  <w:num w:numId="287" w16cid:durableId="2016615165">
    <w:abstractNumId w:val="157"/>
  </w:num>
  <w:num w:numId="288" w16cid:durableId="984354738">
    <w:abstractNumId w:val="285"/>
  </w:num>
  <w:num w:numId="289" w16cid:durableId="809246383">
    <w:abstractNumId w:val="331"/>
  </w:num>
  <w:num w:numId="290" w16cid:durableId="605583441">
    <w:abstractNumId w:val="421"/>
  </w:num>
  <w:num w:numId="291" w16cid:durableId="32117202">
    <w:abstractNumId w:val="397"/>
  </w:num>
  <w:num w:numId="292" w16cid:durableId="153617362">
    <w:abstractNumId w:val="286"/>
  </w:num>
  <w:num w:numId="293" w16cid:durableId="1480616693">
    <w:abstractNumId w:val="13"/>
  </w:num>
  <w:num w:numId="294" w16cid:durableId="271590532">
    <w:abstractNumId w:val="190"/>
  </w:num>
  <w:num w:numId="295" w16cid:durableId="1988781800">
    <w:abstractNumId w:val="103"/>
  </w:num>
  <w:num w:numId="296" w16cid:durableId="1177618065">
    <w:abstractNumId w:val="188"/>
  </w:num>
  <w:num w:numId="297" w16cid:durableId="1207839270">
    <w:abstractNumId w:val="332"/>
  </w:num>
  <w:num w:numId="298" w16cid:durableId="571082189">
    <w:abstractNumId w:val="170"/>
  </w:num>
  <w:num w:numId="299" w16cid:durableId="1110393889">
    <w:abstractNumId w:val="480"/>
  </w:num>
  <w:num w:numId="300" w16cid:durableId="36127209">
    <w:abstractNumId w:val="2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1312711704">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8439075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1573391155">
    <w:abstractNumId w:val="423"/>
  </w:num>
  <w:num w:numId="304" w16cid:durableId="1143700314">
    <w:abstractNumId w:val="389"/>
  </w:num>
  <w:num w:numId="305" w16cid:durableId="132451219">
    <w:abstractNumId w:val="3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1155336378">
    <w:abstractNumId w:val="98"/>
  </w:num>
  <w:num w:numId="307" w16cid:durableId="1884904819">
    <w:abstractNumId w:val="244"/>
  </w:num>
  <w:num w:numId="308" w16cid:durableId="1587957178">
    <w:abstractNumId w:val="318"/>
  </w:num>
  <w:num w:numId="309" w16cid:durableId="216942738">
    <w:abstractNumId w:val="249"/>
  </w:num>
  <w:num w:numId="310" w16cid:durableId="1494755934">
    <w:abstractNumId w:val="504"/>
  </w:num>
  <w:num w:numId="311" w16cid:durableId="474302585">
    <w:abstractNumId w:val="19"/>
  </w:num>
  <w:num w:numId="312" w16cid:durableId="411049101">
    <w:abstractNumId w:val="385"/>
  </w:num>
  <w:num w:numId="313" w16cid:durableId="134682726">
    <w:abstractNumId w:val="437"/>
  </w:num>
  <w:num w:numId="314" w16cid:durableId="1019040186">
    <w:abstractNumId w:val="333"/>
  </w:num>
  <w:num w:numId="315" w16cid:durableId="599684554">
    <w:abstractNumId w:val="382"/>
  </w:num>
  <w:num w:numId="316" w16cid:durableId="547180777">
    <w:abstractNumId w:val="321"/>
  </w:num>
  <w:num w:numId="317" w16cid:durableId="1134836500">
    <w:abstractNumId w:val="177"/>
  </w:num>
  <w:num w:numId="318" w16cid:durableId="591470357">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502741030">
    <w:abstractNumId w:val="146"/>
  </w:num>
  <w:num w:numId="320" w16cid:durableId="1119639626">
    <w:abstractNumId w:val="63"/>
  </w:num>
  <w:num w:numId="321" w16cid:durableId="1551308917">
    <w:abstractNumId w:val="435"/>
  </w:num>
  <w:num w:numId="322" w16cid:durableId="67505060">
    <w:abstractNumId w:val="233"/>
  </w:num>
  <w:num w:numId="323" w16cid:durableId="1195460387">
    <w:abstractNumId w:val="371"/>
  </w:num>
  <w:num w:numId="324" w16cid:durableId="1011030366">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1710182558">
    <w:abstractNumId w:val="5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2078506461">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1623731659">
    <w:abstractNumId w:val="294"/>
  </w:num>
  <w:num w:numId="328" w16cid:durableId="256865547">
    <w:abstractNumId w:val="265"/>
  </w:num>
  <w:num w:numId="329" w16cid:durableId="69891974">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271741235">
    <w:abstractNumId w:val="4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332999721">
    <w:abstractNumId w:val="3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1827280763">
    <w:abstractNumId w:val="32"/>
  </w:num>
  <w:num w:numId="333" w16cid:durableId="203450708">
    <w:abstractNumId w:val="21"/>
  </w:num>
  <w:num w:numId="334" w16cid:durableId="68774293">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1095631073">
    <w:abstractNumId w:val="259"/>
  </w:num>
  <w:num w:numId="336" w16cid:durableId="1751267838">
    <w:abstractNumId w:val="353"/>
  </w:num>
  <w:num w:numId="337" w16cid:durableId="138348197">
    <w:abstractNumId w:val="116"/>
  </w:num>
  <w:num w:numId="338" w16cid:durableId="194391757">
    <w:abstractNumId w:val="29"/>
  </w:num>
  <w:num w:numId="339" w16cid:durableId="878468449">
    <w:abstractNumId w:val="215"/>
  </w:num>
  <w:num w:numId="340" w16cid:durableId="350574763">
    <w:abstractNumId w:val="465"/>
  </w:num>
  <w:num w:numId="341" w16cid:durableId="1326130891">
    <w:abstractNumId w:val="466"/>
  </w:num>
  <w:num w:numId="342" w16cid:durableId="643436270">
    <w:abstractNumId w:val="474"/>
  </w:num>
  <w:num w:numId="343" w16cid:durableId="1361079311">
    <w:abstractNumId w:val="242"/>
  </w:num>
  <w:num w:numId="344" w16cid:durableId="2124879063">
    <w:abstractNumId w:val="152"/>
  </w:num>
  <w:num w:numId="345" w16cid:durableId="709691926">
    <w:abstractNumId w:val="196"/>
  </w:num>
  <w:num w:numId="346" w16cid:durableId="1042091683">
    <w:abstractNumId w:val="179"/>
  </w:num>
  <w:num w:numId="347" w16cid:durableId="935791188">
    <w:abstractNumId w:val="401"/>
  </w:num>
  <w:num w:numId="348" w16cid:durableId="1193424828">
    <w:abstractNumId w:val="432"/>
  </w:num>
  <w:num w:numId="349" w16cid:durableId="1764914865">
    <w:abstractNumId w:val="231"/>
  </w:num>
  <w:num w:numId="350" w16cid:durableId="71777549">
    <w:abstractNumId w:val="376"/>
  </w:num>
  <w:num w:numId="351" w16cid:durableId="2109620563">
    <w:abstractNumId w:val="267"/>
  </w:num>
  <w:num w:numId="352" w16cid:durableId="268319173">
    <w:abstractNumId w:val="473"/>
  </w:num>
  <w:num w:numId="353" w16cid:durableId="1047876739">
    <w:abstractNumId w:val="500"/>
  </w:num>
  <w:num w:numId="354" w16cid:durableId="689529943">
    <w:abstractNumId w:val="88"/>
  </w:num>
  <w:num w:numId="355" w16cid:durableId="1916089523">
    <w:abstractNumId w:val="189"/>
  </w:num>
  <w:num w:numId="356" w16cid:durableId="1867325262">
    <w:abstractNumId w:val="329"/>
  </w:num>
  <w:num w:numId="357" w16cid:durableId="1438790447">
    <w:abstractNumId w:val="66"/>
  </w:num>
  <w:num w:numId="358" w16cid:durableId="1507479000">
    <w:abstractNumId w:val="149"/>
  </w:num>
  <w:num w:numId="359" w16cid:durableId="1602255749">
    <w:abstractNumId w:val="91"/>
  </w:num>
  <w:num w:numId="360" w16cid:durableId="100809529">
    <w:abstractNumId w:val="425"/>
  </w:num>
  <w:num w:numId="361" w16cid:durableId="1043748784">
    <w:abstractNumId w:val="1"/>
  </w:num>
  <w:num w:numId="362" w16cid:durableId="1598245867">
    <w:abstractNumId w:val="90"/>
  </w:num>
  <w:num w:numId="363" w16cid:durableId="328290799">
    <w:abstractNumId w:val="0"/>
  </w:num>
  <w:num w:numId="364" w16cid:durableId="1137843189">
    <w:abstractNumId w:val="234"/>
  </w:num>
  <w:num w:numId="365" w16cid:durableId="839731576">
    <w:abstractNumId w:val="203"/>
  </w:num>
  <w:num w:numId="366" w16cid:durableId="1059792030">
    <w:abstractNumId w:val="17"/>
  </w:num>
  <w:num w:numId="367" w16cid:durableId="2050644017">
    <w:abstractNumId w:val="316"/>
  </w:num>
  <w:num w:numId="368" w16cid:durableId="1282766283">
    <w:abstractNumId w:val="404"/>
  </w:num>
  <w:num w:numId="369" w16cid:durableId="747582372">
    <w:abstractNumId w:val="199"/>
  </w:num>
  <w:num w:numId="370" w16cid:durableId="1964312934">
    <w:abstractNumId w:val="490"/>
  </w:num>
  <w:num w:numId="371" w16cid:durableId="273905905">
    <w:abstractNumId w:val="187"/>
  </w:num>
  <w:num w:numId="372" w16cid:durableId="582683552">
    <w:abstractNumId w:val="99"/>
  </w:num>
  <w:num w:numId="373" w16cid:durableId="1189484230">
    <w:abstractNumId w:val="2"/>
  </w:num>
  <w:num w:numId="374" w16cid:durableId="1344622412">
    <w:abstractNumId w:val="452"/>
  </w:num>
  <w:num w:numId="375" w16cid:durableId="587234858">
    <w:abstractNumId w:val="127"/>
  </w:num>
  <w:num w:numId="376" w16cid:durableId="1660844148">
    <w:abstractNumId w:val="272"/>
  </w:num>
  <w:num w:numId="377" w16cid:durableId="815418257">
    <w:abstractNumId w:val="301"/>
  </w:num>
  <w:num w:numId="378" w16cid:durableId="1834373378">
    <w:abstractNumId w:val="430"/>
  </w:num>
  <w:num w:numId="379" w16cid:durableId="1222054433">
    <w:abstractNumId w:val="472"/>
  </w:num>
  <w:num w:numId="380" w16cid:durableId="839002373">
    <w:abstractNumId w:val="269"/>
  </w:num>
  <w:num w:numId="381" w16cid:durableId="1046107831">
    <w:abstractNumId w:val="48"/>
  </w:num>
  <w:num w:numId="382" w16cid:durableId="1679312951">
    <w:abstractNumId w:val="237"/>
  </w:num>
  <w:num w:numId="383" w16cid:durableId="1518736448">
    <w:abstractNumId w:val="164"/>
  </w:num>
  <w:num w:numId="384" w16cid:durableId="415638414">
    <w:abstractNumId w:val="407"/>
  </w:num>
  <w:num w:numId="385" w16cid:durableId="998970917">
    <w:abstractNumId w:val="109"/>
  </w:num>
  <w:num w:numId="386" w16cid:durableId="1173035314">
    <w:abstractNumId w:val="250"/>
  </w:num>
  <w:num w:numId="387" w16cid:durableId="1989165619">
    <w:abstractNumId w:val="436"/>
  </w:num>
  <w:num w:numId="388" w16cid:durableId="1282497778">
    <w:abstractNumId w:val="72"/>
  </w:num>
  <w:num w:numId="389" w16cid:durableId="1769232333">
    <w:abstractNumId w:val="415"/>
  </w:num>
  <w:num w:numId="390" w16cid:durableId="262961270">
    <w:abstractNumId w:val="300"/>
  </w:num>
  <w:num w:numId="391" w16cid:durableId="589433354">
    <w:abstractNumId w:val="247"/>
  </w:num>
  <w:num w:numId="392" w16cid:durableId="142351109">
    <w:abstractNumId w:val="477"/>
  </w:num>
  <w:num w:numId="393" w16cid:durableId="1472937524">
    <w:abstractNumId w:val="120"/>
  </w:num>
  <w:num w:numId="394" w16cid:durableId="1434858426">
    <w:abstractNumId w:val="213"/>
  </w:num>
  <w:num w:numId="395" w16cid:durableId="763691150">
    <w:abstractNumId w:val="22"/>
  </w:num>
  <w:num w:numId="396" w16cid:durableId="1509950868">
    <w:abstractNumId w:val="185"/>
  </w:num>
  <w:num w:numId="397" w16cid:durableId="1224103118">
    <w:abstractNumId w:val="273"/>
  </w:num>
  <w:num w:numId="398" w16cid:durableId="2029213115">
    <w:abstractNumId w:val="413"/>
  </w:num>
  <w:num w:numId="399" w16cid:durableId="1758866391">
    <w:abstractNumId w:val="439"/>
  </w:num>
  <w:num w:numId="400" w16cid:durableId="73013675">
    <w:abstractNumId w:val="4"/>
  </w:num>
  <w:num w:numId="401" w16cid:durableId="257561150">
    <w:abstractNumId w:val="468"/>
  </w:num>
  <w:num w:numId="402" w16cid:durableId="1382443882">
    <w:abstractNumId w:val="126"/>
  </w:num>
  <w:num w:numId="403" w16cid:durableId="979766296">
    <w:abstractNumId w:val="511"/>
  </w:num>
  <w:num w:numId="404" w16cid:durableId="784539754">
    <w:abstractNumId w:val="406"/>
  </w:num>
  <w:num w:numId="405" w16cid:durableId="288560515">
    <w:abstractNumId w:val="33"/>
  </w:num>
  <w:num w:numId="406" w16cid:durableId="1964270327">
    <w:abstractNumId w:val="459"/>
  </w:num>
  <w:num w:numId="407" w16cid:durableId="1367409210">
    <w:abstractNumId w:val="93"/>
  </w:num>
  <w:num w:numId="408" w16cid:durableId="1476752984">
    <w:abstractNumId w:val="284"/>
  </w:num>
  <w:num w:numId="409" w16cid:durableId="718407289">
    <w:abstractNumId w:val="448"/>
  </w:num>
  <w:num w:numId="410" w16cid:durableId="454376719">
    <w:abstractNumId w:val="278"/>
  </w:num>
  <w:num w:numId="411" w16cid:durableId="26101496">
    <w:abstractNumId w:val="119"/>
  </w:num>
  <w:num w:numId="412" w16cid:durableId="313068509">
    <w:abstractNumId w:val="34"/>
  </w:num>
  <w:num w:numId="413" w16cid:durableId="494759913">
    <w:abstractNumId w:val="78"/>
  </w:num>
  <w:num w:numId="414" w16cid:durableId="315498334">
    <w:abstractNumId w:val="139"/>
  </w:num>
  <w:num w:numId="415" w16cid:durableId="1176112729">
    <w:abstractNumId w:val="374"/>
  </w:num>
  <w:num w:numId="416" w16cid:durableId="1380787889">
    <w:abstractNumId w:val="15"/>
  </w:num>
  <w:num w:numId="417" w16cid:durableId="2135251420">
    <w:abstractNumId w:val="60"/>
  </w:num>
  <w:num w:numId="418" w16cid:durableId="1820921045">
    <w:abstractNumId w:val="492"/>
  </w:num>
  <w:num w:numId="419" w16cid:durableId="277681032">
    <w:abstractNumId w:val="111"/>
  </w:num>
  <w:num w:numId="420" w16cid:durableId="570654409">
    <w:abstractNumId w:val="488"/>
  </w:num>
  <w:num w:numId="421" w16cid:durableId="1540127991">
    <w:abstractNumId w:val="469"/>
  </w:num>
  <w:num w:numId="422" w16cid:durableId="756444113">
    <w:abstractNumId w:val="37"/>
  </w:num>
  <w:num w:numId="423" w16cid:durableId="598562716">
    <w:abstractNumId w:val="229"/>
  </w:num>
  <w:num w:numId="424" w16cid:durableId="927928476">
    <w:abstractNumId w:val="186"/>
  </w:num>
  <w:num w:numId="425" w16cid:durableId="1364133584">
    <w:abstractNumId w:val="334"/>
  </w:num>
  <w:num w:numId="426" w16cid:durableId="938950658">
    <w:abstractNumId w:val="251"/>
  </w:num>
  <w:num w:numId="427" w16cid:durableId="1802066964">
    <w:abstractNumId w:val="142"/>
  </w:num>
  <w:num w:numId="428" w16cid:durableId="1302421077">
    <w:abstractNumId w:val="154"/>
  </w:num>
  <w:num w:numId="429" w16cid:durableId="228736035">
    <w:abstractNumId w:val="153"/>
  </w:num>
  <w:num w:numId="430" w16cid:durableId="679896007">
    <w:abstractNumId w:val="447"/>
  </w:num>
  <w:num w:numId="431" w16cid:durableId="1936090735">
    <w:abstractNumId w:val="400"/>
  </w:num>
  <w:num w:numId="432" w16cid:durableId="1505825706">
    <w:abstractNumId w:val="445"/>
  </w:num>
  <w:num w:numId="433" w16cid:durableId="1261639177">
    <w:abstractNumId w:val="173"/>
  </w:num>
  <w:num w:numId="434" w16cid:durableId="273102303">
    <w:abstractNumId w:val="100"/>
  </w:num>
  <w:num w:numId="435" w16cid:durableId="16696274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16cid:durableId="9449657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16cid:durableId="2790737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16cid:durableId="1965576088">
    <w:abstractNumId w:val="26"/>
  </w:num>
  <w:num w:numId="439" w16cid:durableId="13654450">
    <w:abstractNumId w:val="128"/>
  </w:num>
  <w:num w:numId="440" w16cid:durableId="198276190">
    <w:abstractNumId w:val="405"/>
  </w:num>
  <w:num w:numId="441" w16cid:durableId="1080561339">
    <w:abstractNumId w:val="9"/>
  </w:num>
  <w:num w:numId="442" w16cid:durableId="915170961">
    <w:abstractNumId w:val="433"/>
  </w:num>
  <w:num w:numId="443" w16cid:durableId="1269653511">
    <w:abstractNumId w:val="135"/>
  </w:num>
  <w:num w:numId="444" w16cid:durableId="437218861">
    <w:abstractNumId w:val="352"/>
  </w:num>
  <w:num w:numId="445" w16cid:durableId="1161657316">
    <w:abstractNumId w:val="304"/>
  </w:num>
  <w:num w:numId="446" w16cid:durableId="1523277572">
    <w:abstractNumId w:val="165"/>
  </w:num>
  <w:num w:numId="447" w16cid:durableId="1946644839">
    <w:abstractNumId w:val="68"/>
  </w:num>
  <w:num w:numId="448" w16cid:durableId="1602568263">
    <w:abstractNumId w:val="52"/>
  </w:num>
  <w:num w:numId="449" w16cid:durableId="31156559">
    <w:abstractNumId w:val="113"/>
  </w:num>
  <w:num w:numId="450" w16cid:durableId="1402020591">
    <w:abstractNumId w:val="417"/>
  </w:num>
  <w:num w:numId="451" w16cid:durableId="1041318399">
    <w:abstractNumId w:val="394"/>
  </w:num>
  <w:num w:numId="452" w16cid:durableId="657997247">
    <w:abstractNumId w:val="419"/>
  </w:num>
  <w:num w:numId="453" w16cid:durableId="27070994">
    <w:abstractNumId w:val="262"/>
  </w:num>
  <w:num w:numId="454" w16cid:durableId="1277952381">
    <w:abstractNumId w:val="369"/>
  </w:num>
  <w:num w:numId="455" w16cid:durableId="1373387988">
    <w:abstractNumId w:val="73"/>
  </w:num>
  <w:num w:numId="456" w16cid:durableId="1095440617">
    <w:abstractNumId w:val="416"/>
  </w:num>
  <w:num w:numId="457" w16cid:durableId="1498501110">
    <w:abstractNumId w:val="182"/>
  </w:num>
  <w:num w:numId="458" w16cid:durableId="842470001">
    <w:abstractNumId w:val="365"/>
  </w:num>
  <w:num w:numId="459" w16cid:durableId="1439909264">
    <w:abstractNumId w:val="65"/>
  </w:num>
  <w:num w:numId="460" w16cid:durableId="1353606131">
    <w:abstractNumId w:val="412"/>
  </w:num>
  <w:num w:numId="461" w16cid:durableId="240721733">
    <w:abstractNumId w:val="366"/>
  </w:num>
  <w:num w:numId="462" w16cid:durableId="693649969">
    <w:abstractNumId w:val="260"/>
  </w:num>
  <w:num w:numId="463" w16cid:durableId="99884396">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16cid:durableId="1762530911">
    <w:abstractNumId w:val="446"/>
  </w:num>
  <w:num w:numId="465" w16cid:durableId="1433745108">
    <w:abstractNumId w:val="6"/>
  </w:num>
  <w:num w:numId="466" w16cid:durableId="400179748">
    <w:abstractNumId w:val="398"/>
  </w:num>
  <w:num w:numId="467" w16cid:durableId="1794522801">
    <w:abstractNumId w:val="217"/>
  </w:num>
  <w:num w:numId="468" w16cid:durableId="1553077624">
    <w:abstractNumId w:val="309"/>
  </w:num>
  <w:num w:numId="469" w16cid:durableId="1083181172">
    <w:abstractNumId w:val="175"/>
  </w:num>
  <w:num w:numId="470" w16cid:durableId="2037266713">
    <w:abstractNumId w:val="30"/>
  </w:num>
  <w:num w:numId="471" w16cid:durableId="1244877126">
    <w:abstractNumId w:val="206"/>
  </w:num>
  <w:num w:numId="472" w16cid:durableId="685712741">
    <w:abstractNumId w:val="3"/>
    <w:lvlOverride w:ilvl="0">
      <w:startOverride w:val="2"/>
    </w:lvlOverride>
  </w:num>
  <w:num w:numId="473" w16cid:durableId="1363093772">
    <w:abstractNumId w:val="3"/>
  </w:num>
  <w:num w:numId="474" w16cid:durableId="365183652">
    <w:abstractNumId w:val="293"/>
  </w:num>
  <w:num w:numId="475" w16cid:durableId="630745150">
    <w:abstractNumId w:val="106"/>
  </w:num>
  <w:num w:numId="476" w16cid:durableId="508108405">
    <w:abstractNumId w:val="281"/>
  </w:num>
  <w:num w:numId="477" w16cid:durableId="447697936">
    <w:abstractNumId w:val="235"/>
  </w:num>
  <w:num w:numId="478" w16cid:durableId="437988075">
    <w:abstractNumId w:val="268"/>
  </w:num>
  <w:num w:numId="479" w16cid:durableId="741488365">
    <w:abstractNumId w:val="320"/>
  </w:num>
  <w:num w:numId="480" w16cid:durableId="916327069">
    <w:abstractNumId w:val="302"/>
  </w:num>
  <w:num w:numId="481" w16cid:durableId="2144931662">
    <w:abstractNumId w:val="402"/>
  </w:num>
  <w:num w:numId="482" w16cid:durableId="1688823073">
    <w:abstractNumId w:val="8"/>
  </w:num>
  <w:num w:numId="483" w16cid:durableId="243564401">
    <w:abstractNumId w:val="464"/>
  </w:num>
  <w:num w:numId="484" w16cid:durableId="1483161822">
    <w:abstractNumId w:val="276"/>
  </w:num>
  <w:num w:numId="485" w16cid:durableId="874460541">
    <w:abstractNumId w:val="420"/>
  </w:num>
  <w:num w:numId="486" w16cid:durableId="1466896952">
    <w:abstractNumId w:val="87"/>
  </w:num>
  <w:num w:numId="487" w16cid:durableId="724716387">
    <w:abstractNumId w:val="317"/>
  </w:num>
  <w:num w:numId="488" w16cid:durableId="1291473435">
    <w:abstractNumId w:val="147"/>
  </w:num>
  <w:num w:numId="489" w16cid:durableId="1105151561">
    <w:abstractNumId w:val="202"/>
  </w:num>
  <w:num w:numId="490" w16cid:durableId="1607619821">
    <w:abstractNumId w:val="364"/>
  </w:num>
  <w:num w:numId="491" w16cid:durableId="1769278065">
    <w:abstractNumId w:val="324"/>
  </w:num>
  <w:num w:numId="492" w16cid:durableId="1268855616">
    <w:abstractNumId w:val="378"/>
  </w:num>
  <w:num w:numId="493" w16cid:durableId="873233279">
    <w:abstractNumId w:val="118"/>
  </w:num>
  <w:num w:numId="494" w16cid:durableId="641008088">
    <w:abstractNumId w:val="330"/>
  </w:num>
  <w:num w:numId="495" w16cid:durableId="1725521935">
    <w:abstractNumId w:val="210"/>
  </w:num>
  <w:num w:numId="496" w16cid:durableId="1679576296">
    <w:abstractNumId w:val="184"/>
  </w:num>
  <w:num w:numId="497" w16cid:durableId="215287445">
    <w:abstractNumId w:val="64"/>
  </w:num>
  <w:num w:numId="498" w16cid:durableId="1327248550">
    <w:abstractNumId w:val="482"/>
  </w:num>
  <w:num w:numId="499" w16cid:durableId="1546066076">
    <w:abstractNumId w:val="44"/>
  </w:num>
  <w:num w:numId="500" w16cid:durableId="414208249">
    <w:abstractNumId w:val="55"/>
  </w:num>
  <w:num w:numId="501" w16cid:durableId="2043823400">
    <w:abstractNumId w:val="386"/>
  </w:num>
  <w:num w:numId="502" w16cid:durableId="1024097284">
    <w:abstractNumId w:val="94"/>
  </w:num>
  <w:num w:numId="503" w16cid:durableId="717705887">
    <w:abstractNumId w:val="457"/>
  </w:num>
  <w:num w:numId="504" w16cid:durableId="163278079">
    <w:abstractNumId w:val="69"/>
  </w:num>
  <w:num w:numId="505" w16cid:durableId="746341046">
    <w:abstractNumId w:val="129"/>
  </w:num>
  <w:num w:numId="506" w16cid:durableId="1095858624">
    <w:abstractNumId w:val="506"/>
  </w:num>
  <w:num w:numId="507" w16cid:durableId="1562643148">
    <w:abstractNumId w:val="167"/>
  </w:num>
  <w:num w:numId="508" w16cid:durableId="924148412">
    <w:abstractNumId w:val="271"/>
  </w:num>
  <w:num w:numId="509" w16cid:durableId="1882742172">
    <w:abstractNumId w:val="42"/>
  </w:num>
  <w:num w:numId="510" w16cid:durableId="400254955">
    <w:abstractNumId w:val="221"/>
  </w:num>
  <w:num w:numId="511" w16cid:durableId="498229001">
    <w:abstractNumId w:val="408"/>
  </w:num>
  <w:num w:numId="512" w16cid:durableId="11538958">
    <w:abstractNumId w:val="403"/>
  </w:num>
  <w:num w:numId="513" w16cid:durableId="1315641497">
    <w:abstractNumId w:val="503"/>
  </w:num>
  <w:num w:numId="514" w16cid:durableId="1026827327">
    <w:abstractNumId w:val="207"/>
  </w:num>
  <w:num w:numId="515" w16cid:durableId="1229413536">
    <w:abstractNumId w:val="256"/>
  </w:num>
  <w:num w:numId="516" w16cid:durableId="533150328">
    <w:abstractNumId w:val="355"/>
  </w:num>
  <w:num w:numId="517" w16cid:durableId="826702443">
    <w:abstractNumId w:val="57"/>
  </w:num>
  <w:num w:numId="518" w16cid:durableId="850290988">
    <w:abstractNumId w:val="108"/>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ll Oumar">
    <w15:presenceInfo w15:providerId="None" w15:userId="Fall Oum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0E2"/>
    <w:rsid w:val="00000466"/>
    <w:rsid w:val="00002B0A"/>
    <w:rsid w:val="00004A57"/>
    <w:rsid w:val="0000632F"/>
    <w:rsid w:val="00014610"/>
    <w:rsid w:val="00015A65"/>
    <w:rsid w:val="00017AF9"/>
    <w:rsid w:val="00020274"/>
    <w:rsid w:val="00022F7C"/>
    <w:rsid w:val="00025FAC"/>
    <w:rsid w:val="000277BA"/>
    <w:rsid w:val="00035629"/>
    <w:rsid w:val="00035788"/>
    <w:rsid w:val="000358AF"/>
    <w:rsid w:val="00046230"/>
    <w:rsid w:val="00052F02"/>
    <w:rsid w:val="00057EF1"/>
    <w:rsid w:val="00061B75"/>
    <w:rsid w:val="00063047"/>
    <w:rsid w:val="00065B4A"/>
    <w:rsid w:val="0006611D"/>
    <w:rsid w:val="00071BE3"/>
    <w:rsid w:val="00072D1F"/>
    <w:rsid w:val="00074F40"/>
    <w:rsid w:val="000756EC"/>
    <w:rsid w:val="00077956"/>
    <w:rsid w:val="0008059E"/>
    <w:rsid w:val="000809A2"/>
    <w:rsid w:val="00082D43"/>
    <w:rsid w:val="000859AB"/>
    <w:rsid w:val="00086C3F"/>
    <w:rsid w:val="00090C68"/>
    <w:rsid w:val="0009359A"/>
    <w:rsid w:val="000B2977"/>
    <w:rsid w:val="000C5344"/>
    <w:rsid w:val="000D3655"/>
    <w:rsid w:val="000D608A"/>
    <w:rsid w:val="000D6322"/>
    <w:rsid w:val="000D7FF9"/>
    <w:rsid w:val="000E260C"/>
    <w:rsid w:val="000E26B7"/>
    <w:rsid w:val="000E3594"/>
    <w:rsid w:val="000E3B26"/>
    <w:rsid w:val="000E4F6F"/>
    <w:rsid w:val="000F2661"/>
    <w:rsid w:val="0010144B"/>
    <w:rsid w:val="0010168E"/>
    <w:rsid w:val="00103140"/>
    <w:rsid w:val="00107FD3"/>
    <w:rsid w:val="00112292"/>
    <w:rsid w:val="0011476E"/>
    <w:rsid w:val="001211C0"/>
    <w:rsid w:val="0012120D"/>
    <w:rsid w:val="001228B5"/>
    <w:rsid w:val="00122A5D"/>
    <w:rsid w:val="0013282D"/>
    <w:rsid w:val="00141C65"/>
    <w:rsid w:val="00143794"/>
    <w:rsid w:val="00146622"/>
    <w:rsid w:val="00153C41"/>
    <w:rsid w:val="00164999"/>
    <w:rsid w:val="00172037"/>
    <w:rsid w:val="00176460"/>
    <w:rsid w:val="0018014C"/>
    <w:rsid w:val="00182E17"/>
    <w:rsid w:val="001831D9"/>
    <w:rsid w:val="00185981"/>
    <w:rsid w:val="001943AB"/>
    <w:rsid w:val="00196817"/>
    <w:rsid w:val="00197515"/>
    <w:rsid w:val="001A6FC5"/>
    <w:rsid w:val="001C2B61"/>
    <w:rsid w:val="001C30FD"/>
    <w:rsid w:val="001C4517"/>
    <w:rsid w:val="001C492F"/>
    <w:rsid w:val="001C5A7A"/>
    <w:rsid w:val="001E72CD"/>
    <w:rsid w:val="001F0A14"/>
    <w:rsid w:val="001F1D90"/>
    <w:rsid w:val="001F2392"/>
    <w:rsid w:val="001F247F"/>
    <w:rsid w:val="001F33E0"/>
    <w:rsid w:val="00203B3F"/>
    <w:rsid w:val="00211DA2"/>
    <w:rsid w:val="002122A7"/>
    <w:rsid w:val="00216A70"/>
    <w:rsid w:val="002209DA"/>
    <w:rsid w:val="00226744"/>
    <w:rsid w:val="00231AF9"/>
    <w:rsid w:val="002376A5"/>
    <w:rsid w:val="002433B3"/>
    <w:rsid w:val="00260B15"/>
    <w:rsid w:val="002669CC"/>
    <w:rsid w:val="002731CE"/>
    <w:rsid w:val="00274CAD"/>
    <w:rsid w:val="00275D3E"/>
    <w:rsid w:val="00282924"/>
    <w:rsid w:val="00285935"/>
    <w:rsid w:val="00293FC8"/>
    <w:rsid w:val="00294466"/>
    <w:rsid w:val="002946B2"/>
    <w:rsid w:val="002956B9"/>
    <w:rsid w:val="002C1BF6"/>
    <w:rsid w:val="002C369F"/>
    <w:rsid w:val="002C511E"/>
    <w:rsid w:val="002D1003"/>
    <w:rsid w:val="002E0F4D"/>
    <w:rsid w:val="002E0F87"/>
    <w:rsid w:val="002E2D0A"/>
    <w:rsid w:val="002E5FF7"/>
    <w:rsid w:val="002E60E7"/>
    <w:rsid w:val="002F18C7"/>
    <w:rsid w:val="002F21C0"/>
    <w:rsid w:val="002F3AC7"/>
    <w:rsid w:val="002F7937"/>
    <w:rsid w:val="00307A9F"/>
    <w:rsid w:val="003127B5"/>
    <w:rsid w:val="00317985"/>
    <w:rsid w:val="0032081D"/>
    <w:rsid w:val="0032480A"/>
    <w:rsid w:val="00325A68"/>
    <w:rsid w:val="00332287"/>
    <w:rsid w:val="003333DB"/>
    <w:rsid w:val="003346CC"/>
    <w:rsid w:val="00340F5E"/>
    <w:rsid w:val="00341541"/>
    <w:rsid w:val="00341D28"/>
    <w:rsid w:val="00350960"/>
    <w:rsid w:val="00351447"/>
    <w:rsid w:val="003517CA"/>
    <w:rsid w:val="003529F5"/>
    <w:rsid w:val="00360403"/>
    <w:rsid w:val="003667C3"/>
    <w:rsid w:val="00377FE4"/>
    <w:rsid w:val="00381C67"/>
    <w:rsid w:val="00383367"/>
    <w:rsid w:val="00394A86"/>
    <w:rsid w:val="00396FCE"/>
    <w:rsid w:val="003A01EE"/>
    <w:rsid w:val="003A3202"/>
    <w:rsid w:val="003A3AAF"/>
    <w:rsid w:val="003C4517"/>
    <w:rsid w:val="003C744C"/>
    <w:rsid w:val="003D0EF8"/>
    <w:rsid w:val="003D1520"/>
    <w:rsid w:val="003D428B"/>
    <w:rsid w:val="003D4AAF"/>
    <w:rsid w:val="003D5AF6"/>
    <w:rsid w:val="003D75C2"/>
    <w:rsid w:val="003D7CAD"/>
    <w:rsid w:val="003E241E"/>
    <w:rsid w:val="003E6955"/>
    <w:rsid w:val="003F697C"/>
    <w:rsid w:val="003F7F84"/>
    <w:rsid w:val="0040247E"/>
    <w:rsid w:val="00402947"/>
    <w:rsid w:val="00402DFD"/>
    <w:rsid w:val="00410574"/>
    <w:rsid w:val="00410A50"/>
    <w:rsid w:val="0041229B"/>
    <w:rsid w:val="00412F22"/>
    <w:rsid w:val="0042006B"/>
    <w:rsid w:val="00432366"/>
    <w:rsid w:val="00434919"/>
    <w:rsid w:val="00434CD5"/>
    <w:rsid w:val="00434E95"/>
    <w:rsid w:val="00437336"/>
    <w:rsid w:val="00445E88"/>
    <w:rsid w:val="00447DF9"/>
    <w:rsid w:val="0045250F"/>
    <w:rsid w:val="004552B7"/>
    <w:rsid w:val="00455495"/>
    <w:rsid w:val="0045595E"/>
    <w:rsid w:val="00457729"/>
    <w:rsid w:val="004608C2"/>
    <w:rsid w:val="00467D17"/>
    <w:rsid w:val="00474B3A"/>
    <w:rsid w:val="00480894"/>
    <w:rsid w:val="004910EB"/>
    <w:rsid w:val="00491137"/>
    <w:rsid w:val="004947D3"/>
    <w:rsid w:val="004A2F2E"/>
    <w:rsid w:val="004A5301"/>
    <w:rsid w:val="004A5405"/>
    <w:rsid w:val="004A73D9"/>
    <w:rsid w:val="004C4B68"/>
    <w:rsid w:val="004C724D"/>
    <w:rsid w:val="004D3C3B"/>
    <w:rsid w:val="004E0AC7"/>
    <w:rsid w:val="004E533F"/>
    <w:rsid w:val="004E687C"/>
    <w:rsid w:val="004E6B37"/>
    <w:rsid w:val="004E70A4"/>
    <w:rsid w:val="004F75D4"/>
    <w:rsid w:val="004F7BB4"/>
    <w:rsid w:val="005028CB"/>
    <w:rsid w:val="00505227"/>
    <w:rsid w:val="00505279"/>
    <w:rsid w:val="00516ECA"/>
    <w:rsid w:val="0052344F"/>
    <w:rsid w:val="005235FD"/>
    <w:rsid w:val="005265AF"/>
    <w:rsid w:val="005269A3"/>
    <w:rsid w:val="00527266"/>
    <w:rsid w:val="005340E2"/>
    <w:rsid w:val="005358A8"/>
    <w:rsid w:val="00541183"/>
    <w:rsid w:val="00545E89"/>
    <w:rsid w:val="0055238A"/>
    <w:rsid w:val="005551A7"/>
    <w:rsid w:val="0055550D"/>
    <w:rsid w:val="00555DE5"/>
    <w:rsid w:val="005625B5"/>
    <w:rsid w:val="0056493F"/>
    <w:rsid w:val="005660CF"/>
    <w:rsid w:val="005668DD"/>
    <w:rsid w:val="00570D1B"/>
    <w:rsid w:val="00573E36"/>
    <w:rsid w:val="00574C9E"/>
    <w:rsid w:val="0058278E"/>
    <w:rsid w:val="00582DB4"/>
    <w:rsid w:val="00583635"/>
    <w:rsid w:val="005839DE"/>
    <w:rsid w:val="005878DB"/>
    <w:rsid w:val="0059617B"/>
    <w:rsid w:val="00596B9F"/>
    <w:rsid w:val="005A2023"/>
    <w:rsid w:val="005A2A83"/>
    <w:rsid w:val="005A6CD5"/>
    <w:rsid w:val="005B0A06"/>
    <w:rsid w:val="005B2F1E"/>
    <w:rsid w:val="005B511D"/>
    <w:rsid w:val="005B5170"/>
    <w:rsid w:val="005C3BE5"/>
    <w:rsid w:val="005D0F6E"/>
    <w:rsid w:val="005D18F0"/>
    <w:rsid w:val="005D3120"/>
    <w:rsid w:val="005E17B6"/>
    <w:rsid w:val="005E40A4"/>
    <w:rsid w:val="005E4D69"/>
    <w:rsid w:val="005E66D1"/>
    <w:rsid w:val="005F2A09"/>
    <w:rsid w:val="005F7CF4"/>
    <w:rsid w:val="00601597"/>
    <w:rsid w:val="00601A95"/>
    <w:rsid w:val="006047AA"/>
    <w:rsid w:val="00605A9B"/>
    <w:rsid w:val="00606EF7"/>
    <w:rsid w:val="00613CF8"/>
    <w:rsid w:val="00614854"/>
    <w:rsid w:val="00614F61"/>
    <w:rsid w:val="00615031"/>
    <w:rsid w:val="0061595F"/>
    <w:rsid w:val="0062004D"/>
    <w:rsid w:val="0062478D"/>
    <w:rsid w:val="006250A6"/>
    <w:rsid w:val="00625D64"/>
    <w:rsid w:val="0062761C"/>
    <w:rsid w:val="0063325C"/>
    <w:rsid w:val="00636503"/>
    <w:rsid w:val="00651CBF"/>
    <w:rsid w:val="00654DD4"/>
    <w:rsid w:val="00655ABF"/>
    <w:rsid w:val="006629EA"/>
    <w:rsid w:val="00665D91"/>
    <w:rsid w:val="00666CFF"/>
    <w:rsid w:val="00674F73"/>
    <w:rsid w:val="00680AA7"/>
    <w:rsid w:val="006846A9"/>
    <w:rsid w:val="0069214A"/>
    <w:rsid w:val="006938C9"/>
    <w:rsid w:val="0069631D"/>
    <w:rsid w:val="006A0D2F"/>
    <w:rsid w:val="006A1C9E"/>
    <w:rsid w:val="006A4FF6"/>
    <w:rsid w:val="006C18E2"/>
    <w:rsid w:val="006C7370"/>
    <w:rsid w:val="006D0E59"/>
    <w:rsid w:val="006D7514"/>
    <w:rsid w:val="006D7DCA"/>
    <w:rsid w:val="006E3956"/>
    <w:rsid w:val="006E4B95"/>
    <w:rsid w:val="006F3F78"/>
    <w:rsid w:val="006F7C60"/>
    <w:rsid w:val="00713374"/>
    <w:rsid w:val="00714EB4"/>
    <w:rsid w:val="007201F5"/>
    <w:rsid w:val="00732F37"/>
    <w:rsid w:val="00733B7D"/>
    <w:rsid w:val="00735626"/>
    <w:rsid w:val="00747D41"/>
    <w:rsid w:val="00752206"/>
    <w:rsid w:val="00752C23"/>
    <w:rsid w:val="0076227B"/>
    <w:rsid w:val="007648C8"/>
    <w:rsid w:val="00765C5C"/>
    <w:rsid w:val="00770F1E"/>
    <w:rsid w:val="00770F27"/>
    <w:rsid w:val="007824B0"/>
    <w:rsid w:val="007859C3"/>
    <w:rsid w:val="007902A1"/>
    <w:rsid w:val="00793166"/>
    <w:rsid w:val="00795D0A"/>
    <w:rsid w:val="00796EDB"/>
    <w:rsid w:val="007A500D"/>
    <w:rsid w:val="007B21F1"/>
    <w:rsid w:val="007B25E6"/>
    <w:rsid w:val="007C7225"/>
    <w:rsid w:val="007D4DB6"/>
    <w:rsid w:val="007D5C0A"/>
    <w:rsid w:val="007E7C2E"/>
    <w:rsid w:val="007F0B2B"/>
    <w:rsid w:val="007F2048"/>
    <w:rsid w:val="008003C3"/>
    <w:rsid w:val="00801971"/>
    <w:rsid w:val="0080294E"/>
    <w:rsid w:val="008035F9"/>
    <w:rsid w:val="008114CE"/>
    <w:rsid w:val="00817357"/>
    <w:rsid w:val="00821255"/>
    <w:rsid w:val="00826FE9"/>
    <w:rsid w:val="00830E9E"/>
    <w:rsid w:val="00850C6F"/>
    <w:rsid w:val="00852F58"/>
    <w:rsid w:val="008547D1"/>
    <w:rsid w:val="00856A11"/>
    <w:rsid w:val="00857B48"/>
    <w:rsid w:val="00872726"/>
    <w:rsid w:val="00874F5F"/>
    <w:rsid w:val="00880ED1"/>
    <w:rsid w:val="008814D4"/>
    <w:rsid w:val="008926D7"/>
    <w:rsid w:val="00893E8B"/>
    <w:rsid w:val="00894519"/>
    <w:rsid w:val="008955AA"/>
    <w:rsid w:val="008A35AF"/>
    <w:rsid w:val="008B0BCD"/>
    <w:rsid w:val="008C22BD"/>
    <w:rsid w:val="008C49DD"/>
    <w:rsid w:val="008C5B0D"/>
    <w:rsid w:val="008D0516"/>
    <w:rsid w:val="008E4232"/>
    <w:rsid w:val="008E49AD"/>
    <w:rsid w:val="008E5269"/>
    <w:rsid w:val="008F2269"/>
    <w:rsid w:val="00910532"/>
    <w:rsid w:val="00910B5F"/>
    <w:rsid w:val="00913BBE"/>
    <w:rsid w:val="0091757D"/>
    <w:rsid w:val="00920350"/>
    <w:rsid w:val="00922145"/>
    <w:rsid w:val="0092397B"/>
    <w:rsid w:val="00924719"/>
    <w:rsid w:val="0092674B"/>
    <w:rsid w:val="00942CD5"/>
    <w:rsid w:val="0095264E"/>
    <w:rsid w:val="00954BA0"/>
    <w:rsid w:val="00974036"/>
    <w:rsid w:val="009761E6"/>
    <w:rsid w:val="009845C3"/>
    <w:rsid w:val="00986907"/>
    <w:rsid w:val="0099411A"/>
    <w:rsid w:val="009A052B"/>
    <w:rsid w:val="009A1461"/>
    <w:rsid w:val="009A67BD"/>
    <w:rsid w:val="009A733C"/>
    <w:rsid w:val="009B0256"/>
    <w:rsid w:val="009B0638"/>
    <w:rsid w:val="009B093B"/>
    <w:rsid w:val="009B2BCC"/>
    <w:rsid w:val="009B632D"/>
    <w:rsid w:val="009B6DCE"/>
    <w:rsid w:val="009B76FE"/>
    <w:rsid w:val="009C03B0"/>
    <w:rsid w:val="009C1163"/>
    <w:rsid w:val="009C34FD"/>
    <w:rsid w:val="009C4B49"/>
    <w:rsid w:val="009D2BAD"/>
    <w:rsid w:val="009D5C65"/>
    <w:rsid w:val="009D5FE3"/>
    <w:rsid w:val="009D6AC0"/>
    <w:rsid w:val="009E3472"/>
    <w:rsid w:val="009E4FE0"/>
    <w:rsid w:val="009F571E"/>
    <w:rsid w:val="00A079EF"/>
    <w:rsid w:val="00A13749"/>
    <w:rsid w:val="00A21608"/>
    <w:rsid w:val="00A22F8E"/>
    <w:rsid w:val="00A2672C"/>
    <w:rsid w:val="00A26EA4"/>
    <w:rsid w:val="00A2796F"/>
    <w:rsid w:val="00A33D84"/>
    <w:rsid w:val="00A355AC"/>
    <w:rsid w:val="00A379A8"/>
    <w:rsid w:val="00A4123D"/>
    <w:rsid w:val="00A47DEE"/>
    <w:rsid w:val="00A616B6"/>
    <w:rsid w:val="00A7036C"/>
    <w:rsid w:val="00A707AC"/>
    <w:rsid w:val="00A75EF5"/>
    <w:rsid w:val="00A81C64"/>
    <w:rsid w:val="00A82051"/>
    <w:rsid w:val="00A826F3"/>
    <w:rsid w:val="00A87F95"/>
    <w:rsid w:val="00A929FA"/>
    <w:rsid w:val="00A92A04"/>
    <w:rsid w:val="00A935F7"/>
    <w:rsid w:val="00AA07AE"/>
    <w:rsid w:val="00AA1C59"/>
    <w:rsid w:val="00AA2F69"/>
    <w:rsid w:val="00AA41D7"/>
    <w:rsid w:val="00AA773A"/>
    <w:rsid w:val="00AC6D72"/>
    <w:rsid w:val="00AC71AD"/>
    <w:rsid w:val="00AD6D97"/>
    <w:rsid w:val="00AF2C9E"/>
    <w:rsid w:val="00AF2E9E"/>
    <w:rsid w:val="00AF37C4"/>
    <w:rsid w:val="00AF432F"/>
    <w:rsid w:val="00AF521A"/>
    <w:rsid w:val="00B00ED9"/>
    <w:rsid w:val="00B01C29"/>
    <w:rsid w:val="00B0362C"/>
    <w:rsid w:val="00B13C16"/>
    <w:rsid w:val="00B14BBE"/>
    <w:rsid w:val="00B15E7F"/>
    <w:rsid w:val="00B233C7"/>
    <w:rsid w:val="00B24F8B"/>
    <w:rsid w:val="00B271B6"/>
    <w:rsid w:val="00B32484"/>
    <w:rsid w:val="00B33978"/>
    <w:rsid w:val="00B34FFC"/>
    <w:rsid w:val="00B35B59"/>
    <w:rsid w:val="00B42B68"/>
    <w:rsid w:val="00B5177B"/>
    <w:rsid w:val="00B67FB1"/>
    <w:rsid w:val="00B72D46"/>
    <w:rsid w:val="00B80803"/>
    <w:rsid w:val="00B93463"/>
    <w:rsid w:val="00B97710"/>
    <w:rsid w:val="00BA3ADB"/>
    <w:rsid w:val="00BA4A45"/>
    <w:rsid w:val="00BA5B37"/>
    <w:rsid w:val="00BB5F8F"/>
    <w:rsid w:val="00BC2424"/>
    <w:rsid w:val="00BC40E2"/>
    <w:rsid w:val="00BC4413"/>
    <w:rsid w:val="00BC68A5"/>
    <w:rsid w:val="00BC6C8B"/>
    <w:rsid w:val="00BD0E82"/>
    <w:rsid w:val="00BE524F"/>
    <w:rsid w:val="00BF1B72"/>
    <w:rsid w:val="00BF330E"/>
    <w:rsid w:val="00BF55F1"/>
    <w:rsid w:val="00C12506"/>
    <w:rsid w:val="00C16570"/>
    <w:rsid w:val="00C17261"/>
    <w:rsid w:val="00C22128"/>
    <w:rsid w:val="00C30385"/>
    <w:rsid w:val="00C31DDF"/>
    <w:rsid w:val="00C3793A"/>
    <w:rsid w:val="00C5001F"/>
    <w:rsid w:val="00C5226D"/>
    <w:rsid w:val="00C57B47"/>
    <w:rsid w:val="00C60220"/>
    <w:rsid w:val="00C61068"/>
    <w:rsid w:val="00C741EB"/>
    <w:rsid w:val="00C74A2A"/>
    <w:rsid w:val="00C90DD4"/>
    <w:rsid w:val="00C91B22"/>
    <w:rsid w:val="00C94764"/>
    <w:rsid w:val="00CA450E"/>
    <w:rsid w:val="00CB50BF"/>
    <w:rsid w:val="00CB5118"/>
    <w:rsid w:val="00CB628E"/>
    <w:rsid w:val="00CB712E"/>
    <w:rsid w:val="00CB7F1D"/>
    <w:rsid w:val="00CC00BB"/>
    <w:rsid w:val="00CC35A1"/>
    <w:rsid w:val="00CC36ED"/>
    <w:rsid w:val="00CD4A92"/>
    <w:rsid w:val="00CD5210"/>
    <w:rsid w:val="00CE06DD"/>
    <w:rsid w:val="00CE2AEB"/>
    <w:rsid w:val="00CE3A79"/>
    <w:rsid w:val="00CE4305"/>
    <w:rsid w:val="00CE5203"/>
    <w:rsid w:val="00CF5018"/>
    <w:rsid w:val="00CF55D0"/>
    <w:rsid w:val="00CF650B"/>
    <w:rsid w:val="00CF704D"/>
    <w:rsid w:val="00D03F95"/>
    <w:rsid w:val="00D11756"/>
    <w:rsid w:val="00D126DD"/>
    <w:rsid w:val="00D12D6D"/>
    <w:rsid w:val="00D145FD"/>
    <w:rsid w:val="00D175BF"/>
    <w:rsid w:val="00D21CEE"/>
    <w:rsid w:val="00D247A1"/>
    <w:rsid w:val="00D277E9"/>
    <w:rsid w:val="00D31D6B"/>
    <w:rsid w:val="00D36511"/>
    <w:rsid w:val="00D44E97"/>
    <w:rsid w:val="00D52973"/>
    <w:rsid w:val="00D5332E"/>
    <w:rsid w:val="00D54EEC"/>
    <w:rsid w:val="00D6295F"/>
    <w:rsid w:val="00D65105"/>
    <w:rsid w:val="00D74BFF"/>
    <w:rsid w:val="00D81BE1"/>
    <w:rsid w:val="00D833E4"/>
    <w:rsid w:val="00D85B26"/>
    <w:rsid w:val="00D9041C"/>
    <w:rsid w:val="00D9379C"/>
    <w:rsid w:val="00DA15A6"/>
    <w:rsid w:val="00DA41FD"/>
    <w:rsid w:val="00DB2F0F"/>
    <w:rsid w:val="00DC332E"/>
    <w:rsid w:val="00DC3B2F"/>
    <w:rsid w:val="00DC41CD"/>
    <w:rsid w:val="00DD1A88"/>
    <w:rsid w:val="00DD3FDE"/>
    <w:rsid w:val="00DD43E2"/>
    <w:rsid w:val="00DD67E6"/>
    <w:rsid w:val="00DD7433"/>
    <w:rsid w:val="00DD7650"/>
    <w:rsid w:val="00DE054B"/>
    <w:rsid w:val="00DE1837"/>
    <w:rsid w:val="00DE261F"/>
    <w:rsid w:val="00DE6724"/>
    <w:rsid w:val="00DE6B98"/>
    <w:rsid w:val="00DE7BC2"/>
    <w:rsid w:val="00DF1579"/>
    <w:rsid w:val="00DF3A9C"/>
    <w:rsid w:val="00E02852"/>
    <w:rsid w:val="00E052E2"/>
    <w:rsid w:val="00E05D11"/>
    <w:rsid w:val="00E114D6"/>
    <w:rsid w:val="00E12950"/>
    <w:rsid w:val="00E22444"/>
    <w:rsid w:val="00E36571"/>
    <w:rsid w:val="00E4242C"/>
    <w:rsid w:val="00E425EE"/>
    <w:rsid w:val="00E44224"/>
    <w:rsid w:val="00E443ED"/>
    <w:rsid w:val="00E44B56"/>
    <w:rsid w:val="00E47B64"/>
    <w:rsid w:val="00E62AE1"/>
    <w:rsid w:val="00E6579A"/>
    <w:rsid w:val="00E834BB"/>
    <w:rsid w:val="00E9049E"/>
    <w:rsid w:val="00E93398"/>
    <w:rsid w:val="00E948BC"/>
    <w:rsid w:val="00EA082A"/>
    <w:rsid w:val="00EB2D8E"/>
    <w:rsid w:val="00EC3FDF"/>
    <w:rsid w:val="00EC6190"/>
    <w:rsid w:val="00EC7396"/>
    <w:rsid w:val="00ED0A6D"/>
    <w:rsid w:val="00ED66A8"/>
    <w:rsid w:val="00ED77B9"/>
    <w:rsid w:val="00EE45EE"/>
    <w:rsid w:val="00EF3A5B"/>
    <w:rsid w:val="00EF3B15"/>
    <w:rsid w:val="00F0005C"/>
    <w:rsid w:val="00F01190"/>
    <w:rsid w:val="00F06A9E"/>
    <w:rsid w:val="00F11F90"/>
    <w:rsid w:val="00F12A82"/>
    <w:rsid w:val="00F27C8B"/>
    <w:rsid w:val="00F30349"/>
    <w:rsid w:val="00F31BF5"/>
    <w:rsid w:val="00F35E24"/>
    <w:rsid w:val="00F42355"/>
    <w:rsid w:val="00F5618E"/>
    <w:rsid w:val="00F56925"/>
    <w:rsid w:val="00F57325"/>
    <w:rsid w:val="00F66497"/>
    <w:rsid w:val="00F66B1A"/>
    <w:rsid w:val="00F715C5"/>
    <w:rsid w:val="00F770C3"/>
    <w:rsid w:val="00F770FC"/>
    <w:rsid w:val="00F813DE"/>
    <w:rsid w:val="00F81679"/>
    <w:rsid w:val="00F93538"/>
    <w:rsid w:val="00F9420F"/>
    <w:rsid w:val="00FA36EC"/>
    <w:rsid w:val="00FA5F85"/>
    <w:rsid w:val="00FB026E"/>
    <w:rsid w:val="00FB2152"/>
    <w:rsid w:val="00FB3226"/>
    <w:rsid w:val="00FC3378"/>
    <w:rsid w:val="00FC4ECC"/>
    <w:rsid w:val="00FD2CB8"/>
    <w:rsid w:val="00FF0E7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7829129B"/>
  <w15:chartTrackingRefBased/>
  <w15:docId w15:val="{9707C0E0-9F81-4E33-963A-9769542D5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0EB"/>
  </w:style>
  <w:style w:type="paragraph" w:styleId="Titre1">
    <w:name w:val="heading 1"/>
    <w:basedOn w:val="Normal"/>
    <w:next w:val="Normal"/>
    <w:link w:val="Titre1Car"/>
    <w:uiPriority w:val="9"/>
    <w:qFormat/>
    <w:rsid w:val="00D651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5340E2"/>
    <w:pPr>
      <w:keepNext/>
      <w:keepLines/>
      <w:spacing w:before="40" w:after="0"/>
      <w:outlineLvl w:val="1"/>
    </w:pPr>
    <w:rPr>
      <w:rFonts w:asciiTheme="majorHAnsi" w:eastAsiaTheme="majorEastAsia" w:hAnsiTheme="majorHAnsi" w:cstheme="majorBidi"/>
      <w:color w:val="2F5496" w:themeColor="accent1" w:themeShade="BF"/>
      <w:kern w:val="2"/>
      <w:sz w:val="26"/>
      <w:szCs w:val="26"/>
      <w14:ligatures w14:val="standardContextual"/>
    </w:rPr>
  </w:style>
  <w:style w:type="paragraph" w:styleId="Titre3">
    <w:name w:val="heading 3"/>
    <w:aliases w:val="Centered"/>
    <w:basedOn w:val="Normal"/>
    <w:next w:val="Normal"/>
    <w:link w:val="Titre3Car"/>
    <w:uiPriority w:val="9"/>
    <w:unhideWhenUsed/>
    <w:qFormat/>
    <w:rsid w:val="004554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aliases w:val="Centred,Cen."/>
    <w:basedOn w:val="Normal"/>
    <w:next w:val="Normal"/>
    <w:link w:val="Titre4Car"/>
    <w:uiPriority w:val="9"/>
    <w:unhideWhenUsed/>
    <w:qFormat/>
    <w:rsid w:val="0045549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nhideWhenUsed/>
    <w:qFormat/>
    <w:rsid w:val="00455495"/>
    <w:pPr>
      <w:keepNext/>
      <w:keepLines/>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CB712E"/>
    <w:pPr>
      <w:keepNext/>
      <w:keepLines/>
      <w:spacing w:before="200" w:after="0" w:line="240" w:lineRule="auto"/>
      <w:ind w:left="3600"/>
      <w:outlineLvl w:val="5"/>
    </w:pPr>
    <w:rPr>
      <w:rFonts w:ascii="Cambria" w:eastAsia="Times New Roman" w:hAnsi="Cambria" w:cs="Times New Roman"/>
      <w:i/>
      <w:iCs/>
      <w:color w:val="243F60"/>
      <w:sz w:val="24"/>
      <w:szCs w:val="24"/>
      <w:lang w:eastAsia="fr-FR"/>
    </w:rPr>
  </w:style>
  <w:style w:type="paragraph" w:styleId="Titre7">
    <w:name w:val="heading 7"/>
    <w:basedOn w:val="Normal"/>
    <w:next w:val="Normal"/>
    <w:link w:val="Titre7Car"/>
    <w:uiPriority w:val="9"/>
    <w:unhideWhenUsed/>
    <w:qFormat/>
    <w:rsid w:val="00CB712E"/>
    <w:pPr>
      <w:keepNext/>
      <w:keepLines/>
      <w:spacing w:before="200" w:after="0" w:line="240" w:lineRule="auto"/>
      <w:ind w:left="4320"/>
      <w:outlineLvl w:val="6"/>
    </w:pPr>
    <w:rPr>
      <w:rFonts w:ascii="Cambria" w:eastAsia="Times New Roman" w:hAnsi="Cambria" w:cs="Times New Roman"/>
      <w:i/>
      <w:iCs/>
      <w:color w:val="404040"/>
      <w:sz w:val="24"/>
      <w:szCs w:val="24"/>
      <w:lang w:eastAsia="fr-FR"/>
    </w:rPr>
  </w:style>
  <w:style w:type="paragraph" w:styleId="Titre8">
    <w:name w:val="heading 8"/>
    <w:basedOn w:val="Normal"/>
    <w:next w:val="Normal"/>
    <w:link w:val="Titre8Car"/>
    <w:uiPriority w:val="9"/>
    <w:semiHidden/>
    <w:unhideWhenUsed/>
    <w:qFormat/>
    <w:rsid w:val="00CB712E"/>
    <w:pPr>
      <w:keepNext/>
      <w:keepLines/>
      <w:spacing w:before="200" w:after="0" w:line="240" w:lineRule="auto"/>
      <w:ind w:left="5040"/>
      <w:outlineLvl w:val="7"/>
    </w:pPr>
    <w:rPr>
      <w:rFonts w:ascii="Cambria" w:eastAsia="Times New Roman" w:hAnsi="Cambria" w:cs="Times New Roman"/>
      <w:color w:val="404040"/>
      <w:sz w:val="20"/>
      <w:szCs w:val="20"/>
      <w:lang w:eastAsia="fr-FR"/>
    </w:rPr>
  </w:style>
  <w:style w:type="paragraph" w:styleId="Titre9">
    <w:name w:val="heading 9"/>
    <w:basedOn w:val="Normal"/>
    <w:next w:val="Normal"/>
    <w:link w:val="Titre9Car"/>
    <w:qFormat/>
    <w:rsid w:val="00CB712E"/>
    <w:pPr>
      <w:keepNext/>
      <w:spacing w:after="0" w:line="240" w:lineRule="auto"/>
      <w:ind w:left="5760" w:right="-668"/>
      <w:jc w:val="lowKashida"/>
      <w:outlineLvl w:val="8"/>
    </w:pPr>
    <w:rPr>
      <w:rFonts w:ascii="Times New Roman" w:eastAsia="Times New Roman" w:hAnsi="Times New Roman" w:cs="Times New Roman"/>
      <w:b/>
      <w:bCs/>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340E2"/>
    <w:rPr>
      <w:color w:val="0563C1" w:themeColor="hyperlink"/>
      <w:u w:val="single"/>
    </w:rPr>
  </w:style>
  <w:style w:type="character" w:customStyle="1" w:styleId="Mentionnonrsolue1">
    <w:name w:val="Mention non résolue1"/>
    <w:basedOn w:val="Policepardfaut"/>
    <w:uiPriority w:val="99"/>
    <w:semiHidden/>
    <w:unhideWhenUsed/>
    <w:rsid w:val="005340E2"/>
    <w:rPr>
      <w:color w:val="605E5C"/>
      <w:shd w:val="clear" w:color="auto" w:fill="E1DFDD"/>
    </w:rPr>
  </w:style>
  <w:style w:type="paragraph" w:styleId="NormalWeb">
    <w:name w:val="Normal (Web)"/>
    <w:basedOn w:val="Normal"/>
    <w:link w:val="NormalWebCar"/>
    <w:uiPriority w:val="99"/>
    <w:unhideWhenUsed/>
    <w:rsid w:val="005340E2"/>
    <w:pPr>
      <w:spacing w:before="100" w:beforeAutospacing="1" w:after="100" w:afterAutospacing="1" w:line="240" w:lineRule="auto"/>
    </w:pPr>
    <w:rPr>
      <w:rFonts w:ascii="Times New Roman" w:eastAsia="Times New Roman" w:hAnsi="Times New Roman" w:cs="Times New Roman"/>
      <w:sz w:val="24"/>
      <w:szCs w:val="24"/>
      <w:lang w:val="wo-SN" w:eastAsia="wo-SN"/>
    </w:rPr>
  </w:style>
  <w:style w:type="character" w:customStyle="1" w:styleId="Titre2Car">
    <w:name w:val="Titre 2 Car"/>
    <w:basedOn w:val="Policepardfaut"/>
    <w:link w:val="Titre2"/>
    <w:uiPriority w:val="9"/>
    <w:rsid w:val="005340E2"/>
    <w:rPr>
      <w:rFonts w:asciiTheme="majorHAnsi" w:eastAsiaTheme="majorEastAsia" w:hAnsiTheme="majorHAnsi" w:cstheme="majorBidi"/>
      <w:color w:val="2F5496" w:themeColor="accent1" w:themeShade="BF"/>
      <w:kern w:val="2"/>
      <w:sz w:val="26"/>
      <w:szCs w:val="26"/>
      <w14:ligatures w14:val="standardContextual"/>
    </w:rPr>
  </w:style>
  <w:style w:type="character" w:customStyle="1" w:styleId="Titre1Car">
    <w:name w:val="Titre 1 Car"/>
    <w:basedOn w:val="Policepardfaut"/>
    <w:link w:val="Titre1"/>
    <w:uiPriority w:val="9"/>
    <w:rsid w:val="00D65105"/>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856A11"/>
    <w:pPr>
      <w:outlineLvl w:val="9"/>
    </w:pPr>
    <w:rPr>
      <w:lang w:eastAsia="fr-FR"/>
    </w:rPr>
  </w:style>
  <w:style w:type="paragraph" w:styleId="TM1">
    <w:name w:val="toc 1"/>
    <w:basedOn w:val="Normal"/>
    <w:next w:val="Normal"/>
    <w:autoRedefine/>
    <w:uiPriority w:val="39"/>
    <w:unhideWhenUsed/>
    <w:qFormat/>
    <w:rsid w:val="00FA36EC"/>
    <w:pPr>
      <w:tabs>
        <w:tab w:val="left" w:pos="284"/>
        <w:tab w:val="right" w:leader="dot" w:pos="9062"/>
      </w:tabs>
      <w:spacing w:after="100" w:line="240" w:lineRule="auto"/>
    </w:pPr>
    <w:rPr>
      <w:rFonts w:ascii="Century Gothic" w:eastAsia="Times New Roman" w:hAnsi="Century Gothic" w:cs="Times New Roman"/>
      <w:i/>
      <w:iCs/>
      <w:noProof/>
      <w:lang w:val="wo-SN" w:eastAsia="wo-SN"/>
    </w:rPr>
  </w:style>
  <w:style w:type="table" w:styleId="Grilledutableau">
    <w:name w:val="Table Grid"/>
    <w:basedOn w:val="TableauNormal"/>
    <w:uiPriority w:val="39"/>
    <w:rsid w:val="00BC4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Paragraphe de liste numéro,References,Liste 1,Numbered List Paragraph,ReferencesCxSpLast,List Paragraph nowy,123 List Paragraph,List_Paragraph,Multilevel para_II,Akapit z listą BS,Liste couleur - Accent 11,Medium Grid 1 - Accent 21,l"/>
    <w:basedOn w:val="Normal"/>
    <w:link w:val="ParagraphedelisteCar"/>
    <w:qFormat/>
    <w:rsid w:val="00BC4413"/>
    <w:pPr>
      <w:ind w:left="720"/>
      <w:contextualSpacing/>
    </w:pPr>
  </w:style>
  <w:style w:type="paragraph" w:styleId="TM2">
    <w:name w:val="toc 2"/>
    <w:basedOn w:val="Normal"/>
    <w:next w:val="Normal"/>
    <w:autoRedefine/>
    <w:uiPriority w:val="39"/>
    <w:unhideWhenUsed/>
    <w:qFormat/>
    <w:rsid w:val="009D5C65"/>
    <w:pPr>
      <w:spacing w:after="100"/>
      <w:ind w:left="220"/>
    </w:pPr>
  </w:style>
  <w:style w:type="paragraph" w:styleId="Notedebasdepage">
    <w:name w:val="footnote text"/>
    <w:aliases w:val="FOOTNOTES,fn,single space,footnote text,ALTS FOOTNOTE,Geneva 9,Font: Geneva 9,Boston 10,f,FußnotentextE,ADB,ft,Footnote Text Char1,Footnote Text Char Char,Footnote text,DSE note,Footnote Text Char1 Char,Footnote Text Char Char Char1"/>
    <w:basedOn w:val="Normal"/>
    <w:link w:val="NotedebasdepageCar"/>
    <w:uiPriority w:val="99"/>
    <w:unhideWhenUsed/>
    <w:qFormat/>
    <w:rsid w:val="00D31D6B"/>
    <w:pPr>
      <w:spacing w:after="0" w:line="240" w:lineRule="auto"/>
    </w:pPr>
    <w:rPr>
      <w:sz w:val="20"/>
      <w:szCs w:val="20"/>
    </w:rPr>
  </w:style>
  <w:style w:type="character" w:customStyle="1" w:styleId="NotedebasdepageCar">
    <w:name w:val="Note de bas de page Car"/>
    <w:aliases w:val="FOOTNOTES Car,fn Car,single space Car,footnote text Car,ALTS FOOTNOTE Car,Geneva 9 Car,Font: Geneva 9 Car,Boston 10 Car,f Car,FußnotentextE Car,ADB Car,ft Car,Footnote Text Char1 Car,Footnote Text Char Char Car,Footnote text Car"/>
    <w:basedOn w:val="Policepardfaut"/>
    <w:link w:val="Notedebasdepage"/>
    <w:uiPriority w:val="99"/>
    <w:rsid w:val="00D31D6B"/>
    <w:rPr>
      <w:sz w:val="20"/>
      <w:szCs w:val="20"/>
    </w:rPr>
  </w:style>
  <w:style w:type="character" w:styleId="Appelnotedebasdep">
    <w:name w:val="footnote reference"/>
    <w:aliases w:val="Ref,de nota al pie,16 Point,Superscript 6 Point,Ref Char Car Char Car Char Car,de nota al pie Char Car Char Car Char Car,16 Point Char Car Char Car Char Car,Superscript 6 Point Char Car Char Car Char Car,Appel note de bas de page"/>
    <w:basedOn w:val="Policepardfaut"/>
    <w:link w:val="RefCharCarCharCarChar"/>
    <w:uiPriority w:val="99"/>
    <w:unhideWhenUsed/>
    <w:qFormat/>
    <w:rsid w:val="00D31D6B"/>
    <w:rPr>
      <w:vertAlign w:val="superscript"/>
    </w:rPr>
  </w:style>
  <w:style w:type="paragraph" w:styleId="Sansinterligne">
    <w:name w:val="No Spacing"/>
    <w:link w:val="SansinterligneCar"/>
    <w:qFormat/>
    <w:rsid w:val="00CC00BB"/>
    <w:pPr>
      <w:spacing w:after="0" w:line="240" w:lineRule="auto"/>
    </w:pPr>
  </w:style>
  <w:style w:type="paragraph" w:styleId="Lgende">
    <w:name w:val="caption"/>
    <w:basedOn w:val="Normal"/>
    <w:next w:val="Normal"/>
    <w:uiPriority w:val="35"/>
    <w:unhideWhenUsed/>
    <w:qFormat/>
    <w:rsid w:val="0018014C"/>
    <w:pPr>
      <w:spacing w:after="200" w:line="240" w:lineRule="auto"/>
    </w:pPr>
    <w:rPr>
      <w:i/>
      <w:iCs/>
      <w:color w:val="44546A" w:themeColor="text2"/>
      <w:sz w:val="18"/>
      <w:szCs w:val="18"/>
    </w:rPr>
  </w:style>
  <w:style w:type="paragraph" w:styleId="Tabledesillustrations">
    <w:name w:val="table of figures"/>
    <w:basedOn w:val="Normal"/>
    <w:next w:val="Normal"/>
    <w:uiPriority w:val="99"/>
    <w:unhideWhenUsed/>
    <w:rsid w:val="0018014C"/>
    <w:pPr>
      <w:spacing w:after="0"/>
    </w:pPr>
  </w:style>
  <w:style w:type="character" w:customStyle="1" w:styleId="Titre3Car">
    <w:name w:val="Titre 3 Car"/>
    <w:aliases w:val="Centered Car"/>
    <w:basedOn w:val="Policepardfaut"/>
    <w:link w:val="Titre3"/>
    <w:uiPriority w:val="9"/>
    <w:rsid w:val="00455495"/>
    <w:rPr>
      <w:rFonts w:asciiTheme="majorHAnsi" w:eastAsiaTheme="majorEastAsia" w:hAnsiTheme="majorHAnsi" w:cstheme="majorBidi"/>
      <w:color w:val="1F3763" w:themeColor="accent1" w:themeShade="7F"/>
      <w:sz w:val="24"/>
      <w:szCs w:val="24"/>
    </w:rPr>
  </w:style>
  <w:style w:type="character" w:customStyle="1" w:styleId="Titre4Car">
    <w:name w:val="Titre 4 Car"/>
    <w:aliases w:val="Centred Car,Cen. Car"/>
    <w:basedOn w:val="Policepardfaut"/>
    <w:link w:val="Titre4"/>
    <w:uiPriority w:val="9"/>
    <w:rsid w:val="00455495"/>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rsid w:val="00455495"/>
    <w:rPr>
      <w:rFonts w:asciiTheme="majorHAnsi" w:eastAsiaTheme="majorEastAsia" w:hAnsiTheme="majorHAnsi" w:cstheme="majorBidi"/>
      <w:color w:val="2F5496" w:themeColor="accent1" w:themeShade="BF"/>
    </w:rPr>
  </w:style>
  <w:style w:type="character" w:styleId="lev">
    <w:name w:val="Strong"/>
    <w:basedOn w:val="Policepardfaut"/>
    <w:uiPriority w:val="22"/>
    <w:qFormat/>
    <w:rsid w:val="00455495"/>
    <w:rPr>
      <w:b/>
      <w:bCs/>
    </w:rPr>
  </w:style>
  <w:style w:type="character" w:styleId="Lienhypertextesuivivisit">
    <w:name w:val="FollowedHyperlink"/>
    <w:basedOn w:val="Policepardfaut"/>
    <w:uiPriority w:val="99"/>
    <w:semiHidden/>
    <w:unhideWhenUsed/>
    <w:rsid w:val="005D0F6E"/>
    <w:rPr>
      <w:color w:val="954F72" w:themeColor="followedHyperlink"/>
      <w:u w:val="single"/>
    </w:rPr>
  </w:style>
  <w:style w:type="character" w:styleId="Accentuation">
    <w:name w:val="Emphasis"/>
    <w:basedOn w:val="Policepardfaut"/>
    <w:qFormat/>
    <w:rsid w:val="001C5A7A"/>
    <w:rPr>
      <w:i/>
      <w:iCs/>
    </w:rPr>
  </w:style>
  <w:style w:type="paragraph" w:styleId="Rvision">
    <w:name w:val="Revision"/>
    <w:hidden/>
    <w:uiPriority w:val="99"/>
    <w:semiHidden/>
    <w:rsid w:val="00BF1B72"/>
    <w:pPr>
      <w:spacing w:after="0" w:line="240" w:lineRule="auto"/>
    </w:pPr>
  </w:style>
  <w:style w:type="paragraph" w:styleId="Textedebulles">
    <w:name w:val="Balloon Text"/>
    <w:basedOn w:val="Normal"/>
    <w:link w:val="TextedebullesCar"/>
    <w:unhideWhenUsed/>
    <w:qFormat/>
    <w:rsid w:val="00086C3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qFormat/>
    <w:rsid w:val="00086C3F"/>
    <w:rPr>
      <w:rFonts w:ascii="Segoe UI" w:hAnsi="Segoe UI" w:cs="Segoe UI"/>
      <w:sz w:val="18"/>
      <w:szCs w:val="18"/>
    </w:rPr>
  </w:style>
  <w:style w:type="character" w:customStyle="1" w:styleId="Mentionnonrsolue2">
    <w:name w:val="Mention non résolue2"/>
    <w:basedOn w:val="Policepardfaut"/>
    <w:uiPriority w:val="99"/>
    <w:semiHidden/>
    <w:unhideWhenUsed/>
    <w:rsid w:val="00F01190"/>
    <w:rPr>
      <w:color w:val="605E5C"/>
      <w:shd w:val="clear" w:color="auto" w:fill="E1DFDD"/>
    </w:rPr>
  </w:style>
  <w:style w:type="paragraph" w:styleId="TM3">
    <w:name w:val="toc 3"/>
    <w:basedOn w:val="Normal"/>
    <w:next w:val="Normal"/>
    <w:autoRedefine/>
    <w:uiPriority w:val="39"/>
    <w:unhideWhenUsed/>
    <w:qFormat/>
    <w:rsid w:val="00AC71AD"/>
    <w:pPr>
      <w:spacing w:after="100"/>
      <w:ind w:left="440"/>
    </w:pPr>
  </w:style>
  <w:style w:type="paragraph" w:styleId="Corpsdetexte">
    <w:name w:val="Body Text"/>
    <w:basedOn w:val="Normal"/>
    <w:link w:val="CorpsdetexteCar"/>
    <w:uiPriority w:val="1"/>
    <w:qFormat/>
    <w:rsid w:val="005625B5"/>
    <w:pPr>
      <w:widowControl w:val="0"/>
      <w:autoSpaceDE w:val="0"/>
      <w:autoSpaceDN w:val="0"/>
      <w:spacing w:before="150" w:after="0" w:line="240" w:lineRule="auto"/>
      <w:jc w:val="both"/>
    </w:pPr>
    <w:rPr>
      <w:rFonts w:ascii="Verdana" w:eastAsia="Verdana" w:hAnsi="Verdana" w:cs="Verdana"/>
      <w:sz w:val="24"/>
      <w:szCs w:val="24"/>
    </w:rPr>
  </w:style>
  <w:style w:type="character" w:customStyle="1" w:styleId="CorpsdetexteCar">
    <w:name w:val="Corps de texte Car"/>
    <w:basedOn w:val="Policepardfaut"/>
    <w:link w:val="Corpsdetexte"/>
    <w:uiPriority w:val="1"/>
    <w:rsid w:val="005625B5"/>
    <w:rPr>
      <w:rFonts w:ascii="Verdana" w:eastAsia="Verdana" w:hAnsi="Verdana" w:cs="Verdana"/>
      <w:sz w:val="24"/>
      <w:szCs w:val="24"/>
    </w:rPr>
  </w:style>
  <w:style w:type="paragraph" w:customStyle="1" w:styleId="Titre11">
    <w:name w:val="Titre 11"/>
    <w:basedOn w:val="Normal"/>
    <w:qFormat/>
    <w:rsid w:val="005625B5"/>
    <w:pPr>
      <w:widowControl w:val="0"/>
      <w:autoSpaceDE w:val="0"/>
      <w:autoSpaceDN w:val="0"/>
      <w:spacing w:after="0" w:line="240" w:lineRule="auto"/>
      <w:ind w:left="820" w:hanging="361"/>
      <w:outlineLvl w:val="1"/>
    </w:pPr>
    <w:rPr>
      <w:rFonts w:ascii="Tahoma" w:eastAsia="Tahoma" w:hAnsi="Tahoma" w:cs="Tahoma"/>
      <w:b/>
      <w:bCs/>
      <w:sz w:val="24"/>
      <w:szCs w:val="24"/>
    </w:rPr>
  </w:style>
  <w:style w:type="paragraph" w:styleId="Titre">
    <w:name w:val="Title"/>
    <w:basedOn w:val="Normal"/>
    <w:link w:val="TitreCar"/>
    <w:uiPriority w:val="10"/>
    <w:qFormat/>
    <w:rsid w:val="005625B5"/>
    <w:pPr>
      <w:widowControl w:val="0"/>
      <w:autoSpaceDE w:val="0"/>
      <w:autoSpaceDN w:val="0"/>
      <w:spacing w:before="86" w:after="0" w:line="240" w:lineRule="auto"/>
      <w:ind w:right="41"/>
      <w:jc w:val="center"/>
    </w:pPr>
    <w:rPr>
      <w:rFonts w:ascii="Tahoma" w:eastAsia="Tahoma" w:hAnsi="Tahoma" w:cs="Tahoma"/>
      <w:b/>
      <w:bCs/>
      <w:sz w:val="44"/>
      <w:szCs w:val="44"/>
    </w:rPr>
  </w:style>
  <w:style w:type="character" w:customStyle="1" w:styleId="TitreCar">
    <w:name w:val="Titre Car"/>
    <w:basedOn w:val="Policepardfaut"/>
    <w:link w:val="Titre"/>
    <w:uiPriority w:val="10"/>
    <w:rsid w:val="005625B5"/>
    <w:rPr>
      <w:rFonts w:ascii="Tahoma" w:eastAsia="Tahoma" w:hAnsi="Tahoma" w:cs="Tahoma"/>
      <w:b/>
      <w:bCs/>
      <w:sz w:val="44"/>
      <w:szCs w:val="44"/>
    </w:rPr>
  </w:style>
  <w:style w:type="character" w:customStyle="1" w:styleId="ParagraphedelisteCar">
    <w:name w:val="Paragraphe de liste Car"/>
    <w:aliases w:val="Paragraphe de liste numéro Car,References Car,Liste 1 Car,Numbered List Paragraph Car,ReferencesCxSpLast Car,List Paragraph nowy Car,123 List Paragraph Car,List_Paragraph Car,Multilevel para_II Car,Akapit z listą BS Car,l Car"/>
    <w:link w:val="Paragraphedeliste"/>
    <w:uiPriority w:val="34"/>
    <w:qFormat/>
    <w:rsid w:val="005625B5"/>
  </w:style>
  <w:style w:type="paragraph" w:styleId="En-tte">
    <w:name w:val="header"/>
    <w:basedOn w:val="Normal"/>
    <w:link w:val="En-tteCar"/>
    <w:uiPriority w:val="99"/>
    <w:unhideWhenUsed/>
    <w:rsid w:val="005625B5"/>
    <w:pPr>
      <w:tabs>
        <w:tab w:val="center" w:pos="4536"/>
        <w:tab w:val="right" w:pos="9072"/>
      </w:tabs>
    </w:pPr>
    <w:rPr>
      <w:rFonts w:ascii="Calibri" w:eastAsia="Calibri" w:hAnsi="Calibri" w:cs="Arial"/>
      <w:lang w:val="en-US"/>
    </w:rPr>
  </w:style>
  <w:style w:type="character" w:customStyle="1" w:styleId="En-tteCar">
    <w:name w:val="En-tête Car"/>
    <w:basedOn w:val="Policepardfaut"/>
    <w:link w:val="En-tte"/>
    <w:uiPriority w:val="99"/>
    <w:rsid w:val="005625B5"/>
    <w:rPr>
      <w:rFonts w:ascii="Calibri" w:eastAsia="Calibri" w:hAnsi="Calibri" w:cs="Arial"/>
      <w:lang w:val="en-US"/>
    </w:rPr>
  </w:style>
  <w:style w:type="paragraph" w:styleId="Pieddepage">
    <w:name w:val="footer"/>
    <w:basedOn w:val="Normal"/>
    <w:link w:val="PieddepageCar"/>
    <w:uiPriority w:val="99"/>
    <w:unhideWhenUsed/>
    <w:rsid w:val="005625B5"/>
    <w:pPr>
      <w:tabs>
        <w:tab w:val="center" w:pos="4536"/>
        <w:tab w:val="right" w:pos="9072"/>
      </w:tabs>
    </w:pPr>
    <w:rPr>
      <w:rFonts w:ascii="Calibri" w:eastAsia="Calibri" w:hAnsi="Calibri" w:cs="Arial"/>
      <w:lang w:val="en-US"/>
    </w:rPr>
  </w:style>
  <w:style w:type="character" w:customStyle="1" w:styleId="PieddepageCar">
    <w:name w:val="Pied de page Car"/>
    <w:basedOn w:val="Policepardfaut"/>
    <w:link w:val="Pieddepage"/>
    <w:uiPriority w:val="99"/>
    <w:rsid w:val="005625B5"/>
    <w:rPr>
      <w:rFonts w:ascii="Calibri" w:eastAsia="Calibri" w:hAnsi="Calibri" w:cs="Arial"/>
      <w:lang w:val="en-US"/>
    </w:rPr>
  </w:style>
  <w:style w:type="character" w:styleId="Mentionnonrsolue">
    <w:name w:val="Unresolved Mention"/>
    <w:uiPriority w:val="99"/>
    <w:semiHidden/>
    <w:unhideWhenUsed/>
    <w:rsid w:val="005625B5"/>
    <w:rPr>
      <w:color w:val="605E5C"/>
      <w:shd w:val="clear" w:color="auto" w:fill="E1DFDD"/>
    </w:rPr>
  </w:style>
  <w:style w:type="table" w:customStyle="1" w:styleId="TableNormal1">
    <w:name w:val="Table Normal1"/>
    <w:uiPriority w:val="2"/>
    <w:semiHidden/>
    <w:unhideWhenUsed/>
    <w:qFormat/>
    <w:rsid w:val="005625B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Marquedecommentaire">
    <w:name w:val="annotation reference"/>
    <w:basedOn w:val="Policepardfaut"/>
    <w:unhideWhenUsed/>
    <w:rsid w:val="005625B5"/>
    <w:rPr>
      <w:sz w:val="16"/>
      <w:szCs w:val="16"/>
    </w:rPr>
  </w:style>
  <w:style w:type="paragraph" w:styleId="Commentaire">
    <w:name w:val="annotation text"/>
    <w:basedOn w:val="Normal"/>
    <w:link w:val="CommentaireCar"/>
    <w:semiHidden/>
    <w:unhideWhenUsed/>
    <w:rsid w:val="005625B5"/>
    <w:pPr>
      <w:spacing w:line="240" w:lineRule="auto"/>
    </w:pPr>
    <w:rPr>
      <w:rFonts w:ascii="Calibri" w:eastAsia="Calibri" w:hAnsi="Calibri" w:cs="Arial"/>
      <w:sz w:val="20"/>
      <w:szCs w:val="20"/>
      <w:lang w:val="en-US"/>
    </w:rPr>
  </w:style>
  <w:style w:type="character" w:customStyle="1" w:styleId="CommentaireCar">
    <w:name w:val="Commentaire Car"/>
    <w:basedOn w:val="Policepardfaut"/>
    <w:link w:val="Commentaire"/>
    <w:semiHidden/>
    <w:rsid w:val="005625B5"/>
    <w:rPr>
      <w:rFonts w:ascii="Calibri" w:eastAsia="Calibri" w:hAnsi="Calibri" w:cs="Arial"/>
      <w:sz w:val="20"/>
      <w:szCs w:val="20"/>
      <w:lang w:val="en-US"/>
    </w:rPr>
  </w:style>
  <w:style w:type="paragraph" w:styleId="Objetducommentaire">
    <w:name w:val="annotation subject"/>
    <w:basedOn w:val="Commentaire"/>
    <w:next w:val="Commentaire"/>
    <w:link w:val="ObjetducommentaireCar"/>
    <w:semiHidden/>
    <w:unhideWhenUsed/>
    <w:rsid w:val="005625B5"/>
    <w:rPr>
      <w:b/>
      <w:bCs/>
    </w:rPr>
  </w:style>
  <w:style w:type="character" w:customStyle="1" w:styleId="ObjetducommentaireCar">
    <w:name w:val="Objet du commentaire Car"/>
    <w:basedOn w:val="CommentaireCar"/>
    <w:link w:val="Objetducommentaire"/>
    <w:semiHidden/>
    <w:rsid w:val="005625B5"/>
    <w:rPr>
      <w:rFonts w:ascii="Calibri" w:eastAsia="Calibri" w:hAnsi="Calibri" w:cs="Arial"/>
      <w:b/>
      <w:bCs/>
      <w:sz w:val="20"/>
      <w:szCs w:val="20"/>
      <w:lang w:val="en-US"/>
    </w:rPr>
  </w:style>
  <w:style w:type="paragraph" w:customStyle="1" w:styleId="Default">
    <w:name w:val="Default"/>
    <w:link w:val="DefaultChar"/>
    <w:rsid w:val="008F2269"/>
    <w:pPr>
      <w:autoSpaceDE w:val="0"/>
      <w:autoSpaceDN w:val="0"/>
      <w:adjustRightInd w:val="0"/>
      <w:spacing w:after="0" w:line="240" w:lineRule="auto"/>
    </w:pPr>
    <w:rPr>
      <w:rFonts w:ascii="Calibri" w:hAnsi="Calibri" w:cs="Calibri"/>
      <w:color w:val="000000"/>
      <w:sz w:val="24"/>
      <w:szCs w:val="24"/>
    </w:rPr>
  </w:style>
  <w:style w:type="paragraph" w:customStyle="1" w:styleId="ColorfulList-Accent11">
    <w:name w:val="Colorful List - Accent 11"/>
    <w:aliases w:val="List Paragraph1,List Paragraph (numbered (a)),Bullets,Lapis Bulleted List,Dot pt,F5 List Paragraph,No Spacing1,List Paragraph Char Char Char,Indicator Text,Numbered Para 1,Bullet 1,List Paragraph12,Bullet Points,MAIN CONTENT,L"/>
    <w:basedOn w:val="Normal"/>
    <w:link w:val="ColorfulList-Accent1Char"/>
    <w:uiPriority w:val="34"/>
    <w:qFormat/>
    <w:rsid w:val="008F2269"/>
    <w:pPr>
      <w:suppressAutoHyphens/>
      <w:autoSpaceDN w:val="0"/>
      <w:spacing w:after="0" w:line="240" w:lineRule="auto"/>
      <w:ind w:left="720"/>
      <w:textAlignment w:val="baseline"/>
    </w:pPr>
    <w:rPr>
      <w:rFonts w:ascii="Cambria" w:eastAsia="Times New Roman" w:hAnsi="Cambria" w:cs="Times New Roman"/>
      <w:sz w:val="24"/>
      <w:szCs w:val="24"/>
    </w:rPr>
  </w:style>
  <w:style w:type="paragraph" w:customStyle="1" w:styleId="NumberedParas">
    <w:name w:val="Numbered Paras"/>
    <w:basedOn w:val="Normal"/>
    <w:qFormat/>
    <w:rsid w:val="008F2269"/>
    <w:pPr>
      <w:numPr>
        <w:numId w:val="86"/>
      </w:numPr>
      <w:spacing w:after="0" w:line="240" w:lineRule="auto"/>
      <w:jc w:val="both"/>
    </w:pPr>
    <w:rPr>
      <w:rFonts w:ascii="Times New Roman" w:eastAsia="Times New Roman" w:hAnsi="Times New Roman" w:cs="Times New Roman"/>
      <w:noProof/>
      <w:lang w:val="en-US"/>
    </w:rPr>
  </w:style>
  <w:style w:type="table" w:customStyle="1" w:styleId="TableGrid2">
    <w:name w:val="Table Grid2"/>
    <w:basedOn w:val="TableauNormal"/>
    <w:uiPriority w:val="39"/>
    <w:rsid w:val="008F226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CharCarCharCarChar">
    <w:name w:val="Ref Char Car Char Car Char"/>
    <w:aliases w:val="de nota al pie Char Car Char Car Char,16 Point Char Car Char Car Char,Superscript 6 Point Char Car Char Car Char,ftref Char Car Char Car Char,BVI fnr Char Car Char Car Char,Ref Car Char"/>
    <w:basedOn w:val="Normal"/>
    <w:link w:val="Appelnotedebasdep"/>
    <w:uiPriority w:val="99"/>
    <w:rsid w:val="008F2269"/>
    <w:pPr>
      <w:spacing w:line="240" w:lineRule="exact"/>
    </w:pPr>
    <w:rPr>
      <w:vertAlign w:val="superscript"/>
    </w:rPr>
  </w:style>
  <w:style w:type="character" w:customStyle="1" w:styleId="Policepardfaut1">
    <w:name w:val="Police par défaut1"/>
    <w:rsid w:val="008F2269"/>
  </w:style>
  <w:style w:type="numbering" w:customStyle="1" w:styleId="WWOutlineListStyle6">
    <w:name w:val="WW_OutlineListStyle_6"/>
    <w:basedOn w:val="Aucuneliste"/>
    <w:rsid w:val="008F2269"/>
    <w:pPr>
      <w:numPr>
        <w:numId w:val="99"/>
      </w:numPr>
    </w:pPr>
  </w:style>
  <w:style w:type="paragraph" w:customStyle="1" w:styleId="Titre21">
    <w:name w:val="Titre 21"/>
    <w:basedOn w:val="Normal"/>
    <w:next w:val="Normal"/>
    <w:uiPriority w:val="9"/>
    <w:qFormat/>
    <w:rsid w:val="008F2269"/>
    <w:pPr>
      <w:keepNext/>
      <w:suppressAutoHyphens/>
      <w:autoSpaceDN w:val="0"/>
      <w:spacing w:before="120" w:after="120" w:line="240" w:lineRule="auto"/>
      <w:ind w:left="576" w:hanging="576"/>
      <w:jc w:val="both"/>
      <w:textAlignment w:val="baseline"/>
      <w:outlineLvl w:val="1"/>
    </w:pPr>
    <w:rPr>
      <w:rFonts w:ascii="Times New Roman" w:eastAsia="Times New Roman" w:hAnsi="Times New Roman" w:cs="Times New Roman"/>
      <w:b/>
      <w:bCs/>
      <w:sz w:val="24"/>
      <w:szCs w:val="24"/>
      <w:lang w:eastAsia="fr-FR"/>
    </w:rPr>
  </w:style>
  <w:style w:type="paragraph" w:customStyle="1" w:styleId="Titre31">
    <w:name w:val="Titre 31"/>
    <w:basedOn w:val="Normal"/>
    <w:next w:val="Normal"/>
    <w:uiPriority w:val="99"/>
    <w:rsid w:val="008F2269"/>
    <w:pPr>
      <w:keepNext/>
      <w:suppressAutoHyphens/>
      <w:autoSpaceDN w:val="0"/>
      <w:spacing w:after="0" w:line="240" w:lineRule="auto"/>
      <w:ind w:left="720" w:hanging="720"/>
      <w:textAlignment w:val="baseline"/>
      <w:outlineLvl w:val="2"/>
    </w:pPr>
    <w:rPr>
      <w:rFonts w:ascii="Arial" w:eastAsia="Times New Roman" w:hAnsi="Arial" w:cs="Arial"/>
      <w:b/>
      <w:bCs/>
      <w:sz w:val="24"/>
      <w:szCs w:val="24"/>
      <w:lang w:eastAsia="fr-FR"/>
    </w:rPr>
  </w:style>
  <w:style w:type="paragraph" w:customStyle="1" w:styleId="Titre41">
    <w:name w:val="Titre 41"/>
    <w:basedOn w:val="Normal"/>
    <w:next w:val="Normal"/>
    <w:rsid w:val="008F2269"/>
    <w:pPr>
      <w:keepNext/>
      <w:suppressAutoHyphens/>
      <w:autoSpaceDN w:val="0"/>
      <w:spacing w:before="120" w:after="0" w:line="240" w:lineRule="auto"/>
      <w:ind w:left="864" w:hanging="864"/>
      <w:textAlignment w:val="baseline"/>
      <w:outlineLvl w:val="3"/>
    </w:pPr>
    <w:rPr>
      <w:rFonts w:ascii="Arial" w:eastAsia="Times New Roman" w:hAnsi="Arial" w:cs="Arial"/>
      <w:b/>
      <w:bCs/>
      <w:color w:val="1F497D"/>
      <w:sz w:val="24"/>
      <w:szCs w:val="24"/>
      <w:lang w:eastAsia="fr-FR"/>
    </w:rPr>
  </w:style>
  <w:style w:type="paragraph" w:customStyle="1" w:styleId="Titre51">
    <w:name w:val="Titre 51"/>
    <w:basedOn w:val="Normal"/>
    <w:next w:val="Normal"/>
    <w:rsid w:val="008F2269"/>
    <w:pPr>
      <w:keepNext/>
      <w:suppressAutoHyphens/>
      <w:autoSpaceDN w:val="0"/>
      <w:spacing w:after="0" w:line="240" w:lineRule="auto"/>
      <w:ind w:left="1008" w:hanging="1008"/>
      <w:jc w:val="center"/>
      <w:textAlignment w:val="baseline"/>
      <w:outlineLvl w:val="4"/>
    </w:pPr>
    <w:rPr>
      <w:rFonts w:ascii="Arial" w:eastAsia="Times New Roman" w:hAnsi="Arial" w:cs="Arial"/>
      <w:sz w:val="52"/>
      <w:szCs w:val="24"/>
      <w:lang w:eastAsia="fr-FR"/>
    </w:rPr>
  </w:style>
  <w:style w:type="paragraph" w:customStyle="1" w:styleId="Titre61">
    <w:name w:val="Titre 61"/>
    <w:basedOn w:val="Normal"/>
    <w:next w:val="Normal"/>
    <w:uiPriority w:val="99"/>
    <w:rsid w:val="008F2269"/>
    <w:pPr>
      <w:keepNext/>
      <w:suppressAutoHyphens/>
      <w:autoSpaceDN w:val="0"/>
      <w:spacing w:after="0" w:line="240" w:lineRule="auto"/>
      <w:ind w:left="1152" w:hanging="1152"/>
      <w:jc w:val="center"/>
      <w:textAlignment w:val="baseline"/>
      <w:outlineLvl w:val="5"/>
    </w:pPr>
    <w:rPr>
      <w:rFonts w:ascii="Times New Roman" w:eastAsia="Times New Roman" w:hAnsi="Times New Roman" w:cs="Times New Roman"/>
      <w:b/>
      <w:bCs/>
      <w:sz w:val="24"/>
      <w:szCs w:val="24"/>
      <w:lang w:eastAsia="fr-FR"/>
    </w:rPr>
  </w:style>
  <w:style w:type="paragraph" w:customStyle="1" w:styleId="Titre71">
    <w:name w:val="Titre 71"/>
    <w:basedOn w:val="Normal"/>
    <w:next w:val="Normal"/>
    <w:uiPriority w:val="1"/>
    <w:qFormat/>
    <w:rsid w:val="008F2269"/>
    <w:pPr>
      <w:keepNext/>
      <w:suppressAutoHyphens/>
      <w:autoSpaceDN w:val="0"/>
      <w:spacing w:after="0" w:line="240" w:lineRule="auto"/>
      <w:ind w:left="1296" w:hanging="1296"/>
      <w:textAlignment w:val="baseline"/>
      <w:outlineLvl w:val="6"/>
    </w:pPr>
    <w:rPr>
      <w:rFonts w:ascii="Times New Roman" w:eastAsia="Times New Roman" w:hAnsi="Times New Roman" w:cs="Times New Roman"/>
      <w:b/>
      <w:bCs/>
      <w:sz w:val="24"/>
      <w:szCs w:val="24"/>
      <w:lang w:eastAsia="fr-FR"/>
    </w:rPr>
  </w:style>
  <w:style w:type="paragraph" w:customStyle="1" w:styleId="Titre81">
    <w:name w:val="Titre 81"/>
    <w:basedOn w:val="Normal"/>
    <w:next w:val="Normal"/>
    <w:uiPriority w:val="99"/>
    <w:rsid w:val="008F2269"/>
    <w:pPr>
      <w:keepNext/>
      <w:suppressAutoHyphens/>
      <w:autoSpaceDN w:val="0"/>
      <w:spacing w:after="0" w:line="240" w:lineRule="auto"/>
      <w:ind w:left="1440" w:hanging="1440"/>
      <w:jc w:val="center"/>
      <w:textAlignment w:val="baseline"/>
      <w:outlineLvl w:val="7"/>
    </w:pPr>
    <w:rPr>
      <w:rFonts w:ascii="Times New Roman" w:eastAsia="Times New Roman" w:hAnsi="Times New Roman" w:cs="Times New Roman"/>
      <w:color w:val="FFFFFF"/>
      <w:sz w:val="96"/>
      <w:szCs w:val="24"/>
      <w:lang w:eastAsia="fr-FR"/>
    </w:rPr>
  </w:style>
  <w:style w:type="paragraph" w:customStyle="1" w:styleId="Titre91">
    <w:name w:val="Titre 91"/>
    <w:basedOn w:val="Normal"/>
    <w:next w:val="Normal"/>
    <w:rsid w:val="008F2269"/>
    <w:pPr>
      <w:keepNext/>
      <w:suppressAutoHyphens/>
      <w:autoSpaceDN w:val="0"/>
      <w:spacing w:after="0" w:line="240" w:lineRule="auto"/>
      <w:ind w:left="1584" w:hanging="1584"/>
      <w:jc w:val="center"/>
      <w:textAlignment w:val="baseline"/>
      <w:outlineLvl w:val="8"/>
    </w:pPr>
    <w:rPr>
      <w:rFonts w:ascii="Arial" w:eastAsia="Times New Roman" w:hAnsi="Arial" w:cs="Arial"/>
      <w:b/>
      <w:bCs/>
      <w:color w:val="33CCCC"/>
      <w:sz w:val="36"/>
      <w:szCs w:val="24"/>
      <w:lang w:eastAsia="fr-FR"/>
    </w:rPr>
  </w:style>
  <w:style w:type="paragraph" w:customStyle="1" w:styleId="Paragraphedeliste1">
    <w:name w:val="Paragraphe de liste1"/>
    <w:basedOn w:val="Normal"/>
    <w:rsid w:val="008F2269"/>
    <w:pPr>
      <w:suppressAutoHyphens/>
      <w:autoSpaceDN w:val="0"/>
      <w:spacing w:line="240" w:lineRule="auto"/>
      <w:ind w:left="720"/>
      <w:textAlignment w:val="baseline"/>
    </w:pPr>
    <w:rPr>
      <w:rFonts w:ascii="Calibri" w:eastAsia="Calibri" w:hAnsi="Calibri" w:cs="Times New Roman"/>
    </w:rPr>
  </w:style>
  <w:style w:type="paragraph" w:customStyle="1" w:styleId="En-tte1">
    <w:name w:val="En-tête1"/>
    <w:basedOn w:val="Normal"/>
    <w:rsid w:val="008F2269"/>
    <w:pPr>
      <w:tabs>
        <w:tab w:val="center" w:pos="4536"/>
        <w:tab w:val="right" w:pos="9072"/>
      </w:tabs>
      <w:suppressAutoHyphens/>
      <w:autoSpaceDN w:val="0"/>
      <w:spacing w:after="0" w:line="240" w:lineRule="auto"/>
      <w:textAlignment w:val="baseline"/>
    </w:pPr>
    <w:rPr>
      <w:rFonts w:ascii="Calibri" w:eastAsia="Calibri" w:hAnsi="Calibri" w:cs="Times New Roman"/>
    </w:rPr>
  </w:style>
  <w:style w:type="character" w:customStyle="1" w:styleId="PieddepageCar1">
    <w:name w:val="Pied de page Car1"/>
    <w:basedOn w:val="Policepardfaut"/>
    <w:uiPriority w:val="99"/>
    <w:rsid w:val="008F2269"/>
  </w:style>
  <w:style w:type="paragraph" w:styleId="PrformatHTML">
    <w:name w:val="HTML Preformatted"/>
    <w:basedOn w:val="Normal"/>
    <w:link w:val="PrformatHTMLCar"/>
    <w:uiPriority w:val="99"/>
    <w:unhideWhenUsed/>
    <w:rsid w:val="008F2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8F2269"/>
    <w:rPr>
      <w:rFonts w:ascii="Courier New" w:eastAsia="Times New Roman" w:hAnsi="Courier New" w:cs="Courier New"/>
      <w:sz w:val="20"/>
      <w:szCs w:val="20"/>
      <w:lang w:eastAsia="fr-FR"/>
    </w:rPr>
  </w:style>
  <w:style w:type="character" w:styleId="Numrodepage">
    <w:name w:val="page number"/>
    <w:basedOn w:val="Policepardfaut"/>
    <w:uiPriority w:val="99"/>
    <w:semiHidden/>
    <w:unhideWhenUsed/>
    <w:rsid w:val="008F2269"/>
  </w:style>
  <w:style w:type="character" w:customStyle="1" w:styleId="hgkelc">
    <w:name w:val="hgkelc"/>
    <w:basedOn w:val="Policepardfaut"/>
    <w:rsid w:val="008F2269"/>
  </w:style>
  <w:style w:type="character" w:customStyle="1" w:styleId="kx21rb">
    <w:name w:val="kx21rb"/>
    <w:basedOn w:val="Policepardfaut"/>
    <w:rsid w:val="008F2269"/>
  </w:style>
  <w:style w:type="character" w:customStyle="1" w:styleId="rich-text-section">
    <w:name w:val="rich-text-section"/>
    <w:basedOn w:val="Policepardfaut"/>
    <w:rsid w:val="008F2269"/>
  </w:style>
  <w:style w:type="character" w:customStyle="1" w:styleId="ColorfulList-Accent1Char">
    <w:name w:val="Colorful List - Accent 1 Char"/>
    <w:aliases w:val="List Paragraph1 Char,List Paragraph (numbered (a)) Char,Bullets Char,Lapis Bulleted List Char,Dot pt Char,F5 List Paragraph Char,No Spacing1 Char,List Paragraph Char Char Char Char,Indicator Text Char,Numbered Para 1 Char"/>
    <w:link w:val="ColorfulList-Accent11"/>
    <w:uiPriority w:val="34"/>
    <w:qFormat/>
    <w:locked/>
    <w:rsid w:val="008F2269"/>
    <w:rPr>
      <w:rFonts w:ascii="Cambria" w:eastAsia="Times New Roman" w:hAnsi="Cambria" w:cs="Times New Roman"/>
      <w:sz w:val="24"/>
      <w:szCs w:val="24"/>
    </w:rPr>
  </w:style>
  <w:style w:type="paragraph" w:customStyle="1" w:styleId="FrameContents">
    <w:name w:val="Frame Contents"/>
    <w:basedOn w:val="Normal"/>
    <w:qFormat/>
    <w:rsid w:val="008F2269"/>
    <w:pPr>
      <w:spacing w:before="40" w:line="288" w:lineRule="auto"/>
    </w:pPr>
    <w:rPr>
      <w:rFonts w:eastAsia="SimSun"/>
      <w:color w:val="595959" w:themeColor="text1" w:themeTint="A6"/>
      <w:kern w:val="2"/>
      <w:sz w:val="20"/>
      <w:szCs w:val="20"/>
      <w:lang w:val="en-US"/>
    </w:rPr>
  </w:style>
  <w:style w:type="character" w:customStyle="1" w:styleId="Titre6Car">
    <w:name w:val="Titre 6 Car"/>
    <w:basedOn w:val="Policepardfaut"/>
    <w:link w:val="Titre6"/>
    <w:uiPriority w:val="9"/>
    <w:semiHidden/>
    <w:rsid w:val="00CB712E"/>
    <w:rPr>
      <w:rFonts w:ascii="Cambria" w:eastAsia="Times New Roman" w:hAnsi="Cambria" w:cs="Times New Roman"/>
      <w:i/>
      <w:iCs/>
      <w:color w:val="243F60"/>
      <w:sz w:val="24"/>
      <w:szCs w:val="24"/>
      <w:lang w:eastAsia="fr-FR"/>
    </w:rPr>
  </w:style>
  <w:style w:type="character" w:customStyle="1" w:styleId="Titre7Car">
    <w:name w:val="Titre 7 Car"/>
    <w:basedOn w:val="Policepardfaut"/>
    <w:link w:val="Titre7"/>
    <w:uiPriority w:val="9"/>
    <w:rsid w:val="00CB712E"/>
    <w:rPr>
      <w:rFonts w:ascii="Cambria" w:eastAsia="Times New Roman" w:hAnsi="Cambria" w:cs="Times New Roman"/>
      <w:i/>
      <w:iCs/>
      <w:color w:val="404040"/>
      <w:sz w:val="24"/>
      <w:szCs w:val="24"/>
      <w:lang w:eastAsia="fr-FR"/>
    </w:rPr>
  </w:style>
  <w:style w:type="character" w:customStyle="1" w:styleId="Titre8Car">
    <w:name w:val="Titre 8 Car"/>
    <w:basedOn w:val="Policepardfaut"/>
    <w:link w:val="Titre8"/>
    <w:uiPriority w:val="9"/>
    <w:semiHidden/>
    <w:rsid w:val="00CB712E"/>
    <w:rPr>
      <w:rFonts w:ascii="Cambria" w:eastAsia="Times New Roman" w:hAnsi="Cambria" w:cs="Times New Roman"/>
      <w:color w:val="404040"/>
      <w:sz w:val="20"/>
      <w:szCs w:val="20"/>
      <w:lang w:eastAsia="fr-FR"/>
    </w:rPr>
  </w:style>
  <w:style w:type="character" w:customStyle="1" w:styleId="Titre9Car">
    <w:name w:val="Titre 9 Car"/>
    <w:basedOn w:val="Policepardfaut"/>
    <w:link w:val="Titre9"/>
    <w:rsid w:val="00CB712E"/>
    <w:rPr>
      <w:rFonts w:ascii="Times New Roman" w:eastAsia="Times New Roman" w:hAnsi="Times New Roman" w:cs="Times New Roman"/>
      <w:b/>
      <w:bCs/>
      <w:sz w:val="28"/>
      <w:szCs w:val="28"/>
      <w:lang w:eastAsia="fr-FR"/>
    </w:rPr>
  </w:style>
  <w:style w:type="character" w:customStyle="1" w:styleId="note1">
    <w:name w:val="note1"/>
    <w:basedOn w:val="Policepardfaut"/>
    <w:rsid w:val="00CB712E"/>
    <w:rPr>
      <w:sz w:val="19"/>
      <w:szCs w:val="19"/>
    </w:rPr>
  </w:style>
  <w:style w:type="paragraph" w:customStyle="1" w:styleId="Titre111">
    <w:name w:val="Titre 1.1.1"/>
    <w:basedOn w:val="Normal"/>
    <w:rsid w:val="00CB712E"/>
    <w:pPr>
      <w:spacing w:after="360" w:line="240" w:lineRule="auto"/>
      <w:ind w:firstLine="709"/>
      <w:jc w:val="both"/>
      <w:outlineLvl w:val="2"/>
    </w:pPr>
    <w:rPr>
      <w:rFonts w:ascii="Times New Roman" w:eastAsia="Times New Roman" w:hAnsi="Times New Roman" w:cs="Times New Roman"/>
      <w:sz w:val="24"/>
      <w:szCs w:val="24"/>
      <w:lang w:eastAsia="fr-CA"/>
    </w:rPr>
  </w:style>
  <w:style w:type="paragraph" w:customStyle="1" w:styleId="d2k-page">
    <w:name w:val="d2k-page"/>
    <w:basedOn w:val="Normal"/>
    <w:rsid w:val="00CB712E"/>
    <w:pPr>
      <w:spacing w:before="100" w:beforeAutospacing="1" w:after="100" w:afterAutospacing="1" w:line="240" w:lineRule="auto"/>
    </w:pPr>
    <w:rPr>
      <w:rFonts w:ascii="Arial" w:eastAsia="Times New Roman" w:hAnsi="Arial" w:cs="Arial"/>
      <w:sz w:val="24"/>
      <w:szCs w:val="24"/>
      <w:lang w:eastAsia="fr-FR"/>
    </w:rPr>
  </w:style>
  <w:style w:type="paragraph" w:styleId="Corpsdetexte2">
    <w:name w:val="Body Text 2"/>
    <w:basedOn w:val="Normal"/>
    <w:link w:val="Corpsdetexte2Car"/>
    <w:rsid w:val="00CB712E"/>
    <w:pPr>
      <w:spacing w:after="0" w:line="240" w:lineRule="auto"/>
      <w:ind w:right="-668"/>
      <w:jc w:val="lowKashida"/>
    </w:pPr>
    <w:rPr>
      <w:rFonts w:ascii="Times New Roman" w:eastAsia="Times New Roman" w:hAnsi="Times New Roman" w:cs="Times New Roman"/>
      <w:sz w:val="28"/>
      <w:szCs w:val="28"/>
      <w:lang w:eastAsia="fr-FR"/>
    </w:rPr>
  </w:style>
  <w:style w:type="character" w:customStyle="1" w:styleId="Corpsdetexte2Car">
    <w:name w:val="Corps de texte 2 Car"/>
    <w:basedOn w:val="Policepardfaut"/>
    <w:link w:val="Corpsdetexte2"/>
    <w:rsid w:val="00CB712E"/>
    <w:rPr>
      <w:rFonts w:ascii="Times New Roman" w:eastAsia="Times New Roman" w:hAnsi="Times New Roman" w:cs="Times New Roman"/>
      <w:sz w:val="28"/>
      <w:szCs w:val="28"/>
      <w:lang w:eastAsia="fr-FR"/>
    </w:rPr>
  </w:style>
  <w:style w:type="paragraph" w:customStyle="1" w:styleId="note">
    <w:name w:val="note"/>
    <w:basedOn w:val="Normal"/>
    <w:rsid w:val="00CB712E"/>
    <w:pPr>
      <w:spacing w:before="100" w:beforeAutospacing="1" w:after="100" w:afterAutospacing="1" w:line="240" w:lineRule="auto"/>
    </w:pPr>
    <w:rPr>
      <w:rFonts w:ascii="Arial" w:eastAsia="Times New Roman" w:hAnsi="Arial" w:cs="Arial"/>
      <w:sz w:val="19"/>
      <w:szCs w:val="19"/>
      <w:lang w:eastAsia="fr-FR"/>
    </w:rPr>
  </w:style>
  <w:style w:type="character" w:customStyle="1" w:styleId="SansinterligneCar">
    <w:name w:val="Sans interligne Car"/>
    <w:basedOn w:val="Policepardfaut"/>
    <w:link w:val="Sansinterligne"/>
    <w:rsid w:val="00CB712E"/>
  </w:style>
  <w:style w:type="paragraph" w:customStyle="1" w:styleId="TableParagraph">
    <w:name w:val="Table Paragraph"/>
    <w:basedOn w:val="Normal"/>
    <w:uiPriority w:val="1"/>
    <w:qFormat/>
    <w:rsid w:val="00CB712E"/>
    <w:pPr>
      <w:spacing w:after="0" w:line="240" w:lineRule="auto"/>
    </w:pPr>
    <w:rPr>
      <w:rFonts w:ascii="Trebuchet MS" w:eastAsia="Trebuchet MS" w:hAnsi="Trebuchet MS" w:cs="Trebuchet MS"/>
      <w:sz w:val="24"/>
      <w:szCs w:val="24"/>
      <w:lang w:eastAsia="fr-FR"/>
    </w:rPr>
  </w:style>
  <w:style w:type="character" w:customStyle="1" w:styleId="apple-converted-space">
    <w:name w:val="apple-converted-space"/>
    <w:basedOn w:val="Policepardfaut"/>
    <w:rsid w:val="00CB712E"/>
  </w:style>
  <w:style w:type="table" w:customStyle="1" w:styleId="TableNormal">
    <w:name w:val="Table Normal"/>
    <w:uiPriority w:val="2"/>
    <w:semiHidden/>
    <w:unhideWhenUsed/>
    <w:qFormat/>
    <w:rsid w:val="00CB712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katex-mathml">
    <w:name w:val="katex-mathml"/>
    <w:basedOn w:val="Policepardfaut"/>
    <w:rsid w:val="00CB712E"/>
  </w:style>
  <w:style w:type="character" w:customStyle="1" w:styleId="mord">
    <w:name w:val="mord"/>
    <w:basedOn w:val="Policepardfaut"/>
    <w:rsid w:val="00CB712E"/>
  </w:style>
  <w:style w:type="character" w:customStyle="1" w:styleId="mrel">
    <w:name w:val="mrel"/>
    <w:basedOn w:val="Policepardfaut"/>
    <w:rsid w:val="00CB712E"/>
  </w:style>
  <w:style w:type="character" w:customStyle="1" w:styleId="mopen">
    <w:name w:val="mopen"/>
    <w:basedOn w:val="Policepardfaut"/>
    <w:rsid w:val="00CB712E"/>
  </w:style>
  <w:style w:type="character" w:customStyle="1" w:styleId="mpunct">
    <w:name w:val="mpunct"/>
    <w:basedOn w:val="Policepardfaut"/>
    <w:rsid w:val="00CB712E"/>
  </w:style>
  <w:style w:type="character" w:customStyle="1" w:styleId="mbin">
    <w:name w:val="mbin"/>
    <w:basedOn w:val="Policepardfaut"/>
    <w:rsid w:val="00CB712E"/>
  </w:style>
  <w:style w:type="character" w:customStyle="1" w:styleId="vlist-s">
    <w:name w:val="vlist-s"/>
    <w:basedOn w:val="Policepardfaut"/>
    <w:rsid w:val="00CB712E"/>
  </w:style>
  <w:style w:type="character" w:customStyle="1" w:styleId="mclose">
    <w:name w:val="mclose"/>
    <w:basedOn w:val="Policepardfaut"/>
    <w:rsid w:val="00CB712E"/>
  </w:style>
  <w:style w:type="paragraph" w:styleId="TM4">
    <w:name w:val="toc 4"/>
    <w:basedOn w:val="Normal"/>
    <w:next w:val="Normal"/>
    <w:autoRedefine/>
    <w:uiPriority w:val="39"/>
    <w:unhideWhenUsed/>
    <w:rsid w:val="00CB712E"/>
    <w:pPr>
      <w:spacing w:after="0" w:line="240" w:lineRule="auto"/>
      <w:ind w:left="720"/>
    </w:pPr>
    <w:rPr>
      <w:rFonts w:eastAsia="Times New Roman" w:cstheme="minorHAnsi"/>
      <w:sz w:val="20"/>
      <w:szCs w:val="20"/>
      <w:lang w:eastAsia="fr-FR"/>
    </w:rPr>
  </w:style>
  <w:style w:type="paragraph" w:styleId="TM5">
    <w:name w:val="toc 5"/>
    <w:basedOn w:val="Normal"/>
    <w:next w:val="Normal"/>
    <w:autoRedefine/>
    <w:uiPriority w:val="39"/>
    <w:unhideWhenUsed/>
    <w:rsid w:val="00CB712E"/>
    <w:pPr>
      <w:spacing w:after="0" w:line="240" w:lineRule="auto"/>
      <w:ind w:left="960"/>
    </w:pPr>
    <w:rPr>
      <w:rFonts w:eastAsia="Times New Roman" w:cstheme="minorHAnsi"/>
      <w:sz w:val="20"/>
      <w:szCs w:val="20"/>
      <w:lang w:eastAsia="fr-FR"/>
    </w:rPr>
  </w:style>
  <w:style w:type="paragraph" w:styleId="TM6">
    <w:name w:val="toc 6"/>
    <w:basedOn w:val="Normal"/>
    <w:next w:val="Normal"/>
    <w:autoRedefine/>
    <w:uiPriority w:val="39"/>
    <w:unhideWhenUsed/>
    <w:rsid w:val="00CB712E"/>
    <w:pPr>
      <w:spacing w:after="0" w:line="240" w:lineRule="auto"/>
      <w:ind w:left="1200"/>
    </w:pPr>
    <w:rPr>
      <w:rFonts w:eastAsia="Times New Roman" w:cstheme="minorHAnsi"/>
      <w:sz w:val="20"/>
      <w:szCs w:val="20"/>
      <w:lang w:eastAsia="fr-FR"/>
    </w:rPr>
  </w:style>
  <w:style w:type="paragraph" w:styleId="TM7">
    <w:name w:val="toc 7"/>
    <w:basedOn w:val="Normal"/>
    <w:next w:val="Normal"/>
    <w:autoRedefine/>
    <w:uiPriority w:val="39"/>
    <w:unhideWhenUsed/>
    <w:rsid w:val="00CB712E"/>
    <w:pPr>
      <w:spacing w:after="0" w:line="240" w:lineRule="auto"/>
      <w:ind w:left="1440"/>
    </w:pPr>
    <w:rPr>
      <w:rFonts w:eastAsia="Times New Roman" w:cstheme="minorHAnsi"/>
      <w:sz w:val="20"/>
      <w:szCs w:val="20"/>
      <w:lang w:eastAsia="fr-FR"/>
    </w:rPr>
  </w:style>
  <w:style w:type="paragraph" w:styleId="TM8">
    <w:name w:val="toc 8"/>
    <w:basedOn w:val="Normal"/>
    <w:next w:val="Normal"/>
    <w:autoRedefine/>
    <w:uiPriority w:val="39"/>
    <w:unhideWhenUsed/>
    <w:rsid w:val="00CB712E"/>
    <w:pPr>
      <w:spacing w:after="0" w:line="240" w:lineRule="auto"/>
      <w:ind w:left="1680"/>
    </w:pPr>
    <w:rPr>
      <w:rFonts w:eastAsia="Times New Roman" w:cstheme="minorHAnsi"/>
      <w:sz w:val="20"/>
      <w:szCs w:val="20"/>
      <w:lang w:eastAsia="fr-FR"/>
    </w:rPr>
  </w:style>
  <w:style w:type="paragraph" w:styleId="TM9">
    <w:name w:val="toc 9"/>
    <w:basedOn w:val="Normal"/>
    <w:next w:val="Normal"/>
    <w:autoRedefine/>
    <w:uiPriority w:val="39"/>
    <w:unhideWhenUsed/>
    <w:rsid w:val="00CB712E"/>
    <w:pPr>
      <w:spacing w:after="0" w:line="240" w:lineRule="auto"/>
      <w:ind w:left="1920"/>
    </w:pPr>
    <w:rPr>
      <w:rFonts w:eastAsia="Times New Roman" w:cstheme="minorHAnsi"/>
      <w:sz w:val="20"/>
      <w:szCs w:val="20"/>
      <w:lang w:eastAsia="fr-FR"/>
    </w:rPr>
  </w:style>
  <w:style w:type="paragraph" w:styleId="Sous-titre">
    <w:name w:val="Subtitle"/>
    <w:basedOn w:val="Normal"/>
    <w:next w:val="Normal"/>
    <w:link w:val="Sous-titreCar"/>
    <w:qFormat/>
    <w:rsid w:val="00CB712E"/>
    <w:pPr>
      <w:numPr>
        <w:ilvl w:val="1"/>
      </w:numPr>
      <w:spacing w:after="0" w:line="240" w:lineRule="auto"/>
    </w:pPr>
    <w:rPr>
      <w:rFonts w:ascii="Times New Roman" w:eastAsiaTheme="majorEastAsia" w:hAnsi="Times New Roman" w:cstheme="majorBidi"/>
      <w:color w:val="595959" w:themeColor="text1" w:themeTint="A6"/>
      <w:spacing w:val="15"/>
      <w:sz w:val="28"/>
      <w:szCs w:val="28"/>
      <w:lang w:eastAsia="fr-FR"/>
    </w:rPr>
  </w:style>
  <w:style w:type="character" w:customStyle="1" w:styleId="Sous-titreCar">
    <w:name w:val="Sous-titre Car"/>
    <w:basedOn w:val="Policepardfaut"/>
    <w:link w:val="Sous-titre"/>
    <w:rsid w:val="00CB712E"/>
    <w:rPr>
      <w:rFonts w:ascii="Times New Roman" w:eastAsiaTheme="majorEastAsia" w:hAnsi="Times New Roman" w:cstheme="majorBidi"/>
      <w:color w:val="595959" w:themeColor="text1" w:themeTint="A6"/>
      <w:spacing w:val="15"/>
      <w:sz w:val="28"/>
      <w:szCs w:val="28"/>
      <w:lang w:eastAsia="fr-FR"/>
    </w:rPr>
  </w:style>
  <w:style w:type="paragraph" w:styleId="Citation">
    <w:name w:val="Quote"/>
    <w:basedOn w:val="Normal"/>
    <w:next w:val="Normal"/>
    <w:link w:val="CitationCar"/>
    <w:uiPriority w:val="29"/>
    <w:qFormat/>
    <w:rsid w:val="00CB712E"/>
    <w:pPr>
      <w:spacing w:before="160" w:after="0" w:line="240" w:lineRule="auto"/>
      <w:jc w:val="center"/>
    </w:pPr>
    <w:rPr>
      <w:rFonts w:ascii="Times New Roman" w:eastAsia="Times New Roman" w:hAnsi="Times New Roman" w:cs="Times New Roman"/>
      <w:i/>
      <w:iCs/>
      <w:color w:val="404040" w:themeColor="text1" w:themeTint="BF"/>
      <w:sz w:val="24"/>
      <w:szCs w:val="24"/>
      <w:lang w:eastAsia="fr-FR"/>
    </w:rPr>
  </w:style>
  <w:style w:type="character" w:customStyle="1" w:styleId="CitationCar">
    <w:name w:val="Citation Car"/>
    <w:basedOn w:val="Policepardfaut"/>
    <w:link w:val="Citation"/>
    <w:uiPriority w:val="29"/>
    <w:rsid w:val="00CB712E"/>
    <w:rPr>
      <w:rFonts w:ascii="Times New Roman" w:eastAsia="Times New Roman" w:hAnsi="Times New Roman" w:cs="Times New Roman"/>
      <w:i/>
      <w:iCs/>
      <w:color w:val="404040" w:themeColor="text1" w:themeTint="BF"/>
      <w:sz w:val="24"/>
      <w:szCs w:val="24"/>
      <w:lang w:eastAsia="fr-FR"/>
    </w:rPr>
  </w:style>
  <w:style w:type="character" w:styleId="Accentuationintense">
    <w:name w:val="Intense Emphasis"/>
    <w:basedOn w:val="Policepardfaut"/>
    <w:uiPriority w:val="21"/>
    <w:qFormat/>
    <w:rsid w:val="00CB712E"/>
    <w:rPr>
      <w:i/>
      <w:iCs/>
      <w:color w:val="2F5496" w:themeColor="accent1" w:themeShade="BF"/>
    </w:rPr>
  </w:style>
  <w:style w:type="paragraph" w:styleId="Citationintense">
    <w:name w:val="Intense Quote"/>
    <w:basedOn w:val="Normal"/>
    <w:next w:val="Normal"/>
    <w:link w:val="CitationintenseCar"/>
    <w:uiPriority w:val="30"/>
    <w:qFormat/>
    <w:rsid w:val="00CB712E"/>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eastAsia="Times New Roman" w:hAnsi="Times New Roman" w:cs="Times New Roman"/>
      <w:i/>
      <w:iCs/>
      <w:color w:val="2F5496" w:themeColor="accent1" w:themeShade="BF"/>
      <w:sz w:val="24"/>
      <w:szCs w:val="24"/>
      <w:lang w:eastAsia="fr-FR"/>
    </w:rPr>
  </w:style>
  <w:style w:type="character" w:customStyle="1" w:styleId="CitationintenseCar">
    <w:name w:val="Citation intense Car"/>
    <w:basedOn w:val="Policepardfaut"/>
    <w:link w:val="Citationintense"/>
    <w:uiPriority w:val="30"/>
    <w:rsid w:val="00CB712E"/>
    <w:rPr>
      <w:rFonts w:ascii="Times New Roman" w:eastAsia="Times New Roman" w:hAnsi="Times New Roman" w:cs="Times New Roman"/>
      <w:i/>
      <w:iCs/>
      <w:color w:val="2F5496" w:themeColor="accent1" w:themeShade="BF"/>
      <w:sz w:val="24"/>
      <w:szCs w:val="24"/>
      <w:lang w:eastAsia="fr-FR"/>
    </w:rPr>
  </w:style>
  <w:style w:type="character" w:styleId="Rfrenceintense">
    <w:name w:val="Intense Reference"/>
    <w:basedOn w:val="Policepardfaut"/>
    <w:uiPriority w:val="32"/>
    <w:qFormat/>
    <w:rsid w:val="00CB712E"/>
    <w:rPr>
      <w:b/>
      <w:bCs/>
      <w:smallCaps/>
      <w:color w:val="2F5496" w:themeColor="accent1" w:themeShade="BF"/>
      <w:spacing w:val="5"/>
    </w:rPr>
  </w:style>
  <w:style w:type="numbering" w:customStyle="1" w:styleId="LFO1">
    <w:name w:val="LFO1"/>
    <w:basedOn w:val="Aucuneliste"/>
    <w:rsid w:val="00CB712E"/>
    <w:pPr>
      <w:numPr>
        <w:numId w:val="256"/>
      </w:numPr>
    </w:pPr>
  </w:style>
  <w:style w:type="numbering" w:customStyle="1" w:styleId="LFO5">
    <w:name w:val="LFO5"/>
    <w:basedOn w:val="Aucuneliste"/>
    <w:rsid w:val="00CB712E"/>
    <w:pPr>
      <w:numPr>
        <w:numId w:val="257"/>
      </w:numPr>
    </w:pPr>
  </w:style>
  <w:style w:type="numbering" w:customStyle="1" w:styleId="LFO9">
    <w:name w:val="LFO9"/>
    <w:basedOn w:val="Aucuneliste"/>
    <w:rsid w:val="00CB712E"/>
    <w:pPr>
      <w:numPr>
        <w:numId w:val="279"/>
      </w:numPr>
    </w:pPr>
  </w:style>
  <w:style w:type="paragraph" w:customStyle="1" w:styleId="Standard">
    <w:name w:val="Standard"/>
    <w:rsid w:val="00CB712E"/>
    <w:pPr>
      <w:widowControl w:val="0"/>
      <w:suppressAutoHyphens/>
      <w:overflowPunct w:val="0"/>
      <w:autoSpaceDE w:val="0"/>
      <w:autoSpaceDN w:val="0"/>
      <w:spacing w:after="0" w:line="240" w:lineRule="auto"/>
      <w:textAlignment w:val="baseline"/>
    </w:pPr>
    <w:rPr>
      <w:rFonts w:ascii="Times" w:eastAsia="Times New Roman" w:hAnsi="Times" w:cs="Times New Roman"/>
      <w:kern w:val="3"/>
      <w:sz w:val="24"/>
      <w:lang w:val="fr-SN" w:eastAsia="fr-FR"/>
    </w:rPr>
  </w:style>
  <w:style w:type="table" w:customStyle="1" w:styleId="Grilledutableau5">
    <w:name w:val="Grille du tableau5"/>
    <w:basedOn w:val="TableauNormal"/>
    <w:uiPriority w:val="39"/>
    <w:rsid w:val="0063325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otentextf1">
    <w:name w:val="Fußnotentextf1"/>
    <w:basedOn w:val="Normal"/>
    <w:next w:val="Notedebasdepage"/>
    <w:uiPriority w:val="99"/>
    <w:semiHidden/>
    <w:qFormat/>
    <w:rsid w:val="0063325C"/>
    <w:pPr>
      <w:spacing w:after="0" w:line="240" w:lineRule="auto"/>
    </w:pPr>
    <w:rPr>
      <w:rFonts w:ascii="Calibri" w:eastAsia="Times New Roman" w:hAnsi="Calibri" w:cs="Times New Roman"/>
    </w:rPr>
  </w:style>
  <w:style w:type="table" w:customStyle="1" w:styleId="TableauGrille4-Accentuation61">
    <w:name w:val="Tableau Grille 4 - Accentuation 61"/>
    <w:basedOn w:val="TableauNormal"/>
    <w:uiPriority w:val="49"/>
    <w:rsid w:val="00A47DE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uiPriority w:val="99"/>
    <w:rsid w:val="00A47DEE"/>
    <w:pPr>
      <w:spacing w:line="240" w:lineRule="exact"/>
      <w:jc w:val="both"/>
    </w:pPr>
    <w:rPr>
      <w:vertAlign w:val="superscript"/>
    </w:rPr>
  </w:style>
  <w:style w:type="table" w:customStyle="1" w:styleId="Grilledutableau1">
    <w:name w:val="Grille du tableau1"/>
    <w:basedOn w:val="TableauNormal"/>
    <w:next w:val="Grilledutableau"/>
    <w:uiPriority w:val="59"/>
    <w:rsid w:val="00A47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claire-Accent11">
    <w:name w:val="Grille claire - Accent 11"/>
    <w:basedOn w:val="TableauNormal"/>
    <w:uiPriority w:val="62"/>
    <w:rsid w:val="00A47DEE"/>
    <w:pPr>
      <w:spacing w:after="0" w:line="240" w:lineRule="auto"/>
      <w:jc w:val="both"/>
    </w:pPr>
    <w:tblPr>
      <w:tblStyleRowBandSize w:val="1"/>
      <w:tblStyleColBandSize w:val="1"/>
      <w:tblBorders>
        <w:top w:val="single" w:sz="8" w:space="0" w:color="549E39"/>
        <w:left w:val="single" w:sz="8" w:space="0" w:color="549E39"/>
        <w:bottom w:val="single" w:sz="8" w:space="0" w:color="549E39"/>
        <w:right w:val="single" w:sz="8" w:space="0" w:color="549E39"/>
        <w:insideH w:val="single" w:sz="8" w:space="0" w:color="549E39"/>
        <w:insideV w:val="single" w:sz="8" w:space="0" w:color="549E39"/>
      </w:tblBorders>
    </w:tblPr>
    <w:tblStylePr w:type="firstRow">
      <w:pPr>
        <w:spacing w:before="0" w:after="0" w:line="240" w:lineRule="auto"/>
      </w:pPr>
      <w:rPr>
        <w:rFonts w:ascii="Cambria" w:eastAsia="Times New Roman" w:hAnsi="Cambria" w:cs="Times New Roman"/>
        <w:b/>
        <w:bCs/>
      </w:rPr>
      <w:tblPr/>
      <w:tcPr>
        <w:tcBorders>
          <w:top w:val="single" w:sz="8" w:space="0" w:color="549E39"/>
          <w:left w:val="single" w:sz="8" w:space="0" w:color="549E39"/>
          <w:bottom w:val="single" w:sz="18" w:space="0" w:color="549E39"/>
          <w:right w:val="single" w:sz="8" w:space="0" w:color="549E39"/>
          <w:insideH w:val="nil"/>
          <w:insideV w:val="single" w:sz="8" w:space="0" w:color="549E39"/>
        </w:tcBorders>
      </w:tcPr>
    </w:tblStylePr>
    <w:tblStylePr w:type="lastRow">
      <w:pPr>
        <w:spacing w:before="0" w:after="0" w:line="240" w:lineRule="auto"/>
      </w:pPr>
      <w:rPr>
        <w:rFonts w:ascii="Cambria" w:eastAsia="Times New Roman" w:hAnsi="Cambria" w:cs="Times New Roman"/>
        <w:b/>
        <w:bCs/>
      </w:rPr>
      <w:tblPr/>
      <w:tcPr>
        <w:tcBorders>
          <w:top w:val="double" w:sz="6" w:space="0" w:color="549E39"/>
          <w:left w:val="single" w:sz="8" w:space="0" w:color="549E39"/>
          <w:bottom w:val="single" w:sz="8" w:space="0" w:color="549E39"/>
          <w:right w:val="single" w:sz="8" w:space="0" w:color="549E39"/>
          <w:insideH w:val="nil"/>
          <w:insideV w:val="single" w:sz="8" w:space="0" w:color="549E3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49E39"/>
          <w:left w:val="single" w:sz="8" w:space="0" w:color="549E39"/>
          <w:bottom w:val="single" w:sz="8" w:space="0" w:color="549E39"/>
          <w:right w:val="single" w:sz="8" w:space="0" w:color="549E39"/>
        </w:tcBorders>
      </w:tcPr>
    </w:tblStylePr>
    <w:tblStylePr w:type="band1Vert">
      <w:tblPr/>
      <w:tcPr>
        <w:tcBorders>
          <w:top w:val="single" w:sz="8" w:space="0" w:color="549E39"/>
          <w:left w:val="single" w:sz="8" w:space="0" w:color="549E39"/>
          <w:bottom w:val="single" w:sz="8" w:space="0" w:color="549E39"/>
          <w:right w:val="single" w:sz="8" w:space="0" w:color="549E39"/>
        </w:tcBorders>
        <w:shd w:val="clear" w:color="auto" w:fill="D2EBC9"/>
      </w:tcPr>
    </w:tblStylePr>
    <w:tblStylePr w:type="band1Horz">
      <w:tblPr/>
      <w:tcPr>
        <w:tcBorders>
          <w:top w:val="single" w:sz="8" w:space="0" w:color="549E39"/>
          <w:left w:val="single" w:sz="8" w:space="0" w:color="549E39"/>
          <w:bottom w:val="single" w:sz="8" w:space="0" w:color="549E39"/>
          <w:right w:val="single" w:sz="8" w:space="0" w:color="549E39"/>
          <w:insideV w:val="single" w:sz="8" w:space="0" w:color="549E39"/>
        </w:tcBorders>
        <w:shd w:val="clear" w:color="auto" w:fill="D2EBC9"/>
      </w:tcPr>
    </w:tblStylePr>
    <w:tblStylePr w:type="band2Horz">
      <w:tblPr/>
      <w:tcPr>
        <w:tcBorders>
          <w:top w:val="single" w:sz="8" w:space="0" w:color="549E39"/>
          <w:left w:val="single" w:sz="8" w:space="0" w:color="549E39"/>
          <w:bottom w:val="single" w:sz="8" w:space="0" w:color="549E39"/>
          <w:right w:val="single" w:sz="8" w:space="0" w:color="549E39"/>
          <w:insideV w:val="single" w:sz="8" w:space="0" w:color="549E39"/>
        </w:tcBorders>
      </w:tcPr>
    </w:tblStylePr>
  </w:style>
  <w:style w:type="table" w:styleId="Listeclaire-Accent6">
    <w:name w:val="Light List Accent 6"/>
    <w:basedOn w:val="TableauNormal"/>
    <w:uiPriority w:val="61"/>
    <w:rsid w:val="00A47DEE"/>
    <w:pPr>
      <w:spacing w:after="0" w:line="240" w:lineRule="auto"/>
      <w:jc w:val="both"/>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TableauGrille4-Accentuation51">
    <w:name w:val="Tableau Grille 4 - Accentuation 51"/>
    <w:basedOn w:val="TableauNormal"/>
    <w:uiPriority w:val="49"/>
    <w:rsid w:val="00A47DE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ausimple11">
    <w:name w:val="Tableau simple 11"/>
    <w:basedOn w:val="TableauNormal"/>
    <w:uiPriority w:val="41"/>
    <w:rsid w:val="00A47DE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ghtGrid-Accent32">
    <w:name w:val="Light Grid - Accent 32"/>
    <w:basedOn w:val="TableauNormal"/>
    <w:next w:val="Grilleclaire-Accent3"/>
    <w:uiPriority w:val="62"/>
    <w:rsid w:val="00A47DEE"/>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w:eastAsia="Times New Roman" w:hAnsi="Bahnschrift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3">
    <w:name w:val="Light Grid Accent 3"/>
    <w:basedOn w:val="TableauNormal"/>
    <w:uiPriority w:val="62"/>
    <w:semiHidden/>
    <w:unhideWhenUsed/>
    <w:rsid w:val="00A47DEE"/>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TableauGrille5Fonc-Accentuation11">
    <w:name w:val="Tableau Grille 5 Foncé - Accentuation 11"/>
    <w:basedOn w:val="TableauNormal"/>
    <w:uiPriority w:val="50"/>
    <w:rsid w:val="00A47D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trt0xe">
    <w:name w:val="trt0xe"/>
    <w:basedOn w:val="Normal"/>
    <w:rsid w:val="00A47DEE"/>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TableauGrille1Clair-Accentuation31">
    <w:name w:val="Tableau Grille 1 Clair - Accentuation 31"/>
    <w:basedOn w:val="TableauNormal"/>
    <w:uiPriority w:val="46"/>
    <w:rsid w:val="00A47DE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ausimple31">
    <w:name w:val="Tableau simple 31"/>
    <w:basedOn w:val="TableauNormal"/>
    <w:uiPriority w:val="43"/>
    <w:rsid w:val="00A47DE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Grille2-Accentuation31">
    <w:name w:val="Tableau Grille 2 - Accentuation 31"/>
    <w:basedOn w:val="TableauNormal"/>
    <w:uiPriority w:val="47"/>
    <w:rsid w:val="00A47DE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Grille2-Accentuation61">
    <w:name w:val="Tableau Grille 2 - Accentuation 61"/>
    <w:basedOn w:val="TableauNormal"/>
    <w:uiPriority w:val="47"/>
    <w:rsid w:val="00A47DEE"/>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auGrille2-Accentuation41">
    <w:name w:val="Tableau Grille 2 - Accentuation 41"/>
    <w:basedOn w:val="TableauNormal"/>
    <w:uiPriority w:val="47"/>
    <w:rsid w:val="00A47DEE"/>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auGrille6Couleur-Accentuation21">
    <w:name w:val="Tableau Grille 6 Couleur - Accentuation 21"/>
    <w:basedOn w:val="TableauNormal"/>
    <w:uiPriority w:val="51"/>
    <w:rsid w:val="00A47DEE"/>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Style4">
    <w:name w:val="Style4"/>
    <w:basedOn w:val="Titre3"/>
    <w:qFormat/>
    <w:rsid w:val="00A47DEE"/>
    <w:pPr>
      <w:numPr>
        <w:numId w:val="356"/>
      </w:numPr>
      <w:ind w:left="0" w:firstLine="0"/>
    </w:pPr>
    <w:rPr>
      <w:rFonts w:ascii="Cambria" w:eastAsia="Calibri" w:hAnsi="Cambria" w:cs="Times New Roman"/>
      <w:color w:val="0070C0"/>
      <w:sz w:val="22"/>
      <w:szCs w:val="22"/>
      <w:lang w:eastAsia="fr-FR"/>
    </w:rPr>
  </w:style>
  <w:style w:type="table" w:customStyle="1" w:styleId="Grilleclaire-Accent321">
    <w:name w:val="Grille claire - Accent 321"/>
    <w:basedOn w:val="TableauNormal"/>
    <w:uiPriority w:val="62"/>
    <w:rsid w:val="00A47DEE"/>
    <w:pPr>
      <w:spacing w:after="0" w:line="240" w:lineRule="auto"/>
      <w:jc w:val="both"/>
    </w:pPr>
    <w:rPr>
      <w:rFonts w:ascii="Calibri" w:eastAsia="Times New Roman" w:hAnsi="Calibri" w:cs="Arial"/>
      <w:lang w:eastAsia="fr-F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Abadi Extra Light" w:eastAsia="Times New Roman" w:hAnsi="Abadi Extra Light"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Abadi Extra Light" w:eastAsia="Times New Roman" w:hAnsi="Abadi Extra Light"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badi Extra Light" w:eastAsia="Times New Roman" w:hAnsi="Abadi Extra Light" w:cs="Times New Roman" w:hint="cs"/>
        <w:b/>
        <w:bCs/>
      </w:rPr>
    </w:tblStylePr>
    <w:tblStylePr w:type="lastCol">
      <w:rPr>
        <w:rFonts w:ascii="Abadi Extra Light" w:eastAsia="Times New Roman" w:hAnsi="Abadi Extra Light"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Aucuneliste1">
    <w:name w:val="Aucune liste1"/>
    <w:next w:val="Aucuneliste"/>
    <w:uiPriority w:val="99"/>
    <w:semiHidden/>
    <w:unhideWhenUsed/>
    <w:rsid w:val="00A47DEE"/>
  </w:style>
  <w:style w:type="table" w:customStyle="1" w:styleId="Grilledutableau2">
    <w:name w:val="Grille du tableau2"/>
    <w:basedOn w:val="TableauNormal"/>
    <w:next w:val="Grilledutableau"/>
    <w:uiPriority w:val="39"/>
    <w:rsid w:val="00A47DEE"/>
    <w:pPr>
      <w:spacing w:after="0" w:line="240" w:lineRule="auto"/>
      <w:jc w:val="lowKashida"/>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ansinterligne1">
    <w:name w:val="Sans interligne1"/>
    <w:next w:val="Sansinterligne"/>
    <w:qFormat/>
    <w:rsid w:val="00A47DEE"/>
    <w:pPr>
      <w:spacing w:after="0" w:line="240" w:lineRule="auto"/>
    </w:pPr>
    <w:rPr>
      <w:rFonts w:eastAsia="Times New Roman"/>
      <w:lang w:eastAsia="fr-FR"/>
    </w:rPr>
  </w:style>
  <w:style w:type="character" w:customStyle="1" w:styleId="Memocharstyle">
    <w:name w:val="Memo char style"/>
    <w:rsid w:val="00A47DEE"/>
    <w:rPr>
      <w:rFonts w:ascii="Arial" w:hAnsi="Arial"/>
      <w:b/>
      <w:sz w:val="20"/>
      <w:lang w:val="en-GB"/>
    </w:rPr>
  </w:style>
  <w:style w:type="paragraph" w:styleId="Liste2">
    <w:name w:val="List 2"/>
    <w:basedOn w:val="Normal"/>
    <w:uiPriority w:val="99"/>
    <w:rsid w:val="00A47DEE"/>
    <w:pPr>
      <w:widowControl w:val="0"/>
      <w:suppressAutoHyphens/>
      <w:spacing w:before="120" w:beforeAutospacing="1" w:after="120" w:afterAutospacing="1" w:line="240" w:lineRule="auto"/>
      <w:ind w:left="566" w:hanging="283"/>
      <w:jc w:val="both"/>
    </w:pPr>
    <w:rPr>
      <w:rFonts w:ascii="Times New Roman" w:eastAsia="SimSun" w:hAnsi="Times New Roman" w:cs="Times New Roman"/>
      <w:kern w:val="1"/>
      <w:sz w:val="24"/>
      <w:szCs w:val="24"/>
      <w:lang w:val="it-IT" w:eastAsia="hi-IN" w:bidi="hi-IN"/>
    </w:rPr>
  </w:style>
  <w:style w:type="character" w:customStyle="1" w:styleId="hps">
    <w:name w:val="hps"/>
    <w:basedOn w:val="Policepardfaut"/>
    <w:rsid w:val="00A47DEE"/>
  </w:style>
  <w:style w:type="paragraph" w:styleId="Listenumros">
    <w:name w:val="List Number"/>
    <w:basedOn w:val="Normal"/>
    <w:uiPriority w:val="99"/>
    <w:unhideWhenUsed/>
    <w:rsid w:val="00A47DEE"/>
    <w:pPr>
      <w:numPr>
        <w:numId w:val="361"/>
      </w:numPr>
      <w:spacing w:after="0" w:line="240" w:lineRule="auto"/>
      <w:contextualSpacing/>
    </w:pPr>
    <w:rPr>
      <w:rFonts w:ascii="Times New Roman" w:eastAsia="SimSun" w:hAnsi="Times New Roman" w:cs="Times New Roman"/>
      <w:sz w:val="24"/>
      <w:szCs w:val="24"/>
      <w:lang w:val="en-US" w:eastAsia="zh-CN"/>
    </w:rPr>
  </w:style>
  <w:style w:type="paragraph" w:customStyle="1" w:styleId="StyleOutlinenumbered">
    <w:name w:val="Style Outline numbered"/>
    <w:basedOn w:val="Normal"/>
    <w:link w:val="StyleOutlinenumberedChar"/>
    <w:rsid w:val="00A47DEE"/>
    <w:pPr>
      <w:spacing w:before="120" w:after="120" w:line="240" w:lineRule="auto"/>
      <w:ind w:left="567" w:hanging="567"/>
      <w:jc w:val="center"/>
    </w:pPr>
    <w:rPr>
      <w:rFonts w:ascii="Times New Roman" w:eastAsia="PMingLiU" w:hAnsi="Times New Roman" w:cs="Times New Roman"/>
      <w:sz w:val="23"/>
      <w:szCs w:val="24"/>
      <w:lang w:eastAsia="zh-TW"/>
    </w:rPr>
  </w:style>
  <w:style w:type="character" w:customStyle="1" w:styleId="StyleOutlinenumberedChar">
    <w:name w:val="Style Outline numbered Char"/>
    <w:link w:val="StyleOutlinenumbered"/>
    <w:rsid w:val="00A47DEE"/>
    <w:rPr>
      <w:rFonts w:ascii="Times New Roman" w:eastAsia="PMingLiU" w:hAnsi="Times New Roman" w:cs="Times New Roman"/>
      <w:sz w:val="23"/>
      <w:szCs w:val="24"/>
      <w:lang w:eastAsia="zh-TW"/>
    </w:rPr>
  </w:style>
  <w:style w:type="paragraph" w:customStyle="1" w:styleId="IFADparagraphnumbering">
    <w:name w:val="IFAD paragraph numbering"/>
    <w:basedOn w:val="Normal"/>
    <w:link w:val="IFADparagraphnumberingChar"/>
    <w:qFormat/>
    <w:rsid w:val="00A47DEE"/>
    <w:pPr>
      <w:widowControl w:val="0"/>
      <w:suppressAutoHyphens/>
      <w:spacing w:before="120" w:after="120" w:line="240" w:lineRule="auto"/>
      <w:ind w:left="720" w:hanging="360"/>
      <w:jc w:val="both"/>
    </w:pPr>
    <w:rPr>
      <w:rFonts w:ascii="Arial" w:eastAsia="MS Mincho" w:hAnsi="Arial" w:cs="Times New Roman"/>
      <w:bCs/>
      <w:kern w:val="2"/>
      <w:sz w:val="20"/>
      <w:lang w:eastAsia="fr-FR"/>
    </w:rPr>
  </w:style>
  <w:style w:type="character" w:customStyle="1" w:styleId="IFADparagraphnumberingChar">
    <w:name w:val="IFAD paragraph numbering Char"/>
    <w:link w:val="IFADparagraphnumbering"/>
    <w:locked/>
    <w:rsid w:val="00A47DEE"/>
    <w:rPr>
      <w:rFonts w:ascii="Arial" w:eastAsia="MS Mincho" w:hAnsi="Arial" w:cs="Times New Roman"/>
      <w:bCs/>
      <w:kern w:val="2"/>
      <w:sz w:val="20"/>
      <w:lang w:eastAsia="fr-FR"/>
    </w:rPr>
  </w:style>
  <w:style w:type="table" w:customStyle="1" w:styleId="Grilleclaire-Accent31">
    <w:name w:val="Grille claire - Accent 31"/>
    <w:basedOn w:val="TableauNormal"/>
    <w:next w:val="Grilleclaire-Accent3"/>
    <w:uiPriority w:val="62"/>
    <w:rsid w:val="00A47DEE"/>
    <w:pPr>
      <w:spacing w:after="0" w:line="240" w:lineRule="auto"/>
      <w:jc w:val="both"/>
    </w:pPr>
    <w:rPr>
      <w:rFonts w:eastAsia="Times New Roman"/>
      <w:lang w:eastAsia="fr-F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ParagraphNumbering">
    <w:name w:val="Paragraph Numbering"/>
    <w:basedOn w:val="Normal"/>
    <w:rsid w:val="00A47DEE"/>
    <w:pPr>
      <w:numPr>
        <w:numId w:val="362"/>
      </w:numPr>
      <w:spacing w:before="120" w:after="240" w:line="240" w:lineRule="auto"/>
      <w:jc w:val="both"/>
    </w:pPr>
    <w:rPr>
      <w:rFonts w:ascii="Times New Roman" w:eastAsia="Times New Roman" w:hAnsi="Times New Roman" w:cs="Times New Roman"/>
      <w:sz w:val="24"/>
      <w:szCs w:val="24"/>
    </w:rPr>
  </w:style>
  <w:style w:type="character" w:customStyle="1" w:styleId="Accentuationintense1">
    <w:name w:val="Accentuation intense1"/>
    <w:basedOn w:val="Policepardfaut"/>
    <w:uiPriority w:val="21"/>
    <w:qFormat/>
    <w:rsid w:val="00A47DEE"/>
    <w:rPr>
      <w:b/>
      <w:bCs/>
      <w:i/>
      <w:iCs/>
      <w:color w:val="4F81BD"/>
    </w:rPr>
  </w:style>
  <w:style w:type="character" w:customStyle="1" w:styleId="il">
    <w:name w:val="il"/>
    <w:basedOn w:val="Policepardfaut"/>
    <w:rsid w:val="00A47DEE"/>
  </w:style>
  <w:style w:type="character" w:styleId="Titredulivre">
    <w:name w:val="Book Title"/>
    <w:basedOn w:val="Policepardfaut"/>
    <w:uiPriority w:val="33"/>
    <w:qFormat/>
    <w:rsid w:val="00A47DEE"/>
    <w:rPr>
      <w:b/>
      <w:bCs/>
      <w:smallCaps/>
      <w:spacing w:val="5"/>
    </w:rPr>
  </w:style>
  <w:style w:type="table" w:customStyle="1" w:styleId="Grilleclaire1">
    <w:name w:val="Grille claire1"/>
    <w:basedOn w:val="TableauNormal"/>
    <w:next w:val="Grilleclaire"/>
    <w:uiPriority w:val="62"/>
    <w:rsid w:val="00A47DEE"/>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claire-Accent11">
    <w:name w:val="Trame claire - Accent 11"/>
    <w:basedOn w:val="TableauNormal"/>
    <w:next w:val="Trameclaire-Accent1"/>
    <w:uiPriority w:val="60"/>
    <w:rsid w:val="00A47DEE"/>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Retraitcorpsdetexte3">
    <w:name w:val="Body Text Indent 3"/>
    <w:basedOn w:val="Normal"/>
    <w:link w:val="Retraitcorpsdetexte3Car"/>
    <w:semiHidden/>
    <w:unhideWhenUsed/>
    <w:rsid w:val="00A47DEE"/>
    <w:pPr>
      <w:spacing w:after="120" w:line="276" w:lineRule="auto"/>
      <w:ind w:left="283"/>
      <w:jc w:val="lowKashida"/>
    </w:pPr>
    <w:rPr>
      <w:rFonts w:eastAsia="Calibri"/>
      <w:sz w:val="16"/>
      <w:szCs w:val="16"/>
    </w:rPr>
  </w:style>
  <w:style w:type="character" w:customStyle="1" w:styleId="Retraitcorpsdetexte3Car">
    <w:name w:val="Retrait corps de texte 3 Car"/>
    <w:basedOn w:val="Policepardfaut"/>
    <w:link w:val="Retraitcorpsdetexte3"/>
    <w:semiHidden/>
    <w:rsid w:val="00A47DEE"/>
    <w:rPr>
      <w:rFonts w:eastAsia="Calibri"/>
      <w:sz w:val="16"/>
      <w:szCs w:val="16"/>
    </w:rPr>
  </w:style>
  <w:style w:type="paragraph" w:customStyle="1" w:styleId="Style3">
    <w:name w:val="Style3"/>
    <w:basedOn w:val="Titre6"/>
    <w:link w:val="Style3Char"/>
    <w:qFormat/>
    <w:rsid w:val="00A47DEE"/>
    <w:pPr>
      <w:keepNext w:val="0"/>
      <w:keepLines w:val="0"/>
      <w:spacing w:before="0"/>
      <w:ind w:left="1080" w:hanging="1080"/>
      <w:jc w:val="center"/>
    </w:pPr>
    <w:rPr>
      <w:rFonts w:ascii="Times New Roman" w:hAnsi="Times New Roman"/>
      <w:i w:val="0"/>
      <w:iCs w:val="0"/>
      <w:color w:val="auto"/>
      <w:lang w:val="en-US" w:eastAsia="en-US"/>
    </w:rPr>
  </w:style>
  <w:style w:type="character" w:customStyle="1" w:styleId="Style3Char">
    <w:name w:val="Style3 Char"/>
    <w:link w:val="Style3"/>
    <w:rsid w:val="00A47DEE"/>
    <w:rPr>
      <w:rFonts w:ascii="Times New Roman" w:eastAsia="Times New Roman" w:hAnsi="Times New Roman" w:cs="Times New Roman"/>
      <w:sz w:val="24"/>
      <w:szCs w:val="24"/>
      <w:lang w:val="en-US"/>
    </w:rPr>
  </w:style>
  <w:style w:type="table" w:customStyle="1" w:styleId="Tramemoyenne2-Accent31">
    <w:name w:val="Trame moyenne 2 - Accent 31"/>
    <w:basedOn w:val="TableauNormal"/>
    <w:next w:val="Tramemoyenne2-Accent3"/>
    <w:uiPriority w:val="64"/>
    <w:rsid w:val="00A47D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51">
    <w:name w:val="Trame moyenne 2 - Accent 51"/>
    <w:basedOn w:val="TableauNormal"/>
    <w:next w:val="Tramemoyenne2-Accent5"/>
    <w:uiPriority w:val="64"/>
    <w:rsid w:val="00A47D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41">
    <w:name w:val="Trame moyenne 2 - Accent 41"/>
    <w:basedOn w:val="TableauNormal"/>
    <w:next w:val="Tramemoyenne2-Accent4"/>
    <w:uiPriority w:val="64"/>
    <w:rsid w:val="00A47D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31">
    <w:name w:val="Trame moyenne 1 - Accent 31"/>
    <w:basedOn w:val="TableauNormal"/>
    <w:next w:val="Tramemoyenne1-Accent3"/>
    <w:uiPriority w:val="63"/>
    <w:rsid w:val="00A47DEE"/>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Aucuneliste11">
    <w:name w:val="Aucune liste11"/>
    <w:next w:val="Aucuneliste"/>
    <w:uiPriority w:val="99"/>
    <w:semiHidden/>
    <w:unhideWhenUsed/>
    <w:rsid w:val="00A47DEE"/>
  </w:style>
  <w:style w:type="character" w:customStyle="1" w:styleId="Titre4Car1">
    <w:name w:val="Titre 4 Car1"/>
    <w:aliases w:val="Cen. Car1,Centred Car1"/>
    <w:basedOn w:val="Policepardfaut"/>
    <w:uiPriority w:val="9"/>
    <w:semiHidden/>
    <w:rsid w:val="00A47DEE"/>
    <w:rPr>
      <w:rFonts w:ascii="Cambria" w:eastAsia="Times New Roman" w:hAnsi="Cambria" w:cs="Times New Roman"/>
      <w:b/>
      <w:bCs/>
      <w:i/>
      <w:iCs/>
      <w:color w:val="4F81BD"/>
      <w:sz w:val="22"/>
      <w:szCs w:val="22"/>
    </w:rPr>
  </w:style>
  <w:style w:type="character" w:customStyle="1" w:styleId="NormalWebCar">
    <w:name w:val="Normal (Web) Car"/>
    <w:basedOn w:val="Policepardfaut"/>
    <w:link w:val="NormalWeb"/>
    <w:uiPriority w:val="99"/>
    <w:locked/>
    <w:rsid w:val="00A47DEE"/>
    <w:rPr>
      <w:rFonts w:ascii="Times New Roman" w:eastAsia="Times New Roman" w:hAnsi="Times New Roman" w:cs="Times New Roman"/>
      <w:sz w:val="24"/>
      <w:szCs w:val="24"/>
      <w:lang w:val="wo-SN" w:eastAsia="wo-SN"/>
    </w:rPr>
  </w:style>
  <w:style w:type="paragraph" w:styleId="Notedefin">
    <w:name w:val="endnote text"/>
    <w:basedOn w:val="Normal"/>
    <w:link w:val="NotedefinCar"/>
    <w:uiPriority w:val="99"/>
    <w:semiHidden/>
    <w:unhideWhenUsed/>
    <w:rsid w:val="00A47DEE"/>
    <w:pPr>
      <w:spacing w:after="200" w:line="276" w:lineRule="auto"/>
    </w:pPr>
    <w:rPr>
      <w:rFonts w:ascii="Calibri" w:eastAsia="Calibri" w:hAnsi="Calibri" w:cs="Arial"/>
      <w:sz w:val="20"/>
      <w:szCs w:val="20"/>
      <w:lang w:eastAsia="fr-FR"/>
    </w:rPr>
  </w:style>
  <w:style w:type="character" w:customStyle="1" w:styleId="NotedefinCar">
    <w:name w:val="Note de fin Car"/>
    <w:basedOn w:val="Policepardfaut"/>
    <w:link w:val="Notedefin"/>
    <w:uiPriority w:val="99"/>
    <w:semiHidden/>
    <w:rsid w:val="00A47DEE"/>
    <w:rPr>
      <w:rFonts w:ascii="Calibri" w:eastAsia="Calibri" w:hAnsi="Calibri" w:cs="Arial"/>
      <w:sz w:val="20"/>
      <w:szCs w:val="20"/>
      <w:lang w:eastAsia="fr-FR"/>
    </w:rPr>
  </w:style>
  <w:style w:type="paragraph" w:styleId="Listepuces3">
    <w:name w:val="List Bullet 3"/>
    <w:basedOn w:val="Normal"/>
    <w:semiHidden/>
    <w:unhideWhenUsed/>
    <w:rsid w:val="00A47DEE"/>
    <w:pPr>
      <w:numPr>
        <w:numId w:val="363"/>
      </w:numPr>
      <w:spacing w:after="0" w:line="240" w:lineRule="auto"/>
      <w:contextualSpacing/>
    </w:pPr>
    <w:rPr>
      <w:rFonts w:ascii="Times New Roman" w:eastAsia="Times New Roman" w:hAnsi="Times New Roman" w:cs="Times New Roman"/>
      <w:sz w:val="24"/>
      <w:szCs w:val="24"/>
      <w:lang w:val="en-US" w:eastAsia="fr-FR"/>
    </w:rPr>
  </w:style>
  <w:style w:type="paragraph" w:styleId="Retraitcorpsdetexte2">
    <w:name w:val="Body Text Indent 2"/>
    <w:basedOn w:val="Normal"/>
    <w:link w:val="Retraitcorpsdetexte2Car"/>
    <w:semiHidden/>
    <w:unhideWhenUsed/>
    <w:rsid w:val="00A47DEE"/>
    <w:pPr>
      <w:spacing w:after="0" w:line="240" w:lineRule="auto"/>
      <w:ind w:firstLine="709"/>
      <w:jc w:val="both"/>
    </w:pPr>
    <w:rPr>
      <w:rFonts w:ascii="Times New Roman" w:eastAsia="Times New Roman" w:hAnsi="Times New Roman" w:cs="Times New Roman"/>
      <w:sz w:val="28"/>
      <w:szCs w:val="28"/>
      <w:lang w:eastAsia="fr-FR"/>
    </w:rPr>
  </w:style>
  <w:style w:type="character" w:customStyle="1" w:styleId="Retraitcorpsdetexte2Car">
    <w:name w:val="Retrait corps de texte 2 Car"/>
    <w:basedOn w:val="Policepardfaut"/>
    <w:link w:val="Retraitcorpsdetexte2"/>
    <w:semiHidden/>
    <w:rsid w:val="00A47DEE"/>
    <w:rPr>
      <w:rFonts w:ascii="Times New Roman" w:eastAsia="Times New Roman" w:hAnsi="Times New Roman" w:cs="Times New Roman"/>
      <w:sz w:val="28"/>
      <w:szCs w:val="28"/>
      <w:lang w:eastAsia="fr-FR"/>
    </w:rPr>
  </w:style>
  <w:style w:type="paragraph" w:customStyle="1" w:styleId="CarCarCarCar">
    <w:name w:val="Car Car Car Car"/>
    <w:basedOn w:val="Normal"/>
    <w:semiHidden/>
    <w:rsid w:val="00A47DEE"/>
    <w:pPr>
      <w:spacing w:line="240" w:lineRule="exact"/>
      <w:ind w:left="539" w:firstLine="578"/>
    </w:pPr>
    <w:rPr>
      <w:rFonts w:ascii="Verdana" w:eastAsia="Times New Roman" w:hAnsi="Verdana" w:cs="Times New Roman"/>
      <w:sz w:val="20"/>
      <w:szCs w:val="20"/>
      <w:lang w:val="en-US" w:eastAsia="fr-FR"/>
    </w:rPr>
  </w:style>
  <w:style w:type="paragraph" w:customStyle="1" w:styleId="Tabletext2006GL">
    <w:name w:val="Table text 2006GL"/>
    <w:basedOn w:val="Default"/>
    <w:next w:val="Default"/>
    <w:uiPriority w:val="99"/>
    <w:rsid w:val="00A47DEE"/>
    <w:rPr>
      <w:rFonts w:ascii="Times New Roman" w:eastAsia="Calibri" w:hAnsi="Times New Roman" w:cs="Times New Roman"/>
      <w:color w:val="auto"/>
      <w:lang w:eastAsia="fr-FR"/>
    </w:rPr>
  </w:style>
  <w:style w:type="paragraph" w:customStyle="1" w:styleId="Tabledata2006GL">
    <w:name w:val="Table data 2006GL"/>
    <w:basedOn w:val="Default"/>
    <w:next w:val="Default"/>
    <w:rsid w:val="00A47DEE"/>
    <w:rPr>
      <w:rFonts w:ascii="Times New Roman" w:eastAsia="MS Mincho" w:hAnsi="Times New Roman" w:cs="Times New Roman"/>
      <w:color w:val="auto"/>
      <w:lang w:val="en-US" w:eastAsia="ja-JP"/>
    </w:rPr>
  </w:style>
  <w:style w:type="paragraph" w:customStyle="1" w:styleId="EquationdefinitionLUCFGP">
    <w:name w:val="Equation definition LUCFGP"/>
    <w:basedOn w:val="Normal"/>
    <w:rsid w:val="00A47DEE"/>
    <w:pPr>
      <w:tabs>
        <w:tab w:val="left" w:pos="567"/>
      </w:tabs>
      <w:spacing w:after="120" w:line="240" w:lineRule="auto"/>
      <w:ind w:left="924" w:hanging="357"/>
      <w:jc w:val="both"/>
    </w:pPr>
    <w:rPr>
      <w:rFonts w:ascii="Times New Roman" w:eastAsia="SimSun" w:hAnsi="Times New Roman" w:cs="Times New Roman"/>
      <w:sz w:val="20"/>
      <w:szCs w:val="20"/>
      <w:lang w:val="en-GB" w:eastAsia="zh-CN"/>
    </w:rPr>
  </w:style>
  <w:style w:type="paragraph" w:customStyle="1" w:styleId="Equationdefinition2006GL">
    <w:name w:val="Equation definition 2006GL"/>
    <w:basedOn w:val="Default"/>
    <w:next w:val="Default"/>
    <w:uiPriority w:val="99"/>
    <w:rsid w:val="00A47DEE"/>
    <w:rPr>
      <w:rFonts w:ascii="Times New Roman" w:eastAsia="MS Mincho" w:hAnsi="Times New Roman" w:cs="Times New Roman"/>
      <w:color w:val="auto"/>
      <w:lang w:val="en-US" w:eastAsia="ja-JP"/>
    </w:rPr>
  </w:style>
  <w:style w:type="paragraph" w:customStyle="1" w:styleId="CAADPTitle01">
    <w:name w:val="CAADP Title01"/>
    <w:basedOn w:val="Normal"/>
    <w:rsid w:val="00A47DEE"/>
    <w:pPr>
      <w:keepNext/>
      <w:widowControl w:val="0"/>
      <w:numPr>
        <w:numId w:val="364"/>
      </w:numPr>
      <w:suppressAutoHyphens/>
      <w:snapToGrid w:val="0"/>
      <w:spacing w:before="360" w:after="240" w:line="240" w:lineRule="auto"/>
      <w:outlineLvl w:val="0"/>
    </w:pPr>
    <w:rPr>
      <w:rFonts w:ascii="Times New Roman" w:eastAsia="Times New Roman" w:hAnsi="Times New Roman" w:cs="Times New Roman"/>
      <w:b/>
      <w:spacing w:val="-3"/>
      <w:lang w:val="en-GB" w:eastAsia="fr-FR"/>
    </w:rPr>
  </w:style>
  <w:style w:type="paragraph" w:customStyle="1" w:styleId="CAADPTitle02">
    <w:name w:val="CAADP Title02"/>
    <w:basedOn w:val="Titre2"/>
    <w:rsid w:val="00A47DEE"/>
    <w:pPr>
      <w:keepLines w:val="0"/>
      <w:numPr>
        <w:ilvl w:val="1"/>
        <w:numId w:val="364"/>
      </w:numPr>
      <w:spacing w:before="120" w:after="240" w:line="240" w:lineRule="auto"/>
      <w:jc w:val="both"/>
    </w:pPr>
    <w:rPr>
      <w:rFonts w:ascii="Times New Roman" w:eastAsia="PMingLiU" w:hAnsi="Times New Roman" w:cs="Times New Roman"/>
      <w:b/>
      <w:color w:val="auto"/>
      <w:kern w:val="0"/>
      <w:sz w:val="22"/>
      <w:szCs w:val="22"/>
      <w:lang w:val="en-GB" w:eastAsia="zh-TW"/>
      <w14:ligatures w14:val="none"/>
    </w:rPr>
  </w:style>
  <w:style w:type="paragraph" w:customStyle="1" w:styleId="CAADPTitle03">
    <w:name w:val="CAADP Title03"/>
    <w:basedOn w:val="Normal"/>
    <w:rsid w:val="00A47DEE"/>
    <w:pPr>
      <w:numPr>
        <w:ilvl w:val="2"/>
        <w:numId w:val="364"/>
      </w:numPr>
      <w:spacing w:after="0" w:line="240" w:lineRule="auto"/>
      <w:jc w:val="both"/>
    </w:pPr>
    <w:rPr>
      <w:rFonts w:ascii="Times New Roman" w:eastAsia="Times New Roman" w:hAnsi="Times New Roman" w:cs="Times New Roman"/>
      <w:b/>
      <w:i/>
      <w:szCs w:val="24"/>
      <w:lang w:eastAsia="fr-FR"/>
    </w:rPr>
  </w:style>
  <w:style w:type="paragraph" w:customStyle="1" w:styleId="CAADPTitle04">
    <w:name w:val="CAADP Title04"/>
    <w:basedOn w:val="Normal"/>
    <w:rsid w:val="00A47DEE"/>
    <w:pPr>
      <w:numPr>
        <w:ilvl w:val="3"/>
        <w:numId w:val="364"/>
      </w:numPr>
      <w:spacing w:after="0" w:line="240" w:lineRule="auto"/>
      <w:jc w:val="both"/>
    </w:pPr>
    <w:rPr>
      <w:rFonts w:ascii="Times New Roman" w:eastAsia="Times New Roman" w:hAnsi="Times New Roman" w:cs="Times New Roman"/>
      <w:szCs w:val="24"/>
      <w:lang w:eastAsia="fr-FR"/>
    </w:rPr>
  </w:style>
  <w:style w:type="paragraph" w:customStyle="1" w:styleId="TableTitle2006GL">
    <w:name w:val="Table Title 2006GL"/>
    <w:basedOn w:val="Default"/>
    <w:next w:val="Default"/>
    <w:uiPriority w:val="99"/>
    <w:rsid w:val="00A47DEE"/>
    <w:rPr>
      <w:rFonts w:ascii="Times New Roman" w:eastAsia="Calibri" w:hAnsi="Times New Roman" w:cs="Times New Roman"/>
      <w:color w:val="auto"/>
    </w:rPr>
  </w:style>
  <w:style w:type="paragraph" w:customStyle="1" w:styleId="Tablecolhead2006GL">
    <w:name w:val="Table col head 2006GL"/>
    <w:basedOn w:val="Default"/>
    <w:next w:val="Default"/>
    <w:uiPriority w:val="99"/>
    <w:rsid w:val="00A47DEE"/>
    <w:rPr>
      <w:rFonts w:ascii="Times New Roman" w:eastAsia="Calibri" w:hAnsi="Times New Roman" w:cs="Times New Roman"/>
      <w:color w:val="auto"/>
    </w:rPr>
  </w:style>
  <w:style w:type="paragraph" w:customStyle="1" w:styleId="xl70">
    <w:name w:val="xl70"/>
    <w:basedOn w:val="Normal"/>
    <w:rsid w:val="00A47DEE"/>
    <w:pPr>
      <w:spacing w:before="100" w:beforeAutospacing="1" w:after="100" w:afterAutospacing="1" w:line="240" w:lineRule="auto"/>
    </w:pPr>
    <w:rPr>
      <w:rFonts w:ascii="Arial" w:eastAsia="Times New Roman" w:hAnsi="Arial" w:cs="Arial"/>
      <w:sz w:val="20"/>
      <w:szCs w:val="20"/>
      <w:lang w:eastAsia="fr-FR"/>
    </w:rPr>
  </w:style>
  <w:style w:type="paragraph" w:customStyle="1" w:styleId="xl71">
    <w:name w:val="xl71"/>
    <w:basedOn w:val="Normal"/>
    <w:rsid w:val="00A47DEE"/>
    <w:pPr>
      <w:pBdr>
        <w:top w:val="single" w:sz="4" w:space="0" w:color="auto"/>
        <w:left w:val="single" w:sz="4" w:space="0" w:color="auto"/>
        <w:bottom w:val="single" w:sz="4" w:space="0" w:color="auto"/>
        <w:right w:val="single" w:sz="4" w:space="0" w:color="auto"/>
      </w:pBdr>
      <w:shd w:val="clear" w:color="auto" w:fill="5987D6"/>
      <w:spacing w:before="100" w:beforeAutospacing="1" w:after="100" w:afterAutospacing="1" w:line="240" w:lineRule="auto"/>
      <w:jc w:val="center"/>
    </w:pPr>
    <w:rPr>
      <w:rFonts w:ascii="Arial" w:eastAsia="Times New Roman" w:hAnsi="Arial" w:cs="Arial"/>
      <w:color w:val="FFFFFF"/>
      <w:sz w:val="16"/>
      <w:szCs w:val="16"/>
      <w:lang w:eastAsia="fr-FR"/>
    </w:rPr>
  </w:style>
  <w:style w:type="paragraph" w:customStyle="1" w:styleId="xl72">
    <w:name w:val="xl72"/>
    <w:basedOn w:val="Normal"/>
    <w:rsid w:val="00A47DEE"/>
    <w:pPr>
      <w:pBdr>
        <w:top w:val="single" w:sz="4" w:space="0" w:color="auto"/>
        <w:left w:val="single" w:sz="4" w:space="0" w:color="auto"/>
        <w:bottom w:val="single" w:sz="4" w:space="0" w:color="auto"/>
        <w:right w:val="single" w:sz="4" w:space="0" w:color="auto"/>
      </w:pBdr>
      <w:shd w:val="clear" w:color="auto" w:fill="D3D3D3"/>
      <w:spacing w:before="100" w:beforeAutospacing="1" w:after="100" w:afterAutospacing="1" w:line="240" w:lineRule="auto"/>
    </w:pPr>
    <w:rPr>
      <w:rFonts w:ascii="Microsoft Sans Serif" w:eastAsia="Times New Roman" w:hAnsi="Microsoft Sans Serif" w:cs="Microsoft Sans Serif"/>
      <w:b/>
      <w:bCs/>
      <w:color w:val="000000"/>
      <w:sz w:val="16"/>
      <w:szCs w:val="16"/>
      <w:lang w:eastAsia="fr-FR"/>
    </w:rPr>
  </w:style>
  <w:style w:type="paragraph" w:customStyle="1" w:styleId="xl73">
    <w:name w:val="xl73"/>
    <w:basedOn w:val="Normal"/>
    <w:rsid w:val="00A47DEE"/>
    <w:pPr>
      <w:pBdr>
        <w:top w:val="single" w:sz="4" w:space="0" w:color="auto"/>
        <w:left w:val="single" w:sz="4" w:space="0" w:color="auto"/>
        <w:bottom w:val="single" w:sz="4" w:space="0" w:color="auto"/>
        <w:right w:val="single" w:sz="4" w:space="0" w:color="auto"/>
      </w:pBdr>
      <w:shd w:val="clear" w:color="auto" w:fill="D3D3D3"/>
      <w:spacing w:before="100" w:beforeAutospacing="1" w:after="100" w:afterAutospacing="1" w:line="240" w:lineRule="auto"/>
    </w:pPr>
    <w:rPr>
      <w:rFonts w:ascii="Microsoft Sans Serif" w:eastAsia="Times New Roman" w:hAnsi="Microsoft Sans Serif" w:cs="Microsoft Sans Serif"/>
      <w:color w:val="000000"/>
      <w:sz w:val="16"/>
      <w:szCs w:val="16"/>
      <w:lang w:eastAsia="fr-FR"/>
    </w:rPr>
  </w:style>
  <w:style w:type="paragraph" w:customStyle="1" w:styleId="xl74">
    <w:name w:val="xl74"/>
    <w:basedOn w:val="Normal"/>
    <w:rsid w:val="00A47DEE"/>
    <w:pPr>
      <w:pBdr>
        <w:top w:val="single" w:sz="4" w:space="0" w:color="auto"/>
        <w:left w:val="single" w:sz="4" w:space="0" w:color="auto"/>
        <w:bottom w:val="single" w:sz="4" w:space="0" w:color="auto"/>
        <w:right w:val="single" w:sz="4" w:space="0" w:color="auto"/>
      </w:pBdr>
      <w:shd w:val="clear" w:color="auto" w:fill="90EE90"/>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75">
    <w:name w:val="xl75"/>
    <w:basedOn w:val="Normal"/>
    <w:rsid w:val="00A4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76">
    <w:name w:val="xl76"/>
    <w:basedOn w:val="Normal"/>
    <w:rsid w:val="00A47DEE"/>
    <w:pPr>
      <w:pBdr>
        <w:top w:val="single" w:sz="4" w:space="0" w:color="auto"/>
        <w:left w:val="single" w:sz="4" w:space="0" w:color="auto"/>
        <w:bottom w:val="single" w:sz="4" w:space="0" w:color="auto"/>
        <w:right w:val="single" w:sz="4" w:space="0" w:color="auto"/>
      </w:pBdr>
      <w:shd w:val="clear" w:color="auto" w:fill="D3D3D3"/>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77">
    <w:name w:val="xl77"/>
    <w:basedOn w:val="Normal"/>
    <w:rsid w:val="00A4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78">
    <w:name w:val="xl78"/>
    <w:basedOn w:val="Normal"/>
    <w:rsid w:val="00A4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79">
    <w:name w:val="xl79"/>
    <w:basedOn w:val="Normal"/>
    <w:rsid w:val="00A47DEE"/>
    <w:pPr>
      <w:pBdr>
        <w:top w:val="single" w:sz="4" w:space="0" w:color="auto"/>
        <w:left w:val="single" w:sz="4" w:space="0" w:color="auto"/>
        <w:bottom w:val="single" w:sz="4" w:space="0" w:color="auto"/>
        <w:right w:val="single" w:sz="4" w:space="0" w:color="auto"/>
      </w:pBdr>
      <w:shd w:val="clear" w:color="auto" w:fill="90EE90"/>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0">
    <w:name w:val="xl80"/>
    <w:basedOn w:val="Normal"/>
    <w:rsid w:val="00A47DEE"/>
    <w:pPr>
      <w:pBdr>
        <w:bottom w:val="single" w:sz="4" w:space="0" w:color="auto"/>
      </w:pBdr>
      <w:spacing w:before="100" w:beforeAutospacing="1" w:after="100" w:afterAutospacing="1" w:line="240" w:lineRule="auto"/>
    </w:pPr>
    <w:rPr>
      <w:rFonts w:ascii="Arial" w:eastAsia="Times New Roman" w:hAnsi="Arial" w:cs="Arial"/>
      <w:sz w:val="20"/>
      <w:szCs w:val="20"/>
      <w:lang w:eastAsia="fr-FR"/>
    </w:rPr>
  </w:style>
  <w:style w:type="paragraph" w:customStyle="1" w:styleId="xl81">
    <w:name w:val="xl81"/>
    <w:basedOn w:val="Normal"/>
    <w:rsid w:val="00A4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2">
    <w:name w:val="xl82"/>
    <w:basedOn w:val="Normal"/>
    <w:rsid w:val="00A47DEE"/>
    <w:pPr>
      <w:pBdr>
        <w:top w:val="single" w:sz="4" w:space="0" w:color="auto"/>
        <w:left w:val="single" w:sz="4" w:space="0" w:color="auto"/>
        <w:bottom w:val="single" w:sz="4" w:space="0" w:color="auto"/>
        <w:right w:val="single" w:sz="4" w:space="0" w:color="auto"/>
      </w:pBdr>
      <w:shd w:val="clear" w:color="auto" w:fill="90EE90"/>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3">
    <w:name w:val="xl83"/>
    <w:basedOn w:val="Normal"/>
    <w:rsid w:val="00A4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4">
    <w:name w:val="xl84"/>
    <w:basedOn w:val="Normal"/>
    <w:rsid w:val="00A4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6">
    <w:name w:val="xl86"/>
    <w:basedOn w:val="Normal"/>
    <w:rsid w:val="00A47DEE"/>
    <w:pPr>
      <w:spacing w:before="100" w:beforeAutospacing="1" w:after="100" w:afterAutospacing="1" w:line="240" w:lineRule="auto"/>
    </w:pPr>
    <w:rPr>
      <w:rFonts w:ascii="Arial" w:eastAsia="Times New Roman" w:hAnsi="Arial" w:cs="Arial"/>
      <w:sz w:val="20"/>
      <w:szCs w:val="20"/>
      <w:lang w:eastAsia="fr-FR"/>
    </w:rPr>
  </w:style>
  <w:style w:type="paragraph" w:customStyle="1" w:styleId="xl87">
    <w:name w:val="xl87"/>
    <w:basedOn w:val="Normal"/>
    <w:rsid w:val="00A4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Microsoft Sans Serif" w:eastAsia="Times New Roman" w:hAnsi="Microsoft Sans Serif" w:cs="Microsoft Sans Serif"/>
      <w:color w:val="000000"/>
      <w:sz w:val="16"/>
      <w:szCs w:val="16"/>
      <w:lang w:eastAsia="fr-FR"/>
    </w:rPr>
  </w:style>
  <w:style w:type="paragraph" w:customStyle="1" w:styleId="xl88">
    <w:name w:val="xl88"/>
    <w:basedOn w:val="Normal"/>
    <w:rsid w:val="00A47DEE"/>
    <w:pPr>
      <w:pBdr>
        <w:left w:val="single" w:sz="4" w:space="0" w:color="auto"/>
        <w:bottom w:val="single" w:sz="4" w:space="0" w:color="auto"/>
      </w:pBdr>
      <w:shd w:val="clear" w:color="auto" w:fill="5987D6"/>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89">
    <w:name w:val="xl89"/>
    <w:basedOn w:val="Normal"/>
    <w:rsid w:val="00A47DEE"/>
    <w:pPr>
      <w:pBdr>
        <w:bottom w:val="single" w:sz="4" w:space="0" w:color="auto"/>
      </w:pBdr>
      <w:shd w:val="clear" w:color="auto" w:fill="5987D6"/>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90">
    <w:name w:val="xl90"/>
    <w:basedOn w:val="Normal"/>
    <w:rsid w:val="00A47DEE"/>
    <w:pPr>
      <w:pBdr>
        <w:bottom w:val="single" w:sz="4" w:space="0" w:color="auto"/>
        <w:right w:val="single" w:sz="4" w:space="0" w:color="auto"/>
      </w:pBdr>
      <w:shd w:val="clear" w:color="auto" w:fill="5987D6"/>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Heading61">
    <w:name w:val="Heading 61"/>
    <w:basedOn w:val="Default"/>
    <w:next w:val="Default"/>
    <w:uiPriority w:val="99"/>
    <w:rsid w:val="00A47DEE"/>
    <w:rPr>
      <w:rFonts w:ascii="Times New Roman" w:eastAsia="Times New Roman" w:hAnsi="Times New Roman" w:cs="Times New Roman"/>
      <w:color w:val="auto"/>
      <w:lang w:val="en-US"/>
    </w:rPr>
  </w:style>
  <w:style w:type="paragraph" w:customStyle="1" w:styleId="Corpsdetexte1">
    <w:name w:val="Corps de texte1"/>
    <w:basedOn w:val="Normal"/>
    <w:next w:val="Normal"/>
    <w:uiPriority w:val="99"/>
    <w:rsid w:val="00A47DEE"/>
    <w:pPr>
      <w:autoSpaceDE w:val="0"/>
      <w:autoSpaceDN w:val="0"/>
      <w:adjustRightInd w:val="0"/>
      <w:spacing w:before="120" w:after="0" w:line="240" w:lineRule="auto"/>
    </w:pPr>
    <w:rPr>
      <w:rFonts w:ascii="DJFONE+Tahoma" w:eastAsia="Calibri" w:hAnsi="DJFONE+Tahoma" w:cs="Times New Roman"/>
      <w:sz w:val="24"/>
      <w:szCs w:val="24"/>
      <w:lang w:val="en-US" w:eastAsia="fr-FR"/>
    </w:rPr>
  </w:style>
  <w:style w:type="character" w:styleId="Appeldenotedefin">
    <w:name w:val="endnote reference"/>
    <w:basedOn w:val="Policepardfaut"/>
    <w:uiPriority w:val="99"/>
    <w:semiHidden/>
    <w:unhideWhenUsed/>
    <w:rsid w:val="00A47DEE"/>
    <w:rPr>
      <w:vertAlign w:val="superscript"/>
    </w:rPr>
  </w:style>
  <w:style w:type="character" w:customStyle="1" w:styleId="Emphaseple1">
    <w:name w:val="Emphase pâle1"/>
    <w:basedOn w:val="Policepardfaut"/>
    <w:uiPriority w:val="19"/>
    <w:qFormat/>
    <w:rsid w:val="00A47DEE"/>
    <w:rPr>
      <w:i/>
      <w:iCs/>
      <w:color w:val="808080"/>
    </w:rPr>
  </w:style>
  <w:style w:type="character" w:customStyle="1" w:styleId="hpsatn">
    <w:name w:val="hps atn"/>
    <w:basedOn w:val="Policepardfaut"/>
    <w:rsid w:val="00A47DEE"/>
  </w:style>
  <w:style w:type="character" w:customStyle="1" w:styleId="atn">
    <w:name w:val="atn"/>
    <w:basedOn w:val="Policepardfaut"/>
    <w:rsid w:val="00A47DEE"/>
  </w:style>
  <w:style w:type="table" w:customStyle="1" w:styleId="Grilledutableau11">
    <w:name w:val="Grille du tableau11"/>
    <w:basedOn w:val="TableauNormal"/>
    <w:next w:val="Grilledutableau"/>
    <w:uiPriority w:val="59"/>
    <w:rsid w:val="00A47DEE"/>
    <w:pPr>
      <w:spacing w:after="0" w:line="240" w:lineRule="auto"/>
    </w:pPr>
    <w:rPr>
      <w:rFonts w:ascii="Calibri" w:eastAsia="Times New Roman" w:hAnsi="Calibri" w:cs="Arial"/>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
    <w:name w:val="Grille du tableau111"/>
    <w:basedOn w:val="TableauNormal"/>
    <w:uiPriority w:val="59"/>
    <w:rsid w:val="00A47DEE"/>
    <w:pPr>
      <w:spacing w:after="0" w:line="240" w:lineRule="auto"/>
    </w:pPr>
    <w:rPr>
      <w:rFonts w:ascii="Calibri" w:eastAsia="Times New Roman" w:hAnsi="Calibri" w:cs="Arial"/>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1">
    <w:name w:val="Grille du tableau21"/>
    <w:basedOn w:val="TableauNormal"/>
    <w:uiPriority w:val="59"/>
    <w:rsid w:val="00A47DEE"/>
    <w:pPr>
      <w:spacing w:after="0" w:line="240" w:lineRule="auto"/>
    </w:pPr>
    <w:rPr>
      <w:rFonts w:ascii="Calibri" w:eastAsia="Times New Roman" w:hAnsi="Calibri" w:cs="Arial"/>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EATableStyle1">
    <w:name w:val="AEA Table Style1"/>
    <w:basedOn w:val="TableauNormal"/>
    <w:uiPriority w:val="99"/>
    <w:qFormat/>
    <w:rsid w:val="00A47DEE"/>
    <w:pPr>
      <w:spacing w:before="20" w:after="20" w:line="240" w:lineRule="auto"/>
    </w:pPr>
    <w:rPr>
      <w:rFonts w:ascii="Arial" w:eastAsia="Times New Roman" w:hAnsi="Arial" w:cs="Times New Roman"/>
      <w:sz w:val="20"/>
      <w:szCs w:val="20"/>
      <w:lang w:val="en-GB" w:eastAsia="en-GB"/>
    </w:r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Pr>
    <w:tblStylePr w:type="firstRow">
      <w:pPr>
        <w:wordWrap/>
        <w:spacing w:beforeLines="0" w:beforeAutospacing="1" w:afterLines="0" w:afterAutospacing="1" w:line="240" w:lineRule="auto"/>
      </w:pPr>
      <w:rPr>
        <w:rFonts w:ascii="Arial" w:hAnsi="Arial" w:cs="Arial" w:hint="default"/>
        <w:b/>
        <w:color w:val="FFFFFF"/>
        <w:sz w:val="20"/>
        <w:szCs w:val="20"/>
      </w:rPr>
      <w:tblPr/>
      <w:tcPr>
        <w:shd w:val="clear" w:color="auto" w:fill="C00000"/>
      </w:tcPr>
    </w:tblStylePr>
    <w:tblStylePr w:type="firstCol">
      <w:rPr>
        <w:rFonts w:ascii="Arial" w:hAnsi="Arial" w:cs="Arial"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pct15" w:color="auto" w:fill="auto"/>
      </w:tcPr>
    </w:tblStylePr>
  </w:style>
  <w:style w:type="character" w:customStyle="1" w:styleId="Titre7Car1">
    <w:name w:val="Titre 7 Car1"/>
    <w:basedOn w:val="Policepardfaut"/>
    <w:uiPriority w:val="9"/>
    <w:semiHidden/>
    <w:rsid w:val="00A47DEE"/>
    <w:rPr>
      <w:rFonts w:ascii="Cambria" w:eastAsia="Times New Roman" w:hAnsi="Cambria" w:cs="Times New Roman"/>
      <w:i/>
      <w:iCs/>
      <w:color w:val="404040"/>
    </w:rPr>
  </w:style>
  <w:style w:type="character" w:customStyle="1" w:styleId="Accentuationlgre1">
    <w:name w:val="Accentuation légère1"/>
    <w:basedOn w:val="Policepardfaut"/>
    <w:uiPriority w:val="19"/>
    <w:qFormat/>
    <w:rsid w:val="00A47DEE"/>
    <w:rPr>
      <w:i/>
      <w:iCs/>
      <w:color w:val="808080"/>
    </w:rPr>
  </w:style>
  <w:style w:type="table" w:customStyle="1" w:styleId="Grilleclaire-Accent21">
    <w:name w:val="Grille claire - Accent 21"/>
    <w:basedOn w:val="TableauNormal"/>
    <w:next w:val="Grilleclaire-Accent2"/>
    <w:uiPriority w:val="62"/>
    <w:rsid w:val="00A47DEE"/>
    <w:pPr>
      <w:spacing w:after="0" w:line="240" w:lineRule="auto"/>
      <w:jc w:val="both"/>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arlett" w:eastAsia="Times New Roman" w:hAnsi="Marlet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arlett" w:eastAsia="Times New Roman" w:hAnsi="Marlet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Grilleclaire-Accent22">
    <w:name w:val="Grille claire - Accent 22"/>
    <w:basedOn w:val="TableauNormal"/>
    <w:next w:val="Grilleclaire-Accent2"/>
    <w:uiPriority w:val="62"/>
    <w:rsid w:val="00A47DEE"/>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
    <w:name w:val="Table Grid1"/>
    <w:basedOn w:val="TableauNormal"/>
    <w:next w:val="Grilledutableau"/>
    <w:uiPriority w:val="39"/>
    <w:rsid w:val="00A47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47DE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5">
    <w:name w:val="xl65"/>
    <w:basedOn w:val="Normal"/>
    <w:rsid w:val="00A47DEE"/>
    <w:pP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66">
    <w:name w:val="xl66"/>
    <w:basedOn w:val="Normal"/>
    <w:rsid w:val="00A47DEE"/>
    <w:pP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67">
    <w:name w:val="xl67"/>
    <w:basedOn w:val="Normal"/>
    <w:rsid w:val="00A47DEE"/>
    <w:pPr>
      <w:spacing w:before="100" w:beforeAutospacing="1" w:after="100" w:afterAutospacing="1" w:line="240" w:lineRule="auto"/>
    </w:pPr>
    <w:rPr>
      <w:rFonts w:ascii="Arial" w:eastAsia="Times New Roman" w:hAnsi="Arial" w:cs="Arial"/>
      <w:sz w:val="20"/>
      <w:szCs w:val="20"/>
      <w:lang w:eastAsia="fr-FR"/>
    </w:rPr>
  </w:style>
  <w:style w:type="paragraph" w:customStyle="1" w:styleId="xl68">
    <w:name w:val="xl68"/>
    <w:basedOn w:val="Normal"/>
    <w:rsid w:val="00A47DEE"/>
    <w:pPr>
      <w:spacing w:before="100" w:beforeAutospacing="1" w:after="100" w:afterAutospacing="1" w:line="240" w:lineRule="auto"/>
    </w:pPr>
    <w:rPr>
      <w:rFonts w:ascii="Arial" w:eastAsia="Times New Roman" w:hAnsi="Arial" w:cs="Arial"/>
      <w:b/>
      <w:bCs/>
      <w:sz w:val="20"/>
      <w:szCs w:val="20"/>
      <w:lang w:eastAsia="fr-FR"/>
    </w:rPr>
  </w:style>
  <w:style w:type="paragraph" w:customStyle="1" w:styleId="xl69">
    <w:name w:val="xl69"/>
    <w:basedOn w:val="Normal"/>
    <w:rsid w:val="00A47DE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85">
    <w:name w:val="xl85"/>
    <w:basedOn w:val="Normal"/>
    <w:rsid w:val="00A4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lang w:eastAsia="fr-FR"/>
    </w:rPr>
  </w:style>
  <w:style w:type="paragraph" w:customStyle="1" w:styleId="xl91">
    <w:name w:val="xl91"/>
    <w:basedOn w:val="Normal"/>
    <w:rsid w:val="00A47D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18"/>
      <w:szCs w:val="18"/>
      <w:lang w:eastAsia="fr-FR"/>
    </w:rPr>
  </w:style>
  <w:style w:type="paragraph" w:customStyle="1" w:styleId="xl92">
    <w:name w:val="xl92"/>
    <w:basedOn w:val="Normal"/>
    <w:rsid w:val="00A47DE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color w:val="000000"/>
      <w:sz w:val="18"/>
      <w:szCs w:val="18"/>
      <w:lang w:eastAsia="fr-FR"/>
    </w:rPr>
  </w:style>
  <w:style w:type="paragraph" w:customStyle="1" w:styleId="xl93">
    <w:name w:val="xl93"/>
    <w:basedOn w:val="Normal"/>
    <w:rsid w:val="00A47DE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color w:val="000000"/>
      <w:sz w:val="18"/>
      <w:szCs w:val="18"/>
      <w:lang w:eastAsia="fr-FR"/>
    </w:rPr>
  </w:style>
  <w:style w:type="paragraph" w:customStyle="1" w:styleId="xl94">
    <w:name w:val="xl94"/>
    <w:basedOn w:val="Normal"/>
    <w:rsid w:val="00A47DE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18"/>
      <w:szCs w:val="18"/>
      <w:lang w:eastAsia="fr-FR"/>
    </w:rPr>
  </w:style>
  <w:style w:type="paragraph" w:customStyle="1" w:styleId="xl95">
    <w:name w:val="xl95"/>
    <w:basedOn w:val="Normal"/>
    <w:rsid w:val="00A47DE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6">
    <w:name w:val="xl96"/>
    <w:basedOn w:val="Normal"/>
    <w:rsid w:val="00A4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7">
    <w:name w:val="xl97"/>
    <w:basedOn w:val="Normal"/>
    <w:rsid w:val="00A47DE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8">
    <w:name w:val="xl98"/>
    <w:basedOn w:val="Normal"/>
    <w:rsid w:val="00A47DE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9">
    <w:name w:val="xl99"/>
    <w:basedOn w:val="Normal"/>
    <w:rsid w:val="00A47D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00">
    <w:name w:val="xl100"/>
    <w:basedOn w:val="Normal"/>
    <w:rsid w:val="00A47D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01">
    <w:name w:val="xl101"/>
    <w:basedOn w:val="Normal"/>
    <w:rsid w:val="00A47DE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02">
    <w:name w:val="xl102"/>
    <w:basedOn w:val="Normal"/>
    <w:rsid w:val="00A47DE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03">
    <w:name w:val="xl103"/>
    <w:basedOn w:val="Normal"/>
    <w:rsid w:val="00A47DE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4">
    <w:name w:val="xl104"/>
    <w:basedOn w:val="Normal"/>
    <w:rsid w:val="00A47DE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5">
    <w:name w:val="xl105"/>
    <w:basedOn w:val="Normal"/>
    <w:rsid w:val="00A47DE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6">
    <w:name w:val="xl106"/>
    <w:basedOn w:val="Normal"/>
    <w:rsid w:val="00A47DE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07">
    <w:name w:val="xl107"/>
    <w:basedOn w:val="Normal"/>
    <w:rsid w:val="00A47DE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08">
    <w:name w:val="xl108"/>
    <w:basedOn w:val="Normal"/>
    <w:rsid w:val="00A47DE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9">
    <w:name w:val="xl109"/>
    <w:basedOn w:val="Normal"/>
    <w:rsid w:val="00A47DE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10">
    <w:name w:val="xl110"/>
    <w:basedOn w:val="Normal"/>
    <w:rsid w:val="00A47DEE"/>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11">
    <w:name w:val="xl111"/>
    <w:basedOn w:val="Normal"/>
    <w:rsid w:val="00A47DE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2">
    <w:name w:val="xl112"/>
    <w:basedOn w:val="Normal"/>
    <w:rsid w:val="00A47DEE"/>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13">
    <w:name w:val="xl113"/>
    <w:basedOn w:val="Normal"/>
    <w:rsid w:val="00A47DEE"/>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4">
    <w:name w:val="xl114"/>
    <w:basedOn w:val="Normal"/>
    <w:rsid w:val="00A47DEE"/>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15">
    <w:name w:val="xl115"/>
    <w:basedOn w:val="Normal"/>
    <w:rsid w:val="00A47DEE"/>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6">
    <w:name w:val="xl116"/>
    <w:basedOn w:val="Normal"/>
    <w:rsid w:val="00A47DE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7">
    <w:name w:val="xl117"/>
    <w:basedOn w:val="Normal"/>
    <w:rsid w:val="00A47DEE"/>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8">
    <w:name w:val="xl118"/>
    <w:basedOn w:val="Normal"/>
    <w:rsid w:val="00A47DEE"/>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19">
    <w:name w:val="xl119"/>
    <w:basedOn w:val="Normal"/>
    <w:rsid w:val="00A47DE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20">
    <w:name w:val="xl120"/>
    <w:basedOn w:val="Normal"/>
    <w:rsid w:val="00A47DE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1">
    <w:name w:val="xl121"/>
    <w:basedOn w:val="Normal"/>
    <w:rsid w:val="00A47DEE"/>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22">
    <w:name w:val="xl122"/>
    <w:basedOn w:val="Normal"/>
    <w:rsid w:val="00A47DEE"/>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23">
    <w:name w:val="xl123"/>
    <w:basedOn w:val="Normal"/>
    <w:rsid w:val="00A47DE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4">
    <w:name w:val="xl124"/>
    <w:basedOn w:val="Normal"/>
    <w:rsid w:val="00A47DEE"/>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25">
    <w:name w:val="xl125"/>
    <w:basedOn w:val="Normal"/>
    <w:rsid w:val="00A47DEE"/>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6">
    <w:name w:val="xl126"/>
    <w:basedOn w:val="Normal"/>
    <w:rsid w:val="00A47DEE"/>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27">
    <w:name w:val="xl127"/>
    <w:basedOn w:val="Normal"/>
    <w:rsid w:val="00A4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8">
    <w:name w:val="xl128"/>
    <w:basedOn w:val="Normal"/>
    <w:rsid w:val="00A47D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9">
    <w:name w:val="xl129"/>
    <w:basedOn w:val="Normal"/>
    <w:rsid w:val="00A47DE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30">
    <w:name w:val="xl130"/>
    <w:basedOn w:val="Normal"/>
    <w:rsid w:val="00A47DE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31">
    <w:name w:val="xl131"/>
    <w:basedOn w:val="Normal"/>
    <w:rsid w:val="00A47DE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32">
    <w:name w:val="xl132"/>
    <w:basedOn w:val="Normal"/>
    <w:rsid w:val="00A47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33">
    <w:name w:val="xl133"/>
    <w:basedOn w:val="Normal"/>
    <w:rsid w:val="00A47DEE"/>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4">
    <w:name w:val="xl134"/>
    <w:basedOn w:val="Normal"/>
    <w:rsid w:val="00A47DE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5">
    <w:name w:val="xl135"/>
    <w:basedOn w:val="Normal"/>
    <w:rsid w:val="00A47DEE"/>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i/>
      <w:iCs/>
      <w:sz w:val="20"/>
      <w:szCs w:val="20"/>
      <w:lang w:eastAsia="fr-FR"/>
    </w:rPr>
  </w:style>
  <w:style w:type="paragraph" w:customStyle="1" w:styleId="xl136">
    <w:name w:val="xl136"/>
    <w:basedOn w:val="Normal"/>
    <w:rsid w:val="00A47DEE"/>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7">
    <w:name w:val="xl137"/>
    <w:basedOn w:val="Normal"/>
    <w:rsid w:val="00A47D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8">
    <w:name w:val="xl138"/>
    <w:basedOn w:val="Normal"/>
    <w:rsid w:val="00A47DEE"/>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9">
    <w:name w:val="xl139"/>
    <w:basedOn w:val="Normal"/>
    <w:rsid w:val="00A47DEE"/>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40">
    <w:name w:val="xl140"/>
    <w:basedOn w:val="Normal"/>
    <w:rsid w:val="00A47DEE"/>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41">
    <w:name w:val="xl141"/>
    <w:basedOn w:val="Normal"/>
    <w:rsid w:val="00A47DE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2">
    <w:name w:val="xl142"/>
    <w:basedOn w:val="Normal"/>
    <w:rsid w:val="00A47DE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3">
    <w:name w:val="xl143"/>
    <w:basedOn w:val="Normal"/>
    <w:rsid w:val="00A47DE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4">
    <w:name w:val="xl144"/>
    <w:basedOn w:val="Normal"/>
    <w:rsid w:val="00A47DEE"/>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5">
    <w:name w:val="xl145"/>
    <w:basedOn w:val="Normal"/>
    <w:rsid w:val="00A47DEE"/>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6">
    <w:name w:val="xl146"/>
    <w:basedOn w:val="Normal"/>
    <w:rsid w:val="00A47DEE"/>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7">
    <w:name w:val="xl147"/>
    <w:basedOn w:val="Normal"/>
    <w:rsid w:val="00A47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8">
    <w:name w:val="xl148"/>
    <w:basedOn w:val="Normal"/>
    <w:rsid w:val="00A47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8"/>
      <w:szCs w:val="18"/>
      <w:lang w:eastAsia="fr-FR"/>
    </w:rPr>
  </w:style>
  <w:style w:type="paragraph" w:customStyle="1" w:styleId="xl149">
    <w:name w:val="xl149"/>
    <w:basedOn w:val="Normal"/>
    <w:rsid w:val="00A47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50">
    <w:name w:val="xl150"/>
    <w:basedOn w:val="Normal"/>
    <w:rsid w:val="00A47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4"/>
      <w:szCs w:val="24"/>
      <w:lang w:eastAsia="fr-FR"/>
    </w:rPr>
  </w:style>
  <w:style w:type="paragraph" w:customStyle="1" w:styleId="xl151">
    <w:name w:val="xl151"/>
    <w:basedOn w:val="Normal"/>
    <w:rsid w:val="00A47DEE"/>
    <w:pPr>
      <w:pBdr>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0"/>
      <w:szCs w:val="20"/>
      <w:lang w:eastAsia="fr-FR"/>
    </w:rPr>
  </w:style>
  <w:style w:type="paragraph" w:customStyle="1" w:styleId="xl152">
    <w:name w:val="xl152"/>
    <w:basedOn w:val="Normal"/>
    <w:rsid w:val="00A47DEE"/>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0"/>
      <w:szCs w:val="20"/>
      <w:lang w:eastAsia="fr-FR"/>
    </w:rPr>
  </w:style>
  <w:style w:type="paragraph" w:customStyle="1" w:styleId="xl153">
    <w:name w:val="xl153"/>
    <w:basedOn w:val="Normal"/>
    <w:rsid w:val="00A47DEE"/>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0"/>
      <w:szCs w:val="20"/>
      <w:lang w:eastAsia="fr-FR"/>
    </w:rPr>
  </w:style>
  <w:style w:type="paragraph" w:customStyle="1" w:styleId="xl154">
    <w:name w:val="xl154"/>
    <w:basedOn w:val="Normal"/>
    <w:rsid w:val="00A47DEE"/>
    <w:pPr>
      <w:pBdr>
        <w:top w:val="single" w:sz="4" w:space="0" w:color="auto"/>
        <w:left w:val="single" w:sz="8" w:space="0" w:color="auto"/>
        <w:right w:val="single" w:sz="8" w:space="0" w:color="auto"/>
      </w:pBdr>
      <w:spacing w:before="100" w:beforeAutospacing="1" w:after="100" w:afterAutospacing="1" w:line="240" w:lineRule="auto"/>
    </w:pPr>
    <w:rPr>
      <w:rFonts w:ascii="Arial" w:eastAsia="Times New Roman" w:hAnsi="Arial" w:cs="Arial"/>
      <w:b/>
      <w:bCs/>
      <w:sz w:val="20"/>
      <w:szCs w:val="20"/>
      <w:lang w:eastAsia="fr-FR"/>
    </w:rPr>
  </w:style>
  <w:style w:type="paragraph" w:customStyle="1" w:styleId="xl155">
    <w:name w:val="xl155"/>
    <w:basedOn w:val="Normal"/>
    <w:rsid w:val="00A47DEE"/>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0"/>
      <w:szCs w:val="20"/>
      <w:lang w:eastAsia="fr-FR"/>
    </w:rPr>
  </w:style>
  <w:style w:type="paragraph" w:customStyle="1" w:styleId="xl156">
    <w:name w:val="xl156"/>
    <w:basedOn w:val="Normal"/>
    <w:rsid w:val="00A47DEE"/>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57">
    <w:name w:val="xl157"/>
    <w:basedOn w:val="Normal"/>
    <w:rsid w:val="00A47DEE"/>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58">
    <w:name w:val="xl158"/>
    <w:basedOn w:val="Normal"/>
    <w:rsid w:val="00A47DEE"/>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59">
    <w:name w:val="xl159"/>
    <w:basedOn w:val="Normal"/>
    <w:rsid w:val="00A47DEE"/>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60">
    <w:name w:val="xl160"/>
    <w:basedOn w:val="Normal"/>
    <w:rsid w:val="00A47DEE"/>
    <w:pPr>
      <w:pBdr>
        <w:top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61">
    <w:name w:val="xl161"/>
    <w:basedOn w:val="Normal"/>
    <w:rsid w:val="00A47DEE"/>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fr-FR"/>
    </w:rPr>
  </w:style>
  <w:style w:type="numbering" w:customStyle="1" w:styleId="Aucuneliste2">
    <w:name w:val="Aucune liste2"/>
    <w:next w:val="Aucuneliste"/>
    <w:uiPriority w:val="99"/>
    <w:semiHidden/>
    <w:unhideWhenUsed/>
    <w:rsid w:val="00A47DEE"/>
  </w:style>
  <w:style w:type="paragraph" w:customStyle="1" w:styleId="Centered1">
    <w:name w:val="Centered1"/>
    <w:basedOn w:val="Normal"/>
    <w:next w:val="Normal"/>
    <w:uiPriority w:val="9"/>
    <w:unhideWhenUsed/>
    <w:qFormat/>
    <w:rsid w:val="00A47DEE"/>
    <w:pPr>
      <w:keepNext/>
      <w:keepLines/>
      <w:spacing w:before="200" w:after="0" w:line="276" w:lineRule="auto"/>
      <w:outlineLvl w:val="2"/>
    </w:pPr>
    <w:rPr>
      <w:rFonts w:ascii="Cambria" w:eastAsia="Times New Roman" w:hAnsi="Cambria" w:cs="Times New Roman"/>
      <w:b/>
      <w:bCs/>
      <w:color w:val="4F81BD"/>
      <w:lang w:eastAsia="fr-FR"/>
    </w:rPr>
  </w:style>
  <w:style w:type="paragraph" w:customStyle="1" w:styleId="Centred1">
    <w:name w:val="Centred1"/>
    <w:basedOn w:val="Normal"/>
    <w:next w:val="Normal"/>
    <w:uiPriority w:val="9"/>
    <w:unhideWhenUsed/>
    <w:qFormat/>
    <w:rsid w:val="00A47DEE"/>
    <w:pPr>
      <w:keepNext/>
      <w:keepLines/>
      <w:spacing w:before="200" w:after="0" w:line="276" w:lineRule="auto"/>
      <w:outlineLvl w:val="3"/>
    </w:pPr>
    <w:rPr>
      <w:rFonts w:ascii="Cambria" w:eastAsia="Times New Roman" w:hAnsi="Cambria" w:cs="Times New Roman"/>
      <w:b/>
      <w:bCs/>
      <w:i/>
      <w:iCs/>
      <w:color w:val="4F81BD"/>
      <w:lang w:eastAsia="fr-FR"/>
    </w:rPr>
  </w:style>
  <w:style w:type="numbering" w:customStyle="1" w:styleId="Aucuneliste111">
    <w:name w:val="Aucune liste111"/>
    <w:next w:val="Aucuneliste"/>
    <w:uiPriority w:val="99"/>
    <w:semiHidden/>
    <w:unhideWhenUsed/>
    <w:rsid w:val="00A47DEE"/>
  </w:style>
  <w:style w:type="table" w:customStyle="1" w:styleId="Grilledutableau12">
    <w:name w:val="Grille du tableau12"/>
    <w:basedOn w:val="TableauNormal"/>
    <w:next w:val="Grilledutableau"/>
    <w:uiPriority w:val="59"/>
    <w:rsid w:val="00A47DEE"/>
    <w:pPr>
      <w:spacing w:after="0" w:line="240" w:lineRule="auto"/>
      <w:jc w:val="lowKashida"/>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edeliste111">
    <w:name w:val="Paragraphe de liste111"/>
    <w:basedOn w:val="Normal"/>
    <w:next w:val="Paragraphedeliste"/>
    <w:uiPriority w:val="1"/>
    <w:qFormat/>
    <w:rsid w:val="00A47DEE"/>
    <w:pPr>
      <w:spacing w:after="200" w:line="276" w:lineRule="auto"/>
      <w:ind w:left="720"/>
      <w:contextualSpacing/>
    </w:pPr>
    <w:rPr>
      <w:rFonts w:eastAsia="Times New Roman"/>
      <w:lang w:eastAsia="fr-FR"/>
    </w:rPr>
  </w:style>
  <w:style w:type="paragraph" w:customStyle="1" w:styleId="Lgende1">
    <w:name w:val="Légende1"/>
    <w:basedOn w:val="Normal"/>
    <w:next w:val="Normal"/>
    <w:uiPriority w:val="35"/>
    <w:unhideWhenUsed/>
    <w:qFormat/>
    <w:rsid w:val="00A47DEE"/>
    <w:pPr>
      <w:spacing w:after="200" w:line="240" w:lineRule="auto"/>
    </w:pPr>
    <w:rPr>
      <w:rFonts w:ascii="Times New Roman" w:eastAsia="SimSun" w:hAnsi="Times New Roman" w:cs="Times New Roman"/>
      <w:b/>
      <w:bCs/>
      <w:color w:val="4F81BD"/>
      <w:sz w:val="18"/>
      <w:szCs w:val="18"/>
      <w:lang w:val="en-US" w:eastAsia="zh-CN"/>
    </w:rPr>
  </w:style>
  <w:style w:type="character" w:customStyle="1" w:styleId="Lienhypertexte1">
    <w:name w:val="Lien hypertexte1"/>
    <w:basedOn w:val="Policepardfaut"/>
    <w:uiPriority w:val="99"/>
    <w:unhideWhenUsed/>
    <w:rsid w:val="00A47DEE"/>
    <w:rPr>
      <w:color w:val="0000FF"/>
      <w:u w:val="single"/>
    </w:rPr>
  </w:style>
  <w:style w:type="paragraph" w:customStyle="1" w:styleId="f1">
    <w:name w:val="f1"/>
    <w:basedOn w:val="Normal"/>
    <w:next w:val="Notedebasdepage"/>
    <w:uiPriority w:val="99"/>
    <w:unhideWhenUsed/>
    <w:qFormat/>
    <w:rsid w:val="00A47DEE"/>
    <w:pPr>
      <w:spacing w:after="0" w:line="240" w:lineRule="auto"/>
      <w:jc w:val="both"/>
    </w:pPr>
    <w:rPr>
      <w:rFonts w:ascii="Cambria" w:eastAsia="Times New Roman" w:hAnsi="Cambria"/>
      <w:kern w:val="2"/>
      <w:sz w:val="18"/>
      <w:szCs w:val="24"/>
      <w:lang w:eastAsia="fr-FR"/>
      <w14:ligatures w14:val="standardContextual"/>
    </w:rPr>
  </w:style>
  <w:style w:type="table" w:customStyle="1" w:styleId="Grilleclaire-Accent311">
    <w:name w:val="Grille claire - Accent 311"/>
    <w:basedOn w:val="TableauNormal"/>
    <w:next w:val="Grilleclaire-Accent3"/>
    <w:uiPriority w:val="62"/>
    <w:rsid w:val="00A47DEE"/>
    <w:pPr>
      <w:spacing w:after="0" w:line="240" w:lineRule="auto"/>
      <w:jc w:val="both"/>
    </w:pPr>
    <w:rPr>
      <w:rFonts w:eastAsia="Times New Roman"/>
      <w:lang w:eastAsia="fr-F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arlett" w:eastAsia="Times New Roman" w:hAnsi="Marlet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arlett" w:eastAsia="Times New Roman" w:hAnsi="Marlet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Grilleclaire11">
    <w:name w:val="Grille claire11"/>
    <w:basedOn w:val="TableauNormal"/>
    <w:next w:val="Grilleclaire"/>
    <w:uiPriority w:val="62"/>
    <w:rsid w:val="00A47DEE"/>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claire-Accent111">
    <w:name w:val="Trame claire - Accent 111"/>
    <w:basedOn w:val="TableauNormal"/>
    <w:next w:val="Trameclaire-Accent1"/>
    <w:uiPriority w:val="60"/>
    <w:rsid w:val="00A47DEE"/>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Titre1Car1">
    <w:name w:val="Titre 1 Car1"/>
    <w:basedOn w:val="Policepardfaut"/>
    <w:uiPriority w:val="9"/>
    <w:rsid w:val="00A47DEE"/>
    <w:rPr>
      <w:rFonts w:ascii="Calibri Light" w:eastAsia="Times New Roman" w:hAnsi="Calibri Light" w:cs="Times New Roman"/>
      <w:color w:val="2F5496"/>
      <w:sz w:val="32"/>
      <w:szCs w:val="32"/>
    </w:rPr>
  </w:style>
  <w:style w:type="table" w:customStyle="1" w:styleId="Tramemoyenne2-Accent311">
    <w:name w:val="Trame moyenne 2 - Accent 311"/>
    <w:basedOn w:val="TableauNormal"/>
    <w:next w:val="Tramemoyenne2-Accent3"/>
    <w:uiPriority w:val="64"/>
    <w:rsid w:val="00A47D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511">
    <w:name w:val="Trame moyenne 2 - Accent 511"/>
    <w:basedOn w:val="TableauNormal"/>
    <w:next w:val="Tramemoyenne2-Accent5"/>
    <w:uiPriority w:val="64"/>
    <w:rsid w:val="00A47D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411">
    <w:name w:val="Trame moyenne 2 - Accent 411"/>
    <w:basedOn w:val="TableauNormal"/>
    <w:next w:val="Tramemoyenne2-Accent4"/>
    <w:uiPriority w:val="64"/>
    <w:rsid w:val="00A47D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311">
    <w:name w:val="Trame moyenne 1 - Accent 311"/>
    <w:basedOn w:val="TableauNormal"/>
    <w:next w:val="Tramemoyenne1-Accent3"/>
    <w:uiPriority w:val="63"/>
    <w:rsid w:val="00A47DEE"/>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Aucuneliste1111">
    <w:name w:val="Aucune liste1111"/>
    <w:next w:val="Aucuneliste"/>
    <w:uiPriority w:val="99"/>
    <w:semiHidden/>
    <w:unhideWhenUsed/>
    <w:rsid w:val="00A47DEE"/>
  </w:style>
  <w:style w:type="table" w:customStyle="1" w:styleId="Grilledutableau1111">
    <w:name w:val="Grille du tableau1111"/>
    <w:basedOn w:val="TableauNormal"/>
    <w:next w:val="Grilledutableau"/>
    <w:uiPriority w:val="39"/>
    <w:rsid w:val="00A47DE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1">
    <w:name w:val="Tableau simple 111"/>
    <w:basedOn w:val="TableauNormal"/>
    <w:next w:val="Tableausimple1"/>
    <w:uiPriority w:val="41"/>
    <w:rsid w:val="00A47DEE"/>
    <w:pPr>
      <w:spacing w:after="0" w:line="240" w:lineRule="auto"/>
    </w:pPr>
    <w:rPr>
      <w:kern w:val="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simple12">
    <w:name w:val="Tableau simple 12"/>
    <w:basedOn w:val="TableauNormal"/>
    <w:next w:val="Tableausimple1"/>
    <w:uiPriority w:val="41"/>
    <w:rsid w:val="00A47DEE"/>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xl63">
    <w:name w:val="xl63"/>
    <w:basedOn w:val="Normal"/>
    <w:rsid w:val="00A47DEE"/>
    <w:pP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64">
    <w:name w:val="xl64"/>
    <w:basedOn w:val="Normal"/>
    <w:rsid w:val="00A47DEE"/>
    <w:pPr>
      <w:spacing w:before="100" w:beforeAutospacing="1" w:after="100" w:afterAutospacing="1" w:line="240" w:lineRule="auto"/>
      <w:jc w:val="center"/>
    </w:pPr>
    <w:rPr>
      <w:rFonts w:ascii="Arial" w:eastAsia="Times New Roman" w:hAnsi="Arial" w:cs="Arial"/>
      <w:b/>
      <w:bCs/>
      <w:sz w:val="20"/>
      <w:szCs w:val="20"/>
      <w:lang w:eastAsia="fr-FR"/>
    </w:rPr>
  </w:style>
  <w:style w:type="character" w:customStyle="1" w:styleId="Titre2Car1">
    <w:name w:val="Titre 2 Car1"/>
    <w:basedOn w:val="Policepardfaut"/>
    <w:uiPriority w:val="9"/>
    <w:semiHidden/>
    <w:rsid w:val="00A47DEE"/>
    <w:rPr>
      <w:rFonts w:ascii="Calibri Light" w:eastAsia="Times New Roman" w:hAnsi="Calibri Light" w:cs="Times New Roman"/>
      <w:color w:val="2F5496"/>
      <w:sz w:val="26"/>
      <w:szCs w:val="26"/>
    </w:rPr>
  </w:style>
  <w:style w:type="table" w:customStyle="1" w:styleId="Grilledutableau3">
    <w:name w:val="Grille du tableau3"/>
    <w:basedOn w:val="TableauNormal"/>
    <w:next w:val="Grilledutableau"/>
    <w:uiPriority w:val="39"/>
    <w:rsid w:val="00A47DE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1">
    <w:name w:val="Titre 3 Car1"/>
    <w:basedOn w:val="Policepardfaut"/>
    <w:uiPriority w:val="9"/>
    <w:semiHidden/>
    <w:rsid w:val="00A47DEE"/>
    <w:rPr>
      <w:rFonts w:ascii="Calibri Light" w:eastAsia="Times New Roman" w:hAnsi="Calibri Light" w:cs="Times New Roman"/>
      <w:color w:val="1F3763"/>
      <w:sz w:val="24"/>
      <w:szCs w:val="24"/>
    </w:rPr>
  </w:style>
  <w:style w:type="character" w:customStyle="1" w:styleId="NotedebasdepageCar1">
    <w:name w:val="Note de bas de page Car1"/>
    <w:basedOn w:val="Policepardfaut"/>
    <w:uiPriority w:val="99"/>
    <w:semiHidden/>
    <w:rsid w:val="00A47DEE"/>
    <w:rPr>
      <w:sz w:val="20"/>
      <w:szCs w:val="20"/>
    </w:rPr>
  </w:style>
  <w:style w:type="table" w:customStyle="1" w:styleId="Grilleclaire-Accent32">
    <w:name w:val="Grille claire - Accent 32"/>
    <w:basedOn w:val="TableauNormal"/>
    <w:next w:val="Grilleclaire-Accent3"/>
    <w:uiPriority w:val="62"/>
    <w:semiHidden/>
    <w:unhideWhenUsed/>
    <w:rsid w:val="00A47DEE"/>
    <w:pPr>
      <w:spacing w:after="0" w:line="240" w:lineRule="auto"/>
    </w:pPr>
    <w:rPr>
      <w:kern w:val="2"/>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Grilleclaire2">
    <w:name w:val="Grille claire2"/>
    <w:basedOn w:val="TableauNormal"/>
    <w:next w:val="Grilleclaire"/>
    <w:uiPriority w:val="62"/>
    <w:semiHidden/>
    <w:unhideWhenUsed/>
    <w:rsid w:val="00A47DEE"/>
    <w:pPr>
      <w:spacing w:after="0" w:line="240" w:lineRule="auto"/>
    </w:pPr>
    <w:rPr>
      <w:kern w:val="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claire-Accent12">
    <w:name w:val="Trame claire - Accent 12"/>
    <w:basedOn w:val="TableauNormal"/>
    <w:next w:val="Trameclaire-Accent1"/>
    <w:uiPriority w:val="60"/>
    <w:semiHidden/>
    <w:unhideWhenUsed/>
    <w:rsid w:val="00A47DEE"/>
    <w:pPr>
      <w:spacing w:after="0" w:line="240" w:lineRule="auto"/>
    </w:pPr>
    <w:rPr>
      <w:color w:val="2F5496"/>
      <w:kern w:val="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ramemoyenne2-Accent32">
    <w:name w:val="Trame moyenne 2 - Accent 32"/>
    <w:basedOn w:val="TableauNormal"/>
    <w:next w:val="Tramemoyenne2-Accent3"/>
    <w:uiPriority w:val="64"/>
    <w:semiHidden/>
    <w:unhideWhenUsed/>
    <w:rsid w:val="00A47DEE"/>
    <w:pPr>
      <w:spacing w:after="0" w:line="240" w:lineRule="auto"/>
    </w:pPr>
    <w:rPr>
      <w:kern w:val="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52">
    <w:name w:val="Trame moyenne 2 - Accent 52"/>
    <w:basedOn w:val="TableauNormal"/>
    <w:next w:val="Tramemoyenne2-Accent5"/>
    <w:uiPriority w:val="64"/>
    <w:semiHidden/>
    <w:unhideWhenUsed/>
    <w:rsid w:val="00A47DEE"/>
    <w:pPr>
      <w:spacing w:after="0" w:line="240" w:lineRule="auto"/>
    </w:pPr>
    <w:rPr>
      <w:kern w:val="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42">
    <w:name w:val="Trame moyenne 2 - Accent 42"/>
    <w:basedOn w:val="TableauNormal"/>
    <w:next w:val="Tramemoyenne2-Accent4"/>
    <w:uiPriority w:val="64"/>
    <w:semiHidden/>
    <w:unhideWhenUsed/>
    <w:rsid w:val="00A47DEE"/>
    <w:pPr>
      <w:spacing w:after="0" w:line="240" w:lineRule="auto"/>
    </w:pPr>
    <w:rPr>
      <w:kern w:val="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32">
    <w:name w:val="Trame moyenne 1 - Accent 32"/>
    <w:basedOn w:val="TableauNormal"/>
    <w:next w:val="Tramemoyenne1-Accent3"/>
    <w:uiPriority w:val="63"/>
    <w:semiHidden/>
    <w:unhideWhenUsed/>
    <w:rsid w:val="00A47DEE"/>
    <w:pPr>
      <w:spacing w:after="0" w:line="240" w:lineRule="auto"/>
    </w:pPr>
    <w:rPr>
      <w:kern w:val="2"/>
      <w14:ligatures w14:val="standardContextual"/>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ausimple13">
    <w:name w:val="Tableau simple 13"/>
    <w:basedOn w:val="TableauNormal"/>
    <w:next w:val="Tableausimple1"/>
    <w:uiPriority w:val="41"/>
    <w:rsid w:val="00A47DEE"/>
    <w:pPr>
      <w:spacing w:after="0" w:line="240" w:lineRule="auto"/>
    </w:pPr>
    <w:rPr>
      <w:kern w:val="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simple14">
    <w:name w:val="Tableau simple 14"/>
    <w:basedOn w:val="TableauNormal"/>
    <w:next w:val="Tableausimple1"/>
    <w:uiPriority w:val="41"/>
    <w:rsid w:val="00A47DEE"/>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Aucuneliste3">
    <w:name w:val="Aucune liste3"/>
    <w:next w:val="Aucuneliste"/>
    <w:uiPriority w:val="99"/>
    <w:semiHidden/>
    <w:unhideWhenUsed/>
    <w:rsid w:val="00A47DEE"/>
  </w:style>
  <w:style w:type="numbering" w:customStyle="1" w:styleId="Aucuneliste12">
    <w:name w:val="Aucune liste12"/>
    <w:next w:val="Aucuneliste"/>
    <w:uiPriority w:val="99"/>
    <w:semiHidden/>
    <w:unhideWhenUsed/>
    <w:rsid w:val="00A47DEE"/>
  </w:style>
  <w:style w:type="table" w:customStyle="1" w:styleId="Grilledutableau13">
    <w:name w:val="Grille du tableau13"/>
    <w:basedOn w:val="TableauNormal"/>
    <w:next w:val="Grilledutableau"/>
    <w:uiPriority w:val="59"/>
    <w:rsid w:val="00A47DEE"/>
    <w:pPr>
      <w:spacing w:after="0" w:line="240" w:lineRule="auto"/>
      <w:jc w:val="lowKashida"/>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12">
    <w:name w:val="Aucune liste112"/>
    <w:next w:val="Aucuneliste"/>
    <w:uiPriority w:val="99"/>
    <w:semiHidden/>
    <w:unhideWhenUsed/>
    <w:rsid w:val="00A47DEE"/>
  </w:style>
  <w:style w:type="table" w:customStyle="1" w:styleId="Grilledutableau112">
    <w:name w:val="Grille du tableau112"/>
    <w:basedOn w:val="TableauNormal"/>
    <w:next w:val="Grilledutableau"/>
    <w:uiPriority w:val="39"/>
    <w:rsid w:val="00A47DE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A47DE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claire-Accent33">
    <w:name w:val="Grille claire - Accent 33"/>
    <w:basedOn w:val="TableauNormal"/>
    <w:next w:val="Grilleclaire-Accent3"/>
    <w:uiPriority w:val="62"/>
    <w:semiHidden/>
    <w:unhideWhenUsed/>
    <w:rsid w:val="00A47DEE"/>
    <w:pPr>
      <w:spacing w:after="0" w:line="240" w:lineRule="auto"/>
    </w:pPr>
    <w:rPr>
      <w:kern w:val="2"/>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Grilleclaire3">
    <w:name w:val="Grille claire3"/>
    <w:basedOn w:val="TableauNormal"/>
    <w:next w:val="Grilleclaire"/>
    <w:uiPriority w:val="62"/>
    <w:semiHidden/>
    <w:unhideWhenUsed/>
    <w:rsid w:val="00A47DEE"/>
    <w:pPr>
      <w:spacing w:after="0" w:line="240" w:lineRule="auto"/>
    </w:pPr>
    <w:rPr>
      <w:kern w:val="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claire-Accent13">
    <w:name w:val="Trame claire - Accent 13"/>
    <w:basedOn w:val="TableauNormal"/>
    <w:next w:val="Trameclaire-Accent1"/>
    <w:uiPriority w:val="60"/>
    <w:semiHidden/>
    <w:unhideWhenUsed/>
    <w:rsid w:val="00A47DEE"/>
    <w:pPr>
      <w:spacing w:after="0" w:line="240" w:lineRule="auto"/>
    </w:pPr>
    <w:rPr>
      <w:color w:val="2F5496"/>
      <w:kern w:val="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ramemoyenne2-Accent33">
    <w:name w:val="Trame moyenne 2 - Accent 33"/>
    <w:basedOn w:val="TableauNormal"/>
    <w:next w:val="Tramemoyenne2-Accent3"/>
    <w:uiPriority w:val="64"/>
    <w:semiHidden/>
    <w:unhideWhenUsed/>
    <w:rsid w:val="00A47DEE"/>
    <w:pPr>
      <w:spacing w:after="0" w:line="240" w:lineRule="auto"/>
    </w:pPr>
    <w:rPr>
      <w:kern w:val="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53">
    <w:name w:val="Trame moyenne 2 - Accent 53"/>
    <w:basedOn w:val="TableauNormal"/>
    <w:next w:val="Tramemoyenne2-Accent5"/>
    <w:uiPriority w:val="64"/>
    <w:semiHidden/>
    <w:unhideWhenUsed/>
    <w:rsid w:val="00A47DEE"/>
    <w:pPr>
      <w:spacing w:after="0" w:line="240" w:lineRule="auto"/>
    </w:pPr>
    <w:rPr>
      <w:kern w:val="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2-Accent43">
    <w:name w:val="Trame moyenne 2 - Accent 43"/>
    <w:basedOn w:val="TableauNormal"/>
    <w:next w:val="Tramemoyenne2-Accent4"/>
    <w:uiPriority w:val="64"/>
    <w:semiHidden/>
    <w:unhideWhenUsed/>
    <w:rsid w:val="00A47DEE"/>
    <w:pPr>
      <w:spacing w:after="0" w:line="240" w:lineRule="auto"/>
    </w:pPr>
    <w:rPr>
      <w:kern w:val="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33">
    <w:name w:val="Trame moyenne 1 - Accent 33"/>
    <w:basedOn w:val="TableauNormal"/>
    <w:next w:val="Tramemoyenne1-Accent3"/>
    <w:uiPriority w:val="63"/>
    <w:semiHidden/>
    <w:unhideWhenUsed/>
    <w:rsid w:val="00A47DEE"/>
    <w:pPr>
      <w:spacing w:after="0" w:line="240" w:lineRule="auto"/>
    </w:pPr>
    <w:rPr>
      <w:kern w:val="2"/>
      <w14:ligatures w14:val="standardContextual"/>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Tableausimple141">
    <w:name w:val="Tableau simple 141"/>
    <w:basedOn w:val="TableauNormal"/>
    <w:next w:val="Tableausimple1"/>
    <w:uiPriority w:val="41"/>
    <w:rsid w:val="00A47DEE"/>
    <w:pPr>
      <w:spacing w:after="0" w:line="240" w:lineRule="auto"/>
    </w:pPr>
    <w:rPr>
      <w:kern w:val="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yle2">
    <w:name w:val="Style2"/>
    <w:basedOn w:val="Titre2"/>
    <w:next w:val="Normal"/>
    <w:rsid w:val="00A47DEE"/>
    <w:pPr>
      <w:numPr>
        <w:numId w:val="369"/>
      </w:numPr>
      <w:ind w:left="0" w:firstLine="0"/>
    </w:pPr>
    <w:rPr>
      <w:rFonts w:ascii="Cambria" w:eastAsia="MS Gothic" w:hAnsi="Cambria" w:cs="Times New Roman"/>
      <w:color w:val="002060"/>
      <w:kern w:val="0"/>
      <w:sz w:val="24"/>
      <w:szCs w:val="24"/>
      <w:lang w:eastAsia="fr-FR"/>
      <w14:ligatures w14:val="none"/>
    </w:rPr>
  </w:style>
  <w:style w:type="table" w:customStyle="1" w:styleId="Grilleclaire-Accent12">
    <w:name w:val="Grille claire - Accent 12"/>
    <w:basedOn w:val="TableauNormal"/>
    <w:uiPriority w:val="62"/>
    <w:rsid w:val="00A47DEE"/>
    <w:pPr>
      <w:spacing w:after="0" w:line="240" w:lineRule="auto"/>
      <w:jc w:val="both"/>
    </w:pPr>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lleclaire-Accent331">
    <w:name w:val="Grille claire - Accent 331"/>
    <w:basedOn w:val="TableauNormal"/>
    <w:next w:val="Grilleclaire-Accent3"/>
    <w:uiPriority w:val="62"/>
    <w:rsid w:val="00A47DEE"/>
    <w:pPr>
      <w:spacing w:after="0" w:line="240" w:lineRule="auto"/>
    </w:pPr>
    <w:rPr>
      <w:rFonts w:ascii="Times New Roman" w:eastAsia="MS Mincho" w:hAnsi="Times New Roman" w:cs="Times New Roman"/>
      <w:sz w:val="20"/>
      <w:szCs w:val="20"/>
      <w:lang w:val="en-GB"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Marlett" w:eastAsia="Times New Roman" w:hAnsi="Marlett"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Marlett" w:eastAsia="Times New Roman" w:hAnsi="Marlett"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xl162">
    <w:name w:val="xl162"/>
    <w:basedOn w:val="Normal"/>
    <w:rsid w:val="00A47DEE"/>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63">
    <w:name w:val="xl163"/>
    <w:basedOn w:val="Normal"/>
    <w:rsid w:val="00A47DE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64">
    <w:name w:val="xl164"/>
    <w:basedOn w:val="Normal"/>
    <w:rsid w:val="00A47DEE"/>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65">
    <w:name w:val="xl165"/>
    <w:basedOn w:val="Normal"/>
    <w:rsid w:val="00A47DEE"/>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66">
    <w:name w:val="xl166"/>
    <w:basedOn w:val="Normal"/>
    <w:rsid w:val="00A47DEE"/>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67">
    <w:name w:val="xl167"/>
    <w:basedOn w:val="Normal"/>
    <w:rsid w:val="00A47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68">
    <w:name w:val="xl168"/>
    <w:basedOn w:val="Normal"/>
    <w:rsid w:val="00A47D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69">
    <w:name w:val="xl169"/>
    <w:basedOn w:val="Normal"/>
    <w:rsid w:val="00A47DE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70">
    <w:name w:val="xl170"/>
    <w:basedOn w:val="Normal"/>
    <w:rsid w:val="00A47DE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71">
    <w:name w:val="xl171"/>
    <w:basedOn w:val="Normal"/>
    <w:rsid w:val="00A47DE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72">
    <w:name w:val="xl172"/>
    <w:basedOn w:val="Normal"/>
    <w:rsid w:val="00A47DEE"/>
    <w:pPr>
      <w:spacing w:before="100" w:beforeAutospacing="1" w:after="100" w:afterAutospacing="1" w:line="240" w:lineRule="auto"/>
    </w:pPr>
    <w:rPr>
      <w:rFonts w:ascii="Arial" w:eastAsia="Times New Roman" w:hAnsi="Arial" w:cs="Arial"/>
      <w:b/>
      <w:bCs/>
      <w:i/>
      <w:iCs/>
      <w:sz w:val="16"/>
      <w:szCs w:val="16"/>
      <w:lang w:eastAsia="fr-FR"/>
    </w:rPr>
  </w:style>
  <w:style w:type="paragraph" w:customStyle="1" w:styleId="xl173">
    <w:name w:val="xl173"/>
    <w:basedOn w:val="Normal"/>
    <w:rsid w:val="00A47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74">
    <w:name w:val="xl174"/>
    <w:basedOn w:val="Normal"/>
    <w:rsid w:val="00A47DEE"/>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75">
    <w:name w:val="xl175"/>
    <w:basedOn w:val="Normal"/>
    <w:rsid w:val="00A47DE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76">
    <w:name w:val="xl176"/>
    <w:basedOn w:val="Normal"/>
    <w:rsid w:val="00A47DEE"/>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i/>
      <w:iCs/>
      <w:sz w:val="20"/>
      <w:szCs w:val="20"/>
      <w:lang w:eastAsia="fr-FR"/>
    </w:rPr>
  </w:style>
  <w:style w:type="paragraph" w:customStyle="1" w:styleId="xl177">
    <w:name w:val="xl177"/>
    <w:basedOn w:val="Normal"/>
    <w:rsid w:val="00A47DEE"/>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78">
    <w:name w:val="xl178"/>
    <w:basedOn w:val="Normal"/>
    <w:rsid w:val="00A47D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79">
    <w:name w:val="xl179"/>
    <w:basedOn w:val="Normal"/>
    <w:rsid w:val="00A47DEE"/>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80">
    <w:name w:val="xl180"/>
    <w:basedOn w:val="Normal"/>
    <w:rsid w:val="00A47DEE"/>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81">
    <w:name w:val="xl181"/>
    <w:basedOn w:val="Normal"/>
    <w:rsid w:val="00A47DEE"/>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82">
    <w:name w:val="xl182"/>
    <w:basedOn w:val="Normal"/>
    <w:rsid w:val="00A47DEE"/>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b/>
      <w:bCs/>
      <w:sz w:val="24"/>
      <w:szCs w:val="24"/>
      <w:lang w:eastAsia="fr-FR"/>
    </w:rPr>
  </w:style>
  <w:style w:type="paragraph" w:customStyle="1" w:styleId="xl183">
    <w:name w:val="xl183"/>
    <w:basedOn w:val="Normal"/>
    <w:rsid w:val="00A47DE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84">
    <w:name w:val="xl184"/>
    <w:basedOn w:val="Normal"/>
    <w:rsid w:val="00A47DE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85">
    <w:name w:val="xl185"/>
    <w:basedOn w:val="Normal"/>
    <w:rsid w:val="00A47DE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86">
    <w:name w:val="xl186"/>
    <w:basedOn w:val="Normal"/>
    <w:rsid w:val="00A47DEE"/>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87">
    <w:name w:val="xl187"/>
    <w:basedOn w:val="Normal"/>
    <w:rsid w:val="00A47DEE"/>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88">
    <w:name w:val="xl188"/>
    <w:basedOn w:val="Normal"/>
    <w:rsid w:val="00A47DEE"/>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89">
    <w:name w:val="xl189"/>
    <w:basedOn w:val="Normal"/>
    <w:rsid w:val="00A47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90">
    <w:name w:val="xl190"/>
    <w:basedOn w:val="Normal"/>
    <w:rsid w:val="00A47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8"/>
      <w:szCs w:val="18"/>
      <w:lang w:eastAsia="fr-FR"/>
    </w:rPr>
  </w:style>
  <w:style w:type="paragraph" w:customStyle="1" w:styleId="xl191">
    <w:name w:val="xl191"/>
    <w:basedOn w:val="Normal"/>
    <w:rsid w:val="00A47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92">
    <w:name w:val="xl192"/>
    <w:basedOn w:val="Normal"/>
    <w:rsid w:val="00A47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4"/>
      <w:szCs w:val="24"/>
      <w:lang w:eastAsia="fr-FR"/>
    </w:rPr>
  </w:style>
  <w:style w:type="paragraph" w:customStyle="1" w:styleId="xl193">
    <w:name w:val="xl193"/>
    <w:basedOn w:val="Normal"/>
    <w:rsid w:val="00A47DEE"/>
    <w:pPr>
      <w:pBdr>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0"/>
      <w:szCs w:val="20"/>
      <w:lang w:eastAsia="fr-FR"/>
    </w:rPr>
  </w:style>
  <w:style w:type="paragraph" w:customStyle="1" w:styleId="xl194">
    <w:name w:val="xl194"/>
    <w:basedOn w:val="Normal"/>
    <w:rsid w:val="00A47DEE"/>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0"/>
      <w:szCs w:val="20"/>
      <w:lang w:eastAsia="fr-FR"/>
    </w:rPr>
  </w:style>
  <w:style w:type="paragraph" w:customStyle="1" w:styleId="xl195">
    <w:name w:val="xl195"/>
    <w:basedOn w:val="Normal"/>
    <w:rsid w:val="00A47DEE"/>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0"/>
      <w:szCs w:val="20"/>
      <w:lang w:eastAsia="fr-FR"/>
    </w:rPr>
  </w:style>
  <w:style w:type="paragraph" w:customStyle="1" w:styleId="xl196">
    <w:name w:val="xl196"/>
    <w:basedOn w:val="Normal"/>
    <w:rsid w:val="00A47DEE"/>
    <w:pPr>
      <w:pBdr>
        <w:top w:val="single" w:sz="4" w:space="0" w:color="auto"/>
        <w:left w:val="single" w:sz="8" w:space="0" w:color="auto"/>
        <w:right w:val="single" w:sz="8" w:space="0" w:color="auto"/>
      </w:pBdr>
      <w:spacing w:before="100" w:beforeAutospacing="1" w:after="100" w:afterAutospacing="1" w:line="240" w:lineRule="auto"/>
    </w:pPr>
    <w:rPr>
      <w:rFonts w:ascii="Arial" w:eastAsia="Times New Roman" w:hAnsi="Arial" w:cs="Arial"/>
      <w:b/>
      <w:bCs/>
      <w:sz w:val="20"/>
      <w:szCs w:val="20"/>
      <w:lang w:eastAsia="fr-FR"/>
    </w:rPr>
  </w:style>
  <w:style w:type="paragraph" w:customStyle="1" w:styleId="xl197">
    <w:name w:val="xl197"/>
    <w:basedOn w:val="Normal"/>
    <w:rsid w:val="00A47DEE"/>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0"/>
      <w:szCs w:val="20"/>
      <w:lang w:eastAsia="fr-FR"/>
    </w:rPr>
  </w:style>
  <w:style w:type="paragraph" w:customStyle="1" w:styleId="xl198">
    <w:name w:val="xl198"/>
    <w:basedOn w:val="Normal"/>
    <w:rsid w:val="00A47DEE"/>
    <w:pP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99">
    <w:name w:val="xl199"/>
    <w:basedOn w:val="Normal"/>
    <w:rsid w:val="00A47DEE"/>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200">
    <w:name w:val="xl200"/>
    <w:basedOn w:val="Normal"/>
    <w:rsid w:val="00A47DEE"/>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201">
    <w:name w:val="xl201"/>
    <w:basedOn w:val="Normal"/>
    <w:rsid w:val="00A47DE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202">
    <w:name w:val="xl202"/>
    <w:basedOn w:val="Normal"/>
    <w:rsid w:val="00A47DEE"/>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203">
    <w:name w:val="xl203"/>
    <w:basedOn w:val="Normal"/>
    <w:rsid w:val="00A47DEE"/>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204">
    <w:name w:val="xl204"/>
    <w:basedOn w:val="Normal"/>
    <w:rsid w:val="00A47DEE"/>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205">
    <w:name w:val="xl205"/>
    <w:basedOn w:val="Normal"/>
    <w:rsid w:val="00A47DEE"/>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206">
    <w:name w:val="xl206"/>
    <w:basedOn w:val="Normal"/>
    <w:rsid w:val="00A47DE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207">
    <w:name w:val="xl207"/>
    <w:basedOn w:val="Normal"/>
    <w:rsid w:val="00A47DEE"/>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208">
    <w:name w:val="xl208"/>
    <w:basedOn w:val="Normal"/>
    <w:rsid w:val="00A47DEE"/>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209">
    <w:name w:val="xl209"/>
    <w:basedOn w:val="Normal"/>
    <w:rsid w:val="00A47DE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210">
    <w:name w:val="xl210"/>
    <w:basedOn w:val="Normal"/>
    <w:rsid w:val="00A47DEE"/>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211">
    <w:name w:val="xl211"/>
    <w:basedOn w:val="Normal"/>
    <w:rsid w:val="00A47DEE"/>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212">
    <w:name w:val="xl212"/>
    <w:basedOn w:val="Normal"/>
    <w:rsid w:val="00A47DEE"/>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213">
    <w:name w:val="xl213"/>
    <w:basedOn w:val="Normal"/>
    <w:rsid w:val="00A47DEE"/>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0"/>
      <w:szCs w:val="20"/>
      <w:lang w:eastAsia="fr-FR"/>
    </w:rPr>
  </w:style>
  <w:style w:type="paragraph" w:customStyle="1" w:styleId="xl214">
    <w:name w:val="xl214"/>
    <w:basedOn w:val="Normal"/>
    <w:rsid w:val="00A47DEE"/>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0"/>
      <w:szCs w:val="20"/>
      <w:lang w:eastAsia="fr-FR"/>
    </w:rPr>
  </w:style>
  <w:style w:type="paragraph" w:customStyle="1" w:styleId="xl215">
    <w:name w:val="xl215"/>
    <w:basedOn w:val="Normal"/>
    <w:rsid w:val="00A47DEE"/>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216">
    <w:name w:val="xl216"/>
    <w:basedOn w:val="Normal"/>
    <w:rsid w:val="00A47DE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217">
    <w:name w:val="xl217"/>
    <w:basedOn w:val="Normal"/>
    <w:rsid w:val="00A47DE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218">
    <w:name w:val="xl218"/>
    <w:basedOn w:val="Normal"/>
    <w:rsid w:val="00A47DE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219">
    <w:name w:val="xl219"/>
    <w:basedOn w:val="Normal"/>
    <w:rsid w:val="00A47DEE"/>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220">
    <w:name w:val="xl220"/>
    <w:basedOn w:val="Normal"/>
    <w:rsid w:val="00A47DEE"/>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221">
    <w:name w:val="xl221"/>
    <w:basedOn w:val="Normal"/>
    <w:rsid w:val="00A47DEE"/>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222">
    <w:name w:val="xl222"/>
    <w:basedOn w:val="Normal"/>
    <w:rsid w:val="00A47DEE"/>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223">
    <w:name w:val="xl223"/>
    <w:basedOn w:val="Normal"/>
    <w:rsid w:val="00A47DEE"/>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224">
    <w:name w:val="xl224"/>
    <w:basedOn w:val="Normal"/>
    <w:rsid w:val="00A47DEE"/>
    <w:pPr>
      <w:pBdr>
        <w:top w:val="single" w:sz="8"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table" w:styleId="Grilleclaire">
    <w:name w:val="Light Grid"/>
    <w:basedOn w:val="TableauNormal"/>
    <w:uiPriority w:val="62"/>
    <w:semiHidden/>
    <w:unhideWhenUsed/>
    <w:rsid w:val="00A47DE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rameclaire-Accent1">
    <w:name w:val="Light Shading Accent 1"/>
    <w:basedOn w:val="TableauNormal"/>
    <w:uiPriority w:val="60"/>
    <w:semiHidden/>
    <w:unhideWhenUsed/>
    <w:rsid w:val="00A47DEE"/>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ramemoyenne2-Accent3">
    <w:name w:val="Medium Shading 2 Accent 3"/>
    <w:basedOn w:val="TableauNormal"/>
    <w:uiPriority w:val="64"/>
    <w:semiHidden/>
    <w:unhideWhenUsed/>
    <w:rsid w:val="00A47D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semiHidden/>
    <w:unhideWhenUsed/>
    <w:rsid w:val="00A47D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semiHidden/>
    <w:unhideWhenUsed/>
    <w:rsid w:val="00A47D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1-Accent3">
    <w:name w:val="Medium Shading 1 Accent 3"/>
    <w:basedOn w:val="TableauNormal"/>
    <w:uiPriority w:val="63"/>
    <w:semiHidden/>
    <w:unhideWhenUsed/>
    <w:rsid w:val="00A47DEE"/>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character" w:styleId="Accentuationlgre">
    <w:name w:val="Subtle Emphasis"/>
    <w:basedOn w:val="Policepardfaut"/>
    <w:uiPriority w:val="19"/>
    <w:qFormat/>
    <w:rsid w:val="00A47DEE"/>
    <w:rPr>
      <w:i/>
      <w:iCs/>
      <w:color w:val="404040" w:themeColor="text1" w:themeTint="BF"/>
    </w:rPr>
  </w:style>
  <w:style w:type="table" w:styleId="Grilleclaire-Accent2">
    <w:name w:val="Light Grid Accent 2"/>
    <w:basedOn w:val="TableauNormal"/>
    <w:uiPriority w:val="62"/>
    <w:semiHidden/>
    <w:unhideWhenUsed/>
    <w:rsid w:val="00A47DEE"/>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Tableausimple1">
    <w:name w:val="Plain Table 1"/>
    <w:basedOn w:val="TableauNormal"/>
    <w:uiPriority w:val="41"/>
    <w:rsid w:val="00A47DE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verHeading1">
    <w:name w:val="Cover Heading 1"/>
    <w:uiPriority w:val="98"/>
    <w:rsid w:val="00A47DEE"/>
    <w:pPr>
      <w:spacing w:after="0" w:line="240" w:lineRule="auto"/>
      <w:ind w:left="57" w:right="57"/>
    </w:pPr>
    <w:rPr>
      <w:rFonts w:ascii="Calibri" w:eastAsia="Times New Roman" w:hAnsi="Calibri" w:cs="Times New Roman"/>
      <w:b/>
      <w:sz w:val="44"/>
      <w:szCs w:val="44"/>
      <w:lang w:val="en-GB" w:eastAsia="de-DE"/>
    </w:rPr>
  </w:style>
  <w:style w:type="paragraph" w:customStyle="1" w:styleId="Normal2GC">
    <w:name w:val="Normal 2 GC"/>
    <w:basedOn w:val="Normal"/>
    <w:link w:val="Normal2GCChar"/>
    <w:qFormat/>
    <w:rsid w:val="00A47DEE"/>
    <w:pPr>
      <w:spacing w:before="120" w:after="120" w:line="276" w:lineRule="auto"/>
      <w:jc w:val="both"/>
    </w:pPr>
    <w:rPr>
      <w:rFonts w:ascii="Helvetica" w:eastAsiaTheme="minorEastAsia" w:hAnsi="Helvetica"/>
      <w:color w:val="000000" w:themeColor="text1"/>
      <w:sz w:val="24"/>
      <w:szCs w:val="24"/>
      <w:lang w:val="fr-CH" w:eastAsia="ja-JP"/>
    </w:rPr>
  </w:style>
  <w:style w:type="character" w:customStyle="1" w:styleId="Normal2GCChar">
    <w:name w:val="Normal 2 GC Char"/>
    <w:basedOn w:val="Policepardfaut"/>
    <w:link w:val="Normal2GC"/>
    <w:rsid w:val="00A47DEE"/>
    <w:rPr>
      <w:rFonts w:ascii="Helvetica" w:eastAsiaTheme="minorEastAsia" w:hAnsi="Helvetica"/>
      <w:color w:val="000000" w:themeColor="text1"/>
      <w:sz w:val="24"/>
      <w:szCs w:val="24"/>
      <w:lang w:val="fr-CH" w:eastAsia="ja-JP"/>
    </w:rPr>
  </w:style>
  <w:style w:type="character" w:customStyle="1" w:styleId="DefaultChar">
    <w:name w:val="Default Char"/>
    <w:basedOn w:val="Policepardfaut"/>
    <w:link w:val="Default"/>
    <w:rsid w:val="00A47DEE"/>
    <w:rPr>
      <w:rFonts w:ascii="Calibri" w:hAnsi="Calibri" w:cs="Calibri"/>
      <w:color w:val="000000"/>
      <w:sz w:val="24"/>
      <w:szCs w:val="24"/>
    </w:rPr>
  </w:style>
  <w:style w:type="character" w:styleId="Rfrencelgre">
    <w:name w:val="Subtle Reference"/>
    <w:basedOn w:val="Policepardfaut"/>
    <w:uiPriority w:val="31"/>
    <w:qFormat/>
    <w:rsid w:val="00A47DEE"/>
    <w:rPr>
      <w:smallCaps/>
      <w:color w:val="5A5A5A" w:themeColor="text1" w:themeTint="A5"/>
    </w:rPr>
  </w:style>
  <w:style w:type="table" w:styleId="TableauGrille1Clair">
    <w:name w:val="Grid Table 1 Light"/>
    <w:basedOn w:val="TableauNormal"/>
    <w:uiPriority w:val="46"/>
    <w:rsid w:val="00A47DE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
    <w:name w:val="Grid Table 1 Light1"/>
    <w:basedOn w:val="TableauNormal"/>
    <w:uiPriority w:val="46"/>
    <w:rsid w:val="00BC6C8B"/>
    <w:pPr>
      <w:spacing w:after="0" w:line="240" w:lineRule="auto"/>
    </w:pPr>
    <w:rPr>
      <w:kern w:val="2"/>
      <w:sz w:val="24"/>
      <w:szCs w:val="24"/>
      <w:lang w:val="en-US"/>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ImportedStyle1">
    <w:name w:val="Imported Style 1"/>
    <w:rsid w:val="00BC6C8B"/>
    <w:pPr>
      <w:numPr>
        <w:numId w:val="471"/>
      </w:numPr>
    </w:pPr>
  </w:style>
  <w:style w:type="table" w:customStyle="1" w:styleId="TableGrid">
    <w:name w:val="TableGrid"/>
    <w:rsid w:val="00BC6C8B"/>
    <w:pPr>
      <w:spacing w:after="0" w:line="240" w:lineRule="auto"/>
    </w:pPr>
    <w:rPr>
      <w:rFonts w:eastAsiaTheme="minorEastAsia"/>
      <w:kern w:val="2"/>
      <w:sz w:val="24"/>
      <w:szCs w:val="24"/>
      <w:lang w:val="" w:eastAsia="fr-FR"/>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0259">
      <w:bodyDiv w:val="1"/>
      <w:marLeft w:val="0"/>
      <w:marRight w:val="0"/>
      <w:marTop w:val="0"/>
      <w:marBottom w:val="0"/>
      <w:divBdr>
        <w:top w:val="none" w:sz="0" w:space="0" w:color="auto"/>
        <w:left w:val="none" w:sz="0" w:space="0" w:color="auto"/>
        <w:bottom w:val="none" w:sz="0" w:space="0" w:color="auto"/>
        <w:right w:val="none" w:sz="0" w:space="0" w:color="auto"/>
      </w:divBdr>
    </w:div>
    <w:div w:id="116879292">
      <w:bodyDiv w:val="1"/>
      <w:marLeft w:val="0"/>
      <w:marRight w:val="0"/>
      <w:marTop w:val="0"/>
      <w:marBottom w:val="0"/>
      <w:divBdr>
        <w:top w:val="none" w:sz="0" w:space="0" w:color="auto"/>
        <w:left w:val="none" w:sz="0" w:space="0" w:color="auto"/>
        <w:bottom w:val="none" w:sz="0" w:space="0" w:color="auto"/>
        <w:right w:val="none" w:sz="0" w:space="0" w:color="auto"/>
      </w:divBdr>
    </w:div>
    <w:div w:id="148131404">
      <w:bodyDiv w:val="1"/>
      <w:marLeft w:val="0"/>
      <w:marRight w:val="0"/>
      <w:marTop w:val="0"/>
      <w:marBottom w:val="0"/>
      <w:divBdr>
        <w:top w:val="none" w:sz="0" w:space="0" w:color="auto"/>
        <w:left w:val="none" w:sz="0" w:space="0" w:color="auto"/>
        <w:bottom w:val="none" w:sz="0" w:space="0" w:color="auto"/>
        <w:right w:val="none" w:sz="0" w:space="0" w:color="auto"/>
      </w:divBdr>
    </w:div>
    <w:div w:id="224416698">
      <w:bodyDiv w:val="1"/>
      <w:marLeft w:val="0"/>
      <w:marRight w:val="0"/>
      <w:marTop w:val="0"/>
      <w:marBottom w:val="0"/>
      <w:divBdr>
        <w:top w:val="none" w:sz="0" w:space="0" w:color="auto"/>
        <w:left w:val="none" w:sz="0" w:space="0" w:color="auto"/>
        <w:bottom w:val="none" w:sz="0" w:space="0" w:color="auto"/>
        <w:right w:val="none" w:sz="0" w:space="0" w:color="auto"/>
      </w:divBdr>
    </w:div>
    <w:div w:id="226382696">
      <w:bodyDiv w:val="1"/>
      <w:marLeft w:val="0"/>
      <w:marRight w:val="0"/>
      <w:marTop w:val="0"/>
      <w:marBottom w:val="0"/>
      <w:divBdr>
        <w:top w:val="none" w:sz="0" w:space="0" w:color="auto"/>
        <w:left w:val="none" w:sz="0" w:space="0" w:color="auto"/>
        <w:bottom w:val="none" w:sz="0" w:space="0" w:color="auto"/>
        <w:right w:val="none" w:sz="0" w:space="0" w:color="auto"/>
      </w:divBdr>
    </w:div>
    <w:div w:id="271473509">
      <w:bodyDiv w:val="1"/>
      <w:marLeft w:val="0"/>
      <w:marRight w:val="0"/>
      <w:marTop w:val="0"/>
      <w:marBottom w:val="0"/>
      <w:divBdr>
        <w:top w:val="none" w:sz="0" w:space="0" w:color="auto"/>
        <w:left w:val="none" w:sz="0" w:space="0" w:color="auto"/>
        <w:bottom w:val="none" w:sz="0" w:space="0" w:color="auto"/>
        <w:right w:val="none" w:sz="0" w:space="0" w:color="auto"/>
      </w:divBdr>
    </w:div>
    <w:div w:id="625038723">
      <w:bodyDiv w:val="1"/>
      <w:marLeft w:val="0"/>
      <w:marRight w:val="0"/>
      <w:marTop w:val="0"/>
      <w:marBottom w:val="0"/>
      <w:divBdr>
        <w:top w:val="none" w:sz="0" w:space="0" w:color="auto"/>
        <w:left w:val="none" w:sz="0" w:space="0" w:color="auto"/>
        <w:bottom w:val="none" w:sz="0" w:space="0" w:color="auto"/>
        <w:right w:val="none" w:sz="0" w:space="0" w:color="auto"/>
      </w:divBdr>
    </w:div>
    <w:div w:id="885601139">
      <w:bodyDiv w:val="1"/>
      <w:marLeft w:val="0"/>
      <w:marRight w:val="0"/>
      <w:marTop w:val="0"/>
      <w:marBottom w:val="0"/>
      <w:divBdr>
        <w:top w:val="none" w:sz="0" w:space="0" w:color="auto"/>
        <w:left w:val="none" w:sz="0" w:space="0" w:color="auto"/>
        <w:bottom w:val="none" w:sz="0" w:space="0" w:color="auto"/>
        <w:right w:val="none" w:sz="0" w:space="0" w:color="auto"/>
      </w:divBdr>
    </w:div>
    <w:div w:id="1332248446">
      <w:bodyDiv w:val="1"/>
      <w:marLeft w:val="0"/>
      <w:marRight w:val="0"/>
      <w:marTop w:val="0"/>
      <w:marBottom w:val="0"/>
      <w:divBdr>
        <w:top w:val="none" w:sz="0" w:space="0" w:color="auto"/>
        <w:left w:val="none" w:sz="0" w:space="0" w:color="auto"/>
        <w:bottom w:val="none" w:sz="0" w:space="0" w:color="auto"/>
        <w:right w:val="none" w:sz="0" w:space="0" w:color="auto"/>
      </w:divBdr>
    </w:div>
    <w:div w:id="1495728404">
      <w:bodyDiv w:val="1"/>
      <w:marLeft w:val="0"/>
      <w:marRight w:val="0"/>
      <w:marTop w:val="0"/>
      <w:marBottom w:val="0"/>
      <w:divBdr>
        <w:top w:val="none" w:sz="0" w:space="0" w:color="auto"/>
        <w:left w:val="none" w:sz="0" w:space="0" w:color="auto"/>
        <w:bottom w:val="none" w:sz="0" w:space="0" w:color="auto"/>
        <w:right w:val="none" w:sz="0" w:space="0" w:color="auto"/>
      </w:divBdr>
    </w:div>
    <w:div w:id="207416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4.png"/><Relationship Id="rId21" Type="http://schemas.openxmlformats.org/officeDocument/2006/relationships/image" Target="media/image18.jpeg"/><Relationship Id="rId42" Type="http://schemas.openxmlformats.org/officeDocument/2006/relationships/image" Target="media/image39.jpeg"/><Relationship Id="rId63" Type="http://schemas.openxmlformats.org/officeDocument/2006/relationships/image" Target="media/image60.jpeg"/><Relationship Id="rId84" Type="http://schemas.openxmlformats.org/officeDocument/2006/relationships/image" Target="media/image81.jpeg"/><Relationship Id="rId138" Type="http://schemas.openxmlformats.org/officeDocument/2006/relationships/image" Target="media/image128.png"/><Relationship Id="rId159" Type="http://schemas.openxmlformats.org/officeDocument/2006/relationships/hyperlink" Target="https://esahub-rris.rcmrd.org/sites/default/files/2019-10/NBSAP%20Mauritanie_0.pdf" TargetMode="External"/><Relationship Id="rId170" Type="http://schemas.openxmlformats.org/officeDocument/2006/relationships/hyperlink" Target="https://documents1.worldbank.org/curated/fr/629391527741169250/pdf/Mauritanie-Plan-de-la-Gestion-des-Zones-Cotieres-Integre-Cout-de-la-Degradation-de-lEnvironnement-Cote.pdf" TargetMode="External"/><Relationship Id="rId191" Type="http://schemas.openxmlformats.org/officeDocument/2006/relationships/image" Target="media/image147.jpeg"/><Relationship Id="rId205" Type="http://schemas.openxmlformats.org/officeDocument/2006/relationships/chart" Target="charts/chart3.xml"/><Relationship Id="rId226" Type="http://schemas.openxmlformats.org/officeDocument/2006/relationships/image" Target="media/image168.png"/><Relationship Id="rId247" Type="http://schemas.openxmlformats.org/officeDocument/2006/relationships/image" Target="media/image186.jpeg"/><Relationship Id="rId107" Type="http://schemas.openxmlformats.org/officeDocument/2006/relationships/image" Target="media/image104.jpeg"/><Relationship Id="rId11" Type="http://schemas.openxmlformats.org/officeDocument/2006/relationships/image" Target="media/image8.png"/><Relationship Id="rId32" Type="http://schemas.openxmlformats.org/officeDocument/2006/relationships/image" Target="media/image29.jpeg"/><Relationship Id="rId53" Type="http://schemas.openxmlformats.org/officeDocument/2006/relationships/image" Target="media/image50.jpeg"/><Relationship Id="rId74" Type="http://schemas.openxmlformats.org/officeDocument/2006/relationships/image" Target="media/image71.jpeg"/><Relationship Id="rId128" Type="http://schemas.openxmlformats.org/officeDocument/2006/relationships/image" Target="media/image122.png"/><Relationship Id="rId149" Type="http://schemas.openxmlformats.org/officeDocument/2006/relationships/image" Target="media/image137.png"/><Relationship Id="rId5" Type="http://schemas.openxmlformats.org/officeDocument/2006/relationships/webSettings" Target="webSettings.xml"/><Relationship Id="rId95" Type="http://schemas.openxmlformats.org/officeDocument/2006/relationships/image" Target="media/image92.jpeg"/><Relationship Id="rId160" Type="http://schemas.openxmlformats.org/officeDocument/2006/relationships/hyperlink" Target="https://rsis.ramsar.org/RISapp/files/41361735/documents/MR250_descr211014.pdf" TargetMode="External"/><Relationship Id="rId181" Type="http://schemas.openxmlformats.org/officeDocument/2006/relationships/image" Target="media/image140.png"/><Relationship Id="rId216" Type="http://schemas.openxmlformats.org/officeDocument/2006/relationships/image" Target="media/image163.jpeg"/><Relationship Id="rId237" Type="http://schemas.openxmlformats.org/officeDocument/2006/relationships/image" Target="media/image179.jpeg"/><Relationship Id="rId22" Type="http://schemas.openxmlformats.org/officeDocument/2006/relationships/image" Target="media/image19.jpeg"/><Relationship Id="rId43" Type="http://schemas.openxmlformats.org/officeDocument/2006/relationships/image" Target="media/image40.jpeg"/><Relationship Id="rId64" Type="http://schemas.openxmlformats.org/officeDocument/2006/relationships/image" Target="media/image61.jpeg"/><Relationship Id="rId118" Type="http://schemas.openxmlformats.org/officeDocument/2006/relationships/image" Target="media/image115.png"/><Relationship Id="rId139" Type="http://schemas.openxmlformats.org/officeDocument/2006/relationships/image" Target="media/image12.png"/><Relationship Id="rId85" Type="http://schemas.openxmlformats.org/officeDocument/2006/relationships/image" Target="media/image82.jpeg"/><Relationship Id="rId150" Type="http://schemas.openxmlformats.org/officeDocument/2006/relationships/image" Target="media/image138.png"/><Relationship Id="rId171" Type="http://schemas.openxmlformats.org/officeDocument/2006/relationships/hyperlink" Target="https://iucn.org/our-work/projects/amelioration-de-la-resilience-au-changement-climatique-des-zones-humides-de" TargetMode="External"/><Relationship Id="rId192" Type="http://schemas.openxmlformats.org/officeDocument/2006/relationships/image" Target="media/image148.png"/><Relationship Id="rId206" Type="http://schemas.openxmlformats.org/officeDocument/2006/relationships/image" Target="media/image158.emf"/><Relationship Id="rId227" Type="http://schemas.openxmlformats.org/officeDocument/2006/relationships/image" Target="media/image169.jpeg"/><Relationship Id="rId248" Type="http://schemas.openxmlformats.org/officeDocument/2006/relationships/image" Target="media/image187.jpeg"/><Relationship Id="rId12" Type="http://schemas.openxmlformats.org/officeDocument/2006/relationships/image" Target="media/image9.png"/><Relationship Id="rId17" Type="http://schemas.openxmlformats.org/officeDocument/2006/relationships/image" Target="media/image14.jpeg"/><Relationship Id="rId33" Type="http://schemas.openxmlformats.org/officeDocument/2006/relationships/image" Target="media/image30.jpeg"/><Relationship Id="rId38" Type="http://schemas.openxmlformats.org/officeDocument/2006/relationships/image" Target="media/image35.jpeg"/><Relationship Id="rId59" Type="http://schemas.openxmlformats.org/officeDocument/2006/relationships/image" Target="media/image56.jpeg"/><Relationship Id="rId103" Type="http://schemas.openxmlformats.org/officeDocument/2006/relationships/image" Target="media/image100.jpeg"/><Relationship Id="rId108" Type="http://schemas.openxmlformats.org/officeDocument/2006/relationships/image" Target="media/image105.jpeg"/><Relationship Id="rId124" Type="http://schemas.openxmlformats.org/officeDocument/2006/relationships/image" Target="media/image121.jpeg"/><Relationship Id="rId129" Type="http://schemas.openxmlformats.org/officeDocument/2006/relationships/image" Target="media/image123.png"/><Relationship Id="rId54" Type="http://schemas.openxmlformats.org/officeDocument/2006/relationships/image" Target="media/image51.jpeg"/><Relationship Id="rId70" Type="http://schemas.openxmlformats.org/officeDocument/2006/relationships/image" Target="media/image67.jpeg"/><Relationship Id="rId75" Type="http://schemas.openxmlformats.org/officeDocument/2006/relationships/image" Target="media/image72.jpeg"/><Relationship Id="rId91" Type="http://schemas.openxmlformats.org/officeDocument/2006/relationships/image" Target="media/image88.jpeg"/><Relationship Id="rId96" Type="http://schemas.openxmlformats.org/officeDocument/2006/relationships/image" Target="media/image93.jpeg"/><Relationship Id="rId140" Type="http://schemas.openxmlformats.org/officeDocument/2006/relationships/image" Target="media/image13.png"/><Relationship Id="rId145" Type="http://schemas.openxmlformats.org/officeDocument/2006/relationships/image" Target="media/image133.png"/><Relationship Id="rId161" Type="http://schemas.openxmlformats.org/officeDocument/2006/relationships/hyperlink" Target="http://www.environnement.gov.mr/fr/index.php/accueil/actualite/448-atelier-de-restitution-de-la-strategie-nationale-de-la-biodiversite-un-engagement-fort-pour-la-protection-et-la-resilience-ecologique-de-la-mauritanie" TargetMode="External"/><Relationship Id="rId166" Type="http://schemas.openxmlformats.org/officeDocument/2006/relationships/hyperlink" Target="https://rsis.ramsar.org/RISapp/files/RISrep/MR250RIS_2309_fr.pdf" TargetMode="External"/><Relationship Id="rId182" Type="http://schemas.openxmlformats.org/officeDocument/2006/relationships/image" Target="media/image141.png"/><Relationship Id="rId187" Type="http://schemas.openxmlformats.org/officeDocument/2006/relationships/image" Target="media/image143.png"/><Relationship Id="rId217" Type="http://schemas.openxmlformats.org/officeDocument/2006/relationships/image" Target="media/image164.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oter" Target="footer3.xml"/><Relationship Id="rId233" Type="http://schemas.openxmlformats.org/officeDocument/2006/relationships/image" Target="media/image175.jpeg"/><Relationship Id="rId238" Type="http://schemas.openxmlformats.org/officeDocument/2006/relationships/image" Target="media/image180.png"/><Relationship Id="rId254" Type="http://schemas.openxmlformats.org/officeDocument/2006/relationships/theme" Target="theme/theme1.xml"/><Relationship Id="rId23" Type="http://schemas.openxmlformats.org/officeDocument/2006/relationships/image" Target="media/image20.jpeg"/><Relationship Id="rId28" Type="http://schemas.openxmlformats.org/officeDocument/2006/relationships/image" Target="media/image25.jpeg"/><Relationship Id="rId49" Type="http://schemas.openxmlformats.org/officeDocument/2006/relationships/image" Target="media/image46.jpeg"/><Relationship Id="rId114" Type="http://schemas.openxmlformats.org/officeDocument/2006/relationships/image" Target="media/image111.jpeg"/><Relationship Id="rId119" Type="http://schemas.openxmlformats.org/officeDocument/2006/relationships/image" Target="media/image116.png"/><Relationship Id="rId44" Type="http://schemas.openxmlformats.org/officeDocument/2006/relationships/image" Target="media/image41.jpeg"/><Relationship Id="rId60" Type="http://schemas.openxmlformats.org/officeDocument/2006/relationships/image" Target="media/image57.jpeg"/><Relationship Id="rId65" Type="http://schemas.openxmlformats.org/officeDocument/2006/relationships/image" Target="media/image62.jpeg"/><Relationship Id="rId81" Type="http://schemas.openxmlformats.org/officeDocument/2006/relationships/image" Target="media/image78.jpeg"/><Relationship Id="rId86" Type="http://schemas.openxmlformats.org/officeDocument/2006/relationships/image" Target="media/image83.jpeg"/><Relationship Id="rId130" Type="http://schemas.openxmlformats.org/officeDocument/2006/relationships/image" Target="media/image124.png"/><Relationship Id="rId135" Type="http://schemas.openxmlformats.org/officeDocument/2006/relationships/image" Target="media/image810.jpeg"/><Relationship Id="rId151" Type="http://schemas.openxmlformats.org/officeDocument/2006/relationships/hyperlink" Target="https://www.cbd.int/doc/meetings/mar/ebsa-sea-01/other/ebsa-sea-01-submission-mauritania-template-03-en.pdf" TargetMode="External"/><Relationship Id="rId156" Type="http://schemas.openxmlformats.org/officeDocument/2006/relationships/hyperlink" Target="https://www.undp.org/fr/mauritania/actualites/la-biodiversite-une-richesse-strategique-pour-la-mauritanie" TargetMode="External"/><Relationship Id="rId177" Type="http://schemas.openxmlformats.org/officeDocument/2006/relationships/hyperlink" Target="https://bacomab.org/nos-beneficiaires/" TargetMode="External"/><Relationship Id="rId198" Type="http://schemas.openxmlformats.org/officeDocument/2006/relationships/hyperlink" Target="mailto:symoha2000@gmail.com" TargetMode="External"/><Relationship Id="rId172" Type="http://schemas.openxmlformats.org/officeDocument/2006/relationships/hyperlink" Target="https://mauritania.un.org/fr/158063-changement-climatique-la-mauritanie-et-le-hcr-s%E2%80%99engagent-ensemble-et-appellent-%C3%A0-redoubler-d" TargetMode="External"/><Relationship Id="rId193" Type="http://schemas.openxmlformats.org/officeDocument/2006/relationships/image" Target="media/image149.jpeg"/><Relationship Id="rId202" Type="http://schemas.openxmlformats.org/officeDocument/2006/relationships/chart" Target="charts/chart2.xml"/><Relationship Id="rId207" Type="http://schemas.openxmlformats.org/officeDocument/2006/relationships/image" Target="media/image159.emf"/><Relationship Id="rId223" Type="http://schemas.openxmlformats.org/officeDocument/2006/relationships/hyperlink" Target="http://www.fao.org/" TargetMode="External"/><Relationship Id="rId228" Type="http://schemas.openxmlformats.org/officeDocument/2006/relationships/image" Target="media/image170.png"/><Relationship Id="rId244" Type="http://schemas.openxmlformats.org/officeDocument/2006/relationships/image" Target="media/image183.jpeg"/><Relationship Id="rId249" Type="http://schemas.openxmlformats.org/officeDocument/2006/relationships/image" Target="media/image188.jpeg"/><Relationship Id="rId13" Type="http://schemas.openxmlformats.org/officeDocument/2006/relationships/image" Target="media/image10.jpeg"/><Relationship Id="rId18" Type="http://schemas.openxmlformats.org/officeDocument/2006/relationships/image" Target="media/image15.jpeg"/><Relationship Id="rId39" Type="http://schemas.openxmlformats.org/officeDocument/2006/relationships/image" Target="media/image36.jpeg"/><Relationship Id="rId109" Type="http://schemas.openxmlformats.org/officeDocument/2006/relationships/image" Target="media/image106.jpeg"/><Relationship Id="rId34" Type="http://schemas.openxmlformats.org/officeDocument/2006/relationships/image" Target="media/image31.jpeg"/><Relationship Id="rId50" Type="http://schemas.openxmlformats.org/officeDocument/2006/relationships/image" Target="media/image47.jpeg"/><Relationship Id="rId55" Type="http://schemas.openxmlformats.org/officeDocument/2006/relationships/image" Target="media/image52.jpeg"/><Relationship Id="rId76" Type="http://schemas.openxmlformats.org/officeDocument/2006/relationships/image" Target="media/image73.jpeg"/><Relationship Id="rId97" Type="http://schemas.openxmlformats.org/officeDocument/2006/relationships/image" Target="media/image94.jpeg"/><Relationship Id="rId104" Type="http://schemas.openxmlformats.org/officeDocument/2006/relationships/image" Target="media/image101.jpeg"/><Relationship Id="rId120" Type="http://schemas.openxmlformats.org/officeDocument/2006/relationships/image" Target="media/image117.png"/><Relationship Id="rId141" Type="http://schemas.openxmlformats.org/officeDocument/2006/relationships/image" Target="media/image129.png"/><Relationship Id="rId146" Type="http://schemas.openxmlformats.org/officeDocument/2006/relationships/image" Target="media/image134.png"/><Relationship Id="rId167" Type="http://schemas.openxmlformats.org/officeDocument/2006/relationships/hyperlink" Target="https://unfccc.int/sites/default/files/NDC/2022-06/CDN-actualis%C3%A9%202021_%20Mauritania.pdf" TargetMode="External"/><Relationship Id="rId188" Type="http://schemas.openxmlformats.org/officeDocument/2006/relationships/image" Target="media/image144.png"/><Relationship Id="rId7" Type="http://schemas.openxmlformats.org/officeDocument/2006/relationships/endnotes" Target="endnotes.xml"/><Relationship Id="rId71" Type="http://schemas.openxmlformats.org/officeDocument/2006/relationships/image" Target="media/image68.jpeg"/><Relationship Id="rId92" Type="http://schemas.openxmlformats.org/officeDocument/2006/relationships/image" Target="media/image89.jpeg"/><Relationship Id="rId162" Type="http://schemas.openxmlformats.org/officeDocument/2006/relationships/hyperlink" Target="https://documents1.worldbank.org/curated/en/099072423105059709/pdf/P17926605a759a055096540224f679aa053.pdf" TargetMode="External"/><Relationship Id="rId183" Type="http://schemas.openxmlformats.org/officeDocument/2006/relationships/header" Target="header1.xml"/><Relationship Id="rId213" Type="http://schemas.openxmlformats.org/officeDocument/2006/relationships/hyperlink" Target="http://www.iedafrique.org/Le-Systeme-de-Riziculture,332.html" TargetMode="External"/><Relationship Id="rId218" Type="http://schemas.openxmlformats.org/officeDocument/2006/relationships/image" Target="media/image165.png"/><Relationship Id="rId234" Type="http://schemas.openxmlformats.org/officeDocument/2006/relationships/image" Target="media/image176.jpeg"/><Relationship Id="rId239" Type="http://schemas.openxmlformats.org/officeDocument/2006/relationships/image" Target="media/image181.png"/><Relationship Id="rId2" Type="http://schemas.openxmlformats.org/officeDocument/2006/relationships/numbering" Target="numbering.xml"/><Relationship Id="rId29" Type="http://schemas.openxmlformats.org/officeDocument/2006/relationships/image" Target="media/image26.jpeg"/><Relationship Id="rId250" Type="http://schemas.openxmlformats.org/officeDocument/2006/relationships/image" Target="media/image189.jpeg"/><Relationship Id="rId24" Type="http://schemas.openxmlformats.org/officeDocument/2006/relationships/image" Target="media/image21.jpeg"/><Relationship Id="rId40" Type="http://schemas.openxmlformats.org/officeDocument/2006/relationships/image" Target="media/image37.jpeg"/><Relationship Id="rId45" Type="http://schemas.openxmlformats.org/officeDocument/2006/relationships/image" Target="media/image42.jpeg"/><Relationship Id="rId66" Type="http://schemas.openxmlformats.org/officeDocument/2006/relationships/image" Target="media/image63.jpeg"/><Relationship Id="rId87" Type="http://schemas.openxmlformats.org/officeDocument/2006/relationships/image" Target="media/image84.jpeg"/><Relationship Id="rId110" Type="http://schemas.openxmlformats.org/officeDocument/2006/relationships/image" Target="media/image107.png"/><Relationship Id="rId115" Type="http://schemas.openxmlformats.org/officeDocument/2006/relationships/image" Target="media/image112.png"/><Relationship Id="rId131" Type="http://schemas.openxmlformats.org/officeDocument/2006/relationships/image" Target="media/image125.jpeg"/><Relationship Id="rId136" Type="http://schemas.openxmlformats.org/officeDocument/2006/relationships/image" Target="media/image910.jpeg"/><Relationship Id="rId157" Type="http://schemas.openxmlformats.org/officeDocument/2006/relationships/hyperlink" Target="https://mr.chmcbd.net/sites/mr/files/202206/Strat%C3%A9gie%20Nationale%20de%20la%20Biodiversit%C3%A9%20de%20la%20Mauritanie.pdf" TargetMode="External"/><Relationship Id="rId178" Type="http://schemas.openxmlformats.org/officeDocument/2006/relationships/hyperlink" Target="https://dev-chm.cbd.int/doc/world/mr/mr-nbsap-v2-fr.pdf" TargetMode="External"/><Relationship Id="rId61" Type="http://schemas.openxmlformats.org/officeDocument/2006/relationships/image" Target="media/image58.jpeg"/><Relationship Id="rId82" Type="http://schemas.openxmlformats.org/officeDocument/2006/relationships/image" Target="media/image79.jpeg"/><Relationship Id="rId152" Type="http://schemas.openxmlformats.org/officeDocument/2006/relationships/hyperlink" Target="https://www.imrop.mr/document/biodiversite-des-ecosystemes-benthiques-du-plateau-continental-et-du-talus-de-la-mauritanie/" TargetMode="External"/><Relationship Id="rId173" Type="http://schemas.openxmlformats.org/officeDocument/2006/relationships/hyperlink" Target="https://www.gefieo.org/sites/default/files/documents/scce-biomes-approach-paper-fre.pdf" TargetMode="External"/><Relationship Id="rId194" Type="http://schemas.openxmlformats.org/officeDocument/2006/relationships/image" Target="media/image150.jpeg"/><Relationship Id="rId199" Type="http://schemas.openxmlformats.org/officeDocument/2006/relationships/chart" Target="charts/chart1.xml"/><Relationship Id="rId203" Type="http://schemas.openxmlformats.org/officeDocument/2006/relationships/image" Target="media/image156.emf"/><Relationship Id="rId208" Type="http://schemas.openxmlformats.org/officeDocument/2006/relationships/image" Target="media/image160.png"/><Relationship Id="rId229" Type="http://schemas.openxmlformats.org/officeDocument/2006/relationships/image" Target="media/image171.jpeg"/><Relationship Id="rId19" Type="http://schemas.openxmlformats.org/officeDocument/2006/relationships/image" Target="media/image16.jpeg"/><Relationship Id="rId224" Type="http://schemas.openxmlformats.org/officeDocument/2006/relationships/hyperlink" Target="http://www.unwomen.org/" TargetMode="External"/><Relationship Id="rId240" Type="http://schemas.openxmlformats.org/officeDocument/2006/relationships/hyperlink" Target="http://www.ceaa-acee.gc.ca/leaving.asp?http://www-pcmdi.llnl.gov/amip/" TargetMode="External"/><Relationship Id="rId245" Type="http://schemas.openxmlformats.org/officeDocument/2006/relationships/image" Target="media/image184.jpeg"/><Relationship Id="rId14" Type="http://schemas.openxmlformats.org/officeDocument/2006/relationships/image" Target="media/image11.wmf"/><Relationship Id="rId30" Type="http://schemas.openxmlformats.org/officeDocument/2006/relationships/image" Target="media/image27.jpeg"/><Relationship Id="rId35" Type="http://schemas.openxmlformats.org/officeDocument/2006/relationships/image" Target="media/image32.jpeg"/><Relationship Id="rId56" Type="http://schemas.openxmlformats.org/officeDocument/2006/relationships/image" Target="media/image53.jpeg"/><Relationship Id="rId77" Type="http://schemas.openxmlformats.org/officeDocument/2006/relationships/image" Target="media/image74.jpeg"/><Relationship Id="rId100" Type="http://schemas.openxmlformats.org/officeDocument/2006/relationships/image" Target="media/image97.jpeg"/><Relationship Id="rId105" Type="http://schemas.openxmlformats.org/officeDocument/2006/relationships/image" Target="media/image102.jpeg"/><Relationship Id="rId147" Type="http://schemas.openxmlformats.org/officeDocument/2006/relationships/image" Target="media/image135.png"/><Relationship Id="rId168" Type="http://schemas.openxmlformats.org/officeDocument/2006/relationships/hyperlink" Target="https://www.fao.org/4/i3825e/i3825e42.pdf" TargetMode="External"/><Relationship Id="rId8" Type="http://schemas.openxmlformats.org/officeDocument/2006/relationships/image" Target="media/image5.jpeg"/><Relationship Id="rId51" Type="http://schemas.openxmlformats.org/officeDocument/2006/relationships/image" Target="media/image48.jpeg"/><Relationship Id="rId72" Type="http://schemas.openxmlformats.org/officeDocument/2006/relationships/image" Target="media/image69.jpeg"/><Relationship Id="rId93" Type="http://schemas.openxmlformats.org/officeDocument/2006/relationships/image" Target="media/image90.jpeg"/><Relationship Id="rId98" Type="http://schemas.openxmlformats.org/officeDocument/2006/relationships/image" Target="media/image95.jpeg"/><Relationship Id="rId121" Type="http://schemas.openxmlformats.org/officeDocument/2006/relationships/image" Target="media/image118.jpeg"/><Relationship Id="rId142" Type="http://schemas.openxmlformats.org/officeDocument/2006/relationships/image" Target="media/image130.jpeg"/><Relationship Id="rId163" Type="http://schemas.openxmlformats.org/officeDocument/2006/relationships/hyperlink" Target="https://unfccc.int/sites/default/files/resource/mrtnc3.pdf" TargetMode="External"/><Relationship Id="rId184" Type="http://schemas.openxmlformats.org/officeDocument/2006/relationships/footer" Target="footer1.xml"/><Relationship Id="rId189" Type="http://schemas.openxmlformats.org/officeDocument/2006/relationships/image" Target="media/image145.jpeg"/><Relationship Id="rId219" Type="http://schemas.openxmlformats.org/officeDocument/2006/relationships/image" Target="media/image166.png"/><Relationship Id="rId3" Type="http://schemas.openxmlformats.org/officeDocument/2006/relationships/styles" Target="styles.xml"/><Relationship Id="rId214" Type="http://schemas.openxmlformats.org/officeDocument/2006/relationships/image" Target="media/image161.png"/><Relationship Id="rId230" Type="http://schemas.openxmlformats.org/officeDocument/2006/relationships/image" Target="media/image172.png"/><Relationship Id="rId235" Type="http://schemas.openxmlformats.org/officeDocument/2006/relationships/image" Target="media/image177.png"/><Relationship Id="rId251" Type="http://schemas.openxmlformats.org/officeDocument/2006/relationships/image" Target="media/image190.jpeg"/><Relationship Id="rId25" Type="http://schemas.openxmlformats.org/officeDocument/2006/relationships/image" Target="media/image22.jpeg"/><Relationship Id="rId46" Type="http://schemas.openxmlformats.org/officeDocument/2006/relationships/image" Target="media/image43.jpeg"/><Relationship Id="rId67" Type="http://schemas.openxmlformats.org/officeDocument/2006/relationships/image" Target="media/image64.jpeg"/><Relationship Id="rId116" Type="http://schemas.openxmlformats.org/officeDocument/2006/relationships/image" Target="media/image113.png"/><Relationship Id="rId137" Type="http://schemas.openxmlformats.org/officeDocument/2006/relationships/image" Target="media/image127.png"/><Relationship Id="rId158" Type="http://schemas.openxmlformats.org/officeDocument/2006/relationships/hyperlink" Target="https://www.cbd.int/doc/world/mr/mr-nbsap-v2-fr.pdf" TargetMode="External"/><Relationship Id="rId20" Type="http://schemas.openxmlformats.org/officeDocument/2006/relationships/image" Target="media/image17.jpeg"/><Relationship Id="rId41" Type="http://schemas.openxmlformats.org/officeDocument/2006/relationships/image" Target="media/image38.jpeg"/><Relationship Id="rId62" Type="http://schemas.openxmlformats.org/officeDocument/2006/relationships/image" Target="media/image59.jpeg"/><Relationship Id="rId83" Type="http://schemas.openxmlformats.org/officeDocument/2006/relationships/image" Target="media/image80.jpeg"/><Relationship Id="rId88" Type="http://schemas.openxmlformats.org/officeDocument/2006/relationships/image" Target="media/image85.jpeg"/><Relationship Id="rId111" Type="http://schemas.openxmlformats.org/officeDocument/2006/relationships/image" Target="media/image108.png"/><Relationship Id="rId132" Type="http://schemas.openxmlformats.org/officeDocument/2006/relationships/image" Target="media/image126.jpeg"/><Relationship Id="rId153" Type="http://schemas.openxmlformats.org/officeDocument/2006/relationships/hyperlink" Target="https://www.cbd.int/doc/world/mr/mr-nr-04-fr.pdf" TargetMode="External"/><Relationship Id="rId174" Type="http://schemas.openxmlformats.org/officeDocument/2006/relationships/hyperlink" Target="https://www.unhcr.org/fr/actualites/stories/le-rechauffement-climatique-menace-les-moyens-de-subsistance-des-refugies" TargetMode="External"/><Relationship Id="rId179" Type="http://schemas.openxmlformats.org/officeDocument/2006/relationships/hyperlink" Target="https://dev-chm.cbd.int/doc/world/mr/mr-nbsap-v2-fr.pdf" TargetMode="External"/><Relationship Id="rId195" Type="http://schemas.openxmlformats.org/officeDocument/2006/relationships/image" Target="media/image151.jpeg"/><Relationship Id="rId209" Type="http://schemas.openxmlformats.org/officeDocument/2006/relationships/header" Target="header3.xml"/><Relationship Id="rId190" Type="http://schemas.openxmlformats.org/officeDocument/2006/relationships/image" Target="media/image146.png"/><Relationship Id="rId204" Type="http://schemas.openxmlformats.org/officeDocument/2006/relationships/image" Target="media/image157.emf"/><Relationship Id="rId220" Type="http://schemas.openxmlformats.org/officeDocument/2006/relationships/hyperlink" Target="https://worldpopulationreview.com/cities/mauritania/nouakchott" TargetMode="External"/><Relationship Id="rId225" Type="http://schemas.openxmlformats.org/officeDocument/2006/relationships/hyperlink" Target="http://www.unwomen.org/" TargetMode="External"/><Relationship Id="rId241" Type="http://schemas.openxmlformats.org/officeDocument/2006/relationships/hyperlink" Target="http://ipcc-ddc.cru.uea.ac.uk/" TargetMode="External"/><Relationship Id="rId246" Type="http://schemas.openxmlformats.org/officeDocument/2006/relationships/image" Target="media/image185.jpeg"/><Relationship Id="rId15" Type="http://schemas.openxmlformats.org/officeDocument/2006/relationships/image" Target="media/image12.jpeg"/><Relationship Id="rId36" Type="http://schemas.openxmlformats.org/officeDocument/2006/relationships/image" Target="media/image33.jpeg"/><Relationship Id="rId57" Type="http://schemas.openxmlformats.org/officeDocument/2006/relationships/image" Target="media/image54.jpeg"/><Relationship Id="rId106" Type="http://schemas.openxmlformats.org/officeDocument/2006/relationships/image" Target="media/image103.jpeg"/><Relationship Id="rId127" Type="http://schemas.openxmlformats.org/officeDocument/2006/relationships/image" Target="media/image1200.jpeg"/><Relationship Id="rId10" Type="http://schemas.openxmlformats.org/officeDocument/2006/relationships/image" Target="media/image7.png"/><Relationship Id="rId31" Type="http://schemas.openxmlformats.org/officeDocument/2006/relationships/image" Target="media/image28.jpeg"/><Relationship Id="rId52" Type="http://schemas.openxmlformats.org/officeDocument/2006/relationships/image" Target="media/image49.jpeg"/><Relationship Id="rId73" Type="http://schemas.openxmlformats.org/officeDocument/2006/relationships/image" Target="media/image70.jpeg"/><Relationship Id="rId78" Type="http://schemas.openxmlformats.org/officeDocument/2006/relationships/image" Target="media/image75.jpeg"/><Relationship Id="rId94" Type="http://schemas.openxmlformats.org/officeDocument/2006/relationships/image" Target="media/image91.jpeg"/><Relationship Id="rId99" Type="http://schemas.openxmlformats.org/officeDocument/2006/relationships/image" Target="media/image96.jpeg"/><Relationship Id="rId101" Type="http://schemas.openxmlformats.org/officeDocument/2006/relationships/image" Target="media/image98.jpeg"/><Relationship Id="rId122" Type="http://schemas.openxmlformats.org/officeDocument/2006/relationships/image" Target="media/image119.png"/><Relationship Id="rId143" Type="http://schemas.openxmlformats.org/officeDocument/2006/relationships/image" Target="media/image131.png"/><Relationship Id="rId148" Type="http://schemas.openxmlformats.org/officeDocument/2006/relationships/image" Target="media/image136.jpeg"/><Relationship Id="rId164" Type="http://schemas.openxmlformats.org/officeDocument/2006/relationships/hyperlink" Target="https://www.alliance-sahel.org/actualites/mauritanie-agri-resilience/" TargetMode="External"/><Relationship Id="rId169" Type="http://schemas.openxmlformats.org/officeDocument/2006/relationships/hyperlink" Target="https://reliefweb.int/report/mauritania/en-prelude-la-cop29-et-la-cop16-une-mission-de-haut-niveau-appelle-soutenir-la-mauritanie-et-les-pays-du-sahel-vulnerables-au-changement-climatique-et-linsecurite-alimentaire" TargetMode="External"/><Relationship Id="rId18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6.jpeg"/><Relationship Id="rId180" Type="http://schemas.openxmlformats.org/officeDocument/2006/relationships/image" Target="media/image139.png"/><Relationship Id="rId210" Type="http://schemas.openxmlformats.org/officeDocument/2006/relationships/footer" Target="footer2.xml"/><Relationship Id="rId215" Type="http://schemas.openxmlformats.org/officeDocument/2006/relationships/image" Target="media/image162.png"/><Relationship Id="rId236" Type="http://schemas.openxmlformats.org/officeDocument/2006/relationships/image" Target="media/image178.png"/><Relationship Id="rId26" Type="http://schemas.openxmlformats.org/officeDocument/2006/relationships/image" Target="media/image23.jpeg"/><Relationship Id="rId231" Type="http://schemas.openxmlformats.org/officeDocument/2006/relationships/image" Target="media/image173.jpeg"/><Relationship Id="rId252" Type="http://schemas.openxmlformats.org/officeDocument/2006/relationships/fontTable" Target="fontTable.xml"/><Relationship Id="rId47" Type="http://schemas.openxmlformats.org/officeDocument/2006/relationships/image" Target="media/image44.jpeg"/><Relationship Id="rId68" Type="http://schemas.openxmlformats.org/officeDocument/2006/relationships/image" Target="media/image65.jpeg"/><Relationship Id="rId89" Type="http://schemas.openxmlformats.org/officeDocument/2006/relationships/image" Target="media/image86.jpeg"/><Relationship Id="rId112" Type="http://schemas.openxmlformats.org/officeDocument/2006/relationships/image" Target="media/image109.jpeg"/><Relationship Id="rId133" Type="http://schemas.openxmlformats.org/officeDocument/2006/relationships/image" Target="media/image6.png"/><Relationship Id="rId154" Type="http://schemas.openxmlformats.org/officeDocument/2006/relationships/hyperlink" Target="https://www.afd.fr/fr/carte-des-projets/soutien-la-biodiversite-cotiere-et-marine-du-banc-darguin-en-mauritanie" TargetMode="External"/><Relationship Id="rId175" Type="http://schemas.openxmlformats.org/officeDocument/2006/relationships/hyperlink" Target="https://mr.chm-cbd.net/fr/zones-protegees" TargetMode="External"/><Relationship Id="rId196" Type="http://schemas.openxmlformats.org/officeDocument/2006/relationships/image" Target="media/image152.jpeg"/><Relationship Id="rId200" Type="http://schemas.openxmlformats.org/officeDocument/2006/relationships/image" Target="media/image154.emf"/><Relationship Id="rId16" Type="http://schemas.openxmlformats.org/officeDocument/2006/relationships/image" Target="media/image13.jpeg"/><Relationship Id="rId221" Type="http://schemas.openxmlformats.org/officeDocument/2006/relationships/image" Target="media/image167.emf"/><Relationship Id="rId242" Type="http://schemas.openxmlformats.org/officeDocument/2006/relationships/hyperlink" Target="http://ipcc-ddc.cru.uea.ac.uk/" TargetMode="External"/><Relationship Id="rId37" Type="http://schemas.openxmlformats.org/officeDocument/2006/relationships/image" Target="media/image34.jpeg"/><Relationship Id="rId58" Type="http://schemas.openxmlformats.org/officeDocument/2006/relationships/image" Target="media/image55.jpeg"/><Relationship Id="rId79" Type="http://schemas.openxmlformats.org/officeDocument/2006/relationships/image" Target="media/image76.jpeg"/><Relationship Id="rId102" Type="http://schemas.openxmlformats.org/officeDocument/2006/relationships/image" Target="media/image99.jpeg"/><Relationship Id="rId123" Type="http://schemas.openxmlformats.org/officeDocument/2006/relationships/image" Target="media/image120.png"/><Relationship Id="rId144" Type="http://schemas.openxmlformats.org/officeDocument/2006/relationships/image" Target="media/image132.png"/><Relationship Id="rId90" Type="http://schemas.openxmlformats.org/officeDocument/2006/relationships/image" Target="media/image87.jpeg"/><Relationship Id="rId165" Type="http://schemas.openxmlformats.org/officeDocument/2006/relationships/hyperlink" Target="https://www.cbd.int/doc/world/mr/mr-nr-05-fr.pdf" TargetMode="External"/><Relationship Id="rId186" Type="http://schemas.openxmlformats.org/officeDocument/2006/relationships/image" Target="media/image142.jpeg"/><Relationship Id="rId211" Type="http://schemas.openxmlformats.org/officeDocument/2006/relationships/header" Target="header4.xml"/><Relationship Id="rId232" Type="http://schemas.openxmlformats.org/officeDocument/2006/relationships/image" Target="media/image174.png"/><Relationship Id="rId253" Type="http://schemas.microsoft.com/office/2011/relationships/people" Target="people.xml"/><Relationship Id="rId27" Type="http://schemas.openxmlformats.org/officeDocument/2006/relationships/image" Target="media/image24.jpeg"/><Relationship Id="rId48" Type="http://schemas.openxmlformats.org/officeDocument/2006/relationships/image" Target="media/image45.jpeg"/><Relationship Id="rId69" Type="http://schemas.openxmlformats.org/officeDocument/2006/relationships/image" Target="media/image66.jpeg"/><Relationship Id="rId113" Type="http://schemas.openxmlformats.org/officeDocument/2006/relationships/image" Target="media/image110.png"/><Relationship Id="rId134" Type="http://schemas.openxmlformats.org/officeDocument/2006/relationships/image" Target="media/image70.png"/><Relationship Id="rId80" Type="http://schemas.openxmlformats.org/officeDocument/2006/relationships/image" Target="media/image77.jpeg"/><Relationship Id="rId155" Type="http://schemas.openxmlformats.org/officeDocument/2006/relationships/hyperlink" Target="http://www.environnement.gov.mr/fr/index.php/accueil/actualite/494-la-mauritanie-a-brillamment-cloture-sa-participation-a-la-cop29-en-mettant-a-l-honneur-son-engagement-en-faveur-de-la-protection-de-la-biodiversite" TargetMode="External"/><Relationship Id="rId176" Type="http://schemas.openxmlformats.org/officeDocument/2006/relationships/hyperlink" Target="https://iiab.me/kiwix/content/wikipedia_fr_all_maxi_2022-09/A/Liste_des_aires_prot%C3%A9g%C3%A9es_de_Mauritanie" TargetMode="External"/><Relationship Id="rId197" Type="http://schemas.openxmlformats.org/officeDocument/2006/relationships/image" Target="media/image153.png"/><Relationship Id="rId201" Type="http://schemas.openxmlformats.org/officeDocument/2006/relationships/image" Target="media/image155.emf"/><Relationship Id="rId222" Type="http://schemas.openxmlformats.org/officeDocument/2006/relationships/hyperlink" Target="http://www.fao.org/" TargetMode="External"/><Relationship Id="rId243" Type="http://schemas.openxmlformats.org/officeDocument/2006/relationships/image" Target="media/image182.jpeg"/></Relationships>
</file>

<file path=word/_rels/footnotes.xml.rels><?xml version="1.0" encoding="UTF-8" standalone="yes"?>
<Relationships xmlns="http://schemas.openxmlformats.org/package/2006/relationships"><Relationship Id="rId3" Type="http://schemas.openxmlformats.org/officeDocument/2006/relationships/hyperlink" Target="https://esahub-rris.rcmrd.org/sites/default/files/2019-10/NBSAP%20Mauritanie_0.pdf" TargetMode="External"/><Relationship Id="rId2" Type="http://schemas.openxmlformats.org/officeDocument/2006/relationships/hyperlink" Target="https://www.cbd.int/doc/world/mr/mr-nbsap-v2-fr.pdf" TargetMode="External"/><Relationship Id="rId1" Type="http://schemas.openxmlformats.org/officeDocument/2006/relationships/hyperlink" Target="https://www.cbd.int/doc/world/mr/mr-nbsap-v2-fr.pdf" TargetMode="External"/><Relationship Id="rId4" Type="http://schemas.openxmlformats.org/officeDocument/2006/relationships/hyperlink" Target="https://openknowledge.fao.org/server/api/core/bitstreams/0e449fc1-35cb-48be-b018-52c86fc6344d/content"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oleObject" Target="Classeur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Classeur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PC\Desktop\Classeur1.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2"/>
            </a:solidFill>
            <a:ln>
              <a:noFill/>
            </a:ln>
            <a:effectLst/>
            <a:sp3d/>
          </c:spPr>
          <c:invertIfNegative val="0"/>
          <c:cat>
            <c:numRef>
              <c:f>Feuil1!$C$19:$L$19</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Feuil1!$C$20:$L$20</c:f>
              <c:numCache>
                <c:formatCode>General</c:formatCode>
                <c:ptCount val="10"/>
                <c:pt idx="0">
                  <c:v>305.10000000000002</c:v>
                </c:pt>
                <c:pt idx="1">
                  <c:v>151.5</c:v>
                </c:pt>
                <c:pt idx="2">
                  <c:v>224.8</c:v>
                </c:pt>
                <c:pt idx="3">
                  <c:v>114.7</c:v>
                </c:pt>
                <c:pt idx="4">
                  <c:v>176.8</c:v>
                </c:pt>
                <c:pt idx="5">
                  <c:v>238.9</c:v>
                </c:pt>
                <c:pt idx="6">
                  <c:v>222</c:v>
                </c:pt>
                <c:pt idx="7">
                  <c:v>218.5</c:v>
                </c:pt>
                <c:pt idx="8">
                  <c:v>353.2</c:v>
                </c:pt>
                <c:pt idx="9">
                  <c:v>215</c:v>
                </c:pt>
              </c:numCache>
            </c:numRef>
          </c:val>
          <c:extLst>
            <c:ext xmlns:c16="http://schemas.microsoft.com/office/drawing/2014/chart" uri="{C3380CC4-5D6E-409C-BE32-E72D297353CC}">
              <c16:uniqueId val="{00000000-E08B-4312-8041-E64498B3D39E}"/>
            </c:ext>
          </c:extLst>
        </c:ser>
        <c:dLbls>
          <c:showLegendKey val="0"/>
          <c:showVal val="0"/>
          <c:showCatName val="0"/>
          <c:showSerName val="0"/>
          <c:showPercent val="0"/>
          <c:showBubbleSize val="0"/>
        </c:dLbls>
        <c:gapWidth val="150"/>
        <c:shape val="box"/>
        <c:axId val="23270912"/>
        <c:axId val="23272448"/>
        <c:axId val="0"/>
      </c:bar3DChart>
      <c:catAx>
        <c:axId val="23270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3272448"/>
        <c:crosses val="autoZero"/>
        <c:auto val="1"/>
        <c:lblAlgn val="ctr"/>
        <c:lblOffset val="100"/>
        <c:noMultiLvlLbl val="0"/>
      </c:catAx>
      <c:valAx>
        <c:axId val="232724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Pluviométrie annuelle en mm</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3270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2"/>
            </a:solidFill>
            <a:ln>
              <a:noFill/>
            </a:ln>
            <a:effectLst/>
            <a:sp3d/>
          </c:spPr>
          <c:invertIfNegative val="0"/>
          <c:cat>
            <c:numRef>
              <c:f>Feuil1!$A$12:$G$12</c:f>
              <c:numCache>
                <c:formatCode>General</c:formatCode>
                <c:ptCount val="7"/>
                <c:pt idx="0">
                  <c:v>2013</c:v>
                </c:pt>
                <c:pt idx="1">
                  <c:v>2014</c:v>
                </c:pt>
                <c:pt idx="2">
                  <c:v>2015</c:v>
                </c:pt>
                <c:pt idx="3">
                  <c:v>2016</c:v>
                </c:pt>
                <c:pt idx="4">
                  <c:v>2017</c:v>
                </c:pt>
                <c:pt idx="5">
                  <c:v>2018</c:v>
                </c:pt>
                <c:pt idx="6">
                  <c:v>2019</c:v>
                </c:pt>
              </c:numCache>
            </c:numRef>
          </c:cat>
          <c:val>
            <c:numRef>
              <c:f>Feuil1!$A$13:$G$13</c:f>
              <c:numCache>
                <c:formatCode>General</c:formatCode>
                <c:ptCount val="7"/>
                <c:pt idx="0">
                  <c:v>138</c:v>
                </c:pt>
                <c:pt idx="1">
                  <c:v>250</c:v>
                </c:pt>
                <c:pt idx="2">
                  <c:v>60</c:v>
                </c:pt>
                <c:pt idx="3">
                  <c:v>9</c:v>
                </c:pt>
                <c:pt idx="4">
                  <c:v>58</c:v>
                </c:pt>
                <c:pt idx="5">
                  <c:v>13</c:v>
                </c:pt>
                <c:pt idx="6">
                  <c:v>78</c:v>
                </c:pt>
              </c:numCache>
            </c:numRef>
          </c:val>
          <c:extLst>
            <c:ext xmlns:c16="http://schemas.microsoft.com/office/drawing/2014/chart" uri="{C3380CC4-5D6E-409C-BE32-E72D297353CC}">
              <c16:uniqueId val="{00000000-6D69-45DC-A138-7207773EDC3F}"/>
            </c:ext>
          </c:extLst>
        </c:ser>
        <c:dLbls>
          <c:showLegendKey val="0"/>
          <c:showVal val="0"/>
          <c:showCatName val="0"/>
          <c:showSerName val="0"/>
          <c:showPercent val="0"/>
          <c:showBubbleSize val="0"/>
        </c:dLbls>
        <c:gapWidth val="150"/>
        <c:shape val="box"/>
        <c:axId val="23323008"/>
        <c:axId val="23324928"/>
        <c:axId val="0"/>
      </c:bar3DChart>
      <c:catAx>
        <c:axId val="23323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Année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3324928"/>
        <c:crosses val="autoZero"/>
        <c:auto val="1"/>
        <c:lblAlgn val="ctr"/>
        <c:lblOffset val="100"/>
        <c:noMultiLvlLbl val="0"/>
      </c:catAx>
      <c:valAx>
        <c:axId val="233249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Pluviométrie en mm</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3323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tx>
            <c:strRef>
              <c:f>'Tan N'!$A$2</c:f>
              <c:strCache>
                <c:ptCount val="1"/>
                <c:pt idx="0">
                  <c:v>Pluie en mm</c:v>
                </c:pt>
              </c:strCache>
            </c:strRef>
          </c:tx>
          <c:spPr>
            <a:solidFill>
              <a:schemeClr val="accent2"/>
            </a:solidFill>
            <a:ln>
              <a:noFill/>
            </a:ln>
            <a:effectLst/>
            <a:sp3d/>
          </c:spPr>
          <c:invertIfNegative val="0"/>
          <c:cat>
            <c:numRef>
              <c:f>'Tan N'!$B$1:$I$1</c:f>
              <c:numCache>
                <c:formatCode>General</c:formatCode>
                <c:ptCount val="8"/>
                <c:pt idx="0">
                  <c:v>1980</c:v>
                </c:pt>
                <c:pt idx="1">
                  <c:v>1981</c:v>
                </c:pt>
                <c:pt idx="2">
                  <c:v>1982</c:v>
                </c:pt>
                <c:pt idx="3">
                  <c:v>1983</c:v>
                </c:pt>
                <c:pt idx="4">
                  <c:v>1984</c:v>
                </c:pt>
                <c:pt idx="5">
                  <c:v>1985</c:v>
                </c:pt>
                <c:pt idx="6">
                  <c:v>1986</c:v>
                </c:pt>
                <c:pt idx="7">
                  <c:v>1987</c:v>
                </c:pt>
              </c:numCache>
            </c:numRef>
          </c:cat>
          <c:val>
            <c:numRef>
              <c:f>'Tan N'!$B$2:$I$2</c:f>
              <c:numCache>
                <c:formatCode>General</c:formatCode>
                <c:ptCount val="8"/>
                <c:pt idx="0">
                  <c:v>87.8</c:v>
                </c:pt>
                <c:pt idx="1">
                  <c:v>121.8</c:v>
                </c:pt>
                <c:pt idx="2">
                  <c:v>108</c:v>
                </c:pt>
                <c:pt idx="3">
                  <c:v>107</c:v>
                </c:pt>
                <c:pt idx="4">
                  <c:v>72.2</c:v>
                </c:pt>
                <c:pt idx="5">
                  <c:v>53</c:v>
                </c:pt>
                <c:pt idx="6">
                  <c:v>61.4</c:v>
                </c:pt>
                <c:pt idx="7">
                  <c:v>30.5</c:v>
                </c:pt>
              </c:numCache>
            </c:numRef>
          </c:val>
          <c:extLst>
            <c:ext xmlns:c16="http://schemas.microsoft.com/office/drawing/2014/chart" uri="{C3380CC4-5D6E-409C-BE32-E72D297353CC}">
              <c16:uniqueId val="{00000000-22F9-4A1D-8B6A-FD7734B209E2}"/>
            </c:ext>
          </c:extLst>
        </c:ser>
        <c:dLbls>
          <c:showLegendKey val="0"/>
          <c:showVal val="0"/>
          <c:showCatName val="0"/>
          <c:showSerName val="0"/>
          <c:showPercent val="0"/>
          <c:showBubbleSize val="0"/>
        </c:dLbls>
        <c:gapWidth val="150"/>
        <c:shape val="box"/>
        <c:axId val="74398336"/>
        <c:axId val="74425088"/>
        <c:axId val="0"/>
      </c:bar3DChart>
      <c:catAx>
        <c:axId val="74398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Année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4425088"/>
        <c:crosses val="autoZero"/>
        <c:auto val="1"/>
        <c:lblAlgn val="ctr"/>
        <c:lblOffset val="100"/>
        <c:noMultiLvlLbl val="0"/>
      </c:catAx>
      <c:valAx>
        <c:axId val="744250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pluviométrie en mm</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4398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B18AA-6C8D-4159-8DD8-25A65BF13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4048</TotalTime>
  <Pages>501</Pages>
  <Words>159757</Words>
  <Characters>878666</Characters>
  <Application>Microsoft Office Word</Application>
  <DocSecurity>0</DocSecurity>
  <Lines>7322</Lines>
  <Paragraphs>2072</Paragraphs>
  <ScaleCrop>false</ScaleCrop>
  <HeadingPairs>
    <vt:vector size="6" baseType="variant">
      <vt:variant>
        <vt:lpstr>Titre</vt:lpstr>
      </vt:variant>
      <vt:variant>
        <vt:i4>1</vt:i4>
      </vt:variant>
      <vt:variant>
        <vt:lpstr>Titres</vt:lpstr>
      </vt:variant>
      <vt:variant>
        <vt:i4>89</vt:i4>
      </vt:variant>
      <vt:variant>
        <vt:lpstr>Title</vt:lpstr>
      </vt:variant>
      <vt:variant>
        <vt:i4>1</vt:i4>
      </vt:variant>
    </vt:vector>
  </HeadingPairs>
  <TitlesOfParts>
    <vt:vector size="91" baseType="lpstr">
      <vt:lpstr/>
      <vt:lpstr>    Acronymes et abréviations 	…………………………………………………………….	p.3</vt:lpstr>
      <vt:lpstr>    INTRODUCTION : ……………………………………………………………………………p.4</vt:lpstr>
      <vt:lpstr>    Contexte et justification de l’étude …………………………………………p.4</vt:lpstr>
      <vt:lpstr>    Objectifs de l’étude ……………………………………………………………p.5</vt:lpstr>
      <vt:lpstr>    Méthodologie ……………………………………………………………………p.6</vt:lpstr>
      <vt:lpstr>    Concepts de la Vulnérabilité et de l’Adaptation ………………………..p.9</vt:lpstr>
      <vt:lpstr>    Vision et Stratégie Environnement ………………………………………………p12</vt:lpstr>
      <vt:lpstr>    Vulnérabilité au changement climatique …………………………………….p.14</vt:lpstr>
      <vt:lpstr>    Adaptation au changement climatique : …………………………………….p.19</vt:lpstr>
      <vt:lpstr>    Lutte contre l’ensablement …………………………………………………p.19</vt:lpstr>
      <vt:lpstr>    Valorisation des terres incultes ………………………………………………p.21</vt:lpstr>
      <vt:lpstr>    Restauration des zones humides continentales …………………………p.24</vt:lpstr>
      <vt:lpstr>    Aménagement des écosystèmes forestiers ………………………………p.27</vt:lpstr>
      <vt:lpstr>    Conclusion et recommandations ………………………………………………p.35</vt:lpstr>
      <vt:lpstr>    REFERENCES BIBLIOGRAPHIQUES ....................................................</vt:lpstr>
      <vt:lpstr>    ANNEXES : ………………………………………………………………………………….p.40</vt:lpstr>
      <vt:lpstr>    Annexe 1 : 	    Termes de référence de l’étude </vt:lpstr>
      <vt:lpstr>    Annexe 2 :    Sites de protection des infrastructures socioéconomiques </vt:lpstr>
      <vt:lpstr>    de la zone nord su pays contre l’ensablement</vt:lpstr>
      <vt:lpstr>    Annexe 3 :    Sites des zones humides continentales à restaurer dans les </vt:lpstr>
      <vt:lpstr>    Huit wilayas agrosylvopastorales </vt:lpstr>
      <vt:lpstr>    Annexe 4 : Etat des lieux et cartographie de dix forêts classées dans Les wilaya</vt:lpstr>
      <vt:lpstr>    Annexe 5 :  Données de l’inventaire écologique/relevé ICV de la forêt de Boully </vt:lpstr>
      <vt:lpstr>    </vt:lpstr>
      <vt:lpstr>    ACRONYMES ET ABREVIATIONS : </vt:lpstr>
      <vt:lpstr>    CCNUCC : Convention Cadre des Nations Unies sur les Changements Climatiques</vt:lpstr>
      <vt:lpstr>    CDN : Contribution Déterminée au niveau National</vt:lpstr>
      <vt:lpstr>    GIEC : Groupe d'experts Intergouvernemental sur l’Evolution du Climat</vt:lpstr>
      <vt:lpstr>    FAO : Food and Agriculture Organisation </vt:lpstr>
      <vt:lpstr>    PANA : Plan d’Action National d’Adaptation au changement climatique</vt:lpstr>
      <vt:lpstr>    PNUD : Programme des Nations Unies pour le Développement</vt:lpstr>
      <vt:lpstr>    MEDD : Ministère de l’Environnement et du Développement Durable</vt:lpstr>
      <vt:lpstr>    </vt:lpstr>
      <vt:lpstr>    </vt:lpstr>
      <vt:lpstr>    INTRODUCTION </vt:lpstr>
      <vt:lpstr>    </vt:lpstr>
      <vt:lpstr>    I.1. Contexte et justification de l’étude  </vt:lpstr>
      <vt:lpstr>    I.2. Objectifs de l’étude  </vt:lpstr>
      <vt:lpstr>    I.3. Méthodologie  </vt:lpstr>
      <vt:lpstr>    Dans ce qui suit, il sera procédé à la définition des termes clés de l’évaluatio</vt:lpstr>
      <vt:lpstr/>
      <vt:lpstr>Clarification de certains concepts en lien avec les changements climatiques :</vt:lpstr>
      <vt:lpstr>    </vt:lpstr>
      <vt:lpstr>    REGERENCES BIBLIOGRAPHIQUES : </vt:lpstr>
      <vt:lpstr>    </vt:lpstr>
      <vt:lpstr>    Communications nationales au changement climatique : CNI, 2001 ; 2ème CN, 2008 ;</vt:lpstr>
      <vt:lpstr>    </vt:lpstr>
      <vt:lpstr>    Plan d’action de la mise en œuvre de la CDN (actualisation) : </vt:lpstr>
      <vt:lpstr>    Secteur de l’Habitat, de l’Urbanisme et de l’Aménagement, Août 2023 ;</vt:lpstr>
      <vt:lpstr>    Secteur de l’Hydraulique et de l’Assainissement, Février 2023 ;</vt:lpstr>
      <vt:lpstr>    Secteur de la santé, Avril 2023 ;</vt:lpstr>
      <vt:lpstr>    Secteur de l’Agriculture, Mars 2023 ;</vt:lpstr>
      <vt:lpstr>    Secteur des Ressources naturelles, Mai 2023 ; </vt:lpstr>
      <vt:lpstr>    Secteur de l’Education, Août 2023 ;</vt:lpstr>
      <vt:lpstr>    Secteur Elevage, Mars, 2023 ;</vt:lpstr>
      <vt:lpstr>    Secteur Pétrole, Energie et Mines, Août 2023 ;</vt:lpstr>
      <vt:lpstr>    Secteur Pêches, et Economie maritime, juillet 2023.    </vt:lpstr>
      <vt:lpstr>    </vt:lpstr>
      <vt:lpstr>    MEDD, 2024. Contribution Déterminée Nationale – Plan d’action global de mise en </vt:lpstr>
      <vt:lpstr>    </vt:lpstr>
      <vt:lpstr>    MAED, 2019. Enquête Permanente sur les Conditions de Vie des ménages : Tendances</vt:lpstr>
      <vt:lpstr>    </vt:lpstr>
      <vt:lpstr>    MAED, 2016. Stratégie Nationale de Croissance Accélérée et de Prospérité Partagé</vt:lpstr>
      <vt:lpstr>    </vt:lpstr>
      <vt:lpstr>    MEDD, 2021. Contribution Déterminée Nationale actualisée. MEDD et PNUD. </vt:lpstr>
      <vt:lpstr>    </vt:lpstr>
      <vt:lpstr>    MEDD, 2023. Plan d’action de la mise en œuvre de la CDN, secteur des ressources </vt:lpstr>
      <vt:lpstr>    </vt:lpstr>
      <vt:lpstr>    MEDD, 2017. Plan d’investissement multisectoriel du littoral mauritanien 2018-20</vt:lpstr>
      <vt:lpstr>    </vt:lpstr>
      <vt:lpstr>    MEDD, 2017. Plan Directeur d’Aménagement du littoral actualisé, 2017, 78 p.</vt:lpstr>
      <vt:lpstr>    </vt:lpstr>
      <vt:lpstr>    MEDD, 2017.  Stratégie Nationale de l’Environnement et du Développement Durable </vt:lpstr>
      <vt:lpstr>    </vt:lpstr>
      <vt:lpstr>    Banque Mondiale, 2022. Rapport national sur le climat et le développement des pa</vt:lpstr>
      <vt:lpstr>    </vt:lpstr>
      <vt:lpstr>    DPREM, 2023. Vision et stratégie pour la protection et la restauration des terre</vt:lpstr>
      <vt:lpstr>    </vt:lpstr>
      <vt:lpstr>    ProGRN, 2007. Conservation et utilisation des zones humides dans le Hodh Gharbi.</vt:lpstr>
      <vt:lpstr>    ProGRN, 2009 : Plan d'aménagement simplifié (PAS) de la forêt de « Bouli Beldi »</vt:lpstr>
      <vt:lpstr>    SAREP, 2024 : Sahara renaissance Project : Préconcept, 134 p.</vt:lpstr>
      <vt:lpstr>    ANNEXES : </vt:lpstr>
      <vt:lpstr>    </vt:lpstr>
      <vt:lpstr>    Annexe 1 : Termes de référence de l’étude </vt:lpstr>
      <vt:lpstr>    </vt:lpstr>
      <vt:lpstr>    Contexte et justification de l’étude  </vt:lpstr>
      <vt:lpstr>    Objectifs de l’étude  </vt:lpstr>
      <vt:lpstr>    Méthodologie  </vt:lpstr>
      <vt:lpstr>    </vt:lpstr>
      <vt:lpstr/>
    </vt:vector>
  </TitlesOfParts>
  <Company/>
  <LinksUpToDate>false</LinksUpToDate>
  <CharactersWithSpaces>1036351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D.LY</dc:creator>
  <cp:keywords/>
  <dc:description/>
  <cp:lastModifiedBy>Fall Oumar</cp:lastModifiedBy>
  <cp:revision>62</cp:revision>
  <dcterms:created xsi:type="dcterms:W3CDTF">2025-02-08T11:09:00Z</dcterms:created>
  <dcterms:modified xsi:type="dcterms:W3CDTF">2025-05-05T22:18:00Z</dcterms:modified>
</cp:coreProperties>
</file>